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23F5" w:rsidRDefault="003761EF">
      <w:pPr>
        <w:pStyle w:val="BG"/>
        <w:ind w:firstLine="480"/>
      </w:pPr>
      <w:r>
        <w:pict>
          <v:rect id="矩形 6236" o:spid="_x0000_s1026" style="position:absolute;left:0;text-align:left;margin-left:71.7pt;margin-top:13pt;width:373.95pt;height:79pt;z-index:251651072;mso-position-horizontal-relative:margin;mso-position-vertical-relative:margin" o:gfxdata="UEsDBAoAAAAAAIdO4kAAAAAAAAAAAAAAAAAEAAAAZHJzL1BLAwQUAAAACACHTuJAzJ9KmNgAAAAK&#10;AQAADwAAAGRycy9kb3ducmV2LnhtbE2PP0/DMBTEdyS+g/UqsVE7bRSFEKcDaiWkDoiUgdGJ3SSq&#10;/RzZ7h/49DwmGE93uvtdvbk5yy4mxMmjhGwpgBnsvZ5wkPBx2D2WwGJSqJX1aCR8mQib5v6uVpX2&#10;V3w3lzYNjEowVkrCmNJccR770TgVl342SN7RB6cSyTBwHdSVyp3lKyEK7tSEtDCq2byMpj+1Zych&#10;FKds99nyfbefv+32Dad8+9pK+bDIxDOwZG7pLwy/+IQODTF1/ow6Mks6X+cUlbAq6BMFyqdsDawj&#10;p8wF8Kbm/y80P1BLAwQUAAAACACHTuJAnmWPNKIBAAAuAwAADgAAAGRycy9lMm9Eb2MueG1srVJN&#10;jtMwFN4jcQfLe+okHcIQNZ3NaBASgpEGDuA6dmPJf3r2NOlpkNhxCI6DuAbPbtrhZ4fYOM/PL5+/&#10;H29uZmvIQULU3vW0XlWUSCf8oN2+p58+3r24piQm7gZuvJM9PcpIb7bPn22m0MnGj94MEgiCuNhN&#10;oadjSqFjLIpRWh5XPkiHh8qD5Qm3sGcD8AnRrWFNVbVs8jAE8ELGiN3b0yHdFnylpEgflIoyEdNT&#10;5JbKCmXd5ZVtN7zbAw+jFgsN/g8sLNcOL71A3fLEySPov6CsFuCjV2klvGVeKS1k0YBq6uoPNQ8j&#10;D7JoQXNiuNgU/x+seH+4B6IHzI4Sxy1G9OPz1+/fvpC2WbfZninEDqcewj0su4hl1jorsPmLKshc&#10;LD1eLJVzIgKbV6+uXtftS0oEntVVtV5XxXT29HuAmN5Ib0kuegqYWbGSH97FhFfi6Hkk3+b8nTam&#10;5Gbcbw0cPHVkCX75O/M/Mc5VmnfzImPnhyNqN28d+pnfxrmAUjTNdYtcye7cfgyg9yMyrLMtLKNh&#10;KIXf8oBy6r/uy9TTM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yfSpjYAAAACgEAAA8AAAAA&#10;AAAAAQAgAAAAIgAAAGRycy9kb3ducmV2LnhtbFBLAQIUABQAAAAIAIdO4kCeZY80ogEAAC4DAAAO&#10;AAAAAAAAAAEAIAAAACcBAABkcnMvZTJvRG9jLnhtbFBLBQYAAAAABgAGAFkBAAA7BQAAAAA=&#10;" filled="f" stroked="f">
            <v:textbox inset="0,0,18pt,0">
              <w:txbxContent>
                <w:p w:rsidR="00BB1CC7" w:rsidRDefault="00BB1CC7">
                  <w:pPr>
                    <w:spacing w:line="276" w:lineRule="auto"/>
                    <w:ind w:firstLineChars="1117" w:firstLine="2355"/>
                    <w:jc w:val="left"/>
                    <w:rPr>
                      <w:rFonts w:ascii="宋体" w:hAnsi="宋体"/>
                      <w:b/>
                      <w:szCs w:val="21"/>
                    </w:rPr>
                  </w:pPr>
                  <w:r>
                    <w:rPr>
                      <w:rFonts w:ascii="宋体" w:hAnsi="宋体" w:hint="eastAsia"/>
                      <w:b/>
                      <w:szCs w:val="21"/>
                    </w:rPr>
                    <w:t>评 价 单 位：中煤科工集团西安研究院有限公司</w:t>
                  </w:r>
                </w:p>
                <w:p w:rsidR="00BB1CC7" w:rsidRDefault="00BB1CC7">
                  <w:pPr>
                    <w:spacing w:line="276" w:lineRule="auto"/>
                    <w:ind w:firstLineChars="1117" w:firstLine="2355"/>
                    <w:jc w:val="left"/>
                    <w:rPr>
                      <w:rFonts w:ascii="宋体" w:hAnsi="宋体"/>
                      <w:b/>
                      <w:szCs w:val="21"/>
                    </w:rPr>
                  </w:pPr>
                  <w:r>
                    <w:rPr>
                      <w:rFonts w:ascii="宋体" w:hAnsi="宋体"/>
                      <w:b/>
                      <w:szCs w:val="21"/>
                    </w:rPr>
                    <w:t>证</w:t>
                  </w:r>
                  <w:r>
                    <w:rPr>
                      <w:rFonts w:ascii="宋体" w:hAnsi="宋体" w:hint="eastAsia"/>
                      <w:b/>
                      <w:szCs w:val="21"/>
                    </w:rPr>
                    <w:t xml:space="preserve"> </w:t>
                  </w:r>
                  <w:r>
                    <w:rPr>
                      <w:rFonts w:ascii="宋体" w:hAnsi="宋体"/>
                      <w:b/>
                      <w:szCs w:val="21"/>
                    </w:rPr>
                    <w:t>书</w:t>
                  </w:r>
                  <w:r>
                    <w:rPr>
                      <w:rFonts w:ascii="宋体" w:hAnsi="宋体" w:hint="eastAsia"/>
                      <w:b/>
                      <w:szCs w:val="21"/>
                    </w:rPr>
                    <w:t xml:space="preserve"> </w:t>
                  </w:r>
                  <w:r>
                    <w:rPr>
                      <w:rFonts w:ascii="宋体" w:hAnsi="宋体"/>
                      <w:b/>
                      <w:szCs w:val="21"/>
                    </w:rPr>
                    <w:t>级</w:t>
                  </w:r>
                  <w:r>
                    <w:rPr>
                      <w:rFonts w:ascii="宋体" w:hAnsi="宋体" w:hint="eastAsia"/>
                      <w:b/>
                      <w:szCs w:val="21"/>
                    </w:rPr>
                    <w:t xml:space="preserve"> </w:t>
                  </w:r>
                  <w:r>
                    <w:rPr>
                      <w:rFonts w:ascii="宋体" w:hAnsi="宋体"/>
                      <w:b/>
                      <w:szCs w:val="21"/>
                    </w:rPr>
                    <w:t>别：甲级</w:t>
                  </w:r>
                </w:p>
                <w:p w:rsidR="00BB1CC7" w:rsidRDefault="00BB1CC7">
                  <w:pPr>
                    <w:spacing w:line="276" w:lineRule="auto"/>
                    <w:ind w:firstLineChars="1117" w:firstLine="2355"/>
                    <w:jc w:val="left"/>
                    <w:rPr>
                      <w:rFonts w:ascii="宋体" w:hAnsi="宋体"/>
                      <w:b/>
                      <w:szCs w:val="21"/>
                    </w:rPr>
                  </w:pPr>
                  <w:r>
                    <w:rPr>
                      <w:rFonts w:ascii="宋体" w:hAnsi="宋体"/>
                      <w:b/>
                      <w:szCs w:val="21"/>
                    </w:rPr>
                    <w:t>证</w:t>
                  </w:r>
                  <w:r>
                    <w:rPr>
                      <w:rFonts w:ascii="宋体" w:hAnsi="宋体" w:hint="eastAsia"/>
                      <w:b/>
                      <w:szCs w:val="21"/>
                    </w:rPr>
                    <w:t xml:space="preserve"> </w:t>
                  </w:r>
                  <w:r>
                    <w:rPr>
                      <w:rFonts w:ascii="宋体" w:hAnsi="宋体"/>
                      <w:b/>
                      <w:szCs w:val="21"/>
                    </w:rPr>
                    <w:t>书</w:t>
                  </w:r>
                  <w:r>
                    <w:rPr>
                      <w:rFonts w:ascii="宋体" w:hAnsi="宋体" w:hint="eastAsia"/>
                      <w:b/>
                      <w:szCs w:val="21"/>
                    </w:rPr>
                    <w:t xml:space="preserve"> </w:t>
                  </w:r>
                  <w:r>
                    <w:rPr>
                      <w:rFonts w:ascii="宋体" w:hAnsi="宋体"/>
                      <w:b/>
                      <w:szCs w:val="21"/>
                    </w:rPr>
                    <w:t>编</w:t>
                  </w:r>
                  <w:r>
                    <w:rPr>
                      <w:rFonts w:ascii="宋体" w:hAnsi="宋体" w:hint="eastAsia"/>
                      <w:b/>
                      <w:szCs w:val="21"/>
                    </w:rPr>
                    <w:t xml:space="preserve"> </w:t>
                  </w:r>
                  <w:r>
                    <w:rPr>
                      <w:rFonts w:ascii="宋体" w:hAnsi="宋体"/>
                      <w:b/>
                      <w:szCs w:val="21"/>
                    </w:rPr>
                    <w:t>号：国环评甲字第3609号</w:t>
                  </w:r>
                </w:p>
                <w:p w:rsidR="00BB1CC7" w:rsidRDefault="00BB1CC7">
                  <w:pPr>
                    <w:spacing w:line="276" w:lineRule="auto"/>
                    <w:ind w:firstLineChars="1117" w:firstLine="2355"/>
                    <w:jc w:val="left"/>
                    <w:rPr>
                      <w:rFonts w:ascii="宋体" w:hAnsi="宋体"/>
                      <w:b/>
                      <w:szCs w:val="21"/>
                    </w:rPr>
                  </w:pPr>
                  <w:r>
                    <w:rPr>
                      <w:rFonts w:ascii="宋体" w:hAnsi="宋体"/>
                      <w:b/>
                      <w:szCs w:val="21"/>
                    </w:rPr>
                    <w:t>报</w:t>
                  </w:r>
                  <w:r>
                    <w:rPr>
                      <w:rFonts w:ascii="宋体" w:hAnsi="宋体" w:hint="eastAsia"/>
                      <w:b/>
                      <w:szCs w:val="21"/>
                    </w:rPr>
                    <w:t xml:space="preserve"> </w:t>
                  </w:r>
                  <w:r>
                    <w:rPr>
                      <w:rFonts w:ascii="宋体" w:hAnsi="宋体"/>
                      <w:b/>
                      <w:szCs w:val="21"/>
                    </w:rPr>
                    <w:t>告</w:t>
                  </w:r>
                  <w:r>
                    <w:rPr>
                      <w:rFonts w:ascii="宋体" w:hAnsi="宋体" w:hint="eastAsia"/>
                      <w:b/>
                      <w:szCs w:val="21"/>
                    </w:rPr>
                    <w:t xml:space="preserve"> 编 号：HP</w:t>
                  </w:r>
                  <w:r>
                    <w:rPr>
                      <w:rFonts w:ascii="宋体" w:hAnsi="宋体"/>
                      <w:b/>
                      <w:szCs w:val="21"/>
                    </w:rPr>
                    <w:t>20</w:t>
                  </w:r>
                  <w:r>
                    <w:rPr>
                      <w:rFonts w:ascii="宋体" w:hAnsi="宋体" w:hint="eastAsia"/>
                      <w:b/>
                      <w:szCs w:val="21"/>
                    </w:rPr>
                    <w:t>18023</w:t>
                  </w:r>
                </w:p>
                <w:p w:rsidR="00BB1CC7" w:rsidRDefault="00BB1CC7">
                  <w:pPr>
                    <w:spacing w:line="276" w:lineRule="auto"/>
                    <w:ind w:firstLineChars="700" w:firstLine="1470"/>
                  </w:pPr>
                </w:p>
              </w:txbxContent>
            </v:textbox>
            <w10:wrap anchorx="margin" anchory="margin"/>
          </v:rect>
        </w:pict>
      </w:r>
      <w:r w:rsidR="005860D5">
        <w:rPr>
          <w:i/>
          <w:noProof/>
          <w:sz w:val="44"/>
          <w:szCs w:val="44"/>
        </w:rPr>
        <w:drawing>
          <wp:anchor distT="0" distB="0" distL="114300" distR="114300" simplePos="0" relativeHeight="251650048" behindDoc="0" locked="0" layoutInCell="1" allowOverlap="1">
            <wp:simplePos x="0" y="0"/>
            <wp:positionH relativeFrom="column">
              <wp:posOffset>192405</wp:posOffset>
            </wp:positionH>
            <wp:positionV relativeFrom="paragraph">
              <wp:posOffset>48260</wp:posOffset>
            </wp:positionV>
            <wp:extent cx="1188720" cy="1209040"/>
            <wp:effectExtent l="19050" t="0" r="0" b="0"/>
            <wp:wrapNone/>
            <wp:docPr id="5572" name="图片 5572" descr="单位企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图片 5572" descr="单位企标"/>
                    <pic:cNvPicPr>
                      <a:picLocks noChangeAspect="1" noChangeArrowheads="1"/>
                    </pic:cNvPicPr>
                  </pic:nvPicPr>
                  <pic:blipFill>
                    <a:blip r:embed="rId9" cstate="print"/>
                    <a:srcRect l="18289" t="15340" r="12685"/>
                    <a:stretch>
                      <a:fillRect/>
                    </a:stretch>
                  </pic:blipFill>
                  <pic:spPr>
                    <a:xfrm>
                      <a:off x="0" y="0"/>
                      <a:ext cx="1188720" cy="1209040"/>
                    </a:xfrm>
                    <a:prstGeom prst="rect">
                      <a:avLst/>
                    </a:prstGeom>
                    <a:noFill/>
                    <a:ln w="9525">
                      <a:noFill/>
                      <a:miter lim="800000"/>
                      <a:headEnd/>
                      <a:tailEnd/>
                    </a:ln>
                  </pic:spPr>
                </pic:pic>
              </a:graphicData>
            </a:graphic>
          </wp:anchor>
        </w:drawing>
      </w:r>
    </w:p>
    <w:p w:rsidR="00C223F5" w:rsidRDefault="00C223F5">
      <w:pPr>
        <w:spacing w:line="360" w:lineRule="auto"/>
        <w:rPr>
          <w:b/>
          <w:i/>
          <w:color w:val="FF0000"/>
          <w:sz w:val="44"/>
          <w:szCs w:val="44"/>
        </w:rPr>
      </w:pPr>
    </w:p>
    <w:p w:rsidR="00C223F5" w:rsidRDefault="00C223F5">
      <w:pPr>
        <w:spacing w:line="360" w:lineRule="auto"/>
        <w:jc w:val="center"/>
        <w:rPr>
          <w:color w:val="FF0000"/>
        </w:rPr>
      </w:pPr>
    </w:p>
    <w:p w:rsidR="00C223F5" w:rsidRDefault="003761EF">
      <w:pPr>
        <w:spacing w:line="360" w:lineRule="auto"/>
        <w:jc w:val="center"/>
        <w:rPr>
          <w:color w:val="FF0000"/>
          <w:sz w:val="41"/>
        </w:rPr>
      </w:pPr>
      <w:r>
        <w:rPr>
          <w:color w:val="FF0000"/>
          <w:sz w:val="41"/>
        </w:rPr>
        <w:pict>
          <v:line id="直线 6840" o:spid="_x0000_s1431" style="position:absolute;left:0;text-align:left;z-index:251656192" from="-89.25pt,31.2pt" to="7in,31.2pt" o:gfxdata="UEsDBAoAAAAAAIdO4kAAAAAAAAAAAAAAAAAEAAAAZHJzL1BLAwQUAAAACACHTuJACufEtNoAAAAL&#10;AQAADwAAAGRycy9kb3ducmV2LnhtbE2PsU7DMBCGdyTewToklqq1U6C1QpwOFSwMSG0ZYHPjaxIR&#10;n1PbbQJPjysGGO/u03/fX6xG27Ez+tA6UpDNBDCkypmWagVvu+epBBaiJqM7R6jgCwOsyuurQufG&#10;DbTB8zbWLIVQyLWCJsY+5zxUDVodZq5HSreD81bHNPqaG6+HFG47Phdiwa1uKX1odI/rBqvP7ckq&#10;MJsQntaj/L579S/H47ucfAy7iVK3N5l4BBZxjH8wXPSTOpTJae9OZALrFEyzpXxIrILF/B7YhRBC&#10;pnr73w0vC/6/Q/kDUEsDBBQAAAAIAIdO4kCVia9P2wEAAKUDAAAOAAAAZHJzL2Uyb0RvYy54bWyt&#10;U0tyEzEQ3VPFHVTa47GdOE5NeZxFTNhQ4CrCAdr6eFToV2rFY5+Fa7Biw3FyDVqy4wTYUBSz0LTU&#10;PU/9Xr9Z3OydZTuV0ATf8clozJnyIkjjtx3/fH/35pozzOAl2OBVxw8K+c3y9avFEFs1DX2wUiVG&#10;IB7bIXa8zzm2TYOiVw5wFKLylNQhOci0TdtGJhgI3dlmOh5fNUNIMqYgFCKdro5Jvqz4WiuRP2qN&#10;KjPbceot1zXVdVPWZrmAdpsg9kac2oB/6MKB8XTpGWoFGdhDMn9AOSNSwKDzSATXBK2NUJUDsZmM&#10;f2PzqYeoKhcSB+NZJvx/sOLDbp2YkR2/4MyDoxE9fv32+P0Hu7q+rPIMEVuquvXrRGKVHcZ1Klz3&#10;OrnyJhZsXyU9nCVV+8wEHc5nF5fT+Ywz8ZRrnj+MCfM7FRwrQcet8YUttLB7j5kuo9KnknJsPRs6&#10;PptPZjRJAeQWbSFT6CL1n3vj72mKXyoEBmvknbG2fIhpu7m1ie2guKA+ZfAE/0tZuWsF2B/rauro&#10;j16BfOsly4dI+ngyMi+dOCU5s4p8X6LqpAzG/k0lXW19aU1Vj57oPotbok2QB5rNQ0xm25M8k9pz&#10;yZAXavcn3xazvdxT/PLvWv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ufEtNoAAAALAQAADwAA&#10;AAAAAAABACAAAAAiAAAAZHJzL2Rvd25yZXYueG1sUEsBAhQAFAAAAAgAh07iQJWJr0/bAQAApQMA&#10;AA4AAAAAAAAAAQAgAAAAKQEAAGRycy9lMm9Eb2MueG1sUEsFBgAAAAAGAAYAWQEAAHYFAAAAAA==&#10;" strokeweight="4.5pt">
            <v:stroke linestyle="thinThick"/>
          </v:line>
        </w:pict>
      </w:r>
    </w:p>
    <w:p w:rsidR="00C223F5" w:rsidRDefault="00C223F5">
      <w:pPr>
        <w:spacing w:line="360" w:lineRule="auto"/>
        <w:jc w:val="center"/>
        <w:rPr>
          <w:color w:val="FF0000"/>
          <w:sz w:val="47"/>
        </w:rPr>
      </w:pPr>
    </w:p>
    <w:p w:rsidR="00C223F5" w:rsidRDefault="003761EF">
      <w:pPr>
        <w:spacing w:line="360" w:lineRule="auto"/>
        <w:jc w:val="center"/>
        <w:rPr>
          <w:color w:val="FF0000"/>
          <w:sz w:val="41"/>
        </w:rPr>
      </w:pPr>
      <w:r>
        <w:rPr>
          <w:rFonts w:eastAsia="黑体"/>
          <w:b/>
          <w:color w:val="FF0000"/>
        </w:rPr>
        <w:pict>
          <v:rect id="矩形 6841" o:spid="_x0000_s1430" style="position:absolute;left:0;text-align:left;margin-left:-57.75pt;margin-top:148.2pt;width:539.65pt;height:217.05pt;z-index:251657216;mso-position-horizontal-relative:margin;mso-position-vertical-relative:margin" o:gfxdata="UEsDBAoAAAAAAIdO4kAAAAAAAAAAAAAAAAAEAAAAZHJzL1BLAwQUAAAACACHTuJAVuF4H9gAAAAM&#10;AQAADwAAAGRycy9kb3ducmV2LnhtbE2PQW6DMBBF95V6B2sqdZcYJwUKwWQRKZvsSnMAx3YBBY8p&#10;dkK4faerdjmap//fr/YPN7C7nULvUYJYJ8Asam96bCWcP4+rd2AhKjRq8GglLDbAvn5+qlRp/Iwf&#10;9t7EllEIhlJJ6GIcS86D7qxTYe1Hi/T78pNTkc6p5WZSM4W7gW+SJONO9UgNnRrtobP62tychJPQ&#10;qTgsOs+/edbo+bicmqKX8vVFJDtg0T7iHwy/+qQONTld/A1NYIOElRBpSqyETZG9ASOkyLa05iIh&#10;3yYp8Lri/0fUP1BLAwQUAAAACACHTuJA/39/D7QBAABXAwAADgAAAGRycy9lMm9Eb2MueG1srVNL&#10;jtQwEN0jcQfLezrpMAmtqNOzYNQICcFIAwdwHCex5J/Knk76NEjsOATHQVyDspNuBtghsqhUlcvP&#10;fq/K+9tZK3IS4KU1Dd1uckqE4baTZmjop4/HFztKfGCmY8oa0dCz8PT28PzZfnK1KOxoVSeAIIjx&#10;9eQaOobg6izzfBSa+Y11wuBib0GzgCEMWQdsQnStsiLPq2yy0DmwXHiP2btlkR4Sft8LHj70vReB&#10;qIbi3UKykGwbbXbYs3oA5kbJ12uwf7iFZtLgoVeoOxYYeQT5F5SWHKy3fdhwqzPb95KLxAHZbPM/&#10;2DyMzInEBcXx7iqT/3+w/P3pHojsGnpDiWEaW/Tj89fv376QanezjfJMztdY9eDuYY08upHr3IOO&#10;f2RB5iTp+SqpmAPhmKx25cuyLCnhuFa8KisMI2r2a7sDH94Iq0l0GgrYsyQlO73zYSm9lMTTvFWy&#10;O0qlUgBD+1oBOTHs7zF9K/pvZcrEYmPjtgVxyYg0IesxkehCLXphbueVb2u7M4qk3hoUPg7RxYHk&#10;FMWuyjHdXtKPDuQwIpWkXxbRsHuJ8zppcTyexug/fQ+H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bheB/YAAAADAEAAA8AAAAAAAAAAQAgAAAAIgAAAGRycy9kb3ducmV2LnhtbFBLAQIUABQAAAAI&#10;AIdO4kD/f38PtAEAAFcDAAAOAAAAAAAAAAEAIAAAACcBAABkcnMvZTJvRG9jLnhtbFBLBQYAAAAA&#10;BgAGAFkBAABNBQAAAAA=&#10;" stroked="f">
            <v:textbox inset="0,0,18pt,0">
              <w:txbxContent>
                <w:p w:rsidR="00BB1CC7" w:rsidRDefault="00BB1CC7">
                  <w:pPr>
                    <w:jc w:val="center"/>
                    <w:rPr>
                      <w:b/>
                      <w:kern w:val="0"/>
                      <w:sz w:val="52"/>
                      <w:szCs w:val="52"/>
                    </w:rPr>
                  </w:pPr>
                  <w:r>
                    <w:rPr>
                      <w:rFonts w:hAnsi="宋体"/>
                      <w:b/>
                      <w:kern w:val="0"/>
                      <w:sz w:val="52"/>
                      <w:szCs w:val="52"/>
                    </w:rPr>
                    <w:t>横山县天云煤矿有限公司天云煤矿</w:t>
                  </w:r>
                </w:p>
                <w:p w:rsidR="00BB1CC7" w:rsidRDefault="00BB1CC7">
                  <w:pPr>
                    <w:jc w:val="center"/>
                    <w:rPr>
                      <w:b/>
                      <w:kern w:val="0"/>
                      <w:sz w:val="52"/>
                      <w:szCs w:val="52"/>
                    </w:rPr>
                  </w:pPr>
                  <w:r>
                    <w:rPr>
                      <w:rFonts w:hAnsi="宋体"/>
                      <w:b/>
                      <w:kern w:val="0"/>
                      <w:sz w:val="52"/>
                      <w:szCs w:val="52"/>
                    </w:rPr>
                    <w:t>资源整合项目（</w:t>
                  </w:r>
                  <w:r>
                    <w:rPr>
                      <w:b/>
                      <w:kern w:val="0"/>
                      <w:sz w:val="52"/>
                      <w:szCs w:val="52"/>
                    </w:rPr>
                    <w:t>0.90Mt/a</w:t>
                  </w:r>
                  <w:r>
                    <w:rPr>
                      <w:rFonts w:hAnsi="宋体"/>
                      <w:b/>
                      <w:kern w:val="0"/>
                      <w:sz w:val="52"/>
                      <w:szCs w:val="52"/>
                    </w:rPr>
                    <w:t>）</w:t>
                  </w:r>
                </w:p>
                <w:p w:rsidR="00BB1CC7" w:rsidRDefault="00BB1CC7">
                  <w:pPr>
                    <w:jc w:val="center"/>
                    <w:rPr>
                      <w:rFonts w:ascii="黑体" w:eastAsia="黑体" w:hAnsi="黑体"/>
                      <w:b/>
                      <w:w w:val="58"/>
                      <w:kern w:val="21"/>
                      <w:sz w:val="84"/>
                      <w:szCs w:val="84"/>
                    </w:rPr>
                  </w:pPr>
                  <w:r>
                    <w:rPr>
                      <w:rFonts w:ascii="黑体" w:eastAsia="黑体" w:hAnsi="宋体" w:hint="eastAsia"/>
                      <w:b/>
                      <w:kern w:val="48"/>
                      <w:sz w:val="84"/>
                      <w:szCs w:val="84"/>
                    </w:rPr>
                    <w:t>环境影响报告书</w:t>
                  </w:r>
                </w:p>
                <w:p w:rsidR="00BB1CC7" w:rsidRDefault="00BB1CC7">
                  <w:pPr>
                    <w:jc w:val="center"/>
                    <w:rPr>
                      <w:rFonts w:ascii="黑体" w:eastAsia="黑体" w:hAnsi="黑体"/>
                      <w:b/>
                      <w:w w:val="58"/>
                      <w:kern w:val="21"/>
                      <w:sz w:val="84"/>
                      <w:szCs w:val="84"/>
                    </w:rPr>
                  </w:pPr>
                </w:p>
              </w:txbxContent>
            </v:textbox>
            <w10:wrap anchorx="margin" anchory="margin"/>
          </v:rect>
        </w:pict>
      </w:r>
    </w:p>
    <w:p w:rsidR="00C223F5" w:rsidRDefault="00C223F5">
      <w:pPr>
        <w:spacing w:line="360" w:lineRule="auto"/>
        <w:jc w:val="center"/>
        <w:rPr>
          <w:color w:val="FF0000"/>
          <w:sz w:val="41"/>
        </w:rPr>
      </w:pPr>
    </w:p>
    <w:p w:rsidR="00C223F5" w:rsidRDefault="00C223F5">
      <w:pPr>
        <w:spacing w:line="360" w:lineRule="auto"/>
        <w:rPr>
          <w:color w:val="FF0000"/>
          <w:sz w:val="41"/>
        </w:rPr>
      </w:pPr>
    </w:p>
    <w:p w:rsidR="00C223F5" w:rsidRDefault="00C223F5">
      <w:pPr>
        <w:spacing w:line="360" w:lineRule="auto"/>
        <w:rPr>
          <w:color w:val="FF0000"/>
          <w:sz w:val="41"/>
        </w:rPr>
      </w:pPr>
    </w:p>
    <w:p w:rsidR="00C223F5" w:rsidRDefault="00C223F5">
      <w:pPr>
        <w:widowControl/>
        <w:spacing w:line="360" w:lineRule="auto"/>
        <w:jc w:val="left"/>
        <w:rPr>
          <w:rFonts w:eastAsia="仿宋_GB2312"/>
          <w:color w:val="FF0000"/>
        </w:rPr>
      </w:pPr>
    </w:p>
    <w:p w:rsidR="00C223F5" w:rsidRDefault="00C223F5">
      <w:pPr>
        <w:widowControl/>
        <w:spacing w:line="360" w:lineRule="auto"/>
        <w:jc w:val="left"/>
        <w:rPr>
          <w:rFonts w:eastAsia="仿宋_GB2312"/>
          <w:color w:val="FF0000"/>
        </w:rPr>
      </w:pPr>
    </w:p>
    <w:p w:rsidR="00C223F5" w:rsidRDefault="00C223F5">
      <w:pPr>
        <w:widowControl/>
        <w:spacing w:line="360" w:lineRule="auto"/>
        <w:jc w:val="left"/>
        <w:rPr>
          <w:rFonts w:eastAsia="仿宋_GB2312"/>
          <w:color w:val="FF0000"/>
        </w:rPr>
      </w:pPr>
    </w:p>
    <w:p w:rsidR="00C223F5" w:rsidRDefault="00C223F5">
      <w:pPr>
        <w:widowControl/>
        <w:spacing w:line="360" w:lineRule="auto"/>
        <w:jc w:val="left"/>
        <w:rPr>
          <w:rFonts w:eastAsia="仿宋_GB2312"/>
          <w:color w:val="FF0000"/>
        </w:rPr>
      </w:pPr>
    </w:p>
    <w:p w:rsidR="00C223F5" w:rsidRDefault="00C223F5">
      <w:pPr>
        <w:widowControl/>
        <w:spacing w:line="360" w:lineRule="auto"/>
        <w:jc w:val="left"/>
        <w:rPr>
          <w:rFonts w:eastAsia="仿宋_GB2312"/>
          <w:color w:val="FF0000"/>
        </w:rPr>
      </w:pPr>
    </w:p>
    <w:p w:rsidR="00C223F5" w:rsidRDefault="00C223F5">
      <w:pPr>
        <w:widowControl/>
        <w:spacing w:line="360" w:lineRule="auto"/>
        <w:jc w:val="left"/>
        <w:rPr>
          <w:rFonts w:eastAsia="仿宋_GB2312"/>
          <w:color w:val="FF0000"/>
        </w:rPr>
      </w:pPr>
    </w:p>
    <w:p w:rsidR="00C223F5" w:rsidRDefault="00C223F5">
      <w:pPr>
        <w:widowControl/>
        <w:spacing w:line="360" w:lineRule="auto"/>
        <w:jc w:val="left"/>
        <w:rPr>
          <w:rFonts w:eastAsia="仿宋_GB2312"/>
          <w:color w:val="FF0000"/>
        </w:rPr>
      </w:pPr>
    </w:p>
    <w:p w:rsidR="00C223F5" w:rsidRDefault="00C223F5">
      <w:pPr>
        <w:widowControl/>
        <w:spacing w:line="360" w:lineRule="auto"/>
        <w:jc w:val="left"/>
        <w:rPr>
          <w:rFonts w:eastAsia="仿宋_GB2312"/>
          <w:color w:val="FF0000"/>
        </w:rPr>
      </w:pPr>
    </w:p>
    <w:p w:rsidR="00C223F5" w:rsidRDefault="00C223F5">
      <w:pPr>
        <w:widowControl/>
        <w:spacing w:line="360" w:lineRule="auto"/>
        <w:jc w:val="left"/>
        <w:rPr>
          <w:rFonts w:eastAsia="仿宋_GB2312"/>
          <w:color w:val="FF0000"/>
        </w:rPr>
      </w:pPr>
    </w:p>
    <w:p w:rsidR="00C223F5" w:rsidRDefault="00C223F5">
      <w:pPr>
        <w:widowControl/>
        <w:spacing w:line="360" w:lineRule="auto"/>
        <w:jc w:val="left"/>
        <w:rPr>
          <w:rFonts w:eastAsia="仿宋_GB2312"/>
          <w:color w:val="FF0000"/>
        </w:rPr>
      </w:pPr>
    </w:p>
    <w:p w:rsidR="00C223F5" w:rsidRDefault="00C223F5">
      <w:pPr>
        <w:widowControl/>
        <w:spacing w:line="360" w:lineRule="auto"/>
        <w:jc w:val="left"/>
        <w:rPr>
          <w:rFonts w:eastAsia="仿宋_GB2312"/>
          <w:color w:val="FF0000"/>
        </w:rPr>
      </w:pPr>
    </w:p>
    <w:p w:rsidR="00C223F5" w:rsidRDefault="00C223F5" w:rsidP="00AF1B07">
      <w:pPr>
        <w:widowControl/>
        <w:jc w:val="left"/>
        <w:rPr>
          <w:rFonts w:eastAsia="仿宋_GB2312"/>
          <w:color w:val="FF0000"/>
        </w:rPr>
      </w:pPr>
    </w:p>
    <w:p w:rsidR="00C223F5" w:rsidRPr="00231945" w:rsidRDefault="00231945" w:rsidP="002146AC">
      <w:pPr>
        <w:widowControl/>
        <w:spacing w:line="360" w:lineRule="auto"/>
        <w:jc w:val="center"/>
        <w:rPr>
          <w:rFonts w:eastAsia="黑体"/>
          <w:b/>
          <w:sz w:val="36"/>
          <w:szCs w:val="36"/>
        </w:rPr>
      </w:pPr>
      <w:r w:rsidRPr="00231945">
        <w:rPr>
          <w:rFonts w:eastAsia="黑体" w:hint="eastAsia"/>
          <w:b/>
          <w:sz w:val="36"/>
          <w:szCs w:val="36"/>
        </w:rPr>
        <w:t>建设单位：</w:t>
      </w:r>
      <w:r w:rsidR="00AF1B07" w:rsidRPr="00231945">
        <w:rPr>
          <w:rFonts w:eastAsia="黑体" w:hint="eastAsia"/>
          <w:b/>
          <w:sz w:val="36"/>
          <w:szCs w:val="36"/>
        </w:rPr>
        <w:t>横山县天云煤矿有限公司</w:t>
      </w:r>
    </w:p>
    <w:p w:rsidR="00C223F5" w:rsidRPr="00231945" w:rsidRDefault="00231945" w:rsidP="004835BD">
      <w:pPr>
        <w:spacing w:beforeLines="50" w:before="156" w:line="360" w:lineRule="auto"/>
        <w:jc w:val="center"/>
        <w:rPr>
          <w:rFonts w:eastAsia="黑体"/>
          <w:b/>
          <w:sz w:val="36"/>
          <w:szCs w:val="36"/>
        </w:rPr>
      </w:pPr>
      <w:r w:rsidRPr="00231945">
        <w:rPr>
          <w:rFonts w:eastAsia="黑体" w:hint="eastAsia"/>
          <w:b/>
          <w:sz w:val="36"/>
          <w:szCs w:val="36"/>
        </w:rPr>
        <w:t>环评单位：</w:t>
      </w:r>
      <w:r w:rsidR="005860D5" w:rsidRPr="00231945">
        <w:rPr>
          <w:rFonts w:eastAsia="黑体" w:hint="eastAsia"/>
          <w:b/>
          <w:sz w:val="36"/>
          <w:szCs w:val="36"/>
        </w:rPr>
        <w:t>中煤科工集团</w:t>
      </w:r>
      <w:r w:rsidR="005860D5" w:rsidRPr="00231945">
        <w:rPr>
          <w:rFonts w:eastAsia="黑体"/>
          <w:b/>
          <w:sz w:val="36"/>
          <w:szCs w:val="36"/>
        </w:rPr>
        <w:t>西安研究院</w:t>
      </w:r>
      <w:r w:rsidR="005860D5" w:rsidRPr="00231945">
        <w:rPr>
          <w:rFonts w:eastAsia="黑体" w:hint="eastAsia"/>
          <w:b/>
          <w:sz w:val="36"/>
          <w:szCs w:val="36"/>
        </w:rPr>
        <w:t>有限公司</w:t>
      </w:r>
    </w:p>
    <w:p w:rsidR="00C223F5" w:rsidRPr="00231945" w:rsidRDefault="005860D5" w:rsidP="002146AC">
      <w:pPr>
        <w:spacing w:line="360" w:lineRule="auto"/>
        <w:jc w:val="center"/>
        <w:rPr>
          <w:rFonts w:eastAsia="仿宋_GB2312"/>
          <w:sz w:val="36"/>
          <w:szCs w:val="36"/>
        </w:rPr>
      </w:pPr>
      <w:r w:rsidRPr="00231945">
        <w:rPr>
          <w:rFonts w:eastAsia="黑体"/>
          <w:b/>
          <w:sz w:val="36"/>
          <w:szCs w:val="36"/>
        </w:rPr>
        <w:t xml:space="preserve"> </w:t>
      </w:r>
      <w:r w:rsidRPr="00231945">
        <w:rPr>
          <w:rFonts w:eastAsia="黑体"/>
          <w:b/>
          <w:sz w:val="36"/>
          <w:szCs w:val="36"/>
        </w:rPr>
        <w:t>二</w:t>
      </w:r>
      <w:r w:rsidRPr="00231945">
        <w:rPr>
          <w:rFonts w:eastAsia="黑体"/>
          <w:b/>
          <w:sz w:val="36"/>
          <w:szCs w:val="36"/>
        </w:rPr>
        <w:t>O</w:t>
      </w:r>
      <w:r w:rsidRPr="00231945">
        <w:rPr>
          <w:rFonts w:eastAsia="黑体" w:hint="eastAsia"/>
          <w:b/>
          <w:sz w:val="36"/>
          <w:szCs w:val="36"/>
        </w:rPr>
        <w:t>一九</w:t>
      </w:r>
      <w:r w:rsidRPr="00231945">
        <w:rPr>
          <w:rFonts w:eastAsia="黑体"/>
          <w:b/>
          <w:sz w:val="36"/>
          <w:szCs w:val="36"/>
        </w:rPr>
        <w:t>年</w:t>
      </w:r>
      <w:r w:rsidR="00A96BBC">
        <w:rPr>
          <w:rFonts w:eastAsia="黑体" w:hint="eastAsia"/>
          <w:b/>
          <w:sz w:val="36"/>
          <w:szCs w:val="36"/>
        </w:rPr>
        <w:t>九</w:t>
      </w:r>
      <w:r w:rsidRPr="00231945">
        <w:rPr>
          <w:rFonts w:eastAsia="黑体"/>
          <w:b/>
          <w:sz w:val="36"/>
          <w:szCs w:val="36"/>
        </w:rPr>
        <w:t>月</w:t>
      </w: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w w:val="80"/>
          <w:sz w:val="36"/>
          <w:szCs w:val="36"/>
        </w:rPr>
      </w:pPr>
    </w:p>
    <w:p w:rsidR="00C223F5" w:rsidRDefault="00C223F5">
      <w:pPr>
        <w:spacing w:line="360" w:lineRule="auto"/>
        <w:jc w:val="center"/>
        <w:rPr>
          <w:b/>
          <w:color w:val="FF0000"/>
          <w:sz w:val="36"/>
          <w:szCs w:val="36"/>
        </w:rPr>
      </w:pPr>
    </w:p>
    <w:p w:rsidR="00C223F5" w:rsidRDefault="00C223F5">
      <w:pPr>
        <w:spacing w:line="360" w:lineRule="auto"/>
        <w:jc w:val="center"/>
        <w:rPr>
          <w:b/>
          <w:color w:val="FF0000"/>
          <w:sz w:val="36"/>
          <w:szCs w:val="36"/>
        </w:rPr>
      </w:pPr>
    </w:p>
    <w:p w:rsidR="00C223F5" w:rsidRDefault="00C223F5">
      <w:pPr>
        <w:spacing w:line="360" w:lineRule="auto"/>
        <w:ind w:firstLine="480"/>
        <w:rPr>
          <w:color w:val="FF0000"/>
        </w:rPr>
        <w:sectPr w:rsidR="00C223F5">
          <w:headerReference w:type="default" r:id="rId10"/>
          <w:footerReference w:type="even" r:id="rId11"/>
          <w:pgSz w:w="11906" w:h="16838"/>
          <w:pgMar w:top="1440" w:right="1797" w:bottom="1440" w:left="1797" w:header="851" w:footer="992" w:gutter="0"/>
          <w:pgNumType w:start="1"/>
          <w:cols w:space="425"/>
          <w:docGrid w:type="lines" w:linePitch="312"/>
        </w:sectPr>
      </w:pPr>
    </w:p>
    <w:sdt>
      <w:sdtPr>
        <w:rPr>
          <w:rFonts w:ascii="Times New Roman" w:eastAsia="黑体" w:hAnsi="Times New Roman"/>
          <w:b w:val="0"/>
          <w:bCs w:val="0"/>
          <w:caps/>
          <w:smallCaps/>
          <w:color w:val="auto"/>
          <w:kern w:val="2"/>
          <w:sz w:val="30"/>
          <w:szCs w:val="30"/>
          <w:lang w:val="zh-CN"/>
        </w:rPr>
        <w:id w:val="25855848"/>
        <w:docPartObj>
          <w:docPartGallery w:val="Table of Contents"/>
          <w:docPartUnique/>
        </w:docPartObj>
      </w:sdtPr>
      <w:sdtEndPr>
        <w:rPr>
          <w:rFonts w:ascii="黑体"/>
          <w:b/>
          <w:bCs/>
          <w:smallCaps w:val="0"/>
          <w:lang w:val="en-US"/>
        </w:rPr>
      </w:sdtEndPr>
      <w:sdtContent>
        <w:p w:rsidR="00C223F5" w:rsidRDefault="005860D5">
          <w:pPr>
            <w:pStyle w:val="TOC10"/>
            <w:spacing w:before="0"/>
            <w:jc w:val="center"/>
          </w:pPr>
          <w:r>
            <w:rPr>
              <w:color w:val="auto"/>
              <w:sz w:val="32"/>
              <w:szCs w:val="32"/>
              <w:lang w:val="zh-CN"/>
            </w:rPr>
            <w:t>目</w:t>
          </w:r>
          <w:r w:rsidR="00C53125">
            <w:rPr>
              <w:rFonts w:hint="eastAsia"/>
              <w:color w:val="auto"/>
              <w:sz w:val="32"/>
              <w:szCs w:val="32"/>
              <w:lang w:val="zh-CN"/>
            </w:rPr>
            <w:t xml:space="preserve">   </w:t>
          </w:r>
          <w:r>
            <w:rPr>
              <w:color w:val="auto"/>
              <w:sz w:val="32"/>
              <w:szCs w:val="32"/>
              <w:lang w:val="zh-CN"/>
            </w:rPr>
            <w:t>录</w:t>
          </w:r>
        </w:p>
        <w:p w:rsidR="00C006A7" w:rsidRPr="00C006A7" w:rsidRDefault="000F32AE" w:rsidP="00C006A7">
          <w:pPr>
            <w:pStyle w:val="TOC1"/>
            <w:tabs>
              <w:tab w:val="clear" w:pos="8302"/>
              <w:tab w:val="right" w:leader="dot" w:pos="9060"/>
            </w:tabs>
            <w:spacing w:before="60" w:after="60" w:line="240" w:lineRule="auto"/>
            <w:jc w:val="left"/>
            <w:rPr>
              <w:rFonts w:ascii="Times New Roman" w:eastAsiaTheme="minorEastAsia"/>
              <w:noProof/>
              <w:sz w:val="28"/>
              <w:szCs w:val="28"/>
            </w:rPr>
          </w:pPr>
          <w:r>
            <w:rPr>
              <w:rFonts w:asciiTheme="minorEastAsia" w:eastAsiaTheme="minorEastAsia" w:hAnsiTheme="minorEastAsia"/>
              <w:sz w:val="28"/>
              <w:szCs w:val="28"/>
            </w:rPr>
            <w:fldChar w:fldCharType="begin"/>
          </w:r>
          <w:r w:rsidR="005860D5">
            <w:rPr>
              <w:rFonts w:asciiTheme="minorEastAsia" w:eastAsiaTheme="minorEastAsia" w:hAnsiTheme="minorEastAsia"/>
              <w:sz w:val="28"/>
              <w:szCs w:val="28"/>
            </w:rPr>
            <w:instrText xml:space="preserve"> TOC \o "1-3" \h \z \u </w:instrText>
          </w:r>
          <w:r>
            <w:rPr>
              <w:rFonts w:asciiTheme="minorEastAsia" w:eastAsiaTheme="minorEastAsia" w:hAnsiTheme="minorEastAsia"/>
              <w:sz w:val="28"/>
              <w:szCs w:val="28"/>
            </w:rPr>
            <w:fldChar w:fldCharType="separate"/>
          </w:r>
          <w:hyperlink w:anchor="_Toc16785221" w:history="1">
            <w:r w:rsidR="00C006A7" w:rsidRPr="00C006A7">
              <w:rPr>
                <w:rFonts w:ascii="Times New Roman" w:eastAsiaTheme="minorEastAsia"/>
                <w:noProof/>
                <w:sz w:val="28"/>
                <w:szCs w:val="28"/>
              </w:rPr>
              <w:t>概</w:t>
            </w:r>
            <w:r w:rsidR="00C006A7" w:rsidRPr="00C006A7">
              <w:rPr>
                <w:rFonts w:ascii="Times New Roman" w:eastAsiaTheme="minorEastAsia"/>
                <w:noProof/>
                <w:sz w:val="28"/>
                <w:szCs w:val="28"/>
              </w:rPr>
              <w:t xml:space="preserve">   </w:t>
            </w:r>
            <w:r w:rsidR="00C006A7" w:rsidRPr="00C006A7">
              <w:rPr>
                <w:rFonts w:ascii="Times New Roman" w:eastAsiaTheme="minorEastAsia"/>
                <w:noProof/>
                <w:sz w:val="28"/>
                <w:szCs w:val="28"/>
              </w:rPr>
              <w:t>述</w:t>
            </w:r>
            <w:r w:rsidR="00C006A7" w:rsidRPr="00C006A7">
              <w:rPr>
                <w:rFonts w:ascii="Times New Roman" w:eastAsiaTheme="minorEastAsia"/>
                <w:noProof/>
                <w:webHidden/>
                <w:sz w:val="28"/>
                <w:szCs w:val="28"/>
              </w:rPr>
              <w:tab/>
            </w:r>
            <w:r w:rsidR="00C006A7" w:rsidRPr="00C006A7">
              <w:rPr>
                <w:rFonts w:ascii="Times New Roman" w:eastAsiaTheme="minorEastAsia"/>
                <w:noProof/>
                <w:webHidden/>
                <w:sz w:val="28"/>
                <w:szCs w:val="28"/>
              </w:rPr>
              <w:fldChar w:fldCharType="begin"/>
            </w:r>
            <w:r w:rsidR="00C006A7" w:rsidRPr="00C006A7">
              <w:rPr>
                <w:rFonts w:ascii="Times New Roman" w:eastAsiaTheme="minorEastAsia"/>
                <w:noProof/>
                <w:webHidden/>
                <w:sz w:val="28"/>
                <w:szCs w:val="28"/>
              </w:rPr>
              <w:instrText xml:space="preserve"> PAGEREF _Toc16785221 \h </w:instrText>
            </w:r>
            <w:r w:rsidR="00C006A7" w:rsidRPr="00C006A7">
              <w:rPr>
                <w:rFonts w:ascii="Times New Roman" w:eastAsiaTheme="minorEastAsia"/>
                <w:noProof/>
                <w:webHidden/>
                <w:sz w:val="28"/>
                <w:szCs w:val="28"/>
              </w:rPr>
            </w:r>
            <w:r w:rsidR="00C006A7" w:rsidRPr="00C006A7">
              <w:rPr>
                <w:rFonts w:ascii="Times New Roman" w:eastAsiaTheme="minorEastAsia"/>
                <w:noProof/>
                <w:webHidden/>
                <w:sz w:val="28"/>
                <w:szCs w:val="28"/>
              </w:rPr>
              <w:fldChar w:fldCharType="separate"/>
            </w:r>
            <w:r w:rsidR="00A96BBC">
              <w:rPr>
                <w:rFonts w:ascii="Times New Roman" w:eastAsiaTheme="minorEastAsia"/>
                <w:noProof/>
                <w:webHidden/>
                <w:sz w:val="28"/>
                <w:szCs w:val="28"/>
              </w:rPr>
              <w:t>1</w:t>
            </w:r>
            <w:r w:rsidR="00C006A7" w:rsidRPr="00C006A7">
              <w:rPr>
                <w:rFonts w:ascii="Times New Roman" w:eastAsiaTheme="minorEastAsia"/>
                <w:noProof/>
                <w:webHidden/>
                <w:sz w:val="28"/>
                <w:szCs w:val="28"/>
              </w:rPr>
              <w:fldChar w:fldCharType="end"/>
            </w:r>
          </w:hyperlink>
        </w:p>
        <w:p w:rsidR="00C006A7" w:rsidRPr="00C006A7" w:rsidRDefault="003761EF" w:rsidP="00C006A7">
          <w:pPr>
            <w:pStyle w:val="TOC1"/>
            <w:tabs>
              <w:tab w:val="clear" w:pos="8302"/>
              <w:tab w:val="right" w:leader="dot" w:pos="9060"/>
            </w:tabs>
            <w:spacing w:before="60" w:after="60" w:line="240" w:lineRule="auto"/>
            <w:jc w:val="left"/>
            <w:rPr>
              <w:rFonts w:ascii="Times New Roman" w:eastAsiaTheme="minorEastAsia"/>
              <w:noProof/>
              <w:sz w:val="28"/>
              <w:szCs w:val="28"/>
            </w:rPr>
          </w:pPr>
          <w:hyperlink w:anchor="_Toc16785222" w:history="1">
            <w:r w:rsidR="00C006A7" w:rsidRPr="00C006A7">
              <w:rPr>
                <w:rFonts w:ascii="Times New Roman" w:eastAsiaTheme="minorEastAsia"/>
                <w:noProof/>
                <w:sz w:val="28"/>
                <w:szCs w:val="28"/>
              </w:rPr>
              <w:t>1</w:t>
            </w:r>
            <w:r w:rsidR="00C006A7" w:rsidRPr="00C006A7">
              <w:rPr>
                <w:rFonts w:ascii="Times New Roman" w:eastAsiaTheme="minorEastAsia"/>
                <w:noProof/>
                <w:sz w:val="28"/>
                <w:szCs w:val="28"/>
              </w:rPr>
              <w:t>、总则</w:t>
            </w:r>
            <w:r w:rsidR="00C006A7" w:rsidRPr="00C006A7">
              <w:rPr>
                <w:rFonts w:ascii="Times New Roman" w:eastAsiaTheme="minorEastAsia"/>
                <w:noProof/>
                <w:webHidden/>
                <w:sz w:val="28"/>
                <w:szCs w:val="28"/>
              </w:rPr>
              <w:tab/>
            </w:r>
            <w:r w:rsidR="00C006A7" w:rsidRPr="00C006A7">
              <w:rPr>
                <w:rFonts w:ascii="Times New Roman" w:eastAsiaTheme="minorEastAsia"/>
                <w:noProof/>
                <w:webHidden/>
                <w:sz w:val="28"/>
                <w:szCs w:val="28"/>
              </w:rPr>
              <w:fldChar w:fldCharType="begin"/>
            </w:r>
            <w:r w:rsidR="00C006A7" w:rsidRPr="00C006A7">
              <w:rPr>
                <w:rFonts w:ascii="Times New Roman" w:eastAsiaTheme="minorEastAsia"/>
                <w:noProof/>
                <w:webHidden/>
                <w:sz w:val="28"/>
                <w:szCs w:val="28"/>
              </w:rPr>
              <w:instrText xml:space="preserve"> PAGEREF _Toc16785222 \h </w:instrText>
            </w:r>
            <w:r w:rsidR="00C006A7" w:rsidRPr="00C006A7">
              <w:rPr>
                <w:rFonts w:ascii="Times New Roman" w:eastAsiaTheme="minorEastAsia"/>
                <w:noProof/>
                <w:webHidden/>
                <w:sz w:val="28"/>
                <w:szCs w:val="28"/>
              </w:rPr>
            </w:r>
            <w:r w:rsidR="00C006A7" w:rsidRPr="00C006A7">
              <w:rPr>
                <w:rFonts w:ascii="Times New Roman" w:eastAsiaTheme="minorEastAsia"/>
                <w:noProof/>
                <w:webHidden/>
                <w:sz w:val="28"/>
                <w:szCs w:val="28"/>
              </w:rPr>
              <w:fldChar w:fldCharType="separate"/>
            </w:r>
            <w:r w:rsidR="00A96BBC">
              <w:rPr>
                <w:rFonts w:ascii="Times New Roman" w:eastAsiaTheme="minorEastAsia"/>
                <w:noProof/>
                <w:webHidden/>
                <w:sz w:val="28"/>
                <w:szCs w:val="28"/>
              </w:rPr>
              <w:t>15</w:t>
            </w:r>
            <w:r w:rsidR="00C006A7" w:rsidRPr="00C006A7">
              <w:rPr>
                <w:rFonts w:ascii="Times New Roman" w:eastAsiaTheme="minorEastAsia"/>
                <w:noProof/>
                <w:webHidden/>
                <w:sz w:val="28"/>
                <w:szCs w:val="28"/>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23" w:history="1">
            <w:r w:rsidR="00C006A7" w:rsidRPr="00C006A7">
              <w:rPr>
                <w:rFonts w:ascii="Times New Roman" w:eastAsiaTheme="minorEastAsia"/>
                <w:noProof/>
                <w:sz w:val="24"/>
                <w:szCs w:val="24"/>
              </w:rPr>
              <w:t>1.1</w:t>
            </w:r>
            <w:r w:rsidR="00C006A7" w:rsidRPr="00C006A7">
              <w:rPr>
                <w:rFonts w:ascii="Times New Roman" w:eastAsiaTheme="minorEastAsia"/>
                <w:noProof/>
                <w:sz w:val="24"/>
                <w:szCs w:val="24"/>
              </w:rPr>
              <w:t>编制依据</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_Toc16785223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15</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24" w:history="1">
            <w:r w:rsidR="00C006A7" w:rsidRPr="00C006A7">
              <w:rPr>
                <w:rFonts w:ascii="Times New Roman" w:eastAsiaTheme="minorEastAsia"/>
                <w:b w:val="0"/>
                <w:noProof/>
                <w:sz w:val="24"/>
                <w:szCs w:val="24"/>
              </w:rPr>
              <w:t>1.1.1</w:t>
            </w:r>
            <w:r w:rsidR="00C006A7" w:rsidRPr="00C006A7">
              <w:rPr>
                <w:rFonts w:ascii="Times New Roman" w:eastAsiaTheme="minorEastAsia" w:hAnsiTheme="minorEastAsia"/>
                <w:b w:val="0"/>
                <w:noProof/>
                <w:sz w:val="24"/>
                <w:szCs w:val="24"/>
              </w:rPr>
              <w:t>委托书</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_Toc16785224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15</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25" w:history="1">
            <w:r w:rsidR="00C006A7" w:rsidRPr="00C006A7">
              <w:rPr>
                <w:rFonts w:ascii="Times New Roman" w:eastAsiaTheme="minorEastAsia"/>
                <w:b w:val="0"/>
                <w:noProof/>
                <w:sz w:val="24"/>
                <w:szCs w:val="24"/>
              </w:rPr>
              <w:t>1.1.2</w:t>
            </w:r>
            <w:r w:rsidR="00C006A7" w:rsidRPr="00C006A7">
              <w:rPr>
                <w:rFonts w:ascii="Times New Roman" w:eastAsiaTheme="minorEastAsia" w:hAnsiTheme="minorEastAsia"/>
                <w:b w:val="0"/>
                <w:noProof/>
                <w:sz w:val="24"/>
                <w:szCs w:val="24"/>
              </w:rPr>
              <w:t>国家有关法规、规划</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_Toc16785225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15</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26" w:history="1">
            <w:r w:rsidR="00C006A7" w:rsidRPr="00C006A7">
              <w:rPr>
                <w:rFonts w:ascii="Times New Roman" w:eastAsiaTheme="minorEastAsia"/>
                <w:b w:val="0"/>
                <w:noProof/>
                <w:sz w:val="24"/>
                <w:szCs w:val="24"/>
              </w:rPr>
              <w:t>1.1.3</w:t>
            </w:r>
            <w:r w:rsidR="00C006A7" w:rsidRPr="00C006A7">
              <w:rPr>
                <w:rFonts w:ascii="Times New Roman" w:eastAsiaTheme="minorEastAsia" w:hAnsiTheme="minorEastAsia"/>
                <w:b w:val="0"/>
                <w:noProof/>
                <w:sz w:val="24"/>
                <w:szCs w:val="24"/>
              </w:rPr>
              <w:t>地方政府规章、规范性文件及规划</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_Toc16785226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16</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27" w:history="1">
            <w:r w:rsidR="00C006A7" w:rsidRPr="00C006A7">
              <w:rPr>
                <w:rFonts w:ascii="Times New Roman" w:eastAsiaTheme="minorEastAsia"/>
                <w:b w:val="0"/>
                <w:noProof/>
                <w:sz w:val="24"/>
                <w:szCs w:val="24"/>
              </w:rPr>
              <w:t>1.1.4</w:t>
            </w:r>
            <w:r w:rsidR="00C006A7" w:rsidRPr="00C006A7">
              <w:rPr>
                <w:rFonts w:ascii="Times New Roman" w:eastAsiaTheme="minorEastAsia" w:hAnsiTheme="minorEastAsia"/>
                <w:b w:val="0"/>
                <w:noProof/>
                <w:sz w:val="24"/>
                <w:szCs w:val="24"/>
              </w:rPr>
              <w:t>技术规范及要求</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_Toc16785227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18</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28" w:history="1">
            <w:r w:rsidR="00C006A7" w:rsidRPr="00C006A7">
              <w:rPr>
                <w:rFonts w:ascii="Times New Roman" w:eastAsiaTheme="minorEastAsia"/>
                <w:b w:val="0"/>
                <w:noProof/>
                <w:sz w:val="24"/>
                <w:szCs w:val="24"/>
              </w:rPr>
              <w:t>1.1.5</w:t>
            </w:r>
            <w:r w:rsidR="00C006A7" w:rsidRPr="00C006A7">
              <w:rPr>
                <w:rFonts w:ascii="Times New Roman" w:eastAsiaTheme="minorEastAsia" w:hAnsiTheme="minorEastAsia"/>
                <w:b w:val="0"/>
                <w:noProof/>
                <w:sz w:val="24"/>
                <w:szCs w:val="24"/>
              </w:rPr>
              <w:t>技术资料</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_Toc16785228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18</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29" w:history="1">
            <w:r w:rsidR="00C006A7" w:rsidRPr="00C006A7">
              <w:rPr>
                <w:rFonts w:ascii="Times New Roman" w:eastAsiaTheme="minorEastAsia"/>
                <w:noProof/>
                <w:sz w:val="24"/>
                <w:szCs w:val="24"/>
              </w:rPr>
              <w:t>1.2</w:t>
            </w:r>
            <w:r w:rsidR="00C006A7" w:rsidRPr="00C006A7">
              <w:rPr>
                <w:rFonts w:ascii="Times New Roman" w:eastAsiaTheme="minorEastAsia"/>
                <w:noProof/>
                <w:sz w:val="24"/>
                <w:szCs w:val="24"/>
              </w:rPr>
              <w:t>评价目的、原则及时段</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_Toc16785229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19</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30" w:history="1">
            <w:r w:rsidR="00C006A7" w:rsidRPr="00C006A7">
              <w:rPr>
                <w:rFonts w:ascii="Times New Roman" w:eastAsiaTheme="minorEastAsia"/>
                <w:b w:val="0"/>
                <w:noProof/>
                <w:sz w:val="24"/>
                <w:szCs w:val="24"/>
              </w:rPr>
              <w:t>1.2.1</w:t>
            </w:r>
            <w:r w:rsidR="00C006A7" w:rsidRPr="00C006A7">
              <w:rPr>
                <w:rFonts w:ascii="Times New Roman" w:eastAsiaTheme="minorEastAsia" w:hAnsiTheme="minorEastAsia"/>
                <w:b w:val="0"/>
                <w:noProof/>
                <w:sz w:val="24"/>
                <w:szCs w:val="24"/>
              </w:rPr>
              <w:t>评价目的</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_Toc16785230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31" w:history="1">
            <w:r w:rsidR="00C006A7" w:rsidRPr="00C006A7">
              <w:rPr>
                <w:rFonts w:ascii="Times New Roman" w:eastAsiaTheme="minorEastAsia"/>
                <w:b w:val="0"/>
                <w:noProof/>
                <w:sz w:val="24"/>
                <w:szCs w:val="24"/>
              </w:rPr>
              <w:t>1.2.2</w:t>
            </w:r>
            <w:r w:rsidR="00C006A7" w:rsidRPr="00C006A7">
              <w:rPr>
                <w:rFonts w:ascii="Times New Roman" w:eastAsiaTheme="minorEastAsia" w:hAnsiTheme="minorEastAsia"/>
                <w:b w:val="0"/>
                <w:noProof/>
                <w:sz w:val="24"/>
                <w:szCs w:val="24"/>
              </w:rPr>
              <w:t>评价原则</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_Toc16785231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32" w:history="1">
            <w:r w:rsidR="00C006A7" w:rsidRPr="00C006A7">
              <w:rPr>
                <w:rFonts w:ascii="Times New Roman" w:eastAsiaTheme="minorEastAsia"/>
                <w:b w:val="0"/>
                <w:noProof/>
                <w:sz w:val="24"/>
                <w:szCs w:val="24"/>
              </w:rPr>
              <w:t>1.2.3</w:t>
            </w:r>
            <w:r w:rsidR="00C006A7" w:rsidRPr="00C006A7">
              <w:rPr>
                <w:rFonts w:ascii="Times New Roman" w:eastAsiaTheme="minorEastAsia" w:hAnsiTheme="minorEastAsia"/>
                <w:b w:val="0"/>
                <w:noProof/>
                <w:sz w:val="24"/>
                <w:szCs w:val="24"/>
              </w:rPr>
              <w:t>评价时段</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_Toc16785232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33" w:history="1">
            <w:r w:rsidR="00C006A7" w:rsidRPr="00C006A7">
              <w:rPr>
                <w:rFonts w:ascii="Times New Roman" w:eastAsiaTheme="minorEastAsia"/>
                <w:noProof/>
                <w:sz w:val="24"/>
                <w:szCs w:val="24"/>
              </w:rPr>
              <w:t>1.3</w:t>
            </w:r>
            <w:r w:rsidR="00C006A7" w:rsidRPr="00C006A7">
              <w:rPr>
                <w:rFonts w:ascii="Times New Roman" w:eastAsiaTheme="minorEastAsia"/>
                <w:noProof/>
                <w:sz w:val="24"/>
                <w:szCs w:val="24"/>
              </w:rPr>
              <w:t>环境影响评价因子</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_Toc16785233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19</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34" w:history="1">
            <w:r w:rsidR="00C006A7" w:rsidRPr="00C006A7">
              <w:rPr>
                <w:rFonts w:ascii="Times New Roman" w:eastAsiaTheme="minorEastAsia"/>
                <w:noProof/>
                <w:sz w:val="24"/>
                <w:szCs w:val="24"/>
              </w:rPr>
              <w:t>1.4</w:t>
            </w:r>
            <w:r w:rsidR="00C006A7" w:rsidRPr="00C006A7">
              <w:rPr>
                <w:rFonts w:ascii="Times New Roman" w:eastAsiaTheme="minorEastAsia"/>
                <w:noProof/>
                <w:sz w:val="24"/>
                <w:szCs w:val="24"/>
              </w:rPr>
              <w:t>环境功能区划及评价标准</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_Toc16785234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20</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35" w:history="1">
            <w:r w:rsidR="00C006A7" w:rsidRPr="00C006A7">
              <w:rPr>
                <w:rFonts w:ascii="Times New Roman" w:eastAsiaTheme="minorEastAsia"/>
                <w:b w:val="0"/>
                <w:noProof/>
                <w:sz w:val="24"/>
                <w:szCs w:val="24"/>
              </w:rPr>
              <w:t>1.4.1</w:t>
            </w:r>
            <w:r w:rsidR="00C006A7" w:rsidRPr="00C006A7">
              <w:rPr>
                <w:rFonts w:ascii="Times New Roman" w:eastAsiaTheme="minorEastAsia" w:hAnsiTheme="minorEastAsia"/>
                <w:b w:val="0"/>
                <w:noProof/>
                <w:sz w:val="24"/>
                <w:szCs w:val="24"/>
              </w:rPr>
              <w:t>环境功能区划</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_Toc16785235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20</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36" w:history="1">
            <w:r w:rsidR="00C006A7" w:rsidRPr="00C006A7">
              <w:rPr>
                <w:rFonts w:ascii="Times New Roman" w:eastAsiaTheme="minorEastAsia"/>
                <w:b w:val="0"/>
                <w:noProof/>
                <w:sz w:val="24"/>
                <w:szCs w:val="24"/>
              </w:rPr>
              <w:t>1.4.2</w:t>
            </w:r>
            <w:r w:rsidR="00C006A7" w:rsidRPr="00C006A7">
              <w:rPr>
                <w:rFonts w:ascii="Times New Roman" w:eastAsiaTheme="minorEastAsia" w:hAnsiTheme="minorEastAsia"/>
                <w:b w:val="0"/>
                <w:noProof/>
                <w:sz w:val="24"/>
                <w:szCs w:val="24"/>
              </w:rPr>
              <w:t>评价标准</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_Toc16785236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21</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37" w:history="1">
            <w:r w:rsidR="00C006A7" w:rsidRPr="00C006A7">
              <w:rPr>
                <w:rFonts w:ascii="Times New Roman" w:eastAsiaTheme="minorEastAsia"/>
                <w:noProof/>
                <w:sz w:val="24"/>
                <w:szCs w:val="24"/>
              </w:rPr>
              <w:t>1.5</w:t>
            </w:r>
            <w:r w:rsidR="00C006A7" w:rsidRPr="00C006A7">
              <w:rPr>
                <w:rFonts w:ascii="Times New Roman" w:eastAsiaTheme="minorEastAsia"/>
                <w:noProof/>
                <w:sz w:val="24"/>
                <w:szCs w:val="24"/>
              </w:rPr>
              <w:t>评价工作等级、范围及重点</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_Toc16785237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22</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38" w:history="1">
            <w:r w:rsidR="00C006A7" w:rsidRPr="00C006A7">
              <w:rPr>
                <w:rFonts w:ascii="Times New Roman" w:eastAsiaTheme="minorEastAsia"/>
                <w:b w:val="0"/>
                <w:noProof/>
                <w:sz w:val="24"/>
                <w:szCs w:val="24"/>
              </w:rPr>
              <w:t>1.5.1</w:t>
            </w:r>
            <w:r w:rsidR="00C006A7" w:rsidRPr="00C006A7">
              <w:rPr>
                <w:rFonts w:ascii="Times New Roman" w:eastAsiaTheme="minorEastAsia" w:hAnsiTheme="minorEastAsia"/>
                <w:b w:val="0"/>
                <w:noProof/>
                <w:sz w:val="24"/>
                <w:szCs w:val="24"/>
              </w:rPr>
              <w:t>评价等级、范围</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_Toc16785238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22</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39" w:history="1">
            <w:r w:rsidR="00C006A7" w:rsidRPr="00C006A7">
              <w:rPr>
                <w:rFonts w:ascii="Times New Roman" w:eastAsiaTheme="minorEastAsia"/>
                <w:b w:val="0"/>
                <w:noProof/>
                <w:sz w:val="24"/>
                <w:szCs w:val="24"/>
              </w:rPr>
              <w:t>1.5.2</w:t>
            </w:r>
            <w:r w:rsidR="00C006A7" w:rsidRPr="00C006A7">
              <w:rPr>
                <w:rFonts w:ascii="Times New Roman" w:eastAsiaTheme="minorEastAsia" w:hAnsiTheme="minorEastAsia"/>
                <w:b w:val="0"/>
                <w:noProof/>
                <w:sz w:val="24"/>
                <w:szCs w:val="24"/>
              </w:rPr>
              <w:t>评价重点</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_Toc16785239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22</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40" w:history="1">
            <w:r w:rsidR="00C006A7" w:rsidRPr="00C006A7">
              <w:rPr>
                <w:rFonts w:ascii="Times New Roman" w:eastAsiaTheme="minorEastAsia"/>
                <w:noProof/>
                <w:sz w:val="24"/>
                <w:szCs w:val="24"/>
              </w:rPr>
              <w:t>1.6</w:t>
            </w:r>
            <w:r w:rsidR="00C006A7" w:rsidRPr="00C006A7">
              <w:rPr>
                <w:rFonts w:ascii="Times New Roman" w:eastAsiaTheme="minorEastAsia"/>
                <w:noProof/>
                <w:sz w:val="24"/>
                <w:szCs w:val="24"/>
              </w:rPr>
              <w:t>环境保护目标及污染控制内容</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_Toc16785240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22</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jc w:val="left"/>
            <w:rPr>
              <w:rFonts w:ascii="Times New Roman" w:eastAsiaTheme="minorEastAsia"/>
              <w:noProof/>
              <w:sz w:val="28"/>
              <w:szCs w:val="28"/>
            </w:rPr>
          </w:pPr>
          <w:hyperlink w:anchor="_Toc16785248" w:history="1">
            <w:r w:rsidR="00C006A7" w:rsidRPr="00C006A7">
              <w:rPr>
                <w:rFonts w:ascii="Times New Roman" w:eastAsiaTheme="minorEastAsia"/>
                <w:noProof/>
                <w:sz w:val="28"/>
                <w:szCs w:val="28"/>
              </w:rPr>
              <w:t>2</w:t>
            </w:r>
            <w:r w:rsidR="00C006A7" w:rsidRPr="00C006A7">
              <w:rPr>
                <w:rFonts w:ascii="Times New Roman" w:eastAsiaTheme="minorEastAsia"/>
                <w:noProof/>
                <w:sz w:val="28"/>
                <w:szCs w:val="28"/>
              </w:rPr>
              <w:t>、工程概况及工程分析</w:t>
            </w:r>
            <w:r w:rsidR="00C006A7" w:rsidRPr="00C006A7">
              <w:rPr>
                <w:rFonts w:ascii="Times New Roman" w:eastAsiaTheme="minorEastAsia"/>
                <w:noProof/>
                <w:webHidden/>
                <w:sz w:val="28"/>
                <w:szCs w:val="28"/>
              </w:rPr>
              <w:tab/>
            </w:r>
            <w:r w:rsidR="00C006A7" w:rsidRPr="00C006A7">
              <w:rPr>
                <w:rFonts w:ascii="Times New Roman" w:eastAsiaTheme="minorEastAsia"/>
                <w:noProof/>
                <w:webHidden/>
                <w:sz w:val="28"/>
                <w:szCs w:val="28"/>
              </w:rPr>
              <w:fldChar w:fldCharType="begin"/>
            </w:r>
            <w:r w:rsidR="00C006A7" w:rsidRPr="00C006A7">
              <w:rPr>
                <w:rFonts w:ascii="Times New Roman" w:eastAsiaTheme="minorEastAsia"/>
                <w:noProof/>
                <w:webHidden/>
                <w:sz w:val="28"/>
                <w:szCs w:val="28"/>
              </w:rPr>
              <w:instrText xml:space="preserve"> PAGEREF _Toc16785248 \h </w:instrText>
            </w:r>
            <w:r w:rsidR="00C006A7" w:rsidRPr="00C006A7">
              <w:rPr>
                <w:rFonts w:ascii="Times New Roman" w:eastAsiaTheme="minorEastAsia"/>
                <w:noProof/>
                <w:webHidden/>
                <w:sz w:val="28"/>
                <w:szCs w:val="28"/>
              </w:rPr>
            </w:r>
            <w:r w:rsidR="00C006A7" w:rsidRPr="00C006A7">
              <w:rPr>
                <w:rFonts w:ascii="Times New Roman" w:eastAsiaTheme="minorEastAsia"/>
                <w:noProof/>
                <w:webHidden/>
                <w:sz w:val="28"/>
                <w:szCs w:val="28"/>
              </w:rPr>
              <w:fldChar w:fldCharType="separate"/>
            </w:r>
            <w:r w:rsidR="00A96BBC">
              <w:rPr>
                <w:rFonts w:ascii="Times New Roman" w:eastAsiaTheme="minorEastAsia"/>
                <w:noProof/>
                <w:webHidden/>
                <w:sz w:val="28"/>
                <w:szCs w:val="28"/>
              </w:rPr>
              <w:t>27</w:t>
            </w:r>
            <w:r w:rsidR="00C006A7" w:rsidRPr="00C006A7">
              <w:rPr>
                <w:rFonts w:ascii="Times New Roman" w:eastAsiaTheme="minorEastAsia"/>
                <w:noProof/>
                <w:webHidden/>
                <w:sz w:val="28"/>
                <w:szCs w:val="28"/>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49" w:history="1">
            <w:r w:rsidR="00C006A7" w:rsidRPr="00C006A7">
              <w:rPr>
                <w:rFonts w:ascii="Times New Roman" w:eastAsiaTheme="minorEastAsia"/>
                <w:noProof/>
                <w:sz w:val="24"/>
                <w:szCs w:val="24"/>
              </w:rPr>
              <w:t>2.1</w:t>
            </w:r>
            <w:r w:rsidR="00C006A7" w:rsidRPr="00C006A7">
              <w:rPr>
                <w:rFonts w:ascii="Times New Roman" w:eastAsiaTheme="minorEastAsia"/>
                <w:noProof/>
                <w:sz w:val="24"/>
                <w:szCs w:val="24"/>
              </w:rPr>
              <w:t>工程概况</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_Toc16785249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27</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50" w:history="1">
            <w:r w:rsidR="00C006A7" w:rsidRPr="00C006A7">
              <w:rPr>
                <w:rFonts w:ascii="Times New Roman" w:eastAsiaTheme="minorEastAsia"/>
                <w:b w:val="0"/>
                <w:noProof/>
                <w:sz w:val="24"/>
                <w:szCs w:val="24"/>
              </w:rPr>
              <w:t>2.1.1</w:t>
            </w:r>
            <w:r w:rsidR="00C006A7" w:rsidRPr="00C006A7">
              <w:rPr>
                <w:rFonts w:ascii="Times New Roman" w:eastAsiaTheme="minorEastAsia" w:hAnsiTheme="minorEastAsia"/>
                <w:b w:val="0"/>
                <w:noProof/>
                <w:sz w:val="24"/>
                <w:szCs w:val="24"/>
              </w:rPr>
              <w:t>整合前工程概况</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_Toc16785250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27</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51" w:history="1">
            <w:r w:rsidR="00C006A7" w:rsidRPr="00C006A7">
              <w:rPr>
                <w:rFonts w:ascii="Times New Roman" w:eastAsiaTheme="minorEastAsia"/>
                <w:b w:val="0"/>
                <w:noProof/>
                <w:sz w:val="24"/>
                <w:szCs w:val="24"/>
              </w:rPr>
              <w:t>2.1.2</w:t>
            </w:r>
            <w:r w:rsidR="00C006A7" w:rsidRPr="00C006A7">
              <w:rPr>
                <w:rFonts w:ascii="Times New Roman" w:eastAsiaTheme="minorEastAsia" w:hAnsiTheme="minorEastAsia"/>
                <w:b w:val="0"/>
                <w:noProof/>
                <w:sz w:val="24"/>
                <w:szCs w:val="24"/>
              </w:rPr>
              <w:t>整合后工程概况</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_Toc16785251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28</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52" w:history="1">
            <w:r w:rsidR="00C006A7" w:rsidRPr="00C006A7">
              <w:rPr>
                <w:rFonts w:ascii="Times New Roman" w:eastAsiaTheme="minorEastAsia"/>
                <w:noProof/>
                <w:sz w:val="24"/>
                <w:szCs w:val="24"/>
              </w:rPr>
              <w:t>2.2</w:t>
            </w:r>
            <w:r w:rsidR="00C006A7" w:rsidRPr="00C006A7">
              <w:rPr>
                <w:rFonts w:ascii="Times New Roman" w:eastAsiaTheme="minorEastAsia"/>
                <w:noProof/>
                <w:sz w:val="24"/>
                <w:szCs w:val="24"/>
              </w:rPr>
              <w:t>工程分析</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_Toc16785252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46</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53" w:history="1">
            <w:r w:rsidR="00C006A7" w:rsidRPr="00C006A7">
              <w:rPr>
                <w:rFonts w:ascii="Times New Roman" w:eastAsiaTheme="minorEastAsia"/>
                <w:b w:val="0"/>
                <w:noProof/>
                <w:sz w:val="24"/>
                <w:szCs w:val="24"/>
              </w:rPr>
              <w:t>2.2.1</w:t>
            </w:r>
            <w:r w:rsidR="00C006A7" w:rsidRPr="00C006A7">
              <w:rPr>
                <w:rFonts w:ascii="Times New Roman" w:eastAsiaTheme="minorEastAsia" w:hAnsiTheme="minorEastAsia"/>
                <w:b w:val="0"/>
                <w:noProof/>
                <w:sz w:val="24"/>
                <w:szCs w:val="24"/>
              </w:rPr>
              <w:t>井田开拓及开采</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_Toc16785253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46</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54" w:history="1">
            <w:r w:rsidR="00C006A7" w:rsidRPr="00C006A7">
              <w:rPr>
                <w:rFonts w:ascii="Times New Roman" w:eastAsiaTheme="minorEastAsia"/>
                <w:b w:val="0"/>
                <w:noProof/>
                <w:sz w:val="24"/>
                <w:szCs w:val="24"/>
              </w:rPr>
              <w:t>2.2.2</w:t>
            </w:r>
            <w:r w:rsidR="00C006A7" w:rsidRPr="00C006A7">
              <w:rPr>
                <w:rFonts w:ascii="Times New Roman" w:eastAsiaTheme="minorEastAsia" w:hAnsiTheme="minorEastAsia"/>
                <w:b w:val="0"/>
                <w:noProof/>
                <w:sz w:val="24"/>
                <w:szCs w:val="24"/>
              </w:rPr>
              <w:t>矿井通风</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_Toc16785254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51</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55" w:history="1">
            <w:r w:rsidR="00C006A7" w:rsidRPr="00C006A7">
              <w:rPr>
                <w:rFonts w:ascii="Times New Roman" w:eastAsiaTheme="minorEastAsia"/>
                <w:b w:val="0"/>
                <w:noProof/>
                <w:sz w:val="24"/>
                <w:szCs w:val="24"/>
              </w:rPr>
              <w:t>2.2.3</w:t>
            </w:r>
            <w:r w:rsidR="00C006A7" w:rsidRPr="00C006A7">
              <w:rPr>
                <w:rFonts w:ascii="Times New Roman" w:eastAsiaTheme="minorEastAsia" w:hAnsiTheme="minorEastAsia"/>
                <w:b w:val="0"/>
                <w:noProof/>
                <w:sz w:val="24"/>
                <w:szCs w:val="24"/>
              </w:rPr>
              <w:t>矿井排水</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_Toc16785255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52</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56" w:history="1">
            <w:r w:rsidR="00C006A7" w:rsidRPr="00C006A7">
              <w:rPr>
                <w:rFonts w:ascii="Times New Roman" w:eastAsiaTheme="minorEastAsia"/>
                <w:b w:val="0"/>
                <w:noProof/>
                <w:sz w:val="24"/>
                <w:szCs w:val="24"/>
              </w:rPr>
              <w:t>2.2.4</w:t>
            </w:r>
            <w:r w:rsidR="00C006A7" w:rsidRPr="00C006A7">
              <w:rPr>
                <w:rFonts w:ascii="Times New Roman" w:eastAsiaTheme="minorEastAsia" w:hAnsiTheme="minorEastAsia"/>
                <w:b w:val="0"/>
                <w:noProof/>
                <w:sz w:val="24"/>
                <w:szCs w:val="24"/>
              </w:rPr>
              <w:t>矿井地面生产系统</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_Toc16785256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52</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57" w:history="1">
            <w:r w:rsidR="00C006A7" w:rsidRPr="00C006A7">
              <w:rPr>
                <w:rFonts w:ascii="Times New Roman" w:eastAsiaTheme="minorEastAsia"/>
                <w:b w:val="0"/>
                <w:noProof/>
                <w:sz w:val="24"/>
                <w:szCs w:val="24"/>
              </w:rPr>
              <w:t>2.2.5</w:t>
            </w:r>
            <w:r w:rsidR="00C006A7" w:rsidRPr="00C006A7">
              <w:rPr>
                <w:rFonts w:ascii="Times New Roman" w:eastAsiaTheme="minorEastAsia" w:hAnsiTheme="minorEastAsia"/>
                <w:b w:val="0"/>
                <w:noProof/>
                <w:sz w:val="24"/>
                <w:szCs w:val="24"/>
              </w:rPr>
              <w:t>选煤工程</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_Toc16785257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53</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58" w:history="1">
            <w:r w:rsidR="00C006A7" w:rsidRPr="00C006A7">
              <w:rPr>
                <w:rFonts w:ascii="Times New Roman" w:eastAsiaTheme="minorEastAsia"/>
                <w:b w:val="0"/>
                <w:noProof/>
                <w:sz w:val="24"/>
                <w:szCs w:val="24"/>
              </w:rPr>
              <w:t>2.2.6</w:t>
            </w:r>
            <w:r w:rsidR="00C006A7" w:rsidRPr="00C006A7">
              <w:rPr>
                <w:rFonts w:ascii="Times New Roman" w:eastAsiaTheme="minorEastAsia" w:hAnsiTheme="minorEastAsia"/>
                <w:b w:val="0"/>
                <w:noProof/>
                <w:sz w:val="24"/>
                <w:szCs w:val="24"/>
              </w:rPr>
              <w:t>给排水</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_Toc16785258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56</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59" w:history="1">
            <w:r w:rsidR="00C006A7" w:rsidRPr="00C006A7">
              <w:rPr>
                <w:rFonts w:ascii="Times New Roman" w:eastAsiaTheme="minorEastAsia"/>
                <w:b w:val="0"/>
                <w:noProof/>
                <w:sz w:val="24"/>
                <w:szCs w:val="24"/>
              </w:rPr>
              <w:t>2.2.7</w:t>
            </w:r>
            <w:r w:rsidR="00C006A7" w:rsidRPr="00C006A7">
              <w:rPr>
                <w:rFonts w:ascii="Times New Roman" w:eastAsiaTheme="minorEastAsia" w:hAnsiTheme="minorEastAsia"/>
                <w:b w:val="0"/>
                <w:noProof/>
                <w:sz w:val="24"/>
                <w:szCs w:val="24"/>
              </w:rPr>
              <w:t>采暖、供热</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_Toc16785259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57</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60" w:history="1">
            <w:r w:rsidR="00C006A7" w:rsidRPr="00C006A7">
              <w:rPr>
                <w:rFonts w:ascii="Times New Roman" w:eastAsiaTheme="minorEastAsia"/>
                <w:b w:val="0"/>
                <w:noProof/>
                <w:sz w:val="24"/>
                <w:szCs w:val="24"/>
              </w:rPr>
              <w:t>2.2.8</w:t>
            </w:r>
            <w:r w:rsidR="00C006A7" w:rsidRPr="00C006A7">
              <w:rPr>
                <w:rFonts w:ascii="Times New Roman" w:eastAsiaTheme="minorEastAsia" w:hAnsiTheme="minorEastAsia"/>
                <w:b w:val="0"/>
                <w:noProof/>
                <w:sz w:val="24"/>
                <w:szCs w:val="24"/>
              </w:rPr>
              <w:t>供电</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_Toc16785260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58</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61" w:history="1">
            <w:r w:rsidR="00C006A7" w:rsidRPr="00C006A7">
              <w:rPr>
                <w:rFonts w:ascii="Times New Roman" w:eastAsiaTheme="minorEastAsia"/>
                <w:b w:val="0"/>
                <w:noProof/>
                <w:sz w:val="24"/>
                <w:szCs w:val="24"/>
              </w:rPr>
              <w:t>2.2.9</w:t>
            </w:r>
            <w:r w:rsidR="00C006A7" w:rsidRPr="00C006A7">
              <w:rPr>
                <w:rFonts w:ascii="Times New Roman" w:eastAsiaTheme="minorEastAsia" w:hAnsiTheme="minorEastAsia"/>
                <w:b w:val="0"/>
                <w:noProof/>
                <w:sz w:val="24"/>
                <w:szCs w:val="24"/>
              </w:rPr>
              <w:t>环保工程</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_Toc16785261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58</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62" w:history="1">
            <w:r w:rsidR="00C006A7" w:rsidRPr="00C006A7">
              <w:rPr>
                <w:rFonts w:ascii="Times New Roman" w:eastAsiaTheme="minorEastAsia"/>
                <w:noProof/>
                <w:sz w:val="24"/>
                <w:szCs w:val="24"/>
              </w:rPr>
              <w:t>2.3</w:t>
            </w:r>
            <w:r w:rsidR="00C006A7" w:rsidRPr="00C006A7">
              <w:rPr>
                <w:rFonts w:ascii="Times New Roman" w:eastAsiaTheme="minorEastAsia"/>
                <w:noProof/>
                <w:sz w:val="24"/>
                <w:szCs w:val="24"/>
              </w:rPr>
              <w:t>污染源及环境影响因素分析</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_Toc16785262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60</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63" w:history="1">
            <w:r w:rsidR="00C006A7" w:rsidRPr="00C006A7">
              <w:rPr>
                <w:rFonts w:ascii="Times New Roman" w:eastAsiaTheme="minorEastAsia"/>
                <w:b w:val="0"/>
                <w:noProof/>
                <w:sz w:val="24"/>
                <w:szCs w:val="24"/>
              </w:rPr>
              <w:t>2.3.1</w:t>
            </w:r>
            <w:r w:rsidR="00C006A7" w:rsidRPr="00C006A7">
              <w:rPr>
                <w:rFonts w:ascii="Times New Roman" w:eastAsiaTheme="minorEastAsia" w:hAnsiTheme="minorEastAsia"/>
                <w:b w:val="0"/>
                <w:noProof/>
                <w:sz w:val="24"/>
                <w:szCs w:val="24"/>
              </w:rPr>
              <w:t>原整合工程污染源及生态、地下水环境影响</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_Toc16785263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60</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64" w:history="1">
            <w:r w:rsidR="00C006A7" w:rsidRPr="00C006A7">
              <w:rPr>
                <w:rFonts w:ascii="Times New Roman" w:eastAsiaTheme="minorEastAsia"/>
                <w:b w:val="0"/>
                <w:noProof/>
                <w:sz w:val="24"/>
                <w:szCs w:val="24"/>
              </w:rPr>
              <w:t>2.3.2</w:t>
            </w:r>
            <w:r w:rsidR="00C006A7" w:rsidRPr="00C006A7">
              <w:rPr>
                <w:rFonts w:ascii="Times New Roman" w:eastAsiaTheme="minorEastAsia" w:hAnsiTheme="minorEastAsia"/>
                <w:b w:val="0"/>
                <w:noProof/>
                <w:sz w:val="24"/>
                <w:szCs w:val="24"/>
              </w:rPr>
              <w:t>本次整合工程污染源分析</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_Toc16785264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64</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65" w:history="1">
            <w:r w:rsidR="00C006A7" w:rsidRPr="00C006A7">
              <w:rPr>
                <w:rFonts w:ascii="Times New Roman" w:eastAsiaTheme="minorEastAsia"/>
                <w:b w:val="0"/>
                <w:noProof/>
                <w:sz w:val="24"/>
                <w:szCs w:val="24"/>
              </w:rPr>
              <w:t>2.3.3</w:t>
            </w:r>
            <w:r w:rsidR="00C006A7" w:rsidRPr="00C006A7">
              <w:rPr>
                <w:rFonts w:ascii="Times New Roman" w:eastAsiaTheme="minorEastAsia" w:hAnsiTheme="minorEastAsia"/>
                <w:b w:val="0"/>
                <w:noProof/>
                <w:sz w:val="24"/>
                <w:szCs w:val="24"/>
              </w:rPr>
              <w:t>污染源变化情况分析</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_Toc16785265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73</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66" w:history="1">
            <w:r w:rsidR="00C006A7" w:rsidRPr="00C006A7">
              <w:rPr>
                <w:rFonts w:ascii="Times New Roman" w:eastAsiaTheme="minorEastAsia"/>
                <w:b w:val="0"/>
                <w:noProof/>
                <w:sz w:val="24"/>
                <w:szCs w:val="24"/>
              </w:rPr>
              <w:t xml:space="preserve">2.3.4 </w:t>
            </w:r>
            <w:r w:rsidR="00C006A7" w:rsidRPr="00C006A7">
              <w:rPr>
                <w:rFonts w:ascii="Times New Roman" w:eastAsiaTheme="minorEastAsia" w:hAnsiTheme="minorEastAsia"/>
                <w:b w:val="0"/>
                <w:noProof/>
                <w:sz w:val="24"/>
                <w:szCs w:val="24"/>
              </w:rPr>
              <w:t>清洁生产</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_Toc16785266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76</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67" w:history="1">
            <w:r w:rsidR="00C006A7" w:rsidRPr="00C006A7">
              <w:rPr>
                <w:rFonts w:ascii="Times New Roman" w:eastAsiaTheme="minorEastAsia"/>
                <w:b w:val="0"/>
                <w:noProof/>
                <w:sz w:val="24"/>
                <w:szCs w:val="24"/>
              </w:rPr>
              <w:t xml:space="preserve">2.3.5 </w:t>
            </w:r>
            <w:r w:rsidR="00C006A7" w:rsidRPr="00C006A7">
              <w:rPr>
                <w:rFonts w:ascii="Times New Roman" w:eastAsiaTheme="minorEastAsia" w:hAnsiTheme="minorEastAsia"/>
                <w:b w:val="0"/>
                <w:noProof/>
                <w:sz w:val="24"/>
                <w:szCs w:val="24"/>
              </w:rPr>
              <w:t>达标排放及总量控制指标</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_Toc16785267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77</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jc w:val="left"/>
            <w:rPr>
              <w:rFonts w:ascii="Times New Roman" w:eastAsiaTheme="minorEastAsia"/>
              <w:noProof/>
              <w:sz w:val="28"/>
              <w:szCs w:val="28"/>
            </w:rPr>
          </w:pPr>
          <w:hyperlink w:anchor="_Toc16785268" w:history="1">
            <w:r w:rsidR="00C006A7" w:rsidRPr="00C006A7">
              <w:rPr>
                <w:rFonts w:ascii="Times New Roman" w:eastAsiaTheme="minorEastAsia"/>
                <w:noProof/>
                <w:sz w:val="28"/>
                <w:szCs w:val="28"/>
              </w:rPr>
              <w:t>3</w:t>
            </w:r>
            <w:r w:rsidR="00C006A7" w:rsidRPr="00C006A7">
              <w:rPr>
                <w:rFonts w:ascii="Times New Roman" w:eastAsiaTheme="minorEastAsia"/>
                <w:noProof/>
                <w:sz w:val="28"/>
                <w:szCs w:val="28"/>
              </w:rPr>
              <w:t>、建设项目地区的环境概况</w:t>
            </w:r>
            <w:r w:rsidR="00C006A7" w:rsidRPr="00C006A7">
              <w:rPr>
                <w:rFonts w:ascii="Times New Roman" w:eastAsiaTheme="minorEastAsia"/>
                <w:noProof/>
                <w:webHidden/>
                <w:sz w:val="28"/>
                <w:szCs w:val="28"/>
              </w:rPr>
              <w:tab/>
            </w:r>
            <w:r w:rsidR="00C006A7" w:rsidRPr="00C006A7">
              <w:rPr>
                <w:rFonts w:ascii="Times New Roman" w:eastAsiaTheme="minorEastAsia"/>
                <w:noProof/>
                <w:webHidden/>
                <w:sz w:val="28"/>
                <w:szCs w:val="28"/>
              </w:rPr>
              <w:fldChar w:fldCharType="begin"/>
            </w:r>
            <w:r w:rsidR="00C006A7" w:rsidRPr="00C006A7">
              <w:rPr>
                <w:rFonts w:ascii="Times New Roman" w:eastAsiaTheme="minorEastAsia"/>
                <w:noProof/>
                <w:webHidden/>
                <w:sz w:val="28"/>
                <w:szCs w:val="28"/>
              </w:rPr>
              <w:instrText xml:space="preserve"> PAGEREF _Toc16785268 \h </w:instrText>
            </w:r>
            <w:r w:rsidR="00C006A7" w:rsidRPr="00C006A7">
              <w:rPr>
                <w:rFonts w:ascii="Times New Roman" w:eastAsiaTheme="minorEastAsia"/>
                <w:noProof/>
                <w:webHidden/>
                <w:sz w:val="28"/>
                <w:szCs w:val="28"/>
              </w:rPr>
            </w:r>
            <w:r w:rsidR="00C006A7" w:rsidRPr="00C006A7">
              <w:rPr>
                <w:rFonts w:ascii="Times New Roman" w:eastAsiaTheme="minorEastAsia"/>
                <w:noProof/>
                <w:webHidden/>
                <w:sz w:val="28"/>
                <w:szCs w:val="28"/>
              </w:rPr>
              <w:fldChar w:fldCharType="separate"/>
            </w:r>
            <w:r w:rsidR="00A96BBC">
              <w:rPr>
                <w:rFonts w:ascii="Times New Roman" w:eastAsiaTheme="minorEastAsia"/>
                <w:noProof/>
                <w:webHidden/>
                <w:sz w:val="28"/>
                <w:szCs w:val="28"/>
              </w:rPr>
              <w:t>79</w:t>
            </w:r>
            <w:r w:rsidR="00C006A7" w:rsidRPr="00C006A7">
              <w:rPr>
                <w:rFonts w:ascii="Times New Roman" w:eastAsiaTheme="minorEastAsia"/>
                <w:noProof/>
                <w:webHidden/>
                <w:sz w:val="28"/>
                <w:szCs w:val="28"/>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69" w:history="1">
            <w:r w:rsidR="00C006A7" w:rsidRPr="00C006A7">
              <w:rPr>
                <w:rFonts w:ascii="Times New Roman" w:eastAsiaTheme="minorEastAsia"/>
                <w:noProof/>
                <w:sz w:val="24"/>
                <w:szCs w:val="24"/>
              </w:rPr>
              <w:t>3.1</w:t>
            </w:r>
            <w:r w:rsidR="00C006A7" w:rsidRPr="00C006A7">
              <w:rPr>
                <w:rFonts w:ascii="Times New Roman" w:eastAsiaTheme="minorEastAsia"/>
                <w:noProof/>
                <w:sz w:val="24"/>
                <w:szCs w:val="24"/>
              </w:rPr>
              <w:t>自然环境概况</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_Toc16785269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79</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70" w:history="1">
            <w:r w:rsidR="00C006A7" w:rsidRPr="00C006A7">
              <w:rPr>
                <w:rFonts w:ascii="Times New Roman" w:eastAsiaTheme="minorEastAsia"/>
                <w:b w:val="0"/>
                <w:noProof/>
                <w:sz w:val="24"/>
                <w:szCs w:val="24"/>
              </w:rPr>
              <w:t>3.1.1</w:t>
            </w:r>
            <w:r w:rsidR="00C006A7" w:rsidRPr="00C006A7">
              <w:rPr>
                <w:rFonts w:ascii="Times New Roman" w:eastAsiaTheme="minorEastAsia" w:hAnsiTheme="minorEastAsia"/>
                <w:b w:val="0"/>
                <w:noProof/>
                <w:sz w:val="24"/>
                <w:szCs w:val="24"/>
              </w:rPr>
              <w:t>地形地貌</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_Toc16785270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79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71" w:history="1">
            <w:r w:rsidR="00C006A7" w:rsidRPr="00C006A7">
              <w:rPr>
                <w:rFonts w:ascii="Times New Roman" w:eastAsiaTheme="minorEastAsia"/>
                <w:b w:val="0"/>
                <w:noProof/>
                <w:sz w:val="24"/>
                <w:szCs w:val="24"/>
              </w:rPr>
              <w:t>3.1.2</w:t>
            </w:r>
            <w:r w:rsidR="00C006A7" w:rsidRPr="00C006A7">
              <w:rPr>
                <w:rFonts w:ascii="Times New Roman" w:eastAsiaTheme="minorEastAsia" w:hAnsiTheme="minorEastAsia"/>
                <w:b w:val="0"/>
                <w:noProof/>
                <w:sz w:val="24"/>
                <w:szCs w:val="24"/>
              </w:rPr>
              <w:t>气候气象</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_Toc16785271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79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72" w:history="1">
            <w:r w:rsidR="00C006A7" w:rsidRPr="00C006A7">
              <w:rPr>
                <w:rFonts w:ascii="Times New Roman" w:eastAsiaTheme="minorEastAsia"/>
                <w:b w:val="0"/>
                <w:noProof/>
                <w:sz w:val="24"/>
                <w:szCs w:val="24"/>
              </w:rPr>
              <w:t>3.1.3</w:t>
            </w:r>
            <w:r w:rsidR="00C006A7" w:rsidRPr="00C006A7">
              <w:rPr>
                <w:rFonts w:ascii="Times New Roman" w:eastAsiaTheme="minorEastAsia" w:hAnsiTheme="minorEastAsia"/>
                <w:b w:val="0"/>
                <w:noProof/>
                <w:sz w:val="24"/>
                <w:szCs w:val="24"/>
              </w:rPr>
              <w:t>地表水系</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_Toc16785272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79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73" w:history="1">
            <w:r w:rsidR="00C006A7" w:rsidRPr="00C006A7">
              <w:rPr>
                <w:rFonts w:ascii="Times New Roman" w:eastAsiaTheme="minorEastAsia"/>
                <w:b w:val="0"/>
                <w:noProof/>
                <w:sz w:val="24"/>
                <w:szCs w:val="24"/>
              </w:rPr>
              <w:t>3.1.4</w:t>
            </w:r>
            <w:r w:rsidR="00C006A7" w:rsidRPr="00C006A7">
              <w:rPr>
                <w:rFonts w:ascii="Times New Roman" w:eastAsiaTheme="minorEastAsia" w:hAnsiTheme="minorEastAsia"/>
                <w:b w:val="0"/>
                <w:noProof/>
                <w:sz w:val="24"/>
                <w:szCs w:val="24"/>
              </w:rPr>
              <w:t>生态环境现状</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_Toc16785273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80</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74" w:history="1">
            <w:r w:rsidR="00C006A7" w:rsidRPr="00C006A7">
              <w:rPr>
                <w:rFonts w:ascii="Times New Roman" w:eastAsiaTheme="minorEastAsia"/>
                <w:b w:val="0"/>
                <w:noProof/>
                <w:sz w:val="24"/>
                <w:szCs w:val="24"/>
              </w:rPr>
              <w:t>3.1.5</w:t>
            </w:r>
            <w:r w:rsidR="00C006A7" w:rsidRPr="00C006A7">
              <w:rPr>
                <w:rFonts w:ascii="Times New Roman" w:eastAsiaTheme="minorEastAsia" w:hAnsiTheme="minorEastAsia"/>
                <w:b w:val="0"/>
                <w:noProof/>
                <w:sz w:val="24"/>
                <w:szCs w:val="24"/>
              </w:rPr>
              <w:t>地层与构造</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_Toc16785274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88</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75" w:history="1">
            <w:r w:rsidR="00C006A7" w:rsidRPr="00C006A7">
              <w:rPr>
                <w:rFonts w:ascii="Times New Roman" w:eastAsiaTheme="minorEastAsia"/>
                <w:b w:val="0"/>
                <w:noProof/>
                <w:sz w:val="24"/>
                <w:szCs w:val="24"/>
              </w:rPr>
              <w:t>3.1.6</w:t>
            </w:r>
            <w:r w:rsidR="00C006A7" w:rsidRPr="00C006A7">
              <w:rPr>
                <w:rFonts w:ascii="Times New Roman" w:eastAsiaTheme="minorEastAsia" w:hAnsiTheme="minorEastAsia"/>
                <w:b w:val="0"/>
                <w:noProof/>
                <w:sz w:val="24"/>
                <w:szCs w:val="24"/>
              </w:rPr>
              <w:t>井田水文地质条件</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_Toc16785275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92</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76" w:history="1">
            <w:r w:rsidR="00C006A7" w:rsidRPr="00C006A7">
              <w:rPr>
                <w:rFonts w:ascii="Times New Roman" w:eastAsiaTheme="minorEastAsia"/>
                <w:noProof/>
                <w:sz w:val="24"/>
                <w:szCs w:val="24"/>
              </w:rPr>
              <w:t>3.2</w:t>
            </w:r>
            <w:r w:rsidR="00C006A7" w:rsidRPr="00C006A7">
              <w:rPr>
                <w:rFonts w:ascii="Times New Roman" w:eastAsiaTheme="minorEastAsia"/>
                <w:noProof/>
                <w:sz w:val="24"/>
                <w:szCs w:val="24"/>
              </w:rPr>
              <w:t>主要环境保护目标</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_Toc16785276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97</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77" w:history="1">
            <w:r w:rsidR="00C006A7" w:rsidRPr="00C006A7">
              <w:rPr>
                <w:rFonts w:ascii="Times New Roman" w:eastAsiaTheme="minorEastAsia"/>
                <w:b w:val="0"/>
                <w:noProof/>
                <w:sz w:val="24"/>
                <w:szCs w:val="24"/>
              </w:rPr>
              <w:t>3.2.1</w:t>
            </w:r>
            <w:r w:rsidR="00C006A7" w:rsidRPr="00C006A7">
              <w:rPr>
                <w:rFonts w:ascii="Times New Roman" w:eastAsiaTheme="minorEastAsia" w:hAnsiTheme="minorEastAsia"/>
                <w:b w:val="0"/>
                <w:noProof/>
                <w:sz w:val="24"/>
                <w:szCs w:val="24"/>
              </w:rPr>
              <w:t>大理河湿地</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_Toc16785277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97</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78" w:history="1">
            <w:r w:rsidR="00C006A7" w:rsidRPr="00C006A7">
              <w:rPr>
                <w:rFonts w:ascii="Times New Roman" w:eastAsiaTheme="minorEastAsia"/>
                <w:b w:val="0"/>
                <w:noProof/>
                <w:sz w:val="24"/>
                <w:szCs w:val="24"/>
              </w:rPr>
              <w:t>3.2.2</w:t>
            </w:r>
            <w:r w:rsidR="00C006A7" w:rsidRPr="00C006A7">
              <w:rPr>
                <w:rFonts w:ascii="Times New Roman" w:eastAsiaTheme="minorEastAsia" w:hAnsiTheme="minorEastAsia"/>
                <w:b w:val="0"/>
                <w:noProof/>
                <w:sz w:val="24"/>
                <w:szCs w:val="24"/>
              </w:rPr>
              <w:t>文物保护单位</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_Toc16785278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99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79" w:history="1">
            <w:r w:rsidR="00C006A7" w:rsidRPr="00C006A7">
              <w:rPr>
                <w:rFonts w:ascii="Times New Roman" w:eastAsiaTheme="minorEastAsia"/>
                <w:b w:val="0"/>
                <w:noProof/>
                <w:sz w:val="24"/>
                <w:szCs w:val="24"/>
              </w:rPr>
              <w:t>3.2.3</w:t>
            </w:r>
            <w:r w:rsidR="00C006A7" w:rsidRPr="00C006A7">
              <w:rPr>
                <w:rFonts w:ascii="Times New Roman" w:eastAsiaTheme="minorEastAsia" w:hAnsiTheme="minorEastAsia"/>
                <w:b w:val="0"/>
                <w:noProof/>
                <w:sz w:val="24"/>
                <w:szCs w:val="24"/>
              </w:rPr>
              <w:t>重要基础设施及工业企业</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_Toc16785279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99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80" w:history="1">
            <w:r w:rsidR="00C006A7" w:rsidRPr="00C006A7">
              <w:rPr>
                <w:rFonts w:ascii="Times New Roman" w:eastAsiaTheme="minorEastAsia"/>
                <w:b w:val="0"/>
                <w:noProof/>
                <w:sz w:val="24"/>
                <w:szCs w:val="24"/>
              </w:rPr>
              <w:t>3.2.4</w:t>
            </w:r>
            <w:r w:rsidR="00C006A7" w:rsidRPr="00C006A7">
              <w:rPr>
                <w:rFonts w:ascii="Times New Roman" w:eastAsiaTheme="minorEastAsia" w:hAnsiTheme="minorEastAsia"/>
                <w:b w:val="0"/>
                <w:noProof/>
                <w:sz w:val="24"/>
                <w:szCs w:val="24"/>
              </w:rPr>
              <w:t>评价区村庄</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_Toc16785280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99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81" w:history="1">
            <w:r w:rsidR="00C006A7" w:rsidRPr="00C006A7">
              <w:rPr>
                <w:rFonts w:ascii="Times New Roman" w:eastAsiaTheme="minorEastAsia"/>
                <w:noProof/>
                <w:sz w:val="24"/>
                <w:szCs w:val="24"/>
              </w:rPr>
              <w:t>3.3</w:t>
            </w:r>
            <w:r w:rsidR="00C006A7" w:rsidRPr="00C006A7">
              <w:rPr>
                <w:rFonts w:ascii="Times New Roman" w:eastAsiaTheme="minorEastAsia"/>
                <w:noProof/>
                <w:sz w:val="24"/>
                <w:szCs w:val="24"/>
              </w:rPr>
              <w:t>评价区环境质量现状</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_Toc16785281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100</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82" w:history="1">
            <w:r w:rsidR="00C006A7" w:rsidRPr="00C006A7">
              <w:rPr>
                <w:rFonts w:ascii="Times New Roman" w:eastAsiaTheme="minorEastAsia"/>
                <w:b w:val="0"/>
                <w:noProof/>
                <w:sz w:val="24"/>
                <w:szCs w:val="24"/>
              </w:rPr>
              <w:t>3.3.1</w:t>
            </w:r>
            <w:r w:rsidR="00C006A7" w:rsidRPr="00C006A7">
              <w:rPr>
                <w:rFonts w:ascii="Times New Roman" w:eastAsiaTheme="minorEastAsia" w:hAnsiTheme="minorEastAsia"/>
                <w:b w:val="0"/>
                <w:noProof/>
                <w:sz w:val="24"/>
                <w:szCs w:val="24"/>
              </w:rPr>
              <w:t>地下水环境质量现状</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_Toc16785282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100</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83" w:history="1">
            <w:r w:rsidR="00C006A7" w:rsidRPr="00C006A7">
              <w:rPr>
                <w:rFonts w:ascii="Times New Roman" w:eastAsiaTheme="minorEastAsia"/>
                <w:b w:val="0"/>
                <w:noProof/>
                <w:sz w:val="24"/>
                <w:szCs w:val="24"/>
              </w:rPr>
              <w:t>3.3.2</w:t>
            </w:r>
            <w:r w:rsidR="00C006A7" w:rsidRPr="00C006A7">
              <w:rPr>
                <w:rFonts w:ascii="Times New Roman" w:eastAsiaTheme="minorEastAsia" w:hAnsiTheme="minorEastAsia"/>
                <w:b w:val="0"/>
                <w:noProof/>
                <w:sz w:val="24"/>
                <w:szCs w:val="24"/>
              </w:rPr>
              <w:t>地表水环境质量现状</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_Toc16785283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101</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84" w:history="1">
            <w:r w:rsidR="00C006A7" w:rsidRPr="00C006A7">
              <w:rPr>
                <w:rFonts w:ascii="Times New Roman" w:eastAsiaTheme="minorEastAsia"/>
                <w:b w:val="0"/>
                <w:noProof/>
                <w:sz w:val="24"/>
                <w:szCs w:val="24"/>
              </w:rPr>
              <w:t>3.3.3</w:t>
            </w:r>
            <w:r w:rsidR="00C006A7" w:rsidRPr="00C006A7">
              <w:rPr>
                <w:rFonts w:ascii="Times New Roman" w:eastAsiaTheme="minorEastAsia" w:hAnsiTheme="minorEastAsia"/>
                <w:b w:val="0"/>
                <w:noProof/>
                <w:sz w:val="24"/>
                <w:szCs w:val="24"/>
              </w:rPr>
              <w:t>环境空气质量现状</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_Toc16785284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102</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85" w:history="1">
            <w:r w:rsidR="00C006A7" w:rsidRPr="00C006A7">
              <w:rPr>
                <w:rFonts w:ascii="Times New Roman" w:eastAsiaTheme="minorEastAsia"/>
                <w:b w:val="0"/>
                <w:noProof/>
                <w:sz w:val="24"/>
                <w:szCs w:val="24"/>
              </w:rPr>
              <w:t>3.3.4</w:t>
            </w:r>
            <w:r w:rsidR="00C006A7" w:rsidRPr="00C006A7">
              <w:rPr>
                <w:rFonts w:ascii="Times New Roman" w:eastAsiaTheme="minorEastAsia" w:hAnsiTheme="minorEastAsia"/>
                <w:b w:val="0"/>
                <w:noProof/>
                <w:sz w:val="24"/>
                <w:szCs w:val="24"/>
              </w:rPr>
              <w:t>声环境质量现状</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_Toc16785285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102</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86" w:history="1">
            <w:r w:rsidR="00C006A7" w:rsidRPr="00C006A7">
              <w:rPr>
                <w:rFonts w:ascii="Times New Roman" w:eastAsiaTheme="minorEastAsia"/>
                <w:b w:val="0"/>
                <w:noProof/>
                <w:sz w:val="24"/>
                <w:szCs w:val="24"/>
              </w:rPr>
              <w:t>3.3.5</w:t>
            </w:r>
            <w:r w:rsidR="00C006A7" w:rsidRPr="00C006A7">
              <w:rPr>
                <w:rFonts w:ascii="Times New Roman" w:eastAsiaTheme="minorEastAsia" w:hAnsiTheme="minorEastAsia"/>
                <w:b w:val="0"/>
                <w:noProof/>
                <w:sz w:val="24"/>
                <w:szCs w:val="24"/>
              </w:rPr>
              <w:t>土壤环境质量现状</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_Toc16785286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104</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jc w:val="left"/>
            <w:rPr>
              <w:rFonts w:ascii="Times New Roman" w:eastAsiaTheme="minorEastAsia"/>
              <w:noProof/>
              <w:sz w:val="28"/>
              <w:szCs w:val="28"/>
            </w:rPr>
          </w:pPr>
          <w:hyperlink w:anchor="_Toc16785287" w:history="1">
            <w:r w:rsidR="00C006A7" w:rsidRPr="00C006A7">
              <w:rPr>
                <w:rFonts w:ascii="Times New Roman" w:eastAsiaTheme="minorEastAsia"/>
                <w:noProof/>
                <w:sz w:val="28"/>
                <w:szCs w:val="28"/>
              </w:rPr>
              <w:t>4</w:t>
            </w:r>
            <w:r w:rsidR="00C006A7" w:rsidRPr="00C006A7">
              <w:rPr>
                <w:rFonts w:ascii="Times New Roman" w:eastAsiaTheme="minorEastAsia"/>
                <w:noProof/>
                <w:sz w:val="28"/>
                <w:szCs w:val="28"/>
              </w:rPr>
              <w:t>、环境影响预测与评价</w:t>
            </w:r>
            <w:r w:rsidR="00C006A7" w:rsidRPr="00C006A7">
              <w:rPr>
                <w:rFonts w:ascii="Times New Roman" w:eastAsiaTheme="minorEastAsia"/>
                <w:noProof/>
                <w:webHidden/>
                <w:sz w:val="28"/>
                <w:szCs w:val="28"/>
              </w:rPr>
              <w:tab/>
            </w:r>
            <w:r w:rsidR="00C006A7" w:rsidRPr="00C006A7">
              <w:rPr>
                <w:rFonts w:ascii="Times New Roman" w:eastAsiaTheme="minorEastAsia"/>
                <w:noProof/>
                <w:webHidden/>
                <w:sz w:val="28"/>
                <w:szCs w:val="28"/>
              </w:rPr>
              <w:fldChar w:fldCharType="begin"/>
            </w:r>
            <w:r w:rsidR="00C006A7" w:rsidRPr="00C006A7">
              <w:rPr>
                <w:rFonts w:ascii="Times New Roman" w:eastAsiaTheme="minorEastAsia"/>
                <w:noProof/>
                <w:webHidden/>
                <w:sz w:val="28"/>
                <w:szCs w:val="28"/>
              </w:rPr>
              <w:instrText xml:space="preserve"> PAGEREF _Toc16785287 \h </w:instrText>
            </w:r>
            <w:r w:rsidR="00C006A7" w:rsidRPr="00C006A7">
              <w:rPr>
                <w:rFonts w:ascii="Times New Roman" w:eastAsiaTheme="minorEastAsia"/>
                <w:noProof/>
                <w:webHidden/>
                <w:sz w:val="28"/>
                <w:szCs w:val="28"/>
              </w:rPr>
            </w:r>
            <w:r w:rsidR="00C006A7" w:rsidRPr="00C006A7">
              <w:rPr>
                <w:rFonts w:ascii="Times New Roman" w:eastAsiaTheme="minorEastAsia"/>
                <w:noProof/>
                <w:webHidden/>
                <w:sz w:val="28"/>
                <w:szCs w:val="28"/>
              </w:rPr>
              <w:fldChar w:fldCharType="separate"/>
            </w:r>
            <w:r w:rsidR="00A96BBC">
              <w:rPr>
                <w:rFonts w:ascii="Times New Roman" w:eastAsiaTheme="minorEastAsia"/>
                <w:noProof/>
                <w:webHidden/>
                <w:sz w:val="28"/>
                <w:szCs w:val="28"/>
              </w:rPr>
              <w:t>109</w:t>
            </w:r>
            <w:r w:rsidR="00C006A7" w:rsidRPr="00C006A7">
              <w:rPr>
                <w:rFonts w:ascii="Times New Roman" w:eastAsiaTheme="minorEastAsia"/>
                <w:noProof/>
                <w:webHidden/>
                <w:sz w:val="28"/>
                <w:szCs w:val="28"/>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88" w:history="1">
            <w:r w:rsidR="00C006A7" w:rsidRPr="00C006A7">
              <w:rPr>
                <w:rFonts w:ascii="Times New Roman" w:eastAsiaTheme="minorEastAsia"/>
                <w:noProof/>
                <w:sz w:val="24"/>
                <w:szCs w:val="24"/>
              </w:rPr>
              <w:t>4.1</w:t>
            </w:r>
            <w:r w:rsidR="00C006A7" w:rsidRPr="00C006A7">
              <w:rPr>
                <w:rFonts w:ascii="Times New Roman" w:eastAsiaTheme="minorEastAsia"/>
                <w:noProof/>
                <w:sz w:val="24"/>
                <w:szCs w:val="24"/>
              </w:rPr>
              <w:t>建设期环境影响分析</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_Toc16785288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109</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89" w:history="1">
            <w:r w:rsidR="00C006A7" w:rsidRPr="00C006A7">
              <w:rPr>
                <w:rFonts w:ascii="Times New Roman" w:eastAsiaTheme="minorEastAsia"/>
                <w:b w:val="0"/>
                <w:noProof/>
                <w:sz w:val="24"/>
                <w:szCs w:val="24"/>
              </w:rPr>
              <w:t>4.1.1</w:t>
            </w:r>
            <w:r w:rsidR="00C006A7" w:rsidRPr="00C006A7">
              <w:rPr>
                <w:rFonts w:ascii="Times New Roman" w:eastAsiaTheme="minorEastAsia" w:hAnsiTheme="minorEastAsia"/>
                <w:b w:val="0"/>
                <w:noProof/>
                <w:sz w:val="24"/>
                <w:szCs w:val="24"/>
              </w:rPr>
              <w:t>建设期生态环境影响分析与防治措施</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_Toc16785289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109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90" w:history="1">
            <w:r w:rsidR="00C006A7" w:rsidRPr="00C006A7">
              <w:rPr>
                <w:rFonts w:ascii="Times New Roman" w:eastAsiaTheme="minorEastAsia"/>
                <w:b w:val="0"/>
                <w:noProof/>
                <w:sz w:val="24"/>
                <w:szCs w:val="24"/>
              </w:rPr>
              <w:t>4.1.2</w:t>
            </w:r>
            <w:r w:rsidR="00C006A7" w:rsidRPr="00C006A7">
              <w:rPr>
                <w:rFonts w:ascii="Times New Roman" w:eastAsiaTheme="minorEastAsia" w:hAnsiTheme="minorEastAsia"/>
                <w:b w:val="0"/>
                <w:noProof/>
                <w:sz w:val="24"/>
                <w:szCs w:val="24"/>
              </w:rPr>
              <w:t>建设期水环境影响分析与防治措施</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_Toc16785290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111</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91" w:history="1">
            <w:r w:rsidR="00C006A7" w:rsidRPr="00C006A7">
              <w:rPr>
                <w:rFonts w:ascii="Times New Roman" w:eastAsiaTheme="minorEastAsia"/>
                <w:b w:val="0"/>
                <w:noProof/>
                <w:sz w:val="24"/>
                <w:szCs w:val="24"/>
              </w:rPr>
              <w:t>4.1.3</w:t>
            </w:r>
            <w:r w:rsidR="00C006A7" w:rsidRPr="00C006A7">
              <w:rPr>
                <w:rFonts w:ascii="Times New Roman" w:eastAsiaTheme="minorEastAsia" w:hAnsiTheme="minorEastAsia"/>
                <w:b w:val="0"/>
                <w:noProof/>
                <w:sz w:val="24"/>
                <w:szCs w:val="24"/>
              </w:rPr>
              <w:t>建设期大气环境影响分析与防治措施</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_Toc16785291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112</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92" w:history="1">
            <w:r w:rsidR="00C006A7" w:rsidRPr="00C006A7">
              <w:rPr>
                <w:rFonts w:ascii="Times New Roman" w:eastAsiaTheme="minorEastAsia"/>
                <w:b w:val="0"/>
                <w:noProof/>
                <w:sz w:val="24"/>
                <w:szCs w:val="24"/>
              </w:rPr>
              <w:t>4.1.4</w:t>
            </w:r>
            <w:r w:rsidR="00C006A7" w:rsidRPr="00C006A7">
              <w:rPr>
                <w:rFonts w:ascii="Times New Roman" w:eastAsiaTheme="minorEastAsia" w:hAnsiTheme="minorEastAsia"/>
                <w:b w:val="0"/>
                <w:noProof/>
                <w:sz w:val="24"/>
                <w:szCs w:val="24"/>
              </w:rPr>
              <w:t>建设期声环境影响分析与防治措施</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_Toc16785292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113</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93" w:history="1">
            <w:r w:rsidR="00C006A7" w:rsidRPr="00C006A7">
              <w:rPr>
                <w:rFonts w:ascii="Times New Roman" w:eastAsiaTheme="minorEastAsia"/>
                <w:b w:val="0"/>
                <w:noProof/>
                <w:sz w:val="24"/>
                <w:szCs w:val="24"/>
              </w:rPr>
              <w:t>4.1.5</w:t>
            </w:r>
            <w:r w:rsidR="00C006A7" w:rsidRPr="00C006A7">
              <w:rPr>
                <w:rFonts w:ascii="Times New Roman" w:eastAsiaTheme="minorEastAsia" w:hAnsiTheme="minorEastAsia"/>
                <w:b w:val="0"/>
                <w:noProof/>
                <w:sz w:val="24"/>
                <w:szCs w:val="24"/>
              </w:rPr>
              <w:t>建设期固体废弃物影响分析与防治措施</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_Toc16785293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115</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294" w:history="1">
            <w:r w:rsidR="00C006A7" w:rsidRPr="00C006A7">
              <w:rPr>
                <w:rFonts w:ascii="Times New Roman" w:eastAsiaTheme="minorEastAsia"/>
                <w:noProof/>
                <w:sz w:val="24"/>
                <w:szCs w:val="24"/>
              </w:rPr>
              <w:t>4.2</w:t>
            </w:r>
            <w:r w:rsidR="00C006A7" w:rsidRPr="00C006A7">
              <w:rPr>
                <w:rFonts w:ascii="Times New Roman" w:eastAsiaTheme="minorEastAsia"/>
                <w:noProof/>
                <w:sz w:val="24"/>
                <w:szCs w:val="24"/>
              </w:rPr>
              <w:t>运营期环境影响预测与评价</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_Toc16785294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115</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95" w:history="1">
            <w:r w:rsidR="00C006A7" w:rsidRPr="00C006A7">
              <w:rPr>
                <w:rFonts w:ascii="Times New Roman" w:eastAsiaTheme="minorEastAsia"/>
                <w:b w:val="0"/>
                <w:noProof/>
                <w:sz w:val="24"/>
                <w:szCs w:val="24"/>
              </w:rPr>
              <w:t>4.2.1</w:t>
            </w:r>
            <w:r w:rsidR="00C006A7" w:rsidRPr="00C006A7">
              <w:rPr>
                <w:rFonts w:ascii="Times New Roman" w:eastAsiaTheme="minorEastAsia" w:hAnsiTheme="minorEastAsia"/>
                <w:b w:val="0"/>
                <w:noProof/>
                <w:sz w:val="24"/>
                <w:szCs w:val="24"/>
              </w:rPr>
              <w:t>生态环境影响评价</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_Toc16785295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115</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96" w:history="1">
            <w:r w:rsidR="00C006A7" w:rsidRPr="00C006A7">
              <w:rPr>
                <w:rFonts w:ascii="Times New Roman" w:eastAsiaTheme="minorEastAsia"/>
                <w:b w:val="0"/>
                <w:noProof/>
                <w:sz w:val="24"/>
                <w:szCs w:val="24"/>
              </w:rPr>
              <w:t>4.2.2</w:t>
            </w:r>
            <w:r w:rsidR="00C006A7" w:rsidRPr="00C006A7">
              <w:rPr>
                <w:rFonts w:ascii="Times New Roman" w:eastAsiaTheme="minorEastAsia" w:hAnsiTheme="minorEastAsia"/>
                <w:b w:val="0"/>
                <w:noProof/>
                <w:sz w:val="24"/>
                <w:szCs w:val="24"/>
              </w:rPr>
              <w:t>地下水环境影响评价</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_Toc16785296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127</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97" w:history="1">
            <w:r w:rsidR="00C006A7" w:rsidRPr="00C006A7">
              <w:rPr>
                <w:rFonts w:ascii="Times New Roman" w:eastAsiaTheme="minorEastAsia"/>
                <w:b w:val="0"/>
                <w:noProof/>
                <w:sz w:val="24"/>
                <w:szCs w:val="24"/>
              </w:rPr>
              <w:t>4.2.3</w:t>
            </w:r>
            <w:r w:rsidR="00C006A7" w:rsidRPr="00C006A7">
              <w:rPr>
                <w:rFonts w:ascii="Times New Roman" w:eastAsiaTheme="minorEastAsia" w:hAnsiTheme="minorEastAsia"/>
                <w:b w:val="0"/>
                <w:noProof/>
                <w:sz w:val="24"/>
                <w:szCs w:val="24"/>
              </w:rPr>
              <w:t>地表水环境影响评价</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_Toc16785297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135</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98" w:history="1">
            <w:r w:rsidR="00C006A7" w:rsidRPr="00C006A7">
              <w:rPr>
                <w:rFonts w:ascii="Times New Roman" w:eastAsiaTheme="minorEastAsia"/>
                <w:b w:val="0"/>
                <w:noProof/>
                <w:sz w:val="24"/>
                <w:szCs w:val="24"/>
              </w:rPr>
              <w:t>4.2.4</w:t>
            </w:r>
            <w:r w:rsidR="00C006A7" w:rsidRPr="00C006A7">
              <w:rPr>
                <w:rFonts w:ascii="Times New Roman" w:eastAsiaTheme="minorEastAsia" w:hAnsiTheme="minorEastAsia"/>
                <w:b w:val="0"/>
                <w:noProof/>
                <w:sz w:val="24"/>
                <w:szCs w:val="24"/>
              </w:rPr>
              <w:t>大气环境影响预测与评价</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_Toc16785298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138</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299" w:history="1">
            <w:r w:rsidR="00C006A7" w:rsidRPr="00C006A7">
              <w:rPr>
                <w:rFonts w:ascii="Times New Roman" w:eastAsiaTheme="minorEastAsia"/>
                <w:b w:val="0"/>
                <w:noProof/>
                <w:sz w:val="24"/>
                <w:szCs w:val="24"/>
              </w:rPr>
              <w:t>4.2.5</w:t>
            </w:r>
            <w:r w:rsidR="00C006A7" w:rsidRPr="00C006A7">
              <w:rPr>
                <w:rFonts w:ascii="Times New Roman" w:eastAsiaTheme="minorEastAsia" w:hAnsiTheme="minorEastAsia"/>
                <w:b w:val="0"/>
                <w:noProof/>
                <w:sz w:val="24"/>
                <w:szCs w:val="24"/>
              </w:rPr>
              <w:t>噪声环境影响预测与评价</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_Toc16785299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144</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00" w:history="1">
            <w:r w:rsidR="00C006A7" w:rsidRPr="00C006A7">
              <w:rPr>
                <w:rFonts w:ascii="Times New Roman" w:eastAsiaTheme="minorEastAsia"/>
                <w:b w:val="0"/>
                <w:noProof/>
                <w:sz w:val="24"/>
                <w:szCs w:val="24"/>
              </w:rPr>
              <w:t>4.2.6</w:t>
            </w:r>
            <w:r w:rsidR="00C006A7" w:rsidRPr="00C006A7">
              <w:rPr>
                <w:rFonts w:ascii="Times New Roman" w:eastAsiaTheme="minorEastAsia" w:hAnsiTheme="minorEastAsia"/>
                <w:b w:val="0"/>
                <w:noProof/>
                <w:sz w:val="24"/>
                <w:szCs w:val="24"/>
              </w:rPr>
              <w:t>固体废物环境影响预测与评价</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_Toc16785300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147</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01" w:history="1">
            <w:r w:rsidR="00C006A7" w:rsidRPr="00C006A7">
              <w:rPr>
                <w:rFonts w:ascii="Times New Roman" w:eastAsiaTheme="minorEastAsia"/>
                <w:b w:val="0"/>
                <w:noProof/>
                <w:sz w:val="24"/>
                <w:szCs w:val="24"/>
              </w:rPr>
              <w:t>4.2.7</w:t>
            </w:r>
            <w:r w:rsidR="00C006A7" w:rsidRPr="00C006A7">
              <w:rPr>
                <w:rFonts w:ascii="Times New Roman" w:eastAsiaTheme="minorEastAsia" w:hAnsiTheme="minorEastAsia"/>
                <w:b w:val="0"/>
                <w:noProof/>
                <w:sz w:val="24"/>
                <w:szCs w:val="24"/>
              </w:rPr>
              <w:t>土壤环境影响分析</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_Toc16785301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148</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02" w:history="1">
            <w:r w:rsidR="00C006A7" w:rsidRPr="00C006A7">
              <w:rPr>
                <w:rFonts w:ascii="Times New Roman" w:eastAsiaTheme="minorEastAsia"/>
                <w:b w:val="0"/>
                <w:noProof/>
                <w:sz w:val="24"/>
                <w:szCs w:val="24"/>
              </w:rPr>
              <w:t>4.2.8</w:t>
            </w:r>
            <w:r w:rsidR="00C006A7" w:rsidRPr="00C006A7">
              <w:rPr>
                <w:rFonts w:ascii="Times New Roman" w:eastAsiaTheme="minorEastAsia" w:hAnsiTheme="minorEastAsia"/>
                <w:b w:val="0"/>
                <w:noProof/>
                <w:sz w:val="24"/>
                <w:szCs w:val="24"/>
              </w:rPr>
              <w:t>环境风险分析</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_Toc16785302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153</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03" w:history="1">
            <w:r w:rsidR="00C006A7" w:rsidRPr="00C006A7">
              <w:rPr>
                <w:rFonts w:ascii="Times New Roman" w:eastAsiaTheme="minorEastAsia"/>
                <w:noProof/>
                <w:sz w:val="24"/>
                <w:szCs w:val="24"/>
              </w:rPr>
              <w:t>4.3</w:t>
            </w:r>
            <w:r w:rsidR="00C006A7" w:rsidRPr="00C006A7">
              <w:rPr>
                <w:rFonts w:ascii="Times New Roman" w:eastAsiaTheme="minorEastAsia"/>
                <w:noProof/>
                <w:sz w:val="24"/>
                <w:szCs w:val="24"/>
              </w:rPr>
              <w:t>项目整合前后环境影响变化分析</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_Toc16785303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155</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jc w:val="left"/>
            <w:rPr>
              <w:rFonts w:ascii="Times New Roman" w:eastAsiaTheme="minorEastAsia"/>
              <w:noProof/>
              <w:sz w:val="28"/>
              <w:szCs w:val="28"/>
            </w:rPr>
          </w:pPr>
          <w:hyperlink w:anchor="_Toc16785304" w:history="1">
            <w:r w:rsidR="00C006A7" w:rsidRPr="00C006A7">
              <w:rPr>
                <w:rFonts w:ascii="Times New Roman" w:eastAsiaTheme="minorEastAsia"/>
                <w:noProof/>
                <w:sz w:val="28"/>
                <w:szCs w:val="28"/>
              </w:rPr>
              <w:t>5</w:t>
            </w:r>
            <w:r w:rsidR="00C006A7" w:rsidRPr="00C006A7">
              <w:rPr>
                <w:rFonts w:ascii="Times New Roman" w:eastAsiaTheme="minorEastAsia"/>
                <w:noProof/>
                <w:sz w:val="28"/>
                <w:szCs w:val="28"/>
              </w:rPr>
              <w:t>环保措施及可行性论证</w:t>
            </w:r>
            <w:r w:rsidR="00C006A7" w:rsidRPr="00C006A7">
              <w:rPr>
                <w:rFonts w:ascii="Times New Roman" w:eastAsiaTheme="minorEastAsia"/>
                <w:noProof/>
                <w:webHidden/>
                <w:sz w:val="28"/>
                <w:szCs w:val="28"/>
              </w:rPr>
              <w:tab/>
            </w:r>
            <w:r w:rsidR="00C006A7" w:rsidRPr="00C006A7">
              <w:rPr>
                <w:rFonts w:ascii="Times New Roman" w:eastAsiaTheme="minorEastAsia"/>
                <w:noProof/>
                <w:webHidden/>
                <w:sz w:val="28"/>
                <w:szCs w:val="28"/>
              </w:rPr>
              <w:fldChar w:fldCharType="begin"/>
            </w:r>
            <w:r w:rsidR="00C006A7" w:rsidRPr="00C006A7">
              <w:rPr>
                <w:rFonts w:ascii="Times New Roman" w:eastAsiaTheme="minorEastAsia"/>
                <w:noProof/>
                <w:webHidden/>
                <w:sz w:val="28"/>
                <w:szCs w:val="28"/>
              </w:rPr>
              <w:instrText xml:space="preserve"> PAGEREF _Toc16785304 \h </w:instrText>
            </w:r>
            <w:r w:rsidR="00C006A7" w:rsidRPr="00C006A7">
              <w:rPr>
                <w:rFonts w:ascii="Times New Roman" w:eastAsiaTheme="minorEastAsia"/>
                <w:noProof/>
                <w:webHidden/>
                <w:sz w:val="28"/>
                <w:szCs w:val="28"/>
              </w:rPr>
            </w:r>
            <w:r w:rsidR="00C006A7" w:rsidRPr="00C006A7">
              <w:rPr>
                <w:rFonts w:ascii="Times New Roman" w:eastAsiaTheme="minorEastAsia"/>
                <w:noProof/>
                <w:webHidden/>
                <w:sz w:val="28"/>
                <w:szCs w:val="28"/>
              </w:rPr>
              <w:fldChar w:fldCharType="separate"/>
            </w:r>
            <w:r w:rsidR="00A96BBC">
              <w:rPr>
                <w:rFonts w:ascii="Times New Roman" w:eastAsiaTheme="minorEastAsia"/>
                <w:noProof/>
                <w:webHidden/>
                <w:sz w:val="28"/>
                <w:szCs w:val="28"/>
              </w:rPr>
              <w:t>159</w:t>
            </w:r>
            <w:r w:rsidR="00C006A7" w:rsidRPr="00C006A7">
              <w:rPr>
                <w:rFonts w:ascii="Times New Roman" w:eastAsiaTheme="minorEastAsia"/>
                <w:noProof/>
                <w:webHidden/>
                <w:sz w:val="28"/>
                <w:szCs w:val="28"/>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05" w:history="1">
            <w:r w:rsidR="00C006A7" w:rsidRPr="00C006A7">
              <w:rPr>
                <w:rFonts w:ascii="Times New Roman" w:eastAsiaTheme="minorEastAsia"/>
                <w:noProof/>
                <w:sz w:val="24"/>
                <w:szCs w:val="24"/>
              </w:rPr>
              <w:t>5.1</w:t>
            </w:r>
            <w:r w:rsidR="00C006A7" w:rsidRPr="00C006A7">
              <w:rPr>
                <w:rFonts w:ascii="Times New Roman" w:eastAsiaTheme="minorEastAsia"/>
                <w:noProof/>
                <w:sz w:val="24"/>
                <w:szCs w:val="24"/>
              </w:rPr>
              <w:t>生态环境综合保护、防治措施</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_Toc16785305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159</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06" w:history="1">
            <w:r w:rsidR="00C006A7" w:rsidRPr="00C006A7">
              <w:rPr>
                <w:rFonts w:ascii="Times New Roman" w:eastAsiaTheme="minorEastAsia"/>
                <w:b w:val="0"/>
                <w:noProof/>
                <w:sz w:val="24"/>
                <w:szCs w:val="24"/>
              </w:rPr>
              <w:t>5.1.1</w:t>
            </w:r>
            <w:r w:rsidR="00C006A7" w:rsidRPr="00C006A7">
              <w:rPr>
                <w:rFonts w:ascii="Times New Roman" w:eastAsiaTheme="minorEastAsia" w:hAnsiTheme="minorEastAsia"/>
                <w:b w:val="0"/>
                <w:noProof/>
                <w:sz w:val="24"/>
                <w:szCs w:val="24"/>
              </w:rPr>
              <w:t>保护、防治原则</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_Toc16785306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159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07" w:history="1">
            <w:r w:rsidR="00C006A7" w:rsidRPr="00C006A7">
              <w:rPr>
                <w:rFonts w:ascii="Times New Roman" w:eastAsiaTheme="minorEastAsia"/>
                <w:b w:val="0"/>
                <w:noProof/>
                <w:sz w:val="24"/>
                <w:szCs w:val="24"/>
              </w:rPr>
              <w:t>5.1.2</w:t>
            </w:r>
            <w:r w:rsidR="00C006A7" w:rsidRPr="00C006A7">
              <w:rPr>
                <w:rFonts w:ascii="Times New Roman" w:eastAsiaTheme="minorEastAsia" w:hAnsiTheme="minorEastAsia"/>
                <w:b w:val="0"/>
                <w:noProof/>
                <w:sz w:val="24"/>
                <w:szCs w:val="24"/>
              </w:rPr>
              <w:t>生态综合保护、防治目标</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_Toc16785307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159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08" w:history="1">
            <w:r w:rsidR="00C006A7" w:rsidRPr="00C006A7">
              <w:rPr>
                <w:rFonts w:ascii="Times New Roman" w:eastAsiaTheme="minorEastAsia"/>
                <w:b w:val="0"/>
                <w:noProof/>
                <w:sz w:val="24"/>
                <w:szCs w:val="24"/>
              </w:rPr>
              <w:t>5.1.3</w:t>
            </w:r>
            <w:r w:rsidR="00C006A7" w:rsidRPr="00C006A7">
              <w:rPr>
                <w:rFonts w:ascii="Times New Roman" w:eastAsiaTheme="minorEastAsia" w:hAnsiTheme="minorEastAsia"/>
                <w:b w:val="0"/>
                <w:noProof/>
                <w:sz w:val="24"/>
                <w:szCs w:val="24"/>
              </w:rPr>
              <w:t>营运期生态影响综合整治措施</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_Toc16785308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159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09" w:history="1">
            <w:r w:rsidR="00C006A7" w:rsidRPr="00C006A7">
              <w:rPr>
                <w:rFonts w:ascii="Times New Roman" w:eastAsiaTheme="minorEastAsia"/>
                <w:b w:val="0"/>
                <w:noProof/>
                <w:sz w:val="24"/>
                <w:szCs w:val="24"/>
              </w:rPr>
              <w:t>5.1.4</w:t>
            </w:r>
            <w:r w:rsidR="00C006A7" w:rsidRPr="00C006A7">
              <w:rPr>
                <w:rFonts w:ascii="Times New Roman" w:eastAsiaTheme="minorEastAsia" w:hAnsiTheme="minorEastAsia"/>
                <w:b w:val="0"/>
                <w:noProof/>
                <w:sz w:val="24"/>
                <w:szCs w:val="24"/>
              </w:rPr>
              <w:t>生态环境监控计划</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_Toc16785309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164</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10" w:history="1">
            <w:r w:rsidR="00C006A7" w:rsidRPr="00C006A7">
              <w:rPr>
                <w:rFonts w:ascii="Times New Roman" w:eastAsiaTheme="minorEastAsia"/>
                <w:noProof/>
                <w:sz w:val="24"/>
                <w:szCs w:val="24"/>
              </w:rPr>
              <w:t>5.2</w:t>
            </w:r>
            <w:r w:rsidR="00C006A7" w:rsidRPr="00C006A7">
              <w:rPr>
                <w:rFonts w:ascii="Times New Roman" w:eastAsiaTheme="minorEastAsia"/>
                <w:noProof/>
                <w:sz w:val="24"/>
                <w:szCs w:val="24"/>
              </w:rPr>
              <w:t>地下水环境保护措施</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_Toc16785310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166</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11" w:history="1">
            <w:r w:rsidR="00C006A7" w:rsidRPr="00C006A7">
              <w:rPr>
                <w:rFonts w:ascii="Times New Roman" w:eastAsiaTheme="minorEastAsia"/>
                <w:b w:val="0"/>
                <w:noProof/>
                <w:sz w:val="24"/>
                <w:szCs w:val="24"/>
              </w:rPr>
              <w:t>5.2.1</w:t>
            </w:r>
            <w:r w:rsidR="00C006A7" w:rsidRPr="00C006A7">
              <w:rPr>
                <w:rFonts w:ascii="Times New Roman" w:eastAsiaTheme="minorEastAsia" w:hAnsiTheme="minorEastAsia"/>
                <w:b w:val="0"/>
                <w:noProof/>
                <w:sz w:val="24"/>
                <w:szCs w:val="24"/>
              </w:rPr>
              <w:t>场地区地下水保护措施</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_Toc16785311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166</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12" w:history="1">
            <w:r w:rsidR="00C006A7" w:rsidRPr="00C006A7">
              <w:rPr>
                <w:rFonts w:ascii="Times New Roman" w:eastAsiaTheme="minorEastAsia"/>
                <w:b w:val="0"/>
                <w:noProof/>
                <w:sz w:val="24"/>
                <w:szCs w:val="24"/>
              </w:rPr>
              <w:t>5.2.2</w:t>
            </w:r>
            <w:r w:rsidR="00C006A7" w:rsidRPr="00C006A7">
              <w:rPr>
                <w:rFonts w:ascii="Times New Roman" w:eastAsiaTheme="minorEastAsia" w:hAnsiTheme="minorEastAsia"/>
                <w:b w:val="0"/>
                <w:noProof/>
                <w:sz w:val="24"/>
                <w:szCs w:val="24"/>
              </w:rPr>
              <w:t>井田地下水保护措施</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_Toc16785312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167</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13" w:history="1">
            <w:r w:rsidR="00C006A7" w:rsidRPr="00C006A7">
              <w:rPr>
                <w:rFonts w:ascii="Times New Roman" w:eastAsiaTheme="minorEastAsia"/>
                <w:noProof/>
                <w:sz w:val="24"/>
                <w:szCs w:val="24"/>
              </w:rPr>
              <w:t>5.3</w:t>
            </w:r>
            <w:r w:rsidR="00C006A7" w:rsidRPr="00C006A7">
              <w:rPr>
                <w:rFonts w:ascii="Times New Roman" w:eastAsiaTheme="minorEastAsia"/>
                <w:noProof/>
                <w:sz w:val="24"/>
                <w:szCs w:val="24"/>
              </w:rPr>
              <w:t>地表水污染防治措施及可行性分析</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_Toc16785313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169</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14" w:history="1">
            <w:r w:rsidR="00C006A7" w:rsidRPr="00C006A7">
              <w:rPr>
                <w:rFonts w:ascii="Times New Roman" w:eastAsiaTheme="minorEastAsia"/>
                <w:b w:val="0"/>
                <w:noProof/>
                <w:sz w:val="24"/>
                <w:szCs w:val="24"/>
              </w:rPr>
              <w:t>5.3.1</w:t>
            </w:r>
            <w:r w:rsidR="00C006A7" w:rsidRPr="00C006A7">
              <w:rPr>
                <w:rFonts w:ascii="Times New Roman" w:eastAsiaTheme="minorEastAsia" w:hAnsiTheme="minorEastAsia"/>
                <w:b w:val="0"/>
                <w:noProof/>
                <w:sz w:val="24"/>
                <w:szCs w:val="24"/>
              </w:rPr>
              <w:t>选煤厂煤泥水闭路循环可靠性分析</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_Toc16785314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169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15" w:history="1">
            <w:r w:rsidR="00C006A7" w:rsidRPr="00C006A7">
              <w:rPr>
                <w:rFonts w:ascii="Times New Roman" w:eastAsiaTheme="minorEastAsia"/>
                <w:b w:val="0"/>
                <w:noProof/>
                <w:sz w:val="24"/>
                <w:szCs w:val="24"/>
              </w:rPr>
              <w:t>5.3.2</w:t>
            </w:r>
            <w:r w:rsidR="00C006A7" w:rsidRPr="00C006A7">
              <w:rPr>
                <w:rFonts w:ascii="Times New Roman" w:eastAsiaTheme="minorEastAsia" w:hAnsiTheme="minorEastAsia"/>
                <w:b w:val="0"/>
                <w:noProof/>
                <w:sz w:val="24"/>
                <w:szCs w:val="24"/>
              </w:rPr>
              <w:t>水资源利用及污染物处理措施可行性分析</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_Toc16785315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170</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16" w:history="1">
            <w:r w:rsidR="00C006A7" w:rsidRPr="00C006A7">
              <w:rPr>
                <w:rFonts w:ascii="Times New Roman" w:eastAsiaTheme="minorEastAsia"/>
                <w:b w:val="0"/>
                <w:noProof/>
                <w:sz w:val="24"/>
                <w:szCs w:val="24"/>
              </w:rPr>
              <w:t xml:space="preserve">5.3.3 </w:t>
            </w:r>
            <w:r w:rsidR="00C006A7" w:rsidRPr="00C006A7">
              <w:rPr>
                <w:rFonts w:ascii="Times New Roman" w:eastAsiaTheme="minorEastAsia" w:hAnsiTheme="minorEastAsia"/>
                <w:b w:val="0"/>
                <w:noProof/>
                <w:sz w:val="24"/>
                <w:szCs w:val="24"/>
              </w:rPr>
              <w:t>初期雨水收集</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_Toc16785316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171</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17" w:history="1">
            <w:r w:rsidR="00C006A7" w:rsidRPr="00C006A7">
              <w:rPr>
                <w:rFonts w:ascii="Times New Roman" w:eastAsiaTheme="minorEastAsia"/>
                <w:noProof/>
                <w:sz w:val="24"/>
                <w:szCs w:val="24"/>
              </w:rPr>
              <w:t>5.4</w:t>
            </w:r>
            <w:r w:rsidR="00C006A7" w:rsidRPr="00C006A7">
              <w:rPr>
                <w:rFonts w:ascii="Times New Roman" w:eastAsiaTheme="minorEastAsia"/>
                <w:noProof/>
                <w:sz w:val="24"/>
                <w:szCs w:val="24"/>
              </w:rPr>
              <w:t>大气污染防治措施</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_Toc16785317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172</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18" w:history="1">
            <w:r w:rsidR="00C006A7" w:rsidRPr="00C006A7">
              <w:rPr>
                <w:rFonts w:ascii="Times New Roman" w:eastAsiaTheme="minorEastAsia"/>
                <w:b w:val="0"/>
                <w:noProof/>
                <w:sz w:val="24"/>
                <w:szCs w:val="24"/>
              </w:rPr>
              <w:t>5.4.1</w:t>
            </w:r>
            <w:r w:rsidR="00C006A7" w:rsidRPr="00C006A7">
              <w:rPr>
                <w:rFonts w:ascii="Times New Roman" w:eastAsiaTheme="minorEastAsia" w:hAnsiTheme="minorEastAsia"/>
                <w:b w:val="0"/>
                <w:noProof/>
                <w:sz w:val="24"/>
                <w:szCs w:val="24"/>
              </w:rPr>
              <w:t>地面生产系统煤粉尘污染防治措施</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_Toc16785318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172</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19" w:history="1">
            <w:r w:rsidR="00C006A7" w:rsidRPr="00C006A7">
              <w:rPr>
                <w:rFonts w:ascii="Times New Roman" w:eastAsiaTheme="minorEastAsia"/>
                <w:b w:val="0"/>
                <w:noProof/>
                <w:sz w:val="24"/>
                <w:szCs w:val="24"/>
              </w:rPr>
              <w:t>5.4.2</w:t>
            </w:r>
            <w:r w:rsidR="00C006A7" w:rsidRPr="00C006A7">
              <w:rPr>
                <w:rFonts w:ascii="Times New Roman" w:eastAsiaTheme="minorEastAsia" w:hAnsiTheme="minorEastAsia"/>
                <w:b w:val="0"/>
                <w:noProof/>
                <w:sz w:val="24"/>
                <w:szCs w:val="24"/>
              </w:rPr>
              <w:t>储煤系统粉尘治理措施</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_Toc16785319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173</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20" w:history="1">
            <w:r w:rsidR="00C006A7" w:rsidRPr="00C006A7">
              <w:rPr>
                <w:rFonts w:ascii="Times New Roman" w:eastAsiaTheme="minorEastAsia"/>
                <w:b w:val="0"/>
                <w:noProof/>
                <w:sz w:val="24"/>
                <w:szCs w:val="24"/>
              </w:rPr>
              <w:t>5.4.3</w:t>
            </w:r>
            <w:r w:rsidR="00C006A7" w:rsidRPr="00C006A7">
              <w:rPr>
                <w:rFonts w:ascii="Times New Roman" w:eastAsiaTheme="minorEastAsia" w:hAnsiTheme="minorEastAsia"/>
                <w:b w:val="0"/>
                <w:noProof/>
                <w:sz w:val="24"/>
                <w:szCs w:val="24"/>
              </w:rPr>
              <w:t>道路扬尘污染防治</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_Toc16785320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173</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21" w:history="1">
            <w:r w:rsidR="00C006A7" w:rsidRPr="00C006A7">
              <w:rPr>
                <w:rFonts w:ascii="Times New Roman" w:eastAsiaTheme="minorEastAsia"/>
                <w:noProof/>
                <w:sz w:val="24"/>
                <w:szCs w:val="24"/>
              </w:rPr>
              <w:t>5.5</w:t>
            </w:r>
            <w:r w:rsidR="00C006A7" w:rsidRPr="00C006A7">
              <w:rPr>
                <w:rFonts w:ascii="Times New Roman" w:eastAsiaTheme="minorEastAsia"/>
                <w:noProof/>
                <w:sz w:val="24"/>
                <w:szCs w:val="24"/>
              </w:rPr>
              <w:t>噪声污染防治措施及可行性分析</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_Toc16785321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173</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22" w:history="1">
            <w:r w:rsidR="00C006A7" w:rsidRPr="00C006A7">
              <w:rPr>
                <w:rFonts w:ascii="Times New Roman" w:eastAsiaTheme="minorEastAsia"/>
                <w:noProof/>
                <w:sz w:val="24"/>
                <w:szCs w:val="24"/>
              </w:rPr>
              <w:t>5.6</w:t>
            </w:r>
            <w:r w:rsidR="00C006A7" w:rsidRPr="00C006A7">
              <w:rPr>
                <w:rFonts w:ascii="Times New Roman" w:eastAsiaTheme="minorEastAsia"/>
                <w:noProof/>
                <w:sz w:val="24"/>
                <w:szCs w:val="24"/>
              </w:rPr>
              <w:t>固体废物污染防治措施及可行性分析</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_Toc16785322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175</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23" w:history="1">
            <w:r w:rsidR="00C006A7" w:rsidRPr="00C006A7">
              <w:rPr>
                <w:rFonts w:ascii="Times New Roman" w:eastAsiaTheme="minorEastAsia"/>
                <w:b w:val="0"/>
                <w:noProof/>
                <w:sz w:val="24"/>
                <w:szCs w:val="24"/>
              </w:rPr>
              <w:t>5.6.1</w:t>
            </w:r>
            <w:r w:rsidR="00C006A7" w:rsidRPr="00C006A7">
              <w:rPr>
                <w:rFonts w:ascii="Times New Roman" w:eastAsiaTheme="minorEastAsia" w:hAnsiTheme="minorEastAsia"/>
                <w:b w:val="0"/>
                <w:noProof/>
                <w:sz w:val="24"/>
                <w:szCs w:val="24"/>
              </w:rPr>
              <w:t>煤矸石处置措施及可行性分析</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_Toc16785323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175</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24" w:history="1">
            <w:r w:rsidR="00C006A7" w:rsidRPr="00C006A7">
              <w:rPr>
                <w:rFonts w:ascii="Times New Roman" w:eastAsiaTheme="minorEastAsia"/>
                <w:b w:val="0"/>
                <w:noProof/>
                <w:sz w:val="24"/>
                <w:szCs w:val="24"/>
              </w:rPr>
              <w:t>5.6.2</w:t>
            </w:r>
            <w:r w:rsidR="00C006A7" w:rsidRPr="00C006A7">
              <w:rPr>
                <w:rFonts w:ascii="Times New Roman" w:eastAsiaTheme="minorEastAsia" w:hAnsiTheme="minorEastAsia"/>
                <w:b w:val="0"/>
                <w:noProof/>
                <w:sz w:val="24"/>
                <w:szCs w:val="24"/>
              </w:rPr>
              <w:t>生活垃圾处置措施</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_Toc16785324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177</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25" w:history="1">
            <w:r w:rsidR="00C006A7" w:rsidRPr="00C006A7">
              <w:rPr>
                <w:rFonts w:ascii="Times New Roman" w:eastAsiaTheme="minorEastAsia"/>
                <w:b w:val="0"/>
                <w:noProof/>
                <w:sz w:val="24"/>
                <w:szCs w:val="24"/>
              </w:rPr>
              <w:t>5.6.3</w:t>
            </w:r>
            <w:r w:rsidR="00C006A7" w:rsidRPr="00C006A7">
              <w:rPr>
                <w:rFonts w:ascii="Times New Roman" w:eastAsiaTheme="minorEastAsia" w:hAnsiTheme="minorEastAsia"/>
                <w:b w:val="0"/>
                <w:noProof/>
                <w:sz w:val="24"/>
                <w:szCs w:val="24"/>
              </w:rPr>
              <w:t>污水处理站污泥和煤泥处置措施</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_Toc16785325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177</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26" w:history="1">
            <w:r w:rsidR="00C006A7" w:rsidRPr="00C006A7">
              <w:rPr>
                <w:rFonts w:ascii="Times New Roman" w:eastAsiaTheme="minorEastAsia"/>
                <w:b w:val="0"/>
                <w:noProof/>
                <w:sz w:val="24"/>
                <w:szCs w:val="24"/>
              </w:rPr>
              <w:t>5.6.4</w:t>
            </w:r>
            <w:r w:rsidR="00C006A7" w:rsidRPr="00C006A7">
              <w:rPr>
                <w:rFonts w:ascii="Times New Roman" w:eastAsiaTheme="minorEastAsia" w:hAnsiTheme="minorEastAsia"/>
                <w:b w:val="0"/>
                <w:noProof/>
                <w:sz w:val="24"/>
                <w:szCs w:val="24"/>
              </w:rPr>
              <w:t>废机油等危险废物的处置要求</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_Toc16785326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177</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27" w:history="1">
            <w:r w:rsidR="00C006A7" w:rsidRPr="00C006A7">
              <w:rPr>
                <w:rFonts w:ascii="Times New Roman" w:eastAsiaTheme="minorEastAsia"/>
                <w:noProof/>
                <w:sz w:val="24"/>
                <w:szCs w:val="24"/>
              </w:rPr>
              <w:t>5.7</w:t>
            </w:r>
            <w:r w:rsidR="00C006A7" w:rsidRPr="00C006A7">
              <w:rPr>
                <w:rFonts w:ascii="Times New Roman" w:eastAsiaTheme="minorEastAsia"/>
                <w:noProof/>
                <w:sz w:val="24"/>
                <w:szCs w:val="24"/>
              </w:rPr>
              <w:t>土壤环境保护措施</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_Toc16785327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177</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jc w:val="left"/>
            <w:rPr>
              <w:rFonts w:ascii="Times New Roman" w:eastAsiaTheme="minorEastAsia"/>
              <w:noProof/>
              <w:sz w:val="28"/>
              <w:szCs w:val="28"/>
            </w:rPr>
          </w:pPr>
          <w:hyperlink w:anchor="_Toc16785328" w:history="1">
            <w:r w:rsidR="00C006A7" w:rsidRPr="00C006A7">
              <w:rPr>
                <w:rFonts w:ascii="Times New Roman" w:eastAsiaTheme="minorEastAsia"/>
                <w:noProof/>
                <w:sz w:val="28"/>
                <w:szCs w:val="28"/>
              </w:rPr>
              <w:t>6</w:t>
            </w:r>
            <w:r w:rsidR="00C006A7" w:rsidRPr="00C006A7">
              <w:rPr>
                <w:rFonts w:ascii="Times New Roman" w:eastAsiaTheme="minorEastAsia"/>
                <w:noProof/>
                <w:sz w:val="28"/>
                <w:szCs w:val="28"/>
              </w:rPr>
              <w:t>、环境经济损益分析</w:t>
            </w:r>
            <w:r w:rsidR="00C006A7" w:rsidRPr="00C006A7">
              <w:rPr>
                <w:rFonts w:ascii="Times New Roman" w:eastAsiaTheme="minorEastAsia"/>
                <w:noProof/>
                <w:webHidden/>
                <w:sz w:val="28"/>
                <w:szCs w:val="28"/>
              </w:rPr>
              <w:tab/>
            </w:r>
            <w:r w:rsidR="00C006A7" w:rsidRPr="00C006A7">
              <w:rPr>
                <w:rFonts w:ascii="Times New Roman" w:eastAsiaTheme="minorEastAsia"/>
                <w:noProof/>
                <w:webHidden/>
                <w:sz w:val="28"/>
                <w:szCs w:val="28"/>
              </w:rPr>
              <w:fldChar w:fldCharType="begin"/>
            </w:r>
            <w:r w:rsidR="00C006A7" w:rsidRPr="00C006A7">
              <w:rPr>
                <w:rFonts w:ascii="Times New Roman" w:eastAsiaTheme="minorEastAsia"/>
                <w:noProof/>
                <w:webHidden/>
                <w:sz w:val="28"/>
                <w:szCs w:val="28"/>
              </w:rPr>
              <w:instrText xml:space="preserve"> PAGEREF _Toc16785328 \h </w:instrText>
            </w:r>
            <w:r w:rsidR="00C006A7" w:rsidRPr="00C006A7">
              <w:rPr>
                <w:rFonts w:ascii="Times New Roman" w:eastAsiaTheme="minorEastAsia"/>
                <w:noProof/>
                <w:webHidden/>
                <w:sz w:val="28"/>
                <w:szCs w:val="28"/>
              </w:rPr>
            </w:r>
            <w:r w:rsidR="00C006A7" w:rsidRPr="00C006A7">
              <w:rPr>
                <w:rFonts w:ascii="Times New Roman" w:eastAsiaTheme="minorEastAsia"/>
                <w:noProof/>
                <w:webHidden/>
                <w:sz w:val="28"/>
                <w:szCs w:val="28"/>
              </w:rPr>
              <w:fldChar w:fldCharType="separate"/>
            </w:r>
            <w:r w:rsidR="00A96BBC">
              <w:rPr>
                <w:rFonts w:ascii="Times New Roman" w:eastAsiaTheme="minorEastAsia"/>
                <w:noProof/>
                <w:webHidden/>
                <w:sz w:val="28"/>
                <w:szCs w:val="28"/>
              </w:rPr>
              <w:t>179</w:t>
            </w:r>
            <w:r w:rsidR="00C006A7" w:rsidRPr="00C006A7">
              <w:rPr>
                <w:rFonts w:ascii="Times New Roman" w:eastAsiaTheme="minorEastAsia"/>
                <w:noProof/>
                <w:webHidden/>
                <w:sz w:val="28"/>
                <w:szCs w:val="28"/>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29" w:history="1">
            <w:r w:rsidR="00C006A7" w:rsidRPr="00C006A7">
              <w:rPr>
                <w:rFonts w:ascii="Times New Roman" w:eastAsiaTheme="minorEastAsia"/>
                <w:noProof/>
                <w:sz w:val="24"/>
                <w:szCs w:val="24"/>
              </w:rPr>
              <w:t>6.1</w:t>
            </w:r>
            <w:r w:rsidR="00C006A7" w:rsidRPr="00C006A7">
              <w:rPr>
                <w:rFonts w:ascii="Times New Roman" w:eastAsiaTheme="minorEastAsia"/>
                <w:noProof/>
                <w:sz w:val="24"/>
                <w:szCs w:val="24"/>
              </w:rPr>
              <w:t>环境保护工程投资分析</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_Toc16785329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179</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30" w:history="1">
            <w:r w:rsidR="00C006A7" w:rsidRPr="00C006A7">
              <w:rPr>
                <w:rFonts w:ascii="Times New Roman" w:eastAsiaTheme="minorEastAsia"/>
                <w:noProof/>
                <w:sz w:val="24"/>
                <w:szCs w:val="24"/>
              </w:rPr>
              <w:t>6.2</w:t>
            </w:r>
            <w:r w:rsidR="00C006A7" w:rsidRPr="00C006A7">
              <w:rPr>
                <w:rFonts w:ascii="Times New Roman" w:eastAsiaTheme="minorEastAsia"/>
                <w:noProof/>
                <w:sz w:val="24"/>
                <w:szCs w:val="24"/>
              </w:rPr>
              <w:t>环境经济损益分析</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_Toc16785330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179</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jc w:val="left"/>
            <w:rPr>
              <w:rFonts w:ascii="Times New Roman" w:eastAsiaTheme="minorEastAsia"/>
              <w:noProof/>
              <w:sz w:val="28"/>
              <w:szCs w:val="28"/>
            </w:rPr>
          </w:pPr>
          <w:hyperlink w:anchor="_Toc16785331" w:history="1">
            <w:r w:rsidR="00C006A7" w:rsidRPr="00C006A7">
              <w:rPr>
                <w:rFonts w:ascii="Times New Roman" w:eastAsiaTheme="minorEastAsia"/>
                <w:noProof/>
                <w:sz w:val="28"/>
                <w:szCs w:val="28"/>
              </w:rPr>
              <w:t>7</w:t>
            </w:r>
            <w:r w:rsidR="00C006A7" w:rsidRPr="00C006A7">
              <w:rPr>
                <w:rFonts w:ascii="Times New Roman" w:eastAsiaTheme="minorEastAsia"/>
                <w:noProof/>
                <w:sz w:val="28"/>
                <w:szCs w:val="28"/>
              </w:rPr>
              <w:t>、环境管理与环境监测计划</w:t>
            </w:r>
            <w:r w:rsidR="00C006A7" w:rsidRPr="00C006A7">
              <w:rPr>
                <w:rFonts w:ascii="Times New Roman" w:eastAsiaTheme="minorEastAsia"/>
                <w:noProof/>
                <w:webHidden/>
                <w:sz w:val="28"/>
                <w:szCs w:val="28"/>
              </w:rPr>
              <w:tab/>
            </w:r>
            <w:r w:rsidR="00C006A7" w:rsidRPr="00C006A7">
              <w:rPr>
                <w:rFonts w:ascii="Times New Roman" w:eastAsiaTheme="minorEastAsia"/>
                <w:noProof/>
                <w:webHidden/>
                <w:sz w:val="28"/>
                <w:szCs w:val="28"/>
              </w:rPr>
              <w:fldChar w:fldCharType="begin"/>
            </w:r>
            <w:r w:rsidR="00C006A7" w:rsidRPr="00C006A7">
              <w:rPr>
                <w:rFonts w:ascii="Times New Roman" w:eastAsiaTheme="minorEastAsia"/>
                <w:noProof/>
                <w:webHidden/>
                <w:sz w:val="28"/>
                <w:szCs w:val="28"/>
              </w:rPr>
              <w:instrText xml:space="preserve"> PAGEREF _Toc16785331 \h </w:instrText>
            </w:r>
            <w:r w:rsidR="00C006A7" w:rsidRPr="00C006A7">
              <w:rPr>
                <w:rFonts w:ascii="Times New Roman" w:eastAsiaTheme="minorEastAsia"/>
                <w:noProof/>
                <w:webHidden/>
                <w:sz w:val="28"/>
                <w:szCs w:val="28"/>
              </w:rPr>
            </w:r>
            <w:r w:rsidR="00C006A7" w:rsidRPr="00C006A7">
              <w:rPr>
                <w:rFonts w:ascii="Times New Roman" w:eastAsiaTheme="minorEastAsia"/>
                <w:noProof/>
                <w:webHidden/>
                <w:sz w:val="28"/>
                <w:szCs w:val="28"/>
              </w:rPr>
              <w:fldChar w:fldCharType="separate"/>
            </w:r>
            <w:r w:rsidR="00A96BBC">
              <w:rPr>
                <w:rFonts w:ascii="Times New Roman" w:eastAsiaTheme="minorEastAsia"/>
                <w:noProof/>
                <w:webHidden/>
                <w:sz w:val="28"/>
                <w:szCs w:val="28"/>
              </w:rPr>
              <w:t>183</w:t>
            </w:r>
            <w:r w:rsidR="00C006A7" w:rsidRPr="00C006A7">
              <w:rPr>
                <w:rFonts w:ascii="Times New Roman" w:eastAsiaTheme="minorEastAsia"/>
                <w:noProof/>
                <w:webHidden/>
                <w:sz w:val="28"/>
                <w:szCs w:val="28"/>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32" w:history="1">
            <w:r w:rsidR="00C006A7" w:rsidRPr="00C006A7">
              <w:rPr>
                <w:rFonts w:ascii="Times New Roman" w:eastAsiaTheme="minorEastAsia"/>
                <w:noProof/>
                <w:sz w:val="24"/>
                <w:szCs w:val="24"/>
              </w:rPr>
              <w:t>7.1</w:t>
            </w:r>
            <w:r w:rsidR="00C006A7" w:rsidRPr="00C006A7">
              <w:rPr>
                <w:rFonts w:ascii="Times New Roman" w:eastAsiaTheme="minorEastAsia"/>
                <w:noProof/>
                <w:sz w:val="24"/>
                <w:szCs w:val="24"/>
              </w:rPr>
              <w:t>环境管理机构职责</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_Toc16785332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183</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33" w:history="1">
            <w:r w:rsidR="00C006A7" w:rsidRPr="00C006A7">
              <w:rPr>
                <w:rFonts w:ascii="Times New Roman" w:eastAsiaTheme="minorEastAsia"/>
                <w:b w:val="0"/>
                <w:noProof/>
                <w:sz w:val="24"/>
                <w:szCs w:val="24"/>
              </w:rPr>
              <w:t>7.1.1</w:t>
            </w:r>
            <w:r w:rsidR="00C006A7" w:rsidRPr="00C006A7">
              <w:rPr>
                <w:rFonts w:ascii="Times New Roman" w:eastAsiaTheme="minorEastAsia" w:hAnsiTheme="minorEastAsia"/>
                <w:b w:val="0"/>
                <w:noProof/>
                <w:sz w:val="24"/>
                <w:szCs w:val="24"/>
              </w:rPr>
              <w:t>企业内部环境管理机构设立</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_Toc16785333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183</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34" w:history="1">
            <w:r w:rsidR="00C006A7" w:rsidRPr="00C006A7">
              <w:rPr>
                <w:rFonts w:ascii="Times New Roman" w:eastAsiaTheme="minorEastAsia"/>
                <w:b w:val="0"/>
                <w:noProof/>
                <w:sz w:val="24"/>
                <w:szCs w:val="24"/>
              </w:rPr>
              <w:t>7.1.2</w:t>
            </w:r>
            <w:r w:rsidR="00C006A7" w:rsidRPr="00C006A7">
              <w:rPr>
                <w:rFonts w:ascii="Times New Roman" w:eastAsiaTheme="minorEastAsia" w:hAnsiTheme="minorEastAsia"/>
                <w:b w:val="0"/>
                <w:noProof/>
                <w:sz w:val="24"/>
                <w:szCs w:val="24"/>
              </w:rPr>
              <w:t>环境管理机构的职责</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_Toc16785334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183</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35" w:history="1">
            <w:r w:rsidR="00C006A7" w:rsidRPr="00C006A7">
              <w:rPr>
                <w:rFonts w:ascii="Times New Roman" w:eastAsiaTheme="minorEastAsia"/>
                <w:noProof/>
                <w:sz w:val="24"/>
                <w:szCs w:val="24"/>
              </w:rPr>
              <w:t>7.2</w:t>
            </w:r>
            <w:r w:rsidR="00C006A7" w:rsidRPr="00C006A7">
              <w:rPr>
                <w:rFonts w:ascii="Times New Roman" w:eastAsiaTheme="minorEastAsia"/>
                <w:noProof/>
                <w:sz w:val="24"/>
                <w:szCs w:val="24"/>
              </w:rPr>
              <w:t>建设期环境管理和环境监理</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_Toc16785335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183</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36" w:history="1">
            <w:r w:rsidR="00C006A7" w:rsidRPr="00C006A7">
              <w:rPr>
                <w:rFonts w:ascii="Times New Roman" w:eastAsiaTheme="minorEastAsia"/>
                <w:b w:val="0"/>
                <w:noProof/>
                <w:sz w:val="24"/>
                <w:szCs w:val="24"/>
              </w:rPr>
              <w:t>7.2.1</w:t>
            </w:r>
            <w:r w:rsidR="00C006A7" w:rsidRPr="00C006A7">
              <w:rPr>
                <w:rFonts w:ascii="Times New Roman" w:eastAsiaTheme="minorEastAsia" w:hAnsiTheme="minorEastAsia"/>
                <w:b w:val="0"/>
                <w:noProof/>
                <w:sz w:val="24"/>
                <w:szCs w:val="24"/>
              </w:rPr>
              <w:t>建设期环境管理</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_Toc16785336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183</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37" w:history="1">
            <w:r w:rsidR="00C006A7" w:rsidRPr="00C006A7">
              <w:rPr>
                <w:rFonts w:ascii="Times New Roman" w:eastAsiaTheme="minorEastAsia"/>
                <w:b w:val="0"/>
                <w:noProof/>
                <w:sz w:val="24"/>
                <w:szCs w:val="24"/>
              </w:rPr>
              <w:t>7.2.2</w:t>
            </w:r>
            <w:r w:rsidR="00C006A7" w:rsidRPr="00C006A7">
              <w:rPr>
                <w:rFonts w:ascii="Times New Roman" w:eastAsiaTheme="minorEastAsia" w:hAnsiTheme="minorEastAsia"/>
                <w:b w:val="0"/>
                <w:noProof/>
                <w:sz w:val="24"/>
                <w:szCs w:val="24"/>
              </w:rPr>
              <w:t>建设期环境监理</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_Toc16785337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186</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38" w:history="1">
            <w:r w:rsidR="00C006A7" w:rsidRPr="00C006A7">
              <w:rPr>
                <w:rFonts w:ascii="Times New Roman" w:eastAsiaTheme="minorEastAsia"/>
                <w:noProof/>
                <w:sz w:val="24"/>
                <w:szCs w:val="24"/>
              </w:rPr>
              <w:t>7.3</w:t>
            </w:r>
            <w:r w:rsidR="00C006A7" w:rsidRPr="00C006A7">
              <w:rPr>
                <w:rFonts w:ascii="Times New Roman" w:eastAsiaTheme="minorEastAsia"/>
                <w:noProof/>
                <w:sz w:val="24"/>
                <w:szCs w:val="24"/>
              </w:rPr>
              <w:t>运行期环境管理及监测计划</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_Toc16785338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186</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39" w:history="1">
            <w:r w:rsidR="00C006A7" w:rsidRPr="00C006A7">
              <w:rPr>
                <w:rFonts w:ascii="Times New Roman" w:eastAsiaTheme="minorEastAsia"/>
                <w:b w:val="0"/>
                <w:noProof/>
                <w:sz w:val="24"/>
                <w:szCs w:val="24"/>
              </w:rPr>
              <w:t>7.3.1</w:t>
            </w:r>
            <w:r w:rsidR="00C006A7" w:rsidRPr="00C006A7">
              <w:rPr>
                <w:rFonts w:ascii="Times New Roman" w:eastAsiaTheme="minorEastAsia" w:hAnsiTheme="minorEastAsia"/>
                <w:b w:val="0"/>
                <w:noProof/>
                <w:sz w:val="24"/>
                <w:szCs w:val="24"/>
              </w:rPr>
              <w:t>运行期环境管理</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_Toc16785339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186</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40" w:history="1">
            <w:r w:rsidR="00C006A7" w:rsidRPr="00C006A7">
              <w:rPr>
                <w:rFonts w:ascii="Times New Roman" w:eastAsiaTheme="minorEastAsia"/>
                <w:b w:val="0"/>
                <w:noProof/>
                <w:sz w:val="24"/>
                <w:szCs w:val="24"/>
              </w:rPr>
              <w:t>7.3.2</w:t>
            </w:r>
            <w:r w:rsidR="00C006A7" w:rsidRPr="00C006A7">
              <w:rPr>
                <w:rFonts w:ascii="Times New Roman" w:eastAsiaTheme="minorEastAsia" w:hAnsiTheme="minorEastAsia"/>
                <w:b w:val="0"/>
                <w:noProof/>
                <w:sz w:val="24"/>
                <w:szCs w:val="24"/>
              </w:rPr>
              <w:t>运行期环境监测计划</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_Toc16785340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186</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41" w:history="1">
            <w:r w:rsidR="00C006A7" w:rsidRPr="00C006A7">
              <w:rPr>
                <w:rFonts w:ascii="Times New Roman" w:eastAsiaTheme="minorEastAsia"/>
                <w:noProof/>
                <w:sz w:val="24"/>
                <w:szCs w:val="24"/>
              </w:rPr>
              <w:t xml:space="preserve">7.4 </w:t>
            </w:r>
            <w:r w:rsidR="00C006A7" w:rsidRPr="00C006A7">
              <w:rPr>
                <w:rFonts w:ascii="Times New Roman" w:eastAsiaTheme="minorEastAsia"/>
                <w:noProof/>
                <w:sz w:val="24"/>
                <w:szCs w:val="24"/>
              </w:rPr>
              <w:t>排污口规范化管理</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_Toc16785341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189</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42" w:history="1">
            <w:r w:rsidR="00C006A7" w:rsidRPr="00C006A7">
              <w:rPr>
                <w:rFonts w:ascii="Times New Roman" w:eastAsiaTheme="minorEastAsia"/>
                <w:b w:val="0"/>
                <w:noProof/>
                <w:sz w:val="24"/>
                <w:szCs w:val="24"/>
              </w:rPr>
              <w:t>7.4.1</w:t>
            </w:r>
            <w:r w:rsidR="00C006A7" w:rsidRPr="00C006A7">
              <w:rPr>
                <w:rFonts w:ascii="Times New Roman" w:eastAsiaTheme="minorEastAsia" w:hAnsiTheme="minorEastAsia"/>
                <w:b w:val="0"/>
                <w:noProof/>
                <w:sz w:val="24"/>
                <w:szCs w:val="24"/>
              </w:rPr>
              <w:t>排污口规范化管理的基本原则</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_Toc16785342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189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43" w:history="1">
            <w:r w:rsidR="00C006A7" w:rsidRPr="00C006A7">
              <w:rPr>
                <w:rFonts w:ascii="Times New Roman" w:eastAsiaTheme="minorEastAsia"/>
                <w:b w:val="0"/>
                <w:noProof/>
                <w:sz w:val="24"/>
                <w:szCs w:val="24"/>
              </w:rPr>
              <w:t>7.4.2</w:t>
            </w:r>
            <w:r w:rsidR="00C006A7" w:rsidRPr="00C006A7">
              <w:rPr>
                <w:rFonts w:ascii="Times New Roman" w:eastAsiaTheme="minorEastAsia" w:hAnsiTheme="minorEastAsia"/>
                <w:b w:val="0"/>
                <w:noProof/>
                <w:sz w:val="24"/>
                <w:szCs w:val="24"/>
              </w:rPr>
              <w:t>排污口的技术要求</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_Toc16785343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189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44" w:history="1">
            <w:r w:rsidR="00C006A7" w:rsidRPr="00C006A7">
              <w:rPr>
                <w:rFonts w:ascii="Times New Roman" w:eastAsiaTheme="minorEastAsia"/>
                <w:b w:val="0"/>
                <w:noProof/>
                <w:sz w:val="24"/>
                <w:szCs w:val="24"/>
              </w:rPr>
              <w:t>7.4.3</w:t>
            </w:r>
            <w:r w:rsidR="00C006A7" w:rsidRPr="00C006A7">
              <w:rPr>
                <w:rFonts w:ascii="Times New Roman" w:eastAsiaTheme="minorEastAsia" w:hAnsiTheme="minorEastAsia"/>
                <w:b w:val="0"/>
                <w:noProof/>
                <w:sz w:val="24"/>
                <w:szCs w:val="24"/>
              </w:rPr>
              <w:t>排污口立标管理</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_Toc16785344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189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45" w:history="1">
            <w:r w:rsidR="00C006A7" w:rsidRPr="00C006A7">
              <w:rPr>
                <w:rFonts w:ascii="Times New Roman" w:eastAsiaTheme="minorEastAsia"/>
                <w:b w:val="0"/>
                <w:noProof/>
                <w:sz w:val="24"/>
                <w:szCs w:val="24"/>
              </w:rPr>
              <w:t>7.4.4</w:t>
            </w:r>
            <w:r w:rsidR="00C006A7" w:rsidRPr="00C006A7">
              <w:rPr>
                <w:rFonts w:ascii="Times New Roman" w:eastAsiaTheme="minorEastAsia" w:hAnsiTheme="minorEastAsia"/>
                <w:b w:val="0"/>
                <w:noProof/>
                <w:sz w:val="24"/>
                <w:szCs w:val="24"/>
              </w:rPr>
              <w:t>排污口建档管理</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_Toc16785345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189</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46" w:history="1">
            <w:r w:rsidR="00C006A7" w:rsidRPr="00C006A7">
              <w:rPr>
                <w:rFonts w:ascii="Times New Roman" w:eastAsiaTheme="minorEastAsia"/>
                <w:noProof/>
                <w:sz w:val="24"/>
                <w:szCs w:val="24"/>
              </w:rPr>
              <w:t>7.5</w:t>
            </w:r>
            <w:r w:rsidR="00C006A7" w:rsidRPr="00C006A7">
              <w:rPr>
                <w:rFonts w:ascii="Times New Roman" w:eastAsiaTheme="minorEastAsia"/>
                <w:noProof/>
                <w:sz w:val="24"/>
                <w:szCs w:val="24"/>
              </w:rPr>
              <w:t>企业环境信息公开</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_Toc16785346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191</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47" w:history="1">
            <w:r w:rsidR="00C006A7" w:rsidRPr="00C006A7">
              <w:rPr>
                <w:rFonts w:ascii="Times New Roman" w:eastAsiaTheme="minorEastAsia"/>
                <w:noProof/>
                <w:sz w:val="24"/>
                <w:szCs w:val="24"/>
              </w:rPr>
              <w:t>7.6</w:t>
            </w:r>
            <w:r w:rsidR="00C006A7" w:rsidRPr="00C006A7">
              <w:rPr>
                <w:rFonts w:ascii="Times New Roman" w:eastAsiaTheme="minorEastAsia"/>
                <w:noProof/>
                <w:sz w:val="24"/>
                <w:szCs w:val="24"/>
              </w:rPr>
              <w:t>排污许可要求</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_Toc16785347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191</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48" w:history="1">
            <w:r w:rsidR="00C006A7" w:rsidRPr="00C006A7">
              <w:rPr>
                <w:rFonts w:ascii="Times New Roman" w:eastAsiaTheme="minorEastAsia"/>
                <w:noProof/>
                <w:sz w:val="24"/>
                <w:szCs w:val="24"/>
              </w:rPr>
              <w:t>7.7</w:t>
            </w:r>
            <w:r w:rsidR="00C006A7" w:rsidRPr="00C006A7">
              <w:rPr>
                <w:rFonts w:ascii="Times New Roman" w:eastAsiaTheme="minorEastAsia"/>
                <w:noProof/>
                <w:sz w:val="24"/>
                <w:szCs w:val="24"/>
              </w:rPr>
              <w:t>环保设施验收清单</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_Toc16785348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191</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jc w:val="left"/>
            <w:rPr>
              <w:rFonts w:ascii="Times New Roman" w:eastAsiaTheme="minorEastAsia"/>
              <w:noProof/>
              <w:sz w:val="28"/>
              <w:szCs w:val="28"/>
            </w:rPr>
          </w:pPr>
          <w:hyperlink w:anchor="_Toc16785349" w:history="1">
            <w:r w:rsidR="00C006A7" w:rsidRPr="00C006A7">
              <w:rPr>
                <w:rFonts w:ascii="Times New Roman" w:eastAsiaTheme="minorEastAsia"/>
                <w:noProof/>
                <w:sz w:val="28"/>
                <w:szCs w:val="28"/>
              </w:rPr>
              <w:t>8</w:t>
            </w:r>
            <w:r w:rsidR="00C006A7" w:rsidRPr="00C006A7">
              <w:rPr>
                <w:rFonts w:ascii="Times New Roman" w:eastAsiaTheme="minorEastAsia" w:hAnsiTheme="minorEastAsia"/>
                <w:noProof/>
                <w:sz w:val="28"/>
                <w:szCs w:val="28"/>
              </w:rPr>
              <w:t>、结论与建议</w:t>
            </w:r>
            <w:r w:rsidR="00C006A7" w:rsidRPr="00C006A7">
              <w:rPr>
                <w:rFonts w:ascii="Times New Roman" w:eastAsiaTheme="minorEastAsia"/>
                <w:noProof/>
                <w:webHidden/>
                <w:sz w:val="28"/>
                <w:szCs w:val="28"/>
              </w:rPr>
              <w:tab/>
            </w:r>
            <w:r w:rsidR="00C006A7" w:rsidRPr="00C006A7">
              <w:rPr>
                <w:rFonts w:ascii="Times New Roman" w:eastAsiaTheme="minorEastAsia"/>
                <w:noProof/>
                <w:webHidden/>
                <w:sz w:val="28"/>
                <w:szCs w:val="28"/>
              </w:rPr>
              <w:fldChar w:fldCharType="begin"/>
            </w:r>
            <w:r w:rsidR="00C006A7" w:rsidRPr="00C006A7">
              <w:rPr>
                <w:rFonts w:ascii="Times New Roman" w:eastAsiaTheme="minorEastAsia"/>
                <w:noProof/>
                <w:webHidden/>
                <w:sz w:val="28"/>
                <w:szCs w:val="28"/>
              </w:rPr>
              <w:instrText xml:space="preserve"> PAGEREF _Toc16785349 \h </w:instrText>
            </w:r>
            <w:r w:rsidR="00C006A7" w:rsidRPr="00C006A7">
              <w:rPr>
                <w:rFonts w:ascii="Times New Roman" w:eastAsiaTheme="minorEastAsia"/>
                <w:noProof/>
                <w:webHidden/>
                <w:sz w:val="28"/>
                <w:szCs w:val="28"/>
              </w:rPr>
            </w:r>
            <w:r w:rsidR="00C006A7" w:rsidRPr="00C006A7">
              <w:rPr>
                <w:rFonts w:ascii="Times New Roman" w:eastAsiaTheme="minorEastAsia"/>
                <w:noProof/>
                <w:webHidden/>
                <w:sz w:val="28"/>
                <w:szCs w:val="28"/>
              </w:rPr>
              <w:fldChar w:fldCharType="separate"/>
            </w:r>
            <w:r w:rsidR="00A96BBC">
              <w:rPr>
                <w:rFonts w:ascii="Times New Roman" w:eastAsiaTheme="minorEastAsia"/>
                <w:noProof/>
                <w:webHidden/>
                <w:sz w:val="28"/>
                <w:szCs w:val="28"/>
              </w:rPr>
              <w:t>193</w:t>
            </w:r>
            <w:r w:rsidR="00C006A7" w:rsidRPr="00C006A7">
              <w:rPr>
                <w:rFonts w:ascii="Times New Roman" w:eastAsiaTheme="minorEastAsia"/>
                <w:noProof/>
                <w:webHidden/>
                <w:sz w:val="28"/>
                <w:szCs w:val="28"/>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50" w:history="1">
            <w:r w:rsidR="00C006A7" w:rsidRPr="00C006A7">
              <w:rPr>
                <w:rFonts w:ascii="Times New Roman" w:eastAsiaTheme="minorEastAsia"/>
                <w:noProof/>
                <w:sz w:val="24"/>
                <w:szCs w:val="24"/>
              </w:rPr>
              <w:t>8.1</w:t>
            </w:r>
            <w:r w:rsidR="00C006A7" w:rsidRPr="00C006A7">
              <w:rPr>
                <w:rFonts w:ascii="Times New Roman" w:eastAsiaTheme="minorEastAsia"/>
                <w:noProof/>
                <w:sz w:val="24"/>
                <w:szCs w:val="24"/>
              </w:rPr>
              <w:t>项目概况及主要影响结论</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_Toc16785350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193</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51" w:history="1">
            <w:r w:rsidR="00C006A7" w:rsidRPr="00C006A7">
              <w:rPr>
                <w:rFonts w:ascii="Times New Roman" w:eastAsiaTheme="minorEastAsia"/>
                <w:b w:val="0"/>
                <w:noProof/>
                <w:sz w:val="24"/>
                <w:szCs w:val="24"/>
              </w:rPr>
              <w:t>8.1.1</w:t>
            </w:r>
            <w:r w:rsidR="00C006A7" w:rsidRPr="00C006A7">
              <w:rPr>
                <w:rFonts w:ascii="Times New Roman" w:eastAsiaTheme="minorEastAsia" w:hAnsiTheme="minorEastAsia"/>
                <w:b w:val="0"/>
                <w:noProof/>
                <w:sz w:val="24"/>
                <w:szCs w:val="24"/>
              </w:rPr>
              <w:t>项目概况</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_Toc16785351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193</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52" w:history="1">
            <w:r w:rsidR="00C006A7" w:rsidRPr="00C006A7">
              <w:rPr>
                <w:rFonts w:ascii="Times New Roman" w:eastAsiaTheme="minorEastAsia"/>
                <w:b w:val="0"/>
                <w:noProof/>
                <w:sz w:val="24"/>
                <w:szCs w:val="24"/>
              </w:rPr>
              <w:t>8.1.2</w:t>
            </w:r>
            <w:r w:rsidR="00C006A7" w:rsidRPr="00C006A7">
              <w:rPr>
                <w:rFonts w:ascii="Times New Roman" w:eastAsiaTheme="minorEastAsia" w:hAnsiTheme="minorEastAsia"/>
                <w:b w:val="0"/>
                <w:noProof/>
                <w:sz w:val="24"/>
                <w:szCs w:val="24"/>
              </w:rPr>
              <w:t>环境质量现状</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_Toc16785352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194</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53" w:history="1">
            <w:r w:rsidR="00C006A7" w:rsidRPr="00C006A7">
              <w:rPr>
                <w:rFonts w:ascii="Times New Roman" w:eastAsiaTheme="minorEastAsia"/>
                <w:b w:val="0"/>
                <w:noProof/>
                <w:sz w:val="24"/>
                <w:szCs w:val="24"/>
              </w:rPr>
              <w:t>8.1.3</w:t>
            </w:r>
            <w:r w:rsidR="00C006A7" w:rsidRPr="00C006A7">
              <w:rPr>
                <w:rFonts w:ascii="Times New Roman" w:eastAsiaTheme="minorEastAsia" w:hAnsiTheme="minorEastAsia"/>
                <w:b w:val="0"/>
                <w:noProof/>
                <w:sz w:val="24"/>
                <w:szCs w:val="24"/>
              </w:rPr>
              <w:t>污染物排放情况</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_Toc16785353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195</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54" w:history="1">
            <w:r w:rsidR="00C006A7" w:rsidRPr="00C006A7">
              <w:rPr>
                <w:rFonts w:ascii="Times New Roman" w:eastAsiaTheme="minorEastAsia"/>
                <w:b w:val="0"/>
                <w:noProof/>
                <w:sz w:val="24"/>
                <w:szCs w:val="24"/>
              </w:rPr>
              <w:t>8.1.4</w:t>
            </w:r>
            <w:r w:rsidR="00C006A7" w:rsidRPr="00C006A7">
              <w:rPr>
                <w:rFonts w:ascii="Times New Roman" w:eastAsiaTheme="minorEastAsia" w:hAnsiTheme="minorEastAsia"/>
                <w:b w:val="0"/>
                <w:noProof/>
                <w:sz w:val="24"/>
                <w:szCs w:val="24"/>
              </w:rPr>
              <w:t>主要环境影响及防治措施</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_Toc16785354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196</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55" w:history="1">
            <w:r w:rsidR="00C006A7" w:rsidRPr="00C006A7">
              <w:rPr>
                <w:rFonts w:ascii="Times New Roman" w:eastAsiaTheme="minorEastAsia"/>
                <w:b w:val="0"/>
                <w:noProof/>
                <w:sz w:val="24"/>
                <w:szCs w:val="24"/>
              </w:rPr>
              <w:t>8.1.5</w:t>
            </w:r>
            <w:r w:rsidR="00C006A7" w:rsidRPr="00C006A7">
              <w:rPr>
                <w:rFonts w:ascii="Times New Roman" w:eastAsiaTheme="minorEastAsia" w:hAnsiTheme="minorEastAsia"/>
                <w:b w:val="0"/>
                <w:noProof/>
                <w:sz w:val="24"/>
                <w:szCs w:val="24"/>
              </w:rPr>
              <w:t>公众参与意见采纳情况</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_Toc16785355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200</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56" w:history="1">
            <w:r w:rsidR="00C006A7" w:rsidRPr="00C006A7">
              <w:rPr>
                <w:rFonts w:ascii="Times New Roman" w:eastAsiaTheme="minorEastAsia"/>
                <w:b w:val="0"/>
                <w:noProof/>
                <w:sz w:val="24"/>
                <w:szCs w:val="24"/>
              </w:rPr>
              <w:t>8.1.6</w:t>
            </w:r>
            <w:r w:rsidR="00C006A7" w:rsidRPr="00C006A7">
              <w:rPr>
                <w:rFonts w:ascii="Times New Roman" w:eastAsiaTheme="minorEastAsia" w:hAnsiTheme="minorEastAsia"/>
                <w:b w:val="0"/>
                <w:noProof/>
                <w:sz w:val="24"/>
                <w:szCs w:val="24"/>
              </w:rPr>
              <w:t>环境影响经济损益分析</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_Toc16785356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200</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57" w:history="1">
            <w:r w:rsidR="00C006A7" w:rsidRPr="00C006A7">
              <w:rPr>
                <w:rFonts w:ascii="Times New Roman" w:eastAsiaTheme="minorEastAsia"/>
                <w:b w:val="0"/>
                <w:noProof/>
                <w:sz w:val="24"/>
                <w:szCs w:val="24"/>
              </w:rPr>
              <w:t>8.1.7</w:t>
            </w:r>
            <w:r w:rsidR="00C006A7" w:rsidRPr="00C006A7">
              <w:rPr>
                <w:rFonts w:ascii="Times New Roman" w:eastAsiaTheme="minorEastAsia" w:hAnsiTheme="minorEastAsia"/>
                <w:b w:val="0"/>
                <w:noProof/>
                <w:sz w:val="24"/>
                <w:szCs w:val="24"/>
              </w:rPr>
              <w:t>环境管理与监测计划</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_Toc16785357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201</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58" w:history="1">
            <w:r w:rsidR="00C006A7" w:rsidRPr="00C006A7">
              <w:rPr>
                <w:rFonts w:ascii="Times New Roman" w:eastAsiaTheme="minorEastAsia"/>
                <w:noProof/>
                <w:sz w:val="24"/>
                <w:szCs w:val="24"/>
              </w:rPr>
              <w:t>8.2</w:t>
            </w:r>
            <w:r w:rsidR="00C006A7" w:rsidRPr="00C006A7">
              <w:rPr>
                <w:rFonts w:ascii="Times New Roman" w:eastAsiaTheme="minorEastAsia" w:hAnsiTheme="minorEastAsia"/>
                <w:noProof/>
                <w:sz w:val="24"/>
                <w:szCs w:val="24"/>
              </w:rPr>
              <w:t>评价总结论</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_Toc16785358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201</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60" w:after="60" w:line="240" w:lineRule="auto"/>
            <w:ind w:firstLineChars="100" w:firstLine="301"/>
            <w:jc w:val="left"/>
            <w:rPr>
              <w:rFonts w:ascii="Times New Roman" w:eastAsiaTheme="minorEastAsia"/>
              <w:noProof/>
              <w:sz w:val="24"/>
              <w:szCs w:val="24"/>
            </w:rPr>
          </w:pPr>
          <w:hyperlink w:anchor="_Toc16785359" w:history="1">
            <w:r w:rsidR="00C006A7" w:rsidRPr="00C006A7">
              <w:rPr>
                <w:rFonts w:ascii="Times New Roman" w:eastAsiaTheme="minorEastAsia"/>
                <w:noProof/>
                <w:sz w:val="24"/>
                <w:szCs w:val="24"/>
              </w:rPr>
              <w:t>8.3</w:t>
            </w:r>
            <w:r w:rsidR="00C006A7" w:rsidRPr="00C006A7">
              <w:rPr>
                <w:rFonts w:ascii="Times New Roman" w:eastAsiaTheme="minorEastAsia" w:hAnsiTheme="minorEastAsia"/>
                <w:noProof/>
                <w:sz w:val="24"/>
                <w:szCs w:val="24"/>
              </w:rPr>
              <w:t>要求与建议</w:t>
            </w:r>
            <w:r w:rsidR="00C006A7" w:rsidRPr="00C006A7">
              <w:rPr>
                <w:rFonts w:ascii="Times New Roman" w:eastAsiaTheme="minorEastAsia"/>
                <w:noProof/>
                <w:webHidden/>
                <w:sz w:val="24"/>
                <w:szCs w:val="24"/>
              </w:rPr>
              <w:tab/>
            </w:r>
            <w:r w:rsidR="00C006A7" w:rsidRPr="00C006A7">
              <w:rPr>
                <w:rFonts w:ascii="Times New Roman" w:eastAsiaTheme="minorEastAsia"/>
                <w:noProof/>
                <w:webHidden/>
                <w:sz w:val="24"/>
                <w:szCs w:val="24"/>
              </w:rPr>
              <w:fldChar w:fldCharType="begin"/>
            </w:r>
            <w:r w:rsidR="00C006A7" w:rsidRPr="00C006A7">
              <w:rPr>
                <w:rFonts w:ascii="Times New Roman" w:eastAsiaTheme="minorEastAsia"/>
                <w:noProof/>
                <w:webHidden/>
                <w:sz w:val="24"/>
                <w:szCs w:val="24"/>
              </w:rPr>
              <w:instrText xml:space="preserve"> PAGEREF _Toc16785359 \h </w:instrText>
            </w:r>
            <w:r w:rsidR="00C006A7" w:rsidRPr="00C006A7">
              <w:rPr>
                <w:rFonts w:ascii="Times New Roman" w:eastAsiaTheme="minorEastAsia"/>
                <w:noProof/>
                <w:webHidden/>
                <w:sz w:val="24"/>
                <w:szCs w:val="24"/>
              </w:rPr>
            </w:r>
            <w:r w:rsidR="00C006A7" w:rsidRPr="00C006A7">
              <w:rPr>
                <w:rFonts w:ascii="Times New Roman" w:eastAsiaTheme="minorEastAsia"/>
                <w:noProof/>
                <w:webHidden/>
                <w:sz w:val="24"/>
                <w:szCs w:val="24"/>
              </w:rPr>
              <w:fldChar w:fldCharType="separate"/>
            </w:r>
            <w:r w:rsidR="00A96BBC">
              <w:rPr>
                <w:rFonts w:ascii="Times New Roman" w:eastAsiaTheme="minorEastAsia"/>
                <w:noProof/>
                <w:webHidden/>
                <w:sz w:val="24"/>
                <w:szCs w:val="24"/>
              </w:rPr>
              <w:t>201</w:t>
            </w:r>
            <w:r w:rsidR="00C006A7" w:rsidRPr="00C006A7">
              <w:rPr>
                <w:rFonts w:ascii="Times New Roman" w:eastAsiaTheme="minorEastAsia"/>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rFonts w:ascii="Times New Roman" w:eastAsiaTheme="minorEastAsia"/>
              <w:b w:val="0"/>
              <w:noProof/>
              <w:sz w:val="24"/>
              <w:szCs w:val="24"/>
            </w:rPr>
          </w:pPr>
          <w:hyperlink w:anchor="_Toc16785360" w:history="1">
            <w:r w:rsidR="00C006A7" w:rsidRPr="00C006A7">
              <w:rPr>
                <w:rFonts w:ascii="Times New Roman" w:eastAsiaTheme="minorEastAsia"/>
                <w:b w:val="0"/>
                <w:noProof/>
                <w:sz w:val="24"/>
                <w:szCs w:val="24"/>
              </w:rPr>
              <w:t>8.3.1</w:t>
            </w:r>
            <w:r w:rsidR="00C006A7" w:rsidRPr="00C006A7">
              <w:rPr>
                <w:rFonts w:ascii="Times New Roman" w:eastAsiaTheme="minorEastAsia" w:hAnsiTheme="minorEastAsia"/>
                <w:b w:val="0"/>
                <w:noProof/>
                <w:sz w:val="24"/>
                <w:szCs w:val="24"/>
              </w:rPr>
              <w:t>要求</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_Toc16785360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201</w:t>
            </w:r>
            <w:r w:rsidR="00C006A7" w:rsidRPr="00C006A7">
              <w:rPr>
                <w:rFonts w:ascii="Times New Roman" w:eastAsiaTheme="minorEastAsia"/>
                <w:b w:val="0"/>
                <w:noProof/>
                <w:webHidden/>
                <w:sz w:val="24"/>
                <w:szCs w:val="24"/>
              </w:rPr>
              <w:fldChar w:fldCharType="end"/>
            </w:r>
          </w:hyperlink>
        </w:p>
        <w:p w:rsidR="00C006A7" w:rsidRPr="00C006A7" w:rsidRDefault="003761EF" w:rsidP="00C006A7">
          <w:pPr>
            <w:pStyle w:val="TOC1"/>
            <w:tabs>
              <w:tab w:val="clear" w:pos="8302"/>
              <w:tab w:val="right" w:leader="dot" w:pos="9060"/>
            </w:tabs>
            <w:spacing w:before="0" w:after="0" w:line="240" w:lineRule="auto"/>
            <w:ind w:firstLineChars="200" w:firstLine="602"/>
            <w:jc w:val="left"/>
            <w:rPr>
              <w:noProof/>
            </w:rPr>
          </w:pPr>
          <w:hyperlink w:anchor="_Toc16785361" w:history="1">
            <w:r w:rsidR="00C006A7" w:rsidRPr="00C006A7">
              <w:rPr>
                <w:rFonts w:ascii="Times New Roman" w:eastAsiaTheme="minorEastAsia"/>
                <w:b w:val="0"/>
                <w:noProof/>
                <w:sz w:val="24"/>
                <w:szCs w:val="24"/>
              </w:rPr>
              <w:t>8.3.2</w:t>
            </w:r>
            <w:r w:rsidR="00C006A7" w:rsidRPr="00C006A7">
              <w:rPr>
                <w:rFonts w:ascii="Times New Roman" w:eastAsiaTheme="minorEastAsia" w:hAnsiTheme="minorEastAsia"/>
                <w:b w:val="0"/>
                <w:noProof/>
                <w:sz w:val="24"/>
                <w:szCs w:val="24"/>
              </w:rPr>
              <w:t>建议</w:t>
            </w:r>
            <w:r w:rsidR="00C006A7" w:rsidRPr="00C006A7">
              <w:rPr>
                <w:rFonts w:ascii="Times New Roman" w:eastAsiaTheme="minorEastAsia"/>
                <w:b w:val="0"/>
                <w:noProof/>
                <w:webHidden/>
                <w:sz w:val="24"/>
                <w:szCs w:val="24"/>
              </w:rPr>
              <w:tab/>
            </w:r>
            <w:r w:rsidR="00C006A7" w:rsidRPr="00C006A7">
              <w:rPr>
                <w:rFonts w:ascii="Times New Roman" w:eastAsiaTheme="minorEastAsia"/>
                <w:b w:val="0"/>
                <w:noProof/>
                <w:webHidden/>
                <w:sz w:val="24"/>
                <w:szCs w:val="24"/>
              </w:rPr>
              <w:fldChar w:fldCharType="begin"/>
            </w:r>
            <w:r w:rsidR="00C006A7" w:rsidRPr="00C006A7">
              <w:rPr>
                <w:rFonts w:ascii="Times New Roman" w:eastAsiaTheme="minorEastAsia"/>
                <w:b w:val="0"/>
                <w:noProof/>
                <w:webHidden/>
                <w:sz w:val="24"/>
                <w:szCs w:val="24"/>
              </w:rPr>
              <w:instrText xml:space="preserve"> PAGEREF _Toc16785361 \h </w:instrText>
            </w:r>
            <w:r w:rsidR="00C006A7" w:rsidRPr="00C006A7">
              <w:rPr>
                <w:rFonts w:ascii="Times New Roman" w:eastAsiaTheme="minorEastAsia"/>
                <w:b w:val="0"/>
                <w:noProof/>
                <w:webHidden/>
                <w:sz w:val="24"/>
                <w:szCs w:val="24"/>
              </w:rPr>
            </w:r>
            <w:r w:rsidR="00C006A7" w:rsidRPr="00C006A7">
              <w:rPr>
                <w:rFonts w:ascii="Times New Roman" w:eastAsiaTheme="minorEastAsia"/>
                <w:b w:val="0"/>
                <w:noProof/>
                <w:webHidden/>
                <w:sz w:val="24"/>
                <w:szCs w:val="24"/>
              </w:rPr>
              <w:fldChar w:fldCharType="separate"/>
            </w:r>
            <w:r w:rsidR="00A96BBC">
              <w:rPr>
                <w:rFonts w:ascii="Times New Roman" w:eastAsiaTheme="minorEastAsia"/>
                <w:b w:val="0"/>
                <w:noProof/>
                <w:webHidden/>
                <w:sz w:val="24"/>
                <w:szCs w:val="24"/>
              </w:rPr>
              <w:t>201</w:t>
            </w:r>
            <w:r w:rsidR="00C006A7" w:rsidRPr="00C006A7">
              <w:rPr>
                <w:rFonts w:ascii="Times New Roman" w:eastAsiaTheme="minorEastAsia"/>
                <w:b w:val="0"/>
                <w:noProof/>
                <w:webHidden/>
                <w:sz w:val="24"/>
                <w:szCs w:val="24"/>
              </w:rPr>
              <w:fldChar w:fldCharType="end"/>
            </w:r>
          </w:hyperlink>
        </w:p>
        <w:p w:rsidR="00C223F5" w:rsidRDefault="000F32AE" w:rsidP="00C006A7">
          <w:pPr>
            <w:pStyle w:val="TOC1"/>
            <w:tabs>
              <w:tab w:val="clear" w:pos="8302"/>
              <w:tab w:val="right" w:leader="dot" w:pos="9060"/>
            </w:tabs>
            <w:spacing w:before="0" w:after="0" w:line="240" w:lineRule="auto"/>
            <w:ind w:firstLineChars="200" w:firstLine="600"/>
            <w:jc w:val="left"/>
          </w:pPr>
          <w:r>
            <w:rPr>
              <w:rFonts w:asciiTheme="minorEastAsia" w:eastAsiaTheme="minorEastAsia" w:hAnsiTheme="minorEastAsia"/>
              <w:b w:val="0"/>
            </w:rPr>
            <w:fldChar w:fldCharType="end"/>
          </w:r>
        </w:p>
      </w:sdtContent>
    </w:sdt>
    <w:p w:rsidR="00C223F5" w:rsidRDefault="005860D5">
      <w:pPr>
        <w:pStyle w:val="TOC2"/>
        <w:rPr>
          <w:b/>
          <w:smallCaps w:val="0"/>
        </w:rPr>
      </w:pPr>
      <w:r>
        <w:rPr>
          <w:b/>
        </w:rPr>
        <w:t>附件：</w:t>
      </w:r>
    </w:p>
    <w:p w:rsidR="00C223F5" w:rsidRDefault="005860D5" w:rsidP="004173AA">
      <w:pPr>
        <w:spacing w:line="360" w:lineRule="auto"/>
        <w:ind w:firstLineChars="200" w:firstLine="480"/>
        <w:rPr>
          <w:smallCaps/>
          <w:sz w:val="24"/>
        </w:rPr>
      </w:pPr>
      <w:r>
        <w:rPr>
          <w:smallCaps/>
          <w:sz w:val="24"/>
        </w:rPr>
        <w:t>1</w:t>
      </w:r>
      <w:r>
        <w:rPr>
          <w:smallCaps/>
          <w:sz w:val="24"/>
        </w:rPr>
        <w:t>、委托书</w:t>
      </w:r>
      <w:r>
        <w:rPr>
          <w:rFonts w:hint="eastAsia"/>
          <w:smallCaps/>
          <w:sz w:val="24"/>
        </w:rPr>
        <w:t>；</w:t>
      </w:r>
    </w:p>
    <w:p w:rsidR="00C223F5" w:rsidRDefault="005860D5" w:rsidP="004173AA">
      <w:pPr>
        <w:spacing w:line="360" w:lineRule="auto"/>
        <w:ind w:firstLineChars="200" w:firstLine="480"/>
        <w:rPr>
          <w:smallCaps/>
          <w:sz w:val="24"/>
        </w:rPr>
      </w:pPr>
      <w:r>
        <w:rPr>
          <w:rFonts w:hint="eastAsia"/>
          <w:smallCaps/>
          <w:sz w:val="24"/>
        </w:rPr>
        <w:t>2</w:t>
      </w:r>
      <w:r>
        <w:rPr>
          <w:rFonts w:hint="eastAsia"/>
          <w:smallCaps/>
          <w:sz w:val="24"/>
        </w:rPr>
        <w:t>、</w:t>
      </w:r>
      <w:r>
        <w:rPr>
          <w:smallCaps/>
          <w:sz w:val="24"/>
        </w:rPr>
        <w:t>《陕西省人民政府关于横山县天云煤矿与沈石畔勘查区煤矿资源整合问题的批复》（陕政函</w:t>
      </w:r>
      <w:r>
        <w:rPr>
          <w:smallCaps/>
          <w:sz w:val="24"/>
        </w:rPr>
        <w:t>[2014]63</w:t>
      </w:r>
      <w:r>
        <w:rPr>
          <w:smallCaps/>
          <w:sz w:val="24"/>
        </w:rPr>
        <w:t>号）</w:t>
      </w:r>
      <w:r>
        <w:rPr>
          <w:rFonts w:hint="eastAsia"/>
          <w:smallCaps/>
          <w:sz w:val="24"/>
        </w:rPr>
        <w:t>；</w:t>
      </w:r>
    </w:p>
    <w:p w:rsidR="00C223F5" w:rsidRDefault="005860D5" w:rsidP="004173AA">
      <w:pPr>
        <w:spacing w:line="360" w:lineRule="auto"/>
        <w:ind w:firstLineChars="200" w:firstLine="464"/>
        <w:rPr>
          <w:smallCaps/>
          <w:sz w:val="24"/>
        </w:rPr>
      </w:pPr>
      <w:r>
        <w:rPr>
          <w:rFonts w:hint="eastAsia"/>
          <w:spacing w:val="-4"/>
          <w:sz w:val="24"/>
        </w:rPr>
        <w:t>3</w:t>
      </w:r>
      <w:r>
        <w:rPr>
          <w:rFonts w:hint="eastAsia"/>
          <w:spacing w:val="-4"/>
          <w:sz w:val="24"/>
        </w:rPr>
        <w:t>、</w:t>
      </w:r>
      <w:r>
        <w:rPr>
          <w:rFonts w:hAnsi="宋体"/>
          <w:sz w:val="24"/>
        </w:rPr>
        <w:t>陕西省国土资源厅《关于划定横山县天云煤矿矿区范围的批复》（陕国土资矿采划</w:t>
      </w:r>
      <w:r>
        <w:rPr>
          <w:sz w:val="24"/>
        </w:rPr>
        <w:t>[2015]10</w:t>
      </w:r>
      <w:r>
        <w:rPr>
          <w:rFonts w:hAnsi="宋体"/>
          <w:sz w:val="24"/>
        </w:rPr>
        <w:t>号）</w:t>
      </w:r>
      <w:r>
        <w:rPr>
          <w:rFonts w:hAnsi="宋体" w:hint="eastAsia"/>
          <w:sz w:val="24"/>
        </w:rPr>
        <w:t>；</w:t>
      </w:r>
    </w:p>
    <w:p w:rsidR="00C223F5" w:rsidRDefault="00231945" w:rsidP="004173AA">
      <w:pPr>
        <w:spacing w:line="360" w:lineRule="auto"/>
        <w:ind w:firstLineChars="200" w:firstLine="480"/>
        <w:rPr>
          <w:color w:val="FF0000"/>
          <w:sz w:val="24"/>
        </w:rPr>
      </w:pPr>
      <w:r>
        <w:rPr>
          <w:rFonts w:hint="eastAsia"/>
          <w:smallCaps/>
          <w:sz w:val="24"/>
        </w:rPr>
        <w:t>4</w:t>
      </w:r>
      <w:r w:rsidR="005860D5">
        <w:rPr>
          <w:smallCaps/>
          <w:sz w:val="24"/>
        </w:rPr>
        <w:t>、设计批复</w:t>
      </w:r>
      <w:r w:rsidR="005860D5">
        <w:rPr>
          <w:rFonts w:hint="eastAsia"/>
          <w:smallCaps/>
          <w:sz w:val="24"/>
        </w:rPr>
        <w:t>（陕煤局复</w:t>
      </w:r>
      <w:r w:rsidR="005860D5">
        <w:rPr>
          <w:rFonts w:hint="eastAsia"/>
          <w:smallCaps/>
          <w:sz w:val="24"/>
        </w:rPr>
        <w:t>[2018]110</w:t>
      </w:r>
      <w:r w:rsidR="005860D5">
        <w:rPr>
          <w:rFonts w:hint="eastAsia"/>
          <w:smallCaps/>
          <w:sz w:val="24"/>
        </w:rPr>
        <w:t>号）；</w:t>
      </w:r>
    </w:p>
    <w:p w:rsidR="00C223F5" w:rsidRDefault="00231945" w:rsidP="004173AA">
      <w:pPr>
        <w:spacing w:line="360" w:lineRule="auto"/>
        <w:ind w:firstLineChars="197" w:firstLine="473"/>
        <w:rPr>
          <w:smallCaps/>
          <w:sz w:val="24"/>
        </w:rPr>
      </w:pPr>
      <w:r>
        <w:rPr>
          <w:rFonts w:hint="eastAsia"/>
          <w:smallCaps/>
          <w:sz w:val="24"/>
        </w:rPr>
        <w:t>5</w:t>
      </w:r>
      <w:r w:rsidR="005860D5">
        <w:rPr>
          <w:rFonts w:hint="eastAsia"/>
          <w:smallCaps/>
          <w:sz w:val="24"/>
        </w:rPr>
        <w:t>、供水协议；</w:t>
      </w:r>
    </w:p>
    <w:p w:rsidR="00C223F5" w:rsidRDefault="00231945" w:rsidP="004173AA">
      <w:pPr>
        <w:spacing w:line="360" w:lineRule="auto"/>
        <w:ind w:firstLineChars="197" w:firstLine="473"/>
        <w:rPr>
          <w:smallCaps/>
          <w:sz w:val="24"/>
        </w:rPr>
      </w:pPr>
      <w:r>
        <w:rPr>
          <w:rFonts w:hint="eastAsia"/>
          <w:smallCaps/>
          <w:sz w:val="24"/>
        </w:rPr>
        <w:t>6</w:t>
      </w:r>
      <w:r w:rsidR="005860D5">
        <w:rPr>
          <w:rFonts w:hint="eastAsia"/>
          <w:smallCaps/>
          <w:sz w:val="24"/>
        </w:rPr>
        <w:t>、供电协议；</w:t>
      </w:r>
    </w:p>
    <w:p w:rsidR="00C223F5" w:rsidRDefault="00231945" w:rsidP="004173AA">
      <w:pPr>
        <w:spacing w:line="360" w:lineRule="auto"/>
        <w:ind w:firstLineChars="197" w:firstLine="473"/>
        <w:rPr>
          <w:rFonts w:hAnsi="宋体"/>
          <w:sz w:val="24"/>
        </w:rPr>
      </w:pPr>
      <w:r>
        <w:rPr>
          <w:rFonts w:hint="eastAsia"/>
          <w:smallCaps/>
          <w:sz w:val="24"/>
        </w:rPr>
        <w:t>7</w:t>
      </w:r>
      <w:r w:rsidR="005860D5">
        <w:rPr>
          <w:rFonts w:hint="eastAsia"/>
          <w:smallCaps/>
          <w:sz w:val="24"/>
        </w:rPr>
        <w:t>、煤矸石综合利用</w:t>
      </w:r>
      <w:r w:rsidR="005860D5">
        <w:rPr>
          <w:smallCaps/>
          <w:sz w:val="24"/>
        </w:rPr>
        <w:t>协议及</w:t>
      </w:r>
      <w:r w:rsidR="005860D5">
        <w:rPr>
          <w:rFonts w:hint="eastAsia"/>
          <w:smallCaps/>
          <w:sz w:val="24"/>
        </w:rPr>
        <w:t>利用</w:t>
      </w:r>
      <w:r w:rsidR="005860D5">
        <w:rPr>
          <w:smallCaps/>
          <w:sz w:val="24"/>
        </w:rPr>
        <w:t>企业环评手续</w:t>
      </w:r>
      <w:r w:rsidR="005860D5">
        <w:rPr>
          <w:rFonts w:hint="eastAsia"/>
          <w:smallCaps/>
          <w:sz w:val="24"/>
        </w:rPr>
        <w:t>；</w:t>
      </w:r>
    </w:p>
    <w:p w:rsidR="00C223F5" w:rsidRDefault="00231945" w:rsidP="004173AA">
      <w:pPr>
        <w:spacing w:line="360" w:lineRule="auto"/>
        <w:ind w:firstLineChars="197" w:firstLine="473"/>
        <w:rPr>
          <w:sz w:val="24"/>
        </w:rPr>
      </w:pPr>
      <w:r>
        <w:rPr>
          <w:rFonts w:hint="eastAsia"/>
          <w:sz w:val="24"/>
        </w:rPr>
        <w:t>8</w:t>
      </w:r>
      <w:r w:rsidR="005860D5">
        <w:rPr>
          <w:rFonts w:hint="eastAsia"/>
          <w:sz w:val="24"/>
        </w:rPr>
        <w:t>、黄泥灌浆用土协议；</w:t>
      </w:r>
    </w:p>
    <w:p w:rsidR="00C223F5" w:rsidRDefault="00231945" w:rsidP="004173AA">
      <w:pPr>
        <w:spacing w:line="360" w:lineRule="auto"/>
        <w:ind w:firstLineChars="197" w:firstLine="473"/>
        <w:rPr>
          <w:sz w:val="24"/>
        </w:rPr>
      </w:pPr>
      <w:r>
        <w:rPr>
          <w:rFonts w:hint="eastAsia"/>
          <w:sz w:val="24"/>
        </w:rPr>
        <w:t>9</w:t>
      </w:r>
      <w:r w:rsidR="005860D5">
        <w:rPr>
          <w:rFonts w:hint="eastAsia"/>
          <w:sz w:val="24"/>
        </w:rPr>
        <w:t>、原环评报告批复（榆政环发</w:t>
      </w:r>
      <w:r w:rsidR="005860D5">
        <w:rPr>
          <w:rFonts w:hint="eastAsia"/>
          <w:sz w:val="24"/>
        </w:rPr>
        <w:t>[2011]26</w:t>
      </w:r>
      <w:r w:rsidR="005860D5">
        <w:rPr>
          <w:rFonts w:hint="eastAsia"/>
          <w:sz w:val="24"/>
        </w:rPr>
        <w:t>号）以及竣工验收批复（榆政环批复</w:t>
      </w:r>
      <w:r w:rsidR="005860D5">
        <w:rPr>
          <w:rFonts w:hint="eastAsia"/>
          <w:sz w:val="24"/>
        </w:rPr>
        <w:t>[2017]266</w:t>
      </w:r>
      <w:r w:rsidR="005860D5">
        <w:rPr>
          <w:rFonts w:hint="eastAsia"/>
          <w:sz w:val="24"/>
        </w:rPr>
        <w:lastRenderedPageBreak/>
        <w:t>号）；</w:t>
      </w:r>
    </w:p>
    <w:p w:rsidR="00C223F5" w:rsidRPr="001F4230" w:rsidRDefault="005860D5" w:rsidP="004173AA">
      <w:pPr>
        <w:spacing w:line="360" w:lineRule="auto"/>
        <w:ind w:firstLineChars="197" w:firstLine="473"/>
        <w:rPr>
          <w:sz w:val="24"/>
        </w:rPr>
      </w:pPr>
      <w:r>
        <w:rPr>
          <w:rFonts w:hint="eastAsia"/>
          <w:sz w:val="24"/>
        </w:rPr>
        <w:t>1</w:t>
      </w:r>
      <w:r w:rsidR="00231945">
        <w:rPr>
          <w:rFonts w:hint="eastAsia"/>
          <w:sz w:val="24"/>
        </w:rPr>
        <w:t>0</w:t>
      </w:r>
      <w:r>
        <w:rPr>
          <w:rFonts w:hint="eastAsia"/>
          <w:sz w:val="24"/>
        </w:rPr>
        <w:t>、</w:t>
      </w:r>
      <w:r>
        <w:rPr>
          <w:rFonts w:hint="eastAsia"/>
          <w:spacing w:val="-4"/>
          <w:sz w:val="24"/>
        </w:rPr>
        <w:t>原总量</w:t>
      </w:r>
      <w:r w:rsidRPr="001F4230">
        <w:rPr>
          <w:rFonts w:hint="eastAsia"/>
          <w:spacing w:val="-4"/>
          <w:sz w:val="24"/>
        </w:rPr>
        <w:t>批复（榆政环函</w:t>
      </w:r>
      <w:r w:rsidRPr="001F4230">
        <w:rPr>
          <w:rFonts w:hint="eastAsia"/>
          <w:spacing w:val="-4"/>
          <w:sz w:val="24"/>
        </w:rPr>
        <w:t>[2016]508</w:t>
      </w:r>
      <w:r w:rsidRPr="001F4230">
        <w:rPr>
          <w:rFonts w:hint="eastAsia"/>
          <w:spacing w:val="-4"/>
          <w:sz w:val="24"/>
        </w:rPr>
        <w:t>号）及排污口设置批复（横政水函</w:t>
      </w:r>
      <w:r w:rsidRPr="001F4230">
        <w:rPr>
          <w:rFonts w:hint="eastAsia"/>
          <w:spacing w:val="-4"/>
          <w:sz w:val="24"/>
        </w:rPr>
        <w:t>[2018]104</w:t>
      </w:r>
      <w:r w:rsidRPr="001F4230">
        <w:rPr>
          <w:rFonts w:hint="eastAsia"/>
          <w:spacing w:val="-4"/>
          <w:sz w:val="24"/>
        </w:rPr>
        <w:t>号）；</w:t>
      </w:r>
    </w:p>
    <w:p w:rsidR="00C223F5" w:rsidRPr="001F4230" w:rsidRDefault="005860D5" w:rsidP="004173AA">
      <w:pPr>
        <w:spacing w:line="360" w:lineRule="auto"/>
        <w:ind w:firstLineChars="197" w:firstLine="473"/>
        <w:rPr>
          <w:sz w:val="24"/>
        </w:rPr>
      </w:pPr>
      <w:r w:rsidRPr="001F4230">
        <w:rPr>
          <w:rFonts w:hint="eastAsia"/>
          <w:sz w:val="24"/>
        </w:rPr>
        <w:t>1</w:t>
      </w:r>
      <w:r w:rsidR="00231945">
        <w:rPr>
          <w:rFonts w:hint="eastAsia"/>
          <w:sz w:val="24"/>
        </w:rPr>
        <w:t>1</w:t>
      </w:r>
      <w:r w:rsidRPr="001F4230">
        <w:rPr>
          <w:sz w:val="24"/>
        </w:rPr>
        <w:t>、</w:t>
      </w:r>
      <w:r w:rsidRPr="001F4230">
        <w:rPr>
          <w:rFonts w:hAnsi="宋体" w:hint="eastAsia"/>
          <w:sz w:val="24"/>
        </w:rPr>
        <w:t>榆林市“多规合一”文件</w:t>
      </w:r>
      <w:r w:rsidRPr="001F4230">
        <w:rPr>
          <w:rFonts w:hint="eastAsia"/>
          <w:sz w:val="24"/>
        </w:rPr>
        <w:t>（编号</w:t>
      </w:r>
      <w:r w:rsidRPr="001F4230">
        <w:rPr>
          <w:rFonts w:hint="eastAsia"/>
          <w:sz w:val="24"/>
        </w:rPr>
        <w:t>2018</w:t>
      </w:r>
      <w:r w:rsidRPr="001F4230">
        <w:rPr>
          <w:rFonts w:hint="eastAsia"/>
          <w:sz w:val="24"/>
        </w:rPr>
        <w:t>（</w:t>
      </w:r>
      <w:r w:rsidRPr="001F4230">
        <w:rPr>
          <w:rFonts w:hint="eastAsia"/>
          <w:sz w:val="24"/>
        </w:rPr>
        <w:t>2667</w:t>
      </w:r>
      <w:r w:rsidRPr="001F4230">
        <w:rPr>
          <w:rFonts w:hint="eastAsia"/>
          <w:sz w:val="24"/>
        </w:rPr>
        <w:t>）号、</w:t>
      </w:r>
      <w:r w:rsidRPr="001F4230">
        <w:rPr>
          <w:rFonts w:hint="eastAsia"/>
          <w:sz w:val="24"/>
        </w:rPr>
        <w:t>2018</w:t>
      </w:r>
      <w:r w:rsidRPr="001F4230">
        <w:rPr>
          <w:rFonts w:hint="eastAsia"/>
          <w:sz w:val="24"/>
        </w:rPr>
        <w:t>（</w:t>
      </w:r>
      <w:r w:rsidRPr="001F4230">
        <w:rPr>
          <w:rFonts w:hint="eastAsia"/>
          <w:sz w:val="24"/>
        </w:rPr>
        <w:t>2721</w:t>
      </w:r>
      <w:r w:rsidRPr="001F4230">
        <w:rPr>
          <w:rFonts w:hint="eastAsia"/>
          <w:sz w:val="24"/>
        </w:rPr>
        <w:t>）号）；</w:t>
      </w:r>
    </w:p>
    <w:p w:rsidR="00C223F5" w:rsidRPr="001F4230" w:rsidRDefault="00231945" w:rsidP="004173AA">
      <w:pPr>
        <w:spacing w:line="360" w:lineRule="auto"/>
        <w:ind w:firstLineChars="197" w:firstLine="473"/>
        <w:rPr>
          <w:sz w:val="24"/>
        </w:rPr>
      </w:pPr>
      <w:r>
        <w:rPr>
          <w:rFonts w:hint="eastAsia"/>
          <w:sz w:val="24"/>
        </w:rPr>
        <w:t>12</w:t>
      </w:r>
      <w:r w:rsidR="005860D5" w:rsidRPr="001F4230">
        <w:rPr>
          <w:rFonts w:hint="eastAsia"/>
          <w:sz w:val="24"/>
        </w:rPr>
        <w:t>、煤矿开采与采油厂资源互保协议；</w:t>
      </w:r>
    </w:p>
    <w:p w:rsidR="00C223F5" w:rsidRPr="001F4230" w:rsidRDefault="005860D5" w:rsidP="004173AA">
      <w:pPr>
        <w:spacing w:line="360" w:lineRule="auto"/>
        <w:ind w:firstLineChars="197" w:firstLine="473"/>
        <w:rPr>
          <w:sz w:val="24"/>
        </w:rPr>
      </w:pPr>
      <w:r w:rsidRPr="001F4230">
        <w:rPr>
          <w:rFonts w:hint="eastAsia"/>
          <w:sz w:val="24"/>
        </w:rPr>
        <w:t>1</w:t>
      </w:r>
      <w:r w:rsidR="00231945">
        <w:rPr>
          <w:rFonts w:hint="eastAsia"/>
          <w:sz w:val="24"/>
        </w:rPr>
        <w:t>3</w:t>
      </w:r>
      <w:r w:rsidRPr="001F4230">
        <w:rPr>
          <w:sz w:val="24"/>
        </w:rPr>
        <w:t>、</w:t>
      </w:r>
      <w:r w:rsidRPr="001F4230">
        <w:rPr>
          <w:rFonts w:hint="eastAsia"/>
          <w:smallCaps/>
          <w:sz w:val="24"/>
        </w:rPr>
        <w:t>产能置换文件</w:t>
      </w:r>
      <w:r w:rsidRPr="001F4230">
        <w:rPr>
          <w:rFonts w:hint="eastAsia"/>
          <w:sz w:val="24"/>
        </w:rPr>
        <w:t>；</w:t>
      </w:r>
    </w:p>
    <w:p w:rsidR="00231945" w:rsidRDefault="005860D5" w:rsidP="004173AA">
      <w:pPr>
        <w:spacing w:line="360" w:lineRule="auto"/>
        <w:ind w:firstLineChars="197" w:firstLine="473"/>
        <w:rPr>
          <w:sz w:val="24"/>
        </w:rPr>
      </w:pPr>
      <w:r w:rsidRPr="001F4230">
        <w:rPr>
          <w:rFonts w:hint="eastAsia"/>
          <w:sz w:val="24"/>
        </w:rPr>
        <w:t>1</w:t>
      </w:r>
      <w:r w:rsidR="00231945">
        <w:rPr>
          <w:rFonts w:hint="eastAsia"/>
          <w:sz w:val="24"/>
        </w:rPr>
        <w:t>4</w:t>
      </w:r>
      <w:r w:rsidRPr="001F4230">
        <w:rPr>
          <w:rFonts w:hint="eastAsia"/>
          <w:sz w:val="24"/>
        </w:rPr>
        <w:t>、监测报告</w:t>
      </w:r>
      <w:r w:rsidR="00231945">
        <w:rPr>
          <w:rFonts w:hint="eastAsia"/>
          <w:sz w:val="24"/>
        </w:rPr>
        <w:t>；</w:t>
      </w:r>
    </w:p>
    <w:p w:rsidR="00C223F5" w:rsidRPr="00231945" w:rsidRDefault="00231945" w:rsidP="004173AA">
      <w:pPr>
        <w:spacing w:line="360" w:lineRule="auto"/>
        <w:ind w:firstLineChars="197" w:firstLine="473"/>
        <w:rPr>
          <w:color w:val="FF0000"/>
          <w:sz w:val="24"/>
        </w:rPr>
      </w:pPr>
      <w:r w:rsidRPr="00231945">
        <w:rPr>
          <w:rFonts w:hint="eastAsia"/>
          <w:color w:val="FF0000"/>
          <w:sz w:val="24"/>
        </w:rPr>
        <w:t>15</w:t>
      </w:r>
      <w:r w:rsidRPr="00231945">
        <w:rPr>
          <w:rFonts w:hint="eastAsia"/>
          <w:color w:val="FF0000"/>
          <w:sz w:val="24"/>
        </w:rPr>
        <w:t>、技术评估会专家意见及名单</w:t>
      </w:r>
      <w:r w:rsidR="005860D5" w:rsidRPr="00231945">
        <w:rPr>
          <w:rFonts w:hint="eastAsia"/>
          <w:color w:val="FF0000"/>
          <w:sz w:val="24"/>
        </w:rPr>
        <w:t>。</w:t>
      </w:r>
    </w:p>
    <w:p w:rsidR="00C223F5" w:rsidRPr="004173AA" w:rsidRDefault="005860D5">
      <w:pPr>
        <w:pStyle w:val="TOC2"/>
        <w:rPr>
          <w:rFonts w:ascii="宋体" w:eastAsia="宋体" w:hAnsi="宋体"/>
          <w:b/>
        </w:rPr>
      </w:pPr>
      <w:r w:rsidRPr="004173AA">
        <w:rPr>
          <w:rFonts w:ascii="宋体" w:eastAsia="宋体" w:hAnsi="宋体"/>
          <w:b/>
        </w:rPr>
        <w:t>附表：</w:t>
      </w:r>
    </w:p>
    <w:p w:rsidR="00C223F5" w:rsidRPr="004173AA" w:rsidRDefault="005860D5">
      <w:pPr>
        <w:pStyle w:val="TOC2"/>
        <w:spacing w:after="0"/>
        <w:ind w:firstLineChars="200" w:firstLine="480"/>
        <w:rPr>
          <w:rFonts w:ascii="宋体" w:eastAsia="宋体" w:hAnsi="宋体"/>
          <w:sz w:val="24"/>
          <w:szCs w:val="24"/>
        </w:rPr>
      </w:pPr>
      <w:r w:rsidRPr="004173AA">
        <w:rPr>
          <w:rFonts w:ascii="宋体" w:eastAsia="宋体" w:hAnsi="宋体"/>
          <w:sz w:val="24"/>
          <w:szCs w:val="24"/>
        </w:rPr>
        <w:t>建设项目</w:t>
      </w:r>
      <w:r w:rsidRPr="004173AA">
        <w:rPr>
          <w:rFonts w:ascii="宋体" w:eastAsia="宋体" w:hAnsi="宋体" w:hint="eastAsia"/>
          <w:sz w:val="24"/>
          <w:szCs w:val="24"/>
        </w:rPr>
        <w:t>环评审批基础信息表</w:t>
      </w:r>
    </w:p>
    <w:p w:rsidR="00C223F5" w:rsidRDefault="00C223F5">
      <w:pPr>
        <w:spacing w:line="360" w:lineRule="auto"/>
        <w:ind w:firstLineChars="200" w:firstLine="480"/>
        <w:rPr>
          <w:rFonts w:ascii="宋体" w:hAnsi="宋体"/>
          <w:smallCaps/>
          <w:color w:val="FF0000"/>
          <w:sz w:val="24"/>
        </w:rPr>
      </w:pPr>
    </w:p>
    <w:p w:rsidR="004173AA" w:rsidRDefault="004173AA">
      <w:pPr>
        <w:rPr>
          <w:b/>
          <w:color w:val="FF0000"/>
          <w:sz w:val="24"/>
        </w:rPr>
        <w:sectPr w:rsidR="004173AA">
          <w:footerReference w:type="default" r:id="rId12"/>
          <w:pgSz w:w="11906" w:h="16838"/>
          <w:pgMar w:top="1440" w:right="1418" w:bottom="1440" w:left="1418" w:header="851" w:footer="992" w:gutter="0"/>
          <w:pgNumType w:fmt="upperRoman" w:start="1"/>
          <w:cols w:space="425"/>
          <w:docGrid w:type="lines" w:linePitch="312"/>
        </w:sectPr>
      </w:pPr>
    </w:p>
    <w:p w:rsidR="00C223F5" w:rsidRDefault="00C223F5">
      <w:pPr>
        <w:rPr>
          <w:b/>
          <w:color w:val="FF0000"/>
          <w:sz w:val="24"/>
        </w:rPr>
        <w:sectPr w:rsidR="00C223F5" w:rsidSect="004173AA">
          <w:pgSz w:w="11906" w:h="16838"/>
          <w:pgMar w:top="1440" w:right="1418" w:bottom="1440" w:left="1418" w:header="851" w:footer="992" w:gutter="0"/>
          <w:pgNumType w:fmt="upperRoman"/>
          <w:cols w:space="425"/>
          <w:docGrid w:type="lines" w:linePitch="312"/>
        </w:sectPr>
      </w:pPr>
    </w:p>
    <w:p w:rsidR="00C223F5" w:rsidRDefault="005860D5">
      <w:pPr>
        <w:pStyle w:val="1"/>
        <w:numPr>
          <w:ilvl w:val="0"/>
          <w:numId w:val="0"/>
        </w:numPr>
        <w:spacing w:before="0" w:after="0" w:line="360" w:lineRule="auto"/>
        <w:jc w:val="center"/>
        <w:rPr>
          <w:sz w:val="44"/>
        </w:rPr>
      </w:pPr>
      <w:bookmarkStart w:id="0" w:name="_Toc8285251"/>
      <w:bookmarkStart w:id="1" w:name="_Toc533604674"/>
      <w:bookmarkStart w:id="2" w:name="_Toc533604254"/>
      <w:bookmarkStart w:id="3" w:name="_Toc16785221"/>
      <w:r>
        <w:rPr>
          <w:rFonts w:hint="eastAsia"/>
        </w:rPr>
        <w:lastRenderedPageBreak/>
        <w:t>概</w:t>
      </w:r>
      <w:r>
        <w:rPr>
          <w:rFonts w:hint="eastAsia"/>
        </w:rPr>
        <w:t xml:space="preserve">   </w:t>
      </w:r>
      <w:r>
        <w:rPr>
          <w:rFonts w:hint="eastAsia"/>
        </w:rPr>
        <w:t>述</w:t>
      </w:r>
      <w:bookmarkEnd w:id="0"/>
      <w:bookmarkEnd w:id="1"/>
      <w:bookmarkEnd w:id="2"/>
      <w:bookmarkEnd w:id="3"/>
    </w:p>
    <w:p w:rsidR="00C223F5" w:rsidRDefault="005860D5" w:rsidP="00C006A7">
      <w:pPr>
        <w:adjustRightInd w:val="0"/>
        <w:snapToGrid w:val="0"/>
        <w:spacing w:line="360" w:lineRule="auto"/>
        <w:ind w:firstLineChars="200" w:firstLine="482"/>
        <w:rPr>
          <w:b/>
          <w:sz w:val="24"/>
        </w:rPr>
      </w:pPr>
      <w:bookmarkStart w:id="4" w:name="_Toc8285252"/>
      <w:bookmarkStart w:id="5" w:name="_Toc533604255"/>
      <w:bookmarkStart w:id="6" w:name="_Toc533604813"/>
      <w:bookmarkStart w:id="7" w:name="_Toc512080007"/>
      <w:bookmarkStart w:id="8" w:name="_Toc533604675"/>
      <w:r>
        <w:rPr>
          <w:rFonts w:hint="eastAsia"/>
          <w:b/>
          <w:sz w:val="24"/>
        </w:rPr>
        <w:t>一、工程概况</w:t>
      </w:r>
      <w:bookmarkEnd w:id="4"/>
      <w:bookmarkEnd w:id="5"/>
      <w:bookmarkEnd w:id="6"/>
      <w:bookmarkEnd w:id="7"/>
      <w:bookmarkEnd w:id="8"/>
    </w:p>
    <w:p w:rsidR="00C223F5" w:rsidRDefault="005860D5" w:rsidP="004173AA">
      <w:pPr>
        <w:adjustRightInd w:val="0"/>
        <w:snapToGrid w:val="0"/>
        <w:spacing w:line="360" w:lineRule="auto"/>
        <w:ind w:firstLineChars="200" w:firstLine="480"/>
        <w:rPr>
          <w:rFonts w:hAnsi="宋体"/>
          <w:sz w:val="24"/>
        </w:rPr>
      </w:pPr>
      <w:r>
        <w:rPr>
          <w:rFonts w:hAnsi="宋体" w:hint="eastAsia"/>
          <w:sz w:val="24"/>
        </w:rPr>
        <w:t>横山县</w:t>
      </w:r>
      <w:r>
        <w:rPr>
          <w:rFonts w:hAnsi="宋体"/>
          <w:sz w:val="24"/>
        </w:rPr>
        <w:t>天云煤矿</w:t>
      </w:r>
      <w:r>
        <w:rPr>
          <w:rFonts w:hAnsi="宋体" w:hint="eastAsia"/>
          <w:sz w:val="24"/>
        </w:rPr>
        <w:t>有限公司</w:t>
      </w:r>
      <w:r>
        <w:rPr>
          <w:rFonts w:hAnsi="宋体"/>
          <w:sz w:val="24"/>
        </w:rPr>
        <w:t>由上海悦达新实业集团有限公司控股、榆林市榆阳区华通焦煤经营有限责任公司和个人参股的有限公司，三方股权比例分别为</w:t>
      </w:r>
      <w:r>
        <w:rPr>
          <w:rFonts w:hAnsi="宋体"/>
          <w:sz w:val="24"/>
        </w:rPr>
        <w:t>41%</w:t>
      </w:r>
      <w:r>
        <w:rPr>
          <w:rFonts w:hAnsi="宋体"/>
          <w:sz w:val="24"/>
        </w:rPr>
        <w:t>、</w:t>
      </w:r>
      <w:r>
        <w:rPr>
          <w:rFonts w:hAnsi="宋体"/>
          <w:sz w:val="24"/>
        </w:rPr>
        <w:t>39%</w:t>
      </w:r>
      <w:r>
        <w:rPr>
          <w:rFonts w:hAnsi="宋体"/>
          <w:sz w:val="24"/>
        </w:rPr>
        <w:t>和</w:t>
      </w:r>
      <w:r>
        <w:rPr>
          <w:rFonts w:hAnsi="宋体"/>
          <w:sz w:val="24"/>
        </w:rPr>
        <w:t>20%</w:t>
      </w:r>
      <w:r>
        <w:rPr>
          <w:rFonts w:hAnsi="宋体"/>
          <w:sz w:val="24"/>
        </w:rPr>
        <w:t>。</w:t>
      </w:r>
      <w:r>
        <w:rPr>
          <w:rFonts w:hAnsi="宋体" w:hint="eastAsia"/>
          <w:sz w:val="24"/>
        </w:rPr>
        <w:t>天云煤矿资源整合工程由横山县</w:t>
      </w:r>
      <w:r>
        <w:rPr>
          <w:rFonts w:hAnsi="宋体"/>
          <w:sz w:val="24"/>
        </w:rPr>
        <w:t>天云煤矿</w:t>
      </w:r>
      <w:r>
        <w:rPr>
          <w:rFonts w:hAnsi="宋体" w:hint="eastAsia"/>
          <w:sz w:val="24"/>
        </w:rPr>
        <w:t>有限公司负责筹建，</w:t>
      </w:r>
      <w:r>
        <w:rPr>
          <w:rFonts w:hAnsi="宋体"/>
          <w:sz w:val="24"/>
        </w:rPr>
        <w:t>位于陕西省横山县城东南部，距离横山县城约</w:t>
      </w:r>
      <w:r>
        <w:rPr>
          <w:rFonts w:hAnsi="宋体"/>
          <w:sz w:val="24"/>
        </w:rPr>
        <w:t>45km</w:t>
      </w:r>
      <w:r>
        <w:rPr>
          <w:rFonts w:hAnsi="宋体"/>
          <w:sz w:val="24"/>
        </w:rPr>
        <w:t>，行政区划隶属横山县石湾镇、魏家楼乡管辖。根据《陕西省人民政府关于横山县天云煤矿与沈石畔勘查区煤矿资源整合问题的批复》</w:t>
      </w:r>
      <w:r>
        <w:rPr>
          <w:rFonts w:hAnsi="宋体" w:hint="eastAsia"/>
          <w:sz w:val="24"/>
        </w:rPr>
        <w:t>（</w:t>
      </w:r>
      <w:r>
        <w:rPr>
          <w:rFonts w:hAnsi="宋体"/>
          <w:sz w:val="24"/>
        </w:rPr>
        <w:t>陕政函</w:t>
      </w:r>
      <w:r>
        <w:rPr>
          <w:rFonts w:hAnsi="宋体"/>
          <w:sz w:val="24"/>
        </w:rPr>
        <w:t>[2014]63</w:t>
      </w:r>
      <w:r>
        <w:rPr>
          <w:rFonts w:hAnsi="宋体"/>
          <w:sz w:val="24"/>
        </w:rPr>
        <w:t>号</w:t>
      </w:r>
      <w:r>
        <w:rPr>
          <w:rFonts w:hAnsi="宋体" w:hint="eastAsia"/>
          <w:sz w:val="24"/>
        </w:rPr>
        <w:t>）以及</w:t>
      </w:r>
      <w:r>
        <w:rPr>
          <w:rFonts w:hint="eastAsia"/>
          <w:sz w:val="24"/>
        </w:rPr>
        <w:t>《关于划定横山县天云煤矿</w:t>
      </w:r>
      <w:r>
        <w:rPr>
          <w:sz w:val="24"/>
        </w:rPr>
        <w:t>矿区范围</w:t>
      </w:r>
      <w:r>
        <w:rPr>
          <w:rFonts w:hint="eastAsia"/>
          <w:sz w:val="24"/>
        </w:rPr>
        <w:t>的批复》（</w:t>
      </w:r>
      <w:r>
        <w:rPr>
          <w:rFonts w:hAnsi="宋体" w:hint="eastAsia"/>
          <w:sz w:val="24"/>
        </w:rPr>
        <w:t>陕国土资矿采划</w:t>
      </w:r>
      <w:r>
        <w:rPr>
          <w:rFonts w:hAnsi="宋体" w:hint="eastAsia"/>
          <w:sz w:val="24"/>
        </w:rPr>
        <w:t>[20</w:t>
      </w:r>
      <w:r>
        <w:rPr>
          <w:sz w:val="24"/>
        </w:rPr>
        <w:t>1</w:t>
      </w:r>
      <w:r>
        <w:rPr>
          <w:rFonts w:hint="eastAsia"/>
          <w:sz w:val="24"/>
        </w:rPr>
        <w:t>5</w:t>
      </w:r>
      <w:r>
        <w:rPr>
          <w:sz w:val="24"/>
        </w:rPr>
        <w:t>]1</w:t>
      </w:r>
      <w:r>
        <w:rPr>
          <w:rFonts w:hint="eastAsia"/>
          <w:sz w:val="24"/>
        </w:rPr>
        <w:t>0</w:t>
      </w:r>
      <w:r>
        <w:rPr>
          <w:sz w:val="24"/>
        </w:rPr>
        <w:t>号</w:t>
      </w:r>
      <w:r>
        <w:rPr>
          <w:rFonts w:hint="eastAsia"/>
          <w:sz w:val="24"/>
        </w:rPr>
        <w:t>）文件要求</w:t>
      </w:r>
      <w:r>
        <w:rPr>
          <w:rFonts w:hAnsi="宋体"/>
          <w:sz w:val="24"/>
        </w:rPr>
        <w:t>，整合区由原天云煤矿、横山县沈石畔勘查区以及部分石湾煤矿地质普查区三部分整合而成，</w:t>
      </w:r>
      <w:r>
        <w:rPr>
          <w:rFonts w:hAnsi="宋体" w:hint="eastAsia"/>
          <w:sz w:val="24"/>
        </w:rPr>
        <w:t>井田</w:t>
      </w:r>
      <w:r>
        <w:rPr>
          <w:rFonts w:hAnsi="宋体"/>
          <w:sz w:val="24"/>
        </w:rPr>
        <w:t>面积</w:t>
      </w:r>
      <w:r>
        <w:rPr>
          <w:rFonts w:hAnsi="宋体"/>
          <w:sz w:val="24"/>
        </w:rPr>
        <w:t>67.1241km</w:t>
      </w:r>
      <w:r>
        <w:rPr>
          <w:rFonts w:hAnsi="宋体"/>
          <w:sz w:val="24"/>
          <w:vertAlign w:val="superscript"/>
        </w:rPr>
        <w:t>2</w:t>
      </w:r>
      <w:r>
        <w:rPr>
          <w:rFonts w:hAnsi="宋体"/>
          <w:sz w:val="24"/>
        </w:rPr>
        <w:t>，</w:t>
      </w:r>
      <w:r>
        <w:rPr>
          <w:rFonts w:hAnsi="宋体" w:hint="eastAsia"/>
          <w:sz w:val="24"/>
        </w:rPr>
        <w:t>批准开采</w:t>
      </w:r>
      <w:r>
        <w:rPr>
          <w:rFonts w:hAnsi="宋体" w:hint="eastAsia"/>
          <w:sz w:val="24"/>
        </w:rPr>
        <w:t>4</w:t>
      </w:r>
      <w:r>
        <w:rPr>
          <w:rFonts w:hAnsi="宋体" w:hint="eastAsia"/>
          <w:sz w:val="24"/>
          <w:vertAlign w:val="superscript"/>
        </w:rPr>
        <w:t>-1</w:t>
      </w:r>
      <w:r>
        <w:rPr>
          <w:rFonts w:hAnsi="宋体" w:hint="eastAsia"/>
          <w:sz w:val="24"/>
        </w:rPr>
        <w:t>号和</w:t>
      </w:r>
      <w:r>
        <w:rPr>
          <w:rFonts w:hAnsi="宋体" w:hint="eastAsia"/>
          <w:sz w:val="24"/>
        </w:rPr>
        <w:t>4</w:t>
      </w:r>
      <w:r>
        <w:rPr>
          <w:rFonts w:hAnsi="宋体" w:hint="eastAsia"/>
          <w:sz w:val="24"/>
          <w:vertAlign w:val="superscript"/>
        </w:rPr>
        <w:t>-2</w:t>
      </w:r>
      <w:r>
        <w:rPr>
          <w:rFonts w:hAnsi="宋体" w:hint="eastAsia"/>
          <w:sz w:val="24"/>
        </w:rPr>
        <w:t>号煤层，</w:t>
      </w:r>
      <w:r>
        <w:rPr>
          <w:rFonts w:hAnsi="宋体"/>
          <w:sz w:val="24"/>
        </w:rPr>
        <w:t>生产能力</w:t>
      </w:r>
      <w:r>
        <w:rPr>
          <w:rFonts w:hAnsi="宋体" w:hint="eastAsia"/>
          <w:sz w:val="24"/>
        </w:rPr>
        <w:t>0.</w:t>
      </w:r>
      <w:r>
        <w:rPr>
          <w:rFonts w:hAnsi="宋体"/>
          <w:sz w:val="24"/>
        </w:rPr>
        <w:t>90</w:t>
      </w:r>
      <w:r>
        <w:rPr>
          <w:rFonts w:hAnsi="宋体" w:hint="eastAsia"/>
          <w:sz w:val="24"/>
        </w:rPr>
        <w:t xml:space="preserve"> Mt/a</w:t>
      </w:r>
      <w:r>
        <w:rPr>
          <w:rFonts w:hAnsi="宋体" w:hint="eastAsia"/>
          <w:sz w:val="24"/>
        </w:rPr>
        <w:t>，</w:t>
      </w:r>
      <w:r>
        <w:rPr>
          <w:rFonts w:hAnsi="宋体"/>
          <w:sz w:val="24"/>
        </w:rPr>
        <w:t>服务年限</w:t>
      </w:r>
      <w:r>
        <w:rPr>
          <w:rFonts w:hAnsi="宋体" w:hint="eastAsia"/>
          <w:sz w:val="24"/>
        </w:rPr>
        <w:t>39.0</w:t>
      </w:r>
      <w:r>
        <w:rPr>
          <w:rFonts w:hAnsi="宋体"/>
          <w:sz w:val="24"/>
        </w:rPr>
        <w:t>a</w:t>
      </w:r>
      <w:r>
        <w:rPr>
          <w:rFonts w:hAnsi="宋体"/>
          <w:sz w:val="24"/>
        </w:rPr>
        <w:t>。</w:t>
      </w:r>
    </w:p>
    <w:p w:rsidR="00C223F5" w:rsidRDefault="005860D5" w:rsidP="004173AA">
      <w:pPr>
        <w:adjustRightInd w:val="0"/>
        <w:snapToGrid w:val="0"/>
        <w:spacing w:line="360" w:lineRule="auto"/>
        <w:ind w:firstLineChars="200" w:firstLine="480"/>
        <w:rPr>
          <w:spacing w:val="-4"/>
          <w:sz w:val="24"/>
        </w:rPr>
      </w:pPr>
      <w:r>
        <w:rPr>
          <w:sz w:val="24"/>
        </w:rPr>
        <w:t>201</w:t>
      </w:r>
      <w:r>
        <w:rPr>
          <w:rFonts w:hint="eastAsia"/>
          <w:sz w:val="24"/>
        </w:rPr>
        <w:t>8</w:t>
      </w:r>
      <w:r>
        <w:rPr>
          <w:sz w:val="24"/>
        </w:rPr>
        <w:t>年矿方委托</w:t>
      </w:r>
      <w:r>
        <w:rPr>
          <w:rFonts w:hint="eastAsia"/>
          <w:sz w:val="24"/>
        </w:rPr>
        <w:t>中煤西安设计工程有限责任公司</w:t>
      </w:r>
      <w:r>
        <w:rPr>
          <w:sz w:val="24"/>
        </w:rPr>
        <w:t>编制完成了</w:t>
      </w:r>
      <w:r>
        <w:rPr>
          <w:rFonts w:hint="eastAsia"/>
          <w:sz w:val="24"/>
        </w:rPr>
        <w:t>《横山县天云煤矿有限公司天云煤矿资源整合开采设计说明书》</w:t>
      </w:r>
      <w:r>
        <w:rPr>
          <w:sz w:val="24"/>
        </w:rPr>
        <w:t>，陕西省煤炭生产安全监督管理局以</w:t>
      </w:r>
      <w:r>
        <w:rPr>
          <w:rFonts w:hAnsi="宋体"/>
          <w:sz w:val="24"/>
        </w:rPr>
        <w:t>“</w:t>
      </w:r>
      <w:r>
        <w:rPr>
          <w:sz w:val="24"/>
        </w:rPr>
        <w:t>陕煤局复</w:t>
      </w:r>
      <w:r>
        <w:rPr>
          <w:sz w:val="24"/>
        </w:rPr>
        <w:t>[201</w:t>
      </w:r>
      <w:r>
        <w:rPr>
          <w:rFonts w:hint="eastAsia"/>
          <w:sz w:val="24"/>
        </w:rPr>
        <w:t>8</w:t>
      </w:r>
      <w:r>
        <w:rPr>
          <w:sz w:val="24"/>
        </w:rPr>
        <w:t>]1</w:t>
      </w:r>
      <w:r>
        <w:rPr>
          <w:rFonts w:hint="eastAsia"/>
          <w:sz w:val="24"/>
        </w:rPr>
        <w:t>10</w:t>
      </w:r>
      <w:r>
        <w:rPr>
          <w:sz w:val="24"/>
        </w:rPr>
        <w:t>号</w:t>
      </w:r>
      <w:r>
        <w:rPr>
          <w:rFonts w:hAnsi="宋体"/>
          <w:sz w:val="24"/>
        </w:rPr>
        <w:t>”</w:t>
      </w:r>
      <w:r>
        <w:rPr>
          <w:sz w:val="24"/>
        </w:rPr>
        <w:t xml:space="preserve"> </w:t>
      </w:r>
      <w:r>
        <w:rPr>
          <w:sz w:val="24"/>
        </w:rPr>
        <w:t>对本项目设计进行了批复。</w:t>
      </w:r>
    </w:p>
    <w:p w:rsidR="00C223F5" w:rsidRPr="006227A6" w:rsidRDefault="005860D5" w:rsidP="004173AA">
      <w:pPr>
        <w:spacing w:line="360" w:lineRule="auto"/>
        <w:ind w:firstLineChars="200" w:firstLine="480"/>
        <w:rPr>
          <w:sz w:val="24"/>
        </w:rPr>
      </w:pPr>
      <w:r>
        <w:rPr>
          <w:sz w:val="24"/>
        </w:rPr>
        <w:t>本次整合</w:t>
      </w:r>
      <w:r>
        <w:rPr>
          <w:rFonts w:hint="eastAsia"/>
          <w:sz w:val="24"/>
        </w:rPr>
        <w:t>工程</w:t>
      </w:r>
      <w:r>
        <w:rPr>
          <w:sz w:val="24"/>
        </w:rPr>
        <w:t>利用</w:t>
      </w:r>
      <w:r>
        <w:rPr>
          <w:rFonts w:hint="eastAsia"/>
          <w:sz w:val="24"/>
        </w:rPr>
        <w:t>原天云煤矿</w:t>
      </w:r>
      <w:r>
        <w:rPr>
          <w:sz w:val="24"/>
        </w:rPr>
        <w:t>工业场地</w:t>
      </w:r>
      <w:r>
        <w:rPr>
          <w:rFonts w:hint="eastAsia"/>
          <w:sz w:val="24"/>
        </w:rPr>
        <w:t>进行改扩建</w:t>
      </w:r>
      <w:r>
        <w:rPr>
          <w:sz w:val="24"/>
        </w:rPr>
        <w:t>，</w:t>
      </w:r>
      <w:r>
        <w:rPr>
          <w:rFonts w:hint="eastAsia"/>
          <w:sz w:val="24"/>
        </w:rPr>
        <w:t>场地内新建主、副斜井，利用原天云煤矿一对立井作为整合后的回风立井（其中原副立井作为回风暗立井）；后期在井田南部</w:t>
      </w:r>
      <w:r>
        <w:rPr>
          <w:rFonts w:hint="eastAsia"/>
          <w:sz w:val="24"/>
        </w:rPr>
        <w:t>ZK609</w:t>
      </w:r>
      <w:r>
        <w:rPr>
          <w:rFonts w:hint="eastAsia"/>
          <w:sz w:val="24"/>
        </w:rPr>
        <w:t>钻孔附近新建一对进、回风立井。矿井采用单水平开拓，全井田共划分</w:t>
      </w:r>
      <w:r>
        <w:rPr>
          <w:rFonts w:hint="eastAsia"/>
          <w:sz w:val="24"/>
        </w:rPr>
        <w:t>7</w:t>
      </w:r>
      <w:r>
        <w:rPr>
          <w:rFonts w:hint="eastAsia"/>
          <w:sz w:val="24"/>
        </w:rPr>
        <w:t>个盘区，采用长壁后退式一次采全高采煤方法，综采采煤工艺，全部垮落法管理顶板；</w:t>
      </w:r>
      <w:r>
        <w:rPr>
          <w:sz w:val="24"/>
        </w:rPr>
        <w:t>井下主运输采用胶带输送机运输，辅助运输采用防爆无轨胶轮车运输</w:t>
      </w:r>
      <w:r>
        <w:rPr>
          <w:rFonts w:hint="eastAsia"/>
          <w:sz w:val="24"/>
        </w:rPr>
        <w:t>。矿井</w:t>
      </w:r>
      <w:r>
        <w:rPr>
          <w:sz w:val="24"/>
        </w:rPr>
        <w:t>配套建设选煤厂</w:t>
      </w:r>
      <w:r>
        <w:rPr>
          <w:rFonts w:hint="eastAsia"/>
          <w:sz w:val="24"/>
        </w:rPr>
        <w:t>（</w:t>
      </w:r>
      <w:r>
        <w:rPr>
          <w:sz w:val="24"/>
        </w:rPr>
        <w:t>规模</w:t>
      </w:r>
      <w:r>
        <w:rPr>
          <w:sz w:val="24"/>
        </w:rPr>
        <w:t>0.</w:t>
      </w:r>
      <w:r>
        <w:rPr>
          <w:rFonts w:hint="eastAsia"/>
          <w:sz w:val="24"/>
        </w:rPr>
        <w:t>9</w:t>
      </w:r>
      <w:r>
        <w:rPr>
          <w:sz w:val="24"/>
        </w:rPr>
        <w:t>0 Mt/a</w:t>
      </w:r>
      <w:r>
        <w:rPr>
          <w:rFonts w:hint="eastAsia"/>
          <w:sz w:val="24"/>
        </w:rPr>
        <w:t>），根据产品结构分别采用智能选矸系统、无压三产品重介旋流器分选</w:t>
      </w:r>
      <w:r w:rsidRPr="006227A6">
        <w:rPr>
          <w:rFonts w:hint="eastAsia"/>
          <w:sz w:val="24"/>
        </w:rPr>
        <w:t>选煤工艺，原煤及产品均采用筒仓储存</w:t>
      </w:r>
      <w:r w:rsidRPr="006227A6">
        <w:rPr>
          <w:rFonts w:ascii="宋体" w:hAnsi="宋体" w:hint="eastAsia"/>
          <w:sz w:val="24"/>
        </w:rPr>
        <w:t>。整合后工业场地内的地面建构筑物全部新建。</w:t>
      </w:r>
      <w:r w:rsidRPr="006227A6">
        <w:rPr>
          <w:sz w:val="24"/>
        </w:rPr>
        <w:t>本工程</w:t>
      </w:r>
      <w:r w:rsidRPr="006227A6">
        <w:rPr>
          <w:rFonts w:hint="eastAsia"/>
          <w:sz w:val="24"/>
        </w:rPr>
        <w:t>静态总投资</w:t>
      </w:r>
      <w:r w:rsidRPr="006227A6">
        <w:rPr>
          <w:rFonts w:hint="eastAsia"/>
          <w:sz w:val="24"/>
        </w:rPr>
        <w:t>86961.61</w:t>
      </w:r>
      <w:r w:rsidRPr="006227A6">
        <w:rPr>
          <w:rFonts w:hint="eastAsia"/>
          <w:sz w:val="24"/>
        </w:rPr>
        <w:t>万元</w:t>
      </w:r>
      <w:r w:rsidRPr="006227A6">
        <w:rPr>
          <w:sz w:val="24"/>
        </w:rPr>
        <w:t>，其中环保估算投资为</w:t>
      </w:r>
      <w:r w:rsidRPr="006227A6">
        <w:rPr>
          <w:rFonts w:hint="eastAsia"/>
          <w:sz w:val="24"/>
        </w:rPr>
        <w:t>1339.6</w:t>
      </w:r>
      <w:r w:rsidRPr="006227A6">
        <w:rPr>
          <w:sz w:val="24"/>
        </w:rPr>
        <w:t>万元，占工程建设总投资的</w:t>
      </w:r>
      <w:r w:rsidRPr="006227A6">
        <w:rPr>
          <w:rFonts w:hint="eastAsia"/>
          <w:sz w:val="24"/>
        </w:rPr>
        <w:t>1.54</w:t>
      </w:r>
      <w:r w:rsidRPr="006227A6">
        <w:rPr>
          <w:sz w:val="24"/>
        </w:rPr>
        <w:t>%</w:t>
      </w:r>
      <w:r w:rsidRPr="006227A6">
        <w:rPr>
          <w:sz w:val="24"/>
        </w:rPr>
        <w:t>。</w:t>
      </w:r>
    </w:p>
    <w:p w:rsidR="00C223F5" w:rsidRPr="006227A6" w:rsidRDefault="005860D5" w:rsidP="004173AA">
      <w:pPr>
        <w:spacing w:line="360" w:lineRule="auto"/>
        <w:ind w:firstLineChars="200" w:firstLine="480"/>
        <w:rPr>
          <w:sz w:val="24"/>
        </w:rPr>
      </w:pPr>
      <w:r w:rsidRPr="006227A6">
        <w:rPr>
          <w:rFonts w:hint="eastAsia"/>
          <w:sz w:val="24"/>
        </w:rPr>
        <w:t>经调查，本项目整合工程暂未开工建设。</w:t>
      </w:r>
    </w:p>
    <w:p w:rsidR="00C223F5" w:rsidRDefault="005860D5" w:rsidP="00C006A7">
      <w:pPr>
        <w:spacing w:line="360" w:lineRule="auto"/>
        <w:ind w:firstLineChars="200" w:firstLine="482"/>
        <w:rPr>
          <w:b/>
          <w:sz w:val="24"/>
        </w:rPr>
      </w:pPr>
      <w:bookmarkStart w:id="9" w:name="_Toc533604814"/>
      <w:bookmarkStart w:id="10" w:name="_Toc533604676"/>
      <w:bookmarkStart w:id="11" w:name="_Toc512080008"/>
      <w:bookmarkStart w:id="12" w:name="_Toc533604256"/>
      <w:bookmarkStart w:id="13" w:name="_Toc8285253"/>
      <w:r>
        <w:rPr>
          <w:rFonts w:hint="eastAsia"/>
          <w:b/>
          <w:sz w:val="24"/>
        </w:rPr>
        <w:t>二、项目特点</w:t>
      </w:r>
      <w:bookmarkEnd w:id="9"/>
      <w:bookmarkEnd w:id="10"/>
      <w:bookmarkEnd w:id="11"/>
      <w:bookmarkEnd w:id="12"/>
      <w:bookmarkEnd w:id="13"/>
    </w:p>
    <w:p w:rsidR="00C223F5" w:rsidRDefault="005860D5" w:rsidP="004173AA">
      <w:pPr>
        <w:spacing w:line="360" w:lineRule="auto"/>
        <w:ind w:firstLineChars="200" w:firstLine="480"/>
        <w:rPr>
          <w:sz w:val="24"/>
        </w:rPr>
      </w:pPr>
      <w:r>
        <w:rPr>
          <w:rFonts w:hint="eastAsia"/>
          <w:sz w:val="24"/>
        </w:rPr>
        <w:t>本项目为采掘类评价项目，属于</w:t>
      </w:r>
      <w:r>
        <w:rPr>
          <w:rFonts w:hint="eastAsia"/>
          <w:bCs/>
          <w:kern w:val="0"/>
          <w:sz w:val="24"/>
          <w:szCs w:val="32"/>
        </w:rPr>
        <w:t>《建设项目环境影响评价分类管理名录》（</w:t>
      </w:r>
      <w:r>
        <w:rPr>
          <w:rFonts w:hint="eastAsia"/>
          <w:bCs/>
          <w:kern w:val="0"/>
          <w:sz w:val="24"/>
          <w:szCs w:val="32"/>
        </w:rPr>
        <w:t>2017</w:t>
      </w:r>
      <w:r>
        <w:rPr>
          <w:rFonts w:hint="eastAsia"/>
          <w:bCs/>
          <w:kern w:val="0"/>
          <w:sz w:val="24"/>
          <w:szCs w:val="32"/>
        </w:rPr>
        <w:t>）中“四十一、煤炭开采和洗选业；</w:t>
      </w:r>
      <w:r>
        <w:rPr>
          <w:rFonts w:hint="eastAsia"/>
          <w:bCs/>
          <w:kern w:val="0"/>
          <w:sz w:val="24"/>
          <w:szCs w:val="32"/>
        </w:rPr>
        <w:t>128</w:t>
      </w:r>
      <w:r>
        <w:rPr>
          <w:rFonts w:hint="eastAsia"/>
          <w:bCs/>
          <w:kern w:val="0"/>
          <w:sz w:val="24"/>
          <w:szCs w:val="32"/>
        </w:rPr>
        <w:t>、煤炭开采”</w:t>
      </w:r>
      <w:r>
        <w:rPr>
          <w:rFonts w:hint="eastAsia"/>
          <w:sz w:val="24"/>
        </w:rPr>
        <w:t>项目，开采方式为井工开采配套建设选煤厂，环境影响</w:t>
      </w:r>
      <w:r w:rsidRPr="006227A6">
        <w:rPr>
          <w:rFonts w:hint="eastAsia"/>
          <w:sz w:val="24"/>
        </w:rPr>
        <w:t>以生态和地下水影响为主。该项目位于陕北农村地区，评价范围内涉及榆林大理河重要湿地</w:t>
      </w:r>
      <w:r w:rsidRPr="00BB780D">
        <w:rPr>
          <w:rFonts w:hint="eastAsia"/>
          <w:color w:val="FF0000"/>
          <w:sz w:val="24"/>
        </w:rPr>
        <w:t>（</w:t>
      </w:r>
      <w:r w:rsidR="00BB780D" w:rsidRPr="00BB780D">
        <w:rPr>
          <w:rFonts w:hint="eastAsia"/>
          <w:color w:val="FF0000"/>
          <w:sz w:val="24"/>
        </w:rPr>
        <w:t>井田东部大理河下游区域为无煤区、上游</w:t>
      </w:r>
      <w:r w:rsidR="00BB780D" w:rsidRPr="00BB780D">
        <w:rPr>
          <w:rFonts w:hint="eastAsia"/>
          <w:color w:val="FF0000"/>
          <w:sz w:val="24"/>
        </w:rPr>
        <w:lastRenderedPageBreak/>
        <w:t>河段</w:t>
      </w:r>
      <w:r w:rsidR="00212F71">
        <w:rPr>
          <w:rFonts w:hint="eastAsia"/>
          <w:color w:val="FF0000"/>
          <w:sz w:val="24"/>
        </w:rPr>
        <w:t>及湿地</w:t>
      </w:r>
      <w:r w:rsidRPr="00BB780D">
        <w:rPr>
          <w:rFonts w:hint="eastAsia"/>
          <w:color w:val="FF0000"/>
          <w:sz w:val="24"/>
        </w:rPr>
        <w:t>已留设保护煤柱，不进行开采），</w:t>
      </w:r>
      <w:r w:rsidRPr="006227A6">
        <w:rPr>
          <w:rFonts w:hint="eastAsia"/>
          <w:sz w:val="24"/>
        </w:rPr>
        <w:t>但不涉及水源地保护</w:t>
      </w:r>
      <w:r>
        <w:rPr>
          <w:rFonts w:hint="eastAsia"/>
          <w:sz w:val="24"/>
        </w:rPr>
        <w:t>区、自然保护区等</w:t>
      </w:r>
      <w:r w:rsidR="00B93E86">
        <w:rPr>
          <w:rFonts w:hint="eastAsia"/>
          <w:sz w:val="24"/>
        </w:rPr>
        <w:t>其他</w:t>
      </w:r>
      <w:r>
        <w:rPr>
          <w:rFonts w:hint="eastAsia"/>
          <w:sz w:val="24"/>
        </w:rPr>
        <w:t>敏感目标，区域环境敏感程度中等。</w:t>
      </w:r>
    </w:p>
    <w:p w:rsidR="00C223F5" w:rsidRDefault="005860D5" w:rsidP="00C006A7">
      <w:pPr>
        <w:adjustRightInd w:val="0"/>
        <w:snapToGrid w:val="0"/>
        <w:spacing w:line="360" w:lineRule="auto"/>
        <w:ind w:firstLineChars="200" w:firstLine="482"/>
        <w:rPr>
          <w:b/>
          <w:sz w:val="24"/>
          <w:szCs w:val="22"/>
        </w:rPr>
      </w:pPr>
      <w:bookmarkStart w:id="14" w:name="_Toc533604677"/>
      <w:bookmarkStart w:id="15" w:name="_Toc533604257"/>
      <w:bookmarkStart w:id="16" w:name="_Toc512080009"/>
      <w:bookmarkStart w:id="17" w:name="_Toc533604815"/>
      <w:bookmarkStart w:id="18" w:name="_Toc8285254"/>
      <w:r>
        <w:rPr>
          <w:rFonts w:hint="eastAsia"/>
          <w:b/>
          <w:sz w:val="24"/>
          <w:szCs w:val="22"/>
        </w:rPr>
        <w:t>三、评价工作过程</w:t>
      </w:r>
      <w:bookmarkEnd w:id="14"/>
      <w:bookmarkEnd w:id="15"/>
      <w:bookmarkEnd w:id="16"/>
      <w:bookmarkEnd w:id="17"/>
      <w:bookmarkEnd w:id="18"/>
    </w:p>
    <w:p w:rsidR="00C223F5" w:rsidRDefault="005860D5" w:rsidP="004173AA">
      <w:pPr>
        <w:spacing w:line="360" w:lineRule="auto"/>
        <w:ind w:firstLineChars="200" w:firstLine="480"/>
        <w:rPr>
          <w:sz w:val="24"/>
        </w:rPr>
      </w:pPr>
      <w:bookmarkStart w:id="19" w:name="_Toc512080010"/>
      <w:r>
        <w:rPr>
          <w:sz w:val="24"/>
        </w:rPr>
        <w:t>根据《中华人民共和国环境影响评价法》</w:t>
      </w:r>
      <w:r>
        <w:rPr>
          <w:rFonts w:hint="eastAsia"/>
          <w:sz w:val="24"/>
        </w:rPr>
        <w:t>、</w:t>
      </w:r>
      <w:r>
        <w:rPr>
          <w:rFonts w:hint="eastAsia"/>
          <w:bCs/>
          <w:sz w:val="24"/>
          <w:szCs w:val="32"/>
        </w:rPr>
        <w:t>《建设项目环境保护管理条例》和</w:t>
      </w:r>
      <w:r>
        <w:rPr>
          <w:rFonts w:hint="eastAsia"/>
          <w:bCs/>
          <w:kern w:val="0"/>
          <w:sz w:val="24"/>
          <w:szCs w:val="32"/>
        </w:rPr>
        <w:t>《建设项目环境影响评价分类管理名录》等法律法规要求</w:t>
      </w:r>
      <w:r>
        <w:rPr>
          <w:rFonts w:hint="eastAsia"/>
          <w:sz w:val="24"/>
        </w:rPr>
        <w:t>，</w:t>
      </w:r>
      <w:r>
        <w:rPr>
          <w:sz w:val="24"/>
        </w:rPr>
        <w:t>20</w:t>
      </w:r>
      <w:r>
        <w:rPr>
          <w:rFonts w:hint="eastAsia"/>
          <w:sz w:val="24"/>
        </w:rPr>
        <w:t>18</w:t>
      </w:r>
      <w:r>
        <w:rPr>
          <w:sz w:val="24"/>
        </w:rPr>
        <w:t>年</w:t>
      </w:r>
      <w:r>
        <w:rPr>
          <w:rFonts w:hint="eastAsia"/>
          <w:sz w:val="24"/>
        </w:rPr>
        <w:t>11</w:t>
      </w:r>
      <w:r>
        <w:rPr>
          <w:sz w:val="24"/>
        </w:rPr>
        <w:t>月，</w:t>
      </w:r>
      <w:r>
        <w:rPr>
          <w:rFonts w:hAnsi="宋体" w:hint="eastAsia"/>
          <w:sz w:val="24"/>
        </w:rPr>
        <w:t>横山县</w:t>
      </w:r>
      <w:r>
        <w:rPr>
          <w:rFonts w:hAnsi="宋体"/>
          <w:sz w:val="24"/>
        </w:rPr>
        <w:t>天云煤矿</w:t>
      </w:r>
      <w:r>
        <w:rPr>
          <w:rFonts w:hAnsi="宋体" w:hint="eastAsia"/>
          <w:sz w:val="24"/>
        </w:rPr>
        <w:t>有限公司</w:t>
      </w:r>
      <w:r>
        <w:rPr>
          <w:sz w:val="24"/>
        </w:rPr>
        <w:t>正式委托</w:t>
      </w:r>
      <w:r>
        <w:rPr>
          <w:rFonts w:hint="eastAsia"/>
          <w:sz w:val="24"/>
        </w:rPr>
        <w:t>中煤科工集团西安研究院有限公司</w:t>
      </w:r>
      <w:r>
        <w:rPr>
          <w:sz w:val="24"/>
        </w:rPr>
        <w:t>承担该项目的环境影响评价工作</w:t>
      </w:r>
      <w:r>
        <w:rPr>
          <w:rFonts w:hint="eastAsia"/>
          <w:sz w:val="24"/>
        </w:rPr>
        <w:t>。</w:t>
      </w:r>
      <w:r>
        <w:rPr>
          <w:sz w:val="24"/>
        </w:rPr>
        <w:t>接受委托后，我</w:t>
      </w:r>
      <w:r>
        <w:rPr>
          <w:rFonts w:hint="eastAsia"/>
          <w:sz w:val="24"/>
        </w:rPr>
        <w:t>公司</w:t>
      </w:r>
      <w:r>
        <w:rPr>
          <w:sz w:val="24"/>
        </w:rPr>
        <w:t>组织有关技术人员对现场进行了踏勘，收集了所需资料，结合当地具体情况及本项目特点，于</w:t>
      </w:r>
      <w:r>
        <w:rPr>
          <w:sz w:val="24"/>
        </w:rPr>
        <w:t>20</w:t>
      </w:r>
      <w:r>
        <w:rPr>
          <w:rFonts w:hint="eastAsia"/>
          <w:sz w:val="24"/>
        </w:rPr>
        <w:t>19</w:t>
      </w:r>
      <w:r>
        <w:rPr>
          <w:sz w:val="24"/>
        </w:rPr>
        <w:t>年</w:t>
      </w:r>
      <w:r w:rsidR="00B93E86">
        <w:rPr>
          <w:rFonts w:hint="eastAsia"/>
          <w:sz w:val="24"/>
        </w:rPr>
        <w:t>7</w:t>
      </w:r>
      <w:r>
        <w:rPr>
          <w:sz w:val="24"/>
        </w:rPr>
        <w:t>月编制完成了《</w:t>
      </w:r>
      <w:r>
        <w:rPr>
          <w:rFonts w:hint="eastAsia"/>
          <w:sz w:val="24"/>
        </w:rPr>
        <w:t>横山县天云煤矿有限公司天云煤矿资源整合项目（</w:t>
      </w:r>
      <w:r>
        <w:rPr>
          <w:rFonts w:hint="eastAsia"/>
          <w:sz w:val="24"/>
        </w:rPr>
        <w:t>0.90Mt/a</w:t>
      </w:r>
      <w:r>
        <w:rPr>
          <w:rFonts w:hint="eastAsia"/>
          <w:sz w:val="24"/>
        </w:rPr>
        <w:t>）</w:t>
      </w:r>
      <w:r>
        <w:rPr>
          <w:sz w:val="24"/>
        </w:rPr>
        <w:t>环境影响报告书》。</w:t>
      </w:r>
      <w:bookmarkEnd w:id="19"/>
    </w:p>
    <w:p w:rsidR="00A96BBC" w:rsidRDefault="005860D5" w:rsidP="00A96BBC">
      <w:pPr>
        <w:overflowPunct w:val="0"/>
        <w:spacing w:line="360" w:lineRule="auto"/>
        <w:ind w:firstLine="480"/>
        <w:rPr>
          <w:bCs/>
          <w:kern w:val="0"/>
          <w:sz w:val="24"/>
          <w:szCs w:val="32"/>
        </w:rPr>
      </w:pPr>
      <w:r>
        <w:rPr>
          <w:rFonts w:hint="eastAsia"/>
          <w:bCs/>
          <w:kern w:val="0"/>
          <w:sz w:val="24"/>
          <w:szCs w:val="32"/>
        </w:rPr>
        <w:t>报告书编制期间，建设单位按《环境影响评价公众参与办法》等要求进行了项目评价信息公示、评价区社会公众意见征询工作、环境影响报告书全文公示等公众参与工作。</w:t>
      </w:r>
    </w:p>
    <w:p w:rsidR="00A96BBC" w:rsidRPr="00A96BBC" w:rsidRDefault="00A96BBC" w:rsidP="004173AA">
      <w:pPr>
        <w:overflowPunct w:val="0"/>
        <w:spacing w:line="360" w:lineRule="auto"/>
        <w:ind w:firstLine="480"/>
        <w:rPr>
          <w:rFonts w:hint="eastAsia"/>
          <w:bCs/>
          <w:kern w:val="0"/>
          <w:sz w:val="24"/>
        </w:rPr>
      </w:pPr>
      <w:r w:rsidRPr="00A96BBC">
        <w:rPr>
          <w:rFonts w:hint="eastAsia"/>
          <w:color w:val="FF0000"/>
          <w:sz w:val="24"/>
        </w:rPr>
        <w:t>20</w:t>
      </w:r>
      <w:r>
        <w:rPr>
          <w:color w:val="FF0000"/>
          <w:sz w:val="24"/>
        </w:rPr>
        <w:t>19</w:t>
      </w:r>
      <w:r w:rsidRPr="00A96BBC">
        <w:rPr>
          <w:rFonts w:hint="eastAsia"/>
          <w:color w:val="FF0000"/>
          <w:sz w:val="24"/>
        </w:rPr>
        <w:t>年</w:t>
      </w:r>
      <w:r>
        <w:rPr>
          <w:rFonts w:hint="eastAsia"/>
          <w:color w:val="FF0000"/>
          <w:sz w:val="24"/>
        </w:rPr>
        <w:t>8</w:t>
      </w:r>
      <w:r w:rsidRPr="00A96BBC">
        <w:rPr>
          <w:rFonts w:hint="eastAsia"/>
          <w:color w:val="FF0000"/>
          <w:sz w:val="24"/>
        </w:rPr>
        <w:t>月</w:t>
      </w:r>
      <w:r w:rsidRPr="00A96BBC">
        <w:rPr>
          <w:rFonts w:hint="eastAsia"/>
          <w:color w:val="FF0000"/>
          <w:sz w:val="24"/>
        </w:rPr>
        <w:t>1</w:t>
      </w:r>
      <w:r>
        <w:rPr>
          <w:color w:val="FF0000"/>
          <w:sz w:val="24"/>
        </w:rPr>
        <w:t>3</w:t>
      </w:r>
      <w:r w:rsidRPr="00A96BBC">
        <w:rPr>
          <w:rFonts w:hint="eastAsia"/>
          <w:color w:val="FF0000"/>
          <w:sz w:val="24"/>
        </w:rPr>
        <w:t>日</w:t>
      </w:r>
      <w:r w:rsidRPr="00A96BBC">
        <w:rPr>
          <w:color w:val="FF0000"/>
          <w:sz w:val="24"/>
        </w:rPr>
        <w:t>陕西省环境</w:t>
      </w:r>
      <w:r w:rsidR="00C14133">
        <w:rPr>
          <w:rFonts w:hint="eastAsia"/>
          <w:color w:val="FF0000"/>
          <w:sz w:val="24"/>
        </w:rPr>
        <w:t>调查</w:t>
      </w:r>
      <w:bookmarkStart w:id="20" w:name="_GoBack"/>
      <w:bookmarkEnd w:id="20"/>
      <w:r w:rsidRPr="00A96BBC">
        <w:rPr>
          <w:color w:val="FF0000"/>
          <w:sz w:val="24"/>
        </w:rPr>
        <w:t>评估中心在</w:t>
      </w:r>
      <w:r>
        <w:rPr>
          <w:rFonts w:hint="eastAsia"/>
          <w:color w:val="FF0000"/>
          <w:sz w:val="24"/>
        </w:rPr>
        <w:t>西安</w:t>
      </w:r>
      <w:r w:rsidRPr="00A96BBC">
        <w:rPr>
          <w:color w:val="FF0000"/>
          <w:sz w:val="24"/>
        </w:rPr>
        <w:t>市主持召开了</w:t>
      </w:r>
      <w:r w:rsidRPr="00A96BBC">
        <w:rPr>
          <w:rFonts w:hint="eastAsia"/>
          <w:color w:val="FF0000"/>
          <w:sz w:val="24"/>
        </w:rPr>
        <w:t>该项目报告书评估会，并形成了报告书专家评估意见。会后根据专家意见对报告书认真进行了修改完善，形成本报告书最终版。</w:t>
      </w:r>
    </w:p>
    <w:p w:rsidR="00C223F5" w:rsidRDefault="005860D5" w:rsidP="00C006A7">
      <w:pPr>
        <w:adjustRightInd w:val="0"/>
        <w:snapToGrid w:val="0"/>
        <w:spacing w:line="360" w:lineRule="auto"/>
        <w:ind w:firstLineChars="200" w:firstLine="482"/>
        <w:rPr>
          <w:b/>
          <w:sz w:val="24"/>
          <w:szCs w:val="22"/>
        </w:rPr>
      </w:pPr>
      <w:bookmarkStart w:id="21" w:name="_Toc8285255"/>
      <w:bookmarkStart w:id="22" w:name="_Toc533604678"/>
      <w:bookmarkStart w:id="23" w:name="_Toc533604816"/>
      <w:bookmarkStart w:id="24" w:name="_Toc512080011"/>
      <w:bookmarkStart w:id="25" w:name="_Toc533604258"/>
      <w:r>
        <w:rPr>
          <w:rFonts w:hint="eastAsia"/>
          <w:b/>
          <w:sz w:val="24"/>
          <w:szCs w:val="22"/>
        </w:rPr>
        <w:t>四、分析判定相关情况</w:t>
      </w:r>
      <w:bookmarkEnd w:id="21"/>
      <w:bookmarkEnd w:id="22"/>
      <w:bookmarkEnd w:id="23"/>
      <w:bookmarkEnd w:id="24"/>
      <w:bookmarkEnd w:id="25"/>
    </w:p>
    <w:p w:rsidR="00C223F5" w:rsidRDefault="005860D5" w:rsidP="00C006A7">
      <w:pPr>
        <w:overflowPunct w:val="0"/>
        <w:spacing w:line="360" w:lineRule="auto"/>
        <w:ind w:firstLineChars="200" w:firstLine="482"/>
        <w:rPr>
          <w:b/>
          <w:kern w:val="0"/>
          <w:sz w:val="28"/>
          <w:szCs w:val="28"/>
        </w:rPr>
      </w:pPr>
      <w:bookmarkStart w:id="26" w:name="_Toc8285256"/>
      <w:r>
        <w:rPr>
          <w:b/>
          <w:sz w:val="24"/>
          <w:szCs w:val="32"/>
        </w:rPr>
        <w:t>（一）项目与相关政策、规划相符性结论</w:t>
      </w:r>
      <w:bookmarkEnd w:id="26"/>
    </w:p>
    <w:p w:rsidR="00C223F5" w:rsidRDefault="005860D5" w:rsidP="004173AA">
      <w:pPr>
        <w:spacing w:line="360" w:lineRule="auto"/>
        <w:ind w:firstLineChars="200" w:firstLine="480"/>
        <w:rPr>
          <w:sz w:val="24"/>
          <w:szCs w:val="32"/>
        </w:rPr>
      </w:pPr>
      <w:r>
        <w:rPr>
          <w:sz w:val="24"/>
          <w:szCs w:val="32"/>
        </w:rPr>
        <w:t>（</w:t>
      </w:r>
      <w:r>
        <w:rPr>
          <w:sz w:val="24"/>
          <w:szCs w:val="32"/>
        </w:rPr>
        <w:t>1</w:t>
      </w:r>
      <w:r>
        <w:rPr>
          <w:sz w:val="24"/>
          <w:szCs w:val="32"/>
        </w:rPr>
        <w:t>）相关政策</w:t>
      </w:r>
    </w:p>
    <w:p w:rsidR="00C223F5" w:rsidRDefault="005860D5" w:rsidP="004173AA">
      <w:pPr>
        <w:spacing w:line="360" w:lineRule="auto"/>
        <w:ind w:firstLineChars="200" w:firstLine="480"/>
        <w:rPr>
          <w:sz w:val="24"/>
          <w:szCs w:val="32"/>
        </w:rPr>
      </w:pPr>
      <w:r>
        <w:rPr>
          <w:sz w:val="24"/>
          <w:szCs w:val="32"/>
        </w:rPr>
        <w:t>本项目采用</w:t>
      </w:r>
      <w:r>
        <w:rPr>
          <w:rFonts w:hint="eastAsia"/>
          <w:sz w:val="24"/>
          <w:szCs w:val="32"/>
        </w:rPr>
        <w:t>井工开采，</w:t>
      </w:r>
      <w:r>
        <w:rPr>
          <w:rFonts w:hint="eastAsia"/>
          <w:sz w:val="24"/>
        </w:rPr>
        <w:t>开采原煤平均硫分均低于</w:t>
      </w:r>
      <w:r>
        <w:rPr>
          <w:rFonts w:hint="eastAsia"/>
          <w:sz w:val="24"/>
        </w:rPr>
        <w:t>3%</w:t>
      </w:r>
      <w:r>
        <w:rPr>
          <w:rFonts w:hint="eastAsia"/>
          <w:sz w:val="24"/>
        </w:rPr>
        <w:t>，</w:t>
      </w:r>
      <w:r>
        <w:rPr>
          <w:rFonts w:hint="eastAsia"/>
          <w:sz w:val="24"/>
          <w:szCs w:val="32"/>
        </w:rPr>
        <w:t>配套建设选</w:t>
      </w:r>
      <w:r>
        <w:rPr>
          <w:rFonts w:hint="eastAsia"/>
          <w:sz w:val="24"/>
        </w:rPr>
        <w:t>煤厂，煤泥水实现</w:t>
      </w:r>
      <w:r>
        <w:rPr>
          <w:sz w:val="24"/>
        </w:rPr>
        <w:t>闭路循环</w:t>
      </w:r>
      <w:r>
        <w:rPr>
          <w:rFonts w:hint="eastAsia"/>
          <w:sz w:val="24"/>
        </w:rPr>
        <w:t>利用；</w:t>
      </w:r>
      <w:r>
        <w:rPr>
          <w:sz w:val="24"/>
        </w:rPr>
        <w:t>项目</w:t>
      </w:r>
      <w:r>
        <w:rPr>
          <w:rFonts w:hint="eastAsia"/>
          <w:sz w:val="24"/>
        </w:rPr>
        <w:t>属于地方保留整合矿井，最终生产</w:t>
      </w:r>
      <w:r>
        <w:rPr>
          <w:sz w:val="24"/>
        </w:rPr>
        <w:t>规模</w:t>
      </w:r>
      <w:r>
        <w:rPr>
          <w:rFonts w:hint="eastAsia"/>
          <w:bCs/>
          <w:sz w:val="24"/>
        </w:rPr>
        <w:t>0.90</w:t>
      </w:r>
      <w:r>
        <w:rPr>
          <w:bCs/>
          <w:sz w:val="24"/>
        </w:rPr>
        <w:t>Mt/a</w:t>
      </w:r>
      <w:r>
        <w:rPr>
          <w:sz w:val="24"/>
        </w:rPr>
        <w:t>，不属于《产业结构调整指导目录（</w:t>
      </w:r>
      <w:r>
        <w:rPr>
          <w:sz w:val="24"/>
        </w:rPr>
        <w:t>2011</w:t>
      </w:r>
      <w:r>
        <w:rPr>
          <w:sz w:val="24"/>
        </w:rPr>
        <w:t>年本）》（</w:t>
      </w:r>
      <w:r>
        <w:rPr>
          <w:sz w:val="24"/>
        </w:rPr>
        <w:t>201</w:t>
      </w:r>
      <w:r>
        <w:rPr>
          <w:rFonts w:hint="eastAsia"/>
          <w:sz w:val="24"/>
        </w:rPr>
        <w:t>6</w:t>
      </w:r>
      <w:r>
        <w:rPr>
          <w:sz w:val="24"/>
        </w:rPr>
        <w:t>年修正）中限制类和淘汰类</w:t>
      </w:r>
      <w:r>
        <w:rPr>
          <w:rFonts w:hint="eastAsia"/>
          <w:sz w:val="24"/>
        </w:rPr>
        <w:t>项目</w:t>
      </w:r>
      <w:r>
        <w:rPr>
          <w:sz w:val="24"/>
        </w:rPr>
        <w:t>；不属于《陕西省限制投资类产业指导目录》（陕发改产业</w:t>
      </w:r>
      <w:r>
        <w:rPr>
          <w:sz w:val="24"/>
        </w:rPr>
        <w:t>[2007]97</w:t>
      </w:r>
      <w:r>
        <w:rPr>
          <w:sz w:val="24"/>
          <w:szCs w:val="32"/>
        </w:rPr>
        <w:t>号）限制类项目。</w:t>
      </w:r>
    </w:p>
    <w:p w:rsidR="00C223F5" w:rsidRPr="00593345" w:rsidRDefault="005860D5" w:rsidP="004173AA">
      <w:pPr>
        <w:pStyle w:val="hb1"/>
        <w:ind w:firstLine="480"/>
        <w:rPr>
          <w:rFonts w:cs="Times New Roman"/>
          <w:bCs w:val="0"/>
          <w:color w:val="FF0000"/>
          <w:kern w:val="2"/>
        </w:rPr>
      </w:pPr>
      <w:r>
        <w:rPr>
          <w:rFonts w:cs="Times New Roman" w:hint="eastAsia"/>
          <w:bCs w:val="0"/>
          <w:kern w:val="2"/>
        </w:rPr>
        <w:t>根据《关于横山县天云煤矿与沈石</w:t>
      </w:r>
      <w:r w:rsidRPr="006227A6">
        <w:rPr>
          <w:rFonts w:cs="Times New Roman" w:hint="eastAsia"/>
          <w:bCs w:val="0"/>
          <w:kern w:val="2"/>
        </w:rPr>
        <w:t>畔勘查区煤炭资源整合问题的批复》（陕政函</w:t>
      </w:r>
      <w:r w:rsidRPr="006227A6">
        <w:rPr>
          <w:rFonts w:cs="Times New Roman" w:hint="eastAsia"/>
          <w:bCs w:val="0"/>
          <w:kern w:val="2"/>
        </w:rPr>
        <w:t>[2014]63</w:t>
      </w:r>
      <w:r w:rsidRPr="006227A6">
        <w:rPr>
          <w:rFonts w:cs="Times New Roman" w:hint="eastAsia"/>
          <w:bCs w:val="0"/>
          <w:kern w:val="2"/>
        </w:rPr>
        <w:t>号），天云煤矿本次整合设计能力为</w:t>
      </w:r>
      <w:r w:rsidRPr="006227A6">
        <w:rPr>
          <w:rFonts w:cs="Times New Roman" w:hint="eastAsia"/>
          <w:bCs w:val="0"/>
          <w:kern w:val="2"/>
        </w:rPr>
        <w:t>0.90</w:t>
      </w:r>
      <w:r w:rsidRPr="006227A6">
        <w:rPr>
          <w:rFonts w:cs="Times New Roman"/>
          <w:bCs w:val="0"/>
          <w:kern w:val="2"/>
        </w:rPr>
        <w:t>Mt/a</w:t>
      </w:r>
      <w:r w:rsidRPr="006227A6">
        <w:rPr>
          <w:rFonts w:cs="Times New Roman" w:hint="eastAsia"/>
          <w:bCs w:val="0"/>
          <w:kern w:val="2"/>
        </w:rPr>
        <w:t>。</w:t>
      </w:r>
      <w:r w:rsidR="0088045D">
        <w:rPr>
          <w:rFonts w:cs="Times New Roman" w:hint="eastAsia"/>
          <w:bCs w:val="0"/>
          <w:kern w:val="2"/>
        </w:rPr>
        <w:t>根据</w:t>
      </w:r>
      <w:r w:rsidRPr="00593345">
        <w:rPr>
          <w:rFonts w:cs="Times New Roman" w:hint="eastAsia"/>
          <w:bCs w:val="0"/>
          <w:color w:val="FF0000"/>
          <w:kern w:val="2"/>
        </w:rPr>
        <w:t>国家能源局公告</w:t>
      </w:r>
      <w:r w:rsidRPr="00593345">
        <w:rPr>
          <w:rFonts w:cs="Times New Roman" w:hint="eastAsia"/>
          <w:bCs w:val="0"/>
          <w:color w:val="FF0000"/>
          <w:kern w:val="2"/>
        </w:rPr>
        <w:t>2019</w:t>
      </w:r>
      <w:r w:rsidRPr="00593345">
        <w:rPr>
          <w:rFonts w:cs="Times New Roman" w:hint="eastAsia"/>
          <w:bCs w:val="0"/>
          <w:color w:val="FF0000"/>
          <w:kern w:val="2"/>
        </w:rPr>
        <w:t>年第</w:t>
      </w:r>
      <w:r w:rsidRPr="00593345">
        <w:rPr>
          <w:rFonts w:cs="Times New Roman" w:hint="eastAsia"/>
          <w:bCs w:val="0"/>
          <w:color w:val="FF0000"/>
          <w:kern w:val="2"/>
        </w:rPr>
        <w:t>2</w:t>
      </w:r>
      <w:r w:rsidRPr="00593345">
        <w:rPr>
          <w:rFonts w:cs="Times New Roman" w:hint="eastAsia"/>
          <w:bCs w:val="0"/>
          <w:color w:val="FF0000"/>
          <w:kern w:val="2"/>
        </w:rPr>
        <w:t>号文</w:t>
      </w:r>
      <w:r w:rsidR="0088045D">
        <w:rPr>
          <w:rFonts w:cs="Times New Roman" w:hint="eastAsia"/>
          <w:bCs w:val="0"/>
          <w:color w:val="FF0000"/>
          <w:kern w:val="2"/>
        </w:rPr>
        <w:t>，</w:t>
      </w:r>
      <w:r w:rsidRPr="00593345">
        <w:rPr>
          <w:rFonts w:cs="Times New Roman" w:hint="eastAsia"/>
          <w:bCs w:val="0"/>
          <w:color w:val="FF0000"/>
          <w:kern w:val="2"/>
        </w:rPr>
        <w:t>“全国煤矿生产能力情况”中整合前原天云煤矿核定能力为</w:t>
      </w:r>
      <w:r w:rsidRPr="00593345">
        <w:rPr>
          <w:rFonts w:cs="Times New Roman" w:hint="eastAsia"/>
          <w:bCs w:val="0"/>
          <w:color w:val="FF0000"/>
          <w:kern w:val="2"/>
        </w:rPr>
        <w:t>0.60</w:t>
      </w:r>
      <w:r w:rsidRPr="00593345">
        <w:rPr>
          <w:rFonts w:cs="Times New Roman"/>
          <w:bCs w:val="0"/>
          <w:color w:val="FF0000"/>
          <w:kern w:val="2"/>
        </w:rPr>
        <w:t>Mt/a</w:t>
      </w:r>
      <w:r w:rsidR="006A324A">
        <w:rPr>
          <w:rFonts w:cs="Times New Roman" w:hint="eastAsia"/>
          <w:bCs w:val="0"/>
          <w:color w:val="FF0000"/>
          <w:kern w:val="2"/>
        </w:rPr>
        <w:t>；同时，</w:t>
      </w:r>
      <w:r w:rsidR="006A324A" w:rsidRPr="00593345">
        <w:rPr>
          <w:rFonts w:cs="Times New Roman" w:hint="eastAsia"/>
          <w:bCs w:val="0"/>
          <w:color w:val="FF0000"/>
          <w:kern w:val="2"/>
        </w:rPr>
        <w:t>横山县天云煤矿有限公司已与榆林市六墩煤矿签订</w:t>
      </w:r>
      <w:r w:rsidR="006A324A" w:rsidRPr="00593345">
        <w:rPr>
          <w:rFonts w:cs="Times New Roman" w:hint="eastAsia"/>
          <w:bCs w:val="0"/>
          <w:color w:val="FF0000"/>
          <w:kern w:val="2"/>
        </w:rPr>
        <w:t>0.03</w:t>
      </w:r>
      <w:r w:rsidR="006A324A" w:rsidRPr="00593345">
        <w:rPr>
          <w:rFonts w:cs="Times New Roman"/>
          <w:bCs w:val="0"/>
          <w:color w:val="FF0000"/>
          <w:kern w:val="2"/>
        </w:rPr>
        <w:t>Mt/a</w:t>
      </w:r>
      <w:r w:rsidR="006A324A" w:rsidRPr="00593345">
        <w:rPr>
          <w:rFonts w:cs="Times New Roman" w:hint="eastAsia"/>
          <w:bCs w:val="0"/>
          <w:color w:val="FF0000"/>
          <w:kern w:val="2"/>
        </w:rPr>
        <w:t>煤炭产能置换指标转让协议，榆林市六墩煤矿所转让的</w:t>
      </w:r>
      <w:r w:rsidR="006A324A" w:rsidRPr="00593345">
        <w:rPr>
          <w:rFonts w:cs="Times New Roman" w:hint="eastAsia"/>
          <w:bCs w:val="0"/>
          <w:color w:val="FF0000"/>
          <w:kern w:val="2"/>
        </w:rPr>
        <w:t>0.03</w:t>
      </w:r>
      <w:r w:rsidR="006A324A" w:rsidRPr="00593345">
        <w:rPr>
          <w:rFonts w:cs="Times New Roman"/>
          <w:bCs w:val="0"/>
          <w:color w:val="FF0000"/>
          <w:kern w:val="2"/>
        </w:rPr>
        <w:t>Mt/a</w:t>
      </w:r>
      <w:r w:rsidR="006A324A" w:rsidRPr="00593345">
        <w:rPr>
          <w:rFonts w:cs="Times New Roman" w:hint="eastAsia"/>
          <w:bCs w:val="0"/>
          <w:color w:val="FF0000"/>
          <w:kern w:val="2"/>
        </w:rPr>
        <w:t>产能置换指标为</w:t>
      </w:r>
      <w:r w:rsidR="006A324A" w:rsidRPr="00593345">
        <w:rPr>
          <w:rFonts w:cs="Times New Roman" w:hint="eastAsia"/>
          <w:bCs w:val="0"/>
          <w:color w:val="FF0000"/>
          <w:kern w:val="2"/>
        </w:rPr>
        <w:t>2017</w:t>
      </w:r>
      <w:r w:rsidR="006A324A" w:rsidRPr="00593345">
        <w:rPr>
          <w:rFonts w:cs="Times New Roman" w:hint="eastAsia"/>
          <w:bCs w:val="0"/>
          <w:color w:val="FF0000"/>
          <w:kern w:val="2"/>
        </w:rPr>
        <w:t>年关闭退出的榆林市六墩煤矿指标（退出产能</w:t>
      </w:r>
      <w:r w:rsidR="006A324A" w:rsidRPr="00593345">
        <w:rPr>
          <w:rFonts w:cs="Times New Roman" w:hint="eastAsia"/>
          <w:bCs w:val="0"/>
          <w:color w:val="FF0000"/>
          <w:kern w:val="2"/>
        </w:rPr>
        <w:t>0.45Mt/a</w:t>
      </w:r>
      <w:r w:rsidR="006A324A" w:rsidRPr="00593345">
        <w:rPr>
          <w:rFonts w:cs="Times New Roman" w:hint="eastAsia"/>
          <w:bCs w:val="0"/>
          <w:color w:val="FF0000"/>
          <w:kern w:val="2"/>
        </w:rPr>
        <w:t>），</w:t>
      </w:r>
      <w:r w:rsidR="0088045D">
        <w:rPr>
          <w:rFonts w:cs="Times New Roman" w:hint="eastAsia"/>
          <w:bCs w:val="0"/>
          <w:color w:val="FF0000"/>
          <w:kern w:val="2"/>
        </w:rPr>
        <w:t>陕西省发展和改革委员会以</w:t>
      </w:r>
      <w:r w:rsidRPr="00593345">
        <w:rPr>
          <w:rFonts w:cs="Times New Roman" w:hint="eastAsia"/>
          <w:bCs w:val="0"/>
          <w:color w:val="FF0000"/>
          <w:kern w:val="2"/>
        </w:rPr>
        <w:t>“陕发改运行</w:t>
      </w:r>
      <w:r w:rsidRPr="00593345">
        <w:rPr>
          <w:rFonts w:cs="Times New Roman" w:hint="eastAsia"/>
          <w:bCs w:val="0"/>
          <w:color w:val="FF0000"/>
          <w:kern w:val="2"/>
        </w:rPr>
        <w:t>[2019]215</w:t>
      </w:r>
      <w:r w:rsidRPr="00593345">
        <w:rPr>
          <w:rFonts w:cs="Times New Roman" w:hint="eastAsia"/>
          <w:bCs w:val="0"/>
          <w:color w:val="FF0000"/>
          <w:kern w:val="2"/>
        </w:rPr>
        <w:t>号”文</w:t>
      </w:r>
      <w:r w:rsidR="006A324A">
        <w:rPr>
          <w:rFonts w:cs="Times New Roman" w:hint="eastAsia"/>
          <w:bCs w:val="0"/>
          <w:color w:val="FF0000"/>
          <w:kern w:val="2"/>
        </w:rPr>
        <w:t>已确认了</w:t>
      </w:r>
      <w:r w:rsidRPr="00593345">
        <w:rPr>
          <w:rFonts w:cs="Times New Roman" w:hint="eastAsia"/>
          <w:bCs w:val="0"/>
          <w:color w:val="FF0000"/>
          <w:kern w:val="2"/>
        </w:rPr>
        <w:t>天云煤矿落实</w:t>
      </w:r>
      <w:r w:rsidR="006A324A">
        <w:rPr>
          <w:rFonts w:cs="Times New Roman" w:hint="eastAsia"/>
          <w:bCs w:val="0"/>
          <w:color w:val="FF0000"/>
          <w:kern w:val="2"/>
        </w:rPr>
        <w:t>的</w:t>
      </w:r>
      <w:r w:rsidRPr="00593345">
        <w:rPr>
          <w:rFonts w:cs="Times New Roman" w:hint="eastAsia"/>
          <w:bCs w:val="0"/>
          <w:color w:val="FF0000"/>
          <w:kern w:val="2"/>
        </w:rPr>
        <w:t>0.03</w:t>
      </w:r>
      <w:r w:rsidRPr="00593345">
        <w:rPr>
          <w:rFonts w:cs="Times New Roman"/>
          <w:bCs w:val="0"/>
          <w:color w:val="FF0000"/>
          <w:kern w:val="2"/>
        </w:rPr>
        <w:t>Mt/a</w:t>
      </w:r>
      <w:r w:rsidRPr="00593345">
        <w:rPr>
          <w:rFonts w:cs="Times New Roman" w:hint="eastAsia"/>
          <w:bCs w:val="0"/>
          <w:color w:val="FF0000"/>
          <w:kern w:val="2"/>
        </w:rPr>
        <w:t>产能置换指标任务，</w:t>
      </w:r>
      <w:r w:rsidR="006A324A">
        <w:rPr>
          <w:rFonts w:cs="Times New Roman" w:hint="eastAsia"/>
          <w:bCs w:val="0"/>
          <w:color w:val="FF0000"/>
          <w:kern w:val="2"/>
        </w:rPr>
        <w:t>本次整合工程</w:t>
      </w:r>
      <w:r w:rsidR="0088045D">
        <w:rPr>
          <w:rFonts w:cs="Times New Roman" w:hint="eastAsia"/>
          <w:bCs w:val="0"/>
          <w:color w:val="FF0000"/>
          <w:kern w:val="2"/>
        </w:rPr>
        <w:t>规模</w:t>
      </w:r>
      <w:r w:rsidRPr="00593345">
        <w:rPr>
          <w:rFonts w:cs="Times New Roman" w:hint="eastAsia"/>
          <w:bCs w:val="0"/>
          <w:color w:val="FF0000"/>
          <w:kern w:val="2"/>
        </w:rPr>
        <w:t>符合目前国家发改委关于产能置换指标相关政策。</w:t>
      </w:r>
    </w:p>
    <w:p w:rsidR="00C223F5" w:rsidRDefault="005860D5" w:rsidP="004173AA">
      <w:pPr>
        <w:pStyle w:val="affffffffd"/>
        <w:spacing w:line="360" w:lineRule="auto"/>
        <w:ind w:firstLineChars="200"/>
        <w:rPr>
          <w:sz w:val="24"/>
          <w:szCs w:val="24"/>
        </w:rPr>
      </w:pPr>
      <w:bookmarkStart w:id="27" w:name="_Toc498689029"/>
      <w:bookmarkStart w:id="28" w:name="_Toc497308690"/>
      <w:r>
        <w:rPr>
          <w:sz w:val="24"/>
          <w:szCs w:val="24"/>
        </w:rPr>
        <w:lastRenderedPageBreak/>
        <w:t>（</w:t>
      </w:r>
      <w:r>
        <w:rPr>
          <w:sz w:val="24"/>
          <w:szCs w:val="24"/>
        </w:rPr>
        <w:t>2</w:t>
      </w:r>
      <w:r>
        <w:rPr>
          <w:sz w:val="24"/>
          <w:szCs w:val="24"/>
        </w:rPr>
        <w:t>）相关规划、规划环境影响评价结论及审查意见</w:t>
      </w:r>
    </w:p>
    <w:p w:rsidR="00C223F5" w:rsidRDefault="005860D5" w:rsidP="004173AA">
      <w:pPr>
        <w:spacing w:line="360" w:lineRule="auto"/>
        <w:ind w:firstLineChars="200" w:firstLine="480"/>
        <w:rPr>
          <w:rFonts w:hAnsi="宋体"/>
          <w:sz w:val="24"/>
        </w:rPr>
      </w:pPr>
      <w:r>
        <w:rPr>
          <w:rFonts w:ascii="宋体" w:hAnsi="宋体" w:hint="eastAsia"/>
          <w:sz w:val="24"/>
        </w:rPr>
        <w:t>本井田所在区域目前尚未划定规划矿区，属已生产独立矿井和地方煤矿资源整合区。井田北部与榆横矿区南区王家峁井田相</w:t>
      </w:r>
      <w:r>
        <w:rPr>
          <w:rFonts w:hAnsi="宋体" w:hint="eastAsia"/>
          <w:sz w:val="24"/>
        </w:rPr>
        <w:t>邻，西部为</w:t>
      </w:r>
      <w:r>
        <w:rPr>
          <w:rFonts w:hAnsi="宋体"/>
          <w:sz w:val="24"/>
        </w:rPr>
        <w:t>石湾煤矿地质普查区</w:t>
      </w:r>
      <w:r>
        <w:rPr>
          <w:rFonts w:hAnsi="宋体" w:hint="eastAsia"/>
          <w:sz w:val="24"/>
        </w:rPr>
        <w:t>，东、南部为</w:t>
      </w:r>
      <w:r>
        <w:rPr>
          <w:rFonts w:hAnsi="宋体"/>
          <w:sz w:val="24"/>
        </w:rPr>
        <w:t>横山县沈石畔勘查区</w:t>
      </w:r>
      <w:r>
        <w:rPr>
          <w:rFonts w:hAnsi="宋体" w:hint="eastAsia"/>
          <w:sz w:val="24"/>
        </w:rPr>
        <w:t>，周边无矿业权设置。</w:t>
      </w:r>
    </w:p>
    <w:p w:rsidR="00C223F5" w:rsidRPr="006227A6" w:rsidRDefault="005860D5" w:rsidP="004173AA">
      <w:pPr>
        <w:spacing w:line="360" w:lineRule="auto"/>
        <w:ind w:firstLineChars="200" w:firstLine="480"/>
        <w:rPr>
          <w:sz w:val="24"/>
        </w:rPr>
      </w:pPr>
      <w:r>
        <w:rPr>
          <w:sz w:val="24"/>
        </w:rPr>
        <w:t>本项目符合《陕西省矿产资源总体规划（</w:t>
      </w:r>
      <w:r>
        <w:rPr>
          <w:sz w:val="24"/>
        </w:rPr>
        <w:t>2016-2020</w:t>
      </w:r>
      <w:r>
        <w:rPr>
          <w:sz w:val="24"/>
        </w:rPr>
        <w:t>）》（国土资函</w:t>
      </w:r>
      <w:r>
        <w:rPr>
          <w:sz w:val="24"/>
        </w:rPr>
        <w:t>[2017]456</w:t>
      </w:r>
      <w:r>
        <w:rPr>
          <w:sz w:val="24"/>
        </w:rPr>
        <w:t>号批准）及其环境影响报告书主要结论和审查意见</w:t>
      </w:r>
      <w:r>
        <w:rPr>
          <w:rFonts w:hint="eastAsia"/>
          <w:sz w:val="24"/>
        </w:rPr>
        <w:t>（</w:t>
      </w:r>
      <w:r>
        <w:rPr>
          <w:sz w:val="24"/>
        </w:rPr>
        <w:t>环审</w:t>
      </w:r>
      <w:r>
        <w:rPr>
          <w:sz w:val="24"/>
        </w:rPr>
        <w:t>[2017]106</w:t>
      </w:r>
      <w:r>
        <w:rPr>
          <w:sz w:val="24"/>
        </w:rPr>
        <w:t>号</w:t>
      </w:r>
      <w:r>
        <w:rPr>
          <w:rFonts w:hint="eastAsia"/>
          <w:sz w:val="24"/>
        </w:rPr>
        <w:t>）</w:t>
      </w:r>
      <w:r>
        <w:rPr>
          <w:sz w:val="24"/>
        </w:rPr>
        <w:t>的要求</w:t>
      </w:r>
      <w:r>
        <w:rPr>
          <w:rFonts w:hint="eastAsia"/>
          <w:sz w:val="24"/>
        </w:rPr>
        <w:t>。</w:t>
      </w:r>
      <w:r>
        <w:rPr>
          <w:sz w:val="24"/>
        </w:rPr>
        <w:t>项目未列入《陕西省全国重点生态功能区行业准入负面清单》，项目建设符合《煤炭工业</w:t>
      </w:r>
      <w:r>
        <w:rPr>
          <w:sz w:val="24"/>
        </w:rPr>
        <w:t>“</w:t>
      </w:r>
      <w:r>
        <w:rPr>
          <w:sz w:val="24"/>
        </w:rPr>
        <w:t>十三五</w:t>
      </w:r>
      <w:r>
        <w:rPr>
          <w:sz w:val="24"/>
        </w:rPr>
        <w:t>”</w:t>
      </w:r>
      <w:r>
        <w:rPr>
          <w:sz w:val="24"/>
        </w:rPr>
        <w:t>规划》</w:t>
      </w:r>
      <w:r>
        <w:rPr>
          <w:rFonts w:hint="eastAsia"/>
          <w:sz w:val="24"/>
        </w:rPr>
        <w:t>，</w:t>
      </w:r>
      <w:r>
        <w:rPr>
          <w:sz w:val="24"/>
        </w:rPr>
        <w:t>符合《陕西省主体功能区</w:t>
      </w:r>
      <w:r w:rsidRPr="006227A6">
        <w:rPr>
          <w:sz w:val="24"/>
        </w:rPr>
        <w:t>划》、</w:t>
      </w:r>
      <w:r w:rsidRPr="006227A6">
        <w:rPr>
          <w:kern w:val="0"/>
          <w:sz w:val="24"/>
        </w:rPr>
        <w:t>《陕西省生态功能区划》、《陕西省水环境功能区划》</w:t>
      </w:r>
      <w:r w:rsidRPr="006227A6">
        <w:rPr>
          <w:sz w:val="24"/>
          <w:shd w:val="clear" w:color="auto" w:fill="FFFFFF"/>
        </w:rPr>
        <w:t>、《陕西省</w:t>
      </w:r>
      <w:r w:rsidRPr="006227A6">
        <w:rPr>
          <w:sz w:val="24"/>
          <w:shd w:val="clear" w:color="auto" w:fill="FFFFFF"/>
        </w:rPr>
        <w:t>“</w:t>
      </w:r>
      <w:r w:rsidRPr="006227A6">
        <w:rPr>
          <w:sz w:val="24"/>
          <w:shd w:val="clear" w:color="auto" w:fill="FFFFFF"/>
        </w:rPr>
        <w:t>十三五</w:t>
      </w:r>
      <w:r w:rsidRPr="006227A6">
        <w:rPr>
          <w:sz w:val="24"/>
          <w:shd w:val="clear" w:color="auto" w:fill="FFFFFF"/>
        </w:rPr>
        <w:t>”</w:t>
      </w:r>
      <w:r w:rsidRPr="006227A6">
        <w:rPr>
          <w:sz w:val="24"/>
          <w:shd w:val="clear" w:color="auto" w:fill="FFFFFF"/>
        </w:rPr>
        <w:t>环境保护规划》</w:t>
      </w:r>
      <w:r w:rsidRPr="006227A6">
        <w:rPr>
          <w:kern w:val="0"/>
          <w:sz w:val="24"/>
        </w:rPr>
        <w:t>、《陕西省</w:t>
      </w:r>
      <w:r w:rsidRPr="006227A6">
        <w:rPr>
          <w:kern w:val="0"/>
          <w:sz w:val="24"/>
        </w:rPr>
        <w:t>“</w:t>
      </w:r>
      <w:r w:rsidRPr="006227A6">
        <w:rPr>
          <w:kern w:val="0"/>
          <w:sz w:val="24"/>
        </w:rPr>
        <w:t>十三五</w:t>
      </w:r>
      <w:r w:rsidRPr="006227A6">
        <w:rPr>
          <w:kern w:val="0"/>
          <w:sz w:val="24"/>
        </w:rPr>
        <w:t>”</w:t>
      </w:r>
      <w:r w:rsidRPr="006227A6">
        <w:rPr>
          <w:kern w:val="0"/>
          <w:sz w:val="24"/>
        </w:rPr>
        <w:t>生态环境保护规划》、</w:t>
      </w:r>
      <w:r w:rsidRPr="006227A6">
        <w:rPr>
          <w:sz w:val="24"/>
        </w:rPr>
        <w:t>《陕西铁腕治霾打赢蓝天保卫战三年行动方案（</w:t>
      </w:r>
      <w:r w:rsidRPr="006227A6">
        <w:rPr>
          <w:sz w:val="24"/>
        </w:rPr>
        <w:t>2018-2020</w:t>
      </w:r>
      <w:r w:rsidRPr="006227A6">
        <w:rPr>
          <w:sz w:val="24"/>
        </w:rPr>
        <w:t>年）》</w:t>
      </w:r>
      <w:r w:rsidRPr="006227A6">
        <w:rPr>
          <w:rFonts w:hint="eastAsia"/>
          <w:sz w:val="24"/>
        </w:rPr>
        <w:t>（修订版）</w:t>
      </w:r>
      <w:r w:rsidRPr="006227A6">
        <w:rPr>
          <w:sz w:val="24"/>
        </w:rPr>
        <w:t>、《榆林市水污染防治工作方案的通知》等相关环境保护规划；项目投产后污染物排放不会改变该区域环境功能区划。项目与相关政策相符性分析见表</w:t>
      </w:r>
      <w:r w:rsidRPr="006227A6">
        <w:rPr>
          <w:sz w:val="24"/>
        </w:rPr>
        <w:t>1</w:t>
      </w:r>
      <w:r w:rsidRPr="006227A6">
        <w:rPr>
          <w:sz w:val="24"/>
        </w:rPr>
        <w:t>。</w:t>
      </w:r>
    </w:p>
    <w:p w:rsidR="00C223F5" w:rsidRPr="006227A6" w:rsidRDefault="005860D5" w:rsidP="004173AA">
      <w:pPr>
        <w:spacing w:line="360" w:lineRule="auto"/>
        <w:ind w:firstLineChars="200" w:firstLine="480"/>
        <w:rPr>
          <w:sz w:val="24"/>
        </w:rPr>
      </w:pPr>
      <w:r w:rsidRPr="006227A6">
        <w:rPr>
          <w:rFonts w:hint="eastAsia"/>
          <w:sz w:val="24"/>
        </w:rPr>
        <w:t>（</w:t>
      </w:r>
      <w:r w:rsidRPr="006227A6">
        <w:rPr>
          <w:rFonts w:hint="eastAsia"/>
          <w:sz w:val="24"/>
        </w:rPr>
        <w:t>3</w:t>
      </w:r>
      <w:r w:rsidRPr="006227A6">
        <w:rPr>
          <w:rFonts w:hint="eastAsia"/>
          <w:sz w:val="24"/>
        </w:rPr>
        <w:t>）与榆林市“多规合一”相符性分析</w:t>
      </w:r>
    </w:p>
    <w:p w:rsidR="00C223F5" w:rsidRDefault="005860D5" w:rsidP="004173AA">
      <w:pPr>
        <w:spacing w:line="360" w:lineRule="auto"/>
        <w:ind w:firstLineChars="200" w:firstLine="480"/>
        <w:rPr>
          <w:sz w:val="24"/>
        </w:rPr>
      </w:pPr>
      <w:r w:rsidRPr="006227A6">
        <w:rPr>
          <w:sz w:val="24"/>
        </w:rPr>
        <w:t>根据榆林市投资项目选</w:t>
      </w:r>
      <w:r w:rsidRPr="006227A6">
        <w:rPr>
          <w:rFonts w:asciiTheme="minorEastAsia" w:eastAsiaTheme="minorEastAsia" w:hAnsiTheme="minorEastAsia"/>
          <w:sz w:val="24"/>
        </w:rPr>
        <w:t>址“一张图”控制线检</w:t>
      </w:r>
      <w:r w:rsidRPr="006227A6">
        <w:rPr>
          <w:sz w:val="24"/>
        </w:rPr>
        <w:t>测报告，</w:t>
      </w:r>
      <w:r w:rsidRPr="006227A6">
        <w:rPr>
          <w:rFonts w:hint="eastAsia"/>
          <w:sz w:val="24"/>
        </w:rPr>
        <w:t>本项目在依法办理土地及林地占用手续，对青银高速公路、太（原）中（卫）银（川）铁路、</w:t>
      </w:r>
      <w:r w:rsidRPr="006227A6">
        <w:rPr>
          <w:rFonts w:hint="eastAsia"/>
          <w:sz w:val="24"/>
        </w:rPr>
        <w:t>G307</w:t>
      </w:r>
      <w:r w:rsidRPr="006227A6">
        <w:rPr>
          <w:rFonts w:hint="eastAsia"/>
          <w:sz w:val="24"/>
        </w:rPr>
        <w:t>国道及</w:t>
      </w:r>
      <w:r w:rsidRPr="006227A6">
        <w:rPr>
          <w:rFonts w:hint="eastAsia"/>
          <w:sz w:val="24"/>
        </w:rPr>
        <w:t>750kV</w:t>
      </w:r>
      <w:r w:rsidRPr="006227A6">
        <w:rPr>
          <w:rFonts w:hint="eastAsia"/>
          <w:sz w:val="24"/>
        </w:rPr>
        <w:t>洛横线高压塔基等留设</w:t>
      </w:r>
      <w:r>
        <w:rPr>
          <w:rFonts w:hint="eastAsia"/>
          <w:sz w:val="24"/>
        </w:rPr>
        <w:t>保护煤柱，严格控制大理河湿地周边煤层开采范围等措施后，项目实施与“多规合一”中</w:t>
      </w:r>
      <w:r>
        <w:rPr>
          <w:sz w:val="24"/>
        </w:rPr>
        <w:t>榆林市生态红线、文物保护</w:t>
      </w:r>
      <w:r>
        <w:rPr>
          <w:rFonts w:hint="eastAsia"/>
          <w:sz w:val="24"/>
        </w:rPr>
        <w:t>等</w:t>
      </w:r>
      <w:r>
        <w:rPr>
          <w:sz w:val="24"/>
        </w:rPr>
        <w:t>相关要求</w:t>
      </w:r>
      <w:r>
        <w:rPr>
          <w:rFonts w:hint="eastAsia"/>
          <w:sz w:val="24"/>
        </w:rPr>
        <w:t>相符（具体见表</w:t>
      </w:r>
      <w:r>
        <w:rPr>
          <w:rFonts w:hint="eastAsia"/>
          <w:sz w:val="24"/>
        </w:rPr>
        <w:t>2</w:t>
      </w:r>
      <w:r>
        <w:rPr>
          <w:rFonts w:hint="eastAsia"/>
          <w:sz w:val="24"/>
        </w:rPr>
        <w:t>）。</w:t>
      </w:r>
    </w:p>
    <w:p w:rsidR="00C223F5" w:rsidRDefault="005860D5" w:rsidP="00C006A7">
      <w:pPr>
        <w:spacing w:line="360" w:lineRule="auto"/>
        <w:ind w:firstLineChars="200" w:firstLine="482"/>
        <w:rPr>
          <w:b/>
          <w:sz w:val="24"/>
        </w:rPr>
      </w:pPr>
      <w:bookmarkStart w:id="29" w:name="_Toc8285257"/>
      <w:r>
        <w:rPr>
          <w:b/>
          <w:sz w:val="24"/>
        </w:rPr>
        <w:t>（二）生态保护红线</w:t>
      </w:r>
      <w:r>
        <w:rPr>
          <w:rFonts w:hint="eastAsia"/>
          <w:b/>
          <w:sz w:val="24"/>
        </w:rPr>
        <w:t>符合性</w:t>
      </w:r>
      <w:bookmarkEnd w:id="29"/>
    </w:p>
    <w:p w:rsidR="00C223F5" w:rsidRPr="00F06912" w:rsidRDefault="005860D5" w:rsidP="004173AA">
      <w:pPr>
        <w:pStyle w:val="affffffffd"/>
        <w:spacing w:line="360" w:lineRule="auto"/>
        <w:ind w:firstLineChars="200"/>
        <w:jc w:val="left"/>
        <w:rPr>
          <w:sz w:val="24"/>
        </w:rPr>
      </w:pPr>
      <w:r>
        <w:rPr>
          <w:rFonts w:hint="eastAsia"/>
          <w:sz w:val="24"/>
          <w:szCs w:val="24"/>
        </w:rPr>
        <w:t>根据</w:t>
      </w:r>
      <w:r>
        <w:rPr>
          <w:sz w:val="24"/>
          <w:szCs w:val="24"/>
        </w:rPr>
        <w:t>陕西省环境保护厅、省发展和改革委员会联合印发</w:t>
      </w:r>
      <w:r>
        <w:rPr>
          <w:rFonts w:hint="eastAsia"/>
          <w:sz w:val="24"/>
          <w:szCs w:val="24"/>
        </w:rPr>
        <w:t>的</w:t>
      </w:r>
      <w:r>
        <w:rPr>
          <w:sz w:val="24"/>
          <w:szCs w:val="24"/>
        </w:rPr>
        <w:t>《陕西省生态保护红线划定技术方案》</w:t>
      </w:r>
      <w:r>
        <w:rPr>
          <w:rFonts w:hint="eastAsia"/>
          <w:sz w:val="24"/>
          <w:szCs w:val="24"/>
        </w:rPr>
        <w:t>（</w:t>
      </w:r>
      <w:r>
        <w:rPr>
          <w:sz w:val="24"/>
          <w:szCs w:val="24"/>
        </w:rPr>
        <w:t>陕环函</w:t>
      </w:r>
      <w:r>
        <w:rPr>
          <w:rFonts w:hint="eastAsia"/>
          <w:sz w:val="24"/>
          <w:szCs w:val="24"/>
        </w:rPr>
        <w:t>[</w:t>
      </w:r>
      <w:r>
        <w:rPr>
          <w:sz w:val="24"/>
          <w:szCs w:val="24"/>
        </w:rPr>
        <w:t>2017]914</w:t>
      </w:r>
      <w:r>
        <w:rPr>
          <w:sz w:val="24"/>
          <w:szCs w:val="24"/>
        </w:rPr>
        <w:t>号</w:t>
      </w:r>
      <w:r>
        <w:rPr>
          <w:rFonts w:hint="eastAsia"/>
          <w:sz w:val="24"/>
          <w:szCs w:val="24"/>
        </w:rPr>
        <w:t>），本项目实施区内不涉及“国家公园、自然保护区、森林公园的生态保育区和核心景观区、风景名胜区的核心景区、地质公园的地质遗迹保护区、世界自然遗产的核心区和缓冲区、湿地公园的湿地保育区和恢复重建区、饮用水水源地的一级保护区、水产种质资源保护区的核心区、其他类型禁止开发区的核心保护区域”等需划入生态保护红线的国家级和省级禁止开发区，也不涉及“极小种群物种分布的栖息地、国家一级公益林、国家级水土流失重点预防区、沙化土地封禁保护区、野生植物集中分布地、自然岸线、雪山冰川、高原冻土等重要生</w:t>
      </w:r>
      <w:r w:rsidRPr="00F06912">
        <w:rPr>
          <w:rFonts w:hint="eastAsia"/>
          <w:sz w:val="24"/>
          <w:szCs w:val="24"/>
        </w:rPr>
        <w:t>态保护地”等需根据实际情况划入生态保护红线范围的区域。</w:t>
      </w:r>
      <w:r w:rsidRPr="00F06912">
        <w:rPr>
          <w:rFonts w:hint="eastAsia"/>
          <w:sz w:val="24"/>
        </w:rPr>
        <w:t>井田东南部的大理河湿地是陕西省人民政府“陕政发</w:t>
      </w:r>
      <w:r w:rsidRPr="00F06912">
        <w:rPr>
          <w:rFonts w:hint="eastAsia"/>
          <w:sz w:val="24"/>
        </w:rPr>
        <w:t>[2008]34</w:t>
      </w:r>
      <w:r w:rsidRPr="00F06912">
        <w:rPr>
          <w:rFonts w:hint="eastAsia"/>
          <w:sz w:val="24"/>
        </w:rPr>
        <w:t>号”公布的陕西省重要湿地，但由于</w:t>
      </w:r>
      <w:r w:rsidR="0088045D">
        <w:rPr>
          <w:rFonts w:hint="eastAsia"/>
          <w:sz w:val="24"/>
        </w:rPr>
        <w:t>井田范围内</w:t>
      </w:r>
      <w:r w:rsidR="0088045D" w:rsidRPr="00BB780D">
        <w:rPr>
          <w:rFonts w:hint="eastAsia"/>
          <w:color w:val="FF0000"/>
          <w:sz w:val="24"/>
        </w:rPr>
        <w:t>大理河下游区域</w:t>
      </w:r>
      <w:r w:rsidR="00212F71">
        <w:rPr>
          <w:rFonts w:hint="eastAsia"/>
          <w:color w:val="FF0000"/>
          <w:sz w:val="24"/>
        </w:rPr>
        <w:t>属</w:t>
      </w:r>
      <w:r w:rsidR="0088045D" w:rsidRPr="00BB780D">
        <w:rPr>
          <w:rFonts w:hint="eastAsia"/>
          <w:color w:val="FF0000"/>
          <w:sz w:val="24"/>
        </w:rPr>
        <w:t>无煤区、上游河段</w:t>
      </w:r>
      <w:r w:rsidR="00212F71">
        <w:rPr>
          <w:rFonts w:hint="eastAsia"/>
          <w:color w:val="FF0000"/>
          <w:sz w:val="24"/>
        </w:rPr>
        <w:t>及湿地</w:t>
      </w:r>
      <w:r w:rsidR="0088045D" w:rsidRPr="00BB780D">
        <w:rPr>
          <w:rFonts w:hint="eastAsia"/>
          <w:color w:val="FF0000"/>
          <w:sz w:val="24"/>
        </w:rPr>
        <w:lastRenderedPageBreak/>
        <w:t>已留设保护煤柱，</w:t>
      </w:r>
      <w:r w:rsidRPr="00F06912">
        <w:rPr>
          <w:rFonts w:hint="eastAsia"/>
          <w:sz w:val="24"/>
        </w:rPr>
        <w:t>不在项目开采范围内。</w:t>
      </w:r>
      <w:r w:rsidRPr="00F06912">
        <w:rPr>
          <w:rFonts w:hint="eastAsia"/>
          <w:sz w:val="24"/>
          <w:szCs w:val="24"/>
        </w:rPr>
        <w:t>同时，对照</w:t>
      </w:r>
      <w:r w:rsidR="00403141" w:rsidRPr="00403141">
        <w:rPr>
          <w:rFonts w:hint="eastAsia"/>
          <w:color w:val="FF0000"/>
          <w:sz w:val="24"/>
          <w:szCs w:val="24"/>
        </w:rPr>
        <w:t>榆林市环境保护局横山分局提供的</w:t>
      </w:r>
      <w:r w:rsidRPr="00403141">
        <w:rPr>
          <w:rFonts w:hint="eastAsia"/>
          <w:color w:val="FF0000"/>
          <w:sz w:val="24"/>
          <w:szCs w:val="24"/>
        </w:rPr>
        <w:t>调整</w:t>
      </w:r>
      <w:r w:rsidR="00403141" w:rsidRPr="00403141">
        <w:rPr>
          <w:rFonts w:hint="eastAsia"/>
          <w:color w:val="FF0000"/>
          <w:sz w:val="24"/>
          <w:szCs w:val="24"/>
        </w:rPr>
        <w:t>后横山区</w:t>
      </w:r>
      <w:r w:rsidRPr="00F06912">
        <w:rPr>
          <w:rFonts w:hint="eastAsia"/>
          <w:sz w:val="24"/>
          <w:szCs w:val="24"/>
        </w:rPr>
        <w:t>生态红线矢量坐标，天云煤矿整合区</w:t>
      </w:r>
      <w:r w:rsidR="005929A6" w:rsidRPr="00F06912">
        <w:rPr>
          <w:rFonts w:hint="eastAsia"/>
          <w:sz w:val="24"/>
          <w:szCs w:val="24"/>
        </w:rPr>
        <w:t>开采范围</w:t>
      </w:r>
      <w:r w:rsidRPr="00F06912">
        <w:rPr>
          <w:rFonts w:hint="eastAsia"/>
          <w:sz w:val="24"/>
          <w:szCs w:val="24"/>
        </w:rPr>
        <w:t>不涉及各类自然保护区和水源保护区。</w:t>
      </w:r>
      <w:bookmarkEnd w:id="27"/>
      <w:bookmarkEnd w:id="28"/>
    </w:p>
    <w:p w:rsidR="00C223F5" w:rsidRDefault="00C223F5" w:rsidP="004173AA">
      <w:pPr>
        <w:spacing w:line="360" w:lineRule="auto"/>
        <w:ind w:firstLineChars="200" w:firstLine="480"/>
        <w:rPr>
          <w:color w:val="FF0000"/>
          <w:sz w:val="24"/>
        </w:rPr>
        <w:sectPr w:rsidR="00C223F5">
          <w:footerReference w:type="default" r:id="rId13"/>
          <w:pgSz w:w="11907" w:h="16840"/>
          <w:pgMar w:top="1440" w:right="1701" w:bottom="1440" w:left="1701" w:header="851" w:footer="992" w:gutter="0"/>
          <w:pgNumType w:start="1"/>
          <w:cols w:space="425"/>
          <w:docGrid w:linePitch="312"/>
        </w:sectPr>
      </w:pPr>
    </w:p>
    <w:p w:rsidR="00C223F5" w:rsidRDefault="005860D5" w:rsidP="004173AA">
      <w:pPr>
        <w:jc w:val="center"/>
        <w:rPr>
          <w:b/>
          <w:sz w:val="24"/>
        </w:rPr>
      </w:pPr>
      <w:r>
        <w:rPr>
          <w:rFonts w:hAnsi="Calibri"/>
          <w:b/>
          <w:sz w:val="24"/>
        </w:rPr>
        <w:lastRenderedPageBreak/>
        <w:t>表</w:t>
      </w:r>
      <w:r>
        <w:rPr>
          <w:rFonts w:hint="eastAsia"/>
          <w:b/>
          <w:sz w:val="24"/>
        </w:rPr>
        <w:t xml:space="preserve">1  </w:t>
      </w:r>
      <w:r>
        <w:rPr>
          <w:rFonts w:hAnsi="Calibri"/>
          <w:b/>
          <w:sz w:val="24"/>
        </w:rPr>
        <w:t>本项目与相关</w:t>
      </w:r>
      <w:r>
        <w:rPr>
          <w:rFonts w:hAnsi="Calibri" w:hint="eastAsia"/>
          <w:b/>
          <w:sz w:val="24"/>
        </w:rPr>
        <w:t>政策及规划</w:t>
      </w:r>
      <w:r>
        <w:rPr>
          <w:rFonts w:hAnsi="Calibri"/>
          <w:b/>
          <w:sz w:val="24"/>
        </w:rPr>
        <w:t>相符性分析</w:t>
      </w:r>
    </w:p>
    <w:tbl>
      <w:tblPr>
        <w:tblW w:w="14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4A0" w:firstRow="1" w:lastRow="0" w:firstColumn="1" w:lastColumn="0" w:noHBand="0" w:noVBand="1"/>
      </w:tblPr>
      <w:tblGrid>
        <w:gridCol w:w="634"/>
        <w:gridCol w:w="2105"/>
        <w:gridCol w:w="5911"/>
        <w:gridCol w:w="4993"/>
        <w:gridCol w:w="874"/>
      </w:tblGrid>
      <w:tr w:rsidR="00C223F5">
        <w:trPr>
          <w:trHeight w:val="56"/>
          <w:tblHeader/>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序号</w:t>
            </w:r>
          </w:p>
        </w:tc>
        <w:tc>
          <w:tcPr>
            <w:tcW w:w="2105"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相关政策、规划</w:t>
            </w:r>
          </w:p>
        </w:tc>
        <w:tc>
          <w:tcPr>
            <w:tcW w:w="5911"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要求</w:t>
            </w:r>
          </w:p>
        </w:tc>
        <w:tc>
          <w:tcPr>
            <w:tcW w:w="4993"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本项目情况</w:t>
            </w:r>
          </w:p>
        </w:tc>
        <w:tc>
          <w:tcPr>
            <w:tcW w:w="874"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符合性</w:t>
            </w:r>
          </w:p>
        </w:tc>
      </w:tr>
      <w:tr w:rsidR="00C223F5">
        <w:trPr>
          <w:trHeight w:val="46"/>
          <w:jc w:val="center"/>
        </w:trPr>
        <w:tc>
          <w:tcPr>
            <w:tcW w:w="634" w:type="dxa"/>
            <w:shd w:val="clear" w:color="auto" w:fill="auto"/>
            <w:tcMar>
              <w:left w:w="85" w:type="dxa"/>
              <w:right w:w="85" w:type="dxa"/>
            </w:tcMar>
            <w:vAlign w:val="center"/>
          </w:tcPr>
          <w:p w:rsidR="00C223F5" w:rsidRDefault="005860D5" w:rsidP="004173AA">
            <w:pPr>
              <w:spacing w:line="264" w:lineRule="auto"/>
              <w:jc w:val="center"/>
              <w:rPr>
                <w:szCs w:val="21"/>
              </w:rPr>
            </w:pPr>
            <w:r>
              <w:rPr>
                <w:szCs w:val="21"/>
              </w:rPr>
              <w:t>1</w:t>
            </w:r>
          </w:p>
        </w:tc>
        <w:tc>
          <w:tcPr>
            <w:tcW w:w="2105" w:type="dxa"/>
            <w:shd w:val="clear" w:color="auto" w:fill="auto"/>
            <w:tcMar>
              <w:left w:w="85" w:type="dxa"/>
              <w:right w:w="85" w:type="dxa"/>
            </w:tcMar>
            <w:vAlign w:val="center"/>
          </w:tcPr>
          <w:p w:rsidR="00C223F5" w:rsidRDefault="005860D5" w:rsidP="004173AA">
            <w:pPr>
              <w:spacing w:line="264" w:lineRule="auto"/>
              <w:jc w:val="center"/>
              <w:rPr>
                <w:szCs w:val="21"/>
              </w:rPr>
            </w:pPr>
            <w:r>
              <w:rPr>
                <w:rFonts w:hAnsi="宋体"/>
                <w:szCs w:val="21"/>
              </w:rPr>
              <w:t>《国务院关于煤炭行业化解过剩产能实现脱困发展的意见》</w:t>
            </w:r>
          </w:p>
          <w:p w:rsidR="00C223F5" w:rsidRDefault="005860D5" w:rsidP="004173AA">
            <w:pPr>
              <w:spacing w:line="264" w:lineRule="auto"/>
              <w:jc w:val="center"/>
              <w:rPr>
                <w:szCs w:val="21"/>
              </w:rPr>
            </w:pPr>
            <w:r>
              <w:rPr>
                <w:rFonts w:hAnsi="宋体"/>
                <w:szCs w:val="21"/>
              </w:rPr>
              <w:t>（国发</w:t>
            </w:r>
            <w:r>
              <w:rPr>
                <w:szCs w:val="21"/>
              </w:rPr>
              <w:t>[2016]7</w:t>
            </w:r>
            <w:r>
              <w:rPr>
                <w:rFonts w:hAnsi="宋体"/>
                <w:szCs w:val="21"/>
              </w:rPr>
              <w:t>号）</w:t>
            </w:r>
          </w:p>
        </w:tc>
        <w:tc>
          <w:tcPr>
            <w:tcW w:w="5911" w:type="dxa"/>
            <w:shd w:val="clear" w:color="auto" w:fill="auto"/>
            <w:tcMar>
              <w:left w:w="85" w:type="dxa"/>
              <w:right w:w="85" w:type="dxa"/>
            </w:tcMar>
            <w:vAlign w:val="center"/>
          </w:tcPr>
          <w:p w:rsidR="00C223F5" w:rsidRPr="00F06912" w:rsidRDefault="005860D5" w:rsidP="004173AA">
            <w:pPr>
              <w:spacing w:line="264" w:lineRule="auto"/>
              <w:rPr>
                <w:szCs w:val="21"/>
              </w:rPr>
            </w:pPr>
            <w:r w:rsidRPr="00F06912">
              <w:rPr>
                <w:rFonts w:hAnsi="宋体"/>
                <w:szCs w:val="21"/>
              </w:rPr>
              <w:t>严格控制新增产能，从</w:t>
            </w:r>
            <w:r w:rsidRPr="00F06912">
              <w:rPr>
                <w:szCs w:val="21"/>
              </w:rPr>
              <w:t>2016</w:t>
            </w:r>
            <w:r w:rsidRPr="00F06912">
              <w:rPr>
                <w:rFonts w:hAnsi="宋体"/>
                <w:szCs w:val="21"/>
              </w:rPr>
              <w:t>年起，</w:t>
            </w:r>
            <w:r w:rsidRPr="00F06912">
              <w:rPr>
                <w:szCs w:val="21"/>
              </w:rPr>
              <w:t>3</w:t>
            </w:r>
            <w:r w:rsidRPr="00F06912">
              <w:rPr>
                <w:rFonts w:hAnsi="宋体"/>
                <w:szCs w:val="21"/>
              </w:rPr>
              <w:t>年内原则上停止审批新建煤矿项目，新增产能的技术改造和产能核增项目。确需新建煤矿的，一律实行减量置换</w:t>
            </w:r>
          </w:p>
        </w:tc>
        <w:tc>
          <w:tcPr>
            <w:tcW w:w="4993" w:type="dxa"/>
            <w:shd w:val="clear" w:color="auto" w:fill="auto"/>
            <w:tcMar>
              <w:left w:w="85" w:type="dxa"/>
              <w:right w:w="85" w:type="dxa"/>
            </w:tcMar>
            <w:vAlign w:val="center"/>
          </w:tcPr>
          <w:p w:rsidR="00C223F5" w:rsidRPr="00F479F5" w:rsidRDefault="00F479F5" w:rsidP="00FB157E">
            <w:pPr>
              <w:spacing w:line="264" w:lineRule="auto"/>
              <w:rPr>
                <w:color w:val="FF0000"/>
                <w:spacing w:val="-4"/>
                <w:szCs w:val="21"/>
              </w:rPr>
            </w:pPr>
            <w:r w:rsidRPr="00F479F5">
              <w:rPr>
                <w:rFonts w:hint="eastAsia"/>
                <w:color w:val="FF0000"/>
                <w:spacing w:val="-4"/>
                <w:szCs w:val="21"/>
              </w:rPr>
              <w:t>整合后矿井生产规</w:t>
            </w:r>
            <w:r w:rsidRPr="00F479F5">
              <w:rPr>
                <w:rFonts w:hint="eastAsia"/>
                <w:bCs/>
                <w:color w:val="FF0000"/>
                <w:spacing w:val="-4"/>
              </w:rPr>
              <w:t>模</w:t>
            </w:r>
            <w:r w:rsidRPr="00F479F5">
              <w:rPr>
                <w:rFonts w:hint="eastAsia"/>
                <w:bCs/>
                <w:color w:val="FF0000"/>
                <w:spacing w:val="-4"/>
              </w:rPr>
              <w:t>0.90</w:t>
            </w:r>
            <w:r w:rsidRPr="00F479F5">
              <w:rPr>
                <w:bCs/>
                <w:color w:val="FF0000"/>
                <w:spacing w:val="-4"/>
              </w:rPr>
              <w:t>M</w:t>
            </w:r>
            <w:r w:rsidRPr="00F479F5">
              <w:rPr>
                <w:rFonts w:hint="eastAsia"/>
                <w:bCs/>
                <w:color w:val="FF0000"/>
                <w:spacing w:val="-4"/>
              </w:rPr>
              <w:t>t/a</w:t>
            </w:r>
            <w:r w:rsidRPr="00F479F5">
              <w:rPr>
                <w:rFonts w:hint="eastAsia"/>
                <w:bCs/>
                <w:color w:val="FF0000"/>
                <w:spacing w:val="-4"/>
              </w:rPr>
              <w:t>，</w:t>
            </w:r>
            <w:r w:rsidR="005860D5" w:rsidRPr="00F479F5">
              <w:rPr>
                <w:rFonts w:hint="eastAsia"/>
                <w:color w:val="FF0000"/>
                <w:spacing w:val="-4"/>
                <w:szCs w:val="21"/>
              </w:rPr>
              <w:t>根据</w:t>
            </w:r>
            <w:r w:rsidR="005860D5" w:rsidRPr="00F479F5">
              <w:rPr>
                <w:rFonts w:hint="eastAsia"/>
                <w:bCs/>
                <w:color w:val="FF0000"/>
                <w:spacing w:val="-4"/>
              </w:rPr>
              <w:t>国家能源局公告</w:t>
            </w:r>
            <w:r w:rsidR="005860D5" w:rsidRPr="00F479F5">
              <w:rPr>
                <w:rFonts w:hint="eastAsia"/>
                <w:bCs/>
                <w:color w:val="FF0000"/>
                <w:spacing w:val="-4"/>
              </w:rPr>
              <w:t>2019</w:t>
            </w:r>
            <w:r w:rsidR="005860D5" w:rsidRPr="00F479F5">
              <w:rPr>
                <w:rFonts w:hint="eastAsia"/>
                <w:bCs/>
                <w:color w:val="FF0000"/>
                <w:spacing w:val="-4"/>
              </w:rPr>
              <w:t>年第</w:t>
            </w:r>
            <w:r w:rsidR="005860D5" w:rsidRPr="00F479F5">
              <w:rPr>
                <w:rFonts w:hint="eastAsia"/>
                <w:bCs/>
                <w:color w:val="FF0000"/>
                <w:spacing w:val="-4"/>
              </w:rPr>
              <w:t>2</w:t>
            </w:r>
            <w:r w:rsidR="005860D5" w:rsidRPr="00F479F5">
              <w:rPr>
                <w:rFonts w:hint="eastAsia"/>
                <w:bCs/>
                <w:color w:val="FF0000"/>
                <w:spacing w:val="-4"/>
              </w:rPr>
              <w:t>号文“全国煤矿生产能力情况”</w:t>
            </w:r>
            <w:r w:rsidR="00FB157E">
              <w:rPr>
                <w:rFonts w:hint="eastAsia"/>
                <w:bCs/>
                <w:color w:val="FF0000"/>
                <w:spacing w:val="-4"/>
              </w:rPr>
              <w:t>，</w:t>
            </w:r>
            <w:r w:rsidRPr="00F479F5">
              <w:rPr>
                <w:rFonts w:hint="eastAsia"/>
                <w:bCs/>
                <w:color w:val="FF0000"/>
                <w:spacing w:val="-4"/>
              </w:rPr>
              <w:t>原</w:t>
            </w:r>
            <w:r w:rsidR="005860D5" w:rsidRPr="00F479F5">
              <w:rPr>
                <w:rFonts w:hint="eastAsia"/>
                <w:bCs/>
                <w:color w:val="FF0000"/>
                <w:spacing w:val="-4"/>
              </w:rPr>
              <w:t>天云煤矿核定规模</w:t>
            </w:r>
            <w:r w:rsidR="005860D5" w:rsidRPr="00F479F5">
              <w:rPr>
                <w:rFonts w:hint="eastAsia"/>
                <w:bCs/>
                <w:color w:val="FF0000"/>
                <w:spacing w:val="-4"/>
              </w:rPr>
              <w:t>0.60</w:t>
            </w:r>
            <w:r w:rsidR="005860D5" w:rsidRPr="00F479F5">
              <w:rPr>
                <w:bCs/>
                <w:color w:val="FF0000"/>
                <w:spacing w:val="-4"/>
              </w:rPr>
              <w:t>Mt/a</w:t>
            </w:r>
            <w:r w:rsidRPr="00F479F5">
              <w:rPr>
                <w:rFonts w:hint="eastAsia"/>
                <w:bCs/>
                <w:color w:val="FF0000"/>
                <w:spacing w:val="-4"/>
              </w:rPr>
              <w:t>，同时</w:t>
            </w:r>
            <w:r w:rsidR="005860D5" w:rsidRPr="00F479F5">
              <w:rPr>
                <w:rFonts w:hint="eastAsia"/>
                <w:bCs/>
                <w:color w:val="FF0000"/>
                <w:spacing w:val="-4"/>
              </w:rPr>
              <w:t>“陕发改运行</w:t>
            </w:r>
            <w:r w:rsidR="005860D5" w:rsidRPr="00F479F5">
              <w:rPr>
                <w:rFonts w:hint="eastAsia"/>
                <w:bCs/>
                <w:color w:val="FF0000"/>
                <w:spacing w:val="-4"/>
              </w:rPr>
              <w:t>[2019]215</w:t>
            </w:r>
            <w:r w:rsidR="005860D5" w:rsidRPr="00F479F5">
              <w:rPr>
                <w:rFonts w:hint="eastAsia"/>
                <w:bCs/>
                <w:color w:val="FF0000"/>
                <w:spacing w:val="-4"/>
              </w:rPr>
              <w:t>号”文</w:t>
            </w:r>
            <w:r w:rsidRPr="00F479F5">
              <w:rPr>
                <w:rFonts w:hint="eastAsia"/>
                <w:bCs/>
                <w:color w:val="FF0000"/>
                <w:spacing w:val="-4"/>
              </w:rPr>
              <w:t>确认了天云煤矿已</w:t>
            </w:r>
            <w:r w:rsidRPr="00F479F5">
              <w:rPr>
                <w:rFonts w:hint="eastAsia"/>
                <w:color w:val="FF0000"/>
                <w:spacing w:val="-4"/>
                <w:szCs w:val="21"/>
              </w:rPr>
              <w:t>落实增加的</w:t>
            </w:r>
            <w:r w:rsidRPr="00F479F5">
              <w:rPr>
                <w:rFonts w:hint="eastAsia"/>
                <w:color w:val="FF0000"/>
                <w:spacing w:val="-4"/>
                <w:szCs w:val="21"/>
              </w:rPr>
              <w:t>0.03</w:t>
            </w:r>
            <w:r w:rsidRPr="00F479F5">
              <w:rPr>
                <w:bCs/>
                <w:color w:val="FF0000"/>
                <w:spacing w:val="-4"/>
              </w:rPr>
              <w:t>M</w:t>
            </w:r>
            <w:r w:rsidRPr="00F479F5">
              <w:rPr>
                <w:rFonts w:hint="eastAsia"/>
                <w:color w:val="FF0000"/>
                <w:spacing w:val="-4"/>
                <w:szCs w:val="21"/>
              </w:rPr>
              <w:t>t/a</w:t>
            </w:r>
            <w:r w:rsidRPr="00F479F5">
              <w:rPr>
                <w:rFonts w:hint="eastAsia"/>
                <w:color w:val="FF0000"/>
                <w:spacing w:val="-4"/>
                <w:szCs w:val="21"/>
              </w:rPr>
              <w:t>化解煤炭过剩产能置换指标任务，该指标为</w:t>
            </w:r>
            <w:r w:rsidRPr="00F479F5">
              <w:rPr>
                <w:rFonts w:hint="eastAsia"/>
                <w:color w:val="FF0000"/>
              </w:rPr>
              <w:t>2017</w:t>
            </w:r>
            <w:r w:rsidRPr="00F479F5">
              <w:rPr>
                <w:rFonts w:hint="eastAsia"/>
                <w:color w:val="FF0000"/>
              </w:rPr>
              <w:t>年关闭退出的榆林市六墩煤矿指标（退出产能</w:t>
            </w:r>
            <w:r w:rsidRPr="00F479F5">
              <w:rPr>
                <w:rFonts w:hint="eastAsia"/>
                <w:color w:val="FF0000"/>
              </w:rPr>
              <w:t>0.45Mt/a</w:t>
            </w:r>
            <w:r w:rsidRPr="00F479F5">
              <w:rPr>
                <w:rFonts w:hint="eastAsia"/>
                <w:color w:val="FF0000"/>
              </w:rPr>
              <w:t>）</w:t>
            </w:r>
            <w:r w:rsidR="005860D5" w:rsidRPr="00F479F5">
              <w:rPr>
                <w:rFonts w:hint="eastAsia"/>
                <w:bCs/>
                <w:color w:val="FF0000"/>
              </w:rPr>
              <w:t>，</w:t>
            </w:r>
            <w:r w:rsidRPr="00F479F5">
              <w:rPr>
                <w:rFonts w:hint="eastAsia"/>
                <w:bCs/>
                <w:color w:val="FF0000"/>
              </w:rPr>
              <w:t>本次整合矿井规模</w:t>
            </w:r>
            <w:r w:rsidR="005860D5" w:rsidRPr="00F479F5">
              <w:rPr>
                <w:rFonts w:hint="eastAsia"/>
                <w:color w:val="FF0000"/>
                <w:spacing w:val="-4"/>
                <w:szCs w:val="21"/>
              </w:rPr>
              <w:t>符合目前国家发改委关于产能置换指标相关政策</w:t>
            </w:r>
          </w:p>
        </w:tc>
        <w:tc>
          <w:tcPr>
            <w:tcW w:w="874" w:type="dxa"/>
            <w:shd w:val="clear" w:color="auto" w:fill="auto"/>
            <w:tcMar>
              <w:left w:w="85" w:type="dxa"/>
              <w:right w:w="85" w:type="dxa"/>
            </w:tcMar>
            <w:vAlign w:val="center"/>
          </w:tcPr>
          <w:p w:rsidR="00C223F5" w:rsidRDefault="005860D5" w:rsidP="004173AA">
            <w:pPr>
              <w:spacing w:line="264" w:lineRule="auto"/>
              <w:jc w:val="center"/>
              <w:rPr>
                <w:szCs w:val="21"/>
              </w:rPr>
            </w:pPr>
            <w:r>
              <w:rPr>
                <w:rFonts w:hAnsi="宋体"/>
                <w:szCs w:val="21"/>
              </w:rPr>
              <w:t>符合</w:t>
            </w:r>
          </w:p>
        </w:tc>
      </w:tr>
      <w:tr w:rsidR="00C223F5">
        <w:trPr>
          <w:trHeight w:val="46"/>
          <w:jc w:val="center"/>
        </w:trPr>
        <w:tc>
          <w:tcPr>
            <w:tcW w:w="634" w:type="dxa"/>
            <w:shd w:val="clear" w:color="auto" w:fill="auto"/>
            <w:tcMar>
              <w:left w:w="85" w:type="dxa"/>
              <w:right w:w="85" w:type="dxa"/>
            </w:tcMar>
            <w:vAlign w:val="center"/>
          </w:tcPr>
          <w:p w:rsidR="00C223F5" w:rsidRDefault="005860D5" w:rsidP="004173AA">
            <w:pPr>
              <w:spacing w:line="264" w:lineRule="auto"/>
              <w:jc w:val="center"/>
              <w:rPr>
                <w:szCs w:val="21"/>
              </w:rPr>
            </w:pPr>
            <w:r>
              <w:rPr>
                <w:rFonts w:hint="eastAsia"/>
                <w:szCs w:val="21"/>
              </w:rPr>
              <w:t>2</w:t>
            </w:r>
          </w:p>
        </w:tc>
        <w:tc>
          <w:tcPr>
            <w:tcW w:w="2105" w:type="dxa"/>
            <w:shd w:val="clear" w:color="auto" w:fill="auto"/>
            <w:tcMar>
              <w:left w:w="85" w:type="dxa"/>
              <w:right w:w="85" w:type="dxa"/>
            </w:tcMar>
            <w:vAlign w:val="center"/>
          </w:tcPr>
          <w:p w:rsidR="00C223F5" w:rsidRDefault="005860D5" w:rsidP="004173AA">
            <w:pPr>
              <w:spacing w:line="264" w:lineRule="auto"/>
              <w:jc w:val="center"/>
              <w:rPr>
                <w:szCs w:val="21"/>
              </w:rPr>
            </w:pPr>
            <w:r>
              <w:rPr>
                <w:rFonts w:hAnsi="宋体"/>
                <w:szCs w:val="21"/>
              </w:rPr>
              <w:t>《陕西省矿产资源总体规划（</w:t>
            </w:r>
            <w:r>
              <w:rPr>
                <w:szCs w:val="21"/>
              </w:rPr>
              <w:t>2016-2020</w:t>
            </w:r>
            <w:r>
              <w:rPr>
                <w:rFonts w:hAnsi="宋体"/>
                <w:szCs w:val="21"/>
              </w:rPr>
              <w:t>）》</w:t>
            </w:r>
            <w:r>
              <w:rPr>
                <w:rFonts w:hAnsi="宋体" w:hint="eastAsia"/>
                <w:szCs w:val="21"/>
              </w:rPr>
              <w:t>及规划环评审查意见“环审</w:t>
            </w:r>
            <w:r>
              <w:rPr>
                <w:rFonts w:hAnsi="宋体" w:hint="eastAsia"/>
                <w:szCs w:val="21"/>
              </w:rPr>
              <w:t>[2017]106</w:t>
            </w:r>
            <w:r>
              <w:rPr>
                <w:rFonts w:hAnsi="宋体" w:hint="eastAsia"/>
                <w:szCs w:val="21"/>
              </w:rPr>
              <w:t>号”</w:t>
            </w:r>
          </w:p>
        </w:tc>
        <w:tc>
          <w:tcPr>
            <w:tcW w:w="5911" w:type="dxa"/>
            <w:shd w:val="clear" w:color="auto" w:fill="auto"/>
            <w:tcMar>
              <w:left w:w="85" w:type="dxa"/>
              <w:right w:w="85" w:type="dxa"/>
            </w:tcMar>
            <w:vAlign w:val="center"/>
          </w:tcPr>
          <w:p w:rsidR="00C223F5" w:rsidRPr="00015B1B" w:rsidRDefault="005860D5" w:rsidP="004173AA">
            <w:pPr>
              <w:spacing w:line="264" w:lineRule="auto"/>
              <w:rPr>
                <w:spacing w:val="-4"/>
                <w:szCs w:val="21"/>
              </w:rPr>
            </w:pPr>
            <w:r w:rsidRPr="00015B1B">
              <w:rPr>
                <w:spacing w:val="-4"/>
                <w:szCs w:val="21"/>
              </w:rPr>
              <w:t>①</w:t>
            </w:r>
            <w:r w:rsidRPr="00015B1B">
              <w:rPr>
                <w:spacing w:val="-4"/>
                <w:szCs w:val="21"/>
              </w:rPr>
              <w:t>推进陕北等大型煤炭基地绿色开采和改造，规划期内不在新建</w:t>
            </w:r>
            <w:r w:rsidRPr="00015B1B">
              <w:rPr>
                <w:spacing w:val="-4"/>
                <w:szCs w:val="21"/>
              </w:rPr>
              <w:t>120</w:t>
            </w:r>
            <w:r w:rsidRPr="00015B1B">
              <w:rPr>
                <w:spacing w:val="-4"/>
                <w:szCs w:val="21"/>
              </w:rPr>
              <w:t>万吨以下煤矿（榆林地区保留或技改整合矿山规模不低于</w:t>
            </w:r>
            <w:r w:rsidRPr="00015B1B">
              <w:rPr>
                <w:spacing w:val="-4"/>
                <w:szCs w:val="21"/>
              </w:rPr>
              <w:t>30</w:t>
            </w:r>
            <w:r w:rsidRPr="00015B1B">
              <w:rPr>
                <w:spacing w:val="-4"/>
                <w:szCs w:val="21"/>
              </w:rPr>
              <w:t>万吨）；</w:t>
            </w:r>
            <w:r w:rsidRPr="00015B1B">
              <w:rPr>
                <w:spacing w:val="-4"/>
                <w:szCs w:val="21"/>
              </w:rPr>
              <w:t>②</w:t>
            </w:r>
            <w:r w:rsidRPr="00015B1B">
              <w:rPr>
                <w:spacing w:val="-4"/>
                <w:szCs w:val="21"/>
              </w:rPr>
              <w:t>在自然保护区内严禁开展不符合功能定位的开发活动；</w:t>
            </w:r>
            <w:r w:rsidRPr="00015B1B">
              <w:rPr>
                <w:spacing w:val="-4"/>
                <w:szCs w:val="21"/>
              </w:rPr>
              <w:t>③</w:t>
            </w:r>
            <w:r w:rsidRPr="00015B1B">
              <w:rPr>
                <w:spacing w:val="-4"/>
                <w:szCs w:val="21"/>
              </w:rPr>
              <w:t>严格落实边开采、边保护、边复垦的要求，使新建、在建矿山损毁土地得到全面复垦；</w:t>
            </w:r>
            <w:r w:rsidRPr="00015B1B">
              <w:rPr>
                <w:spacing w:val="-4"/>
                <w:szCs w:val="21"/>
              </w:rPr>
              <w:t>④</w:t>
            </w:r>
            <w:r w:rsidRPr="00015B1B">
              <w:rPr>
                <w:spacing w:val="-4"/>
                <w:szCs w:val="21"/>
              </w:rPr>
              <w:t>将自然保护区、饮用水水源保护区、重要环境敏感区等纳入生态保护红线，作为保障和维护区域生态安全的底线，依法实施强制性保护；</w:t>
            </w:r>
            <w:r w:rsidRPr="00015B1B">
              <w:rPr>
                <w:spacing w:val="-4"/>
                <w:szCs w:val="21"/>
              </w:rPr>
              <w:t>⑤</w:t>
            </w:r>
            <w:r w:rsidRPr="00015B1B">
              <w:rPr>
                <w:spacing w:val="-4"/>
                <w:szCs w:val="21"/>
              </w:rPr>
              <w:t>针对突出环境问题，提出降低污染物排放强度，提高矿区矸石及尾矿综合利用率。</w:t>
            </w:r>
          </w:p>
        </w:tc>
        <w:tc>
          <w:tcPr>
            <w:tcW w:w="4993" w:type="dxa"/>
            <w:shd w:val="clear" w:color="auto" w:fill="auto"/>
            <w:tcMar>
              <w:left w:w="85" w:type="dxa"/>
              <w:right w:w="85" w:type="dxa"/>
            </w:tcMar>
            <w:vAlign w:val="center"/>
          </w:tcPr>
          <w:p w:rsidR="00C223F5" w:rsidRPr="00015B1B" w:rsidRDefault="005860D5" w:rsidP="00FB157E">
            <w:pPr>
              <w:widowControl/>
              <w:jc w:val="left"/>
              <w:rPr>
                <w:szCs w:val="21"/>
              </w:rPr>
            </w:pPr>
            <w:r w:rsidRPr="00015B1B">
              <w:rPr>
                <w:rFonts w:ascii="宋体" w:hAnsi="宋体"/>
                <w:kern w:val="0"/>
                <w:szCs w:val="21"/>
              </w:rPr>
              <w:t>①</w:t>
            </w:r>
            <w:r w:rsidRPr="00015B1B">
              <w:rPr>
                <w:rFonts w:hAnsi="宋体"/>
                <w:kern w:val="0"/>
                <w:szCs w:val="21"/>
              </w:rPr>
              <w:t>本项目为榆林地区整合矿井，规模</w:t>
            </w:r>
            <w:r w:rsidRPr="00015B1B">
              <w:rPr>
                <w:rFonts w:hint="eastAsia"/>
                <w:kern w:val="0"/>
                <w:szCs w:val="21"/>
              </w:rPr>
              <w:t>9</w:t>
            </w:r>
            <w:r w:rsidRPr="00015B1B">
              <w:rPr>
                <w:kern w:val="0"/>
                <w:szCs w:val="21"/>
              </w:rPr>
              <w:t>0</w:t>
            </w:r>
            <w:r w:rsidRPr="00015B1B">
              <w:rPr>
                <w:rFonts w:hAnsi="宋体"/>
                <w:kern w:val="0"/>
                <w:szCs w:val="21"/>
              </w:rPr>
              <w:t>万吨</w:t>
            </w:r>
            <w:r w:rsidRPr="00015B1B">
              <w:rPr>
                <w:rFonts w:hAnsi="宋体" w:hint="eastAsia"/>
                <w:kern w:val="0"/>
                <w:szCs w:val="21"/>
              </w:rPr>
              <w:t>/</w:t>
            </w:r>
            <w:r w:rsidRPr="00015B1B">
              <w:rPr>
                <w:rFonts w:hAnsi="宋体" w:hint="eastAsia"/>
                <w:kern w:val="0"/>
                <w:szCs w:val="21"/>
              </w:rPr>
              <w:t>年，井田范围与总体规划一致（编号</w:t>
            </w:r>
            <w:r w:rsidRPr="00015B1B">
              <w:rPr>
                <w:rFonts w:hAnsi="宋体" w:hint="eastAsia"/>
                <w:kern w:val="0"/>
                <w:szCs w:val="21"/>
              </w:rPr>
              <w:t>105</w:t>
            </w:r>
            <w:r w:rsidRPr="00015B1B">
              <w:rPr>
                <w:rFonts w:hAnsi="宋体" w:hint="eastAsia"/>
                <w:kern w:val="0"/>
                <w:szCs w:val="21"/>
              </w:rPr>
              <w:t>，面积</w:t>
            </w:r>
            <w:r w:rsidRPr="00015B1B">
              <w:rPr>
                <w:rFonts w:hAnsi="宋体" w:hint="eastAsia"/>
                <w:kern w:val="0"/>
                <w:szCs w:val="21"/>
              </w:rPr>
              <w:t>67.1km</w:t>
            </w:r>
            <w:r w:rsidRPr="00015B1B">
              <w:rPr>
                <w:rFonts w:hAnsi="宋体" w:hint="eastAsia"/>
                <w:kern w:val="0"/>
                <w:szCs w:val="21"/>
                <w:vertAlign w:val="superscript"/>
              </w:rPr>
              <w:t>2</w:t>
            </w:r>
            <w:r w:rsidRPr="00015B1B">
              <w:rPr>
                <w:rFonts w:hAnsi="宋体" w:hint="eastAsia"/>
                <w:kern w:val="0"/>
                <w:szCs w:val="21"/>
              </w:rPr>
              <w:t>）</w:t>
            </w:r>
            <w:r w:rsidRPr="00015B1B">
              <w:rPr>
                <w:rFonts w:hAnsi="宋体"/>
                <w:kern w:val="0"/>
                <w:szCs w:val="21"/>
              </w:rPr>
              <w:t>；</w:t>
            </w:r>
            <w:r w:rsidRPr="00015B1B">
              <w:rPr>
                <w:kern w:val="0"/>
                <w:szCs w:val="21"/>
              </w:rPr>
              <w:br/>
            </w:r>
            <w:r w:rsidRPr="00015B1B">
              <w:rPr>
                <w:rFonts w:ascii="宋体" w:hAnsi="宋体"/>
                <w:kern w:val="0"/>
                <w:szCs w:val="21"/>
              </w:rPr>
              <w:t>②</w:t>
            </w:r>
            <w:r w:rsidRPr="00015B1B">
              <w:rPr>
                <w:rFonts w:hAnsi="宋体"/>
                <w:kern w:val="0"/>
                <w:szCs w:val="21"/>
              </w:rPr>
              <w:t>本项目</w:t>
            </w:r>
            <w:r w:rsidR="00DF7CF7" w:rsidRPr="00015B1B">
              <w:rPr>
                <w:rFonts w:hAnsi="宋体" w:hint="eastAsia"/>
                <w:kern w:val="0"/>
                <w:szCs w:val="21"/>
              </w:rPr>
              <w:t>实施区</w:t>
            </w:r>
            <w:r w:rsidRPr="00015B1B">
              <w:rPr>
                <w:rFonts w:hAnsi="宋体"/>
                <w:kern w:val="0"/>
                <w:szCs w:val="21"/>
              </w:rPr>
              <w:t>不涉及自然保护区</w:t>
            </w:r>
            <w:r w:rsidRPr="00015B1B">
              <w:rPr>
                <w:spacing w:val="-4"/>
                <w:szCs w:val="21"/>
              </w:rPr>
              <w:t>、饮用水水源保护区</w:t>
            </w:r>
            <w:r w:rsidRPr="00015B1B">
              <w:rPr>
                <w:rFonts w:hint="eastAsia"/>
                <w:spacing w:val="-4"/>
                <w:szCs w:val="21"/>
              </w:rPr>
              <w:t>等</w:t>
            </w:r>
            <w:r w:rsidRPr="00015B1B">
              <w:rPr>
                <w:rFonts w:hAnsi="宋体"/>
                <w:kern w:val="0"/>
                <w:szCs w:val="21"/>
              </w:rPr>
              <w:t>；提出生态保护恢复措施，边开采，边恢复治理。</w:t>
            </w:r>
            <w:r w:rsidRPr="00015B1B">
              <w:rPr>
                <w:kern w:val="0"/>
                <w:szCs w:val="21"/>
              </w:rPr>
              <w:br/>
            </w:r>
            <w:r w:rsidRPr="00015B1B">
              <w:rPr>
                <w:rFonts w:ascii="宋体" w:hAnsi="宋体"/>
                <w:kern w:val="0"/>
                <w:szCs w:val="21"/>
              </w:rPr>
              <w:t>③</w:t>
            </w:r>
            <w:r w:rsidRPr="00015B1B">
              <w:rPr>
                <w:rFonts w:ascii="宋体" w:hAnsi="宋体" w:hint="eastAsia"/>
                <w:kern w:val="0"/>
                <w:szCs w:val="21"/>
              </w:rPr>
              <w:t>原煤硫分低，不属于限制开采煤；</w:t>
            </w:r>
            <w:r w:rsidRPr="00015B1B">
              <w:rPr>
                <w:kern w:val="0"/>
                <w:szCs w:val="21"/>
              </w:rPr>
              <w:br/>
            </w:r>
            <w:r w:rsidRPr="00015B1B">
              <w:rPr>
                <w:rFonts w:ascii="宋体" w:hAnsi="宋体"/>
                <w:kern w:val="0"/>
                <w:szCs w:val="21"/>
              </w:rPr>
              <w:t>④</w:t>
            </w:r>
            <w:r w:rsidRPr="00015B1B">
              <w:rPr>
                <w:rFonts w:hAnsi="宋体" w:hint="eastAsia"/>
                <w:kern w:val="0"/>
                <w:szCs w:val="21"/>
              </w:rPr>
              <w:t>井田内的大理河重要湿地</w:t>
            </w:r>
            <w:r w:rsidR="00FB157E">
              <w:rPr>
                <w:rFonts w:hAnsi="宋体" w:hint="eastAsia"/>
                <w:color w:val="FF0000"/>
                <w:kern w:val="0"/>
                <w:szCs w:val="21"/>
              </w:rPr>
              <w:t>下</w:t>
            </w:r>
            <w:r w:rsidR="00FB157E" w:rsidRPr="00FB157E">
              <w:rPr>
                <w:rFonts w:hAnsi="宋体" w:hint="eastAsia"/>
                <w:color w:val="FF0000"/>
                <w:kern w:val="0"/>
                <w:szCs w:val="21"/>
              </w:rPr>
              <w:t>游</w:t>
            </w:r>
            <w:r w:rsidRPr="00FB157E">
              <w:rPr>
                <w:rFonts w:hAnsi="宋体" w:hint="eastAsia"/>
                <w:color w:val="FF0000"/>
                <w:kern w:val="0"/>
                <w:szCs w:val="21"/>
              </w:rPr>
              <w:t>为无煤区</w:t>
            </w:r>
            <w:r w:rsidR="00FB157E" w:rsidRPr="00FB157E">
              <w:rPr>
                <w:rFonts w:hAnsi="宋体" w:hint="eastAsia"/>
                <w:color w:val="FF0000"/>
                <w:kern w:val="0"/>
                <w:szCs w:val="21"/>
              </w:rPr>
              <w:t>，</w:t>
            </w:r>
            <w:r w:rsidR="00FB157E">
              <w:rPr>
                <w:rFonts w:hAnsi="宋体" w:hint="eastAsia"/>
                <w:color w:val="FF0000"/>
                <w:kern w:val="0"/>
                <w:szCs w:val="21"/>
              </w:rPr>
              <w:t>上</w:t>
            </w:r>
            <w:r w:rsidR="00FB157E" w:rsidRPr="00FB157E">
              <w:rPr>
                <w:rFonts w:hAnsi="宋体" w:hint="eastAsia"/>
                <w:color w:val="FF0000"/>
                <w:kern w:val="0"/>
                <w:szCs w:val="21"/>
              </w:rPr>
              <w:t>游</w:t>
            </w:r>
            <w:r w:rsidR="00212F71">
              <w:rPr>
                <w:rFonts w:hAnsi="宋体" w:hint="eastAsia"/>
                <w:color w:val="FF0000"/>
                <w:kern w:val="0"/>
                <w:szCs w:val="21"/>
              </w:rPr>
              <w:t>河流及湿地</w:t>
            </w:r>
            <w:r w:rsidRPr="00FB157E">
              <w:rPr>
                <w:rFonts w:hAnsi="宋体" w:hint="eastAsia"/>
                <w:color w:val="FF0000"/>
                <w:kern w:val="0"/>
                <w:szCs w:val="21"/>
              </w:rPr>
              <w:t>已留设保护煤柱，不开采</w:t>
            </w:r>
            <w:r w:rsidRPr="00FB157E">
              <w:rPr>
                <w:rFonts w:hAnsi="宋体"/>
                <w:color w:val="FF0000"/>
                <w:kern w:val="0"/>
                <w:szCs w:val="21"/>
              </w:rPr>
              <w:t>。</w:t>
            </w:r>
            <w:r w:rsidRPr="00FB157E">
              <w:rPr>
                <w:rFonts w:ascii="宋体" w:hAnsi="宋体"/>
                <w:kern w:val="0"/>
                <w:szCs w:val="21"/>
              </w:rPr>
              <w:br/>
            </w:r>
            <w:r w:rsidRPr="00015B1B">
              <w:rPr>
                <w:rFonts w:ascii="宋体" w:hAnsi="宋体"/>
                <w:kern w:val="0"/>
                <w:szCs w:val="21"/>
              </w:rPr>
              <w:t>⑤</w:t>
            </w:r>
            <w:r w:rsidRPr="00015B1B">
              <w:rPr>
                <w:rFonts w:hAnsi="宋体"/>
                <w:kern w:val="0"/>
                <w:szCs w:val="21"/>
              </w:rPr>
              <w:t>提出减少污染物排放的各项措施，矸石全部</w:t>
            </w:r>
            <w:r w:rsidRPr="00015B1B">
              <w:rPr>
                <w:rFonts w:hAnsi="宋体" w:hint="eastAsia"/>
                <w:kern w:val="0"/>
                <w:szCs w:val="21"/>
              </w:rPr>
              <w:t>处置</w:t>
            </w:r>
            <w:r w:rsidRPr="00015B1B">
              <w:rPr>
                <w:rFonts w:hAnsi="宋体"/>
                <w:kern w:val="0"/>
                <w:szCs w:val="21"/>
              </w:rPr>
              <w:t>利用。</w:t>
            </w:r>
          </w:p>
        </w:tc>
        <w:tc>
          <w:tcPr>
            <w:tcW w:w="874" w:type="dxa"/>
            <w:shd w:val="clear" w:color="auto" w:fill="auto"/>
            <w:tcMar>
              <w:left w:w="85" w:type="dxa"/>
              <w:right w:w="85" w:type="dxa"/>
            </w:tcMar>
            <w:vAlign w:val="center"/>
          </w:tcPr>
          <w:p w:rsidR="00C223F5" w:rsidRDefault="005860D5" w:rsidP="004173AA">
            <w:pPr>
              <w:spacing w:line="264" w:lineRule="auto"/>
              <w:jc w:val="center"/>
              <w:rPr>
                <w:szCs w:val="21"/>
              </w:rPr>
            </w:pPr>
            <w:r>
              <w:rPr>
                <w:rFonts w:hAnsi="宋体"/>
                <w:szCs w:val="21"/>
              </w:rPr>
              <w:t>符合</w:t>
            </w:r>
          </w:p>
        </w:tc>
      </w:tr>
      <w:tr w:rsidR="00C223F5">
        <w:trPr>
          <w:trHeight w:val="46"/>
          <w:jc w:val="center"/>
        </w:trPr>
        <w:tc>
          <w:tcPr>
            <w:tcW w:w="634" w:type="dxa"/>
            <w:shd w:val="clear" w:color="auto" w:fill="auto"/>
            <w:tcMar>
              <w:left w:w="85" w:type="dxa"/>
              <w:right w:w="85" w:type="dxa"/>
            </w:tcMar>
            <w:vAlign w:val="center"/>
          </w:tcPr>
          <w:p w:rsidR="00C223F5" w:rsidRDefault="005860D5" w:rsidP="004173AA">
            <w:pPr>
              <w:spacing w:line="264" w:lineRule="auto"/>
              <w:jc w:val="center"/>
              <w:rPr>
                <w:szCs w:val="21"/>
              </w:rPr>
            </w:pPr>
            <w:r>
              <w:rPr>
                <w:rFonts w:hint="eastAsia"/>
                <w:szCs w:val="21"/>
              </w:rPr>
              <w:t>3</w:t>
            </w:r>
          </w:p>
        </w:tc>
        <w:tc>
          <w:tcPr>
            <w:tcW w:w="2105" w:type="dxa"/>
            <w:shd w:val="clear" w:color="auto" w:fill="auto"/>
            <w:tcMar>
              <w:left w:w="85" w:type="dxa"/>
              <w:right w:w="85" w:type="dxa"/>
            </w:tcMar>
            <w:vAlign w:val="center"/>
          </w:tcPr>
          <w:p w:rsidR="00C223F5" w:rsidRDefault="005860D5" w:rsidP="004173AA">
            <w:pPr>
              <w:spacing w:line="260" w:lineRule="exact"/>
              <w:rPr>
                <w:szCs w:val="21"/>
              </w:rPr>
            </w:pPr>
            <w:r>
              <w:rPr>
                <w:szCs w:val="21"/>
              </w:rPr>
              <w:t>《煤炭工业发展</w:t>
            </w:r>
            <w:r>
              <w:rPr>
                <w:szCs w:val="21"/>
              </w:rPr>
              <w:t>“</w:t>
            </w:r>
            <w:r>
              <w:rPr>
                <w:szCs w:val="21"/>
              </w:rPr>
              <w:t>十三五</w:t>
            </w:r>
            <w:r>
              <w:rPr>
                <w:szCs w:val="21"/>
              </w:rPr>
              <w:t>”</w:t>
            </w:r>
            <w:r>
              <w:rPr>
                <w:szCs w:val="21"/>
              </w:rPr>
              <w:t>规划》</w:t>
            </w:r>
          </w:p>
        </w:tc>
        <w:tc>
          <w:tcPr>
            <w:tcW w:w="5911" w:type="dxa"/>
            <w:shd w:val="clear" w:color="auto" w:fill="auto"/>
            <w:tcMar>
              <w:left w:w="85" w:type="dxa"/>
              <w:right w:w="85" w:type="dxa"/>
            </w:tcMar>
            <w:vAlign w:val="center"/>
          </w:tcPr>
          <w:p w:rsidR="00C223F5" w:rsidRPr="00015B1B" w:rsidRDefault="005860D5" w:rsidP="004173AA">
            <w:pPr>
              <w:spacing w:line="280" w:lineRule="exact"/>
              <w:rPr>
                <w:szCs w:val="21"/>
              </w:rPr>
            </w:pPr>
            <w:r w:rsidRPr="00015B1B">
              <w:rPr>
                <w:b/>
                <w:szCs w:val="21"/>
              </w:rPr>
              <w:t>发展目标</w:t>
            </w:r>
            <w:r w:rsidRPr="00015B1B">
              <w:rPr>
                <w:szCs w:val="21"/>
              </w:rPr>
              <w:t>：</w:t>
            </w:r>
            <w:r w:rsidRPr="00015B1B">
              <w:rPr>
                <w:bCs/>
                <w:szCs w:val="21"/>
              </w:rPr>
              <w:t>2020</w:t>
            </w:r>
            <w:r w:rsidRPr="00015B1B">
              <w:rPr>
                <w:bCs/>
                <w:szCs w:val="21"/>
              </w:rPr>
              <w:t>年</w:t>
            </w:r>
            <w:r w:rsidRPr="00015B1B">
              <w:rPr>
                <w:szCs w:val="21"/>
              </w:rPr>
              <w:t>采煤机械性程度</w:t>
            </w:r>
            <w:r w:rsidRPr="00015B1B">
              <w:rPr>
                <w:szCs w:val="21"/>
              </w:rPr>
              <w:t>85%</w:t>
            </w:r>
            <w:r w:rsidRPr="00015B1B">
              <w:rPr>
                <w:szCs w:val="21"/>
              </w:rPr>
              <w:t>以上，掘进机械化程度达到</w:t>
            </w:r>
            <w:r w:rsidRPr="00015B1B">
              <w:rPr>
                <w:szCs w:val="21"/>
              </w:rPr>
              <w:t>65%</w:t>
            </w:r>
            <w:r w:rsidRPr="00015B1B">
              <w:rPr>
                <w:szCs w:val="21"/>
              </w:rPr>
              <w:t>；煤矸石利用率</w:t>
            </w:r>
            <w:r w:rsidRPr="00015B1B">
              <w:rPr>
                <w:szCs w:val="21"/>
              </w:rPr>
              <w:t>75%</w:t>
            </w:r>
            <w:r w:rsidRPr="00015B1B">
              <w:rPr>
                <w:szCs w:val="21"/>
              </w:rPr>
              <w:t>左右；煤矿稳定沉陷土地治理率</w:t>
            </w:r>
            <w:r w:rsidRPr="00015B1B">
              <w:rPr>
                <w:szCs w:val="21"/>
              </w:rPr>
              <w:t xml:space="preserve"> 80%</w:t>
            </w:r>
            <w:r w:rsidRPr="00015B1B">
              <w:rPr>
                <w:szCs w:val="21"/>
              </w:rPr>
              <w:t>以上，排矸场和露天矿排土场复垦率达到</w:t>
            </w:r>
            <w:r w:rsidRPr="00015B1B">
              <w:rPr>
                <w:szCs w:val="21"/>
              </w:rPr>
              <w:t xml:space="preserve"> 90%</w:t>
            </w:r>
            <w:r w:rsidRPr="00015B1B">
              <w:rPr>
                <w:szCs w:val="21"/>
              </w:rPr>
              <w:t>以上；土地复垦率</w:t>
            </w:r>
            <w:r w:rsidRPr="00015B1B">
              <w:rPr>
                <w:szCs w:val="21"/>
              </w:rPr>
              <w:t xml:space="preserve"> 60%</w:t>
            </w:r>
            <w:r w:rsidRPr="00015B1B">
              <w:rPr>
                <w:szCs w:val="21"/>
              </w:rPr>
              <w:t>左右；原煤入选率</w:t>
            </w:r>
            <w:r w:rsidRPr="00015B1B">
              <w:rPr>
                <w:szCs w:val="21"/>
              </w:rPr>
              <w:t>75%</w:t>
            </w:r>
            <w:r w:rsidRPr="00015B1B">
              <w:rPr>
                <w:szCs w:val="21"/>
              </w:rPr>
              <w:t>左右。</w:t>
            </w:r>
            <w:r w:rsidRPr="00015B1B">
              <w:rPr>
                <w:b/>
                <w:bCs/>
                <w:szCs w:val="21"/>
              </w:rPr>
              <w:t>开发布局：</w:t>
            </w:r>
            <w:r w:rsidRPr="00015B1B">
              <w:rPr>
                <w:bCs/>
                <w:szCs w:val="21"/>
              </w:rPr>
              <w:t>压缩东部、限制中部和东北、优化西部。</w:t>
            </w:r>
            <w:r w:rsidRPr="00015B1B">
              <w:rPr>
                <w:bCs/>
                <w:szCs w:val="21"/>
              </w:rPr>
              <w:t>…</w:t>
            </w:r>
            <w:r w:rsidRPr="00015B1B">
              <w:rPr>
                <w:bCs/>
                <w:szCs w:val="21"/>
              </w:rPr>
              <w:t>有序推进陕北、神东、黄陇、新疆大型煤炭基地建设。</w:t>
            </w:r>
            <w:r w:rsidRPr="00015B1B">
              <w:rPr>
                <w:bCs/>
                <w:szCs w:val="21"/>
              </w:rPr>
              <w:t>2020</w:t>
            </w:r>
            <w:r w:rsidRPr="00015B1B">
              <w:rPr>
                <w:bCs/>
                <w:szCs w:val="21"/>
              </w:rPr>
              <w:t>年，陕北基地产量</w:t>
            </w:r>
            <w:r w:rsidRPr="00015B1B">
              <w:rPr>
                <w:bCs/>
                <w:szCs w:val="21"/>
              </w:rPr>
              <w:t>2.6</w:t>
            </w:r>
            <w:r w:rsidRPr="00015B1B">
              <w:rPr>
                <w:bCs/>
                <w:szCs w:val="21"/>
              </w:rPr>
              <w:t>亿吨；</w:t>
            </w:r>
            <w:r w:rsidRPr="00015B1B">
              <w:rPr>
                <w:b/>
                <w:szCs w:val="21"/>
              </w:rPr>
              <w:t>推进煤炭清洁生产</w:t>
            </w:r>
            <w:r w:rsidRPr="00015B1B">
              <w:rPr>
                <w:szCs w:val="21"/>
              </w:rPr>
              <w:t>：因地制宜推广充填开采、保水开采、煤与瓦斯共采、矸石不升井等绿色开采技术。限制开发高硫煤、高灰、高砷、高氟等对生态环境影响较大的煤炭资源。大中型煤矿应配套建设选煤厂或中心选煤厂，较快现有煤矿选煤设施升级改造，提高原煤入选比重。</w:t>
            </w:r>
          </w:p>
        </w:tc>
        <w:tc>
          <w:tcPr>
            <w:tcW w:w="4993" w:type="dxa"/>
            <w:shd w:val="clear" w:color="auto" w:fill="auto"/>
            <w:tcMar>
              <w:left w:w="85" w:type="dxa"/>
              <w:right w:w="85" w:type="dxa"/>
            </w:tcMar>
            <w:vAlign w:val="center"/>
          </w:tcPr>
          <w:p w:rsidR="00C223F5" w:rsidRPr="00015B1B" w:rsidRDefault="000F32AE" w:rsidP="004173AA">
            <w:pPr>
              <w:spacing w:line="260" w:lineRule="exact"/>
              <w:rPr>
                <w:szCs w:val="21"/>
              </w:rPr>
            </w:pPr>
            <w:r w:rsidRPr="00015B1B">
              <w:rPr>
                <w:szCs w:val="21"/>
              </w:rPr>
              <w:fldChar w:fldCharType="begin"/>
            </w:r>
            <w:r w:rsidR="005860D5" w:rsidRPr="00015B1B">
              <w:rPr>
                <w:szCs w:val="21"/>
              </w:rPr>
              <w:instrText xml:space="preserve"> = 1 \* GB3 </w:instrText>
            </w:r>
            <w:r w:rsidRPr="00015B1B">
              <w:rPr>
                <w:szCs w:val="21"/>
              </w:rPr>
              <w:fldChar w:fldCharType="separate"/>
            </w:r>
            <w:r w:rsidR="005860D5" w:rsidRPr="00015B1B">
              <w:rPr>
                <w:szCs w:val="21"/>
              </w:rPr>
              <w:t>①</w:t>
            </w:r>
            <w:r w:rsidRPr="00015B1B">
              <w:rPr>
                <w:szCs w:val="21"/>
              </w:rPr>
              <w:fldChar w:fldCharType="end"/>
            </w:r>
            <w:r w:rsidR="005860D5" w:rsidRPr="00015B1B">
              <w:rPr>
                <w:szCs w:val="21"/>
              </w:rPr>
              <w:t>本项目位于陕北地区，</w:t>
            </w:r>
            <w:r w:rsidR="005860D5" w:rsidRPr="00015B1B">
              <w:rPr>
                <w:rFonts w:hint="eastAsia"/>
                <w:szCs w:val="21"/>
              </w:rPr>
              <w:t>开采煤层为低硫煤，</w:t>
            </w:r>
            <w:r w:rsidR="005860D5" w:rsidRPr="00015B1B">
              <w:rPr>
                <w:szCs w:val="21"/>
              </w:rPr>
              <w:t>配套建设选煤厂，</w:t>
            </w:r>
            <w:r w:rsidR="005860D5" w:rsidRPr="00015B1B">
              <w:rPr>
                <w:rFonts w:hAnsi="宋体"/>
                <w:szCs w:val="21"/>
              </w:rPr>
              <w:t>原煤入</w:t>
            </w:r>
            <w:r w:rsidR="005860D5" w:rsidRPr="00015B1B">
              <w:rPr>
                <w:rFonts w:hAnsi="宋体" w:hint="eastAsia"/>
                <w:szCs w:val="21"/>
              </w:rPr>
              <w:t>选</w:t>
            </w:r>
            <w:r w:rsidR="005860D5" w:rsidRPr="00015B1B">
              <w:rPr>
                <w:rFonts w:hAnsi="宋体"/>
                <w:szCs w:val="21"/>
              </w:rPr>
              <w:t>率</w:t>
            </w:r>
            <w:r w:rsidR="005860D5" w:rsidRPr="00015B1B">
              <w:rPr>
                <w:szCs w:val="21"/>
              </w:rPr>
              <w:t>100%</w:t>
            </w:r>
            <w:r w:rsidR="005860D5" w:rsidRPr="00015B1B">
              <w:rPr>
                <w:rFonts w:hAnsi="宋体"/>
                <w:szCs w:val="21"/>
              </w:rPr>
              <w:t>；井采采煤机械化程度大于</w:t>
            </w:r>
            <w:r w:rsidR="005860D5" w:rsidRPr="00015B1B">
              <w:rPr>
                <w:szCs w:val="21"/>
              </w:rPr>
              <w:t>85%</w:t>
            </w:r>
            <w:r w:rsidR="005860D5" w:rsidRPr="00015B1B">
              <w:rPr>
                <w:rFonts w:hAnsi="宋体"/>
                <w:szCs w:val="21"/>
              </w:rPr>
              <w:t>；</w:t>
            </w:r>
          </w:p>
          <w:p w:rsidR="00C223F5" w:rsidRPr="00015B1B" w:rsidRDefault="000F32AE" w:rsidP="004173AA">
            <w:pPr>
              <w:spacing w:line="260" w:lineRule="exact"/>
              <w:rPr>
                <w:szCs w:val="21"/>
              </w:rPr>
            </w:pPr>
            <w:r w:rsidRPr="00015B1B">
              <w:rPr>
                <w:szCs w:val="21"/>
              </w:rPr>
              <w:fldChar w:fldCharType="begin"/>
            </w:r>
            <w:r w:rsidR="005860D5" w:rsidRPr="00015B1B">
              <w:rPr>
                <w:szCs w:val="21"/>
              </w:rPr>
              <w:instrText xml:space="preserve"> = 2 \* GB3 </w:instrText>
            </w:r>
            <w:r w:rsidRPr="00015B1B">
              <w:rPr>
                <w:szCs w:val="21"/>
              </w:rPr>
              <w:fldChar w:fldCharType="separate"/>
            </w:r>
            <w:r w:rsidR="005860D5" w:rsidRPr="00015B1B">
              <w:rPr>
                <w:szCs w:val="21"/>
              </w:rPr>
              <w:t>②</w:t>
            </w:r>
            <w:r w:rsidRPr="00015B1B">
              <w:rPr>
                <w:szCs w:val="21"/>
              </w:rPr>
              <w:fldChar w:fldCharType="end"/>
            </w:r>
            <w:r w:rsidR="005860D5" w:rsidRPr="00015B1B">
              <w:rPr>
                <w:rFonts w:eastAsiaTheme="minorEastAsia"/>
                <w:szCs w:val="21"/>
              </w:rPr>
              <w:t>井工建设期掘进矸石</w:t>
            </w:r>
            <w:r w:rsidR="005860D5" w:rsidRPr="00015B1B">
              <w:rPr>
                <w:rFonts w:eastAsiaTheme="minorEastAsia" w:hint="eastAsia"/>
                <w:szCs w:val="21"/>
              </w:rPr>
              <w:t>用于铺路和综合利用；</w:t>
            </w:r>
            <w:r w:rsidR="005860D5" w:rsidRPr="00015B1B">
              <w:rPr>
                <w:szCs w:val="21"/>
              </w:rPr>
              <w:t>运行期掘进矸石</w:t>
            </w:r>
            <w:r w:rsidR="00DF7CF7" w:rsidRPr="00015B1B">
              <w:rPr>
                <w:rFonts w:hint="eastAsia"/>
                <w:szCs w:val="21"/>
              </w:rPr>
              <w:t>不出井</w:t>
            </w:r>
            <w:r w:rsidR="005860D5" w:rsidRPr="00015B1B">
              <w:rPr>
                <w:rFonts w:hint="eastAsia"/>
                <w:szCs w:val="21"/>
              </w:rPr>
              <w:t>，</w:t>
            </w:r>
            <w:r w:rsidR="005860D5" w:rsidRPr="00015B1B">
              <w:rPr>
                <w:szCs w:val="21"/>
              </w:rPr>
              <w:t>生产期间洗选矸石综合利用</w:t>
            </w:r>
            <w:r w:rsidR="005860D5" w:rsidRPr="00015B1B">
              <w:rPr>
                <w:rFonts w:hint="eastAsia"/>
                <w:szCs w:val="21"/>
              </w:rPr>
              <w:t>或回填井下</w:t>
            </w:r>
            <w:r w:rsidR="005860D5" w:rsidRPr="00015B1B">
              <w:rPr>
                <w:szCs w:val="21"/>
              </w:rPr>
              <w:t>，煤矸石</w:t>
            </w:r>
            <w:r w:rsidR="005860D5" w:rsidRPr="00015B1B">
              <w:rPr>
                <w:rFonts w:hint="eastAsia"/>
                <w:szCs w:val="21"/>
              </w:rPr>
              <w:t>处置</w:t>
            </w:r>
            <w:r w:rsidR="005860D5" w:rsidRPr="00015B1B">
              <w:rPr>
                <w:szCs w:val="21"/>
              </w:rPr>
              <w:t>利用率达到</w:t>
            </w:r>
            <w:r w:rsidR="005860D5" w:rsidRPr="00015B1B">
              <w:rPr>
                <w:szCs w:val="21"/>
              </w:rPr>
              <w:t>100%</w:t>
            </w:r>
            <w:r w:rsidR="005860D5" w:rsidRPr="00015B1B">
              <w:rPr>
                <w:rFonts w:hint="eastAsia"/>
                <w:szCs w:val="21"/>
              </w:rPr>
              <w:t>；</w:t>
            </w:r>
          </w:p>
          <w:p w:rsidR="00C223F5" w:rsidRPr="00015B1B" w:rsidRDefault="000F32AE" w:rsidP="004173AA">
            <w:pPr>
              <w:spacing w:line="260" w:lineRule="exact"/>
              <w:rPr>
                <w:szCs w:val="21"/>
              </w:rPr>
            </w:pPr>
            <w:r w:rsidRPr="00015B1B">
              <w:rPr>
                <w:szCs w:val="21"/>
              </w:rPr>
              <w:fldChar w:fldCharType="begin"/>
            </w:r>
            <w:r w:rsidR="005860D5" w:rsidRPr="00015B1B">
              <w:rPr>
                <w:szCs w:val="21"/>
              </w:rPr>
              <w:instrText xml:space="preserve"> = 3 \* GB3 </w:instrText>
            </w:r>
            <w:r w:rsidRPr="00015B1B">
              <w:rPr>
                <w:szCs w:val="21"/>
              </w:rPr>
              <w:fldChar w:fldCharType="separate"/>
            </w:r>
            <w:r w:rsidR="005860D5" w:rsidRPr="00015B1B">
              <w:rPr>
                <w:szCs w:val="21"/>
              </w:rPr>
              <w:t>③</w:t>
            </w:r>
            <w:r w:rsidRPr="00015B1B">
              <w:rPr>
                <w:szCs w:val="21"/>
              </w:rPr>
              <w:fldChar w:fldCharType="end"/>
            </w:r>
            <w:r w:rsidR="005860D5" w:rsidRPr="003E6DA1">
              <w:rPr>
                <w:color w:val="FF0000"/>
                <w:szCs w:val="21"/>
              </w:rPr>
              <w:t>矿井水经处理后部分回用；洗煤废水闭路循环</w:t>
            </w:r>
            <w:r w:rsidR="005860D5" w:rsidRPr="00015B1B">
              <w:rPr>
                <w:szCs w:val="21"/>
              </w:rPr>
              <w:t>；</w:t>
            </w:r>
          </w:p>
          <w:p w:rsidR="00C223F5" w:rsidRPr="00015B1B" w:rsidRDefault="000F32AE" w:rsidP="004173AA">
            <w:pPr>
              <w:spacing w:line="260" w:lineRule="exact"/>
              <w:rPr>
                <w:szCs w:val="21"/>
              </w:rPr>
            </w:pPr>
            <w:r w:rsidRPr="00015B1B">
              <w:rPr>
                <w:szCs w:val="21"/>
              </w:rPr>
              <w:fldChar w:fldCharType="begin"/>
            </w:r>
            <w:r w:rsidR="005860D5" w:rsidRPr="00015B1B">
              <w:rPr>
                <w:szCs w:val="21"/>
              </w:rPr>
              <w:instrText xml:space="preserve"> = 4 \* GB3 </w:instrText>
            </w:r>
            <w:r w:rsidRPr="00015B1B">
              <w:rPr>
                <w:szCs w:val="21"/>
              </w:rPr>
              <w:fldChar w:fldCharType="separate"/>
            </w:r>
            <w:r w:rsidR="005860D5" w:rsidRPr="00015B1B">
              <w:rPr>
                <w:rFonts w:ascii="宋体" w:hAnsi="宋体" w:cs="宋体" w:hint="eastAsia"/>
                <w:szCs w:val="21"/>
              </w:rPr>
              <w:t>④</w:t>
            </w:r>
            <w:r w:rsidRPr="00015B1B">
              <w:rPr>
                <w:szCs w:val="21"/>
              </w:rPr>
              <w:fldChar w:fldCharType="end"/>
            </w:r>
            <w:r w:rsidR="005860D5" w:rsidRPr="00015B1B">
              <w:rPr>
                <w:szCs w:val="21"/>
              </w:rPr>
              <w:t>井采沉陷土地治理率达</w:t>
            </w:r>
            <w:r w:rsidR="005860D5" w:rsidRPr="00015B1B">
              <w:rPr>
                <w:szCs w:val="21"/>
              </w:rPr>
              <w:t>100%</w:t>
            </w:r>
          </w:p>
        </w:tc>
        <w:tc>
          <w:tcPr>
            <w:tcW w:w="874" w:type="dxa"/>
            <w:shd w:val="clear" w:color="auto" w:fill="auto"/>
            <w:tcMar>
              <w:left w:w="85" w:type="dxa"/>
              <w:right w:w="85" w:type="dxa"/>
            </w:tcMar>
            <w:vAlign w:val="center"/>
          </w:tcPr>
          <w:p w:rsidR="00C223F5" w:rsidRDefault="005860D5" w:rsidP="004173AA">
            <w:pPr>
              <w:spacing w:line="260" w:lineRule="exact"/>
              <w:jc w:val="center"/>
              <w:rPr>
                <w:szCs w:val="21"/>
              </w:rPr>
            </w:pPr>
            <w:r>
              <w:rPr>
                <w:szCs w:val="21"/>
              </w:rPr>
              <w:t>符合</w:t>
            </w:r>
          </w:p>
        </w:tc>
      </w:tr>
    </w:tbl>
    <w:p w:rsidR="00C223F5" w:rsidRDefault="005860D5" w:rsidP="004173AA">
      <w:pPr>
        <w:jc w:val="center"/>
      </w:pPr>
      <w:r>
        <w:rPr>
          <w:rFonts w:hAnsi="Calibri" w:hint="eastAsia"/>
          <w:b/>
          <w:sz w:val="24"/>
        </w:rPr>
        <w:lastRenderedPageBreak/>
        <w:t>续</w:t>
      </w:r>
      <w:r>
        <w:rPr>
          <w:rFonts w:hAnsi="Calibri"/>
          <w:b/>
          <w:sz w:val="24"/>
        </w:rPr>
        <w:t>表</w:t>
      </w:r>
      <w:r>
        <w:rPr>
          <w:rFonts w:hint="eastAsia"/>
          <w:b/>
          <w:sz w:val="24"/>
        </w:rPr>
        <w:t xml:space="preserve">1  </w:t>
      </w:r>
      <w:r>
        <w:rPr>
          <w:rFonts w:hAnsi="Calibri"/>
          <w:b/>
          <w:sz w:val="24"/>
        </w:rPr>
        <w:t>本项目与相关</w:t>
      </w:r>
      <w:r>
        <w:rPr>
          <w:rFonts w:hAnsi="Calibri" w:hint="eastAsia"/>
          <w:b/>
          <w:sz w:val="24"/>
        </w:rPr>
        <w:t>政策及规划</w:t>
      </w:r>
      <w:r>
        <w:rPr>
          <w:rFonts w:hAnsi="Calibri"/>
          <w:b/>
          <w:sz w:val="24"/>
        </w:rPr>
        <w:t>相符性分析</w:t>
      </w:r>
    </w:p>
    <w:tbl>
      <w:tblPr>
        <w:tblW w:w="14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4A0" w:firstRow="1" w:lastRow="0" w:firstColumn="1" w:lastColumn="0" w:noHBand="0" w:noVBand="1"/>
      </w:tblPr>
      <w:tblGrid>
        <w:gridCol w:w="634"/>
        <w:gridCol w:w="2105"/>
        <w:gridCol w:w="6969"/>
        <w:gridCol w:w="3962"/>
        <w:gridCol w:w="874"/>
      </w:tblGrid>
      <w:tr w:rsidR="00C223F5">
        <w:trPr>
          <w:trHeight w:val="46"/>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序号</w:t>
            </w:r>
          </w:p>
        </w:tc>
        <w:tc>
          <w:tcPr>
            <w:tcW w:w="2105"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相关政策、规划</w:t>
            </w:r>
          </w:p>
        </w:tc>
        <w:tc>
          <w:tcPr>
            <w:tcW w:w="6969"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要求</w:t>
            </w:r>
          </w:p>
        </w:tc>
        <w:tc>
          <w:tcPr>
            <w:tcW w:w="3962"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本项目情况</w:t>
            </w:r>
          </w:p>
        </w:tc>
        <w:tc>
          <w:tcPr>
            <w:tcW w:w="874"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符合性</w:t>
            </w:r>
          </w:p>
        </w:tc>
      </w:tr>
      <w:tr w:rsidR="00C223F5">
        <w:trPr>
          <w:trHeight w:val="46"/>
          <w:jc w:val="center"/>
        </w:trPr>
        <w:tc>
          <w:tcPr>
            <w:tcW w:w="634" w:type="dxa"/>
            <w:shd w:val="clear" w:color="auto" w:fill="auto"/>
            <w:tcMar>
              <w:left w:w="85" w:type="dxa"/>
              <w:right w:w="85" w:type="dxa"/>
            </w:tcMar>
            <w:vAlign w:val="center"/>
          </w:tcPr>
          <w:p w:rsidR="00C223F5" w:rsidRDefault="005860D5" w:rsidP="004173AA">
            <w:pPr>
              <w:spacing w:line="264" w:lineRule="auto"/>
              <w:jc w:val="center"/>
              <w:rPr>
                <w:szCs w:val="21"/>
              </w:rPr>
            </w:pPr>
            <w:r>
              <w:rPr>
                <w:rFonts w:hint="eastAsia"/>
                <w:szCs w:val="21"/>
              </w:rPr>
              <w:t>4</w:t>
            </w:r>
          </w:p>
        </w:tc>
        <w:tc>
          <w:tcPr>
            <w:tcW w:w="2105" w:type="dxa"/>
            <w:shd w:val="clear" w:color="auto" w:fill="auto"/>
            <w:tcMar>
              <w:left w:w="85" w:type="dxa"/>
              <w:right w:w="85" w:type="dxa"/>
            </w:tcMar>
            <w:vAlign w:val="center"/>
          </w:tcPr>
          <w:p w:rsidR="00C223F5" w:rsidRDefault="005860D5" w:rsidP="004173AA">
            <w:pPr>
              <w:spacing w:line="264" w:lineRule="auto"/>
              <w:jc w:val="center"/>
              <w:rPr>
                <w:szCs w:val="21"/>
              </w:rPr>
            </w:pPr>
            <w:r>
              <w:rPr>
                <w:rFonts w:hAnsi="宋体"/>
                <w:szCs w:val="21"/>
              </w:rPr>
              <w:t>《陕西省国家重点生态功能区产业准入负面清单》</w:t>
            </w:r>
          </w:p>
        </w:tc>
        <w:tc>
          <w:tcPr>
            <w:tcW w:w="6969" w:type="dxa"/>
            <w:shd w:val="clear" w:color="auto" w:fill="auto"/>
            <w:tcMar>
              <w:left w:w="85" w:type="dxa"/>
              <w:right w:w="85" w:type="dxa"/>
            </w:tcMar>
            <w:vAlign w:val="center"/>
          </w:tcPr>
          <w:p w:rsidR="00C223F5" w:rsidRDefault="005860D5" w:rsidP="004173AA">
            <w:pPr>
              <w:spacing w:line="280" w:lineRule="exact"/>
              <w:rPr>
                <w:szCs w:val="21"/>
              </w:rPr>
            </w:pPr>
            <w:r>
              <w:rPr>
                <w:szCs w:val="21"/>
              </w:rPr>
              <w:t>陕发改规划</w:t>
            </w:r>
            <w:r>
              <w:rPr>
                <w:rFonts w:hint="eastAsia"/>
                <w:szCs w:val="21"/>
              </w:rPr>
              <w:t>[</w:t>
            </w:r>
            <w:r>
              <w:rPr>
                <w:szCs w:val="21"/>
              </w:rPr>
              <w:t>2018</w:t>
            </w:r>
            <w:r>
              <w:rPr>
                <w:rFonts w:hint="eastAsia"/>
                <w:szCs w:val="21"/>
              </w:rPr>
              <w:t>]</w:t>
            </w:r>
            <w:r>
              <w:rPr>
                <w:szCs w:val="21"/>
              </w:rPr>
              <w:t>213</w:t>
            </w:r>
            <w:r>
              <w:rPr>
                <w:szCs w:val="21"/>
              </w:rPr>
              <w:t>号），陕西省国家重点生态功能区产业准入负面清单（第一批、第二批）中包含的地区为：周至县、太白县、凤县、南郑区、洋县、西乡县、勉县、宁强县、略阳县、镇巴县、留坝县、佛坪县、平利县、旬阳县、石泉县、紫阳县、白河县、汉阴县、镇坪县、宁陕县、岚皋县、镇安县、柞水县、吴起县、志丹县、安塞县、子长县、绥德县、米脂县、佳县、吴堡县、清涧县、子洲县、黄龙县、宜川县以及洛南县</w:t>
            </w:r>
          </w:p>
        </w:tc>
        <w:tc>
          <w:tcPr>
            <w:tcW w:w="3962" w:type="dxa"/>
            <w:shd w:val="clear" w:color="auto" w:fill="auto"/>
            <w:tcMar>
              <w:left w:w="85" w:type="dxa"/>
              <w:right w:w="85" w:type="dxa"/>
            </w:tcMar>
            <w:vAlign w:val="center"/>
          </w:tcPr>
          <w:p w:rsidR="00C223F5" w:rsidRDefault="005860D5" w:rsidP="004173AA">
            <w:pPr>
              <w:spacing w:line="264" w:lineRule="auto"/>
              <w:rPr>
                <w:szCs w:val="21"/>
              </w:rPr>
            </w:pPr>
            <w:r>
              <w:rPr>
                <w:szCs w:val="21"/>
              </w:rPr>
              <w:t>本项目位于</w:t>
            </w:r>
            <w:r>
              <w:rPr>
                <w:rFonts w:hint="eastAsia"/>
                <w:szCs w:val="21"/>
              </w:rPr>
              <w:t>榆林市横山县</w:t>
            </w:r>
            <w:r>
              <w:rPr>
                <w:szCs w:val="21"/>
              </w:rPr>
              <w:t>，不在《陕西省国家重点生态功能区产业准入负面清单（试行）》公布的区域内</w:t>
            </w:r>
          </w:p>
        </w:tc>
        <w:tc>
          <w:tcPr>
            <w:tcW w:w="874" w:type="dxa"/>
            <w:shd w:val="clear" w:color="auto" w:fill="auto"/>
            <w:tcMar>
              <w:left w:w="85" w:type="dxa"/>
              <w:right w:w="85" w:type="dxa"/>
            </w:tcMar>
            <w:vAlign w:val="center"/>
          </w:tcPr>
          <w:p w:rsidR="00C223F5" w:rsidRDefault="005860D5" w:rsidP="004173AA">
            <w:pPr>
              <w:spacing w:line="264" w:lineRule="auto"/>
              <w:jc w:val="center"/>
              <w:rPr>
                <w:rFonts w:ascii="宋体" w:hAnsi="宋体" w:cs="宋体"/>
                <w:szCs w:val="21"/>
              </w:rPr>
            </w:pPr>
            <w:r>
              <w:rPr>
                <w:rFonts w:ascii="宋体" w:hAnsi="宋体" w:cs="宋体" w:hint="eastAsia"/>
                <w:szCs w:val="21"/>
              </w:rPr>
              <w:t>符合</w:t>
            </w:r>
          </w:p>
        </w:tc>
      </w:tr>
      <w:tr w:rsidR="00C223F5">
        <w:trPr>
          <w:trHeight w:val="1352"/>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5</w:t>
            </w:r>
          </w:p>
        </w:tc>
        <w:tc>
          <w:tcPr>
            <w:tcW w:w="2105" w:type="dxa"/>
            <w:shd w:val="clear" w:color="auto" w:fill="auto"/>
            <w:tcMar>
              <w:left w:w="85" w:type="dxa"/>
              <w:right w:w="85" w:type="dxa"/>
            </w:tcMar>
            <w:vAlign w:val="center"/>
          </w:tcPr>
          <w:p w:rsidR="00C223F5" w:rsidRDefault="005860D5" w:rsidP="004173AA">
            <w:pPr>
              <w:autoSpaceDE w:val="0"/>
              <w:autoSpaceDN w:val="0"/>
              <w:spacing w:line="260" w:lineRule="exact"/>
              <w:rPr>
                <w:rFonts w:hAnsi="宋体"/>
                <w:kern w:val="0"/>
                <w:szCs w:val="21"/>
              </w:rPr>
            </w:pPr>
            <w:r>
              <w:rPr>
                <w:rFonts w:hAnsi="宋体"/>
                <w:kern w:val="0"/>
                <w:szCs w:val="21"/>
              </w:rPr>
              <w:t>《陕西省主体功能区划》</w:t>
            </w:r>
          </w:p>
        </w:tc>
        <w:tc>
          <w:tcPr>
            <w:tcW w:w="6969" w:type="dxa"/>
            <w:shd w:val="clear" w:color="auto" w:fill="auto"/>
            <w:tcMar>
              <w:left w:w="85" w:type="dxa"/>
              <w:right w:w="85" w:type="dxa"/>
            </w:tcMar>
            <w:vAlign w:val="center"/>
          </w:tcPr>
          <w:p w:rsidR="00C223F5" w:rsidRPr="00015B1B" w:rsidRDefault="005860D5" w:rsidP="004173AA">
            <w:pPr>
              <w:spacing w:line="280" w:lineRule="exact"/>
              <w:rPr>
                <w:b/>
                <w:spacing w:val="-6"/>
                <w:szCs w:val="21"/>
              </w:rPr>
            </w:pPr>
            <w:r w:rsidRPr="00015B1B">
              <w:rPr>
                <w:b/>
                <w:spacing w:val="-6"/>
                <w:szCs w:val="21"/>
              </w:rPr>
              <w:t>禁止开发区域</w:t>
            </w:r>
            <w:r w:rsidRPr="00015B1B">
              <w:rPr>
                <w:spacing w:val="-6"/>
                <w:szCs w:val="21"/>
              </w:rPr>
              <w:t>407</w:t>
            </w:r>
            <w:r w:rsidRPr="00015B1B">
              <w:rPr>
                <w:spacing w:val="-6"/>
                <w:szCs w:val="21"/>
              </w:rPr>
              <w:t>处，包括自然保护区</w:t>
            </w:r>
            <w:r w:rsidRPr="00015B1B">
              <w:rPr>
                <w:spacing w:val="-6"/>
                <w:szCs w:val="21"/>
              </w:rPr>
              <w:t>58</w:t>
            </w:r>
            <w:r w:rsidRPr="00015B1B">
              <w:rPr>
                <w:spacing w:val="-6"/>
                <w:szCs w:val="21"/>
              </w:rPr>
              <w:t>处、森林公园</w:t>
            </w:r>
            <w:r w:rsidRPr="00015B1B">
              <w:rPr>
                <w:spacing w:val="-6"/>
                <w:szCs w:val="21"/>
              </w:rPr>
              <w:t>78</w:t>
            </w:r>
            <w:r w:rsidRPr="00015B1B">
              <w:rPr>
                <w:spacing w:val="-6"/>
                <w:szCs w:val="21"/>
              </w:rPr>
              <w:t>处、风景名胜区</w:t>
            </w:r>
            <w:r w:rsidRPr="00015B1B">
              <w:rPr>
                <w:spacing w:val="-6"/>
                <w:szCs w:val="21"/>
              </w:rPr>
              <w:t>35</w:t>
            </w:r>
            <w:r w:rsidRPr="00015B1B">
              <w:rPr>
                <w:spacing w:val="-6"/>
                <w:szCs w:val="21"/>
              </w:rPr>
              <w:t>处、地质公园</w:t>
            </w:r>
            <w:r w:rsidRPr="00015B1B">
              <w:rPr>
                <w:spacing w:val="-6"/>
                <w:szCs w:val="21"/>
              </w:rPr>
              <w:t>10</w:t>
            </w:r>
            <w:r w:rsidRPr="00015B1B">
              <w:rPr>
                <w:spacing w:val="-6"/>
                <w:szCs w:val="21"/>
              </w:rPr>
              <w:t>处、文化自然遗产</w:t>
            </w:r>
            <w:r w:rsidRPr="00015B1B">
              <w:rPr>
                <w:spacing w:val="-6"/>
                <w:szCs w:val="21"/>
              </w:rPr>
              <w:t>46</w:t>
            </w:r>
            <w:r w:rsidRPr="00015B1B">
              <w:rPr>
                <w:spacing w:val="-6"/>
                <w:szCs w:val="21"/>
              </w:rPr>
              <w:t>处、水产种质自然保护区</w:t>
            </w:r>
            <w:r w:rsidRPr="00015B1B">
              <w:rPr>
                <w:spacing w:val="-6"/>
                <w:szCs w:val="21"/>
              </w:rPr>
              <w:t>15</w:t>
            </w:r>
            <w:r w:rsidRPr="00015B1B">
              <w:rPr>
                <w:spacing w:val="-6"/>
                <w:szCs w:val="21"/>
              </w:rPr>
              <w:t>处、重要湿地（含湿地公园）</w:t>
            </w:r>
            <w:r w:rsidRPr="00015B1B">
              <w:rPr>
                <w:spacing w:val="-6"/>
                <w:szCs w:val="21"/>
              </w:rPr>
              <w:t>69</w:t>
            </w:r>
            <w:r w:rsidRPr="00015B1B">
              <w:rPr>
                <w:spacing w:val="-6"/>
                <w:szCs w:val="21"/>
              </w:rPr>
              <w:t>处、重要水源地</w:t>
            </w:r>
            <w:r w:rsidRPr="00015B1B">
              <w:rPr>
                <w:spacing w:val="-6"/>
                <w:szCs w:val="21"/>
              </w:rPr>
              <w:t>96</w:t>
            </w:r>
            <w:r w:rsidRPr="00015B1B">
              <w:rPr>
                <w:spacing w:val="-6"/>
                <w:szCs w:val="21"/>
              </w:rPr>
              <w:t>处</w:t>
            </w:r>
            <w:r w:rsidRPr="00015B1B">
              <w:rPr>
                <w:rFonts w:hint="eastAsia"/>
                <w:spacing w:val="-6"/>
                <w:szCs w:val="21"/>
              </w:rPr>
              <w:t>；</w:t>
            </w:r>
          </w:p>
          <w:p w:rsidR="00C223F5" w:rsidRPr="00015B1B" w:rsidRDefault="005860D5" w:rsidP="004173AA">
            <w:pPr>
              <w:spacing w:line="280" w:lineRule="exact"/>
              <w:rPr>
                <w:b/>
                <w:spacing w:val="-6"/>
                <w:szCs w:val="21"/>
              </w:rPr>
            </w:pPr>
            <w:r w:rsidRPr="00015B1B">
              <w:rPr>
                <w:rFonts w:hint="eastAsia"/>
                <w:b/>
                <w:spacing w:val="-6"/>
                <w:szCs w:val="21"/>
              </w:rPr>
              <w:t>限制开发区域</w:t>
            </w:r>
            <w:r w:rsidRPr="00015B1B">
              <w:rPr>
                <w:spacing w:val="-6"/>
                <w:szCs w:val="21"/>
              </w:rPr>
              <w:t>国家层面</w:t>
            </w:r>
            <w:r w:rsidRPr="00015B1B">
              <w:rPr>
                <w:rFonts w:hint="eastAsia"/>
                <w:spacing w:val="-6"/>
                <w:szCs w:val="21"/>
              </w:rPr>
              <w:t>重点</w:t>
            </w:r>
            <w:r w:rsidRPr="00015B1B">
              <w:rPr>
                <w:spacing w:val="-6"/>
                <w:szCs w:val="21"/>
              </w:rPr>
              <w:t>生态功能区</w:t>
            </w:r>
            <w:r w:rsidRPr="00015B1B">
              <w:rPr>
                <w:rFonts w:hint="eastAsia"/>
                <w:spacing w:val="-6"/>
                <w:szCs w:val="21"/>
              </w:rPr>
              <w:t>——</w:t>
            </w:r>
            <w:r w:rsidRPr="00015B1B">
              <w:rPr>
                <w:spacing w:val="-6"/>
                <w:szCs w:val="21"/>
              </w:rPr>
              <w:t>黄土高原丘陵沟壑水土保持生态功能区</w:t>
            </w:r>
            <w:r w:rsidRPr="00015B1B">
              <w:rPr>
                <w:rFonts w:hint="eastAsia"/>
                <w:spacing w:val="-6"/>
                <w:szCs w:val="21"/>
              </w:rPr>
              <w:t>（包括</w:t>
            </w:r>
            <w:r w:rsidRPr="00015B1B">
              <w:rPr>
                <w:spacing w:val="-6"/>
                <w:szCs w:val="21"/>
              </w:rPr>
              <w:t>延安市吴起县、志丹县、安塞县、子长县</w:t>
            </w:r>
            <w:r w:rsidRPr="00015B1B">
              <w:rPr>
                <w:rFonts w:hint="eastAsia"/>
                <w:spacing w:val="-6"/>
                <w:szCs w:val="21"/>
              </w:rPr>
              <w:t>等），该区的</w:t>
            </w:r>
            <w:r w:rsidRPr="00015B1B">
              <w:rPr>
                <w:spacing w:val="-6"/>
                <w:szCs w:val="21"/>
              </w:rPr>
              <w:t>保护和发展方向</w:t>
            </w:r>
            <w:r w:rsidRPr="00015B1B">
              <w:rPr>
                <w:rFonts w:hint="eastAsia"/>
                <w:spacing w:val="-6"/>
                <w:szCs w:val="21"/>
              </w:rPr>
              <w:t>为</w:t>
            </w:r>
            <w:r w:rsidRPr="00015B1B">
              <w:rPr>
                <w:spacing w:val="-6"/>
                <w:szCs w:val="21"/>
              </w:rPr>
              <w:t>：开展小流域综合治理和淤地坝系建设，实施封山禁牧，恢复退化植被</w:t>
            </w:r>
            <w:r w:rsidRPr="00015B1B">
              <w:rPr>
                <w:rFonts w:hint="eastAsia"/>
                <w:spacing w:val="-6"/>
                <w:szCs w:val="21"/>
              </w:rPr>
              <w:t>；</w:t>
            </w:r>
            <w:r w:rsidRPr="00015B1B">
              <w:rPr>
                <w:spacing w:val="-6"/>
                <w:szCs w:val="21"/>
              </w:rPr>
              <w:t>改造中低产田，加强基本农田保护，发展旱作节水农业</w:t>
            </w:r>
            <w:r w:rsidRPr="00015B1B">
              <w:rPr>
                <w:rFonts w:hint="eastAsia"/>
                <w:spacing w:val="-6"/>
                <w:szCs w:val="21"/>
              </w:rPr>
              <w:t>；</w:t>
            </w:r>
            <w:r w:rsidRPr="00015B1B">
              <w:rPr>
                <w:spacing w:val="-6"/>
                <w:szCs w:val="21"/>
              </w:rPr>
              <w:t>在不损害生态功能的前提下，适度开发煤炭、石油、天然气、岩盐等优势资源，发展能源化工、盐化工、装备制造等产业</w:t>
            </w:r>
            <w:r w:rsidRPr="00015B1B">
              <w:rPr>
                <w:rFonts w:hint="eastAsia"/>
                <w:spacing w:val="-6"/>
                <w:szCs w:val="21"/>
              </w:rPr>
              <w:t>；</w:t>
            </w:r>
            <w:r w:rsidRPr="00015B1B">
              <w:rPr>
                <w:spacing w:val="-6"/>
                <w:szCs w:val="21"/>
              </w:rPr>
              <w:t>加强对能源和矿产资源开发及建设的监管，加大矿山环境整治修复力度，最大限度地减少人为因素造成新的水土流失</w:t>
            </w:r>
            <w:r w:rsidRPr="00015B1B">
              <w:rPr>
                <w:rFonts w:hint="eastAsia"/>
                <w:spacing w:val="-6"/>
                <w:szCs w:val="21"/>
              </w:rPr>
              <w:t>等</w:t>
            </w:r>
          </w:p>
          <w:p w:rsidR="00C223F5" w:rsidRPr="00015B1B" w:rsidRDefault="005860D5" w:rsidP="004173AA">
            <w:pPr>
              <w:spacing w:line="280" w:lineRule="exact"/>
              <w:rPr>
                <w:szCs w:val="21"/>
              </w:rPr>
            </w:pPr>
            <w:r w:rsidRPr="00015B1B">
              <w:rPr>
                <w:rFonts w:hint="eastAsia"/>
                <w:b/>
                <w:spacing w:val="-6"/>
                <w:szCs w:val="21"/>
              </w:rPr>
              <w:t>重点开发区</w:t>
            </w:r>
            <w:r w:rsidRPr="00015B1B">
              <w:rPr>
                <w:spacing w:val="-6"/>
                <w:szCs w:val="21"/>
              </w:rPr>
              <w:t>国家层面</w:t>
            </w:r>
            <w:r w:rsidRPr="00015B1B">
              <w:rPr>
                <w:rFonts w:hint="eastAsia"/>
                <w:spacing w:val="-6"/>
                <w:szCs w:val="21"/>
              </w:rPr>
              <w:t>包括</w:t>
            </w:r>
            <w:r w:rsidRPr="00015B1B">
              <w:rPr>
                <w:spacing w:val="-6"/>
                <w:szCs w:val="21"/>
              </w:rPr>
              <w:t>关中</w:t>
            </w:r>
            <w:r w:rsidRPr="00015B1B">
              <w:rPr>
                <w:rFonts w:hint="eastAsia"/>
                <w:spacing w:val="-6"/>
                <w:szCs w:val="21"/>
              </w:rPr>
              <w:t>—</w:t>
            </w:r>
            <w:r w:rsidRPr="00015B1B">
              <w:rPr>
                <w:spacing w:val="-6"/>
                <w:szCs w:val="21"/>
              </w:rPr>
              <w:t>天水重点开发区域的关中地区和呼包鄂榆重点开发区域的榆林北部地区</w:t>
            </w:r>
            <w:r w:rsidRPr="00015B1B">
              <w:rPr>
                <w:rFonts w:hint="eastAsia"/>
                <w:spacing w:val="-6"/>
                <w:szCs w:val="21"/>
              </w:rPr>
              <w:t>。</w:t>
            </w:r>
            <w:r w:rsidRPr="00015B1B">
              <w:rPr>
                <w:spacing w:val="-6"/>
                <w:szCs w:val="21"/>
              </w:rPr>
              <w:t>榆林北部地区包括榆林市榆阳区、神木市、府谷县、横山县、靖边县、定边县等</w:t>
            </w:r>
            <w:r w:rsidRPr="00015B1B">
              <w:rPr>
                <w:spacing w:val="-6"/>
                <w:szCs w:val="21"/>
              </w:rPr>
              <w:t>6</w:t>
            </w:r>
            <w:r w:rsidRPr="00015B1B">
              <w:rPr>
                <w:spacing w:val="-6"/>
                <w:szCs w:val="21"/>
              </w:rPr>
              <w:t>个县（区）的部分地区</w:t>
            </w:r>
            <w:r w:rsidRPr="00015B1B">
              <w:rPr>
                <w:rFonts w:hint="eastAsia"/>
                <w:spacing w:val="-6"/>
                <w:szCs w:val="21"/>
              </w:rPr>
              <w:t>；</w:t>
            </w:r>
            <w:r w:rsidRPr="00015B1B">
              <w:rPr>
                <w:spacing w:val="-6"/>
                <w:szCs w:val="21"/>
              </w:rPr>
              <w:t>功能定位</w:t>
            </w:r>
            <w:r w:rsidRPr="00015B1B">
              <w:rPr>
                <w:rFonts w:hint="eastAsia"/>
                <w:spacing w:val="-6"/>
                <w:szCs w:val="21"/>
              </w:rPr>
              <w:t>为</w:t>
            </w:r>
            <w:r w:rsidRPr="00015B1B">
              <w:rPr>
                <w:spacing w:val="-6"/>
                <w:szCs w:val="21"/>
              </w:rPr>
              <w:t>全国重要的能源化工基地和循环经济示范区，区域性商贸物流中心、现代特色农业基地，资源型城市可持续发展示范区。</w:t>
            </w:r>
          </w:p>
        </w:tc>
        <w:tc>
          <w:tcPr>
            <w:tcW w:w="3962" w:type="dxa"/>
            <w:shd w:val="clear" w:color="auto" w:fill="auto"/>
            <w:tcMar>
              <w:left w:w="85" w:type="dxa"/>
              <w:right w:w="85" w:type="dxa"/>
            </w:tcMar>
            <w:vAlign w:val="center"/>
          </w:tcPr>
          <w:p w:rsidR="00C223F5" w:rsidRPr="00015B1B" w:rsidRDefault="005860D5" w:rsidP="00FB157E">
            <w:pPr>
              <w:autoSpaceDE w:val="0"/>
              <w:autoSpaceDN w:val="0"/>
              <w:spacing w:line="260" w:lineRule="exact"/>
              <w:rPr>
                <w:rFonts w:hAnsi="宋体"/>
                <w:kern w:val="0"/>
                <w:szCs w:val="21"/>
              </w:rPr>
            </w:pPr>
            <w:r w:rsidRPr="00015B1B">
              <w:rPr>
                <w:rFonts w:hAnsi="宋体" w:hint="eastAsia"/>
                <w:kern w:val="0"/>
                <w:szCs w:val="21"/>
              </w:rPr>
              <w:t>本项目位于</w:t>
            </w:r>
            <w:r w:rsidRPr="00015B1B">
              <w:rPr>
                <w:rFonts w:hint="eastAsia"/>
                <w:szCs w:val="21"/>
              </w:rPr>
              <w:t>榆林市横山县</w:t>
            </w:r>
            <w:r w:rsidRPr="00015B1B">
              <w:rPr>
                <w:rFonts w:hAnsi="宋体" w:hint="eastAsia"/>
                <w:kern w:val="0"/>
                <w:szCs w:val="21"/>
              </w:rPr>
              <w:t>，项目地属于国家层面重点开发区，功能定位为全国重要能源化工基地；井田内的大理河重要湿地</w:t>
            </w:r>
            <w:r w:rsidR="00FB157E">
              <w:rPr>
                <w:rFonts w:hAnsi="宋体" w:hint="eastAsia"/>
                <w:color w:val="FF0000"/>
                <w:kern w:val="0"/>
                <w:szCs w:val="21"/>
              </w:rPr>
              <w:t>下</w:t>
            </w:r>
            <w:r w:rsidR="00FB157E" w:rsidRPr="00FB157E">
              <w:rPr>
                <w:rFonts w:hAnsi="宋体" w:hint="eastAsia"/>
                <w:color w:val="FF0000"/>
                <w:kern w:val="0"/>
                <w:szCs w:val="21"/>
              </w:rPr>
              <w:t>游为无煤区，</w:t>
            </w:r>
            <w:r w:rsidR="00FB157E">
              <w:rPr>
                <w:rFonts w:hAnsi="宋体" w:hint="eastAsia"/>
                <w:color w:val="FF0000"/>
                <w:kern w:val="0"/>
                <w:szCs w:val="21"/>
              </w:rPr>
              <w:t>上</w:t>
            </w:r>
            <w:r w:rsidR="00FB157E" w:rsidRPr="00FB157E">
              <w:rPr>
                <w:rFonts w:hAnsi="宋体" w:hint="eastAsia"/>
                <w:color w:val="FF0000"/>
                <w:kern w:val="0"/>
                <w:szCs w:val="21"/>
              </w:rPr>
              <w:t>游</w:t>
            </w:r>
            <w:r w:rsidR="00212F71">
              <w:rPr>
                <w:rFonts w:hAnsi="宋体" w:hint="eastAsia"/>
                <w:color w:val="FF0000"/>
                <w:kern w:val="0"/>
                <w:szCs w:val="21"/>
              </w:rPr>
              <w:t>河流及湿地</w:t>
            </w:r>
            <w:r w:rsidR="00FB157E" w:rsidRPr="00FB157E">
              <w:rPr>
                <w:rFonts w:hAnsi="宋体" w:hint="eastAsia"/>
                <w:color w:val="FF0000"/>
                <w:kern w:val="0"/>
                <w:szCs w:val="21"/>
              </w:rPr>
              <w:t>已留设保护煤柱，不开采</w:t>
            </w:r>
            <w:r w:rsidRPr="00015B1B">
              <w:rPr>
                <w:rFonts w:hAnsi="宋体" w:hint="eastAsia"/>
                <w:kern w:val="0"/>
                <w:szCs w:val="21"/>
              </w:rPr>
              <w:t>；</w:t>
            </w:r>
            <w:r w:rsidRPr="00015B1B">
              <w:rPr>
                <w:rFonts w:hAnsi="宋体" w:hint="eastAsia"/>
                <w:b/>
                <w:kern w:val="0"/>
                <w:szCs w:val="21"/>
              </w:rPr>
              <w:t>开采范围内不涉及</w:t>
            </w:r>
            <w:r w:rsidRPr="00015B1B">
              <w:rPr>
                <w:rFonts w:hAnsi="宋体" w:hint="eastAsia"/>
                <w:kern w:val="0"/>
                <w:szCs w:val="21"/>
              </w:rPr>
              <w:t>《陕西省主体功能区划》中自然保护区、森林公园、风景名胜区、地质公园、文化自然遗产、水产种质资源保护区、重要水源地等</w:t>
            </w:r>
            <w:r w:rsidRPr="00015B1B">
              <w:rPr>
                <w:rFonts w:hAnsi="宋体" w:hint="eastAsia"/>
                <w:b/>
                <w:kern w:val="0"/>
                <w:szCs w:val="21"/>
              </w:rPr>
              <w:t>禁止开发区和限制开发区</w:t>
            </w:r>
          </w:p>
        </w:tc>
        <w:tc>
          <w:tcPr>
            <w:tcW w:w="874" w:type="dxa"/>
            <w:shd w:val="clear" w:color="auto" w:fill="auto"/>
            <w:tcMar>
              <w:left w:w="85" w:type="dxa"/>
              <w:right w:w="85" w:type="dxa"/>
            </w:tcMar>
            <w:vAlign w:val="center"/>
          </w:tcPr>
          <w:p w:rsidR="00C223F5" w:rsidRDefault="005860D5" w:rsidP="004173AA">
            <w:pPr>
              <w:spacing w:line="260" w:lineRule="exact"/>
              <w:jc w:val="center"/>
              <w:rPr>
                <w:szCs w:val="21"/>
              </w:rPr>
            </w:pPr>
            <w:r>
              <w:rPr>
                <w:szCs w:val="21"/>
              </w:rPr>
              <w:t>符合</w:t>
            </w:r>
          </w:p>
        </w:tc>
      </w:tr>
      <w:tr w:rsidR="00C223F5">
        <w:trPr>
          <w:trHeight w:val="477"/>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6</w:t>
            </w:r>
          </w:p>
        </w:tc>
        <w:tc>
          <w:tcPr>
            <w:tcW w:w="2105" w:type="dxa"/>
            <w:shd w:val="clear" w:color="auto" w:fill="auto"/>
            <w:tcMar>
              <w:left w:w="85" w:type="dxa"/>
              <w:right w:w="85" w:type="dxa"/>
            </w:tcMar>
            <w:vAlign w:val="center"/>
          </w:tcPr>
          <w:p w:rsidR="00C223F5" w:rsidRDefault="005860D5" w:rsidP="004173AA">
            <w:pPr>
              <w:autoSpaceDE w:val="0"/>
              <w:autoSpaceDN w:val="0"/>
              <w:spacing w:line="260" w:lineRule="exact"/>
              <w:rPr>
                <w:kern w:val="0"/>
                <w:szCs w:val="21"/>
              </w:rPr>
            </w:pPr>
            <w:r>
              <w:rPr>
                <w:kern w:val="0"/>
                <w:szCs w:val="21"/>
              </w:rPr>
              <w:t>《陕西生态功能区划》</w:t>
            </w:r>
          </w:p>
        </w:tc>
        <w:tc>
          <w:tcPr>
            <w:tcW w:w="6969" w:type="dxa"/>
            <w:shd w:val="clear" w:color="auto" w:fill="auto"/>
            <w:tcMar>
              <w:left w:w="85" w:type="dxa"/>
              <w:right w:w="85" w:type="dxa"/>
            </w:tcMar>
            <w:vAlign w:val="center"/>
          </w:tcPr>
          <w:p w:rsidR="00C223F5" w:rsidRDefault="005860D5" w:rsidP="004173AA">
            <w:pPr>
              <w:autoSpaceDE w:val="0"/>
              <w:autoSpaceDN w:val="0"/>
              <w:spacing w:line="260" w:lineRule="exact"/>
              <w:rPr>
                <w:kern w:val="0"/>
                <w:szCs w:val="21"/>
              </w:rPr>
            </w:pPr>
            <w:r>
              <w:rPr>
                <w:kern w:val="0"/>
                <w:szCs w:val="21"/>
              </w:rPr>
              <w:t>项目区属</w:t>
            </w:r>
            <w:r>
              <w:rPr>
                <w:rFonts w:hint="eastAsia"/>
                <w:kern w:val="0"/>
                <w:szCs w:val="21"/>
              </w:rPr>
              <w:t>榆神府黄土梁水蚀风蚀控制生态功能区，生态环境问题是水蚀风蚀交错</w:t>
            </w:r>
            <w:r>
              <w:rPr>
                <w:rFonts w:hint="eastAsia"/>
                <w:kern w:val="0"/>
                <w:szCs w:val="21"/>
              </w:rPr>
              <w:t>,</w:t>
            </w:r>
            <w:r>
              <w:rPr>
                <w:rFonts w:hint="eastAsia"/>
                <w:kern w:val="0"/>
                <w:szCs w:val="21"/>
              </w:rPr>
              <w:t>流沙入侵；生态保护目标与措施：保护和发展川地基本农田</w:t>
            </w:r>
            <w:r>
              <w:rPr>
                <w:rFonts w:hint="eastAsia"/>
                <w:kern w:val="0"/>
                <w:szCs w:val="21"/>
              </w:rPr>
              <w:t>,</w:t>
            </w:r>
            <w:r>
              <w:rPr>
                <w:rFonts w:hint="eastAsia"/>
                <w:kern w:val="0"/>
                <w:szCs w:val="21"/>
              </w:rPr>
              <w:t>合理放牧</w:t>
            </w:r>
            <w:r>
              <w:rPr>
                <w:rFonts w:hint="eastAsia"/>
                <w:kern w:val="0"/>
                <w:szCs w:val="21"/>
              </w:rPr>
              <w:t>,</w:t>
            </w:r>
            <w:r>
              <w:rPr>
                <w:rFonts w:hint="eastAsia"/>
                <w:kern w:val="0"/>
                <w:szCs w:val="21"/>
              </w:rPr>
              <w:t>保护和恢复自然植被</w:t>
            </w:r>
          </w:p>
        </w:tc>
        <w:tc>
          <w:tcPr>
            <w:tcW w:w="3962" w:type="dxa"/>
            <w:shd w:val="clear" w:color="auto" w:fill="auto"/>
            <w:tcMar>
              <w:left w:w="85" w:type="dxa"/>
              <w:right w:w="85" w:type="dxa"/>
            </w:tcMar>
            <w:vAlign w:val="center"/>
          </w:tcPr>
          <w:p w:rsidR="00C223F5" w:rsidRDefault="005860D5" w:rsidP="004173AA">
            <w:pPr>
              <w:autoSpaceDE w:val="0"/>
              <w:autoSpaceDN w:val="0"/>
              <w:spacing w:line="260" w:lineRule="exact"/>
              <w:rPr>
                <w:kern w:val="0"/>
                <w:szCs w:val="21"/>
              </w:rPr>
            </w:pPr>
            <w:r>
              <w:rPr>
                <w:kern w:val="0"/>
                <w:szCs w:val="21"/>
              </w:rPr>
              <w:t>本项目已充分认识到了该区生态环境的敏感性，</w:t>
            </w:r>
            <w:r>
              <w:rPr>
                <w:szCs w:val="21"/>
              </w:rPr>
              <w:t>采取复垦、工程措施，控制水土流失，改善生态环境，并</w:t>
            </w:r>
            <w:r>
              <w:rPr>
                <w:kern w:val="0"/>
                <w:szCs w:val="21"/>
              </w:rPr>
              <w:t>提出生态整治恢复措施</w:t>
            </w:r>
            <w:r>
              <w:rPr>
                <w:rFonts w:hint="eastAsia"/>
                <w:kern w:val="0"/>
                <w:szCs w:val="21"/>
              </w:rPr>
              <w:t>；</w:t>
            </w:r>
            <w:r>
              <w:rPr>
                <w:szCs w:val="21"/>
              </w:rPr>
              <w:t>井采沉陷土地治理率达</w:t>
            </w:r>
            <w:r>
              <w:rPr>
                <w:szCs w:val="21"/>
              </w:rPr>
              <w:t>100%</w:t>
            </w:r>
          </w:p>
        </w:tc>
        <w:tc>
          <w:tcPr>
            <w:tcW w:w="874" w:type="dxa"/>
            <w:shd w:val="clear" w:color="auto" w:fill="auto"/>
            <w:tcMar>
              <w:left w:w="85" w:type="dxa"/>
              <w:right w:w="85" w:type="dxa"/>
            </w:tcMar>
            <w:vAlign w:val="center"/>
          </w:tcPr>
          <w:p w:rsidR="00C223F5" w:rsidRDefault="005860D5" w:rsidP="004173AA">
            <w:pPr>
              <w:spacing w:line="260" w:lineRule="exact"/>
              <w:jc w:val="center"/>
              <w:rPr>
                <w:szCs w:val="21"/>
              </w:rPr>
            </w:pPr>
            <w:r>
              <w:rPr>
                <w:szCs w:val="21"/>
              </w:rPr>
              <w:t>符合</w:t>
            </w:r>
          </w:p>
        </w:tc>
      </w:tr>
      <w:tr w:rsidR="00C223F5">
        <w:trPr>
          <w:trHeight w:val="335"/>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7</w:t>
            </w:r>
          </w:p>
        </w:tc>
        <w:tc>
          <w:tcPr>
            <w:tcW w:w="2105" w:type="dxa"/>
            <w:shd w:val="clear" w:color="auto" w:fill="auto"/>
            <w:tcMar>
              <w:left w:w="85" w:type="dxa"/>
              <w:right w:w="85" w:type="dxa"/>
            </w:tcMar>
            <w:vAlign w:val="center"/>
          </w:tcPr>
          <w:p w:rsidR="00C223F5" w:rsidRDefault="005860D5" w:rsidP="004173AA">
            <w:pPr>
              <w:autoSpaceDE w:val="0"/>
              <w:autoSpaceDN w:val="0"/>
              <w:spacing w:line="260" w:lineRule="exact"/>
              <w:rPr>
                <w:kern w:val="0"/>
                <w:szCs w:val="21"/>
              </w:rPr>
            </w:pPr>
            <w:r>
              <w:rPr>
                <w:kern w:val="0"/>
                <w:szCs w:val="21"/>
              </w:rPr>
              <w:t>《陕西省水环境功能区划》</w:t>
            </w:r>
          </w:p>
        </w:tc>
        <w:tc>
          <w:tcPr>
            <w:tcW w:w="6969" w:type="dxa"/>
            <w:shd w:val="clear" w:color="auto" w:fill="auto"/>
            <w:tcMar>
              <w:left w:w="85" w:type="dxa"/>
              <w:right w:w="85" w:type="dxa"/>
            </w:tcMar>
            <w:vAlign w:val="center"/>
          </w:tcPr>
          <w:p w:rsidR="00C223F5" w:rsidRDefault="005860D5" w:rsidP="004173AA">
            <w:pPr>
              <w:autoSpaceDE w:val="0"/>
              <w:autoSpaceDN w:val="0"/>
              <w:spacing w:line="260" w:lineRule="exact"/>
              <w:rPr>
                <w:rFonts w:hAnsi="宋体"/>
                <w:kern w:val="0"/>
                <w:szCs w:val="21"/>
                <w:highlight w:val="yellow"/>
              </w:rPr>
            </w:pPr>
            <w:r>
              <w:rPr>
                <w:rFonts w:hAnsi="宋体"/>
                <w:kern w:val="0"/>
                <w:szCs w:val="21"/>
              </w:rPr>
              <w:t>井田涉及地表水体主要为</w:t>
            </w:r>
            <w:r>
              <w:rPr>
                <w:rFonts w:hAnsi="宋体" w:hint="eastAsia"/>
                <w:kern w:val="0"/>
                <w:szCs w:val="21"/>
              </w:rPr>
              <w:t>大理河及支流蚂蚁河</w:t>
            </w:r>
            <w:r>
              <w:rPr>
                <w:rFonts w:hAnsi="宋体"/>
                <w:kern w:val="0"/>
                <w:szCs w:val="21"/>
              </w:rPr>
              <w:t>，</w:t>
            </w:r>
            <w:r>
              <w:rPr>
                <w:rFonts w:hAnsi="宋体" w:hint="eastAsia"/>
                <w:kern w:val="0"/>
                <w:szCs w:val="21"/>
              </w:rPr>
              <w:t>地表水</w:t>
            </w:r>
            <w:r>
              <w:rPr>
                <w:rFonts w:hAnsi="宋体"/>
                <w:kern w:val="0"/>
                <w:szCs w:val="21"/>
              </w:rPr>
              <w:t>水环境功能</w:t>
            </w:r>
            <w:r>
              <w:rPr>
                <w:rFonts w:hAnsi="宋体" w:hint="eastAsia"/>
                <w:kern w:val="0"/>
                <w:szCs w:val="21"/>
              </w:rPr>
              <w:t>区划</w:t>
            </w:r>
            <w:r>
              <w:rPr>
                <w:rFonts w:hAnsi="宋体"/>
                <w:kern w:val="0"/>
                <w:szCs w:val="21"/>
              </w:rPr>
              <w:t>为</w:t>
            </w:r>
            <w:r>
              <w:rPr>
                <w:rFonts w:hint="eastAsia"/>
                <w:szCs w:val="21"/>
              </w:rPr>
              <w:t>绥德保留区，</w:t>
            </w:r>
            <w:r>
              <w:rPr>
                <w:kern w:val="0"/>
                <w:szCs w:val="21"/>
              </w:rPr>
              <w:t>水质目标为《地表水</w:t>
            </w:r>
            <w:r>
              <w:rPr>
                <w:rFonts w:hint="eastAsia"/>
                <w:kern w:val="0"/>
                <w:szCs w:val="21"/>
              </w:rPr>
              <w:t>环境</w:t>
            </w:r>
            <w:r>
              <w:rPr>
                <w:kern w:val="0"/>
                <w:szCs w:val="21"/>
              </w:rPr>
              <w:t>质量标准》中</w:t>
            </w:r>
            <w:r>
              <w:rPr>
                <w:rFonts w:ascii="宋体" w:hAnsi="宋体" w:cs="宋体" w:hint="eastAsia"/>
                <w:kern w:val="0"/>
                <w:szCs w:val="21"/>
              </w:rPr>
              <w:t>Ⅲ</w:t>
            </w:r>
            <w:r>
              <w:rPr>
                <w:kern w:val="0"/>
                <w:szCs w:val="21"/>
              </w:rPr>
              <w:t>类水质标准</w:t>
            </w:r>
          </w:p>
        </w:tc>
        <w:tc>
          <w:tcPr>
            <w:tcW w:w="3962" w:type="dxa"/>
            <w:shd w:val="clear" w:color="auto" w:fill="auto"/>
            <w:tcMar>
              <w:left w:w="85" w:type="dxa"/>
              <w:right w:w="85" w:type="dxa"/>
            </w:tcMar>
            <w:vAlign w:val="center"/>
          </w:tcPr>
          <w:p w:rsidR="00C223F5" w:rsidRDefault="005860D5" w:rsidP="004173AA">
            <w:pPr>
              <w:autoSpaceDE w:val="0"/>
              <w:autoSpaceDN w:val="0"/>
              <w:spacing w:line="260" w:lineRule="exact"/>
              <w:rPr>
                <w:rFonts w:hAnsi="宋体"/>
                <w:kern w:val="0"/>
                <w:szCs w:val="21"/>
              </w:rPr>
            </w:pPr>
            <w:r>
              <w:rPr>
                <w:rFonts w:hAnsi="宋体" w:hint="eastAsia"/>
                <w:kern w:val="0"/>
                <w:szCs w:val="21"/>
              </w:rPr>
              <w:t>本项生活污水处理后全部回用，</w:t>
            </w:r>
            <w:r w:rsidRPr="003E6DA1">
              <w:rPr>
                <w:rFonts w:hAnsi="宋体" w:hint="eastAsia"/>
                <w:color w:val="FF0000"/>
                <w:kern w:val="0"/>
                <w:szCs w:val="21"/>
              </w:rPr>
              <w:t>矿井水处理后</w:t>
            </w:r>
            <w:r w:rsidR="003E6DA1" w:rsidRPr="003E6DA1">
              <w:rPr>
                <w:rFonts w:hAnsi="宋体" w:hint="eastAsia"/>
                <w:color w:val="FF0000"/>
                <w:kern w:val="0"/>
                <w:szCs w:val="21"/>
              </w:rPr>
              <w:t>部分</w:t>
            </w:r>
            <w:r w:rsidRPr="003E6DA1">
              <w:rPr>
                <w:rFonts w:hAnsi="宋体" w:hint="eastAsia"/>
                <w:color w:val="FF0000"/>
                <w:kern w:val="0"/>
                <w:szCs w:val="21"/>
              </w:rPr>
              <w:t>回用</w:t>
            </w:r>
            <w:r w:rsidR="003E6DA1" w:rsidRPr="003E6DA1">
              <w:rPr>
                <w:rFonts w:hAnsi="宋体" w:hint="eastAsia"/>
                <w:color w:val="FF0000"/>
                <w:kern w:val="0"/>
                <w:szCs w:val="21"/>
              </w:rPr>
              <w:t>，其余达标排至蚂蚁河</w:t>
            </w:r>
          </w:p>
        </w:tc>
        <w:tc>
          <w:tcPr>
            <w:tcW w:w="874" w:type="dxa"/>
            <w:shd w:val="clear" w:color="auto" w:fill="auto"/>
            <w:tcMar>
              <w:left w:w="85" w:type="dxa"/>
              <w:right w:w="85" w:type="dxa"/>
            </w:tcMar>
            <w:vAlign w:val="center"/>
          </w:tcPr>
          <w:p w:rsidR="00C223F5" w:rsidRDefault="005860D5" w:rsidP="004173AA">
            <w:pPr>
              <w:spacing w:line="260" w:lineRule="exact"/>
              <w:jc w:val="center"/>
              <w:rPr>
                <w:kern w:val="0"/>
                <w:szCs w:val="21"/>
              </w:rPr>
            </w:pPr>
            <w:r>
              <w:rPr>
                <w:kern w:val="0"/>
                <w:szCs w:val="21"/>
              </w:rPr>
              <w:t>符合</w:t>
            </w:r>
          </w:p>
        </w:tc>
      </w:tr>
    </w:tbl>
    <w:p w:rsidR="00C223F5" w:rsidRDefault="005860D5" w:rsidP="004173AA">
      <w:pPr>
        <w:jc w:val="center"/>
      </w:pPr>
      <w:r>
        <w:rPr>
          <w:rFonts w:hAnsi="Calibri" w:hint="eastAsia"/>
          <w:b/>
          <w:sz w:val="24"/>
        </w:rPr>
        <w:lastRenderedPageBreak/>
        <w:t>续</w:t>
      </w:r>
      <w:r>
        <w:rPr>
          <w:rFonts w:hAnsi="Calibri"/>
          <w:b/>
          <w:sz w:val="24"/>
        </w:rPr>
        <w:t>表</w:t>
      </w:r>
      <w:r>
        <w:rPr>
          <w:rFonts w:hint="eastAsia"/>
          <w:b/>
          <w:sz w:val="24"/>
        </w:rPr>
        <w:t xml:space="preserve">1  </w:t>
      </w:r>
      <w:r>
        <w:rPr>
          <w:rFonts w:hAnsi="Calibri"/>
          <w:b/>
          <w:sz w:val="24"/>
        </w:rPr>
        <w:t>本项目与相关</w:t>
      </w:r>
      <w:r>
        <w:rPr>
          <w:rFonts w:hAnsi="Calibri" w:hint="eastAsia"/>
          <w:b/>
          <w:sz w:val="24"/>
        </w:rPr>
        <w:t>政策及规划</w:t>
      </w:r>
      <w:r>
        <w:rPr>
          <w:rFonts w:hAnsi="Calibri"/>
          <w:b/>
          <w:sz w:val="24"/>
        </w:rPr>
        <w:t>相符性分析</w:t>
      </w:r>
    </w:p>
    <w:tbl>
      <w:tblPr>
        <w:tblW w:w="14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4A0" w:firstRow="1" w:lastRow="0" w:firstColumn="1" w:lastColumn="0" w:noHBand="0" w:noVBand="1"/>
      </w:tblPr>
      <w:tblGrid>
        <w:gridCol w:w="634"/>
        <w:gridCol w:w="2105"/>
        <w:gridCol w:w="6473"/>
        <w:gridCol w:w="4325"/>
        <w:gridCol w:w="874"/>
      </w:tblGrid>
      <w:tr w:rsidR="00C223F5">
        <w:trPr>
          <w:trHeight w:val="46"/>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序号</w:t>
            </w:r>
          </w:p>
        </w:tc>
        <w:tc>
          <w:tcPr>
            <w:tcW w:w="2105"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相关政策、规划</w:t>
            </w:r>
          </w:p>
        </w:tc>
        <w:tc>
          <w:tcPr>
            <w:tcW w:w="6473"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要求</w:t>
            </w:r>
          </w:p>
        </w:tc>
        <w:tc>
          <w:tcPr>
            <w:tcW w:w="4325"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本项目情况</w:t>
            </w:r>
          </w:p>
        </w:tc>
        <w:tc>
          <w:tcPr>
            <w:tcW w:w="874"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符合性</w:t>
            </w:r>
          </w:p>
        </w:tc>
      </w:tr>
      <w:tr w:rsidR="00C223F5">
        <w:trPr>
          <w:trHeight w:val="879"/>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8</w:t>
            </w:r>
          </w:p>
        </w:tc>
        <w:tc>
          <w:tcPr>
            <w:tcW w:w="2105" w:type="dxa"/>
            <w:shd w:val="clear" w:color="auto" w:fill="auto"/>
            <w:tcMar>
              <w:left w:w="85" w:type="dxa"/>
              <w:right w:w="85" w:type="dxa"/>
            </w:tcMar>
            <w:vAlign w:val="center"/>
          </w:tcPr>
          <w:p w:rsidR="00C223F5" w:rsidRDefault="005860D5" w:rsidP="004173AA">
            <w:pPr>
              <w:autoSpaceDE w:val="0"/>
              <w:autoSpaceDN w:val="0"/>
              <w:spacing w:line="260" w:lineRule="exact"/>
              <w:rPr>
                <w:rFonts w:hAnsi="宋体"/>
                <w:kern w:val="0"/>
                <w:szCs w:val="21"/>
              </w:rPr>
            </w:pPr>
            <w:r>
              <w:rPr>
                <w:rFonts w:hAnsi="宋体"/>
                <w:kern w:val="0"/>
                <w:szCs w:val="21"/>
              </w:rPr>
              <w:t>《陕西省“十三五”环境保护规划》</w:t>
            </w:r>
          </w:p>
        </w:tc>
        <w:tc>
          <w:tcPr>
            <w:tcW w:w="6473" w:type="dxa"/>
            <w:shd w:val="clear" w:color="auto" w:fill="auto"/>
            <w:tcMar>
              <w:left w:w="85" w:type="dxa"/>
              <w:right w:w="85" w:type="dxa"/>
            </w:tcMar>
            <w:vAlign w:val="center"/>
          </w:tcPr>
          <w:p w:rsidR="00C223F5" w:rsidRDefault="005860D5" w:rsidP="004173AA">
            <w:pPr>
              <w:autoSpaceDE w:val="0"/>
              <w:autoSpaceDN w:val="0"/>
              <w:spacing w:line="260" w:lineRule="exact"/>
              <w:rPr>
                <w:rFonts w:hAnsi="宋体"/>
                <w:spacing w:val="-4"/>
                <w:kern w:val="0"/>
                <w:szCs w:val="21"/>
              </w:rPr>
            </w:pPr>
            <w:r>
              <w:rPr>
                <w:rFonts w:hAnsi="宋体" w:hint="eastAsia"/>
                <w:spacing w:val="-4"/>
                <w:kern w:val="0"/>
                <w:szCs w:val="21"/>
              </w:rPr>
              <w:t>总目标：到</w:t>
            </w:r>
            <w:r>
              <w:rPr>
                <w:rFonts w:hAnsi="宋体"/>
                <w:spacing w:val="-4"/>
                <w:kern w:val="0"/>
                <w:szCs w:val="21"/>
              </w:rPr>
              <w:t>2020</w:t>
            </w:r>
            <w:r>
              <w:rPr>
                <w:rFonts w:hAnsi="宋体" w:hint="eastAsia"/>
                <w:spacing w:val="-4"/>
                <w:kern w:val="0"/>
                <w:szCs w:val="21"/>
              </w:rPr>
              <w:t>年，全省生态环境质量总体改善，主要污染物排放总量不断下降，</w:t>
            </w:r>
            <w:r>
              <w:rPr>
                <w:rFonts w:hAnsi="宋体" w:hint="eastAsia"/>
                <w:spacing w:val="-4"/>
                <w:kern w:val="0"/>
                <w:szCs w:val="21"/>
              </w:rPr>
              <w:t>......</w:t>
            </w:r>
            <w:r>
              <w:rPr>
                <w:rFonts w:hAnsi="宋体" w:hint="eastAsia"/>
                <w:spacing w:val="-4"/>
                <w:kern w:val="0"/>
                <w:szCs w:val="21"/>
              </w:rPr>
              <w:t>生态系统稳定性持续增强，环境基础设施与公共服务更加完善，环境治理体系和治理能力现代化取得重大进展，促进绿色发展水平明显提升</w:t>
            </w:r>
            <w:r>
              <w:rPr>
                <w:rFonts w:hAnsi="宋体" w:hint="eastAsia"/>
                <w:spacing w:val="-4"/>
                <w:kern w:val="0"/>
                <w:szCs w:val="21"/>
              </w:rPr>
              <w:t>......</w:t>
            </w:r>
            <w:r>
              <w:rPr>
                <w:rFonts w:hAnsi="宋体" w:hint="eastAsia"/>
                <w:spacing w:val="-4"/>
                <w:kern w:val="0"/>
                <w:szCs w:val="21"/>
              </w:rPr>
              <w:t>。并提出了环境质量、总量控制、环境风险、能力建设等具体指标</w:t>
            </w:r>
          </w:p>
        </w:tc>
        <w:tc>
          <w:tcPr>
            <w:tcW w:w="4325" w:type="dxa"/>
            <w:shd w:val="clear" w:color="auto" w:fill="auto"/>
            <w:tcMar>
              <w:left w:w="85" w:type="dxa"/>
              <w:right w:w="85" w:type="dxa"/>
            </w:tcMar>
            <w:vAlign w:val="center"/>
          </w:tcPr>
          <w:p w:rsidR="00C223F5" w:rsidRDefault="005860D5" w:rsidP="004173AA">
            <w:pPr>
              <w:autoSpaceDE w:val="0"/>
              <w:autoSpaceDN w:val="0"/>
              <w:spacing w:line="260" w:lineRule="exact"/>
              <w:rPr>
                <w:rFonts w:hAnsi="宋体"/>
                <w:kern w:val="0"/>
                <w:szCs w:val="21"/>
              </w:rPr>
            </w:pPr>
            <w:r>
              <w:rPr>
                <w:rFonts w:hAnsi="宋体" w:hint="eastAsia"/>
                <w:kern w:val="0"/>
                <w:szCs w:val="21"/>
              </w:rPr>
              <w:t>本项目建成运行后，生活污水全部回用，</w:t>
            </w:r>
            <w:r w:rsidRPr="003E6DA1">
              <w:rPr>
                <w:rFonts w:hAnsi="宋体" w:hint="eastAsia"/>
                <w:color w:val="FF0000"/>
                <w:kern w:val="0"/>
                <w:szCs w:val="21"/>
              </w:rPr>
              <w:t>矿井水</w:t>
            </w:r>
            <w:r w:rsidR="003E6DA1" w:rsidRPr="003E6DA1">
              <w:rPr>
                <w:rFonts w:hAnsi="宋体" w:hint="eastAsia"/>
                <w:color w:val="FF0000"/>
                <w:kern w:val="0"/>
                <w:szCs w:val="21"/>
              </w:rPr>
              <w:t>富余部分达标排至蚂蚁河，满足已有总量指标</w:t>
            </w:r>
            <w:r>
              <w:rPr>
                <w:rFonts w:hAnsi="宋体" w:hint="eastAsia"/>
                <w:kern w:val="0"/>
                <w:szCs w:val="21"/>
              </w:rPr>
              <w:t>；采用</w:t>
            </w:r>
            <w:r>
              <w:rPr>
                <w:rFonts w:eastAsia="新宋体" w:hint="eastAsia"/>
                <w:bCs/>
                <w:kern w:val="44"/>
                <w:szCs w:val="21"/>
              </w:rPr>
              <w:t>乏风余热及电锅炉采暖供热</w:t>
            </w:r>
            <w:r>
              <w:rPr>
                <w:rFonts w:hAnsi="宋体" w:hint="eastAsia"/>
                <w:szCs w:val="21"/>
              </w:rPr>
              <w:t>，</w:t>
            </w:r>
            <w:r>
              <w:rPr>
                <w:rFonts w:eastAsia="新宋体"/>
                <w:bCs/>
                <w:kern w:val="44"/>
                <w:szCs w:val="21"/>
              </w:rPr>
              <w:t>煤尘排放满足标准要求</w:t>
            </w:r>
            <w:r>
              <w:rPr>
                <w:rFonts w:hAnsi="宋体" w:hint="eastAsia"/>
                <w:kern w:val="0"/>
                <w:szCs w:val="21"/>
              </w:rPr>
              <w:t>；固体废弃物得到</w:t>
            </w:r>
            <w:r>
              <w:rPr>
                <w:rFonts w:hAnsi="宋体" w:hint="eastAsia"/>
                <w:kern w:val="0"/>
                <w:szCs w:val="21"/>
              </w:rPr>
              <w:t>100%</w:t>
            </w:r>
            <w:r>
              <w:rPr>
                <w:rFonts w:hAnsi="宋体" w:hint="eastAsia"/>
                <w:kern w:val="0"/>
                <w:szCs w:val="21"/>
              </w:rPr>
              <w:t>安全处置，</w:t>
            </w:r>
            <w:r>
              <w:rPr>
                <w:rFonts w:hAnsi="宋体"/>
                <w:kern w:val="0"/>
                <w:szCs w:val="21"/>
              </w:rPr>
              <w:t>采取</w:t>
            </w:r>
            <w:r>
              <w:rPr>
                <w:rFonts w:hAnsi="宋体" w:hint="eastAsia"/>
                <w:kern w:val="0"/>
                <w:szCs w:val="21"/>
              </w:rPr>
              <w:t>复垦</w:t>
            </w:r>
            <w:r>
              <w:rPr>
                <w:rFonts w:hAnsi="宋体"/>
                <w:kern w:val="0"/>
                <w:szCs w:val="21"/>
              </w:rPr>
              <w:t>、工程措施</w:t>
            </w:r>
            <w:r>
              <w:rPr>
                <w:rFonts w:hAnsi="宋体" w:hint="eastAsia"/>
                <w:kern w:val="0"/>
                <w:szCs w:val="21"/>
              </w:rPr>
              <w:t>，</w:t>
            </w:r>
            <w:r>
              <w:rPr>
                <w:rFonts w:hAnsi="宋体"/>
                <w:kern w:val="0"/>
                <w:szCs w:val="21"/>
              </w:rPr>
              <w:t>控制水土流失</w:t>
            </w:r>
            <w:r>
              <w:rPr>
                <w:rFonts w:hAnsi="宋体" w:hint="eastAsia"/>
                <w:kern w:val="0"/>
                <w:szCs w:val="21"/>
              </w:rPr>
              <w:t>，</w:t>
            </w:r>
            <w:r>
              <w:rPr>
                <w:rFonts w:hAnsi="宋体"/>
                <w:kern w:val="0"/>
                <w:szCs w:val="21"/>
              </w:rPr>
              <w:t>改善生态环境</w:t>
            </w:r>
          </w:p>
        </w:tc>
        <w:tc>
          <w:tcPr>
            <w:tcW w:w="874" w:type="dxa"/>
            <w:shd w:val="clear" w:color="auto" w:fill="auto"/>
            <w:tcMar>
              <w:left w:w="85" w:type="dxa"/>
              <w:right w:w="85" w:type="dxa"/>
            </w:tcMar>
            <w:vAlign w:val="center"/>
          </w:tcPr>
          <w:p w:rsidR="00C223F5" w:rsidRDefault="005860D5" w:rsidP="004173AA">
            <w:pPr>
              <w:spacing w:line="260" w:lineRule="exact"/>
              <w:jc w:val="center"/>
              <w:rPr>
                <w:szCs w:val="21"/>
              </w:rPr>
            </w:pPr>
            <w:r>
              <w:rPr>
                <w:kern w:val="0"/>
                <w:szCs w:val="21"/>
              </w:rPr>
              <w:t>符合</w:t>
            </w:r>
          </w:p>
        </w:tc>
      </w:tr>
      <w:tr w:rsidR="00C223F5">
        <w:trPr>
          <w:trHeight w:val="185"/>
          <w:jc w:val="center"/>
        </w:trPr>
        <w:tc>
          <w:tcPr>
            <w:tcW w:w="634" w:type="dxa"/>
            <w:shd w:val="clear" w:color="auto" w:fill="auto"/>
            <w:tcMar>
              <w:left w:w="85" w:type="dxa"/>
              <w:right w:w="85" w:type="dxa"/>
            </w:tcMar>
            <w:vAlign w:val="center"/>
          </w:tcPr>
          <w:p w:rsidR="00C223F5" w:rsidRDefault="005860D5" w:rsidP="004173AA">
            <w:pPr>
              <w:autoSpaceDE w:val="0"/>
              <w:autoSpaceDN w:val="0"/>
              <w:spacing w:line="260" w:lineRule="exact"/>
              <w:jc w:val="center"/>
              <w:rPr>
                <w:rFonts w:hAnsi="宋体"/>
                <w:kern w:val="0"/>
                <w:szCs w:val="21"/>
              </w:rPr>
            </w:pPr>
            <w:r>
              <w:rPr>
                <w:rFonts w:hAnsi="宋体" w:hint="eastAsia"/>
                <w:kern w:val="0"/>
                <w:szCs w:val="21"/>
              </w:rPr>
              <w:t>9</w:t>
            </w:r>
          </w:p>
        </w:tc>
        <w:tc>
          <w:tcPr>
            <w:tcW w:w="2105" w:type="dxa"/>
            <w:shd w:val="clear" w:color="auto" w:fill="auto"/>
            <w:tcMar>
              <w:left w:w="85" w:type="dxa"/>
              <w:right w:w="85" w:type="dxa"/>
            </w:tcMar>
            <w:vAlign w:val="center"/>
          </w:tcPr>
          <w:p w:rsidR="00C223F5" w:rsidRDefault="005860D5" w:rsidP="004173AA">
            <w:pPr>
              <w:autoSpaceDE w:val="0"/>
              <w:autoSpaceDN w:val="0"/>
              <w:spacing w:line="260" w:lineRule="exact"/>
              <w:rPr>
                <w:rFonts w:hAnsi="宋体"/>
                <w:kern w:val="0"/>
                <w:szCs w:val="21"/>
              </w:rPr>
            </w:pPr>
            <w:r>
              <w:rPr>
                <w:rFonts w:hAnsi="宋体" w:hint="eastAsia"/>
                <w:kern w:val="0"/>
                <w:szCs w:val="21"/>
              </w:rPr>
              <w:t>《陕西省</w:t>
            </w:r>
            <w:r>
              <w:rPr>
                <w:rFonts w:hAnsi="宋体"/>
                <w:kern w:val="0"/>
                <w:szCs w:val="21"/>
              </w:rPr>
              <w:t>“</w:t>
            </w:r>
            <w:r>
              <w:rPr>
                <w:rFonts w:hAnsi="宋体" w:hint="eastAsia"/>
                <w:kern w:val="0"/>
                <w:szCs w:val="21"/>
              </w:rPr>
              <w:t>十三五</w:t>
            </w:r>
            <w:r>
              <w:rPr>
                <w:rFonts w:hAnsi="宋体"/>
                <w:kern w:val="0"/>
                <w:szCs w:val="21"/>
              </w:rPr>
              <w:t>”生态环境</w:t>
            </w:r>
            <w:r>
              <w:rPr>
                <w:rFonts w:hAnsi="宋体" w:hint="eastAsia"/>
                <w:kern w:val="0"/>
                <w:szCs w:val="21"/>
              </w:rPr>
              <w:t>保护规划》</w:t>
            </w:r>
          </w:p>
        </w:tc>
        <w:tc>
          <w:tcPr>
            <w:tcW w:w="6473" w:type="dxa"/>
            <w:shd w:val="clear" w:color="auto" w:fill="auto"/>
            <w:tcMar>
              <w:left w:w="85" w:type="dxa"/>
              <w:right w:w="85" w:type="dxa"/>
            </w:tcMar>
            <w:vAlign w:val="center"/>
          </w:tcPr>
          <w:p w:rsidR="00C223F5" w:rsidRPr="00F81296" w:rsidRDefault="000F32AE" w:rsidP="004173AA">
            <w:pPr>
              <w:autoSpaceDE w:val="0"/>
              <w:autoSpaceDN w:val="0"/>
              <w:spacing w:line="260" w:lineRule="exact"/>
              <w:rPr>
                <w:rFonts w:hAnsi="宋体"/>
                <w:kern w:val="0"/>
                <w:szCs w:val="21"/>
              </w:rPr>
            </w:pPr>
            <w:r w:rsidRPr="00F81296">
              <w:rPr>
                <w:rFonts w:hAnsi="宋体"/>
                <w:kern w:val="0"/>
                <w:szCs w:val="21"/>
              </w:rPr>
              <w:fldChar w:fldCharType="begin"/>
            </w:r>
            <w:r w:rsidR="005860D5" w:rsidRPr="00F81296">
              <w:rPr>
                <w:rFonts w:hAnsi="宋体" w:hint="eastAsia"/>
                <w:kern w:val="0"/>
                <w:szCs w:val="21"/>
              </w:rPr>
              <w:instrText>= 1 \* GB3</w:instrText>
            </w:r>
            <w:r w:rsidRPr="00F81296">
              <w:rPr>
                <w:rFonts w:hAnsi="宋体"/>
                <w:kern w:val="0"/>
                <w:szCs w:val="21"/>
              </w:rPr>
              <w:fldChar w:fldCharType="separate"/>
            </w:r>
            <w:r w:rsidR="005860D5" w:rsidRPr="00F81296">
              <w:rPr>
                <w:rFonts w:hAnsi="宋体" w:hint="eastAsia"/>
                <w:kern w:val="0"/>
                <w:szCs w:val="21"/>
              </w:rPr>
              <w:t>①</w:t>
            </w:r>
            <w:r w:rsidRPr="00F81296">
              <w:rPr>
                <w:rFonts w:hAnsi="宋体"/>
                <w:kern w:val="0"/>
                <w:szCs w:val="21"/>
              </w:rPr>
              <w:fldChar w:fldCharType="end"/>
            </w:r>
            <w:r w:rsidR="005860D5" w:rsidRPr="00F81296">
              <w:rPr>
                <w:rFonts w:hAnsi="宋体" w:hint="eastAsia"/>
                <w:kern w:val="0"/>
                <w:szCs w:val="21"/>
              </w:rPr>
              <w:t>严格控制资源开发强度，确保生态红线区域功能不降低、面积不减少，性质不改变，资源使用不超限；</w:t>
            </w:r>
          </w:p>
          <w:p w:rsidR="00C223F5" w:rsidRPr="00F81296" w:rsidRDefault="000F32AE" w:rsidP="004173AA">
            <w:pPr>
              <w:autoSpaceDE w:val="0"/>
              <w:autoSpaceDN w:val="0"/>
              <w:spacing w:line="260" w:lineRule="exact"/>
              <w:rPr>
                <w:rFonts w:hAnsi="宋体"/>
                <w:kern w:val="0"/>
                <w:szCs w:val="21"/>
              </w:rPr>
            </w:pPr>
            <w:r w:rsidRPr="00F81296">
              <w:rPr>
                <w:rFonts w:hAnsi="宋体"/>
                <w:kern w:val="0"/>
                <w:szCs w:val="21"/>
              </w:rPr>
              <w:fldChar w:fldCharType="begin"/>
            </w:r>
            <w:r w:rsidR="005860D5" w:rsidRPr="00F81296">
              <w:rPr>
                <w:rFonts w:hAnsi="宋体" w:hint="eastAsia"/>
                <w:kern w:val="0"/>
                <w:szCs w:val="21"/>
              </w:rPr>
              <w:instrText>= 2 \* GB3</w:instrText>
            </w:r>
            <w:r w:rsidRPr="00F81296">
              <w:rPr>
                <w:rFonts w:hAnsi="宋体"/>
                <w:kern w:val="0"/>
                <w:szCs w:val="21"/>
              </w:rPr>
              <w:fldChar w:fldCharType="separate"/>
            </w:r>
            <w:r w:rsidR="005860D5" w:rsidRPr="00F81296">
              <w:rPr>
                <w:rFonts w:hAnsi="宋体" w:hint="eastAsia"/>
                <w:kern w:val="0"/>
                <w:szCs w:val="21"/>
              </w:rPr>
              <w:t>②</w:t>
            </w:r>
            <w:r w:rsidRPr="00F81296">
              <w:rPr>
                <w:rFonts w:hAnsi="宋体"/>
                <w:kern w:val="0"/>
                <w:szCs w:val="21"/>
              </w:rPr>
              <w:fldChar w:fldCharType="end"/>
            </w:r>
            <w:r w:rsidR="005860D5" w:rsidRPr="00F81296">
              <w:rPr>
                <w:rFonts w:hAnsi="宋体" w:hint="eastAsia"/>
                <w:kern w:val="0"/>
                <w:szCs w:val="21"/>
              </w:rPr>
              <w:t>推进陕北转型持续发展，坚持能源与非能源产业并重</w:t>
            </w:r>
            <w:r w:rsidR="005860D5" w:rsidRPr="00F81296">
              <w:rPr>
                <w:rFonts w:hAnsi="宋体"/>
                <w:kern w:val="0"/>
                <w:szCs w:val="21"/>
              </w:rPr>
              <w:t>……</w:t>
            </w:r>
            <w:r w:rsidR="005860D5" w:rsidRPr="00F81296">
              <w:rPr>
                <w:rFonts w:hAnsi="宋体" w:hint="eastAsia"/>
                <w:kern w:val="0"/>
                <w:szCs w:val="21"/>
              </w:rPr>
              <w:t>加强开采沉陷区综合治理，构筑生态安全屏障；</w:t>
            </w:r>
          </w:p>
          <w:p w:rsidR="00C223F5" w:rsidRPr="00F81296" w:rsidRDefault="000F32AE" w:rsidP="004173AA">
            <w:pPr>
              <w:autoSpaceDE w:val="0"/>
              <w:autoSpaceDN w:val="0"/>
              <w:spacing w:line="260" w:lineRule="exact"/>
              <w:rPr>
                <w:rFonts w:hAnsi="宋体"/>
                <w:kern w:val="0"/>
                <w:szCs w:val="21"/>
              </w:rPr>
            </w:pPr>
            <w:r w:rsidRPr="00F81296">
              <w:rPr>
                <w:rFonts w:hAnsi="宋体"/>
                <w:kern w:val="0"/>
                <w:szCs w:val="21"/>
              </w:rPr>
              <w:fldChar w:fldCharType="begin"/>
            </w:r>
            <w:r w:rsidR="005860D5" w:rsidRPr="00F81296">
              <w:rPr>
                <w:rFonts w:hAnsi="宋体" w:hint="eastAsia"/>
                <w:kern w:val="0"/>
                <w:szCs w:val="21"/>
              </w:rPr>
              <w:instrText>= 3 \* GB3</w:instrText>
            </w:r>
            <w:r w:rsidRPr="00F81296">
              <w:rPr>
                <w:rFonts w:hAnsi="宋体"/>
                <w:kern w:val="0"/>
                <w:szCs w:val="21"/>
              </w:rPr>
              <w:fldChar w:fldCharType="separate"/>
            </w:r>
            <w:r w:rsidR="005860D5" w:rsidRPr="00F81296">
              <w:rPr>
                <w:rFonts w:hAnsi="宋体" w:hint="eastAsia"/>
                <w:kern w:val="0"/>
                <w:szCs w:val="21"/>
              </w:rPr>
              <w:t>③</w:t>
            </w:r>
            <w:r w:rsidRPr="00F81296">
              <w:rPr>
                <w:rFonts w:hAnsi="宋体"/>
                <w:kern w:val="0"/>
                <w:szCs w:val="21"/>
              </w:rPr>
              <w:fldChar w:fldCharType="end"/>
            </w:r>
            <w:r w:rsidR="005860D5" w:rsidRPr="00F81296">
              <w:rPr>
                <w:rFonts w:hAnsi="宋体" w:hint="eastAsia"/>
                <w:kern w:val="0"/>
                <w:szCs w:val="21"/>
              </w:rPr>
              <w:t>提升工地扬尘管控水平，开展工业堆场扬尘专项治理</w:t>
            </w:r>
            <w:r w:rsidR="005860D5" w:rsidRPr="00F81296">
              <w:rPr>
                <w:rFonts w:hAnsi="宋体"/>
                <w:kern w:val="0"/>
                <w:szCs w:val="21"/>
              </w:rPr>
              <w:t>…</w:t>
            </w:r>
            <w:r w:rsidR="005860D5" w:rsidRPr="00F81296">
              <w:rPr>
                <w:rFonts w:hAnsi="宋体" w:hint="eastAsia"/>
                <w:kern w:val="0"/>
                <w:szCs w:val="21"/>
              </w:rPr>
              <w:t>..</w:t>
            </w:r>
            <w:r w:rsidR="005860D5" w:rsidRPr="00F81296">
              <w:rPr>
                <w:rFonts w:hAnsi="宋体" w:hint="eastAsia"/>
                <w:kern w:val="0"/>
                <w:szCs w:val="21"/>
              </w:rPr>
              <w:t>冬防期间严格执行“禁土令”；</w:t>
            </w:r>
          </w:p>
          <w:p w:rsidR="00C223F5" w:rsidRPr="00F81296" w:rsidRDefault="000F32AE" w:rsidP="004173AA">
            <w:pPr>
              <w:autoSpaceDE w:val="0"/>
              <w:autoSpaceDN w:val="0"/>
              <w:spacing w:line="260" w:lineRule="exact"/>
              <w:rPr>
                <w:rFonts w:hAnsi="宋体"/>
                <w:kern w:val="0"/>
                <w:szCs w:val="21"/>
              </w:rPr>
            </w:pPr>
            <w:r w:rsidRPr="00F81296">
              <w:rPr>
                <w:rFonts w:hAnsi="宋体"/>
                <w:kern w:val="0"/>
                <w:szCs w:val="21"/>
              </w:rPr>
              <w:fldChar w:fldCharType="begin"/>
            </w:r>
            <w:r w:rsidR="005860D5" w:rsidRPr="00F81296">
              <w:rPr>
                <w:rFonts w:hAnsi="宋体" w:hint="eastAsia"/>
                <w:kern w:val="0"/>
                <w:szCs w:val="21"/>
              </w:rPr>
              <w:instrText>= 4 \* GB3</w:instrText>
            </w:r>
            <w:r w:rsidRPr="00F81296">
              <w:rPr>
                <w:rFonts w:hAnsi="宋体"/>
                <w:kern w:val="0"/>
                <w:szCs w:val="21"/>
              </w:rPr>
              <w:fldChar w:fldCharType="separate"/>
            </w:r>
            <w:r w:rsidR="005860D5" w:rsidRPr="00F81296">
              <w:rPr>
                <w:rFonts w:hAnsi="宋体" w:hint="eastAsia"/>
                <w:kern w:val="0"/>
                <w:szCs w:val="21"/>
              </w:rPr>
              <w:t>④</w:t>
            </w:r>
            <w:r w:rsidRPr="00F81296">
              <w:rPr>
                <w:rFonts w:hAnsi="宋体"/>
                <w:kern w:val="0"/>
                <w:szCs w:val="21"/>
              </w:rPr>
              <w:fldChar w:fldCharType="end"/>
            </w:r>
            <w:r w:rsidR="005860D5" w:rsidRPr="00F81296">
              <w:rPr>
                <w:rFonts w:hAnsi="宋体" w:hint="eastAsia"/>
                <w:kern w:val="0"/>
                <w:szCs w:val="21"/>
              </w:rPr>
              <w:t>继续扩大煤矸石发电、生产建材、复垦绿化、井下充填等利用规模。</w:t>
            </w:r>
          </w:p>
        </w:tc>
        <w:tc>
          <w:tcPr>
            <w:tcW w:w="4325" w:type="dxa"/>
            <w:shd w:val="clear" w:color="auto" w:fill="auto"/>
            <w:tcMar>
              <w:left w:w="85" w:type="dxa"/>
              <w:right w:w="85" w:type="dxa"/>
            </w:tcMar>
            <w:vAlign w:val="center"/>
          </w:tcPr>
          <w:p w:rsidR="00C223F5" w:rsidRPr="00F81296" w:rsidRDefault="005860D5" w:rsidP="004173AA">
            <w:pPr>
              <w:autoSpaceDE w:val="0"/>
              <w:autoSpaceDN w:val="0"/>
              <w:spacing w:line="264" w:lineRule="auto"/>
              <w:rPr>
                <w:rFonts w:hAnsi="宋体"/>
                <w:kern w:val="0"/>
                <w:szCs w:val="21"/>
              </w:rPr>
            </w:pPr>
            <w:r w:rsidRPr="00F81296">
              <w:rPr>
                <w:rFonts w:hAnsi="宋体" w:hint="eastAsia"/>
                <w:kern w:val="0"/>
                <w:szCs w:val="21"/>
              </w:rPr>
              <w:t>本项目</w:t>
            </w:r>
            <w:r w:rsidRPr="00F81296">
              <w:rPr>
                <w:rFonts w:hAnsi="宋体" w:hint="eastAsia"/>
                <w:b/>
                <w:kern w:val="0"/>
                <w:szCs w:val="21"/>
              </w:rPr>
              <w:t>开采区不涉及各类自然保护区等</w:t>
            </w:r>
            <w:r w:rsidRPr="00F81296">
              <w:rPr>
                <w:rFonts w:hAnsi="宋体" w:hint="eastAsia"/>
                <w:kern w:val="0"/>
                <w:szCs w:val="21"/>
              </w:rPr>
              <w:t>生态红线，</w:t>
            </w:r>
            <w:r w:rsidRPr="00F81296">
              <w:rPr>
                <w:szCs w:val="21"/>
              </w:rPr>
              <w:t>扰动土地整治率达</w:t>
            </w:r>
            <w:r w:rsidRPr="00F81296">
              <w:rPr>
                <w:szCs w:val="21"/>
              </w:rPr>
              <w:t>95%</w:t>
            </w:r>
            <w:r w:rsidRPr="00F81296">
              <w:rPr>
                <w:rFonts w:hint="eastAsia"/>
                <w:szCs w:val="21"/>
              </w:rPr>
              <w:t>，</w:t>
            </w:r>
            <w:r w:rsidRPr="00F81296">
              <w:rPr>
                <w:rFonts w:hAnsi="宋体" w:hint="eastAsia"/>
                <w:kern w:val="0"/>
                <w:szCs w:val="21"/>
              </w:rPr>
              <w:t>开采沉陷区治理率</w:t>
            </w:r>
            <w:r w:rsidRPr="00F81296">
              <w:rPr>
                <w:rFonts w:hAnsi="宋体" w:hint="eastAsia"/>
                <w:kern w:val="0"/>
                <w:szCs w:val="21"/>
              </w:rPr>
              <w:t>100%</w:t>
            </w:r>
            <w:r w:rsidRPr="00F81296">
              <w:rPr>
                <w:rFonts w:hAnsi="宋体" w:hint="eastAsia"/>
                <w:kern w:val="0"/>
                <w:szCs w:val="21"/>
              </w:rPr>
              <w:t>，开采煤炭均采用仓储，不露天；建设期采取有效的扬尘治理措施，掘进矸石</w:t>
            </w:r>
            <w:r w:rsidR="00DF7CF7" w:rsidRPr="00F81296">
              <w:rPr>
                <w:rFonts w:hAnsi="宋体" w:hint="eastAsia"/>
                <w:kern w:val="0"/>
                <w:szCs w:val="21"/>
              </w:rPr>
              <w:t>不出井</w:t>
            </w:r>
            <w:r w:rsidRPr="00F81296">
              <w:rPr>
                <w:rFonts w:hAnsi="宋体" w:hint="eastAsia"/>
                <w:kern w:val="0"/>
                <w:szCs w:val="21"/>
              </w:rPr>
              <w:t>，洗选矸石综合利用或回填井下</w:t>
            </w:r>
          </w:p>
        </w:tc>
        <w:tc>
          <w:tcPr>
            <w:tcW w:w="874" w:type="dxa"/>
            <w:shd w:val="clear" w:color="auto" w:fill="auto"/>
            <w:tcMar>
              <w:left w:w="85" w:type="dxa"/>
              <w:right w:w="85" w:type="dxa"/>
            </w:tcMar>
            <w:vAlign w:val="center"/>
          </w:tcPr>
          <w:p w:rsidR="00C223F5" w:rsidRDefault="005860D5" w:rsidP="004173AA">
            <w:pPr>
              <w:spacing w:line="260" w:lineRule="exact"/>
              <w:jc w:val="center"/>
              <w:rPr>
                <w:kern w:val="0"/>
                <w:szCs w:val="21"/>
              </w:rPr>
            </w:pPr>
            <w:r>
              <w:rPr>
                <w:kern w:val="0"/>
                <w:szCs w:val="21"/>
              </w:rPr>
              <w:t>符合</w:t>
            </w:r>
          </w:p>
        </w:tc>
      </w:tr>
      <w:tr w:rsidR="00C223F5">
        <w:trPr>
          <w:trHeight w:val="28"/>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10</w:t>
            </w:r>
          </w:p>
        </w:tc>
        <w:tc>
          <w:tcPr>
            <w:tcW w:w="2105" w:type="dxa"/>
            <w:shd w:val="clear" w:color="auto" w:fill="auto"/>
            <w:tcMar>
              <w:left w:w="85" w:type="dxa"/>
              <w:right w:w="85" w:type="dxa"/>
            </w:tcMar>
            <w:vAlign w:val="center"/>
          </w:tcPr>
          <w:p w:rsidR="00C223F5" w:rsidRDefault="005860D5" w:rsidP="004173AA">
            <w:pPr>
              <w:spacing w:line="260" w:lineRule="exact"/>
              <w:rPr>
                <w:szCs w:val="21"/>
              </w:rPr>
            </w:pPr>
            <w:r>
              <w:rPr>
                <w:szCs w:val="21"/>
              </w:rPr>
              <w:t>《</w:t>
            </w:r>
            <w:r>
              <w:rPr>
                <w:rFonts w:hint="eastAsia"/>
                <w:szCs w:val="21"/>
              </w:rPr>
              <w:t>陕西铁腕治霾打赢蓝天保卫战三年行动方案（</w:t>
            </w:r>
            <w:r>
              <w:rPr>
                <w:rFonts w:hint="eastAsia"/>
                <w:szCs w:val="21"/>
              </w:rPr>
              <w:t>2018-2020</w:t>
            </w:r>
            <w:r>
              <w:rPr>
                <w:rFonts w:hint="eastAsia"/>
                <w:szCs w:val="21"/>
              </w:rPr>
              <w:t>年）</w:t>
            </w:r>
            <w:r>
              <w:rPr>
                <w:szCs w:val="21"/>
              </w:rPr>
              <w:t>》</w:t>
            </w:r>
            <w:bookmarkStart w:id="30" w:name="_Hlk9843809"/>
            <w:r>
              <w:rPr>
                <w:color w:val="000000"/>
                <w:szCs w:val="21"/>
              </w:rPr>
              <w:t>（修订版）</w:t>
            </w:r>
            <w:bookmarkEnd w:id="30"/>
          </w:p>
        </w:tc>
        <w:tc>
          <w:tcPr>
            <w:tcW w:w="6473" w:type="dxa"/>
            <w:shd w:val="clear" w:color="auto" w:fill="auto"/>
            <w:tcMar>
              <w:left w:w="85" w:type="dxa"/>
              <w:right w:w="85" w:type="dxa"/>
            </w:tcMar>
            <w:vAlign w:val="center"/>
          </w:tcPr>
          <w:p w:rsidR="00C223F5" w:rsidRPr="00F81296" w:rsidRDefault="005860D5" w:rsidP="004173AA">
            <w:pPr>
              <w:spacing w:line="264" w:lineRule="auto"/>
              <w:rPr>
                <w:spacing w:val="-6"/>
                <w:szCs w:val="21"/>
              </w:rPr>
            </w:pPr>
            <w:r w:rsidRPr="00F81296">
              <w:rPr>
                <w:spacing w:val="-6"/>
                <w:szCs w:val="21"/>
              </w:rPr>
              <w:t>加强物料堆场扬尘监管。严格落实煤炭、商品混凝土、粉煤灰等工业企业物料堆场抑尘措施，配套建设收尘和密封物料仓库，建设围墙、喷淋、覆盖和围挡等防风抑尘措施。采用密闭输送设备作业的，必须在装卸处配备吸尘、喷淋等防尘设施，并保持防尘设施的正常使用，严禁露天装卸作业和物料干法作业。全省不再新建每小时</w:t>
            </w:r>
            <w:r w:rsidRPr="00F81296">
              <w:rPr>
                <w:spacing w:val="-6"/>
                <w:szCs w:val="21"/>
              </w:rPr>
              <w:t>35</w:t>
            </w:r>
            <w:r w:rsidRPr="00F81296">
              <w:rPr>
                <w:spacing w:val="-6"/>
                <w:szCs w:val="21"/>
              </w:rPr>
              <w:t>蒸吨以下的燃煤锅炉。</w:t>
            </w:r>
          </w:p>
        </w:tc>
        <w:tc>
          <w:tcPr>
            <w:tcW w:w="4325" w:type="dxa"/>
            <w:shd w:val="clear" w:color="auto" w:fill="auto"/>
            <w:tcMar>
              <w:left w:w="85" w:type="dxa"/>
              <w:right w:w="85" w:type="dxa"/>
            </w:tcMar>
            <w:vAlign w:val="center"/>
          </w:tcPr>
          <w:p w:rsidR="00C223F5" w:rsidRPr="00F81296" w:rsidRDefault="005860D5" w:rsidP="004173AA">
            <w:pPr>
              <w:spacing w:line="260" w:lineRule="exact"/>
              <w:rPr>
                <w:szCs w:val="21"/>
              </w:rPr>
            </w:pPr>
            <w:r w:rsidRPr="00F81296">
              <w:rPr>
                <w:szCs w:val="21"/>
              </w:rPr>
              <w:t>矿井建设</w:t>
            </w:r>
            <w:r w:rsidRPr="00F81296">
              <w:rPr>
                <w:rFonts w:hint="eastAsia"/>
                <w:szCs w:val="21"/>
              </w:rPr>
              <w:t>配套</w:t>
            </w:r>
            <w:r w:rsidRPr="00F81296">
              <w:rPr>
                <w:szCs w:val="21"/>
              </w:rPr>
              <w:t>洗煤厂，</w:t>
            </w:r>
            <w:r w:rsidRPr="00F81296">
              <w:rPr>
                <w:rFonts w:hint="eastAsia"/>
                <w:szCs w:val="21"/>
              </w:rPr>
              <w:t>采用密闭带式输送机，</w:t>
            </w:r>
            <w:r w:rsidRPr="00F81296">
              <w:rPr>
                <w:szCs w:val="21"/>
              </w:rPr>
              <w:t>产煤尘</w:t>
            </w:r>
            <w:r w:rsidRPr="00F81296">
              <w:rPr>
                <w:rFonts w:hint="eastAsia"/>
                <w:szCs w:val="21"/>
              </w:rPr>
              <w:t>点</w:t>
            </w:r>
            <w:r w:rsidRPr="00F81296">
              <w:rPr>
                <w:szCs w:val="21"/>
              </w:rPr>
              <w:t>设置</w:t>
            </w:r>
            <w:r w:rsidRPr="00F81296">
              <w:rPr>
                <w:rFonts w:hint="eastAsia"/>
                <w:szCs w:val="21"/>
              </w:rPr>
              <w:t>干</w:t>
            </w:r>
            <w:r w:rsidRPr="00F81296">
              <w:rPr>
                <w:szCs w:val="21"/>
              </w:rPr>
              <w:t>雾</w:t>
            </w:r>
            <w:r w:rsidRPr="00F81296">
              <w:rPr>
                <w:rFonts w:hint="eastAsia"/>
                <w:szCs w:val="21"/>
              </w:rPr>
              <w:t>抑尘</w:t>
            </w:r>
            <w:r w:rsidRPr="00F81296">
              <w:rPr>
                <w:szCs w:val="21"/>
              </w:rPr>
              <w:t>装置</w:t>
            </w:r>
            <w:r w:rsidRPr="00F81296">
              <w:rPr>
                <w:rFonts w:hint="eastAsia"/>
                <w:szCs w:val="21"/>
              </w:rPr>
              <w:t>；筛破系统位于车间内，加装集尘设施及干雾抑尘设备，车间洒水降尘；在主厂房设干雾抑尘装置；原煤、产品及选矸采用仓储，产尘点抑尘洒水</w:t>
            </w:r>
          </w:p>
        </w:tc>
        <w:tc>
          <w:tcPr>
            <w:tcW w:w="874" w:type="dxa"/>
            <w:shd w:val="clear" w:color="auto" w:fill="auto"/>
            <w:tcMar>
              <w:left w:w="85" w:type="dxa"/>
              <w:right w:w="85" w:type="dxa"/>
            </w:tcMar>
            <w:vAlign w:val="center"/>
          </w:tcPr>
          <w:p w:rsidR="00C223F5" w:rsidRDefault="005860D5" w:rsidP="004173AA">
            <w:pPr>
              <w:spacing w:line="260" w:lineRule="exact"/>
              <w:jc w:val="center"/>
              <w:rPr>
                <w:szCs w:val="21"/>
              </w:rPr>
            </w:pPr>
            <w:r>
              <w:rPr>
                <w:szCs w:val="21"/>
              </w:rPr>
              <w:t>符合</w:t>
            </w:r>
          </w:p>
        </w:tc>
      </w:tr>
      <w:tr w:rsidR="00C223F5">
        <w:trPr>
          <w:trHeight w:val="28"/>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11</w:t>
            </w:r>
          </w:p>
        </w:tc>
        <w:tc>
          <w:tcPr>
            <w:tcW w:w="2105" w:type="dxa"/>
            <w:shd w:val="clear" w:color="auto" w:fill="auto"/>
            <w:tcMar>
              <w:left w:w="85" w:type="dxa"/>
              <w:right w:w="85" w:type="dxa"/>
            </w:tcMar>
            <w:vAlign w:val="center"/>
          </w:tcPr>
          <w:p w:rsidR="00C223F5" w:rsidRDefault="005860D5" w:rsidP="004173AA">
            <w:pPr>
              <w:spacing w:line="264" w:lineRule="auto"/>
              <w:jc w:val="center"/>
              <w:rPr>
                <w:szCs w:val="21"/>
              </w:rPr>
            </w:pPr>
            <w:r>
              <w:rPr>
                <w:rFonts w:hAnsi="宋体"/>
                <w:bCs/>
                <w:szCs w:val="21"/>
              </w:rPr>
              <w:t>《陕西省矿产资源开发</w:t>
            </w:r>
            <w:r>
              <w:rPr>
                <w:bCs/>
                <w:szCs w:val="21"/>
              </w:rPr>
              <w:t>“</w:t>
            </w:r>
            <w:r>
              <w:rPr>
                <w:rFonts w:hAnsi="宋体"/>
                <w:bCs/>
                <w:szCs w:val="21"/>
              </w:rPr>
              <w:t>保</w:t>
            </w:r>
            <w:r>
              <w:rPr>
                <w:bCs/>
                <w:szCs w:val="21"/>
              </w:rPr>
              <w:t>生态治污染</w:t>
            </w:r>
            <w:r>
              <w:rPr>
                <w:bCs/>
                <w:szCs w:val="21"/>
              </w:rPr>
              <w:t>”</w:t>
            </w:r>
            <w:r>
              <w:rPr>
                <w:bCs/>
                <w:szCs w:val="21"/>
              </w:rPr>
              <w:t>行动方案（</w:t>
            </w:r>
            <w:r>
              <w:rPr>
                <w:bCs/>
                <w:szCs w:val="21"/>
              </w:rPr>
              <w:t>2016-2020</w:t>
            </w:r>
            <w:r>
              <w:rPr>
                <w:bCs/>
                <w:szCs w:val="21"/>
              </w:rPr>
              <w:t>年）》</w:t>
            </w:r>
          </w:p>
        </w:tc>
        <w:tc>
          <w:tcPr>
            <w:tcW w:w="6473" w:type="dxa"/>
            <w:shd w:val="clear" w:color="auto" w:fill="auto"/>
            <w:tcMar>
              <w:left w:w="85" w:type="dxa"/>
              <w:right w:w="85" w:type="dxa"/>
            </w:tcMar>
            <w:vAlign w:val="center"/>
          </w:tcPr>
          <w:p w:rsidR="00C223F5" w:rsidRPr="00F81296" w:rsidRDefault="005860D5" w:rsidP="004173AA">
            <w:pPr>
              <w:spacing w:line="264" w:lineRule="auto"/>
              <w:jc w:val="left"/>
              <w:rPr>
                <w:szCs w:val="21"/>
              </w:rPr>
            </w:pPr>
            <w:r w:rsidRPr="00F81296">
              <w:rPr>
                <w:rFonts w:hAnsi="宋体"/>
                <w:szCs w:val="21"/>
              </w:rPr>
              <w:t>工作目标：尾矿和废渣得到有效处置，利用率达</w:t>
            </w:r>
            <w:r w:rsidRPr="00F81296">
              <w:rPr>
                <w:szCs w:val="21"/>
              </w:rPr>
              <w:t>60%</w:t>
            </w:r>
            <w:r w:rsidRPr="00F81296">
              <w:rPr>
                <w:rFonts w:hAnsi="宋体"/>
                <w:szCs w:val="21"/>
              </w:rPr>
              <w:t>以上，矿山生态环境恢复治理率达到</w:t>
            </w:r>
            <w:r w:rsidRPr="00F81296">
              <w:rPr>
                <w:szCs w:val="21"/>
              </w:rPr>
              <w:t>80%</w:t>
            </w:r>
            <w:r w:rsidRPr="00F81296">
              <w:rPr>
                <w:rFonts w:hint="eastAsia"/>
                <w:szCs w:val="21"/>
              </w:rPr>
              <w:t>。</w:t>
            </w:r>
            <w:r w:rsidRPr="00F81296">
              <w:rPr>
                <w:rFonts w:hAnsi="宋体"/>
                <w:szCs w:val="21"/>
              </w:rPr>
              <w:t>工作任务：</w:t>
            </w:r>
            <w:r w:rsidRPr="00F81296">
              <w:rPr>
                <w:rFonts w:hAnsi="宋体"/>
                <w:bCs/>
                <w:szCs w:val="21"/>
              </w:rPr>
              <w:t>强化矿山地质环境治理</w:t>
            </w:r>
            <w:r w:rsidRPr="00F81296">
              <w:rPr>
                <w:rFonts w:hint="eastAsia"/>
                <w:bCs/>
                <w:szCs w:val="21"/>
              </w:rPr>
              <w:t>...</w:t>
            </w:r>
            <w:r w:rsidRPr="00F81296">
              <w:rPr>
                <w:rFonts w:hAnsi="宋体"/>
                <w:szCs w:val="21"/>
              </w:rPr>
              <w:t>严格按规定缴纳矿山地质环境治理恢复保证金；</w:t>
            </w:r>
            <w:r w:rsidRPr="00F81296">
              <w:rPr>
                <w:rFonts w:hAnsi="宋体"/>
                <w:bCs/>
                <w:szCs w:val="21"/>
              </w:rPr>
              <w:t>源头控制扬尘污染</w:t>
            </w:r>
            <w:r w:rsidRPr="00F81296">
              <w:rPr>
                <w:rFonts w:hint="eastAsia"/>
                <w:bCs/>
                <w:szCs w:val="21"/>
              </w:rPr>
              <w:t>...</w:t>
            </w:r>
            <w:r w:rsidRPr="00F81296">
              <w:rPr>
                <w:rFonts w:hAnsi="宋体"/>
                <w:szCs w:val="21"/>
              </w:rPr>
              <w:t>对破碎加工工段实行封闭式生产，对扬尘点安装喷淋装置，输送廊道实行全封闭，对成品堆放区实行封闭管理并采取抑尘措施，设置不低于堆放物高度的密闭围栏，并按规范建设防风抑尘网，安装喷淋抑尘设施，完善物料堆场抑尘措施</w:t>
            </w:r>
            <w:r w:rsidRPr="00F81296">
              <w:rPr>
                <w:rFonts w:hAnsi="宋体" w:hint="eastAsia"/>
                <w:szCs w:val="21"/>
              </w:rPr>
              <w:t>。</w:t>
            </w:r>
          </w:p>
        </w:tc>
        <w:tc>
          <w:tcPr>
            <w:tcW w:w="4325" w:type="dxa"/>
            <w:shd w:val="clear" w:color="auto" w:fill="auto"/>
            <w:tcMar>
              <w:left w:w="85" w:type="dxa"/>
              <w:right w:w="85" w:type="dxa"/>
            </w:tcMar>
            <w:vAlign w:val="center"/>
          </w:tcPr>
          <w:p w:rsidR="00C223F5" w:rsidRPr="00F81296" w:rsidRDefault="000F32AE" w:rsidP="004173AA">
            <w:pPr>
              <w:spacing w:line="260" w:lineRule="exact"/>
              <w:jc w:val="left"/>
              <w:rPr>
                <w:szCs w:val="21"/>
              </w:rPr>
            </w:pPr>
            <w:r w:rsidRPr="00F81296">
              <w:rPr>
                <w:szCs w:val="21"/>
              </w:rPr>
              <w:fldChar w:fldCharType="begin"/>
            </w:r>
            <w:r w:rsidR="005860D5" w:rsidRPr="00F81296">
              <w:rPr>
                <w:rFonts w:hint="eastAsia"/>
                <w:szCs w:val="21"/>
              </w:rPr>
              <w:instrText>= 1 \* GB3</w:instrText>
            </w:r>
            <w:r w:rsidRPr="00F81296">
              <w:rPr>
                <w:szCs w:val="21"/>
              </w:rPr>
              <w:fldChar w:fldCharType="separate"/>
            </w:r>
            <w:r w:rsidR="005860D5" w:rsidRPr="00F81296">
              <w:rPr>
                <w:rFonts w:hint="eastAsia"/>
                <w:szCs w:val="21"/>
              </w:rPr>
              <w:t>①</w:t>
            </w:r>
            <w:r w:rsidRPr="00F81296">
              <w:rPr>
                <w:szCs w:val="21"/>
              </w:rPr>
              <w:fldChar w:fldCharType="end"/>
            </w:r>
            <w:r w:rsidR="005860D5" w:rsidRPr="00F81296">
              <w:rPr>
                <w:rFonts w:eastAsiaTheme="minorEastAsia"/>
                <w:szCs w:val="21"/>
              </w:rPr>
              <w:t>建设期掘进矸石</w:t>
            </w:r>
            <w:r w:rsidR="005860D5" w:rsidRPr="00F81296">
              <w:rPr>
                <w:rFonts w:eastAsiaTheme="minorEastAsia" w:hint="eastAsia"/>
                <w:szCs w:val="21"/>
              </w:rPr>
              <w:t>用于铺路和综合利用</w:t>
            </w:r>
            <w:r w:rsidR="005860D5" w:rsidRPr="00F81296">
              <w:rPr>
                <w:rFonts w:eastAsiaTheme="minorEastAsia"/>
                <w:szCs w:val="21"/>
              </w:rPr>
              <w:t>，</w:t>
            </w:r>
            <w:r w:rsidR="005860D5" w:rsidRPr="00F81296">
              <w:rPr>
                <w:szCs w:val="21"/>
              </w:rPr>
              <w:t>运行期掘进矸石</w:t>
            </w:r>
            <w:r w:rsidR="00DF7CF7" w:rsidRPr="00F81296">
              <w:rPr>
                <w:rFonts w:hint="eastAsia"/>
                <w:szCs w:val="21"/>
              </w:rPr>
              <w:t>不出井</w:t>
            </w:r>
            <w:r w:rsidR="005860D5" w:rsidRPr="00F81296">
              <w:rPr>
                <w:szCs w:val="21"/>
              </w:rPr>
              <w:t>；矿井生产期间洗选矸石综合利用</w:t>
            </w:r>
            <w:r w:rsidR="005860D5" w:rsidRPr="00F81296">
              <w:rPr>
                <w:rFonts w:hint="eastAsia"/>
                <w:szCs w:val="21"/>
              </w:rPr>
              <w:t>或回填井下</w:t>
            </w:r>
            <w:r w:rsidR="005860D5" w:rsidRPr="00F81296">
              <w:rPr>
                <w:szCs w:val="21"/>
              </w:rPr>
              <w:t>，煤矸石利用率达到</w:t>
            </w:r>
            <w:r w:rsidR="005860D5" w:rsidRPr="00F81296">
              <w:rPr>
                <w:szCs w:val="21"/>
              </w:rPr>
              <w:t>100%</w:t>
            </w:r>
            <w:r w:rsidR="005860D5" w:rsidRPr="00F81296">
              <w:rPr>
                <w:szCs w:val="21"/>
              </w:rPr>
              <w:t>；</w:t>
            </w:r>
          </w:p>
          <w:p w:rsidR="00C223F5" w:rsidRPr="00F81296" w:rsidRDefault="000F32AE" w:rsidP="004173AA">
            <w:pPr>
              <w:spacing w:line="260" w:lineRule="exact"/>
              <w:jc w:val="left"/>
            </w:pPr>
            <w:r w:rsidRPr="00F81296">
              <w:rPr>
                <w:rFonts w:ascii="宋体" w:hAnsi="宋体" w:cs="宋体"/>
                <w:szCs w:val="21"/>
              </w:rPr>
              <w:fldChar w:fldCharType="begin"/>
            </w:r>
            <w:r w:rsidR="005860D5" w:rsidRPr="00F81296">
              <w:rPr>
                <w:rFonts w:ascii="宋体" w:hAnsi="宋体" w:cs="宋体" w:hint="eastAsia"/>
                <w:szCs w:val="21"/>
              </w:rPr>
              <w:instrText>= 2 \* GB3</w:instrText>
            </w:r>
            <w:r w:rsidRPr="00F81296">
              <w:rPr>
                <w:rFonts w:ascii="宋体" w:hAnsi="宋体" w:cs="宋体"/>
                <w:szCs w:val="21"/>
              </w:rPr>
              <w:fldChar w:fldCharType="separate"/>
            </w:r>
            <w:r w:rsidR="005860D5" w:rsidRPr="00F81296">
              <w:rPr>
                <w:rFonts w:ascii="宋体" w:hAnsi="宋体" w:cs="宋体" w:hint="eastAsia"/>
                <w:szCs w:val="21"/>
              </w:rPr>
              <w:t>②</w:t>
            </w:r>
            <w:r w:rsidRPr="00F81296">
              <w:rPr>
                <w:rFonts w:ascii="宋体" w:hAnsi="宋体" w:cs="宋体"/>
                <w:szCs w:val="21"/>
              </w:rPr>
              <w:fldChar w:fldCharType="end"/>
            </w:r>
            <w:r w:rsidR="005860D5" w:rsidRPr="00F81296">
              <w:rPr>
                <w:rFonts w:ascii="宋体" w:hAnsi="宋体" w:cs="宋体" w:hint="eastAsia"/>
                <w:szCs w:val="21"/>
              </w:rPr>
              <w:t>项目</w:t>
            </w:r>
            <w:r w:rsidR="005860D5" w:rsidRPr="00F81296">
              <w:rPr>
                <w:szCs w:val="21"/>
              </w:rPr>
              <w:t>扰动土地整治率达</w:t>
            </w:r>
            <w:r w:rsidR="005860D5" w:rsidRPr="00F81296">
              <w:rPr>
                <w:szCs w:val="21"/>
              </w:rPr>
              <w:t>95%</w:t>
            </w:r>
            <w:r w:rsidR="005860D5" w:rsidRPr="00F81296">
              <w:rPr>
                <w:rFonts w:hint="eastAsia"/>
                <w:szCs w:val="21"/>
              </w:rPr>
              <w:t>，</w:t>
            </w:r>
            <w:r w:rsidR="005860D5" w:rsidRPr="00F81296">
              <w:rPr>
                <w:rFonts w:hAnsi="宋体" w:hint="eastAsia"/>
                <w:kern w:val="0"/>
                <w:szCs w:val="21"/>
              </w:rPr>
              <w:t>开采沉陷区治理率</w:t>
            </w:r>
            <w:r w:rsidR="005860D5" w:rsidRPr="00F81296">
              <w:rPr>
                <w:rFonts w:hAnsi="宋体" w:hint="eastAsia"/>
                <w:kern w:val="0"/>
                <w:szCs w:val="21"/>
              </w:rPr>
              <w:t>100%</w:t>
            </w:r>
            <w:r w:rsidR="005860D5" w:rsidRPr="00F81296">
              <w:rPr>
                <w:rFonts w:hAnsi="宋体" w:hint="eastAsia"/>
                <w:kern w:val="0"/>
                <w:szCs w:val="21"/>
              </w:rPr>
              <w:t>，</w:t>
            </w:r>
            <w:r w:rsidR="005860D5" w:rsidRPr="00F81296">
              <w:rPr>
                <w:kern w:val="0"/>
                <w:szCs w:val="21"/>
              </w:rPr>
              <w:t>提出生态整治恢复措施</w:t>
            </w:r>
            <w:r w:rsidR="005860D5" w:rsidRPr="00F81296">
              <w:rPr>
                <w:rFonts w:hint="eastAsia"/>
                <w:kern w:val="0"/>
                <w:szCs w:val="21"/>
              </w:rPr>
              <w:t>，并按要求缴纳</w:t>
            </w:r>
            <w:r w:rsidR="005860D5" w:rsidRPr="00F81296">
              <w:t>生态补偿费</w:t>
            </w:r>
            <w:r w:rsidR="005860D5" w:rsidRPr="00F81296">
              <w:rPr>
                <w:rFonts w:hint="eastAsia"/>
              </w:rPr>
              <w:t>；</w:t>
            </w:r>
          </w:p>
          <w:p w:rsidR="00C223F5" w:rsidRPr="00F81296" w:rsidRDefault="000F32AE" w:rsidP="004173AA">
            <w:pPr>
              <w:spacing w:line="260" w:lineRule="exact"/>
              <w:jc w:val="left"/>
              <w:rPr>
                <w:rFonts w:hAnsi="宋体"/>
                <w:kern w:val="0"/>
                <w:szCs w:val="21"/>
              </w:rPr>
            </w:pPr>
            <w:r w:rsidRPr="00F81296">
              <w:rPr>
                <w:rFonts w:ascii="宋体" w:hAnsi="宋体" w:cs="宋体"/>
                <w:bCs/>
                <w:szCs w:val="21"/>
              </w:rPr>
              <w:fldChar w:fldCharType="begin"/>
            </w:r>
            <w:r w:rsidR="005860D5" w:rsidRPr="00F81296">
              <w:rPr>
                <w:rFonts w:ascii="宋体" w:hAnsi="宋体" w:cs="宋体" w:hint="eastAsia"/>
                <w:bCs/>
                <w:szCs w:val="21"/>
              </w:rPr>
              <w:instrText>= 3 \* GB3</w:instrText>
            </w:r>
            <w:r w:rsidRPr="00F81296">
              <w:rPr>
                <w:rFonts w:ascii="宋体" w:hAnsi="宋体" w:cs="宋体"/>
                <w:bCs/>
                <w:szCs w:val="21"/>
              </w:rPr>
              <w:fldChar w:fldCharType="separate"/>
            </w:r>
            <w:r w:rsidR="005860D5" w:rsidRPr="00F81296">
              <w:rPr>
                <w:rFonts w:ascii="宋体" w:hAnsi="宋体" w:cs="宋体" w:hint="eastAsia"/>
                <w:bCs/>
                <w:szCs w:val="21"/>
              </w:rPr>
              <w:t>③</w:t>
            </w:r>
            <w:r w:rsidRPr="00F81296">
              <w:rPr>
                <w:rFonts w:ascii="宋体" w:hAnsi="宋体" w:cs="宋体"/>
                <w:bCs/>
                <w:szCs w:val="21"/>
              </w:rPr>
              <w:fldChar w:fldCharType="end"/>
            </w:r>
            <w:r w:rsidR="005860D5" w:rsidRPr="00F81296">
              <w:rPr>
                <w:rFonts w:hAnsi="宋体" w:hint="eastAsia"/>
                <w:kern w:val="0"/>
                <w:szCs w:val="21"/>
              </w:rPr>
              <w:t>开采煤炭均采用仓储，不露天；建设期采取有效的扬尘治理措施，运营地面生产系统全封闭，采取有效的喷雾抑尘措施；</w:t>
            </w:r>
          </w:p>
          <w:p w:rsidR="00C223F5" w:rsidRPr="00F81296" w:rsidRDefault="000F32AE" w:rsidP="004173AA">
            <w:pPr>
              <w:spacing w:line="260" w:lineRule="exact"/>
              <w:jc w:val="left"/>
              <w:rPr>
                <w:rFonts w:ascii="宋体" w:hAnsi="宋体" w:cs="宋体"/>
                <w:szCs w:val="21"/>
              </w:rPr>
            </w:pPr>
            <w:r w:rsidRPr="00F81296">
              <w:rPr>
                <w:rFonts w:hAnsi="宋体"/>
                <w:kern w:val="0"/>
                <w:szCs w:val="21"/>
              </w:rPr>
              <w:fldChar w:fldCharType="begin"/>
            </w:r>
            <w:r w:rsidR="005860D5" w:rsidRPr="00F81296">
              <w:rPr>
                <w:rFonts w:hAnsi="宋体" w:hint="eastAsia"/>
                <w:kern w:val="0"/>
                <w:szCs w:val="21"/>
              </w:rPr>
              <w:instrText>= 4 \* GB3</w:instrText>
            </w:r>
            <w:r w:rsidRPr="00F81296">
              <w:rPr>
                <w:rFonts w:hAnsi="宋体"/>
                <w:kern w:val="0"/>
                <w:szCs w:val="21"/>
              </w:rPr>
              <w:fldChar w:fldCharType="separate"/>
            </w:r>
            <w:r w:rsidR="005860D5" w:rsidRPr="00F81296">
              <w:rPr>
                <w:rFonts w:hAnsi="宋体" w:hint="eastAsia"/>
                <w:kern w:val="0"/>
                <w:szCs w:val="21"/>
              </w:rPr>
              <w:t>④</w:t>
            </w:r>
            <w:r w:rsidRPr="00F81296">
              <w:rPr>
                <w:rFonts w:hAnsi="宋体"/>
                <w:kern w:val="0"/>
                <w:szCs w:val="21"/>
              </w:rPr>
              <w:fldChar w:fldCharType="end"/>
            </w:r>
            <w:r w:rsidR="005860D5" w:rsidRPr="00F81296">
              <w:rPr>
                <w:rFonts w:hAnsi="宋体" w:hint="eastAsia"/>
                <w:kern w:val="0"/>
                <w:szCs w:val="21"/>
              </w:rPr>
              <w:t>选煤厂</w:t>
            </w:r>
            <w:r w:rsidR="005860D5" w:rsidRPr="00F81296">
              <w:rPr>
                <w:rFonts w:ascii="宋体" w:hAnsi="宋体" w:cs="宋体" w:hint="eastAsia"/>
                <w:szCs w:val="21"/>
              </w:rPr>
              <w:t>煤泥水闭路循环</w:t>
            </w:r>
          </w:p>
        </w:tc>
        <w:tc>
          <w:tcPr>
            <w:tcW w:w="874" w:type="dxa"/>
            <w:shd w:val="clear" w:color="auto" w:fill="auto"/>
            <w:tcMar>
              <w:left w:w="85" w:type="dxa"/>
              <w:right w:w="85" w:type="dxa"/>
            </w:tcMar>
            <w:vAlign w:val="center"/>
          </w:tcPr>
          <w:p w:rsidR="00C223F5" w:rsidRDefault="005860D5" w:rsidP="004173AA">
            <w:pPr>
              <w:spacing w:line="260" w:lineRule="exact"/>
              <w:jc w:val="center"/>
              <w:rPr>
                <w:szCs w:val="21"/>
              </w:rPr>
            </w:pPr>
            <w:r>
              <w:rPr>
                <w:rFonts w:ascii="宋体" w:hAnsi="宋体" w:cs="宋体" w:hint="eastAsia"/>
                <w:szCs w:val="21"/>
              </w:rPr>
              <w:t>符合</w:t>
            </w:r>
          </w:p>
        </w:tc>
      </w:tr>
    </w:tbl>
    <w:p w:rsidR="00C223F5" w:rsidRDefault="005860D5" w:rsidP="004173AA">
      <w:pPr>
        <w:jc w:val="center"/>
      </w:pPr>
      <w:r>
        <w:rPr>
          <w:rFonts w:hAnsi="Calibri" w:hint="eastAsia"/>
          <w:b/>
          <w:sz w:val="24"/>
        </w:rPr>
        <w:lastRenderedPageBreak/>
        <w:t>续</w:t>
      </w:r>
      <w:r>
        <w:rPr>
          <w:rFonts w:hAnsi="Calibri"/>
          <w:b/>
          <w:sz w:val="24"/>
        </w:rPr>
        <w:t>表</w:t>
      </w:r>
      <w:r>
        <w:rPr>
          <w:rFonts w:hint="eastAsia"/>
          <w:b/>
          <w:sz w:val="24"/>
        </w:rPr>
        <w:t xml:space="preserve">1  </w:t>
      </w:r>
      <w:r>
        <w:rPr>
          <w:rFonts w:hAnsi="Calibri"/>
          <w:b/>
          <w:sz w:val="24"/>
        </w:rPr>
        <w:t>本项目与相关</w:t>
      </w:r>
      <w:r>
        <w:rPr>
          <w:rFonts w:hAnsi="Calibri" w:hint="eastAsia"/>
          <w:b/>
          <w:sz w:val="24"/>
        </w:rPr>
        <w:t>政策及规划</w:t>
      </w:r>
      <w:r>
        <w:rPr>
          <w:rFonts w:hAnsi="Calibri"/>
          <w:b/>
          <w:sz w:val="24"/>
        </w:rPr>
        <w:t>相符性分析</w:t>
      </w:r>
    </w:p>
    <w:tbl>
      <w:tblPr>
        <w:tblW w:w="14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4A0" w:firstRow="1" w:lastRow="0" w:firstColumn="1" w:lastColumn="0" w:noHBand="0" w:noVBand="1"/>
      </w:tblPr>
      <w:tblGrid>
        <w:gridCol w:w="634"/>
        <w:gridCol w:w="1871"/>
        <w:gridCol w:w="6480"/>
        <w:gridCol w:w="4505"/>
        <w:gridCol w:w="874"/>
      </w:tblGrid>
      <w:tr w:rsidR="00C223F5">
        <w:trPr>
          <w:trHeight w:val="185"/>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序号</w:t>
            </w:r>
          </w:p>
        </w:tc>
        <w:tc>
          <w:tcPr>
            <w:tcW w:w="1871"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相关政策、规划</w:t>
            </w:r>
          </w:p>
        </w:tc>
        <w:tc>
          <w:tcPr>
            <w:tcW w:w="6480"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要求</w:t>
            </w:r>
          </w:p>
        </w:tc>
        <w:tc>
          <w:tcPr>
            <w:tcW w:w="4505"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本项目情况</w:t>
            </w:r>
          </w:p>
        </w:tc>
        <w:tc>
          <w:tcPr>
            <w:tcW w:w="874"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符合性</w:t>
            </w:r>
          </w:p>
        </w:tc>
      </w:tr>
      <w:tr w:rsidR="00C223F5">
        <w:trPr>
          <w:trHeight w:val="1084"/>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12</w:t>
            </w:r>
          </w:p>
        </w:tc>
        <w:tc>
          <w:tcPr>
            <w:tcW w:w="1871" w:type="dxa"/>
            <w:shd w:val="clear" w:color="auto" w:fill="auto"/>
            <w:tcMar>
              <w:left w:w="85" w:type="dxa"/>
              <w:right w:w="85" w:type="dxa"/>
            </w:tcMar>
            <w:vAlign w:val="center"/>
          </w:tcPr>
          <w:p w:rsidR="00C223F5" w:rsidRDefault="005860D5" w:rsidP="004173AA">
            <w:pPr>
              <w:spacing w:line="264" w:lineRule="auto"/>
              <w:jc w:val="center"/>
              <w:rPr>
                <w:szCs w:val="21"/>
              </w:rPr>
            </w:pPr>
            <w:r>
              <w:rPr>
                <w:rFonts w:hAnsi="宋体"/>
                <w:szCs w:val="21"/>
              </w:rPr>
              <w:t>环境质量达标情况</w:t>
            </w:r>
          </w:p>
          <w:p w:rsidR="00C223F5" w:rsidRDefault="005860D5" w:rsidP="004173AA">
            <w:pPr>
              <w:spacing w:line="264" w:lineRule="auto"/>
              <w:jc w:val="center"/>
              <w:rPr>
                <w:szCs w:val="21"/>
              </w:rPr>
            </w:pPr>
            <w:r>
              <w:rPr>
                <w:rFonts w:hAnsi="宋体"/>
                <w:szCs w:val="21"/>
              </w:rPr>
              <w:t>总量指标满足情况</w:t>
            </w:r>
          </w:p>
        </w:tc>
        <w:tc>
          <w:tcPr>
            <w:tcW w:w="6480" w:type="dxa"/>
            <w:shd w:val="clear" w:color="auto" w:fill="auto"/>
            <w:tcMar>
              <w:left w:w="85" w:type="dxa"/>
              <w:right w:w="85" w:type="dxa"/>
            </w:tcMar>
            <w:vAlign w:val="center"/>
          </w:tcPr>
          <w:p w:rsidR="00C223F5" w:rsidRDefault="005860D5" w:rsidP="004173AA">
            <w:pPr>
              <w:spacing w:line="264" w:lineRule="auto"/>
              <w:rPr>
                <w:spacing w:val="-6"/>
                <w:szCs w:val="21"/>
              </w:rPr>
            </w:pPr>
            <w:r>
              <w:rPr>
                <w:spacing w:val="-6"/>
                <w:szCs w:val="21"/>
              </w:rPr>
              <w:t>根据陕西省水功能区划及榆林市环境保护规划，本区域水体为</w:t>
            </w:r>
            <w:r>
              <w:rPr>
                <w:spacing w:val="-6"/>
                <w:szCs w:val="21"/>
              </w:rPr>
              <w:t>Ⅲ</w:t>
            </w:r>
            <w:r>
              <w:rPr>
                <w:spacing w:val="-6"/>
                <w:szCs w:val="21"/>
              </w:rPr>
              <w:t>类水体，执行</w:t>
            </w:r>
            <w:r>
              <w:rPr>
                <w:spacing w:val="-6"/>
                <w:szCs w:val="21"/>
              </w:rPr>
              <w:t>GB3838-2002</w:t>
            </w:r>
            <w:r>
              <w:rPr>
                <w:spacing w:val="-6"/>
                <w:szCs w:val="21"/>
              </w:rPr>
              <w:t>《地表水环境质量标准》</w:t>
            </w:r>
            <w:r>
              <w:rPr>
                <w:spacing w:val="-6"/>
                <w:szCs w:val="21"/>
              </w:rPr>
              <w:t>Ⅲ</w:t>
            </w:r>
            <w:r>
              <w:rPr>
                <w:spacing w:val="-6"/>
                <w:szCs w:val="21"/>
              </w:rPr>
              <w:t>类标准，废水排放执行煤炭工业废水排放执行</w:t>
            </w:r>
            <w:r>
              <w:rPr>
                <w:spacing w:val="-6"/>
                <w:szCs w:val="21"/>
              </w:rPr>
              <w:t>GB20426-2006</w:t>
            </w:r>
            <w:r>
              <w:rPr>
                <w:spacing w:val="-6"/>
                <w:szCs w:val="21"/>
              </w:rPr>
              <w:t>《煤炭工业污染物排放标准》中的相应标准，生活污水经处理后全部综合利用不外排；环境空气执行</w:t>
            </w:r>
            <w:r>
              <w:rPr>
                <w:spacing w:val="-6"/>
                <w:szCs w:val="21"/>
              </w:rPr>
              <w:t>GB3095-2012</w:t>
            </w:r>
            <w:r>
              <w:rPr>
                <w:spacing w:val="-6"/>
                <w:szCs w:val="21"/>
              </w:rPr>
              <w:t>《环境空气质量标准》二级标准，无组织排放执行</w:t>
            </w:r>
            <w:r>
              <w:rPr>
                <w:spacing w:val="-6"/>
                <w:szCs w:val="21"/>
              </w:rPr>
              <w:t>GB20426-2006</w:t>
            </w:r>
            <w:r>
              <w:rPr>
                <w:spacing w:val="-6"/>
                <w:szCs w:val="21"/>
              </w:rPr>
              <w:t>《煤炭工业污染物排放标准》规定限值；总量控制指标满足总量控制要求</w:t>
            </w:r>
          </w:p>
        </w:tc>
        <w:tc>
          <w:tcPr>
            <w:tcW w:w="4505" w:type="dxa"/>
            <w:shd w:val="clear" w:color="auto" w:fill="auto"/>
            <w:tcMar>
              <w:left w:w="85" w:type="dxa"/>
              <w:right w:w="85" w:type="dxa"/>
            </w:tcMar>
            <w:vAlign w:val="center"/>
          </w:tcPr>
          <w:p w:rsidR="00C223F5" w:rsidRDefault="005860D5" w:rsidP="004173AA">
            <w:pPr>
              <w:spacing w:line="264" w:lineRule="auto"/>
              <w:rPr>
                <w:spacing w:val="-6"/>
                <w:szCs w:val="21"/>
              </w:rPr>
            </w:pPr>
            <w:r>
              <w:rPr>
                <w:rFonts w:ascii="宋体" w:hAnsi="宋体" w:cs="宋体" w:hint="eastAsia"/>
                <w:spacing w:val="-6"/>
                <w:szCs w:val="21"/>
              </w:rPr>
              <w:t>本项目大气污染物粉尘排放满足相应标准要求；生活污水处理后全部回用、矿井水经处理达标后部分回用，剩余排至</w:t>
            </w:r>
            <w:r>
              <w:rPr>
                <w:rFonts w:hint="eastAsia"/>
                <w:spacing w:val="-6"/>
                <w:szCs w:val="21"/>
              </w:rPr>
              <w:t>蚂蚁河</w:t>
            </w:r>
            <w:r>
              <w:rPr>
                <w:rFonts w:ascii="宋体" w:hAnsi="宋体" w:cs="宋体" w:hint="eastAsia"/>
                <w:spacing w:val="-6"/>
                <w:szCs w:val="21"/>
              </w:rPr>
              <w:t>；洗选矸石全部综合利用，主要污染物采取相应环保措施后均得到了有效控制和合理处置；</w:t>
            </w:r>
            <w:r>
              <w:rPr>
                <w:rFonts w:hint="eastAsia"/>
                <w:spacing w:val="-6"/>
                <w:szCs w:val="21"/>
              </w:rPr>
              <w:t>化学需氧量</w:t>
            </w:r>
            <w:r>
              <w:rPr>
                <w:rFonts w:ascii="宋体" w:hAnsi="宋体" w:cs="宋体" w:hint="eastAsia"/>
                <w:spacing w:val="-6"/>
                <w:szCs w:val="21"/>
              </w:rPr>
              <w:t>、氨氮排放量满足总量指标控制要求</w:t>
            </w:r>
          </w:p>
        </w:tc>
        <w:tc>
          <w:tcPr>
            <w:tcW w:w="874" w:type="dxa"/>
            <w:shd w:val="clear" w:color="auto" w:fill="auto"/>
            <w:tcMar>
              <w:left w:w="85" w:type="dxa"/>
              <w:right w:w="85" w:type="dxa"/>
            </w:tcMar>
            <w:vAlign w:val="center"/>
          </w:tcPr>
          <w:p w:rsidR="00C223F5" w:rsidRDefault="005860D5" w:rsidP="004173AA">
            <w:pPr>
              <w:spacing w:line="264" w:lineRule="auto"/>
              <w:jc w:val="center"/>
              <w:rPr>
                <w:szCs w:val="21"/>
              </w:rPr>
            </w:pPr>
            <w:r>
              <w:rPr>
                <w:rFonts w:ascii="宋体" w:hAnsi="宋体" w:cs="宋体" w:hint="eastAsia"/>
                <w:szCs w:val="21"/>
              </w:rPr>
              <w:t>符合</w:t>
            </w:r>
          </w:p>
        </w:tc>
      </w:tr>
      <w:tr w:rsidR="00C223F5">
        <w:trPr>
          <w:trHeight w:val="28"/>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13</w:t>
            </w:r>
          </w:p>
        </w:tc>
        <w:tc>
          <w:tcPr>
            <w:tcW w:w="1871" w:type="dxa"/>
            <w:shd w:val="clear" w:color="auto" w:fill="auto"/>
            <w:tcMar>
              <w:left w:w="85" w:type="dxa"/>
              <w:right w:w="85" w:type="dxa"/>
            </w:tcMar>
            <w:vAlign w:val="center"/>
          </w:tcPr>
          <w:p w:rsidR="00C223F5" w:rsidRDefault="005860D5" w:rsidP="004173AA">
            <w:pPr>
              <w:spacing w:line="264" w:lineRule="auto"/>
              <w:rPr>
                <w:szCs w:val="21"/>
              </w:rPr>
            </w:pPr>
            <w:r>
              <w:rPr>
                <w:szCs w:val="21"/>
              </w:rPr>
              <w:t>《煤矸石综合利用</w:t>
            </w:r>
          </w:p>
          <w:p w:rsidR="00C223F5" w:rsidRDefault="005860D5" w:rsidP="004173AA">
            <w:pPr>
              <w:spacing w:line="264" w:lineRule="auto"/>
              <w:rPr>
                <w:rFonts w:ascii="宋体" w:hAnsi="宋体" w:cs="宋体"/>
                <w:szCs w:val="21"/>
              </w:rPr>
            </w:pPr>
            <w:r>
              <w:rPr>
                <w:szCs w:val="21"/>
              </w:rPr>
              <w:t>管理办法》</w:t>
            </w:r>
          </w:p>
        </w:tc>
        <w:tc>
          <w:tcPr>
            <w:tcW w:w="6480" w:type="dxa"/>
            <w:shd w:val="clear" w:color="auto" w:fill="auto"/>
            <w:tcMar>
              <w:left w:w="85" w:type="dxa"/>
              <w:right w:w="85" w:type="dxa"/>
            </w:tcMar>
            <w:vAlign w:val="center"/>
          </w:tcPr>
          <w:p w:rsidR="00C223F5" w:rsidRPr="00F81296" w:rsidRDefault="000F32AE" w:rsidP="004173AA">
            <w:pPr>
              <w:spacing w:line="264" w:lineRule="auto"/>
              <w:rPr>
                <w:spacing w:val="-6"/>
                <w:szCs w:val="21"/>
              </w:rPr>
            </w:pPr>
            <w:r w:rsidRPr="00F81296">
              <w:rPr>
                <w:spacing w:val="-6"/>
                <w:szCs w:val="21"/>
              </w:rPr>
              <w:fldChar w:fldCharType="begin"/>
            </w:r>
            <w:r w:rsidR="005860D5" w:rsidRPr="00F81296">
              <w:rPr>
                <w:rFonts w:hint="eastAsia"/>
                <w:spacing w:val="-6"/>
                <w:szCs w:val="21"/>
              </w:rPr>
              <w:instrText>= 1 \* GB3</w:instrText>
            </w:r>
            <w:r w:rsidRPr="00F81296">
              <w:rPr>
                <w:spacing w:val="-6"/>
                <w:szCs w:val="21"/>
              </w:rPr>
              <w:fldChar w:fldCharType="separate"/>
            </w:r>
            <w:r w:rsidR="005860D5" w:rsidRPr="00F81296">
              <w:rPr>
                <w:rFonts w:hint="eastAsia"/>
                <w:spacing w:val="-6"/>
                <w:szCs w:val="21"/>
              </w:rPr>
              <w:t>①</w:t>
            </w:r>
            <w:r w:rsidRPr="00F81296">
              <w:rPr>
                <w:spacing w:val="-6"/>
                <w:szCs w:val="21"/>
              </w:rPr>
              <w:fldChar w:fldCharType="end"/>
            </w:r>
            <w:r w:rsidR="005860D5" w:rsidRPr="00F81296">
              <w:rPr>
                <w:rFonts w:ascii="宋体" w:hAnsi="宋体" w:cs="宋体" w:hint="eastAsia"/>
                <w:spacing w:val="-6"/>
                <w:szCs w:val="21"/>
              </w:rPr>
              <w:t>新建（改扩建）煤矿及选煤厂应节约用地，防止环境污染，禁止建设永久性煤矸石堆场；</w:t>
            </w:r>
            <w:r w:rsidRPr="00F81296">
              <w:rPr>
                <w:rFonts w:ascii="宋体" w:hAnsi="宋体" w:cs="宋体"/>
                <w:spacing w:val="-6"/>
                <w:szCs w:val="21"/>
              </w:rPr>
              <w:fldChar w:fldCharType="begin"/>
            </w:r>
            <w:r w:rsidR="005860D5" w:rsidRPr="00F81296">
              <w:rPr>
                <w:rFonts w:ascii="宋体" w:hAnsi="宋体" w:cs="宋体" w:hint="eastAsia"/>
                <w:spacing w:val="-6"/>
                <w:szCs w:val="21"/>
              </w:rPr>
              <w:instrText>= 2 \* GB3</w:instrText>
            </w:r>
            <w:r w:rsidRPr="00F81296">
              <w:rPr>
                <w:rFonts w:ascii="宋体" w:hAnsi="宋体" w:cs="宋体"/>
                <w:spacing w:val="-6"/>
                <w:szCs w:val="21"/>
              </w:rPr>
              <w:fldChar w:fldCharType="separate"/>
            </w:r>
            <w:r w:rsidR="005860D5" w:rsidRPr="00F81296">
              <w:rPr>
                <w:rFonts w:ascii="宋体" w:hAnsi="宋体" w:cs="宋体" w:hint="eastAsia"/>
                <w:spacing w:val="-6"/>
                <w:szCs w:val="21"/>
              </w:rPr>
              <w:t>②</w:t>
            </w:r>
            <w:r w:rsidRPr="00F81296">
              <w:rPr>
                <w:rFonts w:ascii="宋体" w:hAnsi="宋体" w:cs="宋体"/>
                <w:spacing w:val="-6"/>
                <w:szCs w:val="21"/>
              </w:rPr>
              <w:fldChar w:fldCharType="end"/>
            </w:r>
            <w:r w:rsidR="005860D5" w:rsidRPr="00F81296">
              <w:rPr>
                <w:spacing w:val="-6"/>
                <w:szCs w:val="21"/>
              </w:rPr>
              <w:t>煤矸石产生单位对确难以综合利用的，须采取安全环保措施，并进行无害化处置，按照矿山生态环境保护与恢复治理技术规范等要求进行煤矸石堆场的生态保护与修复，防治煤矸石自燃对大气及周边环境的污染，鼓励对煤矸石山进行植被绿化</w:t>
            </w:r>
            <w:r w:rsidR="005860D5" w:rsidRPr="00F81296">
              <w:rPr>
                <w:rFonts w:hint="eastAsia"/>
                <w:bCs/>
                <w:spacing w:val="-6"/>
                <w:szCs w:val="21"/>
              </w:rPr>
              <w:t>…</w:t>
            </w:r>
            <w:r w:rsidRPr="00F81296">
              <w:rPr>
                <w:rFonts w:ascii="宋体" w:hAnsi="宋体" w:cs="宋体"/>
                <w:bCs/>
                <w:spacing w:val="-6"/>
                <w:szCs w:val="21"/>
              </w:rPr>
              <w:fldChar w:fldCharType="begin"/>
            </w:r>
            <w:r w:rsidR="005860D5" w:rsidRPr="00F81296">
              <w:rPr>
                <w:rFonts w:ascii="宋体" w:hAnsi="宋体" w:cs="宋体" w:hint="eastAsia"/>
                <w:bCs/>
                <w:spacing w:val="-6"/>
                <w:szCs w:val="21"/>
              </w:rPr>
              <w:instrText>= 3 \* GB3</w:instrText>
            </w:r>
            <w:r w:rsidRPr="00F81296">
              <w:rPr>
                <w:rFonts w:ascii="宋体" w:hAnsi="宋体" w:cs="宋体"/>
                <w:bCs/>
                <w:spacing w:val="-6"/>
                <w:szCs w:val="21"/>
              </w:rPr>
              <w:fldChar w:fldCharType="separate"/>
            </w:r>
            <w:r w:rsidR="005860D5" w:rsidRPr="00F81296">
              <w:rPr>
                <w:rFonts w:ascii="宋体" w:hAnsi="宋体" w:cs="宋体" w:hint="eastAsia"/>
                <w:bCs/>
                <w:spacing w:val="-6"/>
                <w:szCs w:val="21"/>
              </w:rPr>
              <w:t>③</w:t>
            </w:r>
            <w:r w:rsidRPr="00F81296">
              <w:rPr>
                <w:rFonts w:ascii="宋体" w:hAnsi="宋体" w:cs="宋体"/>
                <w:bCs/>
                <w:spacing w:val="-6"/>
                <w:szCs w:val="21"/>
              </w:rPr>
              <w:fldChar w:fldCharType="end"/>
            </w:r>
            <w:r w:rsidR="005860D5" w:rsidRPr="00F81296">
              <w:rPr>
                <w:rFonts w:ascii="宋体" w:hAnsi="宋体" w:cs="宋体" w:hint="eastAsia"/>
                <w:bCs/>
                <w:spacing w:val="-6"/>
                <w:szCs w:val="21"/>
              </w:rPr>
              <w:t>国家鼓励</w:t>
            </w:r>
            <w:r w:rsidR="005860D5" w:rsidRPr="00F81296">
              <w:rPr>
                <w:bCs/>
                <w:spacing w:val="-6"/>
                <w:szCs w:val="21"/>
              </w:rPr>
              <w:t>…</w:t>
            </w:r>
            <w:r w:rsidR="005860D5" w:rsidRPr="00F81296">
              <w:rPr>
                <w:rFonts w:ascii="宋体" w:hAnsi="宋体" w:cs="宋体" w:hint="eastAsia"/>
                <w:bCs/>
                <w:spacing w:val="-6"/>
                <w:szCs w:val="21"/>
              </w:rPr>
              <w:t>(五)煤矸石土地复垦及矸石山的生态环境恢复</w:t>
            </w:r>
          </w:p>
        </w:tc>
        <w:tc>
          <w:tcPr>
            <w:tcW w:w="4505" w:type="dxa"/>
            <w:shd w:val="clear" w:color="auto" w:fill="auto"/>
            <w:tcMar>
              <w:left w:w="85" w:type="dxa"/>
              <w:right w:w="85" w:type="dxa"/>
            </w:tcMar>
            <w:vAlign w:val="center"/>
          </w:tcPr>
          <w:p w:rsidR="00C223F5" w:rsidRPr="00F81296" w:rsidRDefault="005860D5" w:rsidP="004173AA">
            <w:pPr>
              <w:spacing w:line="264" w:lineRule="auto"/>
              <w:rPr>
                <w:spacing w:val="-6"/>
                <w:szCs w:val="21"/>
              </w:rPr>
            </w:pPr>
            <w:r w:rsidRPr="00F81296">
              <w:rPr>
                <w:rFonts w:hint="eastAsia"/>
                <w:spacing w:val="-6"/>
                <w:szCs w:val="21"/>
              </w:rPr>
              <w:t>本项目不设排矸场，井采掘进矸石</w:t>
            </w:r>
            <w:r w:rsidR="00DF7CF7" w:rsidRPr="00F81296">
              <w:rPr>
                <w:rFonts w:hint="eastAsia"/>
                <w:spacing w:val="-6"/>
                <w:szCs w:val="21"/>
              </w:rPr>
              <w:t>不出井</w:t>
            </w:r>
            <w:r w:rsidRPr="00F81296">
              <w:rPr>
                <w:rFonts w:hint="eastAsia"/>
                <w:spacing w:val="-6"/>
                <w:szCs w:val="21"/>
              </w:rPr>
              <w:t>；项目洗选矸石优先综合利用于</w:t>
            </w:r>
            <w:r w:rsidRPr="00F81296">
              <w:rPr>
                <w:rFonts w:hAnsi="宋体" w:hint="eastAsia"/>
                <w:spacing w:val="-6"/>
                <w:szCs w:val="21"/>
              </w:rPr>
              <w:t>制砖厂和井下充填</w:t>
            </w:r>
            <w:r w:rsidR="00210F02" w:rsidRPr="00F81296">
              <w:rPr>
                <w:rFonts w:hAnsi="宋体" w:hint="eastAsia"/>
                <w:spacing w:val="-6"/>
                <w:szCs w:val="21"/>
              </w:rPr>
              <w:t>原料</w:t>
            </w:r>
            <w:r w:rsidRPr="00F81296">
              <w:rPr>
                <w:rFonts w:hAnsi="宋体" w:hint="eastAsia"/>
                <w:spacing w:val="-6"/>
                <w:szCs w:val="21"/>
              </w:rPr>
              <w:t>，其余回填井下废弃巷道</w:t>
            </w:r>
          </w:p>
        </w:tc>
        <w:tc>
          <w:tcPr>
            <w:tcW w:w="874" w:type="dxa"/>
            <w:shd w:val="clear" w:color="auto" w:fill="auto"/>
            <w:tcMar>
              <w:left w:w="85" w:type="dxa"/>
              <w:right w:w="85" w:type="dxa"/>
            </w:tcMar>
            <w:vAlign w:val="center"/>
          </w:tcPr>
          <w:p w:rsidR="00C223F5" w:rsidRDefault="005860D5" w:rsidP="004173AA">
            <w:pPr>
              <w:spacing w:line="264" w:lineRule="auto"/>
              <w:jc w:val="center"/>
              <w:rPr>
                <w:rFonts w:ascii="宋体" w:hAnsi="宋体" w:cs="宋体"/>
                <w:szCs w:val="21"/>
              </w:rPr>
            </w:pPr>
            <w:r>
              <w:rPr>
                <w:rFonts w:ascii="宋体" w:hAnsi="宋体" w:cs="宋体" w:hint="eastAsia"/>
                <w:szCs w:val="21"/>
              </w:rPr>
              <w:t>符合</w:t>
            </w:r>
          </w:p>
        </w:tc>
      </w:tr>
      <w:tr w:rsidR="00C223F5">
        <w:trPr>
          <w:trHeight w:val="28"/>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14</w:t>
            </w:r>
          </w:p>
        </w:tc>
        <w:tc>
          <w:tcPr>
            <w:tcW w:w="1871" w:type="dxa"/>
            <w:shd w:val="clear" w:color="auto" w:fill="auto"/>
            <w:tcMar>
              <w:left w:w="85" w:type="dxa"/>
              <w:right w:w="85" w:type="dxa"/>
            </w:tcMar>
            <w:vAlign w:val="center"/>
          </w:tcPr>
          <w:p w:rsidR="00C223F5" w:rsidRDefault="005860D5" w:rsidP="004173AA">
            <w:pPr>
              <w:spacing w:line="264" w:lineRule="auto"/>
              <w:jc w:val="center"/>
              <w:rPr>
                <w:rFonts w:ascii="宋体" w:hAnsi="宋体" w:cs="宋体"/>
                <w:szCs w:val="21"/>
              </w:rPr>
            </w:pPr>
            <w:r>
              <w:rPr>
                <w:rFonts w:ascii="宋体" w:hAnsi="宋体" w:cs="宋体" w:hint="eastAsia"/>
                <w:szCs w:val="21"/>
              </w:rPr>
              <w:t>《榆林市水污染防治工作方案的通知》</w:t>
            </w:r>
          </w:p>
        </w:tc>
        <w:tc>
          <w:tcPr>
            <w:tcW w:w="6480" w:type="dxa"/>
            <w:shd w:val="clear" w:color="auto" w:fill="auto"/>
            <w:tcMar>
              <w:left w:w="85" w:type="dxa"/>
              <w:right w:w="85" w:type="dxa"/>
            </w:tcMar>
            <w:vAlign w:val="center"/>
          </w:tcPr>
          <w:p w:rsidR="00C223F5" w:rsidRPr="00F81296" w:rsidRDefault="005860D5" w:rsidP="004173AA">
            <w:pPr>
              <w:spacing w:line="264" w:lineRule="auto"/>
              <w:rPr>
                <w:spacing w:val="-6"/>
                <w:szCs w:val="21"/>
              </w:rPr>
            </w:pPr>
            <w:r w:rsidRPr="00F81296">
              <w:rPr>
                <w:rFonts w:ascii="宋体" w:hAnsi="宋体" w:cs="宋体" w:hint="eastAsia"/>
                <w:spacing w:val="-6"/>
                <w:szCs w:val="21"/>
              </w:rPr>
              <w:t>严格生态红线用途管制，土地开发利用应按照有关法律法规和技术标准要求，留足饮用水水源地一级保护区、河道、湖泊地带的管理和保护范围，非法挤占的应限期退出；加强工业水循环利用。推进矿井水综合利用，煤炭矿区的补充用水、周边地区生产和生态用水应优先使用矿井水，洗煤废水闭路循环不外排</w:t>
            </w:r>
          </w:p>
        </w:tc>
        <w:tc>
          <w:tcPr>
            <w:tcW w:w="4505" w:type="dxa"/>
            <w:shd w:val="clear" w:color="auto" w:fill="auto"/>
            <w:tcMar>
              <w:left w:w="85" w:type="dxa"/>
              <w:right w:w="85" w:type="dxa"/>
            </w:tcMar>
            <w:vAlign w:val="center"/>
          </w:tcPr>
          <w:p w:rsidR="00C223F5" w:rsidRPr="00F81296" w:rsidRDefault="005860D5" w:rsidP="004173AA">
            <w:pPr>
              <w:spacing w:line="264" w:lineRule="auto"/>
              <w:rPr>
                <w:spacing w:val="-6"/>
                <w:szCs w:val="21"/>
              </w:rPr>
            </w:pPr>
            <w:r w:rsidRPr="00F81296">
              <w:rPr>
                <w:rFonts w:ascii="宋体" w:hAnsi="宋体" w:cs="宋体" w:hint="eastAsia"/>
                <w:spacing w:val="-6"/>
                <w:szCs w:val="21"/>
              </w:rPr>
              <w:t>项目所在区域不涉及水源保护区；矿井煤泥水闭路循环；井下涌水处理后优先综合利用，</w:t>
            </w:r>
            <w:r w:rsidRPr="00F81296">
              <w:rPr>
                <w:spacing w:val="-6"/>
                <w:szCs w:val="21"/>
              </w:rPr>
              <w:t>少量</w:t>
            </w:r>
            <w:r w:rsidRPr="00F81296">
              <w:rPr>
                <w:rFonts w:ascii="宋体" w:hAnsi="宋体" w:cs="宋体" w:hint="eastAsia"/>
                <w:spacing w:val="-6"/>
                <w:szCs w:val="21"/>
              </w:rPr>
              <w:t>剩余排入</w:t>
            </w:r>
            <w:r w:rsidRPr="00F81296">
              <w:rPr>
                <w:rFonts w:hint="eastAsia"/>
                <w:spacing w:val="-6"/>
                <w:szCs w:val="21"/>
              </w:rPr>
              <w:t>蚂蚁河</w:t>
            </w:r>
            <w:r w:rsidRPr="00F81296">
              <w:rPr>
                <w:rFonts w:ascii="宋体" w:hAnsi="宋体" w:cs="宋体" w:hint="eastAsia"/>
                <w:spacing w:val="-6"/>
                <w:szCs w:val="21"/>
              </w:rPr>
              <w:t>，</w:t>
            </w:r>
            <w:r w:rsidRPr="00F81296">
              <w:rPr>
                <w:rFonts w:hint="eastAsia"/>
                <w:spacing w:val="-6"/>
                <w:szCs w:val="21"/>
              </w:rPr>
              <w:t>蚂蚁河</w:t>
            </w:r>
            <w:r w:rsidRPr="00F81296">
              <w:rPr>
                <w:rFonts w:ascii="宋体" w:hAnsi="宋体" w:cs="宋体" w:hint="eastAsia"/>
                <w:spacing w:val="-6"/>
                <w:szCs w:val="21"/>
              </w:rPr>
              <w:t>不属于方案中禁止排放水域</w:t>
            </w:r>
            <w:r w:rsidRPr="00F81296">
              <w:rPr>
                <w:spacing w:val="-6"/>
                <w:szCs w:val="21"/>
              </w:rPr>
              <w:t>，处理后的矿井水达标排入</w:t>
            </w:r>
            <w:r w:rsidRPr="00F81296">
              <w:rPr>
                <w:rFonts w:hint="eastAsia"/>
                <w:spacing w:val="-6"/>
                <w:szCs w:val="21"/>
              </w:rPr>
              <w:t>蚂蚁河</w:t>
            </w:r>
            <w:r w:rsidRPr="00F81296">
              <w:rPr>
                <w:spacing w:val="-6"/>
                <w:szCs w:val="21"/>
              </w:rPr>
              <w:t>，基本不会造成地表水水质变化</w:t>
            </w:r>
          </w:p>
        </w:tc>
        <w:tc>
          <w:tcPr>
            <w:tcW w:w="874" w:type="dxa"/>
            <w:shd w:val="clear" w:color="auto" w:fill="auto"/>
            <w:tcMar>
              <w:left w:w="85" w:type="dxa"/>
              <w:right w:w="85" w:type="dxa"/>
            </w:tcMar>
            <w:vAlign w:val="center"/>
          </w:tcPr>
          <w:p w:rsidR="00C223F5" w:rsidRDefault="005860D5" w:rsidP="004173AA">
            <w:pPr>
              <w:spacing w:line="264" w:lineRule="auto"/>
              <w:jc w:val="center"/>
              <w:rPr>
                <w:szCs w:val="21"/>
              </w:rPr>
            </w:pPr>
            <w:r>
              <w:rPr>
                <w:rFonts w:ascii="宋体" w:hAnsi="宋体" w:cs="宋体" w:hint="eastAsia"/>
                <w:szCs w:val="21"/>
              </w:rPr>
              <w:t>符合</w:t>
            </w:r>
          </w:p>
        </w:tc>
      </w:tr>
      <w:tr w:rsidR="00C223F5">
        <w:trPr>
          <w:trHeight w:val="28"/>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15</w:t>
            </w:r>
          </w:p>
        </w:tc>
        <w:tc>
          <w:tcPr>
            <w:tcW w:w="1871" w:type="dxa"/>
            <w:shd w:val="clear" w:color="auto" w:fill="auto"/>
            <w:tcMar>
              <w:left w:w="85" w:type="dxa"/>
              <w:right w:w="85" w:type="dxa"/>
            </w:tcMar>
            <w:vAlign w:val="center"/>
          </w:tcPr>
          <w:p w:rsidR="00C223F5" w:rsidRDefault="005860D5" w:rsidP="004173AA">
            <w:pPr>
              <w:spacing w:line="264" w:lineRule="auto"/>
              <w:jc w:val="center"/>
              <w:rPr>
                <w:szCs w:val="21"/>
              </w:rPr>
            </w:pPr>
            <w:r>
              <w:rPr>
                <w:rFonts w:ascii="宋体" w:hAnsi="宋体" w:cs="宋体" w:hint="eastAsia"/>
                <w:szCs w:val="21"/>
              </w:rPr>
              <w:t>《榆林市经济社会发展总体规划(</w:t>
            </w:r>
            <w:r>
              <w:rPr>
                <w:szCs w:val="21"/>
              </w:rPr>
              <w:t>2016-2030</w:t>
            </w:r>
            <w:r>
              <w:rPr>
                <w:rFonts w:ascii="宋体" w:hAnsi="宋体" w:cs="宋体" w:hint="eastAsia"/>
                <w:szCs w:val="21"/>
              </w:rPr>
              <w:t>)》</w:t>
            </w:r>
          </w:p>
        </w:tc>
        <w:tc>
          <w:tcPr>
            <w:tcW w:w="6480" w:type="dxa"/>
            <w:shd w:val="clear" w:color="auto" w:fill="auto"/>
            <w:tcMar>
              <w:left w:w="85" w:type="dxa"/>
              <w:right w:w="85" w:type="dxa"/>
            </w:tcMar>
            <w:vAlign w:val="center"/>
          </w:tcPr>
          <w:p w:rsidR="00C223F5" w:rsidRPr="00F81296" w:rsidRDefault="005860D5" w:rsidP="004173AA">
            <w:pPr>
              <w:spacing w:line="264" w:lineRule="auto"/>
              <w:rPr>
                <w:rFonts w:ascii="宋体" w:hAnsi="宋体" w:cs="宋体"/>
                <w:spacing w:val="-6"/>
                <w:szCs w:val="21"/>
              </w:rPr>
            </w:pPr>
            <w:r w:rsidRPr="00F81296">
              <w:rPr>
                <w:rFonts w:ascii="宋体" w:hAnsi="宋体" w:cs="宋体" w:hint="eastAsia"/>
                <w:spacing w:val="-6"/>
                <w:szCs w:val="21"/>
              </w:rPr>
              <w:t>榆林市空间开发负面清单. 煤炭资源综合回收率达到80%以上。提高煤矸石、工业废渣综合利用率。</w:t>
            </w:r>
          </w:p>
        </w:tc>
        <w:tc>
          <w:tcPr>
            <w:tcW w:w="4505" w:type="dxa"/>
            <w:shd w:val="clear" w:color="auto" w:fill="auto"/>
            <w:tcMar>
              <w:left w:w="85" w:type="dxa"/>
              <w:right w:w="85" w:type="dxa"/>
            </w:tcMar>
            <w:vAlign w:val="center"/>
          </w:tcPr>
          <w:p w:rsidR="00C223F5" w:rsidRPr="00F81296" w:rsidRDefault="005860D5" w:rsidP="00FB157E">
            <w:pPr>
              <w:spacing w:line="264" w:lineRule="auto"/>
              <w:rPr>
                <w:spacing w:val="-6"/>
                <w:szCs w:val="21"/>
                <w:highlight w:val="yellow"/>
              </w:rPr>
            </w:pPr>
            <w:r w:rsidRPr="00F81296">
              <w:rPr>
                <w:rFonts w:hAnsi="宋体" w:hint="eastAsia"/>
                <w:kern w:val="0"/>
                <w:szCs w:val="21"/>
              </w:rPr>
              <w:t>井田内的大理河重要湿地</w:t>
            </w:r>
            <w:r w:rsidR="00FB157E">
              <w:rPr>
                <w:rFonts w:hAnsi="宋体" w:hint="eastAsia"/>
                <w:color w:val="FF0000"/>
                <w:kern w:val="0"/>
                <w:szCs w:val="21"/>
              </w:rPr>
              <w:t>下</w:t>
            </w:r>
            <w:r w:rsidR="00FB157E" w:rsidRPr="00FB157E">
              <w:rPr>
                <w:rFonts w:hAnsi="宋体" w:hint="eastAsia"/>
                <w:color w:val="FF0000"/>
                <w:kern w:val="0"/>
                <w:szCs w:val="21"/>
              </w:rPr>
              <w:t>游为无煤区，</w:t>
            </w:r>
            <w:r w:rsidR="00FB157E">
              <w:rPr>
                <w:rFonts w:hAnsi="宋体" w:hint="eastAsia"/>
                <w:color w:val="FF0000"/>
                <w:kern w:val="0"/>
                <w:szCs w:val="21"/>
              </w:rPr>
              <w:t>上</w:t>
            </w:r>
            <w:r w:rsidR="00FB157E" w:rsidRPr="00FB157E">
              <w:rPr>
                <w:rFonts w:hAnsi="宋体" w:hint="eastAsia"/>
                <w:color w:val="FF0000"/>
                <w:kern w:val="0"/>
                <w:szCs w:val="21"/>
              </w:rPr>
              <w:t>游</w:t>
            </w:r>
            <w:r w:rsidR="00212F71">
              <w:rPr>
                <w:rFonts w:hAnsi="宋体" w:hint="eastAsia"/>
                <w:color w:val="FF0000"/>
                <w:kern w:val="0"/>
                <w:szCs w:val="21"/>
              </w:rPr>
              <w:t>河流及湿地</w:t>
            </w:r>
            <w:r w:rsidR="00FB157E" w:rsidRPr="00FB157E">
              <w:rPr>
                <w:rFonts w:hAnsi="宋体" w:hint="eastAsia"/>
                <w:color w:val="FF0000"/>
                <w:kern w:val="0"/>
                <w:szCs w:val="21"/>
              </w:rPr>
              <w:t>已留设保护煤柱，不开采</w:t>
            </w:r>
            <w:r w:rsidRPr="00F81296">
              <w:rPr>
                <w:rFonts w:hAnsi="宋体" w:hint="eastAsia"/>
                <w:kern w:val="0"/>
                <w:szCs w:val="21"/>
              </w:rPr>
              <w:t>；</w:t>
            </w:r>
            <w:r w:rsidRPr="00F81296">
              <w:rPr>
                <w:rFonts w:hAnsi="宋体" w:hint="eastAsia"/>
                <w:spacing w:val="-6"/>
                <w:szCs w:val="21"/>
              </w:rPr>
              <w:t>项目工作面回采率</w:t>
            </w:r>
            <w:r w:rsidRPr="00F81296">
              <w:rPr>
                <w:rFonts w:hAnsi="宋体" w:hint="eastAsia"/>
                <w:spacing w:val="-6"/>
                <w:szCs w:val="21"/>
              </w:rPr>
              <w:t>95%</w:t>
            </w:r>
            <w:r w:rsidRPr="00F81296">
              <w:rPr>
                <w:rFonts w:hAnsi="宋体" w:hint="eastAsia"/>
                <w:spacing w:val="-6"/>
                <w:szCs w:val="21"/>
              </w:rPr>
              <w:t>，煤矸石</w:t>
            </w:r>
            <w:r w:rsidRPr="00F81296">
              <w:rPr>
                <w:rFonts w:hAnsi="宋体" w:hint="eastAsia"/>
                <w:spacing w:val="-6"/>
                <w:szCs w:val="21"/>
              </w:rPr>
              <w:t>100%</w:t>
            </w:r>
            <w:r w:rsidRPr="00F81296">
              <w:rPr>
                <w:rFonts w:hAnsi="宋体" w:hint="eastAsia"/>
                <w:spacing w:val="-6"/>
                <w:szCs w:val="21"/>
              </w:rPr>
              <w:t>综合利用</w:t>
            </w:r>
          </w:p>
        </w:tc>
        <w:tc>
          <w:tcPr>
            <w:tcW w:w="874" w:type="dxa"/>
            <w:shd w:val="clear" w:color="auto" w:fill="auto"/>
            <w:tcMar>
              <w:left w:w="85" w:type="dxa"/>
              <w:right w:w="85" w:type="dxa"/>
            </w:tcMar>
            <w:vAlign w:val="center"/>
          </w:tcPr>
          <w:p w:rsidR="00C223F5" w:rsidRDefault="005860D5" w:rsidP="004173AA">
            <w:pPr>
              <w:spacing w:line="264" w:lineRule="auto"/>
              <w:jc w:val="center"/>
              <w:rPr>
                <w:szCs w:val="21"/>
              </w:rPr>
            </w:pPr>
            <w:r>
              <w:rPr>
                <w:rFonts w:ascii="宋体" w:hAnsi="宋体" w:cs="宋体" w:hint="eastAsia"/>
                <w:szCs w:val="21"/>
              </w:rPr>
              <w:t>符合</w:t>
            </w:r>
          </w:p>
        </w:tc>
      </w:tr>
      <w:tr w:rsidR="00C223F5">
        <w:trPr>
          <w:trHeight w:val="28"/>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szCs w:val="21"/>
              </w:rPr>
            </w:pPr>
            <w:r>
              <w:rPr>
                <w:szCs w:val="21"/>
              </w:rPr>
              <w:t>16</w:t>
            </w:r>
          </w:p>
        </w:tc>
        <w:tc>
          <w:tcPr>
            <w:tcW w:w="1871" w:type="dxa"/>
            <w:shd w:val="clear" w:color="auto" w:fill="auto"/>
            <w:tcMar>
              <w:left w:w="85" w:type="dxa"/>
              <w:right w:w="85" w:type="dxa"/>
            </w:tcMar>
            <w:vAlign w:val="center"/>
          </w:tcPr>
          <w:p w:rsidR="00C223F5" w:rsidRDefault="005860D5" w:rsidP="004173AA">
            <w:pPr>
              <w:spacing w:line="264" w:lineRule="auto"/>
              <w:jc w:val="center"/>
              <w:rPr>
                <w:rFonts w:hAnsi="宋体"/>
                <w:szCs w:val="21"/>
              </w:rPr>
            </w:pPr>
            <w:r>
              <w:rPr>
                <w:rFonts w:hint="eastAsia"/>
              </w:rPr>
              <w:t>《榆林市土地利用总体规划》</w:t>
            </w:r>
            <w:r>
              <w:rPr>
                <w:rFonts w:hint="eastAsia"/>
              </w:rPr>
              <w:t>(2006-2020)</w:t>
            </w:r>
            <w:r>
              <w:rPr>
                <w:rFonts w:hint="eastAsia"/>
              </w:rPr>
              <w:t>》</w:t>
            </w:r>
          </w:p>
        </w:tc>
        <w:tc>
          <w:tcPr>
            <w:tcW w:w="6480" w:type="dxa"/>
            <w:shd w:val="clear" w:color="auto" w:fill="auto"/>
            <w:tcMar>
              <w:left w:w="85" w:type="dxa"/>
              <w:right w:w="85" w:type="dxa"/>
            </w:tcMar>
            <w:vAlign w:val="center"/>
          </w:tcPr>
          <w:p w:rsidR="00C223F5" w:rsidRPr="00F81296" w:rsidRDefault="005860D5" w:rsidP="004173AA">
            <w:pPr>
              <w:spacing w:line="264" w:lineRule="auto"/>
              <w:rPr>
                <w:rFonts w:hAnsi="宋体"/>
                <w:szCs w:val="21"/>
              </w:rPr>
            </w:pPr>
            <w:r w:rsidRPr="00F81296">
              <w:rPr>
                <w:rFonts w:hAnsi="宋体" w:hint="eastAsia"/>
                <w:szCs w:val="21"/>
              </w:rPr>
              <w:t>独立工矿区主要分布在神府新民矿区、榆神矿区，榆横矿区，米脂岩盐矿区等。本区域是煤矿、油田、盐化工等建设用地集中布局的区域。</w:t>
            </w:r>
          </w:p>
        </w:tc>
        <w:tc>
          <w:tcPr>
            <w:tcW w:w="4505" w:type="dxa"/>
            <w:shd w:val="clear" w:color="auto" w:fill="auto"/>
            <w:tcMar>
              <w:left w:w="85" w:type="dxa"/>
              <w:right w:w="85" w:type="dxa"/>
            </w:tcMar>
            <w:vAlign w:val="center"/>
          </w:tcPr>
          <w:p w:rsidR="00C223F5" w:rsidRPr="00F81296" w:rsidRDefault="005860D5" w:rsidP="004173AA">
            <w:pPr>
              <w:spacing w:line="264" w:lineRule="auto"/>
              <w:rPr>
                <w:rFonts w:ascii="宋体" w:hAnsi="宋体" w:cs="宋体"/>
                <w:spacing w:val="-6"/>
                <w:szCs w:val="21"/>
              </w:rPr>
            </w:pPr>
            <w:r w:rsidRPr="00F81296">
              <w:rPr>
                <w:rFonts w:ascii="宋体" w:hAnsi="宋体" w:cs="宋体" w:hint="eastAsia"/>
                <w:spacing w:val="-6"/>
                <w:szCs w:val="21"/>
              </w:rPr>
              <w:t>本井田所在区域尚未划定规划矿区，属已生产独立矿井和地方煤矿资源整合区。井田北部与王家峁井田相邻，西部为</w:t>
            </w:r>
            <w:r w:rsidRPr="00F81296">
              <w:rPr>
                <w:rFonts w:ascii="宋体" w:hAnsi="宋体" w:cs="宋体"/>
                <w:spacing w:val="-6"/>
                <w:szCs w:val="21"/>
              </w:rPr>
              <w:t>石湾煤矿地质普查区</w:t>
            </w:r>
            <w:r w:rsidRPr="00F81296">
              <w:rPr>
                <w:rFonts w:ascii="宋体" w:hAnsi="宋体" w:cs="宋体" w:hint="eastAsia"/>
                <w:spacing w:val="-6"/>
                <w:szCs w:val="21"/>
              </w:rPr>
              <w:t>，东、南部为</w:t>
            </w:r>
            <w:r w:rsidRPr="00F81296">
              <w:rPr>
                <w:rFonts w:ascii="宋体" w:hAnsi="宋体" w:cs="宋体"/>
                <w:spacing w:val="-6"/>
                <w:szCs w:val="21"/>
              </w:rPr>
              <w:t>横山县沈石畔勘查区</w:t>
            </w:r>
            <w:r w:rsidRPr="00F81296">
              <w:rPr>
                <w:rFonts w:ascii="宋体" w:hAnsi="宋体" w:cs="宋体" w:hint="eastAsia"/>
                <w:spacing w:val="-6"/>
                <w:szCs w:val="21"/>
              </w:rPr>
              <w:t>，周边无矿业权设置；项目工业场地用地性质属于建设用地</w:t>
            </w:r>
          </w:p>
        </w:tc>
        <w:tc>
          <w:tcPr>
            <w:tcW w:w="874" w:type="dxa"/>
            <w:shd w:val="clear" w:color="auto" w:fill="auto"/>
            <w:tcMar>
              <w:left w:w="85" w:type="dxa"/>
              <w:right w:w="85" w:type="dxa"/>
            </w:tcMar>
            <w:vAlign w:val="center"/>
          </w:tcPr>
          <w:p w:rsidR="00C223F5" w:rsidRDefault="005860D5" w:rsidP="004173AA">
            <w:pPr>
              <w:spacing w:line="264" w:lineRule="auto"/>
              <w:jc w:val="center"/>
              <w:rPr>
                <w:rFonts w:ascii="宋体" w:hAnsi="宋体" w:cs="宋体"/>
                <w:szCs w:val="21"/>
              </w:rPr>
            </w:pPr>
            <w:r>
              <w:rPr>
                <w:rFonts w:ascii="宋体" w:hAnsi="宋体" w:cs="宋体" w:hint="eastAsia"/>
                <w:szCs w:val="21"/>
              </w:rPr>
              <w:t>符合</w:t>
            </w:r>
          </w:p>
        </w:tc>
      </w:tr>
    </w:tbl>
    <w:p w:rsidR="00C223F5" w:rsidRDefault="005860D5" w:rsidP="004173AA">
      <w:pPr>
        <w:jc w:val="center"/>
      </w:pPr>
      <w:r>
        <w:rPr>
          <w:rFonts w:hAnsi="Calibri" w:hint="eastAsia"/>
          <w:b/>
          <w:sz w:val="24"/>
        </w:rPr>
        <w:lastRenderedPageBreak/>
        <w:t>续</w:t>
      </w:r>
      <w:r>
        <w:rPr>
          <w:rFonts w:hAnsi="Calibri"/>
          <w:b/>
          <w:sz w:val="24"/>
        </w:rPr>
        <w:t>表</w:t>
      </w:r>
      <w:r>
        <w:rPr>
          <w:rFonts w:hint="eastAsia"/>
          <w:b/>
          <w:sz w:val="24"/>
        </w:rPr>
        <w:t xml:space="preserve">1  </w:t>
      </w:r>
      <w:r>
        <w:rPr>
          <w:rFonts w:hAnsi="Calibri"/>
          <w:b/>
          <w:sz w:val="24"/>
        </w:rPr>
        <w:t>本项目与相关</w:t>
      </w:r>
      <w:r>
        <w:rPr>
          <w:rFonts w:hAnsi="Calibri" w:hint="eastAsia"/>
          <w:b/>
          <w:sz w:val="24"/>
        </w:rPr>
        <w:t>政策及规划</w:t>
      </w:r>
      <w:r>
        <w:rPr>
          <w:rFonts w:hAnsi="Calibri"/>
          <w:b/>
          <w:sz w:val="24"/>
        </w:rPr>
        <w:t>相符性分析</w:t>
      </w:r>
    </w:p>
    <w:tbl>
      <w:tblPr>
        <w:tblW w:w="14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4A0" w:firstRow="1" w:lastRow="0" w:firstColumn="1" w:lastColumn="0" w:noHBand="0" w:noVBand="1"/>
      </w:tblPr>
      <w:tblGrid>
        <w:gridCol w:w="634"/>
        <w:gridCol w:w="2105"/>
        <w:gridCol w:w="5502"/>
        <w:gridCol w:w="4938"/>
        <w:gridCol w:w="874"/>
      </w:tblGrid>
      <w:tr w:rsidR="00C223F5">
        <w:trPr>
          <w:trHeight w:val="185"/>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序号</w:t>
            </w:r>
          </w:p>
        </w:tc>
        <w:tc>
          <w:tcPr>
            <w:tcW w:w="2105"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相关政策、规划</w:t>
            </w:r>
          </w:p>
        </w:tc>
        <w:tc>
          <w:tcPr>
            <w:tcW w:w="5502"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要求</w:t>
            </w:r>
          </w:p>
        </w:tc>
        <w:tc>
          <w:tcPr>
            <w:tcW w:w="4938"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本项目情况</w:t>
            </w:r>
          </w:p>
        </w:tc>
        <w:tc>
          <w:tcPr>
            <w:tcW w:w="874" w:type="dxa"/>
            <w:shd w:val="clear" w:color="auto" w:fill="auto"/>
            <w:tcMar>
              <w:left w:w="85" w:type="dxa"/>
              <w:right w:w="85" w:type="dxa"/>
            </w:tcMar>
            <w:vAlign w:val="center"/>
          </w:tcPr>
          <w:p w:rsidR="00C223F5" w:rsidRDefault="005860D5" w:rsidP="004173AA">
            <w:pPr>
              <w:spacing w:line="260" w:lineRule="exact"/>
              <w:jc w:val="center"/>
              <w:rPr>
                <w:b/>
                <w:szCs w:val="21"/>
              </w:rPr>
            </w:pPr>
            <w:r>
              <w:rPr>
                <w:b/>
                <w:szCs w:val="21"/>
              </w:rPr>
              <w:t>符合性</w:t>
            </w:r>
          </w:p>
        </w:tc>
      </w:tr>
      <w:tr w:rsidR="00C223F5">
        <w:trPr>
          <w:trHeight w:val="225"/>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szCs w:val="21"/>
              </w:rPr>
            </w:pPr>
            <w:r>
              <w:rPr>
                <w:szCs w:val="21"/>
              </w:rPr>
              <w:t>17</w:t>
            </w:r>
          </w:p>
        </w:tc>
        <w:tc>
          <w:tcPr>
            <w:tcW w:w="2105" w:type="dxa"/>
            <w:shd w:val="clear" w:color="auto" w:fill="auto"/>
            <w:tcMar>
              <w:left w:w="85" w:type="dxa"/>
              <w:right w:w="85" w:type="dxa"/>
            </w:tcMar>
            <w:vAlign w:val="center"/>
          </w:tcPr>
          <w:p w:rsidR="00C223F5" w:rsidRDefault="005860D5" w:rsidP="004173AA">
            <w:pPr>
              <w:spacing w:line="264" w:lineRule="auto"/>
              <w:jc w:val="center"/>
            </w:pPr>
            <w:r>
              <w:rPr>
                <w:rFonts w:hint="eastAsia"/>
              </w:rPr>
              <w:t>《水污染防治行动</w:t>
            </w:r>
          </w:p>
          <w:p w:rsidR="00C223F5" w:rsidRDefault="005860D5" w:rsidP="004173AA">
            <w:pPr>
              <w:spacing w:line="264" w:lineRule="auto"/>
              <w:jc w:val="center"/>
              <w:rPr>
                <w:rFonts w:hAnsi="宋体"/>
                <w:szCs w:val="21"/>
              </w:rPr>
            </w:pPr>
            <w:r>
              <w:rPr>
                <w:rFonts w:hint="eastAsia"/>
              </w:rPr>
              <w:t>计划》</w:t>
            </w:r>
          </w:p>
        </w:tc>
        <w:tc>
          <w:tcPr>
            <w:tcW w:w="5502" w:type="dxa"/>
            <w:shd w:val="clear" w:color="auto" w:fill="auto"/>
            <w:tcMar>
              <w:left w:w="85" w:type="dxa"/>
              <w:right w:w="85" w:type="dxa"/>
            </w:tcMar>
            <w:vAlign w:val="center"/>
          </w:tcPr>
          <w:p w:rsidR="00C223F5" w:rsidRDefault="005860D5" w:rsidP="004173AA">
            <w:pPr>
              <w:widowControl/>
              <w:spacing w:before="100" w:beforeAutospacing="1" w:after="100" w:afterAutospacing="1" w:line="330" w:lineRule="atLeast"/>
              <w:rPr>
                <w:rFonts w:hAnsi="宋体"/>
                <w:szCs w:val="21"/>
              </w:rPr>
            </w:pPr>
            <w:r>
              <w:rPr>
                <w:rFonts w:hAnsi="宋体" w:hint="eastAsia"/>
                <w:szCs w:val="21"/>
              </w:rPr>
              <w:t>推进循环发展。加强工业水循环利用。推进矿井水综合利用，煤炭矿区的补充用水、周边地区生产和生态用水应优先使用矿井水，加强洗煤废水循环利用。</w:t>
            </w:r>
          </w:p>
        </w:tc>
        <w:tc>
          <w:tcPr>
            <w:tcW w:w="4938" w:type="dxa"/>
            <w:shd w:val="clear" w:color="auto" w:fill="auto"/>
            <w:tcMar>
              <w:left w:w="85" w:type="dxa"/>
              <w:right w:w="85" w:type="dxa"/>
            </w:tcMar>
            <w:vAlign w:val="center"/>
          </w:tcPr>
          <w:p w:rsidR="00C223F5" w:rsidRDefault="005860D5" w:rsidP="004173AA">
            <w:pPr>
              <w:spacing w:line="264" w:lineRule="auto"/>
              <w:rPr>
                <w:rFonts w:ascii="宋体" w:hAnsi="宋体" w:cs="宋体"/>
                <w:szCs w:val="21"/>
              </w:rPr>
            </w:pPr>
            <w:r>
              <w:rPr>
                <w:rFonts w:ascii="宋体" w:hAnsi="宋体" w:cs="宋体"/>
                <w:szCs w:val="21"/>
              </w:rPr>
              <w:t>矿井煤泥水闭路循环；井下涌水处理后优先综合利用，少量剩余排入</w:t>
            </w:r>
            <w:r>
              <w:rPr>
                <w:rFonts w:ascii="宋体" w:hAnsi="宋体" w:cs="宋体" w:hint="eastAsia"/>
                <w:szCs w:val="21"/>
              </w:rPr>
              <w:t>蚂蚁河</w:t>
            </w:r>
          </w:p>
        </w:tc>
        <w:tc>
          <w:tcPr>
            <w:tcW w:w="874" w:type="dxa"/>
            <w:shd w:val="clear" w:color="auto" w:fill="auto"/>
            <w:tcMar>
              <w:left w:w="85" w:type="dxa"/>
              <w:right w:w="85" w:type="dxa"/>
            </w:tcMar>
            <w:vAlign w:val="center"/>
          </w:tcPr>
          <w:p w:rsidR="00C223F5" w:rsidRDefault="005860D5" w:rsidP="004173AA">
            <w:pPr>
              <w:spacing w:line="264" w:lineRule="auto"/>
              <w:jc w:val="center"/>
              <w:rPr>
                <w:rFonts w:ascii="宋体" w:hAnsi="宋体" w:cs="宋体"/>
                <w:szCs w:val="21"/>
              </w:rPr>
            </w:pPr>
            <w:r>
              <w:rPr>
                <w:rFonts w:ascii="宋体" w:hAnsi="宋体" w:cs="宋体" w:hint="eastAsia"/>
                <w:szCs w:val="21"/>
              </w:rPr>
              <w:t>符合</w:t>
            </w:r>
          </w:p>
        </w:tc>
      </w:tr>
      <w:tr w:rsidR="00C223F5">
        <w:trPr>
          <w:trHeight w:val="958"/>
          <w:jc w:val="center"/>
        </w:trPr>
        <w:tc>
          <w:tcPr>
            <w:tcW w:w="634"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1</w:t>
            </w:r>
            <w:r>
              <w:rPr>
                <w:szCs w:val="21"/>
              </w:rPr>
              <w:t>8</w:t>
            </w:r>
          </w:p>
        </w:tc>
        <w:tc>
          <w:tcPr>
            <w:tcW w:w="2105" w:type="dxa"/>
            <w:shd w:val="clear" w:color="auto" w:fill="auto"/>
            <w:tcMar>
              <w:left w:w="85" w:type="dxa"/>
              <w:right w:w="85" w:type="dxa"/>
            </w:tcMar>
            <w:vAlign w:val="center"/>
          </w:tcPr>
          <w:p w:rsidR="00C223F5" w:rsidRDefault="005860D5" w:rsidP="004173AA">
            <w:pPr>
              <w:spacing w:line="264" w:lineRule="auto"/>
              <w:jc w:val="center"/>
              <w:rPr>
                <w:rFonts w:hAnsi="宋体"/>
                <w:szCs w:val="21"/>
              </w:rPr>
            </w:pPr>
            <w:r>
              <w:rPr>
                <w:rFonts w:hint="eastAsia"/>
              </w:rPr>
              <w:t>《陕西省加强陕北地区环境保护的若干意见》</w:t>
            </w:r>
          </w:p>
        </w:tc>
        <w:tc>
          <w:tcPr>
            <w:tcW w:w="5502" w:type="dxa"/>
            <w:shd w:val="clear" w:color="auto" w:fill="auto"/>
            <w:tcMar>
              <w:left w:w="85" w:type="dxa"/>
              <w:right w:w="85" w:type="dxa"/>
            </w:tcMar>
            <w:vAlign w:val="center"/>
          </w:tcPr>
          <w:p w:rsidR="00C223F5" w:rsidRDefault="005860D5" w:rsidP="004173AA">
            <w:pPr>
              <w:spacing w:line="264" w:lineRule="auto"/>
              <w:rPr>
                <w:rFonts w:hAnsi="宋体"/>
                <w:szCs w:val="21"/>
              </w:rPr>
            </w:pPr>
            <w:r>
              <w:rPr>
                <w:rFonts w:hAnsi="宋体"/>
                <w:szCs w:val="21"/>
              </w:rPr>
              <w:t>严格建设项目“三同时”制度。建设项目的环境保护设施，必须与主体工程同时设计、同时施工、同时投产使用</w:t>
            </w:r>
            <w:r>
              <w:rPr>
                <w:rFonts w:hAnsi="宋体" w:hint="eastAsia"/>
                <w:szCs w:val="21"/>
              </w:rPr>
              <w:t>。</w:t>
            </w:r>
          </w:p>
          <w:p w:rsidR="00C223F5" w:rsidRDefault="005860D5" w:rsidP="004173AA">
            <w:pPr>
              <w:spacing w:line="264" w:lineRule="auto"/>
              <w:rPr>
                <w:rFonts w:hAnsi="宋体"/>
                <w:szCs w:val="21"/>
              </w:rPr>
            </w:pPr>
            <w:r>
              <w:rPr>
                <w:rFonts w:hAnsi="宋体"/>
                <w:szCs w:val="21"/>
              </w:rPr>
              <w:t>新建项目必须按照循环经济要求，努力做到废弃物不排、少排或做到无害化、减量化、资源化。</w:t>
            </w:r>
          </w:p>
          <w:p w:rsidR="00C223F5" w:rsidRDefault="005860D5" w:rsidP="004173AA">
            <w:pPr>
              <w:spacing w:line="264" w:lineRule="auto"/>
              <w:rPr>
                <w:rFonts w:hAnsi="宋体"/>
                <w:szCs w:val="21"/>
              </w:rPr>
            </w:pPr>
            <w:r>
              <w:rPr>
                <w:rFonts w:hAnsi="宋体"/>
                <w:szCs w:val="21"/>
              </w:rPr>
              <w:t>煤炭开采中，采取采煤防水措施，防止破坏隔水层，禁止在风沙区、城市规划区开采地下浅层水。</w:t>
            </w:r>
          </w:p>
        </w:tc>
        <w:tc>
          <w:tcPr>
            <w:tcW w:w="4938" w:type="dxa"/>
            <w:shd w:val="clear" w:color="auto" w:fill="auto"/>
            <w:tcMar>
              <w:left w:w="85" w:type="dxa"/>
              <w:right w:w="85" w:type="dxa"/>
            </w:tcMar>
            <w:vAlign w:val="center"/>
          </w:tcPr>
          <w:p w:rsidR="00C223F5" w:rsidRDefault="005860D5" w:rsidP="004173AA">
            <w:pPr>
              <w:spacing w:line="264" w:lineRule="auto"/>
              <w:rPr>
                <w:rFonts w:hAnsi="宋体"/>
                <w:szCs w:val="32"/>
              </w:rPr>
            </w:pPr>
            <w:r>
              <w:rPr>
                <w:rFonts w:hAnsi="宋体"/>
                <w:szCs w:val="32"/>
              </w:rPr>
              <w:t>执行建设项目</w:t>
            </w:r>
            <w:r>
              <w:rPr>
                <w:szCs w:val="32"/>
              </w:rPr>
              <w:t>“</w:t>
            </w:r>
            <w:r>
              <w:rPr>
                <w:rFonts w:hAnsi="宋体"/>
                <w:szCs w:val="32"/>
              </w:rPr>
              <w:t>三同时</w:t>
            </w:r>
            <w:r>
              <w:rPr>
                <w:szCs w:val="32"/>
              </w:rPr>
              <w:t>”</w:t>
            </w:r>
            <w:r>
              <w:rPr>
                <w:rFonts w:hAnsi="宋体"/>
                <w:szCs w:val="32"/>
              </w:rPr>
              <w:t>制度</w:t>
            </w:r>
            <w:r>
              <w:rPr>
                <w:rFonts w:hAnsi="宋体" w:hint="eastAsia"/>
                <w:szCs w:val="32"/>
              </w:rPr>
              <w:t>；</w:t>
            </w:r>
          </w:p>
          <w:p w:rsidR="00C223F5" w:rsidRDefault="005860D5" w:rsidP="004173AA">
            <w:pPr>
              <w:spacing w:line="264" w:lineRule="auto"/>
              <w:rPr>
                <w:rFonts w:hAnsi="宋体"/>
                <w:szCs w:val="21"/>
              </w:rPr>
            </w:pPr>
            <w:r>
              <w:rPr>
                <w:rFonts w:hAnsi="宋体"/>
                <w:szCs w:val="21"/>
              </w:rPr>
              <w:t>井下涌水处理后优先综合利用，</w:t>
            </w:r>
            <w:r>
              <w:rPr>
                <w:szCs w:val="21"/>
              </w:rPr>
              <w:t>少量</w:t>
            </w:r>
            <w:r>
              <w:rPr>
                <w:rFonts w:hAnsi="宋体"/>
                <w:szCs w:val="21"/>
              </w:rPr>
              <w:t>剩余排入</w:t>
            </w:r>
            <w:r>
              <w:rPr>
                <w:rFonts w:hAnsi="宋体" w:hint="eastAsia"/>
                <w:szCs w:val="21"/>
              </w:rPr>
              <w:t>蚂蚁河</w:t>
            </w:r>
            <w:r>
              <w:rPr>
                <w:rFonts w:hAnsi="宋体"/>
                <w:szCs w:val="21"/>
              </w:rPr>
              <w:t>，</w:t>
            </w:r>
            <w:r>
              <w:rPr>
                <w:rFonts w:hAnsi="宋体" w:hint="eastAsia"/>
                <w:szCs w:val="21"/>
              </w:rPr>
              <w:t>固废全部综合利用或外委处置；</w:t>
            </w:r>
          </w:p>
          <w:p w:rsidR="00C223F5" w:rsidRDefault="005860D5" w:rsidP="004173AA">
            <w:pPr>
              <w:spacing w:line="264" w:lineRule="auto"/>
              <w:rPr>
                <w:szCs w:val="21"/>
              </w:rPr>
            </w:pPr>
            <w:r>
              <w:rPr>
                <w:rFonts w:hAnsi="宋体" w:hint="eastAsia"/>
                <w:szCs w:val="21"/>
              </w:rPr>
              <w:t>采取采煤防水措施，优先使用处理后矿井水，未在</w:t>
            </w:r>
            <w:r>
              <w:rPr>
                <w:rFonts w:hAnsi="宋体"/>
                <w:szCs w:val="21"/>
              </w:rPr>
              <w:t>风沙区、城市规划区开采地下浅层水</w:t>
            </w:r>
          </w:p>
        </w:tc>
        <w:tc>
          <w:tcPr>
            <w:tcW w:w="874" w:type="dxa"/>
            <w:shd w:val="clear" w:color="auto" w:fill="auto"/>
            <w:tcMar>
              <w:left w:w="85" w:type="dxa"/>
              <w:right w:w="85" w:type="dxa"/>
            </w:tcMar>
            <w:vAlign w:val="center"/>
          </w:tcPr>
          <w:p w:rsidR="00C223F5" w:rsidRDefault="005860D5" w:rsidP="004173AA">
            <w:pPr>
              <w:spacing w:line="264" w:lineRule="auto"/>
              <w:jc w:val="center"/>
              <w:rPr>
                <w:rFonts w:ascii="宋体" w:hAnsi="宋体" w:cs="宋体"/>
                <w:szCs w:val="21"/>
              </w:rPr>
            </w:pPr>
            <w:r>
              <w:rPr>
                <w:rFonts w:ascii="宋体" w:hAnsi="宋体" w:cs="宋体" w:hint="eastAsia"/>
                <w:szCs w:val="21"/>
              </w:rPr>
              <w:t>符合</w:t>
            </w:r>
          </w:p>
        </w:tc>
      </w:tr>
      <w:tr w:rsidR="00C223F5">
        <w:trPr>
          <w:trHeight w:val="729"/>
          <w:jc w:val="center"/>
        </w:trPr>
        <w:tc>
          <w:tcPr>
            <w:tcW w:w="634"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1</w:t>
            </w:r>
            <w:r w:rsidRPr="00F81296">
              <w:rPr>
                <w:szCs w:val="21"/>
              </w:rPr>
              <w:t>9</w:t>
            </w:r>
          </w:p>
        </w:tc>
        <w:tc>
          <w:tcPr>
            <w:tcW w:w="2105" w:type="dxa"/>
            <w:shd w:val="clear" w:color="auto" w:fill="auto"/>
            <w:tcMar>
              <w:left w:w="85" w:type="dxa"/>
              <w:right w:w="85" w:type="dxa"/>
            </w:tcMar>
            <w:vAlign w:val="center"/>
          </w:tcPr>
          <w:p w:rsidR="00C223F5" w:rsidRPr="00F81296" w:rsidRDefault="005860D5" w:rsidP="004173AA">
            <w:pPr>
              <w:spacing w:line="264" w:lineRule="auto"/>
              <w:jc w:val="center"/>
            </w:pPr>
            <w:r w:rsidRPr="00F81296">
              <w:rPr>
                <w:rFonts w:hint="eastAsia"/>
              </w:rPr>
              <w:t>《陕西省煤矿瓦斯防治十条规定》</w:t>
            </w:r>
          </w:p>
        </w:tc>
        <w:tc>
          <w:tcPr>
            <w:tcW w:w="5502" w:type="dxa"/>
            <w:shd w:val="clear" w:color="auto" w:fill="auto"/>
            <w:tcMar>
              <w:left w:w="85" w:type="dxa"/>
              <w:right w:w="85" w:type="dxa"/>
            </w:tcMar>
            <w:vAlign w:val="center"/>
          </w:tcPr>
          <w:p w:rsidR="00C223F5" w:rsidRPr="00F81296" w:rsidRDefault="005860D5" w:rsidP="004173AA">
            <w:pPr>
              <w:spacing w:line="264" w:lineRule="auto"/>
            </w:pPr>
            <w:r w:rsidRPr="00F81296">
              <w:t>确保通风系统稳定可靠。高、突矿井必须建立地面瓦斯抽采系统，预抽和卸压抽采实现高、低负压分开运行。</w:t>
            </w:r>
          </w:p>
          <w:p w:rsidR="00C223F5" w:rsidRPr="00F81296" w:rsidRDefault="005860D5" w:rsidP="004173AA">
            <w:pPr>
              <w:spacing w:line="264" w:lineRule="auto"/>
            </w:pPr>
            <w:r w:rsidRPr="00F81296">
              <w:t>加强监测监控。所有矿井必须装备可靠的安全监控系统，瓦斯监控值班与生产调度同台工作。</w:t>
            </w:r>
          </w:p>
        </w:tc>
        <w:tc>
          <w:tcPr>
            <w:tcW w:w="4938" w:type="dxa"/>
            <w:shd w:val="clear" w:color="auto" w:fill="auto"/>
            <w:tcMar>
              <w:left w:w="85" w:type="dxa"/>
              <w:right w:w="85" w:type="dxa"/>
            </w:tcMar>
            <w:vAlign w:val="center"/>
          </w:tcPr>
          <w:p w:rsidR="00C223F5" w:rsidRPr="00F81296" w:rsidRDefault="005860D5" w:rsidP="004173AA">
            <w:pPr>
              <w:spacing w:line="264" w:lineRule="auto"/>
              <w:rPr>
                <w:rFonts w:hAnsi="宋体"/>
                <w:szCs w:val="32"/>
              </w:rPr>
            </w:pPr>
            <w:r w:rsidRPr="00F81296">
              <w:rPr>
                <w:rFonts w:hAnsi="宋体" w:hint="eastAsia"/>
                <w:szCs w:val="32"/>
              </w:rPr>
              <w:t>项目井工开采建立可靠完善的井下通风系统；</w:t>
            </w:r>
          </w:p>
          <w:p w:rsidR="00C223F5" w:rsidRPr="00F81296" w:rsidRDefault="005860D5" w:rsidP="004173AA">
            <w:pPr>
              <w:spacing w:line="264" w:lineRule="auto"/>
              <w:rPr>
                <w:rFonts w:hAnsi="宋体"/>
                <w:szCs w:val="32"/>
              </w:rPr>
            </w:pPr>
            <w:r w:rsidRPr="00F81296">
              <w:rPr>
                <w:rFonts w:hAnsi="宋体" w:hint="eastAsia"/>
                <w:szCs w:val="32"/>
              </w:rPr>
              <w:t>本矿井为低瓦斯矿，生产期建立监控监测系统</w:t>
            </w:r>
          </w:p>
        </w:tc>
        <w:tc>
          <w:tcPr>
            <w:tcW w:w="874" w:type="dxa"/>
            <w:shd w:val="clear" w:color="auto" w:fill="auto"/>
            <w:tcMar>
              <w:left w:w="85" w:type="dxa"/>
              <w:right w:w="85" w:type="dxa"/>
            </w:tcMar>
            <w:vAlign w:val="center"/>
          </w:tcPr>
          <w:p w:rsidR="00C223F5" w:rsidRDefault="005860D5" w:rsidP="004173AA">
            <w:pPr>
              <w:spacing w:line="264" w:lineRule="auto"/>
              <w:jc w:val="center"/>
              <w:rPr>
                <w:rFonts w:ascii="宋体" w:hAnsi="宋体" w:cs="宋体"/>
                <w:szCs w:val="21"/>
              </w:rPr>
            </w:pPr>
            <w:r>
              <w:rPr>
                <w:rFonts w:ascii="宋体" w:hAnsi="宋体" w:cs="宋体" w:hint="eastAsia"/>
                <w:szCs w:val="21"/>
              </w:rPr>
              <w:t>符合</w:t>
            </w:r>
          </w:p>
        </w:tc>
      </w:tr>
      <w:tr w:rsidR="00C223F5">
        <w:trPr>
          <w:trHeight w:val="729"/>
          <w:jc w:val="center"/>
        </w:trPr>
        <w:tc>
          <w:tcPr>
            <w:tcW w:w="634"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20</w:t>
            </w:r>
          </w:p>
        </w:tc>
        <w:tc>
          <w:tcPr>
            <w:tcW w:w="2105" w:type="dxa"/>
            <w:shd w:val="clear" w:color="auto" w:fill="auto"/>
            <w:tcMar>
              <w:left w:w="85" w:type="dxa"/>
              <w:right w:w="85" w:type="dxa"/>
            </w:tcMar>
            <w:vAlign w:val="center"/>
          </w:tcPr>
          <w:p w:rsidR="00C223F5" w:rsidRPr="00F81296" w:rsidRDefault="005860D5" w:rsidP="004173AA">
            <w:pPr>
              <w:spacing w:line="264" w:lineRule="auto"/>
              <w:jc w:val="center"/>
            </w:pPr>
            <w:r w:rsidRPr="00F81296">
              <w:rPr>
                <w:rFonts w:hint="eastAsia"/>
              </w:rPr>
              <w:t>《榆林市矿产资源总体规划</w:t>
            </w:r>
            <w:r w:rsidRPr="00F81296">
              <w:rPr>
                <w:rFonts w:hint="eastAsia"/>
              </w:rPr>
              <w:t>(2016~2020</w:t>
            </w:r>
            <w:r w:rsidRPr="00F81296">
              <w:rPr>
                <w:rFonts w:hint="eastAsia"/>
              </w:rPr>
              <w:t>年</w:t>
            </w:r>
            <w:r w:rsidRPr="00F81296">
              <w:rPr>
                <w:rFonts w:hint="eastAsia"/>
              </w:rPr>
              <w:t>)</w:t>
            </w:r>
            <w:r w:rsidRPr="00F81296">
              <w:rPr>
                <w:rFonts w:hint="eastAsia"/>
              </w:rPr>
              <w:t>》</w:t>
            </w:r>
          </w:p>
        </w:tc>
        <w:tc>
          <w:tcPr>
            <w:tcW w:w="5502" w:type="dxa"/>
            <w:shd w:val="clear" w:color="auto" w:fill="auto"/>
            <w:tcMar>
              <w:left w:w="85" w:type="dxa"/>
              <w:right w:w="85" w:type="dxa"/>
            </w:tcMar>
            <w:vAlign w:val="center"/>
          </w:tcPr>
          <w:p w:rsidR="00C223F5" w:rsidRPr="00F81296" w:rsidRDefault="005860D5" w:rsidP="004173AA">
            <w:pPr>
              <w:spacing w:line="264" w:lineRule="auto"/>
            </w:pPr>
            <w:r w:rsidRPr="00F81296">
              <w:rPr>
                <w:rFonts w:hint="eastAsia"/>
              </w:rPr>
              <w:t>保留或技改整合矿山最低开采规模</w:t>
            </w:r>
            <w:r w:rsidRPr="00F81296">
              <w:rPr>
                <w:rFonts w:hint="eastAsia"/>
              </w:rPr>
              <w:t>30</w:t>
            </w:r>
            <w:r w:rsidRPr="00F81296">
              <w:rPr>
                <w:rFonts w:hint="eastAsia"/>
              </w:rPr>
              <w:t>万</w:t>
            </w:r>
            <w:r w:rsidRPr="00F81296">
              <w:rPr>
                <w:rFonts w:hint="eastAsia"/>
              </w:rPr>
              <w:t>t/a</w:t>
            </w:r>
            <w:r w:rsidRPr="00F81296">
              <w:rPr>
                <w:rFonts w:hint="eastAsia"/>
              </w:rPr>
              <w:t>；废渣利用率达</w:t>
            </w:r>
            <w:r w:rsidRPr="00F81296">
              <w:rPr>
                <w:rFonts w:hint="eastAsia"/>
              </w:rPr>
              <w:t>60%</w:t>
            </w:r>
            <w:r w:rsidRPr="00F81296">
              <w:rPr>
                <w:rFonts w:hint="eastAsia"/>
              </w:rPr>
              <w:t>以上，煤炭矿井水复用率达到</w:t>
            </w:r>
            <w:r w:rsidRPr="00F81296">
              <w:rPr>
                <w:rFonts w:hint="eastAsia"/>
              </w:rPr>
              <w:t>80%</w:t>
            </w:r>
            <w:r w:rsidRPr="00F81296">
              <w:rPr>
                <w:rFonts w:hint="eastAsia"/>
              </w:rPr>
              <w:t>；限制开采区严格控制采矿权的设置。新设采矿权应进行严格的规划论证，开展环评工作并制定有效的保护措施，确保有关功能区安全和相关资源安全。</w:t>
            </w:r>
          </w:p>
        </w:tc>
        <w:tc>
          <w:tcPr>
            <w:tcW w:w="4938" w:type="dxa"/>
            <w:shd w:val="clear" w:color="auto" w:fill="auto"/>
            <w:tcMar>
              <w:left w:w="85" w:type="dxa"/>
              <w:right w:w="85" w:type="dxa"/>
            </w:tcMar>
            <w:vAlign w:val="center"/>
          </w:tcPr>
          <w:p w:rsidR="00C223F5" w:rsidRPr="00F81296" w:rsidRDefault="000F32AE" w:rsidP="004173AA">
            <w:pPr>
              <w:spacing w:line="260" w:lineRule="exact"/>
              <w:jc w:val="left"/>
              <w:rPr>
                <w:szCs w:val="21"/>
              </w:rPr>
            </w:pPr>
            <w:r w:rsidRPr="00F81296">
              <w:rPr>
                <w:szCs w:val="21"/>
              </w:rPr>
              <w:fldChar w:fldCharType="begin"/>
            </w:r>
            <w:r w:rsidR="005860D5" w:rsidRPr="00F81296">
              <w:rPr>
                <w:rFonts w:hint="eastAsia"/>
                <w:szCs w:val="21"/>
              </w:rPr>
              <w:instrText>= 1 \* GB3</w:instrText>
            </w:r>
            <w:r w:rsidRPr="00F81296">
              <w:rPr>
                <w:szCs w:val="21"/>
              </w:rPr>
              <w:fldChar w:fldCharType="separate"/>
            </w:r>
            <w:r w:rsidR="005860D5" w:rsidRPr="00F81296">
              <w:rPr>
                <w:rFonts w:hint="eastAsia"/>
                <w:szCs w:val="21"/>
              </w:rPr>
              <w:t>①</w:t>
            </w:r>
            <w:r w:rsidRPr="00F81296">
              <w:rPr>
                <w:szCs w:val="21"/>
              </w:rPr>
              <w:fldChar w:fldCharType="end"/>
            </w:r>
            <w:r w:rsidR="005860D5" w:rsidRPr="00F81296">
              <w:rPr>
                <w:rFonts w:hAnsi="宋体"/>
                <w:kern w:val="0"/>
                <w:szCs w:val="21"/>
              </w:rPr>
              <w:t>本项目为榆林地区整合矿井，规模</w:t>
            </w:r>
            <w:r w:rsidR="005860D5" w:rsidRPr="00F81296">
              <w:rPr>
                <w:rFonts w:hint="eastAsia"/>
                <w:kern w:val="0"/>
                <w:szCs w:val="21"/>
              </w:rPr>
              <w:t>9</w:t>
            </w:r>
            <w:r w:rsidR="005860D5" w:rsidRPr="00F81296">
              <w:rPr>
                <w:kern w:val="0"/>
                <w:szCs w:val="21"/>
              </w:rPr>
              <w:t>0</w:t>
            </w:r>
            <w:r w:rsidR="005860D5" w:rsidRPr="00F81296">
              <w:rPr>
                <w:rFonts w:hAnsi="宋体"/>
                <w:kern w:val="0"/>
                <w:szCs w:val="21"/>
              </w:rPr>
              <w:t>万吨</w:t>
            </w:r>
            <w:r w:rsidR="005860D5" w:rsidRPr="00F81296">
              <w:rPr>
                <w:rFonts w:hAnsi="宋体" w:hint="eastAsia"/>
                <w:kern w:val="0"/>
                <w:szCs w:val="21"/>
              </w:rPr>
              <w:t>/</w:t>
            </w:r>
            <w:r w:rsidR="005860D5" w:rsidRPr="00F81296">
              <w:rPr>
                <w:rFonts w:hAnsi="宋体" w:hint="eastAsia"/>
                <w:kern w:val="0"/>
                <w:szCs w:val="21"/>
              </w:rPr>
              <w:t>年</w:t>
            </w:r>
            <w:r w:rsidR="005860D5" w:rsidRPr="00F81296">
              <w:rPr>
                <w:rFonts w:hint="eastAsia"/>
              </w:rPr>
              <w:t>；</w:t>
            </w:r>
          </w:p>
          <w:p w:rsidR="00C223F5" w:rsidRPr="00F81296" w:rsidRDefault="000F32AE" w:rsidP="004173AA">
            <w:pPr>
              <w:spacing w:line="260" w:lineRule="exact"/>
              <w:jc w:val="left"/>
            </w:pPr>
            <w:r w:rsidRPr="00F81296">
              <w:rPr>
                <w:rFonts w:ascii="宋体" w:hAnsi="宋体" w:cs="宋体"/>
                <w:szCs w:val="21"/>
              </w:rPr>
              <w:fldChar w:fldCharType="begin"/>
            </w:r>
            <w:r w:rsidR="005860D5" w:rsidRPr="00F81296">
              <w:rPr>
                <w:rFonts w:ascii="宋体" w:hAnsi="宋体" w:cs="宋体" w:hint="eastAsia"/>
                <w:szCs w:val="21"/>
              </w:rPr>
              <w:instrText>= 2 \* GB3</w:instrText>
            </w:r>
            <w:r w:rsidRPr="00F81296">
              <w:rPr>
                <w:rFonts w:ascii="宋体" w:hAnsi="宋体" w:cs="宋体"/>
                <w:szCs w:val="21"/>
              </w:rPr>
              <w:fldChar w:fldCharType="separate"/>
            </w:r>
            <w:r w:rsidR="005860D5" w:rsidRPr="00F81296">
              <w:rPr>
                <w:rFonts w:ascii="宋体" w:hAnsi="宋体" w:cs="宋体" w:hint="eastAsia"/>
                <w:szCs w:val="21"/>
              </w:rPr>
              <w:t>②</w:t>
            </w:r>
            <w:r w:rsidRPr="00F81296">
              <w:rPr>
                <w:rFonts w:ascii="宋体" w:hAnsi="宋体" w:cs="宋体"/>
                <w:szCs w:val="21"/>
              </w:rPr>
              <w:fldChar w:fldCharType="end"/>
            </w:r>
            <w:r w:rsidR="005860D5" w:rsidRPr="00F81296">
              <w:rPr>
                <w:rFonts w:eastAsiaTheme="minorEastAsia"/>
                <w:szCs w:val="21"/>
              </w:rPr>
              <w:t>建设期掘进矸石</w:t>
            </w:r>
            <w:r w:rsidR="005860D5" w:rsidRPr="00F81296">
              <w:rPr>
                <w:rFonts w:eastAsiaTheme="minorEastAsia" w:hint="eastAsia"/>
                <w:szCs w:val="21"/>
              </w:rPr>
              <w:t>用于铺路和综合利用</w:t>
            </w:r>
            <w:r w:rsidR="005860D5" w:rsidRPr="00F81296">
              <w:rPr>
                <w:rFonts w:eastAsiaTheme="minorEastAsia"/>
                <w:szCs w:val="21"/>
              </w:rPr>
              <w:t>，</w:t>
            </w:r>
            <w:r w:rsidR="005860D5" w:rsidRPr="00F81296">
              <w:rPr>
                <w:szCs w:val="21"/>
              </w:rPr>
              <w:t>运行期掘进矸石</w:t>
            </w:r>
            <w:r w:rsidR="00DF7CF7" w:rsidRPr="00F81296">
              <w:rPr>
                <w:rFonts w:hint="eastAsia"/>
                <w:szCs w:val="21"/>
              </w:rPr>
              <w:t>不出井</w:t>
            </w:r>
            <w:r w:rsidR="005860D5" w:rsidRPr="00F81296">
              <w:rPr>
                <w:szCs w:val="21"/>
              </w:rPr>
              <w:t>；矿井生产期间洗选矸石综合利用</w:t>
            </w:r>
            <w:r w:rsidR="005860D5" w:rsidRPr="00F81296">
              <w:rPr>
                <w:rFonts w:hint="eastAsia"/>
                <w:szCs w:val="21"/>
              </w:rPr>
              <w:t>或回填井下</w:t>
            </w:r>
            <w:r w:rsidR="005860D5" w:rsidRPr="00F81296">
              <w:rPr>
                <w:szCs w:val="21"/>
              </w:rPr>
              <w:t>，煤矸石利用率达到</w:t>
            </w:r>
            <w:r w:rsidR="005860D5" w:rsidRPr="00F81296">
              <w:rPr>
                <w:szCs w:val="21"/>
              </w:rPr>
              <w:t>100%</w:t>
            </w:r>
            <w:r w:rsidR="005860D5" w:rsidRPr="00F81296">
              <w:rPr>
                <w:szCs w:val="21"/>
              </w:rPr>
              <w:t>；</w:t>
            </w:r>
          </w:p>
          <w:p w:rsidR="00C223F5" w:rsidRPr="00F84227" w:rsidRDefault="000F32AE" w:rsidP="004173AA">
            <w:pPr>
              <w:spacing w:line="260" w:lineRule="exact"/>
              <w:jc w:val="left"/>
              <w:rPr>
                <w:rFonts w:hAnsi="宋体"/>
                <w:color w:val="FF0000"/>
                <w:kern w:val="0"/>
                <w:szCs w:val="21"/>
              </w:rPr>
            </w:pPr>
            <w:r w:rsidRPr="00F81296">
              <w:rPr>
                <w:rFonts w:ascii="宋体" w:hAnsi="宋体" w:cs="宋体"/>
                <w:bCs/>
                <w:szCs w:val="21"/>
              </w:rPr>
              <w:fldChar w:fldCharType="begin"/>
            </w:r>
            <w:r w:rsidR="005860D5" w:rsidRPr="00F81296">
              <w:rPr>
                <w:rFonts w:ascii="宋体" w:hAnsi="宋体" w:cs="宋体" w:hint="eastAsia"/>
                <w:bCs/>
                <w:szCs w:val="21"/>
              </w:rPr>
              <w:instrText>= 3 \* GB3</w:instrText>
            </w:r>
            <w:r w:rsidRPr="00F81296">
              <w:rPr>
                <w:rFonts w:ascii="宋体" w:hAnsi="宋体" w:cs="宋体"/>
                <w:bCs/>
                <w:szCs w:val="21"/>
              </w:rPr>
              <w:fldChar w:fldCharType="separate"/>
            </w:r>
            <w:r w:rsidR="005860D5" w:rsidRPr="00F81296">
              <w:rPr>
                <w:rFonts w:ascii="宋体" w:hAnsi="宋体" w:cs="宋体" w:hint="eastAsia"/>
                <w:bCs/>
                <w:szCs w:val="21"/>
              </w:rPr>
              <w:t>③</w:t>
            </w:r>
            <w:r w:rsidRPr="00F81296">
              <w:rPr>
                <w:rFonts w:ascii="宋体" w:hAnsi="宋体" w:cs="宋体"/>
                <w:bCs/>
                <w:szCs w:val="21"/>
              </w:rPr>
              <w:fldChar w:fldCharType="end"/>
            </w:r>
            <w:r w:rsidR="005860D5" w:rsidRPr="00F81296">
              <w:rPr>
                <w:rFonts w:hAnsi="宋体" w:hint="eastAsia"/>
                <w:kern w:val="0"/>
                <w:szCs w:val="21"/>
              </w:rPr>
              <w:t>生活污水全部回用，矿</w:t>
            </w:r>
            <w:r w:rsidR="005860D5" w:rsidRPr="00F84227">
              <w:rPr>
                <w:rFonts w:hAnsi="宋体" w:hint="eastAsia"/>
                <w:color w:val="FF0000"/>
                <w:kern w:val="0"/>
                <w:szCs w:val="21"/>
              </w:rPr>
              <w:t>井水</w:t>
            </w:r>
            <w:r w:rsidR="00F84227" w:rsidRPr="00F84227">
              <w:rPr>
                <w:rFonts w:hAnsi="宋体" w:hint="eastAsia"/>
                <w:color w:val="FF0000"/>
                <w:kern w:val="0"/>
                <w:szCs w:val="21"/>
              </w:rPr>
              <w:t>部分回用，其余达标排至蚂蚁河；</w:t>
            </w:r>
          </w:p>
          <w:p w:rsidR="00C223F5" w:rsidRPr="00F81296" w:rsidRDefault="000F32AE" w:rsidP="004173AA">
            <w:pPr>
              <w:spacing w:line="260" w:lineRule="exact"/>
              <w:jc w:val="left"/>
              <w:rPr>
                <w:rFonts w:hAnsi="宋体"/>
                <w:szCs w:val="32"/>
              </w:rPr>
            </w:pPr>
            <w:r w:rsidRPr="00F81296">
              <w:rPr>
                <w:rFonts w:hAnsi="宋体"/>
                <w:kern w:val="0"/>
                <w:szCs w:val="21"/>
              </w:rPr>
              <w:fldChar w:fldCharType="begin"/>
            </w:r>
            <w:r w:rsidR="005860D5" w:rsidRPr="00F81296">
              <w:rPr>
                <w:rFonts w:hAnsi="宋体" w:hint="eastAsia"/>
                <w:kern w:val="0"/>
                <w:szCs w:val="21"/>
              </w:rPr>
              <w:instrText>= 4 \* GB3</w:instrText>
            </w:r>
            <w:r w:rsidRPr="00F81296">
              <w:rPr>
                <w:rFonts w:hAnsi="宋体"/>
                <w:kern w:val="0"/>
                <w:szCs w:val="21"/>
              </w:rPr>
              <w:fldChar w:fldCharType="separate"/>
            </w:r>
            <w:r w:rsidR="005860D5" w:rsidRPr="00F81296">
              <w:rPr>
                <w:rFonts w:hAnsi="宋体" w:hint="eastAsia"/>
                <w:kern w:val="0"/>
                <w:szCs w:val="21"/>
              </w:rPr>
              <w:t>④</w:t>
            </w:r>
            <w:r w:rsidRPr="00F81296">
              <w:rPr>
                <w:rFonts w:hAnsi="宋体"/>
                <w:kern w:val="0"/>
                <w:szCs w:val="21"/>
              </w:rPr>
              <w:fldChar w:fldCharType="end"/>
            </w:r>
            <w:r w:rsidR="005860D5" w:rsidRPr="00F81296">
              <w:rPr>
                <w:rFonts w:hAnsi="宋体" w:hint="eastAsia"/>
                <w:kern w:val="0"/>
                <w:szCs w:val="21"/>
              </w:rPr>
              <w:t>项目开采区不涉及调整后的生态红线范围</w:t>
            </w:r>
          </w:p>
        </w:tc>
        <w:tc>
          <w:tcPr>
            <w:tcW w:w="874" w:type="dxa"/>
            <w:shd w:val="clear" w:color="auto" w:fill="auto"/>
            <w:tcMar>
              <w:left w:w="85" w:type="dxa"/>
              <w:right w:w="85" w:type="dxa"/>
            </w:tcMar>
            <w:vAlign w:val="center"/>
          </w:tcPr>
          <w:p w:rsidR="00C223F5" w:rsidRPr="00F81296" w:rsidRDefault="005860D5" w:rsidP="004173AA">
            <w:pPr>
              <w:spacing w:line="264" w:lineRule="auto"/>
              <w:jc w:val="center"/>
              <w:rPr>
                <w:rFonts w:ascii="宋体" w:hAnsi="宋体" w:cs="宋体"/>
                <w:szCs w:val="21"/>
              </w:rPr>
            </w:pPr>
            <w:r w:rsidRPr="00F81296">
              <w:rPr>
                <w:rFonts w:ascii="宋体" w:hAnsi="宋体" w:cs="宋体"/>
                <w:szCs w:val="21"/>
              </w:rPr>
              <w:t>符合</w:t>
            </w:r>
          </w:p>
        </w:tc>
      </w:tr>
      <w:tr w:rsidR="00C223F5">
        <w:trPr>
          <w:trHeight w:val="20"/>
          <w:jc w:val="center"/>
        </w:trPr>
        <w:tc>
          <w:tcPr>
            <w:tcW w:w="634" w:type="dxa"/>
            <w:vMerge w:val="restart"/>
            <w:tcBorders>
              <w:top w:val="single" w:sz="4" w:space="0" w:color="auto"/>
              <w:left w:val="single" w:sz="4" w:space="0" w:color="auto"/>
              <w:right w:val="single" w:sz="4" w:space="0" w:color="auto"/>
            </w:tcBorders>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21</w:t>
            </w:r>
          </w:p>
        </w:tc>
        <w:tc>
          <w:tcPr>
            <w:tcW w:w="2105" w:type="dxa"/>
            <w:vMerge w:val="restart"/>
            <w:tcBorders>
              <w:top w:val="single" w:sz="4" w:space="0" w:color="auto"/>
              <w:left w:val="single" w:sz="4" w:space="0" w:color="auto"/>
              <w:right w:val="single" w:sz="4" w:space="0" w:color="auto"/>
            </w:tcBorders>
            <w:shd w:val="clear" w:color="auto" w:fill="auto"/>
            <w:tcMar>
              <w:left w:w="85" w:type="dxa"/>
              <w:right w:w="85" w:type="dxa"/>
            </w:tcMar>
            <w:vAlign w:val="center"/>
          </w:tcPr>
          <w:p w:rsidR="00C223F5" w:rsidRPr="00F81296" w:rsidRDefault="005860D5" w:rsidP="004173AA">
            <w:pPr>
              <w:spacing w:line="264" w:lineRule="auto"/>
              <w:jc w:val="center"/>
            </w:pPr>
            <w:r w:rsidRPr="00F81296">
              <w:t>清洁文明</w:t>
            </w:r>
          </w:p>
          <w:p w:rsidR="00C223F5" w:rsidRPr="00F81296" w:rsidRDefault="005860D5" w:rsidP="004173AA">
            <w:pPr>
              <w:spacing w:line="264" w:lineRule="auto"/>
              <w:jc w:val="center"/>
            </w:pPr>
            <w:r w:rsidRPr="00F81296">
              <w:t>矿井的要求</w:t>
            </w:r>
          </w:p>
        </w:tc>
        <w:tc>
          <w:tcPr>
            <w:tcW w:w="5502"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Pr="00F81296" w:rsidRDefault="005860D5" w:rsidP="004173AA">
            <w:pPr>
              <w:spacing w:line="264" w:lineRule="auto"/>
            </w:pPr>
            <w:r w:rsidRPr="00F81296">
              <w:t>采用实际和可操作性的采煤方法和工艺，提高资源回采率。</w:t>
            </w:r>
          </w:p>
        </w:tc>
        <w:tc>
          <w:tcPr>
            <w:tcW w:w="493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Pr="00F81296" w:rsidRDefault="005860D5" w:rsidP="004173AA">
            <w:pPr>
              <w:spacing w:line="264" w:lineRule="auto"/>
              <w:rPr>
                <w:rFonts w:hAnsi="宋体"/>
                <w:szCs w:val="32"/>
              </w:rPr>
            </w:pPr>
            <w:r w:rsidRPr="00F81296">
              <w:rPr>
                <w:rFonts w:hAnsi="宋体"/>
                <w:szCs w:val="32"/>
              </w:rPr>
              <w:t>各煤层均采用走向长壁一次采全高综合机械化，全部垮落法管理顶板。矿井工作面回采率</w:t>
            </w:r>
            <w:r w:rsidRPr="00F81296">
              <w:rPr>
                <w:rFonts w:hAnsi="宋体"/>
                <w:szCs w:val="32"/>
              </w:rPr>
              <w:t>95%</w:t>
            </w:r>
          </w:p>
        </w:tc>
        <w:tc>
          <w:tcPr>
            <w:tcW w:w="874"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spacing w:line="264" w:lineRule="auto"/>
              <w:jc w:val="center"/>
              <w:rPr>
                <w:rFonts w:ascii="宋体" w:hAnsi="宋体" w:cs="宋体"/>
                <w:szCs w:val="21"/>
              </w:rPr>
            </w:pPr>
            <w:r>
              <w:rPr>
                <w:rFonts w:ascii="宋体" w:hAnsi="宋体" w:cs="宋体"/>
                <w:szCs w:val="21"/>
              </w:rPr>
              <w:t>符合</w:t>
            </w:r>
          </w:p>
        </w:tc>
      </w:tr>
      <w:tr w:rsidR="00C223F5">
        <w:trPr>
          <w:trHeight w:val="729"/>
          <w:jc w:val="center"/>
        </w:trPr>
        <w:tc>
          <w:tcPr>
            <w:tcW w:w="634" w:type="dxa"/>
            <w:vMerge/>
            <w:tcBorders>
              <w:left w:val="single" w:sz="4" w:space="0" w:color="auto"/>
              <w:right w:val="single" w:sz="4" w:space="0" w:color="auto"/>
            </w:tcBorders>
            <w:shd w:val="clear" w:color="auto" w:fill="auto"/>
            <w:tcMar>
              <w:left w:w="85" w:type="dxa"/>
              <w:right w:w="85" w:type="dxa"/>
            </w:tcMar>
            <w:vAlign w:val="center"/>
          </w:tcPr>
          <w:p w:rsidR="00C223F5" w:rsidRPr="00F81296" w:rsidRDefault="00C223F5" w:rsidP="004173AA">
            <w:pPr>
              <w:spacing w:line="260" w:lineRule="exact"/>
              <w:jc w:val="center"/>
              <w:rPr>
                <w:szCs w:val="21"/>
              </w:rPr>
            </w:pPr>
          </w:p>
        </w:tc>
        <w:tc>
          <w:tcPr>
            <w:tcW w:w="2105" w:type="dxa"/>
            <w:vMerge/>
            <w:tcBorders>
              <w:left w:val="single" w:sz="4" w:space="0" w:color="auto"/>
              <w:right w:val="single" w:sz="4" w:space="0" w:color="auto"/>
            </w:tcBorders>
            <w:shd w:val="clear" w:color="auto" w:fill="auto"/>
            <w:tcMar>
              <w:left w:w="85" w:type="dxa"/>
              <w:right w:w="85" w:type="dxa"/>
            </w:tcMar>
            <w:vAlign w:val="center"/>
          </w:tcPr>
          <w:p w:rsidR="00C223F5" w:rsidRPr="00F81296" w:rsidRDefault="00C223F5" w:rsidP="004173AA">
            <w:pPr>
              <w:spacing w:line="264" w:lineRule="auto"/>
              <w:jc w:val="center"/>
            </w:pPr>
          </w:p>
        </w:tc>
        <w:tc>
          <w:tcPr>
            <w:tcW w:w="5502"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Pr="00F81296" w:rsidRDefault="005860D5" w:rsidP="004173AA">
            <w:pPr>
              <w:spacing w:line="264" w:lineRule="auto"/>
            </w:pPr>
            <w:r w:rsidRPr="00F81296">
              <w:t>采用液压支柱、单体支柱支护或锚杆支护取代坑木支柱，减少因坑木采伐所带来的生态环境问题</w:t>
            </w:r>
          </w:p>
        </w:tc>
        <w:tc>
          <w:tcPr>
            <w:tcW w:w="493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Pr="00F81296" w:rsidRDefault="005860D5" w:rsidP="004173AA">
            <w:pPr>
              <w:spacing w:line="264" w:lineRule="auto"/>
              <w:rPr>
                <w:rFonts w:hAnsi="宋体"/>
                <w:szCs w:val="32"/>
              </w:rPr>
            </w:pPr>
            <w:r w:rsidRPr="00F81296">
              <w:rPr>
                <w:rFonts w:hAnsi="宋体"/>
                <w:szCs w:val="32"/>
              </w:rPr>
              <w:t>工作面顶板液压支架；场巷道多采用锚网喷</w:t>
            </w:r>
            <w:r w:rsidRPr="00F81296">
              <w:rPr>
                <w:rFonts w:hAnsi="宋体"/>
                <w:szCs w:val="32"/>
              </w:rPr>
              <w:t>+</w:t>
            </w:r>
            <w:r w:rsidRPr="00F81296">
              <w:rPr>
                <w:rFonts w:hAnsi="宋体"/>
                <w:szCs w:val="32"/>
              </w:rPr>
              <w:t>锚索支护；顺槽巷道采用锚网</w:t>
            </w:r>
            <w:r w:rsidRPr="00F81296">
              <w:rPr>
                <w:rFonts w:hAnsi="宋体"/>
                <w:szCs w:val="32"/>
              </w:rPr>
              <w:t>+</w:t>
            </w:r>
            <w:r w:rsidRPr="00F81296">
              <w:rPr>
                <w:rFonts w:hAnsi="宋体"/>
                <w:szCs w:val="32"/>
              </w:rPr>
              <w:t>锚索支护方式，回采工作面顺槽支护采用钢棚或型钢支护</w:t>
            </w:r>
          </w:p>
        </w:tc>
        <w:tc>
          <w:tcPr>
            <w:tcW w:w="874"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spacing w:line="264" w:lineRule="auto"/>
              <w:jc w:val="center"/>
              <w:rPr>
                <w:rFonts w:ascii="宋体" w:hAnsi="宋体" w:cs="宋体"/>
                <w:szCs w:val="21"/>
              </w:rPr>
            </w:pPr>
            <w:r>
              <w:rPr>
                <w:rFonts w:ascii="宋体" w:hAnsi="宋体" w:cs="宋体"/>
                <w:szCs w:val="21"/>
              </w:rPr>
              <w:t>符合</w:t>
            </w:r>
          </w:p>
        </w:tc>
      </w:tr>
    </w:tbl>
    <w:p w:rsidR="00C223F5" w:rsidRDefault="005860D5" w:rsidP="004173AA">
      <w:pPr>
        <w:jc w:val="center"/>
      </w:pPr>
      <w:r>
        <w:rPr>
          <w:rFonts w:hAnsi="Calibri" w:hint="eastAsia"/>
          <w:b/>
          <w:sz w:val="24"/>
        </w:rPr>
        <w:lastRenderedPageBreak/>
        <w:t>续</w:t>
      </w:r>
      <w:r>
        <w:rPr>
          <w:rFonts w:hAnsi="Calibri"/>
          <w:b/>
          <w:sz w:val="24"/>
        </w:rPr>
        <w:t>表</w:t>
      </w:r>
      <w:r>
        <w:rPr>
          <w:rFonts w:hint="eastAsia"/>
          <w:b/>
          <w:sz w:val="24"/>
        </w:rPr>
        <w:t xml:space="preserve">1  </w:t>
      </w:r>
      <w:r>
        <w:rPr>
          <w:rFonts w:hAnsi="Calibri"/>
          <w:b/>
          <w:sz w:val="24"/>
        </w:rPr>
        <w:t>本项目与相关</w:t>
      </w:r>
      <w:r>
        <w:rPr>
          <w:rFonts w:hAnsi="Calibri" w:hint="eastAsia"/>
          <w:b/>
          <w:sz w:val="24"/>
        </w:rPr>
        <w:t>政策及规划</w:t>
      </w:r>
      <w:r>
        <w:rPr>
          <w:rFonts w:hAnsi="Calibri"/>
          <w:b/>
          <w:sz w:val="24"/>
        </w:rPr>
        <w:t>相符性分析</w:t>
      </w:r>
    </w:p>
    <w:tbl>
      <w:tblPr>
        <w:tblW w:w="14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4A0" w:firstRow="1" w:lastRow="0" w:firstColumn="1" w:lastColumn="0" w:noHBand="0" w:noVBand="1"/>
      </w:tblPr>
      <w:tblGrid>
        <w:gridCol w:w="634"/>
        <w:gridCol w:w="1740"/>
        <w:gridCol w:w="5488"/>
        <w:gridCol w:w="5363"/>
        <w:gridCol w:w="874"/>
      </w:tblGrid>
      <w:tr w:rsidR="00C223F5">
        <w:trPr>
          <w:trHeight w:val="217"/>
          <w:jc w:val="center"/>
        </w:trPr>
        <w:tc>
          <w:tcPr>
            <w:tcW w:w="634" w:type="dxa"/>
            <w:tcBorders>
              <w:left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b/>
                <w:szCs w:val="21"/>
              </w:rPr>
            </w:pPr>
            <w:r>
              <w:rPr>
                <w:b/>
                <w:szCs w:val="21"/>
              </w:rPr>
              <w:t>序号</w:t>
            </w:r>
          </w:p>
        </w:tc>
        <w:tc>
          <w:tcPr>
            <w:tcW w:w="1740" w:type="dxa"/>
            <w:tcBorders>
              <w:left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b/>
                <w:szCs w:val="21"/>
              </w:rPr>
            </w:pPr>
            <w:r>
              <w:rPr>
                <w:b/>
                <w:szCs w:val="21"/>
              </w:rPr>
              <w:t>相关政策、规划</w:t>
            </w:r>
          </w:p>
        </w:tc>
        <w:tc>
          <w:tcPr>
            <w:tcW w:w="548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b/>
                <w:szCs w:val="21"/>
              </w:rPr>
            </w:pPr>
            <w:r>
              <w:rPr>
                <w:b/>
                <w:szCs w:val="21"/>
              </w:rPr>
              <w:t>要求</w:t>
            </w:r>
          </w:p>
        </w:tc>
        <w:tc>
          <w:tcPr>
            <w:tcW w:w="5363"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b/>
                <w:szCs w:val="21"/>
              </w:rPr>
            </w:pPr>
            <w:r>
              <w:rPr>
                <w:b/>
                <w:szCs w:val="21"/>
              </w:rPr>
              <w:t>本项目情况</w:t>
            </w:r>
          </w:p>
        </w:tc>
        <w:tc>
          <w:tcPr>
            <w:tcW w:w="874"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b/>
                <w:szCs w:val="21"/>
              </w:rPr>
            </w:pPr>
            <w:r>
              <w:rPr>
                <w:b/>
                <w:szCs w:val="21"/>
              </w:rPr>
              <w:t>符合性</w:t>
            </w:r>
          </w:p>
        </w:tc>
      </w:tr>
      <w:tr w:rsidR="00C223F5">
        <w:trPr>
          <w:trHeight w:val="20"/>
          <w:jc w:val="center"/>
        </w:trPr>
        <w:tc>
          <w:tcPr>
            <w:tcW w:w="634" w:type="dxa"/>
            <w:vMerge w:val="restart"/>
            <w:tcBorders>
              <w:left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b/>
                <w:szCs w:val="21"/>
              </w:rPr>
            </w:pPr>
            <w:r>
              <w:rPr>
                <w:rFonts w:hint="eastAsia"/>
                <w:szCs w:val="21"/>
              </w:rPr>
              <w:t>21</w:t>
            </w:r>
          </w:p>
        </w:tc>
        <w:tc>
          <w:tcPr>
            <w:tcW w:w="1740" w:type="dxa"/>
            <w:vMerge w:val="restart"/>
            <w:tcBorders>
              <w:left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pPr>
            <w:r>
              <w:t>清洁文明</w:t>
            </w:r>
          </w:p>
          <w:p w:rsidR="00C223F5" w:rsidRDefault="005860D5" w:rsidP="004173AA">
            <w:pPr>
              <w:jc w:val="center"/>
              <w:rPr>
                <w:b/>
                <w:szCs w:val="21"/>
              </w:rPr>
            </w:pPr>
            <w:r>
              <w:t>矿井的要求</w:t>
            </w:r>
          </w:p>
        </w:tc>
        <w:tc>
          <w:tcPr>
            <w:tcW w:w="548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r>
              <w:t>保护地下水资源和生态环境。</w:t>
            </w:r>
          </w:p>
        </w:tc>
        <w:tc>
          <w:tcPr>
            <w:tcW w:w="5363"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rPr>
                <w:rFonts w:hAnsi="宋体"/>
                <w:szCs w:val="32"/>
              </w:rPr>
            </w:pPr>
            <w:r>
              <w:rPr>
                <w:rFonts w:hAnsi="宋体"/>
                <w:szCs w:val="32"/>
              </w:rPr>
              <w:t>开采煤层</w:t>
            </w:r>
            <w:r>
              <w:rPr>
                <w:rFonts w:hAnsi="宋体" w:hint="eastAsia"/>
                <w:szCs w:val="32"/>
              </w:rPr>
              <w:t>薄、</w:t>
            </w:r>
            <w:r>
              <w:rPr>
                <w:rFonts w:hAnsi="宋体"/>
                <w:szCs w:val="32"/>
              </w:rPr>
              <w:t>埋藏较深，采煤导水裂隙</w:t>
            </w:r>
            <w:r w:rsidR="00FB157E">
              <w:rPr>
                <w:rFonts w:hAnsi="宋体" w:hint="eastAsia"/>
                <w:szCs w:val="32"/>
              </w:rPr>
              <w:t>一般</w:t>
            </w:r>
            <w:r>
              <w:rPr>
                <w:rFonts w:hAnsi="宋体"/>
                <w:szCs w:val="32"/>
              </w:rPr>
              <w:t>不会进入潜水含水层，井田边缘受沉陷影响村庄留设保护区煤柱，沉陷区采取生态恢复措施</w:t>
            </w:r>
          </w:p>
        </w:tc>
        <w:tc>
          <w:tcPr>
            <w:tcW w:w="874"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rFonts w:ascii="宋体" w:hAnsi="宋体" w:cs="宋体"/>
                <w:szCs w:val="21"/>
              </w:rPr>
            </w:pPr>
            <w:r>
              <w:rPr>
                <w:rFonts w:ascii="宋体" w:hAnsi="宋体" w:cs="宋体"/>
                <w:szCs w:val="21"/>
              </w:rPr>
              <w:t>符合</w:t>
            </w:r>
          </w:p>
        </w:tc>
      </w:tr>
      <w:tr w:rsidR="00C223F5">
        <w:trPr>
          <w:trHeight w:val="729"/>
          <w:jc w:val="center"/>
        </w:trPr>
        <w:tc>
          <w:tcPr>
            <w:tcW w:w="634"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rPr>
                <w:szCs w:val="21"/>
              </w:rPr>
            </w:pPr>
          </w:p>
        </w:tc>
        <w:tc>
          <w:tcPr>
            <w:tcW w:w="1740"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pPr>
          </w:p>
        </w:tc>
        <w:tc>
          <w:tcPr>
            <w:tcW w:w="548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r>
              <w:t>降低万吨产品污染物排放量，提高污废水的回用率和煤矸石综合利用率。</w:t>
            </w:r>
          </w:p>
        </w:tc>
        <w:tc>
          <w:tcPr>
            <w:tcW w:w="5363"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rPr>
                <w:rFonts w:hAnsi="宋体"/>
                <w:szCs w:val="32"/>
              </w:rPr>
            </w:pPr>
            <w:r>
              <w:rPr>
                <w:rFonts w:hAnsi="宋体" w:hint="eastAsia"/>
                <w:szCs w:val="32"/>
              </w:rPr>
              <w:t>采用乏风余热采暖供热，</w:t>
            </w:r>
            <w:r w:rsidR="00FB157E">
              <w:rPr>
                <w:rFonts w:hAnsi="宋体" w:hint="eastAsia"/>
                <w:szCs w:val="32"/>
              </w:rPr>
              <w:t>生产</w:t>
            </w:r>
            <w:r>
              <w:rPr>
                <w:rFonts w:hAnsi="宋体"/>
                <w:szCs w:val="32"/>
              </w:rPr>
              <w:t>煤尘排放满足标准要求；生活污水处理后全部回用；矿井水处理后部分回用，其余</w:t>
            </w:r>
            <w:r>
              <w:rPr>
                <w:rFonts w:hAnsi="宋体" w:hint="eastAsia"/>
                <w:szCs w:val="32"/>
              </w:rPr>
              <w:t>达标</w:t>
            </w:r>
            <w:r>
              <w:rPr>
                <w:rFonts w:hAnsi="宋体"/>
                <w:szCs w:val="32"/>
              </w:rPr>
              <w:t>排入</w:t>
            </w:r>
            <w:r>
              <w:rPr>
                <w:rFonts w:hAnsi="宋体" w:hint="eastAsia"/>
                <w:szCs w:val="32"/>
              </w:rPr>
              <w:t>蚂蚁河</w:t>
            </w:r>
            <w:r>
              <w:rPr>
                <w:rFonts w:hAnsi="宋体"/>
                <w:szCs w:val="32"/>
              </w:rPr>
              <w:t>；煤矸石综合利用率为</w:t>
            </w:r>
            <w:r>
              <w:rPr>
                <w:rFonts w:hAnsi="宋体"/>
                <w:szCs w:val="32"/>
              </w:rPr>
              <w:t>100%</w:t>
            </w:r>
          </w:p>
        </w:tc>
        <w:tc>
          <w:tcPr>
            <w:tcW w:w="874"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rFonts w:ascii="宋体" w:hAnsi="宋体" w:cs="宋体"/>
                <w:szCs w:val="21"/>
              </w:rPr>
            </w:pPr>
            <w:r>
              <w:rPr>
                <w:rFonts w:ascii="宋体" w:hAnsi="宋体" w:cs="宋体"/>
                <w:szCs w:val="21"/>
              </w:rPr>
              <w:t>符合</w:t>
            </w:r>
          </w:p>
        </w:tc>
      </w:tr>
      <w:tr w:rsidR="00C223F5">
        <w:trPr>
          <w:trHeight w:val="20"/>
          <w:jc w:val="center"/>
        </w:trPr>
        <w:tc>
          <w:tcPr>
            <w:tcW w:w="634"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rPr>
                <w:szCs w:val="21"/>
              </w:rPr>
            </w:pPr>
          </w:p>
        </w:tc>
        <w:tc>
          <w:tcPr>
            <w:tcW w:w="1740"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pPr>
          </w:p>
        </w:tc>
        <w:tc>
          <w:tcPr>
            <w:tcW w:w="548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r>
              <w:t>完善煤炭生产加工系统，提高煤炭产品质量。</w:t>
            </w:r>
          </w:p>
        </w:tc>
        <w:tc>
          <w:tcPr>
            <w:tcW w:w="5363"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rPr>
                <w:rFonts w:hAnsi="宋体"/>
                <w:szCs w:val="32"/>
              </w:rPr>
            </w:pPr>
            <w:r>
              <w:rPr>
                <w:rFonts w:hAnsi="宋体"/>
                <w:szCs w:val="32"/>
              </w:rPr>
              <w:t>新建选煤厂，原煤加工后分</w:t>
            </w:r>
            <w:r>
              <w:rPr>
                <w:rFonts w:hAnsi="宋体" w:hint="eastAsia"/>
                <w:szCs w:val="32"/>
              </w:rPr>
              <w:t>精煤、中煤、矸石三</w:t>
            </w:r>
            <w:r>
              <w:rPr>
                <w:rFonts w:hAnsi="宋体"/>
                <w:szCs w:val="32"/>
              </w:rPr>
              <w:t>种产品</w:t>
            </w:r>
          </w:p>
        </w:tc>
        <w:tc>
          <w:tcPr>
            <w:tcW w:w="874"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rFonts w:ascii="宋体" w:hAnsi="宋体" w:cs="宋体"/>
                <w:szCs w:val="21"/>
              </w:rPr>
            </w:pPr>
            <w:r>
              <w:rPr>
                <w:rFonts w:ascii="宋体" w:hAnsi="宋体" w:cs="宋体"/>
                <w:szCs w:val="21"/>
              </w:rPr>
              <w:t>符合</w:t>
            </w:r>
          </w:p>
        </w:tc>
      </w:tr>
      <w:tr w:rsidR="00C223F5">
        <w:trPr>
          <w:trHeight w:val="729"/>
          <w:jc w:val="center"/>
        </w:trPr>
        <w:tc>
          <w:tcPr>
            <w:tcW w:w="634"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rPr>
                <w:szCs w:val="21"/>
              </w:rPr>
            </w:pPr>
          </w:p>
        </w:tc>
        <w:tc>
          <w:tcPr>
            <w:tcW w:w="1740"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pPr>
          </w:p>
        </w:tc>
        <w:tc>
          <w:tcPr>
            <w:tcW w:w="548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r>
              <w:t>采用</w:t>
            </w:r>
            <w:r>
              <w:t>“</w:t>
            </w:r>
            <w:r>
              <w:t>以新代老</w:t>
            </w:r>
            <w:r>
              <w:t>”</w:t>
            </w:r>
            <w:r>
              <w:t>环保措施，使整合前后污染物实现减排。</w:t>
            </w:r>
          </w:p>
        </w:tc>
        <w:tc>
          <w:tcPr>
            <w:tcW w:w="5363"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rPr>
                <w:rFonts w:hAnsi="宋体"/>
                <w:szCs w:val="32"/>
              </w:rPr>
            </w:pPr>
            <w:r>
              <w:rPr>
                <w:rFonts w:hAnsi="宋体" w:hint="eastAsia"/>
                <w:szCs w:val="32"/>
              </w:rPr>
              <w:t>采用乏风余热</w:t>
            </w:r>
            <w:r w:rsidR="00FB157E">
              <w:rPr>
                <w:rFonts w:hAnsi="宋体" w:hint="eastAsia"/>
                <w:szCs w:val="32"/>
              </w:rPr>
              <w:t>及电锅炉等</w:t>
            </w:r>
            <w:r>
              <w:rPr>
                <w:rFonts w:hAnsi="宋体" w:hint="eastAsia"/>
                <w:szCs w:val="32"/>
              </w:rPr>
              <w:t>采暖供热</w:t>
            </w:r>
            <w:r>
              <w:rPr>
                <w:rFonts w:hAnsi="宋体"/>
                <w:szCs w:val="32"/>
              </w:rPr>
              <w:t>；新建矿井水及生活污水处理站</w:t>
            </w:r>
            <w:r>
              <w:rPr>
                <w:rFonts w:hAnsi="宋体" w:hint="eastAsia"/>
                <w:szCs w:val="32"/>
              </w:rPr>
              <w:t>，污废水处理后优先综合利用</w:t>
            </w:r>
            <w:r>
              <w:rPr>
                <w:rFonts w:hAnsi="宋体"/>
                <w:szCs w:val="32"/>
              </w:rPr>
              <w:t>；固废实现妥善处置或综合利用。污染物全部达标排放</w:t>
            </w:r>
          </w:p>
        </w:tc>
        <w:tc>
          <w:tcPr>
            <w:tcW w:w="874"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rFonts w:ascii="宋体" w:hAnsi="宋体" w:cs="宋体"/>
                <w:szCs w:val="21"/>
              </w:rPr>
            </w:pPr>
            <w:r>
              <w:rPr>
                <w:rFonts w:ascii="宋体" w:hAnsi="宋体" w:cs="宋体"/>
                <w:szCs w:val="21"/>
              </w:rPr>
              <w:t>符合</w:t>
            </w:r>
          </w:p>
        </w:tc>
      </w:tr>
      <w:tr w:rsidR="00C223F5">
        <w:trPr>
          <w:trHeight w:val="20"/>
          <w:jc w:val="center"/>
        </w:trPr>
        <w:tc>
          <w:tcPr>
            <w:tcW w:w="634"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rPr>
                <w:szCs w:val="21"/>
              </w:rPr>
            </w:pPr>
          </w:p>
        </w:tc>
        <w:tc>
          <w:tcPr>
            <w:tcW w:w="1740"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pPr>
          </w:p>
        </w:tc>
        <w:tc>
          <w:tcPr>
            <w:tcW w:w="548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r>
              <w:t>根据回用水水质要求，对产生的污废水进行有效处理后进行全部回用</w:t>
            </w:r>
          </w:p>
        </w:tc>
        <w:tc>
          <w:tcPr>
            <w:tcW w:w="5363"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rPr>
                <w:rFonts w:hAnsi="宋体"/>
                <w:szCs w:val="32"/>
              </w:rPr>
            </w:pPr>
            <w:r>
              <w:rPr>
                <w:rFonts w:hAnsi="宋体"/>
                <w:szCs w:val="32"/>
              </w:rPr>
              <w:t>生活污水经处理达标后全部利用；矿井水经处理达标后部分回用，其</w:t>
            </w:r>
            <w:r>
              <w:rPr>
                <w:rFonts w:hAnsi="宋体" w:hint="eastAsia"/>
                <w:szCs w:val="32"/>
              </w:rPr>
              <w:t>余</w:t>
            </w:r>
            <w:r>
              <w:rPr>
                <w:rFonts w:hAnsi="宋体"/>
                <w:szCs w:val="32"/>
              </w:rPr>
              <w:t>排至</w:t>
            </w:r>
            <w:r>
              <w:rPr>
                <w:rFonts w:hAnsi="宋体" w:hint="eastAsia"/>
                <w:szCs w:val="32"/>
              </w:rPr>
              <w:t>蚂蚁河</w:t>
            </w:r>
          </w:p>
        </w:tc>
        <w:tc>
          <w:tcPr>
            <w:tcW w:w="874"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rFonts w:ascii="宋体" w:hAnsi="宋体" w:cs="宋体"/>
                <w:szCs w:val="21"/>
              </w:rPr>
            </w:pPr>
            <w:r>
              <w:rPr>
                <w:rFonts w:ascii="宋体" w:hAnsi="宋体" w:cs="宋体"/>
                <w:szCs w:val="21"/>
              </w:rPr>
              <w:t>基本</w:t>
            </w:r>
          </w:p>
          <w:p w:rsidR="00C223F5" w:rsidRDefault="005860D5" w:rsidP="004173AA">
            <w:pPr>
              <w:jc w:val="center"/>
              <w:rPr>
                <w:rFonts w:ascii="宋体" w:hAnsi="宋体" w:cs="宋体"/>
                <w:szCs w:val="21"/>
              </w:rPr>
            </w:pPr>
            <w:r>
              <w:rPr>
                <w:rFonts w:ascii="宋体" w:hAnsi="宋体" w:cs="宋体"/>
                <w:szCs w:val="21"/>
              </w:rPr>
              <w:t>符合</w:t>
            </w:r>
          </w:p>
        </w:tc>
      </w:tr>
      <w:tr w:rsidR="00C223F5">
        <w:trPr>
          <w:trHeight w:val="20"/>
          <w:jc w:val="center"/>
        </w:trPr>
        <w:tc>
          <w:tcPr>
            <w:tcW w:w="634"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rPr>
                <w:szCs w:val="21"/>
              </w:rPr>
            </w:pPr>
          </w:p>
        </w:tc>
        <w:tc>
          <w:tcPr>
            <w:tcW w:w="1740"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pPr>
          </w:p>
        </w:tc>
        <w:tc>
          <w:tcPr>
            <w:tcW w:w="548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r>
              <w:t>燃煤烟气型大气污染，在保证</w:t>
            </w:r>
            <w:r>
              <w:t>SO2</w:t>
            </w:r>
            <w:r>
              <w:t>、</w:t>
            </w:r>
            <w:r>
              <w:t>TSP</w:t>
            </w:r>
            <w:r>
              <w:t>达标情况下进一步削减排放量</w:t>
            </w:r>
          </w:p>
        </w:tc>
        <w:tc>
          <w:tcPr>
            <w:tcW w:w="5363"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rPr>
                <w:rFonts w:hAnsi="宋体"/>
                <w:szCs w:val="32"/>
              </w:rPr>
            </w:pPr>
            <w:r>
              <w:rPr>
                <w:rFonts w:hAnsi="宋体" w:hint="eastAsia"/>
                <w:szCs w:val="32"/>
              </w:rPr>
              <w:t>采用乏风余热</w:t>
            </w:r>
            <w:r w:rsidR="00FB157E">
              <w:rPr>
                <w:rFonts w:hAnsi="宋体" w:hint="eastAsia"/>
                <w:szCs w:val="32"/>
              </w:rPr>
              <w:t>及电锅炉等</w:t>
            </w:r>
            <w:r>
              <w:rPr>
                <w:rFonts w:hAnsi="宋体" w:hint="eastAsia"/>
                <w:szCs w:val="32"/>
              </w:rPr>
              <w:t>采暖供热，消减了燃煤污染物排放量</w:t>
            </w:r>
          </w:p>
        </w:tc>
        <w:tc>
          <w:tcPr>
            <w:tcW w:w="874"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rFonts w:ascii="宋体" w:hAnsi="宋体" w:cs="宋体"/>
                <w:szCs w:val="21"/>
              </w:rPr>
            </w:pPr>
            <w:r>
              <w:rPr>
                <w:rFonts w:ascii="宋体" w:hAnsi="宋体" w:cs="宋体"/>
                <w:szCs w:val="21"/>
              </w:rPr>
              <w:t>符合</w:t>
            </w:r>
          </w:p>
        </w:tc>
      </w:tr>
      <w:tr w:rsidR="00C223F5">
        <w:trPr>
          <w:trHeight w:val="729"/>
          <w:jc w:val="center"/>
        </w:trPr>
        <w:tc>
          <w:tcPr>
            <w:tcW w:w="634"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rPr>
                <w:szCs w:val="21"/>
              </w:rPr>
            </w:pPr>
          </w:p>
        </w:tc>
        <w:tc>
          <w:tcPr>
            <w:tcW w:w="1740"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pPr>
          </w:p>
        </w:tc>
        <w:tc>
          <w:tcPr>
            <w:tcW w:w="548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r>
              <w:t>对于煤炭生产加工和贮运系统产生的扬尘污染，必须采取煤炭筛选系统及运输皮带进行封闭，储煤场地安装洒水装置，周围设挡风墙，高度不低于</w:t>
            </w:r>
            <w:r>
              <w:t>2m</w:t>
            </w:r>
            <w:r>
              <w:t>，并采用棚式贮存</w:t>
            </w:r>
          </w:p>
        </w:tc>
        <w:tc>
          <w:tcPr>
            <w:tcW w:w="5363"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rPr>
                <w:rFonts w:hAnsi="宋体"/>
                <w:szCs w:val="32"/>
              </w:rPr>
            </w:pPr>
            <w:r>
              <w:rPr>
                <w:rFonts w:hAnsi="宋体"/>
                <w:szCs w:val="32"/>
              </w:rPr>
              <w:t>地面生产系统、储煤系统及输煤系统全封闭，生产及存储环节采用</w:t>
            </w:r>
            <w:r>
              <w:rPr>
                <w:rFonts w:hAnsi="宋体" w:hint="eastAsia"/>
                <w:szCs w:val="32"/>
              </w:rPr>
              <w:t>集尘罩</w:t>
            </w:r>
            <w:r>
              <w:rPr>
                <w:rFonts w:hAnsi="宋体"/>
                <w:szCs w:val="32"/>
              </w:rPr>
              <w:t>、喷雾洒水和干雾抑尘装置进行除尘</w:t>
            </w:r>
          </w:p>
        </w:tc>
        <w:tc>
          <w:tcPr>
            <w:tcW w:w="874"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rFonts w:ascii="宋体" w:hAnsi="宋体" w:cs="宋体"/>
                <w:szCs w:val="21"/>
              </w:rPr>
            </w:pPr>
            <w:r>
              <w:rPr>
                <w:rFonts w:ascii="宋体" w:hAnsi="宋体" w:cs="宋体"/>
                <w:szCs w:val="21"/>
              </w:rPr>
              <w:t>符合</w:t>
            </w:r>
          </w:p>
        </w:tc>
      </w:tr>
      <w:tr w:rsidR="00C223F5">
        <w:trPr>
          <w:trHeight w:val="729"/>
          <w:jc w:val="center"/>
        </w:trPr>
        <w:tc>
          <w:tcPr>
            <w:tcW w:w="634"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rPr>
                <w:szCs w:val="21"/>
              </w:rPr>
            </w:pPr>
          </w:p>
        </w:tc>
        <w:tc>
          <w:tcPr>
            <w:tcW w:w="1740"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pPr>
          </w:p>
        </w:tc>
        <w:tc>
          <w:tcPr>
            <w:tcW w:w="548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r>
              <w:t>运输道路每天</w:t>
            </w:r>
            <w:r>
              <w:t>2</w:t>
            </w:r>
            <w:r>
              <w:t>次以上洒水降尘，进场道路两旁进行植树绿化，产品装车点洒水降尘、煤炭装车前必须洒水降尘、运煤车加盖篷布</w:t>
            </w:r>
          </w:p>
        </w:tc>
        <w:tc>
          <w:tcPr>
            <w:tcW w:w="5363"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rPr>
                <w:rFonts w:hAnsi="宋体"/>
                <w:szCs w:val="32"/>
              </w:rPr>
            </w:pPr>
            <w:r>
              <w:rPr>
                <w:rFonts w:hAnsi="宋体"/>
                <w:szCs w:val="32"/>
              </w:rPr>
              <w:t>运输道路每天</w:t>
            </w:r>
            <w:r>
              <w:rPr>
                <w:rFonts w:hAnsi="宋体"/>
                <w:szCs w:val="32"/>
              </w:rPr>
              <w:t>2</w:t>
            </w:r>
            <w:r>
              <w:rPr>
                <w:rFonts w:hAnsi="宋体"/>
                <w:szCs w:val="32"/>
              </w:rPr>
              <w:t>次以上洒水降尘，道路两侧种草、植树，产品装车点洒水降尘、煤炭装车前必须洒水降尘、运煤车加盖篷布</w:t>
            </w:r>
          </w:p>
        </w:tc>
        <w:tc>
          <w:tcPr>
            <w:tcW w:w="874"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rFonts w:ascii="宋体" w:hAnsi="宋体" w:cs="宋体"/>
                <w:szCs w:val="21"/>
              </w:rPr>
            </w:pPr>
            <w:r>
              <w:rPr>
                <w:rFonts w:ascii="宋体" w:hAnsi="宋体" w:cs="宋体"/>
                <w:szCs w:val="21"/>
              </w:rPr>
              <w:t>符合</w:t>
            </w:r>
          </w:p>
        </w:tc>
      </w:tr>
      <w:tr w:rsidR="00C223F5">
        <w:trPr>
          <w:trHeight w:val="285"/>
          <w:jc w:val="center"/>
        </w:trPr>
        <w:tc>
          <w:tcPr>
            <w:tcW w:w="634"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rPr>
                <w:szCs w:val="21"/>
              </w:rPr>
            </w:pPr>
          </w:p>
        </w:tc>
        <w:tc>
          <w:tcPr>
            <w:tcW w:w="1740" w:type="dxa"/>
            <w:vMerge/>
            <w:tcBorders>
              <w:left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pPr>
          </w:p>
        </w:tc>
        <w:tc>
          <w:tcPr>
            <w:tcW w:w="548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r>
              <w:t>场地及道路全部采用混凝土硬化等有效措施进行严格控制，减少贮储煤场地周围及进场道路两旁的扬尘污染</w:t>
            </w:r>
          </w:p>
        </w:tc>
        <w:tc>
          <w:tcPr>
            <w:tcW w:w="5363"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rPr>
                <w:rFonts w:hAnsi="宋体"/>
                <w:szCs w:val="32"/>
              </w:rPr>
            </w:pPr>
            <w:r>
              <w:rPr>
                <w:rFonts w:hAnsi="宋体"/>
                <w:szCs w:val="32"/>
              </w:rPr>
              <w:t>场地及场外道路全部进行硬化，并定期洒水降尘；工业场地周围设围墙</w:t>
            </w:r>
          </w:p>
        </w:tc>
        <w:tc>
          <w:tcPr>
            <w:tcW w:w="874"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rFonts w:ascii="宋体" w:hAnsi="宋体" w:cs="宋体"/>
                <w:szCs w:val="21"/>
              </w:rPr>
            </w:pPr>
            <w:r>
              <w:rPr>
                <w:rFonts w:ascii="宋体" w:hAnsi="宋体" w:cs="宋体"/>
                <w:szCs w:val="21"/>
              </w:rPr>
              <w:t>符合</w:t>
            </w:r>
          </w:p>
        </w:tc>
      </w:tr>
      <w:tr w:rsidR="00C223F5">
        <w:trPr>
          <w:trHeight w:val="729"/>
          <w:jc w:val="center"/>
        </w:trPr>
        <w:tc>
          <w:tcPr>
            <w:tcW w:w="634" w:type="dxa"/>
            <w:vMerge/>
            <w:tcBorders>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rPr>
                <w:szCs w:val="21"/>
              </w:rPr>
            </w:pPr>
          </w:p>
        </w:tc>
        <w:tc>
          <w:tcPr>
            <w:tcW w:w="1740" w:type="dxa"/>
            <w:vMerge/>
            <w:tcBorders>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C223F5" w:rsidP="004173AA">
            <w:pPr>
              <w:jc w:val="center"/>
            </w:pPr>
          </w:p>
        </w:tc>
        <w:tc>
          <w:tcPr>
            <w:tcW w:w="548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r>
              <w:t>对于整合后废弃的井场，必须按照</w:t>
            </w:r>
            <w:r>
              <w:t>“</w:t>
            </w:r>
            <w:r>
              <w:t>三不留一闭毁</w:t>
            </w:r>
            <w:r>
              <w:t>”</w:t>
            </w:r>
            <w:r>
              <w:t>的原则进行封井和清场，并进行生态恢复，对于闭毁恢复后的井场实行验收制度，必须先验收后整合</w:t>
            </w:r>
          </w:p>
        </w:tc>
        <w:tc>
          <w:tcPr>
            <w:tcW w:w="5363"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rPr>
                <w:rFonts w:hAnsi="宋体"/>
                <w:szCs w:val="32"/>
              </w:rPr>
            </w:pPr>
            <w:r>
              <w:rPr>
                <w:rFonts w:hAnsi="宋体" w:hint="eastAsia"/>
                <w:szCs w:val="32"/>
              </w:rPr>
              <w:t>本次整合利用原天云煤矿工业场地进行改扩建，利用原有一对立井作为整合后回风井，场地内建构筑物全部新建</w:t>
            </w:r>
          </w:p>
        </w:tc>
        <w:tc>
          <w:tcPr>
            <w:tcW w:w="874"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C223F5" w:rsidRDefault="005860D5" w:rsidP="004173AA">
            <w:pPr>
              <w:jc w:val="center"/>
              <w:rPr>
                <w:rFonts w:ascii="宋体" w:hAnsi="宋体" w:cs="宋体"/>
                <w:szCs w:val="21"/>
              </w:rPr>
            </w:pPr>
            <w:r>
              <w:rPr>
                <w:rFonts w:ascii="宋体" w:hAnsi="宋体" w:cs="宋体"/>
                <w:szCs w:val="21"/>
              </w:rPr>
              <w:t>符合</w:t>
            </w:r>
          </w:p>
        </w:tc>
      </w:tr>
    </w:tbl>
    <w:p w:rsidR="00C223F5" w:rsidRDefault="00C223F5" w:rsidP="004173AA">
      <w:pPr>
        <w:jc w:val="center"/>
        <w:rPr>
          <w:rFonts w:hAnsi="Calibri"/>
          <w:b/>
          <w:sz w:val="24"/>
        </w:rPr>
        <w:sectPr w:rsidR="00C223F5">
          <w:pgSz w:w="16840" w:h="11907" w:orient="landscape"/>
          <w:pgMar w:top="1531" w:right="1440" w:bottom="1531" w:left="1440" w:header="851" w:footer="992" w:gutter="0"/>
          <w:cols w:space="425"/>
          <w:docGrid w:linePitch="312"/>
        </w:sectPr>
      </w:pPr>
    </w:p>
    <w:p w:rsidR="00C223F5" w:rsidRDefault="005860D5" w:rsidP="004173AA">
      <w:pPr>
        <w:jc w:val="center"/>
      </w:pPr>
      <w:r>
        <w:rPr>
          <w:rFonts w:hAnsi="Calibri"/>
          <w:b/>
          <w:sz w:val="24"/>
        </w:rPr>
        <w:lastRenderedPageBreak/>
        <w:t>表</w:t>
      </w:r>
      <w:r>
        <w:rPr>
          <w:rFonts w:hint="eastAsia"/>
          <w:b/>
          <w:sz w:val="24"/>
        </w:rPr>
        <w:t xml:space="preserve">2  </w:t>
      </w:r>
      <w:r>
        <w:rPr>
          <w:rFonts w:hAnsi="Calibri"/>
          <w:b/>
          <w:sz w:val="24"/>
        </w:rPr>
        <w:t>本项目与</w:t>
      </w:r>
      <w:r>
        <w:rPr>
          <w:rFonts w:hAnsi="Calibri" w:hint="eastAsia"/>
          <w:b/>
          <w:sz w:val="24"/>
        </w:rPr>
        <w:t>榆林市“多规合一”相符性分析表</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422"/>
        <w:gridCol w:w="2807"/>
        <w:gridCol w:w="2445"/>
        <w:gridCol w:w="2019"/>
        <w:gridCol w:w="1490"/>
      </w:tblGrid>
      <w:tr w:rsidR="00C223F5">
        <w:trPr>
          <w:trHeight w:val="38"/>
          <w:jc w:val="center"/>
        </w:trPr>
        <w:tc>
          <w:tcPr>
            <w:tcW w:w="422"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序号</w:t>
            </w:r>
          </w:p>
        </w:tc>
        <w:tc>
          <w:tcPr>
            <w:tcW w:w="2807" w:type="dxa"/>
            <w:shd w:val="clear" w:color="auto" w:fill="auto"/>
            <w:tcMar>
              <w:left w:w="85" w:type="dxa"/>
              <w:right w:w="85" w:type="dxa"/>
            </w:tcMar>
            <w:vAlign w:val="center"/>
          </w:tcPr>
          <w:p w:rsidR="00C223F5" w:rsidRPr="00F81296" w:rsidRDefault="005860D5" w:rsidP="004173AA">
            <w:pPr>
              <w:spacing w:line="260" w:lineRule="exact"/>
              <w:jc w:val="center"/>
              <w:rPr>
                <w:rFonts w:ascii="宋体" w:hAnsi="宋体" w:cs="宋体"/>
                <w:szCs w:val="21"/>
              </w:rPr>
            </w:pPr>
            <w:r w:rsidRPr="00F81296">
              <w:rPr>
                <w:rFonts w:ascii="宋体" w:hAnsi="宋体" w:cs="宋体" w:hint="eastAsia"/>
                <w:szCs w:val="21"/>
              </w:rPr>
              <w:t>控制线名称</w:t>
            </w:r>
          </w:p>
        </w:tc>
        <w:tc>
          <w:tcPr>
            <w:tcW w:w="2445"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检测意见</w:t>
            </w:r>
          </w:p>
        </w:tc>
        <w:tc>
          <w:tcPr>
            <w:tcW w:w="2019"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实地踏勘及与相关</w:t>
            </w:r>
          </w:p>
          <w:p w:rsidR="00C223F5" w:rsidRPr="00F81296" w:rsidRDefault="005860D5" w:rsidP="004173AA">
            <w:pPr>
              <w:spacing w:line="260" w:lineRule="exact"/>
              <w:jc w:val="center"/>
              <w:rPr>
                <w:szCs w:val="21"/>
              </w:rPr>
            </w:pPr>
            <w:r w:rsidRPr="00F81296">
              <w:rPr>
                <w:rFonts w:hint="eastAsia"/>
                <w:szCs w:val="21"/>
              </w:rPr>
              <w:t>部门对接结果</w:t>
            </w:r>
          </w:p>
        </w:tc>
        <w:tc>
          <w:tcPr>
            <w:tcW w:w="1490" w:type="dxa"/>
            <w:shd w:val="clear" w:color="auto" w:fill="auto"/>
            <w:tcMar>
              <w:left w:w="85" w:type="dxa"/>
              <w:right w:w="85" w:type="dxa"/>
            </w:tcMar>
            <w:vAlign w:val="center"/>
          </w:tcPr>
          <w:p w:rsidR="00C223F5" w:rsidRPr="00F81296" w:rsidRDefault="005860D5" w:rsidP="004173AA">
            <w:pPr>
              <w:spacing w:line="260" w:lineRule="exact"/>
              <w:jc w:val="center"/>
              <w:rPr>
                <w:rFonts w:ascii="宋体" w:hAnsi="宋体" w:cs="宋体"/>
                <w:szCs w:val="21"/>
              </w:rPr>
            </w:pPr>
            <w:r w:rsidRPr="00F81296">
              <w:rPr>
                <w:rFonts w:ascii="宋体" w:hAnsi="宋体" w:cs="宋体" w:hint="eastAsia"/>
                <w:szCs w:val="21"/>
              </w:rPr>
              <w:t>环评意见</w:t>
            </w:r>
          </w:p>
        </w:tc>
      </w:tr>
      <w:tr w:rsidR="00C223F5">
        <w:trPr>
          <w:trHeight w:val="43"/>
          <w:jc w:val="center"/>
        </w:trPr>
        <w:tc>
          <w:tcPr>
            <w:tcW w:w="422"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1</w:t>
            </w:r>
          </w:p>
        </w:tc>
        <w:tc>
          <w:tcPr>
            <w:tcW w:w="2807" w:type="dxa"/>
            <w:shd w:val="clear" w:color="auto" w:fill="auto"/>
            <w:tcMar>
              <w:left w:w="85" w:type="dxa"/>
              <w:right w:w="85" w:type="dxa"/>
            </w:tcMar>
            <w:vAlign w:val="center"/>
          </w:tcPr>
          <w:p w:rsidR="00C223F5" w:rsidRPr="00F81296" w:rsidRDefault="005860D5" w:rsidP="004173AA">
            <w:pPr>
              <w:spacing w:line="260" w:lineRule="exact"/>
              <w:jc w:val="center"/>
              <w:rPr>
                <w:rFonts w:ascii="宋体" w:hAnsi="宋体" w:cs="宋体"/>
                <w:szCs w:val="21"/>
              </w:rPr>
            </w:pPr>
            <w:r w:rsidRPr="00F81296">
              <w:rPr>
                <w:rFonts w:ascii="宋体" w:hAnsi="宋体" w:cs="宋体" w:hint="eastAsia"/>
                <w:szCs w:val="21"/>
              </w:rPr>
              <w:t>土地利用</w:t>
            </w:r>
          </w:p>
          <w:p w:rsidR="00C223F5" w:rsidRPr="00F81296" w:rsidRDefault="005860D5" w:rsidP="004173AA">
            <w:pPr>
              <w:spacing w:line="260" w:lineRule="exact"/>
              <w:jc w:val="center"/>
              <w:rPr>
                <w:rFonts w:ascii="宋体" w:hAnsi="宋体" w:cs="宋体"/>
                <w:szCs w:val="21"/>
              </w:rPr>
            </w:pPr>
            <w:r w:rsidRPr="00F81296">
              <w:rPr>
                <w:rFonts w:ascii="宋体" w:hAnsi="宋体" w:cs="宋体" w:hint="eastAsia"/>
                <w:szCs w:val="21"/>
              </w:rPr>
              <w:t>总体规划</w:t>
            </w:r>
          </w:p>
        </w:tc>
        <w:tc>
          <w:tcPr>
            <w:tcW w:w="2445"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b/>
                <w:szCs w:val="21"/>
              </w:rPr>
              <w:t>对照</w:t>
            </w:r>
            <w:r w:rsidRPr="00F81296">
              <w:rPr>
                <w:rFonts w:hint="eastAsia"/>
                <w:b/>
                <w:szCs w:val="21"/>
              </w:rPr>
              <w:t>2018</w:t>
            </w:r>
            <w:r w:rsidRPr="00F81296">
              <w:rPr>
                <w:rFonts w:hint="eastAsia"/>
                <w:b/>
                <w:szCs w:val="21"/>
              </w:rPr>
              <w:t>（</w:t>
            </w:r>
            <w:r w:rsidRPr="00F81296">
              <w:rPr>
                <w:rFonts w:hint="eastAsia"/>
                <w:b/>
                <w:szCs w:val="21"/>
              </w:rPr>
              <w:t>2721</w:t>
            </w:r>
            <w:r w:rsidRPr="00F81296">
              <w:rPr>
                <w:rFonts w:hint="eastAsia"/>
                <w:b/>
                <w:szCs w:val="21"/>
              </w:rPr>
              <w:t>）号</w:t>
            </w:r>
            <w:r w:rsidRPr="00F81296">
              <w:rPr>
                <w:rFonts w:hint="eastAsia"/>
                <w:szCs w:val="21"/>
              </w:rPr>
              <w:t>：项目涉及限制建设区，有条件建设区，建议与国土部门对接</w:t>
            </w:r>
          </w:p>
        </w:tc>
        <w:tc>
          <w:tcPr>
            <w:tcW w:w="2019" w:type="dxa"/>
            <w:shd w:val="clear" w:color="auto" w:fill="auto"/>
            <w:tcMar>
              <w:left w:w="85" w:type="dxa"/>
              <w:right w:w="85" w:type="dxa"/>
            </w:tcMar>
            <w:vAlign w:val="center"/>
          </w:tcPr>
          <w:p w:rsidR="00C223F5" w:rsidRPr="00F81296" w:rsidRDefault="005860D5" w:rsidP="004173AA">
            <w:pPr>
              <w:spacing w:line="260" w:lineRule="exact"/>
              <w:jc w:val="center"/>
              <w:rPr>
                <w:szCs w:val="21"/>
                <w:highlight w:val="yellow"/>
              </w:rPr>
            </w:pPr>
            <w:r w:rsidRPr="00F81296">
              <w:rPr>
                <w:rFonts w:hint="eastAsia"/>
                <w:szCs w:val="21"/>
              </w:rPr>
              <w:t>项目工业场地新增占地类型为草地</w:t>
            </w:r>
            <w:r w:rsidR="008836F8" w:rsidRPr="00F81296">
              <w:rPr>
                <w:rFonts w:hint="eastAsia"/>
                <w:szCs w:val="21"/>
              </w:rPr>
              <w:t>和</w:t>
            </w:r>
            <w:r w:rsidR="00D723DF" w:rsidRPr="00F81296">
              <w:rPr>
                <w:rFonts w:hint="eastAsia"/>
                <w:szCs w:val="21"/>
              </w:rPr>
              <w:t>灌</w:t>
            </w:r>
            <w:r w:rsidR="008836F8" w:rsidRPr="00F81296">
              <w:rPr>
                <w:rFonts w:hint="eastAsia"/>
                <w:szCs w:val="21"/>
              </w:rPr>
              <w:t>林地</w:t>
            </w:r>
          </w:p>
        </w:tc>
        <w:tc>
          <w:tcPr>
            <w:tcW w:w="1490" w:type="dxa"/>
            <w:shd w:val="clear" w:color="auto" w:fill="auto"/>
            <w:tcMar>
              <w:left w:w="85" w:type="dxa"/>
              <w:right w:w="85" w:type="dxa"/>
            </w:tcMar>
            <w:vAlign w:val="center"/>
          </w:tcPr>
          <w:p w:rsidR="00C223F5" w:rsidRPr="00F81296" w:rsidRDefault="005860D5" w:rsidP="004173AA">
            <w:pPr>
              <w:spacing w:line="260" w:lineRule="exact"/>
              <w:jc w:val="center"/>
              <w:rPr>
                <w:rFonts w:ascii="宋体" w:hAnsi="宋体" w:cs="宋体"/>
                <w:szCs w:val="21"/>
                <w:highlight w:val="yellow"/>
              </w:rPr>
            </w:pPr>
            <w:r w:rsidRPr="00F81296">
              <w:rPr>
                <w:rFonts w:hint="eastAsia"/>
                <w:szCs w:val="21"/>
              </w:rPr>
              <w:t>依法办理占地手续</w:t>
            </w:r>
          </w:p>
        </w:tc>
      </w:tr>
      <w:tr w:rsidR="00C223F5">
        <w:trPr>
          <w:trHeight w:val="28"/>
          <w:jc w:val="center"/>
        </w:trPr>
        <w:tc>
          <w:tcPr>
            <w:tcW w:w="422"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2</w:t>
            </w:r>
          </w:p>
        </w:tc>
        <w:tc>
          <w:tcPr>
            <w:tcW w:w="2807" w:type="dxa"/>
            <w:shd w:val="clear" w:color="auto" w:fill="auto"/>
            <w:tcMar>
              <w:left w:w="85" w:type="dxa"/>
              <w:right w:w="85" w:type="dxa"/>
            </w:tcMar>
            <w:vAlign w:val="center"/>
          </w:tcPr>
          <w:p w:rsidR="00C223F5" w:rsidRPr="00F81296" w:rsidRDefault="005860D5" w:rsidP="004173AA">
            <w:pPr>
              <w:spacing w:line="260" w:lineRule="exact"/>
              <w:jc w:val="center"/>
              <w:rPr>
                <w:rFonts w:ascii="宋体" w:hAnsi="宋体" w:cs="宋体"/>
                <w:szCs w:val="21"/>
              </w:rPr>
            </w:pPr>
            <w:r w:rsidRPr="00F81296">
              <w:rPr>
                <w:rFonts w:ascii="宋体" w:hAnsi="宋体" w:cs="宋体" w:hint="eastAsia"/>
                <w:szCs w:val="21"/>
              </w:rPr>
              <w:t>城镇总体规划</w:t>
            </w:r>
          </w:p>
        </w:tc>
        <w:tc>
          <w:tcPr>
            <w:tcW w:w="2445"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符合</w:t>
            </w:r>
          </w:p>
        </w:tc>
        <w:tc>
          <w:tcPr>
            <w:tcW w:w="2019"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w:t>
            </w:r>
          </w:p>
        </w:tc>
        <w:tc>
          <w:tcPr>
            <w:tcW w:w="1490" w:type="dxa"/>
            <w:shd w:val="clear" w:color="auto" w:fill="auto"/>
            <w:tcMar>
              <w:left w:w="85" w:type="dxa"/>
              <w:right w:w="85" w:type="dxa"/>
            </w:tcMar>
            <w:vAlign w:val="center"/>
          </w:tcPr>
          <w:p w:rsidR="00C223F5" w:rsidRPr="00F81296" w:rsidRDefault="005860D5" w:rsidP="004173AA">
            <w:pPr>
              <w:spacing w:line="260" w:lineRule="exact"/>
              <w:jc w:val="center"/>
              <w:rPr>
                <w:rFonts w:ascii="宋体" w:hAnsi="宋体" w:cs="宋体"/>
                <w:szCs w:val="21"/>
              </w:rPr>
            </w:pPr>
            <w:r w:rsidRPr="00F81296">
              <w:rPr>
                <w:rFonts w:ascii="宋体" w:hAnsi="宋体" w:cs="宋体" w:hint="eastAsia"/>
                <w:szCs w:val="21"/>
              </w:rPr>
              <w:t>-</w:t>
            </w:r>
          </w:p>
        </w:tc>
      </w:tr>
      <w:tr w:rsidR="00C223F5">
        <w:trPr>
          <w:trHeight w:val="447"/>
          <w:jc w:val="center"/>
        </w:trPr>
        <w:tc>
          <w:tcPr>
            <w:tcW w:w="422"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3</w:t>
            </w:r>
          </w:p>
        </w:tc>
        <w:tc>
          <w:tcPr>
            <w:tcW w:w="2807" w:type="dxa"/>
            <w:shd w:val="clear" w:color="auto" w:fill="auto"/>
            <w:tcMar>
              <w:left w:w="85" w:type="dxa"/>
              <w:right w:w="85" w:type="dxa"/>
            </w:tcMar>
            <w:vAlign w:val="center"/>
          </w:tcPr>
          <w:p w:rsidR="00C223F5" w:rsidRPr="00F81296" w:rsidRDefault="005860D5" w:rsidP="004173AA">
            <w:pPr>
              <w:spacing w:line="260" w:lineRule="exact"/>
              <w:jc w:val="center"/>
              <w:rPr>
                <w:rFonts w:ascii="宋体" w:hAnsi="宋体" w:cs="宋体"/>
                <w:szCs w:val="21"/>
              </w:rPr>
            </w:pPr>
            <w:r w:rsidRPr="00F81296">
              <w:rPr>
                <w:rFonts w:ascii="宋体" w:hAnsi="宋体" w:cs="宋体" w:hint="eastAsia"/>
                <w:szCs w:val="21"/>
              </w:rPr>
              <w:t>林地保护</w:t>
            </w:r>
          </w:p>
          <w:p w:rsidR="00C223F5" w:rsidRPr="00F81296" w:rsidRDefault="005860D5" w:rsidP="004173AA">
            <w:pPr>
              <w:spacing w:line="260" w:lineRule="exact"/>
              <w:jc w:val="center"/>
              <w:rPr>
                <w:rFonts w:ascii="宋体" w:hAnsi="宋体" w:cs="宋体"/>
                <w:szCs w:val="21"/>
              </w:rPr>
            </w:pPr>
            <w:r w:rsidRPr="00F81296">
              <w:rPr>
                <w:rFonts w:ascii="宋体" w:hAnsi="宋体" w:cs="宋体" w:hint="eastAsia"/>
                <w:szCs w:val="21"/>
              </w:rPr>
              <w:t>利用规划</w:t>
            </w:r>
          </w:p>
        </w:tc>
        <w:tc>
          <w:tcPr>
            <w:tcW w:w="2445"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b/>
                <w:szCs w:val="21"/>
              </w:rPr>
              <w:t>对照</w:t>
            </w:r>
            <w:r w:rsidRPr="00F81296">
              <w:rPr>
                <w:rFonts w:hint="eastAsia"/>
                <w:b/>
                <w:szCs w:val="21"/>
              </w:rPr>
              <w:t>2018</w:t>
            </w:r>
            <w:r w:rsidRPr="00F81296">
              <w:rPr>
                <w:rFonts w:hint="eastAsia"/>
                <w:b/>
                <w:szCs w:val="21"/>
              </w:rPr>
              <w:t>（</w:t>
            </w:r>
            <w:r w:rsidRPr="00F81296">
              <w:rPr>
                <w:rFonts w:hint="eastAsia"/>
                <w:b/>
                <w:szCs w:val="21"/>
              </w:rPr>
              <w:t>2721</w:t>
            </w:r>
            <w:r w:rsidRPr="00F81296">
              <w:rPr>
                <w:rFonts w:hint="eastAsia"/>
                <w:b/>
                <w:szCs w:val="21"/>
              </w:rPr>
              <w:t>）号</w:t>
            </w:r>
            <w:r w:rsidRPr="00F81296">
              <w:rPr>
                <w:rFonts w:hint="eastAsia"/>
                <w:szCs w:val="21"/>
              </w:rPr>
              <w:t>：项目涉及二级保护林地、三级保护林地，建议与林业部门对接</w:t>
            </w:r>
          </w:p>
        </w:tc>
        <w:tc>
          <w:tcPr>
            <w:tcW w:w="2019" w:type="dxa"/>
            <w:shd w:val="clear" w:color="auto" w:fill="auto"/>
            <w:tcMar>
              <w:left w:w="85" w:type="dxa"/>
              <w:right w:w="85" w:type="dxa"/>
            </w:tcMar>
            <w:vAlign w:val="center"/>
          </w:tcPr>
          <w:p w:rsidR="00C223F5" w:rsidRPr="0014448E" w:rsidRDefault="005860D5" w:rsidP="0014448E">
            <w:pPr>
              <w:spacing w:line="260" w:lineRule="exact"/>
              <w:jc w:val="center"/>
              <w:rPr>
                <w:color w:val="FF0000"/>
                <w:szCs w:val="21"/>
              </w:rPr>
            </w:pPr>
            <w:r w:rsidRPr="0014448E">
              <w:rPr>
                <w:rFonts w:hint="eastAsia"/>
                <w:color w:val="FF0000"/>
                <w:szCs w:val="21"/>
              </w:rPr>
              <w:t>项目工业场地不涉及国家公益林</w:t>
            </w:r>
          </w:p>
        </w:tc>
        <w:tc>
          <w:tcPr>
            <w:tcW w:w="1490" w:type="dxa"/>
            <w:shd w:val="clear" w:color="auto" w:fill="auto"/>
            <w:tcMar>
              <w:left w:w="85" w:type="dxa"/>
              <w:right w:w="85" w:type="dxa"/>
            </w:tcMar>
            <w:vAlign w:val="center"/>
          </w:tcPr>
          <w:p w:rsidR="00C223F5" w:rsidRPr="0014448E" w:rsidRDefault="005860D5" w:rsidP="004173AA">
            <w:pPr>
              <w:spacing w:line="260" w:lineRule="exact"/>
              <w:jc w:val="center"/>
              <w:rPr>
                <w:color w:val="FF0000"/>
                <w:szCs w:val="21"/>
              </w:rPr>
            </w:pPr>
            <w:r w:rsidRPr="0014448E">
              <w:rPr>
                <w:rFonts w:hint="eastAsia"/>
                <w:color w:val="FF0000"/>
                <w:szCs w:val="21"/>
              </w:rPr>
              <w:t>依法办理林地占用手续</w:t>
            </w:r>
          </w:p>
        </w:tc>
      </w:tr>
      <w:tr w:rsidR="007428D0">
        <w:trPr>
          <w:trHeight w:val="28"/>
          <w:jc w:val="center"/>
        </w:trPr>
        <w:tc>
          <w:tcPr>
            <w:tcW w:w="422" w:type="dxa"/>
            <w:shd w:val="clear" w:color="auto" w:fill="auto"/>
            <w:tcMar>
              <w:left w:w="85" w:type="dxa"/>
              <w:right w:w="85" w:type="dxa"/>
            </w:tcMar>
            <w:vAlign w:val="center"/>
          </w:tcPr>
          <w:p w:rsidR="007428D0" w:rsidRPr="00F81296" w:rsidRDefault="007428D0" w:rsidP="004173AA">
            <w:pPr>
              <w:spacing w:line="260" w:lineRule="exact"/>
              <w:jc w:val="center"/>
              <w:rPr>
                <w:szCs w:val="21"/>
              </w:rPr>
            </w:pPr>
            <w:r w:rsidRPr="00F81296">
              <w:rPr>
                <w:rFonts w:hint="eastAsia"/>
                <w:szCs w:val="21"/>
              </w:rPr>
              <w:t>4</w:t>
            </w:r>
          </w:p>
        </w:tc>
        <w:tc>
          <w:tcPr>
            <w:tcW w:w="2807" w:type="dxa"/>
            <w:shd w:val="clear" w:color="auto" w:fill="auto"/>
            <w:tcMar>
              <w:left w:w="85" w:type="dxa"/>
              <w:right w:w="85" w:type="dxa"/>
            </w:tcMar>
            <w:vAlign w:val="center"/>
          </w:tcPr>
          <w:p w:rsidR="007428D0" w:rsidRPr="00F81296" w:rsidRDefault="007428D0" w:rsidP="004173AA">
            <w:pPr>
              <w:spacing w:line="260" w:lineRule="exact"/>
              <w:jc w:val="center"/>
              <w:rPr>
                <w:rFonts w:ascii="宋体" w:hAnsi="宋体" w:cs="宋体"/>
                <w:szCs w:val="21"/>
              </w:rPr>
            </w:pPr>
            <w:r w:rsidRPr="00F81296">
              <w:rPr>
                <w:rFonts w:ascii="宋体" w:hAnsi="宋体" w:cs="宋体" w:hint="eastAsia"/>
                <w:szCs w:val="21"/>
              </w:rPr>
              <w:t>生态红线</w:t>
            </w:r>
          </w:p>
        </w:tc>
        <w:tc>
          <w:tcPr>
            <w:tcW w:w="2445" w:type="dxa"/>
            <w:shd w:val="clear" w:color="auto" w:fill="auto"/>
            <w:tcMar>
              <w:left w:w="85" w:type="dxa"/>
              <w:right w:w="85" w:type="dxa"/>
            </w:tcMar>
            <w:vAlign w:val="center"/>
          </w:tcPr>
          <w:p w:rsidR="007428D0" w:rsidRPr="0014448E" w:rsidRDefault="007428D0" w:rsidP="004173AA">
            <w:pPr>
              <w:spacing w:line="260" w:lineRule="exact"/>
              <w:jc w:val="center"/>
              <w:rPr>
                <w:szCs w:val="21"/>
              </w:rPr>
            </w:pPr>
            <w:r w:rsidRPr="0014448E">
              <w:rPr>
                <w:rFonts w:hint="eastAsia"/>
                <w:szCs w:val="21"/>
              </w:rPr>
              <w:t>项目涉及生态红线，我市生态红线正在重新划定，建议与环保部门对接</w:t>
            </w:r>
          </w:p>
        </w:tc>
        <w:tc>
          <w:tcPr>
            <w:tcW w:w="2019" w:type="dxa"/>
            <w:vMerge w:val="restart"/>
            <w:shd w:val="clear" w:color="auto" w:fill="auto"/>
            <w:tcMar>
              <w:left w:w="85" w:type="dxa"/>
              <w:right w:w="85" w:type="dxa"/>
            </w:tcMar>
            <w:vAlign w:val="center"/>
          </w:tcPr>
          <w:p w:rsidR="007428D0" w:rsidRPr="007428D0" w:rsidRDefault="007428D0" w:rsidP="007428D0">
            <w:pPr>
              <w:spacing w:line="260" w:lineRule="exact"/>
              <w:jc w:val="center"/>
              <w:rPr>
                <w:color w:val="FF0000"/>
                <w:szCs w:val="21"/>
              </w:rPr>
            </w:pPr>
            <w:r>
              <w:rPr>
                <w:rFonts w:ascii="宋体" w:hAnsi="宋体" w:cs="宋体" w:hint="eastAsia"/>
                <w:color w:val="FF0000"/>
                <w:szCs w:val="21"/>
              </w:rPr>
              <w:t>项目区内生态红线</w:t>
            </w:r>
            <w:r w:rsidRPr="00197C9C">
              <w:rPr>
                <w:rFonts w:ascii="宋体" w:hAnsi="宋体" w:cs="宋体" w:hint="eastAsia"/>
                <w:color w:val="FF0000"/>
                <w:szCs w:val="21"/>
              </w:rPr>
              <w:t>主要为大理河湿地范围，井田内涉及的大理河湿地其</w:t>
            </w:r>
            <w:r w:rsidRPr="00197C9C">
              <w:rPr>
                <w:rFonts w:hAnsi="宋体" w:hint="eastAsia"/>
                <w:color w:val="FF0000"/>
                <w:kern w:val="0"/>
                <w:szCs w:val="21"/>
              </w:rPr>
              <w:t>下游为无煤区，上游</w:t>
            </w:r>
            <w:r w:rsidR="00212F71">
              <w:rPr>
                <w:rFonts w:hAnsi="宋体" w:hint="eastAsia"/>
                <w:color w:val="FF0000"/>
                <w:kern w:val="0"/>
                <w:szCs w:val="21"/>
              </w:rPr>
              <w:t>河流及湿地</w:t>
            </w:r>
            <w:r w:rsidRPr="00197C9C">
              <w:rPr>
                <w:rFonts w:hAnsi="宋体" w:hint="eastAsia"/>
                <w:color w:val="FF0000"/>
                <w:kern w:val="0"/>
                <w:szCs w:val="21"/>
              </w:rPr>
              <w:t>已留设保护煤柱，不开采</w:t>
            </w:r>
            <w:r>
              <w:rPr>
                <w:rFonts w:hAnsi="宋体" w:hint="eastAsia"/>
                <w:color w:val="FF0000"/>
                <w:kern w:val="0"/>
                <w:szCs w:val="21"/>
              </w:rPr>
              <w:t>；另外，</w:t>
            </w:r>
            <w:r w:rsidRPr="00197C9C">
              <w:rPr>
                <w:rFonts w:hint="eastAsia"/>
                <w:color w:val="FF0000"/>
                <w:szCs w:val="21"/>
              </w:rPr>
              <w:t>根据榆林市环境保护局横山分局提供的调整后横山区生态红线矢量坐标，</w:t>
            </w:r>
            <w:r>
              <w:rPr>
                <w:rFonts w:hint="eastAsia"/>
                <w:color w:val="FF0000"/>
                <w:szCs w:val="21"/>
              </w:rPr>
              <w:t>调整后</w:t>
            </w:r>
            <w:r w:rsidRPr="00197C9C">
              <w:rPr>
                <w:rFonts w:hint="eastAsia"/>
                <w:color w:val="FF0000"/>
                <w:szCs w:val="21"/>
              </w:rPr>
              <w:t>项目不涉及生态红线</w:t>
            </w:r>
          </w:p>
        </w:tc>
        <w:tc>
          <w:tcPr>
            <w:tcW w:w="1490" w:type="dxa"/>
            <w:vMerge w:val="restart"/>
            <w:shd w:val="clear" w:color="auto" w:fill="auto"/>
            <w:tcMar>
              <w:left w:w="85" w:type="dxa"/>
              <w:right w:w="85" w:type="dxa"/>
            </w:tcMar>
            <w:vAlign w:val="center"/>
          </w:tcPr>
          <w:p w:rsidR="007428D0" w:rsidRPr="007428D0" w:rsidRDefault="007428D0" w:rsidP="007428D0">
            <w:pPr>
              <w:spacing w:line="260" w:lineRule="exact"/>
              <w:jc w:val="center"/>
              <w:rPr>
                <w:rFonts w:ascii="宋体" w:hAnsi="宋体" w:cs="宋体"/>
                <w:color w:val="FF0000"/>
                <w:szCs w:val="21"/>
              </w:rPr>
            </w:pPr>
            <w:r w:rsidRPr="007428D0">
              <w:rPr>
                <w:rFonts w:ascii="宋体" w:hAnsi="宋体" w:cs="宋体" w:hint="eastAsia"/>
                <w:color w:val="FF0000"/>
                <w:szCs w:val="21"/>
              </w:rPr>
              <w:t>项目工业场地占地范围不涉及，采煤区应严格控制开采范围，按设计要求对井田内大理河湿地</w:t>
            </w:r>
            <w:r w:rsidRPr="007428D0">
              <w:rPr>
                <w:rFonts w:hAnsi="宋体" w:hint="eastAsia"/>
                <w:color w:val="FF0000"/>
                <w:kern w:val="0"/>
                <w:szCs w:val="21"/>
              </w:rPr>
              <w:t>上游留设保护煤柱，不开采</w:t>
            </w:r>
          </w:p>
        </w:tc>
      </w:tr>
      <w:tr w:rsidR="007428D0">
        <w:trPr>
          <w:trHeight w:val="28"/>
          <w:jc w:val="center"/>
        </w:trPr>
        <w:tc>
          <w:tcPr>
            <w:tcW w:w="422" w:type="dxa"/>
            <w:shd w:val="clear" w:color="auto" w:fill="auto"/>
            <w:tcMar>
              <w:left w:w="85" w:type="dxa"/>
              <w:right w:w="85" w:type="dxa"/>
            </w:tcMar>
            <w:vAlign w:val="center"/>
          </w:tcPr>
          <w:p w:rsidR="007428D0" w:rsidRPr="00F81296" w:rsidRDefault="007428D0" w:rsidP="004173AA">
            <w:pPr>
              <w:spacing w:line="260" w:lineRule="exact"/>
              <w:jc w:val="center"/>
              <w:rPr>
                <w:szCs w:val="21"/>
              </w:rPr>
            </w:pPr>
            <w:r w:rsidRPr="00F81296">
              <w:rPr>
                <w:rFonts w:hint="eastAsia"/>
                <w:szCs w:val="21"/>
              </w:rPr>
              <w:t>5</w:t>
            </w:r>
          </w:p>
        </w:tc>
        <w:tc>
          <w:tcPr>
            <w:tcW w:w="2807" w:type="dxa"/>
            <w:shd w:val="clear" w:color="auto" w:fill="auto"/>
            <w:tcMar>
              <w:left w:w="85" w:type="dxa"/>
              <w:right w:w="85" w:type="dxa"/>
            </w:tcMar>
            <w:vAlign w:val="center"/>
          </w:tcPr>
          <w:p w:rsidR="007428D0" w:rsidRPr="00F81296" w:rsidRDefault="007428D0" w:rsidP="004173AA">
            <w:pPr>
              <w:spacing w:line="260" w:lineRule="exact"/>
              <w:jc w:val="center"/>
              <w:rPr>
                <w:szCs w:val="21"/>
              </w:rPr>
            </w:pPr>
            <w:r w:rsidRPr="00F81296">
              <w:rPr>
                <w:rFonts w:hAnsi="宋体"/>
                <w:szCs w:val="21"/>
              </w:rPr>
              <w:t>河流滨岸带敏感区生态保护红线（冲突面积</w:t>
            </w:r>
            <w:r w:rsidRPr="00F81296">
              <w:rPr>
                <w:szCs w:val="21"/>
              </w:rPr>
              <w:t>686473.29</w:t>
            </w:r>
            <w:r w:rsidRPr="00F81296">
              <w:rPr>
                <w:rFonts w:hint="eastAsia"/>
                <w:szCs w:val="21"/>
              </w:rPr>
              <w:t>m</w:t>
            </w:r>
            <w:r w:rsidRPr="00F81296">
              <w:rPr>
                <w:rFonts w:hint="eastAsia"/>
                <w:szCs w:val="21"/>
                <w:vertAlign w:val="superscript"/>
              </w:rPr>
              <w:t>2</w:t>
            </w:r>
            <w:r w:rsidRPr="00F81296">
              <w:rPr>
                <w:rFonts w:hAnsi="宋体"/>
                <w:szCs w:val="21"/>
              </w:rPr>
              <w:t>）</w:t>
            </w:r>
          </w:p>
        </w:tc>
        <w:tc>
          <w:tcPr>
            <w:tcW w:w="2445" w:type="dxa"/>
            <w:shd w:val="clear" w:color="auto" w:fill="auto"/>
            <w:tcMar>
              <w:left w:w="85" w:type="dxa"/>
              <w:right w:w="85" w:type="dxa"/>
            </w:tcMar>
            <w:vAlign w:val="center"/>
          </w:tcPr>
          <w:p w:rsidR="007428D0" w:rsidRPr="00F81296" w:rsidRDefault="007428D0" w:rsidP="004173AA">
            <w:pPr>
              <w:spacing w:line="260" w:lineRule="exact"/>
              <w:jc w:val="center"/>
              <w:rPr>
                <w:szCs w:val="21"/>
              </w:rPr>
            </w:pPr>
            <w:r w:rsidRPr="00F81296">
              <w:rPr>
                <w:szCs w:val="21"/>
              </w:rPr>
              <w:t>限制开发</w:t>
            </w:r>
          </w:p>
        </w:tc>
        <w:tc>
          <w:tcPr>
            <w:tcW w:w="2019" w:type="dxa"/>
            <w:vMerge/>
            <w:shd w:val="clear" w:color="auto" w:fill="auto"/>
            <w:tcMar>
              <w:left w:w="85" w:type="dxa"/>
              <w:right w:w="85" w:type="dxa"/>
            </w:tcMar>
            <w:vAlign w:val="center"/>
          </w:tcPr>
          <w:p w:rsidR="007428D0" w:rsidRPr="00197C9C" w:rsidRDefault="007428D0" w:rsidP="004173AA">
            <w:pPr>
              <w:spacing w:line="260" w:lineRule="exact"/>
              <w:jc w:val="center"/>
              <w:rPr>
                <w:color w:val="FF0000"/>
                <w:szCs w:val="21"/>
              </w:rPr>
            </w:pPr>
          </w:p>
        </w:tc>
        <w:tc>
          <w:tcPr>
            <w:tcW w:w="1490" w:type="dxa"/>
            <w:vMerge/>
            <w:shd w:val="clear" w:color="auto" w:fill="auto"/>
            <w:tcMar>
              <w:left w:w="85" w:type="dxa"/>
              <w:right w:w="85" w:type="dxa"/>
            </w:tcMar>
            <w:vAlign w:val="center"/>
          </w:tcPr>
          <w:p w:rsidR="007428D0" w:rsidRPr="00F81296" w:rsidRDefault="007428D0" w:rsidP="007428D0">
            <w:pPr>
              <w:spacing w:line="260" w:lineRule="exact"/>
              <w:jc w:val="center"/>
              <w:rPr>
                <w:rFonts w:ascii="宋体" w:hAnsi="宋体" w:cs="宋体"/>
                <w:szCs w:val="21"/>
              </w:rPr>
            </w:pPr>
          </w:p>
        </w:tc>
      </w:tr>
      <w:tr w:rsidR="007428D0">
        <w:trPr>
          <w:trHeight w:val="28"/>
          <w:jc w:val="center"/>
        </w:trPr>
        <w:tc>
          <w:tcPr>
            <w:tcW w:w="422" w:type="dxa"/>
            <w:shd w:val="clear" w:color="auto" w:fill="auto"/>
            <w:tcMar>
              <w:left w:w="85" w:type="dxa"/>
              <w:right w:w="85" w:type="dxa"/>
            </w:tcMar>
            <w:vAlign w:val="center"/>
          </w:tcPr>
          <w:p w:rsidR="007428D0" w:rsidRPr="00F81296" w:rsidRDefault="007428D0" w:rsidP="004173AA">
            <w:pPr>
              <w:spacing w:line="260" w:lineRule="exact"/>
              <w:jc w:val="center"/>
              <w:rPr>
                <w:szCs w:val="21"/>
              </w:rPr>
            </w:pPr>
            <w:r w:rsidRPr="00F81296">
              <w:rPr>
                <w:rFonts w:hint="eastAsia"/>
                <w:szCs w:val="21"/>
              </w:rPr>
              <w:t>6</w:t>
            </w:r>
          </w:p>
        </w:tc>
        <w:tc>
          <w:tcPr>
            <w:tcW w:w="2807" w:type="dxa"/>
            <w:shd w:val="clear" w:color="auto" w:fill="auto"/>
            <w:tcMar>
              <w:left w:w="85" w:type="dxa"/>
              <w:right w:w="85" w:type="dxa"/>
            </w:tcMar>
            <w:vAlign w:val="center"/>
          </w:tcPr>
          <w:p w:rsidR="007428D0" w:rsidRPr="00F81296" w:rsidRDefault="007428D0" w:rsidP="004173AA">
            <w:pPr>
              <w:autoSpaceDE w:val="0"/>
              <w:autoSpaceDN w:val="0"/>
              <w:adjustRightInd w:val="0"/>
              <w:spacing w:line="260" w:lineRule="exact"/>
              <w:jc w:val="left"/>
              <w:rPr>
                <w:szCs w:val="21"/>
              </w:rPr>
            </w:pPr>
            <w:r w:rsidRPr="00F81296">
              <w:rPr>
                <w:kern w:val="0"/>
                <w:szCs w:val="21"/>
              </w:rPr>
              <w:t>水源涵养功能区生态保护红线（</w:t>
            </w:r>
            <w:r w:rsidRPr="00F81296">
              <w:rPr>
                <w:rFonts w:hAnsi="宋体"/>
                <w:szCs w:val="21"/>
              </w:rPr>
              <w:t>冲突面积</w:t>
            </w:r>
            <w:r w:rsidRPr="00F81296">
              <w:rPr>
                <w:kern w:val="0"/>
                <w:szCs w:val="21"/>
              </w:rPr>
              <w:t>1306065.06</w:t>
            </w:r>
            <w:r w:rsidRPr="00F81296">
              <w:rPr>
                <w:rFonts w:hint="eastAsia"/>
                <w:szCs w:val="21"/>
              </w:rPr>
              <w:t>m</w:t>
            </w:r>
            <w:r w:rsidRPr="00F81296">
              <w:rPr>
                <w:rFonts w:hint="eastAsia"/>
                <w:szCs w:val="21"/>
                <w:vertAlign w:val="superscript"/>
              </w:rPr>
              <w:t>2</w:t>
            </w:r>
            <w:r w:rsidRPr="00F81296">
              <w:rPr>
                <w:kern w:val="0"/>
                <w:szCs w:val="21"/>
              </w:rPr>
              <w:t>）</w:t>
            </w:r>
          </w:p>
        </w:tc>
        <w:tc>
          <w:tcPr>
            <w:tcW w:w="2445" w:type="dxa"/>
            <w:shd w:val="clear" w:color="auto" w:fill="auto"/>
            <w:tcMar>
              <w:left w:w="85" w:type="dxa"/>
              <w:right w:w="85" w:type="dxa"/>
            </w:tcMar>
            <w:vAlign w:val="center"/>
          </w:tcPr>
          <w:p w:rsidR="007428D0" w:rsidRPr="00F81296" w:rsidRDefault="007428D0" w:rsidP="004173AA">
            <w:pPr>
              <w:spacing w:line="260" w:lineRule="exact"/>
              <w:jc w:val="center"/>
              <w:rPr>
                <w:szCs w:val="21"/>
              </w:rPr>
            </w:pPr>
            <w:r w:rsidRPr="00F81296">
              <w:rPr>
                <w:szCs w:val="21"/>
              </w:rPr>
              <w:t>限制开发</w:t>
            </w:r>
          </w:p>
        </w:tc>
        <w:tc>
          <w:tcPr>
            <w:tcW w:w="2019" w:type="dxa"/>
            <w:vMerge/>
            <w:shd w:val="clear" w:color="auto" w:fill="auto"/>
            <w:tcMar>
              <w:left w:w="85" w:type="dxa"/>
              <w:right w:w="85" w:type="dxa"/>
            </w:tcMar>
            <w:vAlign w:val="center"/>
          </w:tcPr>
          <w:p w:rsidR="007428D0" w:rsidRPr="00197C9C" w:rsidRDefault="007428D0" w:rsidP="004173AA">
            <w:pPr>
              <w:spacing w:line="260" w:lineRule="exact"/>
              <w:jc w:val="center"/>
              <w:rPr>
                <w:color w:val="FF0000"/>
                <w:szCs w:val="21"/>
                <w:highlight w:val="yellow"/>
              </w:rPr>
            </w:pPr>
          </w:p>
        </w:tc>
        <w:tc>
          <w:tcPr>
            <w:tcW w:w="1490" w:type="dxa"/>
            <w:vMerge/>
            <w:shd w:val="clear" w:color="auto" w:fill="auto"/>
            <w:tcMar>
              <w:left w:w="85" w:type="dxa"/>
              <w:right w:w="85" w:type="dxa"/>
            </w:tcMar>
            <w:vAlign w:val="center"/>
          </w:tcPr>
          <w:p w:rsidR="007428D0" w:rsidRPr="00F81296" w:rsidRDefault="007428D0" w:rsidP="004173AA">
            <w:pPr>
              <w:spacing w:line="260" w:lineRule="exact"/>
              <w:jc w:val="center"/>
              <w:rPr>
                <w:rFonts w:ascii="宋体" w:hAnsi="宋体" w:cs="宋体"/>
                <w:szCs w:val="21"/>
                <w:highlight w:val="yellow"/>
              </w:rPr>
            </w:pPr>
          </w:p>
        </w:tc>
      </w:tr>
      <w:tr w:rsidR="007428D0">
        <w:trPr>
          <w:trHeight w:val="20"/>
          <w:jc w:val="center"/>
        </w:trPr>
        <w:tc>
          <w:tcPr>
            <w:tcW w:w="422" w:type="dxa"/>
            <w:shd w:val="clear" w:color="auto" w:fill="auto"/>
            <w:tcMar>
              <w:left w:w="85" w:type="dxa"/>
              <w:right w:w="85" w:type="dxa"/>
            </w:tcMar>
            <w:vAlign w:val="center"/>
          </w:tcPr>
          <w:p w:rsidR="007428D0" w:rsidRPr="00F81296" w:rsidRDefault="007428D0" w:rsidP="004173AA">
            <w:pPr>
              <w:spacing w:line="260" w:lineRule="exact"/>
              <w:jc w:val="center"/>
              <w:rPr>
                <w:szCs w:val="21"/>
              </w:rPr>
            </w:pPr>
            <w:r w:rsidRPr="00F81296">
              <w:rPr>
                <w:rFonts w:hint="eastAsia"/>
                <w:szCs w:val="21"/>
              </w:rPr>
              <w:t>7</w:t>
            </w:r>
          </w:p>
        </w:tc>
        <w:tc>
          <w:tcPr>
            <w:tcW w:w="2807" w:type="dxa"/>
            <w:shd w:val="clear" w:color="auto" w:fill="auto"/>
            <w:tcMar>
              <w:left w:w="85" w:type="dxa"/>
              <w:right w:w="85" w:type="dxa"/>
            </w:tcMar>
            <w:vAlign w:val="center"/>
          </w:tcPr>
          <w:p w:rsidR="007428D0" w:rsidRPr="00F81296" w:rsidRDefault="007428D0" w:rsidP="004173AA">
            <w:pPr>
              <w:autoSpaceDE w:val="0"/>
              <w:autoSpaceDN w:val="0"/>
              <w:adjustRightInd w:val="0"/>
              <w:spacing w:line="260" w:lineRule="exact"/>
              <w:jc w:val="left"/>
              <w:rPr>
                <w:szCs w:val="21"/>
              </w:rPr>
            </w:pPr>
            <w:r w:rsidRPr="00F81296">
              <w:rPr>
                <w:kern w:val="0"/>
                <w:szCs w:val="21"/>
              </w:rPr>
              <w:t>水土保持功能区生态保护红线（</w:t>
            </w:r>
            <w:r w:rsidRPr="00F81296">
              <w:rPr>
                <w:rFonts w:hAnsi="宋体"/>
                <w:szCs w:val="21"/>
              </w:rPr>
              <w:t>冲突面积</w:t>
            </w:r>
            <w:r w:rsidRPr="00F81296">
              <w:rPr>
                <w:kern w:val="0"/>
                <w:szCs w:val="21"/>
              </w:rPr>
              <w:t>27745905.41</w:t>
            </w:r>
            <w:r w:rsidRPr="00F81296">
              <w:rPr>
                <w:rFonts w:hint="eastAsia"/>
                <w:szCs w:val="21"/>
              </w:rPr>
              <w:t>m</w:t>
            </w:r>
            <w:r w:rsidRPr="00F81296">
              <w:rPr>
                <w:rFonts w:hint="eastAsia"/>
                <w:szCs w:val="21"/>
                <w:vertAlign w:val="superscript"/>
              </w:rPr>
              <w:t>2</w:t>
            </w:r>
            <w:r w:rsidRPr="00F81296">
              <w:rPr>
                <w:kern w:val="0"/>
                <w:szCs w:val="21"/>
              </w:rPr>
              <w:t>）</w:t>
            </w:r>
          </w:p>
        </w:tc>
        <w:tc>
          <w:tcPr>
            <w:tcW w:w="2445" w:type="dxa"/>
            <w:shd w:val="clear" w:color="auto" w:fill="auto"/>
            <w:tcMar>
              <w:left w:w="85" w:type="dxa"/>
              <w:right w:w="85" w:type="dxa"/>
            </w:tcMar>
            <w:vAlign w:val="center"/>
          </w:tcPr>
          <w:p w:rsidR="007428D0" w:rsidRPr="00F81296" w:rsidRDefault="007428D0" w:rsidP="004173AA">
            <w:pPr>
              <w:spacing w:line="260" w:lineRule="exact"/>
              <w:jc w:val="center"/>
              <w:rPr>
                <w:szCs w:val="21"/>
              </w:rPr>
            </w:pPr>
            <w:r w:rsidRPr="00F81296">
              <w:rPr>
                <w:szCs w:val="21"/>
              </w:rPr>
              <w:t>限制开发</w:t>
            </w:r>
          </w:p>
        </w:tc>
        <w:tc>
          <w:tcPr>
            <w:tcW w:w="2019" w:type="dxa"/>
            <w:vMerge/>
            <w:shd w:val="clear" w:color="auto" w:fill="auto"/>
            <w:tcMar>
              <w:left w:w="85" w:type="dxa"/>
              <w:right w:w="85" w:type="dxa"/>
            </w:tcMar>
            <w:vAlign w:val="center"/>
          </w:tcPr>
          <w:p w:rsidR="007428D0" w:rsidRPr="00197C9C" w:rsidRDefault="007428D0" w:rsidP="004173AA">
            <w:pPr>
              <w:spacing w:line="260" w:lineRule="exact"/>
              <w:jc w:val="center"/>
              <w:rPr>
                <w:color w:val="FF0000"/>
                <w:szCs w:val="21"/>
                <w:highlight w:val="yellow"/>
              </w:rPr>
            </w:pPr>
          </w:p>
        </w:tc>
        <w:tc>
          <w:tcPr>
            <w:tcW w:w="1490" w:type="dxa"/>
            <w:vMerge/>
            <w:shd w:val="clear" w:color="auto" w:fill="auto"/>
            <w:tcMar>
              <w:left w:w="85" w:type="dxa"/>
              <w:right w:w="85" w:type="dxa"/>
            </w:tcMar>
            <w:vAlign w:val="center"/>
          </w:tcPr>
          <w:p w:rsidR="007428D0" w:rsidRPr="00F81296" w:rsidRDefault="007428D0" w:rsidP="004173AA">
            <w:pPr>
              <w:spacing w:line="260" w:lineRule="exact"/>
              <w:jc w:val="center"/>
              <w:rPr>
                <w:rFonts w:ascii="宋体" w:hAnsi="宋体" w:cs="宋体"/>
                <w:szCs w:val="21"/>
                <w:highlight w:val="yellow"/>
              </w:rPr>
            </w:pPr>
          </w:p>
        </w:tc>
      </w:tr>
      <w:tr w:rsidR="007428D0">
        <w:trPr>
          <w:trHeight w:val="20"/>
          <w:jc w:val="center"/>
        </w:trPr>
        <w:tc>
          <w:tcPr>
            <w:tcW w:w="422" w:type="dxa"/>
            <w:shd w:val="clear" w:color="auto" w:fill="auto"/>
            <w:tcMar>
              <w:left w:w="85" w:type="dxa"/>
              <w:right w:w="85" w:type="dxa"/>
            </w:tcMar>
            <w:vAlign w:val="center"/>
          </w:tcPr>
          <w:p w:rsidR="007428D0" w:rsidRPr="00F81296" w:rsidRDefault="007428D0" w:rsidP="004173AA">
            <w:pPr>
              <w:spacing w:line="260" w:lineRule="exact"/>
              <w:jc w:val="center"/>
              <w:rPr>
                <w:szCs w:val="21"/>
              </w:rPr>
            </w:pPr>
            <w:r w:rsidRPr="00F81296">
              <w:rPr>
                <w:rFonts w:hint="eastAsia"/>
                <w:szCs w:val="21"/>
              </w:rPr>
              <w:t>8</w:t>
            </w:r>
          </w:p>
        </w:tc>
        <w:tc>
          <w:tcPr>
            <w:tcW w:w="2807" w:type="dxa"/>
            <w:shd w:val="clear" w:color="auto" w:fill="auto"/>
            <w:tcMar>
              <w:left w:w="85" w:type="dxa"/>
              <w:right w:w="85" w:type="dxa"/>
            </w:tcMar>
            <w:vAlign w:val="center"/>
          </w:tcPr>
          <w:p w:rsidR="007428D0" w:rsidRPr="00F81296" w:rsidRDefault="007428D0" w:rsidP="004173AA">
            <w:pPr>
              <w:autoSpaceDE w:val="0"/>
              <w:autoSpaceDN w:val="0"/>
              <w:adjustRightInd w:val="0"/>
              <w:spacing w:line="260" w:lineRule="exact"/>
              <w:jc w:val="left"/>
              <w:rPr>
                <w:szCs w:val="21"/>
              </w:rPr>
            </w:pPr>
            <w:r w:rsidRPr="00F81296">
              <w:rPr>
                <w:kern w:val="0"/>
                <w:szCs w:val="21"/>
              </w:rPr>
              <w:t>水土流失敏感区生态保护红线（</w:t>
            </w:r>
            <w:r w:rsidRPr="00F81296">
              <w:rPr>
                <w:rFonts w:hAnsi="宋体"/>
                <w:szCs w:val="21"/>
              </w:rPr>
              <w:t>冲突面积</w:t>
            </w:r>
            <w:r w:rsidRPr="00F81296">
              <w:rPr>
                <w:kern w:val="0"/>
                <w:szCs w:val="21"/>
              </w:rPr>
              <w:t>30407621.55</w:t>
            </w:r>
            <w:r w:rsidRPr="00F81296">
              <w:rPr>
                <w:rFonts w:hint="eastAsia"/>
                <w:szCs w:val="21"/>
              </w:rPr>
              <w:t>m</w:t>
            </w:r>
            <w:r w:rsidRPr="00F81296">
              <w:rPr>
                <w:rFonts w:hint="eastAsia"/>
                <w:szCs w:val="21"/>
                <w:vertAlign w:val="superscript"/>
              </w:rPr>
              <w:t>2</w:t>
            </w:r>
            <w:r w:rsidRPr="00F81296">
              <w:rPr>
                <w:kern w:val="0"/>
                <w:szCs w:val="21"/>
              </w:rPr>
              <w:t>）</w:t>
            </w:r>
          </w:p>
        </w:tc>
        <w:tc>
          <w:tcPr>
            <w:tcW w:w="2445" w:type="dxa"/>
            <w:shd w:val="clear" w:color="auto" w:fill="auto"/>
            <w:tcMar>
              <w:left w:w="85" w:type="dxa"/>
              <w:right w:w="85" w:type="dxa"/>
            </w:tcMar>
            <w:vAlign w:val="center"/>
          </w:tcPr>
          <w:p w:rsidR="007428D0" w:rsidRPr="00F81296" w:rsidRDefault="007428D0" w:rsidP="004173AA">
            <w:pPr>
              <w:spacing w:line="260" w:lineRule="exact"/>
              <w:jc w:val="center"/>
              <w:rPr>
                <w:szCs w:val="21"/>
              </w:rPr>
            </w:pPr>
            <w:r w:rsidRPr="00F81296">
              <w:rPr>
                <w:szCs w:val="21"/>
              </w:rPr>
              <w:t>限制开发</w:t>
            </w:r>
          </w:p>
        </w:tc>
        <w:tc>
          <w:tcPr>
            <w:tcW w:w="2019" w:type="dxa"/>
            <w:vMerge/>
            <w:shd w:val="clear" w:color="auto" w:fill="auto"/>
            <w:tcMar>
              <w:left w:w="85" w:type="dxa"/>
              <w:right w:w="85" w:type="dxa"/>
            </w:tcMar>
            <w:vAlign w:val="center"/>
          </w:tcPr>
          <w:p w:rsidR="007428D0" w:rsidRPr="00197C9C" w:rsidRDefault="007428D0" w:rsidP="004173AA">
            <w:pPr>
              <w:spacing w:line="260" w:lineRule="exact"/>
              <w:jc w:val="center"/>
              <w:rPr>
                <w:color w:val="FF0000"/>
                <w:szCs w:val="21"/>
                <w:highlight w:val="yellow"/>
              </w:rPr>
            </w:pPr>
          </w:p>
        </w:tc>
        <w:tc>
          <w:tcPr>
            <w:tcW w:w="1490" w:type="dxa"/>
            <w:vMerge/>
            <w:shd w:val="clear" w:color="auto" w:fill="auto"/>
            <w:tcMar>
              <w:left w:w="85" w:type="dxa"/>
              <w:right w:w="85" w:type="dxa"/>
            </w:tcMar>
            <w:vAlign w:val="center"/>
          </w:tcPr>
          <w:p w:rsidR="007428D0" w:rsidRPr="00F81296" w:rsidRDefault="007428D0" w:rsidP="004173AA">
            <w:pPr>
              <w:spacing w:line="260" w:lineRule="exact"/>
              <w:jc w:val="center"/>
              <w:rPr>
                <w:rFonts w:ascii="宋体" w:hAnsi="宋体" w:cs="宋体"/>
                <w:szCs w:val="21"/>
                <w:highlight w:val="yellow"/>
              </w:rPr>
            </w:pPr>
          </w:p>
        </w:tc>
      </w:tr>
      <w:tr w:rsidR="007428D0">
        <w:trPr>
          <w:trHeight w:val="28"/>
          <w:jc w:val="center"/>
        </w:trPr>
        <w:tc>
          <w:tcPr>
            <w:tcW w:w="422" w:type="dxa"/>
            <w:shd w:val="clear" w:color="auto" w:fill="auto"/>
            <w:tcMar>
              <w:left w:w="85" w:type="dxa"/>
              <w:right w:w="85" w:type="dxa"/>
            </w:tcMar>
            <w:vAlign w:val="center"/>
          </w:tcPr>
          <w:p w:rsidR="007428D0" w:rsidRPr="00F81296" w:rsidRDefault="007428D0" w:rsidP="004173AA">
            <w:pPr>
              <w:spacing w:line="260" w:lineRule="exact"/>
              <w:jc w:val="center"/>
              <w:rPr>
                <w:szCs w:val="21"/>
              </w:rPr>
            </w:pPr>
            <w:r w:rsidRPr="00F81296">
              <w:rPr>
                <w:rFonts w:hint="eastAsia"/>
                <w:szCs w:val="21"/>
              </w:rPr>
              <w:t>9</w:t>
            </w:r>
          </w:p>
        </w:tc>
        <w:tc>
          <w:tcPr>
            <w:tcW w:w="2807" w:type="dxa"/>
            <w:shd w:val="clear" w:color="auto" w:fill="auto"/>
            <w:tcMar>
              <w:left w:w="85" w:type="dxa"/>
              <w:right w:w="85" w:type="dxa"/>
            </w:tcMar>
            <w:vAlign w:val="center"/>
          </w:tcPr>
          <w:p w:rsidR="007428D0" w:rsidRPr="00F81296" w:rsidRDefault="007428D0" w:rsidP="004173AA">
            <w:pPr>
              <w:autoSpaceDE w:val="0"/>
              <w:autoSpaceDN w:val="0"/>
              <w:adjustRightInd w:val="0"/>
              <w:spacing w:line="260" w:lineRule="exact"/>
              <w:jc w:val="left"/>
              <w:rPr>
                <w:szCs w:val="21"/>
              </w:rPr>
            </w:pPr>
            <w:r w:rsidRPr="00F81296">
              <w:rPr>
                <w:kern w:val="0"/>
                <w:szCs w:val="21"/>
              </w:rPr>
              <w:t>关键物种及遗传资源保护红线（</w:t>
            </w:r>
            <w:r w:rsidRPr="00F81296">
              <w:rPr>
                <w:rFonts w:hAnsi="宋体"/>
                <w:szCs w:val="21"/>
              </w:rPr>
              <w:t>冲突面积</w:t>
            </w:r>
            <w:r w:rsidRPr="00F81296">
              <w:rPr>
                <w:kern w:val="0"/>
                <w:szCs w:val="21"/>
              </w:rPr>
              <w:t>1306065.06</w:t>
            </w:r>
            <w:r w:rsidRPr="00F81296">
              <w:rPr>
                <w:rFonts w:hint="eastAsia"/>
                <w:szCs w:val="21"/>
              </w:rPr>
              <w:t>m</w:t>
            </w:r>
            <w:r w:rsidRPr="00F81296">
              <w:rPr>
                <w:rFonts w:hint="eastAsia"/>
                <w:szCs w:val="21"/>
                <w:vertAlign w:val="superscript"/>
              </w:rPr>
              <w:t>2</w:t>
            </w:r>
            <w:r w:rsidRPr="00F81296">
              <w:rPr>
                <w:kern w:val="0"/>
                <w:szCs w:val="21"/>
              </w:rPr>
              <w:t>）</w:t>
            </w:r>
          </w:p>
        </w:tc>
        <w:tc>
          <w:tcPr>
            <w:tcW w:w="2445" w:type="dxa"/>
            <w:shd w:val="clear" w:color="auto" w:fill="auto"/>
            <w:tcMar>
              <w:left w:w="85" w:type="dxa"/>
              <w:right w:w="85" w:type="dxa"/>
            </w:tcMar>
            <w:vAlign w:val="center"/>
          </w:tcPr>
          <w:p w:rsidR="007428D0" w:rsidRPr="00F81296" w:rsidRDefault="007428D0" w:rsidP="004173AA">
            <w:pPr>
              <w:spacing w:line="260" w:lineRule="exact"/>
              <w:jc w:val="center"/>
              <w:rPr>
                <w:szCs w:val="21"/>
              </w:rPr>
            </w:pPr>
            <w:r w:rsidRPr="00F81296">
              <w:rPr>
                <w:szCs w:val="21"/>
              </w:rPr>
              <w:t>限制开发</w:t>
            </w:r>
          </w:p>
        </w:tc>
        <w:tc>
          <w:tcPr>
            <w:tcW w:w="2019" w:type="dxa"/>
            <w:shd w:val="clear" w:color="auto" w:fill="auto"/>
            <w:tcMar>
              <w:left w:w="85" w:type="dxa"/>
              <w:right w:w="85" w:type="dxa"/>
            </w:tcMar>
            <w:vAlign w:val="center"/>
          </w:tcPr>
          <w:p w:rsidR="007428D0" w:rsidRPr="00197C9C" w:rsidRDefault="007428D0" w:rsidP="004173AA">
            <w:pPr>
              <w:spacing w:line="260" w:lineRule="exact"/>
              <w:jc w:val="center"/>
              <w:rPr>
                <w:color w:val="FF0000"/>
                <w:szCs w:val="21"/>
              </w:rPr>
            </w:pPr>
            <w:r w:rsidRPr="00197C9C">
              <w:rPr>
                <w:rFonts w:hint="eastAsia"/>
                <w:color w:val="FF0000"/>
                <w:szCs w:val="21"/>
              </w:rPr>
              <w:t>榆林市生态红线中关键物种及遗传资源分布范围即有遗鸥等珍稀鸟类栖息的湿地和海子周围，针对本项目即大理河湿地范围</w:t>
            </w:r>
          </w:p>
        </w:tc>
        <w:tc>
          <w:tcPr>
            <w:tcW w:w="1490" w:type="dxa"/>
            <w:vMerge/>
            <w:shd w:val="clear" w:color="auto" w:fill="auto"/>
            <w:tcMar>
              <w:left w:w="85" w:type="dxa"/>
              <w:right w:w="85" w:type="dxa"/>
            </w:tcMar>
            <w:vAlign w:val="center"/>
          </w:tcPr>
          <w:p w:rsidR="007428D0" w:rsidRPr="00F81296" w:rsidRDefault="007428D0" w:rsidP="004173AA">
            <w:pPr>
              <w:spacing w:line="260" w:lineRule="exact"/>
              <w:jc w:val="center"/>
              <w:rPr>
                <w:rFonts w:ascii="宋体" w:hAnsi="宋体" w:cs="宋体"/>
                <w:szCs w:val="21"/>
              </w:rPr>
            </w:pPr>
          </w:p>
        </w:tc>
      </w:tr>
      <w:tr w:rsidR="00C223F5">
        <w:trPr>
          <w:trHeight w:val="28"/>
          <w:jc w:val="center"/>
        </w:trPr>
        <w:tc>
          <w:tcPr>
            <w:tcW w:w="422"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10</w:t>
            </w:r>
          </w:p>
        </w:tc>
        <w:tc>
          <w:tcPr>
            <w:tcW w:w="2807"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Ansi="宋体"/>
                <w:szCs w:val="21"/>
              </w:rPr>
              <w:t>文物保护紫线（县级以上保护单位：</w:t>
            </w:r>
            <w:r w:rsidRPr="00F81296">
              <w:rPr>
                <w:szCs w:val="21"/>
              </w:rPr>
              <w:t>冲突面积</w:t>
            </w:r>
            <w:r w:rsidRPr="00F81296">
              <w:rPr>
                <w:szCs w:val="21"/>
              </w:rPr>
              <w:t>17033.89m</w:t>
            </w:r>
            <w:r w:rsidRPr="00F81296">
              <w:rPr>
                <w:szCs w:val="21"/>
                <w:vertAlign w:val="superscript"/>
              </w:rPr>
              <w:t>2</w:t>
            </w:r>
            <w:r w:rsidRPr="00F81296">
              <w:rPr>
                <w:rFonts w:hAnsi="宋体"/>
                <w:szCs w:val="21"/>
              </w:rPr>
              <w:t>）</w:t>
            </w:r>
          </w:p>
        </w:tc>
        <w:tc>
          <w:tcPr>
            <w:tcW w:w="2445"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以实地踏勘结果为准</w:t>
            </w:r>
          </w:p>
        </w:tc>
        <w:tc>
          <w:tcPr>
            <w:tcW w:w="2019"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井田范围内涉及副玉帝老爷庙，九龙山庙，均为县级文物</w:t>
            </w:r>
          </w:p>
        </w:tc>
        <w:tc>
          <w:tcPr>
            <w:tcW w:w="1490" w:type="dxa"/>
            <w:shd w:val="clear" w:color="auto" w:fill="auto"/>
            <w:tcMar>
              <w:left w:w="85" w:type="dxa"/>
              <w:right w:w="85" w:type="dxa"/>
            </w:tcMar>
            <w:vAlign w:val="center"/>
          </w:tcPr>
          <w:p w:rsidR="00C223F5" w:rsidRPr="00F81296" w:rsidRDefault="005860D5" w:rsidP="004173AA">
            <w:pPr>
              <w:spacing w:line="260" w:lineRule="exact"/>
              <w:jc w:val="center"/>
              <w:rPr>
                <w:rFonts w:ascii="宋体" w:hAnsi="宋体" w:cs="宋体"/>
                <w:szCs w:val="21"/>
              </w:rPr>
            </w:pPr>
            <w:r w:rsidRPr="00F81296">
              <w:rPr>
                <w:rFonts w:ascii="宋体" w:hAnsi="宋体" w:cs="宋体" w:hint="eastAsia"/>
                <w:szCs w:val="21"/>
              </w:rPr>
              <w:t>位于井田煤柱内或不开采区</w:t>
            </w:r>
          </w:p>
        </w:tc>
      </w:tr>
      <w:tr w:rsidR="00C223F5">
        <w:trPr>
          <w:trHeight w:val="28"/>
          <w:jc w:val="center"/>
        </w:trPr>
        <w:tc>
          <w:tcPr>
            <w:tcW w:w="422"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11</w:t>
            </w:r>
          </w:p>
        </w:tc>
        <w:tc>
          <w:tcPr>
            <w:tcW w:w="2807"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Ansi="宋体"/>
                <w:szCs w:val="21"/>
              </w:rPr>
              <w:t>基础设施廊道控制线（电力类</w:t>
            </w:r>
            <w:r w:rsidRPr="00F81296">
              <w:rPr>
                <w:rFonts w:hAnsi="宋体" w:hint="eastAsia"/>
                <w:szCs w:val="21"/>
              </w:rPr>
              <w:t>：冲突面积</w:t>
            </w:r>
            <w:r w:rsidRPr="00F81296">
              <w:rPr>
                <w:szCs w:val="21"/>
              </w:rPr>
              <w:t>727160.42</w:t>
            </w:r>
            <w:r w:rsidRPr="00F81296">
              <w:rPr>
                <w:rFonts w:hint="eastAsia"/>
                <w:szCs w:val="21"/>
              </w:rPr>
              <w:t>m</w:t>
            </w:r>
            <w:r w:rsidRPr="00F81296">
              <w:rPr>
                <w:rFonts w:hint="eastAsia"/>
                <w:szCs w:val="21"/>
                <w:vertAlign w:val="superscript"/>
              </w:rPr>
              <w:t>2</w:t>
            </w:r>
            <w:r w:rsidRPr="00F81296">
              <w:rPr>
                <w:rFonts w:hAnsi="宋体"/>
                <w:szCs w:val="21"/>
              </w:rPr>
              <w:t>）</w:t>
            </w:r>
          </w:p>
        </w:tc>
        <w:tc>
          <w:tcPr>
            <w:tcW w:w="2445"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以实地踏勘结果为准</w:t>
            </w:r>
          </w:p>
        </w:tc>
        <w:tc>
          <w:tcPr>
            <w:tcW w:w="2019" w:type="dxa"/>
            <w:shd w:val="clear" w:color="auto" w:fill="auto"/>
            <w:tcMar>
              <w:left w:w="85" w:type="dxa"/>
              <w:right w:w="85" w:type="dxa"/>
            </w:tcMar>
            <w:vAlign w:val="center"/>
          </w:tcPr>
          <w:p w:rsidR="00C223F5" w:rsidRPr="00F81296" w:rsidRDefault="005860D5" w:rsidP="004173AA">
            <w:pPr>
              <w:spacing w:line="260" w:lineRule="exact"/>
              <w:jc w:val="center"/>
              <w:rPr>
                <w:szCs w:val="21"/>
              </w:rPr>
            </w:pPr>
            <w:r w:rsidRPr="00F81296">
              <w:rPr>
                <w:rFonts w:hint="eastAsia"/>
                <w:szCs w:val="21"/>
              </w:rPr>
              <w:t>井田内涉及</w:t>
            </w:r>
            <w:r w:rsidRPr="00F81296">
              <w:rPr>
                <w:rFonts w:hint="eastAsia"/>
                <w:szCs w:val="21"/>
              </w:rPr>
              <w:t>750kV</w:t>
            </w:r>
            <w:r w:rsidRPr="00F81296">
              <w:rPr>
                <w:rFonts w:hint="eastAsia"/>
                <w:szCs w:val="21"/>
              </w:rPr>
              <w:t>洛横线高压塔基</w:t>
            </w:r>
          </w:p>
        </w:tc>
        <w:tc>
          <w:tcPr>
            <w:tcW w:w="1490" w:type="dxa"/>
            <w:shd w:val="clear" w:color="auto" w:fill="auto"/>
            <w:tcMar>
              <w:left w:w="85" w:type="dxa"/>
              <w:right w:w="85" w:type="dxa"/>
            </w:tcMar>
            <w:vAlign w:val="center"/>
          </w:tcPr>
          <w:p w:rsidR="00C223F5" w:rsidRPr="00F81296" w:rsidRDefault="005860D5" w:rsidP="004173AA">
            <w:pPr>
              <w:spacing w:line="260" w:lineRule="exact"/>
              <w:jc w:val="center"/>
              <w:rPr>
                <w:rFonts w:ascii="宋体" w:hAnsi="宋体" w:cs="宋体"/>
                <w:szCs w:val="21"/>
              </w:rPr>
            </w:pPr>
            <w:r w:rsidRPr="00F81296">
              <w:rPr>
                <w:rFonts w:ascii="宋体" w:hAnsi="宋体" w:cs="宋体" w:hint="eastAsia"/>
                <w:szCs w:val="21"/>
              </w:rPr>
              <w:t>设计对塔基留设保护煤柱</w:t>
            </w:r>
          </w:p>
        </w:tc>
      </w:tr>
      <w:tr w:rsidR="00C223F5">
        <w:trPr>
          <w:trHeight w:val="312"/>
          <w:jc w:val="center"/>
        </w:trPr>
        <w:tc>
          <w:tcPr>
            <w:tcW w:w="422"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12</w:t>
            </w:r>
          </w:p>
        </w:tc>
        <w:tc>
          <w:tcPr>
            <w:tcW w:w="2807" w:type="dxa"/>
            <w:shd w:val="clear" w:color="auto" w:fill="auto"/>
            <w:tcMar>
              <w:left w:w="85" w:type="dxa"/>
              <w:right w:w="85" w:type="dxa"/>
            </w:tcMar>
            <w:vAlign w:val="center"/>
          </w:tcPr>
          <w:p w:rsidR="00C223F5" w:rsidRDefault="005860D5" w:rsidP="004173AA">
            <w:pPr>
              <w:spacing w:line="260" w:lineRule="exact"/>
              <w:jc w:val="center"/>
              <w:rPr>
                <w:rFonts w:ascii="宋体" w:hAnsi="宋体" w:cs="宋体"/>
                <w:szCs w:val="21"/>
              </w:rPr>
            </w:pPr>
            <w:r>
              <w:rPr>
                <w:rFonts w:ascii="宋体" w:hAnsi="宋体" w:cs="宋体" w:hint="eastAsia"/>
                <w:szCs w:val="21"/>
              </w:rPr>
              <w:t>基础设施廊道控制线</w:t>
            </w:r>
          </w:p>
          <w:p w:rsidR="00C223F5" w:rsidRDefault="005860D5" w:rsidP="004173AA">
            <w:pPr>
              <w:spacing w:line="260" w:lineRule="exact"/>
              <w:jc w:val="center"/>
              <w:rPr>
                <w:rFonts w:ascii="宋体" w:hAnsi="宋体" w:cs="宋体"/>
                <w:szCs w:val="21"/>
              </w:rPr>
            </w:pPr>
            <w:r>
              <w:rPr>
                <w:rFonts w:ascii="宋体" w:hAnsi="宋体" w:cs="宋体" w:hint="eastAsia"/>
                <w:szCs w:val="21"/>
              </w:rPr>
              <w:t>（长输管线类）</w:t>
            </w:r>
          </w:p>
        </w:tc>
        <w:tc>
          <w:tcPr>
            <w:tcW w:w="2445"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符合</w:t>
            </w:r>
          </w:p>
        </w:tc>
        <w:tc>
          <w:tcPr>
            <w:tcW w:w="2019"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w:t>
            </w:r>
          </w:p>
        </w:tc>
        <w:tc>
          <w:tcPr>
            <w:tcW w:w="1490" w:type="dxa"/>
            <w:shd w:val="clear" w:color="auto" w:fill="auto"/>
            <w:tcMar>
              <w:left w:w="85" w:type="dxa"/>
              <w:right w:w="85" w:type="dxa"/>
            </w:tcMar>
            <w:vAlign w:val="center"/>
          </w:tcPr>
          <w:p w:rsidR="00C223F5" w:rsidRDefault="005860D5" w:rsidP="004173AA">
            <w:pPr>
              <w:spacing w:line="260" w:lineRule="exact"/>
              <w:jc w:val="center"/>
              <w:rPr>
                <w:rFonts w:ascii="宋体" w:hAnsi="宋体" w:cs="宋体"/>
                <w:szCs w:val="21"/>
              </w:rPr>
            </w:pPr>
            <w:r>
              <w:rPr>
                <w:rFonts w:ascii="宋体" w:hAnsi="宋体" w:cs="宋体" w:hint="eastAsia"/>
                <w:szCs w:val="21"/>
              </w:rPr>
              <w:t>-</w:t>
            </w:r>
          </w:p>
        </w:tc>
      </w:tr>
      <w:tr w:rsidR="00C223F5">
        <w:trPr>
          <w:trHeight w:val="270"/>
          <w:jc w:val="center"/>
        </w:trPr>
        <w:tc>
          <w:tcPr>
            <w:tcW w:w="422"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13</w:t>
            </w:r>
          </w:p>
        </w:tc>
        <w:tc>
          <w:tcPr>
            <w:tcW w:w="2807"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Ansi="宋体"/>
                <w:szCs w:val="21"/>
              </w:rPr>
              <w:t>基础设施廊道控制线（交通类</w:t>
            </w:r>
            <w:r>
              <w:rPr>
                <w:rFonts w:hAnsi="宋体" w:hint="eastAsia"/>
                <w:szCs w:val="21"/>
              </w:rPr>
              <w:t>：冲突面积</w:t>
            </w:r>
            <w:r>
              <w:rPr>
                <w:szCs w:val="21"/>
              </w:rPr>
              <w:t>1868042.8m</w:t>
            </w:r>
            <w:r>
              <w:rPr>
                <w:szCs w:val="21"/>
                <w:vertAlign w:val="superscript"/>
              </w:rPr>
              <w:t>2</w:t>
            </w:r>
            <w:r>
              <w:rPr>
                <w:rFonts w:hAnsi="宋体"/>
                <w:szCs w:val="21"/>
              </w:rPr>
              <w:t>）</w:t>
            </w:r>
          </w:p>
        </w:tc>
        <w:tc>
          <w:tcPr>
            <w:tcW w:w="2445"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以实地踏勘结果为准</w:t>
            </w:r>
          </w:p>
        </w:tc>
        <w:tc>
          <w:tcPr>
            <w:tcW w:w="2019" w:type="dxa"/>
            <w:shd w:val="clear" w:color="auto" w:fill="auto"/>
            <w:tcMar>
              <w:left w:w="85" w:type="dxa"/>
              <w:right w:w="85" w:type="dxa"/>
            </w:tcMar>
            <w:vAlign w:val="center"/>
          </w:tcPr>
          <w:p w:rsidR="00C223F5" w:rsidRDefault="005860D5" w:rsidP="004173AA">
            <w:pPr>
              <w:spacing w:line="260" w:lineRule="exact"/>
              <w:jc w:val="center"/>
              <w:rPr>
                <w:szCs w:val="21"/>
              </w:rPr>
            </w:pPr>
            <w:r>
              <w:rPr>
                <w:rFonts w:hint="eastAsia"/>
                <w:szCs w:val="21"/>
              </w:rPr>
              <w:t>井田范围内涉及青银高速公路</w:t>
            </w:r>
            <w:r>
              <w:rPr>
                <w:szCs w:val="21"/>
              </w:rPr>
              <w:t>和</w:t>
            </w:r>
            <w:r>
              <w:rPr>
                <w:rFonts w:hint="eastAsia"/>
                <w:szCs w:val="21"/>
              </w:rPr>
              <w:t>太（原）中（卫）银（川）铁路，</w:t>
            </w:r>
            <w:r>
              <w:rPr>
                <w:rFonts w:hint="eastAsia"/>
                <w:szCs w:val="21"/>
              </w:rPr>
              <w:t>G307</w:t>
            </w:r>
          </w:p>
        </w:tc>
        <w:tc>
          <w:tcPr>
            <w:tcW w:w="1490" w:type="dxa"/>
            <w:shd w:val="clear" w:color="auto" w:fill="auto"/>
            <w:tcMar>
              <w:left w:w="85" w:type="dxa"/>
              <w:right w:w="85" w:type="dxa"/>
            </w:tcMar>
            <w:vAlign w:val="center"/>
          </w:tcPr>
          <w:p w:rsidR="00C223F5" w:rsidRDefault="005860D5" w:rsidP="004173AA">
            <w:pPr>
              <w:spacing w:line="260" w:lineRule="exact"/>
              <w:jc w:val="center"/>
              <w:rPr>
                <w:rFonts w:ascii="宋体" w:hAnsi="宋体" w:cs="宋体"/>
                <w:szCs w:val="21"/>
              </w:rPr>
            </w:pPr>
            <w:r>
              <w:rPr>
                <w:rFonts w:ascii="宋体" w:hAnsi="宋体" w:cs="宋体" w:hint="eastAsia"/>
                <w:szCs w:val="21"/>
              </w:rPr>
              <w:t>设计留设保护煤柱</w:t>
            </w:r>
          </w:p>
        </w:tc>
      </w:tr>
    </w:tbl>
    <w:p w:rsidR="00197C9C" w:rsidRDefault="00197C9C" w:rsidP="004173AA">
      <w:pPr>
        <w:spacing w:line="360" w:lineRule="auto"/>
        <w:ind w:firstLineChars="200" w:firstLine="482"/>
        <w:rPr>
          <w:b/>
          <w:sz w:val="24"/>
        </w:rPr>
      </w:pPr>
    </w:p>
    <w:p w:rsidR="00C223F5" w:rsidRDefault="005860D5" w:rsidP="00C006A7">
      <w:pPr>
        <w:spacing w:line="360" w:lineRule="auto"/>
        <w:ind w:firstLineChars="200" w:firstLine="482"/>
        <w:rPr>
          <w:b/>
          <w:sz w:val="24"/>
        </w:rPr>
      </w:pPr>
      <w:r>
        <w:rPr>
          <w:rFonts w:hint="eastAsia"/>
          <w:b/>
          <w:sz w:val="24"/>
        </w:rPr>
        <w:t>（三）</w:t>
      </w:r>
      <w:r>
        <w:rPr>
          <w:b/>
          <w:sz w:val="24"/>
        </w:rPr>
        <w:t>项目选址的符合性</w:t>
      </w:r>
    </w:p>
    <w:p w:rsidR="00C223F5" w:rsidRDefault="005860D5" w:rsidP="004173AA">
      <w:pPr>
        <w:spacing w:line="360" w:lineRule="auto"/>
        <w:ind w:firstLineChars="200" w:firstLine="480"/>
        <w:rPr>
          <w:rFonts w:hAnsi="Calibri"/>
          <w:b/>
          <w:sz w:val="24"/>
        </w:rPr>
      </w:pPr>
      <w:r>
        <w:rPr>
          <w:rFonts w:hAnsi="宋体" w:hint="eastAsia"/>
          <w:sz w:val="24"/>
        </w:rPr>
        <w:t>项目</w:t>
      </w:r>
      <w:r>
        <w:rPr>
          <w:rFonts w:hint="eastAsia"/>
          <w:sz w:val="24"/>
        </w:rPr>
        <w:t>工业场地</w:t>
      </w:r>
      <w:r>
        <w:rPr>
          <w:sz w:val="24"/>
        </w:rPr>
        <w:t>位于</w:t>
      </w:r>
      <w:r>
        <w:rPr>
          <w:rFonts w:hint="eastAsia"/>
          <w:sz w:val="24"/>
        </w:rPr>
        <w:t>井田</w:t>
      </w:r>
      <w:r w:rsidRPr="00362E72">
        <w:rPr>
          <w:rFonts w:hint="eastAsia"/>
          <w:sz w:val="24"/>
        </w:rPr>
        <w:t>北部，利用原天云煤矿工业场地进行改扩建，占地</w:t>
      </w:r>
      <w:r w:rsidRPr="00362E72">
        <w:rPr>
          <w:rFonts w:hint="eastAsia"/>
          <w:sz w:val="24"/>
        </w:rPr>
        <w:lastRenderedPageBreak/>
        <w:t>6.50hm</w:t>
      </w:r>
      <w:r w:rsidRPr="00362E72">
        <w:rPr>
          <w:rFonts w:hint="eastAsia"/>
          <w:sz w:val="24"/>
          <w:vertAlign w:val="superscript"/>
        </w:rPr>
        <w:t>2</w:t>
      </w:r>
      <w:r w:rsidRPr="00362E72">
        <w:rPr>
          <w:rFonts w:hAnsi="宋体" w:hint="eastAsia"/>
          <w:sz w:val="24"/>
        </w:rPr>
        <w:t>（围墙内</w:t>
      </w:r>
      <w:r w:rsidRPr="00362E72">
        <w:rPr>
          <w:rFonts w:hint="eastAsia"/>
          <w:sz w:val="24"/>
        </w:rPr>
        <w:t>5.25hm</w:t>
      </w:r>
      <w:r w:rsidRPr="00362E72">
        <w:rPr>
          <w:rFonts w:hint="eastAsia"/>
          <w:sz w:val="24"/>
          <w:vertAlign w:val="superscript"/>
        </w:rPr>
        <w:t>2</w:t>
      </w:r>
      <w:r w:rsidRPr="00362E72">
        <w:rPr>
          <w:rFonts w:hAnsi="宋体" w:hint="eastAsia"/>
          <w:sz w:val="24"/>
        </w:rPr>
        <w:t>）</w:t>
      </w:r>
      <w:r w:rsidRPr="00362E72">
        <w:rPr>
          <w:rFonts w:hint="eastAsia"/>
          <w:sz w:val="24"/>
        </w:rPr>
        <w:t>，新增</w:t>
      </w:r>
      <w:r w:rsidRPr="00362E72">
        <w:rPr>
          <w:rFonts w:hAnsi="宋体" w:hint="eastAsia"/>
          <w:sz w:val="24"/>
        </w:rPr>
        <w:t>占地</w:t>
      </w:r>
      <w:r w:rsidRPr="00362E72">
        <w:rPr>
          <w:rFonts w:hAnsi="宋体" w:hint="eastAsia"/>
          <w:sz w:val="24"/>
        </w:rPr>
        <w:t>3.62</w:t>
      </w:r>
      <w:r w:rsidRPr="00362E72">
        <w:rPr>
          <w:rFonts w:hint="eastAsia"/>
          <w:sz w:val="24"/>
        </w:rPr>
        <w:t xml:space="preserve"> hm</w:t>
      </w:r>
      <w:r w:rsidRPr="00362E72">
        <w:rPr>
          <w:rFonts w:hint="eastAsia"/>
          <w:sz w:val="24"/>
          <w:vertAlign w:val="superscript"/>
        </w:rPr>
        <w:t>2</w:t>
      </w:r>
      <w:r w:rsidRPr="00362E72">
        <w:rPr>
          <w:rFonts w:hint="eastAsia"/>
          <w:sz w:val="24"/>
        </w:rPr>
        <w:t>，占地</w:t>
      </w:r>
      <w:r w:rsidRPr="00362E72">
        <w:rPr>
          <w:rFonts w:hAnsi="宋体" w:hint="eastAsia"/>
          <w:sz w:val="24"/>
        </w:rPr>
        <w:t>类型主要为草地和</w:t>
      </w:r>
      <w:r w:rsidR="00D723DF" w:rsidRPr="00362E72">
        <w:rPr>
          <w:rFonts w:hAnsi="宋体" w:hint="eastAsia"/>
          <w:sz w:val="24"/>
        </w:rPr>
        <w:t>灌</w:t>
      </w:r>
      <w:r w:rsidRPr="00362E72">
        <w:rPr>
          <w:rFonts w:hAnsi="宋体" w:hint="eastAsia"/>
          <w:sz w:val="24"/>
        </w:rPr>
        <w:t>林地，</w:t>
      </w:r>
      <w:r w:rsidRPr="00362E72">
        <w:rPr>
          <w:rFonts w:hint="eastAsia"/>
          <w:sz w:val="24"/>
        </w:rPr>
        <w:t>不涉及</w:t>
      </w:r>
      <w:r w:rsidRPr="00362E72">
        <w:rPr>
          <w:sz w:val="24"/>
        </w:rPr>
        <w:t>基本农田。项目在采取相应的生态恢复和污染物防治措施、风险防范措施后，项目建设期和运行期间各类污染物均能达到排放标准要求，</w:t>
      </w:r>
      <w:r>
        <w:rPr>
          <w:sz w:val="24"/>
        </w:rPr>
        <w:t>对环境的影响</w:t>
      </w:r>
      <w:r>
        <w:rPr>
          <w:rFonts w:hint="eastAsia"/>
          <w:sz w:val="24"/>
        </w:rPr>
        <w:t>可接受，</w:t>
      </w:r>
      <w:r>
        <w:rPr>
          <w:sz w:val="24"/>
        </w:rPr>
        <w:t>项目风险值</w:t>
      </w:r>
      <w:r>
        <w:rPr>
          <w:rFonts w:hint="eastAsia"/>
          <w:sz w:val="24"/>
        </w:rPr>
        <w:t>可控</w:t>
      </w:r>
      <w:r>
        <w:rPr>
          <w:sz w:val="24"/>
        </w:rPr>
        <w:t>。</w:t>
      </w:r>
      <w:r>
        <w:rPr>
          <w:rFonts w:hint="eastAsia"/>
          <w:sz w:val="24"/>
        </w:rPr>
        <w:t>场地选址合理性分析见表</w:t>
      </w:r>
      <w:r>
        <w:rPr>
          <w:rFonts w:hint="eastAsia"/>
          <w:sz w:val="24"/>
        </w:rPr>
        <w:t>3</w:t>
      </w:r>
      <w:r>
        <w:rPr>
          <w:rFonts w:hint="eastAsia"/>
          <w:sz w:val="24"/>
        </w:rPr>
        <w:t>。</w:t>
      </w:r>
    </w:p>
    <w:p w:rsidR="00C223F5" w:rsidRDefault="005860D5" w:rsidP="004173AA">
      <w:pPr>
        <w:ind w:firstLineChars="200" w:firstLine="482"/>
        <w:jc w:val="center"/>
        <w:rPr>
          <w:b/>
          <w:sz w:val="24"/>
        </w:rPr>
      </w:pPr>
      <w:r>
        <w:rPr>
          <w:rFonts w:hAnsi="Calibri"/>
          <w:b/>
          <w:sz w:val="24"/>
        </w:rPr>
        <w:t>表</w:t>
      </w:r>
      <w:r>
        <w:rPr>
          <w:rFonts w:hint="eastAsia"/>
          <w:b/>
          <w:sz w:val="24"/>
        </w:rPr>
        <w:t xml:space="preserve">3    </w:t>
      </w:r>
      <w:r>
        <w:rPr>
          <w:rFonts w:hAnsi="Calibri"/>
          <w:b/>
          <w:sz w:val="24"/>
        </w:rPr>
        <w:t>项目选址</w:t>
      </w:r>
      <w:r>
        <w:rPr>
          <w:rFonts w:hAnsi="Calibri" w:hint="eastAsia"/>
          <w:b/>
          <w:sz w:val="24"/>
        </w:rPr>
        <w:t>、选线环境</w:t>
      </w:r>
      <w:r>
        <w:rPr>
          <w:rFonts w:hAnsi="Calibri"/>
          <w:b/>
          <w:sz w:val="24"/>
        </w:rPr>
        <w:t>合理性分析</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61"/>
        <w:gridCol w:w="753"/>
        <w:gridCol w:w="2838"/>
        <w:gridCol w:w="4650"/>
        <w:gridCol w:w="810"/>
      </w:tblGrid>
      <w:tr w:rsidR="00C223F5">
        <w:trPr>
          <w:trHeight w:val="324"/>
          <w:jc w:val="center"/>
        </w:trPr>
        <w:tc>
          <w:tcPr>
            <w:tcW w:w="561" w:type="dxa"/>
            <w:shd w:val="clear" w:color="auto" w:fill="auto"/>
            <w:tcMar>
              <w:left w:w="57" w:type="dxa"/>
              <w:right w:w="57" w:type="dxa"/>
            </w:tcMar>
            <w:vAlign w:val="center"/>
          </w:tcPr>
          <w:p w:rsidR="00C223F5" w:rsidRDefault="005860D5" w:rsidP="004173AA">
            <w:pPr>
              <w:spacing w:line="288" w:lineRule="auto"/>
              <w:jc w:val="center"/>
              <w:rPr>
                <w:b/>
                <w:szCs w:val="21"/>
              </w:rPr>
            </w:pPr>
            <w:r>
              <w:rPr>
                <w:rFonts w:ascii="宋体" w:hAnsi="宋体" w:cs="宋体" w:hint="eastAsia"/>
                <w:b/>
                <w:szCs w:val="21"/>
              </w:rPr>
              <w:t>序号</w:t>
            </w:r>
          </w:p>
        </w:tc>
        <w:tc>
          <w:tcPr>
            <w:tcW w:w="753" w:type="dxa"/>
            <w:shd w:val="clear" w:color="auto" w:fill="auto"/>
            <w:tcMar>
              <w:left w:w="57" w:type="dxa"/>
              <w:right w:w="57" w:type="dxa"/>
            </w:tcMar>
            <w:vAlign w:val="center"/>
          </w:tcPr>
          <w:p w:rsidR="00C223F5" w:rsidRDefault="005860D5" w:rsidP="004173AA">
            <w:pPr>
              <w:spacing w:line="288" w:lineRule="auto"/>
              <w:jc w:val="center"/>
              <w:rPr>
                <w:b/>
                <w:szCs w:val="21"/>
              </w:rPr>
            </w:pPr>
            <w:r>
              <w:rPr>
                <w:rFonts w:ascii="宋体" w:hAnsi="宋体" w:cs="宋体" w:hint="eastAsia"/>
                <w:b/>
                <w:szCs w:val="21"/>
              </w:rPr>
              <w:t>场地</w:t>
            </w:r>
          </w:p>
        </w:tc>
        <w:tc>
          <w:tcPr>
            <w:tcW w:w="2838" w:type="dxa"/>
            <w:shd w:val="clear" w:color="auto" w:fill="auto"/>
            <w:tcMar>
              <w:left w:w="57" w:type="dxa"/>
              <w:right w:w="57" w:type="dxa"/>
            </w:tcMar>
            <w:vAlign w:val="center"/>
          </w:tcPr>
          <w:p w:rsidR="00C223F5" w:rsidRDefault="005860D5" w:rsidP="004173AA">
            <w:pPr>
              <w:spacing w:line="288" w:lineRule="auto"/>
              <w:jc w:val="center"/>
              <w:rPr>
                <w:b/>
                <w:szCs w:val="21"/>
              </w:rPr>
            </w:pPr>
            <w:r>
              <w:rPr>
                <w:rFonts w:ascii="宋体" w:hAnsi="宋体" w:cs="宋体" w:hint="eastAsia"/>
                <w:b/>
                <w:szCs w:val="21"/>
              </w:rPr>
              <w:t>厂址</w:t>
            </w:r>
          </w:p>
        </w:tc>
        <w:tc>
          <w:tcPr>
            <w:tcW w:w="4650" w:type="dxa"/>
            <w:shd w:val="clear" w:color="auto" w:fill="auto"/>
            <w:tcMar>
              <w:left w:w="57" w:type="dxa"/>
              <w:right w:w="57" w:type="dxa"/>
            </w:tcMar>
            <w:vAlign w:val="center"/>
          </w:tcPr>
          <w:p w:rsidR="00C223F5" w:rsidRDefault="005860D5" w:rsidP="004173AA">
            <w:pPr>
              <w:spacing w:line="288" w:lineRule="auto"/>
              <w:jc w:val="center"/>
              <w:rPr>
                <w:b/>
                <w:szCs w:val="21"/>
              </w:rPr>
            </w:pPr>
            <w:r>
              <w:rPr>
                <w:rFonts w:ascii="宋体" w:hAnsi="宋体" w:cs="宋体" w:hint="eastAsia"/>
                <w:b/>
                <w:szCs w:val="21"/>
              </w:rPr>
              <w:t>合理性分析</w:t>
            </w:r>
          </w:p>
        </w:tc>
        <w:tc>
          <w:tcPr>
            <w:tcW w:w="810" w:type="dxa"/>
            <w:shd w:val="clear" w:color="auto" w:fill="auto"/>
            <w:tcMar>
              <w:left w:w="57" w:type="dxa"/>
              <w:right w:w="57" w:type="dxa"/>
            </w:tcMar>
            <w:vAlign w:val="center"/>
          </w:tcPr>
          <w:p w:rsidR="00C223F5" w:rsidRDefault="005860D5" w:rsidP="004173AA">
            <w:pPr>
              <w:spacing w:line="288" w:lineRule="auto"/>
              <w:jc w:val="center"/>
              <w:rPr>
                <w:b/>
                <w:szCs w:val="21"/>
              </w:rPr>
            </w:pPr>
            <w:r>
              <w:rPr>
                <w:rFonts w:ascii="宋体" w:hAnsi="宋体" w:cs="宋体" w:hint="eastAsia"/>
                <w:b/>
                <w:szCs w:val="21"/>
              </w:rPr>
              <w:t>合理性</w:t>
            </w:r>
          </w:p>
        </w:tc>
      </w:tr>
      <w:tr w:rsidR="00C223F5">
        <w:trPr>
          <w:trHeight w:val="324"/>
          <w:jc w:val="center"/>
        </w:trPr>
        <w:tc>
          <w:tcPr>
            <w:tcW w:w="561" w:type="dxa"/>
            <w:shd w:val="clear" w:color="auto" w:fill="auto"/>
            <w:tcMar>
              <w:left w:w="57" w:type="dxa"/>
              <w:right w:w="57" w:type="dxa"/>
            </w:tcMar>
            <w:vAlign w:val="center"/>
          </w:tcPr>
          <w:p w:rsidR="00C223F5" w:rsidRDefault="005860D5" w:rsidP="004173AA">
            <w:pPr>
              <w:spacing w:line="288" w:lineRule="auto"/>
              <w:jc w:val="center"/>
              <w:rPr>
                <w:rFonts w:hAnsi="宋体"/>
                <w:szCs w:val="21"/>
              </w:rPr>
            </w:pPr>
            <w:r>
              <w:rPr>
                <w:rFonts w:hAnsi="宋体" w:hint="eastAsia"/>
                <w:szCs w:val="21"/>
              </w:rPr>
              <w:t>1</w:t>
            </w:r>
          </w:p>
        </w:tc>
        <w:tc>
          <w:tcPr>
            <w:tcW w:w="753" w:type="dxa"/>
            <w:shd w:val="clear" w:color="auto" w:fill="auto"/>
            <w:tcMar>
              <w:left w:w="57" w:type="dxa"/>
              <w:right w:w="57" w:type="dxa"/>
            </w:tcMar>
            <w:vAlign w:val="center"/>
          </w:tcPr>
          <w:p w:rsidR="00C223F5" w:rsidRDefault="005860D5" w:rsidP="004173AA">
            <w:pPr>
              <w:spacing w:line="288" w:lineRule="auto"/>
              <w:jc w:val="center"/>
              <w:rPr>
                <w:rFonts w:ascii="宋体" w:hAnsi="宋体" w:cs="宋体"/>
                <w:szCs w:val="21"/>
              </w:rPr>
            </w:pPr>
            <w:r>
              <w:rPr>
                <w:rFonts w:ascii="宋体" w:hAnsi="宋体" w:cs="宋体" w:hint="eastAsia"/>
                <w:szCs w:val="21"/>
              </w:rPr>
              <w:t>工业</w:t>
            </w:r>
          </w:p>
          <w:p w:rsidR="00C223F5" w:rsidRDefault="005860D5" w:rsidP="004173AA">
            <w:pPr>
              <w:spacing w:line="288" w:lineRule="auto"/>
              <w:jc w:val="center"/>
              <w:rPr>
                <w:rFonts w:hAnsi="宋体"/>
                <w:szCs w:val="21"/>
              </w:rPr>
            </w:pPr>
            <w:r>
              <w:rPr>
                <w:rFonts w:ascii="宋体" w:hAnsi="宋体" w:cs="宋体" w:hint="eastAsia"/>
                <w:szCs w:val="21"/>
              </w:rPr>
              <w:t>场地</w:t>
            </w:r>
          </w:p>
        </w:tc>
        <w:tc>
          <w:tcPr>
            <w:tcW w:w="2838" w:type="dxa"/>
            <w:shd w:val="clear" w:color="auto" w:fill="auto"/>
            <w:tcMar>
              <w:left w:w="57" w:type="dxa"/>
              <w:right w:w="57" w:type="dxa"/>
            </w:tcMar>
            <w:vAlign w:val="center"/>
          </w:tcPr>
          <w:p w:rsidR="00C223F5" w:rsidRDefault="005860D5" w:rsidP="004173AA">
            <w:pPr>
              <w:tabs>
                <w:tab w:val="left" w:pos="2552"/>
                <w:tab w:val="left" w:pos="5387"/>
              </w:tabs>
              <w:rPr>
                <w:szCs w:val="21"/>
              </w:rPr>
            </w:pPr>
            <w:r>
              <w:rPr>
                <w:rFonts w:hint="eastAsia"/>
                <w:szCs w:val="21"/>
              </w:rPr>
              <w:t>整合区北部</w:t>
            </w:r>
            <w:r>
              <w:rPr>
                <w:szCs w:val="21"/>
              </w:rPr>
              <w:t>蚂蚁河北岸</w:t>
            </w:r>
            <w:r>
              <w:rPr>
                <w:rFonts w:hint="eastAsia"/>
                <w:szCs w:val="21"/>
              </w:rPr>
              <w:t>，</w:t>
            </w:r>
            <w:r>
              <w:rPr>
                <w:szCs w:val="21"/>
              </w:rPr>
              <w:t>原小天云煤矿场地</w:t>
            </w:r>
            <w:r>
              <w:rPr>
                <w:rFonts w:hint="eastAsia"/>
                <w:szCs w:val="21"/>
              </w:rPr>
              <w:t>基础上改扩建</w:t>
            </w:r>
            <w:r>
              <w:rPr>
                <w:szCs w:val="21"/>
              </w:rPr>
              <w:t>，占地面积为</w:t>
            </w:r>
            <w:r>
              <w:rPr>
                <w:szCs w:val="21"/>
              </w:rPr>
              <w:t>6.50</w:t>
            </w:r>
            <w:r>
              <w:rPr>
                <w:rFonts w:hint="eastAsia"/>
                <w:szCs w:val="21"/>
              </w:rPr>
              <w:t xml:space="preserve"> h</w:t>
            </w:r>
            <w:r>
              <w:rPr>
                <w:szCs w:val="21"/>
              </w:rPr>
              <w:t>m</w:t>
            </w:r>
            <w:r>
              <w:rPr>
                <w:szCs w:val="21"/>
                <w:vertAlign w:val="superscript"/>
              </w:rPr>
              <w:t>2</w:t>
            </w:r>
          </w:p>
        </w:tc>
        <w:tc>
          <w:tcPr>
            <w:tcW w:w="4650" w:type="dxa"/>
            <w:shd w:val="clear" w:color="auto" w:fill="auto"/>
            <w:tcMar>
              <w:left w:w="57" w:type="dxa"/>
              <w:right w:w="57" w:type="dxa"/>
            </w:tcMar>
            <w:vAlign w:val="center"/>
          </w:tcPr>
          <w:p w:rsidR="00C223F5" w:rsidRDefault="000F32AE" w:rsidP="004173AA">
            <w:pPr>
              <w:tabs>
                <w:tab w:val="left" w:pos="2552"/>
                <w:tab w:val="left" w:pos="5387"/>
              </w:tabs>
              <w:rPr>
                <w:szCs w:val="21"/>
              </w:rPr>
            </w:pPr>
            <w:r>
              <w:rPr>
                <w:szCs w:val="21"/>
              </w:rPr>
              <w:fldChar w:fldCharType="begin"/>
            </w:r>
            <w:r w:rsidR="005860D5">
              <w:rPr>
                <w:szCs w:val="21"/>
              </w:rPr>
              <w:instrText xml:space="preserve"> = 1 \* GB3 </w:instrText>
            </w:r>
            <w:r>
              <w:rPr>
                <w:szCs w:val="21"/>
              </w:rPr>
              <w:fldChar w:fldCharType="separate"/>
            </w:r>
            <w:r w:rsidR="005860D5">
              <w:rPr>
                <w:rFonts w:hint="eastAsia"/>
                <w:szCs w:val="21"/>
              </w:rPr>
              <w:t>①</w:t>
            </w:r>
            <w:r>
              <w:rPr>
                <w:szCs w:val="21"/>
              </w:rPr>
              <w:fldChar w:fldCharType="end"/>
            </w:r>
            <w:r w:rsidR="005860D5">
              <w:rPr>
                <w:rFonts w:hint="eastAsia"/>
                <w:szCs w:val="21"/>
              </w:rPr>
              <w:t>利用已有主立井和副立井进行回风，场地占地不新增压煤量，井筒工程量少；</w:t>
            </w:r>
          </w:p>
          <w:p w:rsidR="00C223F5" w:rsidRDefault="000F32AE" w:rsidP="004173AA">
            <w:pPr>
              <w:tabs>
                <w:tab w:val="left" w:pos="2552"/>
                <w:tab w:val="left" w:pos="5387"/>
              </w:tabs>
              <w:rPr>
                <w:szCs w:val="21"/>
              </w:rPr>
            </w:pPr>
            <w:r>
              <w:rPr>
                <w:szCs w:val="21"/>
              </w:rPr>
              <w:fldChar w:fldCharType="begin"/>
            </w:r>
            <w:r w:rsidR="005860D5">
              <w:rPr>
                <w:szCs w:val="21"/>
              </w:rPr>
              <w:instrText xml:space="preserve"> = 2 \* GB3 </w:instrText>
            </w:r>
            <w:r>
              <w:rPr>
                <w:szCs w:val="21"/>
              </w:rPr>
              <w:fldChar w:fldCharType="separate"/>
            </w:r>
            <w:r w:rsidR="005860D5">
              <w:rPr>
                <w:rFonts w:hint="eastAsia"/>
                <w:szCs w:val="21"/>
              </w:rPr>
              <w:t>②</w:t>
            </w:r>
            <w:r>
              <w:rPr>
                <w:szCs w:val="21"/>
              </w:rPr>
              <w:fldChar w:fldCharType="end"/>
            </w:r>
            <w:r w:rsidR="005860D5">
              <w:rPr>
                <w:rFonts w:hint="eastAsia"/>
                <w:szCs w:val="21"/>
              </w:rPr>
              <w:t>充分利用已有场地，工业场地土方工程量相对减少，可利用已有的进场道路、供电、供水系统；</w:t>
            </w:r>
          </w:p>
          <w:p w:rsidR="00C223F5" w:rsidRDefault="000F32AE" w:rsidP="004173AA">
            <w:pPr>
              <w:tabs>
                <w:tab w:val="left" w:pos="2552"/>
                <w:tab w:val="left" w:pos="5387"/>
              </w:tabs>
              <w:rPr>
                <w:szCs w:val="21"/>
              </w:rPr>
            </w:pPr>
            <w:r>
              <w:rPr>
                <w:snapToGrid w:val="0"/>
                <w:spacing w:val="-6"/>
                <w:szCs w:val="21"/>
              </w:rPr>
              <w:fldChar w:fldCharType="begin"/>
            </w:r>
            <w:r w:rsidR="005860D5">
              <w:rPr>
                <w:rFonts w:hint="eastAsia"/>
                <w:snapToGrid w:val="0"/>
                <w:spacing w:val="-6"/>
                <w:szCs w:val="21"/>
              </w:rPr>
              <w:instrText>= 3 \* GB3</w:instrText>
            </w:r>
            <w:r>
              <w:rPr>
                <w:snapToGrid w:val="0"/>
                <w:spacing w:val="-6"/>
                <w:szCs w:val="21"/>
              </w:rPr>
              <w:fldChar w:fldCharType="separate"/>
            </w:r>
            <w:r w:rsidR="005860D5">
              <w:rPr>
                <w:rFonts w:ascii="宋体" w:hAnsi="宋体" w:cs="宋体" w:hint="eastAsia"/>
                <w:snapToGrid w:val="0"/>
                <w:spacing w:val="-6"/>
                <w:szCs w:val="21"/>
              </w:rPr>
              <w:t>③</w:t>
            </w:r>
            <w:r>
              <w:rPr>
                <w:snapToGrid w:val="0"/>
                <w:spacing w:val="-6"/>
                <w:szCs w:val="21"/>
              </w:rPr>
              <w:fldChar w:fldCharType="end"/>
            </w:r>
            <w:r w:rsidR="005860D5">
              <w:rPr>
                <w:rFonts w:hint="eastAsia"/>
                <w:szCs w:val="21"/>
              </w:rPr>
              <w:t>建设工期相对较短，投资较小；</w:t>
            </w:r>
          </w:p>
          <w:p w:rsidR="00C223F5" w:rsidRDefault="000F32AE" w:rsidP="004173AA">
            <w:pPr>
              <w:tabs>
                <w:tab w:val="left" w:pos="2552"/>
                <w:tab w:val="left" w:pos="5387"/>
              </w:tabs>
              <w:rPr>
                <w:szCs w:val="21"/>
              </w:rPr>
            </w:pPr>
            <w:r>
              <w:rPr>
                <w:snapToGrid w:val="0"/>
                <w:spacing w:val="-6"/>
                <w:szCs w:val="21"/>
              </w:rPr>
              <w:fldChar w:fldCharType="begin"/>
            </w:r>
            <w:r w:rsidR="005860D5">
              <w:rPr>
                <w:rFonts w:hint="eastAsia"/>
                <w:snapToGrid w:val="0"/>
                <w:spacing w:val="-6"/>
                <w:szCs w:val="21"/>
              </w:rPr>
              <w:instrText>= 4 \* GB3</w:instrText>
            </w:r>
            <w:r>
              <w:rPr>
                <w:snapToGrid w:val="0"/>
                <w:spacing w:val="-6"/>
                <w:szCs w:val="21"/>
              </w:rPr>
              <w:fldChar w:fldCharType="separate"/>
            </w:r>
            <w:r w:rsidR="005860D5">
              <w:rPr>
                <w:rFonts w:ascii="宋体" w:hAnsi="宋体" w:cs="宋体" w:hint="eastAsia"/>
                <w:snapToGrid w:val="0"/>
                <w:spacing w:val="-6"/>
                <w:szCs w:val="21"/>
              </w:rPr>
              <w:t>④</w:t>
            </w:r>
            <w:r>
              <w:rPr>
                <w:snapToGrid w:val="0"/>
                <w:spacing w:val="-6"/>
                <w:szCs w:val="21"/>
              </w:rPr>
              <w:fldChar w:fldCharType="end"/>
            </w:r>
            <w:r w:rsidR="005860D5">
              <w:rPr>
                <w:rFonts w:hint="eastAsia"/>
                <w:szCs w:val="21"/>
              </w:rPr>
              <w:t>占地不涉及基本农田和重点公益林，占地范围内</w:t>
            </w:r>
            <w:r w:rsidR="005860D5">
              <w:rPr>
                <w:szCs w:val="21"/>
              </w:rPr>
              <w:t>无环境敏感点及自然保护区</w:t>
            </w:r>
            <w:r w:rsidR="005860D5">
              <w:rPr>
                <w:rFonts w:hint="eastAsia"/>
                <w:szCs w:val="21"/>
              </w:rPr>
              <w:t>等</w:t>
            </w:r>
          </w:p>
        </w:tc>
        <w:tc>
          <w:tcPr>
            <w:tcW w:w="810" w:type="dxa"/>
            <w:shd w:val="clear" w:color="auto" w:fill="auto"/>
            <w:tcMar>
              <w:left w:w="57" w:type="dxa"/>
              <w:right w:w="57" w:type="dxa"/>
            </w:tcMar>
            <w:vAlign w:val="center"/>
          </w:tcPr>
          <w:p w:rsidR="00C223F5" w:rsidRDefault="005860D5" w:rsidP="004173AA">
            <w:pPr>
              <w:spacing w:line="288" w:lineRule="auto"/>
              <w:jc w:val="center"/>
              <w:rPr>
                <w:rFonts w:hAnsi="宋体"/>
                <w:szCs w:val="21"/>
              </w:rPr>
            </w:pPr>
            <w:r>
              <w:rPr>
                <w:rFonts w:ascii="宋体" w:hAnsi="宋体" w:cs="宋体" w:hint="eastAsia"/>
                <w:szCs w:val="21"/>
              </w:rPr>
              <w:t>合理</w:t>
            </w:r>
          </w:p>
        </w:tc>
      </w:tr>
      <w:tr w:rsidR="00C223F5" w:rsidRPr="00362E72">
        <w:trPr>
          <w:trHeight w:val="213"/>
          <w:jc w:val="center"/>
        </w:trPr>
        <w:tc>
          <w:tcPr>
            <w:tcW w:w="561" w:type="dxa"/>
            <w:shd w:val="clear" w:color="auto" w:fill="auto"/>
            <w:tcMar>
              <w:left w:w="57" w:type="dxa"/>
              <w:right w:w="57" w:type="dxa"/>
            </w:tcMar>
            <w:vAlign w:val="center"/>
          </w:tcPr>
          <w:p w:rsidR="00C223F5" w:rsidRPr="00362E72" w:rsidRDefault="005860D5" w:rsidP="004173AA">
            <w:pPr>
              <w:tabs>
                <w:tab w:val="left" w:pos="2552"/>
                <w:tab w:val="left" w:pos="5387"/>
              </w:tabs>
              <w:jc w:val="center"/>
              <w:rPr>
                <w:szCs w:val="21"/>
              </w:rPr>
            </w:pPr>
            <w:r w:rsidRPr="00362E72">
              <w:rPr>
                <w:rFonts w:hint="eastAsia"/>
                <w:szCs w:val="21"/>
              </w:rPr>
              <w:t>2</w:t>
            </w:r>
          </w:p>
        </w:tc>
        <w:tc>
          <w:tcPr>
            <w:tcW w:w="753" w:type="dxa"/>
            <w:shd w:val="clear" w:color="auto" w:fill="auto"/>
            <w:tcMar>
              <w:left w:w="57" w:type="dxa"/>
              <w:right w:w="57" w:type="dxa"/>
            </w:tcMar>
            <w:vAlign w:val="center"/>
          </w:tcPr>
          <w:p w:rsidR="00C223F5" w:rsidRPr="00362E72" w:rsidRDefault="005860D5" w:rsidP="004173AA">
            <w:pPr>
              <w:tabs>
                <w:tab w:val="left" w:pos="2552"/>
                <w:tab w:val="left" w:pos="5387"/>
              </w:tabs>
              <w:jc w:val="center"/>
              <w:rPr>
                <w:szCs w:val="21"/>
              </w:rPr>
            </w:pPr>
            <w:r w:rsidRPr="00362E72">
              <w:rPr>
                <w:rFonts w:hint="eastAsia"/>
                <w:szCs w:val="21"/>
              </w:rPr>
              <w:t>场外</w:t>
            </w:r>
          </w:p>
          <w:p w:rsidR="00C223F5" w:rsidRPr="00362E72" w:rsidRDefault="005860D5" w:rsidP="004173AA">
            <w:pPr>
              <w:tabs>
                <w:tab w:val="left" w:pos="2552"/>
                <w:tab w:val="left" w:pos="5387"/>
              </w:tabs>
              <w:jc w:val="center"/>
              <w:rPr>
                <w:szCs w:val="21"/>
              </w:rPr>
            </w:pPr>
            <w:r w:rsidRPr="00362E72">
              <w:rPr>
                <w:rFonts w:hint="eastAsia"/>
                <w:szCs w:val="21"/>
              </w:rPr>
              <w:t>道路</w:t>
            </w:r>
          </w:p>
        </w:tc>
        <w:tc>
          <w:tcPr>
            <w:tcW w:w="2838" w:type="dxa"/>
            <w:shd w:val="clear" w:color="auto" w:fill="auto"/>
            <w:tcMar>
              <w:left w:w="57" w:type="dxa"/>
              <w:right w:w="57" w:type="dxa"/>
            </w:tcMar>
            <w:vAlign w:val="center"/>
          </w:tcPr>
          <w:p w:rsidR="00C223F5" w:rsidRPr="00362E72" w:rsidRDefault="005860D5" w:rsidP="00663EF2">
            <w:pPr>
              <w:tabs>
                <w:tab w:val="left" w:pos="2552"/>
                <w:tab w:val="left" w:pos="5387"/>
              </w:tabs>
              <w:rPr>
                <w:szCs w:val="21"/>
              </w:rPr>
            </w:pPr>
            <w:r w:rsidRPr="00362E72">
              <w:rPr>
                <w:rFonts w:hint="eastAsia"/>
                <w:szCs w:val="21"/>
              </w:rPr>
              <w:t>运煤公路为利用场地旁既有县道；炸药库公路利用已有乡道</w:t>
            </w:r>
            <w:r w:rsidR="00663EF2">
              <w:rPr>
                <w:rFonts w:hint="eastAsia"/>
                <w:szCs w:val="21"/>
              </w:rPr>
              <w:t>改造</w:t>
            </w:r>
            <w:r w:rsidRPr="00362E72">
              <w:rPr>
                <w:rFonts w:hint="eastAsia"/>
                <w:szCs w:val="21"/>
              </w:rPr>
              <w:t>，长度</w:t>
            </w:r>
            <w:r w:rsidRPr="00362E72">
              <w:rPr>
                <w:rFonts w:hint="eastAsia"/>
                <w:szCs w:val="21"/>
              </w:rPr>
              <w:t>0.75</w:t>
            </w:r>
            <w:r w:rsidRPr="00362E72">
              <w:rPr>
                <w:szCs w:val="21"/>
              </w:rPr>
              <w:t>km</w:t>
            </w:r>
            <w:r w:rsidRPr="00362E72">
              <w:rPr>
                <w:rFonts w:hint="eastAsia"/>
                <w:szCs w:val="21"/>
              </w:rPr>
              <w:t>，占地面积为</w:t>
            </w:r>
            <w:r w:rsidRPr="00362E72">
              <w:rPr>
                <w:rFonts w:hint="eastAsia"/>
                <w:szCs w:val="21"/>
              </w:rPr>
              <w:t>1.21h</w:t>
            </w:r>
            <w:r w:rsidRPr="00362E72">
              <w:rPr>
                <w:szCs w:val="21"/>
              </w:rPr>
              <w:t>m</w:t>
            </w:r>
            <w:r w:rsidRPr="00362E72">
              <w:rPr>
                <w:szCs w:val="21"/>
                <w:vertAlign w:val="superscript"/>
              </w:rPr>
              <w:t>2</w:t>
            </w:r>
          </w:p>
        </w:tc>
        <w:tc>
          <w:tcPr>
            <w:tcW w:w="4650" w:type="dxa"/>
            <w:shd w:val="clear" w:color="auto" w:fill="auto"/>
            <w:tcMar>
              <w:left w:w="57" w:type="dxa"/>
              <w:right w:w="57" w:type="dxa"/>
            </w:tcMar>
            <w:vAlign w:val="center"/>
          </w:tcPr>
          <w:p w:rsidR="00EE4C33" w:rsidRDefault="00212F71" w:rsidP="004173AA">
            <w:pPr>
              <w:tabs>
                <w:tab w:val="left" w:pos="2552"/>
                <w:tab w:val="left" w:pos="5387"/>
              </w:tabs>
              <w:rPr>
                <w:szCs w:val="21"/>
              </w:rPr>
            </w:pPr>
            <w:r>
              <w:rPr>
                <w:szCs w:val="21"/>
              </w:rPr>
              <w:fldChar w:fldCharType="begin"/>
            </w:r>
            <w:r>
              <w:rPr>
                <w:szCs w:val="21"/>
              </w:rPr>
              <w:instrText xml:space="preserve"> = 1 \* GB3 </w:instrText>
            </w:r>
            <w:r>
              <w:rPr>
                <w:szCs w:val="21"/>
              </w:rPr>
              <w:fldChar w:fldCharType="separate"/>
            </w:r>
            <w:r>
              <w:rPr>
                <w:rFonts w:hint="eastAsia"/>
                <w:szCs w:val="21"/>
              </w:rPr>
              <w:t>①</w:t>
            </w:r>
            <w:r>
              <w:rPr>
                <w:szCs w:val="21"/>
              </w:rPr>
              <w:fldChar w:fldCharType="end"/>
            </w:r>
            <w:r w:rsidR="00EE4C33">
              <w:rPr>
                <w:rFonts w:hint="eastAsia"/>
                <w:szCs w:val="21"/>
              </w:rPr>
              <w:t>炸药库道路为已有，</w:t>
            </w:r>
            <w:r w:rsidR="00663EF2">
              <w:rPr>
                <w:rFonts w:hint="eastAsia"/>
                <w:szCs w:val="21"/>
              </w:rPr>
              <w:t>改造</w:t>
            </w:r>
            <w:r w:rsidR="00663EF2" w:rsidRPr="00362E72">
              <w:rPr>
                <w:rFonts w:hint="eastAsia"/>
                <w:szCs w:val="21"/>
              </w:rPr>
              <w:t>新增占地范围内</w:t>
            </w:r>
            <w:r w:rsidR="00663EF2" w:rsidRPr="00362E72">
              <w:rPr>
                <w:szCs w:val="21"/>
              </w:rPr>
              <w:t>无环境敏感点及自然保护区、文物古迹</w:t>
            </w:r>
            <w:r w:rsidR="00663EF2" w:rsidRPr="00362E72">
              <w:rPr>
                <w:rFonts w:hint="eastAsia"/>
                <w:szCs w:val="21"/>
              </w:rPr>
              <w:t>等制约条件</w:t>
            </w:r>
            <w:r w:rsidR="00EE4C33">
              <w:rPr>
                <w:rFonts w:hint="eastAsia"/>
                <w:szCs w:val="21"/>
              </w:rPr>
              <w:t>；</w:t>
            </w:r>
          </w:p>
          <w:p w:rsidR="00517B5D" w:rsidRDefault="00EE4C33" w:rsidP="00663EF2">
            <w:pPr>
              <w:tabs>
                <w:tab w:val="left" w:pos="2552"/>
                <w:tab w:val="left" w:pos="5387"/>
              </w:tabs>
              <w:rPr>
                <w:color w:val="FF0000"/>
                <w:szCs w:val="21"/>
              </w:rPr>
            </w:pPr>
            <w:r w:rsidRPr="00242F5E">
              <w:rPr>
                <w:color w:val="FF0000"/>
                <w:szCs w:val="21"/>
              </w:rPr>
              <w:fldChar w:fldCharType="begin"/>
            </w:r>
            <w:r w:rsidRPr="00242F5E">
              <w:rPr>
                <w:color w:val="FF0000"/>
                <w:szCs w:val="21"/>
              </w:rPr>
              <w:instrText xml:space="preserve"> = 2 \* GB3 </w:instrText>
            </w:r>
            <w:r w:rsidRPr="00242F5E">
              <w:rPr>
                <w:color w:val="FF0000"/>
                <w:szCs w:val="21"/>
              </w:rPr>
              <w:fldChar w:fldCharType="separate"/>
            </w:r>
            <w:r w:rsidRPr="00242F5E">
              <w:rPr>
                <w:rFonts w:hint="eastAsia"/>
                <w:color w:val="FF0000"/>
                <w:szCs w:val="21"/>
              </w:rPr>
              <w:t>②</w:t>
            </w:r>
            <w:r w:rsidRPr="00242F5E">
              <w:rPr>
                <w:color w:val="FF0000"/>
                <w:szCs w:val="21"/>
              </w:rPr>
              <w:fldChar w:fldCharType="end"/>
            </w:r>
            <w:r w:rsidR="00663EF2">
              <w:rPr>
                <w:rFonts w:hint="eastAsia"/>
                <w:color w:val="FF0000"/>
                <w:szCs w:val="21"/>
              </w:rPr>
              <w:t>鉴于项目场地南侧紧邻蚂蚁河和青银高速，场地北侧山梁不适于修筑道路，故依托现有县道作为</w:t>
            </w:r>
            <w:r>
              <w:rPr>
                <w:rFonts w:hint="eastAsia"/>
                <w:color w:val="FF0000"/>
                <w:szCs w:val="21"/>
              </w:rPr>
              <w:t>运煤道路</w:t>
            </w:r>
            <w:r w:rsidR="00517B5D">
              <w:rPr>
                <w:rFonts w:hint="eastAsia"/>
                <w:color w:val="FF0000"/>
                <w:szCs w:val="21"/>
              </w:rPr>
              <w:t>（正在进行改造的艾魏路）</w:t>
            </w:r>
            <w:r w:rsidR="00663EF2">
              <w:rPr>
                <w:rFonts w:hint="eastAsia"/>
                <w:color w:val="FF0000"/>
                <w:szCs w:val="21"/>
              </w:rPr>
              <w:t>，</w:t>
            </w:r>
            <w:r w:rsidR="00517B5D">
              <w:rPr>
                <w:rFonts w:hint="eastAsia"/>
                <w:color w:val="FF0000"/>
                <w:szCs w:val="21"/>
              </w:rPr>
              <w:t>本项目不再新增运输道路占地；此外，该县道与</w:t>
            </w:r>
            <w:r w:rsidR="00517B5D">
              <w:rPr>
                <w:rFonts w:hint="eastAsia"/>
                <w:color w:val="FF0000"/>
                <w:szCs w:val="21"/>
              </w:rPr>
              <w:t>G307</w:t>
            </w:r>
            <w:r w:rsidR="00517B5D">
              <w:rPr>
                <w:rFonts w:hint="eastAsia"/>
                <w:color w:val="FF0000"/>
                <w:szCs w:val="21"/>
              </w:rPr>
              <w:t>国道距离近，利于煤炭外运；</w:t>
            </w:r>
          </w:p>
          <w:p w:rsidR="00212F71" w:rsidRPr="00242F5E" w:rsidRDefault="00517B5D" w:rsidP="00517B5D">
            <w:pPr>
              <w:tabs>
                <w:tab w:val="left" w:pos="2552"/>
                <w:tab w:val="left" w:pos="5387"/>
              </w:tabs>
              <w:rPr>
                <w:color w:val="FF0000"/>
                <w:szCs w:val="21"/>
              </w:rPr>
            </w:pPr>
            <w:r w:rsidRPr="00663EF2">
              <w:rPr>
                <w:snapToGrid w:val="0"/>
                <w:color w:val="FF0000"/>
                <w:spacing w:val="-6"/>
                <w:szCs w:val="21"/>
              </w:rPr>
              <w:fldChar w:fldCharType="begin"/>
            </w:r>
            <w:r w:rsidRPr="00663EF2">
              <w:rPr>
                <w:rFonts w:hint="eastAsia"/>
                <w:snapToGrid w:val="0"/>
                <w:color w:val="FF0000"/>
                <w:spacing w:val="-6"/>
                <w:szCs w:val="21"/>
              </w:rPr>
              <w:instrText>= 3 \* GB3</w:instrText>
            </w:r>
            <w:r w:rsidRPr="00663EF2">
              <w:rPr>
                <w:snapToGrid w:val="0"/>
                <w:color w:val="FF0000"/>
                <w:spacing w:val="-6"/>
                <w:szCs w:val="21"/>
              </w:rPr>
              <w:fldChar w:fldCharType="separate"/>
            </w:r>
            <w:r w:rsidRPr="00663EF2">
              <w:rPr>
                <w:rFonts w:ascii="宋体" w:hAnsi="宋体" w:cs="宋体" w:hint="eastAsia"/>
                <w:snapToGrid w:val="0"/>
                <w:color w:val="FF0000"/>
                <w:spacing w:val="-6"/>
                <w:szCs w:val="21"/>
              </w:rPr>
              <w:t>③</w:t>
            </w:r>
            <w:r w:rsidRPr="00663EF2">
              <w:rPr>
                <w:snapToGrid w:val="0"/>
                <w:color w:val="FF0000"/>
                <w:spacing w:val="-6"/>
                <w:szCs w:val="21"/>
              </w:rPr>
              <w:fldChar w:fldCharType="end"/>
            </w:r>
            <w:r w:rsidR="00663EF2">
              <w:rPr>
                <w:rFonts w:hint="eastAsia"/>
                <w:color w:val="FF0000"/>
                <w:szCs w:val="21"/>
              </w:rPr>
              <w:t>考虑道路两侧零散分布的居民，</w:t>
            </w:r>
            <w:r w:rsidR="00663EF2" w:rsidRPr="00242F5E">
              <w:rPr>
                <w:rFonts w:hint="eastAsia"/>
                <w:color w:val="FF0000"/>
                <w:szCs w:val="21"/>
              </w:rPr>
              <w:t>本次整合要求</w:t>
            </w:r>
            <w:r>
              <w:rPr>
                <w:rFonts w:hint="eastAsia"/>
                <w:color w:val="FF0000"/>
                <w:szCs w:val="21"/>
              </w:rPr>
              <w:t>场地</w:t>
            </w:r>
            <w:r w:rsidR="00663EF2" w:rsidRPr="00242F5E">
              <w:rPr>
                <w:rFonts w:hint="eastAsia"/>
                <w:color w:val="FF0000"/>
                <w:szCs w:val="21"/>
              </w:rPr>
              <w:t>设洗车台，出入厂区车辆要求</w:t>
            </w:r>
            <w:r w:rsidR="00663EF2" w:rsidRPr="00663EF2">
              <w:rPr>
                <w:rFonts w:hint="eastAsia"/>
                <w:color w:val="FF0000"/>
                <w:szCs w:val="21"/>
              </w:rPr>
              <w:t>冲洗，并限载限速加盖篷布，减少了道路运输扬尘污染</w:t>
            </w:r>
            <w:r>
              <w:rPr>
                <w:rFonts w:hint="eastAsia"/>
                <w:color w:val="FF0000"/>
                <w:szCs w:val="21"/>
              </w:rPr>
              <w:t>；同时，</w:t>
            </w:r>
            <w:r w:rsidR="00663EF2" w:rsidRPr="00663EF2">
              <w:rPr>
                <w:rFonts w:hint="eastAsia"/>
                <w:snapToGrid w:val="0"/>
                <w:color w:val="FF0000"/>
                <w:spacing w:val="-6"/>
                <w:szCs w:val="21"/>
              </w:rPr>
              <w:t>在运煤道路</w:t>
            </w:r>
            <w:r>
              <w:rPr>
                <w:rFonts w:hint="eastAsia"/>
                <w:snapToGrid w:val="0"/>
                <w:color w:val="FF0000"/>
                <w:spacing w:val="-6"/>
                <w:szCs w:val="21"/>
              </w:rPr>
              <w:t>沿线</w:t>
            </w:r>
            <w:r w:rsidR="00663EF2" w:rsidRPr="00663EF2">
              <w:rPr>
                <w:rFonts w:hint="eastAsia"/>
                <w:snapToGrid w:val="0"/>
                <w:color w:val="FF0000"/>
                <w:spacing w:val="-6"/>
                <w:szCs w:val="21"/>
              </w:rPr>
              <w:t>设立禁止鸣笛警示牌，低速运输，</w:t>
            </w:r>
            <w:r>
              <w:rPr>
                <w:rFonts w:hint="eastAsia"/>
                <w:snapToGrid w:val="0"/>
                <w:color w:val="FF0000"/>
                <w:spacing w:val="-6"/>
                <w:szCs w:val="21"/>
              </w:rPr>
              <w:t>可</w:t>
            </w:r>
            <w:r w:rsidR="00663EF2" w:rsidRPr="00663EF2">
              <w:rPr>
                <w:rFonts w:hint="eastAsia"/>
                <w:snapToGrid w:val="0"/>
                <w:color w:val="FF0000"/>
                <w:spacing w:val="-6"/>
                <w:szCs w:val="21"/>
              </w:rPr>
              <w:t>降低运输噪声影响。</w:t>
            </w:r>
            <w:r w:rsidR="00663EF2" w:rsidRPr="00663EF2">
              <w:rPr>
                <w:color w:val="FF0000"/>
                <w:szCs w:val="21"/>
              </w:rPr>
              <w:t xml:space="preserve"> </w:t>
            </w:r>
          </w:p>
        </w:tc>
        <w:tc>
          <w:tcPr>
            <w:tcW w:w="810" w:type="dxa"/>
            <w:shd w:val="clear" w:color="auto" w:fill="auto"/>
            <w:tcMar>
              <w:left w:w="57" w:type="dxa"/>
              <w:right w:w="57" w:type="dxa"/>
            </w:tcMar>
            <w:vAlign w:val="center"/>
          </w:tcPr>
          <w:p w:rsidR="00C223F5" w:rsidRPr="00362E72" w:rsidRDefault="005860D5" w:rsidP="004173AA">
            <w:pPr>
              <w:tabs>
                <w:tab w:val="left" w:pos="2552"/>
                <w:tab w:val="left" w:pos="5387"/>
              </w:tabs>
              <w:jc w:val="center"/>
              <w:rPr>
                <w:szCs w:val="21"/>
              </w:rPr>
            </w:pPr>
            <w:r w:rsidRPr="00362E72">
              <w:rPr>
                <w:rFonts w:hint="eastAsia"/>
                <w:szCs w:val="21"/>
              </w:rPr>
              <w:t>合理</w:t>
            </w:r>
          </w:p>
        </w:tc>
      </w:tr>
    </w:tbl>
    <w:p w:rsidR="00C223F5" w:rsidRPr="00362E72" w:rsidRDefault="005860D5" w:rsidP="00C006A7">
      <w:pPr>
        <w:adjustRightInd w:val="0"/>
        <w:snapToGrid w:val="0"/>
        <w:spacing w:line="360" w:lineRule="auto"/>
        <w:ind w:firstLineChars="200" w:firstLine="482"/>
        <w:rPr>
          <w:b/>
          <w:sz w:val="24"/>
          <w:szCs w:val="22"/>
        </w:rPr>
      </w:pPr>
      <w:bookmarkStart w:id="31" w:name="_Toc533604679"/>
      <w:bookmarkStart w:id="32" w:name="_Toc533604259"/>
      <w:bookmarkStart w:id="33" w:name="_Toc533604817"/>
      <w:bookmarkStart w:id="34" w:name="_Toc512080012"/>
      <w:bookmarkStart w:id="35" w:name="_Toc8285258"/>
      <w:r w:rsidRPr="00362E72">
        <w:rPr>
          <w:rFonts w:hint="eastAsia"/>
          <w:b/>
          <w:sz w:val="24"/>
          <w:szCs w:val="22"/>
        </w:rPr>
        <w:t>五、主要环境问题及环境影响</w:t>
      </w:r>
      <w:bookmarkEnd w:id="31"/>
      <w:bookmarkEnd w:id="32"/>
      <w:bookmarkEnd w:id="33"/>
      <w:bookmarkEnd w:id="34"/>
      <w:bookmarkEnd w:id="35"/>
    </w:p>
    <w:p w:rsidR="00C223F5" w:rsidRPr="00362E72" w:rsidRDefault="005860D5" w:rsidP="004173AA">
      <w:pPr>
        <w:spacing w:line="360" w:lineRule="auto"/>
        <w:ind w:firstLineChars="200" w:firstLine="480"/>
        <w:rPr>
          <w:sz w:val="24"/>
        </w:rPr>
      </w:pPr>
      <w:r w:rsidRPr="00362E72">
        <w:rPr>
          <w:sz w:val="24"/>
        </w:rPr>
        <w:t>项目</w:t>
      </w:r>
      <w:r w:rsidRPr="00362E72">
        <w:rPr>
          <w:rFonts w:hint="eastAsia"/>
          <w:sz w:val="24"/>
        </w:rPr>
        <w:t>井田内涉及大理河重要湿地，</w:t>
      </w:r>
      <w:r w:rsidR="00C4139C" w:rsidRPr="00C4139C">
        <w:rPr>
          <w:rFonts w:hint="eastAsia"/>
          <w:color w:val="FF0000"/>
          <w:sz w:val="24"/>
        </w:rPr>
        <w:t>井田内涉及的大理河湿地其下游为无煤区，上游</w:t>
      </w:r>
      <w:r w:rsidR="00E134B5">
        <w:rPr>
          <w:rFonts w:hint="eastAsia"/>
          <w:color w:val="FF0000"/>
          <w:sz w:val="24"/>
        </w:rPr>
        <w:t>河流及湿地</w:t>
      </w:r>
      <w:r w:rsidR="00C4139C" w:rsidRPr="00C4139C">
        <w:rPr>
          <w:rFonts w:hint="eastAsia"/>
          <w:color w:val="FF0000"/>
          <w:sz w:val="24"/>
        </w:rPr>
        <w:t>已留设保护煤柱，不开采</w:t>
      </w:r>
      <w:r w:rsidRPr="00C4139C">
        <w:rPr>
          <w:rFonts w:hint="eastAsia"/>
          <w:color w:val="FF0000"/>
          <w:sz w:val="24"/>
        </w:rPr>
        <w:t>，</w:t>
      </w:r>
      <w:r w:rsidRPr="00362E72">
        <w:rPr>
          <w:sz w:val="24"/>
        </w:rPr>
        <w:t>本次评价重点关注</w:t>
      </w:r>
      <w:r w:rsidRPr="00362E72">
        <w:rPr>
          <w:rFonts w:hint="eastAsia"/>
          <w:sz w:val="24"/>
        </w:rPr>
        <w:t>矿井</w:t>
      </w:r>
      <w:r w:rsidRPr="00362E72">
        <w:rPr>
          <w:sz w:val="24"/>
        </w:rPr>
        <w:t>在运行过程中对评价区的生态环境、地下水环境等产生的影响。</w:t>
      </w:r>
    </w:p>
    <w:p w:rsidR="00C223F5" w:rsidRDefault="005860D5" w:rsidP="00C006A7">
      <w:pPr>
        <w:topLinePunct/>
        <w:spacing w:line="360" w:lineRule="auto"/>
        <w:ind w:firstLineChars="200" w:firstLine="480"/>
        <w:rPr>
          <w:sz w:val="24"/>
        </w:rPr>
      </w:pPr>
      <w:bookmarkStart w:id="36" w:name="_Toc8285259"/>
      <w:r w:rsidRPr="00362E72">
        <w:rPr>
          <w:rFonts w:hint="eastAsia"/>
          <w:sz w:val="24"/>
        </w:rPr>
        <w:t>（一）</w:t>
      </w:r>
      <w:r w:rsidRPr="00362E72">
        <w:rPr>
          <w:sz w:val="24"/>
        </w:rPr>
        <w:t>生态</w:t>
      </w:r>
      <w:r>
        <w:rPr>
          <w:rFonts w:hint="eastAsia"/>
          <w:sz w:val="24"/>
        </w:rPr>
        <w:t>环境</w:t>
      </w:r>
      <w:bookmarkEnd w:id="36"/>
    </w:p>
    <w:p w:rsidR="00C223F5" w:rsidRDefault="005860D5" w:rsidP="004173AA">
      <w:pPr>
        <w:spacing w:line="360" w:lineRule="auto"/>
        <w:ind w:firstLineChars="200" w:firstLine="480"/>
        <w:rPr>
          <w:color w:val="FF0000"/>
          <w:kern w:val="0"/>
          <w:sz w:val="24"/>
        </w:rPr>
      </w:pPr>
      <w:r>
        <w:rPr>
          <w:rFonts w:hint="eastAsia"/>
          <w:sz w:val="24"/>
        </w:rPr>
        <w:t>在采取设计和环评优化保护煤柱等措施后，天云煤矿全井田</w:t>
      </w:r>
      <w:r>
        <w:rPr>
          <w:kern w:val="0"/>
          <w:sz w:val="24"/>
        </w:rPr>
        <w:t>开采后地表最大下沉值为</w:t>
      </w:r>
      <w:r>
        <w:rPr>
          <w:rFonts w:hint="eastAsia"/>
          <w:sz w:val="24"/>
        </w:rPr>
        <w:t>2.55</w:t>
      </w:r>
      <w:r>
        <w:rPr>
          <w:sz w:val="24"/>
        </w:rPr>
        <w:t>m</w:t>
      </w:r>
      <w:r>
        <w:rPr>
          <w:kern w:val="0"/>
          <w:sz w:val="24"/>
        </w:rPr>
        <w:t>，</w:t>
      </w:r>
      <w:r>
        <w:rPr>
          <w:rFonts w:hint="eastAsia"/>
          <w:kern w:val="0"/>
          <w:sz w:val="24"/>
        </w:rPr>
        <w:t>全井</w:t>
      </w:r>
      <w:r>
        <w:rPr>
          <w:rFonts w:hint="eastAsia"/>
          <w:sz w:val="24"/>
        </w:rPr>
        <w:t>田开采结束后</w:t>
      </w:r>
      <w:r>
        <w:rPr>
          <w:sz w:val="24"/>
        </w:rPr>
        <w:t>地表沉陷面积</w:t>
      </w:r>
      <w:r>
        <w:rPr>
          <w:rFonts w:hint="eastAsia"/>
          <w:sz w:val="24"/>
        </w:rPr>
        <w:t>39.45</w:t>
      </w:r>
      <w:r>
        <w:rPr>
          <w:sz w:val="24"/>
        </w:rPr>
        <w:t>km</w:t>
      </w:r>
      <w:r>
        <w:rPr>
          <w:sz w:val="24"/>
          <w:vertAlign w:val="superscript"/>
        </w:rPr>
        <w:t>2</w:t>
      </w:r>
      <w:r>
        <w:rPr>
          <w:rFonts w:hint="eastAsia"/>
          <w:kern w:val="0"/>
          <w:sz w:val="24"/>
        </w:rPr>
        <w:t>，地表</w:t>
      </w:r>
      <w:r>
        <w:rPr>
          <w:kern w:val="0"/>
          <w:sz w:val="24"/>
        </w:rPr>
        <w:t>沉陷对</w:t>
      </w:r>
      <w:r>
        <w:rPr>
          <w:rFonts w:hint="eastAsia"/>
          <w:kern w:val="0"/>
          <w:sz w:val="24"/>
        </w:rPr>
        <w:t>土地</w:t>
      </w:r>
      <w:r>
        <w:rPr>
          <w:kern w:val="0"/>
          <w:sz w:val="24"/>
        </w:rPr>
        <w:t>资源</w:t>
      </w:r>
      <w:r>
        <w:rPr>
          <w:rFonts w:hint="eastAsia"/>
          <w:kern w:val="0"/>
          <w:sz w:val="24"/>
        </w:rPr>
        <w:t>主要</w:t>
      </w:r>
      <w:r>
        <w:rPr>
          <w:kern w:val="0"/>
          <w:sz w:val="24"/>
        </w:rPr>
        <w:t>为轻度影响</w:t>
      </w:r>
      <w:r>
        <w:rPr>
          <w:rFonts w:hint="eastAsia"/>
          <w:kern w:val="0"/>
          <w:sz w:val="24"/>
        </w:rPr>
        <w:t>，</w:t>
      </w:r>
      <w:r>
        <w:rPr>
          <w:sz w:val="24"/>
        </w:rPr>
        <w:t>沉陷影响范围最大一般在</w:t>
      </w:r>
      <w:r>
        <w:rPr>
          <w:rFonts w:hint="eastAsia"/>
          <w:sz w:val="24"/>
        </w:rPr>
        <w:t>开采区</w:t>
      </w:r>
      <w:r>
        <w:rPr>
          <w:sz w:val="24"/>
        </w:rPr>
        <w:t>边界外侧</w:t>
      </w:r>
      <w:r>
        <w:rPr>
          <w:rFonts w:hint="eastAsia"/>
          <w:sz w:val="24"/>
        </w:rPr>
        <w:t>38.16~77.73</w:t>
      </w:r>
      <w:r>
        <w:rPr>
          <w:sz w:val="24"/>
        </w:rPr>
        <w:t>m</w:t>
      </w:r>
      <w:r>
        <w:rPr>
          <w:sz w:val="24"/>
        </w:rPr>
        <w:t>范围内。</w:t>
      </w:r>
      <w:r>
        <w:rPr>
          <w:rFonts w:hint="eastAsia"/>
          <w:kern w:val="0"/>
          <w:sz w:val="24"/>
        </w:rPr>
        <w:t>井田内村庄、高速公路、铁路、</w:t>
      </w:r>
      <w:r>
        <w:rPr>
          <w:rFonts w:hint="eastAsia"/>
          <w:sz w:val="24"/>
        </w:rPr>
        <w:t>油井、</w:t>
      </w:r>
      <w:r>
        <w:rPr>
          <w:rFonts w:hint="eastAsia"/>
          <w:sz w:val="24"/>
        </w:rPr>
        <w:t>750kV</w:t>
      </w:r>
      <w:r>
        <w:rPr>
          <w:rFonts w:hint="eastAsia"/>
          <w:sz w:val="24"/>
        </w:rPr>
        <w:t>高压线塔基、文物保护单位等均</w:t>
      </w:r>
      <w:r>
        <w:rPr>
          <w:rFonts w:hint="eastAsia"/>
          <w:kern w:val="0"/>
          <w:sz w:val="24"/>
        </w:rPr>
        <w:t>留设保护煤柱</w:t>
      </w:r>
      <w:r>
        <w:rPr>
          <w:rFonts w:hint="eastAsia"/>
          <w:sz w:val="24"/>
        </w:rPr>
        <w:t>，地面建筑基本不受地表沉陷的影响；大理河重要湿地留设保护煤柱后，不在沉陷影响范围内。对沉陷区采取及时平整、治理等土地复垦措施；对输变电、通讯线路及道路，采取采前加固、采后修复或重修相结合的综合措施加以</w:t>
      </w:r>
      <w:r>
        <w:rPr>
          <w:rFonts w:hint="eastAsia"/>
          <w:sz w:val="24"/>
        </w:rPr>
        <w:lastRenderedPageBreak/>
        <w:t>治理。在</w:t>
      </w:r>
      <w:r>
        <w:rPr>
          <w:sz w:val="24"/>
        </w:rPr>
        <w:t>采取</w:t>
      </w:r>
      <w:r>
        <w:rPr>
          <w:rFonts w:hint="eastAsia"/>
          <w:sz w:val="24"/>
        </w:rPr>
        <w:t>环评</w:t>
      </w:r>
      <w:r>
        <w:rPr>
          <w:sz w:val="24"/>
        </w:rPr>
        <w:t>要求措施前提下，项目开采对生态环境影响在可接受范围内。</w:t>
      </w:r>
    </w:p>
    <w:p w:rsidR="00C223F5" w:rsidRDefault="005860D5" w:rsidP="00C006A7">
      <w:pPr>
        <w:topLinePunct/>
        <w:spacing w:line="360" w:lineRule="auto"/>
        <w:ind w:firstLineChars="200" w:firstLine="480"/>
        <w:rPr>
          <w:sz w:val="24"/>
        </w:rPr>
      </w:pPr>
      <w:bookmarkStart w:id="37" w:name="_Toc8285260"/>
      <w:r>
        <w:rPr>
          <w:rFonts w:hint="eastAsia"/>
          <w:sz w:val="24"/>
        </w:rPr>
        <w:t>（二）地下水环境</w:t>
      </w:r>
      <w:bookmarkEnd w:id="37"/>
    </w:p>
    <w:p w:rsidR="00C223F5" w:rsidRDefault="005860D5" w:rsidP="004173AA">
      <w:pPr>
        <w:pStyle w:val="aff1"/>
        <w:spacing w:line="360" w:lineRule="auto"/>
        <w:ind w:left="0" w:firstLineChars="200" w:firstLine="480"/>
        <w:rPr>
          <w:color w:val="000000"/>
          <w:szCs w:val="24"/>
        </w:rPr>
      </w:pPr>
      <w:r>
        <w:t>预测</w:t>
      </w:r>
      <w:r>
        <w:rPr>
          <w:rFonts w:hint="eastAsia"/>
        </w:rPr>
        <w:t>开采区内</w:t>
      </w:r>
      <w:r>
        <w:rPr>
          <w:rFonts w:hint="eastAsia"/>
          <w:szCs w:val="24"/>
        </w:rPr>
        <w:t>4</w:t>
      </w:r>
      <w:r>
        <w:rPr>
          <w:rFonts w:hint="eastAsia"/>
          <w:szCs w:val="24"/>
          <w:vertAlign w:val="superscript"/>
        </w:rPr>
        <w:t>-1</w:t>
      </w:r>
      <w:r>
        <w:rPr>
          <w:rFonts w:hint="eastAsia"/>
          <w:szCs w:val="24"/>
        </w:rPr>
        <w:t>、</w:t>
      </w:r>
      <w:r>
        <w:rPr>
          <w:rFonts w:hint="eastAsia"/>
          <w:szCs w:val="24"/>
        </w:rPr>
        <w:t>4</w:t>
      </w:r>
      <w:r>
        <w:rPr>
          <w:rFonts w:hint="eastAsia"/>
          <w:szCs w:val="24"/>
          <w:vertAlign w:val="superscript"/>
        </w:rPr>
        <w:t>-2</w:t>
      </w:r>
      <w:r>
        <w:rPr>
          <w:rFonts w:hint="eastAsia"/>
          <w:kern w:val="28"/>
          <w:szCs w:val="24"/>
        </w:rPr>
        <w:t>煤开采</w:t>
      </w:r>
      <w:r>
        <w:rPr>
          <w:szCs w:val="24"/>
        </w:rPr>
        <w:t>导水裂隙带最大高度</w:t>
      </w:r>
      <w:r>
        <w:rPr>
          <w:rFonts w:hint="eastAsia"/>
          <w:szCs w:val="24"/>
        </w:rPr>
        <w:t>分别为</w:t>
      </w:r>
      <w:r>
        <w:rPr>
          <w:rFonts w:hint="eastAsia"/>
          <w:szCs w:val="24"/>
        </w:rPr>
        <w:t>44.06</w:t>
      </w:r>
      <w:r>
        <w:rPr>
          <w:szCs w:val="24"/>
        </w:rPr>
        <w:t>m</w:t>
      </w:r>
      <w:r>
        <w:rPr>
          <w:rFonts w:hint="eastAsia"/>
          <w:szCs w:val="24"/>
        </w:rPr>
        <w:t>、</w:t>
      </w:r>
      <w:r>
        <w:rPr>
          <w:rFonts w:hint="eastAsia"/>
          <w:szCs w:val="24"/>
        </w:rPr>
        <w:t>36.15</w:t>
      </w:r>
      <w:r>
        <w:rPr>
          <w:szCs w:val="24"/>
        </w:rPr>
        <w:t>m</w:t>
      </w:r>
      <w:r>
        <w:rPr>
          <w:rFonts w:hint="eastAsia"/>
          <w:szCs w:val="24"/>
        </w:rPr>
        <w:t>，最大防水煤岩柱高度分别为</w:t>
      </w:r>
      <w:r>
        <w:rPr>
          <w:rFonts w:hint="eastAsia"/>
          <w:szCs w:val="24"/>
        </w:rPr>
        <w:t>52.76m</w:t>
      </w:r>
      <w:r>
        <w:rPr>
          <w:rFonts w:hint="eastAsia"/>
          <w:szCs w:val="24"/>
        </w:rPr>
        <w:t>、</w:t>
      </w:r>
      <w:r>
        <w:rPr>
          <w:rFonts w:hint="eastAsia"/>
          <w:szCs w:val="24"/>
        </w:rPr>
        <w:t>41.28m</w:t>
      </w:r>
      <w:r>
        <w:rPr>
          <w:rFonts w:hint="eastAsia"/>
          <w:szCs w:val="24"/>
        </w:rPr>
        <w:t>；根据地质勘探资料，</w:t>
      </w:r>
      <w:r>
        <w:rPr>
          <w:rFonts w:hint="eastAsia"/>
          <w:szCs w:val="24"/>
        </w:rPr>
        <w:t>4</w:t>
      </w:r>
      <w:r>
        <w:rPr>
          <w:rFonts w:hint="eastAsia"/>
          <w:szCs w:val="24"/>
          <w:vertAlign w:val="superscript"/>
        </w:rPr>
        <w:t>-1</w:t>
      </w:r>
      <w:r>
        <w:rPr>
          <w:rFonts w:hint="eastAsia"/>
          <w:szCs w:val="24"/>
        </w:rPr>
        <w:t>号与</w:t>
      </w:r>
      <w:r>
        <w:rPr>
          <w:rFonts w:hint="eastAsia"/>
          <w:szCs w:val="24"/>
        </w:rPr>
        <w:t>4</w:t>
      </w:r>
      <w:r>
        <w:rPr>
          <w:rFonts w:hint="eastAsia"/>
          <w:szCs w:val="24"/>
          <w:vertAlign w:val="superscript"/>
        </w:rPr>
        <w:t>-2</w:t>
      </w:r>
      <w:r>
        <w:rPr>
          <w:rFonts w:hint="eastAsia"/>
          <w:szCs w:val="24"/>
        </w:rPr>
        <w:t>号</w:t>
      </w:r>
      <w:r>
        <w:rPr>
          <w:szCs w:val="24"/>
        </w:rPr>
        <w:t>煤层间距</w:t>
      </w:r>
      <w:r>
        <w:rPr>
          <w:rFonts w:hint="eastAsia"/>
          <w:szCs w:val="24"/>
        </w:rPr>
        <w:t>为</w:t>
      </w:r>
      <w:r>
        <w:rPr>
          <w:szCs w:val="24"/>
        </w:rPr>
        <w:t>2.86~26.86m</w:t>
      </w:r>
      <w:r>
        <w:rPr>
          <w:rFonts w:hint="eastAsia"/>
          <w:szCs w:val="24"/>
        </w:rPr>
        <w:t>，平均</w:t>
      </w:r>
      <w:r>
        <w:rPr>
          <w:rFonts w:hint="eastAsia"/>
          <w:szCs w:val="24"/>
        </w:rPr>
        <w:t>10.73m</w:t>
      </w:r>
      <w:r>
        <w:rPr>
          <w:rFonts w:hint="eastAsia"/>
          <w:szCs w:val="24"/>
        </w:rPr>
        <w:t>，</w:t>
      </w:r>
      <w:r>
        <w:rPr>
          <w:rFonts w:hint="eastAsia"/>
          <w:color w:val="000000"/>
        </w:rPr>
        <w:t>4</w:t>
      </w:r>
      <w:r>
        <w:rPr>
          <w:color w:val="000000"/>
          <w:szCs w:val="24"/>
          <w:vertAlign w:val="superscript"/>
        </w:rPr>
        <w:t>-1</w:t>
      </w:r>
      <w:r>
        <w:rPr>
          <w:color w:val="000000"/>
          <w:szCs w:val="24"/>
        </w:rPr>
        <w:t>煤和</w:t>
      </w:r>
      <w:r>
        <w:rPr>
          <w:rFonts w:hint="eastAsia"/>
          <w:color w:val="000000"/>
        </w:rPr>
        <w:t>4</w:t>
      </w:r>
      <w:r>
        <w:rPr>
          <w:color w:val="000000"/>
          <w:szCs w:val="24"/>
          <w:vertAlign w:val="superscript"/>
        </w:rPr>
        <w:t>-2</w:t>
      </w:r>
      <w:r>
        <w:rPr>
          <w:color w:val="000000"/>
          <w:szCs w:val="24"/>
        </w:rPr>
        <w:t>煤的导水裂隙带会相互贯通。</w:t>
      </w:r>
    </w:p>
    <w:p w:rsidR="00C223F5" w:rsidRPr="00362E72" w:rsidRDefault="005860D5" w:rsidP="004173AA">
      <w:pPr>
        <w:spacing w:line="360" w:lineRule="auto"/>
        <w:ind w:firstLineChars="200" w:firstLine="480"/>
        <w:rPr>
          <w:sz w:val="24"/>
        </w:rPr>
      </w:pPr>
      <w:r>
        <w:rPr>
          <w:rFonts w:ascii="宋体" w:hAnsi="宋体"/>
          <w:sz w:val="24"/>
        </w:rPr>
        <w:t>采煤时导水裂隙带在</w:t>
      </w:r>
      <w:r>
        <w:rPr>
          <w:rFonts w:ascii="宋体" w:hAnsi="宋体" w:hint="eastAsia"/>
          <w:sz w:val="24"/>
        </w:rPr>
        <w:t>瓦窑堡组</w:t>
      </w:r>
      <w:r>
        <w:rPr>
          <w:rFonts w:ascii="宋体" w:hAnsi="宋体"/>
          <w:sz w:val="24"/>
        </w:rPr>
        <w:t>正常基岩里发育</w:t>
      </w:r>
      <w:r>
        <w:rPr>
          <w:rFonts w:ascii="宋体" w:hAnsi="宋体" w:hint="eastAsia"/>
          <w:sz w:val="24"/>
        </w:rPr>
        <w:t>，</w:t>
      </w:r>
      <w:r>
        <w:rPr>
          <w:rFonts w:hint="eastAsia"/>
          <w:color w:val="000000"/>
          <w:sz w:val="24"/>
        </w:rPr>
        <w:t>由于</w:t>
      </w:r>
      <w:r>
        <w:rPr>
          <w:rFonts w:hint="eastAsia"/>
          <w:color w:val="000000"/>
          <w:sz w:val="24"/>
        </w:rPr>
        <w:t>4</w:t>
      </w:r>
      <w:r>
        <w:rPr>
          <w:rFonts w:hint="eastAsia"/>
          <w:color w:val="000000"/>
          <w:sz w:val="24"/>
        </w:rPr>
        <w:t>号煤上部</w:t>
      </w:r>
      <w:r>
        <w:rPr>
          <w:rFonts w:eastAsiaTheme="minorEastAsia" w:hAnsiTheme="minorEastAsia"/>
          <w:sz w:val="24"/>
        </w:rPr>
        <w:t>瓦窑堡组第五段</w:t>
      </w:r>
      <w:r>
        <w:rPr>
          <w:rFonts w:eastAsiaTheme="minorEastAsia" w:hAnsiTheme="minorEastAsia" w:hint="eastAsia"/>
          <w:sz w:val="24"/>
        </w:rPr>
        <w:t>正常基岩</w:t>
      </w:r>
      <w:r>
        <w:rPr>
          <w:rFonts w:eastAsiaTheme="minorEastAsia" w:hAnsiTheme="minorEastAsia"/>
          <w:sz w:val="24"/>
        </w:rPr>
        <w:t>厚度</w:t>
      </w:r>
      <w:r>
        <w:rPr>
          <w:rFonts w:eastAsiaTheme="minorEastAsia"/>
          <w:sz w:val="24"/>
        </w:rPr>
        <w:t>8</w:t>
      </w:r>
      <w:r w:rsidRPr="00362E72">
        <w:rPr>
          <w:rFonts w:eastAsiaTheme="minorEastAsia"/>
          <w:sz w:val="24"/>
        </w:rPr>
        <w:t>4.76</w:t>
      </w:r>
      <w:r w:rsidRPr="00362E72">
        <w:rPr>
          <w:rFonts w:eastAsiaTheme="minorEastAsia" w:hAnsiTheme="minorEastAsia"/>
          <w:sz w:val="24"/>
        </w:rPr>
        <w:t>～</w:t>
      </w:r>
      <w:r w:rsidRPr="00362E72">
        <w:rPr>
          <w:rFonts w:eastAsiaTheme="minorEastAsia"/>
          <w:sz w:val="24"/>
        </w:rPr>
        <w:t>320.71m</w:t>
      </w:r>
      <w:r w:rsidRPr="00E134B5">
        <w:rPr>
          <w:rFonts w:eastAsiaTheme="minorEastAsia"/>
          <w:sz w:val="24"/>
        </w:rPr>
        <w:t>，平均</w:t>
      </w:r>
      <w:r w:rsidRPr="00362E72">
        <w:rPr>
          <w:rFonts w:eastAsiaTheme="minorEastAsia"/>
          <w:sz w:val="24"/>
        </w:rPr>
        <w:t>205.20m</w:t>
      </w:r>
      <w:r w:rsidRPr="00362E72">
        <w:rPr>
          <w:rFonts w:eastAsiaTheme="minorEastAsia" w:hint="eastAsia"/>
          <w:sz w:val="24"/>
        </w:rPr>
        <w:t>，</w:t>
      </w:r>
      <w:r w:rsidR="00EA1DA8" w:rsidRPr="00E134B5">
        <w:rPr>
          <w:rFonts w:eastAsiaTheme="minorEastAsia"/>
          <w:color w:val="FF0000"/>
          <w:sz w:val="24"/>
        </w:rPr>
        <w:t>瓦窑堡组正常基岩中的泥岩和粉砂岩</w:t>
      </w:r>
      <w:r w:rsidR="00EA1DA8" w:rsidRPr="00E134B5">
        <w:rPr>
          <w:rFonts w:eastAsiaTheme="minorEastAsia" w:hint="eastAsia"/>
          <w:color w:val="FF0000"/>
          <w:sz w:val="24"/>
        </w:rPr>
        <w:t>具有隔水型，</w:t>
      </w:r>
      <w:r w:rsidRPr="00362E72">
        <w:rPr>
          <w:rFonts w:eastAsiaTheme="minorEastAsia" w:hint="eastAsia"/>
          <w:sz w:val="24"/>
        </w:rPr>
        <w:t>因此导水裂隙</w:t>
      </w:r>
      <w:r w:rsidR="00C4139C" w:rsidRPr="00E134B5">
        <w:rPr>
          <w:rFonts w:eastAsiaTheme="minorEastAsia" w:hint="eastAsia"/>
          <w:sz w:val="24"/>
        </w:rPr>
        <w:t>一般</w:t>
      </w:r>
      <w:r w:rsidRPr="00362E72">
        <w:rPr>
          <w:rFonts w:eastAsiaTheme="minorEastAsia" w:hint="eastAsia"/>
          <w:sz w:val="24"/>
        </w:rPr>
        <w:t>不会</w:t>
      </w:r>
      <w:r w:rsidRPr="00E134B5">
        <w:rPr>
          <w:rFonts w:eastAsiaTheme="minorEastAsia"/>
          <w:sz w:val="24"/>
        </w:rPr>
        <w:t>导通</w:t>
      </w:r>
      <w:r w:rsidRPr="00E134B5">
        <w:rPr>
          <w:rFonts w:eastAsiaTheme="minorEastAsia" w:hint="eastAsia"/>
          <w:sz w:val="24"/>
        </w:rPr>
        <w:t>瓦窑堡组基岩孔隙裂隙</w:t>
      </w:r>
      <w:r w:rsidRPr="00E134B5">
        <w:rPr>
          <w:rFonts w:eastAsiaTheme="minorEastAsia"/>
          <w:sz w:val="24"/>
        </w:rPr>
        <w:t>含水层；</w:t>
      </w:r>
      <w:r w:rsidR="00E134B5" w:rsidRPr="00E134B5">
        <w:rPr>
          <w:rFonts w:eastAsiaTheme="minorEastAsia" w:hint="eastAsia"/>
          <w:color w:val="FF0000"/>
          <w:sz w:val="24"/>
        </w:rPr>
        <w:t>同时</w:t>
      </w:r>
      <w:r w:rsidR="00EA1DA8">
        <w:rPr>
          <w:rFonts w:eastAsiaTheme="minorEastAsia" w:hint="eastAsia"/>
          <w:color w:val="FF0000"/>
          <w:sz w:val="24"/>
        </w:rPr>
        <w:t>基岩</w:t>
      </w:r>
      <w:r w:rsidRPr="00E134B5">
        <w:rPr>
          <w:rFonts w:eastAsiaTheme="minorEastAsia" w:hint="eastAsia"/>
          <w:color w:val="FF0000"/>
          <w:sz w:val="24"/>
        </w:rPr>
        <w:t>上部有</w:t>
      </w:r>
      <w:r w:rsidRPr="00E134B5">
        <w:rPr>
          <w:rFonts w:eastAsiaTheme="minorEastAsia"/>
          <w:color w:val="FF0000"/>
          <w:sz w:val="24"/>
        </w:rPr>
        <w:t>侏罗系下统富县组</w:t>
      </w:r>
      <w:r w:rsidRPr="00E134B5">
        <w:rPr>
          <w:rFonts w:eastAsiaTheme="minorEastAsia" w:hint="eastAsia"/>
          <w:color w:val="FF0000"/>
          <w:sz w:val="24"/>
        </w:rPr>
        <w:t>和</w:t>
      </w:r>
      <w:r w:rsidRPr="00E134B5">
        <w:rPr>
          <w:rFonts w:eastAsiaTheme="minorEastAsia"/>
          <w:color w:val="FF0000"/>
          <w:sz w:val="24"/>
        </w:rPr>
        <w:t>新近</w:t>
      </w:r>
      <w:r w:rsidRPr="00E134B5">
        <w:rPr>
          <w:rFonts w:hAnsi="宋体"/>
          <w:color w:val="FF0000"/>
          <w:sz w:val="24"/>
        </w:rPr>
        <w:t>系上新统保德组红土</w:t>
      </w:r>
      <w:r w:rsidRPr="00E134B5">
        <w:rPr>
          <w:rFonts w:hAnsi="宋体" w:hint="eastAsia"/>
          <w:color w:val="FF0000"/>
          <w:sz w:val="24"/>
        </w:rPr>
        <w:t>等相对隔水层，</w:t>
      </w:r>
      <w:r w:rsidRPr="00362E72">
        <w:rPr>
          <w:sz w:val="24"/>
        </w:rPr>
        <w:t>因此采煤对</w:t>
      </w:r>
      <w:r w:rsidRPr="000D6D01">
        <w:rPr>
          <w:color w:val="FF0000"/>
          <w:sz w:val="24"/>
        </w:rPr>
        <w:t>第四系潜水</w:t>
      </w:r>
      <w:r w:rsidR="000D6D01" w:rsidRPr="000D6D01">
        <w:rPr>
          <w:rFonts w:hint="eastAsia"/>
          <w:color w:val="FF0000"/>
          <w:sz w:val="24"/>
        </w:rPr>
        <w:t>和风化基岩潜水</w:t>
      </w:r>
      <w:r w:rsidRPr="000D6D01">
        <w:rPr>
          <w:color w:val="FF0000"/>
          <w:sz w:val="24"/>
        </w:rPr>
        <w:t>含水层</w:t>
      </w:r>
      <w:r w:rsidRPr="00362E72">
        <w:rPr>
          <w:sz w:val="24"/>
        </w:rPr>
        <w:t>影响较小。</w:t>
      </w:r>
    </w:p>
    <w:p w:rsidR="008D6826" w:rsidRPr="00362E72" w:rsidRDefault="008D6826" w:rsidP="004173AA">
      <w:pPr>
        <w:spacing w:line="360" w:lineRule="auto"/>
        <w:ind w:firstLine="480"/>
        <w:rPr>
          <w:rFonts w:hAnsi="宋体"/>
          <w:sz w:val="24"/>
        </w:rPr>
      </w:pPr>
      <w:r w:rsidRPr="00362E72">
        <w:rPr>
          <w:rFonts w:hAnsi="宋体" w:hint="eastAsia"/>
          <w:sz w:val="24"/>
        </w:rPr>
        <w:t>矿井</w:t>
      </w:r>
      <w:r w:rsidRPr="00362E72">
        <w:rPr>
          <w:rFonts w:hAnsi="宋体"/>
          <w:sz w:val="24"/>
        </w:rPr>
        <w:t>采煤对</w:t>
      </w:r>
      <w:r w:rsidRPr="00362E72">
        <w:rPr>
          <w:rFonts w:hAnsi="宋体" w:hint="eastAsia"/>
          <w:sz w:val="24"/>
        </w:rPr>
        <w:t>大理河</w:t>
      </w:r>
      <w:r w:rsidRPr="00362E72">
        <w:rPr>
          <w:rFonts w:hAnsi="宋体"/>
          <w:sz w:val="24"/>
        </w:rPr>
        <w:t>湿地的影响为水量和水质两个方面。</w:t>
      </w:r>
      <w:r w:rsidRPr="00362E72">
        <w:rPr>
          <w:rFonts w:hAnsi="宋体" w:hint="eastAsia"/>
          <w:sz w:val="24"/>
        </w:rPr>
        <w:t>根据预测，大理河湿地不在采煤沉陷范围内，采煤导水裂隙带不会贯通瓦窑堡组及上覆潜水含水层，因此</w:t>
      </w:r>
      <w:r w:rsidR="002A18AE" w:rsidRPr="00362E72">
        <w:rPr>
          <w:rFonts w:hAnsi="宋体" w:hint="eastAsia"/>
          <w:sz w:val="24"/>
        </w:rPr>
        <w:t>矿井涌水</w:t>
      </w:r>
      <w:r w:rsidR="002A18AE">
        <w:rPr>
          <w:rFonts w:hAnsi="宋体" w:hint="eastAsia"/>
          <w:sz w:val="24"/>
        </w:rPr>
        <w:t>中</w:t>
      </w:r>
      <w:r w:rsidRPr="00362E72">
        <w:rPr>
          <w:rFonts w:hAnsi="宋体" w:hint="eastAsia"/>
          <w:sz w:val="24"/>
        </w:rPr>
        <w:t>浅层地下水流失量</w:t>
      </w:r>
      <w:r w:rsidR="002A18AE">
        <w:rPr>
          <w:rFonts w:hAnsi="宋体" w:hint="eastAsia"/>
          <w:sz w:val="24"/>
        </w:rPr>
        <w:t>所</w:t>
      </w:r>
      <w:r w:rsidRPr="00362E72">
        <w:rPr>
          <w:rFonts w:hAnsi="宋体" w:hint="eastAsia"/>
          <w:sz w:val="24"/>
        </w:rPr>
        <w:t>占比例较小，</w:t>
      </w:r>
      <w:r w:rsidR="00C4139C" w:rsidRPr="00C4139C">
        <w:rPr>
          <w:rFonts w:hAnsi="宋体" w:hint="eastAsia"/>
          <w:color w:val="FF0000"/>
          <w:sz w:val="24"/>
        </w:rPr>
        <w:t>同时大理河湿地为</w:t>
      </w:r>
      <w:r w:rsidR="00117D11">
        <w:rPr>
          <w:rFonts w:hAnsi="宋体" w:hint="eastAsia"/>
          <w:color w:val="FF0000"/>
          <w:sz w:val="24"/>
        </w:rPr>
        <w:t>河流型湿地，主要包括</w:t>
      </w:r>
      <w:r w:rsidR="00117D11" w:rsidRPr="00117D11">
        <w:rPr>
          <w:rFonts w:hAnsi="宋体" w:hint="eastAsia"/>
          <w:color w:val="FF0000"/>
          <w:sz w:val="24"/>
        </w:rPr>
        <w:t>河滩，洪泛河谷和季节性泛洪草</w:t>
      </w:r>
      <w:r w:rsidR="00117D11" w:rsidRPr="0059502B">
        <w:rPr>
          <w:rFonts w:hAnsi="宋体" w:hint="eastAsia"/>
          <w:color w:val="FF0000"/>
          <w:sz w:val="24"/>
        </w:rPr>
        <w:t>地区域，受地形和气候影响较大，</w:t>
      </w:r>
      <w:r w:rsidRPr="0059502B">
        <w:rPr>
          <w:rFonts w:hAnsi="宋体" w:hint="eastAsia"/>
          <w:color w:val="FF0000"/>
          <w:sz w:val="24"/>
        </w:rPr>
        <w:t>采煤</w:t>
      </w:r>
      <w:r w:rsidR="0059502B" w:rsidRPr="0059502B">
        <w:rPr>
          <w:rFonts w:hAnsi="宋体" w:hint="eastAsia"/>
          <w:color w:val="FF0000"/>
          <w:sz w:val="24"/>
        </w:rPr>
        <w:t>一般不会改变</w:t>
      </w:r>
      <w:r w:rsidR="00AD7D82">
        <w:rPr>
          <w:rFonts w:hAnsi="宋体" w:hint="eastAsia"/>
          <w:color w:val="FF0000"/>
          <w:sz w:val="24"/>
        </w:rPr>
        <w:t>该区域</w:t>
      </w:r>
      <w:r w:rsidR="0059502B" w:rsidRPr="0059502B">
        <w:rPr>
          <w:rFonts w:hAnsi="宋体" w:hint="eastAsia"/>
          <w:color w:val="FF0000"/>
          <w:sz w:val="24"/>
        </w:rPr>
        <w:t>地表径流方向，</w:t>
      </w:r>
      <w:r w:rsidRPr="00362E72">
        <w:rPr>
          <w:rFonts w:hAnsi="宋体" w:hint="eastAsia"/>
          <w:sz w:val="24"/>
        </w:rPr>
        <w:t>对大理河水资源量影响较小；此外，工业场地区的污废水渗漏扩散范围小，不会扩散到大理河</w:t>
      </w:r>
      <w:r w:rsidRPr="00362E72">
        <w:rPr>
          <w:rFonts w:hAnsi="宋体"/>
          <w:sz w:val="24"/>
        </w:rPr>
        <w:t>重要湿地</w:t>
      </w:r>
      <w:r w:rsidRPr="00362E72">
        <w:rPr>
          <w:rFonts w:hAnsi="宋体" w:hint="eastAsia"/>
          <w:sz w:val="24"/>
        </w:rPr>
        <w:t>内；现状监测项目纳污河流蚂蚁河的排污口处及汇入大理河断面的水质满足地表水</w:t>
      </w:r>
      <w:r w:rsidR="000F32AE" w:rsidRPr="00362E72">
        <w:rPr>
          <w:rFonts w:hAnsi="宋体"/>
          <w:sz w:val="24"/>
        </w:rPr>
        <w:fldChar w:fldCharType="begin"/>
      </w:r>
      <w:r w:rsidRPr="00362E72">
        <w:rPr>
          <w:rFonts w:hAnsi="宋体" w:hint="eastAsia"/>
          <w:sz w:val="24"/>
        </w:rPr>
        <w:instrText>= 3 \* ROMAN</w:instrText>
      </w:r>
      <w:r w:rsidR="000F32AE" w:rsidRPr="00362E72">
        <w:rPr>
          <w:rFonts w:hAnsi="宋体"/>
          <w:sz w:val="24"/>
        </w:rPr>
        <w:fldChar w:fldCharType="separate"/>
      </w:r>
      <w:r w:rsidRPr="00362E72">
        <w:rPr>
          <w:rFonts w:hAnsi="宋体"/>
          <w:sz w:val="24"/>
        </w:rPr>
        <w:t>III</w:t>
      </w:r>
      <w:r w:rsidR="000F32AE" w:rsidRPr="00362E72">
        <w:rPr>
          <w:rFonts w:hAnsi="宋体"/>
          <w:sz w:val="24"/>
        </w:rPr>
        <w:fldChar w:fldCharType="end"/>
      </w:r>
      <w:r w:rsidRPr="00362E72">
        <w:rPr>
          <w:rFonts w:hAnsi="宋体" w:hint="eastAsia"/>
          <w:sz w:val="24"/>
        </w:rPr>
        <w:t>类水质要求，现状排水未对大理河水质造成影响。综上分析，在采取保护措施后，采煤对重要湿地影响较小。</w:t>
      </w:r>
    </w:p>
    <w:p w:rsidR="00C223F5" w:rsidRPr="00362E72" w:rsidRDefault="005860D5" w:rsidP="004173AA">
      <w:pPr>
        <w:spacing w:line="360" w:lineRule="auto"/>
        <w:ind w:firstLineChars="200" w:firstLine="480"/>
        <w:rPr>
          <w:sz w:val="24"/>
        </w:rPr>
      </w:pPr>
      <w:r w:rsidRPr="00E134B5">
        <w:rPr>
          <w:color w:val="FF0000"/>
          <w:sz w:val="24"/>
        </w:rPr>
        <w:t>井田</w:t>
      </w:r>
      <w:r w:rsidRPr="00E134B5">
        <w:rPr>
          <w:rFonts w:hint="eastAsia"/>
          <w:color w:val="FF0000"/>
          <w:sz w:val="24"/>
        </w:rPr>
        <w:t>内</w:t>
      </w:r>
      <w:r w:rsidR="00E134B5" w:rsidRPr="00E134B5">
        <w:rPr>
          <w:rFonts w:hint="eastAsia"/>
          <w:color w:val="FF0000"/>
          <w:sz w:val="24"/>
        </w:rPr>
        <w:t>蚂蚁河及大理河沿线居民</w:t>
      </w:r>
      <w:r w:rsidRPr="00E134B5">
        <w:rPr>
          <w:rFonts w:hAnsi="宋体" w:hint="eastAsia"/>
          <w:color w:val="FF0000"/>
          <w:sz w:val="24"/>
        </w:rPr>
        <w:t>饮用水源由政府水利局农饮办的饮水工程提供自来水，</w:t>
      </w:r>
      <w:r w:rsidR="00E134B5" w:rsidRPr="00E134B5">
        <w:rPr>
          <w:rFonts w:hAnsi="宋体" w:hint="eastAsia"/>
          <w:color w:val="FF0000"/>
          <w:sz w:val="24"/>
        </w:rPr>
        <w:t>井田西南部分散</w:t>
      </w:r>
      <w:r w:rsidRPr="00E134B5">
        <w:rPr>
          <w:rFonts w:hint="eastAsia"/>
          <w:color w:val="FF0000"/>
          <w:sz w:val="24"/>
        </w:rPr>
        <w:t>居民</w:t>
      </w:r>
      <w:r w:rsidR="00E134B5" w:rsidRPr="00E134B5">
        <w:rPr>
          <w:rFonts w:hint="eastAsia"/>
          <w:color w:val="FF0000"/>
          <w:sz w:val="24"/>
        </w:rPr>
        <w:t>用水主要为泉水（来自第四系及风化基岩含水层），河流两岸</w:t>
      </w:r>
      <w:r w:rsidRPr="00E134B5">
        <w:rPr>
          <w:rFonts w:hint="eastAsia"/>
          <w:color w:val="FF0000"/>
          <w:sz w:val="24"/>
        </w:rPr>
        <w:t>分散水井主要用于农田灌溉</w:t>
      </w:r>
      <w:r w:rsidRPr="00E134B5">
        <w:rPr>
          <w:color w:val="FF0000"/>
          <w:sz w:val="24"/>
        </w:rPr>
        <w:t>。</w:t>
      </w:r>
      <w:r w:rsidRPr="00362E72">
        <w:rPr>
          <w:bCs/>
          <w:sz w:val="24"/>
        </w:rPr>
        <w:t>在非正常状况下，通过地下水跟踪监测，生活污水会在一定时间内进入地下含水层之后，</w:t>
      </w:r>
      <w:r w:rsidRPr="00362E72">
        <w:rPr>
          <w:bCs/>
          <w:sz w:val="24"/>
        </w:rPr>
        <w:t>NH</w:t>
      </w:r>
      <w:r w:rsidRPr="00362E72">
        <w:rPr>
          <w:bCs/>
          <w:sz w:val="24"/>
          <w:vertAlign w:val="subscript"/>
        </w:rPr>
        <w:t>3</w:t>
      </w:r>
      <w:r w:rsidRPr="00362E72">
        <w:rPr>
          <w:bCs/>
          <w:sz w:val="24"/>
        </w:rPr>
        <w:t>-N</w:t>
      </w:r>
      <w:r w:rsidRPr="00362E72">
        <w:rPr>
          <w:bCs/>
          <w:sz w:val="24"/>
        </w:rPr>
        <w:t>污染羽将不断向下游扩散，</w:t>
      </w:r>
      <w:r w:rsidRPr="00362E72">
        <w:rPr>
          <w:rFonts w:hint="eastAsia"/>
          <w:bCs/>
          <w:sz w:val="24"/>
        </w:rPr>
        <w:t>在</w:t>
      </w:r>
      <w:r w:rsidRPr="00362E72">
        <w:rPr>
          <w:rFonts w:hint="eastAsia"/>
          <w:bCs/>
          <w:sz w:val="24"/>
        </w:rPr>
        <w:t>100d</w:t>
      </w:r>
      <w:r w:rsidRPr="00362E72">
        <w:rPr>
          <w:rFonts w:hint="eastAsia"/>
          <w:bCs/>
          <w:sz w:val="24"/>
        </w:rPr>
        <w:t>时，</w:t>
      </w:r>
      <w:r w:rsidRPr="00362E72">
        <w:rPr>
          <w:bCs/>
          <w:sz w:val="24"/>
        </w:rPr>
        <w:t>NH</w:t>
      </w:r>
      <w:r w:rsidRPr="00362E72">
        <w:rPr>
          <w:bCs/>
          <w:sz w:val="24"/>
          <w:vertAlign w:val="subscript"/>
        </w:rPr>
        <w:t>3</w:t>
      </w:r>
      <w:r w:rsidRPr="00362E72">
        <w:rPr>
          <w:bCs/>
          <w:sz w:val="24"/>
        </w:rPr>
        <w:t>-N</w:t>
      </w:r>
      <w:r w:rsidRPr="00362E72">
        <w:rPr>
          <w:rFonts w:hint="eastAsia"/>
          <w:bCs/>
          <w:sz w:val="24"/>
        </w:rPr>
        <w:t>仅在场界内</w:t>
      </w:r>
      <w:r w:rsidRPr="00362E72">
        <w:rPr>
          <w:bCs/>
          <w:sz w:val="24"/>
        </w:rPr>
        <w:t>造成小范围的超标</w:t>
      </w:r>
      <w:r w:rsidRPr="00362E72">
        <w:rPr>
          <w:rFonts w:hint="eastAsia"/>
          <w:bCs/>
          <w:sz w:val="24"/>
        </w:rPr>
        <w:t>，</w:t>
      </w:r>
      <w:r w:rsidRPr="00362E72">
        <w:rPr>
          <w:rFonts w:hint="eastAsia"/>
          <w:bCs/>
          <w:sz w:val="24"/>
        </w:rPr>
        <w:t>1000d</w:t>
      </w:r>
      <w:r w:rsidRPr="00362E72">
        <w:rPr>
          <w:rFonts w:hint="eastAsia"/>
          <w:bCs/>
          <w:sz w:val="24"/>
        </w:rPr>
        <w:t>时</w:t>
      </w:r>
      <w:r w:rsidRPr="00362E72">
        <w:rPr>
          <w:bCs/>
          <w:sz w:val="24"/>
        </w:rPr>
        <w:t>污染羽</w:t>
      </w:r>
      <w:r w:rsidRPr="00362E72">
        <w:rPr>
          <w:rFonts w:hint="eastAsia"/>
          <w:bCs/>
          <w:sz w:val="24"/>
        </w:rPr>
        <w:t>浓度满足水质要求。</w:t>
      </w:r>
      <w:r w:rsidRPr="00362E72">
        <w:rPr>
          <w:sz w:val="24"/>
        </w:rPr>
        <w:t>环评要求</w:t>
      </w:r>
      <w:r w:rsidRPr="00362E72">
        <w:rPr>
          <w:rFonts w:hint="eastAsia"/>
          <w:sz w:val="24"/>
        </w:rPr>
        <w:t>矿</w:t>
      </w:r>
      <w:r w:rsidRPr="00362E72">
        <w:rPr>
          <w:sz w:val="24"/>
        </w:rPr>
        <w:t>井在运营过程中加强</w:t>
      </w:r>
      <w:r w:rsidRPr="00362E72">
        <w:rPr>
          <w:rFonts w:hint="eastAsia"/>
          <w:sz w:val="24"/>
        </w:rPr>
        <w:t>工业</w:t>
      </w:r>
      <w:r w:rsidRPr="00362E72">
        <w:rPr>
          <w:sz w:val="24"/>
        </w:rPr>
        <w:t>场地污染</w:t>
      </w:r>
      <w:r w:rsidRPr="00362E72">
        <w:rPr>
          <w:rFonts w:hint="eastAsia"/>
          <w:sz w:val="24"/>
        </w:rPr>
        <w:t>源维护，确保</w:t>
      </w:r>
      <w:r w:rsidRPr="00362E72">
        <w:rPr>
          <w:sz w:val="24"/>
        </w:rPr>
        <w:t>防渗措施</w:t>
      </w:r>
      <w:r w:rsidRPr="00362E72">
        <w:rPr>
          <w:rFonts w:hint="eastAsia"/>
          <w:sz w:val="24"/>
        </w:rPr>
        <w:t>达到</w:t>
      </w:r>
      <w:r w:rsidRPr="00362E72">
        <w:rPr>
          <w:sz w:val="24"/>
        </w:rPr>
        <w:t>设计要求</w:t>
      </w:r>
      <w:r w:rsidRPr="00362E72">
        <w:rPr>
          <w:rFonts w:hint="eastAsia"/>
          <w:sz w:val="24"/>
        </w:rPr>
        <w:t>，定期对设备进行检修</w:t>
      </w:r>
      <w:r w:rsidRPr="00362E72">
        <w:rPr>
          <w:sz w:val="24"/>
        </w:rPr>
        <w:t>，</w:t>
      </w:r>
      <w:r w:rsidRPr="00362E72">
        <w:rPr>
          <w:rFonts w:hint="eastAsia"/>
          <w:sz w:val="24"/>
        </w:rPr>
        <w:t>发现问题及时解决，确保</w:t>
      </w:r>
      <w:r w:rsidRPr="00362E72">
        <w:rPr>
          <w:sz w:val="24"/>
        </w:rPr>
        <w:t>防渗措施</w:t>
      </w:r>
      <w:r w:rsidRPr="00362E72">
        <w:rPr>
          <w:rFonts w:hint="eastAsia"/>
          <w:sz w:val="24"/>
        </w:rPr>
        <w:t>达到</w:t>
      </w:r>
      <w:r w:rsidRPr="00362E72">
        <w:rPr>
          <w:sz w:val="24"/>
        </w:rPr>
        <w:t>设计要求</w:t>
      </w:r>
      <w:r w:rsidRPr="00362E72">
        <w:rPr>
          <w:rFonts w:hint="eastAsia"/>
          <w:sz w:val="24"/>
        </w:rPr>
        <w:t>。</w:t>
      </w:r>
    </w:p>
    <w:p w:rsidR="00C223F5" w:rsidRPr="00362E72" w:rsidRDefault="005860D5" w:rsidP="00C006A7">
      <w:pPr>
        <w:spacing w:line="360" w:lineRule="auto"/>
        <w:ind w:firstLineChars="200" w:firstLine="480"/>
        <w:rPr>
          <w:sz w:val="24"/>
        </w:rPr>
      </w:pPr>
      <w:bookmarkStart w:id="38" w:name="_Toc8285261"/>
      <w:r w:rsidRPr="00362E72">
        <w:rPr>
          <w:rFonts w:hint="eastAsia"/>
          <w:sz w:val="24"/>
        </w:rPr>
        <w:t>（三）其他</w:t>
      </w:r>
      <w:bookmarkEnd w:id="38"/>
    </w:p>
    <w:p w:rsidR="00C223F5" w:rsidRDefault="005860D5" w:rsidP="004173AA">
      <w:pPr>
        <w:spacing w:line="360" w:lineRule="auto"/>
        <w:ind w:firstLineChars="200" w:firstLine="480"/>
        <w:rPr>
          <w:sz w:val="24"/>
        </w:rPr>
      </w:pPr>
      <w:r w:rsidRPr="00362E72">
        <w:rPr>
          <w:rFonts w:hint="eastAsia"/>
          <w:sz w:val="24"/>
        </w:rPr>
        <w:t>项目拟对生活污废水处理达标后全部回用，</w:t>
      </w:r>
      <w:r>
        <w:rPr>
          <w:rFonts w:hint="eastAsia"/>
          <w:sz w:val="24"/>
        </w:rPr>
        <w:t>矿井涌水处理后一部分回用到</w:t>
      </w:r>
      <w:r w:rsidRPr="00C807E8">
        <w:rPr>
          <w:rFonts w:hint="eastAsia"/>
          <w:color w:val="FF0000"/>
          <w:sz w:val="24"/>
        </w:rPr>
        <w:t>煤矿生产环节</w:t>
      </w:r>
      <w:r>
        <w:rPr>
          <w:rFonts w:hint="eastAsia"/>
          <w:sz w:val="24"/>
        </w:rPr>
        <w:t>，富余矿井水利用原有排污口排至蚂蚁河，对地表水环境影响较小。</w:t>
      </w:r>
    </w:p>
    <w:p w:rsidR="00C223F5" w:rsidRDefault="005860D5" w:rsidP="004173AA">
      <w:pPr>
        <w:spacing w:line="360" w:lineRule="auto"/>
        <w:ind w:firstLineChars="200" w:firstLine="480"/>
        <w:rPr>
          <w:sz w:val="24"/>
        </w:rPr>
      </w:pPr>
      <w:r>
        <w:rPr>
          <w:rFonts w:hint="eastAsia"/>
          <w:sz w:val="24"/>
        </w:rPr>
        <w:lastRenderedPageBreak/>
        <w:t>场地供热采暖采用</w:t>
      </w:r>
      <w:r>
        <w:rPr>
          <w:sz w:val="24"/>
        </w:rPr>
        <w:t>乏风热泵机组</w:t>
      </w:r>
      <w:r>
        <w:rPr>
          <w:sz w:val="24"/>
        </w:rPr>
        <w:t>+</w:t>
      </w:r>
      <w:r>
        <w:rPr>
          <w:sz w:val="24"/>
        </w:rPr>
        <w:t>水源热泵机组</w:t>
      </w:r>
      <w:r>
        <w:rPr>
          <w:sz w:val="24"/>
        </w:rPr>
        <w:t>+</w:t>
      </w:r>
      <w:r>
        <w:rPr>
          <w:sz w:val="24"/>
        </w:rPr>
        <w:t>电锅炉</w:t>
      </w:r>
      <w:r>
        <w:rPr>
          <w:rFonts w:hint="eastAsia"/>
          <w:bCs/>
          <w:sz w:val="24"/>
        </w:rPr>
        <w:t>的供热方式，选煤厂</w:t>
      </w:r>
      <w:r>
        <w:rPr>
          <w:rFonts w:hint="eastAsia"/>
          <w:sz w:val="24"/>
        </w:rPr>
        <w:t>煤炭运输及生产采用封闭栈桥和厂房，并配备喷雾抑尘装置，筛破系统位于车间内，加装集尘设施及</w:t>
      </w:r>
      <w:r>
        <w:rPr>
          <w:rFonts w:hAnsi="宋体" w:hint="eastAsia"/>
          <w:sz w:val="24"/>
          <w:szCs w:val="22"/>
        </w:rPr>
        <w:t>干</w:t>
      </w:r>
      <w:r>
        <w:rPr>
          <w:rFonts w:hAnsi="宋体"/>
          <w:sz w:val="24"/>
          <w:szCs w:val="22"/>
        </w:rPr>
        <w:t>雾</w:t>
      </w:r>
      <w:r>
        <w:rPr>
          <w:rFonts w:hAnsi="宋体" w:hint="eastAsia"/>
          <w:sz w:val="24"/>
          <w:szCs w:val="22"/>
        </w:rPr>
        <w:t>抑尘</w:t>
      </w:r>
      <w:r>
        <w:rPr>
          <w:rFonts w:hAnsi="宋体"/>
          <w:sz w:val="24"/>
          <w:szCs w:val="22"/>
        </w:rPr>
        <w:t>装置</w:t>
      </w:r>
      <w:r>
        <w:rPr>
          <w:rFonts w:hint="eastAsia"/>
          <w:sz w:val="24"/>
        </w:rPr>
        <w:t>，主厂房设</w:t>
      </w:r>
      <w:r>
        <w:rPr>
          <w:rFonts w:hAnsi="宋体" w:hint="eastAsia"/>
          <w:sz w:val="24"/>
          <w:szCs w:val="22"/>
        </w:rPr>
        <w:t>干</w:t>
      </w:r>
      <w:r>
        <w:rPr>
          <w:rFonts w:hAnsi="宋体"/>
          <w:sz w:val="24"/>
          <w:szCs w:val="22"/>
        </w:rPr>
        <w:t>雾</w:t>
      </w:r>
      <w:r>
        <w:rPr>
          <w:rFonts w:hAnsi="宋体" w:hint="eastAsia"/>
          <w:sz w:val="24"/>
          <w:szCs w:val="22"/>
        </w:rPr>
        <w:t>抑尘</w:t>
      </w:r>
      <w:r>
        <w:rPr>
          <w:rFonts w:hAnsi="宋体"/>
          <w:sz w:val="24"/>
          <w:szCs w:val="22"/>
        </w:rPr>
        <w:t>装置</w:t>
      </w:r>
      <w:r>
        <w:rPr>
          <w:rFonts w:hint="eastAsia"/>
          <w:sz w:val="24"/>
        </w:rPr>
        <w:t>，采用煤仓储煤，粉尘排放可满足标准要求，对环境空气影响较小。</w:t>
      </w:r>
    </w:p>
    <w:p w:rsidR="00C223F5" w:rsidRDefault="005860D5" w:rsidP="004173AA">
      <w:pPr>
        <w:spacing w:line="360" w:lineRule="auto"/>
        <w:ind w:firstLineChars="200" w:firstLine="480"/>
        <w:rPr>
          <w:color w:val="FF0000"/>
          <w:sz w:val="24"/>
        </w:rPr>
      </w:pPr>
      <w:r>
        <w:rPr>
          <w:rFonts w:hint="eastAsia"/>
          <w:sz w:val="24"/>
        </w:rPr>
        <w:t>固体废弃物</w:t>
      </w:r>
      <w:r>
        <w:rPr>
          <w:rFonts w:hint="eastAsia"/>
          <w:sz w:val="24"/>
        </w:rPr>
        <w:t>100%</w:t>
      </w:r>
      <w:r>
        <w:rPr>
          <w:rFonts w:hint="eastAsia"/>
          <w:sz w:val="24"/>
        </w:rPr>
        <w:t>处置或综合利用；矿井噪声源采取减振、隔声等降噪及其它保护措施，经预测噪声排放满足《工业企业厂界环境噪声排放标准》</w:t>
      </w:r>
      <w:r>
        <w:rPr>
          <w:rFonts w:hint="eastAsia"/>
          <w:sz w:val="24"/>
        </w:rPr>
        <w:t>2</w:t>
      </w:r>
      <w:r>
        <w:rPr>
          <w:rFonts w:hint="eastAsia"/>
          <w:sz w:val="24"/>
        </w:rPr>
        <w:t>类标准。</w:t>
      </w:r>
    </w:p>
    <w:p w:rsidR="00C223F5" w:rsidRDefault="005860D5" w:rsidP="004173AA">
      <w:pPr>
        <w:adjustRightInd w:val="0"/>
        <w:snapToGrid w:val="0"/>
        <w:spacing w:line="360" w:lineRule="auto"/>
        <w:ind w:firstLineChars="200" w:firstLine="482"/>
        <w:rPr>
          <w:b/>
          <w:sz w:val="24"/>
          <w:szCs w:val="22"/>
        </w:rPr>
      </w:pPr>
      <w:bookmarkStart w:id="39" w:name="_Toc512080013"/>
      <w:bookmarkStart w:id="40" w:name="_Toc533604680"/>
      <w:bookmarkStart w:id="41" w:name="_Toc533604260"/>
      <w:bookmarkStart w:id="42" w:name="_Toc533604818"/>
      <w:bookmarkStart w:id="43" w:name="_Toc8285262"/>
      <w:r>
        <w:rPr>
          <w:rFonts w:hint="eastAsia"/>
          <w:b/>
          <w:sz w:val="24"/>
          <w:szCs w:val="22"/>
        </w:rPr>
        <w:t>六、环境影响评价的主要结论</w:t>
      </w:r>
      <w:bookmarkEnd w:id="39"/>
      <w:bookmarkEnd w:id="40"/>
      <w:bookmarkEnd w:id="41"/>
      <w:bookmarkEnd w:id="42"/>
      <w:bookmarkEnd w:id="43"/>
    </w:p>
    <w:p w:rsidR="00C223F5" w:rsidRDefault="005860D5" w:rsidP="004173AA">
      <w:pPr>
        <w:spacing w:line="360" w:lineRule="auto"/>
        <w:ind w:firstLine="480"/>
        <w:rPr>
          <w:rFonts w:hAnsi="宋体"/>
          <w:sz w:val="24"/>
          <w:szCs w:val="32"/>
        </w:rPr>
      </w:pPr>
      <w:r>
        <w:rPr>
          <w:rFonts w:hAnsi="宋体"/>
          <w:sz w:val="24"/>
          <w:szCs w:val="32"/>
        </w:rPr>
        <w:t>项目建设符合国家和地方产业政策</w:t>
      </w:r>
      <w:r>
        <w:rPr>
          <w:rFonts w:hAnsi="宋体" w:hint="eastAsia"/>
          <w:sz w:val="24"/>
          <w:szCs w:val="32"/>
        </w:rPr>
        <w:t>以及陕西省煤炭资源整合的相关要求，符合陕西省、榆林市相关环境保护规划</w:t>
      </w:r>
      <w:r>
        <w:rPr>
          <w:rFonts w:hAnsi="宋体"/>
          <w:sz w:val="24"/>
          <w:szCs w:val="32"/>
        </w:rPr>
        <w:t>，</w:t>
      </w:r>
      <w:r>
        <w:rPr>
          <w:bCs/>
          <w:sz w:val="24"/>
        </w:rPr>
        <w:t>在严格落实设计</w:t>
      </w:r>
      <w:r>
        <w:rPr>
          <w:rFonts w:hint="eastAsia"/>
          <w:bCs/>
          <w:sz w:val="24"/>
        </w:rPr>
        <w:t>和</w:t>
      </w:r>
      <w:r>
        <w:rPr>
          <w:bCs/>
          <w:sz w:val="24"/>
        </w:rPr>
        <w:t>环评报告提出的生态</w:t>
      </w:r>
      <w:r>
        <w:rPr>
          <w:rFonts w:hint="eastAsia"/>
          <w:bCs/>
          <w:sz w:val="24"/>
        </w:rPr>
        <w:t>保护措施</w:t>
      </w:r>
      <w:r>
        <w:rPr>
          <w:bCs/>
          <w:sz w:val="24"/>
        </w:rPr>
        <w:t>和污染防治措施的前提下，</w:t>
      </w:r>
      <w:r>
        <w:rPr>
          <w:rFonts w:hAnsi="宋体"/>
          <w:sz w:val="24"/>
          <w:szCs w:val="32"/>
        </w:rPr>
        <w:t>污染物可确保达标排放，对周围环境影响较小。</w:t>
      </w:r>
      <w:r>
        <w:rPr>
          <w:sz w:val="24"/>
        </w:rPr>
        <w:t>从</w:t>
      </w:r>
      <w:r>
        <w:rPr>
          <w:rFonts w:hint="eastAsia"/>
          <w:sz w:val="24"/>
        </w:rPr>
        <w:t>满足</w:t>
      </w:r>
      <w:r>
        <w:rPr>
          <w:sz w:val="24"/>
        </w:rPr>
        <w:t>环境</w:t>
      </w:r>
      <w:r>
        <w:rPr>
          <w:rFonts w:hint="eastAsia"/>
          <w:sz w:val="24"/>
        </w:rPr>
        <w:t>保护</w:t>
      </w:r>
      <w:r>
        <w:rPr>
          <w:sz w:val="24"/>
        </w:rPr>
        <w:t>角度分析</w:t>
      </w:r>
      <w:r>
        <w:rPr>
          <w:rFonts w:hAnsi="宋体"/>
          <w:sz w:val="24"/>
          <w:szCs w:val="32"/>
        </w:rPr>
        <w:t>，项目建设可行。</w:t>
      </w:r>
    </w:p>
    <w:p w:rsidR="007968BC" w:rsidRDefault="005860D5" w:rsidP="004173AA">
      <w:pPr>
        <w:adjustRightInd w:val="0"/>
        <w:spacing w:line="360" w:lineRule="auto"/>
        <w:ind w:firstLineChars="200" w:firstLine="480"/>
        <w:rPr>
          <w:sz w:val="24"/>
        </w:rPr>
        <w:sectPr w:rsidR="007968BC">
          <w:footerReference w:type="default" r:id="rId14"/>
          <w:type w:val="continuous"/>
          <w:pgSz w:w="11907" w:h="16840"/>
          <w:pgMar w:top="1440" w:right="1701" w:bottom="1440" w:left="1701" w:header="851" w:footer="992" w:gutter="0"/>
          <w:cols w:space="425"/>
          <w:docGrid w:linePitch="312"/>
        </w:sectPr>
      </w:pPr>
      <w:r>
        <w:rPr>
          <w:rFonts w:hAnsi="宋体" w:hint="eastAsia"/>
          <w:sz w:val="24"/>
          <w:szCs w:val="32"/>
        </w:rPr>
        <w:t>本次</w:t>
      </w:r>
      <w:r>
        <w:rPr>
          <w:rFonts w:hAnsi="宋体"/>
          <w:sz w:val="24"/>
          <w:szCs w:val="32"/>
        </w:rPr>
        <w:t>评价工作中，环评单位得到了</w:t>
      </w:r>
      <w:r w:rsidRPr="007968BC">
        <w:rPr>
          <w:color w:val="FF0000"/>
          <w:sz w:val="24"/>
        </w:rPr>
        <w:t>陕西省</w:t>
      </w:r>
      <w:r w:rsidR="007968BC" w:rsidRPr="007968BC">
        <w:rPr>
          <w:rFonts w:hint="eastAsia"/>
          <w:color w:val="FF0000"/>
          <w:sz w:val="24"/>
        </w:rPr>
        <w:t>生态环境</w:t>
      </w:r>
      <w:r w:rsidRPr="007968BC">
        <w:rPr>
          <w:color w:val="FF0000"/>
          <w:sz w:val="24"/>
        </w:rPr>
        <w:t>厅、</w:t>
      </w:r>
      <w:r w:rsidR="007968BC" w:rsidRPr="007968BC">
        <w:rPr>
          <w:rFonts w:hint="eastAsia"/>
          <w:color w:val="FF0000"/>
          <w:sz w:val="24"/>
        </w:rPr>
        <w:t>陕西省环境调查评估中心</w:t>
      </w:r>
      <w:r w:rsidRPr="007968BC">
        <w:rPr>
          <w:color w:val="FF0000"/>
          <w:sz w:val="24"/>
        </w:rPr>
        <w:t>、</w:t>
      </w:r>
      <w:r>
        <w:rPr>
          <w:rFonts w:hAnsi="宋体" w:hint="eastAsia"/>
          <w:sz w:val="24"/>
          <w:szCs w:val="32"/>
        </w:rPr>
        <w:t>榆林市环境保护局、横山区</w:t>
      </w:r>
      <w:r>
        <w:rPr>
          <w:rFonts w:hint="eastAsia"/>
          <w:sz w:val="24"/>
        </w:rPr>
        <w:t>环境保护局、中煤西安设计工程有限责任公司等</w:t>
      </w:r>
      <w:r>
        <w:rPr>
          <w:sz w:val="24"/>
        </w:rPr>
        <w:t>单位</w:t>
      </w:r>
      <w:r>
        <w:rPr>
          <w:rFonts w:hint="eastAsia"/>
          <w:sz w:val="24"/>
        </w:rPr>
        <w:t>及建设单位的大力支持与协助，在此一并致谢。</w:t>
      </w:r>
      <w:bookmarkStart w:id="44" w:name="_Toc533604681"/>
      <w:bookmarkStart w:id="45" w:name="_Toc533604261"/>
    </w:p>
    <w:p w:rsidR="00C223F5" w:rsidRDefault="00C223F5" w:rsidP="007968BC">
      <w:pPr>
        <w:adjustRightInd w:val="0"/>
        <w:spacing w:line="360" w:lineRule="auto"/>
        <w:ind w:firstLineChars="200" w:firstLine="420"/>
        <w:sectPr w:rsidR="00C223F5" w:rsidSect="007968BC">
          <w:pgSz w:w="11907" w:h="16840"/>
          <w:pgMar w:top="1440" w:right="1701" w:bottom="1440" w:left="1701" w:header="851" w:footer="992" w:gutter="0"/>
          <w:cols w:space="425"/>
          <w:docGrid w:linePitch="312"/>
        </w:sectPr>
      </w:pPr>
    </w:p>
    <w:p w:rsidR="00C223F5" w:rsidRDefault="005860D5" w:rsidP="004835BD">
      <w:pPr>
        <w:pStyle w:val="1"/>
        <w:numPr>
          <w:ilvl w:val="0"/>
          <w:numId w:val="0"/>
        </w:numPr>
        <w:spacing w:before="0" w:after="0" w:line="360" w:lineRule="auto"/>
      </w:pPr>
      <w:bookmarkStart w:id="46" w:name="_Toc8285263"/>
      <w:bookmarkStart w:id="47" w:name="_Toc16785222"/>
      <w:r>
        <w:rPr>
          <w:rFonts w:hint="eastAsia"/>
        </w:rPr>
        <w:lastRenderedPageBreak/>
        <w:t>1</w:t>
      </w:r>
      <w:r>
        <w:t>、总则</w:t>
      </w:r>
      <w:bookmarkEnd w:id="44"/>
      <w:bookmarkEnd w:id="45"/>
      <w:bookmarkEnd w:id="46"/>
      <w:bookmarkEnd w:id="47"/>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48" w:name="_Toc533604682"/>
      <w:bookmarkStart w:id="49" w:name="_Toc533604262"/>
      <w:bookmarkStart w:id="50" w:name="_Toc16785223"/>
      <w:r>
        <w:rPr>
          <w:rFonts w:ascii="Times New Roman" w:eastAsia="宋体" w:hAnsi="Times New Roman" w:hint="eastAsia"/>
          <w:b/>
          <w:bCs w:val="0"/>
          <w:szCs w:val="30"/>
        </w:rPr>
        <w:t>1</w:t>
      </w:r>
      <w:r>
        <w:rPr>
          <w:rFonts w:ascii="Times New Roman" w:eastAsia="宋体" w:hAnsi="Times New Roman"/>
          <w:b/>
          <w:bCs w:val="0"/>
          <w:szCs w:val="30"/>
        </w:rPr>
        <w:t>.1</w:t>
      </w:r>
      <w:r>
        <w:rPr>
          <w:rFonts w:ascii="Times New Roman" w:eastAsia="宋体" w:hAnsi="宋体"/>
          <w:b/>
          <w:bCs w:val="0"/>
          <w:szCs w:val="30"/>
        </w:rPr>
        <w:t>编制依据</w:t>
      </w:r>
      <w:bookmarkEnd w:id="48"/>
      <w:bookmarkEnd w:id="49"/>
      <w:bookmarkEnd w:id="50"/>
    </w:p>
    <w:p w:rsidR="00C223F5" w:rsidRDefault="005860D5" w:rsidP="004835BD">
      <w:pPr>
        <w:pStyle w:val="3"/>
        <w:numPr>
          <w:ilvl w:val="0"/>
          <w:numId w:val="0"/>
        </w:numPr>
        <w:spacing w:before="0" w:after="0" w:line="360" w:lineRule="auto"/>
        <w:ind w:left="170"/>
        <w:rPr>
          <w:rFonts w:eastAsia="宋体"/>
          <w:b/>
          <w:bCs w:val="0"/>
          <w:sz w:val="28"/>
          <w:szCs w:val="28"/>
        </w:rPr>
      </w:pPr>
      <w:bookmarkStart w:id="51" w:name="_Toc533604683"/>
      <w:bookmarkStart w:id="52" w:name="_Toc533604263"/>
      <w:bookmarkStart w:id="53" w:name="_Toc216254896"/>
      <w:bookmarkStart w:id="54" w:name="_Toc16785224"/>
      <w:r>
        <w:rPr>
          <w:rFonts w:eastAsia="宋体" w:hint="eastAsia"/>
          <w:b/>
          <w:bCs w:val="0"/>
          <w:sz w:val="28"/>
          <w:szCs w:val="28"/>
        </w:rPr>
        <w:t>1</w:t>
      </w:r>
      <w:r>
        <w:rPr>
          <w:rFonts w:eastAsia="宋体"/>
          <w:b/>
          <w:bCs w:val="0"/>
          <w:sz w:val="28"/>
          <w:szCs w:val="28"/>
        </w:rPr>
        <w:t>.1.1</w:t>
      </w:r>
      <w:r>
        <w:rPr>
          <w:rFonts w:eastAsia="宋体" w:hAnsi="宋体"/>
          <w:b/>
          <w:bCs w:val="0"/>
          <w:sz w:val="28"/>
          <w:szCs w:val="28"/>
        </w:rPr>
        <w:t>委托书</w:t>
      </w:r>
      <w:bookmarkEnd w:id="51"/>
      <w:bookmarkEnd w:id="52"/>
      <w:bookmarkEnd w:id="53"/>
      <w:bookmarkEnd w:id="54"/>
    </w:p>
    <w:p w:rsidR="00C223F5" w:rsidRDefault="005860D5">
      <w:pPr>
        <w:spacing w:line="360" w:lineRule="auto"/>
        <w:ind w:firstLineChars="200" w:firstLine="480"/>
        <w:rPr>
          <w:sz w:val="24"/>
        </w:rPr>
      </w:pPr>
      <w:r>
        <w:rPr>
          <w:rFonts w:hAnsi="宋体" w:hint="eastAsia"/>
          <w:snapToGrid w:val="0"/>
          <w:kern w:val="0"/>
          <w:sz w:val="24"/>
        </w:rPr>
        <w:t>天云煤矿</w:t>
      </w:r>
      <w:r>
        <w:rPr>
          <w:rFonts w:hint="eastAsia"/>
          <w:sz w:val="24"/>
        </w:rPr>
        <w:t>关于本项目的委托书</w:t>
      </w:r>
      <w:r>
        <w:rPr>
          <w:sz w:val="24"/>
        </w:rPr>
        <w:t>，</w:t>
      </w:r>
      <w:r>
        <w:rPr>
          <w:sz w:val="24"/>
        </w:rPr>
        <w:t>20</w:t>
      </w:r>
      <w:r>
        <w:rPr>
          <w:rFonts w:hint="eastAsia"/>
          <w:sz w:val="24"/>
        </w:rPr>
        <w:t>18</w:t>
      </w:r>
      <w:r>
        <w:rPr>
          <w:rFonts w:hint="eastAsia"/>
          <w:sz w:val="24"/>
        </w:rPr>
        <w:t>年</w:t>
      </w:r>
      <w:r>
        <w:rPr>
          <w:rFonts w:hint="eastAsia"/>
          <w:sz w:val="24"/>
        </w:rPr>
        <w:t>11</w:t>
      </w:r>
      <w:r>
        <w:rPr>
          <w:rFonts w:hint="eastAsia"/>
          <w:sz w:val="24"/>
        </w:rPr>
        <w:t>月</w:t>
      </w:r>
      <w:r>
        <w:rPr>
          <w:sz w:val="24"/>
        </w:rPr>
        <w:t>。</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55" w:name="_Toc525762738"/>
      <w:bookmarkStart w:id="56" w:name="_Toc527493473"/>
      <w:bookmarkStart w:id="57" w:name="_Toc16785225"/>
      <w:bookmarkStart w:id="58" w:name="_Toc533604264"/>
      <w:bookmarkStart w:id="59" w:name="_Toc216254897"/>
      <w:bookmarkStart w:id="60" w:name="_Toc533604684"/>
      <w:r>
        <w:rPr>
          <w:rFonts w:eastAsia="宋体" w:hint="eastAsia"/>
          <w:b/>
          <w:bCs w:val="0"/>
          <w:sz w:val="28"/>
          <w:szCs w:val="28"/>
        </w:rPr>
        <w:t>1</w:t>
      </w:r>
      <w:r>
        <w:rPr>
          <w:rFonts w:eastAsia="宋体"/>
          <w:b/>
          <w:bCs w:val="0"/>
          <w:sz w:val="28"/>
          <w:szCs w:val="28"/>
        </w:rPr>
        <w:t>.1.2</w:t>
      </w:r>
      <w:r>
        <w:rPr>
          <w:rFonts w:eastAsia="宋体"/>
          <w:b/>
          <w:bCs w:val="0"/>
          <w:sz w:val="28"/>
          <w:szCs w:val="28"/>
        </w:rPr>
        <w:t>国家有关法规、规划</w:t>
      </w:r>
      <w:bookmarkEnd w:id="55"/>
      <w:bookmarkEnd w:id="56"/>
      <w:bookmarkEnd w:id="57"/>
    </w:p>
    <w:p w:rsidR="00C223F5" w:rsidRDefault="005860D5" w:rsidP="00C006A7">
      <w:pPr>
        <w:pStyle w:val="BG"/>
        <w:ind w:firstLine="480"/>
      </w:pPr>
      <w:r>
        <w:rPr>
          <w:rFonts w:hint="eastAsia"/>
        </w:rPr>
        <w:t>（一）国家法律</w:t>
      </w:r>
    </w:p>
    <w:p w:rsidR="00C223F5" w:rsidRPr="00925B84" w:rsidRDefault="005860D5" w:rsidP="006B2BD5">
      <w:pPr>
        <w:numPr>
          <w:ilvl w:val="0"/>
          <w:numId w:val="2"/>
        </w:numPr>
        <w:snapToGrid w:val="0"/>
        <w:spacing w:line="360" w:lineRule="auto"/>
        <w:ind w:firstLineChars="200" w:firstLine="480"/>
        <w:rPr>
          <w:sz w:val="24"/>
        </w:rPr>
      </w:pPr>
      <w:r>
        <w:rPr>
          <w:sz w:val="24"/>
        </w:rPr>
        <w:t>《中华人民共和国环</w:t>
      </w:r>
      <w:r w:rsidRPr="00925B84">
        <w:rPr>
          <w:sz w:val="24"/>
        </w:rPr>
        <w:t>境保护法》，</w:t>
      </w:r>
      <w:r w:rsidRPr="00925B84">
        <w:rPr>
          <w:sz w:val="24"/>
        </w:rPr>
        <w:t>2015.1.1</w:t>
      </w:r>
      <w:r w:rsidRPr="00925B84">
        <w:rPr>
          <w:rFonts w:hint="eastAsia"/>
          <w:sz w:val="24"/>
        </w:rPr>
        <w:t>修订</w:t>
      </w:r>
      <w:r w:rsidRPr="00925B84">
        <w:rPr>
          <w:sz w:val="24"/>
        </w:rPr>
        <w:t>实施；</w:t>
      </w:r>
    </w:p>
    <w:p w:rsidR="00C223F5" w:rsidRPr="00925B84" w:rsidRDefault="005860D5" w:rsidP="006B2BD5">
      <w:pPr>
        <w:numPr>
          <w:ilvl w:val="0"/>
          <w:numId w:val="2"/>
        </w:numPr>
        <w:snapToGrid w:val="0"/>
        <w:spacing w:line="360" w:lineRule="auto"/>
        <w:ind w:firstLineChars="200" w:firstLine="480"/>
        <w:rPr>
          <w:sz w:val="24"/>
        </w:rPr>
      </w:pPr>
      <w:r w:rsidRPr="00925B84">
        <w:rPr>
          <w:sz w:val="24"/>
        </w:rPr>
        <w:t>《中华人民共和国环境影响评价法》，</w:t>
      </w:r>
      <w:r w:rsidRPr="00925B84">
        <w:rPr>
          <w:rFonts w:hint="eastAsia"/>
          <w:sz w:val="24"/>
        </w:rPr>
        <w:t>2018.12.29</w:t>
      </w:r>
      <w:r w:rsidRPr="00925B84">
        <w:rPr>
          <w:rFonts w:hint="eastAsia"/>
          <w:sz w:val="24"/>
        </w:rPr>
        <w:t>修订</w:t>
      </w:r>
      <w:r w:rsidRPr="00925B84">
        <w:rPr>
          <w:sz w:val="24"/>
        </w:rPr>
        <w:t>实施；</w:t>
      </w:r>
    </w:p>
    <w:p w:rsidR="00C223F5" w:rsidRPr="00925B84" w:rsidRDefault="005860D5" w:rsidP="006B2BD5">
      <w:pPr>
        <w:numPr>
          <w:ilvl w:val="0"/>
          <w:numId w:val="2"/>
        </w:numPr>
        <w:snapToGrid w:val="0"/>
        <w:spacing w:line="360" w:lineRule="auto"/>
        <w:ind w:firstLineChars="200" w:firstLine="480"/>
        <w:rPr>
          <w:sz w:val="24"/>
        </w:rPr>
      </w:pPr>
      <w:r w:rsidRPr="00925B84">
        <w:rPr>
          <w:sz w:val="24"/>
        </w:rPr>
        <w:t>《中华人民共和国环境噪声污染防治法》，</w:t>
      </w:r>
      <w:r w:rsidRPr="00925B84">
        <w:rPr>
          <w:rFonts w:hint="eastAsia"/>
          <w:sz w:val="24"/>
        </w:rPr>
        <w:t>2018.12.29</w:t>
      </w:r>
      <w:r w:rsidRPr="00925B84">
        <w:rPr>
          <w:rFonts w:hint="eastAsia"/>
          <w:sz w:val="24"/>
        </w:rPr>
        <w:t>修订</w:t>
      </w:r>
      <w:r w:rsidRPr="00925B84">
        <w:rPr>
          <w:sz w:val="24"/>
        </w:rPr>
        <w:t>实施；</w:t>
      </w:r>
    </w:p>
    <w:p w:rsidR="00C223F5" w:rsidRPr="00925B84" w:rsidRDefault="005860D5" w:rsidP="006B2BD5">
      <w:pPr>
        <w:numPr>
          <w:ilvl w:val="0"/>
          <w:numId w:val="2"/>
        </w:numPr>
        <w:snapToGrid w:val="0"/>
        <w:spacing w:line="360" w:lineRule="auto"/>
        <w:ind w:firstLineChars="200" w:firstLine="480"/>
        <w:rPr>
          <w:sz w:val="24"/>
        </w:rPr>
      </w:pPr>
      <w:r w:rsidRPr="00925B84">
        <w:rPr>
          <w:sz w:val="24"/>
        </w:rPr>
        <w:t>《中华人民共和国大气污染防治法》，</w:t>
      </w:r>
      <w:r w:rsidRPr="00925B84">
        <w:rPr>
          <w:sz w:val="24"/>
        </w:rPr>
        <w:t>20</w:t>
      </w:r>
      <w:r w:rsidRPr="00925B84">
        <w:rPr>
          <w:rFonts w:hint="eastAsia"/>
          <w:sz w:val="24"/>
        </w:rPr>
        <w:t>16</w:t>
      </w:r>
      <w:r w:rsidRPr="00925B84">
        <w:rPr>
          <w:sz w:val="24"/>
        </w:rPr>
        <w:t>.</w:t>
      </w:r>
      <w:r w:rsidRPr="00925B84">
        <w:rPr>
          <w:rFonts w:hint="eastAsia"/>
          <w:sz w:val="24"/>
        </w:rPr>
        <w:t>1</w:t>
      </w:r>
      <w:r w:rsidRPr="00925B84">
        <w:rPr>
          <w:sz w:val="24"/>
        </w:rPr>
        <w:t>.1</w:t>
      </w:r>
      <w:r w:rsidRPr="00925B84">
        <w:rPr>
          <w:rFonts w:hint="eastAsia"/>
          <w:sz w:val="24"/>
        </w:rPr>
        <w:t>修订</w:t>
      </w:r>
      <w:r w:rsidRPr="00925B84">
        <w:rPr>
          <w:sz w:val="24"/>
        </w:rPr>
        <w:t>实施；</w:t>
      </w:r>
    </w:p>
    <w:p w:rsidR="00C223F5" w:rsidRPr="00925B84" w:rsidRDefault="005860D5" w:rsidP="006B2BD5">
      <w:pPr>
        <w:numPr>
          <w:ilvl w:val="0"/>
          <w:numId w:val="2"/>
        </w:numPr>
        <w:snapToGrid w:val="0"/>
        <w:spacing w:line="360" w:lineRule="auto"/>
        <w:ind w:firstLineChars="200" w:firstLine="480"/>
        <w:rPr>
          <w:sz w:val="24"/>
        </w:rPr>
      </w:pPr>
      <w:r w:rsidRPr="00925B84">
        <w:rPr>
          <w:sz w:val="24"/>
        </w:rPr>
        <w:t>《中华人民共和国野生动物保护法》，</w:t>
      </w:r>
      <w:r w:rsidRPr="00925B84">
        <w:rPr>
          <w:sz w:val="24"/>
        </w:rPr>
        <w:t>2004.8.28</w:t>
      </w:r>
      <w:r w:rsidRPr="00925B84">
        <w:rPr>
          <w:sz w:val="24"/>
        </w:rPr>
        <w:t>实施；</w:t>
      </w:r>
    </w:p>
    <w:p w:rsidR="00C223F5" w:rsidRPr="00925B84" w:rsidRDefault="005860D5" w:rsidP="006B2BD5">
      <w:pPr>
        <w:numPr>
          <w:ilvl w:val="0"/>
          <w:numId w:val="2"/>
        </w:numPr>
        <w:snapToGrid w:val="0"/>
        <w:spacing w:line="360" w:lineRule="auto"/>
        <w:ind w:firstLineChars="200" w:firstLine="480"/>
        <w:rPr>
          <w:sz w:val="24"/>
        </w:rPr>
      </w:pPr>
      <w:r w:rsidRPr="00925B84">
        <w:rPr>
          <w:sz w:val="24"/>
        </w:rPr>
        <w:t>《中华人民共和国固体废物污染防治法》</w:t>
      </w:r>
      <w:r w:rsidRPr="00925B84">
        <w:rPr>
          <w:rFonts w:hint="eastAsia"/>
          <w:sz w:val="24"/>
        </w:rPr>
        <w:t>，</w:t>
      </w:r>
      <w:r w:rsidRPr="00925B84">
        <w:rPr>
          <w:sz w:val="24"/>
        </w:rPr>
        <w:t>201</w:t>
      </w:r>
      <w:r w:rsidRPr="00925B84">
        <w:rPr>
          <w:rFonts w:hint="eastAsia"/>
          <w:sz w:val="24"/>
        </w:rPr>
        <w:t>6.11.7</w:t>
      </w:r>
      <w:r w:rsidRPr="00925B84">
        <w:rPr>
          <w:rFonts w:hint="eastAsia"/>
          <w:sz w:val="24"/>
        </w:rPr>
        <w:t>修订</w:t>
      </w:r>
      <w:r w:rsidRPr="00925B84">
        <w:rPr>
          <w:sz w:val="24"/>
        </w:rPr>
        <w:t>实施；</w:t>
      </w:r>
    </w:p>
    <w:p w:rsidR="00C223F5" w:rsidRPr="00925B84" w:rsidRDefault="005860D5" w:rsidP="006B2BD5">
      <w:pPr>
        <w:numPr>
          <w:ilvl w:val="0"/>
          <w:numId w:val="2"/>
        </w:numPr>
        <w:snapToGrid w:val="0"/>
        <w:spacing w:line="360" w:lineRule="auto"/>
        <w:ind w:firstLineChars="200" w:firstLine="480"/>
        <w:rPr>
          <w:sz w:val="24"/>
        </w:rPr>
      </w:pPr>
      <w:r w:rsidRPr="00925B84">
        <w:rPr>
          <w:sz w:val="24"/>
        </w:rPr>
        <w:t>《中华人民共和国水污染防治法》，</w:t>
      </w:r>
      <w:r w:rsidRPr="00925B84">
        <w:rPr>
          <w:sz w:val="24"/>
        </w:rPr>
        <w:t xml:space="preserve"> 20</w:t>
      </w:r>
      <w:r w:rsidRPr="00925B84">
        <w:rPr>
          <w:rFonts w:hint="eastAsia"/>
          <w:sz w:val="24"/>
        </w:rPr>
        <w:t>1</w:t>
      </w:r>
      <w:r w:rsidRPr="00925B84">
        <w:rPr>
          <w:sz w:val="24"/>
        </w:rPr>
        <w:t>8.</w:t>
      </w:r>
      <w:r w:rsidRPr="00925B84">
        <w:rPr>
          <w:rFonts w:hint="eastAsia"/>
          <w:sz w:val="24"/>
        </w:rPr>
        <w:t>1</w:t>
      </w:r>
      <w:r w:rsidRPr="00925B84">
        <w:rPr>
          <w:sz w:val="24"/>
        </w:rPr>
        <w:t>.1</w:t>
      </w:r>
      <w:r w:rsidRPr="00925B84">
        <w:rPr>
          <w:rFonts w:hint="eastAsia"/>
          <w:sz w:val="24"/>
        </w:rPr>
        <w:t>修订</w:t>
      </w:r>
      <w:r w:rsidRPr="00925B84">
        <w:rPr>
          <w:sz w:val="24"/>
        </w:rPr>
        <w:t>实施；</w:t>
      </w:r>
    </w:p>
    <w:p w:rsidR="00C223F5" w:rsidRPr="00925B84" w:rsidRDefault="005860D5" w:rsidP="006B2BD5">
      <w:pPr>
        <w:numPr>
          <w:ilvl w:val="0"/>
          <w:numId w:val="2"/>
        </w:numPr>
        <w:snapToGrid w:val="0"/>
        <w:spacing w:line="360" w:lineRule="auto"/>
        <w:ind w:firstLineChars="200" w:firstLine="480"/>
        <w:rPr>
          <w:sz w:val="24"/>
        </w:rPr>
      </w:pPr>
      <w:r w:rsidRPr="00925B84">
        <w:rPr>
          <w:sz w:val="24"/>
        </w:rPr>
        <w:t>《中华人民共和国循环经济促进法》，</w:t>
      </w:r>
      <w:r w:rsidRPr="00925B84">
        <w:rPr>
          <w:sz w:val="24"/>
        </w:rPr>
        <w:t>2009.1.1</w:t>
      </w:r>
      <w:r w:rsidRPr="00925B84">
        <w:rPr>
          <w:sz w:val="24"/>
        </w:rPr>
        <w:t>实施；</w:t>
      </w:r>
    </w:p>
    <w:p w:rsidR="00C223F5" w:rsidRPr="00925B84" w:rsidRDefault="005860D5" w:rsidP="006B2BD5">
      <w:pPr>
        <w:numPr>
          <w:ilvl w:val="0"/>
          <w:numId w:val="2"/>
        </w:numPr>
        <w:snapToGrid w:val="0"/>
        <w:spacing w:line="360" w:lineRule="auto"/>
        <w:ind w:firstLineChars="200" w:firstLine="480"/>
        <w:rPr>
          <w:sz w:val="24"/>
        </w:rPr>
      </w:pPr>
      <w:r w:rsidRPr="00925B84">
        <w:rPr>
          <w:sz w:val="24"/>
        </w:rPr>
        <w:t>《中华人民共和国煤炭法》，</w:t>
      </w:r>
      <w:r w:rsidRPr="00925B84">
        <w:rPr>
          <w:sz w:val="24"/>
        </w:rPr>
        <w:t>201</w:t>
      </w:r>
      <w:r w:rsidRPr="00925B84">
        <w:rPr>
          <w:rFonts w:hint="eastAsia"/>
          <w:sz w:val="24"/>
        </w:rPr>
        <w:t>6</w:t>
      </w:r>
      <w:r w:rsidRPr="00925B84">
        <w:rPr>
          <w:sz w:val="24"/>
        </w:rPr>
        <w:t>.</w:t>
      </w:r>
      <w:r w:rsidRPr="00925B84">
        <w:rPr>
          <w:rFonts w:hint="eastAsia"/>
          <w:sz w:val="24"/>
        </w:rPr>
        <w:t>11</w:t>
      </w:r>
      <w:r w:rsidRPr="00925B84">
        <w:rPr>
          <w:sz w:val="24"/>
        </w:rPr>
        <w:t>.</w:t>
      </w:r>
      <w:r w:rsidRPr="00925B84">
        <w:rPr>
          <w:rFonts w:hint="eastAsia"/>
          <w:sz w:val="24"/>
        </w:rPr>
        <w:t>7</w:t>
      </w:r>
      <w:r w:rsidRPr="00925B84">
        <w:rPr>
          <w:rFonts w:hint="eastAsia"/>
          <w:sz w:val="24"/>
        </w:rPr>
        <w:t>修订</w:t>
      </w:r>
      <w:r w:rsidRPr="00925B84">
        <w:rPr>
          <w:sz w:val="24"/>
        </w:rPr>
        <w:t>实施；</w:t>
      </w:r>
    </w:p>
    <w:p w:rsidR="00C223F5" w:rsidRPr="00925B84" w:rsidRDefault="005860D5" w:rsidP="006B2BD5">
      <w:pPr>
        <w:numPr>
          <w:ilvl w:val="0"/>
          <w:numId w:val="2"/>
        </w:numPr>
        <w:snapToGrid w:val="0"/>
        <w:spacing w:line="360" w:lineRule="auto"/>
        <w:ind w:firstLineChars="200" w:firstLine="480"/>
        <w:rPr>
          <w:sz w:val="24"/>
        </w:rPr>
      </w:pPr>
      <w:r w:rsidRPr="00925B84">
        <w:rPr>
          <w:sz w:val="24"/>
        </w:rPr>
        <w:t>《中华人民共和国清洁生产促进法》，</w:t>
      </w:r>
      <w:r w:rsidRPr="00925B84">
        <w:rPr>
          <w:sz w:val="24"/>
        </w:rPr>
        <w:t>2012.7.1</w:t>
      </w:r>
      <w:r w:rsidRPr="00925B84">
        <w:rPr>
          <w:rFonts w:hint="eastAsia"/>
          <w:sz w:val="24"/>
        </w:rPr>
        <w:t>修订</w:t>
      </w:r>
      <w:r w:rsidRPr="00925B84">
        <w:rPr>
          <w:sz w:val="24"/>
        </w:rPr>
        <w:t>实施</w:t>
      </w:r>
      <w:r w:rsidRPr="00925B84">
        <w:rPr>
          <w:rFonts w:hint="eastAsia"/>
          <w:sz w:val="24"/>
        </w:rPr>
        <w:t>；</w:t>
      </w:r>
    </w:p>
    <w:p w:rsidR="00C223F5" w:rsidRPr="00925B84" w:rsidRDefault="005860D5" w:rsidP="006B2BD5">
      <w:pPr>
        <w:numPr>
          <w:ilvl w:val="0"/>
          <w:numId w:val="2"/>
        </w:numPr>
        <w:snapToGrid w:val="0"/>
        <w:spacing w:line="360" w:lineRule="auto"/>
        <w:ind w:firstLineChars="200" w:firstLine="480"/>
        <w:rPr>
          <w:sz w:val="24"/>
        </w:rPr>
      </w:pPr>
      <w:r w:rsidRPr="00925B84">
        <w:rPr>
          <w:sz w:val="24"/>
        </w:rPr>
        <w:t>《中华人民共和国土地管理法》，</w:t>
      </w:r>
      <w:r w:rsidRPr="00925B84">
        <w:rPr>
          <w:sz w:val="24"/>
        </w:rPr>
        <w:t>2004.8.28</w:t>
      </w:r>
      <w:r w:rsidRPr="00925B84">
        <w:rPr>
          <w:sz w:val="24"/>
        </w:rPr>
        <w:t>修订实施；</w:t>
      </w:r>
    </w:p>
    <w:p w:rsidR="00C223F5" w:rsidRPr="00925B84" w:rsidRDefault="005860D5" w:rsidP="006B2BD5">
      <w:pPr>
        <w:numPr>
          <w:ilvl w:val="0"/>
          <w:numId w:val="2"/>
        </w:numPr>
        <w:snapToGrid w:val="0"/>
        <w:spacing w:line="360" w:lineRule="auto"/>
        <w:ind w:firstLineChars="200" w:firstLine="480"/>
        <w:rPr>
          <w:sz w:val="24"/>
        </w:rPr>
      </w:pPr>
      <w:r w:rsidRPr="00925B84">
        <w:rPr>
          <w:sz w:val="24"/>
        </w:rPr>
        <w:t>《</w:t>
      </w:r>
      <w:r w:rsidRPr="00925B84">
        <w:rPr>
          <w:rFonts w:hint="eastAsia"/>
          <w:sz w:val="24"/>
        </w:rPr>
        <w:t>中华人民共和国环境保护税法</w:t>
      </w:r>
      <w:r w:rsidRPr="00925B84">
        <w:rPr>
          <w:sz w:val="24"/>
        </w:rPr>
        <w:t>》，</w:t>
      </w:r>
      <w:r w:rsidRPr="00925B84">
        <w:rPr>
          <w:rFonts w:hint="eastAsia"/>
          <w:sz w:val="24"/>
        </w:rPr>
        <w:t>2018</w:t>
      </w:r>
      <w:r w:rsidRPr="00925B84">
        <w:rPr>
          <w:sz w:val="24"/>
        </w:rPr>
        <w:t>.</w:t>
      </w:r>
      <w:r w:rsidRPr="00925B84">
        <w:rPr>
          <w:rFonts w:hint="eastAsia"/>
          <w:sz w:val="24"/>
        </w:rPr>
        <w:t>1</w:t>
      </w:r>
      <w:r w:rsidRPr="00925B84">
        <w:rPr>
          <w:sz w:val="24"/>
        </w:rPr>
        <w:t>.1</w:t>
      </w:r>
      <w:r w:rsidRPr="00925B84">
        <w:rPr>
          <w:sz w:val="24"/>
        </w:rPr>
        <w:t>实施</w:t>
      </w:r>
      <w:r w:rsidRPr="00925B84">
        <w:rPr>
          <w:rFonts w:hint="eastAsia"/>
          <w:sz w:val="24"/>
        </w:rPr>
        <w:t>。</w:t>
      </w:r>
    </w:p>
    <w:p w:rsidR="00C223F5" w:rsidRPr="00925B84" w:rsidRDefault="005860D5" w:rsidP="00C006A7">
      <w:pPr>
        <w:pStyle w:val="BG"/>
        <w:ind w:firstLine="480"/>
      </w:pPr>
      <w:r w:rsidRPr="00925B84">
        <w:rPr>
          <w:rFonts w:hint="eastAsia"/>
        </w:rPr>
        <w:t>（二）国务院行政法规</w:t>
      </w:r>
    </w:p>
    <w:p w:rsidR="00C223F5" w:rsidRDefault="005860D5" w:rsidP="006B2BD5">
      <w:pPr>
        <w:numPr>
          <w:ilvl w:val="0"/>
          <w:numId w:val="3"/>
        </w:numPr>
        <w:spacing w:line="360" w:lineRule="auto"/>
        <w:ind w:firstLineChars="200" w:firstLine="480"/>
        <w:rPr>
          <w:sz w:val="24"/>
        </w:rPr>
      </w:pPr>
      <w:r>
        <w:rPr>
          <w:sz w:val="24"/>
        </w:rPr>
        <w:t>《河道管理条例》，国务院令第</w:t>
      </w:r>
      <w:r>
        <w:rPr>
          <w:sz w:val="24"/>
        </w:rPr>
        <w:t>3</w:t>
      </w:r>
      <w:r>
        <w:rPr>
          <w:sz w:val="24"/>
        </w:rPr>
        <w:t>号，</w:t>
      </w:r>
      <w:r>
        <w:rPr>
          <w:sz w:val="24"/>
        </w:rPr>
        <w:t>1988.6.10</w:t>
      </w:r>
      <w:r>
        <w:rPr>
          <w:sz w:val="24"/>
        </w:rPr>
        <w:t>实施；</w:t>
      </w:r>
    </w:p>
    <w:p w:rsidR="00C223F5" w:rsidRDefault="005860D5" w:rsidP="006B2BD5">
      <w:pPr>
        <w:numPr>
          <w:ilvl w:val="0"/>
          <w:numId w:val="3"/>
        </w:numPr>
        <w:spacing w:line="360" w:lineRule="auto"/>
        <w:ind w:firstLineChars="200" w:firstLine="480"/>
        <w:rPr>
          <w:sz w:val="24"/>
        </w:rPr>
      </w:pPr>
      <w:r>
        <w:rPr>
          <w:sz w:val="24"/>
        </w:rPr>
        <w:t>《建设项目环境保护管理条例》，国务院</w:t>
      </w:r>
      <w:r>
        <w:rPr>
          <w:rFonts w:hint="eastAsia"/>
          <w:sz w:val="24"/>
        </w:rPr>
        <w:t>682</w:t>
      </w:r>
      <w:r>
        <w:rPr>
          <w:sz w:val="24"/>
        </w:rPr>
        <w:t>号令，</w:t>
      </w:r>
      <w:r>
        <w:rPr>
          <w:rFonts w:hint="eastAsia"/>
          <w:sz w:val="24"/>
        </w:rPr>
        <w:t>2017.10.1</w:t>
      </w:r>
      <w:r>
        <w:rPr>
          <w:rFonts w:hint="eastAsia"/>
          <w:sz w:val="24"/>
        </w:rPr>
        <w:t>实施</w:t>
      </w:r>
      <w:r>
        <w:rPr>
          <w:sz w:val="24"/>
        </w:rPr>
        <w:t>；</w:t>
      </w:r>
    </w:p>
    <w:p w:rsidR="00C223F5" w:rsidRDefault="005860D5" w:rsidP="006B2BD5">
      <w:pPr>
        <w:numPr>
          <w:ilvl w:val="0"/>
          <w:numId w:val="3"/>
        </w:numPr>
        <w:spacing w:line="360" w:lineRule="auto"/>
        <w:ind w:firstLineChars="200" w:firstLine="480"/>
        <w:rPr>
          <w:sz w:val="24"/>
        </w:rPr>
      </w:pPr>
      <w:r>
        <w:rPr>
          <w:sz w:val="24"/>
        </w:rPr>
        <w:t>《电力设施保护条例》，国务院令第</w:t>
      </w:r>
      <w:r>
        <w:rPr>
          <w:sz w:val="24"/>
        </w:rPr>
        <w:t>239</w:t>
      </w:r>
      <w:r>
        <w:rPr>
          <w:sz w:val="24"/>
        </w:rPr>
        <w:t>号，</w:t>
      </w:r>
      <w:r>
        <w:rPr>
          <w:sz w:val="24"/>
        </w:rPr>
        <w:t>1998.1.7</w:t>
      </w:r>
      <w:r>
        <w:rPr>
          <w:sz w:val="24"/>
        </w:rPr>
        <w:t>修订实施</w:t>
      </w:r>
      <w:r>
        <w:rPr>
          <w:rFonts w:hint="eastAsia"/>
          <w:sz w:val="24"/>
        </w:rPr>
        <w:t>；</w:t>
      </w:r>
    </w:p>
    <w:p w:rsidR="00C223F5" w:rsidRDefault="005860D5" w:rsidP="006B2BD5">
      <w:pPr>
        <w:numPr>
          <w:ilvl w:val="0"/>
          <w:numId w:val="3"/>
        </w:numPr>
        <w:spacing w:line="360" w:lineRule="auto"/>
        <w:ind w:firstLineChars="200" w:firstLine="480"/>
        <w:rPr>
          <w:sz w:val="24"/>
        </w:rPr>
      </w:pPr>
      <w:r>
        <w:rPr>
          <w:sz w:val="24"/>
        </w:rPr>
        <w:t>《土地复垦条例》，国务院</w:t>
      </w:r>
      <w:r>
        <w:rPr>
          <w:sz w:val="24"/>
        </w:rPr>
        <w:t>592</w:t>
      </w:r>
      <w:r>
        <w:rPr>
          <w:sz w:val="24"/>
        </w:rPr>
        <w:t>号令</w:t>
      </w:r>
      <w:r>
        <w:rPr>
          <w:rFonts w:hint="eastAsia"/>
          <w:sz w:val="24"/>
        </w:rPr>
        <w:t>，</w:t>
      </w:r>
      <w:r>
        <w:rPr>
          <w:sz w:val="24"/>
        </w:rPr>
        <w:t>2011.3.5</w:t>
      </w:r>
      <w:r>
        <w:rPr>
          <w:sz w:val="24"/>
        </w:rPr>
        <w:t>实施</w:t>
      </w:r>
      <w:r>
        <w:rPr>
          <w:rFonts w:hint="eastAsia"/>
          <w:sz w:val="24"/>
        </w:rPr>
        <w:t>；</w:t>
      </w:r>
    </w:p>
    <w:p w:rsidR="00C223F5" w:rsidRDefault="005860D5" w:rsidP="006B2BD5">
      <w:pPr>
        <w:numPr>
          <w:ilvl w:val="0"/>
          <w:numId w:val="3"/>
        </w:numPr>
        <w:spacing w:line="360" w:lineRule="auto"/>
        <w:ind w:firstLineChars="200" w:firstLine="480"/>
        <w:rPr>
          <w:sz w:val="24"/>
        </w:rPr>
      </w:pPr>
      <w:r>
        <w:rPr>
          <w:sz w:val="24"/>
        </w:rPr>
        <w:t>《公路安全保护条例》，国务院令第</w:t>
      </w:r>
      <w:r>
        <w:rPr>
          <w:sz w:val="24"/>
        </w:rPr>
        <w:t>593</w:t>
      </w:r>
      <w:r>
        <w:rPr>
          <w:sz w:val="24"/>
        </w:rPr>
        <w:t>号，</w:t>
      </w:r>
      <w:r>
        <w:rPr>
          <w:sz w:val="24"/>
        </w:rPr>
        <w:t>2011.7.1</w:t>
      </w:r>
      <w:r>
        <w:rPr>
          <w:sz w:val="24"/>
        </w:rPr>
        <w:t>实施</w:t>
      </w:r>
      <w:r>
        <w:rPr>
          <w:rFonts w:hint="eastAsia"/>
          <w:sz w:val="24"/>
        </w:rPr>
        <w:t>；</w:t>
      </w:r>
    </w:p>
    <w:p w:rsidR="00C223F5" w:rsidRDefault="005860D5" w:rsidP="006B2BD5">
      <w:pPr>
        <w:numPr>
          <w:ilvl w:val="0"/>
          <w:numId w:val="3"/>
        </w:numPr>
        <w:spacing w:line="360" w:lineRule="auto"/>
        <w:ind w:firstLineChars="200" w:firstLine="480"/>
        <w:rPr>
          <w:sz w:val="24"/>
        </w:rPr>
      </w:pPr>
      <w:r>
        <w:rPr>
          <w:rFonts w:hint="eastAsia"/>
          <w:sz w:val="24"/>
        </w:rPr>
        <w:t>《基本农田保护条例》，国务院令第</w:t>
      </w:r>
      <w:r>
        <w:rPr>
          <w:rFonts w:hint="eastAsia"/>
          <w:sz w:val="24"/>
        </w:rPr>
        <w:t>257</w:t>
      </w:r>
      <w:r>
        <w:rPr>
          <w:rFonts w:hint="eastAsia"/>
          <w:sz w:val="24"/>
        </w:rPr>
        <w:t>号，</w:t>
      </w:r>
      <w:r>
        <w:rPr>
          <w:rFonts w:hint="eastAsia"/>
          <w:sz w:val="24"/>
        </w:rPr>
        <w:t>1999.1.1</w:t>
      </w:r>
      <w:r>
        <w:rPr>
          <w:rFonts w:hint="eastAsia"/>
          <w:sz w:val="24"/>
        </w:rPr>
        <w:t>。</w:t>
      </w:r>
    </w:p>
    <w:p w:rsidR="00C223F5" w:rsidRDefault="005860D5" w:rsidP="00C006A7">
      <w:pPr>
        <w:pStyle w:val="BG"/>
        <w:ind w:firstLine="480"/>
      </w:pPr>
      <w:r>
        <w:rPr>
          <w:rFonts w:hint="eastAsia"/>
        </w:rPr>
        <w:t>（三）国务院各部委规范性文件</w:t>
      </w:r>
    </w:p>
    <w:p w:rsidR="00C223F5" w:rsidRDefault="005860D5" w:rsidP="006B2BD5">
      <w:pPr>
        <w:numPr>
          <w:ilvl w:val="0"/>
          <w:numId w:val="4"/>
        </w:numPr>
        <w:spacing w:line="360" w:lineRule="auto"/>
        <w:ind w:firstLineChars="200" w:firstLine="480"/>
        <w:rPr>
          <w:sz w:val="24"/>
        </w:rPr>
      </w:pPr>
      <w:r>
        <w:rPr>
          <w:rFonts w:hint="eastAsia"/>
          <w:sz w:val="24"/>
        </w:rPr>
        <w:t>《</w:t>
      </w:r>
      <w:r>
        <w:rPr>
          <w:sz w:val="24"/>
        </w:rPr>
        <w:t>建设项目环境影响评价文件分级审批规定</w:t>
      </w:r>
      <w:r>
        <w:rPr>
          <w:rFonts w:hint="eastAsia"/>
          <w:sz w:val="24"/>
        </w:rPr>
        <w:t>》</w:t>
      </w:r>
      <w:r>
        <w:rPr>
          <w:sz w:val="24"/>
        </w:rPr>
        <w:t>，环境保护部令第</w:t>
      </w:r>
      <w:r>
        <w:rPr>
          <w:sz w:val="24"/>
        </w:rPr>
        <w:t>5</w:t>
      </w:r>
      <w:r>
        <w:rPr>
          <w:sz w:val="24"/>
        </w:rPr>
        <w:t>号，</w:t>
      </w:r>
      <w:r>
        <w:rPr>
          <w:sz w:val="24"/>
        </w:rPr>
        <w:t>2009.1</w:t>
      </w:r>
      <w:r>
        <w:rPr>
          <w:sz w:val="24"/>
        </w:rPr>
        <w:t>；</w:t>
      </w:r>
    </w:p>
    <w:p w:rsidR="00C223F5" w:rsidRDefault="005860D5" w:rsidP="006B2BD5">
      <w:pPr>
        <w:numPr>
          <w:ilvl w:val="0"/>
          <w:numId w:val="4"/>
        </w:numPr>
        <w:spacing w:line="360" w:lineRule="auto"/>
        <w:ind w:firstLineChars="200" w:firstLine="480"/>
        <w:rPr>
          <w:sz w:val="24"/>
        </w:rPr>
      </w:pPr>
      <w:r>
        <w:rPr>
          <w:sz w:val="24"/>
        </w:rPr>
        <w:t>《矿山地质环境保护规定》，国土资源部</w:t>
      </w:r>
      <w:r>
        <w:rPr>
          <w:rFonts w:hint="eastAsia"/>
          <w:sz w:val="24"/>
        </w:rPr>
        <w:t>令第</w:t>
      </w:r>
      <w:r>
        <w:rPr>
          <w:rFonts w:hint="eastAsia"/>
          <w:sz w:val="24"/>
        </w:rPr>
        <w:t>44</w:t>
      </w:r>
      <w:r>
        <w:rPr>
          <w:rFonts w:hint="eastAsia"/>
          <w:sz w:val="24"/>
        </w:rPr>
        <w:t>号</w:t>
      </w:r>
      <w:r>
        <w:rPr>
          <w:sz w:val="24"/>
        </w:rPr>
        <w:t>，</w:t>
      </w:r>
      <w:r>
        <w:rPr>
          <w:sz w:val="24"/>
        </w:rPr>
        <w:t>2009.</w:t>
      </w:r>
      <w:r>
        <w:rPr>
          <w:rFonts w:hint="eastAsia"/>
          <w:sz w:val="24"/>
        </w:rPr>
        <w:t>3.2</w:t>
      </w:r>
      <w:r>
        <w:rPr>
          <w:rFonts w:hint="eastAsia"/>
          <w:sz w:val="24"/>
        </w:rPr>
        <w:t>；</w:t>
      </w:r>
    </w:p>
    <w:p w:rsidR="00C223F5" w:rsidRDefault="005860D5" w:rsidP="006B2BD5">
      <w:pPr>
        <w:numPr>
          <w:ilvl w:val="0"/>
          <w:numId w:val="4"/>
        </w:numPr>
        <w:spacing w:line="360" w:lineRule="auto"/>
        <w:ind w:firstLineChars="200" w:firstLine="480"/>
        <w:rPr>
          <w:sz w:val="24"/>
        </w:rPr>
      </w:pPr>
      <w:r>
        <w:rPr>
          <w:sz w:val="24"/>
        </w:rPr>
        <w:lastRenderedPageBreak/>
        <w:t>《煤矸石综合利用管理办法》，国家发展与改革委员会、环境保护部等</w:t>
      </w:r>
      <w:r>
        <w:rPr>
          <w:sz w:val="24"/>
        </w:rPr>
        <w:t>10</w:t>
      </w:r>
      <w:r>
        <w:rPr>
          <w:sz w:val="24"/>
        </w:rPr>
        <w:t>部委联合令第</w:t>
      </w:r>
      <w:r>
        <w:rPr>
          <w:sz w:val="24"/>
        </w:rPr>
        <w:t>18</w:t>
      </w:r>
      <w:r>
        <w:rPr>
          <w:sz w:val="24"/>
        </w:rPr>
        <w:t>号，</w:t>
      </w:r>
      <w:r>
        <w:rPr>
          <w:sz w:val="24"/>
        </w:rPr>
        <w:t>2014.12.22</w:t>
      </w:r>
      <w:r>
        <w:rPr>
          <w:rFonts w:hint="eastAsia"/>
          <w:sz w:val="24"/>
        </w:rPr>
        <w:t>；</w:t>
      </w:r>
    </w:p>
    <w:p w:rsidR="00C223F5" w:rsidRDefault="005860D5" w:rsidP="006B2BD5">
      <w:pPr>
        <w:numPr>
          <w:ilvl w:val="0"/>
          <w:numId w:val="4"/>
        </w:numPr>
        <w:adjustRightInd w:val="0"/>
        <w:snapToGrid w:val="0"/>
        <w:spacing w:line="360" w:lineRule="auto"/>
        <w:ind w:firstLineChars="200" w:firstLine="480"/>
        <w:rPr>
          <w:sz w:val="24"/>
          <w:szCs w:val="32"/>
        </w:rPr>
      </w:pPr>
      <w:r>
        <w:rPr>
          <w:sz w:val="24"/>
        </w:rPr>
        <w:t>《产业结构调整目录（</w:t>
      </w:r>
      <w:r>
        <w:rPr>
          <w:sz w:val="24"/>
        </w:rPr>
        <w:t>2011</w:t>
      </w:r>
      <w:r>
        <w:rPr>
          <w:sz w:val="24"/>
        </w:rPr>
        <w:t>本）》（修正），国家发展与改革委员会，</w:t>
      </w:r>
      <w:r>
        <w:rPr>
          <w:sz w:val="24"/>
        </w:rPr>
        <w:t>2013.2.16</w:t>
      </w:r>
      <w:r>
        <w:rPr>
          <w:sz w:val="24"/>
        </w:rPr>
        <w:t>；</w:t>
      </w:r>
    </w:p>
    <w:p w:rsidR="00C223F5" w:rsidRDefault="005860D5" w:rsidP="006B2BD5">
      <w:pPr>
        <w:numPr>
          <w:ilvl w:val="0"/>
          <w:numId w:val="4"/>
        </w:numPr>
        <w:adjustRightInd w:val="0"/>
        <w:snapToGrid w:val="0"/>
        <w:spacing w:line="360" w:lineRule="auto"/>
        <w:ind w:firstLineChars="200" w:firstLine="480"/>
        <w:rPr>
          <w:sz w:val="24"/>
          <w:szCs w:val="32"/>
        </w:rPr>
      </w:pPr>
      <w:r>
        <w:rPr>
          <w:sz w:val="24"/>
          <w:szCs w:val="32"/>
        </w:rPr>
        <w:t>《关于落实大气污染防治行动计划严格环境影响评价准入的通知》，环境保护部办公厅，环办</w:t>
      </w:r>
      <w:r>
        <w:rPr>
          <w:sz w:val="24"/>
          <w:szCs w:val="32"/>
        </w:rPr>
        <w:t>[2014]30</w:t>
      </w:r>
      <w:r>
        <w:rPr>
          <w:sz w:val="24"/>
          <w:szCs w:val="32"/>
        </w:rPr>
        <w:t>号，</w:t>
      </w:r>
      <w:r>
        <w:rPr>
          <w:sz w:val="24"/>
          <w:szCs w:val="32"/>
        </w:rPr>
        <w:t>2014.3.25</w:t>
      </w:r>
      <w:r>
        <w:rPr>
          <w:sz w:val="24"/>
          <w:szCs w:val="32"/>
        </w:rPr>
        <w:t>；</w:t>
      </w:r>
    </w:p>
    <w:p w:rsidR="00C223F5" w:rsidRDefault="005860D5" w:rsidP="006B2BD5">
      <w:pPr>
        <w:widowControl/>
        <w:numPr>
          <w:ilvl w:val="0"/>
          <w:numId w:val="4"/>
        </w:numPr>
        <w:adjustRightInd w:val="0"/>
        <w:snapToGrid w:val="0"/>
        <w:spacing w:line="360" w:lineRule="auto"/>
        <w:ind w:firstLineChars="200" w:firstLine="480"/>
        <w:rPr>
          <w:sz w:val="24"/>
        </w:rPr>
      </w:pPr>
      <w:r>
        <w:rPr>
          <w:sz w:val="24"/>
          <w:szCs w:val="32"/>
        </w:rPr>
        <w:t>《关于加强规划环境影响评价与建设项目环境影响评价联动工作的意见》，环境保护部，环发</w:t>
      </w:r>
      <w:r>
        <w:rPr>
          <w:sz w:val="24"/>
          <w:szCs w:val="32"/>
        </w:rPr>
        <w:t>[2015]178</w:t>
      </w:r>
      <w:r>
        <w:rPr>
          <w:sz w:val="24"/>
          <w:szCs w:val="32"/>
        </w:rPr>
        <w:t>号，</w:t>
      </w:r>
      <w:r>
        <w:rPr>
          <w:sz w:val="24"/>
          <w:szCs w:val="32"/>
        </w:rPr>
        <w:t>2015.12.30</w:t>
      </w:r>
      <w:r>
        <w:rPr>
          <w:sz w:val="24"/>
          <w:szCs w:val="32"/>
        </w:rPr>
        <w:t>；</w:t>
      </w:r>
    </w:p>
    <w:p w:rsidR="00C223F5" w:rsidRDefault="005860D5" w:rsidP="006B2BD5">
      <w:pPr>
        <w:widowControl/>
        <w:numPr>
          <w:ilvl w:val="0"/>
          <w:numId w:val="4"/>
        </w:numPr>
        <w:adjustRightInd w:val="0"/>
        <w:snapToGrid w:val="0"/>
        <w:spacing w:line="360" w:lineRule="auto"/>
        <w:ind w:firstLineChars="200" w:firstLine="480"/>
        <w:rPr>
          <w:sz w:val="24"/>
          <w:szCs w:val="22"/>
        </w:rPr>
      </w:pPr>
      <w:r>
        <w:rPr>
          <w:sz w:val="24"/>
        </w:rPr>
        <w:t>《重点区域大气污染防治</w:t>
      </w:r>
      <w:r>
        <w:rPr>
          <w:rFonts w:hint="eastAsia"/>
          <w:sz w:val="24"/>
        </w:rPr>
        <w:t>“</w:t>
      </w:r>
      <w:r>
        <w:rPr>
          <w:sz w:val="24"/>
        </w:rPr>
        <w:t>十二五</w:t>
      </w:r>
      <w:r>
        <w:rPr>
          <w:rFonts w:hint="eastAsia"/>
          <w:sz w:val="24"/>
        </w:rPr>
        <w:t>”</w:t>
      </w:r>
      <w:r>
        <w:rPr>
          <w:sz w:val="24"/>
        </w:rPr>
        <w:t>规划》，环境保护部、国家发展和改革委员会、财政部，环发</w:t>
      </w:r>
      <w:r>
        <w:rPr>
          <w:rFonts w:hint="eastAsia"/>
          <w:sz w:val="24"/>
        </w:rPr>
        <w:t>[</w:t>
      </w:r>
      <w:r>
        <w:rPr>
          <w:sz w:val="24"/>
        </w:rPr>
        <w:t>2012</w:t>
      </w:r>
      <w:r>
        <w:rPr>
          <w:rFonts w:hint="eastAsia"/>
          <w:sz w:val="24"/>
        </w:rPr>
        <w:t>]</w:t>
      </w:r>
      <w:r>
        <w:rPr>
          <w:sz w:val="24"/>
        </w:rPr>
        <w:t>130</w:t>
      </w:r>
      <w:r>
        <w:rPr>
          <w:sz w:val="24"/>
        </w:rPr>
        <w:t>号，</w:t>
      </w:r>
      <w:r>
        <w:rPr>
          <w:sz w:val="24"/>
        </w:rPr>
        <w:t>2012.10.29</w:t>
      </w:r>
      <w:r>
        <w:rPr>
          <w:sz w:val="24"/>
        </w:rPr>
        <w:t>；</w:t>
      </w:r>
    </w:p>
    <w:p w:rsidR="00C223F5" w:rsidRDefault="005860D5" w:rsidP="006B2BD5">
      <w:pPr>
        <w:numPr>
          <w:ilvl w:val="0"/>
          <w:numId w:val="4"/>
        </w:numPr>
        <w:spacing w:line="360" w:lineRule="auto"/>
        <w:ind w:firstLineChars="200" w:firstLine="480"/>
        <w:rPr>
          <w:sz w:val="24"/>
        </w:rPr>
      </w:pPr>
      <w:r>
        <w:rPr>
          <w:sz w:val="24"/>
          <w:szCs w:val="22"/>
        </w:rPr>
        <w:t>《煤炭工业发展</w:t>
      </w:r>
      <w:r>
        <w:rPr>
          <w:rFonts w:hint="eastAsia"/>
          <w:sz w:val="24"/>
          <w:szCs w:val="22"/>
        </w:rPr>
        <w:t>“</w:t>
      </w:r>
      <w:r>
        <w:rPr>
          <w:sz w:val="24"/>
          <w:szCs w:val="22"/>
        </w:rPr>
        <w:t>十</w:t>
      </w:r>
      <w:r>
        <w:rPr>
          <w:rFonts w:hint="eastAsia"/>
          <w:sz w:val="24"/>
          <w:szCs w:val="22"/>
        </w:rPr>
        <w:t>三</w:t>
      </w:r>
      <w:r>
        <w:rPr>
          <w:sz w:val="24"/>
          <w:szCs w:val="22"/>
        </w:rPr>
        <w:t>五</w:t>
      </w:r>
      <w:r>
        <w:rPr>
          <w:rFonts w:hint="eastAsia"/>
          <w:sz w:val="24"/>
          <w:szCs w:val="22"/>
        </w:rPr>
        <w:t>”</w:t>
      </w:r>
      <w:r>
        <w:rPr>
          <w:sz w:val="24"/>
          <w:szCs w:val="22"/>
        </w:rPr>
        <w:t>规划》，国家发展和改革委员会，发</w:t>
      </w:r>
      <w:r>
        <w:rPr>
          <w:rFonts w:hint="eastAsia"/>
          <w:sz w:val="24"/>
          <w:szCs w:val="22"/>
        </w:rPr>
        <w:t>改能源</w:t>
      </w:r>
      <w:r>
        <w:rPr>
          <w:sz w:val="24"/>
          <w:szCs w:val="22"/>
        </w:rPr>
        <w:t>[201</w:t>
      </w:r>
      <w:r>
        <w:rPr>
          <w:rFonts w:hint="eastAsia"/>
          <w:sz w:val="24"/>
          <w:szCs w:val="22"/>
        </w:rPr>
        <w:t>6</w:t>
      </w:r>
      <w:r>
        <w:rPr>
          <w:sz w:val="24"/>
          <w:szCs w:val="22"/>
        </w:rPr>
        <w:t>]</w:t>
      </w:r>
      <w:r>
        <w:rPr>
          <w:rFonts w:hint="eastAsia"/>
          <w:sz w:val="24"/>
          <w:szCs w:val="22"/>
        </w:rPr>
        <w:t>2714</w:t>
      </w:r>
      <w:r>
        <w:rPr>
          <w:sz w:val="24"/>
          <w:szCs w:val="22"/>
        </w:rPr>
        <w:t>号，</w:t>
      </w:r>
      <w:r>
        <w:rPr>
          <w:sz w:val="24"/>
          <w:szCs w:val="22"/>
        </w:rPr>
        <w:t>20</w:t>
      </w:r>
      <w:r>
        <w:rPr>
          <w:rFonts w:hint="eastAsia"/>
          <w:sz w:val="24"/>
          <w:szCs w:val="22"/>
        </w:rPr>
        <w:t>16.12.22</w:t>
      </w:r>
      <w:r>
        <w:rPr>
          <w:rFonts w:hint="eastAsia"/>
          <w:sz w:val="24"/>
          <w:szCs w:val="22"/>
        </w:rPr>
        <w:t>；</w:t>
      </w:r>
    </w:p>
    <w:p w:rsidR="00C223F5" w:rsidRDefault="005860D5" w:rsidP="006B2BD5">
      <w:pPr>
        <w:numPr>
          <w:ilvl w:val="0"/>
          <w:numId w:val="4"/>
        </w:numPr>
        <w:spacing w:line="360" w:lineRule="auto"/>
        <w:ind w:firstLineChars="200" w:firstLine="480"/>
        <w:rPr>
          <w:sz w:val="24"/>
        </w:rPr>
      </w:pPr>
      <w:r>
        <w:rPr>
          <w:rFonts w:hint="eastAsia"/>
          <w:sz w:val="24"/>
        </w:rPr>
        <w:t>《国家级公益林管理办法》，国家林业局、财政部，林资发</w:t>
      </w:r>
      <w:r>
        <w:rPr>
          <w:rFonts w:hint="eastAsia"/>
          <w:sz w:val="24"/>
        </w:rPr>
        <w:t>[2017]34</w:t>
      </w:r>
      <w:r>
        <w:rPr>
          <w:rFonts w:hint="eastAsia"/>
          <w:sz w:val="24"/>
        </w:rPr>
        <w:t>号，</w:t>
      </w:r>
      <w:r>
        <w:rPr>
          <w:rFonts w:hint="eastAsia"/>
          <w:sz w:val="24"/>
        </w:rPr>
        <w:t>2017.4.28</w:t>
      </w:r>
      <w:r>
        <w:rPr>
          <w:rFonts w:hint="eastAsia"/>
          <w:sz w:val="24"/>
          <w:szCs w:val="22"/>
        </w:rPr>
        <w:t>。</w:t>
      </w:r>
    </w:p>
    <w:p w:rsidR="00C223F5" w:rsidRDefault="005860D5" w:rsidP="00C006A7">
      <w:pPr>
        <w:pStyle w:val="BG"/>
        <w:ind w:firstLine="480"/>
      </w:pPr>
      <w:r>
        <w:rPr>
          <w:rFonts w:hint="eastAsia"/>
        </w:rPr>
        <w:t>（四）国务院部门规章</w:t>
      </w:r>
    </w:p>
    <w:p w:rsidR="00C223F5" w:rsidRDefault="005860D5" w:rsidP="006B2BD5">
      <w:pPr>
        <w:numPr>
          <w:ilvl w:val="0"/>
          <w:numId w:val="5"/>
        </w:numPr>
        <w:adjustRightInd w:val="0"/>
        <w:snapToGrid w:val="0"/>
        <w:spacing w:line="360" w:lineRule="auto"/>
        <w:ind w:firstLineChars="200" w:firstLine="480"/>
        <w:rPr>
          <w:sz w:val="24"/>
          <w:szCs w:val="32"/>
        </w:rPr>
      </w:pPr>
      <w:r>
        <w:rPr>
          <w:rFonts w:hint="eastAsia"/>
          <w:sz w:val="24"/>
        </w:rPr>
        <w:t>《</w:t>
      </w:r>
      <w:r>
        <w:rPr>
          <w:rFonts w:hint="eastAsia"/>
          <w:bCs/>
          <w:sz w:val="24"/>
        </w:rPr>
        <w:t>国务院关于煤炭行业化解过剩产能实现脱困发展的意见》，国务院，</w:t>
      </w:r>
      <w:r>
        <w:rPr>
          <w:sz w:val="24"/>
        </w:rPr>
        <w:t>国发</w:t>
      </w:r>
      <w:r>
        <w:rPr>
          <w:rFonts w:hint="eastAsia"/>
          <w:sz w:val="24"/>
        </w:rPr>
        <w:t>[</w:t>
      </w:r>
      <w:r>
        <w:rPr>
          <w:sz w:val="24"/>
        </w:rPr>
        <w:t>2016</w:t>
      </w:r>
      <w:r>
        <w:rPr>
          <w:rFonts w:hint="eastAsia"/>
          <w:sz w:val="24"/>
        </w:rPr>
        <w:t>]</w:t>
      </w:r>
      <w:r>
        <w:rPr>
          <w:sz w:val="24"/>
        </w:rPr>
        <w:t>7</w:t>
      </w:r>
      <w:r>
        <w:rPr>
          <w:sz w:val="24"/>
        </w:rPr>
        <w:t>号</w:t>
      </w:r>
      <w:r>
        <w:rPr>
          <w:rFonts w:hint="eastAsia"/>
          <w:sz w:val="24"/>
        </w:rPr>
        <w:t>，</w:t>
      </w:r>
      <w:r>
        <w:rPr>
          <w:rFonts w:hint="eastAsia"/>
          <w:sz w:val="24"/>
        </w:rPr>
        <w:t>2016.2.1</w:t>
      </w:r>
      <w:r>
        <w:rPr>
          <w:rFonts w:hint="eastAsia"/>
          <w:sz w:val="24"/>
        </w:rPr>
        <w:t>；</w:t>
      </w:r>
    </w:p>
    <w:p w:rsidR="00C223F5" w:rsidRDefault="005860D5" w:rsidP="006B2BD5">
      <w:pPr>
        <w:numPr>
          <w:ilvl w:val="0"/>
          <w:numId w:val="5"/>
        </w:numPr>
        <w:adjustRightInd w:val="0"/>
        <w:snapToGrid w:val="0"/>
        <w:spacing w:line="360" w:lineRule="auto"/>
        <w:ind w:firstLineChars="200" w:firstLine="480"/>
        <w:rPr>
          <w:sz w:val="24"/>
          <w:szCs w:val="32"/>
        </w:rPr>
      </w:pPr>
      <w:r>
        <w:rPr>
          <w:sz w:val="24"/>
          <w:szCs w:val="32"/>
        </w:rPr>
        <w:t>《全国主体功能规划》，国务院，国发</w:t>
      </w:r>
      <w:r>
        <w:rPr>
          <w:sz w:val="24"/>
          <w:szCs w:val="32"/>
        </w:rPr>
        <w:t>[2010]46</w:t>
      </w:r>
      <w:r>
        <w:rPr>
          <w:sz w:val="24"/>
          <w:szCs w:val="32"/>
        </w:rPr>
        <w:t>号，</w:t>
      </w:r>
      <w:r>
        <w:rPr>
          <w:sz w:val="24"/>
          <w:szCs w:val="32"/>
        </w:rPr>
        <w:t>2010.12.21</w:t>
      </w:r>
      <w:r>
        <w:rPr>
          <w:sz w:val="24"/>
          <w:szCs w:val="32"/>
        </w:rPr>
        <w:t>；</w:t>
      </w:r>
    </w:p>
    <w:p w:rsidR="00C223F5" w:rsidRDefault="005860D5" w:rsidP="006B2BD5">
      <w:pPr>
        <w:numPr>
          <w:ilvl w:val="0"/>
          <w:numId w:val="5"/>
        </w:numPr>
        <w:adjustRightInd w:val="0"/>
        <w:snapToGrid w:val="0"/>
        <w:spacing w:line="360" w:lineRule="auto"/>
        <w:ind w:firstLineChars="200" w:firstLine="480"/>
        <w:rPr>
          <w:sz w:val="24"/>
          <w:szCs w:val="32"/>
        </w:rPr>
      </w:pPr>
      <w:r>
        <w:rPr>
          <w:sz w:val="24"/>
          <w:szCs w:val="32"/>
        </w:rPr>
        <w:t>《全国地下水污染防治规划（</w:t>
      </w:r>
      <w:r>
        <w:rPr>
          <w:sz w:val="24"/>
          <w:szCs w:val="32"/>
        </w:rPr>
        <w:t>2011-2020</w:t>
      </w:r>
      <w:r>
        <w:rPr>
          <w:sz w:val="24"/>
          <w:szCs w:val="32"/>
        </w:rPr>
        <w:t>年）》，国务院，国函</w:t>
      </w:r>
      <w:r>
        <w:rPr>
          <w:sz w:val="24"/>
          <w:szCs w:val="32"/>
        </w:rPr>
        <w:t>[2011]119</w:t>
      </w:r>
      <w:r>
        <w:rPr>
          <w:sz w:val="24"/>
          <w:szCs w:val="32"/>
        </w:rPr>
        <w:t>号，</w:t>
      </w:r>
      <w:r>
        <w:rPr>
          <w:sz w:val="24"/>
          <w:szCs w:val="32"/>
        </w:rPr>
        <w:t>2011.10.10</w:t>
      </w:r>
      <w:r>
        <w:rPr>
          <w:sz w:val="24"/>
          <w:szCs w:val="32"/>
        </w:rPr>
        <w:t>；</w:t>
      </w:r>
    </w:p>
    <w:p w:rsidR="00C223F5" w:rsidRDefault="005860D5" w:rsidP="006B2BD5">
      <w:pPr>
        <w:numPr>
          <w:ilvl w:val="0"/>
          <w:numId w:val="5"/>
        </w:numPr>
        <w:adjustRightInd w:val="0"/>
        <w:snapToGrid w:val="0"/>
        <w:spacing w:line="360" w:lineRule="auto"/>
        <w:ind w:firstLineChars="200" w:firstLine="480"/>
        <w:rPr>
          <w:sz w:val="24"/>
          <w:szCs w:val="32"/>
        </w:rPr>
      </w:pPr>
      <w:r>
        <w:rPr>
          <w:sz w:val="24"/>
          <w:szCs w:val="32"/>
        </w:rPr>
        <w:t>《国务院关于印发大气污染防治行动计划的通知》，国务院，国发</w:t>
      </w:r>
      <w:r>
        <w:rPr>
          <w:rFonts w:hint="eastAsia"/>
          <w:sz w:val="24"/>
          <w:szCs w:val="32"/>
        </w:rPr>
        <w:t>[</w:t>
      </w:r>
      <w:r>
        <w:rPr>
          <w:sz w:val="24"/>
          <w:szCs w:val="32"/>
        </w:rPr>
        <w:t>2013</w:t>
      </w:r>
      <w:r>
        <w:rPr>
          <w:rFonts w:hint="eastAsia"/>
          <w:sz w:val="24"/>
          <w:szCs w:val="32"/>
        </w:rPr>
        <w:t>]</w:t>
      </w:r>
      <w:r>
        <w:rPr>
          <w:sz w:val="24"/>
          <w:szCs w:val="32"/>
        </w:rPr>
        <w:t>37</w:t>
      </w:r>
      <w:r>
        <w:rPr>
          <w:sz w:val="24"/>
          <w:szCs w:val="32"/>
        </w:rPr>
        <w:t>号，</w:t>
      </w:r>
      <w:r>
        <w:rPr>
          <w:sz w:val="24"/>
          <w:szCs w:val="32"/>
        </w:rPr>
        <w:t>2013.9.10</w:t>
      </w:r>
      <w:r>
        <w:rPr>
          <w:sz w:val="24"/>
          <w:szCs w:val="32"/>
        </w:rPr>
        <w:t>；</w:t>
      </w:r>
    </w:p>
    <w:p w:rsidR="00C223F5" w:rsidRDefault="005860D5" w:rsidP="006B2BD5">
      <w:pPr>
        <w:numPr>
          <w:ilvl w:val="0"/>
          <w:numId w:val="5"/>
        </w:numPr>
        <w:adjustRightInd w:val="0"/>
        <w:snapToGrid w:val="0"/>
        <w:spacing w:line="360" w:lineRule="auto"/>
        <w:ind w:firstLineChars="200" w:firstLine="480"/>
        <w:rPr>
          <w:sz w:val="24"/>
          <w:szCs w:val="32"/>
        </w:rPr>
      </w:pPr>
      <w:r>
        <w:rPr>
          <w:sz w:val="24"/>
          <w:szCs w:val="32"/>
        </w:rPr>
        <w:t>《国务院关于印发水污染防治行动计划的通知》，国务院，国发</w:t>
      </w:r>
      <w:r>
        <w:rPr>
          <w:rFonts w:hint="eastAsia"/>
          <w:sz w:val="24"/>
          <w:szCs w:val="32"/>
        </w:rPr>
        <w:t>[</w:t>
      </w:r>
      <w:r>
        <w:rPr>
          <w:sz w:val="24"/>
          <w:szCs w:val="32"/>
        </w:rPr>
        <w:t>2015</w:t>
      </w:r>
      <w:r>
        <w:rPr>
          <w:rFonts w:hint="eastAsia"/>
          <w:sz w:val="24"/>
          <w:szCs w:val="32"/>
        </w:rPr>
        <w:t>]</w:t>
      </w:r>
      <w:r>
        <w:rPr>
          <w:sz w:val="24"/>
          <w:szCs w:val="32"/>
        </w:rPr>
        <w:t>17</w:t>
      </w:r>
      <w:r>
        <w:rPr>
          <w:sz w:val="24"/>
          <w:szCs w:val="32"/>
        </w:rPr>
        <w:t>号，</w:t>
      </w:r>
      <w:r>
        <w:rPr>
          <w:sz w:val="24"/>
          <w:szCs w:val="32"/>
        </w:rPr>
        <w:t>2015.4.2</w:t>
      </w:r>
      <w:r>
        <w:rPr>
          <w:sz w:val="24"/>
          <w:szCs w:val="32"/>
        </w:rPr>
        <w:t>；</w:t>
      </w:r>
    </w:p>
    <w:p w:rsidR="00C223F5" w:rsidRDefault="005860D5" w:rsidP="006B2BD5">
      <w:pPr>
        <w:widowControl/>
        <w:numPr>
          <w:ilvl w:val="0"/>
          <w:numId w:val="5"/>
        </w:numPr>
        <w:spacing w:line="360" w:lineRule="auto"/>
        <w:ind w:firstLineChars="200" w:firstLine="480"/>
        <w:rPr>
          <w:sz w:val="24"/>
        </w:rPr>
      </w:pPr>
      <w:r>
        <w:rPr>
          <w:rFonts w:hint="eastAsia"/>
          <w:sz w:val="24"/>
        </w:rPr>
        <w:t>《国务院关于印发“十三五”生态环境保护规划的通知》，国发</w:t>
      </w:r>
      <w:r>
        <w:rPr>
          <w:rFonts w:hint="eastAsia"/>
          <w:sz w:val="24"/>
        </w:rPr>
        <w:t>[2016]65</w:t>
      </w:r>
      <w:r>
        <w:rPr>
          <w:rFonts w:hint="eastAsia"/>
          <w:sz w:val="24"/>
        </w:rPr>
        <w:t>号，</w:t>
      </w:r>
      <w:r>
        <w:rPr>
          <w:rFonts w:hint="eastAsia"/>
          <w:sz w:val="24"/>
        </w:rPr>
        <w:t>2016.11.24</w:t>
      </w:r>
      <w:r>
        <w:rPr>
          <w:rFonts w:hint="eastAsia"/>
          <w:sz w:val="24"/>
        </w:rPr>
        <w:t>；</w:t>
      </w:r>
    </w:p>
    <w:p w:rsidR="00C223F5" w:rsidRDefault="005860D5" w:rsidP="006B2BD5">
      <w:pPr>
        <w:numPr>
          <w:ilvl w:val="0"/>
          <w:numId w:val="5"/>
        </w:numPr>
        <w:adjustRightInd w:val="0"/>
        <w:snapToGrid w:val="0"/>
        <w:spacing w:line="360" w:lineRule="auto"/>
        <w:ind w:firstLineChars="200" w:firstLine="480"/>
        <w:rPr>
          <w:sz w:val="24"/>
          <w:szCs w:val="32"/>
        </w:rPr>
      </w:pPr>
      <w:r>
        <w:rPr>
          <w:sz w:val="24"/>
          <w:szCs w:val="32"/>
        </w:rPr>
        <w:t>《国务院关于印发土壤污染防治行动计划的通知》，国务院，国发</w:t>
      </w:r>
      <w:r>
        <w:rPr>
          <w:sz w:val="24"/>
          <w:szCs w:val="32"/>
        </w:rPr>
        <w:t>[2016]31</w:t>
      </w:r>
      <w:r>
        <w:rPr>
          <w:sz w:val="24"/>
          <w:szCs w:val="32"/>
        </w:rPr>
        <w:t>号，</w:t>
      </w:r>
      <w:r>
        <w:rPr>
          <w:sz w:val="24"/>
          <w:szCs w:val="32"/>
        </w:rPr>
        <w:t>2016.5.28</w:t>
      </w:r>
      <w:r>
        <w:rPr>
          <w:rFonts w:hint="eastAsia"/>
          <w:sz w:val="24"/>
          <w:szCs w:val="32"/>
        </w:rPr>
        <w:t>。</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61" w:name="_Toc525762739"/>
      <w:bookmarkStart w:id="62" w:name="_Toc527493474"/>
      <w:bookmarkStart w:id="63" w:name="_Toc16785226"/>
      <w:r>
        <w:rPr>
          <w:rFonts w:eastAsia="宋体" w:hint="eastAsia"/>
          <w:b/>
          <w:bCs w:val="0"/>
          <w:sz w:val="28"/>
          <w:szCs w:val="28"/>
        </w:rPr>
        <w:t>1</w:t>
      </w:r>
      <w:r>
        <w:rPr>
          <w:rFonts w:eastAsia="宋体"/>
          <w:b/>
          <w:bCs w:val="0"/>
          <w:sz w:val="28"/>
          <w:szCs w:val="28"/>
        </w:rPr>
        <w:t>.1.3</w:t>
      </w:r>
      <w:r>
        <w:rPr>
          <w:rFonts w:eastAsia="宋体" w:hint="eastAsia"/>
          <w:b/>
          <w:bCs w:val="0"/>
          <w:sz w:val="28"/>
          <w:szCs w:val="28"/>
        </w:rPr>
        <w:t>地方政府规章、规范性文件及规划</w:t>
      </w:r>
      <w:bookmarkEnd w:id="61"/>
      <w:bookmarkEnd w:id="62"/>
      <w:bookmarkEnd w:id="63"/>
    </w:p>
    <w:p w:rsidR="00C223F5" w:rsidRDefault="005860D5" w:rsidP="00C006A7">
      <w:pPr>
        <w:pStyle w:val="BG"/>
        <w:ind w:firstLine="480"/>
      </w:pPr>
      <w:r>
        <w:rPr>
          <w:rFonts w:hint="eastAsia"/>
        </w:rPr>
        <w:t>（一）地方政府规章</w:t>
      </w:r>
    </w:p>
    <w:p w:rsidR="00C223F5" w:rsidRDefault="005860D5" w:rsidP="006B2BD5">
      <w:pPr>
        <w:numPr>
          <w:ilvl w:val="0"/>
          <w:numId w:val="6"/>
        </w:numPr>
        <w:spacing w:line="360" w:lineRule="auto"/>
        <w:ind w:firstLineChars="200" w:firstLine="480"/>
        <w:rPr>
          <w:sz w:val="24"/>
        </w:rPr>
      </w:pPr>
      <w:r>
        <w:rPr>
          <w:rFonts w:hint="eastAsia"/>
          <w:sz w:val="24"/>
        </w:rPr>
        <w:lastRenderedPageBreak/>
        <w:t>《</w:t>
      </w:r>
      <w:r>
        <w:rPr>
          <w:sz w:val="24"/>
        </w:rPr>
        <w:t>陕西省</w:t>
      </w:r>
      <w:r>
        <w:rPr>
          <w:rFonts w:hint="eastAsia"/>
          <w:sz w:val="24"/>
        </w:rPr>
        <w:t>节约用水</w:t>
      </w:r>
      <w:r>
        <w:rPr>
          <w:sz w:val="24"/>
        </w:rPr>
        <w:t>办法</w:t>
      </w:r>
      <w:r>
        <w:rPr>
          <w:rFonts w:hint="eastAsia"/>
          <w:sz w:val="24"/>
        </w:rPr>
        <w:t>》，</w:t>
      </w:r>
      <w:r>
        <w:rPr>
          <w:sz w:val="24"/>
        </w:rPr>
        <w:t>陕西省人民政府令第</w:t>
      </w:r>
      <w:r>
        <w:rPr>
          <w:sz w:val="24"/>
        </w:rPr>
        <w:t>9</w:t>
      </w:r>
      <w:r>
        <w:rPr>
          <w:rFonts w:hint="eastAsia"/>
          <w:sz w:val="24"/>
        </w:rPr>
        <w:t>1</w:t>
      </w:r>
      <w:r>
        <w:rPr>
          <w:sz w:val="24"/>
        </w:rPr>
        <w:t>号</w:t>
      </w:r>
      <w:r>
        <w:rPr>
          <w:rFonts w:hint="eastAsia"/>
          <w:sz w:val="24"/>
        </w:rPr>
        <w:t>，</w:t>
      </w:r>
      <w:r>
        <w:rPr>
          <w:sz w:val="24"/>
        </w:rPr>
        <w:t>200</w:t>
      </w:r>
      <w:r>
        <w:rPr>
          <w:rFonts w:hint="eastAsia"/>
          <w:sz w:val="24"/>
        </w:rPr>
        <w:t>3</w:t>
      </w:r>
      <w:r>
        <w:rPr>
          <w:sz w:val="24"/>
        </w:rPr>
        <w:t>.</w:t>
      </w:r>
      <w:r>
        <w:rPr>
          <w:rFonts w:hint="eastAsia"/>
          <w:sz w:val="24"/>
        </w:rPr>
        <w:t>11</w:t>
      </w:r>
      <w:r>
        <w:rPr>
          <w:sz w:val="24"/>
        </w:rPr>
        <w:t>.1</w:t>
      </w:r>
      <w:r>
        <w:rPr>
          <w:rFonts w:hint="eastAsia"/>
          <w:sz w:val="24"/>
        </w:rPr>
        <w:t>实施；</w:t>
      </w:r>
    </w:p>
    <w:p w:rsidR="00C223F5" w:rsidRDefault="005860D5" w:rsidP="006B2BD5">
      <w:pPr>
        <w:numPr>
          <w:ilvl w:val="0"/>
          <w:numId w:val="6"/>
        </w:numPr>
        <w:spacing w:line="360" w:lineRule="auto"/>
        <w:ind w:firstLineChars="200" w:firstLine="480"/>
        <w:rPr>
          <w:sz w:val="24"/>
        </w:rPr>
      </w:pPr>
      <w:r>
        <w:rPr>
          <w:rFonts w:hint="eastAsia"/>
          <w:sz w:val="24"/>
        </w:rPr>
        <w:t>《</w:t>
      </w:r>
      <w:r>
        <w:rPr>
          <w:sz w:val="24"/>
        </w:rPr>
        <w:t>陕西省水资源费征收办法</w:t>
      </w:r>
      <w:r>
        <w:rPr>
          <w:rFonts w:hint="eastAsia"/>
          <w:sz w:val="24"/>
        </w:rPr>
        <w:t>》，</w:t>
      </w:r>
      <w:r>
        <w:rPr>
          <w:sz w:val="24"/>
        </w:rPr>
        <w:t>陕西省人民政府令第</w:t>
      </w:r>
      <w:r>
        <w:rPr>
          <w:sz w:val="24"/>
        </w:rPr>
        <w:t>95</w:t>
      </w:r>
      <w:r>
        <w:rPr>
          <w:sz w:val="24"/>
        </w:rPr>
        <w:t>号</w:t>
      </w:r>
      <w:r>
        <w:rPr>
          <w:rFonts w:hint="eastAsia"/>
          <w:sz w:val="24"/>
        </w:rPr>
        <w:t>，</w:t>
      </w:r>
      <w:r>
        <w:rPr>
          <w:sz w:val="24"/>
        </w:rPr>
        <w:t>2004.4.1</w:t>
      </w:r>
      <w:r>
        <w:rPr>
          <w:rFonts w:hint="eastAsia"/>
          <w:sz w:val="24"/>
        </w:rPr>
        <w:t>实施；</w:t>
      </w:r>
    </w:p>
    <w:p w:rsidR="00C223F5" w:rsidRDefault="005860D5" w:rsidP="006B2BD5">
      <w:pPr>
        <w:numPr>
          <w:ilvl w:val="0"/>
          <w:numId w:val="6"/>
        </w:numPr>
        <w:spacing w:line="360" w:lineRule="auto"/>
        <w:ind w:firstLineChars="200" w:firstLine="480"/>
        <w:rPr>
          <w:sz w:val="24"/>
        </w:rPr>
      </w:pPr>
      <w:r>
        <w:rPr>
          <w:rFonts w:hint="eastAsia"/>
          <w:sz w:val="24"/>
        </w:rPr>
        <w:t>《</w:t>
      </w:r>
      <w:r>
        <w:rPr>
          <w:sz w:val="24"/>
        </w:rPr>
        <w:t>陕西省实施</w:t>
      </w:r>
      <w:r>
        <w:rPr>
          <w:rFonts w:hint="eastAsia"/>
          <w:sz w:val="24"/>
        </w:rPr>
        <w:t>&lt;</w:t>
      </w:r>
      <w:r>
        <w:rPr>
          <w:sz w:val="24"/>
        </w:rPr>
        <w:t>中华人民共和国耕地占用税暂行条例</w:t>
      </w:r>
      <w:r>
        <w:rPr>
          <w:rFonts w:hint="eastAsia"/>
          <w:sz w:val="24"/>
        </w:rPr>
        <w:t>&gt;</w:t>
      </w:r>
      <w:r>
        <w:rPr>
          <w:sz w:val="24"/>
        </w:rPr>
        <w:t>办法》</w:t>
      </w:r>
      <w:r>
        <w:rPr>
          <w:rFonts w:hint="eastAsia"/>
          <w:sz w:val="24"/>
        </w:rPr>
        <w:t>，</w:t>
      </w:r>
      <w:r>
        <w:rPr>
          <w:sz w:val="24"/>
        </w:rPr>
        <w:t>陕西省人民政府令第</w:t>
      </w:r>
      <w:r>
        <w:rPr>
          <w:sz w:val="24"/>
        </w:rPr>
        <w:t>141</w:t>
      </w:r>
      <w:r>
        <w:rPr>
          <w:sz w:val="24"/>
        </w:rPr>
        <w:t>号</w:t>
      </w:r>
      <w:r>
        <w:rPr>
          <w:rFonts w:hint="eastAsia"/>
          <w:sz w:val="24"/>
        </w:rPr>
        <w:t>，</w:t>
      </w:r>
      <w:r>
        <w:rPr>
          <w:sz w:val="24"/>
        </w:rPr>
        <w:t>2009.6.1</w:t>
      </w:r>
      <w:r>
        <w:rPr>
          <w:rFonts w:hint="eastAsia"/>
          <w:sz w:val="24"/>
        </w:rPr>
        <w:t>实施；</w:t>
      </w:r>
    </w:p>
    <w:p w:rsidR="00C223F5" w:rsidRDefault="005860D5" w:rsidP="006B2BD5">
      <w:pPr>
        <w:numPr>
          <w:ilvl w:val="0"/>
          <w:numId w:val="6"/>
        </w:numPr>
        <w:spacing w:line="360" w:lineRule="auto"/>
        <w:ind w:firstLineChars="200" w:firstLine="480"/>
        <w:rPr>
          <w:sz w:val="24"/>
        </w:rPr>
      </w:pPr>
      <w:r>
        <w:rPr>
          <w:rFonts w:hint="eastAsia"/>
          <w:sz w:val="24"/>
        </w:rPr>
        <w:t>《</w:t>
      </w:r>
      <w:r>
        <w:rPr>
          <w:sz w:val="24"/>
        </w:rPr>
        <w:t>陕西省征用占用林地及补偿费征收管理办法</w:t>
      </w:r>
      <w:r>
        <w:rPr>
          <w:rFonts w:hint="eastAsia"/>
          <w:sz w:val="24"/>
        </w:rPr>
        <w:t>》，</w:t>
      </w:r>
      <w:r>
        <w:rPr>
          <w:sz w:val="24"/>
        </w:rPr>
        <w:t>陕西省人民政府令第</w:t>
      </w:r>
      <w:r>
        <w:rPr>
          <w:sz w:val="24"/>
        </w:rPr>
        <w:t>111</w:t>
      </w:r>
      <w:r>
        <w:rPr>
          <w:sz w:val="24"/>
        </w:rPr>
        <w:t>号</w:t>
      </w:r>
      <w:r>
        <w:rPr>
          <w:rFonts w:hint="eastAsia"/>
          <w:sz w:val="24"/>
        </w:rPr>
        <w:t>，</w:t>
      </w:r>
      <w:r>
        <w:rPr>
          <w:rFonts w:hint="eastAsia"/>
          <w:sz w:val="24"/>
        </w:rPr>
        <w:t>1994.9.8</w:t>
      </w:r>
      <w:r>
        <w:rPr>
          <w:rFonts w:hint="eastAsia"/>
          <w:sz w:val="24"/>
        </w:rPr>
        <w:t>实施。</w:t>
      </w:r>
    </w:p>
    <w:p w:rsidR="00C223F5" w:rsidRDefault="005860D5" w:rsidP="00C006A7">
      <w:pPr>
        <w:pStyle w:val="BG"/>
        <w:ind w:firstLine="480"/>
      </w:pPr>
      <w:r>
        <w:rPr>
          <w:rFonts w:hint="eastAsia"/>
        </w:rPr>
        <w:t>（二）地方政府规范性文件及相关规划</w:t>
      </w:r>
    </w:p>
    <w:p w:rsidR="00C223F5" w:rsidRDefault="005860D5" w:rsidP="006B2BD5">
      <w:pPr>
        <w:numPr>
          <w:ilvl w:val="0"/>
          <w:numId w:val="7"/>
        </w:numPr>
        <w:spacing w:line="360" w:lineRule="auto"/>
        <w:ind w:firstLineChars="200" w:firstLine="480"/>
        <w:rPr>
          <w:sz w:val="24"/>
        </w:rPr>
      </w:pPr>
      <w:r>
        <w:rPr>
          <w:sz w:val="24"/>
        </w:rPr>
        <w:t>《关于</w:t>
      </w:r>
      <w:r>
        <w:rPr>
          <w:rFonts w:hint="eastAsia"/>
          <w:sz w:val="24"/>
        </w:rPr>
        <w:t>矿产资源整合实施方案</w:t>
      </w:r>
      <w:r>
        <w:rPr>
          <w:sz w:val="24"/>
        </w:rPr>
        <w:t>的批复》</w:t>
      </w:r>
      <w:r>
        <w:rPr>
          <w:rFonts w:hint="eastAsia"/>
          <w:sz w:val="24"/>
        </w:rPr>
        <w:t>，</w:t>
      </w:r>
      <w:r>
        <w:rPr>
          <w:sz w:val="24"/>
        </w:rPr>
        <w:t>陕西省人民政府</w:t>
      </w:r>
      <w:r>
        <w:rPr>
          <w:rFonts w:hint="eastAsia"/>
          <w:sz w:val="24"/>
        </w:rPr>
        <w:t>，</w:t>
      </w:r>
      <w:r>
        <w:rPr>
          <w:sz w:val="24"/>
        </w:rPr>
        <w:t>陕政函</w:t>
      </w:r>
      <w:r>
        <w:rPr>
          <w:rFonts w:hint="eastAsia"/>
          <w:sz w:val="24"/>
        </w:rPr>
        <w:t>[</w:t>
      </w:r>
      <w:r>
        <w:rPr>
          <w:sz w:val="24"/>
        </w:rPr>
        <w:t>201</w:t>
      </w:r>
      <w:r>
        <w:rPr>
          <w:rFonts w:hint="eastAsia"/>
          <w:sz w:val="24"/>
        </w:rPr>
        <w:t>0]214</w:t>
      </w:r>
      <w:r>
        <w:rPr>
          <w:rFonts w:hint="eastAsia"/>
          <w:sz w:val="24"/>
        </w:rPr>
        <w:t>号，</w:t>
      </w:r>
      <w:r>
        <w:rPr>
          <w:rFonts w:hint="eastAsia"/>
          <w:sz w:val="24"/>
        </w:rPr>
        <w:t>2010.12.14</w:t>
      </w:r>
      <w:r>
        <w:rPr>
          <w:sz w:val="24"/>
        </w:rPr>
        <w:t>；</w:t>
      </w:r>
    </w:p>
    <w:p w:rsidR="00C223F5" w:rsidRDefault="005860D5" w:rsidP="006B2BD5">
      <w:pPr>
        <w:numPr>
          <w:ilvl w:val="0"/>
          <w:numId w:val="7"/>
        </w:numPr>
        <w:spacing w:line="360" w:lineRule="auto"/>
        <w:ind w:firstLineChars="200" w:firstLine="480"/>
        <w:rPr>
          <w:sz w:val="24"/>
        </w:rPr>
      </w:pPr>
      <w:r>
        <w:rPr>
          <w:sz w:val="24"/>
        </w:rPr>
        <w:t>《关于榆林市煤矿整顿关闭和资源整合方案的批复》</w:t>
      </w:r>
      <w:r>
        <w:rPr>
          <w:rFonts w:hint="eastAsia"/>
          <w:sz w:val="24"/>
        </w:rPr>
        <w:t>，</w:t>
      </w:r>
      <w:r>
        <w:rPr>
          <w:sz w:val="24"/>
        </w:rPr>
        <w:t>陕西省人民政府</w:t>
      </w:r>
      <w:r>
        <w:rPr>
          <w:rFonts w:hint="eastAsia"/>
          <w:sz w:val="24"/>
        </w:rPr>
        <w:t>，</w:t>
      </w:r>
      <w:r>
        <w:rPr>
          <w:sz w:val="24"/>
        </w:rPr>
        <w:t>陕政函</w:t>
      </w:r>
      <w:r>
        <w:rPr>
          <w:sz w:val="24"/>
        </w:rPr>
        <w:t>[2011]1</w:t>
      </w:r>
      <w:r>
        <w:rPr>
          <w:sz w:val="24"/>
        </w:rPr>
        <w:t>号</w:t>
      </w:r>
      <w:r>
        <w:rPr>
          <w:rFonts w:hint="eastAsia"/>
          <w:sz w:val="24"/>
        </w:rPr>
        <w:t>，</w:t>
      </w:r>
      <w:r>
        <w:rPr>
          <w:rFonts w:hint="eastAsia"/>
          <w:sz w:val="24"/>
        </w:rPr>
        <w:t>2011.1.4</w:t>
      </w:r>
      <w:r>
        <w:rPr>
          <w:rFonts w:hint="eastAsia"/>
          <w:sz w:val="24"/>
        </w:rPr>
        <w:t>；</w:t>
      </w:r>
    </w:p>
    <w:p w:rsidR="00C223F5" w:rsidRPr="00925B84" w:rsidRDefault="005860D5" w:rsidP="006B2BD5">
      <w:pPr>
        <w:numPr>
          <w:ilvl w:val="0"/>
          <w:numId w:val="7"/>
        </w:numPr>
        <w:spacing w:line="360" w:lineRule="auto"/>
        <w:ind w:firstLineChars="200" w:firstLine="480"/>
        <w:rPr>
          <w:sz w:val="24"/>
        </w:rPr>
      </w:pPr>
      <w:r>
        <w:rPr>
          <w:sz w:val="24"/>
        </w:rPr>
        <w:t>《陕西省煤炭石油天然气资源开采水土流失补偿费征收使用管理办法》，陕西省人民政府，陕政发</w:t>
      </w:r>
      <w:r>
        <w:rPr>
          <w:sz w:val="24"/>
        </w:rPr>
        <w:t>[2008</w:t>
      </w:r>
      <w:r w:rsidRPr="00925B84">
        <w:rPr>
          <w:sz w:val="24"/>
        </w:rPr>
        <w:t>]54</w:t>
      </w:r>
      <w:r w:rsidRPr="00925B84">
        <w:rPr>
          <w:sz w:val="24"/>
        </w:rPr>
        <w:t>号，</w:t>
      </w:r>
      <w:r w:rsidRPr="00925B84">
        <w:rPr>
          <w:sz w:val="24"/>
        </w:rPr>
        <w:t>2008.11.4</w:t>
      </w:r>
      <w:r w:rsidRPr="00925B84">
        <w:rPr>
          <w:sz w:val="24"/>
        </w:rPr>
        <w:t>；</w:t>
      </w:r>
    </w:p>
    <w:p w:rsidR="00C223F5" w:rsidRPr="00925B84" w:rsidRDefault="005860D5" w:rsidP="006B2BD5">
      <w:pPr>
        <w:numPr>
          <w:ilvl w:val="0"/>
          <w:numId w:val="7"/>
        </w:numPr>
        <w:spacing w:line="360" w:lineRule="auto"/>
        <w:ind w:firstLineChars="200" w:firstLine="480"/>
        <w:rPr>
          <w:sz w:val="24"/>
        </w:rPr>
      </w:pPr>
      <w:r w:rsidRPr="00925B84">
        <w:rPr>
          <w:sz w:val="24"/>
        </w:rPr>
        <w:t>《陕西省水功能区划》，陕西省人民政府，陕政办发</w:t>
      </w:r>
      <w:r w:rsidRPr="00925B84">
        <w:rPr>
          <w:sz w:val="24"/>
        </w:rPr>
        <w:t>[2004]100</w:t>
      </w:r>
      <w:r w:rsidRPr="00925B84">
        <w:rPr>
          <w:sz w:val="24"/>
        </w:rPr>
        <w:t>号，</w:t>
      </w:r>
      <w:r w:rsidRPr="00925B84">
        <w:rPr>
          <w:sz w:val="24"/>
        </w:rPr>
        <w:t>2004.9.22</w:t>
      </w:r>
      <w:r w:rsidRPr="00925B84">
        <w:rPr>
          <w:sz w:val="24"/>
        </w:rPr>
        <w:t>；</w:t>
      </w:r>
    </w:p>
    <w:p w:rsidR="00C223F5" w:rsidRPr="00925B84" w:rsidRDefault="005860D5" w:rsidP="006B2BD5">
      <w:pPr>
        <w:numPr>
          <w:ilvl w:val="0"/>
          <w:numId w:val="7"/>
        </w:numPr>
        <w:spacing w:line="360" w:lineRule="auto"/>
        <w:ind w:firstLineChars="200" w:firstLine="480"/>
        <w:rPr>
          <w:sz w:val="24"/>
        </w:rPr>
      </w:pPr>
      <w:r w:rsidRPr="00925B84">
        <w:rPr>
          <w:sz w:val="24"/>
        </w:rPr>
        <w:t>《陕西省生态功能区划》，陕西省人民政府，陕政办发</w:t>
      </w:r>
      <w:r w:rsidRPr="00925B84">
        <w:rPr>
          <w:sz w:val="24"/>
        </w:rPr>
        <w:t>[2004]115</w:t>
      </w:r>
      <w:r w:rsidRPr="00925B84">
        <w:rPr>
          <w:sz w:val="24"/>
        </w:rPr>
        <w:t>号，</w:t>
      </w:r>
      <w:r w:rsidRPr="00925B84">
        <w:rPr>
          <w:sz w:val="24"/>
        </w:rPr>
        <w:t>2004.11.17</w:t>
      </w:r>
      <w:r w:rsidRPr="00925B84">
        <w:rPr>
          <w:sz w:val="24"/>
        </w:rPr>
        <w:t>；</w:t>
      </w:r>
    </w:p>
    <w:p w:rsidR="00C223F5" w:rsidRPr="00925B84" w:rsidRDefault="005860D5" w:rsidP="006B2BD5">
      <w:pPr>
        <w:numPr>
          <w:ilvl w:val="0"/>
          <w:numId w:val="7"/>
        </w:numPr>
        <w:spacing w:line="360" w:lineRule="auto"/>
        <w:ind w:firstLineChars="200" w:firstLine="480"/>
        <w:rPr>
          <w:sz w:val="24"/>
        </w:rPr>
      </w:pPr>
      <w:r w:rsidRPr="00925B84">
        <w:rPr>
          <w:sz w:val="24"/>
        </w:rPr>
        <w:t>《陕西省</w:t>
      </w:r>
      <w:r w:rsidRPr="00925B84">
        <w:rPr>
          <w:rFonts w:hint="eastAsia"/>
          <w:sz w:val="24"/>
        </w:rPr>
        <w:t>主体</w:t>
      </w:r>
      <w:r w:rsidRPr="00925B84">
        <w:rPr>
          <w:sz w:val="24"/>
        </w:rPr>
        <w:t>功能区划》，陕西省人民政府，陕政发</w:t>
      </w:r>
      <w:r w:rsidRPr="00925B84">
        <w:rPr>
          <w:sz w:val="24"/>
        </w:rPr>
        <w:t>[20</w:t>
      </w:r>
      <w:r w:rsidRPr="00925B84">
        <w:rPr>
          <w:rFonts w:hint="eastAsia"/>
          <w:sz w:val="24"/>
        </w:rPr>
        <w:t>13</w:t>
      </w:r>
      <w:r w:rsidRPr="00925B84">
        <w:rPr>
          <w:sz w:val="24"/>
        </w:rPr>
        <w:t>]15</w:t>
      </w:r>
      <w:r w:rsidRPr="00925B84">
        <w:rPr>
          <w:sz w:val="24"/>
        </w:rPr>
        <w:t>号，</w:t>
      </w:r>
      <w:r w:rsidRPr="00925B84">
        <w:rPr>
          <w:sz w:val="24"/>
        </w:rPr>
        <w:t>20</w:t>
      </w:r>
      <w:r w:rsidRPr="00925B84">
        <w:rPr>
          <w:rFonts w:hint="eastAsia"/>
          <w:sz w:val="24"/>
        </w:rPr>
        <w:t>13.3</w:t>
      </w:r>
      <w:r w:rsidRPr="00925B84">
        <w:rPr>
          <w:sz w:val="24"/>
        </w:rPr>
        <w:t>；</w:t>
      </w:r>
    </w:p>
    <w:p w:rsidR="00C223F5" w:rsidRPr="00925B84" w:rsidRDefault="005860D5" w:rsidP="006B2BD5">
      <w:pPr>
        <w:numPr>
          <w:ilvl w:val="0"/>
          <w:numId w:val="7"/>
        </w:numPr>
        <w:spacing w:line="360" w:lineRule="auto"/>
        <w:ind w:firstLineChars="200" w:firstLine="480"/>
        <w:rPr>
          <w:sz w:val="24"/>
        </w:rPr>
      </w:pPr>
      <w:r w:rsidRPr="00925B84">
        <w:rPr>
          <w:rFonts w:hint="eastAsia"/>
          <w:sz w:val="24"/>
        </w:rPr>
        <w:t>《陕西省“十三五”环境保护规划》，陕环发</w:t>
      </w:r>
      <w:r w:rsidRPr="00925B84">
        <w:rPr>
          <w:rFonts w:hint="eastAsia"/>
          <w:sz w:val="24"/>
        </w:rPr>
        <w:t>[2016]39</w:t>
      </w:r>
      <w:r w:rsidRPr="00925B84">
        <w:rPr>
          <w:rFonts w:hint="eastAsia"/>
          <w:sz w:val="24"/>
        </w:rPr>
        <w:t>号，陕西省环境保护厅</w:t>
      </w:r>
      <w:r w:rsidRPr="00925B84">
        <w:rPr>
          <w:rFonts w:hint="eastAsia"/>
          <w:sz w:val="24"/>
        </w:rPr>
        <w:t xml:space="preserve"> </w:t>
      </w:r>
      <w:r w:rsidRPr="00925B84">
        <w:rPr>
          <w:rFonts w:hint="eastAsia"/>
          <w:sz w:val="24"/>
        </w:rPr>
        <w:t>陕西省发展和改革委员会，</w:t>
      </w:r>
      <w:r w:rsidRPr="00925B84">
        <w:rPr>
          <w:rFonts w:hint="eastAsia"/>
          <w:sz w:val="24"/>
        </w:rPr>
        <w:t>2016.9.6</w:t>
      </w:r>
      <w:r w:rsidRPr="00925B84">
        <w:rPr>
          <w:sz w:val="24"/>
        </w:rPr>
        <w:t>；</w:t>
      </w:r>
    </w:p>
    <w:p w:rsidR="00C223F5" w:rsidRPr="00925B84" w:rsidRDefault="005860D5" w:rsidP="006B2BD5">
      <w:pPr>
        <w:numPr>
          <w:ilvl w:val="0"/>
          <w:numId w:val="7"/>
        </w:numPr>
        <w:spacing w:line="360" w:lineRule="auto"/>
        <w:ind w:firstLineChars="200" w:firstLine="480"/>
        <w:rPr>
          <w:sz w:val="24"/>
        </w:rPr>
      </w:pPr>
      <w:r w:rsidRPr="00925B84">
        <w:rPr>
          <w:sz w:val="24"/>
        </w:rPr>
        <w:t>《</w:t>
      </w:r>
      <w:r w:rsidRPr="00925B84">
        <w:rPr>
          <w:rFonts w:hint="eastAsia"/>
          <w:sz w:val="24"/>
        </w:rPr>
        <w:t>陕西铁腕治霾打赢蓝天保卫战三年行动方案（</w:t>
      </w:r>
      <w:r w:rsidRPr="00925B84">
        <w:rPr>
          <w:rFonts w:hint="eastAsia"/>
          <w:sz w:val="24"/>
        </w:rPr>
        <w:t>2018-2020</w:t>
      </w:r>
      <w:r w:rsidRPr="00925B84">
        <w:rPr>
          <w:rFonts w:hint="eastAsia"/>
          <w:sz w:val="24"/>
        </w:rPr>
        <w:t>年）</w:t>
      </w:r>
      <w:r w:rsidRPr="00925B84">
        <w:rPr>
          <w:sz w:val="24"/>
        </w:rPr>
        <w:t>》</w:t>
      </w:r>
      <w:r w:rsidRPr="00925B84">
        <w:rPr>
          <w:rFonts w:hint="eastAsia"/>
          <w:sz w:val="24"/>
        </w:rPr>
        <w:t>（修订版）</w:t>
      </w:r>
      <w:r w:rsidRPr="00925B84">
        <w:rPr>
          <w:sz w:val="24"/>
        </w:rPr>
        <w:t>，陕西省人民政府，</w:t>
      </w:r>
      <w:r w:rsidRPr="00925B84">
        <w:rPr>
          <w:rFonts w:hint="eastAsia"/>
          <w:sz w:val="24"/>
        </w:rPr>
        <w:t>2018.9.22</w:t>
      </w:r>
      <w:r w:rsidRPr="00925B84">
        <w:rPr>
          <w:sz w:val="24"/>
        </w:rPr>
        <w:t>；</w:t>
      </w:r>
    </w:p>
    <w:p w:rsidR="00C223F5" w:rsidRPr="00925B84" w:rsidRDefault="005860D5" w:rsidP="006B2BD5">
      <w:pPr>
        <w:numPr>
          <w:ilvl w:val="0"/>
          <w:numId w:val="7"/>
        </w:numPr>
        <w:spacing w:line="360" w:lineRule="auto"/>
        <w:ind w:firstLineChars="200" w:firstLine="480"/>
        <w:rPr>
          <w:sz w:val="24"/>
        </w:rPr>
      </w:pPr>
      <w:r w:rsidRPr="00925B84">
        <w:rPr>
          <w:rFonts w:hint="eastAsia"/>
          <w:sz w:val="24"/>
        </w:rPr>
        <w:t>《陕西省矿产资源总体规划（</w:t>
      </w:r>
      <w:r w:rsidRPr="00925B84">
        <w:rPr>
          <w:rFonts w:hint="eastAsia"/>
          <w:sz w:val="24"/>
        </w:rPr>
        <w:t>2016-2020</w:t>
      </w:r>
      <w:r w:rsidRPr="00925B84">
        <w:rPr>
          <w:rFonts w:hint="eastAsia"/>
          <w:sz w:val="24"/>
        </w:rPr>
        <w:t>）》，陕西省国土资源厅，陕国土资发</w:t>
      </w:r>
      <w:r w:rsidRPr="00925B84">
        <w:rPr>
          <w:rFonts w:hint="eastAsia"/>
          <w:sz w:val="24"/>
        </w:rPr>
        <w:t>[2017]97</w:t>
      </w:r>
      <w:r w:rsidRPr="00925B84">
        <w:rPr>
          <w:rFonts w:hint="eastAsia"/>
          <w:sz w:val="24"/>
        </w:rPr>
        <w:t>号，</w:t>
      </w:r>
      <w:r w:rsidRPr="00925B84">
        <w:rPr>
          <w:rFonts w:hint="eastAsia"/>
          <w:sz w:val="24"/>
        </w:rPr>
        <w:t>2017.9.29</w:t>
      </w:r>
      <w:r w:rsidRPr="00925B84">
        <w:rPr>
          <w:rFonts w:hint="eastAsia"/>
          <w:sz w:val="24"/>
        </w:rPr>
        <w:t>；</w:t>
      </w:r>
    </w:p>
    <w:p w:rsidR="00C223F5" w:rsidRPr="00925B84" w:rsidRDefault="005860D5" w:rsidP="006B2BD5">
      <w:pPr>
        <w:numPr>
          <w:ilvl w:val="0"/>
          <w:numId w:val="7"/>
        </w:numPr>
        <w:spacing w:line="360" w:lineRule="auto"/>
        <w:ind w:firstLineChars="200" w:firstLine="480"/>
        <w:rPr>
          <w:sz w:val="24"/>
        </w:rPr>
      </w:pPr>
      <w:r w:rsidRPr="00925B84">
        <w:rPr>
          <w:rFonts w:hint="eastAsia"/>
          <w:sz w:val="24"/>
          <w:szCs w:val="32"/>
        </w:rPr>
        <w:t>《陕西省全国重点生态功能区行业准入负面清单》，陕西省发改委，</w:t>
      </w:r>
      <w:r w:rsidRPr="00925B84">
        <w:rPr>
          <w:rFonts w:hint="eastAsia"/>
          <w:sz w:val="24"/>
          <w:szCs w:val="32"/>
        </w:rPr>
        <w:t>2018.2</w:t>
      </w:r>
      <w:r w:rsidRPr="00925B84">
        <w:rPr>
          <w:rFonts w:hint="eastAsia"/>
          <w:sz w:val="24"/>
          <w:szCs w:val="32"/>
        </w:rPr>
        <w:t>；</w:t>
      </w:r>
    </w:p>
    <w:p w:rsidR="00C223F5" w:rsidRDefault="005860D5" w:rsidP="006B2BD5">
      <w:pPr>
        <w:numPr>
          <w:ilvl w:val="0"/>
          <w:numId w:val="7"/>
        </w:numPr>
        <w:spacing w:line="360" w:lineRule="auto"/>
        <w:ind w:firstLineChars="200" w:firstLine="480"/>
        <w:rPr>
          <w:sz w:val="24"/>
        </w:rPr>
      </w:pPr>
      <w:r w:rsidRPr="00925B84">
        <w:rPr>
          <w:sz w:val="24"/>
        </w:rPr>
        <w:t>《陕西省行业用水定额》（</w:t>
      </w:r>
      <w:r w:rsidRPr="00925B84">
        <w:rPr>
          <w:sz w:val="24"/>
        </w:rPr>
        <w:t>DB61/T94</w:t>
      </w:r>
      <w:r>
        <w:rPr>
          <w:sz w:val="24"/>
        </w:rPr>
        <w:t>3-2014</w:t>
      </w:r>
      <w:r>
        <w:rPr>
          <w:sz w:val="24"/>
        </w:rPr>
        <w:t>）</w:t>
      </w:r>
      <w:r>
        <w:rPr>
          <w:rFonts w:hint="eastAsia"/>
          <w:sz w:val="24"/>
        </w:rPr>
        <w:t>；</w:t>
      </w:r>
    </w:p>
    <w:p w:rsidR="00C223F5" w:rsidRDefault="005860D5" w:rsidP="006B2BD5">
      <w:pPr>
        <w:numPr>
          <w:ilvl w:val="0"/>
          <w:numId w:val="7"/>
        </w:numPr>
        <w:spacing w:line="360" w:lineRule="auto"/>
        <w:ind w:firstLineChars="200" w:firstLine="480"/>
        <w:rPr>
          <w:sz w:val="24"/>
        </w:rPr>
      </w:pPr>
      <w:r>
        <w:rPr>
          <w:rFonts w:hint="eastAsia"/>
          <w:snapToGrid w:val="0"/>
          <w:sz w:val="24"/>
        </w:rPr>
        <w:t>《陕西省</w:t>
      </w:r>
      <w:r>
        <w:rPr>
          <w:snapToGrid w:val="0"/>
          <w:sz w:val="24"/>
        </w:rPr>
        <w:t>“</w:t>
      </w:r>
      <w:r>
        <w:rPr>
          <w:rFonts w:hint="eastAsia"/>
          <w:snapToGrid w:val="0"/>
          <w:sz w:val="24"/>
        </w:rPr>
        <w:t>十三五</w:t>
      </w:r>
      <w:r>
        <w:rPr>
          <w:snapToGrid w:val="0"/>
          <w:sz w:val="24"/>
        </w:rPr>
        <w:t>”</w:t>
      </w:r>
      <w:r>
        <w:rPr>
          <w:snapToGrid w:val="0"/>
          <w:sz w:val="24"/>
        </w:rPr>
        <w:t>生态环境</w:t>
      </w:r>
      <w:r>
        <w:rPr>
          <w:rFonts w:hint="eastAsia"/>
          <w:snapToGrid w:val="0"/>
          <w:sz w:val="24"/>
        </w:rPr>
        <w:t>保护规划》，</w:t>
      </w:r>
      <w:r>
        <w:rPr>
          <w:sz w:val="24"/>
        </w:rPr>
        <w:t>陕西省人民政府，陕政发</w:t>
      </w:r>
      <w:r>
        <w:rPr>
          <w:sz w:val="24"/>
        </w:rPr>
        <w:t>[20</w:t>
      </w:r>
      <w:r>
        <w:rPr>
          <w:rFonts w:hint="eastAsia"/>
          <w:sz w:val="24"/>
        </w:rPr>
        <w:t>17</w:t>
      </w:r>
      <w:r>
        <w:rPr>
          <w:sz w:val="24"/>
        </w:rPr>
        <w:t>]</w:t>
      </w:r>
      <w:r>
        <w:rPr>
          <w:rFonts w:hint="eastAsia"/>
          <w:sz w:val="24"/>
        </w:rPr>
        <w:t>47</w:t>
      </w:r>
      <w:r>
        <w:rPr>
          <w:sz w:val="24"/>
        </w:rPr>
        <w:t>号，</w:t>
      </w:r>
      <w:r>
        <w:rPr>
          <w:sz w:val="24"/>
        </w:rPr>
        <w:t>20</w:t>
      </w:r>
      <w:r>
        <w:rPr>
          <w:rFonts w:hint="eastAsia"/>
          <w:sz w:val="24"/>
        </w:rPr>
        <w:t>17.10.10</w:t>
      </w:r>
      <w:r>
        <w:rPr>
          <w:sz w:val="24"/>
        </w:rPr>
        <w:t>；</w:t>
      </w:r>
    </w:p>
    <w:p w:rsidR="00C223F5" w:rsidRPr="00925B84" w:rsidRDefault="005860D5" w:rsidP="006B2BD5">
      <w:pPr>
        <w:numPr>
          <w:ilvl w:val="0"/>
          <w:numId w:val="7"/>
        </w:numPr>
        <w:spacing w:line="360" w:lineRule="auto"/>
        <w:ind w:firstLineChars="200" w:firstLine="480"/>
        <w:rPr>
          <w:sz w:val="24"/>
        </w:rPr>
      </w:pPr>
      <w:r w:rsidRPr="00925B84">
        <w:rPr>
          <w:rFonts w:hint="eastAsia"/>
          <w:sz w:val="24"/>
        </w:rPr>
        <w:t>《陕西省矿产资源开发“保生态治污染”行动方案（</w:t>
      </w:r>
      <w:r w:rsidRPr="00925B84">
        <w:rPr>
          <w:rFonts w:hint="eastAsia"/>
          <w:sz w:val="24"/>
        </w:rPr>
        <w:t>2016-2020</w:t>
      </w:r>
      <w:r w:rsidRPr="00925B84">
        <w:rPr>
          <w:rFonts w:hint="eastAsia"/>
          <w:sz w:val="24"/>
        </w:rPr>
        <w:t>年）》，</w:t>
      </w:r>
      <w:r w:rsidRPr="00925B84">
        <w:rPr>
          <w:rFonts w:hint="eastAsia"/>
          <w:sz w:val="24"/>
        </w:rPr>
        <w:lastRenderedPageBreak/>
        <w:t>陕西省环境保护厅，陕环发</w:t>
      </w:r>
      <w:r w:rsidRPr="00925B84">
        <w:rPr>
          <w:rFonts w:hint="eastAsia"/>
          <w:sz w:val="24"/>
        </w:rPr>
        <w:t>[2016]42</w:t>
      </w:r>
      <w:r w:rsidRPr="00925B84">
        <w:rPr>
          <w:rFonts w:hint="eastAsia"/>
          <w:sz w:val="24"/>
        </w:rPr>
        <w:t>号，</w:t>
      </w:r>
      <w:r w:rsidRPr="00925B84">
        <w:rPr>
          <w:rFonts w:hint="eastAsia"/>
          <w:sz w:val="24"/>
        </w:rPr>
        <w:t>2016.9.28</w:t>
      </w:r>
      <w:r w:rsidRPr="00925B84">
        <w:rPr>
          <w:rFonts w:hint="eastAsia"/>
          <w:sz w:val="24"/>
        </w:rPr>
        <w:t>；</w:t>
      </w:r>
    </w:p>
    <w:p w:rsidR="00C223F5" w:rsidRPr="00925B84" w:rsidRDefault="005860D5" w:rsidP="006B2BD5">
      <w:pPr>
        <w:numPr>
          <w:ilvl w:val="0"/>
          <w:numId w:val="7"/>
        </w:numPr>
        <w:spacing w:line="360" w:lineRule="auto"/>
        <w:ind w:firstLineChars="200" w:firstLine="480"/>
        <w:rPr>
          <w:sz w:val="24"/>
        </w:rPr>
      </w:pPr>
      <w:r w:rsidRPr="00925B84">
        <w:rPr>
          <w:sz w:val="24"/>
        </w:rPr>
        <w:t>《</w:t>
      </w:r>
      <w:r w:rsidRPr="00925B84">
        <w:rPr>
          <w:rFonts w:hint="eastAsia"/>
          <w:sz w:val="24"/>
        </w:rPr>
        <w:t>陕西省湿地保护</w:t>
      </w:r>
      <w:r w:rsidRPr="00925B84">
        <w:rPr>
          <w:sz w:val="24"/>
        </w:rPr>
        <w:t>条例》</w:t>
      </w:r>
      <w:r w:rsidRPr="00925B84">
        <w:rPr>
          <w:rFonts w:hint="eastAsia"/>
          <w:sz w:val="24"/>
        </w:rPr>
        <w:t>，陕西省人民代表大会常务委员会公告第</w:t>
      </w:r>
      <w:r w:rsidRPr="00925B84">
        <w:rPr>
          <w:rFonts w:hint="eastAsia"/>
          <w:sz w:val="24"/>
        </w:rPr>
        <w:t>50</w:t>
      </w:r>
      <w:r w:rsidRPr="00925B84">
        <w:rPr>
          <w:rFonts w:hint="eastAsia"/>
          <w:sz w:val="24"/>
        </w:rPr>
        <w:t>号，</w:t>
      </w:r>
      <w:r w:rsidRPr="00925B84">
        <w:rPr>
          <w:rFonts w:hint="eastAsia"/>
          <w:sz w:val="24"/>
        </w:rPr>
        <w:t>2006.6.1</w:t>
      </w:r>
      <w:r w:rsidRPr="00925B84">
        <w:rPr>
          <w:rFonts w:hint="eastAsia"/>
          <w:sz w:val="24"/>
        </w:rPr>
        <w:t>；</w:t>
      </w:r>
    </w:p>
    <w:p w:rsidR="00C223F5" w:rsidRPr="00925B84" w:rsidRDefault="005860D5" w:rsidP="006B2BD5">
      <w:pPr>
        <w:numPr>
          <w:ilvl w:val="0"/>
          <w:numId w:val="7"/>
        </w:numPr>
        <w:spacing w:line="360" w:lineRule="auto"/>
        <w:ind w:firstLineChars="200" w:firstLine="480"/>
        <w:rPr>
          <w:sz w:val="24"/>
        </w:rPr>
      </w:pPr>
      <w:r w:rsidRPr="00925B84">
        <w:rPr>
          <w:rFonts w:hint="eastAsia"/>
          <w:sz w:val="24"/>
        </w:rPr>
        <w:t>《陕西省人民政府办公厅关于印发四大保卫战</w:t>
      </w:r>
      <w:r w:rsidRPr="00925B84">
        <w:rPr>
          <w:rFonts w:hint="eastAsia"/>
          <w:sz w:val="24"/>
        </w:rPr>
        <w:t>2019</w:t>
      </w:r>
      <w:r w:rsidRPr="00925B84">
        <w:rPr>
          <w:rFonts w:hint="eastAsia"/>
          <w:sz w:val="24"/>
        </w:rPr>
        <w:t>年工作方案的通知》，</w:t>
      </w:r>
      <w:r w:rsidRPr="00925B84">
        <w:rPr>
          <w:rFonts w:hint="eastAsia"/>
          <w:smallCaps/>
          <w:sz w:val="24"/>
        </w:rPr>
        <w:t>陕西省人民政府办公厅，</w:t>
      </w:r>
      <w:r w:rsidRPr="00925B84">
        <w:rPr>
          <w:rFonts w:hint="eastAsia"/>
          <w:sz w:val="24"/>
        </w:rPr>
        <w:t>陕政办发</w:t>
      </w:r>
      <w:r w:rsidRPr="00925B84">
        <w:rPr>
          <w:rFonts w:hint="eastAsia"/>
          <w:sz w:val="24"/>
        </w:rPr>
        <w:t>[2019]12</w:t>
      </w:r>
      <w:r w:rsidRPr="00925B84">
        <w:rPr>
          <w:rFonts w:hint="eastAsia"/>
          <w:sz w:val="24"/>
        </w:rPr>
        <w:t>号，</w:t>
      </w:r>
      <w:r w:rsidRPr="00925B84">
        <w:rPr>
          <w:rFonts w:hint="eastAsia"/>
          <w:sz w:val="24"/>
        </w:rPr>
        <w:t>2019.3.23</w:t>
      </w:r>
      <w:r w:rsidRPr="00925B84">
        <w:rPr>
          <w:rFonts w:hint="eastAsia"/>
          <w:sz w:val="24"/>
        </w:rPr>
        <w:t>；</w:t>
      </w:r>
    </w:p>
    <w:p w:rsidR="00C223F5" w:rsidRPr="00925B84" w:rsidRDefault="005860D5" w:rsidP="006B2BD5">
      <w:pPr>
        <w:numPr>
          <w:ilvl w:val="0"/>
          <w:numId w:val="7"/>
        </w:numPr>
        <w:spacing w:line="360" w:lineRule="auto"/>
        <w:ind w:firstLineChars="200" w:firstLine="480"/>
        <w:rPr>
          <w:sz w:val="24"/>
        </w:rPr>
      </w:pPr>
      <w:r w:rsidRPr="00925B84">
        <w:rPr>
          <w:rFonts w:hint="eastAsia"/>
          <w:sz w:val="24"/>
          <w:szCs w:val="32"/>
        </w:rPr>
        <w:t>《榆林市水污染防治工作方案的通知》，榆林市人民政府，榆政发</w:t>
      </w:r>
      <w:r w:rsidRPr="00925B84">
        <w:rPr>
          <w:rFonts w:hint="eastAsia"/>
          <w:sz w:val="24"/>
          <w:szCs w:val="32"/>
        </w:rPr>
        <w:t>[2016]21</w:t>
      </w:r>
      <w:r w:rsidRPr="00925B84">
        <w:rPr>
          <w:rFonts w:hint="eastAsia"/>
          <w:sz w:val="24"/>
          <w:szCs w:val="32"/>
        </w:rPr>
        <w:t>号，</w:t>
      </w:r>
      <w:r w:rsidRPr="00925B84">
        <w:rPr>
          <w:rFonts w:hint="eastAsia"/>
          <w:sz w:val="24"/>
          <w:szCs w:val="32"/>
        </w:rPr>
        <w:t>2016.7.5</w:t>
      </w:r>
      <w:r w:rsidRPr="00925B84">
        <w:rPr>
          <w:rFonts w:hint="eastAsia"/>
          <w:sz w:val="24"/>
          <w:szCs w:val="32"/>
        </w:rPr>
        <w:t>；</w:t>
      </w:r>
    </w:p>
    <w:p w:rsidR="00C223F5" w:rsidRPr="00925B84" w:rsidRDefault="005860D5" w:rsidP="006B2BD5">
      <w:pPr>
        <w:numPr>
          <w:ilvl w:val="0"/>
          <w:numId w:val="7"/>
        </w:numPr>
        <w:spacing w:line="360" w:lineRule="auto"/>
        <w:ind w:firstLineChars="200" w:firstLine="480"/>
        <w:rPr>
          <w:sz w:val="24"/>
        </w:rPr>
      </w:pPr>
      <w:r w:rsidRPr="00925B84">
        <w:rPr>
          <w:smallCaps/>
          <w:sz w:val="24"/>
        </w:rPr>
        <w:t>《陕西省人民政府关于横山县天云煤矿与沈石畔勘查区煤矿资源整合问题的批复》</w:t>
      </w:r>
      <w:r w:rsidRPr="00925B84">
        <w:rPr>
          <w:rFonts w:hint="eastAsia"/>
          <w:smallCaps/>
          <w:sz w:val="24"/>
        </w:rPr>
        <w:t>，陕西省人民政府，</w:t>
      </w:r>
      <w:r w:rsidRPr="00925B84">
        <w:rPr>
          <w:smallCaps/>
          <w:sz w:val="24"/>
        </w:rPr>
        <w:t>陕政函</w:t>
      </w:r>
      <w:r w:rsidRPr="00925B84">
        <w:rPr>
          <w:smallCaps/>
          <w:sz w:val="24"/>
        </w:rPr>
        <w:t>[2014]63</w:t>
      </w:r>
      <w:r w:rsidRPr="00925B84">
        <w:rPr>
          <w:smallCaps/>
          <w:sz w:val="24"/>
        </w:rPr>
        <w:t>号</w:t>
      </w:r>
      <w:r w:rsidRPr="00925B84">
        <w:rPr>
          <w:rFonts w:hint="eastAsia"/>
          <w:smallCaps/>
          <w:sz w:val="24"/>
        </w:rPr>
        <w:t>，</w:t>
      </w:r>
      <w:r w:rsidRPr="00925B84">
        <w:rPr>
          <w:rFonts w:hint="eastAsia"/>
          <w:smallCaps/>
          <w:sz w:val="24"/>
        </w:rPr>
        <w:t>2014.6.4</w:t>
      </w:r>
      <w:r w:rsidRPr="00925B84">
        <w:rPr>
          <w:rFonts w:hint="eastAsia"/>
          <w:sz w:val="24"/>
        </w:rPr>
        <w:t>。</w:t>
      </w:r>
    </w:p>
    <w:p w:rsidR="00C223F5" w:rsidRPr="00925B84" w:rsidRDefault="005860D5" w:rsidP="004835BD">
      <w:pPr>
        <w:pStyle w:val="3"/>
        <w:numPr>
          <w:ilvl w:val="0"/>
          <w:numId w:val="0"/>
        </w:numPr>
        <w:spacing w:before="0" w:after="0" w:line="360" w:lineRule="auto"/>
        <w:ind w:left="170"/>
        <w:rPr>
          <w:rFonts w:eastAsia="宋体"/>
          <w:b/>
          <w:bCs w:val="0"/>
          <w:sz w:val="28"/>
          <w:szCs w:val="28"/>
        </w:rPr>
      </w:pPr>
      <w:bookmarkStart w:id="64" w:name="_Toc527493475"/>
      <w:bookmarkStart w:id="65" w:name="_Toc525762740"/>
      <w:bookmarkStart w:id="66" w:name="_Toc16785227"/>
      <w:r w:rsidRPr="00925B84">
        <w:rPr>
          <w:rFonts w:eastAsia="宋体" w:hint="eastAsia"/>
          <w:b/>
          <w:bCs w:val="0"/>
          <w:sz w:val="28"/>
          <w:szCs w:val="28"/>
        </w:rPr>
        <w:t>1</w:t>
      </w:r>
      <w:r w:rsidRPr="00925B84">
        <w:rPr>
          <w:rFonts w:eastAsia="宋体"/>
          <w:b/>
          <w:bCs w:val="0"/>
          <w:sz w:val="28"/>
          <w:szCs w:val="28"/>
        </w:rPr>
        <w:t>.1.4</w:t>
      </w:r>
      <w:r w:rsidRPr="00925B84">
        <w:rPr>
          <w:rFonts w:eastAsia="宋体" w:hint="eastAsia"/>
          <w:b/>
          <w:bCs w:val="0"/>
          <w:sz w:val="28"/>
          <w:szCs w:val="28"/>
        </w:rPr>
        <w:t>技术规范及要求</w:t>
      </w:r>
      <w:bookmarkEnd w:id="64"/>
      <w:bookmarkEnd w:id="65"/>
      <w:bookmarkEnd w:id="66"/>
    </w:p>
    <w:p w:rsidR="00C223F5" w:rsidRPr="00925B84" w:rsidRDefault="005860D5">
      <w:pPr>
        <w:numPr>
          <w:ilvl w:val="0"/>
          <w:numId w:val="8"/>
        </w:numPr>
        <w:adjustRightInd w:val="0"/>
        <w:snapToGrid w:val="0"/>
        <w:spacing w:line="360" w:lineRule="auto"/>
        <w:ind w:firstLineChars="200" w:firstLine="480"/>
        <w:rPr>
          <w:sz w:val="24"/>
          <w:szCs w:val="32"/>
        </w:rPr>
      </w:pPr>
      <w:r w:rsidRPr="00925B84">
        <w:rPr>
          <w:rFonts w:hint="eastAsia"/>
          <w:sz w:val="24"/>
        </w:rPr>
        <w:t>《建设项目环境影响评价技术导则》（总纲</w:t>
      </w:r>
      <w:r w:rsidRPr="00925B84">
        <w:rPr>
          <w:rFonts w:hint="eastAsia"/>
          <w:sz w:val="24"/>
        </w:rPr>
        <w:t>HJ2.1-2016</w:t>
      </w:r>
      <w:r w:rsidRPr="00925B84">
        <w:rPr>
          <w:rFonts w:hint="eastAsia"/>
          <w:sz w:val="24"/>
        </w:rPr>
        <w:t>）；</w:t>
      </w:r>
    </w:p>
    <w:p w:rsidR="00C223F5" w:rsidRPr="00925B84" w:rsidRDefault="005860D5">
      <w:pPr>
        <w:numPr>
          <w:ilvl w:val="0"/>
          <w:numId w:val="8"/>
        </w:numPr>
        <w:adjustRightInd w:val="0"/>
        <w:snapToGrid w:val="0"/>
        <w:spacing w:line="360" w:lineRule="auto"/>
        <w:ind w:firstLineChars="200" w:firstLine="480"/>
        <w:rPr>
          <w:sz w:val="24"/>
          <w:szCs w:val="32"/>
        </w:rPr>
      </w:pPr>
      <w:r w:rsidRPr="00925B84">
        <w:rPr>
          <w:rFonts w:hint="eastAsia"/>
          <w:sz w:val="24"/>
        </w:rPr>
        <w:t>《环境影响评价技术导则》大气环境</w:t>
      </w:r>
      <w:r w:rsidRPr="00925B84">
        <w:rPr>
          <w:rFonts w:hint="eastAsia"/>
          <w:sz w:val="24"/>
        </w:rPr>
        <w:t>HJ2.2-2018</w:t>
      </w:r>
      <w:r w:rsidRPr="00925B84">
        <w:rPr>
          <w:rFonts w:hint="eastAsia"/>
          <w:sz w:val="24"/>
        </w:rPr>
        <w:t>、地表水</w:t>
      </w:r>
      <w:r w:rsidRPr="00925B84">
        <w:rPr>
          <w:rFonts w:hint="eastAsia"/>
          <w:sz w:val="24"/>
        </w:rPr>
        <w:t>HJ2.3-2018</w:t>
      </w:r>
      <w:r w:rsidRPr="00925B84">
        <w:rPr>
          <w:rFonts w:hint="eastAsia"/>
          <w:sz w:val="24"/>
        </w:rPr>
        <w:t>、声环境</w:t>
      </w:r>
      <w:r w:rsidRPr="00925B84">
        <w:rPr>
          <w:rFonts w:hint="eastAsia"/>
          <w:sz w:val="24"/>
        </w:rPr>
        <w:t>HJ2.4-2009</w:t>
      </w:r>
      <w:r w:rsidRPr="00925B84">
        <w:rPr>
          <w:rFonts w:hint="eastAsia"/>
          <w:sz w:val="24"/>
        </w:rPr>
        <w:t>、生态影响</w:t>
      </w:r>
      <w:r w:rsidRPr="00925B84">
        <w:rPr>
          <w:rFonts w:hint="eastAsia"/>
          <w:sz w:val="24"/>
        </w:rPr>
        <w:t>HJ19-2011</w:t>
      </w:r>
      <w:r w:rsidRPr="00925B84">
        <w:rPr>
          <w:rFonts w:hint="eastAsia"/>
          <w:sz w:val="24"/>
        </w:rPr>
        <w:t>、地下水</w:t>
      </w:r>
      <w:r w:rsidRPr="00925B84">
        <w:rPr>
          <w:rFonts w:hint="eastAsia"/>
          <w:sz w:val="24"/>
        </w:rPr>
        <w:t>HJ610-2016</w:t>
      </w:r>
      <w:r w:rsidRPr="00925B84">
        <w:rPr>
          <w:rFonts w:hint="eastAsia"/>
          <w:sz w:val="24"/>
        </w:rPr>
        <w:t>、</w:t>
      </w:r>
      <w:r w:rsidRPr="00925B84">
        <w:rPr>
          <w:rFonts w:hint="eastAsia"/>
          <w:smallCaps/>
          <w:sz w:val="24"/>
        </w:rPr>
        <w:t>土壤</w:t>
      </w:r>
      <w:r w:rsidRPr="00925B84">
        <w:rPr>
          <w:rFonts w:hint="eastAsia"/>
          <w:smallCaps/>
          <w:sz w:val="24"/>
        </w:rPr>
        <w:t>HJ964-2018</w:t>
      </w:r>
      <w:r w:rsidRPr="00925B84">
        <w:rPr>
          <w:rFonts w:hint="eastAsia"/>
          <w:sz w:val="24"/>
        </w:rPr>
        <w:t>、煤炭采选工程</w:t>
      </w:r>
      <w:r w:rsidRPr="00925B84">
        <w:rPr>
          <w:rFonts w:hint="eastAsia"/>
          <w:sz w:val="24"/>
        </w:rPr>
        <w:t>HJ619-2011</w:t>
      </w:r>
      <w:r w:rsidRPr="00925B84">
        <w:rPr>
          <w:rFonts w:hint="eastAsia"/>
          <w:sz w:val="24"/>
        </w:rPr>
        <w:t>）</w:t>
      </w:r>
      <w:r w:rsidRPr="00925B84">
        <w:rPr>
          <w:sz w:val="24"/>
          <w:szCs w:val="32"/>
        </w:rPr>
        <w:t>；</w:t>
      </w:r>
    </w:p>
    <w:p w:rsidR="00C223F5" w:rsidRPr="00925B84" w:rsidRDefault="005860D5">
      <w:pPr>
        <w:numPr>
          <w:ilvl w:val="0"/>
          <w:numId w:val="8"/>
        </w:numPr>
        <w:adjustRightInd w:val="0"/>
        <w:snapToGrid w:val="0"/>
        <w:spacing w:line="360" w:lineRule="auto"/>
        <w:ind w:firstLineChars="200" w:firstLine="480"/>
        <w:rPr>
          <w:sz w:val="24"/>
          <w:szCs w:val="32"/>
        </w:rPr>
      </w:pPr>
      <w:r w:rsidRPr="00925B84">
        <w:rPr>
          <w:rFonts w:hint="eastAsia"/>
          <w:sz w:val="24"/>
        </w:rPr>
        <w:t>《建设项目环境风险评价技术导则》</w:t>
      </w:r>
      <w:r w:rsidRPr="00925B84">
        <w:rPr>
          <w:rFonts w:hint="eastAsia"/>
          <w:sz w:val="24"/>
        </w:rPr>
        <w:t>HJ 169-2018</w:t>
      </w:r>
      <w:r w:rsidRPr="00925B84">
        <w:rPr>
          <w:sz w:val="24"/>
        </w:rPr>
        <w:t>；</w:t>
      </w:r>
    </w:p>
    <w:p w:rsidR="00C223F5" w:rsidRDefault="005860D5">
      <w:pPr>
        <w:numPr>
          <w:ilvl w:val="0"/>
          <w:numId w:val="8"/>
        </w:numPr>
        <w:adjustRightInd w:val="0"/>
        <w:snapToGrid w:val="0"/>
        <w:spacing w:line="360" w:lineRule="auto"/>
        <w:ind w:firstLineChars="200" w:firstLine="480"/>
        <w:rPr>
          <w:sz w:val="24"/>
          <w:szCs w:val="32"/>
        </w:rPr>
      </w:pPr>
      <w:r w:rsidRPr="00925B84">
        <w:rPr>
          <w:sz w:val="24"/>
          <w:szCs w:val="32"/>
        </w:rPr>
        <w:t>《建筑物、水体、铁路及主要井巷煤柱留设与压煤开采规</w:t>
      </w:r>
      <w:r w:rsidRPr="00925B84">
        <w:rPr>
          <w:rFonts w:hint="eastAsia"/>
          <w:sz w:val="24"/>
          <w:szCs w:val="32"/>
        </w:rPr>
        <w:t>范</w:t>
      </w:r>
      <w:r w:rsidRPr="00925B84">
        <w:rPr>
          <w:sz w:val="24"/>
          <w:szCs w:val="32"/>
        </w:rPr>
        <w:t>》，</w:t>
      </w:r>
      <w:r w:rsidRPr="00925B84">
        <w:rPr>
          <w:rFonts w:hint="eastAsia"/>
          <w:sz w:val="24"/>
          <w:szCs w:val="32"/>
        </w:rPr>
        <w:t>国家</w:t>
      </w:r>
      <w:r>
        <w:rPr>
          <w:rFonts w:hint="eastAsia"/>
          <w:sz w:val="24"/>
          <w:szCs w:val="32"/>
        </w:rPr>
        <w:t>安全监管总局</w:t>
      </w:r>
      <w:r>
        <w:rPr>
          <w:sz w:val="24"/>
          <w:szCs w:val="32"/>
        </w:rPr>
        <w:t>，</w:t>
      </w:r>
      <w:r>
        <w:rPr>
          <w:rFonts w:hint="eastAsia"/>
          <w:sz w:val="24"/>
          <w:szCs w:val="32"/>
        </w:rPr>
        <w:t>国家煤矿安监局</w:t>
      </w:r>
      <w:r>
        <w:rPr>
          <w:sz w:val="24"/>
          <w:szCs w:val="32"/>
        </w:rPr>
        <w:t>，</w:t>
      </w:r>
      <w:r>
        <w:rPr>
          <w:rFonts w:hint="eastAsia"/>
          <w:sz w:val="24"/>
          <w:szCs w:val="32"/>
        </w:rPr>
        <w:t>国家能源局、国家铁路局，</w:t>
      </w:r>
      <w:r>
        <w:rPr>
          <w:sz w:val="24"/>
          <w:szCs w:val="32"/>
        </w:rPr>
        <w:t>20</w:t>
      </w:r>
      <w:r>
        <w:rPr>
          <w:rFonts w:hint="eastAsia"/>
          <w:sz w:val="24"/>
          <w:szCs w:val="32"/>
        </w:rPr>
        <w:t>17.5</w:t>
      </w:r>
      <w:r>
        <w:rPr>
          <w:rFonts w:hint="eastAsia"/>
          <w:sz w:val="24"/>
          <w:szCs w:val="32"/>
        </w:rPr>
        <w:t>。</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67" w:name="_Toc533604687"/>
      <w:bookmarkStart w:id="68" w:name="_Toc533604267"/>
      <w:bookmarkStart w:id="69" w:name="_Toc216254901"/>
      <w:bookmarkStart w:id="70" w:name="_Toc16785228"/>
      <w:bookmarkEnd w:id="58"/>
      <w:bookmarkEnd w:id="59"/>
      <w:bookmarkEnd w:id="60"/>
      <w:r>
        <w:rPr>
          <w:rFonts w:eastAsia="宋体" w:hint="eastAsia"/>
          <w:b/>
          <w:bCs w:val="0"/>
          <w:sz w:val="28"/>
          <w:szCs w:val="28"/>
        </w:rPr>
        <w:t>1</w:t>
      </w:r>
      <w:r>
        <w:rPr>
          <w:rFonts w:eastAsia="宋体"/>
          <w:b/>
          <w:bCs w:val="0"/>
          <w:sz w:val="28"/>
          <w:szCs w:val="28"/>
        </w:rPr>
        <w:t>.1.</w:t>
      </w:r>
      <w:r>
        <w:rPr>
          <w:rFonts w:eastAsia="宋体" w:hint="eastAsia"/>
          <w:b/>
          <w:bCs w:val="0"/>
          <w:sz w:val="28"/>
          <w:szCs w:val="28"/>
        </w:rPr>
        <w:t>5</w:t>
      </w:r>
      <w:r>
        <w:rPr>
          <w:rFonts w:eastAsia="宋体"/>
          <w:b/>
          <w:bCs w:val="0"/>
          <w:sz w:val="28"/>
          <w:szCs w:val="28"/>
        </w:rPr>
        <w:t>技术资料</w:t>
      </w:r>
      <w:bookmarkEnd w:id="67"/>
      <w:bookmarkEnd w:id="68"/>
      <w:bookmarkEnd w:id="69"/>
      <w:bookmarkEnd w:id="70"/>
    </w:p>
    <w:p w:rsidR="00C223F5" w:rsidRDefault="005860D5">
      <w:pPr>
        <w:numPr>
          <w:ilvl w:val="0"/>
          <w:numId w:val="9"/>
        </w:numPr>
        <w:adjustRightInd w:val="0"/>
        <w:snapToGrid w:val="0"/>
        <w:spacing w:line="360" w:lineRule="auto"/>
        <w:ind w:firstLine="480"/>
        <w:rPr>
          <w:sz w:val="24"/>
        </w:rPr>
      </w:pPr>
      <w:r>
        <w:rPr>
          <w:rFonts w:hint="eastAsia"/>
          <w:sz w:val="24"/>
        </w:rPr>
        <w:t>《横山县天云煤矿有限公司天云煤矿资源整合开采设计说明书》，中煤西安设计工程有限责任公司，</w:t>
      </w:r>
      <w:r>
        <w:rPr>
          <w:sz w:val="24"/>
        </w:rPr>
        <w:t>20</w:t>
      </w:r>
      <w:r>
        <w:rPr>
          <w:rFonts w:hint="eastAsia"/>
          <w:sz w:val="24"/>
        </w:rPr>
        <w:t>18.11</w:t>
      </w:r>
      <w:r>
        <w:rPr>
          <w:sz w:val="24"/>
        </w:rPr>
        <w:t>；</w:t>
      </w:r>
    </w:p>
    <w:p w:rsidR="00C223F5" w:rsidRDefault="005860D5">
      <w:pPr>
        <w:numPr>
          <w:ilvl w:val="0"/>
          <w:numId w:val="9"/>
        </w:numPr>
        <w:adjustRightInd w:val="0"/>
        <w:snapToGrid w:val="0"/>
        <w:spacing w:line="360" w:lineRule="auto"/>
        <w:ind w:firstLineChars="200" w:firstLine="480"/>
        <w:rPr>
          <w:sz w:val="24"/>
        </w:rPr>
      </w:pPr>
      <w:r>
        <w:rPr>
          <w:rFonts w:hint="eastAsia"/>
          <w:sz w:val="24"/>
        </w:rPr>
        <w:t>《陕西省陕北三叠纪煤田横山矿区横山县天云煤矿资源储量核实报告</w:t>
      </w:r>
      <w:r>
        <w:rPr>
          <w:sz w:val="24"/>
        </w:rPr>
        <w:t>》</w:t>
      </w:r>
      <w:r>
        <w:rPr>
          <w:rFonts w:hint="eastAsia"/>
          <w:sz w:val="24"/>
        </w:rPr>
        <w:t>，陕西省一八五煤田地质有限公司，</w:t>
      </w:r>
      <w:r>
        <w:rPr>
          <w:rFonts w:hint="eastAsia"/>
          <w:sz w:val="24"/>
        </w:rPr>
        <w:t>2016.9</w:t>
      </w:r>
      <w:r>
        <w:rPr>
          <w:rFonts w:hint="eastAsia"/>
          <w:sz w:val="24"/>
        </w:rPr>
        <w:t>；</w:t>
      </w:r>
    </w:p>
    <w:p w:rsidR="00C223F5" w:rsidRDefault="005860D5">
      <w:pPr>
        <w:numPr>
          <w:ilvl w:val="0"/>
          <w:numId w:val="9"/>
        </w:numPr>
        <w:adjustRightInd w:val="0"/>
        <w:snapToGrid w:val="0"/>
        <w:spacing w:line="360" w:lineRule="auto"/>
        <w:ind w:firstLineChars="200" w:firstLine="480"/>
        <w:rPr>
          <w:sz w:val="24"/>
        </w:rPr>
      </w:pPr>
      <w:r>
        <w:rPr>
          <w:rFonts w:hint="eastAsia"/>
          <w:sz w:val="24"/>
        </w:rPr>
        <w:t>《横山县天云煤矿有限公司天云煤矿资源整合项目水土保持方案报告书》，中煤科工集团西安研究院有限公司，</w:t>
      </w:r>
      <w:r>
        <w:rPr>
          <w:sz w:val="24"/>
        </w:rPr>
        <w:t>201</w:t>
      </w:r>
      <w:r>
        <w:rPr>
          <w:rFonts w:hint="eastAsia"/>
          <w:sz w:val="24"/>
        </w:rPr>
        <w:t>9.3</w:t>
      </w:r>
      <w:r>
        <w:rPr>
          <w:rFonts w:hint="eastAsia"/>
          <w:sz w:val="24"/>
        </w:rPr>
        <w:t>；</w:t>
      </w:r>
    </w:p>
    <w:p w:rsidR="00C223F5" w:rsidRDefault="005860D5">
      <w:pPr>
        <w:numPr>
          <w:ilvl w:val="0"/>
          <w:numId w:val="9"/>
        </w:numPr>
        <w:adjustRightInd w:val="0"/>
        <w:snapToGrid w:val="0"/>
        <w:spacing w:line="360" w:lineRule="auto"/>
        <w:ind w:firstLine="480"/>
        <w:rPr>
          <w:sz w:val="24"/>
        </w:rPr>
      </w:pPr>
      <w:r>
        <w:rPr>
          <w:rFonts w:hint="eastAsia"/>
          <w:sz w:val="24"/>
        </w:rPr>
        <w:t>《横山县天云煤矿有限公司煤炭资源整合项目环境影响报告书（</w:t>
      </w:r>
      <w:r>
        <w:rPr>
          <w:rFonts w:hint="eastAsia"/>
          <w:sz w:val="24"/>
        </w:rPr>
        <w:t>42</w:t>
      </w:r>
      <w:r>
        <w:rPr>
          <w:rFonts w:hint="eastAsia"/>
          <w:sz w:val="24"/>
        </w:rPr>
        <w:t>万吨</w:t>
      </w:r>
      <w:r>
        <w:rPr>
          <w:rFonts w:hint="eastAsia"/>
          <w:sz w:val="24"/>
        </w:rPr>
        <w:t>/</w:t>
      </w:r>
      <w:r>
        <w:rPr>
          <w:rFonts w:hint="eastAsia"/>
          <w:sz w:val="24"/>
        </w:rPr>
        <w:t>年）》，</w:t>
      </w:r>
      <w:r>
        <w:rPr>
          <w:sz w:val="24"/>
        </w:rPr>
        <w:t>西安地质矿产研究所</w:t>
      </w:r>
      <w:r>
        <w:rPr>
          <w:rFonts w:hint="eastAsia"/>
          <w:sz w:val="24"/>
        </w:rPr>
        <w:t>，</w:t>
      </w:r>
      <w:r>
        <w:rPr>
          <w:rFonts w:hint="eastAsia"/>
          <w:sz w:val="24"/>
        </w:rPr>
        <w:t>2011.1</w:t>
      </w:r>
      <w:r>
        <w:rPr>
          <w:sz w:val="24"/>
        </w:rPr>
        <w:t>；</w:t>
      </w:r>
    </w:p>
    <w:p w:rsidR="00C223F5" w:rsidRDefault="005860D5">
      <w:pPr>
        <w:numPr>
          <w:ilvl w:val="0"/>
          <w:numId w:val="9"/>
        </w:numPr>
        <w:adjustRightInd w:val="0"/>
        <w:snapToGrid w:val="0"/>
        <w:spacing w:line="360" w:lineRule="auto"/>
        <w:ind w:firstLineChars="200" w:firstLine="480"/>
        <w:rPr>
          <w:sz w:val="24"/>
        </w:rPr>
      </w:pPr>
      <w:r>
        <w:rPr>
          <w:rFonts w:hint="eastAsia"/>
          <w:sz w:val="24"/>
        </w:rPr>
        <w:t>《横山县天云煤矿有限公司煤矿资源整合项目环境保护验收调查报告》（陕环咨（验）字</w:t>
      </w:r>
      <w:r>
        <w:rPr>
          <w:rFonts w:hint="eastAsia"/>
          <w:sz w:val="24"/>
        </w:rPr>
        <w:t>[2016]</w:t>
      </w:r>
      <w:r>
        <w:rPr>
          <w:rFonts w:hint="eastAsia"/>
          <w:sz w:val="24"/>
        </w:rPr>
        <w:t>第</w:t>
      </w:r>
      <w:r>
        <w:rPr>
          <w:rFonts w:hint="eastAsia"/>
          <w:sz w:val="24"/>
        </w:rPr>
        <w:t>040</w:t>
      </w:r>
      <w:r>
        <w:rPr>
          <w:rFonts w:hint="eastAsia"/>
          <w:sz w:val="24"/>
        </w:rPr>
        <w:t>号），</w:t>
      </w:r>
      <w:r>
        <w:rPr>
          <w:sz w:val="24"/>
        </w:rPr>
        <w:t>陕西环境监测技术服务咨询中心</w:t>
      </w:r>
      <w:r>
        <w:rPr>
          <w:rFonts w:hint="eastAsia"/>
          <w:sz w:val="24"/>
        </w:rPr>
        <w:t>，</w:t>
      </w:r>
      <w:r>
        <w:rPr>
          <w:rFonts w:hint="eastAsia"/>
          <w:sz w:val="24"/>
        </w:rPr>
        <w:t>2017.9</w:t>
      </w:r>
      <w:r>
        <w:rPr>
          <w:rFonts w:hint="eastAsia"/>
          <w:sz w:val="24"/>
        </w:rPr>
        <w:t>；</w:t>
      </w:r>
    </w:p>
    <w:p w:rsidR="00C223F5" w:rsidRDefault="005860D5">
      <w:pPr>
        <w:numPr>
          <w:ilvl w:val="0"/>
          <w:numId w:val="9"/>
        </w:numPr>
        <w:adjustRightInd w:val="0"/>
        <w:snapToGrid w:val="0"/>
        <w:spacing w:line="360" w:lineRule="auto"/>
        <w:ind w:firstLineChars="200" w:firstLine="480"/>
        <w:rPr>
          <w:sz w:val="24"/>
        </w:rPr>
      </w:pPr>
      <w:r>
        <w:rPr>
          <w:rFonts w:hint="eastAsia"/>
          <w:sz w:val="24"/>
        </w:rPr>
        <w:t>《横山县天云煤矿有限公司煤矿资源整合项目入河排污口设置论证报</w:t>
      </w:r>
      <w:r>
        <w:rPr>
          <w:rFonts w:hint="eastAsia"/>
          <w:sz w:val="24"/>
        </w:rPr>
        <w:lastRenderedPageBreak/>
        <w:t>告》，榆林市泰恒水利水电工程有限公司，</w:t>
      </w:r>
      <w:r>
        <w:rPr>
          <w:rFonts w:hint="eastAsia"/>
          <w:sz w:val="24"/>
        </w:rPr>
        <w:t>2018.10</w:t>
      </w:r>
      <w:r>
        <w:rPr>
          <w:rFonts w:hint="eastAsia"/>
          <w:sz w:val="24"/>
        </w:rPr>
        <w:t>；</w:t>
      </w:r>
    </w:p>
    <w:p w:rsidR="00C223F5" w:rsidRDefault="005860D5">
      <w:pPr>
        <w:numPr>
          <w:ilvl w:val="0"/>
          <w:numId w:val="9"/>
        </w:numPr>
        <w:adjustRightInd w:val="0"/>
        <w:snapToGrid w:val="0"/>
        <w:spacing w:line="360" w:lineRule="auto"/>
        <w:ind w:firstLineChars="200" w:firstLine="480"/>
        <w:rPr>
          <w:sz w:val="24"/>
        </w:rPr>
      </w:pPr>
      <w:r>
        <w:rPr>
          <w:sz w:val="24"/>
        </w:rPr>
        <w:t>监测资料。</w:t>
      </w: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71" w:name="_Toc533604688"/>
      <w:bookmarkStart w:id="72" w:name="_Toc533604268"/>
      <w:bookmarkStart w:id="73" w:name="_Toc16785229"/>
      <w:r>
        <w:rPr>
          <w:rFonts w:ascii="Times New Roman" w:eastAsia="宋体" w:hAnsi="Times New Roman" w:hint="eastAsia"/>
          <w:b/>
          <w:bCs w:val="0"/>
          <w:szCs w:val="30"/>
        </w:rPr>
        <w:t>1</w:t>
      </w:r>
      <w:r>
        <w:rPr>
          <w:rFonts w:ascii="Times New Roman" w:eastAsia="宋体" w:hAnsi="Times New Roman"/>
          <w:b/>
          <w:bCs w:val="0"/>
          <w:szCs w:val="30"/>
        </w:rPr>
        <w:t>.2</w:t>
      </w:r>
      <w:r>
        <w:rPr>
          <w:rFonts w:ascii="Times New Roman" w:eastAsia="宋体" w:hAnsi="Times New Roman" w:hint="eastAsia"/>
          <w:b/>
          <w:bCs w:val="0"/>
          <w:szCs w:val="30"/>
        </w:rPr>
        <w:t>评价目的、原则及时段</w:t>
      </w:r>
      <w:bookmarkEnd w:id="71"/>
      <w:bookmarkEnd w:id="72"/>
      <w:bookmarkEnd w:id="73"/>
    </w:p>
    <w:p w:rsidR="00C223F5" w:rsidRDefault="005860D5" w:rsidP="004835BD">
      <w:pPr>
        <w:pStyle w:val="3"/>
        <w:numPr>
          <w:ilvl w:val="0"/>
          <w:numId w:val="0"/>
        </w:numPr>
        <w:spacing w:before="0" w:after="0" w:line="360" w:lineRule="auto"/>
        <w:ind w:left="170"/>
        <w:rPr>
          <w:rFonts w:eastAsia="宋体"/>
          <w:b/>
          <w:bCs w:val="0"/>
          <w:sz w:val="28"/>
          <w:szCs w:val="28"/>
        </w:rPr>
      </w:pPr>
      <w:bookmarkStart w:id="74" w:name="_Toc533604269"/>
      <w:bookmarkStart w:id="75" w:name="_Toc216254903"/>
      <w:bookmarkStart w:id="76" w:name="_Toc533604689"/>
      <w:bookmarkStart w:id="77" w:name="_Toc16785230"/>
      <w:r>
        <w:rPr>
          <w:rFonts w:eastAsia="宋体" w:hint="eastAsia"/>
          <w:b/>
          <w:bCs w:val="0"/>
          <w:sz w:val="28"/>
          <w:szCs w:val="28"/>
        </w:rPr>
        <w:t>1.</w:t>
      </w:r>
      <w:r>
        <w:rPr>
          <w:rFonts w:eastAsia="宋体"/>
          <w:b/>
          <w:bCs w:val="0"/>
          <w:sz w:val="28"/>
          <w:szCs w:val="28"/>
        </w:rPr>
        <w:t>2.1</w:t>
      </w:r>
      <w:r>
        <w:rPr>
          <w:rFonts w:eastAsia="宋体"/>
          <w:b/>
          <w:bCs w:val="0"/>
          <w:sz w:val="28"/>
          <w:szCs w:val="28"/>
        </w:rPr>
        <w:t>评价目的</w:t>
      </w:r>
      <w:bookmarkEnd w:id="74"/>
      <w:bookmarkEnd w:id="75"/>
      <w:bookmarkEnd w:id="76"/>
      <w:bookmarkEnd w:id="77"/>
    </w:p>
    <w:p w:rsidR="00C223F5" w:rsidRDefault="005860D5">
      <w:pPr>
        <w:spacing w:line="360" w:lineRule="auto"/>
        <w:ind w:firstLineChars="200" w:firstLine="480"/>
        <w:rPr>
          <w:sz w:val="24"/>
        </w:rPr>
      </w:pPr>
      <w:r>
        <w:rPr>
          <w:sz w:val="24"/>
        </w:rPr>
        <w:t>（</w:t>
      </w:r>
      <w:r>
        <w:rPr>
          <w:sz w:val="24"/>
        </w:rPr>
        <w:t>1</w:t>
      </w:r>
      <w:r>
        <w:rPr>
          <w:sz w:val="24"/>
        </w:rPr>
        <w:t>）为了全面贯彻落实科学发展观，规范煤矿开采，避免资源浪费、促进煤炭工业健康发展，有效解决煤炭开发过程中环境污染及生态破坏，保护和改善区域生活环境和生态环境，积极贯彻《环境影响评价法》。</w:t>
      </w:r>
    </w:p>
    <w:p w:rsidR="00C223F5" w:rsidRDefault="005860D5">
      <w:pPr>
        <w:spacing w:line="360" w:lineRule="auto"/>
        <w:ind w:firstLineChars="200" w:firstLine="480"/>
        <w:rPr>
          <w:sz w:val="24"/>
        </w:rPr>
      </w:pPr>
      <w:r>
        <w:rPr>
          <w:sz w:val="24"/>
        </w:rPr>
        <w:t>（</w:t>
      </w:r>
      <w:r>
        <w:rPr>
          <w:sz w:val="24"/>
        </w:rPr>
        <w:t>2</w:t>
      </w:r>
      <w:r>
        <w:rPr>
          <w:sz w:val="24"/>
        </w:rPr>
        <w:t>）贯彻、推行清洁生产的环境管理方针，通过整合前煤矿污染排放状况、主要环境问题，以及煤矿所在区域环境质量现状，按</w:t>
      </w:r>
      <w:r>
        <w:rPr>
          <w:sz w:val="24"/>
        </w:rPr>
        <w:t>“</w:t>
      </w:r>
      <w:r>
        <w:rPr>
          <w:sz w:val="24"/>
        </w:rPr>
        <w:t>以新带老</w:t>
      </w:r>
      <w:r>
        <w:rPr>
          <w:sz w:val="24"/>
        </w:rPr>
        <w:t>”</w:t>
      </w:r>
      <w:r>
        <w:rPr>
          <w:sz w:val="24"/>
        </w:rPr>
        <w:t>的原则，预测整合后矿井对当地的环境质量和生态环境可能造成的不良影响。从保护矿区生态、控制污染、提高资源的循环利用率上寻求对策。为资源整合项目实现优化设计、合理布局以及环境管理提供科学依据。</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78" w:name="_Toc533604690"/>
      <w:bookmarkStart w:id="79" w:name="_Toc533604270"/>
      <w:bookmarkStart w:id="80" w:name="_Toc216254904"/>
      <w:bookmarkStart w:id="81" w:name="_Toc16785231"/>
      <w:r>
        <w:rPr>
          <w:rFonts w:eastAsia="宋体" w:hint="eastAsia"/>
          <w:b/>
          <w:bCs w:val="0"/>
          <w:sz w:val="28"/>
          <w:szCs w:val="28"/>
        </w:rPr>
        <w:t>1.</w:t>
      </w:r>
      <w:r>
        <w:rPr>
          <w:rFonts w:eastAsia="宋体"/>
          <w:b/>
          <w:bCs w:val="0"/>
          <w:sz w:val="28"/>
          <w:szCs w:val="28"/>
        </w:rPr>
        <w:t>2.2</w:t>
      </w:r>
      <w:r>
        <w:rPr>
          <w:rFonts w:eastAsia="宋体"/>
          <w:b/>
          <w:bCs w:val="0"/>
          <w:sz w:val="28"/>
          <w:szCs w:val="28"/>
        </w:rPr>
        <w:t>评价原则</w:t>
      </w:r>
      <w:bookmarkEnd w:id="78"/>
      <w:bookmarkEnd w:id="79"/>
      <w:bookmarkEnd w:id="80"/>
      <w:bookmarkEnd w:id="81"/>
    </w:p>
    <w:p w:rsidR="00C223F5" w:rsidRDefault="005860D5">
      <w:pPr>
        <w:spacing w:line="360" w:lineRule="auto"/>
        <w:ind w:firstLineChars="200" w:firstLine="480"/>
        <w:rPr>
          <w:sz w:val="24"/>
        </w:rPr>
      </w:pPr>
      <w:r>
        <w:rPr>
          <w:sz w:val="24"/>
        </w:rPr>
        <w:t>（</w:t>
      </w:r>
      <w:r>
        <w:rPr>
          <w:sz w:val="24"/>
        </w:rPr>
        <w:t>1</w:t>
      </w:r>
      <w:r>
        <w:rPr>
          <w:sz w:val="24"/>
        </w:rPr>
        <w:t>）结合煤炭资源整合</w:t>
      </w:r>
      <w:r>
        <w:rPr>
          <w:rFonts w:hint="eastAsia"/>
          <w:sz w:val="24"/>
        </w:rPr>
        <w:t>项目</w:t>
      </w:r>
      <w:r>
        <w:rPr>
          <w:sz w:val="24"/>
        </w:rPr>
        <w:t>特征和环境特点，以环保法规为依据，以有关方针、政策为指导，力求客观、公正</w:t>
      </w:r>
      <w:r>
        <w:rPr>
          <w:rFonts w:hint="eastAsia"/>
          <w:sz w:val="24"/>
        </w:rPr>
        <w:t>、公开</w:t>
      </w:r>
      <w:r>
        <w:rPr>
          <w:sz w:val="24"/>
        </w:rPr>
        <w:t>地进行评价；</w:t>
      </w:r>
    </w:p>
    <w:p w:rsidR="00C223F5" w:rsidRDefault="005860D5">
      <w:pPr>
        <w:spacing w:line="360" w:lineRule="auto"/>
        <w:ind w:firstLineChars="200" w:firstLine="480"/>
        <w:rPr>
          <w:sz w:val="24"/>
        </w:rPr>
      </w:pPr>
      <w:r>
        <w:rPr>
          <w:sz w:val="24"/>
        </w:rPr>
        <w:t>（</w:t>
      </w:r>
      <w:r>
        <w:rPr>
          <w:sz w:val="24"/>
        </w:rPr>
        <w:t>2</w:t>
      </w:r>
      <w:r>
        <w:rPr>
          <w:sz w:val="24"/>
        </w:rPr>
        <w:t>）尽量收集、利用现有资料、类比资料及</w:t>
      </w:r>
      <w:r>
        <w:rPr>
          <w:rFonts w:hint="eastAsia"/>
          <w:sz w:val="24"/>
        </w:rPr>
        <w:t>周边</w:t>
      </w:r>
      <w:r>
        <w:rPr>
          <w:sz w:val="24"/>
        </w:rPr>
        <w:t>矿井环评成果进行评价，并进行现场调查；</w:t>
      </w:r>
    </w:p>
    <w:p w:rsidR="00C223F5" w:rsidRDefault="005860D5">
      <w:pPr>
        <w:spacing w:line="360" w:lineRule="auto"/>
        <w:ind w:firstLineChars="200" w:firstLine="480"/>
        <w:rPr>
          <w:sz w:val="24"/>
        </w:rPr>
      </w:pPr>
      <w:r>
        <w:rPr>
          <w:sz w:val="24"/>
        </w:rPr>
        <w:t>（</w:t>
      </w:r>
      <w:r>
        <w:rPr>
          <w:rFonts w:hint="eastAsia"/>
          <w:sz w:val="24"/>
        </w:rPr>
        <w:t>3</w:t>
      </w:r>
      <w:r>
        <w:rPr>
          <w:sz w:val="24"/>
        </w:rPr>
        <w:t>）突出工程分析，摸清污染物排放状况，</w:t>
      </w:r>
      <w:r>
        <w:rPr>
          <w:rFonts w:hint="eastAsia"/>
          <w:sz w:val="24"/>
        </w:rPr>
        <w:t>体现源头预防作用，采取合理可靠的污染防治措施，保护环境质量；</w:t>
      </w:r>
    </w:p>
    <w:p w:rsidR="00C223F5" w:rsidRDefault="005860D5">
      <w:pPr>
        <w:spacing w:line="360" w:lineRule="auto"/>
        <w:ind w:firstLineChars="200" w:firstLine="480"/>
        <w:rPr>
          <w:sz w:val="24"/>
        </w:rPr>
      </w:pPr>
      <w:r>
        <w:rPr>
          <w:sz w:val="24"/>
        </w:rPr>
        <w:t>（</w:t>
      </w:r>
      <w:r>
        <w:rPr>
          <w:rFonts w:hint="eastAsia"/>
          <w:sz w:val="24"/>
        </w:rPr>
        <w:t>4</w:t>
      </w:r>
      <w:r>
        <w:rPr>
          <w:sz w:val="24"/>
        </w:rPr>
        <w:t>）报告书编写力求简洁、明了、重点突出。</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82" w:name="_Toc533604271"/>
      <w:bookmarkStart w:id="83" w:name="_Toc533604691"/>
      <w:bookmarkStart w:id="84" w:name="_Toc16785232"/>
      <w:r>
        <w:rPr>
          <w:rFonts w:eastAsia="宋体" w:hint="eastAsia"/>
          <w:b/>
          <w:bCs w:val="0"/>
          <w:sz w:val="28"/>
          <w:szCs w:val="28"/>
        </w:rPr>
        <w:t>1.</w:t>
      </w:r>
      <w:r>
        <w:rPr>
          <w:rFonts w:eastAsia="宋体"/>
          <w:b/>
          <w:bCs w:val="0"/>
          <w:sz w:val="28"/>
          <w:szCs w:val="28"/>
        </w:rPr>
        <w:t>2.</w:t>
      </w:r>
      <w:r>
        <w:rPr>
          <w:rFonts w:eastAsia="宋体" w:hint="eastAsia"/>
          <w:b/>
          <w:bCs w:val="0"/>
          <w:sz w:val="28"/>
          <w:szCs w:val="28"/>
        </w:rPr>
        <w:t>3</w:t>
      </w:r>
      <w:r>
        <w:rPr>
          <w:rFonts w:eastAsia="宋体"/>
          <w:b/>
          <w:bCs w:val="0"/>
          <w:sz w:val="28"/>
          <w:szCs w:val="28"/>
        </w:rPr>
        <w:t>评价</w:t>
      </w:r>
      <w:r>
        <w:rPr>
          <w:rFonts w:eastAsia="宋体" w:hint="eastAsia"/>
          <w:b/>
          <w:bCs w:val="0"/>
          <w:sz w:val="28"/>
          <w:szCs w:val="28"/>
        </w:rPr>
        <w:t>时段</w:t>
      </w:r>
      <w:bookmarkEnd w:id="82"/>
      <w:bookmarkEnd w:id="83"/>
      <w:bookmarkEnd w:id="84"/>
    </w:p>
    <w:p w:rsidR="00C223F5" w:rsidRDefault="005860D5">
      <w:pPr>
        <w:spacing w:line="360" w:lineRule="auto"/>
        <w:ind w:firstLineChars="200" w:firstLine="480"/>
        <w:rPr>
          <w:sz w:val="24"/>
        </w:rPr>
      </w:pPr>
      <w:r>
        <w:rPr>
          <w:rFonts w:hint="eastAsia"/>
          <w:sz w:val="24"/>
        </w:rPr>
        <w:t>天云</w:t>
      </w:r>
      <w:r>
        <w:rPr>
          <w:sz w:val="24"/>
        </w:rPr>
        <w:t>煤矿建设</w:t>
      </w:r>
      <w:r>
        <w:rPr>
          <w:rFonts w:hint="eastAsia"/>
          <w:sz w:val="24"/>
        </w:rPr>
        <w:t>总工</w:t>
      </w:r>
      <w:r>
        <w:rPr>
          <w:sz w:val="24"/>
        </w:rPr>
        <w:t>期为</w:t>
      </w:r>
      <w:r>
        <w:rPr>
          <w:rFonts w:hint="eastAsia"/>
          <w:sz w:val="24"/>
        </w:rPr>
        <w:t>26.4</w:t>
      </w:r>
      <w:r>
        <w:rPr>
          <w:sz w:val="24"/>
        </w:rPr>
        <w:t>个月，运行期为</w:t>
      </w:r>
      <w:r>
        <w:rPr>
          <w:rFonts w:hint="eastAsia"/>
          <w:sz w:val="24"/>
        </w:rPr>
        <w:t>39.0</w:t>
      </w:r>
      <w:r>
        <w:rPr>
          <w:sz w:val="24"/>
        </w:rPr>
        <w:t>年，</w:t>
      </w:r>
      <w:r>
        <w:rPr>
          <w:rFonts w:hint="eastAsia"/>
          <w:sz w:val="24"/>
        </w:rPr>
        <w:t>由于工程运行期时间较长，根据《环境影响评价技术导则</w:t>
      </w:r>
      <w:r>
        <w:rPr>
          <w:rFonts w:hint="eastAsia"/>
          <w:sz w:val="24"/>
        </w:rPr>
        <w:t xml:space="preserve"> </w:t>
      </w:r>
      <w:r>
        <w:rPr>
          <w:rFonts w:hint="eastAsia"/>
          <w:sz w:val="24"/>
        </w:rPr>
        <w:t>煤炭采选工程》，本次环评工作评价时段分建设期和运行期两个时段，建设期从工程开工起到建成投产，时间为</w:t>
      </w:r>
      <w:r>
        <w:rPr>
          <w:rFonts w:hint="eastAsia"/>
          <w:sz w:val="24"/>
        </w:rPr>
        <w:t>26.4</w:t>
      </w:r>
      <w:r>
        <w:rPr>
          <w:rFonts w:hint="eastAsia"/>
          <w:sz w:val="24"/>
        </w:rPr>
        <w:t>个月，运行期从工程建成投产至井田煤炭资源开采结束，时间为</w:t>
      </w:r>
      <w:r>
        <w:rPr>
          <w:rFonts w:hint="eastAsia"/>
          <w:sz w:val="24"/>
        </w:rPr>
        <w:t>39.0</w:t>
      </w:r>
      <w:r>
        <w:rPr>
          <w:rFonts w:hint="eastAsia"/>
          <w:sz w:val="24"/>
        </w:rPr>
        <w:t>年。</w:t>
      </w: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85" w:name="_Toc533604272"/>
      <w:bookmarkStart w:id="86" w:name="_Toc533604692"/>
      <w:bookmarkStart w:id="87" w:name="_Toc488660669"/>
      <w:bookmarkStart w:id="88" w:name="_Toc470509365"/>
      <w:bookmarkStart w:id="89" w:name="_Toc472079443"/>
      <w:bookmarkStart w:id="90" w:name="_Toc16785233"/>
      <w:r>
        <w:rPr>
          <w:rFonts w:ascii="Times New Roman" w:eastAsia="宋体" w:hAnsi="Times New Roman" w:hint="eastAsia"/>
          <w:b/>
          <w:bCs w:val="0"/>
          <w:szCs w:val="30"/>
        </w:rPr>
        <w:t>1.3</w:t>
      </w:r>
      <w:r>
        <w:rPr>
          <w:rFonts w:ascii="Times New Roman" w:eastAsia="宋体" w:hAnsi="Times New Roman"/>
          <w:b/>
          <w:bCs w:val="0"/>
          <w:szCs w:val="30"/>
        </w:rPr>
        <w:t>环境影响评</w:t>
      </w:r>
      <w:r>
        <w:rPr>
          <w:rFonts w:ascii="Times New Roman" w:eastAsia="宋体" w:hAnsi="Times New Roman" w:hint="eastAsia"/>
          <w:b/>
          <w:bCs w:val="0"/>
          <w:szCs w:val="30"/>
        </w:rPr>
        <w:t>价</w:t>
      </w:r>
      <w:r>
        <w:rPr>
          <w:rFonts w:ascii="Times New Roman" w:eastAsia="宋体" w:hAnsi="Times New Roman"/>
          <w:b/>
          <w:bCs w:val="0"/>
          <w:szCs w:val="30"/>
        </w:rPr>
        <w:t>因子</w:t>
      </w:r>
      <w:bookmarkEnd w:id="85"/>
      <w:bookmarkEnd w:id="86"/>
      <w:bookmarkEnd w:id="87"/>
      <w:bookmarkEnd w:id="88"/>
      <w:bookmarkEnd w:id="89"/>
      <w:bookmarkEnd w:id="90"/>
    </w:p>
    <w:p w:rsidR="00C223F5" w:rsidRDefault="005860D5">
      <w:pPr>
        <w:spacing w:line="360" w:lineRule="auto"/>
        <w:ind w:firstLineChars="200" w:firstLine="480"/>
        <w:rPr>
          <w:sz w:val="24"/>
        </w:rPr>
      </w:pPr>
      <w:r>
        <w:rPr>
          <w:rFonts w:hint="eastAsia"/>
          <w:sz w:val="24"/>
        </w:rPr>
        <w:t>根据工程的环境影响特征，并结合当地环境特征，筛选</w:t>
      </w:r>
      <w:r>
        <w:rPr>
          <w:sz w:val="24"/>
        </w:rPr>
        <w:t>本项目</w:t>
      </w:r>
      <w:r>
        <w:rPr>
          <w:rFonts w:hint="eastAsia"/>
          <w:sz w:val="24"/>
        </w:rPr>
        <w:t>环境影响评价</w:t>
      </w:r>
      <w:r>
        <w:rPr>
          <w:sz w:val="24"/>
        </w:rPr>
        <w:t>因子见表</w:t>
      </w:r>
      <w:r>
        <w:rPr>
          <w:rFonts w:hint="eastAsia"/>
          <w:sz w:val="24"/>
        </w:rPr>
        <w:t>1.3-</w:t>
      </w:r>
      <w:r>
        <w:rPr>
          <w:sz w:val="24"/>
        </w:rPr>
        <w:t>1</w:t>
      </w:r>
      <w:r>
        <w:rPr>
          <w:sz w:val="24"/>
        </w:rPr>
        <w:t>。</w:t>
      </w: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91" w:name="_Toc533604693"/>
      <w:bookmarkStart w:id="92" w:name="_Toc229800955"/>
      <w:bookmarkStart w:id="93" w:name="_Toc533604273"/>
      <w:bookmarkStart w:id="94" w:name="_Toc218855488"/>
      <w:bookmarkStart w:id="95" w:name="_Toc482606729"/>
      <w:bookmarkStart w:id="96" w:name="_Toc16785234"/>
      <w:r>
        <w:rPr>
          <w:rFonts w:ascii="Times New Roman" w:eastAsia="宋体" w:hAnsi="Times New Roman"/>
          <w:b/>
          <w:bCs w:val="0"/>
          <w:szCs w:val="30"/>
        </w:rPr>
        <w:lastRenderedPageBreak/>
        <w:t>1.</w:t>
      </w:r>
      <w:r>
        <w:rPr>
          <w:rFonts w:ascii="Times New Roman" w:eastAsia="宋体" w:hAnsi="Times New Roman" w:hint="eastAsia"/>
          <w:b/>
          <w:bCs w:val="0"/>
          <w:szCs w:val="30"/>
        </w:rPr>
        <w:t>4</w:t>
      </w:r>
      <w:r>
        <w:rPr>
          <w:rFonts w:ascii="Times New Roman" w:eastAsia="宋体" w:hAnsi="Times New Roman" w:hint="eastAsia"/>
          <w:b/>
          <w:bCs w:val="0"/>
          <w:szCs w:val="30"/>
        </w:rPr>
        <w:t>环境功能区划及</w:t>
      </w:r>
      <w:r>
        <w:rPr>
          <w:rFonts w:ascii="Times New Roman" w:eastAsia="宋体" w:hAnsi="Times New Roman"/>
          <w:b/>
          <w:bCs w:val="0"/>
          <w:szCs w:val="30"/>
        </w:rPr>
        <w:t>评价标准</w:t>
      </w:r>
      <w:bookmarkEnd w:id="91"/>
      <w:bookmarkEnd w:id="92"/>
      <w:bookmarkEnd w:id="93"/>
      <w:bookmarkEnd w:id="94"/>
      <w:bookmarkEnd w:id="95"/>
      <w:bookmarkEnd w:id="96"/>
    </w:p>
    <w:p w:rsidR="00C223F5" w:rsidRDefault="005860D5" w:rsidP="004835BD">
      <w:pPr>
        <w:pStyle w:val="3"/>
        <w:numPr>
          <w:ilvl w:val="0"/>
          <w:numId w:val="0"/>
        </w:numPr>
        <w:spacing w:before="0" w:after="0" w:line="360" w:lineRule="auto"/>
        <w:ind w:left="170"/>
        <w:rPr>
          <w:rFonts w:eastAsia="宋体"/>
          <w:b/>
          <w:bCs w:val="0"/>
          <w:sz w:val="28"/>
          <w:szCs w:val="28"/>
        </w:rPr>
      </w:pPr>
      <w:bookmarkStart w:id="97" w:name="_Toc533604694"/>
      <w:bookmarkStart w:id="98" w:name="_Toc533604274"/>
      <w:bookmarkStart w:id="99" w:name="_Toc16785235"/>
      <w:r>
        <w:rPr>
          <w:rFonts w:eastAsia="宋体"/>
          <w:b/>
          <w:bCs w:val="0"/>
          <w:sz w:val="28"/>
          <w:szCs w:val="28"/>
        </w:rPr>
        <w:t>1.</w:t>
      </w:r>
      <w:r>
        <w:rPr>
          <w:rFonts w:eastAsia="宋体" w:hint="eastAsia"/>
          <w:b/>
          <w:bCs w:val="0"/>
          <w:sz w:val="28"/>
          <w:szCs w:val="28"/>
        </w:rPr>
        <w:t>4.1</w:t>
      </w:r>
      <w:r>
        <w:rPr>
          <w:rFonts w:eastAsia="宋体" w:hint="eastAsia"/>
          <w:b/>
          <w:bCs w:val="0"/>
          <w:sz w:val="28"/>
          <w:szCs w:val="28"/>
        </w:rPr>
        <w:t>环境功能区划</w:t>
      </w:r>
      <w:bookmarkEnd w:id="97"/>
      <w:bookmarkEnd w:id="98"/>
      <w:bookmarkEnd w:id="99"/>
    </w:p>
    <w:p w:rsidR="00C223F5" w:rsidRDefault="005860D5">
      <w:pPr>
        <w:spacing w:line="360" w:lineRule="auto"/>
        <w:ind w:firstLineChars="200" w:firstLine="482"/>
        <w:rPr>
          <w:b/>
          <w:sz w:val="24"/>
        </w:rPr>
      </w:pPr>
      <w:r>
        <w:rPr>
          <w:b/>
          <w:sz w:val="24"/>
        </w:rPr>
        <w:t>（</w:t>
      </w:r>
      <w:r>
        <w:rPr>
          <w:b/>
          <w:sz w:val="24"/>
        </w:rPr>
        <w:t>1</w:t>
      </w:r>
      <w:r>
        <w:rPr>
          <w:b/>
          <w:sz w:val="24"/>
        </w:rPr>
        <w:t>）环境空气</w:t>
      </w:r>
    </w:p>
    <w:p w:rsidR="00C223F5" w:rsidRPr="00925B84" w:rsidRDefault="005860D5">
      <w:pPr>
        <w:adjustRightInd w:val="0"/>
        <w:snapToGrid w:val="0"/>
        <w:spacing w:line="360" w:lineRule="auto"/>
        <w:ind w:firstLineChars="200" w:firstLine="480"/>
        <w:rPr>
          <w:sz w:val="24"/>
        </w:rPr>
      </w:pPr>
      <w:r>
        <w:rPr>
          <w:sz w:val="24"/>
        </w:rPr>
        <w:t>项目所在区域不属于</w:t>
      </w:r>
      <w:r>
        <w:rPr>
          <w:rFonts w:hint="eastAsia"/>
          <w:sz w:val="24"/>
        </w:rPr>
        <w:t>“</w:t>
      </w:r>
      <w:r>
        <w:rPr>
          <w:sz w:val="24"/>
        </w:rPr>
        <w:t>两控区</w:t>
      </w:r>
      <w:r>
        <w:rPr>
          <w:rFonts w:hint="eastAsia"/>
          <w:sz w:val="24"/>
        </w:rPr>
        <w:t>”</w:t>
      </w:r>
      <w:r>
        <w:rPr>
          <w:sz w:val="24"/>
        </w:rPr>
        <w:t>及《重点区域大气污染防治十二五规划》里确定的的重点区域；项目所在区内尚未进行环境空气功能区划，根据《环境空气质量功能</w:t>
      </w:r>
      <w:r w:rsidRPr="00925B84">
        <w:rPr>
          <w:sz w:val="24"/>
        </w:rPr>
        <w:t>区划分原则与技术方法》（</w:t>
      </w:r>
      <w:r w:rsidRPr="00925B84">
        <w:rPr>
          <w:sz w:val="24"/>
        </w:rPr>
        <w:t>HJ14-1996</w:t>
      </w:r>
      <w:r w:rsidRPr="00925B84">
        <w:rPr>
          <w:sz w:val="24"/>
        </w:rPr>
        <w:t>），项目所在区为二类区的农村地区，环境功能划分为二类区。</w:t>
      </w:r>
    </w:p>
    <w:p w:rsidR="00C223F5" w:rsidRPr="00925B84" w:rsidRDefault="005860D5">
      <w:pPr>
        <w:tabs>
          <w:tab w:val="left" w:pos="2369"/>
          <w:tab w:val="left" w:pos="4908"/>
        </w:tabs>
        <w:autoSpaceDE w:val="0"/>
        <w:autoSpaceDN w:val="0"/>
        <w:adjustRightInd w:val="0"/>
        <w:jc w:val="center"/>
        <w:rPr>
          <w:b/>
          <w:spacing w:val="-3"/>
          <w:kern w:val="0"/>
          <w:sz w:val="24"/>
        </w:rPr>
      </w:pPr>
      <w:r w:rsidRPr="00925B84">
        <w:rPr>
          <w:rFonts w:hAnsi="宋体"/>
          <w:b/>
          <w:spacing w:val="-3"/>
          <w:kern w:val="0"/>
          <w:sz w:val="24"/>
        </w:rPr>
        <w:t>表</w:t>
      </w:r>
      <w:r w:rsidRPr="00925B84">
        <w:rPr>
          <w:rFonts w:hint="eastAsia"/>
          <w:b/>
          <w:spacing w:val="-3"/>
          <w:kern w:val="0"/>
          <w:sz w:val="24"/>
        </w:rPr>
        <w:t>1.3</w:t>
      </w:r>
      <w:r w:rsidRPr="00925B84">
        <w:rPr>
          <w:b/>
          <w:spacing w:val="-3"/>
          <w:kern w:val="0"/>
          <w:sz w:val="24"/>
        </w:rPr>
        <w:t>-1</w:t>
      </w:r>
      <w:r w:rsidRPr="00925B84">
        <w:rPr>
          <w:rFonts w:hAnsi="宋体"/>
          <w:b/>
          <w:spacing w:val="-3"/>
          <w:kern w:val="0"/>
          <w:sz w:val="24"/>
        </w:rPr>
        <w:t>评</w:t>
      </w:r>
      <w:r w:rsidRPr="00925B84">
        <w:rPr>
          <w:rFonts w:hAnsi="宋体" w:hint="eastAsia"/>
          <w:b/>
          <w:spacing w:val="-3"/>
          <w:kern w:val="0"/>
          <w:sz w:val="24"/>
        </w:rPr>
        <w:t>价</w:t>
      </w:r>
      <w:r w:rsidRPr="00925B84">
        <w:rPr>
          <w:rFonts w:hAnsi="宋体"/>
          <w:b/>
          <w:spacing w:val="-3"/>
          <w:kern w:val="0"/>
          <w:sz w:val="24"/>
        </w:rPr>
        <w:t>因子一览表</w:t>
      </w:r>
    </w:p>
    <w:tbl>
      <w:tblPr>
        <w:tblW w:w="8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1682"/>
        <w:gridCol w:w="6007"/>
      </w:tblGrid>
      <w:tr w:rsidR="00C223F5" w:rsidRPr="00925B84">
        <w:trPr>
          <w:trHeight w:val="42"/>
          <w:jc w:val="center"/>
        </w:trPr>
        <w:tc>
          <w:tcPr>
            <w:tcW w:w="2855" w:type="dxa"/>
            <w:gridSpan w:val="2"/>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类别</w:t>
            </w:r>
          </w:p>
        </w:tc>
        <w:tc>
          <w:tcPr>
            <w:tcW w:w="6007" w:type="dxa"/>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评价</w:t>
            </w:r>
            <w:r w:rsidRPr="00925B84">
              <w:rPr>
                <w:color w:val="auto"/>
                <w:sz w:val="21"/>
                <w:szCs w:val="21"/>
              </w:rPr>
              <w:t>因子</w:t>
            </w:r>
          </w:p>
        </w:tc>
      </w:tr>
      <w:tr w:rsidR="00C223F5" w:rsidRPr="00925B84">
        <w:trPr>
          <w:trHeight w:val="42"/>
          <w:jc w:val="center"/>
        </w:trPr>
        <w:tc>
          <w:tcPr>
            <w:tcW w:w="1173" w:type="dxa"/>
            <w:vMerge w:val="restart"/>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环境空气</w:t>
            </w:r>
          </w:p>
        </w:tc>
        <w:tc>
          <w:tcPr>
            <w:tcW w:w="1682" w:type="dxa"/>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现状评价因子</w:t>
            </w:r>
          </w:p>
        </w:tc>
        <w:tc>
          <w:tcPr>
            <w:tcW w:w="6007" w:type="dxa"/>
            <w:tcMar>
              <w:top w:w="28" w:type="dxa"/>
              <w:left w:w="28" w:type="dxa"/>
              <w:bottom w:w="28" w:type="dxa"/>
              <w:right w:w="28" w:type="dxa"/>
            </w:tcMar>
            <w:vAlign w:val="center"/>
          </w:tcPr>
          <w:p w:rsidR="00C223F5" w:rsidRPr="00925B84" w:rsidRDefault="005860D5">
            <w:pPr>
              <w:pStyle w:val="affffff7"/>
              <w:jc w:val="both"/>
              <w:rPr>
                <w:color w:val="auto"/>
                <w:sz w:val="21"/>
                <w:szCs w:val="21"/>
              </w:rPr>
            </w:pPr>
            <w:r w:rsidRPr="00925B84">
              <w:rPr>
                <w:color w:val="auto"/>
                <w:sz w:val="21"/>
                <w:szCs w:val="21"/>
              </w:rPr>
              <w:t>PM</w:t>
            </w:r>
            <w:r w:rsidRPr="00925B84">
              <w:rPr>
                <w:color w:val="auto"/>
                <w:sz w:val="21"/>
                <w:szCs w:val="21"/>
                <w:vertAlign w:val="subscript"/>
              </w:rPr>
              <w:t>10</w:t>
            </w:r>
            <w:r w:rsidRPr="00925B84">
              <w:rPr>
                <w:color w:val="auto"/>
                <w:sz w:val="21"/>
                <w:szCs w:val="21"/>
              </w:rPr>
              <w:t>、</w:t>
            </w:r>
            <w:r w:rsidRPr="00925B84">
              <w:rPr>
                <w:color w:val="auto"/>
                <w:sz w:val="21"/>
                <w:szCs w:val="21"/>
              </w:rPr>
              <w:t>PM</w:t>
            </w:r>
            <w:r w:rsidRPr="00925B84">
              <w:rPr>
                <w:rFonts w:hint="eastAsia"/>
                <w:color w:val="auto"/>
                <w:sz w:val="21"/>
                <w:szCs w:val="21"/>
                <w:vertAlign w:val="subscript"/>
              </w:rPr>
              <w:t>2.5</w:t>
            </w:r>
            <w:r w:rsidRPr="00925B84">
              <w:rPr>
                <w:color w:val="auto"/>
                <w:sz w:val="21"/>
                <w:szCs w:val="21"/>
              </w:rPr>
              <w:t>、</w:t>
            </w:r>
            <w:r w:rsidRPr="00925B84">
              <w:rPr>
                <w:color w:val="auto"/>
                <w:sz w:val="21"/>
                <w:szCs w:val="21"/>
              </w:rPr>
              <w:t>SO</w:t>
            </w:r>
            <w:r w:rsidRPr="00925B84">
              <w:rPr>
                <w:color w:val="auto"/>
                <w:sz w:val="21"/>
                <w:szCs w:val="21"/>
                <w:vertAlign w:val="subscript"/>
              </w:rPr>
              <w:t>2</w:t>
            </w:r>
            <w:r w:rsidRPr="00925B84">
              <w:rPr>
                <w:color w:val="auto"/>
                <w:sz w:val="21"/>
                <w:szCs w:val="21"/>
              </w:rPr>
              <w:t>、</w:t>
            </w:r>
            <w:r w:rsidRPr="00925B84">
              <w:rPr>
                <w:color w:val="auto"/>
                <w:sz w:val="21"/>
                <w:szCs w:val="21"/>
              </w:rPr>
              <w:t>NO</w:t>
            </w:r>
            <w:r w:rsidRPr="00925B84">
              <w:rPr>
                <w:color w:val="auto"/>
                <w:sz w:val="21"/>
                <w:szCs w:val="21"/>
                <w:vertAlign w:val="subscript"/>
              </w:rPr>
              <w:t>2</w:t>
            </w:r>
            <w:r w:rsidRPr="00925B84">
              <w:rPr>
                <w:rFonts w:hint="eastAsia"/>
                <w:color w:val="auto"/>
                <w:sz w:val="21"/>
                <w:szCs w:val="21"/>
              </w:rPr>
              <w:t>、</w:t>
            </w:r>
            <w:r w:rsidRPr="00925B84">
              <w:rPr>
                <w:rFonts w:hint="eastAsia"/>
                <w:color w:val="auto"/>
                <w:sz w:val="21"/>
                <w:szCs w:val="21"/>
              </w:rPr>
              <w:t>CO</w:t>
            </w:r>
            <w:r w:rsidRPr="00925B84">
              <w:rPr>
                <w:rFonts w:hint="eastAsia"/>
                <w:color w:val="auto"/>
                <w:sz w:val="21"/>
                <w:szCs w:val="21"/>
              </w:rPr>
              <w:t>、</w:t>
            </w:r>
            <w:r w:rsidRPr="00925B84">
              <w:rPr>
                <w:rFonts w:hint="eastAsia"/>
                <w:color w:val="auto"/>
                <w:sz w:val="21"/>
                <w:szCs w:val="21"/>
              </w:rPr>
              <w:t>O</w:t>
            </w:r>
            <w:r w:rsidRPr="00925B84">
              <w:rPr>
                <w:rFonts w:hint="eastAsia"/>
                <w:color w:val="auto"/>
                <w:sz w:val="21"/>
                <w:szCs w:val="21"/>
                <w:vertAlign w:val="subscript"/>
              </w:rPr>
              <w:t>3</w:t>
            </w:r>
          </w:p>
        </w:tc>
      </w:tr>
      <w:tr w:rsidR="00C223F5" w:rsidRPr="00925B84">
        <w:trPr>
          <w:trHeight w:val="42"/>
          <w:jc w:val="center"/>
        </w:trPr>
        <w:tc>
          <w:tcPr>
            <w:tcW w:w="1173" w:type="dxa"/>
            <w:vMerge/>
            <w:tcMar>
              <w:top w:w="28" w:type="dxa"/>
              <w:left w:w="28" w:type="dxa"/>
              <w:bottom w:w="28" w:type="dxa"/>
              <w:right w:w="28" w:type="dxa"/>
            </w:tcMar>
            <w:vAlign w:val="center"/>
          </w:tcPr>
          <w:p w:rsidR="00C223F5" w:rsidRPr="00925B84" w:rsidRDefault="00C223F5">
            <w:pPr>
              <w:pStyle w:val="affffff7"/>
              <w:rPr>
                <w:color w:val="auto"/>
                <w:sz w:val="21"/>
                <w:szCs w:val="21"/>
              </w:rPr>
            </w:pPr>
          </w:p>
        </w:tc>
        <w:tc>
          <w:tcPr>
            <w:tcW w:w="1682" w:type="dxa"/>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影响评价因子</w:t>
            </w:r>
          </w:p>
        </w:tc>
        <w:tc>
          <w:tcPr>
            <w:tcW w:w="6007" w:type="dxa"/>
            <w:tcMar>
              <w:top w:w="28" w:type="dxa"/>
              <w:left w:w="28" w:type="dxa"/>
              <w:bottom w:w="28" w:type="dxa"/>
              <w:right w:w="28" w:type="dxa"/>
            </w:tcMar>
            <w:vAlign w:val="center"/>
          </w:tcPr>
          <w:p w:rsidR="00C223F5" w:rsidRPr="00925B84" w:rsidRDefault="005860D5">
            <w:pPr>
              <w:pStyle w:val="affffff7"/>
              <w:jc w:val="both"/>
              <w:rPr>
                <w:color w:val="auto"/>
                <w:sz w:val="21"/>
                <w:szCs w:val="21"/>
              </w:rPr>
            </w:pPr>
            <w:r w:rsidRPr="00925B84">
              <w:rPr>
                <w:rFonts w:hint="eastAsia"/>
                <w:color w:val="auto"/>
                <w:sz w:val="21"/>
                <w:szCs w:val="21"/>
              </w:rPr>
              <w:t>储运、生产系统粉尘：颗粒物</w:t>
            </w:r>
          </w:p>
        </w:tc>
      </w:tr>
      <w:tr w:rsidR="00C223F5" w:rsidRPr="00925B84">
        <w:trPr>
          <w:trHeight w:val="42"/>
          <w:jc w:val="center"/>
        </w:trPr>
        <w:tc>
          <w:tcPr>
            <w:tcW w:w="1173" w:type="dxa"/>
            <w:vMerge w:val="restart"/>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地表水环境</w:t>
            </w:r>
          </w:p>
        </w:tc>
        <w:tc>
          <w:tcPr>
            <w:tcW w:w="1682" w:type="dxa"/>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现状评价因子</w:t>
            </w:r>
          </w:p>
        </w:tc>
        <w:tc>
          <w:tcPr>
            <w:tcW w:w="6007" w:type="dxa"/>
            <w:tcMar>
              <w:top w:w="28" w:type="dxa"/>
              <w:left w:w="28" w:type="dxa"/>
              <w:bottom w:w="28" w:type="dxa"/>
              <w:right w:w="28" w:type="dxa"/>
            </w:tcMar>
            <w:vAlign w:val="center"/>
          </w:tcPr>
          <w:p w:rsidR="00C223F5" w:rsidRPr="00925B84" w:rsidRDefault="005860D5">
            <w:pPr>
              <w:pStyle w:val="affffff7"/>
              <w:jc w:val="both"/>
              <w:rPr>
                <w:color w:val="auto"/>
                <w:sz w:val="21"/>
                <w:szCs w:val="21"/>
              </w:rPr>
            </w:pPr>
            <w:r w:rsidRPr="00925B84">
              <w:rPr>
                <w:color w:val="auto"/>
                <w:sz w:val="21"/>
                <w:szCs w:val="21"/>
              </w:rPr>
              <w:t>pH</w:t>
            </w:r>
            <w:r w:rsidRPr="00925B84">
              <w:rPr>
                <w:color w:val="auto"/>
                <w:sz w:val="21"/>
                <w:szCs w:val="21"/>
              </w:rPr>
              <w:t>、五日生化需氧量、化学需氧量、溶解氧、氨氮、石油类、</w:t>
            </w:r>
            <w:r w:rsidRPr="00925B84">
              <w:rPr>
                <w:rFonts w:hint="eastAsia"/>
                <w:color w:val="auto"/>
                <w:sz w:val="21"/>
                <w:szCs w:val="21"/>
              </w:rPr>
              <w:t>氟化物、汞、砷、硫</w:t>
            </w:r>
            <w:r w:rsidRPr="00925B84">
              <w:rPr>
                <w:color w:val="auto"/>
                <w:sz w:val="21"/>
                <w:szCs w:val="21"/>
              </w:rPr>
              <w:t>化物、六价铬、挥发酚及水温</w:t>
            </w:r>
          </w:p>
        </w:tc>
      </w:tr>
      <w:tr w:rsidR="00C223F5" w:rsidRPr="00925B84">
        <w:trPr>
          <w:trHeight w:val="42"/>
          <w:jc w:val="center"/>
        </w:trPr>
        <w:tc>
          <w:tcPr>
            <w:tcW w:w="1173" w:type="dxa"/>
            <w:vMerge/>
            <w:tcMar>
              <w:top w:w="28" w:type="dxa"/>
              <w:left w:w="28" w:type="dxa"/>
              <w:bottom w:w="28" w:type="dxa"/>
              <w:right w:w="28" w:type="dxa"/>
            </w:tcMar>
            <w:vAlign w:val="center"/>
          </w:tcPr>
          <w:p w:rsidR="00C223F5" w:rsidRPr="00925B84" w:rsidRDefault="00C223F5">
            <w:pPr>
              <w:pStyle w:val="affffff7"/>
              <w:rPr>
                <w:color w:val="auto"/>
                <w:sz w:val="21"/>
                <w:szCs w:val="21"/>
              </w:rPr>
            </w:pPr>
          </w:p>
        </w:tc>
        <w:tc>
          <w:tcPr>
            <w:tcW w:w="1682" w:type="dxa"/>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影响评价因子</w:t>
            </w:r>
          </w:p>
        </w:tc>
        <w:tc>
          <w:tcPr>
            <w:tcW w:w="6007" w:type="dxa"/>
            <w:tcMar>
              <w:top w:w="28" w:type="dxa"/>
              <w:left w:w="28" w:type="dxa"/>
              <w:bottom w:w="28" w:type="dxa"/>
              <w:right w:w="28" w:type="dxa"/>
            </w:tcMar>
            <w:vAlign w:val="center"/>
          </w:tcPr>
          <w:p w:rsidR="00C223F5" w:rsidRPr="00925B84" w:rsidRDefault="005860D5">
            <w:pPr>
              <w:pStyle w:val="affffff7"/>
              <w:jc w:val="both"/>
              <w:rPr>
                <w:color w:val="auto"/>
                <w:sz w:val="21"/>
                <w:szCs w:val="21"/>
              </w:rPr>
            </w:pPr>
            <w:r w:rsidRPr="00925B84">
              <w:rPr>
                <w:rFonts w:hint="eastAsia"/>
                <w:color w:val="auto"/>
                <w:sz w:val="21"/>
                <w:szCs w:val="21"/>
              </w:rPr>
              <w:t>COD</w:t>
            </w:r>
            <w:r w:rsidRPr="00925B84">
              <w:rPr>
                <w:color w:val="auto"/>
                <w:sz w:val="21"/>
                <w:szCs w:val="21"/>
              </w:rPr>
              <w:t>、氨氮</w:t>
            </w:r>
          </w:p>
        </w:tc>
      </w:tr>
      <w:tr w:rsidR="00C223F5" w:rsidRPr="00925B84">
        <w:trPr>
          <w:trHeight w:val="42"/>
          <w:jc w:val="center"/>
        </w:trPr>
        <w:tc>
          <w:tcPr>
            <w:tcW w:w="1173" w:type="dxa"/>
            <w:vMerge w:val="restart"/>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地下水环境</w:t>
            </w:r>
          </w:p>
        </w:tc>
        <w:tc>
          <w:tcPr>
            <w:tcW w:w="1682" w:type="dxa"/>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现状评价因子</w:t>
            </w:r>
          </w:p>
        </w:tc>
        <w:tc>
          <w:tcPr>
            <w:tcW w:w="6007" w:type="dxa"/>
            <w:tcMar>
              <w:top w:w="28" w:type="dxa"/>
              <w:left w:w="28" w:type="dxa"/>
              <w:bottom w:w="28" w:type="dxa"/>
              <w:right w:w="28" w:type="dxa"/>
            </w:tcMar>
            <w:vAlign w:val="center"/>
          </w:tcPr>
          <w:p w:rsidR="00C223F5" w:rsidRPr="00925B84" w:rsidRDefault="005860D5">
            <w:pPr>
              <w:pStyle w:val="affffff7"/>
              <w:jc w:val="both"/>
              <w:rPr>
                <w:color w:val="auto"/>
                <w:sz w:val="21"/>
                <w:szCs w:val="21"/>
              </w:rPr>
            </w:pPr>
            <w:r w:rsidRPr="00925B84">
              <w:rPr>
                <w:color w:val="auto"/>
                <w:sz w:val="21"/>
                <w:szCs w:val="21"/>
              </w:rPr>
              <w:t>pH</w:t>
            </w:r>
            <w:r w:rsidRPr="00925B84">
              <w:rPr>
                <w:color w:val="auto"/>
                <w:sz w:val="21"/>
                <w:szCs w:val="21"/>
              </w:rPr>
              <w:t>、氨氮、硝酸盐氮、亚硝酸盐氮、挥发酚、砷、汞、六价铬、氟、镉、铁、锰、溶解性总固体、</w:t>
            </w:r>
            <w:r w:rsidRPr="00925B84">
              <w:rPr>
                <w:rFonts w:hint="eastAsia"/>
                <w:color w:val="auto"/>
                <w:sz w:val="21"/>
                <w:szCs w:val="21"/>
              </w:rPr>
              <w:t>耗氧量</w:t>
            </w:r>
            <w:r w:rsidRPr="00925B84">
              <w:rPr>
                <w:color w:val="auto"/>
                <w:sz w:val="21"/>
                <w:szCs w:val="21"/>
              </w:rPr>
              <w:t>、总大肠菌群</w:t>
            </w:r>
          </w:p>
        </w:tc>
      </w:tr>
      <w:tr w:rsidR="00C223F5" w:rsidRPr="00925B84">
        <w:trPr>
          <w:trHeight w:val="42"/>
          <w:jc w:val="center"/>
        </w:trPr>
        <w:tc>
          <w:tcPr>
            <w:tcW w:w="1173" w:type="dxa"/>
            <w:vMerge/>
            <w:tcMar>
              <w:top w:w="28" w:type="dxa"/>
              <w:left w:w="28" w:type="dxa"/>
              <w:bottom w:w="28" w:type="dxa"/>
              <w:right w:w="28" w:type="dxa"/>
            </w:tcMar>
            <w:vAlign w:val="center"/>
          </w:tcPr>
          <w:p w:rsidR="00C223F5" w:rsidRPr="00925B84" w:rsidRDefault="00C223F5">
            <w:pPr>
              <w:pStyle w:val="affffff7"/>
              <w:rPr>
                <w:color w:val="auto"/>
                <w:sz w:val="21"/>
                <w:szCs w:val="21"/>
              </w:rPr>
            </w:pPr>
          </w:p>
        </w:tc>
        <w:tc>
          <w:tcPr>
            <w:tcW w:w="1682" w:type="dxa"/>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影响评价因子</w:t>
            </w:r>
          </w:p>
        </w:tc>
        <w:tc>
          <w:tcPr>
            <w:tcW w:w="6007" w:type="dxa"/>
            <w:tcMar>
              <w:top w:w="28" w:type="dxa"/>
              <w:left w:w="28" w:type="dxa"/>
              <w:bottom w:w="28" w:type="dxa"/>
              <w:right w:w="28" w:type="dxa"/>
            </w:tcMar>
            <w:vAlign w:val="center"/>
          </w:tcPr>
          <w:p w:rsidR="00C223F5" w:rsidRPr="00925B84" w:rsidRDefault="005860D5">
            <w:pPr>
              <w:pStyle w:val="affffff7"/>
              <w:jc w:val="both"/>
              <w:rPr>
                <w:color w:val="auto"/>
                <w:sz w:val="21"/>
                <w:szCs w:val="21"/>
              </w:rPr>
            </w:pPr>
            <w:r w:rsidRPr="00925B84">
              <w:rPr>
                <w:rFonts w:hint="eastAsia"/>
                <w:color w:val="auto"/>
                <w:sz w:val="21"/>
                <w:szCs w:val="21"/>
              </w:rPr>
              <w:t>水质：氨氮；含水层：导水裂隙带</w:t>
            </w:r>
          </w:p>
        </w:tc>
      </w:tr>
      <w:tr w:rsidR="00C223F5" w:rsidRPr="00925B84">
        <w:trPr>
          <w:trHeight w:val="42"/>
          <w:jc w:val="center"/>
        </w:trPr>
        <w:tc>
          <w:tcPr>
            <w:tcW w:w="1173" w:type="dxa"/>
            <w:vMerge w:val="restart"/>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声环境</w:t>
            </w:r>
          </w:p>
        </w:tc>
        <w:tc>
          <w:tcPr>
            <w:tcW w:w="1682" w:type="dxa"/>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现状评价因子</w:t>
            </w:r>
          </w:p>
        </w:tc>
        <w:tc>
          <w:tcPr>
            <w:tcW w:w="6007" w:type="dxa"/>
            <w:tcMar>
              <w:top w:w="28" w:type="dxa"/>
              <w:left w:w="28" w:type="dxa"/>
              <w:bottom w:w="28" w:type="dxa"/>
              <w:right w:w="28" w:type="dxa"/>
            </w:tcMar>
            <w:vAlign w:val="center"/>
          </w:tcPr>
          <w:p w:rsidR="00C223F5" w:rsidRPr="00925B84" w:rsidRDefault="005860D5">
            <w:pPr>
              <w:pStyle w:val="affffff7"/>
              <w:jc w:val="left"/>
              <w:rPr>
                <w:color w:val="auto"/>
                <w:sz w:val="21"/>
                <w:szCs w:val="21"/>
              </w:rPr>
            </w:pPr>
            <w:r w:rsidRPr="00925B84">
              <w:rPr>
                <w:color w:val="auto"/>
                <w:sz w:val="21"/>
                <w:szCs w:val="21"/>
              </w:rPr>
              <w:t>厂界噪声</w:t>
            </w:r>
            <w:r w:rsidRPr="00925B84">
              <w:rPr>
                <w:rFonts w:hint="eastAsia"/>
                <w:color w:val="auto"/>
                <w:sz w:val="21"/>
                <w:szCs w:val="21"/>
              </w:rPr>
              <w:t>：</w:t>
            </w:r>
            <w:r w:rsidRPr="00925B84">
              <w:rPr>
                <w:color w:val="auto"/>
                <w:sz w:val="21"/>
                <w:szCs w:val="21"/>
              </w:rPr>
              <w:t>昼、夜等效</w:t>
            </w:r>
            <w:r w:rsidRPr="00925B84">
              <w:rPr>
                <w:color w:val="auto"/>
                <w:sz w:val="21"/>
                <w:szCs w:val="21"/>
              </w:rPr>
              <w:t xml:space="preserve"> A </w:t>
            </w:r>
            <w:r w:rsidRPr="00925B84">
              <w:rPr>
                <w:color w:val="auto"/>
                <w:sz w:val="21"/>
                <w:szCs w:val="21"/>
              </w:rPr>
              <w:t>声级</w:t>
            </w:r>
            <w:r w:rsidRPr="00925B84">
              <w:rPr>
                <w:color w:val="auto"/>
                <w:sz w:val="21"/>
                <w:szCs w:val="21"/>
              </w:rPr>
              <w:t xml:space="preserve"> </w:t>
            </w:r>
            <w:proofErr w:type="spellStart"/>
            <w:r w:rsidRPr="00925B84">
              <w:rPr>
                <w:color w:val="auto"/>
                <w:sz w:val="21"/>
                <w:szCs w:val="21"/>
              </w:rPr>
              <w:t>LAeq</w:t>
            </w:r>
            <w:proofErr w:type="spellEnd"/>
          </w:p>
        </w:tc>
      </w:tr>
      <w:tr w:rsidR="00C223F5" w:rsidRPr="00925B84">
        <w:trPr>
          <w:trHeight w:val="42"/>
          <w:jc w:val="center"/>
        </w:trPr>
        <w:tc>
          <w:tcPr>
            <w:tcW w:w="1173" w:type="dxa"/>
            <w:vMerge/>
            <w:tcMar>
              <w:top w:w="28" w:type="dxa"/>
              <w:left w:w="28" w:type="dxa"/>
              <w:bottom w:w="28" w:type="dxa"/>
              <w:right w:w="28" w:type="dxa"/>
            </w:tcMar>
            <w:vAlign w:val="center"/>
          </w:tcPr>
          <w:p w:rsidR="00C223F5" w:rsidRPr="00925B84" w:rsidRDefault="00C223F5">
            <w:pPr>
              <w:pStyle w:val="affffff7"/>
              <w:rPr>
                <w:color w:val="auto"/>
                <w:sz w:val="21"/>
                <w:szCs w:val="21"/>
              </w:rPr>
            </w:pPr>
          </w:p>
        </w:tc>
        <w:tc>
          <w:tcPr>
            <w:tcW w:w="1682" w:type="dxa"/>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影响评价因子</w:t>
            </w:r>
          </w:p>
        </w:tc>
        <w:tc>
          <w:tcPr>
            <w:tcW w:w="6007" w:type="dxa"/>
            <w:tcMar>
              <w:top w:w="28" w:type="dxa"/>
              <w:left w:w="28" w:type="dxa"/>
              <w:bottom w:w="28" w:type="dxa"/>
              <w:right w:w="28" w:type="dxa"/>
            </w:tcMar>
            <w:vAlign w:val="center"/>
          </w:tcPr>
          <w:p w:rsidR="00C223F5" w:rsidRPr="00925B84" w:rsidRDefault="005860D5">
            <w:pPr>
              <w:pStyle w:val="affffff7"/>
              <w:jc w:val="left"/>
              <w:rPr>
                <w:color w:val="auto"/>
                <w:sz w:val="21"/>
                <w:szCs w:val="21"/>
              </w:rPr>
            </w:pPr>
            <w:r w:rsidRPr="00925B84">
              <w:rPr>
                <w:color w:val="auto"/>
                <w:sz w:val="21"/>
                <w:szCs w:val="21"/>
              </w:rPr>
              <w:t>厂界噪声</w:t>
            </w:r>
            <w:r w:rsidRPr="00925B84">
              <w:rPr>
                <w:rFonts w:hint="eastAsia"/>
                <w:color w:val="auto"/>
                <w:sz w:val="21"/>
                <w:szCs w:val="21"/>
              </w:rPr>
              <w:t>、交通噪声：</w:t>
            </w:r>
            <w:r w:rsidRPr="00925B84">
              <w:rPr>
                <w:color w:val="auto"/>
                <w:sz w:val="21"/>
                <w:szCs w:val="21"/>
              </w:rPr>
              <w:t>昼、夜等效</w:t>
            </w:r>
            <w:r w:rsidRPr="00925B84">
              <w:rPr>
                <w:color w:val="auto"/>
                <w:sz w:val="21"/>
                <w:szCs w:val="21"/>
              </w:rPr>
              <w:t xml:space="preserve"> A </w:t>
            </w:r>
            <w:r w:rsidRPr="00925B84">
              <w:rPr>
                <w:color w:val="auto"/>
                <w:sz w:val="21"/>
                <w:szCs w:val="21"/>
              </w:rPr>
              <w:t>声级</w:t>
            </w:r>
            <w:r w:rsidRPr="00925B84">
              <w:rPr>
                <w:color w:val="auto"/>
                <w:sz w:val="21"/>
                <w:szCs w:val="21"/>
              </w:rPr>
              <w:t xml:space="preserve"> </w:t>
            </w:r>
            <w:proofErr w:type="spellStart"/>
            <w:r w:rsidRPr="00925B84">
              <w:rPr>
                <w:color w:val="auto"/>
                <w:sz w:val="21"/>
                <w:szCs w:val="21"/>
              </w:rPr>
              <w:t>LAeq</w:t>
            </w:r>
            <w:proofErr w:type="spellEnd"/>
          </w:p>
        </w:tc>
      </w:tr>
      <w:tr w:rsidR="00C223F5" w:rsidRPr="00925B84">
        <w:trPr>
          <w:trHeight w:val="42"/>
          <w:jc w:val="center"/>
        </w:trPr>
        <w:tc>
          <w:tcPr>
            <w:tcW w:w="1173" w:type="dxa"/>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固体废物</w:t>
            </w:r>
          </w:p>
        </w:tc>
        <w:tc>
          <w:tcPr>
            <w:tcW w:w="1682" w:type="dxa"/>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影响评价因子</w:t>
            </w:r>
          </w:p>
        </w:tc>
        <w:tc>
          <w:tcPr>
            <w:tcW w:w="6007" w:type="dxa"/>
            <w:tcMar>
              <w:top w:w="28" w:type="dxa"/>
              <w:left w:w="28" w:type="dxa"/>
              <w:bottom w:w="28" w:type="dxa"/>
              <w:right w:w="28" w:type="dxa"/>
            </w:tcMar>
            <w:vAlign w:val="center"/>
          </w:tcPr>
          <w:p w:rsidR="00C223F5" w:rsidRPr="00925B84" w:rsidRDefault="005860D5">
            <w:pPr>
              <w:pStyle w:val="affffff7"/>
              <w:jc w:val="both"/>
              <w:rPr>
                <w:color w:val="auto"/>
                <w:sz w:val="21"/>
                <w:szCs w:val="21"/>
              </w:rPr>
            </w:pPr>
            <w:r w:rsidRPr="00925B84">
              <w:rPr>
                <w:rFonts w:hint="eastAsia"/>
                <w:color w:val="auto"/>
                <w:sz w:val="21"/>
                <w:szCs w:val="21"/>
              </w:rPr>
              <w:t>矸石、生活垃圾、污泥、废油脂等</w:t>
            </w:r>
          </w:p>
        </w:tc>
      </w:tr>
      <w:tr w:rsidR="00C223F5" w:rsidRPr="00925B84">
        <w:trPr>
          <w:trHeight w:val="42"/>
          <w:jc w:val="center"/>
        </w:trPr>
        <w:tc>
          <w:tcPr>
            <w:tcW w:w="1173" w:type="dxa"/>
            <w:vMerge w:val="restart"/>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生态环境</w:t>
            </w:r>
          </w:p>
        </w:tc>
        <w:tc>
          <w:tcPr>
            <w:tcW w:w="1682" w:type="dxa"/>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现状评价因子</w:t>
            </w:r>
          </w:p>
        </w:tc>
        <w:tc>
          <w:tcPr>
            <w:tcW w:w="6007" w:type="dxa"/>
            <w:tcMar>
              <w:top w:w="28" w:type="dxa"/>
              <w:left w:w="28" w:type="dxa"/>
              <w:bottom w:w="28" w:type="dxa"/>
              <w:right w:w="28" w:type="dxa"/>
            </w:tcMar>
            <w:vAlign w:val="center"/>
          </w:tcPr>
          <w:p w:rsidR="00C223F5" w:rsidRPr="00925B84" w:rsidRDefault="005860D5">
            <w:pPr>
              <w:pStyle w:val="affffff7"/>
              <w:jc w:val="both"/>
              <w:rPr>
                <w:color w:val="auto"/>
                <w:sz w:val="21"/>
                <w:szCs w:val="21"/>
              </w:rPr>
            </w:pPr>
            <w:r w:rsidRPr="00925B84">
              <w:rPr>
                <w:color w:val="auto"/>
                <w:sz w:val="21"/>
                <w:szCs w:val="21"/>
              </w:rPr>
              <w:t>地貌类型、</w:t>
            </w:r>
            <w:r w:rsidRPr="00925B84">
              <w:rPr>
                <w:rFonts w:hint="eastAsia"/>
                <w:color w:val="auto"/>
                <w:sz w:val="21"/>
                <w:szCs w:val="21"/>
              </w:rPr>
              <w:t>植被类型及覆盖度、</w:t>
            </w:r>
            <w:r w:rsidRPr="00925B84">
              <w:rPr>
                <w:color w:val="auto"/>
                <w:sz w:val="21"/>
                <w:szCs w:val="21"/>
              </w:rPr>
              <w:t>土地利用现状</w:t>
            </w:r>
            <w:r w:rsidRPr="00925B84">
              <w:rPr>
                <w:rFonts w:hint="eastAsia"/>
                <w:color w:val="auto"/>
                <w:sz w:val="21"/>
                <w:szCs w:val="21"/>
              </w:rPr>
              <w:t>和</w:t>
            </w:r>
            <w:r w:rsidRPr="00925B84">
              <w:rPr>
                <w:color w:val="auto"/>
                <w:sz w:val="21"/>
                <w:szCs w:val="21"/>
              </w:rPr>
              <w:t>土壤</w:t>
            </w:r>
            <w:r w:rsidRPr="00925B84">
              <w:rPr>
                <w:rFonts w:hint="eastAsia"/>
                <w:color w:val="auto"/>
                <w:sz w:val="21"/>
                <w:szCs w:val="21"/>
              </w:rPr>
              <w:t>侵蚀等</w:t>
            </w:r>
          </w:p>
        </w:tc>
      </w:tr>
      <w:tr w:rsidR="00C223F5" w:rsidRPr="00925B84">
        <w:trPr>
          <w:trHeight w:val="42"/>
          <w:jc w:val="center"/>
        </w:trPr>
        <w:tc>
          <w:tcPr>
            <w:tcW w:w="1173" w:type="dxa"/>
            <w:vMerge/>
            <w:tcMar>
              <w:top w:w="28" w:type="dxa"/>
              <w:left w:w="28" w:type="dxa"/>
              <w:bottom w:w="28" w:type="dxa"/>
              <w:right w:w="28" w:type="dxa"/>
            </w:tcMar>
            <w:vAlign w:val="center"/>
          </w:tcPr>
          <w:p w:rsidR="00C223F5" w:rsidRPr="00925B84" w:rsidRDefault="00C223F5">
            <w:pPr>
              <w:pStyle w:val="affffff7"/>
              <w:rPr>
                <w:color w:val="auto"/>
                <w:sz w:val="21"/>
                <w:szCs w:val="21"/>
              </w:rPr>
            </w:pPr>
          </w:p>
        </w:tc>
        <w:tc>
          <w:tcPr>
            <w:tcW w:w="1682" w:type="dxa"/>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影响评价因子</w:t>
            </w:r>
          </w:p>
        </w:tc>
        <w:tc>
          <w:tcPr>
            <w:tcW w:w="6007" w:type="dxa"/>
            <w:tcMar>
              <w:top w:w="28" w:type="dxa"/>
              <w:left w:w="28" w:type="dxa"/>
              <w:bottom w:w="28" w:type="dxa"/>
              <w:right w:w="28" w:type="dxa"/>
            </w:tcMar>
            <w:vAlign w:val="center"/>
          </w:tcPr>
          <w:p w:rsidR="00C223F5" w:rsidRPr="00925B84" w:rsidRDefault="005860D5">
            <w:pPr>
              <w:pStyle w:val="affffff7"/>
              <w:jc w:val="both"/>
              <w:rPr>
                <w:color w:val="auto"/>
                <w:sz w:val="21"/>
                <w:szCs w:val="21"/>
              </w:rPr>
            </w:pPr>
            <w:r w:rsidRPr="00925B84">
              <w:rPr>
                <w:rFonts w:hint="eastAsia"/>
                <w:color w:val="auto"/>
                <w:sz w:val="21"/>
                <w:szCs w:val="21"/>
              </w:rPr>
              <w:t>地表沉陷影响、土地利用、植被、水土流失等</w:t>
            </w:r>
          </w:p>
        </w:tc>
      </w:tr>
      <w:tr w:rsidR="00C223F5" w:rsidRPr="00925B84">
        <w:trPr>
          <w:trHeight w:val="42"/>
          <w:jc w:val="center"/>
        </w:trPr>
        <w:tc>
          <w:tcPr>
            <w:tcW w:w="1173" w:type="dxa"/>
            <w:vMerge w:val="restart"/>
            <w:tcMar>
              <w:top w:w="28" w:type="dxa"/>
              <w:left w:w="28" w:type="dxa"/>
              <w:bottom w:w="28" w:type="dxa"/>
              <w:right w:w="28" w:type="dxa"/>
            </w:tcMar>
            <w:vAlign w:val="center"/>
          </w:tcPr>
          <w:p w:rsidR="00C223F5" w:rsidRPr="00925B84" w:rsidRDefault="005860D5">
            <w:pPr>
              <w:pStyle w:val="affffff7"/>
              <w:rPr>
                <w:color w:val="auto"/>
                <w:sz w:val="21"/>
                <w:szCs w:val="21"/>
              </w:rPr>
            </w:pPr>
            <w:r w:rsidRPr="00925B84">
              <w:rPr>
                <w:rFonts w:hint="eastAsia"/>
                <w:snapToGrid w:val="0"/>
                <w:color w:val="auto"/>
                <w:sz w:val="21"/>
                <w:szCs w:val="21"/>
              </w:rPr>
              <w:t>土壤环境</w:t>
            </w:r>
          </w:p>
        </w:tc>
        <w:tc>
          <w:tcPr>
            <w:tcW w:w="1682" w:type="dxa"/>
            <w:tcMar>
              <w:top w:w="28" w:type="dxa"/>
              <w:left w:w="28" w:type="dxa"/>
              <w:bottom w:w="28" w:type="dxa"/>
              <w:right w:w="28" w:type="dxa"/>
            </w:tcMar>
            <w:vAlign w:val="center"/>
          </w:tcPr>
          <w:p w:rsidR="00C223F5" w:rsidRPr="00925B84" w:rsidRDefault="005860D5">
            <w:pPr>
              <w:adjustRightInd w:val="0"/>
              <w:snapToGrid w:val="0"/>
              <w:jc w:val="center"/>
              <w:rPr>
                <w:snapToGrid w:val="0"/>
                <w:kern w:val="0"/>
                <w:szCs w:val="21"/>
              </w:rPr>
            </w:pPr>
            <w:r w:rsidRPr="00925B84">
              <w:rPr>
                <w:snapToGrid w:val="0"/>
                <w:kern w:val="0"/>
                <w:szCs w:val="21"/>
              </w:rPr>
              <w:t>现状评价</w:t>
            </w:r>
          </w:p>
        </w:tc>
        <w:tc>
          <w:tcPr>
            <w:tcW w:w="6007" w:type="dxa"/>
            <w:tcMar>
              <w:top w:w="28" w:type="dxa"/>
              <w:left w:w="28" w:type="dxa"/>
              <w:bottom w:w="28" w:type="dxa"/>
              <w:right w:w="28" w:type="dxa"/>
            </w:tcMar>
            <w:vAlign w:val="center"/>
          </w:tcPr>
          <w:p w:rsidR="00C223F5" w:rsidRPr="00925B84" w:rsidRDefault="005860D5">
            <w:pPr>
              <w:adjustRightInd w:val="0"/>
              <w:snapToGrid w:val="0"/>
              <w:rPr>
                <w:bCs/>
                <w:kern w:val="0"/>
                <w:szCs w:val="21"/>
              </w:rPr>
            </w:pPr>
            <w:r w:rsidRPr="00925B84">
              <w:rPr>
                <w:rFonts w:hint="eastAsia"/>
                <w:szCs w:val="21"/>
              </w:rPr>
              <w:t>建设用地基本项目</w:t>
            </w:r>
            <w:r w:rsidRPr="00925B84">
              <w:rPr>
                <w:rFonts w:hint="eastAsia"/>
                <w:szCs w:val="21"/>
              </w:rPr>
              <w:t>45</w:t>
            </w:r>
            <w:r w:rsidRPr="00925B84">
              <w:rPr>
                <w:rFonts w:hint="eastAsia"/>
                <w:szCs w:val="21"/>
              </w:rPr>
              <w:t>项</w:t>
            </w:r>
            <w:r w:rsidRPr="00925B84">
              <w:rPr>
                <w:rFonts w:hint="eastAsia"/>
                <w:szCs w:val="21"/>
              </w:rPr>
              <w:t>+</w:t>
            </w:r>
            <w:r w:rsidRPr="00925B84">
              <w:rPr>
                <w:rFonts w:hint="eastAsia"/>
                <w:szCs w:val="21"/>
              </w:rPr>
              <w:t>石油烃，农用地</w:t>
            </w:r>
            <w:r w:rsidRPr="00925B84">
              <w:rPr>
                <w:szCs w:val="21"/>
              </w:rPr>
              <w:t>pH</w:t>
            </w:r>
            <w:r w:rsidRPr="00925B84">
              <w:rPr>
                <w:rFonts w:hint="eastAsia"/>
                <w:szCs w:val="21"/>
              </w:rPr>
              <w:t>值、砷、镉、铬、铜、铅、汞、镍、锌共</w:t>
            </w:r>
            <w:r w:rsidRPr="00925B84">
              <w:rPr>
                <w:rFonts w:hint="eastAsia"/>
                <w:szCs w:val="21"/>
              </w:rPr>
              <w:t>9</w:t>
            </w:r>
            <w:r w:rsidRPr="00925B84">
              <w:rPr>
                <w:rFonts w:hint="eastAsia"/>
                <w:szCs w:val="21"/>
              </w:rPr>
              <w:t>项</w:t>
            </w:r>
          </w:p>
        </w:tc>
      </w:tr>
      <w:tr w:rsidR="00C223F5" w:rsidRPr="00925B84">
        <w:trPr>
          <w:trHeight w:val="42"/>
          <w:jc w:val="center"/>
        </w:trPr>
        <w:tc>
          <w:tcPr>
            <w:tcW w:w="1173" w:type="dxa"/>
            <w:vMerge/>
            <w:tcMar>
              <w:top w:w="28" w:type="dxa"/>
              <w:left w:w="28" w:type="dxa"/>
              <w:bottom w:w="28" w:type="dxa"/>
              <w:right w:w="28" w:type="dxa"/>
            </w:tcMar>
            <w:vAlign w:val="center"/>
          </w:tcPr>
          <w:p w:rsidR="00C223F5" w:rsidRPr="00925B84" w:rsidRDefault="00C223F5">
            <w:pPr>
              <w:pStyle w:val="affffff7"/>
              <w:rPr>
                <w:color w:val="auto"/>
                <w:sz w:val="21"/>
                <w:szCs w:val="21"/>
              </w:rPr>
            </w:pPr>
          </w:p>
        </w:tc>
        <w:tc>
          <w:tcPr>
            <w:tcW w:w="1682" w:type="dxa"/>
            <w:tcMar>
              <w:top w:w="28" w:type="dxa"/>
              <w:left w:w="28" w:type="dxa"/>
              <w:bottom w:w="28" w:type="dxa"/>
              <w:right w:w="28" w:type="dxa"/>
            </w:tcMar>
            <w:vAlign w:val="center"/>
          </w:tcPr>
          <w:p w:rsidR="00C223F5" w:rsidRPr="00925B84" w:rsidRDefault="005860D5">
            <w:pPr>
              <w:adjustRightInd w:val="0"/>
              <w:snapToGrid w:val="0"/>
              <w:jc w:val="center"/>
              <w:rPr>
                <w:snapToGrid w:val="0"/>
                <w:kern w:val="0"/>
                <w:szCs w:val="21"/>
              </w:rPr>
            </w:pPr>
            <w:r w:rsidRPr="00925B84">
              <w:rPr>
                <w:snapToGrid w:val="0"/>
                <w:kern w:val="0"/>
                <w:szCs w:val="21"/>
              </w:rPr>
              <w:t>影响预测</w:t>
            </w:r>
          </w:p>
        </w:tc>
        <w:tc>
          <w:tcPr>
            <w:tcW w:w="6007" w:type="dxa"/>
            <w:tcMar>
              <w:top w:w="28" w:type="dxa"/>
              <w:left w:w="28" w:type="dxa"/>
              <w:bottom w:w="28" w:type="dxa"/>
              <w:right w:w="28" w:type="dxa"/>
            </w:tcMar>
            <w:vAlign w:val="center"/>
          </w:tcPr>
          <w:p w:rsidR="00C223F5" w:rsidRPr="00925B84" w:rsidRDefault="005860D5">
            <w:pPr>
              <w:adjustRightInd w:val="0"/>
              <w:snapToGrid w:val="0"/>
              <w:rPr>
                <w:bCs/>
                <w:kern w:val="0"/>
                <w:szCs w:val="21"/>
              </w:rPr>
            </w:pPr>
            <w:r w:rsidRPr="00925B84">
              <w:rPr>
                <w:rFonts w:hint="eastAsia"/>
                <w:bCs/>
                <w:kern w:val="0"/>
                <w:szCs w:val="21"/>
              </w:rPr>
              <w:t>定性分析、氨氮</w:t>
            </w:r>
          </w:p>
        </w:tc>
      </w:tr>
    </w:tbl>
    <w:p w:rsidR="00C223F5" w:rsidRPr="00925B84" w:rsidRDefault="00C223F5">
      <w:pPr>
        <w:ind w:firstLineChars="200" w:firstLine="482"/>
        <w:jc w:val="center"/>
        <w:rPr>
          <w:rFonts w:hAnsi="宋体"/>
          <w:b/>
          <w:sz w:val="24"/>
        </w:rPr>
      </w:pPr>
    </w:p>
    <w:p w:rsidR="00C223F5" w:rsidRPr="00925B84" w:rsidRDefault="005860D5">
      <w:pPr>
        <w:spacing w:line="360" w:lineRule="auto"/>
        <w:ind w:firstLineChars="200" w:firstLine="482"/>
        <w:rPr>
          <w:b/>
          <w:sz w:val="24"/>
        </w:rPr>
      </w:pPr>
      <w:r w:rsidRPr="00925B84">
        <w:rPr>
          <w:b/>
          <w:sz w:val="24"/>
        </w:rPr>
        <w:t>（</w:t>
      </w:r>
      <w:r w:rsidRPr="00925B84">
        <w:rPr>
          <w:b/>
          <w:sz w:val="24"/>
        </w:rPr>
        <w:t>2</w:t>
      </w:r>
      <w:r w:rsidRPr="00925B84">
        <w:rPr>
          <w:b/>
          <w:sz w:val="24"/>
        </w:rPr>
        <w:t>）地表水功能区划</w:t>
      </w:r>
    </w:p>
    <w:p w:rsidR="00C223F5" w:rsidRDefault="005860D5">
      <w:pPr>
        <w:spacing w:line="360" w:lineRule="auto"/>
        <w:ind w:firstLineChars="200" w:firstLine="480"/>
        <w:rPr>
          <w:sz w:val="24"/>
        </w:rPr>
      </w:pPr>
      <w:r w:rsidRPr="00925B84">
        <w:rPr>
          <w:sz w:val="24"/>
        </w:rPr>
        <w:t>项目开发涉及的</w:t>
      </w:r>
      <w:r w:rsidRPr="00925B84">
        <w:rPr>
          <w:rFonts w:hint="eastAsia"/>
          <w:sz w:val="24"/>
        </w:rPr>
        <w:t>地表</w:t>
      </w:r>
      <w:r w:rsidRPr="00925B84">
        <w:rPr>
          <w:sz w:val="24"/>
        </w:rPr>
        <w:t>水体主要为</w:t>
      </w:r>
      <w:r w:rsidRPr="00925B84">
        <w:rPr>
          <w:rFonts w:hint="eastAsia"/>
          <w:sz w:val="24"/>
        </w:rPr>
        <w:t>大理河</w:t>
      </w:r>
      <w:r>
        <w:rPr>
          <w:rFonts w:hint="eastAsia"/>
          <w:sz w:val="24"/>
        </w:rPr>
        <w:t>及其支流蚂蚁河；大理河于井田南部由西南向东北穿过，大理河支沟蚂蚁河沿井田北部由西而东向下游汇入大理河。</w:t>
      </w:r>
    </w:p>
    <w:p w:rsidR="00C223F5" w:rsidRDefault="005860D5">
      <w:pPr>
        <w:spacing w:line="360" w:lineRule="auto"/>
        <w:ind w:firstLineChars="200" w:firstLine="480"/>
        <w:rPr>
          <w:sz w:val="24"/>
        </w:rPr>
      </w:pPr>
      <w:r>
        <w:rPr>
          <w:sz w:val="24"/>
        </w:rPr>
        <w:t>根据陕西省水利厅</w:t>
      </w:r>
      <w:r>
        <w:rPr>
          <w:sz w:val="24"/>
        </w:rPr>
        <w:t>2004</w:t>
      </w:r>
      <w:r>
        <w:rPr>
          <w:sz w:val="24"/>
        </w:rPr>
        <w:t>年</w:t>
      </w:r>
      <w:r>
        <w:rPr>
          <w:sz w:val="24"/>
        </w:rPr>
        <w:t>9</w:t>
      </w:r>
      <w:r>
        <w:rPr>
          <w:sz w:val="24"/>
        </w:rPr>
        <w:t>月编制《陕西省水功能区划》（</w:t>
      </w:r>
      <w:r>
        <w:rPr>
          <w:rFonts w:ascii="宋体" w:hAnsi="宋体"/>
          <w:sz w:val="24"/>
        </w:rPr>
        <w:t>“陕</w:t>
      </w:r>
      <w:r>
        <w:rPr>
          <w:sz w:val="24"/>
        </w:rPr>
        <w:t>政办发</w:t>
      </w:r>
      <w:r>
        <w:rPr>
          <w:sz w:val="24"/>
        </w:rPr>
        <w:t>[2004]100</w:t>
      </w:r>
      <w:r>
        <w:rPr>
          <w:rFonts w:ascii="宋体" w:hAnsi="宋体"/>
          <w:sz w:val="24"/>
        </w:rPr>
        <w:t>号”文</w:t>
      </w:r>
      <w:r>
        <w:rPr>
          <w:sz w:val="24"/>
        </w:rPr>
        <w:t>批准），</w:t>
      </w:r>
      <w:r>
        <w:rPr>
          <w:rFonts w:hint="eastAsia"/>
          <w:sz w:val="24"/>
        </w:rPr>
        <w:t>蚂蚁河未进行水功能区划，蚂蚁河入大理河口处在大理河绥德保留区（青阳岔至入无定河口），</w:t>
      </w:r>
      <w:r>
        <w:rPr>
          <w:kern w:val="0"/>
          <w:sz w:val="24"/>
        </w:rPr>
        <w:t>水质目标为《地表水</w:t>
      </w:r>
      <w:r>
        <w:rPr>
          <w:rFonts w:hint="eastAsia"/>
          <w:kern w:val="0"/>
          <w:sz w:val="24"/>
        </w:rPr>
        <w:t>环境</w:t>
      </w:r>
      <w:r>
        <w:rPr>
          <w:kern w:val="0"/>
          <w:sz w:val="24"/>
        </w:rPr>
        <w:t>质量标准》中</w:t>
      </w:r>
      <w:r>
        <w:rPr>
          <w:rFonts w:ascii="宋体" w:hAnsi="宋体" w:cs="宋体" w:hint="eastAsia"/>
          <w:kern w:val="0"/>
          <w:sz w:val="24"/>
        </w:rPr>
        <w:t>Ⅲ</w:t>
      </w:r>
      <w:r>
        <w:rPr>
          <w:kern w:val="0"/>
          <w:sz w:val="24"/>
        </w:rPr>
        <w:t>类水质标准</w:t>
      </w:r>
      <w:r>
        <w:rPr>
          <w:rFonts w:hint="eastAsia"/>
          <w:sz w:val="24"/>
        </w:rPr>
        <w:t>。地表水系及功能区划</w:t>
      </w:r>
      <w:r>
        <w:rPr>
          <w:sz w:val="24"/>
        </w:rPr>
        <w:t>见图</w:t>
      </w:r>
      <w:r>
        <w:rPr>
          <w:rFonts w:hint="eastAsia"/>
          <w:sz w:val="24"/>
        </w:rPr>
        <w:t>1.4</w:t>
      </w:r>
      <w:r>
        <w:rPr>
          <w:sz w:val="24"/>
        </w:rPr>
        <w:t>.1-</w:t>
      </w:r>
      <w:r>
        <w:rPr>
          <w:rFonts w:hint="eastAsia"/>
          <w:sz w:val="24"/>
        </w:rPr>
        <w:t>1</w:t>
      </w:r>
      <w:r>
        <w:rPr>
          <w:sz w:val="24"/>
        </w:rPr>
        <w:t>。</w:t>
      </w:r>
    </w:p>
    <w:p w:rsidR="00C223F5" w:rsidRDefault="005860D5" w:rsidP="00C006A7">
      <w:pPr>
        <w:spacing w:line="360" w:lineRule="auto"/>
        <w:ind w:firstLineChars="200" w:firstLine="482"/>
        <w:rPr>
          <w:b/>
          <w:sz w:val="24"/>
        </w:rPr>
      </w:pPr>
      <w:r>
        <w:rPr>
          <w:b/>
          <w:sz w:val="24"/>
        </w:rPr>
        <w:t>（</w:t>
      </w:r>
      <w:r>
        <w:rPr>
          <w:b/>
          <w:sz w:val="24"/>
        </w:rPr>
        <w:t>3</w:t>
      </w:r>
      <w:r>
        <w:rPr>
          <w:b/>
          <w:sz w:val="24"/>
        </w:rPr>
        <w:t>）地下水功能区划</w:t>
      </w:r>
    </w:p>
    <w:p w:rsidR="00C223F5" w:rsidRDefault="005860D5" w:rsidP="0064552A">
      <w:pPr>
        <w:spacing w:line="360" w:lineRule="auto"/>
        <w:ind w:firstLineChars="200" w:firstLine="480"/>
        <w:rPr>
          <w:sz w:val="24"/>
        </w:rPr>
      </w:pPr>
      <w:r>
        <w:rPr>
          <w:sz w:val="24"/>
        </w:rPr>
        <w:t>矿区范围内地下水</w:t>
      </w:r>
      <w:r>
        <w:rPr>
          <w:rFonts w:hint="eastAsia"/>
          <w:sz w:val="24"/>
        </w:rPr>
        <w:t>不属于地下水水源保护区</w:t>
      </w:r>
      <w:r>
        <w:rPr>
          <w:sz w:val="24"/>
        </w:rPr>
        <w:t>，</w:t>
      </w:r>
      <w:r>
        <w:rPr>
          <w:rFonts w:hint="eastAsia"/>
          <w:sz w:val="24"/>
        </w:rPr>
        <w:t>且</w:t>
      </w:r>
      <w:r>
        <w:rPr>
          <w:sz w:val="24"/>
        </w:rPr>
        <w:t>尚未进行地下水环境功能区</w:t>
      </w:r>
      <w:r>
        <w:rPr>
          <w:sz w:val="24"/>
        </w:rPr>
        <w:lastRenderedPageBreak/>
        <w:t>划，</w:t>
      </w:r>
      <w:r>
        <w:rPr>
          <w:rFonts w:hint="eastAsia"/>
          <w:sz w:val="24"/>
        </w:rPr>
        <w:t>结合该区地下水质量保护目标及榆林市环保局批复的执行标准，</w:t>
      </w:r>
      <w:r>
        <w:rPr>
          <w:sz w:val="24"/>
        </w:rPr>
        <w:t>确定矿区所在区域地下水属</w:t>
      </w:r>
      <w:r>
        <w:rPr>
          <w:rFonts w:ascii="宋体" w:hAnsi="宋体" w:cs="宋体" w:hint="eastAsia"/>
          <w:sz w:val="24"/>
        </w:rPr>
        <w:t>Ⅲ</w:t>
      </w:r>
      <w:r>
        <w:rPr>
          <w:sz w:val="24"/>
        </w:rPr>
        <w:t>类区。</w:t>
      </w:r>
    </w:p>
    <w:p w:rsidR="00C223F5" w:rsidRDefault="005860D5" w:rsidP="00C006A7">
      <w:pPr>
        <w:spacing w:line="360" w:lineRule="auto"/>
        <w:ind w:firstLineChars="200" w:firstLine="482"/>
        <w:rPr>
          <w:b/>
          <w:sz w:val="24"/>
        </w:rPr>
      </w:pPr>
      <w:r>
        <w:rPr>
          <w:b/>
          <w:sz w:val="24"/>
        </w:rPr>
        <w:t>（</w:t>
      </w:r>
      <w:r>
        <w:rPr>
          <w:b/>
          <w:sz w:val="24"/>
        </w:rPr>
        <w:t>4</w:t>
      </w:r>
      <w:r>
        <w:rPr>
          <w:b/>
          <w:sz w:val="24"/>
        </w:rPr>
        <w:t>）声环境</w:t>
      </w:r>
    </w:p>
    <w:p w:rsidR="00C223F5" w:rsidRDefault="005860D5" w:rsidP="0064552A">
      <w:pPr>
        <w:spacing w:line="360" w:lineRule="auto"/>
        <w:ind w:firstLineChars="200" w:firstLine="480"/>
        <w:rPr>
          <w:sz w:val="24"/>
        </w:rPr>
      </w:pPr>
      <w:r>
        <w:rPr>
          <w:sz w:val="24"/>
        </w:rPr>
        <w:t>根据《</w:t>
      </w:r>
      <w:r>
        <w:rPr>
          <w:rFonts w:hint="eastAsia"/>
          <w:sz w:val="24"/>
        </w:rPr>
        <w:t>声环境功能区划分技术规范（</w:t>
      </w:r>
      <w:r>
        <w:rPr>
          <w:rFonts w:hint="eastAsia"/>
          <w:sz w:val="24"/>
        </w:rPr>
        <w:t>GB/T 15190-2014</w:t>
      </w:r>
      <w:r>
        <w:rPr>
          <w:rFonts w:hint="eastAsia"/>
          <w:sz w:val="24"/>
        </w:rPr>
        <w:t>）</w:t>
      </w:r>
      <w:r>
        <w:rPr>
          <w:sz w:val="24"/>
        </w:rPr>
        <w:t>》，</w:t>
      </w:r>
      <w:r>
        <w:rPr>
          <w:rFonts w:hint="eastAsia"/>
          <w:sz w:val="24"/>
        </w:rPr>
        <w:t>结合榆林市环保局</w:t>
      </w:r>
      <w:r>
        <w:rPr>
          <w:sz w:val="24"/>
        </w:rPr>
        <w:t>批复的评价执行标准</w:t>
      </w:r>
      <w:r>
        <w:rPr>
          <w:rFonts w:hint="eastAsia"/>
          <w:sz w:val="24"/>
        </w:rPr>
        <w:t>，确定</w:t>
      </w:r>
      <w:r>
        <w:rPr>
          <w:sz w:val="24"/>
        </w:rPr>
        <w:t>项目工业场地</w:t>
      </w:r>
      <w:r>
        <w:rPr>
          <w:rFonts w:hint="eastAsia"/>
          <w:sz w:val="24"/>
        </w:rPr>
        <w:t>所在区域</w:t>
      </w:r>
      <w:r>
        <w:rPr>
          <w:sz w:val="24"/>
        </w:rPr>
        <w:t>为</w:t>
      </w:r>
      <w:r>
        <w:rPr>
          <w:rFonts w:hint="eastAsia"/>
          <w:sz w:val="24"/>
        </w:rPr>
        <w:t>2</w:t>
      </w:r>
      <w:r>
        <w:rPr>
          <w:sz w:val="24"/>
        </w:rPr>
        <w:t>类</w:t>
      </w:r>
      <w:r>
        <w:rPr>
          <w:rFonts w:hint="eastAsia"/>
          <w:sz w:val="24"/>
        </w:rPr>
        <w:t>声环境功能</w:t>
      </w:r>
      <w:r>
        <w:rPr>
          <w:sz w:val="24"/>
        </w:rPr>
        <w:t>区</w:t>
      </w:r>
      <w:r>
        <w:rPr>
          <w:rFonts w:hint="eastAsia"/>
          <w:sz w:val="24"/>
        </w:rPr>
        <w:t>。</w:t>
      </w:r>
    </w:p>
    <w:p w:rsidR="00C223F5" w:rsidRDefault="005860D5" w:rsidP="00C006A7">
      <w:pPr>
        <w:spacing w:line="360" w:lineRule="auto"/>
        <w:ind w:firstLineChars="200" w:firstLine="482"/>
        <w:rPr>
          <w:b/>
          <w:sz w:val="24"/>
        </w:rPr>
      </w:pPr>
      <w:r>
        <w:rPr>
          <w:b/>
          <w:sz w:val="24"/>
        </w:rPr>
        <w:t>（</w:t>
      </w:r>
      <w:r>
        <w:rPr>
          <w:b/>
          <w:sz w:val="24"/>
        </w:rPr>
        <w:t>5</w:t>
      </w:r>
      <w:r>
        <w:rPr>
          <w:b/>
          <w:sz w:val="24"/>
        </w:rPr>
        <w:t>）生态环境</w:t>
      </w:r>
    </w:p>
    <w:p w:rsidR="00C223F5" w:rsidRDefault="005860D5" w:rsidP="0064552A">
      <w:pPr>
        <w:spacing w:line="360" w:lineRule="auto"/>
        <w:ind w:firstLineChars="200" w:firstLine="480"/>
        <w:rPr>
          <w:sz w:val="24"/>
        </w:rPr>
      </w:pPr>
      <w:bookmarkStart w:id="100" w:name="OLE_LINK7"/>
      <w:bookmarkStart w:id="101" w:name="OLE_LINK8"/>
      <w:r>
        <w:rPr>
          <w:sz w:val="24"/>
        </w:rPr>
        <w:t>根据《陕西省生态功能区划》（见图</w:t>
      </w:r>
      <w:r>
        <w:rPr>
          <w:rFonts w:hint="eastAsia"/>
          <w:sz w:val="24"/>
        </w:rPr>
        <w:t>1</w:t>
      </w:r>
      <w:r>
        <w:rPr>
          <w:sz w:val="24"/>
        </w:rPr>
        <w:t>.</w:t>
      </w:r>
      <w:r>
        <w:rPr>
          <w:rFonts w:hint="eastAsia"/>
          <w:sz w:val="24"/>
        </w:rPr>
        <w:t>4</w:t>
      </w:r>
      <w:r>
        <w:rPr>
          <w:sz w:val="24"/>
        </w:rPr>
        <w:t>.1-</w:t>
      </w:r>
      <w:r>
        <w:rPr>
          <w:rFonts w:hint="eastAsia"/>
          <w:sz w:val="24"/>
        </w:rPr>
        <w:t>2</w:t>
      </w:r>
      <w:r>
        <w:rPr>
          <w:sz w:val="24"/>
        </w:rPr>
        <w:t>），</w:t>
      </w:r>
      <w:r>
        <w:rPr>
          <w:rFonts w:hAnsi="宋体"/>
          <w:sz w:val="24"/>
          <w:szCs w:val="22"/>
        </w:rPr>
        <w:t>项目所在区在</w:t>
      </w:r>
      <w:r>
        <w:rPr>
          <w:rFonts w:hAnsi="宋体"/>
          <w:sz w:val="24"/>
        </w:rPr>
        <w:t>一级区划属于</w:t>
      </w:r>
      <w:r>
        <w:rPr>
          <w:rFonts w:hAnsi="宋体" w:hint="eastAsia"/>
          <w:sz w:val="24"/>
        </w:rPr>
        <w:t>黄土高原农牧生态</w:t>
      </w:r>
      <w:r>
        <w:rPr>
          <w:rFonts w:hAnsi="宋体"/>
          <w:sz w:val="24"/>
        </w:rPr>
        <w:t>区，二级区划属于</w:t>
      </w:r>
      <w:r>
        <w:rPr>
          <w:rFonts w:hAnsi="宋体" w:hint="eastAsia"/>
          <w:sz w:val="24"/>
        </w:rPr>
        <w:t>黄土丘陵沟壑水土流失控制生态</w:t>
      </w:r>
      <w:r>
        <w:rPr>
          <w:rFonts w:hAnsi="宋体"/>
          <w:sz w:val="24"/>
        </w:rPr>
        <w:t>亚区，三级区划属于</w:t>
      </w:r>
      <w:r>
        <w:rPr>
          <w:rFonts w:hAnsi="宋体" w:hint="eastAsia"/>
          <w:sz w:val="24"/>
        </w:rPr>
        <w:t>榆神府黄土梁水蚀风蚀控制</w:t>
      </w:r>
      <w:r>
        <w:rPr>
          <w:rFonts w:hAnsi="宋体"/>
          <w:sz w:val="24"/>
        </w:rPr>
        <w:t>区。</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102" w:name="_Toc533604695"/>
      <w:bookmarkStart w:id="103" w:name="_Toc533604275"/>
      <w:bookmarkStart w:id="104" w:name="_Toc16785236"/>
      <w:r>
        <w:rPr>
          <w:rFonts w:eastAsia="宋体" w:hint="eastAsia"/>
          <w:b/>
          <w:bCs w:val="0"/>
          <w:sz w:val="28"/>
          <w:szCs w:val="28"/>
        </w:rPr>
        <w:t>1.4.2</w:t>
      </w:r>
      <w:r>
        <w:rPr>
          <w:rFonts w:eastAsia="宋体" w:hint="eastAsia"/>
          <w:b/>
          <w:bCs w:val="0"/>
          <w:sz w:val="28"/>
          <w:szCs w:val="28"/>
        </w:rPr>
        <w:t>评价标准</w:t>
      </w:r>
      <w:bookmarkEnd w:id="102"/>
      <w:bookmarkEnd w:id="103"/>
      <w:bookmarkEnd w:id="104"/>
    </w:p>
    <w:p w:rsidR="00C223F5" w:rsidRPr="006B497B" w:rsidRDefault="005860D5">
      <w:pPr>
        <w:spacing w:line="360" w:lineRule="auto"/>
        <w:ind w:firstLineChars="200" w:firstLine="480"/>
        <w:rPr>
          <w:color w:val="FF0000"/>
          <w:sz w:val="24"/>
        </w:rPr>
      </w:pPr>
      <w:r w:rsidRPr="006B497B">
        <w:rPr>
          <w:color w:val="FF0000"/>
          <w:sz w:val="24"/>
        </w:rPr>
        <w:t>根据</w:t>
      </w:r>
      <w:r w:rsidR="006B497B" w:rsidRPr="006B497B">
        <w:rPr>
          <w:rFonts w:hint="eastAsia"/>
          <w:color w:val="FF0000"/>
          <w:sz w:val="24"/>
        </w:rPr>
        <w:t>项目所在区域各环境要素功能分区，以及项目污染物排放特征，</w:t>
      </w:r>
      <w:r w:rsidRPr="006B497B">
        <w:rPr>
          <w:color w:val="FF0000"/>
          <w:sz w:val="24"/>
        </w:rPr>
        <w:t>本项目的环境</w:t>
      </w:r>
      <w:r w:rsidR="007428D0">
        <w:rPr>
          <w:rFonts w:hint="eastAsia"/>
          <w:color w:val="FF0000"/>
          <w:sz w:val="24"/>
        </w:rPr>
        <w:t>影响</w:t>
      </w:r>
      <w:r w:rsidRPr="006B497B">
        <w:rPr>
          <w:color w:val="FF0000"/>
          <w:sz w:val="24"/>
        </w:rPr>
        <w:t>评价标准</w:t>
      </w:r>
      <w:r w:rsidR="006B497B" w:rsidRPr="006B497B">
        <w:rPr>
          <w:rFonts w:hint="eastAsia"/>
          <w:color w:val="FF0000"/>
          <w:sz w:val="24"/>
        </w:rPr>
        <w:t>建议</w:t>
      </w:r>
      <w:r w:rsidRPr="006B497B">
        <w:rPr>
          <w:color w:val="FF0000"/>
          <w:sz w:val="24"/>
        </w:rPr>
        <w:t>如下：</w:t>
      </w:r>
    </w:p>
    <w:p w:rsidR="00C223F5" w:rsidRDefault="005860D5">
      <w:pPr>
        <w:spacing w:line="360" w:lineRule="auto"/>
        <w:ind w:firstLineChars="200" w:firstLine="482"/>
        <w:rPr>
          <w:b/>
          <w:sz w:val="24"/>
        </w:rPr>
      </w:pPr>
      <w:bookmarkStart w:id="105" w:name="_Toc518042049"/>
      <w:bookmarkStart w:id="106" w:name="_Toc518158190"/>
      <w:bookmarkStart w:id="107" w:name="_Toc518464505"/>
      <w:bookmarkStart w:id="108" w:name="_Toc516737867"/>
      <w:bookmarkStart w:id="109" w:name="_Toc525047698"/>
      <w:bookmarkStart w:id="110" w:name="_Toc516059127"/>
      <w:r>
        <w:rPr>
          <w:b/>
          <w:sz w:val="24"/>
        </w:rPr>
        <w:t>（</w:t>
      </w:r>
      <w:r>
        <w:rPr>
          <w:b/>
          <w:sz w:val="24"/>
        </w:rPr>
        <w:t>1</w:t>
      </w:r>
      <w:r>
        <w:rPr>
          <w:b/>
          <w:sz w:val="24"/>
        </w:rPr>
        <w:t>）环境质量标准</w:t>
      </w:r>
      <w:bookmarkEnd w:id="105"/>
      <w:bookmarkEnd w:id="106"/>
      <w:bookmarkEnd w:id="107"/>
      <w:bookmarkEnd w:id="108"/>
      <w:bookmarkEnd w:id="109"/>
      <w:bookmarkEnd w:id="110"/>
    </w:p>
    <w:p w:rsidR="00C223F5" w:rsidRDefault="005860D5">
      <w:pPr>
        <w:pStyle w:val="BG"/>
        <w:ind w:firstLine="480"/>
      </w:pPr>
      <w:r>
        <w:rPr>
          <w:rFonts w:hint="eastAsia"/>
        </w:rPr>
        <w:t>①环境空气执行</w:t>
      </w:r>
      <w:r>
        <w:rPr>
          <w:rFonts w:hint="eastAsia"/>
        </w:rPr>
        <w:t>GB3095-2012</w:t>
      </w:r>
      <w:r>
        <w:rPr>
          <w:rFonts w:hint="eastAsia"/>
        </w:rPr>
        <w:t>《环境空气质量标准》二级标准；</w:t>
      </w:r>
    </w:p>
    <w:p w:rsidR="00C223F5" w:rsidRDefault="005860D5">
      <w:pPr>
        <w:pStyle w:val="BG"/>
        <w:ind w:firstLine="480"/>
      </w:pPr>
      <w:r>
        <w:rPr>
          <w:rFonts w:hint="eastAsia"/>
        </w:rPr>
        <w:t>②地表水环境执行</w:t>
      </w:r>
      <w:r>
        <w:rPr>
          <w:rFonts w:hint="eastAsia"/>
        </w:rPr>
        <w:t>GB3838-2002</w:t>
      </w:r>
      <w:r>
        <w:rPr>
          <w:rFonts w:hint="eastAsia"/>
        </w:rPr>
        <w:t>《地表水环境质量标准》Ⅲ类标准；</w:t>
      </w:r>
      <w:r>
        <w:rPr>
          <w:rFonts w:hint="eastAsia"/>
        </w:rPr>
        <w:t xml:space="preserve"> </w:t>
      </w:r>
    </w:p>
    <w:p w:rsidR="00C223F5" w:rsidRDefault="000F32AE">
      <w:pPr>
        <w:pStyle w:val="BG"/>
        <w:ind w:firstLine="480"/>
      </w:pPr>
      <w:r>
        <w:rPr>
          <w:rFonts w:hint="eastAsia"/>
        </w:rPr>
        <w:fldChar w:fldCharType="begin"/>
      </w:r>
      <w:r w:rsidR="005860D5">
        <w:instrText xml:space="preserve"> = 3 \* GB3 </w:instrText>
      </w:r>
      <w:r>
        <w:rPr>
          <w:rFonts w:hint="eastAsia"/>
        </w:rPr>
        <w:fldChar w:fldCharType="separate"/>
      </w:r>
      <w:r w:rsidR="005860D5">
        <w:rPr>
          <w:rFonts w:hint="eastAsia"/>
        </w:rPr>
        <w:t>③</w:t>
      </w:r>
      <w:r>
        <w:rPr>
          <w:rFonts w:hint="eastAsia"/>
        </w:rPr>
        <w:fldChar w:fldCharType="end"/>
      </w:r>
      <w:r w:rsidR="005860D5">
        <w:rPr>
          <w:rFonts w:hint="eastAsia"/>
        </w:rPr>
        <w:t>地下水环境执行</w:t>
      </w:r>
      <w:r w:rsidR="005860D5">
        <w:rPr>
          <w:rFonts w:hint="eastAsia"/>
        </w:rPr>
        <w:t>GB/T14848-2017</w:t>
      </w:r>
      <w:r w:rsidR="005860D5">
        <w:rPr>
          <w:rFonts w:hint="eastAsia"/>
        </w:rPr>
        <w:t>《地下水质量标准》Ⅲ类标准；</w:t>
      </w:r>
    </w:p>
    <w:p w:rsidR="00C223F5" w:rsidRPr="00567748" w:rsidRDefault="005860D5">
      <w:pPr>
        <w:pStyle w:val="BG"/>
        <w:ind w:firstLine="480"/>
        <w:rPr>
          <w:color w:val="FF0000"/>
        </w:rPr>
      </w:pPr>
      <w:r w:rsidRPr="00567748">
        <w:rPr>
          <w:rFonts w:hint="eastAsia"/>
          <w:color w:val="FF0000"/>
        </w:rPr>
        <w:t>④声环境执行</w:t>
      </w:r>
      <w:r w:rsidRPr="00567748">
        <w:rPr>
          <w:rFonts w:hint="eastAsia"/>
          <w:color w:val="FF0000"/>
        </w:rPr>
        <w:t>GB3096-2008</w:t>
      </w:r>
      <w:r w:rsidRPr="00567748">
        <w:rPr>
          <w:rFonts w:hint="eastAsia"/>
          <w:color w:val="FF0000"/>
        </w:rPr>
        <w:t>《声环境质量标准》</w:t>
      </w:r>
      <w:r w:rsidRPr="00567748">
        <w:rPr>
          <w:rFonts w:hint="eastAsia"/>
          <w:color w:val="FF0000"/>
        </w:rPr>
        <w:t>2</w:t>
      </w:r>
      <w:r w:rsidRPr="00567748">
        <w:rPr>
          <w:rFonts w:hint="eastAsia"/>
          <w:color w:val="FF0000"/>
        </w:rPr>
        <w:t>类标准；</w:t>
      </w:r>
      <w:r w:rsidR="00567748" w:rsidRPr="00567748">
        <w:rPr>
          <w:rFonts w:hint="eastAsia"/>
          <w:color w:val="FF0000"/>
        </w:rPr>
        <w:t>青银高速公路两侧</w:t>
      </w:r>
      <w:r w:rsidR="00567748">
        <w:rPr>
          <w:rFonts w:hint="eastAsia"/>
          <w:color w:val="FF0000"/>
        </w:rPr>
        <w:t>距离</w:t>
      </w:r>
      <w:r w:rsidR="00567748">
        <w:rPr>
          <w:rFonts w:hint="eastAsia"/>
          <w:color w:val="FF0000"/>
        </w:rPr>
        <w:t>40m</w:t>
      </w:r>
      <w:r w:rsidR="00567748">
        <w:rPr>
          <w:rFonts w:hint="eastAsia"/>
          <w:color w:val="FF0000"/>
        </w:rPr>
        <w:t>范围内执行</w:t>
      </w:r>
      <w:r w:rsidR="00567748" w:rsidRPr="00567748">
        <w:rPr>
          <w:color w:val="FF0000"/>
        </w:rPr>
        <w:t xml:space="preserve"> </w:t>
      </w:r>
      <w:r w:rsidR="00567748" w:rsidRPr="00567748">
        <w:rPr>
          <w:rFonts w:hint="eastAsia"/>
          <w:color w:val="FF0000"/>
        </w:rPr>
        <w:t>GB3096-2008</w:t>
      </w:r>
      <w:r w:rsidR="00567748" w:rsidRPr="00567748">
        <w:rPr>
          <w:rFonts w:hint="eastAsia"/>
          <w:color w:val="FF0000"/>
        </w:rPr>
        <w:t>《声环境质量标准》</w:t>
      </w:r>
      <w:r w:rsidR="00567748">
        <w:rPr>
          <w:rFonts w:hint="eastAsia"/>
          <w:color w:val="FF0000"/>
        </w:rPr>
        <w:t>4a</w:t>
      </w:r>
      <w:r w:rsidR="00567748" w:rsidRPr="00567748">
        <w:rPr>
          <w:rFonts w:hint="eastAsia"/>
          <w:color w:val="FF0000"/>
        </w:rPr>
        <w:t>类标准；</w:t>
      </w:r>
    </w:p>
    <w:p w:rsidR="00C223F5" w:rsidRDefault="005860D5">
      <w:pPr>
        <w:pStyle w:val="BG"/>
        <w:ind w:firstLine="480"/>
      </w:pPr>
      <w:r>
        <w:rPr>
          <w:rFonts w:hint="eastAsia"/>
        </w:rPr>
        <w:t>⑤</w:t>
      </w:r>
      <w:r>
        <w:t>生态环境执行</w:t>
      </w:r>
      <w:r>
        <w:t>GB15618-</w:t>
      </w:r>
      <w:r>
        <w:rPr>
          <w:rFonts w:hint="eastAsia"/>
        </w:rPr>
        <w:t>2018</w:t>
      </w:r>
      <w:r>
        <w:t>《土壤环境质量</w:t>
      </w:r>
      <w:r>
        <w:rPr>
          <w:rFonts w:hint="eastAsia"/>
        </w:rPr>
        <w:t xml:space="preserve"> </w:t>
      </w:r>
      <w:r>
        <w:rPr>
          <w:rFonts w:hint="eastAsia"/>
        </w:rPr>
        <w:t>农用地土壤污染风险管控标准（试行）</w:t>
      </w:r>
      <w:r>
        <w:t>》</w:t>
      </w:r>
      <w:r>
        <w:rPr>
          <w:rFonts w:hint="eastAsia"/>
        </w:rPr>
        <w:t>及</w:t>
      </w:r>
      <w:r>
        <w:rPr>
          <w:rFonts w:hint="eastAsia"/>
        </w:rPr>
        <w:t>GB36600-2018</w:t>
      </w:r>
      <w:r>
        <w:rPr>
          <w:rFonts w:hint="eastAsia"/>
        </w:rPr>
        <w:t>《土壤环境质量建设用地土壤污染风险管控标准（试行）》第二类用地相关标准。</w:t>
      </w:r>
    </w:p>
    <w:p w:rsidR="00C223F5" w:rsidRDefault="005860D5">
      <w:pPr>
        <w:spacing w:line="360" w:lineRule="auto"/>
        <w:ind w:firstLineChars="200" w:firstLine="482"/>
        <w:rPr>
          <w:b/>
          <w:sz w:val="24"/>
        </w:rPr>
      </w:pPr>
      <w:r>
        <w:rPr>
          <w:b/>
          <w:sz w:val="24"/>
        </w:rPr>
        <w:t>（</w:t>
      </w:r>
      <w:r>
        <w:rPr>
          <w:b/>
          <w:sz w:val="24"/>
        </w:rPr>
        <w:t>2</w:t>
      </w:r>
      <w:r>
        <w:rPr>
          <w:b/>
          <w:sz w:val="24"/>
        </w:rPr>
        <w:t>）污染物排放标准</w:t>
      </w:r>
    </w:p>
    <w:p w:rsidR="00C223F5" w:rsidRPr="00925B84" w:rsidRDefault="005860D5">
      <w:pPr>
        <w:pStyle w:val="BG"/>
        <w:ind w:firstLine="480"/>
      </w:pPr>
      <w:r>
        <w:rPr>
          <w:rFonts w:hint="eastAsia"/>
        </w:rPr>
        <w:t>①煤炭工业大气污染物、无组织排放执行</w:t>
      </w:r>
      <w:r>
        <w:rPr>
          <w:rFonts w:hint="eastAsia"/>
        </w:rPr>
        <w:t>GB20426-2006</w:t>
      </w:r>
      <w:r>
        <w:rPr>
          <w:rFonts w:hint="eastAsia"/>
        </w:rPr>
        <w:t>《煤炭工业污染物排放标准》表</w:t>
      </w:r>
      <w:r>
        <w:rPr>
          <w:rFonts w:hint="eastAsia"/>
        </w:rPr>
        <w:t>4</w:t>
      </w:r>
      <w:r>
        <w:rPr>
          <w:rFonts w:hint="eastAsia"/>
        </w:rPr>
        <w:t>、表</w:t>
      </w:r>
      <w:r>
        <w:rPr>
          <w:rFonts w:hint="eastAsia"/>
        </w:rPr>
        <w:t>5</w:t>
      </w:r>
      <w:r>
        <w:rPr>
          <w:rFonts w:hint="eastAsia"/>
        </w:rPr>
        <w:t>规定的限值；施工厂界扬尘执行</w:t>
      </w:r>
      <w:r>
        <w:rPr>
          <w:rFonts w:hint="eastAsia"/>
        </w:rPr>
        <w:t>DB61/1078-2017</w:t>
      </w:r>
      <w:r>
        <w:rPr>
          <w:rFonts w:hint="eastAsia"/>
        </w:rPr>
        <w:t>《施工场界扬尘排放限值》</w:t>
      </w:r>
      <w:r w:rsidRPr="00925B84">
        <w:rPr>
          <w:rFonts w:hint="eastAsia"/>
        </w:rPr>
        <w:t>中相关限值要求。</w:t>
      </w:r>
    </w:p>
    <w:p w:rsidR="00C223F5" w:rsidRPr="00925B84" w:rsidRDefault="005860D5">
      <w:pPr>
        <w:pStyle w:val="BG"/>
        <w:ind w:firstLine="480"/>
      </w:pPr>
      <w:r w:rsidRPr="00925B84">
        <w:rPr>
          <w:rFonts w:hint="eastAsia"/>
        </w:rPr>
        <w:t>②采煤废水排放执行《煤炭工业污染物排放标准》（</w:t>
      </w:r>
      <w:r w:rsidRPr="00925B84">
        <w:rPr>
          <w:rFonts w:hint="eastAsia"/>
        </w:rPr>
        <w:t>GB20426-2006</w:t>
      </w:r>
      <w:r w:rsidRPr="00925B84">
        <w:rPr>
          <w:rFonts w:hint="eastAsia"/>
        </w:rPr>
        <w:t>）相关规定及</w:t>
      </w:r>
      <w:r w:rsidRPr="00925B84">
        <w:rPr>
          <w:rFonts w:hint="eastAsia"/>
          <w:b/>
        </w:rPr>
        <w:t>《陕西省黄河流域污水综合排放标准》（</w:t>
      </w:r>
      <w:r w:rsidRPr="00925B84">
        <w:rPr>
          <w:rFonts w:hint="eastAsia"/>
          <w:b/>
        </w:rPr>
        <w:t>DB61/224-2018</w:t>
      </w:r>
      <w:r w:rsidRPr="00925B84">
        <w:rPr>
          <w:rFonts w:hint="eastAsia"/>
          <w:b/>
        </w:rPr>
        <w:t>）中表</w:t>
      </w:r>
      <w:r w:rsidRPr="00925B84">
        <w:rPr>
          <w:rFonts w:hint="eastAsia"/>
          <w:b/>
        </w:rPr>
        <w:t>2</w:t>
      </w:r>
      <w:r w:rsidRPr="00925B84">
        <w:rPr>
          <w:rFonts w:hint="eastAsia"/>
          <w:b/>
        </w:rPr>
        <w:t>限值；</w:t>
      </w:r>
      <w:r w:rsidRPr="00925B84">
        <w:rPr>
          <w:rFonts w:hint="eastAsia"/>
        </w:rPr>
        <w:t>生活污水经处理后全部回用不外排。</w:t>
      </w:r>
    </w:p>
    <w:p w:rsidR="00C223F5" w:rsidRDefault="005860D5">
      <w:pPr>
        <w:pStyle w:val="BG"/>
        <w:ind w:firstLine="480"/>
      </w:pPr>
      <w:r w:rsidRPr="00925B84">
        <w:rPr>
          <w:rFonts w:hint="eastAsia"/>
        </w:rPr>
        <w:t>③固体废物</w:t>
      </w:r>
      <w:r w:rsidRPr="00925B84">
        <w:t>执行《煤炭工业污染物排放标准》</w:t>
      </w:r>
      <w:r w:rsidRPr="00925B84">
        <w:rPr>
          <w:rFonts w:hint="eastAsia"/>
        </w:rPr>
        <w:t>（</w:t>
      </w:r>
      <w:r w:rsidRPr="00925B84">
        <w:t>GB20426-2006</w:t>
      </w:r>
      <w:r w:rsidRPr="00925B84">
        <w:rPr>
          <w:rFonts w:hint="eastAsia"/>
        </w:rPr>
        <w:t>）和</w:t>
      </w:r>
      <w:r w:rsidRPr="00925B84">
        <w:t>《一般工业固体废物贮存、处置场污染控制标准</w:t>
      </w:r>
      <w:r>
        <w:t>》（</w:t>
      </w:r>
      <w:r>
        <w:t>GB18599-2001</w:t>
      </w:r>
      <w:r>
        <w:t>）</w:t>
      </w:r>
      <w:r>
        <w:rPr>
          <w:rFonts w:hint="eastAsia"/>
        </w:rPr>
        <w:t>及其修改单</w:t>
      </w:r>
      <w:r>
        <w:t>中</w:t>
      </w:r>
      <w:r>
        <w:rPr>
          <w:rFonts w:hint="eastAsia"/>
        </w:rPr>
        <w:t>的相关规定；</w:t>
      </w:r>
      <w:r>
        <w:rPr>
          <w:rFonts w:hint="eastAsia"/>
        </w:rPr>
        <w:lastRenderedPageBreak/>
        <w:t>危险废物贮存</w:t>
      </w:r>
      <w:r>
        <w:t>执行</w:t>
      </w:r>
      <w:r>
        <w:t>GB18597-2001</w:t>
      </w:r>
      <w:r>
        <w:t>《危险废物贮存污染控制标准》</w:t>
      </w:r>
      <w:r>
        <w:rPr>
          <w:rFonts w:hint="eastAsia"/>
        </w:rPr>
        <w:t>中有关规定；生活垃圾执行</w:t>
      </w:r>
      <w:r>
        <w:rPr>
          <w:rFonts w:hint="eastAsia"/>
        </w:rPr>
        <w:t>GB16889-2008</w:t>
      </w:r>
      <w:r>
        <w:rPr>
          <w:rFonts w:hint="eastAsia"/>
        </w:rPr>
        <w:t>《生活垃圾填埋场污染控制标准》中有关要求。</w:t>
      </w:r>
    </w:p>
    <w:p w:rsidR="00C223F5" w:rsidRDefault="005860D5">
      <w:pPr>
        <w:pStyle w:val="BG"/>
        <w:ind w:firstLine="480"/>
      </w:pPr>
      <w:r>
        <w:rPr>
          <w:rFonts w:hint="eastAsia"/>
        </w:rPr>
        <w:t>④厂界</w:t>
      </w:r>
      <w:r>
        <w:t>噪声执行</w:t>
      </w:r>
      <w:r>
        <w:t>GB12348-2008</w:t>
      </w:r>
      <w:r>
        <w:t>《工业企业厂界环境噪声排放标准》</w:t>
      </w:r>
      <w:r>
        <w:t>2</w:t>
      </w:r>
      <w:r>
        <w:t>类</w:t>
      </w:r>
      <w:r>
        <w:rPr>
          <w:rFonts w:hint="eastAsia"/>
        </w:rPr>
        <w:t>标准</w:t>
      </w:r>
      <w:r>
        <w:t>；施工</w:t>
      </w:r>
      <w:r>
        <w:rPr>
          <w:rFonts w:hint="eastAsia"/>
        </w:rPr>
        <w:t>噪声</w:t>
      </w:r>
      <w:r>
        <w:t>执行</w:t>
      </w:r>
      <w:r>
        <w:rPr>
          <w:rFonts w:hint="eastAsia"/>
        </w:rPr>
        <w:t>GB12523-2011</w:t>
      </w:r>
      <w:r>
        <w:rPr>
          <w:rFonts w:hint="eastAsia"/>
        </w:rPr>
        <w:t>《建筑施工场界噪声限值》有关规定。</w:t>
      </w:r>
    </w:p>
    <w:p w:rsidR="00C223F5" w:rsidRDefault="005860D5">
      <w:pPr>
        <w:spacing w:line="360" w:lineRule="auto"/>
        <w:ind w:firstLineChars="200" w:firstLine="482"/>
        <w:rPr>
          <w:b/>
          <w:sz w:val="24"/>
        </w:rPr>
      </w:pPr>
      <w:r>
        <w:rPr>
          <w:rFonts w:hint="eastAsia"/>
          <w:b/>
          <w:sz w:val="24"/>
        </w:rPr>
        <w:t>（</w:t>
      </w:r>
      <w:r>
        <w:rPr>
          <w:b/>
          <w:sz w:val="24"/>
        </w:rPr>
        <w:t>3</w:t>
      </w:r>
      <w:r>
        <w:rPr>
          <w:b/>
          <w:sz w:val="24"/>
        </w:rPr>
        <w:t>）</w:t>
      </w:r>
      <w:r>
        <w:rPr>
          <w:rFonts w:hint="eastAsia"/>
          <w:b/>
          <w:sz w:val="24"/>
        </w:rPr>
        <w:t>国家规定的总量控制指标和项目特征污染物必须符合污染物排放总量控制指标要求。</w:t>
      </w:r>
    </w:p>
    <w:p w:rsidR="00C223F5" w:rsidRDefault="005860D5">
      <w:pPr>
        <w:spacing w:line="360" w:lineRule="auto"/>
        <w:ind w:firstLineChars="200" w:firstLine="482"/>
        <w:rPr>
          <w:b/>
          <w:sz w:val="24"/>
        </w:rPr>
      </w:pPr>
      <w:r>
        <w:rPr>
          <w:rFonts w:hint="eastAsia"/>
          <w:b/>
          <w:sz w:val="24"/>
        </w:rPr>
        <w:t>（</w:t>
      </w:r>
      <w:r>
        <w:rPr>
          <w:rFonts w:hint="eastAsia"/>
          <w:b/>
          <w:sz w:val="24"/>
        </w:rPr>
        <w:t>4</w:t>
      </w:r>
      <w:r>
        <w:rPr>
          <w:rFonts w:hint="eastAsia"/>
          <w:b/>
          <w:sz w:val="24"/>
        </w:rPr>
        <w:t>）其它要素评价按国家有关规定执行。</w:t>
      </w:r>
      <w:bookmarkStart w:id="111" w:name="_Toc533604696"/>
      <w:bookmarkStart w:id="112" w:name="_Toc533604276"/>
      <w:bookmarkEnd w:id="100"/>
      <w:bookmarkEnd w:id="101"/>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113" w:name="_Toc16785237"/>
      <w:r>
        <w:rPr>
          <w:rFonts w:ascii="Times New Roman" w:eastAsia="宋体" w:hAnsi="Times New Roman" w:hint="eastAsia"/>
          <w:b/>
          <w:bCs w:val="0"/>
          <w:szCs w:val="30"/>
        </w:rPr>
        <w:t>1.5</w:t>
      </w:r>
      <w:r>
        <w:rPr>
          <w:rFonts w:ascii="Times New Roman" w:eastAsia="宋体" w:hAnsi="Times New Roman"/>
          <w:b/>
          <w:bCs w:val="0"/>
          <w:szCs w:val="30"/>
        </w:rPr>
        <w:t>评价工作等级</w:t>
      </w:r>
      <w:r>
        <w:rPr>
          <w:rFonts w:ascii="Times New Roman" w:eastAsia="宋体" w:hAnsi="Times New Roman" w:hint="eastAsia"/>
          <w:b/>
          <w:bCs w:val="0"/>
          <w:szCs w:val="30"/>
        </w:rPr>
        <w:t>、</w:t>
      </w:r>
      <w:r>
        <w:rPr>
          <w:rFonts w:ascii="Times New Roman" w:eastAsia="宋体" w:hAnsi="Times New Roman"/>
          <w:b/>
          <w:bCs w:val="0"/>
          <w:szCs w:val="30"/>
        </w:rPr>
        <w:t>范围及</w:t>
      </w:r>
      <w:r>
        <w:rPr>
          <w:rFonts w:ascii="Times New Roman" w:eastAsia="宋体" w:hAnsi="Times New Roman" w:hint="eastAsia"/>
          <w:b/>
          <w:bCs w:val="0"/>
          <w:szCs w:val="30"/>
        </w:rPr>
        <w:t>重点</w:t>
      </w:r>
      <w:bookmarkEnd w:id="111"/>
      <w:bookmarkEnd w:id="112"/>
      <w:bookmarkEnd w:id="113"/>
    </w:p>
    <w:p w:rsidR="00C223F5" w:rsidRDefault="005860D5" w:rsidP="004835BD">
      <w:pPr>
        <w:pStyle w:val="3"/>
        <w:numPr>
          <w:ilvl w:val="0"/>
          <w:numId w:val="0"/>
        </w:numPr>
        <w:spacing w:before="0" w:after="0" w:line="360" w:lineRule="auto"/>
        <w:ind w:left="170"/>
        <w:rPr>
          <w:rFonts w:eastAsia="宋体"/>
          <w:b/>
          <w:bCs w:val="0"/>
          <w:sz w:val="28"/>
          <w:szCs w:val="28"/>
        </w:rPr>
      </w:pPr>
      <w:bookmarkStart w:id="114" w:name="_Toc533604277"/>
      <w:bookmarkStart w:id="115" w:name="_Toc533604697"/>
      <w:bookmarkStart w:id="116" w:name="_Toc16785238"/>
      <w:r>
        <w:rPr>
          <w:rFonts w:eastAsia="宋体" w:hint="eastAsia"/>
          <w:b/>
          <w:bCs w:val="0"/>
          <w:sz w:val="28"/>
          <w:szCs w:val="28"/>
        </w:rPr>
        <w:t>1.5.1</w:t>
      </w:r>
      <w:r>
        <w:rPr>
          <w:rFonts w:eastAsia="宋体" w:hint="eastAsia"/>
          <w:b/>
          <w:bCs w:val="0"/>
          <w:sz w:val="28"/>
          <w:szCs w:val="28"/>
        </w:rPr>
        <w:t>评价等级、范围</w:t>
      </w:r>
      <w:bookmarkEnd w:id="114"/>
      <w:bookmarkEnd w:id="115"/>
      <w:bookmarkEnd w:id="116"/>
    </w:p>
    <w:p w:rsidR="00C223F5" w:rsidRDefault="005860D5">
      <w:pPr>
        <w:spacing w:line="360" w:lineRule="auto"/>
        <w:ind w:firstLineChars="200" w:firstLine="480"/>
        <w:rPr>
          <w:sz w:val="24"/>
        </w:rPr>
      </w:pPr>
      <w:bookmarkStart w:id="117" w:name="_Toc216254908"/>
      <w:r>
        <w:rPr>
          <w:rFonts w:hAnsi="宋体"/>
          <w:sz w:val="24"/>
        </w:rPr>
        <w:t>按照导则中评价工作等级的划分原则，本次评价工作等级及划分依据</w:t>
      </w:r>
      <w:r>
        <w:rPr>
          <w:rFonts w:hAnsi="宋体" w:hint="eastAsia"/>
          <w:sz w:val="24"/>
        </w:rPr>
        <w:t>、评价范围</w:t>
      </w:r>
      <w:r>
        <w:rPr>
          <w:rFonts w:hAnsi="宋体"/>
          <w:sz w:val="24"/>
        </w:rPr>
        <w:t>见表</w:t>
      </w:r>
      <w:r>
        <w:rPr>
          <w:sz w:val="24"/>
        </w:rPr>
        <w:t>1.</w:t>
      </w:r>
      <w:r>
        <w:rPr>
          <w:rFonts w:hint="eastAsia"/>
          <w:sz w:val="24"/>
        </w:rPr>
        <w:t>5.1</w:t>
      </w:r>
      <w:r>
        <w:rPr>
          <w:rFonts w:hAnsi="宋体" w:hint="eastAsia"/>
          <w:sz w:val="24"/>
        </w:rPr>
        <w:t>-</w:t>
      </w:r>
      <w:r>
        <w:rPr>
          <w:sz w:val="24"/>
        </w:rPr>
        <w:t>1</w:t>
      </w:r>
      <w:r>
        <w:rPr>
          <w:sz w:val="24"/>
        </w:rPr>
        <w:t>。</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118" w:name="_Toc533604278"/>
      <w:bookmarkStart w:id="119" w:name="_Toc533604698"/>
      <w:bookmarkStart w:id="120" w:name="_Toc16785239"/>
      <w:r>
        <w:rPr>
          <w:rFonts w:eastAsia="宋体" w:hint="eastAsia"/>
          <w:b/>
          <w:bCs w:val="0"/>
          <w:sz w:val="28"/>
          <w:szCs w:val="28"/>
        </w:rPr>
        <w:t>1.5.2</w:t>
      </w:r>
      <w:r>
        <w:rPr>
          <w:rFonts w:eastAsia="宋体" w:hint="eastAsia"/>
          <w:b/>
          <w:bCs w:val="0"/>
          <w:sz w:val="28"/>
          <w:szCs w:val="28"/>
        </w:rPr>
        <w:t>评价重点</w:t>
      </w:r>
      <w:bookmarkEnd w:id="118"/>
      <w:bookmarkEnd w:id="119"/>
      <w:bookmarkEnd w:id="120"/>
    </w:p>
    <w:p w:rsidR="00C223F5" w:rsidRDefault="005860D5">
      <w:pPr>
        <w:spacing w:line="360" w:lineRule="auto"/>
        <w:ind w:firstLineChars="200" w:firstLine="480"/>
        <w:rPr>
          <w:sz w:val="24"/>
        </w:rPr>
      </w:pPr>
      <w:r>
        <w:rPr>
          <w:rFonts w:hint="eastAsia"/>
          <w:sz w:val="24"/>
        </w:rPr>
        <w:t>本项目为煤炭资源整合项目，</w:t>
      </w:r>
      <w:r>
        <w:rPr>
          <w:sz w:val="24"/>
        </w:rPr>
        <w:t>结合本</w:t>
      </w:r>
      <w:r>
        <w:rPr>
          <w:rFonts w:hint="eastAsia"/>
          <w:sz w:val="24"/>
        </w:rPr>
        <w:t>项目</w:t>
      </w:r>
      <w:r>
        <w:rPr>
          <w:sz w:val="24"/>
        </w:rPr>
        <w:t>具体特点，确定其评价重点为：</w:t>
      </w:r>
    </w:p>
    <w:p w:rsidR="00C223F5" w:rsidRDefault="005860D5">
      <w:pPr>
        <w:spacing w:line="360" w:lineRule="auto"/>
        <w:ind w:firstLineChars="200" w:firstLine="480"/>
        <w:rPr>
          <w:sz w:val="24"/>
        </w:rPr>
      </w:pPr>
      <w:r>
        <w:rPr>
          <w:rFonts w:ascii="宋体" w:hAnsi="宋体" w:cs="宋体" w:hint="eastAsia"/>
          <w:sz w:val="24"/>
        </w:rPr>
        <w:t>①</w:t>
      </w:r>
      <w:r>
        <w:rPr>
          <w:sz w:val="24"/>
        </w:rPr>
        <w:t>生态环境的影响评价：</w:t>
      </w:r>
      <w:r>
        <w:rPr>
          <w:rFonts w:hint="eastAsia"/>
          <w:sz w:val="24"/>
        </w:rPr>
        <w:t>通过地表沉陷特征预测计算，评价井工开采引起的地表沉陷对生态环境的影响，</w:t>
      </w:r>
      <w:r>
        <w:rPr>
          <w:sz w:val="24"/>
        </w:rPr>
        <w:t>沉陷区给出综合整治复垦计划。</w:t>
      </w:r>
    </w:p>
    <w:p w:rsidR="00C223F5" w:rsidRDefault="005860D5">
      <w:pPr>
        <w:spacing w:line="360" w:lineRule="auto"/>
        <w:ind w:firstLine="482"/>
        <w:rPr>
          <w:sz w:val="24"/>
        </w:rPr>
      </w:pPr>
      <w:r>
        <w:rPr>
          <w:rFonts w:ascii="宋体" w:hAnsi="宋体" w:cs="宋体" w:hint="eastAsia"/>
          <w:sz w:val="24"/>
        </w:rPr>
        <w:t>②</w:t>
      </w:r>
      <w:r>
        <w:rPr>
          <w:sz w:val="24"/>
        </w:rPr>
        <w:t>水体环境影响评价：</w:t>
      </w:r>
      <w:r>
        <w:rPr>
          <w:rFonts w:hint="eastAsia"/>
          <w:sz w:val="24"/>
        </w:rPr>
        <w:t>重点评价项目实施对地下水水质的影响以及采煤导水裂隙对煤层上覆含（隔）水层的影响</w:t>
      </w:r>
      <w:r>
        <w:rPr>
          <w:sz w:val="24"/>
        </w:rPr>
        <w:t>。</w:t>
      </w:r>
    </w:p>
    <w:p w:rsidR="00C223F5" w:rsidRDefault="005860D5">
      <w:pPr>
        <w:spacing w:line="360" w:lineRule="auto"/>
        <w:ind w:firstLineChars="200" w:firstLine="480"/>
        <w:rPr>
          <w:sz w:val="24"/>
        </w:rPr>
      </w:pPr>
      <w:r>
        <w:rPr>
          <w:rFonts w:ascii="宋体" w:hAnsi="宋体" w:cs="宋体" w:hint="eastAsia"/>
          <w:sz w:val="24"/>
        </w:rPr>
        <w:t>③</w:t>
      </w:r>
      <w:r>
        <w:rPr>
          <w:sz w:val="24"/>
        </w:rPr>
        <w:t>综合治理及防治对策：对环保措施进行评述与论证，重点是生态综合防护、恢复措施、固体废弃物及水资源化。</w:t>
      </w: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121" w:name="_Toc533604699"/>
      <w:bookmarkStart w:id="122" w:name="_Toc533604279"/>
      <w:bookmarkStart w:id="123" w:name="_Toc16785240"/>
      <w:r>
        <w:rPr>
          <w:rFonts w:ascii="Times New Roman" w:eastAsia="宋体" w:hAnsi="Times New Roman" w:hint="eastAsia"/>
          <w:b/>
          <w:bCs w:val="0"/>
          <w:szCs w:val="30"/>
        </w:rPr>
        <w:t>1</w:t>
      </w:r>
      <w:r>
        <w:rPr>
          <w:rFonts w:ascii="Times New Roman" w:eastAsia="宋体" w:hAnsi="Times New Roman"/>
          <w:b/>
          <w:bCs w:val="0"/>
          <w:szCs w:val="30"/>
        </w:rPr>
        <w:t>.</w:t>
      </w:r>
      <w:r>
        <w:rPr>
          <w:rFonts w:ascii="Times New Roman" w:eastAsia="宋体" w:hAnsi="Times New Roman" w:hint="eastAsia"/>
          <w:b/>
          <w:bCs w:val="0"/>
          <w:szCs w:val="30"/>
        </w:rPr>
        <w:t>6</w:t>
      </w:r>
      <w:r>
        <w:rPr>
          <w:rFonts w:ascii="Times New Roman" w:eastAsia="宋体" w:hAnsi="Times New Roman"/>
          <w:b/>
          <w:bCs w:val="0"/>
          <w:szCs w:val="30"/>
        </w:rPr>
        <w:t>环境保护目标及污染控制内容</w:t>
      </w:r>
      <w:bookmarkEnd w:id="121"/>
      <w:bookmarkEnd w:id="122"/>
      <w:bookmarkEnd w:id="123"/>
    </w:p>
    <w:p w:rsidR="00C223F5" w:rsidRDefault="005860D5" w:rsidP="0064552A">
      <w:pPr>
        <w:pStyle w:val="hb1"/>
        <w:ind w:firstLine="480"/>
        <w:rPr>
          <w:rFonts w:cs="Times New Roman"/>
          <w:szCs w:val="24"/>
        </w:rPr>
      </w:pPr>
      <w:r>
        <w:rPr>
          <w:rFonts w:cs="Times New Roman"/>
          <w:szCs w:val="24"/>
        </w:rPr>
        <w:t>（</w:t>
      </w:r>
      <w:r>
        <w:rPr>
          <w:rFonts w:cs="Times New Roman" w:hint="eastAsia"/>
          <w:szCs w:val="24"/>
        </w:rPr>
        <w:t>1</w:t>
      </w:r>
      <w:r>
        <w:rPr>
          <w:rFonts w:cs="Times New Roman"/>
          <w:szCs w:val="24"/>
        </w:rPr>
        <w:t>）环境保护目标</w:t>
      </w:r>
    </w:p>
    <w:p w:rsidR="00C223F5" w:rsidRDefault="005860D5" w:rsidP="0064552A">
      <w:pPr>
        <w:spacing w:line="360" w:lineRule="auto"/>
        <w:ind w:firstLineChars="200" w:firstLine="480"/>
        <w:rPr>
          <w:sz w:val="24"/>
        </w:rPr>
      </w:pPr>
      <w:r>
        <w:rPr>
          <w:rFonts w:hint="eastAsia"/>
          <w:sz w:val="24"/>
        </w:rPr>
        <w:t>本次</w:t>
      </w:r>
      <w:r>
        <w:rPr>
          <w:sz w:val="24"/>
        </w:rPr>
        <w:t>评价的环境保护目标主要为井田范围内受</w:t>
      </w:r>
      <w:r>
        <w:rPr>
          <w:rFonts w:hint="eastAsia"/>
          <w:sz w:val="24"/>
        </w:rPr>
        <w:t>采煤</w:t>
      </w:r>
      <w:r>
        <w:rPr>
          <w:sz w:val="24"/>
        </w:rPr>
        <w:t>影响的植被、地表水、地下水、</w:t>
      </w:r>
      <w:r>
        <w:rPr>
          <w:rFonts w:hint="eastAsia"/>
          <w:sz w:val="24"/>
        </w:rPr>
        <w:t>基础设施、工业设施</w:t>
      </w:r>
      <w:r>
        <w:rPr>
          <w:sz w:val="24"/>
        </w:rPr>
        <w:t>及居民点等。环境保护目标见表</w:t>
      </w:r>
      <w:r>
        <w:rPr>
          <w:sz w:val="24"/>
        </w:rPr>
        <w:t>1.6</w:t>
      </w:r>
      <w:r>
        <w:rPr>
          <w:rFonts w:hint="eastAsia"/>
          <w:sz w:val="24"/>
        </w:rPr>
        <w:t>-1</w:t>
      </w:r>
      <w:r>
        <w:rPr>
          <w:sz w:val="24"/>
        </w:rPr>
        <w:t>，主要环境保护目标见图</w:t>
      </w:r>
      <w:r>
        <w:rPr>
          <w:sz w:val="24"/>
        </w:rPr>
        <w:t>1.6-1</w:t>
      </w:r>
      <w:r>
        <w:rPr>
          <w:sz w:val="24"/>
        </w:rPr>
        <w:t>。</w:t>
      </w:r>
    </w:p>
    <w:p w:rsidR="00C223F5" w:rsidRDefault="005860D5" w:rsidP="00C006A7">
      <w:pPr>
        <w:spacing w:line="360" w:lineRule="auto"/>
        <w:ind w:firstLineChars="200" w:firstLine="480"/>
        <w:rPr>
          <w:sz w:val="24"/>
          <w:szCs w:val="22"/>
        </w:rPr>
      </w:pPr>
      <w:r>
        <w:rPr>
          <w:rFonts w:hint="eastAsia"/>
          <w:sz w:val="24"/>
          <w:szCs w:val="22"/>
        </w:rPr>
        <w:t>（</w:t>
      </w:r>
      <w:r>
        <w:rPr>
          <w:rFonts w:hint="eastAsia"/>
          <w:sz w:val="24"/>
          <w:szCs w:val="22"/>
        </w:rPr>
        <w:t>2</w:t>
      </w:r>
      <w:r>
        <w:rPr>
          <w:rFonts w:hint="eastAsia"/>
          <w:sz w:val="24"/>
          <w:szCs w:val="22"/>
        </w:rPr>
        <w:t>）污染控制目标</w:t>
      </w:r>
    </w:p>
    <w:p w:rsidR="00C223F5" w:rsidRDefault="005860D5" w:rsidP="0064552A">
      <w:pPr>
        <w:spacing w:line="360" w:lineRule="auto"/>
        <w:ind w:firstLineChars="200" w:firstLine="480"/>
        <w:rPr>
          <w:sz w:val="24"/>
          <w:szCs w:val="22"/>
        </w:rPr>
      </w:pPr>
      <w:r>
        <w:rPr>
          <w:sz w:val="24"/>
          <w:szCs w:val="22"/>
        </w:rPr>
        <w:t>参照《</w:t>
      </w:r>
      <w:r>
        <w:rPr>
          <w:rFonts w:hint="eastAsia"/>
          <w:sz w:val="24"/>
          <w:szCs w:val="22"/>
        </w:rPr>
        <w:t>陕西省“十三五”节能减排综合工作方案</w:t>
      </w:r>
      <w:r>
        <w:rPr>
          <w:sz w:val="24"/>
          <w:szCs w:val="22"/>
        </w:rPr>
        <w:t>》有关要求及当地矿井生产环境影响情况，确定总量控制指标为：水体污染物中的</w:t>
      </w:r>
      <w:r>
        <w:rPr>
          <w:sz w:val="24"/>
          <w:szCs w:val="22"/>
        </w:rPr>
        <w:t>COD</w:t>
      </w:r>
      <w:r>
        <w:rPr>
          <w:sz w:val="24"/>
          <w:szCs w:val="22"/>
        </w:rPr>
        <w:t>和氨氮。工程污染控制内容及目标见表</w:t>
      </w:r>
      <w:r>
        <w:rPr>
          <w:rFonts w:hint="eastAsia"/>
          <w:sz w:val="24"/>
          <w:szCs w:val="22"/>
        </w:rPr>
        <w:t>1.6-2</w:t>
      </w:r>
      <w:r>
        <w:rPr>
          <w:rFonts w:hint="eastAsia"/>
          <w:sz w:val="24"/>
          <w:szCs w:val="22"/>
        </w:rPr>
        <w:t>。</w:t>
      </w:r>
    </w:p>
    <w:p w:rsidR="00C223F5" w:rsidRDefault="00C223F5">
      <w:pPr>
        <w:spacing w:line="360" w:lineRule="auto"/>
        <w:ind w:firstLineChars="200" w:firstLine="480"/>
        <w:rPr>
          <w:sz w:val="24"/>
        </w:rPr>
      </w:pPr>
    </w:p>
    <w:p w:rsidR="00C223F5" w:rsidRDefault="005860D5">
      <w:pPr>
        <w:jc w:val="center"/>
        <w:rPr>
          <w:b/>
          <w:sz w:val="24"/>
        </w:rPr>
      </w:pPr>
      <w:r>
        <w:rPr>
          <w:b/>
          <w:sz w:val="24"/>
        </w:rPr>
        <w:lastRenderedPageBreak/>
        <w:t>表</w:t>
      </w:r>
      <w:r>
        <w:rPr>
          <w:rFonts w:hint="eastAsia"/>
          <w:b/>
          <w:sz w:val="24"/>
        </w:rPr>
        <w:t>1.5.1</w:t>
      </w:r>
      <w:r>
        <w:rPr>
          <w:b/>
          <w:sz w:val="24"/>
        </w:rPr>
        <w:t xml:space="preserve">-1 </w:t>
      </w:r>
      <w:r>
        <w:rPr>
          <w:rFonts w:hint="eastAsia"/>
          <w:b/>
          <w:sz w:val="24"/>
        </w:rPr>
        <w:t xml:space="preserve">  </w:t>
      </w:r>
      <w:r>
        <w:rPr>
          <w:rFonts w:hint="eastAsia"/>
          <w:b/>
          <w:sz w:val="24"/>
        </w:rPr>
        <w:t>本项目</w:t>
      </w:r>
      <w:r>
        <w:rPr>
          <w:b/>
          <w:sz w:val="24"/>
        </w:rPr>
        <w:t>评价等级、</w:t>
      </w:r>
      <w:r>
        <w:rPr>
          <w:rFonts w:hint="eastAsia"/>
          <w:b/>
          <w:sz w:val="24"/>
        </w:rPr>
        <w:t>评价</w:t>
      </w:r>
      <w:r>
        <w:rPr>
          <w:b/>
          <w:sz w:val="24"/>
        </w:rPr>
        <w:t>范围一览表</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1134"/>
        <w:gridCol w:w="1315"/>
        <w:gridCol w:w="1934"/>
        <w:gridCol w:w="1711"/>
        <w:gridCol w:w="545"/>
        <w:gridCol w:w="1985"/>
      </w:tblGrid>
      <w:tr w:rsidR="00C223F5">
        <w:trPr>
          <w:cantSplit/>
          <w:trHeight w:val="20"/>
          <w:jc w:val="center"/>
        </w:trPr>
        <w:tc>
          <w:tcPr>
            <w:tcW w:w="3186" w:type="dxa"/>
            <w:gridSpan w:val="3"/>
            <w:vAlign w:val="center"/>
          </w:tcPr>
          <w:p w:rsidR="00C223F5" w:rsidRDefault="005860D5" w:rsidP="00C006A7">
            <w:pPr>
              <w:pStyle w:val="affff1"/>
              <w:jc w:val="center"/>
            </w:pPr>
            <w:r>
              <w:t>环境要素</w:t>
            </w:r>
          </w:p>
        </w:tc>
        <w:tc>
          <w:tcPr>
            <w:tcW w:w="1934" w:type="dxa"/>
            <w:vAlign w:val="center"/>
          </w:tcPr>
          <w:p w:rsidR="00C223F5" w:rsidRDefault="005860D5" w:rsidP="00C006A7">
            <w:pPr>
              <w:pStyle w:val="affff1"/>
              <w:jc w:val="center"/>
            </w:pPr>
            <w:r>
              <w:t>项目实际</w:t>
            </w:r>
          </w:p>
        </w:tc>
        <w:tc>
          <w:tcPr>
            <w:tcW w:w="1711" w:type="dxa"/>
            <w:vAlign w:val="center"/>
          </w:tcPr>
          <w:p w:rsidR="00C223F5" w:rsidRDefault="005860D5" w:rsidP="00C006A7">
            <w:pPr>
              <w:pStyle w:val="affff1"/>
              <w:jc w:val="center"/>
            </w:pPr>
            <w:r>
              <w:t>等级划分依据</w:t>
            </w:r>
          </w:p>
        </w:tc>
        <w:tc>
          <w:tcPr>
            <w:tcW w:w="545" w:type="dxa"/>
            <w:vAlign w:val="center"/>
          </w:tcPr>
          <w:p w:rsidR="00C223F5" w:rsidRDefault="005860D5" w:rsidP="00C006A7">
            <w:pPr>
              <w:pStyle w:val="affff1"/>
              <w:jc w:val="center"/>
            </w:pPr>
            <w:r>
              <w:t>评价等级</w:t>
            </w:r>
          </w:p>
        </w:tc>
        <w:tc>
          <w:tcPr>
            <w:tcW w:w="1985" w:type="dxa"/>
            <w:vAlign w:val="center"/>
          </w:tcPr>
          <w:p w:rsidR="00C223F5" w:rsidRDefault="005860D5" w:rsidP="00C006A7">
            <w:pPr>
              <w:pStyle w:val="affff1"/>
              <w:jc w:val="center"/>
            </w:pPr>
            <w:r>
              <w:t>评价范围</w:t>
            </w:r>
          </w:p>
        </w:tc>
      </w:tr>
      <w:tr w:rsidR="00C223F5">
        <w:trPr>
          <w:cantSplit/>
          <w:trHeight w:val="270"/>
          <w:jc w:val="center"/>
        </w:trPr>
        <w:tc>
          <w:tcPr>
            <w:tcW w:w="737" w:type="dxa"/>
            <w:vMerge w:val="restart"/>
            <w:vAlign w:val="center"/>
          </w:tcPr>
          <w:p w:rsidR="00C223F5" w:rsidRDefault="005860D5" w:rsidP="00C006A7">
            <w:pPr>
              <w:pStyle w:val="affff1"/>
              <w:jc w:val="center"/>
            </w:pPr>
            <w:r>
              <w:t>大气</w:t>
            </w:r>
          </w:p>
          <w:p w:rsidR="00C223F5" w:rsidRDefault="005860D5" w:rsidP="00C006A7">
            <w:pPr>
              <w:pStyle w:val="affff1"/>
              <w:jc w:val="center"/>
            </w:pPr>
            <w:r>
              <w:t>环境</w:t>
            </w:r>
          </w:p>
        </w:tc>
        <w:tc>
          <w:tcPr>
            <w:tcW w:w="2449" w:type="dxa"/>
            <w:gridSpan w:val="2"/>
            <w:vAlign w:val="center"/>
          </w:tcPr>
          <w:p w:rsidR="00C223F5" w:rsidRDefault="005860D5" w:rsidP="00C006A7">
            <w:pPr>
              <w:pStyle w:val="affff1"/>
              <w:jc w:val="center"/>
            </w:pPr>
            <w:r>
              <w:t>最大地面浓度占标率，</w:t>
            </w:r>
            <w:proofErr w:type="spellStart"/>
            <w:r>
              <w:t>P</w:t>
            </w:r>
            <w:r>
              <w:rPr>
                <w:vertAlign w:val="subscript"/>
              </w:rPr>
              <w:t>max</w:t>
            </w:r>
            <w:proofErr w:type="spellEnd"/>
          </w:p>
        </w:tc>
        <w:tc>
          <w:tcPr>
            <w:tcW w:w="1934" w:type="dxa"/>
            <w:shd w:val="clear" w:color="auto" w:fill="auto"/>
            <w:vAlign w:val="center"/>
          </w:tcPr>
          <w:p w:rsidR="00C223F5" w:rsidRDefault="005860D5" w:rsidP="00C006A7">
            <w:pPr>
              <w:pStyle w:val="affff1"/>
              <w:jc w:val="center"/>
              <w:rPr>
                <w:snapToGrid w:val="0"/>
              </w:rPr>
            </w:pPr>
            <w:r>
              <w:t>P</w:t>
            </w:r>
            <w:r>
              <w:rPr>
                <w:rFonts w:hint="eastAsia"/>
                <w:vertAlign w:val="subscript"/>
              </w:rPr>
              <w:t>烟尘</w:t>
            </w:r>
            <w:r>
              <w:t>＝</w:t>
            </w:r>
            <w:r>
              <w:rPr>
                <w:rFonts w:hint="eastAsia"/>
              </w:rPr>
              <w:t>0.30%</w:t>
            </w:r>
          </w:p>
        </w:tc>
        <w:tc>
          <w:tcPr>
            <w:tcW w:w="1711" w:type="dxa"/>
            <w:vMerge w:val="restart"/>
            <w:vAlign w:val="center"/>
          </w:tcPr>
          <w:p w:rsidR="00C223F5" w:rsidRDefault="005860D5" w:rsidP="00C006A7">
            <w:pPr>
              <w:pStyle w:val="affff1"/>
              <w:jc w:val="center"/>
            </w:pPr>
            <w:proofErr w:type="spellStart"/>
            <w:r>
              <w:rPr>
                <w:rFonts w:hint="eastAsia"/>
              </w:rPr>
              <w:t>Pmax</w:t>
            </w:r>
            <w:proofErr w:type="spellEnd"/>
            <w:r>
              <w:rPr>
                <w:rFonts w:hint="eastAsia"/>
              </w:rPr>
              <w:t>＜</w:t>
            </w:r>
            <w:r>
              <w:rPr>
                <w:rFonts w:hint="eastAsia"/>
              </w:rPr>
              <w:t>1%</w:t>
            </w:r>
          </w:p>
        </w:tc>
        <w:tc>
          <w:tcPr>
            <w:tcW w:w="545" w:type="dxa"/>
            <w:vMerge w:val="restart"/>
            <w:vAlign w:val="center"/>
          </w:tcPr>
          <w:p w:rsidR="00C223F5" w:rsidRDefault="005860D5" w:rsidP="00C006A7">
            <w:pPr>
              <w:pStyle w:val="affff1"/>
              <w:jc w:val="center"/>
            </w:pPr>
            <w:r>
              <w:rPr>
                <w:rFonts w:hint="eastAsia"/>
              </w:rPr>
              <w:t>三</w:t>
            </w:r>
            <w:r>
              <w:t>级</w:t>
            </w:r>
          </w:p>
        </w:tc>
        <w:tc>
          <w:tcPr>
            <w:tcW w:w="1985" w:type="dxa"/>
            <w:vMerge w:val="restart"/>
            <w:vAlign w:val="center"/>
          </w:tcPr>
          <w:p w:rsidR="00C223F5" w:rsidRDefault="005860D5" w:rsidP="00C006A7">
            <w:pPr>
              <w:spacing w:line="300" w:lineRule="exact"/>
              <w:jc w:val="center"/>
              <w:rPr>
                <w:szCs w:val="21"/>
              </w:rPr>
            </w:pPr>
            <w:r>
              <w:rPr>
                <w:rFonts w:hint="eastAsia"/>
                <w:szCs w:val="21"/>
              </w:rPr>
              <w:t>/</w:t>
            </w:r>
          </w:p>
        </w:tc>
      </w:tr>
      <w:tr w:rsidR="00C223F5">
        <w:trPr>
          <w:cantSplit/>
          <w:trHeight w:val="270"/>
          <w:jc w:val="center"/>
        </w:trPr>
        <w:tc>
          <w:tcPr>
            <w:tcW w:w="737" w:type="dxa"/>
            <w:vMerge/>
            <w:vAlign w:val="center"/>
          </w:tcPr>
          <w:p w:rsidR="00C223F5" w:rsidRDefault="00C223F5" w:rsidP="00C006A7">
            <w:pPr>
              <w:pStyle w:val="affff1"/>
              <w:jc w:val="center"/>
            </w:pPr>
          </w:p>
        </w:tc>
        <w:tc>
          <w:tcPr>
            <w:tcW w:w="2449" w:type="dxa"/>
            <w:gridSpan w:val="2"/>
            <w:vAlign w:val="center"/>
          </w:tcPr>
          <w:p w:rsidR="00C223F5" w:rsidRDefault="005860D5" w:rsidP="00C006A7">
            <w:pPr>
              <w:pStyle w:val="affff1"/>
              <w:jc w:val="center"/>
            </w:pPr>
            <w:r>
              <w:t>地面浓度达标准限值</w:t>
            </w:r>
            <w:r>
              <w:t>10%</w:t>
            </w:r>
            <w:r>
              <w:t>时的距离，</w:t>
            </w:r>
            <w:r>
              <w:t>D</w:t>
            </w:r>
            <w:r>
              <w:rPr>
                <w:vertAlign w:val="subscript"/>
              </w:rPr>
              <w:t>10%</w:t>
            </w:r>
          </w:p>
        </w:tc>
        <w:tc>
          <w:tcPr>
            <w:tcW w:w="1934" w:type="dxa"/>
            <w:shd w:val="clear" w:color="auto" w:fill="auto"/>
            <w:vAlign w:val="center"/>
          </w:tcPr>
          <w:p w:rsidR="00C223F5" w:rsidRDefault="005860D5" w:rsidP="00C006A7">
            <w:pPr>
              <w:pStyle w:val="affff1"/>
              <w:jc w:val="center"/>
              <w:rPr>
                <w:snapToGrid w:val="0"/>
              </w:rPr>
            </w:pPr>
            <w:r>
              <w:rPr>
                <w:rFonts w:hint="eastAsia"/>
                <w:snapToGrid w:val="0"/>
              </w:rPr>
              <w:t>/</w:t>
            </w:r>
          </w:p>
        </w:tc>
        <w:tc>
          <w:tcPr>
            <w:tcW w:w="1711" w:type="dxa"/>
            <w:vMerge/>
            <w:vAlign w:val="center"/>
          </w:tcPr>
          <w:p w:rsidR="00C223F5" w:rsidRDefault="00C223F5" w:rsidP="00C006A7">
            <w:pPr>
              <w:pStyle w:val="affff1"/>
              <w:jc w:val="center"/>
            </w:pPr>
          </w:p>
        </w:tc>
        <w:tc>
          <w:tcPr>
            <w:tcW w:w="545" w:type="dxa"/>
            <w:vMerge/>
            <w:vAlign w:val="center"/>
          </w:tcPr>
          <w:p w:rsidR="00C223F5" w:rsidRDefault="00C223F5" w:rsidP="00C006A7">
            <w:pPr>
              <w:pStyle w:val="affff1"/>
              <w:jc w:val="center"/>
            </w:pPr>
          </w:p>
        </w:tc>
        <w:tc>
          <w:tcPr>
            <w:tcW w:w="1985" w:type="dxa"/>
            <w:vMerge/>
            <w:vAlign w:val="center"/>
          </w:tcPr>
          <w:p w:rsidR="00C223F5" w:rsidRDefault="00C223F5" w:rsidP="00C006A7">
            <w:pPr>
              <w:spacing w:line="300" w:lineRule="exact"/>
              <w:jc w:val="center"/>
              <w:rPr>
                <w:szCs w:val="21"/>
              </w:rPr>
            </w:pPr>
          </w:p>
        </w:tc>
      </w:tr>
      <w:tr w:rsidR="00C223F5">
        <w:trPr>
          <w:cantSplit/>
          <w:trHeight w:val="20"/>
          <w:jc w:val="center"/>
        </w:trPr>
        <w:tc>
          <w:tcPr>
            <w:tcW w:w="737" w:type="dxa"/>
            <w:vMerge w:val="restart"/>
            <w:vAlign w:val="center"/>
          </w:tcPr>
          <w:p w:rsidR="00C223F5" w:rsidRDefault="005860D5" w:rsidP="00C006A7">
            <w:pPr>
              <w:pStyle w:val="affff1"/>
              <w:jc w:val="center"/>
            </w:pPr>
            <w:r>
              <w:t>地表水</w:t>
            </w:r>
          </w:p>
          <w:p w:rsidR="00C223F5" w:rsidRDefault="005860D5" w:rsidP="00C006A7">
            <w:pPr>
              <w:pStyle w:val="affff1"/>
              <w:jc w:val="center"/>
            </w:pPr>
            <w:r>
              <w:t>环境</w:t>
            </w:r>
          </w:p>
        </w:tc>
        <w:tc>
          <w:tcPr>
            <w:tcW w:w="2449" w:type="dxa"/>
            <w:gridSpan w:val="2"/>
            <w:vAlign w:val="center"/>
          </w:tcPr>
          <w:p w:rsidR="00C223F5" w:rsidRDefault="005860D5" w:rsidP="00C006A7">
            <w:pPr>
              <w:pStyle w:val="affff1"/>
              <w:jc w:val="center"/>
            </w:pPr>
            <w:r>
              <w:rPr>
                <w:rFonts w:hint="eastAsia"/>
              </w:rPr>
              <w:t>排放方式</w:t>
            </w:r>
          </w:p>
        </w:tc>
        <w:tc>
          <w:tcPr>
            <w:tcW w:w="1934" w:type="dxa"/>
            <w:vAlign w:val="center"/>
          </w:tcPr>
          <w:p w:rsidR="00C223F5" w:rsidRDefault="005860D5" w:rsidP="00C006A7">
            <w:pPr>
              <w:pStyle w:val="affff1"/>
              <w:jc w:val="center"/>
              <w:rPr>
                <w:spacing w:val="-2"/>
              </w:rPr>
            </w:pPr>
            <w:r>
              <w:rPr>
                <w:rFonts w:hint="eastAsia"/>
                <w:spacing w:val="-2"/>
              </w:rPr>
              <w:t>已有排污口直接排放</w:t>
            </w:r>
          </w:p>
        </w:tc>
        <w:tc>
          <w:tcPr>
            <w:tcW w:w="1711" w:type="dxa"/>
            <w:vMerge w:val="restart"/>
            <w:vAlign w:val="center"/>
          </w:tcPr>
          <w:p w:rsidR="00C223F5" w:rsidRDefault="005860D5" w:rsidP="00C006A7">
            <w:pPr>
              <w:pStyle w:val="affff1"/>
              <w:jc w:val="center"/>
              <w:rPr>
                <w:rFonts w:hAnsi="宋体"/>
              </w:rPr>
            </w:pPr>
            <w:r>
              <w:rPr>
                <w:rFonts w:hAnsi="宋体" w:hint="eastAsia"/>
              </w:rPr>
              <w:t>依托现有排放口，且未新增排放污染物的直接排放建设项目，参照间接排放</w:t>
            </w:r>
          </w:p>
        </w:tc>
        <w:tc>
          <w:tcPr>
            <w:tcW w:w="545" w:type="dxa"/>
            <w:vMerge w:val="restart"/>
            <w:vAlign w:val="center"/>
          </w:tcPr>
          <w:p w:rsidR="00C223F5" w:rsidRDefault="005860D5" w:rsidP="00C006A7">
            <w:pPr>
              <w:pStyle w:val="affff1"/>
              <w:jc w:val="center"/>
            </w:pPr>
            <w:r>
              <w:t>三级</w:t>
            </w:r>
            <w:r>
              <w:rPr>
                <w:rFonts w:hint="eastAsia"/>
              </w:rPr>
              <w:t>B</w:t>
            </w:r>
          </w:p>
        </w:tc>
        <w:tc>
          <w:tcPr>
            <w:tcW w:w="1985" w:type="dxa"/>
            <w:vMerge w:val="restart"/>
            <w:vAlign w:val="center"/>
          </w:tcPr>
          <w:p w:rsidR="00C223F5" w:rsidRDefault="005860D5" w:rsidP="00C006A7">
            <w:pPr>
              <w:pStyle w:val="affff1"/>
              <w:jc w:val="center"/>
            </w:pPr>
            <w:r>
              <w:rPr>
                <w:rFonts w:hint="eastAsia"/>
              </w:rPr>
              <w:t>项目排污口上游</w:t>
            </w:r>
            <w:r>
              <w:rPr>
                <w:rFonts w:hint="eastAsia"/>
              </w:rPr>
              <w:t>500m</w:t>
            </w:r>
            <w:r>
              <w:rPr>
                <w:rFonts w:hint="eastAsia"/>
              </w:rPr>
              <w:t>至下游入大理河前的蚂蚁河河段</w:t>
            </w:r>
          </w:p>
        </w:tc>
      </w:tr>
      <w:tr w:rsidR="00C223F5">
        <w:trPr>
          <w:cantSplit/>
          <w:trHeight w:val="20"/>
          <w:jc w:val="center"/>
        </w:trPr>
        <w:tc>
          <w:tcPr>
            <w:tcW w:w="737" w:type="dxa"/>
            <w:vMerge/>
            <w:vAlign w:val="center"/>
          </w:tcPr>
          <w:p w:rsidR="00C223F5" w:rsidRDefault="00C223F5" w:rsidP="00C006A7">
            <w:pPr>
              <w:pStyle w:val="affff1"/>
              <w:jc w:val="center"/>
            </w:pPr>
          </w:p>
        </w:tc>
        <w:tc>
          <w:tcPr>
            <w:tcW w:w="2449" w:type="dxa"/>
            <w:gridSpan w:val="2"/>
            <w:vAlign w:val="center"/>
          </w:tcPr>
          <w:p w:rsidR="00C223F5" w:rsidRDefault="005860D5" w:rsidP="00C006A7">
            <w:pPr>
              <w:pStyle w:val="affff1"/>
              <w:jc w:val="center"/>
            </w:pPr>
            <w:r>
              <w:rPr>
                <w:rFonts w:hint="eastAsia"/>
              </w:rPr>
              <w:t>废</w:t>
            </w:r>
            <w:r>
              <w:t>水排放量</w:t>
            </w:r>
            <w:r>
              <w:rPr>
                <w:rFonts w:hint="eastAsia"/>
              </w:rPr>
              <w:t>Q</w:t>
            </w:r>
            <w:r>
              <w:t>（</w:t>
            </w:r>
            <w:r>
              <w:t>m</w:t>
            </w:r>
            <w:r>
              <w:rPr>
                <w:vertAlign w:val="superscript"/>
              </w:rPr>
              <w:t>3</w:t>
            </w:r>
            <w:r>
              <w:t>/d</w:t>
            </w:r>
            <w:r>
              <w:t>）</w:t>
            </w:r>
          </w:p>
        </w:tc>
        <w:tc>
          <w:tcPr>
            <w:tcW w:w="1934" w:type="dxa"/>
            <w:vAlign w:val="center"/>
          </w:tcPr>
          <w:p w:rsidR="00C223F5" w:rsidRPr="002F23B2" w:rsidRDefault="005860D5" w:rsidP="00C006A7">
            <w:pPr>
              <w:pStyle w:val="affff1"/>
              <w:jc w:val="center"/>
              <w:rPr>
                <w:color w:val="FF0000"/>
              </w:rPr>
            </w:pPr>
            <w:r w:rsidRPr="002F23B2">
              <w:rPr>
                <w:rFonts w:hint="eastAsia"/>
                <w:color w:val="FF0000"/>
              </w:rPr>
              <w:t>Q=</w:t>
            </w:r>
            <w:r w:rsidR="002F23B2" w:rsidRPr="002F23B2">
              <w:rPr>
                <w:color w:val="FF0000"/>
              </w:rPr>
              <w:t>553</w:t>
            </w:r>
            <w:r w:rsidRPr="002F23B2">
              <w:rPr>
                <w:rFonts w:hint="eastAsia"/>
                <w:color w:val="FF0000"/>
              </w:rPr>
              <w:t>&gt;200</w:t>
            </w:r>
          </w:p>
        </w:tc>
        <w:tc>
          <w:tcPr>
            <w:tcW w:w="1711" w:type="dxa"/>
            <w:vMerge/>
            <w:vAlign w:val="center"/>
          </w:tcPr>
          <w:p w:rsidR="00C223F5" w:rsidRDefault="00C223F5" w:rsidP="00C006A7">
            <w:pPr>
              <w:pStyle w:val="affff1"/>
              <w:jc w:val="center"/>
            </w:pPr>
          </w:p>
        </w:tc>
        <w:tc>
          <w:tcPr>
            <w:tcW w:w="545" w:type="dxa"/>
            <w:vMerge/>
            <w:vAlign w:val="center"/>
          </w:tcPr>
          <w:p w:rsidR="00C223F5" w:rsidRDefault="00C223F5" w:rsidP="00C006A7">
            <w:pPr>
              <w:pStyle w:val="affff1"/>
              <w:jc w:val="center"/>
            </w:pPr>
          </w:p>
        </w:tc>
        <w:tc>
          <w:tcPr>
            <w:tcW w:w="1985" w:type="dxa"/>
            <w:vMerge/>
            <w:vAlign w:val="center"/>
          </w:tcPr>
          <w:p w:rsidR="00C223F5" w:rsidRDefault="00C223F5" w:rsidP="00C006A7">
            <w:pPr>
              <w:pStyle w:val="affff1"/>
              <w:jc w:val="center"/>
            </w:pPr>
          </w:p>
        </w:tc>
      </w:tr>
      <w:tr w:rsidR="00C223F5">
        <w:trPr>
          <w:cantSplit/>
          <w:trHeight w:val="20"/>
          <w:jc w:val="center"/>
        </w:trPr>
        <w:tc>
          <w:tcPr>
            <w:tcW w:w="737" w:type="dxa"/>
            <w:vMerge/>
            <w:vAlign w:val="center"/>
          </w:tcPr>
          <w:p w:rsidR="00C223F5" w:rsidRDefault="00C223F5" w:rsidP="00C006A7">
            <w:pPr>
              <w:pStyle w:val="affff1"/>
              <w:jc w:val="center"/>
            </w:pPr>
          </w:p>
        </w:tc>
        <w:tc>
          <w:tcPr>
            <w:tcW w:w="2449" w:type="dxa"/>
            <w:gridSpan w:val="2"/>
            <w:vAlign w:val="center"/>
          </w:tcPr>
          <w:p w:rsidR="00C223F5" w:rsidRDefault="005860D5" w:rsidP="00C006A7">
            <w:pPr>
              <w:pStyle w:val="affff1"/>
              <w:jc w:val="center"/>
            </w:pPr>
            <w:r>
              <w:rPr>
                <w:rFonts w:hint="eastAsia"/>
              </w:rPr>
              <w:t>水污染物当量数</w:t>
            </w:r>
            <w:r>
              <w:rPr>
                <w:rFonts w:hint="eastAsia"/>
              </w:rPr>
              <w:t>W</w:t>
            </w:r>
          </w:p>
        </w:tc>
        <w:tc>
          <w:tcPr>
            <w:tcW w:w="1934" w:type="dxa"/>
            <w:vAlign w:val="center"/>
          </w:tcPr>
          <w:p w:rsidR="00C223F5" w:rsidRDefault="005860D5" w:rsidP="00C006A7">
            <w:pPr>
              <w:pStyle w:val="affff1"/>
              <w:jc w:val="center"/>
            </w:pPr>
            <w:r>
              <w:rPr>
                <w:rFonts w:hint="eastAsia"/>
              </w:rPr>
              <w:t>/</w:t>
            </w:r>
          </w:p>
        </w:tc>
        <w:tc>
          <w:tcPr>
            <w:tcW w:w="1711" w:type="dxa"/>
            <w:vMerge/>
            <w:vAlign w:val="center"/>
          </w:tcPr>
          <w:p w:rsidR="00C223F5" w:rsidRDefault="00C223F5" w:rsidP="00C006A7">
            <w:pPr>
              <w:pStyle w:val="affff1"/>
              <w:jc w:val="center"/>
            </w:pPr>
          </w:p>
        </w:tc>
        <w:tc>
          <w:tcPr>
            <w:tcW w:w="545" w:type="dxa"/>
            <w:vMerge/>
            <w:vAlign w:val="center"/>
          </w:tcPr>
          <w:p w:rsidR="00C223F5" w:rsidRDefault="00C223F5" w:rsidP="00C006A7">
            <w:pPr>
              <w:pStyle w:val="affff1"/>
              <w:jc w:val="center"/>
            </w:pPr>
          </w:p>
        </w:tc>
        <w:tc>
          <w:tcPr>
            <w:tcW w:w="1985" w:type="dxa"/>
            <w:vMerge/>
            <w:vAlign w:val="center"/>
          </w:tcPr>
          <w:p w:rsidR="00C223F5" w:rsidRDefault="00C223F5" w:rsidP="00C006A7">
            <w:pPr>
              <w:pStyle w:val="affff1"/>
              <w:jc w:val="center"/>
            </w:pPr>
          </w:p>
        </w:tc>
      </w:tr>
      <w:tr w:rsidR="00C223F5">
        <w:trPr>
          <w:cantSplit/>
          <w:trHeight w:val="20"/>
          <w:jc w:val="center"/>
        </w:trPr>
        <w:tc>
          <w:tcPr>
            <w:tcW w:w="737" w:type="dxa"/>
            <w:vMerge w:val="restart"/>
            <w:vAlign w:val="center"/>
          </w:tcPr>
          <w:p w:rsidR="00C223F5" w:rsidRDefault="005860D5" w:rsidP="00C006A7">
            <w:pPr>
              <w:pStyle w:val="36"/>
              <w:spacing w:line="300" w:lineRule="exact"/>
              <w:ind w:firstLineChars="0" w:firstLine="0"/>
              <w:jc w:val="center"/>
              <w:rPr>
                <w:sz w:val="21"/>
                <w:szCs w:val="21"/>
              </w:rPr>
            </w:pPr>
            <w:r>
              <w:rPr>
                <w:sz w:val="21"/>
                <w:szCs w:val="21"/>
              </w:rPr>
              <w:t>声环境</w:t>
            </w:r>
          </w:p>
        </w:tc>
        <w:tc>
          <w:tcPr>
            <w:tcW w:w="2449" w:type="dxa"/>
            <w:gridSpan w:val="2"/>
            <w:vAlign w:val="center"/>
          </w:tcPr>
          <w:p w:rsidR="00C223F5" w:rsidRDefault="005860D5" w:rsidP="00C006A7">
            <w:pPr>
              <w:pStyle w:val="affff1"/>
              <w:jc w:val="center"/>
            </w:pPr>
            <w:r>
              <w:t>建设项目所在区域的</w:t>
            </w:r>
          </w:p>
          <w:p w:rsidR="00C223F5" w:rsidRDefault="005860D5" w:rsidP="00C006A7">
            <w:pPr>
              <w:pStyle w:val="affff1"/>
              <w:jc w:val="center"/>
            </w:pPr>
            <w:r>
              <w:t>声环境功能区类别</w:t>
            </w:r>
          </w:p>
        </w:tc>
        <w:tc>
          <w:tcPr>
            <w:tcW w:w="1934" w:type="dxa"/>
            <w:vAlign w:val="center"/>
          </w:tcPr>
          <w:p w:rsidR="00C223F5" w:rsidRDefault="005860D5" w:rsidP="00C006A7">
            <w:pPr>
              <w:pStyle w:val="affff1"/>
              <w:jc w:val="center"/>
            </w:pPr>
            <w:r>
              <w:rPr>
                <w:rFonts w:hint="eastAsia"/>
                <w:snapToGrid w:val="0"/>
              </w:rPr>
              <w:t>2</w:t>
            </w:r>
            <w:r>
              <w:rPr>
                <w:snapToGrid w:val="0"/>
              </w:rPr>
              <w:t>类区</w:t>
            </w:r>
          </w:p>
        </w:tc>
        <w:tc>
          <w:tcPr>
            <w:tcW w:w="1711" w:type="dxa"/>
            <w:vAlign w:val="center"/>
          </w:tcPr>
          <w:p w:rsidR="00C223F5" w:rsidRDefault="005860D5" w:rsidP="00C006A7">
            <w:pPr>
              <w:pStyle w:val="affff1"/>
              <w:jc w:val="center"/>
            </w:pPr>
            <w:r>
              <w:rPr>
                <w:rFonts w:hint="eastAsia"/>
              </w:rPr>
              <w:t>1</w:t>
            </w:r>
            <w:r>
              <w:t>类</w:t>
            </w:r>
            <w:r>
              <w:t xml:space="preserve">  </w:t>
            </w:r>
            <w:r>
              <w:rPr>
                <w:rFonts w:hint="eastAsia"/>
              </w:rPr>
              <w:t>2</w:t>
            </w:r>
            <w:r>
              <w:t>类</w:t>
            </w:r>
          </w:p>
        </w:tc>
        <w:tc>
          <w:tcPr>
            <w:tcW w:w="545" w:type="dxa"/>
            <w:vMerge w:val="restart"/>
            <w:vAlign w:val="center"/>
          </w:tcPr>
          <w:p w:rsidR="00C223F5" w:rsidRDefault="005860D5" w:rsidP="00C006A7">
            <w:pPr>
              <w:pStyle w:val="affff1"/>
              <w:jc w:val="center"/>
            </w:pPr>
            <w:r>
              <w:rPr>
                <w:rFonts w:hint="eastAsia"/>
              </w:rPr>
              <w:t>二</w:t>
            </w:r>
            <w:r>
              <w:t>级</w:t>
            </w:r>
          </w:p>
        </w:tc>
        <w:tc>
          <w:tcPr>
            <w:tcW w:w="1985" w:type="dxa"/>
            <w:vMerge w:val="restart"/>
            <w:vAlign w:val="center"/>
          </w:tcPr>
          <w:p w:rsidR="00C223F5" w:rsidRDefault="005860D5" w:rsidP="00C006A7">
            <w:pPr>
              <w:spacing w:line="300" w:lineRule="exact"/>
              <w:jc w:val="center"/>
              <w:rPr>
                <w:szCs w:val="21"/>
              </w:rPr>
            </w:pPr>
            <w:r>
              <w:rPr>
                <w:szCs w:val="21"/>
              </w:rPr>
              <w:t>工业场地周界外</w:t>
            </w:r>
            <w:r>
              <w:rPr>
                <w:szCs w:val="21"/>
              </w:rPr>
              <w:t>1m</w:t>
            </w:r>
            <w:r>
              <w:rPr>
                <w:rFonts w:hint="eastAsia"/>
                <w:szCs w:val="21"/>
              </w:rPr>
              <w:t>及边界</w:t>
            </w:r>
            <w:r>
              <w:rPr>
                <w:szCs w:val="21"/>
              </w:rPr>
              <w:t>外</w:t>
            </w:r>
            <w:r>
              <w:rPr>
                <w:rFonts w:hint="eastAsia"/>
                <w:szCs w:val="21"/>
              </w:rPr>
              <w:t>2</w:t>
            </w:r>
            <w:r>
              <w:rPr>
                <w:szCs w:val="21"/>
              </w:rPr>
              <w:t>00m</w:t>
            </w:r>
            <w:r>
              <w:rPr>
                <w:szCs w:val="21"/>
              </w:rPr>
              <w:t>范围</w:t>
            </w:r>
          </w:p>
        </w:tc>
      </w:tr>
      <w:tr w:rsidR="00C223F5">
        <w:trPr>
          <w:cantSplit/>
          <w:trHeight w:val="20"/>
          <w:jc w:val="center"/>
        </w:trPr>
        <w:tc>
          <w:tcPr>
            <w:tcW w:w="737" w:type="dxa"/>
            <w:vMerge/>
            <w:vAlign w:val="center"/>
          </w:tcPr>
          <w:p w:rsidR="00C223F5" w:rsidRDefault="00C223F5" w:rsidP="00C006A7">
            <w:pPr>
              <w:pStyle w:val="36"/>
              <w:spacing w:line="300" w:lineRule="exact"/>
              <w:ind w:firstLineChars="0" w:firstLine="0"/>
              <w:jc w:val="center"/>
              <w:rPr>
                <w:sz w:val="21"/>
                <w:szCs w:val="21"/>
              </w:rPr>
            </w:pPr>
          </w:p>
        </w:tc>
        <w:tc>
          <w:tcPr>
            <w:tcW w:w="2449" w:type="dxa"/>
            <w:gridSpan w:val="2"/>
            <w:vAlign w:val="center"/>
          </w:tcPr>
          <w:p w:rsidR="00C223F5" w:rsidRDefault="005860D5" w:rsidP="00C006A7">
            <w:pPr>
              <w:pStyle w:val="36"/>
              <w:spacing w:line="300" w:lineRule="exact"/>
              <w:ind w:firstLineChars="0" w:firstLine="0"/>
              <w:jc w:val="center"/>
              <w:rPr>
                <w:sz w:val="21"/>
                <w:szCs w:val="21"/>
              </w:rPr>
            </w:pPr>
            <w:r>
              <w:rPr>
                <w:sz w:val="21"/>
                <w:szCs w:val="21"/>
              </w:rPr>
              <w:t>项目建设前后</w:t>
            </w:r>
            <w:r>
              <w:rPr>
                <w:rFonts w:hint="eastAsia"/>
                <w:sz w:val="21"/>
                <w:szCs w:val="21"/>
              </w:rPr>
              <w:t>评价范围</w:t>
            </w:r>
          </w:p>
          <w:p w:rsidR="00C223F5" w:rsidRDefault="005860D5" w:rsidP="00C006A7">
            <w:pPr>
              <w:pStyle w:val="36"/>
              <w:spacing w:line="300" w:lineRule="exact"/>
              <w:ind w:firstLineChars="0" w:firstLine="0"/>
              <w:jc w:val="center"/>
              <w:rPr>
                <w:sz w:val="21"/>
                <w:szCs w:val="21"/>
              </w:rPr>
            </w:pPr>
            <w:r>
              <w:rPr>
                <w:rFonts w:hint="eastAsia"/>
                <w:sz w:val="21"/>
                <w:szCs w:val="21"/>
              </w:rPr>
              <w:t>内敏感目标噪声增加值</w:t>
            </w:r>
          </w:p>
        </w:tc>
        <w:tc>
          <w:tcPr>
            <w:tcW w:w="1934"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周围</w:t>
            </w:r>
            <w:r>
              <w:rPr>
                <w:rFonts w:hint="eastAsia"/>
                <w:sz w:val="21"/>
                <w:szCs w:val="21"/>
              </w:rPr>
              <w:t>200m</w:t>
            </w:r>
            <w:r>
              <w:rPr>
                <w:rFonts w:hint="eastAsia"/>
                <w:sz w:val="21"/>
                <w:szCs w:val="21"/>
              </w:rPr>
              <w:t>范围内有</w:t>
            </w:r>
          </w:p>
          <w:p w:rsidR="00C223F5" w:rsidRDefault="005860D5" w:rsidP="00C006A7">
            <w:pPr>
              <w:pStyle w:val="36"/>
              <w:spacing w:line="300" w:lineRule="exact"/>
              <w:ind w:firstLineChars="0" w:firstLine="0"/>
              <w:jc w:val="center"/>
              <w:rPr>
                <w:sz w:val="21"/>
                <w:szCs w:val="21"/>
              </w:rPr>
            </w:pPr>
            <w:r>
              <w:rPr>
                <w:rFonts w:hint="eastAsia"/>
                <w:sz w:val="21"/>
                <w:szCs w:val="21"/>
              </w:rPr>
              <w:t>敏感点分布</w:t>
            </w:r>
          </w:p>
        </w:tc>
        <w:tc>
          <w:tcPr>
            <w:tcW w:w="1711" w:type="dxa"/>
            <w:vAlign w:val="center"/>
          </w:tcPr>
          <w:p w:rsidR="001815AA" w:rsidRDefault="001815AA" w:rsidP="00C006A7">
            <w:pPr>
              <w:pStyle w:val="36"/>
              <w:spacing w:line="300" w:lineRule="exact"/>
              <w:ind w:firstLineChars="0" w:firstLine="0"/>
              <w:jc w:val="center"/>
              <w:rPr>
                <w:rFonts w:hAnsi="宋体"/>
                <w:kern w:val="0"/>
                <w:sz w:val="21"/>
                <w:szCs w:val="21"/>
              </w:rPr>
            </w:pPr>
            <w:r>
              <w:rPr>
                <w:rFonts w:hAnsi="宋体" w:hint="eastAsia"/>
                <w:kern w:val="0"/>
                <w:sz w:val="21"/>
                <w:szCs w:val="21"/>
              </w:rPr>
              <w:t>≥</w:t>
            </w:r>
            <w:r>
              <w:rPr>
                <w:rFonts w:hAnsi="宋体" w:hint="eastAsia"/>
                <w:kern w:val="0"/>
                <w:sz w:val="21"/>
                <w:szCs w:val="21"/>
              </w:rPr>
              <w:t>3</w:t>
            </w:r>
            <w:r>
              <w:rPr>
                <w:rFonts w:hAnsi="宋体"/>
                <w:kern w:val="0"/>
                <w:sz w:val="21"/>
                <w:szCs w:val="21"/>
              </w:rPr>
              <w:t>dB</w:t>
            </w:r>
          </w:p>
          <w:p w:rsidR="00C223F5" w:rsidRDefault="001815AA" w:rsidP="00C006A7">
            <w:pPr>
              <w:pStyle w:val="36"/>
              <w:spacing w:line="300" w:lineRule="exact"/>
              <w:ind w:firstLineChars="0" w:firstLine="0"/>
              <w:jc w:val="center"/>
              <w:rPr>
                <w:rFonts w:hAnsi="宋体"/>
                <w:kern w:val="0"/>
                <w:sz w:val="21"/>
                <w:szCs w:val="21"/>
              </w:rPr>
            </w:pPr>
            <w:r>
              <w:rPr>
                <w:rFonts w:hAnsi="宋体" w:hint="eastAsia"/>
                <w:kern w:val="0"/>
                <w:sz w:val="21"/>
                <w:szCs w:val="21"/>
              </w:rPr>
              <w:t>且</w:t>
            </w:r>
            <w:r w:rsidR="005860D5">
              <w:rPr>
                <w:rFonts w:hAnsi="宋体"/>
                <w:kern w:val="0"/>
                <w:sz w:val="21"/>
                <w:szCs w:val="21"/>
              </w:rPr>
              <w:t>≤</w:t>
            </w:r>
            <w:r>
              <w:rPr>
                <w:rFonts w:hAnsi="宋体" w:hint="eastAsia"/>
                <w:kern w:val="0"/>
                <w:sz w:val="21"/>
                <w:szCs w:val="21"/>
              </w:rPr>
              <w:t>5</w:t>
            </w:r>
            <w:r w:rsidR="005860D5">
              <w:rPr>
                <w:rFonts w:hAnsi="宋体"/>
                <w:kern w:val="0"/>
                <w:sz w:val="21"/>
                <w:szCs w:val="21"/>
              </w:rPr>
              <w:t>dB</w:t>
            </w:r>
          </w:p>
        </w:tc>
        <w:tc>
          <w:tcPr>
            <w:tcW w:w="545" w:type="dxa"/>
            <w:vMerge/>
            <w:vAlign w:val="center"/>
          </w:tcPr>
          <w:p w:rsidR="00C223F5" w:rsidRDefault="00C223F5" w:rsidP="00C006A7">
            <w:pPr>
              <w:pStyle w:val="36"/>
              <w:spacing w:line="300" w:lineRule="exact"/>
              <w:ind w:firstLineChars="0" w:firstLine="0"/>
              <w:jc w:val="center"/>
              <w:rPr>
                <w:sz w:val="21"/>
                <w:szCs w:val="21"/>
              </w:rPr>
            </w:pPr>
          </w:p>
        </w:tc>
        <w:tc>
          <w:tcPr>
            <w:tcW w:w="1985" w:type="dxa"/>
            <w:vMerge/>
            <w:vAlign w:val="center"/>
          </w:tcPr>
          <w:p w:rsidR="00C223F5" w:rsidRDefault="00C223F5" w:rsidP="00C006A7">
            <w:pPr>
              <w:spacing w:line="300" w:lineRule="exact"/>
              <w:jc w:val="center"/>
              <w:rPr>
                <w:szCs w:val="21"/>
              </w:rPr>
            </w:pPr>
          </w:p>
        </w:tc>
      </w:tr>
      <w:tr w:rsidR="00C223F5">
        <w:trPr>
          <w:cantSplit/>
          <w:trHeight w:val="20"/>
          <w:jc w:val="center"/>
        </w:trPr>
        <w:tc>
          <w:tcPr>
            <w:tcW w:w="737" w:type="dxa"/>
            <w:vMerge/>
            <w:vAlign w:val="center"/>
          </w:tcPr>
          <w:p w:rsidR="00C223F5" w:rsidRDefault="00C223F5" w:rsidP="00C006A7">
            <w:pPr>
              <w:pStyle w:val="36"/>
              <w:spacing w:line="300" w:lineRule="exact"/>
              <w:ind w:firstLineChars="0" w:firstLine="0"/>
              <w:jc w:val="center"/>
              <w:rPr>
                <w:sz w:val="21"/>
                <w:szCs w:val="21"/>
              </w:rPr>
            </w:pPr>
          </w:p>
        </w:tc>
        <w:tc>
          <w:tcPr>
            <w:tcW w:w="2449" w:type="dxa"/>
            <w:gridSpan w:val="2"/>
            <w:vAlign w:val="center"/>
          </w:tcPr>
          <w:p w:rsidR="00C223F5" w:rsidRDefault="005860D5" w:rsidP="00C006A7">
            <w:pPr>
              <w:pStyle w:val="36"/>
              <w:spacing w:line="300" w:lineRule="exact"/>
              <w:ind w:firstLineChars="0" w:firstLine="0"/>
              <w:jc w:val="center"/>
              <w:rPr>
                <w:sz w:val="21"/>
                <w:szCs w:val="21"/>
              </w:rPr>
            </w:pPr>
            <w:r>
              <w:rPr>
                <w:sz w:val="21"/>
                <w:szCs w:val="21"/>
              </w:rPr>
              <w:t>影响人口变化</w:t>
            </w:r>
          </w:p>
        </w:tc>
        <w:tc>
          <w:tcPr>
            <w:tcW w:w="1934" w:type="dxa"/>
            <w:vAlign w:val="center"/>
          </w:tcPr>
          <w:p w:rsidR="00C223F5" w:rsidRDefault="005860D5" w:rsidP="00C006A7">
            <w:pPr>
              <w:pStyle w:val="36"/>
              <w:spacing w:line="300" w:lineRule="exact"/>
              <w:ind w:firstLineChars="0" w:firstLine="0"/>
              <w:jc w:val="center"/>
              <w:rPr>
                <w:sz w:val="21"/>
                <w:szCs w:val="21"/>
              </w:rPr>
            </w:pPr>
            <w:r>
              <w:rPr>
                <w:snapToGrid w:val="0"/>
                <w:sz w:val="21"/>
                <w:szCs w:val="21"/>
              </w:rPr>
              <w:t>受影响人口</w:t>
            </w:r>
            <w:r>
              <w:rPr>
                <w:rFonts w:hint="eastAsia"/>
                <w:snapToGrid w:val="0"/>
                <w:sz w:val="21"/>
                <w:szCs w:val="21"/>
              </w:rPr>
              <w:t>无</w:t>
            </w:r>
            <w:r>
              <w:rPr>
                <w:snapToGrid w:val="0"/>
                <w:sz w:val="21"/>
                <w:szCs w:val="21"/>
              </w:rPr>
              <w:t>变化</w:t>
            </w:r>
          </w:p>
        </w:tc>
        <w:tc>
          <w:tcPr>
            <w:tcW w:w="1711"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不大</w:t>
            </w:r>
          </w:p>
        </w:tc>
        <w:tc>
          <w:tcPr>
            <w:tcW w:w="545" w:type="dxa"/>
            <w:vMerge/>
            <w:vAlign w:val="center"/>
          </w:tcPr>
          <w:p w:rsidR="00C223F5" w:rsidRDefault="00C223F5" w:rsidP="00C006A7">
            <w:pPr>
              <w:pStyle w:val="36"/>
              <w:spacing w:line="300" w:lineRule="exact"/>
              <w:ind w:firstLineChars="0" w:firstLine="0"/>
              <w:jc w:val="center"/>
              <w:rPr>
                <w:sz w:val="21"/>
                <w:szCs w:val="21"/>
              </w:rPr>
            </w:pPr>
          </w:p>
        </w:tc>
        <w:tc>
          <w:tcPr>
            <w:tcW w:w="1985" w:type="dxa"/>
            <w:vMerge/>
            <w:vAlign w:val="center"/>
          </w:tcPr>
          <w:p w:rsidR="00C223F5" w:rsidRDefault="00C223F5" w:rsidP="00C006A7">
            <w:pPr>
              <w:pStyle w:val="36"/>
              <w:spacing w:line="300" w:lineRule="exact"/>
              <w:ind w:firstLineChars="0" w:firstLine="0"/>
              <w:jc w:val="center"/>
              <w:rPr>
                <w:sz w:val="21"/>
                <w:szCs w:val="21"/>
              </w:rPr>
            </w:pPr>
          </w:p>
        </w:tc>
      </w:tr>
      <w:tr w:rsidR="00C223F5">
        <w:trPr>
          <w:cantSplit/>
          <w:trHeight w:val="20"/>
          <w:jc w:val="center"/>
        </w:trPr>
        <w:tc>
          <w:tcPr>
            <w:tcW w:w="737" w:type="dxa"/>
            <w:vMerge w:val="restart"/>
            <w:vAlign w:val="center"/>
          </w:tcPr>
          <w:p w:rsidR="00C223F5" w:rsidRDefault="005860D5" w:rsidP="00C006A7">
            <w:pPr>
              <w:pStyle w:val="36"/>
              <w:spacing w:line="300" w:lineRule="exact"/>
              <w:ind w:firstLineChars="0" w:firstLine="0"/>
              <w:jc w:val="center"/>
              <w:rPr>
                <w:sz w:val="21"/>
                <w:szCs w:val="21"/>
              </w:rPr>
            </w:pPr>
            <w:r>
              <w:rPr>
                <w:sz w:val="21"/>
                <w:szCs w:val="21"/>
              </w:rPr>
              <w:t>生态</w:t>
            </w:r>
          </w:p>
          <w:p w:rsidR="00C223F5" w:rsidRDefault="005860D5" w:rsidP="00C006A7">
            <w:pPr>
              <w:pStyle w:val="36"/>
              <w:spacing w:line="300" w:lineRule="exact"/>
              <w:ind w:firstLineChars="0" w:firstLine="0"/>
              <w:jc w:val="center"/>
              <w:rPr>
                <w:sz w:val="21"/>
                <w:szCs w:val="21"/>
              </w:rPr>
            </w:pPr>
            <w:r>
              <w:rPr>
                <w:sz w:val="21"/>
                <w:szCs w:val="21"/>
              </w:rPr>
              <w:t>环境</w:t>
            </w:r>
          </w:p>
        </w:tc>
        <w:tc>
          <w:tcPr>
            <w:tcW w:w="2449" w:type="dxa"/>
            <w:gridSpan w:val="2"/>
            <w:vAlign w:val="center"/>
          </w:tcPr>
          <w:p w:rsidR="00C223F5" w:rsidRDefault="005860D5" w:rsidP="00C006A7">
            <w:pPr>
              <w:pStyle w:val="36"/>
              <w:spacing w:line="300" w:lineRule="exact"/>
              <w:ind w:firstLineChars="0" w:firstLine="0"/>
              <w:jc w:val="center"/>
              <w:rPr>
                <w:sz w:val="21"/>
                <w:szCs w:val="21"/>
              </w:rPr>
            </w:pPr>
            <w:r>
              <w:rPr>
                <w:sz w:val="21"/>
                <w:szCs w:val="21"/>
              </w:rPr>
              <w:t>工程占地范围</w:t>
            </w:r>
          </w:p>
        </w:tc>
        <w:tc>
          <w:tcPr>
            <w:tcW w:w="1934"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11.51h</w:t>
            </w:r>
            <w:r>
              <w:rPr>
                <w:sz w:val="21"/>
                <w:szCs w:val="21"/>
              </w:rPr>
              <w:t>m</w:t>
            </w:r>
            <w:r>
              <w:rPr>
                <w:sz w:val="21"/>
                <w:szCs w:val="21"/>
                <w:vertAlign w:val="superscript"/>
              </w:rPr>
              <w:t>2</w:t>
            </w:r>
          </w:p>
        </w:tc>
        <w:tc>
          <w:tcPr>
            <w:tcW w:w="1711" w:type="dxa"/>
            <w:vAlign w:val="center"/>
          </w:tcPr>
          <w:p w:rsidR="00C223F5" w:rsidRDefault="005860D5" w:rsidP="00C006A7">
            <w:pPr>
              <w:pStyle w:val="36"/>
              <w:spacing w:line="300" w:lineRule="exact"/>
              <w:ind w:firstLineChars="0" w:firstLine="0"/>
              <w:jc w:val="center"/>
              <w:rPr>
                <w:sz w:val="21"/>
                <w:szCs w:val="21"/>
              </w:rPr>
            </w:pPr>
            <w:r>
              <w:rPr>
                <w:sz w:val="21"/>
                <w:szCs w:val="21"/>
              </w:rPr>
              <w:t>2km</w:t>
            </w:r>
            <w:r>
              <w:rPr>
                <w:sz w:val="21"/>
                <w:szCs w:val="21"/>
                <w:vertAlign w:val="superscript"/>
              </w:rPr>
              <w:t>2</w:t>
            </w:r>
            <w:r>
              <w:rPr>
                <w:rFonts w:hAnsi="宋体" w:hint="eastAsia"/>
                <w:kern w:val="0"/>
                <w:sz w:val="21"/>
                <w:szCs w:val="21"/>
              </w:rPr>
              <w:t>~</w:t>
            </w:r>
            <w:r>
              <w:rPr>
                <w:sz w:val="21"/>
                <w:szCs w:val="21"/>
              </w:rPr>
              <w:t>2</w:t>
            </w:r>
            <w:r>
              <w:rPr>
                <w:rFonts w:hint="eastAsia"/>
                <w:sz w:val="21"/>
                <w:szCs w:val="21"/>
              </w:rPr>
              <w:t>0</w:t>
            </w:r>
            <w:r>
              <w:rPr>
                <w:sz w:val="21"/>
                <w:szCs w:val="21"/>
              </w:rPr>
              <w:t>km</w:t>
            </w:r>
            <w:r>
              <w:rPr>
                <w:sz w:val="21"/>
                <w:szCs w:val="21"/>
                <w:vertAlign w:val="superscript"/>
              </w:rPr>
              <w:t>2</w:t>
            </w:r>
          </w:p>
        </w:tc>
        <w:tc>
          <w:tcPr>
            <w:tcW w:w="545" w:type="dxa"/>
            <w:vMerge w:val="restart"/>
            <w:vAlign w:val="center"/>
          </w:tcPr>
          <w:p w:rsidR="00C223F5" w:rsidRDefault="005860D5" w:rsidP="00C006A7">
            <w:pPr>
              <w:pStyle w:val="36"/>
              <w:spacing w:line="300" w:lineRule="exact"/>
              <w:ind w:firstLineChars="0" w:firstLine="0"/>
              <w:jc w:val="center"/>
              <w:rPr>
                <w:sz w:val="21"/>
                <w:szCs w:val="21"/>
              </w:rPr>
            </w:pPr>
            <w:r>
              <w:rPr>
                <w:sz w:val="21"/>
                <w:szCs w:val="21"/>
              </w:rPr>
              <w:t>三级</w:t>
            </w:r>
          </w:p>
        </w:tc>
        <w:tc>
          <w:tcPr>
            <w:tcW w:w="1985" w:type="dxa"/>
            <w:vMerge w:val="restart"/>
            <w:vAlign w:val="center"/>
          </w:tcPr>
          <w:p w:rsidR="00C223F5" w:rsidRDefault="005860D5" w:rsidP="00C006A7">
            <w:pPr>
              <w:spacing w:line="300" w:lineRule="exact"/>
              <w:jc w:val="center"/>
              <w:rPr>
                <w:szCs w:val="21"/>
              </w:rPr>
            </w:pPr>
            <w:r>
              <w:rPr>
                <w:rFonts w:hint="eastAsia"/>
                <w:szCs w:val="21"/>
              </w:rPr>
              <w:t>重点评价</w:t>
            </w:r>
            <w:r>
              <w:rPr>
                <w:szCs w:val="21"/>
              </w:rPr>
              <w:t>井田及周边外延</w:t>
            </w:r>
            <w:r>
              <w:rPr>
                <w:rFonts w:hint="eastAsia"/>
                <w:szCs w:val="21"/>
              </w:rPr>
              <w:t>5</w:t>
            </w:r>
            <w:r>
              <w:rPr>
                <w:szCs w:val="21"/>
              </w:rPr>
              <w:t>00m</w:t>
            </w:r>
            <w:r>
              <w:rPr>
                <w:rFonts w:hint="eastAsia"/>
                <w:szCs w:val="21"/>
              </w:rPr>
              <w:t>的范围</w:t>
            </w:r>
            <w:r>
              <w:rPr>
                <w:szCs w:val="21"/>
              </w:rPr>
              <w:t>，面积</w:t>
            </w:r>
            <w:r>
              <w:rPr>
                <w:rFonts w:hint="eastAsia"/>
              </w:rPr>
              <w:t>87.</w:t>
            </w:r>
            <w:r>
              <w:t>72km</w:t>
            </w:r>
            <w:r>
              <w:rPr>
                <w:vertAlign w:val="superscript"/>
              </w:rPr>
              <w:t>2</w:t>
            </w:r>
          </w:p>
        </w:tc>
      </w:tr>
      <w:tr w:rsidR="00C223F5">
        <w:trPr>
          <w:cantSplit/>
          <w:trHeight w:val="20"/>
          <w:jc w:val="center"/>
        </w:trPr>
        <w:tc>
          <w:tcPr>
            <w:tcW w:w="737" w:type="dxa"/>
            <w:vMerge/>
            <w:vAlign w:val="center"/>
          </w:tcPr>
          <w:p w:rsidR="00C223F5" w:rsidRDefault="00C223F5" w:rsidP="00C006A7">
            <w:pPr>
              <w:pStyle w:val="36"/>
              <w:spacing w:line="300" w:lineRule="exact"/>
              <w:ind w:firstLineChars="0" w:firstLine="0"/>
              <w:jc w:val="center"/>
              <w:rPr>
                <w:sz w:val="21"/>
                <w:szCs w:val="21"/>
              </w:rPr>
            </w:pPr>
          </w:p>
        </w:tc>
        <w:tc>
          <w:tcPr>
            <w:tcW w:w="2449" w:type="dxa"/>
            <w:gridSpan w:val="2"/>
            <w:vAlign w:val="center"/>
          </w:tcPr>
          <w:p w:rsidR="00C223F5" w:rsidRDefault="005860D5" w:rsidP="00C006A7">
            <w:pPr>
              <w:pStyle w:val="36"/>
              <w:spacing w:line="300" w:lineRule="exact"/>
              <w:ind w:firstLineChars="0" w:firstLine="0"/>
              <w:jc w:val="center"/>
              <w:rPr>
                <w:sz w:val="21"/>
                <w:szCs w:val="21"/>
              </w:rPr>
            </w:pPr>
            <w:r>
              <w:rPr>
                <w:sz w:val="21"/>
                <w:szCs w:val="21"/>
              </w:rPr>
              <w:t>影响区域生态敏感性</w:t>
            </w:r>
          </w:p>
        </w:tc>
        <w:tc>
          <w:tcPr>
            <w:tcW w:w="1934" w:type="dxa"/>
            <w:vAlign w:val="center"/>
          </w:tcPr>
          <w:p w:rsidR="00C223F5" w:rsidRDefault="005860D5" w:rsidP="00C006A7">
            <w:pPr>
              <w:pStyle w:val="36"/>
              <w:spacing w:line="300" w:lineRule="exact"/>
              <w:ind w:firstLineChars="0" w:firstLine="0"/>
              <w:jc w:val="center"/>
              <w:rPr>
                <w:sz w:val="21"/>
                <w:szCs w:val="21"/>
              </w:rPr>
            </w:pPr>
            <w:r>
              <w:rPr>
                <w:sz w:val="21"/>
                <w:szCs w:val="21"/>
              </w:rPr>
              <w:t>一般区域</w:t>
            </w:r>
          </w:p>
        </w:tc>
        <w:tc>
          <w:tcPr>
            <w:tcW w:w="1711" w:type="dxa"/>
            <w:vAlign w:val="center"/>
          </w:tcPr>
          <w:p w:rsidR="00C223F5" w:rsidRDefault="005860D5" w:rsidP="00C006A7">
            <w:pPr>
              <w:pStyle w:val="36"/>
              <w:spacing w:line="300" w:lineRule="exact"/>
              <w:ind w:firstLineChars="0" w:firstLine="0"/>
              <w:jc w:val="center"/>
              <w:rPr>
                <w:sz w:val="21"/>
                <w:szCs w:val="21"/>
              </w:rPr>
            </w:pPr>
            <w:r>
              <w:rPr>
                <w:sz w:val="21"/>
                <w:szCs w:val="21"/>
              </w:rPr>
              <w:t>一般区域</w:t>
            </w:r>
          </w:p>
        </w:tc>
        <w:tc>
          <w:tcPr>
            <w:tcW w:w="545" w:type="dxa"/>
            <w:vMerge/>
            <w:vAlign w:val="center"/>
          </w:tcPr>
          <w:p w:rsidR="00C223F5" w:rsidRDefault="00C223F5" w:rsidP="00C006A7">
            <w:pPr>
              <w:pStyle w:val="36"/>
              <w:spacing w:line="300" w:lineRule="exact"/>
              <w:ind w:firstLineChars="0" w:firstLine="0"/>
              <w:jc w:val="center"/>
              <w:rPr>
                <w:sz w:val="21"/>
                <w:szCs w:val="21"/>
              </w:rPr>
            </w:pPr>
          </w:p>
        </w:tc>
        <w:tc>
          <w:tcPr>
            <w:tcW w:w="1985" w:type="dxa"/>
            <w:vMerge/>
            <w:vAlign w:val="center"/>
          </w:tcPr>
          <w:p w:rsidR="00C223F5" w:rsidRDefault="00C223F5" w:rsidP="00C006A7">
            <w:pPr>
              <w:pStyle w:val="36"/>
              <w:spacing w:line="300" w:lineRule="exact"/>
              <w:ind w:firstLineChars="0" w:firstLine="0"/>
              <w:jc w:val="center"/>
              <w:rPr>
                <w:sz w:val="21"/>
                <w:szCs w:val="21"/>
              </w:rPr>
            </w:pPr>
          </w:p>
        </w:tc>
      </w:tr>
      <w:tr w:rsidR="00C223F5">
        <w:trPr>
          <w:cantSplit/>
          <w:trHeight w:val="20"/>
          <w:jc w:val="center"/>
        </w:trPr>
        <w:tc>
          <w:tcPr>
            <w:tcW w:w="737" w:type="dxa"/>
            <w:vMerge w:val="restart"/>
            <w:vAlign w:val="center"/>
          </w:tcPr>
          <w:p w:rsidR="00C223F5" w:rsidRDefault="005860D5" w:rsidP="00C006A7">
            <w:pPr>
              <w:pStyle w:val="hb3"/>
              <w:spacing w:before="0" w:after="0" w:line="300" w:lineRule="exact"/>
              <w:ind w:left="0" w:firstLine="0"/>
              <w:jc w:val="center"/>
              <w:rPr>
                <w:rFonts w:ascii="Times New Roman"/>
                <w:sz w:val="21"/>
                <w:szCs w:val="21"/>
              </w:rPr>
            </w:pPr>
            <w:bookmarkStart w:id="124" w:name="_Toc533604280"/>
            <w:bookmarkStart w:id="125" w:name="_Toc533604700"/>
            <w:bookmarkStart w:id="126" w:name="_Toc8305909"/>
            <w:bookmarkStart w:id="127" w:name="_Toc15049523"/>
            <w:bookmarkStart w:id="128" w:name="_Toc16785241"/>
            <w:r>
              <w:rPr>
                <w:rFonts w:ascii="Times New Roman"/>
                <w:sz w:val="21"/>
                <w:szCs w:val="21"/>
              </w:rPr>
              <w:t>地下水</w:t>
            </w:r>
            <w:bookmarkEnd w:id="124"/>
            <w:bookmarkEnd w:id="125"/>
            <w:bookmarkEnd w:id="126"/>
            <w:bookmarkEnd w:id="127"/>
            <w:bookmarkEnd w:id="128"/>
          </w:p>
          <w:p w:rsidR="00C223F5" w:rsidRDefault="005860D5" w:rsidP="00C006A7">
            <w:pPr>
              <w:pStyle w:val="36"/>
              <w:spacing w:line="300" w:lineRule="exact"/>
              <w:ind w:firstLineChars="0" w:firstLine="0"/>
              <w:jc w:val="center"/>
              <w:rPr>
                <w:sz w:val="21"/>
                <w:szCs w:val="21"/>
              </w:rPr>
            </w:pPr>
            <w:r>
              <w:rPr>
                <w:sz w:val="21"/>
                <w:szCs w:val="21"/>
              </w:rPr>
              <w:t>环境</w:t>
            </w:r>
          </w:p>
        </w:tc>
        <w:tc>
          <w:tcPr>
            <w:tcW w:w="1134" w:type="dxa"/>
            <w:vMerge w:val="restart"/>
            <w:vAlign w:val="center"/>
          </w:tcPr>
          <w:p w:rsidR="00C223F5" w:rsidRDefault="005860D5" w:rsidP="00C006A7">
            <w:pPr>
              <w:pStyle w:val="hb3"/>
              <w:spacing w:before="0" w:after="0" w:line="300" w:lineRule="exact"/>
              <w:ind w:left="0" w:firstLine="0"/>
              <w:jc w:val="center"/>
              <w:rPr>
                <w:sz w:val="21"/>
                <w:szCs w:val="21"/>
              </w:rPr>
            </w:pPr>
            <w:bookmarkStart w:id="129" w:name="_Toc533604701"/>
            <w:bookmarkStart w:id="130" w:name="_Toc533604281"/>
            <w:bookmarkStart w:id="131" w:name="_Toc8305910"/>
            <w:bookmarkStart w:id="132" w:name="_Toc15049524"/>
            <w:bookmarkStart w:id="133" w:name="_Toc16785242"/>
            <w:r>
              <w:rPr>
                <w:rFonts w:ascii="Times New Roman"/>
                <w:sz w:val="21"/>
                <w:szCs w:val="21"/>
              </w:rPr>
              <w:t>工业场地区</w:t>
            </w:r>
            <w:bookmarkEnd w:id="129"/>
            <w:bookmarkEnd w:id="130"/>
            <w:bookmarkEnd w:id="131"/>
            <w:bookmarkEnd w:id="132"/>
            <w:bookmarkEnd w:id="133"/>
          </w:p>
        </w:tc>
        <w:tc>
          <w:tcPr>
            <w:tcW w:w="1315" w:type="dxa"/>
            <w:vAlign w:val="center"/>
          </w:tcPr>
          <w:p w:rsidR="00C223F5" w:rsidRDefault="005860D5" w:rsidP="00C006A7">
            <w:pPr>
              <w:pStyle w:val="36"/>
              <w:spacing w:line="300" w:lineRule="exact"/>
              <w:ind w:firstLineChars="0" w:firstLine="0"/>
              <w:jc w:val="center"/>
              <w:rPr>
                <w:sz w:val="21"/>
                <w:szCs w:val="21"/>
              </w:rPr>
            </w:pPr>
            <w:r>
              <w:rPr>
                <w:sz w:val="21"/>
                <w:szCs w:val="21"/>
              </w:rPr>
              <w:t>地下水敏感程度</w:t>
            </w:r>
          </w:p>
        </w:tc>
        <w:tc>
          <w:tcPr>
            <w:tcW w:w="1934" w:type="dxa"/>
            <w:vAlign w:val="center"/>
          </w:tcPr>
          <w:p w:rsidR="00C223F5" w:rsidRDefault="005860D5" w:rsidP="00C006A7">
            <w:pPr>
              <w:pStyle w:val="36"/>
              <w:spacing w:line="300" w:lineRule="exact"/>
              <w:ind w:firstLineChars="0" w:firstLine="0"/>
              <w:jc w:val="center"/>
              <w:rPr>
                <w:sz w:val="21"/>
                <w:szCs w:val="21"/>
              </w:rPr>
            </w:pPr>
            <w:r>
              <w:rPr>
                <w:sz w:val="21"/>
                <w:szCs w:val="21"/>
              </w:rPr>
              <w:t>工业场地地下水</w:t>
            </w:r>
          </w:p>
          <w:p w:rsidR="00C223F5" w:rsidRDefault="005860D5" w:rsidP="00C006A7">
            <w:pPr>
              <w:pStyle w:val="36"/>
              <w:spacing w:line="300" w:lineRule="exact"/>
              <w:ind w:firstLineChars="0" w:firstLine="0"/>
              <w:jc w:val="center"/>
              <w:rPr>
                <w:spacing w:val="-8"/>
                <w:sz w:val="21"/>
                <w:szCs w:val="21"/>
              </w:rPr>
            </w:pPr>
            <w:r>
              <w:rPr>
                <w:sz w:val="21"/>
                <w:szCs w:val="21"/>
              </w:rPr>
              <w:t>评价类别为</w:t>
            </w:r>
            <w:r>
              <w:rPr>
                <w:rFonts w:ascii="宋体" w:hAnsi="宋体" w:cs="宋体" w:hint="eastAsia"/>
                <w:sz w:val="21"/>
                <w:szCs w:val="21"/>
              </w:rPr>
              <w:t>Ⅲ</w:t>
            </w:r>
            <w:r>
              <w:rPr>
                <w:sz w:val="21"/>
                <w:szCs w:val="21"/>
              </w:rPr>
              <w:t>类</w:t>
            </w:r>
          </w:p>
        </w:tc>
        <w:tc>
          <w:tcPr>
            <w:tcW w:w="1711" w:type="dxa"/>
            <w:vAlign w:val="center"/>
          </w:tcPr>
          <w:p w:rsidR="00C223F5" w:rsidRDefault="005860D5" w:rsidP="00C006A7">
            <w:pPr>
              <w:pStyle w:val="36"/>
              <w:spacing w:line="300" w:lineRule="exact"/>
              <w:ind w:firstLineChars="0" w:firstLine="0"/>
              <w:jc w:val="center"/>
              <w:rPr>
                <w:sz w:val="21"/>
                <w:szCs w:val="21"/>
              </w:rPr>
            </w:pPr>
            <w:r>
              <w:rPr>
                <w:rFonts w:hAnsi="宋体"/>
                <w:sz w:val="21"/>
                <w:szCs w:val="21"/>
              </w:rPr>
              <w:t>Ⅲ</w:t>
            </w:r>
            <w:r>
              <w:rPr>
                <w:sz w:val="21"/>
                <w:szCs w:val="21"/>
              </w:rPr>
              <w:t>类</w:t>
            </w:r>
          </w:p>
        </w:tc>
        <w:tc>
          <w:tcPr>
            <w:tcW w:w="545" w:type="dxa"/>
            <w:vMerge w:val="restart"/>
            <w:vAlign w:val="center"/>
          </w:tcPr>
          <w:p w:rsidR="00C223F5" w:rsidRDefault="005860D5" w:rsidP="00C006A7">
            <w:pPr>
              <w:pStyle w:val="hb3"/>
              <w:spacing w:before="0" w:after="0" w:line="300" w:lineRule="exact"/>
              <w:ind w:left="0" w:firstLine="0"/>
              <w:jc w:val="center"/>
              <w:rPr>
                <w:rFonts w:ascii="Times New Roman" w:hAnsi="Times New Roman"/>
                <w:spacing w:val="-6"/>
                <w:sz w:val="21"/>
                <w:szCs w:val="21"/>
              </w:rPr>
            </w:pPr>
            <w:bookmarkStart w:id="134" w:name="_Toc533604282"/>
            <w:bookmarkStart w:id="135" w:name="_Toc533604702"/>
            <w:bookmarkStart w:id="136" w:name="_Toc8305911"/>
            <w:bookmarkStart w:id="137" w:name="_Toc15049525"/>
            <w:bookmarkStart w:id="138" w:name="_Toc16785243"/>
            <w:r>
              <w:rPr>
                <w:rFonts w:ascii="Times New Roman"/>
                <w:spacing w:val="-6"/>
                <w:sz w:val="21"/>
                <w:szCs w:val="21"/>
              </w:rPr>
              <w:t>三级</w:t>
            </w:r>
            <w:bookmarkEnd w:id="134"/>
            <w:bookmarkEnd w:id="135"/>
            <w:bookmarkEnd w:id="136"/>
            <w:bookmarkEnd w:id="137"/>
            <w:bookmarkEnd w:id="138"/>
          </w:p>
        </w:tc>
        <w:tc>
          <w:tcPr>
            <w:tcW w:w="1985" w:type="dxa"/>
            <w:vMerge w:val="restart"/>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南部以蚂蚁河为界，东部以蚂蚁河支沟为界，西部和北部以场地外的梁峁为界，面积为</w:t>
            </w:r>
            <w:r>
              <w:rPr>
                <w:rFonts w:hint="eastAsia"/>
                <w:sz w:val="21"/>
                <w:szCs w:val="21"/>
              </w:rPr>
              <w:t>0.39km</w:t>
            </w:r>
            <w:r>
              <w:rPr>
                <w:rFonts w:hint="eastAsia"/>
                <w:sz w:val="21"/>
                <w:szCs w:val="21"/>
                <w:vertAlign w:val="superscript"/>
              </w:rPr>
              <w:t>2</w:t>
            </w:r>
          </w:p>
        </w:tc>
      </w:tr>
      <w:tr w:rsidR="00C223F5">
        <w:trPr>
          <w:cantSplit/>
          <w:trHeight w:val="20"/>
          <w:jc w:val="center"/>
        </w:trPr>
        <w:tc>
          <w:tcPr>
            <w:tcW w:w="737" w:type="dxa"/>
            <w:vMerge/>
            <w:vAlign w:val="center"/>
          </w:tcPr>
          <w:p w:rsidR="00C223F5" w:rsidRDefault="00C223F5" w:rsidP="00C006A7">
            <w:pPr>
              <w:pStyle w:val="hb3"/>
              <w:spacing w:before="0" w:after="0" w:line="300" w:lineRule="exact"/>
              <w:ind w:left="0" w:firstLine="0"/>
              <w:jc w:val="center"/>
              <w:rPr>
                <w:rFonts w:ascii="Times New Roman"/>
                <w:sz w:val="21"/>
                <w:szCs w:val="21"/>
              </w:rPr>
            </w:pPr>
          </w:p>
        </w:tc>
        <w:tc>
          <w:tcPr>
            <w:tcW w:w="1134" w:type="dxa"/>
            <w:vMerge/>
            <w:vAlign w:val="center"/>
          </w:tcPr>
          <w:p w:rsidR="00C223F5" w:rsidRDefault="00C223F5" w:rsidP="00C006A7">
            <w:pPr>
              <w:pStyle w:val="hb3"/>
              <w:spacing w:before="0" w:after="0" w:line="300" w:lineRule="exact"/>
              <w:ind w:left="0" w:firstLine="0"/>
              <w:jc w:val="center"/>
              <w:rPr>
                <w:rFonts w:ascii="Times New Roman"/>
                <w:sz w:val="21"/>
                <w:szCs w:val="21"/>
              </w:rPr>
            </w:pPr>
          </w:p>
        </w:tc>
        <w:tc>
          <w:tcPr>
            <w:tcW w:w="1315" w:type="dxa"/>
            <w:vAlign w:val="center"/>
          </w:tcPr>
          <w:p w:rsidR="00C223F5" w:rsidRDefault="005860D5" w:rsidP="00C006A7">
            <w:pPr>
              <w:pStyle w:val="36"/>
              <w:spacing w:line="300" w:lineRule="exact"/>
              <w:ind w:firstLineChars="0" w:firstLine="0"/>
              <w:jc w:val="center"/>
              <w:rPr>
                <w:sz w:val="21"/>
                <w:szCs w:val="21"/>
              </w:rPr>
            </w:pPr>
            <w:r>
              <w:rPr>
                <w:sz w:val="21"/>
                <w:szCs w:val="21"/>
              </w:rPr>
              <w:t>项目类别</w:t>
            </w:r>
          </w:p>
        </w:tc>
        <w:tc>
          <w:tcPr>
            <w:tcW w:w="1934"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蚂蚁河沿岸有居民</w:t>
            </w:r>
          </w:p>
          <w:p w:rsidR="00C223F5" w:rsidRDefault="005860D5" w:rsidP="00C006A7">
            <w:pPr>
              <w:pStyle w:val="36"/>
              <w:spacing w:line="300" w:lineRule="exact"/>
              <w:ind w:firstLineChars="0" w:firstLine="0"/>
              <w:jc w:val="center"/>
              <w:rPr>
                <w:sz w:val="21"/>
                <w:szCs w:val="21"/>
              </w:rPr>
            </w:pPr>
            <w:r>
              <w:rPr>
                <w:rFonts w:hint="eastAsia"/>
                <w:sz w:val="21"/>
                <w:szCs w:val="21"/>
              </w:rPr>
              <w:t>分散取水水井</w:t>
            </w:r>
          </w:p>
        </w:tc>
        <w:tc>
          <w:tcPr>
            <w:tcW w:w="1711"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较</w:t>
            </w:r>
            <w:r>
              <w:rPr>
                <w:sz w:val="21"/>
                <w:szCs w:val="21"/>
              </w:rPr>
              <w:t>敏感</w:t>
            </w:r>
          </w:p>
        </w:tc>
        <w:tc>
          <w:tcPr>
            <w:tcW w:w="545" w:type="dxa"/>
            <w:vMerge/>
            <w:vAlign w:val="center"/>
          </w:tcPr>
          <w:p w:rsidR="00C223F5" w:rsidRDefault="00C223F5" w:rsidP="00C006A7">
            <w:pPr>
              <w:pStyle w:val="36"/>
              <w:spacing w:line="300" w:lineRule="exact"/>
              <w:ind w:firstLineChars="0" w:firstLine="0"/>
              <w:jc w:val="center"/>
              <w:rPr>
                <w:b/>
                <w:sz w:val="21"/>
                <w:szCs w:val="21"/>
              </w:rPr>
            </w:pPr>
          </w:p>
        </w:tc>
        <w:tc>
          <w:tcPr>
            <w:tcW w:w="1985" w:type="dxa"/>
            <w:vMerge/>
            <w:vAlign w:val="center"/>
          </w:tcPr>
          <w:p w:rsidR="00C223F5" w:rsidRDefault="00C223F5" w:rsidP="00C006A7">
            <w:pPr>
              <w:pStyle w:val="36"/>
              <w:spacing w:line="300" w:lineRule="exact"/>
              <w:ind w:firstLineChars="0" w:firstLine="0"/>
              <w:jc w:val="center"/>
              <w:rPr>
                <w:sz w:val="21"/>
                <w:szCs w:val="21"/>
              </w:rPr>
            </w:pPr>
          </w:p>
        </w:tc>
      </w:tr>
      <w:tr w:rsidR="00C223F5">
        <w:trPr>
          <w:cantSplit/>
          <w:trHeight w:val="20"/>
          <w:jc w:val="center"/>
        </w:trPr>
        <w:tc>
          <w:tcPr>
            <w:tcW w:w="737" w:type="dxa"/>
            <w:vMerge w:val="restart"/>
            <w:vAlign w:val="center"/>
          </w:tcPr>
          <w:p w:rsidR="00C223F5" w:rsidRDefault="005860D5" w:rsidP="00C006A7">
            <w:pPr>
              <w:pStyle w:val="hb3"/>
              <w:spacing w:before="0" w:after="0" w:line="300" w:lineRule="exact"/>
              <w:ind w:left="0" w:firstLine="0"/>
              <w:jc w:val="center"/>
              <w:rPr>
                <w:rFonts w:ascii="Times New Roman"/>
                <w:sz w:val="21"/>
                <w:szCs w:val="21"/>
              </w:rPr>
            </w:pPr>
            <w:bookmarkStart w:id="139" w:name="_Toc15049526"/>
            <w:bookmarkStart w:id="140" w:name="_Toc16785244"/>
            <w:r>
              <w:rPr>
                <w:rFonts w:ascii="Times New Roman" w:hint="eastAsia"/>
                <w:sz w:val="21"/>
                <w:szCs w:val="21"/>
              </w:rPr>
              <w:t>土壤</w:t>
            </w:r>
            <w:bookmarkEnd w:id="139"/>
            <w:bookmarkEnd w:id="140"/>
          </w:p>
          <w:p w:rsidR="00C223F5" w:rsidRDefault="005860D5" w:rsidP="00C006A7">
            <w:pPr>
              <w:pStyle w:val="hb3"/>
              <w:spacing w:before="0" w:after="0" w:line="300" w:lineRule="exact"/>
              <w:ind w:left="0" w:firstLine="0"/>
              <w:jc w:val="center"/>
              <w:rPr>
                <w:rFonts w:ascii="Times New Roman"/>
                <w:sz w:val="21"/>
                <w:szCs w:val="21"/>
              </w:rPr>
            </w:pPr>
            <w:bookmarkStart w:id="141" w:name="_Toc15049527"/>
            <w:bookmarkStart w:id="142" w:name="_Toc16785245"/>
            <w:r>
              <w:rPr>
                <w:rFonts w:ascii="Times New Roman" w:hint="eastAsia"/>
                <w:sz w:val="21"/>
                <w:szCs w:val="21"/>
              </w:rPr>
              <w:t>环境</w:t>
            </w:r>
            <w:bookmarkEnd w:id="141"/>
            <w:bookmarkEnd w:id="142"/>
          </w:p>
        </w:tc>
        <w:tc>
          <w:tcPr>
            <w:tcW w:w="1134" w:type="dxa"/>
            <w:vMerge w:val="restart"/>
            <w:vAlign w:val="center"/>
          </w:tcPr>
          <w:p w:rsidR="00C223F5" w:rsidRDefault="005860D5" w:rsidP="00C006A7">
            <w:pPr>
              <w:pStyle w:val="hb3"/>
              <w:spacing w:before="0" w:after="0" w:line="300" w:lineRule="exact"/>
              <w:ind w:left="0" w:firstLine="0"/>
              <w:jc w:val="center"/>
              <w:rPr>
                <w:rFonts w:ascii="Times New Roman"/>
                <w:sz w:val="21"/>
                <w:szCs w:val="21"/>
              </w:rPr>
            </w:pPr>
            <w:bookmarkStart w:id="143" w:name="_Toc15049528"/>
            <w:bookmarkStart w:id="144" w:name="_Toc16785246"/>
            <w:r>
              <w:rPr>
                <w:rFonts w:ascii="Times New Roman"/>
                <w:sz w:val="21"/>
                <w:szCs w:val="21"/>
              </w:rPr>
              <w:t>工业场地区</w:t>
            </w:r>
            <w:bookmarkEnd w:id="143"/>
            <w:bookmarkEnd w:id="144"/>
          </w:p>
        </w:tc>
        <w:tc>
          <w:tcPr>
            <w:tcW w:w="1315"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占地规模</w:t>
            </w:r>
          </w:p>
        </w:tc>
        <w:tc>
          <w:tcPr>
            <w:tcW w:w="1934"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6.5hm</w:t>
            </w:r>
            <w:r>
              <w:rPr>
                <w:rFonts w:hint="eastAsia"/>
                <w:sz w:val="21"/>
                <w:szCs w:val="21"/>
                <w:vertAlign w:val="superscript"/>
              </w:rPr>
              <w:t>2</w:t>
            </w:r>
          </w:p>
        </w:tc>
        <w:tc>
          <w:tcPr>
            <w:tcW w:w="1711"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中型</w:t>
            </w:r>
            <w:r>
              <w:rPr>
                <w:rFonts w:hAnsi="宋体" w:hint="eastAsia"/>
                <w:kern w:val="0"/>
                <w:sz w:val="21"/>
                <w:szCs w:val="21"/>
              </w:rPr>
              <w:t>5~50hm</w:t>
            </w:r>
            <w:r>
              <w:rPr>
                <w:rFonts w:hAnsi="宋体" w:hint="eastAsia"/>
                <w:kern w:val="0"/>
                <w:sz w:val="21"/>
                <w:szCs w:val="21"/>
                <w:vertAlign w:val="superscript"/>
              </w:rPr>
              <w:t>2</w:t>
            </w:r>
          </w:p>
        </w:tc>
        <w:tc>
          <w:tcPr>
            <w:tcW w:w="545" w:type="dxa"/>
            <w:vMerge w:val="restart"/>
            <w:vAlign w:val="center"/>
          </w:tcPr>
          <w:p w:rsidR="00C223F5" w:rsidRDefault="005860D5" w:rsidP="00C006A7">
            <w:pPr>
              <w:pStyle w:val="36"/>
              <w:spacing w:line="300" w:lineRule="exact"/>
              <w:ind w:firstLineChars="0" w:firstLine="0"/>
              <w:jc w:val="center"/>
              <w:rPr>
                <w:b/>
                <w:sz w:val="21"/>
                <w:szCs w:val="21"/>
              </w:rPr>
            </w:pPr>
            <w:r>
              <w:rPr>
                <w:rFonts w:hint="eastAsia"/>
                <w:b/>
                <w:sz w:val="21"/>
                <w:szCs w:val="21"/>
              </w:rPr>
              <w:t>二级</w:t>
            </w:r>
          </w:p>
        </w:tc>
        <w:tc>
          <w:tcPr>
            <w:tcW w:w="1985" w:type="dxa"/>
            <w:vMerge w:val="restart"/>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污染影响型：评价工业场地边界外延</w:t>
            </w:r>
            <w:r>
              <w:rPr>
                <w:rFonts w:hint="eastAsia"/>
                <w:sz w:val="21"/>
                <w:szCs w:val="21"/>
              </w:rPr>
              <w:t>0.2km</w:t>
            </w:r>
            <w:r>
              <w:rPr>
                <w:rFonts w:hint="eastAsia"/>
                <w:sz w:val="21"/>
                <w:szCs w:val="21"/>
              </w:rPr>
              <w:t>范围</w:t>
            </w:r>
          </w:p>
        </w:tc>
      </w:tr>
      <w:tr w:rsidR="00C223F5">
        <w:trPr>
          <w:cantSplit/>
          <w:trHeight w:val="20"/>
          <w:jc w:val="center"/>
        </w:trPr>
        <w:tc>
          <w:tcPr>
            <w:tcW w:w="737" w:type="dxa"/>
            <w:vMerge/>
            <w:vAlign w:val="center"/>
          </w:tcPr>
          <w:p w:rsidR="00C223F5" w:rsidRDefault="00C223F5" w:rsidP="00C006A7">
            <w:pPr>
              <w:pStyle w:val="hb3"/>
              <w:spacing w:before="0" w:after="0" w:line="300" w:lineRule="exact"/>
              <w:ind w:left="0" w:firstLine="0"/>
              <w:jc w:val="center"/>
              <w:rPr>
                <w:rFonts w:ascii="Times New Roman"/>
                <w:sz w:val="21"/>
                <w:szCs w:val="21"/>
              </w:rPr>
            </w:pPr>
          </w:p>
        </w:tc>
        <w:tc>
          <w:tcPr>
            <w:tcW w:w="1134" w:type="dxa"/>
            <w:vMerge/>
            <w:vAlign w:val="center"/>
          </w:tcPr>
          <w:p w:rsidR="00C223F5" w:rsidRDefault="00C223F5" w:rsidP="00C006A7">
            <w:pPr>
              <w:pStyle w:val="hb3"/>
              <w:spacing w:before="0" w:after="0" w:line="300" w:lineRule="exact"/>
              <w:ind w:left="0" w:firstLine="0"/>
              <w:jc w:val="center"/>
              <w:rPr>
                <w:rFonts w:ascii="Times New Roman"/>
                <w:sz w:val="21"/>
                <w:szCs w:val="21"/>
              </w:rPr>
            </w:pPr>
          </w:p>
        </w:tc>
        <w:tc>
          <w:tcPr>
            <w:tcW w:w="1315"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周边土壤环境敏感程度</w:t>
            </w:r>
          </w:p>
        </w:tc>
        <w:tc>
          <w:tcPr>
            <w:tcW w:w="1934"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周边存在耕地及居民区</w:t>
            </w:r>
          </w:p>
        </w:tc>
        <w:tc>
          <w:tcPr>
            <w:tcW w:w="1711"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敏感</w:t>
            </w:r>
          </w:p>
        </w:tc>
        <w:tc>
          <w:tcPr>
            <w:tcW w:w="545" w:type="dxa"/>
            <w:vMerge/>
            <w:vAlign w:val="center"/>
          </w:tcPr>
          <w:p w:rsidR="00C223F5" w:rsidRDefault="00C223F5" w:rsidP="00C006A7">
            <w:pPr>
              <w:pStyle w:val="36"/>
              <w:spacing w:line="300" w:lineRule="exact"/>
              <w:ind w:firstLineChars="0" w:firstLine="0"/>
              <w:jc w:val="center"/>
              <w:rPr>
                <w:b/>
                <w:sz w:val="21"/>
                <w:szCs w:val="21"/>
              </w:rPr>
            </w:pPr>
          </w:p>
        </w:tc>
        <w:tc>
          <w:tcPr>
            <w:tcW w:w="1985" w:type="dxa"/>
            <w:vMerge/>
            <w:vAlign w:val="center"/>
          </w:tcPr>
          <w:p w:rsidR="00C223F5" w:rsidRDefault="00C223F5" w:rsidP="00C006A7">
            <w:pPr>
              <w:pStyle w:val="36"/>
              <w:spacing w:line="300" w:lineRule="exact"/>
              <w:ind w:firstLineChars="0" w:firstLine="0"/>
              <w:jc w:val="center"/>
              <w:rPr>
                <w:sz w:val="21"/>
                <w:szCs w:val="21"/>
              </w:rPr>
            </w:pPr>
          </w:p>
        </w:tc>
      </w:tr>
      <w:tr w:rsidR="00C223F5">
        <w:trPr>
          <w:cantSplit/>
          <w:trHeight w:val="20"/>
          <w:jc w:val="center"/>
        </w:trPr>
        <w:tc>
          <w:tcPr>
            <w:tcW w:w="737" w:type="dxa"/>
            <w:vMerge/>
            <w:vAlign w:val="center"/>
          </w:tcPr>
          <w:p w:rsidR="00C223F5" w:rsidRDefault="00C223F5" w:rsidP="00C006A7">
            <w:pPr>
              <w:pStyle w:val="hb3"/>
              <w:spacing w:before="0" w:after="0" w:line="300" w:lineRule="exact"/>
              <w:ind w:left="0" w:firstLine="0"/>
              <w:jc w:val="center"/>
              <w:rPr>
                <w:rFonts w:ascii="Times New Roman"/>
                <w:sz w:val="21"/>
                <w:szCs w:val="21"/>
              </w:rPr>
            </w:pPr>
          </w:p>
        </w:tc>
        <w:tc>
          <w:tcPr>
            <w:tcW w:w="1134" w:type="dxa"/>
            <w:vMerge/>
            <w:vAlign w:val="center"/>
          </w:tcPr>
          <w:p w:rsidR="00C223F5" w:rsidRDefault="00C223F5" w:rsidP="00C006A7">
            <w:pPr>
              <w:pStyle w:val="hb3"/>
              <w:spacing w:before="0" w:after="0" w:line="300" w:lineRule="exact"/>
              <w:ind w:left="0" w:firstLine="0"/>
              <w:jc w:val="center"/>
              <w:rPr>
                <w:rFonts w:ascii="Times New Roman"/>
                <w:sz w:val="21"/>
                <w:szCs w:val="21"/>
              </w:rPr>
            </w:pPr>
          </w:p>
        </w:tc>
        <w:tc>
          <w:tcPr>
            <w:tcW w:w="1315" w:type="dxa"/>
            <w:vAlign w:val="center"/>
          </w:tcPr>
          <w:p w:rsidR="00C223F5" w:rsidRDefault="005860D5" w:rsidP="00C006A7">
            <w:pPr>
              <w:pStyle w:val="36"/>
              <w:spacing w:line="300" w:lineRule="exact"/>
              <w:ind w:firstLineChars="0" w:firstLine="0"/>
              <w:jc w:val="center"/>
              <w:rPr>
                <w:sz w:val="21"/>
                <w:szCs w:val="21"/>
              </w:rPr>
            </w:pPr>
            <w:r>
              <w:rPr>
                <w:sz w:val="21"/>
                <w:szCs w:val="21"/>
              </w:rPr>
              <w:t>项目类别</w:t>
            </w:r>
          </w:p>
        </w:tc>
        <w:tc>
          <w:tcPr>
            <w:tcW w:w="1934"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采煤及洗选</w:t>
            </w:r>
          </w:p>
        </w:tc>
        <w:tc>
          <w:tcPr>
            <w:tcW w:w="1711" w:type="dxa"/>
            <w:vAlign w:val="center"/>
          </w:tcPr>
          <w:p w:rsidR="00C223F5" w:rsidRDefault="000F32AE" w:rsidP="00C006A7">
            <w:pPr>
              <w:pStyle w:val="36"/>
              <w:spacing w:line="300" w:lineRule="exact"/>
              <w:ind w:firstLineChars="0" w:firstLine="0"/>
              <w:jc w:val="center"/>
              <w:rPr>
                <w:sz w:val="21"/>
                <w:szCs w:val="21"/>
              </w:rPr>
            </w:pPr>
            <w:r>
              <w:rPr>
                <w:sz w:val="21"/>
                <w:szCs w:val="21"/>
              </w:rPr>
              <w:fldChar w:fldCharType="begin"/>
            </w:r>
            <w:r w:rsidR="005860D5">
              <w:rPr>
                <w:rFonts w:hint="eastAsia"/>
                <w:sz w:val="21"/>
                <w:szCs w:val="21"/>
              </w:rPr>
              <w:instrText>= 2 \* ROMAN</w:instrText>
            </w:r>
            <w:r>
              <w:rPr>
                <w:sz w:val="21"/>
                <w:szCs w:val="21"/>
              </w:rPr>
              <w:fldChar w:fldCharType="separate"/>
            </w:r>
            <w:r w:rsidR="005860D5">
              <w:rPr>
                <w:sz w:val="21"/>
                <w:szCs w:val="21"/>
              </w:rPr>
              <w:t>II</w:t>
            </w:r>
            <w:r>
              <w:rPr>
                <w:sz w:val="21"/>
                <w:szCs w:val="21"/>
              </w:rPr>
              <w:fldChar w:fldCharType="end"/>
            </w:r>
            <w:r w:rsidR="005860D5">
              <w:rPr>
                <w:rFonts w:hint="eastAsia"/>
                <w:sz w:val="21"/>
                <w:szCs w:val="21"/>
              </w:rPr>
              <w:t>类</w:t>
            </w:r>
          </w:p>
        </w:tc>
        <w:tc>
          <w:tcPr>
            <w:tcW w:w="545" w:type="dxa"/>
            <w:vMerge/>
            <w:vAlign w:val="center"/>
          </w:tcPr>
          <w:p w:rsidR="00C223F5" w:rsidRDefault="00C223F5" w:rsidP="00C006A7">
            <w:pPr>
              <w:pStyle w:val="36"/>
              <w:spacing w:line="300" w:lineRule="exact"/>
              <w:ind w:firstLineChars="0" w:firstLine="0"/>
              <w:jc w:val="center"/>
              <w:rPr>
                <w:b/>
                <w:sz w:val="21"/>
                <w:szCs w:val="21"/>
              </w:rPr>
            </w:pPr>
          </w:p>
        </w:tc>
        <w:tc>
          <w:tcPr>
            <w:tcW w:w="1985" w:type="dxa"/>
            <w:vMerge/>
            <w:vAlign w:val="center"/>
          </w:tcPr>
          <w:p w:rsidR="00C223F5" w:rsidRDefault="00C223F5" w:rsidP="00C006A7">
            <w:pPr>
              <w:pStyle w:val="36"/>
              <w:spacing w:line="300" w:lineRule="exact"/>
              <w:ind w:firstLineChars="0" w:firstLine="0"/>
              <w:jc w:val="center"/>
              <w:rPr>
                <w:sz w:val="21"/>
                <w:szCs w:val="21"/>
              </w:rPr>
            </w:pPr>
          </w:p>
        </w:tc>
      </w:tr>
      <w:tr w:rsidR="00C223F5">
        <w:trPr>
          <w:cantSplit/>
          <w:trHeight w:val="20"/>
          <w:jc w:val="center"/>
        </w:trPr>
        <w:tc>
          <w:tcPr>
            <w:tcW w:w="737" w:type="dxa"/>
            <w:vMerge/>
            <w:vAlign w:val="center"/>
          </w:tcPr>
          <w:p w:rsidR="00C223F5" w:rsidRDefault="00C223F5" w:rsidP="00C006A7">
            <w:pPr>
              <w:pStyle w:val="hb3"/>
              <w:spacing w:before="0" w:after="0" w:line="300" w:lineRule="exact"/>
              <w:ind w:left="0" w:firstLine="0"/>
              <w:jc w:val="center"/>
              <w:rPr>
                <w:rFonts w:ascii="Times New Roman"/>
                <w:sz w:val="21"/>
                <w:szCs w:val="21"/>
              </w:rPr>
            </w:pPr>
          </w:p>
        </w:tc>
        <w:tc>
          <w:tcPr>
            <w:tcW w:w="1134" w:type="dxa"/>
            <w:vMerge w:val="restart"/>
            <w:vAlign w:val="center"/>
          </w:tcPr>
          <w:p w:rsidR="00C223F5" w:rsidRDefault="005860D5" w:rsidP="00C006A7">
            <w:pPr>
              <w:pStyle w:val="hb3"/>
              <w:spacing w:before="0" w:after="0" w:line="300" w:lineRule="exact"/>
              <w:ind w:left="0" w:firstLine="0"/>
              <w:jc w:val="center"/>
              <w:rPr>
                <w:rFonts w:ascii="Times New Roman"/>
                <w:sz w:val="21"/>
                <w:szCs w:val="21"/>
              </w:rPr>
            </w:pPr>
            <w:bookmarkStart w:id="145" w:name="_Toc15049529"/>
            <w:bookmarkStart w:id="146" w:name="_Toc16785247"/>
            <w:r>
              <w:rPr>
                <w:rFonts w:ascii="Times New Roman" w:hint="eastAsia"/>
                <w:sz w:val="21"/>
                <w:szCs w:val="21"/>
              </w:rPr>
              <w:t>采煤区</w:t>
            </w:r>
            <w:bookmarkEnd w:id="145"/>
            <w:bookmarkEnd w:id="146"/>
          </w:p>
        </w:tc>
        <w:tc>
          <w:tcPr>
            <w:tcW w:w="1315"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敏感程度</w:t>
            </w:r>
          </w:p>
        </w:tc>
        <w:tc>
          <w:tcPr>
            <w:tcW w:w="1934" w:type="dxa"/>
            <w:vAlign w:val="center"/>
          </w:tcPr>
          <w:p w:rsidR="00C223F5" w:rsidRDefault="005860D5" w:rsidP="00C006A7">
            <w:pPr>
              <w:pStyle w:val="36"/>
              <w:spacing w:line="300" w:lineRule="exact"/>
              <w:ind w:firstLineChars="0" w:firstLine="0"/>
              <w:jc w:val="center"/>
              <w:rPr>
                <w:sz w:val="21"/>
                <w:szCs w:val="21"/>
              </w:rPr>
            </w:pPr>
            <w:r>
              <w:rPr>
                <w:rFonts w:hint="eastAsia"/>
                <w:color w:val="000000"/>
                <w:sz w:val="21"/>
                <w:szCs w:val="21"/>
              </w:rPr>
              <w:t>项目区属</w:t>
            </w:r>
            <w:r>
              <w:rPr>
                <w:color w:val="000000"/>
                <w:sz w:val="21"/>
                <w:szCs w:val="21"/>
              </w:rPr>
              <w:t>黄土梁峁</w:t>
            </w:r>
            <w:r>
              <w:rPr>
                <w:rFonts w:hint="eastAsia"/>
                <w:color w:val="000000"/>
                <w:sz w:val="21"/>
                <w:szCs w:val="21"/>
              </w:rPr>
              <w:t>沟壑区，</w:t>
            </w:r>
            <w:r>
              <w:rPr>
                <w:rFonts w:hint="eastAsia"/>
                <w:sz w:val="21"/>
                <w:szCs w:val="21"/>
              </w:rPr>
              <w:t>干燥度</w:t>
            </w:r>
            <w:r>
              <w:rPr>
                <w:rFonts w:hint="eastAsia"/>
                <w:sz w:val="21"/>
                <w:szCs w:val="21"/>
              </w:rPr>
              <w:t>3.94</w:t>
            </w:r>
            <w:r>
              <w:rPr>
                <w:rFonts w:hint="eastAsia"/>
                <w:sz w:val="21"/>
                <w:szCs w:val="21"/>
              </w:rPr>
              <w:t>＞</w:t>
            </w:r>
            <w:r>
              <w:rPr>
                <w:rFonts w:hint="eastAsia"/>
                <w:sz w:val="21"/>
                <w:szCs w:val="21"/>
              </w:rPr>
              <w:t>2.5</w:t>
            </w:r>
            <w:r>
              <w:rPr>
                <w:rFonts w:hint="eastAsia"/>
                <w:sz w:val="21"/>
                <w:szCs w:val="21"/>
              </w:rPr>
              <w:t>，</w:t>
            </w:r>
            <w:r>
              <w:rPr>
                <w:rFonts w:hint="eastAsia"/>
                <w:color w:val="000000"/>
                <w:sz w:val="21"/>
                <w:szCs w:val="21"/>
              </w:rPr>
              <w:t>土壤</w:t>
            </w:r>
            <w:r>
              <w:rPr>
                <w:rFonts w:hint="eastAsia"/>
                <w:color w:val="000000"/>
                <w:sz w:val="21"/>
                <w:szCs w:val="21"/>
              </w:rPr>
              <w:t>pH</w:t>
            </w:r>
            <w:r>
              <w:rPr>
                <w:rFonts w:hint="eastAsia"/>
                <w:color w:val="000000"/>
                <w:sz w:val="21"/>
                <w:szCs w:val="21"/>
              </w:rPr>
              <w:t>值为</w:t>
            </w:r>
            <w:r w:rsidR="00FC4DFB" w:rsidRPr="00FC4DFB">
              <w:rPr>
                <w:rFonts w:hint="eastAsia"/>
                <w:color w:val="000000"/>
                <w:sz w:val="21"/>
                <w:szCs w:val="21"/>
              </w:rPr>
              <w:t>7.8-8.</w:t>
            </w:r>
            <w:r w:rsidR="006845E8">
              <w:rPr>
                <w:rFonts w:hint="eastAsia"/>
                <w:color w:val="000000"/>
                <w:sz w:val="21"/>
                <w:szCs w:val="21"/>
              </w:rPr>
              <w:t>4</w:t>
            </w:r>
            <w:r w:rsidR="00DF7CF7" w:rsidRPr="00FC4DFB">
              <w:rPr>
                <w:rFonts w:hint="eastAsia"/>
                <w:color w:val="000000"/>
                <w:sz w:val="21"/>
                <w:szCs w:val="21"/>
              </w:rPr>
              <w:t>，含盐量</w:t>
            </w:r>
            <w:r w:rsidR="00FC4DFB">
              <w:rPr>
                <w:rFonts w:hint="eastAsia"/>
                <w:color w:val="000000"/>
                <w:sz w:val="21"/>
                <w:szCs w:val="21"/>
              </w:rPr>
              <w:t>0.1-0.3</w:t>
            </w:r>
          </w:p>
        </w:tc>
        <w:tc>
          <w:tcPr>
            <w:tcW w:w="1711"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不敏感</w:t>
            </w:r>
          </w:p>
        </w:tc>
        <w:tc>
          <w:tcPr>
            <w:tcW w:w="545" w:type="dxa"/>
            <w:vMerge w:val="restart"/>
            <w:vAlign w:val="center"/>
          </w:tcPr>
          <w:p w:rsidR="00C223F5" w:rsidRDefault="005860D5" w:rsidP="00C006A7">
            <w:pPr>
              <w:pStyle w:val="36"/>
              <w:spacing w:line="300" w:lineRule="exact"/>
              <w:ind w:firstLineChars="0" w:firstLine="0"/>
              <w:jc w:val="center"/>
              <w:rPr>
                <w:b/>
                <w:sz w:val="21"/>
                <w:szCs w:val="21"/>
              </w:rPr>
            </w:pPr>
            <w:r>
              <w:rPr>
                <w:rFonts w:hint="eastAsia"/>
                <w:sz w:val="21"/>
                <w:szCs w:val="21"/>
              </w:rPr>
              <w:t>三级</w:t>
            </w:r>
          </w:p>
        </w:tc>
        <w:tc>
          <w:tcPr>
            <w:tcW w:w="1985" w:type="dxa"/>
            <w:vMerge w:val="restart"/>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生态影响型：评价</w:t>
            </w:r>
            <w:r>
              <w:rPr>
                <w:sz w:val="21"/>
                <w:szCs w:val="21"/>
              </w:rPr>
              <w:t>井田及周边外延</w:t>
            </w:r>
            <w:r>
              <w:rPr>
                <w:rFonts w:hint="eastAsia"/>
                <w:sz w:val="21"/>
                <w:szCs w:val="21"/>
              </w:rPr>
              <w:t>1k</w:t>
            </w:r>
            <w:r>
              <w:rPr>
                <w:sz w:val="21"/>
                <w:szCs w:val="21"/>
              </w:rPr>
              <w:t>m</w:t>
            </w:r>
            <w:r>
              <w:rPr>
                <w:rFonts w:hint="eastAsia"/>
                <w:sz w:val="21"/>
                <w:szCs w:val="21"/>
              </w:rPr>
              <w:t>的范围</w:t>
            </w:r>
            <w:r>
              <w:rPr>
                <w:sz w:val="21"/>
                <w:szCs w:val="21"/>
              </w:rPr>
              <w:t>，面积</w:t>
            </w:r>
            <w:r>
              <w:rPr>
                <w:sz w:val="21"/>
                <w:szCs w:val="21"/>
              </w:rPr>
              <w:t>110</w:t>
            </w:r>
            <w:r>
              <w:rPr>
                <w:rFonts w:hint="eastAsia"/>
                <w:sz w:val="21"/>
                <w:szCs w:val="21"/>
              </w:rPr>
              <w:t>.</w:t>
            </w:r>
            <w:r>
              <w:rPr>
                <w:sz w:val="21"/>
                <w:szCs w:val="21"/>
              </w:rPr>
              <w:t>3 km</w:t>
            </w:r>
            <w:r>
              <w:rPr>
                <w:sz w:val="21"/>
                <w:szCs w:val="21"/>
                <w:vertAlign w:val="superscript"/>
              </w:rPr>
              <w:t>2</w:t>
            </w:r>
          </w:p>
        </w:tc>
      </w:tr>
      <w:tr w:rsidR="00C223F5">
        <w:trPr>
          <w:cantSplit/>
          <w:trHeight w:val="20"/>
          <w:jc w:val="center"/>
        </w:trPr>
        <w:tc>
          <w:tcPr>
            <w:tcW w:w="737" w:type="dxa"/>
            <w:vMerge/>
            <w:vAlign w:val="center"/>
          </w:tcPr>
          <w:p w:rsidR="00C223F5" w:rsidRDefault="00C223F5" w:rsidP="00C006A7">
            <w:pPr>
              <w:pStyle w:val="hb3"/>
              <w:spacing w:before="0" w:after="0" w:line="300" w:lineRule="exact"/>
              <w:ind w:left="0" w:firstLine="0"/>
              <w:jc w:val="center"/>
              <w:rPr>
                <w:rFonts w:ascii="Times New Roman"/>
                <w:sz w:val="21"/>
                <w:szCs w:val="21"/>
              </w:rPr>
            </w:pPr>
          </w:p>
        </w:tc>
        <w:tc>
          <w:tcPr>
            <w:tcW w:w="1134" w:type="dxa"/>
            <w:vMerge/>
            <w:vAlign w:val="center"/>
          </w:tcPr>
          <w:p w:rsidR="00C223F5" w:rsidRDefault="00C223F5" w:rsidP="00C006A7">
            <w:pPr>
              <w:pStyle w:val="hb3"/>
              <w:spacing w:before="0" w:after="0" w:line="300" w:lineRule="exact"/>
              <w:ind w:left="0" w:firstLine="0"/>
              <w:jc w:val="center"/>
              <w:rPr>
                <w:rFonts w:ascii="Times New Roman"/>
                <w:sz w:val="21"/>
                <w:szCs w:val="21"/>
              </w:rPr>
            </w:pPr>
          </w:p>
        </w:tc>
        <w:tc>
          <w:tcPr>
            <w:tcW w:w="1315" w:type="dxa"/>
            <w:vAlign w:val="center"/>
          </w:tcPr>
          <w:p w:rsidR="00C223F5" w:rsidRDefault="005860D5" w:rsidP="00C006A7">
            <w:pPr>
              <w:pStyle w:val="36"/>
              <w:spacing w:line="300" w:lineRule="exact"/>
              <w:ind w:firstLineChars="0" w:firstLine="0"/>
              <w:jc w:val="center"/>
              <w:rPr>
                <w:sz w:val="21"/>
                <w:szCs w:val="21"/>
              </w:rPr>
            </w:pPr>
            <w:r>
              <w:rPr>
                <w:sz w:val="21"/>
                <w:szCs w:val="21"/>
              </w:rPr>
              <w:t>项目类别</w:t>
            </w:r>
          </w:p>
        </w:tc>
        <w:tc>
          <w:tcPr>
            <w:tcW w:w="1934" w:type="dxa"/>
            <w:vAlign w:val="center"/>
          </w:tcPr>
          <w:p w:rsidR="00C223F5" w:rsidRDefault="005860D5" w:rsidP="00C006A7">
            <w:pPr>
              <w:pStyle w:val="36"/>
              <w:spacing w:line="300" w:lineRule="exact"/>
              <w:ind w:firstLineChars="0" w:firstLine="0"/>
              <w:jc w:val="center"/>
              <w:rPr>
                <w:sz w:val="21"/>
                <w:szCs w:val="21"/>
              </w:rPr>
            </w:pPr>
            <w:r>
              <w:rPr>
                <w:rFonts w:hint="eastAsia"/>
                <w:sz w:val="21"/>
                <w:szCs w:val="21"/>
              </w:rPr>
              <w:t>采煤及洗选</w:t>
            </w:r>
          </w:p>
        </w:tc>
        <w:tc>
          <w:tcPr>
            <w:tcW w:w="1711" w:type="dxa"/>
            <w:vAlign w:val="center"/>
          </w:tcPr>
          <w:p w:rsidR="00C223F5" w:rsidRDefault="000F32AE" w:rsidP="00C006A7">
            <w:pPr>
              <w:pStyle w:val="36"/>
              <w:spacing w:line="300" w:lineRule="exact"/>
              <w:ind w:firstLineChars="0" w:firstLine="0"/>
              <w:jc w:val="center"/>
              <w:rPr>
                <w:sz w:val="21"/>
                <w:szCs w:val="21"/>
              </w:rPr>
            </w:pPr>
            <w:r>
              <w:rPr>
                <w:sz w:val="21"/>
                <w:szCs w:val="21"/>
              </w:rPr>
              <w:fldChar w:fldCharType="begin"/>
            </w:r>
            <w:r w:rsidR="005860D5">
              <w:rPr>
                <w:rFonts w:hint="eastAsia"/>
                <w:sz w:val="21"/>
                <w:szCs w:val="21"/>
              </w:rPr>
              <w:instrText>= 2 \* ROMAN</w:instrText>
            </w:r>
            <w:r>
              <w:rPr>
                <w:sz w:val="21"/>
                <w:szCs w:val="21"/>
              </w:rPr>
              <w:fldChar w:fldCharType="separate"/>
            </w:r>
            <w:r w:rsidR="005860D5">
              <w:rPr>
                <w:sz w:val="21"/>
                <w:szCs w:val="21"/>
              </w:rPr>
              <w:t>II</w:t>
            </w:r>
            <w:r>
              <w:rPr>
                <w:sz w:val="21"/>
                <w:szCs w:val="21"/>
              </w:rPr>
              <w:fldChar w:fldCharType="end"/>
            </w:r>
            <w:r w:rsidR="005860D5">
              <w:rPr>
                <w:rFonts w:hint="eastAsia"/>
                <w:sz w:val="21"/>
                <w:szCs w:val="21"/>
              </w:rPr>
              <w:t>类</w:t>
            </w:r>
          </w:p>
        </w:tc>
        <w:tc>
          <w:tcPr>
            <w:tcW w:w="545" w:type="dxa"/>
            <w:vMerge/>
            <w:vAlign w:val="center"/>
          </w:tcPr>
          <w:p w:rsidR="00C223F5" w:rsidRDefault="00C223F5" w:rsidP="00C006A7">
            <w:pPr>
              <w:pStyle w:val="36"/>
              <w:spacing w:line="300" w:lineRule="exact"/>
              <w:ind w:firstLineChars="0" w:firstLine="0"/>
              <w:jc w:val="center"/>
              <w:rPr>
                <w:b/>
                <w:sz w:val="21"/>
                <w:szCs w:val="21"/>
              </w:rPr>
            </w:pPr>
          </w:p>
        </w:tc>
        <w:tc>
          <w:tcPr>
            <w:tcW w:w="1985" w:type="dxa"/>
            <w:vMerge/>
            <w:vAlign w:val="center"/>
          </w:tcPr>
          <w:p w:rsidR="00C223F5" w:rsidRDefault="00C223F5" w:rsidP="00C006A7">
            <w:pPr>
              <w:pStyle w:val="36"/>
              <w:spacing w:line="300" w:lineRule="exact"/>
              <w:ind w:firstLineChars="0" w:firstLine="0"/>
              <w:jc w:val="center"/>
              <w:rPr>
                <w:sz w:val="21"/>
                <w:szCs w:val="21"/>
              </w:rPr>
            </w:pPr>
          </w:p>
        </w:tc>
      </w:tr>
      <w:tr w:rsidR="00C223F5">
        <w:trPr>
          <w:cantSplit/>
          <w:trHeight w:val="20"/>
          <w:jc w:val="center"/>
        </w:trPr>
        <w:tc>
          <w:tcPr>
            <w:tcW w:w="737" w:type="dxa"/>
            <w:vAlign w:val="center"/>
          </w:tcPr>
          <w:p w:rsidR="00C223F5" w:rsidRDefault="005860D5" w:rsidP="00C006A7">
            <w:pPr>
              <w:pStyle w:val="affff1"/>
              <w:jc w:val="center"/>
            </w:pPr>
            <w:r>
              <w:t>环境</w:t>
            </w:r>
          </w:p>
          <w:p w:rsidR="00C223F5" w:rsidRDefault="005860D5" w:rsidP="00C006A7">
            <w:pPr>
              <w:pStyle w:val="affff1"/>
              <w:jc w:val="center"/>
            </w:pPr>
            <w:r>
              <w:t>风险</w:t>
            </w:r>
          </w:p>
        </w:tc>
        <w:tc>
          <w:tcPr>
            <w:tcW w:w="6094" w:type="dxa"/>
            <w:gridSpan w:val="4"/>
            <w:vAlign w:val="center"/>
          </w:tcPr>
          <w:p w:rsidR="00C223F5" w:rsidRDefault="005860D5" w:rsidP="00C006A7">
            <w:pPr>
              <w:pStyle w:val="ParaCharCharCharChar"/>
              <w:spacing w:line="300" w:lineRule="exact"/>
              <w:jc w:val="center"/>
              <w:rPr>
                <w:szCs w:val="21"/>
              </w:rPr>
            </w:pPr>
            <w:r>
              <w:rPr>
                <w:szCs w:val="21"/>
              </w:rPr>
              <w:t>本项目无重大危险源、不在环境敏感地区</w:t>
            </w:r>
            <w:r>
              <w:rPr>
                <w:szCs w:val="21"/>
              </w:rPr>
              <w:t xml:space="preserve">  HJ/T169</w:t>
            </w:r>
            <w:r>
              <w:rPr>
                <w:szCs w:val="21"/>
              </w:rPr>
              <w:t>－</w:t>
            </w:r>
            <w:r>
              <w:rPr>
                <w:szCs w:val="21"/>
              </w:rPr>
              <w:t>20</w:t>
            </w:r>
            <w:r>
              <w:rPr>
                <w:rFonts w:hint="eastAsia"/>
                <w:szCs w:val="21"/>
              </w:rPr>
              <w:t>18</w:t>
            </w:r>
            <w:r>
              <w:rPr>
                <w:szCs w:val="21"/>
              </w:rPr>
              <w:t>中表</w:t>
            </w:r>
            <w:r>
              <w:rPr>
                <w:szCs w:val="21"/>
              </w:rPr>
              <w:t>1</w:t>
            </w:r>
          </w:p>
        </w:tc>
        <w:tc>
          <w:tcPr>
            <w:tcW w:w="545" w:type="dxa"/>
            <w:vAlign w:val="center"/>
          </w:tcPr>
          <w:p w:rsidR="00C223F5" w:rsidRDefault="000F32AE" w:rsidP="00C006A7">
            <w:pPr>
              <w:pStyle w:val="ParaCharCharCharChar"/>
              <w:spacing w:line="300" w:lineRule="exact"/>
              <w:jc w:val="center"/>
              <w:rPr>
                <w:szCs w:val="21"/>
              </w:rPr>
            </w:pPr>
            <w:r>
              <w:rPr>
                <w:szCs w:val="21"/>
              </w:rPr>
              <w:fldChar w:fldCharType="begin"/>
            </w:r>
            <w:r w:rsidR="005860D5">
              <w:rPr>
                <w:rFonts w:hint="eastAsia"/>
                <w:szCs w:val="21"/>
              </w:rPr>
              <w:instrText>= 1 \* ROMAN</w:instrText>
            </w:r>
            <w:r>
              <w:rPr>
                <w:szCs w:val="21"/>
              </w:rPr>
              <w:fldChar w:fldCharType="separate"/>
            </w:r>
            <w:r w:rsidR="005860D5">
              <w:rPr>
                <w:szCs w:val="21"/>
              </w:rPr>
              <w:t>I</w:t>
            </w:r>
            <w:r>
              <w:rPr>
                <w:szCs w:val="21"/>
              </w:rPr>
              <w:fldChar w:fldCharType="end"/>
            </w:r>
            <w:r w:rsidR="005860D5">
              <w:rPr>
                <w:rFonts w:hint="eastAsia"/>
                <w:szCs w:val="21"/>
              </w:rPr>
              <w:t>类</w:t>
            </w:r>
          </w:p>
        </w:tc>
        <w:tc>
          <w:tcPr>
            <w:tcW w:w="1985" w:type="dxa"/>
            <w:vAlign w:val="center"/>
          </w:tcPr>
          <w:p w:rsidR="00C223F5" w:rsidRDefault="005860D5" w:rsidP="00C006A7">
            <w:pPr>
              <w:pStyle w:val="ParaCharCharCharChar"/>
              <w:spacing w:line="300" w:lineRule="exact"/>
              <w:jc w:val="center"/>
              <w:rPr>
                <w:szCs w:val="21"/>
              </w:rPr>
            </w:pPr>
            <w:r>
              <w:rPr>
                <w:rFonts w:hint="eastAsia"/>
                <w:szCs w:val="21"/>
              </w:rPr>
              <w:t>/</w:t>
            </w:r>
          </w:p>
        </w:tc>
      </w:tr>
    </w:tbl>
    <w:p w:rsidR="00C223F5" w:rsidRDefault="00C223F5">
      <w:pPr>
        <w:spacing w:line="360" w:lineRule="auto"/>
        <w:ind w:firstLineChars="200" w:firstLine="480"/>
        <w:rPr>
          <w:sz w:val="24"/>
        </w:rPr>
      </w:pPr>
    </w:p>
    <w:p w:rsidR="00C223F5" w:rsidRDefault="00C223F5">
      <w:pPr>
        <w:spacing w:line="360" w:lineRule="auto"/>
        <w:ind w:firstLineChars="200" w:firstLine="480"/>
        <w:rPr>
          <w:sz w:val="24"/>
        </w:rPr>
      </w:pPr>
    </w:p>
    <w:p w:rsidR="00C223F5" w:rsidRDefault="00C223F5">
      <w:pPr>
        <w:spacing w:line="360" w:lineRule="auto"/>
        <w:ind w:firstLineChars="200" w:firstLine="480"/>
        <w:rPr>
          <w:sz w:val="24"/>
        </w:rPr>
      </w:pPr>
    </w:p>
    <w:p w:rsidR="00C223F5" w:rsidRDefault="00C223F5">
      <w:pPr>
        <w:spacing w:line="360" w:lineRule="auto"/>
        <w:ind w:firstLineChars="200" w:firstLine="480"/>
        <w:rPr>
          <w:sz w:val="24"/>
        </w:rPr>
      </w:pPr>
    </w:p>
    <w:p w:rsidR="00C223F5" w:rsidRDefault="00C223F5">
      <w:pPr>
        <w:spacing w:line="360" w:lineRule="auto"/>
        <w:ind w:firstLineChars="200" w:firstLine="480"/>
        <w:rPr>
          <w:sz w:val="24"/>
        </w:rPr>
      </w:pPr>
    </w:p>
    <w:p w:rsidR="00C223F5" w:rsidRDefault="00C223F5">
      <w:pPr>
        <w:spacing w:line="360" w:lineRule="auto"/>
        <w:ind w:firstLineChars="200" w:firstLine="480"/>
        <w:rPr>
          <w:sz w:val="24"/>
        </w:rPr>
      </w:pPr>
    </w:p>
    <w:p w:rsidR="00C223F5" w:rsidRDefault="00C223F5">
      <w:pPr>
        <w:spacing w:line="360" w:lineRule="auto"/>
        <w:ind w:firstLineChars="200" w:firstLine="480"/>
        <w:rPr>
          <w:sz w:val="24"/>
        </w:rPr>
      </w:pPr>
    </w:p>
    <w:p w:rsidR="00C223F5" w:rsidRDefault="005860D5">
      <w:pPr>
        <w:adjustRightInd w:val="0"/>
        <w:jc w:val="center"/>
      </w:pPr>
      <w:r>
        <w:rPr>
          <w:b/>
          <w:sz w:val="24"/>
        </w:rPr>
        <w:lastRenderedPageBreak/>
        <w:t>表</w:t>
      </w:r>
      <w:r>
        <w:rPr>
          <w:rFonts w:hint="eastAsia"/>
          <w:b/>
          <w:sz w:val="24"/>
        </w:rPr>
        <w:t xml:space="preserve">1.6-1   </w:t>
      </w:r>
      <w:r>
        <w:rPr>
          <w:b/>
          <w:sz w:val="24"/>
        </w:rPr>
        <w:t>主要环境保护目标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7"/>
        <w:gridCol w:w="430"/>
        <w:gridCol w:w="343"/>
        <w:gridCol w:w="748"/>
        <w:gridCol w:w="750"/>
        <w:gridCol w:w="1748"/>
        <w:gridCol w:w="1617"/>
        <w:gridCol w:w="1492"/>
        <w:gridCol w:w="2258"/>
      </w:tblGrid>
      <w:tr w:rsidR="00C223F5">
        <w:trPr>
          <w:cantSplit/>
          <w:trHeight w:val="139"/>
          <w:jc w:val="center"/>
        </w:trPr>
        <w:tc>
          <w:tcPr>
            <w:tcW w:w="537" w:type="dxa"/>
            <w:vAlign w:val="center"/>
          </w:tcPr>
          <w:p w:rsidR="00C223F5" w:rsidRDefault="005860D5" w:rsidP="00F30F03">
            <w:pPr>
              <w:pStyle w:val="affffff7"/>
              <w:spacing w:line="300" w:lineRule="exact"/>
              <w:rPr>
                <w:sz w:val="18"/>
                <w:szCs w:val="18"/>
              </w:rPr>
            </w:pPr>
            <w:r>
              <w:rPr>
                <w:sz w:val="18"/>
                <w:szCs w:val="18"/>
              </w:rPr>
              <w:t>影响</w:t>
            </w:r>
          </w:p>
          <w:p w:rsidR="00C223F5" w:rsidRDefault="005860D5" w:rsidP="00F30F03">
            <w:pPr>
              <w:pStyle w:val="affffff7"/>
              <w:spacing w:line="300" w:lineRule="exact"/>
              <w:rPr>
                <w:sz w:val="18"/>
                <w:szCs w:val="18"/>
              </w:rPr>
            </w:pPr>
            <w:r>
              <w:rPr>
                <w:sz w:val="18"/>
                <w:szCs w:val="18"/>
              </w:rPr>
              <w:t>区域</w:t>
            </w:r>
          </w:p>
        </w:tc>
        <w:tc>
          <w:tcPr>
            <w:tcW w:w="430"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环境</w:t>
            </w:r>
          </w:p>
          <w:p w:rsidR="00C223F5" w:rsidRDefault="005860D5" w:rsidP="00F30F03">
            <w:pPr>
              <w:pStyle w:val="affffff7"/>
              <w:spacing w:line="300" w:lineRule="exact"/>
              <w:rPr>
                <w:sz w:val="18"/>
                <w:szCs w:val="18"/>
              </w:rPr>
            </w:pPr>
            <w:r>
              <w:rPr>
                <w:sz w:val="18"/>
                <w:szCs w:val="18"/>
              </w:rPr>
              <w:t>要素</w:t>
            </w:r>
          </w:p>
        </w:tc>
        <w:tc>
          <w:tcPr>
            <w:tcW w:w="1841" w:type="dxa"/>
            <w:gridSpan w:val="3"/>
            <w:tcMar>
              <w:left w:w="6" w:type="dxa"/>
              <w:right w:w="6" w:type="dxa"/>
            </w:tcMar>
            <w:vAlign w:val="center"/>
          </w:tcPr>
          <w:p w:rsidR="00C223F5" w:rsidRDefault="005860D5" w:rsidP="00F30F03">
            <w:pPr>
              <w:pStyle w:val="affffff7"/>
              <w:spacing w:line="300" w:lineRule="exact"/>
              <w:rPr>
                <w:sz w:val="18"/>
                <w:szCs w:val="18"/>
              </w:rPr>
            </w:pPr>
            <w:r>
              <w:rPr>
                <w:sz w:val="18"/>
                <w:szCs w:val="18"/>
              </w:rPr>
              <w:t>保护对象</w:t>
            </w:r>
          </w:p>
        </w:tc>
        <w:tc>
          <w:tcPr>
            <w:tcW w:w="3365" w:type="dxa"/>
            <w:gridSpan w:val="2"/>
            <w:tcMar>
              <w:left w:w="6" w:type="dxa"/>
              <w:right w:w="6" w:type="dxa"/>
            </w:tcMar>
            <w:vAlign w:val="center"/>
          </w:tcPr>
          <w:p w:rsidR="00C223F5" w:rsidRDefault="005860D5" w:rsidP="00F30F03">
            <w:pPr>
              <w:pStyle w:val="affffff7"/>
              <w:spacing w:line="300" w:lineRule="exact"/>
              <w:rPr>
                <w:sz w:val="18"/>
                <w:szCs w:val="18"/>
              </w:rPr>
            </w:pPr>
            <w:r>
              <w:rPr>
                <w:sz w:val="18"/>
                <w:szCs w:val="18"/>
              </w:rPr>
              <w:t>在评价区的位置</w:t>
            </w:r>
          </w:p>
        </w:tc>
        <w:tc>
          <w:tcPr>
            <w:tcW w:w="1492"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原因</w:t>
            </w:r>
          </w:p>
        </w:tc>
        <w:tc>
          <w:tcPr>
            <w:tcW w:w="2258"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达到的标准或要求</w:t>
            </w:r>
          </w:p>
        </w:tc>
      </w:tr>
      <w:tr w:rsidR="00C223F5">
        <w:trPr>
          <w:cantSplit/>
          <w:trHeight w:val="139"/>
          <w:jc w:val="center"/>
        </w:trPr>
        <w:tc>
          <w:tcPr>
            <w:tcW w:w="537" w:type="dxa"/>
            <w:vMerge w:val="restart"/>
            <w:vAlign w:val="center"/>
          </w:tcPr>
          <w:p w:rsidR="00C223F5" w:rsidRDefault="005860D5" w:rsidP="00F30F03">
            <w:pPr>
              <w:pStyle w:val="affffff7"/>
              <w:spacing w:line="300" w:lineRule="exact"/>
              <w:rPr>
                <w:sz w:val="18"/>
                <w:szCs w:val="18"/>
              </w:rPr>
            </w:pPr>
            <w:r>
              <w:rPr>
                <w:sz w:val="18"/>
                <w:szCs w:val="18"/>
              </w:rPr>
              <w:t>井田及</w:t>
            </w:r>
          </w:p>
          <w:p w:rsidR="00C223F5" w:rsidRDefault="005860D5" w:rsidP="00F30F03">
            <w:pPr>
              <w:pStyle w:val="affffff7"/>
              <w:spacing w:line="300" w:lineRule="exact"/>
              <w:rPr>
                <w:sz w:val="18"/>
                <w:szCs w:val="18"/>
              </w:rPr>
            </w:pPr>
            <w:r>
              <w:rPr>
                <w:sz w:val="18"/>
                <w:szCs w:val="18"/>
              </w:rPr>
              <w:t>周围</w:t>
            </w:r>
            <w:r>
              <w:rPr>
                <w:sz w:val="18"/>
                <w:szCs w:val="18"/>
              </w:rPr>
              <w:t>500m</w:t>
            </w:r>
          </w:p>
          <w:p w:rsidR="00C223F5" w:rsidRDefault="005860D5" w:rsidP="00F30F03">
            <w:pPr>
              <w:pStyle w:val="affffff7"/>
              <w:spacing w:line="300" w:lineRule="exact"/>
              <w:rPr>
                <w:sz w:val="18"/>
                <w:szCs w:val="18"/>
              </w:rPr>
            </w:pPr>
            <w:r>
              <w:rPr>
                <w:sz w:val="18"/>
                <w:szCs w:val="18"/>
              </w:rPr>
              <w:t>区域</w:t>
            </w:r>
          </w:p>
        </w:tc>
        <w:tc>
          <w:tcPr>
            <w:tcW w:w="430" w:type="dxa"/>
            <w:vMerge w:val="restart"/>
            <w:tcMar>
              <w:left w:w="6" w:type="dxa"/>
              <w:right w:w="6" w:type="dxa"/>
            </w:tcMar>
            <w:vAlign w:val="center"/>
          </w:tcPr>
          <w:p w:rsidR="00C223F5" w:rsidRDefault="005860D5" w:rsidP="00F30F03">
            <w:pPr>
              <w:pStyle w:val="affffff7"/>
              <w:spacing w:line="300" w:lineRule="exact"/>
              <w:rPr>
                <w:sz w:val="18"/>
                <w:szCs w:val="18"/>
              </w:rPr>
            </w:pPr>
            <w:r>
              <w:rPr>
                <w:sz w:val="18"/>
                <w:szCs w:val="18"/>
              </w:rPr>
              <w:t>生态及地表沉陷</w:t>
            </w:r>
          </w:p>
        </w:tc>
        <w:tc>
          <w:tcPr>
            <w:tcW w:w="343" w:type="dxa"/>
            <w:vMerge w:val="restart"/>
            <w:tcMar>
              <w:left w:w="6" w:type="dxa"/>
              <w:right w:w="6" w:type="dxa"/>
            </w:tcMar>
            <w:vAlign w:val="center"/>
          </w:tcPr>
          <w:p w:rsidR="00C223F5" w:rsidRDefault="005860D5" w:rsidP="00F30F03">
            <w:pPr>
              <w:spacing w:line="300" w:lineRule="exact"/>
              <w:jc w:val="center"/>
              <w:rPr>
                <w:rFonts w:hAnsi="宋体"/>
                <w:sz w:val="18"/>
                <w:szCs w:val="18"/>
              </w:rPr>
            </w:pPr>
            <w:r>
              <w:rPr>
                <w:rFonts w:hAnsi="宋体"/>
                <w:sz w:val="18"/>
                <w:szCs w:val="18"/>
              </w:rPr>
              <w:t>村庄</w:t>
            </w:r>
          </w:p>
        </w:tc>
        <w:tc>
          <w:tcPr>
            <w:tcW w:w="748" w:type="dxa"/>
            <w:tcMar>
              <w:left w:w="6" w:type="dxa"/>
              <w:right w:w="6" w:type="dxa"/>
            </w:tcMar>
            <w:vAlign w:val="center"/>
          </w:tcPr>
          <w:p w:rsidR="00C223F5" w:rsidRDefault="005860D5" w:rsidP="00F30F03">
            <w:pPr>
              <w:pStyle w:val="affffff7"/>
              <w:spacing w:line="300" w:lineRule="exact"/>
              <w:rPr>
                <w:sz w:val="18"/>
                <w:szCs w:val="18"/>
                <w:highlight w:val="yellow"/>
              </w:rPr>
            </w:pPr>
            <w:r>
              <w:rPr>
                <w:color w:val="auto"/>
                <w:kern w:val="2"/>
                <w:sz w:val="18"/>
                <w:szCs w:val="18"/>
              </w:rPr>
              <w:t>王家</w:t>
            </w:r>
            <w:r>
              <w:rPr>
                <w:sz w:val="18"/>
                <w:szCs w:val="18"/>
              </w:rPr>
              <w:t>峁</w:t>
            </w:r>
            <w:r>
              <w:rPr>
                <w:rFonts w:hint="eastAsia"/>
                <w:sz w:val="18"/>
                <w:szCs w:val="18"/>
              </w:rPr>
              <w:t>村</w:t>
            </w: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int="eastAsia"/>
                <w:sz w:val="18"/>
                <w:szCs w:val="18"/>
              </w:rPr>
              <w:t>黄嵩峁组</w:t>
            </w:r>
          </w:p>
        </w:tc>
        <w:tc>
          <w:tcPr>
            <w:tcW w:w="1748" w:type="dxa"/>
            <w:tcMar>
              <w:left w:w="6" w:type="dxa"/>
              <w:right w:w="6" w:type="dxa"/>
            </w:tcMar>
            <w:vAlign w:val="center"/>
          </w:tcPr>
          <w:p w:rsidR="00C223F5" w:rsidRDefault="005860D5" w:rsidP="00F30F03">
            <w:pPr>
              <w:spacing w:line="300" w:lineRule="exact"/>
              <w:jc w:val="center"/>
              <w:rPr>
                <w:sz w:val="18"/>
                <w:szCs w:val="18"/>
              </w:rPr>
            </w:pPr>
            <w:r>
              <w:rPr>
                <w:rFonts w:hint="eastAsia"/>
                <w:sz w:val="18"/>
                <w:szCs w:val="18"/>
              </w:rPr>
              <w:t>一盘区内</w:t>
            </w: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16</w:t>
            </w:r>
            <w:r>
              <w:rPr>
                <w:rFonts w:hint="eastAsia"/>
                <w:sz w:val="18"/>
                <w:szCs w:val="18"/>
              </w:rPr>
              <w:t>户</w:t>
            </w:r>
            <w:r>
              <w:rPr>
                <w:rFonts w:hint="eastAsia"/>
                <w:sz w:val="18"/>
                <w:szCs w:val="18"/>
              </w:rPr>
              <w:t>52</w:t>
            </w:r>
            <w:r>
              <w:rPr>
                <w:rFonts w:hint="eastAsia"/>
                <w:sz w:val="18"/>
                <w:szCs w:val="18"/>
              </w:rPr>
              <w:t>人</w:t>
            </w:r>
          </w:p>
        </w:tc>
        <w:tc>
          <w:tcPr>
            <w:tcW w:w="1492"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地表沉陷影响</w:t>
            </w:r>
          </w:p>
        </w:tc>
        <w:tc>
          <w:tcPr>
            <w:tcW w:w="2258" w:type="dxa"/>
            <w:vMerge w:val="restart"/>
            <w:tcMar>
              <w:left w:w="6" w:type="dxa"/>
              <w:right w:w="6" w:type="dxa"/>
            </w:tcMar>
            <w:vAlign w:val="center"/>
          </w:tcPr>
          <w:p w:rsidR="00C223F5" w:rsidRDefault="005860D5" w:rsidP="00F30F03">
            <w:pPr>
              <w:pStyle w:val="affffff7"/>
              <w:spacing w:line="300" w:lineRule="exact"/>
              <w:rPr>
                <w:sz w:val="18"/>
                <w:szCs w:val="18"/>
              </w:rPr>
            </w:pPr>
            <w:r>
              <w:rPr>
                <w:sz w:val="18"/>
                <w:szCs w:val="18"/>
              </w:rPr>
              <w:t>留设保护煤柱，不受</w:t>
            </w:r>
          </w:p>
          <w:p w:rsidR="00C223F5" w:rsidRDefault="005860D5" w:rsidP="00F30F03">
            <w:pPr>
              <w:pStyle w:val="affffff7"/>
              <w:spacing w:line="300" w:lineRule="exact"/>
              <w:rPr>
                <w:sz w:val="18"/>
                <w:szCs w:val="18"/>
              </w:rPr>
            </w:pPr>
            <w:r>
              <w:rPr>
                <w:sz w:val="18"/>
                <w:szCs w:val="18"/>
              </w:rPr>
              <w:t>采煤沉陷影响</w:t>
            </w:r>
          </w:p>
        </w:tc>
      </w:tr>
      <w:tr w:rsidR="00C223F5">
        <w:trPr>
          <w:cantSplit/>
          <w:trHeight w:val="150"/>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48" w:type="dxa"/>
            <w:vMerge w:val="restart"/>
            <w:tcMar>
              <w:left w:w="6" w:type="dxa"/>
              <w:right w:w="6" w:type="dxa"/>
            </w:tcMar>
            <w:vAlign w:val="center"/>
          </w:tcPr>
          <w:p w:rsidR="00C223F5" w:rsidRDefault="005860D5" w:rsidP="00F30F03">
            <w:pPr>
              <w:autoSpaceDE w:val="0"/>
              <w:autoSpaceDN w:val="0"/>
              <w:adjustRightInd w:val="0"/>
              <w:spacing w:line="300" w:lineRule="exact"/>
              <w:jc w:val="center"/>
              <w:rPr>
                <w:sz w:val="18"/>
                <w:szCs w:val="18"/>
              </w:rPr>
            </w:pPr>
            <w:r>
              <w:rPr>
                <w:rFonts w:hAnsi="宋体"/>
                <w:sz w:val="18"/>
                <w:szCs w:val="18"/>
              </w:rPr>
              <w:t>麻地沟</w:t>
            </w:r>
            <w:r>
              <w:rPr>
                <w:rFonts w:hAnsi="宋体" w:hint="eastAsia"/>
                <w:sz w:val="18"/>
                <w:szCs w:val="18"/>
              </w:rPr>
              <w:t>村</w:t>
            </w: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hint="eastAsia"/>
                <w:sz w:val="18"/>
                <w:szCs w:val="18"/>
              </w:rPr>
              <w:t>前</w:t>
            </w:r>
            <w:r>
              <w:rPr>
                <w:rFonts w:hAnsi="宋体"/>
                <w:sz w:val="18"/>
                <w:szCs w:val="18"/>
              </w:rPr>
              <w:t>麻地沟</w:t>
            </w:r>
          </w:p>
        </w:tc>
        <w:tc>
          <w:tcPr>
            <w:tcW w:w="1748" w:type="dxa"/>
            <w:vMerge w:val="restart"/>
            <w:tcMar>
              <w:left w:w="6" w:type="dxa"/>
              <w:right w:w="6" w:type="dxa"/>
            </w:tcMar>
            <w:vAlign w:val="center"/>
          </w:tcPr>
          <w:p w:rsidR="00C223F5" w:rsidRDefault="005860D5" w:rsidP="00F30F03">
            <w:pPr>
              <w:spacing w:line="300" w:lineRule="exact"/>
              <w:jc w:val="center"/>
              <w:rPr>
                <w:sz w:val="18"/>
                <w:szCs w:val="18"/>
              </w:rPr>
            </w:pPr>
            <w:r>
              <w:rPr>
                <w:rFonts w:hint="eastAsia"/>
                <w:sz w:val="18"/>
                <w:szCs w:val="18"/>
              </w:rPr>
              <w:t>三盘区内</w:t>
            </w: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23</w:t>
            </w:r>
            <w:r>
              <w:rPr>
                <w:rFonts w:hint="eastAsia"/>
                <w:sz w:val="18"/>
                <w:szCs w:val="18"/>
              </w:rPr>
              <w:t>户</w:t>
            </w:r>
            <w:r>
              <w:rPr>
                <w:rFonts w:hint="eastAsia"/>
                <w:sz w:val="18"/>
                <w:szCs w:val="18"/>
              </w:rPr>
              <w:t>83</w:t>
            </w:r>
            <w:r>
              <w:rPr>
                <w:rFonts w:hint="eastAsia"/>
                <w:sz w:val="18"/>
                <w:szCs w:val="18"/>
              </w:rPr>
              <w:t>人</w:t>
            </w:r>
          </w:p>
        </w:tc>
        <w:tc>
          <w:tcPr>
            <w:tcW w:w="1492" w:type="dxa"/>
            <w:vMerge w:val="restart"/>
            <w:tcMar>
              <w:left w:w="6" w:type="dxa"/>
              <w:right w:w="6" w:type="dxa"/>
            </w:tcMar>
            <w:vAlign w:val="center"/>
          </w:tcPr>
          <w:p w:rsidR="00C223F5" w:rsidRDefault="005860D5" w:rsidP="00F30F03">
            <w:pPr>
              <w:pStyle w:val="affffff7"/>
              <w:spacing w:line="300" w:lineRule="exact"/>
              <w:rPr>
                <w:sz w:val="18"/>
                <w:szCs w:val="18"/>
              </w:rPr>
            </w:pPr>
            <w:r>
              <w:rPr>
                <w:sz w:val="18"/>
                <w:szCs w:val="18"/>
              </w:rPr>
              <w:t>地表沉陷影响</w:t>
            </w: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48" w:type="dxa"/>
            <w:vMerge/>
            <w:tcMar>
              <w:left w:w="6" w:type="dxa"/>
              <w:right w:w="6" w:type="dxa"/>
            </w:tcMar>
            <w:vAlign w:val="center"/>
          </w:tcPr>
          <w:p w:rsidR="00C223F5" w:rsidRDefault="00C223F5" w:rsidP="00F30F03">
            <w:pPr>
              <w:autoSpaceDE w:val="0"/>
              <w:autoSpaceDN w:val="0"/>
              <w:adjustRightInd w:val="0"/>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杨台</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8</w:t>
            </w:r>
            <w:r>
              <w:rPr>
                <w:rFonts w:hint="eastAsia"/>
                <w:sz w:val="18"/>
                <w:szCs w:val="18"/>
              </w:rPr>
              <w:t>户</w:t>
            </w:r>
            <w:r>
              <w:rPr>
                <w:rFonts w:hint="eastAsia"/>
                <w:sz w:val="18"/>
                <w:szCs w:val="18"/>
              </w:rPr>
              <w:t>29</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70"/>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48" w:type="dxa"/>
            <w:tcMar>
              <w:left w:w="6" w:type="dxa"/>
              <w:right w:w="6" w:type="dxa"/>
            </w:tcMar>
            <w:vAlign w:val="center"/>
          </w:tcPr>
          <w:p w:rsidR="00C223F5" w:rsidRDefault="005860D5" w:rsidP="00F30F03">
            <w:pPr>
              <w:autoSpaceDE w:val="0"/>
              <w:autoSpaceDN w:val="0"/>
              <w:adjustRightInd w:val="0"/>
              <w:spacing w:line="300" w:lineRule="exact"/>
              <w:jc w:val="center"/>
              <w:rPr>
                <w:sz w:val="18"/>
                <w:szCs w:val="18"/>
              </w:rPr>
            </w:pPr>
            <w:r>
              <w:rPr>
                <w:rFonts w:hAnsi="宋体"/>
                <w:sz w:val="18"/>
                <w:szCs w:val="18"/>
              </w:rPr>
              <w:t>瓦窑渠村</w:t>
            </w: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宫山</w:t>
            </w:r>
          </w:p>
        </w:tc>
        <w:tc>
          <w:tcPr>
            <w:tcW w:w="1748" w:type="dxa"/>
            <w:tcMar>
              <w:left w:w="6" w:type="dxa"/>
              <w:right w:w="6" w:type="dxa"/>
            </w:tcMar>
            <w:vAlign w:val="center"/>
          </w:tcPr>
          <w:p w:rsidR="00C223F5" w:rsidRDefault="005860D5" w:rsidP="00F30F03">
            <w:pPr>
              <w:spacing w:line="300" w:lineRule="exact"/>
              <w:jc w:val="center"/>
              <w:rPr>
                <w:sz w:val="18"/>
                <w:szCs w:val="18"/>
              </w:rPr>
            </w:pPr>
            <w:r>
              <w:rPr>
                <w:rFonts w:hint="eastAsia"/>
                <w:sz w:val="18"/>
                <w:szCs w:val="18"/>
              </w:rPr>
              <w:t>五盘区内</w:t>
            </w: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24</w:t>
            </w:r>
            <w:r>
              <w:rPr>
                <w:rFonts w:hint="eastAsia"/>
                <w:sz w:val="18"/>
                <w:szCs w:val="18"/>
              </w:rPr>
              <w:t>户</w:t>
            </w:r>
            <w:r>
              <w:rPr>
                <w:rFonts w:hint="eastAsia"/>
                <w:sz w:val="18"/>
                <w:szCs w:val="18"/>
              </w:rPr>
              <w:t>74</w:t>
            </w:r>
            <w:r>
              <w:rPr>
                <w:rFonts w:hint="eastAsia"/>
                <w:sz w:val="18"/>
                <w:szCs w:val="18"/>
              </w:rPr>
              <w:t>人</w:t>
            </w:r>
          </w:p>
        </w:tc>
        <w:tc>
          <w:tcPr>
            <w:tcW w:w="1492"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地表沉陷影响</w:t>
            </w: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48" w:type="dxa"/>
            <w:vMerge w:val="restart"/>
            <w:tcMar>
              <w:left w:w="6" w:type="dxa"/>
              <w:right w:w="6" w:type="dxa"/>
            </w:tcMar>
            <w:vAlign w:val="center"/>
          </w:tcPr>
          <w:p w:rsidR="00C223F5" w:rsidRDefault="005860D5" w:rsidP="00F30F03">
            <w:pPr>
              <w:autoSpaceDE w:val="0"/>
              <w:autoSpaceDN w:val="0"/>
              <w:adjustRightInd w:val="0"/>
              <w:spacing w:line="300" w:lineRule="exact"/>
              <w:jc w:val="center"/>
              <w:rPr>
                <w:sz w:val="18"/>
                <w:szCs w:val="18"/>
              </w:rPr>
            </w:pPr>
            <w:r>
              <w:rPr>
                <w:rFonts w:hAnsi="宋体"/>
                <w:sz w:val="18"/>
                <w:szCs w:val="18"/>
              </w:rPr>
              <w:t>清水沟村</w:t>
            </w: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清水沟</w:t>
            </w:r>
          </w:p>
        </w:tc>
        <w:tc>
          <w:tcPr>
            <w:tcW w:w="1748" w:type="dxa"/>
            <w:vMerge w:val="restart"/>
            <w:tcMar>
              <w:left w:w="6" w:type="dxa"/>
              <w:right w:w="6" w:type="dxa"/>
            </w:tcMar>
            <w:vAlign w:val="center"/>
          </w:tcPr>
          <w:p w:rsidR="00C223F5" w:rsidRDefault="005860D5" w:rsidP="00F30F03">
            <w:pPr>
              <w:spacing w:line="300" w:lineRule="exact"/>
              <w:jc w:val="center"/>
              <w:rPr>
                <w:sz w:val="18"/>
                <w:szCs w:val="18"/>
              </w:rPr>
            </w:pPr>
            <w:r>
              <w:rPr>
                <w:rFonts w:hint="eastAsia"/>
                <w:sz w:val="18"/>
                <w:szCs w:val="18"/>
              </w:rPr>
              <w:t>六盘区内</w:t>
            </w: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176</w:t>
            </w:r>
            <w:r>
              <w:rPr>
                <w:rFonts w:hint="eastAsia"/>
                <w:sz w:val="18"/>
                <w:szCs w:val="18"/>
              </w:rPr>
              <w:t>户</w:t>
            </w:r>
            <w:r>
              <w:rPr>
                <w:rFonts w:hint="eastAsia"/>
                <w:sz w:val="18"/>
                <w:szCs w:val="18"/>
              </w:rPr>
              <w:t>594</w:t>
            </w:r>
            <w:r>
              <w:rPr>
                <w:rFonts w:hint="eastAsia"/>
                <w:sz w:val="18"/>
                <w:szCs w:val="18"/>
              </w:rPr>
              <w:t>人</w:t>
            </w:r>
          </w:p>
        </w:tc>
        <w:tc>
          <w:tcPr>
            <w:tcW w:w="1492" w:type="dxa"/>
            <w:vMerge w:val="restart"/>
            <w:tcMar>
              <w:left w:w="6" w:type="dxa"/>
              <w:right w:w="6" w:type="dxa"/>
            </w:tcMar>
            <w:vAlign w:val="center"/>
          </w:tcPr>
          <w:p w:rsidR="00C223F5" w:rsidRDefault="005860D5" w:rsidP="00F30F03">
            <w:pPr>
              <w:pStyle w:val="affffff7"/>
              <w:spacing w:line="300" w:lineRule="exact"/>
              <w:rPr>
                <w:sz w:val="18"/>
                <w:szCs w:val="18"/>
              </w:rPr>
            </w:pPr>
            <w:r>
              <w:rPr>
                <w:sz w:val="18"/>
                <w:szCs w:val="18"/>
              </w:rPr>
              <w:t>地表沉陷影响</w:t>
            </w: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48" w:type="dxa"/>
            <w:vMerge/>
            <w:tcMar>
              <w:left w:w="6" w:type="dxa"/>
              <w:right w:w="6" w:type="dxa"/>
            </w:tcMar>
            <w:vAlign w:val="center"/>
          </w:tcPr>
          <w:p w:rsidR="00C223F5" w:rsidRDefault="00C223F5" w:rsidP="00F30F03">
            <w:pPr>
              <w:autoSpaceDE w:val="0"/>
              <w:autoSpaceDN w:val="0"/>
              <w:adjustRightInd w:val="0"/>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刘新庄</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38</w:t>
            </w:r>
            <w:r>
              <w:rPr>
                <w:rFonts w:hint="eastAsia"/>
                <w:sz w:val="18"/>
                <w:szCs w:val="18"/>
              </w:rPr>
              <w:t>户</w:t>
            </w:r>
            <w:r>
              <w:rPr>
                <w:rFonts w:hint="eastAsia"/>
                <w:sz w:val="18"/>
                <w:szCs w:val="18"/>
              </w:rPr>
              <w:t>129</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48" w:type="dxa"/>
            <w:vMerge/>
            <w:tcMar>
              <w:left w:w="6" w:type="dxa"/>
              <w:right w:w="6" w:type="dxa"/>
            </w:tcMar>
            <w:vAlign w:val="center"/>
          </w:tcPr>
          <w:p w:rsidR="00C223F5" w:rsidRDefault="00C223F5" w:rsidP="00F30F03">
            <w:pPr>
              <w:autoSpaceDE w:val="0"/>
              <w:autoSpaceDN w:val="0"/>
              <w:adjustRightInd w:val="0"/>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胡家沟湾</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21</w:t>
            </w:r>
            <w:r>
              <w:rPr>
                <w:rFonts w:hint="eastAsia"/>
                <w:sz w:val="18"/>
                <w:szCs w:val="18"/>
              </w:rPr>
              <w:t>户</w:t>
            </w:r>
            <w:r>
              <w:rPr>
                <w:rFonts w:hint="eastAsia"/>
                <w:sz w:val="18"/>
                <w:szCs w:val="18"/>
              </w:rPr>
              <w:t>74</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48" w:type="dxa"/>
            <w:vMerge/>
            <w:tcMar>
              <w:left w:w="6" w:type="dxa"/>
              <w:right w:w="6" w:type="dxa"/>
            </w:tcMar>
            <w:vAlign w:val="center"/>
          </w:tcPr>
          <w:p w:rsidR="00C223F5" w:rsidRDefault="00C223F5" w:rsidP="00F30F03">
            <w:pPr>
              <w:autoSpaceDE w:val="0"/>
              <w:autoSpaceDN w:val="0"/>
              <w:adjustRightInd w:val="0"/>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rFonts w:hAnsi="宋体"/>
                <w:sz w:val="18"/>
                <w:szCs w:val="18"/>
              </w:rPr>
            </w:pPr>
            <w:r>
              <w:rPr>
                <w:rFonts w:hAnsi="宋体" w:hint="eastAsia"/>
                <w:sz w:val="18"/>
                <w:szCs w:val="18"/>
              </w:rPr>
              <w:t>梁坪</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92</w:t>
            </w:r>
            <w:r>
              <w:rPr>
                <w:rFonts w:hint="eastAsia"/>
                <w:sz w:val="18"/>
                <w:szCs w:val="18"/>
              </w:rPr>
              <w:t>户</w:t>
            </w:r>
            <w:r>
              <w:rPr>
                <w:rFonts w:hint="eastAsia"/>
                <w:sz w:val="18"/>
                <w:szCs w:val="18"/>
              </w:rPr>
              <w:t>312</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48" w:type="dxa"/>
            <w:vMerge/>
            <w:tcMar>
              <w:left w:w="6" w:type="dxa"/>
              <w:right w:w="6" w:type="dxa"/>
            </w:tcMar>
            <w:vAlign w:val="center"/>
          </w:tcPr>
          <w:p w:rsidR="00C223F5" w:rsidRDefault="00C223F5" w:rsidP="00F30F03">
            <w:pPr>
              <w:autoSpaceDE w:val="0"/>
              <w:autoSpaceDN w:val="0"/>
              <w:adjustRightInd w:val="0"/>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rFonts w:hAnsi="宋体"/>
                <w:sz w:val="18"/>
                <w:szCs w:val="18"/>
              </w:rPr>
            </w:pPr>
            <w:r>
              <w:rPr>
                <w:rFonts w:hAnsi="宋体" w:hint="eastAsia"/>
                <w:sz w:val="18"/>
                <w:szCs w:val="18"/>
              </w:rPr>
              <w:t>聂家湾</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78</w:t>
            </w:r>
            <w:r>
              <w:rPr>
                <w:rFonts w:hint="eastAsia"/>
                <w:sz w:val="18"/>
                <w:szCs w:val="18"/>
              </w:rPr>
              <w:t>户</w:t>
            </w:r>
            <w:r>
              <w:rPr>
                <w:rFonts w:hint="eastAsia"/>
                <w:sz w:val="18"/>
                <w:szCs w:val="18"/>
              </w:rPr>
              <w:t>273</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48" w:type="dxa"/>
            <w:vMerge/>
            <w:tcMar>
              <w:left w:w="6" w:type="dxa"/>
              <w:right w:w="6" w:type="dxa"/>
            </w:tcMar>
            <w:vAlign w:val="center"/>
          </w:tcPr>
          <w:p w:rsidR="00C223F5" w:rsidRDefault="00C223F5" w:rsidP="00F30F03">
            <w:pPr>
              <w:autoSpaceDE w:val="0"/>
              <w:autoSpaceDN w:val="0"/>
              <w:adjustRightInd w:val="0"/>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拐峁</w:t>
            </w:r>
            <w:r>
              <w:rPr>
                <w:rFonts w:hAnsi="宋体" w:hint="eastAsia"/>
                <w:sz w:val="18"/>
                <w:szCs w:val="18"/>
              </w:rPr>
              <w:t>组</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67</w:t>
            </w:r>
            <w:r>
              <w:rPr>
                <w:rFonts w:hint="eastAsia"/>
                <w:sz w:val="18"/>
                <w:szCs w:val="18"/>
              </w:rPr>
              <w:t>户</w:t>
            </w:r>
            <w:r>
              <w:rPr>
                <w:rFonts w:hint="eastAsia"/>
                <w:sz w:val="18"/>
                <w:szCs w:val="18"/>
              </w:rPr>
              <w:t>235</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48" w:type="dxa"/>
            <w:tcMar>
              <w:left w:w="6" w:type="dxa"/>
              <w:right w:w="6" w:type="dxa"/>
            </w:tcMar>
            <w:vAlign w:val="center"/>
          </w:tcPr>
          <w:p w:rsidR="00C223F5" w:rsidRDefault="005860D5" w:rsidP="00F30F03">
            <w:pPr>
              <w:spacing w:line="300" w:lineRule="exact"/>
              <w:jc w:val="center"/>
              <w:rPr>
                <w:rFonts w:hAnsi="宋体"/>
                <w:sz w:val="18"/>
                <w:szCs w:val="18"/>
              </w:rPr>
            </w:pPr>
            <w:r>
              <w:rPr>
                <w:rFonts w:hAnsi="宋体"/>
                <w:sz w:val="18"/>
                <w:szCs w:val="18"/>
              </w:rPr>
              <w:t>麻地沟</w:t>
            </w:r>
            <w:r>
              <w:rPr>
                <w:rFonts w:hAnsi="宋体" w:hint="eastAsia"/>
                <w:sz w:val="18"/>
                <w:szCs w:val="18"/>
              </w:rPr>
              <w:t>村</w:t>
            </w: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hint="eastAsia"/>
                <w:sz w:val="18"/>
                <w:szCs w:val="18"/>
              </w:rPr>
              <w:t>后麻地沟</w:t>
            </w:r>
          </w:p>
        </w:tc>
        <w:tc>
          <w:tcPr>
            <w:tcW w:w="1748" w:type="dxa"/>
            <w:vMerge w:val="restart"/>
            <w:tcMar>
              <w:left w:w="6" w:type="dxa"/>
              <w:right w:w="6" w:type="dxa"/>
            </w:tcMar>
            <w:vAlign w:val="center"/>
          </w:tcPr>
          <w:p w:rsidR="00C223F5" w:rsidRDefault="005860D5" w:rsidP="00F30F03">
            <w:pPr>
              <w:spacing w:line="300" w:lineRule="exact"/>
              <w:jc w:val="center"/>
              <w:rPr>
                <w:sz w:val="18"/>
                <w:szCs w:val="18"/>
              </w:rPr>
            </w:pPr>
            <w:r>
              <w:rPr>
                <w:rFonts w:hint="eastAsia"/>
                <w:sz w:val="18"/>
                <w:szCs w:val="18"/>
              </w:rPr>
              <w:t>七盘区内</w:t>
            </w: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26</w:t>
            </w:r>
            <w:r>
              <w:rPr>
                <w:rFonts w:hint="eastAsia"/>
                <w:sz w:val="18"/>
                <w:szCs w:val="18"/>
              </w:rPr>
              <w:t>户</w:t>
            </w:r>
            <w:r>
              <w:rPr>
                <w:rFonts w:hint="eastAsia"/>
                <w:sz w:val="18"/>
                <w:szCs w:val="18"/>
              </w:rPr>
              <w:t>92</w:t>
            </w:r>
            <w:r>
              <w:rPr>
                <w:rFonts w:hint="eastAsia"/>
                <w:sz w:val="18"/>
                <w:szCs w:val="18"/>
              </w:rPr>
              <w:t>人</w:t>
            </w:r>
          </w:p>
        </w:tc>
        <w:tc>
          <w:tcPr>
            <w:tcW w:w="1492" w:type="dxa"/>
            <w:vMerge w:val="restart"/>
            <w:tcMar>
              <w:left w:w="6" w:type="dxa"/>
              <w:right w:w="6" w:type="dxa"/>
            </w:tcMar>
            <w:vAlign w:val="center"/>
          </w:tcPr>
          <w:p w:rsidR="00C223F5" w:rsidRDefault="005860D5" w:rsidP="00F30F03">
            <w:pPr>
              <w:pStyle w:val="affffff7"/>
              <w:spacing w:line="300" w:lineRule="exact"/>
              <w:rPr>
                <w:sz w:val="18"/>
                <w:szCs w:val="18"/>
              </w:rPr>
            </w:pPr>
            <w:r>
              <w:rPr>
                <w:sz w:val="18"/>
                <w:szCs w:val="18"/>
              </w:rPr>
              <w:t>地表沉陷影响</w:t>
            </w: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48" w:type="dxa"/>
            <w:vMerge w:val="restart"/>
            <w:tcMar>
              <w:left w:w="6" w:type="dxa"/>
              <w:right w:w="6" w:type="dxa"/>
            </w:tcMar>
            <w:vAlign w:val="center"/>
          </w:tcPr>
          <w:p w:rsidR="00C223F5" w:rsidRDefault="005860D5" w:rsidP="00F30F03">
            <w:pPr>
              <w:autoSpaceDE w:val="0"/>
              <w:autoSpaceDN w:val="0"/>
              <w:adjustRightInd w:val="0"/>
              <w:spacing w:line="300" w:lineRule="exact"/>
              <w:jc w:val="center"/>
              <w:rPr>
                <w:sz w:val="18"/>
                <w:szCs w:val="18"/>
              </w:rPr>
            </w:pPr>
            <w:r>
              <w:rPr>
                <w:rFonts w:hAnsi="宋体" w:hint="eastAsia"/>
                <w:sz w:val="18"/>
                <w:szCs w:val="18"/>
              </w:rPr>
              <w:t>石仁坪</w:t>
            </w: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牛肚塌村</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11</w:t>
            </w:r>
            <w:r>
              <w:rPr>
                <w:rFonts w:hint="eastAsia"/>
                <w:sz w:val="18"/>
                <w:szCs w:val="18"/>
              </w:rPr>
              <w:t>户</w:t>
            </w:r>
            <w:r>
              <w:rPr>
                <w:rFonts w:hint="eastAsia"/>
                <w:sz w:val="18"/>
                <w:szCs w:val="18"/>
              </w:rPr>
              <w:t>38</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48" w:type="dxa"/>
            <w:vMerge/>
            <w:tcMar>
              <w:left w:w="6" w:type="dxa"/>
              <w:right w:w="6" w:type="dxa"/>
            </w:tcMar>
            <w:vAlign w:val="center"/>
          </w:tcPr>
          <w:p w:rsidR="00C223F5" w:rsidRDefault="00C223F5" w:rsidP="00F30F03">
            <w:pPr>
              <w:autoSpaceDE w:val="0"/>
              <w:autoSpaceDN w:val="0"/>
              <w:adjustRightInd w:val="0"/>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rFonts w:hAnsi="宋体"/>
                <w:sz w:val="18"/>
                <w:szCs w:val="18"/>
              </w:rPr>
            </w:pPr>
            <w:r>
              <w:rPr>
                <w:rFonts w:hAnsi="宋体"/>
                <w:sz w:val="18"/>
                <w:szCs w:val="18"/>
              </w:rPr>
              <w:t>藏家沟村</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26</w:t>
            </w:r>
            <w:r>
              <w:rPr>
                <w:rFonts w:hint="eastAsia"/>
                <w:sz w:val="18"/>
                <w:szCs w:val="18"/>
              </w:rPr>
              <w:t>户</w:t>
            </w:r>
            <w:r>
              <w:rPr>
                <w:rFonts w:hint="eastAsia"/>
                <w:sz w:val="18"/>
                <w:szCs w:val="18"/>
              </w:rPr>
              <w:t>89</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48" w:type="dxa"/>
            <w:vMerge w:val="restart"/>
            <w:tcMar>
              <w:left w:w="6" w:type="dxa"/>
              <w:right w:w="6" w:type="dxa"/>
            </w:tcMar>
            <w:vAlign w:val="center"/>
          </w:tcPr>
          <w:p w:rsidR="00C223F5" w:rsidRDefault="005860D5" w:rsidP="00F30F03">
            <w:pPr>
              <w:autoSpaceDE w:val="0"/>
              <w:autoSpaceDN w:val="0"/>
              <w:adjustRightInd w:val="0"/>
              <w:spacing w:line="300" w:lineRule="exact"/>
              <w:jc w:val="center"/>
              <w:rPr>
                <w:color w:val="000000"/>
                <w:kern w:val="0"/>
                <w:sz w:val="18"/>
                <w:szCs w:val="18"/>
              </w:rPr>
            </w:pPr>
            <w:r>
              <w:rPr>
                <w:sz w:val="18"/>
                <w:szCs w:val="18"/>
              </w:rPr>
              <w:t>拓家峁</w:t>
            </w:r>
            <w:r>
              <w:rPr>
                <w:rFonts w:hint="eastAsia"/>
                <w:sz w:val="18"/>
                <w:szCs w:val="18"/>
              </w:rPr>
              <w:t>村</w:t>
            </w:r>
          </w:p>
        </w:tc>
        <w:tc>
          <w:tcPr>
            <w:tcW w:w="750" w:type="dxa"/>
            <w:tcMar>
              <w:left w:w="6" w:type="dxa"/>
              <w:right w:w="6" w:type="dxa"/>
            </w:tcMar>
            <w:vAlign w:val="center"/>
          </w:tcPr>
          <w:p w:rsidR="00C223F5" w:rsidRDefault="005860D5" w:rsidP="00F30F03">
            <w:pPr>
              <w:autoSpaceDE w:val="0"/>
              <w:autoSpaceDN w:val="0"/>
              <w:adjustRightInd w:val="0"/>
              <w:spacing w:line="300" w:lineRule="exact"/>
              <w:jc w:val="center"/>
              <w:rPr>
                <w:color w:val="000000"/>
                <w:kern w:val="0"/>
                <w:sz w:val="18"/>
                <w:szCs w:val="18"/>
              </w:rPr>
            </w:pPr>
            <w:r>
              <w:rPr>
                <w:color w:val="000000"/>
                <w:kern w:val="0"/>
                <w:sz w:val="18"/>
                <w:szCs w:val="18"/>
              </w:rPr>
              <w:t>新窑台</w:t>
            </w:r>
            <w:r>
              <w:rPr>
                <w:rFonts w:hint="eastAsia"/>
                <w:color w:val="000000"/>
                <w:kern w:val="0"/>
                <w:sz w:val="18"/>
                <w:szCs w:val="18"/>
              </w:rPr>
              <w:t>组</w:t>
            </w:r>
          </w:p>
        </w:tc>
        <w:tc>
          <w:tcPr>
            <w:tcW w:w="1748" w:type="dxa"/>
            <w:vMerge w:val="restart"/>
            <w:tcMar>
              <w:left w:w="6" w:type="dxa"/>
              <w:right w:w="6" w:type="dxa"/>
            </w:tcMar>
            <w:vAlign w:val="center"/>
          </w:tcPr>
          <w:p w:rsidR="00C223F5" w:rsidRDefault="005860D5" w:rsidP="00F30F03">
            <w:pPr>
              <w:spacing w:line="300" w:lineRule="exact"/>
              <w:jc w:val="center"/>
              <w:rPr>
                <w:sz w:val="18"/>
                <w:szCs w:val="18"/>
              </w:rPr>
            </w:pPr>
            <w:r>
              <w:rPr>
                <w:rFonts w:hint="eastAsia"/>
                <w:sz w:val="18"/>
                <w:szCs w:val="18"/>
              </w:rPr>
              <w:t>井田东部，无煤区</w:t>
            </w: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56</w:t>
            </w:r>
            <w:r>
              <w:rPr>
                <w:rFonts w:hAnsi="宋体"/>
                <w:sz w:val="18"/>
                <w:szCs w:val="18"/>
              </w:rPr>
              <w:t>户</w:t>
            </w:r>
            <w:r>
              <w:rPr>
                <w:sz w:val="18"/>
                <w:szCs w:val="18"/>
              </w:rPr>
              <w:t>218</w:t>
            </w:r>
            <w:r>
              <w:rPr>
                <w:rFonts w:hAnsi="宋体"/>
                <w:sz w:val="18"/>
                <w:szCs w:val="18"/>
              </w:rPr>
              <w:t>人</w:t>
            </w:r>
          </w:p>
        </w:tc>
        <w:tc>
          <w:tcPr>
            <w:tcW w:w="1492" w:type="dxa"/>
            <w:vMerge w:val="restart"/>
            <w:tcMar>
              <w:left w:w="6" w:type="dxa"/>
              <w:right w:w="6" w:type="dxa"/>
            </w:tcMar>
            <w:vAlign w:val="center"/>
          </w:tcPr>
          <w:p w:rsidR="00C223F5" w:rsidRDefault="005860D5" w:rsidP="00F30F03">
            <w:pPr>
              <w:pStyle w:val="affffff7"/>
              <w:spacing w:line="300" w:lineRule="exact"/>
              <w:rPr>
                <w:sz w:val="18"/>
                <w:szCs w:val="18"/>
              </w:rPr>
            </w:pPr>
            <w:r>
              <w:rPr>
                <w:sz w:val="18"/>
                <w:szCs w:val="18"/>
              </w:rPr>
              <w:t>地表沉陷影响</w:t>
            </w:r>
          </w:p>
        </w:tc>
        <w:tc>
          <w:tcPr>
            <w:tcW w:w="2258" w:type="dxa"/>
            <w:vMerge w:val="restart"/>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开采区域外，不受采煤沉陷</w:t>
            </w:r>
          </w:p>
          <w:p w:rsidR="00C223F5" w:rsidRDefault="005860D5" w:rsidP="00F30F03">
            <w:pPr>
              <w:pStyle w:val="affffff7"/>
              <w:spacing w:line="300" w:lineRule="exact"/>
              <w:rPr>
                <w:sz w:val="18"/>
                <w:szCs w:val="18"/>
              </w:rPr>
            </w:pPr>
            <w:r>
              <w:rPr>
                <w:rFonts w:hint="eastAsia"/>
                <w:sz w:val="18"/>
                <w:szCs w:val="18"/>
              </w:rPr>
              <w:t>影响</w:t>
            </w: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pStyle w:val="affffff7"/>
              <w:spacing w:line="300" w:lineRule="exact"/>
              <w:rPr>
                <w:sz w:val="18"/>
                <w:szCs w:val="18"/>
              </w:rPr>
            </w:pPr>
          </w:p>
        </w:tc>
        <w:tc>
          <w:tcPr>
            <w:tcW w:w="750"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拓家峁</w:t>
            </w:r>
            <w:r>
              <w:rPr>
                <w:rFonts w:hint="eastAsia"/>
                <w:sz w:val="18"/>
                <w:szCs w:val="18"/>
              </w:rPr>
              <w:t>组</w:t>
            </w:r>
          </w:p>
        </w:tc>
        <w:tc>
          <w:tcPr>
            <w:tcW w:w="1748" w:type="dxa"/>
            <w:vMerge/>
            <w:tcMar>
              <w:left w:w="6" w:type="dxa"/>
              <w:right w:w="6" w:type="dxa"/>
            </w:tcMar>
            <w:vAlign w:val="center"/>
          </w:tcPr>
          <w:p w:rsidR="00C223F5" w:rsidRDefault="00C223F5" w:rsidP="00F30F03">
            <w:pPr>
              <w:pStyle w:val="affffff7"/>
              <w:spacing w:line="300" w:lineRule="exact"/>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24</w:t>
            </w:r>
            <w:r>
              <w:rPr>
                <w:rFonts w:hAnsi="宋体"/>
                <w:sz w:val="18"/>
                <w:szCs w:val="18"/>
              </w:rPr>
              <w:t>户</w:t>
            </w:r>
            <w:r>
              <w:rPr>
                <w:sz w:val="18"/>
                <w:szCs w:val="18"/>
              </w:rPr>
              <w:t>56</w:t>
            </w:r>
            <w:r>
              <w:rPr>
                <w:rFonts w:hAnsi="宋体"/>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pStyle w:val="affffff7"/>
              <w:spacing w:line="300" w:lineRule="exact"/>
              <w:rPr>
                <w:sz w:val="18"/>
                <w:szCs w:val="18"/>
              </w:rPr>
            </w:pPr>
          </w:p>
        </w:tc>
        <w:tc>
          <w:tcPr>
            <w:tcW w:w="750"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拓家阳</w:t>
            </w:r>
            <w:r>
              <w:rPr>
                <w:rFonts w:hint="eastAsia"/>
                <w:sz w:val="18"/>
                <w:szCs w:val="18"/>
              </w:rPr>
              <w:t>组</w:t>
            </w:r>
          </w:p>
        </w:tc>
        <w:tc>
          <w:tcPr>
            <w:tcW w:w="1748" w:type="dxa"/>
            <w:vMerge/>
            <w:tcMar>
              <w:left w:w="6" w:type="dxa"/>
              <w:right w:w="6" w:type="dxa"/>
            </w:tcMar>
            <w:vAlign w:val="center"/>
          </w:tcPr>
          <w:p w:rsidR="00C223F5" w:rsidRDefault="00C223F5" w:rsidP="00F30F03">
            <w:pPr>
              <w:pStyle w:val="affffff7"/>
              <w:spacing w:line="300" w:lineRule="exact"/>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58</w:t>
            </w:r>
            <w:r>
              <w:rPr>
                <w:rFonts w:hAnsi="宋体"/>
                <w:sz w:val="18"/>
                <w:szCs w:val="18"/>
              </w:rPr>
              <w:t>户</w:t>
            </w:r>
            <w:r>
              <w:rPr>
                <w:sz w:val="18"/>
                <w:szCs w:val="18"/>
              </w:rPr>
              <w:t>226</w:t>
            </w:r>
            <w:r>
              <w:rPr>
                <w:rFonts w:hAnsi="宋体"/>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21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val="restart"/>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瓦窑渠村</w:t>
            </w: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瓦窑渠</w:t>
            </w:r>
            <w:r>
              <w:rPr>
                <w:rFonts w:hAnsi="宋体" w:hint="eastAsia"/>
                <w:sz w:val="18"/>
                <w:szCs w:val="18"/>
              </w:rPr>
              <w:t>组</w:t>
            </w:r>
          </w:p>
        </w:tc>
        <w:tc>
          <w:tcPr>
            <w:tcW w:w="1748" w:type="dxa"/>
            <w:vMerge/>
            <w:tcMar>
              <w:left w:w="6" w:type="dxa"/>
              <w:right w:w="6" w:type="dxa"/>
            </w:tcMar>
            <w:vAlign w:val="center"/>
          </w:tcPr>
          <w:p w:rsidR="00C223F5" w:rsidRDefault="00C223F5" w:rsidP="00F30F03">
            <w:pPr>
              <w:pStyle w:val="affffff7"/>
              <w:spacing w:line="300" w:lineRule="exact"/>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53</w:t>
            </w:r>
            <w:r>
              <w:rPr>
                <w:rFonts w:hint="eastAsia"/>
                <w:sz w:val="18"/>
                <w:szCs w:val="18"/>
              </w:rPr>
              <w:t>户</w:t>
            </w:r>
            <w:r>
              <w:rPr>
                <w:rFonts w:hint="eastAsia"/>
                <w:sz w:val="18"/>
                <w:szCs w:val="18"/>
              </w:rPr>
              <w:t>181</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21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50" w:type="dxa"/>
            <w:tcMar>
              <w:left w:w="6" w:type="dxa"/>
              <w:right w:w="6" w:type="dxa"/>
            </w:tcMar>
            <w:vAlign w:val="center"/>
          </w:tcPr>
          <w:p w:rsidR="00C223F5" w:rsidRDefault="005860D5" w:rsidP="00F30F03">
            <w:pPr>
              <w:spacing w:line="300" w:lineRule="exact"/>
              <w:jc w:val="center"/>
              <w:rPr>
                <w:rFonts w:hAnsi="宋体"/>
                <w:sz w:val="18"/>
                <w:szCs w:val="18"/>
              </w:rPr>
            </w:pPr>
            <w:r>
              <w:rPr>
                <w:rFonts w:hAnsi="宋体"/>
                <w:sz w:val="18"/>
                <w:szCs w:val="18"/>
              </w:rPr>
              <w:t>倒座茆</w:t>
            </w:r>
          </w:p>
        </w:tc>
        <w:tc>
          <w:tcPr>
            <w:tcW w:w="1748" w:type="dxa"/>
            <w:vMerge/>
            <w:tcMar>
              <w:left w:w="6" w:type="dxa"/>
              <w:right w:w="6" w:type="dxa"/>
            </w:tcMar>
            <w:vAlign w:val="center"/>
          </w:tcPr>
          <w:p w:rsidR="00C223F5" w:rsidRDefault="00C223F5" w:rsidP="00F30F03">
            <w:pPr>
              <w:pStyle w:val="affffff7"/>
              <w:spacing w:line="300" w:lineRule="exact"/>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57</w:t>
            </w:r>
            <w:r>
              <w:rPr>
                <w:rFonts w:hint="eastAsia"/>
                <w:sz w:val="18"/>
                <w:szCs w:val="18"/>
              </w:rPr>
              <w:t>户</w:t>
            </w:r>
            <w:r>
              <w:rPr>
                <w:rFonts w:hint="eastAsia"/>
                <w:sz w:val="18"/>
                <w:szCs w:val="18"/>
              </w:rPr>
              <w:t>178</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val="restart"/>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枣坪村</w:t>
            </w: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大川</w:t>
            </w:r>
            <w:r>
              <w:rPr>
                <w:rFonts w:hAnsi="宋体" w:hint="eastAsia"/>
                <w:sz w:val="18"/>
                <w:szCs w:val="18"/>
              </w:rPr>
              <w:t>组</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116</w:t>
            </w:r>
            <w:r>
              <w:rPr>
                <w:rFonts w:hint="eastAsia"/>
                <w:sz w:val="18"/>
                <w:szCs w:val="18"/>
              </w:rPr>
              <w:t>户</w:t>
            </w:r>
            <w:r>
              <w:rPr>
                <w:rFonts w:hint="eastAsia"/>
                <w:sz w:val="18"/>
                <w:szCs w:val="18"/>
              </w:rPr>
              <w:t>383</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大川台</w:t>
            </w:r>
            <w:r>
              <w:rPr>
                <w:rFonts w:hAnsi="宋体" w:hint="eastAsia"/>
                <w:sz w:val="18"/>
                <w:szCs w:val="18"/>
              </w:rPr>
              <w:t>组</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32</w:t>
            </w:r>
            <w:r>
              <w:rPr>
                <w:rFonts w:hint="eastAsia"/>
                <w:sz w:val="18"/>
                <w:szCs w:val="18"/>
              </w:rPr>
              <w:t>户</w:t>
            </w:r>
            <w:r>
              <w:rPr>
                <w:rFonts w:hint="eastAsia"/>
                <w:sz w:val="18"/>
                <w:szCs w:val="18"/>
              </w:rPr>
              <w:t>115</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枣坪</w:t>
            </w:r>
            <w:r>
              <w:rPr>
                <w:rFonts w:hAnsi="宋体" w:hint="eastAsia"/>
                <w:sz w:val="18"/>
                <w:szCs w:val="18"/>
              </w:rPr>
              <w:t>组</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87</w:t>
            </w:r>
            <w:r>
              <w:rPr>
                <w:rFonts w:hint="eastAsia"/>
                <w:sz w:val="18"/>
                <w:szCs w:val="18"/>
              </w:rPr>
              <w:t>户</w:t>
            </w:r>
            <w:r>
              <w:rPr>
                <w:rFonts w:hint="eastAsia"/>
                <w:sz w:val="18"/>
                <w:szCs w:val="18"/>
              </w:rPr>
              <w:t>305</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val="restart"/>
            <w:tcMar>
              <w:left w:w="6" w:type="dxa"/>
              <w:right w:w="6" w:type="dxa"/>
            </w:tcMar>
            <w:vAlign w:val="center"/>
          </w:tcPr>
          <w:p w:rsidR="00C223F5" w:rsidRDefault="005860D5" w:rsidP="00F30F03">
            <w:pPr>
              <w:spacing w:line="300" w:lineRule="exact"/>
              <w:jc w:val="center"/>
              <w:rPr>
                <w:sz w:val="18"/>
                <w:szCs w:val="18"/>
              </w:rPr>
            </w:pPr>
            <w:r>
              <w:rPr>
                <w:rFonts w:hint="eastAsia"/>
                <w:sz w:val="18"/>
                <w:szCs w:val="18"/>
              </w:rPr>
              <w:t>杨家楼村</w:t>
            </w: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int="eastAsia"/>
                <w:sz w:val="18"/>
                <w:szCs w:val="18"/>
              </w:rPr>
              <w:t>杨家楼组</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163</w:t>
            </w:r>
            <w:r>
              <w:rPr>
                <w:rFonts w:hint="eastAsia"/>
                <w:sz w:val="18"/>
                <w:szCs w:val="18"/>
              </w:rPr>
              <w:t>户</w:t>
            </w:r>
            <w:r>
              <w:rPr>
                <w:rFonts w:hint="eastAsia"/>
                <w:sz w:val="18"/>
                <w:szCs w:val="18"/>
              </w:rPr>
              <w:t>569</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蔡家园子</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1</w:t>
            </w:r>
            <w:r>
              <w:rPr>
                <w:rFonts w:hint="eastAsia"/>
                <w:sz w:val="18"/>
                <w:szCs w:val="18"/>
              </w:rPr>
              <w:t>8</w:t>
            </w:r>
            <w:r>
              <w:rPr>
                <w:rFonts w:hAnsi="宋体"/>
                <w:sz w:val="18"/>
                <w:szCs w:val="18"/>
              </w:rPr>
              <w:t>户</w:t>
            </w:r>
            <w:r>
              <w:rPr>
                <w:rFonts w:hint="eastAsia"/>
                <w:sz w:val="18"/>
                <w:szCs w:val="18"/>
              </w:rPr>
              <w:t>68</w:t>
            </w:r>
            <w:r>
              <w:rPr>
                <w:rFonts w:hAnsi="宋体"/>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肖寨则</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43</w:t>
            </w:r>
            <w:r>
              <w:rPr>
                <w:rFonts w:hint="eastAsia"/>
                <w:sz w:val="18"/>
                <w:szCs w:val="18"/>
              </w:rPr>
              <w:t>户</w:t>
            </w:r>
            <w:r>
              <w:rPr>
                <w:rFonts w:hint="eastAsia"/>
                <w:sz w:val="18"/>
                <w:szCs w:val="18"/>
              </w:rPr>
              <w:t>151</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蔡庄</w:t>
            </w:r>
            <w:r>
              <w:rPr>
                <w:rFonts w:hAnsi="宋体" w:hint="eastAsia"/>
                <w:sz w:val="18"/>
                <w:szCs w:val="18"/>
              </w:rPr>
              <w:t>组</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17</w:t>
            </w:r>
            <w:r>
              <w:rPr>
                <w:rFonts w:hint="eastAsia"/>
                <w:sz w:val="18"/>
                <w:szCs w:val="18"/>
              </w:rPr>
              <w:t>户</w:t>
            </w:r>
            <w:r>
              <w:rPr>
                <w:rFonts w:hint="eastAsia"/>
                <w:sz w:val="18"/>
                <w:szCs w:val="18"/>
              </w:rPr>
              <w:t>63</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50" w:type="dxa"/>
            <w:tcMar>
              <w:left w:w="6" w:type="dxa"/>
              <w:right w:w="6" w:type="dxa"/>
            </w:tcMar>
            <w:vAlign w:val="center"/>
          </w:tcPr>
          <w:p w:rsidR="00C223F5" w:rsidRDefault="005860D5" w:rsidP="00F30F03">
            <w:pPr>
              <w:spacing w:line="300" w:lineRule="exact"/>
              <w:jc w:val="center"/>
              <w:rPr>
                <w:rFonts w:hAnsi="宋体"/>
                <w:sz w:val="18"/>
                <w:szCs w:val="18"/>
              </w:rPr>
            </w:pPr>
            <w:r>
              <w:rPr>
                <w:rFonts w:hAnsi="宋体" w:hint="eastAsia"/>
                <w:sz w:val="18"/>
                <w:szCs w:val="18"/>
              </w:rPr>
              <w:t>杨渠组</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13</w:t>
            </w:r>
            <w:r>
              <w:rPr>
                <w:rFonts w:hint="eastAsia"/>
                <w:sz w:val="18"/>
                <w:szCs w:val="18"/>
              </w:rPr>
              <w:t>户</w:t>
            </w:r>
            <w:r>
              <w:rPr>
                <w:rFonts w:hint="eastAsia"/>
                <w:sz w:val="18"/>
                <w:szCs w:val="18"/>
              </w:rPr>
              <w:t>42</w:t>
            </w:r>
            <w:r>
              <w:rPr>
                <w:rFonts w:hint="eastAsia"/>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val="restart"/>
            <w:tcMar>
              <w:left w:w="6" w:type="dxa"/>
              <w:right w:w="6" w:type="dxa"/>
            </w:tcMar>
            <w:vAlign w:val="center"/>
          </w:tcPr>
          <w:p w:rsidR="00C223F5" w:rsidRDefault="005860D5" w:rsidP="00F30F03">
            <w:pPr>
              <w:spacing w:line="300" w:lineRule="exact"/>
              <w:jc w:val="center"/>
              <w:rPr>
                <w:rFonts w:hAnsi="宋体"/>
                <w:sz w:val="18"/>
                <w:szCs w:val="18"/>
              </w:rPr>
            </w:pPr>
            <w:r>
              <w:rPr>
                <w:rFonts w:hAnsi="宋体"/>
                <w:sz w:val="18"/>
                <w:szCs w:val="18"/>
              </w:rPr>
              <w:t>王家峁</w:t>
            </w:r>
            <w:r>
              <w:rPr>
                <w:rFonts w:hAnsi="宋体" w:hint="eastAsia"/>
                <w:sz w:val="18"/>
                <w:szCs w:val="18"/>
              </w:rPr>
              <w:t>村</w:t>
            </w:r>
          </w:p>
        </w:tc>
        <w:tc>
          <w:tcPr>
            <w:tcW w:w="750" w:type="dxa"/>
            <w:tcMar>
              <w:left w:w="6" w:type="dxa"/>
              <w:right w:w="6" w:type="dxa"/>
            </w:tcMar>
            <w:vAlign w:val="center"/>
          </w:tcPr>
          <w:p w:rsidR="00C223F5" w:rsidRDefault="005860D5" w:rsidP="00F30F03">
            <w:pPr>
              <w:pStyle w:val="affffff7"/>
              <w:spacing w:line="300" w:lineRule="exact"/>
              <w:rPr>
                <w:sz w:val="18"/>
                <w:szCs w:val="18"/>
              </w:rPr>
            </w:pPr>
            <w:r>
              <w:rPr>
                <w:rFonts w:hAnsi="宋体"/>
                <w:sz w:val="18"/>
                <w:szCs w:val="18"/>
              </w:rPr>
              <w:t>庄科渠</w:t>
            </w:r>
            <w:r>
              <w:rPr>
                <w:rFonts w:hAnsi="宋体" w:hint="eastAsia"/>
                <w:sz w:val="18"/>
                <w:szCs w:val="18"/>
              </w:rPr>
              <w:t>组</w:t>
            </w:r>
          </w:p>
        </w:tc>
        <w:tc>
          <w:tcPr>
            <w:tcW w:w="1748" w:type="dxa"/>
            <w:vMerge w:val="restart"/>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井田北部，蚂蚁河两岸；最近距离采区边界约</w:t>
            </w:r>
            <w:r>
              <w:rPr>
                <w:rFonts w:hint="eastAsia"/>
                <w:sz w:val="18"/>
                <w:szCs w:val="18"/>
              </w:rPr>
              <w:t>200m</w:t>
            </w: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1</w:t>
            </w:r>
            <w:r>
              <w:rPr>
                <w:rFonts w:hint="eastAsia"/>
                <w:sz w:val="18"/>
                <w:szCs w:val="18"/>
              </w:rPr>
              <w:t>9</w:t>
            </w:r>
            <w:r>
              <w:rPr>
                <w:rFonts w:hAnsi="宋体"/>
                <w:sz w:val="18"/>
                <w:szCs w:val="18"/>
              </w:rPr>
              <w:t>户</w:t>
            </w:r>
            <w:r>
              <w:rPr>
                <w:rFonts w:hint="eastAsia"/>
                <w:sz w:val="18"/>
                <w:szCs w:val="18"/>
              </w:rPr>
              <w:t>76</w:t>
            </w:r>
            <w:r>
              <w:rPr>
                <w:rFonts w:hAnsi="宋体"/>
                <w:sz w:val="18"/>
                <w:szCs w:val="18"/>
              </w:rPr>
              <w:t>人</w:t>
            </w:r>
          </w:p>
        </w:tc>
        <w:tc>
          <w:tcPr>
            <w:tcW w:w="1492" w:type="dxa"/>
            <w:vMerge w:val="restart"/>
            <w:tcMar>
              <w:left w:w="6" w:type="dxa"/>
              <w:right w:w="6" w:type="dxa"/>
            </w:tcMar>
            <w:vAlign w:val="center"/>
          </w:tcPr>
          <w:p w:rsidR="00C223F5" w:rsidRDefault="005860D5" w:rsidP="00F30F03">
            <w:pPr>
              <w:pStyle w:val="affffff7"/>
              <w:spacing w:line="300" w:lineRule="exact"/>
              <w:rPr>
                <w:sz w:val="18"/>
                <w:szCs w:val="18"/>
              </w:rPr>
            </w:pPr>
            <w:r>
              <w:rPr>
                <w:sz w:val="18"/>
                <w:szCs w:val="18"/>
              </w:rPr>
              <w:t>地表沉陷影响</w:t>
            </w:r>
          </w:p>
        </w:tc>
        <w:tc>
          <w:tcPr>
            <w:tcW w:w="2258" w:type="dxa"/>
            <w:vMerge w:val="restart"/>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与工业场地及高速公路</w:t>
            </w:r>
          </w:p>
          <w:p w:rsidR="00C223F5" w:rsidRDefault="005860D5" w:rsidP="00F30F03">
            <w:pPr>
              <w:pStyle w:val="affffff7"/>
              <w:spacing w:line="300" w:lineRule="exact"/>
              <w:rPr>
                <w:sz w:val="18"/>
                <w:szCs w:val="18"/>
              </w:rPr>
            </w:pPr>
            <w:r>
              <w:rPr>
                <w:rFonts w:hint="eastAsia"/>
                <w:sz w:val="18"/>
                <w:szCs w:val="18"/>
              </w:rPr>
              <w:t>一并留设保护煤柱</w:t>
            </w: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pStyle w:val="affffff7"/>
              <w:spacing w:line="300" w:lineRule="exact"/>
              <w:rPr>
                <w:sz w:val="18"/>
                <w:szCs w:val="18"/>
              </w:rPr>
            </w:pPr>
          </w:p>
        </w:tc>
        <w:tc>
          <w:tcPr>
            <w:tcW w:w="750" w:type="dxa"/>
            <w:tcMar>
              <w:left w:w="6" w:type="dxa"/>
              <w:right w:w="6" w:type="dxa"/>
            </w:tcMar>
            <w:vAlign w:val="center"/>
          </w:tcPr>
          <w:p w:rsidR="00C223F5" w:rsidRDefault="005860D5" w:rsidP="00F30F03">
            <w:pPr>
              <w:pStyle w:val="affffff7"/>
              <w:spacing w:line="300" w:lineRule="exact"/>
              <w:rPr>
                <w:sz w:val="18"/>
                <w:szCs w:val="18"/>
              </w:rPr>
            </w:pPr>
            <w:r>
              <w:rPr>
                <w:rFonts w:hAnsi="宋体"/>
                <w:sz w:val="18"/>
                <w:szCs w:val="18"/>
              </w:rPr>
              <w:t>王家峁</w:t>
            </w:r>
            <w:r>
              <w:rPr>
                <w:rFonts w:hAnsi="宋体" w:hint="eastAsia"/>
                <w:sz w:val="18"/>
                <w:szCs w:val="18"/>
              </w:rPr>
              <w:t>组</w:t>
            </w:r>
          </w:p>
        </w:tc>
        <w:tc>
          <w:tcPr>
            <w:tcW w:w="1748" w:type="dxa"/>
            <w:vMerge/>
            <w:tcMar>
              <w:left w:w="6" w:type="dxa"/>
              <w:right w:w="6" w:type="dxa"/>
            </w:tcMar>
            <w:vAlign w:val="center"/>
          </w:tcPr>
          <w:p w:rsidR="00C223F5" w:rsidRDefault="00C223F5" w:rsidP="00F30F03">
            <w:pPr>
              <w:pStyle w:val="affffff7"/>
              <w:spacing w:line="300" w:lineRule="exact"/>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93</w:t>
            </w:r>
            <w:r>
              <w:rPr>
                <w:rFonts w:hAnsi="宋体"/>
                <w:sz w:val="18"/>
                <w:szCs w:val="18"/>
              </w:rPr>
              <w:t>户</w:t>
            </w:r>
            <w:r>
              <w:rPr>
                <w:rFonts w:hint="eastAsia"/>
                <w:sz w:val="18"/>
                <w:szCs w:val="18"/>
              </w:rPr>
              <w:t>379</w:t>
            </w:r>
            <w:r>
              <w:rPr>
                <w:rFonts w:hAnsi="宋体"/>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念枣坪</w:t>
            </w:r>
            <w:r>
              <w:rPr>
                <w:rFonts w:hAnsi="宋体" w:hint="eastAsia"/>
                <w:sz w:val="18"/>
                <w:szCs w:val="18"/>
              </w:rPr>
              <w:t>组</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27</w:t>
            </w:r>
            <w:r>
              <w:rPr>
                <w:sz w:val="18"/>
                <w:szCs w:val="18"/>
              </w:rPr>
              <w:t>户，</w:t>
            </w:r>
            <w:r>
              <w:rPr>
                <w:rFonts w:hint="eastAsia"/>
                <w:sz w:val="18"/>
                <w:szCs w:val="18"/>
              </w:rPr>
              <w:t>118</w:t>
            </w:r>
            <w:r>
              <w:rPr>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施阳台</w:t>
            </w:r>
            <w:r>
              <w:rPr>
                <w:rFonts w:hAnsi="宋体" w:hint="eastAsia"/>
                <w:sz w:val="18"/>
                <w:szCs w:val="18"/>
              </w:rPr>
              <w:t>组</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1</w:t>
            </w:r>
            <w:r>
              <w:rPr>
                <w:rFonts w:hint="eastAsia"/>
                <w:sz w:val="18"/>
                <w:szCs w:val="18"/>
              </w:rPr>
              <w:t>33</w:t>
            </w:r>
            <w:r>
              <w:rPr>
                <w:sz w:val="18"/>
                <w:szCs w:val="18"/>
              </w:rPr>
              <w:t>户，</w:t>
            </w:r>
            <w:r>
              <w:rPr>
                <w:rFonts w:hint="eastAsia"/>
                <w:sz w:val="18"/>
                <w:szCs w:val="18"/>
              </w:rPr>
              <w:t>503</w:t>
            </w:r>
            <w:r>
              <w:rPr>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50" w:type="dxa"/>
            <w:tcMar>
              <w:left w:w="6" w:type="dxa"/>
              <w:right w:w="6" w:type="dxa"/>
            </w:tcMar>
            <w:vAlign w:val="center"/>
          </w:tcPr>
          <w:p w:rsidR="00C223F5" w:rsidRDefault="005860D5" w:rsidP="00F30F03">
            <w:pPr>
              <w:spacing w:line="300" w:lineRule="exact"/>
              <w:jc w:val="center"/>
              <w:rPr>
                <w:rFonts w:hAnsi="宋体"/>
                <w:sz w:val="18"/>
                <w:szCs w:val="18"/>
              </w:rPr>
            </w:pPr>
            <w:r>
              <w:rPr>
                <w:rFonts w:hAnsi="宋体" w:hint="eastAsia"/>
                <w:sz w:val="18"/>
                <w:szCs w:val="18"/>
              </w:rPr>
              <w:t>刘石畔组</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37</w:t>
            </w:r>
            <w:r>
              <w:rPr>
                <w:sz w:val="18"/>
                <w:szCs w:val="18"/>
              </w:rPr>
              <w:t>户，</w:t>
            </w:r>
            <w:r>
              <w:rPr>
                <w:rFonts w:hint="eastAsia"/>
                <w:sz w:val="18"/>
                <w:szCs w:val="18"/>
              </w:rPr>
              <w:t>165</w:t>
            </w:r>
            <w:r>
              <w:rPr>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spacing w:line="300" w:lineRule="exact"/>
              <w:jc w:val="center"/>
              <w:rPr>
                <w:rFonts w:hAnsi="宋体"/>
                <w:sz w:val="18"/>
                <w:szCs w:val="18"/>
              </w:rPr>
            </w:pPr>
          </w:p>
        </w:tc>
        <w:tc>
          <w:tcPr>
            <w:tcW w:w="750" w:type="dxa"/>
            <w:tcMar>
              <w:left w:w="6" w:type="dxa"/>
              <w:right w:w="6" w:type="dxa"/>
            </w:tcMar>
            <w:vAlign w:val="center"/>
          </w:tcPr>
          <w:p w:rsidR="00C223F5" w:rsidRDefault="005860D5" w:rsidP="00F30F03">
            <w:pPr>
              <w:spacing w:line="300" w:lineRule="exact"/>
              <w:jc w:val="center"/>
              <w:rPr>
                <w:rFonts w:hAnsi="宋体"/>
                <w:sz w:val="18"/>
                <w:szCs w:val="18"/>
              </w:rPr>
            </w:pPr>
            <w:r>
              <w:rPr>
                <w:rFonts w:hAnsi="宋体" w:hint="eastAsia"/>
                <w:sz w:val="18"/>
                <w:szCs w:val="18"/>
              </w:rPr>
              <w:t>高台组</w:t>
            </w:r>
          </w:p>
        </w:tc>
        <w:tc>
          <w:tcPr>
            <w:tcW w:w="1748" w:type="dxa"/>
            <w:vMerge/>
            <w:tcMar>
              <w:left w:w="6" w:type="dxa"/>
              <w:right w:w="6" w:type="dxa"/>
            </w:tcMar>
            <w:vAlign w:val="center"/>
          </w:tcPr>
          <w:p w:rsidR="00C223F5" w:rsidRDefault="00C223F5" w:rsidP="00F30F03">
            <w:pPr>
              <w:spacing w:line="300" w:lineRule="exact"/>
              <w:jc w:val="center"/>
              <w:rPr>
                <w:sz w:val="18"/>
                <w:szCs w:val="18"/>
              </w:rPr>
            </w:pP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1</w:t>
            </w:r>
            <w:r>
              <w:rPr>
                <w:rFonts w:hint="eastAsia"/>
                <w:sz w:val="18"/>
                <w:szCs w:val="18"/>
              </w:rPr>
              <w:t>7</w:t>
            </w:r>
            <w:r>
              <w:rPr>
                <w:rFonts w:hAnsi="宋体"/>
                <w:sz w:val="18"/>
                <w:szCs w:val="18"/>
              </w:rPr>
              <w:t>户</w:t>
            </w:r>
            <w:r>
              <w:rPr>
                <w:rFonts w:hint="eastAsia"/>
                <w:sz w:val="18"/>
                <w:szCs w:val="18"/>
              </w:rPr>
              <w:t>68</w:t>
            </w:r>
            <w:r>
              <w:rPr>
                <w:rFonts w:hAnsi="宋体"/>
                <w:sz w:val="18"/>
                <w:szCs w:val="18"/>
              </w:rPr>
              <w:t>人</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748" w:type="dxa"/>
            <w:vMerge/>
            <w:tcMar>
              <w:left w:w="6" w:type="dxa"/>
              <w:right w:w="6" w:type="dxa"/>
            </w:tcMar>
            <w:vAlign w:val="center"/>
          </w:tcPr>
          <w:p w:rsidR="00C223F5" w:rsidRDefault="00C223F5" w:rsidP="00F30F03">
            <w:pPr>
              <w:spacing w:line="300" w:lineRule="exact"/>
              <w:jc w:val="center"/>
              <w:rPr>
                <w:sz w:val="18"/>
                <w:szCs w:val="18"/>
              </w:rPr>
            </w:pPr>
          </w:p>
        </w:tc>
        <w:tc>
          <w:tcPr>
            <w:tcW w:w="750" w:type="dxa"/>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蛤蟆峁</w:t>
            </w:r>
          </w:p>
        </w:tc>
        <w:tc>
          <w:tcPr>
            <w:tcW w:w="1748" w:type="dxa"/>
            <w:tcMar>
              <w:left w:w="6" w:type="dxa"/>
              <w:right w:w="6" w:type="dxa"/>
            </w:tcMar>
            <w:vAlign w:val="center"/>
          </w:tcPr>
          <w:p w:rsidR="00C223F5" w:rsidRDefault="005860D5" w:rsidP="00F30F03">
            <w:pPr>
              <w:spacing w:line="300" w:lineRule="exact"/>
              <w:jc w:val="center"/>
              <w:rPr>
                <w:sz w:val="18"/>
                <w:szCs w:val="18"/>
              </w:rPr>
            </w:pPr>
            <w:r>
              <w:rPr>
                <w:rFonts w:hint="eastAsia"/>
                <w:sz w:val="18"/>
                <w:szCs w:val="18"/>
              </w:rPr>
              <w:t>井田西北边界外，</w:t>
            </w:r>
          </w:p>
          <w:p w:rsidR="00C223F5" w:rsidRDefault="005860D5" w:rsidP="00F30F03">
            <w:pPr>
              <w:spacing w:line="300" w:lineRule="exact"/>
              <w:jc w:val="center"/>
              <w:rPr>
                <w:sz w:val="18"/>
                <w:szCs w:val="18"/>
              </w:rPr>
            </w:pPr>
            <w:r>
              <w:rPr>
                <w:rFonts w:hint="eastAsia"/>
                <w:sz w:val="18"/>
                <w:szCs w:val="18"/>
              </w:rPr>
              <w:t>距采区边界约</w:t>
            </w:r>
            <w:r>
              <w:rPr>
                <w:rFonts w:hint="eastAsia"/>
                <w:sz w:val="18"/>
                <w:szCs w:val="18"/>
              </w:rPr>
              <w:t>790m</w:t>
            </w:r>
          </w:p>
        </w:tc>
        <w:tc>
          <w:tcPr>
            <w:tcW w:w="1617" w:type="dxa"/>
            <w:tcMar>
              <w:left w:w="6" w:type="dxa"/>
              <w:right w:w="6" w:type="dxa"/>
            </w:tcMar>
            <w:vAlign w:val="center"/>
          </w:tcPr>
          <w:p w:rsidR="00C223F5" w:rsidRDefault="005860D5" w:rsidP="00F30F03">
            <w:pPr>
              <w:pStyle w:val="affffff7"/>
              <w:spacing w:line="300" w:lineRule="exact"/>
              <w:rPr>
                <w:sz w:val="18"/>
                <w:szCs w:val="18"/>
              </w:rPr>
            </w:pPr>
            <w:r>
              <w:rPr>
                <w:sz w:val="18"/>
                <w:szCs w:val="18"/>
              </w:rPr>
              <w:t>18</w:t>
            </w:r>
            <w:r>
              <w:rPr>
                <w:sz w:val="18"/>
                <w:szCs w:val="18"/>
              </w:rPr>
              <w:t>户，</w:t>
            </w:r>
            <w:r>
              <w:rPr>
                <w:sz w:val="18"/>
                <w:szCs w:val="18"/>
              </w:rPr>
              <w:t>69</w:t>
            </w:r>
            <w:r>
              <w:rPr>
                <w:sz w:val="18"/>
                <w:szCs w:val="18"/>
              </w:rPr>
              <w:t>人</w:t>
            </w:r>
          </w:p>
        </w:tc>
        <w:tc>
          <w:tcPr>
            <w:tcW w:w="1492" w:type="dxa"/>
            <w:vMerge w:val="restart"/>
            <w:tcMar>
              <w:left w:w="6" w:type="dxa"/>
              <w:right w:w="6" w:type="dxa"/>
            </w:tcMar>
            <w:vAlign w:val="center"/>
          </w:tcPr>
          <w:p w:rsidR="00C223F5" w:rsidRDefault="005860D5" w:rsidP="00F30F03">
            <w:pPr>
              <w:pStyle w:val="affffff7"/>
              <w:spacing w:line="300" w:lineRule="exact"/>
              <w:rPr>
                <w:sz w:val="18"/>
                <w:szCs w:val="18"/>
              </w:rPr>
            </w:pPr>
            <w:r>
              <w:rPr>
                <w:sz w:val="18"/>
                <w:szCs w:val="18"/>
              </w:rPr>
              <w:t>地表沉陷影响</w:t>
            </w:r>
          </w:p>
        </w:tc>
        <w:tc>
          <w:tcPr>
            <w:tcW w:w="2258" w:type="dxa"/>
            <w:vMerge w:val="restart"/>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不受采煤沉陷影响</w:t>
            </w: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spacing w:line="300" w:lineRule="exact"/>
              <w:jc w:val="center"/>
              <w:rPr>
                <w:sz w:val="18"/>
                <w:szCs w:val="18"/>
              </w:rPr>
            </w:pPr>
          </w:p>
        </w:tc>
        <w:tc>
          <w:tcPr>
            <w:tcW w:w="1498" w:type="dxa"/>
            <w:gridSpan w:val="2"/>
            <w:tcMar>
              <w:left w:w="6" w:type="dxa"/>
              <w:right w:w="6" w:type="dxa"/>
            </w:tcMar>
            <w:vAlign w:val="center"/>
          </w:tcPr>
          <w:p w:rsidR="00C223F5" w:rsidRDefault="005860D5" w:rsidP="00F30F03">
            <w:pPr>
              <w:spacing w:line="300" w:lineRule="exact"/>
              <w:jc w:val="center"/>
              <w:rPr>
                <w:sz w:val="18"/>
                <w:szCs w:val="18"/>
              </w:rPr>
            </w:pPr>
            <w:r>
              <w:rPr>
                <w:rFonts w:hAnsi="宋体"/>
                <w:sz w:val="18"/>
                <w:szCs w:val="18"/>
              </w:rPr>
              <w:t>魏家楼乡</w:t>
            </w:r>
          </w:p>
        </w:tc>
        <w:tc>
          <w:tcPr>
            <w:tcW w:w="3365" w:type="dxa"/>
            <w:gridSpan w:val="2"/>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井田东北边界外</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val="restart"/>
            <w:tcMar>
              <w:left w:w="6" w:type="dxa"/>
              <w:right w:w="6" w:type="dxa"/>
            </w:tcMar>
            <w:vAlign w:val="center"/>
          </w:tcPr>
          <w:p w:rsidR="00C223F5" w:rsidRDefault="005860D5" w:rsidP="00F30F03">
            <w:pPr>
              <w:pStyle w:val="affffff7"/>
              <w:spacing w:line="300" w:lineRule="exact"/>
              <w:rPr>
                <w:sz w:val="18"/>
                <w:szCs w:val="18"/>
              </w:rPr>
            </w:pPr>
            <w:r>
              <w:rPr>
                <w:sz w:val="18"/>
                <w:szCs w:val="18"/>
              </w:rPr>
              <w:t>工业</w:t>
            </w:r>
          </w:p>
          <w:p w:rsidR="00C223F5" w:rsidRDefault="005860D5" w:rsidP="00F30F03">
            <w:pPr>
              <w:pStyle w:val="affffff7"/>
              <w:spacing w:line="300" w:lineRule="exact"/>
              <w:rPr>
                <w:sz w:val="18"/>
                <w:szCs w:val="18"/>
              </w:rPr>
            </w:pPr>
            <w:r>
              <w:rPr>
                <w:sz w:val="18"/>
                <w:szCs w:val="18"/>
              </w:rPr>
              <w:t>企业</w:t>
            </w:r>
          </w:p>
        </w:tc>
        <w:tc>
          <w:tcPr>
            <w:tcW w:w="1498" w:type="dxa"/>
            <w:gridSpan w:val="2"/>
            <w:tcMar>
              <w:left w:w="6" w:type="dxa"/>
              <w:right w:w="6" w:type="dxa"/>
            </w:tcMar>
            <w:vAlign w:val="center"/>
          </w:tcPr>
          <w:p w:rsidR="00C223F5" w:rsidRDefault="005860D5" w:rsidP="00F30F03">
            <w:pPr>
              <w:pStyle w:val="affffff7"/>
              <w:spacing w:line="300" w:lineRule="exact"/>
              <w:rPr>
                <w:sz w:val="18"/>
                <w:szCs w:val="18"/>
              </w:rPr>
            </w:pPr>
            <w:r>
              <w:rPr>
                <w:sz w:val="18"/>
                <w:szCs w:val="18"/>
              </w:rPr>
              <w:t>油</w:t>
            </w:r>
            <w:r>
              <w:rPr>
                <w:rFonts w:hint="eastAsia"/>
                <w:sz w:val="18"/>
                <w:szCs w:val="18"/>
              </w:rPr>
              <w:t>气</w:t>
            </w:r>
            <w:r>
              <w:rPr>
                <w:sz w:val="18"/>
                <w:szCs w:val="18"/>
              </w:rPr>
              <w:t>井</w:t>
            </w:r>
          </w:p>
        </w:tc>
        <w:tc>
          <w:tcPr>
            <w:tcW w:w="3365" w:type="dxa"/>
            <w:gridSpan w:val="2"/>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井田内零星分布，评价区内共计</w:t>
            </w:r>
            <w:r>
              <w:rPr>
                <w:rFonts w:hint="eastAsia"/>
                <w:sz w:val="18"/>
                <w:szCs w:val="18"/>
              </w:rPr>
              <w:t>72</w:t>
            </w:r>
            <w:r>
              <w:rPr>
                <w:rFonts w:hint="eastAsia"/>
                <w:sz w:val="18"/>
                <w:szCs w:val="18"/>
              </w:rPr>
              <w:t>处井场，其中正在生产的</w:t>
            </w:r>
            <w:r>
              <w:rPr>
                <w:rFonts w:hint="eastAsia"/>
                <w:sz w:val="18"/>
                <w:szCs w:val="18"/>
              </w:rPr>
              <w:t>55</w:t>
            </w:r>
            <w:r>
              <w:rPr>
                <w:rFonts w:hint="eastAsia"/>
                <w:sz w:val="18"/>
                <w:szCs w:val="18"/>
              </w:rPr>
              <w:t>处</w:t>
            </w:r>
          </w:p>
        </w:tc>
        <w:tc>
          <w:tcPr>
            <w:tcW w:w="1492" w:type="dxa"/>
            <w:vMerge w:val="restart"/>
            <w:tcMar>
              <w:left w:w="6" w:type="dxa"/>
              <w:right w:w="6" w:type="dxa"/>
            </w:tcMar>
            <w:vAlign w:val="center"/>
          </w:tcPr>
          <w:p w:rsidR="00C223F5" w:rsidRDefault="005860D5" w:rsidP="00F30F03">
            <w:pPr>
              <w:pStyle w:val="affffff7"/>
              <w:spacing w:line="300" w:lineRule="exact"/>
              <w:rPr>
                <w:sz w:val="18"/>
                <w:szCs w:val="18"/>
              </w:rPr>
            </w:pPr>
            <w:r>
              <w:rPr>
                <w:sz w:val="18"/>
                <w:szCs w:val="18"/>
              </w:rPr>
              <w:t>地表沉陷影响</w:t>
            </w:r>
          </w:p>
        </w:tc>
        <w:tc>
          <w:tcPr>
            <w:tcW w:w="2258" w:type="dxa"/>
            <w:vMerge w:val="restart"/>
            <w:tcMar>
              <w:left w:w="6" w:type="dxa"/>
              <w:right w:w="6" w:type="dxa"/>
            </w:tcMar>
            <w:vAlign w:val="center"/>
          </w:tcPr>
          <w:p w:rsidR="00C223F5" w:rsidRDefault="005860D5" w:rsidP="00F30F03">
            <w:pPr>
              <w:pStyle w:val="affffff7"/>
              <w:spacing w:line="300" w:lineRule="exact"/>
              <w:rPr>
                <w:sz w:val="18"/>
                <w:szCs w:val="18"/>
              </w:rPr>
            </w:pPr>
            <w:r>
              <w:rPr>
                <w:sz w:val="18"/>
                <w:szCs w:val="18"/>
              </w:rPr>
              <w:t>留设保护煤柱，不受采煤</w:t>
            </w:r>
          </w:p>
          <w:p w:rsidR="00C223F5" w:rsidRDefault="005860D5" w:rsidP="00F30F03">
            <w:pPr>
              <w:pStyle w:val="affffff7"/>
              <w:spacing w:line="300" w:lineRule="exact"/>
              <w:rPr>
                <w:sz w:val="18"/>
                <w:szCs w:val="18"/>
              </w:rPr>
            </w:pPr>
            <w:r>
              <w:rPr>
                <w:sz w:val="18"/>
                <w:szCs w:val="18"/>
              </w:rPr>
              <w:t>沉陷影响</w:t>
            </w: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pStyle w:val="affffff7"/>
              <w:spacing w:line="300" w:lineRule="exact"/>
              <w:rPr>
                <w:sz w:val="18"/>
                <w:szCs w:val="18"/>
              </w:rPr>
            </w:pPr>
          </w:p>
        </w:tc>
        <w:tc>
          <w:tcPr>
            <w:tcW w:w="1498" w:type="dxa"/>
            <w:gridSpan w:val="2"/>
            <w:tcMar>
              <w:left w:w="6" w:type="dxa"/>
              <w:right w:w="6" w:type="dxa"/>
            </w:tcMar>
            <w:vAlign w:val="center"/>
          </w:tcPr>
          <w:p w:rsidR="00C223F5" w:rsidRDefault="005860D5" w:rsidP="00F30F03">
            <w:pPr>
              <w:pStyle w:val="affffff7"/>
              <w:spacing w:line="300" w:lineRule="exact"/>
              <w:rPr>
                <w:sz w:val="18"/>
                <w:szCs w:val="18"/>
              </w:rPr>
            </w:pPr>
            <w:r>
              <w:rPr>
                <w:sz w:val="18"/>
                <w:szCs w:val="18"/>
              </w:rPr>
              <w:t>后麻地沟二大队部脱水站</w:t>
            </w:r>
          </w:p>
        </w:tc>
        <w:tc>
          <w:tcPr>
            <w:tcW w:w="3365" w:type="dxa"/>
            <w:gridSpan w:val="2"/>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二盘区西南角</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r w:rsidR="00C223F5">
        <w:trPr>
          <w:cantSplit/>
          <w:trHeight w:val="139"/>
          <w:jc w:val="center"/>
        </w:trPr>
        <w:tc>
          <w:tcPr>
            <w:tcW w:w="537" w:type="dxa"/>
            <w:vMerge/>
            <w:vAlign w:val="center"/>
          </w:tcPr>
          <w:p w:rsidR="00C223F5" w:rsidRDefault="00C223F5" w:rsidP="00F30F03">
            <w:pPr>
              <w:pStyle w:val="affffff7"/>
              <w:spacing w:line="300" w:lineRule="exact"/>
              <w:rPr>
                <w:sz w:val="18"/>
                <w:szCs w:val="18"/>
              </w:rPr>
            </w:pPr>
          </w:p>
        </w:tc>
        <w:tc>
          <w:tcPr>
            <w:tcW w:w="430" w:type="dxa"/>
            <w:vMerge/>
            <w:tcMar>
              <w:left w:w="6" w:type="dxa"/>
              <w:right w:w="6" w:type="dxa"/>
            </w:tcMar>
            <w:vAlign w:val="center"/>
          </w:tcPr>
          <w:p w:rsidR="00C223F5" w:rsidRDefault="00C223F5" w:rsidP="00F30F03">
            <w:pPr>
              <w:pStyle w:val="affffff7"/>
              <w:spacing w:line="300" w:lineRule="exact"/>
              <w:rPr>
                <w:sz w:val="18"/>
                <w:szCs w:val="18"/>
              </w:rPr>
            </w:pPr>
          </w:p>
        </w:tc>
        <w:tc>
          <w:tcPr>
            <w:tcW w:w="343" w:type="dxa"/>
            <w:vMerge/>
            <w:tcMar>
              <w:left w:w="6" w:type="dxa"/>
              <w:right w:w="6" w:type="dxa"/>
            </w:tcMar>
            <w:vAlign w:val="center"/>
          </w:tcPr>
          <w:p w:rsidR="00C223F5" w:rsidRDefault="00C223F5" w:rsidP="00F30F03">
            <w:pPr>
              <w:pStyle w:val="affffff7"/>
              <w:spacing w:line="300" w:lineRule="exact"/>
              <w:rPr>
                <w:sz w:val="18"/>
                <w:szCs w:val="18"/>
              </w:rPr>
            </w:pPr>
          </w:p>
        </w:tc>
        <w:tc>
          <w:tcPr>
            <w:tcW w:w="1498" w:type="dxa"/>
            <w:gridSpan w:val="2"/>
            <w:tcMar>
              <w:left w:w="6" w:type="dxa"/>
              <w:right w:w="6" w:type="dxa"/>
            </w:tcMar>
            <w:vAlign w:val="center"/>
          </w:tcPr>
          <w:p w:rsidR="00C223F5" w:rsidRDefault="005860D5" w:rsidP="00F30F03">
            <w:pPr>
              <w:pStyle w:val="affffff7"/>
              <w:spacing w:line="300" w:lineRule="exact"/>
              <w:rPr>
                <w:sz w:val="18"/>
                <w:szCs w:val="18"/>
              </w:rPr>
            </w:pPr>
            <w:r>
              <w:rPr>
                <w:sz w:val="18"/>
                <w:szCs w:val="18"/>
              </w:rPr>
              <w:t>后麻地</w:t>
            </w:r>
            <w:r>
              <w:rPr>
                <w:rFonts w:hint="eastAsia"/>
                <w:sz w:val="18"/>
                <w:szCs w:val="18"/>
              </w:rPr>
              <w:t>采注二站</w:t>
            </w:r>
          </w:p>
        </w:tc>
        <w:tc>
          <w:tcPr>
            <w:tcW w:w="3365" w:type="dxa"/>
            <w:gridSpan w:val="2"/>
            <w:tcMar>
              <w:left w:w="6" w:type="dxa"/>
              <w:right w:w="6" w:type="dxa"/>
            </w:tcMar>
            <w:vAlign w:val="center"/>
          </w:tcPr>
          <w:p w:rsidR="00C223F5" w:rsidRDefault="005860D5" w:rsidP="00F30F03">
            <w:pPr>
              <w:pStyle w:val="affffff7"/>
              <w:spacing w:line="300" w:lineRule="exact"/>
              <w:rPr>
                <w:sz w:val="18"/>
                <w:szCs w:val="18"/>
              </w:rPr>
            </w:pPr>
            <w:r>
              <w:rPr>
                <w:rFonts w:hint="eastAsia"/>
                <w:sz w:val="18"/>
                <w:szCs w:val="18"/>
              </w:rPr>
              <w:t>三盘区西北角</w:t>
            </w:r>
          </w:p>
        </w:tc>
        <w:tc>
          <w:tcPr>
            <w:tcW w:w="1492" w:type="dxa"/>
            <w:vMerge/>
            <w:tcMar>
              <w:left w:w="6" w:type="dxa"/>
              <w:right w:w="6" w:type="dxa"/>
            </w:tcMar>
            <w:vAlign w:val="center"/>
          </w:tcPr>
          <w:p w:rsidR="00C223F5" w:rsidRDefault="00C223F5" w:rsidP="00F30F03">
            <w:pPr>
              <w:pStyle w:val="affffff7"/>
              <w:spacing w:line="300" w:lineRule="exact"/>
              <w:rPr>
                <w:sz w:val="18"/>
                <w:szCs w:val="18"/>
              </w:rPr>
            </w:pPr>
          </w:p>
        </w:tc>
        <w:tc>
          <w:tcPr>
            <w:tcW w:w="2258" w:type="dxa"/>
            <w:vMerge/>
            <w:tcMar>
              <w:left w:w="6" w:type="dxa"/>
              <w:right w:w="6" w:type="dxa"/>
            </w:tcMar>
            <w:vAlign w:val="center"/>
          </w:tcPr>
          <w:p w:rsidR="00C223F5" w:rsidRDefault="00C223F5" w:rsidP="00F30F03">
            <w:pPr>
              <w:pStyle w:val="affffff7"/>
              <w:spacing w:line="300" w:lineRule="exact"/>
              <w:rPr>
                <w:sz w:val="18"/>
                <w:szCs w:val="18"/>
              </w:rPr>
            </w:pPr>
          </w:p>
        </w:tc>
      </w:tr>
    </w:tbl>
    <w:p w:rsidR="00BA7F0A" w:rsidRDefault="00BA7F0A">
      <w:pPr>
        <w:adjustRightInd w:val="0"/>
        <w:jc w:val="center"/>
        <w:rPr>
          <w:b/>
          <w:sz w:val="24"/>
        </w:rPr>
      </w:pPr>
    </w:p>
    <w:p w:rsidR="00BA7F0A" w:rsidRDefault="00BA7F0A">
      <w:pPr>
        <w:adjustRightInd w:val="0"/>
        <w:jc w:val="center"/>
        <w:rPr>
          <w:b/>
          <w:sz w:val="24"/>
        </w:rPr>
      </w:pPr>
    </w:p>
    <w:p w:rsidR="00C223F5" w:rsidRDefault="005860D5">
      <w:pPr>
        <w:adjustRightInd w:val="0"/>
        <w:jc w:val="center"/>
      </w:pPr>
      <w:r>
        <w:rPr>
          <w:rFonts w:hint="eastAsia"/>
          <w:b/>
          <w:sz w:val="24"/>
        </w:rPr>
        <w:lastRenderedPageBreak/>
        <w:t>续</w:t>
      </w:r>
      <w:r>
        <w:rPr>
          <w:b/>
          <w:sz w:val="24"/>
        </w:rPr>
        <w:t>表</w:t>
      </w:r>
      <w:r>
        <w:rPr>
          <w:rFonts w:hint="eastAsia"/>
          <w:b/>
          <w:sz w:val="24"/>
        </w:rPr>
        <w:t>1.6-</w:t>
      </w:r>
      <w:r w:rsidR="009B7E9D">
        <w:rPr>
          <w:rFonts w:hint="eastAsia"/>
          <w:b/>
          <w:sz w:val="24"/>
        </w:rPr>
        <w:t>1</w:t>
      </w:r>
      <w:r>
        <w:rPr>
          <w:rFonts w:hint="eastAsia"/>
          <w:b/>
          <w:sz w:val="24"/>
        </w:rPr>
        <w:t xml:space="preserve">   </w:t>
      </w:r>
      <w:r>
        <w:rPr>
          <w:b/>
          <w:sz w:val="24"/>
        </w:rPr>
        <w:t>主要环境保护目标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26"/>
        <w:gridCol w:w="420"/>
        <w:gridCol w:w="330"/>
        <w:gridCol w:w="426"/>
        <w:gridCol w:w="1089"/>
        <w:gridCol w:w="2312"/>
        <w:gridCol w:w="1054"/>
        <w:gridCol w:w="1492"/>
        <w:gridCol w:w="2274"/>
      </w:tblGrid>
      <w:tr w:rsidR="00C223F5">
        <w:trPr>
          <w:cantSplit/>
          <w:trHeight w:val="139"/>
          <w:jc w:val="center"/>
        </w:trPr>
        <w:tc>
          <w:tcPr>
            <w:tcW w:w="526" w:type="dxa"/>
            <w:vAlign w:val="center"/>
          </w:tcPr>
          <w:p w:rsidR="00C223F5" w:rsidRPr="00925B84" w:rsidRDefault="005860D5" w:rsidP="00590CD6">
            <w:pPr>
              <w:pStyle w:val="affffff7"/>
              <w:spacing w:line="260" w:lineRule="exact"/>
              <w:rPr>
                <w:color w:val="auto"/>
                <w:sz w:val="18"/>
                <w:szCs w:val="18"/>
              </w:rPr>
            </w:pPr>
            <w:r w:rsidRPr="00925B84">
              <w:rPr>
                <w:color w:val="auto"/>
                <w:sz w:val="18"/>
                <w:szCs w:val="18"/>
              </w:rPr>
              <w:t>影响</w:t>
            </w:r>
          </w:p>
          <w:p w:rsidR="00C223F5" w:rsidRPr="00925B84" w:rsidRDefault="005860D5" w:rsidP="00590CD6">
            <w:pPr>
              <w:pStyle w:val="affffff7"/>
              <w:spacing w:line="260" w:lineRule="exact"/>
              <w:rPr>
                <w:color w:val="auto"/>
                <w:sz w:val="18"/>
                <w:szCs w:val="18"/>
              </w:rPr>
            </w:pPr>
            <w:r w:rsidRPr="00925B84">
              <w:rPr>
                <w:color w:val="auto"/>
                <w:sz w:val="18"/>
                <w:szCs w:val="18"/>
              </w:rPr>
              <w:t>区域</w:t>
            </w:r>
          </w:p>
        </w:tc>
        <w:tc>
          <w:tcPr>
            <w:tcW w:w="420" w:type="dxa"/>
            <w:tcMar>
              <w:left w:w="6" w:type="dxa"/>
              <w:right w:w="6" w:type="dxa"/>
            </w:tcMar>
            <w:vAlign w:val="center"/>
          </w:tcPr>
          <w:p w:rsidR="00C223F5" w:rsidRPr="00925B84" w:rsidRDefault="005860D5" w:rsidP="00590CD6">
            <w:pPr>
              <w:pStyle w:val="affffff7"/>
              <w:spacing w:line="260" w:lineRule="exact"/>
              <w:rPr>
                <w:color w:val="auto"/>
                <w:sz w:val="18"/>
                <w:szCs w:val="18"/>
              </w:rPr>
            </w:pPr>
            <w:r w:rsidRPr="00925B84">
              <w:rPr>
                <w:color w:val="auto"/>
                <w:sz w:val="18"/>
                <w:szCs w:val="18"/>
              </w:rPr>
              <w:t>环境</w:t>
            </w:r>
          </w:p>
          <w:p w:rsidR="00C223F5" w:rsidRPr="00925B84" w:rsidRDefault="005860D5" w:rsidP="00590CD6">
            <w:pPr>
              <w:pStyle w:val="affffff7"/>
              <w:spacing w:line="260" w:lineRule="exact"/>
              <w:rPr>
                <w:color w:val="auto"/>
                <w:sz w:val="18"/>
                <w:szCs w:val="18"/>
              </w:rPr>
            </w:pPr>
            <w:r w:rsidRPr="00925B84">
              <w:rPr>
                <w:color w:val="auto"/>
                <w:sz w:val="18"/>
                <w:szCs w:val="18"/>
              </w:rPr>
              <w:t>要素</w:t>
            </w:r>
          </w:p>
        </w:tc>
        <w:tc>
          <w:tcPr>
            <w:tcW w:w="1845" w:type="dxa"/>
            <w:gridSpan w:val="3"/>
            <w:tcMar>
              <w:left w:w="6" w:type="dxa"/>
              <w:right w:w="6" w:type="dxa"/>
            </w:tcMar>
            <w:vAlign w:val="center"/>
          </w:tcPr>
          <w:p w:rsidR="00C223F5" w:rsidRPr="00925B84" w:rsidRDefault="005860D5" w:rsidP="00590CD6">
            <w:pPr>
              <w:pStyle w:val="affffff7"/>
              <w:spacing w:line="260" w:lineRule="exact"/>
              <w:rPr>
                <w:color w:val="auto"/>
                <w:sz w:val="18"/>
                <w:szCs w:val="18"/>
              </w:rPr>
            </w:pPr>
            <w:r w:rsidRPr="00925B84">
              <w:rPr>
                <w:color w:val="auto"/>
                <w:sz w:val="18"/>
                <w:szCs w:val="18"/>
              </w:rPr>
              <w:t>保护对象</w:t>
            </w:r>
          </w:p>
        </w:tc>
        <w:tc>
          <w:tcPr>
            <w:tcW w:w="3366" w:type="dxa"/>
            <w:gridSpan w:val="2"/>
            <w:tcMar>
              <w:left w:w="6" w:type="dxa"/>
              <w:right w:w="6" w:type="dxa"/>
            </w:tcMar>
            <w:vAlign w:val="center"/>
          </w:tcPr>
          <w:p w:rsidR="00C223F5" w:rsidRPr="00925B84" w:rsidRDefault="005860D5" w:rsidP="00590CD6">
            <w:pPr>
              <w:pStyle w:val="affffff7"/>
              <w:spacing w:line="260" w:lineRule="exact"/>
              <w:rPr>
                <w:color w:val="auto"/>
                <w:sz w:val="18"/>
                <w:szCs w:val="18"/>
              </w:rPr>
            </w:pPr>
            <w:r w:rsidRPr="00925B84">
              <w:rPr>
                <w:color w:val="auto"/>
                <w:sz w:val="18"/>
                <w:szCs w:val="18"/>
              </w:rPr>
              <w:t>在评价区的位置</w:t>
            </w:r>
          </w:p>
        </w:tc>
        <w:tc>
          <w:tcPr>
            <w:tcW w:w="1492" w:type="dxa"/>
            <w:tcMar>
              <w:left w:w="6" w:type="dxa"/>
              <w:right w:w="6" w:type="dxa"/>
            </w:tcMar>
            <w:vAlign w:val="center"/>
          </w:tcPr>
          <w:p w:rsidR="00C223F5" w:rsidRPr="00925B84" w:rsidRDefault="005860D5" w:rsidP="00590CD6">
            <w:pPr>
              <w:pStyle w:val="affffff7"/>
              <w:spacing w:line="260" w:lineRule="exact"/>
              <w:rPr>
                <w:color w:val="auto"/>
                <w:sz w:val="18"/>
                <w:szCs w:val="18"/>
              </w:rPr>
            </w:pPr>
            <w:r w:rsidRPr="00925B84">
              <w:rPr>
                <w:color w:val="auto"/>
                <w:sz w:val="18"/>
                <w:szCs w:val="18"/>
              </w:rPr>
              <w:t>原因</w:t>
            </w:r>
          </w:p>
        </w:tc>
        <w:tc>
          <w:tcPr>
            <w:tcW w:w="2274" w:type="dxa"/>
            <w:tcMar>
              <w:left w:w="6" w:type="dxa"/>
              <w:right w:w="6" w:type="dxa"/>
            </w:tcMar>
            <w:vAlign w:val="center"/>
          </w:tcPr>
          <w:p w:rsidR="00C223F5" w:rsidRPr="00925B84" w:rsidRDefault="005860D5" w:rsidP="00590CD6">
            <w:pPr>
              <w:pStyle w:val="affffff7"/>
              <w:spacing w:line="260" w:lineRule="exact"/>
              <w:rPr>
                <w:color w:val="auto"/>
                <w:sz w:val="18"/>
                <w:szCs w:val="18"/>
              </w:rPr>
            </w:pPr>
            <w:r w:rsidRPr="00925B84">
              <w:rPr>
                <w:color w:val="auto"/>
                <w:sz w:val="18"/>
                <w:szCs w:val="18"/>
              </w:rPr>
              <w:t>达到的标准或要求</w:t>
            </w:r>
          </w:p>
        </w:tc>
      </w:tr>
      <w:tr w:rsidR="00BA7F0A" w:rsidTr="00BA7F0A">
        <w:trPr>
          <w:cantSplit/>
          <w:trHeight w:val="387"/>
          <w:jc w:val="center"/>
        </w:trPr>
        <w:tc>
          <w:tcPr>
            <w:tcW w:w="526" w:type="dxa"/>
            <w:vMerge w:val="restart"/>
            <w:vAlign w:val="center"/>
          </w:tcPr>
          <w:p w:rsidR="00BA7F0A" w:rsidRPr="00925B84" w:rsidRDefault="00BA7F0A" w:rsidP="00590CD6">
            <w:pPr>
              <w:pStyle w:val="affffff7"/>
              <w:spacing w:line="260" w:lineRule="exact"/>
              <w:rPr>
                <w:color w:val="auto"/>
                <w:sz w:val="18"/>
                <w:szCs w:val="18"/>
              </w:rPr>
            </w:pPr>
            <w:r w:rsidRPr="00925B84">
              <w:rPr>
                <w:color w:val="auto"/>
                <w:sz w:val="18"/>
                <w:szCs w:val="18"/>
              </w:rPr>
              <w:t>井田及</w:t>
            </w:r>
          </w:p>
          <w:p w:rsidR="00BA7F0A" w:rsidRPr="00925B84" w:rsidRDefault="00BA7F0A" w:rsidP="00590CD6">
            <w:pPr>
              <w:pStyle w:val="affffff7"/>
              <w:spacing w:line="260" w:lineRule="exact"/>
              <w:rPr>
                <w:color w:val="auto"/>
                <w:sz w:val="18"/>
                <w:szCs w:val="18"/>
              </w:rPr>
            </w:pPr>
            <w:r w:rsidRPr="00925B84">
              <w:rPr>
                <w:color w:val="auto"/>
                <w:sz w:val="18"/>
                <w:szCs w:val="18"/>
              </w:rPr>
              <w:t>周围</w:t>
            </w:r>
            <w:r w:rsidRPr="00925B84">
              <w:rPr>
                <w:color w:val="auto"/>
                <w:sz w:val="18"/>
                <w:szCs w:val="18"/>
              </w:rPr>
              <w:t>500m</w:t>
            </w:r>
          </w:p>
          <w:p w:rsidR="00BA7F0A" w:rsidRPr="00925B84" w:rsidRDefault="00BA7F0A" w:rsidP="00590CD6">
            <w:pPr>
              <w:pStyle w:val="affffff7"/>
              <w:spacing w:line="260" w:lineRule="exact"/>
              <w:rPr>
                <w:color w:val="auto"/>
                <w:sz w:val="18"/>
                <w:szCs w:val="18"/>
              </w:rPr>
            </w:pPr>
            <w:r w:rsidRPr="00925B84">
              <w:rPr>
                <w:color w:val="auto"/>
                <w:sz w:val="18"/>
                <w:szCs w:val="18"/>
              </w:rPr>
              <w:t>区域</w:t>
            </w:r>
          </w:p>
        </w:tc>
        <w:tc>
          <w:tcPr>
            <w:tcW w:w="420" w:type="dxa"/>
            <w:vMerge w:val="restart"/>
            <w:tcMar>
              <w:left w:w="6" w:type="dxa"/>
              <w:right w:w="6" w:type="dxa"/>
            </w:tcMar>
            <w:vAlign w:val="center"/>
          </w:tcPr>
          <w:p w:rsidR="00BA7F0A" w:rsidRPr="00925B84" w:rsidRDefault="00BA7F0A" w:rsidP="00590CD6">
            <w:pPr>
              <w:pStyle w:val="affffff7"/>
              <w:spacing w:line="260" w:lineRule="exact"/>
              <w:rPr>
                <w:color w:val="auto"/>
                <w:sz w:val="18"/>
                <w:szCs w:val="18"/>
              </w:rPr>
            </w:pPr>
            <w:r>
              <w:rPr>
                <w:sz w:val="18"/>
                <w:szCs w:val="18"/>
              </w:rPr>
              <w:t>生态及地表沉陷</w:t>
            </w:r>
          </w:p>
        </w:tc>
        <w:tc>
          <w:tcPr>
            <w:tcW w:w="330" w:type="dxa"/>
            <w:vMerge w:val="restart"/>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color w:val="auto"/>
                <w:sz w:val="18"/>
                <w:szCs w:val="18"/>
              </w:rPr>
              <w:t>基础</w:t>
            </w:r>
          </w:p>
          <w:p w:rsidR="00BA7F0A" w:rsidRPr="00925B84" w:rsidRDefault="00BA7F0A" w:rsidP="00590CD6">
            <w:pPr>
              <w:pStyle w:val="affffff7"/>
              <w:spacing w:line="260" w:lineRule="exact"/>
              <w:rPr>
                <w:color w:val="auto"/>
                <w:sz w:val="18"/>
                <w:szCs w:val="18"/>
              </w:rPr>
            </w:pPr>
            <w:r w:rsidRPr="00925B84">
              <w:rPr>
                <w:color w:val="auto"/>
                <w:sz w:val="18"/>
                <w:szCs w:val="18"/>
              </w:rPr>
              <w:t>设施</w:t>
            </w:r>
          </w:p>
        </w:tc>
        <w:tc>
          <w:tcPr>
            <w:tcW w:w="1515" w:type="dxa"/>
            <w:gridSpan w:val="2"/>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rFonts w:hint="eastAsia"/>
                <w:color w:val="auto"/>
                <w:sz w:val="18"/>
                <w:szCs w:val="18"/>
              </w:rPr>
              <w:t>750kV</w:t>
            </w:r>
            <w:r w:rsidRPr="00925B84">
              <w:rPr>
                <w:rFonts w:hint="eastAsia"/>
                <w:color w:val="auto"/>
                <w:sz w:val="18"/>
                <w:szCs w:val="18"/>
              </w:rPr>
              <w:t>洛横</w:t>
            </w:r>
            <w:r w:rsidRPr="00925B84">
              <w:rPr>
                <w:color w:val="auto"/>
                <w:sz w:val="18"/>
                <w:szCs w:val="18"/>
              </w:rPr>
              <w:t>高压线及塔基</w:t>
            </w:r>
          </w:p>
        </w:tc>
        <w:tc>
          <w:tcPr>
            <w:tcW w:w="3366" w:type="dxa"/>
            <w:gridSpan w:val="2"/>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rFonts w:hint="eastAsia"/>
                <w:color w:val="auto"/>
                <w:sz w:val="18"/>
                <w:szCs w:val="18"/>
              </w:rPr>
              <w:t>井田东部有</w:t>
            </w:r>
            <w:r w:rsidRPr="00925B84">
              <w:rPr>
                <w:rFonts w:hint="eastAsia"/>
                <w:color w:val="auto"/>
                <w:sz w:val="18"/>
                <w:szCs w:val="18"/>
              </w:rPr>
              <w:t>1</w:t>
            </w:r>
            <w:r w:rsidRPr="00925B84">
              <w:rPr>
                <w:rFonts w:hint="eastAsia"/>
                <w:color w:val="auto"/>
                <w:sz w:val="18"/>
                <w:szCs w:val="18"/>
              </w:rPr>
              <w:t>条南北方向</w:t>
            </w:r>
            <w:r w:rsidRPr="00925B84">
              <w:rPr>
                <w:rFonts w:hint="eastAsia"/>
                <w:color w:val="auto"/>
                <w:sz w:val="18"/>
                <w:szCs w:val="18"/>
              </w:rPr>
              <w:t>750kV</w:t>
            </w:r>
            <w:r w:rsidRPr="00925B84">
              <w:rPr>
                <w:rFonts w:hint="eastAsia"/>
                <w:color w:val="auto"/>
                <w:sz w:val="18"/>
                <w:szCs w:val="18"/>
              </w:rPr>
              <w:t>高压线，评价区内塔基共</w:t>
            </w:r>
            <w:r w:rsidRPr="00925B84">
              <w:rPr>
                <w:rFonts w:hint="eastAsia"/>
                <w:color w:val="auto"/>
                <w:sz w:val="18"/>
                <w:szCs w:val="18"/>
              </w:rPr>
              <w:t>12</w:t>
            </w:r>
            <w:r w:rsidRPr="00925B84">
              <w:rPr>
                <w:rFonts w:hint="eastAsia"/>
                <w:color w:val="auto"/>
                <w:sz w:val="18"/>
                <w:szCs w:val="18"/>
              </w:rPr>
              <w:t>座</w:t>
            </w:r>
          </w:p>
        </w:tc>
        <w:tc>
          <w:tcPr>
            <w:tcW w:w="1492" w:type="dxa"/>
            <w:vMerge w:val="restart"/>
            <w:tcMar>
              <w:left w:w="6" w:type="dxa"/>
              <w:right w:w="6" w:type="dxa"/>
            </w:tcMar>
            <w:vAlign w:val="center"/>
          </w:tcPr>
          <w:p w:rsidR="00BA7F0A" w:rsidRPr="00925B84" w:rsidRDefault="00BA7F0A" w:rsidP="00590CD6">
            <w:pPr>
              <w:pStyle w:val="affffff7"/>
              <w:spacing w:line="260" w:lineRule="exact"/>
              <w:rPr>
                <w:color w:val="auto"/>
                <w:sz w:val="18"/>
                <w:szCs w:val="18"/>
              </w:rPr>
            </w:pPr>
            <w:r>
              <w:rPr>
                <w:sz w:val="18"/>
                <w:szCs w:val="18"/>
              </w:rPr>
              <w:t>地表沉陷影响</w:t>
            </w:r>
          </w:p>
        </w:tc>
        <w:tc>
          <w:tcPr>
            <w:tcW w:w="2274" w:type="dxa"/>
            <w:tcMar>
              <w:left w:w="6" w:type="dxa"/>
              <w:right w:w="6" w:type="dxa"/>
            </w:tcMar>
            <w:vAlign w:val="center"/>
          </w:tcPr>
          <w:p w:rsidR="00BA7F0A" w:rsidRPr="00925B84" w:rsidRDefault="00BA7F0A" w:rsidP="00590CD6">
            <w:pPr>
              <w:pStyle w:val="affffff7"/>
              <w:spacing w:line="260" w:lineRule="exact"/>
              <w:rPr>
                <w:color w:val="auto"/>
                <w:sz w:val="18"/>
                <w:szCs w:val="18"/>
              </w:rPr>
            </w:pPr>
            <w:r>
              <w:rPr>
                <w:rFonts w:hint="eastAsia"/>
                <w:sz w:val="18"/>
                <w:szCs w:val="18"/>
              </w:rPr>
              <w:t>开采区内高压线塔基</w:t>
            </w:r>
            <w:r>
              <w:rPr>
                <w:sz w:val="18"/>
                <w:szCs w:val="18"/>
              </w:rPr>
              <w:t>留设保护煤柱，不受采煤沉陷影响</w:t>
            </w:r>
          </w:p>
        </w:tc>
      </w:tr>
      <w:tr w:rsidR="00BA7F0A" w:rsidTr="00F30F03">
        <w:trPr>
          <w:cantSplit/>
          <w:trHeight w:val="139"/>
          <w:jc w:val="center"/>
        </w:trPr>
        <w:tc>
          <w:tcPr>
            <w:tcW w:w="526" w:type="dxa"/>
            <w:vMerge/>
            <w:vAlign w:val="center"/>
          </w:tcPr>
          <w:p w:rsidR="00BA7F0A" w:rsidRPr="00925B84" w:rsidRDefault="00BA7F0A" w:rsidP="00590CD6">
            <w:pPr>
              <w:pStyle w:val="affffff7"/>
              <w:spacing w:line="260" w:lineRule="exact"/>
              <w:rPr>
                <w:color w:val="auto"/>
                <w:sz w:val="18"/>
                <w:szCs w:val="18"/>
              </w:rPr>
            </w:pPr>
          </w:p>
        </w:tc>
        <w:tc>
          <w:tcPr>
            <w:tcW w:w="420"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330"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1515" w:type="dxa"/>
            <w:gridSpan w:val="2"/>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color w:val="auto"/>
                <w:sz w:val="18"/>
                <w:szCs w:val="18"/>
              </w:rPr>
              <w:t>青银高速公路</w:t>
            </w:r>
            <w:r w:rsidRPr="00925B84">
              <w:rPr>
                <w:rFonts w:hint="eastAsia"/>
                <w:color w:val="auto"/>
                <w:sz w:val="18"/>
                <w:szCs w:val="18"/>
              </w:rPr>
              <w:t>（</w:t>
            </w:r>
            <w:r w:rsidRPr="00925B84">
              <w:rPr>
                <w:rFonts w:hint="eastAsia"/>
                <w:color w:val="auto"/>
                <w:sz w:val="18"/>
                <w:szCs w:val="18"/>
              </w:rPr>
              <w:t>G20</w:t>
            </w:r>
            <w:r w:rsidRPr="00925B84">
              <w:rPr>
                <w:rFonts w:hint="eastAsia"/>
                <w:color w:val="auto"/>
                <w:sz w:val="18"/>
                <w:szCs w:val="18"/>
              </w:rPr>
              <w:t>）</w:t>
            </w:r>
          </w:p>
        </w:tc>
        <w:tc>
          <w:tcPr>
            <w:tcW w:w="3366" w:type="dxa"/>
            <w:gridSpan w:val="2"/>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rFonts w:hint="eastAsia"/>
                <w:color w:val="auto"/>
                <w:sz w:val="18"/>
                <w:szCs w:val="18"/>
              </w:rPr>
              <w:t>工业场地南侧约</w:t>
            </w:r>
            <w:r w:rsidRPr="00925B84">
              <w:rPr>
                <w:rFonts w:hint="eastAsia"/>
                <w:color w:val="auto"/>
                <w:sz w:val="18"/>
                <w:szCs w:val="18"/>
              </w:rPr>
              <w:t>40m</w:t>
            </w:r>
            <w:r w:rsidRPr="00925B84">
              <w:rPr>
                <w:rFonts w:hint="eastAsia"/>
                <w:color w:val="auto"/>
                <w:sz w:val="18"/>
                <w:szCs w:val="18"/>
              </w:rPr>
              <w:t>处；井田北部西北</w:t>
            </w:r>
            <w:r w:rsidRPr="00925B84">
              <w:rPr>
                <w:rFonts w:hint="eastAsia"/>
                <w:color w:val="auto"/>
                <w:sz w:val="18"/>
                <w:szCs w:val="18"/>
              </w:rPr>
              <w:t>-</w:t>
            </w:r>
            <w:r w:rsidRPr="00925B84">
              <w:rPr>
                <w:rFonts w:hint="eastAsia"/>
                <w:color w:val="auto"/>
                <w:sz w:val="18"/>
                <w:szCs w:val="18"/>
              </w:rPr>
              <w:t>东南方向贯穿，井田内长度约</w:t>
            </w:r>
            <w:r w:rsidRPr="00925B84">
              <w:rPr>
                <w:rFonts w:hint="eastAsia"/>
                <w:color w:val="auto"/>
                <w:sz w:val="18"/>
                <w:szCs w:val="18"/>
              </w:rPr>
              <w:t>9.8km</w:t>
            </w:r>
          </w:p>
        </w:tc>
        <w:tc>
          <w:tcPr>
            <w:tcW w:w="1492"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2274" w:type="dxa"/>
            <w:vMerge w:val="restart"/>
            <w:tcMar>
              <w:left w:w="6" w:type="dxa"/>
              <w:right w:w="6" w:type="dxa"/>
            </w:tcMar>
            <w:vAlign w:val="center"/>
          </w:tcPr>
          <w:p w:rsidR="00BA7F0A" w:rsidRDefault="00BA7F0A" w:rsidP="00590CD6">
            <w:pPr>
              <w:pStyle w:val="affffff7"/>
              <w:spacing w:line="260" w:lineRule="exact"/>
              <w:rPr>
                <w:sz w:val="18"/>
                <w:szCs w:val="18"/>
              </w:rPr>
            </w:pPr>
            <w:r>
              <w:rPr>
                <w:sz w:val="18"/>
                <w:szCs w:val="18"/>
              </w:rPr>
              <w:t>留设保护煤柱，不受采煤</w:t>
            </w:r>
          </w:p>
          <w:p w:rsidR="00BA7F0A" w:rsidRPr="00925B84" w:rsidRDefault="00BA7F0A" w:rsidP="00590CD6">
            <w:pPr>
              <w:pStyle w:val="affffff7"/>
              <w:spacing w:line="260" w:lineRule="exact"/>
              <w:rPr>
                <w:color w:val="auto"/>
                <w:sz w:val="18"/>
                <w:szCs w:val="18"/>
              </w:rPr>
            </w:pPr>
            <w:r>
              <w:rPr>
                <w:sz w:val="18"/>
                <w:szCs w:val="18"/>
              </w:rPr>
              <w:t>沉陷影响</w:t>
            </w:r>
          </w:p>
        </w:tc>
      </w:tr>
      <w:tr w:rsidR="00BA7F0A" w:rsidTr="00F30F03">
        <w:trPr>
          <w:cantSplit/>
          <w:trHeight w:val="139"/>
          <w:jc w:val="center"/>
        </w:trPr>
        <w:tc>
          <w:tcPr>
            <w:tcW w:w="526" w:type="dxa"/>
            <w:vMerge/>
            <w:vAlign w:val="center"/>
          </w:tcPr>
          <w:p w:rsidR="00BA7F0A" w:rsidRPr="00925B84" w:rsidRDefault="00BA7F0A" w:rsidP="00590CD6">
            <w:pPr>
              <w:pStyle w:val="affffff7"/>
              <w:spacing w:line="260" w:lineRule="exact"/>
              <w:rPr>
                <w:color w:val="auto"/>
                <w:sz w:val="18"/>
                <w:szCs w:val="18"/>
              </w:rPr>
            </w:pPr>
          </w:p>
        </w:tc>
        <w:tc>
          <w:tcPr>
            <w:tcW w:w="420"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330"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1515" w:type="dxa"/>
            <w:gridSpan w:val="2"/>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rFonts w:hint="eastAsia"/>
                <w:color w:val="auto"/>
                <w:sz w:val="18"/>
                <w:szCs w:val="18"/>
              </w:rPr>
              <w:t>G</w:t>
            </w:r>
            <w:r w:rsidRPr="00925B84">
              <w:rPr>
                <w:color w:val="auto"/>
                <w:sz w:val="18"/>
                <w:szCs w:val="18"/>
              </w:rPr>
              <w:t>307</w:t>
            </w:r>
            <w:r w:rsidRPr="00925B84">
              <w:rPr>
                <w:color w:val="auto"/>
                <w:sz w:val="18"/>
                <w:szCs w:val="18"/>
              </w:rPr>
              <w:t>国道</w:t>
            </w:r>
          </w:p>
        </w:tc>
        <w:tc>
          <w:tcPr>
            <w:tcW w:w="3366" w:type="dxa"/>
            <w:gridSpan w:val="2"/>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rFonts w:hint="eastAsia"/>
                <w:color w:val="auto"/>
                <w:sz w:val="18"/>
                <w:szCs w:val="18"/>
              </w:rPr>
              <w:t>井田东部西南</w:t>
            </w:r>
            <w:r w:rsidRPr="00925B84">
              <w:rPr>
                <w:rFonts w:hint="eastAsia"/>
                <w:color w:val="auto"/>
                <w:sz w:val="18"/>
                <w:szCs w:val="18"/>
              </w:rPr>
              <w:t>-</w:t>
            </w:r>
            <w:r w:rsidRPr="00925B84">
              <w:rPr>
                <w:rFonts w:hint="eastAsia"/>
                <w:color w:val="auto"/>
                <w:sz w:val="18"/>
                <w:szCs w:val="18"/>
              </w:rPr>
              <w:t>东北方向贯穿，长约</w:t>
            </w:r>
            <w:r w:rsidRPr="00925B84">
              <w:rPr>
                <w:rFonts w:hint="eastAsia"/>
                <w:color w:val="auto"/>
                <w:sz w:val="18"/>
                <w:szCs w:val="18"/>
              </w:rPr>
              <w:t>8.5km</w:t>
            </w:r>
          </w:p>
        </w:tc>
        <w:tc>
          <w:tcPr>
            <w:tcW w:w="1492"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2274"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r>
      <w:tr w:rsidR="00BA7F0A" w:rsidTr="00F30F03">
        <w:trPr>
          <w:cantSplit/>
          <w:trHeight w:val="139"/>
          <w:jc w:val="center"/>
        </w:trPr>
        <w:tc>
          <w:tcPr>
            <w:tcW w:w="526" w:type="dxa"/>
            <w:vMerge/>
            <w:vAlign w:val="center"/>
          </w:tcPr>
          <w:p w:rsidR="00BA7F0A" w:rsidRPr="00925B84" w:rsidRDefault="00BA7F0A" w:rsidP="00590CD6">
            <w:pPr>
              <w:pStyle w:val="affffff7"/>
              <w:spacing w:line="260" w:lineRule="exact"/>
              <w:rPr>
                <w:color w:val="auto"/>
                <w:sz w:val="18"/>
                <w:szCs w:val="18"/>
              </w:rPr>
            </w:pPr>
          </w:p>
        </w:tc>
        <w:tc>
          <w:tcPr>
            <w:tcW w:w="420"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330"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1515" w:type="dxa"/>
            <w:gridSpan w:val="2"/>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color w:val="auto"/>
                <w:sz w:val="18"/>
                <w:szCs w:val="18"/>
              </w:rPr>
              <w:t>太（原）中（卫）银（川）铁路</w:t>
            </w:r>
            <w:r w:rsidRPr="00925B84">
              <w:rPr>
                <w:rFonts w:hint="eastAsia"/>
                <w:color w:val="auto"/>
                <w:sz w:val="18"/>
                <w:szCs w:val="18"/>
              </w:rPr>
              <w:t>及两处隧道斜井</w:t>
            </w:r>
          </w:p>
        </w:tc>
        <w:tc>
          <w:tcPr>
            <w:tcW w:w="3366" w:type="dxa"/>
            <w:gridSpan w:val="2"/>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rFonts w:hint="eastAsia"/>
                <w:color w:val="auto"/>
                <w:sz w:val="18"/>
                <w:szCs w:val="18"/>
              </w:rPr>
              <w:t>井田中部东西方向贯穿，长约</w:t>
            </w:r>
            <w:r w:rsidRPr="00925B84">
              <w:rPr>
                <w:rFonts w:hint="eastAsia"/>
                <w:color w:val="auto"/>
                <w:sz w:val="18"/>
                <w:szCs w:val="18"/>
              </w:rPr>
              <w:t>7.6km</w:t>
            </w:r>
          </w:p>
        </w:tc>
        <w:tc>
          <w:tcPr>
            <w:tcW w:w="1492"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2274"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r>
      <w:tr w:rsidR="00BA7F0A" w:rsidTr="00F30F03">
        <w:trPr>
          <w:cantSplit/>
          <w:trHeight w:val="139"/>
          <w:jc w:val="center"/>
        </w:trPr>
        <w:tc>
          <w:tcPr>
            <w:tcW w:w="526" w:type="dxa"/>
            <w:vMerge/>
            <w:vAlign w:val="center"/>
          </w:tcPr>
          <w:p w:rsidR="00BA7F0A" w:rsidRPr="00925B84" w:rsidRDefault="00BA7F0A" w:rsidP="00590CD6">
            <w:pPr>
              <w:pStyle w:val="affffff7"/>
              <w:spacing w:line="260" w:lineRule="exact"/>
              <w:rPr>
                <w:color w:val="auto"/>
                <w:sz w:val="18"/>
                <w:szCs w:val="18"/>
              </w:rPr>
            </w:pPr>
          </w:p>
        </w:tc>
        <w:tc>
          <w:tcPr>
            <w:tcW w:w="420"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330" w:type="dxa"/>
            <w:vMerge w:val="restart"/>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rFonts w:hint="eastAsia"/>
                <w:color w:val="auto"/>
                <w:sz w:val="18"/>
                <w:szCs w:val="18"/>
              </w:rPr>
              <w:t>文物</w:t>
            </w:r>
          </w:p>
        </w:tc>
        <w:tc>
          <w:tcPr>
            <w:tcW w:w="1515" w:type="dxa"/>
            <w:gridSpan w:val="2"/>
            <w:tcMar>
              <w:left w:w="6" w:type="dxa"/>
              <w:right w:w="6" w:type="dxa"/>
            </w:tcMar>
            <w:vAlign w:val="center"/>
          </w:tcPr>
          <w:p w:rsidR="00BA7F0A" w:rsidRPr="00925B84" w:rsidRDefault="00BA7F0A" w:rsidP="00590CD6">
            <w:pPr>
              <w:widowControl/>
              <w:spacing w:line="260" w:lineRule="exact"/>
              <w:jc w:val="center"/>
              <w:rPr>
                <w:kern w:val="0"/>
                <w:sz w:val="18"/>
                <w:szCs w:val="18"/>
              </w:rPr>
            </w:pPr>
            <w:r w:rsidRPr="00925B84">
              <w:rPr>
                <w:kern w:val="0"/>
                <w:sz w:val="18"/>
                <w:szCs w:val="18"/>
              </w:rPr>
              <w:t>副玉帝老爷庙</w:t>
            </w:r>
          </w:p>
        </w:tc>
        <w:tc>
          <w:tcPr>
            <w:tcW w:w="3366" w:type="dxa"/>
            <w:gridSpan w:val="2"/>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rFonts w:hint="eastAsia"/>
                <w:color w:val="auto"/>
                <w:sz w:val="18"/>
                <w:szCs w:val="18"/>
              </w:rPr>
              <w:t>县级文物，位于场地西南，蚂蚁河南岸，</w:t>
            </w:r>
          </w:p>
          <w:p w:rsidR="00BA7F0A" w:rsidRPr="00925B84" w:rsidRDefault="00BA7F0A" w:rsidP="00590CD6">
            <w:pPr>
              <w:pStyle w:val="affffff7"/>
              <w:spacing w:line="260" w:lineRule="exact"/>
              <w:rPr>
                <w:color w:val="auto"/>
                <w:sz w:val="18"/>
                <w:szCs w:val="18"/>
              </w:rPr>
            </w:pPr>
            <w:r w:rsidRPr="00925B84">
              <w:rPr>
                <w:rFonts w:hint="eastAsia"/>
                <w:color w:val="auto"/>
                <w:sz w:val="18"/>
                <w:szCs w:val="18"/>
              </w:rPr>
              <w:t>一盘区北边界外约</w:t>
            </w:r>
            <w:r w:rsidRPr="00925B84">
              <w:rPr>
                <w:rFonts w:hint="eastAsia"/>
                <w:color w:val="auto"/>
                <w:sz w:val="18"/>
                <w:szCs w:val="18"/>
              </w:rPr>
              <w:t>270m</w:t>
            </w:r>
            <w:r w:rsidRPr="00925B84">
              <w:rPr>
                <w:rFonts w:hint="eastAsia"/>
                <w:color w:val="auto"/>
                <w:sz w:val="18"/>
                <w:szCs w:val="18"/>
              </w:rPr>
              <w:t>处</w:t>
            </w:r>
          </w:p>
        </w:tc>
        <w:tc>
          <w:tcPr>
            <w:tcW w:w="1492" w:type="dxa"/>
            <w:vMerge w:val="restart"/>
            <w:tcMar>
              <w:left w:w="6" w:type="dxa"/>
              <w:right w:w="6" w:type="dxa"/>
            </w:tcMar>
            <w:vAlign w:val="center"/>
          </w:tcPr>
          <w:p w:rsidR="00BA7F0A" w:rsidRPr="00925B84" w:rsidRDefault="00BA7F0A" w:rsidP="00590CD6">
            <w:pPr>
              <w:pStyle w:val="affffff7"/>
              <w:spacing w:line="260" w:lineRule="exact"/>
              <w:rPr>
                <w:color w:val="auto"/>
                <w:sz w:val="18"/>
                <w:szCs w:val="18"/>
              </w:rPr>
            </w:pPr>
            <w:r>
              <w:rPr>
                <w:sz w:val="18"/>
                <w:szCs w:val="18"/>
              </w:rPr>
              <w:t>地表沉陷影响</w:t>
            </w:r>
          </w:p>
        </w:tc>
        <w:tc>
          <w:tcPr>
            <w:tcW w:w="2274" w:type="dxa"/>
            <w:tcMar>
              <w:left w:w="6" w:type="dxa"/>
              <w:right w:w="6" w:type="dxa"/>
            </w:tcMar>
            <w:vAlign w:val="center"/>
          </w:tcPr>
          <w:p w:rsidR="00BA7F0A" w:rsidRDefault="00BA7F0A" w:rsidP="00590CD6">
            <w:pPr>
              <w:pStyle w:val="affffff7"/>
              <w:spacing w:line="260" w:lineRule="exact"/>
              <w:rPr>
                <w:sz w:val="18"/>
                <w:szCs w:val="18"/>
              </w:rPr>
            </w:pPr>
            <w:r>
              <w:rPr>
                <w:rFonts w:hint="eastAsia"/>
                <w:sz w:val="18"/>
                <w:szCs w:val="18"/>
              </w:rPr>
              <w:t>不在开采区内，不受采煤</w:t>
            </w:r>
          </w:p>
          <w:p w:rsidR="00BA7F0A" w:rsidRDefault="00BA7F0A" w:rsidP="00590CD6">
            <w:pPr>
              <w:pStyle w:val="affffff7"/>
              <w:spacing w:line="260" w:lineRule="exact"/>
              <w:rPr>
                <w:sz w:val="18"/>
                <w:szCs w:val="18"/>
              </w:rPr>
            </w:pPr>
            <w:r>
              <w:rPr>
                <w:rFonts w:hint="eastAsia"/>
                <w:sz w:val="18"/>
                <w:szCs w:val="18"/>
              </w:rPr>
              <w:t>沉陷影响</w:t>
            </w:r>
          </w:p>
        </w:tc>
      </w:tr>
      <w:tr w:rsidR="00BA7F0A" w:rsidTr="00F30F03">
        <w:trPr>
          <w:cantSplit/>
          <w:trHeight w:val="139"/>
          <w:jc w:val="center"/>
        </w:trPr>
        <w:tc>
          <w:tcPr>
            <w:tcW w:w="526" w:type="dxa"/>
            <w:vMerge/>
            <w:vAlign w:val="center"/>
          </w:tcPr>
          <w:p w:rsidR="00BA7F0A" w:rsidRPr="00925B84" w:rsidRDefault="00BA7F0A" w:rsidP="00590CD6">
            <w:pPr>
              <w:pStyle w:val="affffff7"/>
              <w:spacing w:line="260" w:lineRule="exact"/>
              <w:rPr>
                <w:color w:val="auto"/>
                <w:sz w:val="18"/>
                <w:szCs w:val="18"/>
              </w:rPr>
            </w:pPr>
          </w:p>
        </w:tc>
        <w:tc>
          <w:tcPr>
            <w:tcW w:w="420"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330"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1515" w:type="dxa"/>
            <w:gridSpan w:val="2"/>
            <w:tcMar>
              <w:left w:w="6" w:type="dxa"/>
              <w:right w:w="6" w:type="dxa"/>
            </w:tcMar>
            <w:vAlign w:val="center"/>
          </w:tcPr>
          <w:p w:rsidR="00BA7F0A" w:rsidRDefault="00BA7F0A" w:rsidP="00590CD6">
            <w:pPr>
              <w:widowControl/>
              <w:spacing w:line="260" w:lineRule="exact"/>
              <w:jc w:val="center"/>
              <w:rPr>
                <w:color w:val="000000"/>
                <w:kern w:val="0"/>
                <w:sz w:val="18"/>
                <w:szCs w:val="18"/>
              </w:rPr>
            </w:pPr>
            <w:r>
              <w:rPr>
                <w:color w:val="000000"/>
                <w:kern w:val="0"/>
                <w:sz w:val="18"/>
                <w:szCs w:val="18"/>
              </w:rPr>
              <w:t>九龙山庙</w:t>
            </w:r>
          </w:p>
        </w:tc>
        <w:tc>
          <w:tcPr>
            <w:tcW w:w="3366" w:type="dxa"/>
            <w:gridSpan w:val="2"/>
            <w:tcMar>
              <w:left w:w="6" w:type="dxa"/>
              <w:right w:w="6" w:type="dxa"/>
            </w:tcMar>
            <w:vAlign w:val="center"/>
          </w:tcPr>
          <w:p w:rsidR="00BA7F0A" w:rsidRDefault="00BA7F0A" w:rsidP="00590CD6">
            <w:pPr>
              <w:pStyle w:val="affffff7"/>
              <w:spacing w:line="260" w:lineRule="exact"/>
              <w:rPr>
                <w:sz w:val="18"/>
                <w:szCs w:val="18"/>
              </w:rPr>
            </w:pPr>
            <w:r>
              <w:rPr>
                <w:rFonts w:hint="eastAsia"/>
                <w:sz w:val="18"/>
                <w:szCs w:val="18"/>
              </w:rPr>
              <w:t>县级文物，位于井田中南部边界，</w:t>
            </w:r>
          </w:p>
          <w:p w:rsidR="00BA7F0A" w:rsidRDefault="00BA7F0A" w:rsidP="00590CD6">
            <w:pPr>
              <w:pStyle w:val="affffff7"/>
              <w:spacing w:line="260" w:lineRule="exact"/>
              <w:rPr>
                <w:sz w:val="18"/>
                <w:szCs w:val="18"/>
              </w:rPr>
            </w:pPr>
            <w:r>
              <w:rPr>
                <w:rFonts w:hint="eastAsia"/>
                <w:sz w:val="18"/>
                <w:szCs w:val="18"/>
              </w:rPr>
              <w:t>距六盘区东南侧开采边界约</w:t>
            </w:r>
            <w:r>
              <w:rPr>
                <w:rFonts w:hint="eastAsia"/>
                <w:sz w:val="18"/>
                <w:szCs w:val="18"/>
              </w:rPr>
              <w:t>120m</w:t>
            </w:r>
          </w:p>
        </w:tc>
        <w:tc>
          <w:tcPr>
            <w:tcW w:w="1492"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2274" w:type="dxa"/>
            <w:tcMar>
              <w:left w:w="6" w:type="dxa"/>
              <w:right w:w="6" w:type="dxa"/>
            </w:tcMar>
            <w:vAlign w:val="center"/>
          </w:tcPr>
          <w:p w:rsidR="00BA7F0A" w:rsidRDefault="00BA7F0A" w:rsidP="00590CD6">
            <w:pPr>
              <w:pStyle w:val="affffff7"/>
              <w:spacing w:line="260" w:lineRule="exact"/>
              <w:rPr>
                <w:sz w:val="18"/>
                <w:szCs w:val="18"/>
              </w:rPr>
            </w:pPr>
            <w:r>
              <w:rPr>
                <w:rFonts w:hint="eastAsia"/>
                <w:sz w:val="18"/>
                <w:szCs w:val="18"/>
              </w:rPr>
              <w:t>留设保护煤柱，不受采煤</w:t>
            </w:r>
          </w:p>
          <w:p w:rsidR="00BA7F0A" w:rsidRDefault="00BA7F0A" w:rsidP="00590CD6">
            <w:pPr>
              <w:pStyle w:val="affffff7"/>
              <w:spacing w:line="260" w:lineRule="exact"/>
              <w:rPr>
                <w:sz w:val="18"/>
                <w:szCs w:val="18"/>
              </w:rPr>
            </w:pPr>
            <w:r>
              <w:rPr>
                <w:rFonts w:hint="eastAsia"/>
                <w:sz w:val="18"/>
                <w:szCs w:val="18"/>
              </w:rPr>
              <w:t>沉陷影响</w:t>
            </w:r>
          </w:p>
        </w:tc>
      </w:tr>
      <w:tr w:rsidR="00BA7F0A">
        <w:trPr>
          <w:cantSplit/>
          <w:trHeight w:val="139"/>
          <w:jc w:val="center"/>
        </w:trPr>
        <w:tc>
          <w:tcPr>
            <w:tcW w:w="526" w:type="dxa"/>
            <w:vMerge/>
            <w:vAlign w:val="center"/>
          </w:tcPr>
          <w:p w:rsidR="00BA7F0A" w:rsidRPr="00925B84" w:rsidRDefault="00BA7F0A" w:rsidP="00590CD6">
            <w:pPr>
              <w:pStyle w:val="affffff7"/>
              <w:spacing w:line="260" w:lineRule="exact"/>
              <w:rPr>
                <w:color w:val="auto"/>
                <w:sz w:val="18"/>
                <w:szCs w:val="18"/>
              </w:rPr>
            </w:pPr>
          </w:p>
        </w:tc>
        <w:tc>
          <w:tcPr>
            <w:tcW w:w="420"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1845" w:type="dxa"/>
            <w:gridSpan w:val="3"/>
            <w:tcMar>
              <w:left w:w="6" w:type="dxa"/>
              <w:right w:w="6" w:type="dxa"/>
            </w:tcMar>
            <w:vAlign w:val="center"/>
          </w:tcPr>
          <w:p w:rsidR="00BA7F0A" w:rsidRDefault="00BA7F0A" w:rsidP="00590CD6">
            <w:pPr>
              <w:pStyle w:val="affffff7"/>
              <w:spacing w:line="260" w:lineRule="exact"/>
              <w:rPr>
                <w:sz w:val="18"/>
                <w:szCs w:val="18"/>
              </w:rPr>
            </w:pPr>
            <w:r>
              <w:rPr>
                <w:sz w:val="18"/>
                <w:szCs w:val="18"/>
              </w:rPr>
              <w:t>地表植被、土地资源</w:t>
            </w:r>
          </w:p>
        </w:tc>
        <w:tc>
          <w:tcPr>
            <w:tcW w:w="3366" w:type="dxa"/>
            <w:gridSpan w:val="2"/>
            <w:tcMar>
              <w:left w:w="6" w:type="dxa"/>
              <w:right w:w="6" w:type="dxa"/>
            </w:tcMar>
            <w:vAlign w:val="center"/>
          </w:tcPr>
          <w:p w:rsidR="00BA7F0A" w:rsidRDefault="00BA7F0A" w:rsidP="00590CD6">
            <w:pPr>
              <w:spacing w:line="260" w:lineRule="exact"/>
              <w:jc w:val="center"/>
              <w:rPr>
                <w:sz w:val="18"/>
                <w:szCs w:val="18"/>
              </w:rPr>
            </w:pPr>
            <w:r>
              <w:rPr>
                <w:sz w:val="18"/>
                <w:szCs w:val="18"/>
              </w:rPr>
              <w:t>井田内、工业场地内及周围，耕地面积</w:t>
            </w:r>
            <w:r>
              <w:rPr>
                <w:rFonts w:hint="eastAsia"/>
                <w:sz w:val="18"/>
                <w:szCs w:val="18"/>
              </w:rPr>
              <w:t>28.99k</w:t>
            </w:r>
            <w:r>
              <w:rPr>
                <w:sz w:val="18"/>
                <w:szCs w:val="18"/>
              </w:rPr>
              <w:t>m</w:t>
            </w:r>
            <w:r>
              <w:rPr>
                <w:sz w:val="18"/>
                <w:szCs w:val="18"/>
                <w:vertAlign w:val="superscript"/>
              </w:rPr>
              <w:t>2</w:t>
            </w:r>
            <w:r>
              <w:rPr>
                <w:sz w:val="18"/>
                <w:szCs w:val="18"/>
              </w:rPr>
              <w:t>，林地及灌木林地面积</w:t>
            </w:r>
            <w:r>
              <w:rPr>
                <w:rFonts w:hint="eastAsia"/>
                <w:sz w:val="18"/>
                <w:szCs w:val="18"/>
              </w:rPr>
              <w:t>32.06</w:t>
            </w:r>
            <w:r>
              <w:rPr>
                <w:sz w:val="18"/>
                <w:szCs w:val="18"/>
              </w:rPr>
              <w:t>km</w:t>
            </w:r>
            <w:r>
              <w:rPr>
                <w:sz w:val="18"/>
                <w:szCs w:val="18"/>
                <w:vertAlign w:val="superscript"/>
              </w:rPr>
              <w:t>2</w:t>
            </w:r>
          </w:p>
        </w:tc>
        <w:tc>
          <w:tcPr>
            <w:tcW w:w="1492" w:type="dxa"/>
            <w:tcMar>
              <w:left w:w="6" w:type="dxa"/>
              <w:right w:w="6" w:type="dxa"/>
            </w:tcMar>
            <w:vAlign w:val="center"/>
          </w:tcPr>
          <w:p w:rsidR="00BA7F0A" w:rsidRDefault="00BA7F0A" w:rsidP="00590CD6">
            <w:pPr>
              <w:pStyle w:val="affffff7"/>
              <w:spacing w:line="260" w:lineRule="exact"/>
              <w:rPr>
                <w:sz w:val="18"/>
                <w:szCs w:val="18"/>
              </w:rPr>
            </w:pPr>
            <w:r>
              <w:rPr>
                <w:sz w:val="18"/>
                <w:szCs w:val="18"/>
              </w:rPr>
              <w:t>施工和地表沉陷</w:t>
            </w:r>
          </w:p>
          <w:p w:rsidR="00BA7F0A" w:rsidRDefault="00BA7F0A" w:rsidP="00590CD6">
            <w:pPr>
              <w:pStyle w:val="affffff7"/>
              <w:spacing w:line="260" w:lineRule="exact"/>
              <w:rPr>
                <w:sz w:val="18"/>
                <w:szCs w:val="18"/>
              </w:rPr>
            </w:pPr>
            <w:r>
              <w:rPr>
                <w:sz w:val="18"/>
                <w:szCs w:val="18"/>
              </w:rPr>
              <w:t>对其产生影响</w:t>
            </w:r>
          </w:p>
        </w:tc>
        <w:tc>
          <w:tcPr>
            <w:tcW w:w="2274" w:type="dxa"/>
            <w:tcMar>
              <w:left w:w="6" w:type="dxa"/>
              <w:right w:w="6" w:type="dxa"/>
            </w:tcMar>
            <w:vAlign w:val="center"/>
          </w:tcPr>
          <w:p w:rsidR="00BA7F0A" w:rsidRDefault="00BA7F0A" w:rsidP="00590CD6">
            <w:pPr>
              <w:pStyle w:val="affffff7"/>
              <w:spacing w:line="260" w:lineRule="exact"/>
              <w:rPr>
                <w:sz w:val="18"/>
                <w:szCs w:val="18"/>
              </w:rPr>
            </w:pPr>
            <w:r>
              <w:rPr>
                <w:sz w:val="18"/>
                <w:szCs w:val="18"/>
              </w:rPr>
              <w:t>采取工程和植物措施保护</w:t>
            </w:r>
          </w:p>
          <w:p w:rsidR="00BA7F0A" w:rsidRDefault="00BA7F0A" w:rsidP="00590CD6">
            <w:pPr>
              <w:pStyle w:val="affffff7"/>
              <w:spacing w:line="260" w:lineRule="exact"/>
              <w:rPr>
                <w:sz w:val="18"/>
                <w:szCs w:val="18"/>
              </w:rPr>
            </w:pPr>
            <w:r>
              <w:rPr>
                <w:sz w:val="18"/>
                <w:szCs w:val="18"/>
              </w:rPr>
              <w:t>和恢复植被</w:t>
            </w:r>
          </w:p>
        </w:tc>
      </w:tr>
      <w:tr w:rsidR="00BA7F0A">
        <w:trPr>
          <w:cantSplit/>
          <w:trHeight w:val="186"/>
          <w:jc w:val="center"/>
        </w:trPr>
        <w:tc>
          <w:tcPr>
            <w:tcW w:w="526" w:type="dxa"/>
            <w:vMerge/>
            <w:vAlign w:val="center"/>
          </w:tcPr>
          <w:p w:rsidR="00BA7F0A" w:rsidRPr="00925B84" w:rsidRDefault="00BA7F0A" w:rsidP="00590CD6">
            <w:pPr>
              <w:pStyle w:val="affffff7"/>
              <w:spacing w:line="260" w:lineRule="exact"/>
              <w:rPr>
                <w:color w:val="auto"/>
                <w:sz w:val="18"/>
                <w:szCs w:val="18"/>
              </w:rPr>
            </w:pPr>
          </w:p>
        </w:tc>
        <w:tc>
          <w:tcPr>
            <w:tcW w:w="420" w:type="dxa"/>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color w:val="auto"/>
                <w:sz w:val="18"/>
                <w:szCs w:val="18"/>
              </w:rPr>
              <w:t>地下水</w:t>
            </w:r>
          </w:p>
        </w:tc>
        <w:tc>
          <w:tcPr>
            <w:tcW w:w="1845" w:type="dxa"/>
            <w:gridSpan w:val="3"/>
            <w:tcMar>
              <w:left w:w="6" w:type="dxa"/>
              <w:right w:w="6" w:type="dxa"/>
            </w:tcMar>
            <w:vAlign w:val="center"/>
          </w:tcPr>
          <w:p w:rsidR="00BA7F0A" w:rsidRPr="00925B84" w:rsidRDefault="00BA7F0A" w:rsidP="00590CD6">
            <w:pPr>
              <w:pStyle w:val="affffff7"/>
              <w:spacing w:line="260" w:lineRule="exact"/>
              <w:rPr>
                <w:sz w:val="18"/>
                <w:szCs w:val="18"/>
              </w:rPr>
            </w:pPr>
            <w:r w:rsidRPr="00925B84">
              <w:rPr>
                <w:color w:val="auto"/>
                <w:sz w:val="18"/>
                <w:szCs w:val="18"/>
              </w:rPr>
              <w:t>潜水</w:t>
            </w:r>
            <w:r w:rsidRPr="00925B84">
              <w:rPr>
                <w:rFonts w:hint="eastAsia"/>
                <w:color w:val="auto"/>
                <w:sz w:val="18"/>
                <w:szCs w:val="18"/>
              </w:rPr>
              <w:t>（第四系和三叠系风化带）</w:t>
            </w:r>
            <w:r w:rsidRPr="00925B84">
              <w:rPr>
                <w:color w:val="auto"/>
                <w:sz w:val="18"/>
                <w:szCs w:val="18"/>
              </w:rPr>
              <w:t>含水层</w:t>
            </w:r>
            <w:r>
              <w:rPr>
                <w:rFonts w:hint="eastAsia"/>
                <w:color w:val="auto"/>
                <w:sz w:val="18"/>
                <w:szCs w:val="18"/>
              </w:rPr>
              <w:t>、</w:t>
            </w:r>
            <w:r w:rsidRPr="00925B84">
              <w:rPr>
                <w:sz w:val="18"/>
                <w:szCs w:val="18"/>
              </w:rPr>
              <w:t>居民分散式水井</w:t>
            </w:r>
          </w:p>
        </w:tc>
        <w:tc>
          <w:tcPr>
            <w:tcW w:w="3366" w:type="dxa"/>
            <w:gridSpan w:val="2"/>
            <w:tcMar>
              <w:left w:w="6" w:type="dxa"/>
              <w:right w:w="6" w:type="dxa"/>
            </w:tcMar>
            <w:vAlign w:val="center"/>
          </w:tcPr>
          <w:p w:rsidR="00BA7F0A" w:rsidRPr="00925B84" w:rsidRDefault="00BA7F0A" w:rsidP="00590CD6">
            <w:pPr>
              <w:spacing w:line="260" w:lineRule="exact"/>
              <w:jc w:val="center"/>
              <w:rPr>
                <w:sz w:val="18"/>
                <w:szCs w:val="18"/>
              </w:rPr>
            </w:pPr>
            <w:r w:rsidRPr="00925B84">
              <w:rPr>
                <w:rFonts w:hAnsi="宋体"/>
                <w:sz w:val="18"/>
                <w:szCs w:val="18"/>
              </w:rPr>
              <w:t>地下水调查范围内</w:t>
            </w:r>
          </w:p>
          <w:p w:rsidR="00BA7F0A" w:rsidRPr="00925B84" w:rsidRDefault="00BA7F0A" w:rsidP="00590CD6">
            <w:pPr>
              <w:spacing w:line="260" w:lineRule="exact"/>
              <w:jc w:val="center"/>
              <w:rPr>
                <w:sz w:val="18"/>
                <w:szCs w:val="18"/>
              </w:rPr>
            </w:pPr>
            <w:r w:rsidRPr="00925B84">
              <w:rPr>
                <w:sz w:val="18"/>
                <w:szCs w:val="18"/>
              </w:rPr>
              <w:t>（井田边界外扩</w:t>
            </w:r>
            <w:r w:rsidRPr="00925B84">
              <w:rPr>
                <w:sz w:val="18"/>
                <w:szCs w:val="18"/>
              </w:rPr>
              <w:t>500m</w:t>
            </w:r>
            <w:r w:rsidRPr="00925B84">
              <w:rPr>
                <w:sz w:val="18"/>
                <w:szCs w:val="18"/>
              </w:rPr>
              <w:t>，面积</w:t>
            </w:r>
            <w:r w:rsidRPr="00925B84">
              <w:rPr>
                <w:sz w:val="18"/>
                <w:szCs w:val="18"/>
              </w:rPr>
              <w:t>87.72km</w:t>
            </w:r>
            <w:r w:rsidRPr="00925B84">
              <w:rPr>
                <w:sz w:val="18"/>
                <w:szCs w:val="18"/>
                <w:vertAlign w:val="superscript"/>
              </w:rPr>
              <w:t>2</w:t>
            </w:r>
            <w:r w:rsidRPr="00925B84">
              <w:rPr>
                <w:sz w:val="18"/>
                <w:szCs w:val="18"/>
              </w:rPr>
              <w:t>）</w:t>
            </w:r>
          </w:p>
        </w:tc>
        <w:tc>
          <w:tcPr>
            <w:tcW w:w="1492" w:type="dxa"/>
            <w:tcMar>
              <w:left w:w="6" w:type="dxa"/>
              <w:right w:w="6" w:type="dxa"/>
            </w:tcMar>
            <w:vAlign w:val="center"/>
          </w:tcPr>
          <w:p w:rsidR="00BA7F0A" w:rsidRPr="00925B84" w:rsidRDefault="00BA7F0A" w:rsidP="00590CD6">
            <w:pPr>
              <w:spacing w:line="260" w:lineRule="exact"/>
              <w:jc w:val="center"/>
              <w:rPr>
                <w:sz w:val="18"/>
                <w:szCs w:val="18"/>
              </w:rPr>
            </w:pPr>
            <w:r w:rsidRPr="00925B84">
              <w:rPr>
                <w:sz w:val="18"/>
                <w:szCs w:val="18"/>
              </w:rPr>
              <w:t>地表沉陷、含水层破坏，地下水疏排</w:t>
            </w:r>
          </w:p>
        </w:tc>
        <w:tc>
          <w:tcPr>
            <w:tcW w:w="2274" w:type="dxa"/>
            <w:tcMar>
              <w:left w:w="6" w:type="dxa"/>
              <w:right w:w="6" w:type="dxa"/>
            </w:tcMar>
            <w:vAlign w:val="center"/>
          </w:tcPr>
          <w:p w:rsidR="00BA7F0A" w:rsidRPr="00925B84" w:rsidRDefault="00BA7F0A" w:rsidP="00590CD6">
            <w:pPr>
              <w:spacing w:line="260" w:lineRule="exact"/>
              <w:jc w:val="center"/>
              <w:rPr>
                <w:sz w:val="18"/>
                <w:szCs w:val="18"/>
              </w:rPr>
            </w:pPr>
            <w:r w:rsidRPr="00925B84">
              <w:rPr>
                <w:rFonts w:hint="eastAsia"/>
                <w:sz w:val="18"/>
                <w:szCs w:val="18"/>
              </w:rPr>
              <w:t>村庄</w:t>
            </w:r>
            <w:r w:rsidRPr="00925B84">
              <w:rPr>
                <w:sz w:val="18"/>
                <w:szCs w:val="18"/>
              </w:rPr>
              <w:t>留保护煤柱，确保居民</w:t>
            </w:r>
          </w:p>
          <w:p w:rsidR="00BA7F0A" w:rsidRPr="00925B84" w:rsidRDefault="00BA7F0A" w:rsidP="00590CD6">
            <w:pPr>
              <w:pStyle w:val="affffff7"/>
              <w:spacing w:line="260" w:lineRule="exact"/>
              <w:rPr>
                <w:color w:val="auto"/>
                <w:sz w:val="18"/>
                <w:szCs w:val="18"/>
              </w:rPr>
            </w:pPr>
            <w:r w:rsidRPr="00925B84">
              <w:rPr>
                <w:color w:val="auto"/>
                <w:sz w:val="18"/>
                <w:szCs w:val="18"/>
              </w:rPr>
              <w:t>用水安全；</w:t>
            </w:r>
            <w:r w:rsidRPr="00925B84">
              <w:rPr>
                <w:rFonts w:hint="eastAsia"/>
                <w:color w:val="auto"/>
                <w:sz w:val="18"/>
                <w:szCs w:val="18"/>
              </w:rPr>
              <w:t>潜水含水层受采煤影响小，</w:t>
            </w:r>
            <w:r w:rsidRPr="00925B84">
              <w:rPr>
                <w:color w:val="auto"/>
                <w:sz w:val="18"/>
                <w:szCs w:val="18"/>
              </w:rPr>
              <w:t>减少水资源流失</w:t>
            </w:r>
          </w:p>
        </w:tc>
      </w:tr>
      <w:tr w:rsidR="00BA7F0A">
        <w:trPr>
          <w:cantSplit/>
          <w:trHeight w:val="429"/>
          <w:jc w:val="center"/>
        </w:trPr>
        <w:tc>
          <w:tcPr>
            <w:tcW w:w="526" w:type="dxa"/>
            <w:vMerge/>
            <w:vAlign w:val="center"/>
          </w:tcPr>
          <w:p w:rsidR="00BA7F0A" w:rsidRPr="00925B84" w:rsidRDefault="00BA7F0A" w:rsidP="00590CD6">
            <w:pPr>
              <w:pStyle w:val="affffff7"/>
              <w:spacing w:line="260" w:lineRule="exact"/>
              <w:rPr>
                <w:color w:val="auto"/>
                <w:sz w:val="18"/>
                <w:szCs w:val="18"/>
              </w:rPr>
            </w:pPr>
          </w:p>
        </w:tc>
        <w:tc>
          <w:tcPr>
            <w:tcW w:w="420" w:type="dxa"/>
            <w:vMerge w:val="restart"/>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color w:val="auto"/>
                <w:sz w:val="18"/>
                <w:szCs w:val="18"/>
              </w:rPr>
              <w:t>地表水</w:t>
            </w:r>
          </w:p>
        </w:tc>
        <w:tc>
          <w:tcPr>
            <w:tcW w:w="1845" w:type="dxa"/>
            <w:gridSpan w:val="3"/>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color w:val="auto"/>
                <w:sz w:val="18"/>
                <w:szCs w:val="18"/>
              </w:rPr>
              <w:t>蚂蚁河</w:t>
            </w:r>
          </w:p>
        </w:tc>
        <w:tc>
          <w:tcPr>
            <w:tcW w:w="3366" w:type="dxa"/>
            <w:gridSpan w:val="2"/>
            <w:shd w:val="clear" w:color="auto" w:fill="auto"/>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color w:val="auto"/>
                <w:sz w:val="18"/>
                <w:szCs w:val="18"/>
              </w:rPr>
              <w:t>井田北部，由西北向东南穿过井田，井田内长度</w:t>
            </w:r>
            <w:r w:rsidRPr="00925B84">
              <w:rPr>
                <w:color w:val="auto"/>
                <w:sz w:val="18"/>
                <w:szCs w:val="18"/>
              </w:rPr>
              <w:t>11.4km</w:t>
            </w:r>
            <w:r w:rsidRPr="00925B84">
              <w:rPr>
                <w:color w:val="auto"/>
                <w:sz w:val="18"/>
                <w:szCs w:val="18"/>
              </w:rPr>
              <w:t>；工业场地南侧约</w:t>
            </w:r>
            <w:r w:rsidRPr="00925B84">
              <w:rPr>
                <w:color w:val="auto"/>
                <w:sz w:val="18"/>
                <w:szCs w:val="18"/>
              </w:rPr>
              <w:t>12m</w:t>
            </w:r>
            <w:r w:rsidRPr="00925B84">
              <w:rPr>
                <w:color w:val="auto"/>
                <w:sz w:val="18"/>
                <w:szCs w:val="18"/>
              </w:rPr>
              <w:t>，最近距离开采区边界约</w:t>
            </w:r>
            <w:r w:rsidRPr="00925B84">
              <w:rPr>
                <w:color w:val="auto"/>
                <w:sz w:val="18"/>
                <w:szCs w:val="18"/>
              </w:rPr>
              <w:t>100m</w:t>
            </w:r>
          </w:p>
        </w:tc>
        <w:tc>
          <w:tcPr>
            <w:tcW w:w="1492" w:type="dxa"/>
            <w:vMerge w:val="restart"/>
            <w:shd w:val="clear" w:color="auto" w:fill="auto"/>
            <w:tcMar>
              <w:left w:w="6" w:type="dxa"/>
              <w:right w:w="6" w:type="dxa"/>
            </w:tcMar>
            <w:vAlign w:val="center"/>
          </w:tcPr>
          <w:p w:rsidR="00BA7F0A" w:rsidRPr="00925B84" w:rsidRDefault="00BA7F0A" w:rsidP="00590CD6">
            <w:pPr>
              <w:spacing w:line="260" w:lineRule="exact"/>
              <w:jc w:val="center"/>
              <w:rPr>
                <w:sz w:val="18"/>
                <w:szCs w:val="18"/>
              </w:rPr>
            </w:pPr>
            <w:r w:rsidRPr="00925B84">
              <w:rPr>
                <w:sz w:val="18"/>
                <w:szCs w:val="18"/>
              </w:rPr>
              <w:t>采煤沉陷</w:t>
            </w:r>
          </w:p>
        </w:tc>
        <w:tc>
          <w:tcPr>
            <w:tcW w:w="2274" w:type="dxa"/>
            <w:shd w:val="clear" w:color="auto" w:fill="auto"/>
            <w:tcMar>
              <w:left w:w="6" w:type="dxa"/>
              <w:right w:w="6" w:type="dxa"/>
            </w:tcMar>
            <w:vAlign w:val="center"/>
          </w:tcPr>
          <w:p w:rsidR="00BA7F0A" w:rsidRPr="00B027B5" w:rsidRDefault="00BA7F0A" w:rsidP="00590CD6">
            <w:pPr>
              <w:pStyle w:val="affffff2"/>
              <w:spacing w:line="260" w:lineRule="exact"/>
              <w:rPr>
                <w:rFonts w:hAnsi="Times New Roman"/>
                <w:sz w:val="18"/>
                <w:szCs w:val="18"/>
              </w:rPr>
            </w:pPr>
            <w:r w:rsidRPr="00925B84">
              <w:rPr>
                <w:rFonts w:hAnsi="Times New Roman"/>
                <w:sz w:val="18"/>
                <w:szCs w:val="18"/>
              </w:rPr>
              <w:t>不在开采区，不受</w:t>
            </w:r>
            <w:r w:rsidRPr="00B027B5">
              <w:rPr>
                <w:rFonts w:hAnsi="Times New Roman"/>
                <w:sz w:val="18"/>
                <w:szCs w:val="18"/>
              </w:rPr>
              <w:t>采煤沉陷</w:t>
            </w:r>
          </w:p>
          <w:p w:rsidR="00BA7F0A" w:rsidRPr="00925B84" w:rsidRDefault="00BA7F0A" w:rsidP="00590CD6">
            <w:pPr>
              <w:pStyle w:val="affffff2"/>
              <w:spacing w:line="260" w:lineRule="exact"/>
              <w:rPr>
                <w:rFonts w:hAnsi="Times New Roman"/>
                <w:sz w:val="18"/>
                <w:szCs w:val="18"/>
              </w:rPr>
            </w:pPr>
            <w:r w:rsidRPr="00B027B5">
              <w:rPr>
                <w:rFonts w:hAnsi="Times New Roman"/>
                <w:sz w:val="18"/>
                <w:szCs w:val="18"/>
              </w:rPr>
              <w:t>影响</w:t>
            </w:r>
          </w:p>
        </w:tc>
      </w:tr>
      <w:tr w:rsidR="00BA7F0A">
        <w:trPr>
          <w:cantSplit/>
          <w:trHeight w:val="429"/>
          <w:jc w:val="center"/>
        </w:trPr>
        <w:tc>
          <w:tcPr>
            <w:tcW w:w="526" w:type="dxa"/>
            <w:vMerge/>
            <w:vAlign w:val="center"/>
          </w:tcPr>
          <w:p w:rsidR="00BA7F0A" w:rsidRPr="00925B84" w:rsidRDefault="00BA7F0A" w:rsidP="00590CD6">
            <w:pPr>
              <w:pStyle w:val="affffff7"/>
              <w:spacing w:line="260" w:lineRule="exact"/>
              <w:rPr>
                <w:color w:val="auto"/>
                <w:sz w:val="18"/>
                <w:szCs w:val="18"/>
              </w:rPr>
            </w:pPr>
          </w:p>
        </w:tc>
        <w:tc>
          <w:tcPr>
            <w:tcW w:w="420"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1845" w:type="dxa"/>
            <w:gridSpan w:val="3"/>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color w:val="auto"/>
                <w:sz w:val="18"/>
                <w:szCs w:val="18"/>
              </w:rPr>
              <w:t>大理河及湿地</w:t>
            </w:r>
          </w:p>
        </w:tc>
        <w:tc>
          <w:tcPr>
            <w:tcW w:w="3366" w:type="dxa"/>
            <w:gridSpan w:val="2"/>
            <w:shd w:val="clear" w:color="auto" w:fill="auto"/>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color w:val="auto"/>
                <w:sz w:val="18"/>
                <w:szCs w:val="18"/>
              </w:rPr>
              <w:t>井田东部，由西南向东北穿过井田，</w:t>
            </w:r>
          </w:p>
          <w:p w:rsidR="00BA7F0A" w:rsidRPr="00925B84" w:rsidRDefault="00BA7F0A" w:rsidP="00590CD6">
            <w:pPr>
              <w:pStyle w:val="affffff7"/>
              <w:spacing w:line="260" w:lineRule="exact"/>
              <w:rPr>
                <w:color w:val="auto"/>
                <w:sz w:val="18"/>
                <w:szCs w:val="18"/>
              </w:rPr>
            </w:pPr>
            <w:r w:rsidRPr="00925B84">
              <w:rPr>
                <w:color w:val="auto"/>
                <w:sz w:val="18"/>
                <w:szCs w:val="18"/>
              </w:rPr>
              <w:t>井田内长</w:t>
            </w:r>
            <w:r w:rsidRPr="00925B84">
              <w:rPr>
                <w:color w:val="auto"/>
                <w:sz w:val="18"/>
                <w:szCs w:val="18"/>
              </w:rPr>
              <w:t>9.</w:t>
            </w:r>
            <w:r w:rsidRPr="00925B84">
              <w:rPr>
                <w:rFonts w:hint="eastAsia"/>
                <w:color w:val="auto"/>
                <w:sz w:val="18"/>
                <w:szCs w:val="18"/>
              </w:rPr>
              <w:t>7</w:t>
            </w:r>
            <w:r w:rsidRPr="00925B84">
              <w:rPr>
                <w:color w:val="auto"/>
                <w:sz w:val="18"/>
                <w:szCs w:val="18"/>
              </w:rPr>
              <w:t>km</w:t>
            </w:r>
            <w:r w:rsidRPr="00925B84">
              <w:rPr>
                <w:rFonts w:hint="eastAsia"/>
                <w:color w:val="auto"/>
                <w:sz w:val="18"/>
                <w:szCs w:val="18"/>
              </w:rPr>
              <w:t>；湿地与井田重叠面积约</w:t>
            </w:r>
            <w:r w:rsidRPr="00925B84">
              <w:rPr>
                <w:rFonts w:hint="eastAsia"/>
                <w:color w:val="auto"/>
                <w:sz w:val="18"/>
                <w:szCs w:val="18"/>
              </w:rPr>
              <w:t>2.84km</w:t>
            </w:r>
            <w:r w:rsidRPr="00925B84">
              <w:rPr>
                <w:rFonts w:hint="eastAsia"/>
                <w:color w:val="auto"/>
                <w:sz w:val="18"/>
                <w:szCs w:val="18"/>
                <w:vertAlign w:val="superscript"/>
              </w:rPr>
              <w:t>2</w:t>
            </w:r>
            <w:r w:rsidRPr="00925B84">
              <w:rPr>
                <w:rFonts w:hint="eastAsia"/>
                <w:color w:val="auto"/>
                <w:sz w:val="18"/>
                <w:szCs w:val="18"/>
              </w:rPr>
              <w:t>，</w:t>
            </w:r>
            <w:r w:rsidRPr="00925B84">
              <w:rPr>
                <w:color w:val="auto"/>
                <w:sz w:val="18"/>
                <w:szCs w:val="18"/>
              </w:rPr>
              <w:t>最近距采区边界约</w:t>
            </w:r>
            <w:r w:rsidRPr="00925B84">
              <w:rPr>
                <w:rFonts w:hint="eastAsia"/>
                <w:color w:val="auto"/>
                <w:sz w:val="18"/>
                <w:szCs w:val="18"/>
              </w:rPr>
              <w:t>9</w:t>
            </w:r>
            <w:r w:rsidRPr="00925B84">
              <w:rPr>
                <w:color w:val="auto"/>
                <w:sz w:val="18"/>
                <w:szCs w:val="18"/>
              </w:rPr>
              <w:t>0m</w:t>
            </w:r>
          </w:p>
        </w:tc>
        <w:tc>
          <w:tcPr>
            <w:tcW w:w="1492" w:type="dxa"/>
            <w:vMerge/>
            <w:shd w:val="clear" w:color="auto" w:fill="auto"/>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2274" w:type="dxa"/>
            <w:shd w:val="clear" w:color="auto" w:fill="auto"/>
            <w:tcMar>
              <w:left w:w="6" w:type="dxa"/>
              <w:right w:w="6" w:type="dxa"/>
            </w:tcMar>
            <w:vAlign w:val="center"/>
          </w:tcPr>
          <w:p w:rsidR="00BA7F0A" w:rsidRPr="00B027B5" w:rsidRDefault="00B027B5" w:rsidP="00590CD6">
            <w:pPr>
              <w:pStyle w:val="affffff7"/>
              <w:spacing w:line="260" w:lineRule="exact"/>
              <w:rPr>
                <w:color w:val="auto"/>
                <w:sz w:val="18"/>
                <w:szCs w:val="18"/>
              </w:rPr>
            </w:pPr>
            <w:r w:rsidRPr="00B027B5">
              <w:rPr>
                <w:rFonts w:hint="eastAsia"/>
                <w:color w:val="FF0000"/>
                <w:sz w:val="18"/>
                <w:szCs w:val="18"/>
              </w:rPr>
              <w:t>大理河下游区域为无煤区、上游河段</w:t>
            </w:r>
            <w:r w:rsidR="00E134B5">
              <w:rPr>
                <w:rFonts w:hint="eastAsia"/>
                <w:color w:val="FF0000"/>
                <w:sz w:val="18"/>
                <w:szCs w:val="18"/>
              </w:rPr>
              <w:t>及湿地</w:t>
            </w:r>
            <w:r w:rsidRPr="00B027B5">
              <w:rPr>
                <w:rFonts w:hint="eastAsia"/>
                <w:color w:val="FF0000"/>
                <w:sz w:val="18"/>
                <w:szCs w:val="18"/>
              </w:rPr>
              <w:t>留设保护煤柱</w:t>
            </w:r>
            <w:r w:rsidR="00BA7F0A" w:rsidRPr="00B027B5">
              <w:rPr>
                <w:color w:val="FF0000"/>
                <w:sz w:val="18"/>
                <w:szCs w:val="18"/>
              </w:rPr>
              <w:t>，</w:t>
            </w:r>
            <w:r w:rsidR="00BA7F0A" w:rsidRPr="00B027B5">
              <w:rPr>
                <w:color w:val="auto"/>
                <w:sz w:val="18"/>
                <w:szCs w:val="18"/>
              </w:rPr>
              <w:t>不受采煤沉陷影响，不改变现有水域功能</w:t>
            </w:r>
          </w:p>
        </w:tc>
      </w:tr>
      <w:tr w:rsidR="00BA7F0A">
        <w:trPr>
          <w:cantSplit/>
          <w:trHeight w:val="429"/>
          <w:jc w:val="center"/>
        </w:trPr>
        <w:tc>
          <w:tcPr>
            <w:tcW w:w="526" w:type="dxa"/>
            <w:vMerge/>
            <w:vAlign w:val="center"/>
          </w:tcPr>
          <w:p w:rsidR="00BA7F0A" w:rsidRPr="00925B84" w:rsidRDefault="00BA7F0A" w:rsidP="00590CD6">
            <w:pPr>
              <w:pStyle w:val="affffff7"/>
              <w:spacing w:line="260" w:lineRule="exact"/>
              <w:rPr>
                <w:color w:val="auto"/>
                <w:sz w:val="18"/>
                <w:szCs w:val="18"/>
              </w:rPr>
            </w:pPr>
          </w:p>
        </w:tc>
        <w:tc>
          <w:tcPr>
            <w:tcW w:w="420"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1845" w:type="dxa"/>
            <w:gridSpan w:val="3"/>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rFonts w:hAnsi="宋体" w:hint="eastAsia"/>
                <w:color w:val="auto"/>
                <w:sz w:val="18"/>
                <w:szCs w:val="18"/>
              </w:rPr>
              <w:t>石湾镇梁坪水库</w:t>
            </w:r>
          </w:p>
        </w:tc>
        <w:tc>
          <w:tcPr>
            <w:tcW w:w="3366" w:type="dxa"/>
            <w:gridSpan w:val="2"/>
            <w:shd w:val="clear" w:color="auto" w:fill="auto"/>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rFonts w:hAnsi="宋体" w:hint="eastAsia"/>
                <w:color w:val="auto"/>
                <w:sz w:val="18"/>
                <w:szCs w:val="18"/>
              </w:rPr>
              <w:t>位于整合区南部，六盘区边界处，面积约</w:t>
            </w:r>
            <w:r w:rsidRPr="00925B84">
              <w:rPr>
                <w:rFonts w:hAnsi="宋体" w:hint="eastAsia"/>
                <w:color w:val="auto"/>
                <w:sz w:val="18"/>
                <w:szCs w:val="18"/>
              </w:rPr>
              <w:t>1.06hm</w:t>
            </w:r>
            <w:r w:rsidRPr="00925B84">
              <w:rPr>
                <w:rFonts w:hAnsi="宋体" w:hint="eastAsia"/>
                <w:color w:val="auto"/>
                <w:sz w:val="18"/>
                <w:szCs w:val="18"/>
                <w:vertAlign w:val="superscript"/>
              </w:rPr>
              <w:t>2</w:t>
            </w:r>
            <w:r w:rsidRPr="00925B84">
              <w:rPr>
                <w:rFonts w:hAnsi="宋体" w:hint="eastAsia"/>
                <w:color w:val="auto"/>
                <w:sz w:val="18"/>
                <w:szCs w:val="18"/>
              </w:rPr>
              <w:t>，用作农业灌溉</w:t>
            </w:r>
          </w:p>
        </w:tc>
        <w:tc>
          <w:tcPr>
            <w:tcW w:w="1492" w:type="dxa"/>
            <w:vMerge/>
            <w:shd w:val="clear" w:color="auto" w:fill="auto"/>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2274" w:type="dxa"/>
            <w:shd w:val="clear" w:color="auto" w:fill="auto"/>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rFonts w:hint="eastAsia"/>
                <w:color w:val="auto"/>
                <w:sz w:val="18"/>
                <w:szCs w:val="18"/>
              </w:rPr>
              <w:t>环评要求与村庄一并留设</w:t>
            </w:r>
          </w:p>
          <w:p w:rsidR="00BA7F0A" w:rsidRPr="00925B84" w:rsidRDefault="00BA7F0A" w:rsidP="00590CD6">
            <w:pPr>
              <w:pStyle w:val="affffff7"/>
              <w:spacing w:line="260" w:lineRule="exact"/>
              <w:rPr>
                <w:color w:val="auto"/>
                <w:sz w:val="18"/>
                <w:szCs w:val="18"/>
              </w:rPr>
            </w:pPr>
            <w:r w:rsidRPr="00925B84">
              <w:rPr>
                <w:rFonts w:hint="eastAsia"/>
                <w:color w:val="auto"/>
                <w:sz w:val="18"/>
                <w:szCs w:val="18"/>
              </w:rPr>
              <w:t>保护煤柱</w:t>
            </w:r>
          </w:p>
        </w:tc>
      </w:tr>
      <w:tr w:rsidR="00BA7F0A">
        <w:trPr>
          <w:cantSplit/>
          <w:trHeight w:val="429"/>
          <w:jc w:val="center"/>
        </w:trPr>
        <w:tc>
          <w:tcPr>
            <w:tcW w:w="526" w:type="dxa"/>
            <w:vMerge/>
            <w:vAlign w:val="center"/>
          </w:tcPr>
          <w:p w:rsidR="00BA7F0A" w:rsidRPr="00925B84" w:rsidRDefault="00BA7F0A" w:rsidP="00590CD6">
            <w:pPr>
              <w:pStyle w:val="affffff7"/>
              <w:spacing w:line="260" w:lineRule="exact"/>
              <w:rPr>
                <w:color w:val="auto"/>
                <w:sz w:val="18"/>
                <w:szCs w:val="18"/>
              </w:rPr>
            </w:pPr>
          </w:p>
        </w:tc>
        <w:tc>
          <w:tcPr>
            <w:tcW w:w="420" w:type="dxa"/>
            <w:vMerge/>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1845" w:type="dxa"/>
            <w:gridSpan w:val="3"/>
            <w:tcMar>
              <w:left w:w="6" w:type="dxa"/>
              <w:right w:w="6" w:type="dxa"/>
            </w:tcMar>
            <w:vAlign w:val="center"/>
          </w:tcPr>
          <w:p w:rsidR="00BA7F0A" w:rsidRPr="00925B84" w:rsidRDefault="00BA7F0A" w:rsidP="00590CD6">
            <w:pPr>
              <w:pStyle w:val="affffff7"/>
              <w:spacing w:line="260" w:lineRule="exact"/>
              <w:rPr>
                <w:rFonts w:hAnsi="宋体"/>
                <w:color w:val="auto"/>
                <w:sz w:val="18"/>
                <w:szCs w:val="18"/>
              </w:rPr>
            </w:pPr>
            <w:r w:rsidRPr="00925B84">
              <w:rPr>
                <w:rFonts w:hAnsi="宋体" w:hint="eastAsia"/>
                <w:color w:val="auto"/>
                <w:sz w:val="18"/>
                <w:szCs w:val="18"/>
              </w:rPr>
              <w:t>麻地沟水库</w:t>
            </w:r>
          </w:p>
        </w:tc>
        <w:tc>
          <w:tcPr>
            <w:tcW w:w="3366" w:type="dxa"/>
            <w:gridSpan w:val="2"/>
            <w:shd w:val="clear" w:color="auto" w:fill="auto"/>
            <w:tcMar>
              <w:left w:w="6" w:type="dxa"/>
              <w:right w:w="6" w:type="dxa"/>
            </w:tcMar>
            <w:vAlign w:val="center"/>
          </w:tcPr>
          <w:p w:rsidR="00BA7F0A" w:rsidRPr="00925B84" w:rsidRDefault="00BA7F0A" w:rsidP="00590CD6">
            <w:pPr>
              <w:pStyle w:val="affffff7"/>
              <w:spacing w:line="260" w:lineRule="exact"/>
              <w:rPr>
                <w:rFonts w:hAnsi="宋体"/>
                <w:color w:val="auto"/>
                <w:sz w:val="18"/>
                <w:szCs w:val="18"/>
              </w:rPr>
            </w:pPr>
            <w:r w:rsidRPr="00925B84">
              <w:rPr>
                <w:rFonts w:hAnsi="宋体" w:hint="eastAsia"/>
                <w:color w:val="auto"/>
                <w:sz w:val="18"/>
                <w:szCs w:val="18"/>
              </w:rPr>
              <w:t>位于整合区西部，七盘区内，面积约</w:t>
            </w:r>
            <w:r w:rsidRPr="00925B84">
              <w:rPr>
                <w:rFonts w:hAnsi="宋体" w:hint="eastAsia"/>
                <w:color w:val="auto"/>
                <w:sz w:val="18"/>
                <w:szCs w:val="18"/>
              </w:rPr>
              <w:t>1.9hm</w:t>
            </w:r>
            <w:r w:rsidRPr="00925B84">
              <w:rPr>
                <w:rFonts w:hAnsi="宋体" w:hint="eastAsia"/>
                <w:color w:val="auto"/>
                <w:sz w:val="18"/>
                <w:szCs w:val="18"/>
                <w:vertAlign w:val="superscript"/>
              </w:rPr>
              <w:t>2</w:t>
            </w:r>
            <w:r w:rsidRPr="00925B84">
              <w:rPr>
                <w:rFonts w:hAnsi="宋体" w:hint="eastAsia"/>
                <w:color w:val="auto"/>
                <w:sz w:val="18"/>
                <w:szCs w:val="18"/>
              </w:rPr>
              <w:t>，水深约</w:t>
            </w:r>
            <w:r w:rsidRPr="00925B84">
              <w:rPr>
                <w:rFonts w:hAnsi="宋体" w:hint="eastAsia"/>
                <w:color w:val="auto"/>
                <w:sz w:val="18"/>
                <w:szCs w:val="18"/>
              </w:rPr>
              <w:t>0.7m</w:t>
            </w:r>
            <w:r w:rsidRPr="00925B84">
              <w:rPr>
                <w:rFonts w:hAnsi="宋体" w:hint="eastAsia"/>
                <w:color w:val="auto"/>
                <w:sz w:val="18"/>
                <w:szCs w:val="18"/>
              </w:rPr>
              <w:t>，用作农业灌溉</w:t>
            </w:r>
          </w:p>
        </w:tc>
        <w:tc>
          <w:tcPr>
            <w:tcW w:w="1492" w:type="dxa"/>
            <w:vMerge/>
            <w:shd w:val="clear" w:color="auto" w:fill="auto"/>
            <w:tcMar>
              <w:left w:w="6" w:type="dxa"/>
              <w:right w:w="6" w:type="dxa"/>
            </w:tcMar>
            <w:vAlign w:val="center"/>
          </w:tcPr>
          <w:p w:rsidR="00BA7F0A" w:rsidRPr="00925B84" w:rsidRDefault="00BA7F0A" w:rsidP="00590CD6">
            <w:pPr>
              <w:pStyle w:val="affffff7"/>
              <w:spacing w:line="260" w:lineRule="exact"/>
              <w:rPr>
                <w:color w:val="auto"/>
                <w:sz w:val="18"/>
                <w:szCs w:val="18"/>
              </w:rPr>
            </w:pPr>
          </w:p>
        </w:tc>
        <w:tc>
          <w:tcPr>
            <w:tcW w:w="2274" w:type="dxa"/>
            <w:shd w:val="clear" w:color="auto" w:fill="auto"/>
            <w:tcMar>
              <w:left w:w="6" w:type="dxa"/>
              <w:right w:w="6" w:type="dxa"/>
            </w:tcMar>
            <w:vAlign w:val="center"/>
          </w:tcPr>
          <w:p w:rsidR="00BA7F0A" w:rsidRPr="00925B84" w:rsidRDefault="00BA7F0A" w:rsidP="00590CD6">
            <w:pPr>
              <w:pStyle w:val="affffff7"/>
              <w:spacing w:line="260" w:lineRule="exact"/>
              <w:rPr>
                <w:color w:val="auto"/>
                <w:sz w:val="18"/>
                <w:szCs w:val="18"/>
              </w:rPr>
            </w:pPr>
            <w:r w:rsidRPr="00925B84">
              <w:rPr>
                <w:rFonts w:hint="eastAsia"/>
                <w:color w:val="auto"/>
                <w:sz w:val="18"/>
                <w:szCs w:val="18"/>
              </w:rPr>
              <w:t>环评要求与油井一并留设</w:t>
            </w:r>
          </w:p>
          <w:p w:rsidR="00BA7F0A" w:rsidRPr="00925B84" w:rsidRDefault="00BA7F0A" w:rsidP="00590CD6">
            <w:pPr>
              <w:pStyle w:val="affffff7"/>
              <w:spacing w:line="260" w:lineRule="exact"/>
              <w:rPr>
                <w:color w:val="auto"/>
                <w:sz w:val="18"/>
                <w:szCs w:val="18"/>
              </w:rPr>
            </w:pPr>
            <w:r w:rsidRPr="00925B84">
              <w:rPr>
                <w:rFonts w:hint="eastAsia"/>
                <w:color w:val="auto"/>
                <w:sz w:val="18"/>
                <w:szCs w:val="18"/>
              </w:rPr>
              <w:t>保护煤柱</w:t>
            </w:r>
          </w:p>
        </w:tc>
      </w:tr>
      <w:tr w:rsidR="00F30F03">
        <w:trPr>
          <w:cantSplit/>
          <w:trHeight w:val="70"/>
          <w:jc w:val="center"/>
        </w:trPr>
        <w:tc>
          <w:tcPr>
            <w:tcW w:w="526" w:type="dxa"/>
            <w:vMerge w:val="restart"/>
            <w:vAlign w:val="center"/>
          </w:tcPr>
          <w:p w:rsidR="00F30F03" w:rsidRPr="00925B84" w:rsidRDefault="00F30F03" w:rsidP="00590CD6">
            <w:pPr>
              <w:pStyle w:val="affffff7"/>
              <w:spacing w:line="260" w:lineRule="exact"/>
              <w:rPr>
                <w:color w:val="auto"/>
                <w:sz w:val="18"/>
                <w:szCs w:val="18"/>
              </w:rPr>
            </w:pPr>
            <w:r w:rsidRPr="00925B84">
              <w:rPr>
                <w:color w:val="auto"/>
                <w:sz w:val="18"/>
                <w:szCs w:val="18"/>
              </w:rPr>
              <w:t>工业</w:t>
            </w:r>
          </w:p>
          <w:p w:rsidR="00F30F03" w:rsidRPr="00925B84" w:rsidRDefault="00F30F03" w:rsidP="00590CD6">
            <w:pPr>
              <w:pStyle w:val="affffff7"/>
              <w:spacing w:line="260" w:lineRule="exact"/>
              <w:rPr>
                <w:color w:val="auto"/>
                <w:sz w:val="18"/>
                <w:szCs w:val="18"/>
              </w:rPr>
            </w:pPr>
            <w:r w:rsidRPr="00925B84">
              <w:rPr>
                <w:color w:val="auto"/>
                <w:sz w:val="18"/>
                <w:szCs w:val="18"/>
              </w:rPr>
              <w:t>场地</w:t>
            </w:r>
          </w:p>
        </w:tc>
        <w:tc>
          <w:tcPr>
            <w:tcW w:w="420" w:type="dxa"/>
            <w:vMerge w:val="restart"/>
            <w:tcMar>
              <w:left w:w="6" w:type="dxa"/>
              <w:right w:w="6" w:type="dxa"/>
            </w:tcMar>
            <w:vAlign w:val="center"/>
          </w:tcPr>
          <w:p w:rsidR="00F30F03" w:rsidRPr="00925B84" w:rsidRDefault="00F30F03" w:rsidP="00590CD6">
            <w:pPr>
              <w:pStyle w:val="affffff7"/>
              <w:spacing w:line="260" w:lineRule="exact"/>
              <w:rPr>
                <w:color w:val="auto"/>
                <w:sz w:val="18"/>
                <w:szCs w:val="18"/>
              </w:rPr>
            </w:pPr>
            <w:r w:rsidRPr="00925B84">
              <w:rPr>
                <w:color w:val="auto"/>
                <w:sz w:val="18"/>
                <w:szCs w:val="18"/>
              </w:rPr>
              <w:t>地表水</w:t>
            </w:r>
          </w:p>
        </w:tc>
        <w:tc>
          <w:tcPr>
            <w:tcW w:w="1845" w:type="dxa"/>
            <w:gridSpan w:val="3"/>
            <w:tcBorders>
              <w:bottom w:val="single" w:sz="6" w:space="0" w:color="auto"/>
            </w:tcBorders>
            <w:tcMar>
              <w:left w:w="6" w:type="dxa"/>
              <w:right w:w="6" w:type="dxa"/>
            </w:tcMar>
            <w:vAlign w:val="center"/>
          </w:tcPr>
          <w:p w:rsidR="00F30F03" w:rsidRPr="00925B84" w:rsidRDefault="00F30F03" w:rsidP="00590CD6">
            <w:pPr>
              <w:pStyle w:val="affffff7"/>
              <w:spacing w:line="260" w:lineRule="exact"/>
              <w:rPr>
                <w:color w:val="auto"/>
                <w:sz w:val="18"/>
                <w:szCs w:val="18"/>
              </w:rPr>
            </w:pPr>
            <w:r w:rsidRPr="00925B84">
              <w:rPr>
                <w:color w:val="auto"/>
                <w:sz w:val="18"/>
                <w:szCs w:val="18"/>
              </w:rPr>
              <w:t>蚂蚁河</w:t>
            </w:r>
          </w:p>
        </w:tc>
        <w:tc>
          <w:tcPr>
            <w:tcW w:w="3366" w:type="dxa"/>
            <w:gridSpan w:val="2"/>
            <w:shd w:val="clear" w:color="auto" w:fill="auto"/>
            <w:tcMar>
              <w:left w:w="6" w:type="dxa"/>
              <w:right w:w="6" w:type="dxa"/>
            </w:tcMar>
            <w:vAlign w:val="center"/>
          </w:tcPr>
          <w:p w:rsidR="00F30F03" w:rsidRPr="00925B84" w:rsidRDefault="00F30F03" w:rsidP="00590CD6">
            <w:pPr>
              <w:pStyle w:val="affffff7"/>
              <w:spacing w:line="260" w:lineRule="exact"/>
              <w:rPr>
                <w:color w:val="auto"/>
                <w:sz w:val="18"/>
                <w:szCs w:val="18"/>
              </w:rPr>
            </w:pPr>
            <w:r w:rsidRPr="00925B84">
              <w:rPr>
                <w:color w:val="auto"/>
                <w:sz w:val="18"/>
                <w:szCs w:val="18"/>
              </w:rPr>
              <w:t>井田北部，由西北向东南穿过井田，井田内长度</w:t>
            </w:r>
            <w:r w:rsidRPr="00925B84">
              <w:rPr>
                <w:color w:val="auto"/>
                <w:sz w:val="18"/>
                <w:szCs w:val="18"/>
              </w:rPr>
              <w:t>11.4km</w:t>
            </w:r>
            <w:r w:rsidRPr="00925B84">
              <w:rPr>
                <w:color w:val="auto"/>
                <w:sz w:val="18"/>
                <w:szCs w:val="18"/>
              </w:rPr>
              <w:t>；工业场地南侧约</w:t>
            </w:r>
            <w:r w:rsidRPr="00925B84">
              <w:rPr>
                <w:color w:val="auto"/>
                <w:sz w:val="18"/>
                <w:szCs w:val="18"/>
              </w:rPr>
              <w:t>12m</w:t>
            </w:r>
            <w:r w:rsidRPr="00925B84">
              <w:rPr>
                <w:color w:val="auto"/>
                <w:sz w:val="18"/>
                <w:szCs w:val="18"/>
              </w:rPr>
              <w:t>，距离开采区最近距离约</w:t>
            </w:r>
            <w:r w:rsidRPr="00925B84">
              <w:rPr>
                <w:color w:val="auto"/>
                <w:sz w:val="18"/>
                <w:szCs w:val="18"/>
              </w:rPr>
              <w:t>100m</w:t>
            </w:r>
          </w:p>
        </w:tc>
        <w:tc>
          <w:tcPr>
            <w:tcW w:w="1492" w:type="dxa"/>
            <w:vMerge w:val="restart"/>
            <w:shd w:val="clear" w:color="auto" w:fill="auto"/>
            <w:tcMar>
              <w:left w:w="6" w:type="dxa"/>
              <w:right w:w="6" w:type="dxa"/>
            </w:tcMar>
            <w:vAlign w:val="center"/>
          </w:tcPr>
          <w:p w:rsidR="00F30F03" w:rsidRPr="00925B84" w:rsidRDefault="00F30F03" w:rsidP="00590CD6">
            <w:pPr>
              <w:pStyle w:val="affffff7"/>
              <w:spacing w:line="260" w:lineRule="exact"/>
              <w:rPr>
                <w:color w:val="auto"/>
                <w:sz w:val="18"/>
                <w:szCs w:val="18"/>
              </w:rPr>
            </w:pPr>
            <w:r w:rsidRPr="00925B84">
              <w:rPr>
                <w:color w:val="auto"/>
                <w:sz w:val="18"/>
                <w:szCs w:val="18"/>
              </w:rPr>
              <w:t>污废水影响</w:t>
            </w:r>
          </w:p>
        </w:tc>
        <w:tc>
          <w:tcPr>
            <w:tcW w:w="2274" w:type="dxa"/>
            <w:vMerge w:val="restart"/>
            <w:shd w:val="clear" w:color="auto" w:fill="auto"/>
            <w:tcMar>
              <w:left w:w="6" w:type="dxa"/>
              <w:right w:w="6" w:type="dxa"/>
            </w:tcMar>
            <w:vAlign w:val="center"/>
          </w:tcPr>
          <w:p w:rsidR="00F30F03" w:rsidRPr="00925B84" w:rsidRDefault="00F30F03" w:rsidP="00590CD6">
            <w:pPr>
              <w:pStyle w:val="affffff7"/>
              <w:spacing w:line="260" w:lineRule="exact"/>
              <w:rPr>
                <w:color w:val="auto"/>
                <w:sz w:val="18"/>
                <w:szCs w:val="18"/>
              </w:rPr>
            </w:pPr>
            <w:r w:rsidRPr="00925B84">
              <w:rPr>
                <w:color w:val="auto"/>
                <w:sz w:val="18"/>
                <w:szCs w:val="18"/>
              </w:rPr>
              <w:t>矿井水排放执行《煤炭工业</w:t>
            </w:r>
          </w:p>
          <w:p w:rsidR="00F30F03" w:rsidRPr="00925B84" w:rsidRDefault="00F30F03" w:rsidP="00590CD6">
            <w:pPr>
              <w:pStyle w:val="affffff7"/>
              <w:spacing w:line="260" w:lineRule="exact"/>
              <w:rPr>
                <w:color w:val="auto"/>
                <w:sz w:val="18"/>
                <w:szCs w:val="18"/>
              </w:rPr>
            </w:pPr>
            <w:r w:rsidRPr="00925B84">
              <w:rPr>
                <w:color w:val="auto"/>
                <w:sz w:val="18"/>
                <w:szCs w:val="18"/>
              </w:rPr>
              <w:t>污染物排放标准》和《</w:t>
            </w:r>
            <w:r w:rsidRPr="00925B84">
              <w:rPr>
                <w:rFonts w:hint="eastAsia"/>
                <w:color w:val="auto"/>
                <w:sz w:val="18"/>
                <w:szCs w:val="18"/>
              </w:rPr>
              <w:t>陕西省黄河流域污水综合排放标准</w:t>
            </w:r>
            <w:r w:rsidRPr="00925B84">
              <w:rPr>
                <w:color w:val="auto"/>
                <w:sz w:val="18"/>
                <w:szCs w:val="18"/>
              </w:rPr>
              <w:t>》</w:t>
            </w:r>
            <w:r w:rsidRPr="00925B84">
              <w:rPr>
                <w:rFonts w:hint="eastAsia"/>
                <w:color w:val="auto"/>
                <w:sz w:val="18"/>
                <w:szCs w:val="18"/>
              </w:rPr>
              <w:t>表</w:t>
            </w:r>
            <w:r w:rsidRPr="00925B84">
              <w:rPr>
                <w:rFonts w:hint="eastAsia"/>
                <w:color w:val="auto"/>
                <w:sz w:val="18"/>
                <w:szCs w:val="18"/>
              </w:rPr>
              <w:t>2</w:t>
            </w:r>
            <w:r w:rsidRPr="00925B84">
              <w:rPr>
                <w:color w:val="auto"/>
                <w:sz w:val="18"/>
                <w:szCs w:val="18"/>
              </w:rPr>
              <w:t>标准；生活污水综合利用，不外排</w:t>
            </w:r>
          </w:p>
        </w:tc>
      </w:tr>
      <w:tr w:rsidR="00F30F03">
        <w:trPr>
          <w:cantSplit/>
          <w:trHeight w:val="65"/>
          <w:jc w:val="center"/>
        </w:trPr>
        <w:tc>
          <w:tcPr>
            <w:tcW w:w="526" w:type="dxa"/>
            <w:vMerge/>
            <w:vAlign w:val="center"/>
          </w:tcPr>
          <w:p w:rsidR="00F30F03" w:rsidRDefault="00F30F03" w:rsidP="00590CD6">
            <w:pPr>
              <w:pStyle w:val="affffff7"/>
              <w:spacing w:line="260" w:lineRule="exact"/>
              <w:rPr>
                <w:sz w:val="18"/>
                <w:szCs w:val="18"/>
              </w:rPr>
            </w:pPr>
          </w:p>
        </w:tc>
        <w:tc>
          <w:tcPr>
            <w:tcW w:w="420" w:type="dxa"/>
            <w:vMerge/>
            <w:tcMar>
              <w:left w:w="6" w:type="dxa"/>
              <w:right w:w="6" w:type="dxa"/>
            </w:tcMar>
            <w:vAlign w:val="center"/>
          </w:tcPr>
          <w:p w:rsidR="00F30F03" w:rsidRDefault="00F30F03" w:rsidP="00590CD6">
            <w:pPr>
              <w:pStyle w:val="affffff7"/>
              <w:spacing w:line="260" w:lineRule="exact"/>
              <w:rPr>
                <w:sz w:val="18"/>
                <w:szCs w:val="18"/>
              </w:rPr>
            </w:pPr>
          </w:p>
        </w:tc>
        <w:tc>
          <w:tcPr>
            <w:tcW w:w="1845" w:type="dxa"/>
            <w:gridSpan w:val="3"/>
            <w:tcBorders>
              <w:top w:val="single" w:sz="6" w:space="0" w:color="auto"/>
            </w:tcBorders>
            <w:tcMar>
              <w:left w:w="6" w:type="dxa"/>
              <w:right w:w="6" w:type="dxa"/>
            </w:tcMar>
            <w:vAlign w:val="center"/>
          </w:tcPr>
          <w:p w:rsidR="00F30F03" w:rsidRDefault="00F30F03" w:rsidP="00590CD6">
            <w:pPr>
              <w:pStyle w:val="affffff7"/>
              <w:spacing w:line="260" w:lineRule="exact"/>
              <w:rPr>
                <w:sz w:val="18"/>
                <w:szCs w:val="18"/>
              </w:rPr>
            </w:pPr>
            <w:r>
              <w:rPr>
                <w:sz w:val="18"/>
                <w:szCs w:val="18"/>
              </w:rPr>
              <w:t>大理河及湿地</w:t>
            </w:r>
          </w:p>
        </w:tc>
        <w:tc>
          <w:tcPr>
            <w:tcW w:w="3366" w:type="dxa"/>
            <w:gridSpan w:val="2"/>
            <w:shd w:val="clear" w:color="auto" w:fill="auto"/>
            <w:tcMar>
              <w:left w:w="6" w:type="dxa"/>
              <w:right w:w="6" w:type="dxa"/>
            </w:tcMar>
            <w:vAlign w:val="center"/>
          </w:tcPr>
          <w:p w:rsidR="00F30F03" w:rsidRDefault="00F30F03" w:rsidP="00590CD6">
            <w:pPr>
              <w:pStyle w:val="affffff7"/>
              <w:spacing w:line="260" w:lineRule="exact"/>
              <w:rPr>
                <w:sz w:val="18"/>
                <w:szCs w:val="18"/>
              </w:rPr>
            </w:pPr>
            <w:r>
              <w:rPr>
                <w:sz w:val="18"/>
                <w:szCs w:val="18"/>
              </w:rPr>
              <w:t>井田东部，由西南向东北穿过井田，井田内长</w:t>
            </w:r>
            <w:r>
              <w:rPr>
                <w:sz w:val="18"/>
                <w:szCs w:val="18"/>
              </w:rPr>
              <w:t>9.5km</w:t>
            </w:r>
            <w:r>
              <w:rPr>
                <w:rFonts w:hint="eastAsia"/>
                <w:sz w:val="18"/>
                <w:szCs w:val="18"/>
              </w:rPr>
              <w:t>；湿地与井田</w:t>
            </w:r>
            <w:r w:rsidRPr="00E134B5">
              <w:rPr>
                <w:rFonts w:hint="eastAsia"/>
                <w:color w:val="auto"/>
                <w:sz w:val="18"/>
                <w:szCs w:val="18"/>
              </w:rPr>
              <w:t>重叠面积约</w:t>
            </w:r>
            <w:r w:rsidRPr="00E134B5">
              <w:rPr>
                <w:rFonts w:hint="eastAsia"/>
                <w:color w:val="auto"/>
                <w:sz w:val="18"/>
                <w:szCs w:val="18"/>
              </w:rPr>
              <w:t>2.84km</w:t>
            </w:r>
            <w:r w:rsidRPr="00E134B5">
              <w:rPr>
                <w:rFonts w:hint="eastAsia"/>
                <w:color w:val="auto"/>
                <w:sz w:val="18"/>
                <w:szCs w:val="18"/>
                <w:vertAlign w:val="superscript"/>
              </w:rPr>
              <w:t>2</w:t>
            </w:r>
          </w:p>
        </w:tc>
        <w:tc>
          <w:tcPr>
            <w:tcW w:w="1492" w:type="dxa"/>
            <w:vMerge/>
            <w:shd w:val="clear" w:color="auto" w:fill="auto"/>
            <w:tcMar>
              <w:left w:w="6" w:type="dxa"/>
              <w:right w:w="6" w:type="dxa"/>
            </w:tcMar>
            <w:vAlign w:val="center"/>
          </w:tcPr>
          <w:p w:rsidR="00F30F03" w:rsidRDefault="00F30F03" w:rsidP="00590CD6">
            <w:pPr>
              <w:pStyle w:val="affffff7"/>
              <w:spacing w:line="260" w:lineRule="exact"/>
              <w:rPr>
                <w:sz w:val="18"/>
                <w:szCs w:val="18"/>
              </w:rPr>
            </w:pPr>
          </w:p>
        </w:tc>
        <w:tc>
          <w:tcPr>
            <w:tcW w:w="2274" w:type="dxa"/>
            <w:vMerge/>
            <w:shd w:val="clear" w:color="auto" w:fill="auto"/>
            <w:tcMar>
              <w:left w:w="6" w:type="dxa"/>
              <w:right w:w="6" w:type="dxa"/>
            </w:tcMar>
            <w:vAlign w:val="center"/>
          </w:tcPr>
          <w:p w:rsidR="00F30F03" w:rsidRDefault="00F30F03" w:rsidP="00590CD6">
            <w:pPr>
              <w:pStyle w:val="affffff7"/>
              <w:spacing w:line="260" w:lineRule="exact"/>
              <w:rPr>
                <w:sz w:val="18"/>
                <w:szCs w:val="18"/>
              </w:rPr>
            </w:pPr>
          </w:p>
        </w:tc>
      </w:tr>
      <w:tr w:rsidR="00F30F03" w:rsidRPr="00925B84">
        <w:trPr>
          <w:cantSplit/>
          <w:trHeight w:val="70"/>
          <w:jc w:val="center"/>
        </w:trPr>
        <w:tc>
          <w:tcPr>
            <w:tcW w:w="526" w:type="dxa"/>
            <w:vMerge/>
            <w:vAlign w:val="center"/>
          </w:tcPr>
          <w:p w:rsidR="00F30F03" w:rsidRPr="00925B84" w:rsidRDefault="00F30F03" w:rsidP="00590CD6">
            <w:pPr>
              <w:pStyle w:val="affffff7"/>
              <w:spacing w:line="260" w:lineRule="exact"/>
              <w:rPr>
                <w:color w:val="auto"/>
                <w:sz w:val="18"/>
                <w:szCs w:val="18"/>
              </w:rPr>
            </w:pPr>
          </w:p>
        </w:tc>
        <w:tc>
          <w:tcPr>
            <w:tcW w:w="420" w:type="dxa"/>
            <w:vMerge w:val="restart"/>
            <w:tcMar>
              <w:left w:w="6" w:type="dxa"/>
              <w:right w:w="6" w:type="dxa"/>
            </w:tcMar>
            <w:vAlign w:val="center"/>
          </w:tcPr>
          <w:p w:rsidR="00F30F03" w:rsidRPr="00F30F03" w:rsidRDefault="00F30F03" w:rsidP="00590CD6">
            <w:pPr>
              <w:pStyle w:val="affffff7"/>
              <w:spacing w:line="260" w:lineRule="exact"/>
              <w:rPr>
                <w:color w:val="FF0000"/>
                <w:sz w:val="18"/>
                <w:szCs w:val="18"/>
              </w:rPr>
            </w:pPr>
            <w:r w:rsidRPr="00F30F03">
              <w:rPr>
                <w:color w:val="FF0000"/>
                <w:sz w:val="18"/>
                <w:szCs w:val="18"/>
              </w:rPr>
              <w:t>噪声</w:t>
            </w:r>
          </w:p>
        </w:tc>
        <w:tc>
          <w:tcPr>
            <w:tcW w:w="756" w:type="dxa"/>
            <w:gridSpan w:val="2"/>
            <w:vMerge w:val="restart"/>
            <w:tcMar>
              <w:left w:w="6" w:type="dxa"/>
              <w:right w:w="6" w:type="dxa"/>
            </w:tcMar>
            <w:vAlign w:val="center"/>
          </w:tcPr>
          <w:p w:rsidR="00F30F03" w:rsidRPr="00F30F03" w:rsidRDefault="00F30F03" w:rsidP="00590CD6">
            <w:pPr>
              <w:pStyle w:val="affffff7"/>
              <w:spacing w:line="260" w:lineRule="exact"/>
              <w:rPr>
                <w:color w:val="FF0000"/>
                <w:sz w:val="18"/>
                <w:szCs w:val="18"/>
              </w:rPr>
            </w:pPr>
            <w:r w:rsidRPr="00F30F03">
              <w:rPr>
                <w:rFonts w:hAnsi="宋体"/>
                <w:color w:val="FF0000"/>
                <w:kern w:val="2"/>
                <w:sz w:val="18"/>
                <w:szCs w:val="18"/>
              </w:rPr>
              <w:t>王家</w:t>
            </w:r>
            <w:r w:rsidRPr="00F30F03">
              <w:rPr>
                <w:rFonts w:hAnsi="宋体"/>
                <w:color w:val="FF0000"/>
                <w:sz w:val="18"/>
                <w:szCs w:val="18"/>
              </w:rPr>
              <w:t>峁</w:t>
            </w:r>
            <w:r w:rsidRPr="00F30F03">
              <w:rPr>
                <w:rFonts w:hAnsi="宋体" w:hint="eastAsia"/>
                <w:color w:val="FF0000"/>
                <w:sz w:val="18"/>
                <w:szCs w:val="18"/>
              </w:rPr>
              <w:t>村</w:t>
            </w:r>
          </w:p>
        </w:tc>
        <w:tc>
          <w:tcPr>
            <w:tcW w:w="1089" w:type="dxa"/>
            <w:tcMar>
              <w:left w:w="6" w:type="dxa"/>
              <w:right w:w="6" w:type="dxa"/>
            </w:tcMar>
            <w:vAlign w:val="center"/>
          </w:tcPr>
          <w:p w:rsidR="00F30F03" w:rsidRPr="00F30F03" w:rsidRDefault="00F30F03" w:rsidP="00590CD6">
            <w:pPr>
              <w:spacing w:line="260" w:lineRule="exact"/>
              <w:jc w:val="center"/>
              <w:rPr>
                <w:color w:val="FF0000"/>
                <w:sz w:val="18"/>
                <w:szCs w:val="18"/>
              </w:rPr>
            </w:pPr>
            <w:r w:rsidRPr="00F30F03">
              <w:rPr>
                <w:rFonts w:hAnsi="宋体"/>
                <w:color w:val="FF0000"/>
                <w:sz w:val="18"/>
                <w:szCs w:val="18"/>
              </w:rPr>
              <w:t>念枣坪</w:t>
            </w:r>
            <w:r w:rsidRPr="00F30F03">
              <w:rPr>
                <w:rFonts w:hAnsi="宋体" w:hint="eastAsia"/>
                <w:color w:val="FF0000"/>
                <w:sz w:val="18"/>
                <w:szCs w:val="18"/>
              </w:rPr>
              <w:t>组</w:t>
            </w:r>
          </w:p>
        </w:tc>
        <w:tc>
          <w:tcPr>
            <w:tcW w:w="2312" w:type="dxa"/>
            <w:shd w:val="clear" w:color="auto" w:fill="auto"/>
            <w:tcMar>
              <w:left w:w="6" w:type="dxa"/>
              <w:right w:w="6" w:type="dxa"/>
            </w:tcMar>
            <w:vAlign w:val="center"/>
          </w:tcPr>
          <w:p w:rsidR="00F30F03" w:rsidRPr="00F30F03" w:rsidRDefault="00056407" w:rsidP="00590CD6">
            <w:pPr>
              <w:spacing w:line="260" w:lineRule="exact"/>
              <w:jc w:val="center"/>
              <w:rPr>
                <w:color w:val="FF0000"/>
                <w:spacing w:val="-6"/>
                <w:sz w:val="18"/>
                <w:szCs w:val="18"/>
              </w:rPr>
            </w:pPr>
            <w:r>
              <w:rPr>
                <w:rFonts w:hAnsi="宋体" w:hint="eastAsia"/>
                <w:color w:val="FF0000"/>
                <w:spacing w:val="-6"/>
                <w:sz w:val="18"/>
                <w:szCs w:val="18"/>
              </w:rPr>
              <w:t>最近距</w:t>
            </w:r>
            <w:r w:rsidR="00F30F03" w:rsidRPr="00F30F03">
              <w:rPr>
                <w:rFonts w:hAnsi="宋体"/>
                <w:color w:val="FF0000"/>
                <w:spacing w:val="-6"/>
                <w:sz w:val="18"/>
                <w:szCs w:val="18"/>
              </w:rPr>
              <w:t>工业场地东</w:t>
            </w:r>
            <w:r w:rsidR="00852FE1">
              <w:rPr>
                <w:rFonts w:hAnsi="宋体" w:hint="eastAsia"/>
                <w:color w:val="FF0000"/>
                <w:spacing w:val="-6"/>
                <w:sz w:val="18"/>
                <w:szCs w:val="18"/>
              </w:rPr>
              <w:t>36</w:t>
            </w:r>
            <w:r w:rsidR="00F30F03" w:rsidRPr="00F30F03">
              <w:rPr>
                <w:color w:val="FF0000"/>
                <w:spacing w:val="-6"/>
                <w:sz w:val="18"/>
                <w:szCs w:val="18"/>
              </w:rPr>
              <w:t xml:space="preserve">m </w:t>
            </w:r>
          </w:p>
        </w:tc>
        <w:tc>
          <w:tcPr>
            <w:tcW w:w="1054" w:type="dxa"/>
            <w:shd w:val="clear" w:color="auto" w:fill="auto"/>
            <w:tcMar>
              <w:left w:w="6" w:type="dxa"/>
              <w:right w:w="6" w:type="dxa"/>
            </w:tcMar>
            <w:vAlign w:val="center"/>
          </w:tcPr>
          <w:p w:rsidR="00F30F03" w:rsidRPr="00F30F03" w:rsidRDefault="00F30F03" w:rsidP="00590CD6">
            <w:pPr>
              <w:spacing w:line="260" w:lineRule="exact"/>
              <w:jc w:val="center"/>
              <w:rPr>
                <w:color w:val="FF0000"/>
                <w:sz w:val="18"/>
                <w:szCs w:val="18"/>
              </w:rPr>
            </w:pPr>
            <w:r w:rsidRPr="00F30F03">
              <w:rPr>
                <w:rFonts w:hint="eastAsia"/>
                <w:color w:val="FF0000"/>
                <w:sz w:val="18"/>
                <w:szCs w:val="18"/>
              </w:rPr>
              <w:t>27</w:t>
            </w:r>
            <w:r w:rsidRPr="00F30F03">
              <w:rPr>
                <w:color w:val="FF0000"/>
                <w:sz w:val="18"/>
                <w:szCs w:val="18"/>
              </w:rPr>
              <w:t>户</w:t>
            </w:r>
            <w:r w:rsidRPr="00F30F03">
              <w:rPr>
                <w:rFonts w:hint="eastAsia"/>
                <w:color w:val="FF0000"/>
                <w:sz w:val="18"/>
                <w:szCs w:val="18"/>
              </w:rPr>
              <w:t>,118</w:t>
            </w:r>
            <w:r w:rsidRPr="00F30F03">
              <w:rPr>
                <w:color w:val="FF0000"/>
                <w:sz w:val="18"/>
                <w:szCs w:val="18"/>
              </w:rPr>
              <w:t>人</w:t>
            </w:r>
          </w:p>
        </w:tc>
        <w:tc>
          <w:tcPr>
            <w:tcW w:w="1492" w:type="dxa"/>
            <w:vMerge w:val="restart"/>
            <w:shd w:val="clear" w:color="auto" w:fill="auto"/>
            <w:tcMar>
              <w:left w:w="6" w:type="dxa"/>
              <w:right w:w="6" w:type="dxa"/>
            </w:tcMar>
            <w:vAlign w:val="center"/>
          </w:tcPr>
          <w:p w:rsidR="00567748" w:rsidRDefault="00F30F03" w:rsidP="00590CD6">
            <w:pPr>
              <w:spacing w:line="260" w:lineRule="exact"/>
              <w:jc w:val="center"/>
              <w:rPr>
                <w:rFonts w:hAnsi="宋体"/>
                <w:sz w:val="18"/>
                <w:szCs w:val="18"/>
              </w:rPr>
            </w:pPr>
            <w:r w:rsidRPr="00925B84">
              <w:rPr>
                <w:rFonts w:hAnsi="宋体"/>
                <w:sz w:val="18"/>
                <w:szCs w:val="18"/>
              </w:rPr>
              <w:t>工业场地内</w:t>
            </w:r>
          </w:p>
          <w:p w:rsidR="00F30F03" w:rsidRPr="00925B84" w:rsidRDefault="00F30F03" w:rsidP="00590CD6">
            <w:pPr>
              <w:spacing w:line="260" w:lineRule="exact"/>
              <w:jc w:val="center"/>
              <w:rPr>
                <w:sz w:val="18"/>
                <w:szCs w:val="18"/>
              </w:rPr>
            </w:pPr>
            <w:r w:rsidRPr="00925B84">
              <w:rPr>
                <w:rFonts w:hAnsi="宋体"/>
                <w:sz w:val="18"/>
                <w:szCs w:val="18"/>
              </w:rPr>
              <w:t>设备运行</w:t>
            </w:r>
          </w:p>
        </w:tc>
        <w:tc>
          <w:tcPr>
            <w:tcW w:w="2274" w:type="dxa"/>
            <w:vMerge w:val="restart"/>
            <w:shd w:val="clear" w:color="auto" w:fill="auto"/>
            <w:tcMar>
              <w:left w:w="6" w:type="dxa"/>
              <w:right w:w="6" w:type="dxa"/>
            </w:tcMar>
            <w:vAlign w:val="center"/>
          </w:tcPr>
          <w:p w:rsidR="00F30F03" w:rsidRPr="00925B84" w:rsidRDefault="00F30F03" w:rsidP="00590CD6">
            <w:pPr>
              <w:pStyle w:val="affffff7"/>
              <w:spacing w:line="260" w:lineRule="exact"/>
              <w:rPr>
                <w:color w:val="auto"/>
                <w:sz w:val="18"/>
                <w:szCs w:val="18"/>
              </w:rPr>
            </w:pPr>
            <w:r w:rsidRPr="00925B84">
              <w:rPr>
                <w:color w:val="auto"/>
                <w:sz w:val="18"/>
                <w:szCs w:val="18"/>
              </w:rPr>
              <w:t>采用低噪声机械，</w:t>
            </w:r>
            <w:r>
              <w:rPr>
                <w:rFonts w:hint="eastAsia"/>
                <w:color w:val="auto"/>
                <w:sz w:val="18"/>
                <w:szCs w:val="18"/>
              </w:rPr>
              <w:t>设备采取消声减震等措施，</w:t>
            </w:r>
            <w:r w:rsidRPr="00925B84">
              <w:rPr>
                <w:color w:val="auto"/>
                <w:sz w:val="18"/>
                <w:szCs w:val="18"/>
              </w:rPr>
              <w:t>满足《声环境质量标准》</w:t>
            </w:r>
            <w:r w:rsidRPr="00925B84">
              <w:rPr>
                <w:color w:val="auto"/>
                <w:sz w:val="18"/>
                <w:szCs w:val="18"/>
              </w:rPr>
              <w:t>2</w:t>
            </w:r>
            <w:r w:rsidRPr="00925B84">
              <w:rPr>
                <w:color w:val="auto"/>
                <w:sz w:val="18"/>
                <w:szCs w:val="18"/>
              </w:rPr>
              <w:t>类标准要求</w:t>
            </w:r>
          </w:p>
        </w:tc>
      </w:tr>
      <w:tr w:rsidR="00F30F03" w:rsidRPr="00925B84" w:rsidTr="00F30F03">
        <w:trPr>
          <w:cantSplit/>
          <w:trHeight w:val="70"/>
          <w:jc w:val="center"/>
        </w:trPr>
        <w:tc>
          <w:tcPr>
            <w:tcW w:w="526" w:type="dxa"/>
            <w:vMerge/>
            <w:vAlign w:val="center"/>
          </w:tcPr>
          <w:p w:rsidR="00F30F03" w:rsidRPr="00925B84" w:rsidRDefault="00F30F03" w:rsidP="00590CD6">
            <w:pPr>
              <w:pStyle w:val="affffff7"/>
              <w:spacing w:line="260" w:lineRule="exact"/>
              <w:rPr>
                <w:color w:val="auto"/>
                <w:sz w:val="18"/>
                <w:szCs w:val="18"/>
              </w:rPr>
            </w:pPr>
          </w:p>
        </w:tc>
        <w:tc>
          <w:tcPr>
            <w:tcW w:w="420" w:type="dxa"/>
            <w:vMerge/>
            <w:tcMar>
              <w:left w:w="6" w:type="dxa"/>
              <w:right w:w="6" w:type="dxa"/>
            </w:tcMar>
            <w:vAlign w:val="center"/>
          </w:tcPr>
          <w:p w:rsidR="00F30F03" w:rsidRPr="00F30F03" w:rsidRDefault="00F30F03" w:rsidP="00590CD6">
            <w:pPr>
              <w:pStyle w:val="affffff7"/>
              <w:spacing w:line="260" w:lineRule="exact"/>
              <w:rPr>
                <w:color w:val="FF0000"/>
                <w:sz w:val="18"/>
                <w:szCs w:val="18"/>
              </w:rPr>
            </w:pPr>
          </w:p>
        </w:tc>
        <w:tc>
          <w:tcPr>
            <w:tcW w:w="756" w:type="dxa"/>
            <w:gridSpan w:val="2"/>
            <w:vMerge/>
            <w:tcMar>
              <w:left w:w="6" w:type="dxa"/>
              <w:right w:w="6" w:type="dxa"/>
            </w:tcMar>
            <w:vAlign w:val="center"/>
          </w:tcPr>
          <w:p w:rsidR="00F30F03" w:rsidRPr="00F30F03" w:rsidRDefault="00F30F03" w:rsidP="00590CD6">
            <w:pPr>
              <w:pStyle w:val="affffff7"/>
              <w:spacing w:line="260" w:lineRule="exact"/>
              <w:rPr>
                <w:rFonts w:hAnsi="宋体"/>
                <w:color w:val="FF0000"/>
                <w:sz w:val="18"/>
                <w:szCs w:val="18"/>
              </w:rPr>
            </w:pPr>
          </w:p>
        </w:tc>
        <w:tc>
          <w:tcPr>
            <w:tcW w:w="1089" w:type="dxa"/>
            <w:tcMar>
              <w:left w:w="6" w:type="dxa"/>
              <w:right w:w="6" w:type="dxa"/>
            </w:tcMar>
            <w:vAlign w:val="center"/>
          </w:tcPr>
          <w:p w:rsidR="00F30F03" w:rsidRPr="00F30F03" w:rsidRDefault="00F30F03" w:rsidP="00590CD6">
            <w:pPr>
              <w:spacing w:line="260" w:lineRule="exact"/>
              <w:jc w:val="center"/>
              <w:rPr>
                <w:rFonts w:hAnsi="宋体"/>
                <w:color w:val="FF0000"/>
                <w:sz w:val="18"/>
                <w:szCs w:val="18"/>
              </w:rPr>
            </w:pPr>
            <w:r w:rsidRPr="00F30F03">
              <w:rPr>
                <w:rFonts w:hAnsi="宋体"/>
                <w:color w:val="FF0000"/>
                <w:sz w:val="18"/>
                <w:szCs w:val="18"/>
              </w:rPr>
              <w:t>施阳台</w:t>
            </w:r>
            <w:r w:rsidRPr="00F30F03">
              <w:rPr>
                <w:rFonts w:hAnsi="宋体" w:hint="eastAsia"/>
                <w:color w:val="FF0000"/>
                <w:sz w:val="18"/>
                <w:szCs w:val="18"/>
              </w:rPr>
              <w:t>组</w:t>
            </w:r>
          </w:p>
        </w:tc>
        <w:tc>
          <w:tcPr>
            <w:tcW w:w="2312" w:type="dxa"/>
            <w:shd w:val="clear" w:color="auto" w:fill="auto"/>
            <w:tcMar>
              <w:left w:w="6" w:type="dxa"/>
              <w:right w:w="6" w:type="dxa"/>
            </w:tcMar>
            <w:vAlign w:val="center"/>
          </w:tcPr>
          <w:p w:rsidR="00F30F03" w:rsidRPr="00F30F03" w:rsidRDefault="00056407" w:rsidP="00590CD6">
            <w:pPr>
              <w:spacing w:line="260" w:lineRule="exact"/>
              <w:jc w:val="center"/>
              <w:rPr>
                <w:color w:val="FF0000"/>
                <w:sz w:val="18"/>
                <w:szCs w:val="18"/>
              </w:rPr>
            </w:pPr>
            <w:r>
              <w:rPr>
                <w:rFonts w:hAnsi="宋体" w:hint="eastAsia"/>
                <w:color w:val="FF0000"/>
                <w:spacing w:val="-6"/>
                <w:sz w:val="18"/>
                <w:szCs w:val="18"/>
              </w:rPr>
              <w:t>最近距</w:t>
            </w:r>
            <w:r w:rsidR="00F30F03" w:rsidRPr="00F30F03">
              <w:rPr>
                <w:rFonts w:hAnsi="宋体"/>
                <w:color w:val="FF0000"/>
                <w:sz w:val="18"/>
                <w:szCs w:val="18"/>
              </w:rPr>
              <w:t>工业场地西</w:t>
            </w:r>
            <w:r w:rsidR="00CE339C">
              <w:rPr>
                <w:rFonts w:hAnsi="宋体" w:hint="eastAsia"/>
                <w:color w:val="FF0000"/>
                <w:sz w:val="18"/>
                <w:szCs w:val="18"/>
              </w:rPr>
              <w:t>6m</w:t>
            </w:r>
            <w:r w:rsidR="00F30F03" w:rsidRPr="00F30F03">
              <w:rPr>
                <w:rFonts w:hAnsi="宋体"/>
                <w:color w:val="FF0000"/>
                <w:sz w:val="18"/>
                <w:szCs w:val="18"/>
              </w:rPr>
              <w:t>、北</w:t>
            </w:r>
            <w:r w:rsidR="00605E77">
              <w:rPr>
                <w:rFonts w:hint="eastAsia"/>
                <w:color w:val="FF0000"/>
                <w:sz w:val="18"/>
                <w:szCs w:val="18"/>
              </w:rPr>
              <w:t>20</w:t>
            </w:r>
            <w:r w:rsidR="00F30F03" w:rsidRPr="00F30F03">
              <w:rPr>
                <w:color w:val="FF0000"/>
                <w:sz w:val="18"/>
                <w:szCs w:val="18"/>
              </w:rPr>
              <w:t>m</w:t>
            </w:r>
          </w:p>
        </w:tc>
        <w:tc>
          <w:tcPr>
            <w:tcW w:w="1054" w:type="dxa"/>
            <w:shd w:val="clear" w:color="auto" w:fill="auto"/>
            <w:tcMar>
              <w:left w:w="6" w:type="dxa"/>
              <w:right w:w="6" w:type="dxa"/>
            </w:tcMar>
            <w:vAlign w:val="center"/>
          </w:tcPr>
          <w:p w:rsidR="00F30F03" w:rsidRPr="00F30F03" w:rsidRDefault="00F30F03" w:rsidP="00590CD6">
            <w:pPr>
              <w:pStyle w:val="affffff7"/>
              <w:spacing w:line="260" w:lineRule="exact"/>
              <w:rPr>
                <w:color w:val="FF0000"/>
                <w:spacing w:val="-4"/>
                <w:sz w:val="18"/>
                <w:szCs w:val="18"/>
              </w:rPr>
            </w:pPr>
            <w:r w:rsidRPr="00F30F03">
              <w:rPr>
                <w:color w:val="FF0000"/>
                <w:sz w:val="18"/>
                <w:szCs w:val="18"/>
              </w:rPr>
              <w:t>1</w:t>
            </w:r>
            <w:r w:rsidRPr="00F30F03">
              <w:rPr>
                <w:rFonts w:hint="eastAsia"/>
                <w:color w:val="FF0000"/>
                <w:sz w:val="18"/>
                <w:szCs w:val="18"/>
              </w:rPr>
              <w:t>33</w:t>
            </w:r>
            <w:r w:rsidRPr="00F30F03">
              <w:rPr>
                <w:color w:val="FF0000"/>
                <w:sz w:val="18"/>
                <w:szCs w:val="18"/>
              </w:rPr>
              <w:t>户</w:t>
            </w:r>
            <w:r w:rsidRPr="00F30F03">
              <w:rPr>
                <w:rFonts w:hint="eastAsia"/>
                <w:color w:val="FF0000"/>
                <w:sz w:val="18"/>
                <w:szCs w:val="18"/>
              </w:rPr>
              <w:t>,503</w:t>
            </w:r>
            <w:r w:rsidRPr="00F30F03">
              <w:rPr>
                <w:color w:val="FF0000"/>
                <w:sz w:val="18"/>
                <w:szCs w:val="18"/>
              </w:rPr>
              <w:t>人</w:t>
            </w:r>
          </w:p>
        </w:tc>
        <w:tc>
          <w:tcPr>
            <w:tcW w:w="1492" w:type="dxa"/>
            <w:vMerge/>
            <w:shd w:val="clear" w:color="auto" w:fill="auto"/>
            <w:tcMar>
              <w:left w:w="6" w:type="dxa"/>
              <w:right w:w="6" w:type="dxa"/>
            </w:tcMar>
            <w:vAlign w:val="center"/>
          </w:tcPr>
          <w:p w:rsidR="00F30F03" w:rsidRPr="00925B84" w:rsidRDefault="00F30F03" w:rsidP="00590CD6">
            <w:pPr>
              <w:spacing w:line="260" w:lineRule="exact"/>
              <w:jc w:val="center"/>
              <w:rPr>
                <w:sz w:val="18"/>
                <w:szCs w:val="18"/>
              </w:rPr>
            </w:pPr>
          </w:p>
        </w:tc>
        <w:tc>
          <w:tcPr>
            <w:tcW w:w="2274" w:type="dxa"/>
            <w:vMerge/>
            <w:shd w:val="clear" w:color="auto" w:fill="auto"/>
            <w:tcMar>
              <w:left w:w="6" w:type="dxa"/>
              <w:right w:w="6" w:type="dxa"/>
            </w:tcMar>
            <w:vAlign w:val="center"/>
          </w:tcPr>
          <w:p w:rsidR="00F30F03" w:rsidRPr="00925B84" w:rsidRDefault="00F30F03" w:rsidP="00590CD6">
            <w:pPr>
              <w:pStyle w:val="affffff7"/>
              <w:spacing w:line="260" w:lineRule="exact"/>
              <w:rPr>
                <w:color w:val="auto"/>
                <w:sz w:val="18"/>
                <w:szCs w:val="18"/>
              </w:rPr>
            </w:pPr>
          </w:p>
        </w:tc>
      </w:tr>
      <w:tr w:rsidR="00F30F03" w:rsidRPr="00925B84">
        <w:trPr>
          <w:cantSplit/>
          <w:trHeight w:val="70"/>
          <w:jc w:val="center"/>
        </w:trPr>
        <w:tc>
          <w:tcPr>
            <w:tcW w:w="526" w:type="dxa"/>
            <w:vMerge/>
            <w:vAlign w:val="center"/>
          </w:tcPr>
          <w:p w:rsidR="00F30F03" w:rsidRPr="00925B84" w:rsidRDefault="00F30F03" w:rsidP="00590CD6">
            <w:pPr>
              <w:pStyle w:val="affffff7"/>
              <w:spacing w:line="260" w:lineRule="exact"/>
              <w:rPr>
                <w:color w:val="auto"/>
                <w:sz w:val="18"/>
                <w:szCs w:val="18"/>
              </w:rPr>
            </w:pPr>
          </w:p>
        </w:tc>
        <w:tc>
          <w:tcPr>
            <w:tcW w:w="420" w:type="dxa"/>
            <w:vMerge/>
            <w:tcMar>
              <w:left w:w="6" w:type="dxa"/>
              <w:right w:w="6" w:type="dxa"/>
            </w:tcMar>
            <w:vAlign w:val="center"/>
          </w:tcPr>
          <w:p w:rsidR="00F30F03" w:rsidRPr="00F30F03" w:rsidRDefault="00F30F03" w:rsidP="00590CD6">
            <w:pPr>
              <w:pStyle w:val="affffff7"/>
              <w:spacing w:line="260" w:lineRule="exact"/>
              <w:rPr>
                <w:color w:val="FF0000"/>
                <w:sz w:val="18"/>
                <w:szCs w:val="18"/>
              </w:rPr>
            </w:pPr>
          </w:p>
        </w:tc>
        <w:tc>
          <w:tcPr>
            <w:tcW w:w="1845" w:type="dxa"/>
            <w:gridSpan w:val="3"/>
            <w:tcMar>
              <w:left w:w="6" w:type="dxa"/>
              <w:right w:w="6" w:type="dxa"/>
            </w:tcMar>
            <w:vAlign w:val="center"/>
          </w:tcPr>
          <w:p w:rsidR="00F30F03" w:rsidRPr="00F30F03" w:rsidRDefault="00F30F03" w:rsidP="00590CD6">
            <w:pPr>
              <w:spacing w:line="260" w:lineRule="exact"/>
              <w:jc w:val="center"/>
              <w:rPr>
                <w:rFonts w:hAnsi="宋体"/>
                <w:color w:val="FF0000"/>
                <w:sz w:val="18"/>
                <w:szCs w:val="18"/>
              </w:rPr>
            </w:pPr>
            <w:r w:rsidRPr="00F30F03">
              <w:rPr>
                <w:rFonts w:hAnsi="宋体" w:hint="eastAsia"/>
                <w:color w:val="FF0000"/>
                <w:sz w:val="18"/>
                <w:szCs w:val="18"/>
              </w:rPr>
              <w:t>施阳台小学</w:t>
            </w:r>
          </w:p>
        </w:tc>
        <w:tc>
          <w:tcPr>
            <w:tcW w:w="3366" w:type="dxa"/>
            <w:gridSpan w:val="2"/>
            <w:shd w:val="clear" w:color="auto" w:fill="auto"/>
            <w:tcMar>
              <w:left w:w="6" w:type="dxa"/>
              <w:right w:w="6" w:type="dxa"/>
            </w:tcMar>
            <w:vAlign w:val="center"/>
          </w:tcPr>
          <w:p w:rsidR="00F30F03" w:rsidRPr="00F30F03" w:rsidRDefault="00056407" w:rsidP="00590CD6">
            <w:pPr>
              <w:pStyle w:val="affffff7"/>
              <w:spacing w:line="260" w:lineRule="exact"/>
              <w:rPr>
                <w:color w:val="FF0000"/>
                <w:spacing w:val="-4"/>
                <w:sz w:val="18"/>
                <w:szCs w:val="18"/>
              </w:rPr>
            </w:pPr>
            <w:r>
              <w:rPr>
                <w:rFonts w:hAnsi="宋体" w:hint="eastAsia"/>
                <w:color w:val="FF0000"/>
                <w:spacing w:val="-6"/>
                <w:sz w:val="18"/>
                <w:szCs w:val="18"/>
              </w:rPr>
              <w:t>距</w:t>
            </w:r>
            <w:r w:rsidR="00F30F03" w:rsidRPr="00F30F03">
              <w:rPr>
                <w:rFonts w:hint="eastAsia"/>
                <w:color w:val="FF0000"/>
                <w:spacing w:val="-4"/>
                <w:sz w:val="18"/>
                <w:szCs w:val="18"/>
              </w:rPr>
              <w:t>工业场地西侧约</w:t>
            </w:r>
            <w:r w:rsidR="00335C51">
              <w:rPr>
                <w:rFonts w:hint="eastAsia"/>
                <w:color w:val="FF0000"/>
                <w:spacing w:val="-4"/>
                <w:sz w:val="18"/>
                <w:szCs w:val="18"/>
              </w:rPr>
              <w:t>75</w:t>
            </w:r>
            <w:r w:rsidR="00F30F03" w:rsidRPr="00F30F03">
              <w:rPr>
                <w:rFonts w:hint="eastAsia"/>
                <w:color w:val="FF0000"/>
                <w:spacing w:val="-4"/>
                <w:sz w:val="18"/>
                <w:szCs w:val="18"/>
              </w:rPr>
              <w:t>m</w:t>
            </w:r>
          </w:p>
        </w:tc>
        <w:tc>
          <w:tcPr>
            <w:tcW w:w="1492" w:type="dxa"/>
            <w:vMerge/>
            <w:shd w:val="clear" w:color="auto" w:fill="auto"/>
            <w:tcMar>
              <w:left w:w="6" w:type="dxa"/>
              <w:right w:w="6" w:type="dxa"/>
            </w:tcMar>
            <w:vAlign w:val="center"/>
          </w:tcPr>
          <w:p w:rsidR="00F30F03" w:rsidRPr="00925B84" w:rsidRDefault="00F30F03" w:rsidP="00590CD6">
            <w:pPr>
              <w:spacing w:line="260" w:lineRule="exact"/>
              <w:jc w:val="center"/>
              <w:rPr>
                <w:sz w:val="18"/>
                <w:szCs w:val="18"/>
              </w:rPr>
            </w:pPr>
          </w:p>
        </w:tc>
        <w:tc>
          <w:tcPr>
            <w:tcW w:w="2274" w:type="dxa"/>
            <w:vMerge/>
            <w:shd w:val="clear" w:color="auto" w:fill="auto"/>
            <w:tcMar>
              <w:left w:w="6" w:type="dxa"/>
              <w:right w:w="6" w:type="dxa"/>
            </w:tcMar>
            <w:vAlign w:val="center"/>
          </w:tcPr>
          <w:p w:rsidR="00F30F03" w:rsidRPr="00925B84" w:rsidRDefault="00F30F03" w:rsidP="00590CD6">
            <w:pPr>
              <w:pStyle w:val="affffff7"/>
              <w:spacing w:line="260" w:lineRule="exact"/>
              <w:rPr>
                <w:color w:val="auto"/>
                <w:sz w:val="18"/>
                <w:szCs w:val="18"/>
              </w:rPr>
            </w:pPr>
          </w:p>
        </w:tc>
      </w:tr>
      <w:tr w:rsidR="00F30F03" w:rsidRPr="00925B84">
        <w:trPr>
          <w:cantSplit/>
          <w:trHeight w:val="70"/>
          <w:jc w:val="center"/>
        </w:trPr>
        <w:tc>
          <w:tcPr>
            <w:tcW w:w="526" w:type="dxa"/>
            <w:vMerge/>
            <w:vAlign w:val="center"/>
          </w:tcPr>
          <w:p w:rsidR="00F30F03" w:rsidRPr="00925B84" w:rsidRDefault="00F30F03" w:rsidP="00590CD6">
            <w:pPr>
              <w:pStyle w:val="affffff7"/>
              <w:spacing w:line="260" w:lineRule="exact"/>
              <w:rPr>
                <w:color w:val="auto"/>
                <w:sz w:val="18"/>
                <w:szCs w:val="18"/>
              </w:rPr>
            </w:pPr>
          </w:p>
        </w:tc>
        <w:tc>
          <w:tcPr>
            <w:tcW w:w="420" w:type="dxa"/>
            <w:tcMar>
              <w:left w:w="6" w:type="dxa"/>
              <w:right w:w="6" w:type="dxa"/>
            </w:tcMar>
            <w:vAlign w:val="center"/>
          </w:tcPr>
          <w:p w:rsidR="00F30F03" w:rsidRPr="00925B84" w:rsidRDefault="00F30F03" w:rsidP="00590CD6">
            <w:pPr>
              <w:pStyle w:val="affffff7"/>
              <w:spacing w:line="260" w:lineRule="exact"/>
              <w:rPr>
                <w:color w:val="auto"/>
                <w:sz w:val="18"/>
                <w:szCs w:val="18"/>
              </w:rPr>
            </w:pPr>
            <w:r w:rsidRPr="00925B84">
              <w:rPr>
                <w:color w:val="auto"/>
                <w:sz w:val="18"/>
                <w:szCs w:val="18"/>
              </w:rPr>
              <w:t>地下</w:t>
            </w:r>
          </w:p>
          <w:p w:rsidR="00F30F03" w:rsidRPr="00925B84" w:rsidRDefault="00F30F03" w:rsidP="00590CD6">
            <w:pPr>
              <w:pStyle w:val="affffff7"/>
              <w:spacing w:line="260" w:lineRule="exact"/>
              <w:rPr>
                <w:color w:val="auto"/>
                <w:sz w:val="18"/>
                <w:szCs w:val="18"/>
              </w:rPr>
            </w:pPr>
            <w:r w:rsidRPr="00925B84">
              <w:rPr>
                <w:color w:val="auto"/>
                <w:sz w:val="18"/>
                <w:szCs w:val="18"/>
              </w:rPr>
              <w:t>水</w:t>
            </w:r>
          </w:p>
        </w:tc>
        <w:tc>
          <w:tcPr>
            <w:tcW w:w="1845" w:type="dxa"/>
            <w:gridSpan w:val="3"/>
            <w:tcMar>
              <w:left w:w="6" w:type="dxa"/>
              <w:right w:w="6" w:type="dxa"/>
            </w:tcMar>
            <w:vAlign w:val="center"/>
          </w:tcPr>
          <w:p w:rsidR="00F30F03" w:rsidRPr="00925B84" w:rsidRDefault="00F30F03" w:rsidP="00590CD6">
            <w:pPr>
              <w:pStyle w:val="affffff7"/>
              <w:spacing w:line="260" w:lineRule="exact"/>
              <w:rPr>
                <w:color w:val="auto"/>
                <w:sz w:val="18"/>
                <w:szCs w:val="18"/>
              </w:rPr>
            </w:pPr>
            <w:r w:rsidRPr="00925B84">
              <w:rPr>
                <w:color w:val="auto"/>
                <w:sz w:val="18"/>
                <w:szCs w:val="18"/>
              </w:rPr>
              <w:t>居民分散式水井</w:t>
            </w:r>
          </w:p>
        </w:tc>
        <w:tc>
          <w:tcPr>
            <w:tcW w:w="3366" w:type="dxa"/>
            <w:gridSpan w:val="2"/>
            <w:tcMar>
              <w:left w:w="6" w:type="dxa"/>
              <w:right w:w="6" w:type="dxa"/>
            </w:tcMar>
            <w:vAlign w:val="center"/>
          </w:tcPr>
          <w:p w:rsidR="00F30F03" w:rsidRPr="00925B84" w:rsidRDefault="00F30F03" w:rsidP="00590CD6">
            <w:pPr>
              <w:pStyle w:val="affffff7"/>
              <w:spacing w:line="260" w:lineRule="exact"/>
              <w:rPr>
                <w:color w:val="auto"/>
                <w:sz w:val="18"/>
                <w:szCs w:val="18"/>
              </w:rPr>
            </w:pPr>
            <w:r w:rsidRPr="00925B84">
              <w:rPr>
                <w:rFonts w:hint="eastAsia"/>
                <w:color w:val="auto"/>
                <w:sz w:val="18"/>
                <w:szCs w:val="18"/>
              </w:rPr>
              <w:t>地下水水质评价范围，</w:t>
            </w:r>
            <w:r w:rsidRPr="00925B84">
              <w:rPr>
                <w:color w:val="auto"/>
                <w:sz w:val="18"/>
                <w:szCs w:val="18"/>
              </w:rPr>
              <w:t>面积</w:t>
            </w:r>
            <w:r w:rsidRPr="00925B84">
              <w:rPr>
                <w:rFonts w:hint="eastAsia"/>
                <w:color w:val="auto"/>
                <w:sz w:val="18"/>
                <w:szCs w:val="18"/>
              </w:rPr>
              <w:t>0.39km</w:t>
            </w:r>
            <w:r w:rsidRPr="00925B84">
              <w:rPr>
                <w:rFonts w:hint="eastAsia"/>
                <w:color w:val="auto"/>
                <w:sz w:val="18"/>
                <w:szCs w:val="18"/>
                <w:vertAlign w:val="superscript"/>
              </w:rPr>
              <w:t>2</w:t>
            </w:r>
          </w:p>
        </w:tc>
        <w:tc>
          <w:tcPr>
            <w:tcW w:w="1492" w:type="dxa"/>
            <w:tcMar>
              <w:left w:w="6" w:type="dxa"/>
              <w:right w:w="6" w:type="dxa"/>
            </w:tcMar>
            <w:vAlign w:val="center"/>
          </w:tcPr>
          <w:p w:rsidR="00F30F03" w:rsidRPr="00925B84" w:rsidRDefault="00F30F03" w:rsidP="00590CD6">
            <w:pPr>
              <w:pStyle w:val="affffff7"/>
              <w:spacing w:line="260" w:lineRule="exact"/>
              <w:rPr>
                <w:color w:val="auto"/>
                <w:sz w:val="18"/>
                <w:szCs w:val="18"/>
              </w:rPr>
            </w:pPr>
            <w:r w:rsidRPr="00925B84">
              <w:rPr>
                <w:color w:val="auto"/>
                <w:sz w:val="18"/>
                <w:szCs w:val="18"/>
              </w:rPr>
              <w:t>污废水渗漏</w:t>
            </w:r>
          </w:p>
          <w:p w:rsidR="00F30F03" w:rsidRPr="00925B84" w:rsidRDefault="00F30F03" w:rsidP="00590CD6">
            <w:pPr>
              <w:pStyle w:val="affffff7"/>
              <w:spacing w:line="260" w:lineRule="exact"/>
              <w:rPr>
                <w:color w:val="auto"/>
                <w:sz w:val="18"/>
                <w:szCs w:val="18"/>
              </w:rPr>
            </w:pPr>
            <w:r w:rsidRPr="00925B84">
              <w:rPr>
                <w:color w:val="auto"/>
                <w:sz w:val="18"/>
                <w:szCs w:val="18"/>
              </w:rPr>
              <w:t>的污染</w:t>
            </w:r>
          </w:p>
        </w:tc>
        <w:tc>
          <w:tcPr>
            <w:tcW w:w="2274" w:type="dxa"/>
            <w:shd w:val="clear" w:color="auto" w:fill="auto"/>
            <w:tcMar>
              <w:left w:w="6" w:type="dxa"/>
              <w:right w:w="6" w:type="dxa"/>
            </w:tcMar>
            <w:vAlign w:val="center"/>
          </w:tcPr>
          <w:p w:rsidR="00F30F03" w:rsidRPr="00925B84" w:rsidRDefault="00F30F03" w:rsidP="00590CD6">
            <w:pPr>
              <w:pStyle w:val="affffff7"/>
              <w:spacing w:line="260" w:lineRule="exact"/>
              <w:rPr>
                <w:color w:val="auto"/>
                <w:sz w:val="18"/>
                <w:szCs w:val="18"/>
              </w:rPr>
            </w:pPr>
            <w:r w:rsidRPr="00925B84">
              <w:rPr>
                <w:color w:val="auto"/>
                <w:sz w:val="18"/>
                <w:szCs w:val="18"/>
              </w:rPr>
              <w:t>水质满足《地下水质量标准》</w:t>
            </w:r>
            <w:r w:rsidRPr="00925B84">
              <w:rPr>
                <w:rFonts w:hAnsi="宋体"/>
                <w:color w:val="auto"/>
                <w:sz w:val="18"/>
                <w:szCs w:val="18"/>
              </w:rPr>
              <w:t>Ⅲ</w:t>
            </w:r>
            <w:r w:rsidRPr="00925B84">
              <w:rPr>
                <w:color w:val="auto"/>
                <w:sz w:val="18"/>
                <w:szCs w:val="18"/>
              </w:rPr>
              <w:t>类水质标准</w:t>
            </w:r>
          </w:p>
        </w:tc>
      </w:tr>
      <w:tr w:rsidR="00F30F03" w:rsidRPr="00925B84">
        <w:trPr>
          <w:cantSplit/>
          <w:trHeight w:val="139"/>
          <w:jc w:val="center"/>
        </w:trPr>
        <w:tc>
          <w:tcPr>
            <w:tcW w:w="526" w:type="dxa"/>
            <w:vMerge/>
            <w:vAlign w:val="center"/>
          </w:tcPr>
          <w:p w:rsidR="00F30F03" w:rsidRPr="00925B84" w:rsidRDefault="00F30F03" w:rsidP="00590CD6">
            <w:pPr>
              <w:pStyle w:val="affffff7"/>
              <w:spacing w:line="260" w:lineRule="exact"/>
              <w:rPr>
                <w:color w:val="auto"/>
                <w:sz w:val="18"/>
                <w:szCs w:val="18"/>
              </w:rPr>
            </w:pPr>
          </w:p>
        </w:tc>
        <w:tc>
          <w:tcPr>
            <w:tcW w:w="420" w:type="dxa"/>
            <w:tcMar>
              <w:left w:w="6" w:type="dxa"/>
              <w:right w:w="6" w:type="dxa"/>
            </w:tcMar>
            <w:vAlign w:val="center"/>
          </w:tcPr>
          <w:p w:rsidR="00F30F03" w:rsidRPr="00F30F03" w:rsidRDefault="00F30F03" w:rsidP="00590CD6">
            <w:pPr>
              <w:pStyle w:val="affffff7"/>
              <w:spacing w:line="260" w:lineRule="exact"/>
              <w:rPr>
                <w:color w:val="FF0000"/>
                <w:sz w:val="18"/>
                <w:szCs w:val="18"/>
              </w:rPr>
            </w:pPr>
            <w:r w:rsidRPr="00F30F03">
              <w:rPr>
                <w:rFonts w:hint="eastAsia"/>
                <w:color w:val="FF0000"/>
                <w:sz w:val="18"/>
                <w:szCs w:val="18"/>
              </w:rPr>
              <w:t>占地</w:t>
            </w:r>
          </w:p>
        </w:tc>
        <w:tc>
          <w:tcPr>
            <w:tcW w:w="756" w:type="dxa"/>
            <w:gridSpan w:val="2"/>
            <w:tcMar>
              <w:left w:w="6" w:type="dxa"/>
              <w:right w:w="6" w:type="dxa"/>
            </w:tcMar>
            <w:vAlign w:val="center"/>
          </w:tcPr>
          <w:p w:rsidR="00F30F03" w:rsidRPr="00F30F03" w:rsidRDefault="00F30F03" w:rsidP="00590CD6">
            <w:pPr>
              <w:pStyle w:val="affffff7"/>
              <w:spacing w:line="260" w:lineRule="exact"/>
              <w:rPr>
                <w:color w:val="FF0000"/>
                <w:sz w:val="18"/>
                <w:szCs w:val="18"/>
              </w:rPr>
            </w:pPr>
            <w:r w:rsidRPr="00F30F03">
              <w:rPr>
                <w:rFonts w:hAnsi="宋体"/>
                <w:color w:val="FF0000"/>
                <w:kern w:val="2"/>
                <w:sz w:val="18"/>
                <w:szCs w:val="18"/>
              </w:rPr>
              <w:t>王家</w:t>
            </w:r>
            <w:r w:rsidRPr="00F30F03">
              <w:rPr>
                <w:rFonts w:hAnsi="宋体"/>
                <w:color w:val="FF0000"/>
                <w:sz w:val="18"/>
                <w:szCs w:val="18"/>
              </w:rPr>
              <w:t>峁</w:t>
            </w:r>
            <w:r w:rsidRPr="00F30F03">
              <w:rPr>
                <w:rFonts w:hAnsi="宋体" w:hint="eastAsia"/>
                <w:color w:val="FF0000"/>
                <w:sz w:val="18"/>
                <w:szCs w:val="18"/>
              </w:rPr>
              <w:t>村</w:t>
            </w:r>
          </w:p>
        </w:tc>
        <w:tc>
          <w:tcPr>
            <w:tcW w:w="1089" w:type="dxa"/>
            <w:tcMar>
              <w:left w:w="6" w:type="dxa"/>
              <w:right w:w="6" w:type="dxa"/>
            </w:tcMar>
            <w:vAlign w:val="center"/>
          </w:tcPr>
          <w:p w:rsidR="00F30F03" w:rsidRPr="00F30F03" w:rsidRDefault="00F30F03" w:rsidP="00590CD6">
            <w:pPr>
              <w:pStyle w:val="affffff7"/>
              <w:spacing w:line="260" w:lineRule="exact"/>
              <w:rPr>
                <w:color w:val="FF0000"/>
                <w:sz w:val="18"/>
                <w:szCs w:val="18"/>
              </w:rPr>
            </w:pPr>
            <w:r w:rsidRPr="00F30F03">
              <w:rPr>
                <w:rFonts w:hAnsi="宋体"/>
                <w:color w:val="FF0000"/>
                <w:sz w:val="18"/>
                <w:szCs w:val="18"/>
              </w:rPr>
              <w:t>念枣坪</w:t>
            </w:r>
            <w:r w:rsidRPr="00F30F03">
              <w:rPr>
                <w:rFonts w:hAnsi="宋体" w:hint="eastAsia"/>
                <w:color w:val="FF0000"/>
                <w:sz w:val="18"/>
                <w:szCs w:val="18"/>
              </w:rPr>
              <w:t>组</w:t>
            </w:r>
          </w:p>
        </w:tc>
        <w:tc>
          <w:tcPr>
            <w:tcW w:w="2312" w:type="dxa"/>
            <w:tcMar>
              <w:left w:w="6" w:type="dxa"/>
              <w:right w:w="6" w:type="dxa"/>
            </w:tcMar>
            <w:vAlign w:val="center"/>
          </w:tcPr>
          <w:p w:rsidR="00F30F03" w:rsidRPr="00F30F03" w:rsidRDefault="00F30F03" w:rsidP="00590CD6">
            <w:pPr>
              <w:pStyle w:val="affffff7"/>
              <w:spacing w:line="260" w:lineRule="exact"/>
              <w:rPr>
                <w:color w:val="FF0000"/>
                <w:sz w:val="18"/>
                <w:szCs w:val="18"/>
              </w:rPr>
            </w:pPr>
            <w:r w:rsidRPr="00F30F03">
              <w:rPr>
                <w:rFonts w:hint="eastAsia"/>
                <w:color w:val="FF0000"/>
                <w:sz w:val="18"/>
                <w:szCs w:val="18"/>
              </w:rPr>
              <w:t>工业场地东北部</w:t>
            </w:r>
          </w:p>
        </w:tc>
        <w:tc>
          <w:tcPr>
            <w:tcW w:w="1054" w:type="dxa"/>
            <w:tcMar>
              <w:left w:w="6" w:type="dxa"/>
              <w:right w:w="6" w:type="dxa"/>
            </w:tcMar>
            <w:vAlign w:val="center"/>
          </w:tcPr>
          <w:p w:rsidR="00F30F03" w:rsidRPr="00F30F03" w:rsidRDefault="00CE339C" w:rsidP="00590CD6">
            <w:pPr>
              <w:pStyle w:val="affffff7"/>
              <w:spacing w:line="260" w:lineRule="exact"/>
              <w:rPr>
                <w:color w:val="FF0000"/>
                <w:sz w:val="18"/>
                <w:szCs w:val="18"/>
              </w:rPr>
            </w:pPr>
            <w:r w:rsidRPr="00C006A7">
              <w:rPr>
                <w:rFonts w:hint="eastAsia"/>
                <w:color w:val="FF0000"/>
                <w:sz w:val="18"/>
                <w:szCs w:val="18"/>
              </w:rPr>
              <w:t>34</w:t>
            </w:r>
            <w:r w:rsidR="00F30F03" w:rsidRPr="00C006A7">
              <w:rPr>
                <w:rFonts w:hint="eastAsia"/>
                <w:color w:val="FF0000"/>
                <w:sz w:val="18"/>
                <w:szCs w:val="18"/>
              </w:rPr>
              <w:t>户</w:t>
            </w:r>
          </w:p>
        </w:tc>
        <w:tc>
          <w:tcPr>
            <w:tcW w:w="1492" w:type="dxa"/>
            <w:tcMar>
              <w:left w:w="6" w:type="dxa"/>
              <w:right w:w="6" w:type="dxa"/>
            </w:tcMar>
            <w:vAlign w:val="center"/>
          </w:tcPr>
          <w:p w:rsidR="00F30F03" w:rsidRPr="00925B84" w:rsidRDefault="00F30F03" w:rsidP="00590CD6">
            <w:pPr>
              <w:pStyle w:val="affffff7"/>
              <w:spacing w:line="260" w:lineRule="exact"/>
              <w:rPr>
                <w:color w:val="auto"/>
                <w:sz w:val="18"/>
                <w:szCs w:val="18"/>
              </w:rPr>
            </w:pPr>
            <w:r w:rsidRPr="00925B84">
              <w:rPr>
                <w:rFonts w:hint="eastAsia"/>
                <w:color w:val="auto"/>
                <w:sz w:val="18"/>
                <w:szCs w:val="18"/>
              </w:rPr>
              <w:t>工程占地</w:t>
            </w:r>
          </w:p>
        </w:tc>
        <w:tc>
          <w:tcPr>
            <w:tcW w:w="2274" w:type="dxa"/>
            <w:shd w:val="clear" w:color="auto" w:fill="auto"/>
            <w:tcMar>
              <w:left w:w="6" w:type="dxa"/>
              <w:right w:w="6" w:type="dxa"/>
            </w:tcMar>
            <w:vAlign w:val="center"/>
          </w:tcPr>
          <w:p w:rsidR="00F30F03" w:rsidRPr="00925B84" w:rsidRDefault="00F30F03" w:rsidP="00590CD6">
            <w:pPr>
              <w:pStyle w:val="affffff7"/>
              <w:spacing w:line="260" w:lineRule="exact"/>
              <w:rPr>
                <w:color w:val="auto"/>
                <w:sz w:val="18"/>
                <w:szCs w:val="18"/>
              </w:rPr>
            </w:pPr>
            <w:r w:rsidRPr="00925B84">
              <w:rPr>
                <w:rFonts w:hint="eastAsia"/>
                <w:color w:val="auto"/>
                <w:sz w:val="18"/>
                <w:szCs w:val="18"/>
              </w:rPr>
              <w:t>工程搬迁</w:t>
            </w:r>
          </w:p>
        </w:tc>
      </w:tr>
      <w:tr w:rsidR="00590CD6" w:rsidRPr="00925B84">
        <w:trPr>
          <w:cantSplit/>
          <w:trHeight w:val="139"/>
          <w:jc w:val="center"/>
        </w:trPr>
        <w:tc>
          <w:tcPr>
            <w:tcW w:w="526" w:type="dxa"/>
            <w:vMerge w:val="restart"/>
            <w:vAlign w:val="center"/>
          </w:tcPr>
          <w:p w:rsidR="00590CD6" w:rsidRPr="00567748" w:rsidRDefault="00590CD6" w:rsidP="00590CD6">
            <w:pPr>
              <w:pStyle w:val="affffff7"/>
              <w:spacing w:line="260" w:lineRule="exact"/>
              <w:rPr>
                <w:color w:val="FF0000"/>
                <w:sz w:val="18"/>
                <w:szCs w:val="18"/>
              </w:rPr>
            </w:pPr>
            <w:r w:rsidRPr="00567748">
              <w:rPr>
                <w:rFonts w:hint="eastAsia"/>
                <w:color w:val="FF0000"/>
                <w:sz w:val="18"/>
                <w:szCs w:val="18"/>
              </w:rPr>
              <w:t>运煤道路</w:t>
            </w:r>
          </w:p>
        </w:tc>
        <w:tc>
          <w:tcPr>
            <w:tcW w:w="420" w:type="dxa"/>
            <w:vMerge w:val="restart"/>
            <w:tcMar>
              <w:left w:w="6" w:type="dxa"/>
              <w:right w:w="6" w:type="dxa"/>
            </w:tcMar>
            <w:vAlign w:val="center"/>
          </w:tcPr>
          <w:p w:rsidR="00590CD6" w:rsidRPr="00567748" w:rsidRDefault="00590CD6" w:rsidP="00590CD6">
            <w:pPr>
              <w:pStyle w:val="affffff7"/>
              <w:spacing w:line="260" w:lineRule="exact"/>
              <w:rPr>
                <w:color w:val="FF0000"/>
                <w:sz w:val="18"/>
                <w:szCs w:val="18"/>
              </w:rPr>
            </w:pPr>
            <w:r w:rsidRPr="00567748">
              <w:rPr>
                <w:color w:val="FF0000"/>
                <w:sz w:val="18"/>
                <w:szCs w:val="18"/>
              </w:rPr>
              <w:t>噪声</w:t>
            </w:r>
          </w:p>
        </w:tc>
        <w:tc>
          <w:tcPr>
            <w:tcW w:w="756" w:type="dxa"/>
            <w:gridSpan w:val="2"/>
            <w:vMerge w:val="restart"/>
            <w:tcMar>
              <w:left w:w="6" w:type="dxa"/>
              <w:right w:w="6" w:type="dxa"/>
            </w:tcMar>
            <w:vAlign w:val="center"/>
          </w:tcPr>
          <w:p w:rsidR="00590CD6" w:rsidRPr="00567748" w:rsidRDefault="00590CD6" w:rsidP="00590CD6">
            <w:pPr>
              <w:pStyle w:val="affffff7"/>
              <w:spacing w:line="260" w:lineRule="exact"/>
              <w:rPr>
                <w:rFonts w:hAnsi="宋体"/>
                <w:color w:val="FF0000"/>
                <w:kern w:val="2"/>
                <w:sz w:val="18"/>
                <w:szCs w:val="18"/>
              </w:rPr>
            </w:pPr>
            <w:r w:rsidRPr="00567748">
              <w:rPr>
                <w:rFonts w:hAnsi="宋体"/>
                <w:color w:val="FF0000"/>
                <w:kern w:val="2"/>
                <w:sz w:val="18"/>
                <w:szCs w:val="18"/>
              </w:rPr>
              <w:t>王家</w:t>
            </w:r>
            <w:r w:rsidRPr="00567748">
              <w:rPr>
                <w:rFonts w:hAnsi="宋体"/>
                <w:color w:val="FF0000"/>
                <w:sz w:val="18"/>
                <w:szCs w:val="18"/>
              </w:rPr>
              <w:t>峁</w:t>
            </w:r>
            <w:r w:rsidRPr="00567748">
              <w:rPr>
                <w:rFonts w:hAnsi="宋体" w:hint="eastAsia"/>
                <w:color w:val="FF0000"/>
                <w:sz w:val="18"/>
                <w:szCs w:val="18"/>
              </w:rPr>
              <w:t>村</w:t>
            </w:r>
          </w:p>
        </w:tc>
        <w:tc>
          <w:tcPr>
            <w:tcW w:w="1089" w:type="dxa"/>
            <w:tcMar>
              <w:left w:w="6" w:type="dxa"/>
              <w:right w:w="6" w:type="dxa"/>
            </w:tcMar>
            <w:vAlign w:val="center"/>
          </w:tcPr>
          <w:p w:rsidR="00590CD6" w:rsidRPr="00567748" w:rsidRDefault="00590CD6" w:rsidP="00590CD6">
            <w:pPr>
              <w:spacing w:line="260" w:lineRule="exact"/>
              <w:jc w:val="center"/>
              <w:rPr>
                <w:color w:val="FF0000"/>
                <w:sz w:val="18"/>
                <w:szCs w:val="18"/>
              </w:rPr>
            </w:pPr>
            <w:r w:rsidRPr="00567748">
              <w:rPr>
                <w:rFonts w:hAnsi="宋体"/>
                <w:color w:val="FF0000"/>
                <w:sz w:val="18"/>
                <w:szCs w:val="18"/>
              </w:rPr>
              <w:t>念枣坪</w:t>
            </w:r>
            <w:r w:rsidRPr="00567748">
              <w:rPr>
                <w:rFonts w:hAnsi="宋体" w:hint="eastAsia"/>
                <w:color w:val="FF0000"/>
                <w:sz w:val="18"/>
                <w:szCs w:val="18"/>
              </w:rPr>
              <w:t>组</w:t>
            </w:r>
          </w:p>
        </w:tc>
        <w:tc>
          <w:tcPr>
            <w:tcW w:w="2312" w:type="dxa"/>
            <w:tcMar>
              <w:left w:w="6" w:type="dxa"/>
              <w:right w:w="6" w:type="dxa"/>
            </w:tcMar>
            <w:vAlign w:val="center"/>
          </w:tcPr>
          <w:p w:rsidR="00590CD6" w:rsidRPr="00567748" w:rsidRDefault="00590CD6" w:rsidP="00590CD6">
            <w:pPr>
              <w:spacing w:line="260" w:lineRule="exact"/>
              <w:jc w:val="center"/>
              <w:rPr>
                <w:color w:val="FF0000"/>
                <w:spacing w:val="-6"/>
                <w:sz w:val="18"/>
                <w:szCs w:val="18"/>
              </w:rPr>
            </w:pPr>
            <w:r>
              <w:rPr>
                <w:rFonts w:hAnsi="宋体" w:hint="eastAsia"/>
                <w:color w:val="FF0000"/>
                <w:spacing w:val="-6"/>
                <w:sz w:val="18"/>
                <w:szCs w:val="18"/>
              </w:rPr>
              <w:t>最近距</w:t>
            </w:r>
            <w:r w:rsidRPr="00567748">
              <w:rPr>
                <w:rFonts w:hAnsi="宋体" w:hint="eastAsia"/>
                <w:color w:val="FF0000"/>
                <w:spacing w:val="-6"/>
                <w:sz w:val="18"/>
                <w:szCs w:val="18"/>
              </w:rPr>
              <w:t>运煤</w:t>
            </w:r>
            <w:r w:rsidRPr="00567748">
              <w:rPr>
                <w:rFonts w:hAnsi="宋体"/>
                <w:color w:val="FF0000"/>
                <w:spacing w:val="-6"/>
                <w:sz w:val="18"/>
                <w:szCs w:val="18"/>
              </w:rPr>
              <w:t>道路</w:t>
            </w:r>
            <w:r w:rsidRPr="00567748">
              <w:rPr>
                <w:rFonts w:hAnsi="宋体" w:hint="eastAsia"/>
                <w:color w:val="FF0000"/>
                <w:spacing w:val="-6"/>
                <w:sz w:val="18"/>
                <w:szCs w:val="18"/>
              </w:rPr>
              <w:t>北</w:t>
            </w:r>
            <w:r w:rsidRPr="00567748">
              <w:rPr>
                <w:rFonts w:hAnsi="宋体"/>
                <w:color w:val="FF0000"/>
                <w:spacing w:val="-6"/>
                <w:sz w:val="18"/>
                <w:szCs w:val="18"/>
              </w:rPr>
              <w:t>侧</w:t>
            </w:r>
            <w:r>
              <w:rPr>
                <w:rFonts w:hAnsi="宋体" w:hint="eastAsia"/>
                <w:color w:val="FF0000"/>
                <w:spacing w:val="-6"/>
                <w:sz w:val="18"/>
                <w:szCs w:val="18"/>
              </w:rPr>
              <w:t>3m</w:t>
            </w:r>
          </w:p>
        </w:tc>
        <w:tc>
          <w:tcPr>
            <w:tcW w:w="1054" w:type="dxa"/>
            <w:tcMar>
              <w:left w:w="6" w:type="dxa"/>
              <w:right w:w="6" w:type="dxa"/>
            </w:tcMar>
            <w:vAlign w:val="center"/>
          </w:tcPr>
          <w:p w:rsidR="00590CD6" w:rsidRPr="00567748" w:rsidRDefault="00590CD6" w:rsidP="00590CD6">
            <w:pPr>
              <w:spacing w:line="260" w:lineRule="exact"/>
              <w:jc w:val="center"/>
              <w:rPr>
                <w:color w:val="FF0000"/>
                <w:sz w:val="18"/>
                <w:szCs w:val="18"/>
              </w:rPr>
            </w:pPr>
            <w:r w:rsidRPr="00567748">
              <w:rPr>
                <w:rFonts w:hint="eastAsia"/>
                <w:color w:val="FF0000"/>
                <w:sz w:val="18"/>
                <w:szCs w:val="18"/>
              </w:rPr>
              <w:t>27</w:t>
            </w:r>
            <w:r w:rsidRPr="00567748">
              <w:rPr>
                <w:color w:val="FF0000"/>
                <w:sz w:val="18"/>
                <w:szCs w:val="18"/>
              </w:rPr>
              <w:t>户</w:t>
            </w:r>
            <w:r w:rsidRPr="00567748">
              <w:rPr>
                <w:rFonts w:hint="eastAsia"/>
                <w:color w:val="FF0000"/>
                <w:sz w:val="18"/>
                <w:szCs w:val="18"/>
              </w:rPr>
              <w:t>,118</w:t>
            </w:r>
            <w:r w:rsidRPr="00567748">
              <w:rPr>
                <w:color w:val="FF0000"/>
                <w:sz w:val="18"/>
                <w:szCs w:val="18"/>
              </w:rPr>
              <w:t>人</w:t>
            </w:r>
          </w:p>
        </w:tc>
        <w:tc>
          <w:tcPr>
            <w:tcW w:w="1492" w:type="dxa"/>
            <w:vMerge w:val="restart"/>
            <w:tcMar>
              <w:left w:w="6" w:type="dxa"/>
              <w:right w:w="6" w:type="dxa"/>
            </w:tcMar>
            <w:vAlign w:val="center"/>
          </w:tcPr>
          <w:p w:rsidR="00590CD6" w:rsidRPr="00567748" w:rsidRDefault="00590CD6" w:rsidP="00590CD6">
            <w:pPr>
              <w:pStyle w:val="affffff7"/>
              <w:spacing w:line="260" w:lineRule="exact"/>
              <w:rPr>
                <w:color w:val="FF0000"/>
                <w:sz w:val="18"/>
                <w:szCs w:val="18"/>
              </w:rPr>
            </w:pPr>
            <w:r w:rsidRPr="00567748">
              <w:rPr>
                <w:rFonts w:hAnsi="宋体"/>
                <w:color w:val="FF0000"/>
                <w:sz w:val="18"/>
                <w:szCs w:val="18"/>
              </w:rPr>
              <w:t>运煤车辆运行</w:t>
            </w:r>
          </w:p>
        </w:tc>
        <w:tc>
          <w:tcPr>
            <w:tcW w:w="2274" w:type="dxa"/>
            <w:vMerge w:val="restart"/>
            <w:shd w:val="clear" w:color="auto" w:fill="auto"/>
            <w:tcMar>
              <w:left w:w="6" w:type="dxa"/>
              <w:right w:w="6" w:type="dxa"/>
            </w:tcMar>
            <w:vAlign w:val="center"/>
          </w:tcPr>
          <w:p w:rsidR="00590CD6" w:rsidRPr="00567748" w:rsidRDefault="00590CD6" w:rsidP="00590CD6">
            <w:pPr>
              <w:pStyle w:val="affffff7"/>
              <w:spacing w:line="260" w:lineRule="exact"/>
              <w:rPr>
                <w:color w:val="FF0000"/>
                <w:sz w:val="18"/>
                <w:szCs w:val="18"/>
              </w:rPr>
            </w:pPr>
            <w:r w:rsidRPr="00567748">
              <w:rPr>
                <w:color w:val="FF0000"/>
                <w:sz w:val="18"/>
                <w:szCs w:val="18"/>
              </w:rPr>
              <w:t>控制车速，减少鸣笛，</w:t>
            </w:r>
            <w:r>
              <w:rPr>
                <w:rFonts w:hint="eastAsia"/>
                <w:color w:val="FF0000"/>
                <w:sz w:val="18"/>
                <w:szCs w:val="18"/>
              </w:rPr>
              <w:t>更换隔声窗等措施，</w:t>
            </w:r>
            <w:r w:rsidRPr="00567748">
              <w:rPr>
                <w:color w:val="FF0000"/>
                <w:sz w:val="18"/>
                <w:szCs w:val="18"/>
              </w:rPr>
              <w:t>满足《声环境质量标准》</w:t>
            </w:r>
            <w:r w:rsidRPr="00567748">
              <w:rPr>
                <w:color w:val="FF0000"/>
                <w:sz w:val="18"/>
                <w:szCs w:val="18"/>
              </w:rPr>
              <w:t>2</w:t>
            </w:r>
            <w:r w:rsidRPr="00567748">
              <w:rPr>
                <w:color w:val="FF0000"/>
                <w:sz w:val="18"/>
                <w:szCs w:val="18"/>
              </w:rPr>
              <w:t>类标准要求</w:t>
            </w:r>
          </w:p>
        </w:tc>
      </w:tr>
      <w:tr w:rsidR="00590CD6" w:rsidRPr="00925B84">
        <w:trPr>
          <w:cantSplit/>
          <w:trHeight w:val="139"/>
          <w:jc w:val="center"/>
        </w:trPr>
        <w:tc>
          <w:tcPr>
            <w:tcW w:w="526" w:type="dxa"/>
            <w:vMerge/>
            <w:vAlign w:val="center"/>
          </w:tcPr>
          <w:p w:rsidR="00590CD6" w:rsidRPr="00567748" w:rsidRDefault="00590CD6" w:rsidP="00590CD6">
            <w:pPr>
              <w:pStyle w:val="affffff7"/>
              <w:spacing w:line="260" w:lineRule="exact"/>
              <w:rPr>
                <w:color w:val="FF0000"/>
                <w:sz w:val="18"/>
                <w:szCs w:val="18"/>
              </w:rPr>
            </w:pPr>
          </w:p>
        </w:tc>
        <w:tc>
          <w:tcPr>
            <w:tcW w:w="420" w:type="dxa"/>
            <w:vMerge/>
            <w:tcMar>
              <w:left w:w="6" w:type="dxa"/>
              <w:right w:w="6" w:type="dxa"/>
            </w:tcMar>
            <w:vAlign w:val="center"/>
          </w:tcPr>
          <w:p w:rsidR="00590CD6" w:rsidRPr="00567748" w:rsidRDefault="00590CD6" w:rsidP="00590CD6">
            <w:pPr>
              <w:pStyle w:val="affffff7"/>
              <w:spacing w:line="260" w:lineRule="exact"/>
              <w:rPr>
                <w:color w:val="FF0000"/>
                <w:sz w:val="18"/>
                <w:szCs w:val="18"/>
              </w:rPr>
            </w:pPr>
          </w:p>
        </w:tc>
        <w:tc>
          <w:tcPr>
            <w:tcW w:w="756" w:type="dxa"/>
            <w:gridSpan w:val="2"/>
            <w:vMerge/>
            <w:tcMar>
              <w:left w:w="6" w:type="dxa"/>
              <w:right w:w="6" w:type="dxa"/>
            </w:tcMar>
            <w:vAlign w:val="center"/>
          </w:tcPr>
          <w:p w:rsidR="00590CD6" w:rsidRPr="00567748" w:rsidRDefault="00590CD6" w:rsidP="00590CD6">
            <w:pPr>
              <w:pStyle w:val="affffff7"/>
              <w:spacing w:line="260" w:lineRule="exact"/>
              <w:rPr>
                <w:rFonts w:hAnsi="宋体"/>
                <w:color w:val="FF0000"/>
                <w:kern w:val="2"/>
                <w:sz w:val="18"/>
                <w:szCs w:val="18"/>
              </w:rPr>
            </w:pPr>
          </w:p>
        </w:tc>
        <w:tc>
          <w:tcPr>
            <w:tcW w:w="1089" w:type="dxa"/>
            <w:tcMar>
              <w:left w:w="6" w:type="dxa"/>
              <w:right w:w="6" w:type="dxa"/>
            </w:tcMar>
            <w:vAlign w:val="center"/>
          </w:tcPr>
          <w:p w:rsidR="00590CD6" w:rsidRPr="00567748" w:rsidRDefault="00590CD6" w:rsidP="00590CD6">
            <w:pPr>
              <w:spacing w:line="260" w:lineRule="exact"/>
              <w:jc w:val="center"/>
              <w:rPr>
                <w:rFonts w:hAnsi="宋体"/>
                <w:color w:val="FF0000"/>
                <w:sz w:val="18"/>
                <w:szCs w:val="18"/>
              </w:rPr>
            </w:pPr>
            <w:r w:rsidRPr="00567748">
              <w:rPr>
                <w:rFonts w:hAnsi="宋体" w:hint="eastAsia"/>
                <w:color w:val="FF0000"/>
                <w:sz w:val="18"/>
                <w:szCs w:val="18"/>
              </w:rPr>
              <w:t>刘石畔组</w:t>
            </w:r>
          </w:p>
        </w:tc>
        <w:tc>
          <w:tcPr>
            <w:tcW w:w="2312" w:type="dxa"/>
            <w:tcMar>
              <w:left w:w="6" w:type="dxa"/>
              <w:right w:w="6" w:type="dxa"/>
            </w:tcMar>
            <w:vAlign w:val="center"/>
          </w:tcPr>
          <w:p w:rsidR="00590CD6" w:rsidRPr="00567748" w:rsidRDefault="00590CD6" w:rsidP="00590CD6">
            <w:pPr>
              <w:spacing w:line="260" w:lineRule="exact"/>
              <w:jc w:val="center"/>
              <w:rPr>
                <w:rFonts w:hAnsi="宋体"/>
                <w:color w:val="FF0000"/>
                <w:sz w:val="18"/>
                <w:szCs w:val="18"/>
              </w:rPr>
            </w:pPr>
            <w:r>
              <w:rPr>
                <w:rFonts w:hAnsi="宋体" w:hint="eastAsia"/>
                <w:color w:val="FF0000"/>
                <w:spacing w:val="-6"/>
                <w:sz w:val="18"/>
                <w:szCs w:val="18"/>
              </w:rPr>
              <w:t>最近距</w:t>
            </w:r>
            <w:r w:rsidRPr="00567748">
              <w:rPr>
                <w:rFonts w:hAnsi="宋体" w:hint="eastAsia"/>
                <w:color w:val="FF0000"/>
                <w:sz w:val="18"/>
                <w:szCs w:val="18"/>
              </w:rPr>
              <w:t>运煤道路两侧</w:t>
            </w:r>
            <w:r>
              <w:rPr>
                <w:rFonts w:hAnsi="宋体" w:hint="eastAsia"/>
                <w:color w:val="FF0000"/>
                <w:spacing w:val="-6"/>
                <w:sz w:val="18"/>
                <w:szCs w:val="18"/>
              </w:rPr>
              <w:t>15m</w:t>
            </w:r>
          </w:p>
        </w:tc>
        <w:tc>
          <w:tcPr>
            <w:tcW w:w="1054" w:type="dxa"/>
            <w:tcMar>
              <w:left w:w="6" w:type="dxa"/>
              <w:right w:w="6" w:type="dxa"/>
            </w:tcMar>
            <w:vAlign w:val="center"/>
          </w:tcPr>
          <w:p w:rsidR="00590CD6" w:rsidRPr="00567748" w:rsidRDefault="00590CD6" w:rsidP="00590CD6">
            <w:pPr>
              <w:pStyle w:val="affffff7"/>
              <w:spacing w:line="260" w:lineRule="exact"/>
              <w:rPr>
                <w:color w:val="FF0000"/>
                <w:sz w:val="18"/>
                <w:szCs w:val="18"/>
              </w:rPr>
            </w:pPr>
            <w:r w:rsidRPr="00567748">
              <w:rPr>
                <w:rFonts w:hint="eastAsia"/>
                <w:color w:val="FF0000"/>
                <w:sz w:val="18"/>
                <w:szCs w:val="18"/>
              </w:rPr>
              <w:t>37</w:t>
            </w:r>
            <w:r w:rsidRPr="00567748">
              <w:rPr>
                <w:color w:val="FF0000"/>
                <w:sz w:val="18"/>
                <w:szCs w:val="18"/>
              </w:rPr>
              <w:t>户，</w:t>
            </w:r>
            <w:r w:rsidRPr="00567748">
              <w:rPr>
                <w:rFonts w:hint="eastAsia"/>
                <w:color w:val="FF0000"/>
                <w:sz w:val="18"/>
                <w:szCs w:val="18"/>
              </w:rPr>
              <w:t>165</w:t>
            </w:r>
            <w:r w:rsidRPr="00567748">
              <w:rPr>
                <w:color w:val="FF0000"/>
                <w:sz w:val="18"/>
                <w:szCs w:val="18"/>
              </w:rPr>
              <w:t>人</w:t>
            </w:r>
          </w:p>
        </w:tc>
        <w:tc>
          <w:tcPr>
            <w:tcW w:w="1492" w:type="dxa"/>
            <w:vMerge/>
            <w:tcMar>
              <w:left w:w="6" w:type="dxa"/>
              <w:right w:w="6" w:type="dxa"/>
            </w:tcMar>
            <w:vAlign w:val="center"/>
          </w:tcPr>
          <w:p w:rsidR="00590CD6" w:rsidRPr="00925B84" w:rsidRDefault="00590CD6" w:rsidP="00590CD6">
            <w:pPr>
              <w:pStyle w:val="affffff7"/>
              <w:spacing w:line="260" w:lineRule="exact"/>
              <w:rPr>
                <w:color w:val="auto"/>
                <w:sz w:val="18"/>
                <w:szCs w:val="18"/>
              </w:rPr>
            </w:pPr>
          </w:p>
        </w:tc>
        <w:tc>
          <w:tcPr>
            <w:tcW w:w="2274" w:type="dxa"/>
            <w:vMerge/>
            <w:shd w:val="clear" w:color="auto" w:fill="auto"/>
            <w:tcMar>
              <w:left w:w="6" w:type="dxa"/>
              <w:right w:w="6" w:type="dxa"/>
            </w:tcMar>
            <w:vAlign w:val="center"/>
          </w:tcPr>
          <w:p w:rsidR="00590CD6" w:rsidRPr="00925B84" w:rsidRDefault="00590CD6" w:rsidP="00590CD6">
            <w:pPr>
              <w:pStyle w:val="affffff7"/>
              <w:spacing w:line="260" w:lineRule="exact"/>
              <w:rPr>
                <w:color w:val="auto"/>
                <w:sz w:val="18"/>
                <w:szCs w:val="18"/>
              </w:rPr>
            </w:pPr>
          </w:p>
        </w:tc>
      </w:tr>
      <w:tr w:rsidR="00590CD6" w:rsidRPr="00925B84">
        <w:trPr>
          <w:cantSplit/>
          <w:trHeight w:val="139"/>
          <w:jc w:val="center"/>
        </w:trPr>
        <w:tc>
          <w:tcPr>
            <w:tcW w:w="526" w:type="dxa"/>
            <w:vMerge/>
            <w:vAlign w:val="center"/>
          </w:tcPr>
          <w:p w:rsidR="00590CD6" w:rsidRPr="00567748" w:rsidRDefault="00590CD6" w:rsidP="00590CD6">
            <w:pPr>
              <w:pStyle w:val="affffff7"/>
              <w:spacing w:line="260" w:lineRule="exact"/>
              <w:rPr>
                <w:color w:val="FF0000"/>
                <w:sz w:val="18"/>
                <w:szCs w:val="18"/>
              </w:rPr>
            </w:pPr>
          </w:p>
        </w:tc>
        <w:tc>
          <w:tcPr>
            <w:tcW w:w="420" w:type="dxa"/>
            <w:vMerge/>
            <w:tcMar>
              <w:left w:w="6" w:type="dxa"/>
              <w:right w:w="6" w:type="dxa"/>
            </w:tcMar>
            <w:vAlign w:val="center"/>
          </w:tcPr>
          <w:p w:rsidR="00590CD6" w:rsidRPr="00567748" w:rsidRDefault="00590CD6" w:rsidP="00590CD6">
            <w:pPr>
              <w:pStyle w:val="affffff7"/>
              <w:spacing w:line="260" w:lineRule="exact"/>
              <w:rPr>
                <w:color w:val="FF0000"/>
                <w:sz w:val="18"/>
                <w:szCs w:val="18"/>
              </w:rPr>
            </w:pPr>
          </w:p>
        </w:tc>
        <w:tc>
          <w:tcPr>
            <w:tcW w:w="756" w:type="dxa"/>
            <w:gridSpan w:val="2"/>
            <w:vMerge w:val="restart"/>
            <w:tcMar>
              <w:left w:w="6" w:type="dxa"/>
              <w:right w:w="6" w:type="dxa"/>
            </w:tcMar>
            <w:vAlign w:val="center"/>
          </w:tcPr>
          <w:p w:rsidR="00590CD6" w:rsidRPr="00567748" w:rsidRDefault="00590CD6" w:rsidP="00590CD6">
            <w:pPr>
              <w:pStyle w:val="affffff7"/>
              <w:spacing w:line="260" w:lineRule="exact"/>
              <w:rPr>
                <w:rFonts w:hAnsi="宋体"/>
                <w:color w:val="FF0000"/>
                <w:kern w:val="2"/>
                <w:sz w:val="18"/>
                <w:szCs w:val="18"/>
              </w:rPr>
            </w:pPr>
            <w:r w:rsidRPr="00567748">
              <w:rPr>
                <w:color w:val="FF0000"/>
                <w:sz w:val="18"/>
                <w:szCs w:val="18"/>
              </w:rPr>
              <w:t>拓家峁</w:t>
            </w:r>
            <w:r w:rsidRPr="00567748">
              <w:rPr>
                <w:rFonts w:hint="eastAsia"/>
                <w:color w:val="FF0000"/>
                <w:sz w:val="18"/>
                <w:szCs w:val="18"/>
              </w:rPr>
              <w:t>村</w:t>
            </w:r>
          </w:p>
        </w:tc>
        <w:tc>
          <w:tcPr>
            <w:tcW w:w="1089" w:type="dxa"/>
            <w:tcMar>
              <w:left w:w="6" w:type="dxa"/>
              <w:right w:w="6" w:type="dxa"/>
            </w:tcMar>
            <w:vAlign w:val="center"/>
          </w:tcPr>
          <w:p w:rsidR="00590CD6" w:rsidRPr="00567748" w:rsidRDefault="00590CD6" w:rsidP="00590CD6">
            <w:pPr>
              <w:spacing w:line="260" w:lineRule="exact"/>
              <w:jc w:val="center"/>
              <w:rPr>
                <w:rFonts w:hAnsi="宋体"/>
                <w:color w:val="FF0000"/>
                <w:sz w:val="18"/>
                <w:szCs w:val="18"/>
              </w:rPr>
            </w:pPr>
            <w:r w:rsidRPr="00567748">
              <w:rPr>
                <w:color w:val="FF0000"/>
                <w:sz w:val="18"/>
                <w:szCs w:val="18"/>
              </w:rPr>
              <w:t>拓家阳</w:t>
            </w:r>
            <w:r w:rsidRPr="00567748">
              <w:rPr>
                <w:rFonts w:hint="eastAsia"/>
                <w:color w:val="FF0000"/>
                <w:sz w:val="18"/>
                <w:szCs w:val="18"/>
              </w:rPr>
              <w:t>组</w:t>
            </w:r>
          </w:p>
        </w:tc>
        <w:tc>
          <w:tcPr>
            <w:tcW w:w="2312" w:type="dxa"/>
            <w:tcMar>
              <w:left w:w="6" w:type="dxa"/>
              <w:right w:w="6" w:type="dxa"/>
            </w:tcMar>
            <w:vAlign w:val="center"/>
          </w:tcPr>
          <w:p w:rsidR="00590CD6" w:rsidRPr="00567748" w:rsidRDefault="00590CD6" w:rsidP="00590CD6">
            <w:pPr>
              <w:spacing w:line="260" w:lineRule="exact"/>
              <w:jc w:val="center"/>
              <w:rPr>
                <w:rFonts w:hAnsi="宋体"/>
                <w:color w:val="FF0000"/>
                <w:sz w:val="18"/>
                <w:szCs w:val="18"/>
              </w:rPr>
            </w:pPr>
            <w:r>
              <w:rPr>
                <w:rFonts w:hAnsi="宋体" w:hint="eastAsia"/>
                <w:color w:val="FF0000"/>
                <w:spacing w:val="-6"/>
                <w:sz w:val="18"/>
                <w:szCs w:val="18"/>
              </w:rPr>
              <w:t>最近距</w:t>
            </w:r>
            <w:r w:rsidRPr="00567748">
              <w:rPr>
                <w:rFonts w:hAnsi="宋体" w:hint="eastAsia"/>
                <w:color w:val="FF0000"/>
                <w:spacing w:val="-6"/>
                <w:sz w:val="18"/>
                <w:szCs w:val="18"/>
              </w:rPr>
              <w:t>运煤</w:t>
            </w:r>
            <w:r w:rsidRPr="00567748">
              <w:rPr>
                <w:rFonts w:hAnsi="宋体"/>
                <w:color w:val="FF0000"/>
                <w:spacing w:val="-6"/>
                <w:sz w:val="18"/>
                <w:szCs w:val="18"/>
              </w:rPr>
              <w:t>道路</w:t>
            </w:r>
            <w:r w:rsidRPr="00567748">
              <w:rPr>
                <w:rFonts w:hAnsi="宋体" w:hint="eastAsia"/>
                <w:color w:val="FF0000"/>
                <w:spacing w:val="-6"/>
                <w:sz w:val="18"/>
                <w:szCs w:val="18"/>
              </w:rPr>
              <w:t>北</w:t>
            </w:r>
            <w:r w:rsidRPr="00567748">
              <w:rPr>
                <w:rFonts w:hAnsi="宋体"/>
                <w:color w:val="FF0000"/>
                <w:spacing w:val="-6"/>
                <w:sz w:val="18"/>
                <w:szCs w:val="18"/>
              </w:rPr>
              <w:t>侧</w:t>
            </w:r>
            <w:r>
              <w:rPr>
                <w:rFonts w:hAnsi="宋体" w:hint="eastAsia"/>
                <w:color w:val="FF0000"/>
                <w:spacing w:val="-6"/>
                <w:sz w:val="18"/>
                <w:szCs w:val="18"/>
              </w:rPr>
              <w:t>6</w:t>
            </w:r>
            <w:r w:rsidRPr="00567748">
              <w:rPr>
                <w:rFonts w:hAnsi="宋体" w:hint="eastAsia"/>
                <w:color w:val="FF0000"/>
                <w:spacing w:val="-6"/>
                <w:sz w:val="18"/>
                <w:szCs w:val="18"/>
              </w:rPr>
              <w:t>0m</w:t>
            </w:r>
          </w:p>
        </w:tc>
        <w:tc>
          <w:tcPr>
            <w:tcW w:w="1054" w:type="dxa"/>
            <w:tcMar>
              <w:left w:w="6" w:type="dxa"/>
              <w:right w:w="6" w:type="dxa"/>
            </w:tcMar>
            <w:vAlign w:val="center"/>
          </w:tcPr>
          <w:p w:rsidR="00590CD6" w:rsidRPr="00567748" w:rsidRDefault="00590CD6" w:rsidP="00590CD6">
            <w:pPr>
              <w:pStyle w:val="affffff7"/>
              <w:spacing w:line="260" w:lineRule="exact"/>
              <w:rPr>
                <w:color w:val="FF0000"/>
                <w:sz w:val="18"/>
                <w:szCs w:val="18"/>
              </w:rPr>
            </w:pPr>
            <w:r w:rsidRPr="00567748">
              <w:rPr>
                <w:color w:val="FF0000"/>
                <w:sz w:val="18"/>
                <w:szCs w:val="18"/>
              </w:rPr>
              <w:t>58</w:t>
            </w:r>
            <w:r w:rsidRPr="00567748">
              <w:rPr>
                <w:rFonts w:hAnsi="宋体"/>
                <w:color w:val="FF0000"/>
                <w:sz w:val="18"/>
                <w:szCs w:val="18"/>
              </w:rPr>
              <w:t>户</w:t>
            </w:r>
            <w:r w:rsidRPr="00567748">
              <w:rPr>
                <w:color w:val="FF0000"/>
                <w:sz w:val="18"/>
                <w:szCs w:val="18"/>
              </w:rPr>
              <w:t>226</w:t>
            </w:r>
            <w:r w:rsidRPr="00567748">
              <w:rPr>
                <w:rFonts w:hAnsi="宋体"/>
                <w:color w:val="FF0000"/>
                <w:sz w:val="18"/>
                <w:szCs w:val="18"/>
              </w:rPr>
              <w:t>人</w:t>
            </w:r>
          </w:p>
        </w:tc>
        <w:tc>
          <w:tcPr>
            <w:tcW w:w="1492" w:type="dxa"/>
            <w:vMerge/>
            <w:tcMar>
              <w:left w:w="6" w:type="dxa"/>
              <w:right w:w="6" w:type="dxa"/>
            </w:tcMar>
            <w:vAlign w:val="center"/>
          </w:tcPr>
          <w:p w:rsidR="00590CD6" w:rsidRPr="00925B84" w:rsidRDefault="00590CD6" w:rsidP="00590CD6">
            <w:pPr>
              <w:pStyle w:val="affffff7"/>
              <w:spacing w:line="260" w:lineRule="exact"/>
              <w:rPr>
                <w:color w:val="auto"/>
                <w:sz w:val="18"/>
                <w:szCs w:val="18"/>
              </w:rPr>
            </w:pPr>
          </w:p>
        </w:tc>
        <w:tc>
          <w:tcPr>
            <w:tcW w:w="2274" w:type="dxa"/>
            <w:vMerge/>
            <w:shd w:val="clear" w:color="auto" w:fill="auto"/>
            <w:tcMar>
              <w:left w:w="6" w:type="dxa"/>
              <w:right w:w="6" w:type="dxa"/>
            </w:tcMar>
            <w:vAlign w:val="center"/>
          </w:tcPr>
          <w:p w:rsidR="00590CD6" w:rsidRPr="00925B84" w:rsidRDefault="00590CD6" w:rsidP="00590CD6">
            <w:pPr>
              <w:pStyle w:val="affffff7"/>
              <w:spacing w:line="260" w:lineRule="exact"/>
              <w:rPr>
                <w:color w:val="auto"/>
                <w:sz w:val="18"/>
                <w:szCs w:val="18"/>
              </w:rPr>
            </w:pPr>
          </w:p>
        </w:tc>
      </w:tr>
      <w:tr w:rsidR="00590CD6" w:rsidRPr="00925B84">
        <w:trPr>
          <w:cantSplit/>
          <w:trHeight w:val="139"/>
          <w:jc w:val="center"/>
        </w:trPr>
        <w:tc>
          <w:tcPr>
            <w:tcW w:w="526" w:type="dxa"/>
            <w:vMerge/>
            <w:vAlign w:val="center"/>
          </w:tcPr>
          <w:p w:rsidR="00590CD6" w:rsidRPr="00567748" w:rsidRDefault="00590CD6" w:rsidP="00590CD6">
            <w:pPr>
              <w:pStyle w:val="affffff7"/>
              <w:spacing w:line="260" w:lineRule="exact"/>
              <w:rPr>
                <w:color w:val="FF0000"/>
                <w:sz w:val="18"/>
                <w:szCs w:val="18"/>
              </w:rPr>
            </w:pPr>
          </w:p>
        </w:tc>
        <w:tc>
          <w:tcPr>
            <w:tcW w:w="420" w:type="dxa"/>
            <w:vMerge/>
            <w:tcMar>
              <w:left w:w="6" w:type="dxa"/>
              <w:right w:w="6" w:type="dxa"/>
            </w:tcMar>
            <w:vAlign w:val="center"/>
          </w:tcPr>
          <w:p w:rsidR="00590CD6" w:rsidRPr="00567748" w:rsidRDefault="00590CD6" w:rsidP="00590CD6">
            <w:pPr>
              <w:pStyle w:val="affffff7"/>
              <w:spacing w:line="260" w:lineRule="exact"/>
              <w:rPr>
                <w:color w:val="FF0000"/>
                <w:sz w:val="18"/>
                <w:szCs w:val="18"/>
              </w:rPr>
            </w:pPr>
          </w:p>
        </w:tc>
        <w:tc>
          <w:tcPr>
            <w:tcW w:w="756" w:type="dxa"/>
            <w:gridSpan w:val="2"/>
            <w:vMerge/>
            <w:tcMar>
              <w:left w:w="6" w:type="dxa"/>
              <w:right w:w="6" w:type="dxa"/>
            </w:tcMar>
            <w:vAlign w:val="center"/>
          </w:tcPr>
          <w:p w:rsidR="00590CD6" w:rsidRPr="00567748" w:rsidRDefault="00590CD6" w:rsidP="00590CD6">
            <w:pPr>
              <w:pStyle w:val="affffff7"/>
              <w:spacing w:line="260" w:lineRule="exact"/>
              <w:rPr>
                <w:rFonts w:hAnsi="宋体"/>
                <w:color w:val="FF0000"/>
                <w:kern w:val="2"/>
                <w:sz w:val="18"/>
                <w:szCs w:val="18"/>
              </w:rPr>
            </w:pPr>
          </w:p>
        </w:tc>
        <w:tc>
          <w:tcPr>
            <w:tcW w:w="1089" w:type="dxa"/>
            <w:tcMar>
              <w:left w:w="6" w:type="dxa"/>
              <w:right w:w="6" w:type="dxa"/>
            </w:tcMar>
            <w:vAlign w:val="center"/>
          </w:tcPr>
          <w:p w:rsidR="00590CD6" w:rsidRPr="00567748" w:rsidRDefault="00590CD6" w:rsidP="00590CD6">
            <w:pPr>
              <w:spacing w:line="260" w:lineRule="exact"/>
              <w:jc w:val="center"/>
              <w:rPr>
                <w:rFonts w:hAnsi="宋体"/>
                <w:color w:val="FF0000"/>
                <w:sz w:val="18"/>
                <w:szCs w:val="18"/>
              </w:rPr>
            </w:pPr>
            <w:r w:rsidRPr="00567748">
              <w:rPr>
                <w:color w:val="FF0000"/>
                <w:kern w:val="0"/>
                <w:sz w:val="18"/>
                <w:szCs w:val="18"/>
              </w:rPr>
              <w:t>新窑台</w:t>
            </w:r>
            <w:r w:rsidRPr="00567748">
              <w:rPr>
                <w:rFonts w:hint="eastAsia"/>
                <w:color w:val="FF0000"/>
                <w:kern w:val="0"/>
                <w:sz w:val="18"/>
                <w:szCs w:val="18"/>
              </w:rPr>
              <w:t>组</w:t>
            </w:r>
          </w:p>
        </w:tc>
        <w:tc>
          <w:tcPr>
            <w:tcW w:w="2312" w:type="dxa"/>
            <w:tcMar>
              <w:left w:w="6" w:type="dxa"/>
              <w:right w:w="6" w:type="dxa"/>
            </w:tcMar>
            <w:vAlign w:val="center"/>
          </w:tcPr>
          <w:p w:rsidR="00590CD6" w:rsidRDefault="00590CD6" w:rsidP="00590CD6">
            <w:pPr>
              <w:spacing w:line="260" w:lineRule="exact"/>
              <w:jc w:val="center"/>
              <w:rPr>
                <w:rFonts w:hAnsi="宋体"/>
                <w:color w:val="FF0000"/>
                <w:spacing w:val="-6"/>
                <w:sz w:val="18"/>
                <w:szCs w:val="18"/>
              </w:rPr>
            </w:pPr>
            <w:r>
              <w:rPr>
                <w:rFonts w:hAnsi="宋体" w:hint="eastAsia"/>
                <w:color w:val="FF0000"/>
                <w:spacing w:val="-6"/>
                <w:sz w:val="18"/>
                <w:szCs w:val="18"/>
              </w:rPr>
              <w:t>最近距</w:t>
            </w:r>
            <w:r w:rsidRPr="00567748">
              <w:rPr>
                <w:rFonts w:hAnsi="宋体" w:hint="eastAsia"/>
                <w:color w:val="FF0000"/>
                <w:spacing w:val="-6"/>
                <w:sz w:val="18"/>
                <w:szCs w:val="18"/>
              </w:rPr>
              <w:t>运煤</w:t>
            </w:r>
            <w:r w:rsidRPr="00567748">
              <w:rPr>
                <w:rFonts w:hAnsi="宋体"/>
                <w:color w:val="FF0000"/>
                <w:spacing w:val="-6"/>
                <w:sz w:val="18"/>
                <w:szCs w:val="18"/>
              </w:rPr>
              <w:t>道路</w:t>
            </w:r>
            <w:r w:rsidRPr="00567748">
              <w:rPr>
                <w:rFonts w:hAnsi="宋体" w:hint="eastAsia"/>
                <w:color w:val="FF0000"/>
                <w:spacing w:val="-6"/>
                <w:sz w:val="18"/>
                <w:szCs w:val="18"/>
              </w:rPr>
              <w:t>北</w:t>
            </w:r>
            <w:r w:rsidRPr="00567748">
              <w:rPr>
                <w:rFonts w:hAnsi="宋体"/>
                <w:color w:val="FF0000"/>
                <w:spacing w:val="-6"/>
                <w:sz w:val="18"/>
                <w:szCs w:val="18"/>
              </w:rPr>
              <w:t>侧</w:t>
            </w:r>
            <w:r>
              <w:rPr>
                <w:rFonts w:hAnsi="宋体" w:hint="eastAsia"/>
                <w:color w:val="FF0000"/>
                <w:spacing w:val="-6"/>
                <w:sz w:val="18"/>
                <w:szCs w:val="18"/>
              </w:rPr>
              <w:t>20m</w:t>
            </w:r>
            <w:r w:rsidRPr="00567748">
              <w:rPr>
                <w:rFonts w:hAnsi="宋体" w:hint="eastAsia"/>
                <w:color w:val="FF0000"/>
                <w:spacing w:val="-6"/>
                <w:sz w:val="18"/>
                <w:szCs w:val="18"/>
              </w:rPr>
              <w:t>，</w:t>
            </w:r>
          </w:p>
          <w:p w:rsidR="00590CD6" w:rsidRPr="00567748" w:rsidRDefault="00590CD6" w:rsidP="00590CD6">
            <w:pPr>
              <w:spacing w:line="260" w:lineRule="exact"/>
              <w:jc w:val="center"/>
              <w:rPr>
                <w:rFonts w:hAnsi="宋体"/>
                <w:color w:val="FF0000"/>
                <w:sz w:val="18"/>
                <w:szCs w:val="18"/>
              </w:rPr>
            </w:pPr>
            <w:r>
              <w:rPr>
                <w:rFonts w:hAnsi="宋体" w:hint="eastAsia"/>
                <w:color w:val="FF0000"/>
                <w:spacing w:val="-6"/>
                <w:sz w:val="18"/>
                <w:szCs w:val="18"/>
              </w:rPr>
              <w:t>最近距青银高速</w:t>
            </w:r>
            <w:r w:rsidRPr="00567748">
              <w:rPr>
                <w:rFonts w:hAnsi="宋体" w:hint="eastAsia"/>
                <w:color w:val="FF0000"/>
                <w:spacing w:val="-6"/>
                <w:sz w:val="18"/>
                <w:szCs w:val="18"/>
              </w:rPr>
              <w:t>北</w:t>
            </w:r>
            <w:r w:rsidRPr="00567748">
              <w:rPr>
                <w:rFonts w:hAnsi="宋体"/>
                <w:color w:val="FF0000"/>
                <w:spacing w:val="-6"/>
                <w:sz w:val="18"/>
                <w:szCs w:val="18"/>
              </w:rPr>
              <w:t>侧</w:t>
            </w:r>
            <w:r>
              <w:rPr>
                <w:rFonts w:hAnsi="宋体" w:hint="eastAsia"/>
                <w:color w:val="FF0000"/>
                <w:spacing w:val="-6"/>
                <w:sz w:val="18"/>
                <w:szCs w:val="18"/>
              </w:rPr>
              <w:t>17m</w:t>
            </w:r>
          </w:p>
        </w:tc>
        <w:tc>
          <w:tcPr>
            <w:tcW w:w="1054" w:type="dxa"/>
            <w:tcMar>
              <w:left w:w="6" w:type="dxa"/>
              <w:right w:w="6" w:type="dxa"/>
            </w:tcMar>
            <w:vAlign w:val="center"/>
          </w:tcPr>
          <w:p w:rsidR="00590CD6" w:rsidRPr="00567748" w:rsidRDefault="00590CD6" w:rsidP="00590CD6">
            <w:pPr>
              <w:pStyle w:val="affffff7"/>
              <w:spacing w:line="260" w:lineRule="exact"/>
              <w:rPr>
                <w:color w:val="FF0000"/>
                <w:sz w:val="18"/>
                <w:szCs w:val="18"/>
              </w:rPr>
            </w:pPr>
            <w:r w:rsidRPr="00567748">
              <w:rPr>
                <w:color w:val="FF0000"/>
                <w:sz w:val="18"/>
                <w:szCs w:val="18"/>
              </w:rPr>
              <w:t>56</w:t>
            </w:r>
            <w:r w:rsidRPr="00567748">
              <w:rPr>
                <w:rFonts w:hAnsi="宋体"/>
                <w:color w:val="FF0000"/>
                <w:sz w:val="18"/>
                <w:szCs w:val="18"/>
              </w:rPr>
              <w:t>户</w:t>
            </w:r>
            <w:r w:rsidRPr="00567748">
              <w:rPr>
                <w:color w:val="FF0000"/>
                <w:sz w:val="18"/>
                <w:szCs w:val="18"/>
              </w:rPr>
              <w:t>218</w:t>
            </w:r>
            <w:r w:rsidRPr="00567748">
              <w:rPr>
                <w:rFonts w:hAnsi="宋体"/>
                <w:color w:val="FF0000"/>
                <w:sz w:val="18"/>
                <w:szCs w:val="18"/>
              </w:rPr>
              <w:t>人</w:t>
            </w:r>
          </w:p>
        </w:tc>
        <w:tc>
          <w:tcPr>
            <w:tcW w:w="1492" w:type="dxa"/>
            <w:vMerge/>
            <w:tcMar>
              <w:left w:w="6" w:type="dxa"/>
              <w:right w:w="6" w:type="dxa"/>
            </w:tcMar>
            <w:vAlign w:val="center"/>
          </w:tcPr>
          <w:p w:rsidR="00590CD6" w:rsidRPr="00925B84" w:rsidRDefault="00590CD6" w:rsidP="00590CD6">
            <w:pPr>
              <w:pStyle w:val="affffff7"/>
              <w:spacing w:line="260" w:lineRule="exact"/>
              <w:rPr>
                <w:color w:val="auto"/>
                <w:sz w:val="18"/>
                <w:szCs w:val="18"/>
              </w:rPr>
            </w:pPr>
          </w:p>
        </w:tc>
        <w:tc>
          <w:tcPr>
            <w:tcW w:w="2274" w:type="dxa"/>
            <w:vMerge w:val="restart"/>
            <w:shd w:val="clear" w:color="auto" w:fill="auto"/>
            <w:tcMar>
              <w:left w:w="6" w:type="dxa"/>
              <w:right w:w="6" w:type="dxa"/>
            </w:tcMar>
            <w:vAlign w:val="center"/>
          </w:tcPr>
          <w:p w:rsidR="00590CD6" w:rsidRPr="00925B84" w:rsidRDefault="00590CD6" w:rsidP="00590CD6">
            <w:pPr>
              <w:pStyle w:val="affffff7"/>
              <w:spacing w:line="260" w:lineRule="exact"/>
              <w:rPr>
                <w:color w:val="auto"/>
                <w:sz w:val="18"/>
                <w:szCs w:val="18"/>
              </w:rPr>
            </w:pPr>
            <w:r w:rsidRPr="00567748">
              <w:rPr>
                <w:color w:val="FF0000"/>
                <w:sz w:val="18"/>
                <w:szCs w:val="18"/>
              </w:rPr>
              <w:t>控制车速，减少鸣笛，</w:t>
            </w:r>
            <w:r>
              <w:rPr>
                <w:rFonts w:hint="eastAsia"/>
                <w:color w:val="FF0000"/>
                <w:sz w:val="18"/>
                <w:szCs w:val="18"/>
              </w:rPr>
              <w:t>更换隔声窗等措施，</w:t>
            </w:r>
            <w:r w:rsidRPr="00567748">
              <w:rPr>
                <w:color w:val="FF0000"/>
                <w:sz w:val="18"/>
                <w:szCs w:val="18"/>
              </w:rPr>
              <w:t>满足《声环境质量标准》</w:t>
            </w:r>
            <w:r>
              <w:rPr>
                <w:rFonts w:hint="eastAsia"/>
                <w:color w:val="FF0000"/>
                <w:sz w:val="18"/>
                <w:szCs w:val="18"/>
              </w:rPr>
              <w:t>4a</w:t>
            </w:r>
            <w:r w:rsidRPr="00567748">
              <w:rPr>
                <w:color w:val="FF0000"/>
                <w:sz w:val="18"/>
                <w:szCs w:val="18"/>
              </w:rPr>
              <w:t>类标准要求</w:t>
            </w:r>
          </w:p>
        </w:tc>
      </w:tr>
      <w:tr w:rsidR="00590CD6" w:rsidRPr="00925B84">
        <w:trPr>
          <w:cantSplit/>
          <w:trHeight w:val="139"/>
          <w:jc w:val="center"/>
        </w:trPr>
        <w:tc>
          <w:tcPr>
            <w:tcW w:w="526" w:type="dxa"/>
            <w:vMerge/>
            <w:vAlign w:val="center"/>
          </w:tcPr>
          <w:p w:rsidR="00590CD6" w:rsidRPr="00567748" w:rsidRDefault="00590CD6" w:rsidP="00590CD6">
            <w:pPr>
              <w:pStyle w:val="affffff7"/>
              <w:spacing w:line="260" w:lineRule="exact"/>
              <w:rPr>
                <w:color w:val="FF0000"/>
                <w:sz w:val="18"/>
                <w:szCs w:val="18"/>
              </w:rPr>
            </w:pPr>
          </w:p>
        </w:tc>
        <w:tc>
          <w:tcPr>
            <w:tcW w:w="420" w:type="dxa"/>
            <w:vMerge/>
            <w:tcMar>
              <w:left w:w="6" w:type="dxa"/>
              <w:right w:w="6" w:type="dxa"/>
            </w:tcMar>
            <w:vAlign w:val="center"/>
          </w:tcPr>
          <w:p w:rsidR="00590CD6" w:rsidRPr="00567748" w:rsidRDefault="00590CD6" w:rsidP="00590CD6">
            <w:pPr>
              <w:pStyle w:val="affffff7"/>
              <w:spacing w:line="260" w:lineRule="exact"/>
              <w:rPr>
                <w:color w:val="FF0000"/>
                <w:sz w:val="18"/>
                <w:szCs w:val="18"/>
              </w:rPr>
            </w:pPr>
          </w:p>
        </w:tc>
        <w:tc>
          <w:tcPr>
            <w:tcW w:w="756" w:type="dxa"/>
            <w:gridSpan w:val="2"/>
            <w:vMerge/>
            <w:tcMar>
              <w:left w:w="6" w:type="dxa"/>
              <w:right w:w="6" w:type="dxa"/>
            </w:tcMar>
            <w:vAlign w:val="center"/>
          </w:tcPr>
          <w:p w:rsidR="00590CD6" w:rsidRPr="00567748" w:rsidRDefault="00590CD6" w:rsidP="00590CD6">
            <w:pPr>
              <w:pStyle w:val="affffff7"/>
              <w:spacing w:line="260" w:lineRule="exact"/>
              <w:rPr>
                <w:rFonts w:hAnsi="宋体"/>
                <w:color w:val="FF0000"/>
                <w:kern w:val="2"/>
                <w:sz w:val="18"/>
                <w:szCs w:val="18"/>
              </w:rPr>
            </w:pPr>
          </w:p>
        </w:tc>
        <w:tc>
          <w:tcPr>
            <w:tcW w:w="1089" w:type="dxa"/>
            <w:tcMar>
              <w:left w:w="6" w:type="dxa"/>
              <w:right w:w="6" w:type="dxa"/>
            </w:tcMar>
            <w:vAlign w:val="center"/>
          </w:tcPr>
          <w:p w:rsidR="00590CD6" w:rsidRPr="00590CD6" w:rsidRDefault="00590CD6" w:rsidP="00590CD6">
            <w:pPr>
              <w:spacing w:line="260" w:lineRule="exact"/>
              <w:jc w:val="center"/>
              <w:rPr>
                <w:rFonts w:hAnsi="宋体"/>
                <w:color w:val="FF0000"/>
                <w:sz w:val="18"/>
                <w:szCs w:val="18"/>
              </w:rPr>
            </w:pPr>
            <w:r w:rsidRPr="00590CD6">
              <w:rPr>
                <w:color w:val="FF0000"/>
                <w:sz w:val="18"/>
                <w:szCs w:val="18"/>
              </w:rPr>
              <w:t>拓家峁</w:t>
            </w:r>
            <w:r w:rsidRPr="00590CD6">
              <w:rPr>
                <w:rFonts w:hint="eastAsia"/>
                <w:color w:val="FF0000"/>
                <w:sz w:val="18"/>
                <w:szCs w:val="18"/>
              </w:rPr>
              <w:t>组</w:t>
            </w:r>
          </w:p>
        </w:tc>
        <w:tc>
          <w:tcPr>
            <w:tcW w:w="2312" w:type="dxa"/>
            <w:tcMar>
              <w:left w:w="6" w:type="dxa"/>
              <w:right w:w="6" w:type="dxa"/>
            </w:tcMar>
            <w:vAlign w:val="center"/>
          </w:tcPr>
          <w:p w:rsidR="00590CD6" w:rsidRPr="00590CD6" w:rsidRDefault="00590CD6" w:rsidP="00590CD6">
            <w:pPr>
              <w:spacing w:line="260" w:lineRule="exact"/>
              <w:jc w:val="center"/>
              <w:rPr>
                <w:rFonts w:hAnsi="宋体"/>
                <w:color w:val="FF0000"/>
                <w:spacing w:val="-6"/>
                <w:sz w:val="18"/>
                <w:szCs w:val="18"/>
              </w:rPr>
            </w:pPr>
            <w:r w:rsidRPr="00590CD6">
              <w:rPr>
                <w:rFonts w:hAnsi="宋体" w:hint="eastAsia"/>
                <w:color w:val="FF0000"/>
                <w:spacing w:val="-6"/>
                <w:sz w:val="18"/>
                <w:szCs w:val="18"/>
              </w:rPr>
              <w:t>最近距运煤</w:t>
            </w:r>
            <w:r w:rsidRPr="00590CD6">
              <w:rPr>
                <w:rFonts w:hAnsi="宋体"/>
                <w:color w:val="FF0000"/>
                <w:spacing w:val="-6"/>
                <w:sz w:val="18"/>
                <w:szCs w:val="18"/>
              </w:rPr>
              <w:t>道路</w:t>
            </w:r>
            <w:r w:rsidRPr="00590CD6">
              <w:rPr>
                <w:rFonts w:hAnsi="宋体" w:hint="eastAsia"/>
                <w:color w:val="FF0000"/>
                <w:sz w:val="18"/>
                <w:szCs w:val="18"/>
              </w:rPr>
              <w:t>两侧</w:t>
            </w:r>
            <w:r w:rsidRPr="00590CD6">
              <w:rPr>
                <w:rFonts w:hAnsi="宋体" w:hint="eastAsia"/>
                <w:color w:val="FF0000"/>
                <w:spacing w:val="-6"/>
                <w:sz w:val="18"/>
                <w:szCs w:val="18"/>
              </w:rPr>
              <w:t>3m</w:t>
            </w:r>
            <w:r w:rsidRPr="00590CD6">
              <w:rPr>
                <w:rFonts w:hAnsi="宋体" w:hint="eastAsia"/>
                <w:color w:val="FF0000"/>
                <w:spacing w:val="-6"/>
                <w:sz w:val="18"/>
                <w:szCs w:val="18"/>
              </w:rPr>
              <w:t>，</w:t>
            </w:r>
          </w:p>
          <w:p w:rsidR="00590CD6" w:rsidRPr="00590CD6" w:rsidRDefault="00590CD6" w:rsidP="00590CD6">
            <w:pPr>
              <w:spacing w:line="260" w:lineRule="exact"/>
              <w:jc w:val="center"/>
              <w:rPr>
                <w:rFonts w:hAnsi="宋体"/>
                <w:color w:val="FF0000"/>
                <w:sz w:val="18"/>
                <w:szCs w:val="18"/>
              </w:rPr>
            </w:pPr>
            <w:r w:rsidRPr="00590CD6">
              <w:rPr>
                <w:rFonts w:hAnsi="宋体" w:hint="eastAsia"/>
                <w:color w:val="FF0000"/>
                <w:spacing w:val="-6"/>
                <w:sz w:val="18"/>
                <w:szCs w:val="18"/>
              </w:rPr>
              <w:t>最近距青银高速北</w:t>
            </w:r>
            <w:r w:rsidRPr="00590CD6">
              <w:rPr>
                <w:rFonts w:hAnsi="宋体"/>
                <w:color w:val="FF0000"/>
                <w:spacing w:val="-6"/>
                <w:sz w:val="18"/>
                <w:szCs w:val="18"/>
              </w:rPr>
              <w:t>侧</w:t>
            </w:r>
            <w:r w:rsidRPr="00590CD6">
              <w:rPr>
                <w:rFonts w:hAnsi="宋体" w:hint="eastAsia"/>
                <w:color w:val="FF0000"/>
                <w:spacing w:val="-6"/>
                <w:sz w:val="18"/>
                <w:szCs w:val="18"/>
              </w:rPr>
              <w:t>15m</w:t>
            </w:r>
          </w:p>
        </w:tc>
        <w:tc>
          <w:tcPr>
            <w:tcW w:w="1054" w:type="dxa"/>
            <w:tcMar>
              <w:left w:w="6" w:type="dxa"/>
              <w:right w:w="6" w:type="dxa"/>
            </w:tcMar>
            <w:vAlign w:val="center"/>
          </w:tcPr>
          <w:p w:rsidR="00590CD6" w:rsidRPr="00590CD6" w:rsidRDefault="00590CD6" w:rsidP="00590CD6">
            <w:pPr>
              <w:pStyle w:val="affffff7"/>
              <w:spacing w:line="260" w:lineRule="exact"/>
              <w:rPr>
                <w:color w:val="FF0000"/>
                <w:sz w:val="18"/>
                <w:szCs w:val="18"/>
              </w:rPr>
            </w:pPr>
            <w:r w:rsidRPr="00590CD6">
              <w:rPr>
                <w:color w:val="FF0000"/>
                <w:sz w:val="18"/>
                <w:szCs w:val="18"/>
              </w:rPr>
              <w:t>24</w:t>
            </w:r>
            <w:r w:rsidRPr="00590CD6">
              <w:rPr>
                <w:rFonts w:hAnsi="宋体"/>
                <w:color w:val="FF0000"/>
                <w:sz w:val="18"/>
                <w:szCs w:val="18"/>
              </w:rPr>
              <w:t>户</w:t>
            </w:r>
            <w:r w:rsidRPr="00590CD6">
              <w:rPr>
                <w:color w:val="FF0000"/>
                <w:sz w:val="18"/>
                <w:szCs w:val="18"/>
              </w:rPr>
              <w:t>56</w:t>
            </w:r>
            <w:r w:rsidRPr="00590CD6">
              <w:rPr>
                <w:rFonts w:hAnsi="宋体"/>
                <w:color w:val="FF0000"/>
                <w:sz w:val="18"/>
                <w:szCs w:val="18"/>
              </w:rPr>
              <w:t>人</w:t>
            </w:r>
          </w:p>
        </w:tc>
        <w:tc>
          <w:tcPr>
            <w:tcW w:w="1492" w:type="dxa"/>
            <w:vMerge/>
            <w:tcMar>
              <w:left w:w="6" w:type="dxa"/>
              <w:right w:w="6" w:type="dxa"/>
            </w:tcMar>
            <w:vAlign w:val="center"/>
          </w:tcPr>
          <w:p w:rsidR="00590CD6" w:rsidRPr="00925B84" w:rsidRDefault="00590CD6" w:rsidP="00590CD6">
            <w:pPr>
              <w:pStyle w:val="affffff7"/>
              <w:spacing w:line="260" w:lineRule="exact"/>
              <w:rPr>
                <w:color w:val="auto"/>
                <w:sz w:val="18"/>
                <w:szCs w:val="18"/>
              </w:rPr>
            </w:pPr>
          </w:p>
        </w:tc>
        <w:tc>
          <w:tcPr>
            <w:tcW w:w="2274" w:type="dxa"/>
            <w:vMerge/>
            <w:shd w:val="clear" w:color="auto" w:fill="auto"/>
            <w:tcMar>
              <w:left w:w="6" w:type="dxa"/>
              <w:right w:w="6" w:type="dxa"/>
            </w:tcMar>
            <w:vAlign w:val="center"/>
          </w:tcPr>
          <w:p w:rsidR="00590CD6" w:rsidRPr="00925B84" w:rsidRDefault="00590CD6" w:rsidP="00590CD6">
            <w:pPr>
              <w:pStyle w:val="affffff7"/>
              <w:spacing w:line="260" w:lineRule="exact"/>
              <w:rPr>
                <w:color w:val="auto"/>
                <w:sz w:val="18"/>
                <w:szCs w:val="18"/>
              </w:rPr>
            </w:pPr>
          </w:p>
        </w:tc>
      </w:tr>
      <w:bookmarkEnd w:id="117"/>
    </w:tbl>
    <w:p w:rsidR="00590CD6" w:rsidRDefault="00590CD6" w:rsidP="004835BD">
      <w:pPr>
        <w:spacing w:beforeLines="50" w:before="120"/>
        <w:jc w:val="center"/>
        <w:rPr>
          <w:b/>
          <w:sz w:val="24"/>
        </w:rPr>
      </w:pPr>
    </w:p>
    <w:p w:rsidR="00590CD6" w:rsidRDefault="00590CD6" w:rsidP="004835BD">
      <w:pPr>
        <w:spacing w:beforeLines="50" w:before="120"/>
        <w:jc w:val="center"/>
        <w:rPr>
          <w:b/>
          <w:sz w:val="24"/>
        </w:rPr>
      </w:pPr>
    </w:p>
    <w:p w:rsidR="00C223F5" w:rsidRPr="00925B84" w:rsidRDefault="005860D5" w:rsidP="004835BD">
      <w:pPr>
        <w:spacing w:beforeLines="50" w:before="120"/>
        <w:jc w:val="center"/>
        <w:rPr>
          <w:b/>
          <w:sz w:val="24"/>
        </w:rPr>
      </w:pPr>
      <w:r w:rsidRPr="00925B84">
        <w:rPr>
          <w:b/>
          <w:sz w:val="24"/>
        </w:rPr>
        <w:lastRenderedPageBreak/>
        <w:t>表</w:t>
      </w:r>
      <w:r w:rsidRPr="00925B84">
        <w:rPr>
          <w:rFonts w:hint="eastAsia"/>
          <w:b/>
          <w:sz w:val="24"/>
        </w:rPr>
        <w:t>1.6-</w:t>
      </w:r>
      <w:r w:rsidR="009B7E9D">
        <w:rPr>
          <w:rFonts w:hint="eastAsia"/>
          <w:b/>
          <w:sz w:val="24"/>
        </w:rPr>
        <w:t>2</w:t>
      </w:r>
      <w:r w:rsidRPr="00925B84">
        <w:rPr>
          <w:rFonts w:hint="eastAsia"/>
          <w:b/>
          <w:sz w:val="24"/>
        </w:rPr>
        <w:t xml:space="preserve">   </w:t>
      </w:r>
      <w:r w:rsidRPr="00925B84">
        <w:rPr>
          <w:b/>
          <w:sz w:val="24"/>
        </w:rPr>
        <w:t>污染控制内容及目标</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
        <w:gridCol w:w="1037"/>
        <w:gridCol w:w="1468"/>
        <w:gridCol w:w="4102"/>
        <w:gridCol w:w="2860"/>
      </w:tblGrid>
      <w:tr w:rsidR="00C223F5">
        <w:trPr>
          <w:cantSplit/>
          <w:trHeight w:val="480"/>
          <w:jc w:val="center"/>
        </w:trPr>
        <w:tc>
          <w:tcPr>
            <w:tcW w:w="1361" w:type="dxa"/>
            <w:gridSpan w:val="2"/>
            <w:tcMar>
              <w:top w:w="17" w:type="dxa"/>
              <w:left w:w="17" w:type="dxa"/>
              <w:bottom w:w="17" w:type="dxa"/>
              <w:right w:w="17" w:type="dxa"/>
            </w:tcMar>
            <w:vAlign w:val="center"/>
          </w:tcPr>
          <w:p w:rsidR="00C223F5" w:rsidRDefault="005860D5">
            <w:pPr>
              <w:pStyle w:val="affff3"/>
              <w:adjustRightInd/>
              <w:snapToGrid/>
              <w:rPr>
                <w:color w:val="auto"/>
                <w:szCs w:val="21"/>
              </w:rPr>
            </w:pPr>
            <w:r>
              <w:rPr>
                <w:color w:val="auto"/>
                <w:szCs w:val="21"/>
              </w:rPr>
              <w:t>污染控制内容</w:t>
            </w:r>
          </w:p>
        </w:tc>
        <w:tc>
          <w:tcPr>
            <w:tcW w:w="1468" w:type="dxa"/>
            <w:tcMar>
              <w:top w:w="17" w:type="dxa"/>
              <w:left w:w="17" w:type="dxa"/>
              <w:bottom w:w="17" w:type="dxa"/>
              <w:right w:w="17" w:type="dxa"/>
            </w:tcMar>
            <w:vAlign w:val="center"/>
          </w:tcPr>
          <w:p w:rsidR="00C223F5" w:rsidRDefault="005860D5">
            <w:pPr>
              <w:pStyle w:val="affff3"/>
              <w:adjustRightInd/>
              <w:snapToGrid/>
              <w:rPr>
                <w:color w:val="auto"/>
                <w:szCs w:val="21"/>
              </w:rPr>
            </w:pPr>
            <w:r>
              <w:rPr>
                <w:rFonts w:hint="eastAsia"/>
                <w:color w:val="auto"/>
                <w:szCs w:val="21"/>
              </w:rPr>
              <w:t>污染因子</w:t>
            </w:r>
          </w:p>
        </w:tc>
        <w:tc>
          <w:tcPr>
            <w:tcW w:w="4102" w:type="dxa"/>
            <w:tcMar>
              <w:top w:w="17" w:type="dxa"/>
              <w:left w:w="17" w:type="dxa"/>
              <w:bottom w:w="17" w:type="dxa"/>
              <w:right w:w="17" w:type="dxa"/>
            </w:tcMar>
            <w:vAlign w:val="center"/>
          </w:tcPr>
          <w:p w:rsidR="00C223F5" w:rsidRDefault="005860D5">
            <w:pPr>
              <w:pStyle w:val="affff3"/>
              <w:adjustRightInd/>
              <w:snapToGrid/>
              <w:rPr>
                <w:color w:val="auto"/>
                <w:szCs w:val="21"/>
              </w:rPr>
            </w:pPr>
            <w:r>
              <w:rPr>
                <w:color w:val="auto"/>
                <w:szCs w:val="21"/>
              </w:rPr>
              <w:t>环</w:t>
            </w:r>
            <w:r>
              <w:rPr>
                <w:color w:val="auto"/>
                <w:szCs w:val="21"/>
              </w:rPr>
              <w:t xml:space="preserve">  </w:t>
            </w:r>
            <w:r>
              <w:rPr>
                <w:color w:val="auto"/>
                <w:szCs w:val="21"/>
              </w:rPr>
              <w:t>保</w:t>
            </w:r>
            <w:r>
              <w:rPr>
                <w:color w:val="auto"/>
                <w:szCs w:val="21"/>
              </w:rPr>
              <w:t xml:space="preserve">  </w:t>
            </w:r>
            <w:r>
              <w:rPr>
                <w:color w:val="auto"/>
                <w:szCs w:val="21"/>
              </w:rPr>
              <w:t>措</w:t>
            </w:r>
            <w:r>
              <w:rPr>
                <w:color w:val="auto"/>
                <w:szCs w:val="21"/>
              </w:rPr>
              <w:t xml:space="preserve">  </w:t>
            </w:r>
            <w:r>
              <w:rPr>
                <w:color w:val="auto"/>
                <w:szCs w:val="21"/>
              </w:rPr>
              <w:t>施</w:t>
            </w:r>
          </w:p>
        </w:tc>
        <w:tc>
          <w:tcPr>
            <w:tcW w:w="2860" w:type="dxa"/>
            <w:tcMar>
              <w:top w:w="17" w:type="dxa"/>
              <w:left w:w="17" w:type="dxa"/>
              <w:bottom w:w="17" w:type="dxa"/>
              <w:right w:w="17" w:type="dxa"/>
            </w:tcMar>
            <w:vAlign w:val="center"/>
          </w:tcPr>
          <w:p w:rsidR="00C223F5" w:rsidRDefault="005860D5">
            <w:pPr>
              <w:pStyle w:val="affff3"/>
              <w:adjustRightInd/>
              <w:snapToGrid/>
              <w:rPr>
                <w:color w:val="auto"/>
                <w:szCs w:val="21"/>
              </w:rPr>
            </w:pPr>
            <w:r>
              <w:rPr>
                <w:color w:val="auto"/>
                <w:szCs w:val="21"/>
              </w:rPr>
              <w:t>控制目标</w:t>
            </w:r>
          </w:p>
        </w:tc>
      </w:tr>
      <w:tr w:rsidR="00C223F5">
        <w:trPr>
          <w:cantSplit/>
          <w:trHeight w:val="695"/>
          <w:jc w:val="center"/>
        </w:trPr>
        <w:tc>
          <w:tcPr>
            <w:tcW w:w="324" w:type="dxa"/>
            <w:tcMar>
              <w:top w:w="17" w:type="dxa"/>
              <w:left w:w="17" w:type="dxa"/>
              <w:bottom w:w="17" w:type="dxa"/>
              <w:right w:w="17" w:type="dxa"/>
            </w:tcMar>
            <w:vAlign w:val="center"/>
          </w:tcPr>
          <w:p w:rsidR="00C223F5" w:rsidRDefault="005860D5">
            <w:pPr>
              <w:pStyle w:val="affff3"/>
              <w:rPr>
                <w:color w:val="auto"/>
                <w:szCs w:val="21"/>
              </w:rPr>
            </w:pPr>
            <w:r>
              <w:rPr>
                <w:color w:val="auto"/>
                <w:szCs w:val="21"/>
              </w:rPr>
              <w:t>废气</w:t>
            </w:r>
          </w:p>
        </w:tc>
        <w:tc>
          <w:tcPr>
            <w:tcW w:w="1037" w:type="dxa"/>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rFonts w:hint="eastAsia"/>
                <w:color w:val="auto"/>
                <w:szCs w:val="21"/>
              </w:rPr>
              <w:t>地面生产</w:t>
            </w:r>
          </w:p>
          <w:p w:rsidR="00C223F5" w:rsidRPr="00925B84" w:rsidRDefault="005860D5">
            <w:pPr>
              <w:pStyle w:val="affff3"/>
              <w:rPr>
                <w:color w:val="auto"/>
                <w:szCs w:val="21"/>
              </w:rPr>
            </w:pPr>
            <w:r w:rsidRPr="00925B84">
              <w:rPr>
                <w:rFonts w:hint="eastAsia"/>
                <w:color w:val="auto"/>
                <w:szCs w:val="21"/>
              </w:rPr>
              <w:t>系统</w:t>
            </w:r>
          </w:p>
        </w:tc>
        <w:tc>
          <w:tcPr>
            <w:tcW w:w="1468" w:type="dxa"/>
            <w:tcMar>
              <w:top w:w="17" w:type="dxa"/>
              <w:left w:w="17" w:type="dxa"/>
              <w:bottom w:w="17" w:type="dxa"/>
              <w:right w:w="17" w:type="dxa"/>
            </w:tcMar>
            <w:vAlign w:val="center"/>
          </w:tcPr>
          <w:p w:rsidR="00C223F5" w:rsidRPr="00925B84" w:rsidRDefault="005860D5">
            <w:pPr>
              <w:pStyle w:val="affff3"/>
              <w:rPr>
                <w:color w:val="auto"/>
                <w:szCs w:val="21"/>
              </w:rPr>
            </w:pPr>
            <w:r w:rsidRPr="00925B84">
              <w:rPr>
                <w:rFonts w:hint="eastAsia"/>
                <w:color w:val="auto"/>
                <w:szCs w:val="21"/>
              </w:rPr>
              <w:t>颗粒物</w:t>
            </w:r>
          </w:p>
        </w:tc>
        <w:tc>
          <w:tcPr>
            <w:tcW w:w="4102" w:type="dxa"/>
            <w:tcMar>
              <w:top w:w="17" w:type="dxa"/>
              <w:left w:w="17" w:type="dxa"/>
              <w:bottom w:w="17" w:type="dxa"/>
              <w:right w:w="17" w:type="dxa"/>
            </w:tcMar>
            <w:vAlign w:val="center"/>
          </w:tcPr>
          <w:p w:rsidR="00C223F5" w:rsidRPr="00925B84" w:rsidRDefault="005860D5">
            <w:pPr>
              <w:pStyle w:val="affff3"/>
              <w:rPr>
                <w:color w:val="auto"/>
                <w:spacing w:val="-6"/>
                <w:szCs w:val="21"/>
              </w:rPr>
            </w:pPr>
            <w:r w:rsidRPr="00925B84">
              <w:rPr>
                <w:rFonts w:hint="eastAsia"/>
                <w:color w:val="auto"/>
                <w:spacing w:val="-6"/>
                <w:szCs w:val="21"/>
              </w:rPr>
              <w:t>运输道路洒水降尘；</w:t>
            </w:r>
            <w:r w:rsidRPr="00925B84">
              <w:rPr>
                <w:color w:val="auto"/>
                <w:spacing w:val="-6"/>
                <w:szCs w:val="21"/>
              </w:rPr>
              <w:t>封闭</w:t>
            </w:r>
            <w:r w:rsidRPr="00925B84">
              <w:rPr>
                <w:rFonts w:hint="eastAsia"/>
                <w:color w:val="auto"/>
                <w:spacing w:val="-6"/>
                <w:szCs w:val="21"/>
              </w:rPr>
              <w:t>生产</w:t>
            </w:r>
            <w:r w:rsidRPr="00925B84">
              <w:rPr>
                <w:color w:val="auto"/>
                <w:spacing w:val="-6"/>
                <w:szCs w:val="21"/>
              </w:rPr>
              <w:t>系统、</w:t>
            </w:r>
            <w:r w:rsidRPr="00925B84">
              <w:rPr>
                <w:rFonts w:hint="eastAsia"/>
                <w:color w:val="auto"/>
                <w:spacing w:val="-6"/>
                <w:szCs w:val="21"/>
              </w:rPr>
              <w:t>筛破设备设集尘罩及干雾抑尘装置；主厂房设干雾抑尘装置；输煤栈桥全封闭，产尘点设干雾抑尘喷头；采用</w:t>
            </w:r>
            <w:r w:rsidRPr="00925B84">
              <w:rPr>
                <w:color w:val="auto"/>
                <w:spacing w:val="-6"/>
                <w:szCs w:val="21"/>
              </w:rPr>
              <w:t>煤仓、</w:t>
            </w:r>
            <w:r w:rsidRPr="00925B84">
              <w:rPr>
                <w:rFonts w:hint="eastAsia"/>
                <w:color w:val="auto"/>
                <w:spacing w:val="-6"/>
                <w:szCs w:val="21"/>
              </w:rPr>
              <w:t>矸仓存储，设洒水装置</w:t>
            </w:r>
            <w:r w:rsidR="00F909E3">
              <w:rPr>
                <w:rFonts w:hint="eastAsia"/>
                <w:color w:val="auto"/>
                <w:spacing w:val="-6"/>
                <w:szCs w:val="21"/>
              </w:rPr>
              <w:t>等</w:t>
            </w:r>
          </w:p>
        </w:tc>
        <w:tc>
          <w:tcPr>
            <w:tcW w:w="2860" w:type="dxa"/>
            <w:tcMar>
              <w:top w:w="17" w:type="dxa"/>
              <w:left w:w="17" w:type="dxa"/>
              <w:bottom w:w="17" w:type="dxa"/>
              <w:right w:w="17" w:type="dxa"/>
            </w:tcMar>
            <w:vAlign w:val="center"/>
          </w:tcPr>
          <w:p w:rsidR="00C223F5" w:rsidRPr="00925B84" w:rsidRDefault="005860D5">
            <w:pPr>
              <w:pStyle w:val="affff3"/>
              <w:rPr>
                <w:color w:val="auto"/>
                <w:szCs w:val="21"/>
              </w:rPr>
            </w:pPr>
            <w:r w:rsidRPr="00925B84">
              <w:rPr>
                <w:color w:val="auto"/>
                <w:szCs w:val="21"/>
              </w:rPr>
              <w:t>《煤炭工业污染物排放标准》</w:t>
            </w:r>
            <w:r w:rsidRPr="00925B84">
              <w:rPr>
                <w:rFonts w:hint="eastAsia"/>
                <w:color w:val="auto"/>
                <w:szCs w:val="21"/>
              </w:rPr>
              <w:t>（</w:t>
            </w:r>
            <w:r w:rsidRPr="00925B84">
              <w:rPr>
                <w:color w:val="auto"/>
                <w:szCs w:val="21"/>
              </w:rPr>
              <w:t>GB20426</w:t>
            </w:r>
            <w:r w:rsidRPr="00925B84">
              <w:rPr>
                <w:rFonts w:hint="eastAsia"/>
                <w:color w:val="auto"/>
                <w:szCs w:val="21"/>
              </w:rPr>
              <w:t>-</w:t>
            </w:r>
            <w:r w:rsidRPr="00925B84">
              <w:rPr>
                <w:color w:val="auto"/>
                <w:szCs w:val="21"/>
              </w:rPr>
              <w:t>2006</w:t>
            </w:r>
            <w:r w:rsidRPr="00925B84">
              <w:rPr>
                <w:rFonts w:hint="eastAsia"/>
                <w:color w:val="auto"/>
                <w:szCs w:val="21"/>
              </w:rPr>
              <w:t>）</w:t>
            </w:r>
          </w:p>
        </w:tc>
      </w:tr>
      <w:tr w:rsidR="00C223F5">
        <w:trPr>
          <w:cantSplit/>
          <w:trHeight w:val="136"/>
          <w:jc w:val="center"/>
        </w:trPr>
        <w:tc>
          <w:tcPr>
            <w:tcW w:w="324" w:type="dxa"/>
            <w:vMerge w:val="restart"/>
            <w:tcMar>
              <w:top w:w="17" w:type="dxa"/>
              <w:left w:w="17" w:type="dxa"/>
              <w:bottom w:w="17" w:type="dxa"/>
              <w:right w:w="17" w:type="dxa"/>
            </w:tcMar>
            <w:vAlign w:val="center"/>
          </w:tcPr>
          <w:p w:rsidR="00C223F5" w:rsidRDefault="005860D5">
            <w:pPr>
              <w:pStyle w:val="affff3"/>
              <w:rPr>
                <w:color w:val="auto"/>
                <w:szCs w:val="21"/>
              </w:rPr>
            </w:pPr>
            <w:r>
              <w:rPr>
                <w:color w:val="auto"/>
                <w:szCs w:val="21"/>
              </w:rPr>
              <w:t>废水</w:t>
            </w:r>
          </w:p>
        </w:tc>
        <w:tc>
          <w:tcPr>
            <w:tcW w:w="1037" w:type="dxa"/>
            <w:tcMar>
              <w:top w:w="17" w:type="dxa"/>
              <w:left w:w="17" w:type="dxa"/>
              <w:bottom w:w="17" w:type="dxa"/>
              <w:right w:w="17" w:type="dxa"/>
            </w:tcMar>
            <w:vAlign w:val="center"/>
          </w:tcPr>
          <w:p w:rsidR="00C223F5" w:rsidRPr="00925B84" w:rsidRDefault="005860D5">
            <w:pPr>
              <w:pStyle w:val="affff3"/>
              <w:rPr>
                <w:color w:val="auto"/>
                <w:szCs w:val="21"/>
              </w:rPr>
            </w:pPr>
            <w:r w:rsidRPr="00925B84">
              <w:rPr>
                <w:rFonts w:hint="eastAsia"/>
                <w:color w:val="auto"/>
                <w:szCs w:val="21"/>
              </w:rPr>
              <w:t>矿井涌水</w:t>
            </w:r>
          </w:p>
        </w:tc>
        <w:tc>
          <w:tcPr>
            <w:tcW w:w="1468" w:type="dxa"/>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color w:val="auto"/>
                <w:szCs w:val="21"/>
              </w:rPr>
              <w:t>SS</w:t>
            </w:r>
            <w:r w:rsidRPr="00925B84">
              <w:rPr>
                <w:color w:val="auto"/>
                <w:szCs w:val="21"/>
              </w:rPr>
              <w:t>、</w:t>
            </w:r>
            <w:r w:rsidRPr="00925B84">
              <w:rPr>
                <w:color w:val="auto"/>
                <w:szCs w:val="21"/>
              </w:rPr>
              <w:t>COD</w:t>
            </w:r>
            <w:r w:rsidRPr="00925B84">
              <w:rPr>
                <w:color w:val="auto"/>
                <w:szCs w:val="21"/>
              </w:rPr>
              <w:t>、石油类等</w:t>
            </w:r>
          </w:p>
        </w:tc>
        <w:tc>
          <w:tcPr>
            <w:tcW w:w="4102" w:type="dxa"/>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rFonts w:hint="eastAsia"/>
                <w:color w:val="auto"/>
                <w:szCs w:val="21"/>
              </w:rPr>
              <w:t>经混凝</w:t>
            </w:r>
            <w:r w:rsidRPr="00925B84">
              <w:rPr>
                <w:color w:val="auto"/>
                <w:szCs w:val="21"/>
              </w:rPr>
              <w:t>沉淀</w:t>
            </w:r>
            <w:r w:rsidRPr="00925B84">
              <w:rPr>
                <w:rFonts w:hint="eastAsia"/>
                <w:color w:val="auto"/>
                <w:szCs w:val="21"/>
              </w:rPr>
              <w:t>-</w:t>
            </w:r>
            <w:r w:rsidRPr="00925B84">
              <w:rPr>
                <w:rFonts w:hint="eastAsia"/>
                <w:color w:val="auto"/>
                <w:szCs w:val="21"/>
              </w:rPr>
              <w:t>气浮</w:t>
            </w:r>
            <w:r w:rsidRPr="00925B84">
              <w:rPr>
                <w:rFonts w:hint="eastAsia"/>
                <w:color w:val="auto"/>
                <w:szCs w:val="21"/>
              </w:rPr>
              <w:t>-</w:t>
            </w:r>
            <w:r w:rsidRPr="00925B84">
              <w:rPr>
                <w:color w:val="auto"/>
                <w:szCs w:val="21"/>
              </w:rPr>
              <w:t>过滤</w:t>
            </w:r>
            <w:r w:rsidRPr="00925B84">
              <w:rPr>
                <w:rFonts w:hint="eastAsia"/>
                <w:color w:val="auto"/>
                <w:szCs w:val="21"/>
              </w:rPr>
              <w:t>-</w:t>
            </w:r>
            <w:r w:rsidRPr="00925B84">
              <w:rPr>
                <w:rFonts w:hint="eastAsia"/>
                <w:color w:val="auto"/>
                <w:szCs w:val="21"/>
              </w:rPr>
              <w:t>消毒</w:t>
            </w:r>
            <w:r w:rsidRPr="00925B84">
              <w:rPr>
                <w:color w:val="auto"/>
                <w:szCs w:val="21"/>
              </w:rPr>
              <w:t>处理</w:t>
            </w:r>
            <w:r w:rsidRPr="00925B84">
              <w:rPr>
                <w:rFonts w:hint="eastAsia"/>
                <w:color w:val="auto"/>
                <w:szCs w:val="21"/>
              </w:rPr>
              <w:t>达标</w:t>
            </w:r>
            <w:r w:rsidRPr="00925B84">
              <w:rPr>
                <w:color w:val="auto"/>
                <w:szCs w:val="21"/>
              </w:rPr>
              <w:t>后</w:t>
            </w:r>
            <w:r w:rsidRPr="00925B84">
              <w:rPr>
                <w:rFonts w:hint="eastAsia"/>
                <w:color w:val="auto"/>
                <w:szCs w:val="21"/>
              </w:rPr>
              <w:t>，部分回用，其余达标排至蚂蚁河</w:t>
            </w:r>
          </w:p>
        </w:tc>
        <w:tc>
          <w:tcPr>
            <w:tcW w:w="2860" w:type="dxa"/>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color w:val="auto"/>
                <w:szCs w:val="21"/>
              </w:rPr>
              <w:t>GB20426-2006</w:t>
            </w:r>
            <w:r w:rsidRPr="00925B84">
              <w:rPr>
                <w:color w:val="auto"/>
                <w:szCs w:val="21"/>
              </w:rPr>
              <w:t>《煤炭工业污染物排放标准》</w:t>
            </w:r>
            <w:r w:rsidRPr="00925B84">
              <w:rPr>
                <w:rFonts w:hint="eastAsia"/>
                <w:color w:val="auto"/>
                <w:szCs w:val="21"/>
              </w:rPr>
              <w:t>及</w:t>
            </w:r>
            <w:r w:rsidRPr="00925B84">
              <w:rPr>
                <w:rFonts w:hint="eastAsia"/>
                <w:color w:val="auto"/>
                <w:szCs w:val="21"/>
              </w:rPr>
              <w:t>DB61/224-2018</w:t>
            </w:r>
            <w:r w:rsidRPr="00925B84">
              <w:rPr>
                <w:color w:val="auto"/>
                <w:szCs w:val="21"/>
              </w:rPr>
              <w:t>《</w:t>
            </w:r>
            <w:r w:rsidRPr="00925B84">
              <w:rPr>
                <w:rFonts w:hint="eastAsia"/>
                <w:color w:val="auto"/>
                <w:szCs w:val="21"/>
              </w:rPr>
              <w:t>陕西省黄河流域污水综合排放标准</w:t>
            </w:r>
            <w:r w:rsidRPr="00925B84">
              <w:rPr>
                <w:color w:val="auto"/>
                <w:szCs w:val="21"/>
              </w:rPr>
              <w:t>》</w:t>
            </w:r>
            <w:r w:rsidRPr="00925B84">
              <w:rPr>
                <w:rFonts w:hint="eastAsia"/>
                <w:color w:val="auto"/>
                <w:szCs w:val="21"/>
              </w:rPr>
              <w:t>表</w:t>
            </w:r>
            <w:r w:rsidRPr="00925B84">
              <w:rPr>
                <w:rFonts w:hint="eastAsia"/>
                <w:color w:val="auto"/>
                <w:szCs w:val="21"/>
              </w:rPr>
              <w:t>2</w:t>
            </w:r>
          </w:p>
        </w:tc>
      </w:tr>
      <w:tr w:rsidR="00C223F5">
        <w:trPr>
          <w:cantSplit/>
          <w:trHeight w:val="50"/>
          <w:jc w:val="center"/>
        </w:trPr>
        <w:tc>
          <w:tcPr>
            <w:tcW w:w="324" w:type="dxa"/>
            <w:vMerge/>
            <w:tcMar>
              <w:top w:w="17" w:type="dxa"/>
              <w:left w:w="17" w:type="dxa"/>
              <w:bottom w:w="17" w:type="dxa"/>
              <w:right w:w="17" w:type="dxa"/>
            </w:tcMar>
            <w:vAlign w:val="center"/>
          </w:tcPr>
          <w:p w:rsidR="00C223F5" w:rsidRDefault="00C223F5">
            <w:pPr>
              <w:pStyle w:val="affff3"/>
              <w:rPr>
                <w:color w:val="auto"/>
                <w:szCs w:val="21"/>
              </w:rPr>
            </w:pPr>
          </w:p>
        </w:tc>
        <w:tc>
          <w:tcPr>
            <w:tcW w:w="1037" w:type="dxa"/>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color w:val="auto"/>
                <w:szCs w:val="21"/>
              </w:rPr>
              <w:t>生活污水</w:t>
            </w:r>
          </w:p>
        </w:tc>
        <w:tc>
          <w:tcPr>
            <w:tcW w:w="1468" w:type="dxa"/>
            <w:tcMar>
              <w:top w:w="17" w:type="dxa"/>
              <w:left w:w="17" w:type="dxa"/>
              <w:bottom w:w="17" w:type="dxa"/>
              <w:right w:w="17" w:type="dxa"/>
            </w:tcMar>
            <w:vAlign w:val="center"/>
          </w:tcPr>
          <w:p w:rsidR="00C223F5" w:rsidRPr="00925B84" w:rsidRDefault="005860D5">
            <w:pPr>
              <w:jc w:val="center"/>
              <w:rPr>
                <w:spacing w:val="-6"/>
                <w:szCs w:val="21"/>
              </w:rPr>
            </w:pPr>
            <w:r w:rsidRPr="00925B84">
              <w:rPr>
                <w:spacing w:val="-6"/>
                <w:szCs w:val="21"/>
              </w:rPr>
              <w:t>COD</w:t>
            </w:r>
            <w:r w:rsidRPr="00925B84">
              <w:rPr>
                <w:rFonts w:hint="eastAsia"/>
                <w:spacing w:val="-6"/>
                <w:szCs w:val="21"/>
              </w:rPr>
              <w:t>,</w:t>
            </w:r>
            <w:r w:rsidRPr="00925B84">
              <w:rPr>
                <w:spacing w:val="-6"/>
                <w:szCs w:val="21"/>
              </w:rPr>
              <w:t>BOD</w:t>
            </w:r>
            <w:r w:rsidRPr="00925B84">
              <w:rPr>
                <w:spacing w:val="-6"/>
                <w:szCs w:val="21"/>
                <w:vertAlign w:val="subscript"/>
              </w:rPr>
              <w:t>5</w:t>
            </w:r>
            <w:r w:rsidRPr="00925B84">
              <w:rPr>
                <w:rFonts w:hint="eastAsia"/>
                <w:spacing w:val="-6"/>
                <w:szCs w:val="21"/>
              </w:rPr>
              <w:t>,</w:t>
            </w:r>
            <w:r w:rsidRPr="00925B84">
              <w:rPr>
                <w:spacing w:val="-6"/>
                <w:szCs w:val="21"/>
              </w:rPr>
              <w:t>氨氮等</w:t>
            </w:r>
          </w:p>
        </w:tc>
        <w:tc>
          <w:tcPr>
            <w:tcW w:w="4102" w:type="dxa"/>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rFonts w:hint="eastAsia"/>
                <w:color w:val="auto"/>
                <w:szCs w:val="21"/>
              </w:rPr>
              <w:t>二级</w:t>
            </w:r>
            <w:r w:rsidRPr="00925B84">
              <w:rPr>
                <w:color w:val="auto"/>
                <w:szCs w:val="21"/>
              </w:rPr>
              <w:t>生化</w:t>
            </w:r>
            <w:r w:rsidRPr="00925B84">
              <w:rPr>
                <w:rFonts w:hint="eastAsia"/>
                <w:color w:val="auto"/>
                <w:szCs w:val="21"/>
              </w:rPr>
              <w:t>污水</w:t>
            </w:r>
            <w:r w:rsidRPr="00925B84">
              <w:rPr>
                <w:color w:val="auto"/>
                <w:szCs w:val="21"/>
              </w:rPr>
              <w:t>处理</w:t>
            </w:r>
            <w:r w:rsidRPr="00925B84">
              <w:rPr>
                <w:rFonts w:hint="eastAsia"/>
                <w:color w:val="auto"/>
                <w:szCs w:val="21"/>
              </w:rPr>
              <w:t>设备，</w:t>
            </w:r>
          </w:p>
          <w:p w:rsidR="00C223F5" w:rsidRPr="00925B84" w:rsidRDefault="005860D5">
            <w:pPr>
              <w:pStyle w:val="affff3"/>
              <w:adjustRightInd/>
              <w:snapToGrid/>
              <w:rPr>
                <w:color w:val="auto"/>
                <w:szCs w:val="21"/>
              </w:rPr>
            </w:pPr>
            <w:r w:rsidRPr="00925B84">
              <w:rPr>
                <w:rFonts w:hint="eastAsia"/>
                <w:color w:val="auto"/>
                <w:szCs w:val="21"/>
              </w:rPr>
              <w:t>处理</w:t>
            </w:r>
            <w:r w:rsidRPr="00925B84">
              <w:rPr>
                <w:color w:val="auto"/>
                <w:szCs w:val="21"/>
              </w:rPr>
              <w:t>后</w:t>
            </w:r>
            <w:r w:rsidRPr="00925B84">
              <w:rPr>
                <w:rFonts w:hint="eastAsia"/>
                <w:color w:val="auto"/>
                <w:szCs w:val="21"/>
              </w:rPr>
              <w:t>全部</w:t>
            </w:r>
            <w:r w:rsidRPr="00925B84">
              <w:rPr>
                <w:color w:val="auto"/>
                <w:szCs w:val="21"/>
              </w:rPr>
              <w:t>回用</w:t>
            </w:r>
          </w:p>
        </w:tc>
        <w:tc>
          <w:tcPr>
            <w:tcW w:w="2860" w:type="dxa"/>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rFonts w:hint="eastAsia"/>
                <w:color w:val="auto"/>
                <w:szCs w:val="21"/>
              </w:rPr>
              <w:t>全部回用，不外排</w:t>
            </w:r>
          </w:p>
        </w:tc>
      </w:tr>
      <w:tr w:rsidR="00C223F5">
        <w:trPr>
          <w:cantSplit/>
          <w:trHeight w:val="430"/>
          <w:jc w:val="center"/>
        </w:trPr>
        <w:tc>
          <w:tcPr>
            <w:tcW w:w="324" w:type="dxa"/>
            <w:vMerge w:val="restart"/>
            <w:tcMar>
              <w:top w:w="17" w:type="dxa"/>
              <w:left w:w="17" w:type="dxa"/>
              <w:bottom w:w="17" w:type="dxa"/>
              <w:right w:w="17" w:type="dxa"/>
            </w:tcMar>
            <w:vAlign w:val="center"/>
          </w:tcPr>
          <w:p w:rsidR="00C223F5" w:rsidRDefault="005860D5">
            <w:pPr>
              <w:pStyle w:val="affff3"/>
              <w:rPr>
                <w:color w:val="auto"/>
                <w:szCs w:val="21"/>
              </w:rPr>
            </w:pPr>
            <w:r>
              <w:rPr>
                <w:color w:val="auto"/>
                <w:szCs w:val="21"/>
              </w:rPr>
              <w:t>固废</w:t>
            </w:r>
          </w:p>
        </w:tc>
        <w:tc>
          <w:tcPr>
            <w:tcW w:w="1037" w:type="dxa"/>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rFonts w:hint="eastAsia"/>
                <w:color w:val="auto"/>
                <w:szCs w:val="21"/>
              </w:rPr>
              <w:t>建设期</w:t>
            </w:r>
          </w:p>
        </w:tc>
        <w:tc>
          <w:tcPr>
            <w:tcW w:w="1468" w:type="dxa"/>
            <w:tcMar>
              <w:top w:w="17" w:type="dxa"/>
              <w:left w:w="17" w:type="dxa"/>
              <w:bottom w:w="17" w:type="dxa"/>
              <w:right w:w="17" w:type="dxa"/>
            </w:tcMar>
            <w:vAlign w:val="center"/>
          </w:tcPr>
          <w:p w:rsidR="00C223F5" w:rsidRPr="00925B84" w:rsidRDefault="005860D5">
            <w:pPr>
              <w:pStyle w:val="affff3"/>
              <w:rPr>
                <w:color w:val="auto"/>
                <w:spacing w:val="-6"/>
                <w:szCs w:val="21"/>
              </w:rPr>
            </w:pPr>
            <w:r w:rsidRPr="00925B84">
              <w:rPr>
                <w:rFonts w:hint="eastAsia"/>
                <w:color w:val="auto"/>
                <w:szCs w:val="21"/>
              </w:rPr>
              <w:t>土石方、掘进矸</w:t>
            </w:r>
          </w:p>
        </w:tc>
        <w:tc>
          <w:tcPr>
            <w:tcW w:w="4102" w:type="dxa"/>
            <w:tcMar>
              <w:top w:w="17" w:type="dxa"/>
              <w:left w:w="17" w:type="dxa"/>
              <w:bottom w:w="17" w:type="dxa"/>
              <w:right w:w="17" w:type="dxa"/>
            </w:tcMar>
            <w:vAlign w:val="center"/>
          </w:tcPr>
          <w:p w:rsidR="00C223F5" w:rsidRPr="00925B84" w:rsidRDefault="005860D5">
            <w:pPr>
              <w:pStyle w:val="affff3"/>
              <w:rPr>
                <w:color w:val="auto"/>
                <w:szCs w:val="21"/>
              </w:rPr>
            </w:pPr>
            <w:r w:rsidRPr="00925B84">
              <w:rPr>
                <w:rFonts w:hint="eastAsia"/>
                <w:color w:val="auto"/>
                <w:szCs w:val="21"/>
              </w:rPr>
              <w:t>填垫道路或综合利用</w:t>
            </w:r>
          </w:p>
        </w:tc>
        <w:tc>
          <w:tcPr>
            <w:tcW w:w="2860" w:type="dxa"/>
            <w:vMerge w:val="restart"/>
            <w:tcMar>
              <w:top w:w="17" w:type="dxa"/>
              <w:left w:w="17" w:type="dxa"/>
              <w:bottom w:w="17" w:type="dxa"/>
              <w:right w:w="17" w:type="dxa"/>
            </w:tcMar>
            <w:vAlign w:val="center"/>
          </w:tcPr>
          <w:p w:rsidR="00C223F5" w:rsidRPr="00925B84" w:rsidRDefault="005860D5">
            <w:pPr>
              <w:pStyle w:val="affff3"/>
              <w:rPr>
                <w:color w:val="auto"/>
                <w:szCs w:val="21"/>
              </w:rPr>
            </w:pPr>
            <w:r w:rsidRPr="00925B84">
              <w:rPr>
                <w:color w:val="auto"/>
                <w:szCs w:val="21"/>
              </w:rPr>
              <w:t>GB20426-2006</w:t>
            </w:r>
            <w:r w:rsidRPr="00925B84">
              <w:rPr>
                <w:color w:val="auto"/>
                <w:szCs w:val="21"/>
              </w:rPr>
              <w:t>《煤炭工业污染物排放标准》</w:t>
            </w:r>
            <w:r w:rsidRPr="00925B84">
              <w:rPr>
                <w:rFonts w:hint="eastAsia"/>
                <w:color w:val="auto"/>
                <w:szCs w:val="21"/>
              </w:rPr>
              <w:t>及</w:t>
            </w:r>
            <w:r w:rsidRPr="00925B84">
              <w:rPr>
                <w:color w:val="auto"/>
                <w:szCs w:val="21"/>
              </w:rPr>
              <w:t>GB18599-2001</w:t>
            </w:r>
            <w:r w:rsidRPr="00925B84">
              <w:rPr>
                <w:rFonts w:hint="eastAsia"/>
                <w:color w:val="auto"/>
                <w:szCs w:val="21"/>
              </w:rPr>
              <w:t>相关规定，</w:t>
            </w:r>
            <w:r w:rsidRPr="00925B84">
              <w:rPr>
                <w:color w:val="auto"/>
                <w:szCs w:val="21"/>
              </w:rPr>
              <w:t>处置率</w:t>
            </w:r>
            <w:r w:rsidRPr="00925B84">
              <w:rPr>
                <w:color w:val="auto"/>
                <w:szCs w:val="21"/>
              </w:rPr>
              <w:t>100</w:t>
            </w:r>
            <w:r w:rsidRPr="00925B84">
              <w:rPr>
                <w:rFonts w:hint="eastAsia"/>
                <w:color w:val="auto"/>
                <w:szCs w:val="21"/>
              </w:rPr>
              <w:t>%</w:t>
            </w:r>
          </w:p>
        </w:tc>
      </w:tr>
      <w:tr w:rsidR="00C223F5">
        <w:trPr>
          <w:cantSplit/>
          <w:trHeight w:val="53"/>
          <w:jc w:val="center"/>
        </w:trPr>
        <w:tc>
          <w:tcPr>
            <w:tcW w:w="324" w:type="dxa"/>
            <w:vMerge/>
            <w:tcMar>
              <w:top w:w="17" w:type="dxa"/>
              <w:left w:w="17" w:type="dxa"/>
              <w:bottom w:w="17" w:type="dxa"/>
              <w:right w:w="17" w:type="dxa"/>
            </w:tcMar>
            <w:vAlign w:val="center"/>
          </w:tcPr>
          <w:p w:rsidR="00C223F5" w:rsidRDefault="00C223F5">
            <w:pPr>
              <w:pStyle w:val="affff3"/>
              <w:rPr>
                <w:color w:val="auto"/>
                <w:szCs w:val="21"/>
              </w:rPr>
            </w:pPr>
          </w:p>
        </w:tc>
        <w:tc>
          <w:tcPr>
            <w:tcW w:w="1037" w:type="dxa"/>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rFonts w:hint="eastAsia"/>
                <w:color w:val="auto"/>
                <w:szCs w:val="21"/>
              </w:rPr>
              <w:t>营运期</w:t>
            </w:r>
          </w:p>
        </w:tc>
        <w:tc>
          <w:tcPr>
            <w:tcW w:w="1468" w:type="dxa"/>
            <w:tcMar>
              <w:top w:w="17" w:type="dxa"/>
              <w:left w:w="17" w:type="dxa"/>
              <w:bottom w:w="17" w:type="dxa"/>
              <w:right w:w="17" w:type="dxa"/>
            </w:tcMar>
            <w:vAlign w:val="center"/>
          </w:tcPr>
          <w:p w:rsidR="00C223F5" w:rsidRPr="00925B84" w:rsidRDefault="005860D5">
            <w:pPr>
              <w:pStyle w:val="affff3"/>
              <w:rPr>
                <w:color w:val="auto"/>
                <w:szCs w:val="21"/>
              </w:rPr>
            </w:pPr>
            <w:r w:rsidRPr="00925B84">
              <w:rPr>
                <w:rFonts w:hint="eastAsia"/>
                <w:color w:val="auto"/>
                <w:szCs w:val="21"/>
              </w:rPr>
              <w:t>矸石</w:t>
            </w:r>
          </w:p>
        </w:tc>
        <w:tc>
          <w:tcPr>
            <w:tcW w:w="4102" w:type="dxa"/>
            <w:shd w:val="clear" w:color="auto" w:fill="auto"/>
            <w:tcMar>
              <w:top w:w="17" w:type="dxa"/>
              <w:left w:w="17" w:type="dxa"/>
              <w:bottom w:w="17" w:type="dxa"/>
              <w:right w:w="17" w:type="dxa"/>
            </w:tcMar>
            <w:vAlign w:val="center"/>
          </w:tcPr>
          <w:p w:rsidR="00C223F5" w:rsidRPr="00925B84" w:rsidRDefault="005860D5" w:rsidP="00BC13FB">
            <w:pPr>
              <w:pStyle w:val="affff3"/>
              <w:rPr>
                <w:color w:val="auto"/>
                <w:szCs w:val="21"/>
              </w:rPr>
            </w:pPr>
            <w:r w:rsidRPr="00925B84">
              <w:rPr>
                <w:rFonts w:hint="eastAsia"/>
                <w:color w:val="auto"/>
                <w:szCs w:val="21"/>
              </w:rPr>
              <w:t>掘进矸</w:t>
            </w:r>
            <w:r w:rsidR="007E7560" w:rsidRPr="00925B84">
              <w:rPr>
                <w:rFonts w:hint="eastAsia"/>
                <w:color w:val="auto"/>
                <w:szCs w:val="21"/>
              </w:rPr>
              <w:t>不出井</w:t>
            </w:r>
            <w:r w:rsidRPr="00925B84">
              <w:rPr>
                <w:rFonts w:hint="eastAsia"/>
                <w:color w:val="auto"/>
                <w:szCs w:val="21"/>
              </w:rPr>
              <w:t>，洗选矸石优先综合利用或</w:t>
            </w:r>
            <w:r w:rsidR="00BC13FB" w:rsidRPr="00925B84">
              <w:rPr>
                <w:rFonts w:hint="eastAsia"/>
                <w:color w:val="auto"/>
                <w:szCs w:val="21"/>
              </w:rPr>
              <w:t>作为</w:t>
            </w:r>
            <w:r w:rsidRPr="00925B84">
              <w:rPr>
                <w:rFonts w:hint="eastAsia"/>
                <w:color w:val="auto"/>
                <w:szCs w:val="21"/>
              </w:rPr>
              <w:t>井下</w:t>
            </w:r>
            <w:r w:rsidR="00BC13FB" w:rsidRPr="00925B84">
              <w:rPr>
                <w:rFonts w:hint="eastAsia"/>
                <w:color w:val="auto"/>
                <w:szCs w:val="21"/>
              </w:rPr>
              <w:t>充填原料</w:t>
            </w:r>
            <w:r w:rsidRPr="00925B84">
              <w:rPr>
                <w:rFonts w:hint="eastAsia"/>
                <w:color w:val="auto"/>
                <w:szCs w:val="21"/>
              </w:rPr>
              <w:t>，利用不畅时暂存矸石仓</w:t>
            </w:r>
          </w:p>
        </w:tc>
        <w:tc>
          <w:tcPr>
            <w:tcW w:w="2860" w:type="dxa"/>
            <w:vMerge/>
            <w:shd w:val="clear" w:color="auto" w:fill="auto"/>
            <w:tcMar>
              <w:top w:w="17" w:type="dxa"/>
              <w:left w:w="17" w:type="dxa"/>
              <w:bottom w:w="17" w:type="dxa"/>
              <w:right w:w="17" w:type="dxa"/>
            </w:tcMar>
            <w:vAlign w:val="center"/>
          </w:tcPr>
          <w:p w:rsidR="00C223F5" w:rsidRPr="00925B84" w:rsidRDefault="00C223F5">
            <w:pPr>
              <w:pStyle w:val="affff3"/>
              <w:adjustRightInd/>
              <w:snapToGrid/>
              <w:rPr>
                <w:color w:val="auto"/>
                <w:szCs w:val="21"/>
              </w:rPr>
            </w:pPr>
          </w:p>
        </w:tc>
      </w:tr>
      <w:tr w:rsidR="00C223F5">
        <w:trPr>
          <w:cantSplit/>
          <w:trHeight w:val="448"/>
          <w:jc w:val="center"/>
        </w:trPr>
        <w:tc>
          <w:tcPr>
            <w:tcW w:w="324" w:type="dxa"/>
            <w:vMerge/>
            <w:tcMar>
              <w:top w:w="17" w:type="dxa"/>
              <w:left w:w="17" w:type="dxa"/>
              <w:bottom w:w="17" w:type="dxa"/>
              <w:right w:w="17" w:type="dxa"/>
            </w:tcMar>
            <w:vAlign w:val="center"/>
          </w:tcPr>
          <w:p w:rsidR="00C223F5" w:rsidRDefault="00C223F5">
            <w:pPr>
              <w:pStyle w:val="affff3"/>
              <w:rPr>
                <w:color w:val="auto"/>
                <w:szCs w:val="21"/>
              </w:rPr>
            </w:pPr>
          </w:p>
        </w:tc>
        <w:tc>
          <w:tcPr>
            <w:tcW w:w="1037" w:type="dxa"/>
            <w:tcMar>
              <w:top w:w="17" w:type="dxa"/>
              <w:left w:w="17" w:type="dxa"/>
              <w:bottom w:w="17" w:type="dxa"/>
              <w:right w:w="17" w:type="dxa"/>
            </w:tcMar>
            <w:vAlign w:val="center"/>
          </w:tcPr>
          <w:p w:rsidR="00C223F5" w:rsidRPr="00925B84" w:rsidRDefault="005860D5">
            <w:pPr>
              <w:jc w:val="center"/>
              <w:rPr>
                <w:szCs w:val="21"/>
                <w:highlight w:val="yellow"/>
              </w:rPr>
            </w:pPr>
            <w:r w:rsidRPr="00925B84">
              <w:rPr>
                <w:szCs w:val="21"/>
              </w:rPr>
              <w:t>日常生活</w:t>
            </w:r>
          </w:p>
        </w:tc>
        <w:tc>
          <w:tcPr>
            <w:tcW w:w="1468" w:type="dxa"/>
            <w:tcMar>
              <w:top w:w="17" w:type="dxa"/>
              <w:left w:w="17" w:type="dxa"/>
              <w:bottom w:w="17" w:type="dxa"/>
              <w:right w:w="17" w:type="dxa"/>
            </w:tcMar>
            <w:vAlign w:val="center"/>
          </w:tcPr>
          <w:p w:rsidR="00C223F5" w:rsidRPr="00925B84" w:rsidRDefault="005860D5">
            <w:pPr>
              <w:jc w:val="center"/>
              <w:rPr>
                <w:szCs w:val="21"/>
                <w:highlight w:val="yellow"/>
              </w:rPr>
            </w:pPr>
            <w:r w:rsidRPr="00925B84">
              <w:rPr>
                <w:szCs w:val="21"/>
              </w:rPr>
              <w:t>生活垃圾</w:t>
            </w:r>
          </w:p>
        </w:tc>
        <w:tc>
          <w:tcPr>
            <w:tcW w:w="4102" w:type="dxa"/>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rFonts w:hint="eastAsia"/>
                <w:color w:val="auto"/>
                <w:szCs w:val="21"/>
              </w:rPr>
              <w:t>集中收集、定期</w:t>
            </w:r>
            <w:r w:rsidRPr="00925B84">
              <w:rPr>
                <w:color w:val="auto"/>
                <w:szCs w:val="21"/>
              </w:rPr>
              <w:t>运往市政</w:t>
            </w:r>
            <w:r w:rsidRPr="00925B84">
              <w:rPr>
                <w:rFonts w:hint="eastAsia"/>
                <w:color w:val="auto"/>
                <w:szCs w:val="21"/>
              </w:rPr>
              <w:t>垃圾场</w:t>
            </w:r>
          </w:p>
        </w:tc>
        <w:tc>
          <w:tcPr>
            <w:tcW w:w="2860" w:type="dxa"/>
            <w:shd w:val="clear" w:color="auto" w:fill="auto"/>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rFonts w:hint="eastAsia"/>
                <w:color w:val="auto"/>
                <w:szCs w:val="21"/>
              </w:rPr>
              <w:t>按</w:t>
            </w:r>
            <w:r w:rsidRPr="00925B84">
              <w:rPr>
                <w:color w:val="auto"/>
                <w:szCs w:val="21"/>
              </w:rPr>
              <w:t>GB</w:t>
            </w:r>
            <w:r w:rsidRPr="00925B84">
              <w:rPr>
                <w:rFonts w:hint="eastAsia"/>
                <w:color w:val="auto"/>
                <w:szCs w:val="21"/>
              </w:rPr>
              <w:t>16889-</w:t>
            </w:r>
            <w:r w:rsidRPr="00925B84">
              <w:rPr>
                <w:color w:val="auto"/>
                <w:szCs w:val="21"/>
              </w:rPr>
              <w:t>200</w:t>
            </w:r>
            <w:r w:rsidRPr="00925B84">
              <w:rPr>
                <w:rFonts w:hint="eastAsia"/>
                <w:color w:val="auto"/>
                <w:szCs w:val="21"/>
              </w:rPr>
              <w:t>8</w:t>
            </w:r>
            <w:r w:rsidRPr="00925B84">
              <w:rPr>
                <w:rFonts w:hint="eastAsia"/>
                <w:color w:val="auto"/>
                <w:szCs w:val="21"/>
              </w:rPr>
              <w:t>要求处置</w:t>
            </w:r>
          </w:p>
        </w:tc>
      </w:tr>
      <w:tr w:rsidR="00C223F5">
        <w:trPr>
          <w:cantSplit/>
          <w:trHeight w:val="50"/>
          <w:jc w:val="center"/>
        </w:trPr>
        <w:tc>
          <w:tcPr>
            <w:tcW w:w="324" w:type="dxa"/>
            <w:vMerge/>
            <w:tcMar>
              <w:top w:w="17" w:type="dxa"/>
              <w:left w:w="17" w:type="dxa"/>
              <w:bottom w:w="17" w:type="dxa"/>
              <w:right w:w="17" w:type="dxa"/>
            </w:tcMar>
            <w:vAlign w:val="center"/>
          </w:tcPr>
          <w:p w:rsidR="00C223F5" w:rsidRDefault="00C223F5">
            <w:pPr>
              <w:pStyle w:val="affff3"/>
              <w:rPr>
                <w:color w:val="auto"/>
                <w:szCs w:val="21"/>
              </w:rPr>
            </w:pPr>
          </w:p>
        </w:tc>
        <w:tc>
          <w:tcPr>
            <w:tcW w:w="1037" w:type="dxa"/>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rFonts w:hint="eastAsia"/>
                <w:color w:val="auto"/>
                <w:szCs w:val="21"/>
              </w:rPr>
              <w:t>污水处理站</w:t>
            </w:r>
          </w:p>
        </w:tc>
        <w:tc>
          <w:tcPr>
            <w:tcW w:w="1468" w:type="dxa"/>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rFonts w:hint="eastAsia"/>
                <w:color w:val="auto"/>
                <w:szCs w:val="21"/>
              </w:rPr>
              <w:t>污泥、煤泥</w:t>
            </w:r>
          </w:p>
        </w:tc>
        <w:tc>
          <w:tcPr>
            <w:tcW w:w="4102" w:type="dxa"/>
            <w:tcMar>
              <w:top w:w="17" w:type="dxa"/>
              <w:left w:w="17" w:type="dxa"/>
              <w:bottom w:w="17" w:type="dxa"/>
              <w:right w:w="17" w:type="dxa"/>
            </w:tcMar>
            <w:vAlign w:val="center"/>
          </w:tcPr>
          <w:p w:rsidR="00BC13FB" w:rsidRPr="00925B84" w:rsidRDefault="005860D5">
            <w:pPr>
              <w:pStyle w:val="affff3"/>
              <w:rPr>
                <w:color w:val="auto"/>
                <w:szCs w:val="21"/>
              </w:rPr>
            </w:pPr>
            <w:r w:rsidRPr="00925B84">
              <w:rPr>
                <w:rFonts w:hint="eastAsia"/>
                <w:color w:val="auto"/>
                <w:szCs w:val="21"/>
              </w:rPr>
              <w:t>污泥脱水后送至市政垃圾场；</w:t>
            </w:r>
          </w:p>
          <w:p w:rsidR="00C223F5" w:rsidRPr="00925B84" w:rsidRDefault="005860D5">
            <w:pPr>
              <w:pStyle w:val="affff3"/>
              <w:rPr>
                <w:rFonts w:eastAsia="新宋体"/>
                <w:color w:val="auto"/>
                <w:spacing w:val="-6"/>
                <w:szCs w:val="21"/>
              </w:rPr>
            </w:pPr>
            <w:r w:rsidRPr="00925B84">
              <w:rPr>
                <w:color w:val="auto"/>
                <w:szCs w:val="21"/>
              </w:rPr>
              <w:t>煤泥压滤后外销</w:t>
            </w:r>
          </w:p>
        </w:tc>
        <w:tc>
          <w:tcPr>
            <w:tcW w:w="2860" w:type="dxa"/>
            <w:shd w:val="clear" w:color="auto" w:fill="auto"/>
            <w:tcMar>
              <w:top w:w="17" w:type="dxa"/>
              <w:left w:w="17" w:type="dxa"/>
              <w:bottom w:w="17" w:type="dxa"/>
              <w:right w:w="17" w:type="dxa"/>
            </w:tcMar>
            <w:vAlign w:val="center"/>
          </w:tcPr>
          <w:p w:rsidR="00C223F5" w:rsidRPr="00925B84" w:rsidRDefault="005860D5">
            <w:pPr>
              <w:pStyle w:val="affff3"/>
              <w:adjustRightInd/>
              <w:snapToGrid/>
              <w:rPr>
                <w:color w:val="auto"/>
                <w:szCs w:val="21"/>
              </w:rPr>
            </w:pPr>
            <w:r w:rsidRPr="00925B84">
              <w:rPr>
                <w:rFonts w:hint="eastAsia"/>
                <w:color w:val="auto"/>
                <w:szCs w:val="21"/>
              </w:rPr>
              <w:t>陕</w:t>
            </w:r>
            <w:r w:rsidRPr="00925B84">
              <w:rPr>
                <w:color w:val="auto"/>
                <w:szCs w:val="21"/>
              </w:rPr>
              <w:t>环</w:t>
            </w:r>
            <w:r w:rsidRPr="00925B84">
              <w:rPr>
                <w:rFonts w:hint="eastAsia"/>
                <w:color w:val="auto"/>
                <w:szCs w:val="21"/>
              </w:rPr>
              <w:t>函</w:t>
            </w:r>
            <w:r w:rsidRPr="00925B84">
              <w:rPr>
                <w:color w:val="auto"/>
                <w:szCs w:val="21"/>
              </w:rPr>
              <w:t>[20</w:t>
            </w:r>
            <w:r w:rsidRPr="00925B84">
              <w:rPr>
                <w:rFonts w:hint="eastAsia"/>
                <w:color w:val="auto"/>
                <w:szCs w:val="21"/>
              </w:rPr>
              <w:t>11</w:t>
            </w:r>
            <w:r w:rsidRPr="00925B84">
              <w:rPr>
                <w:color w:val="auto"/>
                <w:szCs w:val="21"/>
              </w:rPr>
              <w:t>]</w:t>
            </w:r>
            <w:r w:rsidRPr="00925B84">
              <w:rPr>
                <w:rFonts w:hint="eastAsia"/>
                <w:color w:val="auto"/>
                <w:szCs w:val="21"/>
              </w:rPr>
              <w:t>120</w:t>
            </w:r>
            <w:r w:rsidRPr="00925B84">
              <w:rPr>
                <w:color w:val="auto"/>
                <w:szCs w:val="21"/>
              </w:rPr>
              <w:t>号</w:t>
            </w:r>
            <w:r w:rsidRPr="00925B84">
              <w:rPr>
                <w:rFonts w:hint="eastAsia"/>
                <w:color w:val="auto"/>
                <w:szCs w:val="21"/>
              </w:rPr>
              <w:t>要求处置</w:t>
            </w:r>
          </w:p>
        </w:tc>
      </w:tr>
      <w:tr w:rsidR="00C223F5">
        <w:trPr>
          <w:cantSplit/>
          <w:trHeight w:val="50"/>
          <w:jc w:val="center"/>
        </w:trPr>
        <w:tc>
          <w:tcPr>
            <w:tcW w:w="324" w:type="dxa"/>
            <w:vMerge/>
            <w:tcMar>
              <w:top w:w="17" w:type="dxa"/>
              <w:left w:w="17" w:type="dxa"/>
              <w:bottom w:w="17" w:type="dxa"/>
              <w:right w:w="17" w:type="dxa"/>
            </w:tcMar>
            <w:vAlign w:val="center"/>
          </w:tcPr>
          <w:p w:rsidR="00C223F5" w:rsidRDefault="00C223F5">
            <w:pPr>
              <w:pStyle w:val="affff3"/>
              <w:rPr>
                <w:color w:val="auto"/>
                <w:szCs w:val="21"/>
              </w:rPr>
            </w:pPr>
          </w:p>
        </w:tc>
        <w:tc>
          <w:tcPr>
            <w:tcW w:w="1037" w:type="dxa"/>
            <w:tcMar>
              <w:top w:w="17" w:type="dxa"/>
              <w:left w:w="17" w:type="dxa"/>
              <w:bottom w:w="17" w:type="dxa"/>
              <w:right w:w="17" w:type="dxa"/>
            </w:tcMar>
            <w:vAlign w:val="center"/>
          </w:tcPr>
          <w:p w:rsidR="00C223F5" w:rsidRDefault="005860D5">
            <w:pPr>
              <w:jc w:val="center"/>
              <w:rPr>
                <w:szCs w:val="21"/>
              </w:rPr>
            </w:pPr>
            <w:r>
              <w:rPr>
                <w:rFonts w:hint="eastAsia"/>
                <w:szCs w:val="21"/>
              </w:rPr>
              <w:t>危险废物</w:t>
            </w:r>
          </w:p>
        </w:tc>
        <w:tc>
          <w:tcPr>
            <w:tcW w:w="1468" w:type="dxa"/>
            <w:tcMar>
              <w:top w:w="17" w:type="dxa"/>
              <w:left w:w="17" w:type="dxa"/>
              <w:bottom w:w="17" w:type="dxa"/>
              <w:right w:w="17" w:type="dxa"/>
            </w:tcMar>
            <w:vAlign w:val="center"/>
          </w:tcPr>
          <w:p w:rsidR="00C223F5" w:rsidRDefault="005860D5">
            <w:pPr>
              <w:jc w:val="center"/>
              <w:rPr>
                <w:szCs w:val="21"/>
              </w:rPr>
            </w:pPr>
            <w:r>
              <w:rPr>
                <w:rFonts w:hint="eastAsia"/>
                <w:szCs w:val="21"/>
              </w:rPr>
              <w:t>废油脂</w:t>
            </w:r>
          </w:p>
        </w:tc>
        <w:tc>
          <w:tcPr>
            <w:tcW w:w="4102" w:type="dxa"/>
            <w:tcMar>
              <w:top w:w="17" w:type="dxa"/>
              <w:left w:w="17" w:type="dxa"/>
              <w:bottom w:w="17" w:type="dxa"/>
              <w:right w:w="17" w:type="dxa"/>
            </w:tcMar>
            <w:vAlign w:val="center"/>
          </w:tcPr>
          <w:p w:rsidR="00C223F5" w:rsidRDefault="005860D5">
            <w:pPr>
              <w:jc w:val="center"/>
              <w:rPr>
                <w:szCs w:val="21"/>
              </w:rPr>
            </w:pPr>
            <w:r>
              <w:rPr>
                <w:szCs w:val="21"/>
              </w:rPr>
              <w:t>交由有资质的单位进行处置</w:t>
            </w:r>
          </w:p>
        </w:tc>
        <w:tc>
          <w:tcPr>
            <w:tcW w:w="2860" w:type="dxa"/>
            <w:shd w:val="clear" w:color="auto" w:fill="auto"/>
            <w:tcMar>
              <w:top w:w="17" w:type="dxa"/>
              <w:left w:w="17" w:type="dxa"/>
              <w:bottom w:w="17" w:type="dxa"/>
              <w:right w:w="17" w:type="dxa"/>
            </w:tcMar>
            <w:vAlign w:val="center"/>
          </w:tcPr>
          <w:p w:rsidR="00C223F5" w:rsidRDefault="005860D5">
            <w:pPr>
              <w:jc w:val="center"/>
              <w:rPr>
                <w:szCs w:val="21"/>
              </w:rPr>
            </w:pPr>
            <w:r>
              <w:rPr>
                <w:szCs w:val="21"/>
              </w:rPr>
              <w:t>按《危险废物贮存污染控制标准》（</w:t>
            </w:r>
            <w:r>
              <w:rPr>
                <w:szCs w:val="21"/>
              </w:rPr>
              <w:t>GB18597-2001</w:t>
            </w:r>
            <w:r>
              <w:rPr>
                <w:szCs w:val="21"/>
              </w:rPr>
              <w:t>）要求</w:t>
            </w:r>
            <w:r>
              <w:rPr>
                <w:rFonts w:hint="eastAsia"/>
                <w:szCs w:val="21"/>
              </w:rPr>
              <w:t>贮存</w:t>
            </w:r>
          </w:p>
        </w:tc>
      </w:tr>
      <w:tr w:rsidR="00F909E3">
        <w:trPr>
          <w:cantSplit/>
          <w:trHeight w:val="50"/>
          <w:jc w:val="center"/>
        </w:trPr>
        <w:tc>
          <w:tcPr>
            <w:tcW w:w="324" w:type="dxa"/>
            <w:vMerge w:val="restart"/>
            <w:tcMar>
              <w:top w:w="17" w:type="dxa"/>
              <w:left w:w="17" w:type="dxa"/>
              <w:bottom w:w="17" w:type="dxa"/>
              <w:right w:w="17" w:type="dxa"/>
            </w:tcMar>
            <w:vAlign w:val="center"/>
          </w:tcPr>
          <w:p w:rsidR="00F909E3" w:rsidRDefault="00F909E3">
            <w:pPr>
              <w:pStyle w:val="affff3"/>
              <w:rPr>
                <w:color w:val="auto"/>
                <w:szCs w:val="21"/>
              </w:rPr>
            </w:pPr>
            <w:r>
              <w:rPr>
                <w:color w:val="auto"/>
                <w:szCs w:val="21"/>
              </w:rPr>
              <w:t>噪声</w:t>
            </w:r>
          </w:p>
        </w:tc>
        <w:tc>
          <w:tcPr>
            <w:tcW w:w="1037" w:type="dxa"/>
            <w:tcMar>
              <w:top w:w="17" w:type="dxa"/>
              <w:left w:w="17" w:type="dxa"/>
              <w:bottom w:w="17" w:type="dxa"/>
              <w:right w:w="17" w:type="dxa"/>
            </w:tcMar>
            <w:vAlign w:val="center"/>
          </w:tcPr>
          <w:p w:rsidR="00F909E3" w:rsidRDefault="00F909E3">
            <w:pPr>
              <w:jc w:val="center"/>
              <w:rPr>
                <w:szCs w:val="21"/>
              </w:rPr>
            </w:pPr>
            <w:r>
              <w:rPr>
                <w:szCs w:val="21"/>
              </w:rPr>
              <w:t>各种产</w:t>
            </w:r>
          </w:p>
          <w:p w:rsidR="00F909E3" w:rsidRDefault="00F909E3">
            <w:pPr>
              <w:jc w:val="center"/>
              <w:rPr>
                <w:szCs w:val="21"/>
              </w:rPr>
            </w:pPr>
            <w:r>
              <w:rPr>
                <w:szCs w:val="21"/>
              </w:rPr>
              <w:t>噪设备</w:t>
            </w:r>
          </w:p>
        </w:tc>
        <w:tc>
          <w:tcPr>
            <w:tcW w:w="1468" w:type="dxa"/>
            <w:vMerge w:val="restart"/>
            <w:tcMar>
              <w:top w:w="17" w:type="dxa"/>
              <w:left w:w="17" w:type="dxa"/>
              <w:bottom w:w="17" w:type="dxa"/>
              <w:right w:w="17" w:type="dxa"/>
            </w:tcMar>
            <w:vAlign w:val="center"/>
          </w:tcPr>
          <w:p w:rsidR="00F909E3" w:rsidRDefault="00F909E3">
            <w:pPr>
              <w:jc w:val="center"/>
              <w:rPr>
                <w:szCs w:val="21"/>
              </w:rPr>
            </w:pPr>
            <w:proofErr w:type="spellStart"/>
            <w:r>
              <w:rPr>
                <w:szCs w:val="21"/>
              </w:rPr>
              <w:t>Leq</w:t>
            </w:r>
            <w:proofErr w:type="spellEnd"/>
            <w:r>
              <w:rPr>
                <w:szCs w:val="21"/>
              </w:rPr>
              <w:t xml:space="preserve"> dB</w:t>
            </w:r>
            <w:r>
              <w:rPr>
                <w:szCs w:val="21"/>
              </w:rPr>
              <w:t>（</w:t>
            </w:r>
            <w:r>
              <w:rPr>
                <w:szCs w:val="21"/>
              </w:rPr>
              <w:t>A</w:t>
            </w:r>
            <w:r>
              <w:rPr>
                <w:szCs w:val="21"/>
              </w:rPr>
              <w:t>）</w:t>
            </w:r>
          </w:p>
        </w:tc>
        <w:tc>
          <w:tcPr>
            <w:tcW w:w="4102" w:type="dxa"/>
            <w:tcMar>
              <w:top w:w="17" w:type="dxa"/>
              <w:left w:w="17" w:type="dxa"/>
              <w:bottom w:w="17" w:type="dxa"/>
              <w:right w:w="17" w:type="dxa"/>
            </w:tcMar>
            <w:vAlign w:val="center"/>
          </w:tcPr>
          <w:p w:rsidR="00F909E3" w:rsidRDefault="00F909E3">
            <w:pPr>
              <w:pStyle w:val="affff3"/>
              <w:adjustRightInd/>
              <w:snapToGrid/>
              <w:rPr>
                <w:color w:val="auto"/>
                <w:szCs w:val="21"/>
              </w:rPr>
            </w:pPr>
            <w:r>
              <w:rPr>
                <w:color w:val="auto"/>
                <w:szCs w:val="21"/>
              </w:rPr>
              <w:t>对产噪设备采取减振、消声、隔声措施</w:t>
            </w:r>
          </w:p>
        </w:tc>
        <w:tc>
          <w:tcPr>
            <w:tcW w:w="2860" w:type="dxa"/>
            <w:vMerge w:val="restart"/>
            <w:tcMar>
              <w:top w:w="17" w:type="dxa"/>
              <w:left w:w="17" w:type="dxa"/>
              <w:bottom w:w="17" w:type="dxa"/>
              <w:right w:w="17" w:type="dxa"/>
            </w:tcMar>
            <w:vAlign w:val="center"/>
          </w:tcPr>
          <w:p w:rsidR="00F909E3" w:rsidRDefault="00F909E3">
            <w:pPr>
              <w:pStyle w:val="affff3"/>
              <w:adjustRightInd/>
              <w:snapToGrid/>
              <w:rPr>
                <w:color w:val="auto"/>
                <w:szCs w:val="21"/>
              </w:rPr>
            </w:pPr>
            <w:r>
              <w:rPr>
                <w:rFonts w:hint="eastAsia"/>
                <w:color w:val="auto"/>
                <w:szCs w:val="21"/>
              </w:rPr>
              <w:t>厂界噪声满足</w:t>
            </w:r>
            <w:r>
              <w:rPr>
                <w:color w:val="auto"/>
                <w:szCs w:val="21"/>
              </w:rPr>
              <w:t>GB12348-2008</w:t>
            </w:r>
          </w:p>
          <w:p w:rsidR="00F909E3" w:rsidRDefault="00F909E3">
            <w:pPr>
              <w:pStyle w:val="affff3"/>
              <w:adjustRightInd/>
              <w:snapToGrid/>
              <w:rPr>
                <w:color w:val="auto"/>
                <w:szCs w:val="21"/>
              </w:rPr>
            </w:pPr>
            <w:r>
              <w:rPr>
                <w:rFonts w:hint="eastAsia"/>
                <w:color w:val="auto"/>
                <w:szCs w:val="21"/>
              </w:rPr>
              <w:t>2</w:t>
            </w:r>
            <w:r>
              <w:rPr>
                <w:color w:val="auto"/>
                <w:szCs w:val="21"/>
              </w:rPr>
              <w:t>类标准</w:t>
            </w:r>
          </w:p>
        </w:tc>
      </w:tr>
      <w:tr w:rsidR="00F909E3">
        <w:trPr>
          <w:cantSplit/>
          <w:trHeight w:val="50"/>
          <w:jc w:val="center"/>
        </w:trPr>
        <w:tc>
          <w:tcPr>
            <w:tcW w:w="324" w:type="dxa"/>
            <w:vMerge/>
            <w:tcMar>
              <w:top w:w="17" w:type="dxa"/>
              <w:left w:w="17" w:type="dxa"/>
              <w:bottom w:w="17" w:type="dxa"/>
              <w:right w:w="17" w:type="dxa"/>
            </w:tcMar>
            <w:vAlign w:val="center"/>
          </w:tcPr>
          <w:p w:rsidR="00F909E3" w:rsidRDefault="00F909E3">
            <w:pPr>
              <w:pStyle w:val="affff3"/>
              <w:rPr>
                <w:color w:val="auto"/>
                <w:szCs w:val="21"/>
              </w:rPr>
            </w:pPr>
          </w:p>
        </w:tc>
        <w:tc>
          <w:tcPr>
            <w:tcW w:w="1037" w:type="dxa"/>
            <w:tcMar>
              <w:top w:w="17" w:type="dxa"/>
              <w:left w:w="17" w:type="dxa"/>
              <w:bottom w:w="17" w:type="dxa"/>
              <w:right w:w="17" w:type="dxa"/>
            </w:tcMar>
            <w:vAlign w:val="center"/>
          </w:tcPr>
          <w:p w:rsidR="00F909E3" w:rsidRPr="00F909E3" w:rsidRDefault="00F909E3">
            <w:pPr>
              <w:jc w:val="center"/>
              <w:rPr>
                <w:color w:val="FF0000"/>
                <w:szCs w:val="21"/>
              </w:rPr>
            </w:pPr>
            <w:r w:rsidRPr="00F909E3">
              <w:rPr>
                <w:rFonts w:hint="eastAsia"/>
                <w:color w:val="FF0000"/>
                <w:szCs w:val="21"/>
              </w:rPr>
              <w:t>运输车辆</w:t>
            </w:r>
          </w:p>
        </w:tc>
        <w:tc>
          <w:tcPr>
            <w:tcW w:w="1468" w:type="dxa"/>
            <w:vMerge/>
            <w:tcMar>
              <w:top w:w="17" w:type="dxa"/>
              <w:left w:w="17" w:type="dxa"/>
              <w:bottom w:w="17" w:type="dxa"/>
              <w:right w:w="17" w:type="dxa"/>
            </w:tcMar>
            <w:vAlign w:val="center"/>
          </w:tcPr>
          <w:p w:rsidR="00F909E3" w:rsidRPr="00F909E3" w:rsidRDefault="00F909E3">
            <w:pPr>
              <w:jc w:val="center"/>
              <w:rPr>
                <w:color w:val="FF0000"/>
                <w:szCs w:val="21"/>
              </w:rPr>
            </w:pPr>
          </w:p>
        </w:tc>
        <w:tc>
          <w:tcPr>
            <w:tcW w:w="4102" w:type="dxa"/>
            <w:tcMar>
              <w:top w:w="17" w:type="dxa"/>
              <w:left w:w="17" w:type="dxa"/>
              <w:bottom w:w="17" w:type="dxa"/>
              <w:right w:w="17" w:type="dxa"/>
            </w:tcMar>
            <w:vAlign w:val="center"/>
          </w:tcPr>
          <w:p w:rsidR="00F909E3" w:rsidRPr="00F909E3" w:rsidRDefault="00F909E3">
            <w:pPr>
              <w:pStyle w:val="affff3"/>
              <w:adjustRightInd/>
              <w:snapToGrid/>
              <w:rPr>
                <w:color w:val="FF0000"/>
                <w:szCs w:val="21"/>
              </w:rPr>
            </w:pPr>
            <w:r>
              <w:rPr>
                <w:rFonts w:hint="eastAsia"/>
                <w:color w:val="FF0000"/>
                <w:szCs w:val="21"/>
              </w:rPr>
              <w:t>运输车辆限速限载，减少鸣笛等</w:t>
            </w:r>
          </w:p>
        </w:tc>
        <w:tc>
          <w:tcPr>
            <w:tcW w:w="2860" w:type="dxa"/>
            <w:vMerge/>
            <w:tcMar>
              <w:top w:w="17" w:type="dxa"/>
              <w:left w:w="17" w:type="dxa"/>
              <w:bottom w:w="17" w:type="dxa"/>
              <w:right w:w="17" w:type="dxa"/>
            </w:tcMar>
            <w:vAlign w:val="center"/>
          </w:tcPr>
          <w:p w:rsidR="00F909E3" w:rsidRPr="00F909E3" w:rsidRDefault="00F909E3">
            <w:pPr>
              <w:pStyle w:val="affff3"/>
              <w:adjustRightInd/>
              <w:snapToGrid/>
              <w:rPr>
                <w:color w:val="FF0000"/>
                <w:szCs w:val="21"/>
              </w:rPr>
            </w:pPr>
          </w:p>
        </w:tc>
      </w:tr>
    </w:tbl>
    <w:p w:rsidR="00C223F5" w:rsidRDefault="00C223F5">
      <w:pPr>
        <w:rPr>
          <w:color w:val="FF0000"/>
        </w:rPr>
        <w:sectPr w:rsidR="00C223F5">
          <w:pgSz w:w="11907" w:h="16840"/>
          <w:pgMar w:top="1440" w:right="1701" w:bottom="1440" w:left="1701" w:header="851" w:footer="992" w:gutter="0"/>
          <w:cols w:space="425"/>
          <w:docGrid w:linePitch="312"/>
        </w:sectPr>
      </w:pPr>
    </w:p>
    <w:p w:rsidR="00C223F5" w:rsidRDefault="005860D5" w:rsidP="004835BD">
      <w:pPr>
        <w:pStyle w:val="1"/>
        <w:numPr>
          <w:ilvl w:val="0"/>
          <w:numId w:val="0"/>
        </w:numPr>
        <w:spacing w:before="0" w:after="0" w:line="360" w:lineRule="auto"/>
      </w:pPr>
      <w:bookmarkStart w:id="147" w:name="_Toc533604703"/>
      <w:bookmarkStart w:id="148" w:name="_Toc533604283"/>
      <w:bookmarkStart w:id="149" w:name="_Toc16785248"/>
      <w:r>
        <w:rPr>
          <w:rFonts w:hint="eastAsia"/>
        </w:rPr>
        <w:lastRenderedPageBreak/>
        <w:t>2</w:t>
      </w:r>
      <w:r>
        <w:rPr>
          <w:rFonts w:hint="eastAsia"/>
        </w:rPr>
        <w:t>、</w:t>
      </w:r>
      <w:r>
        <w:t>工程概况</w:t>
      </w:r>
      <w:r>
        <w:rPr>
          <w:rFonts w:hint="eastAsia"/>
        </w:rPr>
        <w:t>及工程分析</w:t>
      </w:r>
      <w:bookmarkEnd w:id="147"/>
      <w:bookmarkEnd w:id="148"/>
      <w:bookmarkEnd w:id="149"/>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150" w:name="_Toc533604284"/>
      <w:bookmarkStart w:id="151" w:name="_Toc533604704"/>
      <w:bookmarkStart w:id="152" w:name="_Toc16785249"/>
      <w:r>
        <w:rPr>
          <w:rFonts w:ascii="Times New Roman" w:eastAsia="宋体" w:hAnsi="Times New Roman" w:hint="eastAsia"/>
          <w:b/>
          <w:bCs w:val="0"/>
          <w:szCs w:val="30"/>
        </w:rPr>
        <w:t>2</w:t>
      </w:r>
      <w:r>
        <w:rPr>
          <w:rFonts w:ascii="Times New Roman" w:eastAsia="宋体" w:hAnsi="Times New Roman"/>
          <w:b/>
          <w:bCs w:val="0"/>
          <w:szCs w:val="30"/>
        </w:rPr>
        <w:t>.1</w:t>
      </w:r>
      <w:r>
        <w:rPr>
          <w:rFonts w:ascii="Times New Roman" w:eastAsia="宋体" w:hAnsi="Times New Roman" w:hint="eastAsia"/>
          <w:b/>
          <w:bCs w:val="0"/>
          <w:szCs w:val="30"/>
        </w:rPr>
        <w:t>工程概况</w:t>
      </w:r>
      <w:bookmarkEnd w:id="150"/>
      <w:bookmarkEnd w:id="151"/>
      <w:bookmarkEnd w:id="152"/>
    </w:p>
    <w:p w:rsidR="00C223F5" w:rsidRDefault="005860D5" w:rsidP="004835BD">
      <w:pPr>
        <w:pStyle w:val="3"/>
        <w:numPr>
          <w:ilvl w:val="0"/>
          <w:numId w:val="0"/>
        </w:numPr>
        <w:spacing w:before="0" w:after="0" w:line="360" w:lineRule="auto"/>
        <w:ind w:left="170"/>
        <w:rPr>
          <w:rFonts w:eastAsia="宋体"/>
          <w:b/>
          <w:bCs w:val="0"/>
          <w:sz w:val="28"/>
          <w:szCs w:val="28"/>
        </w:rPr>
      </w:pPr>
      <w:bookmarkStart w:id="153" w:name="_Toc533604705"/>
      <w:bookmarkStart w:id="154" w:name="_Toc533604285"/>
      <w:bookmarkStart w:id="155" w:name="_Toc16785250"/>
      <w:r>
        <w:rPr>
          <w:rFonts w:eastAsia="宋体" w:hint="eastAsia"/>
          <w:b/>
          <w:bCs w:val="0"/>
          <w:sz w:val="28"/>
          <w:szCs w:val="28"/>
        </w:rPr>
        <w:t>2</w:t>
      </w:r>
      <w:r>
        <w:rPr>
          <w:rFonts w:eastAsia="宋体"/>
          <w:b/>
          <w:bCs w:val="0"/>
          <w:sz w:val="28"/>
          <w:szCs w:val="28"/>
        </w:rPr>
        <w:t>.</w:t>
      </w:r>
      <w:r>
        <w:rPr>
          <w:rFonts w:eastAsia="宋体" w:hint="eastAsia"/>
          <w:b/>
          <w:bCs w:val="0"/>
          <w:sz w:val="28"/>
          <w:szCs w:val="28"/>
        </w:rPr>
        <w:t>1.1</w:t>
      </w:r>
      <w:r>
        <w:rPr>
          <w:rFonts w:eastAsia="宋体" w:hint="eastAsia"/>
          <w:b/>
          <w:bCs w:val="0"/>
          <w:sz w:val="28"/>
          <w:szCs w:val="28"/>
        </w:rPr>
        <w:t>整合前工程概况</w:t>
      </w:r>
      <w:bookmarkEnd w:id="153"/>
      <w:bookmarkEnd w:id="154"/>
      <w:bookmarkEnd w:id="155"/>
    </w:p>
    <w:p w:rsidR="00C223F5" w:rsidRPr="00925B84" w:rsidRDefault="005860D5">
      <w:pPr>
        <w:spacing w:line="360" w:lineRule="auto"/>
        <w:ind w:firstLineChars="200" w:firstLine="480"/>
        <w:rPr>
          <w:sz w:val="24"/>
          <w:szCs w:val="22"/>
        </w:rPr>
      </w:pPr>
      <w:r>
        <w:rPr>
          <w:rFonts w:hAnsi="宋体" w:hint="eastAsia"/>
          <w:sz w:val="24"/>
        </w:rPr>
        <w:t>横山县</w:t>
      </w:r>
      <w:r>
        <w:rPr>
          <w:rFonts w:hAnsi="宋体"/>
          <w:sz w:val="24"/>
        </w:rPr>
        <w:t>天云煤矿</w:t>
      </w:r>
      <w:r>
        <w:rPr>
          <w:rFonts w:hAnsi="宋体" w:hint="eastAsia"/>
          <w:sz w:val="24"/>
        </w:rPr>
        <w:t>有限公司</w:t>
      </w:r>
      <w:r>
        <w:rPr>
          <w:rFonts w:hint="eastAsia"/>
          <w:sz w:val="24"/>
          <w:szCs w:val="22"/>
        </w:rPr>
        <w:t>天云煤矿整合区由原天云煤矿、沈石畔勘查区以及部分石湾煤矿地质普查区三部分整合而成。其中，原天云煤矿位于横山县魏家楼镇施阳台村，始建于</w:t>
      </w:r>
      <w:r>
        <w:rPr>
          <w:rFonts w:hint="eastAsia"/>
          <w:sz w:val="24"/>
          <w:szCs w:val="22"/>
        </w:rPr>
        <w:t>1996</w:t>
      </w:r>
      <w:r>
        <w:rPr>
          <w:rFonts w:hint="eastAsia"/>
          <w:sz w:val="24"/>
          <w:szCs w:val="22"/>
        </w:rPr>
        <w:t>年，</w:t>
      </w:r>
      <w:r>
        <w:rPr>
          <w:rFonts w:hint="eastAsia"/>
          <w:sz w:val="24"/>
          <w:szCs w:val="22"/>
        </w:rPr>
        <w:t>1998</w:t>
      </w:r>
      <w:r>
        <w:rPr>
          <w:rFonts w:hint="eastAsia"/>
          <w:sz w:val="24"/>
          <w:szCs w:val="22"/>
        </w:rPr>
        <w:t>年投产，</w:t>
      </w:r>
      <w:r>
        <w:rPr>
          <w:rFonts w:hAnsi="宋体"/>
          <w:sz w:val="24"/>
        </w:rPr>
        <w:t>井田面积</w:t>
      </w:r>
      <w:r>
        <w:rPr>
          <w:rFonts w:hint="eastAsia"/>
          <w:sz w:val="24"/>
        </w:rPr>
        <w:t>5.95</w:t>
      </w:r>
      <w:r>
        <w:rPr>
          <w:sz w:val="24"/>
        </w:rPr>
        <w:t>km</w:t>
      </w:r>
      <w:r>
        <w:rPr>
          <w:sz w:val="24"/>
          <w:vertAlign w:val="superscript"/>
        </w:rPr>
        <w:t>2</w:t>
      </w:r>
      <w:r>
        <w:rPr>
          <w:rFonts w:hAnsi="宋体"/>
          <w:sz w:val="24"/>
        </w:rPr>
        <w:t>，</w:t>
      </w:r>
      <w:r>
        <w:rPr>
          <w:sz w:val="24"/>
        </w:rPr>
        <w:t>开采</w:t>
      </w:r>
      <w:r>
        <w:rPr>
          <w:rFonts w:hAnsi="宋体"/>
          <w:sz w:val="24"/>
        </w:rPr>
        <w:t>煤层为</w:t>
      </w:r>
      <w:r>
        <w:rPr>
          <w:rFonts w:hint="eastAsia"/>
          <w:sz w:val="24"/>
        </w:rPr>
        <w:t>4</w:t>
      </w:r>
      <w:r>
        <w:rPr>
          <w:sz w:val="24"/>
          <w:vertAlign w:val="superscript"/>
        </w:rPr>
        <w:t>-1</w:t>
      </w:r>
      <w:r>
        <w:rPr>
          <w:sz w:val="24"/>
        </w:rPr>
        <w:t>号煤，</w:t>
      </w:r>
      <w:r>
        <w:rPr>
          <w:rFonts w:hint="eastAsia"/>
          <w:sz w:val="24"/>
          <w:szCs w:val="22"/>
        </w:rPr>
        <w:t>属于原</w:t>
      </w:r>
      <w:r w:rsidRPr="00925B84">
        <w:rPr>
          <w:rFonts w:hint="eastAsia"/>
          <w:sz w:val="24"/>
          <w:szCs w:val="22"/>
        </w:rPr>
        <w:t>单井保留矿井。</w:t>
      </w:r>
      <w:r w:rsidRPr="00925B84">
        <w:rPr>
          <w:sz w:val="24"/>
          <w:szCs w:val="22"/>
        </w:rPr>
        <w:t>201</w:t>
      </w:r>
      <w:r w:rsidRPr="00925B84">
        <w:rPr>
          <w:rFonts w:hint="eastAsia"/>
          <w:sz w:val="24"/>
          <w:szCs w:val="22"/>
        </w:rPr>
        <w:t>1</w:t>
      </w:r>
      <w:r w:rsidRPr="00925B84">
        <w:rPr>
          <w:sz w:val="24"/>
          <w:szCs w:val="22"/>
        </w:rPr>
        <w:t>年</w:t>
      </w:r>
      <w:r w:rsidRPr="00925B84">
        <w:rPr>
          <w:sz w:val="24"/>
          <w:szCs w:val="22"/>
        </w:rPr>
        <w:t>1</w:t>
      </w:r>
      <w:r w:rsidRPr="00925B84">
        <w:rPr>
          <w:sz w:val="24"/>
          <w:szCs w:val="22"/>
        </w:rPr>
        <w:t>月</w:t>
      </w:r>
      <w:r w:rsidRPr="00925B84">
        <w:rPr>
          <w:rFonts w:hint="eastAsia"/>
          <w:sz w:val="24"/>
          <w:szCs w:val="22"/>
        </w:rPr>
        <w:t>，西安地质矿产研究所编制的《横山县天云煤矿有限公司煤炭资源整合项目（</w:t>
      </w:r>
      <w:r w:rsidRPr="00925B84">
        <w:rPr>
          <w:rFonts w:hint="eastAsia"/>
          <w:sz w:val="24"/>
          <w:szCs w:val="22"/>
        </w:rPr>
        <w:t>0.42Mt/a</w:t>
      </w:r>
      <w:r w:rsidRPr="00925B84">
        <w:rPr>
          <w:rFonts w:hint="eastAsia"/>
          <w:sz w:val="24"/>
          <w:szCs w:val="22"/>
        </w:rPr>
        <w:t>）</w:t>
      </w:r>
      <w:r w:rsidRPr="00925B84">
        <w:rPr>
          <w:sz w:val="24"/>
          <w:szCs w:val="22"/>
        </w:rPr>
        <w:t>环境影响报告书</w:t>
      </w:r>
      <w:r w:rsidRPr="00925B84">
        <w:rPr>
          <w:rFonts w:hint="eastAsia"/>
          <w:sz w:val="24"/>
          <w:szCs w:val="22"/>
        </w:rPr>
        <w:t>》获得榆林市环境保护局批复（榆政环发</w:t>
      </w:r>
      <w:r w:rsidRPr="00925B84">
        <w:rPr>
          <w:rFonts w:hint="eastAsia"/>
          <w:sz w:val="24"/>
          <w:szCs w:val="22"/>
        </w:rPr>
        <w:t>[</w:t>
      </w:r>
      <w:r w:rsidRPr="00925B84">
        <w:rPr>
          <w:sz w:val="24"/>
          <w:szCs w:val="22"/>
        </w:rPr>
        <w:t>201</w:t>
      </w:r>
      <w:r w:rsidRPr="00925B84">
        <w:rPr>
          <w:rFonts w:hint="eastAsia"/>
          <w:sz w:val="24"/>
          <w:szCs w:val="22"/>
        </w:rPr>
        <w:t>1]26</w:t>
      </w:r>
      <w:r w:rsidRPr="00925B84">
        <w:rPr>
          <w:sz w:val="24"/>
          <w:szCs w:val="22"/>
        </w:rPr>
        <w:t>号</w:t>
      </w:r>
      <w:r w:rsidRPr="00925B84">
        <w:rPr>
          <w:rFonts w:hint="eastAsia"/>
          <w:sz w:val="24"/>
          <w:szCs w:val="22"/>
        </w:rPr>
        <w:t>）；</w:t>
      </w:r>
      <w:r w:rsidRPr="00925B84">
        <w:rPr>
          <w:sz w:val="24"/>
          <w:szCs w:val="22"/>
        </w:rPr>
        <w:t>陕西省煤炭生产安全监督</w:t>
      </w:r>
      <w:r w:rsidRPr="00925B84">
        <w:rPr>
          <w:rFonts w:hint="eastAsia"/>
          <w:sz w:val="24"/>
          <w:szCs w:val="22"/>
        </w:rPr>
        <w:t>管理</w:t>
      </w:r>
      <w:r w:rsidRPr="00925B84">
        <w:rPr>
          <w:sz w:val="24"/>
          <w:szCs w:val="22"/>
        </w:rPr>
        <w:t>局</w:t>
      </w:r>
      <w:r w:rsidRPr="00925B84">
        <w:rPr>
          <w:rFonts w:hint="eastAsia"/>
          <w:sz w:val="24"/>
          <w:szCs w:val="22"/>
        </w:rPr>
        <w:t>以“陕煤局发</w:t>
      </w:r>
      <w:r w:rsidRPr="00925B84">
        <w:rPr>
          <w:rFonts w:hint="eastAsia"/>
          <w:sz w:val="24"/>
          <w:szCs w:val="22"/>
        </w:rPr>
        <w:t>[2013]101</w:t>
      </w:r>
      <w:r w:rsidRPr="00925B84">
        <w:rPr>
          <w:rFonts w:hint="eastAsia"/>
          <w:sz w:val="24"/>
          <w:szCs w:val="22"/>
        </w:rPr>
        <w:t>号”核定该矿井生产系统可达到</w:t>
      </w:r>
      <w:r w:rsidRPr="00925B84">
        <w:rPr>
          <w:rFonts w:hint="eastAsia"/>
          <w:sz w:val="24"/>
          <w:szCs w:val="22"/>
        </w:rPr>
        <w:t>0.60Mt/a</w:t>
      </w:r>
      <w:r w:rsidRPr="00925B84">
        <w:rPr>
          <w:rFonts w:hint="eastAsia"/>
          <w:sz w:val="24"/>
          <w:szCs w:val="22"/>
        </w:rPr>
        <w:t>生产能力；</w:t>
      </w:r>
      <w:r w:rsidRPr="00925B84">
        <w:rPr>
          <w:rFonts w:hint="eastAsia"/>
          <w:sz w:val="24"/>
          <w:szCs w:val="22"/>
        </w:rPr>
        <w:t>2017</w:t>
      </w:r>
      <w:r w:rsidRPr="00925B84">
        <w:rPr>
          <w:rFonts w:hint="eastAsia"/>
          <w:sz w:val="24"/>
          <w:szCs w:val="22"/>
        </w:rPr>
        <w:t>年</w:t>
      </w:r>
      <w:r w:rsidRPr="00925B84">
        <w:rPr>
          <w:rFonts w:hint="eastAsia"/>
          <w:sz w:val="24"/>
          <w:szCs w:val="22"/>
        </w:rPr>
        <w:t>12</w:t>
      </w:r>
      <w:r w:rsidRPr="00925B84">
        <w:rPr>
          <w:rFonts w:hint="eastAsia"/>
          <w:sz w:val="24"/>
          <w:szCs w:val="22"/>
        </w:rPr>
        <w:t>月，原天云煤矿资源整合项目（</w:t>
      </w:r>
      <w:r w:rsidRPr="00925B84">
        <w:rPr>
          <w:rFonts w:hint="eastAsia"/>
          <w:sz w:val="24"/>
          <w:szCs w:val="22"/>
        </w:rPr>
        <w:t>0.42Mt/a</w:t>
      </w:r>
      <w:r w:rsidRPr="00925B84">
        <w:rPr>
          <w:rFonts w:hint="eastAsia"/>
          <w:sz w:val="24"/>
          <w:szCs w:val="22"/>
        </w:rPr>
        <w:t>）竣工环境保护验收予以通过（榆政环批复</w:t>
      </w:r>
      <w:r w:rsidRPr="00925B84">
        <w:rPr>
          <w:rFonts w:hint="eastAsia"/>
          <w:sz w:val="24"/>
          <w:szCs w:val="22"/>
        </w:rPr>
        <w:t>[2017]266</w:t>
      </w:r>
      <w:r w:rsidRPr="00925B84">
        <w:rPr>
          <w:rFonts w:hint="eastAsia"/>
          <w:sz w:val="24"/>
          <w:szCs w:val="22"/>
        </w:rPr>
        <w:t>号）。</w:t>
      </w:r>
    </w:p>
    <w:p w:rsidR="00C223F5" w:rsidRPr="00925B84" w:rsidRDefault="005860D5">
      <w:pPr>
        <w:spacing w:line="360" w:lineRule="auto"/>
        <w:ind w:firstLineChars="200" w:firstLine="480"/>
        <w:rPr>
          <w:sz w:val="24"/>
        </w:rPr>
      </w:pPr>
      <w:r w:rsidRPr="00925B84">
        <w:rPr>
          <w:rFonts w:hint="eastAsia"/>
          <w:sz w:val="24"/>
          <w:szCs w:val="22"/>
        </w:rPr>
        <w:t>原天云煤矿在运行过程中由于矿井涌水量较原设计阶段有所增大，建设单位委托原环评单位编制了《横山县天云煤矿有限公司煤炭资源整合项目变更环境影响报告》，并委托榆林市泰恒水利水电工程有限公司编制完成《横山县天云煤矿有限公司煤矿资源整合项目入河排污口设置论证报告》；</w:t>
      </w:r>
      <w:r w:rsidRPr="00925B84">
        <w:rPr>
          <w:rFonts w:hint="eastAsia"/>
          <w:sz w:val="24"/>
          <w:szCs w:val="22"/>
        </w:rPr>
        <w:t>2018</w:t>
      </w:r>
      <w:r w:rsidRPr="00925B84">
        <w:rPr>
          <w:rFonts w:hint="eastAsia"/>
          <w:sz w:val="24"/>
          <w:szCs w:val="22"/>
        </w:rPr>
        <w:t>年</w:t>
      </w:r>
      <w:r w:rsidRPr="00925B84">
        <w:rPr>
          <w:rFonts w:hint="eastAsia"/>
          <w:sz w:val="24"/>
          <w:szCs w:val="22"/>
        </w:rPr>
        <w:t>12</w:t>
      </w:r>
      <w:r w:rsidRPr="00925B84">
        <w:rPr>
          <w:rFonts w:hint="eastAsia"/>
          <w:sz w:val="24"/>
          <w:szCs w:val="22"/>
        </w:rPr>
        <w:t>月，榆林市横山区水务局以“</w:t>
      </w:r>
      <w:r w:rsidRPr="00925B84">
        <w:rPr>
          <w:sz w:val="24"/>
        </w:rPr>
        <w:t>横政水函</w:t>
      </w:r>
      <w:r w:rsidRPr="00925B84">
        <w:rPr>
          <w:sz w:val="24"/>
        </w:rPr>
        <w:t>[2018]104</w:t>
      </w:r>
      <w:r w:rsidRPr="00925B84">
        <w:rPr>
          <w:sz w:val="24"/>
        </w:rPr>
        <w:t>号</w:t>
      </w:r>
      <w:r w:rsidRPr="00925B84">
        <w:rPr>
          <w:rFonts w:hint="eastAsia"/>
          <w:sz w:val="24"/>
        </w:rPr>
        <w:t>”批复了原天云煤矿入河排污口设置申请，同意原天云煤矿在蚂蚁河左岸（</w:t>
      </w:r>
      <w:r w:rsidRPr="00925B84">
        <w:rPr>
          <w:rFonts w:hint="eastAsia"/>
          <w:spacing w:val="4"/>
          <w:sz w:val="24"/>
        </w:rPr>
        <w:t>经度</w:t>
      </w:r>
      <w:r w:rsidRPr="00925B84">
        <w:rPr>
          <w:rFonts w:hint="eastAsia"/>
          <w:sz w:val="24"/>
        </w:rPr>
        <w:t>109</w:t>
      </w:r>
      <w:r w:rsidRPr="00925B84">
        <w:rPr>
          <w:sz w:val="24"/>
        </w:rPr>
        <w:t>°</w:t>
      </w:r>
      <w:r w:rsidRPr="00925B84">
        <w:rPr>
          <w:rFonts w:hint="eastAsia"/>
          <w:sz w:val="24"/>
        </w:rPr>
        <w:t>27</w:t>
      </w:r>
      <w:r w:rsidRPr="00925B84">
        <w:rPr>
          <w:sz w:val="24"/>
        </w:rPr>
        <w:t>′</w:t>
      </w:r>
      <w:r w:rsidRPr="00925B84">
        <w:rPr>
          <w:rFonts w:hint="eastAsia"/>
          <w:sz w:val="24"/>
        </w:rPr>
        <w:t>34</w:t>
      </w:r>
      <w:r w:rsidRPr="00925B84">
        <w:rPr>
          <w:sz w:val="24"/>
        </w:rPr>
        <w:t>″</w:t>
      </w:r>
      <w:r w:rsidRPr="00925B84">
        <w:rPr>
          <w:rFonts w:hint="eastAsia"/>
          <w:spacing w:val="4"/>
          <w:sz w:val="24"/>
        </w:rPr>
        <w:t>，纬度</w:t>
      </w:r>
      <w:r w:rsidRPr="00925B84">
        <w:rPr>
          <w:sz w:val="24"/>
        </w:rPr>
        <w:t>37°3</w:t>
      </w:r>
      <w:r w:rsidRPr="00925B84">
        <w:rPr>
          <w:rFonts w:hint="eastAsia"/>
          <w:sz w:val="24"/>
        </w:rPr>
        <w:t>3</w:t>
      </w:r>
      <w:r w:rsidRPr="00925B84">
        <w:rPr>
          <w:sz w:val="24"/>
        </w:rPr>
        <w:t>′</w:t>
      </w:r>
      <w:r w:rsidRPr="00925B84">
        <w:rPr>
          <w:rFonts w:hint="eastAsia"/>
          <w:sz w:val="24"/>
        </w:rPr>
        <w:t>38</w:t>
      </w:r>
      <w:r w:rsidRPr="00925B84">
        <w:rPr>
          <w:sz w:val="24"/>
        </w:rPr>
        <w:t>″</w:t>
      </w:r>
      <w:r w:rsidRPr="00925B84">
        <w:rPr>
          <w:rFonts w:hint="eastAsia"/>
          <w:sz w:val="24"/>
        </w:rPr>
        <w:t>）设置排污口，连续排放处理后矿井水，入河量不超过</w:t>
      </w:r>
      <w:r w:rsidRPr="00925B84">
        <w:rPr>
          <w:rFonts w:hint="eastAsia"/>
          <w:sz w:val="24"/>
        </w:rPr>
        <w:t>23.1</w:t>
      </w:r>
      <w:r w:rsidRPr="00925B84">
        <w:rPr>
          <w:rFonts w:hint="eastAsia"/>
          <w:sz w:val="24"/>
        </w:rPr>
        <w:t>万</w:t>
      </w:r>
      <w:r w:rsidRPr="00925B84">
        <w:rPr>
          <w:rFonts w:hint="eastAsia"/>
          <w:sz w:val="24"/>
        </w:rPr>
        <w:t>m</w:t>
      </w:r>
      <w:r w:rsidRPr="00925B84">
        <w:rPr>
          <w:rFonts w:hint="eastAsia"/>
          <w:sz w:val="24"/>
          <w:vertAlign w:val="superscript"/>
        </w:rPr>
        <w:t>3</w:t>
      </w:r>
      <w:r w:rsidRPr="00925B84">
        <w:rPr>
          <w:rFonts w:hint="eastAsia"/>
          <w:sz w:val="24"/>
        </w:rPr>
        <w:t>/a</w:t>
      </w:r>
      <w:r w:rsidRPr="00925B84">
        <w:rPr>
          <w:rFonts w:hint="eastAsia"/>
          <w:sz w:val="24"/>
        </w:rPr>
        <w:t>，排放污染物浓度满足《煤炭工业污染物排放标准》（</w:t>
      </w:r>
      <w:r w:rsidRPr="00925B84">
        <w:rPr>
          <w:rFonts w:hint="eastAsia"/>
          <w:sz w:val="24"/>
        </w:rPr>
        <w:t>GB20426-2006</w:t>
      </w:r>
      <w:r w:rsidRPr="00925B84">
        <w:rPr>
          <w:rFonts w:hint="eastAsia"/>
          <w:sz w:val="24"/>
        </w:rPr>
        <w:t>）及《黄河流域（陕西段）污水综合排放标准》（</w:t>
      </w:r>
      <w:r w:rsidRPr="00925B84">
        <w:rPr>
          <w:rFonts w:hint="eastAsia"/>
          <w:sz w:val="24"/>
        </w:rPr>
        <w:t>DB61/224-2011</w:t>
      </w:r>
      <w:r w:rsidRPr="00925B84">
        <w:rPr>
          <w:rFonts w:hint="eastAsia"/>
          <w:sz w:val="24"/>
        </w:rPr>
        <w:t>）相关要求。</w:t>
      </w:r>
    </w:p>
    <w:p w:rsidR="00C223F5" w:rsidRPr="00500925" w:rsidRDefault="005860D5">
      <w:pPr>
        <w:spacing w:line="360" w:lineRule="auto"/>
        <w:ind w:firstLineChars="200" w:firstLine="480"/>
        <w:rPr>
          <w:color w:val="FF0000"/>
          <w:sz w:val="24"/>
          <w:szCs w:val="22"/>
        </w:rPr>
      </w:pPr>
      <w:r w:rsidRPr="00925B84">
        <w:rPr>
          <w:rFonts w:hint="eastAsia"/>
          <w:sz w:val="24"/>
          <w:szCs w:val="22"/>
        </w:rPr>
        <w:t>原天云煤矿采用一对立井开拓，单水平开采，长壁式普采采煤</w:t>
      </w:r>
      <w:r w:rsidRPr="00500925">
        <w:rPr>
          <w:sz w:val="24"/>
        </w:rPr>
        <w:t>法，全部垮落法管理顶板；井下主运输采用胶带输送机，辅助运输采用轨道运输；矿井正常涌水量</w:t>
      </w:r>
      <w:r w:rsidRPr="00500925">
        <w:rPr>
          <w:sz w:val="24"/>
        </w:rPr>
        <w:t>1078m</w:t>
      </w:r>
      <w:r w:rsidRPr="00500925">
        <w:rPr>
          <w:sz w:val="24"/>
          <w:vertAlign w:val="superscript"/>
        </w:rPr>
        <w:t>3</w:t>
      </w:r>
      <w:r w:rsidRPr="00500925">
        <w:rPr>
          <w:sz w:val="24"/>
        </w:rPr>
        <w:t>/d</w:t>
      </w:r>
      <w:r w:rsidRPr="00500925">
        <w:rPr>
          <w:sz w:val="24"/>
        </w:rPr>
        <w:t>，最大涌水量</w:t>
      </w:r>
      <w:r w:rsidRPr="00500925">
        <w:rPr>
          <w:sz w:val="24"/>
        </w:rPr>
        <w:t>1344m</w:t>
      </w:r>
      <w:r w:rsidRPr="00500925">
        <w:rPr>
          <w:sz w:val="24"/>
          <w:vertAlign w:val="superscript"/>
        </w:rPr>
        <w:t>3</w:t>
      </w:r>
      <w:r w:rsidRPr="00500925">
        <w:rPr>
          <w:sz w:val="24"/>
        </w:rPr>
        <w:t>/d</w:t>
      </w:r>
      <w:r w:rsidRPr="00500925">
        <w:rPr>
          <w:sz w:val="24"/>
        </w:rPr>
        <w:t>。</w:t>
      </w:r>
      <w:r w:rsidRPr="00500925">
        <w:rPr>
          <w:color w:val="FF0000"/>
          <w:sz w:val="24"/>
        </w:rPr>
        <w:t>矿井工业场地位于蚂蚁河北岸的施阳台村</w:t>
      </w:r>
      <w:r w:rsidR="00500925" w:rsidRPr="00500925">
        <w:rPr>
          <w:color w:val="FF0000"/>
          <w:sz w:val="24"/>
        </w:rPr>
        <w:t>（占地</w:t>
      </w:r>
      <w:r w:rsidR="00500925" w:rsidRPr="00500925">
        <w:rPr>
          <w:color w:val="FF0000"/>
          <w:sz w:val="24"/>
        </w:rPr>
        <w:t>2.88hm</w:t>
      </w:r>
      <w:r w:rsidR="00500925" w:rsidRPr="00500925">
        <w:rPr>
          <w:color w:val="FF0000"/>
          <w:sz w:val="24"/>
          <w:vertAlign w:val="superscript"/>
        </w:rPr>
        <w:t>2</w:t>
      </w:r>
      <w:r w:rsidR="00500925" w:rsidRPr="00500925">
        <w:rPr>
          <w:color w:val="FF0000"/>
          <w:sz w:val="24"/>
        </w:rPr>
        <w:t>）</w:t>
      </w:r>
      <w:r w:rsidR="00500925">
        <w:rPr>
          <w:color w:val="FF0000"/>
          <w:sz w:val="24"/>
        </w:rPr>
        <w:t>，排矸场位</w:t>
      </w:r>
      <w:r w:rsidR="00500925" w:rsidRPr="00500925">
        <w:rPr>
          <w:color w:val="FF0000"/>
          <w:sz w:val="24"/>
        </w:rPr>
        <w:t>于工业场地东侧</w:t>
      </w:r>
      <w:r w:rsidRPr="00500925">
        <w:rPr>
          <w:color w:val="FF0000"/>
          <w:sz w:val="24"/>
        </w:rPr>
        <w:t>东庄沟</w:t>
      </w:r>
      <w:r w:rsidR="00500925" w:rsidRPr="00500925">
        <w:rPr>
          <w:rFonts w:hint="eastAsia"/>
          <w:color w:val="FF0000"/>
          <w:sz w:val="24"/>
          <w:szCs w:val="22"/>
        </w:rPr>
        <w:t>的支沟核树圪垯</w:t>
      </w:r>
      <w:r w:rsidR="00500925" w:rsidRPr="00500925">
        <w:rPr>
          <w:color w:val="FF0000"/>
          <w:sz w:val="24"/>
        </w:rPr>
        <w:t>（占地</w:t>
      </w:r>
      <w:r w:rsidR="00500925" w:rsidRPr="00500925">
        <w:rPr>
          <w:color w:val="FF0000"/>
          <w:sz w:val="24"/>
        </w:rPr>
        <w:t>0.4hm</w:t>
      </w:r>
      <w:r w:rsidR="00500925" w:rsidRPr="00500925">
        <w:rPr>
          <w:color w:val="FF0000"/>
          <w:sz w:val="24"/>
          <w:vertAlign w:val="superscript"/>
        </w:rPr>
        <w:t>2</w:t>
      </w:r>
      <w:r w:rsidR="00500925" w:rsidRPr="00500925">
        <w:rPr>
          <w:color w:val="FF0000"/>
          <w:sz w:val="24"/>
        </w:rPr>
        <w:t>）</w:t>
      </w:r>
      <w:r w:rsidRPr="00500925">
        <w:rPr>
          <w:color w:val="FF0000"/>
          <w:sz w:val="24"/>
        </w:rPr>
        <w:t>，</w:t>
      </w:r>
      <w:r w:rsidRPr="00500925">
        <w:rPr>
          <w:rFonts w:hint="eastAsia"/>
          <w:color w:val="FF0000"/>
          <w:sz w:val="24"/>
          <w:szCs w:val="22"/>
        </w:rPr>
        <w:t>均处在井田的中东部。</w:t>
      </w:r>
      <w:r w:rsidR="00500925" w:rsidRPr="00500925">
        <w:rPr>
          <w:rFonts w:hint="eastAsia"/>
          <w:color w:val="FF0000"/>
          <w:sz w:val="24"/>
          <w:szCs w:val="22"/>
        </w:rPr>
        <w:t>原天云煤矿排矸场建有拦渣坝及截排水设施，目前已不再使用，完成了覆土并恢复有植被。</w:t>
      </w:r>
    </w:p>
    <w:p w:rsidR="00C223F5" w:rsidRPr="00925B84" w:rsidRDefault="005860D5">
      <w:pPr>
        <w:spacing w:line="360" w:lineRule="auto"/>
        <w:ind w:firstLineChars="200" w:firstLine="480"/>
        <w:rPr>
          <w:sz w:val="24"/>
        </w:rPr>
      </w:pPr>
      <w:r w:rsidRPr="00925B84">
        <w:rPr>
          <w:rFonts w:hint="eastAsia"/>
          <w:sz w:val="24"/>
        </w:rPr>
        <w:t>工业场地内主要布置有</w:t>
      </w:r>
      <w:r w:rsidRPr="00925B84">
        <w:rPr>
          <w:sz w:val="24"/>
        </w:rPr>
        <w:t>主</w:t>
      </w:r>
      <w:r w:rsidRPr="00925B84">
        <w:rPr>
          <w:rFonts w:hint="eastAsia"/>
          <w:sz w:val="24"/>
        </w:rPr>
        <w:t>、</w:t>
      </w:r>
      <w:r w:rsidRPr="00925B84">
        <w:rPr>
          <w:sz w:val="24"/>
        </w:rPr>
        <w:t>副井提升机房、机修车间、材料库、油脂库、坑木加工房、空气加热室</w:t>
      </w:r>
      <w:r w:rsidRPr="00925B84">
        <w:rPr>
          <w:rFonts w:hint="eastAsia"/>
          <w:sz w:val="24"/>
        </w:rPr>
        <w:t>、水处理站、锅炉房、宿舍办公等；</w:t>
      </w:r>
      <w:r w:rsidRPr="00925B84">
        <w:rPr>
          <w:rFonts w:hint="eastAsia"/>
          <w:sz w:val="24"/>
          <w:szCs w:val="22"/>
        </w:rPr>
        <w:t>原煤经</w:t>
      </w:r>
      <w:r w:rsidRPr="00925B84">
        <w:rPr>
          <w:sz w:val="24"/>
        </w:rPr>
        <w:t>分级筛自动落</w:t>
      </w:r>
      <w:r>
        <w:rPr>
          <w:sz w:val="24"/>
        </w:rPr>
        <w:lastRenderedPageBreak/>
        <w:t>煤分级</w:t>
      </w:r>
      <w:r>
        <w:rPr>
          <w:rFonts w:hint="eastAsia"/>
          <w:sz w:val="24"/>
        </w:rPr>
        <w:t>后，储存于加</w:t>
      </w:r>
      <w:r>
        <w:rPr>
          <w:sz w:val="24"/>
        </w:rPr>
        <w:t>盖煤棚内，采用</w:t>
      </w:r>
      <w:r>
        <w:rPr>
          <w:color w:val="000000"/>
          <w:sz w:val="24"/>
        </w:rPr>
        <w:t>雾化喷淋及</w:t>
      </w:r>
      <w:r>
        <w:rPr>
          <w:sz w:val="24"/>
        </w:rPr>
        <w:t>洒水车降尘，场地周边建防风抑尘网；</w:t>
      </w:r>
      <w:r>
        <w:rPr>
          <w:color w:val="000000"/>
          <w:sz w:val="24"/>
        </w:rPr>
        <w:t>矿井</w:t>
      </w:r>
      <w:r>
        <w:rPr>
          <w:rFonts w:hint="eastAsia"/>
          <w:color w:val="000000"/>
          <w:sz w:val="24"/>
        </w:rPr>
        <w:t>井筒防冻的</w:t>
      </w:r>
      <w:r>
        <w:rPr>
          <w:color w:val="000000"/>
          <w:sz w:val="24"/>
        </w:rPr>
        <w:t>RFL-200</w:t>
      </w:r>
      <w:r>
        <w:rPr>
          <w:color w:val="000000"/>
          <w:sz w:val="24"/>
        </w:rPr>
        <w:t>矿用型热风炉采用多管陶瓷除尘、玻璃钢脱硫塔处理烟气，</w:t>
      </w:r>
      <w:r>
        <w:rPr>
          <w:color w:val="000000"/>
          <w:sz w:val="24"/>
        </w:rPr>
        <w:t>NS85-60</w:t>
      </w:r>
      <w:r>
        <w:rPr>
          <w:color w:val="000000"/>
          <w:sz w:val="24"/>
        </w:rPr>
        <w:t>气化节煤环保常压热水锅炉（冬季采暖锅炉）及</w:t>
      </w:r>
      <w:r>
        <w:rPr>
          <w:color w:val="000000"/>
          <w:sz w:val="24"/>
        </w:rPr>
        <w:t>CLHG0.20</w:t>
      </w:r>
      <w:r>
        <w:rPr>
          <w:color w:val="000000"/>
          <w:sz w:val="24"/>
        </w:rPr>
        <w:t>常压</w:t>
      </w:r>
      <w:r>
        <w:rPr>
          <w:sz w:val="24"/>
        </w:rPr>
        <w:t>热水锅炉（洗浴锅炉）废气共同经</w:t>
      </w:r>
      <w:r>
        <w:rPr>
          <w:sz w:val="24"/>
        </w:rPr>
        <w:t>XTD-2TI</w:t>
      </w:r>
      <w:r>
        <w:rPr>
          <w:sz w:val="24"/>
        </w:rPr>
        <w:t>型多管陶瓷除尘</w:t>
      </w:r>
      <w:r>
        <w:rPr>
          <w:sz w:val="24"/>
        </w:rPr>
        <w:t>-</w:t>
      </w:r>
      <w:r>
        <w:rPr>
          <w:sz w:val="24"/>
        </w:rPr>
        <w:t>玻璃钢脱硫塔处理烟气。场地内</w:t>
      </w:r>
      <w:r w:rsidRPr="00925B84">
        <w:rPr>
          <w:sz w:val="24"/>
        </w:rPr>
        <w:t>建有</w:t>
      </w:r>
      <w:r w:rsidRPr="00925B84">
        <w:rPr>
          <w:sz w:val="24"/>
        </w:rPr>
        <w:t>1</w:t>
      </w:r>
      <w:r w:rsidRPr="00925B84">
        <w:rPr>
          <w:sz w:val="24"/>
        </w:rPr>
        <w:t>套矿井水处理系统，处理能力</w:t>
      </w:r>
      <w:r w:rsidRPr="00925B84">
        <w:rPr>
          <w:rFonts w:hint="eastAsia"/>
          <w:sz w:val="24"/>
        </w:rPr>
        <w:t>20</w:t>
      </w:r>
      <w:r w:rsidRPr="00925B84">
        <w:rPr>
          <w:sz w:val="24"/>
        </w:rPr>
        <w:t>00m</w:t>
      </w:r>
      <w:r w:rsidRPr="00925B84">
        <w:rPr>
          <w:sz w:val="24"/>
          <w:vertAlign w:val="superscript"/>
        </w:rPr>
        <w:t>3</w:t>
      </w:r>
      <w:r w:rsidRPr="00925B84">
        <w:rPr>
          <w:sz w:val="24"/>
        </w:rPr>
        <w:t>/</w:t>
      </w:r>
      <w:r w:rsidRPr="00925B84">
        <w:rPr>
          <w:rFonts w:hint="eastAsia"/>
          <w:sz w:val="24"/>
        </w:rPr>
        <w:t>d</w:t>
      </w:r>
      <w:r w:rsidRPr="00925B84">
        <w:rPr>
          <w:sz w:val="24"/>
        </w:rPr>
        <w:t>，处理后矿井水部分回用，其余达标排至场地南侧的蚂蚁河，并已取得入河排污口批复</w:t>
      </w:r>
      <w:r w:rsidRPr="00925B84">
        <w:rPr>
          <w:rFonts w:hint="eastAsia"/>
          <w:sz w:val="24"/>
        </w:rPr>
        <w:t>及排污总量指标</w:t>
      </w:r>
      <w:r w:rsidRPr="00925B84">
        <w:rPr>
          <w:sz w:val="24"/>
        </w:rPr>
        <w:t>；独立的生活水处理系统</w:t>
      </w:r>
      <w:r w:rsidRPr="00925B84">
        <w:rPr>
          <w:sz w:val="24"/>
        </w:rPr>
        <w:t>2</w:t>
      </w:r>
      <w:r w:rsidRPr="00925B84">
        <w:rPr>
          <w:sz w:val="24"/>
        </w:rPr>
        <w:t>套，</w:t>
      </w:r>
      <w:r w:rsidRPr="00925B84">
        <w:rPr>
          <w:sz w:val="24"/>
        </w:rPr>
        <w:t>1</w:t>
      </w:r>
      <w:r w:rsidRPr="00925B84">
        <w:rPr>
          <w:sz w:val="24"/>
        </w:rPr>
        <w:t>套以洗浴水，洗漱水处理为主，采用</w:t>
      </w:r>
      <w:r w:rsidRPr="00925B84">
        <w:rPr>
          <w:sz w:val="24"/>
        </w:rPr>
        <w:t>A</w:t>
      </w:r>
      <w:r w:rsidRPr="00925B84">
        <w:rPr>
          <w:sz w:val="24"/>
          <w:vertAlign w:val="superscript"/>
        </w:rPr>
        <w:t>2</w:t>
      </w:r>
      <w:r w:rsidRPr="00925B84">
        <w:rPr>
          <w:sz w:val="24"/>
        </w:rPr>
        <w:t>O</w:t>
      </w:r>
      <w:r w:rsidRPr="00925B84">
        <w:rPr>
          <w:sz w:val="24"/>
        </w:rPr>
        <w:t>地埋式一体机处理工艺，处理能力为</w:t>
      </w:r>
      <w:r w:rsidRPr="00925B84">
        <w:rPr>
          <w:rFonts w:hint="eastAsia"/>
          <w:sz w:val="24"/>
        </w:rPr>
        <w:t>300</w:t>
      </w:r>
      <w:r w:rsidRPr="00925B84">
        <w:rPr>
          <w:sz w:val="24"/>
        </w:rPr>
        <w:t>m</w:t>
      </w:r>
      <w:r w:rsidRPr="00925B84">
        <w:rPr>
          <w:sz w:val="24"/>
          <w:vertAlign w:val="superscript"/>
        </w:rPr>
        <w:t>3</w:t>
      </w:r>
      <w:r w:rsidRPr="00925B84">
        <w:rPr>
          <w:sz w:val="24"/>
        </w:rPr>
        <w:t>/</w:t>
      </w:r>
      <w:r w:rsidRPr="00925B84">
        <w:rPr>
          <w:rFonts w:hint="eastAsia"/>
          <w:sz w:val="24"/>
        </w:rPr>
        <w:t>d</w:t>
      </w:r>
      <w:r w:rsidRPr="00925B84">
        <w:rPr>
          <w:sz w:val="24"/>
        </w:rPr>
        <w:t>，出水全部用于井上下洒水、绿化、降尘；</w:t>
      </w:r>
      <w:r w:rsidRPr="00925B84">
        <w:rPr>
          <w:sz w:val="24"/>
        </w:rPr>
        <w:t>1</w:t>
      </w:r>
      <w:r w:rsidRPr="00925B84">
        <w:rPr>
          <w:sz w:val="24"/>
        </w:rPr>
        <w:t>套以餐饮废水处理为主，采用</w:t>
      </w:r>
      <w:r w:rsidRPr="00925B84">
        <w:rPr>
          <w:sz w:val="24"/>
        </w:rPr>
        <w:t>MBR</w:t>
      </w:r>
      <w:r w:rsidRPr="00925B84">
        <w:rPr>
          <w:sz w:val="24"/>
        </w:rPr>
        <w:t>工艺，处理能力</w:t>
      </w:r>
      <w:r w:rsidRPr="00925B84">
        <w:rPr>
          <w:rFonts w:hint="eastAsia"/>
          <w:sz w:val="24"/>
        </w:rPr>
        <w:t>20</w:t>
      </w:r>
      <w:r w:rsidRPr="00925B84">
        <w:rPr>
          <w:sz w:val="24"/>
        </w:rPr>
        <w:t>m</w:t>
      </w:r>
      <w:r w:rsidRPr="00925B84">
        <w:rPr>
          <w:sz w:val="24"/>
          <w:vertAlign w:val="superscript"/>
        </w:rPr>
        <w:t>3</w:t>
      </w:r>
      <w:r w:rsidRPr="00925B84">
        <w:rPr>
          <w:sz w:val="24"/>
        </w:rPr>
        <w:t>/</w:t>
      </w:r>
      <w:r w:rsidRPr="00925B84">
        <w:rPr>
          <w:rFonts w:hint="eastAsia"/>
          <w:sz w:val="24"/>
        </w:rPr>
        <w:t>d</w:t>
      </w:r>
      <w:r w:rsidRPr="00925B84">
        <w:rPr>
          <w:sz w:val="24"/>
        </w:rPr>
        <w:t>，出水用于煤棚喷雾降尘系统。</w:t>
      </w:r>
      <w:r w:rsidR="00500925" w:rsidRPr="00500925">
        <w:rPr>
          <w:rFonts w:hint="eastAsia"/>
          <w:color w:val="FF0000"/>
          <w:sz w:val="24"/>
        </w:rPr>
        <w:t>原天云煤矿出井原煤不进行选矸，无煤矸石产生；矿井水处理站煤泥压滤后外销。</w:t>
      </w:r>
      <w:r w:rsidR="00601952" w:rsidRPr="00925B84">
        <w:rPr>
          <w:rFonts w:hint="eastAsia"/>
          <w:sz w:val="24"/>
        </w:rPr>
        <w:t>目前，原天云煤矿正常生产，</w:t>
      </w:r>
      <w:r w:rsidRPr="00925B84">
        <w:rPr>
          <w:rFonts w:hint="eastAsia"/>
          <w:sz w:val="24"/>
        </w:rPr>
        <w:t>采空区面积约</w:t>
      </w:r>
      <w:r w:rsidRPr="00925B84">
        <w:rPr>
          <w:rFonts w:hint="eastAsia"/>
          <w:sz w:val="24"/>
        </w:rPr>
        <w:t>2.21km</w:t>
      </w:r>
      <w:r w:rsidRPr="00925B84">
        <w:rPr>
          <w:rFonts w:hint="eastAsia"/>
          <w:sz w:val="24"/>
          <w:vertAlign w:val="superscript"/>
        </w:rPr>
        <w:t>2</w:t>
      </w:r>
      <w:r w:rsidRPr="00925B84">
        <w:rPr>
          <w:rFonts w:hint="eastAsia"/>
          <w:sz w:val="24"/>
        </w:rPr>
        <w:t>，采空区范围分布在煤矿北部和南部。</w:t>
      </w:r>
    </w:p>
    <w:p w:rsidR="00C223F5" w:rsidRDefault="005860D5">
      <w:pPr>
        <w:spacing w:line="360" w:lineRule="auto"/>
        <w:ind w:firstLineChars="200" w:firstLine="480"/>
        <w:rPr>
          <w:rFonts w:hAnsi="宋体"/>
          <w:sz w:val="24"/>
        </w:rPr>
      </w:pPr>
      <w:r w:rsidRPr="00925B84">
        <w:rPr>
          <w:rFonts w:hAnsi="宋体" w:hint="eastAsia"/>
          <w:sz w:val="24"/>
        </w:rPr>
        <w:t>根据采矿证（</w:t>
      </w:r>
      <w:r w:rsidRPr="00925B84">
        <w:rPr>
          <w:rFonts w:hAnsi="宋体" w:hint="eastAsia"/>
          <w:sz w:val="24"/>
        </w:rPr>
        <w:t>C6100002011051120113330</w:t>
      </w:r>
      <w:r w:rsidRPr="00925B84">
        <w:rPr>
          <w:rFonts w:hAnsi="宋体" w:hint="eastAsia"/>
          <w:sz w:val="24"/>
        </w:rPr>
        <w:t>），原天云煤</w:t>
      </w:r>
      <w:r>
        <w:rPr>
          <w:rFonts w:hAnsi="宋体" w:hint="eastAsia"/>
          <w:sz w:val="24"/>
        </w:rPr>
        <w:t>矿井田境界由</w:t>
      </w:r>
      <w:r>
        <w:rPr>
          <w:rFonts w:hAnsi="宋体" w:hint="eastAsia"/>
          <w:sz w:val="24"/>
        </w:rPr>
        <w:t>6</w:t>
      </w:r>
      <w:r>
        <w:rPr>
          <w:rFonts w:hAnsi="宋体" w:hint="eastAsia"/>
          <w:sz w:val="24"/>
        </w:rPr>
        <w:t>个拐点连线圈定，东西长</w:t>
      </w:r>
      <w:r>
        <w:rPr>
          <w:rFonts w:hAnsi="宋体" w:hint="eastAsia"/>
          <w:sz w:val="24"/>
        </w:rPr>
        <w:t>1.0-3.3km</w:t>
      </w:r>
      <w:r>
        <w:rPr>
          <w:rFonts w:hAnsi="宋体" w:hint="eastAsia"/>
          <w:sz w:val="24"/>
        </w:rPr>
        <w:t>，南北宽</w:t>
      </w:r>
      <w:r>
        <w:rPr>
          <w:rFonts w:hAnsi="宋体" w:hint="eastAsia"/>
          <w:sz w:val="24"/>
        </w:rPr>
        <w:t>1.0-2.5km</w:t>
      </w:r>
      <w:r>
        <w:rPr>
          <w:rFonts w:hAnsi="宋体" w:hint="eastAsia"/>
          <w:sz w:val="24"/>
        </w:rPr>
        <w:t>，面积</w:t>
      </w:r>
      <w:r>
        <w:rPr>
          <w:rFonts w:hAnsi="宋体" w:hint="eastAsia"/>
          <w:sz w:val="24"/>
        </w:rPr>
        <w:t>5.95km</w:t>
      </w:r>
      <w:r>
        <w:rPr>
          <w:rFonts w:hAnsi="宋体" w:hint="eastAsia"/>
          <w:sz w:val="24"/>
          <w:vertAlign w:val="superscript"/>
        </w:rPr>
        <w:t>2</w:t>
      </w:r>
      <w:r>
        <w:rPr>
          <w:rFonts w:hAnsi="宋体" w:hint="eastAsia"/>
          <w:sz w:val="24"/>
        </w:rPr>
        <w:t>，开采标高</w:t>
      </w:r>
      <w:r>
        <w:rPr>
          <w:rFonts w:hAnsi="宋体" w:hint="eastAsia"/>
          <w:sz w:val="24"/>
        </w:rPr>
        <w:t>910</w:t>
      </w:r>
      <w:r>
        <w:rPr>
          <w:rFonts w:hAnsi="宋体" w:hint="eastAsia"/>
          <w:sz w:val="24"/>
        </w:rPr>
        <w:t>～</w:t>
      </w:r>
      <w:r>
        <w:rPr>
          <w:rFonts w:hAnsi="宋体" w:hint="eastAsia"/>
          <w:sz w:val="24"/>
        </w:rPr>
        <w:t>875m</w:t>
      </w:r>
      <w:r>
        <w:rPr>
          <w:rFonts w:hAnsi="宋体" w:hint="eastAsia"/>
          <w:sz w:val="24"/>
        </w:rPr>
        <w:t>。井田境界拐点坐标见表</w:t>
      </w:r>
      <w:r>
        <w:rPr>
          <w:rFonts w:hAnsi="宋体" w:hint="eastAsia"/>
          <w:sz w:val="24"/>
        </w:rPr>
        <w:t>2.1.1-1</w:t>
      </w:r>
      <w:r>
        <w:rPr>
          <w:rFonts w:hAnsi="宋体" w:hint="eastAsia"/>
          <w:sz w:val="24"/>
        </w:rPr>
        <w:t>，</w:t>
      </w:r>
      <w:r>
        <w:rPr>
          <w:rFonts w:hint="eastAsia"/>
          <w:sz w:val="24"/>
        </w:rPr>
        <w:t>原天云煤矿</w:t>
      </w:r>
      <w:r>
        <w:rPr>
          <w:rFonts w:hAnsi="宋体" w:hint="eastAsia"/>
          <w:sz w:val="24"/>
        </w:rPr>
        <w:t>基本情况</w:t>
      </w:r>
      <w:r>
        <w:rPr>
          <w:rFonts w:hAnsi="宋体"/>
          <w:sz w:val="24"/>
        </w:rPr>
        <w:t>见表</w:t>
      </w:r>
      <w:r>
        <w:rPr>
          <w:rFonts w:hint="eastAsia"/>
          <w:sz w:val="24"/>
        </w:rPr>
        <w:t>2.1.2-1</w:t>
      </w:r>
      <w:r>
        <w:rPr>
          <w:rFonts w:hAnsi="宋体"/>
          <w:sz w:val="24"/>
        </w:rPr>
        <w:t>。</w:t>
      </w:r>
    </w:p>
    <w:p w:rsidR="00C223F5" w:rsidRDefault="005860D5">
      <w:pPr>
        <w:jc w:val="center"/>
        <w:rPr>
          <w:rFonts w:ascii="宋体" w:hAnsi="宋体"/>
          <w:b/>
          <w:sz w:val="24"/>
        </w:rPr>
      </w:pPr>
      <w:r>
        <w:rPr>
          <w:rFonts w:hAnsi="宋体" w:hint="eastAsia"/>
          <w:b/>
          <w:sz w:val="24"/>
        </w:rPr>
        <w:t>表</w:t>
      </w:r>
      <w:r>
        <w:rPr>
          <w:rFonts w:hAnsi="宋体" w:hint="eastAsia"/>
          <w:b/>
          <w:sz w:val="24"/>
        </w:rPr>
        <w:t xml:space="preserve">2.1.1-1  </w:t>
      </w:r>
      <w:r>
        <w:rPr>
          <w:rFonts w:hAnsi="宋体" w:hint="eastAsia"/>
          <w:b/>
          <w:sz w:val="24"/>
        </w:rPr>
        <w:t>原天云煤矿整合区</w:t>
      </w:r>
      <w:r>
        <w:rPr>
          <w:rFonts w:ascii="宋体" w:hAnsi="宋体" w:hint="eastAsia"/>
          <w:b/>
          <w:sz w:val="24"/>
        </w:rPr>
        <w:t>拐点坐标一览表</w:t>
      </w:r>
    </w:p>
    <w:tbl>
      <w:tblPr>
        <w:tblpPr w:leftFromText="180" w:rightFromText="180" w:vertAnchor="text" w:horzAnchor="margin" w:tblpXSpec="center" w:tblpY="2"/>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670"/>
        <w:gridCol w:w="1701"/>
        <w:gridCol w:w="702"/>
        <w:gridCol w:w="1701"/>
        <w:gridCol w:w="1705"/>
      </w:tblGrid>
      <w:tr w:rsidR="00C223F5">
        <w:trPr>
          <w:cantSplit/>
          <w:trHeight w:hRule="exact" w:val="286"/>
        </w:trPr>
        <w:tc>
          <w:tcPr>
            <w:tcW w:w="8187" w:type="dxa"/>
            <w:gridSpan w:val="6"/>
            <w:tcBorders>
              <w:right w:val="single" w:sz="4" w:space="0" w:color="auto"/>
            </w:tcBorders>
            <w:vAlign w:val="center"/>
          </w:tcPr>
          <w:p w:rsidR="00C223F5" w:rsidRDefault="005860D5">
            <w:pPr>
              <w:jc w:val="center"/>
              <w:rPr>
                <w:szCs w:val="21"/>
              </w:rPr>
            </w:pPr>
            <w:r>
              <w:rPr>
                <w:szCs w:val="21"/>
              </w:rPr>
              <w:t>西安</w:t>
            </w:r>
            <w:r>
              <w:rPr>
                <w:szCs w:val="21"/>
              </w:rPr>
              <w:t>80</w:t>
            </w:r>
            <w:r>
              <w:rPr>
                <w:szCs w:val="21"/>
              </w:rPr>
              <w:t>坐标系（转换坐标）</w:t>
            </w:r>
          </w:p>
        </w:tc>
      </w:tr>
      <w:tr w:rsidR="00C223F5">
        <w:trPr>
          <w:cantSplit/>
          <w:trHeight w:hRule="exact" w:val="286"/>
        </w:trPr>
        <w:tc>
          <w:tcPr>
            <w:tcW w:w="708" w:type="dxa"/>
            <w:vAlign w:val="center"/>
          </w:tcPr>
          <w:p w:rsidR="00C223F5" w:rsidRDefault="005860D5">
            <w:pPr>
              <w:jc w:val="center"/>
              <w:rPr>
                <w:szCs w:val="21"/>
              </w:rPr>
            </w:pPr>
            <w:r>
              <w:rPr>
                <w:szCs w:val="21"/>
              </w:rPr>
              <w:t>序号</w:t>
            </w:r>
          </w:p>
        </w:tc>
        <w:tc>
          <w:tcPr>
            <w:tcW w:w="1670" w:type="dxa"/>
            <w:vAlign w:val="center"/>
          </w:tcPr>
          <w:p w:rsidR="00C223F5" w:rsidRDefault="005860D5">
            <w:pPr>
              <w:jc w:val="center"/>
              <w:rPr>
                <w:szCs w:val="21"/>
              </w:rPr>
            </w:pPr>
            <w:r>
              <w:rPr>
                <w:szCs w:val="21"/>
              </w:rPr>
              <w:t>X(</w:t>
            </w:r>
            <w:r>
              <w:rPr>
                <w:szCs w:val="21"/>
              </w:rPr>
              <w:t>纬距</w:t>
            </w:r>
            <w:r>
              <w:rPr>
                <w:szCs w:val="21"/>
              </w:rPr>
              <w:t>) m</w:t>
            </w:r>
          </w:p>
        </w:tc>
        <w:tc>
          <w:tcPr>
            <w:tcW w:w="1701" w:type="dxa"/>
            <w:tcBorders>
              <w:right w:val="single" w:sz="4" w:space="0" w:color="auto"/>
            </w:tcBorders>
            <w:vAlign w:val="center"/>
          </w:tcPr>
          <w:p w:rsidR="00C223F5" w:rsidRDefault="005860D5">
            <w:pPr>
              <w:jc w:val="center"/>
              <w:rPr>
                <w:szCs w:val="21"/>
              </w:rPr>
            </w:pPr>
            <w:r>
              <w:rPr>
                <w:szCs w:val="21"/>
              </w:rPr>
              <w:t>Y(</w:t>
            </w:r>
            <w:r>
              <w:rPr>
                <w:szCs w:val="21"/>
              </w:rPr>
              <w:t>经距</w:t>
            </w:r>
            <w:r>
              <w:rPr>
                <w:szCs w:val="21"/>
              </w:rPr>
              <w:t>) m</w:t>
            </w:r>
          </w:p>
        </w:tc>
        <w:tc>
          <w:tcPr>
            <w:tcW w:w="702" w:type="dxa"/>
            <w:tcBorders>
              <w:right w:val="single" w:sz="4" w:space="0" w:color="auto"/>
            </w:tcBorders>
            <w:vAlign w:val="center"/>
          </w:tcPr>
          <w:p w:rsidR="00C223F5" w:rsidRDefault="005860D5">
            <w:pPr>
              <w:jc w:val="center"/>
              <w:rPr>
                <w:szCs w:val="21"/>
              </w:rPr>
            </w:pPr>
            <w:r>
              <w:rPr>
                <w:szCs w:val="21"/>
              </w:rPr>
              <w:t>序号</w:t>
            </w:r>
          </w:p>
        </w:tc>
        <w:tc>
          <w:tcPr>
            <w:tcW w:w="1701" w:type="dxa"/>
            <w:tcBorders>
              <w:right w:val="single" w:sz="4" w:space="0" w:color="auto"/>
            </w:tcBorders>
            <w:vAlign w:val="center"/>
          </w:tcPr>
          <w:p w:rsidR="00C223F5" w:rsidRDefault="005860D5">
            <w:pPr>
              <w:jc w:val="center"/>
              <w:rPr>
                <w:szCs w:val="21"/>
              </w:rPr>
            </w:pPr>
            <w:r>
              <w:rPr>
                <w:szCs w:val="21"/>
              </w:rPr>
              <w:t>X(</w:t>
            </w:r>
            <w:r>
              <w:rPr>
                <w:szCs w:val="21"/>
              </w:rPr>
              <w:t>纬距</w:t>
            </w:r>
            <w:r>
              <w:rPr>
                <w:szCs w:val="21"/>
              </w:rPr>
              <w:t>) m</w:t>
            </w:r>
          </w:p>
        </w:tc>
        <w:tc>
          <w:tcPr>
            <w:tcW w:w="1705" w:type="dxa"/>
            <w:tcBorders>
              <w:right w:val="single" w:sz="4" w:space="0" w:color="auto"/>
            </w:tcBorders>
            <w:vAlign w:val="center"/>
          </w:tcPr>
          <w:p w:rsidR="00C223F5" w:rsidRDefault="005860D5">
            <w:pPr>
              <w:jc w:val="center"/>
              <w:rPr>
                <w:szCs w:val="21"/>
              </w:rPr>
            </w:pPr>
            <w:r>
              <w:rPr>
                <w:szCs w:val="21"/>
              </w:rPr>
              <w:t>Y(</w:t>
            </w:r>
            <w:r>
              <w:rPr>
                <w:szCs w:val="21"/>
              </w:rPr>
              <w:t>经距</w:t>
            </w:r>
            <w:r>
              <w:rPr>
                <w:szCs w:val="21"/>
              </w:rPr>
              <w:t>) m</w:t>
            </w:r>
          </w:p>
        </w:tc>
      </w:tr>
      <w:tr w:rsidR="00C223F5">
        <w:trPr>
          <w:cantSplit/>
          <w:trHeight w:hRule="exact" w:val="286"/>
        </w:trPr>
        <w:tc>
          <w:tcPr>
            <w:tcW w:w="708" w:type="dxa"/>
            <w:vAlign w:val="center"/>
          </w:tcPr>
          <w:p w:rsidR="00C223F5" w:rsidRDefault="005860D5">
            <w:pPr>
              <w:jc w:val="center"/>
              <w:rPr>
                <w:szCs w:val="21"/>
              </w:rPr>
            </w:pPr>
            <w:r>
              <w:rPr>
                <w:szCs w:val="21"/>
              </w:rPr>
              <w:t>1</w:t>
            </w:r>
          </w:p>
        </w:tc>
        <w:tc>
          <w:tcPr>
            <w:tcW w:w="1670" w:type="dxa"/>
            <w:vAlign w:val="center"/>
          </w:tcPr>
          <w:p w:rsidR="00C223F5" w:rsidRDefault="005860D5">
            <w:pPr>
              <w:jc w:val="center"/>
              <w:rPr>
                <w:rFonts w:ascii="宋体" w:hAnsi="宋体" w:cs="宋体"/>
                <w:sz w:val="22"/>
                <w:szCs w:val="22"/>
              </w:rPr>
            </w:pPr>
            <w:r>
              <w:rPr>
                <w:rFonts w:hint="eastAsia"/>
                <w:sz w:val="22"/>
                <w:szCs w:val="22"/>
              </w:rPr>
              <w:t>4160949</w:t>
            </w:r>
          </w:p>
        </w:tc>
        <w:tc>
          <w:tcPr>
            <w:tcW w:w="1701" w:type="dxa"/>
            <w:tcBorders>
              <w:right w:val="single" w:sz="4" w:space="0" w:color="auto"/>
            </w:tcBorders>
            <w:vAlign w:val="center"/>
          </w:tcPr>
          <w:p w:rsidR="00C223F5" w:rsidRDefault="005860D5">
            <w:pPr>
              <w:jc w:val="center"/>
              <w:rPr>
                <w:rFonts w:ascii="宋体" w:hAnsi="宋体" w:cs="宋体"/>
                <w:sz w:val="22"/>
                <w:szCs w:val="22"/>
              </w:rPr>
            </w:pPr>
            <w:r>
              <w:rPr>
                <w:rFonts w:hint="eastAsia"/>
                <w:sz w:val="22"/>
                <w:szCs w:val="22"/>
              </w:rPr>
              <w:t>36626123</w:t>
            </w:r>
          </w:p>
        </w:tc>
        <w:tc>
          <w:tcPr>
            <w:tcW w:w="702" w:type="dxa"/>
            <w:tcBorders>
              <w:right w:val="single" w:sz="4" w:space="0" w:color="auto"/>
            </w:tcBorders>
            <w:vAlign w:val="center"/>
          </w:tcPr>
          <w:p w:rsidR="00C223F5" w:rsidRDefault="005860D5">
            <w:pPr>
              <w:jc w:val="center"/>
              <w:rPr>
                <w:szCs w:val="21"/>
              </w:rPr>
            </w:pPr>
            <w:r>
              <w:rPr>
                <w:szCs w:val="21"/>
              </w:rPr>
              <w:t>4</w:t>
            </w:r>
          </w:p>
        </w:tc>
        <w:tc>
          <w:tcPr>
            <w:tcW w:w="1701" w:type="dxa"/>
            <w:tcBorders>
              <w:right w:val="single" w:sz="4" w:space="0" w:color="auto"/>
            </w:tcBorders>
            <w:vAlign w:val="center"/>
          </w:tcPr>
          <w:p w:rsidR="00C223F5" w:rsidRDefault="005860D5">
            <w:pPr>
              <w:jc w:val="center"/>
              <w:rPr>
                <w:rFonts w:ascii="宋体" w:hAnsi="宋体" w:cs="宋体"/>
                <w:sz w:val="22"/>
                <w:szCs w:val="22"/>
              </w:rPr>
            </w:pPr>
            <w:r>
              <w:rPr>
                <w:rFonts w:hint="eastAsia"/>
                <w:sz w:val="22"/>
                <w:szCs w:val="22"/>
              </w:rPr>
              <w:t>4158449</w:t>
            </w:r>
          </w:p>
        </w:tc>
        <w:tc>
          <w:tcPr>
            <w:tcW w:w="1705" w:type="dxa"/>
            <w:tcBorders>
              <w:right w:val="single" w:sz="4" w:space="0" w:color="auto"/>
            </w:tcBorders>
            <w:vAlign w:val="center"/>
          </w:tcPr>
          <w:p w:rsidR="00C223F5" w:rsidRDefault="005860D5">
            <w:pPr>
              <w:jc w:val="center"/>
              <w:rPr>
                <w:rFonts w:ascii="宋体" w:hAnsi="宋体" w:cs="宋体"/>
                <w:sz w:val="22"/>
                <w:szCs w:val="22"/>
              </w:rPr>
            </w:pPr>
            <w:r>
              <w:rPr>
                <w:rFonts w:hint="eastAsia"/>
                <w:sz w:val="22"/>
                <w:szCs w:val="22"/>
              </w:rPr>
              <w:t>36628423</w:t>
            </w:r>
          </w:p>
        </w:tc>
      </w:tr>
      <w:tr w:rsidR="00C223F5">
        <w:trPr>
          <w:cantSplit/>
          <w:trHeight w:hRule="exact" w:val="286"/>
        </w:trPr>
        <w:tc>
          <w:tcPr>
            <w:tcW w:w="708" w:type="dxa"/>
            <w:vAlign w:val="center"/>
          </w:tcPr>
          <w:p w:rsidR="00C223F5" w:rsidRDefault="005860D5">
            <w:pPr>
              <w:jc w:val="center"/>
              <w:rPr>
                <w:szCs w:val="21"/>
              </w:rPr>
            </w:pPr>
            <w:r>
              <w:rPr>
                <w:szCs w:val="21"/>
              </w:rPr>
              <w:t>2</w:t>
            </w:r>
          </w:p>
        </w:tc>
        <w:tc>
          <w:tcPr>
            <w:tcW w:w="1670" w:type="dxa"/>
            <w:vAlign w:val="center"/>
          </w:tcPr>
          <w:p w:rsidR="00C223F5" w:rsidRDefault="005860D5">
            <w:pPr>
              <w:jc w:val="center"/>
              <w:rPr>
                <w:rFonts w:ascii="宋体" w:hAnsi="宋体" w:cs="宋体"/>
                <w:sz w:val="22"/>
                <w:szCs w:val="22"/>
              </w:rPr>
            </w:pPr>
            <w:r>
              <w:rPr>
                <w:rFonts w:hint="eastAsia"/>
                <w:sz w:val="22"/>
                <w:szCs w:val="22"/>
              </w:rPr>
              <w:t>4160949</w:t>
            </w:r>
          </w:p>
        </w:tc>
        <w:tc>
          <w:tcPr>
            <w:tcW w:w="1701" w:type="dxa"/>
            <w:tcBorders>
              <w:right w:val="single" w:sz="4" w:space="0" w:color="auto"/>
            </w:tcBorders>
            <w:vAlign w:val="center"/>
          </w:tcPr>
          <w:p w:rsidR="00C223F5" w:rsidRDefault="005860D5">
            <w:pPr>
              <w:jc w:val="center"/>
              <w:rPr>
                <w:rFonts w:ascii="宋体" w:hAnsi="宋体" w:cs="宋体"/>
                <w:sz w:val="22"/>
                <w:szCs w:val="22"/>
              </w:rPr>
            </w:pPr>
            <w:r>
              <w:rPr>
                <w:rFonts w:hint="eastAsia"/>
                <w:sz w:val="22"/>
                <w:szCs w:val="22"/>
              </w:rPr>
              <w:t>36629423</w:t>
            </w:r>
          </w:p>
        </w:tc>
        <w:tc>
          <w:tcPr>
            <w:tcW w:w="702" w:type="dxa"/>
            <w:tcBorders>
              <w:right w:val="single" w:sz="4" w:space="0" w:color="auto"/>
            </w:tcBorders>
            <w:vAlign w:val="center"/>
          </w:tcPr>
          <w:p w:rsidR="00C223F5" w:rsidRDefault="005860D5">
            <w:pPr>
              <w:jc w:val="center"/>
              <w:rPr>
                <w:szCs w:val="21"/>
              </w:rPr>
            </w:pPr>
            <w:r>
              <w:rPr>
                <w:szCs w:val="21"/>
              </w:rPr>
              <w:t>5</w:t>
            </w:r>
          </w:p>
        </w:tc>
        <w:tc>
          <w:tcPr>
            <w:tcW w:w="1701" w:type="dxa"/>
            <w:tcBorders>
              <w:right w:val="single" w:sz="4" w:space="0" w:color="auto"/>
            </w:tcBorders>
            <w:vAlign w:val="center"/>
          </w:tcPr>
          <w:p w:rsidR="00C223F5" w:rsidRDefault="005860D5">
            <w:pPr>
              <w:jc w:val="center"/>
              <w:rPr>
                <w:rFonts w:ascii="宋体" w:hAnsi="宋体" w:cs="宋体"/>
                <w:sz w:val="22"/>
                <w:szCs w:val="22"/>
              </w:rPr>
            </w:pPr>
            <w:r>
              <w:rPr>
                <w:rFonts w:hint="eastAsia"/>
                <w:sz w:val="22"/>
                <w:szCs w:val="22"/>
              </w:rPr>
              <w:t>4159449</w:t>
            </w:r>
          </w:p>
        </w:tc>
        <w:tc>
          <w:tcPr>
            <w:tcW w:w="1705" w:type="dxa"/>
            <w:tcBorders>
              <w:right w:val="single" w:sz="4" w:space="0" w:color="auto"/>
            </w:tcBorders>
            <w:vAlign w:val="center"/>
          </w:tcPr>
          <w:p w:rsidR="00C223F5" w:rsidRDefault="005860D5">
            <w:pPr>
              <w:jc w:val="center"/>
              <w:rPr>
                <w:rFonts w:ascii="宋体" w:hAnsi="宋体" w:cs="宋体"/>
                <w:sz w:val="22"/>
                <w:szCs w:val="22"/>
              </w:rPr>
            </w:pPr>
            <w:r>
              <w:rPr>
                <w:rFonts w:hint="eastAsia"/>
                <w:sz w:val="22"/>
                <w:szCs w:val="22"/>
              </w:rPr>
              <w:t>36628423</w:t>
            </w:r>
          </w:p>
        </w:tc>
      </w:tr>
      <w:tr w:rsidR="00C223F5">
        <w:trPr>
          <w:cantSplit/>
          <w:trHeight w:hRule="exact" w:val="286"/>
        </w:trPr>
        <w:tc>
          <w:tcPr>
            <w:tcW w:w="708" w:type="dxa"/>
            <w:vAlign w:val="center"/>
          </w:tcPr>
          <w:p w:rsidR="00C223F5" w:rsidRDefault="005860D5">
            <w:pPr>
              <w:jc w:val="center"/>
              <w:rPr>
                <w:szCs w:val="21"/>
              </w:rPr>
            </w:pPr>
            <w:r>
              <w:rPr>
                <w:szCs w:val="21"/>
              </w:rPr>
              <w:t>3</w:t>
            </w:r>
          </w:p>
        </w:tc>
        <w:tc>
          <w:tcPr>
            <w:tcW w:w="1670" w:type="dxa"/>
            <w:vAlign w:val="center"/>
          </w:tcPr>
          <w:p w:rsidR="00C223F5" w:rsidRDefault="005860D5">
            <w:pPr>
              <w:jc w:val="center"/>
              <w:rPr>
                <w:rFonts w:ascii="宋体" w:hAnsi="宋体" w:cs="宋体"/>
                <w:sz w:val="22"/>
                <w:szCs w:val="22"/>
              </w:rPr>
            </w:pPr>
            <w:r>
              <w:rPr>
                <w:rFonts w:hint="eastAsia"/>
                <w:sz w:val="22"/>
                <w:szCs w:val="22"/>
              </w:rPr>
              <w:t>4158449</w:t>
            </w:r>
          </w:p>
        </w:tc>
        <w:tc>
          <w:tcPr>
            <w:tcW w:w="1701" w:type="dxa"/>
            <w:tcBorders>
              <w:right w:val="single" w:sz="4" w:space="0" w:color="auto"/>
            </w:tcBorders>
            <w:vAlign w:val="center"/>
          </w:tcPr>
          <w:p w:rsidR="00C223F5" w:rsidRDefault="005860D5">
            <w:pPr>
              <w:jc w:val="center"/>
              <w:rPr>
                <w:rFonts w:ascii="宋体" w:hAnsi="宋体" w:cs="宋体"/>
                <w:sz w:val="22"/>
                <w:szCs w:val="22"/>
              </w:rPr>
            </w:pPr>
            <w:r>
              <w:rPr>
                <w:rFonts w:hint="eastAsia"/>
                <w:sz w:val="22"/>
                <w:szCs w:val="22"/>
              </w:rPr>
              <w:t>36629423</w:t>
            </w:r>
          </w:p>
        </w:tc>
        <w:tc>
          <w:tcPr>
            <w:tcW w:w="702" w:type="dxa"/>
            <w:tcBorders>
              <w:right w:val="single" w:sz="4" w:space="0" w:color="auto"/>
            </w:tcBorders>
            <w:vAlign w:val="center"/>
          </w:tcPr>
          <w:p w:rsidR="00C223F5" w:rsidRDefault="005860D5">
            <w:pPr>
              <w:jc w:val="center"/>
              <w:rPr>
                <w:szCs w:val="21"/>
              </w:rPr>
            </w:pPr>
            <w:r>
              <w:rPr>
                <w:szCs w:val="21"/>
              </w:rPr>
              <w:t>6</w:t>
            </w:r>
          </w:p>
        </w:tc>
        <w:tc>
          <w:tcPr>
            <w:tcW w:w="1701" w:type="dxa"/>
            <w:tcBorders>
              <w:right w:val="single" w:sz="4" w:space="0" w:color="auto"/>
            </w:tcBorders>
            <w:vAlign w:val="center"/>
          </w:tcPr>
          <w:p w:rsidR="00C223F5" w:rsidRDefault="005860D5">
            <w:pPr>
              <w:jc w:val="center"/>
              <w:rPr>
                <w:rFonts w:ascii="宋体" w:hAnsi="宋体" w:cs="宋体"/>
                <w:sz w:val="22"/>
                <w:szCs w:val="22"/>
              </w:rPr>
            </w:pPr>
            <w:r>
              <w:rPr>
                <w:rFonts w:hint="eastAsia"/>
                <w:sz w:val="22"/>
                <w:szCs w:val="22"/>
              </w:rPr>
              <w:t>4159449</w:t>
            </w:r>
          </w:p>
        </w:tc>
        <w:tc>
          <w:tcPr>
            <w:tcW w:w="1705" w:type="dxa"/>
            <w:tcBorders>
              <w:right w:val="single" w:sz="4" w:space="0" w:color="auto"/>
            </w:tcBorders>
            <w:vAlign w:val="center"/>
          </w:tcPr>
          <w:p w:rsidR="00C223F5" w:rsidRDefault="005860D5">
            <w:pPr>
              <w:jc w:val="center"/>
              <w:rPr>
                <w:rFonts w:ascii="宋体" w:hAnsi="宋体" w:cs="宋体"/>
                <w:sz w:val="22"/>
                <w:szCs w:val="22"/>
              </w:rPr>
            </w:pPr>
            <w:r>
              <w:rPr>
                <w:rFonts w:hint="eastAsia"/>
                <w:sz w:val="22"/>
                <w:szCs w:val="22"/>
              </w:rPr>
              <w:t>36626123</w:t>
            </w:r>
          </w:p>
        </w:tc>
      </w:tr>
    </w:tbl>
    <w:p w:rsidR="00C223F5" w:rsidRDefault="005860D5">
      <w:pPr>
        <w:spacing w:line="360" w:lineRule="auto"/>
        <w:ind w:firstLineChars="200" w:firstLine="480"/>
        <w:rPr>
          <w:rFonts w:hAnsi="宋体"/>
          <w:sz w:val="24"/>
        </w:rPr>
      </w:pPr>
      <w:r>
        <w:rPr>
          <w:rFonts w:hint="eastAsia"/>
          <w:sz w:val="24"/>
        </w:rPr>
        <w:t>原天云煤矿工业场地</w:t>
      </w:r>
      <w:r>
        <w:rPr>
          <w:sz w:val="24"/>
        </w:rPr>
        <w:t>布置见图</w:t>
      </w:r>
      <w:r>
        <w:rPr>
          <w:sz w:val="24"/>
        </w:rPr>
        <w:t>2.1.</w:t>
      </w:r>
      <w:r>
        <w:rPr>
          <w:rFonts w:hint="eastAsia"/>
          <w:sz w:val="24"/>
        </w:rPr>
        <w:t>1-1</w:t>
      </w:r>
      <w:r>
        <w:rPr>
          <w:rFonts w:hint="eastAsia"/>
          <w:sz w:val="24"/>
        </w:rPr>
        <w:t>，原矿井总体布置情况见图</w:t>
      </w:r>
      <w:r>
        <w:rPr>
          <w:rFonts w:hint="eastAsia"/>
          <w:sz w:val="24"/>
        </w:rPr>
        <w:t>2.1.1-2</w:t>
      </w:r>
      <w:r>
        <w:rPr>
          <w:rFonts w:hint="eastAsia"/>
          <w:sz w:val="24"/>
        </w:rPr>
        <w:t>。</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156" w:name="_Toc533604286"/>
      <w:bookmarkStart w:id="157" w:name="_Toc533604706"/>
      <w:bookmarkStart w:id="158" w:name="_Toc16785251"/>
      <w:r>
        <w:rPr>
          <w:rFonts w:eastAsia="宋体" w:hint="eastAsia"/>
          <w:b/>
          <w:bCs w:val="0"/>
          <w:sz w:val="28"/>
          <w:szCs w:val="28"/>
        </w:rPr>
        <w:t>2.1.2</w:t>
      </w:r>
      <w:r>
        <w:rPr>
          <w:rFonts w:eastAsia="宋体" w:hint="eastAsia"/>
          <w:b/>
          <w:bCs w:val="0"/>
          <w:sz w:val="28"/>
          <w:szCs w:val="28"/>
        </w:rPr>
        <w:t>整合后工程概况</w:t>
      </w:r>
      <w:bookmarkEnd w:id="156"/>
      <w:bookmarkEnd w:id="157"/>
      <w:bookmarkEnd w:id="158"/>
    </w:p>
    <w:p w:rsidR="00C223F5" w:rsidRDefault="005860D5" w:rsidP="004835BD">
      <w:pPr>
        <w:pStyle w:val="4"/>
        <w:spacing w:before="0" w:after="0" w:line="360" w:lineRule="auto"/>
        <w:ind w:firstLineChars="100" w:firstLine="240"/>
        <w:rPr>
          <w:szCs w:val="24"/>
        </w:rPr>
      </w:pPr>
      <w:r>
        <w:rPr>
          <w:rFonts w:hint="eastAsia"/>
          <w:szCs w:val="24"/>
        </w:rPr>
        <w:t>2.1.2.1</w:t>
      </w:r>
      <w:r>
        <w:rPr>
          <w:rFonts w:hint="eastAsia"/>
          <w:szCs w:val="24"/>
        </w:rPr>
        <w:t>项目基本情况</w:t>
      </w:r>
    </w:p>
    <w:p w:rsidR="00C223F5" w:rsidRDefault="005860D5">
      <w:pPr>
        <w:spacing w:line="360" w:lineRule="auto"/>
        <w:ind w:firstLineChars="200" w:firstLine="480"/>
        <w:rPr>
          <w:sz w:val="24"/>
        </w:rPr>
      </w:pPr>
      <w:r>
        <w:rPr>
          <w:sz w:val="24"/>
        </w:rPr>
        <w:t>（</w:t>
      </w:r>
      <w:r>
        <w:rPr>
          <w:sz w:val="24"/>
        </w:rPr>
        <w:t>1</w:t>
      </w:r>
      <w:r>
        <w:rPr>
          <w:sz w:val="24"/>
        </w:rPr>
        <w:t>）项目名称：横山县天云煤矿有限公司天云煤矿资源整合项目（</w:t>
      </w:r>
      <w:r>
        <w:rPr>
          <w:sz w:val="24"/>
        </w:rPr>
        <w:t>0.90</w:t>
      </w:r>
      <w:r>
        <w:rPr>
          <w:rFonts w:hint="eastAsia"/>
          <w:sz w:val="24"/>
        </w:rPr>
        <w:t>M</w:t>
      </w:r>
      <w:r>
        <w:rPr>
          <w:sz w:val="24"/>
        </w:rPr>
        <w:t>t/a</w:t>
      </w:r>
      <w:r>
        <w:rPr>
          <w:sz w:val="24"/>
        </w:rPr>
        <w:t>）</w:t>
      </w:r>
    </w:p>
    <w:p w:rsidR="00C223F5" w:rsidRDefault="005860D5">
      <w:pPr>
        <w:spacing w:line="360" w:lineRule="auto"/>
        <w:ind w:firstLineChars="200" w:firstLine="480"/>
        <w:rPr>
          <w:sz w:val="24"/>
        </w:rPr>
      </w:pPr>
      <w:r>
        <w:rPr>
          <w:sz w:val="24"/>
        </w:rPr>
        <w:t>（</w:t>
      </w:r>
      <w:r>
        <w:rPr>
          <w:sz w:val="24"/>
        </w:rPr>
        <w:t>2</w:t>
      </w:r>
      <w:r>
        <w:rPr>
          <w:sz w:val="24"/>
        </w:rPr>
        <w:t>）项目建设单位：</w:t>
      </w:r>
      <w:r>
        <w:rPr>
          <w:rFonts w:hint="eastAsia"/>
          <w:sz w:val="24"/>
        </w:rPr>
        <w:t>横山县天云煤矿有限公司</w:t>
      </w:r>
    </w:p>
    <w:p w:rsidR="00C223F5" w:rsidRDefault="005860D5">
      <w:pPr>
        <w:spacing w:line="360" w:lineRule="auto"/>
        <w:ind w:firstLineChars="200" w:firstLine="480"/>
        <w:rPr>
          <w:sz w:val="24"/>
        </w:rPr>
      </w:pPr>
      <w:r>
        <w:rPr>
          <w:sz w:val="24"/>
        </w:rPr>
        <w:t>（</w:t>
      </w:r>
      <w:r>
        <w:rPr>
          <w:sz w:val="24"/>
        </w:rPr>
        <w:t>3</w:t>
      </w:r>
      <w:r>
        <w:rPr>
          <w:sz w:val="24"/>
        </w:rPr>
        <w:t>）</w:t>
      </w:r>
      <w:r w:rsidRPr="002862AB">
        <w:rPr>
          <w:color w:val="FF0000"/>
          <w:sz w:val="24"/>
        </w:rPr>
        <w:t>建设性质：煤炭</w:t>
      </w:r>
      <w:r w:rsidRPr="002862AB">
        <w:rPr>
          <w:rFonts w:hint="eastAsia"/>
          <w:color w:val="FF0000"/>
          <w:sz w:val="24"/>
        </w:rPr>
        <w:t>资源整合</w:t>
      </w:r>
    </w:p>
    <w:p w:rsidR="00C223F5" w:rsidRDefault="005860D5">
      <w:pPr>
        <w:spacing w:line="360" w:lineRule="auto"/>
        <w:ind w:firstLineChars="200" w:firstLine="480"/>
        <w:rPr>
          <w:sz w:val="24"/>
        </w:rPr>
      </w:pPr>
      <w:r>
        <w:rPr>
          <w:sz w:val="24"/>
        </w:rPr>
        <w:t>（</w:t>
      </w:r>
      <w:r>
        <w:rPr>
          <w:sz w:val="24"/>
        </w:rPr>
        <w:t>4</w:t>
      </w:r>
      <w:r>
        <w:rPr>
          <w:sz w:val="24"/>
        </w:rPr>
        <w:t>）建设规模及服务年限：</w:t>
      </w:r>
      <w:r>
        <w:rPr>
          <w:rFonts w:hint="eastAsia"/>
          <w:sz w:val="24"/>
        </w:rPr>
        <w:t>矿井</w:t>
      </w:r>
      <w:r>
        <w:rPr>
          <w:sz w:val="24"/>
        </w:rPr>
        <w:t>生产能力为</w:t>
      </w:r>
      <w:r>
        <w:rPr>
          <w:rFonts w:hint="eastAsia"/>
          <w:sz w:val="24"/>
        </w:rPr>
        <w:t>0.90</w:t>
      </w:r>
      <w:r>
        <w:rPr>
          <w:sz w:val="24"/>
        </w:rPr>
        <w:t>Mt/a</w:t>
      </w:r>
      <w:r>
        <w:rPr>
          <w:sz w:val="24"/>
        </w:rPr>
        <w:t>，</w:t>
      </w:r>
      <w:r>
        <w:rPr>
          <w:rFonts w:hint="eastAsia"/>
          <w:sz w:val="24"/>
        </w:rPr>
        <w:t>建设配套选煤厂；</w:t>
      </w:r>
      <w:r>
        <w:rPr>
          <w:sz w:val="24"/>
        </w:rPr>
        <w:t>服务年限</w:t>
      </w:r>
      <w:r>
        <w:rPr>
          <w:rFonts w:hint="eastAsia"/>
          <w:sz w:val="24"/>
        </w:rPr>
        <w:t>39.0</w:t>
      </w:r>
      <w:r>
        <w:rPr>
          <w:sz w:val="24"/>
        </w:rPr>
        <w:t>a</w:t>
      </w:r>
    </w:p>
    <w:p w:rsidR="00C223F5" w:rsidRDefault="005860D5">
      <w:pPr>
        <w:spacing w:line="360" w:lineRule="auto"/>
        <w:ind w:firstLineChars="200" w:firstLine="480"/>
        <w:rPr>
          <w:sz w:val="24"/>
        </w:rPr>
      </w:pPr>
      <w:r>
        <w:rPr>
          <w:sz w:val="24"/>
        </w:rPr>
        <w:t>（</w:t>
      </w:r>
      <w:r>
        <w:rPr>
          <w:sz w:val="24"/>
        </w:rPr>
        <w:t>5</w:t>
      </w:r>
      <w:r>
        <w:rPr>
          <w:sz w:val="24"/>
        </w:rPr>
        <w:t>）井田面积：面积</w:t>
      </w:r>
      <w:r>
        <w:rPr>
          <w:sz w:val="24"/>
        </w:rPr>
        <w:t>67.1241km</w:t>
      </w:r>
      <w:r>
        <w:rPr>
          <w:sz w:val="24"/>
          <w:vertAlign w:val="superscript"/>
        </w:rPr>
        <w:t>2</w:t>
      </w:r>
    </w:p>
    <w:p w:rsidR="00C223F5" w:rsidRDefault="005860D5">
      <w:pPr>
        <w:spacing w:line="360" w:lineRule="auto"/>
        <w:ind w:firstLineChars="200" w:firstLine="480"/>
        <w:rPr>
          <w:sz w:val="24"/>
          <w:szCs w:val="28"/>
        </w:rPr>
      </w:pPr>
      <w:r>
        <w:rPr>
          <w:sz w:val="24"/>
        </w:rPr>
        <w:t>（</w:t>
      </w:r>
      <w:r>
        <w:rPr>
          <w:sz w:val="24"/>
        </w:rPr>
        <w:t>6</w:t>
      </w:r>
      <w:r>
        <w:rPr>
          <w:sz w:val="24"/>
        </w:rPr>
        <w:t>）建设地点：工业场地位于陕西省横山县城东南</w:t>
      </w:r>
      <w:r>
        <w:rPr>
          <w:rFonts w:hint="eastAsia"/>
          <w:sz w:val="24"/>
        </w:rPr>
        <w:t>部</w:t>
      </w:r>
      <w:r>
        <w:rPr>
          <w:sz w:val="24"/>
        </w:rPr>
        <w:t>魏家楼乡施阳台</w:t>
      </w:r>
      <w:r>
        <w:rPr>
          <w:rFonts w:hint="eastAsia"/>
          <w:sz w:val="24"/>
        </w:rPr>
        <w:t>村，</w:t>
      </w:r>
      <w:r>
        <w:rPr>
          <w:sz w:val="24"/>
        </w:rPr>
        <w:t>距</w:t>
      </w:r>
      <w:r>
        <w:rPr>
          <w:rFonts w:hint="eastAsia"/>
          <w:sz w:val="24"/>
        </w:rPr>
        <w:t>离横山县城</w:t>
      </w:r>
      <w:r>
        <w:rPr>
          <w:sz w:val="24"/>
        </w:rPr>
        <w:t>约</w:t>
      </w:r>
      <w:r>
        <w:rPr>
          <w:sz w:val="24"/>
        </w:rPr>
        <w:t>45</w:t>
      </w:r>
      <w:r>
        <w:rPr>
          <w:rFonts w:hint="eastAsia"/>
          <w:sz w:val="24"/>
        </w:rPr>
        <w:t>k</w:t>
      </w:r>
      <w:r>
        <w:rPr>
          <w:sz w:val="24"/>
        </w:rPr>
        <w:t>m</w:t>
      </w:r>
    </w:p>
    <w:p w:rsidR="00C223F5" w:rsidRDefault="005860D5" w:rsidP="004835BD">
      <w:pPr>
        <w:pStyle w:val="4"/>
        <w:spacing w:before="0" w:after="0" w:line="360" w:lineRule="auto"/>
        <w:ind w:firstLineChars="100" w:firstLine="240"/>
        <w:rPr>
          <w:szCs w:val="24"/>
        </w:rPr>
      </w:pPr>
      <w:r>
        <w:rPr>
          <w:rFonts w:hint="eastAsia"/>
          <w:szCs w:val="24"/>
        </w:rPr>
        <w:lastRenderedPageBreak/>
        <w:t>2</w:t>
      </w:r>
      <w:r>
        <w:rPr>
          <w:szCs w:val="24"/>
        </w:rPr>
        <w:t>.</w:t>
      </w:r>
      <w:r>
        <w:rPr>
          <w:rFonts w:hint="eastAsia"/>
          <w:szCs w:val="24"/>
        </w:rPr>
        <w:t>1.2.2</w:t>
      </w:r>
      <w:r>
        <w:rPr>
          <w:szCs w:val="24"/>
        </w:rPr>
        <w:t>地理位置及交通</w:t>
      </w:r>
    </w:p>
    <w:p w:rsidR="00C223F5" w:rsidRDefault="005860D5">
      <w:pPr>
        <w:tabs>
          <w:tab w:val="left" w:pos="6565"/>
        </w:tabs>
        <w:adjustRightInd w:val="0"/>
        <w:snapToGrid w:val="0"/>
        <w:spacing w:line="360" w:lineRule="auto"/>
        <w:ind w:firstLineChars="200" w:firstLine="480"/>
        <w:rPr>
          <w:sz w:val="24"/>
        </w:rPr>
      </w:pPr>
      <w:r>
        <w:rPr>
          <w:sz w:val="24"/>
        </w:rPr>
        <w:t>横山县天云煤矿位于陕西省横山县城东南部，距离横山县城约</w:t>
      </w:r>
      <w:r>
        <w:rPr>
          <w:sz w:val="24"/>
        </w:rPr>
        <w:t>45km</w:t>
      </w:r>
      <w:r>
        <w:rPr>
          <w:sz w:val="24"/>
        </w:rPr>
        <w:t>，行政区划隶属横山县石湾镇、魏家楼乡管辖。煤矿地理坐标为：</w:t>
      </w:r>
      <w:r>
        <w:rPr>
          <w:rFonts w:hAnsi="宋体"/>
          <w:sz w:val="24"/>
        </w:rPr>
        <w:t>东经</w:t>
      </w:r>
      <w:r>
        <w:rPr>
          <w:sz w:val="24"/>
        </w:rPr>
        <w:t>109°25′43″</w:t>
      </w:r>
      <w:r>
        <w:rPr>
          <w:rFonts w:hAnsi="宋体"/>
          <w:sz w:val="24"/>
        </w:rPr>
        <w:t>～</w:t>
      </w:r>
      <w:r>
        <w:rPr>
          <w:sz w:val="24"/>
        </w:rPr>
        <w:t>109°27′57″</w:t>
      </w:r>
      <w:r>
        <w:rPr>
          <w:rFonts w:hAnsi="宋体"/>
          <w:sz w:val="24"/>
        </w:rPr>
        <w:t>，北纬</w:t>
      </w:r>
      <w:r>
        <w:rPr>
          <w:sz w:val="24"/>
        </w:rPr>
        <w:t>37°32′56″</w:t>
      </w:r>
      <w:r>
        <w:rPr>
          <w:rFonts w:hAnsi="宋体"/>
          <w:sz w:val="24"/>
        </w:rPr>
        <w:t>～</w:t>
      </w:r>
      <w:r>
        <w:rPr>
          <w:sz w:val="24"/>
        </w:rPr>
        <w:t>37°34′18″</w:t>
      </w:r>
      <w:r>
        <w:rPr>
          <w:rFonts w:hAnsi="宋体"/>
          <w:sz w:val="24"/>
        </w:rPr>
        <w:t>之间</w:t>
      </w:r>
      <w:r>
        <w:rPr>
          <w:rFonts w:hAnsi="宋体"/>
          <w:snapToGrid w:val="0"/>
          <w:kern w:val="0"/>
          <w:sz w:val="24"/>
        </w:rPr>
        <w:t>。</w:t>
      </w:r>
    </w:p>
    <w:p w:rsidR="00C223F5" w:rsidRDefault="005860D5">
      <w:pPr>
        <w:tabs>
          <w:tab w:val="left" w:pos="6565"/>
        </w:tabs>
        <w:adjustRightInd w:val="0"/>
        <w:snapToGrid w:val="0"/>
        <w:spacing w:line="360" w:lineRule="auto"/>
        <w:ind w:firstLineChars="200" w:firstLine="480"/>
        <w:rPr>
          <w:rFonts w:hAnsi="宋体"/>
          <w:b/>
          <w:bCs/>
          <w:sz w:val="24"/>
        </w:rPr>
      </w:pPr>
      <w:r>
        <w:rPr>
          <w:rFonts w:hAnsi="宋体"/>
          <w:sz w:val="24"/>
        </w:rPr>
        <w:t>横山县天云煤矿</w:t>
      </w:r>
      <w:r>
        <w:rPr>
          <w:rFonts w:hAnsi="宋体"/>
          <w:snapToGrid w:val="0"/>
          <w:sz w:val="24"/>
        </w:rPr>
        <w:t>地处陕西</w:t>
      </w:r>
      <w:r>
        <w:rPr>
          <w:sz w:val="24"/>
        </w:rPr>
        <w:t>“</w:t>
      </w:r>
      <w:r>
        <w:rPr>
          <w:rFonts w:hAnsi="宋体"/>
          <w:snapToGrid w:val="0"/>
          <w:sz w:val="24"/>
        </w:rPr>
        <w:t>米</w:t>
      </w:r>
      <w:r>
        <w:rPr>
          <w:sz w:val="24"/>
        </w:rPr>
        <w:t>”</w:t>
      </w:r>
      <w:r>
        <w:rPr>
          <w:rFonts w:hAnsi="宋体"/>
          <w:snapToGrid w:val="0"/>
          <w:sz w:val="24"/>
        </w:rPr>
        <w:t>字型公路网内，</w:t>
      </w:r>
      <w:r>
        <w:rPr>
          <w:sz w:val="24"/>
        </w:rPr>
        <w:t>307</w:t>
      </w:r>
      <w:r>
        <w:rPr>
          <w:rFonts w:hAnsi="宋体"/>
          <w:sz w:val="24"/>
        </w:rPr>
        <w:t>国道（歧口</w:t>
      </w:r>
      <w:r>
        <w:rPr>
          <w:sz w:val="24"/>
        </w:rPr>
        <w:t>—</w:t>
      </w:r>
      <w:r>
        <w:rPr>
          <w:rFonts w:hAnsi="宋体"/>
          <w:sz w:val="24"/>
        </w:rPr>
        <w:t>银川）横穿煤矿中部，青（岛）</w:t>
      </w:r>
      <w:r>
        <w:rPr>
          <w:sz w:val="24"/>
        </w:rPr>
        <w:t>—</w:t>
      </w:r>
      <w:r>
        <w:rPr>
          <w:rFonts w:hAnsi="宋体"/>
          <w:sz w:val="24"/>
        </w:rPr>
        <w:t>银（川）高速公路及太（原）中（卫）银（川）铁路从煤矿北部穿过，各乡村之间有简易公路相通，并与</w:t>
      </w:r>
      <w:r>
        <w:rPr>
          <w:rFonts w:hAnsi="宋体"/>
          <w:sz w:val="24"/>
        </w:rPr>
        <w:t>210</w:t>
      </w:r>
      <w:r>
        <w:rPr>
          <w:rFonts w:hAnsi="宋体"/>
          <w:sz w:val="24"/>
        </w:rPr>
        <w:t>国道相连。</w:t>
      </w:r>
      <w:r>
        <w:rPr>
          <w:rFonts w:hAnsi="宋体" w:hint="eastAsia"/>
          <w:bCs/>
          <w:sz w:val="24"/>
        </w:rPr>
        <w:t>项目区周边</w:t>
      </w:r>
      <w:r>
        <w:rPr>
          <w:rFonts w:hAnsi="宋体"/>
          <w:bCs/>
          <w:sz w:val="24"/>
        </w:rPr>
        <w:t>公路和铁路运输运输条件良好。交通位置见图</w:t>
      </w:r>
      <w:r>
        <w:rPr>
          <w:rFonts w:hAnsi="宋体"/>
          <w:bCs/>
          <w:sz w:val="24"/>
        </w:rPr>
        <w:t>2.1.2-1</w:t>
      </w:r>
      <w:r>
        <w:rPr>
          <w:rFonts w:hAnsi="宋体"/>
          <w:bCs/>
          <w:sz w:val="24"/>
        </w:rPr>
        <w:t>。</w:t>
      </w:r>
    </w:p>
    <w:p w:rsidR="00C223F5" w:rsidRDefault="005860D5" w:rsidP="004835BD">
      <w:pPr>
        <w:pStyle w:val="4"/>
        <w:spacing w:before="0" w:after="0" w:line="360" w:lineRule="auto"/>
        <w:ind w:firstLineChars="100" w:firstLine="240"/>
        <w:rPr>
          <w:szCs w:val="24"/>
        </w:rPr>
      </w:pPr>
      <w:r>
        <w:rPr>
          <w:rFonts w:hint="eastAsia"/>
          <w:szCs w:val="24"/>
        </w:rPr>
        <w:t>2.1.2.3</w:t>
      </w:r>
      <w:r>
        <w:rPr>
          <w:szCs w:val="24"/>
        </w:rPr>
        <w:t>煤炭资源整合</w:t>
      </w:r>
      <w:r>
        <w:rPr>
          <w:rFonts w:hint="eastAsia"/>
          <w:szCs w:val="24"/>
        </w:rPr>
        <w:t>项目特点及</w:t>
      </w:r>
      <w:r>
        <w:rPr>
          <w:szCs w:val="24"/>
        </w:rPr>
        <w:t>组成</w:t>
      </w:r>
    </w:p>
    <w:p w:rsidR="00C223F5" w:rsidRPr="002B21D1" w:rsidRDefault="005860D5">
      <w:pPr>
        <w:pStyle w:val="hb1"/>
        <w:ind w:firstLine="480"/>
        <w:rPr>
          <w:rFonts w:hAnsi="宋体"/>
          <w:color w:val="FF0000"/>
        </w:rPr>
      </w:pPr>
      <w:r>
        <w:rPr>
          <w:rFonts w:hAnsi="宋体"/>
        </w:rPr>
        <w:t>根据《陕西省人民政府关于横山县天云煤矿与沈石畔勘查区煤矿资源整合问题的批复》</w:t>
      </w:r>
      <w:r>
        <w:rPr>
          <w:rFonts w:hAnsi="宋体" w:hint="eastAsia"/>
        </w:rPr>
        <w:t>（</w:t>
      </w:r>
      <w:r>
        <w:rPr>
          <w:rFonts w:hAnsi="宋体"/>
        </w:rPr>
        <w:t>陕政函</w:t>
      </w:r>
      <w:r>
        <w:rPr>
          <w:rFonts w:hAnsi="宋体"/>
        </w:rPr>
        <w:t>[2014]63</w:t>
      </w:r>
      <w:r>
        <w:rPr>
          <w:rFonts w:hAnsi="宋体"/>
        </w:rPr>
        <w:t>号</w:t>
      </w:r>
      <w:r>
        <w:rPr>
          <w:rFonts w:hAnsi="宋体" w:hint="eastAsia"/>
        </w:rPr>
        <w:t>）以及</w:t>
      </w:r>
      <w:r>
        <w:rPr>
          <w:rFonts w:hint="eastAsia"/>
        </w:rPr>
        <w:t>《关于划定横山县天云煤矿</w:t>
      </w:r>
      <w:r>
        <w:t>矿区范围</w:t>
      </w:r>
      <w:r>
        <w:rPr>
          <w:rFonts w:hint="eastAsia"/>
        </w:rPr>
        <w:t>的批复》（</w:t>
      </w:r>
      <w:r>
        <w:rPr>
          <w:rFonts w:hAnsi="宋体" w:hint="eastAsia"/>
        </w:rPr>
        <w:t>陕国土资矿采</w:t>
      </w:r>
      <w:r w:rsidRPr="00925B84">
        <w:rPr>
          <w:rFonts w:hAnsi="宋体" w:hint="eastAsia"/>
        </w:rPr>
        <w:t>划</w:t>
      </w:r>
      <w:r w:rsidRPr="00925B84">
        <w:rPr>
          <w:rFonts w:hAnsi="宋体" w:hint="eastAsia"/>
        </w:rPr>
        <w:t>[20</w:t>
      </w:r>
      <w:r w:rsidRPr="00925B84">
        <w:t>1</w:t>
      </w:r>
      <w:r w:rsidRPr="00925B84">
        <w:rPr>
          <w:rFonts w:hint="eastAsia"/>
        </w:rPr>
        <w:t>5</w:t>
      </w:r>
      <w:r w:rsidRPr="00925B84">
        <w:t>]1</w:t>
      </w:r>
      <w:r w:rsidRPr="00925B84">
        <w:rPr>
          <w:rFonts w:hint="eastAsia"/>
        </w:rPr>
        <w:t>0</w:t>
      </w:r>
      <w:r w:rsidRPr="00925B84">
        <w:t>号</w:t>
      </w:r>
      <w:r w:rsidRPr="00925B84">
        <w:rPr>
          <w:rFonts w:hint="eastAsia"/>
        </w:rPr>
        <w:t>）文件要求</w:t>
      </w:r>
      <w:r w:rsidRPr="00925B84">
        <w:rPr>
          <w:rFonts w:hAnsi="宋体"/>
        </w:rPr>
        <w:t>，</w:t>
      </w:r>
      <w:r w:rsidRPr="00925B84">
        <w:rPr>
          <w:rFonts w:hAnsi="宋体"/>
          <w:snapToGrid w:val="0"/>
          <w:kern w:val="0"/>
        </w:rPr>
        <w:t>天云煤矿</w:t>
      </w:r>
      <w:r w:rsidRPr="00925B84">
        <w:rPr>
          <w:rFonts w:hAnsi="宋体"/>
        </w:rPr>
        <w:t>整合区由原小天云煤矿、横山县沈石畔勘查区以及部分石湾煤矿地质普查区三部分整合而成，</w:t>
      </w:r>
      <w:r w:rsidRPr="00925B84">
        <w:rPr>
          <w:rFonts w:hAnsi="宋体" w:hint="eastAsia"/>
        </w:rPr>
        <w:t>井田</w:t>
      </w:r>
      <w:r w:rsidRPr="00925B84">
        <w:rPr>
          <w:rFonts w:hAnsi="宋体"/>
        </w:rPr>
        <w:t>面积</w:t>
      </w:r>
      <w:r w:rsidRPr="00925B84">
        <w:rPr>
          <w:rFonts w:hAnsi="宋体"/>
        </w:rPr>
        <w:t>67.1241km</w:t>
      </w:r>
      <w:r w:rsidRPr="00925B84">
        <w:rPr>
          <w:rFonts w:hAnsi="宋体"/>
          <w:vertAlign w:val="superscript"/>
        </w:rPr>
        <w:t>2</w:t>
      </w:r>
      <w:r w:rsidRPr="00925B84">
        <w:rPr>
          <w:rFonts w:hAnsi="宋体"/>
        </w:rPr>
        <w:t>，</w:t>
      </w:r>
      <w:r w:rsidRPr="00925B84">
        <w:rPr>
          <w:rFonts w:hAnsi="宋体" w:hint="eastAsia"/>
        </w:rPr>
        <w:t>批准开采</w:t>
      </w:r>
      <w:r w:rsidRPr="00925B84">
        <w:rPr>
          <w:rFonts w:hAnsi="宋体" w:hint="eastAsia"/>
        </w:rPr>
        <w:t>4</w:t>
      </w:r>
      <w:r w:rsidRPr="00925B84">
        <w:rPr>
          <w:rFonts w:hAnsi="宋体" w:hint="eastAsia"/>
          <w:vertAlign w:val="superscript"/>
        </w:rPr>
        <w:t>-1</w:t>
      </w:r>
      <w:r w:rsidRPr="00925B84">
        <w:rPr>
          <w:rFonts w:hAnsi="宋体" w:hint="eastAsia"/>
        </w:rPr>
        <w:t>号和</w:t>
      </w:r>
      <w:r w:rsidRPr="00925B84">
        <w:rPr>
          <w:rFonts w:hAnsi="宋体" w:hint="eastAsia"/>
        </w:rPr>
        <w:t>4</w:t>
      </w:r>
      <w:r w:rsidRPr="00925B84">
        <w:rPr>
          <w:rFonts w:hAnsi="宋体" w:hint="eastAsia"/>
          <w:vertAlign w:val="superscript"/>
        </w:rPr>
        <w:t>-2</w:t>
      </w:r>
      <w:r w:rsidRPr="00925B84">
        <w:rPr>
          <w:rFonts w:hAnsi="宋体" w:hint="eastAsia"/>
        </w:rPr>
        <w:t>号煤层，</w:t>
      </w:r>
      <w:r w:rsidRPr="00925B84">
        <w:rPr>
          <w:rFonts w:hAnsi="宋体"/>
        </w:rPr>
        <w:t>生产能力</w:t>
      </w:r>
      <w:r w:rsidRPr="00925B84">
        <w:rPr>
          <w:rFonts w:hAnsi="宋体" w:hint="eastAsia"/>
        </w:rPr>
        <w:t>0.</w:t>
      </w:r>
      <w:r w:rsidRPr="00925B84">
        <w:rPr>
          <w:rFonts w:hAnsi="宋体"/>
        </w:rPr>
        <w:t>90</w:t>
      </w:r>
      <w:r w:rsidRPr="00925B84">
        <w:rPr>
          <w:rFonts w:hAnsi="宋体" w:hint="eastAsia"/>
        </w:rPr>
        <w:t xml:space="preserve"> Mt/a</w:t>
      </w:r>
      <w:r w:rsidRPr="00925B84">
        <w:rPr>
          <w:rFonts w:hAnsi="宋体" w:hint="eastAsia"/>
        </w:rPr>
        <w:t>，</w:t>
      </w:r>
      <w:r w:rsidRPr="00925B84">
        <w:rPr>
          <w:rFonts w:hAnsi="宋体"/>
        </w:rPr>
        <w:t>服务年限</w:t>
      </w:r>
      <w:r w:rsidRPr="00925B84">
        <w:rPr>
          <w:rFonts w:hAnsi="宋体" w:hint="eastAsia"/>
        </w:rPr>
        <w:t>39.0</w:t>
      </w:r>
      <w:r w:rsidRPr="00925B84">
        <w:rPr>
          <w:rFonts w:hAnsi="宋体"/>
        </w:rPr>
        <w:t>a</w:t>
      </w:r>
      <w:r w:rsidRPr="00925B84">
        <w:rPr>
          <w:rFonts w:hAnsi="宋体"/>
        </w:rPr>
        <w:t>。</w:t>
      </w:r>
      <w:r w:rsidRPr="00925B84">
        <w:t>陕西省煤炭生产安全监督管理局以</w:t>
      </w:r>
      <w:r w:rsidRPr="00925B84">
        <w:rPr>
          <w:rFonts w:hAnsi="宋体"/>
        </w:rPr>
        <w:t>“</w:t>
      </w:r>
      <w:r w:rsidRPr="00925B84">
        <w:t>陕煤局复</w:t>
      </w:r>
      <w:r w:rsidRPr="00925B84">
        <w:t>[201</w:t>
      </w:r>
      <w:r w:rsidRPr="00925B84">
        <w:rPr>
          <w:rFonts w:hint="eastAsia"/>
        </w:rPr>
        <w:t>8</w:t>
      </w:r>
      <w:r w:rsidRPr="00925B84">
        <w:t>]1</w:t>
      </w:r>
      <w:r w:rsidRPr="00925B84">
        <w:rPr>
          <w:rFonts w:hint="eastAsia"/>
        </w:rPr>
        <w:t>10</w:t>
      </w:r>
      <w:r w:rsidRPr="00925B84">
        <w:t>号</w:t>
      </w:r>
      <w:r w:rsidRPr="00925B84">
        <w:rPr>
          <w:rFonts w:hAnsi="宋体"/>
        </w:rPr>
        <w:t>”</w:t>
      </w:r>
      <w:r w:rsidRPr="00925B84">
        <w:t xml:space="preserve"> </w:t>
      </w:r>
      <w:r w:rsidRPr="00925B84">
        <w:t>批复本项目设计</w:t>
      </w:r>
      <w:r w:rsidRPr="00925B84">
        <w:rPr>
          <w:rFonts w:hint="eastAsia"/>
        </w:rPr>
        <w:t>。</w:t>
      </w:r>
      <w:r w:rsidRPr="002B21D1">
        <w:rPr>
          <w:rFonts w:cs="Times New Roman" w:hint="eastAsia"/>
          <w:bCs w:val="0"/>
          <w:color w:val="FF0000"/>
          <w:kern w:val="2"/>
        </w:rPr>
        <w:t>根据“陕发改运行</w:t>
      </w:r>
      <w:r w:rsidRPr="002B21D1">
        <w:rPr>
          <w:rFonts w:cs="Times New Roman" w:hint="eastAsia"/>
          <w:bCs w:val="0"/>
          <w:color w:val="FF0000"/>
          <w:kern w:val="2"/>
        </w:rPr>
        <w:t>[2019]215</w:t>
      </w:r>
      <w:r w:rsidRPr="002B21D1">
        <w:rPr>
          <w:rFonts w:cs="Times New Roman" w:hint="eastAsia"/>
          <w:bCs w:val="0"/>
          <w:color w:val="FF0000"/>
          <w:kern w:val="2"/>
        </w:rPr>
        <w:t>号”文，横山县天云煤矿有限公司天云煤矿已落实</w:t>
      </w:r>
      <w:r w:rsidRPr="002B21D1">
        <w:rPr>
          <w:rFonts w:cs="Times New Roman" w:hint="eastAsia"/>
          <w:bCs w:val="0"/>
          <w:color w:val="FF0000"/>
          <w:kern w:val="2"/>
        </w:rPr>
        <w:t>0.03</w:t>
      </w:r>
      <w:r w:rsidRPr="002B21D1">
        <w:rPr>
          <w:rFonts w:cs="Times New Roman"/>
          <w:bCs w:val="0"/>
          <w:color w:val="FF0000"/>
          <w:kern w:val="2"/>
        </w:rPr>
        <w:t>Mt/a</w:t>
      </w:r>
      <w:r w:rsidRPr="002B21D1">
        <w:rPr>
          <w:rFonts w:cs="Times New Roman" w:hint="eastAsia"/>
          <w:bCs w:val="0"/>
          <w:color w:val="FF0000"/>
          <w:kern w:val="2"/>
        </w:rPr>
        <w:t>的产能置换指标任务，煤炭产能置换指标为</w:t>
      </w:r>
      <w:r w:rsidRPr="002B21D1">
        <w:rPr>
          <w:rFonts w:cs="Times New Roman" w:hint="eastAsia"/>
          <w:bCs w:val="0"/>
          <w:color w:val="FF0000"/>
          <w:kern w:val="2"/>
        </w:rPr>
        <w:t>2017</w:t>
      </w:r>
      <w:r w:rsidRPr="002B21D1">
        <w:rPr>
          <w:rFonts w:cs="Times New Roman" w:hint="eastAsia"/>
          <w:bCs w:val="0"/>
          <w:color w:val="FF0000"/>
          <w:kern w:val="2"/>
        </w:rPr>
        <w:t>年关闭退出的榆林市六墩煤矿指标（退出产能</w:t>
      </w:r>
      <w:r w:rsidRPr="002B21D1">
        <w:rPr>
          <w:rFonts w:cs="Times New Roman" w:hint="eastAsia"/>
          <w:bCs w:val="0"/>
          <w:color w:val="FF0000"/>
          <w:kern w:val="2"/>
        </w:rPr>
        <w:t>0.45Mt/a</w:t>
      </w:r>
      <w:r w:rsidRPr="002B21D1">
        <w:rPr>
          <w:rFonts w:cs="Times New Roman" w:hint="eastAsia"/>
          <w:bCs w:val="0"/>
          <w:color w:val="FF0000"/>
          <w:kern w:val="2"/>
        </w:rPr>
        <w:t>），符合目前国家发改委关于产能置换指标相关政策。</w:t>
      </w:r>
    </w:p>
    <w:p w:rsidR="00C223F5" w:rsidRDefault="005860D5">
      <w:pPr>
        <w:spacing w:line="360" w:lineRule="auto"/>
        <w:ind w:firstLineChars="200" w:firstLine="480"/>
        <w:rPr>
          <w:sz w:val="24"/>
        </w:rPr>
      </w:pPr>
      <w:r w:rsidRPr="00925B84">
        <w:rPr>
          <w:rFonts w:hint="eastAsia"/>
          <w:sz w:val="24"/>
        </w:rPr>
        <w:t>本次整合工程利用已有工业场地进行扩大改造，</w:t>
      </w:r>
      <w:r w:rsidRPr="00925B84">
        <w:rPr>
          <w:sz w:val="24"/>
        </w:rPr>
        <w:t>配套建设规模</w:t>
      </w:r>
      <w:r w:rsidRPr="00925B84">
        <w:rPr>
          <w:rFonts w:hint="eastAsia"/>
          <w:sz w:val="24"/>
        </w:rPr>
        <w:t>0.90</w:t>
      </w:r>
      <w:r w:rsidRPr="00925B84">
        <w:rPr>
          <w:sz w:val="24"/>
        </w:rPr>
        <w:t>Mt/a</w:t>
      </w:r>
      <w:r w:rsidRPr="00925B84">
        <w:rPr>
          <w:sz w:val="24"/>
        </w:rPr>
        <w:t>的选煤厂，</w:t>
      </w:r>
      <w:r w:rsidRPr="00925B84">
        <w:rPr>
          <w:rFonts w:hint="eastAsia"/>
          <w:sz w:val="24"/>
        </w:rPr>
        <w:t>场地内新建主、副斜井，利用原小天云煤矿一对立井作为整合后的回风立井（其中原副立井作为回风暗立井）；后期在井田南部</w:t>
      </w:r>
      <w:r>
        <w:rPr>
          <w:rFonts w:hint="eastAsia"/>
          <w:sz w:val="24"/>
        </w:rPr>
        <w:t>ZK609</w:t>
      </w:r>
      <w:r>
        <w:rPr>
          <w:rFonts w:hint="eastAsia"/>
          <w:sz w:val="24"/>
        </w:rPr>
        <w:t>钻孔附近新建一对进、回风立井</w:t>
      </w:r>
      <w:r w:rsidRPr="002B21D1">
        <w:rPr>
          <w:rFonts w:hint="eastAsia"/>
          <w:color w:val="FF0000"/>
          <w:sz w:val="24"/>
        </w:rPr>
        <w:t>。</w:t>
      </w:r>
      <w:r w:rsidRPr="002B21D1">
        <w:rPr>
          <w:rFonts w:ascii="宋体" w:hAnsi="宋体" w:hint="eastAsia"/>
          <w:color w:val="FF0000"/>
          <w:sz w:val="24"/>
        </w:rPr>
        <w:t>整合后</w:t>
      </w:r>
      <w:r w:rsidR="002B21D1" w:rsidRPr="002B21D1">
        <w:rPr>
          <w:rFonts w:ascii="宋体" w:hAnsi="宋体" w:hint="eastAsia"/>
          <w:color w:val="FF0000"/>
          <w:sz w:val="24"/>
        </w:rPr>
        <w:t>，原</w:t>
      </w:r>
      <w:r w:rsidRPr="002B21D1">
        <w:rPr>
          <w:rFonts w:ascii="宋体" w:hAnsi="宋体" w:hint="eastAsia"/>
          <w:color w:val="FF0000"/>
          <w:sz w:val="24"/>
        </w:rPr>
        <w:t>工业场地内</w:t>
      </w:r>
      <w:r w:rsidR="002B21D1" w:rsidRPr="002B21D1">
        <w:rPr>
          <w:rFonts w:ascii="宋体" w:hAnsi="宋体" w:hint="eastAsia"/>
          <w:color w:val="FF0000"/>
          <w:sz w:val="24"/>
        </w:rPr>
        <w:t>除两处立井外，其他</w:t>
      </w:r>
      <w:r w:rsidRPr="002B21D1">
        <w:rPr>
          <w:rFonts w:ascii="宋体" w:hAnsi="宋体" w:hint="eastAsia"/>
          <w:color w:val="FF0000"/>
          <w:sz w:val="24"/>
        </w:rPr>
        <w:t>地面建构筑物全部</w:t>
      </w:r>
      <w:r w:rsidR="002B21D1">
        <w:rPr>
          <w:rFonts w:ascii="宋体" w:hAnsi="宋体" w:hint="eastAsia"/>
          <w:color w:val="FF0000"/>
          <w:sz w:val="24"/>
        </w:rPr>
        <w:t>拆除</w:t>
      </w:r>
      <w:r w:rsidRPr="002B21D1">
        <w:rPr>
          <w:rFonts w:ascii="宋体" w:hAnsi="宋体" w:hint="eastAsia"/>
          <w:color w:val="FF0000"/>
          <w:sz w:val="24"/>
        </w:rPr>
        <w:t>新建。</w:t>
      </w:r>
    </w:p>
    <w:p w:rsidR="00C223F5" w:rsidRDefault="005860D5">
      <w:pPr>
        <w:spacing w:line="360" w:lineRule="auto"/>
        <w:ind w:firstLineChars="200" w:firstLine="480"/>
        <w:rPr>
          <w:sz w:val="24"/>
        </w:rPr>
      </w:pPr>
      <w:r>
        <w:rPr>
          <w:rFonts w:hint="eastAsia"/>
          <w:sz w:val="24"/>
        </w:rPr>
        <w:t>天云</w:t>
      </w:r>
      <w:r>
        <w:rPr>
          <w:sz w:val="24"/>
        </w:rPr>
        <w:t>煤矿煤炭资源整合项目主要</w:t>
      </w:r>
      <w:r>
        <w:rPr>
          <w:rFonts w:hint="eastAsia"/>
          <w:sz w:val="24"/>
        </w:rPr>
        <w:t>工程</w:t>
      </w:r>
      <w:r>
        <w:rPr>
          <w:sz w:val="24"/>
        </w:rPr>
        <w:t>组成及建设情况见表</w:t>
      </w:r>
      <w:r>
        <w:rPr>
          <w:sz w:val="24"/>
        </w:rPr>
        <w:t>2.1.</w:t>
      </w:r>
      <w:r>
        <w:rPr>
          <w:rFonts w:hint="eastAsia"/>
          <w:sz w:val="24"/>
        </w:rPr>
        <w:t>2</w:t>
      </w:r>
      <w:r>
        <w:rPr>
          <w:sz w:val="24"/>
        </w:rPr>
        <w:t>-1</w:t>
      </w:r>
      <w:r>
        <w:rPr>
          <w:sz w:val="24"/>
        </w:rPr>
        <w:t>。</w:t>
      </w:r>
    </w:p>
    <w:p w:rsidR="00C223F5" w:rsidRDefault="00C223F5">
      <w:pPr>
        <w:spacing w:line="360" w:lineRule="auto"/>
        <w:ind w:firstLineChars="200" w:firstLine="480"/>
        <w:rPr>
          <w:rFonts w:hAnsi="宋体"/>
          <w:sz w:val="24"/>
        </w:rPr>
        <w:sectPr w:rsidR="00C223F5">
          <w:footerReference w:type="even" r:id="rId15"/>
          <w:footerReference w:type="default" r:id="rId16"/>
          <w:pgSz w:w="11907" w:h="16840"/>
          <w:pgMar w:top="1440" w:right="1701" w:bottom="1440" w:left="1701" w:header="851" w:footer="992" w:gutter="0"/>
          <w:cols w:space="425"/>
          <w:docGrid w:linePitch="312"/>
        </w:sectPr>
      </w:pPr>
    </w:p>
    <w:p w:rsidR="00C223F5" w:rsidRDefault="005860D5">
      <w:pPr>
        <w:tabs>
          <w:tab w:val="left" w:pos="3885"/>
        </w:tabs>
        <w:topLinePunct/>
        <w:jc w:val="center"/>
        <w:rPr>
          <w:b/>
          <w:bCs/>
          <w:sz w:val="24"/>
        </w:rPr>
      </w:pPr>
      <w:r>
        <w:rPr>
          <w:b/>
          <w:sz w:val="24"/>
        </w:rPr>
        <w:lastRenderedPageBreak/>
        <w:t>表</w:t>
      </w:r>
      <w:r>
        <w:rPr>
          <w:rFonts w:hint="eastAsia"/>
          <w:b/>
          <w:sz w:val="24"/>
        </w:rPr>
        <w:t xml:space="preserve">2.1.2-1   </w:t>
      </w:r>
      <w:r>
        <w:rPr>
          <w:rFonts w:hint="eastAsia"/>
          <w:b/>
          <w:sz w:val="24"/>
        </w:rPr>
        <w:t>本</w:t>
      </w:r>
      <w:r>
        <w:rPr>
          <w:rFonts w:hAnsi="宋体"/>
          <w:b/>
          <w:bCs/>
          <w:sz w:val="24"/>
        </w:rPr>
        <w:t>项目</w:t>
      </w:r>
      <w:r>
        <w:rPr>
          <w:rFonts w:hAnsi="宋体" w:hint="eastAsia"/>
          <w:b/>
          <w:bCs/>
          <w:sz w:val="24"/>
        </w:rPr>
        <w:t>整合前后工程</w:t>
      </w:r>
      <w:r>
        <w:rPr>
          <w:rFonts w:hAnsi="宋体"/>
          <w:b/>
          <w:bCs/>
          <w:sz w:val="24"/>
        </w:rPr>
        <w:t>组成</w:t>
      </w:r>
      <w:r>
        <w:rPr>
          <w:rFonts w:hAnsi="宋体" w:hint="eastAsia"/>
          <w:b/>
          <w:bCs/>
          <w:sz w:val="24"/>
        </w:rPr>
        <w:t>及建设情况一览表</w:t>
      </w:r>
    </w:p>
    <w:tbl>
      <w:tblPr>
        <w:tblW w:w="145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1" w:type="dxa"/>
          <w:right w:w="11" w:type="dxa"/>
        </w:tblCellMar>
        <w:tblLook w:val="04A0" w:firstRow="1" w:lastRow="0" w:firstColumn="1" w:lastColumn="0" w:noHBand="0" w:noVBand="1"/>
      </w:tblPr>
      <w:tblGrid>
        <w:gridCol w:w="357"/>
        <w:gridCol w:w="283"/>
        <w:gridCol w:w="1042"/>
        <w:gridCol w:w="4111"/>
        <w:gridCol w:w="854"/>
        <w:gridCol w:w="3878"/>
        <w:gridCol w:w="1316"/>
        <w:gridCol w:w="2693"/>
      </w:tblGrid>
      <w:tr w:rsidR="00C223F5">
        <w:trPr>
          <w:trHeight w:val="270"/>
          <w:tblHeader/>
          <w:jc w:val="center"/>
        </w:trPr>
        <w:tc>
          <w:tcPr>
            <w:tcW w:w="640" w:type="dxa"/>
            <w:gridSpan w:val="2"/>
            <w:vMerge w:val="restart"/>
            <w:vAlign w:val="center"/>
          </w:tcPr>
          <w:p w:rsidR="00C223F5" w:rsidRDefault="005860D5">
            <w:pPr>
              <w:jc w:val="center"/>
              <w:rPr>
                <w:szCs w:val="21"/>
              </w:rPr>
            </w:pPr>
            <w:r>
              <w:rPr>
                <w:szCs w:val="21"/>
              </w:rPr>
              <w:t>工程</w:t>
            </w:r>
          </w:p>
          <w:p w:rsidR="00C223F5" w:rsidRDefault="005860D5">
            <w:pPr>
              <w:jc w:val="center"/>
              <w:rPr>
                <w:szCs w:val="21"/>
              </w:rPr>
            </w:pPr>
            <w:r>
              <w:rPr>
                <w:szCs w:val="21"/>
              </w:rPr>
              <w:t>类别</w:t>
            </w:r>
          </w:p>
        </w:tc>
        <w:tc>
          <w:tcPr>
            <w:tcW w:w="1042" w:type="dxa"/>
            <w:vMerge w:val="restart"/>
            <w:vAlign w:val="center"/>
          </w:tcPr>
          <w:p w:rsidR="00C223F5" w:rsidRDefault="005860D5">
            <w:pPr>
              <w:jc w:val="center"/>
              <w:rPr>
                <w:szCs w:val="21"/>
              </w:rPr>
            </w:pPr>
            <w:r>
              <w:rPr>
                <w:szCs w:val="21"/>
              </w:rPr>
              <w:t>单项工程</w:t>
            </w:r>
          </w:p>
        </w:tc>
        <w:tc>
          <w:tcPr>
            <w:tcW w:w="4965" w:type="dxa"/>
            <w:gridSpan w:val="2"/>
            <w:vAlign w:val="center"/>
          </w:tcPr>
          <w:p w:rsidR="00C223F5" w:rsidRDefault="005860D5">
            <w:pPr>
              <w:jc w:val="center"/>
              <w:rPr>
                <w:szCs w:val="21"/>
              </w:rPr>
            </w:pPr>
            <w:r>
              <w:rPr>
                <w:rFonts w:eastAsiaTheme="minorEastAsia" w:hint="eastAsia"/>
                <w:szCs w:val="21"/>
              </w:rPr>
              <w:t>原天云煤矿工程</w:t>
            </w:r>
          </w:p>
        </w:tc>
        <w:tc>
          <w:tcPr>
            <w:tcW w:w="7887" w:type="dxa"/>
            <w:gridSpan w:val="3"/>
            <w:vAlign w:val="center"/>
          </w:tcPr>
          <w:p w:rsidR="00C223F5" w:rsidRDefault="005860D5">
            <w:pPr>
              <w:jc w:val="center"/>
              <w:rPr>
                <w:szCs w:val="21"/>
              </w:rPr>
            </w:pPr>
            <w:r>
              <w:rPr>
                <w:rFonts w:eastAsiaTheme="minorEastAsia" w:hint="eastAsia"/>
                <w:szCs w:val="21"/>
              </w:rPr>
              <w:t>本次整合工程</w:t>
            </w:r>
          </w:p>
        </w:tc>
      </w:tr>
      <w:tr w:rsidR="00C223F5">
        <w:trPr>
          <w:trHeight w:val="98"/>
          <w:tblHeader/>
          <w:jc w:val="center"/>
        </w:trPr>
        <w:tc>
          <w:tcPr>
            <w:tcW w:w="640" w:type="dxa"/>
            <w:gridSpan w:val="2"/>
            <w:vMerge/>
            <w:vAlign w:val="center"/>
          </w:tcPr>
          <w:p w:rsidR="00C223F5" w:rsidRDefault="00C223F5">
            <w:pPr>
              <w:jc w:val="center"/>
              <w:rPr>
                <w:szCs w:val="21"/>
              </w:rPr>
            </w:pPr>
          </w:p>
        </w:tc>
        <w:tc>
          <w:tcPr>
            <w:tcW w:w="1042" w:type="dxa"/>
            <w:vMerge/>
            <w:vAlign w:val="center"/>
          </w:tcPr>
          <w:p w:rsidR="00C223F5" w:rsidRDefault="00C223F5">
            <w:pPr>
              <w:jc w:val="center"/>
              <w:rPr>
                <w:szCs w:val="21"/>
              </w:rPr>
            </w:pPr>
          </w:p>
        </w:tc>
        <w:tc>
          <w:tcPr>
            <w:tcW w:w="4111" w:type="dxa"/>
            <w:vAlign w:val="center"/>
          </w:tcPr>
          <w:p w:rsidR="00C223F5" w:rsidRDefault="005860D5">
            <w:pPr>
              <w:jc w:val="center"/>
              <w:rPr>
                <w:rFonts w:eastAsiaTheme="minorEastAsia"/>
                <w:szCs w:val="21"/>
              </w:rPr>
            </w:pPr>
            <w:r>
              <w:rPr>
                <w:szCs w:val="21"/>
              </w:rPr>
              <w:t>工程内容</w:t>
            </w:r>
          </w:p>
        </w:tc>
        <w:tc>
          <w:tcPr>
            <w:tcW w:w="854" w:type="dxa"/>
            <w:vAlign w:val="center"/>
          </w:tcPr>
          <w:p w:rsidR="00C223F5" w:rsidRDefault="005860D5">
            <w:pPr>
              <w:jc w:val="center"/>
              <w:rPr>
                <w:spacing w:val="-6"/>
                <w:szCs w:val="21"/>
              </w:rPr>
            </w:pPr>
            <w:r>
              <w:rPr>
                <w:rFonts w:hint="eastAsia"/>
                <w:spacing w:val="-6"/>
                <w:szCs w:val="21"/>
              </w:rPr>
              <w:t>后续要求</w:t>
            </w:r>
          </w:p>
        </w:tc>
        <w:tc>
          <w:tcPr>
            <w:tcW w:w="3878" w:type="dxa"/>
            <w:vAlign w:val="center"/>
          </w:tcPr>
          <w:p w:rsidR="00C223F5" w:rsidRDefault="005860D5">
            <w:pPr>
              <w:jc w:val="center"/>
              <w:rPr>
                <w:szCs w:val="21"/>
              </w:rPr>
            </w:pPr>
            <w:r>
              <w:rPr>
                <w:szCs w:val="21"/>
              </w:rPr>
              <w:t>工程内容</w:t>
            </w:r>
          </w:p>
        </w:tc>
        <w:tc>
          <w:tcPr>
            <w:tcW w:w="1316" w:type="dxa"/>
            <w:vAlign w:val="center"/>
          </w:tcPr>
          <w:p w:rsidR="00C223F5" w:rsidRDefault="005860D5">
            <w:pPr>
              <w:jc w:val="center"/>
              <w:rPr>
                <w:szCs w:val="21"/>
              </w:rPr>
            </w:pPr>
            <w:r>
              <w:rPr>
                <w:rFonts w:hint="eastAsia"/>
                <w:szCs w:val="21"/>
              </w:rPr>
              <w:t>依托关系</w:t>
            </w:r>
          </w:p>
        </w:tc>
        <w:tc>
          <w:tcPr>
            <w:tcW w:w="2693" w:type="dxa"/>
            <w:vAlign w:val="center"/>
          </w:tcPr>
          <w:p w:rsidR="00C223F5" w:rsidRDefault="005860D5">
            <w:pPr>
              <w:jc w:val="center"/>
              <w:rPr>
                <w:szCs w:val="21"/>
              </w:rPr>
            </w:pPr>
            <w:r>
              <w:rPr>
                <w:rFonts w:hint="eastAsia"/>
                <w:szCs w:val="21"/>
              </w:rPr>
              <w:t>备注</w:t>
            </w:r>
          </w:p>
        </w:tc>
      </w:tr>
      <w:tr w:rsidR="00C223F5">
        <w:trPr>
          <w:trHeight w:val="415"/>
          <w:tblHeader/>
          <w:jc w:val="center"/>
        </w:trPr>
        <w:tc>
          <w:tcPr>
            <w:tcW w:w="640" w:type="dxa"/>
            <w:gridSpan w:val="2"/>
            <w:vMerge w:val="restart"/>
            <w:vAlign w:val="center"/>
          </w:tcPr>
          <w:p w:rsidR="00C223F5" w:rsidRDefault="005860D5">
            <w:pPr>
              <w:jc w:val="center"/>
              <w:rPr>
                <w:szCs w:val="21"/>
              </w:rPr>
            </w:pPr>
            <w:r>
              <w:rPr>
                <w:szCs w:val="21"/>
              </w:rPr>
              <w:t>工程</w:t>
            </w:r>
          </w:p>
          <w:p w:rsidR="00C223F5" w:rsidRDefault="005860D5">
            <w:pPr>
              <w:jc w:val="center"/>
              <w:rPr>
                <w:color w:val="FF0000"/>
                <w:szCs w:val="21"/>
              </w:rPr>
            </w:pPr>
            <w:r>
              <w:rPr>
                <w:szCs w:val="21"/>
              </w:rPr>
              <w:t>概况</w:t>
            </w:r>
          </w:p>
        </w:tc>
        <w:tc>
          <w:tcPr>
            <w:tcW w:w="1042" w:type="dxa"/>
            <w:vAlign w:val="center"/>
          </w:tcPr>
          <w:p w:rsidR="00C223F5" w:rsidRDefault="005860D5">
            <w:pPr>
              <w:jc w:val="center"/>
              <w:rPr>
                <w:rFonts w:eastAsiaTheme="minorEastAsia"/>
                <w:szCs w:val="21"/>
              </w:rPr>
            </w:pPr>
            <w:r>
              <w:rPr>
                <w:rFonts w:eastAsiaTheme="minorEastAsia" w:hAnsiTheme="minorEastAsia"/>
                <w:szCs w:val="21"/>
              </w:rPr>
              <w:t>井田面积</w:t>
            </w:r>
          </w:p>
        </w:tc>
        <w:tc>
          <w:tcPr>
            <w:tcW w:w="4111" w:type="dxa"/>
            <w:vAlign w:val="center"/>
          </w:tcPr>
          <w:p w:rsidR="00C223F5" w:rsidRDefault="005860D5">
            <w:pPr>
              <w:jc w:val="center"/>
              <w:rPr>
                <w:rFonts w:eastAsiaTheme="minorEastAsia"/>
                <w:szCs w:val="21"/>
              </w:rPr>
            </w:pPr>
            <w:r>
              <w:rPr>
                <w:rFonts w:hint="eastAsia"/>
                <w:szCs w:val="21"/>
              </w:rPr>
              <w:t>5.95</w:t>
            </w:r>
            <w:r>
              <w:rPr>
                <w:rFonts w:eastAsiaTheme="minorEastAsia"/>
                <w:szCs w:val="21"/>
              </w:rPr>
              <w:t>km</w:t>
            </w:r>
            <w:r>
              <w:rPr>
                <w:rFonts w:eastAsiaTheme="minorEastAsia"/>
                <w:szCs w:val="21"/>
                <w:vertAlign w:val="superscript"/>
              </w:rPr>
              <w:t>2</w:t>
            </w:r>
          </w:p>
        </w:tc>
        <w:tc>
          <w:tcPr>
            <w:tcW w:w="854" w:type="dxa"/>
            <w:vAlign w:val="center"/>
          </w:tcPr>
          <w:p w:rsidR="00C223F5" w:rsidRDefault="005860D5">
            <w:pPr>
              <w:jc w:val="center"/>
              <w:rPr>
                <w:rFonts w:eastAsiaTheme="minorEastAsia"/>
                <w:szCs w:val="21"/>
              </w:rPr>
            </w:pPr>
            <w:r>
              <w:rPr>
                <w:rFonts w:eastAsiaTheme="minorEastAsia" w:hint="eastAsia"/>
                <w:szCs w:val="21"/>
              </w:rPr>
              <w:t>/</w:t>
            </w:r>
          </w:p>
        </w:tc>
        <w:tc>
          <w:tcPr>
            <w:tcW w:w="3878" w:type="dxa"/>
            <w:vAlign w:val="center"/>
          </w:tcPr>
          <w:p w:rsidR="00C223F5" w:rsidRDefault="005860D5">
            <w:pPr>
              <w:jc w:val="center"/>
              <w:rPr>
                <w:rFonts w:eastAsiaTheme="minorEastAsia"/>
                <w:szCs w:val="21"/>
              </w:rPr>
            </w:pPr>
            <w:r>
              <w:rPr>
                <w:szCs w:val="21"/>
              </w:rPr>
              <w:t>67.1241</w:t>
            </w:r>
            <w:r>
              <w:rPr>
                <w:rFonts w:eastAsiaTheme="minorEastAsia"/>
                <w:szCs w:val="21"/>
              </w:rPr>
              <w:t>km</w:t>
            </w:r>
            <w:r>
              <w:rPr>
                <w:rFonts w:eastAsiaTheme="minorEastAsia"/>
                <w:szCs w:val="21"/>
                <w:vertAlign w:val="superscript"/>
              </w:rPr>
              <w:t>2</w:t>
            </w:r>
          </w:p>
        </w:tc>
        <w:tc>
          <w:tcPr>
            <w:tcW w:w="1316" w:type="dxa"/>
            <w:vAlign w:val="center"/>
          </w:tcPr>
          <w:p w:rsidR="00C223F5" w:rsidRDefault="005860D5">
            <w:pPr>
              <w:jc w:val="center"/>
              <w:rPr>
                <w:rFonts w:eastAsiaTheme="minorEastAsia"/>
                <w:szCs w:val="21"/>
              </w:rPr>
            </w:pPr>
            <w:r>
              <w:rPr>
                <w:rFonts w:eastAsiaTheme="minorEastAsia" w:hint="eastAsia"/>
                <w:szCs w:val="21"/>
              </w:rPr>
              <w:t>面积扩大</w:t>
            </w:r>
          </w:p>
          <w:p w:rsidR="00C223F5" w:rsidRDefault="005860D5">
            <w:pPr>
              <w:jc w:val="center"/>
              <w:rPr>
                <w:rFonts w:eastAsiaTheme="minorEastAsia"/>
                <w:szCs w:val="21"/>
              </w:rPr>
            </w:pPr>
            <w:r>
              <w:rPr>
                <w:rFonts w:eastAsiaTheme="minorEastAsia" w:hint="eastAsia"/>
                <w:szCs w:val="21"/>
              </w:rPr>
              <w:t>61.1741</w:t>
            </w:r>
            <w:r>
              <w:rPr>
                <w:rFonts w:eastAsiaTheme="minorEastAsia"/>
                <w:szCs w:val="21"/>
              </w:rPr>
              <w:t>km</w:t>
            </w:r>
            <w:r>
              <w:rPr>
                <w:rFonts w:eastAsiaTheme="minorEastAsia"/>
                <w:szCs w:val="21"/>
                <w:vertAlign w:val="superscript"/>
              </w:rPr>
              <w:t>2</w:t>
            </w:r>
          </w:p>
        </w:tc>
        <w:tc>
          <w:tcPr>
            <w:tcW w:w="2693" w:type="dxa"/>
            <w:vAlign w:val="center"/>
          </w:tcPr>
          <w:p w:rsidR="00C223F5" w:rsidRDefault="005860D5">
            <w:pPr>
              <w:jc w:val="center"/>
              <w:rPr>
                <w:rFonts w:eastAsiaTheme="minorEastAsia"/>
                <w:szCs w:val="21"/>
              </w:rPr>
            </w:pPr>
            <w:r>
              <w:rPr>
                <w:rFonts w:eastAsiaTheme="minorEastAsia" w:hAnsiTheme="minorEastAsia" w:hint="eastAsia"/>
                <w:szCs w:val="21"/>
              </w:rPr>
              <w:t>增加</w:t>
            </w:r>
            <w:r>
              <w:rPr>
                <w:rFonts w:hAnsi="宋体"/>
                <w:szCs w:val="21"/>
              </w:rPr>
              <w:t>横山县沈石畔勘查区以及部分石湾煤矿地质普查区</w:t>
            </w:r>
          </w:p>
        </w:tc>
      </w:tr>
      <w:tr w:rsidR="00C223F5">
        <w:trPr>
          <w:trHeight w:val="65"/>
          <w:tblHeader/>
          <w:jc w:val="center"/>
        </w:trPr>
        <w:tc>
          <w:tcPr>
            <w:tcW w:w="640" w:type="dxa"/>
            <w:gridSpan w:val="2"/>
            <w:vMerge/>
            <w:vAlign w:val="center"/>
          </w:tcPr>
          <w:p w:rsidR="00C223F5" w:rsidRDefault="00C223F5">
            <w:pPr>
              <w:jc w:val="center"/>
              <w:rPr>
                <w:color w:val="FF0000"/>
                <w:szCs w:val="21"/>
              </w:rPr>
            </w:pPr>
          </w:p>
        </w:tc>
        <w:tc>
          <w:tcPr>
            <w:tcW w:w="1042" w:type="dxa"/>
            <w:vAlign w:val="center"/>
          </w:tcPr>
          <w:p w:rsidR="00C223F5" w:rsidRPr="00925B84" w:rsidRDefault="005860D5">
            <w:pPr>
              <w:jc w:val="center"/>
              <w:rPr>
                <w:rFonts w:eastAsiaTheme="minorEastAsia"/>
                <w:szCs w:val="21"/>
              </w:rPr>
            </w:pPr>
            <w:r w:rsidRPr="00925B84">
              <w:rPr>
                <w:rFonts w:eastAsiaTheme="minorEastAsia" w:hAnsiTheme="minorEastAsia"/>
                <w:szCs w:val="21"/>
              </w:rPr>
              <w:t>生产规模</w:t>
            </w:r>
          </w:p>
        </w:tc>
        <w:tc>
          <w:tcPr>
            <w:tcW w:w="4111" w:type="dxa"/>
            <w:vAlign w:val="center"/>
          </w:tcPr>
          <w:p w:rsidR="007E548D" w:rsidRDefault="005860D5" w:rsidP="007E548D">
            <w:pPr>
              <w:jc w:val="center"/>
              <w:rPr>
                <w:rFonts w:eastAsiaTheme="minorEastAsia"/>
                <w:color w:val="FF0000"/>
                <w:szCs w:val="21"/>
              </w:rPr>
            </w:pPr>
            <w:r w:rsidRPr="00925B84">
              <w:rPr>
                <w:rFonts w:eastAsiaTheme="minorEastAsia" w:hAnsiTheme="minorEastAsia"/>
                <w:szCs w:val="21"/>
              </w:rPr>
              <w:t>矿井</w:t>
            </w:r>
            <w:r w:rsidRPr="00925B84">
              <w:rPr>
                <w:rFonts w:eastAsiaTheme="minorEastAsia" w:hint="eastAsia"/>
                <w:szCs w:val="21"/>
              </w:rPr>
              <w:t>0.42</w:t>
            </w:r>
            <w:r w:rsidRPr="00925B84">
              <w:rPr>
                <w:rFonts w:eastAsiaTheme="minorEastAsia"/>
                <w:szCs w:val="21"/>
              </w:rPr>
              <w:t>Mt/a</w:t>
            </w:r>
            <w:r w:rsidRPr="00925B84">
              <w:rPr>
                <w:rFonts w:eastAsiaTheme="minorEastAsia" w:hint="eastAsia"/>
                <w:szCs w:val="21"/>
              </w:rPr>
              <w:t>（验收规模）</w:t>
            </w:r>
            <w:r w:rsidR="007E548D">
              <w:rPr>
                <w:rFonts w:eastAsiaTheme="minorEastAsia" w:hint="eastAsia"/>
                <w:szCs w:val="21"/>
              </w:rPr>
              <w:t>，</w:t>
            </w:r>
            <w:r w:rsidR="007E548D" w:rsidRPr="007E548D">
              <w:rPr>
                <w:rFonts w:eastAsiaTheme="minorEastAsia" w:hint="eastAsia"/>
                <w:color w:val="FF0000"/>
                <w:szCs w:val="21"/>
              </w:rPr>
              <w:t>生产能力核定</w:t>
            </w:r>
          </w:p>
          <w:p w:rsidR="00C223F5" w:rsidRPr="00925B84" w:rsidRDefault="007E548D" w:rsidP="007E548D">
            <w:pPr>
              <w:jc w:val="center"/>
              <w:rPr>
                <w:rFonts w:eastAsiaTheme="minorEastAsia"/>
                <w:szCs w:val="21"/>
              </w:rPr>
            </w:pPr>
            <w:r w:rsidRPr="007E548D">
              <w:rPr>
                <w:rFonts w:eastAsiaTheme="minorEastAsia" w:hint="eastAsia"/>
                <w:color w:val="FF0000"/>
                <w:szCs w:val="21"/>
              </w:rPr>
              <w:t>规模</w:t>
            </w:r>
            <w:r w:rsidRPr="007E548D">
              <w:rPr>
                <w:rFonts w:eastAsiaTheme="minorEastAsia" w:hint="eastAsia"/>
                <w:color w:val="FF0000"/>
                <w:szCs w:val="21"/>
              </w:rPr>
              <w:t>0.60</w:t>
            </w:r>
            <w:r w:rsidRPr="007E548D">
              <w:rPr>
                <w:rFonts w:eastAsiaTheme="minorEastAsia"/>
                <w:color w:val="FF0000"/>
                <w:szCs w:val="21"/>
              </w:rPr>
              <w:t>Mt/a</w:t>
            </w:r>
          </w:p>
        </w:tc>
        <w:tc>
          <w:tcPr>
            <w:tcW w:w="854"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w:t>
            </w:r>
          </w:p>
        </w:tc>
        <w:tc>
          <w:tcPr>
            <w:tcW w:w="3878" w:type="dxa"/>
            <w:vAlign w:val="center"/>
          </w:tcPr>
          <w:p w:rsidR="00C223F5" w:rsidRPr="00925B84" w:rsidRDefault="005860D5">
            <w:pPr>
              <w:jc w:val="center"/>
              <w:rPr>
                <w:rFonts w:eastAsiaTheme="minorEastAsia"/>
                <w:szCs w:val="21"/>
              </w:rPr>
            </w:pPr>
            <w:r w:rsidRPr="00925B84">
              <w:rPr>
                <w:rFonts w:eastAsiaTheme="minorEastAsia" w:hint="eastAsia"/>
                <w:szCs w:val="21"/>
              </w:rPr>
              <w:t>矿井</w:t>
            </w:r>
            <w:r w:rsidRPr="00925B84">
              <w:rPr>
                <w:rFonts w:eastAsiaTheme="minorEastAsia" w:hint="eastAsia"/>
                <w:szCs w:val="21"/>
              </w:rPr>
              <w:t>0.90</w:t>
            </w:r>
            <w:r w:rsidRPr="00925B84">
              <w:rPr>
                <w:rFonts w:eastAsiaTheme="minorEastAsia"/>
                <w:szCs w:val="21"/>
              </w:rPr>
              <w:t>Mt/a</w:t>
            </w:r>
            <w:r w:rsidRPr="00925B84">
              <w:rPr>
                <w:rFonts w:eastAsiaTheme="minorEastAsia" w:hAnsiTheme="minorEastAsia" w:hint="eastAsia"/>
                <w:szCs w:val="21"/>
              </w:rPr>
              <w:t>，配套</w:t>
            </w:r>
            <w:r w:rsidRPr="00925B84">
              <w:rPr>
                <w:rFonts w:eastAsiaTheme="minorEastAsia" w:hAnsiTheme="minorEastAsia"/>
                <w:szCs w:val="21"/>
              </w:rPr>
              <w:t>选煤厂</w:t>
            </w:r>
            <w:r w:rsidRPr="00925B84">
              <w:rPr>
                <w:rFonts w:eastAsiaTheme="minorEastAsia" w:hAnsiTheme="minorEastAsia" w:hint="eastAsia"/>
                <w:szCs w:val="21"/>
              </w:rPr>
              <w:t>0.90</w:t>
            </w:r>
            <w:r w:rsidRPr="00925B84">
              <w:rPr>
                <w:rFonts w:eastAsiaTheme="minorEastAsia"/>
                <w:szCs w:val="21"/>
              </w:rPr>
              <w:t>Mt/a</w:t>
            </w:r>
          </w:p>
        </w:tc>
        <w:tc>
          <w:tcPr>
            <w:tcW w:w="1316" w:type="dxa"/>
            <w:vAlign w:val="center"/>
          </w:tcPr>
          <w:p w:rsidR="00C223F5" w:rsidRPr="00925B84" w:rsidRDefault="005860D5">
            <w:pPr>
              <w:jc w:val="center"/>
              <w:rPr>
                <w:rFonts w:eastAsiaTheme="minorEastAsia"/>
                <w:szCs w:val="21"/>
              </w:rPr>
            </w:pPr>
            <w:r w:rsidRPr="00925B84">
              <w:rPr>
                <w:rFonts w:eastAsiaTheme="minorEastAsia" w:hint="eastAsia"/>
                <w:szCs w:val="21"/>
              </w:rPr>
              <w:t>/</w:t>
            </w:r>
          </w:p>
        </w:tc>
        <w:tc>
          <w:tcPr>
            <w:tcW w:w="2693" w:type="dxa"/>
            <w:vAlign w:val="center"/>
          </w:tcPr>
          <w:p w:rsidR="00C223F5" w:rsidRPr="00925B84" w:rsidRDefault="005860D5" w:rsidP="007E548D">
            <w:pPr>
              <w:jc w:val="center"/>
              <w:rPr>
                <w:rFonts w:eastAsiaTheme="minorEastAsia"/>
                <w:szCs w:val="21"/>
              </w:rPr>
            </w:pPr>
            <w:r w:rsidRPr="00925B84">
              <w:rPr>
                <w:rFonts w:eastAsiaTheme="minorEastAsia" w:hint="eastAsia"/>
                <w:szCs w:val="21"/>
              </w:rPr>
              <w:t>规模增</w:t>
            </w:r>
            <w:r w:rsidRPr="007E548D">
              <w:rPr>
                <w:rFonts w:eastAsiaTheme="minorEastAsia" w:hint="eastAsia"/>
                <w:color w:val="FF0000"/>
                <w:szCs w:val="21"/>
              </w:rPr>
              <w:t>加</w:t>
            </w:r>
            <w:r w:rsidRPr="007E548D">
              <w:rPr>
                <w:rFonts w:eastAsiaTheme="minorEastAsia" w:hAnsiTheme="minorEastAsia" w:hint="eastAsia"/>
                <w:color w:val="FF0000"/>
                <w:szCs w:val="21"/>
              </w:rPr>
              <w:t>0.</w:t>
            </w:r>
            <w:r w:rsidR="007E548D" w:rsidRPr="007E548D">
              <w:rPr>
                <w:rFonts w:eastAsiaTheme="minorEastAsia" w:hAnsiTheme="minorEastAsia" w:hint="eastAsia"/>
                <w:color w:val="FF0000"/>
                <w:szCs w:val="21"/>
              </w:rPr>
              <w:t>30</w:t>
            </w:r>
            <w:r w:rsidRPr="007E548D">
              <w:rPr>
                <w:rFonts w:eastAsiaTheme="minorEastAsia"/>
                <w:color w:val="FF0000"/>
                <w:szCs w:val="21"/>
              </w:rPr>
              <w:t>Mt/a</w:t>
            </w:r>
            <w:r w:rsidRPr="007E548D">
              <w:rPr>
                <w:rFonts w:eastAsiaTheme="minorEastAsia" w:hint="eastAsia"/>
                <w:color w:val="FF0000"/>
                <w:szCs w:val="21"/>
              </w:rPr>
              <w:t>，</w:t>
            </w:r>
            <w:r w:rsidRPr="00925B84">
              <w:rPr>
                <w:rFonts w:eastAsiaTheme="minorEastAsia" w:hint="eastAsia"/>
                <w:szCs w:val="21"/>
              </w:rPr>
              <w:t>配套建设选煤厂</w:t>
            </w:r>
          </w:p>
        </w:tc>
      </w:tr>
      <w:tr w:rsidR="00C223F5">
        <w:trPr>
          <w:trHeight w:val="65"/>
          <w:tblHeader/>
          <w:jc w:val="center"/>
        </w:trPr>
        <w:tc>
          <w:tcPr>
            <w:tcW w:w="640" w:type="dxa"/>
            <w:gridSpan w:val="2"/>
            <w:vMerge/>
            <w:vAlign w:val="center"/>
          </w:tcPr>
          <w:p w:rsidR="00C223F5" w:rsidRDefault="00C223F5">
            <w:pPr>
              <w:jc w:val="center"/>
              <w:rPr>
                <w:color w:val="FF0000"/>
                <w:szCs w:val="21"/>
              </w:rPr>
            </w:pPr>
          </w:p>
        </w:tc>
        <w:tc>
          <w:tcPr>
            <w:tcW w:w="1042" w:type="dxa"/>
            <w:vAlign w:val="center"/>
          </w:tcPr>
          <w:p w:rsidR="00C223F5" w:rsidRPr="00925B84" w:rsidRDefault="005860D5">
            <w:pPr>
              <w:jc w:val="center"/>
              <w:rPr>
                <w:rFonts w:eastAsiaTheme="minorEastAsia"/>
                <w:szCs w:val="21"/>
              </w:rPr>
            </w:pPr>
            <w:r w:rsidRPr="00925B84">
              <w:rPr>
                <w:rFonts w:eastAsiaTheme="minorEastAsia" w:hAnsiTheme="minorEastAsia"/>
                <w:szCs w:val="21"/>
              </w:rPr>
              <w:t>开采煤层</w:t>
            </w:r>
          </w:p>
        </w:tc>
        <w:tc>
          <w:tcPr>
            <w:tcW w:w="4111" w:type="dxa"/>
            <w:vAlign w:val="center"/>
          </w:tcPr>
          <w:p w:rsidR="00C223F5" w:rsidRPr="00925B84" w:rsidRDefault="005860D5">
            <w:pPr>
              <w:jc w:val="center"/>
              <w:rPr>
                <w:rFonts w:eastAsiaTheme="minorEastAsia"/>
                <w:b/>
                <w:spacing w:val="-16"/>
                <w:szCs w:val="21"/>
              </w:rPr>
            </w:pPr>
            <w:r w:rsidRPr="00925B84">
              <w:rPr>
                <w:rFonts w:eastAsiaTheme="minorEastAsia" w:hint="eastAsia"/>
                <w:spacing w:val="-16"/>
                <w:szCs w:val="21"/>
              </w:rPr>
              <w:t>4</w:t>
            </w:r>
            <w:r w:rsidRPr="00925B84">
              <w:rPr>
                <w:rFonts w:eastAsiaTheme="minorEastAsia" w:hint="eastAsia"/>
                <w:spacing w:val="-16"/>
                <w:szCs w:val="21"/>
                <w:vertAlign w:val="superscript"/>
              </w:rPr>
              <w:t>-1</w:t>
            </w:r>
            <w:r w:rsidRPr="00925B84">
              <w:rPr>
                <w:rFonts w:eastAsiaTheme="minorEastAsia" w:hAnsiTheme="minorEastAsia"/>
                <w:spacing w:val="-16"/>
                <w:szCs w:val="21"/>
              </w:rPr>
              <w:t>号</w:t>
            </w:r>
          </w:p>
        </w:tc>
        <w:tc>
          <w:tcPr>
            <w:tcW w:w="854" w:type="dxa"/>
            <w:vAlign w:val="center"/>
          </w:tcPr>
          <w:p w:rsidR="00C223F5" w:rsidRPr="00925B84" w:rsidRDefault="005860D5">
            <w:pPr>
              <w:jc w:val="center"/>
              <w:rPr>
                <w:rFonts w:eastAsiaTheme="minorEastAsia"/>
                <w:spacing w:val="-16"/>
                <w:szCs w:val="21"/>
              </w:rPr>
            </w:pPr>
            <w:r w:rsidRPr="00925B84">
              <w:rPr>
                <w:rFonts w:eastAsiaTheme="minorEastAsia" w:hint="eastAsia"/>
                <w:spacing w:val="-16"/>
                <w:szCs w:val="21"/>
              </w:rPr>
              <w:t>/</w:t>
            </w:r>
          </w:p>
        </w:tc>
        <w:tc>
          <w:tcPr>
            <w:tcW w:w="3878" w:type="dxa"/>
            <w:vAlign w:val="center"/>
          </w:tcPr>
          <w:p w:rsidR="00C223F5" w:rsidRPr="00925B84" w:rsidRDefault="005860D5">
            <w:pPr>
              <w:jc w:val="center"/>
              <w:rPr>
                <w:rFonts w:eastAsiaTheme="minorEastAsia"/>
                <w:szCs w:val="21"/>
              </w:rPr>
            </w:pPr>
            <w:r w:rsidRPr="00925B84">
              <w:rPr>
                <w:rFonts w:eastAsiaTheme="minorEastAsia" w:hint="eastAsia"/>
                <w:spacing w:val="-16"/>
                <w:szCs w:val="21"/>
              </w:rPr>
              <w:t>4</w:t>
            </w:r>
            <w:r w:rsidRPr="00925B84">
              <w:rPr>
                <w:rFonts w:eastAsiaTheme="minorEastAsia" w:hint="eastAsia"/>
                <w:spacing w:val="-16"/>
                <w:szCs w:val="21"/>
                <w:vertAlign w:val="superscript"/>
              </w:rPr>
              <w:t>-1</w:t>
            </w:r>
            <w:r w:rsidRPr="00925B84">
              <w:rPr>
                <w:rFonts w:eastAsiaTheme="minorEastAsia" w:hint="eastAsia"/>
                <w:spacing w:val="-16"/>
                <w:szCs w:val="21"/>
              </w:rPr>
              <w:t>号、</w:t>
            </w:r>
            <w:r w:rsidRPr="00925B84">
              <w:rPr>
                <w:rFonts w:eastAsiaTheme="minorEastAsia" w:hint="eastAsia"/>
                <w:spacing w:val="-16"/>
                <w:szCs w:val="21"/>
              </w:rPr>
              <w:t>4</w:t>
            </w:r>
            <w:r w:rsidRPr="00925B84">
              <w:rPr>
                <w:rFonts w:eastAsiaTheme="minorEastAsia" w:hint="eastAsia"/>
                <w:spacing w:val="-16"/>
                <w:szCs w:val="21"/>
                <w:vertAlign w:val="superscript"/>
              </w:rPr>
              <w:t>-2</w:t>
            </w:r>
            <w:r w:rsidRPr="00925B84">
              <w:rPr>
                <w:rFonts w:eastAsiaTheme="minorEastAsia" w:hAnsiTheme="minorEastAsia"/>
                <w:spacing w:val="-16"/>
                <w:szCs w:val="21"/>
              </w:rPr>
              <w:t>号</w:t>
            </w:r>
          </w:p>
        </w:tc>
        <w:tc>
          <w:tcPr>
            <w:tcW w:w="1316" w:type="dxa"/>
            <w:vAlign w:val="center"/>
          </w:tcPr>
          <w:p w:rsidR="00C223F5" w:rsidRPr="00925B84" w:rsidRDefault="005860D5">
            <w:pPr>
              <w:jc w:val="center"/>
              <w:rPr>
                <w:rFonts w:eastAsiaTheme="minorEastAsia"/>
                <w:szCs w:val="21"/>
              </w:rPr>
            </w:pPr>
            <w:r w:rsidRPr="00925B84">
              <w:rPr>
                <w:rFonts w:eastAsiaTheme="minorEastAsia" w:hint="eastAsia"/>
                <w:szCs w:val="21"/>
              </w:rPr>
              <w:t>/</w:t>
            </w:r>
          </w:p>
        </w:tc>
        <w:tc>
          <w:tcPr>
            <w:tcW w:w="2693" w:type="dxa"/>
            <w:vAlign w:val="center"/>
          </w:tcPr>
          <w:p w:rsidR="00C223F5" w:rsidRPr="00925B84" w:rsidRDefault="005860D5">
            <w:pPr>
              <w:jc w:val="center"/>
              <w:rPr>
                <w:rFonts w:eastAsiaTheme="minorEastAsia"/>
                <w:szCs w:val="21"/>
              </w:rPr>
            </w:pPr>
            <w:r w:rsidRPr="00925B84">
              <w:rPr>
                <w:rFonts w:eastAsiaTheme="minorEastAsia" w:hAnsiTheme="minorEastAsia" w:hint="eastAsia"/>
                <w:szCs w:val="21"/>
              </w:rPr>
              <w:t>增采</w:t>
            </w:r>
            <w:r w:rsidRPr="00925B84">
              <w:rPr>
                <w:rFonts w:eastAsiaTheme="minorEastAsia" w:hAnsiTheme="minorEastAsia" w:hint="eastAsia"/>
                <w:szCs w:val="21"/>
              </w:rPr>
              <w:t>4</w:t>
            </w:r>
            <w:r w:rsidRPr="00925B84">
              <w:rPr>
                <w:rFonts w:eastAsiaTheme="minorEastAsia" w:hAnsiTheme="minorEastAsia" w:hint="eastAsia"/>
                <w:szCs w:val="21"/>
                <w:vertAlign w:val="superscript"/>
              </w:rPr>
              <w:t>-2</w:t>
            </w:r>
            <w:r w:rsidRPr="00925B84">
              <w:rPr>
                <w:rFonts w:eastAsiaTheme="minorEastAsia" w:hAnsiTheme="minorEastAsia" w:hint="eastAsia"/>
                <w:szCs w:val="21"/>
              </w:rPr>
              <w:t>煤层</w:t>
            </w:r>
          </w:p>
        </w:tc>
      </w:tr>
      <w:tr w:rsidR="00C223F5">
        <w:trPr>
          <w:trHeight w:val="65"/>
          <w:tblHeader/>
          <w:jc w:val="center"/>
        </w:trPr>
        <w:tc>
          <w:tcPr>
            <w:tcW w:w="640" w:type="dxa"/>
            <w:gridSpan w:val="2"/>
            <w:vMerge/>
            <w:vAlign w:val="center"/>
          </w:tcPr>
          <w:p w:rsidR="00C223F5" w:rsidRDefault="00C223F5">
            <w:pPr>
              <w:jc w:val="center"/>
              <w:rPr>
                <w:color w:val="FF0000"/>
                <w:szCs w:val="21"/>
              </w:rPr>
            </w:pPr>
          </w:p>
        </w:tc>
        <w:tc>
          <w:tcPr>
            <w:tcW w:w="1042"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szCs w:val="21"/>
              </w:rPr>
              <w:t>采煤方法</w:t>
            </w:r>
          </w:p>
        </w:tc>
        <w:tc>
          <w:tcPr>
            <w:tcW w:w="4111"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长壁式普采采煤法，全部垮落法管理顶板</w:t>
            </w:r>
          </w:p>
        </w:tc>
        <w:tc>
          <w:tcPr>
            <w:tcW w:w="854"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w:t>
            </w:r>
          </w:p>
        </w:tc>
        <w:tc>
          <w:tcPr>
            <w:tcW w:w="3878"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长壁后退式一次采全高采煤方法，综采采煤工艺，全部垮落法管理顶板</w:t>
            </w:r>
          </w:p>
        </w:tc>
        <w:tc>
          <w:tcPr>
            <w:tcW w:w="1316"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w:t>
            </w:r>
          </w:p>
        </w:tc>
        <w:tc>
          <w:tcPr>
            <w:tcW w:w="2693"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w:t>
            </w:r>
          </w:p>
        </w:tc>
      </w:tr>
      <w:tr w:rsidR="00C223F5">
        <w:trPr>
          <w:trHeight w:val="65"/>
          <w:tblHeader/>
          <w:jc w:val="center"/>
        </w:trPr>
        <w:tc>
          <w:tcPr>
            <w:tcW w:w="640" w:type="dxa"/>
            <w:gridSpan w:val="2"/>
            <w:vMerge/>
            <w:vAlign w:val="center"/>
          </w:tcPr>
          <w:p w:rsidR="00C223F5" w:rsidRDefault="00C223F5">
            <w:pPr>
              <w:jc w:val="center"/>
              <w:rPr>
                <w:color w:val="FF0000"/>
                <w:szCs w:val="21"/>
              </w:rPr>
            </w:pPr>
          </w:p>
        </w:tc>
        <w:tc>
          <w:tcPr>
            <w:tcW w:w="1042" w:type="dxa"/>
            <w:vAlign w:val="center"/>
          </w:tcPr>
          <w:p w:rsidR="00C223F5" w:rsidRPr="00925B84" w:rsidRDefault="005860D5">
            <w:pPr>
              <w:jc w:val="center"/>
              <w:rPr>
                <w:rFonts w:eastAsiaTheme="minorEastAsia"/>
                <w:szCs w:val="21"/>
              </w:rPr>
            </w:pPr>
            <w:r w:rsidRPr="00925B84">
              <w:rPr>
                <w:rFonts w:eastAsiaTheme="minorEastAsia" w:hAnsiTheme="minorEastAsia"/>
                <w:spacing w:val="5"/>
                <w:szCs w:val="21"/>
              </w:rPr>
              <w:t>工业场地</w:t>
            </w:r>
          </w:p>
        </w:tc>
        <w:tc>
          <w:tcPr>
            <w:tcW w:w="4111" w:type="dxa"/>
            <w:vAlign w:val="center"/>
          </w:tcPr>
          <w:p w:rsidR="00C223F5" w:rsidRPr="00925B84" w:rsidRDefault="005860D5">
            <w:pPr>
              <w:jc w:val="center"/>
              <w:rPr>
                <w:szCs w:val="21"/>
              </w:rPr>
            </w:pPr>
            <w:r w:rsidRPr="00925B84">
              <w:rPr>
                <w:rFonts w:hint="eastAsia"/>
                <w:szCs w:val="21"/>
              </w:rPr>
              <w:t>工业场地位于蚂蚁河北岸的施阳台村，</w:t>
            </w:r>
          </w:p>
          <w:p w:rsidR="00C223F5" w:rsidRPr="00925B84" w:rsidRDefault="005860D5" w:rsidP="00601952">
            <w:pPr>
              <w:jc w:val="center"/>
              <w:rPr>
                <w:rFonts w:eastAsiaTheme="minorEastAsia"/>
                <w:b/>
                <w:szCs w:val="21"/>
              </w:rPr>
            </w:pPr>
            <w:r w:rsidRPr="00925B84">
              <w:rPr>
                <w:rFonts w:eastAsiaTheme="minorEastAsia" w:hAnsiTheme="minorEastAsia"/>
                <w:szCs w:val="21"/>
              </w:rPr>
              <w:t>占地</w:t>
            </w:r>
            <w:r w:rsidR="00601952" w:rsidRPr="00925B84">
              <w:rPr>
                <w:rFonts w:hint="eastAsia"/>
                <w:szCs w:val="21"/>
              </w:rPr>
              <w:t>2.88</w:t>
            </w:r>
            <w:r w:rsidRPr="00925B84">
              <w:rPr>
                <w:szCs w:val="21"/>
              </w:rPr>
              <w:t>hm</w:t>
            </w:r>
            <w:r w:rsidRPr="00925B84">
              <w:rPr>
                <w:szCs w:val="21"/>
                <w:vertAlign w:val="superscript"/>
              </w:rPr>
              <w:t>2</w:t>
            </w:r>
          </w:p>
        </w:tc>
        <w:tc>
          <w:tcPr>
            <w:tcW w:w="854"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建成</w:t>
            </w:r>
            <w:r w:rsidRPr="00925B84">
              <w:rPr>
                <w:rFonts w:eastAsiaTheme="minorEastAsia" w:hAnsiTheme="minorEastAsia" w:hint="eastAsia"/>
                <w:szCs w:val="21"/>
              </w:rPr>
              <w:t>/</w:t>
            </w:r>
          </w:p>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利用</w:t>
            </w:r>
          </w:p>
        </w:tc>
        <w:tc>
          <w:tcPr>
            <w:tcW w:w="3878" w:type="dxa"/>
            <w:vAlign w:val="center"/>
          </w:tcPr>
          <w:p w:rsidR="00C223F5" w:rsidRPr="00925B84" w:rsidRDefault="005860D5">
            <w:pPr>
              <w:jc w:val="center"/>
              <w:rPr>
                <w:rFonts w:eastAsiaTheme="minorEastAsia"/>
                <w:b/>
                <w:szCs w:val="21"/>
              </w:rPr>
            </w:pPr>
            <w:r w:rsidRPr="00925B84">
              <w:rPr>
                <w:rFonts w:eastAsiaTheme="minorEastAsia" w:hAnsiTheme="minorEastAsia" w:hint="eastAsia"/>
                <w:szCs w:val="21"/>
              </w:rPr>
              <w:t>在原工业场地基础上向东北扩建</w:t>
            </w:r>
            <w:r w:rsidRPr="00925B84">
              <w:rPr>
                <w:rFonts w:eastAsiaTheme="minorEastAsia" w:hAnsiTheme="minorEastAsia"/>
                <w:szCs w:val="21"/>
              </w:rPr>
              <w:t>，占地</w:t>
            </w:r>
            <w:r w:rsidRPr="00925B84">
              <w:rPr>
                <w:rFonts w:eastAsiaTheme="minorEastAsia" w:hint="eastAsia"/>
                <w:szCs w:val="21"/>
              </w:rPr>
              <w:t>6.5</w:t>
            </w:r>
            <w:r w:rsidRPr="00925B84">
              <w:rPr>
                <w:rFonts w:eastAsiaTheme="minorEastAsia"/>
                <w:szCs w:val="21"/>
              </w:rPr>
              <w:t>hm</w:t>
            </w:r>
            <w:r w:rsidRPr="00925B84">
              <w:rPr>
                <w:rFonts w:eastAsiaTheme="minorEastAsia"/>
                <w:szCs w:val="21"/>
                <w:vertAlign w:val="superscript"/>
              </w:rPr>
              <w:t>2</w:t>
            </w:r>
          </w:p>
        </w:tc>
        <w:tc>
          <w:tcPr>
            <w:tcW w:w="1316" w:type="dxa"/>
            <w:vAlign w:val="center"/>
          </w:tcPr>
          <w:p w:rsidR="00C223F5" w:rsidRPr="00925B84" w:rsidRDefault="005860D5">
            <w:pPr>
              <w:adjustRightInd w:val="0"/>
              <w:jc w:val="center"/>
              <w:rPr>
                <w:rFonts w:eastAsiaTheme="minorEastAsia" w:hAnsiTheme="minorEastAsia"/>
                <w:szCs w:val="21"/>
              </w:rPr>
            </w:pPr>
            <w:r w:rsidRPr="00925B84">
              <w:rPr>
                <w:rFonts w:eastAsiaTheme="minorEastAsia" w:hAnsiTheme="minorEastAsia" w:hint="eastAsia"/>
                <w:szCs w:val="21"/>
              </w:rPr>
              <w:t>利用已有</w:t>
            </w:r>
          </w:p>
          <w:p w:rsidR="00C223F5" w:rsidRPr="00925B84" w:rsidRDefault="005860D5">
            <w:pPr>
              <w:adjustRightInd w:val="0"/>
              <w:jc w:val="center"/>
              <w:rPr>
                <w:rFonts w:eastAsiaTheme="minorEastAsia"/>
                <w:szCs w:val="21"/>
              </w:rPr>
            </w:pPr>
            <w:r w:rsidRPr="00925B84">
              <w:rPr>
                <w:rFonts w:eastAsiaTheme="minorEastAsia" w:hAnsiTheme="minorEastAsia" w:hint="eastAsia"/>
                <w:szCs w:val="21"/>
              </w:rPr>
              <w:t>场地扩建</w:t>
            </w:r>
          </w:p>
        </w:tc>
        <w:tc>
          <w:tcPr>
            <w:tcW w:w="2693" w:type="dxa"/>
            <w:vAlign w:val="center"/>
          </w:tcPr>
          <w:p w:rsidR="00C223F5" w:rsidRPr="00925B84" w:rsidRDefault="005860D5" w:rsidP="00601952">
            <w:pPr>
              <w:adjustRightInd w:val="0"/>
              <w:jc w:val="center"/>
              <w:rPr>
                <w:rFonts w:eastAsiaTheme="minorEastAsia"/>
                <w:szCs w:val="21"/>
              </w:rPr>
            </w:pPr>
            <w:r w:rsidRPr="00925B84">
              <w:rPr>
                <w:rFonts w:eastAsiaTheme="minorEastAsia" w:hint="eastAsia"/>
                <w:szCs w:val="21"/>
              </w:rPr>
              <w:t>占地扩大</w:t>
            </w:r>
            <w:r w:rsidR="00601952" w:rsidRPr="00925B84">
              <w:rPr>
                <w:rFonts w:eastAsiaTheme="minorEastAsia" w:hint="eastAsia"/>
                <w:szCs w:val="21"/>
              </w:rPr>
              <w:t>3.62</w:t>
            </w:r>
            <w:r w:rsidRPr="00925B84">
              <w:rPr>
                <w:rFonts w:eastAsiaTheme="minorEastAsia"/>
                <w:szCs w:val="21"/>
              </w:rPr>
              <w:t>hm</w:t>
            </w:r>
            <w:r w:rsidRPr="00925B84">
              <w:rPr>
                <w:rFonts w:eastAsiaTheme="minorEastAsia"/>
                <w:szCs w:val="21"/>
                <w:vertAlign w:val="superscript"/>
              </w:rPr>
              <w:t>2</w:t>
            </w:r>
          </w:p>
        </w:tc>
      </w:tr>
      <w:tr w:rsidR="00C223F5">
        <w:trPr>
          <w:trHeight w:val="65"/>
          <w:tblHeader/>
          <w:jc w:val="center"/>
        </w:trPr>
        <w:tc>
          <w:tcPr>
            <w:tcW w:w="640" w:type="dxa"/>
            <w:gridSpan w:val="2"/>
            <w:vMerge/>
            <w:vAlign w:val="center"/>
          </w:tcPr>
          <w:p w:rsidR="00C223F5" w:rsidRDefault="00C223F5">
            <w:pPr>
              <w:jc w:val="center"/>
              <w:rPr>
                <w:color w:val="FF0000"/>
                <w:szCs w:val="21"/>
              </w:rPr>
            </w:pPr>
          </w:p>
        </w:tc>
        <w:tc>
          <w:tcPr>
            <w:tcW w:w="1042" w:type="dxa"/>
            <w:vAlign w:val="center"/>
          </w:tcPr>
          <w:p w:rsidR="00C223F5" w:rsidRPr="00925B84" w:rsidRDefault="005860D5">
            <w:pPr>
              <w:jc w:val="center"/>
              <w:rPr>
                <w:rFonts w:eastAsiaTheme="minorEastAsia"/>
                <w:spacing w:val="5"/>
                <w:szCs w:val="21"/>
              </w:rPr>
            </w:pPr>
            <w:r w:rsidRPr="00925B84">
              <w:rPr>
                <w:rFonts w:eastAsiaTheme="minorEastAsia"/>
                <w:spacing w:val="5"/>
                <w:szCs w:val="21"/>
              </w:rPr>
              <w:t>炸药库</w:t>
            </w:r>
          </w:p>
        </w:tc>
        <w:tc>
          <w:tcPr>
            <w:tcW w:w="4111" w:type="dxa"/>
            <w:vAlign w:val="center"/>
          </w:tcPr>
          <w:p w:rsidR="00C223F5" w:rsidRPr="00925B84" w:rsidRDefault="005860D5">
            <w:pPr>
              <w:jc w:val="center"/>
              <w:rPr>
                <w:rFonts w:eastAsiaTheme="minorEastAsia"/>
                <w:b/>
                <w:spacing w:val="-6"/>
                <w:szCs w:val="21"/>
              </w:rPr>
            </w:pPr>
            <w:r w:rsidRPr="00925B84">
              <w:rPr>
                <w:szCs w:val="21"/>
              </w:rPr>
              <w:t>位于东庄沟内一级阶地上，占地面积</w:t>
            </w:r>
            <w:r w:rsidRPr="00925B84">
              <w:rPr>
                <w:szCs w:val="21"/>
              </w:rPr>
              <w:t>0.2hm</w:t>
            </w:r>
            <w:r w:rsidRPr="00925B84">
              <w:rPr>
                <w:szCs w:val="21"/>
                <w:vertAlign w:val="superscript"/>
              </w:rPr>
              <w:t>2</w:t>
            </w:r>
            <w:r w:rsidRPr="00925B84">
              <w:rPr>
                <w:szCs w:val="21"/>
              </w:rPr>
              <w:t>，距工业场地</w:t>
            </w:r>
            <w:r w:rsidRPr="00925B84">
              <w:rPr>
                <w:rFonts w:hint="eastAsia"/>
                <w:szCs w:val="21"/>
              </w:rPr>
              <w:t>东北</w:t>
            </w:r>
            <w:r w:rsidRPr="00925B84">
              <w:rPr>
                <w:szCs w:val="21"/>
              </w:rPr>
              <w:t>约</w:t>
            </w:r>
            <w:r w:rsidRPr="00925B84">
              <w:rPr>
                <w:szCs w:val="21"/>
              </w:rPr>
              <w:t>700m</w:t>
            </w:r>
          </w:p>
        </w:tc>
        <w:tc>
          <w:tcPr>
            <w:tcW w:w="854"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建成</w:t>
            </w:r>
            <w:r w:rsidRPr="00925B84">
              <w:rPr>
                <w:rFonts w:eastAsiaTheme="minorEastAsia" w:hAnsiTheme="minorEastAsia" w:hint="eastAsia"/>
                <w:szCs w:val="21"/>
              </w:rPr>
              <w:t>/</w:t>
            </w:r>
          </w:p>
          <w:p w:rsidR="00C223F5" w:rsidRPr="00925B84" w:rsidRDefault="005860D5">
            <w:pPr>
              <w:jc w:val="center"/>
              <w:rPr>
                <w:rFonts w:eastAsiaTheme="minorEastAsia"/>
                <w:szCs w:val="21"/>
              </w:rPr>
            </w:pPr>
            <w:r w:rsidRPr="00925B84">
              <w:rPr>
                <w:rFonts w:eastAsiaTheme="minorEastAsia" w:hAnsiTheme="minorEastAsia" w:hint="eastAsia"/>
                <w:szCs w:val="21"/>
              </w:rPr>
              <w:t>利用</w:t>
            </w:r>
          </w:p>
        </w:tc>
        <w:tc>
          <w:tcPr>
            <w:tcW w:w="3878" w:type="dxa"/>
            <w:vAlign w:val="center"/>
          </w:tcPr>
          <w:p w:rsidR="00C223F5" w:rsidRPr="00925B84" w:rsidRDefault="005860D5">
            <w:pPr>
              <w:jc w:val="center"/>
              <w:rPr>
                <w:rFonts w:eastAsiaTheme="minorEastAsia"/>
                <w:b/>
                <w:szCs w:val="21"/>
              </w:rPr>
            </w:pPr>
            <w:r w:rsidRPr="00925B84">
              <w:rPr>
                <w:rFonts w:eastAsiaTheme="minorEastAsia" w:hAnsiTheme="minorEastAsia"/>
                <w:szCs w:val="21"/>
              </w:rPr>
              <w:t>同</w:t>
            </w:r>
            <w:r w:rsidRPr="00925B84">
              <w:rPr>
                <w:rFonts w:eastAsiaTheme="minorEastAsia" w:hAnsiTheme="minorEastAsia" w:hint="eastAsia"/>
                <w:szCs w:val="21"/>
              </w:rPr>
              <w:t>原</w:t>
            </w:r>
            <w:r w:rsidRPr="00925B84">
              <w:rPr>
                <w:rFonts w:eastAsiaTheme="minorEastAsia" w:hAnsiTheme="minorEastAsia"/>
                <w:szCs w:val="21"/>
              </w:rPr>
              <w:t>整合</w:t>
            </w:r>
          </w:p>
        </w:tc>
        <w:tc>
          <w:tcPr>
            <w:tcW w:w="1316"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利用</w:t>
            </w:r>
            <w:r w:rsidRPr="00925B84">
              <w:rPr>
                <w:rFonts w:eastAsiaTheme="minorEastAsia"/>
                <w:szCs w:val="21"/>
              </w:rPr>
              <w:t>原有</w:t>
            </w:r>
          </w:p>
        </w:tc>
        <w:tc>
          <w:tcPr>
            <w:tcW w:w="2693" w:type="dxa"/>
            <w:vAlign w:val="center"/>
          </w:tcPr>
          <w:p w:rsidR="00C223F5" w:rsidRPr="00925B84" w:rsidRDefault="005860D5">
            <w:pPr>
              <w:jc w:val="center"/>
              <w:rPr>
                <w:rFonts w:eastAsiaTheme="minorEastAsia"/>
                <w:szCs w:val="21"/>
              </w:rPr>
            </w:pPr>
            <w:r w:rsidRPr="00925B84">
              <w:rPr>
                <w:rFonts w:eastAsiaTheme="minorEastAsia"/>
                <w:szCs w:val="21"/>
              </w:rPr>
              <w:t>/</w:t>
            </w:r>
          </w:p>
        </w:tc>
      </w:tr>
      <w:tr w:rsidR="00C223F5">
        <w:trPr>
          <w:trHeight w:val="65"/>
          <w:tblHeader/>
          <w:jc w:val="center"/>
        </w:trPr>
        <w:tc>
          <w:tcPr>
            <w:tcW w:w="640" w:type="dxa"/>
            <w:gridSpan w:val="2"/>
            <w:vMerge/>
            <w:vAlign w:val="center"/>
          </w:tcPr>
          <w:p w:rsidR="00C223F5" w:rsidRDefault="00C223F5">
            <w:pPr>
              <w:jc w:val="center"/>
              <w:rPr>
                <w:color w:val="FF0000"/>
                <w:szCs w:val="21"/>
              </w:rPr>
            </w:pPr>
          </w:p>
        </w:tc>
        <w:tc>
          <w:tcPr>
            <w:tcW w:w="1042" w:type="dxa"/>
            <w:vAlign w:val="center"/>
          </w:tcPr>
          <w:p w:rsidR="00C223F5" w:rsidRPr="00925B84" w:rsidRDefault="005860D5">
            <w:pPr>
              <w:jc w:val="center"/>
              <w:rPr>
                <w:rFonts w:eastAsiaTheme="minorEastAsia"/>
                <w:spacing w:val="5"/>
                <w:szCs w:val="21"/>
              </w:rPr>
            </w:pPr>
            <w:r w:rsidRPr="00925B84">
              <w:rPr>
                <w:szCs w:val="21"/>
              </w:rPr>
              <w:t>排矸场</w:t>
            </w:r>
          </w:p>
        </w:tc>
        <w:tc>
          <w:tcPr>
            <w:tcW w:w="4111" w:type="dxa"/>
            <w:vAlign w:val="center"/>
          </w:tcPr>
          <w:p w:rsidR="00C223F5" w:rsidRPr="00925B84" w:rsidRDefault="005860D5">
            <w:pPr>
              <w:jc w:val="center"/>
              <w:rPr>
                <w:szCs w:val="21"/>
              </w:rPr>
            </w:pPr>
            <w:r w:rsidRPr="00925B84">
              <w:rPr>
                <w:szCs w:val="21"/>
              </w:rPr>
              <w:t>位于工业场地附近东庄沟的支沟核树圪垯，占地面积</w:t>
            </w:r>
            <w:r w:rsidRPr="00925B84">
              <w:rPr>
                <w:szCs w:val="21"/>
              </w:rPr>
              <w:t>0.4hm</w:t>
            </w:r>
            <w:r w:rsidRPr="00925B84">
              <w:rPr>
                <w:szCs w:val="21"/>
                <w:vertAlign w:val="superscript"/>
              </w:rPr>
              <w:t>2</w:t>
            </w:r>
            <w:r w:rsidRPr="00925B84">
              <w:rPr>
                <w:rFonts w:hint="eastAsia"/>
                <w:szCs w:val="21"/>
              </w:rPr>
              <w:t>，</w:t>
            </w:r>
            <w:r w:rsidRPr="007E548D">
              <w:rPr>
                <w:rFonts w:hint="eastAsia"/>
                <w:color w:val="FF0000"/>
                <w:szCs w:val="21"/>
              </w:rPr>
              <w:t>建有</w:t>
            </w:r>
            <w:r w:rsidRPr="007E548D">
              <w:rPr>
                <w:color w:val="FF0000"/>
                <w:szCs w:val="21"/>
              </w:rPr>
              <w:t>拦渣坝</w:t>
            </w:r>
            <w:r w:rsidRPr="007E548D">
              <w:rPr>
                <w:rFonts w:hint="eastAsia"/>
                <w:color w:val="FF0000"/>
                <w:szCs w:val="21"/>
              </w:rPr>
              <w:t>及</w:t>
            </w:r>
            <w:r w:rsidRPr="007E548D">
              <w:rPr>
                <w:color w:val="FF0000"/>
                <w:szCs w:val="21"/>
              </w:rPr>
              <w:t>截排水设施</w:t>
            </w:r>
            <w:r w:rsidRPr="007E548D">
              <w:rPr>
                <w:rFonts w:hint="eastAsia"/>
                <w:color w:val="FF0000"/>
                <w:szCs w:val="21"/>
              </w:rPr>
              <w:t>；目前已不再使用，已覆土并恢复植被</w:t>
            </w:r>
          </w:p>
        </w:tc>
        <w:tc>
          <w:tcPr>
            <w:tcW w:w="854"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建成</w:t>
            </w:r>
            <w:r w:rsidRPr="00925B84">
              <w:rPr>
                <w:rFonts w:eastAsiaTheme="minorEastAsia" w:hAnsiTheme="minorEastAsia" w:hint="eastAsia"/>
                <w:szCs w:val="21"/>
              </w:rPr>
              <w:t>/</w:t>
            </w:r>
          </w:p>
          <w:p w:rsidR="00C223F5" w:rsidRPr="00925B84" w:rsidRDefault="00D723DF">
            <w:pPr>
              <w:jc w:val="center"/>
              <w:rPr>
                <w:rFonts w:eastAsiaTheme="minorEastAsia" w:hAnsiTheme="minorEastAsia"/>
                <w:szCs w:val="21"/>
              </w:rPr>
            </w:pPr>
            <w:r w:rsidRPr="00925B84">
              <w:rPr>
                <w:rFonts w:eastAsiaTheme="minorEastAsia" w:hAnsiTheme="minorEastAsia" w:hint="eastAsia"/>
                <w:szCs w:val="21"/>
              </w:rPr>
              <w:t>已</w:t>
            </w:r>
            <w:r w:rsidR="005860D5" w:rsidRPr="00925B84">
              <w:rPr>
                <w:rFonts w:eastAsiaTheme="minorEastAsia" w:hAnsiTheme="minorEastAsia" w:hint="eastAsia"/>
                <w:szCs w:val="21"/>
              </w:rPr>
              <w:t>恢复</w:t>
            </w:r>
          </w:p>
        </w:tc>
        <w:tc>
          <w:tcPr>
            <w:tcW w:w="3878"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不设置场外矸石场</w:t>
            </w:r>
          </w:p>
        </w:tc>
        <w:tc>
          <w:tcPr>
            <w:tcW w:w="1316"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w:t>
            </w:r>
          </w:p>
        </w:tc>
        <w:tc>
          <w:tcPr>
            <w:tcW w:w="2693" w:type="dxa"/>
            <w:vAlign w:val="center"/>
          </w:tcPr>
          <w:p w:rsidR="00C223F5" w:rsidRPr="00925B84" w:rsidRDefault="005860D5">
            <w:pPr>
              <w:jc w:val="center"/>
              <w:rPr>
                <w:rFonts w:eastAsiaTheme="minorEastAsia"/>
                <w:szCs w:val="21"/>
              </w:rPr>
            </w:pPr>
            <w:r w:rsidRPr="00925B84">
              <w:rPr>
                <w:rFonts w:eastAsiaTheme="minorEastAsia" w:hint="eastAsia"/>
                <w:szCs w:val="21"/>
              </w:rPr>
              <w:t>/</w:t>
            </w:r>
          </w:p>
        </w:tc>
      </w:tr>
      <w:tr w:rsidR="00C223F5">
        <w:trPr>
          <w:trHeight w:val="614"/>
          <w:tblHeader/>
          <w:jc w:val="center"/>
        </w:trPr>
        <w:tc>
          <w:tcPr>
            <w:tcW w:w="357" w:type="dxa"/>
            <w:vMerge w:val="restart"/>
            <w:vAlign w:val="center"/>
          </w:tcPr>
          <w:p w:rsidR="00C223F5" w:rsidRDefault="005860D5">
            <w:pPr>
              <w:jc w:val="center"/>
              <w:rPr>
                <w:szCs w:val="21"/>
              </w:rPr>
            </w:pPr>
            <w:r>
              <w:rPr>
                <w:rFonts w:eastAsiaTheme="minorEastAsia" w:hAnsiTheme="minorEastAsia"/>
                <w:szCs w:val="21"/>
              </w:rPr>
              <w:t>主体工程</w:t>
            </w:r>
          </w:p>
        </w:tc>
        <w:tc>
          <w:tcPr>
            <w:tcW w:w="283" w:type="dxa"/>
            <w:vMerge w:val="restart"/>
            <w:vAlign w:val="center"/>
          </w:tcPr>
          <w:p w:rsidR="00C223F5" w:rsidRDefault="005860D5">
            <w:pPr>
              <w:spacing w:line="320" w:lineRule="exact"/>
              <w:jc w:val="center"/>
              <w:rPr>
                <w:szCs w:val="21"/>
              </w:rPr>
            </w:pPr>
            <w:r>
              <w:rPr>
                <w:szCs w:val="21"/>
              </w:rPr>
              <w:t>井</w:t>
            </w:r>
          </w:p>
          <w:p w:rsidR="00C223F5" w:rsidRDefault="005860D5">
            <w:pPr>
              <w:spacing w:line="320" w:lineRule="exact"/>
              <w:jc w:val="center"/>
              <w:rPr>
                <w:szCs w:val="21"/>
              </w:rPr>
            </w:pPr>
            <w:r>
              <w:rPr>
                <w:szCs w:val="21"/>
              </w:rPr>
              <w:t>巷</w:t>
            </w:r>
          </w:p>
          <w:p w:rsidR="00C223F5" w:rsidRDefault="005860D5">
            <w:pPr>
              <w:spacing w:line="320" w:lineRule="exact"/>
              <w:jc w:val="center"/>
              <w:rPr>
                <w:szCs w:val="21"/>
              </w:rPr>
            </w:pPr>
            <w:r>
              <w:rPr>
                <w:szCs w:val="21"/>
              </w:rPr>
              <w:t>工</w:t>
            </w:r>
          </w:p>
          <w:p w:rsidR="00C223F5" w:rsidRDefault="005860D5">
            <w:pPr>
              <w:jc w:val="center"/>
              <w:rPr>
                <w:szCs w:val="21"/>
              </w:rPr>
            </w:pPr>
            <w:r>
              <w:rPr>
                <w:szCs w:val="21"/>
              </w:rPr>
              <w:t>程</w:t>
            </w:r>
          </w:p>
        </w:tc>
        <w:tc>
          <w:tcPr>
            <w:tcW w:w="1042" w:type="dxa"/>
            <w:vAlign w:val="center"/>
          </w:tcPr>
          <w:p w:rsidR="00C223F5" w:rsidRPr="00925B84" w:rsidRDefault="005860D5">
            <w:pPr>
              <w:autoSpaceDE w:val="0"/>
              <w:autoSpaceDN w:val="0"/>
              <w:adjustRightInd w:val="0"/>
              <w:snapToGrid w:val="0"/>
              <w:jc w:val="center"/>
              <w:rPr>
                <w:kern w:val="0"/>
                <w:szCs w:val="21"/>
              </w:rPr>
            </w:pPr>
            <w:r w:rsidRPr="00925B84">
              <w:rPr>
                <w:kern w:val="0"/>
                <w:szCs w:val="21"/>
              </w:rPr>
              <w:t>主立井</w:t>
            </w:r>
          </w:p>
          <w:p w:rsidR="00C223F5" w:rsidRPr="00925B84" w:rsidRDefault="005860D5">
            <w:pPr>
              <w:autoSpaceDE w:val="0"/>
              <w:autoSpaceDN w:val="0"/>
              <w:adjustRightInd w:val="0"/>
              <w:snapToGrid w:val="0"/>
              <w:jc w:val="center"/>
              <w:rPr>
                <w:kern w:val="0"/>
                <w:szCs w:val="21"/>
              </w:rPr>
            </w:pPr>
            <w:r w:rsidRPr="00925B84">
              <w:rPr>
                <w:rFonts w:hint="eastAsia"/>
                <w:kern w:val="0"/>
                <w:szCs w:val="21"/>
              </w:rPr>
              <w:t>（主斜井）</w:t>
            </w:r>
          </w:p>
        </w:tc>
        <w:tc>
          <w:tcPr>
            <w:tcW w:w="4111" w:type="dxa"/>
            <w:vAlign w:val="center"/>
          </w:tcPr>
          <w:p w:rsidR="00C223F5" w:rsidRPr="00925B84" w:rsidRDefault="005860D5">
            <w:pPr>
              <w:autoSpaceDE w:val="0"/>
              <w:autoSpaceDN w:val="0"/>
              <w:adjustRightInd w:val="0"/>
              <w:snapToGrid w:val="0"/>
              <w:jc w:val="center"/>
              <w:rPr>
                <w:kern w:val="0"/>
                <w:position w:val="-1"/>
                <w:szCs w:val="21"/>
              </w:rPr>
            </w:pPr>
            <w:r w:rsidRPr="00925B84">
              <w:rPr>
                <w:kern w:val="0"/>
                <w:szCs w:val="21"/>
              </w:rPr>
              <w:t>主立井</w:t>
            </w:r>
            <w:r w:rsidRPr="00925B84">
              <w:rPr>
                <w:kern w:val="0"/>
                <w:position w:val="-1"/>
                <w:szCs w:val="21"/>
              </w:rPr>
              <w:t>净断面</w:t>
            </w:r>
            <w:r w:rsidRPr="00925B84">
              <w:rPr>
                <w:kern w:val="0"/>
                <w:position w:val="-1"/>
                <w:szCs w:val="21"/>
              </w:rPr>
              <w:t>5.5m</w:t>
            </w:r>
            <w:r w:rsidRPr="00925B84">
              <w:rPr>
                <w:kern w:val="0"/>
                <w:position w:val="-1"/>
                <w:szCs w:val="21"/>
                <w:vertAlign w:val="superscript"/>
              </w:rPr>
              <w:t>2</w:t>
            </w:r>
            <w:r w:rsidRPr="00925B84">
              <w:rPr>
                <w:kern w:val="0"/>
                <w:position w:val="-1"/>
                <w:szCs w:val="21"/>
              </w:rPr>
              <w:t>，垂深</w:t>
            </w:r>
            <w:r w:rsidRPr="00925B84">
              <w:rPr>
                <w:kern w:val="0"/>
                <w:position w:val="-1"/>
                <w:szCs w:val="21"/>
              </w:rPr>
              <w:t>174m</w:t>
            </w:r>
            <w:r w:rsidRPr="00925B84">
              <w:rPr>
                <w:kern w:val="0"/>
                <w:position w:val="-1"/>
                <w:szCs w:val="21"/>
              </w:rPr>
              <w:t>；安装双滚</w:t>
            </w:r>
          </w:p>
          <w:p w:rsidR="00C223F5" w:rsidRPr="00925B84" w:rsidRDefault="005860D5">
            <w:pPr>
              <w:autoSpaceDE w:val="0"/>
              <w:autoSpaceDN w:val="0"/>
              <w:adjustRightInd w:val="0"/>
              <w:snapToGrid w:val="0"/>
              <w:jc w:val="center"/>
              <w:rPr>
                <w:kern w:val="0"/>
                <w:position w:val="-1"/>
                <w:szCs w:val="21"/>
              </w:rPr>
            </w:pPr>
            <w:r w:rsidRPr="00925B84">
              <w:rPr>
                <w:kern w:val="0"/>
                <w:position w:val="-1"/>
                <w:szCs w:val="21"/>
              </w:rPr>
              <w:t>筒提升机；提煤、进风，兼安全出口</w:t>
            </w:r>
          </w:p>
        </w:tc>
        <w:tc>
          <w:tcPr>
            <w:tcW w:w="854" w:type="dxa"/>
            <w:vAlign w:val="center"/>
          </w:tcPr>
          <w:p w:rsidR="00C223F5" w:rsidRPr="00925B84" w:rsidRDefault="005860D5">
            <w:pPr>
              <w:jc w:val="center"/>
              <w:rPr>
                <w:rFonts w:eastAsiaTheme="minorEastAsia"/>
                <w:szCs w:val="21"/>
              </w:rPr>
            </w:pPr>
            <w:r w:rsidRPr="00925B84">
              <w:rPr>
                <w:rFonts w:eastAsiaTheme="minorEastAsia"/>
                <w:szCs w:val="21"/>
              </w:rPr>
              <w:t>建成</w:t>
            </w:r>
            <w:r w:rsidRPr="00925B84">
              <w:rPr>
                <w:rFonts w:eastAsiaTheme="minorEastAsia"/>
                <w:szCs w:val="21"/>
              </w:rPr>
              <w:t>/</w:t>
            </w:r>
          </w:p>
          <w:p w:rsidR="00C223F5" w:rsidRPr="00925B84" w:rsidRDefault="005860D5">
            <w:pPr>
              <w:adjustRightInd w:val="0"/>
              <w:snapToGrid w:val="0"/>
              <w:jc w:val="center"/>
              <w:rPr>
                <w:rFonts w:eastAsiaTheme="minorEastAsia"/>
                <w:szCs w:val="21"/>
              </w:rPr>
            </w:pPr>
            <w:r w:rsidRPr="00925B84">
              <w:rPr>
                <w:rFonts w:eastAsiaTheme="minorEastAsia"/>
                <w:szCs w:val="21"/>
              </w:rPr>
              <w:t>利用</w:t>
            </w:r>
            <w:r w:rsidRPr="00925B84">
              <w:rPr>
                <w:rFonts w:eastAsiaTheme="minorEastAsia" w:hint="eastAsia"/>
                <w:szCs w:val="21"/>
              </w:rPr>
              <w:t>为回风立井</w:t>
            </w:r>
          </w:p>
        </w:tc>
        <w:tc>
          <w:tcPr>
            <w:tcW w:w="3878" w:type="dxa"/>
            <w:vAlign w:val="center"/>
          </w:tcPr>
          <w:p w:rsidR="00C223F5" w:rsidRPr="00925B84" w:rsidRDefault="005860D5">
            <w:pPr>
              <w:jc w:val="center"/>
              <w:rPr>
                <w:rFonts w:eastAsiaTheme="minorEastAsia"/>
                <w:szCs w:val="21"/>
              </w:rPr>
            </w:pPr>
            <w:r w:rsidRPr="00925B84">
              <w:rPr>
                <w:rFonts w:hint="eastAsia"/>
                <w:szCs w:val="21"/>
              </w:rPr>
              <w:t>井口标高</w:t>
            </w:r>
            <w:r w:rsidRPr="00925B84">
              <w:rPr>
                <w:szCs w:val="21"/>
              </w:rPr>
              <w:t>+1066.50</w:t>
            </w:r>
            <w:r w:rsidRPr="00925B84">
              <w:rPr>
                <w:rFonts w:hint="eastAsia"/>
                <w:szCs w:val="21"/>
              </w:rPr>
              <w:t>m</w:t>
            </w:r>
            <w:r w:rsidRPr="00925B84">
              <w:rPr>
                <w:rFonts w:hint="eastAsia"/>
                <w:szCs w:val="21"/>
              </w:rPr>
              <w:t>，井底标高</w:t>
            </w:r>
            <w:r w:rsidRPr="00925B84">
              <w:rPr>
                <w:szCs w:val="21"/>
              </w:rPr>
              <w:t>+860.00</w:t>
            </w:r>
            <w:r w:rsidRPr="00925B84">
              <w:rPr>
                <w:rFonts w:hint="eastAsia"/>
                <w:szCs w:val="21"/>
              </w:rPr>
              <w:t>m</w:t>
            </w:r>
            <w:r w:rsidRPr="00925B84">
              <w:rPr>
                <w:rFonts w:hint="eastAsia"/>
                <w:szCs w:val="21"/>
              </w:rPr>
              <w:t>，倾角</w:t>
            </w:r>
            <w:r w:rsidRPr="00925B84">
              <w:rPr>
                <w:szCs w:val="21"/>
              </w:rPr>
              <w:t>22</w:t>
            </w:r>
            <w:r w:rsidRPr="00925B84">
              <w:rPr>
                <w:rFonts w:hint="eastAsia"/>
                <w:szCs w:val="21"/>
              </w:rPr>
              <w:t>°，净断面</w:t>
            </w:r>
            <w:r w:rsidRPr="00925B84">
              <w:rPr>
                <w:szCs w:val="21"/>
              </w:rPr>
              <w:t>12.8</w:t>
            </w:r>
            <w:r w:rsidRPr="00925B84">
              <w:rPr>
                <w:rFonts w:hint="eastAsia"/>
                <w:szCs w:val="21"/>
              </w:rPr>
              <w:t>m</w:t>
            </w:r>
            <w:r w:rsidRPr="00925B84">
              <w:rPr>
                <w:rFonts w:hint="eastAsia"/>
                <w:szCs w:val="21"/>
                <w:vertAlign w:val="superscript"/>
              </w:rPr>
              <w:t>2</w:t>
            </w:r>
            <w:r w:rsidRPr="00925B84">
              <w:rPr>
                <w:rFonts w:hint="eastAsia"/>
                <w:szCs w:val="21"/>
              </w:rPr>
              <w:t>，斜长</w:t>
            </w:r>
            <w:r w:rsidRPr="00925B84">
              <w:rPr>
                <w:szCs w:val="21"/>
              </w:rPr>
              <w:t>594</w:t>
            </w:r>
            <w:r w:rsidRPr="00925B84">
              <w:rPr>
                <w:rFonts w:hint="eastAsia"/>
                <w:szCs w:val="21"/>
              </w:rPr>
              <w:t>m</w:t>
            </w:r>
            <w:r w:rsidRPr="00925B84">
              <w:rPr>
                <w:rFonts w:hint="eastAsia"/>
                <w:szCs w:val="21"/>
              </w:rPr>
              <w:t>，</w:t>
            </w:r>
            <w:r w:rsidRPr="00925B84">
              <w:rPr>
                <w:rFonts w:hAnsi="宋体"/>
                <w:snapToGrid w:val="0"/>
                <w:kern w:val="0"/>
                <w:szCs w:val="21"/>
              </w:rPr>
              <w:t>装备</w:t>
            </w:r>
            <w:r w:rsidRPr="00925B84">
              <w:rPr>
                <w:snapToGrid w:val="0"/>
                <w:kern w:val="0"/>
                <w:szCs w:val="21"/>
              </w:rPr>
              <w:t>B=1000mm</w:t>
            </w:r>
            <w:r w:rsidRPr="00925B84">
              <w:rPr>
                <w:rFonts w:hAnsi="宋体"/>
                <w:snapToGrid w:val="0"/>
                <w:kern w:val="0"/>
                <w:szCs w:val="21"/>
              </w:rPr>
              <w:t>带式输送机</w:t>
            </w:r>
            <w:r w:rsidRPr="00925B84">
              <w:rPr>
                <w:rFonts w:hint="eastAsia"/>
                <w:szCs w:val="21"/>
              </w:rPr>
              <w:t>提煤，兼进风及安全出口</w:t>
            </w:r>
          </w:p>
        </w:tc>
        <w:tc>
          <w:tcPr>
            <w:tcW w:w="1316" w:type="dxa"/>
            <w:vAlign w:val="center"/>
          </w:tcPr>
          <w:p w:rsidR="00C223F5" w:rsidRPr="00925B84" w:rsidRDefault="005860D5">
            <w:pPr>
              <w:jc w:val="center"/>
              <w:rPr>
                <w:rFonts w:eastAsiaTheme="minorEastAsia" w:hAnsiTheme="minorEastAsia"/>
                <w:szCs w:val="21"/>
              </w:rPr>
            </w:pPr>
            <w:r w:rsidRPr="00925B84">
              <w:rPr>
                <w:rFonts w:eastAsiaTheme="minorEastAsia" w:hAnsiTheme="minorEastAsia" w:hint="eastAsia"/>
                <w:szCs w:val="21"/>
              </w:rPr>
              <w:t>新建</w:t>
            </w:r>
          </w:p>
        </w:tc>
        <w:tc>
          <w:tcPr>
            <w:tcW w:w="2693" w:type="dxa"/>
            <w:vAlign w:val="center"/>
          </w:tcPr>
          <w:p w:rsidR="00C223F5" w:rsidRPr="00925B84" w:rsidRDefault="005860D5">
            <w:pPr>
              <w:adjustRightInd w:val="0"/>
              <w:jc w:val="center"/>
              <w:rPr>
                <w:szCs w:val="21"/>
              </w:rPr>
            </w:pPr>
            <w:r w:rsidRPr="00925B84">
              <w:rPr>
                <w:rFonts w:hint="eastAsia"/>
                <w:szCs w:val="21"/>
              </w:rPr>
              <w:t>未建</w:t>
            </w:r>
          </w:p>
        </w:tc>
      </w:tr>
      <w:tr w:rsidR="00C223F5">
        <w:trPr>
          <w:trHeight w:val="614"/>
          <w:tblHeader/>
          <w:jc w:val="center"/>
        </w:trPr>
        <w:tc>
          <w:tcPr>
            <w:tcW w:w="357" w:type="dxa"/>
            <w:vMerge/>
            <w:vAlign w:val="center"/>
          </w:tcPr>
          <w:p w:rsidR="00C223F5" w:rsidRDefault="00C223F5">
            <w:pPr>
              <w:jc w:val="center"/>
              <w:rPr>
                <w:color w:val="FF0000"/>
                <w:szCs w:val="21"/>
              </w:rPr>
            </w:pPr>
          </w:p>
        </w:tc>
        <w:tc>
          <w:tcPr>
            <w:tcW w:w="283" w:type="dxa"/>
            <w:vMerge/>
            <w:vAlign w:val="center"/>
          </w:tcPr>
          <w:p w:rsidR="00C223F5" w:rsidRDefault="00C223F5">
            <w:pPr>
              <w:spacing w:line="320" w:lineRule="exact"/>
              <w:jc w:val="center"/>
              <w:rPr>
                <w:color w:val="FF0000"/>
                <w:szCs w:val="21"/>
              </w:rPr>
            </w:pPr>
          </w:p>
        </w:tc>
        <w:tc>
          <w:tcPr>
            <w:tcW w:w="1042" w:type="dxa"/>
            <w:vAlign w:val="center"/>
          </w:tcPr>
          <w:p w:rsidR="00C223F5" w:rsidRDefault="005860D5">
            <w:pPr>
              <w:autoSpaceDE w:val="0"/>
              <w:autoSpaceDN w:val="0"/>
              <w:adjustRightInd w:val="0"/>
              <w:snapToGrid w:val="0"/>
              <w:jc w:val="center"/>
              <w:rPr>
                <w:kern w:val="0"/>
                <w:position w:val="-1"/>
                <w:szCs w:val="21"/>
              </w:rPr>
            </w:pPr>
            <w:r>
              <w:rPr>
                <w:kern w:val="0"/>
                <w:position w:val="-1"/>
                <w:szCs w:val="21"/>
              </w:rPr>
              <w:t>副立井</w:t>
            </w:r>
          </w:p>
          <w:p w:rsidR="00C223F5" w:rsidRDefault="005860D5">
            <w:pPr>
              <w:autoSpaceDE w:val="0"/>
              <w:autoSpaceDN w:val="0"/>
              <w:adjustRightInd w:val="0"/>
              <w:snapToGrid w:val="0"/>
              <w:jc w:val="center"/>
              <w:rPr>
                <w:kern w:val="0"/>
                <w:position w:val="-1"/>
                <w:szCs w:val="21"/>
              </w:rPr>
            </w:pPr>
            <w:r>
              <w:rPr>
                <w:rFonts w:hint="eastAsia"/>
                <w:kern w:val="0"/>
                <w:position w:val="-1"/>
                <w:szCs w:val="21"/>
              </w:rPr>
              <w:t>（副斜井）</w:t>
            </w:r>
          </w:p>
        </w:tc>
        <w:tc>
          <w:tcPr>
            <w:tcW w:w="4111" w:type="dxa"/>
            <w:vAlign w:val="center"/>
          </w:tcPr>
          <w:p w:rsidR="00C223F5" w:rsidRDefault="005860D5">
            <w:pPr>
              <w:autoSpaceDE w:val="0"/>
              <w:autoSpaceDN w:val="0"/>
              <w:adjustRightInd w:val="0"/>
              <w:snapToGrid w:val="0"/>
              <w:jc w:val="center"/>
              <w:rPr>
                <w:kern w:val="0"/>
                <w:position w:val="-1"/>
                <w:szCs w:val="21"/>
              </w:rPr>
            </w:pPr>
            <w:r>
              <w:rPr>
                <w:kern w:val="0"/>
                <w:position w:val="-1"/>
                <w:szCs w:val="21"/>
              </w:rPr>
              <w:t>副立井净断面</w:t>
            </w:r>
            <w:r>
              <w:rPr>
                <w:kern w:val="0"/>
                <w:position w:val="-1"/>
                <w:szCs w:val="21"/>
              </w:rPr>
              <w:t>3.5m</w:t>
            </w:r>
            <w:r>
              <w:rPr>
                <w:kern w:val="0"/>
                <w:position w:val="-1"/>
                <w:szCs w:val="21"/>
                <w:vertAlign w:val="superscript"/>
              </w:rPr>
              <w:t>2</w:t>
            </w:r>
            <w:r>
              <w:rPr>
                <w:kern w:val="0"/>
                <w:position w:val="-1"/>
                <w:szCs w:val="21"/>
              </w:rPr>
              <w:t>，垂深</w:t>
            </w:r>
            <w:r>
              <w:rPr>
                <w:kern w:val="0"/>
                <w:position w:val="-1"/>
                <w:szCs w:val="21"/>
              </w:rPr>
              <w:t>174m</w:t>
            </w:r>
            <w:r>
              <w:rPr>
                <w:kern w:val="0"/>
                <w:position w:val="-1"/>
                <w:szCs w:val="21"/>
              </w:rPr>
              <w:t>；安装</w:t>
            </w:r>
          </w:p>
          <w:p w:rsidR="00C223F5" w:rsidRDefault="005860D5">
            <w:pPr>
              <w:autoSpaceDE w:val="0"/>
              <w:autoSpaceDN w:val="0"/>
              <w:adjustRightInd w:val="0"/>
              <w:snapToGrid w:val="0"/>
              <w:jc w:val="center"/>
              <w:rPr>
                <w:kern w:val="0"/>
                <w:position w:val="-1"/>
                <w:szCs w:val="21"/>
              </w:rPr>
            </w:pPr>
            <w:r>
              <w:rPr>
                <w:kern w:val="0"/>
                <w:position w:val="-1"/>
                <w:szCs w:val="21"/>
              </w:rPr>
              <w:t>双滚筒提升机辅助提升、回风，兼安全出口</w:t>
            </w:r>
          </w:p>
        </w:tc>
        <w:tc>
          <w:tcPr>
            <w:tcW w:w="854" w:type="dxa"/>
            <w:vAlign w:val="center"/>
          </w:tcPr>
          <w:p w:rsidR="00C223F5" w:rsidRDefault="005860D5">
            <w:pPr>
              <w:jc w:val="center"/>
              <w:rPr>
                <w:rFonts w:eastAsiaTheme="minorEastAsia"/>
                <w:szCs w:val="21"/>
              </w:rPr>
            </w:pPr>
            <w:r>
              <w:rPr>
                <w:rFonts w:eastAsiaTheme="minorEastAsia"/>
                <w:szCs w:val="21"/>
              </w:rPr>
              <w:t>建成</w:t>
            </w:r>
            <w:r>
              <w:rPr>
                <w:rFonts w:eastAsiaTheme="minorEastAsia"/>
                <w:szCs w:val="21"/>
              </w:rPr>
              <w:t>/</w:t>
            </w:r>
          </w:p>
          <w:p w:rsidR="00C223F5" w:rsidRDefault="005860D5">
            <w:pPr>
              <w:jc w:val="center"/>
              <w:rPr>
                <w:rFonts w:eastAsiaTheme="minorEastAsia"/>
                <w:szCs w:val="21"/>
              </w:rPr>
            </w:pPr>
            <w:r>
              <w:rPr>
                <w:rFonts w:eastAsiaTheme="minorEastAsia"/>
                <w:szCs w:val="21"/>
              </w:rPr>
              <w:t>利用</w:t>
            </w:r>
            <w:r>
              <w:rPr>
                <w:rFonts w:eastAsiaTheme="minorEastAsia" w:hint="eastAsia"/>
                <w:szCs w:val="21"/>
              </w:rPr>
              <w:t>为回风暗立井</w:t>
            </w:r>
          </w:p>
        </w:tc>
        <w:tc>
          <w:tcPr>
            <w:tcW w:w="3878" w:type="dxa"/>
            <w:vAlign w:val="center"/>
          </w:tcPr>
          <w:p w:rsidR="00C223F5" w:rsidRDefault="005860D5">
            <w:pPr>
              <w:jc w:val="center"/>
              <w:rPr>
                <w:rFonts w:eastAsiaTheme="minorEastAsia"/>
                <w:spacing w:val="-4"/>
                <w:szCs w:val="21"/>
              </w:rPr>
            </w:pPr>
            <w:r>
              <w:rPr>
                <w:rFonts w:hint="eastAsia"/>
                <w:spacing w:val="-4"/>
                <w:szCs w:val="21"/>
              </w:rPr>
              <w:t>井口标高</w:t>
            </w:r>
            <w:r>
              <w:rPr>
                <w:szCs w:val="21"/>
              </w:rPr>
              <w:t>+1068.00</w:t>
            </w:r>
            <w:r>
              <w:rPr>
                <w:rFonts w:hint="eastAsia"/>
                <w:spacing w:val="-4"/>
                <w:szCs w:val="21"/>
              </w:rPr>
              <w:t>m</w:t>
            </w:r>
            <w:r>
              <w:rPr>
                <w:rFonts w:hint="eastAsia"/>
                <w:spacing w:val="-4"/>
                <w:szCs w:val="21"/>
              </w:rPr>
              <w:t>，井底标高</w:t>
            </w:r>
            <w:r>
              <w:rPr>
                <w:szCs w:val="21"/>
              </w:rPr>
              <w:t>+855.00</w:t>
            </w:r>
            <w:r>
              <w:rPr>
                <w:rFonts w:hint="eastAsia"/>
                <w:spacing w:val="-4"/>
                <w:szCs w:val="21"/>
              </w:rPr>
              <w:t>m</w:t>
            </w:r>
            <w:r>
              <w:rPr>
                <w:rFonts w:hint="eastAsia"/>
                <w:spacing w:val="-4"/>
                <w:szCs w:val="21"/>
              </w:rPr>
              <w:t>，</w:t>
            </w:r>
            <w:r>
              <w:rPr>
                <w:rFonts w:hint="eastAsia"/>
                <w:szCs w:val="21"/>
              </w:rPr>
              <w:t>倾角</w:t>
            </w:r>
            <w:r>
              <w:rPr>
                <w:rFonts w:hint="eastAsia"/>
                <w:szCs w:val="21"/>
              </w:rPr>
              <w:t>6</w:t>
            </w:r>
            <w:r>
              <w:rPr>
                <w:rFonts w:hint="eastAsia"/>
                <w:szCs w:val="21"/>
              </w:rPr>
              <w:t>°</w:t>
            </w:r>
            <w:r>
              <w:rPr>
                <w:rFonts w:hint="eastAsia"/>
                <w:szCs w:val="21"/>
              </w:rPr>
              <w:t>,</w:t>
            </w:r>
            <w:r>
              <w:rPr>
                <w:rFonts w:hint="eastAsia"/>
                <w:szCs w:val="21"/>
              </w:rPr>
              <w:t>净断面</w:t>
            </w:r>
            <w:r>
              <w:rPr>
                <w:szCs w:val="21"/>
              </w:rPr>
              <w:t>1</w:t>
            </w:r>
            <w:r>
              <w:rPr>
                <w:rFonts w:hint="eastAsia"/>
                <w:szCs w:val="21"/>
              </w:rPr>
              <w:t>7</w:t>
            </w:r>
            <w:r>
              <w:rPr>
                <w:szCs w:val="21"/>
              </w:rPr>
              <w:t>.8</w:t>
            </w:r>
            <w:r>
              <w:rPr>
                <w:rFonts w:hint="eastAsia"/>
                <w:szCs w:val="21"/>
              </w:rPr>
              <w:t>m</w:t>
            </w:r>
            <w:r>
              <w:rPr>
                <w:rFonts w:hint="eastAsia"/>
                <w:szCs w:val="21"/>
                <w:vertAlign w:val="superscript"/>
              </w:rPr>
              <w:t>2</w:t>
            </w:r>
            <w:r>
              <w:rPr>
                <w:rFonts w:hint="eastAsia"/>
                <w:szCs w:val="21"/>
              </w:rPr>
              <w:t>,</w:t>
            </w:r>
            <w:r>
              <w:rPr>
                <w:rFonts w:hint="eastAsia"/>
                <w:szCs w:val="21"/>
              </w:rPr>
              <w:t>斜长</w:t>
            </w:r>
            <w:r>
              <w:rPr>
                <w:szCs w:val="21"/>
              </w:rPr>
              <w:t>2293</w:t>
            </w:r>
            <w:r>
              <w:rPr>
                <w:rFonts w:hint="eastAsia"/>
                <w:szCs w:val="21"/>
              </w:rPr>
              <w:t>m,</w:t>
            </w:r>
            <w:r>
              <w:rPr>
                <w:rFonts w:hint="eastAsia"/>
                <w:spacing w:val="-4"/>
                <w:szCs w:val="21"/>
              </w:rPr>
              <w:t>用于材料、设备、人员等提升，兼进风及安全出口</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hint="eastAsia"/>
                <w:sz w:val="21"/>
                <w:szCs w:val="21"/>
              </w:rPr>
              <w:t>新建</w:t>
            </w:r>
          </w:p>
        </w:tc>
        <w:tc>
          <w:tcPr>
            <w:tcW w:w="2693"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未建</w:t>
            </w:r>
          </w:p>
        </w:tc>
      </w:tr>
      <w:tr w:rsidR="00C223F5">
        <w:trPr>
          <w:trHeight w:val="614"/>
          <w:tblHeader/>
          <w:jc w:val="center"/>
        </w:trPr>
        <w:tc>
          <w:tcPr>
            <w:tcW w:w="357" w:type="dxa"/>
            <w:vMerge/>
            <w:vAlign w:val="center"/>
          </w:tcPr>
          <w:p w:rsidR="00C223F5" w:rsidRDefault="00C223F5">
            <w:pPr>
              <w:jc w:val="center"/>
              <w:rPr>
                <w:color w:val="FF0000"/>
                <w:szCs w:val="21"/>
              </w:rPr>
            </w:pPr>
          </w:p>
        </w:tc>
        <w:tc>
          <w:tcPr>
            <w:tcW w:w="283" w:type="dxa"/>
            <w:vMerge/>
            <w:vAlign w:val="center"/>
          </w:tcPr>
          <w:p w:rsidR="00C223F5" w:rsidRDefault="00C223F5">
            <w:pPr>
              <w:spacing w:line="320" w:lineRule="exact"/>
              <w:jc w:val="center"/>
              <w:rPr>
                <w:color w:val="FF0000"/>
                <w:szCs w:val="21"/>
              </w:rPr>
            </w:pPr>
          </w:p>
        </w:tc>
        <w:tc>
          <w:tcPr>
            <w:tcW w:w="1042" w:type="dxa"/>
            <w:vAlign w:val="center"/>
          </w:tcPr>
          <w:p w:rsidR="00C223F5" w:rsidRDefault="005860D5">
            <w:pPr>
              <w:jc w:val="center"/>
              <w:rPr>
                <w:rFonts w:eastAsiaTheme="minorEastAsia"/>
                <w:szCs w:val="21"/>
              </w:rPr>
            </w:pPr>
            <w:r>
              <w:rPr>
                <w:rFonts w:eastAsiaTheme="minorEastAsia" w:hAnsiTheme="minorEastAsia"/>
                <w:szCs w:val="21"/>
              </w:rPr>
              <w:t>回风立井</w:t>
            </w:r>
          </w:p>
        </w:tc>
        <w:tc>
          <w:tcPr>
            <w:tcW w:w="4111" w:type="dxa"/>
            <w:vAlign w:val="center"/>
          </w:tcPr>
          <w:p w:rsidR="00C223F5" w:rsidRDefault="005860D5">
            <w:pPr>
              <w:jc w:val="center"/>
              <w:rPr>
                <w:rFonts w:eastAsiaTheme="minorEastAsia"/>
                <w:spacing w:val="4"/>
                <w:szCs w:val="21"/>
              </w:rPr>
            </w:pPr>
            <w:r>
              <w:rPr>
                <w:rFonts w:eastAsiaTheme="minorEastAsia" w:hint="eastAsia"/>
                <w:spacing w:val="4"/>
                <w:szCs w:val="21"/>
              </w:rPr>
              <w:t>/</w:t>
            </w:r>
          </w:p>
        </w:tc>
        <w:tc>
          <w:tcPr>
            <w:tcW w:w="854" w:type="dxa"/>
            <w:vAlign w:val="center"/>
          </w:tcPr>
          <w:p w:rsidR="00C223F5" w:rsidRDefault="005860D5">
            <w:pPr>
              <w:adjustRightInd w:val="0"/>
              <w:snapToGrid w:val="0"/>
              <w:jc w:val="center"/>
              <w:rPr>
                <w:rFonts w:eastAsiaTheme="minorEastAsia"/>
                <w:szCs w:val="21"/>
              </w:rPr>
            </w:pPr>
            <w:r>
              <w:rPr>
                <w:rFonts w:eastAsiaTheme="minorEastAsia" w:hint="eastAsia"/>
                <w:szCs w:val="21"/>
              </w:rPr>
              <w:t>/</w:t>
            </w:r>
          </w:p>
        </w:tc>
        <w:tc>
          <w:tcPr>
            <w:tcW w:w="3878" w:type="dxa"/>
            <w:vAlign w:val="center"/>
          </w:tcPr>
          <w:p w:rsidR="00C223F5" w:rsidRDefault="005860D5">
            <w:pPr>
              <w:jc w:val="center"/>
              <w:rPr>
                <w:rFonts w:eastAsiaTheme="minorEastAsia" w:hAnsiTheme="minorEastAsia"/>
                <w:szCs w:val="21"/>
              </w:rPr>
            </w:pPr>
            <w:r>
              <w:rPr>
                <w:rFonts w:hint="eastAsia"/>
                <w:spacing w:val="-4"/>
                <w:szCs w:val="21"/>
              </w:rPr>
              <w:t>井口标高</w:t>
            </w:r>
            <w:r>
              <w:rPr>
                <w:szCs w:val="21"/>
              </w:rPr>
              <w:t>+1067.783</w:t>
            </w:r>
            <w:r>
              <w:rPr>
                <w:rFonts w:hint="eastAsia"/>
                <w:spacing w:val="-4"/>
                <w:szCs w:val="21"/>
              </w:rPr>
              <w:t>m</w:t>
            </w:r>
            <w:r>
              <w:rPr>
                <w:rFonts w:hint="eastAsia"/>
                <w:spacing w:val="-4"/>
                <w:szCs w:val="21"/>
              </w:rPr>
              <w:t>，井底标高</w:t>
            </w:r>
            <w:r>
              <w:rPr>
                <w:szCs w:val="21"/>
              </w:rPr>
              <w:t>+880.00</w:t>
            </w:r>
            <w:r>
              <w:rPr>
                <w:rFonts w:hint="eastAsia"/>
                <w:spacing w:val="-4"/>
                <w:szCs w:val="21"/>
              </w:rPr>
              <w:t>m</w:t>
            </w:r>
            <w:r>
              <w:rPr>
                <w:rFonts w:hint="eastAsia"/>
                <w:spacing w:val="-4"/>
                <w:szCs w:val="21"/>
              </w:rPr>
              <w:t>，垂深</w:t>
            </w:r>
            <w:r>
              <w:rPr>
                <w:szCs w:val="21"/>
              </w:rPr>
              <w:t>187.783</w:t>
            </w:r>
            <w:r>
              <w:rPr>
                <w:rFonts w:hint="eastAsia"/>
                <w:spacing w:val="-4"/>
                <w:szCs w:val="21"/>
              </w:rPr>
              <w:t>m</w:t>
            </w:r>
            <w:r>
              <w:rPr>
                <w:rFonts w:hint="eastAsia"/>
                <w:spacing w:val="-4"/>
                <w:szCs w:val="21"/>
              </w:rPr>
              <w:t>，净断面</w:t>
            </w:r>
            <w:r>
              <w:rPr>
                <w:szCs w:val="21"/>
              </w:rPr>
              <w:t>13.9</w:t>
            </w:r>
            <w:r>
              <w:rPr>
                <w:rFonts w:hint="eastAsia"/>
                <w:spacing w:val="-4"/>
                <w:szCs w:val="21"/>
              </w:rPr>
              <w:t>m</w:t>
            </w:r>
            <w:r>
              <w:rPr>
                <w:rFonts w:hint="eastAsia"/>
                <w:spacing w:val="-4"/>
                <w:szCs w:val="21"/>
                <w:vertAlign w:val="superscript"/>
              </w:rPr>
              <w:t>2</w:t>
            </w:r>
            <w:r>
              <w:rPr>
                <w:rFonts w:hint="eastAsia"/>
                <w:spacing w:val="-4"/>
                <w:szCs w:val="21"/>
              </w:rPr>
              <w:t>，用作回风</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hint="eastAsia"/>
                <w:sz w:val="21"/>
                <w:szCs w:val="21"/>
              </w:rPr>
              <w:t>改造利用</w:t>
            </w:r>
          </w:p>
          <w:p w:rsidR="00C223F5" w:rsidRDefault="005860D5">
            <w:pPr>
              <w:pStyle w:val="aff1"/>
              <w:tabs>
                <w:tab w:val="clear" w:pos="5781"/>
              </w:tabs>
              <w:spacing w:line="240" w:lineRule="auto"/>
              <w:ind w:left="0" w:firstLine="0"/>
              <w:jc w:val="center"/>
              <w:rPr>
                <w:rFonts w:eastAsiaTheme="minorEastAsia" w:hAnsiTheme="minorEastAsia"/>
                <w:sz w:val="21"/>
                <w:szCs w:val="21"/>
              </w:rPr>
            </w:pPr>
            <w:r>
              <w:rPr>
                <w:rFonts w:eastAsiaTheme="minorEastAsia"/>
                <w:sz w:val="21"/>
                <w:szCs w:val="21"/>
              </w:rPr>
              <w:t>原</w:t>
            </w:r>
            <w:r>
              <w:rPr>
                <w:rFonts w:eastAsiaTheme="minorEastAsia" w:hint="eastAsia"/>
                <w:sz w:val="21"/>
                <w:szCs w:val="21"/>
              </w:rPr>
              <w:t>主立井</w:t>
            </w:r>
          </w:p>
        </w:tc>
        <w:tc>
          <w:tcPr>
            <w:tcW w:w="2693"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w:t>
            </w:r>
          </w:p>
        </w:tc>
      </w:tr>
      <w:tr w:rsidR="00C223F5">
        <w:trPr>
          <w:trHeight w:val="614"/>
          <w:tblHeader/>
          <w:jc w:val="center"/>
        </w:trPr>
        <w:tc>
          <w:tcPr>
            <w:tcW w:w="357" w:type="dxa"/>
            <w:vMerge/>
            <w:vAlign w:val="center"/>
          </w:tcPr>
          <w:p w:rsidR="00C223F5" w:rsidRDefault="00C223F5">
            <w:pPr>
              <w:jc w:val="center"/>
              <w:rPr>
                <w:color w:val="FF0000"/>
                <w:szCs w:val="21"/>
              </w:rPr>
            </w:pPr>
          </w:p>
        </w:tc>
        <w:tc>
          <w:tcPr>
            <w:tcW w:w="283" w:type="dxa"/>
            <w:vMerge/>
            <w:vAlign w:val="center"/>
          </w:tcPr>
          <w:p w:rsidR="00C223F5" w:rsidRDefault="00C223F5">
            <w:pPr>
              <w:spacing w:line="320" w:lineRule="exact"/>
              <w:jc w:val="center"/>
              <w:rPr>
                <w:color w:val="FF0000"/>
                <w:szCs w:val="21"/>
              </w:rPr>
            </w:pPr>
          </w:p>
        </w:tc>
        <w:tc>
          <w:tcPr>
            <w:tcW w:w="1042" w:type="dxa"/>
            <w:vAlign w:val="center"/>
          </w:tcPr>
          <w:p w:rsidR="00C223F5" w:rsidRDefault="005860D5">
            <w:pPr>
              <w:jc w:val="center"/>
              <w:rPr>
                <w:rFonts w:eastAsiaTheme="minorEastAsia" w:hAnsiTheme="minorEastAsia"/>
                <w:szCs w:val="21"/>
              </w:rPr>
            </w:pPr>
            <w:r>
              <w:rPr>
                <w:rFonts w:eastAsiaTheme="minorEastAsia" w:hAnsiTheme="minorEastAsia"/>
                <w:szCs w:val="21"/>
              </w:rPr>
              <w:t>回风</w:t>
            </w:r>
          </w:p>
          <w:p w:rsidR="00C223F5" w:rsidRDefault="005860D5">
            <w:pPr>
              <w:jc w:val="center"/>
              <w:rPr>
                <w:rFonts w:eastAsiaTheme="minorEastAsia" w:hAnsiTheme="minorEastAsia"/>
                <w:szCs w:val="21"/>
              </w:rPr>
            </w:pPr>
            <w:r>
              <w:rPr>
                <w:rFonts w:eastAsiaTheme="minorEastAsia" w:hAnsiTheme="minorEastAsia" w:hint="eastAsia"/>
                <w:szCs w:val="21"/>
              </w:rPr>
              <w:t>暗</w:t>
            </w:r>
            <w:r>
              <w:rPr>
                <w:rFonts w:eastAsiaTheme="minorEastAsia" w:hAnsiTheme="minorEastAsia"/>
                <w:szCs w:val="21"/>
              </w:rPr>
              <w:t>立井</w:t>
            </w:r>
          </w:p>
        </w:tc>
        <w:tc>
          <w:tcPr>
            <w:tcW w:w="4111" w:type="dxa"/>
            <w:vAlign w:val="center"/>
          </w:tcPr>
          <w:p w:rsidR="00C223F5" w:rsidRDefault="005860D5">
            <w:pPr>
              <w:jc w:val="center"/>
              <w:rPr>
                <w:szCs w:val="21"/>
              </w:rPr>
            </w:pPr>
            <w:r>
              <w:rPr>
                <w:rFonts w:hint="eastAsia"/>
                <w:szCs w:val="21"/>
              </w:rPr>
              <w:t>/</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w:t>
            </w:r>
          </w:p>
        </w:tc>
        <w:tc>
          <w:tcPr>
            <w:tcW w:w="3878" w:type="dxa"/>
            <w:vAlign w:val="center"/>
          </w:tcPr>
          <w:p w:rsidR="00C223F5" w:rsidRDefault="005860D5">
            <w:pPr>
              <w:jc w:val="center"/>
              <w:rPr>
                <w:rFonts w:eastAsiaTheme="minorEastAsia" w:hAnsiTheme="minorEastAsia"/>
                <w:color w:val="FF0000"/>
                <w:szCs w:val="21"/>
              </w:rPr>
            </w:pPr>
            <w:r>
              <w:rPr>
                <w:rFonts w:hint="eastAsia"/>
                <w:spacing w:val="-4"/>
                <w:szCs w:val="21"/>
              </w:rPr>
              <w:t>井口标高</w:t>
            </w:r>
            <w:r>
              <w:rPr>
                <w:szCs w:val="21"/>
              </w:rPr>
              <w:t>+1047.783</w:t>
            </w:r>
            <w:r>
              <w:rPr>
                <w:rFonts w:hint="eastAsia"/>
                <w:spacing w:val="-4"/>
                <w:szCs w:val="21"/>
              </w:rPr>
              <w:t>m</w:t>
            </w:r>
            <w:r>
              <w:rPr>
                <w:rFonts w:hint="eastAsia"/>
                <w:spacing w:val="-4"/>
                <w:szCs w:val="21"/>
              </w:rPr>
              <w:t>，井底标高</w:t>
            </w:r>
            <w:r>
              <w:rPr>
                <w:szCs w:val="21"/>
              </w:rPr>
              <w:t>+880.00</w:t>
            </w:r>
            <w:r>
              <w:rPr>
                <w:rFonts w:hint="eastAsia"/>
                <w:spacing w:val="-4"/>
                <w:szCs w:val="21"/>
              </w:rPr>
              <w:t>m</w:t>
            </w:r>
            <w:r>
              <w:rPr>
                <w:rFonts w:hint="eastAsia"/>
                <w:spacing w:val="-4"/>
                <w:szCs w:val="21"/>
              </w:rPr>
              <w:t>，垂深</w:t>
            </w:r>
            <w:r>
              <w:rPr>
                <w:szCs w:val="21"/>
              </w:rPr>
              <w:t>167.783</w:t>
            </w:r>
            <w:r>
              <w:rPr>
                <w:rFonts w:hint="eastAsia"/>
                <w:spacing w:val="-4"/>
                <w:szCs w:val="21"/>
              </w:rPr>
              <w:t>m</w:t>
            </w:r>
            <w:r>
              <w:rPr>
                <w:rFonts w:hint="eastAsia"/>
                <w:spacing w:val="-4"/>
                <w:szCs w:val="21"/>
              </w:rPr>
              <w:t>，净断面</w:t>
            </w:r>
            <w:r>
              <w:rPr>
                <w:szCs w:val="21"/>
              </w:rPr>
              <w:t>10.2</w:t>
            </w:r>
            <w:r>
              <w:rPr>
                <w:rFonts w:hint="eastAsia"/>
                <w:spacing w:val="-4"/>
                <w:szCs w:val="21"/>
              </w:rPr>
              <w:t>m</w:t>
            </w:r>
            <w:r>
              <w:rPr>
                <w:rFonts w:hint="eastAsia"/>
                <w:spacing w:val="-4"/>
                <w:szCs w:val="21"/>
                <w:vertAlign w:val="superscript"/>
              </w:rPr>
              <w:t>2</w:t>
            </w:r>
            <w:r>
              <w:rPr>
                <w:rFonts w:hint="eastAsia"/>
                <w:spacing w:val="-4"/>
                <w:szCs w:val="21"/>
              </w:rPr>
              <w:t>，用作回风</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hint="eastAsia"/>
                <w:sz w:val="21"/>
                <w:szCs w:val="21"/>
              </w:rPr>
              <w:t>改造利用</w:t>
            </w:r>
          </w:p>
          <w:p w:rsidR="00C223F5" w:rsidRDefault="005860D5">
            <w:pPr>
              <w:pStyle w:val="aff1"/>
              <w:tabs>
                <w:tab w:val="clear" w:pos="5781"/>
              </w:tabs>
              <w:spacing w:line="240" w:lineRule="auto"/>
              <w:ind w:left="0" w:firstLine="0"/>
              <w:jc w:val="center"/>
              <w:rPr>
                <w:rFonts w:eastAsiaTheme="minorEastAsia" w:hAnsiTheme="minorEastAsia"/>
                <w:sz w:val="21"/>
                <w:szCs w:val="21"/>
              </w:rPr>
            </w:pPr>
            <w:r>
              <w:rPr>
                <w:rFonts w:eastAsiaTheme="minorEastAsia"/>
                <w:sz w:val="21"/>
                <w:szCs w:val="21"/>
              </w:rPr>
              <w:t>原</w:t>
            </w:r>
            <w:r>
              <w:rPr>
                <w:rFonts w:eastAsiaTheme="minorEastAsia" w:hint="eastAsia"/>
                <w:sz w:val="21"/>
                <w:szCs w:val="21"/>
              </w:rPr>
              <w:t>副立井</w:t>
            </w:r>
          </w:p>
        </w:tc>
        <w:tc>
          <w:tcPr>
            <w:tcW w:w="2693"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w:t>
            </w:r>
          </w:p>
        </w:tc>
      </w:tr>
    </w:tbl>
    <w:p w:rsidR="00C17378" w:rsidRDefault="00C17378">
      <w:pPr>
        <w:tabs>
          <w:tab w:val="left" w:pos="3885"/>
        </w:tabs>
        <w:topLinePunct/>
        <w:jc w:val="center"/>
        <w:rPr>
          <w:b/>
          <w:sz w:val="24"/>
        </w:rPr>
      </w:pPr>
    </w:p>
    <w:p w:rsidR="00C223F5" w:rsidRDefault="005860D5">
      <w:pPr>
        <w:tabs>
          <w:tab w:val="left" w:pos="3885"/>
        </w:tabs>
        <w:topLinePunct/>
        <w:jc w:val="center"/>
        <w:rPr>
          <w:rFonts w:hAnsi="宋体"/>
          <w:b/>
          <w:bCs/>
          <w:sz w:val="24"/>
        </w:rPr>
      </w:pPr>
      <w:r>
        <w:rPr>
          <w:rFonts w:hint="eastAsia"/>
          <w:b/>
          <w:sz w:val="24"/>
        </w:rPr>
        <w:lastRenderedPageBreak/>
        <w:t>续</w:t>
      </w:r>
      <w:r>
        <w:rPr>
          <w:b/>
          <w:sz w:val="24"/>
        </w:rPr>
        <w:t>表</w:t>
      </w:r>
      <w:r>
        <w:rPr>
          <w:rFonts w:hint="eastAsia"/>
          <w:b/>
          <w:sz w:val="24"/>
        </w:rPr>
        <w:t xml:space="preserve">2.1.2-1   </w:t>
      </w:r>
      <w:r>
        <w:rPr>
          <w:rFonts w:hint="eastAsia"/>
          <w:b/>
          <w:sz w:val="24"/>
        </w:rPr>
        <w:t>本</w:t>
      </w:r>
      <w:r>
        <w:rPr>
          <w:rFonts w:hAnsi="宋体"/>
          <w:b/>
          <w:bCs/>
          <w:sz w:val="24"/>
        </w:rPr>
        <w:t>项目</w:t>
      </w:r>
      <w:r>
        <w:rPr>
          <w:rFonts w:hAnsi="宋体" w:hint="eastAsia"/>
          <w:b/>
          <w:bCs/>
          <w:sz w:val="24"/>
        </w:rPr>
        <w:t>整合前后工程</w:t>
      </w:r>
      <w:r>
        <w:rPr>
          <w:rFonts w:hAnsi="宋体"/>
          <w:b/>
          <w:bCs/>
          <w:sz w:val="24"/>
        </w:rPr>
        <w:t>组成</w:t>
      </w:r>
      <w:r>
        <w:rPr>
          <w:rFonts w:hAnsi="宋体" w:hint="eastAsia"/>
          <w:b/>
          <w:bCs/>
          <w:sz w:val="24"/>
        </w:rPr>
        <w:t>及建设情况一览表</w:t>
      </w:r>
    </w:p>
    <w:tbl>
      <w:tblPr>
        <w:tblW w:w="145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1" w:type="dxa"/>
          <w:right w:w="11" w:type="dxa"/>
        </w:tblCellMar>
        <w:tblLook w:val="04A0" w:firstRow="1" w:lastRow="0" w:firstColumn="1" w:lastColumn="0" w:noHBand="0" w:noVBand="1"/>
      </w:tblPr>
      <w:tblGrid>
        <w:gridCol w:w="357"/>
        <w:gridCol w:w="283"/>
        <w:gridCol w:w="498"/>
        <w:gridCol w:w="544"/>
        <w:gridCol w:w="4111"/>
        <w:gridCol w:w="854"/>
        <w:gridCol w:w="3878"/>
        <w:gridCol w:w="1316"/>
        <w:gridCol w:w="2693"/>
      </w:tblGrid>
      <w:tr w:rsidR="00C223F5">
        <w:trPr>
          <w:trHeight w:val="270"/>
          <w:tblHeader/>
          <w:jc w:val="center"/>
        </w:trPr>
        <w:tc>
          <w:tcPr>
            <w:tcW w:w="640" w:type="dxa"/>
            <w:gridSpan w:val="2"/>
            <w:vMerge w:val="restart"/>
            <w:vAlign w:val="center"/>
          </w:tcPr>
          <w:p w:rsidR="00C223F5" w:rsidRDefault="005860D5">
            <w:pPr>
              <w:jc w:val="center"/>
              <w:rPr>
                <w:szCs w:val="21"/>
              </w:rPr>
            </w:pPr>
            <w:r>
              <w:rPr>
                <w:szCs w:val="21"/>
              </w:rPr>
              <w:t>工程</w:t>
            </w:r>
          </w:p>
          <w:p w:rsidR="00C223F5" w:rsidRDefault="005860D5">
            <w:pPr>
              <w:jc w:val="center"/>
              <w:rPr>
                <w:szCs w:val="21"/>
              </w:rPr>
            </w:pPr>
            <w:r>
              <w:rPr>
                <w:szCs w:val="21"/>
              </w:rPr>
              <w:t>类别</w:t>
            </w:r>
          </w:p>
        </w:tc>
        <w:tc>
          <w:tcPr>
            <w:tcW w:w="1042" w:type="dxa"/>
            <w:gridSpan w:val="2"/>
            <w:vMerge w:val="restart"/>
            <w:vAlign w:val="center"/>
          </w:tcPr>
          <w:p w:rsidR="00C223F5" w:rsidRDefault="005860D5">
            <w:pPr>
              <w:jc w:val="center"/>
              <w:rPr>
                <w:szCs w:val="21"/>
              </w:rPr>
            </w:pPr>
            <w:r>
              <w:rPr>
                <w:szCs w:val="21"/>
              </w:rPr>
              <w:t>单项工程</w:t>
            </w:r>
          </w:p>
        </w:tc>
        <w:tc>
          <w:tcPr>
            <w:tcW w:w="4965" w:type="dxa"/>
            <w:gridSpan w:val="2"/>
            <w:vAlign w:val="center"/>
          </w:tcPr>
          <w:p w:rsidR="00C223F5" w:rsidRDefault="005860D5">
            <w:pPr>
              <w:jc w:val="center"/>
              <w:rPr>
                <w:szCs w:val="21"/>
              </w:rPr>
            </w:pPr>
            <w:r>
              <w:rPr>
                <w:rFonts w:eastAsiaTheme="minorEastAsia" w:hint="eastAsia"/>
                <w:szCs w:val="21"/>
              </w:rPr>
              <w:t>原天云煤矿工程</w:t>
            </w:r>
          </w:p>
        </w:tc>
        <w:tc>
          <w:tcPr>
            <w:tcW w:w="7887" w:type="dxa"/>
            <w:gridSpan w:val="3"/>
            <w:vAlign w:val="center"/>
          </w:tcPr>
          <w:p w:rsidR="00C223F5" w:rsidRDefault="005860D5">
            <w:pPr>
              <w:jc w:val="center"/>
              <w:rPr>
                <w:szCs w:val="21"/>
              </w:rPr>
            </w:pPr>
            <w:r>
              <w:rPr>
                <w:rFonts w:eastAsiaTheme="minorEastAsia" w:hint="eastAsia"/>
                <w:szCs w:val="21"/>
              </w:rPr>
              <w:t>本次整合工程</w:t>
            </w:r>
          </w:p>
        </w:tc>
      </w:tr>
      <w:tr w:rsidR="00C223F5">
        <w:trPr>
          <w:trHeight w:val="98"/>
          <w:tblHeader/>
          <w:jc w:val="center"/>
        </w:trPr>
        <w:tc>
          <w:tcPr>
            <w:tcW w:w="640" w:type="dxa"/>
            <w:gridSpan w:val="2"/>
            <w:vMerge/>
            <w:vAlign w:val="center"/>
          </w:tcPr>
          <w:p w:rsidR="00C223F5" w:rsidRDefault="00C223F5">
            <w:pPr>
              <w:jc w:val="center"/>
              <w:rPr>
                <w:szCs w:val="21"/>
              </w:rPr>
            </w:pPr>
          </w:p>
        </w:tc>
        <w:tc>
          <w:tcPr>
            <w:tcW w:w="1042" w:type="dxa"/>
            <w:gridSpan w:val="2"/>
            <w:vMerge/>
            <w:vAlign w:val="center"/>
          </w:tcPr>
          <w:p w:rsidR="00C223F5" w:rsidRDefault="00C223F5">
            <w:pPr>
              <w:jc w:val="center"/>
              <w:rPr>
                <w:szCs w:val="21"/>
              </w:rPr>
            </w:pPr>
          </w:p>
        </w:tc>
        <w:tc>
          <w:tcPr>
            <w:tcW w:w="4111" w:type="dxa"/>
            <w:vAlign w:val="center"/>
          </w:tcPr>
          <w:p w:rsidR="00C223F5" w:rsidRDefault="005860D5">
            <w:pPr>
              <w:jc w:val="center"/>
              <w:rPr>
                <w:rFonts w:eastAsiaTheme="minorEastAsia"/>
                <w:szCs w:val="21"/>
              </w:rPr>
            </w:pPr>
            <w:r>
              <w:rPr>
                <w:szCs w:val="21"/>
              </w:rPr>
              <w:t>工程内容</w:t>
            </w:r>
          </w:p>
        </w:tc>
        <w:tc>
          <w:tcPr>
            <w:tcW w:w="854" w:type="dxa"/>
            <w:vAlign w:val="center"/>
          </w:tcPr>
          <w:p w:rsidR="00C223F5" w:rsidRDefault="005860D5">
            <w:pPr>
              <w:jc w:val="center"/>
              <w:rPr>
                <w:spacing w:val="-6"/>
                <w:szCs w:val="21"/>
              </w:rPr>
            </w:pPr>
            <w:r>
              <w:rPr>
                <w:rFonts w:hint="eastAsia"/>
                <w:spacing w:val="-6"/>
                <w:szCs w:val="21"/>
              </w:rPr>
              <w:t>后续要求</w:t>
            </w:r>
          </w:p>
        </w:tc>
        <w:tc>
          <w:tcPr>
            <w:tcW w:w="3878" w:type="dxa"/>
            <w:vAlign w:val="center"/>
          </w:tcPr>
          <w:p w:rsidR="00C223F5" w:rsidRDefault="005860D5">
            <w:pPr>
              <w:jc w:val="center"/>
              <w:rPr>
                <w:szCs w:val="21"/>
              </w:rPr>
            </w:pPr>
            <w:r>
              <w:rPr>
                <w:szCs w:val="21"/>
              </w:rPr>
              <w:t>工程内容</w:t>
            </w:r>
          </w:p>
        </w:tc>
        <w:tc>
          <w:tcPr>
            <w:tcW w:w="1316" w:type="dxa"/>
            <w:vAlign w:val="center"/>
          </w:tcPr>
          <w:p w:rsidR="00C223F5" w:rsidRDefault="005860D5">
            <w:pPr>
              <w:jc w:val="center"/>
              <w:rPr>
                <w:szCs w:val="21"/>
              </w:rPr>
            </w:pPr>
            <w:r>
              <w:rPr>
                <w:rFonts w:hint="eastAsia"/>
                <w:szCs w:val="21"/>
              </w:rPr>
              <w:t>依托关系</w:t>
            </w:r>
          </w:p>
        </w:tc>
        <w:tc>
          <w:tcPr>
            <w:tcW w:w="2693" w:type="dxa"/>
            <w:vAlign w:val="center"/>
          </w:tcPr>
          <w:p w:rsidR="00C223F5" w:rsidRDefault="005860D5">
            <w:pPr>
              <w:jc w:val="center"/>
              <w:rPr>
                <w:szCs w:val="21"/>
              </w:rPr>
            </w:pPr>
            <w:r>
              <w:rPr>
                <w:rFonts w:hint="eastAsia"/>
                <w:szCs w:val="21"/>
              </w:rPr>
              <w:t>备注</w:t>
            </w:r>
          </w:p>
        </w:tc>
      </w:tr>
      <w:tr w:rsidR="00C223F5" w:rsidTr="002862AB">
        <w:trPr>
          <w:trHeight w:val="65"/>
          <w:tblHeader/>
          <w:jc w:val="center"/>
        </w:trPr>
        <w:tc>
          <w:tcPr>
            <w:tcW w:w="357" w:type="dxa"/>
            <w:vMerge w:val="restart"/>
            <w:vAlign w:val="center"/>
          </w:tcPr>
          <w:p w:rsidR="00C223F5" w:rsidRDefault="005860D5">
            <w:pPr>
              <w:jc w:val="center"/>
              <w:rPr>
                <w:szCs w:val="21"/>
              </w:rPr>
            </w:pPr>
            <w:r>
              <w:rPr>
                <w:rFonts w:eastAsiaTheme="minorEastAsia" w:hAnsiTheme="minorEastAsia"/>
                <w:szCs w:val="21"/>
              </w:rPr>
              <w:t>主体工程</w:t>
            </w:r>
          </w:p>
        </w:tc>
        <w:tc>
          <w:tcPr>
            <w:tcW w:w="283" w:type="dxa"/>
            <w:vMerge w:val="restart"/>
            <w:vAlign w:val="center"/>
          </w:tcPr>
          <w:p w:rsidR="00C223F5" w:rsidRDefault="005860D5">
            <w:pPr>
              <w:spacing w:line="320" w:lineRule="exact"/>
              <w:jc w:val="center"/>
              <w:rPr>
                <w:szCs w:val="21"/>
              </w:rPr>
            </w:pPr>
            <w:r>
              <w:rPr>
                <w:szCs w:val="21"/>
              </w:rPr>
              <w:t>井</w:t>
            </w:r>
          </w:p>
          <w:p w:rsidR="00C223F5" w:rsidRDefault="005860D5">
            <w:pPr>
              <w:spacing w:line="320" w:lineRule="exact"/>
              <w:jc w:val="center"/>
              <w:rPr>
                <w:szCs w:val="21"/>
              </w:rPr>
            </w:pPr>
            <w:r>
              <w:rPr>
                <w:szCs w:val="21"/>
              </w:rPr>
              <w:t>巷</w:t>
            </w:r>
          </w:p>
          <w:p w:rsidR="00C223F5" w:rsidRDefault="005860D5">
            <w:pPr>
              <w:spacing w:line="320" w:lineRule="exact"/>
              <w:jc w:val="center"/>
              <w:rPr>
                <w:szCs w:val="21"/>
              </w:rPr>
            </w:pPr>
            <w:r>
              <w:rPr>
                <w:szCs w:val="21"/>
              </w:rPr>
              <w:t>工</w:t>
            </w:r>
          </w:p>
          <w:p w:rsidR="00C223F5" w:rsidRDefault="005860D5">
            <w:pPr>
              <w:jc w:val="center"/>
              <w:rPr>
                <w:szCs w:val="21"/>
              </w:rPr>
            </w:pPr>
            <w:r>
              <w:rPr>
                <w:szCs w:val="21"/>
              </w:rPr>
              <w:t>程</w:t>
            </w:r>
          </w:p>
        </w:tc>
        <w:tc>
          <w:tcPr>
            <w:tcW w:w="1042" w:type="dxa"/>
            <w:gridSpan w:val="2"/>
            <w:vAlign w:val="center"/>
          </w:tcPr>
          <w:p w:rsidR="00C223F5" w:rsidRDefault="005860D5">
            <w:pPr>
              <w:jc w:val="center"/>
              <w:rPr>
                <w:rFonts w:eastAsiaTheme="minorEastAsia"/>
                <w:szCs w:val="21"/>
              </w:rPr>
            </w:pPr>
            <w:r>
              <w:rPr>
                <w:rFonts w:eastAsiaTheme="minorEastAsia"/>
                <w:szCs w:val="21"/>
              </w:rPr>
              <w:t>井下通风</w:t>
            </w:r>
          </w:p>
        </w:tc>
        <w:tc>
          <w:tcPr>
            <w:tcW w:w="4111" w:type="dxa"/>
            <w:vAlign w:val="center"/>
          </w:tcPr>
          <w:p w:rsidR="00C223F5" w:rsidRDefault="005860D5">
            <w:pPr>
              <w:autoSpaceDE w:val="0"/>
              <w:autoSpaceDN w:val="0"/>
              <w:adjustRightInd w:val="0"/>
              <w:snapToGrid w:val="0"/>
              <w:jc w:val="center"/>
              <w:rPr>
                <w:kern w:val="0"/>
                <w:position w:val="-1"/>
                <w:szCs w:val="21"/>
              </w:rPr>
            </w:pPr>
            <w:r>
              <w:rPr>
                <w:kern w:val="0"/>
                <w:position w:val="-1"/>
                <w:szCs w:val="21"/>
              </w:rPr>
              <w:t>总风量</w:t>
            </w:r>
            <w:r>
              <w:rPr>
                <w:kern w:val="0"/>
                <w:position w:val="-1"/>
                <w:szCs w:val="21"/>
              </w:rPr>
              <w:t>36.7m</w:t>
            </w:r>
            <w:r>
              <w:rPr>
                <w:kern w:val="0"/>
                <w:position w:val="-1"/>
                <w:szCs w:val="21"/>
                <w:vertAlign w:val="superscript"/>
              </w:rPr>
              <w:t>3</w:t>
            </w:r>
            <w:r>
              <w:rPr>
                <w:kern w:val="0"/>
                <w:position w:val="-1"/>
                <w:szCs w:val="21"/>
              </w:rPr>
              <w:t>/s</w:t>
            </w:r>
            <w:r>
              <w:rPr>
                <w:kern w:val="0"/>
                <w:position w:val="-1"/>
                <w:szCs w:val="21"/>
              </w:rPr>
              <w:t>，选用</w:t>
            </w:r>
            <w:r>
              <w:rPr>
                <w:kern w:val="0"/>
                <w:position w:val="-1"/>
                <w:szCs w:val="21"/>
              </w:rPr>
              <w:t>FBCDZ—8—№15B</w:t>
            </w:r>
            <w:r>
              <w:rPr>
                <w:kern w:val="0"/>
                <w:position w:val="-1"/>
                <w:szCs w:val="21"/>
              </w:rPr>
              <w:t>型</w:t>
            </w:r>
          </w:p>
          <w:p w:rsidR="00C223F5" w:rsidRDefault="005860D5">
            <w:pPr>
              <w:autoSpaceDE w:val="0"/>
              <w:autoSpaceDN w:val="0"/>
              <w:adjustRightInd w:val="0"/>
              <w:snapToGrid w:val="0"/>
              <w:jc w:val="center"/>
              <w:rPr>
                <w:kern w:val="0"/>
                <w:position w:val="-1"/>
                <w:szCs w:val="21"/>
              </w:rPr>
            </w:pPr>
            <w:r>
              <w:rPr>
                <w:kern w:val="0"/>
                <w:position w:val="-1"/>
                <w:szCs w:val="21"/>
              </w:rPr>
              <w:t>防爆对旋轴流式通风机</w:t>
            </w:r>
            <w:r>
              <w:rPr>
                <w:kern w:val="0"/>
                <w:position w:val="-1"/>
                <w:szCs w:val="21"/>
              </w:rPr>
              <w:t>2</w:t>
            </w:r>
            <w:r>
              <w:rPr>
                <w:kern w:val="0"/>
                <w:position w:val="-1"/>
                <w:szCs w:val="21"/>
              </w:rPr>
              <w:t>台（一备一用）</w:t>
            </w:r>
          </w:p>
        </w:tc>
        <w:tc>
          <w:tcPr>
            <w:tcW w:w="854" w:type="dxa"/>
            <w:vAlign w:val="center"/>
          </w:tcPr>
          <w:p w:rsidR="00C223F5" w:rsidRDefault="005860D5">
            <w:pPr>
              <w:jc w:val="center"/>
              <w:rPr>
                <w:rFonts w:eastAsiaTheme="minorEastAsia"/>
                <w:szCs w:val="21"/>
              </w:rPr>
            </w:pPr>
            <w:r>
              <w:rPr>
                <w:rFonts w:eastAsiaTheme="minorEastAsia"/>
                <w:szCs w:val="21"/>
              </w:rPr>
              <w:t>建成</w:t>
            </w:r>
            <w:r>
              <w:rPr>
                <w:rFonts w:eastAsiaTheme="minorEastAsia"/>
                <w:szCs w:val="21"/>
              </w:rPr>
              <w:t>/</w:t>
            </w:r>
          </w:p>
          <w:p w:rsidR="00C223F5" w:rsidRDefault="005860D5">
            <w:pPr>
              <w:adjustRightInd w:val="0"/>
              <w:snapToGrid w:val="0"/>
              <w:jc w:val="center"/>
              <w:rPr>
                <w:rFonts w:eastAsiaTheme="minorEastAsia"/>
                <w:szCs w:val="21"/>
              </w:rPr>
            </w:pPr>
            <w:r>
              <w:rPr>
                <w:rFonts w:eastAsiaTheme="minorEastAsia" w:hint="eastAsia"/>
                <w:szCs w:val="21"/>
              </w:rPr>
              <w:t>废弃</w:t>
            </w:r>
          </w:p>
        </w:tc>
        <w:tc>
          <w:tcPr>
            <w:tcW w:w="3878" w:type="dxa"/>
            <w:vAlign w:val="center"/>
          </w:tcPr>
          <w:p w:rsidR="00C223F5" w:rsidRPr="00BB1CC7" w:rsidRDefault="005860D5">
            <w:pPr>
              <w:jc w:val="center"/>
              <w:rPr>
                <w:rFonts w:eastAsiaTheme="minorEastAsia"/>
                <w:sz w:val="18"/>
                <w:szCs w:val="18"/>
              </w:rPr>
            </w:pPr>
            <w:r w:rsidRPr="00BB1CC7">
              <w:rPr>
                <w:rFonts w:eastAsiaTheme="minorEastAsia" w:hint="eastAsia"/>
                <w:sz w:val="18"/>
                <w:szCs w:val="18"/>
              </w:rPr>
              <w:t>采用并列抽出式通风，总风量</w:t>
            </w:r>
            <w:r w:rsidRPr="00BB1CC7">
              <w:rPr>
                <w:rFonts w:eastAsiaTheme="minorEastAsia" w:hint="eastAsia"/>
                <w:sz w:val="18"/>
                <w:szCs w:val="18"/>
              </w:rPr>
              <w:t>110m</w:t>
            </w:r>
            <w:r w:rsidRPr="00BB1CC7">
              <w:rPr>
                <w:rFonts w:eastAsiaTheme="minorEastAsia" w:hint="eastAsia"/>
                <w:sz w:val="18"/>
                <w:szCs w:val="18"/>
                <w:vertAlign w:val="superscript"/>
              </w:rPr>
              <w:t>3</w:t>
            </w:r>
            <w:r w:rsidRPr="00BB1CC7">
              <w:rPr>
                <w:rFonts w:eastAsiaTheme="minorEastAsia" w:hint="eastAsia"/>
                <w:sz w:val="18"/>
                <w:szCs w:val="18"/>
              </w:rPr>
              <w:t>/s</w:t>
            </w:r>
            <w:r w:rsidRPr="00BB1CC7">
              <w:rPr>
                <w:rFonts w:eastAsiaTheme="minorEastAsia" w:hint="eastAsia"/>
                <w:sz w:val="18"/>
                <w:szCs w:val="18"/>
              </w:rPr>
              <w:t>，在回风立井井口安装</w:t>
            </w:r>
            <w:r w:rsidRPr="00BB1CC7">
              <w:rPr>
                <w:rFonts w:eastAsiaTheme="minorEastAsia" w:hint="eastAsia"/>
                <w:sz w:val="18"/>
                <w:szCs w:val="18"/>
              </w:rPr>
              <w:t>2</w:t>
            </w:r>
            <w:r w:rsidRPr="00BB1CC7">
              <w:rPr>
                <w:rFonts w:eastAsiaTheme="minorEastAsia" w:hint="eastAsia"/>
                <w:sz w:val="18"/>
                <w:szCs w:val="18"/>
              </w:rPr>
              <w:t>台</w:t>
            </w:r>
            <w:r w:rsidRPr="00BB1CC7">
              <w:rPr>
                <w:rFonts w:eastAsiaTheme="minorEastAsia" w:hint="eastAsia"/>
                <w:sz w:val="18"/>
                <w:szCs w:val="18"/>
              </w:rPr>
              <w:t>FBCDZ</w:t>
            </w:r>
            <w:r w:rsidRPr="00BB1CC7">
              <w:rPr>
                <w:rFonts w:eastAsiaTheme="minorEastAsia" w:hint="eastAsia"/>
                <w:sz w:val="18"/>
                <w:szCs w:val="18"/>
              </w:rPr>
              <w:t>№</w:t>
            </w:r>
            <w:r w:rsidRPr="00BB1CC7">
              <w:rPr>
                <w:rFonts w:eastAsiaTheme="minorEastAsia" w:hint="eastAsia"/>
                <w:sz w:val="18"/>
                <w:szCs w:val="18"/>
              </w:rPr>
              <w:t>30/315</w:t>
            </w:r>
            <w:r w:rsidRPr="00BB1CC7">
              <w:rPr>
                <w:rFonts w:eastAsiaTheme="minorEastAsia" w:hint="eastAsia"/>
                <w:sz w:val="18"/>
                <w:szCs w:val="18"/>
              </w:rPr>
              <w:t>×</w:t>
            </w:r>
            <w:r w:rsidRPr="00BB1CC7">
              <w:rPr>
                <w:rFonts w:eastAsiaTheme="minorEastAsia" w:hint="eastAsia"/>
                <w:sz w:val="18"/>
                <w:szCs w:val="18"/>
              </w:rPr>
              <w:t>2</w:t>
            </w:r>
            <w:r w:rsidRPr="00BB1CC7">
              <w:rPr>
                <w:rFonts w:eastAsiaTheme="minorEastAsia" w:hint="eastAsia"/>
                <w:sz w:val="18"/>
                <w:szCs w:val="18"/>
              </w:rPr>
              <w:t>型防爆对旋轴流通风机</w:t>
            </w:r>
            <w:r w:rsidRPr="00BB1CC7">
              <w:rPr>
                <w:kern w:val="0"/>
                <w:position w:val="-1"/>
                <w:sz w:val="18"/>
                <w:szCs w:val="18"/>
              </w:rPr>
              <w:t>（一备一用）</w:t>
            </w:r>
          </w:p>
        </w:tc>
        <w:tc>
          <w:tcPr>
            <w:tcW w:w="1316"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新建</w:t>
            </w:r>
          </w:p>
        </w:tc>
        <w:tc>
          <w:tcPr>
            <w:tcW w:w="2693" w:type="dxa"/>
            <w:vAlign w:val="center"/>
          </w:tcPr>
          <w:p w:rsidR="00C223F5" w:rsidRDefault="005860D5">
            <w:pPr>
              <w:adjustRightInd w:val="0"/>
              <w:jc w:val="center"/>
              <w:rPr>
                <w:szCs w:val="21"/>
              </w:rPr>
            </w:pPr>
            <w:r>
              <w:rPr>
                <w:rFonts w:eastAsiaTheme="minorEastAsia" w:hAnsiTheme="minorEastAsia" w:hint="eastAsia"/>
                <w:szCs w:val="21"/>
              </w:rPr>
              <w:t>未建</w:t>
            </w:r>
          </w:p>
        </w:tc>
      </w:tr>
      <w:tr w:rsidR="00C223F5">
        <w:trPr>
          <w:trHeight w:val="614"/>
          <w:tblHeader/>
          <w:jc w:val="center"/>
        </w:trPr>
        <w:tc>
          <w:tcPr>
            <w:tcW w:w="357" w:type="dxa"/>
            <w:vMerge/>
            <w:vAlign w:val="center"/>
          </w:tcPr>
          <w:p w:rsidR="00C223F5" w:rsidRDefault="00C223F5">
            <w:pPr>
              <w:jc w:val="center"/>
              <w:rPr>
                <w:szCs w:val="21"/>
              </w:rPr>
            </w:pPr>
          </w:p>
        </w:tc>
        <w:tc>
          <w:tcPr>
            <w:tcW w:w="283" w:type="dxa"/>
            <w:vMerge/>
            <w:vAlign w:val="center"/>
          </w:tcPr>
          <w:p w:rsidR="00C223F5" w:rsidRDefault="00C223F5">
            <w:pPr>
              <w:spacing w:line="320" w:lineRule="exact"/>
              <w:jc w:val="center"/>
              <w:rPr>
                <w:szCs w:val="21"/>
              </w:rPr>
            </w:pPr>
          </w:p>
        </w:tc>
        <w:tc>
          <w:tcPr>
            <w:tcW w:w="1042" w:type="dxa"/>
            <w:gridSpan w:val="2"/>
            <w:vAlign w:val="center"/>
          </w:tcPr>
          <w:p w:rsidR="00C223F5" w:rsidRDefault="005860D5">
            <w:pPr>
              <w:jc w:val="center"/>
              <w:rPr>
                <w:rFonts w:eastAsiaTheme="minorEastAsia"/>
                <w:szCs w:val="21"/>
              </w:rPr>
            </w:pPr>
            <w:r>
              <w:rPr>
                <w:rFonts w:eastAsiaTheme="minorEastAsia" w:hAnsiTheme="minorEastAsia"/>
                <w:szCs w:val="21"/>
              </w:rPr>
              <w:t>巷道工程</w:t>
            </w:r>
          </w:p>
        </w:tc>
        <w:tc>
          <w:tcPr>
            <w:tcW w:w="4111" w:type="dxa"/>
            <w:vAlign w:val="center"/>
          </w:tcPr>
          <w:p w:rsidR="00C223F5" w:rsidRDefault="005860D5">
            <w:pPr>
              <w:autoSpaceDE w:val="0"/>
              <w:autoSpaceDN w:val="0"/>
              <w:adjustRightInd w:val="0"/>
              <w:snapToGrid w:val="0"/>
              <w:jc w:val="center"/>
              <w:rPr>
                <w:kern w:val="0"/>
                <w:position w:val="-1"/>
                <w:szCs w:val="21"/>
              </w:rPr>
            </w:pPr>
            <w:r>
              <w:rPr>
                <w:kern w:val="0"/>
                <w:position w:val="-1"/>
                <w:szCs w:val="21"/>
              </w:rPr>
              <w:t>总长度</w:t>
            </w:r>
            <w:r>
              <w:rPr>
                <w:kern w:val="0"/>
                <w:position w:val="-1"/>
                <w:szCs w:val="21"/>
              </w:rPr>
              <w:t>4000m</w:t>
            </w:r>
          </w:p>
        </w:tc>
        <w:tc>
          <w:tcPr>
            <w:tcW w:w="854" w:type="dxa"/>
            <w:vAlign w:val="center"/>
          </w:tcPr>
          <w:p w:rsidR="00C223F5" w:rsidRDefault="005860D5">
            <w:pPr>
              <w:jc w:val="center"/>
              <w:rPr>
                <w:rFonts w:eastAsiaTheme="minorEastAsia"/>
                <w:szCs w:val="21"/>
              </w:rPr>
            </w:pPr>
            <w:r>
              <w:rPr>
                <w:rFonts w:eastAsiaTheme="minorEastAsia"/>
                <w:szCs w:val="21"/>
              </w:rPr>
              <w:t>建成</w:t>
            </w:r>
            <w:r>
              <w:rPr>
                <w:rFonts w:eastAsiaTheme="minorEastAsia"/>
                <w:szCs w:val="21"/>
              </w:rPr>
              <w:t>/</w:t>
            </w:r>
            <w:r>
              <w:rPr>
                <w:rFonts w:eastAsiaTheme="minorEastAsia" w:hint="eastAsia"/>
                <w:szCs w:val="21"/>
              </w:rPr>
              <w:t>部分</w:t>
            </w:r>
            <w:r>
              <w:rPr>
                <w:rFonts w:eastAsiaTheme="minorEastAsia"/>
                <w:szCs w:val="21"/>
              </w:rPr>
              <w:t>利用</w:t>
            </w:r>
          </w:p>
        </w:tc>
        <w:tc>
          <w:tcPr>
            <w:tcW w:w="3878" w:type="dxa"/>
            <w:vAlign w:val="center"/>
          </w:tcPr>
          <w:p w:rsidR="00C223F5" w:rsidRPr="00BB1CC7" w:rsidRDefault="005860D5">
            <w:pPr>
              <w:jc w:val="center"/>
              <w:rPr>
                <w:rFonts w:eastAsiaTheme="minorEastAsia"/>
                <w:spacing w:val="-4"/>
                <w:sz w:val="18"/>
                <w:szCs w:val="18"/>
              </w:rPr>
            </w:pPr>
            <w:r w:rsidRPr="00BB1CC7">
              <w:rPr>
                <w:rFonts w:hAnsi="宋体"/>
                <w:sz w:val="18"/>
                <w:szCs w:val="18"/>
              </w:rPr>
              <w:t>工程总量</w:t>
            </w:r>
            <w:r w:rsidRPr="00BB1CC7">
              <w:rPr>
                <w:sz w:val="18"/>
                <w:szCs w:val="18"/>
              </w:rPr>
              <w:t>16667m</w:t>
            </w:r>
            <w:r w:rsidRPr="00BB1CC7">
              <w:rPr>
                <w:rFonts w:hAnsi="宋体"/>
                <w:sz w:val="18"/>
                <w:szCs w:val="18"/>
              </w:rPr>
              <w:t>，其中，利用工程</w:t>
            </w:r>
            <w:r w:rsidRPr="00BB1CC7">
              <w:rPr>
                <w:sz w:val="18"/>
                <w:szCs w:val="18"/>
              </w:rPr>
              <w:t>376m</w:t>
            </w:r>
            <w:r w:rsidRPr="00BB1CC7">
              <w:rPr>
                <w:rFonts w:hAnsi="宋体"/>
                <w:sz w:val="18"/>
                <w:szCs w:val="18"/>
              </w:rPr>
              <w:t>，新增井巷工程量</w:t>
            </w:r>
            <w:r w:rsidRPr="00BB1CC7">
              <w:rPr>
                <w:sz w:val="18"/>
                <w:szCs w:val="18"/>
              </w:rPr>
              <w:t>16291m</w:t>
            </w:r>
            <w:r w:rsidRPr="00BB1CC7">
              <w:rPr>
                <w:rFonts w:hAnsi="宋体"/>
                <w:sz w:val="18"/>
                <w:szCs w:val="18"/>
              </w:rPr>
              <w:t>，万吨掘进率</w:t>
            </w:r>
            <w:r w:rsidRPr="00BB1CC7">
              <w:rPr>
                <w:sz w:val="18"/>
                <w:szCs w:val="18"/>
              </w:rPr>
              <w:t>181m</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hint="eastAsia"/>
                <w:sz w:val="21"/>
                <w:szCs w:val="21"/>
              </w:rPr>
              <w:t>新建</w:t>
            </w:r>
            <w:r>
              <w:rPr>
                <w:rFonts w:eastAsiaTheme="minorEastAsia" w:hAnsiTheme="minorEastAsia" w:hint="eastAsia"/>
                <w:sz w:val="21"/>
                <w:szCs w:val="21"/>
              </w:rPr>
              <w:t>+</w:t>
            </w:r>
            <w:r>
              <w:rPr>
                <w:rFonts w:eastAsiaTheme="minorEastAsia" w:hAnsiTheme="minorEastAsia" w:hint="eastAsia"/>
                <w:sz w:val="21"/>
                <w:szCs w:val="21"/>
              </w:rPr>
              <w:t>利用</w:t>
            </w:r>
          </w:p>
        </w:tc>
        <w:tc>
          <w:tcPr>
            <w:tcW w:w="2693"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未建</w:t>
            </w:r>
          </w:p>
        </w:tc>
      </w:tr>
      <w:tr w:rsidR="00C223F5" w:rsidTr="002862AB">
        <w:trPr>
          <w:trHeight w:val="65"/>
          <w:tblHeader/>
          <w:jc w:val="center"/>
        </w:trPr>
        <w:tc>
          <w:tcPr>
            <w:tcW w:w="357" w:type="dxa"/>
            <w:vMerge/>
            <w:vAlign w:val="center"/>
          </w:tcPr>
          <w:p w:rsidR="00C223F5" w:rsidRDefault="00C223F5">
            <w:pPr>
              <w:jc w:val="center"/>
              <w:rPr>
                <w:szCs w:val="21"/>
              </w:rPr>
            </w:pPr>
          </w:p>
        </w:tc>
        <w:tc>
          <w:tcPr>
            <w:tcW w:w="283" w:type="dxa"/>
            <w:vMerge/>
            <w:vAlign w:val="center"/>
          </w:tcPr>
          <w:p w:rsidR="00C223F5" w:rsidRDefault="00C223F5">
            <w:pPr>
              <w:spacing w:line="320" w:lineRule="exact"/>
              <w:jc w:val="center"/>
              <w:rPr>
                <w:szCs w:val="21"/>
              </w:rPr>
            </w:pPr>
          </w:p>
        </w:tc>
        <w:tc>
          <w:tcPr>
            <w:tcW w:w="1042" w:type="dxa"/>
            <w:gridSpan w:val="2"/>
            <w:vAlign w:val="center"/>
          </w:tcPr>
          <w:p w:rsidR="00C223F5" w:rsidRDefault="005860D5">
            <w:pPr>
              <w:jc w:val="center"/>
              <w:rPr>
                <w:rFonts w:eastAsiaTheme="minorEastAsia"/>
                <w:szCs w:val="21"/>
              </w:rPr>
            </w:pPr>
            <w:r>
              <w:rPr>
                <w:rFonts w:eastAsiaTheme="minorEastAsia" w:hAnsiTheme="minorEastAsia" w:hint="eastAsia"/>
                <w:szCs w:val="21"/>
              </w:rPr>
              <w:t>井底车场及</w:t>
            </w:r>
            <w:r>
              <w:rPr>
                <w:rFonts w:eastAsiaTheme="minorEastAsia" w:hAnsiTheme="minorEastAsia"/>
                <w:szCs w:val="21"/>
              </w:rPr>
              <w:t>硐室</w:t>
            </w:r>
          </w:p>
        </w:tc>
        <w:tc>
          <w:tcPr>
            <w:tcW w:w="4111" w:type="dxa"/>
            <w:vAlign w:val="center"/>
          </w:tcPr>
          <w:p w:rsidR="00C223F5" w:rsidRDefault="005860D5">
            <w:pPr>
              <w:autoSpaceDE w:val="0"/>
              <w:autoSpaceDN w:val="0"/>
              <w:adjustRightInd w:val="0"/>
              <w:snapToGrid w:val="0"/>
              <w:jc w:val="center"/>
              <w:rPr>
                <w:kern w:val="0"/>
                <w:position w:val="-1"/>
                <w:szCs w:val="21"/>
              </w:rPr>
            </w:pPr>
            <w:r>
              <w:rPr>
                <w:kern w:val="0"/>
                <w:position w:val="-1"/>
                <w:szCs w:val="21"/>
              </w:rPr>
              <w:t>井底设平车场，与轨道大巷相连通，车场内设有存车线，并设有中央变电所、水泵房及管子道、等候室等硐室</w:t>
            </w:r>
          </w:p>
        </w:tc>
        <w:tc>
          <w:tcPr>
            <w:tcW w:w="854" w:type="dxa"/>
            <w:vAlign w:val="center"/>
          </w:tcPr>
          <w:p w:rsidR="00C223F5" w:rsidRDefault="005860D5">
            <w:pPr>
              <w:adjustRightInd w:val="0"/>
              <w:snapToGrid w:val="0"/>
              <w:jc w:val="center"/>
              <w:rPr>
                <w:rFonts w:eastAsiaTheme="minorEastAsia"/>
                <w:szCs w:val="21"/>
              </w:rPr>
            </w:pPr>
            <w:r>
              <w:rPr>
                <w:rFonts w:eastAsiaTheme="minorEastAsia" w:hint="eastAsia"/>
                <w:szCs w:val="21"/>
              </w:rPr>
              <w:t>建成</w:t>
            </w:r>
            <w:r>
              <w:rPr>
                <w:rFonts w:eastAsiaTheme="minorEastAsia" w:hint="eastAsia"/>
                <w:szCs w:val="21"/>
              </w:rPr>
              <w:t>/</w:t>
            </w:r>
          </w:p>
          <w:p w:rsidR="00C223F5" w:rsidRDefault="005860D5">
            <w:pPr>
              <w:adjustRightInd w:val="0"/>
              <w:snapToGrid w:val="0"/>
              <w:jc w:val="center"/>
              <w:rPr>
                <w:rFonts w:eastAsiaTheme="minorEastAsia"/>
                <w:szCs w:val="21"/>
              </w:rPr>
            </w:pPr>
            <w:r>
              <w:rPr>
                <w:rFonts w:eastAsiaTheme="minorEastAsia" w:hint="eastAsia"/>
                <w:szCs w:val="21"/>
              </w:rPr>
              <w:t>废弃</w:t>
            </w:r>
          </w:p>
        </w:tc>
        <w:tc>
          <w:tcPr>
            <w:tcW w:w="3878" w:type="dxa"/>
            <w:vAlign w:val="center"/>
          </w:tcPr>
          <w:p w:rsidR="00C223F5" w:rsidRPr="00BB1CC7" w:rsidRDefault="005860D5">
            <w:pPr>
              <w:jc w:val="center"/>
              <w:rPr>
                <w:rFonts w:eastAsiaTheme="minorEastAsia" w:hAnsiTheme="minorEastAsia"/>
                <w:sz w:val="18"/>
                <w:szCs w:val="18"/>
              </w:rPr>
            </w:pPr>
            <w:r w:rsidRPr="00BB1CC7">
              <w:rPr>
                <w:rFonts w:ascii="宋体" w:hAnsi="宋体" w:hint="eastAsia"/>
                <w:sz w:val="18"/>
                <w:szCs w:val="18"/>
              </w:rPr>
              <w:t>主要</w:t>
            </w:r>
            <w:r w:rsidRPr="00BB1CC7">
              <w:rPr>
                <w:rFonts w:ascii="宋体" w:hAnsi="宋体"/>
                <w:sz w:val="18"/>
                <w:szCs w:val="18"/>
              </w:rPr>
              <w:t>硐室有</w:t>
            </w:r>
            <w:r w:rsidRPr="00BB1CC7">
              <w:rPr>
                <w:rFonts w:ascii="宋体" w:hAnsi="宋体" w:hint="eastAsia"/>
                <w:sz w:val="18"/>
                <w:szCs w:val="18"/>
              </w:rPr>
              <w:t>井底</w:t>
            </w:r>
            <w:r w:rsidRPr="00BB1CC7">
              <w:rPr>
                <w:rFonts w:ascii="宋体" w:hAnsi="宋体"/>
                <w:sz w:val="18"/>
                <w:szCs w:val="18"/>
              </w:rPr>
              <w:t>主排水泵房及</w:t>
            </w:r>
            <w:r w:rsidRPr="00BB1CC7">
              <w:rPr>
                <w:rFonts w:ascii="宋体" w:hAnsi="宋体" w:hint="eastAsia"/>
                <w:sz w:val="18"/>
                <w:szCs w:val="18"/>
              </w:rPr>
              <w:t>管子道、井底</w:t>
            </w:r>
            <w:r w:rsidRPr="00BB1CC7">
              <w:rPr>
                <w:rFonts w:ascii="宋体" w:hAnsi="宋体"/>
                <w:sz w:val="18"/>
                <w:szCs w:val="18"/>
              </w:rPr>
              <w:t>水仓</w:t>
            </w:r>
            <w:r w:rsidRPr="00BB1CC7">
              <w:rPr>
                <w:rFonts w:ascii="宋体" w:hAnsi="宋体" w:hint="eastAsia"/>
                <w:sz w:val="18"/>
                <w:szCs w:val="18"/>
              </w:rPr>
              <w:t>、井底主变电</w:t>
            </w:r>
            <w:r w:rsidRPr="00BB1CC7">
              <w:rPr>
                <w:rFonts w:ascii="宋体" w:hAnsi="宋体"/>
                <w:sz w:val="18"/>
                <w:szCs w:val="18"/>
              </w:rPr>
              <w:t>所</w:t>
            </w:r>
            <w:r w:rsidRPr="00BB1CC7">
              <w:rPr>
                <w:rFonts w:ascii="宋体" w:hAnsi="宋体" w:hint="eastAsia"/>
                <w:sz w:val="18"/>
                <w:szCs w:val="18"/>
              </w:rPr>
              <w:t>、井下</w:t>
            </w:r>
            <w:r w:rsidRPr="00BB1CC7">
              <w:rPr>
                <w:rFonts w:ascii="宋体" w:hAnsi="宋体"/>
                <w:sz w:val="18"/>
                <w:szCs w:val="18"/>
              </w:rPr>
              <w:t>消防材料库</w:t>
            </w:r>
            <w:r w:rsidRPr="00BB1CC7">
              <w:rPr>
                <w:rFonts w:ascii="宋体" w:hAnsi="宋体" w:hint="eastAsia"/>
                <w:sz w:val="18"/>
                <w:szCs w:val="18"/>
              </w:rPr>
              <w:t>、急救室、调度室、北翼井下爆炸物品库、北翼盘区变电所、北翼永久避难硐室</w:t>
            </w:r>
            <w:r w:rsidRPr="00BB1CC7">
              <w:rPr>
                <w:rFonts w:ascii="宋体" w:hAnsi="宋体"/>
                <w:sz w:val="18"/>
                <w:szCs w:val="18"/>
              </w:rPr>
              <w:t>等</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hint="eastAsia"/>
                <w:sz w:val="21"/>
                <w:szCs w:val="21"/>
              </w:rPr>
              <w:t>新建</w:t>
            </w:r>
          </w:p>
        </w:tc>
        <w:tc>
          <w:tcPr>
            <w:tcW w:w="2693"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未建</w:t>
            </w:r>
          </w:p>
        </w:tc>
      </w:tr>
      <w:tr w:rsidR="00C223F5" w:rsidTr="002862AB">
        <w:trPr>
          <w:trHeight w:val="65"/>
          <w:tblHeader/>
          <w:jc w:val="center"/>
        </w:trPr>
        <w:tc>
          <w:tcPr>
            <w:tcW w:w="357" w:type="dxa"/>
            <w:vMerge/>
            <w:vAlign w:val="center"/>
          </w:tcPr>
          <w:p w:rsidR="00C223F5" w:rsidRDefault="00C223F5">
            <w:pPr>
              <w:jc w:val="center"/>
              <w:rPr>
                <w:szCs w:val="21"/>
              </w:rPr>
            </w:pPr>
          </w:p>
        </w:tc>
        <w:tc>
          <w:tcPr>
            <w:tcW w:w="283" w:type="dxa"/>
            <w:vMerge/>
            <w:vAlign w:val="center"/>
          </w:tcPr>
          <w:p w:rsidR="00C223F5" w:rsidRDefault="00C223F5">
            <w:pPr>
              <w:spacing w:line="320" w:lineRule="exact"/>
              <w:jc w:val="center"/>
              <w:rPr>
                <w:szCs w:val="21"/>
              </w:rPr>
            </w:pPr>
          </w:p>
        </w:tc>
        <w:tc>
          <w:tcPr>
            <w:tcW w:w="1042" w:type="dxa"/>
            <w:gridSpan w:val="2"/>
            <w:vAlign w:val="center"/>
          </w:tcPr>
          <w:p w:rsidR="00C223F5" w:rsidRDefault="005860D5">
            <w:pPr>
              <w:jc w:val="center"/>
              <w:rPr>
                <w:rFonts w:eastAsiaTheme="minorEastAsia"/>
                <w:szCs w:val="21"/>
              </w:rPr>
            </w:pPr>
            <w:r>
              <w:rPr>
                <w:rFonts w:eastAsiaTheme="minorEastAsia"/>
                <w:szCs w:val="21"/>
              </w:rPr>
              <w:t>井下运输</w:t>
            </w:r>
          </w:p>
        </w:tc>
        <w:tc>
          <w:tcPr>
            <w:tcW w:w="4111" w:type="dxa"/>
            <w:vAlign w:val="center"/>
          </w:tcPr>
          <w:p w:rsidR="00C223F5" w:rsidRDefault="005860D5">
            <w:pPr>
              <w:jc w:val="center"/>
              <w:rPr>
                <w:szCs w:val="21"/>
              </w:rPr>
            </w:pPr>
            <w:r>
              <w:rPr>
                <w:szCs w:val="21"/>
              </w:rPr>
              <w:t>主运输采用胶带输送机，辅助运输采用</w:t>
            </w:r>
          </w:p>
          <w:p w:rsidR="00C223F5" w:rsidRDefault="005860D5">
            <w:pPr>
              <w:jc w:val="center"/>
              <w:rPr>
                <w:szCs w:val="21"/>
              </w:rPr>
            </w:pPr>
            <w:r>
              <w:rPr>
                <w:rFonts w:hint="eastAsia"/>
                <w:szCs w:val="21"/>
              </w:rPr>
              <w:t>轨道</w:t>
            </w:r>
            <w:r>
              <w:rPr>
                <w:szCs w:val="21"/>
              </w:rPr>
              <w:t>运输</w:t>
            </w:r>
          </w:p>
        </w:tc>
        <w:tc>
          <w:tcPr>
            <w:tcW w:w="854" w:type="dxa"/>
            <w:vAlign w:val="center"/>
          </w:tcPr>
          <w:p w:rsidR="00C223F5" w:rsidRDefault="005860D5">
            <w:pPr>
              <w:adjustRightInd w:val="0"/>
              <w:snapToGrid w:val="0"/>
              <w:jc w:val="center"/>
              <w:rPr>
                <w:rFonts w:eastAsiaTheme="minorEastAsia"/>
                <w:szCs w:val="21"/>
              </w:rPr>
            </w:pPr>
            <w:r>
              <w:rPr>
                <w:rFonts w:eastAsiaTheme="minorEastAsia" w:hint="eastAsia"/>
                <w:szCs w:val="21"/>
              </w:rPr>
              <w:t>建成</w:t>
            </w:r>
            <w:r>
              <w:rPr>
                <w:rFonts w:eastAsiaTheme="minorEastAsia" w:hint="eastAsia"/>
                <w:szCs w:val="21"/>
              </w:rPr>
              <w:t>/</w:t>
            </w:r>
          </w:p>
          <w:p w:rsidR="00C223F5" w:rsidRDefault="005860D5">
            <w:pPr>
              <w:jc w:val="center"/>
              <w:rPr>
                <w:rFonts w:eastAsiaTheme="minorEastAsia" w:hAnsiTheme="minorEastAsia"/>
                <w:szCs w:val="21"/>
              </w:rPr>
            </w:pPr>
            <w:r>
              <w:rPr>
                <w:rFonts w:eastAsiaTheme="minorEastAsia" w:hint="eastAsia"/>
                <w:szCs w:val="21"/>
              </w:rPr>
              <w:t>废弃</w:t>
            </w:r>
          </w:p>
        </w:tc>
        <w:tc>
          <w:tcPr>
            <w:tcW w:w="3878" w:type="dxa"/>
            <w:vAlign w:val="center"/>
          </w:tcPr>
          <w:p w:rsidR="00C223F5" w:rsidRDefault="005860D5">
            <w:pPr>
              <w:jc w:val="center"/>
              <w:rPr>
                <w:szCs w:val="21"/>
              </w:rPr>
            </w:pPr>
            <w:r>
              <w:rPr>
                <w:szCs w:val="21"/>
              </w:rPr>
              <w:t>主运输采用胶带输送机，辅助运输采用</w:t>
            </w:r>
          </w:p>
          <w:p w:rsidR="00C223F5" w:rsidRDefault="005860D5">
            <w:pPr>
              <w:jc w:val="center"/>
              <w:rPr>
                <w:rFonts w:eastAsiaTheme="minorEastAsia" w:hAnsiTheme="minorEastAsia"/>
                <w:szCs w:val="21"/>
              </w:rPr>
            </w:pPr>
            <w:r>
              <w:rPr>
                <w:rFonts w:hint="eastAsia"/>
                <w:szCs w:val="21"/>
              </w:rPr>
              <w:t>无轨胶轮车</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hint="eastAsia"/>
                <w:sz w:val="21"/>
                <w:szCs w:val="21"/>
              </w:rPr>
              <w:t>新建</w:t>
            </w:r>
          </w:p>
        </w:tc>
        <w:tc>
          <w:tcPr>
            <w:tcW w:w="2693"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未建</w:t>
            </w:r>
          </w:p>
        </w:tc>
      </w:tr>
      <w:tr w:rsidR="00C223F5" w:rsidTr="002862AB">
        <w:trPr>
          <w:trHeight w:val="66"/>
          <w:tblHeader/>
          <w:jc w:val="center"/>
        </w:trPr>
        <w:tc>
          <w:tcPr>
            <w:tcW w:w="357" w:type="dxa"/>
            <w:vMerge/>
            <w:vAlign w:val="center"/>
          </w:tcPr>
          <w:p w:rsidR="00C223F5" w:rsidRDefault="00C223F5">
            <w:pPr>
              <w:jc w:val="center"/>
              <w:rPr>
                <w:szCs w:val="21"/>
              </w:rPr>
            </w:pPr>
          </w:p>
        </w:tc>
        <w:tc>
          <w:tcPr>
            <w:tcW w:w="283" w:type="dxa"/>
            <w:vMerge w:val="restart"/>
            <w:vAlign w:val="center"/>
          </w:tcPr>
          <w:p w:rsidR="00C223F5" w:rsidRDefault="005860D5">
            <w:pPr>
              <w:adjustRightInd w:val="0"/>
              <w:snapToGrid w:val="0"/>
              <w:jc w:val="center"/>
              <w:rPr>
                <w:rFonts w:eastAsiaTheme="minorEastAsia" w:hAnsiTheme="minorEastAsia"/>
                <w:szCs w:val="21"/>
              </w:rPr>
            </w:pPr>
            <w:r>
              <w:rPr>
                <w:rFonts w:eastAsiaTheme="minorEastAsia" w:hAnsiTheme="minorEastAsia"/>
                <w:szCs w:val="21"/>
              </w:rPr>
              <w:t>选煤</w:t>
            </w:r>
          </w:p>
          <w:p w:rsidR="00C223F5" w:rsidRDefault="005860D5">
            <w:pPr>
              <w:spacing w:line="320" w:lineRule="exact"/>
              <w:jc w:val="center"/>
              <w:rPr>
                <w:szCs w:val="21"/>
              </w:rPr>
            </w:pPr>
            <w:r>
              <w:rPr>
                <w:rFonts w:eastAsiaTheme="minorEastAsia" w:hAnsiTheme="minorEastAsia"/>
                <w:szCs w:val="21"/>
              </w:rPr>
              <w:t>工程</w:t>
            </w:r>
          </w:p>
        </w:tc>
        <w:tc>
          <w:tcPr>
            <w:tcW w:w="1042" w:type="dxa"/>
            <w:gridSpan w:val="2"/>
            <w:vAlign w:val="center"/>
          </w:tcPr>
          <w:p w:rsidR="00C223F5" w:rsidRDefault="005860D5">
            <w:pPr>
              <w:jc w:val="center"/>
              <w:rPr>
                <w:rFonts w:eastAsiaTheme="minorEastAsia" w:hAnsiTheme="minorEastAsia"/>
                <w:szCs w:val="21"/>
              </w:rPr>
            </w:pPr>
            <w:r>
              <w:rPr>
                <w:rFonts w:eastAsiaTheme="minorEastAsia" w:hAnsiTheme="minorEastAsia" w:hint="eastAsia"/>
                <w:szCs w:val="21"/>
              </w:rPr>
              <w:t>原煤准备系统</w:t>
            </w:r>
          </w:p>
        </w:tc>
        <w:tc>
          <w:tcPr>
            <w:tcW w:w="4111" w:type="dxa"/>
            <w:vAlign w:val="center"/>
          </w:tcPr>
          <w:p w:rsidR="00C223F5" w:rsidRDefault="005860D5">
            <w:pPr>
              <w:jc w:val="center"/>
              <w:rPr>
                <w:szCs w:val="21"/>
              </w:rPr>
            </w:pPr>
            <w:r>
              <w:rPr>
                <w:kern w:val="0"/>
                <w:position w:val="-1"/>
                <w:szCs w:val="21"/>
              </w:rPr>
              <w:t>设置分级筛、胶带输送机等</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C223F5" w:rsidRDefault="005860D5">
            <w:pPr>
              <w:adjustRightInd w:val="0"/>
              <w:snapToGrid w:val="0"/>
              <w:jc w:val="center"/>
              <w:rPr>
                <w:rFonts w:eastAsiaTheme="minorEastAsia"/>
                <w:szCs w:val="21"/>
              </w:rPr>
            </w:pPr>
            <w:r>
              <w:rPr>
                <w:rFonts w:eastAsiaTheme="minorEastAsia" w:hAnsiTheme="minorEastAsia" w:hint="eastAsia"/>
                <w:szCs w:val="21"/>
              </w:rPr>
              <w:t>拆除</w:t>
            </w:r>
          </w:p>
        </w:tc>
        <w:tc>
          <w:tcPr>
            <w:tcW w:w="3878" w:type="dxa"/>
            <w:vAlign w:val="center"/>
          </w:tcPr>
          <w:p w:rsidR="00C223F5" w:rsidRPr="00BB1CC7" w:rsidRDefault="005860D5">
            <w:pPr>
              <w:jc w:val="center"/>
              <w:rPr>
                <w:sz w:val="18"/>
                <w:szCs w:val="18"/>
              </w:rPr>
            </w:pPr>
            <w:r w:rsidRPr="00BB1CC7">
              <w:rPr>
                <w:rFonts w:hint="eastAsia"/>
                <w:sz w:val="18"/>
                <w:szCs w:val="18"/>
              </w:rPr>
              <w:t>井下原煤经原煤仓上分级式齿辊破碎机破碎至</w:t>
            </w:r>
            <w:r w:rsidRPr="00BB1CC7">
              <w:rPr>
                <w:rFonts w:hint="eastAsia"/>
                <w:sz w:val="18"/>
                <w:szCs w:val="18"/>
              </w:rPr>
              <w:t>150mm</w:t>
            </w:r>
            <w:r w:rsidRPr="00BB1CC7">
              <w:rPr>
                <w:rFonts w:hint="eastAsia"/>
                <w:sz w:val="18"/>
                <w:szCs w:val="18"/>
              </w:rPr>
              <w:t>以下进入原煤仓储存；原煤给至筛分破碎车间，经筛孔为</w:t>
            </w:r>
            <w:r w:rsidRPr="00BB1CC7">
              <w:rPr>
                <w:rFonts w:hint="eastAsia"/>
                <w:sz w:val="18"/>
                <w:szCs w:val="18"/>
              </w:rPr>
              <w:t>50mm</w:t>
            </w:r>
            <w:r w:rsidRPr="00BB1CC7">
              <w:rPr>
                <w:rFonts w:hint="eastAsia"/>
                <w:sz w:val="18"/>
                <w:szCs w:val="18"/>
              </w:rPr>
              <w:t>双层分级筛进行分级，</w:t>
            </w:r>
            <w:r w:rsidRPr="00BB1CC7">
              <w:rPr>
                <w:rFonts w:hint="eastAsia"/>
                <w:sz w:val="18"/>
                <w:szCs w:val="18"/>
              </w:rPr>
              <w:t>150mm</w:t>
            </w:r>
            <w:r w:rsidRPr="00BB1CC7">
              <w:rPr>
                <w:rFonts w:hint="eastAsia"/>
                <w:sz w:val="18"/>
                <w:szCs w:val="18"/>
              </w:rPr>
              <w:t>～</w:t>
            </w:r>
            <w:r w:rsidRPr="00BB1CC7">
              <w:rPr>
                <w:rFonts w:hint="eastAsia"/>
                <w:sz w:val="18"/>
                <w:szCs w:val="18"/>
              </w:rPr>
              <w:t>50mm</w:t>
            </w:r>
            <w:r w:rsidRPr="00BB1CC7">
              <w:rPr>
                <w:rFonts w:hint="eastAsia"/>
                <w:sz w:val="18"/>
                <w:szCs w:val="18"/>
              </w:rPr>
              <w:t>块煤进入智能选矸系统进行排矸后破碎至</w:t>
            </w:r>
            <w:r w:rsidRPr="00BB1CC7">
              <w:rPr>
                <w:rFonts w:hint="eastAsia"/>
                <w:sz w:val="18"/>
                <w:szCs w:val="18"/>
              </w:rPr>
              <w:t>-50mm</w:t>
            </w:r>
            <w:r w:rsidRPr="00BB1CC7">
              <w:rPr>
                <w:rFonts w:hint="eastAsia"/>
                <w:sz w:val="18"/>
                <w:szCs w:val="18"/>
              </w:rPr>
              <w:t>，与筛下物</w:t>
            </w:r>
            <w:r w:rsidRPr="00BB1CC7">
              <w:rPr>
                <w:rFonts w:hint="eastAsia"/>
                <w:sz w:val="18"/>
                <w:szCs w:val="18"/>
              </w:rPr>
              <w:t>50mm</w:t>
            </w:r>
            <w:r w:rsidRPr="00BB1CC7">
              <w:rPr>
                <w:rFonts w:hint="eastAsia"/>
                <w:sz w:val="18"/>
                <w:szCs w:val="18"/>
              </w:rPr>
              <w:t>～</w:t>
            </w:r>
            <w:r w:rsidRPr="00BB1CC7">
              <w:rPr>
                <w:rFonts w:hint="eastAsia"/>
                <w:sz w:val="18"/>
                <w:szCs w:val="18"/>
              </w:rPr>
              <w:t>0mm</w:t>
            </w:r>
            <w:r w:rsidRPr="00BB1CC7">
              <w:rPr>
                <w:rFonts w:hint="eastAsia"/>
                <w:sz w:val="18"/>
                <w:szCs w:val="18"/>
              </w:rPr>
              <w:t>末煤一起运至主厂房</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sz w:val="21"/>
                <w:szCs w:val="21"/>
              </w:rPr>
              <w:t>新建</w:t>
            </w:r>
          </w:p>
        </w:tc>
        <w:tc>
          <w:tcPr>
            <w:tcW w:w="2693"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未建</w:t>
            </w:r>
          </w:p>
        </w:tc>
      </w:tr>
      <w:tr w:rsidR="00C223F5" w:rsidTr="002862AB">
        <w:trPr>
          <w:trHeight w:val="65"/>
          <w:tblHeader/>
          <w:jc w:val="center"/>
        </w:trPr>
        <w:tc>
          <w:tcPr>
            <w:tcW w:w="357" w:type="dxa"/>
            <w:vMerge/>
            <w:vAlign w:val="center"/>
          </w:tcPr>
          <w:p w:rsidR="00C223F5" w:rsidRDefault="00C223F5">
            <w:pPr>
              <w:jc w:val="center"/>
              <w:rPr>
                <w:szCs w:val="21"/>
              </w:rPr>
            </w:pPr>
          </w:p>
        </w:tc>
        <w:tc>
          <w:tcPr>
            <w:tcW w:w="283" w:type="dxa"/>
            <w:vMerge/>
            <w:vAlign w:val="center"/>
          </w:tcPr>
          <w:p w:rsidR="00C223F5" w:rsidRDefault="00C223F5">
            <w:pPr>
              <w:spacing w:line="320" w:lineRule="exact"/>
              <w:jc w:val="center"/>
              <w:rPr>
                <w:szCs w:val="21"/>
              </w:rPr>
            </w:pPr>
          </w:p>
        </w:tc>
        <w:tc>
          <w:tcPr>
            <w:tcW w:w="1042" w:type="dxa"/>
            <w:gridSpan w:val="2"/>
            <w:vAlign w:val="center"/>
          </w:tcPr>
          <w:p w:rsidR="00C223F5" w:rsidRDefault="005860D5">
            <w:pPr>
              <w:jc w:val="center"/>
              <w:rPr>
                <w:rFonts w:eastAsiaTheme="minorEastAsia" w:hAnsiTheme="minorEastAsia"/>
                <w:szCs w:val="21"/>
              </w:rPr>
            </w:pPr>
            <w:r>
              <w:rPr>
                <w:rFonts w:eastAsiaTheme="minorEastAsia" w:hAnsiTheme="minorEastAsia" w:hint="eastAsia"/>
                <w:szCs w:val="21"/>
              </w:rPr>
              <w:t>洗选系统</w:t>
            </w:r>
          </w:p>
        </w:tc>
        <w:tc>
          <w:tcPr>
            <w:tcW w:w="4111" w:type="dxa"/>
            <w:vAlign w:val="center"/>
          </w:tcPr>
          <w:p w:rsidR="00C223F5" w:rsidRDefault="005860D5">
            <w:pPr>
              <w:jc w:val="center"/>
              <w:rPr>
                <w:szCs w:val="21"/>
              </w:rPr>
            </w:pPr>
            <w:r>
              <w:rPr>
                <w:rFonts w:hint="eastAsia"/>
                <w:szCs w:val="21"/>
              </w:rPr>
              <w:t>/</w:t>
            </w:r>
          </w:p>
        </w:tc>
        <w:tc>
          <w:tcPr>
            <w:tcW w:w="854" w:type="dxa"/>
            <w:vAlign w:val="center"/>
          </w:tcPr>
          <w:p w:rsidR="00C223F5" w:rsidRDefault="005860D5">
            <w:pPr>
              <w:adjustRightInd w:val="0"/>
              <w:snapToGrid w:val="0"/>
              <w:jc w:val="center"/>
              <w:rPr>
                <w:rFonts w:eastAsiaTheme="minorEastAsia"/>
                <w:szCs w:val="21"/>
              </w:rPr>
            </w:pPr>
            <w:r>
              <w:rPr>
                <w:rFonts w:eastAsiaTheme="minorEastAsia" w:hint="eastAsia"/>
                <w:szCs w:val="21"/>
              </w:rPr>
              <w:t>/</w:t>
            </w:r>
          </w:p>
        </w:tc>
        <w:tc>
          <w:tcPr>
            <w:tcW w:w="3878" w:type="dxa"/>
            <w:vAlign w:val="center"/>
          </w:tcPr>
          <w:p w:rsidR="00C223F5" w:rsidRPr="00BB1CC7" w:rsidRDefault="005860D5">
            <w:pPr>
              <w:jc w:val="center"/>
              <w:rPr>
                <w:sz w:val="18"/>
                <w:szCs w:val="18"/>
              </w:rPr>
            </w:pPr>
            <w:r w:rsidRPr="00BB1CC7">
              <w:rPr>
                <w:sz w:val="18"/>
                <w:szCs w:val="18"/>
              </w:rPr>
              <w:t>50mm</w:t>
            </w:r>
            <w:r w:rsidRPr="00BB1CC7">
              <w:rPr>
                <w:sz w:val="18"/>
                <w:szCs w:val="18"/>
              </w:rPr>
              <w:t>～</w:t>
            </w:r>
            <w:r w:rsidRPr="00BB1CC7">
              <w:rPr>
                <w:sz w:val="18"/>
                <w:szCs w:val="18"/>
              </w:rPr>
              <w:t>0mm</w:t>
            </w:r>
            <w:r w:rsidRPr="00BB1CC7">
              <w:rPr>
                <w:sz w:val="18"/>
                <w:szCs w:val="18"/>
              </w:rPr>
              <w:t>末煤无压三产品重介旋流器分选</w:t>
            </w:r>
            <w:r w:rsidRPr="00BB1CC7">
              <w:rPr>
                <w:rFonts w:hint="eastAsia"/>
                <w:sz w:val="18"/>
                <w:szCs w:val="18"/>
              </w:rPr>
              <w:t>，</w:t>
            </w:r>
            <w:r w:rsidRPr="00BB1CC7">
              <w:rPr>
                <w:sz w:val="18"/>
                <w:szCs w:val="18"/>
              </w:rPr>
              <w:t>1.0mm</w:t>
            </w:r>
            <w:r w:rsidRPr="00BB1CC7">
              <w:rPr>
                <w:sz w:val="18"/>
                <w:szCs w:val="18"/>
              </w:rPr>
              <w:t>～</w:t>
            </w:r>
            <w:r w:rsidRPr="00BB1CC7">
              <w:rPr>
                <w:sz w:val="18"/>
                <w:szCs w:val="18"/>
              </w:rPr>
              <w:t>0.25mm</w:t>
            </w:r>
            <w:r w:rsidRPr="00BB1CC7">
              <w:rPr>
                <w:sz w:val="18"/>
                <w:szCs w:val="18"/>
              </w:rPr>
              <w:t>粗煤泥采用</w:t>
            </w:r>
            <w:r w:rsidRPr="00BB1CC7">
              <w:rPr>
                <w:sz w:val="18"/>
                <w:szCs w:val="18"/>
              </w:rPr>
              <w:t>TBS</w:t>
            </w:r>
            <w:r w:rsidRPr="00BB1CC7">
              <w:rPr>
                <w:sz w:val="18"/>
                <w:szCs w:val="18"/>
              </w:rPr>
              <w:t>分选</w:t>
            </w:r>
            <w:r w:rsidRPr="00BB1CC7">
              <w:rPr>
                <w:rFonts w:hint="eastAsia"/>
                <w:sz w:val="18"/>
                <w:szCs w:val="18"/>
              </w:rPr>
              <w:t>，产品煤进入筒仓</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未建</w:t>
            </w:r>
          </w:p>
        </w:tc>
      </w:tr>
      <w:tr w:rsidR="00C223F5" w:rsidTr="002862AB">
        <w:trPr>
          <w:trHeight w:val="65"/>
          <w:tblHeader/>
          <w:jc w:val="center"/>
        </w:trPr>
        <w:tc>
          <w:tcPr>
            <w:tcW w:w="357" w:type="dxa"/>
            <w:vMerge/>
            <w:vAlign w:val="center"/>
          </w:tcPr>
          <w:p w:rsidR="00C223F5" w:rsidRDefault="00C223F5">
            <w:pPr>
              <w:jc w:val="center"/>
              <w:rPr>
                <w:szCs w:val="21"/>
              </w:rPr>
            </w:pPr>
          </w:p>
        </w:tc>
        <w:tc>
          <w:tcPr>
            <w:tcW w:w="283" w:type="dxa"/>
            <w:vMerge/>
            <w:vAlign w:val="center"/>
          </w:tcPr>
          <w:p w:rsidR="00C223F5" w:rsidRDefault="00C223F5">
            <w:pPr>
              <w:spacing w:line="320" w:lineRule="exact"/>
              <w:jc w:val="center"/>
              <w:rPr>
                <w:szCs w:val="21"/>
              </w:rPr>
            </w:pPr>
          </w:p>
        </w:tc>
        <w:tc>
          <w:tcPr>
            <w:tcW w:w="1042" w:type="dxa"/>
            <w:gridSpan w:val="2"/>
            <w:vAlign w:val="center"/>
          </w:tcPr>
          <w:p w:rsidR="00C223F5" w:rsidRDefault="005860D5">
            <w:pPr>
              <w:adjustRightInd w:val="0"/>
              <w:snapToGrid w:val="0"/>
              <w:jc w:val="center"/>
              <w:rPr>
                <w:rFonts w:eastAsiaTheme="minorEastAsia" w:hAnsiTheme="minorEastAsia"/>
                <w:szCs w:val="21"/>
              </w:rPr>
            </w:pPr>
            <w:r>
              <w:rPr>
                <w:rFonts w:eastAsiaTheme="minorEastAsia" w:hAnsiTheme="minorEastAsia" w:hint="eastAsia"/>
                <w:szCs w:val="21"/>
              </w:rPr>
              <w:t>煤泥水</w:t>
            </w:r>
          </w:p>
          <w:p w:rsidR="00C223F5" w:rsidRDefault="005860D5">
            <w:pPr>
              <w:adjustRightInd w:val="0"/>
              <w:snapToGrid w:val="0"/>
              <w:jc w:val="center"/>
              <w:rPr>
                <w:rFonts w:eastAsiaTheme="minorEastAsia" w:hAnsiTheme="minorEastAsia"/>
                <w:szCs w:val="21"/>
              </w:rPr>
            </w:pPr>
            <w:r>
              <w:rPr>
                <w:rFonts w:eastAsiaTheme="minorEastAsia" w:hAnsiTheme="minorEastAsia" w:hint="eastAsia"/>
                <w:szCs w:val="21"/>
              </w:rPr>
              <w:t>处理系统</w:t>
            </w:r>
          </w:p>
        </w:tc>
        <w:tc>
          <w:tcPr>
            <w:tcW w:w="4111" w:type="dxa"/>
            <w:vAlign w:val="center"/>
          </w:tcPr>
          <w:p w:rsidR="00C223F5" w:rsidRDefault="005860D5">
            <w:pPr>
              <w:jc w:val="center"/>
              <w:rPr>
                <w:szCs w:val="21"/>
              </w:rPr>
            </w:pPr>
            <w:r>
              <w:rPr>
                <w:rFonts w:hint="eastAsia"/>
                <w:szCs w:val="21"/>
              </w:rPr>
              <w:t>/</w:t>
            </w:r>
          </w:p>
        </w:tc>
        <w:tc>
          <w:tcPr>
            <w:tcW w:w="854" w:type="dxa"/>
            <w:vAlign w:val="center"/>
          </w:tcPr>
          <w:p w:rsidR="00C223F5" w:rsidRDefault="005860D5">
            <w:pPr>
              <w:adjustRightInd w:val="0"/>
              <w:snapToGrid w:val="0"/>
              <w:jc w:val="center"/>
              <w:rPr>
                <w:rFonts w:eastAsiaTheme="minorEastAsia"/>
                <w:szCs w:val="21"/>
              </w:rPr>
            </w:pPr>
            <w:r>
              <w:rPr>
                <w:rFonts w:eastAsiaTheme="minorEastAsia" w:hint="eastAsia"/>
                <w:szCs w:val="21"/>
              </w:rPr>
              <w:t>/</w:t>
            </w:r>
          </w:p>
        </w:tc>
        <w:tc>
          <w:tcPr>
            <w:tcW w:w="3878" w:type="dxa"/>
            <w:vAlign w:val="center"/>
          </w:tcPr>
          <w:p w:rsidR="00C223F5" w:rsidRPr="00BB1CC7" w:rsidRDefault="005860D5">
            <w:pPr>
              <w:jc w:val="center"/>
              <w:rPr>
                <w:sz w:val="18"/>
                <w:szCs w:val="18"/>
              </w:rPr>
            </w:pPr>
            <w:r w:rsidRPr="00BB1CC7">
              <w:rPr>
                <w:rFonts w:hint="eastAsia"/>
                <w:sz w:val="18"/>
                <w:szCs w:val="18"/>
              </w:rPr>
              <w:t>采用</w:t>
            </w:r>
            <w:r w:rsidRPr="00BB1CC7">
              <w:rPr>
                <w:sz w:val="18"/>
                <w:szCs w:val="18"/>
              </w:rPr>
              <w:t>2</w:t>
            </w:r>
            <w:r w:rsidRPr="00BB1CC7">
              <w:rPr>
                <w:sz w:val="18"/>
                <w:szCs w:val="18"/>
              </w:rPr>
              <w:t>台</w:t>
            </w:r>
            <w:r w:rsidRPr="00BB1CC7">
              <w:rPr>
                <w:sz w:val="18"/>
                <w:szCs w:val="18"/>
              </w:rPr>
              <w:t>φ28m</w:t>
            </w:r>
            <w:r w:rsidRPr="00BB1CC7">
              <w:rPr>
                <w:sz w:val="18"/>
                <w:szCs w:val="18"/>
              </w:rPr>
              <w:t>高效浓缩机</w:t>
            </w:r>
            <w:r w:rsidRPr="00BB1CC7">
              <w:rPr>
                <w:rFonts w:hint="eastAsia"/>
                <w:sz w:val="18"/>
                <w:szCs w:val="18"/>
              </w:rPr>
              <w:t>（</w:t>
            </w:r>
            <w:r w:rsidRPr="00BB1CC7">
              <w:rPr>
                <w:rFonts w:hint="eastAsia"/>
                <w:sz w:val="18"/>
                <w:szCs w:val="18"/>
              </w:rPr>
              <w:t>1</w:t>
            </w:r>
            <w:r w:rsidRPr="00BB1CC7">
              <w:rPr>
                <w:sz w:val="18"/>
                <w:szCs w:val="18"/>
              </w:rPr>
              <w:t>用</w:t>
            </w:r>
            <w:r w:rsidRPr="00BB1CC7">
              <w:rPr>
                <w:rFonts w:hint="eastAsia"/>
                <w:sz w:val="18"/>
                <w:szCs w:val="18"/>
              </w:rPr>
              <w:t>1</w:t>
            </w:r>
            <w:r w:rsidRPr="00BB1CC7">
              <w:rPr>
                <w:sz w:val="18"/>
                <w:szCs w:val="18"/>
              </w:rPr>
              <w:t>备</w:t>
            </w:r>
            <w:r w:rsidRPr="00BB1CC7">
              <w:rPr>
                <w:rFonts w:hint="eastAsia"/>
                <w:sz w:val="18"/>
                <w:szCs w:val="18"/>
              </w:rPr>
              <w:t>）</w:t>
            </w:r>
            <w:r w:rsidRPr="00BB1CC7">
              <w:rPr>
                <w:sz w:val="18"/>
                <w:szCs w:val="18"/>
              </w:rPr>
              <w:t>，浓缩机溢流作为循环水由循环水泵打回主厂房循环使用</w:t>
            </w:r>
            <w:r w:rsidRPr="00BB1CC7">
              <w:rPr>
                <w:rFonts w:hint="eastAsia"/>
                <w:sz w:val="18"/>
                <w:szCs w:val="18"/>
              </w:rPr>
              <w:t>；</w:t>
            </w:r>
            <w:r w:rsidRPr="00BB1CC7">
              <w:rPr>
                <w:rFonts w:eastAsiaTheme="minorEastAsia" w:hAnsiTheme="minorEastAsia" w:hint="eastAsia"/>
                <w:sz w:val="18"/>
                <w:szCs w:val="18"/>
              </w:rPr>
              <w:t>尾煤经浓缩机浓缩后再进行压滤</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未建</w:t>
            </w:r>
          </w:p>
        </w:tc>
      </w:tr>
      <w:tr w:rsidR="00BB1CC7" w:rsidTr="00894456">
        <w:trPr>
          <w:trHeight w:val="65"/>
          <w:tblHeader/>
          <w:jc w:val="center"/>
        </w:trPr>
        <w:tc>
          <w:tcPr>
            <w:tcW w:w="640" w:type="dxa"/>
            <w:gridSpan w:val="2"/>
            <w:vMerge w:val="restart"/>
            <w:vAlign w:val="center"/>
          </w:tcPr>
          <w:p w:rsidR="00BB1CC7" w:rsidRDefault="00BB1CC7">
            <w:pPr>
              <w:spacing w:line="320" w:lineRule="exact"/>
              <w:jc w:val="center"/>
              <w:rPr>
                <w:szCs w:val="21"/>
              </w:rPr>
            </w:pPr>
            <w:r>
              <w:rPr>
                <w:rFonts w:eastAsiaTheme="minorEastAsia" w:hAnsiTheme="minorEastAsia"/>
                <w:szCs w:val="21"/>
              </w:rPr>
              <w:t>储运工程</w:t>
            </w:r>
          </w:p>
        </w:tc>
        <w:tc>
          <w:tcPr>
            <w:tcW w:w="1042" w:type="dxa"/>
            <w:gridSpan w:val="2"/>
            <w:vAlign w:val="center"/>
          </w:tcPr>
          <w:p w:rsidR="00BB1CC7" w:rsidRDefault="00BB1CC7" w:rsidP="00894456">
            <w:pPr>
              <w:adjustRightInd w:val="0"/>
              <w:snapToGrid w:val="0"/>
              <w:jc w:val="center"/>
              <w:rPr>
                <w:rFonts w:eastAsiaTheme="minorEastAsia"/>
                <w:szCs w:val="21"/>
              </w:rPr>
            </w:pPr>
            <w:r>
              <w:rPr>
                <w:rFonts w:eastAsiaTheme="minorEastAsia" w:hAnsiTheme="minorEastAsia"/>
                <w:szCs w:val="21"/>
              </w:rPr>
              <w:t>储煤系统</w:t>
            </w:r>
          </w:p>
        </w:tc>
        <w:tc>
          <w:tcPr>
            <w:tcW w:w="4111" w:type="dxa"/>
            <w:vAlign w:val="center"/>
          </w:tcPr>
          <w:p w:rsidR="00BB1CC7" w:rsidRDefault="00BB1CC7" w:rsidP="00894456">
            <w:pPr>
              <w:autoSpaceDE w:val="0"/>
              <w:autoSpaceDN w:val="0"/>
              <w:adjustRightInd w:val="0"/>
              <w:snapToGrid w:val="0"/>
              <w:jc w:val="left"/>
              <w:rPr>
                <w:kern w:val="0"/>
                <w:position w:val="-1"/>
                <w:szCs w:val="21"/>
              </w:rPr>
            </w:pPr>
            <w:r>
              <w:rPr>
                <w:rFonts w:hint="eastAsia"/>
                <w:kern w:val="0"/>
                <w:szCs w:val="21"/>
              </w:rPr>
              <w:t>储煤场</w:t>
            </w:r>
            <w:r>
              <w:rPr>
                <w:kern w:val="0"/>
                <w:szCs w:val="21"/>
              </w:rPr>
              <w:t>容量</w:t>
            </w:r>
            <w:r>
              <w:rPr>
                <w:kern w:val="0"/>
                <w:szCs w:val="21"/>
              </w:rPr>
              <w:t>100000t</w:t>
            </w:r>
            <w:r>
              <w:rPr>
                <w:rFonts w:hint="eastAsia"/>
                <w:kern w:val="0"/>
                <w:szCs w:val="21"/>
              </w:rPr>
              <w:t>，设置彩钢围挡及顶棚</w:t>
            </w:r>
          </w:p>
        </w:tc>
        <w:tc>
          <w:tcPr>
            <w:tcW w:w="854" w:type="dxa"/>
            <w:vAlign w:val="center"/>
          </w:tcPr>
          <w:p w:rsidR="00BB1CC7" w:rsidRDefault="00BB1CC7" w:rsidP="00894456">
            <w:pPr>
              <w:spacing w:line="240" w:lineRule="exact"/>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BB1CC7" w:rsidRDefault="00BB1CC7" w:rsidP="00894456">
            <w:pPr>
              <w:adjustRightInd w:val="0"/>
              <w:snapToGrid w:val="0"/>
              <w:spacing w:line="240" w:lineRule="exact"/>
              <w:jc w:val="center"/>
              <w:rPr>
                <w:rFonts w:eastAsiaTheme="minorEastAsia"/>
                <w:szCs w:val="21"/>
              </w:rPr>
            </w:pPr>
            <w:r>
              <w:rPr>
                <w:rFonts w:eastAsiaTheme="minorEastAsia" w:hAnsiTheme="minorEastAsia" w:hint="eastAsia"/>
                <w:szCs w:val="21"/>
              </w:rPr>
              <w:t>拆除</w:t>
            </w:r>
          </w:p>
        </w:tc>
        <w:tc>
          <w:tcPr>
            <w:tcW w:w="3878" w:type="dxa"/>
            <w:vAlign w:val="center"/>
          </w:tcPr>
          <w:p w:rsidR="00BB1CC7" w:rsidRDefault="00BB1CC7" w:rsidP="00894456">
            <w:pPr>
              <w:jc w:val="center"/>
              <w:rPr>
                <w:szCs w:val="21"/>
              </w:rPr>
            </w:pPr>
            <w:r>
              <w:rPr>
                <w:rFonts w:eastAsiaTheme="minorEastAsia" w:hint="eastAsia"/>
                <w:szCs w:val="21"/>
              </w:rPr>
              <w:t>设</w:t>
            </w:r>
            <w:r>
              <w:rPr>
                <w:rFonts w:eastAsiaTheme="minorEastAsia" w:hint="eastAsia"/>
                <w:szCs w:val="21"/>
              </w:rPr>
              <w:t>1</w:t>
            </w:r>
            <w:r>
              <w:rPr>
                <w:rFonts w:eastAsiaTheme="minorEastAsia" w:hint="eastAsia"/>
                <w:szCs w:val="21"/>
              </w:rPr>
              <w:t>个</w:t>
            </w:r>
            <w:r>
              <w:rPr>
                <w:szCs w:val="21"/>
              </w:rPr>
              <w:t>Φ18m</w:t>
            </w:r>
            <w:r>
              <w:rPr>
                <w:rFonts w:hint="eastAsia"/>
                <w:szCs w:val="21"/>
              </w:rPr>
              <w:t>原煤仓，容量</w:t>
            </w:r>
            <w:r>
              <w:rPr>
                <w:rFonts w:hint="eastAsia"/>
                <w:szCs w:val="21"/>
              </w:rPr>
              <w:t>5000t</w:t>
            </w:r>
            <w:r>
              <w:rPr>
                <w:rFonts w:hint="eastAsia"/>
                <w:szCs w:val="21"/>
              </w:rPr>
              <w:t>；</w:t>
            </w:r>
          </w:p>
          <w:p w:rsidR="00BB1CC7" w:rsidRDefault="00BB1CC7" w:rsidP="00894456">
            <w:pPr>
              <w:jc w:val="center"/>
              <w:rPr>
                <w:rFonts w:eastAsiaTheme="minorEastAsia"/>
                <w:szCs w:val="21"/>
              </w:rPr>
            </w:pPr>
            <w:r>
              <w:rPr>
                <w:rFonts w:hint="eastAsia"/>
                <w:szCs w:val="21"/>
              </w:rPr>
              <w:t>4</w:t>
            </w:r>
            <w:r>
              <w:rPr>
                <w:rFonts w:hint="eastAsia"/>
                <w:szCs w:val="21"/>
              </w:rPr>
              <w:t>个</w:t>
            </w:r>
            <w:r>
              <w:rPr>
                <w:szCs w:val="21"/>
              </w:rPr>
              <w:t>Φ12m</w:t>
            </w:r>
            <w:r>
              <w:rPr>
                <w:rFonts w:hint="eastAsia"/>
                <w:szCs w:val="21"/>
              </w:rPr>
              <w:t>产品仓，总容量</w:t>
            </w:r>
            <w:r>
              <w:rPr>
                <w:rFonts w:hint="eastAsia"/>
                <w:szCs w:val="21"/>
              </w:rPr>
              <w:t>6000t</w:t>
            </w:r>
          </w:p>
        </w:tc>
        <w:tc>
          <w:tcPr>
            <w:tcW w:w="1316" w:type="dxa"/>
            <w:vAlign w:val="center"/>
          </w:tcPr>
          <w:p w:rsidR="00BB1CC7" w:rsidRDefault="00BB1CC7" w:rsidP="00894456">
            <w:pPr>
              <w:jc w:val="center"/>
              <w:rPr>
                <w:rFonts w:eastAsiaTheme="minorEastAsia" w:hAnsiTheme="minorEastAsia"/>
                <w:szCs w:val="21"/>
              </w:rPr>
            </w:pPr>
            <w:r>
              <w:rPr>
                <w:rFonts w:eastAsiaTheme="minorEastAsia" w:hAnsiTheme="minorEastAsia" w:hint="eastAsia"/>
                <w:szCs w:val="21"/>
              </w:rPr>
              <w:t>新建</w:t>
            </w:r>
          </w:p>
        </w:tc>
        <w:tc>
          <w:tcPr>
            <w:tcW w:w="2693" w:type="dxa"/>
            <w:vAlign w:val="center"/>
          </w:tcPr>
          <w:p w:rsidR="00BB1CC7" w:rsidRDefault="00BB1CC7" w:rsidP="00894456">
            <w:pPr>
              <w:adjustRightInd w:val="0"/>
              <w:jc w:val="center"/>
              <w:rPr>
                <w:szCs w:val="21"/>
              </w:rPr>
            </w:pPr>
            <w:r>
              <w:rPr>
                <w:rFonts w:eastAsiaTheme="minorEastAsia" w:hAnsiTheme="minorEastAsia" w:hint="eastAsia"/>
                <w:szCs w:val="21"/>
              </w:rPr>
              <w:t>未建</w:t>
            </w:r>
          </w:p>
        </w:tc>
      </w:tr>
      <w:tr w:rsidR="00BB1CC7" w:rsidTr="00894456">
        <w:trPr>
          <w:trHeight w:val="65"/>
          <w:tblHeader/>
          <w:jc w:val="center"/>
        </w:trPr>
        <w:tc>
          <w:tcPr>
            <w:tcW w:w="640" w:type="dxa"/>
            <w:gridSpan w:val="2"/>
            <w:vMerge/>
            <w:vAlign w:val="center"/>
          </w:tcPr>
          <w:p w:rsidR="00BB1CC7" w:rsidRDefault="00BB1CC7">
            <w:pPr>
              <w:spacing w:line="320" w:lineRule="exact"/>
              <w:jc w:val="center"/>
              <w:rPr>
                <w:rFonts w:eastAsiaTheme="minorEastAsia" w:hAnsiTheme="minorEastAsia"/>
                <w:szCs w:val="21"/>
              </w:rPr>
            </w:pPr>
          </w:p>
        </w:tc>
        <w:tc>
          <w:tcPr>
            <w:tcW w:w="1042" w:type="dxa"/>
            <w:gridSpan w:val="2"/>
            <w:vAlign w:val="center"/>
          </w:tcPr>
          <w:p w:rsidR="00BB1CC7" w:rsidRDefault="00BB1CC7" w:rsidP="00894456">
            <w:pPr>
              <w:adjustRightInd w:val="0"/>
              <w:snapToGrid w:val="0"/>
              <w:jc w:val="center"/>
              <w:rPr>
                <w:rFonts w:eastAsiaTheme="minorEastAsia"/>
                <w:szCs w:val="21"/>
              </w:rPr>
            </w:pPr>
            <w:r>
              <w:rPr>
                <w:rFonts w:eastAsiaTheme="minorEastAsia" w:hAnsiTheme="minorEastAsia"/>
                <w:szCs w:val="21"/>
              </w:rPr>
              <w:t>储矸系统</w:t>
            </w:r>
          </w:p>
        </w:tc>
        <w:tc>
          <w:tcPr>
            <w:tcW w:w="4111" w:type="dxa"/>
            <w:vAlign w:val="center"/>
          </w:tcPr>
          <w:p w:rsidR="00BB1CC7" w:rsidRDefault="00BB1CC7" w:rsidP="00894456">
            <w:pPr>
              <w:autoSpaceDE w:val="0"/>
              <w:autoSpaceDN w:val="0"/>
              <w:adjustRightInd w:val="0"/>
              <w:snapToGrid w:val="0"/>
              <w:jc w:val="left"/>
              <w:rPr>
                <w:kern w:val="0"/>
                <w:position w:val="-1"/>
                <w:szCs w:val="21"/>
              </w:rPr>
            </w:pPr>
            <w:r>
              <w:rPr>
                <w:rFonts w:hint="eastAsia"/>
                <w:kern w:val="0"/>
                <w:position w:val="-1"/>
                <w:szCs w:val="21"/>
              </w:rPr>
              <w:t>手选矸石分区堆存在储煤场内</w:t>
            </w:r>
          </w:p>
        </w:tc>
        <w:tc>
          <w:tcPr>
            <w:tcW w:w="854" w:type="dxa"/>
            <w:vAlign w:val="center"/>
          </w:tcPr>
          <w:p w:rsidR="00BB1CC7" w:rsidRDefault="00BB1CC7" w:rsidP="00894456">
            <w:pPr>
              <w:spacing w:line="240" w:lineRule="exact"/>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BB1CC7" w:rsidRDefault="00BB1CC7" w:rsidP="00894456">
            <w:pPr>
              <w:spacing w:line="240" w:lineRule="exact"/>
              <w:jc w:val="center"/>
              <w:rPr>
                <w:rFonts w:eastAsiaTheme="minorEastAsia"/>
                <w:szCs w:val="21"/>
              </w:rPr>
            </w:pPr>
            <w:r>
              <w:rPr>
                <w:rFonts w:eastAsiaTheme="minorEastAsia" w:hAnsiTheme="minorEastAsia" w:hint="eastAsia"/>
                <w:szCs w:val="21"/>
              </w:rPr>
              <w:t>拆除</w:t>
            </w:r>
          </w:p>
        </w:tc>
        <w:tc>
          <w:tcPr>
            <w:tcW w:w="3878" w:type="dxa"/>
            <w:vAlign w:val="center"/>
          </w:tcPr>
          <w:p w:rsidR="00BB1CC7" w:rsidRDefault="00BB1CC7" w:rsidP="00894456">
            <w:pPr>
              <w:jc w:val="center"/>
              <w:rPr>
                <w:rFonts w:eastAsiaTheme="minorEastAsia"/>
                <w:spacing w:val="-4"/>
                <w:szCs w:val="21"/>
              </w:rPr>
            </w:pPr>
            <w:r>
              <w:rPr>
                <w:rFonts w:eastAsiaTheme="minorEastAsia" w:hint="eastAsia"/>
                <w:szCs w:val="21"/>
              </w:rPr>
              <w:t>设</w:t>
            </w:r>
            <w:r>
              <w:rPr>
                <w:rFonts w:eastAsiaTheme="minorEastAsia" w:hint="eastAsia"/>
                <w:szCs w:val="21"/>
              </w:rPr>
              <w:t>1</w:t>
            </w:r>
            <w:r>
              <w:rPr>
                <w:rFonts w:eastAsiaTheme="minorEastAsia" w:hint="eastAsia"/>
                <w:szCs w:val="21"/>
              </w:rPr>
              <w:t>个</w:t>
            </w:r>
            <w:r>
              <w:rPr>
                <w:szCs w:val="21"/>
              </w:rPr>
              <w:t>Φ1</w:t>
            </w:r>
            <w:r>
              <w:rPr>
                <w:rFonts w:hint="eastAsia"/>
                <w:szCs w:val="21"/>
              </w:rPr>
              <w:t>2</w:t>
            </w:r>
            <w:r>
              <w:rPr>
                <w:szCs w:val="21"/>
              </w:rPr>
              <w:t>m</w:t>
            </w:r>
            <w:r>
              <w:rPr>
                <w:rFonts w:hint="eastAsia"/>
                <w:szCs w:val="21"/>
              </w:rPr>
              <w:t>矸石仓，容量</w:t>
            </w:r>
            <w:r>
              <w:rPr>
                <w:rFonts w:hint="eastAsia"/>
                <w:szCs w:val="21"/>
              </w:rPr>
              <w:t>2500t</w:t>
            </w:r>
          </w:p>
        </w:tc>
        <w:tc>
          <w:tcPr>
            <w:tcW w:w="1316" w:type="dxa"/>
            <w:vAlign w:val="center"/>
          </w:tcPr>
          <w:p w:rsidR="00BB1CC7" w:rsidRDefault="00BB1CC7" w:rsidP="00894456">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hint="eastAsia"/>
                <w:sz w:val="21"/>
                <w:szCs w:val="21"/>
              </w:rPr>
              <w:t>新建</w:t>
            </w:r>
          </w:p>
        </w:tc>
        <w:tc>
          <w:tcPr>
            <w:tcW w:w="2693" w:type="dxa"/>
            <w:vAlign w:val="center"/>
          </w:tcPr>
          <w:p w:rsidR="00BB1CC7" w:rsidRDefault="00BB1CC7" w:rsidP="00894456">
            <w:pPr>
              <w:jc w:val="center"/>
              <w:rPr>
                <w:rFonts w:eastAsiaTheme="minorEastAsia" w:hAnsiTheme="minorEastAsia"/>
                <w:szCs w:val="21"/>
              </w:rPr>
            </w:pPr>
            <w:r>
              <w:rPr>
                <w:rFonts w:eastAsiaTheme="minorEastAsia" w:hAnsiTheme="minorEastAsia" w:hint="eastAsia"/>
                <w:szCs w:val="21"/>
              </w:rPr>
              <w:t>未建</w:t>
            </w:r>
          </w:p>
        </w:tc>
      </w:tr>
      <w:tr w:rsidR="00BB1CC7" w:rsidTr="00BB1CC7">
        <w:trPr>
          <w:trHeight w:val="65"/>
          <w:tblHeader/>
          <w:jc w:val="center"/>
        </w:trPr>
        <w:tc>
          <w:tcPr>
            <w:tcW w:w="640" w:type="dxa"/>
            <w:gridSpan w:val="2"/>
            <w:vMerge/>
            <w:vAlign w:val="center"/>
          </w:tcPr>
          <w:p w:rsidR="00BB1CC7" w:rsidRDefault="00BB1CC7" w:rsidP="00BB1CC7">
            <w:pPr>
              <w:spacing w:line="320" w:lineRule="exact"/>
              <w:jc w:val="center"/>
              <w:rPr>
                <w:rFonts w:eastAsiaTheme="minorEastAsia" w:hAnsiTheme="minorEastAsia"/>
                <w:szCs w:val="21"/>
              </w:rPr>
            </w:pPr>
          </w:p>
        </w:tc>
        <w:tc>
          <w:tcPr>
            <w:tcW w:w="498" w:type="dxa"/>
            <w:vAlign w:val="center"/>
          </w:tcPr>
          <w:p w:rsidR="00BB1CC7" w:rsidRDefault="00BB1CC7" w:rsidP="00BB1CC7">
            <w:pPr>
              <w:adjustRightInd w:val="0"/>
              <w:snapToGrid w:val="0"/>
              <w:jc w:val="center"/>
              <w:rPr>
                <w:rFonts w:eastAsiaTheme="minorEastAsia"/>
                <w:szCs w:val="21"/>
              </w:rPr>
            </w:pPr>
            <w:r>
              <w:rPr>
                <w:rFonts w:eastAsiaTheme="minorEastAsia" w:hAnsiTheme="minorEastAsia"/>
                <w:szCs w:val="21"/>
              </w:rPr>
              <w:t>运输</w:t>
            </w:r>
          </w:p>
          <w:p w:rsidR="00BB1CC7" w:rsidRDefault="00BB1CC7" w:rsidP="00BB1CC7">
            <w:pPr>
              <w:adjustRightInd w:val="0"/>
              <w:snapToGrid w:val="0"/>
              <w:jc w:val="center"/>
              <w:rPr>
                <w:rFonts w:eastAsiaTheme="minorEastAsia" w:hAnsiTheme="minorEastAsia"/>
                <w:szCs w:val="21"/>
              </w:rPr>
            </w:pPr>
            <w:r>
              <w:rPr>
                <w:rFonts w:eastAsiaTheme="minorEastAsia" w:hAnsiTheme="minorEastAsia"/>
                <w:szCs w:val="21"/>
              </w:rPr>
              <w:t>系统</w:t>
            </w:r>
          </w:p>
        </w:tc>
        <w:tc>
          <w:tcPr>
            <w:tcW w:w="544" w:type="dxa"/>
            <w:vAlign w:val="center"/>
          </w:tcPr>
          <w:p w:rsidR="00BB1CC7" w:rsidRDefault="00BB1CC7" w:rsidP="00BB1CC7">
            <w:pPr>
              <w:jc w:val="center"/>
              <w:rPr>
                <w:rFonts w:eastAsiaTheme="minorEastAsia" w:hAnsiTheme="minorEastAsia"/>
                <w:sz w:val="18"/>
                <w:szCs w:val="18"/>
              </w:rPr>
            </w:pPr>
            <w:r w:rsidRPr="007E548D">
              <w:rPr>
                <w:rFonts w:eastAsiaTheme="minorEastAsia" w:hAnsiTheme="minorEastAsia"/>
                <w:sz w:val="18"/>
                <w:szCs w:val="18"/>
              </w:rPr>
              <w:t>进场</w:t>
            </w:r>
          </w:p>
          <w:p w:rsidR="00BB1CC7" w:rsidRPr="007E548D" w:rsidRDefault="00BB1CC7" w:rsidP="00BB1CC7">
            <w:pPr>
              <w:jc w:val="center"/>
              <w:rPr>
                <w:rFonts w:eastAsiaTheme="minorEastAsia"/>
                <w:sz w:val="18"/>
                <w:szCs w:val="18"/>
              </w:rPr>
            </w:pPr>
            <w:r>
              <w:rPr>
                <w:rFonts w:eastAsiaTheme="minorEastAsia" w:hAnsiTheme="minorEastAsia" w:hint="eastAsia"/>
                <w:sz w:val="18"/>
                <w:szCs w:val="18"/>
              </w:rPr>
              <w:t>(</w:t>
            </w:r>
            <w:r w:rsidRPr="007E548D">
              <w:rPr>
                <w:rFonts w:eastAsiaTheme="minorEastAsia" w:hAnsiTheme="minorEastAsia" w:hint="eastAsia"/>
                <w:sz w:val="18"/>
                <w:szCs w:val="18"/>
              </w:rPr>
              <w:t>运煤</w:t>
            </w:r>
            <w:r>
              <w:rPr>
                <w:rFonts w:eastAsiaTheme="minorEastAsia" w:hAnsiTheme="minorEastAsia" w:hint="eastAsia"/>
                <w:sz w:val="18"/>
                <w:szCs w:val="18"/>
              </w:rPr>
              <w:t>)</w:t>
            </w:r>
          </w:p>
          <w:p w:rsidR="00BB1CC7" w:rsidRDefault="00BB1CC7" w:rsidP="00BB1CC7">
            <w:pPr>
              <w:adjustRightInd w:val="0"/>
              <w:snapToGrid w:val="0"/>
              <w:jc w:val="center"/>
              <w:rPr>
                <w:rFonts w:eastAsiaTheme="minorEastAsia" w:hAnsiTheme="minorEastAsia"/>
                <w:szCs w:val="21"/>
              </w:rPr>
            </w:pPr>
            <w:r w:rsidRPr="007E548D">
              <w:rPr>
                <w:rFonts w:eastAsiaTheme="minorEastAsia" w:hAnsiTheme="minorEastAsia"/>
                <w:sz w:val="18"/>
                <w:szCs w:val="18"/>
              </w:rPr>
              <w:t>道路</w:t>
            </w:r>
          </w:p>
        </w:tc>
        <w:tc>
          <w:tcPr>
            <w:tcW w:w="4111" w:type="dxa"/>
            <w:vAlign w:val="center"/>
          </w:tcPr>
          <w:p w:rsidR="00BB1CC7" w:rsidRDefault="00BB1CC7" w:rsidP="00BB1CC7">
            <w:pPr>
              <w:autoSpaceDE w:val="0"/>
              <w:autoSpaceDN w:val="0"/>
              <w:adjustRightInd w:val="0"/>
              <w:snapToGrid w:val="0"/>
              <w:jc w:val="left"/>
              <w:rPr>
                <w:kern w:val="0"/>
                <w:position w:val="-1"/>
                <w:szCs w:val="21"/>
              </w:rPr>
            </w:pPr>
            <w:r w:rsidRPr="00C17378">
              <w:rPr>
                <w:rFonts w:eastAsiaTheme="minorEastAsia" w:hAnsiTheme="minorEastAsia" w:hint="eastAsia"/>
                <w:sz w:val="18"/>
                <w:szCs w:val="18"/>
              </w:rPr>
              <w:t>利用场地旁既有县道，向东至魏家楼乡镇接至国道</w:t>
            </w:r>
            <w:r w:rsidRPr="00C17378">
              <w:rPr>
                <w:rFonts w:eastAsiaTheme="minorEastAsia" w:hAnsiTheme="minorEastAsia" w:hint="eastAsia"/>
                <w:sz w:val="18"/>
                <w:szCs w:val="18"/>
              </w:rPr>
              <w:t>307</w:t>
            </w:r>
            <w:r w:rsidRPr="00C17378">
              <w:rPr>
                <w:rFonts w:eastAsiaTheme="minorEastAsia" w:hAnsiTheme="minorEastAsia" w:hint="eastAsia"/>
                <w:sz w:val="18"/>
                <w:szCs w:val="18"/>
              </w:rPr>
              <w:t>；</w:t>
            </w:r>
            <w:r w:rsidRPr="00C17378">
              <w:rPr>
                <w:kern w:val="0"/>
                <w:sz w:val="18"/>
                <w:szCs w:val="18"/>
              </w:rPr>
              <w:t>长</w:t>
            </w:r>
            <w:r w:rsidRPr="00C17378">
              <w:rPr>
                <w:kern w:val="0"/>
                <w:sz w:val="18"/>
                <w:szCs w:val="18"/>
              </w:rPr>
              <w:t>7km</w:t>
            </w:r>
            <w:r w:rsidRPr="00C17378">
              <w:rPr>
                <w:kern w:val="0"/>
                <w:sz w:val="18"/>
                <w:szCs w:val="18"/>
              </w:rPr>
              <w:t>，</w:t>
            </w:r>
            <w:r w:rsidRPr="00C17378">
              <w:rPr>
                <w:rFonts w:eastAsiaTheme="minorEastAsia" w:hAnsiTheme="minorEastAsia" w:hint="eastAsia"/>
                <w:sz w:val="18"/>
                <w:szCs w:val="18"/>
              </w:rPr>
              <w:t>厂外道路三级标准，路基宽</w:t>
            </w:r>
            <w:r w:rsidRPr="00C17378">
              <w:rPr>
                <w:rFonts w:eastAsiaTheme="minorEastAsia" w:hAnsiTheme="minorEastAsia" w:hint="eastAsia"/>
                <w:sz w:val="18"/>
                <w:szCs w:val="18"/>
              </w:rPr>
              <w:t>7.5m</w:t>
            </w:r>
            <w:r w:rsidRPr="00C17378">
              <w:rPr>
                <w:rFonts w:eastAsiaTheme="minorEastAsia" w:hAnsiTheme="minorEastAsia" w:hint="eastAsia"/>
                <w:sz w:val="18"/>
                <w:szCs w:val="18"/>
              </w:rPr>
              <w:t>，路面宽</w:t>
            </w:r>
            <w:r w:rsidRPr="00C17378">
              <w:rPr>
                <w:rFonts w:eastAsiaTheme="minorEastAsia" w:hAnsiTheme="minorEastAsia" w:hint="eastAsia"/>
                <w:sz w:val="18"/>
                <w:szCs w:val="18"/>
              </w:rPr>
              <w:t>6.0m</w:t>
            </w:r>
            <w:r w:rsidRPr="00C17378">
              <w:rPr>
                <w:rFonts w:eastAsiaTheme="minorEastAsia" w:hAnsiTheme="minorEastAsia" w:hint="eastAsia"/>
                <w:sz w:val="18"/>
                <w:szCs w:val="18"/>
              </w:rPr>
              <w:t>，水泥混凝土路面</w:t>
            </w:r>
          </w:p>
        </w:tc>
        <w:tc>
          <w:tcPr>
            <w:tcW w:w="854" w:type="dxa"/>
            <w:vAlign w:val="center"/>
          </w:tcPr>
          <w:p w:rsidR="00BB1CC7" w:rsidRDefault="00BB1CC7" w:rsidP="00BB1CC7">
            <w:pPr>
              <w:adjustRightInd w:val="0"/>
              <w:snapToGrid w:val="0"/>
              <w:spacing w:line="240" w:lineRule="exact"/>
              <w:jc w:val="center"/>
              <w:rPr>
                <w:rFonts w:eastAsiaTheme="minorEastAsia"/>
                <w:szCs w:val="21"/>
              </w:rPr>
            </w:pPr>
            <w:r>
              <w:rPr>
                <w:rFonts w:eastAsiaTheme="minorEastAsia" w:hint="eastAsia"/>
                <w:szCs w:val="21"/>
              </w:rPr>
              <w:t>建成</w:t>
            </w:r>
            <w:r>
              <w:rPr>
                <w:rFonts w:eastAsiaTheme="minorEastAsia" w:hint="eastAsia"/>
                <w:szCs w:val="21"/>
              </w:rPr>
              <w:t>/</w:t>
            </w:r>
          </w:p>
          <w:p w:rsidR="00BB1CC7" w:rsidRDefault="00BB1CC7" w:rsidP="00BB1CC7">
            <w:pPr>
              <w:adjustRightInd w:val="0"/>
              <w:snapToGrid w:val="0"/>
              <w:spacing w:line="240" w:lineRule="exact"/>
              <w:jc w:val="center"/>
              <w:rPr>
                <w:rFonts w:eastAsiaTheme="minorEastAsia"/>
                <w:szCs w:val="21"/>
              </w:rPr>
            </w:pPr>
            <w:r>
              <w:rPr>
                <w:rFonts w:eastAsiaTheme="minorEastAsia" w:hint="eastAsia"/>
                <w:szCs w:val="21"/>
              </w:rPr>
              <w:t>利用</w:t>
            </w:r>
          </w:p>
        </w:tc>
        <w:tc>
          <w:tcPr>
            <w:tcW w:w="3878" w:type="dxa"/>
            <w:vAlign w:val="center"/>
          </w:tcPr>
          <w:p w:rsidR="00BB1CC7" w:rsidRDefault="00BB1CC7" w:rsidP="00BB1CC7">
            <w:pPr>
              <w:jc w:val="center"/>
              <w:rPr>
                <w:rFonts w:eastAsiaTheme="minorEastAsia"/>
                <w:szCs w:val="21"/>
              </w:rPr>
            </w:pPr>
            <w:r>
              <w:rPr>
                <w:rFonts w:eastAsiaTheme="minorEastAsia" w:hAnsiTheme="minorEastAsia"/>
                <w:szCs w:val="21"/>
              </w:rPr>
              <w:t>同</w:t>
            </w:r>
            <w:r>
              <w:rPr>
                <w:rFonts w:eastAsiaTheme="minorEastAsia" w:hAnsiTheme="minorEastAsia" w:hint="eastAsia"/>
                <w:szCs w:val="21"/>
              </w:rPr>
              <w:t>原</w:t>
            </w:r>
            <w:r>
              <w:rPr>
                <w:rFonts w:eastAsiaTheme="minorEastAsia" w:hAnsiTheme="minorEastAsia"/>
                <w:szCs w:val="21"/>
              </w:rPr>
              <w:t>整合</w:t>
            </w:r>
          </w:p>
        </w:tc>
        <w:tc>
          <w:tcPr>
            <w:tcW w:w="1316" w:type="dxa"/>
            <w:vAlign w:val="center"/>
          </w:tcPr>
          <w:p w:rsidR="00BB1CC7" w:rsidRDefault="00BB1CC7" w:rsidP="00BB1CC7">
            <w:pPr>
              <w:pStyle w:val="aff1"/>
              <w:ind w:left="0" w:firstLine="0"/>
              <w:jc w:val="center"/>
              <w:rPr>
                <w:rFonts w:eastAsiaTheme="minorEastAsia" w:hAnsiTheme="minorEastAsia"/>
                <w:szCs w:val="21"/>
              </w:rPr>
            </w:pPr>
            <w:r>
              <w:rPr>
                <w:rFonts w:eastAsiaTheme="minorEastAsia" w:hAnsiTheme="minorEastAsia" w:hint="eastAsia"/>
                <w:sz w:val="21"/>
                <w:szCs w:val="21"/>
              </w:rPr>
              <w:t>利用已有</w:t>
            </w:r>
          </w:p>
        </w:tc>
        <w:tc>
          <w:tcPr>
            <w:tcW w:w="2693" w:type="dxa"/>
            <w:vAlign w:val="center"/>
          </w:tcPr>
          <w:p w:rsidR="00BB1CC7" w:rsidRDefault="00BB1CC7" w:rsidP="00BB1CC7">
            <w:pPr>
              <w:jc w:val="center"/>
              <w:rPr>
                <w:szCs w:val="21"/>
              </w:rPr>
            </w:pPr>
            <w:r>
              <w:rPr>
                <w:rFonts w:eastAsiaTheme="minorEastAsia" w:hAnsiTheme="minorEastAsia" w:hint="eastAsia"/>
                <w:szCs w:val="21"/>
              </w:rPr>
              <w:t>/</w:t>
            </w:r>
          </w:p>
        </w:tc>
      </w:tr>
    </w:tbl>
    <w:p w:rsidR="00BB1CC7" w:rsidRDefault="00BB1CC7">
      <w:pPr>
        <w:tabs>
          <w:tab w:val="left" w:pos="3885"/>
        </w:tabs>
        <w:topLinePunct/>
        <w:jc w:val="center"/>
        <w:rPr>
          <w:b/>
          <w:sz w:val="24"/>
        </w:rPr>
      </w:pPr>
    </w:p>
    <w:p w:rsidR="00C223F5" w:rsidRDefault="005860D5">
      <w:pPr>
        <w:tabs>
          <w:tab w:val="left" w:pos="3885"/>
        </w:tabs>
        <w:topLinePunct/>
        <w:jc w:val="center"/>
        <w:rPr>
          <w:rFonts w:hAnsi="宋体"/>
          <w:b/>
          <w:bCs/>
          <w:sz w:val="24"/>
        </w:rPr>
      </w:pPr>
      <w:r>
        <w:rPr>
          <w:rFonts w:hint="eastAsia"/>
          <w:b/>
          <w:sz w:val="24"/>
        </w:rPr>
        <w:lastRenderedPageBreak/>
        <w:t>续</w:t>
      </w:r>
      <w:r>
        <w:rPr>
          <w:b/>
          <w:sz w:val="24"/>
        </w:rPr>
        <w:t>表</w:t>
      </w:r>
      <w:r>
        <w:rPr>
          <w:rFonts w:hint="eastAsia"/>
          <w:b/>
          <w:sz w:val="24"/>
        </w:rPr>
        <w:t xml:space="preserve">2.1.2-1   </w:t>
      </w:r>
      <w:r>
        <w:rPr>
          <w:rFonts w:hint="eastAsia"/>
          <w:b/>
          <w:sz w:val="24"/>
        </w:rPr>
        <w:t>本</w:t>
      </w:r>
      <w:r>
        <w:rPr>
          <w:rFonts w:hAnsi="宋体"/>
          <w:b/>
          <w:bCs/>
          <w:sz w:val="24"/>
        </w:rPr>
        <w:t>项目</w:t>
      </w:r>
      <w:r>
        <w:rPr>
          <w:rFonts w:hAnsi="宋体" w:hint="eastAsia"/>
          <w:b/>
          <w:bCs/>
          <w:sz w:val="24"/>
        </w:rPr>
        <w:t>整合前后工程</w:t>
      </w:r>
      <w:r>
        <w:rPr>
          <w:rFonts w:hAnsi="宋体"/>
          <w:b/>
          <w:bCs/>
          <w:sz w:val="24"/>
        </w:rPr>
        <w:t>组成</w:t>
      </w:r>
      <w:r>
        <w:rPr>
          <w:rFonts w:hAnsi="宋体" w:hint="eastAsia"/>
          <w:b/>
          <w:bCs/>
          <w:sz w:val="24"/>
        </w:rPr>
        <w:t>及建设情况一览表</w:t>
      </w:r>
    </w:p>
    <w:tbl>
      <w:tblPr>
        <w:tblW w:w="145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1" w:type="dxa"/>
          <w:right w:w="11" w:type="dxa"/>
        </w:tblCellMar>
        <w:tblLook w:val="04A0" w:firstRow="1" w:lastRow="0" w:firstColumn="1" w:lastColumn="0" w:noHBand="0" w:noVBand="1"/>
      </w:tblPr>
      <w:tblGrid>
        <w:gridCol w:w="640"/>
        <w:gridCol w:w="356"/>
        <w:gridCol w:w="686"/>
        <w:gridCol w:w="4111"/>
        <w:gridCol w:w="854"/>
        <w:gridCol w:w="3878"/>
        <w:gridCol w:w="1316"/>
        <w:gridCol w:w="2693"/>
      </w:tblGrid>
      <w:tr w:rsidR="00C223F5">
        <w:trPr>
          <w:trHeight w:val="270"/>
          <w:tblHeader/>
          <w:jc w:val="center"/>
        </w:trPr>
        <w:tc>
          <w:tcPr>
            <w:tcW w:w="640" w:type="dxa"/>
            <w:vMerge w:val="restart"/>
            <w:vAlign w:val="center"/>
          </w:tcPr>
          <w:p w:rsidR="00C223F5" w:rsidRDefault="005860D5">
            <w:pPr>
              <w:jc w:val="center"/>
              <w:rPr>
                <w:szCs w:val="21"/>
              </w:rPr>
            </w:pPr>
            <w:r>
              <w:rPr>
                <w:szCs w:val="21"/>
              </w:rPr>
              <w:t>工程</w:t>
            </w:r>
          </w:p>
          <w:p w:rsidR="00C223F5" w:rsidRDefault="005860D5">
            <w:pPr>
              <w:jc w:val="center"/>
              <w:rPr>
                <w:szCs w:val="21"/>
              </w:rPr>
            </w:pPr>
            <w:r>
              <w:rPr>
                <w:szCs w:val="21"/>
              </w:rPr>
              <w:t>类别</w:t>
            </w:r>
          </w:p>
        </w:tc>
        <w:tc>
          <w:tcPr>
            <w:tcW w:w="1042" w:type="dxa"/>
            <w:gridSpan w:val="2"/>
            <w:vMerge w:val="restart"/>
            <w:vAlign w:val="center"/>
          </w:tcPr>
          <w:p w:rsidR="00C223F5" w:rsidRDefault="005860D5">
            <w:pPr>
              <w:jc w:val="center"/>
              <w:rPr>
                <w:szCs w:val="21"/>
              </w:rPr>
            </w:pPr>
            <w:r>
              <w:rPr>
                <w:szCs w:val="21"/>
              </w:rPr>
              <w:t>单项工程</w:t>
            </w:r>
          </w:p>
        </w:tc>
        <w:tc>
          <w:tcPr>
            <w:tcW w:w="4965" w:type="dxa"/>
            <w:gridSpan w:val="2"/>
            <w:vAlign w:val="center"/>
          </w:tcPr>
          <w:p w:rsidR="00C223F5" w:rsidRDefault="005860D5">
            <w:pPr>
              <w:jc w:val="center"/>
              <w:rPr>
                <w:szCs w:val="21"/>
              </w:rPr>
            </w:pPr>
            <w:r>
              <w:rPr>
                <w:rFonts w:eastAsiaTheme="minorEastAsia" w:hint="eastAsia"/>
                <w:szCs w:val="21"/>
              </w:rPr>
              <w:t>原天云煤矿工程</w:t>
            </w:r>
          </w:p>
        </w:tc>
        <w:tc>
          <w:tcPr>
            <w:tcW w:w="7887" w:type="dxa"/>
            <w:gridSpan w:val="3"/>
            <w:vAlign w:val="center"/>
          </w:tcPr>
          <w:p w:rsidR="00C223F5" w:rsidRDefault="005860D5">
            <w:pPr>
              <w:jc w:val="center"/>
              <w:rPr>
                <w:szCs w:val="21"/>
              </w:rPr>
            </w:pPr>
            <w:r>
              <w:rPr>
                <w:rFonts w:eastAsiaTheme="minorEastAsia" w:hint="eastAsia"/>
                <w:szCs w:val="21"/>
              </w:rPr>
              <w:t>本次整合工程</w:t>
            </w:r>
          </w:p>
        </w:tc>
      </w:tr>
      <w:tr w:rsidR="00C223F5" w:rsidTr="00BB1CC7">
        <w:trPr>
          <w:trHeight w:val="45"/>
          <w:tblHeader/>
          <w:jc w:val="center"/>
        </w:trPr>
        <w:tc>
          <w:tcPr>
            <w:tcW w:w="640" w:type="dxa"/>
            <w:vMerge/>
            <w:vAlign w:val="center"/>
          </w:tcPr>
          <w:p w:rsidR="00C223F5" w:rsidRDefault="00C223F5">
            <w:pPr>
              <w:jc w:val="center"/>
              <w:rPr>
                <w:szCs w:val="21"/>
              </w:rPr>
            </w:pPr>
          </w:p>
        </w:tc>
        <w:tc>
          <w:tcPr>
            <w:tcW w:w="1042" w:type="dxa"/>
            <w:gridSpan w:val="2"/>
            <w:vMerge/>
            <w:vAlign w:val="center"/>
          </w:tcPr>
          <w:p w:rsidR="00C223F5" w:rsidRDefault="00C223F5">
            <w:pPr>
              <w:jc w:val="center"/>
              <w:rPr>
                <w:szCs w:val="21"/>
              </w:rPr>
            </w:pPr>
          </w:p>
        </w:tc>
        <w:tc>
          <w:tcPr>
            <w:tcW w:w="4111" w:type="dxa"/>
            <w:vAlign w:val="center"/>
          </w:tcPr>
          <w:p w:rsidR="00C223F5" w:rsidRDefault="005860D5">
            <w:pPr>
              <w:jc w:val="center"/>
              <w:rPr>
                <w:rFonts w:eastAsiaTheme="minorEastAsia"/>
                <w:szCs w:val="21"/>
              </w:rPr>
            </w:pPr>
            <w:r>
              <w:rPr>
                <w:szCs w:val="21"/>
              </w:rPr>
              <w:t>工程内容</w:t>
            </w:r>
          </w:p>
        </w:tc>
        <w:tc>
          <w:tcPr>
            <w:tcW w:w="854" w:type="dxa"/>
            <w:vAlign w:val="center"/>
          </w:tcPr>
          <w:p w:rsidR="00C223F5" w:rsidRDefault="005860D5">
            <w:pPr>
              <w:jc w:val="center"/>
              <w:rPr>
                <w:spacing w:val="-6"/>
                <w:szCs w:val="21"/>
              </w:rPr>
            </w:pPr>
            <w:r>
              <w:rPr>
                <w:rFonts w:hint="eastAsia"/>
                <w:spacing w:val="-6"/>
                <w:szCs w:val="21"/>
              </w:rPr>
              <w:t>后续要求</w:t>
            </w:r>
          </w:p>
        </w:tc>
        <w:tc>
          <w:tcPr>
            <w:tcW w:w="3878" w:type="dxa"/>
            <w:vAlign w:val="center"/>
          </w:tcPr>
          <w:p w:rsidR="00C223F5" w:rsidRDefault="005860D5">
            <w:pPr>
              <w:jc w:val="center"/>
              <w:rPr>
                <w:szCs w:val="21"/>
              </w:rPr>
            </w:pPr>
            <w:r>
              <w:rPr>
                <w:szCs w:val="21"/>
              </w:rPr>
              <w:t>工程内容</w:t>
            </w:r>
          </w:p>
        </w:tc>
        <w:tc>
          <w:tcPr>
            <w:tcW w:w="1316" w:type="dxa"/>
            <w:vAlign w:val="center"/>
          </w:tcPr>
          <w:p w:rsidR="00C223F5" w:rsidRDefault="005860D5">
            <w:pPr>
              <w:jc w:val="center"/>
              <w:rPr>
                <w:szCs w:val="21"/>
              </w:rPr>
            </w:pPr>
            <w:r>
              <w:rPr>
                <w:rFonts w:hint="eastAsia"/>
                <w:szCs w:val="21"/>
              </w:rPr>
              <w:t>依托关系</w:t>
            </w:r>
          </w:p>
        </w:tc>
        <w:tc>
          <w:tcPr>
            <w:tcW w:w="2693" w:type="dxa"/>
            <w:vAlign w:val="center"/>
          </w:tcPr>
          <w:p w:rsidR="00C223F5" w:rsidRDefault="005860D5">
            <w:pPr>
              <w:jc w:val="center"/>
              <w:rPr>
                <w:szCs w:val="21"/>
              </w:rPr>
            </w:pPr>
            <w:r>
              <w:rPr>
                <w:rFonts w:hint="eastAsia"/>
                <w:szCs w:val="21"/>
              </w:rPr>
              <w:t>备注</w:t>
            </w:r>
          </w:p>
        </w:tc>
      </w:tr>
      <w:tr w:rsidR="00BB1CC7" w:rsidTr="00BB1CC7">
        <w:trPr>
          <w:trHeight w:val="386"/>
          <w:tblHeader/>
          <w:jc w:val="center"/>
        </w:trPr>
        <w:tc>
          <w:tcPr>
            <w:tcW w:w="640" w:type="dxa"/>
            <w:vMerge w:val="restart"/>
            <w:vAlign w:val="center"/>
          </w:tcPr>
          <w:p w:rsidR="00BB1CC7" w:rsidRDefault="00BB1CC7">
            <w:pPr>
              <w:spacing w:line="320" w:lineRule="exact"/>
              <w:jc w:val="center"/>
              <w:rPr>
                <w:szCs w:val="21"/>
              </w:rPr>
            </w:pPr>
            <w:r>
              <w:rPr>
                <w:rFonts w:eastAsiaTheme="minorEastAsia" w:hAnsiTheme="minorEastAsia"/>
                <w:szCs w:val="21"/>
              </w:rPr>
              <w:t>储运工程</w:t>
            </w:r>
          </w:p>
        </w:tc>
        <w:tc>
          <w:tcPr>
            <w:tcW w:w="356" w:type="dxa"/>
            <w:vMerge w:val="restart"/>
            <w:vAlign w:val="center"/>
          </w:tcPr>
          <w:p w:rsidR="00BB1CC7" w:rsidRDefault="00BB1CC7">
            <w:pPr>
              <w:adjustRightInd w:val="0"/>
              <w:snapToGrid w:val="0"/>
              <w:jc w:val="center"/>
              <w:rPr>
                <w:rFonts w:eastAsiaTheme="minorEastAsia"/>
                <w:szCs w:val="21"/>
              </w:rPr>
            </w:pPr>
            <w:r>
              <w:rPr>
                <w:rFonts w:eastAsiaTheme="minorEastAsia" w:hAnsiTheme="minorEastAsia"/>
                <w:szCs w:val="21"/>
              </w:rPr>
              <w:t>运输</w:t>
            </w:r>
          </w:p>
          <w:p w:rsidR="00BB1CC7" w:rsidRDefault="00BB1CC7" w:rsidP="00894456">
            <w:pPr>
              <w:jc w:val="center"/>
              <w:rPr>
                <w:rFonts w:eastAsiaTheme="minorEastAsia"/>
                <w:szCs w:val="21"/>
              </w:rPr>
            </w:pPr>
            <w:r>
              <w:rPr>
                <w:rFonts w:eastAsiaTheme="minorEastAsia" w:hAnsiTheme="minorEastAsia"/>
                <w:szCs w:val="21"/>
              </w:rPr>
              <w:t>系统</w:t>
            </w:r>
          </w:p>
        </w:tc>
        <w:tc>
          <w:tcPr>
            <w:tcW w:w="686" w:type="dxa"/>
            <w:vAlign w:val="center"/>
          </w:tcPr>
          <w:p w:rsidR="00BB1CC7" w:rsidRDefault="00BB1CC7" w:rsidP="00BB1CC7">
            <w:pPr>
              <w:jc w:val="center"/>
              <w:rPr>
                <w:rFonts w:eastAsiaTheme="minorEastAsia"/>
                <w:szCs w:val="21"/>
              </w:rPr>
            </w:pPr>
            <w:r>
              <w:rPr>
                <w:rFonts w:eastAsiaTheme="minorEastAsia" w:hAnsiTheme="minorEastAsia"/>
                <w:bCs/>
                <w:spacing w:val="-6"/>
                <w:szCs w:val="21"/>
              </w:rPr>
              <w:t>炸药库</w:t>
            </w:r>
            <w:r>
              <w:rPr>
                <w:rFonts w:eastAsiaTheme="minorEastAsia" w:hAnsiTheme="minorEastAsia"/>
                <w:szCs w:val="21"/>
              </w:rPr>
              <w:t>道路</w:t>
            </w:r>
          </w:p>
        </w:tc>
        <w:tc>
          <w:tcPr>
            <w:tcW w:w="4111" w:type="dxa"/>
            <w:vAlign w:val="center"/>
          </w:tcPr>
          <w:p w:rsidR="00BB1CC7" w:rsidRDefault="00BB1CC7" w:rsidP="00BB1CC7">
            <w:pPr>
              <w:autoSpaceDE w:val="0"/>
              <w:autoSpaceDN w:val="0"/>
              <w:adjustRightInd w:val="0"/>
              <w:snapToGrid w:val="0"/>
              <w:jc w:val="left"/>
              <w:rPr>
                <w:kern w:val="0"/>
                <w:position w:val="-1"/>
                <w:szCs w:val="21"/>
              </w:rPr>
            </w:pPr>
            <w:r w:rsidRPr="00D96EC8">
              <w:rPr>
                <w:rFonts w:eastAsiaTheme="minorEastAsia" w:hAnsiTheme="minorEastAsia" w:hint="eastAsia"/>
                <w:sz w:val="18"/>
                <w:szCs w:val="18"/>
              </w:rPr>
              <w:t>场地东大门沿既有乡村道路向北至炸药库场地，长</w:t>
            </w:r>
            <w:r w:rsidRPr="00D96EC8">
              <w:rPr>
                <w:rFonts w:eastAsiaTheme="minorEastAsia" w:hAnsiTheme="minorEastAsia" w:hint="eastAsia"/>
                <w:sz w:val="18"/>
                <w:szCs w:val="18"/>
              </w:rPr>
              <w:t>0.75km</w:t>
            </w:r>
            <w:r w:rsidRPr="00D96EC8">
              <w:rPr>
                <w:rFonts w:eastAsiaTheme="minorEastAsia" w:hAnsiTheme="minorEastAsia" w:hint="eastAsia"/>
                <w:sz w:val="18"/>
                <w:szCs w:val="18"/>
              </w:rPr>
              <w:t>，厂外四级公路标准，路基宽度</w:t>
            </w:r>
            <w:r w:rsidRPr="00D96EC8">
              <w:rPr>
                <w:rFonts w:eastAsiaTheme="minorEastAsia" w:hAnsiTheme="minorEastAsia" w:hint="eastAsia"/>
                <w:sz w:val="18"/>
                <w:szCs w:val="18"/>
              </w:rPr>
              <w:t>6.5m</w:t>
            </w:r>
            <w:r w:rsidRPr="00D96EC8">
              <w:rPr>
                <w:rFonts w:eastAsiaTheme="minorEastAsia" w:hAnsiTheme="minorEastAsia" w:hint="eastAsia"/>
                <w:sz w:val="18"/>
                <w:szCs w:val="18"/>
              </w:rPr>
              <w:t>，路面宽度</w:t>
            </w:r>
            <w:r w:rsidRPr="00D96EC8">
              <w:rPr>
                <w:rFonts w:eastAsiaTheme="minorEastAsia" w:hAnsiTheme="minorEastAsia" w:hint="eastAsia"/>
                <w:sz w:val="18"/>
                <w:szCs w:val="18"/>
              </w:rPr>
              <w:t>4.5m</w:t>
            </w:r>
            <w:r w:rsidRPr="00D96EC8">
              <w:rPr>
                <w:rFonts w:eastAsiaTheme="minorEastAsia" w:hAnsiTheme="minorEastAsia" w:hint="eastAsia"/>
                <w:sz w:val="18"/>
                <w:szCs w:val="18"/>
              </w:rPr>
              <w:t>，路面结构采用</w:t>
            </w:r>
            <w:r w:rsidRPr="00D96EC8">
              <w:rPr>
                <w:rFonts w:eastAsiaTheme="minorEastAsia" w:hAnsiTheme="minorEastAsia" w:hint="eastAsia"/>
                <w:sz w:val="18"/>
                <w:szCs w:val="18"/>
              </w:rPr>
              <w:t>30cm</w:t>
            </w:r>
            <w:r w:rsidRPr="00D96EC8">
              <w:rPr>
                <w:rFonts w:eastAsiaTheme="minorEastAsia" w:hAnsiTheme="minorEastAsia" w:hint="eastAsia"/>
                <w:sz w:val="18"/>
                <w:szCs w:val="18"/>
              </w:rPr>
              <w:t>厚级配碎石</w:t>
            </w:r>
          </w:p>
        </w:tc>
        <w:tc>
          <w:tcPr>
            <w:tcW w:w="854" w:type="dxa"/>
            <w:vAlign w:val="center"/>
          </w:tcPr>
          <w:p w:rsidR="00BB1CC7" w:rsidRDefault="00BB1CC7" w:rsidP="002862AB">
            <w:pPr>
              <w:adjustRightInd w:val="0"/>
              <w:snapToGrid w:val="0"/>
              <w:spacing w:line="240" w:lineRule="exact"/>
              <w:jc w:val="center"/>
              <w:rPr>
                <w:rFonts w:eastAsiaTheme="minorEastAsia"/>
                <w:szCs w:val="21"/>
              </w:rPr>
            </w:pPr>
            <w:r>
              <w:rPr>
                <w:rFonts w:eastAsiaTheme="minorEastAsia" w:hint="eastAsia"/>
                <w:szCs w:val="21"/>
              </w:rPr>
              <w:t>建成</w:t>
            </w:r>
            <w:r>
              <w:rPr>
                <w:rFonts w:eastAsiaTheme="minorEastAsia" w:hint="eastAsia"/>
                <w:szCs w:val="21"/>
              </w:rPr>
              <w:t>/</w:t>
            </w:r>
          </w:p>
          <w:p w:rsidR="00BB1CC7" w:rsidRDefault="00BB1CC7" w:rsidP="002862AB">
            <w:pPr>
              <w:adjustRightInd w:val="0"/>
              <w:snapToGrid w:val="0"/>
              <w:spacing w:line="240" w:lineRule="exact"/>
              <w:jc w:val="center"/>
              <w:rPr>
                <w:rFonts w:eastAsiaTheme="minorEastAsia"/>
                <w:szCs w:val="21"/>
              </w:rPr>
            </w:pPr>
            <w:r>
              <w:rPr>
                <w:rFonts w:eastAsiaTheme="minorEastAsia" w:hint="eastAsia"/>
                <w:szCs w:val="21"/>
              </w:rPr>
              <w:t>利用</w:t>
            </w:r>
          </w:p>
        </w:tc>
        <w:tc>
          <w:tcPr>
            <w:tcW w:w="3878" w:type="dxa"/>
            <w:vAlign w:val="center"/>
          </w:tcPr>
          <w:p w:rsidR="00BB1CC7" w:rsidRDefault="00BB1CC7" w:rsidP="00BB1CC7">
            <w:pPr>
              <w:jc w:val="center"/>
              <w:rPr>
                <w:rFonts w:eastAsiaTheme="minorEastAsia"/>
                <w:szCs w:val="21"/>
              </w:rPr>
            </w:pPr>
            <w:r>
              <w:rPr>
                <w:rFonts w:eastAsiaTheme="minorEastAsia" w:hAnsiTheme="minorEastAsia"/>
                <w:szCs w:val="21"/>
              </w:rPr>
              <w:t>同</w:t>
            </w:r>
            <w:r>
              <w:rPr>
                <w:rFonts w:eastAsiaTheme="minorEastAsia" w:hAnsiTheme="minorEastAsia" w:hint="eastAsia"/>
                <w:szCs w:val="21"/>
              </w:rPr>
              <w:t>原</w:t>
            </w:r>
            <w:r>
              <w:rPr>
                <w:rFonts w:eastAsiaTheme="minorEastAsia" w:hAnsiTheme="minorEastAsia"/>
                <w:szCs w:val="21"/>
              </w:rPr>
              <w:t>整合</w:t>
            </w:r>
          </w:p>
        </w:tc>
        <w:tc>
          <w:tcPr>
            <w:tcW w:w="1316" w:type="dxa"/>
            <w:vAlign w:val="center"/>
          </w:tcPr>
          <w:p w:rsidR="00BB1CC7" w:rsidRDefault="00BB1CC7" w:rsidP="00697FBB">
            <w:pPr>
              <w:pStyle w:val="aff1"/>
              <w:spacing w:line="240" w:lineRule="auto"/>
              <w:ind w:left="0" w:firstLine="0"/>
              <w:jc w:val="center"/>
              <w:rPr>
                <w:rFonts w:eastAsiaTheme="minorEastAsia" w:hAnsiTheme="minorEastAsia"/>
                <w:szCs w:val="21"/>
              </w:rPr>
            </w:pPr>
            <w:r>
              <w:rPr>
                <w:rFonts w:eastAsiaTheme="minorEastAsia" w:hAnsiTheme="minorEastAsia" w:hint="eastAsia"/>
                <w:sz w:val="21"/>
                <w:szCs w:val="21"/>
              </w:rPr>
              <w:t>利用</w:t>
            </w:r>
            <w:r>
              <w:rPr>
                <w:rFonts w:eastAsiaTheme="minorEastAsia" w:hAnsiTheme="minorEastAsia" w:hint="eastAsia"/>
                <w:sz w:val="21"/>
                <w:szCs w:val="21"/>
              </w:rPr>
              <w:t>+</w:t>
            </w:r>
            <w:r>
              <w:rPr>
                <w:rFonts w:eastAsiaTheme="minorEastAsia" w:hAnsiTheme="minorEastAsia" w:hint="eastAsia"/>
                <w:sz w:val="21"/>
                <w:szCs w:val="21"/>
              </w:rPr>
              <w:t>改造</w:t>
            </w:r>
          </w:p>
        </w:tc>
        <w:tc>
          <w:tcPr>
            <w:tcW w:w="2693" w:type="dxa"/>
            <w:vAlign w:val="center"/>
          </w:tcPr>
          <w:p w:rsidR="00BB1CC7" w:rsidRDefault="00BB1CC7" w:rsidP="00BB1CC7">
            <w:pPr>
              <w:jc w:val="center"/>
              <w:rPr>
                <w:szCs w:val="21"/>
              </w:rPr>
            </w:pPr>
            <w:r>
              <w:rPr>
                <w:rFonts w:eastAsiaTheme="minorEastAsia" w:hAnsiTheme="minorEastAsia" w:hint="eastAsia"/>
                <w:szCs w:val="21"/>
              </w:rPr>
              <w:t>/</w:t>
            </w:r>
          </w:p>
        </w:tc>
      </w:tr>
      <w:tr w:rsidR="002862AB">
        <w:trPr>
          <w:trHeight w:val="65"/>
          <w:tblHeader/>
          <w:jc w:val="center"/>
        </w:trPr>
        <w:tc>
          <w:tcPr>
            <w:tcW w:w="640" w:type="dxa"/>
            <w:vMerge/>
            <w:vAlign w:val="center"/>
          </w:tcPr>
          <w:p w:rsidR="002862AB" w:rsidRDefault="002862AB">
            <w:pPr>
              <w:spacing w:line="320" w:lineRule="exact"/>
              <w:jc w:val="center"/>
              <w:rPr>
                <w:szCs w:val="21"/>
              </w:rPr>
            </w:pPr>
          </w:p>
        </w:tc>
        <w:tc>
          <w:tcPr>
            <w:tcW w:w="356" w:type="dxa"/>
            <w:vMerge/>
            <w:vAlign w:val="center"/>
          </w:tcPr>
          <w:p w:rsidR="002862AB" w:rsidRDefault="002862AB">
            <w:pPr>
              <w:adjustRightInd w:val="0"/>
              <w:snapToGrid w:val="0"/>
              <w:jc w:val="center"/>
              <w:rPr>
                <w:rFonts w:eastAsiaTheme="minorEastAsia" w:hAnsiTheme="minorEastAsia"/>
                <w:szCs w:val="21"/>
              </w:rPr>
            </w:pPr>
          </w:p>
        </w:tc>
        <w:tc>
          <w:tcPr>
            <w:tcW w:w="686" w:type="dxa"/>
            <w:vAlign w:val="center"/>
          </w:tcPr>
          <w:p w:rsidR="002862AB" w:rsidRDefault="002862AB">
            <w:pPr>
              <w:autoSpaceDE w:val="0"/>
              <w:autoSpaceDN w:val="0"/>
              <w:adjustRightInd w:val="0"/>
              <w:snapToGrid w:val="0"/>
              <w:jc w:val="center"/>
              <w:rPr>
                <w:rFonts w:eastAsiaTheme="minorEastAsia" w:hAnsiTheme="minorEastAsia"/>
                <w:szCs w:val="21"/>
              </w:rPr>
            </w:pPr>
            <w:r>
              <w:rPr>
                <w:rFonts w:eastAsiaTheme="minorEastAsia" w:hAnsiTheme="minorEastAsia" w:hint="eastAsia"/>
                <w:szCs w:val="21"/>
              </w:rPr>
              <w:t>排矸场道路</w:t>
            </w:r>
          </w:p>
        </w:tc>
        <w:tc>
          <w:tcPr>
            <w:tcW w:w="4111" w:type="dxa"/>
            <w:vAlign w:val="center"/>
          </w:tcPr>
          <w:p w:rsidR="00D96EC8" w:rsidRDefault="002862AB">
            <w:pPr>
              <w:autoSpaceDE w:val="0"/>
              <w:autoSpaceDN w:val="0"/>
              <w:adjustRightInd w:val="0"/>
              <w:snapToGrid w:val="0"/>
              <w:jc w:val="center"/>
              <w:rPr>
                <w:rFonts w:eastAsiaTheme="minorEastAsia" w:hAnsiTheme="minorEastAsia"/>
                <w:sz w:val="18"/>
                <w:szCs w:val="18"/>
              </w:rPr>
            </w:pPr>
            <w:r w:rsidRPr="00D96EC8">
              <w:rPr>
                <w:rFonts w:eastAsiaTheme="minorEastAsia" w:hAnsiTheme="minorEastAsia"/>
                <w:sz w:val="18"/>
                <w:szCs w:val="18"/>
              </w:rPr>
              <w:t>工业场区与原有矸石场相连段道路，长度</w:t>
            </w:r>
            <w:r w:rsidRPr="00D96EC8">
              <w:rPr>
                <w:rFonts w:eastAsiaTheme="minorEastAsia" w:hAnsiTheme="minorEastAsia"/>
                <w:sz w:val="18"/>
                <w:szCs w:val="18"/>
              </w:rPr>
              <w:t>0.7km</w:t>
            </w:r>
            <w:r w:rsidRPr="00D96EC8">
              <w:rPr>
                <w:rFonts w:eastAsiaTheme="minorEastAsia" w:hAnsiTheme="minorEastAsia"/>
                <w:sz w:val="18"/>
                <w:szCs w:val="18"/>
              </w:rPr>
              <w:t>，</w:t>
            </w:r>
          </w:p>
          <w:p w:rsidR="002862AB" w:rsidRPr="00D96EC8" w:rsidRDefault="002862AB">
            <w:pPr>
              <w:autoSpaceDE w:val="0"/>
              <w:autoSpaceDN w:val="0"/>
              <w:adjustRightInd w:val="0"/>
              <w:snapToGrid w:val="0"/>
              <w:jc w:val="center"/>
              <w:rPr>
                <w:rFonts w:eastAsiaTheme="minorEastAsia" w:hAnsiTheme="minorEastAsia"/>
                <w:sz w:val="18"/>
                <w:szCs w:val="18"/>
              </w:rPr>
            </w:pPr>
            <w:r w:rsidRPr="00D96EC8">
              <w:rPr>
                <w:rFonts w:eastAsiaTheme="minorEastAsia" w:hAnsiTheme="minorEastAsia"/>
                <w:sz w:val="18"/>
                <w:szCs w:val="18"/>
              </w:rPr>
              <w:t>路面宽度</w:t>
            </w:r>
            <w:r w:rsidRPr="00D96EC8">
              <w:rPr>
                <w:rFonts w:eastAsiaTheme="minorEastAsia" w:hAnsiTheme="minorEastAsia"/>
                <w:sz w:val="18"/>
                <w:szCs w:val="18"/>
              </w:rPr>
              <w:t>3.5m</w:t>
            </w:r>
            <w:r w:rsidRPr="00D96EC8">
              <w:rPr>
                <w:rFonts w:eastAsiaTheme="minorEastAsia" w:hAnsiTheme="minorEastAsia"/>
                <w:sz w:val="18"/>
                <w:szCs w:val="18"/>
              </w:rPr>
              <w:t>，为土路</w:t>
            </w:r>
          </w:p>
        </w:tc>
        <w:tc>
          <w:tcPr>
            <w:tcW w:w="854" w:type="dxa"/>
            <w:vAlign w:val="center"/>
          </w:tcPr>
          <w:p w:rsidR="002862AB" w:rsidRDefault="002862AB" w:rsidP="002862AB">
            <w:pPr>
              <w:adjustRightInd w:val="0"/>
              <w:snapToGrid w:val="0"/>
              <w:spacing w:line="240" w:lineRule="exact"/>
              <w:jc w:val="center"/>
              <w:rPr>
                <w:rFonts w:eastAsiaTheme="minorEastAsia"/>
                <w:szCs w:val="21"/>
              </w:rPr>
            </w:pPr>
            <w:r>
              <w:rPr>
                <w:rFonts w:eastAsiaTheme="minorEastAsia"/>
                <w:szCs w:val="21"/>
              </w:rPr>
              <w:t>建成</w:t>
            </w:r>
          </w:p>
        </w:tc>
        <w:tc>
          <w:tcPr>
            <w:tcW w:w="3878" w:type="dxa"/>
            <w:vAlign w:val="center"/>
          </w:tcPr>
          <w:p w:rsidR="002862AB" w:rsidRDefault="002862AB">
            <w:pPr>
              <w:jc w:val="center"/>
              <w:rPr>
                <w:rFonts w:eastAsiaTheme="minorEastAsia" w:hAnsiTheme="minorEastAsia"/>
                <w:szCs w:val="21"/>
              </w:rPr>
            </w:pPr>
            <w:r>
              <w:rPr>
                <w:rFonts w:eastAsiaTheme="minorEastAsia" w:hAnsiTheme="minorEastAsia" w:hint="eastAsia"/>
                <w:szCs w:val="21"/>
              </w:rPr>
              <w:t>/</w:t>
            </w:r>
          </w:p>
        </w:tc>
        <w:tc>
          <w:tcPr>
            <w:tcW w:w="1316" w:type="dxa"/>
            <w:vAlign w:val="center"/>
          </w:tcPr>
          <w:p w:rsidR="002862AB" w:rsidRDefault="002862AB">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hint="eastAsia"/>
                <w:sz w:val="21"/>
                <w:szCs w:val="21"/>
              </w:rPr>
              <w:t>/</w:t>
            </w:r>
          </w:p>
        </w:tc>
        <w:tc>
          <w:tcPr>
            <w:tcW w:w="2693" w:type="dxa"/>
            <w:vAlign w:val="center"/>
          </w:tcPr>
          <w:p w:rsidR="002862AB" w:rsidRDefault="002862AB">
            <w:pPr>
              <w:jc w:val="center"/>
              <w:rPr>
                <w:rFonts w:eastAsiaTheme="minorEastAsia" w:hAnsiTheme="minorEastAsia"/>
                <w:szCs w:val="21"/>
              </w:rPr>
            </w:pPr>
            <w:r>
              <w:rPr>
                <w:rFonts w:eastAsiaTheme="minorEastAsia" w:hAnsiTheme="minorEastAsia" w:hint="eastAsia"/>
                <w:szCs w:val="21"/>
              </w:rPr>
              <w:t>/</w:t>
            </w:r>
          </w:p>
        </w:tc>
      </w:tr>
      <w:tr w:rsidR="002862AB" w:rsidTr="002862AB">
        <w:trPr>
          <w:trHeight w:val="65"/>
          <w:tblHeader/>
          <w:jc w:val="center"/>
        </w:trPr>
        <w:tc>
          <w:tcPr>
            <w:tcW w:w="640" w:type="dxa"/>
            <w:vMerge/>
            <w:vAlign w:val="center"/>
          </w:tcPr>
          <w:p w:rsidR="002862AB" w:rsidRDefault="002862AB">
            <w:pPr>
              <w:spacing w:line="320" w:lineRule="exact"/>
              <w:jc w:val="center"/>
              <w:rPr>
                <w:szCs w:val="21"/>
              </w:rPr>
            </w:pPr>
          </w:p>
        </w:tc>
        <w:tc>
          <w:tcPr>
            <w:tcW w:w="356" w:type="dxa"/>
            <w:vMerge/>
            <w:vAlign w:val="center"/>
          </w:tcPr>
          <w:p w:rsidR="002862AB" w:rsidRDefault="002862AB">
            <w:pPr>
              <w:adjustRightInd w:val="0"/>
              <w:snapToGrid w:val="0"/>
              <w:jc w:val="center"/>
              <w:rPr>
                <w:rFonts w:eastAsiaTheme="minorEastAsia" w:hAnsiTheme="minorEastAsia"/>
                <w:szCs w:val="21"/>
              </w:rPr>
            </w:pPr>
          </w:p>
        </w:tc>
        <w:tc>
          <w:tcPr>
            <w:tcW w:w="686" w:type="dxa"/>
            <w:vAlign w:val="center"/>
          </w:tcPr>
          <w:p w:rsidR="002862AB" w:rsidRDefault="002862AB">
            <w:pPr>
              <w:ind w:left="-90"/>
              <w:jc w:val="center"/>
              <w:rPr>
                <w:rFonts w:eastAsiaTheme="minorEastAsia"/>
                <w:szCs w:val="21"/>
              </w:rPr>
            </w:pPr>
            <w:r>
              <w:rPr>
                <w:rFonts w:eastAsiaTheme="minorEastAsia" w:hAnsiTheme="minorEastAsia"/>
                <w:szCs w:val="21"/>
              </w:rPr>
              <w:t>矿内</w:t>
            </w:r>
          </w:p>
          <w:p w:rsidR="002862AB" w:rsidRDefault="002862AB">
            <w:pPr>
              <w:ind w:left="-90"/>
              <w:jc w:val="center"/>
              <w:rPr>
                <w:rFonts w:eastAsiaTheme="minorEastAsia"/>
                <w:bCs/>
                <w:szCs w:val="21"/>
              </w:rPr>
            </w:pPr>
            <w:r>
              <w:rPr>
                <w:rFonts w:eastAsiaTheme="minorEastAsia" w:hAnsiTheme="minorEastAsia"/>
                <w:szCs w:val="21"/>
              </w:rPr>
              <w:t>公路</w:t>
            </w:r>
          </w:p>
        </w:tc>
        <w:tc>
          <w:tcPr>
            <w:tcW w:w="4111" w:type="dxa"/>
            <w:vAlign w:val="center"/>
          </w:tcPr>
          <w:p w:rsidR="002862AB" w:rsidRDefault="002862AB">
            <w:pPr>
              <w:autoSpaceDE w:val="0"/>
              <w:autoSpaceDN w:val="0"/>
              <w:adjustRightInd w:val="0"/>
              <w:snapToGrid w:val="0"/>
              <w:jc w:val="center"/>
              <w:rPr>
                <w:kern w:val="0"/>
                <w:position w:val="-1"/>
                <w:szCs w:val="21"/>
              </w:rPr>
            </w:pPr>
            <w:r>
              <w:rPr>
                <w:rFonts w:hint="eastAsia"/>
                <w:kern w:val="0"/>
                <w:position w:val="-1"/>
                <w:szCs w:val="21"/>
              </w:rPr>
              <w:t>/</w:t>
            </w:r>
          </w:p>
        </w:tc>
        <w:tc>
          <w:tcPr>
            <w:tcW w:w="854" w:type="dxa"/>
            <w:vAlign w:val="center"/>
          </w:tcPr>
          <w:p w:rsidR="002862AB" w:rsidRDefault="002862AB" w:rsidP="002862AB">
            <w:pPr>
              <w:spacing w:line="240" w:lineRule="exact"/>
              <w:jc w:val="center"/>
              <w:rPr>
                <w:rFonts w:eastAsiaTheme="minorEastAsia"/>
                <w:szCs w:val="21"/>
              </w:rPr>
            </w:pPr>
            <w:r>
              <w:rPr>
                <w:rFonts w:eastAsiaTheme="minorEastAsia"/>
                <w:szCs w:val="21"/>
              </w:rPr>
              <w:t>建成</w:t>
            </w:r>
            <w:r>
              <w:rPr>
                <w:rFonts w:eastAsiaTheme="minorEastAsia"/>
                <w:szCs w:val="21"/>
              </w:rPr>
              <w:t>/</w:t>
            </w:r>
          </w:p>
          <w:p w:rsidR="002862AB" w:rsidRDefault="002862AB" w:rsidP="002862AB">
            <w:pPr>
              <w:adjustRightInd w:val="0"/>
              <w:snapToGrid w:val="0"/>
              <w:spacing w:line="240" w:lineRule="exact"/>
              <w:jc w:val="center"/>
              <w:rPr>
                <w:rFonts w:eastAsiaTheme="minorEastAsia"/>
                <w:szCs w:val="21"/>
              </w:rPr>
            </w:pPr>
            <w:r>
              <w:rPr>
                <w:rFonts w:eastAsiaTheme="minorEastAsia"/>
                <w:szCs w:val="21"/>
              </w:rPr>
              <w:t>废弃</w:t>
            </w:r>
          </w:p>
        </w:tc>
        <w:tc>
          <w:tcPr>
            <w:tcW w:w="3878" w:type="dxa"/>
            <w:vAlign w:val="center"/>
          </w:tcPr>
          <w:p w:rsidR="002862AB" w:rsidRPr="007E548D" w:rsidRDefault="002862AB" w:rsidP="00072B2B">
            <w:pPr>
              <w:jc w:val="center"/>
              <w:rPr>
                <w:sz w:val="18"/>
                <w:szCs w:val="18"/>
              </w:rPr>
            </w:pPr>
            <w:r w:rsidRPr="007E548D">
              <w:rPr>
                <w:rFonts w:hAnsi="宋体"/>
                <w:sz w:val="18"/>
                <w:szCs w:val="18"/>
              </w:rPr>
              <w:t>主</w:t>
            </w:r>
            <w:r w:rsidR="00072B2B">
              <w:rPr>
                <w:rFonts w:hAnsi="宋体" w:hint="eastAsia"/>
                <w:sz w:val="18"/>
                <w:szCs w:val="18"/>
              </w:rPr>
              <w:t>/</w:t>
            </w:r>
            <w:r w:rsidR="00072B2B">
              <w:rPr>
                <w:rFonts w:hAnsi="宋体" w:hint="eastAsia"/>
                <w:sz w:val="18"/>
                <w:szCs w:val="18"/>
              </w:rPr>
              <w:t>次</w:t>
            </w:r>
            <w:r w:rsidRPr="007E548D">
              <w:rPr>
                <w:rFonts w:hAnsi="宋体"/>
                <w:sz w:val="18"/>
                <w:szCs w:val="18"/>
              </w:rPr>
              <w:t>干道宽</w:t>
            </w:r>
            <w:r w:rsidRPr="007E548D">
              <w:rPr>
                <w:sz w:val="18"/>
                <w:szCs w:val="18"/>
              </w:rPr>
              <w:t>7m</w:t>
            </w:r>
            <w:r w:rsidR="00072B2B">
              <w:rPr>
                <w:rFonts w:hAnsi="宋体" w:hint="eastAsia"/>
                <w:sz w:val="18"/>
                <w:szCs w:val="18"/>
              </w:rPr>
              <w:t>/</w:t>
            </w:r>
            <w:r w:rsidRPr="007E548D">
              <w:rPr>
                <w:sz w:val="18"/>
                <w:szCs w:val="18"/>
              </w:rPr>
              <w:t>4.5m</w:t>
            </w:r>
            <w:r w:rsidRPr="007E548D">
              <w:rPr>
                <w:rFonts w:hAnsi="宋体"/>
                <w:sz w:val="18"/>
                <w:szCs w:val="18"/>
              </w:rPr>
              <w:t>、</w:t>
            </w:r>
            <w:r w:rsidRPr="007E548D">
              <w:rPr>
                <w:sz w:val="18"/>
                <w:szCs w:val="18"/>
              </w:rPr>
              <w:t>4.0m</w:t>
            </w:r>
            <w:r w:rsidRPr="007E548D">
              <w:rPr>
                <w:rFonts w:hAnsi="宋体"/>
                <w:sz w:val="18"/>
                <w:szCs w:val="18"/>
              </w:rPr>
              <w:t>，主干道路面</w:t>
            </w:r>
            <w:r w:rsidRPr="007E548D">
              <w:rPr>
                <w:sz w:val="18"/>
                <w:szCs w:val="18"/>
              </w:rPr>
              <w:t>25cm</w:t>
            </w:r>
            <w:r w:rsidRPr="007E548D">
              <w:rPr>
                <w:rFonts w:hAnsi="宋体"/>
                <w:sz w:val="18"/>
                <w:szCs w:val="18"/>
              </w:rPr>
              <w:t>厚水泥混凝土面层，</w:t>
            </w:r>
            <w:r w:rsidRPr="007E548D">
              <w:rPr>
                <w:sz w:val="18"/>
                <w:szCs w:val="18"/>
              </w:rPr>
              <w:t>30cm</w:t>
            </w:r>
            <w:r w:rsidRPr="007E548D">
              <w:rPr>
                <w:rFonts w:hAnsi="宋体"/>
                <w:sz w:val="18"/>
                <w:szCs w:val="18"/>
              </w:rPr>
              <w:t>厚水泥沙砾基层；次干道</w:t>
            </w:r>
            <w:r w:rsidRPr="007E548D">
              <w:rPr>
                <w:sz w:val="18"/>
                <w:szCs w:val="18"/>
              </w:rPr>
              <w:t>22cm</w:t>
            </w:r>
            <w:r w:rsidRPr="007E548D">
              <w:rPr>
                <w:rFonts w:hAnsi="宋体"/>
                <w:sz w:val="18"/>
                <w:szCs w:val="18"/>
              </w:rPr>
              <w:t>厚水泥混凝土面层，基层</w:t>
            </w:r>
            <w:r w:rsidRPr="007E548D">
              <w:rPr>
                <w:sz w:val="18"/>
                <w:szCs w:val="18"/>
              </w:rPr>
              <w:t>30cm</w:t>
            </w:r>
            <w:r w:rsidRPr="007E548D">
              <w:rPr>
                <w:rFonts w:hAnsi="宋体"/>
                <w:sz w:val="18"/>
                <w:szCs w:val="18"/>
              </w:rPr>
              <w:t>厚水泥沙砾</w:t>
            </w:r>
          </w:p>
        </w:tc>
        <w:tc>
          <w:tcPr>
            <w:tcW w:w="1316" w:type="dxa"/>
            <w:vAlign w:val="center"/>
          </w:tcPr>
          <w:p w:rsidR="002862AB" w:rsidRDefault="002862AB">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2862AB" w:rsidRDefault="002862AB">
            <w:pPr>
              <w:jc w:val="center"/>
              <w:rPr>
                <w:rFonts w:eastAsiaTheme="minorEastAsia"/>
                <w:szCs w:val="21"/>
              </w:rPr>
            </w:pPr>
            <w:r>
              <w:rPr>
                <w:rFonts w:eastAsiaTheme="minorEastAsia"/>
                <w:szCs w:val="21"/>
              </w:rPr>
              <w:t>未建</w:t>
            </w:r>
          </w:p>
        </w:tc>
      </w:tr>
      <w:tr w:rsidR="002862AB" w:rsidTr="002862AB">
        <w:trPr>
          <w:trHeight w:val="65"/>
          <w:tblHeader/>
          <w:jc w:val="center"/>
        </w:trPr>
        <w:tc>
          <w:tcPr>
            <w:tcW w:w="640" w:type="dxa"/>
            <w:vMerge w:val="restart"/>
            <w:vAlign w:val="center"/>
          </w:tcPr>
          <w:p w:rsidR="002862AB" w:rsidRDefault="002862AB">
            <w:pPr>
              <w:jc w:val="center"/>
              <w:rPr>
                <w:rFonts w:eastAsiaTheme="minorEastAsia"/>
                <w:szCs w:val="21"/>
              </w:rPr>
            </w:pPr>
            <w:r>
              <w:rPr>
                <w:rFonts w:eastAsiaTheme="minorEastAsia" w:hAnsiTheme="minorEastAsia"/>
                <w:szCs w:val="21"/>
              </w:rPr>
              <w:t>辅助</w:t>
            </w:r>
          </w:p>
          <w:p w:rsidR="002862AB" w:rsidRDefault="002862AB">
            <w:pPr>
              <w:spacing w:line="320" w:lineRule="exact"/>
              <w:jc w:val="center"/>
              <w:rPr>
                <w:szCs w:val="21"/>
              </w:rPr>
            </w:pPr>
            <w:r>
              <w:rPr>
                <w:rFonts w:eastAsiaTheme="minorEastAsia" w:hAnsiTheme="minorEastAsia"/>
                <w:szCs w:val="21"/>
              </w:rPr>
              <w:t>工程</w:t>
            </w:r>
          </w:p>
        </w:tc>
        <w:tc>
          <w:tcPr>
            <w:tcW w:w="1042" w:type="dxa"/>
            <w:gridSpan w:val="2"/>
            <w:vAlign w:val="center"/>
          </w:tcPr>
          <w:p w:rsidR="002862AB" w:rsidRDefault="002862AB">
            <w:pPr>
              <w:autoSpaceDE w:val="0"/>
              <w:autoSpaceDN w:val="0"/>
              <w:adjustRightInd w:val="0"/>
              <w:snapToGrid w:val="0"/>
              <w:jc w:val="center"/>
              <w:rPr>
                <w:kern w:val="0"/>
                <w:position w:val="-1"/>
                <w:szCs w:val="21"/>
              </w:rPr>
            </w:pPr>
            <w:r>
              <w:rPr>
                <w:kern w:val="0"/>
                <w:position w:val="-1"/>
                <w:szCs w:val="21"/>
              </w:rPr>
              <w:t>机电设备修理车间</w:t>
            </w:r>
          </w:p>
        </w:tc>
        <w:tc>
          <w:tcPr>
            <w:tcW w:w="4111" w:type="dxa"/>
            <w:vAlign w:val="center"/>
          </w:tcPr>
          <w:p w:rsidR="002862AB" w:rsidRDefault="002862AB">
            <w:pPr>
              <w:autoSpaceDE w:val="0"/>
              <w:autoSpaceDN w:val="0"/>
              <w:adjustRightInd w:val="0"/>
              <w:snapToGrid w:val="0"/>
              <w:jc w:val="left"/>
              <w:rPr>
                <w:kern w:val="0"/>
                <w:position w:val="-1"/>
                <w:szCs w:val="21"/>
              </w:rPr>
            </w:pPr>
            <w:r>
              <w:rPr>
                <w:kern w:val="0"/>
                <w:position w:val="-1"/>
                <w:szCs w:val="21"/>
              </w:rPr>
              <w:t>分设机修、电修、铆焊三个工段</w:t>
            </w:r>
            <w:r>
              <w:rPr>
                <w:rFonts w:hint="eastAsia"/>
                <w:kern w:val="0"/>
                <w:position w:val="-1"/>
                <w:szCs w:val="21"/>
              </w:rPr>
              <w:t>，</w:t>
            </w:r>
            <w:r>
              <w:rPr>
                <w:kern w:val="0"/>
                <w:position w:val="-1"/>
                <w:szCs w:val="21"/>
              </w:rPr>
              <w:t>总建筑面积</w:t>
            </w:r>
            <w:r>
              <w:rPr>
                <w:kern w:val="0"/>
                <w:position w:val="-1"/>
                <w:szCs w:val="21"/>
              </w:rPr>
              <w:t>600m</w:t>
            </w:r>
            <w:r>
              <w:rPr>
                <w:kern w:val="0"/>
                <w:position w:val="-1"/>
                <w:szCs w:val="21"/>
                <w:vertAlign w:val="superscript"/>
              </w:rPr>
              <w:t>2</w:t>
            </w:r>
          </w:p>
        </w:tc>
        <w:tc>
          <w:tcPr>
            <w:tcW w:w="854" w:type="dxa"/>
            <w:vAlign w:val="center"/>
          </w:tcPr>
          <w:p w:rsidR="002862AB" w:rsidRDefault="002862AB" w:rsidP="002862AB">
            <w:pPr>
              <w:spacing w:line="240" w:lineRule="exact"/>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2862AB" w:rsidRDefault="002862AB" w:rsidP="002862AB">
            <w:pPr>
              <w:spacing w:line="240" w:lineRule="exact"/>
              <w:jc w:val="center"/>
              <w:rPr>
                <w:rFonts w:eastAsiaTheme="minorEastAsia"/>
                <w:szCs w:val="21"/>
              </w:rPr>
            </w:pPr>
            <w:r>
              <w:rPr>
                <w:rFonts w:eastAsiaTheme="minorEastAsia" w:hAnsiTheme="minorEastAsia" w:hint="eastAsia"/>
                <w:szCs w:val="21"/>
              </w:rPr>
              <w:t>拆除</w:t>
            </w:r>
          </w:p>
        </w:tc>
        <w:tc>
          <w:tcPr>
            <w:tcW w:w="3878" w:type="dxa"/>
            <w:vAlign w:val="center"/>
          </w:tcPr>
          <w:p w:rsidR="002862AB" w:rsidRDefault="002862AB">
            <w:pPr>
              <w:jc w:val="center"/>
              <w:rPr>
                <w:rFonts w:ascii="宋体" w:hAnsi="宋体"/>
                <w:szCs w:val="21"/>
              </w:rPr>
            </w:pPr>
            <w:r>
              <w:rPr>
                <w:rFonts w:ascii="宋体" w:hAnsi="宋体" w:hint="eastAsia"/>
                <w:szCs w:val="21"/>
              </w:rPr>
              <w:t>不设置</w:t>
            </w:r>
          </w:p>
        </w:tc>
        <w:tc>
          <w:tcPr>
            <w:tcW w:w="1316" w:type="dxa"/>
            <w:vAlign w:val="center"/>
          </w:tcPr>
          <w:p w:rsidR="002862AB" w:rsidRDefault="002862AB">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hint="eastAsia"/>
                <w:sz w:val="21"/>
                <w:szCs w:val="21"/>
              </w:rPr>
              <w:t>/</w:t>
            </w:r>
          </w:p>
        </w:tc>
        <w:tc>
          <w:tcPr>
            <w:tcW w:w="2693" w:type="dxa"/>
            <w:vAlign w:val="center"/>
          </w:tcPr>
          <w:p w:rsidR="002862AB" w:rsidRDefault="002862AB">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hint="eastAsia"/>
                <w:sz w:val="21"/>
                <w:szCs w:val="21"/>
              </w:rPr>
              <w:t>/</w:t>
            </w:r>
          </w:p>
        </w:tc>
      </w:tr>
      <w:tr w:rsidR="002862AB" w:rsidTr="00072B2B">
        <w:trPr>
          <w:trHeight w:val="65"/>
          <w:tblHeader/>
          <w:jc w:val="center"/>
        </w:trPr>
        <w:tc>
          <w:tcPr>
            <w:tcW w:w="640" w:type="dxa"/>
            <w:vMerge/>
            <w:vAlign w:val="center"/>
          </w:tcPr>
          <w:p w:rsidR="002862AB" w:rsidRDefault="002862AB">
            <w:pPr>
              <w:spacing w:line="320" w:lineRule="exact"/>
              <w:jc w:val="center"/>
              <w:rPr>
                <w:szCs w:val="21"/>
              </w:rPr>
            </w:pPr>
          </w:p>
        </w:tc>
        <w:tc>
          <w:tcPr>
            <w:tcW w:w="1042" w:type="dxa"/>
            <w:gridSpan w:val="2"/>
            <w:vAlign w:val="center"/>
          </w:tcPr>
          <w:p w:rsidR="002862AB" w:rsidRDefault="002862AB" w:rsidP="00072B2B">
            <w:pPr>
              <w:autoSpaceDE w:val="0"/>
              <w:autoSpaceDN w:val="0"/>
              <w:adjustRightInd w:val="0"/>
              <w:snapToGrid w:val="0"/>
              <w:spacing w:line="240" w:lineRule="exact"/>
              <w:jc w:val="center"/>
              <w:rPr>
                <w:kern w:val="0"/>
                <w:position w:val="-1"/>
                <w:szCs w:val="21"/>
              </w:rPr>
            </w:pPr>
            <w:r>
              <w:rPr>
                <w:kern w:val="0"/>
                <w:position w:val="-1"/>
                <w:szCs w:val="21"/>
              </w:rPr>
              <w:t>坑木</w:t>
            </w:r>
          </w:p>
          <w:p w:rsidR="002862AB" w:rsidRDefault="002862AB" w:rsidP="00072B2B">
            <w:pPr>
              <w:autoSpaceDE w:val="0"/>
              <w:autoSpaceDN w:val="0"/>
              <w:adjustRightInd w:val="0"/>
              <w:snapToGrid w:val="0"/>
              <w:spacing w:line="240" w:lineRule="exact"/>
              <w:jc w:val="center"/>
              <w:rPr>
                <w:kern w:val="0"/>
                <w:position w:val="-1"/>
                <w:szCs w:val="21"/>
              </w:rPr>
            </w:pPr>
            <w:r>
              <w:rPr>
                <w:kern w:val="0"/>
                <w:position w:val="-1"/>
                <w:szCs w:val="21"/>
              </w:rPr>
              <w:t>加工房</w:t>
            </w:r>
          </w:p>
        </w:tc>
        <w:tc>
          <w:tcPr>
            <w:tcW w:w="4111" w:type="dxa"/>
            <w:vAlign w:val="center"/>
          </w:tcPr>
          <w:p w:rsidR="002862AB" w:rsidRDefault="002862AB" w:rsidP="00072B2B">
            <w:pPr>
              <w:autoSpaceDE w:val="0"/>
              <w:autoSpaceDN w:val="0"/>
              <w:adjustRightInd w:val="0"/>
              <w:snapToGrid w:val="0"/>
              <w:spacing w:line="240" w:lineRule="exact"/>
              <w:jc w:val="left"/>
              <w:rPr>
                <w:kern w:val="0"/>
                <w:position w:val="-1"/>
                <w:szCs w:val="21"/>
              </w:rPr>
            </w:pPr>
            <w:r>
              <w:rPr>
                <w:kern w:val="0"/>
                <w:position w:val="-1"/>
                <w:szCs w:val="21"/>
              </w:rPr>
              <w:t>内设圆锯、电锯等加工设备，建筑面积</w:t>
            </w:r>
            <w:r>
              <w:rPr>
                <w:kern w:val="0"/>
                <w:position w:val="-1"/>
                <w:szCs w:val="21"/>
              </w:rPr>
              <w:t>192m</w:t>
            </w:r>
            <w:r>
              <w:rPr>
                <w:kern w:val="0"/>
                <w:position w:val="-1"/>
                <w:szCs w:val="21"/>
                <w:vertAlign w:val="superscript"/>
              </w:rPr>
              <w:t>2</w:t>
            </w:r>
          </w:p>
        </w:tc>
        <w:tc>
          <w:tcPr>
            <w:tcW w:w="854" w:type="dxa"/>
            <w:vAlign w:val="center"/>
          </w:tcPr>
          <w:p w:rsidR="002862AB" w:rsidRDefault="002862AB" w:rsidP="002862AB">
            <w:pPr>
              <w:spacing w:line="240" w:lineRule="exact"/>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2862AB" w:rsidRDefault="002862AB" w:rsidP="002862AB">
            <w:pPr>
              <w:spacing w:line="240" w:lineRule="exact"/>
              <w:jc w:val="center"/>
              <w:rPr>
                <w:rFonts w:eastAsiaTheme="minorEastAsia"/>
                <w:szCs w:val="21"/>
              </w:rPr>
            </w:pPr>
            <w:r>
              <w:rPr>
                <w:rFonts w:eastAsiaTheme="minorEastAsia" w:hAnsiTheme="minorEastAsia" w:hint="eastAsia"/>
                <w:szCs w:val="21"/>
              </w:rPr>
              <w:t>拆除</w:t>
            </w:r>
          </w:p>
        </w:tc>
        <w:tc>
          <w:tcPr>
            <w:tcW w:w="3878" w:type="dxa"/>
            <w:vAlign w:val="center"/>
          </w:tcPr>
          <w:p w:rsidR="002862AB" w:rsidRDefault="002862AB">
            <w:pPr>
              <w:jc w:val="center"/>
              <w:rPr>
                <w:rFonts w:ascii="宋体" w:hAnsi="宋体"/>
                <w:szCs w:val="21"/>
              </w:rPr>
            </w:pPr>
            <w:r>
              <w:rPr>
                <w:rFonts w:ascii="宋体" w:hAnsi="宋体" w:hint="eastAsia"/>
                <w:szCs w:val="21"/>
              </w:rPr>
              <w:t>不设置</w:t>
            </w:r>
          </w:p>
        </w:tc>
        <w:tc>
          <w:tcPr>
            <w:tcW w:w="1316" w:type="dxa"/>
            <w:vAlign w:val="center"/>
          </w:tcPr>
          <w:p w:rsidR="002862AB" w:rsidRDefault="002862AB">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hint="eastAsia"/>
                <w:sz w:val="21"/>
                <w:szCs w:val="21"/>
              </w:rPr>
              <w:t>/</w:t>
            </w:r>
          </w:p>
        </w:tc>
        <w:tc>
          <w:tcPr>
            <w:tcW w:w="2693" w:type="dxa"/>
            <w:vAlign w:val="center"/>
          </w:tcPr>
          <w:p w:rsidR="002862AB" w:rsidRDefault="002862AB">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hint="eastAsia"/>
                <w:sz w:val="21"/>
                <w:szCs w:val="21"/>
              </w:rPr>
              <w:t>/</w:t>
            </w:r>
          </w:p>
        </w:tc>
      </w:tr>
      <w:tr w:rsidR="002862AB" w:rsidTr="002862AB">
        <w:trPr>
          <w:trHeight w:val="65"/>
          <w:tblHeader/>
          <w:jc w:val="center"/>
        </w:trPr>
        <w:tc>
          <w:tcPr>
            <w:tcW w:w="640" w:type="dxa"/>
            <w:vMerge/>
            <w:vAlign w:val="center"/>
          </w:tcPr>
          <w:p w:rsidR="002862AB" w:rsidRDefault="002862AB">
            <w:pPr>
              <w:spacing w:line="320" w:lineRule="exact"/>
              <w:jc w:val="center"/>
              <w:rPr>
                <w:szCs w:val="21"/>
              </w:rPr>
            </w:pPr>
          </w:p>
        </w:tc>
        <w:tc>
          <w:tcPr>
            <w:tcW w:w="1042" w:type="dxa"/>
            <w:gridSpan w:val="2"/>
            <w:vAlign w:val="center"/>
          </w:tcPr>
          <w:p w:rsidR="002862AB" w:rsidRDefault="002862AB">
            <w:pPr>
              <w:autoSpaceDE w:val="0"/>
              <w:autoSpaceDN w:val="0"/>
              <w:adjustRightInd w:val="0"/>
              <w:snapToGrid w:val="0"/>
              <w:jc w:val="center"/>
              <w:rPr>
                <w:kern w:val="0"/>
                <w:position w:val="-1"/>
                <w:szCs w:val="21"/>
              </w:rPr>
            </w:pPr>
            <w:r>
              <w:rPr>
                <w:kern w:val="0"/>
                <w:position w:val="-1"/>
                <w:szCs w:val="21"/>
              </w:rPr>
              <w:t>煤样室</w:t>
            </w:r>
          </w:p>
        </w:tc>
        <w:tc>
          <w:tcPr>
            <w:tcW w:w="4111" w:type="dxa"/>
            <w:vAlign w:val="center"/>
          </w:tcPr>
          <w:p w:rsidR="002862AB" w:rsidRDefault="002862AB">
            <w:pPr>
              <w:autoSpaceDE w:val="0"/>
              <w:autoSpaceDN w:val="0"/>
              <w:adjustRightInd w:val="0"/>
              <w:snapToGrid w:val="0"/>
              <w:jc w:val="left"/>
              <w:rPr>
                <w:kern w:val="0"/>
                <w:position w:val="-1"/>
                <w:szCs w:val="21"/>
              </w:rPr>
            </w:pPr>
            <w:r>
              <w:rPr>
                <w:kern w:val="0"/>
                <w:position w:val="-1"/>
                <w:szCs w:val="21"/>
              </w:rPr>
              <w:t>配备小型破碎机、套筛等，建筑面积</w:t>
            </w:r>
            <w:r>
              <w:rPr>
                <w:kern w:val="0"/>
                <w:position w:val="-1"/>
                <w:szCs w:val="21"/>
              </w:rPr>
              <w:t>72m</w:t>
            </w:r>
            <w:r>
              <w:rPr>
                <w:kern w:val="0"/>
                <w:position w:val="-1"/>
                <w:szCs w:val="21"/>
                <w:vertAlign w:val="superscript"/>
              </w:rPr>
              <w:t>2</w:t>
            </w:r>
          </w:p>
        </w:tc>
        <w:tc>
          <w:tcPr>
            <w:tcW w:w="854" w:type="dxa"/>
            <w:vAlign w:val="center"/>
          </w:tcPr>
          <w:p w:rsidR="002862AB" w:rsidRDefault="002862AB" w:rsidP="002862AB">
            <w:pPr>
              <w:spacing w:line="240" w:lineRule="exact"/>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2862AB" w:rsidRDefault="002862AB" w:rsidP="002862AB">
            <w:pPr>
              <w:spacing w:line="240" w:lineRule="exact"/>
              <w:jc w:val="center"/>
              <w:rPr>
                <w:rFonts w:eastAsiaTheme="minorEastAsia"/>
                <w:szCs w:val="21"/>
              </w:rPr>
            </w:pPr>
            <w:r>
              <w:rPr>
                <w:rFonts w:eastAsiaTheme="minorEastAsia" w:hAnsiTheme="minorEastAsia" w:hint="eastAsia"/>
                <w:szCs w:val="21"/>
              </w:rPr>
              <w:t>拆除</w:t>
            </w:r>
          </w:p>
        </w:tc>
        <w:tc>
          <w:tcPr>
            <w:tcW w:w="3878" w:type="dxa"/>
            <w:vAlign w:val="center"/>
          </w:tcPr>
          <w:p w:rsidR="002862AB" w:rsidRDefault="002862AB">
            <w:pPr>
              <w:jc w:val="center"/>
              <w:rPr>
                <w:rFonts w:ascii="宋体" w:hAnsi="宋体"/>
                <w:szCs w:val="21"/>
              </w:rPr>
            </w:pPr>
            <w:r>
              <w:rPr>
                <w:rFonts w:ascii="宋体" w:hAnsi="宋体" w:hint="eastAsia"/>
                <w:szCs w:val="21"/>
              </w:rPr>
              <w:t>设于选煤厂内</w:t>
            </w:r>
          </w:p>
        </w:tc>
        <w:tc>
          <w:tcPr>
            <w:tcW w:w="1316" w:type="dxa"/>
            <w:vAlign w:val="center"/>
          </w:tcPr>
          <w:p w:rsidR="002862AB" w:rsidRDefault="002862AB">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2862AB" w:rsidRDefault="002862AB">
            <w:pPr>
              <w:jc w:val="center"/>
              <w:rPr>
                <w:rFonts w:eastAsiaTheme="minorEastAsia"/>
                <w:szCs w:val="21"/>
              </w:rPr>
            </w:pPr>
            <w:r>
              <w:rPr>
                <w:rFonts w:eastAsiaTheme="minorEastAsia"/>
                <w:szCs w:val="21"/>
              </w:rPr>
              <w:t>未建</w:t>
            </w:r>
          </w:p>
        </w:tc>
      </w:tr>
      <w:tr w:rsidR="002862AB" w:rsidTr="007E548D">
        <w:trPr>
          <w:trHeight w:val="65"/>
          <w:tblHeader/>
          <w:jc w:val="center"/>
        </w:trPr>
        <w:tc>
          <w:tcPr>
            <w:tcW w:w="640" w:type="dxa"/>
            <w:vMerge/>
            <w:vAlign w:val="center"/>
          </w:tcPr>
          <w:p w:rsidR="002862AB" w:rsidRDefault="002862AB">
            <w:pPr>
              <w:spacing w:line="320" w:lineRule="exact"/>
              <w:jc w:val="center"/>
              <w:rPr>
                <w:szCs w:val="21"/>
              </w:rPr>
            </w:pPr>
          </w:p>
        </w:tc>
        <w:tc>
          <w:tcPr>
            <w:tcW w:w="1042" w:type="dxa"/>
            <w:gridSpan w:val="2"/>
            <w:vAlign w:val="center"/>
          </w:tcPr>
          <w:p w:rsidR="002862AB" w:rsidRDefault="002862AB">
            <w:pPr>
              <w:autoSpaceDE w:val="0"/>
              <w:autoSpaceDN w:val="0"/>
              <w:adjustRightInd w:val="0"/>
              <w:snapToGrid w:val="0"/>
              <w:jc w:val="center"/>
              <w:rPr>
                <w:kern w:val="0"/>
                <w:position w:val="-1"/>
                <w:szCs w:val="21"/>
              </w:rPr>
            </w:pPr>
            <w:r>
              <w:rPr>
                <w:rFonts w:hAnsi="宋体"/>
                <w:szCs w:val="21"/>
              </w:rPr>
              <w:t>无轨胶轮车保养间</w:t>
            </w:r>
          </w:p>
        </w:tc>
        <w:tc>
          <w:tcPr>
            <w:tcW w:w="4111" w:type="dxa"/>
            <w:vAlign w:val="center"/>
          </w:tcPr>
          <w:p w:rsidR="002862AB" w:rsidRDefault="002862AB">
            <w:pPr>
              <w:autoSpaceDE w:val="0"/>
              <w:autoSpaceDN w:val="0"/>
              <w:adjustRightInd w:val="0"/>
              <w:snapToGrid w:val="0"/>
              <w:jc w:val="center"/>
              <w:rPr>
                <w:kern w:val="0"/>
                <w:position w:val="-1"/>
                <w:szCs w:val="21"/>
              </w:rPr>
            </w:pPr>
            <w:r>
              <w:rPr>
                <w:rFonts w:hint="eastAsia"/>
                <w:kern w:val="0"/>
                <w:position w:val="-1"/>
                <w:szCs w:val="21"/>
              </w:rPr>
              <w:t>/</w:t>
            </w:r>
          </w:p>
        </w:tc>
        <w:tc>
          <w:tcPr>
            <w:tcW w:w="854" w:type="dxa"/>
            <w:vAlign w:val="center"/>
          </w:tcPr>
          <w:p w:rsidR="002862AB" w:rsidRDefault="002862AB">
            <w:pPr>
              <w:jc w:val="center"/>
              <w:rPr>
                <w:rFonts w:eastAsiaTheme="minorEastAsia" w:hAnsiTheme="minorEastAsia"/>
                <w:szCs w:val="21"/>
              </w:rPr>
            </w:pPr>
            <w:r>
              <w:rPr>
                <w:rFonts w:eastAsiaTheme="minorEastAsia" w:hAnsiTheme="minorEastAsia" w:hint="eastAsia"/>
                <w:szCs w:val="21"/>
              </w:rPr>
              <w:t>/</w:t>
            </w:r>
          </w:p>
        </w:tc>
        <w:tc>
          <w:tcPr>
            <w:tcW w:w="3878" w:type="dxa"/>
            <w:vAlign w:val="center"/>
          </w:tcPr>
          <w:p w:rsidR="002862AB" w:rsidRDefault="002862AB">
            <w:pPr>
              <w:jc w:val="center"/>
              <w:rPr>
                <w:szCs w:val="21"/>
              </w:rPr>
            </w:pPr>
            <w:r>
              <w:rPr>
                <w:rFonts w:hAnsi="宋体"/>
                <w:szCs w:val="21"/>
              </w:rPr>
              <w:t>建筑面积</w:t>
            </w:r>
            <w:r>
              <w:rPr>
                <w:szCs w:val="21"/>
              </w:rPr>
              <w:t>240 m</w:t>
            </w:r>
            <w:r>
              <w:rPr>
                <w:szCs w:val="21"/>
                <w:vertAlign w:val="superscript"/>
              </w:rPr>
              <w:t>2</w:t>
            </w:r>
          </w:p>
        </w:tc>
        <w:tc>
          <w:tcPr>
            <w:tcW w:w="1316" w:type="dxa"/>
            <w:vAlign w:val="center"/>
          </w:tcPr>
          <w:p w:rsidR="002862AB" w:rsidRDefault="002862AB">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2862AB" w:rsidRDefault="002862AB">
            <w:pPr>
              <w:jc w:val="center"/>
              <w:rPr>
                <w:rFonts w:eastAsiaTheme="minorEastAsia"/>
                <w:szCs w:val="21"/>
              </w:rPr>
            </w:pPr>
            <w:r>
              <w:rPr>
                <w:rFonts w:eastAsiaTheme="minorEastAsia"/>
                <w:szCs w:val="21"/>
              </w:rPr>
              <w:t>未建</w:t>
            </w:r>
          </w:p>
        </w:tc>
      </w:tr>
      <w:tr w:rsidR="002862AB" w:rsidTr="00BB1CC7">
        <w:trPr>
          <w:trHeight w:val="45"/>
          <w:tblHeader/>
          <w:jc w:val="center"/>
        </w:trPr>
        <w:tc>
          <w:tcPr>
            <w:tcW w:w="640" w:type="dxa"/>
            <w:vMerge/>
            <w:vAlign w:val="center"/>
          </w:tcPr>
          <w:p w:rsidR="002862AB" w:rsidRDefault="002862AB">
            <w:pPr>
              <w:spacing w:line="320" w:lineRule="exact"/>
              <w:jc w:val="center"/>
              <w:rPr>
                <w:szCs w:val="21"/>
              </w:rPr>
            </w:pPr>
          </w:p>
        </w:tc>
        <w:tc>
          <w:tcPr>
            <w:tcW w:w="1042" w:type="dxa"/>
            <w:gridSpan w:val="2"/>
            <w:vAlign w:val="center"/>
          </w:tcPr>
          <w:p w:rsidR="002862AB" w:rsidRPr="007E548D" w:rsidRDefault="002862AB">
            <w:pPr>
              <w:autoSpaceDE w:val="0"/>
              <w:autoSpaceDN w:val="0"/>
              <w:jc w:val="center"/>
              <w:rPr>
                <w:rFonts w:hAnsi="宋体"/>
                <w:spacing w:val="-6"/>
                <w:sz w:val="18"/>
                <w:szCs w:val="18"/>
              </w:rPr>
            </w:pPr>
            <w:r w:rsidRPr="007E548D">
              <w:rPr>
                <w:spacing w:val="-6"/>
                <w:sz w:val="18"/>
                <w:szCs w:val="18"/>
              </w:rPr>
              <w:t>设备中转、材料库联合建筑</w:t>
            </w:r>
          </w:p>
        </w:tc>
        <w:tc>
          <w:tcPr>
            <w:tcW w:w="4111" w:type="dxa"/>
            <w:vAlign w:val="center"/>
          </w:tcPr>
          <w:p w:rsidR="002862AB" w:rsidRDefault="002862AB">
            <w:pPr>
              <w:autoSpaceDE w:val="0"/>
              <w:autoSpaceDN w:val="0"/>
              <w:adjustRightInd w:val="0"/>
              <w:snapToGrid w:val="0"/>
              <w:jc w:val="center"/>
              <w:rPr>
                <w:kern w:val="0"/>
                <w:position w:val="-1"/>
                <w:szCs w:val="21"/>
              </w:rPr>
            </w:pPr>
            <w:r>
              <w:rPr>
                <w:rFonts w:hint="eastAsia"/>
                <w:kern w:val="0"/>
                <w:position w:val="-1"/>
                <w:szCs w:val="21"/>
              </w:rPr>
              <w:t>/</w:t>
            </w:r>
          </w:p>
        </w:tc>
        <w:tc>
          <w:tcPr>
            <w:tcW w:w="854" w:type="dxa"/>
            <w:vAlign w:val="center"/>
          </w:tcPr>
          <w:p w:rsidR="002862AB" w:rsidRDefault="002862AB">
            <w:pPr>
              <w:jc w:val="center"/>
              <w:rPr>
                <w:rFonts w:eastAsiaTheme="minorEastAsia"/>
                <w:szCs w:val="21"/>
              </w:rPr>
            </w:pPr>
            <w:r>
              <w:rPr>
                <w:rFonts w:eastAsiaTheme="minorEastAsia"/>
                <w:szCs w:val="21"/>
              </w:rPr>
              <w:t>/</w:t>
            </w:r>
          </w:p>
        </w:tc>
        <w:tc>
          <w:tcPr>
            <w:tcW w:w="3878" w:type="dxa"/>
            <w:vAlign w:val="center"/>
          </w:tcPr>
          <w:p w:rsidR="002862AB" w:rsidRDefault="002862AB">
            <w:pPr>
              <w:jc w:val="center"/>
              <w:rPr>
                <w:szCs w:val="21"/>
              </w:rPr>
            </w:pPr>
            <w:r>
              <w:rPr>
                <w:rFonts w:hAnsi="宋体"/>
                <w:szCs w:val="21"/>
              </w:rPr>
              <w:t>含综合设备库、材料库、消防材料库、油脂库，总建筑面积</w:t>
            </w:r>
            <w:r>
              <w:rPr>
                <w:szCs w:val="21"/>
              </w:rPr>
              <w:t>900m</w:t>
            </w:r>
            <w:r>
              <w:rPr>
                <w:szCs w:val="21"/>
                <w:vertAlign w:val="superscript"/>
              </w:rPr>
              <w:t>2</w:t>
            </w:r>
          </w:p>
        </w:tc>
        <w:tc>
          <w:tcPr>
            <w:tcW w:w="1316" w:type="dxa"/>
            <w:vAlign w:val="center"/>
          </w:tcPr>
          <w:p w:rsidR="002862AB" w:rsidRDefault="002862AB">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2862AB" w:rsidRDefault="002862AB">
            <w:pPr>
              <w:jc w:val="center"/>
              <w:rPr>
                <w:rFonts w:eastAsiaTheme="minorEastAsia"/>
                <w:szCs w:val="21"/>
              </w:rPr>
            </w:pPr>
            <w:r>
              <w:rPr>
                <w:rFonts w:eastAsiaTheme="minorEastAsia"/>
                <w:szCs w:val="21"/>
              </w:rPr>
              <w:t>未建</w:t>
            </w:r>
          </w:p>
        </w:tc>
      </w:tr>
      <w:tr w:rsidR="002862AB" w:rsidTr="007E548D">
        <w:trPr>
          <w:trHeight w:val="89"/>
          <w:tblHeader/>
          <w:jc w:val="center"/>
        </w:trPr>
        <w:tc>
          <w:tcPr>
            <w:tcW w:w="640" w:type="dxa"/>
            <w:vMerge/>
            <w:vAlign w:val="center"/>
          </w:tcPr>
          <w:p w:rsidR="002862AB" w:rsidRDefault="002862AB">
            <w:pPr>
              <w:spacing w:line="320" w:lineRule="exact"/>
              <w:jc w:val="center"/>
              <w:rPr>
                <w:szCs w:val="21"/>
              </w:rPr>
            </w:pPr>
          </w:p>
        </w:tc>
        <w:tc>
          <w:tcPr>
            <w:tcW w:w="1042" w:type="dxa"/>
            <w:gridSpan w:val="2"/>
            <w:vAlign w:val="center"/>
          </w:tcPr>
          <w:p w:rsidR="002862AB" w:rsidRPr="0092358B" w:rsidRDefault="002862AB">
            <w:pPr>
              <w:autoSpaceDE w:val="0"/>
              <w:autoSpaceDN w:val="0"/>
              <w:jc w:val="center"/>
              <w:rPr>
                <w:color w:val="FF0000"/>
                <w:szCs w:val="21"/>
              </w:rPr>
            </w:pPr>
            <w:r w:rsidRPr="0092358B">
              <w:rPr>
                <w:rFonts w:hint="eastAsia"/>
                <w:color w:val="FF0000"/>
                <w:szCs w:val="21"/>
              </w:rPr>
              <w:t>灌浆站</w:t>
            </w:r>
          </w:p>
        </w:tc>
        <w:tc>
          <w:tcPr>
            <w:tcW w:w="4111" w:type="dxa"/>
            <w:vAlign w:val="center"/>
          </w:tcPr>
          <w:p w:rsidR="002862AB" w:rsidRPr="0092358B" w:rsidRDefault="002862AB">
            <w:pPr>
              <w:autoSpaceDE w:val="0"/>
              <w:autoSpaceDN w:val="0"/>
              <w:adjustRightInd w:val="0"/>
              <w:snapToGrid w:val="0"/>
              <w:jc w:val="center"/>
              <w:rPr>
                <w:color w:val="FF0000"/>
                <w:kern w:val="0"/>
                <w:position w:val="-1"/>
                <w:szCs w:val="21"/>
              </w:rPr>
            </w:pPr>
            <w:r w:rsidRPr="0092358B">
              <w:rPr>
                <w:rFonts w:hint="eastAsia"/>
                <w:color w:val="FF0000"/>
                <w:kern w:val="0"/>
                <w:position w:val="-1"/>
                <w:szCs w:val="21"/>
              </w:rPr>
              <w:t>场地东北部设制浆车间</w:t>
            </w:r>
          </w:p>
        </w:tc>
        <w:tc>
          <w:tcPr>
            <w:tcW w:w="854" w:type="dxa"/>
            <w:vAlign w:val="center"/>
          </w:tcPr>
          <w:p w:rsidR="002862AB" w:rsidRPr="0092358B" w:rsidRDefault="002862AB" w:rsidP="002862AB">
            <w:pPr>
              <w:spacing w:line="240" w:lineRule="exact"/>
              <w:jc w:val="center"/>
              <w:rPr>
                <w:rFonts w:eastAsiaTheme="minorEastAsia" w:hAnsiTheme="minorEastAsia"/>
                <w:color w:val="FF0000"/>
                <w:szCs w:val="21"/>
              </w:rPr>
            </w:pPr>
            <w:r w:rsidRPr="0092358B">
              <w:rPr>
                <w:rFonts w:eastAsiaTheme="minorEastAsia" w:hAnsiTheme="minorEastAsia" w:hint="eastAsia"/>
                <w:color w:val="FF0000"/>
                <w:szCs w:val="21"/>
              </w:rPr>
              <w:t>建成</w:t>
            </w:r>
            <w:r w:rsidRPr="0092358B">
              <w:rPr>
                <w:rFonts w:eastAsiaTheme="minorEastAsia" w:hAnsiTheme="minorEastAsia" w:hint="eastAsia"/>
                <w:color w:val="FF0000"/>
                <w:szCs w:val="21"/>
              </w:rPr>
              <w:t>/</w:t>
            </w:r>
          </w:p>
          <w:p w:rsidR="002862AB" w:rsidRPr="0092358B" w:rsidRDefault="002862AB" w:rsidP="002862AB">
            <w:pPr>
              <w:spacing w:line="240" w:lineRule="exact"/>
              <w:jc w:val="center"/>
              <w:rPr>
                <w:rFonts w:eastAsiaTheme="minorEastAsia"/>
                <w:color w:val="FF0000"/>
                <w:szCs w:val="21"/>
              </w:rPr>
            </w:pPr>
            <w:r w:rsidRPr="0092358B">
              <w:rPr>
                <w:rFonts w:eastAsiaTheme="minorEastAsia" w:hAnsiTheme="minorEastAsia" w:hint="eastAsia"/>
                <w:color w:val="FF0000"/>
                <w:szCs w:val="21"/>
              </w:rPr>
              <w:t>拆除</w:t>
            </w:r>
          </w:p>
        </w:tc>
        <w:tc>
          <w:tcPr>
            <w:tcW w:w="3878" w:type="dxa"/>
            <w:vAlign w:val="center"/>
          </w:tcPr>
          <w:p w:rsidR="002862AB" w:rsidRPr="007A39E0" w:rsidRDefault="002862AB" w:rsidP="0092358B">
            <w:pPr>
              <w:autoSpaceDE w:val="0"/>
              <w:autoSpaceDN w:val="0"/>
              <w:adjustRightInd w:val="0"/>
              <w:snapToGrid w:val="0"/>
              <w:jc w:val="center"/>
              <w:rPr>
                <w:color w:val="FF0000"/>
                <w:kern w:val="0"/>
                <w:position w:val="-1"/>
                <w:sz w:val="18"/>
                <w:szCs w:val="18"/>
              </w:rPr>
            </w:pPr>
            <w:r w:rsidRPr="007A39E0">
              <w:rPr>
                <w:color w:val="FF0000"/>
                <w:kern w:val="0"/>
                <w:position w:val="-1"/>
                <w:sz w:val="18"/>
                <w:szCs w:val="18"/>
              </w:rPr>
              <w:t>工业场地主斜井井口东部</w:t>
            </w:r>
            <w:r w:rsidRPr="007A39E0">
              <w:rPr>
                <w:rFonts w:hint="eastAsia"/>
                <w:color w:val="FF0000"/>
                <w:kern w:val="0"/>
                <w:position w:val="-1"/>
                <w:sz w:val="18"/>
                <w:szCs w:val="18"/>
              </w:rPr>
              <w:t>设</w:t>
            </w:r>
            <w:r w:rsidRPr="007A39E0">
              <w:rPr>
                <w:color w:val="FF0000"/>
                <w:kern w:val="0"/>
                <w:position w:val="-1"/>
                <w:sz w:val="18"/>
                <w:szCs w:val="18"/>
              </w:rPr>
              <w:t>一座制浆车间</w:t>
            </w:r>
            <w:r w:rsidRPr="007A39E0">
              <w:rPr>
                <w:rFonts w:hint="eastAsia"/>
                <w:color w:val="FF0000"/>
                <w:kern w:val="0"/>
                <w:position w:val="-1"/>
                <w:sz w:val="18"/>
                <w:szCs w:val="18"/>
              </w:rPr>
              <w:t>，设备均设置在室内，设置渣浆泵二台</w:t>
            </w:r>
            <w:r w:rsidR="00BB1CC7" w:rsidRPr="007A39E0">
              <w:rPr>
                <w:rFonts w:hint="eastAsia"/>
                <w:color w:val="FF0000"/>
                <w:kern w:val="0"/>
                <w:position w:val="-1"/>
                <w:sz w:val="18"/>
                <w:szCs w:val="18"/>
              </w:rPr>
              <w:t>；所用黄土由王家峁村提供，</w:t>
            </w:r>
            <w:r w:rsidR="007A39E0" w:rsidRPr="007A39E0">
              <w:rPr>
                <w:rFonts w:hint="eastAsia"/>
                <w:color w:val="FF0000"/>
                <w:kern w:val="0"/>
                <w:position w:val="-1"/>
                <w:sz w:val="18"/>
                <w:szCs w:val="18"/>
              </w:rPr>
              <w:t>黄泥制浆站设立围墙与其它生产系统分隔，</w:t>
            </w:r>
            <w:r w:rsidR="00BB1CC7" w:rsidRPr="007A39E0">
              <w:rPr>
                <w:color w:val="FF0000"/>
                <w:kern w:val="0"/>
                <w:position w:val="-1"/>
                <w:sz w:val="18"/>
                <w:szCs w:val="18"/>
              </w:rPr>
              <w:t>黄土</w:t>
            </w:r>
            <w:r w:rsidR="00BB1CC7" w:rsidRPr="007A39E0">
              <w:rPr>
                <w:rFonts w:hint="eastAsia"/>
                <w:color w:val="FF0000"/>
                <w:kern w:val="0"/>
                <w:position w:val="-1"/>
                <w:sz w:val="18"/>
                <w:szCs w:val="18"/>
              </w:rPr>
              <w:t>集中堆存在</w:t>
            </w:r>
            <w:r w:rsidR="007A39E0" w:rsidRPr="007A39E0">
              <w:rPr>
                <w:rFonts w:hint="eastAsia"/>
                <w:color w:val="FF0000"/>
                <w:kern w:val="0"/>
                <w:position w:val="-1"/>
                <w:sz w:val="18"/>
                <w:szCs w:val="18"/>
              </w:rPr>
              <w:t>场地内</w:t>
            </w:r>
            <w:r w:rsidR="00BB1CC7" w:rsidRPr="007A39E0">
              <w:rPr>
                <w:rFonts w:hint="eastAsia"/>
                <w:color w:val="FF0000"/>
                <w:kern w:val="0"/>
                <w:position w:val="-1"/>
                <w:sz w:val="18"/>
                <w:szCs w:val="18"/>
              </w:rPr>
              <w:t>封闭储棚中</w:t>
            </w:r>
          </w:p>
        </w:tc>
        <w:tc>
          <w:tcPr>
            <w:tcW w:w="1316" w:type="dxa"/>
            <w:vAlign w:val="center"/>
          </w:tcPr>
          <w:p w:rsidR="002862AB" w:rsidRPr="0092358B" w:rsidRDefault="002862AB" w:rsidP="0092358B">
            <w:pPr>
              <w:pStyle w:val="aff1"/>
              <w:tabs>
                <w:tab w:val="clear" w:pos="5781"/>
              </w:tabs>
              <w:autoSpaceDE w:val="0"/>
              <w:autoSpaceDN w:val="0"/>
              <w:adjustRightInd w:val="0"/>
              <w:snapToGrid w:val="0"/>
              <w:spacing w:line="240" w:lineRule="auto"/>
              <w:ind w:left="0" w:firstLine="0"/>
              <w:jc w:val="center"/>
              <w:rPr>
                <w:color w:val="FF0000"/>
                <w:kern w:val="0"/>
                <w:position w:val="-1"/>
                <w:sz w:val="21"/>
                <w:szCs w:val="21"/>
              </w:rPr>
            </w:pPr>
            <w:r w:rsidRPr="0092358B">
              <w:rPr>
                <w:color w:val="FF0000"/>
                <w:kern w:val="0"/>
                <w:position w:val="-1"/>
                <w:sz w:val="21"/>
                <w:szCs w:val="21"/>
              </w:rPr>
              <w:t>新建</w:t>
            </w:r>
          </w:p>
        </w:tc>
        <w:tc>
          <w:tcPr>
            <w:tcW w:w="2693" w:type="dxa"/>
            <w:vAlign w:val="center"/>
          </w:tcPr>
          <w:p w:rsidR="002862AB" w:rsidRPr="0092358B" w:rsidRDefault="002862AB" w:rsidP="0092358B">
            <w:pPr>
              <w:autoSpaceDE w:val="0"/>
              <w:autoSpaceDN w:val="0"/>
              <w:adjustRightInd w:val="0"/>
              <w:snapToGrid w:val="0"/>
              <w:jc w:val="center"/>
              <w:rPr>
                <w:color w:val="FF0000"/>
                <w:kern w:val="0"/>
                <w:position w:val="-1"/>
                <w:szCs w:val="21"/>
              </w:rPr>
            </w:pPr>
            <w:r w:rsidRPr="0092358B">
              <w:rPr>
                <w:color w:val="FF0000"/>
                <w:kern w:val="0"/>
                <w:position w:val="-1"/>
                <w:szCs w:val="21"/>
              </w:rPr>
              <w:t>未建</w:t>
            </w:r>
          </w:p>
        </w:tc>
      </w:tr>
      <w:tr w:rsidR="002862AB" w:rsidTr="00D96EC8">
        <w:trPr>
          <w:trHeight w:val="65"/>
          <w:tblHeader/>
          <w:jc w:val="center"/>
        </w:trPr>
        <w:tc>
          <w:tcPr>
            <w:tcW w:w="640" w:type="dxa"/>
            <w:vMerge/>
            <w:vAlign w:val="center"/>
          </w:tcPr>
          <w:p w:rsidR="002862AB" w:rsidRDefault="002862AB">
            <w:pPr>
              <w:spacing w:line="320" w:lineRule="exact"/>
              <w:jc w:val="center"/>
              <w:rPr>
                <w:szCs w:val="21"/>
              </w:rPr>
            </w:pPr>
          </w:p>
        </w:tc>
        <w:tc>
          <w:tcPr>
            <w:tcW w:w="1042" w:type="dxa"/>
            <w:gridSpan w:val="2"/>
            <w:vAlign w:val="center"/>
          </w:tcPr>
          <w:p w:rsidR="002862AB" w:rsidRPr="00C17378" w:rsidRDefault="002862AB">
            <w:pPr>
              <w:autoSpaceDE w:val="0"/>
              <w:autoSpaceDN w:val="0"/>
              <w:jc w:val="center"/>
              <w:rPr>
                <w:color w:val="FF0000"/>
                <w:spacing w:val="-6"/>
                <w:szCs w:val="21"/>
              </w:rPr>
            </w:pPr>
            <w:r w:rsidRPr="00C17378">
              <w:rPr>
                <w:rFonts w:hint="eastAsia"/>
                <w:color w:val="FF0000"/>
                <w:spacing w:val="-6"/>
                <w:szCs w:val="21"/>
              </w:rPr>
              <w:t>压缩空气站</w:t>
            </w:r>
          </w:p>
        </w:tc>
        <w:tc>
          <w:tcPr>
            <w:tcW w:w="4111" w:type="dxa"/>
            <w:vAlign w:val="center"/>
          </w:tcPr>
          <w:p w:rsidR="002862AB" w:rsidRPr="00D96EC8" w:rsidRDefault="002862AB">
            <w:pPr>
              <w:autoSpaceDE w:val="0"/>
              <w:autoSpaceDN w:val="0"/>
              <w:adjustRightInd w:val="0"/>
              <w:snapToGrid w:val="0"/>
              <w:jc w:val="center"/>
              <w:rPr>
                <w:color w:val="FF0000"/>
                <w:kern w:val="0"/>
                <w:position w:val="-1"/>
                <w:szCs w:val="21"/>
              </w:rPr>
            </w:pPr>
            <w:r w:rsidRPr="00D96EC8">
              <w:rPr>
                <w:rFonts w:eastAsiaTheme="minorEastAsia" w:hint="eastAsia"/>
                <w:color w:val="FF0000"/>
                <w:szCs w:val="21"/>
              </w:rPr>
              <w:t>/</w:t>
            </w:r>
          </w:p>
        </w:tc>
        <w:tc>
          <w:tcPr>
            <w:tcW w:w="854" w:type="dxa"/>
            <w:vAlign w:val="center"/>
          </w:tcPr>
          <w:p w:rsidR="002862AB" w:rsidRPr="00D96EC8" w:rsidRDefault="002862AB" w:rsidP="0092358B">
            <w:pPr>
              <w:jc w:val="center"/>
              <w:rPr>
                <w:rFonts w:eastAsiaTheme="minorEastAsia"/>
                <w:color w:val="FF0000"/>
                <w:szCs w:val="21"/>
              </w:rPr>
            </w:pPr>
            <w:r w:rsidRPr="00D96EC8">
              <w:rPr>
                <w:rFonts w:eastAsiaTheme="minorEastAsia" w:hint="eastAsia"/>
                <w:color w:val="FF0000"/>
                <w:szCs w:val="21"/>
              </w:rPr>
              <w:t>/</w:t>
            </w:r>
          </w:p>
        </w:tc>
        <w:tc>
          <w:tcPr>
            <w:tcW w:w="3878" w:type="dxa"/>
            <w:vAlign w:val="center"/>
          </w:tcPr>
          <w:p w:rsidR="002862AB" w:rsidRPr="005C659E" w:rsidRDefault="00072B2B">
            <w:pPr>
              <w:jc w:val="center"/>
              <w:rPr>
                <w:rFonts w:hAnsi="宋体"/>
                <w:color w:val="FF0000"/>
                <w:szCs w:val="21"/>
              </w:rPr>
            </w:pPr>
            <w:r w:rsidRPr="005C659E">
              <w:rPr>
                <w:rFonts w:hAnsi="宋体" w:hint="eastAsia"/>
                <w:color w:val="FF0000"/>
                <w:szCs w:val="21"/>
              </w:rPr>
              <w:t>场地西北建空压机站一座，选用地面固定式压缩空气设备，选用</w:t>
            </w:r>
            <w:r w:rsidRPr="005C659E">
              <w:rPr>
                <w:rFonts w:hAnsi="宋体" w:hint="eastAsia"/>
                <w:color w:val="FF0000"/>
                <w:szCs w:val="21"/>
              </w:rPr>
              <w:t>4</w:t>
            </w:r>
            <w:r w:rsidRPr="005C659E">
              <w:rPr>
                <w:rFonts w:hAnsi="宋体" w:hint="eastAsia"/>
                <w:color w:val="FF0000"/>
                <w:szCs w:val="21"/>
              </w:rPr>
              <w:t>台</w:t>
            </w:r>
            <w:r w:rsidRPr="005C659E">
              <w:rPr>
                <w:rFonts w:hAnsi="宋体" w:hint="eastAsia"/>
                <w:color w:val="FF0000"/>
                <w:szCs w:val="21"/>
              </w:rPr>
              <w:t>UDT185-8</w:t>
            </w:r>
            <w:r w:rsidRPr="005C659E">
              <w:rPr>
                <w:rFonts w:hAnsi="宋体" w:hint="eastAsia"/>
                <w:color w:val="FF0000"/>
                <w:szCs w:val="21"/>
              </w:rPr>
              <w:t>型螺杆空气压缩机，</w:t>
            </w:r>
            <w:r w:rsidRPr="005C659E">
              <w:rPr>
                <w:rFonts w:hAnsi="宋体" w:hint="eastAsia"/>
                <w:color w:val="FF0000"/>
                <w:szCs w:val="21"/>
              </w:rPr>
              <w:t>3</w:t>
            </w:r>
            <w:r w:rsidRPr="005C659E">
              <w:rPr>
                <w:rFonts w:hAnsi="宋体" w:hint="eastAsia"/>
                <w:color w:val="FF0000"/>
                <w:szCs w:val="21"/>
              </w:rPr>
              <w:t>台工作，</w:t>
            </w:r>
            <w:r w:rsidRPr="005C659E">
              <w:rPr>
                <w:rFonts w:hAnsi="宋体" w:hint="eastAsia"/>
                <w:color w:val="FF0000"/>
                <w:szCs w:val="21"/>
              </w:rPr>
              <w:t>1</w:t>
            </w:r>
            <w:r w:rsidRPr="005C659E">
              <w:rPr>
                <w:rFonts w:hAnsi="宋体" w:hint="eastAsia"/>
                <w:color w:val="FF0000"/>
                <w:szCs w:val="21"/>
              </w:rPr>
              <w:t>台备用</w:t>
            </w:r>
          </w:p>
        </w:tc>
        <w:tc>
          <w:tcPr>
            <w:tcW w:w="1316" w:type="dxa"/>
            <w:vAlign w:val="center"/>
          </w:tcPr>
          <w:p w:rsidR="002862AB" w:rsidRPr="00D96EC8" w:rsidRDefault="002862AB" w:rsidP="00894456">
            <w:pPr>
              <w:pStyle w:val="aff1"/>
              <w:tabs>
                <w:tab w:val="clear" w:pos="5781"/>
              </w:tabs>
              <w:spacing w:line="240" w:lineRule="auto"/>
              <w:ind w:left="0" w:firstLine="0"/>
              <w:jc w:val="center"/>
              <w:rPr>
                <w:rFonts w:eastAsiaTheme="minorEastAsia"/>
                <w:color w:val="FF0000"/>
                <w:sz w:val="21"/>
                <w:szCs w:val="21"/>
              </w:rPr>
            </w:pPr>
            <w:r w:rsidRPr="00D96EC8">
              <w:rPr>
                <w:rFonts w:eastAsiaTheme="minorEastAsia"/>
                <w:color w:val="FF0000"/>
                <w:sz w:val="21"/>
                <w:szCs w:val="21"/>
              </w:rPr>
              <w:t>新建</w:t>
            </w:r>
          </w:p>
        </w:tc>
        <w:tc>
          <w:tcPr>
            <w:tcW w:w="2693" w:type="dxa"/>
            <w:vAlign w:val="center"/>
          </w:tcPr>
          <w:p w:rsidR="002862AB" w:rsidRPr="007E548D" w:rsidRDefault="002862AB" w:rsidP="00894456">
            <w:pPr>
              <w:jc w:val="center"/>
              <w:rPr>
                <w:rFonts w:eastAsiaTheme="minorEastAsia"/>
                <w:color w:val="FF0000"/>
                <w:szCs w:val="21"/>
              </w:rPr>
            </w:pPr>
            <w:r w:rsidRPr="007E548D">
              <w:rPr>
                <w:rFonts w:eastAsiaTheme="minorEastAsia"/>
                <w:color w:val="FF0000"/>
                <w:szCs w:val="21"/>
              </w:rPr>
              <w:t>未建</w:t>
            </w:r>
          </w:p>
        </w:tc>
      </w:tr>
      <w:tr w:rsidR="00D807E3" w:rsidTr="00D807E3">
        <w:trPr>
          <w:trHeight w:val="127"/>
          <w:tblHeader/>
          <w:jc w:val="center"/>
        </w:trPr>
        <w:tc>
          <w:tcPr>
            <w:tcW w:w="640" w:type="dxa"/>
            <w:vMerge/>
            <w:vAlign w:val="center"/>
          </w:tcPr>
          <w:p w:rsidR="00D807E3" w:rsidRDefault="00D807E3" w:rsidP="00D807E3">
            <w:pPr>
              <w:spacing w:line="320" w:lineRule="exact"/>
              <w:jc w:val="center"/>
              <w:rPr>
                <w:szCs w:val="21"/>
              </w:rPr>
            </w:pPr>
          </w:p>
        </w:tc>
        <w:tc>
          <w:tcPr>
            <w:tcW w:w="1042" w:type="dxa"/>
            <w:gridSpan w:val="2"/>
            <w:vAlign w:val="center"/>
          </w:tcPr>
          <w:p w:rsidR="00D807E3" w:rsidRPr="00D807E3" w:rsidRDefault="00D807E3" w:rsidP="00D807E3">
            <w:pPr>
              <w:adjustRightInd w:val="0"/>
              <w:snapToGrid w:val="0"/>
              <w:spacing w:line="260" w:lineRule="exact"/>
              <w:jc w:val="left"/>
              <w:rPr>
                <w:rFonts w:hAnsi="宋体"/>
                <w:color w:val="FF0000"/>
                <w:szCs w:val="21"/>
              </w:rPr>
            </w:pPr>
            <w:r w:rsidRPr="00D807E3">
              <w:rPr>
                <w:rFonts w:hAnsi="宋体" w:hint="eastAsia"/>
                <w:color w:val="FF0000"/>
                <w:szCs w:val="21"/>
              </w:rPr>
              <w:t>危废暂存间（油脂库）</w:t>
            </w:r>
          </w:p>
        </w:tc>
        <w:tc>
          <w:tcPr>
            <w:tcW w:w="4111" w:type="dxa"/>
            <w:vAlign w:val="center"/>
          </w:tcPr>
          <w:p w:rsidR="00D807E3" w:rsidRPr="00D807E3" w:rsidRDefault="00D807E3" w:rsidP="00D807E3">
            <w:pPr>
              <w:adjustRightInd w:val="0"/>
              <w:snapToGrid w:val="0"/>
              <w:spacing w:line="260" w:lineRule="exact"/>
              <w:jc w:val="left"/>
              <w:rPr>
                <w:rFonts w:hAnsi="宋体"/>
                <w:color w:val="FF0000"/>
                <w:szCs w:val="21"/>
              </w:rPr>
            </w:pPr>
            <w:r w:rsidRPr="00D807E3">
              <w:rPr>
                <w:rFonts w:hAnsi="宋体" w:hint="eastAsia"/>
                <w:color w:val="FF0000"/>
                <w:szCs w:val="21"/>
              </w:rPr>
              <w:t>场地西侧设一处危废暂存间（油脂库共建，分区存放）</w:t>
            </w:r>
          </w:p>
        </w:tc>
        <w:tc>
          <w:tcPr>
            <w:tcW w:w="854" w:type="dxa"/>
            <w:vAlign w:val="center"/>
          </w:tcPr>
          <w:p w:rsidR="00D807E3" w:rsidRPr="00D807E3" w:rsidRDefault="00D807E3" w:rsidP="002862AB">
            <w:pPr>
              <w:spacing w:line="240" w:lineRule="exact"/>
              <w:jc w:val="center"/>
              <w:rPr>
                <w:rFonts w:hAnsi="宋体"/>
                <w:color w:val="FF0000"/>
                <w:szCs w:val="21"/>
              </w:rPr>
            </w:pPr>
            <w:r w:rsidRPr="00D807E3">
              <w:rPr>
                <w:rFonts w:hAnsi="宋体" w:hint="eastAsia"/>
                <w:color w:val="FF0000"/>
                <w:szCs w:val="21"/>
              </w:rPr>
              <w:t>建成</w:t>
            </w:r>
            <w:r w:rsidRPr="00D807E3">
              <w:rPr>
                <w:rFonts w:hAnsi="宋体" w:hint="eastAsia"/>
                <w:color w:val="FF0000"/>
                <w:szCs w:val="21"/>
              </w:rPr>
              <w:t>/</w:t>
            </w:r>
          </w:p>
          <w:p w:rsidR="00D807E3" w:rsidRPr="00D807E3" w:rsidRDefault="00D807E3" w:rsidP="002862AB">
            <w:pPr>
              <w:jc w:val="center"/>
              <w:rPr>
                <w:rFonts w:hAnsi="宋体"/>
                <w:color w:val="FF0000"/>
                <w:szCs w:val="21"/>
              </w:rPr>
            </w:pPr>
            <w:r w:rsidRPr="00D807E3">
              <w:rPr>
                <w:rFonts w:hAnsi="宋体" w:hint="eastAsia"/>
                <w:color w:val="FF0000"/>
                <w:szCs w:val="21"/>
              </w:rPr>
              <w:t>拆除</w:t>
            </w:r>
          </w:p>
        </w:tc>
        <w:tc>
          <w:tcPr>
            <w:tcW w:w="3878" w:type="dxa"/>
            <w:vAlign w:val="center"/>
          </w:tcPr>
          <w:p w:rsidR="00D807E3" w:rsidRPr="00D96EC8" w:rsidRDefault="00D807E3" w:rsidP="00D807E3">
            <w:pPr>
              <w:adjustRightInd w:val="0"/>
              <w:snapToGrid w:val="0"/>
              <w:spacing w:line="260" w:lineRule="exact"/>
              <w:jc w:val="center"/>
              <w:rPr>
                <w:rFonts w:hAnsi="宋体"/>
                <w:color w:val="FF0000"/>
                <w:szCs w:val="21"/>
              </w:rPr>
            </w:pPr>
            <w:r w:rsidRPr="00D807E3">
              <w:rPr>
                <w:rFonts w:hAnsi="宋体" w:hint="eastAsia"/>
                <w:color w:val="FF0000"/>
                <w:szCs w:val="21"/>
              </w:rPr>
              <w:t>危废暂存间与油脂库合建，墙体分隔</w:t>
            </w:r>
            <w:r w:rsidRPr="00D807E3">
              <w:rPr>
                <w:rFonts w:hAnsi="宋体" w:hint="eastAsia"/>
                <w:color w:val="FF0000"/>
                <w:szCs w:val="21"/>
              </w:rPr>
              <w:t>,</w:t>
            </w:r>
            <w:r w:rsidRPr="00D807E3">
              <w:rPr>
                <w:rFonts w:hAnsi="宋体" w:hint="eastAsia"/>
                <w:color w:val="FF0000"/>
                <w:szCs w:val="21"/>
              </w:rPr>
              <w:t>分区堆放，</w:t>
            </w:r>
            <w:r w:rsidRPr="00D807E3">
              <w:rPr>
                <w:rFonts w:hAnsi="宋体"/>
                <w:color w:val="FF0000"/>
                <w:szCs w:val="21"/>
              </w:rPr>
              <w:t>地面设置围堰、导流槽和</w:t>
            </w:r>
            <w:r w:rsidR="004507C0" w:rsidRPr="004507C0">
              <w:rPr>
                <w:rFonts w:hAnsi="宋体" w:hint="eastAsia"/>
                <w:color w:val="FF0000"/>
                <w:szCs w:val="21"/>
              </w:rPr>
              <w:t>集油坑</w:t>
            </w:r>
          </w:p>
        </w:tc>
        <w:tc>
          <w:tcPr>
            <w:tcW w:w="1316" w:type="dxa"/>
            <w:vAlign w:val="center"/>
          </w:tcPr>
          <w:p w:rsidR="00D807E3" w:rsidRPr="00D807E3" w:rsidRDefault="00D807E3" w:rsidP="00D807E3">
            <w:pPr>
              <w:pStyle w:val="aff1"/>
              <w:spacing w:line="240" w:lineRule="auto"/>
              <w:ind w:left="0" w:firstLine="0"/>
              <w:jc w:val="center"/>
              <w:rPr>
                <w:rFonts w:hAnsi="宋体"/>
                <w:color w:val="FF0000"/>
                <w:sz w:val="21"/>
                <w:szCs w:val="21"/>
              </w:rPr>
            </w:pPr>
            <w:r w:rsidRPr="00D807E3">
              <w:rPr>
                <w:rFonts w:hAnsi="宋体"/>
                <w:color w:val="FF0000"/>
                <w:sz w:val="21"/>
                <w:szCs w:val="21"/>
              </w:rPr>
              <w:t>新建</w:t>
            </w:r>
          </w:p>
        </w:tc>
        <w:tc>
          <w:tcPr>
            <w:tcW w:w="2693" w:type="dxa"/>
            <w:vAlign w:val="center"/>
          </w:tcPr>
          <w:p w:rsidR="00D807E3" w:rsidRPr="00D807E3" w:rsidRDefault="00D807E3" w:rsidP="00D807E3">
            <w:pPr>
              <w:jc w:val="center"/>
              <w:rPr>
                <w:rFonts w:hAnsi="宋体"/>
                <w:color w:val="FF0000"/>
                <w:szCs w:val="21"/>
              </w:rPr>
            </w:pPr>
            <w:r w:rsidRPr="00D807E3">
              <w:rPr>
                <w:rFonts w:hAnsi="宋体"/>
                <w:color w:val="FF0000"/>
                <w:szCs w:val="21"/>
              </w:rPr>
              <w:t>未建</w:t>
            </w:r>
          </w:p>
        </w:tc>
      </w:tr>
    </w:tbl>
    <w:p w:rsidR="007A39E0" w:rsidRDefault="007A39E0">
      <w:pPr>
        <w:tabs>
          <w:tab w:val="left" w:pos="3885"/>
        </w:tabs>
        <w:topLinePunct/>
        <w:jc w:val="center"/>
        <w:rPr>
          <w:b/>
          <w:sz w:val="24"/>
        </w:rPr>
      </w:pPr>
    </w:p>
    <w:p w:rsidR="00D807E3" w:rsidRDefault="00D807E3">
      <w:pPr>
        <w:tabs>
          <w:tab w:val="left" w:pos="3885"/>
        </w:tabs>
        <w:topLinePunct/>
        <w:jc w:val="center"/>
        <w:rPr>
          <w:b/>
          <w:sz w:val="24"/>
        </w:rPr>
      </w:pPr>
    </w:p>
    <w:p w:rsidR="00C223F5" w:rsidRDefault="005860D5">
      <w:pPr>
        <w:tabs>
          <w:tab w:val="left" w:pos="3885"/>
        </w:tabs>
        <w:topLinePunct/>
        <w:jc w:val="center"/>
        <w:rPr>
          <w:rFonts w:hAnsi="宋体"/>
          <w:b/>
          <w:bCs/>
          <w:sz w:val="24"/>
        </w:rPr>
      </w:pPr>
      <w:r>
        <w:rPr>
          <w:rFonts w:hint="eastAsia"/>
          <w:b/>
          <w:sz w:val="24"/>
        </w:rPr>
        <w:lastRenderedPageBreak/>
        <w:t>续</w:t>
      </w:r>
      <w:r>
        <w:rPr>
          <w:b/>
          <w:sz w:val="24"/>
        </w:rPr>
        <w:t>表</w:t>
      </w:r>
      <w:r>
        <w:rPr>
          <w:rFonts w:hint="eastAsia"/>
          <w:b/>
          <w:sz w:val="24"/>
        </w:rPr>
        <w:t xml:space="preserve">2.1.2-1   </w:t>
      </w:r>
      <w:r>
        <w:rPr>
          <w:rFonts w:hint="eastAsia"/>
          <w:b/>
          <w:sz w:val="24"/>
        </w:rPr>
        <w:t>本</w:t>
      </w:r>
      <w:r>
        <w:rPr>
          <w:rFonts w:hAnsi="宋体"/>
          <w:b/>
          <w:bCs/>
          <w:sz w:val="24"/>
        </w:rPr>
        <w:t>项目</w:t>
      </w:r>
      <w:r>
        <w:rPr>
          <w:rFonts w:hAnsi="宋体" w:hint="eastAsia"/>
          <w:b/>
          <w:bCs/>
          <w:sz w:val="24"/>
        </w:rPr>
        <w:t>整合前后工程</w:t>
      </w:r>
      <w:r>
        <w:rPr>
          <w:rFonts w:hAnsi="宋体"/>
          <w:b/>
          <w:bCs/>
          <w:sz w:val="24"/>
        </w:rPr>
        <w:t>组成</w:t>
      </w:r>
      <w:r>
        <w:rPr>
          <w:rFonts w:hAnsi="宋体" w:hint="eastAsia"/>
          <w:b/>
          <w:bCs/>
          <w:sz w:val="24"/>
        </w:rPr>
        <w:t>及建设情况一览表</w:t>
      </w:r>
    </w:p>
    <w:tbl>
      <w:tblPr>
        <w:tblW w:w="145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1" w:type="dxa"/>
          <w:right w:w="11" w:type="dxa"/>
        </w:tblCellMar>
        <w:tblLook w:val="04A0" w:firstRow="1" w:lastRow="0" w:firstColumn="1" w:lastColumn="0" w:noHBand="0" w:noVBand="1"/>
      </w:tblPr>
      <w:tblGrid>
        <w:gridCol w:w="640"/>
        <w:gridCol w:w="1042"/>
        <w:gridCol w:w="4111"/>
        <w:gridCol w:w="854"/>
        <w:gridCol w:w="3878"/>
        <w:gridCol w:w="1316"/>
        <w:gridCol w:w="2693"/>
      </w:tblGrid>
      <w:tr w:rsidR="00C223F5">
        <w:trPr>
          <w:trHeight w:val="70"/>
          <w:tblHeader/>
          <w:jc w:val="center"/>
        </w:trPr>
        <w:tc>
          <w:tcPr>
            <w:tcW w:w="640" w:type="dxa"/>
            <w:vMerge w:val="restart"/>
            <w:vAlign w:val="center"/>
          </w:tcPr>
          <w:p w:rsidR="00C223F5" w:rsidRDefault="005860D5">
            <w:pPr>
              <w:jc w:val="center"/>
              <w:rPr>
                <w:szCs w:val="21"/>
              </w:rPr>
            </w:pPr>
            <w:r>
              <w:rPr>
                <w:szCs w:val="21"/>
              </w:rPr>
              <w:t>工程</w:t>
            </w:r>
          </w:p>
          <w:p w:rsidR="00C223F5" w:rsidRDefault="005860D5">
            <w:pPr>
              <w:jc w:val="center"/>
              <w:rPr>
                <w:szCs w:val="21"/>
              </w:rPr>
            </w:pPr>
            <w:r>
              <w:rPr>
                <w:szCs w:val="21"/>
              </w:rPr>
              <w:t>类别</w:t>
            </w:r>
          </w:p>
        </w:tc>
        <w:tc>
          <w:tcPr>
            <w:tcW w:w="1042" w:type="dxa"/>
            <w:vMerge w:val="restart"/>
            <w:vAlign w:val="center"/>
          </w:tcPr>
          <w:p w:rsidR="00C223F5" w:rsidRDefault="005860D5">
            <w:pPr>
              <w:jc w:val="center"/>
              <w:rPr>
                <w:szCs w:val="21"/>
              </w:rPr>
            </w:pPr>
            <w:r>
              <w:rPr>
                <w:szCs w:val="21"/>
              </w:rPr>
              <w:t>单项工程</w:t>
            </w:r>
          </w:p>
        </w:tc>
        <w:tc>
          <w:tcPr>
            <w:tcW w:w="4965" w:type="dxa"/>
            <w:gridSpan w:val="2"/>
            <w:vAlign w:val="center"/>
          </w:tcPr>
          <w:p w:rsidR="00C223F5" w:rsidRDefault="005860D5">
            <w:pPr>
              <w:jc w:val="center"/>
              <w:rPr>
                <w:rFonts w:eastAsiaTheme="minorEastAsia" w:hAnsiTheme="minorEastAsia"/>
                <w:szCs w:val="21"/>
              </w:rPr>
            </w:pPr>
            <w:r>
              <w:rPr>
                <w:rFonts w:eastAsiaTheme="minorEastAsia" w:hint="eastAsia"/>
                <w:szCs w:val="21"/>
              </w:rPr>
              <w:t>原天云煤矿工程</w:t>
            </w:r>
          </w:p>
        </w:tc>
        <w:tc>
          <w:tcPr>
            <w:tcW w:w="7887" w:type="dxa"/>
            <w:gridSpan w:val="3"/>
            <w:vAlign w:val="center"/>
          </w:tcPr>
          <w:p w:rsidR="00C223F5" w:rsidRDefault="005860D5">
            <w:pPr>
              <w:jc w:val="center"/>
              <w:rPr>
                <w:rFonts w:eastAsiaTheme="minorEastAsia" w:hAnsiTheme="minorEastAsia"/>
                <w:szCs w:val="21"/>
              </w:rPr>
            </w:pPr>
            <w:r>
              <w:rPr>
                <w:rFonts w:eastAsiaTheme="minorEastAsia" w:hint="eastAsia"/>
                <w:szCs w:val="21"/>
              </w:rPr>
              <w:t>本次整合工程</w:t>
            </w:r>
          </w:p>
        </w:tc>
      </w:tr>
      <w:tr w:rsidR="00C223F5">
        <w:trPr>
          <w:trHeight w:val="65"/>
          <w:tblHeader/>
          <w:jc w:val="center"/>
        </w:trPr>
        <w:tc>
          <w:tcPr>
            <w:tcW w:w="640" w:type="dxa"/>
            <w:vMerge/>
            <w:vAlign w:val="center"/>
          </w:tcPr>
          <w:p w:rsidR="00C223F5" w:rsidRDefault="00C223F5">
            <w:pPr>
              <w:adjustRightInd w:val="0"/>
              <w:snapToGrid w:val="0"/>
              <w:jc w:val="center"/>
              <w:rPr>
                <w:szCs w:val="21"/>
              </w:rPr>
            </w:pPr>
          </w:p>
        </w:tc>
        <w:tc>
          <w:tcPr>
            <w:tcW w:w="1042" w:type="dxa"/>
            <w:vMerge/>
            <w:vAlign w:val="center"/>
          </w:tcPr>
          <w:p w:rsidR="00C223F5" w:rsidRDefault="00C223F5">
            <w:pPr>
              <w:jc w:val="center"/>
              <w:rPr>
                <w:szCs w:val="21"/>
              </w:rPr>
            </w:pPr>
          </w:p>
        </w:tc>
        <w:tc>
          <w:tcPr>
            <w:tcW w:w="4111" w:type="dxa"/>
            <w:vAlign w:val="center"/>
          </w:tcPr>
          <w:p w:rsidR="00C223F5" w:rsidRDefault="005860D5">
            <w:pPr>
              <w:jc w:val="center"/>
              <w:rPr>
                <w:rFonts w:eastAsiaTheme="minorEastAsia"/>
                <w:szCs w:val="21"/>
              </w:rPr>
            </w:pPr>
            <w:r>
              <w:rPr>
                <w:szCs w:val="21"/>
              </w:rPr>
              <w:t>工程内容</w:t>
            </w:r>
          </w:p>
        </w:tc>
        <w:tc>
          <w:tcPr>
            <w:tcW w:w="854" w:type="dxa"/>
            <w:vAlign w:val="center"/>
          </w:tcPr>
          <w:p w:rsidR="00C223F5" w:rsidRDefault="005860D5">
            <w:pPr>
              <w:jc w:val="center"/>
              <w:rPr>
                <w:spacing w:val="-6"/>
                <w:szCs w:val="21"/>
              </w:rPr>
            </w:pPr>
            <w:r>
              <w:rPr>
                <w:rFonts w:hint="eastAsia"/>
                <w:spacing w:val="-6"/>
                <w:szCs w:val="21"/>
              </w:rPr>
              <w:t>后续要求</w:t>
            </w:r>
          </w:p>
        </w:tc>
        <w:tc>
          <w:tcPr>
            <w:tcW w:w="3878" w:type="dxa"/>
            <w:vAlign w:val="center"/>
          </w:tcPr>
          <w:p w:rsidR="00C223F5" w:rsidRDefault="005860D5">
            <w:pPr>
              <w:jc w:val="center"/>
              <w:rPr>
                <w:szCs w:val="21"/>
              </w:rPr>
            </w:pPr>
            <w:r>
              <w:rPr>
                <w:szCs w:val="21"/>
              </w:rPr>
              <w:t>工程内容</w:t>
            </w:r>
          </w:p>
        </w:tc>
        <w:tc>
          <w:tcPr>
            <w:tcW w:w="1316" w:type="dxa"/>
            <w:vAlign w:val="center"/>
          </w:tcPr>
          <w:p w:rsidR="00C223F5" w:rsidRDefault="005860D5">
            <w:pPr>
              <w:jc w:val="center"/>
              <w:rPr>
                <w:szCs w:val="21"/>
              </w:rPr>
            </w:pPr>
            <w:r>
              <w:rPr>
                <w:rFonts w:hint="eastAsia"/>
                <w:szCs w:val="21"/>
              </w:rPr>
              <w:t>依托关系</w:t>
            </w:r>
          </w:p>
        </w:tc>
        <w:tc>
          <w:tcPr>
            <w:tcW w:w="2693" w:type="dxa"/>
            <w:vAlign w:val="center"/>
          </w:tcPr>
          <w:p w:rsidR="00C223F5" w:rsidRDefault="005860D5">
            <w:pPr>
              <w:jc w:val="center"/>
              <w:rPr>
                <w:szCs w:val="21"/>
              </w:rPr>
            </w:pPr>
            <w:r>
              <w:rPr>
                <w:rFonts w:hint="eastAsia"/>
                <w:szCs w:val="21"/>
              </w:rPr>
              <w:t>备注</w:t>
            </w:r>
          </w:p>
        </w:tc>
      </w:tr>
      <w:tr w:rsidR="00C223F5">
        <w:trPr>
          <w:trHeight w:val="614"/>
          <w:tblHeader/>
          <w:jc w:val="center"/>
        </w:trPr>
        <w:tc>
          <w:tcPr>
            <w:tcW w:w="640" w:type="dxa"/>
            <w:vMerge w:val="restart"/>
            <w:vAlign w:val="center"/>
          </w:tcPr>
          <w:p w:rsidR="00C223F5" w:rsidRDefault="005860D5">
            <w:pPr>
              <w:adjustRightInd w:val="0"/>
              <w:snapToGrid w:val="0"/>
              <w:jc w:val="center"/>
              <w:rPr>
                <w:szCs w:val="21"/>
              </w:rPr>
            </w:pPr>
            <w:r>
              <w:rPr>
                <w:szCs w:val="21"/>
              </w:rPr>
              <w:t>公用</w:t>
            </w:r>
          </w:p>
          <w:p w:rsidR="00C223F5" w:rsidRDefault="005860D5">
            <w:pPr>
              <w:spacing w:line="320" w:lineRule="exact"/>
              <w:jc w:val="center"/>
              <w:rPr>
                <w:szCs w:val="21"/>
              </w:rPr>
            </w:pPr>
            <w:r>
              <w:rPr>
                <w:szCs w:val="21"/>
              </w:rPr>
              <w:t>工程</w:t>
            </w:r>
          </w:p>
        </w:tc>
        <w:tc>
          <w:tcPr>
            <w:tcW w:w="1042" w:type="dxa"/>
            <w:vAlign w:val="center"/>
          </w:tcPr>
          <w:p w:rsidR="00C223F5" w:rsidRDefault="005860D5">
            <w:pPr>
              <w:jc w:val="center"/>
              <w:rPr>
                <w:szCs w:val="21"/>
              </w:rPr>
            </w:pPr>
            <w:r>
              <w:rPr>
                <w:szCs w:val="21"/>
              </w:rPr>
              <w:t>供电</w:t>
            </w:r>
          </w:p>
        </w:tc>
        <w:tc>
          <w:tcPr>
            <w:tcW w:w="4111" w:type="dxa"/>
            <w:vAlign w:val="center"/>
          </w:tcPr>
          <w:p w:rsidR="00C223F5" w:rsidRDefault="005860D5">
            <w:pPr>
              <w:autoSpaceDE w:val="0"/>
              <w:autoSpaceDN w:val="0"/>
              <w:adjustRightInd w:val="0"/>
              <w:snapToGrid w:val="0"/>
              <w:jc w:val="left"/>
              <w:rPr>
                <w:kern w:val="0"/>
                <w:position w:val="-1"/>
                <w:szCs w:val="21"/>
              </w:rPr>
            </w:pPr>
            <w:r>
              <w:rPr>
                <w:kern w:val="0"/>
                <w:position w:val="-1"/>
                <w:szCs w:val="21"/>
              </w:rPr>
              <w:t>双回路，</w:t>
            </w:r>
            <w:r>
              <w:rPr>
                <w:rFonts w:hint="eastAsia"/>
                <w:kern w:val="0"/>
                <w:position w:val="-1"/>
                <w:szCs w:val="21"/>
              </w:rPr>
              <w:t>分别</w:t>
            </w:r>
            <w:r>
              <w:rPr>
                <w:kern w:val="0"/>
                <w:position w:val="-1"/>
                <w:szCs w:val="21"/>
              </w:rPr>
              <w:t>引自石湾</w:t>
            </w:r>
            <w:r>
              <w:rPr>
                <w:kern w:val="0"/>
                <w:position w:val="-1"/>
                <w:szCs w:val="21"/>
              </w:rPr>
              <w:t>35KV</w:t>
            </w:r>
            <w:r>
              <w:rPr>
                <w:kern w:val="0"/>
                <w:position w:val="-1"/>
                <w:szCs w:val="21"/>
              </w:rPr>
              <w:t>变电所</w:t>
            </w:r>
            <w:r>
              <w:rPr>
                <w:rFonts w:hint="eastAsia"/>
                <w:kern w:val="0"/>
                <w:position w:val="-1"/>
                <w:szCs w:val="21"/>
              </w:rPr>
              <w:t>和</w:t>
            </w:r>
            <w:r>
              <w:rPr>
                <w:kern w:val="0"/>
                <w:position w:val="-1"/>
                <w:szCs w:val="21"/>
              </w:rPr>
              <w:t>高镇</w:t>
            </w:r>
            <w:r>
              <w:rPr>
                <w:kern w:val="0"/>
                <w:position w:val="-1"/>
                <w:szCs w:val="21"/>
              </w:rPr>
              <w:t>35KV</w:t>
            </w:r>
            <w:r>
              <w:rPr>
                <w:kern w:val="0"/>
                <w:position w:val="-1"/>
                <w:szCs w:val="21"/>
              </w:rPr>
              <w:t>变电所</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C223F5" w:rsidRDefault="005860D5">
            <w:pPr>
              <w:jc w:val="center"/>
              <w:rPr>
                <w:rFonts w:eastAsiaTheme="minorEastAsia" w:hAnsiTheme="minorEastAsia"/>
                <w:szCs w:val="21"/>
              </w:rPr>
            </w:pPr>
            <w:r>
              <w:rPr>
                <w:rFonts w:eastAsiaTheme="minorEastAsia" w:hAnsiTheme="minorEastAsia" w:hint="eastAsia"/>
                <w:szCs w:val="21"/>
              </w:rPr>
              <w:t>改造</w:t>
            </w:r>
          </w:p>
        </w:tc>
        <w:tc>
          <w:tcPr>
            <w:tcW w:w="3878" w:type="dxa"/>
            <w:vAlign w:val="center"/>
          </w:tcPr>
          <w:p w:rsidR="00C223F5" w:rsidRDefault="005860D5">
            <w:pPr>
              <w:jc w:val="center"/>
              <w:rPr>
                <w:rFonts w:ascii="宋体" w:hAnsi="宋体"/>
                <w:szCs w:val="21"/>
              </w:rPr>
            </w:pPr>
            <w:r>
              <w:rPr>
                <w:rFonts w:hint="eastAsia"/>
              </w:rPr>
              <w:t>建一座</w:t>
            </w:r>
            <w:r>
              <w:rPr>
                <w:rFonts w:hint="eastAsia"/>
              </w:rPr>
              <w:t>35/10kV</w:t>
            </w:r>
            <w:r>
              <w:rPr>
                <w:rFonts w:hint="eastAsia"/>
              </w:rPr>
              <w:t>变电站，</w:t>
            </w:r>
            <w:r>
              <w:rPr>
                <w:kern w:val="0"/>
                <w:position w:val="-1"/>
                <w:szCs w:val="21"/>
              </w:rPr>
              <w:t>双回路，</w:t>
            </w:r>
            <w:r>
              <w:rPr>
                <w:rFonts w:hint="eastAsia"/>
              </w:rPr>
              <w:t>分别引自石湾</w:t>
            </w:r>
            <w:r>
              <w:rPr>
                <w:rFonts w:hint="eastAsia"/>
              </w:rPr>
              <w:t>110kV</w:t>
            </w:r>
            <w:r>
              <w:rPr>
                <w:rFonts w:hint="eastAsia"/>
              </w:rPr>
              <w:t>变电站和高镇</w:t>
            </w:r>
            <w:r>
              <w:rPr>
                <w:rFonts w:hint="eastAsia"/>
              </w:rPr>
              <w:t>110kV</w:t>
            </w:r>
            <w:r>
              <w:rPr>
                <w:rFonts w:hint="eastAsia"/>
              </w:rPr>
              <w:t>变电站，导线均采用</w:t>
            </w:r>
            <w:r>
              <w:rPr>
                <w:rFonts w:hint="eastAsia"/>
              </w:rPr>
              <w:t>LGJ-240/3km</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hAnsiTheme="minorEastAsia"/>
                <w:sz w:val="21"/>
                <w:szCs w:val="21"/>
              </w:rPr>
            </w:pPr>
            <w:r>
              <w:rPr>
                <w:rFonts w:eastAsiaTheme="minorEastAsia"/>
                <w:sz w:val="21"/>
                <w:szCs w:val="21"/>
              </w:rPr>
              <w:t>新建</w:t>
            </w:r>
            <w:r>
              <w:rPr>
                <w:rFonts w:eastAsiaTheme="minorEastAsia" w:hint="eastAsia"/>
                <w:sz w:val="21"/>
                <w:szCs w:val="21"/>
              </w:rPr>
              <w:t>+</w:t>
            </w:r>
            <w:r>
              <w:rPr>
                <w:rFonts w:eastAsiaTheme="minorEastAsia" w:hAnsiTheme="minorEastAsia" w:hint="eastAsia"/>
                <w:sz w:val="21"/>
                <w:szCs w:val="21"/>
              </w:rPr>
              <w:t>改造</w:t>
            </w:r>
          </w:p>
        </w:tc>
        <w:tc>
          <w:tcPr>
            <w:tcW w:w="2693" w:type="dxa"/>
            <w:vAlign w:val="center"/>
          </w:tcPr>
          <w:p w:rsidR="00C223F5" w:rsidRDefault="005860D5">
            <w:pPr>
              <w:jc w:val="center"/>
              <w:rPr>
                <w:rFonts w:eastAsiaTheme="minorEastAsia" w:hAnsiTheme="minorEastAsia"/>
                <w:szCs w:val="21"/>
              </w:rPr>
            </w:pPr>
            <w:r>
              <w:rPr>
                <w:rFonts w:eastAsiaTheme="minorEastAsia"/>
                <w:szCs w:val="21"/>
              </w:rPr>
              <w:t>未建</w:t>
            </w:r>
          </w:p>
        </w:tc>
      </w:tr>
      <w:tr w:rsidR="00C223F5">
        <w:trPr>
          <w:trHeight w:val="614"/>
          <w:tblHeader/>
          <w:jc w:val="center"/>
        </w:trPr>
        <w:tc>
          <w:tcPr>
            <w:tcW w:w="640" w:type="dxa"/>
            <w:vMerge/>
            <w:vAlign w:val="center"/>
          </w:tcPr>
          <w:p w:rsidR="00C223F5" w:rsidRDefault="00C223F5">
            <w:pPr>
              <w:spacing w:line="320" w:lineRule="exact"/>
              <w:jc w:val="center"/>
              <w:rPr>
                <w:szCs w:val="21"/>
              </w:rPr>
            </w:pPr>
          </w:p>
        </w:tc>
        <w:tc>
          <w:tcPr>
            <w:tcW w:w="1042" w:type="dxa"/>
            <w:vAlign w:val="center"/>
          </w:tcPr>
          <w:p w:rsidR="00C223F5" w:rsidRDefault="005860D5">
            <w:pPr>
              <w:jc w:val="center"/>
              <w:rPr>
                <w:szCs w:val="21"/>
              </w:rPr>
            </w:pPr>
            <w:r>
              <w:rPr>
                <w:szCs w:val="21"/>
              </w:rPr>
              <w:t>采暖、供热</w:t>
            </w:r>
          </w:p>
        </w:tc>
        <w:tc>
          <w:tcPr>
            <w:tcW w:w="4111" w:type="dxa"/>
            <w:vAlign w:val="center"/>
          </w:tcPr>
          <w:p w:rsidR="00C223F5" w:rsidRDefault="005860D5">
            <w:pPr>
              <w:autoSpaceDE w:val="0"/>
              <w:autoSpaceDN w:val="0"/>
              <w:adjustRightInd w:val="0"/>
              <w:snapToGrid w:val="0"/>
              <w:jc w:val="left"/>
              <w:rPr>
                <w:kern w:val="0"/>
                <w:position w:val="-1"/>
                <w:szCs w:val="21"/>
              </w:rPr>
            </w:pPr>
            <w:r>
              <w:rPr>
                <w:kern w:val="0"/>
                <w:position w:val="-1"/>
                <w:szCs w:val="21"/>
              </w:rPr>
              <w:t>设置一座锅炉房，安装</w:t>
            </w:r>
            <w:r>
              <w:rPr>
                <w:kern w:val="0"/>
                <w:position w:val="-1"/>
                <w:szCs w:val="21"/>
              </w:rPr>
              <w:t>1</w:t>
            </w:r>
            <w:r>
              <w:rPr>
                <w:kern w:val="0"/>
                <w:position w:val="-1"/>
                <w:szCs w:val="21"/>
              </w:rPr>
              <w:t>台</w:t>
            </w:r>
            <w:r>
              <w:rPr>
                <w:szCs w:val="21"/>
              </w:rPr>
              <w:t>NS85-60</w:t>
            </w:r>
            <w:r>
              <w:rPr>
                <w:rFonts w:hAnsi="宋体"/>
                <w:szCs w:val="21"/>
              </w:rPr>
              <w:t>气化节煤环保常压热水锅炉（冬季采暖锅炉）及</w:t>
            </w:r>
            <w:r>
              <w:rPr>
                <w:szCs w:val="21"/>
              </w:rPr>
              <w:t>1</w:t>
            </w:r>
            <w:r>
              <w:rPr>
                <w:rFonts w:hAnsi="宋体"/>
                <w:szCs w:val="21"/>
              </w:rPr>
              <w:t>台</w:t>
            </w:r>
            <w:r>
              <w:rPr>
                <w:szCs w:val="21"/>
              </w:rPr>
              <w:t>CLHG0.20</w:t>
            </w:r>
            <w:r>
              <w:rPr>
                <w:rFonts w:hAnsi="宋体"/>
                <w:szCs w:val="21"/>
              </w:rPr>
              <w:t>常压热水锅炉（洗浴锅炉）；同时设置</w:t>
            </w:r>
            <w:r>
              <w:rPr>
                <w:szCs w:val="21"/>
              </w:rPr>
              <w:t>1</w:t>
            </w:r>
            <w:r>
              <w:rPr>
                <w:rFonts w:hAnsi="宋体"/>
                <w:szCs w:val="21"/>
              </w:rPr>
              <w:t>台</w:t>
            </w:r>
            <w:r>
              <w:rPr>
                <w:szCs w:val="21"/>
              </w:rPr>
              <w:t>RFL-200</w:t>
            </w:r>
            <w:r>
              <w:rPr>
                <w:rFonts w:hAnsi="宋体"/>
                <w:szCs w:val="21"/>
              </w:rPr>
              <w:t>矿用型热风炉</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C223F5" w:rsidRDefault="005860D5">
            <w:pPr>
              <w:jc w:val="center"/>
              <w:rPr>
                <w:rFonts w:eastAsiaTheme="minorEastAsia" w:hAnsiTheme="minorEastAsia"/>
                <w:szCs w:val="21"/>
              </w:rPr>
            </w:pPr>
            <w:r>
              <w:rPr>
                <w:rFonts w:eastAsiaTheme="minorEastAsia" w:hAnsiTheme="minorEastAsia" w:hint="eastAsia"/>
                <w:szCs w:val="21"/>
              </w:rPr>
              <w:t>拆除</w:t>
            </w:r>
          </w:p>
        </w:tc>
        <w:tc>
          <w:tcPr>
            <w:tcW w:w="3878" w:type="dxa"/>
            <w:vAlign w:val="center"/>
          </w:tcPr>
          <w:p w:rsidR="00C223F5" w:rsidRDefault="005860D5">
            <w:pPr>
              <w:jc w:val="center"/>
              <w:rPr>
                <w:rFonts w:ascii="宋体" w:hAnsi="宋体"/>
                <w:szCs w:val="21"/>
              </w:rPr>
            </w:pPr>
            <w:r>
              <w:rPr>
                <w:rFonts w:ascii="宋体" w:hAnsi="宋体" w:hint="eastAsia"/>
                <w:szCs w:val="21"/>
              </w:rPr>
              <w:t>建乏风热泵机房</w:t>
            </w:r>
            <w:r>
              <w:rPr>
                <w:rFonts w:eastAsiaTheme="minorEastAsia" w:hAnsiTheme="minorEastAsia" w:hint="eastAsia"/>
                <w:szCs w:val="21"/>
              </w:rPr>
              <w:t>，</w:t>
            </w:r>
            <w:r>
              <w:t>采用</w:t>
            </w:r>
            <w:r>
              <w:rPr>
                <w:rFonts w:hint="eastAsia"/>
              </w:rPr>
              <w:t>6</w:t>
            </w:r>
            <w:r>
              <w:t>台乏风热泵机组</w:t>
            </w:r>
            <w:r>
              <w:t>+1</w:t>
            </w:r>
            <w:r>
              <w:t>台水源热泵机组</w:t>
            </w:r>
            <w:r>
              <w:t>+1</w:t>
            </w:r>
            <w:r>
              <w:t>台电锅炉供热</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C223F5" w:rsidRDefault="005860D5">
            <w:pPr>
              <w:jc w:val="center"/>
              <w:rPr>
                <w:rFonts w:eastAsiaTheme="minorEastAsia"/>
                <w:szCs w:val="21"/>
              </w:rPr>
            </w:pPr>
            <w:r>
              <w:rPr>
                <w:rFonts w:eastAsiaTheme="minorEastAsia"/>
                <w:szCs w:val="21"/>
              </w:rPr>
              <w:t>未建</w:t>
            </w:r>
          </w:p>
        </w:tc>
      </w:tr>
      <w:tr w:rsidR="00C223F5">
        <w:trPr>
          <w:trHeight w:val="614"/>
          <w:tblHeader/>
          <w:jc w:val="center"/>
        </w:trPr>
        <w:tc>
          <w:tcPr>
            <w:tcW w:w="640" w:type="dxa"/>
            <w:vMerge/>
            <w:vAlign w:val="center"/>
          </w:tcPr>
          <w:p w:rsidR="00C223F5" w:rsidRDefault="00C223F5">
            <w:pPr>
              <w:spacing w:line="320" w:lineRule="exact"/>
              <w:jc w:val="center"/>
              <w:rPr>
                <w:szCs w:val="21"/>
              </w:rPr>
            </w:pPr>
          </w:p>
        </w:tc>
        <w:tc>
          <w:tcPr>
            <w:tcW w:w="1042" w:type="dxa"/>
            <w:vAlign w:val="center"/>
          </w:tcPr>
          <w:p w:rsidR="00C223F5" w:rsidRDefault="005860D5">
            <w:pPr>
              <w:adjustRightInd w:val="0"/>
              <w:snapToGrid w:val="0"/>
              <w:jc w:val="center"/>
              <w:rPr>
                <w:rFonts w:eastAsiaTheme="minorEastAsia"/>
                <w:szCs w:val="21"/>
              </w:rPr>
            </w:pPr>
            <w:r>
              <w:rPr>
                <w:rFonts w:hint="eastAsia"/>
                <w:spacing w:val="4"/>
                <w:szCs w:val="21"/>
              </w:rPr>
              <w:t>供水</w:t>
            </w:r>
          </w:p>
        </w:tc>
        <w:tc>
          <w:tcPr>
            <w:tcW w:w="4111" w:type="dxa"/>
            <w:vAlign w:val="center"/>
          </w:tcPr>
          <w:p w:rsidR="00C223F5" w:rsidRDefault="005860D5">
            <w:pPr>
              <w:autoSpaceDE w:val="0"/>
              <w:autoSpaceDN w:val="0"/>
              <w:adjustRightInd w:val="0"/>
              <w:snapToGrid w:val="0"/>
              <w:jc w:val="left"/>
              <w:rPr>
                <w:rFonts w:eastAsiaTheme="minorEastAsia" w:hAnsiTheme="minorEastAsia"/>
                <w:spacing w:val="-6"/>
                <w:szCs w:val="21"/>
              </w:rPr>
            </w:pPr>
            <w:r>
              <w:rPr>
                <w:rFonts w:eastAsiaTheme="minorEastAsia" w:hAnsiTheme="minorEastAsia" w:hint="eastAsia"/>
                <w:szCs w:val="21"/>
              </w:rPr>
              <w:t>新鲜水由主立井井壁水仓</w:t>
            </w:r>
            <w:r>
              <w:rPr>
                <w:rFonts w:ascii="宋体" w:hAnsi="宋体" w:hint="eastAsia"/>
                <w:szCs w:val="21"/>
              </w:rPr>
              <w:t>供给；</w:t>
            </w:r>
            <w:r>
              <w:rPr>
                <w:rFonts w:eastAsiaTheme="minorEastAsia" w:hAnsiTheme="minorEastAsia" w:hint="eastAsia"/>
                <w:spacing w:val="-6"/>
                <w:szCs w:val="21"/>
              </w:rPr>
              <w:t>井下排水</w:t>
            </w:r>
          </w:p>
          <w:p w:rsidR="00C223F5" w:rsidRDefault="005860D5">
            <w:pPr>
              <w:autoSpaceDE w:val="0"/>
              <w:autoSpaceDN w:val="0"/>
              <w:adjustRightInd w:val="0"/>
              <w:snapToGrid w:val="0"/>
              <w:jc w:val="left"/>
              <w:rPr>
                <w:kern w:val="0"/>
                <w:position w:val="-1"/>
                <w:szCs w:val="21"/>
              </w:rPr>
            </w:pPr>
            <w:r>
              <w:rPr>
                <w:rFonts w:eastAsiaTheme="minorEastAsia" w:hAnsiTheme="minorEastAsia" w:hint="eastAsia"/>
                <w:spacing w:val="-6"/>
                <w:szCs w:val="21"/>
              </w:rPr>
              <w:t>作生产防尘、绿化用水水源</w:t>
            </w:r>
          </w:p>
        </w:tc>
        <w:tc>
          <w:tcPr>
            <w:tcW w:w="854" w:type="dxa"/>
            <w:vAlign w:val="center"/>
          </w:tcPr>
          <w:p w:rsidR="00C223F5" w:rsidRDefault="005860D5">
            <w:pPr>
              <w:jc w:val="center"/>
              <w:rPr>
                <w:rFonts w:eastAsiaTheme="minorEastAsia"/>
                <w:szCs w:val="21"/>
              </w:rPr>
            </w:pPr>
            <w:r>
              <w:rPr>
                <w:rFonts w:eastAsiaTheme="minorEastAsia"/>
                <w:szCs w:val="21"/>
              </w:rPr>
              <w:t>建成</w:t>
            </w:r>
            <w:r>
              <w:rPr>
                <w:rFonts w:eastAsiaTheme="minorEastAsia"/>
                <w:szCs w:val="21"/>
              </w:rPr>
              <w:t>/</w:t>
            </w:r>
          </w:p>
          <w:p w:rsidR="00C223F5" w:rsidRDefault="005860D5">
            <w:pPr>
              <w:jc w:val="center"/>
              <w:rPr>
                <w:rFonts w:eastAsiaTheme="minorEastAsia" w:hAnsiTheme="minorEastAsia"/>
                <w:szCs w:val="21"/>
              </w:rPr>
            </w:pPr>
            <w:r>
              <w:rPr>
                <w:rFonts w:eastAsiaTheme="minorEastAsia"/>
                <w:szCs w:val="21"/>
              </w:rPr>
              <w:t>废弃</w:t>
            </w:r>
          </w:p>
        </w:tc>
        <w:tc>
          <w:tcPr>
            <w:tcW w:w="3878" w:type="dxa"/>
            <w:vAlign w:val="center"/>
          </w:tcPr>
          <w:p w:rsidR="00C223F5" w:rsidRDefault="005860D5">
            <w:pPr>
              <w:jc w:val="center"/>
              <w:rPr>
                <w:rFonts w:ascii="宋体" w:hAnsi="宋体"/>
                <w:szCs w:val="21"/>
              </w:rPr>
            </w:pPr>
            <w:r>
              <w:rPr>
                <w:rFonts w:hint="eastAsia"/>
                <w:szCs w:val="21"/>
              </w:rPr>
              <w:t>生活水源由横山县自来水公司魏家楼自来水供应站供给，</w:t>
            </w:r>
            <w:r>
              <w:rPr>
                <w:rFonts w:eastAsiaTheme="minorEastAsia" w:hAnsiTheme="minorEastAsia" w:hint="eastAsia"/>
                <w:szCs w:val="21"/>
              </w:rPr>
              <w:t>生产用水利用处理达标的生活污水和矿井水</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C223F5" w:rsidRDefault="005860D5">
            <w:pPr>
              <w:jc w:val="center"/>
              <w:rPr>
                <w:rFonts w:eastAsiaTheme="minorEastAsia"/>
                <w:szCs w:val="21"/>
              </w:rPr>
            </w:pPr>
            <w:r>
              <w:rPr>
                <w:rFonts w:eastAsiaTheme="minorEastAsia"/>
                <w:szCs w:val="21"/>
              </w:rPr>
              <w:t>未建</w:t>
            </w:r>
          </w:p>
        </w:tc>
      </w:tr>
      <w:tr w:rsidR="00C223F5">
        <w:trPr>
          <w:trHeight w:val="614"/>
          <w:tblHeader/>
          <w:jc w:val="center"/>
        </w:trPr>
        <w:tc>
          <w:tcPr>
            <w:tcW w:w="640" w:type="dxa"/>
            <w:vMerge/>
            <w:vAlign w:val="center"/>
          </w:tcPr>
          <w:p w:rsidR="00C223F5" w:rsidRDefault="00C223F5">
            <w:pPr>
              <w:spacing w:line="320" w:lineRule="exact"/>
              <w:jc w:val="center"/>
              <w:rPr>
                <w:szCs w:val="21"/>
              </w:rPr>
            </w:pPr>
          </w:p>
        </w:tc>
        <w:tc>
          <w:tcPr>
            <w:tcW w:w="1042" w:type="dxa"/>
            <w:vAlign w:val="center"/>
          </w:tcPr>
          <w:p w:rsidR="00C223F5" w:rsidRDefault="005860D5">
            <w:pPr>
              <w:jc w:val="center"/>
              <w:rPr>
                <w:spacing w:val="4"/>
                <w:szCs w:val="21"/>
              </w:rPr>
            </w:pPr>
            <w:r>
              <w:rPr>
                <w:rFonts w:hint="eastAsia"/>
                <w:spacing w:val="4"/>
                <w:szCs w:val="21"/>
              </w:rPr>
              <w:t>排水</w:t>
            </w:r>
          </w:p>
        </w:tc>
        <w:tc>
          <w:tcPr>
            <w:tcW w:w="4111" w:type="dxa"/>
            <w:vAlign w:val="center"/>
          </w:tcPr>
          <w:p w:rsidR="00C223F5" w:rsidRDefault="005860D5">
            <w:pPr>
              <w:autoSpaceDE w:val="0"/>
              <w:autoSpaceDN w:val="0"/>
              <w:adjustRightInd w:val="0"/>
              <w:snapToGrid w:val="0"/>
              <w:jc w:val="left"/>
              <w:rPr>
                <w:kern w:val="0"/>
                <w:position w:val="-1"/>
                <w:szCs w:val="21"/>
              </w:rPr>
            </w:pPr>
            <w:r>
              <w:rPr>
                <w:rFonts w:hint="eastAsia"/>
                <w:spacing w:val="4"/>
                <w:szCs w:val="21"/>
              </w:rPr>
              <w:t>地面生活污水处理达标后全部回用；矿井水处理达标后回用于井下和地面生产，其余经管道排至蚂蚁河；场地南侧施阳台村蚂蚁河左岸设置有排污口，</w:t>
            </w:r>
            <w:r>
              <w:rPr>
                <w:rFonts w:hAnsi="宋体"/>
                <w:szCs w:val="21"/>
              </w:rPr>
              <w:t>安装流量表及视频监控</w:t>
            </w:r>
          </w:p>
        </w:tc>
        <w:tc>
          <w:tcPr>
            <w:tcW w:w="854" w:type="dxa"/>
            <w:vAlign w:val="center"/>
          </w:tcPr>
          <w:p w:rsidR="00C223F5" w:rsidRDefault="005860D5">
            <w:pPr>
              <w:jc w:val="center"/>
              <w:rPr>
                <w:rFonts w:eastAsiaTheme="minorEastAsia"/>
                <w:szCs w:val="21"/>
              </w:rPr>
            </w:pPr>
            <w:r>
              <w:rPr>
                <w:rFonts w:eastAsiaTheme="minorEastAsia"/>
                <w:szCs w:val="21"/>
              </w:rPr>
              <w:t>建成</w:t>
            </w:r>
            <w:r>
              <w:rPr>
                <w:rFonts w:eastAsiaTheme="minorEastAsia"/>
                <w:szCs w:val="21"/>
              </w:rPr>
              <w:t>/</w:t>
            </w:r>
          </w:p>
          <w:p w:rsidR="00C223F5" w:rsidRDefault="005860D5">
            <w:pPr>
              <w:jc w:val="center"/>
              <w:rPr>
                <w:rFonts w:eastAsiaTheme="minorEastAsia" w:hAnsiTheme="minorEastAsia"/>
                <w:szCs w:val="21"/>
              </w:rPr>
            </w:pPr>
            <w:r>
              <w:rPr>
                <w:rFonts w:eastAsiaTheme="minorEastAsia" w:hint="eastAsia"/>
                <w:szCs w:val="21"/>
              </w:rPr>
              <w:t>利用</w:t>
            </w:r>
          </w:p>
        </w:tc>
        <w:tc>
          <w:tcPr>
            <w:tcW w:w="3878" w:type="dxa"/>
            <w:vAlign w:val="center"/>
          </w:tcPr>
          <w:p w:rsidR="00C223F5" w:rsidRDefault="005860D5">
            <w:pPr>
              <w:jc w:val="center"/>
              <w:rPr>
                <w:rFonts w:ascii="宋体" w:hAnsi="宋体"/>
                <w:szCs w:val="21"/>
              </w:rPr>
            </w:pPr>
            <w:r>
              <w:rPr>
                <w:spacing w:val="4"/>
                <w:szCs w:val="21"/>
              </w:rPr>
              <w:t>生活污水经处理达标后全部</w:t>
            </w:r>
            <w:r>
              <w:rPr>
                <w:rFonts w:hint="eastAsia"/>
                <w:spacing w:val="4"/>
                <w:szCs w:val="21"/>
              </w:rPr>
              <w:t>回用；</w:t>
            </w:r>
            <w:r>
              <w:rPr>
                <w:spacing w:val="4"/>
                <w:szCs w:val="21"/>
              </w:rPr>
              <w:t>井下排水经处理达标后</w:t>
            </w:r>
            <w:r>
              <w:rPr>
                <w:rFonts w:hint="eastAsia"/>
                <w:spacing w:val="4"/>
                <w:szCs w:val="21"/>
              </w:rPr>
              <w:t>部分</w:t>
            </w:r>
            <w:r>
              <w:rPr>
                <w:spacing w:val="4"/>
                <w:szCs w:val="21"/>
              </w:rPr>
              <w:t>回用</w:t>
            </w:r>
            <w:r w:rsidRPr="00C807E8">
              <w:rPr>
                <w:color w:val="FF0000"/>
                <w:spacing w:val="4"/>
                <w:szCs w:val="21"/>
              </w:rPr>
              <w:t>于</w:t>
            </w:r>
            <w:r w:rsidRPr="00C807E8">
              <w:rPr>
                <w:rFonts w:hint="eastAsia"/>
                <w:color w:val="FF0000"/>
                <w:spacing w:val="4"/>
                <w:szCs w:val="21"/>
              </w:rPr>
              <w:t>生产</w:t>
            </w:r>
            <w:r>
              <w:rPr>
                <w:rFonts w:hint="eastAsia"/>
                <w:spacing w:val="4"/>
                <w:szCs w:val="21"/>
              </w:rPr>
              <w:t>，其余经排污口排至蚂蚁河，排污口位置（经度</w:t>
            </w:r>
            <w:r>
              <w:rPr>
                <w:rFonts w:hint="eastAsia"/>
                <w:szCs w:val="21"/>
              </w:rPr>
              <w:t>109</w:t>
            </w:r>
            <w:r>
              <w:rPr>
                <w:szCs w:val="21"/>
              </w:rPr>
              <w:t>°</w:t>
            </w:r>
            <w:r>
              <w:rPr>
                <w:rFonts w:hint="eastAsia"/>
                <w:szCs w:val="21"/>
              </w:rPr>
              <w:t>27</w:t>
            </w:r>
            <w:r>
              <w:rPr>
                <w:szCs w:val="21"/>
              </w:rPr>
              <w:t>′</w:t>
            </w:r>
            <w:r>
              <w:rPr>
                <w:rFonts w:hint="eastAsia"/>
                <w:szCs w:val="21"/>
              </w:rPr>
              <w:t>34</w:t>
            </w:r>
            <w:r>
              <w:rPr>
                <w:szCs w:val="21"/>
              </w:rPr>
              <w:t>″</w:t>
            </w:r>
            <w:r>
              <w:rPr>
                <w:rFonts w:hint="eastAsia"/>
                <w:spacing w:val="4"/>
                <w:szCs w:val="21"/>
              </w:rPr>
              <w:t>，纬度</w:t>
            </w:r>
            <w:r>
              <w:rPr>
                <w:szCs w:val="21"/>
              </w:rPr>
              <w:t>37°3</w:t>
            </w:r>
            <w:r>
              <w:rPr>
                <w:rFonts w:hint="eastAsia"/>
                <w:szCs w:val="21"/>
              </w:rPr>
              <w:t>3</w:t>
            </w:r>
            <w:r>
              <w:rPr>
                <w:szCs w:val="21"/>
              </w:rPr>
              <w:t>′</w:t>
            </w:r>
            <w:r>
              <w:rPr>
                <w:rFonts w:hint="eastAsia"/>
                <w:szCs w:val="21"/>
              </w:rPr>
              <w:t>38</w:t>
            </w:r>
            <w:r>
              <w:rPr>
                <w:szCs w:val="21"/>
              </w:rPr>
              <w:t>″</w:t>
            </w:r>
            <w:r>
              <w:rPr>
                <w:rFonts w:hint="eastAsia"/>
                <w:spacing w:val="4"/>
                <w:szCs w:val="21"/>
              </w:rPr>
              <w:t>）</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r>
              <w:rPr>
                <w:rFonts w:eastAsiaTheme="minorEastAsia" w:hint="eastAsia"/>
                <w:sz w:val="21"/>
                <w:szCs w:val="21"/>
              </w:rPr>
              <w:t>+</w:t>
            </w:r>
            <w:r>
              <w:rPr>
                <w:rFonts w:eastAsiaTheme="minorEastAsia" w:hint="eastAsia"/>
                <w:sz w:val="21"/>
                <w:szCs w:val="21"/>
              </w:rPr>
              <w:t>利用</w:t>
            </w:r>
          </w:p>
        </w:tc>
        <w:tc>
          <w:tcPr>
            <w:tcW w:w="2693" w:type="dxa"/>
            <w:vAlign w:val="center"/>
          </w:tcPr>
          <w:p w:rsidR="00C223F5" w:rsidRDefault="005860D5">
            <w:pPr>
              <w:jc w:val="center"/>
              <w:rPr>
                <w:rFonts w:eastAsiaTheme="minorEastAsia"/>
                <w:szCs w:val="21"/>
              </w:rPr>
            </w:pPr>
            <w:r>
              <w:rPr>
                <w:rFonts w:eastAsiaTheme="minorEastAsia"/>
                <w:szCs w:val="21"/>
              </w:rPr>
              <w:t>未建</w:t>
            </w:r>
          </w:p>
        </w:tc>
      </w:tr>
      <w:tr w:rsidR="00C223F5">
        <w:trPr>
          <w:trHeight w:val="614"/>
          <w:tblHeader/>
          <w:jc w:val="center"/>
        </w:trPr>
        <w:tc>
          <w:tcPr>
            <w:tcW w:w="640" w:type="dxa"/>
            <w:vMerge w:val="restart"/>
            <w:vAlign w:val="center"/>
          </w:tcPr>
          <w:p w:rsidR="00C223F5" w:rsidRDefault="005860D5">
            <w:pPr>
              <w:spacing w:line="320" w:lineRule="exact"/>
              <w:jc w:val="center"/>
              <w:rPr>
                <w:szCs w:val="21"/>
              </w:rPr>
            </w:pPr>
            <w:r>
              <w:rPr>
                <w:rFonts w:eastAsiaTheme="minorEastAsia"/>
                <w:szCs w:val="21"/>
              </w:rPr>
              <w:t>环保工程</w:t>
            </w:r>
          </w:p>
        </w:tc>
        <w:tc>
          <w:tcPr>
            <w:tcW w:w="1042" w:type="dxa"/>
            <w:vAlign w:val="center"/>
          </w:tcPr>
          <w:p w:rsidR="00C223F5" w:rsidRDefault="005860D5">
            <w:pPr>
              <w:jc w:val="center"/>
              <w:rPr>
                <w:spacing w:val="4"/>
                <w:szCs w:val="21"/>
              </w:rPr>
            </w:pPr>
            <w:r>
              <w:rPr>
                <w:rFonts w:hint="eastAsia"/>
                <w:spacing w:val="4"/>
                <w:szCs w:val="21"/>
              </w:rPr>
              <w:t>锅炉烟气治理</w:t>
            </w:r>
          </w:p>
        </w:tc>
        <w:tc>
          <w:tcPr>
            <w:tcW w:w="4111" w:type="dxa"/>
            <w:vAlign w:val="center"/>
          </w:tcPr>
          <w:p w:rsidR="00C223F5" w:rsidRDefault="005860D5">
            <w:pPr>
              <w:autoSpaceDE w:val="0"/>
              <w:autoSpaceDN w:val="0"/>
              <w:adjustRightInd w:val="0"/>
              <w:snapToGrid w:val="0"/>
              <w:jc w:val="left"/>
              <w:rPr>
                <w:kern w:val="0"/>
                <w:position w:val="-1"/>
                <w:szCs w:val="21"/>
              </w:rPr>
            </w:pPr>
            <w:r>
              <w:rPr>
                <w:rFonts w:hAnsi="宋体" w:hint="eastAsia"/>
                <w:color w:val="000000"/>
                <w:szCs w:val="21"/>
              </w:rPr>
              <w:t>热风炉烟尘采用</w:t>
            </w:r>
            <w:r>
              <w:rPr>
                <w:rFonts w:hint="eastAsia"/>
                <w:szCs w:val="21"/>
              </w:rPr>
              <w:t>多管陶瓷除尘设备、脱硫设备</w:t>
            </w:r>
            <w:r>
              <w:rPr>
                <w:rFonts w:hint="eastAsia"/>
                <w:szCs w:val="21"/>
              </w:rPr>
              <w:t>-</w:t>
            </w:r>
            <w:r>
              <w:rPr>
                <w:rFonts w:hint="eastAsia"/>
                <w:szCs w:val="21"/>
              </w:rPr>
              <w:t>玻璃钢脱硫塔处理</w:t>
            </w:r>
            <w:r>
              <w:rPr>
                <w:rFonts w:hAnsi="宋体" w:hint="eastAsia"/>
                <w:color w:val="000000"/>
                <w:szCs w:val="21"/>
              </w:rPr>
              <w:t>，经高</w:t>
            </w:r>
            <w:r>
              <w:rPr>
                <w:rFonts w:hAnsi="宋体" w:hint="eastAsia"/>
                <w:color w:val="000000"/>
                <w:szCs w:val="21"/>
              </w:rPr>
              <w:t>16m</w:t>
            </w:r>
            <w:r>
              <w:rPr>
                <w:rFonts w:hAnsi="宋体" w:hint="eastAsia"/>
                <w:color w:val="000000"/>
                <w:szCs w:val="21"/>
              </w:rPr>
              <w:t>烟囱排放；</w:t>
            </w:r>
            <w:r>
              <w:rPr>
                <w:rFonts w:hAnsi="宋体" w:hint="eastAsia"/>
                <w:color w:val="000000"/>
                <w:szCs w:val="21"/>
              </w:rPr>
              <w:t>2</w:t>
            </w:r>
            <w:r>
              <w:rPr>
                <w:rFonts w:hAnsi="宋体" w:hint="eastAsia"/>
                <w:color w:val="000000"/>
                <w:szCs w:val="21"/>
              </w:rPr>
              <w:t>台常压热水锅炉烟尘经</w:t>
            </w:r>
            <w:r>
              <w:rPr>
                <w:rFonts w:hAnsi="宋体" w:hint="eastAsia"/>
                <w:color w:val="000000"/>
                <w:szCs w:val="21"/>
              </w:rPr>
              <w:t>1</w:t>
            </w:r>
            <w:r>
              <w:rPr>
                <w:rFonts w:hAnsi="宋体" w:hint="eastAsia"/>
                <w:color w:val="000000"/>
                <w:szCs w:val="21"/>
              </w:rPr>
              <w:t>套</w:t>
            </w:r>
            <w:r>
              <w:rPr>
                <w:rFonts w:hAnsi="宋体" w:hint="eastAsia"/>
                <w:color w:val="000000"/>
                <w:szCs w:val="21"/>
              </w:rPr>
              <w:t>XTD-2TI</w:t>
            </w:r>
            <w:r>
              <w:rPr>
                <w:rFonts w:hAnsi="宋体" w:hint="eastAsia"/>
                <w:color w:val="000000"/>
                <w:szCs w:val="21"/>
              </w:rPr>
              <w:t>型多管陶瓷除尘</w:t>
            </w:r>
            <w:r>
              <w:rPr>
                <w:rFonts w:hAnsi="宋体" w:hint="eastAsia"/>
                <w:color w:val="000000"/>
                <w:szCs w:val="21"/>
              </w:rPr>
              <w:t>+1</w:t>
            </w:r>
            <w:r>
              <w:rPr>
                <w:rFonts w:hAnsi="宋体" w:hint="eastAsia"/>
                <w:color w:val="000000"/>
                <w:szCs w:val="21"/>
              </w:rPr>
              <w:t>套</w:t>
            </w:r>
            <w:r>
              <w:rPr>
                <w:rFonts w:hint="eastAsia"/>
                <w:szCs w:val="21"/>
              </w:rPr>
              <w:t>XL-4T</w:t>
            </w:r>
            <w:r>
              <w:rPr>
                <w:rFonts w:hint="eastAsia"/>
                <w:szCs w:val="21"/>
              </w:rPr>
              <w:t>脱硫设备</w:t>
            </w:r>
            <w:r>
              <w:rPr>
                <w:rFonts w:hAnsi="宋体" w:hint="eastAsia"/>
                <w:color w:val="000000"/>
                <w:szCs w:val="21"/>
              </w:rPr>
              <w:t>处理，</w:t>
            </w:r>
            <w:r>
              <w:rPr>
                <w:rFonts w:hint="eastAsia"/>
                <w:szCs w:val="21"/>
              </w:rPr>
              <w:t>由一根高</w:t>
            </w:r>
            <w:r>
              <w:rPr>
                <w:rFonts w:hint="eastAsia"/>
                <w:szCs w:val="21"/>
              </w:rPr>
              <w:t>22m</w:t>
            </w:r>
            <w:r>
              <w:rPr>
                <w:rFonts w:hint="eastAsia"/>
                <w:szCs w:val="21"/>
              </w:rPr>
              <w:t>的烟囱排放</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C223F5" w:rsidRDefault="005860D5">
            <w:pPr>
              <w:jc w:val="center"/>
              <w:rPr>
                <w:rFonts w:eastAsiaTheme="minorEastAsia" w:hAnsiTheme="minorEastAsia"/>
                <w:szCs w:val="21"/>
              </w:rPr>
            </w:pPr>
            <w:r>
              <w:rPr>
                <w:rFonts w:eastAsiaTheme="minorEastAsia" w:hAnsiTheme="minorEastAsia" w:hint="eastAsia"/>
                <w:szCs w:val="21"/>
              </w:rPr>
              <w:t>拆除</w:t>
            </w:r>
          </w:p>
        </w:tc>
        <w:tc>
          <w:tcPr>
            <w:tcW w:w="3878" w:type="dxa"/>
            <w:vAlign w:val="center"/>
          </w:tcPr>
          <w:p w:rsidR="00C223F5" w:rsidRDefault="005860D5">
            <w:pPr>
              <w:jc w:val="center"/>
              <w:rPr>
                <w:rFonts w:ascii="宋体" w:hAnsi="宋体"/>
                <w:szCs w:val="21"/>
              </w:rPr>
            </w:pPr>
            <w:r>
              <w:rPr>
                <w:rFonts w:ascii="宋体" w:hAnsi="宋体" w:hint="eastAsia"/>
                <w:szCs w:val="21"/>
              </w:rPr>
              <w:t>/</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hAnsiTheme="minorEastAsia"/>
                <w:sz w:val="21"/>
                <w:szCs w:val="21"/>
              </w:rPr>
            </w:pPr>
            <w:r>
              <w:rPr>
                <w:rFonts w:eastAsiaTheme="minorEastAsia" w:hAnsiTheme="minorEastAsia" w:hint="eastAsia"/>
                <w:sz w:val="21"/>
                <w:szCs w:val="21"/>
              </w:rPr>
              <w:t>/</w:t>
            </w:r>
          </w:p>
        </w:tc>
        <w:tc>
          <w:tcPr>
            <w:tcW w:w="2693"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w:t>
            </w:r>
          </w:p>
        </w:tc>
      </w:tr>
      <w:tr w:rsidR="00C223F5">
        <w:trPr>
          <w:trHeight w:val="614"/>
          <w:tblHeader/>
          <w:jc w:val="center"/>
        </w:trPr>
        <w:tc>
          <w:tcPr>
            <w:tcW w:w="640" w:type="dxa"/>
            <w:vMerge/>
            <w:vAlign w:val="center"/>
          </w:tcPr>
          <w:p w:rsidR="00C223F5" w:rsidRDefault="00C223F5">
            <w:pPr>
              <w:spacing w:line="320" w:lineRule="exact"/>
              <w:jc w:val="center"/>
              <w:rPr>
                <w:szCs w:val="21"/>
              </w:rPr>
            </w:pPr>
          </w:p>
        </w:tc>
        <w:tc>
          <w:tcPr>
            <w:tcW w:w="1042" w:type="dxa"/>
            <w:vAlign w:val="center"/>
          </w:tcPr>
          <w:p w:rsidR="00C223F5" w:rsidRDefault="005860D5">
            <w:pPr>
              <w:jc w:val="center"/>
              <w:rPr>
                <w:spacing w:val="4"/>
                <w:szCs w:val="21"/>
              </w:rPr>
            </w:pPr>
            <w:r>
              <w:rPr>
                <w:szCs w:val="21"/>
              </w:rPr>
              <w:t>生产系统防尘</w:t>
            </w:r>
          </w:p>
        </w:tc>
        <w:tc>
          <w:tcPr>
            <w:tcW w:w="4111" w:type="dxa"/>
            <w:vAlign w:val="center"/>
          </w:tcPr>
          <w:p w:rsidR="00C223F5" w:rsidRDefault="005860D5">
            <w:pPr>
              <w:autoSpaceDE w:val="0"/>
              <w:autoSpaceDN w:val="0"/>
              <w:adjustRightInd w:val="0"/>
              <w:snapToGrid w:val="0"/>
              <w:jc w:val="left"/>
              <w:rPr>
                <w:kern w:val="0"/>
                <w:position w:val="-1"/>
                <w:szCs w:val="21"/>
              </w:rPr>
            </w:pPr>
            <w:r>
              <w:rPr>
                <w:rFonts w:hAnsi="宋体" w:hint="eastAsia"/>
                <w:color w:val="000000"/>
                <w:szCs w:val="21"/>
              </w:rPr>
              <w:t>建设全封闭煤棚</w:t>
            </w:r>
            <w:r>
              <w:rPr>
                <w:rFonts w:hAnsi="宋体" w:hint="eastAsia"/>
                <w:color w:val="000000"/>
                <w:szCs w:val="21"/>
              </w:rPr>
              <w:t>4000</w:t>
            </w:r>
            <w:r>
              <w:rPr>
                <w:szCs w:val="21"/>
              </w:rPr>
              <w:t>m</w:t>
            </w:r>
            <w:r>
              <w:rPr>
                <w:szCs w:val="21"/>
                <w:vertAlign w:val="superscript"/>
              </w:rPr>
              <w:t>2</w:t>
            </w:r>
            <w:r>
              <w:rPr>
                <w:rFonts w:hint="eastAsia"/>
                <w:szCs w:val="21"/>
              </w:rPr>
              <w:t>，</w:t>
            </w:r>
            <w:r>
              <w:rPr>
                <w:rFonts w:hAnsi="宋体" w:hint="eastAsia"/>
                <w:color w:val="000000"/>
                <w:szCs w:val="21"/>
              </w:rPr>
              <w:t>煤尘防护网长</w:t>
            </w:r>
            <w:r>
              <w:rPr>
                <w:rFonts w:hAnsi="宋体" w:hint="eastAsia"/>
                <w:color w:val="000000"/>
                <w:szCs w:val="21"/>
              </w:rPr>
              <w:t>800m</w:t>
            </w:r>
            <w:r>
              <w:rPr>
                <w:rFonts w:hAnsi="宋体" w:hint="eastAsia"/>
                <w:color w:val="000000"/>
                <w:szCs w:val="21"/>
              </w:rPr>
              <w:t>、高</w:t>
            </w:r>
            <w:r>
              <w:rPr>
                <w:rFonts w:hAnsi="宋体" w:hint="eastAsia"/>
                <w:color w:val="000000"/>
                <w:szCs w:val="21"/>
              </w:rPr>
              <w:t>14m</w:t>
            </w:r>
            <w:r>
              <w:rPr>
                <w:rFonts w:hAnsi="宋体" w:hint="eastAsia"/>
                <w:color w:val="000000"/>
                <w:szCs w:val="21"/>
              </w:rPr>
              <w:t>；设管道雾化喷淋，雾炮及洒水车</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C223F5" w:rsidRDefault="005860D5">
            <w:pPr>
              <w:jc w:val="center"/>
              <w:rPr>
                <w:rFonts w:eastAsiaTheme="minorEastAsia" w:hAnsiTheme="minorEastAsia"/>
                <w:szCs w:val="21"/>
              </w:rPr>
            </w:pPr>
            <w:r>
              <w:rPr>
                <w:rFonts w:eastAsiaTheme="minorEastAsia" w:hAnsiTheme="minorEastAsia" w:hint="eastAsia"/>
                <w:szCs w:val="21"/>
              </w:rPr>
              <w:t>拆除</w:t>
            </w:r>
          </w:p>
        </w:tc>
        <w:tc>
          <w:tcPr>
            <w:tcW w:w="3878" w:type="dxa"/>
            <w:vAlign w:val="center"/>
          </w:tcPr>
          <w:p w:rsidR="00C223F5" w:rsidRDefault="005860D5">
            <w:pPr>
              <w:jc w:val="center"/>
              <w:rPr>
                <w:rFonts w:ascii="宋体" w:hAnsi="宋体"/>
                <w:szCs w:val="21"/>
              </w:rPr>
            </w:pPr>
            <w:r>
              <w:rPr>
                <w:rFonts w:hAnsi="宋体" w:hint="eastAsia"/>
                <w:szCs w:val="21"/>
              </w:rPr>
              <w:t>采用密闭带式输送机，落煤口及输煤皮带机头</w:t>
            </w:r>
            <w:r>
              <w:rPr>
                <w:rFonts w:hAnsi="宋体"/>
                <w:szCs w:val="21"/>
              </w:rPr>
              <w:t>等设</w:t>
            </w:r>
            <w:r>
              <w:rPr>
                <w:rFonts w:hAnsi="宋体" w:hint="eastAsia"/>
                <w:szCs w:val="21"/>
              </w:rPr>
              <w:t>喷头；筛破系统位于车间内，筛分设备加装集尘设施及干雾抑尘设备，主厂房设干雾抑尘设备；原煤、产品及选矸均采用仓储</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C223F5" w:rsidRDefault="005860D5">
            <w:pPr>
              <w:jc w:val="center"/>
              <w:rPr>
                <w:rFonts w:eastAsiaTheme="minorEastAsia"/>
                <w:szCs w:val="21"/>
              </w:rPr>
            </w:pPr>
            <w:r>
              <w:rPr>
                <w:rFonts w:eastAsiaTheme="minorEastAsia"/>
                <w:szCs w:val="21"/>
              </w:rPr>
              <w:t>未建</w:t>
            </w:r>
          </w:p>
        </w:tc>
      </w:tr>
      <w:tr w:rsidR="00C223F5">
        <w:trPr>
          <w:trHeight w:val="65"/>
          <w:tblHeader/>
          <w:jc w:val="center"/>
        </w:trPr>
        <w:tc>
          <w:tcPr>
            <w:tcW w:w="640" w:type="dxa"/>
            <w:vMerge/>
            <w:vAlign w:val="center"/>
          </w:tcPr>
          <w:p w:rsidR="00C223F5" w:rsidRDefault="00C223F5">
            <w:pPr>
              <w:spacing w:line="320" w:lineRule="exact"/>
              <w:jc w:val="center"/>
              <w:rPr>
                <w:szCs w:val="21"/>
              </w:rPr>
            </w:pPr>
          </w:p>
        </w:tc>
        <w:tc>
          <w:tcPr>
            <w:tcW w:w="1042" w:type="dxa"/>
            <w:vAlign w:val="center"/>
          </w:tcPr>
          <w:p w:rsidR="00C223F5" w:rsidRDefault="005860D5">
            <w:pPr>
              <w:jc w:val="center"/>
              <w:rPr>
                <w:szCs w:val="21"/>
              </w:rPr>
            </w:pPr>
            <w:r>
              <w:rPr>
                <w:szCs w:val="21"/>
              </w:rPr>
              <w:t>矿井水处理站</w:t>
            </w:r>
          </w:p>
        </w:tc>
        <w:tc>
          <w:tcPr>
            <w:tcW w:w="4111" w:type="dxa"/>
          </w:tcPr>
          <w:p w:rsidR="00C223F5" w:rsidRDefault="005860D5">
            <w:pPr>
              <w:autoSpaceDE w:val="0"/>
              <w:autoSpaceDN w:val="0"/>
              <w:adjustRightInd w:val="0"/>
              <w:snapToGrid w:val="0"/>
              <w:jc w:val="left"/>
              <w:rPr>
                <w:kern w:val="0"/>
                <w:position w:val="-1"/>
                <w:szCs w:val="21"/>
              </w:rPr>
            </w:pPr>
            <w:r>
              <w:rPr>
                <w:kern w:val="0"/>
                <w:position w:val="-1"/>
                <w:szCs w:val="21"/>
              </w:rPr>
              <w:t>处理规模</w:t>
            </w:r>
            <w:r>
              <w:rPr>
                <w:rFonts w:hint="eastAsia"/>
                <w:kern w:val="0"/>
                <w:position w:val="-1"/>
                <w:szCs w:val="21"/>
              </w:rPr>
              <w:t>20</w:t>
            </w:r>
            <w:r>
              <w:rPr>
                <w:kern w:val="0"/>
                <w:position w:val="-1"/>
                <w:szCs w:val="21"/>
              </w:rPr>
              <w:t>00m</w:t>
            </w:r>
            <w:r>
              <w:rPr>
                <w:kern w:val="0"/>
                <w:position w:val="-1"/>
                <w:szCs w:val="21"/>
                <w:vertAlign w:val="superscript"/>
              </w:rPr>
              <w:t>3</w:t>
            </w:r>
            <w:r>
              <w:rPr>
                <w:kern w:val="0"/>
                <w:position w:val="-1"/>
                <w:szCs w:val="21"/>
              </w:rPr>
              <w:t>/</w:t>
            </w:r>
            <w:r>
              <w:rPr>
                <w:rFonts w:hint="eastAsia"/>
                <w:kern w:val="0"/>
                <w:position w:val="-1"/>
                <w:szCs w:val="21"/>
              </w:rPr>
              <w:t>d</w:t>
            </w:r>
            <w:r>
              <w:rPr>
                <w:kern w:val="0"/>
                <w:position w:val="-1"/>
                <w:szCs w:val="21"/>
              </w:rPr>
              <w:t>，采用</w:t>
            </w:r>
            <w:r>
              <w:rPr>
                <w:rFonts w:eastAsiaTheme="minorEastAsia"/>
              </w:rPr>
              <w:t>混凝沉淀法三级沉淀处理</w:t>
            </w:r>
            <w:r>
              <w:rPr>
                <w:kern w:val="0"/>
                <w:position w:val="-1"/>
                <w:szCs w:val="21"/>
              </w:rPr>
              <w:t>工艺</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C223F5" w:rsidRDefault="005860D5">
            <w:pPr>
              <w:jc w:val="center"/>
              <w:rPr>
                <w:rFonts w:eastAsiaTheme="minorEastAsia" w:hAnsiTheme="minorEastAsia"/>
                <w:szCs w:val="21"/>
              </w:rPr>
            </w:pPr>
            <w:r>
              <w:rPr>
                <w:rFonts w:eastAsiaTheme="minorEastAsia" w:hAnsiTheme="minorEastAsia" w:hint="eastAsia"/>
                <w:szCs w:val="21"/>
              </w:rPr>
              <w:t>拆除</w:t>
            </w:r>
          </w:p>
        </w:tc>
        <w:tc>
          <w:tcPr>
            <w:tcW w:w="3878" w:type="dxa"/>
            <w:vAlign w:val="center"/>
          </w:tcPr>
          <w:p w:rsidR="00C223F5" w:rsidRDefault="005860D5">
            <w:pPr>
              <w:jc w:val="center"/>
              <w:rPr>
                <w:rFonts w:ascii="宋体" w:hAnsi="宋体"/>
                <w:szCs w:val="21"/>
              </w:rPr>
            </w:pPr>
            <w:r>
              <w:rPr>
                <w:rFonts w:eastAsiaTheme="minorEastAsia" w:hAnsiTheme="minorEastAsia"/>
              </w:rPr>
              <w:t>建设一座矿井水处理站，处理站规模为</w:t>
            </w:r>
            <w:r>
              <w:rPr>
                <w:rFonts w:eastAsiaTheme="minorEastAsia"/>
              </w:rPr>
              <w:t>2</w:t>
            </w:r>
            <w:r>
              <w:rPr>
                <w:rFonts w:eastAsiaTheme="minorEastAsia" w:hint="eastAsia"/>
              </w:rPr>
              <w:t>4</w:t>
            </w:r>
            <w:r>
              <w:rPr>
                <w:rFonts w:eastAsiaTheme="minorEastAsia"/>
              </w:rPr>
              <w:t>00m</w:t>
            </w:r>
            <w:r>
              <w:rPr>
                <w:rFonts w:eastAsiaTheme="minorEastAsia"/>
                <w:vertAlign w:val="superscript"/>
              </w:rPr>
              <w:t>3</w:t>
            </w:r>
            <w:r>
              <w:rPr>
                <w:rFonts w:eastAsiaTheme="minorEastAsia"/>
              </w:rPr>
              <w:t>/d</w:t>
            </w:r>
            <w:r>
              <w:rPr>
                <w:rFonts w:eastAsiaTheme="minorEastAsia" w:hAnsiTheme="minorEastAsia"/>
              </w:rPr>
              <w:t>，采用混凝、沉淀、</w:t>
            </w:r>
            <w:r>
              <w:rPr>
                <w:rFonts w:eastAsiaTheme="minorEastAsia" w:hAnsiTheme="minorEastAsia" w:hint="eastAsia"/>
              </w:rPr>
              <w:t>气浮、</w:t>
            </w:r>
            <w:r>
              <w:rPr>
                <w:rFonts w:eastAsiaTheme="minorEastAsia" w:hAnsiTheme="minorEastAsia"/>
              </w:rPr>
              <w:t>过滤</w:t>
            </w:r>
            <w:r>
              <w:rPr>
                <w:rFonts w:eastAsiaTheme="minorEastAsia" w:hAnsiTheme="minorEastAsia" w:hint="eastAsia"/>
              </w:rPr>
              <w:t>消毒</w:t>
            </w:r>
            <w:r>
              <w:rPr>
                <w:rFonts w:eastAsiaTheme="minorEastAsia" w:hAnsiTheme="minorEastAsia"/>
              </w:rPr>
              <w:t>处理工艺</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C223F5" w:rsidRDefault="005860D5">
            <w:pPr>
              <w:jc w:val="center"/>
              <w:rPr>
                <w:rFonts w:eastAsiaTheme="minorEastAsia"/>
                <w:szCs w:val="21"/>
              </w:rPr>
            </w:pPr>
            <w:r>
              <w:rPr>
                <w:rFonts w:eastAsiaTheme="minorEastAsia"/>
                <w:szCs w:val="21"/>
              </w:rPr>
              <w:t>未建</w:t>
            </w:r>
          </w:p>
        </w:tc>
      </w:tr>
    </w:tbl>
    <w:p w:rsidR="00C17378" w:rsidRDefault="00C17378">
      <w:pPr>
        <w:tabs>
          <w:tab w:val="left" w:pos="3885"/>
        </w:tabs>
        <w:topLinePunct/>
        <w:jc w:val="center"/>
        <w:rPr>
          <w:b/>
          <w:sz w:val="24"/>
        </w:rPr>
      </w:pPr>
    </w:p>
    <w:p w:rsidR="00C223F5" w:rsidRDefault="005860D5">
      <w:pPr>
        <w:tabs>
          <w:tab w:val="left" w:pos="3885"/>
        </w:tabs>
        <w:topLinePunct/>
        <w:jc w:val="center"/>
      </w:pPr>
      <w:r>
        <w:rPr>
          <w:rFonts w:hint="eastAsia"/>
          <w:b/>
          <w:sz w:val="24"/>
        </w:rPr>
        <w:lastRenderedPageBreak/>
        <w:t>续</w:t>
      </w:r>
      <w:r>
        <w:rPr>
          <w:b/>
          <w:sz w:val="24"/>
        </w:rPr>
        <w:t>表</w:t>
      </w:r>
      <w:r>
        <w:rPr>
          <w:rFonts w:hint="eastAsia"/>
          <w:b/>
          <w:sz w:val="24"/>
        </w:rPr>
        <w:t xml:space="preserve">2.1.2-1   </w:t>
      </w:r>
      <w:r>
        <w:rPr>
          <w:rFonts w:hint="eastAsia"/>
          <w:b/>
          <w:sz w:val="24"/>
        </w:rPr>
        <w:t>本</w:t>
      </w:r>
      <w:r>
        <w:rPr>
          <w:rFonts w:hAnsi="宋体"/>
          <w:b/>
          <w:bCs/>
          <w:sz w:val="24"/>
        </w:rPr>
        <w:t>项目</w:t>
      </w:r>
      <w:r>
        <w:rPr>
          <w:rFonts w:hAnsi="宋体" w:hint="eastAsia"/>
          <w:b/>
          <w:bCs/>
          <w:sz w:val="24"/>
        </w:rPr>
        <w:t>整合前后工程</w:t>
      </w:r>
      <w:r>
        <w:rPr>
          <w:rFonts w:hAnsi="宋体"/>
          <w:b/>
          <w:bCs/>
          <w:sz w:val="24"/>
        </w:rPr>
        <w:t>组成</w:t>
      </w:r>
      <w:r>
        <w:rPr>
          <w:rFonts w:hAnsi="宋体" w:hint="eastAsia"/>
          <w:b/>
          <w:bCs/>
          <w:sz w:val="24"/>
        </w:rPr>
        <w:t>及建设情况一览表</w:t>
      </w:r>
    </w:p>
    <w:tbl>
      <w:tblPr>
        <w:tblW w:w="145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1" w:type="dxa"/>
          <w:right w:w="11" w:type="dxa"/>
        </w:tblCellMar>
        <w:tblLook w:val="04A0" w:firstRow="1" w:lastRow="0" w:firstColumn="1" w:lastColumn="0" w:noHBand="0" w:noVBand="1"/>
      </w:tblPr>
      <w:tblGrid>
        <w:gridCol w:w="640"/>
        <w:gridCol w:w="1042"/>
        <w:gridCol w:w="4111"/>
        <w:gridCol w:w="854"/>
        <w:gridCol w:w="3878"/>
        <w:gridCol w:w="1316"/>
        <w:gridCol w:w="2693"/>
      </w:tblGrid>
      <w:tr w:rsidR="00C223F5">
        <w:trPr>
          <w:trHeight w:val="70"/>
          <w:tblHeader/>
          <w:jc w:val="center"/>
        </w:trPr>
        <w:tc>
          <w:tcPr>
            <w:tcW w:w="640" w:type="dxa"/>
            <w:vMerge w:val="restart"/>
            <w:vAlign w:val="center"/>
          </w:tcPr>
          <w:p w:rsidR="00C223F5" w:rsidRDefault="005860D5">
            <w:pPr>
              <w:jc w:val="center"/>
              <w:rPr>
                <w:szCs w:val="21"/>
              </w:rPr>
            </w:pPr>
            <w:r>
              <w:rPr>
                <w:szCs w:val="21"/>
              </w:rPr>
              <w:t>工程</w:t>
            </w:r>
          </w:p>
          <w:p w:rsidR="00C223F5" w:rsidRDefault="005860D5">
            <w:pPr>
              <w:jc w:val="center"/>
              <w:rPr>
                <w:szCs w:val="21"/>
              </w:rPr>
            </w:pPr>
            <w:r>
              <w:rPr>
                <w:szCs w:val="21"/>
              </w:rPr>
              <w:t>类别</w:t>
            </w:r>
          </w:p>
        </w:tc>
        <w:tc>
          <w:tcPr>
            <w:tcW w:w="1042" w:type="dxa"/>
            <w:vMerge w:val="restart"/>
            <w:vAlign w:val="center"/>
          </w:tcPr>
          <w:p w:rsidR="00C223F5" w:rsidRDefault="005860D5">
            <w:pPr>
              <w:jc w:val="center"/>
              <w:rPr>
                <w:szCs w:val="21"/>
              </w:rPr>
            </w:pPr>
            <w:r>
              <w:rPr>
                <w:szCs w:val="21"/>
              </w:rPr>
              <w:t>单项工程</w:t>
            </w:r>
          </w:p>
        </w:tc>
        <w:tc>
          <w:tcPr>
            <w:tcW w:w="4965" w:type="dxa"/>
            <w:gridSpan w:val="2"/>
          </w:tcPr>
          <w:p w:rsidR="00C223F5" w:rsidRDefault="005860D5">
            <w:pPr>
              <w:jc w:val="center"/>
              <w:rPr>
                <w:rFonts w:eastAsiaTheme="minorEastAsia" w:hAnsiTheme="minorEastAsia"/>
                <w:szCs w:val="21"/>
              </w:rPr>
            </w:pPr>
            <w:r>
              <w:rPr>
                <w:rFonts w:eastAsiaTheme="minorEastAsia" w:hint="eastAsia"/>
                <w:szCs w:val="21"/>
              </w:rPr>
              <w:t>原天云煤矿工程</w:t>
            </w:r>
          </w:p>
        </w:tc>
        <w:tc>
          <w:tcPr>
            <w:tcW w:w="7887" w:type="dxa"/>
            <w:gridSpan w:val="3"/>
            <w:vAlign w:val="center"/>
          </w:tcPr>
          <w:p w:rsidR="00C223F5" w:rsidRDefault="005860D5">
            <w:pPr>
              <w:jc w:val="center"/>
              <w:rPr>
                <w:rFonts w:eastAsiaTheme="minorEastAsia"/>
                <w:szCs w:val="21"/>
              </w:rPr>
            </w:pPr>
            <w:r>
              <w:rPr>
                <w:rFonts w:eastAsiaTheme="minorEastAsia" w:hint="eastAsia"/>
                <w:szCs w:val="21"/>
              </w:rPr>
              <w:t>本次整合工程</w:t>
            </w:r>
          </w:p>
        </w:tc>
      </w:tr>
      <w:tr w:rsidR="00C223F5">
        <w:trPr>
          <w:trHeight w:val="65"/>
          <w:tblHeader/>
          <w:jc w:val="center"/>
        </w:trPr>
        <w:tc>
          <w:tcPr>
            <w:tcW w:w="640" w:type="dxa"/>
            <w:vMerge/>
            <w:vAlign w:val="center"/>
          </w:tcPr>
          <w:p w:rsidR="00C223F5" w:rsidRDefault="00C223F5">
            <w:pPr>
              <w:jc w:val="center"/>
              <w:rPr>
                <w:szCs w:val="21"/>
              </w:rPr>
            </w:pPr>
          </w:p>
        </w:tc>
        <w:tc>
          <w:tcPr>
            <w:tcW w:w="1042" w:type="dxa"/>
            <w:vMerge/>
            <w:vAlign w:val="center"/>
          </w:tcPr>
          <w:p w:rsidR="00C223F5" w:rsidRDefault="00C223F5">
            <w:pPr>
              <w:jc w:val="center"/>
              <w:rPr>
                <w:szCs w:val="21"/>
              </w:rPr>
            </w:pPr>
          </w:p>
        </w:tc>
        <w:tc>
          <w:tcPr>
            <w:tcW w:w="4111" w:type="dxa"/>
            <w:vAlign w:val="center"/>
          </w:tcPr>
          <w:p w:rsidR="00C223F5" w:rsidRDefault="005860D5">
            <w:pPr>
              <w:jc w:val="center"/>
              <w:rPr>
                <w:rFonts w:eastAsiaTheme="minorEastAsia"/>
                <w:szCs w:val="21"/>
              </w:rPr>
            </w:pPr>
            <w:r>
              <w:rPr>
                <w:szCs w:val="21"/>
              </w:rPr>
              <w:t>工程内容</w:t>
            </w:r>
          </w:p>
        </w:tc>
        <w:tc>
          <w:tcPr>
            <w:tcW w:w="854" w:type="dxa"/>
            <w:vAlign w:val="center"/>
          </w:tcPr>
          <w:p w:rsidR="00C223F5" w:rsidRDefault="005860D5">
            <w:pPr>
              <w:jc w:val="center"/>
              <w:rPr>
                <w:spacing w:val="-6"/>
                <w:szCs w:val="21"/>
              </w:rPr>
            </w:pPr>
            <w:r>
              <w:rPr>
                <w:rFonts w:hint="eastAsia"/>
                <w:spacing w:val="-6"/>
                <w:szCs w:val="21"/>
              </w:rPr>
              <w:t>后续要求</w:t>
            </w:r>
          </w:p>
        </w:tc>
        <w:tc>
          <w:tcPr>
            <w:tcW w:w="3878" w:type="dxa"/>
            <w:vAlign w:val="center"/>
          </w:tcPr>
          <w:p w:rsidR="00C223F5" w:rsidRDefault="005860D5">
            <w:pPr>
              <w:jc w:val="center"/>
              <w:rPr>
                <w:szCs w:val="21"/>
              </w:rPr>
            </w:pPr>
            <w:r>
              <w:rPr>
                <w:szCs w:val="21"/>
              </w:rPr>
              <w:t>工程内容</w:t>
            </w:r>
          </w:p>
        </w:tc>
        <w:tc>
          <w:tcPr>
            <w:tcW w:w="1316" w:type="dxa"/>
            <w:vAlign w:val="center"/>
          </w:tcPr>
          <w:p w:rsidR="00C223F5" w:rsidRDefault="005860D5">
            <w:pPr>
              <w:jc w:val="center"/>
              <w:rPr>
                <w:szCs w:val="21"/>
              </w:rPr>
            </w:pPr>
            <w:r>
              <w:rPr>
                <w:rFonts w:hint="eastAsia"/>
                <w:szCs w:val="21"/>
              </w:rPr>
              <w:t>依托关系</w:t>
            </w:r>
          </w:p>
        </w:tc>
        <w:tc>
          <w:tcPr>
            <w:tcW w:w="2693" w:type="dxa"/>
            <w:vAlign w:val="center"/>
          </w:tcPr>
          <w:p w:rsidR="00C223F5" w:rsidRDefault="005860D5">
            <w:pPr>
              <w:jc w:val="center"/>
              <w:rPr>
                <w:szCs w:val="21"/>
              </w:rPr>
            </w:pPr>
            <w:r>
              <w:rPr>
                <w:rFonts w:hint="eastAsia"/>
                <w:szCs w:val="21"/>
              </w:rPr>
              <w:t>备注</w:t>
            </w:r>
          </w:p>
        </w:tc>
      </w:tr>
      <w:tr w:rsidR="00C223F5">
        <w:trPr>
          <w:trHeight w:val="614"/>
          <w:tblHeader/>
          <w:jc w:val="center"/>
        </w:trPr>
        <w:tc>
          <w:tcPr>
            <w:tcW w:w="640" w:type="dxa"/>
            <w:vMerge w:val="restart"/>
            <w:vAlign w:val="center"/>
          </w:tcPr>
          <w:p w:rsidR="00C223F5" w:rsidRDefault="005860D5">
            <w:pPr>
              <w:spacing w:line="320" w:lineRule="exact"/>
              <w:jc w:val="center"/>
              <w:rPr>
                <w:szCs w:val="21"/>
              </w:rPr>
            </w:pPr>
            <w:r>
              <w:rPr>
                <w:rFonts w:eastAsiaTheme="minorEastAsia"/>
                <w:szCs w:val="21"/>
              </w:rPr>
              <w:t>环保工程</w:t>
            </w:r>
          </w:p>
        </w:tc>
        <w:tc>
          <w:tcPr>
            <w:tcW w:w="1042" w:type="dxa"/>
            <w:vAlign w:val="center"/>
          </w:tcPr>
          <w:p w:rsidR="00C223F5" w:rsidRDefault="005860D5">
            <w:pPr>
              <w:jc w:val="center"/>
              <w:rPr>
                <w:szCs w:val="21"/>
              </w:rPr>
            </w:pPr>
            <w:r>
              <w:rPr>
                <w:rFonts w:hint="eastAsia"/>
                <w:szCs w:val="21"/>
              </w:rPr>
              <w:t>生活污水</w:t>
            </w:r>
          </w:p>
          <w:p w:rsidR="00C223F5" w:rsidRDefault="005860D5">
            <w:pPr>
              <w:jc w:val="center"/>
              <w:rPr>
                <w:szCs w:val="21"/>
              </w:rPr>
            </w:pPr>
            <w:r>
              <w:rPr>
                <w:szCs w:val="21"/>
              </w:rPr>
              <w:t>处理站</w:t>
            </w:r>
          </w:p>
        </w:tc>
        <w:tc>
          <w:tcPr>
            <w:tcW w:w="4111" w:type="dxa"/>
          </w:tcPr>
          <w:p w:rsidR="00C223F5" w:rsidRDefault="005860D5">
            <w:pPr>
              <w:autoSpaceDE w:val="0"/>
              <w:autoSpaceDN w:val="0"/>
              <w:adjustRightInd w:val="0"/>
              <w:snapToGrid w:val="0"/>
              <w:jc w:val="left"/>
              <w:rPr>
                <w:kern w:val="0"/>
                <w:position w:val="-1"/>
                <w:szCs w:val="21"/>
              </w:rPr>
            </w:pPr>
            <w:r>
              <w:rPr>
                <w:szCs w:val="21"/>
              </w:rPr>
              <w:t>独立的生活水处理系统</w:t>
            </w:r>
            <w:r>
              <w:rPr>
                <w:szCs w:val="21"/>
              </w:rPr>
              <w:t>2</w:t>
            </w:r>
            <w:r>
              <w:rPr>
                <w:szCs w:val="21"/>
              </w:rPr>
              <w:t>套，</w:t>
            </w:r>
            <w:r>
              <w:rPr>
                <w:szCs w:val="21"/>
              </w:rPr>
              <w:t>1</w:t>
            </w:r>
            <w:r>
              <w:rPr>
                <w:szCs w:val="21"/>
              </w:rPr>
              <w:t>套以洗浴水，洗漱水处理为主，采用</w:t>
            </w:r>
            <w:r>
              <w:rPr>
                <w:szCs w:val="21"/>
              </w:rPr>
              <w:t>A</w:t>
            </w:r>
            <w:r>
              <w:rPr>
                <w:szCs w:val="21"/>
                <w:vertAlign w:val="superscript"/>
              </w:rPr>
              <w:t>2</w:t>
            </w:r>
            <w:r>
              <w:rPr>
                <w:szCs w:val="21"/>
              </w:rPr>
              <w:t>O</w:t>
            </w:r>
            <w:r>
              <w:rPr>
                <w:szCs w:val="21"/>
              </w:rPr>
              <w:t>地埋式一体机处理工艺，处理能力为</w:t>
            </w:r>
            <w:r>
              <w:rPr>
                <w:rFonts w:hint="eastAsia"/>
                <w:szCs w:val="21"/>
              </w:rPr>
              <w:t>300</w:t>
            </w:r>
            <w:r>
              <w:rPr>
                <w:szCs w:val="21"/>
              </w:rPr>
              <w:t>m</w:t>
            </w:r>
            <w:r>
              <w:rPr>
                <w:szCs w:val="21"/>
                <w:vertAlign w:val="superscript"/>
              </w:rPr>
              <w:t>3</w:t>
            </w:r>
            <w:r>
              <w:rPr>
                <w:szCs w:val="21"/>
              </w:rPr>
              <w:t>/</w:t>
            </w:r>
            <w:r>
              <w:rPr>
                <w:rFonts w:hint="eastAsia"/>
                <w:szCs w:val="21"/>
              </w:rPr>
              <w:t>d</w:t>
            </w:r>
            <w:r>
              <w:rPr>
                <w:rFonts w:hint="eastAsia"/>
                <w:szCs w:val="21"/>
              </w:rPr>
              <w:t>；</w:t>
            </w:r>
            <w:r>
              <w:rPr>
                <w:szCs w:val="21"/>
              </w:rPr>
              <w:t>1</w:t>
            </w:r>
            <w:r>
              <w:rPr>
                <w:szCs w:val="21"/>
              </w:rPr>
              <w:t>套以餐饮废水处理为主，采用</w:t>
            </w:r>
            <w:r>
              <w:rPr>
                <w:szCs w:val="21"/>
              </w:rPr>
              <w:t>MBR</w:t>
            </w:r>
            <w:r>
              <w:rPr>
                <w:szCs w:val="21"/>
              </w:rPr>
              <w:t>工艺，处理能力</w:t>
            </w:r>
            <w:r>
              <w:rPr>
                <w:rFonts w:hint="eastAsia"/>
                <w:szCs w:val="21"/>
              </w:rPr>
              <w:t>20</w:t>
            </w:r>
            <w:r>
              <w:rPr>
                <w:szCs w:val="21"/>
              </w:rPr>
              <w:t>m</w:t>
            </w:r>
            <w:r>
              <w:rPr>
                <w:szCs w:val="21"/>
                <w:vertAlign w:val="superscript"/>
              </w:rPr>
              <w:t>3</w:t>
            </w:r>
            <w:r>
              <w:rPr>
                <w:szCs w:val="21"/>
              </w:rPr>
              <w:t>/</w:t>
            </w:r>
            <w:r>
              <w:rPr>
                <w:rFonts w:hint="eastAsia"/>
                <w:szCs w:val="21"/>
              </w:rPr>
              <w:t>d</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C223F5" w:rsidRDefault="005860D5">
            <w:pPr>
              <w:jc w:val="center"/>
              <w:rPr>
                <w:rFonts w:eastAsiaTheme="minorEastAsia" w:hAnsiTheme="minorEastAsia"/>
                <w:szCs w:val="21"/>
              </w:rPr>
            </w:pPr>
            <w:r>
              <w:rPr>
                <w:rFonts w:eastAsiaTheme="minorEastAsia" w:hAnsiTheme="minorEastAsia" w:hint="eastAsia"/>
                <w:szCs w:val="21"/>
              </w:rPr>
              <w:t>拆除</w:t>
            </w:r>
          </w:p>
        </w:tc>
        <w:tc>
          <w:tcPr>
            <w:tcW w:w="3878" w:type="dxa"/>
            <w:vAlign w:val="center"/>
          </w:tcPr>
          <w:p w:rsidR="00C223F5" w:rsidRDefault="005860D5">
            <w:pPr>
              <w:jc w:val="center"/>
              <w:rPr>
                <w:rFonts w:ascii="宋体" w:hAnsi="宋体"/>
                <w:szCs w:val="21"/>
              </w:rPr>
            </w:pPr>
            <w:r>
              <w:rPr>
                <w:rFonts w:eastAsiaTheme="minorEastAsia" w:hAnsiTheme="minorEastAsia"/>
              </w:rPr>
              <w:t>建设一座</w:t>
            </w:r>
            <w:r>
              <w:rPr>
                <w:rFonts w:hint="eastAsia"/>
              </w:rPr>
              <w:t>生活污水处理站</w:t>
            </w:r>
            <w:r>
              <w:rPr>
                <w:rFonts w:eastAsiaTheme="minorEastAsia" w:hAnsiTheme="minorEastAsia"/>
              </w:rPr>
              <w:t>，</w:t>
            </w:r>
            <w:r>
              <w:rPr>
                <w:rFonts w:hint="eastAsia"/>
              </w:rPr>
              <w:t>建设规模为</w:t>
            </w:r>
            <w:r>
              <w:rPr>
                <w:rFonts w:hint="eastAsia"/>
              </w:rPr>
              <w:t>480m</w:t>
            </w:r>
            <w:r>
              <w:rPr>
                <w:rFonts w:hint="eastAsia"/>
                <w:vertAlign w:val="superscript"/>
              </w:rPr>
              <w:t>3</w:t>
            </w:r>
            <w:r>
              <w:rPr>
                <w:rFonts w:hint="eastAsia"/>
              </w:rPr>
              <w:t>/d</w:t>
            </w:r>
            <w:r>
              <w:rPr>
                <w:rFonts w:hint="eastAsia"/>
              </w:rPr>
              <w:t>，采用</w:t>
            </w:r>
            <w:r>
              <w:rPr>
                <w:lang w:val="zh-CN"/>
              </w:rPr>
              <w:t>A</w:t>
            </w:r>
            <w:r>
              <w:rPr>
                <w:rFonts w:hint="eastAsia"/>
                <w:vertAlign w:val="superscript"/>
                <w:lang w:val="zh-CN"/>
              </w:rPr>
              <w:t>2</w:t>
            </w:r>
            <w:r>
              <w:rPr>
                <w:rFonts w:hint="eastAsia"/>
                <w:lang w:val="zh-CN"/>
              </w:rPr>
              <w:t>/</w:t>
            </w:r>
            <w:r>
              <w:rPr>
                <w:lang w:val="zh-CN"/>
              </w:rPr>
              <w:t>O</w:t>
            </w:r>
            <w:r>
              <w:rPr>
                <w:rFonts w:hint="eastAsia"/>
              </w:rPr>
              <w:t>二级生化</w:t>
            </w:r>
            <w:r>
              <w:t>加深度处理</w:t>
            </w:r>
            <w:r>
              <w:rPr>
                <w:rFonts w:hint="eastAsia"/>
              </w:rPr>
              <w:t>工艺</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C223F5" w:rsidRDefault="005860D5">
            <w:pPr>
              <w:jc w:val="center"/>
              <w:rPr>
                <w:rFonts w:eastAsiaTheme="minorEastAsia"/>
                <w:szCs w:val="21"/>
              </w:rPr>
            </w:pPr>
            <w:r>
              <w:rPr>
                <w:rFonts w:eastAsiaTheme="minorEastAsia"/>
                <w:szCs w:val="21"/>
              </w:rPr>
              <w:t>未建</w:t>
            </w:r>
          </w:p>
        </w:tc>
      </w:tr>
      <w:tr w:rsidR="00C223F5">
        <w:trPr>
          <w:trHeight w:val="614"/>
          <w:tblHeader/>
          <w:jc w:val="center"/>
        </w:trPr>
        <w:tc>
          <w:tcPr>
            <w:tcW w:w="640" w:type="dxa"/>
            <w:vMerge/>
            <w:vAlign w:val="center"/>
          </w:tcPr>
          <w:p w:rsidR="00C223F5" w:rsidRDefault="00C223F5">
            <w:pPr>
              <w:spacing w:line="320" w:lineRule="exact"/>
              <w:jc w:val="center"/>
              <w:rPr>
                <w:szCs w:val="21"/>
              </w:rPr>
            </w:pPr>
          </w:p>
        </w:tc>
        <w:tc>
          <w:tcPr>
            <w:tcW w:w="1042" w:type="dxa"/>
            <w:vAlign w:val="center"/>
          </w:tcPr>
          <w:p w:rsidR="00C223F5" w:rsidRDefault="005860D5">
            <w:pPr>
              <w:jc w:val="center"/>
              <w:rPr>
                <w:spacing w:val="4"/>
                <w:szCs w:val="21"/>
              </w:rPr>
            </w:pPr>
            <w:r>
              <w:rPr>
                <w:rFonts w:hint="eastAsia"/>
                <w:spacing w:val="4"/>
                <w:szCs w:val="21"/>
              </w:rPr>
              <w:t>煤泥水</w:t>
            </w:r>
          </w:p>
        </w:tc>
        <w:tc>
          <w:tcPr>
            <w:tcW w:w="4111" w:type="dxa"/>
            <w:vAlign w:val="center"/>
          </w:tcPr>
          <w:p w:rsidR="00C223F5" w:rsidRDefault="005860D5">
            <w:pPr>
              <w:autoSpaceDE w:val="0"/>
              <w:autoSpaceDN w:val="0"/>
              <w:adjustRightInd w:val="0"/>
              <w:snapToGrid w:val="0"/>
              <w:jc w:val="center"/>
              <w:rPr>
                <w:kern w:val="0"/>
                <w:position w:val="-1"/>
                <w:szCs w:val="21"/>
              </w:rPr>
            </w:pPr>
            <w:r>
              <w:rPr>
                <w:rFonts w:hint="eastAsia"/>
                <w:kern w:val="0"/>
                <w:position w:val="-1"/>
                <w:szCs w:val="21"/>
              </w:rPr>
              <w:t>/</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w:t>
            </w:r>
          </w:p>
        </w:tc>
        <w:tc>
          <w:tcPr>
            <w:tcW w:w="3878" w:type="dxa"/>
            <w:vAlign w:val="center"/>
          </w:tcPr>
          <w:p w:rsidR="00C223F5" w:rsidRDefault="005860D5">
            <w:pPr>
              <w:jc w:val="center"/>
              <w:rPr>
                <w:spacing w:val="4"/>
                <w:szCs w:val="21"/>
              </w:rPr>
            </w:pPr>
            <w:r>
              <w:rPr>
                <w:rFonts w:hAnsi="宋体" w:hint="eastAsia"/>
                <w:szCs w:val="21"/>
              </w:rPr>
              <w:t>洗水一级闭路循环，无外排</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C223F5" w:rsidRDefault="005860D5">
            <w:pPr>
              <w:jc w:val="center"/>
              <w:rPr>
                <w:rFonts w:eastAsiaTheme="minorEastAsia"/>
                <w:szCs w:val="21"/>
              </w:rPr>
            </w:pPr>
            <w:r>
              <w:rPr>
                <w:rFonts w:eastAsiaTheme="minorEastAsia"/>
                <w:szCs w:val="21"/>
              </w:rPr>
              <w:t>未建</w:t>
            </w:r>
          </w:p>
        </w:tc>
      </w:tr>
      <w:tr w:rsidR="00C223F5">
        <w:trPr>
          <w:trHeight w:val="614"/>
          <w:tblHeader/>
          <w:jc w:val="center"/>
        </w:trPr>
        <w:tc>
          <w:tcPr>
            <w:tcW w:w="640" w:type="dxa"/>
            <w:vMerge/>
            <w:vAlign w:val="center"/>
          </w:tcPr>
          <w:p w:rsidR="00C223F5" w:rsidRDefault="00C223F5">
            <w:pPr>
              <w:spacing w:line="320" w:lineRule="exact"/>
              <w:jc w:val="center"/>
              <w:rPr>
                <w:szCs w:val="21"/>
              </w:rPr>
            </w:pPr>
          </w:p>
        </w:tc>
        <w:tc>
          <w:tcPr>
            <w:tcW w:w="1042" w:type="dxa"/>
            <w:vAlign w:val="center"/>
          </w:tcPr>
          <w:p w:rsidR="00C223F5" w:rsidRDefault="005860D5">
            <w:pPr>
              <w:adjustRightInd w:val="0"/>
              <w:snapToGrid w:val="0"/>
              <w:jc w:val="center"/>
              <w:rPr>
                <w:szCs w:val="21"/>
              </w:rPr>
            </w:pPr>
            <w:r>
              <w:rPr>
                <w:szCs w:val="21"/>
              </w:rPr>
              <w:t>矸石处置设施</w:t>
            </w:r>
          </w:p>
        </w:tc>
        <w:tc>
          <w:tcPr>
            <w:tcW w:w="4111" w:type="dxa"/>
            <w:vAlign w:val="center"/>
          </w:tcPr>
          <w:p w:rsidR="00C223F5" w:rsidRDefault="005860D5">
            <w:pPr>
              <w:autoSpaceDE w:val="0"/>
              <w:autoSpaceDN w:val="0"/>
              <w:adjustRightInd w:val="0"/>
              <w:snapToGrid w:val="0"/>
              <w:jc w:val="center"/>
              <w:rPr>
                <w:kern w:val="0"/>
                <w:position w:val="-1"/>
                <w:szCs w:val="21"/>
              </w:rPr>
            </w:pPr>
            <w:r>
              <w:rPr>
                <w:rFonts w:eastAsiaTheme="minorEastAsia"/>
                <w:szCs w:val="21"/>
              </w:rPr>
              <w:t>综合利用</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w:t>
            </w:r>
          </w:p>
        </w:tc>
        <w:tc>
          <w:tcPr>
            <w:tcW w:w="3878" w:type="dxa"/>
            <w:vAlign w:val="center"/>
          </w:tcPr>
          <w:p w:rsidR="00C223F5" w:rsidRDefault="005860D5">
            <w:pPr>
              <w:adjustRightInd w:val="0"/>
              <w:snapToGrid w:val="0"/>
              <w:jc w:val="center"/>
              <w:rPr>
                <w:rFonts w:eastAsiaTheme="minorEastAsia"/>
                <w:szCs w:val="21"/>
              </w:rPr>
            </w:pPr>
            <w:r>
              <w:rPr>
                <w:rFonts w:eastAsiaTheme="minorEastAsia"/>
                <w:szCs w:val="21"/>
              </w:rPr>
              <w:t>综合利用</w:t>
            </w:r>
            <w:r>
              <w:rPr>
                <w:rFonts w:eastAsiaTheme="minorEastAsia" w:hint="eastAsia"/>
                <w:szCs w:val="21"/>
              </w:rPr>
              <w:t>或回填井下废弃巷道</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C223F5" w:rsidRDefault="005860D5">
            <w:pPr>
              <w:jc w:val="center"/>
              <w:rPr>
                <w:rFonts w:eastAsiaTheme="minorEastAsia"/>
                <w:szCs w:val="21"/>
              </w:rPr>
            </w:pPr>
            <w:r>
              <w:rPr>
                <w:rFonts w:eastAsiaTheme="minorEastAsia"/>
                <w:szCs w:val="21"/>
              </w:rPr>
              <w:t>未建</w:t>
            </w:r>
          </w:p>
        </w:tc>
      </w:tr>
      <w:tr w:rsidR="00C223F5">
        <w:trPr>
          <w:trHeight w:val="614"/>
          <w:tblHeader/>
          <w:jc w:val="center"/>
        </w:trPr>
        <w:tc>
          <w:tcPr>
            <w:tcW w:w="640" w:type="dxa"/>
            <w:vMerge/>
            <w:vAlign w:val="center"/>
          </w:tcPr>
          <w:p w:rsidR="00C223F5" w:rsidRDefault="00C223F5">
            <w:pPr>
              <w:spacing w:line="320" w:lineRule="exact"/>
              <w:jc w:val="center"/>
              <w:rPr>
                <w:szCs w:val="21"/>
              </w:rPr>
            </w:pPr>
          </w:p>
        </w:tc>
        <w:tc>
          <w:tcPr>
            <w:tcW w:w="1042" w:type="dxa"/>
            <w:vAlign w:val="center"/>
          </w:tcPr>
          <w:p w:rsidR="00C223F5" w:rsidRDefault="005860D5">
            <w:pPr>
              <w:adjustRightInd w:val="0"/>
              <w:snapToGrid w:val="0"/>
              <w:jc w:val="center"/>
              <w:rPr>
                <w:szCs w:val="21"/>
              </w:rPr>
            </w:pPr>
            <w:r>
              <w:rPr>
                <w:szCs w:val="21"/>
              </w:rPr>
              <w:t>噪声处置</w:t>
            </w:r>
          </w:p>
        </w:tc>
        <w:tc>
          <w:tcPr>
            <w:tcW w:w="4111" w:type="dxa"/>
            <w:vAlign w:val="center"/>
          </w:tcPr>
          <w:p w:rsidR="00C223F5" w:rsidRDefault="005860D5">
            <w:pPr>
              <w:adjustRightInd w:val="0"/>
              <w:snapToGrid w:val="0"/>
              <w:jc w:val="center"/>
              <w:rPr>
                <w:szCs w:val="21"/>
              </w:rPr>
            </w:pPr>
            <w:r>
              <w:rPr>
                <w:szCs w:val="21"/>
              </w:rPr>
              <w:t>消声、隔声、减振等措施</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C223F5" w:rsidRDefault="005860D5">
            <w:pPr>
              <w:jc w:val="center"/>
              <w:rPr>
                <w:rFonts w:eastAsiaTheme="minorEastAsia" w:hAnsiTheme="minorEastAsia"/>
                <w:szCs w:val="21"/>
              </w:rPr>
            </w:pPr>
            <w:r>
              <w:rPr>
                <w:rFonts w:eastAsiaTheme="minorEastAsia" w:hAnsiTheme="minorEastAsia" w:hint="eastAsia"/>
                <w:szCs w:val="21"/>
              </w:rPr>
              <w:t>拆除</w:t>
            </w:r>
          </w:p>
        </w:tc>
        <w:tc>
          <w:tcPr>
            <w:tcW w:w="3878" w:type="dxa"/>
            <w:vAlign w:val="center"/>
          </w:tcPr>
          <w:p w:rsidR="00C223F5" w:rsidRDefault="005860D5">
            <w:pPr>
              <w:adjustRightInd w:val="0"/>
              <w:snapToGrid w:val="0"/>
              <w:jc w:val="center"/>
              <w:rPr>
                <w:szCs w:val="21"/>
              </w:rPr>
            </w:pPr>
            <w:r>
              <w:rPr>
                <w:szCs w:val="21"/>
              </w:rPr>
              <w:t>消声、隔声、减振等措施</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C223F5" w:rsidRDefault="005860D5">
            <w:pPr>
              <w:jc w:val="center"/>
              <w:rPr>
                <w:rFonts w:eastAsiaTheme="minorEastAsia"/>
                <w:szCs w:val="21"/>
              </w:rPr>
            </w:pPr>
            <w:r>
              <w:rPr>
                <w:rFonts w:eastAsiaTheme="minorEastAsia"/>
                <w:szCs w:val="21"/>
              </w:rPr>
              <w:t>未建</w:t>
            </w:r>
          </w:p>
        </w:tc>
      </w:tr>
      <w:tr w:rsidR="00C223F5">
        <w:trPr>
          <w:trHeight w:val="614"/>
          <w:tblHeader/>
          <w:jc w:val="center"/>
        </w:trPr>
        <w:tc>
          <w:tcPr>
            <w:tcW w:w="640" w:type="dxa"/>
            <w:vMerge/>
            <w:vAlign w:val="center"/>
          </w:tcPr>
          <w:p w:rsidR="00C223F5" w:rsidRDefault="00C223F5">
            <w:pPr>
              <w:spacing w:line="320" w:lineRule="exact"/>
              <w:jc w:val="center"/>
              <w:rPr>
                <w:szCs w:val="21"/>
              </w:rPr>
            </w:pPr>
          </w:p>
        </w:tc>
        <w:tc>
          <w:tcPr>
            <w:tcW w:w="1042" w:type="dxa"/>
            <w:vAlign w:val="center"/>
          </w:tcPr>
          <w:p w:rsidR="00C223F5" w:rsidRDefault="005860D5">
            <w:pPr>
              <w:adjustRightInd w:val="0"/>
              <w:snapToGrid w:val="0"/>
              <w:jc w:val="center"/>
              <w:rPr>
                <w:szCs w:val="21"/>
              </w:rPr>
            </w:pPr>
            <w:r>
              <w:rPr>
                <w:szCs w:val="21"/>
              </w:rPr>
              <w:t>绿化</w:t>
            </w:r>
          </w:p>
        </w:tc>
        <w:tc>
          <w:tcPr>
            <w:tcW w:w="4111" w:type="dxa"/>
            <w:vAlign w:val="center"/>
          </w:tcPr>
          <w:p w:rsidR="00C223F5" w:rsidRDefault="005860D5">
            <w:pPr>
              <w:jc w:val="center"/>
              <w:rPr>
                <w:szCs w:val="21"/>
              </w:rPr>
            </w:pPr>
            <w:r>
              <w:rPr>
                <w:iCs/>
                <w:szCs w:val="21"/>
              </w:rPr>
              <w:t>工业场地绿化</w:t>
            </w:r>
            <w:r>
              <w:rPr>
                <w:szCs w:val="21"/>
              </w:rPr>
              <w:t>工程总面积</w:t>
            </w:r>
            <w:r>
              <w:rPr>
                <w:szCs w:val="21"/>
              </w:rPr>
              <w:t>0.17hm</w:t>
            </w:r>
            <w:r>
              <w:rPr>
                <w:szCs w:val="21"/>
                <w:vertAlign w:val="superscript"/>
              </w:rPr>
              <w:t>2</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w:t>
            </w:r>
          </w:p>
        </w:tc>
        <w:tc>
          <w:tcPr>
            <w:tcW w:w="3878" w:type="dxa"/>
            <w:vAlign w:val="center"/>
          </w:tcPr>
          <w:p w:rsidR="00C223F5" w:rsidRDefault="005860D5">
            <w:pPr>
              <w:jc w:val="center"/>
              <w:rPr>
                <w:rFonts w:eastAsiaTheme="minorEastAsia"/>
                <w:szCs w:val="21"/>
              </w:rPr>
            </w:pPr>
            <w:r>
              <w:rPr>
                <w:iCs/>
                <w:szCs w:val="21"/>
              </w:rPr>
              <w:t>工业场地绿化率</w:t>
            </w:r>
            <w:r>
              <w:rPr>
                <w:rFonts w:hint="eastAsia"/>
                <w:szCs w:val="21"/>
              </w:rPr>
              <w:t>18</w:t>
            </w:r>
            <w:r>
              <w:rPr>
                <w:iCs/>
                <w:szCs w:val="21"/>
              </w:rPr>
              <w:t>%</w:t>
            </w:r>
            <w:r>
              <w:rPr>
                <w:rFonts w:hint="eastAsia"/>
                <w:iCs/>
                <w:szCs w:val="21"/>
              </w:rPr>
              <w:t>，</w:t>
            </w:r>
            <w:r>
              <w:rPr>
                <w:rFonts w:eastAsiaTheme="minorEastAsia" w:hAnsiTheme="minorEastAsia" w:hint="eastAsia"/>
                <w:szCs w:val="21"/>
              </w:rPr>
              <w:t>绿化面积</w:t>
            </w:r>
            <w:r>
              <w:rPr>
                <w:rFonts w:eastAsiaTheme="minorEastAsia" w:hAnsiTheme="minorEastAsia"/>
                <w:szCs w:val="21"/>
              </w:rPr>
              <w:t>0.9</w:t>
            </w:r>
            <w:r>
              <w:rPr>
                <w:rFonts w:eastAsiaTheme="minorEastAsia" w:hAnsiTheme="minorEastAsia" w:hint="eastAsia"/>
                <w:szCs w:val="21"/>
              </w:rPr>
              <w:t>4</w:t>
            </w:r>
            <w:r>
              <w:rPr>
                <w:rFonts w:eastAsiaTheme="minorEastAsia" w:hAnsiTheme="minorEastAsia"/>
                <w:szCs w:val="21"/>
              </w:rPr>
              <w:t>5</w:t>
            </w:r>
            <w:r>
              <w:rPr>
                <w:rFonts w:eastAsiaTheme="minorEastAsia" w:hAnsiTheme="minorEastAsia" w:hint="eastAsia"/>
                <w:szCs w:val="21"/>
              </w:rPr>
              <w:t>hm</w:t>
            </w:r>
            <w:r>
              <w:rPr>
                <w:rFonts w:eastAsiaTheme="minorEastAsia" w:hAnsiTheme="minorEastAsia" w:hint="eastAsia"/>
                <w:szCs w:val="21"/>
                <w:vertAlign w:val="superscript"/>
              </w:rPr>
              <w:t>2</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C223F5" w:rsidRDefault="005860D5">
            <w:pPr>
              <w:jc w:val="center"/>
              <w:rPr>
                <w:rFonts w:eastAsiaTheme="minorEastAsia"/>
                <w:szCs w:val="21"/>
              </w:rPr>
            </w:pPr>
            <w:r>
              <w:rPr>
                <w:rFonts w:eastAsiaTheme="minorEastAsia"/>
                <w:szCs w:val="21"/>
              </w:rPr>
              <w:t>未建</w:t>
            </w:r>
          </w:p>
        </w:tc>
      </w:tr>
      <w:tr w:rsidR="00C223F5">
        <w:trPr>
          <w:trHeight w:val="614"/>
          <w:tblHeader/>
          <w:jc w:val="center"/>
        </w:trPr>
        <w:tc>
          <w:tcPr>
            <w:tcW w:w="1682" w:type="dxa"/>
            <w:gridSpan w:val="2"/>
            <w:vAlign w:val="center"/>
          </w:tcPr>
          <w:p w:rsidR="00C223F5" w:rsidRDefault="005860D5">
            <w:pPr>
              <w:adjustRightInd w:val="0"/>
              <w:snapToGrid w:val="0"/>
              <w:jc w:val="center"/>
              <w:rPr>
                <w:szCs w:val="21"/>
              </w:rPr>
            </w:pPr>
            <w:r>
              <w:rPr>
                <w:szCs w:val="21"/>
              </w:rPr>
              <w:t>行政与生活福利设施</w:t>
            </w:r>
          </w:p>
        </w:tc>
        <w:tc>
          <w:tcPr>
            <w:tcW w:w="4111" w:type="dxa"/>
            <w:vAlign w:val="center"/>
          </w:tcPr>
          <w:p w:rsidR="00C223F5" w:rsidRDefault="005860D5">
            <w:pPr>
              <w:autoSpaceDE w:val="0"/>
              <w:autoSpaceDN w:val="0"/>
              <w:adjustRightInd w:val="0"/>
              <w:snapToGrid w:val="0"/>
              <w:jc w:val="left"/>
              <w:rPr>
                <w:kern w:val="0"/>
                <w:position w:val="-1"/>
                <w:szCs w:val="21"/>
              </w:rPr>
            </w:pPr>
            <w:r>
              <w:rPr>
                <w:kern w:val="0"/>
                <w:szCs w:val="21"/>
              </w:rPr>
              <w:t>矿办公室、浴室、灯房、单身宿舍、食堂等</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建成</w:t>
            </w:r>
            <w:r>
              <w:rPr>
                <w:rFonts w:eastAsiaTheme="minorEastAsia" w:hAnsiTheme="minorEastAsia" w:hint="eastAsia"/>
                <w:szCs w:val="21"/>
              </w:rPr>
              <w:t>/</w:t>
            </w:r>
          </w:p>
          <w:p w:rsidR="00C223F5" w:rsidRDefault="005860D5">
            <w:pPr>
              <w:jc w:val="center"/>
              <w:rPr>
                <w:rFonts w:eastAsiaTheme="minorEastAsia" w:hAnsiTheme="minorEastAsia"/>
                <w:szCs w:val="21"/>
              </w:rPr>
            </w:pPr>
            <w:r>
              <w:rPr>
                <w:rFonts w:eastAsiaTheme="minorEastAsia" w:hAnsiTheme="minorEastAsia" w:hint="eastAsia"/>
                <w:szCs w:val="21"/>
              </w:rPr>
              <w:t>拆除</w:t>
            </w:r>
          </w:p>
        </w:tc>
        <w:tc>
          <w:tcPr>
            <w:tcW w:w="3878" w:type="dxa"/>
            <w:vAlign w:val="center"/>
          </w:tcPr>
          <w:p w:rsidR="00C223F5" w:rsidRDefault="005860D5">
            <w:pPr>
              <w:jc w:val="center"/>
              <w:rPr>
                <w:rFonts w:ascii="宋体" w:hAnsi="宋体"/>
                <w:szCs w:val="21"/>
              </w:rPr>
            </w:pPr>
            <w:r>
              <w:rPr>
                <w:szCs w:val="21"/>
              </w:rPr>
              <w:t>办公楼、单身宿舍、食堂等</w:t>
            </w:r>
          </w:p>
        </w:tc>
        <w:tc>
          <w:tcPr>
            <w:tcW w:w="1316" w:type="dxa"/>
            <w:vAlign w:val="center"/>
          </w:tcPr>
          <w:p w:rsidR="00C223F5" w:rsidRDefault="005860D5">
            <w:pPr>
              <w:pStyle w:val="aff1"/>
              <w:tabs>
                <w:tab w:val="clear" w:pos="5781"/>
              </w:tabs>
              <w:spacing w:line="240" w:lineRule="auto"/>
              <w:ind w:left="0" w:firstLine="0"/>
              <w:jc w:val="center"/>
              <w:rPr>
                <w:rFonts w:eastAsiaTheme="minorEastAsia"/>
                <w:sz w:val="21"/>
                <w:szCs w:val="21"/>
              </w:rPr>
            </w:pPr>
            <w:r>
              <w:rPr>
                <w:rFonts w:eastAsiaTheme="minorEastAsia"/>
                <w:sz w:val="21"/>
                <w:szCs w:val="21"/>
              </w:rPr>
              <w:t>新建</w:t>
            </w:r>
          </w:p>
        </w:tc>
        <w:tc>
          <w:tcPr>
            <w:tcW w:w="2693" w:type="dxa"/>
            <w:vAlign w:val="center"/>
          </w:tcPr>
          <w:p w:rsidR="00C223F5" w:rsidRDefault="005860D5">
            <w:pPr>
              <w:jc w:val="center"/>
              <w:rPr>
                <w:rFonts w:eastAsiaTheme="minorEastAsia"/>
                <w:szCs w:val="21"/>
              </w:rPr>
            </w:pPr>
            <w:r>
              <w:rPr>
                <w:rFonts w:eastAsiaTheme="minorEastAsia"/>
                <w:szCs w:val="21"/>
              </w:rPr>
              <w:t>未建</w:t>
            </w:r>
          </w:p>
        </w:tc>
      </w:tr>
      <w:tr w:rsidR="00C223F5">
        <w:trPr>
          <w:trHeight w:val="65"/>
          <w:tblHeader/>
          <w:jc w:val="center"/>
        </w:trPr>
        <w:tc>
          <w:tcPr>
            <w:tcW w:w="640" w:type="dxa"/>
            <w:vMerge w:val="restart"/>
            <w:vAlign w:val="center"/>
          </w:tcPr>
          <w:p w:rsidR="00C223F5" w:rsidRDefault="005860D5">
            <w:pPr>
              <w:spacing w:line="320" w:lineRule="exact"/>
              <w:jc w:val="center"/>
              <w:rPr>
                <w:szCs w:val="21"/>
              </w:rPr>
            </w:pPr>
            <w:r>
              <w:rPr>
                <w:rFonts w:hint="eastAsia"/>
                <w:szCs w:val="21"/>
              </w:rPr>
              <w:t>其它</w:t>
            </w:r>
          </w:p>
        </w:tc>
        <w:tc>
          <w:tcPr>
            <w:tcW w:w="1042" w:type="dxa"/>
            <w:vAlign w:val="center"/>
          </w:tcPr>
          <w:p w:rsidR="00C223F5" w:rsidRDefault="005860D5">
            <w:pPr>
              <w:adjustRightInd w:val="0"/>
              <w:jc w:val="center"/>
              <w:rPr>
                <w:szCs w:val="21"/>
              </w:rPr>
            </w:pPr>
            <w:r>
              <w:rPr>
                <w:szCs w:val="21"/>
              </w:rPr>
              <w:t>年工作日</w:t>
            </w:r>
          </w:p>
        </w:tc>
        <w:tc>
          <w:tcPr>
            <w:tcW w:w="4111" w:type="dxa"/>
            <w:vAlign w:val="center"/>
          </w:tcPr>
          <w:p w:rsidR="00C223F5" w:rsidRDefault="005860D5">
            <w:pPr>
              <w:jc w:val="center"/>
              <w:rPr>
                <w:szCs w:val="21"/>
              </w:rPr>
            </w:pPr>
            <w:r>
              <w:rPr>
                <w:szCs w:val="21"/>
              </w:rPr>
              <w:t>3</w:t>
            </w:r>
            <w:r>
              <w:rPr>
                <w:rFonts w:hint="eastAsia"/>
                <w:szCs w:val="21"/>
              </w:rPr>
              <w:t>3</w:t>
            </w:r>
            <w:r>
              <w:rPr>
                <w:szCs w:val="21"/>
              </w:rPr>
              <w:t>0</w:t>
            </w:r>
            <w:r>
              <w:rPr>
                <w:szCs w:val="21"/>
              </w:rPr>
              <w:t>天</w:t>
            </w:r>
          </w:p>
        </w:tc>
        <w:tc>
          <w:tcPr>
            <w:tcW w:w="854" w:type="dxa"/>
            <w:vAlign w:val="center"/>
          </w:tcPr>
          <w:p w:rsidR="00C223F5" w:rsidRDefault="005860D5">
            <w:pPr>
              <w:jc w:val="center"/>
              <w:rPr>
                <w:szCs w:val="21"/>
              </w:rPr>
            </w:pPr>
            <w:r>
              <w:rPr>
                <w:rFonts w:hint="eastAsia"/>
                <w:szCs w:val="21"/>
              </w:rPr>
              <w:t>/</w:t>
            </w:r>
          </w:p>
        </w:tc>
        <w:tc>
          <w:tcPr>
            <w:tcW w:w="3878" w:type="dxa"/>
            <w:vAlign w:val="center"/>
          </w:tcPr>
          <w:p w:rsidR="00C223F5" w:rsidRDefault="005860D5">
            <w:pPr>
              <w:jc w:val="center"/>
              <w:rPr>
                <w:iCs/>
                <w:szCs w:val="21"/>
              </w:rPr>
            </w:pPr>
            <w:r>
              <w:rPr>
                <w:rFonts w:hint="eastAsia"/>
                <w:iCs/>
                <w:szCs w:val="21"/>
              </w:rPr>
              <w:t>330</w:t>
            </w:r>
            <w:r>
              <w:rPr>
                <w:szCs w:val="21"/>
              </w:rPr>
              <w:t>天</w:t>
            </w:r>
          </w:p>
        </w:tc>
        <w:tc>
          <w:tcPr>
            <w:tcW w:w="1316" w:type="dxa"/>
            <w:vAlign w:val="center"/>
          </w:tcPr>
          <w:p w:rsidR="00C223F5" w:rsidRDefault="005860D5">
            <w:pPr>
              <w:jc w:val="center"/>
              <w:rPr>
                <w:szCs w:val="21"/>
              </w:rPr>
            </w:pPr>
            <w:r>
              <w:rPr>
                <w:rFonts w:hint="eastAsia"/>
                <w:szCs w:val="21"/>
              </w:rPr>
              <w:t>/</w:t>
            </w:r>
          </w:p>
        </w:tc>
        <w:tc>
          <w:tcPr>
            <w:tcW w:w="2693" w:type="dxa"/>
            <w:vAlign w:val="center"/>
          </w:tcPr>
          <w:p w:rsidR="00C223F5" w:rsidRDefault="005860D5">
            <w:pPr>
              <w:jc w:val="center"/>
              <w:rPr>
                <w:spacing w:val="4"/>
                <w:szCs w:val="21"/>
              </w:rPr>
            </w:pPr>
            <w:r>
              <w:rPr>
                <w:rFonts w:hint="eastAsia"/>
                <w:spacing w:val="4"/>
                <w:szCs w:val="21"/>
              </w:rPr>
              <w:t>/</w:t>
            </w:r>
          </w:p>
        </w:tc>
      </w:tr>
      <w:tr w:rsidR="00C223F5">
        <w:trPr>
          <w:trHeight w:val="65"/>
          <w:tblHeader/>
          <w:jc w:val="center"/>
        </w:trPr>
        <w:tc>
          <w:tcPr>
            <w:tcW w:w="640" w:type="dxa"/>
            <w:vMerge/>
            <w:vAlign w:val="center"/>
          </w:tcPr>
          <w:p w:rsidR="00C223F5" w:rsidRDefault="00C223F5">
            <w:pPr>
              <w:spacing w:line="320" w:lineRule="exact"/>
              <w:jc w:val="center"/>
              <w:rPr>
                <w:szCs w:val="21"/>
              </w:rPr>
            </w:pPr>
          </w:p>
        </w:tc>
        <w:tc>
          <w:tcPr>
            <w:tcW w:w="1042" w:type="dxa"/>
            <w:vAlign w:val="center"/>
          </w:tcPr>
          <w:p w:rsidR="00C223F5" w:rsidRDefault="005860D5">
            <w:pPr>
              <w:adjustRightInd w:val="0"/>
              <w:jc w:val="center"/>
              <w:rPr>
                <w:szCs w:val="21"/>
              </w:rPr>
            </w:pPr>
            <w:r>
              <w:rPr>
                <w:szCs w:val="21"/>
              </w:rPr>
              <w:t>劳动定员</w:t>
            </w:r>
          </w:p>
        </w:tc>
        <w:tc>
          <w:tcPr>
            <w:tcW w:w="4111" w:type="dxa"/>
            <w:vAlign w:val="center"/>
          </w:tcPr>
          <w:p w:rsidR="00C223F5" w:rsidRDefault="005860D5">
            <w:pPr>
              <w:autoSpaceDE w:val="0"/>
              <w:autoSpaceDN w:val="0"/>
              <w:adjustRightInd w:val="0"/>
              <w:snapToGrid w:val="0"/>
              <w:jc w:val="center"/>
              <w:rPr>
                <w:kern w:val="0"/>
                <w:position w:val="-1"/>
                <w:szCs w:val="21"/>
              </w:rPr>
            </w:pPr>
            <w:r>
              <w:rPr>
                <w:rFonts w:hint="eastAsia"/>
                <w:kern w:val="0"/>
                <w:position w:val="-1"/>
                <w:szCs w:val="21"/>
              </w:rPr>
              <w:t>168</w:t>
            </w:r>
            <w:r>
              <w:rPr>
                <w:rFonts w:hint="eastAsia"/>
                <w:kern w:val="0"/>
                <w:position w:val="-1"/>
                <w:szCs w:val="21"/>
              </w:rPr>
              <w:t>人</w:t>
            </w:r>
          </w:p>
        </w:tc>
        <w:tc>
          <w:tcPr>
            <w:tcW w:w="854"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w:t>
            </w:r>
          </w:p>
        </w:tc>
        <w:tc>
          <w:tcPr>
            <w:tcW w:w="3878" w:type="dxa"/>
            <w:vAlign w:val="center"/>
          </w:tcPr>
          <w:p w:rsidR="00C223F5" w:rsidRDefault="005860D5">
            <w:pPr>
              <w:jc w:val="center"/>
              <w:rPr>
                <w:iCs/>
                <w:szCs w:val="21"/>
              </w:rPr>
            </w:pPr>
            <w:r>
              <w:rPr>
                <w:rFonts w:hint="eastAsia"/>
                <w:szCs w:val="21"/>
              </w:rPr>
              <w:t>565</w:t>
            </w:r>
            <w:r>
              <w:rPr>
                <w:rFonts w:hint="eastAsia"/>
                <w:kern w:val="0"/>
                <w:position w:val="-1"/>
                <w:szCs w:val="21"/>
              </w:rPr>
              <w:t>人</w:t>
            </w:r>
          </w:p>
        </w:tc>
        <w:tc>
          <w:tcPr>
            <w:tcW w:w="1316" w:type="dxa"/>
            <w:vAlign w:val="center"/>
          </w:tcPr>
          <w:p w:rsidR="00C223F5" w:rsidRDefault="005860D5">
            <w:pPr>
              <w:jc w:val="center"/>
              <w:rPr>
                <w:szCs w:val="21"/>
              </w:rPr>
            </w:pPr>
            <w:r>
              <w:rPr>
                <w:rFonts w:hint="eastAsia"/>
                <w:szCs w:val="21"/>
              </w:rPr>
              <w:t>/</w:t>
            </w:r>
          </w:p>
        </w:tc>
        <w:tc>
          <w:tcPr>
            <w:tcW w:w="2693" w:type="dxa"/>
            <w:vAlign w:val="center"/>
          </w:tcPr>
          <w:p w:rsidR="00C223F5" w:rsidRDefault="005860D5">
            <w:pPr>
              <w:jc w:val="center"/>
              <w:rPr>
                <w:spacing w:val="4"/>
                <w:szCs w:val="21"/>
              </w:rPr>
            </w:pPr>
            <w:r>
              <w:rPr>
                <w:rFonts w:hint="eastAsia"/>
                <w:spacing w:val="4"/>
                <w:szCs w:val="21"/>
              </w:rPr>
              <w:t>/</w:t>
            </w:r>
          </w:p>
        </w:tc>
      </w:tr>
    </w:tbl>
    <w:p w:rsidR="00C223F5" w:rsidRDefault="00C223F5">
      <w:pPr>
        <w:tabs>
          <w:tab w:val="left" w:pos="3885"/>
        </w:tabs>
        <w:topLinePunct/>
        <w:jc w:val="center"/>
        <w:rPr>
          <w:rFonts w:hAnsi="宋体"/>
          <w:b/>
          <w:bCs/>
          <w:color w:val="FF0000"/>
          <w:sz w:val="24"/>
        </w:rPr>
      </w:pPr>
    </w:p>
    <w:p w:rsidR="00C223F5" w:rsidRDefault="00C223F5">
      <w:pPr>
        <w:spacing w:line="360" w:lineRule="auto"/>
        <w:ind w:firstLineChars="200" w:firstLine="480"/>
        <w:rPr>
          <w:rFonts w:ascii="宋体" w:hAnsi="宋体"/>
          <w:bCs/>
          <w:sz w:val="24"/>
        </w:rPr>
        <w:sectPr w:rsidR="00C223F5" w:rsidSect="00C17378">
          <w:pgSz w:w="16840" w:h="11907" w:orient="landscape"/>
          <w:pgMar w:top="1588" w:right="1440" w:bottom="1588" w:left="1440" w:header="851" w:footer="992" w:gutter="0"/>
          <w:cols w:space="425"/>
          <w:docGrid w:linePitch="312"/>
        </w:sectPr>
      </w:pPr>
    </w:p>
    <w:p w:rsidR="002B21D1" w:rsidRDefault="002B21D1" w:rsidP="004835BD">
      <w:pPr>
        <w:pStyle w:val="4"/>
        <w:spacing w:before="0" w:after="0" w:line="360" w:lineRule="auto"/>
        <w:ind w:firstLineChars="100" w:firstLine="240"/>
        <w:rPr>
          <w:szCs w:val="24"/>
        </w:rPr>
      </w:pPr>
      <w:r>
        <w:rPr>
          <w:rFonts w:hint="eastAsia"/>
          <w:szCs w:val="24"/>
        </w:rPr>
        <w:lastRenderedPageBreak/>
        <w:t>2.1.2.4</w:t>
      </w:r>
      <w:r>
        <w:rPr>
          <w:rFonts w:hint="eastAsia"/>
          <w:szCs w:val="24"/>
        </w:rPr>
        <w:t>产品方案及流向</w:t>
      </w:r>
    </w:p>
    <w:p w:rsidR="002B21D1" w:rsidRDefault="002B21D1" w:rsidP="002B21D1">
      <w:pPr>
        <w:tabs>
          <w:tab w:val="left" w:pos="2565"/>
        </w:tabs>
        <w:spacing w:line="360" w:lineRule="auto"/>
        <w:ind w:firstLineChars="200" w:firstLine="480"/>
        <w:rPr>
          <w:rFonts w:eastAsia="新宋体"/>
          <w:sz w:val="24"/>
        </w:rPr>
      </w:pPr>
      <w:r>
        <w:rPr>
          <w:rFonts w:eastAsia="新宋体"/>
          <w:sz w:val="24"/>
        </w:rPr>
        <w:t>（</w:t>
      </w:r>
      <w:r>
        <w:rPr>
          <w:rFonts w:eastAsia="新宋体"/>
          <w:sz w:val="24"/>
        </w:rPr>
        <w:t>1</w:t>
      </w:r>
      <w:r>
        <w:rPr>
          <w:rFonts w:eastAsia="新宋体"/>
          <w:sz w:val="24"/>
        </w:rPr>
        <w:t>）产品方案</w:t>
      </w:r>
    </w:p>
    <w:p w:rsidR="002B21D1" w:rsidRDefault="002B21D1" w:rsidP="002B21D1">
      <w:pPr>
        <w:spacing w:line="360" w:lineRule="auto"/>
        <w:ind w:firstLineChars="200" w:firstLine="480"/>
        <w:rPr>
          <w:sz w:val="24"/>
          <w:szCs w:val="22"/>
        </w:rPr>
      </w:pPr>
      <w:r>
        <w:rPr>
          <w:sz w:val="24"/>
        </w:rPr>
        <w:t>矿井</w:t>
      </w:r>
      <w:r>
        <w:rPr>
          <w:rFonts w:hAnsi="宋体"/>
          <w:sz w:val="24"/>
        </w:rPr>
        <w:t>原煤通过主斜井带式输送机运输至地面，从主斜井驱动机房直接转载运至原煤仓，通过仓上分级式齿辊破碎机将原煤破碎至</w:t>
      </w:r>
      <w:r>
        <w:rPr>
          <w:sz w:val="24"/>
        </w:rPr>
        <w:t>150mm</w:t>
      </w:r>
      <w:r>
        <w:rPr>
          <w:rFonts w:hAnsi="宋体"/>
          <w:sz w:val="24"/>
        </w:rPr>
        <w:t>以下，破碎后原煤（</w:t>
      </w:r>
      <w:r>
        <w:rPr>
          <w:sz w:val="24"/>
        </w:rPr>
        <w:t>-150mm</w:t>
      </w:r>
      <w:r>
        <w:rPr>
          <w:rFonts w:hAnsi="宋体"/>
          <w:sz w:val="24"/>
        </w:rPr>
        <w:t>）通过溜槽进入原煤仓进行储存。原煤仓储存后，原煤经过仓下带式输送机运至筛分破</w:t>
      </w:r>
      <w:r w:rsidRPr="00925B84">
        <w:rPr>
          <w:rFonts w:hAnsi="宋体"/>
          <w:sz w:val="24"/>
        </w:rPr>
        <w:t>碎车间进行筛分、智能排矸、破碎后，入洗原煤通过带式输送机运至主厂房，经过</w:t>
      </w:r>
      <w:r w:rsidRPr="00925B84">
        <w:rPr>
          <w:rFonts w:hAnsi="宋体"/>
          <w:bCs/>
          <w:sz w:val="24"/>
        </w:rPr>
        <w:t>无压三产品重介旋流器一次性分选出精煤、中煤和矸石，分别由</w:t>
      </w:r>
      <w:r w:rsidRPr="00925B84">
        <w:rPr>
          <w:rFonts w:hAnsi="宋体"/>
          <w:sz w:val="24"/>
        </w:rPr>
        <w:t>带式输送机运至产品仓及矸石仓，通过汽车销售外运；压滤煤泥通过带式输送机运至</w:t>
      </w:r>
      <w:r w:rsidRPr="00925B84">
        <w:rPr>
          <w:rFonts w:hAnsi="宋体" w:hint="eastAsia"/>
          <w:sz w:val="24"/>
        </w:rPr>
        <w:t>产品仓</w:t>
      </w:r>
      <w:r w:rsidRPr="00925B84">
        <w:rPr>
          <w:rFonts w:hAnsi="宋体"/>
          <w:sz w:val="24"/>
        </w:rPr>
        <w:t>作为电煤销售。</w:t>
      </w:r>
      <w:r w:rsidRPr="00925B84">
        <w:rPr>
          <w:sz w:val="24"/>
          <w:szCs w:val="22"/>
        </w:rPr>
        <w:t>本工程最终产品平衡见表</w:t>
      </w:r>
      <w:r w:rsidRPr="00925B84">
        <w:rPr>
          <w:sz w:val="24"/>
          <w:szCs w:val="22"/>
        </w:rPr>
        <w:t>2</w:t>
      </w:r>
      <w:r>
        <w:rPr>
          <w:sz w:val="24"/>
          <w:szCs w:val="22"/>
        </w:rPr>
        <w:t>.1.2-2</w:t>
      </w:r>
      <w:r>
        <w:rPr>
          <w:rFonts w:hint="eastAsia"/>
          <w:sz w:val="24"/>
          <w:szCs w:val="22"/>
        </w:rPr>
        <w:t>。</w:t>
      </w:r>
    </w:p>
    <w:p w:rsidR="00C223F5" w:rsidRPr="00925B84" w:rsidRDefault="005860D5" w:rsidP="002B21D1">
      <w:pPr>
        <w:spacing w:line="360" w:lineRule="auto"/>
        <w:ind w:firstLineChars="200" w:firstLine="480"/>
        <w:rPr>
          <w:rFonts w:hAnsi="宋体"/>
          <w:sz w:val="24"/>
        </w:rPr>
      </w:pPr>
      <w:r>
        <w:rPr>
          <w:rFonts w:hint="eastAsia"/>
          <w:sz w:val="24"/>
        </w:rPr>
        <w:t>（</w:t>
      </w:r>
      <w:r>
        <w:rPr>
          <w:rFonts w:hint="eastAsia"/>
          <w:sz w:val="24"/>
        </w:rPr>
        <w:t>2</w:t>
      </w:r>
      <w:r>
        <w:rPr>
          <w:rFonts w:hint="eastAsia"/>
          <w:sz w:val="24"/>
        </w:rPr>
        <w:t>）产品流向：</w:t>
      </w:r>
      <w:r>
        <w:rPr>
          <w:rFonts w:ascii="宋体" w:hAnsi="宋体" w:hint="eastAsia"/>
          <w:sz w:val="24"/>
        </w:rPr>
        <w:t>原</w:t>
      </w:r>
      <w:r w:rsidRPr="00925B84">
        <w:rPr>
          <w:rFonts w:ascii="宋体" w:hAnsi="宋体" w:hint="eastAsia"/>
          <w:sz w:val="24"/>
        </w:rPr>
        <w:t>煤全部入洗，</w:t>
      </w:r>
      <w:r w:rsidRPr="00925B84">
        <w:rPr>
          <w:rFonts w:hAnsi="宋体" w:hint="eastAsia"/>
          <w:sz w:val="24"/>
        </w:rPr>
        <w:t>当主采原煤为气煤时，</w:t>
      </w:r>
      <w:r w:rsidRPr="00925B84">
        <w:rPr>
          <w:rFonts w:hAnsi="宋体"/>
          <w:sz w:val="24"/>
        </w:rPr>
        <w:t>精煤可供山西</w:t>
      </w:r>
      <w:r w:rsidRPr="00925B84">
        <w:rPr>
          <w:rFonts w:hAnsi="宋体" w:hint="eastAsia"/>
          <w:sz w:val="24"/>
        </w:rPr>
        <w:t>美锦集团</w:t>
      </w:r>
      <w:r w:rsidRPr="00925B84">
        <w:rPr>
          <w:rFonts w:hAnsi="宋体"/>
          <w:sz w:val="24"/>
        </w:rPr>
        <w:t>焦化厂做炼焦配煤</w:t>
      </w:r>
      <w:r w:rsidRPr="00925B84">
        <w:rPr>
          <w:rFonts w:hAnsi="宋体" w:hint="eastAsia"/>
          <w:sz w:val="24"/>
        </w:rPr>
        <w:t>；当主采原煤为长焰煤时，精煤主要作为气化用煤，供陕西、山西等地使用。</w:t>
      </w:r>
    </w:p>
    <w:p w:rsidR="00C223F5" w:rsidRPr="00925B84" w:rsidRDefault="005860D5">
      <w:pPr>
        <w:jc w:val="center"/>
        <w:rPr>
          <w:rFonts w:hAnsi="宋体"/>
          <w:b/>
          <w:sz w:val="24"/>
        </w:rPr>
      </w:pPr>
      <w:r w:rsidRPr="00925B84">
        <w:rPr>
          <w:rFonts w:hAnsi="宋体"/>
          <w:b/>
          <w:sz w:val="24"/>
        </w:rPr>
        <w:t>表</w:t>
      </w:r>
      <w:r w:rsidRPr="00925B84">
        <w:rPr>
          <w:rFonts w:hAnsi="宋体" w:hint="eastAsia"/>
          <w:b/>
          <w:sz w:val="24"/>
        </w:rPr>
        <w:t xml:space="preserve">2.1.2-2   </w:t>
      </w:r>
      <w:r w:rsidRPr="00925B84">
        <w:rPr>
          <w:rFonts w:hAnsi="宋体" w:hint="eastAsia"/>
          <w:b/>
          <w:sz w:val="24"/>
        </w:rPr>
        <w:t>选煤厂最终产品平衡表</w:t>
      </w:r>
    </w:p>
    <w:tbl>
      <w:tblPr>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476"/>
        <w:gridCol w:w="794"/>
        <w:gridCol w:w="794"/>
        <w:gridCol w:w="921"/>
        <w:gridCol w:w="816"/>
        <w:gridCol w:w="756"/>
        <w:gridCol w:w="923"/>
        <w:gridCol w:w="1605"/>
      </w:tblGrid>
      <w:tr w:rsidR="00C223F5" w:rsidRPr="00925B84">
        <w:trPr>
          <w:trHeight w:val="300"/>
        </w:trPr>
        <w:tc>
          <w:tcPr>
            <w:tcW w:w="2112" w:type="dxa"/>
            <w:gridSpan w:val="2"/>
            <w:vMerge w:val="restart"/>
            <w:shd w:val="clear" w:color="auto" w:fill="auto"/>
            <w:vAlign w:val="center"/>
          </w:tcPr>
          <w:p w:rsidR="00C223F5" w:rsidRPr="00925B84" w:rsidRDefault="005860D5">
            <w:pPr>
              <w:widowControl/>
              <w:jc w:val="center"/>
              <w:rPr>
                <w:b/>
                <w:bCs/>
                <w:kern w:val="0"/>
                <w:szCs w:val="21"/>
              </w:rPr>
            </w:pPr>
            <w:r w:rsidRPr="00925B84">
              <w:rPr>
                <w:rFonts w:hAnsi="宋体"/>
                <w:b/>
                <w:bCs/>
                <w:kern w:val="0"/>
                <w:szCs w:val="21"/>
              </w:rPr>
              <w:t>产品名称</w:t>
            </w:r>
          </w:p>
        </w:tc>
        <w:tc>
          <w:tcPr>
            <w:tcW w:w="3325" w:type="dxa"/>
            <w:gridSpan w:val="4"/>
            <w:shd w:val="clear" w:color="auto" w:fill="auto"/>
            <w:vAlign w:val="center"/>
          </w:tcPr>
          <w:p w:rsidR="00C223F5" w:rsidRPr="00925B84" w:rsidRDefault="005860D5">
            <w:pPr>
              <w:widowControl/>
              <w:jc w:val="center"/>
              <w:rPr>
                <w:b/>
                <w:bCs/>
                <w:kern w:val="0"/>
                <w:szCs w:val="21"/>
              </w:rPr>
            </w:pPr>
            <w:r w:rsidRPr="00925B84">
              <w:rPr>
                <w:rFonts w:hAnsi="宋体"/>
                <w:b/>
                <w:bCs/>
                <w:kern w:val="0"/>
                <w:szCs w:val="21"/>
              </w:rPr>
              <w:t>数量</w:t>
            </w:r>
          </w:p>
        </w:tc>
        <w:tc>
          <w:tcPr>
            <w:tcW w:w="3284" w:type="dxa"/>
            <w:gridSpan w:val="3"/>
            <w:shd w:val="clear" w:color="auto" w:fill="auto"/>
            <w:vAlign w:val="center"/>
          </w:tcPr>
          <w:p w:rsidR="00C223F5" w:rsidRPr="00925B84" w:rsidRDefault="005860D5">
            <w:pPr>
              <w:widowControl/>
              <w:jc w:val="center"/>
              <w:rPr>
                <w:b/>
                <w:bCs/>
                <w:kern w:val="0"/>
                <w:szCs w:val="21"/>
              </w:rPr>
            </w:pPr>
            <w:r w:rsidRPr="00925B84">
              <w:rPr>
                <w:rFonts w:hAnsi="宋体"/>
                <w:b/>
                <w:bCs/>
                <w:kern w:val="0"/>
                <w:szCs w:val="21"/>
              </w:rPr>
              <w:t>质量</w:t>
            </w:r>
          </w:p>
        </w:tc>
      </w:tr>
      <w:tr w:rsidR="00C223F5" w:rsidRPr="00925B84">
        <w:trPr>
          <w:trHeight w:val="285"/>
        </w:trPr>
        <w:tc>
          <w:tcPr>
            <w:tcW w:w="2112" w:type="dxa"/>
            <w:gridSpan w:val="2"/>
            <w:vMerge/>
            <w:vAlign w:val="center"/>
          </w:tcPr>
          <w:p w:rsidR="00C223F5" w:rsidRPr="00925B84" w:rsidRDefault="00C223F5">
            <w:pPr>
              <w:widowControl/>
              <w:jc w:val="left"/>
              <w:rPr>
                <w:b/>
                <w:bCs/>
                <w:kern w:val="0"/>
                <w:szCs w:val="21"/>
              </w:rPr>
            </w:pPr>
          </w:p>
        </w:tc>
        <w:tc>
          <w:tcPr>
            <w:tcW w:w="794" w:type="dxa"/>
            <w:shd w:val="clear" w:color="auto" w:fill="auto"/>
            <w:vAlign w:val="center"/>
          </w:tcPr>
          <w:p w:rsidR="00C223F5" w:rsidRPr="00925B84" w:rsidRDefault="005860D5">
            <w:pPr>
              <w:widowControl/>
              <w:jc w:val="center"/>
              <w:rPr>
                <w:b/>
                <w:bCs/>
                <w:kern w:val="0"/>
                <w:szCs w:val="21"/>
              </w:rPr>
            </w:pPr>
            <w:r w:rsidRPr="00925B84">
              <w:rPr>
                <w:rFonts w:hAnsi="宋体"/>
                <w:b/>
                <w:bCs/>
                <w:kern w:val="0"/>
                <w:szCs w:val="21"/>
              </w:rPr>
              <w:t>产率</w:t>
            </w:r>
          </w:p>
        </w:tc>
        <w:tc>
          <w:tcPr>
            <w:tcW w:w="2531" w:type="dxa"/>
            <w:gridSpan w:val="3"/>
            <w:shd w:val="clear" w:color="auto" w:fill="auto"/>
            <w:vAlign w:val="center"/>
          </w:tcPr>
          <w:p w:rsidR="00C223F5" w:rsidRPr="00925B84" w:rsidRDefault="005860D5">
            <w:pPr>
              <w:widowControl/>
              <w:jc w:val="center"/>
              <w:rPr>
                <w:b/>
                <w:bCs/>
                <w:kern w:val="0"/>
                <w:szCs w:val="21"/>
              </w:rPr>
            </w:pPr>
            <w:r w:rsidRPr="00925B84">
              <w:rPr>
                <w:rFonts w:hAnsi="宋体"/>
                <w:b/>
                <w:bCs/>
                <w:kern w:val="0"/>
                <w:szCs w:val="21"/>
              </w:rPr>
              <w:t>产量</w:t>
            </w:r>
          </w:p>
        </w:tc>
        <w:tc>
          <w:tcPr>
            <w:tcW w:w="756" w:type="dxa"/>
            <w:shd w:val="clear" w:color="auto" w:fill="auto"/>
            <w:vAlign w:val="center"/>
          </w:tcPr>
          <w:p w:rsidR="00C223F5" w:rsidRPr="00925B84" w:rsidRDefault="005860D5">
            <w:pPr>
              <w:widowControl/>
              <w:jc w:val="center"/>
              <w:rPr>
                <w:b/>
                <w:bCs/>
                <w:kern w:val="0"/>
                <w:szCs w:val="21"/>
              </w:rPr>
            </w:pPr>
            <w:r w:rsidRPr="00925B84">
              <w:rPr>
                <w:rFonts w:hAnsi="宋体"/>
                <w:b/>
                <w:bCs/>
                <w:kern w:val="0"/>
                <w:szCs w:val="21"/>
              </w:rPr>
              <w:t>灰分</w:t>
            </w:r>
          </w:p>
        </w:tc>
        <w:tc>
          <w:tcPr>
            <w:tcW w:w="923" w:type="dxa"/>
            <w:shd w:val="clear" w:color="auto" w:fill="auto"/>
            <w:vAlign w:val="center"/>
          </w:tcPr>
          <w:p w:rsidR="00C223F5" w:rsidRPr="00925B84" w:rsidRDefault="005860D5">
            <w:pPr>
              <w:widowControl/>
              <w:jc w:val="center"/>
              <w:rPr>
                <w:b/>
                <w:bCs/>
                <w:kern w:val="0"/>
                <w:szCs w:val="21"/>
              </w:rPr>
            </w:pPr>
            <w:r w:rsidRPr="00925B84">
              <w:rPr>
                <w:rFonts w:hAnsi="宋体"/>
                <w:b/>
                <w:bCs/>
                <w:kern w:val="0"/>
                <w:szCs w:val="21"/>
              </w:rPr>
              <w:t>全水分</w:t>
            </w:r>
          </w:p>
        </w:tc>
        <w:tc>
          <w:tcPr>
            <w:tcW w:w="1605" w:type="dxa"/>
            <w:shd w:val="clear" w:color="auto" w:fill="auto"/>
            <w:vAlign w:val="bottom"/>
          </w:tcPr>
          <w:p w:rsidR="00C223F5" w:rsidRPr="00925B84" w:rsidRDefault="005860D5">
            <w:pPr>
              <w:widowControl/>
              <w:jc w:val="center"/>
              <w:rPr>
                <w:b/>
                <w:bCs/>
                <w:kern w:val="0"/>
                <w:szCs w:val="21"/>
              </w:rPr>
            </w:pPr>
            <w:r w:rsidRPr="00925B84">
              <w:rPr>
                <w:rFonts w:hAnsi="宋体"/>
                <w:b/>
                <w:bCs/>
                <w:kern w:val="0"/>
                <w:szCs w:val="21"/>
              </w:rPr>
              <w:t>发热量</w:t>
            </w:r>
          </w:p>
        </w:tc>
      </w:tr>
      <w:tr w:rsidR="00C223F5" w:rsidRPr="00925B84">
        <w:trPr>
          <w:trHeight w:val="285"/>
        </w:trPr>
        <w:tc>
          <w:tcPr>
            <w:tcW w:w="2112" w:type="dxa"/>
            <w:gridSpan w:val="2"/>
            <w:vMerge/>
            <w:vAlign w:val="center"/>
          </w:tcPr>
          <w:p w:rsidR="00C223F5" w:rsidRPr="00925B84" w:rsidRDefault="00C223F5">
            <w:pPr>
              <w:widowControl/>
              <w:jc w:val="left"/>
              <w:rPr>
                <w:b/>
                <w:bCs/>
                <w:kern w:val="0"/>
                <w:szCs w:val="21"/>
              </w:rPr>
            </w:pPr>
          </w:p>
        </w:tc>
        <w:tc>
          <w:tcPr>
            <w:tcW w:w="794" w:type="dxa"/>
            <w:shd w:val="clear" w:color="auto" w:fill="auto"/>
            <w:vAlign w:val="center"/>
          </w:tcPr>
          <w:p w:rsidR="00C223F5" w:rsidRPr="00925B84" w:rsidRDefault="005860D5">
            <w:pPr>
              <w:widowControl/>
              <w:jc w:val="center"/>
              <w:rPr>
                <w:b/>
                <w:bCs/>
                <w:kern w:val="0"/>
                <w:szCs w:val="21"/>
              </w:rPr>
            </w:pPr>
            <w:r w:rsidRPr="00925B84">
              <w:rPr>
                <w:b/>
                <w:bCs/>
                <w:kern w:val="0"/>
                <w:szCs w:val="21"/>
              </w:rPr>
              <w:t>γ/%</w:t>
            </w:r>
          </w:p>
        </w:tc>
        <w:tc>
          <w:tcPr>
            <w:tcW w:w="794" w:type="dxa"/>
            <w:shd w:val="clear" w:color="auto" w:fill="auto"/>
            <w:vAlign w:val="center"/>
          </w:tcPr>
          <w:p w:rsidR="00C223F5" w:rsidRPr="00925B84" w:rsidRDefault="005860D5">
            <w:pPr>
              <w:widowControl/>
              <w:jc w:val="center"/>
              <w:rPr>
                <w:b/>
                <w:bCs/>
                <w:kern w:val="0"/>
                <w:szCs w:val="21"/>
              </w:rPr>
            </w:pPr>
            <w:r w:rsidRPr="00925B84">
              <w:rPr>
                <w:b/>
                <w:bCs/>
                <w:kern w:val="0"/>
                <w:szCs w:val="21"/>
              </w:rPr>
              <w:t>t/h</w:t>
            </w:r>
          </w:p>
        </w:tc>
        <w:tc>
          <w:tcPr>
            <w:tcW w:w="921" w:type="dxa"/>
            <w:shd w:val="clear" w:color="auto" w:fill="auto"/>
            <w:vAlign w:val="center"/>
          </w:tcPr>
          <w:p w:rsidR="00C223F5" w:rsidRPr="00925B84" w:rsidRDefault="005860D5">
            <w:pPr>
              <w:widowControl/>
              <w:jc w:val="center"/>
              <w:rPr>
                <w:b/>
                <w:bCs/>
                <w:kern w:val="0"/>
                <w:szCs w:val="21"/>
              </w:rPr>
            </w:pPr>
            <w:r w:rsidRPr="00925B84">
              <w:rPr>
                <w:b/>
                <w:bCs/>
                <w:kern w:val="0"/>
                <w:szCs w:val="21"/>
              </w:rPr>
              <w:t>t/d</w:t>
            </w:r>
          </w:p>
        </w:tc>
        <w:tc>
          <w:tcPr>
            <w:tcW w:w="816" w:type="dxa"/>
            <w:shd w:val="clear" w:color="auto" w:fill="auto"/>
            <w:vAlign w:val="center"/>
          </w:tcPr>
          <w:p w:rsidR="00C223F5" w:rsidRPr="00925B84" w:rsidRDefault="005860D5">
            <w:pPr>
              <w:widowControl/>
              <w:jc w:val="center"/>
              <w:rPr>
                <w:b/>
                <w:bCs/>
                <w:kern w:val="0"/>
                <w:szCs w:val="21"/>
              </w:rPr>
            </w:pPr>
            <w:r w:rsidRPr="00925B84">
              <w:rPr>
                <w:b/>
                <w:bCs/>
                <w:kern w:val="0"/>
                <w:szCs w:val="21"/>
              </w:rPr>
              <w:t>10kt/a</w:t>
            </w:r>
          </w:p>
        </w:tc>
        <w:tc>
          <w:tcPr>
            <w:tcW w:w="756" w:type="dxa"/>
            <w:shd w:val="clear" w:color="auto" w:fill="auto"/>
            <w:vAlign w:val="center"/>
          </w:tcPr>
          <w:p w:rsidR="00C223F5" w:rsidRPr="00925B84" w:rsidRDefault="005860D5">
            <w:pPr>
              <w:widowControl/>
              <w:jc w:val="center"/>
              <w:rPr>
                <w:b/>
                <w:bCs/>
                <w:kern w:val="0"/>
                <w:szCs w:val="21"/>
              </w:rPr>
            </w:pPr>
            <w:r w:rsidRPr="00925B84">
              <w:rPr>
                <w:b/>
                <w:bCs/>
                <w:kern w:val="0"/>
                <w:szCs w:val="21"/>
              </w:rPr>
              <w:t>Ad/%</w:t>
            </w:r>
          </w:p>
        </w:tc>
        <w:tc>
          <w:tcPr>
            <w:tcW w:w="923" w:type="dxa"/>
            <w:shd w:val="clear" w:color="auto" w:fill="auto"/>
            <w:vAlign w:val="center"/>
          </w:tcPr>
          <w:p w:rsidR="00C223F5" w:rsidRPr="00925B84" w:rsidRDefault="005860D5">
            <w:pPr>
              <w:widowControl/>
              <w:jc w:val="center"/>
              <w:rPr>
                <w:b/>
                <w:bCs/>
                <w:kern w:val="0"/>
                <w:szCs w:val="21"/>
              </w:rPr>
            </w:pPr>
            <w:r w:rsidRPr="00925B84">
              <w:rPr>
                <w:b/>
                <w:bCs/>
                <w:kern w:val="0"/>
                <w:szCs w:val="21"/>
              </w:rPr>
              <w:t>Mt/%</w:t>
            </w:r>
          </w:p>
        </w:tc>
        <w:tc>
          <w:tcPr>
            <w:tcW w:w="1605" w:type="dxa"/>
            <w:shd w:val="clear" w:color="auto" w:fill="auto"/>
            <w:vAlign w:val="center"/>
          </w:tcPr>
          <w:p w:rsidR="00C223F5" w:rsidRPr="00925B84" w:rsidRDefault="005860D5">
            <w:pPr>
              <w:widowControl/>
              <w:jc w:val="center"/>
              <w:rPr>
                <w:b/>
                <w:bCs/>
                <w:kern w:val="0"/>
                <w:szCs w:val="21"/>
              </w:rPr>
            </w:pPr>
            <w:proofErr w:type="spellStart"/>
            <w:r w:rsidRPr="00925B84">
              <w:rPr>
                <w:b/>
                <w:bCs/>
                <w:kern w:val="0"/>
                <w:szCs w:val="21"/>
              </w:rPr>
              <w:t>Qnet,ar</w:t>
            </w:r>
            <w:proofErr w:type="spellEnd"/>
            <w:r w:rsidRPr="00925B84">
              <w:rPr>
                <w:rFonts w:hint="eastAsia"/>
                <w:b/>
                <w:bCs/>
                <w:kern w:val="0"/>
                <w:szCs w:val="21"/>
              </w:rPr>
              <w:t>/</w:t>
            </w:r>
            <w:r w:rsidRPr="00925B84">
              <w:rPr>
                <w:bCs/>
                <w:kern w:val="0"/>
                <w:szCs w:val="21"/>
              </w:rPr>
              <w:t xml:space="preserve"> MJ/Kg</w:t>
            </w:r>
          </w:p>
        </w:tc>
      </w:tr>
      <w:tr w:rsidR="00C223F5" w:rsidRPr="00925B84">
        <w:trPr>
          <w:trHeight w:val="300"/>
        </w:trPr>
        <w:tc>
          <w:tcPr>
            <w:tcW w:w="636" w:type="dxa"/>
            <w:vMerge w:val="restart"/>
            <w:shd w:val="clear" w:color="auto" w:fill="auto"/>
            <w:vAlign w:val="center"/>
          </w:tcPr>
          <w:p w:rsidR="00C223F5" w:rsidRPr="00925B84" w:rsidRDefault="005860D5">
            <w:pPr>
              <w:widowControl/>
              <w:jc w:val="center"/>
              <w:rPr>
                <w:kern w:val="0"/>
                <w:szCs w:val="21"/>
              </w:rPr>
            </w:pPr>
            <w:r w:rsidRPr="00925B84">
              <w:rPr>
                <w:rFonts w:hAnsi="宋体"/>
                <w:kern w:val="0"/>
                <w:szCs w:val="21"/>
              </w:rPr>
              <w:t>精煤</w:t>
            </w:r>
          </w:p>
        </w:tc>
        <w:tc>
          <w:tcPr>
            <w:tcW w:w="1476" w:type="dxa"/>
            <w:shd w:val="clear" w:color="auto" w:fill="auto"/>
            <w:vAlign w:val="center"/>
          </w:tcPr>
          <w:p w:rsidR="00C223F5" w:rsidRPr="00925B84" w:rsidRDefault="005860D5">
            <w:pPr>
              <w:widowControl/>
              <w:jc w:val="center"/>
              <w:rPr>
                <w:kern w:val="0"/>
                <w:szCs w:val="21"/>
              </w:rPr>
            </w:pPr>
            <w:r w:rsidRPr="00925B84">
              <w:rPr>
                <w:rFonts w:hAnsi="宋体"/>
                <w:kern w:val="0"/>
                <w:szCs w:val="21"/>
              </w:rPr>
              <w:t>旋流器精煤</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47.55 </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81.06 </w:t>
            </w:r>
          </w:p>
        </w:tc>
        <w:tc>
          <w:tcPr>
            <w:tcW w:w="921" w:type="dxa"/>
            <w:shd w:val="clear" w:color="auto" w:fill="auto"/>
            <w:vAlign w:val="center"/>
          </w:tcPr>
          <w:p w:rsidR="00C223F5" w:rsidRPr="00925B84" w:rsidRDefault="005860D5">
            <w:pPr>
              <w:widowControl/>
              <w:jc w:val="center"/>
              <w:rPr>
                <w:kern w:val="0"/>
                <w:szCs w:val="21"/>
              </w:rPr>
            </w:pPr>
            <w:r w:rsidRPr="00925B84">
              <w:rPr>
                <w:kern w:val="0"/>
                <w:szCs w:val="21"/>
              </w:rPr>
              <w:t xml:space="preserve">1296.90 </w:t>
            </w:r>
          </w:p>
        </w:tc>
        <w:tc>
          <w:tcPr>
            <w:tcW w:w="816" w:type="dxa"/>
            <w:shd w:val="clear" w:color="auto" w:fill="auto"/>
            <w:vAlign w:val="center"/>
          </w:tcPr>
          <w:p w:rsidR="00C223F5" w:rsidRPr="00925B84" w:rsidRDefault="005860D5">
            <w:pPr>
              <w:widowControl/>
              <w:jc w:val="center"/>
              <w:rPr>
                <w:kern w:val="0"/>
                <w:szCs w:val="21"/>
              </w:rPr>
            </w:pPr>
            <w:r w:rsidRPr="00925B84">
              <w:rPr>
                <w:kern w:val="0"/>
                <w:szCs w:val="21"/>
              </w:rPr>
              <w:t xml:space="preserve">42.80 </w:t>
            </w:r>
          </w:p>
        </w:tc>
        <w:tc>
          <w:tcPr>
            <w:tcW w:w="756" w:type="dxa"/>
            <w:shd w:val="clear" w:color="auto" w:fill="auto"/>
            <w:vAlign w:val="center"/>
          </w:tcPr>
          <w:p w:rsidR="00C223F5" w:rsidRPr="00925B84" w:rsidRDefault="005860D5">
            <w:pPr>
              <w:widowControl/>
              <w:jc w:val="center"/>
              <w:rPr>
                <w:kern w:val="0"/>
                <w:szCs w:val="21"/>
              </w:rPr>
            </w:pPr>
            <w:r w:rsidRPr="00925B84">
              <w:rPr>
                <w:kern w:val="0"/>
                <w:szCs w:val="21"/>
              </w:rPr>
              <w:t xml:space="preserve">9.61 </w:t>
            </w:r>
          </w:p>
        </w:tc>
        <w:tc>
          <w:tcPr>
            <w:tcW w:w="923" w:type="dxa"/>
            <w:shd w:val="clear" w:color="auto" w:fill="auto"/>
            <w:vAlign w:val="center"/>
          </w:tcPr>
          <w:p w:rsidR="00C223F5" w:rsidRPr="00925B84" w:rsidRDefault="005860D5">
            <w:pPr>
              <w:widowControl/>
              <w:jc w:val="center"/>
              <w:rPr>
                <w:kern w:val="0"/>
                <w:szCs w:val="21"/>
              </w:rPr>
            </w:pPr>
            <w:r w:rsidRPr="00925B84">
              <w:rPr>
                <w:kern w:val="0"/>
                <w:szCs w:val="21"/>
              </w:rPr>
              <w:t xml:space="preserve">12.18 </w:t>
            </w:r>
          </w:p>
        </w:tc>
        <w:tc>
          <w:tcPr>
            <w:tcW w:w="1605" w:type="dxa"/>
            <w:shd w:val="clear" w:color="auto" w:fill="auto"/>
            <w:vAlign w:val="center"/>
          </w:tcPr>
          <w:p w:rsidR="00C223F5" w:rsidRPr="00925B84" w:rsidRDefault="005860D5">
            <w:pPr>
              <w:widowControl/>
              <w:jc w:val="center"/>
              <w:rPr>
                <w:kern w:val="0"/>
                <w:szCs w:val="21"/>
              </w:rPr>
            </w:pPr>
            <w:r w:rsidRPr="00925B84">
              <w:rPr>
                <w:kern w:val="0"/>
                <w:szCs w:val="21"/>
              </w:rPr>
              <w:t xml:space="preserve">5778 </w:t>
            </w:r>
          </w:p>
        </w:tc>
      </w:tr>
      <w:tr w:rsidR="00C223F5" w:rsidRPr="00925B84">
        <w:trPr>
          <w:trHeight w:val="285"/>
        </w:trPr>
        <w:tc>
          <w:tcPr>
            <w:tcW w:w="636" w:type="dxa"/>
            <w:vMerge/>
            <w:vAlign w:val="center"/>
          </w:tcPr>
          <w:p w:rsidR="00C223F5" w:rsidRPr="00925B84" w:rsidRDefault="00C223F5">
            <w:pPr>
              <w:widowControl/>
              <w:jc w:val="left"/>
              <w:rPr>
                <w:kern w:val="0"/>
                <w:szCs w:val="21"/>
              </w:rPr>
            </w:pPr>
          </w:p>
        </w:tc>
        <w:tc>
          <w:tcPr>
            <w:tcW w:w="1476" w:type="dxa"/>
            <w:shd w:val="clear" w:color="auto" w:fill="auto"/>
            <w:vAlign w:val="center"/>
          </w:tcPr>
          <w:p w:rsidR="00C223F5" w:rsidRPr="00925B84" w:rsidRDefault="005860D5">
            <w:pPr>
              <w:widowControl/>
              <w:jc w:val="center"/>
              <w:rPr>
                <w:kern w:val="0"/>
                <w:szCs w:val="21"/>
              </w:rPr>
            </w:pPr>
            <w:r w:rsidRPr="00925B84">
              <w:rPr>
                <w:rFonts w:hAnsi="宋体"/>
                <w:kern w:val="0"/>
                <w:szCs w:val="21"/>
              </w:rPr>
              <w:t>粗精煤泥</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2.65 </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4.52 </w:t>
            </w:r>
          </w:p>
        </w:tc>
        <w:tc>
          <w:tcPr>
            <w:tcW w:w="921" w:type="dxa"/>
            <w:shd w:val="clear" w:color="auto" w:fill="auto"/>
            <w:vAlign w:val="center"/>
          </w:tcPr>
          <w:p w:rsidR="00C223F5" w:rsidRPr="00925B84" w:rsidRDefault="005860D5">
            <w:pPr>
              <w:widowControl/>
              <w:jc w:val="center"/>
              <w:rPr>
                <w:kern w:val="0"/>
                <w:szCs w:val="21"/>
              </w:rPr>
            </w:pPr>
            <w:r w:rsidRPr="00925B84">
              <w:rPr>
                <w:kern w:val="0"/>
                <w:szCs w:val="21"/>
              </w:rPr>
              <w:t xml:space="preserve">72.27 </w:t>
            </w:r>
          </w:p>
        </w:tc>
        <w:tc>
          <w:tcPr>
            <w:tcW w:w="816" w:type="dxa"/>
            <w:shd w:val="clear" w:color="auto" w:fill="auto"/>
            <w:vAlign w:val="center"/>
          </w:tcPr>
          <w:p w:rsidR="00C223F5" w:rsidRPr="00925B84" w:rsidRDefault="005860D5">
            <w:pPr>
              <w:widowControl/>
              <w:jc w:val="center"/>
              <w:rPr>
                <w:kern w:val="0"/>
                <w:szCs w:val="21"/>
              </w:rPr>
            </w:pPr>
            <w:r w:rsidRPr="00925B84">
              <w:rPr>
                <w:kern w:val="0"/>
                <w:szCs w:val="21"/>
              </w:rPr>
              <w:t xml:space="preserve">2.39 </w:t>
            </w:r>
          </w:p>
        </w:tc>
        <w:tc>
          <w:tcPr>
            <w:tcW w:w="756" w:type="dxa"/>
            <w:shd w:val="clear" w:color="auto" w:fill="auto"/>
            <w:vAlign w:val="center"/>
          </w:tcPr>
          <w:p w:rsidR="00C223F5" w:rsidRPr="00925B84" w:rsidRDefault="005860D5">
            <w:pPr>
              <w:widowControl/>
              <w:jc w:val="center"/>
              <w:rPr>
                <w:kern w:val="0"/>
                <w:szCs w:val="21"/>
              </w:rPr>
            </w:pPr>
            <w:r w:rsidRPr="00925B84">
              <w:rPr>
                <w:kern w:val="0"/>
                <w:szCs w:val="21"/>
              </w:rPr>
              <w:t xml:space="preserve">9.72 </w:t>
            </w:r>
          </w:p>
        </w:tc>
        <w:tc>
          <w:tcPr>
            <w:tcW w:w="923" w:type="dxa"/>
            <w:shd w:val="clear" w:color="auto" w:fill="auto"/>
            <w:vAlign w:val="center"/>
          </w:tcPr>
          <w:p w:rsidR="00C223F5" w:rsidRPr="00925B84" w:rsidRDefault="005860D5">
            <w:pPr>
              <w:widowControl/>
              <w:jc w:val="center"/>
              <w:rPr>
                <w:kern w:val="0"/>
                <w:szCs w:val="21"/>
              </w:rPr>
            </w:pPr>
            <w:r w:rsidRPr="00925B84">
              <w:rPr>
                <w:kern w:val="0"/>
                <w:szCs w:val="21"/>
              </w:rPr>
              <w:t xml:space="preserve">16.18 </w:t>
            </w:r>
          </w:p>
        </w:tc>
        <w:tc>
          <w:tcPr>
            <w:tcW w:w="1605" w:type="dxa"/>
            <w:shd w:val="clear" w:color="auto" w:fill="auto"/>
            <w:vAlign w:val="center"/>
          </w:tcPr>
          <w:p w:rsidR="00C223F5" w:rsidRPr="00925B84" w:rsidRDefault="005860D5">
            <w:pPr>
              <w:widowControl/>
              <w:jc w:val="center"/>
              <w:rPr>
                <w:kern w:val="0"/>
                <w:szCs w:val="21"/>
              </w:rPr>
            </w:pPr>
            <w:r w:rsidRPr="00925B84">
              <w:rPr>
                <w:kern w:val="0"/>
                <w:szCs w:val="21"/>
              </w:rPr>
              <w:t xml:space="preserve">5427 </w:t>
            </w:r>
          </w:p>
        </w:tc>
      </w:tr>
      <w:tr w:rsidR="00C223F5" w:rsidRPr="00925B84">
        <w:trPr>
          <w:trHeight w:val="285"/>
        </w:trPr>
        <w:tc>
          <w:tcPr>
            <w:tcW w:w="636" w:type="dxa"/>
            <w:vMerge/>
            <w:vAlign w:val="center"/>
          </w:tcPr>
          <w:p w:rsidR="00C223F5" w:rsidRPr="00925B84" w:rsidRDefault="00C223F5">
            <w:pPr>
              <w:widowControl/>
              <w:jc w:val="left"/>
              <w:rPr>
                <w:kern w:val="0"/>
                <w:szCs w:val="21"/>
              </w:rPr>
            </w:pPr>
          </w:p>
        </w:tc>
        <w:tc>
          <w:tcPr>
            <w:tcW w:w="1476" w:type="dxa"/>
            <w:shd w:val="clear" w:color="auto" w:fill="auto"/>
            <w:vAlign w:val="center"/>
          </w:tcPr>
          <w:p w:rsidR="00C223F5" w:rsidRPr="00925B84" w:rsidRDefault="005860D5">
            <w:pPr>
              <w:widowControl/>
              <w:jc w:val="center"/>
              <w:rPr>
                <w:kern w:val="0"/>
                <w:szCs w:val="21"/>
              </w:rPr>
            </w:pPr>
            <w:r w:rsidRPr="00925B84">
              <w:rPr>
                <w:rFonts w:hAnsi="宋体"/>
                <w:kern w:val="0"/>
                <w:szCs w:val="21"/>
              </w:rPr>
              <w:t>小计</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50.20 </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85.57 </w:t>
            </w:r>
          </w:p>
        </w:tc>
        <w:tc>
          <w:tcPr>
            <w:tcW w:w="921" w:type="dxa"/>
            <w:shd w:val="clear" w:color="auto" w:fill="auto"/>
            <w:vAlign w:val="center"/>
          </w:tcPr>
          <w:p w:rsidR="00C223F5" w:rsidRPr="00925B84" w:rsidRDefault="005860D5">
            <w:pPr>
              <w:widowControl/>
              <w:jc w:val="center"/>
              <w:rPr>
                <w:kern w:val="0"/>
                <w:szCs w:val="21"/>
              </w:rPr>
            </w:pPr>
            <w:r w:rsidRPr="00925B84">
              <w:rPr>
                <w:kern w:val="0"/>
                <w:szCs w:val="21"/>
              </w:rPr>
              <w:t xml:space="preserve">1369.17 </w:t>
            </w:r>
          </w:p>
        </w:tc>
        <w:tc>
          <w:tcPr>
            <w:tcW w:w="816" w:type="dxa"/>
            <w:shd w:val="clear" w:color="auto" w:fill="auto"/>
            <w:vAlign w:val="center"/>
          </w:tcPr>
          <w:p w:rsidR="00C223F5" w:rsidRPr="00925B84" w:rsidRDefault="005860D5">
            <w:pPr>
              <w:widowControl/>
              <w:jc w:val="center"/>
              <w:rPr>
                <w:kern w:val="0"/>
                <w:szCs w:val="21"/>
              </w:rPr>
            </w:pPr>
            <w:r w:rsidRPr="00925B84">
              <w:rPr>
                <w:kern w:val="0"/>
                <w:szCs w:val="21"/>
              </w:rPr>
              <w:t xml:space="preserve">45.18 </w:t>
            </w:r>
          </w:p>
        </w:tc>
        <w:tc>
          <w:tcPr>
            <w:tcW w:w="756" w:type="dxa"/>
            <w:shd w:val="clear" w:color="auto" w:fill="auto"/>
            <w:vAlign w:val="center"/>
          </w:tcPr>
          <w:p w:rsidR="00C223F5" w:rsidRPr="00925B84" w:rsidRDefault="005860D5">
            <w:pPr>
              <w:widowControl/>
              <w:jc w:val="center"/>
              <w:rPr>
                <w:kern w:val="0"/>
                <w:szCs w:val="21"/>
              </w:rPr>
            </w:pPr>
            <w:r w:rsidRPr="00925B84">
              <w:rPr>
                <w:kern w:val="0"/>
                <w:szCs w:val="21"/>
              </w:rPr>
              <w:t xml:space="preserve">9.61 </w:t>
            </w:r>
          </w:p>
        </w:tc>
        <w:tc>
          <w:tcPr>
            <w:tcW w:w="923" w:type="dxa"/>
            <w:shd w:val="clear" w:color="auto" w:fill="auto"/>
            <w:vAlign w:val="center"/>
          </w:tcPr>
          <w:p w:rsidR="00C223F5" w:rsidRPr="00925B84" w:rsidRDefault="005860D5">
            <w:pPr>
              <w:widowControl/>
              <w:jc w:val="center"/>
              <w:rPr>
                <w:kern w:val="0"/>
                <w:szCs w:val="21"/>
              </w:rPr>
            </w:pPr>
            <w:r w:rsidRPr="00925B84">
              <w:rPr>
                <w:kern w:val="0"/>
                <w:szCs w:val="21"/>
              </w:rPr>
              <w:t xml:space="preserve">12.39 </w:t>
            </w:r>
          </w:p>
        </w:tc>
        <w:tc>
          <w:tcPr>
            <w:tcW w:w="1605" w:type="dxa"/>
            <w:shd w:val="clear" w:color="auto" w:fill="auto"/>
            <w:vAlign w:val="center"/>
          </w:tcPr>
          <w:p w:rsidR="00C223F5" w:rsidRPr="00925B84" w:rsidRDefault="005860D5">
            <w:pPr>
              <w:widowControl/>
              <w:jc w:val="center"/>
              <w:rPr>
                <w:kern w:val="0"/>
                <w:szCs w:val="21"/>
              </w:rPr>
            </w:pPr>
            <w:r w:rsidRPr="00925B84">
              <w:rPr>
                <w:kern w:val="0"/>
                <w:szCs w:val="21"/>
              </w:rPr>
              <w:t xml:space="preserve">5759 </w:t>
            </w:r>
          </w:p>
        </w:tc>
      </w:tr>
      <w:tr w:rsidR="00C223F5" w:rsidRPr="00925B84">
        <w:trPr>
          <w:trHeight w:val="285"/>
        </w:trPr>
        <w:tc>
          <w:tcPr>
            <w:tcW w:w="636" w:type="dxa"/>
            <w:vMerge w:val="restart"/>
            <w:shd w:val="clear" w:color="auto" w:fill="auto"/>
            <w:vAlign w:val="center"/>
          </w:tcPr>
          <w:p w:rsidR="00C223F5" w:rsidRPr="00925B84" w:rsidRDefault="005860D5">
            <w:pPr>
              <w:widowControl/>
              <w:jc w:val="center"/>
              <w:rPr>
                <w:kern w:val="0"/>
                <w:szCs w:val="21"/>
              </w:rPr>
            </w:pPr>
            <w:r w:rsidRPr="00925B84">
              <w:rPr>
                <w:rFonts w:hAnsi="宋体"/>
                <w:kern w:val="0"/>
                <w:szCs w:val="21"/>
              </w:rPr>
              <w:t>中煤</w:t>
            </w:r>
          </w:p>
        </w:tc>
        <w:tc>
          <w:tcPr>
            <w:tcW w:w="1476" w:type="dxa"/>
            <w:shd w:val="clear" w:color="auto" w:fill="auto"/>
            <w:vAlign w:val="center"/>
          </w:tcPr>
          <w:p w:rsidR="00C223F5" w:rsidRPr="00925B84" w:rsidRDefault="005860D5">
            <w:pPr>
              <w:widowControl/>
              <w:jc w:val="center"/>
              <w:rPr>
                <w:kern w:val="0"/>
                <w:szCs w:val="21"/>
              </w:rPr>
            </w:pPr>
            <w:r w:rsidRPr="00925B84">
              <w:rPr>
                <w:rFonts w:hAnsi="宋体"/>
                <w:kern w:val="0"/>
                <w:szCs w:val="21"/>
              </w:rPr>
              <w:t>旋流器中煤</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16.57 </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28.24 </w:t>
            </w:r>
          </w:p>
        </w:tc>
        <w:tc>
          <w:tcPr>
            <w:tcW w:w="921" w:type="dxa"/>
            <w:shd w:val="clear" w:color="auto" w:fill="auto"/>
            <w:vAlign w:val="center"/>
          </w:tcPr>
          <w:p w:rsidR="00C223F5" w:rsidRPr="00925B84" w:rsidRDefault="005860D5">
            <w:pPr>
              <w:widowControl/>
              <w:jc w:val="center"/>
              <w:rPr>
                <w:kern w:val="0"/>
                <w:szCs w:val="21"/>
              </w:rPr>
            </w:pPr>
            <w:r w:rsidRPr="00925B84">
              <w:rPr>
                <w:kern w:val="0"/>
                <w:szCs w:val="21"/>
              </w:rPr>
              <w:t xml:space="preserve">451.83 </w:t>
            </w:r>
          </w:p>
        </w:tc>
        <w:tc>
          <w:tcPr>
            <w:tcW w:w="816" w:type="dxa"/>
            <w:shd w:val="clear" w:color="auto" w:fill="auto"/>
            <w:vAlign w:val="center"/>
          </w:tcPr>
          <w:p w:rsidR="00C223F5" w:rsidRPr="00925B84" w:rsidRDefault="005860D5">
            <w:pPr>
              <w:widowControl/>
              <w:jc w:val="center"/>
              <w:rPr>
                <w:kern w:val="0"/>
                <w:szCs w:val="21"/>
              </w:rPr>
            </w:pPr>
            <w:r w:rsidRPr="00925B84">
              <w:rPr>
                <w:kern w:val="0"/>
                <w:szCs w:val="21"/>
              </w:rPr>
              <w:t xml:space="preserve">14.91 </w:t>
            </w:r>
          </w:p>
        </w:tc>
        <w:tc>
          <w:tcPr>
            <w:tcW w:w="756" w:type="dxa"/>
            <w:shd w:val="clear" w:color="auto" w:fill="auto"/>
            <w:vAlign w:val="center"/>
          </w:tcPr>
          <w:p w:rsidR="00C223F5" w:rsidRPr="00925B84" w:rsidRDefault="005860D5">
            <w:pPr>
              <w:widowControl/>
              <w:jc w:val="center"/>
              <w:rPr>
                <w:kern w:val="0"/>
                <w:szCs w:val="21"/>
              </w:rPr>
            </w:pPr>
            <w:r w:rsidRPr="00925B84">
              <w:rPr>
                <w:kern w:val="0"/>
                <w:szCs w:val="21"/>
              </w:rPr>
              <w:t xml:space="preserve">36.82 </w:t>
            </w:r>
          </w:p>
        </w:tc>
        <w:tc>
          <w:tcPr>
            <w:tcW w:w="923" w:type="dxa"/>
            <w:shd w:val="clear" w:color="auto" w:fill="auto"/>
            <w:vAlign w:val="center"/>
          </w:tcPr>
          <w:p w:rsidR="00C223F5" w:rsidRPr="00925B84" w:rsidRDefault="005860D5">
            <w:pPr>
              <w:widowControl/>
              <w:jc w:val="center"/>
              <w:rPr>
                <w:kern w:val="0"/>
                <w:szCs w:val="21"/>
              </w:rPr>
            </w:pPr>
            <w:r w:rsidRPr="00925B84">
              <w:rPr>
                <w:kern w:val="0"/>
                <w:szCs w:val="21"/>
              </w:rPr>
              <w:t xml:space="preserve">11.18 </w:t>
            </w:r>
          </w:p>
        </w:tc>
        <w:tc>
          <w:tcPr>
            <w:tcW w:w="1605" w:type="dxa"/>
            <w:shd w:val="clear" w:color="auto" w:fill="auto"/>
            <w:vAlign w:val="center"/>
          </w:tcPr>
          <w:p w:rsidR="00C223F5" w:rsidRPr="00925B84" w:rsidRDefault="005860D5">
            <w:pPr>
              <w:widowControl/>
              <w:jc w:val="center"/>
              <w:rPr>
                <w:kern w:val="0"/>
                <w:szCs w:val="21"/>
              </w:rPr>
            </w:pPr>
            <w:r w:rsidRPr="00925B84">
              <w:rPr>
                <w:kern w:val="0"/>
                <w:szCs w:val="21"/>
              </w:rPr>
              <w:t xml:space="preserve">4175 </w:t>
            </w:r>
          </w:p>
        </w:tc>
      </w:tr>
      <w:tr w:rsidR="00C223F5" w:rsidRPr="00925B84">
        <w:trPr>
          <w:trHeight w:val="285"/>
        </w:trPr>
        <w:tc>
          <w:tcPr>
            <w:tcW w:w="636" w:type="dxa"/>
            <w:vMerge/>
            <w:vAlign w:val="center"/>
          </w:tcPr>
          <w:p w:rsidR="00C223F5" w:rsidRPr="00925B84" w:rsidRDefault="00C223F5">
            <w:pPr>
              <w:widowControl/>
              <w:jc w:val="left"/>
              <w:rPr>
                <w:kern w:val="0"/>
                <w:szCs w:val="21"/>
              </w:rPr>
            </w:pPr>
          </w:p>
        </w:tc>
        <w:tc>
          <w:tcPr>
            <w:tcW w:w="1476" w:type="dxa"/>
            <w:shd w:val="clear" w:color="auto" w:fill="auto"/>
            <w:vAlign w:val="center"/>
          </w:tcPr>
          <w:p w:rsidR="00C223F5" w:rsidRPr="00925B84" w:rsidRDefault="005860D5">
            <w:pPr>
              <w:widowControl/>
              <w:jc w:val="center"/>
              <w:rPr>
                <w:kern w:val="0"/>
                <w:szCs w:val="21"/>
              </w:rPr>
            </w:pPr>
            <w:r w:rsidRPr="00925B84">
              <w:rPr>
                <w:rFonts w:hAnsi="宋体"/>
                <w:kern w:val="0"/>
                <w:szCs w:val="21"/>
              </w:rPr>
              <w:t>粗中煤泥</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0.63 </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1.08 </w:t>
            </w:r>
          </w:p>
        </w:tc>
        <w:tc>
          <w:tcPr>
            <w:tcW w:w="921" w:type="dxa"/>
            <w:shd w:val="clear" w:color="auto" w:fill="auto"/>
            <w:vAlign w:val="center"/>
          </w:tcPr>
          <w:p w:rsidR="00C223F5" w:rsidRPr="00925B84" w:rsidRDefault="005860D5">
            <w:pPr>
              <w:widowControl/>
              <w:jc w:val="center"/>
              <w:rPr>
                <w:kern w:val="0"/>
                <w:szCs w:val="21"/>
              </w:rPr>
            </w:pPr>
            <w:r w:rsidRPr="00925B84">
              <w:rPr>
                <w:kern w:val="0"/>
                <w:szCs w:val="21"/>
              </w:rPr>
              <w:t xml:space="preserve">17.29 </w:t>
            </w:r>
          </w:p>
        </w:tc>
        <w:tc>
          <w:tcPr>
            <w:tcW w:w="816" w:type="dxa"/>
            <w:shd w:val="clear" w:color="auto" w:fill="auto"/>
            <w:vAlign w:val="center"/>
          </w:tcPr>
          <w:p w:rsidR="00C223F5" w:rsidRPr="00925B84" w:rsidRDefault="005860D5">
            <w:pPr>
              <w:widowControl/>
              <w:jc w:val="center"/>
              <w:rPr>
                <w:kern w:val="0"/>
                <w:szCs w:val="21"/>
              </w:rPr>
            </w:pPr>
            <w:r w:rsidRPr="00925B84">
              <w:rPr>
                <w:kern w:val="0"/>
                <w:szCs w:val="21"/>
              </w:rPr>
              <w:t xml:space="preserve">0.57 </w:t>
            </w:r>
          </w:p>
        </w:tc>
        <w:tc>
          <w:tcPr>
            <w:tcW w:w="756" w:type="dxa"/>
            <w:shd w:val="clear" w:color="auto" w:fill="auto"/>
            <w:vAlign w:val="center"/>
          </w:tcPr>
          <w:p w:rsidR="00C223F5" w:rsidRPr="00925B84" w:rsidRDefault="005860D5">
            <w:pPr>
              <w:widowControl/>
              <w:jc w:val="center"/>
              <w:rPr>
                <w:kern w:val="0"/>
                <w:szCs w:val="21"/>
              </w:rPr>
            </w:pPr>
            <w:r w:rsidRPr="00925B84">
              <w:rPr>
                <w:kern w:val="0"/>
                <w:szCs w:val="21"/>
              </w:rPr>
              <w:t xml:space="preserve">37.53 </w:t>
            </w:r>
          </w:p>
        </w:tc>
        <w:tc>
          <w:tcPr>
            <w:tcW w:w="923" w:type="dxa"/>
            <w:shd w:val="clear" w:color="auto" w:fill="auto"/>
            <w:vAlign w:val="center"/>
          </w:tcPr>
          <w:p w:rsidR="00C223F5" w:rsidRPr="00925B84" w:rsidRDefault="005860D5">
            <w:pPr>
              <w:widowControl/>
              <w:jc w:val="center"/>
              <w:rPr>
                <w:kern w:val="0"/>
                <w:szCs w:val="21"/>
              </w:rPr>
            </w:pPr>
            <w:r w:rsidRPr="00925B84">
              <w:rPr>
                <w:kern w:val="0"/>
                <w:szCs w:val="21"/>
              </w:rPr>
              <w:t xml:space="preserve">19.18 </w:t>
            </w:r>
          </w:p>
        </w:tc>
        <w:tc>
          <w:tcPr>
            <w:tcW w:w="1605" w:type="dxa"/>
            <w:shd w:val="clear" w:color="auto" w:fill="auto"/>
            <w:vAlign w:val="center"/>
          </w:tcPr>
          <w:p w:rsidR="00C223F5" w:rsidRPr="00925B84" w:rsidRDefault="005860D5">
            <w:pPr>
              <w:widowControl/>
              <w:jc w:val="center"/>
              <w:rPr>
                <w:kern w:val="0"/>
                <w:szCs w:val="21"/>
              </w:rPr>
            </w:pPr>
            <w:r w:rsidRPr="00925B84">
              <w:rPr>
                <w:kern w:val="0"/>
                <w:szCs w:val="21"/>
              </w:rPr>
              <w:t xml:space="preserve">3443 </w:t>
            </w:r>
          </w:p>
        </w:tc>
      </w:tr>
      <w:tr w:rsidR="00C223F5" w:rsidRPr="00925B84">
        <w:trPr>
          <w:trHeight w:val="285"/>
        </w:trPr>
        <w:tc>
          <w:tcPr>
            <w:tcW w:w="636" w:type="dxa"/>
            <w:vMerge/>
            <w:vAlign w:val="center"/>
          </w:tcPr>
          <w:p w:rsidR="00C223F5" w:rsidRPr="00925B84" w:rsidRDefault="00C223F5">
            <w:pPr>
              <w:widowControl/>
              <w:jc w:val="left"/>
              <w:rPr>
                <w:kern w:val="0"/>
                <w:szCs w:val="21"/>
              </w:rPr>
            </w:pPr>
          </w:p>
        </w:tc>
        <w:tc>
          <w:tcPr>
            <w:tcW w:w="1476" w:type="dxa"/>
            <w:shd w:val="clear" w:color="auto" w:fill="auto"/>
            <w:vAlign w:val="center"/>
          </w:tcPr>
          <w:p w:rsidR="00C223F5" w:rsidRPr="00925B84" w:rsidRDefault="005860D5">
            <w:pPr>
              <w:widowControl/>
              <w:jc w:val="center"/>
              <w:rPr>
                <w:kern w:val="0"/>
                <w:szCs w:val="21"/>
              </w:rPr>
            </w:pPr>
            <w:r w:rsidRPr="00925B84">
              <w:rPr>
                <w:rFonts w:hAnsi="宋体"/>
                <w:kern w:val="0"/>
                <w:szCs w:val="21"/>
              </w:rPr>
              <w:t>小计</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17.20 </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29.32 </w:t>
            </w:r>
          </w:p>
        </w:tc>
        <w:tc>
          <w:tcPr>
            <w:tcW w:w="921" w:type="dxa"/>
            <w:shd w:val="clear" w:color="auto" w:fill="auto"/>
            <w:vAlign w:val="center"/>
          </w:tcPr>
          <w:p w:rsidR="00C223F5" w:rsidRPr="00925B84" w:rsidRDefault="005860D5">
            <w:pPr>
              <w:widowControl/>
              <w:jc w:val="center"/>
              <w:rPr>
                <w:kern w:val="0"/>
                <w:szCs w:val="21"/>
              </w:rPr>
            </w:pPr>
            <w:r w:rsidRPr="00925B84">
              <w:rPr>
                <w:kern w:val="0"/>
                <w:szCs w:val="21"/>
              </w:rPr>
              <w:t xml:space="preserve">469.12 </w:t>
            </w:r>
          </w:p>
        </w:tc>
        <w:tc>
          <w:tcPr>
            <w:tcW w:w="816" w:type="dxa"/>
            <w:shd w:val="clear" w:color="auto" w:fill="auto"/>
            <w:vAlign w:val="center"/>
          </w:tcPr>
          <w:p w:rsidR="00C223F5" w:rsidRPr="00925B84" w:rsidRDefault="005860D5">
            <w:pPr>
              <w:widowControl/>
              <w:jc w:val="center"/>
              <w:rPr>
                <w:kern w:val="0"/>
                <w:szCs w:val="21"/>
              </w:rPr>
            </w:pPr>
            <w:r w:rsidRPr="00925B84">
              <w:rPr>
                <w:kern w:val="0"/>
                <w:szCs w:val="21"/>
              </w:rPr>
              <w:t xml:space="preserve">15.48 </w:t>
            </w:r>
          </w:p>
        </w:tc>
        <w:tc>
          <w:tcPr>
            <w:tcW w:w="756" w:type="dxa"/>
            <w:shd w:val="clear" w:color="auto" w:fill="auto"/>
            <w:vAlign w:val="center"/>
          </w:tcPr>
          <w:p w:rsidR="00C223F5" w:rsidRPr="00925B84" w:rsidRDefault="005860D5">
            <w:pPr>
              <w:widowControl/>
              <w:jc w:val="center"/>
              <w:rPr>
                <w:kern w:val="0"/>
                <w:szCs w:val="21"/>
              </w:rPr>
            </w:pPr>
            <w:r w:rsidRPr="00925B84">
              <w:rPr>
                <w:kern w:val="0"/>
                <w:szCs w:val="21"/>
              </w:rPr>
              <w:t xml:space="preserve">36.85 </w:t>
            </w:r>
          </w:p>
        </w:tc>
        <w:tc>
          <w:tcPr>
            <w:tcW w:w="923" w:type="dxa"/>
            <w:shd w:val="clear" w:color="auto" w:fill="auto"/>
            <w:vAlign w:val="center"/>
          </w:tcPr>
          <w:p w:rsidR="00C223F5" w:rsidRPr="00925B84" w:rsidRDefault="005860D5">
            <w:pPr>
              <w:widowControl/>
              <w:jc w:val="center"/>
              <w:rPr>
                <w:kern w:val="0"/>
                <w:szCs w:val="21"/>
              </w:rPr>
            </w:pPr>
            <w:r w:rsidRPr="00925B84">
              <w:rPr>
                <w:kern w:val="0"/>
                <w:szCs w:val="21"/>
              </w:rPr>
              <w:t xml:space="preserve">11.47 </w:t>
            </w:r>
          </w:p>
        </w:tc>
        <w:tc>
          <w:tcPr>
            <w:tcW w:w="1605" w:type="dxa"/>
            <w:shd w:val="clear" w:color="auto" w:fill="auto"/>
            <w:vAlign w:val="center"/>
          </w:tcPr>
          <w:p w:rsidR="00C223F5" w:rsidRPr="00925B84" w:rsidRDefault="005860D5">
            <w:pPr>
              <w:widowControl/>
              <w:jc w:val="center"/>
              <w:rPr>
                <w:kern w:val="0"/>
                <w:szCs w:val="21"/>
              </w:rPr>
            </w:pPr>
            <w:r w:rsidRPr="00925B84">
              <w:rPr>
                <w:kern w:val="0"/>
                <w:szCs w:val="21"/>
              </w:rPr>
              <w:t xml:space="preserve">4148 </w:t>
            </w:r>
          </w:p>
        </w:tc>
      </w:tr>
      <w:tr w:rsidR="00C223F5" w:rsidRPr="00925B84">
        <w:trPr>
          <w:trHeight w:val="285"/>
        </w:trPr>
        <w:tc>
          <w:tcPr>
            <w:tcW w:w="636" w:type="dxa"/>
            <w:vMerge w:val="restart"/>
            <w:shd w:val="clear" w:color="auto" w:fill="auto"/>
            <w:vAlign w:val="center"/>
          </w:tcPr>
          <w:p w:rsidR="00C223F5" w:rsidRPr="00925B84" w:rsidRDefault="005860D5">
            <w:pPr>
              <w:widowControl/>
              <w:jc w:val="center"/>
              <w:rPr>
                <w:kern w:val="0"/>
                <w:szCs w:val="21"/>
              </w:rPr>
            </w:pPr>
            <w:r w:rsidRPr="00925B84">
              <w:rPr>
                <w:rFonts w:hAnsi="宋体"/>
                <w:kern w:val="0"/>
                <w:szCs w:val="21"/>
              </w:rPr>
              <w:t>矸石</w:t>
            </w:r>
          </w:p>
        </w:tc>
        <w:tc>
          <w:tcPr>
            <w:tcW w:w="1476" w:type="dxa"/>
            <w:shd w:val="clear" w:color="auto" w:fill="auto"/>
            <w:vAlign w:val="center"/>
          </w:tcPr>
          <w:p w:rsidR="00C223F5" w:rsidRPr="00925B84" w:rsidRDefault="005860D5">
            <w:pPr>
              <w:widowControl/>
              <w:jc w:val="center"/>
              <w:rPr>
                <w:kern w:val="0"/>
                <w:szCs w:val="21"/>
              </w:rPr>
            </w:pPr>
            <w:r w:rsidRPr="00925B84">
              <w:rPr>
                <w:rFonts w:hAnsi="宋体"/>
                <w:kern w:val="0"/>
                <w:szCs w:val="21"/>
              </w:rPr>
              <w:t>智能排矸矸石</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5.31 </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9.05 </w:t>
            </w:r>
          </w:p>
        </w:tc>
        <w:tc>
          <w:tcPr>
            <w:tcW w:w="921" w:type="dxa"/>
            <w:shd w:val="clear" w:color="auto" w:fill="auto"/>
            <w:vAlign w:val="center"/>
          </w:tcPr>
          <w:p w:rsidR="00C223F5" w:rsidRPr="00925B84" w:rsidRDefault="005860D5">
            <w:pPr>
              <w:widowControl/>
              <w:jc w:val="center"/>
              <w:rPr>
                <w:kern w:val="0"/>
                <w:szCs w:val="21"/>
              </w:rPr>
            </w:pPr>
            <w:r w:rsidRPr="00925B84">
              <w:rPr>
                <w:kern w:val="0"/>
                <w:szCs w:val="21"/>
              </w:rPr>
              <w:t xml:space="preserve">144.76 </w:t>
            </w:r>
          </w:p>
        </w:tc>
        <w:tc>
          <w:tcPr>
            <w:tcW w:w="816" w:type="dxa"/>
            <w:shd w:val="clear" w:color="auto" w:fill="auto"/>
            <w:vAlign w:val="center"/>
          </w:tcPr>
          <w:p w:rsidR="00C223F5" w:rsidRPr="00925B84" w:rsidRDefault="005860D5">
            <w:pPr>
              <w:widowControl/>
              <w:jc w:val="center"/>
              <w:rPr>
                <w:kern w:val="0"/>
                <w:szCs w:val="21"/>
              </w:rPr>
            </w:pPr>
            <w:r w:rsidRPr="00925B84">
              <w:rPr>
                <w:kern w:val="0"/>
                <w:szCs w:val="21"/>
              </w:rPr>
              <w:t xml:space="preserve">4.78 </w:t>
            </w:r>
          </w:p>
        </w:tc>
        <w:tc>
          <w:tcPr>
            <w:tcW w:w="756" w:type="dxa"/>
            <w:shd w:val="clear" w:color="auto" w:fill="auto"/>
            <w:vAlign w:val="center"/>
          </w:tcPr>
          <w:p w:rsidR="00C223F5" w:rsidRPr="00925B84" w:rsidRDefault="005860D5">
            <w:pPr>
              <w:widowControl/>
              <w:jc w:val="center"/>
              <w:rPr>
                <w:kern w:val="0"/>
                <w:szCs w:val="21"/>
              </w:rPr>
            </w:pPr>
            <w:r w:rsidRPr="00925B84">
              <w:rPr>
                <w:kern w:val="0"/>
                <w:szCs w:val="21"/>
              </w:rPr>
              <w:t xml:space="preserve">81.69 </w:t>
            </w:r>
          </w:p>
        </w:tc>
        <w:tc>
          <w:tcPr>
            <w:tcW w:w="923" w:type="dxa"/>
            <w:shd w:val="clear" w:color="auto" w:fill="auto"/>
            <w:vAlign w:val="center"/>
          </w:tcPr>
          <w:p w:rsidR="00C223F5" w:rsidRPr="00925B84" w:rsidRDefault="005860D5">
            <w:pPr>
              <w:widowControl/>
              <w:jc w:val="center"/>
              <w:rPr>
                <w:kern w:val="0"/>
                <w:szCs w:val="21"/>
              </w:rPr>
            </w:pPr>
            <w:r w:rsidRPr="00925B84">
              <w:rPr>
                <w:kern w:val="0"/>
                <w:szCs w:val="21"/>
              </w:rPr>
              <w:t xml:space="preserve">11.08 </w:t>
            </w:r>
          </w:p>
        </w:tc>
        <w:tc>
          <w:tcPr>
            <w:tcW w:w="1605" w:type="dxa"/>
            <w:shd w:val="clear" w:color="auto" w:fill="auto"/>
            <w:vAlign w:val="center"/>
          </w:tcPr>
          <w:p w:rsidR="00C223F5" w:rsidRPr="00925B84" w:rsidRDefault="005860D5">
            <w:pPr>
              <w:widowControl/>
              <w:jc w:val="center"/>
              <w:rPr>
                <w:kern w:val="0"/>
                <w:szCs w:val="21"/>
              </w:rPr>
            </w:pPr>
            <w:r w:rsidRPr="00925B84">
              <w:rPr>
                <w:kern w:val="0"/>
                <w:szCs w:val="21"/>
              </w:rPr>
              <w:t xml:space="preserve">1399 </w:t>
            </w:r>
          </w:p>
        </w:tc>
      </w:tr>
      <w:tr w:rsidR="00C223F5" w:rsidRPr="00925B84">
        <w:trPr>
          <w:trHeight w:val="285"/>
        </w:trPr>
        <w:tc>
          <w:tcPr>
            <w:tcW w:w="636" w:type="dxa"/>
            <w:vMerge/>
            <w:vAlign w:val="center"/>
          </w:tcPr>
          <w:p w:rsidR="00C223F5" w:rsidRPr="00925B84" w:rsidRDefault="00C223F5">
            <w:pPr>
              <w:widowControl/>
              <w:jc w:val="left"/>
              <w:rPr>
                <w:kern w:val="0"/>
                <w:szCs w:val="21"/>
              </w:rPr>
            </w:pPr>
          </w:p>
        </w:tc>
        <w:tc>
          <w:tcPr>
            <w:tcW w:w="1476" w:type="dxa"/>
            <w:shd w:val="clear" w:color="auto" w:fill="auto"/>
            <w:vAlign w:val="center"/>
          </w:tcPr>
          <w:p w:rsidR="00C223F5" w:rsidRPr="00925B84" w:rsidRDefault="005860D5">
            <w:pPr>
              <w:widowControl/>
              <w:jc w:val="center"/>
              <w:rPr>
                <w:kern w:val="0"/>
                <w:szCs w:val="21"/>
              </w:rPr>
            </w:pPr>
            <w:r w:rsidRPr="00925B84">
              <w:rPr>
                <w:kern w:val="0"/>
                <w:szCs w:val="21"/>
              </w:rPr>
              <w:t>TBS</w:t>
            </w:r>
            <w:r w:rsidRPr="00925B84">
              <w:rPr>
                <w:rFonts w:hAnsi="宋体"/>
                <w:kern w:val="0"/>
                <w:szCs w:val="21"/>
              </w:rPr>
              <w:t>矸石</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0.35 </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0.60 </w:t>
            </w:r>
          </w:p>
        </w:tc>
        <w:tc>
          <w:tcPr>
            <w:tcW w:w="921" w:type="dxa"/>
            <w:shd w:val="clear" w:color="auto" w:fill="auto"/>
            <w:vAlign w:val="center"/>
          </w:tcPr>
          <w:p w:rsidR="00C223F5" w:rsidRPr="00925B84" w:rsidRDefault="005860D5">
            <w:pPr>
              <w:widowControl/>
              <w:jc w:val="center"/>
              <w:rPr>
                <w:kern w:val="0"/>
                <w:szCs w:val="21"/>
              </w:rPr>
            </w:pPr>
            <w:r w:rsidRPr="00925B84">
              <w:rPr>
                <w:kern w:val="0"/>
                <w:szCs w:val="21"/>
              </w:rPr>
              <w:t xml:space="preserve">9.59 </w:t>
            </w:r>
          </w:p>
        </w:tc>
        <w:tc>
          <w:tcPr>
            <w:tcW w:w="816" w:type="dxa"/>
            <w:shd w:val="clear" w:color="auto" w:fill="auto"/>
            <w:vAlign w:val="center"/>
          </w:tcPr>
          <w:p w:rsidR="00C223F5" w:rsidRPr="00925B84" w:rsidRDefault="005860D5">
            <w:pPr>
              <w:widowControl/>
              <w:jc w:val="center"/>
              <w:rPr>
                <w:kern w:val="0"/>
                <w:szCs w:val="21"/>
              </w:rPr>
            </w:pPr>
            <w:r w:rsidRPr="00925B84">
              <w:rPr>
                <w:kern w:val="0"/>
                <w:szCs w:val="21"/>
              </w:rPr>
              <w:t xml:space="preserve">0.32 </w:t>
            </w:r>
          </w:p>
        </w:tc>
        <w:tc>
          <w:tcPr>
            <w:tcW w:w="756" w:type="dxa"/>
            <w:shd w:val="clear" w:color="auto" w:fill="auto"/>
            <w:vAlign w:val="center"/>
          </w:tcPr>
          <w:p w:rsidR="00C223F5" w:rsidRPr="00925B84" w:rsidRDefault="005860D5">
            <w:pPr>
              <w:widowControl/>
              <w:jc w:val="center"/>
              <w:rPr>
                <w:kern w:val="0"/>
                <w:szCs w:val="21"/>
              </w:rPr>
            </w:pPr>
            <w:r w:rsidRPr="00925B84">
              <w:rPr>
                <w:kern w:val="0"/>
                <w:szCs w:val="21"/>
              </w:rPr>
              <w:t xml:space="preserve">49.76 </w:t>
            </w:r>
          </w:p>
        </w:tc>
        <w:tc>
          <w:tcPr>
            <w:tcW w:w="923" w:type="dxa"/>
            <w:shd w:val="clear" w:color="auto" w:fill="auto"/>
            <w:vAlign w:val="center"/>
          </w:tcPr>
          <w:p w:rsidR="00C223F5" w:rsidRPr="00925B84" w:rsidRDefault="005860D5">
            <w:pPr>
              <w:widowControl/>
              <w:jc w:val="center"/>
              <w:rPr>
                <w:kern w:val="0"/>
                <w:szCs w:val="21"/>
              </w:rPr>
            </w:pPr>
            <w:r w:rsidRPr="00925B84">
              <w:rPr>
                <w:kern w:val="0"/>
                <w:szCs w:val="21"/>
              </w:rPr>
              <w:t xml:space="preserve">19.18 </w:t>
            </w:r>
          </w:p>
        </w:tc>
        <w:tc>
          <w:tcPr>
            <w:tcW w:w="1605" w:type="dxa"/>
            <w:shd w:val="clear" w:color="auto" w:fill="auto"/>
            <w:vAlign w:val="center"/>
          </w:tcPr>
          <w:p w:rsidR="00C223F5" w:rsidRPr="00925B84" w:rsidRDefault="005860D5">
            <w:pPr>
              <w:widowControl/>
              <w:jc w:val="center"/>
              <w:rPr>
                <w:kern w:val="0"/>
                <w:szCs w:val="21"/>
              </w:rPr>
            </w:pPr>
            <w:r w:rsidRPr="00925B84">
              <w:rPr>
                <w:kern w:val="0"/>
                <w:szCs w:val="21"/>
              </w:rPr>
              <w:t xml:space="preserve">2685 </w:t>
            </w:r>
          </w:p>
        </w:tc>
      </w:tr>
      <w:tr w:rsidR="00C223F5" w:rsidRPr="00925B84">
        <w:trPr>
          <w:trHeight w:val="285"/>
        </w:trPr>
        <w:tc>
          <w:tcPr>
            <w:tcW w:w="636" w:type="dxa"/>
            <w:vMerge/>
            <w:vAlign w:val="center"/>
          </w:tcPr>
          <w:p w:rsidR="00C223F5" w:rsidRPr="00925B84" w:rsidRDefault="00C223F5">
            <w:pPr>
              <w:widowControl/>
              <w:jc w:val="left"/>
              <w:rPr>
                <w:kern w:val="0"/>
                <w:szCs w:val="21"/>
              </w:rPr>
            </w:pPr>
          </w:p>
        </w:tc>
        <w:tc>
          <w:tcPr>
            <w:tcW w:w="1476" w:type="dxa"/>
            <w:shd w:val="clear" w:color="auto" w:fill="auto"/>
            <w:vAlign w:val="center"/>
          </w:tcPr>
          <w:p w:rsidR="00C223F5" w:rsidRPr="00925B84" w:rsidRDefault="005860D5">
            <w:pPr>
              <w:widowControl/>
              <w:jc w:val="center"/>
              <w:rPr>
                <w:kern w:val="0"/>
                <w:szCs w:val="21"/>
              </w:rPr>
            </w:pPr>
            <w:r w:rsidRPr="00925B84">
              <w:rPr>
                <w:rFonts w:hAnsi="宋体"/>
                <w:kern w:val="0"/>
                <w:szCs w:val="21"/>
              </w:rPr>
              <w:t>旋流器矸石</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21.79 </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37.14 </w:t>
            </w:r>
          </w:p>
        </w:tc>
        <w:tc>
          <w:tcPr>
            <w:tcW w:w="921" w:type="dxa"/>
            <w:shd w:val="clear" w:color="auto" w:fill="auto"/>
            <w:vAlign w:val="center"/>
          </w:tcPr>
          <w:p w:rsidR="00C223F5" w:rsidRPr="00925B84" w:rsidRDefault="005860D5">
            <w:pPr>
              <w:widowControl/>
              <w:jc w:val="center"/>
              <w:rPr>
                <w:kern w:val="0"/>
                <w:szCs w:val="21"/>
              </w:rPr>
            </w:pPr>
            <w:r w:rsidRPr="00925B84">
              <w:rPr>
                <w:kern w:val="0"/>
                <w:szCs w:val="21"/>
              </w:rPr>
              <w:t xml:space="preserve">594.28 </w:t>
            </w:r>
          </w:p>
        </w:tc>
        <w:tc>
          <w:tcPr>
            <w:tcW w:w="816" w:type="dxa"/>
            <w:shd w:val="clear" w:color="auto" w:fill="auto"/>
            <w:vAlign w:val="center"/>
          </w:tcPr>
          <w:p w:rsidR="00C223F5" w:rsidRPr="00925B84" w:rsidRDefault="005860D5">
            <w:pPr>
              <w:widowControl/>
              <w:jc w:val="center"/>
              <w:rPr>
                <w:kern w:val="0"/>
                <w:szCs w:val="21"/>
              </w:rPr>
            </w:pPr>
            <w:r w:rsidRPr="00925B84">
              <w:rPr>
                <w:kern w:val="0"/>
                <w:szCs w:val="21"/>
              </w:rPr>
              <w:t xml:space="preserve">19.61 </w:t>
            </w:r>
          </w:p>
        </w:tc>
        <w:tc>
          <w:tcPr>
            <w:tcW w:w="756" w:type="dxa"/>
            <w:shd w:val="clear" w:color="auto" w:fill="auto"/>
            <w:vAlign w:val="center"/>
          </w:tcPr>
          <w:p w:rsidR="00C223F5" w:rsidRPr="00925B84" w:rsidRDefault="005860D5">
            <w:pPr>
              <w:widowControl/>
              <w:jc w:val="center"/>
              <w:rPr>
                <w:kern w:val="0"/>
                <w:szCs w:val="21"/>
              </w:rPr>
            </w:pPr>
            <w:r w:rsidRPr="00925B84">
              <w:rPr>
                <w:kern w:val="0"/>
                <w:szCs w:val="21"/>
              </w:rPr>
              <w:t xml:space="preserve">81.70 </w:t>
            </w:r>
          </w:p>
        </w:tc>
        <w:tc>
          <w:tcPr>
            <w:tcW w:w="923" w:type="dxa"/>
            <w:shd w:val="clear" w:color="auto" w:fill="auto"/>
            <w:vAlign w:val="center"/>
          </w:tcPr>
          <w:p w:rsidR="00C223F5" w:rsidRPr="00925B84" w:rsidRDefault="005860D5">
            <w:pPr>
              <w:widowControl/>
              <w:jc w:val="center"/>
              <w:rPr>
                <w:kern w:val="0"/>
                <w:szCs w:val="21"/>
              </w:rPr>
            </w:pPr>
            <w:r w:rsidRPr="00925B84">
              <w:rPr>
                <w:kern w:val="0"/>
                <w:szCs w:val="21"/>
              </w:rPr>
              <w:t xml:space="preserve">12.18 </w:t>
            </w:r>
          </w:p>
        </w:tc>
        <w:tc>
          <w:tcPr>
            <w:tcW w:w="1605" w:type="dxa"/>
            <w:shd w:val="clear" w:color="auto" w:fill="auto"/>
            <w:vAlign w:val="center"/>
          </w:tcPr>
          <w:p w:rsidR="00C223F5" w:rsidRPr="00925B84" w:rsidRDefault="005860D5">
            <w:pPr>
              <w:widowControl/>
              <w:jc w:val="center"/>
              <w:rPr>
                <w:kern w:val="0"/>
                <w:szCs w:val="21"/>
              </w:rPr>
            </w:pPr>
            <w:r w:rsidRPr="00925B84">
              <w:rPr>
                <w:kern w:val="0"/>
                <w:szCs w:val="21"/>
              </w:rPr>
              <w:t xml:space="preserve">1304 </w:t>
            </w:r>
          </w:p>
        </w:tc>
      </w:tr>
      <w:tr w:rsidR="00C223F5" w:rsidRPr="00925B84">
        <w:trPr>
          <w:trHeight w:val="285"/>
        </w:trPr>
        <w:tc>
          <w:tcPr>
            <w:tcW w:w="636" w:type="dxa"/>
            <w:vMerge/>
            <w:vAlign w:val="center"/>
          </w:tcPr>
          <w:p w:rsidR="00C223F5" w:rsidRPr="00925B84" w:rsidRDefault="00C223F5">
            <w:pPr>
              <w:widowControl/>
              <w:jc w:val="left"/>
              <w:rPr>
                <w:kern w:val="0"/>
                <w:szCs w:val="21"/>
              </w:rPr>
            </w:pPr>
          </w:p>
        </w:tc>
        <w:tc>
          <w:tcPr>
            <w:tcW w:w="1476" w:type="dxa"/>
            <w:shd w:val="clear" w:color="auto" w:fill="auto"/>
            <w:vAlign w:val="center"/>
          </w:tcPr>
          <w:p w:rsidR="00C223F5" w:rsidRPr="00925B84" w:rsidRDefault="005860D5">
            <w:pPr>
              <w:widowControl/>
              <w:jc w:val="center"/>
              <w:rPr>
                <w:kern w:val="0"/>
                <w:szCs w:val="21"/>
              </w:rPr>
            </w:pPr>
            <w:r w:rsidRPr="00925B84">
              <w:rPr>
                <w:rFonts w:hAnsi="宋体"/>
                <w:kern w:val="0"/>
                <w:szCs w:val="21"/>
              </w:rPr>
              <w:t>小计</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27.45 </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46.79 </w:t>
            </w:r>
          </w:p>
        </w:tc>
        <w:tc>
          <w:tcPr>
            <w:tcW w:w="921" w:type="dxa"/>
            <w:shd w:val="clear" w:color="auto" w:fill="auto"/>
            <w:vAlign w:val="center"/>
          </w:tcPr>
          <w:p w:rsidR="00C223F5" w:rsidRPr="00925B84" w:rsidRDefault="005860D5">
            <w:pPr>
              <w:widowControl/>
              <w:jc w:val="center"/>
              <w:rPr>
                <w:kern w:val="0"/>
                <w:szCs w:val="21"/>
              </w:rPr>
            </w:pPr>
            <w:r w:rsidRPr="00925B84">
              <w:rPr>
                <w:kern w:val="0"/>
                <w:szCs w:val="21"/>
              </w:rPr>
              <w:t xml:space="preserve">748.62 </w:t>
            </w:r>
          </w:p>
        </w:tc>
        <w:tc>
          <w:tcPr>
            <w:tcW w:w="816" w:type="dxa"/>
            <w:shd w:val="clear" w:color="auto" w:fill="auto"/>
            <w:vAlign w:val="center"/>
          </w:tcPr>
          <w:p w:rsidR="00C223F5" w:rsidRPr="00925B84" w:rsidRDefault="005860D5">
            <w:pPr>
              <w:widowControl/>
              <w:jc w:val="center"/>
              <w:rPr>
                <w:kern w:val="0"/>
                <w:szCs w:val="21"/>
              </w:rPr>
            </w:pPr>
            <w:r w:rsidRPr="00925B84">
              <w:rPr>
                <w:kern w:val="0"/>
                <w:szCs w:val="21"/>
              </w:rPr>
              <w:t xml:space="preserve">24.70 </w:t>
            </w:r>
          </w:p>
        </w:tc>
        <w:tc>
          <w:tcPr>
            <w:tcW w:w="756" w:type="dxa"/>
            <w:shd w:val="clear" w:color="auto" w:fill="auto"/>
            <w:vAlign w:val="center"/>
          </w:tcPr>
          <w:p w:rsidR="00C223F5" w:rsidRPr="00925B84" w:rsidRDefault="005860D5">
            <w:pPr>
              <w:widowControl/>
              <w:jc w:val="center"/>
              <w:rPr>
                <w:kern w:val="0"/>
                <w:szCs w:val="21"/>
              </w:rPr>
            </w:pPr>
            <w:r w:rsidRPr="00925B84">
              <w:rPr>
                <w:kern w:val="0"/>
                <w:szCs w:val="21"/>
              </w:rPr>
              <w:t xml:space="preserve">81.29 </w:t>
            </w:r>
          </w:p>
        </w:tc>
        <w:tc>
          <w:tcPr>
            <w:tcW w:w="923" w:type="dxa"/>
            <w:shd w:val="clear" w:color="auto" w:fill="auto"/>
            <w:vAlign w:val="center"/>
          </w:tcPr>
          <w:p w:rsidR="00C223F5" w:rsidRPr="00925B84" w:rsidRDefault="005860D5">
            <w:pPr>
              <w:widowControl/>
              <w:jc w:val="center"/>
              <w:rPr>
                <w:kern w:val="0"/>
                <w:szCs w:val="21"/>
              </w:rPr>
            </w:pPr>
            <w:r w:rsidRPr="00925B84">
              <w:rPr>
                <w:kern w:val="0"/>
                <w:szCs w:val="21"/>
              </w:rPr>
              <w:t xml:space="preserve">12.05 </w:t>
            </w:r>
          </w:p>
        </w:tc>
        <w:tc>
          <w:tcPr>
            <w:tcW w:w="1605" w:type="dxa"/>
            <w:shd w:val="clear" w:color="auto" w:fill="auto"/>
            <w:vAlign w:val="center"/>
          </w:tcPr>
          <w:p w:rsidR="00C223F5" w:rsidRPr="00925B84" w:rsidRDefault="005860D5">
            <w:pPr>
              <w:widowControl/>
              <w:jc w:val="center"/>
              <w:rPr>
                <w:kern w:val="0"/>
                <w:szCs w:val="21"/>
              </w:rPr>
            </w:pPr>
            <w:r w:rsidRPr="00925B84">
              <w:rPr>
                <w:kern w:val="0"/>
                <w:szCs w:val="21"/>
              </w:rPr>
              <w:t xml:space="preserve">1340 </w:t>
            </w:r>
          </w:p>
        </w:tc>
      </w:tr>
      <w:tr w:rsidR="00C223F5" w:rsidRPr="00925B84">
        <w:trPr>
          <w:trHeight w:val="285"/>
        </w:trPr>
        <w:tc>
          <w:tcPr>
            <w:tcW w:w="2112" w:type="dxa"/>
            <w:gridSpan w:val="2"/>
            <w:shd w:val="clear" w:color="auto" w:fill="auto"/>
            <w:vAlign w:val="center"/>
          </w:tcPr>
          <w:p w:rsidR="00C223F5" w:rsidRPr="00925B84" w:rsidRDefault="005860D5">
            <w:pPr>
              <w:widowControl/>
              <w:jc w:val="center"/>
              <w:rPr>
                <w:kern w:val="0"/>
                <w:szCs w:val="21"/>
              </w:rPr>
            </w:pPr>
            <w:r w:rsidRPr="00925B84">
              <w:rPr>
                <w:rFonts w:hAnsi="宋体"/>
                <w:kern w:val="0"/>
                <w:szCs w:val="21"/>
              </w:rPr>
              <w:t>压滤煤泥</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5.15 </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8.78 </w:t>
            </w:r>
          </w:p>
        </w:tc>
        <w:tc>
          <w:tcPr>
            <w:tcW w:w="921" w:type="dxa"/>
            <w:shd w:val="clear" w:color="auto" w:fill="auto"/>
            <w:vAlign w:val="center"/>
          </w:tcPr>
          <w:p w:rsidR="00C223F5" w:rsidRPr="00925B84" w:rsidRDefault="005860D5">
            <w:pPr>
              <w:widowControl/>
              <w:jc w:val="center"/>
              <w:rPr>
                <w:kern w:val="0"/>
                <w:szCs w:val="21"/>
              </w:rPr>
            </w:pPr>
            <w:r w:rsidRPr="00925B84">
              <w:rPr>
                <w:kern w:val="0"/>
                <w:szCs w:val="21"/>
              </w:rPr>
              <w:t xml:space="preserve">140.45 </w:t>
            </w:r>
          </w:p>
        </w:tc>
        <w:tc>
          <w:tcPr>
            <w:tcW w:w="816" w:type="dxa"/>
            <w:shd w:val="clear" w:color="auto" w:fill="auto"/>
            <w:vAlign w:val="center"/>
          </w:tcPr>
          <w:p w:rsidR="00C223F5" w:rsidRPr="00925B84" w:rsidRDefault="005860D5">
            <w:pPr>
              <w:widowControl/>
              <w:jc w:val="center"/>
              <w:rPr>
                <w:kern w:val="0"/>
                <w:szCs w:val="21"/>
              </w:rPr>
            </w:pPr>
            <w:r w:rsidRPr="00925B84">
              <w:rPr>
                <w:kern w:val="0"/>
                <w:szCs w:val="21"/>
              </w:rPr>
              <w:t xml:space="preserve">4.64 </w:t>
            </w:r>
          </w:p>
        </w:tc>
        <w:tc>
          <w:tcPr>
            <w:tcW w:w="756" w:type="dxa"/>
            <w:shd w:val="clear" w:color="auto" w:fill="auto"/>
            <w:vAlign w:val="center"/>
          </w:tcPr>
          <w:p w:rsidR="00C223F5" w:rsidRPr="00925B84" w:rsidRDefault="005860D5">
            <w:pPr>
              <w:widowControl/>
              <w:jc w:val="center"/>
              <w:rPr>
                <w:kern w:val="0"/>
                <w:szCs w:val="21"/>
              </w:rPr>
            </w:pPr>
            <w:r w:rsidRPr="00925B84">
              <w:rPr>
                <w:kern w:val="0"/>
                <w:szCs w:val="21"/>
              </w:rPr>
              <w:t xml:space="preserve">33.84 </w:t>
            </w:r>
          </w:p>
        </w:tc>
        <w:tc>
          <w:tcPr>
            <w:tcW w:w="923" w:type="dxa"/>
            <w:shd w:val="clear" w:color="auto" w:fill="auto"/>
            <w:vAlign w:val="center"/>
          </w:tcPr>
          <w:p w:rsidR="00C223F5" w:rsidRPr="00925B84" w:rsidRDefault="005860D5">
            <w:pPr>
              <w:widowControl/>
              <w:jc w:val="center"/>
              <w:rPr>
                <w:kern w:val="0"/>
                <w:szCs w:val="21"/>
              </w:rPr>
            </w:pPr>
            <w:r w:rsidRPr="00925B84">
              <w:rPr>
                <w:kern w:val="0"/>
                <w:szCs w:val="21"/>
              </w:rPr>
              <w:t xml:space="preserve">25.18 </w:t>
            </w:r>
          </w:p>
        </w:tc>
        <w:tc>
          <w:tcPr>
            <w:tcW w:w="1605" w:type="dxa"/>
            <w:shd w:val="clear" w:color="auto" w:fill="auto"/>
            <w:vAlign w:val="center"/>
          </w:tcPr>
          <w:p w:rsidR="00C223F5" w:rsidRPr="00925B84" w:rsidRDefault="005860D5">
            <w:pPr>
              <w:widowControl/>
              <w:jc w:val="center"/>
              <w:rPr>
                <w:kern w:val="0"/>
                <w:szCs w:val="21"/>
              </w:rPr>
            </w:pPr>
            <w:r w:rsidRPr="00925B84">
              <w:rPr>
                <w:kern w:val="0"/>
                <w:szCs w:val="21"/>
              </w:rPr>
              <w:t xml:space="preserve">3157 </w:t>
            </w:r>
          </w:p>
        </w:tc>
      </w:tr>
      <w:tr w:rsidR="00C223F5" w:rsidRPr="00925B84">
        <w:trPr>
          <w:trHeight w:val="285"/>
        </w:trPr>
        <w:tc>
          <w:tcPr>
            <w:tcW w:w="2112" w:type="dxa"/>
            <w:gridSpan w:val="2"/>
            <w:shd w:val="clear" w:color="auto" w:fill="auto"/>
            <w:vAlign w:val="center"/>
          </w:tcPr>
          <w:p w:rsidR="00C223F5" w:rsidRPr="00925B84" w:rsidRDefault="005860D5">
            <w:pPr>
              <w:widowControl/>
              <w:jc w:val="center"/>
              <w:rPr>
                <w:kern w:val="0"/>
                <w:szCs w:val="21"/>
              </w:rPr>
            </w:pPr>
            <w:r w:rsidRPr="00925B84">
              <w:rPr>
                <w:rFonts w:hAnsi="宋体"/>
                <w:kern w:val="0"/>
                <w:szCs w:val="21"/>
              </w:rPr>
              <w:t>原煤</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100.00 </w:t>
            </w:r>
          </w:p>
        </w:tc>
        <w:tc>
          <w:tcPr>
            <w:tcW w:w="794" w:type="dxa"/>
            <w:shd w:val="clear" w:color="auto" w:fill="auto"/>
            <w:vAlign w:val="center"/>
          </w:tcPr>
          <w:p w:rsidR="00C223F5" w:rsidRPr="00925B84" w:rsidRDefault="005860D5">
            <w:pPr>
              <w:widowControl/>
              <w:jc w:val="center"/>
              <w:rPr>
                <w:kern w:val="0"/>
                <w:szCs w:val="21"/>
              </w:rPr>
            </w:pPr>
            <w:r w:rsidRPr="00925B84">
              <w:rPr>
                <w:kern w:val="0"/>
                <w:szCs w:val="21"/>
              </w:rPr>
              <w:t xml:space="preserve">170.45 </w:t>
            </w:r>
          </w:p>
        </w:tc>
        <w:tc>
          <w:tcPr>
            <w:tcW w:w="921" w:type="dxa"/>
            <w:shd w:val="clear" w:color="auto" w:fill="auto"/>
            <w:vAlign w:val="center"/>
          </w:tcPr>
          <w:p w:rsidR="00C223F5" w:rsidRPr="00925B84" w:rsidRDefault="005860D5">
            <w:pPr>
              <w:widowControl/>
              <w:jc w:val="center"/>
              <w:rPr>
                <w:kern w:val="0"/>
                <w:szCs w:val="21"/>
              </w:rPr>
            </w:pPr>
            <w:r w:rsidRPr="00925B84">
              <w:rPr>
                <w:kern w:val="0"/>
                <w:szCs w:val="21"/>
              </w:rPr>
              <w:t xml:space="preserve">2727.27 </w:t>
            </w:r>
          </w:p>
        </w:tc>
        <w:tc>
          <w:tcPr>
            <w:tcW w:w="816" w:type="dxa"/>
            <w:shd w:val="clear" w:color="auto" w:fill="auto"/>
            <w:vAlign w:val="center"/>
          </w:tcPr>
          <w:p w:rsidR="00C223F5" w:rsidRPr="00925B84" w:rsidRDefault="005860D5">
            <w:pPr>
              <w:widowControl/>
              <w:jc w:val="center"/>
              <w:rPr>
                <w:kern w:val="0"/>
                <w:szCs w:val="21"/>
              </w:rPr>
            </w:pPr>
            <w:r w:rsidRPr="00925B84">
              <w:rPr>
                <w:kern w:val="0"/>
                <w:szCs w:val="21"/>
              </w:rPr>
              <w:t xml:space="preserve">90.00 </w:t>
            </w:r>
          </w:p>
        </w:tc>
        <w:tc>
          <w:tcPr>
            <w:tcW w:w="756" w:type="dxa"/>
            <w:shd w:val="clear" w:color="auto" w:fill="auto"/>
            <w:vAlign w:val="center"/>
          </w:tcPr>
          <w:p w:rsidR="00C223F5" w:rsidRPr="00925B84" w:rsidRDefault="005860D5">
            <w:pPr>
              <w:widowControl/>
              <w:jc w:val="center"/>
              <w:rPr>
                <w:kern w:val="0"/>
                <w:szCs w:val="21"/>
              </w:rPr>
            </w:pPr>
            <w:r w:rsidRPr="00925B84">
              <w:rPr>
                <w:kern w:val="0"/>
                <w:szCs w:val="21"/>
              </w:rPr>
              <w:t xml:space="preserve">35.22 </w:t>
            </w:r>
          </w:p>
        </w:tc>
        <w:tc>
          <w:tcPr>
            <w:tcW w:w="923" w:type="dxa"/>
            <w:shd w:val="clear" w:color="auto" w:fill="auto"/>
            <w:vAlign w:val="center"/>
          </w:tcPr>
          <w:p w:rsidR="00C223F5" w:rsidRPr="00925B84" w:rsidRDefault="005860D5">
            <w:pPr>
              <w:widowControl/>
              <w:jc w:val="center"/>
              <w:rPr>
                <w:kern w:val="0"/>
                <w:szCs w:val="21"/>
              </w:rPr>
            </w:pPr>
            <w:r w:rsidRPr="00925B84">
              <w:rPr>
                <w:kern w:val="0"/>
                <w:szCs w:val="21"/>
              </w:rPr>
              <w:t xml:space="preserve">12.80 </w:t>
            </w:r>
          </w:p>
        </w:tc>
        <w:tc>
          <w:tcPr>
            <w:tcW w:w="1605" w:type="dxa"/>
            <w:shd w:val="clear" w:color="auto" w:fill="auto"/>
            <w:vAlign w:val="center"/>
          </w:tcPr>
          <w:p w:rsidR="00C223F5" w:rsidRPr="00925B84" w:rsidRDefault="005860D5">
            <w:pPr>
              <w:widowControl/>
              <w:jc w:val="center"/>
              <w:rPr>
                <w:kern w:val="0"/>
                <w:szCs w:val="21"/>
              </w:rPr>
            </w:pPr>
            <w:r w:rsidRPr="00925B84">
              <w:rPr>
                <w:kern w:val="0"/>
                <w:szCs w:val="21"/>
              </w:rPr>
              <w:t xml:space="preserve">4135 </w:t>
            </w:r>
          </w:p>
        </w:tc>
      </w:tr>
    </w:tbl>
    <w:p w:rsidR="00C223F5" w:rsidRPr="00925B84" w:rsidRDefault="00C223F5">
      <w:pPr>
        <w:jc w:val="center"/>
        <w:rPr>
          <w:rFonts w:hAnsi="宋体"/>
          <w:b/>
          <w:sz w:val="24"/>
        </w:rPr>
      </w:pPr>
    </w:p>
    <w:p w:rsidR="00C223F5" w:rsidRPr="00925B84" w:rsidRDefault="005860D5" w:rsidP="004835BD">
      <w:pPr>
        <w:pStyle w:val="4"/>
        <w:spacing w:before="0" w:after="0" w:line="360" w:lineRule="auto"/>
        <w:ind w:firstLineChars="100" w:firstLine="240"/>
        <w:rPr>
          <w:szCs w:val="24"/>
        </w:rPr>
      </w:pPr>
      <w:r w:rsidRPr="00925B84">
        <w:rPr>
          <w:rFonts w:hint="eastAsia"/>
          <w:szCs w:val="24"/>
        </w:rPr>
        <w:t>2.1.2.5</w:t>
      </w:r>
      <w:r w:rsidRPr="00925B84">
        <w:rPr>
          <w:rFonts w:hint="eastAsia"/>
          <w:szCs w:val="24"/>
        </w:rPr>
        <w:t>项目选址、总平面布置及占地</w:t>
      </w:r>
    </w:p>
    <w:p w:rsidR="00C223F5" w:rsidRDefault="005860D5" w:rsidP="00C006A7">
      <w:pPr>
        <w:pStyle w:val="4"/>
        <w:spacing w:before="0" w:after="0" w:line="360" w:lineRule="auto"/>
        <w:ind w:firstLineChars="100" w:firstLine="240"/>
        <w:rPr>
          <w:szCs w:val="24"/>
        </w:rPr>
      </w:pPr>
      <w:r>
        <w:rPr>
          <w:rFonts w:hint="eastAsia"/>
          <w:szCs w:val="24"/>
        </w:rPr>
        <w:t>（一）项目选址、选线</w:t>
      </w:r>
    </w:p>
    <w:p w:rsidR="00C223F5" w:rsidRDefault="005860D5">
      <w:pPr>
        <w:spacing w:line="360" w:lineRule="auto"/>
        <w:ind w:firstLineChars="200" w:firstLine="480"/>
        <w:rPr>
          <w:sz w:val="24"/>
        </w:rPr>
      </w:pPr>
      <w:r>
        <w:rPr>
          <w:sz w:val="24"/>
        </w:rPr>
        <w:t>矿井总平面布置见图</w:t>
      </w:r>
      <w:r>
        <w:rPr>
          <w:rFonts w:hint="eastAsia"/>
          <w:sz w:val="24"/>
        </w:rPr>
        <w:t>2.1.2</w:t>
      </w:r>
      <w:r>
        <w:rPr>
          <w:sz w:val="24"/>
        </w:rPr>
        <w:t>-</w:t>
      </w:r>
      <w:r>
        <w:rPr>
          <w:rFonts w:hint="eastAsia"/>
          <w:sz w:val="24"/>
        </w:rPr>
        <w:t>2</w:t>
      </w:r>
      <w:r>
        <w:rPr>
          <w:sz w:val="24"/>
        </w:rPr>
        <w:t>。</w:t>
      </w:r>
    </w:p>
    <w:p w:rsidR="00C223F5" w:rsidRDefault="005860D5" w:rsidP="00C006A7">
      <w:pPr>
        <w:pStyle w:val="aff1"/>
        <w:tabs>
          <w:tab w:val="clear" w:pos="5781"/>
        </w:tabs>
        <w:spacing w:line="360" w:lineRule="auto"/>
        <w:ind w:left="0" w:firstLineChars="200" w:firstLine="480"/>
        <w:rPr>
          <w:szCs w:val="24"/>
        </w:rPr>
      </w:pPr>
      <w:r>
        <w:rPr>
          <w:rFonts w:hint="eastAsia"/>
          <w:szCs w:val="24"/>
        </w:rPr>
        <w:t>（</w:t>
      </w:r>
      <w:r>
        <w:rPr>
          <w:rFonts w:hint="eastAsia"/>
          <w:szCs w:val="24"/>
        </w:rPr>
        <w:t>1</w:t>
      </w:r>
      <w:r>
        <w:rPr>
          <w:rFonts w:hint="eastAsia"/>
          <w:szCs w:val="24"/>
        </w:rPr>
        <w:t>）工业场地选址</w:t>
      </w:r>
    </w:p>
    <w:p w:rsidR="00C223F5" w:rsidRPr="00925B84" w:rsidRDefault="005860D5">
      <w:pPr>
        <w:spacing w:line="360" w:lineRule="auto"/>
        <w:ind w:firstLineChars="200" w:firstLine="480"/>
        <w:rPr>
          <w:rFonts w:hAnsi="宋体"/>
          <w:sz w:val="24"/>
        </w:rPr>
      </w:pPr>
      <w:r>
        <w:rPr>
          <w:rFonts w:ascii="宋体" w:hAnsi="宋体" w:hint="eastAsia"/>
          <w:sz w:val="24"/>
        </w:rPr>
        <w:t>项目</w:t>
      </w:r>
      <w:r>
        <w:rPr>
          <w:rFonts w:hint="eastAsia"/>
          <w:sz w:val="24"/>
        </w:rPr>
        <w:t>工业场地</w:t>
      </w:r>
      <w:r>
        <w:rPr>
          <w:sz w:val="24"/>
        </w:rPr>
        <w:t>位于</w:t>
      </w:r>
      <w:r>
        <w:rPr>
          <w:rFonts w:ascii="宋体" w:hAnsi="宋体" w:hint="eastAsia"/>
          <w:sz w:val="24"/>
        </w:rPr>
        <w:t>井田北部，利用原小天云工业场地进</w:t>
      </w:r>
      <w:r>
        <w:rPr>
          <w:rFonts w:hAnsi="宋体"/>
          <w:sz w:val="24"/>
        </w:rPr>
        <w:t>行改扩建，</w:t>
      </w:r>
      <w:r>
        <w:rPr>
          <w:sz w:val="24"/>
        </w:rPr>
        <w:t>场地总占地</w:t>
      </w:r>
      <w:r>
        <w:rPr>
          <w:sz w:val="24"/>
        </w:rPr>
        <w:t>6.5hm</w:t>
      </w:r>
      <w:r>
        <w:rPr>
          <w:sz w:val="24"/>
          <w:vertAlign w:val="superscript"/>
        </w:rPr>
        <w:t>2</w:t>
      </w:r>
      <w:r>
        <w:rPr>
          <w:sz w:val="24"/>
        </w:rPr>
        <w:t>，</w:t>
      </w:r>
      <w:r>
        <w:rPr>
          <w:rFonts w:hAnsi="宋体"/>
          <w:sz w:val="24"/>
        </w:rPr>
        <w:t>围墙内占</w:t>
      </w:r>
      <w:r w:rsidRPr="00925B84">
        <w:rPr>
          <w:rFonts w:hAnsi="宋体"/>
          <w:sz w:val="24"/>
        </w:rPr>
        <w:t>地</w:t>
      </w:r>
      <w:r w:rsidRPr="00925B84">
        <w:rPr>
          <w:sz w:val="24"/>
        </w:rPr>
        <w:t>5.25hm</w:t>
      </w:r>
      <w:r w:rsidRPr="00925B84">
        <w:rPr>
          <w:sz w:val="24"/>
          <w:vertAlign w:val="superscript"/>
        </w:rPr>
        <w:t>2</w:t>
      </w:r>
      <w:r w:rsidRPr="00925B84">
        <w:rPr>
          <w:rFonts w:hAnsi="宋体"/>
          <w:sz w:val="24"/>
        </w:rPr>
        <w:t>（其中矿井工业场地占地</w:t>
      </w:r>
      <w:r w:rsidRPr="00925B84">
        <w:rPr>
          <w:sz w:val="24"/>
        </w:rPr>
        <w:t>2.58 hm</w:t>
      </w:r>
      <w:r w:rsidRPr="00925B84">
        <w:rPr>
          <w:sz w:val="24"/>
          <w:vertAlign w:val="superscript"/>
        </w:rPr>
        <w:t>2</w:t>
      </w:r>
      <w:r w:rsidRPr="00925B84">
        <w:rPr>
          <w:rFonts w:hAnsi="宋体"/>
          <w:sz w:val="24"/>
        </w:rPr>
        <w:t>、选煤厂工业场地占地</w:t>
      </w:r>
      <w:r w:rsidRPr="00925B84">
        <w:rPr>
          <w:sz w:val="24"/>
        </w:rPr>
        <w:t>2.10 hm</w:t>
      </w:r>
      <w:r w:rsidRPr="00925B84">
        <w:rPr>
          <w:sz w:val="24"/>
          <w:vertAlign w:val="superscript"/>
        </w:rPr>
        <w:t>2</w:t>
      </w:r>
      <w:r w:rsidRPr="00925B84">
        <w:rPr>
          <w:rFonts w:hAnsi="宋体"/>
          <w:sz w:val="24"/>
        </w:rPr>
        <w:t>、风井场地占地</w:t>
      </w:r>
      <w:r w:rsidRPr="00925B84">
        <w:rPr>
          <w:sz w:val="24"/>
        </w:rPr>
        <w:t>0.32 hm</w:t>
      </w:r>
      <w:r w:rsidRPr="00925B84">
        <w:rPr>
          <w:sz w:val="24"/>
          <w:vertAlign w:val="superscript"/>
        </w:rPr>
        <w:t>2</w:t>
      </w:r>
      <w:r w:rsidRPr="00925B84">
        <w:rPr>
          <w:rFonts w:hAnsi="宋体"/>
          <w:sz w:val="24"/>
        </w:rPr>
        <w:t>、取水及供电设施占地</w:t>
      </w:r>
      <w:r w:rsidRPr="00925B84">
        <w:rPr>
          <w:sz w:val="24"/>
        </w:rPr>
        <w:t>0.25 hm</w:t>
      </w:r>
      <w:r w:rsidRPr="00925B84">
        <w:rPr>
          <w:sz w:val="24"/>
          <w:vertAlign w:val="superscript"/>
        </w:rPr>
        <w:t>2</w:t>
      </w:r>
      <w:r w:rsidRPr="00925B84">
        <w:rPr>
          <w:rFonts w:hAnsi="宋体"/>
          <w:sz w:val="24"/>
        </w:rPr>
        <w:t>）</w:t>
      </w:r>
      <w:r w:rsidRPr="00925B84">
        <w:rPr>
          <w:rFonts w:hAnsi="宋体" w:hint="eastAsia"/>
          <w:sz w:val="24"/>
        </w:rPr>
        <w:t>，</w:t>
      </w:r>
      <w:r w:rsidRPr="00925B84">
        <w:rPr>
          <w:sz w:val="24"/>
        </w:rPr>
        <w:t>新增</w:t>
      </w:r>
      <w:r w:rsidRPr="00925B84">
        <w:rPr>
          <w:sz w:val="24"/>
        </w:rPr>
        <w:lastRenderedPageBreak/>
        <w:t>占地</w:t>
      </w:r>
      <w:r w:rsidRPr="00925B84">
        <w:rPr>
          <w:rFonts w:hint="eastAsia"/>
          <w:sz w:val="24"/>
        </w:rPr>
        <w:t>面积</w:t>
      </w:r>
      <w:r w:rsidRPr="00925B84">
        <w:rPr>
          <w:rFonts w:hAnsi="宋体" w:hint="eastAsia"/>
          <w:sz w:val="24"/>
        </w:rPr>
        <w:t>3.62</w:t>
      </w:r>
      <w:r w:rsidRPr="00925B84">
        <w:rPr>
          <w:rFonts w:hint="eastAsia"/>
          <w:sz w:val="24"/>
        </w:rPr>
        <w:t xml:space="preserve"> hm</w:t>
      </w:r>
      <w:r w:rsidRPr="00925B84">
        <w:rPr>
          <w:rFonts w:hint="eastAsia"/>
          <w:sz w:val="24"/>
          <w:vertAlign w:val="superscript"/>
        </w:rPr>
        <w:t>2</w:t>
      </w:r>
      <w:r w:rsidRPr="00925B84">
        <w:rPr>
          <w:rFonts w:hint="eastAsia"/>
          <w:sz w:val="24"/>
        </w:rPr>
        <w:t>，占地</w:t>
      </w:r>
      <w:r w:rsidR="00D723DF" w:rsidRPr="00925B84">
        <w:rPr>
          <w:rFonts w:hAnsi="宋体" w:hint="eastAsia"/>
          <w:sz w:val="24"/>
        </w:rPr>
        <w:t>类型主要为草地和灌</w:t>
      </w:r>
      <w:r w:rsidRPr="00925B84">
        <w:rPr>
          <w:rFonts w:hAnsi="宋体" w:hint="eastAsia"/>
          <w:sz w:val="24"/>
        </w:rPr>
        <w:t>林地</w:t>
      </w:r>
      <w:r w:rsidRPr="00925B84">
        <w:rPr>
          <w:sz w:val="24"/>
        </w:rPr>
        <w:t>。</w:t>
      </w:r>
    </w:p>
    <w:p w:rsidR="00C223F5" w:rsidRPr="00925B84" w:rsidRDefault="005860D5">
      <w:pPr>
        <w:pStyle w:val="aff1"/>
        <w:tabs>
          <w:tab w:val="clear" w:pos="5781"/>
        </w:tabs>
        <w:spacing w:line="360" w:lineRule="auto"/>
        <w:ind w:left="0" w:firstLineChars="200" w:firstLine="480"/>
        <w:rPr>
          <w:szCs w:val="24"/>
        </w:rPr>
      </w:pPr>
      <w:r w:rsidRPr="00925B84">
        <w:rPr>
          <w:rFonts w:hint="eastAsia"/>
          <w:szCs w:val="24"/>
        </w:rPr>
        <w:t>（</w:t>
      </w:r>
      <w:r w:rsidRPr="00925B84">
        <w:rPr>
          <w:rFonts w:hint="eastAsia"/>
          <w:szCs w:val="24"/>
        </w:rPr>
        <w:t>2</w:t>
      </w:r>
      <w:r w:rsidRPr="00925B84">
        <w:rPr>
          <w:rFonts w:hint="eastAsia"/>
          <w:szCs w:val="24"/>
        </w:rPr>
        <w:t>）炸药库（已有）</w:t>
      </w:r>
    </w:p>
    <w:p w:rsidR="00C223F5" w:rsidRPr="00925B84" w:rsidRDefault="005860D5">
      <w:pPr>
        <w:pStyle w:val="aff1"/>
        <w:tabs>
          <w:tab w:val="clear" w:pos="5781"/>
        </w:tabs>
        <w:spacing w:line="360" w:lineRule="auto"/>
        <w:ind w:left="0" w:firstLineChars="200" w:firstLine="480"/>
        <w:rPr>
          <w:szCs w:val="24"/>
        </w:rPr>
      </w:pPr>
      <w:r w:rsidRPr="00925B84">
        <w:rPr>
          <w:rFonts w:hint="eastAsia"/>
          <w:szCs w:val="24"/>
        </w:rPr>
        <w:t>炸药库位于工业场地正北方向约</w:t>
      </w:r>
      <w:r w:rsidRPr="00925B84">
        <w:rPr>
          <w:rFonts w:hint="eastAsia"/>
          <w:szCs w:val="24"/>
        </w:rPr>
        <w:t>530m</w:t>
      </w:r>
      <w:r w:rsidRPr="00925B84">
        <w:rPr>
          <w:rFonts w:hint="eastAsia"/>
          <w:szCs w:val="24"/>
        </w:rPr>
        <w:t>处荒沟中，库存炸药</w:t>
      </w:r>
      <w:r w:rsidRPr="00925B84">
        <w:rPr>
          <w:rFonts w:hint="eastAsia"/>
          <w:szCs w:val="24"/>
        </w:rPr>
        <w:t>5t</w:t>
      </w:r>
      <w:r w:rsidRPr="00925B84">
        <w:rPr>
          <w:rFonts w:hint="eastAsia"/>
          <w:szCs w:val="24"/>
        </w:rPr>
        <w:t>，雷管</w:t>
      </w:r>
      <w:r w:rsidRPr="00925B84">
        <w:rPr>
          <w:rFonts w:hint="eastAsia"/>
          <w:szCs w:val="24"/>
        </w:rPr>
        <w:t>10000</w:t>
      </w:r>
      <w:r w:rsidRPr="00925B84">
        <w:rPr>
          <w:rFonts w:hint="eastAsia"/>
          <w:szCs w:val="24"/>
        </w:rPr>
        <w:t>发，占地</w:t>
      </w:r>
      <w:r w:rsidRPr="00925B84">
        <w:rPr>
          <w:rFonts w:hint="eastAsia"/>
          <w:szCs w:val="24"/>
        </w:rPr>
        <w:t>0.15hm</w:t>
      </w:r>
      <w:r w:rsidRPr="00925B84">
        <w:rPr>
          <w:rFonts w:hint="eastAsia"/>
          <w:szCs w:val="24"/>
          <w:vertAlign w:val="superscript"/>
        </w:rPr>
        <w:t>2</w:t>
      </w:r>
      <w:r w:rsidRPr="00925B84">
        <w:rPr>
          <w:rFonts w:hint="eastAsia"/>
          <w:szCs w:val="24"/>
        </w:rPr>
        <w:t>，并已通过当地公安部门许可。</w:t>
      </w:r>
    </w:p>
    <w:p w:rsidR="00C223F5" w:rsidRPr="00925B84" w:rsidRDefault="005860D5">
      <w:pPr>
        <w:spacing w:line="360" w:lineRule="auto"/>
        <w:ind w:firstLineChars="200" w:firstLine="480"/>
        <w:rPr>
          <w:rFonts w:hAnsi="宋体"/>
          <w:sz w:val="24"/>
        </w:rPr>
      </w:pPr>
      <w:r w:rsidRPr="00925B84">
        <w:rPr>
          <w:rFonts w:hAnsi="宋体" w:hint="eastAsia"/>
          <w:sz w:val="24"/>
        </w:rPr>
        <w:t>（</w:t>
      </w:r>
      <w:r w:rsidRPr="00925B84">
        <w:rPr>
          <w:rFonts w:hAnsi="宋体" w:hint="eastAsia"/>
          <w:sz w:val="24"/>
        </w:rPr>
        <w:t>3</w:t>
      </w:r>
      <w:r w:rsidRPr="00925B84">
        <w:rPr>
          <w:rFonts w:hAnsi="宋体" w:hint="eastAsia"/>
          <w:sz w:val="24"/>
        </w:rPr>
        <w:t>）</w:t>
      </w:r>
      <w:r w:rsidRPr="00925B84">
        <w:rPr>
          <w:rFonts w:hAnsi="宋体"/>
          <w:sz w:val="24"/>
        </w:rPr>
        <w:t>道路</w:t>
      </w:r>
      <w:r w:rsidRPr="00925B84">
        <w:rPr>
          <w:rFonts w:hAnsi="宋体" w:hint="eastAsia"/>
          <w:sz w:val="24"/>
        </w:rPr>
        <w:t>（已有）</w:t>
      </w:r>
    </w:p>
    <w:p w:rsidR="00C223F5" w:rsidRDefault="000F32AE">
      <w:pPr>
        <w:spacing w:line="360" w:lineRule="auto"/>
        <w:ind w:firstLineChars="200" w:firstLine="480"/>
        <w:rPr>
          <w:rFonts w:hAnsi="宋体"/>
          <w:sz w:val="24"/>
        </w:rPr>
      </w:pPr>
      <w:r>
        <w:rPr>
          <w:rFonts w:hAnsi="宋体"/>
          <w:sz w:val="24"/>
        </w:rPr>
        <w:fldChar w:fldCharType="begin"/>
      </w:r>
      <w:r w:rsidR="005860D5">
        <w:rPr>
          <w:rFonts w:hAnsi="宋体" w:hint="eastAsia"/>
          <w:sz w:val="24"/>
        </w:rPr>
        <w:instrText>= 1 \* GB3</w:instrText>
      </w:r>
      <w:r>
        <w:rPr>
          <w:rFonts w:hAnsi="宋体"/>
          <w:sz w:val="24"/>
        </w:rPr>
        <w:fldChar w:fldCharType="separate"/>
      </w:r>
      <w:r w:rsidR="005860D5">
        <w:rPr>
          <w:rFonts w:hAnsi="宋体" w:hint="eastAsia"/>
          <w:sz w:val="24"/>
        </w:rPr>
        <w:t>①</w:t>
      </w:r>
      <w:r>
        <w:rPr>
          <w:rFonts w:hAnsi="宋体"/>
          <w:sz w:val="24"/>
        </w:rPr>
        <w:fldChar w:fldCharType="end"/>
      </w:r>
      <w:r w:rsidR="005860D5">
        <w:rPr>
          <w:rFonts w:hAnsi="宋体" w:hint="eastAsia"/>
          <w:sz w:val="24"/>
        </w:rPr>
        <w:t>进场公路：该公路为利用场地旁既有县道，工业场地接入该县道后，向东平行于青银高速走行</w:t>
      </w:r>
      <w:r w:rsidR="005860D5">
        <w:rPr>
          <w:rFonts w:hAnsi="宋体" w:hint="eastAsia"/>
          <w:sz w:val="24"/>
        </w:rPr>
        <w:t>1.5km</w:t>
      </w:r>
      <w:r w:rsidR="005860D5">
        <w:rPr>
          <w:rFonts w:hAnsi="宋体" w:hint="eastAsia"/>
          <w:sz w:val="24"/>
        </w:rPr>
        <w:t>后下穿高速，继续向东走行</w:t>
      </w:r>
      <w:r w:rsidR="005860D5">
        <w:rPr>
          <w:rFonts w:hAnsi="宋体" w:hint="eastAsia"/>
          <w:sz w:val="24"/>
        </w:rPr>
        <w:t>1.5km</w:t>
      </w:r>
      <w:r w:rsidR="005860D5">
        <w:rPr>
          <w:rFonts w:hAnsi="宋体" w:hint="eastAsia"/>
          <w:sz w:val="24"/>
        </w:rPr>
        <w:t>后至魏家楼乡镇接至国道</w:t>
      </w:r>
      <w:r w:rsidR="005860D5">
        <w:rPr>
          <w:rFonts w:hAnsi="宋体" w:hint="eastAsia"/>
          <w:sz w:val="24"/>
        </w:rPr>
        <w:t>307</w:t>
      </w:r>
      <w:r w:rsidR="005860D5">
        <w:rPr>
          <w:rFonts w:hAnsi="宋体" w:hint="eastAsia"/>
          <w:sz w:val="24"/>
        </w:rPr>
        <w:t>。目前该路为厂外道路三级标准，长度</w:t>
      </w:r>
      <w:r w:rsidR="005860D5">
        <w:rPr>
          <w:rFonts w:hAnsi="宋体" w:hint="eastAsia"/>
          <w:sz w:val="24"/>
        </w:rPr>
        <w:t>7km</w:t>
      </w:r>
      <w:r w:rsidR="005860D5">
        <w:rPr>
          <w:rFonts w:hAnsi="宋体" w:hint="eastAsia"/>
          <w:sz w:val="24"/>
        </w:rPr>
        <w:t>，最小圆曲线半径</w:t>
      </w:r>
      <w:r w:rsidR="005860D5">
        <w:rPr>
          <w:rFonts w:hAnsi="宋体" w:hint="eastAsia"/>
          <w:sz w:val="24"/>
        </w:rPr>
        <w:t>30</w:t>
      </w:r>
      <w:r w:rsidR="005860D5">
        <w:rPr>
          <w:rFonts w:hAnsi="宋体"/>
          <w:sz w:val="24"/>
        </w:rPr>
        <w:t>m</w:t>
      </w:r>
      <w:r w:rsidR="005860D5">
        <w:rPr>
          <w:rFonts w:hAnsi="宋体" w:hint="eastAsia"/>
          <w:sz w:val="24"/>
        </w:rPr>
        <w:t>，路基宽</w:t>
      </w:r>
      <w:r w:rsidR="005860D5">
        <w:rPr>
          <w:rFonts w:hAnsi="宋体" w:hint="eastAsia"/>
          <w:sz w:val="24"/>
        </w:rPr>
        <w:t>7.5m</w:t>
      </w:r>
      <w:r w:rsidR="005860D5">
        <w:rPr>
          <w:rFonts w:hAnsi="宋体" w:hint="eastAsia"/>
          <w:sz w:val="24"/>
        </w:rPr>
        <w:t>，路面宽</w:t>
      </w:r>
      <w:r w:rsidR="005860D5">
        <w:rPr>
          <w:rFonts w:hAnsi="宋体" w:hint="eastAsia"/>
          <w:sz w:val="24"/>
        </w:rPr>
        <w:t>6.0m</w:t>
      </w:r>
      <w:r w:rsidR="005860D5">
        <w:rPr>
          <w:rFonts w:hAnsi="宋体" w:hint="eastAsia"/>
          <w:sz w:val="24"/>
        </w:rPr>
        <w:t>，水泥混凝土路面结构。</w:t>
      </w:r>
    </w:p>
    <w:p w:rsidR="00C223F5" w:rsidRDefault="000F32AE">
      <w:pPr>
        <w:spacing w:line="360" w:lineRule="auto"/>
        <w:ind w:firstLineChars="200" w:firstLine="480"/>
        <w:rPr>
          <w:rFonts w:hAnsi="宋体"/>
          <w:sz w:val="24"/>
        </w:rPr>
      </w:pPr>
      <w:r>
        <w:rPr>
          <w:rFonts w:hAnsi="宋体"/>
          <w:sz w:val="24"/>
        </w:rPr>
        <w:fldChar w:fldCharType="begin"/>
      </w:r>
      <w:r w:rsidR="005860D5">
        <w:rPr>
          <w:rFonts w:hAnsi="宋体" w:hint="eastAsia"/>
          <w:sz w:val="24"/>
        </w:rPr>
        <w:instrText>= 2 \* GB3</w:instrText>
      </w:r>
      <w:r>
        <w:rPr>
          <w:rFonts w:hAnsi="宋体"/>
          <w:sz w:val="24"/>
        </w:rPr>
        <w:fldChar w:fldCharType="separate"/>
      </w:r>
      <w:r w:rsidR="005860D5">
        <w:rPr>
          <w:rFonts w:hAnsi="宋体" w:hint="eastAsia"/>
          <w:sz w:val="24"/>
        </w:rPr>
        <w:t>②</w:t>
      </w:r>
      <w:r>
        <w:rPr>
          <w:rFonts w:hAnsi="宋体"/>
          <w:sz w:val="24"/>
        </w:rPr>
        <w:fldChar w:fldCharType="end"/>
      </w:r>
      <w:r w:rsidR="005860D5">
        <w:rPr>
          <w:rFonts w:hAnsi="宋体" w:hint="eastAsia"/>
          <w:sz w:val="24"/>
        </w:rPr>
        <w:t>炸药库公路：炸药库公路由工业场地东侧大门引出，沿着既有乡村道路向北前行</w:t>
      </w:r>
      <w:r w:rsidR="005860D5">
        <w:rPr>
          <w:rFonts w:hAnsi="宋体" w:hint="eastAsia"/>
          <w:sz w:val="24"/>
        </w:rPr>
        <w:t>750m</w:t>
      </w:r>
      <w:r w:rsidR="005860D5">
        <w:rPr>
          <w:rFonts w:hAnsi="宋体" w:hint="eastAsia"/>
          <w:sz w:val="24"/>
        </w:rPr>
        <w:t>后至炸药库场地，该段道路长度</w:t>
      </w:r>
      <w:r w:rsidR="005860D5">
        <w:rPr>
          <w:rFonts w:hAnsi="宋体" w:hint="eastAsia"/>
          <w:sz w:val="24"/>
        </w:rPr>
        <w:t>0.75</w:t>
      </w:r>
      <w:r w:rsidR="005860D5">
        <w:rPr>
          <w:rFonts w:hAnsi="宋体"/>
          <w:sz w:val="24"/>
        </w:rPr>
        <w:t>km</w:t>
      </w:r>
      <w:r w:rsidR="005860D5">
        <w:rPr>
          <w:rFonts w:hAnsi="宋体" w:hint="eastAsia"/>
          <w:sz w:val="24"/>
        </w:rPr>
        <w:t>，按厂外四级公路标准设计，路基宽度</w:t>
      </w:r>
      <w:r w:rsidR="005860D5">
        <w:rPr>
          <w:rFonts w:hAnsi="宋体" w:hint="eastAsia"/>
          <w:sz w:val="24"/>
        </w:rPr>
        <w:t>6.5</w:t>
      </w:r>
      <w:r w:rsidR="005860D5">
        <w:rPr>
          <w:rFonts w:hAnsi="宋体"/>
          <w:sz w:val="24"/>
        </w:rPr>
        <w:t>m</w:t>
      </w:r>
      <w:r w:rsidR="005860D5">
        <w:rPr>
          <w:rFonts w:hAnsi="宋体" w:hint="eastAsia"/>
          <w:sz w:val="24"/>
        </w:rPr>
        <w:t>，路面宽度</w:t>
      </w:r>
      <w:r w:rsidR="005860D5">
        <w:rPr>
          <w:rFonts w:hAnsi="宋体" w:hint="eastAsia"/>
          <w:sz w:val="24"/>
        </w:rPr>
        <w:t>4</w:t>
      </w:r>
      <w:r w:rsidR="005860D5">
        <w:rPr>
          <w:rFonts w:hAnsi="宋体"/>
          <w:sz w:val="24"/>
        </w:rPr>
        <w:t>.</w:t>
      </w:r>
      <w:r w:rsidR="005860D5">
        <w:rPr>
          <w:rFonts w:hAnsi="宋体" w:hint="eastAsia"/>
          <w:sz w:val="24"/>
        </w:rPr>
        <w:t>5</w:t>
      </w:r>
      <w:r w:rsidR="005860D5">
        <w:rPr>
          <w:rFonts w:hAnsi="宋体"/>
          <w:sz w:val="24"/>
        </w:rPr>
        <w:t>m</w:t>
      </w:r>
      <w:r w:rsidR="005860D5">
        <w:rPr>
          <w:rFonts w:hAnsi="宋体" w:hint="eastAsia"/>
          <w:sz w:val="24"/>
        </w:rPr>
        <w:t>；路面结构采用</w:t>
      </w:r>
      <w:r w:rsidR="005860D5">
        <w:rPr>
          <w:rFonts w:hAnsi="宋体" w:hint="eastAsia"/>
          <w:sz w:val="24"/>
        </w:rPr>
        <w:t>30cm</w:t>
      </w:r>
      <w:r w:rsidR="005860D5">
        <w:rPr>
          <w:rFonts w:hAnsi="宋体" w:hint="eastAsia"/>
          <w:sz w:val="24"/>
        </w:rPr>
        <w:t>厚级配碎石，设计最小圆曲线半径</w:t>
      </w:r>
      <w:r w:rsidR="005860D5">
        <w:rPr>
          <w:rFonts w:hAnsi="宋体" w:hint="eastAsia"/>
          <w:sz w:val="24"/>
        </w:rPr>
        <w:t>30</w:t>
      </w:r>
      <w:r w:rsidR="005860D5">
        <w:rPr>
          <w:rFonts w:hAnsi="宋体"/>
          <w:sz w:val="24"/>
        </w:rPr>
        <w:t>m</w:t>
      </w:r>
      <w:r w:rsidR="005860D5">
        <w:rPr>
          <w:rFonts w:hAnsi="宋体" w:hint="eastAsia"/>
          <w:sz w:val="24"/>
        </w:rPr>
        <w:t>，最大纵坡</w:t>
      </w:r>
      <w:r w:rsidR="005860D5">
        <w:rPr>
          <w:rFonts w:hAnsi="宋体" w:hint="eastAsia"/>
          <w:sz w:val="24"/>
        </w:rPr>
        <w:t>5%</w:t>
      </w:r>
      <w:r w:rsidR="005860D5">
        <w:rPr>
          <w:rFonts w:hAnsi="宋体" w:hint="eastAsia"/>
          <w:sz w:val="24"/>
        </w:rPr>
        <w:t>，桥涵设计荷载为公路</w:t>
      </w:r>
      <w:r w:rsidR="005860D5">
        <w:rPr>
          <w:rFonts w:hAnsi="宋体" w:hint="eastAsia"/>
          <w:sz w:val="24"/>
        </w:rPr>
        <w:t>-</w:t>
      </w:r>
      <w:r w:rsidR="005860D5">
        <w:rPr>
          <w:rFonts w:hAnsi="宋体" w:hint="eastAsia"/>
          <w:sz w:val="24"/>
        </w:rPr>
        <w:t>Ⅱ级。</w:t>
      </w:r>
    </w:p>
    <w:p w:rsidR="00C223F5" w:rsidRDefault="005860D5" w:rsidP="004835BD">
      <w:pPr>
        <w:pStyle w:val="4"/>
        <w:spacing w:before="0" w:after="0" w:line="360" w:lineRule="auto"/>
        <w:ind w:firstLineChars="100" w:firstLine="240"/>
        <w:rPr>
          <w:szCs w:val="24"/>
        </w:rPr>
      </w:pPr>
      <w:r>
        <w:rPr>
          <w:rFonts w:hint="eastAsia"/>
          <w:szCs w:val="24"/>
        </w:rPr>
        <w:t>（二）工业场地总平面布置</w:t>
      </w:r>
    </w:p>
    <w:p w:rsidR="00C223F5" w:rsidRDefault="005860D5">
      <w:pPr>
        <w:pStyle w:val="aff1"/>
        <w:tabs>
          <w:tab w:val="clear" w:pos="5781"/>
        </w:tabs>
        <w:spacing w:line="360" w:lineRule="auto"/>
        <w:ind w:left="0" w:firstLineChars="200" w:firstLine="480"/>
        <w:rPr>
          <w:szCs w:val="24"/>
        </w:rPr>
      </w:pPr>
      <w:r>
        <w:rPr>
          <w:rFonts w:hint="eastAsia"/>
          <w:bCs/>
        </w:rPr>
        <w:t>（</w:t>
      </w:r>
      <w:r>
        <w:rPr>
          <w:rFonts w:hint="eastAsia"/>
          <w:bCs/>
        </w:rPr>
        <w:t>1</w:t>
      </w:r>
      <w:r>
        <w:rPr>
          <w:rFonts w:hint="eastAsia"/>
          <w:bCs/>
        </w:rPr>
        <w:t>）</w:t>
      </w:r>
      <w:r>
        <w:rPr>
          <w:rFonts w:ascii="宋体" w:hAnsi="宋体" w:hint="eastAsia"/>
        </w:rPr>
        <w:t>矿井工业场地总平面布置，自西南向东北分为三个大的功能分区，依次为：行政福利区、井口及辅助生产区、生产区。</w:t>
      </w:r>
      <w:r>
        <w:rPr>
          <w:szCs w:val="24"/>
        </w:rPr>
        <w:t>工业场地总平面布置详见图</w:t>
      </w:r>
      <w:r>
        <w:rPr>
          <w:rFonts w:hint="eastAsia"/>
          <w:szCs w:val="24"/>
        </w:rPr>
        <w:t>2.1.2</w:t>
      </w:r>
      <w:r>
        <w:rPr>
          <w:szCs w:val="24"/>
        </w:rPr>
        <w:t>-</w:t>
      </w:r>
      <w:r>
        <w:rPr>
          <w:rFonts w:hint="eastAsia"/>
          <w:szCs w:val="24"/>
        </w:rPr>
        <w:t>3</w:t>
      </w:r>
      <w:r>
        <w:rPr>
          <w:szCs w:val="24"/>
        </w:rPr>
        <w:t>。</w:t>
      </w:r>
    </w:p>
    <w:p w:rsidR="00C223F5" w:rsidRDefault="005860D5">
      <w:pPr>
        <w:snapToGrid w:val="0"/>
        <w:spacing w:line="360" w:lineRule="auto"/>
        <w:ind w:firstLineChars="200" w:firstLine="480"/>
        <w:rPr>
          <w:rFonts w:ascii="宋体" w:hAnsi="宋体"/>
          <w:sz w:val="24"/>
        </w:rPr>
      </w:pPr>
      <w:r>
        <w:rPr>
          <w:rFonts w:ascii="宋体" w:hAnsi="宋体" w:hint="eastAsia"/>
          <w:sz w:val="24"/>
        </w:rPr>
        <w:t>行政福利区：位于场地的西部上台阶处，与人流出入口相通，人员出入便利，本区内布置有办公楼、井口综合楼、门卫室等设施。</w:t>
      </w:r>
    </w:p>
    <w:p w:rsidR="00C223F5" w:rsidRDefault="005860D5">
      <w:pPr>
        <w:snapToGrid w:val="0"/>
        <w:spacing w:line="360" w:lineRule="auto"/>
        <w:ind w:firstLineChars="200" w:firstLine="480"/>
        <w:rPr>
          <w:sz w:val="24"/>
        </w:rPr>
      </w:pPr>
      <w:r>
        <w:rPr>
          <w:rFonts w:ascii="宋体" w:hAnsi="宋体" w:hint="eastAsia"/>
          <w:sz w:val="24"/>
        </w:rPr>
        <w:t>井口及辅助生产区：位于场地的中部上台阶处，主要布置有主斜井井筒、驱动机房、副斜井、压缩空</w:t>
      </w:r>
      <w:r>
        <w:rPr>
          <w:rFonts w:hAnsi="宋体"/>
          <w:sz w:val="24"/>
        </w:rPr>
        <w:t>气站、综采设备及材料库联建、无轨胶轮车库、以及各井口服务的生产设施。在本区南边沿场地内挡墙，自西向东布置有回风立井、风门间、通风机房及通风及配电室等。同时在本区北部，场地的标高较高处设置日用生活水池</w:t>
      </w:r>
      <w:r w:rsidR="0046564F" w:rsidRPr="0046564F">
        <w:rPr>
          <w:rFonts w:hAnsi="宋体" w:hint="eastAsia"/>
          <w:color w:val="FF0000"/>
          <w:sz w:val="24"/>
        </w:rPr>
        <w:t>、日用消防泵房</w:t>
      </w:r>
      <w:r w:rsidRPr="0046564F">
        <w:rPr>
          <w:rFonts w:hAnsi="宋体"/>
          <w:color w:val="FF0000"/>
          <w:sz w:val="24"/>
        </w:rPr>
        <w:t>及</w:t>
      </w:r>
      <w:r w:rsidR="0046564F" w:rsidRPr="0046564F">
        <w:rPr>
          <w:rFonts w:hAnsi="宋体" w:hint="eastAsia"/>
          <w:color w:val="FF0000"/>
          <w:sz w:val="24"/>
        </w:rPr>
        <w:t>水池</w:t>
      </w:r>
      <w:r>
        <w:rPr>
          <w:rFonts w:hAnsi="宋体"/>
          <w:sz w:val="24"/>
        </w:rPr>
        <w:t>。</w:t>
      </w:r>
      <w:r>
        <w:rPr>
          <w:sz w:val="24"/>
        </w:rPr>
        <w:t>35kV</w:t>
      </w:r>
      <w:r>
        <w:rPr>
          <w:rFonts w:hAnsi="宋体"/>
          <w:sz w:val="24"/>
        </w:rPr>
        <w:t>变电所布置在工业场地北部标高最高处独立成区。</w:t>
      </w:r>
      <w:r>
        <w:rPr>
          <w:sz w:val="24"/>
        </w:rPr>
        <w:t>该处位置靠近负荷中心并进线方便</w:t>
      </w:r>
      <w:r>
        <w:rPr>
          <w:rFonts w:hAnsi="宋体"/>
          <w:sz w:val="24"/>
        </w:rPr>
        <w:t>。</w:t>
      </w:r>
    </w:p>
    <w:p w:rsidR="00C223F5" w:rsidRDefault="005860D5">
      <w:pPr>
        <w:snapToGrid w:val="0"/>
        <w:spacing w:line="360" w:lineRule="auto"/>
        <w:ind w:firstLineChars="200" w:firstLine="480"/>
        <w:rPr>
          <w:sz w:val="24"/>
        </w:rPr>
      </w:pPr>
      <w:r>
        <w:rPr>
          <w:rFonts w:hAnsi="宋体"/>
          <w:sz w:val="24"/>
        </w:rPr>
        <w:t>生产区：位于工业场地的南部沿场地围墙及东部下台阶处，该区内主要布置有原煤仓、主厂房联合建筑、浓缩池及浓缩车间、产品仓及各生产设施间连接的带式输送机走廊、地磅房</w:t>
      </w:r>
      <w:r>
        <w:rPr>
          <w:rFonts w:ascii="宋体" w:hAnsi="宋体" w:hint="eastAsia"/>
          <w:sz w:val="24"/>
        </w:rPr>
        <w:t>。同时在该区还布置有井下水处理站，在工业场地最低点设置生活污水处理站及乏风热泵机房。并在本区北侧中间入口处，结合景观绿化设置初期雨水收集池。</w:t>
      </w:r>
      <w:r>
        <w:rPr>
          <w:rFonts w:hint="eastAsia"/>
          <w:sz w:val="24"/>
        </w:rPr>
        <w:t>工业</w:t>
      </w:r>
      <w:r>
        <w:rPr>
          <w:sz w:val="24"/>
        </w:rPr>
        <w:t>场地主要技术经济指标见</w:t>
      </w:r>
      <w:r>
        <w:rPr>
          <w:rFonts w:hint="eastAsia"/>
          <w:sz w:val="24"/>
        </w:rPr>
        <w:t>2.1.2</w:t>
      </w:r>
      <w:r>
        <w:rPr>
          <w:sz w:val="24"/>
        </w:rPr>
        <w:t>-</w:t>
      </w:r>
      <w:r>
        <w:rPr>
          <w:rFonts w:hint="eastAsia"/>
          <w:sz w:val="24"/>
        </w:rPr>
        <w:t>3</w:t>
      </w:r>
      <w:r>
        <w:rPr>
          <w:rFonts w:hint="eastAsia"/>
          <w:sz w:val="24"/>
        </w:rPr>
        <w:t>。</w:t>
      </w:r>
    </w:p>
    <w:p w:rsidR="0046564F" w:rsidRDefault="0046564F">
      <w:pPr>
        <w:pStyle w:val="aff1"/>
        <w:tabs>
          <w:tab w:val="clear" w:pos="5781"/>
        </w:tabs>
        <w:spacing w:line="240" w:lineRule="auto"/>
        <w:ind w:left="0" w:firstLine="0"/>
        <w:jc w:val="center"/>
        <w:rPr>
          <w:rFonts w:hAnsi="宋体"/>
          <w:b/>
          <w:szCs w:val="24"/>
        </w:rPr>
      </w:pPr>
    </w:p>
    <w:p w:rsidR="00C223F5" w:rsidRDefault="005860D5">
      <w:pPr>
        <w:pStyle w:val="aff1"/>
        <w:tabs>
          <w:tab w:val="clear" w:pos="5781"/>
        </w:tabs>
        <w:spacing w:line="240" w:lineRule="auto"/>
        <w:ind w:left="0" w:firstLine="0"/>
        <w:jc w:val="center"/>
        <w:rPr>
          <w:rFonts w:hAnsi="宋体"/>
          <w:b/>
          <w:szCs w:val="24"/>
        </w:rPr>
      </w:pPr>
      <w:r>
        <w:rPr>
          <w:rFonts w:hAnsi="宋体"/>
          <w:b/>
          <w:szCs w:val="24"/>
        </w:rPr>
        <w:lastRenderedPageBreak/>
        <w:t>表</w:t>
      </w:r>
      <w:r>
        <w:rPr>
          <w:rFonts w:hint="eastAsia"/>
          <w:b/>
          <w:szCs w:val="24"/>
        </w:rPr>
        <w:t>2.1.2</w:t>
      </w:r>
      <w:r>
        <w:rPr>
          <w:b/>
          <w:szCs w:val="24"/>
        </w:rPr>
        <w:t>-</w:t>
      </w:r>
      <w:r>
        <w:rPr>
          <w:rFonts w:hint="eastAsia"/>
          <w:b/>
          <w:szCs w:val="24"/>
        </w:rPr>
        <w:t>3</w:t>
      </w:r>
      <w:r>
        <w:rPr>
          <w:rFonts w:hint="eastAsia"/>
          <w:b/>
          <w:szCs w:val="24"/>
        </w:rPr>
        <w:t>工业</w:t>
      </w:r>
      <w:r>
        <w:rPr>
          <w:rFonts w:hAnsi="宋体"/>
          <w:b/>
          <w:szCs w:val="24"/>
        </w:rPr>
        <w:t>场地</w:t>
      </w:r>
      <w:r>
        <w:rPr>
          <w:rFonts w:hint="eastAsia"/>
          <w:b/>
          <w:szCs w:val="24"/>
        </w:rPr>
        <w:t>占地</w:t>
      </w:r>
      <w:r>
        <w:rPr>
          <w:rFonts w:hAnsi="宋体"/>
          <w:b/>
          <w:szCs w:val="24"/>
        </w:rPr>
        <w:t>面积</w:t>
      </w:r>
      <w:r>
        <w:rPr>
          <w:rFonts w:hint="eastAsia"/>
          <w:b/>
          <w:szCs w:val="24"/>
        </w:rPr>
        <w:t>及</w:t>
      </w:r>
      <w:r>
        <w:rPr>
          <w:rFonts w:hAnsi="宋体"/>
          <w:b/>
          <w:szCs w:val="24"/>
        </w:rPr>
        <w:t>技术经济指标表</w:t>
      </w:r>
    </w:p>
    <w:tbl>
      <w:tblPr>
        <w:tblW w:w="8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3064"/>
        <w:gridCol w:w="870"/>
        <w:gridCol w:w="1290"/>
        <w:gridCol w:w="2043"/>
      </w:tblGrid>
      <w:tr w:rsidR="00C223F5">
        <w:trPr>
          <w:trHeight w:val="567"/>
          <w:jc w:val="center"/>
        </w:trPr>
        <w:tc>
          <w:tcPr>
            <w:tcW w:w="856" w:type="dxa"/>
            <w:vAlign w:val="center"/>
          </w:tcPr>
          <w:p w:rsidR="00C223F5" w:rsidRDefault="005860D5">
            <w:pPr>
              <w:snapToGrid w:val="0"/>
              <w:jc w:val="center"/>
              <w:rPr>
                <w:b/>
                <w:bCs/>
                <w:szCs w:val="21"/>
              </w:rPr>
            </w:pPr>
            <w:r>
              <w:rPr>
                <w:rFonts w:hAnsi="宋体"/>
                <w:b/>
                <w:bCs/>
                <w:szCs w:val="21"/>
              </w:rPr>
              <w:t>序号</w:t>
            </w:r>
          </w:p>
        </w:tc>
        <w:tc>
          <w:tcPr>
            <w:tcW w:w="3064" w:type="dxa"/>
            <w:vAlign w:val="center"/>
          </w:tcPr>
          <w:p w:rsidR="00C223F5" w:rsidRDefault="005860D5">
            <w:pPr>
              <w:snapToGrid w:val="0"/>
              <w:jc w:val="center"/>
              <w:rPr>
                <w:b/>
                <w:bCs/>
                <w:szCs w:val="21"/>
              </w:rPr>
            </w:pPr>
            <w:r>
              <w:rPr>
                <w:rFonts w:hAnsi="宋体"/>
                <w:b/>
                <w:bCs/>
                <w:szCs w:val="21"/>
              </w:rPr>
              <w:t>项目名称</w:t>
            </w:r>
          </w:p>
        </w:tc>
        <w:tc>
          <w:tcPr>
            <w:tcW w:w="870" w:type="dxa"/>
            <w:vAlign w:val="center"/>
          </w:tcPr>
          <w:p w:rsidR="00C223F5" w:rsidRDefault="005860D5">
            <w:pPr>
              <w:snapToGrid w:val="0"/>
              <w:jc w:val="center"/>
              <w:rPr>
                <w:b/>
                <w:bCs/>
                <w:szCs w:val="21"/>
              </w:rPr>
            </w:pPr>
            <w:r>
              <w:rPr>
                <w:rFonts w:hAnsi="宋体"/>
                <w:b/>
                <w:bCs/>
                <w:szCs w:val="21"/>
              </w:rPr>
              <w:t>单位</w:t>
            </w:r>
          </w:p>
        </w:tc>
        <w:tc>
          <w:tcPr>
            <w:tcW w:w="1290" w:type="dxa"/>
            <w:vAlign w:val="center"/>
          </w:tcPr>
          <w:p w:rsidR="00C223F5" w:rsidRDefault="005860D5">
            <w:pPr>
              <w:snapToGrid w:val="0"/>
              <w:jc w:val="center"/>
              <w:rPr>
                <w:b/>
                <w:bCs/>
                <w:szCs w:val="21"/>
              </w:rPr>
            </w:pPr>
            <w:r>
              <w:rPr>
                <w:rFonts w:hAnsi="宋体"/>
                <w:b/>
                <w:bCs/>
                <w:szCs w:val="21"/>
              </w:rPr>
              <w:t>数量</w:t>
            </w:r>
          </w:p>
        </w:tc>
        <w:tc>
          <w:tcPr>
            <w:tcW w:w="2043" w:type="dxa"/>
            <w:vAlign w:val="center"/>
          </w:tcPr>
          <w:p w:rsidR="00C223F5" w:rsidRDefault="005860D5">
            <w:pPr>
              <w:snapToGrid w:val="0"/>
              <w:jc w:val="center"/>
              <w:rPr>
                <w:b/>
                <w:bCs/>
                <w:szCs w:val="21"/>
              </w:rPr>
            </w:pPr>
            <w:r>
              <w:rPr>
                <w:rFonts w:hAnsi="宋体"/>
                <w:b/>
                <w:bCs/>
                <w:szCs w:val="21"/>
              </w:rPr>
              <w:t>备注</w:t>
            </w:r>
          </w:p>
        </w:tc>
      </w:tr>
      <w:tr w:rsidR="00C223F5">
        <w:trPr>
          <w:trHeight w:val="340"/>
          <w:jc w:val="center"/>
        </w:trPr>
        <w:tc>
          <w:tcPr>
            <w:tcW w:w="856" w:type="dxa"/>
            <w:vAlign w:val="center"/>
          </w:tcPr>
          <w:p w:rsidR="00C223F5" w:rsidRDefault="005860D5">
            <w:pPr>
              <w:snapToGrid w:val="0"/>
              <w:jc w:val="center"/>
              <w:rPr>
                <w:szCs w:val="21"/>
              </w:rPr>
            </w:pPr>
            <w:r>
              <w:rPr>
                <w:szCs w:val="21"/>
              </w:rPr>
              <w:t>1</w:t>
            </w:r>
          </w:p>
        </w:tc>
        <w:tc>
          <w:tcPr>
            <w:tcW w:w="3064" w:type="dxa"/>
            <w:vAlign w:val="center"/>
          </w:tcPr>
          <w:p w:rsidR="00C223F5" w:rsidRDefault="005860D5">
            <w:pPr>
              <w:snapToGrid w:val="0"/>
              <w:rPr>
                <w:szCs w:val="21"/>
              </w:rPr>
            </w:pPr>
            <w:r>
              <w:rPr>
                <w:rFonts w:hAnsi="宋体"/>
                <w:szCs w:val="21"/>
              </w:rPr>
              <w:t>工业场地占地面积</w:t>
            </w:r>
          </w:p>
        </w:tc>
        <w:tc>
          <w:tcPr>
            <w:tcW w:w="870" w:type="dxa"/>
            <w:vAlign w:val="center"/>
          </w:tcPr>
          <w:p w:rsidR="00C223F5" w:rsidRDefault="005860D5">
            <w:pPr>
              <w:snapToGrid w:val="0"/>
              <w:jc w:val="center"/>
              <w:rPr>
                <w:szCs w:val="21"/>
                <w:vertAlign w:val="superscript"/>
              </w:rPr>
            </w:pPr>
            <w:r>
              <w:rPr>
                <w:szCs w:val="21"/>
              </w:rPr>
              <w:t>hm</w:t>
            </w:r>
            <w:r>
              <w:rPr>
                <w:szCs w:val="21"/>
                <w:vertAlign w:val="superscript"/>
              </w:rPr>
              <w:t>2</w:t>
            </w:r>
          </w:p>
        </w:tc>
        <w:tc>
          <w:tcPr>
            <w:tcW w:w="1290" w:type="dxa"/>
            <w:vAlign w:val="center"/>
          </w:tcPr>
          <w:p w:rsidR="00C223F5" w:rsidRDefault="005860D5">
            <w:pPr>
              <w:snapToGrid w:val="0"/>
              <w:jc w:val="center"/>
              <w:rPr>
                <w:szCs w:val="21"/>
              </w:rPr>
            </w:pPr>
            <w:r>
              <w:rPr>
                <w:szCs w:val="21"/>
              </w:rPr>
              <w:t>6.50</w:t>
            </w:r>
          </w:p>
        </w:tc>
        <w:tc>
          <w:tcPr>
            <w:tcW w:w="2043" w:type="dxa"/>
            <w:vAlign w:val="center"/>
          </w:tcPr>
          <w:p w:rsidR="00C223F5" w:rsidRDefault="005860D5">
            <w:pPr>
              <w:snapToGrid w:val="0"/>
              <w:jc w:val="center"/>
              <w:rPr>
                <w:rFonts w:hAnsi="宋体"/>
                <w:szCs w:val="21"/>
              </w:rPr>
            </w:pPr>
            <w:r>
              <w:rPr>
                <w:rFonts w:hAnsi="宋体"/>
                <w:szCs w:val="21"/>
              </w:rPr>
              <w:t>含</w:t>
            </w:r>
            <w:r>
              <w:rPr>
                <w:szCs w:val="21"/>
              </w:rPr>
              <w:t>2.88 hm</w:t>
            </w:r>
            <w:r>
              <w:rPr>
                <w:szCs w:val="21"/>
                <w:vertAlign w:val="superscript"/>
              </w:rPr>
              <w:t>2</w:t>
            </w:r>
            <w:r>
              <w:rPr>
                <w:rFonts w:hAnsi="宋体"/>
                <w:szCs w:val="21"/>
              </w:rPr>
              <w:t>的原有</w:t>
            </w:r>
          </w:p>
          <w:p w:rsidR="00C223F5" w:rsidRDefault="005860D5">
            <w:pPr>
              <w:snapToGrid w:val="0"/>
              <w:jc w:val="center"/>
              <w:rPr>
                <w:szCs w:val="21"/>
              </w:rPr>
            </w:pPr>
            <w:r>
              <w:rPr>
                <w:rFonts w:hAnsi="宋体"/>
                <w:szCs w:val="21"/>
              </w:rPr>
              <w:t>场地及边坡</w:t>
            </w:r>
          </w:p>
        </w:tc>
      </w:tr>
      <w:tr w:rsidR="00C223F5">
        <w:trPr>
          <w:trHeight w:val="340"/>
          <w:jc w:val="center"/>
        </w:trPr>
        <w:tc>
          <w:tcPr>
            <w:tcW w:w="856" w:type="dxa"/>
            <w:vAlign w:val="center"/>
          </w:tcPr>
          <w:p w:rsidR="00C223F5" w:rsidRDefault="005860D5">
            <w:pPr>
              <w:snapToGrid w:val="0"/>
              <w:jc w:val="center"/>
              <w:rPr>
                <w:szCs w:val="21"/>
              </w:rPr>
            </w:pPr>
            <w:r>
              <w:rPr>
                <w:szCs w:val="21"/>
              </w:rPr>
              <w:t>2</w:t>
            </w:r>
          </w:p>
        </w:tc>
        <w:tc>
          <w:tcPr>
            <w:tcW w:w="3064" w:type="dxa"/>
            <w:vAlign w:val="center"/>
          </w:tcPr>
          <w:p w:rsidR="00C223F5" w:rsidRDefault="005860D5">
            <w:pPr>
              <w:snapToGrid w:val="0"/>
              <w:rPr>
                <w:szCs w:val="21"/>
              </w:rPr>
            </w:pPr>
            <w:r>
              <w:rPr>
                <w:rFonts w:hAnsi="宋体"/>
                <w:szCs w:val="21"/>
              </w:rPr>
              <w:t>墙内工业场地用地面积</w:t>
            </w:r>
          </w:p>
        </w:tc>
        <w:tc>
          <w:tcPr>
            <w:tcW w:w="870" w:type="dxa"/>
            <w:vAlign w:val="center"/>
          </w:tcPr>
          <w:p w:rsidR="00C223F5" w:rsidRDefault="005860D5">
            <w:pPr>
              <w:jc w:val="center"/>
              <w:rPr>
                <w:szCs w:val="21"/>
              </w:rPr>
            </w:pPr>
            <w:r>
              <w:rPr>
                <w:szCs w:val="21"/>
              </w:rPr>
              <w:t>hm</w:t>
            </w:r>
            <w:r>
              <w:rPr>
                <w:szCs w:val="21"/>
                <w:vertAlign w:val="superscript"/>
              </w:rPr>
              <w:t>2</w:t>
            </w:r>
          </w:p>
        </w:tc>
        <w:tc>
          <w:tcPr>
            <w:tcW w:w="1290" w:type="dxa"/>
            <w:vAlign w:val="center"/>
          </w:tcPr>
          <w:p w:rsidR="00C223F5" w:rsidRDefault="005860D5">
            <w:pPr>
              <w:snapToGrid w:val="0"/>
              <w:jc w:val="center"/>
              <w:rPr>
                <w:szCs w:val="21"/>
              </w:rPr>
            </w:pPr>
            <w:r>
              <w:rPr>
                <w:szCs w:val="21"/>
              </w:rPr>
              <w:t>5.25</w:t>
            </w:r>
          </w:p>
        </w:tc>
        <w:tc>
          <w:tcPr>
            <w:tcW w:w="2043" w:type="dxa"/>
            <w:vAlign w:val="center"/>
          </w:tcPr>
          <w:p w:rsidR="00C223F5" w:rsidRDefault="00C223F5">
            <w:pPr>
              <w:snapToGrid w:val="0"/>
              <w:jc w:val="center"/>
              <w:rPr>
                <w:szCs w:val="21"/>
              </w:rPr>
            </w:pPr>
          </w:p>
        </w:tc>
      </w:tr>
      <w:tr w:rsidR="00C223F5">
        <w:trPr>
          <w:trHeight w:val="340"/>
          <w:jc w:val="center"/>
        </w:trPr>
        <w:tc>
          <w:tcPr>
            <w:tcW w:w="856" w:type="dxa"/>
            <w:vAlign w:val="center"/>
          </w:tcPr>
          <w:p w:rsidR="00C223F5" w:rsidRDefault="005860D5">
            <w:pPr>
              <w:snapToGrid w:val="0"/>
              <w:jc w:val="center"/>
              <w:rPr>
                <w:szCs w:val="21"/>
              </w:rPr>
            </w:pPr>
            <w:r>
              <w:rPr>
                <w:rFonts w:hint="eastAsia"/>
                <w:szCs w:val="21"/>
              </w:rPr>
              <w:t>1</w:t>
            </w:r>
            <w:r>
              <w:rPr>
                <w:rFonts w:hint="eastAsia"/>
                <w:szCs w:val="21"/>
              </w:rPr>
              <w:t>）</w:t>
            </w:r>
          </w:p>
        </w:tc>
        <w:tc>
          <w:tcPr>
            <w:tcW w:w="3064" w:type="dxa"/>
            <w:vAlign w:val="center"/>
          </w:tcPr>
          <w:p w:rsidR="00C223F5" w:rsidRDefault="005860D5">
            <w:pPr>
              <w:snapToGrid w:val="0"/>
              <w:rPr>
                <w:szCs w:val="21"/>
              </w:rPr>
            </w:pPr>
            <w:r>
              <w:rPr>
                <w:rFonts w:hAnsi="宋体"/>
                <w:szCs w:val="21"/>
              </w:rPr>
              <w:t>其中矿井用地面积</w:t>
            </w:r>
          </w:p>
        </w:tc>
        <w:tc>
          <w:tcPr>
            <w:tcW w:w="870" w:type="dxa"/>
            <w:vAlign w:val="center"/>
          </w:tcPr>
          <w:p w:rsidR="00C223F5" w:rsidRDefault="005860D5">
            <w:pPr>
              <w:jc w:val="center"/>
              <w:rPr>
                <w:szCs w:val="21"/>
              </w:rPr>
            </w:pPr>
            <w:r>
              <w:rPr>
                <w:szCs w:val="21"/>
              </w:rPr>
              <w:t>hm</w:t>
            </w:r>
            <w:r>
              <w:rPr>
                <w:szCs w:val="21"/>
                <w:vertAlign w:val="superscript"/>
              </w:rPr>
              <w:t>2</w:t>
            </w:r>
          </w:p>
        </w:tc>
        <w:tc>
          <w:tcPr>
            <w:tcW w:w="1290" w:type="dxa"/>
            <w:vAlign w:val="center"/>
          </w:tcPr>
          <w:p w:rsidR="00C223F5" w:rsidRDefault="005860D5">
            <w:pPr>
              <w:snapToGrid w:val="0"/>
              <w:jc w:val="center"/>
              <w:rPr>
                <w:szCs w:val="21"/>
              </w:rPr>
            </w:pPr>
            <w:r>
              <w:rPr>
                <w:szCs w:val="21"/>
              </w:rPr>
              <w:t>2.58</w:t>
            </w:r>
          </w:p>
        </w:tc>
        <w:tc>
          <w:tcPr>
            <w:tcW w:w="2043" w:type="dxa"/>
            <w:vAlign w:val="center"/>
          </w:tcPr>
          <w:p w:rsidR="00C223F5" w:rsidRDefault="00C223F5">
            <w:pPr>
              <w:snapToGrid w:val="0"/>
              <w:jc w:val="center"/>
              <w:rPr>
                <w:szCs w:val="21"/>
              </w:rPr>
            </w:pPr>
          </w:p>
        </w:tc>
      </w:tr>
      <w:tr w:rsidR="00C223F5">
        <w:trPr>
          <w:trHeight w:val="340"/>
          <w:jc w:val="center"/>
        </w:trPr>
        <w:tc>
          <w:tcPr>
            <w:tcW w:w="856" w:type="dxa"/>
            <w:vAlign w:val="center"/>
          </w:tcPr>
          <w:p w:rsidR="00C223F5" w:rsidRDefault="005860D5">
            <w:pPr>
              <w:snapToGrid w:val="0"/>
              <w:jc w:val="center"/>
              <w:rPr>
                <w:szCs w:val="21"/>
              </w:rPr>
            </w:pPr>
            <w:r>
              <w:rPr>
                <w:rFonts w:hint="eastAsia"/>
                <w:szCs w:val="21"/>
              </w:rPr>
              <w:t>2</w:t>
            </w:r>
            <w:r>
              <w:rPr>
                <w:rFonts w:hint="eastAsia"/>
                <w:szCs w:val="21"/>
              </w:rPr>
              <w:t>）</w:t>
            </w:r>
          </w:p>
        </w:tc>
        <w:tc>
          <w:tcPr>
            <w:tcW w:w="3064" w:type="dxa"/>
            <w:vAlign w:val="center"/>
          </w:tcPr>
          <w:p w:rsidR="00C223F5" w:rsidRDefault="005860D5">
            <w:pPr>
              <w:snapToGrid w:val="0"/>
              <w:rPr>
                <w:szCs w:val="21"/>
              </w:rPr>
            </w:pPr>
            <w:r>
              <w:rPr>
                <w:rFonts w:hAnsi="宋体"/>
                <w:szCs w:val="21"/>
              </w:rPr>
              <w:t>选煤厂用地面积</w:t>
            </w:r>
          </w:p>
        </w:tc>
        <w:tc>
          <w:tcPr>
            <w:tcW w:w="870" w:type="dxa"/>
            <w:vAlign w:val="center"/>
          </w:tcPr>
          <w:p w:rsidR="00C223F5" w:rsidRDefault="005860D5">
            <w:pPr>
              <w:snapToGrid w:val="0"/>
              <w:jc w:val="center"/>
              <w:rPr>
                <w:szCs w:val="21"/>
              </w:rPr>
            </w:pPr>
            <w:r>
              <w:rPr>
                <w:szCs w:val="21"/>
              </w:rPr>
              <w:t>hm</w:t>
            </w:r>
            <w:r>
              <w:rPr>
                <w:szCs w:val="21"/>
                <w:vertAlign w:val="superscript"/>
              </w:rPr>
              <w:t>2</w:t>
            </w:r>
          </w:p>
        </w:tc>
        <w:tc>
          <w:tcPr>
            <w:tcW w:w="1290" w:type="dxa"/>
            <w:vAlign w:val="center"/>
          </w:tcPr>
          <w:p w:rsidR="00C223F5" w:rsidRDefault="005860D5">
            <w:pPr>
              <w:snapToGrid w:val="0"/>
              <w:jc w:val="center"/>
              <w:rPr>
                <w:szCs w:val="21"/>
              </w:rPr>
            </w:pPr>
            <w:r>
              <w:rPr>
                <w:szCs w:val="21"/>
              </w:rPr>
              <w:t>2.10</w:t>
            </w:r>
          </w:p>
        </w:tc>
        <w:tc>
          <w:tcPr>
            <w:tcW w:w="2043" w:type="dxa"/>
            <w:vAlign w:val="center"/>
          </w:tcPr>
          <w:p w:rsidR="00C223F5" w:rsidRDefault="00C223F5">
            <w:pPr>
              <w:snapToGrid w:val="0"/>
              <w:jc w:val="center"/>
              <w:rPr>
                <w:szCs w:val="21"/>
              </w:rPr>
            </w:pPr>
          </w:p>
        </w:tc>
      </w:tr>
      <w:tr w:rsidR="00C223F5">
        <w:trPr>
          <w:trHeight w:val="340"/>
          <w:jc w:val="center"/>
        </w:trPr>
        <w:tc>
          <w:tcPr>
            <w:tcW w:w="856" w:type="dxa"/>
            <w:vAlign w:val="center"/>
          </w:tcPr>
          <w:p w:rsidR="00C223F5" w:rsidRDefault="005860D5">
            <w:pPr>
              <w:snapToGrid w:val="0"/>
              <w:jc w:val="center"/>
              <w:rPr>
                <w:szCs w:val="21"/>
              </w:rPr>
            </w:pPr>
            <w:r>
              <w:rPr>
                <w:rFonts w:hint="eastAsia"/>
                <w:szCs w:val="21"/>
              </w:rPr>
              <w:t>3</w:t>
            </w:r>
            <w:r>
              <w:rPr>
                <w:rFonts w:hint="eastAsia"/>
                <w:szCs w:val="21"/>
              </w:rPr>
              <w:t>）</w:t>
            </w:r>
          </w:p>
        </w:tc>
        <w:tc>
          <w:tcPr>
            <w:tcW w:w="3064" w:type="dxa"/>
            <w:vAlign w:val="center"/>
          </w:tcPr>
          <w:p w:rsidR="00C223F5" w:rsidRDefault="005860D5">
            <w:pPr>
              <w:snapToGrid w:val="0"/>
              <w:rPr>
                <w:szCs w:val="21"/>
              </w:rPr>
            </w:pPr>
            <w:r>
              <w:rPr>
                <w:rFonts w:hAnsi="宋体"/>
                <w:szCs w:val="21"/>
              </w:rPr>
              <w:t>风井场地用地面积</w:t>
            </w:r>
          </w:p>
        </w:tc>
        <w:tc>
          <w:tcPr>
            <w:tcW w:w="870" w:type="dxa"/>
            <w:vAlign w:val="center"/>
          </w:tcPr>
          <w:p w:rsidR="00C223F5" w:rsidRDefault="005860D5">
            <w:pPr>
              <w:snapToGrid w:val="0"/>
              <w:jc w:val="center"/>
              <w:rPr>
                <w:szCs w:val="21"/>
              </w:rPr>
            </w:pPr>
            <w:r>
              <w:rPr>
                <w:szCs w:val="21"/>
              </w:rPr>
              <w:t>hm</w:t>
            </w:r>
            <w:r>
              <w:rPr>
                <w:szCs w:val="21"/>
                <w:vertAlign w:val="superscript"/>
              </w:rPr>
              <w:t>2</w:t>
            </w:r>
          </w:p>
        </w:tc>
        <w:tc>
          <w:tcPr>
            <w:tcW w:w="1290" w:type="dxa"/>
            <w:vAlign w:val="center"/>
          </w:tcPr>
          <w:p w:rsidR="00C223F5" w:rsidRDefault="005860D5">
            <w:pPr>
              <w:snapToGrid w:val="0"/>
              <w:jc w:val="center"/>
              <w:rPr>
                <w:szCs w:val="21"/>
              </w:rPr>
            </w:pPr>
            <w:r>
              <w:rPr>
                <w:szCs w:val="21"/>
              </w:rPr>
              <w:t>0.32</w:t>
            </w:r>
          </w:p>
        </w:tc>
        <w:tc>
          <w:tcPr>
            <w:tcW w:w="2043" w:type="dxa"/>
            <w:vAlign w:val="center"/>
          </w:tcPr>
          <w:p w:rsidR="00C223F5" w:rsidRDefault="00C223F5">
            <w:pPr>
              <w:snapToGrid w:val="0"/>
              <w:jc w:val="center"/>
              <w:rPr>
                <w:szCs w:val="21"/>
              </w:rPr>
            </w:pPr>
          </w:p>
        </w:tc>
      </w:tr>
      <w:tr w:rsidR="00C223F5">
        <w:trPr>
          <w:trHeight w:val="340"/>
          <w:jc w:val="center"/>
        </w:trPr>
        <w:tc>
          <w:tcPr>
            <w:tcW w:w="856" w:type="dxa"/>
            <w:vAlign w:val="center"/>
          </w:tcPr>
          <w:p w:rsidR="00C223F5" w:rsidRDefault="005860D5">
            <w:pPr>
              <w:snapToGrid w:val="0"/>
              <w:jc w:val="center"/>
              <w:rPr>
                <w:szCs w:val="21"/>
              </w:rPr>
            </w:pPr>
            <w:r>
              <w:rPr>
                <w:rFonts w:hint="eastAsia"/>
                <w:szCs w:val="21"/>
              </w:rPr>
              <w:t>4</w:t>
            </w:r>
            <w:r>
              <w:rPr>
                <w:rFonts w:hint="eastAsia"/>
                <w:szCs w:val="21"/>
              </w:rPr>
              <w:t>）</w:t>
            </w:r>
          </w:p>
        </w:tc>
        <w:tc>
          <w:tcPr>
            <w:tcW w:w="3064" w:type="dxa"/>
            <w:vAlign w:val="center"/>
          </w:tcPr>
          <w:p w:rsidR="00C223F5" w:rsidRDefault="005860D5">
            <w:pPr>
              <w:snapToGrid w:val="0"/>
              <w:rPr>
                <w:szCs w:val="21"/>
              </w:rPr>
            </w:pPr>
            <w:r>
              <w:rPr>
                <w:szCs w:val="21"/>
              </w:rPr>
              <w:t>取水、供电设施</w:t>
            </w:r>
          </w:p>
        </w:tc>
        <w:tc>
          <w:tcPr>
            <w:tcW w:w="870" w:type="dxa"/>
            <w:vAlign w:val="center"/>
          </w:tcPr>
          <w:p w:rsidR="00C223F5" w:rsidRDefault="005860D5">
            <w:pPr>
              <w:snapToGrid w:val="0"/>
              <w:jc w:val="center"/>
              <w:rPr>
                <w:szCs w:val="21"/>
              </w:rPr>
            </w:pPr>
            <w:r>
              <w:rPr>
                <w:szCs w:val="21"/>
              </w:rPr>
              <w:t>hm</w:t>
            </w:r>
            <w:r>
              <w:rPr>
                <w:szCs w:val="21"/>
                <w:vertAlign w:val="superscript"/>
              </w:rPr>
              <w:t>2</w:t>
            </w:r>
          </w:p>
        </w:tc>
        <w:tc>
          <w:tcPr>
            <w:tcW w:w="1290" w:type="dxa"/>
            <w:vAlign w:val="center"/>
          </w:tcPr>
          <w:p w:rsidR="00C223F5" w:rsidRDefault="005860D5">
            <w:pPr>
              <w:snapToGrid w:val="0"/>
              <w:jc w:val="center"/>
              <w:rPr>
                <w:szCs w:val="21"/>
              </w:rPr>
            </w:pPr>
            <w:r>
              <w:rPr>
                <w:szCs w:val="21"/>
              </w:rPr>
              <w:t>0.25</w:t>
            </w:r>
          </w:p>
        </w:tc>
        <w:tc>
          <w:tcPr>
            <w:tcW w:w="2043" w:type="dxa"/>
            <w:vAlign w:val="center"/>
          </w:tcPr>
          <w:p w:rsidR="00C223F5" w:rsidRDefault="00C223F5">
            <w:pPr>
              <w:snapToGrid w:val="0"/>
              <w:jc w:val="center"/>
              <w:rPr>
                <w:szCs w:val="21"/>
              </w:rPr>
            </w:pPr>
          </w:p>
        </w:tc>
      </w:tr>
      <w:tr w:rsidR="00C223F5">
        <w:trPr>
          <w:trHeight w:val="340"/>
          <w:jc w:val="center"/>
        </w:trPr>
        <w:tc>
          <w:tcPr>
            <w:tcW w:w="856" w:type="dxa"/>
            <w:vAlign w:val="center"/>
          </w:tcPr>
          <w:p w:rsidR="00C223F5" w:rsidRDefault="005860D5">
            <w:pPr>
              <w:snapToGrid w:val="0"/>
              <w:jc w:val="center"/>
              <w:rPr>
                <w:szCs w:val="21"/>
              </w:rPr>
            </w:pPr>
            <w:r>
              <w:rPr>
                <w:szCs w:val="21"/>
              </w:rPr>
              <w:t>3</w:t>
            </w:r>
          </w:p>
        </w:tc>
        <w:tc>
          <w:tcPr>
            <w:tcW w:w="3064" w:type="dxa"/>
            <w:vAlign w:val="center"/>
          </w:tcPr>
          <w:p w:rsidR="00C223F5" w:rsidRDefault="005860D5">
            <w:pPr>
              <w:snapToGrid w:val="0"/>
              <w:rPr>
                <w:szCs w:val="21"/>
              </w:rPr>
            </w:pPr>
            <w:r>
              <w:rPr>
                <w:rFonts w:hAnsi="宋体"/>
                <w:szCs w:val="21"/>
              </w:rPr>
              <w:t>建筑系数</w:t>
            </w:r>
          </w:p>
        </w:tc>
        <w:tc>
          <w:tcPr>
            <w:tcW w:w="870" w:type="dxa"/>
            <w:vAlign w:val="center"/>
          </w:tcPr>
          <w:p w:rsidR="00C223F5" w:rsidRDefault="005860D5">
            <w:pPr>
              <w:spacing w:line="240" w:lineRule="atLeast"/>
              <w:jc w:val="center"/>
              <w:rPr>
                <w:szCs w:val="21"/>
              </w:rPr>
            </w:pPr>
            <w:r>
              <w:rPr>
                <w:rFonts w:hAnsi="宋体"/>
                <w:szCs w:val="21"/>
              </w:rPr>
              <w:t>％</w:t>
            </w:r>
          </w:p>
        </w:tc>
        <w:tc>
          <w:tcPr>
            <w:tcW w:w="1290" w:type="dxa"/>
            <w:vAlign w:val="center"/>
          </w:tcPr>
          <w:p w:rsidR="00C223F5" w:rsidRDefault="005860D5">
            <w:pPr>
              <w:snapToGrid w:val="0"/>
              <w:jc w:val="center"/>
              <w:rPr>
                <w:szCs w:val="21"/>
              </w:rPr>
            </w:pPr>
            <w:r>
              <w:rPr>
                <w:szCs w:val="21"/>
              </w:rPr>
              <w:t>46.86</w:t>
            </w:r>
          </w:p>
        </w:tc>
        <w:tc>
          <w:tcPr>
            <w:tcW w:w="2043" w:type="dxa"/>
            <w:vAlign w:val="center"/>
          </w:tcPr>
          <w:p w:rsidR="00C223F5" w:rsidRDefault="00C223F5">
            <w:pPr>
              <w:snapToGrid w:val="0"/>
              <w:jc w:val="center"/>
              <w:rPr>
                <w:szCs w:val="21"/>
              </w:rPr>
            </w:pPr>
          </w:p>
        </w:tc>
      </w:tr>
      <w:tr w:rsidR="00C223F5">
        <w:trPr>
          <w:trHeight w:val="340"/>
          <w:jc w:val="center"/>
        </w:trPr>
        <w:tc>
          <w:tcPr>
            <w:tcW w:w="856" w:type="dxa"/>
            <w:vAlign w:val="center"/>
          </w:tcPr>
          <w:p w:rsidR="00C223F5" w:rsidRDefault="005860D5">
            <w:pPr>
              <w:snapToGrid w:val="0"/>
              <w:jc w:val="center"/>
              <w:rPr>
                <w:szCs w:val="21"/>
              </w:rPr>
            </w:pPr>
            <w:r>
              <w:rPr>
                <w:szCs w:val="21"/>
              </w:rPr>
              <w:t>4</w:t>
            </w:r>
          </w:p>
        </w:tc>
        <w:tc>
          <w:tcPr>
            <w:tcW w:w="3064" w:type="dxa"/>
            <w:vAlign w:val="center"/>
          </w:tcPr>
          <w:p w:rsidR="00C223F5" w:rsidRDefault="005860D5">
            <w:pPr>
              <w:snapToGrid w:val="0"/>
              <w:rPr>
                <w:szCs w:val="21"/>
              </w:rPr>
            </w:pPr>
            <w:r>
              <w:rPr>
                <w:rFonts w:hAnsi="宋体"/>
                <w:szCs w:val="21"/>
              </w:rPr>
              <w:t>场地利用系数</w:t>
            </w:r>
          </w:p>
        </w:tc>
        <w:tc>
          <w:tcPr>
            <w:tcW w:w="870" w:type="dxa"/>
            <w:vAlign w:val="center"/>
          </w:tcPr>
          <w:p w:rsidR="00C223F5" w:rsidRDefault="005860D5">
            <w:pPr>
              <w:spacing w:line="240" w:lineRule="atLeast"/>
              <w:jc w:val="center"/>
              <w:rPr>
                <w:szCs w:val="21"/>
              </w:rPr>
            </w:pPr>
            <w:r>
              <w:rPr>
                <w:rFonts w:hAnsi="宋体"/>
                <w:szCs w:val="21"/>
              </w:rPr>
              <w:t>％</w:t>
            </w:r>
          </w:p>
        </w:tc>
        <w:tc>
          <w:tcPr>
            <w:tcW w:w="1290" w:type="dxa"/>
            <w:vAlign w:val="center"/>
          </w:tcPr>
          <w:p w:rsidR="00C223F5" w:rsidRDefault="005860D5">
            <w:pPr>
              <w:snapToGrid w:val="0"/>
              <w:jc w:val="center"/>
              <w:rPr>
                <w:szCs w:val="21"/>
              </w:rPr>
            </w:pPr>
            <w:r>
              <w:rPr>
                <w:szCs w:val="21"/>
              </w:rPr>
              <w:t>76.95</w:t>
            </w:r>
          </w:p>
        </w:tc>
        <w:tc>
          <w:tcPr>
            <w:tcW w:w="2043" w:type="dxa"/>
            <w:vAlign w:val="center"/>
          </w:tcPr>
          <w:p w:rsidR="00C223F5" w:rsidRDefault="00C223F5">
            <w:pPr>
              <w:snapToGrid w:val="0"/>
              <w:jc w:val="center"/>
              <w:rPr>
                <w:szCs w:val="21"/>
              </w:rPr>
            </w:pPr>
          </w:p>
        </w:tc>
      </w:tr>
      <w:tr w:rsidR="00C223F5">
        <w:trPr>
          <w:trHeight w:val="340"/>
          <w:jc w:val="center"/>
        </w:trPr>
        <w:tc>
          <w:tcPr>
            <w:tcW w:w="856" w:type="dxa"/>
            <w:vAlign w:val="center"/>
          </w:tcPr>
          <w:p w:rsidR="00C223F5" w:rsidRDefault="005860D5">
            <w:pPr>
              <w:snapToGrid w:val="0"/>
              <w:jc w:val="center"/>
              <w:rPr>
                <w:szCs w:val="21"/>
              </w:rPr>
            </w:pPr>
            <w:r>
              <w:rPr>
                <w:szCs w:val="21"/>
              </w:rPr>
              <w:t>5</w:t>
            </w:r>
          </w:p>
        </w:tc>
        <w:tc>
          <w:tcPr>
            <w:tcW w:w="3064" w:type="dxa"/>
            <w:vAlign w:val="center"/>
          </w:tcPr>
          <w:p w:rsidR="00C223F5" w:rsidRDefault="005860D5">
            <w:pPr>
              <w:snapToGrid w:val="0"/>
              <w:rPr>
                <w:szCs w:val="21"/>
              </w:rPr>
            </w:pPr>
            <w:r>
              <w:rPr>
                <w:rFonts w:hAnsi="宋体"/>
                <w:szCs w:val="21"/>
              </w:rPr>
              <w:t>绿化系数</w:t>
            </w:r>
          </w:p>
        </w:tc>
        <w:tc>
          <w:tcPr>
            <w:tcW w:w="870" w:type="dxa"/>
            <w:vAlign w:val="center"/>
          </w:tcPr>
          <w:p w:rsidR="00C223F5" w:rsidRDefault="005860D5">
            <w:pPr>
              <w:spacing w:line="240" w:lineRule="atLeast"/>
              <w:jc w:val="center"/>
              <w:rPr>
                <w:szCs w:val="21"/>
              </w:rPr>
            </w:pPr>
            <w:r>
              <w:rPr>
                <w:rFonts w:hAnsi="宋体"/>
                <w:szCs w:val="21"/>
              </w:rPr>
              <w:t>％</w:t>
            </w:r>
          </w:p>
        </w:tc>
        <w:tc>
          <w:tcPr>
            <w:tcW w:w="1290" w:type="dxa"/>
            <w:vAlign w:val="center"/>
          </w:tcPr>
          <w:p w:rsidR="00C223F5" w:rsidRDefault="005860D5">
            <w:pPr>
              <w:snapToGrid w:val="0"/>
              <w:jc w:val="center"/>
              <w:rPr>
                <w:szCs w:val="21"/>
              </w:rPr>
            </w:pPr>
            <w:r>
              <w:rPr>
                <w:szCs w:val="21"/>
              </w:rPr>
              <w:t>18</w:t>
            </w:r>
          </w:p>
        </w:tc>
        <w:tc>
          <w:tcPr>
            <w:tcW w:w="2043" w:type="dxa"/>
            <w:vAlign w:val="center"/>
          </w:tcPr>
          <w:p w:rsidR="00C223F5" w:rsidRDefault="00C223F5">
            <w:pPr>
              <w:snapToGrid w:val="0"/>
              <w:jc w:val="center"/>
              <w:rPr>
                <w:szCs w:val="21"/>
              </w:rPr>
            </w:pPr>
          </w:p>
        </w:tc>
      </w:tr>
    </w:tbl>
    <w:p w:rsidR="00C223F5" w:rsidRDefault="005860D5">
      <w:pPr>
        <w:pStyle w:val="aff1"/>
        <w:tabs>
          <w:tab w:val="clear" w:pos="5781"/>
        </w:tabs>
        <w:spacing w:line="360" w:lineRule="auto"/>
        <w:ind w:left="0" w:firstLineChars="200" w:firstLine="480"/>
        <w:rPr>
          <w:rFonts w:eastAsiaTheme="minorEastAsia"/>
          <w:bCs/>
          <w:szCs w:val="24"/>
        </w:rPr>
      </w:pPr>
      <w:r>
        <w:rPr>
          <w:rFonts w:eastAsiaTheme="minorEastAsia" w:hAnsiTheme="minorEastAsia"/>
          <w:bCs/>
          <w:szCs w:val="24"/>
        </w:rPr>
        <w:t>（</w:t>
      </w:r>
      <w:r>
        <w:rPr>
          <w:rFonts w:eastAsiaTheme="minorEastAsia" w:hint="eastAsia"/>
          <w:bCs/>
          <w:szCs w:val="24"/>
        </w:rPr>
        <w:t>2</w:t>
      </w:r>
      <w:r>
        <w:rPr>
          <w:rFonts w:eastAsiaTheme="minorEastAsia" w:hAnsiTheme="minorEastAsia"/>
          <w:bCs/>
          <w:szCs w:val="24"/>
        </w:rPr>
        <w:t>）场内运输</w:t>
      </w:r>
    </w:p>
    <w:p w:rsidR="00C223F5" w:rsidRDefault="005860D5">
      <w:pPr>
        <w:autoSpaceDE w:val="0"/>
        <w:autoSpaceDN w:val="0"/>
        <w:spacing w:line="360" w:lineRule="auto"/>
        <w:ind w:firstLineChars="200" w:firstLine="480"/>
        <w:rPr>
          <w:rFonts w:eastAsiaTheme="minorEastAsia"/>
          <w:sz w:val="24"/>
        </w:rPr>
      </w:pPr>
      <w:r>
        <w:rPr>
          <w:rFonts w:eastAsiaTheme="minorEastAsia" w:hAnsiTheme="minorEastAsia"/>
          <w:sz w:val="24"/>
        </w:rPr>
        <w:t>场内运输方式采用道路、带式输送机和胶轮车相结合方式</w:t>
      </w:r>
      <w:r>
        <w:rPr>
          <w:rFonts w:eastAsiaTheme="minorEastAsia" w:hAnsiTheme="minorEastAsia" w:hint="eastAsia"/>
          <w:sz w:val="24"/>
        </w:rPr>
        <w:t>。</w:t>
      </w:r>
      <w:r>
        <w:rPr>
          <w:rFonts w:eastAsiaTheme="minorEastAsia" w:hAnsiTheme="minorEastAsia"/>
          <w:sz w:val="24"/>
        </w:rPr>
        <w:t>主井、选煤厂之间的煤炭运输均由带式输送机承担</w:t>
      </w:r>
      <w:r>
        <w:rPr>
          <w:rFonts w:eastAsiaTheme="minorEastAsia" w:hAnsiTheme="minorEastAsia" w:hint="eastAsia"/>
          <w:sz w:val="24"/>
        </w:rPr>
        <w:t>；</w:t>
      </w:r>
      <w:r>
        <w:rPr>
          <w:rFonts w:eastAsiaTheme="minorEastAsia" w:hAnsiTheme="minorEastAsia"/>
          <w:sz w:val="24"/>
        </w:rPr>
        <w:t>进出材料、设备和排矸系统等由汽车运输；支护材料、机电设备、人员等进出副井及地面辅运采用无轨胶轮车运输方式。</w:t>
      </w:r>
    </w:p>
    <w:p w:rsidR="00C223F5" w:rsidRDefault="005860D5">
      <w:pPr>
        <w:spacing w:line="360" w:lineRule="auto"/>
        <w:ind w:firstLineChars="200" w:firstLine="480"/>
        <w:rPr>
          <w:rFonts w:eastAsiaTheme="minorEastAsia"/>
          <w:sz w:val="24"/>
        </w:rPr>
      </w:pPr>
      <w:r>
        <w:rPr>
          <w:rFonts w:eastAsiaTheme="minorEastAsia"/>
          <w:sz w:val="24"/>
        </w:rPr>
        <w:t>场内道路分主干道和辅助道路，</w:t>
      </w:r>
      <w:r>
        <w:rPr>
          <w:rFonts w:hAnsi="宋体"/>
          <w:bCs/>
          <w:sz w:val="24"/>
        </w:rPr>
        <w:t>主干道宽</w:t>
      </w:r>
      <w:r>
        <w:rPr>
          <w:bCs/>
          <w:sz w:val="24"/>
        </w:rPr>
        <w:t>7m</w:t>
      </w:r>
      <w:r>
        <w:rPr>
          <w:rFonts w:hAnsi="宋体"/>
          <w:bCs/>
          <w:sz w:val="24"/>
        </w:rPr>
        <w:t>，次干道宽</w:t>
      </w:r>
      <w:r>
        <w:rPr>
          <w:bCs/>
          <w:sz w:val="24"/>
        </w:rPr>
        <w:t>4.5m</w:t>
      </w:r>
      <w:r>
        <w:rPr>
          <w:rFonts w:hAnsi="宋体"/>
          <w:bCs/>
          <w:sz w:val="24"/>
        </w:rPr>
        <w:t>、</w:t>
      </w:r>
      <w:r>
        <w:rPr>
          <w:bCs/>
          <w:sz w:val="24"/>
        </w:rPr>
        <w:t>4.0m</w:t>
      </w:r>
      <w:r>
        <w:rPr>
          <w:rFonts w:hAnsi="宋体"/>
          <w:bCs/>
          <w:sz w:val="24"/>
        </w:rPr>
        <w:t>，道路最小纵坡</w:t>
      </w:r>
      <w:r>
        <w:rPr>
          <w:bCs/>
          <w:sz w:val="24"/>
        </w:rPr>
        <w:t>0.3%</w:t>
      </w:r>
      <w:r>
        <w:rPr>
          <w:rFonts w:hAnsi="宋体"/>
          <w:bCs/>
          <w:sz w:val="24"/>
        </w:rPr>
        <w:t>，转弯半径：场内道路转弯半径除注明外均为</w:t>
      </w:r>
      <w:r>
        <w:rPr>
          <w:bCs/>
          <w:sz w:val="24"/>
        </w:rPr>
        <w:t>12m</w:t>
      </w:r>
      <w:r>
        <w:rPr>
          <w:rFonts w:hAnsi="宋体"/>
          <w:bCs/>
          <w:sz w:val="24"/>
        </w:rPr>
        <w:t>。场内道路均</w:t>
      </w:r>
      <w:r>
        <w:rPr>
          <w:rFonts w:hAnsi="宋体"/>
          <w:sz w:val="24"/>
        </w:rPr>
        <w:t>采用城市型道路，主干道路面结构为</w:t>
      </w:r>
      <w:r>
        <w:rPr>
          <w:sz w:val="24"/>
        </w:rPr>
        <w:t>25cm</w:t>
      </w:r>
      <w:r>
        <w:rPr>
          <w:rFonts w:hAnsi="宋体"/>
          <w:sz w:val="24"/>
        </w:rPr>
        <w:t>厚水泥混凝土面层，基层为</w:t>
      </w:r>
      <w:r>
        <w:rPr>
          <w:sz w:val="24"/>
        </w:rPr>
        <w:t>30cm</w:t>
      </w:r>
      <w:r>
        <w:rPr>
          <w:rFonts w:hAnsi="宋体"/>
          <w:sz w:val="24"/>
        </w:rPr>
        <w:t>厚水泥稳定沙砾；次干道面结构为</w:t>
      </w:r>
      <w:r>
        <w:rPr>
          <w:sz w:val="24"/>
        </w:rPr>
        <w:t>22cm</w:t>
      </w:r>
      <w:r>
        <w:rPr>
          <w:rFonts w:hAnsi="宋体"/>
          <w:sz w:val="24"/>
        </w:rPr>
        <w:t>厚水泥混凝土面层，基层为</w:t>
      </w:r>
      <w:r>
        <w:rPr>
          <w:sz w:val="24"/>
        </w:rPr>
        <w:t>30cm</w:t>
      </w:r>
      <w:r>
        <w:rPr>
          <w:rFonts w:hAnsi="宋体"/>
          <w:sz w:val="24"/>
        </w:rPr>
        <w:t>厚水泥稳定沙砾。</w:t>
      </w:r>
    </w:p>
    <w:p w:rsidR="00C223F5" w:rsidRDefault="005860D5" w:rsidP="00C006A7">
      <w:pPr>
        <w:pStyle w:val="aff1"/>
        <w:tabs>
          <w:tab w:val="clear" w:pos="5781"/>
        </w:tabs>
        <w:spacing w:line="360" w:lineRule="auto"/>
        <w:ind w:left="0" w:firstLineChars="200" w:firstLine="480"/>
        <w:rPr>
          <w:bCs/>
          <w:szCs w:val="24"/>
        </w:rPr>
      </w:pPr>
      <w:r>
        <w:rPr>
          <w:rFonts w:eastAsiaTheme="minorEastAsia" w:hAnsiTheme="minorEastAsia"/>
          <w:bCs/>
          <w:szCs w:val="24"/>
        </w:rPr>
        <w:t>（</w:t>
      </w:r>
      <w:r>
        <w:rPr>
          <w:rFonts w:eastAsiaTheme="minorEastAsia" w:hint="eastAsia"/>
          <w:bCs/>
          <w:szCs w:val="24"/>
        </w:rPr>
        <w:t>3</w:t>
      </w:r>
      <w:r>
        <w:rPr>
          <w:rFonts w:eastAsiaTheme="minorEastAsia" w:hAnsiTheme="minorEastAsia"/>
          <w:bCs/>
          <w:szCs w:val="24"/>
        </w:rPr>
        <w:t>）</w:t>
      </w:r>
      <w:r>
        <w:rPr>
          <w:bCs/>
          <w:szCs w:val="24"/>
        </w:rPr>
        <w:t>场地美化及绿化</w:t>
      </w:r>
    </w:p>
    <w:p w:rsidR="00C223F5" w:rsidRDefault="005860D5">
      <w:pPr>
        <w:autoSpaceDE w:val="0"/>
        <w:autoSpaceDN w:val="0"/>
        <w:spacing w:line="360" w:lineRule="auto"/>
        <w:ind w:firstLineChars="200" w:firstLine="480"/>
        <w:rPr>
          <w:rFonts w:eastAsiaTheme="minorEastAsia" w:hAnsiTheme="minorEastAsia"/>
          <w:sz w:val="24"/>
        </w:rPr>
      </w:pPr>
      <w:r>
        <w:rPr>
          <w:rFonts w:hAnsi="宋体"/>
          <w:sz w:val="24"/>
        </w:rPr>
        <w:t>厂区绿化以种植耐旱与常青树木相结合，采用点线面相结合的绿化方式以达到防风固沙，美化环境的目的。场区绿化重点在场前区与行政生活区，结合建筑造型，场地铺砌及建筑小品，配置树木，花坛绿篱等；在道路两侧以种植树冠大落叶行道树为主；在场区裸露地面上种植草坪或绿篱。</w:t>
      </w:r>
      <w:r>
        <w:rPr>
          <w:sz w:val="24"/>
        </w:rPr>
        <w:t>工业场地占地面积为</w:t>
      </w:r>
      <w:r>
        <w:rPr>
          <w:sz w:val="24"/>
        </w:rPr>
        <w:t>6.</w:t>
      </w:r>
      <w:r>
        <w:rPr>
          <w:rFonts w:hint="eastAsia"/>
          <w:sz w:val="24"/>
        </w:rPr>
        <w:t>5</w:t>
      </w:r>
      <w:r>
        <w:rPr>
          <w:sz w:val="24"/>
        </w:rPr>
        <w:t>hm</w:t>
      </w:r>
      <w:r>
        <w:rPr>
          <w:sz w:val="24"/>
          <w:vertAlign w:val="superscript"/>
        </w:rPr>
        <w:t>2</w:t>
      </w:r>
      <w:r>
        <w:rPr>
          <w:sz w:val="24"/>
        </w:rPr>
        <w:t>，</w:t>
      </w:r>
      <w:r>
        <w:rPr>
          <w:rFonts w:eastAsiaTheme="minorEastAsia" w:hAnsiTheme="minorEastAsia" w:hint="eastAsia"/>
          <w:sz w:val="24"/>
        </w:rPr>
        <w:t>场地绿化面积</w:t>
      </w:r>
      <w:r>
        <w:rPr>
          <w:rFonts w:eastAsiaTheme="minorEastAsia" w:hAnsiTheme="minorEastAsia"/>
          <w:sz w:val="24"/>
        </w:rPr>
        <w:t>0.95</w:t>
      </w:r>
      <w:r>
        <w:rPr>
          <w:rFonts w:eastAsiaTheme="minorEastAsia" w:hAnsiTheme="minorEastAsia" w:hint="eastAsia"/>
          <w:sz w:val="24"/>
        </w:rPr>
        <w:t>hm</w:t>
      </w:r>
      <w:r>
        <w:rPr>
          <w:rFonts w:eastAsiaTheme="minorEastAsia" w:hAnsiTheme="minorEastAsia" w:hint="eastAsia"/>
          <w:sz w:val="24"/>
          <w:vertAlign w:val="superscript"/>
        </w:rPr>
        <w:t>2</w:t>
      </w:r>
      <w:r>
        <w:rPr>
          <w:rFonts w:eastAsiaTheme="minorEastAsia" w:hAnsiTheme="minorEastAsia" w:hint="eastAsia"/>
          <w:sz w:val="24"/>
        </w:rPr>
        <w:t>。</w:t>
      </w:r>
    </w:p>
    <w:p w:rsidR="00C223F5" w:rsidRDefault="005860D5">
      <w:pPr>
        <w:autoSpaceDE w:val="0"/>
        <w:autoSpaceDN w:val="0"/>
        <w:spacing w:line="360" w:lineRule="auto"/>
        <w:ind w:firstLineChars="200" w:firstLine="480"/>
        <w:rPr>
          <w:rFonts w:eastAsiaTheme="minorEastAsia" w:hAnsiTheme="minorEastAsia"/>
          <w:sz w:val="24"/>
        </w:rPr>
      </w:pPr>
      <w:r>
        <w:rPr>
          <w:rFonts w:eastAsiaTheme="minorEastAsia" w:hAnsiTheme="minorEastAsia" w:hint="eastAsia"/>
          <w:sz w:val="24"/>
        </w:rPr>
        <w:t>（</w:t>
      </w:r>
      <w:r>
        <w:rPr>
          <w:rFonts w:eastAsiaTheme="minorEastAsia" w:hAnsiTheme="minorEastAsia" w:hint="eastAsia"/>
          <w:sz w:val="24"/>
        </w:rPr>
        <w:t>4</w:t>
      </w:r>
      <w:r>
        <w:rPr>
          <w:rFonts w:eastAsiaTheme="minorEastAsia" w:hAnsiTheme="minorEastAsia" w:hint="eastAsia"/>
          <w:sz w:val="24"/>
        </w:rPr>
        <w:t>）竖向</w:t>
      </w:r>
      <w:r>
        <w:rPr>
          <w:rFonts w:eastAsiaTheme="minorEastAsia" w:hAnsiTheme="minorEastAsia"/>
          <w:sz w:val="24"/>
        </w:rPr>
        <w:t>布置</w:t>
      </w:r>
    </w:p>
    <w:p w:rsidR="00C223F5" w:rsidRDefault="005860D5">
      <w:pPr>
        <w:autoSpaceDE w:val="0"/>
        <w:autoSpaceDN w:val="0"/>
        <w:spacing w:line="360" w:lineRule="auto"/>
        <w:ind w:firstLineChars="200" w:firstLine="480"/>
        <w:rPr>
          <w:rFonts w:eastAsiaTheme="minorEastAsia" w:hAnsiTheme="minorEastAsia"/>
          <w:sz w:val="24"/>
        </w:rPr>
      </w:pPr>
      <w:r>
        <w:rPr>
          <w:rFonts w:eastAsiaTheme="minorEastAsia" w:hAnsiTheme="minorEastAsia" w:hint="eastAsia"/>
          <w:sz w:val="24"/>
        </w:rPr>
        <w:t>1</w:t>
      </w:r>
      <w:r>
        <w:rPr>
          <w:rFonts w:eastAsiaTheme="minorEastAsia" w:hAnsiTheme="minorEastAsia" w:hint="eastAsia"/>
          <w:sz w:val="24"/>
        </w:rPr>
        <w:t>）场地内</w:t>
      </w:r>
      <w:r>
        <w:rPr>
          <w:rFonts w:eastAsiaTheme="minorEastAsia" w:hAnsiTheme="minorEastAsia"/>
          <w:sz w:val="24"/>
        </w:rPr>
        <w:t>竖向布置</w:t>
      </w:r>
    </w:p>
    <w:p w:rsidR="00C223F5" w:rsidRDefault="005860D5">
      <w:pPr>
        <w:autoSpaceDE w:val="0"/>
        <w:autoSpaceDN w:val="0"/>
        <w:spacing w:line="360" w:lineRule="auto"/>
        <w:ind w:firstLineChars="200" w:firstLine="480"/>
        <w:rPr>
          <w:rFonts w:eastAsiaTheme="minorEastAsia" w:hAnsiTheme="minorEastAsia"/>
          <w:sz w:val="24"/>
        </w:rPr>
      </w:pPr>
      <w:r>
        <w:rPr>
          <w:rFonts w:eastAsiaTheme="minorEastAsia" w:hAnsiTheme="minorEastAsia" w:hint="eastAsia"/>
          <w:sz w:val="24"/>
        </w:rPr>
        <w:t>工业场地西北高东南低，场地自然地形</w:t>
      </w:r>
      <w:r>
        <w:rPr>
          <w:rFonts w:eastAsiaTheme="minorEastAsia" w:hAnsiTheme="minorEastAsia"/>
          <w:sz w:val="24"/>
        </w:rPr>
        <w:t>标高为</w:t>
      </w:r>
      <w:r>
        <w:rPr>
          <w:rFonts w:eastAsiaTheme="minorEastAsia" w:hAnsiTheme="minorEastAsia" w:hint="eastAsia"/>
          <w:sz w:val="24"/>
        </w:rPr>
        <w:t>+</w:t>
      </w:r>
      <w:r>
        <w:rPr>
          <w:rFonts w:eastAsiaTheme="minorEastAsia" w:hAnsiTheme="minorEastAsia"/>
          <w:sz w:val="24"/>
        </w:rPr>
        <w:t>1056.4m</w:t>
      </w:r>
      <w:r>
        <w:rPr>
          <w:rFonts w:eastAsiaTheme="minorEastAsia" w:hAnsiTheme="minorEastAsia" w:hint="eastAsia"/>
          <w:sz w:val="24"/>
        </w:rPr>
        <w:t>~+</w:t>
      </w:r>
      <w:r>
        <w:rPr>
          <w:rFonts w:eastAsiaTheme="minorEastAsia" w:hAnsiTheme="minorEastAsia"/>
          <w:sz w:val="24"/>
        </w:rPr>
        <w:t>1095.6m</w:t>
      </w:r>
      <w:r>
        <w:rPr>
          <w:rFonts w:eastAsiaTheme="minorEastAsia" w:hAnsiTheme="minorEastAsia" w:hint="eastAsia"/>
          <w:sz w:val="24"/>
        </w:rPr>
        <w:t>。东西向自然坡度较大约为</w:t>
      </w:r>
      <w:r>
        <w:rPr>
          <w:rFonts w:eastAsiaTheme="minorEastAsia" w:hAnsiTheme="minorEastAsia" w:hint="eastAsia"/>
          <w:sz w:val="24"/>
        </w:rPr>
        <w:t>6%</w:t>
      </w:r>
      <w:r>
        <w:rPr>
          <w:rFonts w:eastAsiaTheme="minorEastAsia" w:hAnsiTheme="minorEastAsia" w:hint="eastAsia"/>
          <w:sz w:val="24"/>
        </w:rPr>
        <w:t>。场地竖向布置采用台阶式布置，连续式平整方式，结合地形及各功能区的要求采用不同平场坡度和坡向。场地最高处位于厂区西北部，标高</w:t>
      </w:r>
      <w:r>
        <w:rPr>
          <w:rFonts w:eastAsiaTheme="minorEastAsia" w:hAnsiTheme="minorEastAsia" w:hint="eastAsia"/>
          <w:sz w:val="24"/>
        </w:rPr>
        <w:t>+1065.7m~+1068.</w:t>
      </w:r>
      <w:r>
        <w:rPr>
          <w:rFonts w:eastAsiaTheme="minorEastAsia" w:hAnsiTheme="minorEastAsia"/>
          <w:sz w:val="24"/>
        </w:rPr>
        <w:t>7</w:t>
      </w:r>
      <w:r>
        <w:rPr>
          <w:rFonts w:eastAsiaTheme="minorEastAsia" w:hAnsiTheme="minorEastAsia" w:hint="eastAsia"/>
          <w:sz w:val="24"/>
        </w:rPr>
        <w:t>m</w:t>
      </w:r>
      <w:r>
        <w:rPr>
          <w:rFonts w:eastAsiaTheme="minorEastAsia" w:hAnsiTheme="minorEastAsia" w:hint="eastAsia"/>
          <w:sz w:val="24"/>
        </w:rPr>
        <w:t>；南部及东部最低，标高</w:t>
      </w:r>
      <w:r>
        <w:rPr>
          <w:rFonts w:eastAsiaTheme="minorEastAsia" w:hAnsiTheme="minorEastAsia" w:hint="eastAsia"/>
          <w:sz w:val="24"/>
        </w:rPr>
        <w:t>+1062.5</w:t>
      </w:r>
      <w:r>
        <w:rPr>
          <w:rFonts w:eastAsiaTheme="minorEastAsia" w:hAnsiTheme="minorEastAsia" w:hint="eastAsia"/>
          <w:sz w:val="24"/>
        </w:rPr>
        <w:t>～</w:t>
      </w:r>
      <w:r>
        <w:rPr>
          <w:rFonts w:eastAsiaTheme="minorEastAsia" w:hAnsiTheme="minorEastAsia" w:hint="eastAsia"/>
          <w:sz w:val="24"/>
        </w:rPr>
        <w:t>+1065m</w:t>
      </w:r>
      <w:r>
        <w:rPr>
          <w:rFonts w:eastAsiaTheme="minorEastAsia" w:hAnsiTheme="minorEastAsia" w:hint="eastAsia"/>
          <w:sz w:val="24"/>
        </w:rPr>
        <w:t>。台阶连接处采用浆砌石挡土墙，坡率</w:t>
      </w:r>
      <w:r>
        <w:rPr>
          <w:rFonts w:eastAsiaTheme="minorEastAsia" w:hAnsiTheme="minorEastAsia" w:hint="eastAsia"/>
          <w:sz w:val="24"/>
        </w:rPr>
        <w:t>1</w:t>
      </w:r>
      <w:r>
        <w:rPr>
          <w:rFonts w:eastAsiaTheme="minorEastAsia" w:hAnsiTheme="minorEastAsia"/>
          <w:sz w:val="24"/>
        </w:rPr>
        <w:t>:0.3</w:t>
      </w:r>
      <w:r>
        <w:rPr>
          <w:rFonts w:eastAsiaTheme="minorEastAsia" w:hAnsiTheme="minorEastAsia" w:hint="eastAsia"/>
          <w:sz w:val="24"/>
        </w:rPr>
        <w:t>，墙高</w:t>
      </w:r>
      <w:r>
        <w:rPr>
          <w:rFonts w:eastAsiaTheme="minorEastAsia" w:hAnsiTheme="minorEastAsia" w:hint="eastAsia"/>
          <w:sz w:val="24"/>
        </w:rPr>
        <w:t>1</w:t>
      </w:r>
      <w:r>
        <w:rPr>
          <w:rFonts w:eastAsiaTheme="minorEastAsia" w:hAnsiTheme="minorEastAsia"/>
          <w:sz w:val="24"/>
        </w:rPr>
        <w:t>.0</w:t>
      </w:r>
      <w:r>
        <w:rPr>
          <w:rFonts w:eastAsiaTheme="minorEastAsia" w:hAnsiTheme="minorEastAsia" w:hint="eastAsia"/>
          <w:sz w:val="24"/>
        </w:rPr>
        <w:t>~</w:t>
      </w:r>
      <w:r>
        <w:rPr>
          <w:rFonts w:eastAsiaTheme="minorEastAsia" w:hAnsiTheme="minorEastAsia"/>
          <w:sz w:val="24"/>
        </w:rPr>
        <w:t>4.0</w:t>
      </w:r>
      <w:r>
        <w:rPr>
          <w:rFonts w:eastAsiaTheme="minorEastAsia" w:hAnsiTheme="minorEastAsia" w:hint="eastAsia"/>
          <w:sz w:val="24"/>
        </w:rPr>
        <w:t>m</w:t>
      </w:r>
      <w:r>
        <w:rPr>
          <w:rFonts w:eastAsiaTheme="minorEastAsia" w:hAnsiTheme="minorEastAsia" w:hint="eastAsia"/>
          <w:sz w:val="24"/>
        </w:rPr>
        <w:t>，挡土墙长</w:t>
      </w:r>
      <w:r>
        <w:rPr>
          <w:rFonts w:eastAsiaTheme="minorEastAsia" w:hAnsiTheme="minorEastAsia" w:hint="eastAsia"/>
          <w:sz w:val="24"/>
        </w:rPr>
        <w:t>3</w:t>
      </w:r>
      <w:r>
        <w:rPr>
          <w:rFonts w:eastAsiaTheme="minorEastAsia" w:hAnsiTheme="minorEastAsia"/>
          <w:sz w:val="24"/>
        </w:rPr>
        <w:t>36</w:t>
      </w:r>
      <w:r>
        <w:rPr>
          <w:rFonts w:eastAsiaTheme="minorEastAsia" w:hAnsiTheme="minorEastAsia" w:hint="eastAsia"/>
          <w:sz w:val="24"/>
        </w:rPr>
        <w:t>m</w:t>
      </w:r>
      <w:r>
        <w:rPr>
          <w:rFonts w:eastAsiaTheme="minorEastAsia" w:hAnsiTheme="minorEastAsia" w:hint="eastAsia"/>
          <w:sz w:val="24"/>
        </w:rPr>
        <w:t>。</w:t>
      </w:r>
    </w:p>
    <w:p w:rsidR="00C223F5" w:rsidRDefault="005860D5" w:rsidP="00C006A7">
      <w:pPr>
        <w:autoSpaceDE w:val="0"/>
        <w:autoSpaceDN w:val="0"/>
        <w:spacing w:line="360" w:lineRule="auto"/>
        <w:ind w:firstLineChars="200" w:firstLine="480"/>
        <w:rPr>
          <w:rFonts w:eastAsiaTheme="minorEastAsia" w:hAnsiTheme="minorEastAsia"/>
          <w:sz w:val="24"/>
        </w:rPr>
      </w:pPr>
      <w:r>
        <w:rPr>
          <w:rFonts w:eastAsiaTheme="minorEastAsia" w:hAnsiTheme="minorEastAsia" w:hint="eastAsia"/>
          <w:sz w:val="24"/>
        </w:rPr>
        <w:lastRenderedPageBreak/>
        <w:t>2</w:t>
      </w:r>
      <w:r>
        <w:rPr>
          <w:rFonts w:eastAsiaTheme="minorEastAsia" w:hAnsiTheme="minorEastAsia" w:hint="eastAsia"/>
          <w:sz w:val="24"/>
        </w:rPr>
        <w:t>）场地</w:t>
      </w:r>
      <w:r>
        <w:rPr>
          <w:rFonts w:eastAsiaTheme="minorEastAsia" w:hAnsiTheme="minorEastAsia"/>
          <w:sz w:val="24"/>
        </w:rPr>
        <w:t>四周竖向布置</w:t>
      </w:r>
    </w:p>
    <w:p w:rsidR="00C223F5" w:rsidRDefault="005860D5">
      <w:pPr>
        <w:autoSpaceDE w:val="0"/>
        <w:autoSpaceDN w:val="0"/>
        <w:spacing w:line="360" w:lineRule="auto"/>
        <w:ind w:firstLineChars="200" w:firstLine="480"/>
        <w:rPr>
          <w:rFonts w:eastAsiaTheme="minorEastAsia" w:hAnsiTheme="minorEastAsia"/>
          <w:sz w:val="24"/>
        </w:rPr>
      </w:pPr>
      <w:r>
        <w:rPr>
          <w:rFonts w:eastAsiaTheme="minorEastAsia" w:hAnsiTheme="minorEastAsia" w:hint="eastAsia"/>
          <w:sz w:val="24"/>
        </w:rPr>
        <w:t>场地最大挖方高度</w:t>
      </w:r>
      <w:r>
        <w:rPr>
          <w:rFonts w:eastAsiaTheme="minorEastAsia" w:hAnsiTheme="minorEastAsia" w:hint="eastAsia"/>
          <w:sz w:val="24"/>
        </w:rPr>
        <w:t>28m</w:t>
      </w:r>
      <w:r>
        <w:rPr>
          <w:rFonts w:eastAsiaTheme="minorEastAsia" w:hAnsiTheme="minorEastAsia" w:hint="eastAsia"/>
          <w:sz w:val="24"/>
        </w:rPr>
        <w:t>，位于场地北部中间位置；场地最大填方高度</w:t>
      </w:r>
      <w:r>
        <w:rPr>
          <w:rFonts w:eastAsiaTheme="minorEastAsia" w:hAnsiTheme="minorEastAsia" w:hint="eastAsia"/>
          <w:sz w:val="24"/>
        </w:rPr>
        <w:t>7.6m</w:t>
      </w:r>
      <w:r>
        <w:rPr>
          <w:rFonts w:eastAsiaTheme="minorEastAsia" w:hAnsiTheme="minorEastAsia" w:hint="eastAsia"/>
          <w:sz w:val="24"/>
        </w:rPr>
        <w:t>，位于场地东北角。挖方边坡采用浆砌石护坡，坡比</w:t>
      </w:r>
      <w:r>
        <w:rPr>
          <w:rFonts w:eastAsiaTheme="minorEastAsia" w:hAnsiTheme="minorEastAsia" w:hint="eastAsia"/>
          <w:sz w:val="24"/>
        </w:rPr>
        <w:t>1:</w:t>
      </w:r>
      <w:r>
        <w:rPr>
          <w:rFonts w:eastAsiaTheme="minorEastAsia" w:hAnsiTheme="minorEastAsia"/>
          <w:sz w:val="24"/>
        </w:rPr>
        <w:t>0.75</w:t>
      </w:r>
      <w:r>
        <w:rPr>
          <w:rFonts w:eastAsiaTheme="minorEastAsia" w:hAnsiTheme="minorEastAsia" w:hint="eastAsia"/>
          <w:sz w:val="24"/>
        </w:rPr>
        <w:t>~</w:t>
      </w:r>
      <w:r>
        <w:rPr>
          <w:rFonts w:eastAsiaTheme="minorEastAsia" w:hAnsiTheme="minorEastAsia"/>
          <w:sz w:val="24"/>
        </w:rPr>
        <w:t>1.1</w:t>
      </w:r>
      <w:r>
        <w:rPr>
          <w:rFonts w:eastAsiaTheme="minorEastAsia" w:hAnsiTheme="minorEastAsia" w:hint="eastAsia"/>
          <w:sz w:val="24"/>
        </w:rPr>
        <w:t>，边坡每隔</w:t>
      </w:r>
      <w:r>
        <w:rPr>
          <w:rFonts w:eastAsiaTheme="minorEastAsia" w:hAnsiTheme="minorEastAsia" w:hint="eastAsia"/>
          <w:sz w:val="24"/>
        </w:rPr>
        <w:t>6</w:t>
      </w:r>
      <w:r>
        <w:rPr>
          <w:rFonts w:eastAsiaTheme="minorEastAsia" w:hAnsiTheme="minorEastAsia"/>
          <w:sz w:val="24"/>
        </w:rPr>
        <w:t>.0</w:t>
      </w:r>
      <w:r>
        <w:rPr>
          <w:rFonts w:eastAsiaTheme="minorEastAsia" w:hAnsiTheme="minorEastAsia" w:hint="eastAsia"/>
          <w:sz w:val="24"/>
        </w:rPr>
        <w:t>m</w:t>
      </w:r>
      <w:r>
        <w:rPr>
          <w:rFonts w:eastAsiaTheme="minorEastAsia" w:hAnsiTheme="minorEastAsia" w:hint="eastAsia"/>
          <w:sz w:val="24"/>
        </w:rPr>
        <w:t>设置宽度为</w:t>
      </w:r>
      <w:r>
        <w:rPr>
          <w:rFonts w:eastAsiaTheme="minorEastAsia" w:hAnsiTheme="minorEastAsia" w:hint="eastAsia"/>
          <w:sz w:val="24"/>
        </w:rPr>
        <w:t>3</w:t>
      </w:r>
      <w:r>
        <w:rPr>
          <w:rFonts w:eastAsiaTheme="minorEastAsia" w:hAnsiTheme="minorEastAsia"/>
          <w:sz w:val="24"/>
        </w:rPr>
        <w:t>.0</w:t>
      </w:r>
      <w:r>
        <w:rPr>
          <w:rFonts w:eastAsiaTheme="minorEastAsia" w:hAnsiTheme="minorEastAsia" w:hint="eastAsia"/>
          <w:sz w:val="24"/>
        </w:rPr>
        <w:t>m</w:t>
      </w:r>
      <w:r>
        <w:rPr>
          <w:rFonts w:eastAsiaTheme="minorEastAsia" w:hAnsiTheme="minorEastAsia" w:hint="eastAsia"/>
          <w:sz w:val="24"/>
        </w:rPr>
        <w:t>的平台以增加稳定性，护坡面积</w:t>
      </w:r>
      <w:r>
        <w:rPr>
          <w:rFonts w:eastAsiaTheme="minorEastAsia" w:hAnsiTheme="minorEastAsia" w:hint="eastAsia"/>
          <w:sz w:val="24"/>
        </w:rPr>
        <w:t>7</w:t>
      </w:r>
      <w:r>
        <w:rPr>
          <w:rFonts w:eastAsiaTheme="minorEastAsia" w:hAnsiTheme="minorEastAsia"/>
          <w:sz w:val="24"/>
        </w:rPr>
        <w:t>470</w:t>
      </w:r>
      <w:r>
        <w:rPr>
          <w:rFonts w:eastAsiaTheme="minorEastAsia" w:hAnsiTheme="minorEastAsia" w:hint="eastAsia"/>
          <w:sz w:val="24"/>
        </w:rPr>
        <w:t>m</w:t>
      </w:r>
      <w:r>
        <w:rPr>
          <w:rFonts w:eastAsiaTheme="minorEastAsia" w:hAnsiTheme="minorEastAsia"/>
          <w:sz w:val="24"/>
          <w:vertAlign w:val="superscript"/>
        </w:rPr>
        <w:t>2</w:t>
      </w:r>
      <w:r>
        <w:rPr>
          <w:rFonts w:eastAsiaTheme="minorEastAsia" w:hAnsiTheme="minorEastAsia" w:hint="eastAsia"/>
          <w:sz w:val="24"/>
        </w:rPr>
        <w:t>。填方边坡采用浆砌石挡土墙，坡率</w:t>
      </w:r>
      <w:r>
        <w:rPr>
          <w:rFonts w:eastAsiaTheme="minorEastAsia" w:hAnsiTheme="minorEastAsia" w:hint="eastAsia"/>
          <w:sz w:val="24"/>
        </w:rPr>
        <w:t>1</w:t>
      </w:r>
      <w:r>
        <w:rPr>
          <w:rFonts w:eastAsiaTheme="minorEastAsia" w:hAnsiTheme="minorEastAsia"/>
          <w:sz w:val="24"/>
        </w:rPr>
        <w:t>:0.3</w:t>
      </w:r>
      <w:r>
        <w:rPr>
          <w:rFonts w:eastAsiaTheme="minorEastAsia" w:hAnsiTheme="minorEastAsia" w:hint="eastAsia"/>
          <w:sz w:val="24"/>
        </w:rPr>
        <w:t>，墙高</w:t>
      </w:r>
      <w:r>
        <w:rPr>
          <w:rFonts w:eastAsiaTheme="minorEastAsia" w:hAnsiTheme="minorEastAsia" w:hint="eastAsia"/>
          <w:sz w:val="24"/>
        </w:rPr>
        <w:t>1</w:t>
      </w:r>
      <w:r>
        <w:rPr>
          <w:rFonts w:eastAsiaTheme="minorEastAsia" w:hAnsiTheme="minorEastAsia"/>
          <w:sz w:val="24"/>
        </w:rPr>
        <w:t>.0</w:t>
      </w:r>
      <w:r>
        <w:rPr>
          <w:rFonts w:eastAsiaTheme="minorEastAsia" w:hAnsiTheme="minorEastAsia" w:hint="eastAsia"/>
          <w:sz w:val="24"/>
        </w:rPr>
        <w:t>~</w:t>
      </w:r>
      <w:r>
        <w:rPr>
          <w:rFonts w:eastAsiaTheme="minorEastAsia" w:hAnsiTheme="minorEastAsia"/>
          <w:sz w:val="24"/>
        </w:rPr>
        <w:t>6.0</w:t>
      </w:r>
      <w:r>
        <w:rPr>
          <w:rFonts w:eastAsiaTheme="minorEastAsia" w:hAnsiTheme="minorEastAsia" w:hint="eastAsia"/>
          <w:sz w:val="24"/>
        </w:rPr>
        <w:t>m</w:t>
      </w:r>
      <w:r>
        <w:rPr>
          <w:rFonts w:eastAsiaTheme="minorEastAsia" w:hAnsiTheme="minorEastAsia" w:hint="eastAsia"/>
          <w:sz w:val="24"/>
        </w:rPr>
        <w:t>，挡土墙长</w:t>
      </w:r>
      <w:r>
        <w:rPr>
          <w:rFonts w:eastAsiaTheme="minorEastAsia" w:hAnsiTheme="minorEastAsia"/>
          <w:sz w:val="24"/>
        </w:rPr>
        <w:t>644</w:t>
      </w:r>
      <w:r>
        <w:rPr>
          <w:rFonts w:eastAsiaTheme="minorEastAsia" w:hAnsiTheme="minorEastAsia" w:hint="eastAsia"/>
          <w:sz w:val="24"/>
        </w:rPr>
        <w:t>m</w:t>
      </w:r>
      <w:r>
        <w:rPr>
          <w:rFonts w:eastAsiaTheme="minorEastAsia" w:hAnsiTheme="minorEastAsia" w:hint="eastAsia"/>
          <w:sz w:val="24"/>
        </w:rPr>
        <w:t>。场地南侧紧邻艾魏路，标高与该路标高顺接。</w:t>
      </w:r>
    </w:p>
    <w:p w:rsidR="00C223F5" w:rsidRDefault="005860D5">
      <w:pPr>
        <w:autoSpaceDE w:val="0"/>
        <w:autoSpaceDN w:val="0"/>
        <w:spacing w:line="360" w:lineRule="auto"/>
        <w:ind w:firstLineChars="200" w:firstLine="480"/>
        <w:rPr>
          <w:rFonts w:eastAsiaTheme="minorEastAsia" w:hAnsiTheme="minorEastAsia"/>
          <w:sz w:val="24"/>
        </w:rPr>
      </w:pPr>
      <w:r>
        <w:rPr>
          <w:rFonts w:eastAsiaTheme="minorEastAsia" w:hAnsiTheme="minorEastAsia" w:hint="eastAsia"/>
          <w:sz w:val="24"/>
        </w:rPr>
        <w:t>（</w:t>
      </w:r>
      <w:r>
        <w:rPr>
          <w:rFonts w:eastAsiaTheme="minorEastAsia" w:hAnsiTheme="minorEastAsia" w:hint="eastAsia"/>
          <w:sz w:val="24"/>
        </w:rPr>
        <w:t>5</w:t>
      </w:r>
      <w:r>
        <w:rPr>
          <w:rFonts w:eastAsiaTheme="minorEastAsia" w:hAnsiTheme="minorEastAsia" w:hint="eastAsia"/>
          <w:sz w:val="24"/>
        </w:rPr>
        <w:t>）防洪排涝</w:t>
      </w:r>
    </w:p>
    <w:p w:rsidR="00C223F5" w:rsidRDefault="005860D5">
      <w:pPr>
        <w:autoSpaceDE w:val="0"/>
        <w:autoSpaceDN w:val="0"/>
        <w:spacing w:line="360" w:lineRule="auto"/>
        <w:ind w:firstLineChars="200" w:firstLine="480"/>
        <w:rPr>
          <w:rFonts w:eastAsiaTheme="minorEastAsia" w:hAnsiTheme="minorEastAsia"/>
          <w:sz w:val="24"/>
        </w:rPr>
      </w:pPr>
      <w:r>
        <w:rPr>
          <w:rFonts w:eastAsiaTheme="minorEastAsia" w:hAnsiTheme="minorEastAsia" w:hint="eastAsia"/>
          <w:sz w:val="24"/>
        </w:rPr>
        <w:t>1</w:t>
      </w:r>
      <w:r>
        <w:rPr>
          <w:rFonts w:eastAsiaTheme="minorEastAsia" w:hAnsiTheme="minorEastAsia" w:hint="eastAsia"/>
          <w:sz w:val="24"/>
        </w:rPr>
        <w:t>）场地</w:t>
      </w:r>
      <w:r>
        <w:rPr>
          <w:rFonts w:eastAsiaTheme="minorEastAsia" w:hAnsiTheme="minorEastAsia"/>
          <w:sz w:val="24"/>
        </w:rPr>
        <w:t>防洪</w:t>
      </w:r>
    </w:p>
    <w:p w:rsidR="00C223F5" w:rsidRDefault="005860D5">
      <w:pPr>
        <w:autoSpaceDE w:val="0"/>
        <w:autoSpaceDN w:val="0"/>
        <w:spacing w:line="360" w:lineRule="auto"/>
        <w:ind w:firstLineChars="200" w:firstLine="480"/>
        <w:rPr>
          <w:rFonts w:eastAsiaTheme="minorEastAsia" w:hAnsiTheme="minorEastAsia"/>
          <w:sz w:val="24"/>
        </w:rPr>
      </w:pPr>
      <w:r>
        <w:rPr>
          <w:rFonts w:eastAsiaTheme="minorEastAsia"/>
          <w:sz w:val="24"/>
        </w:rPr>
        <w:t>根据规范要求，矿井工业场地按一百年一遇洪水位标高设计，井口按一百年一遇洪水位标高设计，三百年一遇标高校核。</w:t>
      </w:r>
      <w:r>
        <w:rPr>
          <w:rFonts w:eastAsiaTheme="minorEastAsia" w:hAnsiTheme="minorEastAsia" w:hint="eastAsia"/>
          <w:sz w:val="24"/>
        </w:rPr>
        <w:t>工业场地处于蚂蚁河阶地上，工业场地范围内蚂蚁河主河槽宽度约</w:t>
      </w:r>
      <w:r>
        <w:rPr>
          <w:rFonts w:eastAsiaTheme="minorEastAsia" w:hAnsiTheme="minorEastAsia" w:hint="eastAsia"/>
          <w:sz w:val="24"/>
        </w:rPr>
        <w:t>15m</w:t>
      </w:r>
      <w:r>
        <w:rPr>
          <w:rFonts w:eastAsiaTheme="minorEastAsia" w:hAnsiTheme="minorEastAsia" w:hint="eastAsia"/>
          <w:sz w:val="24"/>
        </w:rPr>
        <w:t>，河道比降约</w:t>
      </w:r>
      <w:r>
        <w:rPr>
          <w:rFonts w:eastAsiaTheme="minorEastAsia" w:hAnsiTheme="minorEastAsia" w:hint="eastAsia"/>
          <w:sz w:val="24"/>
        </w:rPr>
        <w:t>0.4%</w:t>
      </w:r>
      <w:r>
        <w:rPr>
          <w:rFonts w:eastAsiaTheme="minorEastAsia" w:hAnsiTheme="minorEastAsia" w:hint="eastAsia"/>
          <w:sz w:val="24"/>
        </w:rPr>
        <w:t>，河两岸边坡较陡，工业场地上游及主斜井、回风立井处百年一遇设计防洪水位为</w:t>
      </w:r>
      <w:r>
        <w:rPr>
          <w:rFonts w:eastAsiaTheme="minorEastAsia" w:hAnsiTheme="minorEastAsia" w:hint="eastAsia"/>
          <w:sz w:val="24"/>
        </w:rPr>
        <w:t>+1064.99m</w:t>
      </w:r>
      <w:r>
        <w:rPr>
          <w:rFonts w:eastAsiaTheme="minorEastAsia" w:hAnsiTheme="minorEastAsia" w:hint="eastAsia"/>
          <w:sz w:val="24"/>
        </w:rPr>
        <w:t>，三百年一遇防洪水位为</w:t>
      </w:r>
      <w:r>
        <w:rPr>
          <w:rFonts w:eastAsiaTheme="minorEastAsia" w:hAnsiTheme="minorEastAsia" w:hint="eastAsia"/>
          <w:sz w:val="24"/>
        </w:rPr>
        <w:t>+1065.74m</w:t>
      </w:r>
      <w:r>
        <w:rPr>
          <w:rFonts w:eastAsiaTheme="minorEastAsia" w:hAnsiTheme="minorEastAsia" w:hint="eastAsia"/>
          <w:sz w:val="24"/>
        </w:rPr>
        <w:t>；副斜井处百年一遇设计防洪水位为</w:t>
      </w:r>
      <w:r>
        <w:rPr>
          <w:rFonts w:eastAsiaTheme="minorEastAsia" w:hAnsiTheme="minorEastAsia" w:hint="eastAsia"/>
          <w:sz w:val="24"/>
        </w:rPr>
        <w:t>+1064.59m</w:t>
      </w:r>
      <w:r>
        <w:rPr>
          <w:rFonts w:eastAsiaTheme="minorEastAsia" w:hAnsiTheme="minorEastAsia" w:hint="eastAsia"/>
          <w:sz w:val="24"/>
        </w:rPr>
        <w:t>，三百年一遇防洪水位为</w:t>
      </w:r>
      <w:r>
        <w:rPr>
          <w:rFonts w:eastAsiaTheme="minorEastAsia" w:hAnsiTheme="minorEastAsia" w:hint="eastAsia"/>
          <w:sz w:val="24"/>
        </w:rPr>
        <w:t>+1065.50m</w:t>
      </w:r>
      <w:r>
        <w:rPr>
          <w:rFonts w:eastAsiaTheme="minorEastAsia" w:hAnsiTheme="minorEastAsia" w:hint="eastAsia"/>
          <w:sz w:val="24"/>
        </w:rPr>
        <w:t>；工业场地中游原煤仓处百年一遇设计防洪水位为</w:t>
      </w:r>
      <w:r>
        <w:rPr>
          <w:rFonts w:eastAsiaTheme="minorEastAsia" w:hAnsiTheme="minorEastAsia" w:hint="eastAsia"/>
          <w:sz w:val="24"/>
        </w:rPr>
        <w:t>+1064.59m</w:t>
      </w:r>
      <w:r>
        <w:rPr>
          <w:rFonts w:eastAsiaTheme="minorEastAsia" w:hAnsiTheme="minorEastAsia" w:hint="eastAsia"/>
          <w:sz w:val="24"/>
        </w:rPr>
        <w:t>；工业场地下游主厂房附近百年一遇设计防洪水位为</w:t>
      </w:r>
      <w:r>
        <w:rPr>
          <w:rFonts w:eastAsiaTheme="minorEastAsia" w:hAnsiTheme="minorEastAsia" w:hint="eastAsia"/>
          <w:sz w:val="24"/>
        </w:rPr>
        <w:t>+1063.49m</w:t>
      </w:r>
      <w:r>
        <w:rPr>
          <w:rFonts w:eastAsiaTheme="minorEastAsia" w:hAnsiTheme="minorEastAsia" w:hint="eastAsia"/>
          <w:sz w:val="24"/>
        </w:rPr>
        <w:t>。</w:t>
      </w:r>
    </w:p>
    <w:p w:rsidR="00C223F5" w:rsidRDefault="005860D5">
      <w:pPr>
        <w:autoSpaceDE w:val="0"/>
        <w:autoSpaceDN w:val="0"/>
        <w:spacing w:line="360" w:lineRule="auto"/>
        <w:ind w:firstLineChars="200" w:firstLine="480"/>
        <w:rPr>
          <w:rFonts w:eastAsiaTheme="minorEastAsia" w:hAnsiTheme="minorEastAsia"/>
          <w:sz w:val="24"/>
        </w:rPr>
      </w:pPr>
      <w:r>
        <w:rPr>
          <w:rFonts w:eastAsiaTheme="minorEastAsia" w:hAnsiTheme="minorEastAsia" w:hint="eastAsia"/>
          <w:sz w:val="24"/>
        </w:rPr>
        <w:t>本次设计主斜井井口标高</w:t>
      </w:r>
      <w:r>
        <w:rPr>
          <w:rFonts w:eastAsiaTheme="minorEastAsia" w:hAnsiTheme="minorEastAsia" w:hint="eastAsia"/>
          <w:sz w:val="24"/>
        </w:rPr>
        <w:t>+1066.50m</w:t>
      </w:r>
      <w:r>
        <w:rPr>
          <w:rFonts w:eastAsiaTheme="minorEastAsia" w:hAnsiTheme="minorEastAsia" w:hint="eastAsia"/>
          <w:sz w:val="24"/>
        </w:rPr>
        <w:t>，副斜井井口标高</w:t>
      </w:r>
      <w:r>
        <w:rPr>
          <w:rFonts w:eastAsiaTheme="minorEastAsia" w:hAnsiTheme="minorEastAsia" w:hint="eastAsia"/>
          <w:sz w:val="24"/>
        </w:rPr>
        <w:t>+1068.00m</w:t>
      </w:r>
      <w:r>
        <w:rPr>
          <w:rFonts w:eastAsiaTheme="minorEastAsia" w:hAnsiTheme="minorEastAsia" w:hint="eastAsia"/>
          <w:sz w:val="24"/>
        </w:rPr>
        <w:t>，回风立井井口标高</w:t>
      </w:r>
      <w:r>
        <w:rPr>
          <w:rFonts w:eastAsiaTheme="minorEastAsia" w:hAnsiTheme="minorEastAsia" w:hint="eastAsia"/>
          <w:sz w:val="24"/>
        </w:rPr>
        <w:t>+1067.783m</w:t>
      </w:r>
      <w:r>
        <w:rPr>
          <w:rFonts w:eastAsiaTheme="minorEastAsia" w:hAnsiTheme="minorEastAsia" w:hint="eastAsia"/>
          <w:sz w:val="24"/>
        </w:rPr>
        <w:t>，井口标高均高于设计防洪水位，故蚂蚁河洪水不会对各井口造成洪水威胁。工业场地南侧为当地政府正在改扩建的二级路，工业场地在西、东大门处以及地磅房进出口处的标高与该路标高顺接，且满足场外二级道路的防洪标准。工业场地平场标高为</w:t>
      </w:r>
      <w:r>
        <w:rPr>
          <w:rFonts w:eastAsiaTheme="minorEastAsia" w:hAnsiTheme="minorEastAsia" w:hint="eastAsia"/>
          <w:sz w:val="24"/>
        </w:rPr>
        <w:t>+1063.50m~+1068.20m</w:t>
      </w:r>
      <w:r>
        <w:rPr>
          <w:rFonts w:eastAsiaTheme="minorEastAsia" w:hAnsiTheme="minorEastAsia" w:hint="eastAsia"/>
          <w:sz w:val="24"/>
        </w:rPr>
        <w:t>，满足防洪设计要求。</w:t>
      </w:r>
    </w:p>
    <w:p w:rsidR="00C223F5" w:rsidRDefault="005860D5">
      <w:pPr>
        <w:autoSpaceDE w:val="0"/>
        <w:autoSpaceDN w:val="0"/>
        <w:spacing w:line="360" w:lineRule="auto"/>
        <w:ind w:firstLineChars="200" w:firstLine="480"/>
        <w:rPr>
          <w:rFonts w:eastAsiaTheme="minorEastAsia" w:hAnsiTheme="minorEastAsia"/>
          <w:sz w:val="24"/>
        </w:rPr>
      </w:pPr>
      <w:r>
        <w:rPr>
          <w:rFonts w:eastAsiaTheme="minorEastAsia" w:hAnsiTheme="minorEastAsia" w:hint="eastAsia"/>
          <w:sz w:val="24"/>
        </w:rPr>
        <w:t>蚂蚁河支沟沟底宽度约</w:t>
      </w:r>
      <w:r>
        <w:rPr>
          <w:rFonts w:eastAsiaTheme="minorEastAsia" w:hAnsiTheme="minorEastAsia"/>
          <w:sz w:val="24"/>
        </w:rPr>
        <w:t>12m</w:t>
      </w:r>
      <w:r>
        <w:rPr>
          <w:rFonts w:eastAsiaTheme="minorEastAsia" w:hAnsiTheme="minorEastAsia" w:hint="eastAsia"/>
          <w:sz w:val="24"/>
        </w:rPr>
        <w:t>，经计算工业场地东北角处百年一遇设计防洪水位约</w:t>
      </w:r>
      <w:r>
        <w:rPr>
          <w:rFonts w:eastAsiaTheme="minorEastAsia" w:hAnsiTheme="minorEastAsia"/>
          <w:sz w:val="24"/>
        </w:rPr>
        <w:t>+1059.15m</w:t>
      </w:r>
      <w:r>
        <w:rPr>
          <w:rFonts w:eastAsiaTheme="minorEastAsia" w:hAnsiTheme="minorEastAsia" w:hint="eastAsia"/>
          <w:sz w:val="24"/>
        </w:rPr>
        <w:t>，该处工业场地平场标高</w:t>
      </w:r>
      <w:r>
        <w:rPr>
          <w:rFonts w:eastAsiaTheme="minorEastAsia" w:hAnsiTheme="minorEastAsia"/>
          <w:sz w:val="24"/>
        </w:rPr>
        <w:t>+1063.50m</w:t>
      </w:r>
      <w:r>
        <w:rPr>
          <w:rFonts w:eastAsiaTheme="minorEastAsia" w:hAnsiTheme="minorEastAsia" w:hint="eastAsia"/>
          <w:sz w:val="24"/>
        </w:rPr>
        <w:t>～</w:t>
      </w:r>
      <w:r>
        <w:rPr>
          <w:rFonts w:eastAsiaTheme="minorEastAsia" w:hAnsiTheme="minorEastAsia"/>
          <w:sz w:val="24"/>
        </w:rPr>
        <w:t>+1063.80m</w:t>
      </w:r>
      <w:r>
        <w:rPr>
          <w:rFonts w:eastAsiaTheme="minorEastAsia" w:hAnsiTheme="minorEastAsia" w:hint="eastAsia"/>
          <w:sz w:val="24"/>
        </w:rPr>
        <w:t>之间，满足防洪要求。为保证场地不受内涝威胁，场地竖向设计应顺应地形、地势，场地平场坡度不小于</w:t>
      </w:r>
      <w:r>
        <w:rPr>
          <w:rFonts w:eastAsiaTheme="minorEastAsia" w:hAnsiTheme="minorEastAsia" w:hint="eastAsia"/>
          <w:sz w:val="24"/>
        </w:rPr>
        <w:t>3</w:t>
      </w:r>
      <w:r>
        <w:rPr>
          <w:rFonts w:eastAsiaTheme="minorEastAsia" w:hAnsiTheme="minorEastAsia" w:hint="eastAsia"/>
          <w:sz w:val="24"/>
        </w:rPr>
        <w:t>‰，以利于地表雨水排放。</w:t>
      </w:r>
    </w:p>
    <w:p w:rsidR="00C223F5" w:rsidRDefault="005860D5" w:rsidP="00C006A7">
      <w:pPr>
        <w:autoSpaceDE w:val="0"/>
        <w:autoSpaceDN w:val="0"/>
        <w:spacing w:line="360" w:lineRule="auto"/>
        <w:ind w:firstLineChars="200" w:firstLine="480"/>
        <w:rPr>
          <w:rFonts w:eastAsiaTheme="minorEastAsia" w:hAnsiTheme="minorEastAsia"/>
          <w:sz w:val="24"/>
        </w:rPr>
      </w:pPr>
      <w:r>
        <w:rPr>
          <w:rFonts w:eastAsiaTheme="minorEastAsia" w:hAnsiTheme="minorEastAsia" w:hint="eastAsia"/>
          <w:sz w:val="24"/>
        </w:rPr>
        <w:t>2</w:t>
      </w:r>
      <w:r>
        <w:rPr>
          <w:rFonts w:eastAsiaTheme="minorEastAsia" w:hAnsiTheme="minorEastAsia" w:hint="eastAsia"/>
          <w:sz w:val="24"/>
        </w:rPr>
        <w:t>）</w:t>
      </w:r>
      <w:r>
        <w:rPr>
          <w:rFonts w:eastAsiaTheme="minorEastAsia" w:hAnsiTheme="minorEastAsia"/>
          <w:sz w:val="24"/>
        </w:rPr>
        <w:t>场地雨水排放</w:t>
      </w:r>
    </w:p>
    <w:p w:rsidR="00C223F5" w:rsidRDefault="005860D5">
      <w:pPr>
        <w:autoSpaceDE w:val="0"/>
        <w:autoSpaceDN w:val="0"/>
        <w:spacing w:line="360" w:lineRule="auto"/>
        <w:ind w:firstLineChars="200" w:firstLine="480"/>
        <w:rPr>
          <w:rFonts w:eastAsiaTheme="minorEastAsia" w:hAnsiTheme="minorEastAsia"/>
          <w:sz w:val="24"/>
        </w:rPr>
      </w:pPr>
      <w:r>
        <w:rPr>
          <w:rFonts w:eastAsiaTheme="minorEastAsia" w:hAnsiTheme="minorEastAsia" w:hint="eastAsia"/>
          <w:sz w:val="24"/>
        </w:rPr>
        <w:t>场地雨水的排放主要采用排水沟和自然散流相结合的方式。为防止场地内涝，在场地挖方边坡上方布设截水沟，将坡面来水排至蚂蚁河和蚂蚁河支沟河道内，截水沟采用梯形断面，沟底宽</w:t>
      </w:r>
      <w:r>
        <w:rPr>
          <w:rFonts w:eastAsiaTheme="minorEastAsia" w:hAnsiTheme="minorEastAsia"/>
          <w:sz w:val="24"/>
        </w:rPr>
        <w:t>0.5</w:t>
      </w:r>
      <w:r>
        <w:rPr>
          <w:rFonts w:eastAsiaTheme="minorEastAsia" w:hAnsiTheme="minorEastAsia" w:hint="eastAsia"/>
          <w:sz w:val="24"/>
        </w:rPr>
        <w:t>m</w:t>
      </w:r>
      <w:r>
        <w:rPr>
          <w:rFonts w:eastAsiaTheme="minorEastAsia" w:hAnsiTheme="minorEastAsia" w:hint="eastAsia"/>
          <w:sz w:val="24"/>
        </w:rPr>
        <w:t>，沟深</w:t>
      </w:r>
      <w:r>
        <w:rPr>
          <w:rFonts w:eastAsiaTheme="minorEastAsia" w:hAnsiTheme="minorEastAsia" w:hint="eastAsia"/>
          <w:sz w:val="24"/>
        </w:rPr>
        <w:t>1</w:t>
      </w:r>
      <w:r>
        <w:rPr>
          <w:rFonts w:eastAsiaTheme="minorEastAsia" w:hAnsiTheme="minorEastAsia"/>
          <w:sz w:val="24"/>
        </w:rPr>
        <w:t>.0</w:t>
      </w:r>
      <w:r>
        <w:rPr>
          <w:rFonts w:eastAsiaTheme="minorEastAsia" w:hAnsiTheme="minorEastAsia" w:hint="eastAsia"/>
          <w:sz w:val="24"/>
        </w:rPr>
        <w:t>m</w:t>
      </w:r>
      <w:r>
        <w:rPr>
          <w:rFonts w:eastAsiaTheme="minorEastAsia" w:hAnsiTheme="minorEastAsia" w:hint="eastAsia"/>
          <w:sz w:val="24"/>
        </w:rPr>
        <w:t>，内坡比</w:t>
      </w:r>
      <w:r>
        <w:rPr>
          <w:rFonts w:eastAsiaTheme="minorEastAsia" w:hAnsiTheme="minorEastAsia" w:hint="eastAsia"/>
          <w:sz w:val="24"/>
        </w:rPr>
        <w:t>1:</w:t>
      </w:r>
      <w:r>
        <w:rPr>
          <w:rFonts w:eastAsiaTheme="minorEastAsia" w:hAnsiTheme="minorEastAsia"/>
          <w:sz w:val="24"/>
        </w:rPr>
        <w:t>0.25</w:t>
      </w:r>
      <w:r>
        <w:rPr>
          <w:rFonts w:eastAsiaTheme="minorEastAsia" w:hAnsiTheme="minorEastAsia" w:hint="eastAsia"/>
          <w:sz w:val="24"/>
        </w:rPr>
        <w:t>，沟长</w:t>
      </w:r>
      <w:r>
        <w:rPr>
          <w:rFonts w:eastAsiaTheme="minorEastAsia" w:hAnsiTheme="minorEastAsia" w:hint="eastAsia"/>
          <w:sz w:val="24"/>
        </w:rPr>
        <w:t>4</w:t>
      </w:r>
      <w:r>
        <w:rPr>
          <w:rFonts w:eastAsiaTheme="minorEastAsia" w:hAnsiTheme="minorEastAsia"/>
          <w:sz w:val="24"/>
        </w:rPr>
        <w:t>60</w:t>
      </w:r>
      <w:r>
        <w:rPr>
          <w:rFonts w:eastAsiaTheme="minorEastAsia" w:hAnsiTheme="minorEastAsia" w:hint="eastAsia"/>
          <w:sz w:val="24"/>
        </w:rPr>
        <w:t>m</w:t>
      </w:r>
      <w:r>
        <w:rPr>
          <w:rFonts w:eastAsiaTheme="minorEastAsia" w:hAnsiTheme="minorEastAsia" w:hint="eastAsia"/>
          <w:sz w:val="24"/>
        </w:rPr>
        <w:t>。</w:t>
      </w:r>
      <w:bookmarkStart w:id="159" w:name="_Hlk534640674"/>
      <w:r>
        <w:rPr>
          <w:rFonts w:eastAsiaTheme="minorEastAsia" w:hAnsiTheme="minorEastAsia" w:hint="eastAsia"/>
          <w:sz w:val="24"/>
        </w:rPr>
        <w:t>在开挖边坡下方、边坡平台内侧布设排水沟，将坡面来水排至截水沟内，排水沟采用矩形断面，开挖边坡下方排水沟沟底宽</w:t>
      </w:r>
      <w:r>
        <w:rPr>
          <w:rFonts w:eastAsiaTheme="minorEastAsia" w:hAnsiTheme="minorEastAsia" w:hint="eastAsia"/>
          <w:sz w:val="24"/>
        </w:rPr>
        <w:t>0.8m</w:t>
      </w:r>
      <w:r>
        <w:rPr>
          <w:rFonts w:eastAsiaTheme="minorEastAsia" w:hAnsiTheme="minorEastAsia" w:hint="eastAsia"/>
          <w:sz w:val="24"/>
        </w:rPr>
        <w:t>，沟深</w:t>
      </w:r>
      <w:r>
        <w:rPr>
          <w:rFonts w:eastAsiaTheme="minorEastAsia" w:hAnsiTheme="minorEastAsia" w:hint="eastAsia"/>
          <w:sz w:val="24"/>
        </w:rPr>
        <w:t>0.8m</w:t>
      </w:r>
      <w:r>
        <w:rPr>
          <w:rFonts w:eastAsiaTheme="minorEastAsia" w:hAnsiTheme="minorEastAsia" w:hint="eastAsia"/>
          <w:sz w:val="24"/>
        </w:rPr>
        <w:t>，边坡平台内侧排水沟沟底</w:t>
      </w:r>
      <w:r>
        <w:rPr>
          <w:rFonts w:eastAsiaTheme="minorEastAsia" w:hAnsiTheme="minorEastAsia" w:hint="eastAsia"/>
          <w:sz w:val="24"/>
        </w:rPr>
        <w:lastRenderedPageBreak/>
        <w:t>宽</w:t>
      </w:r>
      <w:r>
        <w:rPr>
          <w:rFonts w:eastAsiaTheme="minorEastAsia" w:hAnsiTheme="minorEastAsia" w:hint="eastAsia"/>
          <w:sz w:val="24"/>
        </w:rPr>
        <w:t>0.5m</w:t>
      </w:r>
      <w:r>
        <w:rPr>
          <w:rFonts w:eastAsiaTheme="minorEastAsia" w:hAnsiTheme="minorEastAsia" w:hint="eastAsia"/>
          <w:sz w:val="24"/>
        </w:rPr>
        <w:t>，沟深</w:t>
      </w:r>
      <w:r>
        <w:rPr>
          <w:rFonts w:eastAsiaTheme="minorEastAsia" w:hAnsiTheme="minorEastAsia" w:hint="eastAsia"/>
          <w:sz w:val="24"/>
        </w:rPr>
        <w:t>0.5m</w:t>
      </w:r>
      <w:r>
        <w:rPr>
          <w:rFonts w:eastAsiaTheme="minorEastAsia" w:hAnsiTheme="minorEastAsia" w:hint="eastAsia"/>
          <w:sz w:val="24"/>
        </w:rPr>
        <w:t>，开挖边坡下方排水沟长</w:t>
      </w:r>
      <w:r>
        <w:rPr>
          <w:rFonts w:eastAsiaTheme="minorEastAsia" w:hAnsiTheme="minorEastAsia" w:hint="eastAsia"/>
          <w:sz w:val="24"/>
        </w:rPr>
        <w:t>390m</w:t>
      </w:r>
      <w:r>
        <w:rPr>
          <w:rFonts w:eastAsiaTheme="minorEastAsia" w:hAnsiTheme="minorEastAsia" w:hint="eastAsia"/>
          <w:sz w:val="24"/>
        </w:rPr>
        <w:t>，平台排水沟沟长</w:t>
      </w:r>
      <w:r>
        <w:rPr>
          <w:rFonts w:eastAsiaTheme="minorEastAsia" w:hAnsiTheme="minorEastAsia" w:hint="eastAsia"/>
          <w:sz w:val="24"/>
        </w:rPr>
        <w:t>700m</w:t>
      </w:r>
      <w:r>
        <w:rPr>
          <w:rFonts w:eastAsiaTheme="minorEastAsia" w:hAnsiTheme="minorEastAsia" w:hint="eastAsia"/>
          <w:sz w:val="24"/>
        </w:rPr>
        <w:t>。</w:t>
      </w:r>
    </w:p>
    <w:p w:rsidR="00C223F5" w:rsidRDefault="005860D5">
      <w:pPr>
        <w:autoSpaceDE w:val="0"/>
        <w:autoSpaceDN w:val="0"/>
        <w:spacing w:line="360" w:lineRule="auto"/>
        <w:ind w:firstLineChars="200" w:firstLine="480"/>
        <w:rPr>
          <w:rFonts w:eastAsiaTheme="minorEastAsia" w:hAnsiTheme="minorEastAsia"/>
          <w:sz w:val="24"/>
        </w:rPr>
      </w:pPr>
      <w:r>
        <w:rPr>
          <w:rFonts w:eastAsiaTheme="minorEastAsia" w:hAnsiTheme="minorEastAsia" w:hint="eastAsia"/>
          <w:sz w:val="24"/>
        </w:rPr>
        <w:t>在场内道路一侧布设排水沟，将场地内雨水排至雨水收集池，排水沟采用矩形断面，沟底宽</w:t>
      </w:r>
      <w:r>
        <w:rPr>
          <w:rFonts w:eastAsiaTheme="minorEastAsia" w:hAnsiTheme="minorEastAsia"/>
          <w:sz w:val="24"/>
        </w:rPr>
        <w:t>0.5</w:t>
      </w:r>
      <w:r>
        <w:rPr>
          <w:rFonts w:eastAsiaTheme="minorEastAsia" w:hAnsiTheme="minorEastAsia" w:hint="eastAsia"/>
          <w:sz w:val="24"/>
        </w:rPr>
        <w:t>m</w:t>
      </w:r>
      <w:r>
        <w:rPr>
          <w:rFonts w:eastAsiaTheme="minorEastAsia" w:hAnsiTheme="minorEastAsia" w:hint="eastAsia"/>
          <w:sz w:val="24"/>
        </w:rPr>
        <w:t>，沟深</w:t>
      </w:r>
      <w:r>
        <w:rPr>
          <w:rFonts w:eastAsiaTheme="minorEastAsia" w:hAnsiTheme="minorEastAsia"/>
          <w:sz w:val="24"/>
        </w:rPr>
        <w:t>0.5</w:t>
      </w:r>
      <w:r>
        <w:rPr>
          <w:rFonts w:eastAsiaTheme="minorEastAsia" w:hAnsiTheme="minorEastAsia" w:hint="eastAsia"/>
          <w:sz w:val="24"/>
        </w:rPr>
        <w:t>m</w:t>
      </w:r>
      <w:r>
        <w:rPr>
          <w:rFonts w:eastAsiaTheme="minorEastAsia" w:hAnsiTheme="minorEastAsia" w:hint="eastAsia"/>
          <w:sz w:val="24"/>
        </w:rPr>
        <w:t>，沟长</w:t>
      </w:r>
      <w:r>
        <w:rPr>
          <w:rFonts w:eastAsiaTheme="minorEastAsia" w:hAnsiTheme="minorEastAsia"/>
          <w:sz w:val="24"/>
        </w:rPr>
        <w:t>610</w:t>
      </w:r>
      <w:r>
        <w:rPr>
          <w:rFonts w:eastAsiaTheme="minorEastAsia" w:hAnsiTheme="minorEastAsia" w:hint="eastAsia"/>
          <w:sz w:val="24"/>
        </w:rPr>
        <w:t>m</w:t>
      </w:r>
      <w:r>
        <w:rPr>
          <w:rFonts w:eastAsiaTheme="minorEastAsia" w:hAnsiTheme="minorEastAsia" w:hint="eastAsia"/>
          <w:sz w:val="24"/>
        </w:rPr>
        <w:t>。</w:t>
      </w:r>
      <w:bookmarkEnd w:id="159"/>
      <w:r>
        <w:rPr>
          <w:rFonts w:eastAsiaTheme="minorEastAsia" w:hAnsiTheme="minorEastAsia" w:hint="eastAsia"/>
          <w:sz w:val="24"/>
        </w:rPr>
        <w:t>在场地内南侧生活污水处理站附近布设雨水收集池一个。</w:t>
      </w:r>
    </w:p>
    <w:p w:rsidR="00C223F5" w:rsidRDefault="005860D5" w:rsidP="004835BD">
      <w:pPr>
        <w:pStyle w:val="4"/>
        <w:spacing w:before="0" w:after="0" w:line="360" w:lineRule="auto"/>
        <w:ind w:firstLineChars="100" w:firstLine="240"/>
        <w:rPr>
          <w:szCs w:val="24"/>
        </w:rPr>
      </w:pPr>
      <w:r>
        <w:rPr>
          <w:rFonts w:hint="eastAsia"/>
          <w:szCs w:val="24"/>
        </w:rPr>
        <w:t>（三）工程占地</w:t>
      </w:r>
    </w:p>
    <w:p w:rsidR="00C223F5" w:rsidRDefault="005860D5">
      <w:pPr>
        <w:adjustRightInd w:val="0"/>
        <w:snapToGrid w:val="0"/>
        <w:spacing w:line="360" w:lineRule="auto"/>
        <w:ind w:firstLineChars="200" w:firstLine="480"/>
        <w:rPr>
          <w:bCs/>
          <w:sz w:val="24"/>
        </w:rPr>
      </w:pPr>
      <w:r>
        <w:rPr>
          <w:sz w:val="24"/>
        </w:rPr>
        <w:t>本</w:t>
      </w:r>
      <w:r>
        <w:rPr>
          <w:rFonts w:hint="eastAsia"/>
          <w:sz w:val="24"/>
        </w:rPr>
        <w:t>项目工程总占地面积为</w:t>
      </w:r>
      <w:r>
        <w:rPr>
          <w:rFonts w:hint="eastAsia"/>
          <w:sz w:val="24"/>
        </w:rPr>
        <w:t>11.51hm</w:t>
      </w:r>
      <w:r>
        <w:rPr>
          <w:rFonts w:hint="eastAsia"/>
          <w:sz w:val="24"/>
          <w:vertAlign w:val="superscript"/>
        </w:rPr>
        <w:t>2</w:t>
      </w:r>
      <w:r>
        <w:rPr>
          <w:rFonts w:hint="eastAsia"/>
          <w:sz w:val="24"/>
        </w:rPr>
        <w:t>，其中永久</w:t>
      </w:r>
      <w:r>
        <w:rPr>
          <w:sz w:val="24"/>
        </w:rPr>
        <w:t>占地面积</w:t>
      </w:r>
      <w:r>
        <w:rPr>
          <w:rFonts w:hint="eastAsia"/>
          <w:sz w:val="24"/>
        </w:rPr>
        <w:t>8.23</w:t>
      </w:r>
      <w:r>
        <w:rPr>
          <w:sz w:val="24"/>
        </w:rPr>
        <w:t>hm</w:t>
      </w:r>
      <w:r>
        <w:rPr>
          <w:sz w:val="24"/>
          <w:vertAlign w:val="superscript"/>
        </w:rPr>
        <w:t>2</w:t>
      </w:r>
      <w:r>
        <w:rPr>
          <w:sz w:val="24"/>
        </w:rPr>
        <w:t>，</w:t>
      </w:r>
      <w:r>
        <w:rPr>
          <w:bCs/>
          <w:sz w:val="24"/>
        </w:rPr>
        <w:t>矿井各场地占地面积详见表</w:t>
      </w:r>
      <w:r>
        <w:rPr>
          <w:rFonts w:hint="eastAsia"/>
          <w:bCs/>
          <w:sz w:val="24"/>
        </w:rPr>
        <w:t>2.1.2</w:t>
      </w:r>
      <w:r>
        <w:rPr>
          <w:bCs/>
          <w:sz w:val="24"/>
        </w:rPr>
        <w:t>-</w:t>
      </w:r>
      <w:r>
        <w:rPr>
          <w:rFonts w:hint="eastAsia"/>
          <w:bCs/>
          <w:sz w:val="24"/>
        </w:rPr>
        <w:t>4</w:t>
      </w:r>
      <w:r>
        <w:rPr>
          <w:bCs/>
          <w:sz w:val="24"/>
        </w:rPr>
        <w:t>。</w:t>
      </w:r>
    </w:p>
    <w:p w:rsidR="00C223F5" w:rsidRDefault="005860D5" w:rsidP="004835BD">
      <w:pPr>
        <w:pStyle w:val="4"/>
        <w:spacing w:before="0" w:after="0" w:line="360" w:lineRule="auto"/>
        <w:ind w:firstLineChars="100" w:firstLine="240"/>
        <w:rPr>
          <w:szCs w:val="24"/>
        </w:rPr>
      </w:pPr>
      <w:r>
        <w:rPr>
          <w:rFonts w:hint="eastAsia"/>
          <w:szCs w:val="24"/>
        </w:rPr>
        <w:t>2.1.2.6</w:t>
      </w:r>
      <w:r>
        <w:rPr>
          <w:rFonts w:hint="eastAsia"/>
          <w:szCs w:val="24"/>
        </w:rPr>
        <w:t>劳动定员及生产效率</w:t>
      </w:r>
    </w:p>
    <w:p w:rsidR="00C223F5" w:rsidRDefault="005860D5">
      <w:pPr>
        <w:spacing w:line="360" w:lineRule="auto"/>
        <w:ind w:firstLineChars="200" w:firstLine="482"/>
        <w:rPr>
          <w:b/>
          <w:sz w:val="24"/>
        </w:rPr>
      </w:pPr>
      <w:r>
        <w:rPr>
          <w:b/>
          <w:sz w:val="24"/>
        </w:rPr>
        <w:t>（</w:t>
      </w:r>
      <w:r>
        <w:rPr>
          <w:b/>
          <w:sz w:val="24"/>
        </w:rPr>
        <w:t>1</w:t>
      </w:r>
      <w:r>
        <w:rPr>
          <w:b/>
          <w:sz w:val="24"/>
        </w:rPr>
        <w:t>）工作制度</w:t>
      </w:r>
    </w:p>
    <w:p w:rsidR="00C223F5" w:rsidRPr="00925B84" w:rsidRDefault="005860D5">
      <w:pPr>
        <w:pStyle w:val="affffff8"/>
        <w:adjustRightInd w:val="0"/>
        <w:snapToGrid w:val="0"/>
        <w:ind w:firstLine="480"/>
        <w:rPr>
          <w:rFonts w:ascii="Times New Roman" w:eastAsia="宋体" w:hAnsi="宋体"/>
          <w:color w:val="auto"/>
          <w:sz w:val="24"/>
        </w:rPr>
      </w:pPr>
      <w:r>
        <w:rPr>
          <w:rFonts w:ascii="Times New Roman" w:eastAsiaTheme="minorEastAsia" w:hAnsiTheme="minorEastAsia" w:hint="eastAsia"/>
          <w:color w:val="auto"/>
          <w:sz w:val="24"/>
        </w:rPr>
        <w:t>地面选煤厂年工作日为</w:t>
      </w:r>
      <w:r>
        <w:rPr>
          <w:rFonts w:ascii="Times New Roman" w:eastAsiaTheme="minorEastAsia" w:hAnsiTheme="minorEastAsia" w:hint="eastAsia"/>
          <w:color w:val="auto"/>
          <w:sz w:val="24"/>
        </w:rPr>
        <w:t>330d</w:t>
      </w:r>
      <w:r>
        <w:rPr>
          <w:rFonts w:ascii="Times New Roman" w:eastAsiaTheme="minorEastAsia" w:hAnsiTheme="minorEastAsia" w:hint="eastAsia"/>
          <w:color w:val="auto"/>
          <w:sz w:val="24"/>
        </w:rPr>
        <w:t>，采用“三、八”工作制，两班生产，一班检修；矿井年工作日为</w:t>
      </w:r>
      <w:r>
        <w:rPr>
          <w:rFonts w:ascii="Times New Roman" w:eastAsiaTheme="minorEastAsia" w:hAnsiTheme="minorEastAsia" w:hint="eastAsia"/>
          <w:color w:val="auto"/>
          <w:sz w:val="24"/>
        </w:rPr>
        <w:t>330d</w:t>
      </w:r>
      <w:r>
        <w:rPr>
          <w:rFonts w:ascii="Times New Roman" w:eastAsiaTheme="minorEastAsia" w:hAnsiTheme="minorEastAsia" w:hint="eastAsia"/>
          <w:color w:val="auto"/>
          <w:sz w:val="24"/>
        </w:rPr>
        <w:t>，井下采用“四、六”工作制，三班生产，一班检修，每天提煤时间</w:t>
      </w:r>
      <w:r>
        <w:rPr>
          <w:rFonts w:ascii="Times New Roman" w:eastAsiaTheme="minorEastAsia" w:hAnsiTheme="minorEastAsia" w:hint="eastAsia"/>
          <w:color w:val="auto"/>
          <w:sz w:val="24"/>
        </w:rPr>
        <w:t>18h</w:t>
      </w:r>
      <w:r>
        <w:rPr>
          <w:rFonts w:ascii="Times New Roman" w:eastAsiaTheme="minorEastAsia" w:hAnsiTheme="minorEastAsia" w:hint="eastAsia"/>
          <w:color w:val="auto"/>
          <w:sz w:val="24"/>
        </w:rPr>
        <w:t>。</w:t>
      </w:r>
    </w:p>
    <w:p w:rsidR="00C223F5" w:rsidRPr="00925B84" w:rsidRDefault="005860D5">
      <w:pPr>
        <w:tabs>
          <w:tab w:val="left" w:pos="6078"/>
        </w:tabs>
        <w:jc w:val="center"/>
        <w:rPr>
          <w:b/>
          <w:sz w:val="24"/>
          <w:vertAlign w:val="superscript"/>
        </w:rPr>
      </w:pPr>
      <w:r w:rsidRPr="00925B84">
        <w:rPr>
          <w:b/>
          <w:sz w:val="24"/>
        </w:rPr>
        <w:t>表</w:t>
      </w:r>
      <w:r w:rsidRPr="00925B84">
        <w:rPr>
          <w:rFonts w:hint="eastAsia"/>
          <w:b/>
          <w:sz w:val="24"/>
        </w:rPr>
        <w:t xml:space="preserve">2.1.2-4   </w:t>
      </w:r>
      <w:r w:rsidRPr="00925B84">
        <w:rPr>
          <w:rFonts w:hint="eastAsia"/>
          <w:b/>
          <w:sz w:val="24"/>
        </w:rPr>
        <w:t>矿井各场地占地面积表</w:t>
      </w:r>
      <w:r w:rsidRPr="00925B84">
        <w:rPr>
          <w:rFonts w:hint="eastAsia"/>
          <w:b/>
          <w:sz w:val="24"/>
        </w:rPr>
        <w:t xml:space="preserve">   </w:t>
      </w:r>
      <w:r w:rsidRPr="00925B84">
        <w:rPr>
          <w:rFonts w:hint="eastAsia"/>
          <w:b/>
          <w:sz w:val="24"/>
        </w:rPr>
        <w:t>单位</w:t>
      </w:r>
      <w:r w:rsidRPr="00925B84">
        <w:rPr>
          <w:b/>
          <w:sz w:val="24"/>
        </w:rPr>
        <w:t>：</w:t>
      </w:r>
      <w:r w:rsidRPr="00925B84">
        <w:rPr>
          <w:b/>
          <w:sz w:val="24"/>
        </w:rPr>
        <w:t>hm</w:t>
      </w:r>
      <w:r w:rsidRPr="00925B84">
        <w:rPr>
          <w:b/>
          <w:sz w:val="24"/>
          <w:vertAlign w:val="superscript"/>
        </w:rPr>
        <w:t>2</w:t>
      </w:r>
    </w:p>
    <w:tbl>
      <w:tblPr>
        <w:tblW w:w="8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1203"/>
        <w:gridCol w:w="964"/>
        <w:gridCol w:w="964"/>
        <w:gridCol w:w="719"/>
        <w:gridCol w:w="1201"/>
        <w:gridCol w:w="487"/>
        <w:gridCol w:w="1201"/>
        <w:gridCol w:w="487"/>
        <w:gridCol w:w="547"/>
      </w:tblGrid>
      <w:tr w:rsidR="00C223F5" w:rsidRPr="00925B84" w:rsidTr="007A12A6">
        <w:trPr>
          <w:trHeight w:val="113"/>
          <w:jc w:val="center"/>
        </w:trPr>
        <w:tc>
          <w:tcPr>
            <w:tcW w:w="2179" w:type="dxa"/>
            <w:gridSpan w:val="2"/>
            <w:vMerge w:val="restart"/>
            <w:shd w:val="clear" w:color="auto" w:fill="auto"/>
            <w:tcMar>
              <w:left w:w="0" w:type="dxa"/>
              <w:right w:w="0" w:type="dxa"/>
            </w:tcMar>
            <w:vAlign w:val="center"/>
          </w:tcPr>
          <w:p w:rsidR="00C223F5" w:rsidRPr="00925B84" w:rsidRDefault="005860D5">
            <w:pPr>
              <w:spacing w:line="320" w:lineRule="exact"/>
              <w:jc w:val="center"/>
            </w:pPr>
            <w:r w:rsidRPr="00925B84">
              <w:t>项目组成</w:t>
            </w:r>
          </w:p>
        </w:tc>
        <w:tc>
          <w:tcPr>
            <w:tcW w:w="4335" w:type="dxa"/>
            <w:gridSpan w:val="5"/>
            <w:shd w:val="clear" w:color="auto" w:fill="auto"/>
            <w:tcMar>
              <w:left w:w="0" w:type="dxa"/>
              <w:right w:w="0" w:type="dxa"/>
            </w:tcMar>
            <w:vAlign w:val="center"/>
          </w:tcPr>
          <w:p w:rsidR="00C223F5" w:rsidRPr="00925B84" w:rsidRDefault="005860D5">
            <w:pPr>
              <w:spacing w:line="320" w:lineRule="exact"/>
              <w:jc w:val="center"/>
            </w:pPr>
            <w:r w:rsidRPr="00925B84">
              <w:t>永久占地</w:t>
            </w:r>
          </w:p>
        </w:tc>
        <w:tc>
          <w:tcPr>
            <w:tcW w:w="1688" w:type="dxa"/>
            <w:gridSpan w:val="2"/>
            <w:shd w:val="clear" w:color="auto" w:fill="auto"/>
            <w:tcMar>
              <w:left w:w="0" w:type="dxa"/>
              <w:right w:w="0" w:type="dxa"/>
            </w:tcMar>
            <w:vAlign w:val="center"/>
          </w:tcPr>
          <w:p w:rsidR="00C223F5" w:rsidRPr="00925B84" w:rsidRDefault="005860D5">
            <w:pPr>
              <w:spacing w:line="320" w:lineRule="exact"/>
              <w:jc w:val="center"/>
            </w:pPr>
            <w:r w:rsidRPr="00925B84">
              <w:t>临时占地</w:t>
            </w:r>
          </w:p>
        </w:tc>
        <w:tc>
          <w:tcPr>
            <w:tcW w:w="547" w:type="dxa"/>
            <w:vMerge w:val="restart"/>
            <w:shd w:val="clear" w:color="auto" w:fill="auto"/>
            <w:tcMar>
              <w:left w:w="0" w:type="dxa"/>
              <w:right w:w="0" w:type="dxa"/>
            </w:tcMar>
            <w:vAlign w:val="center"/>
          </w:tcPr>
          <w:p w:rsidR="00C223F5" w:rsidRPr="00925B84" w:rsidRDefault="005860D5">
            <w:pPr>
              <w:spacing w:line="320" w:lineRule="exact"/>
              <w:jc w:val="center"/>
            </w:pPr>
            <w:r w:rsidRPr="00925B84">
              <w:t>合计</w:t>
            </w:r>
          </w:p>
        </w:tc>
      </w:tr>
      <w:tr w:rsidR="00C223F5" w:rsidRPr="00925B84" w:rsidTr="007A12A6">
        <w:trPr>
          <w:trHeight w:val="113"/>
          <w:jc w:val="center"/>
        </w:trPr>
        <w:tc>
          <w:tcPr>
            <w:tcW w:w="2179" w:type="dxa"/>
            <w:gridSpan w:val="2"/>
            <w:vMerge/>
            <w:tcMar>
              <w:left w:w="0" w:type="dxa"/>
              <w:right w:w="0" w:type="dxa"/>
            </w:tcMar>
            <w:vAlign w:val="center"/>
          </w:tcPr>
          <w:p w:rsidR="00C223F5" w:rsidRPr="00925B84" w:rsidRDefault="00C223F5">
            <w:pPr>
              <w:spacing w:line="320" w:lineRule="exact"/>
              <w:jc w:val="center"/>
            </w:pPr>
          </w:p>
        </w:tc>
        <w:tc>
          <w:tcPr>
            <w:tcW w:w="964" w:type="dxa"/>
            <w:shd w:val="clear" w:color="auto" w:fill="auto"/>
            <w:tcMar>
              <w:left w:w="0" w:type="dxa"/>
              <w:right w:w="0" w:type="dxa"/>
            </w:tcMar>
            <w:vAlign w:val="center"/>
          </w:tcPr>
          <w:p w:rsidR="00C223F5" w:rsidRPr="00925B84" w:rsidRDefault="005860D5">
            <w:pPr>
              <w:spacing w:line="320" w:lineRule="exact"/>
              <w:jc w:val="center"/>
            </w:pPr>
            <w:r w:rsidRPr="00925B84">
              <w:t>工矿用地</w:t>
            </w:r>
          </w:p>
        </w:tc>
        <w:tc>
          <w:tcPr>
            <w:tcW w:w="964" w:type="dxa"/>
            <w:shd w:val="clear" w:color="auto" w:fill="auto"/>
            <w:tcMar>
              <w:left w:w="0" w:type="dxa"/>
              <w:right w:w="0" w:type="dxa"/>
            </w:tcMar>
            <w:vAlign w:val="center"/>
          </w:tcPr>
          <w:p w:rsidR="00C223F5" w:rsidRPr="00925B84" w:rsidRDefault="005860D5">
            <w:pPr>
              <w:spacing w:line="320" w:lineRule="exact"/>
              <w:jc w:val="center"/>
            </w:pPr>
            <w:r w:rsidRPr="00925B84">
              <w:t>农村道路</w:t>
            </w:r>
          </w:p>
        </w:tc>
        <w:tc>
          <w:tcPr>
            <w:tcW w:w="719" w:type="dxa"/>
            <w:shd w:val="clear" w:color="auto" w:fill="auto"/>
            <w:tcMar>
              <w:left w:w="0" w:type="dxa"/>
              <w:right w:w="0" w:type="dxa"/>
            </w:tcMar>
            <w:vAlign w:val="center"/>
          </w:tcPr>
          <w:p w:rsidR="00C223F5" w:rsidRPr="00925B84" w:rsidRDefault="007A12A6">
            <w:pPr>
              <w:spacing w:line="320" w:lineRule="exact"/>
              <w:jc w:val="center"/>
            </w:pPr>
            <w:r w:rsidRPr="00925B84">
              <w:rPr>
                <w:rFonts w:hint="eastAsia"/>
              </w:rPr>
              <w:t>灌林地</w:t>
            </w:r>
          </w:p>
        </w:tc>
        <w:tc>
          <w:tcPr>
            <w:tcW w:w="1201" w:type="dxa"/>
            <w:shd w:val="clear" w:color="auto" w:fill="auto"/>
            <w:tcMar>
              <w:left w:w="0" w:type="dxa"/>
              <w:right w:w="0" w:type="dxa"/>
            </w:tcMar>
            <w:vAlign w:val="center"/>
          </w:tcPr>
          <w:p w:rsidR="00C223F5" w:rsidRPr="00925B84" w:rsidRDefault="005860D5">
            <w:pPr>
              <w:spacing w:line="320" w:lineRule="exact"/>
              <w:jc w:val="center"/>
            </w:pPr>
            <w:r w:rsidRPr="00925B84">
              <w:t>天然牧草地</w:t>
            </w:r>
          </w:p>
        </w:tc>
        <w:tc>
          <w:tcPr>
            <w:tcW w:w="487" w:type="dxa"/>
            <w:shd w:val="clear" w:color="auto" w:fill="auto"/>
            <w:tcMar>
              <w:left w:w="0" w:type="dxa"/>
              <w:right w:w="0" w:type="dxa"/>
            </w:tcMar>
            <w:vAlign w:val="center"/>
          </w:tcPr>
          <w:p w:rsidR="00C223F5" w:rsidRPr="00925B84" w:rsidRDefault="005860D5">
            <w:pPr>
              <w:spacing w:line="320" w:lineRule="exact"/>
              <w:jc w:val="center"/>
            </w:pPr>
            <w:r w:rsidRPr="00925B84">
              <w:t>小计</w:t>
            </w:r>
          </w:p>
        </w:tc>
        <w:tc>
          <w:tcPr>
            <w:tcW w:w="1201" w:type="dxa"/>
            <w:shd w:val="clear" w:color="auto" w:fill="auto"/>
            <w:tcMar>
              <w:left w:w="0" w:type="dxa"/>
              <w:right w:w="0" w:type="dxa"/>
            </w:tcMar>
            <w:vAlign w:val="center"/>
          </w:tcPr>
          <w:p w:rsidR="00C223F5" w:rsidRPr="00925B84" w:rsidRDefault="005860D5">
            <w:pPr>
              <w:spacing w:line="320" w:lineRule="exact"/>
              <w:jc w:val="center"/>
            </w:pPr>
            <w:r w:rsidRPr="00925B84">
              <w:t>天然牧草地</w:t>
            </w:r>
          </w:p>
        </w:tc>
        <w:tc>
          <w:tcPr>
            <w:tcW w:w="487" w:type="dxa"/>
            <w:shd w:val="clear" w:color="auto" w:fill="auto"/>
            <w:tcMar>
              <w:left w:w="0" w:type="dxa"/>
              <w:right w:w="0" w:type="dxa"/>
            </w:tcMar>
            <w:vAlign w:val="center"/>
          </w:tcPr>
          <w:p w:rsidR="00C223F5" w:rsidRPr="00925B84" w:rsidRDefault="005860D5">
            <w:pPr>
              <w:spacing w:line="320" w:lineRule="exact"/>
              <w:jc w:val="center"/>
            </w:pPr>
            <w:r w:rsidRPr="00925B84">
              <w:t>小计</w:t>
            </w:r>
          </w:p>
        </w:tc>
        <w:tc>
          <w:tcPr>
            <w:tcW w:w="547" w:type="dxa"/>
            <w:vMerge/>
            <w:tcMar>
              <w:left w:w="0" w:type="dxa"/>
              <w:right w:w="0" w:type="dxa"/>
            </w:tcMar>
            <w:vAlign w:val="center"/>
          </w:tcPr>
          <w:p w:rsidR="00C223F5" w:rsidRPr="00925B84" w:rsidRDefault="00C223F5">
            <w:pPr>
              <w:spacing w:line="320" w:lineRule="exact"/>
              <w:jc w:val="center"/>
            </w:pPr>
          </w:p>
        </w:tc>
      </w:tr>
      <w:tr w:rsidR="00C223F5" w:rsidRPr="00925B84" w:rsidTr="007A12A6">
        <w:trPr>
          <w:trHeight w:val="113"/>
          <w:jc w:val="center"/>
        </w:trPr>
        <w:tc>
          <w:tcPr>
            <w:tcW w:w="2179" w:type="dxa"/>
            <w:gridSpan w:val="2"/>
            <w:shd w:val="clear" w:color="auto" w:fill="auto"/>
            <w:tcMar>
              <w:left w:w="0" w:type="dxa"/>
              <w:right w:w="0" w:type="dxa"/>
            </w:tcMar>
            <w:vAlign w:val="center"/>
          </w:tcPr>
          <w:p w:rsidR="00C223F5" w:rsidRPr="00925B84" w:rsidRDefault="005860D5">
            <w:pPr>
              <w:spacing w:line="320" w:lineRule="exact"/>
              <w:jc w:val="center"/>
            </w:pPr>
            <w:bookmarkStart w:id="160" w:name="_Hlk534791204"/>
            <w:r w:rsidRPr="00925B84">
              <w:t>工业场地</w:t>
            </w:r>
          </w:p>
        </w:tc>
        <w:tc>
          <w:tcPr>
            <w:tcW w:w="964" w:type="dxa"/>
            <w:shd w:val="clear" w:color="auto" w:fill="auto"/>
            <w:tcMar>
              <w:left w:w="0" w:type="dxa"/>
              <w:right w:w="0" w:type="dxa"/>
            </w:tcMar>
            <w:vAlign w:val="center"/>
          </w:tcPr>
          <w:p w:rsidR="00C223F5" w:rsidRPr="00925B84" w:rsidRDefault="005860D5">
            <w:pPr>
              <w:spacing w:line="320" w:lineRule="exact"/>
              <w:jc w:val="center"/>
            </w:pPr>
            <w:r w:rsidRPr="00925B84">
              <w:t>2.88</w:t>
            </w:r>
          </w:p>
        </w:tc>
        <w:tc>
          <w:tcPr>
            <w:tcW w:w="964"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719" w:type="dxa"/>
            <w:shd w:val="clear" w:color="auto" w:fill="auto"/>
            <w:tcMar>
              <w:left w:w="0" w:type="dxa"/>
              <w:right w:w="0" w:type="dxa"/>
            </w:tcMar>
            <w:vAlign w:val="center"/>
          </w:tcPr>
          <w:p w:rsidR="00C223F5" w:rsidRPr="00925B84" w:rsidRDefault="005860D5">
            <w:pPr>
              <w:spacing w:line="320" w:lineRule="exact"/>
              <w:jc w:val="center"/>
            </w:pPr>
            <w:r w:rsidRPr="00925B84">
              <w:t>0.58</w:t>
            </w:r>
          </w:p>
        </w:tc>
        <w:tc>
          <w:tcPr>
            <w:tcW w:w="1201" w:type="dxa"/>
            <w:shd w:val="clear" w:color="auto" w:fill="auto"/>
            <w:tcMar>
              <w:left w:w="0" w:type="dxa"/>
              <w:right w:w="0" w:type="dxa"/>
            </w:tcMar>
            <w:vAlign w:val="center"/>
          </w:tcPr>
          <w:p w:rsidR="00C223F5" w:rsidRPr="00925B84" w:rsidRDefault="005860D5">
            <w:pPr>
              <w:spacing w:line="320" w:lineRule="exact"/>
              <w:jc w:val="center"/>
            </w:pPr>
            <w:r w:rsidRPr="00925B84">
              <w:t>3.04</w:t>
            </w:r>
          </w:p>
        </w:tc>
        <w:tc>
          <w:tcPr>
            <w:tcW w:w="487" w:type="dxa"/>
            <w:shd w:val="clear" w:color="auto" w:fill="auto"/>
            <w:tcMar>
              <w:left w:w="0" w:type="dxa"/>
              <w:right w:w="0" w:type="dxa"/>
            </w:tcMar>
            <w:vAlign w:val="center"/>
          </w:tcPr>
          <w:p w:rsidR="00C223F5" w:rsidRPr="00925B84" w:rsidRDefault="005860D5">
            <w:pPr>
              <w:spacing w:line="320" w:lineRule="exact"/>
              <w:jc w:val="center"/>
            </w:pPr>
            <w:r w:rsidRPr="00925B84">
              <w:t>6.50</w:t>
            </w:r>
          </w:p>
        </w:tc>
        <w:tc>
          <w:tcPr>
            <w:tcW w:w="1201"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487"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547" w:type="dxa"/>
            <w:shd w:val="clear" w:color="auto" w:fill="auto"/>
            <w:tcMar>
              <w:left w:w="0" w:type="dxa"/>
              <w:right w:w="0" w:type="dxa"/>
            </w:tcMar>
            <w:vAlign w:val="center"/>
          </w:tcPr>
          <w:p w:rsidR="00C223F5" w:rsidRPr="00925B84" w:rsidRDefault="005860D5">
            <w:pPr>
              <w:spacing w:line="320" w:lineRule="exact"/>
              <w:jc w:val="center"/>
            </w:pPr>
            <w:r w:rsidRPr="00925B84">
              <w:t>6.50</w:t>
            </w:r>
          </w:p>
        </w:tc>
      </w:tr>
      <w:tr w:rsidR="00C223F5" w:rsidRPr="00925B84" w:rsidTr="007A12A6">
        <w:trPr>
          <w:trHeight w:val="113"/>
          <w:jc w:val="center"/>
        </w:trPr>
        <w:tc>
          <w:tcPr>
            <w:tcW w:w="2179" w:type="dxa"/>
            <w:gridSpan w:val="2"/>
            <w:shd w:val="clear" w:color="auto" w:fill="auto"/>
            <w:tcMar>
              <w:left w:w="0" w:type="dxa"/>
              <w:right w:w="0" w:type="dxa"/>
            </w:tcMar>
            <w:vAlign w:val="center"/>
          </w:tcPr>
          <w:p w:rsidR="00C223F5" w:rsidRPr="00925B84" w:rsidRDefault="005860D5">
            <w:pPr>
              <w:spacing w:line="320" w:lineRule="exact"/>
              <w:jc w:val="center"/>
            </w:pPr>
            <w:r w:rsidRPr="00925B84">
              <w:rPr>
                <w:rFonts w:hint="eastAsia"/>
              </w:rPr>
              <w:t>炸药库</w:t>
            </w:r>
          </w:p>
        </w:tc>
        <w:tc>
          <w:tcPr>
            <w:tcW w:w="964" w:type="dxa"/>
            <w:shd w:val="clear" w:color="auto" w:fill="auto"/>
            <w:tcMar>
              <w:left w:w="0" w:type="dxa"/>
              <w:right w:w="0" w:type="dxa"/>
            </w:tcMar>
            <w:vAlign w:val="center"/>
          </w:tcPr>
          <w:p w:rsidR="00C223F5" w:rsidRPr="00925B84" w:rsidRDefault="005860D5">
            <w:pPr>
              <w:spacing w:line="320" w:lineRule="exact"/>
              <w:jc w:val="center"/>
            </w:pPr>
            <w:r w:rsidRPr="00925B84">
              <w:t>0.15</w:t>
            </w:r>
          </w:p>
        </w:tc>
        <w:tc>
          <w:tcPr>
            <w:tcW w:w="964"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719"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1201"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487" w:type="dxa"/>
            <w:shd w:val="clear" w:color="auto" w:fill="auto"/>
            <w:tcMar>
              <w:left w:w="0" w:type="dxa"/>
              <w:right w:w="0" w:type="dxa"/>
            </w:tcMar>
            <w:vAlign w:val="center"/>
          </w:tcPr>
          <w:p w:rsidR="00C223F5" w:rsidRPr="00925B84" w:rsidRDefault="005860D5">
            <w:pPr>
              <w:spacing w:line="320" w:lineRule="exact"/>
              <w:jc w:val="center"/>
            </w:pPr>
            <w:r w:rsidRPr="00925B84">
              <w:t>0.15</w:t>
            </w:r>
          </w:p>
        </w:tc>
        <w:tc>
          <w:tcPr>
            <w:tcW w:w="1201"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487"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547" w:type="dxa"/>
            <w:shd w:val="clear" w:color="auto" w:fill="auto"/>
            <w:tcMar>
              <w:left w:w="0" w:type="dxa"/>
              <w:right w:w="0" w:type="dxa"/>
            </w:tcMar>
            <w:vAlign w:val="center"/>
          </w:tcPr>
          <w:p w:rsidR="00C223F5" w:rsidRPr="00925B84" w:rsidRDefault="005860D5">
            <w:pPr>
              <w:spacing w:line="320" w:lineRule="exact"/>
              <w:jc w:val="center"/>
            </w:pPr>
            <w:r w:rsidRPr="00925B84">
              <w:t>0.15</w:t>
            </w:r>
          </w:p>
        </w:tc>
      </w:tr>
      <w:tr w:rsidR="00C223F5" w:rsidRPr="00925B84" w:rsidTr="007A12A6">
        <w:trPr>
          <w:trHeight w:val="113"/>
          <w:jc w:val="center"/>
        </w:trPr>
        <w:tc>
          <w:tcPr>
            <w:tcW w:w="976" w:type="dxa"/>
            <w:shd w:val="clear" w:color="auto" w:fill="auto"/>
            <w:tcMar>
              <w:left w:w="0" w:type="dxa"/>
              <w:right w:w="0" w:type="dxa"/>
            </w:tcMar>
            <w:vAlign w:val="center"/>
          </w:tcPr>
          <w:p w:rsidR="00C223F5" w:rsidRPr="00925B84" w:rsidRDefault="005860D5">
            <w:pPr>
              <w:spacing w:line="320" w:lineRule="exact"/>
              <w:jc w:val="center"/>
            </w:pPr>
            <w:r w:rsidRPr="00925B84">
              <w:t>场外道路</w:t>
            </w:r>
          </w:p>
        </w:tc>
        <w:tc>
          <w:tcPr>
            <w:tcW w:w="1203" w:type="dxa"/>
            <w:shd w:val="clear" w:color="auto" w:fill="auto"/>
            <w:tcMar>
              <w:left w:w="0" w:type="dxa"/>
              <w:right w:w="0" w:type="dxa"/>
            </w:tcMar>
            <w:vAlign w:val="center"/>
          </w:tcPr>
          <w:p w:rsidR="00C223F5" w:rsidRPr="00925B84" w:rsidRDefault="005860D5">
            <w:pPr>
              <w:spacing w:line="320" w:lineRule="exact"/>
              <w:jc w:val="center"/>
            </w:pPr>
            <w:r w:rsidRPr="00925B84">
              <w:t>炸药库道路</w:t>
            </w:r>
          </w:p>
        </w:tc>
        <w:tc>
          <w:tcPr>
            <w:tcW w:w="964"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964" w:type="dxa"/>
            <w:shd w:val="clear" w:color="auto" w:fill="auto"/>
            <w:tcMar>
              <w:left w:w="0" w:type="dxa"/>
              <w:right w:w="0" w:type="dxa"/>
            </w:tcMar>
            <w:vAlign w:val="center"/>
          </w:tcPr>
          <w:p w:rsidR="00C223F5" w:rsidRPr="00925B84" w:rsidRDefault="005860D5">
            <w:pPr>
              <w:spacing w:line="320" w:lineRule="exact"/>
              <w:jc w:val="center"/>
            </w:pPr>
            <w:r w:rsidRPr="00925B84">
              <w:t>0.40</w:t>
            </w:r>
          </w:p>
        </w:tc>
        <w:tc>
          <w:tcPr>
            <w:tcW w:w="719"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1201" w:type="dxa"/>
            <w:shd w:val="clear" w:color="auto" w:fill="auto"/>
            <w:tcMar>
              <w:left w:w="0" w:type="dxa"/>
              <w:right w:w="0" w:type="dxa"/>
            </w:tcMar>
            <w:vAlign w:val="center"/>
          </w:tcPr>
          <w:p w:rsidR="00C223F5" w:rsidRPr="00925B84" w:rsidRDefault="005860D5">
            <w:pPr>
              <w:spacing w:line="320" w:lineRule="exact"/>
              <w:jc w:val="center"/>
            </w:pPr>
            <w:r w:rsidRPr="00925B84">
              <w:t>0.81</w:t>
            </w:r>
          </w:p>
        </w:tc>
        <w:tc>
          <w:tcPr>
            <w:tcW w:w="487" w:type="dxa"/>
            <w:shd w:val="clear" w:color="auto" w:fill="auto"/>
            <w:tcMar>
              <w:left w:w="0" w:type="dxa"/>
              <w:right w:w="0" w:type="dxa"/>
            </w:tcMar>
            <w:vAlign w:val="center"/>
          </w:tcPr>
          <w:p w:rsidR="00C223F5" w:rsidRPr="00925B84" w:rsidRDefault="005860D5">
            <w:pPr>
              <w:spacing w:line="320" w:lineRule="exact"/>
              <w:jc w:val="center"/>
            </w:pPr>
            <w:r w:rsidRPr="00925B84">
              <w:t>1.21</w:t>
            </w:r>
          </w:p>
        </w:tc>
        <w:tc>
          <w:tcPr>
            <w:tcW w:w="1201"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487"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547" w:type="dxa"/>
            <w:shd w:val="clear" w:color="auto" w:fill="auto"/>
            <w:tcMar>
              <w:left w:w="0" w:type="dxa"/>
              <w:right w:w="0" w:type="dxa"/>
            </w:tcMar>
            <w:vAlign w:val="center"/>
          </w:tcPr>
          <w:p w:rsidR="00C223F5" w:rsidRPr="00925B84" w:rsidRDefault="005860D5">
            <w:pPr>
              <w:spacing w:line="320" w:lineRule="exact"/>
              <w:jc w:val="center"/>
            </w:pPr>
            <w:r w:rsidRPr="00925B84">
              <w:t>1.21</w:t>
            </w:r>
          </w:p>
        </w:tc>
      </w:tr>
      <w:tr w:rsidR="00C223F5" w:rsidRPr="00925B84" w:rsidTr="007A12A6">
        <w:trPr>
          <w:trHeight w:val="113"/>
          <w:jc w:val="center"/>
        </w:trPr>
        <w:tc>
          <w:tcPr>
            <w:tcW w:w="2179" w:type="dxa"/>
            <w:gridSpan w:val="2"/>
            <w:shd w:val="clear" w:color="auto" w:fill="auto"/>
            <w:tcMar>
              <w:left w:w="0" w:type="dxa"/>
              <w:right w:w="0" w:type="dxa"/>
            </w:tcMar>
            <w:vAlign w:val="center"/>
          </w:tcPr>
          <w:p w:rsidR="00C223F5" w:rsidRPr="00925B84" w:rsidRDefault="005860D5">
            <w:pPr>
              <w:spacing w:line="320" w:lineRule="exact"/>
              <w:jc w:val="center"/>
            </w:pPr>
            <w:r w:rsidRPr="00925B84">
              <w:t>输电及通讯线路</w:t>
            </w:r>
          </w:p>
        </w:tc>
        <w:tc>
          <w:tcPr>
            <w:tcW w:w="964"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964"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719" w:type="dxa"/>
            <w:shd w:val="clear" w:color="auto" w:fill="auto"/>
            <w:tcMar>
              <w:left w:w="0" w:type="dxa"/>
              <w:right w:w="0" w:type="dxa"/>
            </w:tcMar>
            <w:vAlign w:val="center"/>
          </w:tcPr>
          <w:p w:rsidR="00C223F5" w:rsidRPr="00925B84" w:rsidRDefault="005860D5">
            <w:pPr>
              <w:spacing w:line="320" w:lineRule="exact"/>
              <w:jc w:val="center"/>
            </w:pPr>
            <w:r w:rsidRPr="00925B84">
              <w:t>0.00</w:t>
            </w:r>
          </w:p>
        </w:tc>
        <w:tc>
          <w:tcPr>
            <w:tcW w:w="1201" w:type="dxa"/>
            <w:shd w:val="clear" w:color="auto" w:fill="auto"/>
            <w:tcMar>
              <w:left w:w="0" w:type="dxa"/>
              <w:right w:w="0" w:type="dxa"/>
            </w:tcMar>
            <w:vAlign w:val="center"/>
          </w:tcPr>
          <w:p w:rsidR="00C223F5" w:rsidRPr="00925B84" w:rsidRDefault="005860D5">
            <w:pPr>
              <w:spacing w:line="320" w:lineRule="exact"/>
              <w:jc w:val="center"/>
            </w:pPr>
            <w:r w:rsidRPr="00925B84">
              <w:t>0.37</w:t>
            </w:r>
          </w:p>
        </w:tc>
        <w:tc>
          <w:tcPr>
            <w:tcW w:w="487" w:type="dxa"/>
            <w:shd w:val="clear" w:color="auto" w:fill="auto"/>
            <w:tcMar>
              <w:left w:w="0" w:type="dxa"/>
              <w:right w:w="0" w:type="dxa"/>
            </w:tcMar>
            <w:vAlign w:val="center"/>
          </w:tcPr>
          <w:p w:rsidR="00C223F5" w:rsidRPr="00925B84" w:rsidRDefault="005860D5">
            <w:pPr>
              <w:spacing w:line="320" w:lineRule="exact"/>
              <w:jc w:val="center"/>
            </w:pPr>
            <w:r w:rsidRPr="00925B84">
              <w:t>0.37</w:t>
            </w:r>
          </w:p>
        </w:tc>
        <w:tc>
          <w:tcPr>
            <w:tcW w:w="1201" w:type="dxa"/>
            <w:shd w:val="clear" w:color="auto" w:fill="auto"/>
            <w:tcMar>
              <w:left w:w="0" w:type="dxa"/>
              <w:right w:w="0" w:type="dxa"/>
            </w:tcMar>
            <w:vAlign w:val="center"/>
          </w:tcPr>
          <w:p w:rsidR="00C223F5" w:rsidRPr="00925B84" w:rsidRDefault="005860D5">
            <w:pPr>
              <w:spacing w:line="320" w:lineRule="exact"/>
              <w:jc w:val="center"/>
            </w:pPr>
            <w:r w:rsidRPr="00925B84">
              <w:t>3.28</w:t>
            </w:r>
          </w:p>
        </w:tc>
        <w:tc>
          <w:tcPr>
            <w:tcW w:w="487" w:type="dxa"/>
            <w:shd w:val="clear" w:color="auto" w:fill="auto"/>
            <w:tcMar>
              <w:left w:w="0" w:type="dxa"/>
              <w:right w:w="0" w:type="dxa"/>
            </w:tcMar>
            <w:vAlign w:val="center"/>
          </w:tcPr>
          <w:p w:rsidR="00C223F5" w:rsidRPr="00925B84" w:rsidRDefault="005860D5">
            <w:pPr>
              <w:spacing w:line="320" w:lineRule="exact"/>
              <w:jc w:val="center"/>
            </w:pPr>
            <w:r w:rsidRPr="00925B84">
              <w:t>3.28</w:t>
            </w:r>
          </w:p>
        </w:tc>
        <w:tc>
          <w:tcPr>
            <w:tcW w:w="547" w:type="dxa"/>
            <w:shd w:val="clear" w:color="auto" w:fill="auto"/>
            <w:tcMar>
              <w:left w:w="0" w:type="dxa"/>
              <w:right w:w="0" w:type="dxa"/>
            </w:tcMar>
            <w:vAlign w:val="center"/>
          </w:tcPr>
          <w:p w:rsidR="00C223F5" w:rsidRPr="00925B84" w:rsidRDefault="005860D5">
            <w:pPr>
              <w:spacing w:line="320" w:lineRule="exact"/>
              <w:jc w:val="center"/>
            </w:pPr>
            <w:r w:rsidRPr="00925B84">
              <w:t>3.65</w:t>
            </w:r>
          </w:p>
        </w:tc>
      </w:tr>
      <w:tr w:rsidR="00C223F5" w:rsidRPr="00925B84" w:rsidTr="007A12A6">
        <w:trPr>
          <w:trHeight w:val="113"/>
          <w:jc w:val="center"/>
        </w:trPr>
        <w:tc>
          <w:tcPr>
            <w:tcW w:w="2179" w:type="dxa"/>
            <w:gridSpan w:val="2"/>
            <w:shd w:val="clear" w:color="auto" w:fill="auto"/>
            <w:tcMar>
              <w:left w:w="0" w:type="dxa"/>
              <w:right w:w="0" w:type="dxa"/>
            </w:tcMar>
            <w:vAlign w:val="center"/>
          </w:tcPr>
          <w:p w:rsidR="00C223F5" w:rsidRPr="00925B84" w:rsidRDefault="005860D5">
            <w:pPr>
              <w:spacing w:line="320" w:lineRule="exact"/>
              <w:jc w:val="center"/>
            </w:pPr>
            <w:r w:rsidRPr="00925B84">
              <w:t>合计</w:t>
            </w:r>
          </w:p>
        </w:tc>
        <w:tc>
          <w:tcPr>
            <w:tcW w:w="964" w:type="dxa"/>
            <w:shd w:val="clear" w:color="auto" w:fill="auto"/>
            <w:tcMar>
              <w:left w:w="0" w:type="dxa"/>
              <w:right w:w="0" w:type="dxa"/>
            </w:tcMar>
            <w:vAlign w:val="center"/>
          </w:tcPr>
          <w:p w:rsidR="00C223F5" w:rsidRPr="00925B84" w:rsidRDefault="005860D5">
            <w:pPr>
              <w:spacing w:line="320" w:lineRule="exact"/>
              <w:jc w:val="center"/>
            </w:pPr>
            <w:r w:rsidRPr="00925B84">
              <w:t>3.03</w:t>
            </w:r>
          </w:p>
        </w:tc>
        <w:tc>
          <w:tcPr>
            <w:tcW w:w="964" w:type="dxa"/>
            <w:shd w:val="clear" w:color="auto" w:fill="auto"/>
            <w:tcMar>
              <w:left w:w="0" w:type="dxa"/>
              <w:right w:w="0" w:type="dxa"/>
            </w:tcMar>
            <w:vAlign w:val="center"/>
          </w:tcPr>
          <w:p w:rsidR="00C223F5" w:rsidRPr="00925B84" w:rsidRDefault="005860D5">
            <w:pPr>
              <w:spacing w:line="320" w:lineRule="exact"/>
              <w:jc w:val="center"/>
            </w:pPr>
            <w:r w:rsidRPr="00925B84">
              <w:t>0.40</w:t>
            </w:r>
          </w:p>
        </w:tc>
        <w:tc>
          <w:tcPr>
            <w:tcW w:w="719" w:type="dxa"/>
            <w:shd w:val="clear" w:color="auto" w:fill="auto"/>
            <w:tcMar>
              <w:left w:w="0" w:type="dxa"/>
              <w:right w:w="0" w:type="dxa"/>
            </w:tcMar>
            <w:vAlign w:val="center"/>
          </w:tcPr>
          <w:p w:rsidR="00C223F5" w:rsidRPr="00925B84" w:rsidRDefault="005860D5">
            <w:pPr>
              <w:spacing w:line="320" w:lineRule="exact"/>
              <w:jc w:val="center"/>
            </w:pPr>
            <w:r w:rsidRPr="00925B84">
              <w:t>0.58</w:t>
            </w:r>
          </w:p>
        </w:tc>
        <w:tc>
          <w:tcPr>
            <w:tcW w:w="1201" w:type="dxa"/>
            <w:shd w:val="clear" w:color="auto" w:fill="auto"/>
            <w:tcMar>
              <w:left w:w="0" w:type="dxa"/>
              <w:right w:w="0" w:type="dxa"/>
            </w:tcMar>
            <w:vAlign w:val="center"/>
          </w:tcPr>
          <w:p w:rsidR="00C223F5" w:rsidRPr="00925B84" w:rsidRDefault="005860D5">
            <w:pPr>
              <w:spacing w:line="320" w:lineRule="exact"/>
              <w:jc w:val="center"/>
            </w:pPr>
            <w:r w:rsidRPr="00925B84">
              <w:t>4.22</w:t>
            </w:r>
          </w:p>
        </w:tc>
        <w:tc>
          <w:tcPr>
            <w:tcW w:w="487" w:type="dxa"/>
            <w:shd w:val="clear" w:color="auto" w:fill="auto"/>
            <w:tcMar>
              <w:left w:w="0" w:type="dxa"/>
              <w:right w:w="0" w:type="dxa"/>
            </w:tcMar>
            <w:vAlign w:val="center"/>
          </w:tcPr>
          <w:p w:rsidR="00C223F5" w:rsidRPr="00925B84" w:rsidRDefault="005860D5">
            <w:pPr>
              <w:spacing w:line="320" w:lineRule="exact"/>
              <w:jc w:val="center"/>
            </w:pPr>
            <w:r w:rsidRPr="00925B84">
              <w:t>8.23</w:t>
            </w:r>
          </w:p>
        </w:tc>
        <w:tc>
          <w:tcPr>
            <w:tcW w:w="1201" w:type="dxa"/>
            <w:shd w:val="clear" w:color="auto" w:fill="auto"/>
            <w:tcMar>
              <w:left w:w="0" w:type="dxa"/>
              <w:right w:w="0" w:type="dxa"/>
            </w:tcMar>
            <w:vAlign w:val="center"/>
          </w:tcPr>
          <w:p w:rsidR="00C223F5" w:rsidRPr="00925B84" w:rsidRDefault="005860D5">
            <w:pPr>
              <w:spacing w:line="320" w:lineRule="exact"/>
              <w:jc w:val="center"/>
            </w:pPr>
            <w:r w:rsidRPr="00925B84">
              <w:t>3.28</w:t>
            </w:r>
          </w:p>
        </w:tc>
        <w:tc>
          <w:tcPr>
            <w:tcW w:w="487" w:type="dxa"/>
            <w:shd w:val="clear" w:color="auto" w:fill="auto"/>
            <w:tcMar>
              <w:left w:w="0" w:type="dxa"/>
              <w:right w:w="0" w:type="dxa"/>
            </w:tcMar>
            <w:vAlign w:val="center"/>
          </w:tcPr>
          <w:p w:rsidR="00C223F5" w:rsidRPr="00925B84" w:rsidRDefault="005860D5">
            <w:pPr>
              <w:spacing w:line="320" w:lineRule="exact"/>
              <w:jc w:val="center"/>
            </w:pPr>
            <w:r w:rsidRPr="00925B84">
              <w:t>3.28</w:t>
            </w:r>
          </w:p>
        </w:tc>
        <w:tc>
          <w:tcPr>
            <w:tcW w:w="547" w:type="dxa"/>
            <w:shd w:val="clear" w:color="auto" w:fill="auto"/>
            <w:tcMar>
              <w:left w:w="0" w:type="dxa"/>
              <w:right w:w="0" w:type="dxa"/>
            </w:tcMar>
            <w:vAlign w:val="center"/>
          </w:tcPr>
          <w:p w:rsidR="00C223F5" w:rsidRPr="00925B84" w:rsidRDefault="005860D5">
            <w:pPr>
              <w:spacing w:line="320" w:lineRule="exact"/>
              <w:jc w:val="center"/>
            </w:pPr>
            <w:r w:rsidRPr="00925B84">
              <w:t>11.51</w:t>
            </w:r>
          </w:p>
        </w:tc>
      </w:tr>
    </w:tbl>
    <w:bookmarkEnd w:id="160"/>
    <w:p w:rsidR="00C223F5" w:rsidRPr="00925B84" w:rsidRDefault="005860D5">
      <w:pPr>
        <w:spacing w:line="360" w:lineRule="auto"/>
        <w:ind w:firstLineChars="200" w:firstLine="482"/>
        <w:rPr>
          <w:b/>
          <w:sz w:val="24"/>
        </w:rPr>
      </w:pPr>
      <w:r w:rsidRPr="00925B84">
        <w:rPr>
          <w:rFonts w:hAnsi="宋体"/>
          <w:b/>
          <w:sz w:val="24"/>
        </w:rPr>
        <w:t>（</w:t>
      </w:r>
      <w:r w:rsidRPr="00925B84">
        <w:rPr>
          <w:b/>
          <w:sz w:val="24"/>
        </w:rPr>
        <w:t>2</w:t>
      </w:r>
      <w:r w:rsidRPr="00925B84">
        <w:rPr>
          <w:rFonts w:hAnsi="宋体"/>
          <w:b/>
          <w:sz w:val="24"/>
        </w:rPr>
        <w:t>）劳动定员及生产效率</w:t>
      </w:r>
    </w:p>
    <w:p w:rsidR="00C223F5" w:rsidRPr="00925B84" w:rsidRDefault="005860D5">
      <w:pPr>
        <w:pStyle w:val="a8"/>
        <w:spacing w:line="360" w:lineRule="auto"/>
        <w:ind w:firstLineChars="200" w:firstLine="480"/>
        <w:jc w:val="both"/>
        <w:rPr>
          <w:b w:val="0"/>
          <w:sz w:val="24"/>
        </w:rPr>
      </w:pPr>
      <w:r w:rsidRPr="00925B84">
        <w:rPr>
          <w:rFonts w:hAnsi="宋体"/>
          <w:b w:val="0"/>
          <w:sz w:val="24"/>
        </w:rPr>
        <w:t>项目在籍总人数</w:t>
      </w:r>
      <w:r w:rsidRPr="00925B84">
        <w:rPr>
          <w:b w:val="0"/>
          <w:sz w:val="24"/>
        </w:rPr>
        <w:t>565</w:t>
      </w:r>
      <w:r w:rsidRPr="00925B84">
        <w:rPr>
          <w:rFonts w:hAnsi="宋体"/>
          <w:b w:val="0"/>
          <w:sz w:val="24"/>
        </w:rPr>
        <w:t>人，其中：矿井</w:t>
      </w:r>
      <w:r w:rsidRPr="00925B84">
        <w:rPr>
          <w:b w:val="0"/>
          <w:sz w:val="24"/>
        </w:rPr>
        <w:t>494</w:t>
      </w:r>
      <w:r w:rsidRPr="00925B84">
        <w:rPr>
          <w:rFonts w:hAnsi="宋体"/>
          <w:b w:val="0"/>
          <w:sz w:val="24"/>
        </w:rPr>
        <w:t>人，矿井全员效率</w:t>
      </w:r>
      <w:r w:rsidRPr="00925B84">
        <w:rPr>
          <w:b w:val="0"/>
          <w:sz w:val="24"/>
        </w:rPr>
        <w:t>7.4t/</w:t>
      </w:r>
      <w:r w:rsidRPr="00925B84">
        <w:rPr>
          <w:rFonts w:hAnsi="宋体"/>
          <w:b w:val="0"/>
          <w:sz w:val="24"/>
        </w:rPr>
        <w:t>工，选煤厂</w:t>
      </w:r>
      <w:r w:rsidRPr="00925B84">
        <w:rPr>
          <w:b w:val="0"/>
          <w:sz w:val="24"/>
        </w:rPr>
        <w:t>71</w:t>
      </w:r>
      <w:r w:rsidRPr="00925B84">
        <w:rPr>
          <w:rFonts w:hAnsi="宋体"/>
          <w:b w:val="0"/>
          <w:sz w:val="24"/>
        </w:rPr>
        <w:t>人，选煤厂全员效率</w:t>
      </w:r>
      <w:r w:rsidRPr="00925B84">
        <w:rPr>
          <w:b w:val="0"/>
          <w:sz w:val="24"/>
        </w:rPr>
        <w:t>56t/</w:t>
      </w:r>
      <w:r w:rsidRPr="00925B84">
        <w:rPr>
          <w:rFonts w:hAnsi="宋体"/>
          <w:b w:val="0"/>
          <w:sz w:val="24"/>
        </w:rPr>
        <w:t>工。</w:t>
      </w:r>
    </w:p>
    <w:p w:rsidR="00C223F5" w:rsidRDefault="005860D5" w:rsidP="004835BD">
      <w:pPr>
        <w:pStyle w:val="4"/>
        <w:spacing w:before="0" w:after="0" w:line="360" w:lineRule="auto"/>
        <w:ind w:firstLineChars="100" w:firstLine="240"/>
        <w:rPr>
          <w:szCs w:val="24"/>
        </w:rPr>
      </w:pPr>
      <w:r>
        <w:rPr>
          <w:rFonts w:hint="eastAsia"/>
          <w:szCs w:val="24"/>
        </w:rPr>
        <w:t>2.1.2.7</w:t>
      </w:r>
      <w:r>
        <w:rPr>
          <w:rFonts w:hint="eastAsia"/>
          <w:szCs w:val="24"/>
        </w:rPr>
        <w:t>建设计划</w:t>
      </w:r>
    </w:p>
    <w:p w:rsidR="00C223F5" w:rsidRDefault="005860D5">
      <w:pPr>
        <w:spacing w:line="360" w:lineRule="auto"/>
        <w:ind w:firstLineChars="200" w:firstLine="480"/>
        <w:rPr>
          <w:sz w:val="24"/>
        </w:rPr>
      </w:pPr>
      <w:r>
        <w:rPr>
          <w:rFonts w:hint="eastAsia"/>
          <w:sz w:val="24"/>
        </w:rPr>
        <w:t>矿井建设总工期为</w:t>
      </w:r>
      <w:r>
        <w:rPr>
          <w:rFonts w:hint="eastAsia"/>
          <w:sz w:val="24"/>
        </w:rPr>
        <w:t>26.4</w:t>
      </w:r>
      <w:r>
        <w:rPr>
          <w:rFonts w:hint="eastAsia"/>
          <w:sz w:val="24"/>
        </w:rPr>
        <w:t>个月，其中施工准备期</w:t>
      </w:r>
      <w:r>
        <w:rPr>
          <w:rFonts w:hint="eastAsia"/>
          <w:sz w:val="24"/>
        </w:rPr>
        <w:t>6.0</w:t>
      </w:r>
      <w:r>
        <w:rPr>
          <w:rFonts w:hint="eastAsia"/>
          <w:sz w:val="24"/>
        </w:rPr>
        <w:t>个月，施工工期</w:t>
      </w:r>
      <w:r>
        <w:rPr>
          <w:rFonts w:hint="eastAsia"/>
          <w:sz w:val="24"/>
        </w:rPr>
        <w:t>17.4</w:t>
      </w:r>
      <w:r>
        <w:rPr>
          <w:rFonts w:hint="eastAsia"/>
          <w:sz w:val="24"/>
        </w:rPr>
        <w:t>个月，设备安装及联合试运转</w:t>
      </w:r>
      <w:r>
        <w:rPr>
          <w:rFonts w:hint="eastAsia"/>
          <w:sz w:val="24"/>
        </w:rPr>
        <w:t>3.0</w:t>
      </w:r>
      <w:r>
        <w:rPr>
          <w:rFonts w:hint="eastAsia"/>
          <w:sz w:val="24"/>
        </w:rPr>
        <w:t>个月。</w:t>
      </w:r>
    </w:p>
    <w:p w:rsidR="00C223F5" w:rsidRDefault="005860D5" w:rsidP="004835BD">
      <w:pPr>
        <w:pStyle w:val="4"/>
        <w:spacing w:before="0" w:after="0" w:line="360" w:lineRule="auto"/>
        <w:ind w:firstLineChars="100" w:firstLine="240"/>
        <w:rPr>
          <w:szCs w:val="24"/>
        </w:rPr>
      </w:pPr>
      <w:r>
        <w:rPr>
          <w:rFonts w:hint="eastAsia"/>
          <w:szCs w:val="24"/>
        </w:rPr>
        <w:t>2.1.2.8</w:t>
      </w:r>
      <w:r>
        <w:rPr>
          <w:rFonts w:hint="eastAsia"/>
          <w:szCs w:val="24"/>
        </w:rPr>
        <w:t>项目主要技术经济指标</w:t>
      </w:r>
    </w:p>
    <w:p w:rsidR="00C223F5" w:rsidRDefault="005860D5">
      <w:pPr>
        <w:spacing w:line="360" w:lineRule="auto"/>
        <w:ind w:firstLineChars="200" w:firstLine="480"/>
        <w:rPr>
          <w:bCs/>
          <w:sz w:val="24"/>
        </w:rPr>
      </w:pPr>
      <w:r>
        <w:rPr>
          <w:rFonts w:hint="eastAsia"/>
          <w:sz w:val="24"/>
        </w:rPr>
        <w:t>矿井及选煤厂建设总资金为</w:t>
      </w:r>
      <w:r>
        <w:rPr>
          <w:rFonts w:hint="eastAsia"/>
          <w:sz w:val="24"/>
        </w:rPr>
        <w:t>91496.61</w:t>
      </w:r>
      <w:r>
        <w:rPr>
          <w:rFonts w:hint="eastAsia"/>
          <w:sz w:val="24"/>
        </w:rPr>
        <w:t>万元，其中工</w:t>
      </w:r>
      <w:r>
        <w:rPr>
          <w:sz w:val="24"/>
        </w:rPr>
        <w:t>程</w:t>
      </w:r>
      <w:r>
        <w:rPr>
          <w:rFonts w:hint="eastAsia"/>
          <w:sz w:val="24"/>
        </w:rPr>
        <w:t>静态总投资</w:t>
      </w:r>
      <w:r>
        <w:rPr>
          <w:rFonts w:hint="eastAsia"/>
          <w:sz w:val="24"/>
        </w:rPr>
        <w:t>86961.61</w:t>
      </w:r>
      <w:r>
        <w:rPr>
          <w:rFonts w:hint="eastAsia"/>
          <w:sz w:val="24"/>
        </w:rPr>
        <w:t>万元（其中：矿井</w:t>
      </w:r>
      <w:r>
        <w:rPr>
          <w:rFonts w:hint="eastAsia"/>
          <w:sz w:val="24"/>
        </w:rPr>
        <w:t>73741.98</w:t>
      </w:r>
      <w:r>
        <w:rPr>
          <w:rFonts w:hint="eastAsia"/>
          <w:sz w:val="24"/>
        </w:rPr>
        <w:t>万元，吨煤投资</w:t>
      </w:r>
      <w:r>
        <w:rPr>
          <w:rFonts w:hint="eastAsia"/>
          <w:sz w:val="24"/>
        </w:rPr>
        <w:t>819.36</w:t>
      </w:r>
      <w:r>
        <w:rPr>
          <w:rFonts w:hint="eastAsia"/>
          <w:sz w:val="24"/>
        </w:rPr>
        <w:t>元</w:t>
      </w:r>
      <w:r>
        <w:rPr>
          <w:rFonts w:hint="eastAsia"/>
          <w:sz w:val="24"/>
        </w:rPr>
        <w:t>/t</w:t>
      </w:r>
      <w:r>
        <w:rPr>
          <w:rFonts w:hint="eastAsia"/>
          <w:sz w:val="24"/>
        </w:rPr>
        <w:t>；选煤厂</w:t>
      </w:r>
      <w:r>
        <w:rPr>
          <w:rFonts w:hint="eastAsia"/>
          <w:sz w:val="24"/>
        </w:rPr>
        <w:t>13219.63</w:t>
      </w:r>
      <w:r>
        <w:rPr>
          <w:rFonts w:hint="eastAsia"/>
          <w:sz w:val="24"/>
        </w:rPr>
        <w:t>万元，吨煤投资</w:t>
      </w:r>
      <w:r>
        <w:rPr>
          <w:rFonts w:hint="eastAsia"/>
          <w:sz w:val="24"/>
        </w:rPr>
        <w:t>146.88</w:t>
      </w:r>
      <w:r>
        <w:rPr>
          <w:rFonts w:hint="eastAsia"/>
          <w:sz w:val="24"/>
        </w:rPr>
        <w:t>元</w:t>
      </w:r>
      <w:r>
        <w:rPr>
          <w:rFonts w:hint="eastAsia"/>
          <w:sz w:val="24"/>
        </w:rPr>
        <w:t>/t</w:t>
      </w:r>
      <w:r>
        <w:rPr>
          <w:rFonts w:hint="eastAsia"/>
          <w:sz w:val="24"/>
        </w:rPr>
        <w:t>）。天云</w:t>
      </w:r>
      <w:r>
        <w:rPr>
          <w:bCs/>
          <w:sz w:val="24"/>
        </w:rPr>
        <w:t>煤矿整合项目主要技术经济指标见表</w:t>
      </w:r>
      <w:r>
        <w:rPr>
          <w:bCs/>
          <w:sz w:val="24"/>
        </w:rPr>
        <w:t>2.1.2-</w:t>
      </w:r>
      <w:r>
        <w:rPr>
          <w:rFonts w:hint="eastAsia"/>
          <w:bCs/>
          <w:sz w:val="24"/>
        </w:rPr>
        <w:t>5</w:t>
      </w:r>
      <w:r>
        <w:rPr>
          <w:bCs/>
          <w:sz w:val="24"/>
        </w:rPr>
        <w:t>。</w:t>
      </w:r>
    </w:p>
    <w:p w:rsidR="0003683D" w:rsidRDefault="0003683D">
      <w:pPr>
        <w:snapToGrid w:val="0"/>
        <w:jc w:val="center"/>
        <w:rPr>
          <w:rFonts w:eastAsiaTheme="minorEastAsia" w:hAnsiTheme="minorEastAsia"/>
          <w:b/>
          <w:bCs/>
          <w:sz w:val="24"/>
        </w:rPr>
      </w:pPr>
    </w:p>
    <w:p w:rsidR="0003683D" w:rsidRDefault="0003683D">
      <w:pPr>
        <w:snapToGrid w:val="0"/>
        <w:jc w:val="center"/>
        <w:rPr>
          <w:rFonts w:eastAsiaTheme="minorEastAsia" w:hAnsiTheme="minorEastAsia"/>
          <w:b/>
          <w:bCs/>
          <w:sz w:val="24"/>
        </w:rPr>
      </w:pPr>
    </w:p>
    <w:p w:rsidR="0003683D" w:rsidRDefault="0003683D">
      <w:pPr>
        <w:snapToGrid w:val="0"/>
        <w:jc w:val="center"/>
        <w:rPr>
          <w:rFonts w:eastAsiaTheme="minorEastAsia" w:hAnsiTheme="minorEastAsia"/>
          <w:b/>
          <w:bCs/>
          <w:sz w:val="24"/>
        </w:rPr>
      </w:pPr>
    </w:p>
    <w:p w:rsidR="00C223F5" w:rsidRDefault="005860D5">
      <w:pPr>
        <w:snapToGrid w:val="0"/>
        <w:jc w:val="center"/>
        <w:rPr>
          <w:rFonts w:eastAsiaTheme="minorEastAsia" w:hAnsiTheme="minorEastAsia"/>
          <w:b/>
          <w:sz w:val="24"/>
        </w:rPr>
      </w:pPr>
      <w:r>
        <w:rPr>
          <w:rFonts w:eastAsiaTheme="minorEastAsia" w:hAnsiTheme="minorEastAsia"/>
          <w:b/>
          <w:bCs/>
          <w:sz w:val="24"/>
        </w:rPr>
        <w:lastRenderedPageBreak/>
        <w:t>表</w:t>
      </w:r>
      <w:r>
        <w:rPr>
          <w:rFonts w:eastAsiaTheme="minorEastAsia"/>
          <w:b/>
          <w:bCs/>
          <w:sz w:val="24"/>
        </w:rPr>
        <w:t>2.1.</w:t>
      </w:r>
      <w:r>
        <w:rPr>
          <w:rFonts w:eastAsiaTheme="minorEastAsia" w:hint="eastAsia"/>
          <w:b/>
          <w:bCs/>
          <w:sz w:val="24"/>
        </w:rPr>
        <w:t>2</w:t>
      </w:r>
      <w:r>
        <w:rPr>
          <w:rFonts w:eastAsiaTheme="minorEastAsia"/>
          <w:b/>
          <w:bCs/>
          <w:sz w:val="24"/>
        </w:rPr>
        <w:t>-</w:t>
      </w:r>
      <w:r>
        <w:rPr>
          <w:rFonts w:eastAsiaTheme="minorEastAsia" w:hint="eastAsia"/>
          <w:b/>
          <w:bCs/>
          <w:sz w:val="24"/>
        </w:rPr>
        <w:t>5</w:t>
      </w:r>
      <w:r w:rsidR="0003683D">
        <w:rPr>
          <w:rFonts w:eastAsiaTheme="minorEastAsia" w:hint="eastAsia"/>
          <w:b/>
          <w:bCs/>
          <w:sz w:val="24"/>
        </w:rPr>
        <w:t xml:space="preserve">   </w:t>
      </w:r>
      <w:r>
        <w:rPr>
          <w:rFonts w:eastAsiaTheme="minorEastAsia" w:hAnsiTheme="minorEastAsia"/>
          <w:b/>
          <w:sz w:val="24"/>
        </w:rPr>
        <w:t>项目主要技术经济指标表</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530"/>
        <w:gridCol w:w="1776"/>
        <w:gridCol w:w="584"/>
        <w:gridCol w:w="3222"/>
        <w:gridCol w:w="2441"/>
      </w:tblGrid>
      <w:tr w:rsidR="00C223F5" w:rsidRPr="0003683D" w:rsidTr="001B3488">
        <w:trPr>
          <w:trHeight w:val="338"/>
          <w:tblHeader/>
          <w:jc w:val="center"/>
        </w:trPr>
        <w:tc>
          <w:tcPr>
            <w:tcW w:w="600" w:type="dxa"/>
            <w:tcMar>
              <w:left w:w="6" w:type="dxa"/>
              <w:right w:w="6" w:type="dxa"/>
            </w:tcMar>
            <w:vAlign w:val="center"/>
          </w:tcPr>
          <w:p w:rsidR="00C223F5" w:rsidRPr="0003683D" w:rsidRDefault="005860D5" w:rsidP="001B3488">
            <w:pPr>
              <w:jc w:val="center"/>
              <w:rPr>
                <w:b/>
                <w:sz w:val="18"/>
                <w:szCs w:val="18"/>
              </w:rPr>
            </w:pPr>
            <w:r w:rsidRPr="0003683D">
              <w:rPr>
                <w:rFonts w:hAnsi="宋体"/>
                <w:b/>
                <w:sz w:val="18"/>
                <w:szCs w:val="18"/>
              </w:rPr>
              <w:t>序号</w:t>
            </w:r>
          </w:p>
        </w:tc>
        <w:tc>
          <w:tcPr>
            <w:tcW w:w="2306" w:type="dxa"/>
            <w:gridSpan w:val="2"/>
            <w:tcMar>
              <w:left w:w="6" w:type="dxa"/>
              <w:right w:w="6" w:type="dxa"/>
            </w:tcMar>
            <w:vAlign w:val="center"/>
          </w:tcPr>
          <w:p w:rsidR="00C223F5" w:rsidRPr="0003683D" w:rsidRDefault="005860D5" w:rsidP="001B3488">
            <w:pPr>
              <w:jc w:val="center"/>
              <w:rPr>
                <w:b/>
                <w:sz w:val="18"/>
                <w:szCs w:val="18"/>
              </w:rPr>
            </w:pPr>
            <w:r w:rsidRPr="0003683D">
              <w:rPr>
                <w:rFonts w:hAnsi="宋体"/>
                <w:b/>
                <w:sz w:val="18"/>
                <w:szCs w:val="18"/>
              </w:rPr>
              <w:t>项目</w:t>
            </w:r>
          </w:p>
        </w:tc>
        <w:tc>
          <w:tcPr>
            <w:tcW w:w="584" w:type="dxa"/>
            <w:tcMar>
              <w:left w:w="6" w:type="dxa"/>
              <w:right w:w="6" w:type="dxa"/>
            </w:tcMar>
            <w:vAlign w:val="center"/>
          </w:tcPr>
          <w:p w:rsidR="00C223F5" w:rsidRPr="0003683D" w:rsidRDefault="005860D5" w:rsidP="001B3488">
            <w:pPr>
              <w:jc w:val="center"/>
              <w:rPr>
                <w:b/>
                <w:sz w:val="18"/>
                <w:szCs w:val="18"/>
              </w:rPr>
            </w:pPr>
            <w:r w:rsidRPr="0003683D">
              <w:rPr>
                <w:rFonts w:hAnsi="宋体"/>
                <w:b/>
                <w:sz w:val="18"/>
                <w:szCs w:val="18"/>
              </w:rPr>
              <w:t>单位</w:t>
            </w:r>
          </w:p>
        </w:tc>
        <w:tc>
          <w:tcPr>
            <w:tcW w:w="3222" w:type="dxa"/>
            <w:tcMar>
              <w:left w:w="6" w:type="dxa"/>
              <w:right w:w="6" w:type="dxa"/>
            </w:tcMar>
            <w:vAlign w:val="center"/>
          </w:tcPr>
          <w:p w:rsidR="00C223F5" w:rsidRPr="0003683D" w:rsidRDefault="005860D5" w:rsidP="001B3488">
            <w:pPr>
              <w:jc w:val="center"/>
              <w:rPr>
                <w:b/>
                <w:sz w:val="18"/>
                <w:szCs w:val="18"/>
              </w:rPr>
            </w:pPr>
            <w:r w:rsidRPr="0003683D">
              <w:rPr>
                <w:rFonts w:hAnsi="宋体"/>
                <w:b/>
                <w:sz w:val="18"/>
                <w:szCs w:val="18"/>
              </w:rPr>
              <w:t>指标</w:t>
            </w:r>
          </w:p>
        </w:tc>
        <w:tc>
          <w:tcPr>
            <w:tcW w:w="2441" w:type="dxa"/>
            <w:tcMar>
              <w:left w:w="6" w:type="dxa"/>
              <w:right w:w="6" w:type="dxa"/>
            </w:tcMar>
            <w:vAlign w:val="center"/>
          </w:tcPr>
          <w:p w:rsidR="00C223F5" w:rsidRPr="0003683D" w:rsidRDefault="005860D5" w:rsidP="001B3488">
            <w:pPr>
              <w:jc w:val="center"/>
              <w:rPr>
                <w:b/>
                <w:sz w:val="18"/>
                <w:szCs w:val="18"/>
              </w:rPr>
            </w:pPr>
            <w:r w:rsidRPr="0003683D">
              <w:rPr>
                <w:rFonts w:hAnsi="宋体"/>
                <w:b/>
                <w:sz w:val="18"/>
                <w:szCs w:val="18"/>
              </w:rPr>
              <w:t>备注</w:t>
            </w:r>
          </w:p>
        </w:tc>
      </w:tr>
      <w:tr w:rsidR="00C223F5" w:rsidRPr="0003683D" w:rsidTr="001B3488">
        <w:trPr>
          <w:trHeight w:val="276"/>
          <w:jc w:val="center"/>
        </w:trPr>
        <w:tc>
          <w:tcPr>
            <w:tcW w:w="600" w:type="dxa"/>
            <w:tcMar>
              <w:left w:w="6" w:type="dxa"/>
              <w:right w:w="6" w:type="dxa"/>
            </w:tcMar>
            <w:vAlign w:val="center"/>
          </w:tcPr>
          <w:p w:rsidR="00C223F5" w:rsidRPr="0003683D" w:rsidRDefault="005860D5" w:rsidP="001B3488">
            <w:pPr>
              <w:jc w:val="center"/>
              <w:rPr>
                <w:b/>
                <w:sz w:val="18"/>
                <w:szCs w:val="18"/>
              </w:rPr>
            </w:pPr>
            <w:r w:rsidRPr="0003683D">
              <w:rPr>
                <w:b/>
                <w:sz w:val="18"/>
                <w:szCs w:val="18"/>
              </w:rPr>
              <w:t>1</w:t>
            </w:r>
          </w:p>
        </w:tc>
        <w:tc>
          <w:tcPr>
            <w:tcW w:w="2306" w:type="dxa"/>
            <w:gridSpan w:val="2"/>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设计规模</w:t>
            </w:r>
          </w:p>
        </w:tc>
        <w:tc>
          <w:tcPr>
            <w:tcW w:w="584" w:type="dxa"/>
            <w:tcMar>
              <w:left w:w="6" w:type="dxa"/>
              <w:right w:w="6" w:type="dxa"/>
            </w:tcMar>
            <w:vAlign w:val="center"/>
          </w:tcPr>
          <w:p w:rsidR="00C223F5" w:rsidRPr="0003683D" w:rsidRDefault="005860D5" w:rsidP="001B3488">
            <w:pPr>
              <w:jc w:val="center"/>
              <w:rPr>
                <w:sz w:val="18"/>
                <w:szCs w:val="18"/>
              </w:rPr>
            </w:pPr>
            <w:r w:rsidRPr="0003683D">
              <w:rPr>
                <w:sz w:val="18"/>
                <w:szCs w:val="18"/>
              </w:rPr>
              <w:t>Mt/a</w:t>
            </w:r>
          </w:p>
        </w:tc>
        <w:tc>
          <w:tcPr>
            <w:tcW w:w="3222" w:type="dxa"/>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0.90</w:t>
            </w:r>
          </w:p>
        </w:tc>
        <w:tc>
          <w:tcPr>
            <w:tcW w:w="2441" w:type="dxa"/>
            <w:tcMar>
              <w:left w:w="6" w:type="dxa"/>
              <w:right w:w="6" w:type="dxa"/>
            </w:tcMar>
            <w:vAlign w:val="center"/>
          </w:tcPr>
          <w:p w:rsidR="00C223F5" w:rsidRPr="0003683D" w:rsidRDefault="005860D5" w:rsidP="001B3488">
            <w:pPr>
              <w:jc w:val="center"/>
              <w:rPr>
                <w:sz w:val="18"/>
                <w:szCs w:val="18"/>
              </w:rPr>
            </w:pPr>
            <w:r w:rsidRPr="0003683D">
              <w:rPr>
                <w:rFonts w:eastAsiaTheme="minorEastAsia" w:hAnsiTheme="minorEastAsia"/>
                <w:sz w:val="18"/>
                <w:szCs w:val="18"/>
              </w:rPr>
              <w:t>选煤厂</w:t>
            </w:r>
            <w:r w:rsidRPr="0003683D">
              <w:rPr>
                <w:rFonts w:eastAsiaTheme="minorEastAsia" w:hint="eastAsia"/>
                <w:sz w:val="18"/>
                <w:szCs w:val="18"/>
              </w:rPr>
              <w:t>0.90</w:t>
            </w:r>
            <w:r w:rsidRPr="0003683D">
              <w:rPr>
                <w:rFonts w:eastAsiaTheme="minorEastAsia"/>
                <w:sz w:val="18"/>
                <w:szCs w:val="18"/>
              </w:rPr>
              <w:t>Mt/a</w:t>
            </w:r>
          </w:p>
        </w:tc>
      </w:tr>
      <w:tr w:rsidR="00C223F5" w:rsidRPr="0003683D" w:rsidTr="001B3488">
        <w:trPr>
          <w:trHeight w:val="262"/>
          <w:jc w:val="center"/>
        </w:trPr>
        <w:tc>
          <w:tcPr>
            <w:tcW w:w="600" w:type="dxa"/>
            <w:tcMar>
              <w:left w:w="6" w:type="dxa"/>
              <w:right w:w="6" w:type="dxa"/>
            </w:tcMar>
            <w:vAlign w:val="center"/>
          </w:tcPr>
          <w:p w:rsidR="00C223F5" w:rsidRPr="0003683D" w:rsidRDefault="005860D5" w:rsidP="001B3488">
            <w:pPr>
              <w:jc w:val="center"/>
              <w:rPr>
                <w:b/>
                <w:sz w:val="18"/>
                <w:szCs w:val="18"/>
              </w:rPr>
            </w:pPr>
            <w:r w:rsidRPr="0003683D">
              <w:rPr>
                <w:b/>
                <w:sz w:val="18"/>
                <w:szCs w:val="18"/>
              </w:rPr>
              <w:t>2</w:t>
            </w:r>
          </w:p>
        </w:tc>
        <w:tc>
          <w:tcPr>
            <w:tcW w:w="2306" w:type="dxa"/>
            <w:gridSpan w:val="2"/>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井田面积</w:t>
            </w:r>
          </w:p>
        </w:tc>
        <w:tc>
          <w:tcPr>
            <w:tcW w:w="584" w:type="dxa"/>
            <w:tcMar>
              <w:left w:w="6" w:type="dxa"/>
              <w:right w:w="6" w:type="dxa"/>
            </w:tcMar>
            <w:vAlign w:val="center"/>
          </w:tcPr>
          <w:p w:rsidR="00C223F5" w:rsidRPr="0003683D" w:rsidRDefault="005860D5" w:rsidP="001B3488">
            <w:pPr>
              <w:jc w:val="center"/>
              <w:rPr>
                <w:sz w:val="18"/>
                <w:szCs w:val="18"/>
                <w:vertAlign w:val="superscript"/>
              </w:rPr>
            </w:pPr>
            <w:r w:rsidRPr="0003683D">
              <w:rPr>
                <w:sz w:val="18"/>
                <w:szCs w:val="18"/>
              </w:rPr>
              <w:t>km</w:t>
            </w:r>
            <w:r w:rsidRPr="0003683D">
              <w:rPr>
                <w:sz w:val="18"/>
                <w:szCs w:val="18"/>
                <w:vertAlign w:val="superscript"/>
              </w:rPr>
              <w:t>2</w:t>
            </w:r>
          </w:p>
        </w:tc>
        <w:tc>
          <w:tcPr>
            <w:tcW w:w="3222" w:type="dxa"/>
            <w:tcMar>
              <w:left w:w="6" w:type="dxa"/>
              <w:right w:w="6" w:type="dxa"/>
            </w:tcMar>
            <w:vAlign w:val="center"/>
          </w:tcPr>
          <w:p w:rsidR="00C223F5" w:rsidRPr="0003683D" w:rsidRDefault="005860D5" w:rsidP="001B3488">
            <w:pPr>
              <w:jc w:val="center"/>
              <w:rPr>
                <w:sz w:val="18"/>
                <w:szCs w:val="18"/>
              </w:rPr>
            </w:pPr>
            <w:r w:rsidRPr="0003683D">
              <w:rPr>
                <w:sz w:val="18"/>
                <w:szCs w:val="18"/>
              </w:rPr>
              <w:t>67.1241</w:t>
            </w:r>
          </w:p>
        </w:tc>
        <w:tc>
          <w:tcPr>
            <w:tcW w:w="2441" w:type="dxa"/>
            <w:tcMar>
              <w:left w:w="6" w:type="dxa"/>
              <w:right w:w="6" w:type="dxa"/>
            </w:tcMar>
            <w:vAlign w:val="center"/>
          </w:tcPr>
          <w:p w:rsidR="00C223F5" w:rsidRPr="0003683D" w:rsidRDefault="00C223F5" w:rsidP="001B3488">
            <w:pPr>
              <w:jc w:val="center"/>
              <w:rPr>
                <w:kern w:val="0"/>
                <w:sz w:val="18"/>
                <w:szCs w:val="18"/>
              </w:rPr>
            </w:pPr>
          </w:p>
        </w:tc>
      </w:tr>
      <w:tr w:rsidR="00C223F5" w:rsidRPr="0003683D" w:rsidTr="001B3488">
        <w:trPr>
          <w:trHeight w:val="139"/>
          <w:jc w:val="center"/>
        </w:trPr>
        <w:tc>
          <w:tcPr>
            <w:tcW w:w="600" w:type="dxa"/>
            <w:vMerge w:val="restart"/>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3</w:t>
            </w:r>
          </w:p>
        </w:tc>
        <w:tc>
          <w:tcPr>
            <w:tcW w:w="530" w:type="dxa"/>
            <w:vMerge w:val="restart"/>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储量</w:t>
            </w: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hint="eastAsia"/>
                <w:sz w:val="18"/>
                <w:szCs w:val="18"/>
              </w:rPr>
              <w:t>地质</w:t>
            </w:r>
            <w:r w:rsidRPr="0003683D">
              <w:rPr>
                <w:rFonts w:hAnsi="宋体"/>
                <w:sz w:val="18"/>
                <w:szCs w:val="18"/>
              </w:rPr>
              <w:t>储量</w:t>
            </w:r>
          </w:p>
        </w:tc>
        <w:tc>
          <w:tcPr>
            <w:tcW w:w="584" w:type="dxa"/>
            <w:vMerge w:val="restart"/>
            <w:tcMar>
              <w:left w:w="6" w:type="dxa"/>
              <w:right w:w="6" w:type="dxa"/>
            </w:tcMar>
            <w:vAlign w:val="center"/>
          </w:tcPr>
          <w:p w:rsidR="00C223F5" w:rsidRPr="0003683D" w:rsidRDefault="005860D5" w:rsidP="001B3488">
            <w:pPr>
              <w:jc w:val="center"/>
              <w:rPr>
                <w:sz w:val="18"/>
                <w:szCs w:val="18"/>
              </w:rPr>
            </w:pPr>
            <w:r w:rsidRPr="0003683D">
              <w:rPr>
                <w:sz w:val="18"/>
                <w:szCs w:val="18"/>
              </w:rPr>
              <w:t>Mt</w:t>
            </w:r>
          </w:p>
        </w:tc>
        <w:tc>
          <w:tcPr>
            <w:tcW w:w="3222" w:type="dxa"/>
            <w:tcMar>
              <w:left w:w="6" w:type="dxa"/>
              <w:right w:w="6" w:type="dxa"/>
            </w:tcMar>
            <w:vAlign w:val="center"/>
          </w:tcPr>
          <w:p w:rsidR="00C223F5" w:rsidRPr="0003683D" w:rsidRDefault="005860D5" w:rsidP="001B3488">
            <w:pPr>
              <w:autoSpaceDE w:val="0"/>
              <w:autoSpaceDN w:val="0"/>
              <w:adjustRightInd w:val="0"/>
              <w:snapToGrid w:val="0"/>
              <w:jc w:val="center"/>
              <w:rPr>
                <w:kern w:val="0"/>
                <w:sz w:val="18"/>
                <w:szCs w:val="18"/>
              </w:rPr>
            </w:pPr>
            <w:r w:rsidRPr="0003683D">
              <w:rPr>
                <w:rFonts w:hint="eastAsia"/>
                <w:sz w:val="18"/>
                <w:szCs w:val="18"/>
              </w:rPr>
              <w:t>115.88</w:t>
            </w:r>
          </w:p>
        </w:tc>
        <w:tc>
          <w:tcPr>
            <w:tcW w:w="2441" w:type="dxa"/>
            <w:tcMar>
              <w:left w:w="6" w:type="dxa"/>
              <w:right w:w="6" w:type="dxa"/>
            </w:tcMar>
            <w:vAlign w:val="center"/>
          </w:tcPr>
          <w:p w:rsidR="00C223F5" w:rsidRPr="0003683D" w:rsidRDefault="00C223F5" w:rsidP="001B3488">
            <w:pPr>
              <w:jc w:val="center"/>
              <w:rPr>
                <w:color w:val="0000FF"/>
                <w:sz w:val="18"/>
                <w:szCs w:val="18"/>
              </w:rPr>
            </w:pPr>
          </w:p>
        </w:tc>
      </w:tr>
      <w:tr w:rsidR="00C223F5" w:rsidRPr="0003683D" w:rsidTr="001B3488">
        <w:trPr>
          <w:trHeight w:val="258"/>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可采储量</w:t>
            </w:r>
          </w:p>
        </w:tc>
        <w:tc>
          <w:tcPr>
            <w:tcW w:w="584" w:type="dxa"/>
            <w:vMerge/>
            <w:tcMar>
              <w:left w:w="6" w:type="dxa"/>
              <w:right w:w="6" w:type="dxa"/>
            </w:tcMar>
            <w:vAlign w:val="center"/>
          </w:tcPr>
          <w:p w:rsidR="00C223F5" w:rsidRPr="0003683D" w:rsidRDefault="00C223F5" w:rsidP="001B3488">
            <w:pPr>
              <w:jc w:val="center"/>
              <w:rPr>
                <w:sz w:val="18"/>
                <w:szCs w:val="18"/>
              </w:rPr>
            </w:pPr>
          </w:p>
        </w:tc>
        <w:tc>
          <w:tcPr>
            <w:tcW w:w="3222" w:type="dxa"/>
            <w:tcMar>
              <w:left w:w="6" w:type="dxa"/>
              <w:right w:w="6" w:type="dxa"/>
            </w:tcMar>
            <w:vAlign w:val="center"/>
          </w:tcPr>
          <w:p w:rsidR="00C223F5" w:rsidRPr="0003683D" w:rsidRDefault="005860D5" w:rsidP="001B3488">
            <w:pPr>
              <w:autoSpaceDE w:val="0"/>
              <w:autoSpaceDN w:val="0"/>
              <w:adjustRightInd w:val="0"/>
              <w:snapToGrid w:val="0"/>
              <w:jc w:val="center"/>
              <w:rPr>
                <w:kern w:val="0"/>
                <w:sz w:val="18"/>
                <w:szCs w:val="18"/>
              </w:rPr>
            </w:pPr>
            <w:r w:rsidRPr="0003683D">
              <w:rPr>
                <w:rFonts w:hint="eastAsia"/>
                <w:sz w:val="18"/>
                <w:szCs w:val="18"/>
              </w:rPr>
              <w:t>46.44</w:t>
            </w:r>
          </w:p>
        </w:tc>
        <w:tc>
          <w:tcPr>
            <w:tcW w:w="2441" w:type="dxa"/>
            <w:tcMar>
              <w:left w:w="6" w:type="dxa"/>
              <w:right w:w="6" w:type="dxa"/>
            </w:tcMar>
            <w:vAlign w:val="center"/>
          </w:tcPr>
          <w:p w:rsidR="00C223F5" w:rsidRPr="0003683D" w:rsidRDefault="00C223F5" w:rsidP="001B3488">
            <w:pPr>
              <w:jc w:val="center"/>
              <w:rPr>
                <w:color w:val="0000FF"/>
                <w:sz w:val="18"/>
                <w:szCs w:val="18"/>
              </w:rPr>
            </w:pPr>
          </w:p>
        </w:tc>
      </w:tr>
      <w:tr w:rsidR="00C223F5" w:rsidRPr="0003683D" w:rsidTr="001B3488">
        <w:trPr>
          <w:trHeight w:val="276"/>
          <w:jc w:val="center"/>
        </w:trPr>
        <w:tc>
          <w:tcPr>
            <w:tcW w:w="600" w:type="dxa"/>
            <w:vMerge w:val="restart"/>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4</w:t>
            </w:r>
          </w:p>
        </w:tc>
        <w:tc>
          <w:tcPr>
            <w:tcW w:w="530" w:type="dxa"/>
            <w:vMerge w:val="restart"/>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煤层</w:t>
            </w: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批准可采层数</w:t>
            </w:r>
          </w:p>
        </w:tc>
        <w:tc>
          <w:tcPr>
            <w:tcW w:w="584"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层</w:t>
            </w:r>
          </w:p>
        </w:tc>
        <w:tc>
          <w:tcPr>
            <w:tcW w:w="3222" w:type="dxa"/>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2</w:t>
            </w:r>
          </w:p>
        </w:tc>
        <w:tc>
          <w:tcPr>
            <w:tcW w:w="2441" w:type="dxa"/>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4</w:t>
            </w:r>
            <w:r w:rsidRPr="0003683D">
              <w:rPr>
                <w:sz w:val="18"/>
                <w:szCs w:val="18"/>
                <w:vertAlign w:val="superscript"/>
              </w:rPr>
              <w:t>-</w:t>
            </w:r>
            <w:r w:rsidRPr="0003683D">
              <w:rPr>
                <w:rFonts w:hint="eastAsia"/>
                <w:sz w:val="18"/>
                <w:szCs w:val="18"/>
                <w:vertAlign w:val="superscript"/>
              </w:rPr>
              <w:t>1</w:t>
            </w:r>
            <w:r w:rsidRPr="0003683D">
              <w:rPr>
                <w:rFonts w:hAnsi="宋体"/>
                <w:sz w:val="18"/>
                <w:szCs w:val="18"/>
              </w:rPr>
              <w:t>、</w:t>
            </w:r>
            <w:r w:rsidRPr="0003683D">
              <w:rPr>
                <w:rFonts w:hint="eastAsia"/>
                <w:sz w:val="18"/>
                <w:szCs w:val="18"/>
              </w:rPr>
              <w:t>4</w:t>
            </w:r>
            <w:r w:rsidRPr="0003683D">
              <w:rPr>
                <w:sz w:val="18"/>
                <w:szCs w:val="18"/>
                <w:vertAlign w:val="superscript"/>
              </w:rPr>
              <w:t>-2</w:t>
            </w: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平均厚度</w:t>
            </w:r>
          </w:p>
        </w:tc>
        <w:tc>
          <w:tcPr>
            <w:tcW w:w="584" w:type="dxa"/>
            <w:tcMar>
              <w:left w:w="6" w:type="dxa"/>
              <w:right w:w="6" w:type="dxa"/>
            </w:tcMar>
            <w:vAlign w:val="center"/>
          </w:tcPr>
          <w:p w:rsidR="00C223F5" w:rsidRPr="0003683D" w:rsidRDefault="005860D5" w:rsidP="001B3488">
            <w:pPr>
              <w:jc w:val="center"/>
              <w:rPr>
                <w:sz w:val="18"/>
                <w:szCs w:val="18"/>
              </w:rPr>
            </w:pPr>
            <w:r w:rsidRPr="0003683D">
              <w:rPr>
                <w:sz w:val="18"/>
                <w:szCs w:val="18"/>
              </w:rPr>
              <w:t>m</w:t>
            </w:r>
          </w:p>
        </w:tc>
        <w:tc>
          <w:tcPr>
            <w:tcW w:w="3222" w:type="dxa"/>
            <w:tcMar>
              <w:left w:w="6" w:type="dxa"/>
              <w:right w:w="6" w:type="dxa"/>
            </w:tcMar>
            <w:vAlign w:val="center"/>
          </w:tcPr>
          <w:p w:rsidR="00C223F5" w:rsidRPr="0003683D" w:rsidRDefault="005860D5" w:rsidP="001B3488">
            <w:pPr>
              <w:jc w:val="center"/>
              <w:rPr>
                <w:sz w:val="18"/>
                <w:szCs w:val="18"/>
              </w:rPr>
            </w:pPr>
            <w:r w:rsidRPr="0003683D">
              <w:rPr>
                <w:kern w:val="0"/>
                <w:sz w:val="18"/>
                <w:szCs w:val="18"/>
              </w:rPr>
              <w:t>1.85m</w:t>
            </w:r>
            <w:r w:rsidRPr="0003683D">
              <w:rPr>
                <w:rFonts w:hint="eastAsia"/>
                <w:kern w:val="0"/>
                <w:sz w:val="18"/>
                <w:szCs w:val="18"/>
              </w:rPr>
              <w:t>/</w:t>
            </w:r>
            <w:r w:rsidRPr="0003683D">
              <w:rPr>
                <w:kern w:val="0"/>
                <w:sz w:val="18"/>
                <w:szCs w:val="18"/>
              </w:rPr>
              <w:t>0.89</w:t>
            </w:r>
            <w:r w:rsidRPr="0003683D">
              <w:rPr>
                <w:sz w:val="18"/>
                <w:szCs w:val="18"/>
              </w:rPr>
              <w:t>m</w:t>
            </w:r>
          </w:p>
        </w:tc>
        <w:tc>
          <w:tcPr>
            <w:tcW w:w="2441" w:type="dxa"/>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4</w:t>
            </w:r>
            <w:r w:rsidRPr="0003683D">
              <w:rPr>
                <w:sz w:val="18"/>
                <w:szCs w:val="18"/>
                <w:vertAlign w:val="superscript"/>
              </w:rPr>
              <w:t>-</w:t>
            </w:r>
            <w:r w:rsidRPr="0003683D">
              <w:rPr>
                <w:rFonts w:hint="eastAsia"/>
                <w:sz w:val="18"/>
                <w:szCs w:val="18"/>
                <w:vertAlign w:val="superscript"/>
              </w:rPr>
              <w:t>1</w:t>
            </w:r>
            <w:r w:rsidRPr="0003683D">
              <w:rPr>
                <w:rFonts w:hAnsi="宋体"/>
                <w:sz w:val="18"/>
                <w:szCs w:val="18"/>
              </w:rPr>
              <w:t>、</w:t>
            </w:r>
            <w:r w:rsidRPr="0003683D">
              <w:rPr>
                <w:rFonts w:hint="eastAsia"/>
                <w:sz w:val="18"/>
                <w:szCs w:val="18"/>
              </w:rPr>
              <w:t>4</w:t>
            </w:r>
            <w:r w:rsidRPr="0003683D">
              <w:rPr>
                <w:sz w:val="18"/>
                <w:szCs w:val="18"/>
                <w:vertAlign w:val="superscript"/>
              </w:rPr>
              <w:t>-2</w:t>
            </w: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煤层倾角</w:t>
            </w:r>
          </w:p>
        </w:tc>
        <w:tc>
          <w:tcPr>
            <w:tcW w:w="584"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度</w:t>
            </w:r>
          </w:p>
        </w:tc>
        <w:tc>
          <w:tcPr>
            <w:tcW w:w="3222"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小于</w:t>
            </w:r>
            <w:r w:rsidRPr="0003683D">
              <w:rPr>
                <w:sz w:val="18"/>
                <w:szCs w:val="18"/>
              </w:rPr>
              <w:t>1°</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5</w:t>
            </w:r>
          </w:p>
        </w:tc>
        <w:tc>
          <w:tcPr>
            <w:tcW w:w="2306" w:type="dxa"/>
            <w:gridSpan w:val="2"/>
            <w:tcMar>
              <w:left w:w="6" w:type="dxa"/>
              <w:right w:w="6" w:type="dxa"/>
            </w:tcMar>
            <w:vAlign w:val="center"/>
          </w:tcPr>
          <w:p w:rsidR="00C223F5" w:rsidRPr="0003683D" w:rsidRDefault="005860D5" w:rsidP="001B3488">
            <w:pPr>
              <w:jc w:val="center"/>
              <w:rPr>
                <w:rFonts w:eastAsiaTheme="minorEastAsia"/>
                <w:sz w:val="18"/>
                <w:szCs w:val="18"/>
              </w:rPr>
            </w:pPr>
            <w:r w:rsidRPr="0003683D">
              <w:rPr>
                <w:rFonts w:eastAsiaTheme="minorEastAsia"/>
                <w:sz w:val="18"/>
                <w:szCs w:val="18"/>
              </w:rPr>
              <w:t>煤类</w:t>
            </w:r>
          </w:p>
        </w:tc>
        <w:tc>
          <w:tcPr>
            <w:tcW w:w="584" w:type="dxa"/>
            <w:tcMar>
              <w:left w:w="6" w:type="dxa"/>
              <w:right w:w="6" w:type="dxa"/>
            </w:tcMar>
            <w:vAlign w:val="center"/>
          </w:tcPr>
          <w:p w:rsidR="00C223F5" w:rsidRPr="0003683D" w:rsidRDefault="005860D5" w:rsidP="001B3488">
            <w:pPr>
              <w:jc w:val="center"/>
              <w:rPr>
                <w:rFonts w:eastAsiaTheme="minorEastAsia"/>
                <w:sz w:val="18"/>
                <w:szCs w:val="18"/>
              </w:rPr>
            </w:pPr>
            <w:r w:rsidRPr="0003683D">
              <w:rPr>
                <w:rFonts w:eastAsiaTheme="minorEastAsia"/>
                <w:sz w:val="18"/>
                <w:szCs w:val="18"/>
              </w:rPr>
              <w:t>/</w:t>
            </w:r>
          </w:p>
        </w:tc>
        <w:tc>
          <w:tcPr>
            <w:tcW w:w="3222" w:type="dxa"/>
            <w:tcMar>
              <w:left w:w="6" w:type="dxa"/>
              <w:right w:w="6" w:type="dxa"/>
            </w:tcMar>
            <w:vAlign w:val="center"/>
          </w:tcPr>
          <w:p w:rsidR="00C223F5" w:rsidRPr="0003683D" w:rsidRDefault="005860D5" w:rsidP="001B3488">
            <w:pPr>
              <w:adjustRightInd w:val="0"/>
              <w:snapToGrid w:val="0"/>
              <w:jc w:val="center"/>
              <w:rPr>
                <w:sz w:val="18"/>
                <w:szCs w:val="18"/>
              </w:rPr>
            </w:pPr>
            <w:r w:rsidRPr="0003683D">
              <w:rPr>
                <w:rFonts w:hAnsi="宋体"/>
                <w:sz w:val="18"/>
                <w:szCs w:val="18"/>
              </w:rPr>
              <w:t>长焰煤（</w:t>
            </w:r>
            <w:r w:rsidRPr="0003683D">
              <w:rPr>
                <w:sz w:val="18"/>
                <w:szCs w:val="18"/>
              </w:rPr>
              <w:t>CY42</w:t>
            </w:r>
            <w:r w:rsidRPr="0003683D">
              <w:rPr>
                <w:rFonts w:hAnsi="宋体"/>
                <w:sz w:val="18"/>
                <w:szCs w:val="18"/>
              </w:rPr>
              <w:t>）为主</w:t>
            </w:r>
          </w:p>
        </w:tc>
        <w:tc>
          <w:tcPr>
            <w:tcW w:w="2441"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少量气煤</w:t>
            </w:r>
            <w:r w:rsidRPr="0003683D">
              <w:rPr>
                <w:sz w:val="18"/>
                <w:szCs w:val="18"/>
              </w:rPr>
              <w:t xml:space="preserve"> (QM43)</w:t>
            </w:r>
          </w:p>
        </w:tc>
      </w:tr>
      <w:tr w:rsidR="00C223F5" w:rsidRPr="0003683D" w:rsidTr="001B3488">
        <w:trPr>
          <w:trHeight w:val="139"/>
          <w:jc w:val="center"/>
        </w:trPr>
        <w:tc>
          <w:tcPr>
            <w:tcW w:w="600" w:type="dxa"/>
            <w:vMerge w:val="restart"/>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6</w:t>
            </w:r>
          </w:p>
        </w:tc>
        <w:tc>
          <w:tcPr>
            <w:tcW w:w="530" w:type="dxa"/>
            <w:vMerge w:val="restart"/>
            <w:tcMar>
              <w:left w:w="6" w:type="dxa"/>
              <w:right w:w="6" w:type="dxa"/>
            </w:tcMar>
            <w:vAlign w:val="center"/>
          </w:tcPr>
          <w:p w:rsidR="00C223F5" w:rsidRPr="0003683D" w:rsidRDefault="005860D5" w:rsidP="001B3488">
            <w:pPr>
              <w:jc w:val="center"/>
              <w:rPr>
                <w:sz w:val="18"/>
                <w:szCs w:val="18"/>
              </w:rPr>
            </w:pPr>
            <w:r w:rsidRPr="0003683D">
              <w:rPr>
                <w:sz w:val="18"/>
                <w:szCs w:val="18"/>
              </w:rPr>
              <w:t>煤质</w:t>
            </w:r>
          </w:p>
        </w:tc>
        <w:tc>
          <w:tcPr>
            <w:tcW w:w="1776"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灰分</w:t>
            </w:r>
          </w:p>
        </w:tc>
        <w:tc>
          <w:tcPr>
            <w:tcW w:w="584"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w:t>
            </w:r>
          </w:p>
        </w:tc>
        <w:tc>
          <w:tcPr>
            <w:tcW w:w="3222" w:type="dxa"/>
            <w:tcMar>
              <w:left w:w="6" w:type="dxa"/>
              <w:right w:w="6" w:type="dxa"/>
            </w:tcMar>
            <w:vAlign w:val="center"/>
          </w:tcPr>
          <w:p w:rsidR="00C223F5" w:rsidRPr="0003683D" w:rsidRDefault="005860D5" w:rsidP="001B3488">
            <w:pPr>
              <w:jc w:val="center"/>
              <w:rPr>
                <w:bCs/>
                <w:sz w:val="18"/>
                <w:szCs w:val="18"/>
                <w:lang w:val="en-GB"/>
              </w:rPr>
            </w:pPr>
            <w:r w:rsidRPr="0003683D">
              <w:rPr>
                <w:bCs/>
                <w:sz w:val="18"/>
                <w:szCs w:val="18"/>
                <w:lang w:val="en-GB"/>
              </w:rPr>
              <w:t>17.25/14.72</w:t>
            </w:r>
          </w:p>
        </w:tc>
        <w:tc>
          <w:tcPr>
            <w:tcW w:w="2441" w:type="dxa"/>
            <w:vMerge w:val="restart"/>
            <w:tcMar>
              <w:left w:w="6" w:type="dxa"/>
              <w:right w:w="6" w:type="dxa"/>
            </w:tcMar>
            <w:vAlign w:val="center"/>
          </w:tcPr>
          <w:p w:rsidR="00C223F5" w:rsidRPr="0003683D" w:rsidRDefault="005860D5" w:rsidP="001B3488">
            <w:pPr>
              <w:jc w:val="center"/>
              <w:rPr>
                <w:sz w:val="18"/>
                <w:szCs w:val="18"/>
              </w:rPr>
            </w:pPr>
            <w:r w:rsidRPr="0003683D">
              <w:rPr>
                <w:rFonts w:eastAsiaTheme="minorEastAsia" w:hAnsiTheme="minorEastAsia" w:hint="eastAsia"/>
                <w:sz w:val="18"/>
                <w:szCs w:val="18"/>
              </w:rPr>
              <w:t>4</w:t>
            </w:r>
            <w:r w:rsidRPr="0003683D">
              <w:rPr>
                <w:rFonts w:eastAsiaTheme="minorEastAsia" w:hAnsiTheme="minorEastAsia" w:hint="eastAsia"/>
                <w:sz w:val="18"/>
                <w:szCs w:val="18"/>
                <w:vertAlign w:val="superscript"/>
              </w:rPr>
              <w:t>-1</w:t>
            </w:r>
            <w:r w:rsidRPr="0003683D">
              <w:rPr>
                <w:rFonts w:eastAsiaTheme="minorEastAsia" w:hAnsiTheme="minorEastAsia" w:hint="eastAsia"/>
                <w:sz w:val="18"/>
                <w:szCs w:val="18"/>
              </w:rPr>
              <w:t>号</w:t>
            </w:r>
            <w:r w:rsidRPr="0003683D">
              <w:rPr>
                <w:rFonts w:eastAsiaTheme="minorEastAsia" w:hAnsiTheme="minorEastAsia" w:hint="eastAsia"/>
                <w:sz w:val="18"/>
                <w:szCs w:val="18"/>
              </w:rPr>
              <w:t>/4</w:t>
            </w:r>
            <w:r w:rsidRPr="0003683D">
              <w:rPr>
                <w:rFonts w:eastAsiaTheme="minorEastAsia" w:hAnsiTheme="minorEastAsia" w:hint="eastAsia"/>
                <w:sz w:val="18"/>
                <w:szCs w:val="18"/>
                <w:vertAlign w:val="superscript"/>
              </w:rPr>
              <w:t>-2</w:t>
            </w:r>
            <w:r w:rsidRPr="0003683D">
              <w:rPr>
                <w:rFonts w:eastAsiaTheme="minorEastAsia" w:hAnsiTheme="minorEastAsia" w:hint="eastAsia"/>
                <w:sz w:val="18"/>
                <w:szCs w:val="18"/>
              </w:rPr>
              <w:t>号</w:t>
            </w:r>
            <w:r w:rsidRPr="0003683D">
              <w:rPr>
                <w:rFonts w:eastAsiaTheme="minorEastAsia" w:hAnsiTheme="minorEastAsia"/>
                <w:sz w:val="18"/>
                <w:szCs w:val="18"/>
              </w:rPr>
              <w:t>平均</w:t>
            </w: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硫分</w:t>
            </w:r>
          </w:p>
        </w:tc>
        <w:tc>
          <w:tcPr>
            <w:tcW w:w="584"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w:t>
            </w:r>
          </w:p>
        </w:tc>
        <w:tc>
          <w:tcPr>
            <w:tcW w:w="3222" w:type="dxa"/>
            <w:tcMar>
              <w:left w:w="6" w:type="dxa"/>
              <w:right w:w="6" w:type="dxa"/>
            </w:tcMar>
            <w:vAlign w:val="center"/>
          </w:tcPr>
          <w:p w:rsidR="00C223F5" w:rsidRPr="0003683D" w:rsidRDefault="005860D5" w:rsidP="001B3488">
            <w:pPr>
              <w:jc w:val="center"/>
              <w:rPr>
                <w:bCs/>
                <w:sz w:val="18"/>
                <w:szCs w:val="18"/>
                <w:lang w:val="en-GB"/>
              </w:rPr>
            </w:pPr>
            <w:r w:rsidRPr="0003683D">
              <w:rPr>
                <w:bCs/>
                <w:sz w:val="18"/>
                <w:szCs w:val="18"/>
                <w:lang w:val="en-GB"/>
              </w:rPr>
              <w:t>0.76/0.89</w:t>
            </w:r>
          </w:p>
        </w:tc>
        <w:tc>
          <w:tcPr>
            <w:tcW w:w="2441" w:type="dxa"/>
            <w:vMerge/>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挥发份</w:t>
            </w:r>
          </w:p>
        </w:tc>
        <w:tc>
          <w:tcPr>
            <w:tcW w:w="584"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w:t>
            </w:r>
          </w:p>
        </w:tc>
        <w:tc>
          <w:tcPr>
            <w:tcW w:w="3222" w:type="dxa"/>
            <w:tcMar>
              <w:left w:w="6" w:type="dxa"/>
              <w:right w:w="6" w:type="dxa"/>
            </w:tcMar>
            <w:vAlign w:val="center"/>
          </w:tcPr>
          <w:p w:rsidR="00C223F5" w:rsidRPr="0003683D" w:rsidRDefault="005860D5" w:rsidP="001B3488">
            <w:pPr>
              <w:jc w:val="center"/>
              <w:rPr>
                <w:bCs/>
                <w:sz w:val="18"/>
                <w:szCs w:val="18"/>
                <w:lang w:val="en-GB"/>
              </w:rPr>
            </w:pPr>
            <w:r w:rsidRPr="0003683D">
              <w:rPr>
                <w:bCs/>
                <w:sz w:val="18"/>
                <w:szCs w:val="18"/>
                <w:lang w:val="en-GB"/>
              </w:rPr>
              <w:t>41.87/42.11</w:t>
            </w:r>
          </w:p>
        </w:tc>
        <w:tc>
          <w:tcPr>
            <w:tcW w:w="2441" w:type="dxa"/>
            <w:vMerge/>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发热量</w:t>
            </w:r>
          </w:p>
        </w:tc>
        <w:tc>
          <w:tcPr>
            <w:tcW w:w="584"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MJ/kg</w:t>
            </w:r>
          </w:p>
        </w:tc>
        <w:tc>
          <w:tcPr>
            <w:tcW w:w="3222" w:type="dxa"/>
            <w:tcMar>
              <w:left w:w="6" w:type="dxa"/>
              <w:right w:w="6" w:type="dxa"/>
            </w:tcMar>
            <w:vAlign w:val="center"/>
          </w:tcPr>
          <w:p w:rsidR="00C223F5" w:rsidRPr="0003683D" w:rsidRDefault="005860D5" w:rsidP="001B3488">
            <w:pPr>
              <w:jc w:val="center"/>
              <w:rPr>
                <w:bCs/>
                <w:sz w:val="18"/>
                <w:szCs w:val="18"/>
                <w:lang w:val="en-GB"/>
              </w:rPr>
            </w:pPr>
            <w:r w:rsidRPr="0003683D">
              <w:rPr>
                <w:bCs/>
                <w:sz w:val="18"/>
                <w:szCs w:val="18"/>
                <w:lang w:val="en-GB"/>
              </w:rPr>
              <w:t>28.71/28.06</w:t>
            </w:r>
          </w:p>
        </w:tc>
        <w:tc>
          <w:tcPr>
            <w:tcW w:w="2441" w:type="dxa"/>
            <w:vMerge/>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val="restart"/>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7</w:t>
            </w:r>
          </w:p>
        </w:tc>
        <w:tc>
          <w:tcPr>
            <w:tcW w:w="530" w:type="dxa"/>
            <w:vMerge w:val="restart"/>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开拓</w:t>
            </w: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开拓方式</w:t>
            </w:r>
          </w:p>
        </w:tc>
        <w:tc>
          <w:tcPr>
            <w:tcW w:w="584" w:type="dxa"/>
            <w:tcMar>
              <w:left w:w="6" w:type="dxa"/>
              <w:right w:w="6" w:type="dxa"/>
            </w:tcMar>
            <w:vAlign w:val="center"/>
          </w:tcPr>
          <w:p w:rsidR="00C223F5" w:rsidRPr="0003683D" w:rsidRDefault="005860D5" w:rsidP="001B3488">
            <w:pPr>
              <w:jc w:val="center"/>
              <w:rPr>
                <w:sz w:val="18"/>
                <w:szCs w:val="18"/>
              </w:rPr>
            </w:pPr>
            <w:r w:rsidRPr="0003683D">
              <w:rPr>
                <w:sz w:val="18"/>
                <w:szCs w:val="18"/>
              </w:rPr>
              <w:t>/</w:t>
            </w:r>
          </w:p>
        </w:tc>
        <w:tc>
          <w:tcPr>
            <w:tcW w:w="3222" w:type="dxa"/>
            <w:tcMar>
              <w:left w:w="6" w:type="dxa"/>
              <w:right w:w="6" w:type="dxa"/>
            </w:tcMar>
            <w:vAlign w:val="center"/>
          </w:tcPr>
          <w:p w:rsidR="00C223F5" w:rsidRPr="0003683D" w:rsidRDefault="005860D5" w:rsidP="001B3488">
            <w:pPr>
              <w:jc w:val="center"/>
              <w:rPr>
                <w:sz w:val="18"/>
                <w:szCs w:val="18"/>
              </w:rPr>
            </w:pPr>
            <w:r w:rsidRPr="0003683D">
              <w:rPr>
                <w:rFonts w:hAnsi="宋体"/>
                <w:kern w:val="0"/>
                <w:sz w:val="18"/>
                <w:szCs w:val="18"/>
              </w:rPr>
              <w:t>斜井</w:t>
            </w:r>
          </w:p>
        </w:tc>
        <w:tc>
          <w:tcPr>
            <w:tcW w:w="2441" w:type="dxa"/>
            <w:tcMar>
              <w:left w:w="6" w:type="dxa"/>
              <w:right w:w="6" w:type="dxa"/>
            </w:tcMar>
            <w:vAlign w:val="center"/>
          </w:tcPr>
          <w:p w:rsidR="00C223F5" w:rsidRPr="0003683D" w:rsidRDefault="005860D5" w:rsidP="001B3488">
            <w:pPr>
              <w:jc w:val="center"/>
              <w:rPr>
                <w:kern w:val="0"/>
                <w:sz w:val="18"/>
                <w:szCs w:val="18"/>
              </w:rPr>
            </w:pPr>
            <w:r w:rsidRPr="0003683D">
              <w:rPr>
                <w:rFonts w:hAnsi="宋体"/>
                <w:kern w:val="0"/>
                <w:sz w:val="18"/>
                <w:szCs w:val="18"/>
              </w:rPr>
              <w:t>立井回风</w:t>
            </w: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水平划分</w:t>
            </w:r>
            <w:r w:rsidRPr="0003683D">
              <w:rPr>
                <w:rFonts w:hAnsi="宋体" w:hint="eastAsia"/>
                <w:sz w:val="18"/>
                <w:szCs w:val="18"/>
              </w:rPr>
              <w:t>/</w:t>
            </w:r>
            <w:r w:rsidRPr="0003683D">
              <w:rPr>
                <w:rFonts w:hAnsi="宋体" w:hint="eastAsia"/>
                <w:sz w:val="18"/>
                <w:szCs w:val="18"/>
              </w:rPr>
              <w:t>水平标高</w:t>
            </w:r>
          </w:p>
        </w:tc>
        <w:tc>
          <w:tcPr>
            <w:tcW w:w="584" w:type="dxa"/>
            <w:tcMar>
              <w:left w:w="6" w:type="dxa"/>
              <w:right w:w="6" w:type="dxa"/>
            </w:tcMar>
            <w:vAlign w:val="center"/>
          </w:tcPr>
          <w:p w:rsidR="00C223F5" w:rsidRPr="0003683D" w:rsidRDefault="005860D5" w:rsidP="001B3488">
            <w:pPr>
              <w:jc w:val="center"/>
              <w:rPr>
                <w:sz w:val="18"/>
                <w:szCs w:val="18"/>
              </w:rPr>
            </w:pPr>
            <w:r w:rsidRPr="0003683D">
              <w:rPr>
                <w:sz w:val="18"/>
                <w:szCs w:val="18"/>
              </w:rPr>
              <w:t>/</w:t>
            </w:r>
          </w:p>
        </w:tc>
        <w:tc>
          <w:tcPr>
            <w:tcW w:w="3222" w:type="dxa"/>
            <w:tcMar>
              <w:left w:w="6" w:type="dxa"/>
              <w:right w:w="6" w:type="dxa"/>
            </w:tcMar>
            <w:vAlign w:val="center"/>
          </w:tcPr>
          <w:p w:rsidR="00C223F5" w:rsidRPr="0003683D" w:rsidRDefault="005860D5" w:rsidP="001B3488">
            <w:pPr>
              <w:jc w:val="center"/>
              <w:rPr>
                <w:rFonts w:hAnsi="宋体"/>
                <w:sz w:val="18"/>
                <w:szCs w:val="18"/>
              </w:rPr>
            </w:pPr>
            <w:r w:rsidRPr="0003683D">
              <w:rPr>
                <w:rFonts w:hAnsi="宋体" w:hint="eastAsia"/>
                <w:sz w:val="18"/>
                <w:szCs w:val="18"/>
              </w:rPr>
              <w:t>一</w:t>
            </w:r>
            <w:r w:rsidRPr="0003683D">
              <w:rPr>
                <w:rFonts w:hAnsi="宋体"/>
                <w:sz w:val="18"/>
                <w:szCs w:val="18"/>
              </w:rPr>
              <w:t>个</w:t>
            </w:r>
            <w:r w:rsidRPr="0003683D">
              <w:rPr>
                <w:rFonts w:hAnsi="宋体" w:hint="eastAsia"/>
                <w:sz w:val="18"/>
                <w:szCs w:val="18"/>
              </w:rPr>
              <w:t>水平</w:t>
            </w:r>
            <w:r w:rsidRPr="0003683D">
              <w:rPr>
                <w:rFonts w:hAnsi="宋体" w:hint="eastAsia"/>
                <w:sz w:val="18"/>
                <w:szCs w:val="18"/>
              </w:rPr>
              <w:t>/</w:t>
            </w:r>
            <w:r w:rsidRPr="0003683D">
              <w:rPr>
                <w:rFonts w:hAnsi="宋体" w:hint="eastAsia"/>
                <w:sz w:val="18"/>
                <w:szCs w:val="18"/>
              </w:rPr>
              <w:t>水平标高</w:t>
            </w:r>
            <w:r w:rsidRPr="0003683D">
              <w:rPr>
                <w:rFonts w:hAnsi="宋体" w:hint="eastAsia"/>
                <w:sz w:val="18"/>
                <w:szCs w:val="18"/>
              </w:rPr>
              <w:t>+880m</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采煤方法</w:t>
            </w:r>
          </w:p>
        </w:tc>
        <w:tc>
          <w:tcPr>
            <w:tcW w:w="584" w:type="dxa"/>
            <w:tcMar>
              <w:left w:w="6" w:type="dxa"/>
              <w:right w:w="6" w:type="dxa"/>
            </w:tcMar>
            <w:vAlign w:val="center"/>
          </w:tcPr>
          <w:p w:rsidR="00C223F5" w:rsidRPr="0003683D" w:rsidRDefault="005860D5" w:rsidP="001B3488">
            <w:pPr>
              <w:jc w:val="center"/>
              <w:rPr>
                <w:sz w:val="18"/>
                <w:szCs w:val="18"/>
              </w:rPr>
            </w:pPr>
            <w:r w:rsidRPr="0003683D">
              <w:rPr>
                <w:sz w:val="18"/>
                <w:szCs w:val="18"/>
              </w:rPr>
              <w:t>/</w:t>
            </w:r>
          </w:p>
        </w:tc>
        <w:tc>
          <w:tcPr>
            <w:tcW w:w="3222" w:type="dxa"/>
            <w:tcMar>
              <w:left w:w="6" w:type="dxa"/>
              <w:right w:w="6" w:type="dxa"/>
            </w:tcMar>
            <w:vAlign w:val="center"/>
          </w:tcPr>
          <w:p w:rsidR="00C223F5" w:rsidRPr="0003683D" w:rsidRDefault="005860D5" w:rsidP="001B3488">
            <w:pPr>
              <w:jc w:val="center"/>
              <w:rPr>
                <w:sz w:val="18"/>
                <w:szCs w:val="18"/>
              </w:rPr>
            </w:pPr>
            <w:r w:rsidRPr="0003683D">
              <w:rPr>
                <w:rFonts w:hAnsi="宋体" w:hint="eastAsia"/>
                <w:sz w:val="18"/>
                <w:szCs w:val="18"/>
              </w:rPr>
              <w:t>长壁综合机械化一次采全高采煤法</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rFonts w:eastAsiaTheme="minorEastAsia"/>
                <w:sz w:val="18"/>
                <w:szCs w:val="18"/>
              </w:rPr>
            </w:pPr>
            <w:r w:rsidRPr="0003683D">
              <w:rPr>
                <w:rFonts w:eastAsiaTheme="minorEastAsia" w:hAnsiTheme="minorEastAsia"/>
                <w:spacing w:val="-6"/>
                <w:sz w:val="18"/>
                <w:szCs w:val="18"/>
              </w:rPr>
              <w:t>大巷主</w:t>
            </w:r>
            <w:r w:rsidRPr="0003683D">
              <w:rPr>
                <w:rFonts w:eastAsiaTheme="minorEastAsia"/>
                <w:spacing w:val="-6"/>
                <w:sz w:val="18"/>
                <w:szCs w:val="18"/>
              </w:rPr>
              <w:t>/</w:t>
            </w:r>
            <w:r w:rsidRPr="0003683D">
              <w:rPr>
                <w:rFonts w:eastAsiaTheme="minorEastAsia" w:hAnsiTheme="minorEastAsia"/>
                <w:spacing w:val="-6"/>
                <w:sz w:val="18"/>
                <w:szCs w:val="18"/>
              </w:rPr>
              <w:t>辅运输</w:t>
            </w:r>
          </w:p>
        </w:tc>
        <w:tc>
          <w:tcPr>
            <w:tcW w:w="584" w:type="dxa"/>
            <w:tcMar>
              <w:left w:w="6" w:type="dxa"/>
              <w:right w:w="6" w:type="dxa"/>
            </w:tcMar>
            <w:vAlign w:val="center"/>
          </w:tcPr>
          <w:p w:rsidR="00C223F5" w:rsidRPr="0003683D" w:rsidRDefault="005860D5" w:rsidP="001B3488">
            <w:pPr>
              <w:jc w:val="center"/>
              <w:rPr>
                <w:rFonts w:eastAsiaTheme="minorEastAsia"/>
                <w:sz w:val="18"/>
                <w:szCs w:val="18"/>
              </w:rPr>
            </w:pPr>
            <w:r w:rsidRPr="0003683D">
              <w:rPr>
                <w:rFonts w:eastAsiaTheme="minorEastAsia"/>
                <w:sz w:val="18"/>
                <w:szCs w:val="18"/>
              </w:rPr>
              <w:t>/</w:t>
            </w:r>
          </w:p>
        </w:tc>
        <w:tc>
          <w:tcPr>
            <w:tcW w:w="3222" w:type="dxa"/>
            <w:tcMar>
              <w:left w:w="6" w:type="dxa"/>
              <w:right w:w="6" w:type="dxa"/>
            </w:tcMar>
            <w:vAlign w:val="center"/>
          </w:tcPr>
          <w:p w:rsidR="00C223F5" w:rsidRPr="0003683D" w:rsidRDefault="005860D5" w:rsidP="001B3488">
            <w:pPr>
              <w:tabs>
                <w:tab w:val="left" w:pos="2565"/>
              </w:tabs>
              <w:jc w:val="center"/>
              <w:rPr>
                <w:rFonts w:eastAsiaTheme="minorEastAsia"/>
                <w:sz w:val="18"/>
                <w:szCs w:val="18"/>
              </w:rPr>
            </w:pPr>
            <w:r w:rsidRPr="0003683D">
              <w:rPr>
                <w:rFonts w:eastAsiaTheme="minorEastAsia" w:hAnsiTheme="minorEastAsia"/>
                <w:sz w:val="18"/>
                <w:szCs w:val="18"/>
              </w:rPr>
              <w:t>带式输送机</w:t>
            </w:r>
            <w:r w:rsidRPr="0003683D">
              <w:rPr>
                <w:rFonts w:eastAsiaTheme="minorEastAsia"/>
                <w:sz w:val="18"/>
                <w:szCs w:val="18"/>
              </w:rPr>
              <w:t>/</w:t>
            </w:r>
            <w:r w:rsidRPr="0003683D">
              <w:rPr>
                <w:rFonts w:eastAsiaTheme="minorEastAsia" w:hAnsiTheme="minorEastAsia"/>
                <w:sz w:val="18"/>
                <w:szCs w:val="18"/>
              </w:rPr>
              <w:t>无轨胶轮车</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276"/>
          <w:jc w:val="center"/>
        </w:trPr>
        <w:tc>
          <w:tcPr>
            <w:tcW w:w="600" w:type="dxa"/>
            <w:vMerge w:val="restart"/>
            <w:tcMar>
              <w:left w:w="6" w:type="dxa"/>
              <w:right w:w="6" w:type="dxa"/>
            </w:tcMar>
            <w:vAlign w:val="center"/>
          </w:tcPr>
          <w:p w:rsidR="00C223F5" w:rsidRPr="0003683D" w:rsidRDefault="005860D5" w:rsidP="001B3488">
            <w:pPr>
              <w:jc w:val="center"/>
              <w:rPr>
                <w:b/>
                <w:sz w:val="18"/>
                <w:szCs w:val="18"/>
              </w:rPr>
            </w:pPr>
            <w:r w:rsidRPr="0003683D">
              <w:rPr>
                <w:b/>
                <w:sz w:val="18"/>
                <w:szCs w:val="18"/>
              </w:rPr>
              <w:t>9</w:t>
            </w:r>
          </w:p>
        </w:tc>
        <w:tc>
          <w:tcPr>
            <w:tcW w:w="530" w:type="dxa"/>
            <w:vMerge w:val="restart"/>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井筒</w:t>
            </w: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主斜井长度</w:t>
            </w:r>
          </w:p>
        </w:tc>
        <w:tc>
          <w:tcPr>
            <w:tcW w:w="584" w:type="dxa"/>
            <w:vMerge w:val="restart"/>
            <w:tcMar>
              <w:left w:w="6" w:type="dxa"/>
              <w:right w:w="6" w:type="dxa"/>
            </w:tcMar>
            <w:vAlign w:val="center"/>
          </w:tcPr>
          <w:p w:rsidR="00C223F5" w:rsidRPr="0003683D" w:rsidRDefault="005860D5" w:rsidP="001B3488">
            <w:pPr>
              <w:jc w:val="center"/>
              <w:rPr>
                <w:sz w:val="18"/>
                <w:szCs w:val="18"/>
              </w:rPr>
            </w:pPr>
            <w:r w:rsidRPr="0003683D">
              <w:rPr>
                <w:sz w:val="18"/>
                <w:szCs w:val="18"/>
              </w:rPr>
              <w:t>m</w:t>
            </w:r>
          </w:p>
        </w:tc>
        <w:tc>
          <w:tcPr>
            <w:tcW w:w="3222" w:type="dxa"/>
            <w:tcMar>
              <w:left w:w="6" w:type="dxa"/>
              <w:right w:w="6" w:type="dxa"/>
            </w:tcMar>
            <w:vAlign w:val="center"/>
          </w:tcPr>
          <w:p w:rsidR="00C223F5" w:rsidRPr="0003683D" w:rsidRDefault="005860D5" w:rsidP="001B3488">
            <w:pPr>
              <w:jc w:val="center"/>
              <w:rPr>
                <w:kern w:val="0"/>
                <w:sz w:val="18"/>
                <w:szCs w:val="18"/>
              </w:rPr>
            </w:pPr>
            <w:r w:rsidRPr="0003683D">
              <w:rPr>
                <w:rFonts w:hint="eastAsia"/>
                <w:kern w:val="0"/>
                <w:sz w:val="18"/>
                <w:szCs w:val="18"/>
              </w:rPr>
              <w:t>斜长</w:t>
            </w:r>
            <w:r w:rsidRPr="0003683D">
              <w:rPr>
                <w:rFonts w:hint="eastAsia"/>
                <w:kern w:val="0"/>
                <w:sz w:val="18"/>
                <w:szCs w:val="18"/>
              </w:rPr>
              <w:t>594</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副斜井长度</w:t>
            </w:r>
          </w:p>
        </w:tc>
        <w:tc>
          <w:tcPr>
            <w:tcW w:w="584" w:type="dxa"/>
            <w:vMerge/>
            <w:tcMar>
              <w:left w:w="6" w:type="dxa"/>
              <w:right w:w="6" w:type="dxa"/>
            </w:tcMar>
            <w:vAlign w:val="center"/>
          </w:tcPr>
          <w:p w:rsidR="00C223F5" w:rsidRPr="0003683D" w:rsidRDefault="00C223F5" w:rsidP="001B3488">
            <w:pPr>
              <w:jc w:val="center"/>
              <w:rPr>
                <w:sz w:val="18"/>
                <w:szCs w:val="18"/>
              </w:rPr>
            </w:pPr>
          </w:p>
        </w:tc>
        <w:tc>
          <w:tcPr>
            <w:tcW w:w="3222" w:type="dxa"/>
            <w:tcMar>
              <w:left w:w="6" w:type="dxa"/>
              <w:right w:w="6" w:type="dxa"/>
            </w:tcMar>
            <w:vAlign w:val="center"/>
          </w:tcPr>
          <w:p w:rsidR="00C223F5" w:rsidRPr="0003683D" w:rsidRDefault="005860D5" w:rsidP="001B3488">
            <w:pPr>
              <w:jc w:val="center"/>
              <w:rPr>
                <w:kern w:val="0"/>
                <w:sz w:val="18"/>
                <w:szCs w:val="18"/>
              </w:rPr>
            </w:pPr>
            <w:r w:rsidRPr="0003683D">
              <w:rPr>
                <w:rFonts w:hint="eastAsia"/>
                <w:kern w:val="0"/>
                <w:sz w:val="18"/>
                <w:szCs w:val="18"/>
              </w:rPr>
              <w:t>斜长</w:t>
            </w:r>
            <w:r w:rsidRPr="0003683D">
              <w:rPr>
                <w:rFonts w:hint="eastAsia"/>
                <w:kern w:val="0"/>
                <w:sz w:val="18"/>
                <w:szCs w:val="18"/>
              </w:rPr>
              <w:t>2293</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回风立井长度</w:t>
            </w:r>
          </w:p>
        </w:tc>
        <w:tc>
          <w:tcPr>
            <w:tcW w:w="584" w:type="dxa"/>
            <w:vMerge/>
            <w:tcMar>
              <w:left w:w="6" w:type="dxa"/>
              <w:right w:w="6" w:type="dxa"/>
            </w:tcMar>
            <w:vAlign w:val="center"/>
          </w:tcPr>
          <w:p w:rsidR="00C223F5" w:rsidRPr="0003683D" w:rsidRDefault="00C223F5" w:rsidP="001B3488">
            <w:pPr>
              <w:jc w:val="center"/>
              <w:rPr>
                <w:sz w:val="18"/>
                <w:szCs w:val="18"/>
              </w:rPr>
            </w:pPr>
          </w:p>
        </w:tc>
        <w:tc>
          <w:tcPr>
            <w:tcW w:w="3222" w:type="dxa"/>
            <w:tcMar>
              <w:left w:w="6" w:type="dxa"/>
              <w:right w:w="6" w:type="dxa"/>
            </w:tcMar>
            <w:vAlign w:val="center"/>
          </w:tcPr>
          <w:p w:rsidR="00C223F5" w:rsidRPr="0003683D" w:rsidRDefault="005860D5" w:rsidP="001B3488">
            <w:pPr>
              <w:jc w:val="center"/>
              <w:rPr>
                <w:kern w:val="0"/>
                <w:sz w:val="18"/>
                <w:szCs w:val="18"/>
              </w:rPr>
            </w:pPr>
            <w:r w:rsidRPr="0003683D">
              <w:rPr>
                <w:kern w:val="0"/>
                <w:sz w:val="18"/>
                <w:szCs w:val="18"/>
              </w:rPr>
              <w:t>187.783</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rFonts w:hAnsi="宋体"/>
                <w:sz w:val="18"/>
                <w:szCs w:val="18"/>
              </w:rPr>
            </w:pPr>
            <w:r w:rsidRPr="0003683D">
              <w:rPr>
                <w:rFonts w:hAnsi="宋体"/>
                <w:sz w:val="18"/>
                <w:szCs w:val="18"/>
              </w:rPr>
              <w:t>回风</w:t>
            </w:r>
            <w:r w:rsidRPr="0003683D">
              <w:rPr>
                <w:rFonts w:hAnsi="宋体" w:hint="eastAsia"/>
                <w:sz w:val="18"/>
                <w:szCs w:val="18"/>
              </w:rPr>
              <w:t>暗</w:t>
            </w:r>
            <w:r w:rsidRPr="0003683D">
              <w:rPr>
                <w:rFonts w:hAnsi="宋体"/>
                <w:sz w:val="18"/>
                <w:szCs w:val="18"/>
              </w:rPr>
              <w:t>立井长度</w:t>
            </w:r>
          </w:p>
        </w:tc>
        <w:tc>
          <w:tcPr>
            <w:tcW w:w="584" w:type="dxa"/>
            <w:vMerge/>
            <w:tcMar>
              <w:left w:w="6" w:type="dxa"/>
              <w:right w:w="6" w:type="dxa"/>
            </w:tcMar>
            <w:vAlign w:val="center"/>
          </w:tcPr>
          <w:p w:rsidR="00C223F5" w:rsidRPr="0003683D" w:rsidRDefault="00C223F5" w:rsidP="001B3488">
            <w:pPr>
              <w:jc w:val="center"/>
              <w:rPr>
                <w:sz w:val="18"/>
                <w:szCs w:val="18"/>
              </w:rPr>
            </w:pPr>
          </w:p>
        </w:tc>
        <w:tc>
          <w:tcPr>
            <w:tcW w:w="3222" w:type="dxa"/>
            <w:tcMar>
              <w:left w:w="6" w:type="dxa"/>
              <w:right w:w="6" w:type="dxa"/>
            </w:tcMar>
            <w:vAlign w:val="center"/>
          </w:tcPr>
          <w:p w:rsidR="00C223F5" w:rsidRPr="0003683D" w:rsidRDefault="005860D5" w:rsidP="001B3488">
            <w:pPr>
              <w:jc w:val="center"/>
              <w:rPr>
                <w:kern w:val="0"/>
                <w:sz w:val="18"/>
                <w:szCs w:val="18"/>
              </w:rPr>
            </w:pPr>
            <w:r w:rsidRPr="0003683D">
              <w:rPr>
                <w:rFonts w:hint="eastAsia"/>
                <w:kern w:val="0"/>
                <w:sz w:val="18"/>
                <w:szCs w:val="18"/>
              </w:rPr>
              <w:t>16</w:t>
            </w:r>
            <w:r w:rsidRPr="0003683D">
              <w:rPr>
                <w:kern w:val="0"/>
                <w:sz w:val="18"/>
                <w:szCs w:val="18"/>
              </w:rPr>
              <w:t>7.783</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284"/>
          <w:jc w:val="center"/>
        </w:trPr>
        <w:tc>
          <w:tcPr>
            <w:tcW w:w="600" w:type="dxa"/>
            <w:tcMar>
              <w:left w:w="6" w:type="dxa"/>
              <w:right w:w="6" w:type="dxa"/>
            </w:tcMar>
            <w:vAlign w:val="center"/>
          </w:tcPr>
          <w:p w:rsidR="00C223F5" w:rsidRPr="0003683D" w:rsidRDefault="005860D5" w:rsidP="001B3488">
            <w:pPr>
              <w:jc w:val="center"/>
              <w:rPr>
                <w:b/>
                <w:sz w:val="18"/>
                <w:szCs w:val="18"/>
              </w:rPr>
            </w:pPr>
            <w:r w:rsidRPr="0003683D">
              <w:rPr>
                <w:b/>
                <w:sz w:val="18"/>
                <w:szCs w:val="18"/>
              </w:rPr>
              <w:t>10</w:t>
            </w:r>
          </w:p>
        </w:tc>
        <w:tc>
          <w:tcPr>
            <w:tcW w:w="2306" w:type="dxa"/>
            <w:gridSpan w:val="2"/>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工作面回采率</w:t>
            </w:r>
          </w:p>
        </w:tc>
        <w:tc>
          <w:tcPr>
            <w:tcW w:w="584" w:type="dxa"/>
            <w:tcMar>
              <w:left w:w="6" w:type="dxa"/>
              <w:right w:w="6" w:type="dxa"/>
            </w:tcMar>
            <w:vAlign w:val="center"/>
          </w:tcPr>
          <w:p w:rsidR="00C223F5" w:rsidRPr="0003683D" w:rsidRDefault="005860D5" w:rsidP="001B3488">
            <w:pPr>
              <w:jc w:val="center"/>
              <w:rPr>
                <w:sz w:val="18"/>
                <w:szCs w:val="18"/>
              </w:rPr>
            </w:pPr>
            <w:r w:rsidRPr="0003683D">
              <w:rPr>
                <w:sz w:val="18"/>
                <w:szCs w:val="18"/>
              </w:rPr>
              <w:t>%</w:t>
            </w:r>
          </w:p>
        </w:tc>
        <w:tc>
          <w:tcPr>
            <w:tcW w:w="3222" w:type="dxa"/>
            <w:tcMar>
              <w:left w:w="6" w:type="dxa"/>
              <w:right w:w="6" w:type="dxa"/>
            </w:tcMar>
            <w:vAlign w:val="center"/>
          </w:tcPr>
          <w:p w:rsidR="00C223F5" w:rsidRPr="0003683D" w:rsidRDefault="005860D5" w:rsidP="001B3488">
            <w:pPr>
              <w:jc w:val="center"/>
              <w:rPr>
                <w:sz w:val="18"/>
                <w:szCs w:val="18"/>
              </w:rPr>
            </w:pPr>
            <w:r w:rsidRPr="0003683D">
              <w:rPr>
                <w:sz w:val="18"/>
                <w:szCs w:val="18"/>
              </w:rPr>
              <w:t>95</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284"/>
          <w:jc w:val="center"/>
        </w:trPr>
        <w:tc>
          <w:tcPr>
            <w:tcW w:w="600" w:type="dxa"/>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11</w:t>
            </w:r>
          </w:p>
        </w:tc>
        <w:tc>
          <w:tcPr>
            <w:tcW w:w="2306" w:type="dxa"/>
            <w:gridSpan w:val="2"/>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井巷工程量</w:t>
            </w:r>
          </w:p>
        </w:tc>
        <w:tc>
          <w:tcPr>
            <w:tcW w:w="584"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m</w:t>
            </w:r>
          </w:p>
        </w:tc>
        <w:tc>
          <w:tcPr>
            <w:tcW w:w="3222" w:type="dxa"/>
            <w:tcMar>
              <w:left w:w="6" w:type="dxa"/>
              <w:right w:w="6" w:type="dxa"/>
            </w:tcMar>
            <w:vAlign w:val="center"/>
          </w:tcPr>
          <w:p w:rsidR="00C223F5" w:rsidRPr="0003683D" w:rsidRDefault="005860D5" w:rsidP="001B3488">
            <w:pPr>
              <w:jc w:val="center"/>
              <w:rPr>
                <w:sz w:val="18"/>
                <w:szCs w:val="18"/>
              </w:rPr>
            </w:pPr>
            <w:r w:rsidRPr="0003683D">
              <w:rPr>
                <w:sz w:val="18"/>
                <w:szCs w:val="18"/>
              </w:rPr>
              <w:t>16667</w:t>
            </w:r>
          </w:p>
        </w:tc>
        <w:tc>
          <w:tcPr>
            <w:tcW w:w="2441"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新增</w:t>
            </w:r>
            <w:r w:rsidRPr="0003683D">
              <w:rPr>
                <w:sz w:val="18"/>
                <w:szCs w:val="18"/>
              </w:rPr>
              <w:t>16291</w:t>
            </w:r>
          </w:p>
        </w:tc>
      </w:tr>
      <w:tr w:rsidR="00C223F5" w:rsidRPr="0003683D" w:rsidTr="001B3488">
        <w:trPr>
          <w:trHeight w:val="284"/>
          <w:jc w:val="center"/>
        </w:trPr>
        <w:tc>
          <w:tcPr>
            <w:tcW w:w="600" w:type="dxa"/>
            <w:vMerge w:val="restart"/>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12</w:t>
            </w:r>
          </w:p>
        </w:tc>
        <w:tc>
          <w:tcPr>
            <w:tcW w:w="2306" w:type="dxa"/>
            <w:gridSpan w:val="2"/>
            <w:vMerge w:val="restart"/>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通风方式</w:t>
            </w:r>
          </w:p>
        </w:tc>
        <w:tc>
          <w:tcPr>
            <w:tcW w:w="584" w:type="dxa"/>
            <w:vMerge w:val="restart"/>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hint="eastAsia"/>
                <w:sz w:val="18"/>
                <w:szCs w:val="18"/>
              </w:rPr>
              <w:t>/</w:t>
            </w:r>
          </w:p>
        </w:tc>
        <w:tc>
          <w:tcPr>
            <w:tcW w:w="3222" w:type="dxa"/>
            <w:tcMar>
              <w:left w:w="6" w:type="dxa"/>
              <w:right w:w="6" w:type="dxa"/>
            </w:tcMar>
            <w:vAlign w:val="center"/>
          </w:tcPr>
          <w:p w:rsidR="00C223F5" w:rsidRPr="0003683D" w:rsidRDefault="005860D5" w:rsidP="001B3488">
            <w:pPr>
              <w:jc w:val="center"/>
              <w:rPr>
                <w:kern w:val="0"/>
                <w:sz w:val="18"/>
                <w:szCs w:val="18"/>
              </w:rPr>
            </w:pPr>
            <w:r w:rsidRPr="0003683D">
              <w:rPr>
                <w:kern w:val="0"/>
                <w:sz w:val="18"/>
                <w:szCs w:val="18"/>
              </w:rPr>
              <w:t>并列抽出式通风</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284"/>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2306" w:type="dxa"/>
            <w:gridSpan w:val="2"/>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584"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3222"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总风量为</w:t>
            </w:r>
            <w:r w:rsidRPr="0003683D">
              <w:rPr>
                <w:rFonts w:hAnsi="宋体" w:hint="eastAsia"/>
                <w:sz w:val="18"/>
                <w:szCs w:val="18"/>
              </w:rPr>
              <w:t>110</w:t>
            </w:r>
            <w:r w:rsidRPr="0003683D">
              <w:rPr>
                <w:rFonts w:hAnsi="宋体"/>
                <w:sz w:val="18"/>
                <w:szCs w:val="18"/>
              </w:rPr>
              <w:t>m</w:t>
            </w:r>
            <w:r w:rsidRPr="0003683D">
              <w:rPr>
                <w:rFonts w:hAnsi="宋体"/>
                <w:sz w:val="18"/>
                <w:szCs w:val="18"/>
                <w:vertAlign w:val="superscript"/>
              </w:rPr>
              <w:t>3</w:t>
            </w:r>
            <w:r w:rsidRPr="0003683D">
              <w:rPr>
                <w:rFonts w:hAnsi="宋体"/>
                <w:sz w:val="18"/>
                <w:szCs w:val="18"/>
              </w:rPr>
              <w:t>/s</w:t>
            </w:r>
          </w:p>
        </w:tc>
        <w:tc>
          <w:tcPr>
            <w:tcW w:w="2441" w:type="dxa"/>
            <w:tcMar>
              <w:left w:w="6" w:type="dxa"/>
              <w:right w:w="6" w:type="dxa"/>
            </w:tcMar>
            <w:vAlign w:val="center"/>
          </w:tcPr>
          <w:p w:rsidR="00C223F5" w:rsidRPr="0003683D" w:rsidRDefault="005860D5" w:rsidP="001B3488">
            <w:pPr>
              <w:jc w:val="center"/>
              <w:rPr>
                <w:sz w:val="18"/>
                <w:szCs w:val="18"/>
              </w:rPr>
            </w:pPr>
            <w:r w:rsidRPr="0003683D">
              <w:rPr>
                <w:rFonts w:hAnsi="宋体" w:hint="eastAsia"/>
                <w:sz w:val="18"/>
                <w:szCs w:val="18"/>
              </w:rPr>
              <w:t>2</w:t>
            </w:r>
            <w:r w:rsidRPr="0003683D">
              <w:rPr>
                <w:rFonts w:hAnsi="宋体" w:hint="eastAsia"/>
                <w:sz w:val="18"/>
                <w:szCs w:val="18"/>
              </w:rPr>
              <w:t>台</w:t>
            </w:r>
            <w:r w:rsidRPr="0003683D">
              <w:rPr>
                <w:rFonts w:hAnsi="宋体" w:hint="eastAsia"/>
                <w:sz w:val="18"/>
                <w:szCs w:val="18"/>
              </w:rPr>
              <w:t>FBCDZ</w:t>
            </w:r>
            <w:r w:rsidRPr="0003683D">
              <w:rPr>
                <w:rFonts w:hAnsi="宋体" w:hint="eastAsia"/>
                <w:sz w:val="18"/>
                <w:szCs w:val="18"/>
              </w:rPr>
              <w:t>№</w:t>
            </w:r>
            <w:r w:rsidRPr="0003683D">
              <w:rPr>
                <w:rFonts w:hAnsi="宋体" w:hint="eastAsia"/>
                <w:sz w:val="18"/>
                <w:szCs w:val="18"/>
              </w:rPr>
              <w:t>30/315</w:t>
            </w:r>
            <w:r w:rsidRPr="0003683D">
              <w:rPr>
                <w:rFonts w:hAnsi="宋体" w:hint="eastAsia"/>
                <w:sz w:val="18"/>
                <w:szCs w:val="18"/>
              </w:rPr>
              <w:t>×</w:t>
            </w:r>
            <w:r w:rsidRPr="0003683D">
              <w:rPr>
                <w:rFonts w:hAnsi="宋体" w:hint="eastAsia"/>
                <w:sz w:val="18"/>
                <w:szCs w:val="18"/>
              </w:rPr>
              <w:t>2</w:t>
            </w:r>
            <w:r w:rsidRPr="0003683D">
              <w:rPr>
                <w:rFonts w:hAnsi="宋体" w:hint="eastAsia"/>
                <w:sz w:val="18"/>
                <w:szCs w:val="18"/>
              </w:rPr>
              <w:t>型</w:t>
            </w:r>
          </w:p>
        </w:tc>
      </w:tr>
      <w:tr w:rsidR="00C223F5" w:rsidRPr="0003683D" w:rsidTr="001B3488">
        <w:trPr>
          <w:trHeight w:val="284"/>
          <w:jc w:val="center"/>
        </w:trPr>
        <w:tc>
          <w:tcPr>
            <w:tcW w:w="600" w:type="dxa"/>
            <w:tcMar>
              <w:left w:w="6" w:type="dxa"/>
              <w:right w:w="6" w:type="dxa"/>
            </w:tcMar>
            <w:vAlign w:val="center"/>
          </w:tcPr>
          <w:p w:rsidR="00C223F5" w:rsidRPr="0003683D" w:rsidRDefault="005860D5" w:rsidP="001B3488">
            <w:pPr>
              <w:snapToGrid w:val="0"/>
              <w:jc w:val="center"/>
              <w:rPr>
                <w:rFonts w:eastAsiaTheme="minorEastAsia"/>
                <w:b/>
                <w:sz w:val="18"/>
                <w:szCs w:val="18"/>
              </w:rPr>
            </w:pPr>
            <w:r w:rsidRPr="0003683D">
              <w:rPr>
                <w:rFonts w:eastAsiaTheme="minorEastAsia" w:hint="eastAsia"/>
                <w:b/>
                <w:sz w:val="18"/>
                <w:szCs w:val="18"/>
              </w:rPr>
              <w:t>13</w:t>
            </w:r>
          </w:p>
        </w:tc>
        <w:tc>
          <w:tcPr>
            <w:tcW w:w="2306" w:type="dxa"/>
            <w:gridSpan w:val="2"/>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hint="eastAsia"/>
                <w:sz w:val="18"/>
                <w:szCs w:val="18"/>
              </w:rPr>
              <w:t>选煤工艺</w:t>
            </w:r>
          </w:p>
        </w:tc>
        <w:tc>
          <w:tcPr>
            <w:tcW w:w="584"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hint="eastAsia"/>
                <w:sz w:val="18"/>
                <w:szCs w:val="18"/>
              </w:rPr>
              <w:t>/</w:t>
            </w:r>
          </w:p>
        </w:tc>
        <w:tc>
          <w:tcPr>
            <w:tcW w:w="5663" w:type="dxa"/>
            <w:gridSpan w:val="2"/>
            <w:tcMar>
              <w:left w:w="6" w:type="dxa"/>
              <w:right w:w="6" w:type="dxa"/>
            </w:tcMar>
            <w:vAlign w:val="center"/>
          </w:tcPr>
          <w:p w:rsidR="00C223F5" w:rsidRPr="0003683D" w:rsidRDefault="005860D5" w:rsidP="001B3488">
            <w:pPr>
              <w:jc w:val="center"/>
              <w:rPr>
                <w:rFonts w:hAnsi="宋体"/>
                <w:sz w:val="18"/>
                <w:szCs w:val="18"/>
              </w:rPr>
            </w:pPr>
            <w:r w:rsidRPr="0003683D">
              <w:rPr>
                <w:rFonts w:hint="eastAsia"/>
                <w:sz w:val="18"/>
                <w:szCs w:val="18"/>
              </w:rPr>
              <w:t>智能选矸系统（</w:t>
            </w:r>
            <w:r w:rsidRPr="0003683D">
              <w:rPr>
                <w:rFonts w:hint="eastAsia"/>
                <w:sz w:val="18"/>
                <w:szCs w:val="18"/>
              </w:rPr>
              <w:t>+50mm</w:t>
            </w:r>
            <w:r w:rsidRPr="0003683D">
              <w:rPr>
                <w:rFonts w:hint="eastAsia"/>
                <w:sz w:val="18"/>
                <w:szCs w:val="18"/>
              </w:rPr>
              <w:t>块煤）、无压三产品重介旋流器（</w:t>
            </w:r>
            <w:r w:rsidRPr="0003683D">
              <w:rPr>
                <w:rFonts w:hint="eastAsia"/>
                <w:sz w:val="18"/>
                <w:szCs w:val="18"/>
              </w:rPr>
              <w:t>50mm</w:t>
            </w:r>
            <w:r w:rsidRPr="0003683D">
              <w:rPr>
                <w:rFonts w:hint="eastAsia"/>
                <w:sz w:val="18"/>
                <w:szCs w:val="18"/>
              </w:rPr>
              <w:t>～</w:t>
            </w:r>
            <w:r w:rsidRPr="0003683D">
              <w:rPr>
                <w:rFonts w:hint="eastAsia"/>
                <w:sz w:val="18"/>
                <w:szCs w:val="18"/>
              </w:rPr>
              <w:t>0mm</w:t>
            </w:r>
            <w:r w:rsidRPr="0003683D">
              <w:rPr>
                <w:rFonts w:hint="eastAsia"/>
                <w:sz w:val="18"/>
                <w:szCs w:val="18"/>
              </w:rPr>
              <w:t>末煤）和</w:t>
            </w:r>
            <w:r w:rsidRPr="0003683D">
              <w:rPr>
                <w:rFonts w:hint="eastAsia"/>
                <w:sz w:val="18"/>
                <w:szCs w:val="18"/>
              </w:rPr>
              <w:t>TBS</w:t>
            </w:r>
            <w:r w:rsidRPr="0003683D">
              <w:rPr>
                <w:rFonts w:hint="eastAsia"/>
                <w:sz w:val="18"/>
                <w:szCs w:val="18"/>
              </w:rPr>
              <w:t>分选（</w:t>
            </w:r>
            <w:r w:rsidRPr="0003683D">
              <w:rPr>
                <w:rFonts w:hint="eastAsia"/>
                <w:sz w:val="18"/>
                <w:szCs w:val="18"/>
              </w:rPr>
              <w:t>1mm</w:t>
            </w:r>
            <w:r w:rsidRPr="0003683D">
              <w:rPr>
                <w:rFonts w:hint="eastAsia"/>
                <w:sz w:val="18"/>
                <w:szCs w:val="18"/>
              </w:rPr>
              <w:t>～</w:t>
            </w:r>
            <w:r w:rsidRPr="0003683D">
              <w:rPr>
                <w:rFonts w:hint="eastAsia"/>
                <w:sz w:val="18"/>
                <w:szCs w:val="18"/>
              </w:rPr>
              <w:t>0.25mm</w:t>
            </w:r>
            <w:r w:rsidRPr="0003683D">
              <w:rPr>
                <w:rFonts w:hint="eastAsia"/>
                <w:sz w:val="18"/>
                <w:szCs w:val="18"/>
              </w:rPr>
              <w:t>粗煤泥）选煤方法</w:t>
            </w:r>
          </w:p>
        </w:tc>
      </w:tr>
      <w:tr w:rsidR="00C223F5" w:rsidRPr="0003683D" w:rsidTr="001B3488">
        <w:trPr>
          <w:trHeight w:val="262"/>
          <w:jc w:val="center"/>
        </w:trPr>
        <w:tc>
          <w:tcPr>
            <w:tcW w:w="600" w:type="dxa"/>
            <w:vMerge w:val="restart"/>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hint="eastAsia"/>
                <w:b/>
                <w:sz w:val="18"/>
                <w:szCs w:val="18"/>
              </w:rPr>
              <w:t>14</w:t>
            </w:r>
          </w:p>
        </w:tc>
        <w:tc>
          <w:tcPr>
            <w:tcW w:w="530" w:type="dxa"/>
            <w:vMerge w:val="restart"/>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用水</w:t>
            </w:r>
          </w:p>
        </w:tc>
        <w:tc>
          <w:tcPr>
            <w:tcW w:w="1776"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地面生产、生活</w:t>
            </w:r>
          </w:p>
        </w:tc>
        <w:tc>
          <w:tcPr>
            <w:tcW w:w="584" w:type="dxa"/>
            <w:vMerge w:val="restart"/>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m</w:t>
            </w:r>
            <w:r w:rsidRPr="0003683D">
              <w:rPr>
                <w:rFonts w:eastAsiaTheme="minorEastAsia"/>
                <w:sz w:val="18"/>
                <w:szCs w:val="18"/>
                <w:vertAlign w:val="superscript"/>
              </w:rPr>
              <w:t>3</w:t>
            </w:r>
            <w:r w:rsidRPr="0003683D">
              <w:rPr>
                <w:rFonts w:eastAsiaTheme="minorEastAsia"/>
                <w:sz w:val="18"/>
                <w:szCs w:val="18"/>
              </w:rPr>
              <w:t>/d</w:t>
            </w:r>
          </w:p>
        </w:tc>
        <w:tc>
          <w:tcPr>
            <w:tcW w:w="3222"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hint="eastAsia"/>
                <w:sz w:val="18"/>
                <w:szCs w:val="18"/>
              </w:rPr>
              <w:t>631.1</w:t>
            </w:r>
          </w:p>
        </w:tc>
        <w:tc>
          <w:tcPr>
            <w:tcW w:w="2441" w:type="dxa"/>
            <w:vMerge w:val="restart"/>
            <w:tcMar>
              <w:left w:w="6" w:type="dxa"/>
              <w:right w:w="6" w:type="dxa"/>
            </w:tcMar>
            <w:vAlign w:val="center"/>
          </w:tcPr>
          <w:p w:rsidR="00C223F5" w:rsidRPr="0003683D" w:rsidRDefault="005860D5" w:rsidP="001B3488">
            <w:pPr>
              <w:snapToGrid w:val="0"/>
              <w:jc w:val="center"/>
              <w:rPr>
                <w:sz w:val="18"/>
                <w:szCs w:val="18"/>
              </w:rPr>
            </w:pPr>
            <w:r w:rsidRPr="0003683D">
              <w:rPr>
                <w:sz w:val="18"/>
                <w:szCs w:val="18"/>
              </w:rPr>
              <w:t>总用水量为</w:t>
            </w:r>
            <w:r w:rsidRPr="0003683D">
              <w:rPr>
                <w:rFonts w:hint="eastAsia"/>
                <w:sz w:val="18"/>
                <w:szCs w:val="18"/>
              </w:rPr>
              <w:t>2196.8</w:t>
            </w:r>
            <w:r w:rsidRPr="0003683D">
              <w:rPr>
                <w:sz w:val="18"/>
                <w:szCs w:val="18"/>
              </w:rPr>
              <w:t>m</w:t>
            </w:r>
            <w:r w:rsidRPr="0003683D">
              <w:rPr>
                <w:sz w:val="18"/>
                <w:szCs w:val="18"/>
                <w:vertAlign w:val="superscript"/>
              </w:rPr>
              <w:t>3</w:t>
            </w:r>
            <w:r w:rsidRPr="0003683D">
              <w:rPr>
                <w:sz w:val="18"/>
                <w:szCs w:val="18"/>
              </w:rPr>
              <w:t>/d</w:t>
            </w:r>
            <w:r w:rsidRPr="0003683D">
              <w:rPr>
                <w:rFonts w:hint="eastAsia"/>
                <w:sz w:val="18"/>
                <w:szCs w:val="18"/>
              </w:rPr>
              <w:t>、</w:t>
            </w:r>
          </w:p>
          <w:p w:rsidR="00C223F5" w:rsidRPr="0003683D" w:rsidRDefault="005860D5" w:rsidP="001B3488">
            <w:pPr>
              <w:snapToGrid w:val="0"/>
              <w:jc w:val="center"/>
              <w:rPr>
                <w:rFonts w:eastAsiaTheme="minorEastAsia"/>
                <w:sz w:val="18"/>
                <w:szCs w:val="18"/>
              </w:rPr>
            </w:pPr>
            <w:r w:rsidRPr="0003683D">
              <w:rPr>
                <w:rFonts w:hint="eastAsia"/>
                <w:sz w:val="18"/>
                <w:szCs w:val="18"/>
              </w:rPr>
              <w:t>非采暖期</w:t>
            </w:r>
            <w:r w:rsidRPr="0003683D">
              <w:rPr>
                <w:rFonts w:hint="eastAsia"/>
                <w:sz w:val="18"/>
                <w:szCs w:val="18"/>
              </w:rPr>
              <w:t>1996.4</w:t>
            </w:r>
            <w:r w:rsidRPr="0003683D">
              <w:rPr>
                <w:sz w:val="18"/>
                <w:szCs w:val="18"/>
              </w:rPr>
              <w:t>m</w:t>
            </w:r>
            <w:r w:rsidRPr="0003683D">
              <w:rPr>
                <w:sz w:val="18"/>
                <w:szCs w:val="18"/>
                <w:vertAlign w:val="superscript"/>
              </w:rPr>
              <w:t>3</w:t>
            </w:r>
            <w:r w:rsidRPr="0003683D">
              <w:rPr>
                <w:sz w:val="18"/>
                <w:szCs w:val="18"/>
              </w:rPr>
              <w:t>/d</w:t>
            </w: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530"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1776"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选煤厂补充水</w:t>
            </w:r>
          </w:p>
        </w:tc>
        <w:tc>
          <w:tcPr>
            <w:tcW w:w="584"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3222"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hint="eastAsia"/>
                <w:snapToGrid w:val="0"/>
                <w:kern w:val="0"/>
                <w:sz w:val="18"/>
                <w:szCs w:val="18"/>
              </w:rPr>
              <w:t>229.5</w:t>
            </w:r>
          </w:p>
        </w:tc>
        <w:tc>
          <w:tcPr>
            <w:tcW w:w="2441"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530"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1776"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hint="eastAsia"/>
                <w:sz w:val="18"/>
                <w:szCs w:val="18"/>
              </w:rPr>
              <w:t>地面冲洗及防尘</w:t>
            </w:r>
          </w:p>
        </w:tc>
        <w:tc>
          <w:tcPr>
            <w:tcW w:w="584"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3222"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hint="eastAsia"/>
                <w:sz w:val="18"/>
                <w:szCs w:val="18"/>
              </w:rPr>
              <w:t>85.5</w:t>
            </w:r>
          </w:p>
        </w:tc>
        <w:tc>
          <w:tcPr>
            <w:tcW w:w="2441"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530"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1776"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hint="eastAsia"/>
                <w:sz w:val="18"/>
                <w:szCs w:val="18"/>
              </w:rPr>
              <w:t>绿化洒水</w:t>
            </w:r>
          </w:p>
        </w:tc>
        <w:tc>
          <w:tcPr>
            <w:tcW w:w="584"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3222"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hint="eastAsia"/>
                <w:sz w:val="18"/>
                <w:szCs w:val="18"/>
              </w:rPr>
              <w:t>27</w:t>
            </w:r>
          </w:p>
        </w:tc>
        <w:tc>
          <w:tcPr>
            <w:tcW w:w="2441"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530"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1776"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井下洒水</w:t>
            </w:r>
          </w:p>
        </w:tc>
        <w:tc>
          <w:tcPr>
            <w:tcW w:w="584"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3222"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hint="eastAsia"/>
                <w:sz w:val="18"/>
                <w:szCs w:val="18"/>
              </w:rPr>
              <w:t>1107.7</w:t>
            </w:r>
          </w:p>
        </w:tc>
        <w:tc>
          <w:tcPr>
            <w:tcW w:w="2441"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530"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1776"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黄泥灌浆用水</w:t>
            </w:r>
          </w:p>
        </w:tc>
        <w:tc>
          <w:tcPr>
            <w:tcW w:w="584"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c>
          <w:tcPr>
            <w:tcW w:w="3222"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hint="eastAsia"/>
                <w:sz w:val="18"/>
                <w:szCs w:val="18"/>
              </w:rPr>
              <w:t>173</w:t>
            </w:r>
          </w:p>
        </w:tc>
        <w:tc>
          <w:tcPr>
            <w:tcW w:w="2441" w:type="dxa"/>
            <w:vMerge/>
            <w:tcMar>
              <w:left w:w="6" w:type="dxa"/>
              <w:right w:w="6" w:type="dxa"/>
            </w:tcMar>
            <w:vAlign w:val="center"/>
          </w:tcPr>
          <w:p w:rsidR="00C223F5" w:rsidRPr="0003683D" w:rsidRDefault="00C223F5" w:rsidP="001B3488">
            <w:pPr>
              <w:snapToGrid w:val="0"/>
              <w:jc w:val="center"/>
              <w:rPr>
                <w:rFonts w:eastAsiaTheme="minorEastAsia"/>
                <w:sz w:val="18"/>
                <w:szCs w:val="18"/>
              </w:rPr>
            </w:pPr>
          </w:p>
        </w:tc>
      </w:tr>
      <w:tr w:rsidR="00C223F5" w:rsidRPr="0003683D" w:rsidTr="001B3488">
        <w:trPr>
          <w:trHeight w:val="139"/>
          <w:jc w:val="center"/>
        </w:trPr>
        <w:tc>
          <w:tcPr>
            <w:tcW w:w="600" w:type="dxa"/>
            <w:tcMar>
              <w:left w:w="6" w:type="dxa"/>
              <w:right w:w="6" w:type="dxa"/>
            </w:tcMar>
            <w:vAlign w:val="center"/>
          </w:tcPr>
          <w:p w:rsidR="00C223F5" w:rsidRPr="0003683D" w:rsidRDefault="005860D5" w:rsidP="001B3488">
            <w:pPr>
              <w:jc w:val="center"/>
              <w:rPr>
                <w:b/>
                <w:sz w:val="18"/>
                <w:szCs w:val="18"/>
              </w:rPr>
            </w:pPr>
            <w:r w:rsidRPr="0003683D">
              <w:rPr>
                <w:b/>
                <w:sz w:val="18"/>
                <w:szCs w:val="18"/>
              </w:rPr>
              <w:t>1</w:t>
            </w:r>
            <w:r w:rsidRPr="0003683D">
              <w:rPr>
                <w:rFonts w:hint="eastAsia"/>
                <w:b/>
                <w:sz w:val="18"/>
                <w:szCs w:val="18"/>
              </w:rPr>
              <w:t>5</w:t>
            </w:r>
          </w:p>
        </w:tc>
        <w:tc>
          <w:tcPr>
            <w:tcW w:w="2306" w:type="dxa"/>
            <w:gridSpan w:val="2"/>
            <w:tcMar>
              <w:left w:w="6" w:type="dxa"/>
              <w:right w:w="6" w:type="dxa"/>
            </w:tcMar>
            <w:vAlign w:val="center"/>
          </w:tcPr>
          <w:p w:rsidR="00C223F5" w:rsidRPr="0003683D" w:rsidRDefault="005860D5" w:rsidP="001B3488">
            <w:pPr>
              <w:snapToGrid w:val="0"/>
              <w:jc w:val="center"/>
              <w:rPr>
                <w:rFonts w:hAnsi="宋体"/>
                <w:sz w:val="18"/>
                <w:szCs w:val="18"/>
                <w:highlight w:val="red"/>
              </w:rPr>
            </w:pPr>
            <w:r w:rsidRPr="0003683D">
              <w:rPr>
                <w:rFonts w:eastAsiaTheme="minorEastAsia" w:hAnsiTheme="minorEastAsia"/>
                <w:sz w:val="18"/>
                <w:szCs w:val="18"/>
              </w:rPr>
              <w:t>井下涌水</w:t>
            </w:r>
          </w:p>
        </w:tc>
        <w:tc>
          <w:tcPr>
            <w:tcW w:w="584"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sz w:val="18"/>
                <w:szCs w:val="18"/>
              </w:rPr>
              <w:t>m</w:t>
            </w:r>
            <w:r w:rsidRPr="0003683D">
              <w:rPr>
                <w:rFonts w:eastAsiaTheme="minorEastAsia"/>
                <w:sz w:val="18"/>
                <w:szCs w:val="18"/>
                <w:vertAlign w:val="superscript"/>
              </w:rPr>
              <w:t>3</w:t>
            </w:r>
            <w:r w:rsidRPr="0003683D">
              <w:rPr>
                <w:rFonts w:eastAsiaTheme="minorEastAsia"/>
                <w:sz w:val="18"/>
                <w:szCs w:val="18"/>
              </w:rPr>
              <w:t>/h</w:t>
            </w:r>
          </w:p>
        </w:tc>
        <w:tc>
          <w:tcPr>
            <w:tcW w:w="3222" w:type="dxa"/>
            <w:tcMar>
              <w:left w:w="6" w:type="dxa"/>
              <w:right w:w="6" w:type="dxa"/>
            </w:tcMar>
            <w:vAlign w:val="center"/>
          </w:tcPr>
          <w:p w:rsidR="00C223F5" w:rsidRPr="0003683D" w:rsidRDefault="005860D5" w:rsidP="001B3488">
            <w:pPr>
              <w:snapToGrid w:val="0"/>
              <w:jc w:val="center"/>
              <w:rPr>
                <w:rFonts w:eastAsiaTheme="minorEastAsia"/>
                <w:sz w:val="18"/>
                <w:szCs w:val="18"/>
              </w:rPr>
            </w:pPr>
            <w:r w:rsidRPr="0003683D">
              <w:rPr>
                <w:rFonts w:eastAsiaTheme="minorEastAsia" w:hAnsiTheme="minorEastAsia"/>
                <w:sz w:val="18"/>
                <w:szCs w:val="18"/>
              </w:rPr>
              <w:t>正常</w:t>
            </w:r>
            <w:r w:rsidRPr="0003683D">
              <w:rPr>
                <w:rFonts w:eastAsiaTheme="minorEastAsia" w:hint="eastAsia"/>
                <w:sz w:val="18"/>
                <w:szCs w:val="18"/>
              </w:rPr>
              <w:t>8</w:t>
            </w:r>
            <w:r w:rsidRPr="0003683D">
              <w:rPr>
                <w:rFonts w:eastAsiaTheme="minorEastAsia"/>
                <w:sz w:val="18"/>
                <w:szCs w:val="18"/>
              </w:rPr>
              <w:t>0</w:t>
            </w:r>
            <w:r w:rsidRPr="0003683D">
              <w:rPr>
                <w:rFonts w:eastAsiaTheme="minorEastAsia" w:hAnsiTheme="minorEastAsia"/>
                <w:sz w:val="18"/>
                <w:szCs w:val="18"/>
              </w:rPr>
              <w:t>最大</w:t>
            </w:r>
            <w:r w:rsidRPr="0003683D">
              <w:rPr>
                <w:rFonts w:eastAsiaTheme="minorEastAsia" w:hint="eastAsia"/>
                <w:sz w:val="18"/>
                <w:szCs w:val="18"/>
              </w:rPr>
              <w:t>10</w:t>
            </w:r>
            <w:r w:rsidRPr="0003683D">
              <w:rPr>
                <w:rFonts w:eastAsiaTheme="minorEastAsia"/>
                <w:sz w:val="18"/>
                <w:szCs w:val="18"/>
              </w:rPr>
              <w:t>0</w:t>
            </w:r>
            <w:r w:rsidRPr="0003683D">
              <w:rPr>
                <w:rFonts w:eastAsiaTheme="minorEastAsia" w:hint="eastAsia"/>
                <w:sz w:val="18"/>
                <w:szCs w:val="18"/>
              </w:rPr>
              <w:t>（含灌浆析出水）</w:t>
            </w:r>
          </w:p>
        </w:tc>
        <w:tc>
          <w:tcPr>
            <w:tcW w:w="2441" w:type="dxa"/>
            <w:tcMar>
              <w:left w:w="6" w:type="dxa"/>
              <w:right w:w="6" w:type="dxa"/>
            </w:tcMar>
            <w:vAlign w:val="center"/>
          </w:tcPr>
          <w:p w:rsidR="00C223F5" w:rsidRPr="0003683D" w:rsidRDefault="005860D5" w:rsidP="001B3488">
            <w:pPr>
              <w:jc w:val="center"/>
              <w:rPr>
                <w:sz w:val="18"/>
                <w:szCs w:val="18"/>
                <w:highlight w:val="red"/>
              </w:rPr>
            </w:pPr>
            <w:r w:rsidRPr="0003683D">
              <w:rPr>
                <w:rFonts w:hAnsi="宋体"/>
                <w:sz w:val="18"/>
                <w:szCs w:val="18"/>
              </w:rPr>
              <w:t>3</w:t>
            </w:r>
            <w:r w:rsidRPr="0003683D">
              <w:rPr>
                <w:rFonts w:hAnsi="宋体"/>
                <w:sz w:val="18"/>
                <w:szCs w:val="18"/>
              </w:rPr>
              <w:t>台</w:t>
            </w:r>
            <w:r w:rsidRPr="0003683D">
              <w:rPr>
                <w:rFonts w:hAnsi="宋体"/>
                <w:sz w:val="18"/>
                <w:szCs w:val="18"/>
              </w:rPr>
              <w:t>MD155-30</w:t>
            </w:r>
            <w:r w:rsidRPr="0003683D">
              <w:rPr>
                <w:rFonts w:hAnsi="宋体"/>
                <w:sz w:val="18"/>
                <w:szCs w:val="18"/>
              </w:rPr>
              <w:t>×</w:t>
            </w:r>
            <w:r w:rsidRPr="0003683D">
              <w:rPr>
                <w:rFonts w:hAnsi="宋体"/>
                <w:sz w:val="18"/>
                <w:szCs w:val="18"/>
              </w:rPr>
              <w:t>9</w:t>
            </w:r>
            <w:r w:rsidRPr="0003683D">
              <w:rPr>
                <w:rFonts w:hAnsi="宋体"/>
                <w:sz w:val="18"/>
                <w:szCs w:val="18"/>
              </w:rPr>
              <w:t>型</w:t>
            </w:r>
          </w:p>
        </w:tc>
      </w:tr>
      <w:tr w:rsidR="00C223F5" w:rsidRPr="0003683D" w:rsidTr="001B3488">
        <w:trPr>
          <w:trHeight w:val="70"/>
          <w:jc w:val="center"/>
        </w:trPr>
        <w:tc>
          <w:tcPr>
            <w:tcW w:w="600" w:type="dxa"/>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16</w:t>
            </w:r>
          </w:p>
        </w:tc>
        <w:tc>
          <w:tcPr>
            <w:tcW w:w="2306" w:type="dxa"/>
            <w:gridSpan w:val="2"/>
            <w:tcMar>
              <w:left w:w="6" w:type="dxa"/>
              <w:right w:w="6" w:type="dxa"/>
            </w:tcMar>
            <w:vAlign w:val="center"/>
          </w:tcPr>
          <w:p w:rsidR="00C223F5" w:rsidRPr="0003683D" w:rsidRDefault="005860D5" w:rsidP="001B3488">
            <w:pPr>
              <w:jc w:val="center"/>
              <w:rPr>
                <w:rFonts w:hAnsi="宋体"/>
                <w:sz w:val="18"/>
                <w:szCs w:val="18"/>
              </w:rPr>
            </w:pPr>
            <w:r w:rsidRPr="0003683D">
              <w:rPr>
                <w:rFonts w:hAnsi="宋体"/>
                <w:sz w:val="18"/>
                <w:szCs w:val="18"/>
              </w:rPr>
              <w:t>采暖与供热</w:t>
            </w:r>
            <w:r w:rsidRPr="0003683D">
              <w:rPr>
                <w:rFonts w:hAnsi="宋体" w:hint="eastAsia"/>
                <w:sz w:val="18"/>
                <w:szCs w:val="18"/>
              </w:rPr>
              <w:t>（</w:t>
            </w:r>
            <w:r w:rsidRPr="0003683D">
              <w:rPr>
                <w:rFonts w:eastAsiaTheme="minorEastAsia"/>
                <w:sz w:val="18"/>
                <w:szCs w:val="18"/>
              </w:rPr>
              <w:t>总热负荷</w:t>
            </w:r>
            <w:r w:rsidRPr="0003683D">
              <w:rPr>
                <w:rFonts w:hAnsi="宋体" w:hint="eastAsia"/>
                <w:sz w:val="18"/>
                <w:szCs w:val="18"/>
              </w:rPr>
              <w:t>）</w:t>
            </w:r>
          </w:p>
        </w:tc>
        <w:tc>
          <w:tcPr>
            <w:tcW w:w="584" w:type="dxa"/>
            <w:tcMar>
              <w:left w:w="6" w:type="dxa"/>
              <w:right w:w="6" w:type="dxa"/>
            </w:tcMar>
            <w:vAlign w:val="center"/>
          </w:tcPr>
          <w:p w:rsidR="00C223F5" w:rsidRPr="0003683D" w:rsidRDefault="005860D5" w:rsidP="001B3488">
            <w:pPr>
              <w:jc w:val="center"/>
              <w:rPr>
                <w:rFonts w:hAnsi="宋体"/>
                <w:sz w:val="18"/>
                <w:szCs w:val="18"/>
              </w:rPr>
            </w:pPr>
            <w:r w:rsidRPr="0003683D">
              <w:rPr>
                <w:rFonts w:eastAsiaTheme="minorEastAsia"/>
                <w:sz w:val="18"/>
                <w:szCs w:val="18"/>
              </w:rPr>
              <w:t>kW</w:t>
            </w:r>
          </w:p>
        </w:tc>
        <w:tc>
          <w:tcPr>
            <w:tcW w:w="3222" w:type="dxa"/>
            <w:tcMar>
              <w:left w:w="6" w:type="dxa"/>
              <w:right w:w="6" w:type="dxa"/>
            </w:tcMar>
            <w:vAlign w:val="center"/>
          </w:tcPr>
          <w:p w:rsidR="00C223F5" w:rsidRPr="0003683D" w:rsidRDefault="005860D5" w:rsidP="001B3488">
            <w:pPr>
              <w:jc w:val="center"/>
              <w:rPr>
                <w:sz w:val="18"/>
                <w:szCs w:val="18"/>
              </w:rPr>
            </w:pPr>
            <w:r w:rsidRPr="0003683D">
              <w:rPr>
                <w:sz w:val="18"/>
                <w:szCs w:val="18"/>
              </w:rPr>
              <w:t>11200</w:t>
            </w:r>
          </w:p>
        </w:tc>
        <w:tc>
          <w:tcPr>
            <w:tcW w:w="2441" w:type="dxa"/>
            <w:tcMar>
              <w:left w:w="6" w:type="dxa"/>
              <w:right w:w="6" w:type="dxa"/>
            </w:tcMar>
            <w:vAlign w:val="center"/>
          </w:tcPr>
          <w:p w:rsidR="00C223F5" w:rsidRPr="0003683D" w:rsidRDefault="005860D5" w:rsidP="001B3488">
            <w:pPr>
              <w:pStyle w:val="afd"/>
              <w:tabs>
                <w:tab w:val="left" w:pos="180"/>
              </w:tabs>
              <w:ind w:firstLineChars="0" w:firstLine="0"/>
              <w:jc w:val="center"/>
              <w:rPr>
                <w:sz w:val="18"/>
                <w:szCs w:val="18"/>
              </w:rPr>
            </w:pPr>
            <w:r w:rsidRPr="0003683D">
              <w:rPr>
                <w:sz w:val="18"/>
                <w:szCs w:val="18"/>
              </w:rPr>
              <w:t>乏风热泵机组</w:t>
            </w:r>
            <w:r w:rsidRPr="0003683D">
              <w:rPr>
                <w:sz w:val="18"/>
                <w:szCs w:val="18"/>
              </w:rPr>
              <w:t>+</w:t>
            </w:r>
            <w:r w:rsidRPr="0003683D">
              <w:rPr>
                <w:sz w:val="18"/>
                <w:szCs w:val="18"/>
              </w:rPr>
              <w:t>水源热泵机组</w:t>
            </w:r>
            <w:r w:rsidRPr="0003683D">
              <w:rPr>
                <w:sz w:val="18"/>
                <w:szCs w:val="18"/>
              </w:rPr>
              <w:t>+</w:t>
            </w:r>
            <w:r w:rsidRPr="0003683D">
              <w:rPr>
                <w:sz w:val="18"/>
                <w:szCs w:val="18"/>
              </w:rPr>
              <w:t>电锅炉</w:t>
            </w:r>
          </w:p>
        </w:tc>
      </w:tr>
      <w:tr w:rsidR="00C223F5" w:rsidRPr="0003683D" w:rsidTr="001B3488">
        <w:trPr>
          <w:trHeight w:val="290"/>
          <w:jc w:val="center"/>
        </w:trPr>
        <w:tc>
          <w:tcPr>
            <w:tcW w:w="600" w:type="dxa"/>
            <w:vMerge w:val="restart"/>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17</w:t>
            </w:r>
          </w:p>
        </w:tc>
        <w:tc>
          <w:tcPr>
            <w:tcW w:w="530" w:type="dxa"/>
            <w:vMerge w:val="restart"/>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产品</w:t>
            </w: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产品方案</w:t>
            </w:r>
          </w:p>
        </w:tc>
        <w:tc>
          <w:tcPr>
            <w:tcW w:w="584" w:type="dxa"/>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w:t>
            </w:r>
          </w:p>
        </w:tc>
        <w:tc>
          <w:tcPr>
            <w:tcW w:w="3222" w:type="dxa"/>
            <w:tcMar>
              <w:left w:w="6" w:type="dxa"/>
              <w:right w:w="6" w:type="dxa"/>
            </w:tcMar>
            <w:vAlign w:val="center"/>
          </w:tcPr>
          <w:p w:rsidR="00C223F5" w:rsidRPr="0003683D" w:rsidRDefault="005860D5" w:rsidP="001B3488">
            <w:pPr>
              <w:pStyle w:val="affff1"/>
              <w:spacing w:line="240" w:lineRule="auto"/>
              <w:jc w:val="center"/>
              <w:rPr>
                <w:kern w:val="2"/>
                <w:sz w:val="18"/>
                <w:szCs w:val="18"/>
              </w:rPr>
            </w:pPr>
            <w:r w:rsidRPr="0003683D">
              <w:rPr>
                <w:rFonts w:hAnsi="宋体"/>
                <w:sz w:val="18"/>
                <w:szCs w:val="18"/>
              </w:rPr>
              <w:t>精煤、中煤</w:t>
            </w:r>
            <w:r w:rsidRPr="0003683D">
              <w:rPr>
                <w:rFonts w:hAnsi="宋体" w:hint="eastAsia"/>
                <w:sz w:val="18"/>
                <w:szCs w:val="18"/>
              </w:rPr>
              <w:t>、矸石</w:t>
            </w:r>
            <w:r w:rsidRPr="0003683D">
              <w:rPr>
                <w:rFonts w:hAnsi="宋体"/>
                <w:sz w:val="18"/>
                <w:szCs w:val="18"/>
              </w:rPr>
              <w:t>及煤泥</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矸石</w:t>
            </w:r>
          </w:p>
        </w:tc>
        <w:tc>
          <w:tcPr>
            <w:tcW w:w="584" w:type="dxa"/>
            <w:tcMar>
              <w:left w:w="6" w:type="dxa"/>
              <w:right w:w="6" w:type="dxa"/>
            </w:tcMar>
            <w:vAlign w:val="center"/>
          </w:tcPr>
          <w:p w:rsidR="00C223F5" w:rsidRPr="0003683D" w:rsidRDefault="005860D5" w:rsidP="001B3488">
            <w:pPr>
              <w:jc w:val="center"/>
              <w:rPr>
                <w:sz w:val="18"/>
                <w:szCs w:val="18"/>
              </w:rPr>
            </w:pPr>
            <w:r w:rsidRPr="0003683D">
              <w:rPr>
                <w:sz w:val="18"/>
                <w:szCs w:val="18"/>
              </w:rPr>
              <w:t>10</w:t>
            </w:r>
            <w:r w:rsidRPr="0003683D">
              <w:rPr>
                <w:sz w:val="18"/>
                <w:szCs w:val="18"/>
                <w:vertAlign w:val="superscript"/>
              </w:rPr>
              <w:t>4</w:t>
            </w:r>
            <w:r w:rsidRPr="0003683D">
              <w:rPr>
                <w:sz w:val="18"/>
                <w:szCs w:val="18"/>
              </w:rPr>
              <w:t>t/a</w:t>
            </w:r>
          </w:p>
        </w:tc>
        <w:tc>
          <w:tcPr>
            <w:tcW w:w="3222" w:type="dxa"/>
            <w:tcMar>
              <w:left w:w="6" w:type="dxa"/>
              <w:right w:w="6" w:type="dxa"/>
            </w:tcMar>
            <w:vAlign w:val="center"/>
          </w:tcPr>
          <w:p w:rsidR="00C223F5" w:rsidRPr="0003683D" w:rsidRDefault="005860D5" w:rsidP="001B3488">
            <w:pPr>
              <w:pStyle w:val="a7"/>
              <w:spacing w:after="0"/>
              <w:ind w:left="2" w:hangingChars="1" w:hanging="2"/>
              <w:jc w:val="center"/>
              <w:rPr>
                <w:sz w:val="18"/>
                <w:szCs w:val="18"/>
              </w:rPr>
            </w:pPr>
            <w:r w:rsidRPr="0003683D">
              <w:rPr>
                <w:kern w:val="0"/>
                <w:sz w:val="18"/>
                <w:szCs w:val="18"/>
              </w:rPr>
              <w:t>24.70</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val="restart"/>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18</w:t>
            </w:r>
          </w:p>
        </w:tc>
        <w:tc>
          <w:tcPr>
            <w:tcW w:w="530" w:type="dxa"/>
            <w:vMerge w:val="restart"/>
            <w:tcMar>
              <w:left w:w="6" w:type="dxa"/>
              <w:right w:w="6" w:type="dxa"/>
            </w:tcMar>
            <w:vAlign w:val="center"/>
          </w:tcPr>
          <w:p w:rsidR="00C223F5" w:rsidRPr="0003683D" w:rsidRDefault="005860D5" w:rsidP="001B3488">
            <w:pPr>
              <w:snapToGrid w:val="0"/>
              <w:jc w:val="center"/>
              <w:rPr>
                <w:rFonts w:eastAsiaTheme="minorEastAsia" w:hAnsiTheme="minorEastAsia"/>
                <w:sz w:val="18"/>
                <w:szCs w:val="18"/>
              </w:rPr>
            </w:pPr>
            <w:r w:rsidRPr="0003683D">
              <w:rPr>
                <w:rFonts w:eastAsiaTheme="minorEastAsia" w:hAnsiTheme="minorEastAsia"/>
                <w:sz w:val="18"/>
                <w:szCs w:val="18"/>
              </w:rPr>
              <w:t>地面</w:t>
            </w:r>
          </w:p>
          <w:p w:rsidR="00C223F5" w:rsidRPr="0003683D" w:rsidRDefault="005860D5" w:rsidP="001B3488">
            <w:pPr>
              <w:snapToGrid w:val="0"/>
              <w:jc w:val="center"/>
              <w:rPr>
                <w:rFonts w:eastAsiaTheme="minorEastAsia"/>
                <w:sz w:val="18"/>
                <w:szCs w:val="18"/>
              </w:rPr>
            </w:pPr>
            <w:r w:rsidRPr="0003683D">
              <w:rPr>
                <w:rFonts w:eastAsiaTheme="minorEastAsia" w:hAnsiTheme="minorEastAsia"/>
                <w:sz w:val="18"/>
                <w:szCs w:val="18"/>
              </w:rPr>
              <w:t>运输</w:t>
            </w:r>
          </w:p>
        </w:tc>
        <w:tc>
          <w:tcPr>
            <w:tcW w:w="1776" w:type="dxa"/>
            <w:tcMar>
              <w:left w:w="6" w:type="dxa"/>
              <w:right w:w="6" w:type="dxa"/>
            </w:tcMar>
            <w:vAlign w:val="center"/>
          </w:tcPr>
          <w:p w:rsidR="00C223F5" w:rsidRPr="0003683D" w:rsidRDefault="005860D5" w:rsidP="001B3488">
            <w:pPr>
              <w:jc w:val="center"/>
              <w:rPr>
                <w:rFonts w:eastAsiaTheme="minorEastAsia"/>
                <w:bCs/>
                <w:sz w:val="18"/>
                <w:szCs w:val="18"/>
              </w:rPr>
            </w:pPr>
            <w:r w:rsidRPr="0003683D">
              <w:rPr>
                <w:rFonts w:eastAsiaTheme="minorEastAsia" w:hAnsiTheme="minorEastAsia"/>
                <w:bCs/>
                <w:sz w:val="18"/>
                <w:szCs w:val="18"/>
              </w:rPr>
              <w:t>煤炭</w:t>
            </w:r>
            <w:r w:rsidRPr="0003683D">
              <w:rPr>
                <w:rFonts w:eastAsiaTheme="minorEastAsia"/>
                <w:bCs/>
                <w:sz w:val="18"/>
                <w:szCs w:val="18"/>
              </w:rPr>
              <w:t>/</w:t>
            </w:r>
            <w:r w:rsidRPr="0003683D">
              <w:rPr>
                <w:rFonts w:eastAsiaTheme="minorEastAsia" w:hAnsiTheme="minorEastAsia"/>
                <w:bCs/>
                <w:sz w:val="18"/>
                <w:szCs w:val="18"/>
              </w:rPr>
              <w:t>矸石</w:t>
            </w:r>
          </w:p>
        </w:tc>
        <w:tc>
          <w:tcPr>
            <w:tcW w:w="584" w:type="dxa"/>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w:t>
            </w:r>
          </w:p>
        </w:tc>
        <w:tc>
          <w:tcPr>
            <w:tcW w:w="3222" w:type="dxa"/>
            <w:tcMar>
              <w:left w:w="6" w:type="dxa"/>
              <w:right w:w="6" w:type="dxa"/>
            </w:tcMar>
            <w:vAlign w:val="center"/>
          </w:tcPr>
          <w:p w:rsidR="00C223F5" w:rsidRPr="0003683D" w:rsidRDefault="005860D5" w:rsidP="001B3488">
            <w:pPr>
              <w:jc w:val="center"/>
              <w:rPr>
                <w:rFonts w:eastAsiaTheme="minorEastAsia"/>
                <w:bCs/>
                <w:sz w:val="18"/>
                <w:szCs w:val="18"/>
              </w:rPr>
            </w:pPr>
            <w:r w:rsidRPr="0003683D">
              <w:rPr>
                <w:rFonts w:eastAsiaTheme="minorEastAsia" w:hAnsiTheme="minorEastAsia"/>
                <w:bCs/>
                <w:sz w:val="18"/>
                <w:szCs w:val="18"/>
              </w:rPr>
              <w:t>胶带输送机栈桥</w:t>
            </w:r>
            <w:r w:rsidRPr="0003683D">
              <w:rPr>
                <w:rFonts w:eastAsiaTheme="minorEastAsia"/>
                <w:bCs/>
                <w:sz w:val="18"/>
                <w:szCs w:val="18"/>
              </w:rPr>
              <w:t>/</w:t>
            </w:r>
            <w:r w:rsidRPr="0003683D">
              <w:rPr>
                <w:rFonts w:eastAsiaTheme="minorEastAsia" w:hAnsiTheme="minorEastAsia"/>
                <w:bCs/>
                <w:sz w:val="18"/>
                <w:szCs w:val="18"/>
              </w:rPr>
              <w:t>汽车</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rFonts w:hAnsi="宋体"/>
                <w:sz w:val="18"/>
                <w:szCs w:val="18"/>
              </w:rPr>
            </w:pPr>
            <w:r w:rsidRPr="0003683D">
              <w:rPr>
                <w:rFonts w:eastAsiaTheme="minorEastAsia" w:hAnsiTheme="minorEastAsia"/>
                <w:bCs/>
                <w:sz w:val="18"/>
                <w:szCs w:val="18"/>
              </w:rPr>
              <w:t>材料、设备</w:t>
            </w:r>
          </w:p>
        </w:tc>
        <w:tc>
          <w:tcPr>
            <w:tcW w:w="584" w:type="dxa"/>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w:t>
            </w:r>
          </w:p>
        </w:tc>
        <w:tc>
          <w:tcPr>
            <w:tcW w:w="3222" w:type="dxa"/>
            <w:tcMar>
              <w:left w:w="6" w:type="dxa"/>
              <w:right w:w="6" w:type="dxa"/>
            </w:tcMar>
            <w:vAlign w:val="center"/>
          </w:tcPr>
          <w:p w:rsidR="00C223F5" w:rsidRPr="0003683D" w:rsidRDefault="005860D5" w:rsidP="001B3488">
            <w:pPr>
              <w:jc w:val="center"/>
              <w:rPr>
                <w:rFonts w:eastAsiaTheme="minorEastAsia"/>
                <w:bCs/>
                <w:sz w:val="18"/>
                <w:szCs w:val="18"/>
              </w:rPr>
            </w:pPr>
            <w:r w:rsidRPr="0003683D">
              <w:rPr>
                <w:rFonts w:eastAsiaTheme="minorEastAsia" w:hAnsiTheme="minorEastAsia"/>
                <w:sz w:val="18"/>
                <w:szCs w:val="18"/>
              </w:rPr>
              <w:t>无轨胶轮车</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val="restart"/>
            <w:tcMar>
              <w:left w:w="6" w:type="dxa"/>
              <w:right w:w="6" w:type="dxa"/>
            </w:tcMar>
            <w:vAlign w:val="center"/>
          </w:tcPr>
          <w:p w:rsidR="00C223F5" w:rsidRPr="0003683D" w:rsidRDefault="005860D5" w:rsidP="001B3488">
            <w:pPr>
              <w:jc w:val="center"/>
              <w:rPr>
                <w:b/>
                <w:sz w:val="18"/>
                <w:szCs w:val="18"/>
              </w:rPr>
            </w:pPr>
            <w:r w:rsidRPr="0003683D">
              <w:rPr>
                <w:b/>
                <w:sz w:val="18"/>
                <w:szCs w:val="18"/>
              </w:rPr>
              <w:t>1</w:t>
            </w:r>
            <w:r w:rsidRPr="0003683D">
              <w:rPr>
                <w:rFonts w:hint="eastAsia"/>
                <w:b/>
                <w:sz w:val="18"/>
                <w:szCs w:val="18"/>
              </w:rPr>
              <w:t>9</w:t>
            </w:r>
          </w:p>
        </w:tc>
        <w:tc>
          <w:tcPr>
            <w:tcW w:w="530" w:type="dxa"/>
            <w:vMerge w:val="restart"/>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占地</w:t>
            </w:r>
          </w:p>
        </w:tc>
        <w:tc>
          <w:tcPr>
            <w:tcW w:w="1776" w:type="dxa"/>
            <w:tcMar>
              <w:left w:w="6" w:type="dxa"/>
              <w:right w:w="6" w:type="dxa"/>
            </w:tcMar>
            <w:vAlign w:val="center"/>
          </w:tcPr>
          <w:p w:rsidR="00C223F5" w:rsidRPr="0003683D" w:rsidRDefault="005860D5" w:rsidP="001B3488">
            <w:pPr>
              <w:jc w:val="center"/>
              <w:rPr>
                <w:rFonts w:eastAsiaTheme="minorEastAsia"/>
                <w:bCs/>
                <w:sz w:val="18"/>
                <w:szCs w:val="18"/>
              </w:rPr>
            </w:pPr>
            <w:r w:rsidRPr="0003683D">
              <w:rPr>
                <w:rFonts w:eastAsiaTheme="minorEastAsia" w:hAnsiTheme="minorEastAsia"/>
                <w:sz w:val="18"/>
                <w:szCs w:val="18"/>
              </w:rPr>
              <w:t>工业场地</w:t>
            </w:r>
          </w:p>
        </w:tc>
        <w:tc>
          <w:tcPr>
            <w:tcW w:w="584" w:type="dxa"/>
            <w:vMerge w:val="restart"/>
            <w:tcMar>
              <w:left w:w="6" w:type="dxa"/>
              <w:right w:w="6" w:type="dxa"/>
            </w:tcMar>
            <w:vAlign w:val="center"/>
          </w:tcPr>
          <w:p w:rsidR="00C223F5" w:rsidRPr="0003683D" w:rsidRDefault="005860D5" w:rsidP="001B3488">
            <w:pPr>
              <w:jc w:val="center"/>
              <w:rPr>
                <w:sz w:val="18"/>
                <w:szCs w:val="18"/>
              </w:rPr>
            </w:pPr>
            <w:r w:rsidRPr="0003683D">
              <w:rPr>
                <w:sz w:val="18"/>
                <w:szCs w:val="18"/>
              </w:rPr>
              <w:t>hm</w:t>
            </w:r>
            <w:r w:rsidRPr="0003683D">
              <w:rPr>
                <w:sz w:val="18"/>
                <w:szCs w:val="18"/>
                <w:vertAlign w:val="superscript"/>
              </w:rPr>
              <w:t>2</w:t>
            </w:r>
          </w:p>
        </w:tc>
        <w:tc>
          <w:tcPr>
            <w:tcW w:w="3222" w:type="dxa"/>
            <w:tcMar>
              <w:left w:w="6" w:type="dxa"/>
              <w:right w:w="6" w:type="dxa"/>
            </w:tcMar>
            <w:vAlign w:val="center"/>
          </w:tcPr>
          <w:p w:rsidR="00C223F5" w:rsidRPr="0003683D" w:rsidRDefault="005860D5" w:rsidP="001B3488">
            <w:pPr>
              <w:jc w:val="center"/>
              <w:rPr>
                <w:rFonts w:eastAsiaTheme="minorEastAsia" w:hAnsiTheme="minorEastAsia"/>
                <w:sz w:val="18"/>
                <w:szCs w:val="18"/>
              </w:rPr>
            </w:pPr>
            <w:r w:rsidRPr="0003683D">
              <w:rPr>
                <w:rFonts w:eastAsiaTheme="minorEastAsia" w:hAnsiTheme="minorEastAsia" w:hint="eastAsia"/>
                <w:sz w:val="18"/>
                <w:szCs w:val="18"/>
              </w:rPr>
              <w:t>6.50</w:t>
            </w:r>
          </w:p>
        </w:tc>
        <w:tc>
          <w:tcPr>
            <w:tcW w:w="2441" w:type="dxa"/>
            <w:vMerge w:val="restart"/>
            <w:tcMar>
              <w:left w:w="6" w:type="dxa"/>
              <w:right w:w="6" w:type="dxa"/>
            </w:tcMar>
            <w:vAlign w:val="center"/>
          </w:tcPr>
          <w:p w:rsidR="00C223F5" w:rsidRPr="0003683D" w:rsidRDefault="005860D5" w:rsidP="001B3488">
            <w:pPr>
              <w:jc w:val="center"/>
              <w:rPr>
                <w:sz w:val="18"/>
                <w:szCs w:val="18"/>
              </w:rPr>
            </w:pPr>
            <w:r w:rsidRPr="0003683D">
              <w:rPr>
                <w:rFonts w:eastAsiaTheme="minorEastAsia" w:hAnsiTheme="minorEastAsia" w:hint="eastAsia"/>
                <w:sz w:val="18"/>
                <w:szCs w:val="18"/>
              </w:rPr>
              <w:t>永久占地</w:t>
            </w:r>
            <w:r w:rsidRPr="0003683D">
              <w:rPr>
                <w:rFonts w:eastAsiaTheme="minorEastAsia" w:hAnsiTheme="minorEastAsia"/>
                <w:sz w:val="18"/>
                <w:szCs w:val="18"/>
              </w:rPr>
              <w:t>总计</w:t>
            </w:r>
            <w:r w:rsidRPr="0003683D">
              <w:rPr>
                <w:rFonts w:eastAsiaTheme="minorEastAsia" w:hint="eastAsia"/>
                <w:sz w:val="18"/>
                <w:szCs w:val="18"/>
              </w:rPr>
              <w:t>8.23</w:t>
            </w:r>
            <w:r w:rsidRPr="0003683D">
              <w:rPr>
                <w:rFonts w:eastAsiaTheme="minorEastAsia"/>
                <w:sz w:val="18"/>
                <w:szCs w:val="18"/>
              </w:rPr>
              <w:t xml:space="preserve"> hm</w:t>
            </w:r>
            <w:r w:rsidRPr="0003683D">
              <w:rPr>
                <w:rFonts w:eastAsiaTheme="minorEastAsia"/>
                <w:sz w:val="18"/>
                <w:szCs w:val="18"/>
                <w:vertAlign w:val="superscript"/>
              </w:rPr>
              <w:t>2</w:t>
            </w: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rFonts w:eastAsiaTheme="minorEastAsia"/>
                <w:bCs/>
                <w:sz w:val="18"/>
                <w:szCs w:val="18"/>
              </w:rPr>
            </w:pPr>
            <w:r w:rsidRPr="0003683D">
              <w:rPr>
                <w:rFonts w:eastAsiaTheme="minorEastAsia" w:hint="eastAsia"/>
                <w:bCs/>
                <w:sz w:val="18"/>
                <w:szCs w:val="18"/>
              </w:rPr>
              <w:t>炸药库</w:t>
            </w:r>
          </w:p>
        </w:tc>
        <w:tc>
          <w:tcPr>
            <w:tcW w:w="584" w:type="dxa"/>
            <w:vMerge/>
            <w:tcMar>
              <w:left w:w="6" w:type="dxa"/>
              <w:right w:w="6" w:type="dxa"/>
            </w:tcMar>
            <w:vAlign w:val="center"/>
          </w:tcPr>
          <w:p w:rsidR="00C223F5" w:rsidRPr="0003683D" w:rsidRDefault="00C223F5" w:rsidP="001B3488">
            <w:pPr>
              <w:jc w:val="center"/>
              <w:rPr>
                <w:sz w:val="18"/>
                <w:szCs w:val="18"/>
              </w:rPr>
            </w:pPr>
          </w:p>
        </w:tc>
        <w:tc>
          <w:tcPr>
            <w:tcW w:w="3222" w:type="dxa"/>
            <w:tcMar>
              <w:left w:w="6" w:type="dxa"/>
              <w:right w:w="6" w:type="dxa"/>
            </w:tcMar>
            <w:vAlign w:val="center"/>
          </w:tcPr>
          <w:p w:rsidR="00C223F5" w:rsidRPr="0003683D" w:rsidRDefault="005860D5" w:rsidP="001B3488">
            <w:pPr>
              <w:jc w:val="center"/>
              <w:rPr>
                <w:rFonts w:eastAsiaTheme="minorEastAsia" w:hAnsiTheme="minorEastAsia"/>
                <w:sz w:val="18"/>
                <w:szCs w:val="18"/>
              </w:rPr>
            </w:pPr>
            <w:r w:rsidRPr="0003683D">
              <w:rPr>
                <w:rFonts w:eastAsiaTheme="minorEastAsia" w:hAnsiTheme="minorEastAsia" w:hint="eastAsia"/>
                <w:sz w:val="18"/>
                <w:szCs w:val="18"/>
              </w:rPr>
              <w:t>0.15</w:t>
            </w:r>
          </w:p>
        </w:tc>
        <w:tc>
          <w:tcPr>
            <w:tcW w:w="2441" w:type="dxa"/>
            <w:vMerge/>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rFonts w:eastAsiaTheme="minorEastAsia"/>
                <w:bCs/>
                <w:sz w:val="18"/>
                <w:szCs w:val="18"/>
              </w:rPr>
            </w:pPr>
            <w:r w:rsidRPr="0003683D">
              <w:rPr>
                <w:rFonts w:eastAsiaTheme="minorEastAsia" w:hAnsiTheme="minorEastAsia" w:hint="eastAsia"/>
                <w:bCs/>
                <w:sz w:val="18"/>
                <w:szCs w:val="18"/>
              </w:rPr>
              <w:t>场外</w:t>
            </w:r>
            <w:r w:rsidRPr="0003683D">
              <w:rPr>
                <w:rFonts w:eastAsiaTheme="minorEastAsia" w:hAnsiTheme="minorEastAsia"/>
                <w:bCs/>
                <w:sz w:val="18"/>
                <w:szCs w:val="18"/>
              </w:rPr>
              <w:t>道路</w:t>
            </w:r>
          </w:p>
        </w:tc>
        <w:tc>
          <w:tcPr>
            <w:tcW w:w="584" w:type="dxa"/>
            <w:vMerge/>
            <w:tcMar>
              <w:left w:w="6" w:type="dxa"/>
              <w:right w:w="6" w:type="dxa"/>
            </w:tcMar>
            <w:vAlign w:val="center"/>
          </w:tcPr>
          <w:p w:rsidR="00C223F5" w:rsidRPr="0003683D" w:rsidRDefault="00C223F5" w:rsidP="001B3488">
            <w:pPr>
              <w:jc w:val="center"/>
              <w:rPr>
                <w:sz w:val="18"/>
                <w:szCs w:val="18"/>
              </w:rPr>
            </w:pPr>
          </w:p>
        </w:tc>
        <w:tc>
          <w:tcPr>
            <w:tcW w:w="3222" w:type="dxa"/>
            <w:tcMar>
              <w:left w:w="6" w:type="dxa"/>
              <w:right w:w="6" w:type="dxa"/>
            </w:tcMar>
            <w:vAlign w:val="center"/>
          </w:tcPr>
          <w:p w:rsidR="00C223F5" w:rsidRPr="0003683D" w:rsidRDefault="005860D5" w:rsidP="001B3488">
            <w:pPr>
              <w:jc w:val="center"/>
              <w:rPr>
                <w:rFonts w:eastAsiaTheme="minorEastAsia" w:hAnsiTheme="minorEastAsia"/>
                <w:sz w:val="18"/>
                <w:szCs w:val="18"/>
              </w:rPr>
            </w:pPr>
            <w:r w:rsidRPr="0003683D">
              <w:rPr>
                <w:rFonts w:eastAsiaTheme="minorEastAsia" w:hAnsiTheme="minorEastAsia" w:hint="eastAsia"/>
                <w:sz w:val="18"/>
                <w:szCs w:val="18"/>
              </w:rPr>
              <w:t>1.21</w:t>
            </w:r>
          </w:p>
        </w:tc>
        <w:tc>
          <w:tcPr>
            <w:tcW w:w="2441" w:type="dxa"/>
            <w:vMerge/>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139"/>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rFonts w:eastAsiaTheme="minorEastAsia"/>
                <w:bCs/>
                <w:sz w:val="18"/>
                <w:szCs w:val="18"/>
              </w:rPr>
            </w:pPr>
            <w:r w:rsidRPr="0003683D">
              <w:rPr>
                <w:rFonts w:hint="eastAsia"/>
                <w:sz w:val="18"/>
                <w:szCs w:val="18"/>
              </w:rPr>
              <w:t>输电</w:t>
            </w:r>
            <w:r w:rsidRPr="0003683D">
              <w:rPr>
                <w:sz w:val="18"/>
                <w:szCs w:val="18"/>
              </w:rPr>
              <w:t>通讯</w:t>
            </w:r>
            <w:r w:rsidRPr="0003683D">
              <w:rPr>
                <w:rFonts w:hint="eastAsia"/>
                <w:sz w:val="18"/>
                <w:szCs w:val="18"/>
              </w:rPr>
              <w:t>线路</w:t>
            </w:r>
          </w:p>
        </w:tc>
        <w:tc>
          <w:tcPr>
            <w:tcW w:w="584" w:type="dxa"/>
            <w:vMerge/>
            <w:tcMar>
              <w:left w:w="6" w:type="dxa"/>
              <w:right w:w="6" w:type="dxa"/>
            </w:tcMar>
            <w:vAlign w:val="center"/>
          </w:tcPr>
          <w:p w:rsidR="00C223F5" w:rsidRPr="0003683D" w:rsidRDefault="00C223F5" w:rsidP="001B3488">
            <w:pPr>
              <w:jc w:val="center"/>
              <w:rPr>
                <w:sz w:val="18"/>
                <w:szCs w:val="18"/>
              </w:rPr>
            </w:pPr>
          </w:p>
        </w:tc>
        <w:tc>
          <w:tcPr>
            <w:tcW w:w="3222" w:type="dxa"/>
            <w:tcMar>
              <w:left w:w="6" w:type="dxa"/>
              <w:right w:w="6" w:type="dxa"/>
            </w:tcMar>
            <w:vAlign w:val="center"/>
          </w:tcPr>
          <w:p w:rsidR="00C223F5" w:rsidRPr="0003683D" w:rsidRDefault="005860D5" w:rsidP="001B3488">
            <w:pPr>
              <w:jc w:val="center"/>
              <w:rPr>
                <w:rFonts w:eastAsiaTheme="minorEastAsia" w:hAnsiTheme="minorEastAsia"/>
                <w:sz w:val="18"/>
                <w:szCs w:val="18"/>
              </w:rPr>
            </w:pPr>
            <w:r w:rsidRPr="0003683D">
              <w:rPr>
                <w:rFonts w:eastAsiaTheme="minorEastAsia" w:hAnsiTheme="minorEastAsia" w:hint="eastAsia"/>
                <w:sz w:val="18"/>
                <w:szCs w:val="18"/>
              </w:rPr>
              <w:t>0.37</w:t>
            </w:r>
          </w:p>
        </w:tc>
        <w:tc>
          <w:tcPr>
            <w:tcW w:w="2441" w:type="dxa"/>
            <w:vMerge/>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294"/>
          <w:jc w:val="center"/>
        </w:trPr>
        <w:tc>
          <w:tcPr>
            <w:tcW w:w="600" w:type="dxa"/>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20</w:t>
            </w:r>
          </w:p>
        </w:tc>
        <w:tc>
          <w:tcPr>
            <w:tcW w:w="2306" w:type="dxa"/>
            <w:gridSpan w:val="2"/>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在籍人数</w:t>
            </w:r>
          </w:p>
        </w:tc>
        <w:tc>
          <w:tcPr>
            <w:tcW w:w="584"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人</w:t>
            </w:r>
          </w:p>
        </w:tc>
        <w:tc>
          <w:tcPr>
            <w:tcW w:w="3222" w:type="dxa"/>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565</w:t>
            </w:r>
          </w:p>
        </w:tc>
        <w:tc>
          <w:tcPr>
            <w:tcW w:w="2441" w:type="dxa"/>
            <w:tcMar>
              <w:left w:w="6" w:type="dxa"/>
              <w:right w:w="6" w:type="dxa"/>
            </w:tcMar>
            <w:vAlign w:val="center"/>
          </w:tcPr>
          <w:p w:rsidR="00C223F5" w:rsidRPr="0003683D" w:rsidRDefault="005860D5" w:rsidP="001B3488">
            <w:pPr>
              <w:jc w:val="center"/>
              <w:rPr>
                <w:sz w:val="18"/>
                <w:szCs w:val="18"/>
              </w:rPr>
            </w:pPr>
            <w:r w:rsidRPr="0003683D">
              <w:rPr>
                <w:rFonts w:hAnsi="宋体" w:hint="eastAsia"/>
                <w:sz w:val="18"/>
                <w:szCs w:val="18"/>
              </w:rPr>
              <w:t>其中</w:t>
            </w:r>
            <w:r w:rsidRPr="0003683D">
              <w:rPr>
                <w:rFonts w:hAnsi="宋体"/>
                <w:sz w:val="18"/>
                <w:szCs w:val="18"/>
              </w:rPr>
              <w:t>选煤厂</w:t>
            </w:r>
            <w:r w:rsidRPr="0003683D">
              <w:rPr>
                <w:rFonts w:hint="eastAsia"/>
                <w:sz w:val="18"/>
                <w:szCs w:val="18"/>
              </w:rPr>
              <w:t>71</w:t>
            </w:r>
            <w:r w:rsidRPr="0003683D">
              <w:rPr>
                <w:rFonts w:hAnsi="宋体"/>
                <w:sz w:val="18"/>
                <w:szCs w:val="18"/>
              </w:rPr>
              <w:t>人</w:t>
            </w:r>
          </w:p>
        </w:tc>
      </w:tr>
      <w:tr w:rsidR="00C223F5" w:rsidRPr="0003683D" w:rsidTr="001B3488">
        <w:trPr>
          <w:trHeight w:val="285"/>
          <w:jc w:val="center"/>
        </w:trPr>
        <w:tc>
          <w:tcPr>
            <w:tcW w:w="600" w:type="dxa"/>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21</w:t>
            </w:r>
          </w:p>
        </w:tc>
        <w:tc>
          <w:tcPr>
            <w:tcW w:w="2306" w:type="dxa"/>
            <w:gridSpan w:val="2"/>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年工作日</w:t>
            </w:r>
          </w:p>
        </w:tc>
        <w:tc>
          <w:tcPr>
            <w:tcW w:w="584" w:type="dxa"/>
            <w:tcMar>
              <w:left w:w="6" w:type="dxa"/>
              <w:right w:w="6" w:type="dxa"/>
            </w:tcMar>
            <w:vAlign w:val="center"/>
          </w:tcPr>
          <w:p w:rsidR="00C223F5" w:rsidRPr="0003683D" w:rsidRDefault="005860D5" w:rsidP="001B3488">
            <w:pPr>
              <w:jc w:val="center"/>
              <w:rPr>
                <w:sz w:val="18"/>
                <w:szCs w:val="18"/>
              </w:rPr>
            </w:pPr>
            <w:r w:rsidRPr="0003683D">
              <w:rPr>
                <w:sz w:val="18"/>
                <w:szCs w:val="18"/>
              </w:rPr>
              <w:t>d</w:t>
            </w:r>
          </w:p>
        </w:tc>
        <w:tc>
          <w:tcPr>
            <w:tcW w:w="3222" w:type="dxa"/>
            <w:tcMar>
              <w:left w:w="6" w:type="dxa"/>
              <w:right w:w="6" w:type="dxa"/>
            </w:tcMar>
            <w:vAlign w:val="center"/>
          </w:tcPr>
          <w:p w:rsidR="00C223F5" w:rsidRPr="0003683D" w:rsidRDefault="005860D5" w:rsidP="001B3488">
            <w:pPr>
              <w:jc w:val="center"/>
              <w:rPr>
                <w:sz w:val="18"/>
                <w:szCs w:val="18"/>
              </w:rPr>
            </w:pPr>
            <w:r w:rsidRPr="0003683D">
              <w:rPr>
                <w:sz w:val="18"/>
                <w:szCs w:val="18"/>
              </w:rPr>
              <w:t>330</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270"/>
          <w:jc w:val="center"/>
        </w:trPr>
        <w:tc>
          <w:tcPr>
            <w:tcW w:w="600" w:type="dxa"/>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22</w:t>
            </w:r>
          </w:p>
        </w:tc>
        <w:tc>
          <w:tcPr>
            <w:tcW w:w="2306" w:type="dxa"/>
            <w:gridSpan w:val="2"/>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工效</w:t>
            </w:r>
          </w:p>
        </w:tc>
        <w:tc>
          <w:tcPr>
            <w:tcW w:w="584" w:type="dxa"/>
            <w:tcMar>
              <w:left w:w="6" w:type="dxa"/>
              <w:right w:w="6" w:type="dxa"/>
            </w:tcMar>
            <w:vAlign w:val="center"/>
          </w:tcPr>
          <w:p w:rsidR="00C223F5" w:rsidRPr="0003683D" w:rsidRDefault="005860D5" w:rsidP="001B3488">
            <w:pPr>
              <w:jc w:val="center"/>
              <w:rPr>
                <w:sz w:val="18"/>
                <w:szCs w:val="18"/>
              </w:rPr>
            </w:pPr>
            <w:r w:rsidRPr="0003683D">
              <w:rPr>
                <w:sz w:val="18"/>
                <w:szCs w:val="18"/>
              </w:rPr>
              <w:t>t/</w:t>
            </w:r>
            <w:r w:rsidRPr="0003683D">
              <w:rPr>
                <w:rFonts w:hAnsi="宋体"/>
                <w:sz w:val="18"/>
                <w:szCs w:val="18"/>
              </w:rPr>
              <w:t>工</w:t>
            </w:r>
            <w:r w:rsidRPr="0003683D">
              <w:rPr>
                <w:sz w:val="18"/>
                <w:szCs w:val="18"/>
              </w:rPr>
              <w:t>·</w:t>
            </w:r>
            <w:r w:rsidRPr="0003683D">
              <w:rPr>
                <w:rFonts w:hAnsi="宋体"/>
                <w:sz w:val="18"/>
                <w:szCs w:val="18"/>
              </w:rPr>
              <w:t>日</w:t>
            </w:r>
          </w:p>
        </w:tc>
        <w:tc>
          <w:tcPr>
            <w:tcW w:w="3222"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矿井全员效率</w:t>
            </w:r>
            <w:r w:rsidRPr="0003683D">
              <w:rPr>
                <w:sz w:val="18"/>
                <w:szCs w:val="18"/>
              </w:rPr>
              <w:t>7.</w:t>
            </w:r>
            <w:r w:rsidRPr="0003683D">
              <w:rPr>
                <w:rFonts w:hint="eastAsia"/>
                <w:sz w:val="18"/>
                <w:szCs w:val="18"/>
              </w:rPr>
              <w:t>4</w:t>
            </w:r>
            <w:r w:rsidRPr="0003683D">
              <w:rPr>
                <w:sz w:val="18"/>
                <w:szCs w:val="18"/>
              </w:rPr>
              <w:t>t/</w:t>
            </w:r>
            <w:r w:rsidRPr="0003683D">
              <w:rPr>
                <w:rFonts w:hAnsi="宋体"/>
                <w:sz w:val="18"/>
                <w:szCs w:val="18"/>
              </w:rPr>
              <w:t>工，</w:t>
            </w:r>
          </w:p>
          <w:p w:rsidR="00C223F5" w:rsidRPr="0003683D" w:rsidRDefault="005860D5" w:rsidP="001B3488">
            <w:pPr>
              <w:jc w:val="center"/>
              <w:rPr>
                <w:sz w:val="18"/>
                <w:szCs w:val="18"/>
              </w:rPr>
            </w:pPr>
            <w:r w:rsidRPr="0003683D">
              <w:rPr>
                <w:rFonts w:hAnsi="宋体"/>
                <w:sz w:val="18"/>
                <w:szCs w:val="18"/>
              </w:rPr>
              <w:t>选煤厂全员效率</w:t>
            </w:r>
            <w:r w:rsidRPr="0003683D">
              <w:rPr>
                <w:rFonts w:hint="eastAsia"/>
                <w:sz w:val="18"/>
                <w:szCs w:val="18"/>
              </w:rPr>
              <w:t>56</w:t>
            </w:r>
            <w:r w:rsidRPr="0003683D">
              <w:rPr>
                <w:sz w:val="18"/>
                <w:szCs w:val="18"/>
              </w:rPr>
              <w:t>t/</w:t>
            </w:r>
            <w:r w:rsidRPr="0003683D">
              <w:rPr>
                <w:rFonts w:hAnsi="宋体"/>
                <w:sz w:val="18"/>
                <w:szCs w:val="18"/>
              </w:rPr>
              <w:t>工</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276"/>
          <w:jc w:val="center"/>
        </w:trPr>
        <w:tc>
          <w:tcPr>
            <w:tcW w:w="600" w:type="dxa"/>
            <w:tcMar>
              <w:left w:w="6" w:type="dxa"/>
              <w:right w:w="6" w:type="dxa"/>
            </w:tcMar>
            <w:vAlign w:val="center"/>
          </w:tcPr>
          <w:p w:rsidR="00C223F5" w:rsidRPr="0003683D" w:rsidRDefault="005860D5" w:rsidP="001B3488">
            <w:pPr>
              <w:jc w:val="center"/>
              <w:rPr>
                <w:b/>
                <w:sz w:val="18"/>
                <w:szCs w:val="18"/>
              </w:rPr>
            </w:pPr>
            <w:r w:rsidRPr="0003683D">
              <w:rPr>
                <w:b/>
                <w:sz w:val="18"/>
                <w:szCs w:val="18"/>
              </w:rPr>
              <w:t>2</w:t>
            </w:r>
            <w:r w:rsidRPr="0003683D">
              <w:rPr>
                <w:rFonts w:hint="eastAsia"/>
                <w:b/>
                <w:sz w:val="18"/>
                <w:szCs w:val="18"/>
              </w:rPr>
              <w:t>3</w:t>
            </w:r>
          </w:p>
        </w:tc>
        <w:tc>
          <w:tcPr>
            <w:tcW w:w="2306" w:type="dxa"/>
            <w:gridSpan w:val="2"/>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总工期</w:t>
            </w:r>
          </w:p>
        </w:tc>
        <w:tc>
          <w:tcPr>
            <w:tcW w:w="584"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月</w:t>
            </w:r>
          </w:p>
        </w:tc>
        <w:tc>
          <w:tcPr>
            <w:tcW w:w="3222" w:type="dxa"/>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26.4</w:t>
            </w:r>
          </w:p>
        </w:tc>
        <w:tc>
          <w:tcPr>
            <w:tcW w:w="2441" w:type="dxa"/>
            <w:tcMar>
              <w:left w:w="6" w:type="dxa"/>
              <w:right w:w="6" w:type="dxa"/>
            </w:tcMar>
            <w:vAlign w:val="center"/>
          </w:tcPr>
          <w:p w:rsidR="00C223F5" w:rsidRPr="0003683D" w:rsidRDefault="00C223F5" w:rsidP="001B3488">
            <w:pPr>
              <w:jc w:val="center"/>
              <w:rPr>
                <w:sz w:val="18"/>
                <w:szCs w:val="18"/>
              </w:rPr>
            </w:pPr>
          </w:p>
        </w:tc>
      </w:tr>
      <w:tr w:rsidR="00C223F5" w:rsidRPr="0003683D" w:rsidTr="001B3488">
        <w:trPr>
          <w:trHeight w:val="262"/>
          <w:jc w:val="center"/>
        </w:trPr>
        <w:tc>
          <w:tcPr>
            <w:tcW w:w="600" w:type="dxa"/>
            <w:vMerge w:val="restart"/>
            <w:tcMar>
              <w:left w:w="6" w:type="dxa"/>
              <w:right w:w="6" w:type="dxa"/>
            </w:tcMar>
            <w:vAlign w:val="center"/>
          </w:tcPr>
          <w:p w:rsidR="00C223F5" w:rsidRPr="0003683D" w:rsidRDefault="005860D5" w:rsidP="001B3488">
            <w:pPr>
              <w:jc w:val="center"/>
              <w:rPr>
                <w:b/>
                <w:sz w:val="18"/>
                <w:szCs w:val="18"/>
              </w:rPr>
            </w:pPr>
            <w:r w:rsidRPr="0003683D">
              <w:rPr>
                <w:b/>
                <w:sz w:val="18"/>
                <w:szCs w:val="18"/>
              </w:rPr>
              <w:t>2</w:t>
            </w:r>
            <w:r w:rsidRPr="0003683D">
              <w:rPr>
                <w:rFonts w:hint="eastAsia"/>
                <w:b/>
                <w:sz w:val="18"/>
                <w:szCs w:val="18"/>
              </w:rPr>
              <w:t>4</w:t>
            </w:r>
          </w:p>
        </w:tc>
        <w:tc>
          <w:tcPr>
            <w:tcW w:w="530" w:type="dxa"/>
            <w:vMerge w:val="restart"/>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经济</w:t>
            </w:r>
          </w:p>
          <w:p w:rsidR="00C223F5" w:rsidRPr="0003683D" w:rsidRDefault="005860D5" w:rsidP="001B3488">
            <w:pPr>
              <w:jc w:val="center"/>
              <w:rPr>
                <w:sz w:val="18"/>
                <w:szCs w:val="18"/>
              </w:rPr>
            </w:pPr>
            <w:r w:rsidRPr="0003683D">
              <w:rPr>
                <w:rFonts w:hAnsi="宋体"/>
                <w:sz w:val="18"/>
                <w:szCs w:val="18"/>
              </w:rPr>
              <w:t>指标</w:t>
            </w: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总</w:t>
            </w:r>
            <w:r w:rsidRPr="0003683D">
              <w:rPr>
                <w:rFonts w:hAnsi="宋体" w:hint="eastAsia"/>
                <w:sz w:val="18"/>
                <w:szCs w:val="18"/>
              </w:rPr>
              <w:t>资金</w:t>
            </w:r>
          </w:p>
        </w:tc>
        <w:tc>
          <w:tcPr>
            <w:tcW w:w="584"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万元</w:t>
            </w:r>
          </w:p>
        </w:tc>
        <w:tc>
          <w:tcPr>
            <w:tcW w:w="3222" w:type="dxa"/>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91496.61</w:t>
            </w:r>
          </w:p>
        </w:tc>
        <w:tc>
          <w:tcPr>
            <w:tcW w:w="2441"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静态总投资</w:t>
            </w:r>
            <w:r w:rsidRPr="0003683D">
              <w:rPr>
                <w:rFonts w:hint="eastAsia"/>
                <w:sz w:val="18"/>
                <w:szCs w:val="18"/>
              </w:rPr>
              <w:t>86961.61</w:t>
            </w:r>
          </w:p>
        </w:tc>
      </w:tr>
      <w:tr w:rsidR="00C223F5" w:rsidRPr="0003683D" w:rsidTr="001B3488">
        <w:trPr>
          <w:trHeight w:val="70"/>
          <w:jc w:val="center"/>
        </w:trPr>
        <w:tc>
          <w:tcPr>
            <w:tcW w:w="600" w:type="dxa"/>
            <w:vMerge/>
            <w:tcMar>
              <w:left w:w="6" w:type="dxa"/>
              <w:right w:w="6" w:type="dxa"/>
            </w:tcMar>
            <w:vAlign w:val="center"/>
          </w:tcPr>
          <w:p w:rsidR="00C223F5" w:rsidRPr="0003683D" w:rsidRDefault="00C223F5" w:rsidP="001B3488">
            <w:pPr>
              <w:jc w:val="center"/>
              <w:rPr>
                <w:b/>
                <w:sz w:val="18"/>
                <w:szCs w:val="18"/>
              </w:rPr>
            </w:pPr>
          </w:p>
        </w:tc>
        <w:tc>
          <w:tcPr>
            <w:tcW w:w="530" w:type="dxa"/>
            <w:vMerge/>
            <w:tcMar>
              <w:left w:w="6" w:type="dxa"/>
              <w:right w:w="6" w:type="dxa"/>
            </w:tcMar>
            <w:vAlign w:val="center"/>
          </w:tcPr>
          <w:p w:rsidR="00C223F5" w:rsidRPr="0003683D" w:rsidRDefault="00C223F5" w:rsidP="001B3488">
            <w:pPr>
              <w:jc w:val="center"/>
              <w:rPr>
                <w:sz w:val="18"/>
                <w:szCs w:val="18"/>
              </w:rPr>
            </w:pPr>
          </w:p>
        </w:tc>
        <w:tc>
          <w:tcPr>
            <w:tcW w:w="1776"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静态吨煤投资</w:t>
            </w:r>
          </w:p>
        </w:tc>
        <w:tc>
          <w:tcPr>
            <w:tcW w:w="584" w:type="dxa"/>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元</w:t>
            </w:r>
            <w:r w:rsidRPr="0003683D">
              <w:rPr>
                <w:sz w:val="18"/>
                <w:szCs w:val="18"/>
              </w:rPr>
              <w:t>/t</w:t>
            </w:r>
          </w:p>
        </w:tc>
        <w:tc>
          <w:tcPr>
            <w:tcW w:w="3222" w:type="dxa"/>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819.36/146.88</w:t>
            </w:r>
          </w:p>
        </w:tc>
        <w:tc>
          <w:tcPr>
            <w:tcW w:w="2441" w:type="dxa"/>
            <w:tcMar>
              <w:left w:w="6" w:type="dxa"/>
              <w:right w:w="6" w:type="dxa"/>
            </w:tcMar>
            <w:vAlign w:val="center"/>
          </w:tcPr>
          <w:p w:rsidR="00C223F5" w:rsidRPr="0003683D" w:rsidRDefault="005860D5" w:rsidP="001B3488">
            <w:pPr>
              <w:jc w:val="center"/>
              <w:rPr>
                <w:sz w:val="18"/>
                <w:szCs w:val="18"/>
              </w:rPr>
            </w:pPr>
            <w:r w:rsidRPr="0003683D">
              <w:rPr>
                <w:rFonts w:hint="eastAsia"/>
                <w:sz w:val="18"/>
                <w:szCs w:val="18"/>
              </w:rPr>
              <w:t>矿井</w:t>
            </w:r>
            <w:r w:rsidRPr="0003683D">
              <w:rPr>
                <w:rFonts w:hint="eastAsia"/>
                <w:sz w:val="18"/>
                <w:szCs w:val="18"/>
              </w:rPr>
              <w:t>/</w:t>
            </w:r>
            <w:r w:rsidRPr="0003683D">
              <w:rPr>
                <w:rFonts w:hint="eastAsia"/>
                <w:sz w:val="18"/>
                <w:szCs w:val="18"/>
              </w:rPr>
              <w:t>选煤厂</w:t>
            </w:r>
          </w:p>
        </w:tc>
      </w:tr>
      <w:tr w:rsidR="00C223F5" w:rsidRPr="0003683D" w:rsidTr="001B3488">
        <w:trPr>
          <w:trHeight w:val="300"/>
          <w:jc w:val="center"/>
        </w:trPr>
        <w:tc>
          <w:tcPr>
            <w:tcW w:w="600" w:type="dxa"/>
            <w:tcBorders>
              <w:bottom w:val="single" w:sz="4" w:space="0" w:color="auto"/>
            </w:tcBorders>
            <w:tcMar>
              <w:left w:w="6" w:type="dxa"/>
              <w:right w:w="6" w:type="dxa"/>
            </w:tcMar>
            <w:vAlign w:val="center"/>
          </w:tcPr>
          <w:p w:rsidR="00C223F5" w:rsidRPr="0003683D" w:rsidRDefault="005860D5" w:rsidP="001B3488">
            <w:pPr>
              <w:jc w:val="center"/>
              <w:rPr>
                <w:b/>
                <w:sz w:val="18"/>
                <w:szCs w:val="18"/>
              </w:rPr>
            </w:pPr>
            <w:r w:rsidRPr="0003683D">
              <w:rPr>
                <w:rFonts w:hint="eastAsia"/>
                <w:b/>
                <w:sz w:val="18"/>
                <w:szCs w:val="18"/>
              </w:rPr>
              <w:t>25</w:t>
            </w:r>
          </w:p>
        </w:tc>
        <w:tc>
          <w:tcPr>
            <w:tcW w:w="2306" w:type="dxa"/>
            <w:gridSpan w:val="2"/>
            <w:tcBorders>
              <w:bottom w:val="single" w:sz="4" w:space="0" w:color="auto"/>
            </w:tcBorders>
            <w:tcMar>
              <w:left w:w="6" w:type="dxa"/>
              <w:right w:w="6" w:type="dxa"/>
            </w:tcMar>
            <w:vAlign w:val="center"/>
          </w:tcPr>
          <w:p w:rsidR="00C223F5" w:rsidRPr="0003683D" w:rsidRDefault="005860D5" w:rsidP="001B3488">
            <w:pPr>
              <w:jc w:val="center"/>
              <w:rPr>
                <w:sz w:val="18"/>
                <w:szCs w:val="18"/>
              </w:rPr>
            </w:pPr>
            <w:r w:rsidRPr="0003683D">
              <w:rPr>
                <w:rFonts w:hAnsi="宋体"/>
                <w:sz w:val="18"/>
                <w:szCs w:val="18"/>
              </w:rPr>
              <w:t>总服务年限</w:t>
            </w:r>
          </w:p>
        </w:tc>
        <w:tc>
          <w:tcPr>
            <w:tcW w:w="584" w:type="dxa"/>
            <w:tcBorders>
              <w:bottom w:val="single" w:sz="4" w:space="0" w:color="auto"/>
            </w:tcBorders>
            <w:tcMar>
              <w:left w:w="6" w:type="dxa"/>
              <w:right w:w="6" w:type="dxa"/>
            </w:tcMar>
            <w:vAlign w:val="center"/>
          </w:tcPr>
          <w:p w:rsidR="00C223F5" w:rsidRPr="0003683D" w:rsidRDefault="005860D5" w:rsidP="001B3488">
            <w:pPr>
              <w:jc w:val="center"/>
              <w:rPr>
                <w:sz w:val="18"/>
                <w:szCs w:val="18"/>
              </w:rPr>
            </w:pPr>
            <w:r w:rsidRPr="0003683D">
              <w:rPr>
                <w:sz w:val="18"/>
                <w:szCs w:val="18"/>
              </w:rPr>
              <w:t>a</w:t>
            </w:r>
          </w:p>
        </w:tc>
        <w:tc>
          <w:tcPr>
            <w:tcW w:w="3222" w:type="dxa"/>
            <w:tcBorders>
              <w:bottom w:val="single" w:sz="4" w:space="0" w:color="auto"/>
            </w:tcBorders>
            <w:tcMar>
              <w:left w:w="6" w:type="dxa"/>
              <w:right w:w="6" w:type="dxa"/>
            </w:tcMar>
            <w:vAlign w:val="center"/>
          </w:tcPr>
          <w:p w:rsidR="00C223F5" w:rsidRPr="0003683D" w:rsidRDefault="005860D5" w:rsidP="001B3488">
            <w:pPr>
              <w:jc w:val="center"/>
              <w:rPr>
                <w:sz w:val="18"/>
                <w:szCs w:val="18"/>
              </w:rPr>
            </w:pPr>
            <w:r w:rsidRPr="0003683D">
              <w:rPr>
                <w:sz w:val="18"/>
                <w:szCs w:val="18"/>
              </w:rPr>
              <w:t>3</w:t>
            </w:r>
            <w:r w:rsidRPr="0003683D">
              <w:rPr>
                <w:rFonts w:hint="eastAsia"/>
                <w:sz w:val="18"/>
                <w:szCs w:val="18"/>
              </w:rPr>
              <w:t>9.0</w:t>
            </w:r>
          </w:p>
        </w:tc>
        <w:tc>
          <w:tcPr>
            <w:tcW w:w="2441" w:type="dxa"/>
            <w:tcBorders>
              <w:bottom w:val="single" w:sz="4" w:space="0" w:color="auto"/>
            </w:tcBorders>
            <w:tcMar>
              <w:left w:w="6" w:type="dxa"/>
              <w:right w:w="6" w:type="dxa"/>
            </w:tcMar>
            <w:vAlign w:val="center"/>
          </w:tcPr>
          <w:p w:rsidR="00C223F5" w:rsidRPr="0003683D" w:rsidRDefault="00C223F5" w:rsidP="001B3488">
            <w:pPr>
              <w:tabs>
                <w:tab w:val="left" w:pos="645"/>
              </w:tabs>
              <w:jc w:val="center"/>
              <w:rPr>
                <w:sz w:val="18"/>
                <w:szCs w:val="18"/>
              </w:rPr>
            </w:pPr>
          </w:p>
        </w:tc>
      </w:tr>
    </w:tbl>
    <w:p w:rsidR="00C223F5" w:rsidRDefault="005860D5" w:rsidP="004835BD">
      <w:pPr>
        <w:pStyle w:val="4"/>
        <w:spacing w:beforeLines="50" w:before="120" w:after="0" w:line="360" w:lineRule="auto"/>
        <w:ind w:firstLineChars="100" w:firstLine="240"/>
        <w:rPr>
          <w:szCs w:val="24"/>
        </w:rPr>
      </w:pPr>
      <w:r>
        <w:rPr>
          <w:rFonts w:hint="eastAsia"/>
          <w:szCs w:val="24"/>
        </w:rPr>
        <w:lastRenderedPageBreak/>
        <w:t>2</w:t>
      </w:r>
      <w:r>
        <w:rPr>
          <w:szCs w:val="24"/>
        </w:rPr>
        <w:t>.</w:t>
      </w:r>
      <w:r>
        <w:rPr>
          <w:rFonts w:hint="eastAsia"/>
          <w:szCs w:val="24"/>
        </w:rPr>
        <w:t>1.2.9</w:t>
      </w:r>
      <w:r>
        <w:rPr>
          <w:rFonts w:hint="eastAsia"/>
          <w:szCs w:val="24"/>
        </w:rPr>
        <w:t>井（矿）田境界及资源</w:t>
      </w:r>
      <w:r>
        <w:rPr>
          <w:szCs w:val="24"/>
        </w:rPr>
        <w:t>概况</w:t>
      </w:r>
    </w:p>
    <w:p w:rsidR="00C223F5" w:rsidRDefault="005860D5" w:rsidP="004835BD">
      <w:pPr>
        <w:pStyle w:val="4"/>
        <w:spacing w:before="0" w:after="0" w:line="360" w:lineRule="auto"/>
        <w:ind w:firstLineChars="100" w:firstLine="240"/>
        <w:rPr>
          <w:szCs w:val="24"/>
        </w:rPr>
      </w:pPr>
      <w:r>
        <w:rPr>
          <w:rFonts w:hint="eastAsia"/>
          <w:szCs w:val="24"/>
        </w:rPr>
        <w:t>（</w:t>
      </w:r>
      <w:r>
        <w:rPr>
          <w:rFonts w:hint="eastAsia"/>
          <w:szCs w:val="24"/>
        </w:rPr>
        <w:t>1</w:t>
      </w:r>
      <w:r>
        <w:rPr>
          <w:rFonts w:hint="eastAsia"/>
          <w:szCs w:val="24"/>
        </w:rPr>
        <w:t>）</w:t>
      </w:r>
      <w:r>
        <w:rPr>
          <w:szCs w:val="24"/>
        </w:rPr>
        <w:t>井田境界</w:t>
      </w:r>
    </w:p>
    <w:p w:rsidR="00C223F5" w:rsidRDefault="005860D5">
      <w:pPr>
        <w:adjustRightInd w:val="0"/>
        <w:snapToGrid w:val="0"/>
        <w:spacing w:line="360" w:lineRule="auto"/>
        <w:ind w:firstLineChars="200" w:firstLine="480"/>
        <w:rPr>
          <w:sz w:val="24"/>
        </w:rPr>
      </w:pPr>
      <w:r>
        <w:rPr>
          <w:rFonts w:hAnsi="宋体"/>
          <w:snapToGrid w:val="0"/>
          <w:kern w:val="0"/>
          <w:sz w:val="24"/>
        </w:rPr>
        <w:t>根据陕西省国土资源</w:t>
      </w:r>
      <w:r>
        <w:rPr>
          <w:rFonts w:asciiTheme="minorEastAsia" w:eastAsiaTheme="minorEastAsia" w:hAnsiTheme="minorEastAsia"/>
          <w:snapToGrid w:val="0"/>
          <w:kern w:val="0"/>
          <w:sz w:val="24"/>
        </w:rPr>
        <w:t>厅“</w:t>
      </w:r>
      <w:r>
        <w:rPr>
          <w:rFonts w:asciiTheme="minorEastAsia" w:eastAsiaTheme="minorEastAsia" w:hAnsiTheme="minorEastAsia"/>
          <w:sz w:val="24"/>
        </w:rPr>
        <w:t>陕</w:t>
      </w:r>
      <w:r>
        <w:rPr>
          <w:rFonts w:hAnsi="宋体"/>
          <w:sz w:val="24"/>
        </w:rPr>
        <w:t>国土资矿采划［</w:t>
      </w:r>
      <w:r>
        <w:rPr>
          <w:snapToGrid w:val="0"/>
          <w:kern w:val="0"/>
          <w:sz w:val="24"/>
        </w:rPr>
        <w:t>2015</w:t>
      </w:r>
      <w:r>
        <w:rPr>
          <w:rFonts w:hAnsi="宋体"/>
          <w:sz w:val="24"/>
        </w:rPr>
        <w:t>］</w:t>
      </w:r>
      <w:r>
        <w:rPr>
          <w:sz w:val="24"/>
        </w:rPr>
        <w:t>10</w:t>
      </w:r>
      <w:r>
        <w:rPr>
          <w:rFonts w:asciiTheme="minorEastAsia" w:eastAsiaTheme="minorEastAsia" w:hAnsiTheme="minorEastAsia"/>
          <w:sz w:val="24"/>
        </w:rPr>
        <w:t>号</w:t>
      </w:r>
      <w:r>
        <w:rPr>
          <w:rFonts w:asciiTheme="minorEastAsia" w:eastAsiaTheme="minorEastAsia" w:hAnsiTheme="minorEastAsia"/>
          <w:snapToGrid w:val="0"/>
          <w:kern w:val="0"/>
          <w:sz w:val="24"/>
        </w:rPr>
        <w:t>”</w:t>
      </w:r>
      <w:r>
        <w:rPr>
          <w:rFonts w:hAnsi="宋体"/>
          <w:sz w:val="24"/>
        </w:rPr>
        <w:t>文《关于划定横山县天云煤矿矿区范围的批复》，</w:t>
      </w:r>
      <w:r>
        <w:rPr>
          <w:rFonts w:hAnsi="宋体"/>
          <w:snapToGrid w:val="0"/>
          <w:kern w:val="0"/>
          <w:sz w:val="24"/>
        </w:rPr>
        <w:t>横山县天云煤矿有限公司</w:t>
      </w:r>
      <w:r>
        <w:rPr>
          <w:rFonts w:hAnsi="宋体" w:hint="eastAsia"/>
          <w:snapToGrid w:val="0"/>
          <w:kern w:val="0"/>
          <w:sz w:val="24"/>
        </w:rPr>
        <w:t>天云煤矿是由原天云煤矿、沈石畔勘查区以及部分石湾煤矿区三部分整合而成，井田范围由</w:t>
      </w:r>
      <w:r>
        <w:rPr>
          <w:rFonts w:hAnsi="宋体" w:hint="eastAsia"/>
          <w:snapToGrid w:val="0"/>
          <w:kern w:val="0"/>
          <w:sz w:val="24"/>
        </w:rPr>
        <w:t>12</w:t>
      </w:r>
      <w:r>
        <w:rPr>
          <w:rFonts w:hAnsi="宋体" w:hint="eastAsia"/>
          <w:snapToGrid w:val="0"/>
          <w:kern w:val="0"/>
          <w:sz w:val="24"/>
        </w:rPr>
        <w:t>个拐点圈定</w:t>
      </w:r>
      <w:r>
        <w:rPr>
          <w:rFonts w:hAnsi="宋体"/>
          <w:snapToGrid w:val="0"/>
          <w:kern w:val="0"/>
          <w:sz w:val="24"/>
        </w:rPr>
        <w:t>（见表</w:t>
      </w:r>
      <w:r>
        <w:rPr>
          <w:snapToGrid w:val="0"/>
          <w:kern w:val="0"/>
          <w:sz w:val="24"/>
        </w:rPr>
        <w:t>2.1.2-6</w:t>
      </w:r>
      <w:r>
        <w:rPr>
          <w:rFonts w:hAnsi="宋体"/>
          <w:snapToGrid w:val="0"/>
          <w:kern w:val="0"/>
          <w:sz w:val="24"/>
        </w:rPr>
        <w:t>），面积</w:t>
      </w:r>
      <w:r>
        <w:rPr>
          <w:snapToGrid w:val="0"/>
          <w:kern w:val="0"/>
          <w:sz w:val="24"/>
        </w:rPr>
        <w:t>67.1241km</w:t>
      </w:r>
      <w:r>
        <w:rPr>
          <w:snapToGrid w:val="0"/>
          <w:kern w:val="0"/>
          <w:sz w:val="24"/>
          <w:vertAlign w:val="superscript"/>
        </w:rPr>
        <w:t>2</w:t>
      </w:r>
      <w:r>
        <w:rPr>
          <w:sz w:val="24"/>
        </w:rPr>
        <w:t>。</w:t>
      </w:r>
    </w:p>
    <w:p w:rsidR="00C223F5" w:rsidRDefault="005860D5">
      <w:pPr>
        <w:ind w:firstLineChars="200" w:firstLine="482"/>
        <w:jc w:val="center"/>
        <w:rPr>
          <w:b/>
          <w:sz w:val="24"/>
        </w:rPr>
      </w:pPr>
      <w:r>
        <w:rPr>
          <w:b/>
          <w:sz w:val="24"/>
        </w:rPr>
        <w:t>表</w:t>
      </w:r>
      <w:r>
        <w:rPr>
          <w:b/>
          <w:sz w:val="24"/>
        </w:rPr>
        <w:t>2</w:t>
      </w:r>
      <w:r>
        <w:rPr>
          <w:rFonts w:hint="eastAsia"/>
          <w:b/>
          <w:sz w:val="24"/>
        </w:rPr>
        <w:t>.</w:t>
      </w:r>
      <w:r>
        <w:rPr>
          <w:b/>
          <w:sz w:val="24"/>
        </w:rPr>
        <w:t>1</w:t>
      </w:r>
      <w:r>
        <w:rPr>
          <w:rFonts w:hint="eastAsia"/>
          <w:b/>
          <w:sz w:val="24"/>
        </w:rPr>
        <w:t>.2</w:t>
      </w:r>
      <w:r>
        <w:rPr>
          <w:b/>
          <w:sz w:val="24"/>
        </w:rPr>
        <w:t>-</w:t>
      </w:r>
      <w:r>
        <w:rPr>
          <w:rFonts w:hint="eastAsia"/>
          <w:b/>
          <w:sz w:val="24"/>
        </w:rPr>
        <w:t>6</w:t>
      </w:r>
      <w:r w:rsidR="00426117">
        <w:rPr>
          <w:rFonts w:hint="eastAsia"/>
          <w:b/>
          <w:sz w:val="24"/>
        </w:rPr>
        <w:t xml:space="preserve">   </w:t>
      </w:r>
      <w:r>
        <w:rPr>
          <w:b/>
          <w:sz w:val="24"/>
        </w:rPr>
        <w:t>矿井范围拐点坐标表</w:t>
      </w:r>
      <w:r>
        <w:rPr>
          <w:rFonts w:hint="eastAsia"/>
          <w:b/>
          <w:sz w:val="24"/>
        </w:rPr>
        <w:t>（</w:t>
      </w:r>
      <w:r>
        <w:rPr>
          <w:rFonts w:hint="eastAsia"/>
          <w:b/>
          <w:sz w:val="24"/>
        </w:rPr>
        <w:t>80</w:t>
      </w:r>
      <w:r>
        <w:rPr>
          <w:rFonts w:hint="eastAsia"/>
          <w:b/>
          <w:sz w:val="24"/>
        </w:rPr>
        <w:t>西安坐标系）</w:t>
      </w:r>
    </w:p>
    <w:tbl>
      <w:tblPr>
        <w:tblW w:w="80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89"/>
        <w:gridCol w:w="1655"/>
        <w:gridCol w:w="1635"/>
        <w:gridCol w:w="699"/>
        <w:gridCol w:w="1680"/>
        <w:gridCol w:w="1680"/>
      </w:tblGrid>
      <w:tr w:rsidR="00C223F5">
        <w:trPr>
          <w:trHeight w:val="75"/>
          <w:jc w:val="center"/>
        </w:trPr>
        <w:tc>
          <w:tcPr>
            <w:tcW w:w="689" w:type="dxa"/>
            <w:vAlign w:val="center"/>
          </w:tcPr>
          <w:p w:rsidR="00C223F5" w:rsidRDefault="005860D5" w:rsidP="001B3488">
            <w:pPr>
              <w:jc w:val="center"/>
              <w:rPr>
                <w:b/>
                <w:szCs w:val="21"/>
              </w:rPr>
            </w:pPr>
            <w:r>
              <w:rPr>
                <w:rFonts w:hAnsi="宋体"/>
                <w:b/>
                <w:szCs w:val="21"/>
              </w:rPr>
              <w:t>序号</w:t>
            </w:r>
          </w:p>
        </w:tc>
        <w:tc>
          <w:tcPr>
            <w:tcW w:w="1655" w:type="dxa"/>
            <w:vAlign w:val="center"/>
          </w:tcPr>
          <w:p w:rsidR="00C223F5" w:rsidRDefault="005860D5" w:rsidP="001B3488">
            <w:pPr>
              <w:jc w:val="center"/>
              <w:rPr>
                <w:b/>
                <w:szCs w:val="21"/>
              </w:rPr>
            </w:pPr>
            <w:r>
              <w:rPr>
                <w:b/>
                <w:szCs w:val="21"/>
              </w:rPr>
              <w:t>X</w:t>
            </w:r>
            <w:r>
              <w:rPr>
                <w:rFonts w:hAnsi="宋体"/>
                <w:b/>
                <w:szCs w:val="21"/>
              </w:rPr>
              <w:t>（</w:t>
            </w:r>
            <w:r>
              <w:rPr>
                <w:b/>
                <w:szCs w:val="21"/>
              </w:rPr>
              <w:t>m</w:t>
            </w:r>
            <w:r>
              <w:rPr>
                <w:rFonts w:hAnsi="宋体"/>
                <w:b/>
                <w:szCs w:val="21"/>
              </w:rPr>
              <w:t>）</w:t>
            </w:r>
          </w:p>
        </w:tc>
        <w:tc>
          <w:tcPr>
            <w:tcW w:w="1635" w:type="dxa"/>
            <w:vAlign w:val="center"/>
          </w:tcPr>
          <w:p w:rsidR="00C223F5" w:rsidRDefault="005860D5" w:rsidP="001B3488">
            <w:pPr>
              <w:jc w:val="center"/>
              <w:rPr>
                <w:b/>
                <w:szCs w:val="21"/>
              </w:rPr>
            </w:pPr>
            <w:r>
              <w:rPr>
                <w:b/>
                <w:szCs w:val="21"/>
              </w:rPr>
              <w:t>Y</w:t>
            </w:r>
            <w:r>
              <w:rPr>
                <w:rFonts w:hAnsi="宋体"/>
                <w:b/>
                <w:szCs w:val="21"/>
              </w:rPr>
              <w:t>（</w:t>
            </w:r>
            <w:r>
              <w:rPr>
                <w:b/>
                <w:szCs w:val="21"/>
              </w:rPr>
              <w:t>m</w:t>
            </w:r>
            <w:r>
              <w:rPr>
                <w:rFonts w:hAnsi="宋体"/>
                <w:b/>
                <w:szCs w:val="21"/>
              </w:rPr>
              <w:t>）</w:t>
            </w:r>
          </w:p>
        </w:tc>
        <w:tc>
          <w:tcPr>
            <w:tcW w:w="699" w:type="dxa"/>
            <w:vAlign w:val="center"/>
          </w:tcPr>
          <w:p w:rsidR="00C223F5" w:rsidRDefault="005860D5" w:rsidP="001B3488">
            <w:pPr>
              <w:jc w:val="center"/>
              <w:rPr>
                <w:b/>
                <w:szCs w:val="21"/>
              </w:rPr>
            </w:pPr>
            <w:r>
              <w:rPr>
                <w:rFonts w:hAnsi="宋体"/>
                <w:b/>
                <w:szCs w:val="21"/>
              </w:rPr>
              <w:t>序号</w:t>
            </w:r>
          </w:p>
        </w:tc>
        <w:tc>
          <w:tcPr>
            <w:tcW w:w="1680" w:type="dxa"/>
            <w:vAlign w:val="center"/>
          </w:tcPr>
          <w:p w:rsidR="00C223F5" w:rsidRDefault="005860D5" w:rsidP="001B3488">
            <w:pPr>
              <w:jc w:val="center"/>
              <w:rPr>
                <w:b/>
                <w:szCs w:val="21"/>
              </w:rPr>
            </w:pPr>
            <w:r>
              <w:rPr>
                <w:b/>
                <w:szCs w:val="21"/>
              </w:rPr>
              <w:t>X</w:t>
            </w:r>
            <w:r>
              <w:rPr>
                <w:rFonts w:hAnsi="宋体"/>
                <w:b/>
                <w:szCs w:val="21"/>
              </w:rPr>
              <w:t>（</w:t>
            </w:r>
            <w:r>
              <w:rPr>
                <w:b/>
                <w:szCs w:val="21"/>
              </w:rPr>
              <w:t>m</w:t>
            </w:r>
            <w:r>
              <w:rPr>
                <w:rFonts w:hAnsi="宋体"/>
                <w:b/>
                <w:szCs w:val="21"/>
              </w:rPr>
              <w:t>）</w:t>
            </w:r>
          </w:p>
        </w:tc>
        <w:tc>
          <w:tcPr>
            <w:tcW w:w="1680" w:type="dxa"/>
            <w:vAlign w:val="center"/>
          </w:tcPr>
          <w:p w:rsidR="00C223F5" w:rsidRDefault="005860D5" w:rsidP="001B3488">
            <w:pPr>
              <w:jc w:val="center"/>
              <w:rPr>
                <w:b/>
                <w:szCs w:val="21"/>
              </w:rPr>
            </w:pPr>
            <w:r>
              <w:rPr>
                <w:b/>
                <w:szCs w:val="21"/>
              </w:rPr>
              <w:t>Y</w:t>
            </w:r>
            <w:r>
              <w:rPr>
                <w:rFonts w:hAnsi="宋体"/>
                <w:b/>
                <w:szCs w:val="21"/>
              </w:rPr>
              <w:t>（</w:t>
            </w:r>
            <w:r>
              <w:rPr>
                <w:b/>
                <w:szCs w:val="21"/>
              </w:rPr>
              <w:t>m</w:t>
            </w:r>
            <w:r>
              <w:rPr>
                <w:rFonts w:hAnsi="宋体"/>
                <w:b/>
                <w:szCs w:val="21"/>
              </w:rPr>
              <w:t>）</w:t>
            </w:r>
          </w:p>
        </w:tc>
      </w:tr>
      <w:tr w:rsidR="00C223F5">
        <w:trPr>
          <w:trHeight w:val="75"/>
          <w:jc w:val="center"/>
        </w:trPr>
        <w:tc>
          <w:tcPr>
            <w:tcW w:w="689" w:type="dxa"/>
            <w:vAlign w:val="center"/>
          </w:tcPr>
          <w:p w:rsidR="00C223F5" w:rsidRDefault="005860D5" w:rsidP="001B3488">
            <w:pPr>
              <w:jc w:val="center"/>
              <w:rPr>
                <w:b/>
                <w:szCs w:val="21"/>
              </w:rPr>
            </w:pPr>
            <w:r>
              <w:rPr>
                <w:b/>
                <w:szCs w:val="21"/>
              </w:rPr>
              <w:t>1</w:t>
            </w:r>
          </w:p>
        </w:tc>
        <w:tc>
          <w:tcPr>
            <w:tcW w:w="1655" w:type="dxa"/>
            <w:vAlign w:val="center"/>
          </w:tcPr>
          <w:p w:rsidR="00C223F5" w:rsidRDefault="005860D5" w:rsidP="001B3488">
            <w:pPr>
              <w:jc w:val="center"/>
              <w:rPr>
                <w:szCs w:val="21"/>
              </w:rPr>
            </w:pPr>
            <w:r>
              <w:rPr>
                <w:szCs w:val="21"/>
              </w:rPr>
              <w:t>4160949.00</w:t>
            </w:r>
          </w:p>
        </w:tc>
        <w:tc>
          <w:tcPr>
            <w:tcW w:w="1635" w:type="dxa"/>
            <w:vAlign w:val="center"/>
          </w:tcPr>
          <w:p w:rsidR="00C223F5" w:rsidRDefault="005860D5" w:rsidP="001B3488">
            <w:pPr>
              <w:jc w:val="center"/>
              <w:rPr>
                <w:szCs w:val="21"/>
              </w:rPr>
            </w:pPr>
            <w:r>
              <w:rPr>
                <w:szCs w:val="21"/>
              </w:rPr>
              <w:t>36626123.00</w:t>
            </w:r>
          </w:p>
        </w:tc>
        <w:tc>
          <w:tcPr>
            <w:tcW w:w="699" w:type="dxa"/>
            <w:vAlign w:val="center"/>
          </w:tcPr>
          <w:p w:rsidR="00C223F5" w:rsidRDefault="005860D5" w:rsidP="001B3488">
            <w:pPr>
              <w:jc w:val="center"/>
              <w:rPr>
                <w:b/>
                <w:szCs w:val="21"/>
              </w:rPr>
            </w:pPr>
            <w:r>
              <w:rPr>
                <w:b/>
                <w:szCs w:val="21"/>
              </w:rPr>
              <w:t>7</w:t>
            </w:r>
          </w:p>
        </w:tc>
        <w:tc>
          <w:tcPr>
            <w:tcW w:w="1680" w:type="dxa"/>
            <w:vAlign w:val="center"/>
          </w:tcPr>
          <w:p w:rsidR="00C223F5" w:rsidRDefault="005860D5" w:rsidP="001B3488">
            <w:pPr>
              <w:jc w:val="center"/>
              <w:rPr>
                <w:szCs w:val="21"/>
              </w:rPr>
            </w:pPr>
            <w:r>
              <w:rPr>
                <w:szCs w:val="21"/>
              </w:rPr>
              <w:t>4153168.00</w:t>
            </w:r>
          </w:p>
        </w:tc>
        <w:tc>
          <w:tcPr>
            <w:tcW w:w="1680" w:type="dxa"/>
            <w:vAlign w:val="center"/>
          </w:tcPr>
          <w:p w:rsidR="00C223F5" w:rsidRDefault="005860D5" w:rsidP="001B3488">
            <w:pPr>
              <w:jc w:val="center"/>
              <w:rPr>
                <w:szCs w:val="21"/>
              </w:rPr>
            </w:pPr>
            <w:r>
              <w:rPr>
                <w:szCs w:val="21"/>
              </w:rPr>
              <w:t>36635516.00</w:t>
            </w:r>
          </w:p>
        </w:tc>
      </w:tr>
      <w:tr w:rsidR="00C223F5">
        <w:trPr>
          <w:trHeight w:val="75"/>
          <w:jc w:val="center"/>
        </w:trPr>
        <w:tc>
          <w:tcPr>
            <w:tcW w:w="689" w:type="dxa"/>
            <w:vAlign w:val="center"/>
          </w:tcPr>
          <w:p w:rsidR="00C223F5" w:rsidRDefault="005860D5" w:rsidP="001B3488">
            <w:pPr>
              <w:jc w:val="center"/>
              <w:rPr>
                <w:b/>
                <w:szCs w:val="21"/>
              </w:rPr>
            </w:pPr>
            <w:r>
              <w:rPr>
                <w:b/>
                <w:szCs w:val="21"/>
              </w:rPr>
              <w:t>2</w:t>
            </w:r>
          </w:p>
        </w:tc>
        <w:tc>
          <w:tcPr>
            <w:tcW w:w="1655" w:type="dxa"/>
            <w:vAlign w:val="center"/>
          </w:tcPr>
          <w:p w:rsidR="00C223F5" w:rsidRDefault="005860D5" w:rsidP="001B3488">
            <w:pPr>
              <w:jc w:val="center"/>
              <w:rPr>
                <w:szCs w:val="21"/>
              </w:rPr>
            </w:pPr>
            <w:r>
              <w:rPr>
                <w:szCs w:val="21"/>
              </w:rPr>
              <w:t>4160949.00</w:t>
            </w:r>
          </w:p>
        </w:tc>
        <w:tc>
          <w:tcPr>
            <w:tcW w:w="1635" w:type="dxa"/>
            <w:vAlign w:val="center"/>
          </w:tcPr>
          <w:p w:rsidR="00C223F5" w:rsidRDefault="005860D5" w:rsidP="001B3488">
            <w:pPr>
              <w:jc w:val="center"/>
              <w:rPr>
                <w:szCs w:val="21"/>
              </w:rPr>
            </w:pPr>
            <w:r>
              <w:rPr>
                <w:szCs w:val="21"/>
              </w:rPr>
              <w:t>36629423.00</w:t>
            </w:r>
          </w:p>
        </w:tc>
        <w:tc>
          <w:tcPr>
            <w:tcW w:w="699" w:type="dxa"/>
            <w:vAlign w:val="center"/>
          </w:tcPr>
          <w:p w:rsidR="00C223F5" w:rsidRDefault="005860D5" w:rsidP="001B3488">
            <w:pPr>
              <w:jc w:val="center"/>
              <w:rPr>
                <w:b/>
                <w:szCs w:val="21"/>
              </w:rPr>
            </w:pPr>
            <w:r>
              <w:rPr>
                <w:b/>
                <w:szCs w:val="21"/>
              </w:rPr>
              <w:t>8</w:t>
            </w:r>
          </w:p>
        </w:tc>
        <w:tc>
          <w:tcPr>
            <w:tcW w:w="1680" w:type="dxa"/>
            <w:vAlign w:val="center"/>
          </w:tcPr>
          <w:p w:rsidR="00C223F5" w:rsidRDefault="005860D5" w:rsidP="001B3488">
            <w:pPr>
              <w:jc w:val="center"/>
              <w:rPr>
                <w:szCs w:val="21"/>
              </w:rPr>
            </w:pPr>
            <w:r>
              <w:rPr>
                <w:szCs w:val="21"/>
              </w:rPr>
              <w:t>4152946.00</w:t>
            </w:r>
          </w:p>
        </w:tc>
        <w:tc>
          <w:tcPr>
            <w:tcW w:w="1680" w:type="dxa"/>
            <w:vAlign w:val="center"/>
          </w:tcPr>
          <w:p w:rsidR="00C223F5" w:rsidRDefault="005860D5" w:rsidP="001B3488">
            <w:pPr>
              <w:jc w:val="center"/>
              <w:rPr>
                <w:szCs w:val="21"/>
              </w:rPr>
            </w:pPr>
            <w:r>
              <w:rPr>
                <w:szCs w:val="21"/>
              </w:rPr>
              <w:t>36623724.00</w:t>
            </w:r>
          </w:p>
        </w:tc>
      </w:tr>
      <w:tr w:rsidR="00C223F5">
        <w:trPr>
          <w:trHeight w:val="75"/>
          <w:jc w:val="center"/>
        </w:trPr>
        <w:tc>
          <w:tcPr>
            <w:tcW w:w="689" w:type="dxa"/>
            <w:vAlign w:val="center"/>
          </w:tcPr>
          <w:p w:rsidR="00C223F5" w:rsidRDefault="005860D5" w:rsidP="001B3488">
            <w:pPr>
              <w:jc w:val="center"/>
              <w:rPr>
                <w:b/>
                <w:szCs w:val="21"/>
              </w:rPr>
            </w:pPr>
            <w:r>
              <w:rPr>
                <w:b/>
                <w:szCs w:val="21"/>
              </w:rPr>
              <w:t>3</w:t>
            </w:r>
          </w:p>
        </w:tc>
        <w:tc>
          <w:tcPr>
            <w:tcW w:w="1655" w:type="dxa"/>
            <w:vAlign w:val="center"/>
          </w:tcPr>
          <w:p w:rsidR="00C223F5" w:rsidRDefault="005860D5" w:rsidP="001B3488">
            <w:pPr>
              <w:jc w:val="center"/>
              <w:rPr>
                <w:szCs w:val="21"/>
              </w:rPr>
            </w:pPr>
            <w:r>
              <w:rPr>
                <w:szCs w:val="21"/>
              </w:rPr>
              <w:t>4159429.00</w:t>
            </w:r>
          </w:p>
        </w:tc>
        <w:tc>
          <w:tcPr>
            <w:tcW w:w="1635" w:type="dxa"/>
            <w:vAlign w:val="center"/>
          </w:tcPr>
          <w:p w:rsidR="00C223F5" w:rsidRDefault="005860D5" w:rsidP="001B3488">
            <w:pPr>
              <w:jc w:val="center"/>
              <w:rPr>
                <w:szCs w:val="21"/>
              </w:rPr>
            </w:pPr>
            <w:r>
              <w:rPr>
                <w:szCs w:val="21"/>
              </w:rPr>
              <w:t>36629423.00</w:t>
            </w:r>
          </w:p>
        </w:tc>
        <w:tc>
          <w:tcPr>
            <w:tcW w:w="699" w:type="dxa"/>
            <w:vAlign w:val="center"/>
          </w:tcPr>
          <w:p w:rsidR="00C223F5" w:rsidRDefault="005860D5" w:rsidP="001B3488">
            <w:pPr>
              <w:jc w:val="center"/>
              <w:rPr>
                <w:b/>
                <w:szCs w:val="21"/>
              </w:rPr>
            </w:pPr>
            <w:r>
              <w:rPr>
                <w:b/>
                <w:szCs w:val="21"/>
              </w:rPr>
              <w:t>9</w:t>
            </w:r>
          </w:p>
        </w:tc>
        <w:tc>
          <w:tcPr>
            <w:tcW w:w="1680" w:type="dxa"/>
            <w:vAlign w:val="center"/>
          </w:tcPr>
          <w:p w:rsidR="00C223F5" w:rsidRDefault="005860D5" w:rsidP="001B3488">
            <w:pPr>
              <w:jc w:val="center"/>
              <w:rPr>
                <w:szCs w:val="21"/>
              </w:rPr>
            </w:pPr>
            <w:r>
              <w:rPr>
                <w:szCs w:val="21"/>
              </w:rPr>
              <w:t>4155720.00</w:t>
            </w:r>
          </w:p>
        </w:tc>
        <w:tc>
          <w:tcPr>
            <w:tcW w:w="1680" w:type="dxa"/>
            <w:vAlign w:val="center"/>
          </w:tcPr>
          <w:p w:rsidR="00C223F5" w:rsidRDefault="005860D5" w:rsidP="001B3488">
            <w:pPr>
              <w:jc w:val="center"/>
              <w:rPr>
                <w:szCs w:val="21"/>
              </w:rPr>
            </w:pPr>
            <w:r>
              <w:rPr>
                <w:szCs w:val="21"/>
              </w:rPr>
              <w:t>36623683.00</w:t>
            </w:r>
          </w:p>
        </w:tc>
      </w:tr>
      <w:tr w:rsidR="00C223F5">
        <w:trPr>
          <w:trHeight w:val="75"/>
          <w:jc w:val="center"/>
        </w:trPr>
        <w:tc>
          <w:tcPr>
            <w:tcW w:w="689" w:type="dxa"/>
            <w:vAlign w:val="center"/>
          </w:tcPr>
          <w:p w:rsidR="00C223F5" w:rsidRDefault="005860D5" w:rsidP="001B3488">
            <w:pPr>
              <w:jc w:val="center"/>
              <w:rPr>
                <w:b/>
                <w:szCs w:val="21"/>
              </w:rPr>
            </w:pPr>
            <w:r>
              <w:rPr>
                <w:b/>
                <w:szCs w:val="21"/>
              </w:rPr>
              <w:t>4</w:t>
            </w:r>
          </w:p>
        </w:tc>
        <w:tc>
          <w:tcPr>
            <w:tcW w:w="1655" w:type="dxa"/>
            <w:vAlign w:val="center"/>
          </w:tcPr>
          <w:p w:rsidR="00C223F5" w:rsidRDefault="005860D5" w:rsidP="001B3488">
            <w:pPr>
              <w:jc w:val="center"/>
              <w:rPr>
                <w:szCs w:val="21"/>
              </w:rPr>
            </w:pPr>
            <w:r>
              <w:rPr>
                <w:szCs w:val="21"/>
              </w:rPr>
              <w:t>4159429.00</w:t>
            </w:r>
          </w:p>
        </w:tc>
        <w:tc>
          <w:tcPr>
            <w:tcW w:w="1635" w:type="dxa"/>
            <w:vAlign w:val="center"/>
          </w:tcPr>
          <w:p w:rsidR="00C223F5" w:rsidRDefault="005860D5" w:rsidP="001B3488">
            <w:pPr>
              <w:jc w:val="center"/>
              <w:rPr>
                <w:szCs w:val="21"/>
              </w:rPr>
            </w:pPr>
            <w:r>
              <w:rPr>
                <w:szCs w:val="21"/>
              </w:rPr>
              <w:t>36631730.00</w:t>
            </w:r>
          </w:p>
        </w:tc>
        <w:tc>
          <w:tcPr>
            <w:tcW w:w="699" w:type="dxa"/>
            <w:vAlign w:val="center"/>
          </w:tcPr>
          <w:p w:rsidR="00C223F5" w:rsidRDefault="005860D5" w:rsidP="001B3488">
            <w:pPr>
              <w:jc w:val="center"/>
              <w:rPr>
                <w:b/>
                <w:szCs w:val="21"/>
              </w:rPr>
            </w:pPr>
            <w:r>
              <w:rPr>
                <w:b/>
                <w:szCs w:val="21"/>
              </w:rPr>
              <w:t>10</w:t>
            </w:r>
          </w:p>
        </w:tc>
        <w:tc>
          <w:tcPr>
            <w:tcW w:w="1680" w:type="dxa"/>
            <w:vAlign w:val="center"/>
          </w:tcPr>
          <w:p w:rsidR="00C223F5" w:rsidRDefault="005860D5" w:rsidP="001B3488">
            <w:pPr>
              <w:jc w:val="center"/>
              <w:rPr>
                <w:szCs w:val="21"/>
              </w:rPr>
            </w:pPr>
            <w:r>
              <w:rPr>
                <w:szCs w:val="21"/>
              </w:rPr>
              <w:t>4155670.00</w:t>
            </w:r>
          </w:p>
        </w:tc>
        <w:tc>
          <w:tcPr>
            <w:tcW w:w="1680" w:type="dxa"/>
            <w:vAlign w:val="center"/>
          </w:tcPr>
          <w:p w:rsidR="00C223F5" w:rsidRDefault="005860D5" w:rsidP="001B3488">
            <w:pPr>
              <w:jc w:val="center"/>
              <w:rPr>
                <w:szCs w:val="21"/>
              </w:rPr>
            </w:pPr>
            <w:r>
              <w:rPr>
                <w:szCs w:val="21"/>
              </w:rPr>
              <w:t>36625860.00</w:t>
            </w:r>
          </w:p>
        </w:tc>
      </w:tr>
      <w:tr w:rsidR="00C223F5">
        <w:trPr>
          <w:trHeight w:val="75"/>
          <w:jc w:val="center"/>
        </w:trPr>
        <w:tc>
          <w:tcPr>
            <w:tcW w:w="689" w:type="dxa"/>
            <w:vAlign w:val="center"/>
          </w:tcPr>
          <w:p w:rsidR="00C223F5" w:rsidRDefault="005860D5" w:rsidP="001B3488">
            <w:pPr>
              <w:jc w:val="center"/>
              <w:rPr>
                <w:b/>
                <w:szCs w:val="21"/>
              </w:rPr>
            </w:pPr>
            <w:r>
              <w:rPr>
                <w:b/>
                <w:szCs w:val="21"/>
              </w:rPr>
              <w:t>5</w:t>
            </w:r>
          </w:p>
        </w:tc>
        <w:tc>
          <w:tcPr>
            <w:tcW w:w="1655" w:type="dxa"/>
            <w:vAlign w:val="center"/>
          </w:tcPr>
          <w:p w:rsidR="00C223F5" w:rsidRDefault="005860D5" w:rsidP="001B3488">
            <w:pPr>
              <w:jc w:val="center"/>
              <w:rPr>
                <w:szCs w:val="21"/>
              </w:rPr>
            </w:pPr>
            <w:r>
              <w:rPr>
                <w:szCs w:val="21"/>
              </w:rPr>
              <w:t>4158156.00</w:t>
            </w:r>
          </w:p>
        </w:tc>
        <w:tc>
          <w:tcPr>
            <w:tcW w:w="1635" w:type="dxa"/>
            <w:vAlign w:val="center"/>
          </w:tcPr>
          <w:p w:rsidR="00C223F5" w:rsidRDefault="005860D5" w:rsidP="001B3488">
            <w:pPr>
              <w:jc w:val="center"/>
              <w:rPr>
                <w:szCs w:val="21"/>
              </w:rPr>
            </w:pPr>
            <w:r>
              <w:rPr>
                <w:szCs w:val="21"/>
              </w:rPr>
              <w:t>36631730.00</w:t>
            </w:r>
          </w:p>
        </w:tc>
        <w:tc>
          <w:tcPr>
            <w:tcW w:w="699" w:type="dxa"/>
            <w:vAlign w:val="center"/>
          </w:tcPr>
          <w:p w:rsidR="00C223F5" w:rsidRDefault="005860D5" w:rsidP="001B3488">
            <w:pPr>
              <w:jc w:val="center"/>
              <w:rPr>
                <w:b/>
                <w:szCs w:val="21"/>
              </w:rPr>
            </w:pPr>
            <w:r>
              <w:rPr>
                <w:b/>
                <w:szCs w:val="21"/>
              </w:rPr>
              <w:t>11</w:t>
            </w:r>
          </w:p>
        </w:tc>
        <w:tc>
          <w:tcPr>
            <w:tcW w:w="1680" w:type="dxa"/>
            <w:vAlign w:val="center"/>
          </w:tcPr>
          <w:p w:rsidR="00C223F5" w:rsidRDefault="005860D5" w:rsidP="001B3488">
            <w:pPr>
              <w:jc w:val="center"/>
              <w:rPr>
                <w:szCs w:val="21"/>
              </w:rPr>
            </w:pPr>
            <w:r>
              <w:rPr>
                <w:szCs w:val="21"/>
              </w:rPr>
              <w:t>4157980.00</w:t>
            </w:r>
          </w:p>
        </w:tc>
        <w:tc>
          <w:tcPr>
            <w:tcW w:w="1680" w:type="dxa"/>
            <w:vAlign w:val="center"/>
          </w:tcPr>
          <w:p w:rsidR="00C223F5" w:rsidRDefault="005860D5" w:rsidP="001B3488">
            <w:pPr>
              <w:jc w:val="center"/>
              <w:rPr>
                <w:szCs w:val="21"/>
              </w:rPr>
            </w:pPr>
            <w:r>
              <w:rPr>
                <w:szCs w:val="21"/>
              </w:rPr>
              <w:t>36625860.00</w:t>
            </w:r>
          </w:p>
        </w:tc>
      </w:tr>
      <w:tr w:rsidR="00C223F5">
        <w:trPr>
          <w:trHeight w:val="75"/>
          <w:jc w:val="center"/>
        </w:trPr>
        <w:tc>
          <w:tcPr>
            <w:tcW w:w="689" w:type="dxa"/>
            <w:vAlign w:val="center"/>
          </w:tcPr>
          <w:p w:rsidR="00C223F5" w:rsidRDefault="005860D5" w:rsidP="001B3488">
            <w:pPr>
              <w:jc w:val="center"/>
              <w:rPr>
                <w:b/>
                <w:szCs w:val="21"/>
              </w:rPr>
            </w:pPr>
            <w:r>
              <w:rPr>
                <w:b/>
                <w:szCs w:val="21"/>
              </w:rPr>
              <w:t>6</w:t>
            </w:r>
          </w:p>
        </w:tc>
        <w:tc>
          <w:tcPr>
            <w:tcW w:w="1655" w:type="dxa"/>
            <w:vAlign w:val="center"/>
          </w:tcPr>
          <w:p w:rsidR="00C223F5" w:rsidRDefault="005860D5" w:rsidP="001B3488">
            <w:pPr>
              <w:jc w:val="center"/>
              <w:rPr>
                <w:szCs w:val="21"/>
              </w:rPr>
            </w:pPr>
            <w:r>
              <w:rPr>
                <w:szCs w:val="21"/>
              </w:rPr>
              <w:t>4158217.00</w:t>
            </w:r>
          </w:p>
        </w:tc>
        <w:tc>
          <w:tcPr>
            <w:tcW w:w="1635" w:type="dxa"/>
            <w:vAlign w:val="center"/>
          </w:tcPr>
          <w:p w:rsidR="00C223F5" w:rsidRDefault="005860D5" w:rsidP="001B3488">
            <w:pPr>
              <w:jc w:val="center"/>
              <w:rPr>
                <w:szCs w:val="21"/>
              </w:rPr>
            </w:pPr>
            <w:r>
              <w:rPr>
                <w:szCs w:val="21"/>
              </w:rPr>
              <w:t>36635432.00</w:t>
            </w:r>
          </w:p>
        </w:tc>
        <w:tc>
          <w:tcPr>
            <w:tcW w:w="699" w:type="dxa"/>
            <w:vAlign w:val="center"/>
          </w:tcPr>
          <w:p w:rsidR="00C223F5" w:rsidRDefault="005860D5" w:rsidP="001B3488">
            <w:pPr>
              <w:jc w:val="center"/>
              <w:rPr>
                <w:b/>
                <w:szCs w:val="21"/>
              </w:rPr>
            </w:pPr>
            <w:r>
              <w:rPr>
                <w:b/>
                <w:szCs w:val="21"/>
              </w:rPr>
              <w:t>12</w:t>
            </w:r>
          </w:p>
        </w:tc>
        <w:tc>
          <w:tcPr>
            <w:tcW w:w="1680" w:type="dxa"/>
            <w:vAlign w:val="center"/>
          </w:tcPr>
          <w:p w:rsidR="00C223F5" w:rsidRDefault="005860D5" w:rsidP="001B3488">
            <w:pPr>
              <w:jc w:val="center"/>
              <w:rPr>
                <w:szCs w:val="21"/>
              </w:rPr>
            </w:pPr>
            <w:r>
              <w:rPr>
                <w:szCs w:val="21"/>
              </w:rPr>
              <w:t>4159380.00</w:t>
            </w:r>
          </w:p>
        </w:tc>
        <w:tc>
          <w:tcPr>
            <w:tcW w:w="1680" w:type="dxa"/>
            <w:vAlign w:val="center"/>
          </w:tcPr>
          <w:p w:rsidR="00C223F5" w:rsidRDefault="005860D5" w:rsidP="001B3488">
            <w:pPr>
              <w:jc w:val="center"/>
              <w:rPr>
                <w:szCs w:val="21"/>
              </w:rPr>
            </w:pPr>
            <w:r>
              <w:rPr>
                <w:szCs w:val="21"/>
              </w:rPr>
              <w:t>36626123.00</w:t>
            </w:r>
          </w:p>
        </w:tc>
      </w:tr>
    </w:tbl>
    <w:p w:rsidR="00C223F5" w:rsidRDefault="005860D5">
      <w:pPr>
        <w:adjustRightInd w:val="0"/>
        <w:snapToGrid w:val="0"/>
        <w:spacing w:line="360" w:lineRule="auto"/>
        <w:ind w:firstLineChars="200" w:firstLine="480"/>
        <w:rPr>
          <w:b/>
          <w:spacing w:val="5"/>
          <w:sz w:val="24"/>
        </w:rPr>
      </w:pPr>
      <w:r>
        <w:rPr>
          <w:rFonts w:ascii="宋体" w:hAnsi="宋体" w:hint="eastAsia"/>
          <w:sz w:val="24"/>
        </w:rPr>
        <w:t>本井田所在区域目前尚未划定规划矿区，属已生产独立矿井和地方煤矿资源整合区。井田北部与榆横矿区南区王家峁井田相</w:t>
      </w:r>
      <w:r>
        <w:rPr>
          <w:rFonts w:hAnsi="宋体" w:hint="eastAsia"/>
          <w:sz w:val="24"/>
        </w:rPr>
        <w:t>邻，西部为</w:t>
      </w:r>
      <w:r>
        <w:rPr>
          <w:rFonts w:hAnsi="宋体"/>
          <w:sz w:val="24"/>
        </w:rPr>
        <w:t>石湾煤矿地质普查区</w:t>
      </w:r>
      <w:r>
        <w:rPr>
          <w:rFonts w:hAnsi="宋体" w:hint="eastAsia"/>
          <w:sz w:val="24"/>
        </w:rPr>
        <w:t>，东、南部为</w:t>
      </w:r>
      <w:r>
        <w:rPr>
          <w:rFonts w:hAnsi="宋体"/>
          <w:sz w:val="24"/>
        </w:rPr>
        <w:t>横山县沈石畔勘查区</w:t>
      </w:r>
      <w:r>
        <w:rPr>
          <w:rFonts w:hAnsi="宋体" w:hint="eastAsia"/>
          <w:sz w:val="24"/>
        </w:rPr>
        <w:t>，周边无矿业权设置。</w:t>
      </w:r>
      <w:r>
        <w:rPr>
          <w:rFonts w:hint="eastAsia"/>
          <w:sz w:val="24"/>
        </w:rPr>
        <w:t>天云</w:t>
      </w:r>
      <w:r>
        <w:rPr>
          <w:sz w:val="24"/>
        </w:rPr>
        <w:t>煤矿矿权设置范围见图</w:t>
      </w:r>
      <w:r>
        <w:rPr>
          <w:rFonts w:hint="eastAsia"/>
          <w:sz w:val="24"/>
        </w:rPr>
        <w:t>2.1.2</w:t>
      </w:r>
      <w:r>
        <w:rPr>
          <w:sz w:val="24"/>
        </w:rPr>
        <w:t>-</w:t>
      </w:r>
      <w:r>
        <w:rPr>
          <w:rFonts w:hint="eastAsia"/>
          <w:sz w:val="24"/>
        </w:rPr>
        <w:t>4</w:t>
      </w:r>
      <w:r>
        <w:rPr>
          <w:sz w:val="24"/>
        </w:rPr>
        <w:t>。</w:t>
      </w:r>
    </w:p>
    <w:p w:rsidR="00C223F5" w:rsidRDefault="003761EF">
      <w:pPr>
        <w:adjustRightInd w:val="0"/>
        <w:snapToGrid w:val="0"/>
        <w:jc w:val="center"/>
        <w:rPr>
          <w:b/>
          <w:spacing w:val="5"/>
          <w:sz w:val="24"/>
        </w:rPr>
      </w:pPr>
      <w:r>
        <w:rPr>
          <w:b/>
          <w:spacing w:val="5"/>
          <w:sz w:val="24"/>
        </w:rPr>
      </w:r>
      <w:r>
        <w:rPr>
          <w:b/>
          <w:spacing w:val="5"/>
          <w:sz w:val="24"/>
        </w:rPr>
        <w:pict>
          <v:group id="_x0000_s1487" style="width:384.2pt;height:347pt;mso-position-horizontal-relative:char;mso-position-vertical-relative:line" coordorigin="1725,1582" coordsize="9053,8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88" type="#_x0000_t75" style="position:absolute;left:1725;top:1582;width:9053;height:7785">
              <v:imagedata r:id="rId17" o:title="第1段"/>
            </v:shape>
            <v:shapetype id="_x0000_t202" coordsize="21600,21600" o:spt="202" path="m,l,21600r21600,l21600,xe">
              <v:stroke joinstyle="miter"/>
              <v:path gradientshapeok="t" o:connecttype="rect"/>
            </v:shapetype>
            <v:shape id="_x0000_s1489" type="#_x0000_t202" style="position:absolute;left:3470;top:9312;width:5532;height:428;mso-position-horizontal:center;v-text-anchor:middle" filled="f" stroked="f">
              <v:textbox style="mso-next-textbox:#_x0000_s1489" inset=",0,,0">
                <w:txbxContent>
                  <w:p w:rsidR="00BB1CC7" w:rsidRDefault="00BB1CC7" w:rsidP="001B3488">
                    <w:pPr>
                      <w:adjustRightInd w:val="0"/>
                      <w:snapToGrid w:val="0"/>
                      <w:jc w:val="center"/>
                      <w:rPr>
                        <w:b/>
                        <w:spacing w:val="5"/>
                        <w:sz w:val="24"/>
                      </w:rPr>
                    </w:pPr>
                    <w:r>
                      <w:rPr>
                        <w:b/>
                        <w:spacing w:val="5"/>
                        <w:sz w:val="24"/>
                      </w:rPr>
                      <w:t>图</w:t>
                    </w:r>
                    <w:r>
                      <w:rPr>
                        <w:rFonts w:hint="eastAsia"/>
                        <w:b/>
                        <w:spacing w:val="5"/>
                        <w:sz w:val="24"/>
                      </w:rPr>
                      <w:t xml:space="preserve">2.1.2-4   </w:t>
                    </w:r>
                    <w:r>
                      <w:rPr>
                        <w:rFonts w:hint="eastAsia"/>
                        <w:b/>
                        <w:spacing w:val="5"/>
                        <w:sz w:val="24"/>
                      </w:rPr>
                      <w:t>天云</w:t>
                    </w:r>
                    <w:r>
                      <w:rPr>
                        <w:b/>
                        <w:spacing w:val="5"/>
                        <w:sz w:val="24"/>
                      </w:rPr>
                      <w:t>煤矿矿权设置范围图</w:t>
                    </w:r>
                  </w:p>
                  <w:p w:rsidR="00BB1CC7" w:rsidRPr="001B3488" w:rsidRDefault="00BB1CC7" w:rsidP="007E7560"/>
                </w:txbxContent>
              </v:textbox>
            </v:shape>
            <w10:anchorlock/>
          </v:group>
        </w:pict>
      </w:r>
    </w:p>
    <w:p w:rsidR="00C223F5" w:rsidRDefault="005860D5" w:rsidP="004835BD">
      <w:pPr>
        <w:pStyle w:val="4"/>
        <w:spacing w:before="0" w:after="0" w:line="360" w:lineRule="auto"/>
        <w:ind w:firstLineChars="100" w:firstLine="240"/>
        <w:rPr>
          <w:szCs w:val="24"/>
        </w:rPr>
      </w:pPr>
      <w:bookmarkStart w:id="161" w:name="_Toc249690715"/>
      <w:bookmarkStart w:id="162" w:name="_Toc187744424"/>
      <w:bookmarkStart w:id="163" w:name="_Toc233539861"/>
      <w:r>
        <w:rPr>
          <w:rFonts w:hint="eastAsia"/>
          <w:szCs w:val="24"/>
        </w:rPr>
        <w:lastRenderedPageBreak/>
        <w:t>（</w:t>
      </w:r>
      <w:r>
        <w:rPr>
          <w:rFonts w:hint="eastAsia"/>
          <w:szCs w:val="24"/>
        </w:rPr>
        <w:t>2</w:t>
      </w:r>
      <w:r>
        <w:rPr>
          <w:rFonts w:hint="eastAsia"/>
          <w:szCs w:val="24"/>
        </w:rPr>
        <w:t>）井田资源概况</w:t>
      </w:r>
    </w:p>
    <w:p w:rsidR="00C223F5" w:rsidRDefault="005860D5">
      <w:pPr>
        <w:autoSpaceDE w:val="0"/>
        <w:autoSpaceDN w:val="0"/>
        <w:adjustRightInd w:val="0"/>
        <w:spacing w:line="360" w:lineRule="auto"/>
        <w:ind w:firstLineChars="200" w:firstLine="482"/>
        <w:rPr>
          <w:b/>
          <w:sz w:val="24"/>
        </w:rPr>
      </w:pPr>
      <w:r>
        <w:rPr>
          <w:b/>
          <w:sz w:val="24"/>
        </w:rPr>
        <w:t>1</w:t>
      </w:r>
      <w:r>
        <w:rPr>
          <w:b/>
          <w:sz w:val="24"/>
        </w:rPr>
        <w:t>）开采煤层特征</w:t>
      </w:r>
    </w:p>
    <w:p w:rsidR="00C223F5" w:rsidRDefault="005860D5">
      <w:pPr>
        <w:spacing w:line="360" w:lineRule="auto"/>
        <w:ind w:firstLineChars="200" w:firstLine="480"/>
        <w:rPr>
          <w:sz w:val="24"/>
        </w:rPr>
      </w:pPr>
      <w:r>
        <w:rPr>
          <w:sz w:val="24"/>
        </w:rPr>
        <w:t>三叠系上统瓦窑堡组及侏罗系中统延安组为</w:t>
      </w:r>
      <w:r>
        <w:rPr>
          <w:rFonts w:hint="eastAsia"/>
          <w:sz w:val="24"/>
        </w:rPr>
        <w:t>井田</w:t>
      </w:r>
      <w:r>
        <w:rPr>
          <w:sz w:val="24"/>
        </w:rPr>
        <w:t>的含煤地层</w:t>
      </w:r>
      <w:r>
        <w:rPr>
          <w:rFonts w:hint="eastAsia"/>
          <w:sz w:val="24"/>
        </w:rPr>
        <w:t>，其中</w:t>
      </w:r>
      <w:r>
        <w:rPr>
          <w:sz w:val="24"/>
        </w:rPr>
        <w:t>延安组在</w:t>
      </w:r>
      <w:r>
        <w:rPr>
          <w:rFonts w:hint="eastAsia"/>
          <w:sz w:val="24"/>
        </w:rPr>
        <w:t>本井田</w:t>
      </w:r>
      <w:r>
        <w:rPr>
          <w:sz w:val="24"/>
        </w:rPr>
        <w:t>无可采煤层分布</w:t>
      </w:r>
      <w:r>
        <w:rPr>
          <w:rFonts w:hint="eastAsia"/>
          <w:sz w:val="24"/>
        </w:rPr>
        <w:t>；</w:t>
      </w:r>
      <w:r>
        <w:rPr>
          <w:sz w:val="24"/>
        </w:rPr>
        <w:t>瓦窑堡组全</w:t>
      </w:r>
      <w:r>
        <w:rPr>
          <w:rFonts w:hint="eastAsia"/>
          <w:sz w:val="24"/>
        </w:rPr>
        <w:t>井田</w:t>
      </w:r>
      <w:r>
        <w:rPr>
          <w:sz w:val="24"/>
        </w:rPr>
        <w:t>分布，以往</w:t>
      </w:r>
      <w:r>
        <w:rPr>
          <w:rFonts w:hint="eastAsia"/>
          <w:sz w:val="24"/>
        </w:rPr>
        <w:t>各</w:t>
      </w:r>
      <w:r>
        <w:rPr>
          <w:sz w:val="24"/>
        </w:rPr>
        <w:t>阶段钻孔揭露的厚度</w:t>
      </w:r>
      <w:r>
        <w:rPr>
          <w:sz w:val="24"/>
        </w:rPr>
        <w:t>163.73</w:t>
      </w:r>
      <w:r>
        <w:rPr>
          <w:rFonts w:hint="eastAsia"/>
          <w:sz w:val="24"/>
        </w:rPr>
        <w:t>~</w:t>
      </w:r>
      <w:r>
        <w:rPr>
          <w:sz w:val="24"/>
        </w:rPr>
        <w:t>436.30m</w:t>
      </w:r>
      <w:r>
        <w:rPr>
          <w:sz w:val="24"/>
        </w:rPr>
        <w:t>，</w:t>
      </w:r>
      <w:r>
        <w:rPr>
          <w:rFonts w:hint="eastAsia"/>
          <w:sz w:val="24"/>
        </w:rPr>
        <w:t>平均厚度</w:t>
      </w:r>
      <w:r>
        <w:rPr>
          <w:rFonts w:hint="eastAsia"/>
          <w:sz w:val="24"/>
        </w:rPr>
        <w:t>346.45</w:t>
      </w:r>
      <w:r>
        <w:rPr>
          <w:sz w:val="24"/>
        </w:rPr>
        <w:t>m</w:t>
      </w:r>
      <w:r>
        <w:rPr>
          <w:rFonts w:hint="eastAsia"/>
          <w:sz w:val="24"/>
        </w:rPr>
        <w:t>，</w:t>
      </w:r>
      <w:r>
        <w:rPr>
          <w:sz w:val="24"/>
        </w:rPr>
        <w:t>总体变化趋势由东南向西北逐渐增厚。</w:t>
      </w:r>
    </w:p>
    <w:p w:rsidR="00C223F5" w:rsidRDefault="005860D5">
      <w:pPr>
        <w:spacing w:line="360" w:lineRule="auto"/>
        <w:ind w:firstLineChars="200" w:firstLine="480"/>
        <w:rPr>
          <w:sz w:val="24"/>
        </w:rPr>
      </w:pPr>
      <w:r>
        <w:rPr>
          <w:rFonts w:hAnsi="宋体" w:hint="eastAsia"/>
          <w:kern w:val="0"/>
          <w:sz w:val="24"/>
        </w:rPr>
        <w:t>本</w:t>
      </w:r>
      <w:r>
        <w:rPr>
          <w:rFonts w:hAnsi="宋体"/>
          <w:kern w:val="0"/>
          <w:sz w:val="24"/>
        </w:rPr>
        <w:t>井田可采煤层</w:t>
      </w:r>
      <w:r>
        <w:rPr>
          <w:kern w:val="0"/>
          <w:sz w:val="24"/>
        </w:rPr>
        <w:t>2</w:t>
      </w:r>
      <w:r>
        <w:rPr>
          <w:rFonts w:hAnsi="宋体"/>
          <w:kern w:val="0"/>
          <w:sz w:val="24"/>
        </w:rPr>
        <w:t>层，分别是</w:t>
      </w:r>
      <w:r>
        <w:rPr>
          <w:kern w:val="0"/>
          <w:sz w:val="24"/>
        </w:rPr>
        <w:t>4</w:t>
      </w:r>
      <w:r>
        <w:rPr>
          <w:kern w:val="0"/>
          <w:sz w:val="24"/>
          <w:vertAlign w:val="superscript"/>
        </w:rPr>
        <w:t>-1</w:t>
      </w:r>
      <w:r>
        <w:rPr>
          <w:rFonts w:hAnsi="宋体"/>
          <w:kern w:val="0"/>
          <w:sz w:val="24"/>
        </w:rPr>
        <w:t>、</w:t>
      </w:r>
      <w:r>
        <w:rPr>
          <w:kern w:val="0"/>
          <w:sz w:val="24"/>
        </w:rPr>
        <w:t>4</w:t>
      </w:r>
      <w:r>
        <w:rPr>
          <w:kern w:val="0"/>
          <w:sz w:val="24"/>
          <w:vertAlign w:val="superscript"/>
        </w:rPr>
        <w:t>-2</w:t>
      </w:r>
      <w:r>
        <w:rPr>
          <w:rFonts w:hAnsi="宋体"/>
          <w:kern w:val="0"/>
          <w:sz w:val="24"/>
        </w:rPr>
        <w:t>煤层，均为大部可采煤层，</w:t>
      </w:r>
      <w:r>
        <w:rPr>
          <w:rFonts w:hAnsi="宋体"/>
          <w:sz w:val="24"/>
        </w:rPr>
        <w:t>其中主采煤</w:t>
      </w:r>
      <w:r>
        <w:rPr>
          <w:sz w:val="24"/>
        </w:rPr>
        <w:t>层为</w:t>
      </w:r>
      <w:r>
        <w:rPr>
          <w:kern w:val="0"/>
          <w:sz w:val="24"/>
        </w:rPr>
        <w:t>4</w:t>
      </w:r>
      <w:r>
        <w:rPr>
          <w:kern w:val="0"/>
          <w:sz w:val="24"/>
          <w:vertAlign w:val="superscript"/>
        </w:rPr>
        <w:t>-1</w:t>
      </w:r>
      <w:r>
        <w:rPr>
          <w:sz w:val="24"/>
        </w:rPr>
        <w:t>煤层。另有，</w:t>
      </w:r>
      <w:r>
        <w:rPr>
          <w:sz w:val="24"/>
        </w:rPr>
        <w:t>4</w:t>
      </w:r>
      <w:r>
        <w:rPr>
          <w:sz w:val="24"/>
          <w:vertAlign w:val="superscript"/>
        </w:rPr>
        <w:t>-3</w:t>
      </w:r>
      <w:r>
        <w:rPr>
          <w:sz w:val="24"/>
        </w:rPr>
        <w:t>煤层为不可采煤层，但局部连片，储量核实报告将其纳入了储量估算范围之中。各可采煤层特征分述如下：</w:t>
      </w:r>
    </w:p>
    <w:p w:rsidR="00C223F5" w:rsidRDefault="005860D5">
      <w:pPr>
        <w:pStyle w:val="afff4"/>
        <w:adjustRightInd w:val="0"/>
        <w:snapToGrid w:val="0"/>
        <w:spacing w:before="0" w:beforeAutospacing="0" w:after="0" w:afterAutospacing="0" w:line="360" w:lineRule="auto"/>
        <w:ind w:firstLineChars="200" w:firstLine="482"/>
        <w:rPr>
          <w:rFonts w:ascii="Times New Roman"/>
        </w:rPr>
      </w:pPr>
      <w:bookmarkStart w:id="164" w:name="_Toc516059153"/>
      <w:bookmarkStart w:id="165" w:name="_Toc516737893"/>
      <w:bookmarkStart w:id="166" w:name="_Toc518042076"/>
      <w:bookmarkStart w:id="167" w:name="_Toc518158201"/>
      <w:bookmarkStart w:id="168" w:name="_Toc518464516"/>
      <w:bookmarkStart w:id="169" w:name="_Toc525047709"/>
      <w:r>
        <w:rPr>
          <w:rFonts w:ascii="Times New Roman" w:hAnsi="Times New Roman"/>
          <w:b/>
          <w:szCs w:val="24"/>
        </w:rPr>
        <w:t>4</w:t>
      </w:r>
      <w:r>
        <w:rPr>
          <w:rFonts w:ascii="Times New Roman" w:hAnsi="Times New Roman"/>
          <w:b/>
          <w:szCs w:val="24"/>
          <w:vertAlign w:val="superscript"/>
        </w:rPr>
        <w:t>-1</w:t>
      </w:r>
      <w:r>
        <w:rPr>
          <w:rFonts w:ascii="Times New Roman" w:hAnsi="Times New Roman"/>
          <w:b/>
          <w:szCs w:val="24"/>
        </w:rPr>
        <w:t>煤层</w:t>
      </w:r>
      <w:bookmarkEnd w:id="164"/>
      <w:bookmarkEnd w:id="165"/>
      <w:bookmarkEnd w:id="166"/>
      <w:bookmarkEnd w:id="167"/>
      <w:bookmarkEnd w:id="168"/>
      <w:bookmarkEnd w:id="169"/>
      <w:r>
        <w:rPr>
          <w:rFonts w:ascii="Times New Roman" w:hAnsi="Times New Roman"/>
          <w:b/>
          <w:szCs w:val="24"/>
        </w:rPr>
        <w:t>：</w:t>
      </w:r>
      <w:r>
        <w:rPr>
          <w:rFonts w:ascii="Times New Roman"/>
        </w:rPr>
        <w:t>赋存于瓦窑堡组第四段上部，埋深</w:t>
      </w:r>
      <w:r>
        <w:rPr>
          <w:rFonts w:ascii="Times New Roman" w:hAnsi="Times New Roman"/>
        </w:rPr>
        <w:t>87.56~568.72m</w:t>
      </w:r>
      <w:r>
        <w:rPr>
          <w:rFonts w:ascii="Times New Roman"/>
        </w:rPr>
        <w:t>，煤层底板标高</w:t>
      </w:r>
      <w:r>
        <w:rPr>
          <w:rFonts w:ascii="Times New Roman" w:hAnsi="Times New Roman"/>
        </w:rPr>
        <w:t>+840~</w:t>
      </w:r>
      <w:r>
        <w:rPr>
          <w:rFonts w:ascii="Times New Roman" w:hAnsi="Times New Roman"/>
          <w:snapToGrid w:val="0"/>
        </w:rPr>
        <w:t>+970</w:t>
      </w:r>
      <w:r w:rsidRPr="00E134B5">
        <w:rPr>
          <w:rFonts w:ascii="Times New Roman" w:hAnsi="Times New Roman"/>
        </w:rPr>
        <w:t>m</w:t>
      </w:r>
      <w:r w:rsidRPr="00E134B5">
        <w:rPr>
          <w:rFonts w:ascii="Times New Roman"/>
        </w:rPr>
        <w:t>，自东南向西北煤层的埋藏深度逐渐增大。除井田东部及西南部小面积不可采外，其余地段均可采，可采面积</w:t>
      </w:r>
      <w:r w:rsidRPr="00E134B5">
        <w:rPr>
          <w:rFonts w:ascii="Times New Roman" w:hAnsi="Times New Roman"/>
        </w:rPr>
        <w:t>38.25km</w:t>
      </w:r>
      <w:r w:rsidRPr="00E134B5">
        <w:rPr>
          <w:rFonts w:ascii="Times New Roman" w:hAnsi="Times New Roman"/>
          <w:vertAlign w:val="superscript"/>
        </w:rPr>
        <w:t>2</w:t>
      </w:r>
      <w:r w:rsidRPr="00E134B5">
        <w:rPr>
          <w:rFonts w:ascii="Times New Roman"/>
        </w:rPr>
        <w:t>，为大部可采煤层。煤层厚度</w:t>
      </w:r>
      <w:r w:rsidRPr="00E134B5">
        <w:rPr>
          <w:rFonts w:ascii="Times New Roman" w:hAnsi="Times New Roman"/>
        </w:rPr>
        <w:t>0.19~2.90m</w:t>
      </w:r>
      <w:r w:rsidRPr="00E134B5">
        <w:rPr>
          <w:rFonts w:ascii="Times New Roman"/>
        </w:rPr>
        <w:t>，平均厚度</w:t>
      </w:r>
      <w:r w:rsidRPr="00E134B5">
        <w:rPr>
          <w:rFonts w:ascii="Times New Roman" w:hAnsi="Times New Roman"/>
        </w:rPr>
        <w:t>1.8</w:t>
      </w:r>
      <w:r>
        <w:rPr>
          <w:rFonts w:ascii="Times New Roman" w:hAnsi="Times New Roman"/>
        </w:rPr>
        <w:t>5m</w:t>
      </w:r>
      <w:r>
        <w:rPr>
          <w:rFonts w:ascii="Times New Roman"/>
        </w:rPr>
        <w:t>，属薄</w:t>
      </w:r>
      <w:r>
        <w:rPr>
          <w:rFonts w:ascii="Times New Roman" w:hAnsi="Times New Roman"/>
        </w:rPr>
        <w:t>~</w:t>
      </w:r>
      <w:r>
        <w:rPr>
          <w:rFonts w:ascii="Times New Roman"/>
        </w:rPr>
        <w:t>中厚煤层，</w:t>
      </w:r>
      <w:r>
        <w:rPr>
          <w:rFonts w:ascii="Times New Roman"/>
          <w:szCs w:val="28"/>
        </w:rPr>
        <w:t>煤层厚度变化是东南部薄，向西北逐渐增厚。</w:t>
      </w:r>
      <w:r>
        <w:rPr>
          <w:rFonts w:ascii="Times New Roman"/>
        </w:rPr>
        <w:t>该煤层一般含</w:t>
      </w:r>
      <w:r>
        <w:rPr>
          <w:rFonts w:ascii="Times New Roman" w:hAnsi="Times New Roman"/>
        </w:rPr>
        <w:t>1~3</w:t>
      </w:r>
      <w:r>
        <w:rPr>
          <w:rFonts w:ascii="Times New Roman"/>
        </w:rPr>
        <w:t>层夹矸，局部含</w:t>
      </w:r>
      <w:r>
        <w:rPr>
          <w:rFonts w:ascii="Times New Roman" w:hAnsi="Times New Roman"/>
        </w:rPr>
        <w:t>4</w:t>
      </w:r>
      <w:r>
        <w:rPr>
          <w:rFonts w:ascii="Times New Roman"/>
        </w:rPr>
        <w:t>层夹矸，厚度</w:t>
      </w:r>
      <w:r>
        <w:rPr>
          <w:rFonts w:ascii="Times New Roman" w:hAnsi="Times New Roman"/>
        </w:rPr>
        <w:t>0.09~0.58m</w:t>
      </w:r>
      <w:r>
        <w:rPr>
          <w:rFonts w:ascii="Times New Roman"/>
        </w:rPr>
        <w:t>，岩性主要为泥岩，偶为粉砂岩、砂质泥岩或炭质泥岩，结构简单</w:t>
      </w:r>
      <w:r>
        <w:rPr>
          <w:rFonts w:ascii="Times New Roman" w:hAnsi="Times New Roman"/>
        </w:rPr>
        <w:t>~</w:t>
      </w:r>
      <w:r>
        <w:rPr>
          <w:rFonts w:ascii="Times New Roman"/>
        </w:rPr>
        <w:t>较简单，属稳定型煤层。</w:t>
      </w:r>
      <w:r>
        <w:rPr>
          <w:rFonts w:ascii="Times New Roman" w:hAnsi="Times New Roman"/>
        </w:rPr>
        <w:t>4</w:t>
      </w:r>
      <w:r>
        <w:rPr>
          <w:rFonts w:ascii="Times New Roman" w:hAnsi="Times New Roman"/>
          <w:vertAlign w:val="superscript"/>
        </w:rPr>
        <w:t>-1</w:t>
      </w:r>
      <w:r>
        <w:rPr>
          <w:rFonts w:ascii="Times New Roman"/>
        </w:rPr>
        <w:t>煤层可采厚度等值线见图</w:t>
      </w:r>
      <w:r>
        <w:rPr>
          <w:rFonts w:ascii="Times New Roman" w:hAnsi="Times New Roman"/>
        </w:rPr>
        <w:t>2.1.2-5</w:t>
      </w:r>
      <w:r>
        <w:rPr>
          <w:rFonts w:ascii="Times New Roman"/>
        </w:rPr>
        <w:t>。</w:t>
      </w:r>
    </w:p>
    <w:p w:rsidR="00C223F5" w:rsidRDefault="005860D5">
      <w:pPr>
        <w:pStyle w:val="afff4"/>
        <w:adjustRightInd w:val="0"/>
        <w:snapToGrid w:val="0"/>
        <w:spacing w:before="0" w:beforeAutospacing="0" w:after="0" w:afterAutospacing="0" w:line="360" w:lineRule="auto"/>
        <w:jc w:val="center"/>
        <w:rPr>
          <w:rFonts w:ascii="Times New Roman" w:hAnsi="Times New Roman"/>
        </w:rPr>
      </w:pPr>
      <w:r>
        <w:rPr>
          <w:rFonts w:ascii="Times New Roman" w:hAnsi="Times New Roman"/>
          <w:noProof/>
        </w:rPr>
        <w:drawing>
          <wp:inline distT="0" distB="0" distL="0" distR="0">
            <wp:extent cx="5381625" cy="3848100"/>
            <wp:effectExtent l="19050" t="0" r="9525" b="0"/>
            <wp:docPr id="10622" name="图片 10622" descr="4-1煤层厚度等值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 name="图片 10622" descr="4-1煤层厚度等值线图"/>
                    <pic:cNvPicPr>
                      <a:picLocks noChangeAspect="1" noChangeArrowheads="1"/>
                    </pic:cNvPicPr>
                  </pic:nvPicPr>
                  <pic:blipFill>
                    <a:blip r:embed="rId18" cstate="print"/>
                    <a:srcRect l="1377" t="2567" r="1377" b="3273"/>
                    <a:stretch>
                      <a:fillRect/>
                    </a:stretch>
                  </pic:blipFill>
                  <pic:spPr>
                    <a:xfrm>
                      <a:off x="0" y="0"/>
                      <a:ext cx="5381625" cy="3848100"/>
                    </a:xfrm>
                    <a:prstGeom prst="rect">
                      <a:avLst/>
                    </a:prstGeom>
                    <a:noFill/>
                  </pic:spPr>
                </pic:pic>
              </a:graphicData>
            </a:graphic>
          </wp:inline>
        </w:drawing>
      </w:r>
    </w:p>
    <w:p w:rsidR="00C223F5" w:rsidRDefault="005860D5">
      <w:pPr>
        <w:jc w:val="center"/>
        <w:rPr>
          <w:b/>
          <w:sz w:val="24"/>
        </w:rPr>
      </w:pPr>
      <w:r>
        <w:rPr>
          <w:rFonts w:hint="eastAsia"/>
          <w:b/>
          <w:sz w:val="24"/>
        </w:rPr>
        <w:t>图</w:t>
      </w:r>
      <w:r>
        <w:rPr>
          <w:rFonts w:hint="eastAsia"/>
          <w:b/>
          <w:sz w:val="24"/>
        </w:rPr>
        <w:t>2.1.2-5   4</w:t>
      </w:r>
      <w:r>
        <w:rPr>
          <w:rFonts w:hint="eastAsia"/>
          <w:b/>
          <w:sz w:val="24"/>
          <w:vertAlign w:val="superscript"/>
        </w:rPr>
        <w:t>-1</w:t>
      </w:r>
      <w:r>
        <w:rPr>
          <w:rFonts w:hint="eastAsia"/>
          <w:b/>
          <w:sz w:val="24"/>
        </w:rPr>
        <w:t>煤层可采厚度等值线图</w:t>
      </w:r>
    </w:p>
    <w:p w:rsidR="00C223F5" w:rsidRDefault="00C223F5">
      <w:pPr>
        <w:pStyle w:val="afff4"/>
        <w:adjustRightInd w:val="0"/>
        <w:snapToGrid w:val="0"/>
        <w:spacing w:before="0" w:beforeAutospacing="0" w:after="0" w:afterAutospacing="0" w:line="360" w:lineRule="auto"/>
        <w:jc w:val="center"/>
        <w:rPr>
          <w:rFonts w:ascii="Times New Roman" w:hAnsi="Times New Roman"/>
        </w:rPr>
      </w:pPr>
    </w:p>
    <w:p w:rsidR="00C223F5" w:rsidRDefault="005860D5">
      <w:pPr>
        <w:pStyle w:val="afff4"/>
        <w:adjustRightInd w:val="0"/>
        <w:snapToGrid w:val="0"/>
        <w:spacing w:before="0" w:beforeAutospacing="0" w:after="0" w:afterAutospacing="0" w:line="360" w:lineRule="auto"/>
        <w:ind w:firstLine="482"/>
        <w:rPr>
          <w:rFonts w:ascii="Times New Roman" w:hAnsi="Times New Roman"/>
          <w:b/>
        </w:rPr>
      </w:pPr>
      <w:bookmarkStart w:id="170" w:name="_Toc516059155"/>
      <w:bookmarkStart w:id="171" w:name="_Toc518464518"/>
      <w:bookmarkStart w:id="172" w:name="_Toc518158203"/>
      <w:bookmarkStart w:id="173" w:name="_Toc518042078"/>
      <w:bookmarkStart w:id="174" w:name="_Toc516737895"/>
      <w:bookmarkStart w:id="175" w:name="_Toc525047711"/>
      <w:r>
        <w:rPr>
          <w:rFonts w:ascii="Times New Roman" w:hAnsi="Times New Roman"/>
          <w:b/>
          <w:szCs w:val="24"/>
        </w:rPr>
        <w:lastRenderedPageBreak/>
        <w:t>4</w:t>
      </w:r>
      <w:r>
        <w:rPr>
          <w:rFonts w:ascii="Times New Roman" w:hAnsi="Times New Roman"/>
          <w:b/>
          <w:szCs w:val="24"/>
          <w:vertAlign w:val="superscript"/>
        </w:rPr>
        <w:t>-2</w:t>
      </w:r>
      <w:r>
        <w:rPr>
          <w:rFonts w:ascii="Times New Roman" w:hAnsi="Times New Roman"/>
          <w:b/>
          <w:szCs w:val="24"/>
        </w:rPr>
        <w:t>煤层</w:t>
      </w:r>
      <w:bookmarkEnd w:id="170"/>
      <w:bookmarkEnd w:id="171"/>
      <w:bookmarkEnd w:id="172"/>
      <w:bookmarkEnd w:id="173"/>
      <w:bookmarkEnd w:id="174"/>
      <w:bookmarkEnd w:id="175"/>
      <w:r>
        <w:rPr>
          <w:rFonts w:ascii="Times New Roman" w:hAnsi="Times New Roman"/>
          <w:b/>
          <w:szCs w:val="24"/>
        </w:rPr>
        <w:t>：</w:t>
      </w:r>
      <w:r>
        <w:rPr>
          <w:rFonts w:ascii="Times New Roman"/>
        </w:rPr>
        <w:t>赋存于瓦窑堡组第四段中上部，与上覆</w:t>
      </w:r>
      <w:r>
        <w:rPr>
          <w:rFonts w:ascii="Times New Roman" w:hAnsi="Times New Roman"/>
        </w:rPr>
        <w:t>4</w:t>
      </w:r>
      <w:r>
        <w:rPr>
          <w:rFonts w:ascii="Times New Roman" w:hAnsi="Times New Roman"/>
          <w:vertAlign w:val="superscript"/>
        </w:rPr>
        <w:t>-1</w:t>
      </w:r>
      <w:r>
        <w:rPr>
          <w:rFonts w:ascii="Times New Roman"/>
        </w:rPr>
        <w:t>煤层间距</w:t>
      </w:r>
      <w:r>
        <w:rPr>
          <w:rFonts w:ascii="Times New Roman" w:hAnsi="Times New Roman"/>
        </w:rPr>
        <w:t>2.86~26.86m</w:t>
      </w:r>
      <w:r>
        <w:rPr>
          <w:rFonts w:ascii="Times New Roman"/>
        </w:rPr>
        <w:t>，埋深一般为</w:t>
      </w:r>
      <w:r>
        <w:rPr>
          <w:rFonts w:ascii="Times New Roman" w:hAnsi="Times New Roman"/>
        </w:rPr>
        <w:t>97.41~589.21m</w:t>
      </w:r>
      <w:r>
        <w:rPr>
          <w:rFonts w:ascii="Times New Roman"/>
        </w:rPr>
        <w:t>，煤层底板标高</w:t>
      </w:r>
      <w:r>
        <w:rPr>
          <w:rFonts w:ascii="Times New Roman" w:hAnsi="Times New Roman"/>
        </w:rPr>
        <w:t>+830</w:t>
      </w:r>
      <w:r>
        <w:rPr>
          <w:rFonts w:ascii="Times New Roman" w:hAnsi="Times New Roman"/>
          <w:snapToGrid w:val="0"/>
        </w:rPr>
        <w:t>~+955</w:t>
      </w:r>
      <w:r>
        <w:rPr>
          <w:rFonts w:ascii="Times New Roman" w:hAnsi="Times New Roman"/>
        </w:rPr>
        <w:t>m</w:t>
      </w:r>
      <w:r>
        <w:rPr>
          <w:rFonts w:ascii="Times New Roman"/>
        </w:rPr>
        <w:t>，自东南向西北煤层的埋藏深度逐渐增大。可采区分布在井田的西部由两部分组成，其余地段均不可采，可采面积</w:t>
      </w:r>
      <w:r>
        <w:rPr>
          <w:rFonts w:ascii="Times New Roman" w:hAnsi="Times New Roman"/>
        </w:rPr>
        <w:t>23.055km</w:t>
      </w:r>
      <w:r>
        <w:rPr>
          <w:rFonts w:ascii="Times New Roman" w:hAnsi="Times New Roman"/>
          <w:vertAlign w:val="superscript"/>
        </w:rPr>
        <w:t>2</w:t>
      </w:r>
      <w:r>
        <w:rPr>
          <w:rFonts w:ascii="Times New Roman"/>
        </w:rPr>
        <w:t>，为局部可采煤层。</w:t>
      </w:r>
      <w:r>
        <w:rPr>
          <w:rFonts w:ascii="Times New Roman" w:hAnsi="Times New Roman"/>
        </w:rPr>
        <w:t>煤层厚度</w:t>
      </w:r>
      <w:r>
        <w:rPr>
          <w:rFonts w:ascii="Times New Roman" w:hAnsi="Times New Roman"/>
        </w:rPr>
        <w:t>0~1.71m</w:t>
      </w:r>
      <w:r>
        <w:rPr>
          <w:rFonts w:ascii="Times New Roman" w:hAnsi="Times New Roman"/>
        </w:rPr>
        <w:t>，平均厚度</w:t>
      </w:r>
      <w:r>
        <w:rPr>
          <w:rFonts w:ascii="Times New Roman" w:hAnsi="Times New Roman"/>
        </w:rPr>
        <w:t>0.89m</w:t>
      </w:r>
      <w:r>
        <w:rPr>
          <w:rFonts w:ascii="Times New Roman" w:hAnsi="Times New Roman"/>
        </w:rPr>
        <w:t>，属薄</w:t>
      </w:r>
      <w:r>
        <w:rPr>
          <w:rFonts w:ascii="Times New Roman" w:hAnsi="Times New Roman"/>
        </w:rPr>
        <w:t>~</w:t>
      </w:r>
      <w:r>
        <w:rPr>
          <w:rFonts w:ascii="Times New Roman" w:hAnsi="Times New Roman"/>
        </w:rPr>
        <w:t>中厚煤层，</w:t>
      </w:r>
      <w:r>
        <w:rPr>
          <w:rFonts w:ascii="Times New Roman" w:hAnsi="Times New Roman"/>
          <w:szCs w:val="28"/>
        </w:rPr>
        <w:t>煤层厚度变化是西南部薄，向东北部逐渐增厚</w:t>
      </w:r>
      <w:r>
        <w:rPr>
          <w:rFonts w:ascii="Times New Roman" w:hAnsi="Times New Roman"/>
          <w:szCs w:val="24"/>
        </w:rPr>
        <w:t>。</w:t>
      </w:r>
      <w:bookmarkStart w:id="176" w:name="_Toc516737899"/>
      <w:bookmarkStart w:id="177" w:name="_Toc518464522"/>
      <w:bookmarkStart w:id="178" w:name="_Toc518042082"/>
      <w:bookmarkStart w:id="179" w:name="_Toc525047715"/>
      <w:bookmarkStart w:id="180" w:name="_Toc518158207"/>
      <w:bookmarkStart w:id="181" w:name="_Toc516059159"/>
      <w:r>
        <w:rPr>
          <w:rFonts w:ascii="Times New Roman"/>
        </w:rPr>
        <w:t>该煤层基本不含夹矸，少数含</w:t>
      </w:r>
      <w:r>
        <w:rPr>
          <w:rFonts w:ascii="Times New Roman" w:hAnsi="Times New Roman"/>
        </w:rPr>
        <w:t>1~2</w:t>
      </w:r>
      <w:r>
        <w:rPr>
          <w:rFonts w:ascii="Times New Roman"/>
        </w:rPr>
        <w:t>层夹矸，厚度</w:t>
      </w:r>
      <w:r>
        <w:rPr>
          <w:rFonts w:ascii="Times New Roman" w:hAnsi="Times New Roman"/>
        </w:rPr>
        <w:t>0.10~0.44m</w:t>
      </w:r>
      <w:r>
        <w:rPr>
          <w:rFonts w:ascii="Times New Roman"/>
        </w:rPr>
        <w:t>，岩性主要为泥岩、粉砂岩，结构简单</w:t>
      </w:r>
      <w:r>
        <w:rPr>
          <w:rFonts w:ascii="Times New Roman" w:hAnsi="Times New Roman"/>
        </w:rPr>
        <w:t>~</w:t>
      </w:r>
      <w:r>
        <w:rPr>
          <w:rFonts w:ascii="Times New Roman"/>
        </w:rPr>
        <w:t>较简单，属不稳定型煤层。</w:t>
      </w:r>
      <w:bookmarkStart w:id="182" w:name="_Toc516737900"/>
      <w:bookmarkStart w:id="183" w:name="_Toc518158208"/>
      <w:bookmarkStart w:id="184" w:name="_Toc516059160"/>
      <w:bookmarkStart w:id="185" w:name="_Toc518042083"/>
      <w:bookmarkStart w:id="186" w:name="_Toc525047716"/>
      <w:bookmarkStart w:id="187" w:name="_Toc518464523"/>
      <w:bookmarkEnd w:id="176"/>
      <w:bookmarkEnd w:id="177"/>
      <w:bookmarkEnd w:id="178"/>
      <w:bookmarkEnd w:id="179"/>
      <w:bookmarkEnd w:id="180"/>
      <w:bookmarkEnd w:id="181"/>
      <w:r>
        <w:rPr>
          <w:rFonts w:ascii="Times New Roman" w:hAnsi="Times New Roman"/>
        </w:rPr>
        <w:t>4</w:t>
      </w:r>
      <w:r>
        <w:rPr>
          <w:rFonts w:ascii="Times New Roman" w:hAnsi="Times New Roman"/>
          <w:vertAlign w:val="superscript"/>
        </w:rPr>
        <w:t>-2</w:t>
      </w:r>
      <w:r>
        <w:rPr>
          <w:rFonts w:ascii="Times New Roman"/>
        </w:rPr>
        <w:t>煤层可采厚度等值线见图</w:t>
      </w:r>
      <w:r>
        <w:rPr>
          <w:rFonts w:ascii="Times New Roman" w:hAnsi="Times New Roman"/>
        </w:rPr>
        <w:t>2.1.2-6</w:t>
      </w:r>
      <w:r>
        <w:rPr>
          <w:rFonts w:ascii="Times New Roman"/>
        </w:rPr>
        <w:t>。</w:t>
      </w:r>
      <w:bookmarkEnd w:id="182"/>
      <w:bookmarkEnd w:id="183"/>
      <w:bookmarkEnd w:id="184"/>
      <w:bookmarkEnd w:id="185"/>
      <w:bookmarkEnd w:id="186"/>
      <w:bookmarkEnd w:id="187"/>
    </w:p>
    <w:p w:rsidR="00C223F5" w:rsidRDefault="005860D5">
      <w:pPr>
        <w:spacing w:line="360" w:lineRule="auto"/>
        <w:jc w:val="center"/>
        <w:rPr>
          <w:rFonts w:hAnsi="宋体"/>
          <w:sz w:val="24"/>
        </w:rPr>
      </w:pPr>
      <w:r>
        <w:rPr>
          <w:rFonts w:hint="eastAsia"/>
          <w:noProof/>
        </w:rPr>
        <w:drawing>
          <wp:inline distT="0" distB="0" distL="0" distR="0">
            <wp:extent cx="5513070" cy="3933825"/>
            <wp:effectExtent l="19050" t="0" r="0" b="0"/>
            <wp:docPr id="10623" name="图片 10623" descr="4-2煤层厚度等值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 name="图片 10623" descr="4-2煤层厚度等值线图"/>
                    <pic:cNvPicPr>
                      <a:picLocks noChangeAspect="1" noChangeArrowheads="1"/>
                    </pic:cNvPicPr>
                  </pic:nvPicPr>
                  <pic:blipFill>
                    <a:blip r:embed="rId19" cstate="print"/>
                    <a:srcRect l="1172" t="2151" r="1904" b="2806"/>
                    <a:stretch>
                      <a:fillRect/>
                    </a:stretch>
                  </pic:blipFill>
                  <pic:spPr>
                    <a:xfrm>
                      <a:off x="0" y="0"/>
                      <a:ext cx="5513070" cy="3933825"/>
                    </a:xfrm>
                    <a:prstGeom prst="rect">
                      <a:avLst/>
                    </a:prstGeom>
                    <a:noFill/>
                  </pic:spPr>
                </pic:pic>
              </a:graphicData>
            </a:graphic>
          </wp:inline>
        </w:drawing>
      </w:r>
    </w:p>
    <w:p w:rsidR="00C223F5" w:rsidRDefault="005860D5">
      <w:pPr>
        <w:spacing w:line="360" w:lineRule="auto"/>
        <w:jc w:val="center"/>
        <w:rPr>
          <w:b/>
          <w:sz w:val="24"/>
        </w:rPr>
      </w:pPr>
      <w:r>
        <w:rPr>
          <w:rFonts w:hint="eastAsia"/>
          <w:b/>
          <w:sz w:val="24"/>
        </w:rPr>
        <w:t>图</w:t>
      </w:r>
      <w:r>
        <w:rPr>
          <w:rFonts w:hint="eastAsia"/>
          <w:b/>
          <w:sz w:val="24"/>
        </w:rPr>
        <w:t>2.1.2-6   4</w:t>
      </w:r>
      <w:r>
        <w:rPr>
          <w:rFonts w:hint="eastAsia"/>
          <w:b/>
          <w:sz w:val="24"/>
          <w:vertAlign w:val="superscript"/>
        </w:rPr>
        <w:t>-2</w:t>
      </w:r>
      <w:r>
        <w:rPr>
          <w:rFonts w:hint="eastAsia"/>
          <w:b/>
          <w:sz w:val="24"/>
        </w:rPr>
        <w:t>煤层可采厚度等值线图</w:t>
      </w:r>
    </w:p>
    <w:p w:rsidR="00C223F5" w:rsidRDefault="005860D5">
      <w:pPr>
        <w:snapToGrid w:val="0"/>
        <w:spacing w:line="360" w:lineRule="auto"/>
        <w:ind w:firstLineChars="200" w:firstLine="480"/>
        <w:rPr>
          <w:sz w:val="24"/>
        </w:rPr>
      </w:pPr>
      <w:r>
        <w:rPr>
          <w:rFonts w:hint="eastAsia"/>
          <w:sz w:val="24"/>
        </w:rPr>
        <w:t>各煤层特征见表</w:t>
      </w:r>
      <w:r>
        <w:rPr>
          <w:rFonts w:hint="eastAsia"/>
          <w:sz w:val="24"/>
        </w:rPr>
        <w:t>2.1.2-7</w:t>
      </w:r>
      <w:r>
        <w:rPr>
          <w:rFonts w:hint="eastAsia"/>
          <w:sz w:val="24"/>
        </w:rPr>
        <w:t>。</w:t>
      </w:r>
    </w:p>
    <w:p w:rsidR="007E7560" w:rsidRDefault="007E7560" w:rsidP="007E7560">
      <w:pPr>
        <w:spacing w:line="360" w:lineRule="auto"/>
        <w:ind w:firstLineChars="200" w:firstLine="482"/>
        <w:rPr>
          <w:b/>
          <w:sz w:val="24"/>
        </w:rPr>
      </w:pPr>
      <w:r>
        <w:rPr>
          <w:b/>
          <w:sz w:val="24"/>
        </w:rPr>
        <w:t>2</w:t>
      </w:r>
      <w:r>
        <w:rPr>
          <w:b/>
          <w:sz w:val="24"/>
        </w:rPr>
        <w:t>）煤类、煤质</w:t>
      </w:r>
    </w:p>
    <w:p w:rsidR="007E7560" w:rsidRDefault="007E7560" w:rsidP="007E7560">
      <w:pPr>
        <w:adjustRightInd w:val="0"/>
        <w:snapToGrid w:val="0"/>
        <w:spacing w:line="360" w:lineRule="auto"/>
        <w:ind w:firstLineChars="200" w:firstLine="480"/>
        <w:rPr>
          <w:snapToGrid w:val="0"/>
          <w:kern w:val="0"/>
          <w:sz w:val="24"/>
        </w:rPr>
      </w:pPr>
      <w:r>
        <w:rPr>
          <w:rFonts w:hAnsi="宋体"/>
          <w:snapToGrid w:val="0"/>
          <w:kern w:val="0"/>
          <w:sz w:val="24"/>
        </w:rPr>
        <w:t>煤矿内各煤层以长焰煤</w:t>
      </w:r>
      <w:r>
        <w:rPr>
          <w:snapToGrid w:val="0"/>
          <w:kern w:val="0"/>
          <w:sz w:val="24"/>
        </w:rPr>
        <w:t>42</w:t>
      </w:r>
      <w:r>
        <w:rPr>
          <w:rFonts w:hAnsi="宋体"/>
          <w:snapToGrid w:val="0"/>
          <w:kern w:val="0"/>
          <w:sz w:val="24"/>
        </w:rPr>
        <w:t>号（</w:t>
      </w:r>
      <w:r>
        <w:rPr>
          <w:snapToGrid w:val="0"/>
          <w:kern w:val="0"/>
          <w:sz w:val="24"/>
        </w:rPr>
        <w:t>CY42</w:t>
      </w:r>
      <w:r>
        <w:rPr>
          <w:rFonts w:hAnsi="宋体"/>
          <w:snapToGrid w:val="0"/>
          <w:kern w:val="0"/>
          <w:sz w:val="24"/>
        </w:rPr>
        <w:t>）为主，少量长焰煤</w:t>
      </w:r>
      <w:r>
        <w:rPr>
          <w:snapToGrid w:val="0"/>
          <w:kern w:val="0"/>
          <w:sz w:val="24"/>
        </w:rPr>
        <w:t>41</w:t>
      </w:r>
      <w:r>
        <w:rPr>
          <w:rFonts w:hAnsi="宋体"/>
          <w:snapToGrid w:val="0"/>
          <w:kern w:val="0"/>
          <w:sz w:val="24"/>
        </w:rPr>
        <w:t>号（</w:t>
      </w:r>
      <w:r>
        <w:rPr>
          <w:snapToGrid w:val="0"/>
          <w:kern w:val="0"/>
          <w:sz w:val="24"/>
        </w:rPr>
        <w:t>CY41</w:t>
      </w:r>
      <w:r>
        <w:rPr>
          <w:rFonts w:hAnsi="宋体"/>
          <w:snapToGrid w:val="0"/>
          <w:kern w:val="0"/>
          <w:sz w:val="24"/>
        </w:rPr>
        <w:t>）及个别点的不粘煤</w:t>
      </w:r>
      <w:r>
        <w:rPr>
          <w:snapToGrid w:val="0"/>
          <w:kern w:val="0"/>
          <w:sz w:val="24"/>
        </w:rPr>
        <w:t>31(BN31)</w:t>
      </w:r>
      <w:r>
        <w:rPr>
          <w:rFonts w:hAnsi="宋体"/>
          <w:snapToGrid w:val="0"/>
          <w:kern w:val="0"/>
          <w:sz w:val="24"/>
        </w:rPr>
        <w:t>号，在</w:t>
      </w:r>
      <w:r>
        <w:rPr>
          <w:snapToGrid w:val="0"/>
          <w:kern w:val="0"/>
          <w:sz w:val="24"/>
        </w:rPr>
        <w:t>ZK101</w:t>
      </w:r>
      <w:r>
        <w:rPr>
          <w:rFonts w:hAnsi="宋体"/>
          <w:snapToGrid w:val="0"/>
          <w:kern w:val="0"/>
          <w:sz w:val="24"/>
        </w:rPr>
        <w:t>、</w:t>
      </w:r>
      <w:r>
        <w:rPr>
          <w:snapToGrid w:val="0"/>
          <w:kern w:val="0"/>
          <w:sz w:val="24"/>
        </w:rPr>
        <w:t>ZK102</w:t>
      </w:r>
      <w:r>
        <w:rPr>
          <w:rFonts w:hAnsi="宋体"/>
          <w:snapToGrid w:val="0"/>
          <w:kern w:val="0"/>
          <w:sz w:val="24"/>
        </w:rPr>
        <w:t>、</w:t>
      </w:r>
      <w:r>
        <w:rPr>
          <w:snapToGrid w:val="0"/>
          <w:kern w:val="0"/>
          <w:sz w:val="24"/>
        </w:rPr>
        <w:t>ZK103</w:t>
      </w:r>
      <w:r>
        <w:rPr>
          <w:rFonts w:hAnsi="宋体"/>
          <w:snapToGrid w:val="0"/>
          <w:kern w:val="0"/>
          <w:sz w:val="24"/>
        </w:rPr>
        <w:t>、</w:t>
      </w:r>
      <w:r>
        <w:rPr>
          <w:snapToGrid w:val="0"/>
          <w:kern w:val="0"/>
          <w:sz w:val="24"/>
        </w:rPr>
        <w:t>ZK201</w:t>
      </w:r>
      <w:r>
        <w:rPr>
          <w:rFonts w:hAnsi="宋体"/>
          <w:snapToGrid w:val="0"/>
          <w:kern w:val="0"/>
          <w:sz w:val="24"/>
        </w:rPr>
        <w:t>、</w:t>
      </w:r>
      <w:r>
        <w:rPr>
          <w:snapToGrid w:val="0"/>
          <w:kern w:val="0"/>
          <w:sz w:val="24"/>
        </w:rPr>
        <w:t>ZK202</w:t>
      </w:r>
      <w:r>
        <w:rPr>
          <w:rFonts w:hAnsi="宋体"/>
          <w:snapToGrid w:val="0"/>
          <w:kern w:val="0"/>
          <w:sz w:val="24"/>
        </w:rPr>
        <w:t>、</w:t>
      </w:r>
      <w:r>
        <w:rPr>
          <w:snapToGrid w:val="0"/>
          <w:kern w:val="0"/>
          <w:sz w:val="24"/>
        </w:rPr>
        <w:t>ZK303</w:t>
      </w:r>
      <w:r>
        <w:rPr>
          <w:sz w:val="24"/>
        </w:rPr>
        <w:t>孔</w:t>
      </w:r>
      <w:r>
        <w:rPr>
          <w:rFonts w:hAnsi="宋体"/>
          <w:snapToGrid w:val="0"/>
          <w:kern w:val="0"/>
          <w:sz w:val="24"/>
        </w:rPr>
        <w:t>分布的范围内，</w:t>
      </w:r>
      <w:r>
        <w:rPr>
          <w:snapToGrid w:val="0"/>
          <w:kern w:val="0"/>
          <w:sz w:val="24"/>
        </w:rPr>
        <w:t>4</w:t>
      </w:r>
      <w:r>
        <w:rPr>
          <w:snapToGrid w:val="0"/>
          <w:kern w:val="0"/>
          <w:sz w:val="24"/>
          <w:vertAlign w:val="superscript"/>
        </w:rPr>
        <w:t>-1</w:t>
      </w:r>
      <w:r>
        <w:rPr>
          <w:rFonts w:hAnsi="宋体"/>
          <w:snapToGrid w:val="0"/>
          <w:kern w:val="0"/>
          <w:sz w:val="24"/>
        </w:rPr>
        <w:t>、</w:t>
      </w:r>
      <w:r>
        <w:rPr>
          <w:snapToGrid w:val="0"/>
          <w:kern w:val="0"/>
          <w:sz w:val="24"/>
        </w:rPr>
        <w:t>4</w:t>
      </w:r>
      <w:r>
        <w:rPr>
          <w:snapToGrid w:val="0"/>
          <w:kern w:val="0"/>
          <w:sz w:val="24"/>
          <w:vertAlign w:val="superscript"/>
        </w:rPr>
        <w:t>-2</w:t>
      </w:r>
      <w:r>
        <w:rPr>
          <w:rFonts w:hAnsi="宋体"/>
          <w:snapToGrid w:val="0"/>
          <w:kern w:val="0"/>
          <w:sz w:val="24"/>
        </w:rPr>
        <w:t>煤层以气煤</w:t>
      </w:r>
      <w:r>
        <w:rPr>
          <w:snapToGrid w:val="0"/>
          <w:kern w:val="0"/>
          <w:sz w:val="24"/>
        </w:rPr>
        <w:t>43</w:t>
      </w:r>
      <w:r>
        <w:rPr>
          <w:rFonts w:hAnsi="宋体"/>
          <w:snapToGrid w:val="0"/>
          <w:kern w:val="0"/>
          <w:sz w:val="24"/>
        </w:rPr>
        <w:t>号</w:t>
      </w:r>
      <w:r>
        <w:rPr>
          <w:snapToGrid w:val="0"/>
          <w:kern w:val="0"/>
          <w:sz w:val="24"/>
        </w:rPr>
        <w:t>(QM43)</w:t>
      </w:r>
      <w:r>
        <w:rPr>
          <w:rFonts w:hAnsi="宋体"/>
          <w:snapToGrid w:val="0"/>
          <w:kern w:val="0"/>
          <w:sz w:val="24"/>
        </w:rPr>
        <w:t>为主，有少量气煤</w:t>
      </w:r>
      <w:r>
        <w:rPr>
          <w:snapToGrid w:val="0"/>
          <w:kern w:val="0"/>
          <w:sz w:val="24"/>
        </w:rPr>
        <w:t>44</w:t>
      </w:r>
      <w:r>
        <w:rPr>
          <w:rFonts w:hAnsi="宋体"/>
          <w:snapToGrid w:val="0"/>
          <w:kern w:val="0"/>
          <w:sz w:val="24"/>
        </w:rPr>
        <w:t>号</w:t>
      </w:r>
      <w:r>
        <w:rPr>
          <w:snapToGrid w:val="0"/>
          <w:kern w:val="0"/>
          <w:sz w:val="24"/>
        </w:rPr>
        <w:t>(QM44)</w:t>
      </w:r>
      <w:r>
        <w:rPr>
          <w:rFonts w:hAnsi="宋体"/>
          <w:snapToGrid w:val="0"/>
          <w:kern w:val="0"/>
          <w:sz w:val="24"/>
        </w:rPr>
        <w:t>。</w:t>
      </w:r>
    </w:p>
    <w:p w:rsidR="007E7560" w:rsidRDefault="007E7560" w:rsidP="007E7560">
      <w:pPr>
        <w:adjustRightInd w:val="0"/>
        <w:snapToGrid w:val="0"/>
        <w:spacing w:line="360" w:lineRule="auto"/>
        <w:ind w:firstLineChars="200" w:firstLine="480"/>
        <w:rPr>
          <w:sz w:val="24"/>
        </w:rPr>
      </w:pPr>
      <w:r>
        <w:rPr>
          <w:rFonts w:hAnsi="宋体"/>
          <w:snapToGrid w:val="0"/>
          <w:kern w:val="0"/>
          <w:sz w:val="24"/>
        </w:rPr>
        <w:t>据原天云煤矿详查报告，煤矿范围内</w:t>
      </w:r>
      <w:r>
        <w:rPr>
          <w:snapToGrid w:val="0"/>
          <w:kern w:val="0"/>
          <w:sz w:val="24"/>
        </w:rPr>
        <w:t>4</w:t>
      </w:r>
      <w:r>
        <w:rPr>
          <w:snapToGrid w:val="0"/>
          <w:kern w:val="0"/>
          <w:sz w:val="24"/>
          <w:vertAlign w:val="superscript"/>
        </w:rPr>
        <w:t>-1</w:t>
      </w:r>
      <w:r>
        <w:rPr>
          <w:rFonts w:hAnsi="宋体"/>
          <w:snapToGrid w:val="0"/>
          <w:kern w:val="0"/>
          <w:sz w:val="24"/>
        </w:rPr>
        <w:t>煤层气煤主要分布在原天云煤矿的西北部，长焰煤</w:t>
      </w:r>
      <w:r>
        <w:rPr>
          <w:snapToGrid w:val="0"/>
          <w:kern w:val="0"/>
          <w:sz w:val="24"/>
        </w:rPr>
        <w:t>(CY42)</w:t>
      </w:r>
      <w:r>
        <w:rPr>
          <w:rFonts w:hAnsi="宋体"/>
          <w:snapToGrid w:val="0"/>
          <w:kern w:val="0"/>
          <w:sz w:val="24"/>
        </w:rPr>
        <w:t>主要分布在煤矿的东南部。</w:t>
      </w:r>
      <w:r>
        <w:rPr>
          <w:snapToGrid w:val="0"/>
          <w:kern w:val="0"/>
          <w:sz w:val="24"/>
        </w:rPr>
        <w:t>4</w:t>
      </w:r>
      <w:r>
        <w:rPr>
          <w:snapToGrid w:val="0"/>
          <w:kern w:val="0"/>
          <w:sz w:val="24"/>
          <w:vertAlign w:val="superscript"/>
        </w:rPr>
        <w:t>-2</w:t>
      </w:r>
      <w:r>
        <w:rPr>
          <w:rFonts w:hAnsi="宋体"/>
          <w:snapToGrid w:val="0"/>
          <w:kern w:val="0"/>
          <w:sz w:val="24"/>
        </w:rPr>
        <w:t>煤层</w:t>
      </w:r>
      <w:r>
        <w:rPr>
          <w:snapToGrid w:val="0"/>
          <w:kern w:val="0"/>
          <w:sz w:val="24"/>
        </w:rPr>
        <w:t>ZK202</w:t>
      </w:r>
      <w:r>
        <w:rPr>
          <w:rFonts w:hAnsi="宋体"/>
          <w:snapToGrid w:val="0"/>
          <w:kern w:val="0"/>
          <w:sz w:val="24"/>
        </w:rPr>
        <w:t>确定为长焰煤</w:t>
      </w:r>
      <w:r>
        <w:rPr>
          <w:snapToGrid w:val="0"/>
          <w:kern w:val="0"/>
          <w:sz w:val="24"/>
        </w:rPr>
        <w:t>CY42), ZK303</w:t>
      </w:r>
      <w:r>
        <w:rPr>
          <w:rFonts w:hAnsi="宋体"/>
          <w:snapToGrid w:val="0"/>
          <w:kern w:val="0"/>
          <w:sz w:val="24"/>
        </w:rPr>
        <w:t>定为气煤（</w:t>
      </w:r>
      <w:r>
        <w:rPr>
          <w:snapToGrid w:val="0"/>
          <w:kern w:val="0"/>
          <w:sz w:val="24"/>
        </w:rPr>
        <w:t>QM43</w:t>
      </w:r>
      <w:r>
        <w:rPr>
          <w:rFonts w:hAnsi="宋体"/>
          <w:snapToGrid w:val="0"/>
          <w:kern w:val="0"/>
          <w:sz w:val="24"/>
        </w:rPr>
        <w:t>）。</w:t>
      </w:r>
      <w:r>
        <w:rPr>
          <w:rFonts w:hAnsi="宋体" w:hint="eastAsia"/>
          <w:snapToGrid w:val="0"/>
          <w:kern w:val="0"/>
          <w:sz w:val="24"/>
        </w:rPr>
        <w:t>本矿原煤</w:t>
      </w:r>
      <w:r>
        <w:rPr>
          <w:sz w:val="24"/>
        </w:rPr>
        <w:t>可作为</w:t>
      </w:r>
      <w:r>
        <w:rPr>
          <w:bCs/>
          <w:sz w:val="24"/>
        </w:rPr>
        <w:t>炼焦配煤、气化用煤、液化用煤、低</w:t>
      </w:r>
      <w:r>
        <w:rPr>
          <w:bCs/>
          <w:sz w:val="24"/>
        </w:rPr>
        <w:lastRenderedPageBreak/>
        <w:t>温干馏用煤及动力用煤等</w:t>
      </w:r>
      <w:r>
        <w:rPr>
          <w:sz w:val="24"/>
        </w:rPr>
        <w:t>。</w:t>
      </w:r>
      <w:r>
        <w:rPr>
          <w:rFonts w:hint="eastAsia"/>
          <w:sz w:val="24"/>
        </w:rPr>
        <w:t>原煤</w:t>
      </w:r>
      <w:r>
        <w:rPr>
          <w:sz w:val="24"/>
        </w:rPr>
        <w:t>煤质主要工业及化学分析指标见表</w:t>
      </w:r>
      <w:r>
        <w:rPr>
          <w:sz w:val="24"/>
        </w:rPr>
        <w:t>2.1.2-</w:t>
      </w:r>
      <w:r>
        <w:rPr>
          <w:rFonts w:hint="eastAsia"/>
          <w:sz w:val="24"/>
        </w:rPr>
        <w:t>8</w:t>
      </w:r>
      <w:r>
        <w:rPr>
          <w:sz w:val="24"/>
        </w:rPr>
        <w:t>。</w:t>
      </w:r>
    </w:p>
    <w:p w:rsidR="00C223F5" w:rsidRDefault="005860D5">
      <w:pPr>
        <w:jc w:val="center"/>
        <w:rPr>
          <w:b/>
          <w:sz w:val="24"/>
        </w:rPr>
      </w:pPr>
      <w:r>
        <w:rPr>
          <w:b/>
          <w:sz w:val="24"/>
        </w:rPr>
        <w:t>表</w:t>
      </w:r>
      <w:r>
        <w:rPr>
          <w:b/>
          <w:sz w:val="24"/>
        </w:rPr>
        <w:t>2</w:t>
      </w:r>
      <w:r>
        <w:rPr>
          <w:rFonts w:hint="eastAsia"/>
          <w:b/>
          <w:sz w:val="24"/>
        </w:rPr>
        <w:t>.</w:t>
      </w:r>
      <w:r>
        <w:rPr>
          <w:b/>
          <w:sz w:val="24"/>
        </w:rPr>
        <w:t>1</w:t>
      </w:r>
      <w:r>
        <w:rPr>
          <w:rFonts w:hint="eastAsia"/>
          <w:b/>
          <w:sz w:val="24"/>
        </w:rPr>
        <w:t>.2</w:t>
      </w:r>
      <w:r>
        <w:rPr>
          <w:b/>
          <w:sz w:val="24"/>
        </w:rPr>
        <w:t>-</w:t>
      </w:r>
      <w:r>
        <w:rPr>
          <w:rFonts w:hint="eastAsia"/>
          <w:b/>
          <w:sz w:val="24"/>
        </w:rPr>
        <w:t xml:space="preserve">7  </w:t>
      </w:r>
      <w:r>
        <w:rPr>
          <w:rFonts w:hint="eastAsia"/>
          <w:b/>
          <w:sz w:val="24"/>
        </w:rPr>
        <w:t>煤层特征一览表</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3" w:type="dxa"/>
        </w:tblCellMar>
        <w:tblLook w:val="04A0" w:firstRow="1" w:lastRow="0" w:firstColumn="1" w:lastColumn="0" w:noHBand="0" w:noVBand="1"/>
      </w:tblPr>
      <w:tblGrid>
        <w:gridCol w:w="475"/>
        <w:gridCol w:w="1168"/>
        <w:gridCol w:w="1129"/>
        <w:gridCol w:w="1271"/>
        <w:gridCol w:w="1674"/>
        <w:gridCol w:w="612"/>
        <w:gridCol w:w="630"/>
        <w:gridCol w:w="651"/>
        <w:gridCol w:w="541"/>
        <w:gridCol w:w="398"/>
        <w:gridCol w:w="420"/>
      </w:tblGrid>
      <w:tr w:rsidR="00C223F5" w:rsidTr="007E7560">
        <w:trPr>
          <w:trHeight w:val="490"/>
          <w:jc w:val="center"/>
        </w:trPr>
        <w:tc>
          <w:tcPr>
            <w:tcW w:w="475" w:type="dxa"/>
            <w:vAlign w:val="center"/>
          </w:tcPr>
          <w:p w:rsidR="00C223F5" w:rsidRDefault="005860D5">
            <w:pPr>
              <w:jc w:val="center"/>
              <w:rPr>
                <w:b/>
                <w:szCs w:val="21"/>
              </w:rPr>
            </w:pPr>
            <w:r>
              <w:rPr>
                <w:rFonts w:hAnsi="宋体"/>
                <w:b/>
                <w:szCs w:val="21"/>
              </w:rPr>
              <w:t>煤层</w:t>
            </w:r>
          </w:p>
          <w:p w:rsidR="00C223F5" w:rsidRDefault="005860D5">
            <w:pPr>
              <w:jc w:val="center"/>
              <w:rPr>
                <w:b/>
                <w:szCs w:val="21"/>
              </w:rPr>
            </w:pPr>
            <w:r>
              <w:rPr>
                <w:rFonts w:hAnsi="宋体"/>
                <w:b/>
                <w:szCs w:val="21"/>
              </w:rPr>
              <w:t>编号</w:t>
            </w:r>
          </w:p>
        </w:tc>
        <w:tc>
          <w:tcPr>
            <w:tcW w:w="1168" w:type="dxa"/>
            <w:vAlign w:val="center"/>
          </w:tcPr>
          <w:p w:rsidR="00C223F5" w:rsidRDefault="005860D5">
            <w:pPr>
              <w:jc w:val="center"/>
              <w:rPr>
                <w:b/>
                <w:szCs w:val="21"/>
              </w:rPr>
            </w:pPr>
            <w:r>
              <w:rPr>
                <w:rFonts w:hAnsi="宋体"/>
                <w:b/>
                <w:szCs w:val="21"/>
              </w:rPr>
              <w:t>煤层厚度（</w:t>
            </w:r>
            <w:r>
              <w:rPr>
                <w:b/>
                <w:szCs w:val="21"/>
              </w:rPr>
              <w:t>m</w:t>
            </w:r>
            <w:r>
              <w:rPr>
                <w:rFonts w:hAnsi="宋体"/>
                <w:b/>
                <w:szCs w:val="21"/>
              </w:rPr>
              <w:t>）</w:t>
            </w:r>
          </w:p>
          <w:p w:rsidR="00C223F5" w:rsidRDefault="005860D5">
            <w:pPr>
              <w:jc w:val="center"/>
              <w:rPr>
                <w:b/>
                <w:szCs w:val="21"/>
              </w:rPr>
            </w:pPr>
            <w:r>
              <w:rPr>
                <w:rFonts w:hAnsi="宋体"/>
                <w:b/>
                <w:szCs w:val="21"/>
              </w:rPr>
              <w:t>两极值</w:t>
            </w:r>
          </w:p>
          <w:p w:rsidR="00C223F5" w:rsidRDefault="005860D5">
            <w:pPr>
              <w:jc w:val="center"/>
              <w:rPr>
                <w:b/>
                <w:szCs w:val="21"/>
              </w:rPr>
            </w:pPr>
            <w:r>
              <w:rPr>
                <w:rFonts w:hAnsi="宋体"/>
                <w:b/>
                <w:szCs w:val="21"/>
              </w:rPr>
              <w:t>平均值</w:t>
            </w:r>
          </w:p>
          <w:p w:rsidR="00C223F5" w:rsidRDefault="005860D5">
            <w:pPr>
              <w:jc w:val="center"/>
              <w:rPr>
                <w:b/>
                <w:szCs w:val="21"/>
              </w:rPr>
            </w:pPr>
            <w:r>
              <w:rPr>
                <w:b/>
                <w:szCs w:val="21"/>
              </w:rPr>
              <w:t>(</w:t>
            </w:r>
            <w:r>
              <w:rPr>
                <w:rFonts w:hAnsi="宋体"/>
                <w:b/>
                <w:szCs w:val="21"/>
              </w:rPr>
              <w:t>点数</w:t>
            </w:r>
            <w:r>
              <w:rPr>
                <w:b/>
                <w:szCs w:val="21"/>
              </w:rPr>
              <w:t>)</w:t>
            </w:r>
          </w:p>
        </w:tc>
        <w:tc>
          <w:tcPr>
            <w:tcW w:w="1129" w:type="dxa"/>
            <w:vAlign w:val="center"/>
          </w:tcPr>
          <w:p w:rsidR="00C223F5" w:rsidRDefault="005860D5">
            <w:pPr>
              <w:jc w:val="center"/>
              <w:rPr>
                <w:b/>
                <w:szCs w:val="21"/>
              </w:rPr>
            </w:pPr>
            <w:r>
              <w:rPr>
                <w:rFonts w:hAnsi="宋体"/>
                <w:b/>
                <w:szCs w:val="21"/>
              </w:rPr>
              <w:t>可采厚度（</w:t>
            </w:r>
            <w:r>
              <w:rPr>
                <w:b/>
                <w:szCs w:val="21"/>
              </w:rPr>
              <w:t>m</w:t>
            </w:r>
            <w:r>
              <w:rPr>
                <w:rFonts w:hAnsi="宋体"/>
                <w:b/>
                <w:szCs w:val="21"/>
              </w:rPr>
              <w:t>）</w:t>
            </w:r>
          </w:p>
          <w:p w:rsidR="00C223F5" w:rsidRDefault="005860D5">
            <w:pPr>
              <w:jc w:val="center"/>
              <w:rPr>
                <w:b/>
                <w:szCs w:val="21"/>
              </w:rPr>
            </w:pPr>
            <w:r>
              <w:rPr>
                <w:rFonts w:hAnsi="宋体"/>
                <w:b/>
                <w:szCs w:val="21"/>
              </w:rPr>
              <w:t>两极值</w:t>
            </w:r>
          </w:p>
          <w:p w:rsidR="00C223F5" w:rsidRDefault="005860D5">
            <w:pPr>
              <w:jc w:val="center"/>
              <w:rPr>
                <w:b/>
                <w:szCs w:val="21"/>
              </w:rPr>
            </w:pPr>
            <w:r>
              <w:rPr>
                <w:rFonts w:hAnsi="宋体"/>
                <w:b/>
                <w:szCs w:val="21"/>
              </w:rPr>
              <w:t>平均值</w:t>
            </w:r>
          </w:p>
          <w:p w:rsidR="00C223F5" w:rsidRDefault="005860D5">
            <w:pPr>
              <w:jc w:val="center"/>
              <w:rPr>
                <w:b/>
                <w:szCs w:val="21"/>
              </w:rPr>
            </w:pPr>
            <w:r>
              <w:rPr>
                <w:b/>
                <w:szCs w:val="21"/>
              </w:rPr>
              <w:t>(</w:t>
            </w:r>
            <w:r>
              <w:rPr>
                <w:rFonts w:hAnsi="宋体"/>
                <w:b/>
                <w:szCs w:val="21"/>
              </w:rPr>
              <w:t>点数</w:t>
            </w:r>
            <w:r>
              <w:rPr>
                <w:b/>
                <w:szCs w:val="21"/>
              </w:rPr>
              <w:t>)</w:t>
            </w:r>
          </w:p>
        </w:tc>
        <w:tc>
          <w:tcPr>
            <w:tcW w:w="1271" w:type="dxa"/>
            <w:vAlign w:val="center"/>
          </w:tcPr>
          <w:p w:rsidR="00C223F5" w:rsidRDefault="005860D5">
            <w:pPr>
              <w:jc w:val="center"/>
              <w:rPr>
                <w:b/>
                <w:szCs w:val="21"/>
              </w:rPr>
            </w:pPr>
            <w:r>
              <w:rPr>
                <w:rFonts w:hAnsi="宋体"/>
                <w:b/>
                <w:szCs w:val="21"/>
              </w:rPr>
              <w:t>间距</w:t>
            </w:r>
            <w:r>
              <w:rPr>
                <w:b/>
                <w:szCs w:val="21"/>
              </w:rPr>
              <w:t>(m)</w:t>
            </w:r>
          </w:p>
        </w:tc>
        <w:tc>
          <w:tcPr>
            <w:tcW w:w="1674" w:type="dxa"/>
            <w:vAlign w:val="center"/>
          </w:tcPr>
          <w:p w:rsidR="00C223F5" w:rsidRDefault="005860D5">
            <w:pPr>
              <w:jc w:val="center"/>
              <w:rPr>
                <w:b/>
                <w:szCs w:val="21"/>
              </w:rPr>
            </w:pPr>
            <w:r>
              <w:rPr>
                <w:rFonts w:hAnsi="宋体"/>
                <w:b/>
                <w:szCs w:val="21"/>
              </w:rPr>
              <w:t>夹矸层数</w:t>
            </w:r>
          </w:p>
          <w:p w:rsidR="00C223F5" w:rsidRDefault="005860D5">
            <w:pPr>
              <w:jc w:val="center"/>
              <w:rPr>
                <w:b/>
                <w:szCs w:val="21"/>
              </w:rPr>
            </w:pPr>
            <w:r>
              <w:rPr>
                <w:rFonts w:hAnsi="宋体"/>
                <w:b/>
                <w:szCs w:val="21"/>
              </w:rPr>
              <w:t>煤层结构</w:t>
            </w:r>
          </w:p>
        </w:tc>
        <w:tc>
          <w:tcPr>
            <w:tcW w:w="612" w:type="dxa"/>
            <w:vAlign w:val="center"/>
          </w:tcPr>
          <w:p w:rsidR="00C223F5" w:rsidRDefault="005860D5">
            <w:pPr>
              <w:jc w:val="center"/>
              <w:rPr>
                <w:b/>
                <w:szCs w:val="21"/>
              </w:rPr>
            </w:pPr>
            <w:r>
              <w:rPr>
                <w:rFonts w:hAnsi="宋体"/>
                <w:b/>
                <w:szCs w:val="21"/>
              </w:rPr>
              <w:t>标</w:t>
            </w:r>
          </w:p>
          <w:p w:rsidR="00C223F5" w:rsidRDefault="005860D5">
            <w:pPr>
              <w:jc w:val="center"/>
              <w:rPr>
                <w:b/>
                <w:szCs w:val="21"/>
              </w:rPr>
            </w:pPr>
            <w:r>
              <w:rPr>
                <w:rFonts w:hAnsi="宋体"/>
                <w:b/>
                <w:szCs w:val="21"/>
              </w:rPr>
              <w:t>准</w:t>
            </w:r>
          </w:p>
          <w:p w:rsidR="00C223F5" w:rsidRDefault="005860D5">
            <w:pPr>
              <w:jc w:val="center"/>
              <w:rPr>
                <w:b/>
                <w:szCs w:val="21"/>
              </w:rPr>
            </w:pPr>
            <w:r>
              <w:rPr>
                <w:rFonts w:hAnsi="宋体"/>
                <w:b/>
                <w:szCs w:val="21"/>
              </w:rPr>
              <w:t>差</w:t>
            </w:r>
          </w:p>
        </w:tc>
        <w:tc>
          <w:tcPr>
            <w:tcW w:w="630" w:type="dxa"/>
            <w:vAlign w:val="center"/>
          </w:tcPr>
          <w:p w:rsidR="00C223F5" w:rsidRDefault="005860D5">
            <w:pPr>
              <w:jc w:val="center"/>
              <w:rPr>
                <w:rFonts w:hAnsi="宋体"/>
                <w:b/>
                <w:szCs w:val="21"/>
              </w:rPr>
            </w:pPr>
            <w:r>
              <w:rPr>
                <w:rFonts w:hAnsi="宋体"/>
                <w:b/>
                <w:szCs w:val="21"/>
              </w:rPr>
              <w:t>变</w:t>
            </w:r>
          </w:p>
          <w:p w:rsidR="00C223F5" w:rsidRDefault="005860D5">
            <w:pPr>
              <w:jc w:val="center"/>
              <w:rPr>
                <w:b/>
                <w:szCs w:val="21"/>
              </w:rPr>
            </w:pPr>
            <w:r>
              <w:rPr>
                <w:rFonts w:hAnsi="宋体"/>
                <w:b/>
                <w:szCs w:val="21"/>
              </w:rPr>
              <w:t>异</w:t>
            </w:r>
          </w:p>
          <w:p w:rsidR="00C223F5" w:rsidRDefault="005860D5">
            <w:pPr>
              <w:jc w:val="center"/>
              <w:rPr>
                <w:rFonts w:hAnsi="宋体"/>
                <w:b/>
                <w:szCs w:val="21"/>
              </w:rPr>
            </w:pPr>
            <w:r>
              <w:rPr>
                <w:rFonts w:hAnsi="宋体"/>
                <w:b/>
                <w:szCs w:val="21"/>
              </w:rPr>
              <w:t>系</w:t>
            </w:r>
          </w:p>
          <w:p w:rsidR="00C223F5" w:rsidRDefault="005860D5">
            <w:pPr>
              <w:jc w:val="center"/>
              <w:rPr>
                <w:b/>
                <w:szCs w:val="21"/>
              </w:rPr>
            </w:pPr>
            <w:r>
              <w:rPr>
                <w:rFonts w:hAnsi="宋体"/>
                <w:b/>
                <w:szCs w:val="21"/>
              </w:rPr>
              <w:t>数</w:t>
            </w:r>
          </w:p>
        </w:tc>
        <w:tc>
          <w:tcPr>
            <w:tcW w:w="651" w:type="dxa"/>
            <w:vAlign w:val="center"/>
          </w:tcPr>
          <w:p w:rsidR="00C223F5" w:rsidRDefault="005860D5">
            <w:pPr>
              <w:jc w:val="center"/>
              <w:rPr>
                <w:b/>
                <w:szCs w:val="21"/>
              </w:rPr>
            </w:pPr>
            <w:r>
              <w:rPr>
                <w:rFonts w:hAnsi="宋体"/>
                <w:b/>
                <w:szCs w:val="21"/>
              </w:rPr>
              <w:t>可采</w:t>
            </w:r>
          </w:p>
          <w:p w:rsidR="00C223F5" w:rsidRDefault="005860D5">
            <w:pPr>
              <w:jc w:val="center"/>
              <w:rPr>
                <w:rFonts w:hAnsi="宋体"/>
                <w:b/>
                <w:szCs w:val="21"/>
              </w:rPr>
            </w:pPr>
            <w:r>
              <w:rPr>
                <w:rFonts w:hAnsi="宋体"/>
                <w:b/>
                <w:szCs w:val="21"/>
              </w:rPr>
              <w:t>面积</w:t>
            </w:r>
          </w:p>
          <w:p w:rsidR="00C223F5" w:rsidRDefault="007E7560">
            <w:pPr>
              <w:jc w:val="center"/>
              <w:rPr>
                <w:b/>
                <w:szCs w:val="21"/>
              </w:rPr>
            </w:pPr>
            <w:r>
              <w:rPr>
                <w:rFonts w:hAnsi="宋体" w:hint="eastAsia"/>
                <w:b/>
                <w:szCs w:val="21"/>
              </w:rPr>
              <w:t>(</w:t>
            </w:r>
            <w:r w:rsidR="005860D5">
              <w:rPr>
                <w:b/>
                <w:szCs w:val="21"/>
              </w:rPr>
              <w:t>km</w:t>
            </w:r>
            <w:r w:rsidR="005860D5">
              <w:rPr>
                <w:b/>
                <w:szCs w:val="21"/>
                <w:vertAlign w:val="superscript"/>
              </w:rPr>
              <w:t>2</w:t>
            </w:r>
            <w:r>
              <w:rPr>
                <w:rFonts w:hAnsi="宋体" w:hint="eastAsia"/>
                <w:b/>
                <w:szCs w:val="21"/>
              </w:rPr>
              <w:t>)</w:t>
            </w:r>
          </w:p>
        </w:tc>
        <w:tc>
          <w:tcPr>
            <w:tcW w:w="541" w:type="dxa"/>
            <w:vAlign w:val="center"/>
          </w:tcPr>
          <w:p w:rsidR="00C223F5" w:rsidRDefault="005860D5" w:rsidP="007E7560">
            <w:pPr>
              <w:jc w:val="center"/>
              <w:rPr>
                <w:b/>
                <w:szCs w:val="21"/>
              </w:rPr>
            </w:pPr>
            <w:r>
              <w:rPr>
                <w:rFonts w:hAnsi="宋体"/>
                <w:b/>
                <w:szCs w:val="21"/>
              </w:rPr>
              <w:t>可采面积系数</w:t>
            </w:r>
            <w:r w:rsidR="007E7560">
              <w:rPr>
                <w:rFonts w:hAnsi="宋体" w:hint="eastAsia"/>
                <w:b/>
                <w:szCs w:val="21"/>
              </w:rPr>
              <w:t>(</w:t>
            </w:r>
            <w:r>
              <w:rPr>
                <w:b/>
                <w:szCs w:val="21"/>
              </w:rPr>
              <w:t>%</w:t>
            </w:r>
            <w:r w:rsidR="007E7560">
              <w:rPr>
                <w:rFonts w:hint="eastAsia"/>
                <w:b/>
                <w:szCs w:val="21"/>
              </w:rPr>
              <w:t>)</w:t>
            </w:r>
          </w:p>
        </w:tc>
        <w:tc>
          <w:tcPr>
            <w:tcW w:w="398" w:type="dxa"/>
            <w:vAlign w:val="center"/>
          </w:tcPr>
          <w:p w:rsidR="00C223F5" w:rsidRDefault="005860D5">
            <w:pPr>
              <w:jc w:val="center"/>
              <w:rPr>
                <w:b/>
                <w:szCs w:val="21"/>
              </w:rPr>
            </w:pPr>
            <w:r>
              <w:rPr>
                <w:rFonts w:hAnsi="宋体"/>
                <w:b/>
                <w:szCs w:val="21"/>
              </w:rPr>
              <w:t>可采性</w:t>
            </w:r>
          </w:p>
        </w:tc>
        <w:tc>
          <w:tcPr>
            <w:tcW w:w="420" w:type="dxa"/>
            <w:vAlign w:val="center"/>
          </w:tcPr>
          <w:p w:rsidR="00C223F5" w:rsidRDefault="005860D5">
            <w:pPr>
              <w:jc w:val="center"/>
              <w:rPr>
                <w:b/>
                <w:szCs w:val="21"/>
              </w:rPr>
            </w:pPr>
            <w:r>
              <w:rPr>
                <w:rFonts w:hAnsi="宋体"/>
                <w:b/>
                <w:szCs w:val="21"/>
              </w:rPr>
              <w:t>稳定性</w:t>
            </w:r>
          </w:p>
        </w:tc>
      </w:tr>
      <w:tr w:rsidR="00C223F5" w:rsidTr="007E7560">
        <w:trPr>
          <w:trHeight w:val="70"/>
          <w:jc w:val="center"/>
        </w:trPr>
        <w:tc>
          <w:tcPr>
            <w:tcW w:w="475" w:type="dxa"/>
            <w:shd w:val="clear" w:color="auto" w:fill="auto"/>
            <w:vAlign w:val="center"/>
          </w:tcPr>
          <w:p w:rsidR="00C223F5" w:rsidRDefault="005860D5">
            <w:pPr>
              <w:jc w:val="center"/>
              <w:rPr>
                <w:b/>
                <w:szCs w:val="21"/>
              </w:rPr>
            </w:pPr>
            <w:r>
              <w:rPr>
                <w:rFonts w:hint="eastAsia"/>
                <w:b/>
                <w:szCs w:val="21"/>
              </w:rPr>
              <w:t>4</w:t>
            </w:r>
            <w:r>
              <w:rPr>
                <w:rFonts w:hint="eastAsia"/>
                <w:b/>
                <w:szCs w:val="21"/>
                <w:vertAlign w:val="superscript"/>
              </w:rPr>
              <w:t>-1</w:t>
            </w:r>
          </w:p>
        </w:tc>
        <w:tc>
          <w:tcPr>
            <w:tcW w:w="1168" w:type="dxa"/>
            <w:vAlign w:val="center"/>
          </w:tcPr>
          <w:p w:rsidR="00C223F5" w:rsidRDefault="005860D5">
            <w:pPr>
              <w:adjustRightInd w:val="0"/>
              <w:snapToGrid w:val="0"/>
              <w:jc w:val="center"/>
              <w:rPr>
                <w:szCs w:val="21"/>
                <w:u w:val="single"/>
              </w:rPr>
            </w:pPr>
            <w:r>
              <w:rPr>
                <w:rFonts w:hint="eastAsia"/>
                <w:szCs w:val="21"/>
                <w:u w:val="single"/>
              </w:rPr>
              <w:t>0.19</w:t>
            </w:r>
            <w:r>
              <w:rPr>
                <w:rFonts w:hAnsi="宋体" w:hint="eastAsia"/>
                <w:szCs w:val="21"/>
                <w:u w:val="single"/>
              </w:rPr>
              <w:t>~</w:t>
            </w:r>
            <w:r>
              <w:rPr>
                <w:rFonts w:hint="eastAsia"/>
                <w:szCs w:val="21"/>
                <w:u w:val="single"/>
              </w:rPr>
              <w:t>2.90</w:t>
            </w:r>
          </w:p>
          <w:p w:rsidR="00C223F5" w:rsidRDefault="005860D5">
            <w:pPr>
              <w:jc w:val="center"/>
              <w:rPr>
                <w:szCs w:val="21"/>
              </w:rPr>
            </w:pPr>
            <w:r>
              <w:rPr>
                <w:rFonts w:hint="eastAsia"/>
                <w:szCs w:val="21"/>
              </w:rPr>
              <w:t>1.85</w:t>
            </w:r>
            <w:r>
              <w:rPr>
                <w:rFonts w:hint="eastAsia"/>
                <w:szCs w:val="21"/>
              </w:rPr>
              <w:t>（</w:t>
            </w:r>
            <w:r>
              <w:rPr>
                <w:rFonts w:hint="eastAsia"/>
                <w:szCs w:val="21"/>
              </w:rPr>
              <w:t>48</w:t>
            </w:r>
            <w:r>
              <w:rPr>
                <w:rFonts w:hint="eastAsia"/>
                <w:szCs w:val="21"/>
              </w:rPr>
              <w:t>）</w:t>
            </w:r>
          </w:p>
        </w:tc>
        <w:tc>
          <w:tcPr>
            <w:tcW w:w="1129" w:type="dxa"/>
            <w:vAlign w:val="center"/>
          </w:tcPr>
          <w:p w:rsidR="00C223F5" w:rsidRDefault="005860D5">
            <w:pPr>
              <w:adjustRightInd w:val="0"/>
              <w:snapToGrid w:val="0"/>
              <w:jc w:val="center"/>
              <w:rPr>
                <w:szCs w:val="21"/>
                <w:u w:val="single"/>
              </w:rPr>
            </w:pPr>
            <w:r>
              <w:rPr>
                <w:rFonts w:hint="eastAsia"/>
                <w:szCs w:val="21"/>
                <w:u w:val="single"/>
              </w:rPr>
              <w:t>0.80</w:t>
            </w:r>
            <w:r>
              <w:rPr>
                <w:rFonts w:hAnsi="宋体" w:hint="eastAsia"/>
                <w:szCs w:val="21"/>
                <w:u w:val="single"/>
              </w:rPr>
              <w:t>~</w:t>
            </w:r>
            <w:r>
              <w:rPr>
                <w:rFonts w:hint="eastAsia"/>
                <w:szCs w:val="21"/>
                <w:u w:val="single"/>
              </w:rPr>
              <w:t>2.90</w:t>
            </w:r>
          </w:p>
          <w:p w:rsidR="00C223F5" w:rsidRDefault="005860D5">
            <w:pPr>
              <w:jc w:val="center"/>
              <w:rPr>
                <w:szCs w:val="21"/>
              </w:rPr>
            </w:pPr>
            <w:r>
              <w:rPr>
                <w:rFonts w:hint="eastAsia"/>
                <w:szCs w:val="21"/>
              </w:rPr>
              <w:t>1.84</w:t>
            </w:r>
            <w:r>
              <w:rPr>
                <w:rFonts w:hint="eastAsia"/>
                <w:szCs w:val="21"/>
              </w:rPr>
              <w:t>（</w:t>
            </w:r>
            <w:r>
              <w:rPr>
                <w:rFonts w:hint="eastAsia"/>
                <w:szCs w:val="21"/>
              </w:rPr>
              <w:t>36</w:t>
            </w:r>
            <w:r>
              <w:rPr>
                <w:rFonts w:hint="eastAsia"/>
                <w:szCs w:val="21"/>
              </w:rPr>
              <w:t>）</w:t>
            </w:r>
          </w:p>
        </w:tc>
        <w:tc>
          <w:tcPr>
            <w:tcW w:w="1271" w:type="dxa"/>
            <w:vMerge w:val="restart"/>
            <w:vAlign w:val="center"/>
          </w:tcPr>
          <w:p w:rsidR="00C223F5" w:rsidRDefault="00C223F5">
            <w:pPr>
              <w:spacing w:line="360" w:lineRule="auto"/>
              <w:ind w:firstLineChars="200" w:firstLine="482"/>
              <w:outlineLvl w:val="0"/>
              <w:rPr>
                <w:b/>
                <w:sz w:val="24"/>
              </w:rPr>
            </w:pPr>
          </w:p>
          <w:p w:rsidR="00C223F5" w:rsidRDefault="00C223F5">
            <w:pPr>
              <w:spacing w:line="360" w:lineRule="auto"/>
              <w:ind w:firstLineChars="200" w:firstLine="482"/>
              <w:outlineLvl w:val="0"/>
              <w:rPr>
                <w:b/>
                <w:sz w:val="24"/>
              </w:rPr>
            </w:pPr>
          </w:p>
          <w:p w:rsidR="00C223F5" w:rsidRDefault="005860D5">
            <w:pPr>
              <w:adjustRightInd w:val="0"/>
              <w:snapToGrid w:val="0"/>
              <w:jc w:val="center"/>
              <w:rPr>
                <w:szCs w:val="21"/>
                <w:u w:val="single"/>
              </w:rPr>
            </w:pPr>
            <w:r>
              <w:rPr>
                <w:szCs w:val="21"/>
                <w:u w:val="single"/>
              </w:rPr>
              <w:t>2.86</w:t>
            </w:r>
            <w:r>
              <w:rPr>
                <w:rFonts w:hAnsi="宋体" w:hint="eastAsia"/>
                <w:szCs w:val="21"/>
                <w:u w:val="single"/>
              </w:rPr>
              <w:t>~</w:t>
            </w:r>
            <w:r>
              <w:rPr>
                <w:szCs w:val="21"/>
                <w:u w:val="single"/>
              </w:rPr>
              <w:t>26.86</w:t>
            </w:r>
          </w:p>
          <w:p w:rsidR="00C223F5" w:rsidRDefault="005860D5">
            <w:pPr>
              <w:adjustRightInd w:val="0"/>
              <w:snapToGrid w:val="0"/>
              <w:jc w:val="center"/>
              <w:rPr>
                <w:szCs w:val="21"/>
                <w:u w:val="single"/>
              </w:rPr>
            </w:pPr>
            <w:r>
              <w:rPr>
                <w:szCs w:val="21"/>
              </w:rPr>
              <w:t>10.73</w:t>
            </w:r>
          </w:p>
          <w:p w:rsidR="00C223F5" w:rsidRDefault="00C223F5">
            <w:pPr>
              <w:adjustRightInd w:val="0"/>
              <w:snapToGrid w:val="0"/>
              <w:jc w:val="center"/>
              <w:rPr>
                <w:szCs w:val="21"/>
                <w:u w:val="single"/>
              </w:rPr>
            </w:pPr>
          </w:p>
          <w:p w:rsidR="00C223F5" w:rsidRDefault="00C223F5">
            <w:pPr>
              <w:adjustRightInd w:val="0"/>
              <w:snapToGrid w:val="0"/>
              <w:jc w:val="center"/>
              <w:rPr>
                <w:szCs w:val="21"/>
                <w:u w:val="single"/>
              </w:rPr>
            </w:pPr>
          </w:p>
          <w:p w:rsidR="00C223F5" w:rsidRDefault="00C223F5">
            <w:pPr>
              <w:jc w:val="center"/>
              <w:rPr>
                <w:szCs w:val="21"/>
              </w:rPr>
            </w:pPr>
          </w:p>
        </w:tc>
        <w:tc>
          <w:tcPr>
            <w:tcW w:w="1674" w:type="dxa"/>
            <w:vAlign w:val="center"/>
          </w:tcPr>
          <w:p w:rsidR="00C223F5" w:rsidRDefault="005860D5" w:rsidP="007E7560">
            <w:pPr>
              <w:spacing w:line="240" w:lineRule="atLeast"/>
              <w:jc w:val="center"/>
              <w:rPr>
                <w:rFonts w:hAnsi="宋体"/>
                <w:szCs w:val="21"/>
              </w:rPr>
            </w:pPr>
            <w:r>
              <w:rPr>
                <w:rFonts w:hAnsi="宋体"/>
                <w:szCs w:val="21"/>
              </w:rPr>
              <w:t>一般含</w:t>
            </w:r>
            <w:r>
              <w:rPr>
                <w:szCs w:val="21"/>
              </w:rPr>
              <w:t>1</w:t>
            </w:r>
            <w:r>
              <w:rPr>
                <w:rFonts w:hAnsi="宋体" w:hint="eastAsia"/>
                <w:szCs w:val="21"/>
              </w:rPr>
              <w:t>~</w:t>
            </w:r>
            <w:r>
              <w:rPr>
                <w:szCs w:val="21"/>
              </w:rPr>
              <w:t>3</w:t>
            </w:r>
            <w:r>
              <w:rPr>
                <w:rFonts w:hAnsi="宋体"/>
                <w:szCs w:val="21"/>
              </w:rPr>
              <w:t>层夹矸</w:t>
            </w:r>
            <w:r>
              <w:rPr>
                <w:rFonts w:hint="eastAsia"/>
                <w:szCs w:val="21"/>
              </w:rPr>
              <w:t>，</w:t>
            </w:r>
            <w:r>
              <w:rPr>
                <w:rFonts w:hAnsi="宋体"/>
                <w:szCs w:val="21"/>
              </w:rPr>
              <w:t>局部含</w:t>
            </w:r>
            <w:r>
              <w:rPr>
                <w:szCs w:val="21"/>
              </w:rPr>
              <w:t>4</w:t>
            </w:r>
            <w:r>
              <w:rPr>
                <w:rFonts w:hAnsi="宋体"/>
                <w:szCs w:val="21"/>
              </w:rPr>
              <w:t>层夹矸厚度</w:t>
            </w:r>
            <w:r>
              <w:rPr>
                <w:szCs w:val="21"/>
              </w:rPr>
              <w:t>0.09</w:t>
            </w:r>
            <w:r>
              <w:rPr>
                <w:rFonts w:hAnsi="宋体" w:hint="eastAsia"/>
                <w:szCs w:val="21"/>
              </w:rPr>
              <w:t>~</w:t>
            </w:r>
            <w:r>
              <w:rPr>
                <w:szCs w:val="21"/>
              </w:rPr>
              <w:t>0.5</w:t>
            </w:r>
            <w:r>
              <w:rPr>
                <w:rFonts w:hint="eastAsia"/>
                <w:szCs w:val="21"/>
              </w:rPr>
              <w:t>8</w:t>
            </w:r>
            <w:r>
              <w:rPr>
                <w:szCs w:val="21"/>
              </w:rPr>
              <w:t>m</w:t>
            </w:r>
            <w:r>
              <w:rPr>
                <w:rFonts w:hAnsi="宋体"/>
                <w:szCs w:val="21"/>
              </w:rPr>
              <w:t>，结构较简单</w:t>
            </w:r>
          </w:p>
        </w:tc>
        <w:tc>
          <w:tcPr>
            <w:tcW w:w="612" w:type="dxa"/>
            <w:vAlign w:val="center"/>
          </w:tcPr>
          <w:p w:rsidR="00C223F5" w:rsidRDefault="005860D5">
            <w:pPr>
              <w:jc w:val="center"/>
              <w:rPr>
                <w:rFonts w:hAnsi="宋体"/>
                <w:szCs w:val="21"/>
              </w:rPr>
            </w:pPr>
            <w:r>
              <w:rPr>
                <w:rFonts w:hAnsi="宋体" w:hint="eastAsia"/>
                <w:szCs w:val="21"/>
              </w:rPr>
              <w:t>1.22</w:t>
            </w:r>
          </w:p>
        </w:tc>
        <w:tc>
          <w:tcPr>
            <w:tcW w:w="630" w:type="dxa"/>
            <w:vAlign w:val="center"/>
          </w:tcPr>
          <w:p w:rsidR="00C223F5" w:rsidRDefault="005860D5">
            <w:pPr>
              <w:jc w:val="center"/>
              <w:rPr>
                <w:rFonts w:hAnsi="宋体"/>
                <w:szCs w:val="21"/>
              </w:rPr>
            </w:pPr>
            <w:r>
              <w:rPr>
                <w:rFonts w:hAnsi="宋体" w:hint="eastAsia"/>
                <w:szCs w:val="21"/>
              </w:rPr>
              <w:t>0.65</w:t>
            </w:r>
          </w:p>
        </w:tc>
        <w:tc>
          <w:tcPr>
            <w:tcW w:w="651" w:type="dxa"/>
            <w:vAlign w:val="center"/>
          </w:tcPr>
          <w:p w:rsidR="00C223F5" w:rsidRDefault="005860D5">
            <w:pPr>
              <w:jc w:val="center"/>
              <w:rPr>
                <w:szCs w:val="21"/>
              </w:rPr>
            </w:pPr>
            <w:r>
              <w:rPr>
                <w:rFonts w:hint="eastAsia"/>
                <w:szCs w:val="21"/>
              </w:rPr>
              <w:t>38.25</w:t>
            </w:r>
          </w:p>
        </w:tc>
        <w:tc>
          <w:tcPr>
            <w:tcW w:w="541" w:type="dxa"/>
            <w:vAlign w:val="center"/>
          </w:tcPr>
          <w:p w:rsidR="00C223F5" w:rsidRDefault="005860D5">
            <w:pPr>
              <w:jc w:val="center"/>
              <w:rPr>
                <w:szCs w:val="21"/>
              </w:rPr>
            </w:pPr>
            <w:r>
              <w:rPr>
                <w:rFonts w:hint="eastAsia"/>
                <w:szCs w:val="21"/>
              </w:rPr>
              <w:t>57</w:t>
            </w:r>
          </w:p>
        </w:tc>
        <w:tc>
          <w:tcPr>
            <w:tcW w:w="398" w:type="dxa"/>
            <w:vAlign w:val="center"/>
          </w:tcPr>
          <w:p w:rsidR="00C223F5" w:rsidRDefault="005860D5">
            <w:pPr>
              <w:jc w:val="center"/>
              <w:rPr>
                <w:rFonts w:hAnsi="宋体"/>
                <w:szCs w:val="21"/>
              </w:rPr>
            </w:pPr>
            <w:r>
              <w:rPr>
                <w:rFonts w:hAnsi="宋体" w:hint="eastAsia"/>
                <w:szCs w:val="21"/>
              </w:rPr>
              <w:t>大部可采</w:t>
            </w:r>
          </w:p>
        </w:tc>
        <w:tc>
          <w:tcPr>
            <w:tcW w:w="420" w:type="dxa"/>
            <w:vAlign w:val="center"/>
          </w:tcPr>
          <w:p w:rsidR="00C223F5" w:rsidRDefault="005860D5">
            <w:pPr>
              <w:jc w:val="center"/>
              <w:rPr>
                <w:rFonts w:hAnsi="宋体"/>
                <w:szCs w:val="21"/>
              </w:rPr>
            </w:pPr>
            <w:r>
              <w:rPr>
                <w:rFonts w:hAnsi="宋体" w:hint="eastAsia"/>
                <w:szCs w:val="21"/>
              </w:rPr>
              <w:t>稳定</w:t>
            </w:r>
          </w:p>
        </w:tc>
      </w:tr>
      <w:tr w:rsidR="00C223F5" w:rsidTr="007E7560">
        <w:trPr>
          <w:trHeight w:val="181"/>
          <w:jc w:val="center"/>
        </w:trPr>
        <w:tc>
          <w:tcPr>
            <w:tcW w:w="475" w:type="dxa"/>
            <w:shd w:val="clear" w:color="auto" w:fill="auto"/>
            <w:vAlign w:val="center"/>
          </w:tcPr>
          <w:p w:rsidR="00C223F5" w:rsidRDefault="005860D5">
            <w:pPr>
              <w:jc w:val="center"/>
              <w:rPr>
                <w:b/>
                <w:szCs w:val="21"/>
              </w:rPr>
            </w:pPr>
            <w:r>
              <w:rPr>
                <w:rFonts w:hint="eastAsia"/>
                <w:b/>
                <w:szCs w:val="21"/>
              </w:rPr>
              <w:t>4</w:t>
            </w:r>
            <w:r>
              <w:rPr>
                <w:rFonts w:hint="eastAsia"/>
                <w:b/>
                <w:szCs w:val="21"/>
                <w:vertAlign w:val="superscript"/>
              </w:rPr>
              <w:t>-2</w:t>
            </w:r>
          </w:p>
        </w:tc>
        <w:tc>
          <w:tcPr>
            <w:tcW w:w="1168" w:type="dxa"/>
            <w:vAlign w:val="center"/>
          </w:tcPr>
          <w:p w:rsidR="00C223F5" w:rsidRDefault="005860D5">
            <w:pPr>
              <w:adjustRightInd w:val="0"/>
              <w:snapToGrid w:val="0"/>
              <w:jc w:val="center"/>
              <w:rPr>
                <w:szCs w:val="21"/>
                <w:u w:val="single"/>
              </w:rPr>
            </w:pPr>
            <w:r>
              <w:rPr>
                <w:rFonts w:hint="eastAsia"/>
                <w:szCs w:val="21"/>
                <w:u w:val="single"/>
              </w:rPr>
              <w:t>0</w:t>
            </w:r>
            <w:r>
              <w:rPr>
                <w:rFonts w:hAnsi="宋体" w:hint="eastAsia"/>
                <w:szCs w:val="21"/>
                <w:u w:val="single"/>
              </w:rPr>
              <w:t>~</w:t>
            </w:r>
            <w:r>
              <w:rPr>
                <w:rFonts w:hint="eastAsia"/>
                <w:szCs w:val="21"/>
                <w:u w:val="single"/>
              </w:rPr>
              <w:t>1.71</w:t>
            </w:r>
          </w:p>
          <w:p w:rsidR="00C223F5" w:rsidRDefault="005860D5">
            <w:pPr>
              <w:jc w:val="center"/>
              <w:rPr>
                <w:szCs w:val="21"/>
              </w:rPr>
            </w:pPr>
            <w:r>
              <w:rPr>
                <w:rFonts w:hint="eastAsia"/>
                <w:szCs w:val="21"/>
              </w:rPr>
              <w:t>0.89</w:t>
            </w:r>
            <w:r>
              <w:rPr>
                <w:rFonts w:hint="eastAsia"/>
                <w:szCs w:val="21"/>
              </w:rPr>
              <w:t>（</w:t>
            </w:r>
            <w:r>
              <w:rPr>
                <w:rFonts w:hint="eastAsia"/>
                <w:szCs w:val="21"/>
              </w:rPr>
              <w:t>45</w:t>
            </w:r>
            <w:r>
              <w:rPr>
                <w:rFonts w:hint="eastAsia"/>
                <w:szCs w:val="21"/>
              </w:rPr>
              <w:t>）</w:t>
            </w:r>
          </w:p>
        </w:tc>
        <w:tc>
          <w:tcPr>
            <w:tcW w:w="1129" w:type="dxa"/>
            <w:vAlign w:val="center"/>
          </w:tcPr>
          <w:p w:rsidR="00C223F5" w:rsidRDefault="005860D5">
            <w:pPr>
              <w:adjustRightInd w:val="0"/>
              <w:snapToGrid w:val="0"/>
              <w:jc w:val="center"/>
              <w:rPr>
                <w:szCs w:val="21"/>
                <w:u w:val="single"/>
              </w:rPr>
            </w:pPr>
            <w:r>
              <w:rPr>
                <w:rFonts w:hint="eastAsia"/>
                <w:szCs w:val="21"/>
                <w:u w:val="single"/>
              </w:rPr>
              <w:t>0.80</w:t>
            </w:r>
            <w:r>
              <w:rPr>
                <w:rFonts w:hAnsi="宋体" w:hint="eastAsia"/>
                <w:szCs w:val="21"/>
                <w:u w:val="single"/>
              </w:rPr>
              <w:t>~</w:t>
            </w:r>
            <w:r>
              <w:rPr>
                <w:rFonts w:hint="eastAsia"/>
                <w:szCs w:val="21"/>
                <w:u w:val="single"/>
              </w:rPr>
              <w:t>1.71</w:t>
            </w:r>
          </w:p>
          <w:p w:rsidR="00C223F5" w:rsidRDefault="005860D5">
            <w:pPr>
              <w:jc w:val="center"/>
              <w:rPr>
                <w:szCs w:val="21"/>
              </w:rPr>
            </w:pPr>
            <w:r>
              <w:rPr>
                <w:rFonts w:hint="eastAsia"/>
                <w:szCs w:val="21"/>
              </w:rPr>
              <w:t>1.03</w:t>
            </w:r>
            <w:r>
              <w:rPr>
                <w:rFonts w:hint="eastAsia"/>
                <w:szCs w:val="21"/>
              </w:rPr>
              <w:t>（</w:t>
            </w:r>
            <w:r>
              <w:rPr>
                <w:rFonts w:hint="eastAsia"/>
                <w:szCs w:val="21"/>
              </w:rPr>
              <w:t>24</w:t>
            </w:r>
            <w:r>
              <w:rPr>
                <w:rFonts w:hint="eastAsia"/>
                <w:szCs w:val="21"/>
              </w:rPr>
              <w:t>）</w:t>
            </w:r>
          </w:p>
        </w:tc>
        <w:tc>
          <w:tcPr>
            <w:tcW w:w="1271" w:type="dxa"/>
            <w:vMerge/>
            <w:vAlign w:val="center"/>
          </w:tcPr>
          <w:p w:rsidR="00C223F5" w:rsidRDefault="00C223F5">
            <w:pPr>
              <w:jc w:val="center"/>
              <w:rPr>
                <w:szCs w:val="21"/>
              </w:rPr>
            </w:pPr>
          </w:p>
        </w:tc>
        <w:tc>
          <w:tcPr>
            <w:tcW w:w="1674" w:type="dxa"/>
            <w:vAlign w:val="center"/>
          </w:tcPr>
          <w:p w:rsidR="00C223F5" w:rsidRDefault="005860D5" w:rsidP="007E7560">
            <w:pPr>
              <w:spacing w:line="240" w:lineRule="atLeast"/>
              <w:jc w:val="center"/>
              <w:rPr>
                <w:szCs w:val="21"/>
              </w:rPr>
            </w:pPr>
            <w:r>
              <w:rPr>
                <w:rFonts w:hAnsi="宋体"/>
                <w:szCs w:val="21"/>
              </w:rPr>
              <w:t>一般无夹矸</w:t>
            </w:r>
            <w:r>
              <w:rPr>
                <w:szCs w:val="21"/>
              </w:rPr>
              <w:t xml:space="preserve">, </w:t>
            </w:r>
            <w:r>
              <w:rPr>
                <w:rFonts w:hAnsi="宋体"/>
                <w:szCs w:val="21"/>
              </w:rPr>
              <w:t>少数含</w:t>
            </w:r>
            <w:r>
              <w:rPr>
                <w:szCs w:val="21"/>
              </w:rPr>
              <w:t>1</w:t>
            </w:r>
            <w:r>
              <w:rPr>
                <w:rFonts w:hAnsi="宋体" w:hint="eastAsia"/>
                <w:szCs w:val="21"/>
              </w:rPr>
              <w:t>~</w:t>
            </w:r>
            <w:r>
              <w:rPr>
                <w:szCs w:val="21"/>
              </w:rPr>
              <w:t>2</w:t>
            </w:r>
            <w:r>
              <w:rPr>
                <w:rFonts w:hAnsi="宋体"/>
                <w:szCs w:val="21"/>
              </w:rPr>
              <w:t>层夹矸，厚度</w:t>
            </w:r>
            <w:r>
              <w:rPr>
                <w:szCs w:val="21"/>
              </w:rPr>
              <w:t>0.10</w:t>
            </w:r>
            <w:r>
              <w:rPr>
                <w:rFonts w:hAnsi="宋体" w:hint="eastAsia"/>
                <w:szCs w:val="21"/>
              </w:rPr>
              <w:t>~</w:t>
            </w:r>
            <w:r>
              <w:rPr>
                <w:szCs w:val="21"/>
              </w:rPr>
              <w:t>0.44m</w:t>
            </w:r>
            <w:r>
              <w:rPr>
                <w:rFonts w:hAnsi="宋体"/>
                <w:szCs w:val="21"/>
              </w:rPr>
              <w:t>，结构简单</w:t>
            </w:r>
          </w:p>
        </w:tc>
        <w:tc>
          <w:tcPr>
            <w:tcW w:w="612" w:type="dxa"/>
            <w:vAlign w:val="center"/>
          </w:tcPr>
          <w:p w:rsidR="00C223F5" w:rsidRDefault="005860D5">
            <w:pPr>
              <w:jc w:val="center"/>
              <w:rPr>
                <w:rFonts w:hAnsi="宋体"/>
                <w:szCs w:val="21"/>
              </w:rPr>
            </w:pPr>
            <w:r>
              <w:rPr>
                <w:rFonts w:hAnsi="宋体" w:hint="eastAsia"/>
                <w:szCs w:val="21"/>
              </w:rPr>
              <w:t>0.58</w:t>
            </w:r>
          </w:p>
        </w:tc>
        <w:tc>
          <w:tcPr>
            <w:tcW w:w="630" w:type="dxa"/>
            <w:vAlign w:val="center"/>
          </w:tcPr>
          <w:p w:rsidR="00C223F5" w:rsidRDefault="005860D5">
            <w:pPr>
              <w:jc w:val="center"/>
              <w:rPr>
                <w:rFonts w:hAnsi="宋体"/>
                <w:szCs w:val="21"/>
              </w:rPr>
            </w:pPr>
            <w:r>
              <w:rPr>
                <w:rFonts w:hAnsi="宋体" w:hint="eastAsia"/>
                <w:szCs w:val="21"/>
              </w:rPr>
              <w:t>0.67</w:t>
            </w:r>
          </w:p>
        </w:tc>
        <w:tc>
          <w:tcPr>
            <w:tcW w:w="651" w:type="dxa"/>
            <w:vAlign w:val="center"/>
          </w:tcPr>
          <w:p w:rsidR="00C223F5" w:rsidRDefault="005860D5">
            <w:pPr>
              <w:jc w:val="center"/>
              <w:rPr>
                <w:szCs w:val="21"/>
              </w:rPr>
            </w:pPr>
            <w:r>
              <w:rPr>
                <w:rFonts w:hint="eastAsia"/>
                <w:szCs w:val="21"/>
              </w:rPr>
              <w:t>23.055</w:t>
            </w:r>
          </w:p>
        </w:tc>
        <w:tc>
          <w:tcPr>
            <w:tcW w:w="541" w:type="dxa"/>
            <w:vAlign w:val="center"/>
          </w:tcPr>
          <w:p w:rsidR="00C223F5" w:rsidRDefault="005860D5">
            <w:pPr>
              <w:jc w:val="center"/>
              <w:rPr>
                <w:szCs w:val="21"/>
              </w:rPr>
            </w:pPr>
            <w:r>
              <w:rPr>
                <w:rFonts w:hint="eastAsia"/>
                <w:szCs w:val="21"/>
              </w:rPr>
              <w:t>34</w:t>
            </w:r>
          </w:p>
        </w:tc>
        <w:tc>
          <w:tcPr>
            <w:tcW w:w="398" w:type="dxa"/>
            <w:vAlign w:val="center"/>
          </w:tcPr>
          <w:p w:rsidR="00C223F5" w:rsidRDefault="005860D5">
            <w:pPr>
              <w:jc w:val="center"/>
              <w:rPr>
                <w:rFonts w:hAnsi="宋体"/>
                <w:szCs w:val="21"/>
              </w:rPr>
            </w:pPr>
            <w:r>
              <w:rPr>
                <w:rFonts w:hAnsi="宋体" w:hint="eastAsia"/>
                <w:szCs w:val="21"/>
              </w:rPr>
              <w:t>局部可采</w:t>
            </w:r>
          </w:p>
        </w:tc>
        <w:tc>
          <w:tcPr>
            <w:tcW w:w="420" w:type="dxa"/>
            <w:vAlign w:val="center"/>
          </w:tcPr>
          <w:p w:rsidR="00C223F5" w:rsidRDefault="005860D5">
            <w:pPr>
              <w:jc w:val="center"/>
              <w:rPr>
                <w:rFonts w:hAnsi="宋体"/>
                <w:szCs w:val="21"/>
              </w:rPr>
            </w:pPr>
            <w:r>
              <w:rPr>
                <w:rFonts w:hAnsi="宋体" w:hint="eastAsia"/>
                <w:szCs w:val="21"/>
              </w:rPr>
              <w:t>不稳定</w:t>
            </w:r>
          </w:p>
        </w:tc>
      </w:tr>
      <w:bookmarkEnd w:id="161"/>
      <w:bookmarkEnd w:id="162"/>
      <w:bookmarkEnd w:id="163"/>
    </w:tbl>
    <w:p w:rsidR="007E7560" w:rsidRDefault="007E7560">
      <w:pPr>
        <w:jc w:val="center"/>
        <w:rPr>
          <w:b/>
          <w:sz w:val="24"/>
        </w:rPr>
      </w:pPr>
    </w:p>
    <w:p w:rsidR="00C223F5" w:rsidRDefault="005860D5">
      <w:pPr>
        <w:jc w:val="center"/>
        <w:rPr>
          <w:b/>
          <w:sz w:val="24"/>
        </w:rPr>
      </w:pPr>
      <w:r>
        <w:rPr>
          <w:rFonts w:hint="eastAsia"/>
          <w:b/>
          <w:sz w:val="24"/>
        </w:rPr>
        <w:t>表</w:t>
      </w:r>
      <w:r>
        <w:rPr>
          <w:rFonts w:hint="eastAsia"/>
          <w:b/>
          <w:sz w:val="24"/>
        </w:rPr>
        <w:t xml:space="preserve">2.1.2-8   </w:t>
      </w:r>
      <w:r>
        <w:rPr>
          <w:rFonts w:hint="eastAsia"/>
          <w:b/>
          <w:sz w:val="24"/>
        </w:rPr>
        <w:t>原</w:t>
      </w:r>
      <w:r>
        <w:rPr>
          <w:b/>
          <w:sz w:val="24"/>
        </w:rPr>
        <w:t>煤</w:t>
      </w:r>
      <w:r>
        <w:rPr>
          <w:rFonts w:hint="eastAsia"/>
          <w:b/>
          <w:sz w:val="24"/>
        </w:rPr>
        <w:t>煤质</w:t>
      </w:r>
      <w:r>
        <w:rPr>
          <w:b/>
          <w:sz w:val="24"/>
        </w:rPr>
        <w:t>主要</w:t>
      </w:r>
      <w:r>
        <w:rPr>
          <w:rFonts w:hint="eastAsia"/>
          <w:b/>
          <w:sz w:val="24"/>
        </w:rPr>
        <w:t>工业及化学元</w:t>
      </w:r>
      <w:r>
        <w:rPr>
          <w:b/>
          <w:sz w:val="24"/>
        </w:rPr>
        <w:t>素</w:t>
      </w:r>
      <w:r>
        <w:rPr>
          <w:rFonts w:hint="eastAsia"/>
          <w:b/>
          <w:sz w:val="24"/>
        </w:rPr>
        <w:t>指标</w:t>
      </w:r>
      <w:r>
        <w:rPr>
          <w:b/>
          <w:sz w:val="24"/>
        </w:rPr>
        <w:t>分析表</w:t>
      </w:r>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770"/>
        <w:gridCol w:w="1569"/>
        <w:gridCol w:w="1712"/>
        <w:gridCol w:w="1560"/>
        <w:gridCol w:w="1702"/>
      </w:tblGrid>
      <w:tr w:rsidR="00C223F5" w:rsidTr="007E7560">
        <w:trPr>
          <w:trHeight w:val="70"/>
          <w:jc w:val="center"/>
        </w:trPr>
        <w:tc>
          <w:tcPr>
            <w:tcW w:w="659" w:type="dxa"/>
            <w:vMerge w:val="restart"/>
            <w:vAlign w:val="center"/>
          </w:tcPr>
          <w:p w:rsidR="00C223F5" w:rsidRDefault="005860D5">
            <w:pPr>
              <w:tabs>
                <w:tab w:val="left" w:pos="0"/>
              </w:tabs>
              <w:adjustRightInd w:val="0"/>
              <w:snapToGrid w:val="0"/>
              <w:jc w:val="center"/>
              <w:rPr>
                <w:b/>
                <w:snapToGrid w:val="0"/>
                <w:kern w:val="0"/>
                <w:szCs w:val="21"/>
              </w:rPr>
            </w:pPr>
            <w:r>
              <w:rPr>
                <w:rFonts w:hAnsi="宋体"/>
                <w:b/>
                <w:snapToGrid w:val="0"/>
                <w:kern w:val="0"/>
                <w:szCs w:val="21"/>
              </w:rPr>
              <w:t>煤</w:t>
            </w:r>
          </w:p>
          <w:p w:rsidR="00C223F5" w:rsidRDefault="005860D5">
            <w:pPr>
              <w:tabs>
                <w:tab w:val="left" w:pos="0"/>
              </w:tabs>
              <w:adjustRightInd w:val="0"/>
              <w:snapToGrid w:val="0"/>
              <w:jc w:val="center"/>
              <w:rPr>
                <w:b/>
                <w:szCs w:val="21"/>
              </w:rPr>
            </w:pPr>
            <w:r>
              <w:rPr>
                <w:rFonts w:hAnsi="宋体"/>
                <w:b/>
                <w:snapToGrid w:val="0"/>
                <w:kern w:val="0"/>
                <w:szCs w:val="21"/>
              </w:rPr>
              <w:t>层</w:t>
            </w:r>
          </w:p>
        </w:tc>
        <w:tc>
          <w:tcPr>
            <w:tcW w:w="8313" w:type="dxa"/>
            <w:gridSpan w:val="5"/>
            <w:vAlign w:val="center"/>
          </w:tcPr>
          <w:p w:rsidR="00C223F5" w:rsidRDefault="005860D5">
            <w:pPr>
              <w:tabs>
                <w:tab w:val="left" w:pos="0"/>
              </w:tabs>
              <w:adjustRightInd w:val="0"/>
              <w:snapToGrid w:val="0"/>
              <w:jc w:val="center"/>
              <w:rPr>
                <w:b/>
                <w:snapToGrid w:val="0"/>
                <w:kern w:val="0"/>
                <w:szCs w:val="21"/>
                <w:lang w:val="en-GB"/>
              </w:rPr>
            </w:pPr>
            <w:r>
              <w:rPr>
                <w:szCs w:val="21"/>
              </w:rPr>
              <w:t>原</w:t>
            </w:r>
            <w:r>
              <w:rPr>
                <w:szCs w:val="21"/>
              </w:rPr>
              <w:t xml:space="preserve">   </w:t>
            </w:r>
            <w:r>
              <w:rPr>
                <w:szCs w:val="21"/>
              </w:rPr>
              <w:t>煤</w:t>
            </w:r>
          </w:p>
        </w:tc>
      </w:tr>
      <w:tr w:rsidR="00C223F5" w:rsidTr="007E7560">
        <w:trPr>
          <w:trHeight w:val="70"/>
          <w:jc w:val="center"/>
        </w:trPr>
        <w:tc>
          <w:tcPr>
            <w:tcW w:w="659" w:type="dxa"/>
            <w:vMerge/>
            <w:vAlign w:val="center"/>
          </w:tcPr>
          <w:p w:rsidR="00C223F5" w:rsidRDefault="00C223F5">
            <w:pPr>
              <w:tabs>
                <w:tab w:val="left" w:pos="0"/>
              </w:tabs>
              <w:adjustRightInd w:val="0"/>
              <w:snapToGrid w:val="0"/>
              <w:jc w:val="center"/>
              <w:rPr>
                <w:b/>
                <w:snapToGrid w:val="0"/>
                <w:kern w:val="0"/>
                <w:szCs w:val="21"/>
              </w:rPr>
            </w:pPr>
          </w:p>
        </w:tc>
        <w:tc>
          <w:tcPr>
            <w:tcW w:w="1770" w:type="dxa"/>
            <w:vAlign w:val="center"/>
          </w:tcPr>
          <w:p w:rsidR="00C223F5" w:rsidRDefault="005860D5">
            <w:pPr>
              <w:tabs>
                <w:tab w:val="left" w:pos="0"/>
              </w:tabs>
              <w:adjustRightInd w:val="0"/>
              <w:snapToGrid w:val="0"/>
              <w:jc w:val="center"/>
              <w:rPr>
                <w:b/>
                <w:snapToGrid w:val="0"/>
                <w:kern w:val="0"/>
                <w:szCs w:val="21"/>
                <w:lang w:val="en-GB"/>
              </w:rPr>
            </w:pPr>
            <w:r>
              <w:rPr>
                <w:b/>
                <w:snapToGrid w:val="0"/>
                <w:kern w:val="0"/>
                <w:szCs w:val="21"/>
              </w:rPr>
              <w:t>M</w:t>
            </w:r>
            <w:r>
              <w:rPr>
                <w:b/>
                <w:snapToGrid w:val="0"/>
                <w:kern w:val="0"/>
                <w:szCs w:val="21"/>
                <w:lang w:val="en-GB"/>
              </w:rPr>
              <w:t>ad(%)</w:t>
            </w:r>
          </w:p>
        </w:tc>
        <w:tc>
          <w:tcPr>
            <w:tcW w:w="1569" w:type="dxa"/>
            <w:vAlign w:val="center"/>
          </w:tcPr>
          <w:p w:rsidR="00C223F5" w:rsidRDefault="005860D5">
            <w:pPr>
              <w:tabs>
                <w:tab w:val="left" w:pos="0"/>
              </w:tabs>
              <w:adjustRightInd w:val="0"/>
              <w:snapToGrid w:val="0"/>
              <w:jc w:val="center"/>
              <w:rPr>
                <w:b/>
                <w:snapToGrid w:val="0"/>
                <w:kern w:val="0"/>
                <w:szCs w:val="21"/>
              </w:rPr>
            </w:pPr>
            <w:r>
              <w:rPr>
                <w:b/>
                <w:snapToGrid w:val="0"/>
                <w:kern w:val="0"/>
                <w:szCs w:val="21"/>
                <w:lang w:val="en-GB"/>
              </w:rPr>
              <w:t>Ad(%)</w:t>
            </w:r>
          </w:p>
        </w:tc>
        <w:tc>
          <w:tcPr>
            <w:tcW w:w="1712" w:type="dxa"/>
            <w:vAlign w:val="center"/>
          </w:tcPr>
          <w:p w:rsidR="00C223F5" w:rsidRDefault="005860D5">
            <w:pPr>
              <w:tabs>
                <w:tab w:val="left" w:pos="0"/>
              </w:tabs>
              <w:adjustRightInd w:val="0"/>
              <w:snapToGrid w:val="0"/>
              <w:jc w:val="center"/>
              <w:rPr>
                <w:b/>
                <w:snapToGrid w:val="0"/>
                <w:kern w:val="0"/>
                <w:szCs w:val="21"/>
              </w:rPr>
            </w:pPr>
            <w:proofErr w:type="spellStart"/>
            <w:r>
              <w:rPr>
                <w:b/>
                <w:snapToGrid w:val="0"/>
                <w:kern w:val="0"/>
                <w:szCs w:val="21"/>
                <w:lang w:val="en-GB"/>
              </w:rPr>
              <w:t>Vdaf</w:t>
            </w:r>
            <w:proofErr w:type="spellEnd"/>
            <w:r>
              <w:rPr>
                <w:b/>
                <w:snapToGrid w:val="0"/>
                <w:kern w:val="0"/>
                <w:szCs w:val="21"/>
                <w:lang w:val="en-GB"/>
              </w:rPr>
              <w:t>(%)</w:t>
            </w:r>
          </w:p>
        </w:tc>
        <w:tc>
          <w:tcPr>
            <w:tcW w:w="1560" w:type="dxa"/>
            <w:vAlign w:val="center"/>
          </w:tcPr>
          <w:p w:rsidR="00C223F5" w:rsidRDefault="005860D5">
            <w:pPr>
              <w:tabs>
                <w:tab w:val="left" w:pos="0"/>
              </w:tabs>
              <w:adjustRightInd w:val="0"/>
              <w:snapToGrid w:val="0"/>
              <w:jc w:val="center"/>
              <w:rPr>
                <w:b/>
                <w:snapToGrid w:val="0"/>
                <w:kern w:val="0"/>
                <w:szCs w:val="21"/>
              </w:rPr>
            </w:pPr>
            <w:proofErr w:type="spellStart"/>
            <w:r>
              <w:rPr>
                <w:b/>
                <w:snapToGrid w:val="0"/>
                <w:kern w:val="0"/>
                <w:szCs w:val="21"/>
                <w:lang w:val="en-GB"/>
              </w:rPr>
              <w:t>St,d</w:t>
            </w:r>
            <w:proofErr w:type="spellEnd"/>
            <w:r>
              <w:rPr>
                <w:b/>
                <w:snapToGrid w:val="0"/>
                <w:kern w:val="0"/>
                <w:szCs w:val="21"/>
                <w:lang w:val="en-GB"/>
              </w:rPr>
              <w:t>(%)</w:t>
            </w:r>
          </w:p>
        </w:tc>
        <w:tc>
          <w:tcPr>
            <w:tcW w:w="1702" w:type="dxa"/>
            <w:vAlign w:val="center"/>
          </w:tcPr>
          <w:p w:rsidR="00C223F5" w:rsidRDefault="005860D5">
            <w:pPr>
              <w:tabs>
                <w:tab w:val="left" w:pos="0"/>
              </w:tabs>
              <w:adjustRightInd w:val="0"/>
              <w:snapToGrid w:val="0"/>
              <w:jc w:val="center"/>
              <w:rPr>
                <w:b/>
                <w:snapToGrid w:val="0"/>
                <w:kern w:val="0"/>
                <w:szCs w:val="21"/>
                <w:lang w:val="en-GB"/>
              </w:rPr>
            </w:pPr>
            <w:proofErr w:type="spellStart"/>
            <w:r>
              <w:rPr>
                <w:b/>
                <w:snapToGrid w:val="0"/>
                <w:kern w:val="0"/>
                <w:szCs w:val="21"/>
                <w:lang w:val="en-GB"/>
              </w:rPr>
              <w:t>Q</w:t>
            </w:r>
            <w:r>
              <w:rPr>
                <w:b/>
                <w:snapToGrid w:val="0"/>
                <w:kern w:val="0"/>
                <w:szCs w:val="21"/>
                <w:vertAlign w:val="subscript"/>
                <w:lang w:val="en-GB"/>
              </w:rPr>
              <w:t>gr,d</w:t>
            </w:r>
            <w:proofErr w:type="spellEnd"/>
            <w:r>
              <w:rPr>
                <w:b/>
                <w:snapToGrid w:val="0"/>
                <w:kern w:val="0"/>
                <w:szCs w:val="21"/>
                <w:lang w:val="en-GB"/>
              </w:rPr>
              <w:t>(MJ/kg)</w:t>
            </w:r>
          </w:p>
        </w:tc>
      </w:tr>
      <w:tr w:rsidR="00C223F5" w:rsidTr="007E7560">
        <w:trPr>
          <w:trHeight w:val="70"/>
          <w:jc w:val="center"/>
        </w:trPr>
        <w:tc>
          <w:tcPr>
            <w:tcW w:w="659" w:type="dxa"/>
            <w:vAlign w:val="center"/>
          </w:tcPr>
          <w:p w:rsidR="00C223F5" w:rsidRDefault="005860D5">
            <w:pPr>
              <w:jc w:val="center"/>
              <w:rPr>
                <w:b/>
                <w:szCs w:val="21"/>
              </w:rPr>
            </w:pPr>
            <w:r>
              <w:rPr>
                <w:b/>
                <w:szCs w:val="21"/>
              </w:rPr>
              <w:t>4</w:t>
            </w:r>
            <w:r>
              <w:rPr>
                <w:b/>
                <w:szCs w:val="21"/>
                <w:vertAlign w:val="superscript"/>
              </w:rPr>
              <w:t>-1</w:t>
            </w:r>
          </w:p>
        </w:tc>
        <w:tc>
          <w:tcPr>
            <w:tcW w:w="1770" w:type="dxa"/>
            <w:vAlign w:val="center"/>
          </w:tcPr>
          <w:p w:rsidR="00C223F5" w:rsidRDefault="005860D5">
            <w:pPr>
              <w:jc w:val="center"/>
              <w:rPr>
                <w:szCs w:val="21"/>
                <w:u w:val="single"/>
                <w:lang w:val="en-GB"/>
              </w:rPr>
            </w:pPr>
            <w:r>
              <w:rPr>
                <w:szCs w:val="21"/>
                <w:u w:val="single"/>
                <w:lang w:val="en-GB"/>
              </w:rPr>
              <w:t>0.81</w:t>
            </w:r>
            <w:r>
              <w:rPr>
                <w:rFonts w:hAnsi="宋体"/>
                <w:szCs w:val="21"/>
                <w:u w:val="single"/>
                <w:lang w:val="en-GB"/>
              </w:rPr>
              <w:t>～</w:t>
            </w:r>
            <w:r>
              <w:rPr>
                <w:szCs w:val="21"/>
                <w:u w:val="single"/>
                <w:lang w:val="en-GB"/>
              </w:rPr>
              <w:t>7.34</w:t>
            </w:r>
          </w:p>
          <w:p w:rsidR="00C223F5" w:rsidRDefault="005860D5">
            <w:pPr>
              <w:jc w:val="center"/>
              <w:rPr>
                <w:szCs w:val="21"/>
                <w:lang w:val="en-GB"/>
              </w:rPr>
            </w:pPr>
            <w:r>
              <w:rPr>
                <w:szCs w:val="21"/>
                <w:lang w:val="en-GB"/>
              </w:rPr>
              <w:t>4.38</w:t>
            </w:r>
            <w:r>
              <w:rPr>
                <w:szCs w:val="21"/>
                <w:lang w:val="en-GB"/>
              </w:rPr>
              <w:t>（</w:t>
            </w:r>
            <w:r>
              <w:rPr>
                <w:szCs w:val="21"/>
                <w:lang w:val="en-GB"/>
              </w:rPr>
              <w:t>36)</w:t>
            </w:r>
          </w:p>
        </w:tc>
        <w:tc>
          <w:tcPr>
            <w:tcW w:w="1569" w:type="dxa"/>
            <w:vAlign w:val="center"/>
          </w:tcPr>
          <w:p w:rsidR="00C223F5" w:rsidRDefault="005860D5">
            <w:pPr>
              <w:jc w:val="center"/>
              <w:rPr>
                <w:szCs w:val="21"/>
                <w:u w:val="single"/>
                <w:lang w:val="en-GB"/>
              </w:rPr>
            </w:pPr>
            <w:r>
              <w:rPr>
                <w:szCs w:val="21"/>
                <w:u w:val="single"/>
                <w:lang w:val="en-GB"/>
              </w:rPr>
              <w:t>9.77</w:t>
            </w:r>
            <w:r>
              <w:rPr>
                <w:rFonts w:hAnsi="宋体"/>
                <w:szCs w:val="21"/>
                <w:u w:val="single"/>
                <w:lang w:val="en-GB"/>
              </w:rPr>
              <w:t>～</w:t>
            </w:r>
            <w:r>
              <w:rPr>
                <w:szCs w:val="21"/>
                <w:u w:val="single"/>
                <w:lang w:val="en-GB"/>
              </w:rPr>
              <w:t>33.63</w:t>
            </w:r>
          </w:p>
          <w:p w:rsidR="00C223F5" w:rsidRDefault="005860D5">
            <w:pPr>
              <w:jc w:val="center"/>
              <w:rPr>
                <w:szCs w:val="21"/>
                <w:lang w:val="en-GB"/>
              </w:rPr>
            </w:pPr>
            <w:r>
              <w:rPr>
                <w:szCs w:val="21"/>
                <w:lang w:val="en-GB"/>
              </w:rPr>
              <w:t>17..25(36)</w:t>
            </w:r>
          </w:p>
        </w:tc>
        <w:tc>
          <w:tcPr>
            <w:tcW w:w="1712" w:type="dxa"/>
            <w:vAlign w:val="center"/>
          </w:tcPr>
          <w:p w:rsidR="00C223F5" w:rsidRDefault="005860D5">
            <w:pPr>
              <w:jc w:val="center"/>
              <w:rPr>
                <w:szCs w:val="21"/>
                <w:u w:val="single"/>
                <w:lang w:val="en-GB"/>
              </w:rPr>
            </w:pPr>
            <w:r>
              <w:rPr>
                <w:szCs w:val="21"/>
                <w:u w:val="single"/>
                <w:lang w:val="en-GB"/>
              </w:rPr>
              <w:t>37.32-48.82</w:t>
            </w:r>
          </w:p>
          <w:p w:rsidR="00C223F5" w:rsidRDefault="005860D5">
            <w:pPr>
              <w:jc w:val="center"/>
              <w:rPr>
                <w:szCs w:val="21"/>
                <w:lang w:val="en-GB"/>
              </w:rPr>
            </w:pPr>
            <w:r>
              <w:rPr>
                <w:szCs w:val="21"/>
                <w:lang w:val="en-GB"/>
              </w:rPr>
              <w:t>41.87(36)</w:t>
            </w:r>
          </w:p>
        </w:tc>
        <w:tc>
          <w:tcPr>
            <w:tcW w:w="1560" w:type="dxa"/>
            <w:vAlign w:val="center"/>
          </w:tcPr>
          <w:p w:rsidR="00C223F5" w:rsidRDefault="005860D5">
            <w:pPr>
              <w:jc w:val="center"/>
              <w:rPr>
                <w:szCs w:val="21"/>
                <w:u w:val="single"/>
                <w:lang w:val="en-GB"/>
              </w:rPr>
            </w:pPr>
            <w:r>
              <w:rPr>
                <w:szCs w:val="21"/>
                <w:u w:val="single"/>
                <w:lang w:val="en-GB"/>
              </w:rPr>
              <w:t>0.38</w:t>
            </w:r>
            <w:r>
              <w:rPr>
                <w:rFonts w:hAnsi="宋体"/>
                <w:szCs w:val="21"/>
                <w:u w:val="single"/>
                <w:lang w:val="en-GB"/>
              </w:rPr>
              <w:t>～</w:t>
            </w:r>
            <w:r>
              <w:rPr>
                <w:szCs w:val="21"/>
                <w:u w:val="single"/>
                <w:lang w:val="en-GB"/>
              </w:rPr>
              <w:t>1.67</w:t>
            </w:r>
          </w:p>
          <w:p w:rsidR="00C223F5" w:rsidRDefault="005860D5">
            <w:pPr>
              <w:jc w:val="center"/>
              <w:rPr>
                <w:szCs w:val="21"/>
                <w:lang w:val="en-GB"/>
              </w:rPr>
            </w:pPr>
            <w:r>
              <w:rPr>
                <w:szCs w:val="21"/>
                <w:lang w:val="en-GB"/>
              </w:rPr>
              <w:t>0.76(36)</w:t>
            </w:r>
          </w:p>
        </w:tc>
        <w:tc>
          <w:tcPr>
            <w:tcW w:w="1702" w:type="dxa"/>
            <w:vAlign w:val="center"/>
          </w:tcPr>
          <w:p w:rsidR="00C223F5" w:rsidRDefault="005860D5">
            <w:pPr>
              <w:jc w:val="center"/>
              <w:rPr>
                <w:szCs w:val="21"/>
                <w:u w:val="single"/>
                <w:lang w:val="en-GB"/>
              </w:rPr>
            </w:pPr>
            <w:r>
              <w:rPr>
                <w:szCs w:val="21"/>
                <w:u w:val="single"/>
                <w:lang w:val="en-GB"/>
              </w:rPr>
              <w:t>21.69</w:t>
            </w:r>
            <w:r>
              <w:rPr>
                <w:rFonts w:hAnsi="宋体"/>
                <w:szCs w:val="21"/>
                <w:u w:val="single"/>
                <w:lang w:val="en-GB"/>
              </w:rPr>
              <w:t>～</w:t>
            </w:r>
            <w:r>
              <w:rPr>
                <w:szCs w:val="21"/>
                <w:u w:val="single"/>
                <w:lang w:val="en-GB"/>
              </w:rPr>
              <w:t>30.33</w:t>
            </w:r>
          </w:p>
          <w:p w:rsidR="00C223F5" w:rsidRDefault="005860D5">
            <w:pPr>
              <w:jc w:val="center"/>
              <w:rPr>
                <w:szCs w:val="21"/>
                <w:lang w:val="en-GB"/>
              </w:rPr>
            </w:pPr>
            <w:r>
              <w:rPr>
                <w:szCs w:val="21"/>
                <w:lang w:val="en-GB"/>
              </w:rPr>
              <w:t>28.71(36)</w:t>
            </w:r>
          </w:p>
        </w:tc>
      </w:tr>
      <w:tr w:rsidR="00C223F5" w:rsidTr="007E7560">
        <w:trPr>
          <w:trHeight w:val="70"/>
          <w:jc w:val="center"/>
        </w:trPr>
        <w:tc>
          <w:tcPr>
            <w:tcW w:w="659" w:type="dxa"/>
            <w:vAlign w:val="center"/>
          </w:tcPr>
          <w:p w:rsidR="00C223F5" w:rsidRDefault="005860D5">
            <w:pPr>
              <w:tabs>
                <w:tab w:val="left" w:pos="5812"/>
              </w:tabs>
              <w:jc w:val="center"/>
              <w:rPr>
                <w:b/>
                <w:szCs w:val="21"/>
              </w:rPr>
            </w:pPr>
            <w:r>
              <w:rPr>
                <w:b/>
                <w:szCs w:val="21"/>
              </w:rPr>
              <w:t>4</w:t>
            </w:r>
            <w:r>
              <w:rPr>
                <w:b/>
                <w:szCs w:val="21"/>
                <w:vertAlign w:val="superscript"/>
              </w:rPr>
              <w:t>-2</w:t>
            </w:r>
          </w:p>
        </w:tc>
        <w:tc>
          <w:tcPr>
            <w:tcW w:w="1770" w:type="dxa"/>
            <w:vAlign w:val="center"/>
          </w:tcPr>
          <w:p w:rsidR="00C223F5" w:rsidRDefault="005860D5">
            <w:pPr>
              <w:jc w:val="center"/>
              <w:rPr>
                <w:szCs w:val="21"/>
                <w:u w:val="single"/>
                <w:lang w:val="en-GB"/>
              </w:rPr>
            </w:pPr>
            <w:r>
              <w:rPr>
                <w:szCs w:val="21"/>
                <w:u w:val="single"/>
                <w:lang w:val="en-GB"/>
              </w:rPr>
              <w:t>1.21</w:t>
            </w:r>
            <w:r>
              <w:rPr>
                <w:rFonts w:hAnsi="宋体"/>
                <w:szCs w:val="21"/>
                <w:u w:val="single"/>
                <w:lang w:val="en-GB"/>
              </w:rPr>
              <w:t>～</w:t>
            </w:r>
            <w:r>
              <w:rPr>
                <w:szCs w:val="21"/>
                <w:u w:val="single"/>
                <w:lang w:val="en-GB"/>
              </w:rPr>
              <w:t>5.86</w:t>
            </w:r>
          </w:p>
          <w:p w:rsidR="00C223F5" w:rsidRDefault="005860D5">
            <w:pPr>
              <w:jc w:val="center"/>
              <w:rPr>
                <w:szCs w:val="21"/>
                <w:lang w:val="en-GB"/>
              </w:rPr>
            </w:pPr>
            <w:r>
              <w:rPr>
                <w:szCs w:val="21"/>
                <w:lang w:val="en-GB"/>
              </w:rPr>
              <w:t>4.13(19)</w:t>
            </w:r>
          </w:p>
        </w:tc>
        <w:tc>
          <w:tcPr>
            <w:tcW w:w="1569" w:type="dxa"/>
            <w:vAlign w:val="center"/>
          </w:tcPr>
          <w:p w:rsidR="00C223F5" w:rsidRDefault="005860D5">
            <w:pPr>
              <w:jc w:val="center"/>
              <w:rPr>
                <w:szCs w:val="21"/>
                <w:u w:val="single"/>
                <w:lang w:val="en-GB"/>
              </w:rPr>
            </w:pPr>
            <w:r>
              <w:rPr>
                <w:szCs w:val="21"/>
                <w:u w:val="single"/>
                <w:lang w:val="en-GB"/>
              </w:rPr>
              <w:t>6.60</w:t>
            </w:r>
            <w:r>
              <w:rPr>
                <w:rFonts w:hAnsi="宋体"/>
                <w:szCs w:val="21"/>
                <w:u w:val="single"/>
                <w:lang w:val="en-GB"/>
              </w:rPr>
              <w:t>～</w:t>
            </w:r>
            <w:r>
              <w:rPr>
                <w:szCs w:val="21"/>
                <w:u w:val="single"/>
                <w:lang w:val="en-GB"/>
              </w:rPr>
              <w:t>29.89</w:t>
            </w:r>
          </w:p>
          <w:p w:rsidR="00C223F5" w:rsidRDefault="005860D5">
            <w:pPr>
              <w:jc w:val="center"/>
              <w:rPr>
                <w:szCs w:val="21"/>
                <w:lang w:val="en-GB"/>
              </w:rPr>
            </w:pPr>
            <w:r>
              <w:rPr>
                <w:szCs w:val="21"/>
                <w:lang w:val="en-GB"/>
              </w:rPr>
              <w:t>14.72(19)</w:t>
            </w:r>
          </w:p>
        </w:tc>
        <w:tc>
          <w:tcPr>
            <w:tcW w:w="1712" w:type="dxa"/>
            <w:vAlign w:val="center"/>
          </w:tcPr>
          <w:p w:rsidR="00C223F5" w:rsidRDefault="005860D5">
            <w:pPr>
              <w:jc w:val="center"/>
              <w:rPr>
                <w:szCs w:val="21"/>
                <w:u w:val="single"/>
                <w:lang w:val="en-GB"/>
              </w:rPr>
            </w:pPr>
            <w:r>
              <w:rPr>
                <w:szCs w:val="21"/>
                <w:u w:val="single"/>
                <w:lang w:val="en-GB"/>
              </w:rPr>
              <w:t>36.92</w:t>
            </w:r>
            <w:r>
              <w:rPr>
                <w:rFonts w:hAnsi="宋体"/>
                <w:szCs w:val="21"/>
                <w:u w:val="single"/>
                <w:lang w:val="en-GB"/>
              </w:rPr>
              <w:t>～</w:t>
            </w:r>
            <w:r>
              <w:rPr>
                <w:szCs w:val="21"/>
                <w:u w:val="single"/>
                <w:lang w:val="en-GB"/>
              </w:rPr>
              <w:t>47.17</w:t>
            </w:r>
          </w:p>
          <w:p w:rsidR="00C223F5" w:rsidRDefault="005860D5">
            <w:pPr>
              <w:jc w:val="center"/>
              <w:rPr>
                <w:szCs w:val="21"/>
                <w:lang w:val="en-GB"/>
              </w:rPr>
            </w:pPr>
            <w:r>
              <w:rPr>
                <w:szCs w:val="21"/>
                <w:lang w:val="en-GB"/>
              </w:rPr>
              <w:t>42.11(19)</w:t>
            </w:r>
          </w:p>
        </w:tc>
        <w:tc>
          <w:tcPr>
            <w:tcW w:w="1560" w:type="dxa"/>
            <w:vAlign w:val="center"/>
          </w:tcPr>
          <w:p w:rsidR="00C223F5" w:rsidRDefault="005860D5">
            <w:pPr>
              <w:jc w:val="center"/>
              <w:rPr>
                <w:szCs w:val="21"/>
                <w:u w:val="single"/>
                <w:lang w:val="en-GB"/>
              </w:rPr>
            </w:pPr>
            <w:r>
              <w:rPr>
                <w:szCs w:val="21"/>
                <w:u w:val="single"/>
                <w:lang w:val="en-GB"/>
              </w:rPr>
              <w:t>0.43</w:t>
            </w:r>
            <w:r>
              <w:rPr>
                <w:rFonts w:hAnsi="宋体"/>
                <w:szCs w:val="21"/>
                <w:u w:val="single"/>
                <w:lang w:val="en-GB"/>
              </w:rPr>
              <w:t>～</w:t>
            </w:r>
            <w:r>
              <w:rPr>
                <w:szCs w:val="21"/>
                <w:u w:val="single"/>
                <w:lang w:val="en-GB"/>
              </w:rPr>
              <w:t>1.87</w:t>
            </w:r>
          </w:p>
          <w:p w:rsidR="00C223F5" w:rsidRDefault="005860D5">
            <w:pPr>
              <w:jc w:val="center"/>
              <w:rPr>
                <w:szCs w:val="21"/>
                <w:lang w:val="en-GB"/>
              </w:rPr>
            </w:pPr>
            <w:r>
              <w:rPr>
                <w:szCs w:val="21"/>
                <w:lang w:val="en-GB"/>
              </w:rPr>
              <w:t>0.89(19)</w:t>
            </w:r>
          </w:p>
        </w:tc>
        <w:tc>
          <w:tcPr>
            <w:tcW w:w="1702" w:type="dxa"/>
            <w:vAlign w:val="center"/>
          </w:tcPr>
          <w:p w:rsidR="00C223F5" w:rsidRDefault="005860D5">
            <w:pPr>
              <w:jc w:val="center"/>
              <w:rPr>
                <w:szCs w:val="21"/>
                <w:u w:val="single"/>
                <w:lang w:val="en-GB"/>
              </w:rPr>
            </w:pPr>
            <w:r>
              <w:rPr>
                <w:szCs w:val="21"/>
                <w:u w:val="single"/>
                <w:lang w:val="en-GB"/>
              </w:rPr>
              <w:t>22.91</w:t>
            </w:r>
            <w:r>
              <w:rPr>
                <w:rFonts w:hAnsi="宋体"/>
                <w:szCs w:val="21"/>
                <w:u w:val="single"/>
                <w:lang w:val="en-GB"/>
              </w:rPr>
              <w:t>～</w:t>
            </w:r>
            <w:r>
              <w:rPr>
                <w:szCs w:val="21"/>
                <w:u w:val="single"/>
                <w:lang w:val="en-GB"/>
              </w:rPr>
              <w:t>31.08</w:t>
            </w:r>
          </w:p>
          <w:p w:rsidR="00C223F5" w:rsidRDefault="005860D5">
            <w:pPr>
              <w:jc w:val="center"/>
              <w:rPr>
                <w:szCs w:val="21"/>
                <w:lang w:val="en-GB"/>
              </w:rPr>
            </w:pPr>
            <w:r>
              <w:rPr>
                <w:szCs w:val="21"/>
                <w:lang w:val="en-GB"/>
              </w:rPr>
              <w:t>28.06(19)</w:t>
            </w:r>
          </w:p>
        </w:tc>
      </w:tr>
    </w:tbl>
    <w:p w:rsidR="00C223F5" w:rsidRDefault="00C223F5">
      <w:pPr>
        <w:jc w:val="center"/>
        <w:rPr>
          <w:b/>
          <w:color w:val="FF0000"/>
          <w:sz w:val="24"/>
        </w:rPr>
      </w:pPr>
    </w:p>
    <w:p w:rsidR="00C223F5" w:rsidRDefault="005860D5">
      <w:pPr>
        <w:spacing w:line="360" w:lineRule="auto"/>
        <w:ind w:firstLineChars="200" w:firstLine="482"/>
        <w:rPr>
          <w:rFonts w:eastAsia="新宋体"/>
          <w:b/>
          <w:sz w:val="24"/>
        </w:rPr>
      </w:pPr>
      <w:r>
        <w:rPr>
          <w:rFonts w:eastAsia="新宋体" w:hAnsi="新宋体" w:hint="eastAsia"/>
          <w:b/>
          <w:sz w:val="24"/>
        </w:rPr>
        <w:t>3</w:t>
      </w:r>
      <w:r>
        <w:rPr>
          <w:rFonts w:eastAsia="新宋体" w:hAnsi="新宋体"/>
          <w:b/>
          <w:sz w:val="24"/>
        </w:rPr>
        <w:t>）储量</w:t>
      </w:r>
    </w:p>
    <w:p w:rsidR="00C223F5" w:rsidRDefault="005860D5">
      <w:pPr>
        <w:adjustRightInd w:val="0"/>
        <w:snapToGrid w:val="0"/>
        <w:spacing w:line="360" w:lineRule="auto"/>
        <w:ind w:firstLineChars="200" w:firstLine="480"/>
        <w:rPr>
          <w:rFonts w:hAnsi="宋体"/>
          <w:snapToGrid w:val="0"/>
          <w:kern w:val="0"/>
          <w:sz w:val="24"/>
        </w:rPr>
      </w:pPr>
      <w:r>
        <w:rPr>
          <w:rFonts w:hAnsi="宋体" w:hint="eastAsia"/>
          <w:snapToGrid w:val="0"/>
          <w:kern w:val="0"/>
          <w:sz w:val="24"/>
        </w:rPr>
        <w:t>根据《陕西省陕北三叠纪煤田横山矿区横山县</w:t>
      </w:r>
      <w:r>
        <w:rPr>
          <w:rFonts w:hAnsi="宋体"/>
          <w:snapToGrid w:val="0"/>
          <w:kern w:val="0"/>
          <w:sz w:val="24"/>
        </w:rPr>
        <w:t>天云煤矿资源储量核实报告</w:t>
      </w:r>
      <w:r>
        <w:rPr>
          <w:rFonts w:hAnsi="宋体" w:hint="eastAsia"/>
          <w:snapToGrid w:val="0"/>
          <w:kern w:val="0"/>
          <w:sz w:val="24"/>
        </w:rPr>
        <w:t>》（</w:t>
      </w:r>
      <w:r>
        <w:rPr>
          <w:rFonts w:hAnsi="宋体"/>
          <w:snapToGrid w:val="0"/>
          <w:kern w:val="0"/>
          <w:sz w:val="24"/>
        </w:rPr>
        <w:t>2016</w:t>
      </w:r>
      <w:r>
        <w:rPr>
          <w:rFonts w:hAnsi="宋体"/>
          <w:snapToGrid w:val="0"/>
          <w:kern w:val="0"/>
          <w:sz w:val="24"/>
        </w:rPr>
        <w:t>年</w:t>
      </w:r>
      <w:r>
        <w:rPr>
          <w:rFonts w:hAnsi="宋体"/>
          <w:snapToGrid w:val="0"/>
          <w:kern w:val="0"/>
          <w:sz w:val="24"/>
        </w:rPr>
        <w:t>9</w:t>
      </w:r>
      <w:r>
        <w:rPr>
          <w:rFonts w:hAnsi="宋体"/>
          <w:snapToGrid w:val="0"/>
          <w:kern w:val="0"/>
          <w:sz w:val="24"/>
        </w:rPr>
        <w:t>月</w:t>
      </w:r>
      <w:r>
        <w:rPr>
          <w:rFonts w:hAnsi="宋体" w:hint="eastAsia"/>
          <w:snapToGrid w:val="0"/>
          <w:kern w:val="0"/>
          <w:sz w:val="24"/>
        </w:rPr>
        <w:t>）以及自</w:t>
      </w:r>
      <w:r>
        <w:rPr>
          <w:rFonts w:hAnsi="宋体" w:hint="eastAsia"/>
          <w:snapToGrid w:val="0"/>
          <w:kern w:val="0"/>
          <w:sz w:val="24"/>
        </w:rPr>
        <w:t>2</w:t>
      </w:r>
      <w:r>
        <w:rPr>
          <w:rFonts w:hAnsi="宋体"/>
          <w:snapToGrid w:val="0"/>
          <w:kern w:val="0"/>
          <w:sz w:val="24"/>
        </w:rPr>
        <w:t>01</w:t>
      </w:r>
      <w:r>
        <w:rPr>
          <w:rFonts w:hAnsi="宋体" w:hint="eastAsia"/>
          <w:snapToGrid w:val="0"/>
          <w:kern w:val="0"/>
          <w:sz w:val="24"/>
        </w:rPr>
        <w:t>6</w:t>
      </w:r>
      <w:r>
        <w:rPr>
          <w:rFonts w:hAnsi="宋体" w:hint="eastAsia"/>
          <w:snapToGrid w:val="0"/>
          <w:kern w:val="0"/>
          <w:sz w:val="24"/>
        </w:rPr>
        <w:t>年</w:t>
      </w:r>
      <w:r>
        <w:rPr>
          <w:rFonts w:hAnsi="宋体" w:hint="eastAsia"/>
          <w:snapToGrid w:val="0"/>
          <w:kern w:val="0"/>
          <w:sz w:val="24"/>
        </w:rPr>
        <w:t>7</w:t>
      </w:r>
      <w:r>
        <w:rPr>
          <w:rFonts w:hAnsi="宋体" w:hint="eastAsia"/>
          <w:snapToGrid w:val="0"/>
          <w:kern w:val="0"/>
          <w:sz w:val="24"/>
        </w:rPr>
        <w:t>月</w:t>
      </w:r>
      <w:r>
        <w:rPr>
          <w:rFonts w:hAnsi="宋体"/>
          <w:snapToGrid w:val="0"/>
          <w:kern w:val="0"/>
          <w:sz w:val="24"/>
        </w:rPr>
        <w:t>31</w:t>
      </w:r>
      <w:r>
        <w:rPr>
          <w:rFonts w:hAnsi="宋体" w:hint="eastAsia"/>
          <w:snapToGrid w:val="0"/>
          <w:kern w:val="0"/>
          <w:sz w:val="24"/>
        </w:rPr>
        <w:t>日至</w:t>
      </w:r>
      <w:r>
        <w:rPr>
          <w:rFonts w:hAnsi="宋体"/>
          <w:snapToGrid w:val="0"/>
          <w:kern w:val="0"/>
          <w:sz w:val="24"/>
        </w:rPr>
        <w:t>201</w:t>
      </w:r>
      <w:r>
        <w:rPr>
          <w:rFonts w:hAnsi="宋体" w:hint="eastAsia"/>
          <w:snapToGrid w:val="0"/>
          <w:kern w:val="0"/>
          <w:sz w:val="24"/>
        </w:rPr>
        <w:t>8</w:t>
      </w:r>
      <w:r>
        <w:rPr>
          <w:rFonts w:hAnsi="宋体" w:hint="eastAsia"/>
          <w:snapToGrid w:val="0"/>
          <w:kern w:val="0"/>
          <w:sz w:val="24"/>
        </w:rPr>
        <w:t>年</w:t>
      </w:r>
      <w:r>
        <w:rPr>
          <w:rFonts w:hAnsi="宋体" w:hint="eastAsia"/>
          <w:snapToGrid w:val="0"/>
          <w:kern w:val="0"/>
          <w:sz w:val="24"/>
        </w:rPr>
        <w:t>9</w:t>
      </w:r>
      <w:r>
        <w:rPr>
          <w:rFonts w:hAnsi="宋体" w:hint="eastAsia"/>
          <w:snapToGrid w:val="0"/>
          <w:kern w:val="0"/>
          <w:sz w:val="24"/>
        </w:rPr>
        <w:t>月</w:t>
      </w:r>
      <w:r>
        <w:rPr>
          <w:rFonts w:hAnsi="宋体"/>
          <w:snapToGrid w:val="0"/>
          <w:kern w:val="0"/>
          <w:sz w:val="24"/>
        </w:rPr>
        <w:t>31</w:t>
      </w:r>
      <w:r>
        <w:rPr>
          <w:rFonts w:hAnsi="宋体" w:hint="eastAsia"/>
          <w:snapToGrid w:val="0"/>
          <w:kern w:val="0"/>
          <w:sz w:val="24"/>
        </w:rPr>
        <w:t>日原小天云煤矿采动</w:t>
      </w:r>
      <w:r>
        <w:rPr>
          <w:rFonts w:hAnsi="宋体" w:hint="eastAsia"/>
          <w:snapToGrid w:val="0"/>
          <w:kern w:val="0"/>
          <w:sz w:val="24"/>
        </w:rPr>
        <w:t>4</w:t>
      </w:r>
      <w:r>
        <w:rPr>
          <w:rFonts w:hAnsi="宋体" w:hint="eastAsia"/>
          <w:snapToGrid w:val="0"/>
          <w:kern w:val="0"/>
          <w:sz w:val="24"/>
          <w:vertAlign w:val="superscript"/>
        </w:rPr>
        <w:t>-1</w:t>
      </w:r>
      <w:r>
        <w:rPr>
          <w:rFonts w:hAnsi="宋体" w:hint="eastAsia"/>
          <w:snapToGrid w:val="0"/>
          <w:kern w:val="0"/>
          <w:sz w:val="24"/>
        </w:rPr>
        <w:t>煤资源量情况，设计</w:t>
      </w:r>
      <w:r>
        <w:rPr>
          <w:rFonts w:hAnsi="宋体"/>
          <w:snapToGrid w:val="0"/>
          <w:kern w:val="0"/>
          <w:sz w:val="24"/>
        </w:rPr>
        <w:t>核实矿井保有地质资源</w:t>
      </w:r>
      <w:r>
        <w:rPr>
          <w:rFonts w:hAnsi="宋体"/>
          <w:snapToGrid w:val="0"/>
          <w:kern w:val="0"/>
          <w:sz w:val="24"/>
        </w:rPr>
        <w:t>/</w:t>
      </w:r>
      <w:r>
        <w:rPr>
          <w:rFonts w:hAnsi="宋体"/>
          <w:snapToGrid w:val="0"/>
          <w:kern w:val="0"/>
          <w:sz w:val="24"/>
        </w:rPr>
        <w:t>储量为</w:t>
      </w:r>
      <w:r>
        <w:rPr>
          <w:rFonts w:hAnsi="宋体" w:hint="eastAsia"/>
          <w:snapToGrid w:val="0"/>
          <w:kern w:val="0"/>
          <w:sz w:val="24"/>
        </w:rPr>
        <w:t>115.88</w:t>
      </w:r>
      <w:r>
        <w:rPr>
          <w:rFonts w:hAnsi="宋体"/>
          <w:snapToGrid w:val="0"/>
          <w:kern w:val="0"/>
          <w:sz w:val="24"/>
        </w:rPr>
        <w:t>Mt</w:t>
      </w:r>
      <w:r>
        <w:rPr>
          <w:rFonts w:hAnsi="宋体"/>
          <w:snapToGrid w:val="0"/>
          <w:kern w:val="0"/>
          <w:sz w:val="24"/>
        </w:rPr>
        <w:t>，矿井工业资源</w:t>
      </w:r>
      <w:r>
        <w:rPr>
          <w:rFonts w:hAnsi="宋体"/>
          <w:snapToGrid w:val="0"/>
          <w:kern w:val="0"/>
          <w:sz w:val="24"/>
        </w:rPr>
        <w:t>/</w:t>
      </w:r>
      <w:r>
        <w:rPr>
          <w:rFonts w:hAnsi="宋体"/>
          <w:snapToGrid w:val="0"/>
          <w:kern w:val="0"/>
          <w:sz w:val="24"/>
        </w:rPr>
        <w:t>储量为</w:t>
      </w:r>
      <w:r>
        <w:rPr>
          <w:rFonts w:hAnsi="宋体" w:hint="eastAsia"/>
          <w:snapToGrid w:val="0"/>
          <w:kern w:val="0"/>
          <w:sz w:val="24"/>
        </w:rPr>
        <w:t>102.0</w:t>
      </w:r>
      <w:r>
        <w:rPr>
          <w:rFonts w:hAnsi="宋体"/>
          <w:snapToGrid w:val="0"/>
          <w:kern w:val="0"/>
          <w:sz w:val="24"/>
        </w:rPr>
        <w:t>Mt</w:t>
      </w:r>
      <w:r>
        <w:rPr>
          <w:rFonts w:hAnsi="宋体"/>
          <w:snapToGrid w:val="0"/>
          <w:kern w:val="0"/>
          <w:sz w:val="24"/>
        </w:rPr>
        <w:t>，矿井设计可采储量为</w:t>
      </w:r>
      <w:r>
        <w:rPr>
          <w:rFonts w:hAnsi="宋体" w:hint="eastAsia"/>
          <w:snapToGrid w:val="0"/>
          <w:kern w:val="0"/>
          <w:sz w:val="24"/>
        </w:rPr>
        <w:t>46.44</w:t>
      </w:r>
      <w:r>
        <w:rPr>
          <w:rFonts w:hAnsi="宋体"/>
          <w:snapToGrid w:val="0"/>
          <w:kern w:val="0"/>
          <w:sz w:val="24"/>
        </w:rPr>
        <w:t>Mt</w:t>
      </w:r>
      <w:r>
        <w:rPr>
          <w:rFonts w:hAnsi="宋体"/>
          <w:snapToGrid w:val="0"/>
          <w:kern w:val="0"/>
          <w:sz w:val="24"/>
        </w:rPr>
        <w:t>。</w:t>
      </w:r>
      <w:r>
        <w:rPr>
          <w:rFonts w:hAnsi="宋体"/>
          <w:snapToGrid w:val="0"/>
          <w:kern w:val="0"/>
          <w:sz w:val="24"/>
        </w:rPr>
        <w:t xml:space="preserve"> </w:t>
      </w:r>
    </w:p>
    <w:p w:rsidR="00C223F5" w:rsidRDefault="005860D5">
      <w:pPr>
        <w:adjustRightInd w:val="0"/>
        <w:snapToGrid w:val="0"/>
        <w:spacing w:line="360" w:lineRule="auto"/>
        <w:ind w:firstLineChars="200" w:firstLine="480"/>
        <w:rPr>
          <w:sz w:val="24"/>
        </w:rPr>
      </w:pPr>
      <w:r>
        <w:rPr>
          <w:sz w:val="24"/>
        </w:rPr>
        <w:t>根据《</w:t>
      </w:r>
      <w:r>
        <w:rPr>
          <w:rFonts w:hint="eastAsia"/>
          <w:sz w:val="24"/>
        </w:rPr>
        <w:t>建筑物、水体、铁路及主要井巷煤柱留设与压煤开采规范</w:t>
      </w:r>
      <w:r>
        <w:rPr>
          <w:sz w:val="24"/>
        </w:rPr>
        <w:t>》</w:t>
      </w:r>
      <w:r>
        <w:rPr>
          <w:rFonts w:hint="eastAsia"/>
          <w:sz w:val="24"/>
        </w:rPr>
        <w:t>（</w:t>
      </w:r>
      <w:r>
        <w:rPr>
          <w:rFonts w:hint="eastAsia"/>
          <w:sz w:val="24"/>
        </w:rPr>
        <w:t>2017</w:t>
      </w:r>
      <w:r>
        <w:rPr>
          <w:rFonts w:hint="eastAsia"/>
          <w:sz w:val="24"/>
        </w:rPr>
        <w:t>版）</w:t>
      </w:r>
      <w:r>
        <w:rPr>
          <w:sz w:val="24"/>
        </w:rPr>
        <w:t>，设计对井田境界内留设</w:t>
      </w:r>
      <w:r>
        <w:rPr>
          <w:sz w:val="24"/>
        </w:rPr>
        <w:t>20m</w:t>
      </w:r>
      <w:r>
        <w:rPr>
          <w:sz w:val="24"/>
        </w:rPr>
        <w:t>隔离煤柱；主要大巷</w:t>
      </w:r>
      <w:r>
        <w:rPr>
          <w:rFonts w:hint="eastAsia"/>
          <w:sz w:val="24"/>
        </w:rPr>
        <w:t>两侧煤柱宽度各为</w:t>
      </w:r>
      <w:r>
        <w:rPr>
          <w:rFonts w:hint="eastAsia"/>
          <w:sz w:val="24"/>
        </w:rPr>
        <w:t>100m</w:t>
      </w:r>
      <w:r>
        <w:rPr>
          <w:rFonts w:hint="eastAsia"/>
          <w:sz w:val="24"/>
        </w:rPr>
        <w:t>，三条大巷中心距</w:t>
      </w:r>
      <w:r>
        <w:rPr>
          <w:rFonts w:hint="eastAsia"/>
          <w:sz w:val="24"/>
        </w:rPr>
        <w:t>40m</w:t>
      </w:r>
      <w:r>
        <w:rPr>
          <w:rFonts w:hint="eastAsia"/>
          <w:sz w:val="24"/>
        </w:rPr>
        <w:t>；青银高速公路保护等级为Ⅰ级，设计高速公路一侧留设</w:t>
      </w:r>
      <w:r>
        <w:rPr>
          <w:rFonts w:hint="eastAsia"/>
          <w:sz w:val="24"/>
        </w:rPr>
        <w:t>100m</w:t>
      </w:r>
      <w:r>
        <w:rPr>
          <w:rFonts w:hint="eastAsia"/>
          <w:sz w:val="24"/>
        </w:rPr>
        <w:t>保护煤柱；太（原）中（卫）银（川）铁路保护等级为特级，设计一侧留设</w:t>
      </w:r>
      <w:r>
        <w:rPr>
          <w:rFonts w:hint="eastAsia"/>
          <w:sz w:val="24"/>
        </w:rPr>
        <w:t>270m</w:t>
      </w:r>
      <w:r>
        <w:rPr>
          <w:rFonts w:hint="eastAsia"/>
          <w:sz w:val="24"/>
        </w:rPr>
        <w:t>保护煤柱；太（原）中（卫）银（川）铁路施工时留下两个隧道斜井，保护等级为Ⅱ级，设计一号斜井一侧留设</w:t>
      </w:r>
      <w:r>
        <w:rPr>
          <w:rFonts w:hint="eastAsia"/>
          <w:sz w:val="24"/>
        </w:rPr>
        <w:t>200m</w:t>
      </w:r>
      <w:r>
        <w:rPr>
          <w:rFonts w:hint="eastAsia"/>
          <w:sz w:val="24"/>
        </w:rPr>
        <w:t>保护煤柱，设计二号斜井一侧留设</w:t>
      </w:r>
      <w:r>
        <w:rPr>
          <w:rFonts w:hint="eastAsia"/>
          <w:sz w:val="24"/>
        </w:rPr>
        <w:t>200m</w:t>
      </w:r>
      <w:r>
        <w:rPr>
          <w:rFonts w:hint="eastAsia"/>
          <w:sz w:val="24"/>
        </w:rPr>
        <w:t>保护煤柱；蚂蚁河西段与青银高速公路上下重合，保护煤柱合并留设</w:t>
      </w:r>
      <w:r>
        <w:rPr>
          <w:rFonts w:hint="eastAsia"/>
          <w:sz w:val="24"/>
        </w:rPr>
        <w:t>100m</w:t>
      </w:r>
      <w:r>
        <w:rPr>
          <w:rFonts w:hint="eastAsia"/>
          <w:sz w:val="24"/>
        </w:rPr>
        <w:t>；大理河下游及村庄位于煤层不可采区域不需要留设保护煤柱，上游与两岸村庄合并留设保护煤柱，保护等级为Ⅲ级，围护带宽度取</w:t>
      </w:r>
      <w:r>
        <w:rPr>
          <w:rFonts w:hint="eastAsia"/>
          <w:sz w:val="24"/>
        </w:rPr>
        <w:t>10m</w:t>
      </w:r>
      <w:r>
        <w:rPr>
          <w:rFonts w:hint="eastAsia"/>
          <w:sz w:val="24"/>
        </w:rPr>
        <w:t>，松散层移动角取</w:t>
      </w:r>
      <w:r>
        <w:rPr>
          <w:rFonts w:hint="eastAsia"/>
          <w:sz w:val="24"/>
        </w:rPr>
        <w:t>45</w:t>
      </w:r>
      <w:r>
        <w:rPr>
          <w:rFonts w:hint="eastAsia"/>
          <w:sz w:val="24"/>
        </w:rPr>
        <w:t>°，岩层移动角</w:t>
      </w:r>
      <w:r>
        <w:rPr>
          <w:rFonts w:hint="eastAsia"/>
          <w:sz w:val="24"/>
        </w:rPr>
        <w:lastRenderedPageBreak/>
        <w:t>取</w:t>
      </w:r>
      <w:r>
        <w:rPr>
          <w:rFonts w:hint="eastAsia"/>
          <w:sz w:val="24"/>
        </w:rPr>
        <w:t>70</w:t>
      </w:r>
      <w:r>
        <w:rPr>
          <w:rFonts w:hint="eastAsia"/>
          <w:sz w:val="24"/>
        </w:rPr>
        <w:t>°；井田内油井保护等级为Ⅱ级，围护带宽度取</w:t>
      </w:r>
      <w:r>
        <w:rPr>
          <w:rFonts w:hint="eastAsia"/>
          <w:sz w:val="24"/>
        </w:rPr>
        <w:t>15m</w:t>
      </w:r>
      <w:r>
        <w:rPr>
          <w:rFonts w:hint="eastAsia"/>
          <w:sz w:val="24"/>
        </w:rPr>
        <w:t>，松散层移动角取</w:t>
      </w:r>
      <w:r>
        <w:rPr>
          <w:rFonts w:hint="eastAsia"/>
          <w:sz w:val="24"/>
        </w:rPr>
        <w:t>45</w:t>
      </w:r>
      <w:r>
        <w:rPr>
          <w:rFonts w:hint="eastAsia"/>
          <w:sz w:val="24"/>
        </w:rPr>
        <w:t>°，岩层移动角取</w:t>
      </w:r>
      <w:r>
        <w:rPr>
          <w:rFonts w:hint="eastAsia"/>
          <w:sz w:val="24"/>
        </w:rPr>
        <w:t>70</w:t>
      </w:r>
      <w:r>
        <w:rPr>
          <w:rFonts w:hint="eastAsia"/>
          <w:sz w:val="24"/>
        </w:rPr>
        <w:t>°。</w:t>
      </w:r>
    </w:p>
    <w:p w:rsidR="00C223F5" w:rsidRDefault="005860D5">
      <w:pPr>
        <w:adjustRightInd w:val="0"/>
        <w:snapToGrid w:val="0"/>
        <w:spacing w:line="360" w:lineRule="auto"/>
        <w:ind w:firstLineChars="200" w:firstLine="480"/>
        <w:rPr>
          <w:rFonts w:hAnsi="宋体"/>
          <w:snapToGrid w:val="0"/>
          <w:kern w:val="0"/>
          <w:sz w:val="24"/>
        </w:rPr>
      </w:pPr>
      <w:r>
        <w:rPr>
          <w:rFonts w:hAnsi="宋体" w:hint="eastAsia"/>
          <w:snapToGrid w:val="0"/>
          <w:kern w:val="0"/>
          <w:sz w:val="24"/>
        </w:rPr>
        <w:t>4</w:t>
      </w:r>
      <w:r>
        <w:rPr>
          <w:rFonts w:hAnsi="宋体" w:hint="eastAsia"/>
          <w:snapToGrid w:val="0"/>
          <w:kern w:val="0"/>
          <w:sz w:val="24"/>
          <w:vertAlign w:val="superscript"/>
        </w:rPr>
        <w:t>-1</w:t>
      </w:r>
      <w:r>
        <w:rPr>
          <w:rFonts w:hAnsi="宋体" w:hint="eastAsia"/>
          <w:snapToGrid w:val="0"/>
          <w:kern w:val="0"/>
          <w:sz w:val="24"/>
        </w:rPr>
        <w:t>煤以大巷为界东部为薄煤层区域，西部为中厚煤层区域，</w:t>
      </w:r>
      <w:r>
        <w:rPr>
          <w:rFonts w:hAnsi="宋体" w:hint="eastAsia"/>
          <w:snapToGrid w:val="0"/>
          <w:kern w:val="0"/>
          <w:sz w:val="24"/>
        </w:rPr>
        <w:t>4</w:t>
      </w:r>
      <w:r>
        <w:rPr>
          <w:rFonts w:hAnsi="宋体" w:hint="eastAsia"/>
          <w:snapToGrid w:val="0"/>
          <w:kern w:val="0"/>
          <w:sz w:val="24"/>
          <w:vertAlign w:val="superscript"/>
        </w:rPr>
        <w:t>-1</w:t>
      </w:r>
      <w:r>
        <w:rPr>
          <w:rFonts w:hAnsi="宋体" w:hint="eastAsia"/>
          <w:snapToGrid w:val="0"/>
          <w:kern w:val="0"/>
          <w:sz w:val="24"/>
        </w:rPr>
        <w:t>煤总的盘区采出率为</w:t>
      </w:r>
      <w:r>
        <w:rPr>
          <w:rFonts w:hAnsi="宋体" w:hint="eastAsia"/>
          <w:snapToGrid w:val="0"/>
          <w:kern w:val="0"/>
          <w:sz w:val="24"/>
        </w:rPr>
        <w:t>81%</w:t>
      </w:r>
      <w:r>
        <w:rPr>
          <w:rFonts w:hAnsi="宋体" w:hint="eastAsia"/>
          <w:snapToGrid w:val="0"/>
          <w:kern w:val="0"/>
          <w:sz w:val="24"/>
        </w:rPr>
        <w:t>；</w:t>
      </w:r>
      <w:r>
        <w:rPr>
          <w:rFonts w:hAnsi="宋体" w:hint="eastAsia"/>
          <w:snapToGrid w:val="0"/>
          <w:kern w:val="0"/>
          <w:sz w:val="24"/>
        </w:rPr>
        <w:t>4</w:t>
      </w:r>
      <w:r>
        <w:rPr>
          <w:rFonts w:hAnsi="宋体" w:hint="eastAsia"/>
          <w:snapToGrid w:val="0"/>
          <w:kern w:val="0"/>
          <w:sz w:val="24"/>
          <w:vertAlign w:val="superscript"/>
        </w:rPr>
        <w:t>-2</w:t>
      </w:r>
      <w:r>
        <w:rPr>
          <w:rFonts w:hAnsi="宋体" w:hint="eastAsia"/>
          <w:snapToGrid w:val="0"/>
          <w:kern w:val="0"/>
          <w:sz w:val="24"/>
        </w:rPr>
        <w:t>煤为薄煤层，盘区采出率取</w:t>
      </w:r>
      <w:r>
        <w:rPr>
          <w:rFonts w:hAnsi="宋体" w:hint="eastAsia"/>
          <w:snapToGrid w:val="0"/>
          <w:kern w:val="0"/>
          <w:sz w:val="24"/>
        </w:rPr>
        <w:t>85%</w:t>
      </w:r>
      <w:r>
        <w:rPr>
          <w:rFonts w:hAnsi="宋体" w:hint="eastAsia"/>
          <w:snapToGrid w:val="0"/>
          <w:kern w:val="0"/>
          <w:sz w:val="24"/>
        </w:rPr>
        <w:t>。矿井设计可采储量为</w:t>
      </w:r>
      <w:r>
        <w:rPr>
          <w:rFonts w:hAnsi="宋体" w:hint="eastAsia"/>
          <w:snapToGrid w:val="0"/>
          <w:kern w:val="0"/>
          <w:sz w:val="24"/>
        </w:rPr>
        <w:t>46.44 Mt</w:t>
      </w:r>
      <w:r>
        <w:rPr>
          <w:rFonts w:hAnsi="宋体" w:hint="eastAsia"/>
          <w:snapToGrid w:val="0"/>
          <w:kern w:val="0"/>
          <w:sz w:val="24"/>
        </w:rPr>
        <w:t>，</w:t>
      </w:r>
      <w:r>
        <w:rPr>
          <w:rFonts w:hAnsi="宋体"/>
          <w:sz w:val="24"/>
        </w:rPr>
        <w:t>按生产规模</w:t>
      </w:r>
      <w:r>
        <w:rPr>
          <w:sz w:val="24"/>
        </w:rPr>
        <w:t>0.</w:t>
      </w:r>
      <w:r>
        <w:rPr>
          <w:rFonts w:hint="eastAsia"/>
          <w:sz w:val="24"/>
        </w:rPr>
        <w:t>9</w:t>
      </w:r>
      <w:r>
        <w:rPr>
          <w:sz w:val="24"/>
        </w:rPr>
        <w:t>0Mt/a</w:t>
      </w:r>
      <w:r>
        <w:rPr>
          <w:rFonts w:hAnsi="宋体"/>
          <w:sz w:val="24"/>
        </w:rPr>
        <w:t>、</w:t>
      </w:r>
      <w:r>
        <w:rPr>
          <w:sz w:val="24"/>
        </w:rPr>
        <w:t>1.</w:t>
      </w:r>
      <w:r>
        <w:rPr>
          <w:rFonts w:hint="eastAsia"/>
          <w:sz w:val="24"/>
        </w:rPr>
        <w:t>32</w:t>
      </w:r>
      <w:r>
        <w:rPr>
          <w:sz w:val="24"/>
        </w:rPr>
        <w:t>备用系数计算</w:t>
      </w:r>
      <w:r>
        <w:rPr>
          <w:rFonts w:hAnsi="宋体"/>
          <w:sz w:val="24"/>
        </w:rPr>
        <w:t>，</w:t>
      </w:r>
      <w:r>
        <w:rPr>
          <w:sz w:val="24"/>
        </w:rPr>
        <w:t>服务年限</w:t>
      </w:r>
      <w:r>
        <w:rPr>
          <w:rFonts w:hint="eastAsia"/>
          <w:sz w:val="24"/>
        </w:rPr>
        <w:t>3</w:t>
      </w:r>
      <w:r>
        <w:rPr>
          <w:sz w:val="24"/>
        </w:rPr>
        <w:t>9a</w:t>
      </w:r>
      <w:r>
        <w:rPr>
          <w:rFonts w:hAnsi="宋体"/>
          <w:sz w:val="24"/>
        </w:rPr>
        <w:t>。</w:t>
      </w:r>
    </w:p>
    <w:p w:rsidR="00C223F5" w:rsidRDefault="005860D5">
      <w:pPr>
        <w:adjustRightInd w:val="0"/>
        <w:snapToGrid w:val="0"/>
        <w:spacing w:line="360" w:lineRule="auto"/>
        <w:ind w:firstLineChars="200" w:firstLine="480"/>
        <w:rPr>
          <w:sz w:val="24"/>
        </w:rPr>
      </w:pPr>
      <w:r>
        <w:rPr>
          <w:sz w:val="24"/>
        </w:rPr>
        <w:t>整合后矿井资源储量见表</w:t>
      </w:r>
      <w:r>
        <w:rPr>
          <w:rFonts w:hint="eastAsia"/>
          <w:sz w:val="24"/>
        </w:rPr>
        <w:t>2.1.2</w:t>
      </w:r>
      <w:r>
        <w:rPr>
          <w:sz w:val="24"/>
        </w:rPr>
        <w:t>-</w:t>
      </w:r>
      <w:r>
        <w:rPr>
          <w:rFonts w:hint="eastAsia"/>
          <w:sz w:val="24"/>
        </w:rPr>
        <w:t>9</w:t>
      </w:r>
      <w:r>
        <w:rPr>
          <w:sz w:val="24"/>
        </w:rPr>
        <w:t>。</w:t>
      </w:r>
    </w:p>
    <w:p w:rsidR="00C223F5" w:rsidRDefault="005860D5">
      <w:pPr>
        <w:adjustRightInd w:val="0"/>
        <w:snapToGrid w:val="0"/>
        <w:jc w:val="center"/>
        <w:rPr>
          <w:b/>
          <w:sz w:val="24"/>
        </w:rPr>
      </w:pPr>
      <w:r>
        <w:rPr>
          <w:b/>
          <w:sz w:val="24"/>
        </w:rPr>
        <w:t>表</w:t>
      </w:r>
      <w:r>
        <w:rPr>
          <w:b/>
          <w:sz w:val="24"/>
        </w:rPr>
        <w:t xml:space="preserve">2.1.2-9   </w:t>
      </w:r>
      <w:r>
        <w:rPr>
          <w:b/>
          <w:bCs/>
          <w:sz w:val="24"/>
        </w:rPr>
        <w:t>整合后矿井资源储量汇总表</w:t>
      </w:r>
      <w:r>
        <w:rPr>
          <w:b/>
          <w:bCs/>
          <w:sz w:val="24"/>
        </w:rPr>
        <w:t xml:space="preserve">   </w:t>
      </w:r>
      <w:r>
        <w:rPr>
          <w:b/>
          <w:bCs/>
          <w:sz w:val="24"/>
        </w:rPr>
        <w:t>单位：</w:t>
      </w:r>
      <w:r>
        <w:rPr>
          <w:b/>
          <w:spacing w:val="4"/>
          <w:sz w:val="24"/>
        </w:rPr>
        <w:t>Mt</w:t>
      </w:r>
    </w:p>
    <w:tbl>
      <w:tblPr>
        <w:tblW w:w="86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 w:type="dxa"/>
          <w:right w:w="11" w:type="dxa"/>
        </w:tblCellMar>
        <w:tblLook w:val="04A0" w:firstRow="1" w:lastRow="0" w:firstColumn="1" w:lastColumn="0" w:noHBand="0" w:noVBand="1"/>
      </w:tblPr>
      <w:tblGrid>
        <w:gridCol w:w="382"/>
        <w:gridCol w:w="668"/>
        <w:gridCol w:w="675"/>
        <w:gridCol w:w="504"/>
        <w:gridCol w:w="486"/>
        <w:gridCol w:w="390"/>
        <w:gridCol w:w="422"/>
        <w:gridCol w:w="496"/>
        <w:gridCol w:w="496"/>
        <w:gridCol w:w="726"/>
        <w:gridCol w:w="484"/>
        <w:gridCol w:w="393"/>
        <w:gridCol w:w="475"/>
        <w:gridCol w:w="533"/>
        <w:gridCol w:w="521"/>
        <w:gridCol w:w="520"/>
        <w:gridCol w:w="518"/>
      </w:tblGrid>
      <w:tr w:rsidR="00C223F5" w:rsidTr="006E5984">
        <w:trPr>
          <w:trHeight w:val="397"/>
          <w:jc w:val="center"/>
        </w:trPr>
        <w:tc>
          <w:tcPr>
            <w:tcW w:w="382" w:type="dxa"/>
            <w:vMerge w:val="restart"/>
            <w:shd w:val="clear" w:color="auto" w:fill="auto"/>
            <w:vAlign w:val="center"/>
          </w:tcPr>
          <w:p w:rsidR="00C223F5" w:rsidRDefault="005860D5">
            <w:pPr>
              <w:jc w:val="center"/>
              <w:rPr>
                <w:b/>
                <w:szCs w:val="21"/>
              </w:rPr>
            </w:pPr>
            <w:bookmarkStart w:id="188" w:name="RANGE!I20"/>
            <w:r>
              <w:rPr>
                <w:rFonts w:hAnsi="宋体"/>
                <w:b/>
                <w:szCs w:val="21"/>
              </w:rPr>
              <w:t>煤层</w:t>
            </w:r>
            <w:bookmarkEnd w:id="188"/>
          </w:p>
          <w:p w:rsidR="00C223F5" w:rsidRDefault="005860D5">
            <w:pPr>
              <w:jc w:val="center"/>
              <w:rPr>
                <w:b/>
                <w:szCs w:val="21"/>
              </w:rPr>
            </w:pPr>
            <w:r>
              <w:rPr>
                <w:rFonts w:hAnsi="宋体"/>
                <w:b/>
                <w:szCs w:val="21"/>
              </w:rPr>
              <w:t>编号</w:t>
            </w:r>
          </w:p>
        </w:tc>
        <w:tc>
          <w:tcPr>
            <w:tcW w:w="668" w:type="dxa"/>
            <w:vMerge w:val="restart"/>
            <w:shd w:val="clear" w:color="auto" w:fill="auto"/>
            <w:vAlign w:val="center"/>
          </w:tcPr>
          <w:p w:rsidR="00C223F5" w:rsidRDefault="005860D5">
            <w:pPr>
              <w:jc w:val="center"/>
              <w:rPr>
                <w:rFonts w:hAnsi="宋体"/>
                <w:b/>
                <w:szCs w:val="21"/>
              </w:rPr>
            </w:pPr>
            <w:r>
              <w:rPr>
                <w:rFonts w:hAnsi="宋体"/>
                <w:b/>
                <w:szCs w:val="21"/>
              </w:rPr>
              <w:t>矿井</w:t>
            </w:r>
          </w:p>
          <w:p w:rsidR="00C223F5" w:rsidRDefault="005860D5">
            <w:pPr>
              <w:jc w:val="center"/>
              <w:rPr>
                <w:b/>
                <w:szCs w:val="21"/>
              </w:rPr>
            </w:pPr>
            <w:r>
              <w:rPr>
                <w:rFonts w:hAnsi="宋体"/>
                <w:b/>
                <w:szCs w:val="21"/>
              </w:rPr>
              <w:t>地质</w:t>
            </w:r>
          </w:p>
          <w:p w:rsidR="00C223F5" w:rsidRDefault="005860D5">
            <w:pPr>
              <w:jc w:val="center"/>
              <w:rPr>
                <w:b/>
                <w:szCs w:val="21"/>
              </w:rPr>
            </w:pPr>
            <w:r>
              <w:rPr>
                <w:rFonts w:hAnsi="宋体"/>
                <w:b/>
                <w:szCs w:val="21"/>
              </w:rPr>
              <w:t>资源</w:t>
            </w:r>
            <w:r>
              <w:rPr>
                <w:b/>
                <w:szCs w:val="21"/>
              </w:rPr>
              <w:t>/</w:t>
            </w:r>
            <w:r>
              <w:rPr>
                <w:rFonts w:hAnsi="宋体"/>
                <w:b/>
                <w:szCs w:val="21"/>
              </w:rPr>
              <w:t>储量</w:t>
            </w:r>
          </w:p>
        </w:tc>
        <w:tc>
          <w:tcPr>
            <w:tcW w:w="675" w:type="dxa"/>
            <w:vMerge w:val="restart"/>
            <w:shd w:val="clear" w:color="auto" w:fill="auto"/>
            <w:vAlign w:val="center"/>
          </w:tcPr>
          <w:p w:rsidR="00C223F5" w:rsidRDefault="005860D5">
            <w:pPr>
              <w:jc w:val="center"/>
              <w:rPr>
                <w:rFonts w:hAnsi="宋体"/>
                <w:b/>
                <w:szCs w:val="21"/>
              </w:rPr>
            </w:pPr>
            <w:r>
              <w:rPr>
                <w:rFonts w:hAnsi="宋体"/>
                <w:b/>
                <w:szCs w:val="21"/>
              </w:rPr>
              <w:t>矿井</w:t>
            </w:r>
          </w:p>
          <w:p w:rsidR="00C223F5" w:rsidRDefault="005860D5">
            <w:pPr>
              <w:jc w:val="center"/>
              <w:rPr>
                <w:b/>
                <w:szCs w:val="21"/>
              </w:rPr>
            </w:pPr>
            <w:r>
              <w:rPr>
                <w:rFonts w:hAnsi="宋体"/>
                <w:b/>
                <w:szCs w:val="21"/>
              </w:rPr>
              <w:t>工业</w:t>
            </w:r>
          </w:p>
          <w:p w:rsidR="00C223F5" w:rsidRDefault="005860D5">
            <w:pPr>
              <w:jc w:val="center"/>
              <w:rPr>
                <w:b/>
                <w:szCs w:val="21"/>
              </w:rPr>
            </w:pPr>
            <w:r>
              <w:rPr>
                <w:rFonts w:hAnsi="宋体"/>
                <w:b/>
                <w:szCs w:val="21"/>
              </w:rPr>
              <w:t>资源</w:t>
            </w:r>
            <w:r>
              <w:rPr>
                <w:b/>
                <w:szCs w:val="21"/>
              </w:rPr>
              <w:t>/</w:t>
            </w:r>
            <w:r>
              <w:rPr>
                <w:rFonts w:hAnsi="宋体"/>
                <w:b/>
                <w:szCs w:val="21"/>
              </w:rPr>
              <w:t>储量</w:t>
            </w:r>
          </w:p>
        </w:tc>
        <w:tc>
          <w:tcPr>
            <w:tcW w:w="2794" w:type="dxa"/>
            <w:gridSpan w:val="6"/>
            <w:shd w:val="clear" w:color="auto" w:fill="auto"/>
            <w:vAlign w:val="center"/>
          </w:tcPr>
          <w:p w:rsidR="00C223F5" w:rsidRDefault="005860D5">
            <w:pPr>
              <w:jc w:val="center"/>
              <w:rPr>
                <w:b/>
                <w:szCs w:val="21"/>
              </w:rPr>
            </w:pPr>
            <w:r>
              <w:rPr>
                <w:rFonts w:hAnsi="宋体"/>
                <w:b/>
                <w:szCs w:val="21"/>
              </w:rPr>
              <w:t>永久煤柱损失</w:t>
            </w:r>
          </w:p>
        </w:tc>
        <w:tc>
          <w:tcPr>
            <w:tcW w:w="726" w:type="dxa"/>
            <w:vMerge w:val="restart"/>
            <w:shd w:val="clear" w:color="auto" w:fill="auto"/>
            <w:vAlign w:val="center"/>
          </w:tcPr>
          <w:p w:rsidR="00C223F5" w:rsidRDefault="005860D5">
            <w:pPr>
              <w:jc w:val="center"/>
              <w:rPr>
                <w:rFonts w:hAnsi="宋体"/>
                <w:b/>
                <w:szCs w:val="21"/>
              </w:rPr>
            </w:pPr>
            <w:r>
              <w:rPr>
                <w:rFonts w:hAnsi="宋体"/>
                <w:b/>
                <w:szCs w:val="21"/>
              </w:rPr>
              <w:t>矿井</w:t>
            </w:r>
          </w:p>
          <w:p w:rsidR="00C223F5" w:rsidRDefault="005860D5">
            <w:pPr>
              <w:jc w:val="center"/>
              <w:rPr>
                <w:b/>
                <w:szCs w:val="21"/>
              </w:rPr>
            </w:pPr>
            <w:r>
              <w:rPr>
                <w:rFonts w:hAnsi="宋体"/>
                <w:b/>
                <w:szCs w:val="21"/>
              </w:rPr>
              <w:t>设计</w:t>
            </w:r>
          </w:p>
          <w:p w:rsidR="00C223F5" w:rsidRDefault="005860D5">
            <w:pPr>
              <w:jc w:val="center"/>
              <w:rPr>
                <w:b/>
                <w:szCs w:val="21"/>
              </w:rPr>
            </w:pPr>
            <w:r>
              <w:rPr>
                <w:rFonts w:hAnsi="宋体"/>
                <w:b/>
                <w:szCs w:val="21"/>
              </w:rPr>
              <w:t>资源</w:t>
            </w:r>
            <w:r>
              <w:rPr>
                <w:b/>
                <w:szCs w:val="21"/>
              </w:rPr>
              <w:t>/</w:t>
            </w:r>
          </w:p>
          <w:p w:rsidR="00C223F5" w:rsidRDefault="005860D5">
            <w:pPr>
              <w:jc w:val="center"/>
              <w:rPr>
                <w:b/>
                <w:szCs w:val="21"/>
              </w:rPr>
            </w:pPr>
            <w:r>
              <w:rPr>
                <w:rFonts w:hAnsi="宋体"/>
                <w:b/>
                <w:szCs w:val="21"/>
              </w:rPr>
              <w:t>储量</w:t>
            </w:r>
          </w:p>
        </w:tc>
        <w:tc>
          <w:tcPr>
            <w:tcW w:w="2406" w:type="dxa"/>
            <w:gridSpan w:val="5"/>
            <w:shd w:val="clear" w:color="auto" w:fill="auto"/>
            <w:vAlign w:val="center"/>
          </w:tcPr>
          <w:p w:rsidR="00C223F5" w:rsidRDefault="005860D5">
            <w:pPr>
              <w:jc w:val="center"/>
              <w:rPr>
                <w:b/>
                <w:szCs w:val="21"/>
              </w:rPr>
            </w:pPr>
            <w:r>
              <w:rPr>
                <w:rFonts w:hAnsi="宋体"/>
                <w:b/>
                <w:szCs w:val="21"/>
              </w:rPr>
              <w:t>工业场地和主要井巷煤柱</w:t>
            </w:r>
          </w:p>
        </w:tc>
        <w:tc>
          <w:tcPr>
            <w:tcW w:w="520" w:type="dxa"/>
            <w:vMerge w:val="restart"/>
            <w:shd w:val="clear" w:color="auto" w:fill="auto"/>
            <w:vAlign w:val="center"/>
          </w:tcPr>
          <w:p w:rsidR="00C223F5" w:rsidRDefault="005860D5">
            <w:pPr>
              <w:jc w:val="center"/>
              <w:rPr>
                <w:b/>
                <w:szCs w:val="21"/>
              </w:rPr>
            </w:pPr>
            <w:r>
              <w:rPr>
                <w:rFonts w:hAnsi="宋体"/>
                <w:b/>
                <w:szCs w:val="21"/>
              </w:rPr>
              <w:t>开采</w:t>
            </w:r>
          </w:p>
          <w:p w:rsidR="00C223F5" w:rsidRDefault="005860D5">
            <w:pPr>
              <w:jc w:val="center"/>
              <w:rPr>
                <w:b/>
                <w:szCs w:val="21"/>
              </w:rPr>
            </w:pPr>
            <w:r>
              <w:rPr>
                <w:rFonts w:hAnsi="宋体"/>
                <w:b/>
                <w:szCs w:val="21"/>
              </w:rPr>
              <w:t>损失</w:t>
            </w:r>
          </w:p>
        </w:tc>
        <w:tc>
          <w:tcPr>
            <w:tcW w:w="518" w:type="dxa"/>
            <w:vMerge w:val="restart"/>
            <w:shd w:val="clear" w:color="auto" w:fill="auto"/>
            <w:vAlign w:val="center"/>
          </w:tcPr>
          <w:p w:rsidR="00C223F5" w:rsidRDefault="005860D5">
            <w:pPr>
              <w:jc w:val="center"/>
              <w:rPr>
                <w:b/>
                <w:szCs w:val="21"/>
              </w:rPr>
            </w:pPr>
            <w:r>
              <w:rPr>
                <w:rFonts w:hAnsi="宋体"/>
                <w:b/>
                <w:szCs w:val="21"/>
              </w:rPr>
              <w:t>可采</w:t>
            </w:r>
          </w:p>
          <w:p w:rsidR="00C223F5" w:rsidRDefault="005860D5">
            <w:pPr>
              <w:jc w:val="center"/>
              <w:rPr>
                <w:b/>
                <w:szCs w:val="21"/>
              </w:rPr>
            </w:pPr>
            <w:r>
              <w:rPr>
                <w:rFonts w:hAnsi="宋体"/>
                <w:b/>
                <w:szCs w:val="21"/>
              </w:rPr>
              <w:t>储量</w:t>
            </w:r>
          </w:p>
        </w:tc>
      </w:tr>
      <w:tr w:rsidR="00C223F5" w:rsidTr="006E5984">
        <w:trPr>
          <w:trHeight w:val="397"/>
          <w:jc w:val="center"/>
        </w:trPr>
        <w:tc>
          <w:tcPr>
            <w:tcW w:w="382" w:type="dxa"/>
            <w:vMerge/>
            <w:vAlign w:val="center"/>
          </w:tcPr>
          <w:p w:rsidR="00C223F5" w:rsidRDefault="00C223F5">
            <w:pPr>
              <w:jc w:val="center"/>
              <w:rPr>
                <w:b/>
                <w:szCs w:val="21"/>
              </w:rPr>
            </w:pPr>
          </w:p>
        </w:tc>
        <w:tc>
          <w:tcPr>
            <w:tcW w:w="668" w:type="dxa"/>
            <w:vMerge/>
            <w:shd w:val="clear" w:color="auto" w:fill="auto"/>
            <w:vAlign w:val="center"/>
          </w:tcPr>
          <w:p w:rsidR="00C223F5" w:rsidRDefault="00C223F5">
            <w:pPr>
              <w:jc w:val="center"/>
              <w:rPr>
                <w:b/>
                <w:szCs w:val="21"/>
              </w:rPr>
            </w:pPr>
          </w:p>
        </w:tc>
        <w:tc>
          <w:tcPr>
            <w:tcW w:w="675" w:type="dxa"/>
            <w:vMerge/>
            <w:shd w:val="clear" w:color="auto" w:fill="auto"/>
            <w:vAlign w:val="center"/>
          </w:tcPr>
          <w:p w:rsidR="00C223F5" w:rsidRDefault="00C223F5">
            <w:pPr>
              <w:jc w:val="center"/>
              <w:rPr>
                <w:b/>
                <w:szCs w:val="21"/>
              </w:rPr>
            </w:pPr>
          </w:p>
        </w:tc>
        <w:tc>
          <w:tcPr>
            <w:tcW w:w="504" w:type="dxa"/>
            <w:shd w:val="clear" w:color="auto" w:fill="auto"/>
            <w:vAlign w:val="center"/>
          </w:tcPr>
          <w:p w:rsidR="00C223F5" w:rsidRDefault="005860D5">
            <w:pPr>
              <w:jc w:val="center"/>
              <w:rPr>
                <w:b/>
                <w:szCs w:val="21"/>
              </w:rPr>
            </w:pPr>
            <w:r>
              <w:rPr>
                <w:rFonts w:hAnsi="宋体"/>
                <w:b/>
                <w:szCs w:val="21"/>
              </w:rPr>
              <w:t>井田</w:t>
            </w:r>
          </w:p>
          <w:p w:rsidR="00C223F5" w:rsidRDefault="005860D5">
            <w:pPr>
              <w:jc w:val="center"/>
              <w:rPr>
                <w:b/>
                <w:szCs w:val="21"/>
              </w:rPr>
            </w:pPr>
            <w:r>
              <w:rPr>
                <w:rFonts w:hAnsi="宋体"/>
                <w:b/>
                <w:szCs w:val="21"/>
              </w:rPr>
              <w:t>境界</w:t>
            </w:r>
          </w:p>
        </w:tc>
        <w:tc>
          <w:tcPr>
            <w:tcW w:w="486" w:type="dxa"/>
            <w:shd w:val="clear" w:color="auto" w:fill="auto"/>
            <w:vAlign w:val="center"/>
          </w:tcPr>
          <w:p w:rsidR="00C223F5" w:rsidRDefault="005860D5">
            <w:pPr>
              <w:jc w:val="center"/>
              <w:rPr>
                <w:b/>
                <w:szCs w:val="21"/>
              </w:rPr>
            </w:pPr>
            <w:r>
              <w:rPr>
                <w:rFonts w:hAnsi="宋体"/>
                <w:b/>
                <w:szCs w:val="21"/>
              </w:rPr>
              <w:t>高速公路</w:t>
            </w:r>
          </w:p>
        </w:tc>
        <w:tc>
          <w:tcPr>
            <w:tcW w:w="390" w:type="dxa"/>
            <w:shd w:val="clear" w:color="auto" w:fill="auto"/>
            <w:vAlign w:val="center"/>
          </w:tcPr>
          <w:p w:rsidR="00C223F5" w:rsidRDefault="005860D5">
            <w:pPr>
              <w:jc w:val="center"/>
              <w:rPr>
                <w:b/>
                <w:szCs w:val="21"/>
              </w:rPr>
            </w:pPr>
            <w:r>
              <w:rPr>
                <w:rFonts w:hAnsi="宋体"/>
                <w:b/>
                <w:szCs w:val="21"/>
              </w:rPr>
              <w:t>铁路</w:t>
            </w:r>
          </w:p>
        </w:tc>
        <w:tc>
          <w:tcPr>
            <w:tcW w:w="422" w:type="dxa"/>
            <w:shd w:val="clear" w:color="auto" w:fill="auto"/>
            <w:vAlign w:val="center"/>
          </w:tcPr>
          <w:p w:rsidR="00C223F5" w:rsidRDefault="005860D5">
            <w:pPr>
              <w:jc w:val="center"/>
              <w:rPr>
                <w:b/>
                <w:szCs w:val="21"/>
              </w:rPr>
            </w:pPr>
            <w:r>
              <w:rPr>
                <w:rFonts w:hAnsi="宋体"/>
                <w:b/>
                <w:szCs w:val="21"/>
              </w:rPr>
              <w:t>油井</w:t>
            </w:r>
          </w:p>
        </w:tc>
        <w:tc>
          <w:tcPr>
            <w:tcW w:w="496" w:type="dxa"/>
            <w:shd w:val="clear" w:color="auto" w:fill="auto"/>
            <w:vAlign w:val="center"/>
          </w:tcPr>
          <w:p w:rsidR="00C223F5" w:rsidRDefault="005860D5">
            <w:pPr>
              <w:jc w:val="center"/>
              <w:rPr>
                <w:b/>
                <w:szCs w:val="21"/>
              </w:rPr>
            </w:pPr>
            <w:r>
              <w:rPr>
                <w:rFonts w:hAnsi="宋体"/>
                <w:b/>
                <w:szCs w:val="21"/>
              </w:rPr>
              <w:t>河流村庄</w:t>
            </w:r>
          </w:p>
        </w:tc>
        <w:tc>
          <w:tcPr>
            <w:tcW w:w="496" w:type="dxa"/>
            <w:shd w:val="clear" w:color="auto" w:fill="auto"/>
            <w:vAlign w:val="center"/>
          </w:tcPr>
          <w:p w:rsidR="00C223F5" w:rsidRDefault="005860D5">
            <w:pPr>
              <w:jc w:val="center"/>
              <w:rPr>
                <w:b/>
                <w:szCs w:val="21"/>
              </w:rPr>
            </w:pPr>
            <w:r>
              <w:rPr>
                <w:rFonts w:hAnsi="宋体"/>
                <w:b/>
                <w:szCs w:val="21"/>
              </w:rPr>
              <w:t>小计</w:t>
            </w:r>
          </w:p>
        </w:tc>
        <w:tc>
          <w:tcPr>
            <w:tcW w:w="726" w:type="dxa"/>
            <w:vMerge/>
            <w:vAlign w:val="center"/>
          </w:tcPr>
          <w:p w:rsidR="00C223F5" w:rsidRDefault="00C223F5">
            <w:pPr>
              <w:jc w:val="center"/>
              <w:rPr>
                <w:b/>
                <w:szCs w:val="21"/>
              </w:rPr>
            </w:pPr>
          </w:p>
        </w:tc>
        <w:tc>
          <w:tcPr>
            <w:tcW w:w="484" w:type="dxa"/>
            <w:shd w:val="clear" w:color="auto" w:fill="auto"/>
            <w:vAlign w:val="center"/>
          </w:tcPr>
          <w:p w:rsidR="00C223F5" w:rsidRDefault="005860D5">
            <w:pPr>
              <w:jc w:val="center"/>
              <w:rPr>
                <w:b/>
                <w:szCs w:val="21"/>
              </w:rPr>
            </w:pPr>
            <w:r>
              <w:rPr>
                <w:rFonts w:hAnsi="宋体"/>
                <w:b/>
                <w:szCs w:val="21"/>
              </w:rPr>
              <w:t>工业</w:t>
            </w:r>
          </w:p>
          <w:p w:rsidR="00C223F5" w:rsidRDefault="005860D5">
            <w:pPr>
              <w:jc w:val="center"/>
              <w:rPr>
                <w:b/>
                <w:szCs w:val="21"/>
              </w:rPr>
            </w:pPr>
            <w:r>
              <w:rPr>
                <w:rFonts w:hAnsi="宋体"/>
                <w:b/>
                <w:szCs w:val="21"/>
              </w:rPr>
              <w:t>场地</w:t>
            </w:r>
          </w:p>
        </w:tc>
        <w:tc>
          <w:tcPr>
            <w:tcW w:w="393" w:type="dxa"/>
            <w:shd w:val="clear" w:color="auto" w:fill="auto"/>
            <w:vAlign w:val="center"/>
          </w:tcPr>
          <w:p w:rsidR="00C223F5" w:rsidRDefault="005860D5">
            <w:pPr>
              <w:jc w:val="center"/>
              <w:rPr>
                <w:b/>
                <w:szCs w:val="21"/>
              </w:rPr>
            </w:pPr>
            <w:r>
              <w:rPr>
                <w:rFonts w:hAnsi="宋体"/>
                <w:b/>
                <w:szCs w:val="21"/>
              </w:rPr>
              <w:t>大巷</w:t>
            </w:r>
          </w:p>
        </w:tc>
        <w:tc>
          <w:tcPr>
            <w:tcW w:w="475" w:type="dxa"/>
            <w:shd w:val="clear" w:color="auto" w:fill="auto"/>
            <w:vAlign w:val="center"/>
          </w:tcPr>
          <w:p w:rsidR="00C223F5" w:rsidRDefault="005860D5">
            <w:pPr>
              <w:jc w:val="center"/>
              <w:rPr>
                <w:b/>
                <w:szCs w:val="21"/>
              </w:rPr>
            </w:pPr>
            <w:r>
              <w:rPr>
                <w:rFonts w:hAnsi="宋体"/>
                <w:b/>
                <w:szCs w:val="21"/>
              </w:rPr>
              <w:t>井筒</w:t>
            </w:r>
          </w:p>
        </w:tc>
        <w:tc>
          <w:tcPr>
            <w:tcW w:w="533" w:type="dxa"/>
            <w:shd w:val="clear" w:color="auto" w:fill="auto"/>
            <w:vAlign w:val="center"/>
          </w:tcPr>
          <w:p w:rsidR="00C223F5" w:rsidRDefault="005860D5">
            <w:pPr>
              <w:jc w:val="center"/>
              <w:rPr>
                <w:b/>
                <w:szCs w:val="21"/>
              </w:rPr>
            </w:pPr>
            <w:r>
              <w:rPr>
                <w:rFonts w:hAnsi="宋体"/>
                <w:b/>
                <w:szCs w:val="21"/>
              </w:rPr>
              <w:t>后期</w:t>
            </w:r>
          </w:p>
          <w:p w:rsidR="00C223F5" w:rsidRDefault="005860D5">
            <w:pPr>
              <w:jc w:val="center"/>
              <w:rPr>
                <w:b/>
                <w:szCs w:val="21"/>
              </w:rPr>
            </w:pPr>
            <w:r>
              <w:rPr>
                <w:rFonts w:hAnsi="宋体"/>
                <w:b/>
                <w:szCs w:val="21"/>
              </w:rPr>
              <w:t>风井</w:t>
            </w:r>
          </w:p>
        </w:tc>
        <w:tc>
          <w:tcPr>
            <w:tcW w:w="521" w:type="dxa"/>
            <w:vAlign w:val="center"/>
          </w:tcPr>
          <w:p w:rsidR="00C223F5" w:rsidRDefault="005860D5">
            <w:pPr>
              <w:jc w:val="center"/>
              <w:rPr>
                <w:b/>
                <w:szCs w:val="21"/>
              </w:rPr>
            </w:pPr>
            <w:r>
              <w:rPr>
                <w:rFonts w:hAnsi="宋体"/>
                <w:b/>
                <w:szCs w:val="21"/>
              </w:rPr>
              <w:t>小计</w:t>
            </w:r>
          </w:p>
        </w:tc>
        <w:tc>
          <w:tcPr>
            <w:tcW w:w="520" w:type="dxa"/>
            <w:vMerge/>
            <w:shd w:val="clear" w:color="auto" w:fill="auto"/>
            <w:vAlign w:val="center"/>
          </w:tcPr>
          <w:p w:rsidR="00C223F5" w:rsidRDefault="00C223F5">
            <w:pPr>
              <w:jc w:val="center"/>
              <w:rPr>
                <w:b/>
                <w:szCs w:val="21"/>
              </w:rPr>
            </w:pPr>
          </w:p>
        </w:tc>
        <w:tc>
          <w:tcPr>
            <w:tcW w:w="518" w:type="dxa"/>
            <w:vMerge/>
            <w:shd w:val="clear" w:color="auto" w:fill="auto"/>
            <w:vAlign w:val="center"/>
          </w:tcPr>
          <w:p w:rsidR="00C223F5" w:rsidRDefault="00C223F5">
            <w:pPr>
              <w:jc w:val="center"/>
              <w:rPr>
                <w:b/>
                <w:szCs w:val="21"/>
              </w:rPr>
            </w:pPr>
          </w:p>
        </w:tc>
      </w:tr>
      <w:tr w:rsidR="00C223F5" w:rsidTr="006E5984">
        <w:trPr>
          <w:trHeight w:val="397"/>
          <w:jc w:val="center"/>
        </w:trPr>
        <w:tc>
          <w:tcPr>
            <w:tcW w:w="382" w:type="dxa"/>
            <w:shd w:val="clear" w:color="auto" w:fill="auto"/>
            <w:vAlign w:val="center"/>
          </w:tcPr>
          <w:p w:rsidR="00C223F5" w:rsidRDefault="005860D5">
            <w:pPr>
              <w:jc w:val="center"/>
              <w:rPr>
                <w:szCs w:val="21"/>
              </w:rPr>
            </w:pPr>
            <w:r>
              <w:rPr>
                <w:szCs w:val="21"/>
              </w:rPr>
              <w:t>4</w:t>
            </w:r>
            <w:r>
              <w:rPr>
                <w:szCs w:val="21"/>
                <w:vertAlign w:val="superscript"/>
              </w:rPr>
              <w:t>-1</w:t>
            </w:r>
          </w:p>
        </w:tc>
        <w:tc>
          <w:tcPr>
            <w:tcW w:w="668" w:type="dxa"/>
            <w:shd w:val="clear" w:color="auto" w:fill="auto"/>
            <w:vAlign w:val="center"/>
          </w:tcPr>
          <w:p w:rsidR="00C223F5" w:rsidRDefault="005860D5">
            <w:pPr>
              <w:jc w:val="center"/>
              <w:rPr>
                <w:szCs w:val="21"/>
              </w:rPr>
            </w:pPr>
            <w:r>
              <w:rPr>
                <w:szCs w:val="21"/>
              </w:rPr>
              <w:t>84.05</w:t>
            </w:r>
          </w:p>
        </w:tc>
        <w:tc>
          <w:tcPr>
            <w:tcW w:w="675" w:type="dxa"/>
            <w:shd w:val="clear" w:color="auto" w:fill="auto"/>
            <w:vAlign w:val="center"/>
          </w:tcPr>
          <w:p w:rsidR="00C223F5" w:rsidRDefault="005860D5">
            <w:pPr>
              <w:jc w:val="center"/>
              <w:rPr>
                <w:szCs w:val="21"/>
              </w:rPr>
            </w:pPr>
            <w:r>
              <w:rPr>
                <w:szCs w:val="21"/>
              </w:rPr>
              <w:t>76.54</w:t>
            </w:r>
          </w:p>
        </w:tc>
        <w:tc>
          <w:tcPr>
            <w:tcW w:w="504" w:type="dxa"/>
            <w:shd w:val="clear" w:color="auto" w:fill="auto"/>
            <w:vAlign w:val="center"/>
          </w:tcPr>
          <w:p w:rsidR="00C223F5" w:rsidRDefault="005860D5">
            <w:pPr>
              <w:jc w:val="center"/>
              <w:rPr>
                <w:szCs w:val="21"/>
              </w:rPr>
            </w:pPr>
            <w:r>
              <w:rPr>
                <w:szCs w:val="21"/>
              </w:rPr>
              <w:t>1.45</w:t>
            </w:r>
          </w:p>
        </w:tc>
        <w:tc>
          <w:tcPr>
            <w:tcW w:w="486" w:type="dxa"/>
            <w:shd w:val="clear" w:color="auto" w:fill="auto"/>
            <w:vAlign w:val="center"/>
          </w:tcPr>
          <w:p w:rsidR="00C223F5" w:rsidRDefault="005860D5">
            <w:pPr>
              <w:jc w:val="center"/>
              <w:rPr>
                <w:szCs w:val="21"/>
              </w:rPr>
            </w:pPr>
            <w:r>
              <w:rPr>
                <w:szCs w:val="21"/>
              </w:rPr>
              <w:t>1.69</w:t>
            </w:r>
          </w:p>
        </w:tc>
        <w:tc>
          <w:tcPr>
            <w:tcW w:w="390" w:type="dxa"/>
            <w:shd w:val="clear" w:color="auto" w:fill="auto"/>
            <w:vAlign w:val="center"/>
          </w:tcPr>
          <w:p w:rsidR="00C223F5" w:rsidRDefault="005860D5">
            <w:pPr>
              <w:jc w:val="center"/>
              <w:rPr>
                <w:szCs w:val="21"/>
              </w:rPr>
            </w:pPr>
            <w:r>
              <w:rPr>
                <w:szCs w:val="21"/>
              </w:rPr>
              <w:t>6.11</w:t>
            </w:r>
          </w:p>
        </w:tc>
        <w:tc>
          <w:tcPr>
            <w:tcW w:w="422" w:type="dxa"/>
            <w:shd w:val="clear" w:color="auto" w:fill="auto"/>
            <w:vAlign w:val="center"/>
          </w:tcPr>
          <w:p w:rsidR="00C223F5" w:rsidRDefault="005860D5">
            <w:pPr>
              <w:jc w:val="center"/>
              <w:rPr>
                <w:szCs w:val="21"/>
              </w:rPr>
            </w:pPr>
            <w:r>
              <w:rPr>
                <w:szCs w:val="21"/>
              </w:rPr>
              <w:t>7.72</w:t>
            </w:r>
          </w:p>
        </w:tc>
        <w:tc>
          <w:tcPr>
            <w:tcW w:w="496" w:type="dxa"/>
            <w:shd w:val="clear" w:color="auto" w:fill="auto"/>
            <w:vAlign w:val="center"/>
          </w:tcPr>
          <w:p w:rsidR="00C223F5" w:rsidRDefault="005860D5">
            <w:pPr>
              <w:jc w:val="center"/>
              <w:rPr>
                <w:szCs w:val="21"/>
              </w:rPr>
            </w:pPr>
            <w:r>
              <w:rPr>
                <w:szCs w:val="21"/>
              </w:rPr>
              <w:t>7.23</w:t>
            </w:r>
          </w:p>
        </w:tc>
        <w:tc>
          <w:tcPr>
            <w:tcW w:w="496" w:type="dxa"/>
            <w:shd w:val="clear" w:color="auto" w:fill="auto"/>
            <w:vAlign w:val="center"/>
          </w:tcPr>
          <w:p w:rsidR="00C223F5" w:rsidRDefault="005860D5">
            <w:pPr>
              <w:jc w:val="center"/>
              <w:rPr>
                <w:szCs w:val="21"/>
              </w:rPr>
            </w:pPr>
            <w:r>
              <w:rPr>
                <w:szCs w:val="21"/>
              </w:rPr>
              <w:t>24.2</w:t>
            </w:r>
          </w:p>
        </w:tc>
        <w:tc>
          <w:tcPr>
            <w:tcW w:w="726" w:type="dxa"/>
            <w:shd w:val="clear" w:color="auto" w:fill="auto"/>
            <w:vAlign w:val="center"/>
          </w:tcPr>
          <w:p w:rsidR="00C223F5" w:rsidRDefault="005860D5">
            <w:pPr>
              <w:jc w:val="center"/>
              <w:rPr>
                <w:szCs w:val="21"/>
              </w:rPr>
            </w:pPr>
            <w:r>
              <w:rPr>
                <w:szCs w:val="21"/>
              </w:rPr>
              <w:t>52.34</w:t>
            </w:r>
          </w:p>
        </w:tc>
        <w:tc>
          <w:tcPr>
            <w:tcW w:w="484" w:type="dxa"/>
            <w:shd w:val="clear" w:color="auto" w:fill="auto"/>
            <w:vAlign w:val="center"/>
          </w:tcPr>
          <w:p w:rsidR="00C223F5" w:rsidRDefault="005860D5">
            <w:pPr>
              <w:jc w:val="center"/>
              <w:rPr>
                <w:szCs w:val="21"/>
              </w:rPr>
            </w:pPr>
            <w:r>
              <w:rPr>
                <w:szCs w:val="21"/>
              </w:rPr>
              <w:t>0.74</w:t>
            </w:r>
          </w:p>
        </w:tc>
        <w:tc>
          <w:tcPr>
            <w:tcW w:w="393" w:type="dxa"/>
            <w:shd w:val="clear" w:color="auto" w:fill="auto"/>
            <w:vAlign w:val="center"/>
          </w:tcPr>
          <w:p w:rsidR="00C223F5" w:rsidRDefault="005860D5">
            <w:pPr>
              <w:jc w:val="center"/>
              <w:rPr>
                <w:szCs w:val="21"/>
              </w:rPr>
            </w:pPr>
            <w:r>
              <w:rPr>
                <w:szCs w:val="21"/>
              </w:rPr>
              <w:t>7.2</w:t>
            </w:r>
          </w:p>
        </w:tc>
        <w:tc>
          <w:tcPr>
            <w:tcW w:w="475" w:type="dxa"/>
            <w:shd w:val="clear" w:color="auto" w:fill="auto"/>
            <w:vAlign w:val="center"/>
          </w:tcPr>
          <w:p w:rsidR="00C223F5" w:rsidRDefault="005860D5">
            <w:pPr>
              <w:jc w:val="center"/>
              <w:rPr>
                <w:szCs w:val="21"/>
              </w:rPr>
            </w:pPr>
            <w:r>
              <w:rPr>
                <w:szCs w:val="21"/>
              </w:rPr>
              <w:t>0.86</w:t>
            </w:r>
          </w:p>
        </w:tc>
        <w:tc>
          <w:tcPr>
            <w:tcW w:w="533" w:type="dxa"/>
            <w:shd w:val="clear" w:color="auto" w:fill="auto"/>
            <w:vAlign w:val="center"/>
          </w:tcPr>
          <w:p w:rsidR="00C223F5" w:rsidRDefault="005860D5">
            <w:pPr>
              <w:jc w:val="center"/>
              <w:rPr>
                <w:szCs w:val="21"/>
              </w:rPr>
            </w:pPr>
            <w:r>
              <w:rPr>
                <w:szCs w:val="21"/>
              </w:rPr>
              <w:t>0.77</w:t>
            </w:r>
          </w:p>
        </w:tc>
        <w:tc>
          <w:tcPr>
            <w:tcW w:w="521" w:type="dxa"/>
            <w:vAlign w:val="center"/>
          </w:tcPr>
          <w:p w:rsidR="00C223F5" w:rsidRDefault="005860D5">
            <w:pPr>
              <w:jc w:val="center"/>
              <w:rPr>
                <w:szCs w:val="21"/>
              </w:rPr>
            </w:pPr>
            <w:r>
              <w:rPr>
                <w:szCs w:val="21"/>
              </w:rPr>
              <w:t>9.57</w:t>
            </w:r>
          </w:p>
        </w:tc>
        <w:tc>
          <w:tcPr>
            <w:tcW w:w="520" w:type="dxa"/>
            <w:shd w:val="clear" w:color="auto" w:fill="auto"/>
            <w:vAlign w:val="center"/>
          </w:tcPr>
          <w:p w:rsidR="00C223F5" w:rsidRDefault="005860D5">
            <w:pPr>
              <w:jc w:val="center"/>
              <w:rPr>
                <w:szCs w:val="21"/>
              </w:rPr>
            </w:pPr>
            <w:r>
              <w:rPr>
                <w:szCs w:val="21"/>
              </w:rPr>
              <w:t>8.37</w:t>
            </w:r>
          </w:p>
        </w:tc>
        <w:tc>
          <w:tcPr>
            <w:tcW w:w="518" w:type="dxa"/>
            <w:shd w:val="clear" w:color="auto" w:fill="auto"/>
            <w:vAlign w:val="center"/>
          </w:tcPr>
          <w:p w:rsidR="00C223F5" w:rsidRDefault="005860D5">
            <w:pPr>
              <w:jc w:val="center"/>
              <w:rPr>
                <w:szCs w:val="21"/>
              </w:rPr>
            </w:pPr>
            <w:r>
              <w:rPr>
                <w:szCs w:val="21"/>
              </w:rPr>
              <w:t>34.40</w:t>
            </w:r>
          </w:p>
        </w:tc>
      </w:tr>
      <w:tr w:rsidR="00C223F5" w:rsidTr="006E5984">
        <w:trPr>
          <w:trHeight w:val="397"/>
          <w:jc w:val="center"/>
        </w:trPr>
        <w:tc>
          <w:tcPr>
            <w:tcW w:w="382" w:type="dxa"/>
            <w:shd w:val="clear" w:color="auto" w:fill="auto"/>
            <w:vAlign w:val="center"/>
          </w:tcPr>
          <w:p w:rsidR="00C223F5" w:rsidRDefault="005860D5">
            <w:pPr>
              <w:jc w:val="center"/>
              <w:rPr>
                <w:szCs w:val="21"/>
              </w:rPr>
            </w:pPr>
            <w:r>
              <w:rPr>
                <w:szCs w:val="21"/>
              </w:rPr>
              <w:t>4</w:t>
            </w:r>
            <w:r>
              <w:rPr>
                <w:szCs w:val="21"/>
                <w:vertAlign w:val="superscript"/>
              </w:rPr>
              <w:t>-2</w:t>
            </w:r>
          </w:p>
        </w:tc>
        <w:tc>
          <w:tcPr>
            <w:tcW w:w="668" w:type="dxa"/>
            <w:shd w:val="clear" w:color="auto" w:fill="auto"/>
            <w:vAlign w:val="center"/>
          </w:tcPr>
          <w:p w:rsidR="00C223F5" w:rsidRDefault="005860D5">
            <w:pPr>
              <w:jc w:val="center"/>
              <w:rPr>
                <w:szCs w:val="21"/>
              </w:rPr>
            </w:pPr>
            <w:r>
              <w:rPr>
                <w:szCs w:val="21"/>
              </w:rPr>
              <w:t>31.83</w:t>
            </w:r>
          </w:p>
        </w:tc>
        <w:tc>
          <w:tcPr>
            <w:tcW w:w="675" w:type="dxa"/>
            <w:shd w:val="clear" w:color="auto" w:fill="auto"/>
            <w:vAlign w:val="center"/>
          </w:tcPr>
          <w:p w:rsidR="00C223F5" w:rsidRDefault="005860D5">
            <w:pPr>
              <w:jc w:val="center"/>
              <w:rPr>
                <w:szCs w:val="21"/>
              </w:rPr>
            </w:pPr>
            <w:r>
              <w:rPr>
                <w:szCs w:val="21"/>
              </w:rPr>
              <w:t>25.46</w:t>
            </w:r>
          </w:p>
        </w:tc>
        <w:tc>
          <w:tcPr>
            <w:tcW w:w="504" w:type="dxa"/>
            <w:shd w:val="clear" w:color="auto" w:fill="auto"/>
            <w:vAlign w:val="center"/>
          </w:tcPr>
          <w:p w:rsidR="00C223F5" w:rsidRDefault="005860D5">
            <w:pPr>
              <w:jc w:val="center"/>
              <w:rPr>
                <w:szCs w:val="21"/>
              </w:rPr>
            </w:pPr>
            <w:r>
              <w:rPr>
                <w:szCs w:val="21"/>
              </w:rPr>
              <w:t>0.73</w:t>
            </w:r>
          </w:p>
        </w:tc>
        <w:tc>
          <w:tcPr>
            <w:tcW w:w="486" w:type="dxa"/>
            <w:shd w:val="clear" w:color="auto" w:fill="auto"/>
            <w:vAlign w:val="center"/>
          </w:tcPr>
          <w:p w:rsidR="00C223F5" w:rsidRDefault="005860D5">
            <w:pPr>
              <w:jc w:val="center"/>
              <w:rPr>
                <w:szCs w:val="21"/>
              </w:rPr>
            </w:pPr>
            <w:r>
              <w:rPr>
                <w:szCs w:val="21"/>
              </w:rPr>
              <w:t>0.55</w:t>
            </w:r>
          </w:p>
        </w:tc>
        <w:tc>
          <w:tcPr>
            <w:tcW w:w="390" w:type="dxa"/>
            <w:shd w:val="clear" w:color="auto" w:fill="auto"/>
            <w:vAlign w:val="center"/>
          </w:tcPr>
          <w:p w:rsidR="00C223F5" w:rsidRDefault="005860D5">
            <w:pPr>
              <w:jc w:val="center"/>
              <w:rPr>
                <w:szCs w:val="21"/>
              </w:rPr>
            </w:pPr>
            <w:r>
              <w:rPr>
                <w:szCs w:val="21"/>
              </w:rPr>
              <w:t>2.8</w:t>
            </w:r>
          </w:p>
        </w:tc>
        <w:tc>
          <w:tcPr>
            <w:tcW w:w="422" w:type="dxa"/>
            <w:shd w:val="clear" w:color="auto" w:fill="auto"/>
            <w:vAlign w:val="center"/>
          </w:tcPr>
          <w:p w:rsidR="00C223F5" w:rsidRDefault="005860D5">
            <w:pPr>
              <w:jc w:val="center"/>
              <w:rPr>
                <w:szCs w:val="21"/>
              </w:rPr>
            </w:pPr>
            <w:r>
              <w:rPr>
                <w:szCs w:val="21"/>
              </w:rPr>
              <w:t>2.11</w:t>
            </w:r>
          </w:p>
        </w:tc>
        <w:tc>
          <w:tcPr>
            <w:tcW w:w="496" w:type="dxa"/>
            <w:shd w:val="clear" w:color="auto" w:fill="auto"/>
            <w:vAlign w:val="center"/>
          </w:tcPr>
          <w:p w:rsidR="00C223F5" w:rsidRDefault="005860D5">
            <w:pPr>
              <w:jc w:val="center"/>
              <w:rPr>
                <w:szCs w:val="21"/>
              </w:rPr>
            </w:pPr>
            <w:r>
              <w:rPr>
                <w:szCs w:val="21"/>
              </w:rPr>
              <w:t>1.55</w:t>
            </w:r>
          </w:p>
        </w:tc>
        <w:tc>
          <w:tcPr>
            <w:tcW w:w="496" w:type="dxa"/>
            <w:shd w:val="clear" w:color="auto" w:fill="auto"/>
            <w:vAlign w:val="center"/>
          </w:tcPr>
          <w:p w:rsidR="00C223F5" w:rsidRDefault="005860D5">
            <w:pPr>
              <w:jc w:val="center"/>
              <w:rPr>
                <w:szCs w:val="21"/>
              </w:rPr>
            </w:pPr>
            <w:r>
              <w:rPr>
                <w:szCs w:val="21"/>
              </w:rPr>
              <w:t>7.74</w:t>
            </w:r>
          </w:p>
        </w:tc>
        <w:tc>
          <w:tcPr>
            <w:tcW w:w="726" w:type="dxa"/>
            <w:shd w:val="clear" w:color="auto" w:fill="auto"/>
            <w:vAlign w:val="center"/>
          </w:tcPr>
          <w:p w:rsidR="00C223F5" w:rsidRDefault="005860D5">
            <w:pPr>
              <w:jc w:val="center"/>
              <w:rPr>
                <w:szCs w:val="21"/>
              </w:rPr>
            </w:pPr>
            <w:r>
              <w:rPr>
                <w:szCs w:val="21"/>
              </w:rPr>
              <w:t>17.72</w:t>
            </w:r>
          </w:p>
        </w:tc>
        <w:tc>
          <w:tcPr>
            <w:tcW w:w="484" w:type="dxa"/>
            <w:shd w:val="clear" w:color="auto" w:fill="auto"/>
            <w:vAlign w:val="center"/>
          </w:tcPr>
          <w:p w:rsidR="00C223F5" w:rsidRDefault="005860D5">
            <w:pPr>
              <w:jc w:val="center"/>
              <w:rPr>
                <w:szCs w:val="21"/>
              </w:rPr>
            </w:pPr>
            <w:r>
              <w:rPr>
                <w:szCs w:val="21"/>
              </w:rPr>
              <w:t>0.58</w:t>
            </w:r>
          </w:p>
        </w:tc>
        <w:tc>
          <w:tcPr>
            <w:tcW w:w="393" w:type="dxa"/>
            <w:shd w:val="clear" w:color="auto" w:fill="auto"/>
            <w:vAlign w:val="center"/>
          </w:tcPr>
          <w:p w:rsidR="00C223F5" w:rsidRDefault="005860D5">
            <w:pPr>
              <w:jc w:val="center"/>
              <w:rPr>
                <w:szCs w:val="21"/>
              </w:rPr>
            </w:pPr>
            <w:r>
              <w:rPr>
                <w:szCs w:val="21"/>
              </w:rPr>
              <w:t>2.16</w:t>
            </w:r>
          </w:p>
        </w:tc>
        <w:tc>
          <w:tcPr>
            <w:tcW w:w="475" w:type="dxa"/>
            <w:shd w:val="clear" w:color="auto" w:fill="auto"/>
            <w:vAlign w:val="center"/>
          </w:tcPr>
          <w:p w:rsidR="00C223F5" w:rsidRDefault="005860D5">
            <w:pPr>
              <w:jc w:val="center"/>
              <w:rPr>
                <w:szCs w:val="21"/>
              </w:rPr>
            </w:pPr>
            <w:r>
              <w:rPr>
                <w:szCs w:val="21"/>
              </w:rPr>
              <w:t>0.53</w:t>
            </w:r>
          </w:p>
        </w:tc>
        <w:tc>
          <w:tcPr>
            <w:tcW w:w="533" w:type="dxa"/>
            <w:shd w:val="clear" w:color="auto" w:fill="auto"/>
            <w:vAlign w:val="center"/>
          </w:tcPr>
          <w:p w:rsidR="00C223F5" w:rsidRDefault="005860D5">
            <w:pPr>
              <w:jc w:val="center"/>
              <w:rPr>
                <w:szCs w:val="21"/>
              </w:rPr>
            </w:pPr>
            <w:r>
              <w:rPr>
                <w:szCs w:val="21"/>
              </w:rPr>
              <w:t>0.28</w:t>
            </w:r>
          </w:p>
        </w:tc>
        <w:tc>
          <w:tcPr>
            <w:tcW w:w="521" w:type="dxa"/>
            <w:vAlign w:val="center"/>
          </w:tcPr>
          <w:p w:rsidR="00C223F5" w:rsidRDefault="005860D5">
            <w:pPr>
              <w:jc w:val="center"/>
              <w:rPr>
                <w:szCs w:val="21"/>
              </w:rPr>
            </w:pPr>
            <w:r>
              <w:rPr>
                <w:szCs w:val="21"/>
              </w:rPr>
              <w:t>3.55</w:t>
            </w:r>
          </w:p>
        </w:tc>
        <w:tc>
          <w:tcPr>
            <w:tcW w:w="520" w:type="dxa"/>
            <w:shd w:val="clear" w:color="auto" w:fill="auto"/>
            <w:vAlign w:val="center"/>
          </w:tcPr>
          <w:p w:rsidR="00C223F5" w:rsidRDefault="005860D5">
            <w:pPr>
              <w:jc w:val="center"/>
              <w:rPr>
                <w:szCs w:val="21"/>
              </w:rPr>
            </w:pPr>
            <w:r>
              <w:rPr>
                <w:szCs w:val="21"/>
              </w:rPr>
              <w:t>2.13</w:t>
            </w:r>
          </w:p>
        </w:tc>
        <w:tc>
          <w:tcPr>
            <w:tcW w:w="518" w:type="dxa"/>
            <w:shd w:val="clear" w:color="auto" w:fill="auto"/>
            <w:vAlign w:val="center"/>
          </w:tcPr>
          <w:p w:rsidR="00C223F5" w:rsidRDefault="005860D5">
            <w:pPr>
              <w:jc w:val="center"/>
              <w:rPr>
                <w:szCs w:val="21"/>
              </w:rPr>
            </w:pPr>
            <w:r>
              <w:rPr>
                <w:szCs w:val="21"/>
              </w:rPr>
              <w:t>12.04</w:t>
            </w:r>
          </w:p>
        </w:tc>
      </w:tr>
      <w:tr w:rsidR="00C223F5" w:rsidTr="006E5984">
        <w:trPr>
          <w:trHeight w:val="397"/>
          <w:jc w:val="center"/>
        </w:trPr>
        <w:tc>
          <w:tcPr>
            <w:tcW w:w="382" w:type="dxa"/>
            <w:shd w:val="clear" w:color="auto" w:fill="auto"/>
            <w:vAlign w:val="center"/>
          </w:tcPr>
          <w:p w:rsidR="00C223F5" w:rsidRDefault="005860D5">
            <w:pPr>
              <w:jc w:val="center"/>
              <w:rPr>
                <w:szCs w:val="21"/>
              </w:rPr>
            </w:pPr>
            <w:r>
              <w:rPr>
                <w:rFonts w:hAnsi="宋体"/>
                <w:szCs w:val="21"/>
              </w:rPr>
              <w:t>合计</w:t>
            </w:r>
          </w:p>
        </w:tc>
        <w:tc>
          <w:tcPr>
            <w:tcW w:w="668" w:type="dxa"/>
            <w:shd w:val="clear" w:color="auto" w:fill="auto"/>
            <w:vAlign w:val="center"/>
          </w:tcPr>
          <w:p w:rsidR="00C223F5" w:rsidRDefault="005860D5">
            <w:pPr>
              <w:jc w:val="center"/>
              <w:rPr>
                <w:szCs w:val="21"/>
              </w:rPr>
            </w:pPr>
            <w:r>
              <w:rPr>
                <w:szCs w:val="21"/>
              </w:rPr>
              <w:t>115.88</w:t>
            </w:r>
          </w:p>
        </w:tc>
        <w:tc>
          <w:tcPr>
            <w:tcW w:w="675" w:type="dxa"/>
            <w:shd w:val="clear" w:color="auto" w:fill="auto"/>
            <w:vAlign w:val="center"/>
          </w:tcPr>
          <w:p w:rsidR="00C223F5" w:rsidRDefault="005860D5">
            <w:pPr>
              <w:jc w:val="center"/>
              <w:rPr>
                <w:szCs w:val="21"/>
              </w:rPr>
            </w:pPr>
            <w:r>
              <w:rPr>
                <w:szCs w:val="21"/>
              </w:rPr>
              <w:t>102.00</w:t>
            </w:r>
          </w:p>
        </w:tc>
        <w:tc>
          <w:tcPr>
            <w:tcW w:w="504" w:type="dxa"/>
            <w:shd w:val="clear" w:color="auto" w:fill="auto"/>
            <w:vAlign w:val="center"/>
          </w:tcPr>
          <w:p w:rsidR="00C223F5" w:rsidRDefault="005860D5">
            <w:pPr>
              <w:jc w:val="center"/>
              <w:rPr>
                <w:szCs w:val="21"/>
              </w:rPr>
            </w:pPr>
            <w:r>
              <w:rPr>
                <w:szCs w:val="21"/>
              </w:rPr>
              <w:t>2.18</w:t>
            </w:r>
          </w:p>
        </w:tc>
        <w:tc>
          <w:tcPr>
            <w:tcW w:w="486" w:type="dxa"/>
            <w:shd w:val="clear" w:color="auto" w:fill="auto"/>
            <w:vAlign w:val="center"/>
          </w:tcPr>
          <w:p w:rsidR="00C223F5" w:rsidRDefault="005860D5">
            <w:pPr>
              <w:jc w:val="center"/>
              <w:rPr>
                <w:szCs w:val="21"/>
              </w:rPr>
            </w:pPr>
            <w:r>
              <w:rPr>
                <w:szCs w:val="21"/>
              </w:rPr>
              <w:t>2.24</w:t>
            </w:r>
          </w:p>
        </w:tc>
        <w:tc>
          <w:tcPr>
            <w:tcW w:w="390" w:type="dxa"/>
            <w:shd w:val="clear" w:color="auto" w:fill="auto"/>
            <w:vAlign w:val="center"/>
          </w:tcPr>
          <w:p w:rsidR="00C223F5" w:rsidRDefault="005860D5">
            <w:pPr>
              <w:jc w:val="center"/>
              <w:rPr>
                <w:szCs w:val="21"/>
              </w:rPr>
            </w:pPr>
            <w:r>
              <w:rPr>
                <w:szCs w:val="21"/>
              </w:rPr>
              <w:t>8.91</w:t>
            </w:r>
          </w:p>
        </w:tc>
        <w:tc>
          <w:tcPr>
            <w:tcW w:w="422" w:type="dxa"/>
            <w:shd w:val="clear" w:color="auto" w:fill="auto"/>
            <w:vAlign w:val="center"/>
          </w:tcPr>
          <w:p w:rsidR="00C223F5" w:rsidRDefault="005860D5">
            <w:pPr>
              <w:jc w:val="center"/>
              <w:rPr>
                <w:szCs w:val="21"/>
              </w:rPr>
            </w:pPr>
            <w:r>
              <w:rPr>
                <w:szCs w:val="21"/>
              </w:rPr>
              <w:t>9.83</w:t>
            </w:r>
          </w:p>
        </w:tc>
        <w:tc>
          <w:tcPr>
            <w:tcW w:w="496" w:type="dxa"/>
            <w:shd w:val="clear" w:color="auto" w:fill="auto"/>
            <w:vAlign w:val="center"/>
          </w:tcPr>
          <w:p w:rsidR="00C223F5" w:rsidRDefault="005860D5">
            <w:pPr>
              <w:jc w:val="center"/>
              <w:rPr>
                <w:szCs w:val="21"/>
              </w:rPr>
            </w:pPr>
            <w:r>
              <w:rPr>
                <w:szCs w:val="21"/>
              </w:rPr>
              <w:t>8.78</w:t>
            </w:r>
          </w:p>
        </w:tc>
        <w:tc>
          <w:tcPr>
            <w:tcW w:w="496" w:type="dxa"/>
            <w:shd w:val="clear" w:color="auto" w:fill="auto"/>
            <w:vAlign w:val="center"/>
          </w:tcPr>
          <w:p w:rsidR="00C223F5" w:rsidRDefault="005860D5">
            <w:pPr>
              <w:jc w:val="center"/>
              <w:rPr>
                <w:szCs w:val="21"/>
              </w:rPr>
            </w:pPr>
            <w:r>
              <w:rPr>
                <w:szCs w:val="21"/>
              </w:rPr>
              <w:t>31.94</w:t>
            </w:r>
          </w:p>
        </w:tc>
        <w:tc>
          <w:tcPr>
            <w:tcW w:w="726" w:type="dxa"/>
            <w:shd w:val="clear" w:color="auto" w:fill="auto"/>
            <w:vAlign w:val="center"/>
          </w:tcPr>
          <w:p w:rsidR="00C223F5" w:rsidRDefault="005860D5">
            <w:pPr>
              <w:jc w:val="center"/>
              <w:rPr>
                <w:szCs w:val="21"/>
              </w:rPr>
            </w:pPr>
            <w:r>
              <w:rPr>
                <w:szCs w:val="21"/>
              </w:rPr>
              <w:t>70.06</w:t>
            </w:r>
          </w:p>
        </w:tc>
        <w:tc>
          <w:tcPr>
            <w:tcW w:w="484" w:type="dxa"/>
            <w:shd w:val="clear" w:color="auto" w:fill="auto"/>
            <w:vAlign w:val="center"/>
          </w:tcPr>
          <w:p w:rsidR="00C223F5" w:rsidRDefault="005860D5">
            <w:pPr>
              <w:jc w:val="center"/>
              <w:rPr>
                <w:szCs w:val="21"/>
              </w:rPr>
            </w:pPr>
            <w:r>
              <w:rPr>
                <w:szCs w:val="21"/>
              </w:rPr>
              <w:t>1.32</w:t>
            </w:r>
          </w:p>
        </w:tc>
        <w:tc>
          <w:tcPr>
            <w:tcW w:w="393" w:type="dxa"/>
            <w:shd w:val="clear" w:color="auto" w:fill="auto"/>
            <w:vAlign w:val="center"/>
          </w:tcPr>
          <w:p w:rsidR="00C223F5" w:rsidRDefault="005860D5">
            <w:pPr>
              <w:jc w:val="center"/>
              <w:rPr>
                <w:szCs w:val="21"/>
              </w:rPr>
            </w:pPr>
            <w:r>
              <w:rPr>
                <w:szCs w:val="21"/>
              </w:rPr>
              <w:t>9.36</w:t>
            </w:r>
          </w:p>
        </w:tc>
        <w:tc>
          <w:tcPr>
            <w:tcW w:w="475" w:type="dxa"/>
            <w:shd w:val="clear" w:color="auto" w:fill="auto"/>
            <w:vAlign w:val="center"/>
          </w:tcPr>
          <w:p w:rsidR="00C223F5" w:rsidRDefault="005860D5">
            <w:pPr>
              <w:jc w:val="center"/>
              <w:rPr>
                <w:szCs w:val="21"/>
              </w:rPr>
            </w:pPr>
            <w:r>
              <w:rPr>
                <w:szCs w:val="21"/>
              </w:rPr>
              <w:t>1.39</w:t>
            </w:r>
          </w:p>
        </w:tc>
        <w:tc>
          <w:tcPr>
            <w:tcW w:w="533" w:type="dxa"/>
            <w:shd w:val="clear" w:color="auto" w:fill="auto"/>
            <w:vAlign w:val="center"/>
          </w:tcPr>
          <w:p w:rsidR="00C223F5" w:rsidRDefault="005860D5">
            <w:pPr>
              <w:jc w:val="center"/>
              <w:rPr>
                <w:szCs w:val="21"/>
              </w:rPr>
            </w:pPr>
            <w:r>
              <w:rPr>
                <w:szCs w:val="21"/>
              </w:rPr>
              <w:t>1.05</w:t>
            </w:r>
          </w:p>
        </w:tc>
        <w:tc>
          <w:tcPr>
            <w:tcW w:w="521" w:type="dxa"/>
            <w:vAlign w:val="center"/>
          </w:tcPr>
          <w:p w:rsidR="00C223F5" w:rsidRDefault="005860D5">
            <w:pPr>
              <w:jc w:val="center"/>
              <w:rPr>
                <w:szCs w:val="21"/>
              </w:rPr>
            </w:pPr>
            <w:r>
              <w:rPr>
                <w:szCs w:val="21"/>
              </w:rPr>
              <w:t>13.12</w:t>
            </w:r>
          </w:p>
        </w:tc>
        <w:tc>
          <w:tcPr>
            <w:tcW w:w="520" w:type="dxa"/>
            <w:shd w:val="clear" w:color="auto" w:fill="auto"/>
            <w:vAlign w:val="center"/>
          </w:tcPr>
          <w:p w:rsidR="00C223F5" w:rsidRDefault="005860D5">
            <w:pPr>
              <w:jc w:val="center"/>
              <w:rPr>
                <w:szCs w:val="21"/>
              </w:rPr>
            </w:pPr>
            <w:r>
              <w:rPr>
                <w:szCs w:val="21"/>
              </w:rPr>
              <w:t>10.50</w:t>
            </w:r>
          </w:p>
        </w:tc>
        <w:tc>
          <w:tcPr>
            <w:tcW w:w="518" w:type="dxa"/>
            <w:shd w:val="clear" w:color="auto" w:fill="auto"/>
            <w:vAlign w:val="center"/>
          </w:tcPr>
          <w:p w:rsidR="00C223F5" w:rsidRDefault="005860D5">
            <w:pPr>
              <w:jc w:val="center"/>
              <w:rPr>
                <w:szCs w:val="21"/>
              </w:rPr>
            </w:pPr>
            <w:r>
              <w:rPr>
                <w:szCs w:val="21"/>
              </w:rPr>
              <w:t>46.44</w:t>
            </w:r>
          </w:p>
        </w:tc>
      </w:tr>
    </w:tbl>
    <w:p w:rsidR="00C223F5" w:rsidRDefault="005860D5" w:rsidP="0064552A">
      <w:pPr>
        <w:adjustRightInd w:val="0"/>
        <w:snapToGrid w:val="0"/>
        <w:spacing w:line="360" w:lineRule="auto"/>
        <w:ind w:firstLineChars="200" w:firstLine="480"/>
        <w:rPr>
          <w:rFonts w:hAnsi="宋体"/>
          <w:bCs/>
          <w:sz w:val="24"/>
        </w:rPr>
      </w:pPr>
      <w:r>
        <w:rPr>
          <w:rFonts w:hAnsi="宋体" w:hint="eastAsia"/>
          <w:bCs/>
          <w:sz w:val="24"/>
        </w:rPr>
        <w:t>4</w:t>
      </w:r>
      <w:r>
        <w:rPr>
          <w:rFonts w:hAnsi="宋体"/>
          <w:bCs/>
          <w:sz w:val="24"/>
        </w:rPr>
        <w:t>）开采技术条件</w:t>
      </w:r>
    </w:p>
    <w:p w:rsidR="004771A3" w:rsidRDefault="000F32AE" w:rsidP="004771A3">
      <w:pPr>
        <w:spacing w:line="360" w:lineRule="auto"/>
        <w:ind w:firstLineChars="200" w:firstLine="482"/>
        <w:rPr>
          <w:b/>
          <w:sz w:val="24"/>
        </w:rPr>
      </w:pPr>
      <w:r>
        <w:rPr>
          <w:b/>
          <w:sz w:val="24"/>
        </w:rPr>
        <w:fldChar w:fldCharType="begin"/>
      </w:r>
      <w:r w:rsidR="005860D5">
        <w:rPr>
          <w:b/>
          <w:sz w:val="24"/>
        </w:rPr>
        <w:instrText xml:space="preserve"> = 1 \* GB3 </w:instrText>
      </w:r>
      <w:r>
        <w:rPr>
          <w:b/>
          <w:sz w:val="24"/>
        </w:rPr>
        <w:fldChar w:fldCharType="separate"/>
      </w:r>
      <w:r w:rsidR="005860D5">
        <w:rPr>
          <w:rFonts w:ascii="宋体" w:hAnsi="宋体" w:cs="宋体" w:hint="eastAsia"/>
          <w:b/>
          <w:sz w:val="24"/>
        </w:rPr>
        <w:t>①</w:t>
      </w:r>
      <w:r>
        <w:rPr>
          <w:b/>
          <w:sz w:val="24"/>
        </w:rPr>
        <w:fldChar w:fldCharType="end"/>
      </w:r>
      <w:r w:rsidR="005860D5">
        <w:rPr>
          <w:b/>
          <w:sz w:val="24"/>
        </w:rPr>
        <w:t>煤层顶、底板稳定性</w:t>
      </w:r>
    </w:p>
    <w:p w:rsidR="00C223F5" w:rsidRDefault="005860D5" w:rsidP="004771A3">
      <w:pPr>
        <w:spacing w:line="360" w:lineRule="auto"/>
        <w:ind w:firstLineChars="200" w:firstLine="480"/>
        <w:rPr>
          <w:kern w:val="0"/>
          <w:sz w:val="24"/>
        </w:rPr>
      </w:pPr>
      <w:r>
        <w:rPr>
          <w:rFonts w:hint="eastAsia"/>
          <w:kern w:val="0"/>
          <w:sz w:val="24"/>
        </w:rPr>
        <w:t>本井田</w:t>
      </w:r>
      <w:r>
        <w:rPr>
          <w:rFonts w:hint="eastAsia"/>
          <w:kern w:val="0"/>
          <w:sz w:val="24"/>
        </w:rPr>
        <w:t>4</w:t>
      </w:r>
      <w:r>
        <w:rPr>
          <w:rFonts w:hint="eastAsia"/>
          <w:kern w:val="0"/>
          <w:sz w:val="24"/>
          <w:vertAlign w:val="superscript"/>
        </w:rPr>
        <w:t>-1</w:t>
      </w:r>
      <w:r>
        <w:rPr>
          <w:rFonts w:hint="eastAsia"/>
          <w:kern w:val="0"/>
          <w:sz w:val="24"/>
        </w:rPr>
        <w:t>煤顶板岩性主要为油页岩，次为粉砂岩、泥岩或砂质泥岩；底板岩性主要为砂质泥岩、泥岩、粉砂岩，局部见炭质泥岩、细粒砂岩。</w:t>
      </w:r>
      <w:r>
        <w:rPr>
          <w:rFonts w:hint="eastAsia"/>
          <w:kern w:val="0"/>
          <w:sz w:val="24"/>
        </w:rPr>
        <w:t>4</w:t>
      </w:r>
      <w:r>
        <w:rPr>
          <w:rFonts w:hint="eastAsia"/>
          <w:kern w:val="0"/>
          <w:sz w:val="24"/>
          <w:vertAlign w:val="superscript"/>
        </w:rPr>
        <w:t>-2</w:t>
      </w:r>
      <w:r>
        <w:rPr>
          <w:rFonts w:hint="eastAsia"/>
          <w:kern w:val="0"/>
          <w:sz w:val="24"/>
        </w:rPr>
        <w:t>煤层顶板岩性主要为粉砂岩、砂质泥岩、炭质泥岩，次为粉砂岩；底板岩性主要为泥岩、粉砂岩，局部见砂质泥岩、细粒砂岩。油页岩岩石质量较劣，岩体完整性差；粉砂岩、泥岩及砂质泥岩属较坚硬类岩石</w:t>
      </w:r>
      <w:r>
        <w:rPr>
          <w:rFonts w:hint="eastAsia"/>
          <w:kern w:val="0"/>
          <w:sz w:val="24"/>
        </w:rPr>
        <w:t xml:space="preserve">, </w:t>
      </w:r>
      <w:r>
        <w:rPr>
          <w:rFonts w:hint="eastAsia"/>
          <w:kern w:val="0"/>
          <w:sz w:val="24"/>
        </w:rPr>
        <w:t>岩石质量中等的，岩体中等完整。</w:t>
      </w:r>
    </w:p>
    <w:p w:rsidR="00C223F5" w:rsidRDefault="005860D5" w:rsidP="0064552A">
      <w:pPr>
        <w:spacing w:line="360" w:lineRule="auto"/>
        <w:ind w:firstLineChars="200" w:firstLine="480"/>
        <w:rPr>
          <w:kern w:val="0"/>
          <w:sz w:val="24"/>
        </w:rPr>
      </w:pPr>
      <w:r>
        <w:rPr>
          <w:rFonts w:hint="eastAsia"/>
          <w:sz w:val="24"/>
        </w:rPr>
        <w:t>根据原小天云矿井揭露情况，</w:t>
      </w:r>
      <w:r>
        <w:rPr>
          <w:rFonts w:hint="eastAsia"/>
          <w:kern w:val="0"/>
          <w:sz w:val="24"/>
        </w:rPr>
        <w:t>4</w:t>
      </w:r>
      <w:r>
        <w:rPr>
          <w:rFonts w:hint="eastAsia"/>
          <w:kern w:val="0"/>
          <w:sz w:val="24"/>
          <w:vertAlign w:val="superscript"/>
        </w:rPr>
        <w:t>-1</w:t>
      </w:r>
      <w:r>
        <w:rPr>
          <w:rFonts w:hint="eastAsia"/>
          <w:kern w:val="0"/>
          <w:sz w:val="24"/>
        </w:rPr>
        <w:t>煤</w:t>
      </w:r>
      <w:r>
        <w:rPr>
          <w:rFonts w:hint="eastAsia"/>
          <w:sz w:val="24"/>
        </w:rPr>
        <w:t>煤层顶板稳固性较差，煤层底板局部地段有轻微的底鼓现象。</w:t>
      </w:r>
    </w:p>
    <w:p w:rsidR="00C223F5" w:rsidRPr="00E134B5" w:rsidRDefault="000F32AE" w:rsidP="0064552A">
      <w:pPr>
        <w:spacing w:line="360" w:lineRule="auto"/>
        <w:ind w:firstLineChars="200" w:firstLine="482"/>
        <w:rPr>
          <w:snapToGrid w:val="0"/>
          <w:color w:val="FF0000"/>
          <w:kern w:val="0"/>
          <w:sz w:val="24"/>
        </w:rPr>
      </w:pPr>
      <w:r w:rsidRPr="00E134B5">
        <w:rPr>
          <w:b/>
          <w:color w:val="FF0000"/>
          <w:sz w:val="24"/>
        </w:rPr>
        <w:fldChar w:fldCharType="begin"/>
      </w:r>
      <w:r w:rsidR="005860D5" w:rsidRPr="00E134B5">
        <w:rPr>
          <w:b/>
          <w:color w:val="FF0000"/>
          <w:sz w:val="24"/>
        </w:rPr>
        <w:instrText xml:space="preserve"> = 2 \* GB3 </w:instrText>
      </w:r>
      <w:r w:rsidRPr="00E134B5">
        <w:rPr>
          <w:b/>
          <w:color w:val="FF0000"/>
          <w:sz w:val="24"/>
        </w:rPr>
        <w:fldChar w:fldCharType="separate"/>
      </w:r>
      <w:r w:rsidR="005860D5" w:rsidRPr="00E134B5">
        <w:rPr>
          <w:rFonts w:ascii="宋体" w:hAnsi="宋体"/>
          <w:b/>
          <w:color w:val="FF0000"/>
          <w:sz w:val="24"/>
        </w:rPr>
        <w:t>②</w:t>
      </w:r>
      <w:r w:rsidRPr="00E134B5">
        <w:rPr>
          <w:b/>
          <w:color w:val="FF0000"/>
          <w:sz w:val="24"/>
        </w:rPr>
        <w:fldChar w:fldCharType="end"/>
      </w:r>
      <w:r w:rsidR="005860D5" w:rsidRPr="00E134B5">
        <w:rPr>
          <w:rFonts w:hAnsi="宋体"/>
          <w:b/>
          <w:color w:val="FF0000"/>
          <w:sz w:val="24"/>
        </w:rPr>
        <w:t>瓦斯</w:t>
      </w:r>
      <w:r w:rsidR="005860D5" w:rsidRPr="00E134B5">
        <w:rPr>
          <w:rFonts w:hAnsi="宋体" w:hint="eastAsia"/>
          <w:b/>
          <w:color w:val="FF0000"/>
          <w:sz w:val="24"/>
        </w:rPr>
        <w:t>：</w:t>
      </w:r>
      <w:r w:rsidR="005860D5" w:rsidRPr="00E134B5">
        <w:rPr>
          <w:rFonts w:hAnsi="宋体"/>
          <w:color w:val="FF0000"/>
          <w:sz w:val="24"/>
        </w:rPr>
        <w:t>各煤层瓦斯成分分带属二氧化碳</w:t>
      </w:r>
      <w:r w:rsidR="005860D5" w:rsidRPr="00E134B5">
        <w:rPr>
          <w:color w:val="FF0000"/>
          <w:sz w:val="24"/>
        </w:rPr>
        <w:t>-</w:t>
      </w:r>
      <w:r w:rsidR="005860D5" w:rsidRPr="00E134B5">
        <w:rPr>
          <w:rFonts w:hAnsi="宋体"/>
          <w:color w:val="FF0000"/>
          <w:sz w:val="24"/>
        </w:rPr>
        <w:t>氮气带（</w:t>
      </w:r>
      <w:r w:rsidR="005860D5" w:rsidRPr="00E134B5">
        <w:rPr>
          <w:color w:val="FF0000"/>
          <w:sz w:val="24"/>
        </w:rPr>
        <w:t>CO</w:t>
      </w:r>
      <w:r w:rsidR="005860D5" w:rsidRPr="00E134B5">
        <w:rPr>
          <w:color w:val="FF0000"/>
          <w:sz w:val="24"/>
          <w:vertAlign w:val="subscript"/>
        </w:rPr>
        <w:t>2</w:t>
      </w:r>
      <w:r w:rsidR="005860D5" w:rsidRPr="00E134B5">
        <w:rPr>
          <w:color w:val="FF0000"/>
          <w:sz w:val="24"/>
        </w:rPr>
        <w:t>-N</w:t>
      </w:r>
      <w:r w:rsidR="005860D5" w:rsidRPr="00E134B5">
        <w:rPr>
          <w:color w:val="FF0000"/>
          <w:sz w:val="24"/>
          <w:vertAlign w:val="subscript"/>
        </w:rPr>
        <w:t>2</w:t>
      </w:r>
      <w:r w:rsidR="005860D5" w:rsidRPr="00E134B5">
        <w:rPr>
          <w:rFonts w:hAnsi="宋体"/>
          <w:color w:val="FF0000"/>
          <w:sz w:val="24"/>
        </w:rPr>
        <w:t>）</w:t>
      </w:r>
      <w:r w:rsidR="005860D5" w:rsidRPr="00E134B5">
        <w:rPr>
          <w:rFonts w:hint="eastAsia"/>
          <w:snapToGrid w:val="0"/>
          <w:color w:val="FF0000"/>
          <w:kern w:val="0"/>
          <w:sz w:val="24"/>
        </w:rPr>
        <w:t>，</w:t>
      </w:r>
      <w:r w:rsidR="005860D5" w:rsidRPr="00E134B5">
        <w:rPr>
          <w:rFonts w:hAnsi="宋体"/>
          <w:snapToGrid w:val="0"/>
          <w:color w:val="FF0000"/>
          <w:kern w:val="0"/>
          <w:sz w:val="24"/>
        </w:rPr>
        <w:t>为低瓦斯矿井。</w:t>
      </w:r>
    </w:p>
    <w:p w:rsidR="00C223F5" w:rsidRDefault="005860D5" w:rsidP="0064552A">
      <w:pPr>
        <w:snapToGrid w:val="0"/>
        <w:spacing w:line="360" w:lineRule="auto"/>
        <w:ind w:firstLineChars="200" w:firstLine="482"/>
        <w:textAlignment w:val="center"/>
        <w:rPr>
          <w:snapToGrid w:val="0"/>
          <w:kern w:val="0"/>
          <w:sz w:val="24"/>
        </w:rPr>
      </w:pPr>
      <w:r>
        <w:rPr>
          <w:rFonts w:hAnsi="宋体"/>
          <w:b/>
          <w:sz w:val="24"/>
        </w:rPr>
        <w:t>③煤尘爆炸性</w:t>
      </w:r>
      <w:r>
        <w:rPr>
          <w:rFonts w:hAnsi="宋体" w:hint="eastAsia"/>
          <w:b/>
          <w:sz w:val="24"/>
        </w:rPr>
        <w:t>：</w:t>
      </w:r>
      <w:r>
        <w:rPr>
          <w:rFonts w:hAnsi="宋体"/>
          <w:snapToGrid w:val="0"/>
          <w:kern w:val="0"/>
          <w:sz w:val="24"/>
        </w:rPr>
        <w:t>本矿井各煤层测试的火焰长度均大于</w:t>
      </w:r>
      <w:r>
        <w:rPr>
          <w:snapToGrid w:val="0"/>
          <w:kern w:val="0"/>
          <w:sz w:val="24"/>
        </w:rPr>
        <w:t>≥270mm</w:t>
      </w:r>
      <w:r>
        <w:rPr>
          <w:rFonts w:hAnsi="宋体"/>
          <w:snapToGrid w:val="0"/>
          <w:kern w:val="0"/>
          <w:sz w:val="24"/>
        </w:rPr>
        <w:t>，抑制煤尘爆炸最低岩粉用量在</w:t>
      </w:r>
      <w:r>
        <w:rPr>
          <w:snapToGrid w:val="0"/>
          <w:kern w:val="0"/>
          <w:sz w:val="24"/>
        </w:rPr>
        <w:t>65~70</w:t>
      </w:r>
      <w:r>
        <w:rPr>
          <w:rFonts w:hAnsi="宋体"/>
          <w:snapToGrid w:val="0"/>
          <w:kern w:val="0"/>
          <w:sz w:val="24"/>
        </w:rPr>
        <w:t>％之间，属有爆炸性危险的煤层。</w:t>
      </w:r>
    </w:p>
    <w:p w:rsidR="00C223F5" w:rsidRDefault="000F32AE" w:rsidP="0064552A">
      <w:pPr>
        <w:snapToGrid w:val="0"/>
        <w:spacing w:line="360" w:lineRule="auto"/>
        <w:ind w:firstLineChars="200" w:firstLine="482"/>
        <w:rPr>
          <w:sz w:val="24"/>
        </w:rPr>
      </w:pPr>
      <w:r>
        <w:rPr>
          <w:b/>
          <w:sz w:val="24"/>
        </w:rPr>
        <w:fldChar w:fldCharType="begin"/>
      </w:r>
      <w:r w:rsidR="005860D5">
        <w:rPr>
          <w:b/>
          <w:sz w:val="24"/>
        </w:rPr>
        <w:instrText xml:space="preserve"> = 4 \* GB3 </w:instrText>
      </w:r>
      <w:r>
        <w:rPr>
          <w:b/>
          <w:sz w:val="24"/>
        </w:rPr>
        <w:fldChar w:fldCharType="separate"/>
      </w:r>
      <w:r w:rsidR="005860D5">
        <w:rPr>
          <w:rFonts w:ascii="宋体" w:hAnsi="宋体"/>
          <w:b/>
          <w:sz w:val="24"/>
        </w:rPr>
        <w:t>④</w:t>
      </w:r>
      <w:r>
        <w:rPr>
          <w:b/>
          <w:sz w:val="24"/>
        </w:rPr>
        <w:fldChar w:fldCharType="end"/>
      </w:r>
      <w:r w:rsidR="005860D5">
        <w:rPr>
          <w:rFonts w:hAnsi="宋体"/>
          <w:b/>
          <w:snapToGrid w:val="0"/>
          <w:kern w:val="0"/>
          <w:sz w:val="24"/>
        </w:rPr>
        <w:t>煤的自燃</w:t>
      </w:r>
      <w:r w:rsidR="005860D5">
        <w:rPr>
          <w:rFonts w:hAnsi="宋体" w:hint="eastAsia"/>
          <w:b/>
          <w:snapToGrid w:val="0"/>
          <w:kern w:val="0"/>
          <w:sz w:val="24"/>
        </w:rPr>
        <w:t>：</w:t>
      </w:r>
      <w:r w:rsidR="005860D5">
        <w:rPr>
          <w:rFonts w:hAnsi="宋体"/>
          <w:snapToGrid w:val="0"/>
          <w:kern w:val="0"/>
          <w:sz w:val="24"/>
        </w:rPr>
        <w:t>本矿井各煤层自燃倾向性等级为容易自燃煤层。</w:t>
      </w:r>
    </w:p>
    <w:p w:rsidR="00C223F5" w:rsidRDefault="005860D5" w:rsidP="0064552A">
      <w:pPr>
        <w:snapToGrid w:val="0"/>
        <w:spacing w:line="360" w:lineRule="auto"/>
        <w:ind w:firstLineChars="200" w:firstLine="482"/>
        <w:rPr>
          <w:b/>
          <w:sz w:val="24"/>
        </w:rPr>
      </w:pPr>
      <w:r>
        <w:rPr>
          <w:rFonts w:ascii="宋体" w:hAnsi="宋体"/>
          <w:b/>
          <w:sz w:val="24"/>
        </w:rPr>
        <w:t>⑤</w:t>
      </w:r>
      <w:r>
        <w:rPr>
          <w:b/>
          <w:sz w:val="24"/>
        </w:rPr>
        <w:t>地温：</w:t>
      </w:r>
      <w:r>
        <w:rPr>
          <w:sz w:val="24"/>
        </w:rPr>
        <w:t>井田内无高温区，属地温正常区，无地热危害存在。</w:t>
      </w:r>
    </w:p>
    <w:p w:rsidR="00C223F5" w:rsidRDefault="005860D5" w:rsidP="0064552A">
      <w:pPr>
        <w:snapToGrid w:val="0"/>
        <w:spacing w:line="360" w:lineRule="auto"/>
        <w:ind w:firstLineChars="200" w:firstLine="482"/>
        <w:rPr>
          <w:color w:val="FF0000"/>
          <w:sz w:val="24"/>
        </w:rPr>
      </w:pPr>
      <w:r>
        <w:rPr>
          <w:rFonts w:hAnsi="宋体"/>
          <w:b/>
          <w:sz w:val="24"/>
        </w:rPr>
        <w:t>⑥</w:t>
      </w:r>
      <w:r>
        <w:rPr>
          <w:b/>
          <w:sz w:val="24"/>
        </w:rPr>
        <w:t>其它：</w:t>
      </w:r>
      <w:r>
        <w:rPr>
          <w:rFonts w:hAnsi="宋体"/>
          <w:snapToGrid w:val="0"/>
          <w:kern w:val="0"/>
          <w:sz w:val="24"/>
        </w:rPr>
        <w:t>天云井田总体为一走向北东、倾向北西，倾角小于</w:t>
      </w:r>
      <w:r>
        <w:rPr>
          <w:snapToGrid w:val="0"/>
          <w:kern w:val="0"/>
          <w:sz w:val="24"/>
        </w:rPr>
        <w:t>1°</w:t>
      </w:r>
      <w:r>
        <w:rPr>
          <w:rFonts w:hAnsi="宋体"/>
          <w:snapToGrid w:val="0"/>
          <w:kern w:val="0"/>
          <w:sz w:val="24"/>
        </w:rPr>
        <w:t>的单斜构造，构造类型属简单类；首采的</w:t>
      </w:r>
      <w:r>
        <w:rPr>
          <w:snapToGrid w:val="0"/>
          <w:kern w:val="0"/>
          <w:sz w:val="24"/>
        </w:rPr>
        <w:t>4</w:t>
      </w:r>
      <w:r>
        <w:rPr>
          <w:snapToGrid w:val="0"/>
          <w:kern w:val="0"/>
          <w:sz w:val="24"/>
          <w:vertAlign w:val="superscript"/>
        </w:rPr>
        <w:t>-1</w:t>
      </w:r>
      <w:r>
        <w:rPr>
          <w:rFonts w:hAnsi="宋体"/>
          <w:snapToGrid w:val="0"/>
          <w:kern w:val="0"/>
          <w:sz w:val="24"/>
        </w:rPr>
        <w:t>煤层厚度及层位稳定，结构简单、煤类单一，为大部可采的稳定型薄</w:t>
      </w:r>
      <w:r>
        <w:rPr>
          <w:snapToGrid w:val="0"/>
          <w:kern w:val="0"/>
          <w:sz w:val="24"/>
        </w:rPr>
        <w:t>-</w:t>
      </w:r>
      <w:r>
        <w:rPr>
          <w:rFonts w:hAnsi="宋体"/>
          <w:snapToGrid w:val="0"/>
          <w:kern w:val="0"/>
          <w:sz w:val="24"/>
        </w:rPr>
        <w:t>中厚煤层，煤层稳定类型属一型；天云煤矿勘查类型属一类一型，</w:t>
      </w:r>
      <w:r>
        <w:rPr>
          <w:rFonts w:hAnsi="宋体"/>
          <w:sz w:val="24"/>
        </w:rPr>
        <w:t>水文地质类型属于中等类型。</w:t>
      </w: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189" w:name="_Toc533604707"/>
      <w:bookmarkStart w:id="190" w:name="_Toc533604287"/>
      <w:bookmarkStart w:id="191" w:name="_Toc16785252"/>
      <w:r>
        <w:rPr>
          <w:rFonts w:ascii="Times New Roman" w:eastAsia="宋体" w:hAnsi="Times New Roman" w:hint="eastAsia"/>
          <w:b/>
          <w:bCs w:val="0"/>
          <w:szCs w:val="30"/>
        </w:rPr>
        <w:lastRenderedPageBreak/>
        <w:t>2.2</w:t>
      </w:r>
      <w:r>
        <w:rPr>
          <w:rFonts w:ascii="Times New Roman" w:eastAsia="宋体" w:hAnsi="Times New Roman" w:hint="eastAsia"/>
          <w:b/>
          <w:bCs w:val="0"/>
          <w:szCs w:val="30"/>
        </w:rPr>
        <w:t>工程分析</w:t>
      </w:r>
      <w:bookmarkEnd w:id="189"/>
      <w:bookmarkEnd w:id="190"/>
      <w:bookmarkEnd w:id="191"/>
    </w:p>
    <w:p w:rsidR="00C223F5" w:rsidRDefault="005860D5" w:rsidP="004835BD">
      <w:pPr>
        <w:pStyle w:val="3"/>
        <w:numPr>
          <w:ilvl w:val="0"/>
          <w:numId w:val="0"/>
        </w:numPr>
        <w:spacing w:before="0" w:after="0" w:line="360" w:lineRule="auto"/>
        <w:ind w:left="170"/>
        <w:rPr>
          <w:rFonts w:eastAsia="宋体"/>
          <w:b/>
          <w:bCs w:val="0"/>
          <w:sz w:val="28"/>
          <w:szCs w:val="28"/>
        </w:rPr>
      </w:pPr>
      <w:bookmarkStart w:id="192" w:name="_Toc533604708"/>
      <w:bookmarkStart w:id="193" w:name="_Toc533604288"/>
      <w:bookmarkStart w:id="194" w:name="_Toc16785253"/>
      <w:r>
        <w:rPr>
          <w:rFonts w:eastAsia="宋体" w:hint="eastAsia"/>
          <w:b/>
          <w:bCs w:val="0"/>
          <w:sz w:val="28"/>
          <w:szCs w:val="28"/>
        </w:rPr>
        <w:t>2.2.1</w:t>
      </w:r>
      <w:r>
        <w:rPr>
          <w:rFonts w:eastAsia="宋体"/>
          <w:b/>
          <w:bCs w:val="0"/>
          <w:sz w:val="28"/>
          <w:szCs w:val="28"/>
        </w:rPr>
        <w:t>井田开拓</w:t>
      </w:r>
      <w:r>
        <w:rPr>
          <w:rFonts w:eastAsia="宋体" w:hint="eastAsia"/>
          <w:b/>
          <w:bCs w:val="0"/>
          <w:sz w:val="28"/>
          <w:szCs w:val="28"/>
        </w:rPr>
        <w:t>及开采</w:t>
      </w:r>
      <w:bookmarkEnd w:id="192"/>
      <w:bookmarkEnd w:id="193"/>
      <w:bookmarkEnd w:id="194"/>
    </w:p>
    <w:p w:rsidR="00C223F5" w:rsidRDefault="005860D5" w:rsidP="00C006A7">
      <w:pPr>
        <w:pStyle w:val="aff1"/>
        <w:tabs>
          <w:tab w:val="clear" w:pos="5781"/>
        </w:tabs>
        <w:spacing w:line="360" w:lineRule="auto"/>
        <w:ind w:left="0" w:firstLineChars="200" w:firstLine="482"/>
        <w:rPr>
          <w:b/>
          <w:szCs w:val="24"/>
        </w:rPr>
      </w:pPr>
      <w:r>
        <w:rPr>
          <w:b/>
          <w:szCs w:val="24"/>
        </w:rPr>
        <w:t>（一）井田开拓方式及水平划分</w:t>
      </w:r>
    </w:p>
    <w:p w:rsidR="00C223F5" w:rsidRDefault="005860D5" w:rsidP="0064552A">
      <w:pPr>
        <w:spacing w:line="360" w:lineRule="auto"/>
        <w:ind w:firstLineChars="200" w:firstLine="480"/>
        <w:rPr>
          <w:sz w:val="24"/>
        </w:rPr>
      </w:pPr>
      <w:r>
        <w:rPr>
          <w:rFonts w:hAnsi="宋体"/>
          <w:sz w:val="24"/>
        </w:rPr>
        <w:t>矿井移交生产时，</w:t>
      </w:r>
      <w:r>
        <w:rPr>
          <w:rFonts w:hAnsi="宋体"/>
          <w:bCs/>
          <w:sz w:val="24"/>
        </w:rPr>
        <w:t>利用原有小天云矿井工业场地，</w:t>
      </w:r>
      <w:r>
        <w:rPr>
          <w:rFonts w:hAnsi="宋体"/>
          <w:sz w:val="24"/>
        </w:rPr>
        <w:t>共布置四条井筒，</w:t>
      </w:r>
      <w:r>
        <w:rPr>
          <w:rFonts w:hAnsi="宋体"/>
          <w:snapToGrid w:val="0"/>
          <w:spacing w:val="-4"/>
          <w:kern w:val="0"/>
          <w:sz w:val="24"/>
        </w:rPr>
        <w:t>即主斜井</w:t>
      </w:r>
      <w:r>
        <w:rPr>
          <w:rFonts w:hAnsi="宋体" w:hint="eastAsia"/>
          <w:snapToGrid w:val="0"/>
          <w:spacing w:val="-4"/>
          <w:kern w:val="0"/>
          <w:sz w:val="24"/>
        </w:rPr>
        <w:t>（</w:t>
      </w:r>
      <w:r>
        <w:rPr>
          <w:rFonts w:hAnsi="宋体"/>
          <w:snapToGrid w:val="0"/>
          <w:spacing w:val="-4"/>
          <w:kern w:val="0"/>
          <w:sz w:val="24"/>
        </w:rPr>
        <w:t>新建</w:t>
      </w:r>
      <w:r>
        <w:rPr>
          <w:rFonts w:hAnsi="宋体" w:hint="eastAsia"/>
          <w:snapToGrid w:val="0"/>
          <w:spacing w:val="-4"/>
          <w:kern w:val="0"/>
          <w:sz w:val="24"/>
        </w:rPr>
        <w:t>）</w:t>
      </w:r>
      <w:r>
        <w:rPr>
          <w:rFonts w:hAnsi="宋体"/>
          <w:snapToGrid w:val="0"/>
          <w:spacing w:val="-4"/>
          <w:kern w:val="0"/>
          <w:sz w:val="24"/>
        </w:rPr>
        <w:t>、副斜井（新建）、回风立井（利用</w:t>
      </w:r>
      <w:r>
        <w:rPr>
          <w:rFonts w:hAnsi="宋体"/>
          <w:bCs/>
          <w:sz w:val="24"/>
        </w:rPr>
        <w:t>原主立井改造</w:t>
      </w:r>
      <w:r>
        <w:rPr>
          <w:rFonts w:hAnsi="宋体"/>
          <w:snapToGrid w:val="0"/>
          <w:spacing w:val="-4"/>
          <w:kern w:val="0"/>
          <w:sz w:val="24"/>
        </w:rPr>
        <w:t>）以及回风暗立井（利用</w:t>
      </w:r>
      <w:r>
        <w:rPr>
          <w:rFonts w:hAnsi="宋体"/>
          <w:bCs/>
          <w:sz w:val="24"/>
        </w:rPr>
        <w:t>原副立井改造</w:t>
      </w:r>
      <w:r>
        <w:rPr>
          <w:rFonts w:hAnsi="宋体"/>
          <w:snapToGrid w:val="0"/>
          <w:spacing w:val="-4"/>
          <w:kern w:val="0"/>
          <w:sz w:val="24"/>
        </w:rPr>
        <w:t>）。</w:t>
      </w:r>
      <w:r>
        <w:rPr>
          <w:sz w:val="24"/>
        </w:rPr>
        <w:t>矿井可采煤层</w:t>
      </w:r>
      <w:r>
        <w:rPr>
          <w:sz w:val="24"/>
        </w:rPr>
        <w:t>4</w:t>
      </w:r>
      <w:r>
        <w:rPr>
          <w:sz w:val="24"/>
          <w:vertAlign w:val="superscript"/>
        </w:rPr>
        <w:t>-1</w:t>
      </w:r>
      <w:r>
        <w:rPr>
          <w:sz w:val="24"/>
        </w:rPr>
        <w:t>、</w:t>
      </w:r>
      <w:r>
        <w:rPr>
          <w:sz w:val="24"/>
        </w:rPr>
        <w:t>4</w:t>
      </w:r>
      <w:r>
        <w:rPr>
          <w:sz w:val="24"/>
          <w:vertAlign w:val="superscript"/>
        </w:rPr>
        <w:t>-2</w:t>
      </w:r>
      <w:r>
        <w:rPr>
          <w:sz w:val="24"/>
        </w:rPr>
        <w:t>煤划分为一个煤组联合开采，一个水平，水平大巷布置在主采煤层</w:t>
      </w:r>
      <w:r>
        <w:rPr>
          <w:sz w:val="24"/>
        </w:rPr>
        <w:t>4</w:t>
      </w:r>
      <w:r>
        <w:rPr>
          <w:sz w:val="24"/>
          <w:vertAlign w:val="superscript"/>
        </w:rPr>
        <w:t>-1</w:t>
      </w:r>
      <w:r>
        <w:rPr>
          <w:sz w:val="24"/>
        </w:rPr>
        <w:t>煤层中，水平标高</w:t>
      </w:r>
      <w:r>
        <w:rPr>
          <w:sz w:val="24"/>
        </w:rPr>
        <w:t>+880m</w:t>
      </w:r>
      <w:r>
        <w:rPr>
          <w:sz w:val="24"/>
        </w:rPr>
        <w:t>。</w:t>
      </w:r>
    </w:p>
    <w:p w:rsidR="00C223F5" w:rsidRDefault="005860D5" w:rsidP="0064552A">
      <w:pPr>
        <w:pStyle w:val="24"/>
        <w:rPr>
          <w:color w:val="FF0000"/>
        </w:rPr>
      </w:pPr>
      <w:r>
        <w:t>井筒落底后，沿井田中央南北向在</w:t>
      </w:r>
      <w:r>
        <w:t>4</w:t>
      </w:r>
      <w:r>
        <w:rPr>
          <w:vertAlign w:val="superscript"/>
        </w:rPr>
        <w:t>-1</w:t>
      </w:r>
      <w:r>
        <w:t>煤层中厚煤层区域分界处布置一组大巷（分三段，北翼、中央、南翼大巷）贯穿井田，将</w:t>
      </w:r>
      <w:r>
        <w:t>4</w:t>
      </w:r>
      <w:r>
        <w:rPr>
          <w:vertAlign w:val="superscript"/>
        </w:rPr>
        <w:t>-1</w:t>
      </w:r>
      <w:r>
        <w:t>煤层中厚煤层区和薄煤层区划分开，再沿井田西侧（拐点</w:t>
      </w:r>
      <w:r>
        <w:t>9</w:t>
      </w:r>
      <w:r>
        <w:t>、</w:t>
      </w:r>
      <w:r>
        <w:t>10</w:t>
      </w:r>
      <w:r>
        <w:t>连线）东西向布置一组西翼大巷贯穿井田中部，与南北大巷相接。其中北翼大巷北段下穿原小天云煤矿南部采空区</w:t>
      </w:r>
      <w:r>
        <w:t>25m</w:t>
      </w:r>
      <w:r>
        <w:t>与主、副井及北翼总回风巷相接；井下大巷大致呈</w:t>
      </w:r>
      <w:r>
        <w:t>“</w:t>
      </w:r>
      <w:r>
        <w:rPr>
          <w:noProof/>
        </w:rPr>
        <w:drawing>
          <wp:inline distT="0" distB="0" distL="0" distR="0">
            <wp:extent cx="171450" cy="209550"/>
            <wp:effectExtent l="19050" t="0" r="0" b="0"/>
            <wp:docPr id="180" name="图片 180" descr="135173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1351731251"/>
                    <pic:cNvPicPr>
                      <a:picLocks noChangeAspect="1" noChangeArrowheads="1"/>
                    </pic:cNvPicPr>
                  </pic:nvPicPr>
                  <pic:blipFill>
                    <a:blip r:embed="rId20" cstate="print"/>
                    <a:srcRect/>
                    <a:stretch>
                      <a:fillRect/>
                    </a:stretch>
                  </pic:blipFill>
                  <pic:spPr>
                    <a:xfrm>
                      <a:off x="0" y="0"/>
                      <a:ext cx="171450" cy="209550"/>
                    </a:xfrm>
                    <a:prstGeom prst="rect">
                      <a:avLst/>
                    </a:prstGeom>
                    <a:noFill/>
                    <a:ln w="9525">
                      <a:noFill/>
                      <a:miter lim="800000"/>
                      <a:headEnd/>
                      <a:tailEnd/>
                    </a:ln>
                  </pic:spPr>
                </pic:pic>
              </a:graphicData>
            </a:graphic>
          </wp:inline>
        </w:drawing>
      </w:r>
      <w:r>
        <w:t>”</w:t>
      </w:r>
      <w:r>
        <w:t>字型。</w:t>
      </w:r>
      <w:r>
        <w:t>4</w:t>
      </w:r>
      <w:r>
        <w:rPr>
          <w:vertAlign w:val="superscript"/>
        </w:rPr>
        <w:t>-2</w:t>
      </w:r>
      <w:r>
        <w:t>煤层利用水平大巷（</w:t>
      </w:r>
      <w:r>
        <w:t>4</w:t>
      </w:r>
      <w:r>
        <w:rPr>
          <w:vertAlign w:val="superscript"/>
        </w:rPr>
        <w:t>-1</w:t>
      </w:r>
      <w:r>
        <w:t>煤）条带式开采，即</w:t>
      </w:r>
      <w:r>
        <w:t>4</w:t>
      </w:r>
      <w:r>
        <w:rPr>
          <w:vertAlign w:val="superscript"/>
        </w:rPr>
        <w:t>-2</w:t>
      </w:r>
      <w:r>
        <w:t>煤层工作面主运输、辅助运输及回风直接与水平大巷（</w:t>
      </w:r>
      <w:r>
        <w:t>4</w:t>
      </w:r>
      <w:r>
        <w:rPr>
          <w:vertAlign w:val="superscript"/>
        </w:rPr>
        <w:t>-1</w:t>
      </w:r>
      <w:r>
        <w:t>煤）斜巷连接。井筒特征见表</w:t>
      </w:r>
      <w:r>
        <w:t>2.2.1-1</w:t>
      </w:r>
      <w:r>
        <w:t>。井田开拓方式平面图见图</w:t>
      </w:r>
      <w:r>
        <w:t>2.2.1-1~</w:t>
      </w:r>
      <w:r>
        <w:t>图</w:t>
      </w:r>
      <w:r>
        <w:t>2.2.1-</w:t>
      </w:r>
      <w:r>
        <w:rPr>
          <w:rFonts w:hint="eastAsia"/>
        </w:rPr>
        <w:t>2</w:t>
      </w:r>
      <w:r>
        <w:t>。</w:t>
      </w:r>
    </w:p>
    <w:p w:rsidR="00C223F5" w:rsidRDefault="005860D5" w:rsidP="0064552A">
      <w:pPr>
        <w:pStyle w:val="36"/>
        <w:adjustRightInd w:val="0"/>
        <w:snapToGrid w:val="0"/>
        <w:spacing w:line="240" w:lineRule="auto"/>
        <w:ind w:firstLineChars="0" w:firstLine="0"/>
        <w:jc w:val="center"/>
        <w:rPr>
          <w:b/>
          <w:bCs/>
        </w:rPr>
      </w:pPr>
      <w:r>
        <w:rPr>
          <w:b/>
        </w:rPr>
        <w:t>表</w:t>
      </w:r>
      <w:r>
        <w:rPr>
          <w:rFonts w:hint="eastAsia"/>
          <w:b/>
        </w:rPr>
        <w:t>2.2</w:t>
      </w:r>
      <w:r>
        <w:rPr>
          <w:b/>
        </w:rPr>
        <w:t>.2-</w:t>
      </w:r>
      <w:r>
        <w:rPr>
          <w:rFonts w:hint="eastAsia"/>
          <w:b/>
        </w:rPr>
        <w:t>1</w:t>
      </w:r>
      <w:r>
        <w:rPr>
          <w:b/>
        </w:rPr>
        <w:t xml:space="preserve">　　井筒特征表</w:t>
      </w:r>
    </w:p>
    <w:tbl>
      <w:tblPr>
        <w:tblW w:w="95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 w:type="dxa"/>
          <w:right w:w="11" w:type="dxa"/>
        </w:tblCellMar>
        <w:tblLook w:val="04A0" w:firstRow="1" w:lastRow="0" w:firstColumn="1" w:lastColumn="0" w:noHBand="0" w:noVBand="1"/>
      </w:tblPr>
      <w:tblGrid>
        <w:gridCol w:w="470"/>
        <w:gridCol w:w="627"/>
        <w:gridCol w:w="717"/>
        <w:gridCol w:w="739"/>
        <w:gridCol w:w="474"/>
        <w:gridCol w:w="1795"/>
        <w:gridCol w:w="1646"/>
        <w:gridCol w:w="1568"/>
        <w:gridCol w:w="1492"/>
      </w:tblGrid>
      <w:tr w:rsidR="00C223F5">
        <w:trPr>
          <w:trHeight w:val="75"/>
          <w:jc w:val="center"/>
        </w:trPr>
        <w:tc>
          <w:tcPr>
            <w:tcW w:w="470" w:type="dxa"/>
            <w:vMerge w:val="restart"/>
            <w:vAlign w:val="center"/>
          </w:tcPr>
          <w:p w:rsidR="00C223F5" w:rsidRDefault="005860D5">
            <w:pPr>
              <w:spacing w:line="280" w:lineRule="exact"/>
              <w:jc w:val="center"/>
              <w:rPr>
                <w:b/>
                <w:bCs/>
                <w:szCs w:val="21"/>
              </w:rPr>
            </w:pPr>
            <w:r>
              <w:rPr>
                <w:rFonts w:hAnsi="宋体"/>
                <w:b/>
                <w:bCs/>
                <w:szCs w:val="21"/>
              </w:rPr>
              <w:t>序号</w:t>
            </w:r>
          </w:p>
        </w:tc>
        <w:tc>
          <w:tcPr>
            <w:tcW w:w="2083" w:type="dxa"/>
            <w:gridSpan w:val="3"/>
            <w:vMerge w:val="restart"/>
            <w:vAlign w:val="center"/>
          </w:tcPr>
          <w:p w:rsidR="00C223F5" w:rsidRDefault="005860D5">
            <w:pPr>
              <w:spacing w:line="280" w:lineRule="exact"/>
              <w:jc w:val="center"/>
              <w:rPr>
                <w:b/>
                <w:bCs/>
                <w:szCs w:val="21"/>
              </w:rPr>
            </w:pPr>
            <w:r>
              <w:rPr>
                <w:rFonts w:hAnsi="宋体"/>
                <w:b/>
                <w:bCs/>
                <w:szCs w:val="21"/>
              </w:rPr>
              <w:t>井筒特征</w:t>
            </w:r>
          </w:p>
        </w:tc>
        <w:tc>
          <w:tcPr>
            <w:tcW w:w="474" w:type="dxa"/>
            <w:vMerge w:val="restart"/>
            <w:vAlign w:val="center"/>
          </w:tcPr>
          <w:p w:rsidR="00C223F5" w:rsidRDefault="005860D5">
            <w:pPr>
              <w:spacing w:line="280" w:lineRule="exact"/>
              <w:jc w:val="center"/>
              <w:rPr>
                <w:b/>
                <w:bCs/>
                <w:szCs w:val="21"/>
              </w:rPr>
            </w:pPr>
            <w:r>
              <w:rPr>
                <w:rFonts w:hAnsi="宋体"/>
                <w:b/>
                <w:bCs/>
                <w:szCs w:val="21"/>
              </w:rPr>
              <w:t>单位</w:t>
            </w:r>
          </w:p>
        </w:tc>
        <w:tc>
          <w:tcPr>
            <w:tcW w:w="6501" w:type="dxa"/>
            <w:gridSpan w:val="4"/>
            <w:vAlign w:val="center"/>
          </w:tcPr>
          <w:p w:rsidR="00C223F5" w:rsidRDefault="005860D5">
            <w:pPr>
              <w:spacing w:line="280" w:lineRule="exact"/>
              <w:jc w:val="center"/>
              <w:rPr>
                <w:b/>
                <w:bCs/>
                <w:szCs w:val="21"/>
              </w:rPr>
            </w:pPr>
            <w:r>
              <w:rPr>
                <w:rFonts w:hAnsi="宋体"/>
                <w:b/>
                <w:bCs/>
                <w:szCs w:val="21"/>
              </w:rPr>
              <w:t>井筒名称</w:t>
            </w:r>
          </w:p>
        </w:tc>
      </w:tr>
      <w:tr w:rsidR="00C223F5">
        <w:trPr>
          <w:trHeight w:val="75"/>
          <w:jc w:val="center"/>
        </w:trPr>
        <w:tc>
          <w:tcPr>
            <w:tcW w:w="470" w:type="dxa"/>
            <w:vMerge/>
            <w:vAlign w:val="center"/>
          </w:tcPr>
          <w:p w:rsidR="00C223F5" w:rsidRDefault="00C223F5">
            <w:pPr>
              <w:spacing w:line="280" w:lineRule="exact"/>
              <w:jc w:val="center"/>
              <w:rPr>
                <w:b/>
                <w:bCs/>
                <w:szCs w:val="21"/>
              </w:rPr>
            </w:pPr>
          </w:p>
        </w:tc>
        <w:tc>
          <w:tcPr>
            <w:tcW w:w="2083" w:type="dxa"/>
            <w:gridSpan w:val="3"/>
            <w:vMerge/>
            <w:vAlign w:val="center"/>
          </w:tcPr>
          <w:p w:rsidR="00C223F5" w:rsidRDefault="00C223F5">
            <w:pPr>
              <w:spacing w:line="280" w:lineRule="exact"/>
              <w:jc w:val="center"/>
              <w:rPr>
                <w:b/>
                <w:bCs/>
                <w:szCs w:val="21"/>
              </w:rPr>
            </w:pPr>
          </w:p>
        </w:tc>
        <w:tc>
          <w:tcPr>
            <w:tcW w:w="474" w:type="dxa"/>
            <w:vMerge/>
            <w:vAlign w:val="center"/>
          </w:tcPr>
          <w:p w:rsidR="00C223F5" w:rsidRDefault="00C223F5">
            <w:pPr>
              <w:spacing w:line="280" w:lineRule="exact"/>
              <w:jc w:val="center"/>
              <w:rPr>
                <w:b/>
                <w:bCs/>
                <w:szCs w:val="21"/>
              </w:rPr>
            </w:pPr>
          </w:p>
        </w:tc>
        <w:tc>
          <w:tcPr>
            <w:tcW w:w="1795" w:type="dxa"/>
            <w:vAlign w:val="center"/>
          </w:tcPr>
          <w:p w:rsidR="00C223F5" w:rsidRDefault="005860D5">
            <w:pPr>
              <w:spacing w:line="280" w:lineRule="exact"/>
              <w:jc w:val="center"/>
              <w:rPr>
                <w:b/>
                <w:bCs/>
                <w:szCs w:val="21"/>
              </w:rPr>
            </w:pPr>
            <w:r>
              <w:rPr>
                <w:rFonts w:hAnsi="宋体"/>
                <w:b/>
                <w:bCs/>
                <w:szCs w:val="21"/>
              </w:rPr>
              <w:t>主斜井</w:t>
            </w:r>
          </w:p>
        </w:tc>
        <w:tc>
          <w:tcPr>
            <w:tcW w:w="1646" w:type="dxa"/>
            <w:vAlign w:val="center"/>
          </w:tcPr>
          <w:p w:rsidR="00C223F5" w:rsidRDefault="005860D5">
            <w:pPr>
              <w:spacing w:line="280" w:lineRule="exact"/>
              <w:jc w:val="center"/>
              <w:rPr>
                <w:b/>
                <w:bCs/>
                <w:szCs w:val="21"/>
              </w:rPr>
            </w:pPr>
            <w:r>
              <w:rPr>
                <w:rFonts w:hAnsi="宋体"/>
                <w:b/>
                <w:bCs/>
                <w:szCs w:val="21"/>
              </w:rPr>
              <w:t>副斜井</w:t>
            </w:r>
          </w:p>
        </w:tc>
        <w:tc>
          <w:tcPr>
            <w:tcW w:w="1568" w:type="dxa"/>
            <w:vAlign w:val="center"/>
          </w:tcPr>
          <w:p w:rsidR="00C223F5" w:rsidRDefault="005860D5">
            <w:pPr>
              <w:spacing w:line="280" w:lineRule="exact"/>
              <w:jc w:val="center"/>
              <w:rPr>
                <w:rFonts w:hAnsi="宋体"/>
                <w:b/>
                <w:bCs/>
                <w:szCs w:val="21"/>
              </w:rPr>
            </w:pPr>
            <w:r>
              <w:rPr>
                <w:rFonts w:hAnsi="宋体"/>
                <w:b/>
                <w:bCs/>
                <w:szCs w:val="21"/>
              </w:rPr>
              <w:t>回风立井</w:t>
            </w:r>
          </w:p>
          <w:p w:rsidR="00C223F5" w:rsidRDefault="005860D5">
            <w:pPr>
              <w:spacing w:line="280" w:lineRule="exact"/>
              <w:jc w:val="center"/>
              <w:rPr>
                <w:rFonts w:hAnsi="宋体"/>
                <w:b/>
                <w:bCs/>
                <w:szCs w:val="21"/>
              </w:rPr>
            </w:pPr>
            <w:r>
              <w:rPr>
                <w:rFonts w:hint="eastAsia"/>
                <w:b/>
                <w:bCs/>
                <w:szCs w:val="21"/>
              </w:rPr>
              <w:t>（原主立井）</w:t>
            </w:r>
          </w:p>
        </w:tc>
        <w:tc>
          <w:tcPr>
            <w:tcW w:w="1492" w:type="dxa"/>
            <w:vAlign w:val="center"/>
          </w:tcPr>
          <w:p w:rsidR="00C223F5" w:rsidRDefault="005860D5">
            <w:pPr>
              <w:spacing w:line="280" w:lineRule="exact"/>
              <w:jc w:val="center"/>
              <w:rPr>
                <w:rFonts w:hAnsi="宋体"/>
                <w:b/>
                <w:bCs/>
                <w:szCs w:val="21"/>
              </w:rPr>
            </w:pPr>
            <w:r>
              <w:rPr>
                <w:rFonts w:hAnsi="宋体"/>
                <w:b/>
                <w:bCs/>
                <w:szCs w:val="21"/>
              </w:rPr>
              <w:t>回风暗立井</w:t>
            </w:r>
          </w:p>
          <w:p w:rsidR="00C223F5" w:rsidRDefault="005860D5">
            <w:pPr>
              <w:spacing w:line="280" w:lineRule="exact"/>
              <w:jc w:val="center"/>
              <w:rPr>
                <w:rFonts w:hAnsi="宋体"/>
                <w:b/>
                <w:bCs/>
                <w:szCs w:val="21"/>
              </w:rPr>
            </w:pPr>
            <w:r>
              <w:rPr>
                <w:rFonts w:hint="eastAsia"/>
                <w:b/>
                <w:bCs/>
                <w:szCs w:val="21"/>
              </w:rPr>
              <w:t>（原副立井）</w:t>
            </w:r>
          </w:p>
        </w:tc>
      </w:tr>
      <w:tr w:rsidR="00C223F5">
        <w:trPr>
          <w:trHeight w:val="284"/>
          <w:jc w:val="center"/>
        </w:trPr>
        <w:tc>
          <w:tcPr>
            <w:tcW w:w="470" w:type="dxa"/>
            <w:vMerge w:val="restart"/>
            <w:vAlign w:val="center"/>
          </w:tcPr>
          <w:p w:rsidR="00C223F5" w:rsidRDefault="005860D5">
            <w:pPr>
              <w:spacing w:line="280" w:lineRule="exact"/>
              <w:jc w:val="center"/>
              <w:rPr>
                <w:b/>
                <w:szCs w:val="21"/>
              </w:rPr>
            </w:pPr>
            <w:r>
              <w:rPr>
                <w:b/>
                <w:szCs w:val="21"/>
              </w:rPr>
              <w:t>1</w:t>
            </w:r>
          </w:p>
        </w:tc>
        <w:tc>
          <w:tcPr>
            <w:tcW w:w="627" w:type="dxa"/>
            <w:vMerge w:val="restart"/>
            <w:vAlign w:val="center"/>
          </w:tcPr>
          <w:p w:rsidR="00C223F5" w:rsidRDefault="005860D5">
            <w:pPr>
              <w:spacing w:line="280" w:lineRule="exact"/>
              <w:jc w:val="center"/>
              <w:rPr>
                <w:szCs w:val="21"/>
              </w:rPr>
            </w:pPr>
            <w:r>
              <w:rPr>
                <w:rFonts w:hAnsi="宋体"/>
                <w:szCs w:val="21"/>
              </w:rPr>
              <w:t>井口</w:t>
            </w:r>
          </w:p>
          <w:p w:rsidR="00C223F5" w:rsidRDefault="005860D5">
            <w:pPr>
              <w:spacing w:line="280" w:lineRule="exact"/>
              <w:jc w:val="center"/>
              <w:rPr>
                <w:szCs w:val="21"/>
              </w:rPr>
            </w:pPr>
            <w:r>
              <w:rPr>
                <w:rFonts w:hAnsi="宋体"/>
                <w:szCs w:val="21"/>
              </w:rPr>
              <w:t>坐标</w:t>
            </w:r>
          </w:p>
        </w:tc>
        <w:tc>
          <w:tcPr>
            <w:tcW w:w="1456" w:type="dxa"/>
            <w:gridSpan w:val="2"/>
            <w:vAlign w:val="center"/>
          </w:tcPr>
          <w:p w:rsidR="00C223F5" w:rsidRDefault="005860D5">
            <w:pPr>
              <w:spacing w:line="280" w:lineRule="exact"/>
              <w:jc w:val="center"/>
              <w:rPr>
                <w:szCs w:val="21"/>
              </w:rPr>
            </w:pPr>
            <w:r>
              <w:rPr>
                <w:rFonts w:hAnsi="宋体"/>
                <w:szCs w:val="21"/>
              </w:rPr>
              <w:t>纬距</w:t>
            </w:r>
            <w:r>
              <w:rPr>
                <w:szCs w:val="21"/>
              </w:rPr>
              <w:t>(X)</w:t>
            </w:r>
          </w:p>
        </w:tc>
        <w:tc>
          <w:tcPr>
            <w:tcW w:w="474" w:type="dxa"/>
            <w:vAlign w:val="center"/>
          </w:tcPr>
          <w:p w:rsidR="00C223F5" w:rsidRDefault="005860D5">
            <w:pPr>
              <w:spacing w:line="280" w:lineRule="exact"/>
              <w:jc w:val="center"/>
              <w:rPr>
                <w:szCs w:val="21"/>
              </w:rPr>
            </w:pPr>
            <w:r>
              <w:rPr>
                <w:szCs w:val="21"/>
              </w:rPr>
              <w:t>m</w:t>
            </w:r>
          </w:p>
        </w:tc>
        <w:tc>
          <w:tcPr>
            <w:tcW w:w="1795" w:type="dxa"/>
            <w:vAlign w:val="center"/>
          </w:tcPr>
          <w:p w:rsidR="00C223F5" w:rsidRDefault="005860D5">
            <w:pPr>
              <w:spacing w:line="280" w:lineRule="exact"/>
              <w:jc w:val="center"/>
              <w:rPr>
                <w:szCs w:val="21"/>
              </w:rPr>
            </w:pPr>
            <w:r>
              <w:rPr>
                <w:szCs w:val="21"/>
              </w:rPr>
              <w:t>4159762.500</w:t>
            </w:r>
          </w:p>
        </w:tc>
        <w:tc>
          <w:tcPr>
            <w:tcW w:w="1646" w:type="dxa"/>
            <w:vAlign w:val="center"/>
          </w:tcPr>
          <w:p w:rsidR="00C223F5" w:rsidRDefault="005860D5">
            <w:pPr>
              <w:spacing w:line="280" w:lineRule="exact"/>
              <w:jc w:val="center"/>
              <w:rPr>
                <w:szCs w:val="21"/>
              </w:rPr>
            </w:pPr>
            <w:r>
              <w:rPr>
                <w:szCs w:val="21"/>
              </w:rPr>
              <w:t>4159810.000</w:t>
            </w:r>
          </w:p>
        </w:tc>
        <w:tc>
          <w:tcPr>
            <w:tcW w:w="1568" w:type="dxa"/>
            <w:vAlign w:val="center"/>
          </w:tcPr>
          <w:p w:rsidR="00C223F5" w:rsidRDefault="005860D5">
            <w:pPr>
              <w:spacing w:line="280" w:lineRule="exact"/>
              <w:jc w:val="center"/>
              <w:rPr>
                <w:szCs w:val="21"/>
              </w:rPr>
            </w:pPr>
            <w:r>
              <w:rPr>
                <w:szCs w:val="21"/>
              </w:rPr>
              <w:t>4159780.544</w:t>
            </w:r>
          </w:p>
        </w:tc>
        <w:tc>
          <w:tcPr>
            <w:tcW w:w="1492" w:type="dxa"/>
            <w:vAlign w:val="center"/>
          </w:tcPr>
          <w:p w:rsidR="00C223F5" w:rsidRDefault="005860D5">
            <w:pPr>
              <w:spacing w:line="280" w:lineRule="exact"/>
              <w:jc w:val="center"/>
              <w:rPr>
                <w:szCs w:val="21"/>
              </w:rPr>
            </w:pPr>
            <w:r>
              <w:rPr>
                <w:szCs w:val="21"/>
              </w:rPr>
              <w:t>4159777.050</w:t>
            </w:r>
          </w:p>
        </w:tc>
      </w:tr>
      <w:tr w:rsidR="00C223F5">
        <w:trPr>
          <w:trHeight w:val="284"/>
          <w:jc w:val="center"/>
        </w:trPr>
        <w:tc>
          <w:tcPr>
            <w:tcW w:w="470" w:type="dxa"/>
            <w:vMerge/>
            <w:vAlign w:val="center"/>
          </w:tcPr>
          <w:p w:rsidR="00C223F5" w:rsidRDefault="00C223F5">
            <w:pPr>
              <w:spacing w:line="280" w:lineRule="exact"/>
              <w:jc w:val="center"/>
              <w:rPr>
                <w:b/>
                <w:szCs w:val="21"/>
              </w:rPr>
            </w:pPr>
          </w:p>
        </w:tc>
        <w:tc>
          <w:tcPr>
            <w:tcW w:w="627" w:type="dxa"/>
            <w:vMerge/>
            <w:vAlign w:val="center"/>
          </w:tcPr>
          <w:p w:rsidR="00C223F5" w:rsidRDefault="00C223F5">
            <w:pPr>
              <w:spacing w:line="280" w:lineRule="exact"/>
              <w:jc w:val="center"/>
              <w:rPr>
                <w:szCs w:val="21"/>
              </w:rPr>
            </w:pPr>
          </w:p>
        </w:tc>
        <w:tc>
          <w:tcPr>
            <w:tcW w:w="1456" w:type="dxa"/>
            <w:gridSpan w:val="2"/>
            <w:vAlign w:val="center"/>
          </w:tcPr>
          <w:p w:rsidR="00C223F5" w:rsidRDefault="005860D5">
            <w:pPr>
              <w:spacing w:line="280" w:lineRule="exact"/>
              <w:jc w:val="center"/>
              <w:rPr>
                <w:szCs w:val="21"/>
              </w:rPr>
            </w:pPr>
            <w:r>
              <w:rPr>
                <w:rFonts w:hAnsi="宋体"/>
                <w:szCs w:val="21"/>
              </w:rPr>
              <w:t>经距</w:t>
            </w:r>
            <w:r>
              <w:rPr>
                <w:szCs w:val="21"/>
              </w:rPr>
              <w:t>(Y)</w:t>
            </w:r>
          </w:p>
        </w:tc>
        <w:tc>
          <w:tcPr>
            <w:tcW w:w="474" w:type="dxa"/>
            <w:vAlign w:val="center"/>
          </w:tcPr>
          <w:p w:rsidR="00C223F5" w:rsidRDefault="005860D5">
            <w:pPr>
              <w:spacing w:line="280" w:lineRule="exact"/>
              <w:jc w:val="center"/>
              <w:rPr>
                <w:szCs w:val="21"/>
              </w:rPr>
            </w:pPr>
            <w:r>
              <w:rPr>
                <w:szCs w:val="21"/>
              </w:rPr>
              <w:t>m</w:t>
            </w:r>
          </w:p>
        </w:tc>
        <w:tc>
          <w:tcPr>
            <w:tcW w:w="1795" w:type="dxa"/>
            <w:vAlign w:val="center"/>
          </w:tcPr>
          <w:p w:rsidR="00C223F5" w:rsidRDefault="005860D5">
            <w:pPr>
              <w:spacing w:line="280" w:lineRule="exact"/>
              <w:jc w:val="center"/>
              <w:rPr>
                <w:szCs w:val="21"/>
              </w:rPr>
            </w:pPr>
            <w:r>
              <w:rPr>
                <w:szCs w:val="21"/>
              </w:rPr>
              <w:t>36628791.500</w:t>
            </w:r>
          </w:p>
        </w:tc>
        <w:tc>
          <w:tcPr>
            <w:tcW w:w="1646" w:type="dxa"/>
            <w:vAlign w:val="center"/>
          </w:tcPr>
          <w:p w:rsidR="00C223F5" w:rsidRDefault="005860D5">
            <w:pPr>
              <w:spacing w:line="280" w:lineRule="exact"/>
              <w:ind w:rightChars="-51" w:right="-107"/>
              <w:jc w:val="center"/>
              <w:rPr>
                <w:szCs w:val="21"/>
              </w:rPr>
            </w:pPr>
            <w:r>
              <w:rPr>
                <w:szCs w:val="21"/>
              </w:rPr>
              <w:t>36628871.500</w:t>
            </w:r>
          </w:p>
        </w:tc>
        <w:tc>
          <w:tcPr>
            <w:tcW w:w="1568" w:type="dxa"/>
            <w:vAlign w:val="center"/>
          </w:tcPr>
          <w:p w:rsidR="00C223F5" w:rsidRDefault="005860D5">
            <w:pPr>
              <w:spacing w:line="280" w:lineRule="exact"/>
              <w:jc w:val="center"/>
              <w:rPr>
                <w:szCs w:val="21"/>
              </w:rPr>
            </w:pPr>
            <w:r>
              <w:rPr>
                <w:szCs w:val="21"/>
              </w:rPr>
              <w:t>36628816.155</w:t>
            </w:r>
          </w:p>
        </w:tc>
        <w:tc>
          <w:tcPr>
            <w:tcW w:w="1492" w:type="dxa"/>
            <w:vAlign w:val="center"/>
          </w:tcPr>
          <w:p w:rsidR="00C223F5" w:rsidRDefault="005860D5">
            <w:pPr>
              <w:spacing w:line="280" w:lineRule="exact"/>
              <w:jc w:val="center"/>
              <w:rPr>
                <w:szCs w:val="21"/>
              </w:rPr>
            </w:pPr>
            <w:r>
              <w:rPr>
                <w:szCs w:val="21"/>
              </w:rPr>
              <w:t>36628864.663</w:t>
            </w:r>
          </w:p>
        </w:tc>
      </w:tr>
      <w:tr w:rsidR="00C223F5">
        <w:trPr>
          <w:trHeight w:val="284"/>
          <w:jc w:val="center"/>
        </w:trPr>
        <w:tc>
          <w:tcPr>
            <w:tcW w:w="470" w:type="dxa"/>
            <w:vMerge/>
            <w:vAlign w:val="center"/>
          </w:tcPr>
          <w:p w:rsidR="00C223F5" w:rsidRDefault="00C223F5">
            <w:pPr>
              <w:spacing w:line="280" w:lineRule="exact"/>
              <w:jc w:val="center"/>
              <w:rPr>
                <w:b/>
                <w:szCs w:val="21"/>
              </w:rPr>
            </w:pPr>
          </w:p>
        </w:tc>
        <w:tc>
          <w:tcPr>
            <w:tcW w:w="627" w:type="dxa"/>
            <w:vMerge/>
            <w:vAlign w:val="center"/>
          </w:tcPr>
          <w:p w:rsidR="00C223F5" w:rsidRDefault="00C223F5">
            <w:pPr>
              <w:spacing w:line="280" w:lineRule="exact"/>
              <w:jc w:val="center"/>
              <w:rPr>
                <w:szCs w:val="21"/>
              </w:rPr>
            </w:pPr>
          </w:p>
        </w:tc>
        <w:tc>
          <w:tcPr>
            <w:tcW w:w="1456" w:type="dxa"/>
            <w:gridSpan w:val="2"/>
            <w:vAlign w:val="center"/>
          </w:tcPr>
          <w:p w:rsidR="00C223F5" w:rsidRDefault="005860D5">
            <w:pPr>
              <w:spacing w:line="280" w:lineRule="exact"/>
              <w:ind w:leftChars="-50" w:left="-105" w:rightChars="-50" w:right="-105"/>
              <w:jc w:val="center"/>
              <w:rPr>
                <w:szCs w:val="21"/>
              </w:rPr>
            </w:pPr>
            <w:r>
              <w:rPr>
                <w:rFonts w:hAnsi="宋体"/>
                <w:szCs w:val="21"/>
              </w:rPr>
              <w:t>井口标高</w:t>
            </w:r>
            <w:r>
              <w:rPr>
                <w:szCs w:val="21"/>
              </w:rPr>
              <w:t>(Z)</w:t>
            </w:r>
          </w:p>
        </w:tc>
        <w:tc>
          <w:tcPr>
            <w:tcW w:w="474" w:type="dxa"/>
            <w:vAlign w:val="center"/>
          </w:tcPr>
          <w:p w:rsidR="00C223F5" w:rsidRDefault="005860D5">
            <w:pPr>
              <w:spacing w:line="280" w:lineRule="exact"/>
              <w:jc w:val="center"/>
              <w:rPr>
                <w:szCs w:val="21"/>
              </w:rPr>
            </w:pPr>
            <w:r>
              <w:rPr>
                <w:szCs w:val="21"/>
              </w:rPr>
              <w:t>m</w:t>
            </w:r>
          </w:p>
        </w:tc>
        <w:tc>
          <w:tcPr>
            <w:tcW w:w="1795" w:type="dxa"/>
            <w:vAlign w:val="center"/>
          </w:tcPr>
          <w:p w:rsidR="00C223F5" w:rsidRDefault="005860D5">
            <w:pPr>
              <w:spacing w:line="280" w:lineRule="exact"/>
              <w:jc w:val="center"/>
              <w:rPr>
                <w:szCs w:val="21"/>
              </w:rPr>
            </w:pPr>
            <w:r>
              <w:rPr>
                <w:szCs w:val="21"/>
              </w:rPr>
              <w:t>+1066.500</w:t>
            </w:r>
          </w:p>
        </w:tc>
        <w:tc>
          <w:tcPr>
            <w:tcW w:w="1646" w:type="dxa"/>
            <w:vAlign w:val="center"/>
          </w:tcPr>
          <w:p w:rsidR="00C223F5" w:rsidRDefault="005860D5">
            <w:pPr>
              <w:spacing w:line="280" w:lineRule="exact"/>
              <w:jc w:val="center"/>
              <w:rPr>
                <w:szCs w:val="21"/>
              </w:rPr>
            </w:pPr>
            <w:r>
              <w:rPr>
                <w:szCs w:val="21"/>
              </w:rPr>
              <w:t>+1068.000</w:t>
            </w:r>
          </w:p>
        </w:tc>
        <w:tc>
          <w:tcPr>
            <w:tcW w:w="1568" w:type="dxa"/>
            <w:vAlign w:val="center"/>
          </w:tcPr>
          <w:p w:rsidR="00C223F5" w:rsidRDefault="005860D5">
            <w:pPr>
              <w:spacing w:line="280" w:lineRule="exact"/>
              <w:jc w:val="center"/>
              <w:rPr>
                <w:szCs w:val="21"/>
              </w:rPr>
            </w:pPr>
            <w:r>
              <w:rPr>
                <w:szCs w:val="21"/>
              </w:rPr>
              <w:t>+1067.783</w:t>
            </w:r>
          </w:p>
        </w:tc>
        <w:tc>
          <w:tcPr>
            <w:tcW w:w="1492" w:type="dxa"/>
            <w:vAlign w:val="center"/>
          </w:tcPr>
          <w:p w:rsidR="00C223F5" w:rsidRDefault="005860D5">
            <w:pPr>
              <w:spacing w:line="280" w:lineRule="exact"/>
              <w:jc w:val="center"/>
              <w:rPr>
                <w:szCs w:val="21"/>
              </w:rPr>
            </w:pPr>
            <w:r>
              <w:rPr>
                <w:szCs w:val="21"/>
              </w:rPr>
              <w:t>+1047.783</w:t>
            </w:r>
          </w:p>
        </w:tc>
      </w:tr>
      <w:tr w:rsidR="00C223F5">
        <w:trPr>
          <w:trHeight w:val="75"/>
          <w:jc w:val="center"/>
        </w:trPr>
        <w:tc>
          <w:tcPr>
            <w:tcW w:w="470" w:type="dxa"/>
            <w:vAlign w:val="center"/>
          </w:tcPr>
          <w:p w:rsidR="00C223F5" w:rsidRDefault="005860D5">
            <w:pPr>
              <w:spacing w:line="280" w:lineRule="exact"/>
              <w:jc w:val="center"/>
              <w:rPr>
                <w:b/>
                <w:szCs w:val="21"/>
              </w:rPr>
            </w:pPr>
            <w:r>
              <w:rPr>
                <w:b/>
                <w:szCs w:val="21"/>
              </w:rPr>
              <w:t>2</w:t>
            </w:r>
          </w:p>
        </w:tc>
        <w:tc>
          <w:tcPr>
            <w:tcW w:w="2083" w:type="dxa"/>
            <w:gridSpan w:val="3"/>
            <w:vAlign w:val="center"/>
          </w:tcPr>
          <w:p w:rsidR="00C223F5" w:rsidRDefault="005860D5">
            <w:pPr>
              <w:spacing w:line="280" w:lineRule="exact"/>
              <w:jc w:val="center"/>
              <w:rPr>
                <w:szCs w:val="21"/>
              </w:rPr>
            </w:pPr>
            <w:r>
              <w:rPr>
                <w:rFonts w:hAnsi="宋体"/>
                <w:szCs w:val="21"/>
              </w:rPr>
              <w:t>提升方位角</w:t>
            </w:r>
          </w:p>
        </w:tc>
        <w:tc>
          <w:tcPr>
            <w:tcW w:w="474" w:type="dxa"/>
            <w:vAlign w:val="center"/>
          </w:tcPr>
          <w:p w:rsidR="00C223F5" w:rsidRDefault="00C223F5">
            <w:pPr>
              <w:spacing w:line="280" w:lineRule="exact"/>
              <w:jc w:val="center"/>
              <w:rPr>
                <w:szCs w:val="21"/>
              </w:rPr>
            </w:pPr>
          </w:p>
        </w:tc>
        <w:tc>
          <w:tcPr>
            <w:tcW w:w="1795" w:type="dxa"/>
            <w:vAlign w:val="center"/>
          </w:tcPr>
          <w:p w:rsidR="00C223F5" w:rsidRDefault="005860D5">
            <w:pPr>
              <w:spacing w:line="280" w:lineRule="exact"/>
              <w:jc w:val="center"/>
              <w:rPr>
                <w:szCs w:val="21"/>
              </w:rPr>
            </w:pPr>
            <w:r>
              <w:rPr>
                <w:szCs w:val="21"/>
              </w:rPr>
              <w:t>110°</w:t>
            </w:r>
          </w:p>
        </w:tc>
        <w:tc>
          <w:tcPr>
            <w:tcW w:w="1646" w:type="dxa"/>
            <w:vAlign w:val="center"/>
          </w:tcPr>
          <w:p w:rsidR="00C223F5" w:rsidRDefault="005860D5">
            <w:pPr>
              <w:spacing w:line="280" w:lineRule="exact"/>
              <w:jc w:val="center"/>
              <w:rPr>
                <w:szCs w:val="21"/>
              </w:rPr>
            </w:pPr>
            <w:r>
              <w:rPr>
                <w:szCs w:val="21"/>
              </w:rPr>
              <w:t>110°</w:t>
            </w:r>
          </w:p>
        </w:tc>
        <w:tc>
          <w:tcPr>
            <w:tcW w:w="1568" w:type="dxa"/>
            <w:vAlign w:val="center"/>
          </w:tcPr>
          <w:p w:rsidR="00C223F5" w:rsidRDefault="005860D5">
            <w:pPr>
              <w:spacing w:line="280" w:lineRule="exact"/>
              <w:jc w:val="center"/>
              <w:rPr>
                <w:szCs w:val="21"/>
              </w:rPr>
            </w:pPr>
            <w:r>
              <w:rPr>
                <w:szCs w:val="21"/>
              </w:rPr>
              <w:t>135°</w:t>
            </w:r>
          </w:p>
        </w:tc>
        <w:tc>
          <w:tcPr>
            <w:tcW w:w="1492" w:type="dxa"/>
            <w:vAlign w:val="center"/>
          </w:tcPr>
          <w:p w:rsidR="00C223F5" w:rsidRDefault="00C223F5">
            <w:pPr>
              <w:spacing w:line="280" w:lineRule="exact"/>
              <w:jc w:val="center"/>
              <w:rPr>
                <w:szCs w:val="21"/>
              </w:rPr>
            </w:pPr>
          </w:p>
        </w:tc>
      </w:tr>
      <w:tr w:rsidR="00C223F5">
        <w:trPr>
          <w:trHeight w:val="75"/>
          <w:jc w:val="center"/>
        </w:trPr>
        <w:tc>
          <w:tcPr>
            <w:tcW w:w="470" w:type="dxa"/>
            <w:vAlign w:val="center"/>
          </w:tcPr>
          <w:p w:rsidR="00C223F5" w:rsidRDefault="005860D5">
            <w:pPr>
              <w:spacing w:line="280" w:lineRule="exact"/>
              <w:jc w:val="center"/>
              <w:rPr>
                <w:b/>
                <w:szCs w:val="21"/>
              </w:rPr>
            </w:pPr>
            <w:r>
              <w:rPr>
                <w:b/>
                <w:szCs w:val="21"/>
              </w:rPr>
              <w:t>3</w:t>
            </w:r>
          </w:p>
        </w:tc>
        <w:tc>
          <w:tcPr>
            <w:tcW w:w="2083" w:type="dxa"/>
            <w:gridSpan w:val="3"/>
            <w:vAlign w:val="center"/>
          </w:tcPr>
          <w:p w:rsidR="00C223F5" w:rsidRDefault="005860D5">
            <w:pPr>
              <w:spacing w:line="280" w:lineRule="exact"/>
              <w:jc w:val="center"/>
              <w:rPr>
                <w:szCs w:val="21"/>
              </w:rPr>
            </w:pPr>
            <w:r>
              <w:rPr>
                <w:rFonts w:hAnsi="宋体"/>
                <w:szCs w:val="21"/>
              </w:rPr>
              <w:t>井筒倾角</w:t>
            </w:r>
          </w:p>
        </w:tc>
        <w:tc>
          <w:tcPr>
            <w:tcW w:w="474" w:type="dxa"/>
            <w:vAlign w:val="center"/>
          </w:tcPr>
          <w:p w:rsidR="00C223F5" w:rsidRDefault="005860D5">
            <w:pPr>
              <w:spacing w:line="280" w:lineRule="exact"/>
              <w:jc w:val="center"/>
              <w:rPr>
                <w:szCs w:val="21"/>
              </w:rPr>
            </w:pPr>
            <w:r>
              <w:rPr>
                <w:szCs w:val="21"/>
              </w:rPr>
              <w:t>°</w:t>
            </w:r>
          </w:p>
        </w:tc>
        <w:tc>
          <w:tcPr>
            <w:tcW w:w="1795" w:type="dxa"/>
            <w:vAlign w:val="center"/>
          </w:tcPr>
          <w:p w:rsidR="00C223F5" w:rsidRDefault="005860D5">
            <w:pPr>
              <w:spacing w:line="280" w:lineRule="exact"/>
              <w:jc w:val="center"/>
              <w:rPr>
                <w:szCs w:val="21"/>
              </w:rPr>
            </w:pPr>
            <w:r>
              <w:rPr>
                <w:szCs w:val="21"/>
              </w:rPr>
              <w:t>22</w:t>
            </w:r>
          </w:p>
        </w:tc>
        <w:tc>
          <w:tcPr>
            <w:tcW w:w="1646" w:type="dxa"/>
            <w:vAlign w:val="center"/>
          </w:tcPr>
          <w:p w:rsidR="00C223F5" w:rsidRDefault="005860D5">
            <w:pPr>
              <w:spacing w:line="280" w:lineRule="exact"/>
              <w:jc w:val="center"/>
              <w:rPr>
                <w:szCs w:val="21"/>
              </w:rPr>
            </w:pPr>
            <w:r>
              <w:rPr>
                <w:szCs w:val="21"/>
              </w:rPr>
              <w:t>6</w:t>
            </w:r>
          </w:p>
        </w:tc>
        <w:tc>
          <w:tcPr>
            <w:tcW w:w="1568" w:type="dxa"/>
            <w:vAlign w:val="center"/>
          </w:tcPr>
          <w:p w:rsidR="00C223F5" w:rsidRDefault="005860D5">
            <w:pPr>
              <w:spacing w:line="280" w:lineRule="exact"/>
              <w:jc w:val="center"/>
              <w:rPr>
                <w:szCs w:val="21"/>
              </w:rPr>
            </w:pPr>
            <w:r>
              <w:rPr>
                <w:szCs w:val="21"/>
              </w:rPr>
              <w:t>90</w:t>
            </w:r>
          </w:p>
        </w:tc>
        <w:tc>
          <w:tcPr>
            <w:tcW w:w="1492" w:type="dxa"/>
            <w:vAlign w:val="center"/>
          </w:tcPr>
          <w:p w:rsidR="00C223F5" w:rsidRDefault="005860D5">
            <w:pPr>
              <w:spacing w:line="280" w:lineRule="exact"/>
              <w:jc w:val="center"/>
              <w:rPr>
                <w:szCs w:val="21"/>
              </w:rPr>
            </w:pPr>
            <w:r>
              <w:rPr>
                <w:szCs w:val="21"/>
              </w:rPr>
              <w:t>90</w:t>
            </w:r>
          </w:p>
        </w:tc>
      </w:tr>
      <w:tr w:rsidR="00C223F5">
        <w:trPr>
          <w:trHeight w:val="75"/>
          <w:jc w:val="center"/>
        </w:trPr>
        <w:tc>
          <w:tcPr>
            <w:tcW w:w="470" w:type="dxa"/>
            <w:vAlign w:val="center"/>
          </w:tcPr>
          <w:p w:rsidR="00C223F5" w:rsidRDefault="005860D5">
            <w:pPr>
              <w:spacing w:line="280" w:lineRule="exact"/>
              <w:jc w:val="center"/>
              <w:rPr>
                <w:b/>
                <w:szCs w:val="21"/>
              </w:rPr>
            </w:pPr>
            <w:r>
              <w:rPr>
                <w:b/>
                <w:szCs w:val="21"/>
              </w:rPr>
              <w:t>4</w:t>
            </w:r>
          </w:p>
        </w:tc>
        <w:tc>
          <w:tcPr>
            <w:tcW w:w="2083" w:type="dxa"/>
            <w:gridSpan w:val="3"/>
            <w:vAlign w:val="center"/>
          </w:tcPr>
          <w:p w:rsidR="00C223F5" w:rsidRDefault="005860D5">
            <w:pPr>
              <w:spacing w:line="280" w:lineRule="exact"/>
              <w:jc w:val="center"/>
              <w:rPr>
                <w:szCs w:val="21"/>
              </w:rPr>
            </w:pPr>
            <w:r>
              <w:rPr>
                <w:rFonts w:hAnsi="宋体"/>
                <w:szCs w:val="21"/>
              </w:rPr>
              <w:t>井底标高</w:t>
            </w:r>
          </w:p>
        </w:tc>
        <w:tc>
          <w:tcPr>
            <w:tcW w:w="474" w:type="dxa"/>
            <w:vAlign w:val="center"/>
          </w:tcPr>
          <w:p w:rsidR="00C223F5" w:rsidRDefault="005860D5">
            <w:pPr>
              <w:spacing w:line="280" w:lineRule="exact"/>
              <w:jc w:val="center"/>
              <w:rPr>
                <w:szCs w:val="21"/>
              </w:rPr>
            </w:pPr>
            <w:r>
              <w:rPr>
                <w:szCs w:val="21"/>
              </w:rPr>
              <w:t>m</w:t>
            </w:r>
          </w:p>
        </w:tc>
        <w:tc>
          <w:tcPr>
            <w:tcW w:w="1795" w:type="dxa"/>
            <w:vAlign w:val="center"/>
          </w:tcPr>
          <w:p w:rsidR="00C223F5" w:rsidRDefault="005860D5">
            <w:pPr>
              <w:spacing w:line="280" w:lineRule="exact"/>
              <w:jc w:val="center"/>
              <w:rPr>
                <w:szCs w:val="21"/>
              </w:rPr>
            </w:pPr>
            <w:r>
              <w:rPr>
                <w:szCs w:val="21"/>
              </w:rPr>
              <w:t>+860.000</w:t>
            </w:r>
          </w:p>
        </w:tc>
        <w:tc>
          <w:tcPr>
            <w:tcW w:w="1646" w:type="dxa"/>
            <w:vAlign w:val="center"/>
          </w:tcPr>
          <w:p w:rsidR="00C223F5" w:rsidRDefault="005860D5">
            <w:pPr>
              <w:spacing w:line="280" w:lineRule="exact"/>
              <w:jc w:val="center"/>
              <w:rPr>
                <w:szCs w:val="21"/>
              </w:rPr>
            </w:pPr>
            <w:r>
              <w:rPr>
                <w:szCs w:val="21"/>
              </w:rPr>
              <w:t>+855.000</w:t>
            </w:r>
          </w:p>
        </w:tc>
        <w:tc>
          <w:tcPr>
            <w:tcW w:w="1568" w:type="dxa"/>
            <w:vAlign w:val="center"/>
          </w:tcPr>
          <w:p w:rsidR="00C223F5" w:rsidRDefault="005860D5">
            <w:pPr>
              <w:spacing w:line="280" w:lineRule="exact"/>
              <w:jc w:val="center"/>
              <w:rPr>
                <w:b/>
                <w:szCs w:val="21"/>
              </w:rPr>
            </w:pPr>
            <w:r>
              <w:rPr>
                <w:szCs w:val="21"/>
              </w:rPr>
              <w:t>+880.000</w:t>
            </w:r>
          </w:p>
        </w:tc>
        <w:tc>
          <w:tcPr>
            <w:tcW w:w="1492" w:type="dxa"/>
            <w:vAlign w:val="center"/>
          </w:tcPr>
          <w:p w:rsidR="00C223F5" w:rsidRDefault="005860D5">
            <w:pPr>
              <w:spacing w:line="280" w:lineRule="exact"/>
              <w:jc w:val="center"/>
              <w:rPr>
                <w:szCs w:val="21"/>
              </w:rPr>
            </w:pPr>
            <w:r>
              <w:rPr>
                <w:szCs w:val="21"/>
              </w:rPr>
              <w:t>+880.000</w:t>
            </w:r>
          </w:p>
        </w:tc>
      </w:tr>
      <w:tr w:rsidR="00C223F5">
        <w:trPr>
          <w:trHeight w:val="284"/>
          <w:jc w:val="center"/>
        </w:trPr>
        <w:tc>
          <w:tcPr>
            <w:tcW w:w="470" w:type="dxa"/>
            <w:vMerge w:val="restart"/>
            <w:vAlign w:val="center"/>
          </w:tcPr>
          <w:p w:rsidR="00C223F5" w:rsidRDefault="005860D5">
            <w:pPr>
              <w:spacing w:line="280" w:lineRule="exact"/>
              <w:jc w:val="center"/>
              <w:rPr>
                <w:b/>
                <w:szCs w:val="21"/>
              </w:rPr>
            </w:pPr>
            <w:r>
              <w:rPr>
                <w:b/>
                <w:szCs w:val="21"/>
              </w:rPr>
              <w:t>5</w:t>
            </w:r>
          </w:p>
        </w:tc>
        <w:tc>
          <w:tcPr>
            <w:tcW w:w="627" w:type="dxa"/>
            <w:vMerge w:val="restart"/>
            <w:vAlign w:val="center"/>
          </w:tcPr>
          <w:p w:rsidR="00C223F5" w:rsidRDefault="005860D5">
            <w:pPr>
              <w:spacing w:line="280" w:lineRule="exact"/>
              <w:jc w:val="center"/>
              <w:rPr>
                <w:szCs w:val="21"/>
              </w:rPr>
            </w:pPr>
            <w:r>
              <w:rPr>
                <w:rFonts w:hAnsi="宋体"/>
                <w:szCs w:val="21"/>
              </w:rPr>
              <w:t>井筒</w:t>
            </w:r>
          </w:p>
          <w:p w:rsidR="00C223F5" w:rsidRDefault="005860D5">
            <w:pPr>
              <w:spacing w:line="280" w:lineRule="exact"/>
              <w:jc w:val="center"/>
              <w:rPr>
                <w:szCs w:val="21"/>
              </w:rPr>
            </w:pPr>
            <w:r>
              <w:rPr>
                <w:rFonts w:hAnsi="宋体"/>
                <w:szCs w:val="21"/>
              </w:rPr>
              <w:t>长度</w:t>
            </w:r>
          </w:p>
        </w:tc>
        <w:tc>
          <w:tcPr>
            <w:tcW w:w="1456" w:type="dxa"/>
            <w:gridSpan w:val="2"/>
            <w:vAlign w:val="center"/>
          </w:tcPr>
          <w:p w:rsidR="00C223F5" w:rsidRDefault="005860D5">
            <w:pPr>
              <w:spacing w:line="280" w:lineRule="exact"/>
              <w:jc w:val="center"/>
              <w:rPr>
                <w:szCs w:val="21"/>
              </w:rPr>
            </w:pPr>
            <w:r>
              <w:rPr>
                <w:rFonts w:hAnsi="宋体"/>
                <w:szCs w:val="21"/>
              </w:rPr>
              <w:t>全长</w:t>
            </w:r>
          </w:p>
        </w:tc>
        <w:tc>
          <w:tcPr>
            <w:tcW w:w="474" w:type="dxa"/>
            <w:vAlign w:val="center"/>
          </w:tcPr>
          <w:p w:rsidR="00C223F5" w:rsidRDefault="005860D5">
            <w:pPr>
              <w:spacing w:line="280" w:lineRule="exact"/>
              <w:jc w:val="center"/>
              <w:rPr>
                <w:szCs w:val="21"/>
              </w:rPr>
            </w:pPr>
            <w:r>
              <w:rPr>
                <w:szCs w:val="21"/>
              </w:rPr>
              <w:t>m</w:t>
            </w:r>
          </w:p>
        </w:tc>
        <w:tc>
          <w:tcPr>
            <w:tcW w:w="1795" w:type="dxa"/>
            <w:vAlign w:val="center"/>
          </w:tcPr>
          <w:p w:rsidR="00C223F5" w:rsidRDefault="005860D5">
            <w:pPr>
              <w:spacing w:line="280" w:lineRule="exact"/>
              <w:jc w:val="center"/>
              <w:rPr>
                <w:szCs w:val="21"/>
              </w:rPr>
            </w:pPr>
            <w:r>
              <w:rPr>
                <w:szCs w:val="21"/>
              </w:rPr>
              <w:t>594</w:t>
            </w:r>
          </w:p>
        </w:tc>
        <w:tc>
          <w:tcPr>
            <w:tcW w:w="1646" w:type="dxa"/>
            <w:vAlign w:val="center"/>
          </w:tcPr>
          <w:p w:rsidR="00C223F5" w:rsidRDefault="005860D5">
            <w:pPr>
              <w:spacing w:line="280" w:lineRule="exact"/>
              <w:jc w:val="center"/>
              <w:rPr>
                <w:szCs w:val="21"/>
              </w:rPr>
            </w:pPr>
            <w:r>
              <w:rPr>
                <w:szCs w:val="21"/>
              </w:rPr>
              <w:t>2293</w:t>
            </w:r>
          </w:p>
        </w:tc>
        <w:tc>
          <w:tcPr>
            <w:tcW w:w="1568" w:type="dxa"/>
            <w:vAlign w:val="center"/>
          </w:tcPr>
          <w:p w:rsidR="00C223F5" w:rsidRDefault="005860D5">
            <w:pPr>
              <w:spacing w:line="280" w:lineRule="exact"/>
              <w:jc w:val="center"/>
              <w:rPr>
                <w:szCs w:val="21"/>
              </w:rPr>
            </w:pPr>
            <w:r>
              <w:rPr>
                <w:szCs w:val="21"/>
              </w:rPr>
              <w:t>187.783</w:t>
            </w:r>
          </w:p>
        </w:tc>
        <w:tc>
          <w:tcPr>
            <w:tcW w:w="1492" w:type="dxa"/>
            <w:vAlign w:val="center"/>
          </w:tcPr>
          <w:p w:rsidR="00C223F5" w:rsidRDefault="005860D5">
            <w:pPr>
              <w:spacing w:line="280" w:lineRule="exact"/>
              <w:jc w:val="center"/>
              <w:rPr>
                <w:szCs w:val="21"/>
              </w:rPr>
            </w:pPr>
            <w:r>
              <w:rPr>
                <w:szCs w:val="21"/>
              </w:rPr>
              <w:t>167.783</w:t>
            </w:r>
          </w:p>
        </w:tc>
      </w:tr>
      <w:tr w:rsidR="00C223F5">
        <w:trPr>
          <w:trHeight w:val="284"/>
          <w:jc w:val="center"/>
        </w:trPr>
        <w:tc>
          <w:tcPr>
            <w:tcW w:w="470" w:type="dxa"/>
            <w:vMerge/>
            <w:vAlign w:val="center"/>
          </w:tcPr>
          <w:p w:rsidR="00C223F5" w:rsidRDefault="00C223F5">
            <w:pPr>
              <w:spacing w:line="280" w:lineRule="exact"/>
              <w:jc w:val="center"/>
              <w:rPr>
                <w:b/>
                <w:szCs w:val="21"/>
              </w:rPr>
            </w:pPr>
          </w:p>
        </w:tc>
        <w:tc>
          <w:tcPr>
            <w:tcW w:w="627" w:type="dxa"/>
            <w:vMerge/>
            <w:vAlign w:val="center"/>
          </w:tcPr>
          <w:p w:rsidR="00C223F5" w:rsidRDefault="00C223F5">
            <w:pPr>
              <w:spacing w:line="280" w:lineRule="exact"/>
              <w:jc w:val="center"/>
              <w:rPr>
                <w:szCs w:val="21"/>
              </w:rPr>
            </w:pPr>
          </w:p>
        </w:tc>
        <w:tc>
          <w:tcPr>
            <w:tcW w:w="717" w:type="dxa"/>
            <w:vMerge w:val="restart"/>
            <w:vAlign w:val="center"/>
          </w:tcPr>
          <w:p w:rsidR="00C223F5" w:rsidRDefault="005860D5">
            <w:pPr>
              <w:spacing w:line="280" w:lineRule="exact"/>
              <w:jc w:val="center"/>
              <w:rPr>
                <w:szCs w:val="21"/>
              </w:rPr>
            </w:pPr>
            <w:r>
              <w:rPr>
                <w:rFonts w:hAnsi="宋体"/>
                <w:szCs w:val="21"/>
              </w:rPr>
              <w:t>其中</w:t>
            </w:r>
          </w:p>
        </w:tc>
        <w:tc>
          <w:tcPr>
            <w:tcW w:w="739" w:type="dxa"/>
            <w:vAlign w:val="center"/>
          </w:tcPr>
          <w:p w:rsidR="00C223F5" w:rsidRDefault="005860D5">
            <w:pPr>
              <w:spacing w:line="280" w:lineRule="exact"/>
              <w:ind w:leftChars="-50" w:left="-105" w:rightChars="-50" w:right="-105"/>
              <w:jc w:val="center"/>
              <w:rPr>
                <w:szCs w:val="21"/>
              </w:rPr>
            </w:pPr>
            <w:r>
              <w:rPr>
                <w:rFonts w:hAnsi="宋体"/>
                <w:szCs w:val="21"/>
              </w:rPr>
              <w:t>表土段</w:t>
            </w:r>
          </w:p>
        </w:tc>
        <w:tc>
          <w:tcPr>
            <w:tcW w:w="474" w:type="dxa"/>
            <w:vAlign w:val="center"/>
          </w:tcPr>
          <w:p w:rsidR="00C223F5" w:rsidRDefault="005860D5">
            <w:pPr>
              <w:spacing w:line="280" w:lineRule="exact"/>
              <w:jc w:val="center"/>
              <w:rPr>
                <w:szCs w:val="21"/>
              </w:rPr>
            </w:pPr>
            <w:r>
              <w:rPr>
                <w:szCs w:val="21"/>
              </w:rPr>
              <w:t>m</w:t>
            </w:r>
          </w:p>
        </w:tc>
        <w:tc>
          <w:tcPr>
            <w:tcW w:w="1795" w:type="dxa"/>
            <w:vAlign w:val="center"/>
          </w:tcPr>
          <w:p w:rsidR="00C223F5" w:rsidRDefault="005860D5">
            <w:pPr>
              <w:spacing w:line="280" w:lineRule="exact"/>
              <w:jc w:val="center"/>
              <w:rPr>
                <w:szCs w:val="21"/>
              </w:rPr>
            </w:pPr>
            <w:r>
              <w:rPr>
                <w:szCs w:val="21"/>
              </w:rPr>
              <w:t>50</w:t>
            </w:r>
          </w:p>
        </w:tc>
        <w:tc>
          <w:tcPr>
            <w:tcW w:w="1646" w:type="dxa"/>
            <w:vAlign w:val="center"/>
          </w:tcPr>
          <w:p w:rsidR="00C223F5" w:rsidRDefault="005860D5">
            <w:pPr>
              <w:spacing w:line="280" w:lineRule="exact"/>
              <w:jc w:val="center"/>
              <w:rPr>
                <w:szCs w:val="21"/>
              </w:rPr>
            </w:pPr>
            <w:r>
              <w:rPr>
                <w:szCs w:val="21"/>
              </w:rPr>
              <w:t>190</w:t>
            </w:r>
          </w:p>
        </w:tc>
        <w:tc>
          <w:tcPr>
            <w:tcW w:w="1568" w:type="dxa"/>
            <w:vAlign w:val="center"/>
          </w:tcPr>
          <w:p w:rsidR="00C223F5" w:rsidRDefault="005860D5">
            <w:pPr>
              <w:spacing w:line="280" w:lineRule="exact"/>
              <w:jc w:val="center"/>
              <w:rPr>
                <w:szCs w:val="21"/>
              </w:rPr>
            </w:pPr>
            <w:r>
              <w:rPr>
                <w:szCs w:val="21"/>
              </w:rPr>
              <w:t>20</w:t>
            </w:r>
          </w:p>
        </w:tc>
        <w:tc>
          <w:tcPr>
            <w:tcW w:w="1492" w:type="dxa"/>
            <w:vAlign w:val="center"/>
          </w:tcPr>
          <w:p w:rsidR="00C223F5" w:rsidRDefault="005860D5">
            <w:pPr>
              <w:spacing w:line="280" w:lineRule="exact"/>
              <w:jc w:val="center"/>
              <w:rPr>
                <w:szCs w:val="21"/>
              </w:rPr>
            </w:pPr>
            <w:r>
              <w:rPr>
                <w:szCs w:val="21"/>
              </w:rPr>
              <w:t>20</w:t>
            </w:r>
          </w:p>
        </w:tc>
      </w:tr>
      <w:tr w:rsidR="00C223F5">
        <w:trPr>
          <w:trHeight w:val="284"/>
          <w:jc w:val="center"/>
        </w:trPr>
        <w:tc>
          <w:tcPr>
            <w:tcW w:w="470" w:type="dxa"/>
            <w:vMerge/>
            <w:vAlign w:val="center"/>
          </w:tcPr>
          <w:p w:rsidR="00C223F5" w:rsidRDefault="00C223F5">
            <w:pPr>
              <w:spacing w:line="280" w:lineRule="exact"/>
              <w:jc w:val="center"/>
              <w:rPr>
                <w:b/>
                <w:szCs w:val="21"/>
              </w:rPr>
            </w:pPr>
          </w:p>
        </w:tc>
        <w:tc>
          <w:tcPr>
            <w:tcW w:w="627" w:type="dxa"/>
            <w:vMerge/>
            <w:vAlign w:val="center"/>
          </w:tcPr>
          <w:p w:rsidR="00C223F5" w:rsidRDefault="00C223F5">
            <w:pPr>
              <w:spacing w:line="280" w:lineRule="exact"/>
              <w:jc w:val="center"/>
              <w:rPr>
                <w:szCs w:val="21"/>
              </w:rPr>
            </w:pPr>
          </w:p>
        </w:tc>
        <w:tc>
          <w:tcPr>
            <w:tcW w:w="717" w:type="dxa"/>
            <w:vMerge/>
            <w:vAlign w:val="center"/>
          </w:tcPr>
          <w:p w:rsidR="00C223F5" w:rsidRDefault="00C223F5">
            <w:pPr>
              <w:spacing w:line="280" w:lineRule="exact"/>
              <w:jc w:val="center"/>
              <w:rPr>
                <w:szCs w:val="21"/>
              </w:rPr>
            </w:pPr>
          </w:p>
        </w:tc>
        <w:tc>
          <w:tcPr>
            <w:tcW w:w="739" w:type="dxa"/>
            <w:vAlign w:val="center"/>
          </w:tcPr>
          <w:p w:rsidR="00C223F5" w:rsidRDefault="005860D5">
            <w:pPr>
              <w:spacing w:line="280" w:lineRule="exact"/>
              <w:ind w:leftChars="-50" w:left="-105" w:rightChars="-50" w:right="-105"/>
              <w:jc w:val="center"/>
              <w:rPr>
                <w:szCs w:val="21"/>
              </w:rPr>
            </w:pPr>
            <w:r>
              <w:rPr>
                <w:rFonts w:hAnsi="宋体"/>
                <w:szCs w:val="21"/>
              </w:rPr>
              <w:t>基岩段</w:t>
            </w:r>
          </w:p>
        </w:tc>
        <w:tc>
          <w:tcPr>
            <w:tcW w:w="474" w:type="dxa"/>
            <w:vAlign w:val="center"/>
          </w:tcPr>
          <w:p w:rsidR="00C223F5" w:rsidRDefault="005860D5">
            <w:pPr>
              <w:spacing w:line="280" w:lineRule="exact"/>
              <w:jc w:val="center"/>
              <w:rPr>
                <w:szCs w:val="21"/>
              </w:rPr>
            </w:pPr>
            <w:r>
              <w:rPr>
                <w:szCs w:val="21"/>
              </w:rPr>
              <w:t>m</w:t>
            </w:r>
          </w:p>
        </w:tc>
        <w:tc>
          <w:tcPr>
            <w:tcW w:w="1795" w:type="dxa"/>
            <w:vAlign w:val="center"/>
          </w:tcPr>
          <w:p w:rsidR="00C223F5" w:rsidRDefault="005860D5">
            <w:pPr>
              <w:spacing w:line="280" w:lineRule="exact"/>
              <w:jc w:val="center"/>
              <w:rPr>
                <w:szCs w:val="21"/>
              </w:rPr>
            </w:pPr>
            <w:r>
              <w:rPr>
                <w:szCs w:val="21"/>
              </w:rPr>
              <w:t>544</w:t>
            </w:r>
          </w:p>
        </w:tc>
        <w:tc>
          <w:tcPr>
            <w:tcW w:w="1646" w:type="dxa"/>
            <w:vAlign w:val="center"/>
          </w:tcPr>
          <w:p w:rsidR="00C223F5" w:rsidRDefault="005860D5">
            <w:pPr>
              <w:spacing w:line="280" w:lineRule="exact"/>
              <w:jc w:val="center"/>
              <w:rPr>
                <w:szCs w:val="21"/>
              </w:rPr>
            </w:pPr>
            <w:r>
              <w:rPr>
                <w:szCs w:val="21"/>
              </w:rPr>
              <w:t>2103</w:t>
            </w:r>
          </w:p>
        </w:tc>
        <w:tc>
          <w:tcPr>
            <w:tcW w:w="1568" w:type="dxa"/>
            <w:vAlign w:val="center"/>
          </w:tcPr>
          <w:p w:rsidR="00C223F5" w:rsidRDefault="005860D5">
            <w:pPr>
              <w:spacing w:line="280" w:lineRule="exact"/>
              <w:jc w:val="center"/>
              <w:rPr>
                <w:szCs w:val="21"/>
              </w:rPr>
            </w:pPr>
            <w:r>
              <w:rPr>
                <w:szCs w:val="21"/>
              </w:rPr>
              <w:t>167.783</w:t>
            </w:r>
          </w:p>
        </w:tc>
        <w:tc>
          <w:tcPr>
            <w:tcW w:w="1492" w:type="dxa"/>
            <w:vAlign w:val="center"/>
          </w:tcPr>
          <w:p w:rsidR="00C223F5" w:rsidRDefault="005860D5">
            <w:pPr>
              <w:spacing w:line="280" w:lineRule="exact"/>
              <w:jc w:val="center"/>
              <w:rPr>
                <w:szCs w:val="21"/>
              </w:rPr>
            </w:pPr>
            <w:r>
              <w:rPr>
                <w:szCs w:val="21"/>
              </w:rPr>
              <w:t>167.783</w:t>
            </w:r>
          </w:p>
        </w:tc>
      </w:tr>
      <w:tr w:rsidR="00C223F5">
        <w:trPr>
          <w:trHeight w:val="284"/>
          <w:jc w:val="center"/>
        </w:trPr>
        <w:tc>
          <w:tcPr>
            <w:tcW w:w="470" w:type="dxa"/>
            <w:vMerge w:val="restart"/>
            <w:vAlign w:val="center"/>
          </w:tcPr>
          <w:p w:rsidR="00C223F5" w:rsidRDefault="005860D5">
            <w:pPr>
              <w:spacing w:line="280" w:lineRule="exact"/>
              <w:jc w:val="center"/>
              <w:rPr>
                <w:b/>
                <w:szCs w:val="21"/>
              </w:rPr>
            </w:pPr>
            <w:r>
              <w:rPr>
                <w:b/>
                <w:szCs w:val="21"/>
              </w:rPr>
              <w:t>6</w:t>
            </w:r>
          </w:p>
        </w:tc>
        <w:tc>
          <w:tcPr>
            <w:tcW w:w="627" w:type="dxa"/>
            <w:vMerge w:val="restart"/>
            <w:vAlign w:val="center"/>
          </w:tcPr>
          <w:p w:rsidR="00C223F5" w:rsidRDefault="005860D5">
            <w:pPr>
              <w:spacing w:line="280" w:lineRule="exact"/>
              <w:jc w:val="center"/>
              <w:rPr>
                <w:szCs w:val="21"/>
              </w:rPr>
            </w:pPr>
            <w:r>
              <w:rPr>
                <w:rFonts w:hAnsi="宋体"/>
                <w:szCs w:val="21"/>
              </w:rPr>
              <w:t>井筒</w:t>
            </w:r>
          </w:p>
          <w:p w:rsidR="00C223F5" w:rsidRDefault="005860D5">
            <w:pPr>
              <w:spacing w:line="280" w:lineRule="exact"/>
              <w:jc w:val="center"/>
              <w:rPr>
                <w:szCs w:val="21"/>
              </w:rPr>
            </w:pPr>
            <w:r>
              <w:rPr>
                <w:rFonts w:hAnsi="宋体"/>
                <w:szCs w:val="21"/>
              </w:rPr>
              <w:t>宽度</w:t>
            </w:r>
          </w:p>
        </w:tc>
        <w:tc>
          <w:tcPr>
            <w:tcW w:w="1456" w:type="dxa"/>
            <w:gridSpan w:val="2"/>
            <w:vAlign w:val="center"/>
          </w:tcPr>
          <w:p w:rsidR="00C223F5" w:rsidRDefault="005860D5">
            <w:pPr>
              <w:spacing w:line="280" w:lineRule="exact"/>
              <w:ind w:leftChars="-50" w:left="-105" w:rightChars="-50" w:right="-105"/>
              <w:jc w:val="center"/>
              <w:rPr>
                <w:spacing w:val="-20"/>
                <w:szCs w:val="21"/>
              </w:rPr>
            </w:pPr>
            <w:r>
              <w:rPr>
                <w:rFonts w:hAnsi="宋体"/>
                <w:szCs w:val="21"/>
              </w:rPr>
              <w:t>净宽度（直径）</w:t>
            </w:r>
          </w:p>
        </w:tc>
        <w:tc>
          <w:tcPr>
            <w:tcW w:w="474" w:type="dxa"/>
            <w:vAlign w:val="center"/>
          </w:tcPr>
          <w:p w:rsidR="00C223F5" w:rsidRDefault="005860D5">
            <w:pPr>
              <w:spacing w:line="280" w:lineRule="exact"/>
              <w:jc w:val="center"/>
              <w:rPr>
                <w:szCs w:val="21"/>
              </w:rPr>
            </w:pPr>
            <w:r>
              <w:rPr>
                <w:szCs w:val="21"/>
              </w:rPr>
              <w:t>m</w:t>
            </w:r>
          </w:p>
        </w:tc>
        <w:tc>
          <w:tcPr>
            <w:tcW w:w="1795" w:type="dxa"/>
            <w:vAlign w:val="center"/>
          </w:tcPr>
          <w:p w:rsidR="00C223F5" w:rsidRDefault="005860D5">
            <w:pPr>
              <w:spacing w:line="280" w:lineRule="exact"/>
              <w:jc w:val="center"/>
              <w:rPr>
                <w:szCs w:val="21"/>
              </w:rPr>
            </w:pPr>
            <w:r>
              <w:rPr>
                <w:szCs w:val="21"/>
              </w:rPr>
              <w:t>4.2</w:t>
            </w:r>
          </w:p>
        </w:tc>
        <w:tc>
          <w:tcPr>
            <w:tcW w:w="1646" w:type="dxa"/>
            <w:vAlign w:val="center"/>
          </w:tcPr>
          <w:p w:rsidR="00C223F5" w:rsidRDefault="005860D5">
            <w:pPr>
              <w:spacing w:line="280" w:lineRule="exact"/>
              <w:jc w:val="center"/>
              <w:rPr>
                <w:szCs w:val="21"/>
              </w:rPr>
            </w:pPr>
            <w:r>
              <w:rPr>
                <w:szCs w:val="21"/>
              </w:rPr>
              <w:t>5.0</w:t>
            </w:r>
          </w:p>
        </w:tc>
        <w:tc>
          <w:tcPr>
            <w:tcW w:w="1568" w:type="dxa"/>
            <w:vAlign w:val="center"/>
          </w:tcPr>
          <w:p w:rsidR="00C223F5" w:rsidRDefault="005860D5">
            <w:pPr>
              <w:spacing w:line="280" w:lineRule="exact"/>
              <w:jc w:val="center"/>
              <w:rPr>
                <w:szCs w:val="21"/>
              </w:rPr>
            </w:pPr>
            <w:r>
              <w:rPr>
                <w:szCs w:val="21"/>
              </w:rPr>
              <w:t>4.2</w:t>
            </w:r>
          </w:p>
        </w:tc>
        <w:tc>
          <w:tcPr>
            <w:tcW w:w="1492" w:type="dxa"/>
            <w:vAlign w:val="center"/>
          </w:tcPr>
          <w:p w:rsidR="00C223F5" w:rsidRDefault="005860D5">
            <w:pPr>
              <w:spacing w:line="280" w:lineRule="exact"/>
              <w:jc w:val="center"/>
              <w:rPr>
                <w:szCs w:val="21"/>
              </w:rPr>
            </w:pPr>
            <w:r>
              <w:rPr>
                <w:szCs w:val="21"/>
              </w:rPr>
              <w:t>3.6</w:t>
            </w:r>
          </w:p>
        </w:tc>
      </w:tr>
      <w:tr w:rsidR="00C223F5">
        <w:trPr>
          <w:trHeight w:val="284"/>
          <w:jc w:val="center"/>
        </w:trPr>
        <w:tc>
          <w:tcPr>
            <w:tcW w:w="470" w:type="dxa"/>
            <w:vMerge/>
            <w:vAlign w:val="center"/>
          </w:tcPr>
          <w:p w:rsidR="00C223F5" w:rsidRDefault="00C223F5">
            <w:pPr>
              <w:spacing w:line="280" w:lineRule="exact"/>
              <w:jc w:val="center"/>
              <w:rPr>
                <w:b/>
                <w:szCs w:val="21"/>
              </w:rPr>
            </w:pPr>
          </w:p>
        </w:tc>
        <w:tc>
          <w:tcPr>
            <w:tcW w:w="627" w:type="dxa"/>
            <w:vMerge/>
            <w:vAlign w:val="center"/>
          </w:tcPr>
          <w:p w:rsidR="00C223F5" w:rsidRDefault="00C223F5">
            <w:pPr>
              <w:spacing w:line="280" w:lineRule="exact"/>
              <w:jc w:val="center"/>
              <w:rPr>
                <w:szCs w:val="21"/>
              </w:rPr>
            </w:pPr>
          </w:p>
        </w:tc>
        <w:tc>
          <w:tcPr>
            <w:tcW w:w="717" w:type="dxa"/>
            <w:vMerge w:val="restart"/>
            <w:vAlign w:val="center"/>
          </w:tcPr>
          <w:p w:rsidR="00C223F5" w:rsidRDefault="005860D5">
            <w:pPr>
              <w:spacing w:line="280" w:lineRule="exact"/>
              <w:jc w:val="center"/>
              <w:rPr>
                <w:rFonts w:hAnsi="宋体"/>
                <w:szCs w:val="21"/>
              </w:rPr>
            </w:pPr>
            <w:r>
              <w:rPr>
                <w:rFonts w:hAnsi="宋体"/>
                <w:szCs w:val="21"/>
              </w:rPr>
              <w:t>掘进</w:t>
            </w:r>
          </w:p>
          <w:p w:rsidR="00C223F5" w:rsidRDefault="005860D5">
            <w:pPr>
              <w:spacing w:line="280" w:lineRule="exact"/>
              <w:jc w:val="center"/>
              <w:rPr>
                <w:spacing w:val="-20"/>
                <w:szCs w:val="21"/>
              </w:rPr>
            </w:pPr>
            <w:r>
              <w:rPr>
                <w:rFonts w:hAnsi="宋体"/>
                <w:szCs w:val="21"/>
              </w:rPr>
              <w:t>宽度</w:t>
            </w:r>
          </w:p>
        </w:tc>
        <w:tc>
          <w:tcPr>
            <w:tcW w:w="739" w:type="dxa"/>
            <w:vAlign w:val="center"/>
          </w:tcPr>
          <w:p w:rsidR="00C223F5" w:rsidRDefault="005860D5">
            <w:pPr>
              <w:spacing w:line="280" w:lineRule="exact"/>
              <w:ind w:leftChars="-50" w:left="-105" w:rightChars="-50" w:right="-105"/>
              <w:jc w:val="center"/>
              <w:rPr>
                <w:szCs w:val="21"/>
              </w:rPr>
            </w:pPr>
            <w:r>
              <w:rPr>
                <w:rFonts w:hAnsi="宋体"/>
                <w:szCs w:val="21"/>
              </w:rPr>
              <w:t>表土段</w:t>
            </w:r>
          </w:p>
        </w:tc>
        <w:tc>
          <w:tcPr>
            <w:tcW w:w="474" w:type="dxa"/>
            <w:vAlign w:val="center"/>
          </w:tcPr>
          <w:p w:rsidR="00C223F5" w:rsidRDefault="005860D5">
            <w:pPr>
              <w:spacing w:line="280" w:lineRule="exact"/>
              <w:jc w:val="center"/>
              <w:rPr>
                <w:szCs w:val="21"/>
              </w:rPr>
            </w:pPr>
            <w:r>
              <w:rPr>
                <w:szCs w:val="21"/>
              </w:rPr>
              <w:t>m</w:t>
            </w:r>
          </w:p>
        </w:tc>
        <w:tc>
          <w:tcPr>
            <w:tcW w:w="1795" w:type="dxa"/>
            <w:vAlign w:val="center"/>
          </w:tcPr>
          <w:p w:rsidR="00C223F5" w:rsidRDefault="005860D5">
            <w:pPr>
              <w:spacing w:line="280" w:lineRule="exact"/>
              <w:jc w:val="center"/>
              <w:rPr>
                <w:szCs w:val="21"/>
              </w:rPr>
            </w:pPr>
            <w:r>
              <w:rPr>
                <w:szCs w:val="21"/>
              </w:rPr>
              <w:t>4.9</w:t>
            </w:r>
          </w:p>
        </w:tc>
        <w:tc>
          <w:tcPr>
            <w:tcW w:w="1646" w:type="dxa"/>
            <w:vAlign w:val="center"/>
          </w:tcPr>
          <w:p w:rsidR="00C223F5" w:rsidRDefault="005860D5">
            <w:pPr>
              <w:spacing w:line="280" w:lineRule="exact"/>
              <w:jc w:val="center"/>
              <w:rPr>
                <w:szCs w:val="21"/>
              </w:rPr>
            </w:pPr>
            <w:r>
              <w:rPr>
                <w:szCs w:val="21"/>
              </w:rPr>
              <w:t>5.8</w:t>
            </w:r>
          </w:p>
        </w:tc>
        <w:tc>
          <w:tcPr>
            <w:tcW w:w="1568" w:type="dxa"/>
            <w:vAlign w:val="center"/>
          </w:tcPr>
          <w:p w:rsidR="00C223F5" w:rsidRDefault="005860D5">
            <w:pPr>
              <w:spacing w:line="280" w:lineRule="exact"/>
              <w:jc w:val="center"/>
              <w:rPr>
                <w:szCs w:val="21"/>
              </w:rPr>
            </w:pPr>
            <w:r>
              <w:rPr>
                <w:szCs w:val="21"/>
              </w:rPr>
              <w:t>4.8</w:t>
            </w:r>
          </w:p>
        </w:tc>
        <w:tc>
          <w:tcPr>
            <w:tcW w:w="1492" w:type="dxa"/>
            <w:vAlign w:val="center"/>
          </w:tcPr>
          <w:p w:rsidR="00C223F5" w:rsidRDefault="005860D5">
            <w:pPr>
              <w:spacing w:line="280" w:lineRule="exact"/>
              <w:jc w:val="center"/>
              <w:rPr>
                <w:szCs w:val="21"/>
              </w:rPr>
            </w:pPr>
            <w:r>
              <w:rPr>
                <w:szCs w:val="21"/>
              </w:rPr>
              <w:t>4.2</w:t>
            </w:r>
          </w:p>
        </w:tc>
      </w:tr>
      <w:tr w:rsidR="00C223F5">
        <w:trPr>
          <w:trHeight w:val="75"/>
          <w:jc w:val="center"/>
        </w:trPr>
        <w:tc>
          <w:tcPr>
            <w:tcW w:w="470" w:type="dxa"/>
            <w:vMerge/>
            <w:vAlign w:val="center"/>
          </w:tcPr>
          <w:p w:rsidR="00C223F5" w:rsidRDefault="00C223F5">
            <w:pPr>
              <w:spacing w:line="280" w:lineRule="exact"/>
              <w:jc w:val="center"/>
              <w:rPr>
                <w:b/>
                <w:szCs w:val="21"/>
              </w:rPr>
            </w:pPr>
          </w:p>
        </w:tc>
        <w:tc>
          <w:tcPr>
            <w:tcW w:w="627" w:type="dxa"/>
            <w:vMerge/>
            <w:vAlign w:val="center"/>
          </w:tcPr>
          <w:p w:rsidR="00C223F5" w:rsidRDefault="00C223F5">
            <w:pPr>
              <w:spacing w:line="280" w:lineRule="exact"/>
              <w:jc w:val="center"/>
              <w:rPr>
                <w:szCs w:val="21"/>
              </w:rPr>
            </w:pPr>
          </w:p>
        </w:tc>
        <w:tc>
          <w:tcPr>
            <w:tcW w:w="717" w:type="dxa"/>
            <w:vMerge/>
            <w:vAlign w:val="center"/>
          </w:tcPr>
          <w:p w:rsidR="00C223F5" w:rsidRDefault="00C223F5">
            <w:pPr>
              <w:spacing w:line="280" w:lineRule="exact"/>
              <w:jc w:val="center"/>
              <w:rPr>
                <w:szCs w:val="21"/>
              </w:rPr>
            </w:pPr>
          </w:p>
        </w:tc>
        <w:tc>
          <w:tcPr>
            <w:tcW w:w="739" w:type="dxa"/>
            <w:vAlign w:val="center"/>
          </w:tcPr>
          <w:p w:rsidR="00C223F5" w:rsidRDefault="005860D5">
            <w:pPr>
              <w:spacing w:line="280" w:lineRule="exact"/>
              <w:ind w:leftChars="-50" w:left="-105" w:rightChars="-50" w:right="-105"/>
              <w:jc w:val="center"/>
              <w:rPr>
                <w:szCs w:val="21"/>
              </w:rPr>
            </w:pPr>
            <w:r>
              <w:rPr>
                <w:rFonts w:hAnsi="宋体"/>
                <w:szCs w:val="21"/>
              </w:rPr>
              <w:t>基岩段</w:t>
            </w:r>
          </w:p>
        </w:tc>
        <w:tc>
          <w:tcPr>
            <w:tcW w:w="474" w:type="dxa"/>
            <w:vAlign w:val="center"/>
          </w:tcPr>
          <w:p w:rsidR="00C223F5" w:rsidRDefault="005860D5">
            <w:pPr>
              <w:spacing w:line="280" w:lineRule="exact"/>
              <w:jc w:val="center"/>
              <w:rPr>
                <w:szCs w:val="21"/>
              </w:rPr>
            </w:pPr>
            <w:r>
              <w:rPr>
                <w:szCs w:val="21"/>
              </w:rPr>
              <w:t>m</w:t>
            </w:r>
          </w:p>
        </w:tc>
        <w:tc>
          <w:tcPr>
            <w:tcW w:w="1795" w:type="dxa"/>
            <w:vAlign w:val="center"/>
          </w:tcPr>
          <w:p w:rsidR="00C223F5" w:rsidRDefault="005860D5">
            <w:pPr>
              <w:spacing w:line="280" w:lineRule="exact"/>
              <w:jc w:val="center"/>
              <w:rPr>
                <w:szCs w:val="21"/>
              </w:rPr>
            </w:pPr>
            <w:r>
              <w:rPr>
                <w:szCs w:val="21"/>
              </w:rPr>
              <w:t>4.44</w:t>
            </w:r>
          </w:p>
        </w:tc>
        <w:tc>
          <w:tcPr>
            <w:tcW w:w="1646" w:type="dxa"/>
            <w:vAlign w:val="center"/>
          </w:tcPr>
          <w:p w:rsidR="00C223F5" w:rsidRDefault="005860D5">
            <w:pPr>
              <w:spacing w:line="280" w:lineRule="exact"/>
              <w:jc w:val="center"/>
              <w:rPr>
                <w:szCs w:val="21"/>
              </w:rPr>
            </w:pPr>
            <w:r>
              <w:rPr>
                <w:szCs w:val="21"/>
              </w:rPr>
              <w:t>5.24</w:t>
            </w:r>
          </w:p>
        </w:tc>
        <w:tc>
          <w:tcPr>
            <w:tcW w:w="1568" w:type="dxa"/>
            <w:vAlign w:val="center"/>
          </w:tcPr>
          <w:p w:rsidR="00C223F5" w:rsidRDefault="005860D5">
            <w:pPr>
              <w:spacing w:line="280" w:lineRule="exact"/>
              <w:jc w:val="center"/>
              <w:rPr>
                <w:szCs w:val="21"/>
              </w:rPr>
            </w:pPr>
            <w:r>
              <w:rPr>
                <w:szCs w:val="21"/>
              </w:rPr>
              <w:t>4.8</w:t>
            </w:r>
          </w:p>
        </w:tc>
        <w:tc>
          <w:tcPr>
            <w:tcW w:w="1492" w:type="dxa"/>
            <w:vAlign w:val="center"/>
          </w:tcPr>
          <w:p w:rsidR="00C223F5" w:rsidRDefault="005860D5">
            <w:pPr>
              <w:spacing w:line="280" w:lineRule="exact"/>
              <w:jc w:val="center"/>
              <w:rPr>
                <w:szCs w:val="21"/>
              </w:rPr>
            </w:pPr>
            <w:r>
              <w:rPr>
                <w:szCs w:val="21"/>
              </w:rPr>
              <w:t>4.2</w:t>
            </w:r>
          </w:p>
        </w:tc>
      </w:tr>
      <w:tr w:rsidR="00C223F5">
        <w:trPr>
          <w:trHeight w:val="284"/>
          <w:jc w:val="center"/>
        </w:trPr>
        <w:tc>
          <w:tcPr>
            <w:tcW w:w="470" w:type="dxa"/>
            <w:vMerge w:val="restart"/>
            <w:vAlign w:val="center"/>
          </w:tcPr>
          <w:p w:rsidR="00C223F5" w:rsidRDefault="005860D5">
            <w:pPr>
              <w:spacing w:line="280" w:lineRule="exact"/>
              <w:jc w:val="center"/>
              <w:rPr>
                <w:b/>
                <w:szCs w:val="21"/>
              </w:rPr>
            </w:pPr>
            <w:r>
              <w:rPr>
                <w:b/>
                <w:szCs w:val="21"/>
              </w:rPr>
              <w:t>7</w:t>
            </w:r>
          </w:p>
        </w:tc>
        <w:tc>
          <w:tcPr>
            <w:tcW w:w="627" w:type="dxa"/>
            <w:vMerge w:val="restart"/>
            <w:vAlign w:val="center"/>
          </w:tcPr>
          <w:p w:rsidR="00C223F5" w:rsidRDefault="005860D5">
            <w:pPr>
              <w:spacing w:line="280" w:lineRule="exact"/>
              <w:jc w:val="center"/>
              <w:rPr>
                <w:szCs w:val="21"/>
              </w:rPr>
            </w:pPr>
            <w:r>
              <w:rPr>
                <w:rFonts w:hAnsi="宋体"/>
                <w:szCs w:val="21"/>
              </w:rPr>
              <w:t>支护</w:t>
            </w:r>
          </w:p>
          <w:p w:rsidR="00C223F5" w:rsidRDefault="005860D5">
            <w:pPr>
              <w:spacing w:line="280" w:lineRule="exact"/>
              <w:jc w:val="center"/>
              <w:rPr>
                <w:szCs w:val="21"/>
              </w:rPr>
            </w:pPr>
            <w:r>
              <w:rPr>
                <w:rFonts w:hAnsi="宋体"/>
                <w:szCs w:val="21"/>
              </w:rPr>
              <w:t>方式</w:t>
            </w:r>
          </w:p>
        </w:tc>
        <w:tc>
          <w:tcPr>
            <w:tcW w:w="1456" w:type="dxa"/>
            <w:gridSpan w:val="2"/>
            <w:vAlign w:val="center"/>
          </w:tcPr>
          <w:p w:rsidR="00C223F5" w:rsidRDefault="005860D5">
            <w:pPr>
              <w:spacing w:line="280" w:lineRule="exact"/>
              <w:jc w:val="center"/>
              <w:rPr>
                <w:szCs w:val="21"/>
              </w:rPr>
            </w:pPr>
            <w:r>
              <w:rPr>
                <w:rFonts w:hAnsi="宋体"/>
                <w:szCs w:val="21"/>
              </w:rPr>
              <w:t>表土段</w:t>
            </w:r>
          </w:p>
        </w:tc>
        <w:tc>
          <w:tcPr>
            <w:tcW w:w="474" w:type="dxa"/>
            <w:vAlign w:val="center"/>
          </w:tcPr>
          <w:p w:rsidR="00C223F5" w:rsidRDefault="00C223F5">
            <w:pPr>
              <w:spacing w:line="280" w:lineRule="exact"/>
              <w:jc w:val="center"/>
              <w:rPr>
                <w:szCs w:val="21"/>
              </w:rPr>
            </w:pPr>
          </w:p>
        </w:tc>
        <w:tc>
          <w:tcPr>
            <w:tcW w:w="1795" w:type="dxa"/>
            <w:vAlign w:val="center"/>
          </w:tcPr>
          <w:p w:rsidR="00C223F5" w:rsidRDefault="005860D5">
            <w:pPr>
              <w:spacing w:line="280" w:lineRule="exact"/>
              <w:jc w:val="center"/>
              <w:rPr>
                <w:szCs w:val="21"/>
              </w:rPr>
            </w:pPr>
            <w:r>
              <w:rPr>
                <w:rFonts w:hAnsi="宋体"/>
                <w:szCs w:val="21"/>
              </w:rPr>
              <w:t>钢筋混凝土砌碹</w:t>
            </w:r>
          </w:p>
        </w:tc>
        <w:tc>
          <w:tcPr>
            <w:tcW w:w="1646" w:type="dxa"/>
            <w:vAlign w:val="center"/>
          </w:tcPr>
          <w:p w:rsidR="00C223F5" w:rsidRDefault="005860D5">
            <w:pPr>
              <w:spacing w:line="280" w:lineRule="exact"/>
              <w:jc w:val="center"/>
              <w:rPr>
                <w:szCs w:val="21"/>
              </w:rPr>
            </w:pPr>
            <w:r>
              <w:rPr>
                <w:rFonts w:hAnsi="宋体"/>
                <w:szCs w:val="21"/>
              </w:rPr>
              <w:t>钢筋混凝土砌碹</w:t>
            </w:r>
          </w:p>
        </w:tc>
        <w:tc>
          <w:tcPr>
            <w:tcW w:w="1568" w:type="dxa"/>
            <w:vAlign w:val="center"/>
          </w:tcPr>
          <w:p w:rsidR="00C223F5" w:rsidRDefault="005860D5">
            <w:pPr>
              <w:spacing w:line="280" w:lineRule="exact"/>
              <w:jc w:val="center"/>
              <w:rPr>
                <w:szCs w:val="21"/>
              </w:rPr>
            </w:pPr>
            <w:r>
              <w:rPr>
                <w:rFonts w:hAnsi="宋体"/>
                <w:szCs w:val="21"/>
              </w:rPr>
              <w:t>钢筋混凝土砌碹</w:t>
            </w:r>
          </w:p>
        </w:tc>
        <w:tc>
          <w:tcPr>
            <w:tcW w:w="1492" w:type="dxa"/>
            <w:vAlign w:val="center"/>
          </w:tcPr>
          <w:p w:rsidR="00C223F5" w:rsidRDefault="005860D5">
            <w:pPr>
              <w:spacing w:line="280" w:lineRule="exact"/>
              <w:jc w:val="center"/>
              <w:rPr>
                <w:szCs w:val="21"/>
              </w:rPr>
            </w:pPr>
            <w:r>
              <w:rPr>
                <w:rFonts w:hAnsi="宋体"/>
                <w:szCs w:val="21"/>
              </w:rPr>
              <w:t>钢筋混凝土砌碹</w:t>
            </w:r>
          </w:p>
        </w:tc>
      </w:tr>
      <w:tr w:rsidR="00C223F5">
        <w:trPr>
          <w:trHeight w:val="75"/>
          <w:jc w:val="center"/>
        </w:trPr>
        <w:tc>
          <w:tcPr>
            <w:tcW w:w="470" w:type="dxa"/>
            <w:vMerge/>
            <w:vAlign w:val="center"/>
          </w:tcPr>
          <w:p w:rsidR="00C223F5" w:rsidRDefault="00C223F5">
            <w:pPr>
              <w:spacing w:line="280" w:lineRule="exact"/>
              <w:jc w:val="center"/>
              <w:rPr>
                <w:b/>
                <w:szCs w:val="21"/>
              </w:rPr>
            </w:pPr>
          </w:p>
        </w:tc>
        <w:tc>
          <w:tcPr>
            <w:tcW w:w="627" w:type="dxa"/>
            <w:vMerge/>
            <w:vAlign w:val="center"/>
          </w:tcPr>
          <w:p w:rsidR="00C223F5" w:rsidRDefault="00C223F5">
            <w:pPr>
              <w:spacing w:line="280" w:lineRule="exact"/>
              <w:jc w:val="center"/>
              <w:rPr>
                <w:szCs w:val="21"/>
              </w:rPr>
            </w:pPr>
          </w:p>
        </w:tc>
        <w:tc>
          <w:tcPr>
            <w:tcW w:w="1456" w:type="dxa"/>
            <w:gridSpan w:val="2"/>
            <w:vAlign w:val="center"/>
          </w:tcPr>
          <w:p w:rsidR="00C223F5" w:rsidRDefault="005860D5">
            <w:pPr>
              <w:spacing w:line="280" w:lineRule="exact"/>
              <w:jc w:val="center"/>
              <w:rPr>
                <w:szCs w:val="21"/>
              </w:rPr>
            </w:pPr>
            <w:r>
              <w:rPr>
                <w:rFonts w:hAnsi="宋体"/>
                <w:szCs w:val="21"/>
              </w:rPr>
              <w:t>基岩段</w:t>
            </w:r>
          </w:p>
        </w:tc>
        <w:tc>
          <w:tcPr>
            <w:tcW w:w="474" w:type="dxa"/>
            <w:vAlign w:val="center"/>
          </w:tcPr>
          <w:p w:rsidR="00C223F5" w:rsidRDefault="00C223F5">
            <w:pPr>
              <w:spacing w:line="280" w:lineRule="exact"/>
              <w:jc w:val="center"/>
              <w:rPr>
                <w:szCs w:val="21"/>
              </w:rPr>
            </w:pPr>
          </w:p>
        </w:tc>
        <w:tc>
          <w:tcPr>
            <w:tcW w:w="1795" w:type="dxa"/>
            <w:vAlign w:val="center"/>
          </w:tcPr>
          <w:p w:rsidR="00C223F5" w:rsidRDefault="005860D5">
            <w:pPr>
              <w:spacing w:line="280" w:lineRule="exact"/>
              <w:jc w:val="center"/>
              <w:rPr>
                <w:szCs w:val="21"/>
              </w:rPr>
            </w:pPr>
            <w:r>
              <w:rPr>
                <w:rFonts w:hAnsi="宋体"/>
                <w:szCs w:val="21"/>
              </w:rPr>
              <w:t>锚网喷</w:t>
            </w:r>
            <w:r>
              <w:rPr>
                <w:szCs w:val="21"/>
              </w:rPr>
              <w:t>+</w:t>
            </w:r>
            <w:r>
              <w:rPr>
                <w:rFonts w:hAnsi="宋体"/>
                <w:szCs w:val="21"/>
              </w:rPr>
              <w:t>锚索</w:t>
            </w:r>
          </w:p>
        </w:tc>
        <w:tc>
          <w:tcPr>
            <w:tcW w:w="1646" w:type="dxa"/>
            <w:vAlign w:val="center"/>
          </w:tcPr>
          <w:p w:rsidR="00C223F5" w:rsidRDefault="005860D5">
            <w:pPr>
              <w:spacing w:line="280" w:lineRule="exact"/>
              <w:jc w:val="center"/>
              <w:rPr>
                <w:szCs w:val="21"/>
              </w:rPr>
            </w:pPr>
            <w:r>
              <w:rPr>
                <w:rFonts w:hAnsi="宋体"/>
                <w:szCs w:val="21"/>
              </w:rPr>
              <w:t>锚网喷</w:t>
            </w:r>
            <w:r>
              <w:rPr>
                <w:szCs w:val="21"/>
              </w:rPr>
              <w:t>+</w:t>
            </w:r>
            <w:r>
              <w:rPr>
                <w:rFonts w:hAnsi="宋体"/>
                <w:szCs w:val="21"/>
              </w:rPr>
              <w:t>锚索</w:t>
            </w:r>
          </w:p>
        </w:tc>
        <w:tc>
          <w:tcPr>
            <w:tcW w:w="1568" w:type="dxa"/>
            <w:vAlign w:val="center"/>
          </w:tcPr>
          <w:p w:rsidR="00C223F5" w:rsidRDefault="005860D5">
            <w:pPr>
              <w:spacing w:line="280" w:lineRule="exact"/>
              <w:jc w:val="center"/>
              <w:rPr>
                <w:szCs w:val="21"/>
              </w:rPr>
            </w:pPr>
            <w:r>
              <w:rPr>
                <w:rFonts w:hAnsi="宋体"/>
                <w:szCs w:val="21"/>
              </w:rPr>
              <w:t>混凝土砌碹</w:t>
            </w:r>
          </w:p>
        </w:tc>
        <w:tc>
          <w:tcPr>
            <w:tcW w:w="1492" w:type="dxa"/>
            <w:vAlign w:val="center"/>
          </w:tcPr>
          <w:p w:rsidR="00C223F5" w:rsidRDefault="005860D5">
            <w:pPr>
              <w:spacing w:line="280" w:lineRule="exact"/>
              <w:jc w:val="center"/>
              <w:rPr>
                <w:szCs w:val="21"/>
              </w:rPr>
            </w:pPr>
            <w:r>
              <w:rPr>
                <w:rFonts w:hAnsi="宋体"/>
                <w:szCs w:val="21"/>
              </w:rPr>
              <w:t>混凝土砌碹</w:t>
            </w:r>
          </w:p>
        </w:tc>
      </w:tr>
      <w:tr w:rsidR="00C223F5">
        <w:trPr>
          <w:trHeight w:val="75"/>
          <w:jc w:val="center"/>
        </w:trPr>
        <w:tc>
          <w:tcPr>
            <w:tcW w:w="470" w:type="dxa"/>
            <w:vMerge w:val="restart"/>
            <w:vAlign w:val="center"/>
          </w:tcPr>
          <w:p w:rsidR="00C223F5" w:rsidRDefault="005860D5">
            <w:pPr>
              <w:spacing w:line="280" w:lineRule="exact"/>
              <w:jc w:val="center"/>
              <w:rPr>
                <w:b/>
                <w:szCs w:val="21"/>
              </w:rPr>
            </w:pPr>
            <w:r>
              <w:rPr>
                <w:b/>
                <w:szCs w:val="21"/>
              </w:rPr>
              <w:t>8</w:t>
            </w:r>
          </w:p>
        </w:tc>
        <w:tc>
          <w:tcPr>
            <w:tcW w:w="627" w:type="dxa"/>
            <w:vMerge w:val="restart"/>
            <w:vAlign w:val="center"/>
          </w:tcPr>
          <w:p w:rsidR="00C223F5" w:rsidRDefault="005860D5">
            <w:pPr>
              <w:spacing w:line="280" w:lineRule="exact"/>
              <w:jc w:val="center"/>
              <w:rPr>
                <w:szCs w:val="21"/>
              </w:rPr>
            </w:pPr>
            <w:r>
              <w:rPr>
                <w:rFonts w:hAnsi="宋体"/>
                <w:szCs w:val="21"/>
              </w:rPr>
              <w:t>支护</w:t>
            </w:r>
          </w:p>
          <w:p w:rsidR="00C223F5" w:rsidRDefault="005860D5">
            <w:pPr>
              <w:spacing w:line="280" w:lineRule="exact"/>
              <w:jc w:val="center"/>
              <w:rPr>
                <w:szCs w:val="21"/>
              </w:rPr>
            </w:pPr>
            <w:r>
              <w:rPr>
                <w:rFonts w:hAnsi="宋体"/>
                <w:szCs w:val="21"/>
              </w:rPr>
              <w:t>厚度</w:t>
            </w:r>
          </w:p>
        </w:tc>
        <w:tc>
          <w:tcPr>
            <w:tcW w:w="1456" w:type="dxa"/>
            <w:gridSpan w:val="2"/>
            <w:vAlign w:val="center"/>
          </w:tcPr>
          <w:p w:rsidR="00C223F5" w:rsidRDefault="005860D5">
            <w:pPr>
              <w:spacing w:line="280" w:lineRule="exact"/>
              <w:jc w:val="center"/>
              <w:rPr>
                <w:szCs w:val="21"/>
              </w:rPr>
            </w:pPr>
            <w:r>
              <w:rPr>
                <w:rFonts w:hAnsi="宋体"/>
                <w:szCs w:val="21"/>
              </w:rPr>
              <w:t>表土段</w:t>
            </w:r>
          </w:p>
        </w:tc>
        <w:tc>
          <w:tcPr>
            <w:tcW w:w="474" w:type="dxa"/>
            <w:vAlign w:val="center"/>
          </w:tcPr>
          <w:p w:rsidR="00C223F5" w:rsidRDefault="005860D5">
            <w:pPr>
              <w:spacing w:line="280" w:lineRule="exact"/>
              <w:jc w:val="center"/>
              <w:rPr>
                <w:szCs w:val="21"/>
              </w:rPr>
            </w:pPr>
            <w:r>
              <w:rPr>
                <w:szCs w:val="21"/>
              </w:rPr>
              <w:t>m</w:t>
            </w:r>
          </w:p>
        </w:tc>
        <w:tc>
          <w:tcPr>
            <w:tcW w:w="1795" w:type="dxa"/>
            <w:vAlign w:val="center"/>
          </w:tcPr>
          <w:p w:rsidR="00C223F5" w:rsidRDefault="005860D5">
            <w:pPr>
              <w:spacing w:line="280" w:lineRule="exact"/>
              <w:jc w:val="center"/>
              <w:rPr>
                <w:szCs w:val="21"/>
              </w:rPr>
            </w:pPr>
            <w:r>
              <w:rPr>
                <w:szCs w:val="21"/>
              </w:rPr>
              <w:t>350</w:t>
            </w:r>
          </w:p>
        </w:tc>
        <w:tc>
          <w:tcPr>
            <w:tcW w:w="1646" w:type="dxa"/>
            <w:vAlign w:val="center"/>
          </w:tcPr>
          <w:p w:rsidR="00C223F5" w:rsidRDefault="005860D5">
            <w:pPr>
              <w:spacing w:line="280" w:lineRule="exact"/>
              <w:jc w:val="center"/>
              <w:rPr>
                <w:szCs w:val="21"/>
              </w:rPr>
            </w:pPr>
            <w:r>
              <w:rPr>
                <w:szCs w:val="21"/>
              </w:rPr>
              <w:t>400</w:t>
            </w:r>
          </w:p>
        </w:tc>
        <w:tc>
          <w:tcPr>
            <w:tcW w:w="1568" w:type="dxa"/>
            <w:vAlign w:val="center"/>
          </w:tcPr>
          <w:p w:rsidR="00C223F5" w:rsidRDefault="005860D5">
            <w:pPr>
              <w:spacing w:line="280" w:lineRule="exact"/>
              <w:jc w:val="center"/>
              <w:rPr>
                <w:szCs w:val="21"/>
              </w:rPr>
            </w:pPr>
            <w:r>
              <w:rPr>
                <w:szCs w:val="21"/>
              </w:rPr>
              <w:t>300</w:t>
            </w:r>
          </w:p>
        </w:tc>
        <w:tc>
          <w:tcPr>
            <w:tcW w:w="1492" w:type="dxa"/>
            <w:vAlign w:val="center"/>
          </w:tcPr>
          <w:p w:rsidR="00C223F5" w:rsidRDefault="005860D5">
            <w:pPr>
              <w:spacing w:line="280" w:lineRule="exact"/>
              <w:jc w:val="center"/>
              <w:rPr>
                <w:szCs w:val="21"/>
              </w:rPr>
            </w:pPr>
            <w:r>
              <w:rPr>
                <w:szCs w:val="21"/>
              </w:rPr>
              <w:t>300</w:t>
            </w:r>
          </w:p>
        </w:tc>
      </w:tr>
      <w:tr w:rsidR="00C223F5">
        <w:trPr>
          <w:trHeight w:val="75"/>
          <w:jc w:val="center"/>
        </w:trPr>
        <w:tc>
          <w:tcPr>
            <w:tcW w:w="470" w:type="dxa"/>
            <w:vMerge/>
            <w:vAlign w:val="center"/>
          </w:tcPr>
          <w:p w:rsidR="00C223F5" w:rsidRDefault="00C223F5">
            <w:pPr>
              <w:spacing w:line="280" w:lineRule="exact"/>
              <w:jc w:val="center"/>
              <w:rPr>
                <w:b/>
                <w:szCs w:val="21"/>
              </w:rPr>
            </w:pPr>
          </w:p>
        </w:tc>
        <w:tc>
          <w:tcPr>
            <w:tcW w:w="627" w:type="dxa"/>
            <w:vMerge/>
            <w:vAlign w:val="center"/>
          </w:tcPr>
          <w:p w:rsidR="00C223F5" w:rsidRDefault="00C223F5">
            <w:pPr>
              <w:spacing w:line="280" w:lineRule="exact"/>
              <w:jc w:val="center"/>
              <w:rPr>
                <w:szCs w:val="21"/>
              </w:rPr>
            </w:pPr>
          </w:p>
        </w:tc>
        <w:tc>
          <w:tcPr>
            <w:tcW w:w="1456" w:type="dxa"/>
            <w:gridSpan w:val="2"/>
            <w:vAlign w:val="center"/>
          </w:tcPr>
          <w:p w:rsidR="00C223F5" w:rsidRDefault="005860D5">
            <w:pPr>
              <w:spacing w:line="280" w:lineRule="exact"/>
              <w:jc w:val="center"/>
              <w:rPr>
                <w:szCs w:val="21"/>
              </w:rPr>
            </w:pPr>
            <w:r>
              <w:rPr>
                <w:rFonts w:hAnsi="宋体"/>
                <w:szCs w:val="21"/>
              </w:rPr>
              <w:t>基岩段</w:t>
            </w:r>
          </w:p>
        </w:tc>
        <w:tc>
          <w:tcPr>
            <w:tcW w:w="474" w:type="dxa"/>
            <w:vAlign w:val="center"/>
          </w:tcPr>
          <w:p w:rsidR="00C223F5" w:rsidRDefault="005860D5">
            <w:pPr>
              <w:spacing w:line="280" w:lineRule="exact"/>
              <w:jc w:val="center"/>
              <w:rPr>
                <w:szCs w:val="21"/>
              </w:rPr>
            </w:pPr>
            <w:r>
              <w:rPr>
                <w:szCs w:val="21"/>
              </w:rPr>
              <w:t>m</w:t>
            </w:r>
          </w:p>
        </w:tc>
        <w:tc>
          <w:tcPr>
            <w:tcW w:w="1795" w:type="dxa"/>
            <w:vAlign w:val="center"/>
          </w:tcPr>
          <w:p w:rsidR="00C223F5" w:rsidRDefault="005860D5">
            <w:pPr>
              <w:spacing w:line="280" w:lineRule="exact"/>
              <w:jc w:val="center"/>
              <w:rPr>
                <w:szCs w:val="21"/>
              </w:rPr>
            </w:pPr>
            <w:r>
              <w:rPr>
                <w:szCs w:val="21"/>
              </w:rPr>
              <w:t>120</w:t>
            </w:r>
          </w:p>
        </w:tc>
        <w:tc>
          <w:tcPr>
            <w:tcW w:w="1646" w:type="dxa"/>
            <w:vAlign w:val="center"/>
          </w:tcPr>
          <w:p w:rsidR="00C223F5" w:rsidRDefault="005860D5">
            <w:pPr>
              <w:spacing w:line="280" w:lineRule="exact"/>
              <w:jc w:val="center"/>
              <w:rPr>
                <w:szCs w:val="21"/>
              </w:rPr>
            </w:pPr>
            <w:r>
              <w:rPr>
                <w:szCs w:val="21"/>
              </w:rPr>
              <w:t>120</w:t>
            </w:r>
          </w:p>
        </w:tc>
        <w:tc>
          <w:tcPr>
            <w:tcW w:w="1568" w:type="dxa"/>
            <w:vAlign w:val="center"/>
          </w:tcPr>
          <w:p w:rsidR="00C223F5" w:rsidRDefault="005860D5">
            <w:pPr>
              <w:spacing w:line="280" w:lineRule="exact"/>
              <w:jc w:val="center"/>
              <w:rPr>
                <w:szCs w:val="21"/>
              </w:rPr>
            </w:pPr>
            <w:r>
              <w:rPr>
                <w:szCs w:val="21"/>
              </w:rPr>
              <w:t>300</w:t>
            </w:r>
          </w:p>
        </w:tc>
        <w:tc>
          <w:tcPr>
            <w:tcW w:w="1492" w:type="dxa"/>
            <w:vAlign w:val="center"/>
          </w:tcPr>
          <w:p w:rsidR="00C223F5" w:rsidRDefault="005860D5">
            <w:pPr>
              <w:spacing w:line="280" w:lineRule="exact"/>
              <w:jc w:val="center"/>
              <w:rPr>
                <w:szCs w:val="21"/>
              </w:rPr>
            </w:pPr>
            <w:r>
              <w:rPr>
                <w:szCs w:val="21"/>
              </w:rPr>
              <w:t>300</w:t>
            </w:r>
          </w:p>
        </w:tc>
      </w:tr>
      <w:tr w:rsidR="00C223F5">
        <w:trPr>
          <w:trHeight w:val="75"/>
          <w:jc w:val="center"/>
        </w:trPr>
        <w:tc>
          <w:tcPr>
            <w:tcW w:w="470" w:type="dxa"/>
            <w:vMerge w:val="restart"/>
            <w:vAlign w:val="center"/>
          </w:tcPr>
          <w:p w:rsidR="00C223F5" w:rsidRDefault="005860D5">
            <w:pPr>
              <w:spacing w:line="280" w:lineRule="exact"/>
              <w:jc w:val="center"/>
              <w:rPr>
                <w:b/>
                <w:szCs w:val="21"/>
              </w:rPr>
            </w:pPr>
            <w:r>
              <w:rPr>
                <w:b/>
                <w:szCs w:val="21"/>
              </w:rPr>
              <w:t>9</w:t>
            </w:r>
          </w:p>
        </w:tc>
        <w:tc>
          <w:tcPr>
            <w:tcW w:w="627" w:type="dxa"/>
            <w:vMerge w:val="restart"/>
            <w:vAlign w:val="center"/>
          </w:tcPr>
          <w:p w:rsidR="00C223F5" w:rsidRDefault="005860D5">
            <w:pPr>
              <w:spacing w:line="280" w:lineRule="exact"/>
              <w:jc w:val="center"/>
              <w:rPr>
                <w:rFonts w:hAnsi="宋体"/>
                <w:szCs w:val="21"/>
              </w:rPr>
            </w:pPr>
            <w:r>
              <w:rPr>
                <w:rFonts w:hAnsi="宋体"/>
                <w:szCs w:val="21"/>
              </w:rPr>
              <w:t>断</w:t>
            </w:r>
          </w:p>
          <w:p w:rsidR="00C223F5" w:rsidRDefault="005860D5">
            <w:pPr>
              <w:spacing w:line="280" w:lineRule="exact"/>
              <w:jc w:val="center"/>
              <w:rPr>
                <w:rFonts w:hAnsi="宋体"/>
                <w:szCs w:val="21"/>
              </w:rPr>
            </w:pPr>
            <w:r>
              <w:rPr>
                <w:rFonts w:hAnsi="宋体"/>
                <w:szCs w:val="21"/>
              </w:rPr>
              <w:t>面</w:t>
            </w:r>
          </w:p>
          <w:p w:rsidR="00C223F5" w:rsidRDefault="005860D5">
            <w:pPr>
              <w:spacing w:line="280" w:lineRule="exact"/>
              <w:jc w:val="center"/>
              <w:rPr>
                <w:spacing w:val="-20"/>
                <w:szCs w:val="21"/>
              </w:rPr>
            </w:pPr>
            <w:r>
              <w:rPr>
                <w:rFonts w:hAnsi="宋体"/>
                <w:szCs w:val="21"/>
              </w:rPr>
              <w:t>积</w:t>
            </w:r>
          </w:p>
        </w:tc>
        <w:tc>
          <w:tcPr>
            <w:tcW w:w="1456" w:type="dxa"/>
            <w:gridSpan w:val="2"/>
            <w:vAlign w:val="center"/>
          </w:tcPr>
          <w:p w:rsidR="00C223F5" w:rsidRDefault="005860D5">
            <w:pPr>
              <w:spacing w:line="280" w:lineRule="exact"/>
              <w:jc w:val="center"/>
              <w:rPr>
                <w:szCs w:val="21"/>
              </w:rPr>
            </w:pPr>
            <w:r>
              <w:rPr>
                <w:rFonts w:hAnsi="宋体"/>
                <w:szCs w:val="21"/>
              </w:rPr>
              <w:t>净断面</w:t>
            </w:r>
          </w:p>
        </w:tc>
        <w:tc>
          <w:tcPr>
            <w:tcW w:w="474" w:type="dxa"/>
            <w:vAlign w:val="center"/>
          </w:tcPr>
          <w:p w:rsidR="00C223F5" w:rsidRDefault="005860D5">
            <w:pPr>
              <w:spacing w:line="280" w:lineRule="exact"/>
              <w:jc w:val="center"/>
              <w:rPr>
                <w:szCs w:val="21"/>
              </w:rPr>
            </w:pPr>
            <w:r>
              <w:rPr>
                <w:szCs w:val="21"/>
              </w:rPr>
              <w:t>m</w:t>
            </w:r>
            <w:r>
              <w:rPr>
                <w:szCs w:val="21"/>
                <w:vertAlign w:val="superscript"/>
              </w:rPr>
              <w:t>2</w:t>
            </w:r>
          </w:p>
        </w:tc>
        <w:tc>
          <w:tcPr>
            <w:tcW w:w="1795" w:type="dxa"/>
            <w:vAlign w:val="center"/>
          </w:tcPr>
          <w:p w:rsidR="00C223F5" w:rsidRDefault="005860D5">
            <w:pPr>
              <w:spacing w:line="280" w:lineRule="exact"/>
              <w:jc w:val="center"/>
              <w:rPr>
                <w:szCs w:val="21"/>
              </w:rPr>
            </w:pPr>
            <w:r>
              <w:rPr>
                <w:szCs w:val="21"/>
              </w:rPr>
              <w:t>12.8</w:t>
            </w:r>
          </w:p>
        </w:tc>
        <w:tc>
          <w:tcPr>
            <w:tcW w:w="1646" w:type="dxa"/>
            <w:vAlign w:val="center"/>
          </w:tcPr>
          <w:p w:rsidR="00C223F5" w:rsidRDefault="005860D5">
            <w:pPr>
              <w:spacing w:line="280" w:lineRule="exact"/>
              <w:jc w:val="center"/>
              <w:rPr>
                <w:szCs w:val="21"/>
              </w:rPr>
            </w:pPr>
            <w:r>
              <w:rPr>
                <w:szCs w:val="21"/>
              </w:rPr>
              <w:t>17.8</w:t>
            </w:r>
          </w:p>
        </w:tc>
        <w:tc>
          <w:tcPr>
            <w:tcW w:w="1568" w:type="dxa"/>
            <w:vAlign w:val="center"/>
          </w:tcPr>
          <w:p w:rsidR="00C223F5" w:rsidRDefault="005860D5">
            <w:pPr>
              <w:spacing w:line="280" w:lineRule="exact"/>
              <w:jc w:val="center"/>
              <w:rPr>
                <w:szCs w:val="21"/>
              </w:rPr>
            </w:pPr>
            <w:r>
              <w:rPr>
                <w:szCs w:val="21"/>
              </w:rPr>
              <w:t>13.9</w:t>
            </w:r>
          </w:p>
        </w:tc>
        <w:tc>
          <w:tcPr>
            <w:tcW w:w="1492" w:type="dxa"/>
            <w:vAlign w:val="center"/>
          </w:tcPr>
          <w:p w:rsidR="00C223F5" w:rsidRDefault="005860D5">
            <w:pPr>
              <w:spacing w:line="280" w:lineRule="exact"/>
              <w:jc w:val="center"/>
              <w:rPr>
                <w:szCs w:val="21"/>
              </w:rPr>
            </w:pPr>
            <w:r>
              <w:rPr>
                <w:szCs w:val="21"/>
              </w:rPr>
              <w:t>10.2</w:t>
            </w:r>
          </w:p>
        </w:tc>
      </w:tr>
      <w:tr w:rsidR="00C223F5">
        <w:trPr>
          <w:trHeight w:val="75"/>
          <w:jc w:val="center"/>
        </w:trPr>
        <w:tc>
          <w:tcPr>
            <w:tcW w:w="470" w:type="dxa"/>
            <w:vMerge/>
            <w:vAlign w:val="center"/>
          </w:tcPr>
          <w:p w:rsidR="00C223F5" w:rsidRDefault="00C223F5">
            <w:pPr>
              <w:spacing w:line="280" w:lineRule="exact"/>
              <w:jc w:val="center"/>
              <w:rPr>
                <w:b/>
                <w:szCs w:val="21"/>
              </w:rPr>
            </w:pPr>
          </w:p>
        </w:tc>
        <w:tc>
          <w:tcPr>
            <w:tcW w:w="627" w:type="dxa"/>
            <w:vMerge/>
            <w:vAlign w:val="center"/>
          </w:tcPr>
          <w:p w:rsidR="00C223F5" w:rsidRDefault="00C223F5">
            <w:pPr>
              <w:spacing w:line="280" w:lineRule="exact"/>
              <w:jc w:val="center"/>
              <w:rPr>
                <w:szCs w:val="21"/>
              </w:rPr>
            </w:pPr>
          </w:p>
        </w:tc>
        <w:tc>
          <w:tcPr>
            <w:tcW w:w="717" w:type="dxa"/>
            <w:vMerge w:val="restart"/>
            <w:vAlign w:val="center"/>
          </w:tcPr>
          <w:p w:rsidR="00C223F5" w:rsidRDefault="005860D5">
            <w:pPr>
              <w:spacing w:line="280" w:lineRule="exact"/>
              <w:jc w:val="center"/>
              <w:rPr>
                <w:rFonts w:hAnsi="宋体"/>
                <w:szCs w:val="21"/>
              </w:rPr>
            </w:pPr>
            <w:r>
              <w:rPr>
                <w:rFonts w:hAnsi="宋体"/>
                <w:szCs w:val="21"/>
              </w:rPr>
              <w:t>掘进</w:t>
            </w:r>
          </w:p>
          <w:p w:rsidR="00C223F5" w:rsidRDefault="005860D5">
            <w:pPr>
              <w:spacing w:line="280" w:lineRule="exact"/>
              <w:jc w:val="center"/>
              <w:rPr>
                <w:spacing w:val="-20"/>
                <w:szCs w:val="21"/>
              </w:rPr>
            </w:pPr>
            <w:r>
              <w:rPr>
                <w:rFonts w:hAnsi="宋体"/>
                <w:szCs w:val="21"/>
              </w:rPr>
              <w:t>断面</w:t>
            </w:r>
          </w:p>
        </w:tc>
        <w:tc>
          <w:tcPr>
            <w:tcW w:w="739" w:type="dxa"/>
            <w:vAlign w:val="center"/>
          </w:tcPr>
          <w:p w:rsidR="00C223F5" w:rsidRDefault="005860D5">
            <w:pPr>
              <w:spacing w:line="280" w:lineRule="exact"/>
              <w:ind w:leftChars="-50" w:left="-105" w:rightChars="-50" w:right="-105"/>
              <w:jc w:val="center"/>
              <w:rPr>
                <w:szCs w:val="21"/>
              </w:rPr>
            </w:pPr>
            <w:r>
              <w:rPr>
                <w:rFonts w:hAnsi="宋体"/>
                <w:szCs w:val="21"/>
              </w:rPr>
              <w:t>表土段</w:t>
            </w:r>
          </w:p>
        </w:tc>
        <w:tc>
          <w:tcPr>
            <w:tcW w:w="474" w:type="dxa"/>
            <w:vAlign w:val="center"/>
          </w:tcPr>
          <w:p w:rsidR="00C223F5" w:rsidRDefault="005860D5">
            <w:pPr>
              <w:spacing w:line="280" w:lineRule="exact"/>
              <w:jc w:val="center"/>
              <w:rPr>
                <w:szCs w:val="21"/>
              </w:rPr>
            </w:pPr>
            <w:r>
              <w:rPr>
                <w:szCs w:val="21"/>
              </w:rPr>
              <w:t>m</w:t>
            </w:r>
            <w:r>
              <w:rPr>
                <w:szCs w:val="21"/>
                <w:vertAlign w:val="superscript"/>
              </w:rPr>
              <w:t>2</w:t>
            </w:r>
          </w:p>
        </w:tc>
        <w:tc>
          <w:tcPr>
            <w:tcW w:w="1795" w:type="dxa"/>
            <w:vAlign w:val="center"/>
          </w:tcPr>
          <w:p w:rsidR="00C223F5" w:rsidRDefault="005860D5">
            <w:pPr>
              <w:spacing w:line="280" w:lineRule="exact"/>
              <w:jc w:val="center"/>
              <w:rPr>
                <w:szCs w:val="21"/>
              </w:rPr>
            </w:pPr>
            <w:r>
              <w:rPr>
                <w:szCs w:val="21"/>
              </w:rPr>
              <w:t>16.8</w:t>
            </w:r>
          </w:p>
        </w:tc>
        <w:tc>
          <w:tcPr>
            <w:tcW w:w="1646" w:type="dxa"/>
            <w:vAlign w:val="center"/>
          </w:tcPr>
          <w:p w:rsidR="00C223F5" w:rsidRDefault="005860D5">
            <w:pPr>
              <w:spacing w:line="280" w:lineRule="exact"/>
              <w:jc w:val="center"/>
              <w:rPr>
                <w:szCs w:val="21"/>
              </w:rPr>
            </w:pPr>
            <w:r>
              <w:rPr>
                <w:szCs w:val="21"/>
              </w:rPr>
              <w:t>24.6</w:t>
            </w:r>
          </w:p>
        </w:tc>
        <w:tc>
          <w:tcPr>
            <w:tcW w:w="1568" w:type="dxa"/>
            <w:vAlign w:val="center"/>
          </w:tcPr>
          <w:p w:rsidR="00C223F5" w:rsidRDefault="005860D5">
            <w:pPr>
              <w:spacing w:line="280" w:lineRule="exact"/>
              <w:jc w:val="center"/>
              <w:rPr>
                <w:szCs w:val="21"/>
              </w:rPr>
            </w:pPr>
            <w:r>
              <w:rPr>
                <w:szCs w:val="21"/>
              </w:rPr>
              <w:t>18.1</w:t>
            </w:r>
          </w:p>
        </w:tc>
        <w:tc>
          <w:tcPr>
            <w:tcW w:w="1492" w:type="dxa"/>
            <w:vAlign w:val="center"/>
          </w:tcPr>
          <w:p w:rsidR="00C223F5" w:rsidRDefault="005860D5">
            <w:pPr>
              <w:spacing w:line="280" w:lineRule="exact"/>
              <w:jc w:val="center"/>
              <w:rPr>
                <w:szCs w:val="21"/>
              </w:rPr>
            </w:pPr>
            <w:r>
              <w:rPr>
                <w:szCs w:val="21"/>
              </w:rPr>
              <w:t>13.9</w:t>
            </w:r>
          </w:p>
        </w:tc>
      </w:tr>
      <w:tr w:rsidR="00C223F5">
        <w:trPr>
          <w:trHeight w:val="75"/>
          <w:jc w:val="center"/>
        </w:trPr>
        <w:tc>
          <w:tcPr>
            <w:tcW w:w="470" w:type="dxa"/>
            <w:vMerge/>
            <w:vAlign w:val="center"/>
          </w:tcPr>
          <w:p w:rsidR="00C223F5" w:rsidRDefault="00C223F5">
            <w:pPr>
              <w:spacing w:line="280" w:lineRule="exact"/>
              <w:jc w:val="center"/>
              <w:rPr>
                <w:b/>
                <w:szCs w:val="21"/>
              </w:rPr>
            </w:pPr>
          </w:p>
        </w:tc>
        <w:tc>
          <w:tcPr>
            <w:tcW w:w="627" w:type="dxa"/>
            <w:vMerge/>
            <w:vAlign w:val="center"/>
          </w:tcPr>
          <w:p w:rsidR="00C223F5" w:rsidRDefault="00C223F5">
            <w:pPr>
              <w:spacing w:line="280" w:lineRule="exact"/>
              <w:jc w:val="center"/>
              <w:rPr>
                <w:szCs w:val="21"/>
              </w:rPr>
            </w:pPr>
          </w:p>
        </w:tc>
        <w:tc>
          <w:tcPr>
            <w:tcW w:w="717" w:type="dxa"/>
            <w:vMerge/>
            <w:vAlign w:val="center"/>
          </w:tcPr>
          <w:p w:rsidR="00C223F5" w:rsidRDefault="00C223F5">
            <w:pPr>
              <w:spacing w:line="280" w:lineRule="exact"/>
              <w:jc w:val="center"/>
              <w:rPr>
                <w:szCs w:val="21"/>
              </w:rPr>
            </w:pPr>
          </w:p>
        </w:tc>
        <w:tc>
          <w:tcPr>
            <w:tcW w:w="739" w:type="dxa"/>
            <w:vAlign w:val="center"/>
          </w:tcPr>
          <w:p w:rsidR="00C223F5" w:rsidRDefault="005860D5">
            <w:pPr>
              <w:spacing w:line="280" w:lineRule="exact"/>
              <w:ind w:leftChars="-50" w:left="-105" w:rightChars="-50" w:right="-105"/>
              <w:jc w:val="center"/>
              <w:rPr>
                <w:szCs w:val="21"/>
              </w:rPr>
            </w:pPr>
            <w:r>
              <w:rPr>
                <w:rFonts w:hAnsi="宋体"/>
                <w:szCs w:val="21"/>
              </w:rPr>
              <w:t>基岩段</w:t>
            </w:r>
          </w:p>
        </w:tc>
        <w:tc>
          <w:tcPr>
            <w:tcW w:w="474" w:type="dxa"/>
            <w:vAlign w:val="center"/>
          </w:tcPr>
          <w:p w:rsidR="00C223F5" w:rsidRDefault="005860D5">
            <w:pPr>
              <w:spacing w:line="280" w:lineRule="exact"/>
              <w:jc w:val="center"/>
              <w:rPr>
                <w:szCs w:val="21"/>
              </w:rPr>
            </w:pPr>
            <w:r>
              <w:rPr>
                <w:szCs w:val="21"/>
              </w:rPr>
              <w:t>m</w:t>
            </w:r>
            <w:r>
              <w:rPr>
                <w:szCs w:val="21"/>
                <w:vertAlign w:val="superscript"/>
              </w:rPr>
              <w:t>2</w:t>
            </w:r>
          </w:p>
        </w:tc>
        <w:tc>
          <w:tcPr>
            <w:tcW w:w="1795" w:type="dxa"/>
            <w:vAlign w:val="center"/>
          </w:tcPr>
          <w:p w:rsidR="00C223F5" w:rsidRDefault="005860D5">
            <w:pPr>
              <w:spacing w:line="280" w:lineRule="exact"/>
              <w:jc w:val="center"/>
              <w:rPr>
                <w:szCs w:val="21"/>
              </w:rPr>
            </w:pPr>
            <w:r>
              <w:rPr>
                <w:szCs w:val="21"/>
              </w:rPr>
              <w:t>14.4</w:t>
            </w:r>
          </w:p>
        </w:tc>
        <w:tc>
          <w:tcPr>
            <w:tcW w:w="1646" w:type="dxa"/>
            <w:vAlign w:val="center"/>
          </w:tcPr>
          <w:p w:rsidR="00C223F5" w:rsidRDefault="005860D5">
            <w:pPr>
              <w:spacing w:line="280" w:lineRule="exact"/>
              <w:jc w:val="center"/>
              <w:rPr>
                <w:szCs w:val="21"/>
              </w:rPr>
            </w:pPr>
            <w:r>
              <w:rPr>
                <w:szCs w:val="21"/>
              </w:rPr>
              <w:t>20.7</w:t>
            </w:r>
          </w:p>
        </w:tc>
        <w:tc>
          <w:tcPr>
            <w:tcW w:w="1568" w:type="dxa"/>
            <w:vAlign w:val="center"/>
          </w:tcPr>
          <w:p w:rsidR="00C223F5" w:rsidRDefault="005860D5">
            <w:pPr>
              <w:spacing w:line="280" w:lineRule="exact"/>
              <w:jc w:val="center"/>
              <w:rPr>
                <w:szCs w:val="21"/>
              </w:rPr>
            </w:pPr>
            <w:r>
              <w:rPr>
                <w:szCs w:val="21"/>
              </w:rPr>
              <w:t>18.1</w:t>
            </w:r>
          </w:p>
        </w:tc>
        <w:tc>
          <w:tcPr>
            <w:tcW w:w="1492" w:type="dxa"/>
            <w:vAlign w:val="center"/>
          </w:tcPr>
          <w:p w:rsidR="00C223F5" w:rsidRDefault="005860D5">
            <w:pPr>
              <w:spacing w:line="280" w:lineRule="exact"/>
              <w:jc w:val="center"/>
              <w:rPr>
                <w:szCs w:val="21"/>
              </w:rPr>
            </w:pPr>
            <w:r>
              <w:rPr>
                <w:szCs w:val="21"/>
              </w:rPr>
              <w:t>13.9</w:t>
            </w:r>
          </w:p>
        </w:tc>
      </w:tr>
      <w:tr w:rsidR="00C223F5">
        <w:trPr>
          <w:trHeight w:val="75"/>
          <w:jc w:val="center"/>
        </w:trPr>
        <w:tc>
          <w:tcPr>
            <w:tcW w:w="470" w:type="dxa"/>
            <w:vAlign w:val="center"/>
          </w:tcPr>
          <w:p w:rsidR="00C223F5" w:rsidRDefault="005860D5">
            <w:pPr>
              <w:spacing w:line="280" w:lineRule="exact"/>
              <w:jc w:val="center"/>
              <w:rPr>
                <w:b/>
                <w:szCs w:val="21"/>
              </w:rPr>
            </w:pPr>
            <w:r>
              <w:rPr>
                <w:b/>
                <w:szCs w:val="21"/>
              </w:rPr>
              <w:t>10</w:t>
            </w:r>
          </w:p>
        </w:tc>
        <w:tc>
          <w:tcPr>
            <w:tcW w:w="2083" w:type="dxa"/>
            <w:gridSpan w:val="3"/>
            <w:vAlign w:val="center"/>
          </w:tcPr>
          <w:p w:rsidR="00C223F5" w:rsidRDefault="005860D5">
            <w:pPr>
              <w:spacing w:line="280" w:lineRule="exact"/>
              <w:jc w:val="center"/>
              <w:rPr>
                <w:szCs w:val="21"/>
              </w:rPr>
            </w:pPr>
            <w:r>
              <w:rPr>
                <w:rFonts w:hAnsi="宋体"/>
                <w:szCs w:val="21"/>
              </w:rPr>
              <w:t>井筒装备</w:t>
            </w:r>
          </w:p>
        </w:tc>
        <w:tc>
          <w:tcPr>
            <w:tcW w:w="474" w:type="dxa"/>
            <w:vAlign w:val="center"/>
          </w:tcPr>
          <w:p w:rsidR="00C223F5" w:rsidRDefault="00C223F5">
            <w:pPr>
              <w:spacing w:line="280" w:lineRule="exact"/>
              <w:jc w:val="center"/>
              <w:rPr>
                <w:szCs w:val="21"/>
              </w:rPr>
            </w:pPr>
          </w:p>
        </w:tc>
        <w:tc>
          <w:tcPr>
            <w:tcW w:w="1795" w:type="dxa"/>
            <w:vAlign w:val="center"/>
          </w:tcPr>
          <w:p w:rsidR="00C223F5" w:rsidRDefault="005860D5">
            <w:pPr>
              <w:spacing w:line="280" w:lineRule="exact"/>
              <w:jc w:val="center"/>
              <w:rPr>
                <w:snapToGrid w:val="0"/>
                <w:spacing w:val="-10"/>
                <w:kern w:val="0"/>
                <w:szCs w:val="21"/>
              </w:rPr>
            </w:pPr>
            <w:r>
              <w:rPr>
                <w:rFonts w:hAnsi="宋体"/>
                <w:snapToGrid w:val="0"/>
                <w:spacing w:val="-10"/>
                <w:kern w:val="0"/>
                <w:szCs w:val="21"/>
              </w:rPr>
              <w:t>装备</w:t>
            </w:r>
            <w:r>
              <w:rPr>
                <w:snapToGrid w:val="0"/>
                <w:spacing w:val="-10"/>
                <w:kern w:val="0"/>
                <w:szCs w:val="21"/>
              </w:rPr>
              <w:t>1m</w:t>
            </w:r>
            <w:r>
              <w:rPr>
                <w:rFonts w:hAnsi="宋体"/>
                <w:snapToGrid w:val="0"/>
                <w:spacing w:val="-10"/>
                <w:kern w:val="0"/>
                <w:szCs w:val="21"/>
              </w:rPr>
              <w:t>带式输送机</w:t>
            </w:r>
          </w:p>
        </w:tc>
        <w:tc>
          <w:tcPr>
            <w:tcW w:w="1646" w:type="dxa"/>
            <w:vAlign w:val="center"/>
          </w:tcPr>
          <w:p w:rsidR="00C223F5" w:rsidRDefault="005860D5">
            <w:pPr>
              <w:spacing w:line="280" w:lineRule="exact"/>
              <w:jc w:val="center"/>
              <w:rPr>
                <w:szCs w:val="21"/>
              </w:rPr>
            </w:pPr>
            <w:r>
              <w:rPr>
                <w:rFonts w:hAnsi="宋体"/>
                <w:szCs w:val="21"/>
              </w:rPr>
              <w:t>无轨胶轮车</w:t>
            </w:r>
          </w:p>
        </w:tc>
        <w:tc>
          <w:tcPr>
            <w:tcW w:w="1568" w:type="dxa"/>
            <w:vAlign w:val="center"/>
          </w:tcPr>
          <w:p w:rsidR="00C223F5" w:rsidRDefault="005860D5">
            <w:pPr>
              <w:spacing w:line="280" w:lineRule="exact"/>
              <w:jc w:val="center"/>
              <w:rPr>
                <w:spacing w:val="-12"/>
                <w:szCs w:val="21"/>
              </w:rPr>
            </w:pPr>
            <w:r>
              <w:rPr>
                <w:rFonts w:hAnsi="宋体"/>
                <w:spacing w:val="-12"/>
                <w:szCs w:val="21"/>
              </w:rPr>
              <w:t>梯子间</w:t>
            </w:r>
          </w:p>
        </w:tc>
        <w:tc>
          <w:tcPr>
            <w:tcW w:w="1492" w:type="dxa"/>
            <w:vAlign w:val="center"/>
          </w:tcPr>
          <w:p w:rsidR="00C223F5" w:rsidRDefault="005860D5">
            <w:pPr>
              <w:spacing w:line="280" w:lineRule="exact"/>
              <w:jc w:val="center"/>
              <w:rPr>
                <w:spacing w:val="-12"/>
                <w:szCs w:val="21"/>
              </w:rPr>
            </w:pPr>
            <w:r>
              <w:rPr>
                <w:rFonts w:hAnsi="宋体"/>
                <w:spacing w:val="-12"/>
                <w:szCs w:val="21"/>
              </w:rPr>
              <w:t>无</w:t>
            </w:r>
          </w:p>
        </w:tc>
      </w:tr>
    </w:tbl>
    <w:p w:rsidR="00C223F5" w:rsidRDefault="005860D5">
      <w:pPr>
        <w:spacing w:line="360" w:lineRule="auto"/>
        <w:ind w:firstLineChars="200" w:firstLine="482"/>
        <w:rPr>
          <w:b/>
          <w:bCs/>
          <w:sz w:val="24"/>
        </w:rPr>
      </w:pPr>
      <w:r>
        <w:rPr>
          <w:b/>
          <w:bCs/>
          <w:sz w:val="24"/>
        </w:rPr>
        <w:lastRenderedPageBreak/>
        <w:t>（二）盘区划分及开采顺序</w:t>
      </w:r>
    </w:p>
    <w:p w:rsidR="00C223F5" w:rsidRDefault="005860D5">
      <w:pPr>
        <w:adjustRightInd w:val="0"/>
        <w:snapToGrid w:val="0"/>
        <w:spacing w:line="360" w:lineRule="auto"/>
        <w:ind w:firstLineChars="200" w:firstLine="480"/>
        <w:rPr>
          <w:sz w:val="24"/>
        </w:rPr>
      </w:pPr>
      <w:r>
        <w:rPr>
          <w:sz w:val="24"/>
        </w:rPr>
        <w:t>本井田共两层可采煤层，</w:t>
      </w:r>
      <w:r>
        <w:rPr>
          <w:rFonts w:hAnsi="宋体"/>
          <w:sz w:val="24"/>
        </w:rPr>
        <w:t>大致沿着井田中央南北向大巷、东西向大巷及</w:t>
      </w:r>
      <w:r>
        <w:rPr>
          <w:sz w:val="24"/>
        </w:rPr>
        <w:t>太中银铁路</w:t>
      </w:r>
      <w:r>
        <w:rPr>
          <w:rFonts w:hAnsi="宋体"/>
          <w:sz w:val="24"/>
        </w:rPr>
        <w:t>保护煤柱等界线，将全井田共划分</w:t>
      </w:r>
      <w:r>
        <w:rPr>
          <w:sz w:val="24"/>
        </w:rPr>
        <w:t>7</w:t>
      </w:r>
      <w:r>
        <w:rPr>
          <w:rFonts w:hAnsi="宋体"/>
          <w:sz w:val="24"/>
        </w:rPr>
        <w:t>个盘区。</w:t>
      </w:r>
      <w:r>
        <w:rPr>
          <w:sz w:val="24"/>
        </w:rPr>
        <w:t>煤层间采用下行开采顺序，先采上层煤，后采下层煤，同煤层先采厚煤层区域，后采薄煤层区域；盘区间采用前进式开采顺序，由靠近井底的盘区向井田边界推进，由近及远开采。</w:t>
      </w:r>
    </w:p>
    <w:p w:rsidR="00C223F5" w:rsidRDefault="005860D5">
      <w:pPr>
        <w:adjustRightInd w:val="0"/>
        <w:snapToGrid w:val="0"/>
        <w:spacing w:line="360" w:lineRule="auto"/>
        <w:ind w:firstLineChars="200" w:firstLine="480"/>
        <w:rPr>
          <w:rFonts w:eastAsiaTheme="minorEastAsia" w:hAnsiTheme="minorEastAsia"/>
          <w:sz w:val="24"/>
        </w:rPr>
      </w:pPr>
      <w:r>
        <w:rPr>
          <w:sz w:val="24"/>
        </w:rPr>
        <w:t>由于本矿井主采煤层</w:t>
      </w:r>
      <w:r>
        <w:rPr>
          <w:sz w:val="24"/>
        </w:rPr>
        <w:t>4</w:t>
      </w:r>
      <w:r>
        <w:rPr>
          <w:sz w:val="24"/>
          <w:vertAlign w:val="superscript"/>
        </w:rPr>
        <w:t>-1</w:t>
      </w:r>
      <w:r>
        <w:rPr>
          <w:sz w:val="24"/>
        </w:rPr>
        <w:t>煤以大巷为界西部为中厚煤层区域，东部为薄煤层区域，因此，矿井移交生产时先回采西部的一、二、三盘区</w:t>
      </w:r>
      <w:r>
        <w:rPr>
          <w:sz w:val="24"/>
        </w:rPr>
        <w:t>4</w:t>
      </w:r>
      <w:r>
        <w:rPr>
          <w:sz w:val="24"/>
          <w:vertAlign w:val="superscript"/>
        </w:rPr>
        <w:t>-1</w:t>
      </w:r>
      <w:r>
        <w:rPr>
          <w:sz w:val="24"/>
        </w:rPr>
        <w:t>煤中厚煤层，然后回采各盘区的薄煤层。</w:t>
      </w:r>
      <w:r>
        <w:rPr>
          <w:rFonts w:eastAsiaTheme="minorEastAsia"/>
          <w:sz w:val="24"/>
        </w:rPr>
        <w:t>矿井盘区接续见表</w:t>
      </w:r>
      <w:r>
        <w:rPr>
          <w:rFonts w:eastAsiaTheme="minorEastAsia"/>
          <w:sz w:val="24"/>
        </w:rPr>
        <w:t>2.2.1-2</w:t>
      </w:r>
      <w:r>
        <w:rPr>
          <w:rFonts w:eastAsiaTheme="minorEastAsia" w:hAnsiTheme="minorEastAsia"/>
          <w:sz w:val="24"/>
        </w:rPr>
        <w:t>。</w:t>
      </w:r>
    </w:p>
    <w:p w:rsidR="00C223F5" w:rsidRDefault="005860D5">
      <w:pPr>
        <w:adjustRightInd w:val="0"/>
        <w:snapToGrid w:val="0"/>
        <w:jc w:val="center"/>
        <w:rPr>
          <w:rFonts w:eastAsiaTheme="minorEastAsia" w:hAnsiTheme="minorEastAsia"/>
          <w:b/>
          <w:sz w:val="24"/>
        </w:rPr>
      </w:pPr>
      <w:r>
        <w:rPr>
          <w:rFonts w:eastAsiaTheme="minorEastAsia" w:hAnsiTheme="minorEastAsia"/>
          <w:b/>
          <w:sz w:val="24"/>
        </w:rPr>
        <w:t>表</w:t>
      </w:r>
      <w:r>
        <w:rPr>
          <w:rFonts w:eastAsiaTheme="minorEastAsia"/>
          <w:b/>
          <w:sz w:val="24"/>
        </w:rPr>
        <w:t>2.2.</w:t>
      </w:r>
      <w:r>
        <w:rPr>
          <w:rFonts w:eastAsiaTheme="minorEastAsia" w:hint="eastAsia"/>
          <w:b/>
          <w:sz w:val="24"/>
        </w:rPr>
        <w:t>1</w:t>
      </w:r>
      <w:r>
        <w:rPr>
          <w:rFonts w:eastAsiaTheme="minorEastAsia"/>
          <w:b/>
          <w:sz w:val="24"/>
        </w:rPr>
        <w:t>-</w:t>
      </w:r>
      <w:r>
        <w:rPr>
          <w:rFonts w:eastAsiaTheme="minorEastAsia" w:hint="eastAsia"/>
          <w:b/>
          <w:sz w:val="24"/>
        </w:rPr>
        <w:t xml:space="preserve">2   </w:t>
      </w:r>
      <w:r>
        <w:rPr>
          <w:rFonts w:eastAsiaTheme="minorEastAsia" w:hAnsiTheme="minorEastAsia"/>
          <w:b/>
          <w:sz w:val="24"/>
        </w:rPr>
        <w:t>矿井</w:t>
      </w:r>
      <w:r>
        <w:rPr>
          <w:rFonts w:eastAsiaTheme="minorEastAsia" w:hAnsiTheme="minorEastAsia" w:hint="eastAsia"/>
          <w:b/>
          <w:sz w:val="24"/>
        </w:rPr>
        <w:t>盘区接续表</w:t>
      </w:r>
    </w:p>
    <w:p w:rsidR="00C223F5" w:rsidRDefault="005860D5">
      <w:pPr>
        <w:adjustRightInd w:val="0"/>
        <w:snapToGrid w:val="0"/>
        <w:spacing w:line="360" w:lineRule="auto"/>
        <w:jc w:val="center"/>
        <w:rPr>
          <w:rFonts w:ascii="宋体" w:hAnsi="宋体"/>
          <w:sz w:val="24"/>
        </w:rPr>
      </w:pPr>
      <w:r>
        <w:rPr>
          <w:rFonts w:ascii="宋体" w:hAnsi="宋体"/>
          <w:noProof/>
          <w:sz w:val="24"/>
        </w:rPr>
        <w:drawing>
          <wp:inline distT="0" distB="0" distL="0" distR="0">
            <wp:extent cx="5294630" cy="4143375"/>
            <wp:effectExtent l="19050" t="0" r="1041" b="0"/>
            <wp:docPr id="182" name="图片 182" descr="C:\Users\lenovo\Desktop\开拓方式(OK)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C:\Users\lenovo\Desktop\开拓方式(OK) Model (1).jpg"/>
                    <pic:cNvPicPr>
                      <a:picLocks noChangeAspect="1" noChangeArrowheads="1"/>
                    </pic:cNvPicPr>
                  </pic:nvPicPr>
                  <pic:blipFill>
                    <a:blip r:embed="rId21"/>
                    <a:srcRect l="2469" t="23566" r="2646" b="23940"/>
                    <a:stretch>
                      <a:fillRect/>
                    </a:stretch>
                  </pic:blipFill>
                  <pic:spPr>
                    <a:xfrm>
                      <a:off x="0" y="0"/>
                      <a:ext cx="5294859" cy="4143375"/>
                    </a:xfrm>
                    <a:prstGeom prst="rect">
                      <a:avLst/>
                    </a:prstGeom>
                    <a:noFill/>
                    <a:ln w="9525">
                      <a:noFill/>
                      <a:miter lim="800000"/>
                      <a:headEnd/>
                      <a:tailEnd/>
                    </a:ln>
                  </pic:spPr>
                </pic:pic>
              </a:graphicData>
            </a:graphic>
          </wp:inline>
        </w:drawing>
      </w:r>
    </w:p>
    <w:p w:rsidR="00C223F5" w:rsidRDefault="005860D5">
      <w:pPr>
        <w:adjustRightInd w:val="0"/>
        <w:snapToGrid w:val="0"/>
        <w:spacing w:line="360" w:lineRule="auto"/>
        <w:ind w:firstLineChars="200" w:firstLine="482"/>
        <w:rPr>
          <w:rFonts w:hAnsi="宋体"/>
          <w:b/>
          <w:bCs/>
          <w:sz w:val="24"/>
        </w:rPr>
      </w:pPr>
      <w:r>
        <w:rPr>
          <w:rFonts w:hAnsi="宋体" w:hint="eastAsia"/>
          <w:b/>
          <w:bCs/>
          <w:sz w:val="24"/>
        </w:rPr>
        <w:t>（三）</w:t>
      </w:r>
      <w:r>
        <w:rPr>
          <w:rFonts w:hAnsi="宋体"/>
          <w:b/>
          <w:bCs/>
          <w:sz w:val="24"/>
        </w:rPr>
        <w:t>采煤方法</w:t>
      </w:r>
    </w:p>
    <w:p w:rsidR="00C223F5" w:rsidRDefault="005860D5">
      <w:pPr>
        <w:pStyle w:val="aff1"/>
        <w:spacing w:line="360" w:lineRule="auto"/>
        <w:ind w:left="0" w:firstLineChars="200" w:firstLine="480"/>
        <w:rPr>
          <w:rFonts w:hAnsi="宋体"/>
        </w:rPr>
      </w:pPr>
      <w:r>
        <w:rPr>
          <w:rFonts w:hAnsi="宋体" w:hint="eastAsia"/>
        </w:rPr>
        <w:t>采用长壁后退式一次采全高采煤方法，综采采煤工艺，全部垮落法管理顶板。</w:t>
      </w:r>
    </w:p>
    <w:p w:rsidR="00C223F5" w:rsidRDefault="005860D5">
      <w:pPr>
        <w:spacing w:line="360" w:lineRule="auto"/>
        <w:ind w:firstLineChars="200" w:firstLine="482"/>
        <w:rPr>
          <w:rFonts w:hAnsi="宋体"/>
          <w:b/>
          <w:bCs/>
          <w:sz w:val="24"/>
        </w:rPr>
      </w:pPr>
      <w:r>
        <w:rPr>
          <w:rFonts w:hAnsi="宋体" w:hint="eastAsia"/>
          <w:b/>
          <w:bCs/>
          <w:sz w:val="24"/>
        </w:rPr>
        <w:t>（四）工作面</w:t>
      </w:r>
      <w:r>
        <w:rPr>
          <w:rFonts w:hAnsi="宋体"/>
          <w:b/>
          <w:bCs/>
          <w:sz w:val="24"/>
        </w:rPr>
        <w:t>参数及</w:t>
      </w:r>
      <w:r>
        <w:rPr>
          <w:rFonts w:hAnsi="宋体" w:hint="eastAsia"/>
          <w:b/>
          <w:bCs/>
          <w:sz w:val="24"/>
        </w:rPr>
        <w:t>接续</w:t>
      </w:r>
    </w:p>
    <w:p w:rsidR="00C223F5" w:rsidRDefault="005860D5">
      <w:pPr>
        <w:spacing w:line="360" w:lineRule="auto"/>
        <w:ind w:firstLineChars="200" w:firstLine="480"/>
        <w:rPr>
          <w:rFonts w:hAnsi="宋体"/>
          <w:sz w:val="24"/>
        </w:rPr>
      </w:pPr>
      <w:r>
        <w:rPr>
          <w:rFonts w:hAnsi="宋体" w:hint="eastAsia"/>
          <w:sz w:val="24"/>
        </w:rPr>
        <w:t>矿井首采盘区为一盘区，一盘区内可采储量为</w:t>
      </w:r>
      <w:r>
        <w:rPr>
          <w:rFonts w:hAnsi="宋体" w:hint="eastAsia"/>
          <w:sz w:val="24"/>
        </w:rPr>
        <w:t>8.51Mt</w:t>
      </w:r>
      <w:r>
        <w:rPr>
          <w:rFonts w:hAnsi="宋体" w:hint="eastAsia"/>
          <w:sz w:val="24"/>
        </w:rPr>
        <w:t>，其中</w:t>
      </w:r>
      <w:r>
        <w:rPr>
          <w:rFonts w:hAnsi="宋体" w:hint="eastAsia"/>
          <w:sz w:val="24"/>
        </w:rPr>
        <w:t>4</w:t>
      </w:r>
      <w:r>
        <w:rPr>
          <w:rFonts w:hAnsi="宋体" w:hint="eastAsia"/>
          <w:sz w:val="24"/>
          <w:vertAlign w:val="superscript"/>
        </w:rPr>
        <w:t>-1</w:t>
      </w:r>
      <w:r>
        <w:rPr>
          <w:rFonts w:hAnsi="宋体" w:hint="eastAsia"/>
          <w:sz w:val="24"/>
        </w:rPr>
        <w:t>煤可采储量为</w:t>
      </w:r>
      <w:r>
        <w:rPr>
          <w:rFonts w:hAnsi="宋体" w:hint="eastAsia"/>
          <w:sz w:val="24"/>
        </w:rPr>
        <w:t>7.16Mt</w:t>
      </w:r>
      <w:r>
        <w:rPr>
          <w:rFonts w:hAnsi="宋体" w:hint="eastAsia"/>
          <w:sz w:val="24"/>
        </w:rPr>
        <w:t>，规模为</w:t>
      </w:r>
      <w:r>
        <w:rPr>
          <w:rFonts w:hAnsi="宋体" w:hint="eastAsia"/>
          <w:sz w:val="24"/>
        </w:rPr>
        <w:t>0.9Mt/a</w:t>
      </w:r>
      <w:r>
        <w:rPr>
          <w:rFonts w:hAnsi="宋体" w:hint="eastAsia"/>
          <w:sz w:val="24"/>
        </w:rPr>
        <w:t>，服务年限为</w:t>
      </w:r>
      <w:r>
        <w:rPr>
          <w:rFonts w:hAnsi="宋体" w:hint="eastAsia"/>
          <w:sz w:val="24"/>
        </w:rPr>
        <w:t>5.7</w:t>
      </w:r>
      <w:r>
        <w:rPr>
          <w:rFonts w:hAnsi="宋体" w:hint="eastAsia"/>
          <w:sz w:val="24"/>
        </w:rPr>
        <w:t>年。移交时，一盘区</w:t>
      </w:r>
      <w:r>
        <w:rPr>
          <w:rFonts w:hAnsi="宋体" w:hint="eastAsia"/>
          <w:sz w:val="24"/>
        </w:rPr>
        <w:t>4</w:t>
      </w:r>
      <w:r>
        <w:rPr>
          <w:rFonts w:hAnsi="宋体" w:hint="eastAsia"/>
          <w:sz w:val="24"/>
          <w:vertAlign w:val="superscript"/>
        </w:rPr>
        <w:t>-1</w:t>
      </w:r>
      <w:r>
        <w:rPr>
          <w:rFonts w:hAnsi="宋体" w:hint="eastAsia"/>
          <w:sz w:val="24"/>
        </w:rPr>
        <w:t>煤装备</w:t>
      </w:r>
      <w:r>
        <w:rPr>
          <w:rFonts w:hAnsi="宋体" w:hint="eastAsia"/>
          <w:sz w:val="24"/>
        </w:rPr>
        <w:t>1</w:t>
      </w:r>
      <w:r>
        <w:rPr>
          <w:rFonts w:hAnsi="宋体" w:hint="eastAsia"/>
          <w:sz w:val="24"/>
        </w:rPr>
        <w:t>个综采工作面，</w:t>
      </w:r>
      <w:r>
        <w:rPr>
          <w:rFonts w:hAnsi="宋体" w:hint="eastAsia"/>
          <w:sz w:val="24"/>
        </w:rPr>
        <w:t>2</w:t>
      </w:r>
      <w:r>
        <w:rPr>
          <w:rFonts w:hAnsi="宋体" w:hint="eastAsia"/>
          <w:sz w:val="24"/>
        </w:rPr>
        <w:t>个综掘工作面，采用两进一回“三巷式”布置，</w:t>
      </w:r>
      <w:r>
        <w:rPr>
          <w:sz w:val="24"/>
        </w:rPr>
        <w:t>工作面回采率</w:t>
      </w:r>
      <w:r>
        <w:rPr>
          <w:sz w:val="24"/>
        </w:rPr>
        <w:t>95%</w:t>
      </w:r>
      <w:r>
        <w:rPr>
          <w:rFonts w:hint="eastAsia"/>
          <w:sz w:val="24"/>
        </w:rPr>
        <w:t>，</w:t>
      </w:r>
      <w:r>
        <w:rPr>
          <w:rFonts w:hAnsi="宋体" w:hint="eastAsia"/>
          <w:sz w:val="24"/>
        </w:rPr>
        <w:t>保证</w:t>
      </w:r>
      <w:r>
        <w:rPr>
          <w:rFonts w:hAnsi="宋体" w:hint="eastAsia"/>
          <w:sz w:val="24"/>
        </w:rPr>
        <w:t>0.90Mt/a</w:t>
      </w:r>
      <w:r>
        <w:rPr>
          <w:rFonts w:hAnsi="宋体" w:hint="eastAsia"/>
          <w:sz w:val="24"/>
        </w:rPr>
        <w:t>的生产能力，盘区内工作面采用顺序前进式开采方式。</w:t>
      </w:r>
    </w:p>
    <w:p w:rsidR="00C223F5" w:rsidRDefault="005860D5">
      <w:pPr>
        <w:spacing w:line="360" w:lineRule="auto"/>
        <w:ind w:firstLineChars="200" w:firstLine="480"/>
        <w:rPr>
          <w:sz w:val="24"/>
        </w:rPr>
      </w:pPr>
      <w:r>
        <w:rPr>
          <w:rFonts w:hAnsi="宋体" w:hint="eastAsia"/>
          <w:sz w:val="24"/>
        </w:rPr>
        <w:lastRenderedPageBreak/>
        <w:t>后期开采的</w:t>
      </w:r>
      <w:r>
        <w:rPr>
          <w:rFonts w:hAnsi="宋体" w:hint="eastAsia"/>
          <w:sz w:val="24"/>
        </w:rPr>
        <w:t>4</w:t>
      </w:r>
      <w:r>
        <w:rPr>
          <w:rFonts w:hAnsi="宋体" w:hint="eastAsia"/>
          <w:sz w:val="24"/>
          <w:vertAlign w:val="superscript"/>
        </w:rPr>
        <w:t>-1</w:t>
      </w:r>
      <w:r>
        <w:rPr>
          <w:rFonts w:hAnsi="宋体" w:hint="eastAsia"/>
          <w:sz w:val="24"/>
        </w:rPr>
        <w:t>煤东部薄煤层区域、</w:t>
      </w:r>
      <w:r>
        <w:rPr>
          <w:rFonts w:hAnsi="宋体" w:hint="eastAsia"/>
          <w:sz w:val="24"/>
        </w:rPr>
        <w:t>4</w:t>
      </w:r>
      <w:r>
        <w:rPr>
          <w:rFonts w:hAnsi="宋体" w:hint="eastAsia"/>
          <w:sz w:val="24"/>
          <w:vertAlign w:val="superscript"/>
        </w:rPr>
        <w:t>-2</w:t>
      </w:r>
      <w:r>
        <w:rPr>
          <w:rFonts w:hAnsi="宋体" w:hint="eastAsia"/>
          <w:sz w:val="24"/>
        </w:rPr>
        <w:t>煤层薄煤层时，布置两薄煤层综采工作面（单产</w:t>
      </w:r>
      <w:r>
        <w:rPr>
          <w:rFonts w:hAnsi="宋体" w:hint="eastAsia"/>
          <w:sz w:val="24"/>
        </w:rPr>
        <w:t>0.45Mt</w:t>
      </w:r>
      <w:r>
        <w:rPr>
          <w:rFonts w:hAnsi="宋体" w:hint="eastAsia"/>
          <w:sz w:val="24"/>
        </w:rPr>
        <w:t>∕</w:t>
      </w:r>
      <w:r>
        <w:rPr>
          <w:rFonts w:hAnsi="宋体" w:hint="eastAsia"/>
          <w:sz w:val="24"/>
        </w:rPr>
        <w:t>a</w:t>
      </w:r>
      <w:r>
        <w:rPr>
          <w:rFonts w:hAnsi="宋体" w:hint="eastAsia"/>
          <w:sz w:val="24"/>
        </w:rPr>
        <w:t>）保证矿井</w:t>
      </w:r>
      <w:r>
        <w:rPr>
          <w:rFonts w:hAnsi="宋体" w:hint="eastAsia"/>
          <w:sz w:val="24"/>
        </w:rPr>
        <w:t>0.90Mt</w:t>
      </w:r>
      <w:r>
        <w:rPr>
          <w:rFonts w:hAnsi="宋体" w:hint="eastAsia"/>
          <w:sz w:val="24"/>
        </w:rPr>
        <w:t>∕</w:t>
      </w:r>
      <w:r>
        <w:rPr>
          <w:rFonts w:hAnsi="宋体" w:hint="eastAsia"/>
          <w:sz w:val="24"/>
        </w:rPr>
        <w:t>a</w:t>
      </w:r>
      <w:r>
        <w:rPr>
          <w:rFonts w:hAnsi="宋体" w:hint="eastAsia"/>
          <w:sz w:val="24"/>
        </w:rPr>
        <w:t>生产能力。</w:t>
      </w:r>
      <w:r>
        <w:rPr>
          <w:rFonts w:hint="eastAsia"/>
          <w:sz w:val="24"/>
        </w:rPr>
        <w:t>矿井生产能力特征见表</w:t>
      </w:r>
      <w:r>
        <w:rPr>
          <w:rFonts w:hint="eastAsia"/>
          <w:bCs/>
          <w:sz w:val="24"/>
        </w:rPr>
        <w:t>2.2.1-3</w:t>
      </w:r>
      <w:r>
        <w:rPr>
          <w:rFonts w:hint="eastAsia"/>
          <w:sz w:val="24"/>
        </w:rPr>
        <w:t>。</w:t>
      </w:r>
    </w:p>
    <w:p w:rsidR="00C223F5" w:rsidRDefault="005860D5">
      <w:pPr>
        <w:pStyle w:val="afffffff"/>
        <w:spacing w:beforeLines="0" w:line="240" w:lineRule="auto"/>
        <w:rPr>
          <w:rFonts w:hAnsi="宋体" w:cs="Times New Roman"/>
          <w:b/>
          <w:color w:val="auto"/>
          <w:sz w:val="24"/>
          <w:szCs w:val="20"/>
        </w:rPr>
      </w:pPr>
      <w:r>
        <w:rPr>
          <w:rFonts w:hAnsi="宋体" w:cs="Times New Roman" w:hint="eastAsia"/>
          <w:b/>
          <w:color w:val="auto"/>
          <w:sz w:val="24"/>
          <w:szCs w:val="20"/>
        </w:rPr>
        <w:t>表</w:t>
      </w:r>
      <w:r>
        <w:rPr>
          <w:rFonts w:hAnsi="宋体" w:cs="Times New Roman" w:hint="eastAsia"/>
          <w:b/>
          <w:color w:val="auto"/>
          <w:sz w:val="24"/>
          <w:szCs w:val="20"/>
        </w:rPr>
        <w:t xml:space="preserve">2.2.1-3   </w:t>
      </w:r>
      <w:r>
        <w:rPr>
          <w:rFonts w:hAnsi="宋体" w:cs="Times New Roman" w:hint="eastAsia"/>
          <w:b/>
          <w:color w:val="auto"/>
          <w:sz w:val="24"/>
          <w:szCs w:val="20"/>
        </w:rPr>
        <w:t>投产时矿井生产能力表</w:t>
      </w: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1448"/>
        <w:gridCol w:w="1330"/>
        <w:gridCol w:w="837"/>
        <w:gridCol w:w="934"/>
        <w:gridCol w:w="673"/>
        <w:gridCol w:w="862"/>
        <w:gridCol w:w="846"/>
        <w:gridCol w:w="808"/>
      </w:tblGrid>
      <w:tr w:rsidR="00C223F5" w:rsidTr="000E3A78">
        <w:trPr>
          <w:cantSplit/>
          <w:trHeight w:val="454"/>
          <w:jc w:val="center"/>
        </w:trPr>
        <w:tc>
          <w:tcPr>
            <w:tcW w:w="899" w:type="dxa"/>
            <w:vMerge w:val="restart"/>
            <w:vAlign w:val="center"/>
          </w:tcPr>
          <w:p w:rsidR="00C223F5" w:rsidRDefault="005860D5">
            <w:pPr>
              <w:jc w:val="center"/>
              <w:rPr>
                <w:szCs w:val="21"/>
              </w:rPr>
            </w:pPr>
            <w:r>
              <w:rPr>
                <w:szCs w:val="21"/>
              </w:rPr>
              <w:t>盘区</w:t>
            </w:r>
          </w:p>
          <w:p w:rsidR="00C223F5" w:rsidRDefault="005860D5">
            <w:pPr>
              <w:jc w:val="center"/>
              <w:rPr>
                <w:szCs w:val="21"/>
              </w:rPr>
            </w:pPr>
            <w:r>
              <w:rPr>
                <w:szCs w:val="21"/>
              </w:rPr>
              <w:t>编号</w:t>
            </w:r>
          </w:p>
        </w:tc>
        <w:tc>
          <w:tcPr>
            <w:tcW w:w="2778" w:type="dxa"/>
            <w:gridSpan w:val="2"/>
            <w:vAlign w:val="center"/>
          </w:tcPr>
          <w:p w:rsidR="00C223F5" w:rsidRDefault="005860D5">
            <w:pPr>
              <w:jc w:val="center"/>
              <w:rPr>
                <w:szCs w:val="21"/>
              </w:rPr>
            </w:pPr>
            <w:r>
              <w:rPr>
                <w:szCs w:val="21"/>
              </w:rPr>
              <w:t>工作面</w:t>
            </w:r>
          </w:p>
        </w:tc>
        <w:tc>
          <w:tcPr>
            <w:tcW w:w="837" w:type="dxa"/>
            <w:vMerge w:val="restart"/>
            <w:vAlign w:val="center"/>
          </w:tcPr>
          <w:p w:rsidR="00C223F5" w:rsidRDefault="005860D5">
            <w:pPr>
              <w:jc w:val="center"/>
              <w:rPr>
                <w:szCs w:val="21"/>
              </w:rPr>
            </w:pPr>
            <w:r>
              <w:rPr>
                <w:szCs w:val="21"/>
              </w:rPr>
              <w:t>回采</w:t>
            </w:r>
          </w:p>
          <w:p w:rsidR="00C223F5" w:rsidRDefault="005860D5">
            <w:pPr>
              <w:jc w:val="center"/>
              <w:rPr>
                <w:szCs w:val="21"/>
              </w:rPr>
            </w:pPr>
            <w:r>
              <w:rPr>
                <w:szCs w:val="21"/>
              </w:rPr>
              <w:t>煤层</w:t>
            </w:r>
          </w:p>
        </w:tc>
        <w:tc>
          <w:tcPr>
            <w:tcW w:w="934" w:type="dxa"/>
            <w:vMerge w:val="restart"/>
            <w:vAlign w:val="center"/>
          </w:tcPr>
          <w:p w:rsidR="00C223F5" w:rsidRDefault="005860D5">
            <w:pPr>
              <w:jc w:val="center"/>
              <w:rPr>
                <w:szCs w:val="21"/>
              </w:rPr>
            </w:pPr>
            <w:r>
              <w:rPr>
                <w:szCs w:val="21"/>
              </w:rPr>
              <w:t>工作面</w:t>
            </w:r>
          </w:p>
          <w:p w:rsidR="00C223F5" w:rsidRDefault="005860D5">
            <w:pPr>
              <w:jc w:val="center"/>
              <w:rPr>
                <w:szCs w:val="21"/>
              </w:rPr>
            </w:pPr>
            <w:r>
              <w:rPr>
                <w:szCs w:val="21"/>
              </w:rPr>
              <w:t>长度</w:t>
            </w:r>
          </w:p>
          <w:p w:rsidR="00C223F5" w:rsidRDefault="005860D5">
            <w:pPr>
              <w:jc w:val="center"/>
              <w:rPr>
                <w:szCs w:val="21"/>
              </w:rPr>
            </w:pPr>
            <w:r>
              <w:rPr>
                <w:szCs w:val="21"/>
              </w:rPr>
              <w:t>(m)</w:t>
            </w:r>
          </w:p>
        </w:tc>
        <w:tc>
          <w:tcPr>
            <w:tcW w:w="673" w:type="dxa"/>
            <w:vMerge w:val="restart"/>
            <w:vAlign w:val="center"/>
          </w:tcPr>
          <w:p w:rsidR="00C223F5" w:rsidRDefault="005860D5">
            <w:pPr>
              <w:jc w:val="center"/>
              <w:rPr>
                <w:szCs w:val="21"/>
              </w:rPr>
            </w:pPr>
            <w:r>
              <w:rPr>
                <w:szCs w:val="21"/>
              </w:rPr>
              <w:t>采高</w:t>
            </w:r>
          </w:p>
          <w:p w:rsidR="00C223F5" w:rsidRDefault="005860D5">
            <w:pPr>
              <w:jc w:val="center"/>
              <w:rPr>
                <w:szCs w:val="21"/>
              </w:rPr>
            </w:pPr>
            <w:r>
              <w:rPr>
                <w:szCs w:val="21"/>
              </w:rPr>
              <w:t>(m)</w:t>
            </w:r>
          </w:p>
        </w:tc>
        <w:tc>
          <w:tcPr>
            <w:tcW w:w="862" w:type="dxa"/>
            <w:vMerge w:val="restart"/>
            <w:vAlign w:val="center"/>
          </w:tcPr>
          <w:p w:rsidR="00C223F5" w:rsidRDefault="005860D5">
            <w:pPr>
              <w:jc w:val="center"/>
              <w:rPr>
                <w:szCs w:val="21"/>
              </w:rPr>
            </w:pPr>
            <w:r>
              <w:rPr>
                <w:szCs w:val="21"/>
              </w:rPr>
              <w:t>年推</w:t>
            </w:r>
          </w:p>
          <w:p w:rsidR="00C223F5" w:rsidRDefault="005860D5">
            <w:pPr>
              <w:jc w:val="center"/>
              <w:rPr>
                <w:szCs w:val="21"/>
              </w:rPr>
            </w:pPr>
            <w:r>
              <w:rPr>
                <w:szCs w:val="21"/>
              </w:rPr>
              <w:t>进度</w:t>
            </w:r>
          </w:p>
          <w:p w:rsidR="00C223F5" w:rsidRDefault="005860D5">
            <w:pPr>
              <w:jc w:val="center"/>
              <w:rPr>
                <w:szCs w:val="21"/>
              </w:rPr>
            </w:pPr>
            <w:r>
              <w:rPr>
                <w:szCs w:val="21"/>
              </w:rPr>
              <w:t>(m/a)</w:t>
            </w:r>
          </w:p>
        </w:tc>
        <w:tc>
          <w:tcPr>
            <w:tcW w:w="1654" w:type="dxa"/>
            <w:gridSpan w:val="2"/>
            <w:vAlign w:val="center"/>
          </w:tcPr>
          <w:p w:rsidR="00C223F5" w:rsidRDefault="005860D5">
            <w:pPr>
              <w:jc w:val="center"/>
              <w:rPr>
                <w:szCs w:val="21"/>
              </w:rPr>
            </w:pPr>
            <w:r>
              <w:rPr>
                <w:szCs w:val="21"/>
              </w:rPr>
              <w:t>生产能力</w:t>
            </w:r>
            <w:r>
              <w:rPr>
                <w:szCs w:val="21"/>
              </w:rPr>
              <w:t>(Mt)</w:t>
            </w:r>
          </w:p>
        </w:tc>
      </w:tr>
      <w:tr w:rsidR="00C223F5" w:rsidTr="000E3A78">
        <w:trPr>
          <w:cantSplit/>
          <w:trHeight w:val="70"/>
          <w:jc w:val="center"/>
        </w:trPr>
        <w:tc>
          <w:tcPr>
            <w:tcW w:w="899" w:type="dxa"/>
            <w:vMerge/>
            <w:vAlign w:val="center"/>
          </w:tcPr>
          <w:p w:rsidR="00C223F5" w:rsidRDefault="00C223F5">
            <w:pPr>
              <w:jc w:val="center"/>
              <w:rPr>
                <w:szCs w:val="21"/>
              </w:rPr>
            </w:pPr>
          </w:p>
        </w:tc>
        <w:tc>
          <w:tcPr>
            <w:tcW w:w="1448" w:type="dxa"/>
            <w:vAlign w:val="center"/>
          </w:tcPr>
          <w:p w:rsidR="00C223F5" w:rsidRDefault="005860D5">
            <w:pPr>
              <w:jc w:val="center"/>
              <w:rPr>
                <w:szCs w:val="21"/>
              </w:rPr>
            </w:pPr>
            <w:r>
              <w:rPr>
                <w:szCs w:val="21"/>
              </w:rPr>
              <w:t>编号</w:t>
            </w:r>
          </w:p>
        </w:tc>
        <w:tc>
          <w:tcPr>
            <w:tcW w:w="1330" w:type="dxa"/>
            <w:vAlign w:val="center"/>
          </w:tcPr>
          <w:p w:rsidR="00C223F5" w:rsidRDefault="005860D5">
            <w:pPr>
              <w:jc w:val="center"/>
              <w:rPr>
                <w:szCs w:val="21"/>
              </w:rPr>
            </w:pPr>
            <w:r>
              <w:rPr>
                <w:szCs w:val="21"/>
              </w:rPr>
              <w:t>装备</w:t>
            </w:r>
          </w:p>
        </w:tc>
        <w:tc>
          <w:tcPr>
            <w:tcW w:w="837" w:type="dxa"/>
            <w:vMerge/>
            <w:vAlign w:val="center"/>
          </w:tcPr>
          <w:p w:rsidR="00C223F5" w:rsidRDefault="00C223F5">
            <w:pPr>
              <w:jc w:val="center"/>
              <w:rPr>
                <w:szCs w:val="21"/>
              </w:rPr>
            </w:pPr>
          </w:p>
        </w:tc>
        <w:tc>
          <w:tcPr>
            <w:tcW w:w="934" w:type="dxa"/>
            <w:vMerge/>
            <w:vAlign w:val="center"/>
          </w:tcPr>
          <w:p w:rsidR="00C223F5" w:rsidRDefault="00C223F5">
            <w:pPr>
              <w:jc w:val="center"/>
              <w:rPr>
                <w:szCs w:val="21"/>
              </w:rPr>
            </w:pPr>
          </w:p>
        </w:tc>
        <w:tc>
          <w:tcPr>
            <w:tcW w:w="673" w:type="dxa"/>
            <w:vMerge/>
            <w:vAlign w:val="center"/>
          </w:tcPr>
          <w:p w:rsidR="00C223F5" w:rsidRDefault="00C223F5">
            <w:pPr>
              <w:jc w:val="center"/>
              <w:rPr>
                <w:szCs w:val="21"/>
              </w:rPr>
            </w:pPr>
          </w:p>
        </w:tc>
        <w:tc>
          <w:tcPr>
            <w:tcW w:w="862" w:type="dxa"/>
            <w:vMerge/>
            <w:vAlign w:val="center"/>
          </w:tcPr>
          <w:p w:rsidR="00C223F5" w:rsidRDefault="00C223F5">
            <w:pPr>
              <w:jc w:val="center"/>
              <w:rPr>
                <w:szCs w:val="21"/>
              </w:rPr>
            </w:pPr>
          </w:p>
        </w:tc>
        <w:tc>
          <w:tcPr>
            <w:tcW w:w="846" w:type="dxa"/>
            <w:vAlign w:val="center"/>
          </w:tcPr>
          <w:p w:rsidR="00C223F5" w:rsidRDefault="005860D5">
            <w:pPr>
              <w:jc w:val="center"/>
              <w:rPr>
                <w:szCs w:val="21"/>
              </w:rPr>
            </w:pPr>
            <w:r>
              <w:rPr>
                <w:szCs w:val="21"/>
              </w:rPr>
              <w:t>年</w:t>
            </w:r>
          </w:p>
        </w:tc>
        <w:tc>
          <w:tcPr>
            <w:tcW w:w="808" w:type="dxa"/>
            <w:vAlign w:val="center"/>
          </w:tcPr>
          <w:p w:rsidR="00C223F5" w:rsidRDefault="005860D5">
            <w:pPr>
              <w:jc w:val="center"/>
              <w:rPr>
                <w:szCs w:val="21"/>
              </w:rPr>
            </w:pPr>
            <w:r>
              <w:rPr>
                <w:szCs w:val="21"/>
              </w:rPr>
              <w:t>月</w:t>
            </w:r>
          </w:p>
        </w:tc>
      </w:tr>
      <w:tr w:rsidR="00C223F5" w:rsidTr="000E3A78">
        <w:trPr>
          <w:cantSplit/>
          <w:trHeight w:val="70"/>
          <w:jc w:val="center"/>
        </w:trPr>
        <w:tc>
          <w:tcPr>
            <w:tcW w:w="899" w:type="dxa"/>
            <w:vMerge w:val="restart"/>
            <w:vAlign w:val="center"/>
          </w:tcPr>
          <w:p w:rsidR="00C223F5" w:rsidRDefault="005860D5">
            <w:pPr>
              <w:jc w:val="center"/>
              <w:rPr>
                <w:szCs w:val="21"/>
              </w:rPr>
            </w:pPr>
            <w:r>
              <w:rPr>
                <w:szCs w:val="21"/>
              </w:rPr>
              <w:t>一盘区</w:t>
            </w:r>
          </w:p>
        </w:tc>
        <w:tc>
          <w:tcPr>
            <w:tcW w:w="1448" w:type="dxa"/>
            <w:vAlign w:val="center"/>
          </w:tcPr>
          <w:p w:rsidR="00C223F5" w:rsidRDefault="005860D5">
            <w:pPr>
              <w:jc w:val="center"/>
              <w:rPr>
                <w:szCs w:val="21"/>
              </w:rPr>
            </w:pPr>
            <w:r>
              <w:rPr>
                <w:szCs w:val="21"/>
              </w:rPr>
              <w:t>41102</w:t>
            </w:r>
          </w:p>
        </w:tc>
        <w:tc>
          <w:tcPr>
            <w:tcW w:w="1330" w:type="dxa"/>
            <w:vAlign w:val="center"/>
          </w:tcPr>
          <w:p w:rsidR="00C223F5" w:rsidRDefault="005860D5">
            <w:pPr>
              <w:jc w:val="center"/>
              <w:rPr>
                <w:szCs w:val="21"/>
              </w:rPr>
            </w:pPr>
            <w:r>
              <w:rPr>
                <w:szCs w:val="21"/>
              </w:rPr>
              <w:t>综采工作面</w:t>
            </w:r>
          </w:p>
        </w:tc>
        <w:tc>
          <w:tcPr>
            <w:tcW w:w="837" w:type="dxa"/>
            <w:vAlign w:val="center"/>
          </w:tcPr>
          <w:p w:rsidR="00C223F5" w:rsidRDefault="005860D5">
            <w:pPr>
              <w:jc w:val="center"/>
              <w:rPr>
                <w:szCs w:val="21"/>
              </w:rPr>
            </w:pPr>
            <w:r>
              <w:rPr>
                <w:szCs w:val="21"/>
              </w:rPr>
              <w:t>4</w:t>
            </w:r>
            <w:r>
              <w:rPr>
                <w:szCs w:val="21"/>
                <w:vertAlign w:val="superscript"/>
              </w:rPr>
              <w:t>-1</w:t>
            </w:r>
          </w:p>
        </w:tc>
        <w:tc>
          <w:tcPr>
            <w:tcW w:w="934" w:type="dxa"/>
            <w:vAlign w:val="center"/>
          </w:tcPr>
          <w:p w:rsidR="00C223F5" w:rsidRDefault="005860D5">
            <w:pPr>
              <w:jc w:val="center"/>
              <w:rPr>
                <w:szCs w:val="21"/>
              </w:rPr>
            </w:pPr>
            <w:r>
              <w:rPr>
                <w:szCs w:val="21"/>
              </w:rPr>
              <w:t>200</w:t>
            </w:r>
          </w:p>
        </w:tc>
        <w:tc>
          <w:tcPr>
            <w:tcW w:w="673" w:type="dxa"/>
            <w:vAlign w:val="center"/>
          </w:tcPr>
          <w:p w:rsidR="00C223F5" w:rsidRDefault="005860D5">
            <w:pPr>
              <w:jc w:val="center"/>
              <w:rPr>
                <w:szCs w:val="21"/>
              </w:rPr>
            </w:pPr>
            <w:r>
              <w:rPr>
                <w:szCs w:val="21"/>
              </w:rPr>
              <w:t>2.8</w:t>
            </w:r>
          </w:p>
        </w:tc>
        <w:tc>
          <w:tcPr>
            <w:tcW w:w="862" w:type="dxa"/>
            <w:vAlign w:val="center"/>
          </w:tcPr>
          <w:p w:rsidR="00C223F5" w:rsidRDefault="005860D5">
            <w:pPr>
              <w:jc w:val="center"/>
              <w:rPr>
                <w:szCs w:val="21"/>
              </w:rPr>
            </w:pPr>
            <w:r>
              <w:rPr>
                <w:szCs w:val="21"/>
              </w:rPr>
              <w:t>1188</w:t>
            </w:r>
          </w:p>
        </w:tc>
        <w:tc>
          <w:tcPr>
            <w:tcW w:w="846" w:type="dxa"/>
            <w:vAlign w:val="center"/>
          </w:tcPr>
          <w:p w:rsidR="00C223F5" w:rsidRDefault="005860D5">
            <w:pPr>
              <w:jc w:val="center"/>
              <w:rPr>
                <w:szCs w:val="21"/>
              </w:rPr>
            </w:pPr>
            <w:r>
              <w:rPr>
                <w:szCs w:val="21"/>
              </w:rPr>
              <w:t>0.88</w:t>
            </w:r>
          </w:p>
        </w:tc>
        <w:tc>
          <w:tcPr>
            <w:tcW w:w="808" w:type="dxa"/>
            <w:vAlign w:val="center"/>
          </w:tcPr>
          <w:p w:rsidR="00C223F5" w:rsidRDefault="005860D5">
            <w:pPr>
              <w:jc w:val="center"/>
              <w:rPr>
                <w:szCs w:val="21"/>
              </w:rPr>
            </w:pPr>
            <w:r>
              <w:rPr>
                <w:szCs w:val="21"/>
              </w:rPr>
              <w:t>0.073</w:t>
            </w:r>
          </w:p>
        </w:tc>
      </w:tr>
      <w:tr w:rsidR="00C223F5" w:rsidTr="000E3A78">
        <w:trPr>
          <w:cantSplit/>
          <w:trHeight w:val="70"/>
          <w:jc w:val="center"/>
        </w:trPr>
        <w:tc>
          <w:tcPr>
            <w:tcW w:w="899" w:type="dxa"/>
            <w:vMerge/>
            <w:vAlign w:val="center"/>
          </w:tcPr>
          <w:p w:rsidR="00C223F5" w:rsidRDefault="00C223F5">
            <w:pPr>
              <w:jc w:val="center"/>
              <w:rPr>
                <w:szCs w:val="21"/>
              </w:rPr>
            </w:pPr>
          </w:p>
        </w:tc>
        <w:tc>
          <w:tcPr>
            <w:tcW w:w="1448" w:type="dxa"/>
            <w:vAlign w:val="center"/>
          </w:tcPr>
          <w:p w:rsidR="00C223F5" w:rsidRDefault="005860D5">
            <w:pPr>
              <w:jc w:val="center"/>
              <w:rPr>
                <w:szCs w:val="21"/>
              </w:rPr>
            </w:pPr>
            <w:r>
              <w:rPr>
                <w:szCs w:val="21"/>
              </w:rPr>
              <w:t>综掘面（</w:t>
            </w:r>
            <w:r>
              <w:rPr>
                <w:szCs w:val="21"/>
              </w:rPr>
              <w:t>2</w:t>
            </w:r>
            <w:r>
              <w:rPr>
                <w:szCs w:val="21"/>
              </w:rPr>
              <w:t>个）</w:t>
            </w:r>
          </w:p>
        </w:tc>
        <w:tc>
          <w:tcPr>
            <w:tcW w:w="1330" w:type="dxa"/>
            <w:vAlign w:val="center"/>
          </w:tcPr>
          <w:p w:rsidR="00C223F5" w:rsidRDefault="00C223F5">
            <w:pPr>
              <w:jc w:val="center"/>
              <w:rPr>
                <w:szCs w:val="21"/>
              </w:rPr>
            </w:pPr>
          </w:p>
        </w:tc>
        <w:tc>
          <w:tcPr>
            <w:tcW w:w="837" w:type="dxa"/>
            <w:vAlign w:val="center"/>
          </w:tcPr>
          <w:p w:rsidR="00C223F5" w:rsidRDefault="00C223F5">
            <w:pPr>
              <w:jc w:val="center"/>
              <w:rPr>
                <w:szCs w:val="21"/>
              </w:rPr>
            </w:pPr>
          </w:p>
        </w:tc>
        <w:tc>
          <w:tcPr>
            <w:tcW w:w="934" w:type="dxa"/>
            <w:vAlign w:val="center"/>
          </w:tcPr>
          <w:p w:rsidR="00C223F5" w:rsidRDefault="00C223F5">
            <w:pPr>
              <w:jc w:val="center"/>
              <w:rPr>
                <w:szCs w:val="21"/>
              </w:rPr>
            </w:pPr>
          </w:p>
        </w:tc>
        <w:tc>
          <w:tcPr>
            <w:tcW w:w="673" w:type="dxa"/>
            <w:vAlign w:val="center"/>
          </w:tcPr>
          <w:p w:rsidR="00C223F5" w:rsidRDefault="00C223F5">
            <w:pPr>
              <w:jc w:val="center"/>
              <w:rPr>
                <w:szCs w:val="21"/>
              </w:rPr>
            </w:pPr>
          </w:p>
        </w:tc>
        <w:tc>
          <w:tcPr>
            <w:tcW w:w="862" w:type="dxa"/>
            <w:vAlign w:val="center"/>
          </w:tcPr>
          <w:p w:rsidR="00C223F5" w:rsidRDefault="00C223F5">
            <w:pPr>
              <w:jc w:val="center"/>
              <w:rPr>
                <w:szCs w:val="21"/>
              </w:rPr>
            </w:pPr>
          </w:p>
        </w:tc>
        <w:tc>
          <w:tcPr>
            <w:tcW w:w="846" w:type="dxa"/>
            <w:vAlign w:val="center"/>
          </w:tcPr>
          <w:p w:rsidR="00C223F5" w:rsidRDefault="005860D5">
            <w:pPr>
              <w:jc w:val="center"/>
              <w:rPr>
                <w:szCs w:val="21"/>
              </w:rPr>
            </w:pPr>
            <w:r>
              <w:rPr>
                <w:szCs w:val="21"/>
              </w:rPr>
              <w:t>0.02</w:t>
            </w:r>
          </w:p>
        </w:tc>
        <w:tc>
          <w:tcPr>
            <w:tcW w:w="808" w:type="dxa"/>
            <w:vAlign w:val="center"/>
          </w:tcPr>
          <w:p w:rsidR="00C223F5" w:rsidRDefault="005860D5">
            <w:pPr>
              <w:jc w:val="center"/>
              <w:rPr>
                <w:szCs w:val="21"/>
              </w:rPr>
            </w:pPr>
            <w:r>
              <w:rPr>
                <w:szCs w:val="21"/>
              </w:rPr>
              <w:t>0.002</w:t>
            </w:r>
          </w:p>
        </w:tc>
      </w:tr>
      <w:tr w:rsidR="00C223F5" w:rsidTr="000E3A78">
        <w:trPr>
          <w:cantSplit/>
          <w:trHeight w:val="70"/>
          <w:jc w:val="center"/>
        </w:trPr>
        <w:tc>
          <w:tcPr>
            <w:tcW w:w="2347" w:type="dxa"/>
            <w:gridSpan w:val="2"/>
            <w:vAlign w:val="center"/>
          </w:tcPr>
          <w:p w:rsidR="00C223F5" w:rsidRDefault="005860D5">
            <w:pPr>
              <w:jc w:val="center"/>
              <w:rPr>
                <w:szCs w:val="21"/>
              </w:rPr>
            </w:pPr>
            <w:r>
              <w:rPr>
                <w:szCs w:val="21"/>
              </w:rPr>
              <w:t>合</w:t>
            </w:r>
            <w:r>
              <w:rPr>
                <w:szCs w:val="21"/>
              </w:rPr>
              <w:t xml:space="preserve">  </w:t>
            </w:r>
            <w:r>
              <w:rPr>
                <w:szCs w:val="21"/>
              </w:rPr>
              <w:t>计</w:t>
            </w:r>
          </w:p>
        </w:tc>
        <w:tc>
          <w:tcPr>
            <w:tcW w:w="1330" w:type="dxa"/>
            <w:vAlign w:val="center"/>
          </w:tcPr>
          <w:p w:rsidR="00C223F5" w:rsidRDefault="00C223F5">
            <w:pPr>
              <w:jc w:val="center"/>
              <w:rPr>
                <w:szCs w:val="21"/>
              </w:rPr>
            </w:pPr>
          </w:p>
        </w:tc>
        <w:tc>
          <w:tcPr>
            <w:tcW w:w="837" w:type="dxa"/>
            <w:vAlign w:val="center"/>
          </w:tcPr>
          <w:p w:rsidR="00C223F5" w:rsidRDefault="00C223F5">
            <w:pPr>
              <w:jc w:val="center"/>
              <w:rPr>
                <w:szCs w:val="21"/>
              </w:rPr>
            </w:pPr>
          </w:p>
        </w:tc>
        <w:tc>
          <w:tcPr>
            <w:tcW w:w="934" w:type="dxa"/>
            <w:vAlign w:val="center"/>
          </w:tcPr>
          <w:p w:rsidR="00C223F5" w:rsidRDefault="00C223F5">
            <w:pPr>
              <w:jc w:val="center"/>
              <w:rPr>
                <w:szCs w:val="21"/>
              </w:rPr>
            </w:pPr>
          </w:p>
        </w:tc>
        <w:tc>
          <w:tcPr>
            <w:tcW w:w="673" w:type="dxa"/>
            <w:vAlign w:val="center"/>
          </w:tcPr>
          <w:p w:rsidR="00C223F5" w:rsidRDefault="00C223F5">
            <w:pPr>
              <w:jc w:val="center"/>
              <w:rPr>
                <w:szCs w:val="21"/>
              </w:rPr>
            </w:pPr>
          </w:p>
        </w:tc>
        <w:tc>
          <w:tcPr>
            <w:tcW w:w="862" w:type="dxa"/>
            <w:vAlign w:val="center"/>
          </w:tcPr>
          <w:p w:rsidR="00C223F5" w:rsidRDefault="00C223F5">
            <w:pPr>
              <w:jc w:val="center"/>
              <w:rPr>
                <w:szCs w:val="21"/>
              </w:rPr>
            </w:pPr>
          </w:p>
        </w:tc>
        <w:tc>
          <w:tcPr>
            <w:tcW w:w="846" w:type="dxa"/>
            <w:vAlign w:val="center"/>
          </w:tcPr>
          <w:p w:rsidR="00C223F5" w:rsidRDefault="005860D5">
            <w:pPr>
              <w:jc w:val="center"/>
              <w:rPr>
                <w:szCs w:val="21"/>
              </w:rPr>
            </w:pPr>
            <w:r>
              <w:rPr>
                <w:szCs w:val="21"/>
              </w:rPr>
              <w:t>0.90</w:t>
            </w:r>
          </w:p>
        </w:tc>
        <w:tc>
          <w:tcPr>
            <w:tcW w:w="808" w:type="dxa"/>
            <w:vAlign w:val="center"/>
          </w:tcPr>
          <w:p w:rsidR="00C223F5" w:rsidRDefault="005860D5">
            <w:pPr>
              <w:jc w:val="center"/>
              <w:rPr>
                <w:szCs w:val="21"/>
              </w:rPr>
            </w:pPr>
            <w:r>
              <w:rPr>
                <w:szCs w:val="21"/>
              </w:rPr>
              <w:t>0.075</w:t>
            </w:r>
          </w:p>
        </w:tc>
      </w:tr>
    </w:tbl>
    <w:p w:rsidR="00C223F5" w:rsidRDefault="005860D5">
      <w:pPr>
        <w:spacing w:line="360" w:lineRule="auto"/>
        <w:ind w:firstLineChars="200" w:firstLine="482"/>
        <w:rPr>
          <w:rFonts w:eastAsiaTheme="minorEastAsia"/>
          <w:b/>
          <w:bCs/>
          <w:sz w:val="24"/>
        </w:rPr>
      </w:pPr>
      <w:r>
        <w:rPr>
          <w:rFonts w:eastAsiaTheme="minorEastAsia" w:hAnsiTheme="minorEastAsia"/>
          <w:b/>
          <w:bCs/>
          <w:sz w:val="24"/>
        </w:rPr>
        <w:t>（</w:t>
      </w:r>
      <w:r>
        <w:rPr>
          <w:rFonts w:eastAsiaTheme="minorEastAsia" w:hint="eastAsia"/>
          <w:b/>
          <w:bCs/>
          <w:sz w:val="24"/>
        </w:rPr>
        <w:t>五</w:t>
      </w:r>
      <w:r>
        <w:rPr>
          <w:rFonts w:eastAsiaTheme="minorEastAsia" w:hAnsiTheme="minorEastAsia"/>
          <w:b/>
          <w:bCs/>
          <w:sz w:val="24"/>
        </w:rPr>
        <w:t>）井巷工程</w:t>
      </w:r>
    </w:p>
    <w:p w:rsidR="00C223F5" w:rsidRDefault="005860D5">
      <w:pPr>
        <w:spacing w:line="360" w:lineRule="auto"/>
        <w:ind w:firstLineChars="200" w:firstLine="480"/>
        <w:rPr>
          <w:sz w:val="24"/>
        </w:rPr>
      </w:pPr>
      <w:r>
        <w:rPr>
          <w:rFonts w:hAnsi="宋体"/>
          <w:sz w:val="24"/>
        </w:rPr>
        <w:t>本矿井工程总量为</w:t>
      </w:r>
      <w:r>
        <w:rPr>
          <w:sz w:val="24"/>
        </w:rPr>
        <w:t>16667m</w:t>
      </w:r>
      <w:r>
        <w:rPr>
          <w:rFonts w:hAnsi="宋体"/>
          <w:sz w:val="24"/>
        </w:rPr>
        <w:t>，其中，利用工程</w:t>
      </w:r>
      <w:r>
        <w:rPr>
          <w:sz w:val="24"/>
        </w:rPr>
        <w:t>376m</w:t>
      </w:r>
      <w:r>
        <w:rPr>
          <w:rFonts w:hAnsi="宋体"/>
          <w:sz w:val="24"/>
        </w:rPr>
        <w:t>，占总工程量的</w:t>
      </w:r>
      <w:r>
        <w:rPr>
          <w:sz w:val="24"/>
        </w:rPr>
        <w:t>2.3%</w:t>
      </w:r>
      <w:r>
        <w:rPr>
          <w:rFonts w:hAnsi="宋体"/>
          <w:sz w:val="24"/>
        </w:rPr>
        <w:t>；新增井巷工程总量为</w:t>
      </w:r>
      <w:r>
        <w:rPr>
          <w:sz w:val="24"/>
        </w:rPr>
        <w:t>16291m</w:t>
      </w:r>
      <w:r>
        <w:rPr>
          <w:rFonts w:hAnsi="宋体"/>
          <w:sz w:val="24"/>
        </w:rPr>
        <w:t>，万吨掘进率为</w:t>
      </w:r>
      <w:r>
        <w:rPr>
          <w:sz w:val="24"/>
        </w:rPr>
        <w:t>181m</w:t>
      </w:r>
      <w:r>
        <w:rPr>
          <w:rFonts w:hAnsi="宋体"/>
          <w:sz w:val="24"/>
        </w:rPr>
        <w:t>，占总工程量的</w:t>
      </w:r>
      <w:r>
        <w:rPr>
          <w:sz w:val="24"/>
        </w:rPr>
        <w:t>97.7%</w:t>
      </w:r>
      <w:r>
        <w:rPr>
          <w:rFonts w:hAnsi="宋体"/>
          <w:sz w:val="24"/>
        </w:rPr>
        <w:t>。矿井移交时井巷工程数量见表</w:t>
      </w:r>
      <w:r>
        <w:rPr>
          <w:rFonts w:hint="eastAsia"/>
          <w:sz w:val="24"/>
        </w:rPr>
        <w:t>2.2.1-4</w:t>
      </w:r>
      <w:r>
        <w:rPr>
          <w:rFonts w:hAnsi="宋体"/>
          <w:sz w:val="24"/>
        </w:rPr>
        <w:t>。</w:t>
      </w:r>
    </w:p>
    <w:p w:rsidR="00C223F5" w:rsidRDefault="005860D5">
      <w:pPr>
        <w:pStyle w:val="aff1"/>
        <w:tabs>
          <w:tab w:val="clear" w:pos="5781"/>
        </w:tabs>
        <w:spacing w:line="240" w:lineRule="auto"/>
        <w:ind w:left="0" w:firstLine="0"/>
        <w:jc w:val="center"/>
        <w:rPr>
          <w:b/>
        </w:rPr>
      </w:pPr>
      <w:r>
        <w:rPr>
          <w:rFonts w:hAnsi="宋体"/>
          <w:b/>
        </w:rPr>
        <w:t>表</w:t>
      </w:r>
      <w:r>
        <w:rPr>
          <w:b/>
        </w:rPr>
        <w:t>2.2.</w:t>
      </w:r>
      <w:r>
        <w:rPr>
          <w:rFonts w:hint="eastAsia"/>
          <w:b/>
        </w:rPr>
        <w:t>1</w:t>
      </w:r>
      <w:r>
        <w:rPr>
          <w:b/>
        </w:rPr>
        <w:t>-</w:t>
      </w:r>
      <w:r>
        <w:rPr>
          <w:rFonts w:hint="eastAsia"/>
          <w:b/>
        </w:rPr>
        <w:t>4</w:t>
      </w:r>
      <w:r>
        <w:rPr>
          <w:rFonts w:hAnsi="宋体"/>
          <w:b/>
        </w:rPr>
        <w:t>矿井工程</w:t>
      </w:r>
      <w:r>
        <w:rPr>
          <w:b/>
          <w:bCs/>
        </w:rPr>
        <w:t>井巷工程量汇总表</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678"/>
        <w:gridCol w:w="698"/>
        <w:gridCol w:w="1056"/>
        <w:gridCol w:w="831"/>
        <w:gridCol w:w="800"/>
        <w:gridCol w:w="446"/>
        <w:gridCol w:w="824"/>
        <w:gridCol w:w="849"/>
        <w:gridCol w:w="850"/>
        <w:gridCol w:w="846"/>
        <w:gridCol w:w="937"/>
      </w:tblGrid>
      <w:tr w:rsidR="00C223F5">
        <w:trPr>
          <w:trHeight w:val="339"/>
          <w:jc w:val="center"/>
        </w:trPr>
        <w:tc>
          <w:tcPr>
            <w:tcW w:w="678" w:type="dxa"/>
            <w:vMerge w:val="restart"/>
            <w:shd w:val="clear" w:color="auto" w:fill="auto"/>
            <w:vAlign w:val="center"/>
          </w:tcPr>
          <w:p w:rsidR="00C223F5" w:rsidRDefault="005860D5">
            <w:pPr>
              <w:jc w:val="center"/>
              <w:rPr>
                <w:szCs w:val="21"/>
              </w:rPr>
            </w:pPr>
            <w:r>
              <w:rPr>
                <w:szCs w:val="21"/>
              </w:rPr>
              <w:t>序号</w:t>
            </w:r>
          </w:p>
        </w:tc>
        <w:tc>
          <w:tcPr>
            <w:tcW w:w="1754" w:type="dxa"/>
            <w:gridSpan w:val="2"/>
            <w:vMerge w:val="restart"/>
            <w:shd w:val="clear" w:color="auto" w:fill="auto"/>
            <w:vAlign w:val="center"/>
          </w:tcPr>
          <w:p w:rsidR="00C223F5" w:rsidRDefault="005860D5">
            <w:pPr>
              <w:jc w:val="center"/>
              <w:rPr>
                <w:szCs w:val="21"/>
              </w:rPr>
            </w:pPr>
            <w:r>
              <w:rPr>
                <w:szCs w:val="21"/>
              </w:rPr>
              <w:t>项</w:t>
            </w:r>
            <w:r>
              <w:rPr>
                <w:szCs w:val="21"/>
              </w:rPr>
              <w:t xml:space="preserve">    </w:t>
            </w:r>
            <w:r>
              <w:rPr>
                <w:szCs w:val="21"/>
              </w:rPr>
              <w:t>目</w:t>
            </w:r>
          </w:p>
        </w:tc>
        <w:tc>
          <w:tcPr>
            <w:tcW w:w="2901" w:type="dxa"/>
            <w:gridSpan w:val="4"/>
            <w:shd w:val="clear" w:color="auto" w:fill="auto"/>
            <w:vAlign w:val="center"/>
          </w:tcPr>
          <w:p w:rsidR="00C223F5" w:rsidRDefault="005860D5">
            <w:pPr>
              <w:jc w:val="center"/>
              <w:rPr>
                <w:szCs w:val="21"/>
              </w:rPr>
            </w:pPr>
            <w:r>
              <w:rPr>
                <w:szCs w:val="21"/>
              </w:rPr>
              <w:t>巷道长度（</w:t>
            </w:r>
            <w:r>
              <w:rPr>
                <w:szCs w:val="21"/>
              </w:rPr>
              <w:t>m</w:t>
            </w:r>
            <w:r>
              <w:rPr>
                <w:szCs w:val="21"/>
              </w:rPr>
              <w:t>）</w:t>
            </w:r>
          </w:p>
        </w:tc>
        <w:tc>
          <w:tcPr>
            <w:tcW w:w="3482" w:type="dxa"/>
            <w:gridSpan w:val="4"/>
            <w:shd w:val="clear" w:color="auto" w:fill="auto"/>
            <w:vAlign w:val="center"/>
          </w:tcPr>
          <w:p w:rsidR="00C223F5" w:rsidRDefault="005860D5">
            <w:pPr>
              <w:jc w:val="center"/>
              <w:rPr>
                <w:szCs w:val="21"/>
              </w:rPr>
            </w:pPr>
            <w:r>
              <w:rPr>
                <w:szCs w:val="21"/>
              </w:rPr>
              <w:t>掘进体积（</w:t>
            </w:r>
            <w:r>
              <w:rPr>
                <w:szCs w:val="21"/>
              </w:rPr>
              <w:t>m</w:t>
            </w:r>
            <w:r>
              <w:rPr>
                <w:szCs w:val="21"/>
                <w:vertAlign w:val="superscript"/>
              </w:rPr>
              <w:t>3</w:t>
            </w:r>
            <w:r>
              <w:rPr>
                <w:szCs w:val="21"/>
              </w:rPr>
              <w:t>）</w:t>
            </w:r>
          </w:p>
        </w:tc>
      </w:tr>
      <w:tr w:rsidR="00C223F5">
        <w:trPr>
          <w:trHeight w:val="324"/>
          <w:jc w:val="center"/>
        </w:trPr>
        <w:tc>
          <w:tcPr>
            <w:tcW w:w="678" w:type="dxa"/>
            <w:vMerge/>
            <w:vAlign w:val="center"/>
          </w:tcPr>
          <w:p w:rsidR="00C223F5" w:rsidRDefault="00C223F5">
            <w:pPr>
              <w:jc w:val="center"/>
              <w:rPr>
                <w:szCs w:val="21"/>
              </w:rPr>
            </w:pPr>
          </w:p>
        </w:tc>
        <w:tc>
          <w:tcPr>
            <w:tcW w:w="1754" w:type="dxa"/>
            <w:gridSpan w:val="2"/>
            <w:vMerge/>
            <w:vAlign w:val="center"/>
          </w:tcPr>
          <w:p w:rsidR="00C223F5" w:rsidRDefault="00C223F5">
            <w:pPr>
              <w:jc w:val="center"/>
              <w:rPr>
                <w:szCs w:val="21"/>
              </w:rPr>
            </w:pPr>
          </w:p>
        </w:tc>
        <w:tc>
          <w:tcPr>
            <w:tcW w:w="831" w:type="dxa"/>
            <w:shd w:val="clear" w:color="auto" w:fill="auto"/>
            <w:vAlign w:val="center"/>
          </w:tcPr>
          <w:p w:rsidR="00C223F5" w:rsidRDefault="005860D5">
            <w:pPr>
              <w:jc w:val="center"/>
              <w:rPr>
                <w:szCs w:val="21"/>
              </w:rPr>
            </w:pPr>
            <w:r>
              <w:rPr>
                <w:szCs w:val="21"/>
              </w:rPr>
              <w:t>半煤岩</w:t>
            </w:r>
          </w:p>
        </w:tc>
        <w:tc>
          <w:tcPr>
            <w:tcW w:w="800" w:type="dxa"/>
            <w:shd w:val="clear" w:color="auto" w:fill="auto"/>
            <w:vAlign w:val="center"/>
          </w:tcPr>
          <w:p w:rsidR="00C223F5" w:rsidRDefault="005860D5">
            <w:pPr>
              <w:jc w:val="center"/>
              <w:rPr>
                <w:szCs w:val="21"/>
              </w:rPr>
            </w:pPr>
            <w:r>
              <w:rPr>
                <w:szCs w:val="21"/>
              </w:rPr>
              <w:t>煤巷</w:t>
            </w:r>
          </w:p>
        </w:tc>
        <w:tc>
          <w:tcPr>
            <w:tcW w:w="446" w:type="dxa"/>
            <w:shd w:val="clear" w:color="auto" w:fill="auto"/>
            <w:vAlign w:val="center"/>
          </w:tcPr>
          <w:p w:rsidR="00C223F5" w:rsidRDefault="005860D5">
            <w:pPr>
              <w:jc w:val="center"/>
              <w:rPr>
                <w:szCs w:val="21"/>
              </w:rPr>
            </w:pPr>
            <w:r>
              <w:rPr>
                <w:szCs w:val="21"/>
              </w:rPr>
              <w:t>岩巷</w:t>
            </w:r>
          </w:p>
        </w:tc>
        <w:tc>
          <w:tcPr>
            <w:tcW w:w="824" w:type="dxa"/>
            <w:shd w:val="clear" w:color="auto" w:fill="auto"/>
            <w:vAlign w:val="center"/>
          </w:tcPr>
          <w:p w:rsidR="00C223F5" w:rsidRDefault="005860D5">
            <w:pPr>
              <w:jc w:val="center"/>
              <w:rPr>
                <w:szCs w:val="21"/>
              </w:rPr>
            </w:pPr>
            <w:r>
              <w:rPr>
                <w:szCs w:val="21"/>
              </w:rPr>
              <w:t>小计</w:t>
            </w:r>
          </w:p>
        </w:tc>
        <w:tc>
          <w:tcPr>
            <w:tcW w:w="849" w:type="dxa"/>
            <w:shd w:val="clear" w:color="auto" w:fill="auto"/>
            <w:vAlign w:val="center"/>
          </w:tcPr>
          <w:p w:rsidR="00C223F5" w:rsidRDefault="005860D5">
            <w:pPr>
              <w:jc w:val="center"/>
              <w:rPr>
                <w:szCs w:val="21"/>
              </w:rPr>
            </w:pPr>
            <w:r>
              <w:rPr>
                <w:szCs w:val="21"/>
              </w:rPr>
              <w:t>半煤岩</w:t>
            </w:r>
          </w:p>
        </w:tc>
        <w:tc>
          <w:tcPr>
            <w:tcW w:w="850" w:type="dxa"/>
            <w:shd w:val="clear" w:color="auto" w:fill="auto"/>
            <w:vAlign w:val="center"/>
          </w:tcPr>
          <w:p w:rsidR="00C223F5" w:rsidRDefault="005860D5">
            <w:pPr>
              <w:jc w:val="center"/>
              <w:rPr>
                <w:szCs w:val="21"/>
              </w:rPr>
            </w:pPr>
            <w:r>
              <w:rPr>
                <w:szCs w:val="21"/>
              </w:rPr>
              <w:t>煤巷</w:t>
            </w:r>
          </w:p>
        </w:tc>
        <w:tc>
          <w:tcPr>
            <w:tcW w:w="846" w:type="dxa"/>
            <w:shd w:val="clear" w:color="auto" w:fill="auto"/>
            <w:vAlign w:val="center"/>
          </w:tcPr>
          <w:p w:rsidR="00C223F5" w:rsidRDefault="005860D5">
            <w:pPr>
              <w:jc w:val="center"/>
              <w:rPr>
                <w:szCs w:val="21"/>
              </w:rPr>
            </w:pPr>
            <w:r>
              <w:rPr>
                <w:szCs w:val="21"/>
              </w:rPr>
              <w:t>岩巷</w:t>
            </w:r>
          </w:p>
        </w:tc>
        <w:tc>
          <w:tcPr>
            <w:tcW w:w="937" w:type="dxa"/>
            <w:shd w:val="clear" w:color="auto" w:fill="auto"/>
            <w:vAlign w:val="center"/>
          </w:tcPr>
          <w:p w:rsidR="00C223F5" w:rsidRDefault="005860D5">
            <w:pPr>
              <w:jc w:val="center"/>
              <w:rPr>
                <w:szCs w:val="21"/>
              </w:rPr>
            </w:pPr>
            <w:r>
              <w:rPr>
                <w:szCs w:val="21"/>
              </w:rPr>
              <w:t>小计</w:t>
            </w:r>
          </w:p>
        </w:tc>
      </w:tr>
      <w:tr w:rsidR="00C223F5">
        <w:trPr>
          <w:trHeight w:val="367"/>
          <w:jc w:val="center"/>
        </w:trPr>
        <w:tc>
          <w:tcPr>
            <w:tcW w:w="8815" w:type="dxa"/>
            <w:gridSpan w:val="11"/>
            <w:vAlign w:val="center"/>
          </w:tcPr>
          <w:p w:rsidR="00C223F5" w:rsidRDefault="005860D5">
            <w:pPr>
              <w:jc w:val="left"/>
              <w:rPr>
                <w:szCs w:val="21"/>
              </w:rPr>
            </w:pPr>
            <w:r>
              <w:rPr>
                <w:szCs w:val="21"/>
              </w:rPr>
              <w:t>一、利用已有工程</w:t>
            </w:r>
          </w:p>
        </w:tc>
      </w:tr>
      <w:tr w:rsidR="00C223F5">
        <w:trPr>
          <w:trHeight w:val="339"/>
          <w:jc w:val="center"/>
        </w:trPr>
        <w:tc>
          <w:tcPr>
            <w:tcW w:w="678" w:type="dxa"/>
            <w:vAlign w:val="center"/>
          </w:tcPr>
          <w:p w:rsidR="00C223F5" w:rsidRDefault="005860D5">
            <w:pPr>
              <w:jc w:val="center"/>
              <w:rPr>
                <w:szCs w:val="21"/>
              </w:rPr>
            </w:pPr>
            <w:r>
              <w:rPr>
                <w:szCs w:val="21"/>
              </w:rPr>
              <w:t>（一）</w:t>
            </w:r>
          </w:p>
        </w:tc>
        <w:tc>
          <w:tcPr>
            <w:tcW w:w="1754" w:type="dxa"/>
            <w:gridSpan w:val="2"/>
            <w:vAlign w:val="center"/>
          </w:tcPr>
          <w:p w:rsidR="00C223F5" w:rsidRDefault="005860D5">
            <w:pPr>
              <w:jc w:val="center"/>
              <w:rPr>
                <w:szCs w:val="21"/>
              </w:rPr>
            </w:pPr>
            <w:r>
              <w:rPr>
                <w:szCs w:val="21"/>
              </w:rPr>
              <w:t>井</w:t>
            </w:r>
            <w:r>
              <w:rPr>
                <w:szCs w:val="21"/>
              </w:rPr>
              <w:t xml:space="preserve">  </w:t>
            </w:r>
            <w:r>
              <w:rPr>
                <w:szCs w:val="21"/>
              </w:rPr>
              <w:t>筒</w:t>
            </w:r>
          </w:p>
        </w:tc>
        <w:tc>
          <w:tcPr>
            <w:tcW w:w="831" w:type="dxa"/>
            <w:shd w:val="clear" w:color="auto" w:fill="auto"/>
            <w:vAlign w:val="center"/>
          </w:tcPr>
          <w:p w:rsidR="00C223F5" w:rsidRDefault="00C223F5">
            <w:pPr>
              <w:jc w:val="center"/>
              <w:rPr>
                <w:szCs w:val="21"/>
              </w:rPr>
            </w:pPr>
          </w:p>
        </w:tc>
        <w:tc>
          <w:tcPr>
            <w:tcW w:w="800" w:type="dxa"/>
            <w:shd w:val="clear" w:color="auto" w:fill="auto"/>
            <w:vAlign w:val="center"/>
          </w:tcPr>
          <w:p w:rsidR="00C223F5" w:rsidRDefault="00C223F5">
            <w:pPr>
              <w:jc w:val="center"/>
              <w:rPr>
                <w:szCs w:val="21"/>
              </w:rPr>
            </w:pPr>
          </w:p>
        </w:tc>
        <w:tc>
          <w:tcPr>
            <w:tcW w:w="446" w:type="dxa"/>
            <w:shd w:val="clear" w:color="auto" w:fill="auto"/>
            <w:vAlign w:val="center"/>
          </w:tcPr>
          <w:p w:rsidR="00C223F5" w:rsidRDefault="005860D5">
            <w:pPr>
              <w:jc w:val="center"/>
              <w:rPr>
                <w:szCs w:val="21"/>
              </w:rPr>
            </w:pPr>
            <w:r>
              <w:rPr>
                <w:szCs w:val="21"/>
              </w:rPr>
              <w:t>376</w:t>
            </w:r>
          </w:p>
        </w:tc>
        <w:tc>
          <w:tcPr>
            <w:tcW w:w="824" w:type="dxa"/>
            <w:shd w:val="clear" w:color="auto" w:fill="auto"/>
            <w:vAlign w:val="center"/>
          </w:tcPr>
          <w:p w:rsidR="00C223F5" w:rsidRDefault="005860D5">
            <w:pPr>
              <w:jc w:val="center"/>
              <w:rPr>
                <w:szCs w:val="21"/>
              </w:rPr>
            </w:pPr>
            <w:r>
              <w:rPr>
                <w:szCs w:val="21"/>
              </w:rPr>
              <w:t>376</w:t>
            </w:r>
          </w:p>
        </w:tc>
        <w:tc>
          <w:tcPr>
            <w:tcW w:w="849" w:type="dxa"/>
            <w:shd w:val="clear" w:color="auto" w:fill="auto"/>
            <w:vAlign w:val="center"/>
          </w:tcPr>
          <w:p w:rsidR="00C223F5" w:rsidRDefault="00C223F5">
            <w:pPr>
              <w:jc w:val="center"/>
              <w:rPr>
                <w:szCs w:val="21"/>
              </w:rPr>
            </w:pPr>
          </w:p>
        </w:tc>
        <w:tc>
          <w:tcPr>
            <w:tcW w:w="850" w:type="dxa"/>
            <w:shd w:val="clear" w:color="auto" w:fill="auto"/>
            <w:vAlign w:val="center"/>
          </w:tcPr>
          <w:p w:rsidR="00C223F5" w:rsidRDefault="00C223F5">
            <w:pPr>
              <w:jc w:val="center"/>
              <w:rPr>
                <w:szCs w:val="21"/>
              </w:rPr>
            </w:pPr>
          </w:p>
        </w:tc>
        <w:tc>
          <w:tcPr>
            <w:tcW w:w="846" w:type="dxa"/>
            <w:shd w:val="clear" w:color="auto" w:fill="auto"/>
            <w:vAlign w:val="center"/>
          </w:tcPr>
          <w:p w:rsidR="00C223F5" w:rsidRDefault="005860D5">
            <w:pPr>
              <w:jc w:val="center"/>
              <w:rPr>
                <w:szCs w:val="21"/>
              </w:rPr>
            </w:pPr>
            <w:r>
              <w:rPr>
                <w:szCs w:val="21"/>
              </w:rPr>
              <w:t>6016</w:t>
            </w:r>
          </w:p>
        </w:tc>
        <w:tc>
          <w:tcPr>
            <w:tcW w:w="937" w:type="dxa"/>
            <w:shd w:val="clear" w:color="auto" w:fill="auto"/>
            <w:vAlign w:val="center"/>
          </w:tcPr>
          <w:p w:rsidR="00C223F5" w:rsidRDefault="005860D5">
            <w:pPr>
              <w:jc w:val="center"/>
              <w:rPr>
                <w:szCs w:val="21"/>
              </w:rPr>
            </w:pPr>
            <w:r>
              <w:rPr>
                <w:szCs w:val="21"/>
              </w:rPr>
              <w:t>6016</w:t>
            </w:r>
          </w:p>
        </w:tc>
      </w:tr>
      <w:tr w:rsidR="00C223F5">
        <w:trPr>
          <w:trHeight w:val="394"/>
          <w:jc w:val="center"/>
        </w:trPr>
        <w:tc>
          <w:tcPr>
            <w:tcW w:w="8815" w:type="dxa"/>
            <w:gridSpan w:val="11"/>
            <w:vAlign w:val="center"/>
          </w:tcPr>
          <w:p w:rsidR="00C223F5" w:rsidRDefault="005860D5">
            <w:pPr>
              <w:jc w:val="left"/>
              <w:rPr>
                <w:szCs w:val="21"/>
              </w:rPr>
            </w:pPr>
            <w:r>
              <w:rPr>
                <w:szCs w:val="21"/>
              </w:rPr>
              <w:t>二、新增工程</w:t>
            </w:r>
          </w:p>
        </w:tc>
      </w:tr>
      <w:tr w:rsidR="00C223F5">
        <w:trPr>
          <w:trHeight w:val="353"/>
          <w:jc w:val="center"/>
        </w:trPr>
        <w:tc>
          <w:tcPr>
            <w:tcW w:w="678" w:type="dxa"/>
            <w:vMerge w:val="restart"/>
            <w:shd w:val="clear" w:color="auto" w:fill="auto"/>
            <w:vAlign w:val="center"/>
          </w:tcPr>
          <w:p w:rsidR="00C223F5" w:rsidRDefault="005860D5">
            <w:pPr>
              <w:jc w:val="center"/>
              <w:rPr>
                <w:szCs w:val="21"/>
              </w:rPr>
            </w:pPr>
            <w:r>
              <w:rPr>
                <w:szCs w:val="21"/>
              </w:rPr>
              <w:t>（一）</w:t>
            </w:r>
          </w:p>
        </w:tc>
        <w:tc>
          <w:tcPr>
            <w:tcW w:w="698" w:type="dxa"/>
            <w:vMerge w:val="restart"/>
            <w:shd w:val="clear" w:color="auto" w:fill="auto"/>
            <w:vAlign w:val="center"/>
          </w:tcPr>
          <w:p w:rsidR="00C223F5" w:rsidRDefault="005860D5">
            <w:pPr>
              <w:jc w:val="center"/>
              <w:rPr>
                <w:szCs w:val="21"/>
              </w:rPr>
            </w:pPr>
            <w:r>
              <w:rPr>
                <w:szCs w:val="21"/>
              </w:rPr>
              <w:t>开</w:t>
            </w:r>
          </w:p>
          <w:p w:rsidR="00C223F5" w:rsidRDefault="005860D5">
            <w:pPr>
              <w:jc w:val="center"/>
              <w:rPr>
                <w:szCs w:val="21"/>
              </w:rPr>
            </w:pPr>
            <w:r>
              <w:rPr>
                <w:szCs w:val="21"/>
              </w:rPr>
              <w:t>拓</w:t>
            </w:r>
          </w:p>
          <w:p w:rsidR="00C223F5" w:rsidRDefault="005860D5">
            <w:pPr>
              <w:jc w:val="center"/>
              <w:rPr>
                <w:szCs w:val="21"/>
              </w:rPr>
            </w:pPr>
            <w:r>
              <w:rPr>
                <w:szCs w:val="21"/>
              </w:rPr>
              <w:t>工</w:t>
            </w:r>
          </w:p>
          <w:p w:rsidR="00C223F5" w:rsidRDefault="005860D5">
            <w:pPr>
              <w:jc w:val="center"/>
              <w:rPr>
                <w:szCs w:val="21"/>
              </w:rPr>
            </w:pPr>
            <w:r>
              <w:rPr>
                <w:szCs w:val="21"/>
              </w:rPr>
              <w:t>程</w:t>
            </w:r>
          </w:p>
        </w:tc>
        <w:tc>
          <w:tcPr>
            <w:tcW w:w="1056" w:type="dxa"/>
            <w:shd w:val="clear" w:color="auto" w:fill="auto"/>
            <w:vAlign w:val="center"/>
          </w:tcPr>
          <w:p w:rsidR="00C223F5" w:rsidRDefault="005860D5">
            <w:pPr>
              <w:jc w:val="center"/>
              <w:rPr>
                <w:szCs w:val="21"/>
              </w:rPr>
            </w:pPr>
            <w:r>
              <w:rPr>
                <w:szCs w:val="21"/>
              </w:rPr>
              <w:t>井</w:t>
            </w:r>
            <w:r>
              <w:rPr>
                <w:szCs w:val="21"/>
              </w:rPr>
              <w:t xml:space="preserve">  </w:t>
            </w:r>
            <w:r>
              <w:rPr>
                <w:szCs w:val="21"/>
              </w:rPr>
              <w:t>筒</w:t>
            </w:r>
          </w:p>
        </w:tc>
        <w:tc>
          <w:tcPr>
            <w:tcW w:w="831" w:type="dxa"/>
            <w:shd w:val="clear" w:color="auto" w:fill="auto"/>
            <w:vAlign w:val="center"/>
          </w:tcPr>
          <w:p w:rsidR="00C223F5" w:rsidRDefault="00C223F5">
            <w:pPr>
              <w:jc w:val="center"/>
              <w:rPr>
                <w:szCs w:val="21"/>
              </w:rPr>
            </w:pPr>
          </w:p>
        </w:tc>
        <w:tc>
          <w:tcPr>
            <w:tcW w:w="800" w:type="dxa"/>
            <w:shd w:val="clear" w:color="auto" w:fill="auto"/>
            <w:vAlign w:val="center"/>
          </w:tcPr>
          <w:p w:rsidR="00C223F5" w:rsidRDefault="00C223F5">
            <w:pPr>
              <w:jc w:val="center"/>
              <w:rPr>
                <w:szCs w:val="21"/>
              </w:rPr>
            </w:pPr>
          </w:p>
        </w:tc>
        <w:tc>
          <w:tcPr>
            <w:tcW w:w="446" w:type="dxa"/>
            <w:shd w:val="clear" w:color="auto" w:fill="auto"/>
            <w:vAlign w:val="center"/>
          </w:tcPr>
          <w:p w:rsidR="00C223F5" w:rsidRDefault="005860D5">
            <w:pPr>
              <w:jc w:val="center"/>
              <w:rPr>
                <w:szCs w:val="21"/>
              </w:rPr>
            </w:pPr>
            <w:r>
              <w:rPr>
                <w:szCs w:val="21"/>
              </w:rPr>
              <w:t>3012</w:t>
            </w:r>
          </w:p>
        </w:tc>
        <w:tc>
          <w:tcPr>
            <w:tcW w:w="824" w:type="dxa"/>
            <w:shd w:val="clear" w:color="auto" w:fill="auto"/>
            <w:vAlign w:val="center"/>
          </w:tcPr>
          <w:p w:rsidR="00C223F5" w:rsidRDefault="005860D5">
            <w:pPr>
              <w:jc w:val="center"/>
              <w:rPr>
                <w:szCs w:val="21"/>
              </w:rPr>
            </w:pPr>
            <w:r>
              <w:rPr>
                <w:szCs w:val="21"/>
              </w:rPr>
              <w:t>3012</w:t>
            </w:r>
          </w:p>
        </w:tc>
        <w:tc>
          <w:tcPr>
            <w:tcW w:w="849" w:type="dxa"/>
            <w:shd w:val="clear" w:color="auto" w:fill="auto"/>
            <w:vAlign w:val="center"/>
          </w:tcPr>
          <w:p w:rsidR="00C223F5" w:rsidRDefault="00C223F5">
            <w:pPr>
              <w:jc w:val="center"/>
              <w:rPr>
                <w:szCs w:val="21"/>
              </w:rPr>
            </w:pPr>
          </w:p>
        </w:tc>
        <w:tc>
          <w:tcPr>
            <w:tcW w:w="850" w:type="dxa"/>
            <w:shd w:val="clear" w:color="auto" w:fill="auto"/>
            <w:vAlign w:val="center"/>
          </w:tcPr>
          <w:p w:rsidR="00C223F5" w:rsidRDefault="00C223F5">
            <w:pPr>
              <w:jc w:val="center"/>
              <w:rPr>
                <w:szCs w:val="21"/>
              </w:rPr>
            </w:pPr>
          </w:p>
        </w:tc>
        <w:tc>
          <w:tcPr>
            <w:tcW w:w="846" w:type="dxa"/>
            <w:shd w:val="clear" w:color="auto" w:fill="auto"/>
            <w:vAlign w:val="center"/>
          </w:tcPr>
          <w:p w:rsidR="00C223F5" w:rsidRDefault="005860D5">
            <w:pPr>
              <w:jc w:val="center"/>
              <w:rPr>
                <w:szCs w:val="21"/>
              </w:rPr>
            </w:pPr>
            <w:r>
              <w:rPr>
                <w:szCs w:val="21"/>
              </w:rPr>
              <w:t>58425</w:t>
            </w:r>
          </w:p>
        </w:tc>
        <w:tc>
          <w:tcPr>
            <w:tcW w:w="937" w:type="dxa"/>
            <w:shd w:val="clear" w:color="auto" w:fill="auto"/>
            <w:vAlign w:val="center"/>
          </w:tcPr>
          <w:p w:rsidR="00C223F5" w:rsidRDefault="005860D5">
            <w:pPr>
              <w:jc w:val="center"/>
              <w:rPr>
                <w:szCs w:val="21"/>
              </w:rPr>
            </w:pPr>
            <w:r>
              <w:rPr>
                <w:szCs w:val="21"/>
              </w:rPr>
              <w:t>58425</w:t>
            </w:r>
          </w:p>
        </w:tc>
      </w:tr>
      <w:tr w:rsidR="00C223F5">
        <w:trPr>
          <w:trHeight w:val="591"/>
          <w:jc w:val="center"/>
        </w:trPr>
        <w:tc>
          <w:tcPr>
            <w:tcW w:w="678" w:type="dxa"/>
            <w:vMerge/>
            <w:vAlign w:val="center"/>
          </w:tcPr>
          <w:p w:rsidR="00C223F5" w:rsidRDefault="00C223F5">
            <w:pPr>
              <w:jc w:val="center"/>
              <w:rPr>
                <w:szCs w:val="21"/>
              </w:rPr>
            </w:pPr>
          </w:p>
        </w:tc>
        <w:tc>
          <w:tcPr>
            <w:tcW w:w="698" w:type="dxa"/>
            <w:vMerge/>
            <w:vAlign w:val="center"/>
          </w:tcPr>
          <w:p w:rsidR="00C223F5" w:rsidRDefault="00C223F5">
            <w:pPr>
              <w:jc w:val="center"/>
              <w:rPr>
                <w:szCs w:val="21"/>
              </w:rPr>
            </w:pPr>
          </w:p>
        </w:tc>
        <w:tc>
          <w:tcPr>
            <w:tcW w:w="1056" w:type="dxa"/>
            <w:shd w:val="clear" w:color="auto" w:fill="auto"/>
            <w:vAlign w:val="center"/>
          </w:tcPr>
          <w:p w:rsidR="00C223F5" w:rsidRDefault="005860D5">
            <w:pPr>
              <w:jc w:val="center"/>
              <w:rPr>
                <w:szCs w:val="21"/>
              </w:rPr>
            </w:pPr>
            <w:r>
              <w:rPr>
                <w:szCs w:val="21"/>
              </w:rPr>
              <w:t>主要大巷及硐室</w:t>
            </w:r>
          </w:p>
        </w:tc>
        <w:tc>
          <w:tcPr>
            <w:tcW w:w="831" w:type="dxa"/>
            <w:shd w:val="clear" w:color="auto" w:fill="auto"/>
            <w:vAlign w:val="center"/>
          </w:tcPr>
          <w:p w:rsidR="00C223F5" w:rsidRDefault="00C223F5">
            <w:pPr>
              <w:jc w:val="center"/>
              <w:rPr>
                <w:szCs w:val="21"/>
              </w:rPr>
            </w:pPr>
          </w:p>
        </w:tc>
        <w:tc>
          <w:tcPr>
            <w:tcW w:w="800" w:type="dxa"/>
            <w:shd w:val="clear" w:color="auto" w:fill="auto"/>
            <w:vAlign w:val="center"/>
          </w:tcPr>
          <w:p w:rsidR="00C223F5" w:rsidRDefault="005860D5">
            <w:pPr>
              <w:jc w:val="center"/>
              <w:rPr>
                <w:szCs w:val="21"/>
              </w:rPr>
            </w:pPr>
            <w:r>
              <w:rPr>
                <w:szCs w:val="21"/>
              </w:rPr>
              <w:t>4313</w:t>
            </w:r>
          </w:p>
        </w:tc>
        <w:tc>
          <w:tcPr>
            <w:tcW w:w="446" w:type="dxa"/>
            <w:shd w:val="clear" w:color="auto" w:fill="auto"/>
            <w:vAlign w:val="center"/>
          </w:tcPr>
          <w:p w:rsidR="00C223F5" w:rsidRDefault="005860D5">
            <w:pPr>
              <w:jc w:val="center"/>
              <w:rPr>
                <w:szCs w:val="21"/>
              </w:rPr>
            </w:pPr>
            <w:r>
              <w:rPr>
                <w:szCs w:val="21"/>
              </w:rPr>
              <w:t>2521</w:t>
            </w:r>
          </w:p>
        </w:tc>
        <w:tc>
          <w:tcPr>
            <w:tcW w:w="824" w:type="dxa"/>
            <w:shd w:val="clear" w:color="auto" w:fill="auto"/>
            <w:vAlign w:val="center"/>
          </w:tcPr>
          <w:p w:rsidR="00C223F5" w:rsidRDefault="005860D5">
            <w:pPr>
              <w:jc w:val="center"/>
              <w:rPr>
                <w:szCs w:val="21"/>
              </w:rPr>
            </w:pPr>
            <w:r>
              <w:rPr>
                <w:szCs w:val="21"/>
              </w:rPr>
              <w:t>6834</w:t>
            </w:r>
          </w:p>
        </w:tc>
        <w:tc>
          <w:tcPr>
            <w:tcW w:w="849" w:type="dxa"/>
            <w:shd w:val="clear" w:color="auto" w:fill="auto"/>
            <w:vAlign w:val="center"/>
          </w:tcPr>
          <w:p w:rsidR="00C223F5" w:rsidRDefault="00C223F5">
            <w:pPr>
              <w:jc w:val="center"/>
              <w:rPr>
                <w:szCs w:val="21"/>
              </w:rPr>
            </w:pPr>
          </w:p>
        </w:tc>
        <w:tc>
          <w:tcPr>
            <w:tcW w:w="850" w:type="dxa"/>
            <w:shd w:val="clear" w:color="auto" w:fill="auto"/>
            <w:vAlign w:val="center"/>
          </w:tcPr>
          <w:p w:rsidR="00C223F5" w:rsidRDefault="005860D5">
            <w:pPr>
              <w:jc w:val="center"/>
              <w:rPr>
                <w:szCs w:val="21"/>
              </w:rPr>
            </w:pPr>
            <w:r>
              <w:rPr>
                <w:szCs w:val="21"/>
              </w:rPr>
              <w:t>67656</w:t>
            </w:r>
          </w:p>
        </w:tc>
        <w:tc>
          <w:tcPr>
            <w:tcW w:w="846" w:type="dxa"/>
            <w:shd w:val="clear" w:color="auto" w:fill="auto"/>
            <w:vAlign w:val="center"/>
          </w:tcPr>
          <w:p w:rsidR="00C223F5" w:rsidRDefault="005860D5">
            <w:pPr>
              <w:jc w:val="center"/>
              <w:rPr>
                <w:szCs w:val="21"/>
              </w:rPr>
            </w:pPr>
            <w:r>
              <w:rPr>
                <w:szCs w:val="21"/>
              </w:rPr>
              <w:t>40580</w:t>
            </w:r>
          </w:p>
        </w:tc>
        <w:tc>
          <w:tcPr>
            <w:tcW w:w="937" w:type="dxa"/>
            <w:shd w:val="clear" w:color="auto" w:fill="auto"/>
            <w:vAlign w:val="center"/>
          </w:tcPr>
          <w:p w:rsidR="00C223F5" w:rsidRDefault="005860D5">
            <w:pPr>
              <w:jc w:val="center"/>
              <w:rPr>
                <w:szCs w:val="21"/>
              </w:rPr>
            </w:pPr>
            <w:r>
              <w:rPr>
                <w:szCs w:val="21"/>
              </w:rPr>
              <w:t>108236</w:t>
            </w:r>
          </w:p>
        </w:tc>
      </w:tr>
      <w:tr w:rsidR="00C223F5">
        <w:trPr>
          <w:trHeight w:val="353"/>
          <w:jc w:val="center"/>
        </w:trPr>
        <w:tc>
          <w:tcPr>
            <w:tcW w:w="678" w:type="dxa"/>
            <w:vMerge/>
            <w:vAlign w:val="center"/>
          </w:tcPr>
          <w:p w:rsidR="00C223F5" w:rsidRDefault="00C223F5">
            <w:pPr>
              <w:jc w:val="center"/>
              <w:rPr>
                <w:szCs w:val="21"/>
              </w:rPr>
            </w:pPr>
          </w:p>
        </w:tc>
        <w:tc>
          <w:tcPr>
            <w:tcW w:w="698" w:type="dxa"/>
            <w:vMerge/>
            <w:vAlign w:val="center"/>
          </w:tcPr>
          <w:p w:rsidR="00C223F5" w:rsidRDefault="00C223F5">
            <w:pPr>
              <w:jc w:val="center"/>
              <w:rPr>
                <w:szCs w:val="21"/>
              </w:rPr>
            </w:pPr>
          </w:p>
        </w:tc>
        <w:tc>
          <w:tcPr>
            <w:tcW w:w="1056" w:type="dxa"/>
            <w:shd w:val="clear" w:color="auto" w:fill="auto"/>
            <w:vAlign w:val="center"/>
          </w:tcPr>
          <w:p w:rsidR="00C223F5" w:rsidRDefault="005860D5">
            <w:pPr>
              <w:jc w:val="center"/>
              <w:rPr>
                <w:szCs w:val="21"/>
              </w:rPr>
            </w:pPr>
            <w:r>
              <w:rPr>
                <w:szCs w:val="21"/>
              </w:rPr>
              <w:t>小</w:t>
            </w:r>
            <w:r>
              <w:rPr>
                <w:szCs w:val="21"/>
              </w:rPr>
              <w:t xml:space="preserve">  </w:t>
            </w:r>
            <w:r>
              <w:rPr>
                <w:szCs w:val="21"/>
              </w:rPr>
              <w:t>计</w:t>
            </w:r>
          </w:p>
        </w:tc>
        <w:tc>
          <w:tcPr>
            <w:tcW w:w="831" w:type="dxa"/>
            <w:shd w:val="clear" w:color="auto" w:fill="auto"/>
            <w:vAlign w:val="center"/>
          </w:tcPr>
          <w:p w:rsidR="00C223F5" w:rsidRDefault="00C223F5">
            <w:pPr>
              <w:jc w:val="center"/>
              <w:rPr>
                <w:szCs w:val="21"/>
              </w:rPr>
            </w:pPr>
          </w:p>
        </w:tc>
        <w:tc>
          <w:tcPr>
            <w:tcW w:w="800" w:type="dxa"/>
            <w:shd w:val="clear" w:color="auto" w:fill="auto"/>
            <w:vAlign w:val="center"/>
          </w:tcPr>
          <w:p w:rsidR="00C223F5" w:rsidRDefault="005860D5">
            <w:pPr>
              <w:jc w:val="center"/>
              <w:rPr>
                <w:szCs w:val="21"/>
              </w:rPr>
            </w:pPr>
            <w:r>
              <w:rPr>
                <w:szCs w:val="21"/>
              </w:rPr>
              <w:t>4313</w:t>
            </w:r>
          </w:p>
        </w:tc>
        <w:tc>
          <w:tcPr>
            <w:tcW w:w="446" w:type="dxa"/>
            <w:shd w:val="clear" w:color="auto" w:fill="auto"/>
            <w:vAlign w:val="center"/>
          </w:tcPr>
          <w:p w:rsidR="00C223F5" w:rsidRDefault="005860D5">
            <w:pPr>
              <w:jc w:val="center"/>
              <w:rPr>
                <w:szCs w:val="21"/>
              </w:rPr>
            </w:pPr>
            <w:r>
              <w:rPr>
                <w:szCs w:val="21"/>
              </w:rPr>
              <w:t>5533</w:t>
            </w:r>
          </w:p>
        </w:tc>
        <w:tc>
          <w:tcPr>
            <w:tcW w:w="824" w:type="dxa"/>
            <w:shd w:val="clear" w:color="auto" w:fill="auto"/>
            <w:vAlign w:val="center"/>
          </w:tcPr>
          <w:p w:rsidR="00C223F5" w:rsidRDefault="005860D5">
            <w:pPr>
              <w:jc w:val="center"/>
              <w:rPr>
                <w:szCs w:val="21"/>
              </w:rPr>
            </w:pPr>
            <w:r>
              <w:rPr>
                <w:szCs w:val="21"/>
              </w:rPr>
              <w:t>9846</w:t>
            </w:r>
          </w:p>
        </w:tc>
        <w:tc>
          <w:tcPr>
            <w:tcW w:w="849" w:type="dxa"/>
            <w:shd w:val="clear" w:color="auto" w:fill="auto"/>
            <w:vAlign w:val="center"/>
          </w:tcPr>
          <w:p w:rsidR="00C223F5" w:rsidRDefault="00C223F5">
            <w:pPr>
              <w:jc w:val="center"/>
              <w:rPr>
                <w:szCs w:val="21"/>
              </w:rPr>
            </w:pPr>
          </w:p>
        </w:tc>
        <w:tc>
          <w:tcPr>
            <w:tcW w:w="850" w:type="dxa"/>
            <w:shd w:val="clear" w:color="auto" w:fill="auto"/>
            <w:vAlign w:val="center"/>
          </w:tcPr>
          <w:p w:rsidR="00C223F5" w:rsidRDefault="005860D5">
            <w:pPr>
              <w:jc w:val="center"/>
              <w:rPr>
                <w:szCs w:val="21"/>
              </w:rPr>
            </w:pPr>
            <w:r>
              <w:rPr>
                <w:szCs w:val="21"/>
              </w:rPr>
              <w:t>67656</w:t>
            </w:r>
          </w:p>
        </w:tc>
        <w:tc>
          <w:tcPr>
            <w:tcW w:w="846" w:type="dxa"/>
            <w:shd w:val="clear" w:color="auto" w:fill="auto"/>
            <w:vAlign w:val="center"/>
          </w:tcPr>
          <w:p w:rsidR="00C223F5" w:rsidRDefault="005860D5">
            <w:pPr>
              <w:jc w:val="center"/>
              <w:rPr>
                <w:szCs w:val="21"/>
              </w:rPr>
            </w:pPr>
            <w:r>
              <w:rPr>
                <w:szCs w:val="21"/>
              </w:rPr>
              <w:t>99005</w:t>
            </w:r>
          </w:p>
        </w:tc>
        <w:tc>
          <w:tcPr>
            <w:tcW w:w="937" w:type="dxa"/>
            <w:shd w:val="clear" w:color="auto" w:fill="auto"/>
            <w:vAlign w:val="center"/>
          </w:tcPr>
          <w:p w:rsidR="00C223F5" w:rsidRDefault="005860D5">
            <w:pPr>
              <w:jc w:val="center"/>
              <w:rPr>
                <w:szCs w:val="21"/>
              </w:rPr>
            </w:pPr>
            <w:r>
              <w:rPr>
                <w:szCs w:val="21"/>
              </w:rPr>
              <w:t>166661</w:t>
            </w:r>
          </w:p>
        </w:tc>
      </w:tr>
      <w:tr w:rsidR="00C223F5">
        <w:trPr>
          <w:trHeight w:val="366"/>
          <w:jc w:val="center"/>
        </w:trPr>
        <w:tc>
          <w:tcPr>
            <w:tcW w:w="678" w:type="dxa"/>
            <w:shd w:val="clear" w:color="auto" w:fill="auto"/>
            <w:vAlign w:val="center"/>
          </w:tcPr>
          <w:p w:rsidR="00C223F5" w:rsidRDefault="005860D5">
            <w:pPr>
              <w:jc w:val="center"/>
              <w:rPr>
                <w:szCs w:val="21"/>
              </w:rPr>
            </w:pPr>
            <w:r>
              <w:rPr>
                <w:szCs w:val="21"/>
              </w:rPr>
              <w:t>（二）</w:t>
            </w:r>
          </w:p>
        </w:tc>
        <w:tc>
          <w:tcPr>
            <w:tcW w:w="1754" w:type="dxa"/>
            <w:gridSpan w:val="2"/>
            <w:shd w:val="clear" w:color="auto" w:fill="auto"/>
            <w:vAlign w:val="center"/>
          </w:tcPr>
          <w:p w:rsidR="00C223F5" w:rsidRDefault="005860D5">
            <w:pPr>
              <w:jc w:val="center"/>
              <w:rPr>
                <w:szCs w:val="21"/>
              </w:rPr>
            </w:pPr>
            <w:r>
              <w:rPr>
                <w:szCs w:val="21"/>
              </w:rPr>
              <w:t>准备与回采巷道</w:t>
            </w:r>
          </w:p>
        </w:tc>
        <w:tc>
          <w:tcPr>
            <w:tcW w:w="831" w:type="dxa"/>
            <w:shd w:val="clear" w:color="auto" w:fill="auto"/>
            <w:vAlign w:val="center"/>
          </w:tcPr>
          <w:p w:rsidR="00C223F5" w:rsidRDefault="00C223F5">
            <w:pPr>
              <w:jc w:val="center"/>
              <w:rPr>
                <w:szCs w:val="21"/>
              </w:rPr>
            </w:pPr>
          </w:p>
        </w:tc>
        <w:tc>
          <w:tcPr>
            <w:tcW w:w="800" w:type="dxa"/>
            <w:shd w:val="clear" w:color="auto" w:fill="auto"/>
            <w:vAlign w:val="center"/>
          </w:tcPr>
          <w:p w:rsidR="00C223F5" w:rsidRDefault="005860D5">
            <w:pPr>
              <w:jc w:val="center"/>
              <w:rPr>
                <w:szCs w:val="21"/>
              </w:rPr>
            </w:pPr>
            <w:r>
              <w:rPr>
                <w:szCs w:val="21"/>
              </w:rPr>
              <w:t>6445</w:t>
            </w:r>
          </w:p>
        </w:tc>
        <w:tc>
          <w:tcPr>
            <w:tcW w:w="446" w:type="dxa"/>
            <w:shd w:val="clear" w:color="auto" w:fill="auto"/>
            <w:vAlign w:val="center"/>
          </w:tcPr>
          <w:p w:rsidR="00C223F5" w:rsidRDefault="00C223F5">
            <w:pPr>
              <w:jc w:val="center"/>
              <w:rPr>
                <w:szCs w:val="21"/>
              </w:rPr>
            </w:pPr>
          </w:p>
        </w:tc>
        <w:tc>
          <w:tcPr>
            <w:tcW w:w="824" w:type="dxa"/>
            <w:shd w:val="clear" w:color="auto" w:fill="auto"/>
            <w:vAlign w:val="center"/>
          </w:tcPr>
          <w:p w:rsidR="00C223F5" w:rsidRDefault="005860D5">
            <w:pPr>
              <w:jc w:val="center"/>
              <w:rPr>
                <w:szCs w:val="21"/>
              </w:rPr>
            </w:pPr>
            <w:r>
              <w:rPr>
                <w:szCs w:val="21"/>
              </w:rPr>
              <w:t>6445</w:t>
            </w:r>
          </w:p>
        </w:tc>
        <w:tc>
          <w:tcPr>
            <w:tcW w:w="849" w:type="dxa"/>
            <w:shd w:val="clear" w:color="auto" w:fill="auto"/>
            <w:vAlign w:val="center"/>
          </w:tcPr>
          <w:p w:rsidR="00C223F5" w:rsidRDefault="00C223F5">
            <w:pPr>
              <w:jc w:val="center"/>
              <w:rPr>
                <w:szCs w:val="21"/>
              </w:rPr>
            </w:pPr>
          </w:p>
        </w:tc>
        <w:tc>
          <w:tcPr>
            <w:tcW w:w="850" w:type="dxa"/>
            <w:shd w:val="clear" w:color="auto" w:fill="auto"/>
            <w:vAlign w:val="center"/>
          </w:tcPr>
          <w:p w:rsidR="00C223F5" w:rsidRDefault="005860D5">
            <w:pPr>
              <w:jc w:val="center"/>
              <w:rPr>
                <w:szCs w:val="21"/>
              </w:rPr>
            </w:pPr>
            <w:r>
              <w:rPr>
                <w:szCs w:val="21"/>
              </w:rPr>
              <w:t>93553</w:t>
            </w:r>
          </w:p>
        </w:tc>
        <w:tc>
          <w:tcPr>
            <w:tcW w:w="846" w:type="dxa"/>
            <w:shd w:val="clear" w:color="auto" w:fill="auto"/>
            <w:vAlign w:val="center"/>
          </w:tcPr>
          <w:p w:rsidR="00C223F5" w:rsidRDefault="00C223F5">
            <w:pPr>
              <w:jc w:val="center"/>
              <w:rPr>
                <w:szCs w:val="21"/>
              </w:rPr>
            </w:pPr>
          </w:p>
        </w:tc>
        <w:tc>
          <w:tcPr>
            <w:tcW w:w="937" w:type="dxa"/>
            <w:shd w:val="clear" w:color="auto" w:fill="auto"/>
            <w:vAlign w:val="center"/>
          </w:tcPr>
          <w:p w:rsidR="00C223F5" w:rsidRDefault="005860D5">
            <w:pPr>
              <w:jc w:val="center"/>
              <w:rPr>
                <w:szCs w:val="21"/>
              </w:rPr>
            </w:pPr>
            <w:r>
              <w:rPr>
                <w:szCs w:val="21"/>
              </w:rPr>
              <w:t>93553</w:t>
            </w:r>
          </w:p>
        </w:tc>
      </w:tr>
      <w:tr w:rsidR="00C223F5">
        <w:trPr>
          <w:trHeight w:val="325"/>
          <w:jc w:val="center"/>
        </w:trPr>
        <w:tc>
          <w:tcPr>
            <w:tcW w:w="678" w:type="dxa"/>
            <w:shd w:val="clear" w:color="auto" w:fill="auto"/>
            <w:vAlign w:val="center"/>
          </w:tcPr>
          <w:p w:rsidR="00C223F5" w:rsidRDefault="005860D5">
            <w:pPr>
              <w:jc w:val="center"/>
              <w:rPr>
                <w:szCs w:val="21"/>
              </w:rPr>
            </w:pPr>
            <w:r>
              <w:rPr>
                <w:szCs w:val="21"/>
              </w:rPr>
              <w:t>（三）</w:t>
            </w:r>
          </w:p>
        </w:tc>
        <w:tc>
          <w:tcPr>
            <w:tcW w:w="1754" w:type="dxa"/>
            <w:gridSpan w:val="2"/>
            <w:shd w:val="clear" w:color="auto" w:fill="auto"/>
            <w:vAlign w:val="center"/>
          </w:tcPr>
          <w:p w:rsidR="00C223F5" w:rsidRDefault="005860D5">
            <w:pPr>
              <w:jc w:val="center"/>
              <w:rPr>
                <w:szCs w:val="21"/>
              </w:rPr>
            </w:pPr>
            <w:r>
              <w:rPr>
                <w:szCs w:val="21"/>
              </w:rPr>
              <w:t>合</w:t>
            </w:r>
            <w:r>
              <w:rPr>
                <w:szCs w:val="21"/>
              </w:rPr>
              <w:t xml:space="preserve">  </w:t>
            </w:r>
            <w:r>
              <w:rPr>
                <w:szCs w:val="21"/>
              </w:rPr>
              <w:t>计</w:t>
            </w:r>
          </w:p>
        </w:tc>
        <w:tc>
          <w:tcPr>
            <w:tcW w:w="831" w:type="dxa"/>
            <w:shd w:val="clear" w:color="auto" w:fill="auto"/>
            <w:vAlign w:val="center"/>
          </w:tcPr>
          <w:p w:rsidR="00C223F5" w:rsidRDefault="00C223F5">
            <w:pPr>
              <w:jc w:val="center"/>
              <w:rPr>
                <w:szCs w:val="21"/>
              </w:rPr>
            </w:pPr>
          </w:p>
        </w:tc>
        <w:tc>
          <w:tcPr>
            <w:tcW w:w="800" w:type="dxa"/>
            <w:shd w:val="clear" w:color="auto" w:fill="auto"/>
            <w:vAlign w:val="center"/>
          </w:tcPr>
          <w:p w:rsidR="00C223F5" w:rsidRDefault="005860D5">
            <w:pPr>
              <w:jc w:val="center"/>
              <w:rPr>
                <w:szCs w:val="21"/>
              </w:rPr>
            </w:pPr>
            <w:r>
              <w:rPr>
                <w:szCs w:val="21"/>
              </w:rPr>
              <w:t>10758</w:t>
            </w:r>
          </w:p>
        </w:tc>
        <w:tc>
          <w:tcPr>
            <w:tcW w:w="446" w:type="dxa"/>
            <w:shd w:val="clear" w:color="auto" w:fill="auto"/>
            <w:vAlign w:val="center"/>
          </w:tcPr>
          <w:p w:rsidR="00C223F5" w:rsidRDefault="005860D5">
            <w:pPr>
              <w:jc w:val="center"/>
              <w:rPr>
                <w:szCs w:val="21"/>
              </w:rPr>
            </w:pPr>
            <w:r>
              <w:rPr>
                <w:szCs w:val="21"/>
              </w:rPr>
              <w:t>5533</w:t>
            </w:r>
          </w:p>
        </w:tc>
        <w:tc>
          <w:tcPr>
            <w:tcW w:w="824" w:type="dxa"/>
            <w:shd w:val="clear" w:color="auto" w:fill="auto"/>
            <w:vAlign w:val="center"/>
          </w:tcPr>
          <w:p w:rsidR="00C223F5" w:rsidRDefault="005860D5">
            <w:pPr>
              <w:jc w:val="center"/>
              <w:rPr>
                <w:szCs w:val="21"/>
              </w:rPr>
            </w:pPr>
            <w:r>
              <w:rPr>
                <w:szCs w:val="21"/>
              </w:rPr>
              <w:t>16291</w:t>
            </w:r>
          </w:p>
        </w:tc>
        <w:tc>
          <w:tcPr>
            <w:tcW w:w="849" w:type="dxa"/>
            <w:shd w:val="clear" w:color="auto" w:fill="auto"/>
            <w:vAlign w:val="center"/>
          </w:tcPr>
          <w:p w:rsidR="00C223F5" w:rsidRDefault="00C223F5">
            <w:pPr>
              <w:jc w:val="center"/>
              <w:rPr>
                <w:szCs w:val="21"/>
              </w:rPr>
            </w:pPr>
          </w:p>
        </w:tc>
        <w:tc>
          <w:tcPr>
            <w:tcW w:w="850" w:type="dxa"/>
            <w:shd w:val="clear" w:color="auto" w:fill="auto"/>
            <w:vAlign w:val="center"/>
          </w:tcPr>
          <w:p w:rsidR="00C223F5" w:rsidRDefault="005860D5">
            <w:pPr>
              <w:jc w:val="center"/>
              <w:rPr>
                <w:szCs w:val="21"/>
              </w:rPr>
            </w:pPr>
            <w:r>
              <w:rPr>
                <w:szCs w:val="21"/>
              </w:rPr>
              <w:t>161209</w:t>
            </w:r>
          </w:p>
        </w:tc>
        <w:tc>
          <w:tcPr>
            <w:tcW w:w="846" w:type="dxa"/>
            <w:shd w:val="clear" w:color="auto" w:fill="auto"/>
            <w:vAlign w:val="center"/>
          </w:tcPr>
          <w:p w:rsidR="00C223F5" w:rsidRDefault="005860D5">
            <w:pPr>
              <w:jc w:val="center"/>
              <w:rPr>
                <w:szCs w:val="21"/>
              </w:rPr>
            </w:pPr>
            <w:r>
              <w:rPr>
                <w:szCs w:val="21"/>
              </w:rPr>
              <w:t>99005</w:t>
            </w:r>
          </w:p>
        </w:tc>
        <w:tc>
          <w:tcPr>
            <w:tcW w:w="937" w:type="dxa"/>
            <w:shd w:val="clear" w:color="auto" w:fill="auto"/>
            <w:vAlign w:val="center"/>
          </w:tcPr>
          <w:p w:rsidR="00C223F5" w:rsidRDefault="005860D5">
            <w:pPr>
              <w:jc w:val="center"/>
              <w:rPr>
                <w:szCs w:val="21"/>
              </w:rPr>
            </w:pPr>
            <w:r>
              <w:rPr>
                <w:szCs w:val="21"/>
              </w:rPr>
              <w:t>260214</w:t>
            </w:r>
          </w:p>
        </w:tc>
      </w:tr>
      <w:tr w:rsidR="00C223F5">
        <w:trPr>
          <w:trHeight w:val="353"/>
          <w:jc w:val="center"/>
        </w:trPr>
        <w:tc>
          <w:tcPr>
            <w:tcW w:w="8815" w:type="dxa"/>
            <w:gridSpan w:val="11"/>
            <w:shd w:val="clear" w:color="auto" w:fill="auto"/>
            <w:vAlign w:val="center"/>
          </w:tcPr>
          <w:p w:rsidR="00C223F5" w:rsidRDefault="005860D5">
            <w:pPr>
              <w:jc w:val="left"/>
              <w:rPr>
                <w:szCs w:val="21"/>
              </w:rPr>
            </w:pPr>
            <w:r>
              <w:rPr>
                <w:szCs w:val="21"/>
              </w:rPr>
              <w:t>三、利用工程</w:t>
            </w:r>
            <w:r>
              <w:rPr>
                <w:szCs w:val="21"/>
              </w:rPr>
              <w:t>+</w:t>
            </w:r>
            <w:r>
              <w:rPr>
                <w:szCs w:val="21"/>
              </w:rPr>
              <w:t>新增工程</w:t>
            </w:r>
          </w:p>
        </w:tc>
      </w:tr>
      <w:tr w:rsidR="00C223F5">
        <w:trPr>
          <w:trHeight w:val="381"/>
          <w:jc w:val="center"/>
        </w:trPr>
        <w:tc>
          <w:tcPr>
            <w:tcW w:w="2432" w:type="dxa"/>
            <w:gridSpan w:val="3"/>
            <w:shd w:val="clear" w:color="auto" w:fill="auto"/>
            <w:vAlign w:val="center"/>
          </w:tcPr>
          <w:p w:rsidR="00C223F5" w:rsidRDefault="005860D5">
            <w:pPr>
              <w:jc w:val="center"/>
              <w:rPr>
                <w:szCs w:val="21"/>
              </w:rPr>
            </w:pPr>
            <w:r>
              <w:rPr>
                <w:szCs w:val="21"/>
              </w:rPr>
              <w:t>总</w:t>
            </w:r>
            <w:r>
              <w:rPr>
                <w:szCs w:val="21"/>
              </w:rPr>
              <w:t xml:space="preserve">  </w:t>
            </w:r>
            <w:r>
              <w:rPr>
                <w:szCs w:val="21"/>
              </w:rPr>
              <w:t>计</w:t>
            </w:r>
          </w:p>
        </w:tc>
        <w:tc>
          <w:tcPr>
            <w:tcW w:w="831" w:type="dxa"/>
            <w:shd w:val="clear" w:color="auto" w:fill="auto"/>
            <w:vAlign w:val="center"/>
          </w:tcPr>
          <w:p w:rsidR="00C223F5" w:rsidRDefault="00C223F5">
            <w:pPr>
              <w:jc w:val="center"/>
              <w:rPr>
                <w:szCs w:val="21"/>
              </w:rPr>
            </w:pPr>
          </w:p>
        </w:tc>
        <w:tc>
          <w:tcPr>
            <w:tcW w:w="800" w:type="dxa"/>
            <w:shd w:val="clear" w:color="auto" w:fill="auto"/>
            <w:vAlign w:val="center"/>
          </w:tcPr>
          <w:p w:rsidR="00C223F5" w:rsidRDefault="005860D5">
            <w:pPr>
              <w:jc w:val="center"/>
              <w:rPr>
                <w:szCs w:val="21"/>
              </w:rPr>
            </w:pPr>
            <w:r>
              <w:rPr>
                <w:szCs w:val="21"/>
              </w:rPr>
              <w:t>10758</w:t>
            </w:r>
          </w:p>
        </w:tc>
        <w:tc>
          <w:tcPr>
            <w:tcW w:w="446" w:type="dxa"/>
            <w:shd w:val="clear" w:color="auto" w:fill="auto"/>
            <w:vAlign w:val="center"/>
          </w:tcPr>
          <w:p w:rsidR="00C223F5" w:rsidRDefault="005860D5">
            <w:pPr>
              <w:jc w:val="center"/>
              <w:rPr>
                <w:szCs w:val="21"/>
              </w:rPr>
            </w:pPr>
            <w:r>
              <w:rPr>
                <w:szCs w:val="21"/>
              </w:rPr>
              <w:t>5909</w:t>
            </w:r>
          </w:p>
        </w:tc>
        <w:tc>
          <w:tcPr>
            <w:tcW w:w="824" w:type="dxa"/>
            <w:shd w:val="clear" w:color="auto" w:fill="auto"/>
            <w:vAlign w:val="center"/>
          </w:tcPr>
          <w:p w:rsidR="00C223F5" w:rsidRDefault="005860D5">
            <w:pPr>
              <w:jc w:val="center"/>
              <w:rPr>
                <w:szCs w:val="21"/>
              </w:rPr>
            </w:pPr>
            <w:r>
              <w:rPr>
                <w:szCs w:val="21"/>
              </w:rPr>
              <w:t>16667</w:t>
            </w:r>
          </w:p>
        </w:tc>
        <w:tc>
          <w:tcPr>
            <w:tcW w:w="849" w:type="dxa"/>
            <w:shd w:val="clear" w:color="auto" w:fill="auto"/>
            <w:vAlign w:val="center"/>
          </w:tcPr>
          <w:p w:rsidR="00C223F5" w:rsidRDefault="00C223F5">
            <w:pPr>
              <w:jc w:val="center"/>
              <w:rPr>
                <w:szCs w:val="21"/>
              </w:rPr>
            </w:pPr>
          </w:p>
        </w:tc>
        <w:tc>
          <w:tcPr>
            <w:tcW w:w="850" w:type="dxa"/>
            <w:shd w:val="clear" w:color="auto" w:fill="auto"/>
            <w:vAlign w:val="center"/>
          </w:tcPr>
          <w:p w:rsidR="00C223F5" w:rsidRDefault="005860D5">
            <w:pPr>
              <w:jc w:val="center"/>
              <w:rPr>
                <w:szCs w:val="21"/>
              </w:rPr>
            </w:pPr>
            <w:r>
              <w:rPr>
                <w:szCs w:val="21"/>
              </w:rPr>
              <w:t>161209</w:t>
            </w:r>
          </w:p>
        </w:tc>
        <w:tc>
          <w:tcPr>
            <w:tcW w:w="846" w:type="dxa"/>
            <w:shd w:val="clear" w:color="auto" w:fill="auto"/>
            <w:vAlign w:val="center"/>
          </w:tcPr>
          <w:p w:rsidR="00C223F5" w:rsidRDefault="005860D5">
            <w:pPr>
              <w:jc w:val="center"/>
              <w:rPr>
                <w:szCs w:val="21"/>
              </w:rPr>
            </w:pPr>
            <w:r>
              <w:rPr>
                <w:szCs w:val="21"/>
              </w:rPr>
              <w:t>105021</w:t>
            </w:r>
          </w:p>
        </w:tc>
        <w:tc>
          <w:tcPr>
            <w:tcW w:w="937" w:type="dxa"/>
            <w:shd w:val="clear" w:color="auto" w:fill="auto"/>
            <w:vAlign w:val="center"/>
          </w:tcPr>
          <w:p w:rsidR="00C223F5" w:rsidRDefault="005860D5">
            <w:pPr>
              <w:jc w:val="center"/>
              <w:rPr>
                <w:szCs w:val="21"/>
              </w:rPr>
            </w:pPr>
            <w:r>
              <w:rPr>
                <w:szCs w:val="21"/>
              </w:rPr>
              <w:t>266230</w:t>
            </w:r>
          </w:p>
        </w:tc>
      </w:tr>
    </w:tbl>
    <w:p w:rsidR="00C223F5" w:rsidRDefault="005860D5" w:rsidP="00C006A7">
      <w:pPr>
        <w:spacing w:line="360" w:lineRule="auto"/>
        <w:ind w:firstLineChars="200" w:firstLine="482"/>
        <w:rPr>
          <w:b/>
          <w:sz w:val="24"/>
          <w:szCs w:val="22"/>
        </w:rPr>
      </w:pPr>
      <w:r>
        <w:rPr>
          <w:rFonts w:hint="eastAsia"/>
          <w:b/>
          <w:bCs/>
          <w:sz w:val="24"/>
        </w:rPr>
        <w:t>（六）</w:t>
      </w:r>
      <w:r>
        <w:rPr>
          <w:b/>
          <w:sz w:val="24"/>
          <w:szCs w:val="22"/>
        </w:rPr>
        <w:t>井下主要设备</w:t>
      </w:r>
    </w:p>
    <w:p w:rsidR="00C223F5" w:rsidRDefault="005860D5">
      <w:pPr>
        <w:spacing w:line="360" w:lineRule="auto"/>
        <w:ind w:firstLineChars="200" w:firstLine="480"/>
        <w:rPr>
          <w:sz w:val="24"/>
          <w:szCs w:val="22"/>
        </w:rPr>
      </w:pPr>
      <w:r>
        <w:rPr>
          <w:sz w:val="24"/>
          <w:szCs w:val="22"/>
        </w:rPr>
        <w:t>矿井投产时，井下主要装备情况见表</w:t>
      </w:r>
      <w:r>
        <w:rPr>
          <w:rFonts w:hint="eastAsia"/>
          <w:sz w:val="24"/>
          <w:szCs w:val="22"/>
        </w:rPr>
        <w:t>2.2.1-5</w:t>
      </w:r>
      <w:r>
        <w:rPr>
          <w:sz w:val="24"/>
          <w:szCs w:val="22"/>
        </w:rPr>
        <w:t>。</w:t>
      </w:r>
    </w:p>
    <w:p w:rsidR="00C223F5" w:rsidRDefault="005860D5" w:rsidP="00C006A7">
      <w:pPr>
        <w:spacing w:line="360" w:lineRule="auto"/>
        <w:ind w:firstLineChars="200" w:firstLine="482"/>
        <w:rPr>
          <w:rFonts w:eastAsiaTheme="minorEastAsia"/>
          <w:b/>
          <w:bCs/>
          <w:sz w:val="24"/>
        </w:rPr>
      </w:pPr>
      <w:r>
        <w:rPr>
          <w:rFonts w:eastAsiaTheme="minorEastAsia"/>
          <w:b/>
          <w:bCs/>
          <w:sz w:val="24"/>
        </w:rPr>
        <w:t>（七）主要硐室</w:t>
      </w:r>
    </w:p>
    <w:p w:rsidR="00C223F5" w:rsidRDefault="005860D5" w:rsidP="0064552A">
      <w:pPr>
        <w:spacing w:line="360" w:lineRule="auto"/>
        <w:ind w:firstLineChars="200" w:firstLine="480"/>
        <w:rPr>
          <w:rFonts w:ascii="宋体" w:hAnsi="宋体"/>
          <w:sz w:val="24"/>
        </w:rPr>
      </w:pPr>
      <w:r>
        <w:rPr>
          <w:rFonts w:ascii="宋体" w:hAnsi="宋体" w:hint="eastAsia"/>
          <w:sz w:val="24"/>
        </w:rPr>
        <w:t>矿井</w:t>
      </w:r>
      <w:r>
        <w:rPr>
          <w:rFonts w:ascii="宋体" w:hAnsi="宋体"/>
          <w:sz w:val="24"/>
        </w:rPr>
        <w:t>井</w:t>
      </w:r>
      <w:r>
        <w:rPr>
          <w:rFonts w:ascii="宋体" w:hAnsi="宋体" w:hint="eastAsia"/>
          <w:sz w:val="24"/>
        </w:rPr>
        <w:t>下主要</w:t>
      </w:r>
      <w:r>
        <w:rPr>
          <w:rFonts w:ascii="宋体" w:hAnsi="宋体"/>
          <w:sz w:val="24"/>
        </w:rPr>
        <w:t>硐室有</w:t>
      </w:r>
      <w:r>
        <w:rPr>
          <w:rFonts w:ascii="宋体" w:hAnsi="宋体" w:hint="eastAsia"/>
          <w:sz w:val="24"/>
        </w:rPr>
        <w:t>井底</w:t>
      </w:r>
      <w:r>
        <w:rPr>
          <w:rFonts w:ascii="宋体" w:hAnsi="宋体"/>
          <w:sz w:val="24"/>
        </w:rPr>
        <w:t>主排水泵房及</w:t>
      </w:r>
      <w:r>
        <w:rPr>
          <w:rFonts w:ascii="宋体" w:hAnsi="宋体" w:hint="eastAsia"/>
          <w:sz w:val="24"/>
        </w:rPr>
        <w:t>管子道、井底</w:t>
      </w:r>
      <w:r>
        <w:rPr>
          <w:rFonts w:ascii="宋体" w:hAnsi="宋体"/>
          <w:sz w:val="24"/>
        </w:rPr>
        <w:t>水仓</w:t>
      </w:r>
      <w:r>
        <w:rPr>
          <w:rFonts w:ascii="宋体" w:hAnsi="宋体" w:hint="eastAsia"/>
          <w:sz w:val="24"/>
        </w:rPr>
        <w:t>、井底主变电</w:t>
      </w:r>
      <w:r>
        <w:rPr>
          <w:rFonts w:ascii="宋体" w:hAnsi="宋体"/>
          <w:sz w:val="24"/>
        </w:rPr>
        <w:t>所</w:t>
      </w:r>
      <w:r>
        <w:rPr>
          <w:rFonts w:ascii="宋体" w:hAnsi="宋体" w:hint="eastAsia"/>
          <w:sz w:val="24"/>
        </w:rPr>
        <w:t>、井下</w:t>
      </w:r>
      <w:r>
        <w:rPr>
          <w:rFonts w:ascii="宋体" w:hAnsi="宋体"/>
          <w:sz w:val="24"/>
        </w:rPr>
        <w:t>消防材料库</w:t>
      </w:r>
      <w:r>
        <w:rPr>
          <w:rFonts w:ascii="宋体" w:hAnsi="宋体" w:hint="eastAsia"/>
          <w:sz w:val="24"/>
        </w:rPr>
        <w:t>、急救室、调度室、北翼井下爆炸物品库、北翼盘区变电所、北翼永久避难硐室</w:t>
      </w:r>
      <w:r>
        <w:rPr>
          <w:rFonts w:ascii="宋体" w:hAnsi="宋体"/>
          <w:sz w:val="24"/>
        </w:rPr>
        <w:t>等。</w:t>
      </w:r>
    </w:p>
    <w:p w:rsidR="00C223F5" w:rsidRDefault="000F32AE">
      <w:pPr>
        <w:pStyle w:val="aff1"/>
        <w:spacing w:line="360" w:lineRule="auto"/>
        <w:ind w:left="0" w:firstLineChars="200" w:firstLine="480"/>
        <w:rPr>
          <w:szCs w:val="24"/>
        </w:rPr>
      </w:pPr>
      <w:r>
        <w:rPr>
          <w:rFonts w:eastAsiaTheme="minorEastAsia"/>
          <w:szCs w:val="24"/>
        </w:rPr>
        <w:fldChar w:fldCharType="begin"/>
      </w:r>
      <w:r w:rsidR="005860D5">
        <w:rPr>
          <w:rFonts w:eastAsiaTheme="minorEastAsia"/>
          <w:szCs w:val="24"/>
        </w:rPr>
        <w:instrText xml:space="preserve"> = 1 \* GB3 </w:instrText>
      </w:r>
      <w:r>
        <w:rPr>
          <w:rFonts w:eastAsiaTheme="minorEastAsia"/>
          <w:szCs w:val="24"/>
        </w:rPr>
        <w:fldChar w:fldCharType="separate"/>
      </w:r>
      <w:r w:rsidR="005860D5">
        <w:rPr>
          <w:rFonts w:asciiTheme="minorEastAsia" w:eastAsiaTheme="minorEastAsia" w:hAnsiTheme="minorEastAsia"/>
          <w:szCs w:val="24"/>
        </w:rPr>
        <w:t>①</w:t>
      </w:r>
      <w:r>
        <w:rPr>
          <w:rFonts w:eastAsiaTheme="minorEastAsia"/>
          <w:szCs w:val="24"/>
        </w:rPr>
        <w:fldChar w:fldCharType="end"/>
      </w:r>
      <w:r w:rsidR="005860D5">
        <w:rPr>
          <w:rFonts w:eastAsiaTheme="minorEastAsia"/>
          <w:szCs w:val="24"/>
        </w:rPr>
        <w:t>主排水泵房及</w:t>
      </w:r>
      <w:r w:rsidR="005860D5">
        <w:rPr>
          <w:szCs w:val="24"/>
        </w:rPr>
        <w:t>水仓</w:t>
      </w:r>
    </w:p>
    <w:p w:rsidR="00C223F5" w:rsidRDefault="005860D5">
      <w:pPr>
        <w:spacing w:line="360" w:lineRule="auto"/>
        <w:ind w:firstLineChars="200" w:firstLine="480"/>
        <w:rPr>
          <w:sz w:val="24"/>
          <w:szCs w:val="22"/>
        </w:rPr>
      </w:pPr>
      <w:r>
        <w:rPr>
          <w:rFonts w:hAnsi="宋体"/>
          <w:sz w:val="24"/>
        </w:rPr>
        <w:t>井底主排水泵房布置在副斜井落底附近，主排水泵房长</w:t>
      </w:r>
      <w:r>
        <w:rPr>
          <w:sz w:val="24"/>
        </w:rPr>
        <w:t>20m</w:t>
      </w:r>
      <w:r>
        <w:rPr>
          <w:rFonts w:hAnsi="宋体"/>
          <w:sz w:val="24"/>
        </w:rPr>
        <w:t>、宽</w:t>
      </w:r>
      <w:r>
        <w:rPr>
          <w:sz w:val="24"/>
        </w:rPr>
        <w:t>3.6m</w:t>
      </w:r>
      <w:r>
        <w:rPr>
          <w:rFonts w:hAnsi="宋体"/>
          <w:sz w:val="24"/>
        </w:rPr>
        <w:t>、墙高</w:t>
      </w:r>
      <w:r>
        <w:rPr>
          <w:sz w:val="24"/>
        </w:rPr>
        <w:t>2.4m</w:t>
      </w:r>
      <w:r>
        <w:rPr>
          <w:rFonts w:hAnsi="宋体"/>
          <w:sz w:val="24"/>
        </w:rPr>
        <w:t>，采用直墙半圆拱形断面。井底水仓入口位于副斜井井底附近，井下大巷的</w:t>
      </w:r>
      <w:r>
        <w:rPr>
          <w:rFonts w:hAnsi="宋体"/>
          <w:sz w:val="24"/>
        </w:rPr>
        <w:lastRenderedPageBreak/>
        <w:t>最低处，矿井涌水由井底主排水泵房的水泵和敷设于管子道、主斜井的排水管路排至矿井工业场地的井下水处理站进行处理后复用。</w:t>
      </w:r>
    </w:p>
    <w:p w:rsidR="00C223F5" w:rsidRDefault="005860D5">
      <w:pPr>
        <w:jc w:val="center"/>
        <w:rPr>
          <w:rFonts w:eastAsiaTheme="minorEastAsia"/>
          <w:b/>
          <w:sz w:val="24"/>
        </w:rPr>
      </w:pPr>
      <w:r>
        <w:rPr>
          <w:rFonts w:hAnsi="宋体"/>
          <w:b/>
          <w:sz w:val="24"/>
        </w:rPr>
        <w:t>表</w:t>
      </w:r>
      <w:r>
        <w:rPr>
          <w:rFonts w:eastAsiaTheme="minorEastAsia"/>
          <w:b/>
          <w:sz w:val="24"/>
        </w:rPr>
        <w:t xml:space="preserve">2.2.1-5   </w:t>
      </w:r>
      <w:r>
        <w:rPr>
          <w:rFonts w:hAnsi="宋体"/>
          <w:b/>
          <w:sz w:val="24"/>
        </w:rPr>
        <w:t>工作面主要设备特征表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58"/>
        <w:gridCol w:w="1591"/>
        <w:gridCol w:w="3988"/>
        <w:gridCol w:w="562"/>
        <w:gridCol w:w="702"/>
        <w:gridCol w:w="1397"/>
      </w:tblGrid>
      <w:tr w:rsidR="00C223F5">
        <w:trPr>
          <w:trHeight w:val="545"/>
          <w:jc w:val="center"/>
        </w:trPr>
        <w:tc>
          <w:tcPr>
            <w:tcW w:w="1116" w:type="dxa"/>
            <w:gridSpan w:val="2"/>
            <w:vAlign w:val="center"/>
          </w:tcPr>
          <w:p w:rsidR="00C223F5" w:rsidRDefault="005860D5">
            <w:pPr>
              <w:jc w:val="center"/>
              <w:rPr>
                <w:szCs w:val="21"/>
              </w:rPr>
            </w:pPr>
            <w:r>
              <w:rPr>
                <w:rFonts w:hint="eastAsia"/>
                <w:szCs w:val="21"/>
              </w:rPr>
              <w:t>序号</w:t>
            </w:r>
          </w:p>
        </w:tc>
        <w:tc>
          <w:tcPr>
            <w:tcW w:w="1591" w:type="dxa"/>
            <w:vAlign w:val="center"/>
          </w:tcPr>
          <w:p w:rsidR="00C223F5" w:rsidRDefault="005860D5">
            <w:pPr>
              <w:jc w:val="center"/>
              <w:rPr>
                <w:szCs w:val="21"/>
              </w:rPr>
            </w:pPr>
            <w:r>
              <w:rPr>
                <w:rFonts w:hint="eastAsia"/>
                <w:szCs w:val="21"/>
              </w:rPr>
              <w:t>设备材料名称</w:t>
            </w:r>
          </w:p>
        </w:tc>
        <w:tc>
          <w:tcPr>
            <w:tcW w:w="3988" w:type="dxa"/>
            <w:vAlign w:val="center"/>
          </w:tcPr>
          <w:p w:rsidR="00C223F5" w:rsidRDefault="005860D5">
            <w:pPr>
              <w:jc w:val="center"/>
              <w:rPr>
                <w:szCs w:val="21"/>
              </w:rPr>
            </w:pPr>
            <w:r>
              <w:rPr>
                <w:rFonts w:hint="eastAsia"/>
                <w:szCs w:val="21"/>
              </w:rPr>
              <w:t>型号及规格</w:t>
            </w:r>
          </w:p>
        </w:tc>
        <w:tc>
          <w:tcPr>
            <w:tcW w:w="562" w:type="dxa"/>
            <w:vAlign w:val="center"/>
          </w:tcPr>
          <w:p w:rsidR="00C223F5" w:rsidRDefault="005860D5">
            <w:pPr>
              <w:jc w:val="center"/>
              <w:rPr>
                <w:szCs w:val="21"/>
              </w:rPr>
            </w:pPr>
            <w:r>
              <w:rPr>
                <w:rFonts w:hint="eastAsia"/>
                <w:szCs w:val="21"/>
              </w:rPr>
              <w:t>单位</w:t>
            </w:r>
          </w:p>
        </w:tc>
        <w:tc>
          <w:tcPr>
            <w:tcW w:w="702" w:type="dxa"/>
            <w:vAlign w:val="center"/>
          </w:tcPr>
          <w:p w:rsidR="00C223F5" w:rsidRDefault="005860D5">
            <w:pPr>
              <w:jc w:val="center"/>
              <w:rPr>
                <w:szCs w:val="21"/>
              </w:rPr>
            </w:pPr>
            <w:r>
              <w:rPr>
                <w:rFonts w:hint="eastAsia"/>
                <w:szCs w:val="21"/>
              </w:rPr>
              <w:t>数量</w:t>
            </w:r>
          </w:p>
        </w:tc>
        <w:tc>
          <w:tcPr>
            <w:tcW w:w="1397" w:type="dxa"/>
            <w:vAlign w:val="center"/>
          </w:tcPr>
          <w:p w:rsidR="00C223F5" w:rsidRDefault="005860D5">
            <w:pPr>
              <w:jc w:val="center"/>
              <w:rPr>
                <w:szCs w:val="21"/>
              </w:rPr>
            </w:pPr>
            <w:r>
              <w:rPr>
                <w:rFonts w:hint="eastAsia"/>
                <w:szCs w:val="21"/>
              </w:rPr>
              <w:t>备注</w:t>
            </w:r>
          </w:p>
        </w:tc>
      </w:tr>
      <w:tr w:rsidR="00C223F5">
        <w:trPr>
          <w:trHeight w:val="127"/>
          <w:jc w:val="center"/>
        </w:trPr>
        <w:tc>
          <w:tcPr>
            <w:tcW w:w="558" w:type="dxa"/>
            <w:vMerge w:val="restart"/>
            <w:vAlign w:val="center"/>
          </w:tcPr>
          <w:p w:rsidR="00C223F5" w:rsidRDefault="005860D5">
            <w:pPr>
              <w:jc w:val="center"/>
              <w:rPr>
                <w:szCs w:val="21"/>
              </w:rPr>
            </w:pPr>
            <w:r>
              <w:rPr>
                <w:b/>
                <w:szCs w:val="21"/>
              </w:rPr>
              <w:t>4</w:t>
            </w:r>
            <w:r>
              <w:rPr>
                <w:b/>
                <w:szCs w:val="21"/>
                <w:vertAlign w:val="superscript"/>
              </w:rPr>
              <w:t>-1</w:t>
            </w:r>
            <w:r>
              <w:rPr>
                <w:rFonts w:hAnsi="宋体"/>
                <w:b/>
                <w:szCs w:val="21"/>
              </w:rPr>
              <w:t>煤综采工作面主要设备</w:t>
            </w:r>
          </w:p>
        </w:tc>
        <w:tc>
          <w:tcPr>
            <w:tcW w:w="558" w:type="dxa"/>
            <w:vAlign w:val="center"/>
          </w:tcPr>
          <w:p w:rsidR="00C223F5" w:rsidRDefault="005860D5">
            <w:pPr>
              <w:jc w:val="center"/>
              <w:rPr>
                <w:szCs w:val="21"/>
              </w:rPr>
            </w:pPr>
            <w:r>
              <w:rPr>
                <w:rFonts w:hint="eastAsia"/>
                <w:szCs w:val="21"/>
              </w:rPr>
              <w:t>1</w:t>
            </w:r>
          </w:p>
        </w:tc>
        <w:tc>
          <w:tcPr>
            <w:tcW w:w="1591" w:type="dxa"/>
            <w:vAlign w:val="center"/>
          </w:tcPr>
          <w:p w:rsidR="00C223F5" w:rsidRDefault="005860D5">
            <w:pPr>
              <w:jc w:val="center"/>
              <w:rPr>
                <w:szCs w:val="21"/>
              </w:rPr>
            </w:pPr>
            <w:r>
              <w:rPr>
                <w:rFonts w:hint="eastAsia"/>
                <w:szCs w:val="21"/>
              </w:rPr>
              <w:t>采煤机</w:t>
            </w:r>
          </w:p>
        </w:tc>
        <w:tc>
          <w:tcPr>
            <w:tcW w:w="3988" w:type="dxa"/>
            <w:vAlign w:val="center"/>
          </w:tcPr>
          <w:p w:rsidR="00C223F5" w:rsidRDefault="005860D5">
            <w:pPr>
              <w:jc w:val="center"/>
              <w:rPr>
                <w:szCs w:val="21"/>
              </w:rPr>
            </w:pPr>
            <w:r>
              <w:rPr>
                <w:szCs w:val="21"/>
              </w:rPr>
              <w:t>MG500/1130-AWD</w:t>
            </w:r>
            <w:r>
              <w:rPr>
                <w:rFonts w:hint="eastAsia"/>
                <w:szCs w:val="21"/>
              </w:rPr>
              <w:t>,N=1130kW,U=3300V</w:t>
            </w:r>
          </w:p>
        </w:tc>
        <w:tc>
          <w:tcPr>
            <w:tcW w:w="562" w:type="dxa"/>
            <w:vAlign w:val="center"/>
          </w:tcPr>
          <w:p w:rsidR="00C223F5" w:rsidRDefault="005860D5">
            <w:pPr>
              <w:jc w:val="center"/>
              <w:rPr>
                <w:szCs w:val="21"/>
              </w:rPr>
            </w:pPr>
            <w:r>
              <w:rPr>
                <w:rFonts w:hint="eastAsia"/>
                <w:szCs w:val="21"/>
              </w:rPr>
              <w:t>台</w:t>
            </w:r>
          </w:p>
        </w:tc>
        <w:tc>
          <w:tcPr>
            <w:tcW w:w="702" w:type="dxa"/>
            <w:vAlign w:val="center"/>
          </w:tcPr>
          <w:p w:rsidR="00C223F5" w:rsidRDefault="005860D5">
            <w:pPr>
              <w:jc w:val="center"/>
              <w:rPr>
                <w:szCs w:val="21"/>
              </w:rPr>
            </w:pPr>
            <w:r>
              <w:rPr>
                <w:rFonts w:hint="eastAsia"/>
                <w:szCs w:val="21"/>
              </w:rPr>
              <w:t>1</w:t>
            </w:r>
          </w:p>
        </w:tc>
        <w:tc>
          <w:tcPr>
            <w:tcW w:w="1397" w:type="dxa"/>
            <w:vAlign w:val="center"/>
          </w:tcPr>
          <w:p w:rsidR="00C223F5" w:rsidRDefault="00C223F5">
            <w:pPr>
              <w:jc w:val="center"/>
              <w:rPr>
                <w:szCs w:val="21"/>
              </w:rPr>
            </w:pP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2</w:t>
            </w:r>
          </w:p>
        </w:tc>
        <w:tc>
          <w:tcPr>
            <w:tcW w:w="1591" w:type="dxa"/>
            <w:vAlign w:val="center"/>
          </w:tcPr>
          <w:p w:rsidR="00C223F5" w:rsidRDefault="005860D5">
            <w:pPr>
              <w:jc w:val="center"/>
              <w:rPr>
                <w:szCs w:val="21"/>
              </w:rPr>
            </w:pPr>
            <w:r>
              <w:rPr>
                <w:rFonts w:hint="eastAsia"/>
                <w:szCs w:val="21"/>
              </w:rPr>
              <w:t>可弯曲刮板</w:t>
            </w:r>
          </w:p>
          <w:p w:rsidR="00C223F5" w:rsidRDefault="005860D5">
            <w:pPr>
              <w:jc w:val="center"/>
              <w:rPr>
                <w:szCs w:val="21"/>
              </w:rPr>
            </w:pPr>
            <w:r>
              <w:rPr>
                <w:rFonts w:hint="eastAsia"/>
                <w:szCs w:val="21"/>
              </w:rPr>
              <w:t>输送机</w:t>
            </w:r>
          </w:p>
        </w:tc>
        <w:tc>
          <w:tcPr>
            <w:tcW w:w="3988" w:type="dxa"/>
            <w:vAlign w:val="center"/>
          </w:tcPr>
          <w:p w:rsidR="00C223F5" w:rsidRDefault="005860D5">
            <w:pPr>
              <w:jc w:val="center"/>
              <w:rPr>
                <w:szCs w:val="21"/>
              </w:rPr>
            </w:pPr>
            <w:r>
              <w:rPr>
                <w:szCs w:val="21"/>
              </w:rPr>
              <w:t>SGZ764/320</w:t>
            </w:r>
            <w:r>
              <w:rPr>
                <w:rFonts w:hint="eastAsia"/>
                <w:szCs w:val="21"/>
              </w:rPr>
              <w:t xml:space="preserve"> Q=800t/h N=2</w:t>
            </w:r>
            <w:r>
              <w:rPr>
                <w:rFonts w:hint="eastAsia"/>
                <w:szCs w:val="21"/>
              </w:rPr>
              <w:t>×</w:t>
            </w:r>
            <w:r>
              <w:rPr>
                <w:rFonts w:hint="eastAsia"/>
                <w:szCs w:val="21"/>
              </w:rPr>
              <w:t>160kW U=1140V</w:t>
            </w:r>
          </w:p>
        </w:tc>
        <w:tc>
          <w:tcPr>
            <w:tcW w:w="562" w:type="dxa"/>
            <w:vAlign w:val="center"/>
          </w:tcPr>
          <w:p w:rsidR="00C223F5" w:rsidRDefault="005860D5">
            <w:pPr>
              <w:jc w:val="center"/>
              <w:rPr>
                <w:szCs w:val="21"/>
              </w:rPr>
            </w:pPr>
            <w:r>
              <w:rPr>
                <w:rFonts w:hint="eastAsia"/>
                <w:szCs w:val="21"/>
              </w:rPr>
              <w:t>台</w:t>
            </w:r>
          </w:p>
        </w:tc>
        <w:tc>
          <w:tcPr>
            <w:tcW w:w="702" w:type="dxa"/>
            <w:vAlign w:val="center"/>
          </w:tcPr>
          <w:p w:rsidR="00C223F5" w:rsidRDefault="005860D5">
            <w:pPr>
              <w:jc w:val="center"/>
              <w:rPr>
                <w:szCs w:val="21"/>
              </w:rPr>
            </w:pPr>
            <w:r>
              <w:rPr>
                <w:rFonts w:hint="eastAsia"/>
                <w:szCs w:val="21"/>
              </w:rPr>
              <w:t>1</w:t>
            </w:r>
          </w:p>
        </w:tc>
        <w:tc>
          <w:tcPr>
            <w:tcW w:w="1397" w:type="dxa"/>
            <w:vAlign w:val="center"/>
          </w:tcPr>
          <w:p w:rsidR="00C223F5" w:rsidRDefault="00C223F5">
            <w:pPr>
              <w:jc w:val="center"/>
              <w:rPr>
                <w:szCs w:val="21"/>
              </w:rPr>
            </w:pP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3</w:t>
            </w:r>
          </w:p>
        </w:tc>
        <w:tc>
          <w:tcPr>
            <w:tcW w:w="1591" w:type="dxa"/>
            <w:vAlign w:val="center"/>
          </w:tcPr>
          <w:p w:rsidR="00C223F5" w:rsidRDefault="005860D5">
            <w:pPr>
              <w:jc w:val="center"/>
              <w:rPr>
                <w:szCs w:val="21"/>
              </w:rPr>
            </w:pPr>
            <w:r>
              <w:rPr>
                <w:rFonts w:hint="eastAsia"/>
                <w:szCs w:val="21"/>
              </w:rPr>
              <w:t>液压支架</w:t>
            </w:r>
          </w:p>
        </w:tc>
        <w:tc>
          <w:tcPr>
            <w:tcW w:w="3988" w:type="dxa"/>
            <w:vAlign w:val="center"/>
          </w:tcPr>
          <w:p w:rsidR="00C223F5" w:rsidRDefault="005860D5">
            <w:pPr>
              <w:jc w:val="center"/>
              <w:rPr>
                <w:szCs w:val="21"/>
              </w:rPr>
            </w:pPr>
            <w:r>
              <w:rPr>
                <w:rFonts w:hint="eastAsia"/>
                <w:szCs w:val="21"/>
              </w:rPr>
              <w:t>ZY6800/17/35</w:t>
            </w:r>
          </w:p>
        </w:tc>
        <w:tc>
          <w:tcPr>
            <w:tcW w:w="562" w:type="dxa"/>
            <w:vAlign w:val="center"/>
          </w:tcPr>
          <w:p w:rsidR="00C223F5" w:rsidRDefault="005860D5">
            <w:pPr>
              <w:jc w:val="center"/>
              <w:rPr>
                <w:szCs w:val="21"/>
              </w:rPr>
            </w:pPr>
            <w:r>
              <w:rPr>
                <w:rFonts w:hint="eastAsia"/>
                <w:szCs w:val="21"/>
              </w:rPr>
              <w:t>架</w:t>
            </w:r>
          </w:p>
        </w:tc>
        <w:tc>
          <w:tcPr>
            <w:tcW w:w="702" w:type="dxa"/>
            <w:vAlign w:val="center"/>
          </w:tcPr>
          <w:p w:rsidR="00C223F5" w:rsidRDefault="005860D5">
            <w:pPr>
              <w:jc w:val="center"/>
              <w:rPr>
                <w:szCs w:val="21"/>
              </w:rPr>
            </w:pPr>
            <w:r>
              <w:rPr>
                <w:rFonts w:hint="eastAsia"/>
                <w:szCs w:val="21"/>
              </w:rPr>
              <w:t>146</w:t>
            </w:r>
          </w:p>
        </w:tc>
        <w:tc>
          <w:tcPr>
            <w:tcW w:w="1397" w:type="dxa"/>
            <w:vAlign w:val="center"/>
          </w:tcPr>
          <w:p w:rsidR="00C223F5" w:rsidRDefault="005860D5">
            <w:pPr>
              <w:jc w:val="center"/>
              <w:rPr>
                <w:szCs w:val="21"/>
              </w:rPr>
            </w:pPr>
            <w:r>
              <w:rPr>
                <w:rFonts w:hint="eastAsia"/>
                <w:szCs w:val="21"/>
              </w:rPr>
              <w:t>含备用</w:t>
            </w:r>
            <w:r>
              <w:rPr>
                <w:rFonts w:hint="eastAsia"/>
                <w:szCs w:val="21"/>
              </w:rPr>
              <w:t>13</w:t>
            </w:r>
            <w:r>
              <w:rPr>
                <w:rFonts w:hint="eastAsia"/>
                <w:szCs w:val="21"/>
              </w:rPr>
              <w:t>架</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4</w:t>
            </w:r>
          </w:p>
        </w:tc>
        <w:tc>
          <w:tcPr>
            <w:tcW w:w="1591" w:type="dxa"/>
            <w:vAlign w:val="center"/>
          </w:tcPr>
          <w:p w:rsidR="00C223F5" w:rsidRDefault="005860D5">
            <w:pPr>
              <w:jc w:val="center"/>
              <w:rPr>
                <w:szCs w:val="21"/>
              </w:rPr>
            </w:pPr>
            <w:r>
              <w:rPr>
                <w:rFonts w:hint="eastAsia"/>
                <w:szCs w:val="21"/>
              </w:rPr>
              <w:t>端头支架</w:t>
            </w:r>
          </w:p>
        </w:tc>
        <w:tc>
          <w:tcPr>
            <w:tcW w:w="3988" w:type="dxa"/>
            <w:vAlign w:val="center"/>
          </w:tcPr>
          <w:p w:rsidR="00C223F5" w:rsidRDefault="005860D5">
            <w:pPr>
              <w:jc w:val="center"/>
              <w:rPr>
                <w:szCs w:val="21"/>
              </w:rPr>
            </w:pPr>
            <w:r>
              <w:rPr>
                <w:rFonts w:hint="eastAsia"/>
                <w:szCs w:val="21"/>
              </w:rPr>
              <w:t>与液压支架配套</w:t>
            </w:r>
          </w:p>
        </w:tc>
        <w:tc>
          <w:tcPr>
            <w:tcW w:w="562" w:type="dxa"/>
            <w:vAlign w:val="center"/>
          </w:tcPr>
          <w:p w:rsidR="00C223F5" w:rsidRDefault="005860D5">
            <w:pPr>
              <w:jc w:val="center"/>
              <w:rPr>
                <w:szCs w:val="21"/>
              </w:rPr>
            </w:pPr>
            <w:r>
              <w:rPr>
                <w:rFonts w:hint="eastAsia"/>
                <w:szCs w:val="21"/>
              </w:rPr>
              <w:t>组</w:t>
            </w:r>
          </w:p>
        </w:tc>
        <w:tc>
          <w:tcPr>
            <w:tcW w:w="702" w:type="dxa"/>
            <w:vAlign w:val="center"/>
          </w:tcPr>
          <w:p w:rsidR="00C223F5" w:rsidRDefault="005860D5">
            <w:pPr>
              <w:jc w:val="center"/>
              <w:rPr>
                <w:szCs w:val="21"/>
              </w:rPr>
            </w:pPr>
            <w:r>
              <w:rPr>
                <w:rFonts w:hint="eastAsia"/>
                <w:szCs w:val="21"/>
              </w:rPr>
              <w:t>2</w:t>
            </w:r>
          </w:p>
        </w:tc>
        <w:tc>
          <w:tcPr>
            <w:tcW w:w="1397" w:type="dxa"/>
            <w:vAlign w:val="center"/>
          </w:tcPr>
          <w:p w:rsidR="00C223F5" w:rsidRDefault="005860D5">
            <w:pPr>
              <w:jc w:val="center"/>
              <w:rPr>
                <w:szCs w:val="21"/>
              </w:rPr>
            </w:pPr>
            <w:r>
              <w:rPr>
                <w:rFonts w:hint="eastAsia"/>
                <w:szCs w:val="21"/>
              </w:rPr>
              <w:t>每</w:t>
            </w:r>
            <w:r>
              <w:rPr>
                <w:rFonts w:hint="eastAsia"/>
                <w:szCs w:val="21"/>
              </w:rPr>
              <w:t>2</w:t>
            </w:r>
            <w:r>
              <w:rPr>
                <w:rFonts w:hint="eastAsia"/>
                <w:szCs w:val="21"/>
              </w:rPr>
              <w:t>架</w:t>
            </w:r>
            <w:r>
              <w:rPr>
                <w:rFonts w:hint="eastAsia"/>
                <w:szCs w:val="21"/>
              </w:rPr>
              <w:t>1</w:t>
            </w:r>
            <w:r>
              <w:rPr>
                <w:rFonts w:hint="eastAsia"/>
                <w:szCs w:val="21"/>
              </w:rPr>
              <w:t>组</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5</w:t>
            </w:r>
          </w:p>
        </w:tc>
        <w:tc>
          <w:tcPr>
            <w:tcW w:w="1591" w:type="dxa"/>
            <w:vAlign w:val="center"/>
          </w:tcPr>
          <w:p w:rsidR="00C223F5" w:rsidRDefault="005860D5">
            <w:pPr>
              <w:jc w:val="center"/>
              <w:rPr>
                <w:szCs w:val="21"/>
              </w:rPr>
            </w:pPr>
            <w:r>
              <w:rPr>
                <w:rFonts w:hint="eastAsia"/>
                <w:szCs w:val="21"/>
              </w:rPr>
              <w:t>风巷超前支架</w:t>
            </w:r>
          </w:p>
        </w:tc>
        <w:tc>
          <w:tcPr>
            <w:tcW w:w="3988" w:type="dxa"/>
            <w:vAlign w:val="center"/>
          </w:tcPr>
          <w:p w:rsidR="00C223F5" w:rsidRDefault="005860D5">
            <w:pPr>
              <w:jc w:val="center"/>
              <w:rPr>
                <w:szCs w:val="21"/>
              </w:rPr>
            </w:pPr>
            <w:r>
              <w:rPr>
                <w:szCs w:val="21"/>
              </w:rPr>
              <w:t>ZFDC11600/18.5/36</w:t>
            </w:r>
          </w:p>
        </w:tc>
        <w:tc>
          <w:tcPr>
            <w:tcW w:w="562" w:type="dxa"/>
            <w:vAlign w:val="center"/>
          </w:tcPr>
          <w:p w:rsidR="00C223F5" w:rsidRDefault="005860D5">
            <w:pPr>
              <w:jc w:val="center"/>
              <w:rPr>
                <w:szCs w:val="21"/>
              </w:rPr>
            </w:pPr>
            <w:r>
              <w:rPr>
                <w:rFonts w:hint="eastAsia"/>
                <w:szCs w:val="21"/>
              </w:rPr>
              <w:t>组</w:t>
            </w:r>
          </w:p>
        </w:tc>
        <w:tc>
          <w:tcPr>
            <w:tcW w:w="702" w:type="dxa"/>
            <w:vAlign w:val="center"/>
          </w:tcPr>
          <w:p w:rsidR="00C223F5" w:rsidRDefault="005860D5">
            <w:pPr>
              <w:jc w:val="center"/>
              <w:rPr>
                <w:szCs w:val="21"/>
              </w:rPr>
            </w:pPr>
            <w:r>
              <w:rPr>
                <w:rFonts w:hint="eastAsia"/>
                <w:szCs w:val="21"/>
              </w:rPr>
              <w:t>1</w:t>
            </w:r>
          </w:p>
        </w:tc>
        <w:tc>
          <w:tcPr>
            <w:tcW w:w="1397" w:type="dxa"/>
            <w:vAlign w:val="center"/>
          </w:tcPr>
          <w:p w:rsidR="00C223F5" w:rsidRDefault="005860D5">
            <w:pPr>
              <w:jc w:val="center"/>
              <w:rPr>
                <w:szCs w:val="21"/>
              </w:rPr>
            </w:pPr>
            <w:r>
              <w:rPr>
                <w:rFonts w:hint="eastAsia"/>
                <w:szCs w:val="21"/>
              </w:rPr>
              <w:t>每</w:t>
            </w:r>
            <w:r>
              <w:rPr>
                <w:rFonts w:hint="eastAsia"/>
                <w:szCs w:val="21"/>
              </w:rPr>
              <w:t>2</w:t>
            </w:r>
            <w:r>
              <w:rPr>
                <w:rFonts w:hint="eastAsia"/>
                <w:szCs w:val="21"/>
              </w:rPr>
              <w:t>架</w:t>
            </w:r>
            <w:r>
              <w:rPr>
                <w:rFonts w:hint="eastAsia"/>
                <w:szCs w:val="21"/>
              </w:rPr>
              <w:t>1</w:t>
            </w:r>
            <w:r>
              <w:rPr>
                <w:rFonts w:hint="eastAsia"/>
                <w:szCs w:val="21"/>
              </w:rPr>
              <w:t>组</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6</w:t>
            </w:r>
          </w:p>
        </w:tc>
        <w:tc>
          <w:tcPr>
            <w:tcW w:w="1591" w:type="dxa"/>
            <w:vAlign w:val="center"/>
          </w:tcPr>
          <w:p w:rsidR="00C223F5" w:rsidRDefault="005860D5">
            <w:pPr>
              <w:jc w:val="center"/>
              <w:rPr>
                <w:szCs w:val="21"/>
              </w:rPr>
            </w:pPr>
            <w:r>
              <w:rPr>
                <w:rFonts w:hint="eastAsia"/>
                <w:szCs w:val="21"/>
              </w:rPr>
              <w:t>运巷超前支架</w:t>
            </w:r>
          </w:p>
        </w:tc>
        <w:tc>
          <w:tcPr>
            <w:tcW w:w="3988" w:type="dxa"/>
            <w:vAlign w:val="center"/>
          </w:tcPr>
          <w:p w:rsidR="00C223F5" w:rsidRDefault="005860D5">
            <w:pPr>
              <w:jc w:val="center"/>
              <w:rPr>
                <w:szCs w:val="21"/>
              </w:rPr>
            </w:pPr>
            <w:r>
              <w:rPr>
                <w:szCs w:val="21"/>
              </w:rPr>
              <w:t>ZYDC5150/22.5/36</w:t>
            </w:r>
          </w:p>
        </w:tc>
        <w:tc>
          <w:tcPr>
            <w:tcW w:w="562" w:type="dxa"/>
            <w:vAlign w:val="center"/>
          </w:tcPr>
          <w:p w:rsidR="00C223F5" w:rsidRDefault="005860D5">
            <w:pPr>
              <w:jc w:val="center"/>
              <w:rPr>
                <w:szCs w:val="21"/>
              </w:rPr>
            </w:pPr>
            <w:r>
              <w:rPr>
                <w:rFonts w:hint="eastAsia"/>
                <w:szCs w:val="21"/>
              </w:rPr>
              <w:t>组</w:t>
            </w:r>
          </w:p>
        </w:tc>
        <w:tc>
          <w:tcPr>
            <w:tcW w:w="702" w:type="dxa"/>
            <w:vAlign w:val="center"/>
          </w:tcPr>
          <w:p w:rsidR="00C223F5" w:rsidRDefault="005860D5">
            <w:pPr>
              <w:jc w:val="center"/>
              <w:rPr>
                <w:szCs w:val="21"/>
              </w:rPr>
            </w:pPr>
            <w:r>
              <w:rPr>
                <w:rFonts w:hint="eastAsia"/>
                <w:szCs w:val="21"/>
              </w:rPr>
              <w:t>2</w:t>
            </w:r>
          </w:p>
        </w:tc>
        <w:tc>
          <w:tcPr>
            <w:tcW w:w="1397" w:type="dxa"/>
            <w:vAlign w:val="center"/>
          </w:tcPr>
          <w:p w:rsidR="00C223F5" w:rsidRDefault="005860D5">
            <w:pPr>
              <w:jc w:val="center"/>
              <w:rPr>
                <w:szCs w:val="21"/>
              </w:rPr>
            </w:pPr>
            <w:r>
              <w:rPr>
                <w:rFonts w:hint="eastAsia"/>
                <w:szCs w:val="21"/>
              </w:rPr>
              <w:t>每</w:t>
            </w:r>
            <w:r>
              <w:rPr>
                <w:rFonts w:hint="eastAsia"/>
                <w:szCs w:val="21"/>
              </w:rPr>
              <w:t>2</w:t>
            </w:r>
            <w:r>
              <w:rPr>
                <w:rFonts w:hint="eastAsia"/>
                <w:szCs w:val="21"/>
              </w:rPr>
              <w:t>架</w:t>
            </w:r>
            <w:r>
              <w:rPr>
                <w:rFonts w:hint="eastAsia"/>
                <w:szCs w:val="21"/>
              </w:rPr>
              <w:t>1</w:t>
            </w:r>
            <w:r>
              <w:rPr>
                <w:rFonts w:hint="eastAsia"/>
                <w:szCs w:val="21"/>
              </w:rPr>
              <w:t>组</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7</w:t>
            </w:r>
          </w:p>
        </w:tc>
        <w:tc>
          <w:tcPr>
            <w:tcW w:w="1591" w:type="dxa"/>
            <w:vAlign w:val="center"/>
          </w:tcPr>
          <w:p w:rsidR="00C223F5" w:rsidRDefault="005860D5">
            <w:pPr>
              <w:jc w:val="center"/>
              <w:rPr>
                <w:szCs w:val="21"/>
              </w:rPr>
            </w:pPr>
            <w:r>
              <w:rPr>
                <w:rFonts w:hint="eastAsia"/>
                <w:szCs w:val="21"/>
              </w:rPr>
              <w:t>单体液压支柱</w:t>
            </w:r>
          </w:p>
        </w:tc>
        <w:tc>
          <w:tcPr>
            <w:tcW w:w="3988" w:type="dxa"/>
            <w:vAlign w:val="center"/>
          </w:tcPr>
          <w:p w:rsidR="00C223F5" w:rsidRDefault="005860D5">
            <w:pPr>
              <w:jc w:val="center"/>
              <w:rPr>
                <w:szCs w:val="21"/>
              </w:rPr>
            </w:pPr>
            <w:r>
              <w:rPr>
                <w:rFonts w:hint="eastAsia"/>
                <w:szCs w:val="21"/>
              </w:rPr>
              <w:t>DZ35-30/110</w:t>
            </w:r>
          </w:p>
        </w:tc>
        <w:tc>
          <w:tcPr>
            <w:tcW w:w="562" w:type="dxa"/>
            <w:vAlign w:val="center"/>
          </w:tcPr>
          <w:p w:rsidR="00C223F5" w:rsidRDefault="005860D5">
            <w:pPr>
              <w:jc w:val="center"/>
              <w:rPr>
                <w:szCs w:val="21"/>
              </w:rPr>
            </w:pPr>
            <w:r>
              <w:rPr>
                <w:rFonts w:hint="eastAsia"/>
                <w:szCs w:val="21"/>
              </w:rPr>
              <w:t>根</w:t>
            </w:r>
          </w:p>
        </w:tc>
        <w:tc>
          <w:tcPr>
            <w:tcW w:w="702" w:type="dxa"/>
            <w:vAlign w:val="center"/>
          </w:tcPr>
          <w:p w:rsidR="00C223F5" w:rsidRDefault="005860D5">
            <w:pPr>
              <w:jc w:val="center"/>
              <w:rPr>
                <w:szCs w:val="21"/>
              </w:rPr>
            </w:pPr>
            <w:r>
              <w:rPr>
                <w:rFonts w:hint="eastAsia"/>
                <w:szCs w:val="21"/>
              </w:rPr>
              <w:t>144</w:t>
            </w:r>
          </w:p>
        </w:tc>
        <w:tc>
          <w:tcPr>
            <w:tcW w:w="1397" w:type="dxa"/>
            <w:vAlign w:val="center"/>
          </w:tcPr>
          <w:p w:rsidR="00C223F5" w:rsidRDefault="005860D5">
            <w:pPr>
              <w:jc w:val="center"/>
              <w:rPr>
                <w:szCs w:val="21"/>
              </w:rPr>
            </w:pPr>
            <w:r>
              <w:rPr>
                <w:rFonts w:hint="eastAsia"/>
                <w:szCs w:val="21"/>
              </w:rPr>
              <w:t>含备用</w:t>
            </w:r>
            <w:r>
              <w:rPr>
                <w:rFonts w:hint="eastAsia"/>
                <w:szCs w:val="21"/>
              </w:rPr>
              <w:t>24</w:t>
            </w:r>
            <w:r>
              <w:rPr>
                <w:rFonts w:hint="eastAsia"/>
                <w:szCs w:val="21"/>
              </w:rPr>
              <w:t>根</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8</w:t>
            </w:r>
          </w:p>
        </w:tc>
        <w:tc>
          <w:tcPr>
            <w:tcW w:w="1591" w:type="dxa"/>
            <w:vAlign w:val="center"/>
          </w:tcPr>
          <w:p w:rsidR="00C223F5" w:rsidRDefault="005860D5">
            <w:pPr>
              <w:jc w:val="center"/>
              <w:rPr>
                <w:szCs w:val="21"/>
              </w:rPr>
            </w:pPr>
            <w:r>
              <w:rPr>
                <w:rFonts w:hint="eastAsia"/>
                <w:szCs w:val="21"/>
              </w:rPr>
              <w:t>金属长梁</w:t>
            </w:r>
          </w:p>
        </w:tc>
        <w:tc>
          <w:tcPr>
            <w:tcW w:w="3988" w:type="dxa"/>
            <w:vAlign w:val="center"/>
          </w:tcPr>
          <w:p w:rsidR="00C223F5" w:rsidRDefault="005860D5">
            <w:pPr>
              <w:jc w:val="center"/>
              <w:rPr>
                <w:szCs w:val="21"/>
              </w:rPr>
            </w:pPr>
            <w:r>
              <w:rPr>
                <w:szCs w:val="21"/>
              </w:rPr>
              <w:t>DFB4200</w:t>
            </w:r>
          </w:p>
        </w:tc>
        <w:tc>
          <w:tcPr>
            <w:tcW w:w="562" w:type="dxa"/>
            <w:vAlign w:val="center"/>
          </w:tcPr>
          <w:p w:rsidR="00C223F5" w:rsidRDefault="005860D5">
            <w:pPr>
              <w:jc w:val="center"/>
              <w:rPr>
                <w:szCs w:val="21"/>
              </w:rPr>
            </w:pPr>
            <w:r>
              <w:rPr>
                <w:rFonts w:hint="eastAsia"/>
                <w:szCs w:val="21"/>
              </w:rPr>
              <w:t>根</w:t>
            </w:r>
          </w:p>
        </w:tc>
        <w:tc>
          <w:tcPr>
            <w:tcW w:w="702" w:type="dxa"/>
            <w:vAlign w:val="center"/>
          </w:tcPr>
          <w:p w:rsidR="00C223F5" w:rsidRDefault="005860D5">
            <w:pPr>
              <w:jc w:val="center"/>
              <w:rPr>
                <w:szCs w:val="21"/>
              </w:rPr>
            </w:pPr>
            <w:r>
              <w:rPr>
                <w:rFonts w:hint="eastAsia"/>
                <w:szCs w:val="21"/>
              </w:rPr>
              <w:t>56</w:t>
            </w:r>
          </w:p>
        </w:tc>
        <w:tc>
          <w:tcPr>
            <w:tcW w:w="1397" w:type="dxa"/>
            <w:vAlign w:val="center"/>
          </w:tcPr>
          <w:p w:rsidR="00C223F5" w:rsidRDefault="005860D5">
            <w:pPr>
              <w:jc w:val="center"/>
              <w:rPr>
                <w:szCs w:val="21"/>
              </w:rPr>
            </w:pPr>
            <w:r>
              <w:rPr>
                <w:rFonts w:hint="eastAsia"/>
                <w:szCs w:val="21"/>
              </w:rPr>
              <w:t>含备用</w:t>
            </w:r>
            <w:r>
              <w:rPr>
                <w:rFonts w:hint="eastAsia"/>
                <w:szCs w:val="21"/>
              </w:rPr>
              <w:t>16</w:t>
            </w:r>
            <w:r>
              <w:rPr>
                <w:rFonts w:hint="eastAsia"/>
                <w:szCs w:val="21"/>
              </w:rPr>
              <w:t>根</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9</w:t>
            </w:r>
          </w:p>
        </w:tc>
        <w:tc>
          <w:tcPr>
            <w:tcW w:w="1591" w:type="dxa"/>
            <w:vAlign w:val="center"/>
          </w:tcPr>
          <w:p w:rsidR="00C223F5" w:rsidRDefault="005860D5">
            <w:pPr>
              <w:jc w:val="center"/>
              <w:rPr>
                <w:szCs w:val="21"/>
              </w:rPr>
            </w:pPr>
            <w:r>
              <w:rPr>
                <w:rFonts w:hint="eastAsia"/>
                <w:szCs w:val="21"/>
              </w:rPr>
              <w:t>转载机</w:t>
            </w:r>
          </w:p>
        </w:tc>
        <w:tc>
          <w:tcPr>
            <w:tcW w:w="3988" w:type="dxa"/>
            <w:vAlign w:val="center"/>
          </w:tcPr>
          <w:p w:rsidR="00C223F5" w:rsidRDefault="005860D5">
            <w:pPr>
              <w:jc w:val="center"/>
              <w:rPr>
                <w:szCs w:val="21"/>
              </w:rPr>
            </w:pPr>
            <w:r>
              <w:rPr>
                <w:szCs w:val="21"/>
              </w:rPr>
              <w:t>SZZ7</w:t>
            </w:r>
            <w:r>
              <w:rPr>
                <w:rFonts w:hint="eastAsia"/>
                <w:szCs w:val="21"/>
              </w:rPr>
              <w:t>64</w:t>
            </w:r>
            <w:r>
              <w:rPr>
                <w:szCs w:val="21"/>
              </w:rPr>
              <w:t>/160</w:t>
            </w:r>
            <w:r>
              <w:rPr>
                <w:rFonts w:hint="eastAsia"/>
                <w:szCs w:val="21"/>
              </w:rPr>
              <w:t>,Q=1000t/h</w:t>
            </w:r>
            <w:r>
              <w:rPr>
                <w:rFonts w:hint="eastAsia"/>
                <w:szCs w:val="21"/>
              </w:rPr>
              <w:t>，</w:t>
            </w:r>
            <w:r>
              <w:rPr>
                <w:rFonts w:hint="eastAsia"/>
                <w:szCs w:val="21"/>
              </w:rPr>
              <w:t>N=160kW,U=1140V</w:t>
            </w:r>
          </w:p>
        </w:tc>
        <w:tc>
          <w:tcPr>
            <w:tcW w:w="562" w:type="dxa"/>
            <w:vAlign w:val="center"/>
          </w:tcPr>
          <w:p w:rsidR="00C223F5" w:rsidRDefault="005860D5">
            <w:pPr>
              <w:jc w:val="center"/>
              <w:rPr>
                <w:szCs w:val="21"/>
              </w:rPr>
            </w:pPr>
            <w:r>
              <w:rPr>
                <w:rFonts w:hint="eastAsia"/>
                <w:szCs w:val="21"/>
              </w:rPr>
              <w:t>台</w:t>
            </w:r>
          </w:p>
        </w:tc>
        <w:tc>
          <w:tcPr>
            <w:tcW w:w="702" w:type="dxa"/>
            <w:vAlign w:val="center"/>
          </w:tcPr>
          <w:p w:rsidR="00C223F5" w:rsidRDefault="005860D5">
            <w:pPr>
              <w:jc w:val="center"/>
              <w:rPr>
                <w:szCs w:val="21"/>
              </w:rPr>
            </w:pPr>
            <w:r>
              <w:rPr>
                <w:rFonts w:hint="eastAsia"/>
                <w:szCs w:val="21"/>
              </w:rPr>
              <w:t>1</w:t>
            </w:r>
          </w:p>
        </w:tc>
        <w:tc>
          <w:tcPr>
            <w:tcW w:w="1397" w:type="dxa"/>
            <w:vAlign w:val="center"/>
          </w:tcPr>
          <w:p w:rsidR="00C223F5" w:rsidRDefault="00C223F5">
            <w:pPr>
              <w:jc w:val="center"/>
              <w:rPr>
                <w:szCs w:val="21"/>
              </w:rPr>
            </w:pP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10</w:t>
            </w:r>
          </w:p>
        </w:tc>
        <w:tc>
          <w:tcPr>
            <w:tcW w:w="1591" w:type="dxa"/>
            <w:vAlign w:val="center"/>
          </w:tcPr>
          <w:p w:rsidR="00C223F5" w:rsidRDefault="005860D5">
            <w:pPr>
              <w:jc w:val="center"/>
              <w:rPr>
                <w:szCs w:val="21"/>
              </w:rPr>
            </w:pPr>
            <w:r>
              <w:rPr>
                <w:rFonts w:hint="eastAsia"/>
                <w:szCs w:val="21"/>
              </w:rPr>
              <w:t>破碎机</w:t>
            </w:r>
          </w:p>
        </w:tc>
        <w:tc>
          <w:tcPr>
            <w:tcW w:w="3988" w:type="dxa"/>
            <w:vAlign w:val="center"/>
          </w:tcPr>
          <w:p w:rsidR="00C223F5" w:rsidRDefault="005860D5">
            <w:pPr>
              <w:jc w:val="center"/>
              <w:rPr>
                <w:szCs w:val="21"/>
              </w:rPr>
            </w:pPr>
            <w:r>
              <w:rPr>
                <w:rFonts w:hint="eastAsia"/>
                <w:szCs w:val="21"/>
              </w:rPr>
              <w:t>PLM1500,Q=1000t/h,</w:t>
            </w:r>
          </w:p>
          <w:p w:rsidR="00C223F5" w:rsidRDefault="005860D5">
            <w:pPr>
              <w:jc w:val="center"/>
              <w:rPr>
                <w:szCs w:val="21"/>
              </w:rPr>
            </w:pPr>
            <w:r>
              <w:rPr>
                <w:rFonts w:hint="eastAsia"/>
                <w:szCs w:val="21"/>
              </w:rPr>
              <w:t>N=160kW</w:t>
            </w:r>
            <w:r>
              <w:rPr>
                <w:rFonts w:hint="eastAsia"/>
                <w:szCs w:val="21"/>
              </w:rPr>
              <w:t>，</w:t>
            </w:r>
            <w:r>
              <w:rPr>
                <w:rFonts w:hint="eastAsia"/>
                <w:szCs w:val="21"/>
              </w:rPr>
              <w:t>U=1140V</w:t>
            </w:r>
          </w:p>
        </w:tc>
        <w:tc>
          <w:tcPr>
            <w:tcW w:w="562" w:type="dxa"/>
            <w:vAlign w:val="center"/>
          </w:tcPr>
          <w:p w:rsidR="00C223F5" w:rsidRDefault="005860D5">
            <w:pPr>
              <w:jc w:val="center"/>
              <w:rPr>
                <w:szCs w:val="21"/>
              </w:rPr>
            </w:pPr>
            <w:r>
              <w:rPr>
                <w:rFonts w:hint="eastAsia"/>
                <w:szCs w:val="21"/>
              </w:rPr>
              <w:t>台</w:t>
            </w:r>
          </w:p>
        </w:tc>
        <w:tc>
          <w:tcPr>
            <w:tcW w:w="702" w:type="dxa"/>
            <w:vAlign w:val="center"/>
          </w:tcPr>
          <w:p w:rsidR="00C223F5" w:rsidRDefault="005860D5">
            <w:pPr>
              <w:jc w:val="center"/>
              <w:rPr>
                <w:szCs w:val="21"/>
              </w:rPr>
            </w:pPr>
            <w:r>
              <w:rPr>
                <w:rFonts w:hint="eastAsia"/>
                <w:szCs w:val="21"/>
              </w:rPr>
              <w:t>1</w:t>
            </w:r>
          </w:p>
        </w:tc>
        <w:tc>
          <w:tcPr>
            <w:tcW w:w="1397" w:type="dxa"/>
            <w:vAlign w:val="center"/>
          </w:tcPr>
          <w:p w:rsidR="00C223F5" w:rsidRDefault="00C223F5">
            <w:pPr>
              <w:jc w:val="center"/>
              <w:rPr>
                <w:szCs w:val="21"/>
              </w:rPr>
            </w:pP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11</w:t>
            </w:r>
          </w:p>
        </w:tc>
        <w:tc>
          <w:tcPr>
            <w:tcW w:w="1591" w:type="dxa"/>
            <w:vAlign w:val="center"/>
          </w:tcPr>
          <w:p w:rsidR="00C223F5" w:rsidRDefault="005860D5">
            <w:pPr>
              <w:jc w:val="center"/>
              <w:rPr>
                <w:szCs w:val="21"/>
              </w:rPr>
            </w:pPr>
            <w:r>
              <w:rPr>
                <w:rFonts w:hint="eastAsia"/>
                <w:szCs w:val="21"/>
              </w:rPr>
              <w:t>乳化液泵站</w:t>
            </w:r>
          </w:p>
        </w:tc>
        <w:tc>
          <w:tcPr>
            <w:tcW w:w="3988" w:type="dxa"/>
            <w:vAlign w:val="center"/>
          </w:tcPr>
          <w:p w:rsidR="00C223F5" w:rsidRDefault="005860D5">
            <w:pPr>
              <w:jc w:val="center"/>
              <w:rPr>
                <w:szCs w:val="21"/>
              </w:rPr>
            </w:pPr>
            <w:r>
              <w:rPr>
                <w:rFonts w:hint="eastAsia"/>
                <w:szCs w:val="21"/>
              </w:rPr>
              <w:t>乳化液泵</w:t>
            </w:r>
            <w:r>
              <w:rPr>
                <w:rFonts w:hint="eastAsia"/>
                <w:szCs w:val="21"/>
              </w:rPr>
              <w:t>LRB400/31.5 N=250</w:t>
            </w:r>
            <w:r>
              <w:rPr>
                <w:rFonts w:hint="eastAsia"/>
                <w:szCs w:val="21"/>
              </w:rPr>
              <w:t>×</w:t>
            </w:r>
            <w:r>
              <w:rPr>
                <w:rFonts w:hint="eastAsia"/>
                <w:szCs w:val="21"/>
              </w:rPr>
              <w:t>2kW U=1140V</w:t>
            </w:r>
          </w:p>
        </w:tc>
        <w:tc>
          <w:tcPr>
            <w:tcW w:w="562" w:type="dxa"/>
            <w:vAlign w:val="center"/>
          </w:tcPr>
          <w:p w:rsidR="00C223F5" w:rsidRDefault="005860D5">
            <w:pPr>
              <w:jc w:val="center"/>
              <w:rPr>
                <w:szCs w:val="21"/>
              </w:rPr>
            </w:pPr>
            <w:r>
              <w:rPr>
                <w:rFonts w:hint="eastAsia"/>
                <w:szCs w:val="21"/>
              </w:rPr>
              <w:t>台</w:t>
            </w:r>
          </w:p>
        </w:tc>
        <w:tc>
          <w:tcPr>
            <w:tcW w:w="702" w:type="dxa"/>
            <w:vAlign w:val="center"/>
          </w:tcPr>
          <w:p w:rsidR="00C223F5" w:rsidRDefault="005860D5">
            <w:pPr>
              <w:jc w:val="center"/>
              <w:rPr>
                <w:szCs w:val="21"/>
              </w:rPr>
            </w:pPr>
            <w:r>
              <w:rPr>
                <w:rFonts w:hint="eastAsia"/>
                <w:szCs w:val="21"/>
              </w:rPr>
              <w:t>1</w:t>
            </w:r>
          </w:p>
        </w:tc>
        <w:tc>
          <w:tcPr>
            <w:tcW w:w="1397" w:type="dxa"/>
            <w:vAlign w:val="center"/>
          </w:tcPr>
          <w:p w:rsidR="00C223F5" w:rsidRDefault="005860D5">
            <w:pPr>
              <w:jc w:val="center"/>
              <w:rPr>
                <w:szCs w:val="21"/>
              </w:rPr>
            </w:pPr>
            <w:r>
              <w:rPr>
                <w:rFonts w:hint="eastAsia"/>
                <w:szCs w:val="21"/>
              </w:rPr>
              <w:t>每组三泵两箱，三泵</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12</w:t>
            </w:r>
          </w:p>
        </w:tc>
        <w:tc>
          <w:tcPr>
            <w:tcW w:w="1591" w:type="dxa"/>
            <w:vAlign w:val="center"/>
          </w:tcPr>
          <w:p w:rsidR="00C223F5" w:rsidRDefault="005860D5">
            <w:pPr>
              <w:jc w:val="center"/>
              <w:rPr>
                <w:szCs w:val="21"/>
              </w:rPr>
            </w:pPr>
            <w:r>
              <w:rPr>
                <w:rFonts w:hint="eastAsia"/>
                <w:szCs w:val="21"/>
              </w:rPr>
              <w:t>喷雾泵站</w:t>
            </w:r>
          </w:p>
        </w:tc>
        <w:tc>
          <w:tcPr>
            <w:tcW w:w="3988" w:type="dxa"/>
            <w:vAlign w:val="center"/>
          </w:tcPr>
          <w:p w:rsidR="00C223F5" w:rsidRDefault="005860D5">
            <w:pPr>
              <w:jc w:val="center"/>
              <w:rPr>
                <w:szCs w:val="21"/>
              </w:rPr>
            </w:pPr>
            <w:r>
              <w:rPr>
                <w:rFonts w:hint="eastAsia"/>
                <w:szCs w:val="21"/>
              </w:rPr>
              <w:t xml:space="preserve">WPZ315/16 N=110kW U=1140V </w:t>
            </w:r>
            <w:r>
              <w:rPr>
                <w:rFonts w:hint="eastAsia"/>
                <w:szCs w:val="21"/>
              </w:rPr>
              <w:t>清水箱</w:t>
            </w:r>
            <w:r>
              <w:rPr>
                <w:rFonts w:hint="eastAsia"/>
                <w:szCs w:val="21"/>
              </w:rPr>
              <w:t>V=7100L</w:t>
            </w:r>
          </w:p>
        </w:tc>
        <w:tc>
          <w:tcPr>
            <w:tcW w:w="562" w:type="dxa"/>
            <w:vAlign w:val="center"/>
          </w:tcPr>
          <w:p w:rsidR="00C223F5" w:rsidRDefault="005860D5">
            <w:pPr>
              <w:jc w:val="center"/>
              <w:rPr>
                <w:szCs w:val="21"/>
              </w:rPr>
            </w:pPr>
            <w:r>
              <w:rPr>
                <w:rFonts w:hint="eastAsia"/>
                <w:szCs w:val="21"/>
              </w:rPr>
              <w:t>组</w:t>
            </w:r>
          </w:p>
        </w:tc>
        <w:tc>
          <w:tcPr>
            <w:tcW w:w="702" w:type="dxa"/>
            <w:vAlign w:val="center"/>
          </w:tcPr>
          <w:p w:rsidR="00C223F5" w:rsidRDefault="005860D5">
            <w:pPr>
              <w:jc w:val="center"/>
              <w:rPr>
                <w:szCs w:val="21"/>
              </w:rPr>
            </w:pPr>
            <w:r>
              <w:rPr>
                <w:rFonts w:hint="eastAsia"/>
                <w:szCs w:val="21"/>
              </w:rPr>
              <w:t>1</w:t>
            </w:r>
          </w:p>
        </w:tc>
        <w:tc>
          <w:tcPr>
            <w:tcW w:w="1397" w:type="dxa"/>
            <w:vAlign w:val="center"/>
          </w:tcPr>
          <w:p w:rsidR="00C223F5" w:rsidRDefault="005860D5">
            <w:pPr>
              <w:jc w:val="center"/>
              <w:rPr>
                <w:szCs w:val="21"/>
              </w:rPr>
            </w:pPr>
            <w:r>
              <w:rPr>
                <w:rFonts w:hint="eastAsia"/>
                <w:szCs w:val="21"/>
              </w:rPr>
              <w:t>两泵一箱</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13</w:t>
            </w:r>
          </w:p>
        </w:tc>
        <w:tc>
          <w:tcPr>
            <w:tcW w:w="1591" w:type="dxa"/>
            <w:vAlign w:val="center"/>
          </w:tcPr>
          <w:p w:rsidR="00C223F5" w:rsidRDefault="005860D5">
            <w:pPr>
              <w:jc w:val="center"/>
              <w:rPr>
                <w:szCs w:val="21"/>
              </w:rPr>
            </w:pPr>
            <w:r>
              <w:rPr>
                <w:rFonts w:hint="eastAsia"/>
                <w:szCs w:val="21"/>
              </w:rPr>
              <w:t>可伸缩带式</w:t>
            </w:r>
          </w:p>
          <w:p w:rsidR="00C223F5" w:rsidRDefault="005860D5">
            <w:pPr>
              <w:jc w:val="center"/>
              <w:rPr>
                <w:szCs w:val="21"/>
              </w:rPr>
            </w:pPr>
            <w:r>
              <w:rPr>
                <w:rFonts w:hint="eastAsia"/>
                <w:szCs w:val="21"/>
              </w:rPr>
              <w:t>输送机</w:t>
            </w:r>
          </w:p>
        </w:tc>
        <w:tc>
          <w:tcPr>
            <w:tcW w:w="3988" w:type="dxa"/>
            <w:vAlign w:val="center"/>
          </w:tcPr>
          <w:p w:rsidR="00C223F5" w:rsidRDefault="005860D5">
            <w:pPr>
              <w:jc w:val="center"/>
              <w:rPr>
                <w:szCs w:val="21"/>
              </w:rPr>
            </w:pPr>
            <w:r>
              <w:rPr>
                <w:rFonts w:hint="eastAsia"/>
                <w:szCs w:val="21"/>
              </w:rPr>
              <w:t>带宽</w:t>
            </w:r>
            <w:r>
              <w:rPr>
                <w:rFonts w:hint="eastAsia"/>
                <w:szCs w:val="21"/>
              </w:rPr>
              <w:t>1000mm,N=2</w:t>
            </w:r>
            <w:r>
              <w:rPr>
                <w:rFonts w:hint="eastAsia"/>
                <w:szCs w:val="21"/>
              </w:rPr>
              <w:t>×</w:t>
            </w:r>
            <w:r>
              <w:rPr>
                <w:rFonts w:hint="eastAsia"/>
                <w:szCs w:val="21"/>
              </w:rPr>
              <w:t>250kW,U=1140V</w:t>
            </w:r>
          </w:p>
        </w:tc>
        <w:tc>
          <w:tcPr>
            <w:tcW w:w="562" w:type="dxa"/>
            <w:vAlign w:val="center"/>
          </w:tcPr>
          <w:p w:rsidR="00C223F5" w:rsidRDefault="005860D5">
            <w:pPr>
              <w:jc w:val="center"/>
              <w:rPr>
                <w:szCs w:val="21"/>
              </w:rPr>
            </w:pPr>
            <w:r>
              <w:rPr>
                <w:rFonts w:hint="eastAsia"/>
                <w:szCs w:val="21"/>
              </w:rPr>
              <w:t>台</w:t>
            </w:r>
          </w:p>
        </w:tc>
        <w:tc>
          <w:tcPr>
            <w:tcW w:w="702" w:type="dxa"/>
            <w:vAlign w:val="center"/>
          </w:tcPr>
          <w:p w:rsidR="00C223F5" w:rsidRDefault="005860D5">
            <w:pPr>
              <w:jc w:val="center"/>
              <w:rPr>
                <w:szCs w:val="21"/>
              </w:rPr>
            </w:pPr>
            <w:r>
              <w:rPr>
                <w:rFonts w:hint="eastAsia"/>
                <w:szCs w:val="21"/>
              </w:rPr>
              <w:t>1</w:t>
            </w:r>
          </w:p>
        </w:tc>
        <w:tc>
          <w:tcPr>
            <w:tcW w:w="1397" w:type="dxa"/>
            <w:vAlign w:val="center"/>
          </w:tcPr>
          <w:p w:rsidR="00C223F5" w:rsidRDefault="005860D5">
            <w:pPr>
              <w:jc w:val="center"/>
              <w:rPr>
                <w:szCs w:val="21"/>
              </w:rPr>
            </w:pPr>
            <w:r>
              <w:rPr>
                <w:rFonts w:hint="eastAsia"/>
                <w:szCs w:val="21"/>
              </w:rPr>
              <w:t>订货长度</w:t>
            </w:r>
            <w:r>
              <w:rPr>
                <w:rFonts w:hint="eastAsia"/>
                <w:szCs w:val="21"/>
              </w:rPr>
              <w:t>L=2500m</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14</w:t>
            </w:r>
          </w:p>
        </w:tc>
        <w:tc>
          <w:tcPr>
            <w:tcW w:w="1591" w:type="dxa"/>
            <w:vAlign w:val="center"/>
          </w:tcPr>
          <w:p w:rsidR="00C223F5" w:rsidRDefault="005860D5">
            <w:pPr>
              <w:jc w:val="center"/>
              <w:rPr>
                <w:szCs w:val="21"/>
              </w:rPr>
            </w:pPr>
            <w:r>
              <w:rPr>
                <w:rFonts w:hint="eastAsia"/>
                <w:szCs w:val="21"/>
              </w:rPr>
              <w:t>阻化剂发射泵</w:t>
            </w:r>
          </w:p>
        </w:tc>
        <w:tc>
          <w:tcPr>
            <w:tcW w:w="3988" w:type="dxa"/>
            <w:vAlign w:val="center"/>
          </w:tcPr>
          <w:p w:rsidR="00C223F5" w:rsidRDefault="005860D5">
            <w:pPr>
              <w:jc w:val="center"/>
              <w:rPr>
                <w:szCs w:val="21"/>
              </w:rPr>
            </w:pPr>
            <w:r>
              <w:rPr>
                <w:rFonts w:hint="eastAsia"/>
                <w:szCs w:val="21"/>
              </w:rPr>
              <w:t>WRB50/12.5,15kW</w:t>
            </w:r>
          </w:p>
        </w:tc>
        <w:tc>
          <w:tcPr>
            <w:tcW w:w="562" w:type="dxa"/>
            <w:vAlign w:val="center"/>
          </w:tcPr>
          <w:p w:rsidR="00C223F5" w:rsidRDefault="005860D5">
            <w:pPr>
              <w:jc w:val="center"/>
              <w:rPr>
                <w:szCs w:val="21"/>
              </w:rPr>
            </w:pPr>
            <w:r>
              <w:rPr>
                <w:rFonts w:hint="eastAsia"/>
                <w:szCs w:val="21"/>
              </w:rPr>
              <w:t>台</w:t>
            </w:r>
          </w:p>
        </w:tc>
        <w:tc>
          <w:tcPr>
            <w:tcW w:w="702" w:type="dxa"/>
            <w:vAlign w:val="center"/>
          </w:tcPr>
          <w:p w:rsidR="00C223F5" w:rsidRDefault="005860D5">
            <w:pPr>
              <w:jc w:val="center"/>
              <w:rPr>
                <w:szCs w:val="21"/>
              </w:rPr>
            </w:pPr>
            <w:r>
              <w:rPr>
                <w:rFonts w:hint="eastAsia"/>
                <w:szCs w:val="21"/>
              </w:rPr>
              <w:t>2</w:t>
            </w:r>
          </w:p>
        </w:tc>
        <w:tc>
          <w:tcPr>
            <w:tcW w:w="1397" w:type="dxa"/>
            <w:vAlign w:val="center"/>
          </w:tcPr>
          <w:p w:rsidR="00C223F5" w:rsidRDefault="005860D5">
            <w:pPr>
              <w:jc w:val="center"/>
              <w:rPr>
                <w:szCs w:val="21"/>
              </w:rPr>
            </w:pPr>
            <w:r>
              <w:rPr>
                <w:rFonts w:hint="eastAsia"/>
                <w:szCs w:val="21"/>
              </w:rPr>
              <w:t>备用</w:t>
            </w:r>
            <w:r>
              <w:rPr>
                <w:rFonts w:hint="eastAsia"/>
                <w:szCs w:val="21"/>
              </w:rPr>
              <w:t>1</w:t>
            </w:r>
            <w:r>
              <w:rPr>
                <w:rFonts w:hint="eastAsia"/>
                <w:szCs w:val="21"/>
              </w:rPr>
              <w:t>台</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15</w:t>
            </w:r>
          </w:p>
        </w:tc>
        <w:tc>
          <w:tcPr>
            <w:tcW w:w="1591" w:type="dxa"/>
            <w:vAlign w:val="center"/>
          </w:tcPr>
          <w:p w:rsidR="00C223F5" w:rsidRDefault="005860D5">
            <w:pPr>
              <w:jc w:val="center"/>
              <w:rPr>
                <w:szCs w:val="21"/>
              </w:rPr>
            </w:pPr>
            <w:r>
              <w:rPr>
                <w:rFonts w:hint="eastAsia"/>
                <w:szCs w:val="21"/>
              </w:rPr>
              <w:t>调度绞车</w:t>
            </w:r>
          </w:p>
        </w:tc>
        <w:tc>
          <w:tcPr>
            <w:tcW w:w="3988" w:type="dxa"/>
            <w:vAlign w:val="center"/>
          </w:tcPr>
          <w:p w:rsidR="00C223F5" w:rsidRDefault="005860D5">
            <w:pPr>
              <w:jc w:val="center"/>
              <w:rPr>
                <w:szCs w:val="21"/>
              </w:rPr>
            </w:pPr>
            <w:r>
              <w:rPr>
                <w:rFonts w:hint="eastAsia"/>
                <w:szCs w:val="21"/>
              </w:rPr>
              <w:t>JD-1,N=11.4kW,U=1140V</w:t>
            </w:r>
          </w:p>
        </w:tc>
        <w:tc>
          <w:tcPr>
            <w:tcW w:w="562" w:type="dxa"/>
            <w:vAlign w:val="center"/>
          </w:tcPr>
          <w:p w:rsidR="00C223F5" w:rsidRDefault="005860D5">
            <w:pPr>
              <w:jc w:val="center"/>
              <w:rPr>
                <w:szCs w:val="21"/>
              </w:rPr>
            </w:pPr>
            <w:r>
              <w:rPr>
                <w:rFonts w:hint="eastAsia"/>
                <w:szCs w:val="21"/>
              </w:rPr>
              <w:t>台</w:t>
            </w:r>
          </w:p>
        </w:tc>
        <w:tc>
          <w:tcPr>
            <w:tcW w:w="702" w:type="dxa"/>
            <w:vAlign w:val="center"/>
          </w:tcPr>
          <w:p w:rsidR="00C223F5" w:rsidRDefault="005860D5">
            <w:pPr>
              <w:jc w:val="center"/>
              <w:rPr>
                <w:szCs w:val="21"/>
              </w:rPr>
            </w:pPr>
            <w:r>
              <w:rPr>
                <w:rFonts w:hint="eastAsia"/>
                <w:szCs w:val="21"/>
              </w:rPr>
              <w:t>1</w:t>
            </w:r>
          </w:p>
        </w:tc>
        <w:tc>
          <w:tcPr>
            <w:tcW w:w="1397" w:type="dxa"/>
            <w:vAlign w:val="center"/>
          </w:tcPr>
          <w:p w:rsidR="00C223F5" w:rsidRDefault="00C223F5">
            <w:pPr>
              <w:jc w:val="center"/>
              <w:rPr>
                <w:szCs w:val="21"/>
              </w:rPr>
            </w:pP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16</w:t>
            </w:r>
          </w:p>
        </w:tc>
        <w:tc>
          <w:tcPr>
            <w:tcW w:w="1591" w:type="dxa"/>
            <w:vAlign w:val="center"/>
          </w:tcPr>
          <w:p w:rsidR="00C223F5" w:rsidRDefault="005860D5">
            <w:pPr>
              <w:jc w:val="center"/>
              <w:rPr>
                <w:szCs w:val="21"/>
              </w:rPr>
            </w:pPr>
            <w:r>
              <w:rPr>
                <w:rFonts w:hint="eastAsia"/>
                <w:szCs w:val="21"/>
              </w:rPr>
              <w:t>小水泵</w:t>
            </w:r>
          </w:p>
        </w:tc>
        <w:tc>
          <w:tcPr>
            <w:tcW w:w="3988" w:type="dxa"/>
            <w:vAlign w:val="center"/>
          </w:tcPr>
          <w:p w:rsidR="00C223F5" w:rsidRDefault="005860D5">
            <w:pPr>
              <w:jc w:val="center"/>
              <w:rPr>
                <w:szCs w:val="21"/>
              </w:rPr>
            </w:pPr>
            <w:r>
              <w:rPr>
                <w:rFonts w:hint="eastAsia"/>
                <w:szCs w:val="21"/>
              </w:rPr>
              <w:t>KQW45-16-5.5</w:t>
            </w:r>
            <w:r>
              <w:rPr>
                <w:rFonts w:hint="eastAsia"/>
                <w:szCs w:val="21"/>
              </w:rPr>
              <w:t>，</w:t>
            </w:r>
            <w:r>
              <w:rPr>
                <w:rFonts w:hint="eastAsia"/>
                <w:szCs w:val="21"/>
              </w:rPr>
              <w:t>N=5.5kW,U=1140V</w:t>
            </w:r>
          </w:p>
        </w:tc>
        <w:tc>
          <w:tcPr>
            <w:tcW w:w="562" w:type="dxa"/>
            <w:vAlign w:val="center"/>
          </w:tcPr>
          <w:p w:rsidR="00C223F5" w:rsidRDefault="005860D5">
            <w:pPr>
              <w:jc w:val="center"/>
              <w:rPr>
                <w:szCs w:val="21"/>
              </w:rPr>
            </w:pPr>
            <w:r>
              <w:rPr>
                <w:rFonts w:hint="eastAsia"/>
                <w:szCs w:val="21"/>
              </w:rPr>
              <w:t>台</w:t>
            </w:r>
          </w:p>
        </w:tc>
        <w:tc>
          <w:tcPr>
            <w:tcW w:w="702" w:type="dxa"/>
            <w:vAlign w:val="center"/>
          </w:tcPr>
          <w:p w:rsidR="00C223F5" w:rsidRDefault="005860D5">
            <w:pPr>
              <w:jc w:val="center"/>
              <w:rPr>
                <w:szCs w:val="21"/>
              </w:rPr>
            </w:pPr>
            <w:r>
              <w:rPr>
                <w:rFonts w:hint="eastAsia"/>
                <w:szCs w:val="21"/>
              </w:rPr>
              <w:t>8</w:t>
            </w:r>
          </w:p>
        </w:tc>
        <w:tc>
          <w:tcPr>
            <w:tcW w:w="1397" w:type="dxa"/>
            <w:vAlign w:val="center"/>
          </w:tcPr>
          <w:p w:rsidR="00C223F5" w:rsidRDefault="005860D5">
            <w:pPr>
              <w:jc w:val="center"/>
              <w:rPr>
                <w:szCs w:val="21"/>
              </w:rPr>
            </w:pPr>
            <w:r>
              <w:rPr>
                <w:rFonts w:hint="eastAsia"/>
                <w:szCs w:val="21"/>
              </w:rPr>
              <w:t>备用</w:t>
            </w:r>
            <w:r>
              <w:rPr>
                <w:rFonts w:hint="eastAsia"/>
                <w:szCs w:val="21"/>
              </w:rPr>
              <w:t>2</w:t>
            </w:r>
            <w:r>
              <w:rPr>
                <w:rFonts w:hint="eastAsia"/>
                <w:szCs w:val="21"/>
              </w:rPr>
              <w:t>台</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17</w:t>
            </w:r>
          </w:p>
        </w:tc>
        <w:tc>
          <w:tcPr>
            <w:tcW w:w="1591" w:type="dxa"/>
            <w:vAlign w:val="center"/>
          </w:tcPr>
          <w:p w:rsidR="00C223F5" w:rsidRDefault="005860D5">
            <w:pPr>
              <w:jc w:val="center"/>
              <w:rPr>
                <w:szCs w:val="21"/>
              </w:rPr>
            </w:pPr>
            <w:r>
              <w:rPr>
                <w:rFonts w:hint="eastAsia"/>
                <w:szCs w:val="21"/>
              </w:rPr>
              <w:t>探水钻机</w:t>
            </w:r>
          </w:p>
        </w:tc>
        <w:tc>
          <w:tcPr>
            <w:tcW w:w="3988" w:type="dxa"/>
            <w:vAlign w:val="center"/>
          </w:tcPr>
          <w:p w:rsidR="00C223F5" w:rsidRDefault="005860D5">
            <w:pPr>
              <w:jc w:val="center"/>
              <w:rPr>
                <w:szCs w:val="21"/>
              </w:rPr>
            </w:pPr>
            <w:r>
              <w:rPr>
                <w:rFonts w:hint="eastAsia"/>
                <w:szCs w:val="21"/>
              </w:rPr>
              <w:t>TXU-150</w:t>
            </w:r>
            <w:r>
              <w:rPr>
                <w:rFonts w:hint="eastAsia"/>
                <w:szCs w:val="21"/>
              </w:rPr>
              <w:t>，</w:t>
            </w:r>
            <w:r>
              <w:rPr>
                <w:rFonts w:hint="eastAsia"/>
                <w:szCs w:val="21"/>
              </w:rPr>
              <w:t>N=5.5kW,U=1140</w:t>
            </w:r>
          </w:p>
        </w:tc>
        <w:tc>
          <w:tcPr>
            <w:tcW w:w="562" w:type="dxa"/>
            <w:vAlign w:val="center"/>
          </w:tcPr>
          <w:p w:rsidR="00C223F5" w:rsidRDefault="005860D5">
            <w:pPr>
              <w:jc w:val="center"/>
              <w:rPr>
                <w:szCs w:val="21"/>
              </w:rPr>
            </w:pPr>
            <w:r>
              <w:rPr>
                <w:rFonts w:hint="eastAsia"/>
                <w:szCs w:val="21"/>
              </w:rPr>
              <w:t>台</w:t>
            </w:r>
          </w:p>
        </w:tc>
        <w:tc>
          <w:tcPr>
            <w:tcW w:w="702" w:type="dxa"/>
            <w:vAlign w:val="center"/>
          </w:tcPr>
          <w:p w:rsidR="00C223F5" w:rsidRDefault="005860D5">
            <w:pPr>
              <w:jc w:val="center"/>
              <w:rPr>
                <w:szCs w:val="21"/>
              </w:rPr>
            </w:pPr>
            <w:r>
              <w:rPr>
                <w:rFonts w:hint="eastAsia"/>
                <w:szCs w:val="21"/>
              </w:rPr>
              <w:t>3</w:t>
            </w:r>
          </w:p>
        </w:tc>
        <w:tc>
          <w:tcPr>
            <w:tcW w:w="1397" w:type="dxa"/>
            <w:vAlign w:val="center"/>
          </w:tcPr>
          <w:p w:rsidR="00C223F5" w:rsidRDefault="005860D5">
            <w:pPr>
              <w:jc w:val="center"/>
              <w:rPr>
                <w:szCs w:val="21"/>
              </w:rPr>
            </w:pPr>
            <w:r>
              <w:rPr>
                <w:rFonts w:hint="eastAsia"/>
                <w:szCs w:val="21"/>
              </w:rPr>
              <w:t>备用</w:t>
            </w:r>
            <w:r>
              <w:rPr>
                <w:rFonts w:hint="eastAsia"/>
                <w:szCs w:val="21"/>
              </w:rPr>
              <w:t>1</w:t>
            </w:r>
            <w:r>
              <w:rPr>
                <w:rFonts w:hint="eastAsia"/>
                <w:szCs w:val="21"/>
              </w:rPr>
              <w:t>台</w:t>
            </w:r>
          </w:p>
        </w:tc>
      </w:tr>
      <w:tr w:rsidR="00C223F5">
        <w:trPr>
          <w:trHeight w:val="70"/>
          <w:jc w:val="center"/>
        </w:trPr>
        <w:tc>
          <w:tcPr>
            <w:tcW w:w="558" w:type="dxa"/>
            <w:vMerge w:val="restart"/>
            <w:vAlign w:val="center"/>
          </w:tcPr>
          <w:p w:rsidR="00C223F5" w:rsidRDefault="005860D5">
            <w:pPr>
              <w:jc w:val="center"/>
              <w:rPr>
                <w:szCs w:val="21"/>
              </w:rPr>
            </w:pPr>
            <w:r>
              <w:rPr>
                <w:rFonts w:hint="eastAsia"/>
              </w:rPr>
              <w:t>薄煤层综采工作面主要设备</w:t>
            </w:r>
          </w:p>
        </w:tc>
        <w:tc>
          <w:tcPr>
            <w:tcW w:w="558" w:type="dxa"/>
            <w:vAlign w:val="center"/>
          </w:tcPr>
          <w:p w:rsidR="00C223F5" w:rsidRDefault="005860D5">
            <w:pPr>
              <w:jc w:val="center"/>
              <w:rPr>
                <w:szCs w:val="21"/>
              </w:rPr>
            </w:pPr>
            <w:r>
              <w:rPr>
                <w:rFonts w:hint="eastAsia"/>
                <w:szCs w:val="21"/>
              </w:rPr>
              <w:t>1</w:t>
            </w:r>
          </w:p>
        </w:tc>
        <w:tc>
          <w:tcPr>
            <w:tcW w:w="1591" w:type="dxa"/>
            <w:vAlign w:val="center"/>
          </w:tcPr>
          <w:p w:rsidR="00C223F5" w:rsidRDefault="005860D5">
            <w:pPr>
              <w:jc w:val="center"/>
            </w:pPr>
            <w:r>
              <w:rPr>
                <w:rFonts w:hint="eastAsia"/>
              </w:rPr>
              <w:t>采煤机</w:t>
            </w:r>
          </w:p>
        </w:tc>
        <w:tc>
          <w:tcPr>
            <w:tcW w:w="3988" w:type="dxa"/>
            <w:vAlign w:val="center"/>
          </w:tcPr>
          <w:p w:rsidR="00C223F5" w:rsidRDefault="005860D5">
            <w:pPr>
              <w:jc w:val="center"/>
            </w:pPr>
            <w:r>
              <w:t>MG</w:t>
            </w:r>
            <w:r>
              <w:rPr>
                <w:rFonts w:hint="eastAsia"/>
              </w:rPr>
              <w:t>4</w:t>
            </w:r>
            <w:r>
              <w:t>00</w:t>
            </w:r>
            <w:r>
              <w:rPr>
                <w:rFonts w:hint="eastAsia"/>
              </w:rPr>
              <w:t>B</w:t>
            </w:r>
            <w:r>
              <w:t>/</w:t>
            </w:r>
            <w:r>
              <w:rPr>
                <w:rFonts w:hint="eastAsia"/>
              </w:rPr>
              <w:t>460</w:t>
            </w:r>
            <w:r>
              <w:t>-BWD</w:t>
            </w:r>
            <w:r>
              <w:rPr>
                <w:rFonts w:hint="eastAsia"/>
              </w:rPr>
              <w:t>,</w:t>
            </w:r>
          </w:p>
          <w:p w:rsidR="00C223F5" w:rsidRDefault="005860D5">
            <w:pPr>
              <w:jc w:val="center"/>
            </w:pPr>
            <w:r>
              <w:rPr>
                <w:rFonts w:hint="eastAsia"/>
              </w:rPr>
              <w:t>N=460kW,U=1140V</w:t>
            </w:r>
          </w:p>
        </w:tc>
        <w:tc>
          <w:tcPr>
            <w:tcW w:w="562" w:type="dxa"/>
            <w:vAlign w:val="center"/>
          </w:tcPr>
          <w:p w:rsidR="00C223F5" w:rsidRDefault="005860D5">
            <w:pPr>
              <w:jc w:val="center"/>
            </w:pPr>
            <w:r>
              <w:rPr>
                <w:rFonts w:hint="eastAsia"/>
              </w:rPr>
              <w:t>台</w:t>
            </w:r>
          </w:p>
        </w:tc>
        <w:tc>
          <w:tcPr>
            <w:tcW w:w="702" w:type="dxa"/>
            <w:vAlign w:val="center"/>
          </w:tcPr>
          <w:p w:rsidR="00C223F5" w:rsidRDefault="005860D5">
            <w:pPr>
              <w:jc w:val="center"/>
            </w:pPr>
            <w:r>
              <w:rPr>
                <w:rFonts w:hint="eastAsia"/>
              </w:rPr>
              <w:t>1</w:t>
            </w:r>
          </w:p>
        </w:tc>
        <w:tc>
          <w:tcPr>
            <w:tcW w:w="1397" w:type="dxa"/>
            <w:vAlign w:val="center"/>
          </w:tcPr>
          <w:p w:rsidR="00C223F5" w:rsidRDefault="00C223F5">
            <w:pPr>
              <w:jc w:val="center"/>
            </w:pP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2</w:t>
            </w:r>
          </w:p>
        </w:tc>
        <w:tc>
          <w:tcPr>
            <w:tcW w:w="1591" w:type="dxa"/>
            <w:vAlign w:val="center"/>
          </w:tcPr>
          <w:p w:rsidR="00C223F5" w:rsidRDefault="005860D5">
            <w:pPr>
              <w:jc w:val="center"/>
            </w:pPr>
            <w:r>
              <w:rPr>
                <w:rFonts w:hint="eastAsia"/>
              </w:rPr>
              <w:t>可弯曲刮板</w:t>
            </w:r>
          </w:p>
          <w:p w:rsidR="00C223F5" w:rsidRDefault="005860D5">
            <w:pPr>
              <w:jc w:val="center"/>
            </w:pPr>
            <w:r>
              <w:rPr>
                <w:rFonts w:hint="eastAsia"/>
              </w:rPr>
              <w:t>输送机</w:t>
            </w:r>
          </w:p>
        </w:tc>
        <w:tc>
          <w:tcPr>
            <w:tcW w:w="3988" w:type="dxa"/>
            <w:vAlign w:val="center"/>
          </w:tcPr>
          <w:p w:rsidR="00C223F5" w:rsidRDefault="005860D5">
            <w:pPr>
              <w:jc w:val="center"/>
            </w:pPr>
            <w:r>
              <w:rPr>
                <w:rFonts w:hint="eastAsia"/>
              </w:rPr>
              <w:t>SGZ630/220 Q=400t/h N=220kW U=</w:t>
            </w:r>
            <w:r>
              <w:t>1140</w:t>
            </w:r>
            <w:r>
              <w:rPr>
                <w:rFonts w:hint="eastAsia"/>
              </w:rPr>
              <w:t>V</w:t>
            </w:r>
          </w:p>
        </w:tc>
        <w:tc>
          <w:tcPr>
            <w:tcW w:w="562" w:type="dxa"/>
            <w:vAlign w:val="center"/>
          </w:tcPr>
          <w:p w:rsidR="00C223F5" w:rsidRDefault="005860D5">
            <w:pPr>
              <w:jc w:val="center"/>
            </w:pPr>
            <w:r>
              <w:rPr>
                <w:rFonts w:hint="eastAsia"/>
              </w:rPr>
              <w:t>台</w:t>
            </w:r>
          </w:p>
        </w:tc>
        <w:tc>
          <w:tcPr>
            <w:tcW w:w="702" w:type="dxa"/>
            <w:vAlign w:val="center"/>
          </w:tcPr>
          <w:p w:rsidR="00C223F5" w:rsidRDefault="005860D5">
            <w:pPr>
              <w:jc w:val="center"/>
            </w:pPr>
            <w:r>
              <w:rPr>
                <w:rFonts w:hint="eastAsia"/>
              </w:rPr>
              <w:t>1</w:t>
            </w:r>
          </w:p>
        </w:tc>
        <w:tc>
          <w:tcPr>
            <w:tcW w:w="1397" w:type="dxa"/>
            <w:vAlign w:val="center"/>
          </w:tcPr>
          <w:p w:rsidR="00C223F5" w:rsidRDefault="00C223F5">
            <w:pPr>
              <w:jc w:val="center"/>
            </w:pP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3</w:t>
            </w:r>
          </w:p>
        </w:tc>
        <w:tc>
          <w:tcPr>
            <w:tcW w:w="1591" w:type="dxa"/>
            <w:vAlign w:val="center"/>
          </w:tcPr>
          <w:p w:rsidR="00C223F5" w:rsidRDefault="005860D5">
            <w:pPr>
              <w:jc w:val="center"/>
            </w:pPr>
            <w:r>
              <w:rPr>
                <w:rFonts w:hint="eastAsia"/>
              </w:rPr>
              <w:t>液压支架</w:t>
            </w:r>
          </w:p>
        </w:tc>
        <w:tc>
          <w:tcPr>
            <w:tcW w:w="3988" w:type="dxa"/>
            <w:vAlign w:val="center"/>
          </w:tcPr>
          <w:p w:rsidR="00C223F5" w:rsidRDefault="005860D5">
            <w:pPr>
              <w:jc w:val="center"/>
            </w:pPr>
            <w:r>
              <w:t>ZY2400/07/14</w:t>
            </w:r>
            <w:r>
              <w:rPr>
                <w:rFonts w:hint="eastAsia"/>
              </w:rPr>
              <w:t>，中心距</w:t>
            </w:r>
            <w:r>
              <w:rPr>
                <w:rFonts w:hint="eastAsia"/>
              </w:rPr>
              <w:t>1500mm</w:t>
            </w:r>
          </w:p>
        </w:tc>
        <w:tc>
          <w:tcPr>
            <w:tcW w:w="562" w:type="dxa"/>
            <w:vAlign w:val="center"/>
          </w:tcPr>
          <w:p w:rsidR="00C223F5" w:rsidRDefault="005860D5">
            <w:pPr>
              <w:jc w:val="center"/>
            </w:pPr>
            <w:r>
              <w:rPr>
                <w:rFonts w:hint="eastAsia"/>
              </w:rPr>
              <w:t>架</w:t>
            </w:r>
          </w:p>
        </w:tc>
        <w:tc>
          <w:tcPr>
            <w:tcW w:w="702" w:type="dxa"/>
            <w:vAlign w:val="center"/>
          </w:tcPr>
          <w:p w:rsidR="00C223F5" w:rsidRDefault="005860D5">
            <w:pPr>
              <w:jc w:val="center"/>
            </w:pPr>
            <w:r>
              <w:rPr>
                <w:rFonts w:hint="eastAsia"/>
              </w:rPr>
              <w:t>146</w:t>
            </w:r>
          </w:p>
        </w:tc>
        <w:tc>
          <w:tcPr>
            <w:tcW w:w="1397" w:type="dxa"/>
            <w:vAlign w:val="center"/>
          </w:tcPr>
          <w:p w:rsidR="00C223F5" w:rsidRDefault="005860D5">
            <w:pPr>
              <w:jc w:val="center"/>
            </w:pPr>
            <w:r>
              <w:rPr>
                <w:rFonts w:hint="eastAsia"/>
              </w:rPr>
              <w:t>含备用</w:t>
            </w:r>
            <w:r>
              <w:rPr>
                <w:rFonts w:hint="eastAsia"/>
              </w:rPr>
              <w:t>13</w:t>
            </w:r>
            <w:r>
              <w:rPr>
                <w:rFonts w:hint="eastAsia"/>
              </w:rPr>
              <w:t>架</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4</w:t>
            </w:r>
          </w:p>
        </w:tc>
        <w:tc>
          <w:tcPr>
            <w:tcW w:w="1591" w:type="dxa"/>
            <w:vAlign w:val="center"/>
          </w:tcPr>
          <w:p w:rsidR="00C223F5" w:rsidRDefault="005860D5">
            <w:pPr>
              <w:jc w:val="center"/>
            </w:pPr>
            <w:r>
              <w:rPr>
                <w:rFonts w:hint="eastAsia"/>
              </w:rPr>
              <w:t>端头支架</w:t>
            </w:r>
          </w:p>
        </w:tc>
        <w:tc>
          <w:tcPr>
            <w:tcW w:w="3988" w:type="dxa"/>
            <w:vAlign w:val="center"/>
          </w:tcPr>
          <w:p w:rsidR="00C223F5" w:rsidRDefault="005860D5">
            <w:pPr>
              <w:jc w:val="center"/>
            </w:pPr>
            <w:r>
              <w:rPr>
                <w:rFonts w:hint="eastAsia"/>
              </w:rPr>
              <w:t>与液压支架配套</w:t>
            </w:r>
          </w:p>
        </w:tc>
        <w:tc>
          <w:tcPr>
            <w:tcW w:w="562" w:type="dxa"/>
            <w:vAlign w:val="center"/>
          </w:tcPr>
          <w:p w:rsidR="00C223F5" w:rsidRDefault="005860D5">
            <w:pPr>
              <w:jc w:val="center"/>
            </w:pPr>
            <w:r>
              <w:rPr>
                <w:rFonts w:hint="eastAsia"/>
              </w:rPr>
              <w:t>组</w:t>
            </w:r>
          </w:p>
        </w:tc>
        <w:tc>
          <w:tcPr>
            <w:tcW w:w="702" w:type="dxa"/>
            <w:vAlign w:val="center"/>
          </w:tcPr>
          <w:p w:rsidR="00C223F5" w:rsidRDefault="005860D5">
            <w:pPr>
              <w:jc w:val="center"/>
            </w:pPr>
            <w:r>
              <w:rPr>
                <w:rFonts w:hint="eastAsia"/>
              </w:rPr>
              <w:t>4</w:t>
            </w:r>
          </w:p>
        </w:tc>
        <w:tc>
          <w:tcPr>
            <w:tcW w:w="1397" w:type="dxa"/>
            <w:vAlign w:val="center"/>
          </w:tcPr>
          <w:p w:rsidR="00C223F5" w:rsidRDefault="00C223F5">
            <w:pPr>
              <w:jc w:val="center"/>
            </w:pP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5</w:t>
            </w:r>
          </w:p>
        </w:tc>
        <w:tc>
          <w:tcPr>
            <w:tcW w:w="1591" w:type="dxa"/>
            <w:vAlign w:val="center"/>
          </w:tcPr>
          <w:p w:rsidR="00C223F5" w:rsidRDefault="005860D5">
            <w:pPr>
              <w:jc w:val="center"/>
            </w:pPr>
            <w:r>
              <w:rPr>
                <w:rFonts w:hint="eastAsia"/>
              </w:rPr>
              <w:t>单体液压支柱</w:t>
            </w:r>
          </w:p>
        </w:tc>
        <w:tc>
          <w:tcPr>
            <w:tcW w:w="3988" w:type="dxa"/>
            <w:vAlign w:val="center"/>
          </w:tcPr>
          <w:p w:rsidR="00C223F5" w:rsidRDefault="005860D5">
            <w:pPr>
              <w:jc w:val="center"/>
            </w:pPr>
            <w:r>
              <w:rPr>
                <w:rFonts w:hint="eastAsia"/>
              </w:rPr>
              <w:t>DW31.5</w:t>
            </w:r>
          </w:p>
        </w:tc>
        <w:tc>
          <w:tcPr>
            <w:tcW w:w="562" w:type="dxa"/>
            <w:vAlign w:val="center"/>
          </w:tcPr>
          <w:p w:rsidR="00C223F5" w:rsidRDefault="005860D5">
            <w:pPr>
              <w:jc w:val="center"/>
            </w:pPr>
            <w:r>
              <w:rPr>
                <w:rFonts w:hint="eastAsia"/>
              </w:rPr>
              <w:t>根</w:t>
            </w:r>
          </w:p>
        </w:tc>
        <w:tc>
          <w:tcPr>
            <w:tcW w:w="702" w:type="dxa"/>
            <w:vAlign w:val="center"/>
          </w:tcPr>
          <w:p w:rsidR="00C223F5" w:rsidRDefault="005860D5">
            <w:pPr>
              <w:jc w:val="center"/>
            </w:pPr>
            <w:r>
              <w:rPr>
                <w:rFonts w:hint="eastAsia"/>
              </w:rPr>
              <w:t>259</w:t>
            </w:r>
          </w:p>
        </w:tc>
        <w:tc>
          <w:tcPr>
            <w:tcW w:w="1397" w:type="dxa"/>
            <w:vAlign w:val="center"/>
          </w:tcPr>
          <w:p w:rsidR="00C223F5" w:rsidRDefault="005860D5">
            <w:pPr>
              <w:jc w:val="center"/>
            </w:pPr>
            <w:r>
              <w:rPr>
                <w:rFonts w:hint="eastAsia"/>
              </w:rPr>
              <w:t>含备用</w:t>
            </w:r>
            <w:r>
              <w:rPr>
                <w:rFonts w:hint="eastAsia"/>
              </w:rPr>
              <w:t>34</w:t>
            </w:r>
            <w:r>
              <w:rPr>
                <w:rFonts w:hint="eastAsia"/>
              </w:rPr>
              <w:t>根</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6</w:t>
            </w:r>
          </w:p>
        </w:tc>
        <w:tc>
          <w:tcPr>
            <w:tcW w:w="1591" w:type="dxa"/>
            <w:vAlign w:val="center"/>
          </w:tcPr>
          <w:p w:rsidR="00C223F5" w:rsidRDefault="005860D5">
            <w:pPr>
              <w:jc w:val="center"/>
            </w:pPr>
            <w:r>
              <w:rPr>
                <w:rFonts w:hint="eastAsia"/>
              </w:rPr>
              <w:t>金属长梁</w:t>
            </w:r>
          </w:p>
        </w:tc>
        <w:tc>
          <w:tcPr>
            <w:tcW w:w="3988" w:type="dxa"/>
            <w:vAlign w:val="center"/>
          </w:tcPr>
          <w:p w:rsidR="00C223F5" w:rsidRDefault="005860D5">
            <w:pPr>
              <w:jc w:val="center"/>
            </w:pPr>
            <w:r>
              <w:t>DFB4200</w:t>
            </w:r>
          </w:p>
        </w:tc>
        <w:tc>
          <w:tcPr>
            <w:tcW w:w="562" w:type="dxa"/>
            <w:vAlign w:val="center"/>
          </w:tcPr>
          <w:p w:rsidR="00C223F5" w:rsidRDefault="005860D5">
            <w:pPr>
              <w:jc w:val="center"/>
            </w:pPr>
            <w:r>
              <w:rPr>
                <w:rFonts w:hint="eastAsia"/>
              </w:rPr>
              <w:t>根</w:t>
            </w:r>
          </w:p>
        </w:tc>
        <w:tc>
          <w:tcPr>
            <w:tcW w:w="702" w:type="dxa"/>
            <w:vAlign w:val="center"/>
          </w:tcPr>
          <w:p w:rsidR="00C223F5" w:rsidRDefault="005860D5">
            <w:pPr>
              <w:jc w:val="center"/>
            </w:pPr>
            <w:r>
              <w:rPr>
                <w:rFonts w:hint="eastAsia"/>
              </w:rPr>
              <w:t>105</w:t>
            </w:r>
          </w:p>
        </w:tc>
        <w:tc>
          <w:tcPr>
            <w:tcW w:w="1397" w:type="dxa"/>
            <w:vAlign w:val="center"/>
          </w:tcPr>
          <w:p w:rsidR="00C223F5" w:rsidRDefault="005860D5">
            <w:pPr>
              <w:jc w:val="center"/>
            </w:pPr>
            <w:r>
              <w:rPr>
                <w:rFonts w:hint="eastAsia"/>
              </w:rPr>
              <w:t>含备用</w:t>
            </w:r>
            <w:r>
              <w:rPr>
                <w:rFonts w:hint="eastAsia"/>
              </w:rPr>
              <w:t>30</w:t>
            </w:r>
            <w:r>
              <w:rPr>
                <w:rFonts w:hint="eastAsia"/>
              </w:rPr>
              <w:t>根</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7</w:t>
            </w:r>
          </w:p>
        </w:tc>
        <w:tc>
          <w:tcPr>
            <w:tcW w:w="1591" w:type="dxa"/>
            <w:vAlign w:val="center"/>
          </w:tcPr>
          <w:p w:rsidR="00C223F5" w:rsidRDefault="005860D5">
            <w:pPr>
              <w:jc w:val="center"/>
            </w:pPr>
            <w:r>
              <w:rPr>
                <w:rFonts w:hint="eastAsia"/>
              </w:rPr>
              <w:t>转载机</w:t>
            </w:r>
          </w:p>
        </w:tc>
        <w:tc>
          <w:tcPr>
            <w:tcW w:w="3988" w:type="dxa"/>
            <w:vAlign w:val="center"/>
          </w:tcPr>
          <w:p w:rsidR="00C223F5" w:rsidRDefault="005860D5">
            <w:pPr>
              <w:jc w:val="center"/>
            </w:pPr>
            <w:r>
              <w:rPr>
                <w:rFonts w:hint="eastAsia"/>
              </w:rPr>
              <w:t>SZZ630/90,Q=500t/h</w:t>
            </w:r>
            <w:r>
              <w:rPr>
                <w:rFonts w:hint="eastAsia"/>
              </w:rPr>
              <w:t>，</w:t>
            </w:r>
            <w:r>
              <w:rPr>
                <w:rFonts w:hint="eastAsia"/>
              </w:rPr>
              <w:t>N=90kW,U=1140V</w:t>
            </w:r>
          </w:p>
        </w:tc>
        <w:tc>
          <w:tcPr>
            <w:tcW w:w="562" w:type="dxa"/>
            <w:vAlign w:val="center"/>
          </w:tcPr>
          <w:p w:rsidR="00C223F5" w:rsidRDefault="005860D5">
            <w:pPr>
              <w:jc w:val="center"/>
            </w:pPr>
            <w:r>
              <w:rPr>
                <w:rFonts w:hint="eastAsia"/>
              </w:rPr>
              <w:t>台</w:t>
            </w:r>
          </w:p>
        </w:tc>
        <w:tc>
          <w:tcPr>
            <w:tcW w:w="702" w:type="dxa"/>
            <w:vAlign w:val="center"/>
          </w:tcPr>
          <w:p w:rsidR="00C223F5" w:rsidRDefault="005860D5">
            <w:pPr>
              <w:jc w:val="center"/>
            </w:pPr>
            <w:r>
              <w:rPr>
                <w:rFonts w:hint="eastAsia"/>
              </w:rPr>
              <w:t>1</w:t>
            </w:r>
          </w:p>
        </w:tc>
        <w:tc>
          <w:tcPr>
            <w:tcW w:w="1397" w:type="dxa"/>
            <w:vAlign w:val="center"/>
          </w:tcPr>
          <w:p w:rsidR="00C223F5" w:rsidRDefault="00C223F5">
            <w:pPr>
              <w:jc w:val="center"/>
            </w:pP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8</w:t>
            </w:r>
          </w:p>
        </w:tc>
        <w:tc>
          <w:tcPr>
            <w:tcW w:w="1591" w:type="dxa"/>
            <w:vAlign w:val="center"/>
          </w:tcPr>
          <w:p w:rsidR="00C223F5" w:rsidRDefault="005860D5">
            <w:pPr>
              <w:jc w:val="center"/>
            </w:pPr>
            <w:r>
              <w:rPr>
                <w:rFonts w:hint="eastAsia"/>
              </w:rPr>
              <w:t>破碎机</w:t>
            </w:r>
          </w:p>
        </w:tc>
        <w:tc>
          <w:tcPr>
            <w:tcW w:w="3988" w:type="dxa"/>
            <w:vAlign w:val="center"/>
          </w:tcPr>
          <w:p w:rsidR="00C223F5" w:rsidRDefault="005860D5">
            <w:pPr>
              <w:jc w:val="center"/>
            </w:pPr>
            <w:r>
              <w:rPr>
                <w:rFonts w:hint="eastAsia"/>
              </w:rPr>
              <w:t>PLM500,Q=500t/h,</w:t>
            </w:r>
          </w:p>
          <w:p w:rsidR="00C223F5" w:rsidRDefault="005860D5">
            <w:pPr>
              <w:jc w:val="center"/>
            </w:pPr>
            <w:r>
              <w:rPr>
                <w:rFonts w:hint="eastAsia"/>
              </w:rPr>
              <w:t>N=75kW</w:t>
            </w:r>
            <w:r>
              <w:rPr>
                <w:rFonts w:hint="eastAsia"/>
              </w:rPr>
              <w:t>，</w:t>
            </w:r>
            <w:r>
              <w:rPr>
                <w:rFonts w:hint="eastAsia"/>
              </w:rPr>
              <w:t>U=1140V</w:t>
            </w:r>
          </w:p>
        </w:tc>
        <w:tc>
          <w:tcPr>
            <w:tcW w:w="562" w:type="dxa"/>
            <w:vAlign w:val="center"/>
          </w:tcPr>
          <w:p w:rsidR="00C223F5" w:rsidRDefault="005860D5">
            <w:pPr>
              <w:jc w:val="center"/>
            </w:pPr>
            <w:r>
              <w:rPr>
                <w:rFonts w:hint="eastAsia"/>
              </w:rPr>
              <w:t>台</w:t>
            </w:r>
          </w:p>
        </w:tc>
        <w:tc>
          <w:tcPr>
            <w:tcW w:w="702" w:type="dxa"/>
            <w:vAlign w:val="center"/>
          </w:tcPr>
          <w:p w:rsidR="00C223F5" w:rsidRDefault="005860D5">
            <w:pPr>
              <w:jc w:val="center"/>
            </w:pPr>
            <w:r>
              <w:rPr>
                <w:rFonts w:hint="eastAsia"/>
              </w:rPr>
              <w:t>1</w:t>
            </w:r>
          </w:p>
        </w:tc>
        <w:tc>
          <w:tcPr>
            <w:tcW w:w="1397" w:type="dxa"/>
            <w:vAlign w:val="center"/>
          </w:tcPr>
          <w:p w:rsidR="00C223F5" w:rsidRDefault="00C223F5">
            <w:pPr>
              <w:jc w:val="center"/>
            </w:pP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9</w:t>
            </w:r>
          </w:p>
        </w:tc>
        <w:tc>
          <w:tcPr>
            <w:tcW w:w="1591" w:type="dxa"/>
            <w:vAlign w:val="center"/>
          </w:tcPr>
          <w:p w:rsidR="00C223F5" w:rsidRDefault="005860D5">
            <w:pPr>
              <w:jc w:val="center"/>
            </w:pPr>
            <w:r>
              <w:rPr>
                <w:rFonts w:hint="eastAsia"/>
              </w:rPr>
              <w:t>乳化液泵站</w:t>
            </w:r>
          </w:p>
        </w:tc>
        <w:tc>
          <w:tcPr>
            <w:tcW w:w="3988" w:type="dxa"/>
            <w:vAlign w:val="center"/>
          </w:tcPr>
          <w:p w:rsidR="00C223F5" w:rsidRDefault="005860D5">
            <w:pPr>
              <w:jc w:val="center"/>
            </w:pPr>
            <w:r>
              <w:rPr>
                <w:rFonts w:hint="eastAsia"/>
              </w:rPr>
              <w:t>BRW200/31.5</w:t>
            </w:r>
            <w:r>
              <w:rPr>
                <w:rFonts w:hint="eastAsia"/>
              </w:rPr>
              <w:t>型</w:t>
            </w:r>
          </w:p>
        </w:tc>
        <w:tc>
          <w:tcPr>
            <w:tcW w:w="562" w:type="dxa"/>
            <w:vAlign w:val="center"/>
          </w:tcPr>
          <w:p w:rsidR="00C223F5" w:rsidRDefault="005860D5">
            <w:pPr>
              <w:jc w:val="center"/>
            </w:pPr>
            <w:r>
              <w:rPr>
                <w:rFonts w:hint="eastAsia"/>
              </w:rPr>
              <w:t>台</w:t>
            </w:r>
          </w:p>
        </w:tc>
        <w:tc>
          <w:tcPr>
            <w:tcW w:w="702" w:type="dxa"/>
            <w:vAlign w:val="center"/>
          </w:tcPr>
          <w:p w:rsidR="00C223F5" w:rsidRDefault="005860D5">
            <w:pPr>
              <w:jc w:val="center"/>
            </w:pPr>
            <w:r>
              <w:rPr>
                <w:rFonts w:hint="eastAsia"/>
              </w:rPr>
              <w:t>1</w:t>
            </w:r>
          </w:p>
        </w:tc>
        <w:tc>
          <w:tcPr>
            <w:tcW w:w="1397" w:type="dxa"/>
            <w:vAlign w:val="center"/>
          </w:tcPr>
          <w:p w:rsidR="00C223F5" w:rsidRDefault="005860D5">
            <w:pPr>
              <w:jc w:val="center"/>
            </w:pPr>
            <w:r>
              <w:rPr>
                <w:rFonts w:hint="eastAsia"/>
              </w:rPr>
              <w:t>每组两泵一箱</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10</w:t>
            </w:r>
          </w:p>
        </w:tc>
        <w:tc>
          <w:tcPr>
            <w:tcW w:w="1591" w:type="dxa"/>
            <w:vAlign w:val="center"/>
          </w:tcPr>
          <w:p w:rsidR="00C223F5" w:rsidRDefault="005860D5">
            <w:pPr>
              <w:jc w:val="center"/>
            </w:pPr>
            <w:r>
              <w:rPr>
                <w:rFonts w:hint="eastAsia"/>
              </w:rPr>
              <w:t>喷雾泵站</w:t>
            </w:r>
          </w:p>
        </w:tc>
        <w:tc>
          <w:tcPr>
            <w:tcW w:w="3988" w:type="dxa"/>
            <w:vAlign w:val="center"/>
          </w:tcPr>
          <w:p w:rsidR="00C223F5" w:rsidRDefault="005860D5">
            <w:pPr>
              <w:jc w:val="center"/>
            </w:pPr>
            <w:r>
              <w:rPr>
                <w:rFonts w:hint="eastAsia"/>
              </w:rPr>
              <w:t xml:space="preserve">BPW320/16 N=110kW </w:t>
            </w:r>
            <w:r>
              <w:rPr>
                <w:rFonts w:hint="eastAsia"/>
              </w:rPr>
              <w:t>，清水箱</w:t>
            </w:r>
            <w:r>
              <w:rPr>
                <w:rFonts w:hint="eastAsia"/>
              </w:rPr>
              <w:t>QX320/20A</w:t>
            </w:r>
            <w:r>
              <w:rPr>
                <w:rFonts w:hint="eastAsia"/>
              </w:rPr>
              <w:t>，</w:t>
            </w:r>
            <w:r>
              <w:rPr>
                <w:rFonts w:hint="eastAsia"/>
              </w:rPr>
              <w:t>V=2000L</w:t>
            </w:r>
          </w:p>
        </w:tc>
        <w:tc>
          <w:tcPr>
            <w:tcW w:w="562" w:type="dxa"/>
            <w:vAlign w:val="center"/>
          </w:tcPr>
          <w:p w:rsidR="00C223F5" w:rsidRDefault="005860D5">
            <w:pPr>
              <w:jc w:val="center"/>
            </w:pPr>
            <w:r>
              <w:rPr>
                <w:rFonts w:hint="eastAsia"/>
              </w:rPr>
              <w:t>组</w:t>
            </w:r>
          </w:p>
        </w:tc>
        <w:tc>
          <w:tcPr>
            <w:tcW w:w="702" w:type="dxa"/>
            <w:vAlign w:val="center"/>
          </w:tcPr>
          <w:p w:rsidR="00C223F5" w:rsidRDefault="005860D5">
            <w:pPr>
              <w:jc w:val="center"/>
            </w:pPr>
            <w:r>
              <w:rPr>
                <w:rFonts w:hint="eastAsia"/>
              </w:rPr>
              <w:t>1</w:t>
            </w:r>
          </w:p>
        </w:tc>
        <w:tc>
          <w:tcPr>
            <w:tcW w:w="1397" w:type="dxa"/>
            <w:vAlign w:val="center"/>
          </w:tcPr>
          <w:p w:rsidR="00C223F5" w:rsidRDefault="005860D5">
            <w:pPr>
              <w:jc w:val="center"/>
            </w:pPr>
            <w:r>
              <w:rPr>
                <w:rFonts w:hint="eastAsia"/>
              </w:rPr>
              <w:t>两泵一箱</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11</w:t>
            </w:r>
          </w:p>
        </w:tc>
        <w:tc>
          <w:tcPr>
            <w:tcW w:w="1591" w:type="dxa"/>
            <w:vAlign w:val="center"/>
          </w:tcPr>
          <w:p w:rsidR="00C223F5" w:rsidRDefault="005860D5">
            <w:pPr>
              <w:jc w:val="center"/>
            </w:pPr>
            <w:r>
              <w:rPr>
                <w:rFonts w:hint="eastAsia"/>
              </w:rPr>
              <w:t>可伸缩带式</w:t>
            </w:r>
          </w:p>
          <w:p w:rsidR="00C223F5" w:rsidRDefault="005860D5">
            <w:pPr>
              <w:jc w:val="center"/>
            </w:pPr>
            <w:r>
              <w:rPr>
                <w:rFonts w:hint="eastAsia"/>
              </w:rPr>
              <w:t>输送机</w:t>
            </w:r>
          </w:p>
        </w:tc>
        <w:tc>
          <w:tcPr>
            <w:tcW w:w="3988" w:type="dxa"/>
            <w:vAlign w:val="center"/>
          </w:tcPr>
          <w:p w:rsidR="00C223F5" w:rsidRDefault="005860D5">
            <w:pPr>
              <w:jc w:val="center"/>
            </w:pPr>
            <w:r>
              <w:t>DSJ65/20/2×40</w:t>
            </w:r>
          </w:p>
          <w:p w:rsidR="00C223F5" w:rsidRDefault="005860D5">
            <w:pPr>
              <w:jc w:val="center"/>
            </w:pPr>
            <w:r>
              <w:rPr>
                <w:rFonts w:hint="eastAsia"/>
              </w:rPr>
              <w:t>N=80kW</w:t>
            </w:r>
            <w:r>
              <w:rPr>
                <w:rFonts w:hint="eastAsia"/>
              </w:rPr>
              <w:t>，</w:t>
            </w:r>
            <w:r>
              <w:rPr>
                <w:rFonts w:hint="eastAsia"/>
              </w:rPr>
              <w:t>U=1140V</w:t>
            </w:r>
          </w:p>
        </w:tc>
        <w:tc>
          <w:tcPr>
            <w:tcW w:w="562" w:type="dxa"/>
            <w:vAlign w:val="center"/>
          </w:tcPr>
          <w:p w:rsidR="00C223F5" w:rsidRDefault="005860D5">
            <w:pPr>
              <w:jc w:val="center"/>
            </w:pPr>
            <w:r>
              <w:rPr>
                <w:rFonts w:hint="eastAsia"/>
              </w:rPr>
              <w:t>台</w:t>
            </w:r>
          </w:p>
        </w:tc>
        <w:tc>
          <w:tcPr>
            <w:tcW w:w="702" w:type="dxa"/>
            <w:vAlign w:val="center"/>
          </w:tcPr>
          <w:p w:rsidR="00C223F5" w:rsidRDefault="005860D5">
            <w:pPr>
              <w:jc w:val="center"/>
            </w:pPr>
            <w:r>
              <w:rPr>
                <w:rFonts w:hint="eastAsia"/>
              </w:rPr>
              <w:t>1</w:t>
            </w:r>
          </w:p>
        </w:tc>
        <w:tc>
          <w:tcPr>
            <w:tcW w:w="1397" w:type="dxa"/>
            <w:vAlign w:val="center"/>
          </w:tcPr>
          <w:p w:rsidR="00C223F5" w:rsidRDefault="00C223F5">
            <w:pPr>
              <w:jc w:val="center"/>
            </w:pP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12</w:t>
            </w:r>
          </w:p>
        </w:tc>
        <w:tc>
          <w:tcPr>
            <w:tcW w:w="1591" w:type="dxa"/>
            <w:vAlign w:val="center"/>
          </w:tcPr>
          <w:p w:rsidR="00C223F5" w:rsidRDefault="005860D5">
            <w:pPr>
              <w:jc w:val="center"/>
            </w:pPr>
            <w:r>
              <w:rPr>
                <w:rFonts w:hint="eastAsia"/>
              </w:rPr>
              <w:t>阻化剂发射泵</w:t>
            </w:r>
          </w:p>
        </w:tc>
        <w:tc>
          <w:tcPr>
            <w:tcW w:w="3988" w:type="dxa"/>
            <w:vAlign w:val="center"/>
          </w:tcPr>
          <w:p w:rsidR="00C223F5" w:rsidRDefault="005860D5">
            <w:pPr>
              <w:jc w:val="center"/>
            </w:pPr>
            <w:r>
              <w:rPr>
                <w:rFonts w:hint="eastAsia"/>
              </w:rPr>
              <w:t>WRB50/12.5,15kW</w:t>
            </w:r>
          </w:p>
        </w:tc>
        <w:tc>
          <w:tcPr>
            <w:tcW w:w="562" w:type="dxa"/>
            <w:vAlign w:val="center"/>
          </w:tcPr>
          <w:p w:rsidR="00C223F5" w:rsidRDefault="005860D5">
            <w:pPr>
              <w:jc w:val="center"/>
            </w:pPr>
            <w:r>
              <w:rPr>
                <w:rFonts w:hint="eastAsia"/>
              </w:rPr>
              <w:t>台</w:t>
            </w:r>
          </w:p>
        </w:tc>
        <w:tc>
          <w:tcPr>
            <w:tcW w:w="702" w:type="dxa"/>
            <w:vAlign w:val="center"/>
          </w:tcPr>
          <w:p w:rsidR="00C223F5" w:rsidRDefault="005860D5">
            <w:pPr>
              <w:jc w:val="center"/>
            </w:pPr>
            <w:r>
              <w:rPr>
                <w:rFonts w:hint="eastAsia"/>
              </w:rPr>
              <w:t>2</w:t>
            </w:r>
          </w:p>
        </w:tc>
        <w:tc>
          <w:tcPr>
            <w:tcW w:w="1397" w:type="dxa"/>
            <w:vAlign w:val="center"/>
          </w:tcPr>
          <w:p w:rsidR="00C223F5" w:rsidRDefault="005860D5">
            <w:pPr>
              <w:jc w:val="center"/>
            </w:pPr>
            <w:r>
              <w:rPr>
                <w:rFonts w:hint="eastAsia"/>
              </w:rPr>
              <w:t>备用</w:t>
            </w:r>
            <w:r>
              <w:rPr>
                <w:rFonts w:hint="eastAsia"/>
              </w:rPr>
              <w:t>1</w:t>
            </w:r>
            <w:r>
              <w:rPr>
                <w:rFonts w:hint="eastAsia"/>
              </w:rPr>
              <w:t>台</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13</w:t>
            </w:r>
          </w:p>
        </w:tc>
        <w:tc>
          <w:tcPr>
            <w:tcW w:w="1591" w:type="dxa"/>
            <w:vAlign w:val="center"/>
          </w:tcPr>
          <w:p w:rsidR="00C223F5" w:rsidRDefault="005860D5">
            <w:pPr>
              <w:jc w:val="center"/>
            </w:pPr>
            <w:r>
              <w:rPr>
                <w:rFonts w:hint="eastAsia"/>
              </w:rPr>
              <w:t>调度绞车</w:t>
            </w:r>
          </w:p>
        </w:tc>
        <w:tc>
          <w:tcPr>
            <w:tcW w:w="3988" w:type="dxa"/>
            <w:vAlign w:val="center"/>
          </w:tcPr>
          <w:p w:rsidR="00C223F5" w:rsidRDefault="005860D5">
            <w:pPr>
              <w:jc w:val="center"/>
            </w:pPr>
            <w:r>
              <w:rPr>
                <w:rFonts w:hint="eastAsia"/>
              </w:rPr>
              <w:t>JD-1,N=11.4kW,U=1140V</w:t>
            </w:r>
          </w:p>
        </w:tc>
        <w:tc>
          <w:tcPr>
            <w:tcW w:w="562" w:type="dxa"/>
            <w:vAlign w:val="center"/>
          </w:tcPr>
          <w:p w:rsidR="00C223F5" w:rsidRDefault="005860D5">
            <w:pPr>
              <w:jc w:val="center"/>
            </w:pPr>
            <w:r>
              <w:rPr>
                <w:rFonts w:hint="eastAsia"/>
              </w:rPr>
              <w:t>台</w:t>
            </w:r>
          </w:p>
        </w:tc>
        <w:tc>
          <w:tcPr>
            <w:tcW w:w="702" w:type="dxa"/>
            <w:vAlign w:val="center"/>
          </w:tcPr>
          <w:p w:rsidR="00C223F5" w:rsidRDefault="005860D5">
            <w:pPr>
              <w:jc w:val="center"/>
            </w:pPr>
            <w:r>
              <w:rPr>
                <w:rFonts w:hint="eastAsia"/>
              </w:rPr>
              <w:t>1</w:t>
            </w:r>
          </w:p>
        </w:tc>
        <w:tc>
          <w:tcPr>
            <w:tcW w:w="1397" w:type="dxa"/>
            <w:vAlign w:val="center"/>
          </w:tcPr>
          <w:p w:rsidR="00C223F5" w:rsidRDefault="00C223F5">
            <w:pPr>
              <w:jc w:val="center"/>
            </w:pP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14</w:t>
            </w:r>
          </w:p>
        </w:tc>
        <w:tc>
          <w:tcPr>
            <w:tcW w:w="1591" w:type="dxa"/>
            <w:vAlign w:val="center"/>
          </w:tcPr>
          <w:p w:rsidR="00C223F5" w:rsidRDefault="005860D5">
            <w:pPr>
              <w:jc w:val="center"/>
            </w:pPr>
            <w:r>
              <w:rPr>
                <w:rFonts w:hint="eastAsia"/>
              </w:rPr>
              <w:t>污水泵</w:t>
            </w:r>
          </w:p>
        </w:tc>
        <w:tc>
          <w:tcPr>
            <w:tcW w:w="3988" w:type="dxa"/>
            <w:vAlign w:val="center"/>
          </w:tcPr>
          <w:p w:rsidR="00C223F5" w:rsidRDefault="005860D5">
            <w:pPr>
              <w:jc w:val="center"/>
            </w:pPr>
            <w:r>
              <w:rPr>
                <w:rFonts w:hint="eastAsia"/>
              </w:rPr>
              <w:t>KQW45-16-5.5</w:t>
            </w:r>
            <w:r>
              <w:rPr>
                <w:rFonts w:hint="eastAsia"/>
              </w:rPr>
              <w:t>，</w:t>
            </w:r>
            <w:r>
              <w:rPr>
                <w:rFonts w:hint="eastAsia"/>
              </w:rPr>
              <w:t>N=5.5kW,U=1140V</w:t>
            </w:r>
          </w:p>
        </w:tc>
        <w:tc>
          <w:tcPr>
            <w:tcW w:w="562" w:type="dxa"/>
            <w:vAlign w:val="center"/>
          </w:tcPr>
          <w:p w:rsidR="00C223F5" w:rsidRDefault="005860D5">
            <w:pPr>
              <w:jc w:val="center"/>
            </w:pPr>
            <w:r>
              <w:rPr>
                <w:rFonts w:hint="eastAsia"/>
              </w:rPr>
              <w:t>台</w:t>
            </w:r>
          </w:p>
        </w:tc>
        <w:tc>
          <w:tcPr>
            <w:tcW w:w="702" w:type="dxa"/>
            <w:vAlign w:val="center"/>
          </w:tcPr>
          <w:p w:rsidR="00C223F5" w:rsidRDefault="005860D5">
            <w:pPr>
              <w:jc w:val="center"/>
            </w:pPr>
            <w:r>
              <w:rPr>
                <w:rFonts w:hint="eastAsia"/>
              </w:rPr>
              <w:t>8</w:t>
            </w:r>
          </w:p>
        </w:tc>
        <w:tc>
          <w:tcPr>
            <w:tcW w:w="1397" w:type="dxa"/>
            <w:vAlign w:val="center"/>
          </w:tcPr>
          <w:p w:rsidR="00C223F5" w:rsidRDefault="005860D5">
            <w:pPr>
              <w:jc w:val="center"/>
            </w:pPr>
            <w:r>
              <w:rPr>
                <w:rFonts w:hint="eastAsia"/>
              </w:rPr>
              <w:t>备用</w:t>
            </w:r>
            <w:r>
              <w:rPr>
                <w:rFonts w:hint="eastAsia"/>
              </w:rPr>
              <w:t>2</w:t>
            </w:r>
            <w:r>
              <w:rPr>
                <w:rFonts w:hint="eastAsia"/>
              </w:rPr>
              <w:t>台</w:t>
            </w:r>
          </w:p>
        </w:tc>
      </w:tr>
      <w:tr w:rsidR="00C223F5">
        <w:trPr>
          <w:trHeight w:val="70"/>
          <w:jc w:val="center"/>
        </w:trPr>
        <w:tc>
          <w:tcPr>
            <w:tcW w:w="558" w:type="dxa"/>
            <w:vMerge/>
            <w:vAlign w:val="center"/>
          </w:tcPr>
          <w:p w:rsidR="00C223F5" w:rsidRDefault="00C223F5">
            <w:pPr>
              <w:jc w:val="center"/>
              <w:rPr>
                <w:szCs w:val="21"/>
              </w:rPr>
            </w:pPr>
          </w:p>
        </w:tc>
        <w:tc>
          <w:tcPr>
            <w:tcW w:w="558" w:type="dxa"/>
            <w:vAlign w:val="center"/>
          </w:tcPr>
          <w:p w:rsidR="00C223F5" w:rsidRDefault="005860D5">
            <w:pPr>
              <w:jc w:val="center"/>
              <w:rPr>
                <w:szCs w:val="21"/>
              </w:rPr>
            </w:pPr>
            <w:r>
              <w:rPr>
                <w:rFonts w:hint="eastAsia"/>
                <w:szCs w:val="21"/>
              </w:rPr>
              <w:t>15</w:t>
            </w:r>
          </w:p>
        </w:tc>
        <w:tc>
          <w:tcPr>
            <w:tcW w:w="1591" w:type="dxa"/>
            <w:vAlign w:val="center"/>
          </w:tcPr>
          <w:p w:rsidR="00C223F5" w:rsidRDefault="005860D5">
            <w:pPr>
              <w:jc w:val="center"/>
            </w:pPr>
            <w:r>
              <w:rPr>
                <w:rFonts w:hint="eastAsia"/>
              </w:rPr>
              <w:t>探水钻机</w:t>
            </w:r>
          </w:p>
        </w:tc>
        <w:tc>
          <w:tcPr>
            <w:tcW w:w="3988" w:type="dxa"/>
            <w:vAlign w:val="center"/>
          </w:tcPr>
          <w:p w:rsidR="00C223F5" w:rsidRDefault="005860D5">
            <w:pPr>
              <w:jc w:val="center"/>
            </w:pPr>
            <w:r>
              <w:rPr>
                <w:rFonts w:hint="eastAsia"/>
              </w:rPr>
              <w:t>TXU-150</w:t>
            </w:r>
            <w:r>
              <w:rPr>
                <w:rFonts w:hint="eastAsia"/>
              </w:rPr>
              <w:t>，</w:t>
            </w:r>
            <w:r>
              <w:rPr>
                <w:rFonts w:hint="eastAsia"/>
              </w:rPr>
              <w:t>N=5.5kW,U=1140</w:t>
            </w:r>
          </w:p>
        </w:tc>
        <w:tc>
          <w:tcPr>
            <w:tcW w:w="562" w:type="dxa"/>
            <w:vAlign w:val="center"/>
          </w:tcPr>
          <w:p w:rsidR="00C223F5" w:rsidRDefault="005860D5">
            <w:pPr>
              <w:jc w:val="center"/>
            </w:pPr>
            <w:r>
              <w:rPr>
                <w:rFonts w:hint="eastAsia"/>
              </w:rPr>
              <w:t>台</w:t>
            </w:r>
          </w:p>
        </w:tc>
        <w:tc>
          <w:tcPr>
            <w:tcW w:w="702" w:type="dxa"/>
            <w:vAlign w:val="center"/>
          </w:tcPr>
          <w:p w:rsidR="00C223F5" w:rsidRDefault="005860D5">
            <w:pPr>
              <w:jc w:val="center"/>
            </w:pPr>
            <w:r>
              <w:rPr>
                <w:rFonts w:hint="eastAsia"/>
              </w:rPr>
              <w:t>3</w:t>
            </w:r>
          </w:p>
        </w:tc>
        <w:tc>
          <w:tcPr>
            <w:tcW w:w="1397" w:type="dxa"/>
            <w:vAlign w:val="center"/>
          </w:tcPr>
          <w:p w:rsidR="00C223F5" w:rsidRDefault="005860D5">
            <w:pPr>
              <w:jc w:val="center"/>
            </w:pPr>
            <w:r>
              <w:rPr>
                <w:rFonts w:hint="eastAsia"/>
              </w:rPr>
              <w:t>备用</w:t>
            </w:r>
            <w:r>
              <w:rPr>
                <w:rFonts w:hint="eastAsia"/>
              </w:rPr>
              <w:t>1</w:t>
            </w:r>
            <w:r>
              <w:rPr>
                <w:rFonts w:hint="eastAsia"/>
              </w:rPr>
              <w:t>台</w:t>
            </w:r>
          </w:p>
        </w:tc>
      </w:tr>
    </w:tbl>
    <w:p w:rsidR="00C223F5" w:rsidRDefault="005860D5" w:rsidP="0064552A">
      <w:pPr>
        <w:pStyle w:val="aff1"/>
        <w:spacing w:line="360" w:lineRule="auto"/>
        <w:ind w:left="0" w:firstLineChars="200" w:firstLine="464"/>
        <w:rPr>
          <w:rFonts w:hAnsi="宋体"/>
          <w:spacing w:val="-4"/>
        </w:rPr>
      </w:pPr>
      <w:r>
        <w:rPr>
          <w:rFonts w:hAnsi="宋体"/>
          <w:spacing w:val="-4"/>
        </w:rPr>
        <w:lastRenderedPageBreak/>
        <w:t>井底水仓由主仓和副仓两条独立且互不渗漏的巷道组成，净断面积为</w:t>
      </w:r>
      <w:r>
        <w:rPr>
          <w:spacing w:val="-4"/>
        </w:rPr>
        <w:t>8.2m</w:t>
      </w:r>
      <w:r>
        <w:rPr>
          <w:spacing w:val="-4"/>
          <w:vertAlign w:val="superscript"/>
        </w:rPr>
        <w:t>2</w:t>
      </w:r>
      <w:r>
        <w:rPr>
          <w:rFonts w:hAnsi="宋体"/>
          <w:spacing w:val="-4"/>
        </w:rPr>
        <w:t>，水仓蓄水段长度约为</w:t>
      </w:r>
      <w:r>
        <w:rPr>
          <w:spacing w:val="-4"/>
        </w:rPr>
        <w:t>110m</w:t>
      </w:r>
      <w:r>
        <w:rPr>
          <w:rFonts w:hAnsi="宋体"/>
          <w:spacing w:val="-4"/>
        </w:rPr>
        <w:t>，水仓充满系数按</w:t>
      </w:r>
      <w:r>
        <w:rPr>
          <w:spacing w:val="-4"/>
        </w:rPr>
        <w:t>0.75</w:t>
      </w:r>
      <w:r>
        <w:rPr>
          <w:rFonts w:hAnsi="宋体"/>
          <w:spacing w:val="-4"/>
        </w:rPr>
        <w:t>，井底水仓有效容量约为</w:t>
      </w:r>
      <w:r>
        <w:rPr>
          <w:spacing w:val="-4"/>
        </w:rPr>
        <w:t>677m</w:t>
      </w:r>
      <w:r>
        <w:rPr>
          <w:spacing w:val="-4"/>
          <w:vertAlign w:val="superscript"/>
        </w:rPr>
        <w:t>3</w:t>
      </w:r>
      <w:r>
        <w:rPr>
          <w:spacing w:val="-4"/>
        </w:rPr>
        <w:t>,</w:t>
      </w:r>
      <w:r>
        <w:rPr>
          <w:rFonts w:hAnsi="宋体"/>
          <w:spacing w:val="-4"/>
        </w:rPr>
        <w:t>满足</w:t>
      </w:r>
      <w:r>
        <w:rPr>
          <w:spacing w:val="-4"/>
        </w:rPr>
        <w:t>8h</w:t>
      </w:r>
      <w:r>
        <w:rPr>
          <w:rFonts w:hAnsi="宋体"/>
          <w:spacing w:val="-4"/>
        </w:rPr>
        <w:t>正常涌水量的要求（</w:t>
      </w:r>
      <w:r>
        <w:rPr>
          <w:spacing w:val="-4"/>
        </w:rPr>
        <w:t>80 m</w:t>
      </w:r>
      <w:r>
        <w:rPr>
          <w:spacing w:val="-4"/>
          <w:vertAlign w:val="superscript"/>
        </w:rPr>
        <w:t>3</w:t>
      </w:r>
      <w:r>
        <w:rPr>
          <w:spacing w:val="-4"/>
        </w:rPr>
        <w:t>/h×8h =640m</w:t>
      </w:r>
      <w:r>
        <w:rPr>
          <w:spacing w:val="-4"/>
          <w:vertAlign w:val="superscript"/>
        </w:rPr>
        <w:t>3</w:t>
      </w:r>
      <w:r>
        <w:rPr>
          <w:rFonts w:hAnsi="宋体"/>
          <w:spacing w:val="-4"/>
        </w:rPr>
        <w:t>），水仓清理采用自动清挖系统进行清理。</w:t>
      </w:r>
    </w:p>
    <w:p w:rsidR="00C223F5" w:rsidRDefault="000F32AE" w:rsidP="0064552A">
      <w:pPr>
        <w:pStyle w:val="aff1"/>
        <w:spacing w:line="360" w:lineRule="auto"/>
        <w:ind w:left="0" w:firstLineChars="200" w:firstLine="480"/>
        <w:rPr>
          <w:szCs w:val="24"/>
        </w:rPr>
      </w:pPr>
      <w:r>
        <w:rPr>
          <w:szCs w:val="24"/>
        </w:rPr>
        <w:fldChar w:fldCharType="begin"/>
      </w:r>
      <w:r w:rsidR="005860D5">
        <w:rPr>
          <w:rFonts w:hint="eastAsia"/>
          <w:szCs w:val="24"/>
        </w:rPr>
        <w:instrText>= 2 \* GB3</w:instrText>
      </w:r>
      <w:r>
        <w:rPr>
          <w:szCs w:val="24"/>
        </w:rPr>
        <w:fldChar w:fldCharType="separate"/>
      </w:r>
      <w:r w:rsidR="005860D5">
        <w:rPr>
          <w:rFonts w:hint="eastAsia"/>
          <w:szCs w:val="24"/>
        </w:rPr>
        <w:t>②</w:t>
      </w:r>
      <w:r>
        <w:rPr>
          <w:szCs w:val="24"/>
        </w:rPr>
        <w:fldChar w:fldCharType="end"/>
      </w:r>
      <w:r w:rsidR="005860D5">
        <w:rPr>
          <w:rFonts w:hint="eastAsia"/>
          <w:szCs w:val="24"/>
        </w:rPr>
        <w:t>井底主变电所</w:t>
      </w:r>
    </w:p>
    <w:p w:rsidR="00C223F5" w:rsidRDefault="005860D5" w:rsidP="0064552A">
      <w:pPr>
        <w:pStyle w:val="aff1"/>
        <w:spacing w:line="360" w:lineRule="auto"/>
        <w:ind w:left="0" w:firstLineChars="200" w:firstLine="480"/>
        <w:rPr>
          <w:szCs w:val="24"/>
        </w:rPr>
      </w:pPr>
      <w:r>
        <w:rPr>
          <w:rFonts w:hint="eastAsia"/>
          <w:szCs w:val="24"/>
        </w:rPr>
        <w:t>井底主变电所由主变电所硐室及通道组成，与井底主排水泵房联合布置在副斜井井底附近，北翼辅助运输大巷西侧；主变电所硐室长</w:t>
      </w:r>
      <w:r>
        <w:rPr>
          <w:rFonts w:hint="eastAsia"/>
          <w:szCs w:val="24"/>
        </w:rPr>
        <w:t>30m</w:t>
      </w:r>
      <w:r>
        <w:rPr>
          <w:rFonts w:hint="eastAsia"/>
          <w:szCs w:val="24"/>
        </w:rPr>
        <w:t>，净宽</w:t>
      </w:r>
      <w:r>
        <w:rPr>
          <w:rFonts w:hint="eastAsia"/>
          <w:szCs w:val="24"/>
        </w:rPr>
        <w:t>5m</w:t>
      </w:r>
      <w:r>
        <w:rPr>
          <w:rFonts w:hint="eastAsia"/>
          <w:szCs w:val="24"/>
        </w:rPr>
        <w:t>，墙高</w:t>
      </w:r>
      <w:r>
        <w:rPr>
          <w:rFonts w:hint="eastAsia"/>
          <w:szCs w:val="24"/>
        </w:rPr>
        <w:t>1.5m</w:t>
      </w:r>
      <w:r>
        <w:rPr>
          <w:rFonts w:hint="eastAsia"/>
          <w:szCs w:val="24"/>
        </w:rPr>
        <w:t>。</w:t>
      </w:r>
    </w:p>
    <w:p w:rsidR="00C223F5" w:rsidRDefault="000F32AE" w:rsidP="0064552A">
      <w:pPr>
        <w:pStyle w:val="aff1"/>
        <w:spacing w:line="360" w:lineRule="auto"/>
        <w:ind w:left="0" w:firstLineChars="200" w:firstLine="480"/>
        <w:rPr>
          <w:szCs w:val="24"/>
        </w:rPr>
      </w:pPr>
      <w:r>
        <w:rPr>
          <w:szCs w:val="24"/>
        </w:rPr>
        <w:fldChar w:fldCharType="begin"/>
      </w:r>
      <w:r w:rsidR="005860D5">
        <w:rPr>
          <w:rFonts w:hint="eastAsia"/>
          <w:szCs w:val="24"/>
        </w:rPr>
        <w:instrText>= 3 \* GB3</w:instrText>
      </w:r>
      <w:r>
        <w:rPr>
          <w:szCs w:val="24"/>
        </w:rPr>
        <w:fldChar w:fldCharType="separate"/>
      </w:r>
      <w:r w:rsidR="005860D5">
        <w:rPr>
          <w:rFonts w:hint="eastAsia"/>
          <w:szCs w:val="24"/>
        </w:rPr>
        <w:t>③</w:t>
      </w:r>
      <w:r>
        <w:rPr>
          <w:szCs w:val="24"/>
        </w:rPr>
        <w:fldChar w:fldCharType="end"/>
      </w:r>
      <w:r w:rsidR="005860D5">
        <w:rPr>
          <w:rFonts w:hint="eastAsia"/>
          <w:szCs w:val="24"/>
        </w:rPr>
        <w:t xml:space="preserve"> </w:t>
      </w:r>
      <w:r w:rsidR="005860D5">
        <w:rPr>
          <w:rFonts w:hint="eastAsia"/>
          <w:szCs w:val="24"/>
        </w:rPr>
        <w:t>井下消防材料库</w:t>
      </w:r>
    </w:p>
    <w:p w:rsidR="00C223F5" w:rsidRDefault="005860D5" w:rsidP="0064552A">
      <w:pPr>
        <w:pStyle w:val="aff1"/>
        <w:spacing w:line="360" w:lineRule="auto"/>
        <w:ind w:left="0" w:firstLineChars="200" w:firstLine="480"/>
        <w:rPr>
          <w:szCs w:val="24"/>
        </w:rPr>
      </w:pPr>
      <w:r>
        <w:rPr>
          <w:rFonts w:hint="eastAsia"/>
          <w:szCs w:val="24"/>
        </w:rPr>
        <w:t>位于井底水仓入口附近的北翼辅助运输大巷与北翼带式输送机大巷之间的联络巷内，消防材料库净宽</w:t>
      </w:r>
      <w:r>
        <w:rPr>
          <w:rFonts w:hint="eastAsia"/>
          <w:szCs w:val="24"/>
        </w:rPr>
        <w:t>5.0m</w:t>
      </w:r>
      <w:r>
        <w:rPr>
          <w:rFonts w:hint="eastAsia"/>
          <w:szCs w:val="24"/>
        </w:rPr>
        <w:t>，净高</w:t>
      </w:r>
      <w:r>
        <w:rPr>
          <w:rFonts w:hint="eastAsia"/>
          <w:szCs w:val="24"/>
        </w:rPr>
        <w:t>2.5m</w:t>
      </w:r>
      <w:r>
        <w:rPr>
          <w:rFonts w:hint="eastAsia"/>
          <w:szCs w:val="24"/>
        </w:rPr>
        <w:t>，采用矩形断面，锚喷支护，长度</w:t>
      </w:r>
      <w:r>
        <w:rPr>
          <w:rFonts w:hint="eastAsia"/>
          <w:szCs w:val="24"/>
        </w:rPr>
        <w:t>35m</w:t>
      </w:r>
      <w:r>
        <w:rPr>
          <w:rFonts w:hint="eastAsia"/>
          <w:szCs w:val="24"/>
        </w:rPr>
        <w:t>。</w:t>
      </w:r>
    </w:p>
    <w:p w:rsidR="00C223F5" w:rsidRDefault="000F32AE" w:rsidP="0064552A">
      <w:pPr>
        <w:pStyle w:val="aff1"/>
        <w:spacing w:line="360" w:lineRule="auto"/>
        <w:ind w:left="0" w:firstLineChars="200" w:firstLine="480"/>
        <w:rPr>
          <w:szCs w:val="24"/>
        </w:rPr>
      </w:pPr>
      <w:r>
        <w:rPr>
          <w:szCs w:val="24"/>
        </w:rPr>
        <w:fldChar w:fldCharType="begin"/>
      </w:r>
      <w:r w:rsidR="005860D5">
        <w:rPr>
          <w:rFonts w:hint="eastAsia"/>
          <w:szCs w:val="24"/>
        </w:rPr>
        <w:instrText>= 4 \* GB3</w:instrText>
      </w:r>
      <w:r>
        <w:rPr>
          <w:szCs w:val="24"/>
        </w:rPr>
        <w:fldChar w:fldCharType="separate"/>
      </w:r>
      <w:r w:rsidR="005860D5">
        <w:rPr>
          <w:rFonts w:hint="eastAsia"/>
          <w:szCs w:val="24"/>
        </w:rPr>
        <w:t>④</w:t>
      </w:r>
      <w:r>
        <w:rPr>
          <w:szCs w:val="24"/>
        </w:rPr>
        <w:fldChar w:fldCharType="end"/>
      </w:r>
      <w:r w:rsidR="005860D5">
        <w:rPr>
          <w:rFonts w:hint="eastAsia"/>
          <w:szCs w:val="24"/>
        </w:rPr>
        <w:t>北翼井下爆炸物品库</w:t>
      </w:r>
    </w:p>
    <w:p w:rsidR="00C223F5" w:rsidRDefault="005860D5" w:rsidP="0064552A">
      <w:pPr>
        <w:pStyle w:val="aff1"/>
        <w:spacing w:line="360" w:lineRule="auto"/>
        <w:ind w:left="0" w:firstLineChars="200" w:firstLine="480"/>
        <w:rPr>
          <w:szCs w:val="24"/>
        </w:rPr>
      </w:pPr>
      <w:r>
        <w:rPr>
          <w:rFonts w:hint="eastAsia"/>
          <w:szCs w:val="24"/>
        </w:rPr>
        <w:t>位于北翼辅助运输大巷中部，采用壁槽式布置，距离主要巷道的法线距离大于</w:t>
      </w:r>
      <w:r>
        <w:rPr>
          <w:rFonts w:hint="eastAsia"/>
          <w:szCs w:val="24"/>
        </w:rPr>
        <w:t>60m</w:t>
      </w:r>
      <w:r>
        <w:rPr>
          <w:rFonts w:hint="eastAsia"/>
          <w:szCs w:val="24"/>
        </w:rPr>
        <w:t>，采用独立通风。</w:t>
      </w:r>
    </w:p>
    <w:p w:rsidR="00C223F5" w:rsidRDefault="000F32AE" w:rsidP="0064552A">
      <w:pPr>
        <w:pStyle w:val="aff1"/>
        <w:spacing w:line="360" w:lineRule="auto"/>
        <w:ind w:left="0" w:firstLineChars="200" w:firstLine="480"/>
        <w:rPr>
          <w:szCs w:val="24"/>
        </w:rPr>
      </w:pPr>
      <w:r>
        <w:rPr>
          <w:szCs w:val="24"/>
        </w:rPr>
        <w:fldChar w:fldCharType="begin"/>
      </w:r>
      <w:r w:rsidR="005860D5">
        <w:rPr>
          <w:rFonts w:hint="eastAsia"/>
          <w:szCs w:val="24"/>
        </w:rPr>
        <w:instrText>= 5 \* GB3</w:instrText>
      </w:r>
      <w:r>
        <w:rPr>
          <w:szCs w:val="24"/>
        </w:rPr>
        <w:fldChar w:fldCharType="separate"/>
      </w:r>
      <w:r w:rsidR="005860D5">
        <w:rPr>
          <w:rFonts w:hint="eastAsia"/>
          <w:szCs w:val="24"/>
        </w:rPr>
        <w:t>⑤</w:t>
      </w:r>
      <w:r>
        <w:rPr>
          <w:szCs w:val="24"/>
        </w:rPr>
        <w:fldChar w:fldCharType="end"/>
      </w:r>
      <w:r w:rsidR="005860D5">
        <w:rPr>
          <w:rFonts w:hint="eastAsia"/>
          <w:szCs w:val="24"/>
        </w:rPr>
        <w:t>北翼盘区变电所</w:t>
      </w:r>
    </w:p>
    <w:p w:rsidR="00C223F5" w:rsidRDefault="005860D5" w:rsidP="0064552A">
      <w:pPr>
        <w:pStyle w:val="aff1"/>
        <w:spacing w:line="360" w:lineRule="auto"/>
        <w:ind w:left="0" w:firstLineChars="200" w:firstLine="480"/>
        <w:rPr>
          <w:szCs w:val="24"/>
        </w:rPr>
      </w:pPr>
      <w:r>
        <w:rPr>
          <w:rFonts w:hint="eastAsia"/>
          <w:szCs w:val="24"/>
        </w:rPr>
        <w:t>位于北翼大巷中部，辅助运输大巷与带式输送机大巷之间，硐室长度</w:t>
      </w:r>
      <w:r>
        <w:rPr>
          <w:rFonts w:hint="eastAsia"/>
          <w:szCs w:val="24"/>
        </w:rPr>
        <w:t>35m</w:t>
      </w:r>
      <w:r>
        <w:rPr>
          <w:rFonts w:hint="eastAsia"/>
          <w:szCs w:val="24"/>
        </w:rPr>
        <w:t>，净宽</w:t>
      </w:r>
      <w:r>
        <w:rPr>
          <w:rFonts w:hint="eastAsia"/>
          <w:szCs w:val="24"/>
        </w:rPr>
        <w:t>5.0m</w:t>
      </w:r>
      <w:r>
        <w:rPr>
          <w:rFonts w:hint="eastAsia"/>
          <w:szCs w:val="24"/>
        </w:rPr>
        <w:t>，净高</w:t>
      </w:r>
      <w:r>
        <w:rPr>
          <w:rFonts w:hint="eastAsia"/>
          <w:szCs w:val="24"/>
        </w:rPr>
        <w:t>2.5m</w:t>
      </w:r>
      <w:r>
        <w:rPr>
          <w:rFonts w:hint="eastAsia"/>
          <w:szCs w:val="24"/>
        </w:rPr>
        <w:t>，采用矩形断面，锚网喷支护，采用独立通风。</w:t>
      </w:r>
    </w:p>
    <w:p w:rsidR="00C223F5" w:rsidRDefault="005860D5" w:rsidP="0064552A">
      <w:pPr>
        <w:pStyle w:val="aff1"/>
        <w:spacing w:line="360" w:lineRule="auto"/>
        <w:ind w:left="0" w:firstLineChars="200" w:firstLine="480"/>
        <w:rPr>
          <w:szCs w:val="24"/>
        </w:rPr>
      </w:pPr>
      <w:r>
        <w:rPr>
          <w:rFonts w:hint="eastAsia"/>
          <w:szCs w:val="24"/>
        </w:rPr>
        <w:t>以上各硐室均采用锚喷或混凝土砌碹等不燃性材料支护。</w:t>
      </w:r>
    </w:p>
    <w:p w:rsidR="00C223F5" w:rsidRDefault="005860D5" w:rsidP="00C006A7">
      <w:pPr>
        <w:spacing w:line="360" w:lineRule="auto"/>
        <w:ind w:firstLineChars="200" w:firstLine="482"/>
        <w:rPr>
          <w:b/>
          <w:sz w:val="24"/>
        </w:rPr>
      </w:pPr>
      <w:r>
        <w:rPr>
          <w:rFonts w:hint="eastAsia"/>
          <w:b/>
          <w:sz w:val="24"/>
        </w:rPr>
        <w:t>（八）</w:t>
      </w:r>
      <w:r>
        <w:rPr>
          <w:b/>
          <w:sz w:val="24"/>
        </w:rPr>
        <w:t>井下运输</w:t>
      </w:r>
    </w:p>
    <w:p w:rsidR="00C223F5" w:rsidRDefault="005860D5" w:rsidP="0064552A">
      <w:pPr>
        <w:spacing w:line="360" w:lineRule="auto"/>
        <w:ind w:firstLineChars="200" w:firstLine="480"/>
        <w:rPr>
          <w:sz w:val="24"/>
        </w:rPr>
      </w:pPr>
      <w:r>
        <w:rPr>
          <w:rFonts w:hint="eastAsia"/>
          <w:sz w:val="24"/>
        </w:rPr>
        <w:t>井下煤炭运输系统：</w:t>
      </w:r>
      <w:r>
        <w:rPr>
          <w:rFonts w:hint="eastAsia"/>
          <w:sz w:val="24"/>
        </w:rPr>
        <w:t>41102</w:t>
      </w:r>
      <w:r>
        <w:rPr>
          <w:rFonts w:hint="eastAsia"/>
          <w:sz w:val="24"/>
        </w:rPr>
        <w:t>综采工作面来煤→</w:t>
      </w:r>
      <w:r>
        <w:rPr>
          <w:rFonts w:hint="eastAsia"/>
          <w:sz w:val="24"/>
        </w:rPr>
        <w:t>41102</w:t>
      </w:r>
      <w:r>
        <w:rPr>
          <w:rFonts w:hint="eastAsia"/>
          <w:sz w:val="24"/>
        </w:rPr>
        <w:t>工作面带式输送机→北翼大巷带式输送机→主斜井带式输送机→地面。</w:t>
      </w:r>
    </w:p>
    <w:p w:rsidR="00C223F5" w:rsidRDefault="005860D5" w:rsidP="0064552A">
      <w:pPr>
        <w:spacing w:line="360" w:lineRule="auto"/>
        <w:ind w:firstLineChars="200" w:firstLine="480"/>
        <w:rPr>
          <w:sz w:val="24"/>
        </w:rPr>
      </w:pPr>
      <w:r>
        <w:rPr>
          <w:rFonts w:hint="eastAsia"/>
          <w:sz w:val="24"/>
        </w:rPr>
        <w:t>井下辅助运输系统由副斜井、北翼辅助运输大巷、采煤工作面回风巷（兼辅助运输巷）、各掘进工作面巷道组成，采用防爆低污染柴油机无轨胶轮车从矿井工业场地到井下各工作面直达运输。</w:t>
      </w:r>
    </w:p>
    <w:p w:rsidR="00C223F5" w:rsidRDefault="005860D5" w:rsidP="00C006A7">
      <w:pPr>
        <w:spacing w:line="360" w:lineRule="auto"/>
        <w:ind w:firstLineChars="200" w:firstLine="482"/>
        <w:rPr>
          <w:b/>
          <w:sz w:val="24"/>
        </w:rPr>
      </w:pPr>
      <w:r>
        <w:rPr>
          <w:rFonts w:hint="eastAsia"/>
          <w:b/>
          <w:sz w:val="24"/>
        </w:rPr>
        <w:t>（九）矿井防灭火系统</w:t>
      </w:r>
    </w:p>
    <w:p w:rsidR="00C223F5" w:rsidRDefault="005860D5" w:rsidP="0064552A">
      <w:pPr>
        <w:spacing w:line="360" w:lineRule="auto"/>
        <w:ind w:firstLineChars="200" w:firstLine="480"/>
        <w:rPr>
          <w:sz w:val="24"/>
        </w:rPr>
      </w:pPr>
      <w:r>
        <w:rPr>
          <w:rFonts w:ascii="宋体" w:hAnsi="宋体"/>
          <w:sz w:val="24"/>
        </w:rPr>
        <w:t>矿井煤层为自燃煤层，</w:t>
      </w:r>
      <w:r>
        <w:rPr>
          <w:rFonts w:ascii="宋体" w:hAnsi="宋体" w:hint="eastAsia"/>
          <w:sz w:val="24"/>
        </w:rPr>
        <w:t>设计采取以灌浆防灭火为主，注氮和喷洒阻化剂为辅的综</w:t>
      </w:r>
      <w:r>
        <w:rPr>
          <w:rFonts w:hAnsi="宋体"/>
          <w:sz w:val="24"/>
        </w:rPr>
        <w:t>合防灭火措施，同时井上下建立相应的防灭火系统和安全监测、监控系统。</w:t>
      </w:r>
    </w:p>
    <w:p w:rsidR="00C223F5" w:rsidRDefault="000F32AE" w:rsidP="0064552A">
      <w:pPr>
        <w:spacing w:line="360" w:lineRule="auto"/>
        <w:ind w:firstLineChars="200" w:firstLine="480"/>
        <w:rPr>
          <w:sz w:val="24"/>
        </w:rPr>
      </w:pPr>
      <w:r>
        <w:rPr>
          <w:sz w:val="24"/>
        </w:rPr>
        <w:fldChar w:fldCharType="begin"/>
      </w:r>
      <w:r w:rsidR="005860D5">
        <w:rPr>
          <w:sz w:val="24"/>
        </w:rPr>
        <w:instrText xml:space="preserve"> = 1 \* GB3 </w:instrText>
      </w:r>
      <w:r>
        <w:rPr>
          <w:sz w:val="24"/>
        </w:rPr>
        <w:fldChar w:fldCharType="separate"/>
      </w:r>
      <w:r w:rsidR="005860D5">
        <w:rPr>
          <w:sz w:val="24"/>
        </w:rPr>
        <w:t>①</w:t>
      </w:r>
      <w:r>
        <w:rPr>
          <w:sz w:val="24"/>
        </w:rPr>
        <w:fldChar w:fldCharType="end"/>
      </w:r>
      <w:r w:rsidR="005860D5">
        <w:rPr>
          <w:rFonts w:hAnsi="宋体"/>
          <w:sz w:val="24"/>
        </w:rPr>
        <w:t>灌浆防灭火</w:t>
      </w:r>
    </w:p>
    <w:p w:rsidR="00C223F5" w:rsidRDefault="005860D5">
      <w:pPr>
        <w:pStyle w:val="aff1"/>
        <w:tabs>
          <w:tab w:val="clear" w:pos="5781"/>
        </w:tabs>
        <w:spacing w:line="360" w:lineRule="auto"/>
        <w:ind w:left="0" w:firstLineChars="200" w:firstLine="480"/>
        <w:rPr>
          <w:szCs w:val="24"/>
        </w:rPr>
      </w:pPr>
      <w:r>
        <w:t>本矿井采用地面集中灌浆系统，采用埋管灌浆和工作面采完后密闭灌浆。在工业场地主斜井井口东部约</w:t>
      </w:r>
      <w:r>
        <w:t>80m</w:t>
      </w:r>
      <w:r>
        <w:t>处设置灌浆站。矿井灌浆站主要采用准备班灌浆</w:t>
      </w:r>
      <w:r>
        <w:t xml:space="preserve">, </w:t>
      </w:r>
      <w:r>
        <w:t>日纯灌浆时间为</w:t>
      </w:r>
      <w:r>
        <w:t>7h</w:t>
      </w:r>
      <w:r>
        <w:t>，灌浆系统灌浆量为</w:t>
      </w:r>
      <w:r>
        <w:t>210m</w:t>
      </w:r>
      <w:r>
        <w:rPr>
          <w:vertAlign w:val="superscript"/>
        </w:rPr>
        <w:t>3</w:t>
      </w:r>
      <w:r>
        <w:t>/d</w:t>
      </w:r>
      <w:r>
        <w:t>，灌浆用水量为</w:t>
      </w:r>
      <w:r>
        <w:t>173m</w:t>
      </w:r>
      <w:r>
        <w:rPr>
          <w:vertAlign w:val="superscript"/>
        </w:rPr>
        <w:t>3</w:t>
      </w:r>
      <w:r>
        <w:t>/d</w:t>
      </w:r>
      <w:r>
        <w:t>，</w:t>
      </w:r>
      <w:r>
        <w:rPr>
          <w:szCs w:val="24"/>
        </w:rPr>
        <w:t>泥浆的泥水比为</w:t>
      </w:r>
      <w:r>
        <w:rPr>
          <w:szCs w:val="24"/>
        </w:rPr>
        <w:t>1</w:t>
      </w:r>
      <w:r>
        <w:rPr>
          <w:szCs w:val="24"/>
        </w:rPr>
        <w:t>：</w:t>
      </w:r>
      <w:r>
        <w:rPr>
          <w:szCs w:val="24"/>
        </w:rPr>
        <w:t>4</w:t>
      </w:r>
      <w:r>
        <w:rPr>
          <w:szCs w:val="24"/>
        </w:rPr>
        <w:t>，所用水为处理后的矿井水，所需黄土为</w:t>
      </w:r>
      <w:r>
        <w:t>外购商品土的形式</w:t>
      </w:r>
      <w:r>
        <w:rPr>
          <w:szCs w:val="24"/>
        </w:rPr>
        <w:t>（见附</w:t>
      </w:r>
      <w:r>
        <w:rPr>
          <w:szCs w:val="24"/>
        </w:rPr>
        <w:lastRenderedPageBreak/>
        <w:t>件</w:t>
      </w:r>
      <w:r w:rsidR="002F2A2D">
        <w:rPr>
          <w:rFonts w:hint="eastAsia"/>
          <w:szCs w:val="24"/>
        </w:rPr>
        <w:t>8</w:t>
      </w:r>
      <w:r>
        <w:rPr>
          <w:szCs w:val="24"/>
        </w:rPr>
        <w:t>），</w:t>
      </w:r>
      <w:r>
        <w:t>目前该矿已与魏家楼</w:t>
      </w:r>
      <w:r>
        <w:rPr>
          <w:rFonts w:hint="eastAsia"/>
        </w:rPr>
        <w:t>镇王家峁村</w:t>
      </w:r>
      <w:r>
        <w:t>签订了用土协议，矿方所付商品土价中含有取土场的生态恢复费用。</w:t>
      </w:r>
    </w:p>
    <w:p w:rsidR="00C223F5" w:rsidRPr="009601E3" w:rsidRDefault="005860D5">
      <w:pPr>
        <w:spacing w:line="360" w:lineRule="auto"/>
        <w:ind w:firstLineChars="200" w:firstLine="480"/>
        <w:rPr>
          <w:color w:val="FF0000"/>
          <w:sz w:val="24"/>
        </w:rPr>
      </w:pPr>
      <w:r>
        <w:rPr>
          <w:sz w:val="24"/>
        </w:rPr>
        <w:t>黄泥制浆站设立围墙与其它生产系统分隔；环评要</w:t>
      </w:r>
      <w:r w:rsidRPr="009601E3">
        <w:rPr>
          <w:color w:val="FF0000"/>
          <w:sz w:val="24"/>
        </w:rPr>
        <w:t>求所用的黄土应在</w:t>
      </w:r>
      <w:r w:rsidR="009601E3" w:rsidRPr="009601E3">
        <w:rPr>
          <w:color w:val="FF0000"/>
          <w:sz w:val="24"/>
        </w:rPr>
        <w:t>场地内</w:t>
      </w:r>
      <w:r w:rsidR="009601E3" w:rsidRPr="009601E3">
        <w:rPr>
          <w:rFonts w:hint="eastAsia"/>
          <w:color w:val="FF0000"/>
          <w:kern w:val="0"/>
          <w:position w:val="-1"/>
          <w:sz w:val="24"/>
        </w:rPr>
        <w:t>封闭储棚中</w:t>
      </w:r>
      <w:r w:rsidR="009601E3" w:rsidRPr="009601E3">
        <w:rPr>
          <w:color w:val="FF0000"/>
          <w:sz w:val="24"/>
        </w:rPr>
        <w:t>进行集中堆放</w:t>
      </w:r>
      <w:r w:rsidRPr="009601E3">
        <w:rPr>
          <w:color w:val="FF0000"/>
          <w:sz w:val="24"/>
        </w:rPr>
        <w:t>。</w:t>
      </w:r>
    </w:p>
    <w:p w:rsidR="00C223F5" w:rsidRDefault="000F32AE">
      <w:pPr>
        <w:pStyle w:val="aff1"/>
        <w:tabs>
          <w:tab w:val="clear" w:pos="5781"/>
        </w:tabs>
        <w:adjustRightInd w:val="0"/>
        <w:snapToGrid w:val="0"/>
        <w:spacing w:line="360" w:lineRule="auto"/>
        <w:ind w:left="0" w:firstLineChars="200" w:firstLine="480"/>
        <w:rPr>
          <w:rFonts w:hAnsi="宋体"/>
        </w:rPr>
      </w:pPr>
      <w:r>
        <w:rPr>
          <w:rFonts w:hAnsi="宋体"/>
        </w:rPr>
        <w:fldChar w:fldCharType="begin"/>
      </w:r>
      <w:r w:rsidR="005860D5">
        <w:rPr>
          <w:rFonts w:hAnsi="宋体" w:hint="eastAsia"/>
        </w:rPr>
        <w:instrText>= 2 \* GB3</w:instrText>
      </w:r>
      <w:r>
        <w:rPr>
          <w:rFonts w:hAnsi="宋体"/>
        </w:rPr>
        <w:fldChar w:fldCharType="separate"/>
      </w:r>
      <w:r w:rsidR="005860D5">
        <w:rPr>
          <w:rFonts w:hAnsi="宋体" w:hint="eastAsia"/>
        </w:rPr>
        <w:t>②</w:t>
      </w:r>
      <w:r>
        <w:rPr>
          <w:rFonts w:hAnsi="宋体"/>
        </w:rPr>
        <w:fldChar w:fldCharType="end"/>
      </w:r>
      <w:r w:rsidR="005860D5">
        <w:rPr>
          <w:rFonts w:hAnsi="宋体" w:hint="eastAsia"/>
        </w:rPr>
        <w:t>注氮防灭火</w:t>
      </w:r>
    </w:p>
    <w:p w:rsidR="00C223F5" w:rsidRDefault="005860D5" w:rsidP="0064552A">
      <w:pPr>
        <w:pStyle w:val="aff1"/>
        <w:tabs>
          <w:tab w:val="clear" w:pos="5781"/>
        </w:tabs>
        <w:adjustRightInd w:val="0"/>
        <w:snapToGrid w:val="0"/>
        <w:spacing w:line="360" w:lineRule="auto"/>
        <w:ind w:left="0" w:firstLineChars="200" w:firstLine="480"/>
        <w:rPr>
          <w:rFonts w:hAnsi="宋体"/>
        </w:rPr>
      </w:pPr>
      <w:r>
        <w:rPr>
          <w:rFonts w:hAnsi="宋体" w:hint="eastAsia"/>
        </w:rPr>
        <w:t>矿井选用井下移动式碳分子筛变压吸附制氮设备，冷却方式为风冷式，</w:t>
      </w:r>
      <w:r>
        <w:rPr>
          <w:rFonts w:hAnsi="宋体"/>
        </w:rPr>
        <w:t>井下</w:t>
      </w:r>
      <w:r>
        <w:rPr>
          <w:rFonts w:hAnsi="宋体" w:hint="eastAsia"/>
        </w:rPr>
        <w:t>设置</w:t>
      </w:r>
      <w:r>
        <w:rPr>
          <w:rFonts w:hAnsi="宋体" w:hint="eastAsia"/>
        </w:rPr>
        <w:t>3</w:t>
      </w:r>
      <w:r>
        <w:rPr>
          <w:rFonts w:hAnsi="宋体"/>
        </w:rPr>
        <w:t>套</w:t>
      </w:r>
      <w:r>
        <w:rPr>
          <w:rFonts w:hAnsi="宋体"/>
        </w:rPr>
        <w:t>D</w:t>
      </w:r>
      <w:r>
        <w:rPr>
          <w:rFonts w:hAnsi="宋体" w:hint="eastAsia"/>
        </w:rPr>
        <w:t>T-6</w:t>
      </w:r>
      <w:r>
        <w:rPr>
          <w:rFonts w:hAnsi="宋体"/>
        </w:rPr>
        <w:t>00</w:t>
      </w:r>
      <w:r>
        <w:rPr>
          <w:rFonts w:hAnsi="宋体"/>
        </w:rPr>
        <w:t>型井下移动式</w:t>
      </w:r>
      <w:r>
        <w:rPr>
          <w:rFonts w:hAnsi="宋体" w:hint="eastAsia"/>
        </w:rPr>
        <w:t>PSA</w:t>
      </w:r>
      <w:r>
        <w:rPr>
          <w:rFonts w:hAnsi="宋体" w:hint="eastAsia"/>
        </w:rPr>
        <w:t>碳分子筛变压吸附制氮装置，</w:t>
      </w:r>
      <w:r>
        <w:rPr>
          <w:rFonts w:hAnsi="宋体" w:hint="eastAsia"/>
        </w:rPr>
        <w:t>2</w:t>
      </w:r>
      <w:r>
        <w:rPr>
          <w:rFonts w:hAnsi="宋体" w:hint="eastAsia"/>
        </w:rPr>
        <w:t>台工作，</w:t>
      </w:r>
      <w:r>
        <w:rPr>
          <w:rFonts w:hAnsi="宋体" w:hint="eastAsia"/>
        </w:rPr>
        <w:t>1</w:t>
      </w:r>
      <w:r>
        <w:rPr>
          <w:rFonts w:hAnsi="宋体" w:hint="eastAsia"/>
        </w:rPr>
        <w:t>台备用，每套制氮装置氮气产量</w:t>
      </w:r>
      <w:r>
        <w:rPr>
          <w:rFonts w:hAnsi="宋体" w:hint="eastAsia"/>
        </w:rPr>
        <w:t>600 Nm</w:t>
      </w:r>
      <w:r>
        <w:rPr>
          <w:rFonts w:hAnsi="宋体" w:hint="eastAsia"/>
          <w:vertAlign w:val="superscript"/>
        </w:rPr>
        <w:t>3</w:t>
      </w:r>
      <w:r>
        <w:rPr>
          <w:rFonts w:hAnsi="宋体" w:hint="eastAsia"/>
        </w:rPr>
        <w:t>/h</w:t>
      </w:r>
      <w:r>
        <w:rPr>
          <w:rFonts w:hAnsi="宋体" w:hint="eastAsia"/>
        </w:rPr>
        <w:t>，</w:t>
      </w:r>
      <w:r>
        <w:rPr>
          <w:rFonts w:hAnsi="宋体"/>
        </w:rPr>
        <w:t>制氮设备放置于靠近综采工作面运输巷道口的</w:t>
      </w:r>
      <w:r>
        <w:rPr>
          <w:rFonts w:hAnsi="宋体" w:hint="eastAsia"/>
        </w:rPr>
        <w:t>北翼带式输送机大巷和北翼辅助运输大巷的联络巷内</w:t>
      </w:r>
      <w:r>
        <w:rPr>
          <w:rFonts w:hAnsi="宋体"/>
        </w:rPr>
        <w:t>，通过输氮管路将氮气送至采煤工作面。</w:t>
      </w:r>
    </w:p>
    <w:p w:rsidR="00C223F5" w:rsidRDefault="005860D5" w:rsidP="00C006A7">
      <w:pPr>
        <w:pStyle w:val="aff1"/>
        <w:tabs>
          <w:tab w:val="clear" w:pos="5781"/>
        </w:tabs>
        <w:adjustRightInd w:val="0"/>
        <w:snapToGrid w:val="0"/>
        <w:spacing w:line="360" w:lineRule="auto"/>
        <w:ind w:left="0" w:firstLineChars="200" w:firstLine="482"/>
        <w:rPr>
          <w:rFonts w:hAnsi="宋体"/>
          <w:b/>
        </w:rPr>
      </w:pPr>
      <w:r>
        <w:rPr>
          <w:rFonts w:hAnsi="宋体" w:hint="eastAsia"/>
          <w:b/>
        </w:rPr>
        <w:t>（十）矿井</w:t>
      </w:r>
      <w:r>
        <w:rPr>
          <w:rFonts w:hAnsi="宋体"/>
          <w:b/>
        </w:rPr>
        <w:t>压缩空气系统</w:t>
      </w:r>
    </w:p>
    <w:p w:rsidR="00C223F5" w:rsidRDefault="005860D5" w:rsidP="0064552A">
      <w:pPr>
        <w:pStyle w:val="aff1"/>
        <w:tabs>
          <w:tab w:val="clear" w:pos="5781"/>
        </w:tabs>
        <w:adjustRightInd w:val="0"/>
        <w:snapToGrid w:val="0"/>
        <w:spacing w:line="360" w:lineRule="auto"/>
        <w:ind w:left="0" w:firstLineChars="200" w:firstLine="480"/>
        <w:rPr>
          <w:rFonts w:hAnsi="宋体"/>
        </w:rPr>
      </w:pPr>
      <w:r>
        <w:rPr>
          <w:rFonts w:hAnsi="宋体" w:hint="eastAsia"/>
        </w:rPr>
        <w:t>在矿井工业场地建空压机站一座，选用地面固定式压缩空气设备，选用</w:t>
      </w:r>
      <w:r>
        <w:rPr>
          <w:rFonts w:hAnsi="宋体" w:hint="eastAsia"/>
        </w:rPr>
        <w:t>4</w:t>
      </w:r>
      <w:r>
        <w:rPr>
          <w:rFonts w:hAnsi="宋体" w:hint="eastAsia"/>
        </w:rPr>
        <w:t>台</w:t>
      </w:r>
      <w:r>
        <w:rPr>
          <w:rFonts w:hAnsi="宋体" w:hint="eastAsia"/>
        </w:rPr>
        <w:t>UDT185-8</w:t>
      </w:r>
      <w:r>
        <w:rPr>
          <w:rFonts w:hAnsi="宋体" w:hint="eastAsia"/>
        </w:rPr>
        <w:t>型螺杆空气压缩机，</w:t>
      </w:r>
      <w:r>
        <w:rPr>
          <w:rFonts w:hAnsi="宋体" w:hint="eastAsia"/>
        </w:rPr>
        <w:t>3</w:t>
      </w:r>
      <w:r>
        <w:rPr>
          <w:rFonts w:hAnsi="宋体" w:hint="eastAsia"/>
        </w:rPr>
        <w:t>台工作，</w:t>
      </w:r>
      <w:r>
        <w:rPr>
          <w:rFonts w:hAnsi="宋体" w:hint="eastAsia"/>
        </w:rPr>
        <w:t>1</w:t>
      </w:r>
      <w:r>
        <w:rPr>
          <w:rFonts w:hAnsi="宋体" w:hint="eastAsia"/>
        </w:rPr>
        <w:t>台备用，</w:t>
      </w:r>
      <w:r>
        <w:rPr>
          <w:rFonts w:hAnsi="宋体" w:hint="eastAsia"/>
        </w:rPr>
        <w:t>3</w:t>
      </w:r>
      <w:r>
        <w:rPr>
          <w:rFonts w:hAnsi="宋体" w:hint="eastAsia"/>
        </w:rPr>
        <w:t>台空气压缩机供气量</w:t>
      </w:r>
      <w:r>
        <w:rPr>
          <w:rFonts w:hAnsi="宋体" w:hint="eastAsia"/>
        </w:rPr>
        <w:t>113.4m</w:t>
      </w:r>
      <w:r>
        <w:rPr>
          <w:rFonts w:hAnsi="宋体" w:hint="eastAsia"/>
          <w:vertAlign w:val="superscript"/>
        </w:rPr>
        <w:t>3</w:t>
      </w:r>
      <w:r>
        <w:rPr>
          <w:rFonts w:hAnsi="宋体" w:hint="eastAsia"/>
        </w:rPr>
        <w:t>/min</w:t>
      </w:r>
      <w:r>
        <w:rPr>
          <w:rFonts w:hAnsi="宋体" w:hint="eastAsia"/>
        </w:rPr>
        <w:t>，能够满足井下生产和压风自救供气要求。</w:t>
      </w:r>
    </w:p>
    <w:p w:rsidR="00C223F5" w:rsidRDefault="005860D5" w:rsidP="0064552A">
      <w:pPr>
        <w:pStyle w:val="aff1"/>
        <w:tabs>
          <w:tab w:val="clear" w:pos="5781"/>
        </w:tabs>
        <w:adjustRightInd w:val="0"/>
        <w:snapToGrid w:val="0"/>
        <w:spacing w:line="360" w:lineRule="auto"/>
        <w:ind w:left="0" w:firstLineChars="200" w:firstLine="480"/>
        <w:rPr>
          <w:rFonts w:hAnsi="宋体"/>
        </w:rPr>
      </w:pPr>
      <w:r>
        <w:rPr>
          <w:rFonts w:hAnsi="宋体" w:hint="eastAsia"/>
        </w:rPr>
        <w:t>压缩空气干管选用φ</w:t>
      </w:r>
      <w:r>
        <w:rPr>
          <w:rFonts w:hAnsi="宋体"/>
        </w:rPr>
        <w:t>2</w:t>
      </w:r>
      <w:r>
        <w:rPr>
          <w:rFonts w:hAnsi="宋体" w:hint="eastAsia"/>
        </w:rPr>
        <w:t>73</w:t>
      </w:r>
      <w:r>
        <w:rPr>
          <w:rFonts w:hAnsi="宋体" w:hint="eastAsia"/>
        </w:rPr>
        <w:t>×</w:t>
      </w:r>
      <w:r>
        <w:rPr>
          <w:rFonts w:hAnsi="宋体" w:hint="eastAsia"/>
        </w:rPr>
        <w:t>7</w:t>
      </w:r>
      <w:r>
        <w:rPr>
          <w:rFonts w:hAnsi="宋体" w:hint="eastAsia"/>
        </w:rPr>
        <w:t>无缝钢管，沿主斜井、北翼带式输送机大巷敷设一趟；掘进工作面支管</w:t>
      </w:r>
      <w:r>
        <w:rPr>
          <w:rFonts w:hAnsi="宋体" w:hint="eastAsia"/>
        </w:rPr>
        <w:t>1</w:t>
      </w:r>
      <w:r>
        <w:rPr>
          <w:rFonts w:hAnsi="宋体" w:hint="eastAsia"/>
        </w:rPr>
        <w:t>选用φ</w:t>
      </w:r>
      <w:r>
        <w:rPr>
          <w:rFonts w:hAnsi="宋体" w:hint="eastAsia"/>
        </w:rPr>
        <w:t>219</w:t>
      </w:r>
      <w:r>
        <w:rPr>
          <w:rFonts w:hAnsi="宋体" w:hint="eastAsia"/>
        </w:rPr>
        <w:t>×</w:t>
      </w:r>
      <w:r>
        <w:rPr>
          <w:rFonts w:hAnsi="宋体" w:hint="eastAsia"/>
        </w:rPr>
        <w:t>6</w:t>
      </w:r>
      <w:r>
        <w:rPr>
          <w:rFonts w:hAnsi="宋体" w:hint="eastAsia"/>
        </w:rPr>
        <w:t>无缝钢管，分别沿掘进工作面各巷道敷设一趟；压风自救支管</w:t>
      </w:r>
      <w:r>
        <w:rPr>
          <w:rFonts w:hAnsi="宋体" w:hint="eastAsia"/>
        </w:rPr>
        <w:t>2</w:t>
      </w:r>
      <w:r>
        <w:rPr>
          <w:rFonts w:hAnsi="宋体" w:hint="eastAsia"/>
        </w:rPr>
        <w:t>选用φ</w:t>
      </w:r>
      <w:r>
        <w:rPr>
          <w:rFonts w:hAnsi="宋体"/>
        </w:rPr>
        <w:t>108</w:t>
      </w:r>
      <w:r>
        <w:rPr>
          <w:rFonts w:hAnsi="宋体" w:hint="eastAsia"/>
        </w:rPr>
        <w:t>×</w:t>
      </w:r>
      <w:r>
        <w:rPr>
          <w:rFonts w:hAnsi="宋体"/>
        </w:rPr>
        <w:t>4</w:t>
      </w:r>
      <w:r>
        <w:rPr>
          <w:rFonts w:hAnsi="宋体" w:hint="eastAsia"/>
        </w:rPr>
        <w:t>无缝钢管，分别沿综采工作面各巷道、北翼辅助运输大巷和北翼回风大巷等采区避灾线路巷道各敷设一趟。</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195" w:name="_Toc533604289"/>
      <w:bookmarkStart w:id="196" w:name="_Toc533604709"/>
      <w:bookmarkStart w:id="197" w:name="_Toc16785254"/>
      <w:r>
        <w:rPr>
          <w:rFonts w:eastAsia="宋体" w:hint="eastAsia"/>
          <w:b/>
          <w:bCs w:val="0"/>
          <w:sz w:val="28"/>
          <w:szCs w:val="28"/>
        </w:rPr>
        <w:t>2.2.2</w:t>
      </w:r>
      <w:r>
        <w:rPr>
          <w:rFonts w:eastAsia="宋体" w:hint="eastAsia"/>
          <w:b/>
          <w:bCs w:val="0"/>
          <w:sz w:val="28"/>
          <w:szCs w:val="28"/>
        </w:rPr>
        <w:t>矿井通风</w:t>
      </w:r>
      <w:bookmarkEnd w:id="195"/>
      <w:bookmarkEnd w:id="196"/>
      <w:bookmarkEnd w:id="197"/>
    </w:p>
    <w:p w:rsidR="00C223F5" w:rsidRDefault="005860D5">
      <w:pPr>
        <w:pStyle w:val="aff1"/>
        <w:tabs>
          <w:tab w:val="clear" w:pos="5781"/>
        </w:tabs>
        <w:adjustRightInd w:val="0"/>
        <w:snapToGrid w:val="0"/>
        <w:spacing w:line="360" w:lineRule="auto"/>
        <w:ind w:left="0" w:firstLineChars="200" w:firstLine="480"/>
        <w:rPr>
          <w:rFonts w:hAnsi="宋体"/>
        </w:rPr>
      </w:pPr>
      <w:r>
        <w:t>矿井采用并列抽出式通风，</w:t>
      </w:r>
      <w:r>
        <w:rPr>
          <w:rFonts w:hAnsi="宋体"/>
        </w:rPr>
        <w:t>矿井移交投产时共有四条井筒，其中主斜井、副斜井为进风井，服务于全矿井；回风立井和回风暗立井为回风井，服务于矿井北翼的一、二、四、五盘区</w:t>
      </w:r>
      <w:r>
        <w:t>,</w:t>
      </w:r>
      <w:r>
        <w:rPr>
          <w:rFonts w:hAnsi="宋体"/>
        </w:rPr>
        <w:t>服务年限约为第</w:t>
      </w:r>
      <w:r>
        <w:t>1</w:t>
      </w:r>
      <w:r>
        <w:rPr>
          <w:rFonts w:hAnsi="宋体"/>
        </w:rPr>
        <w:t>～</w:t>
      </w:r>
      <w:r>
        <w:t>33a</w:t>
      </w:r>
      <w:r>
        <w:rPr>
          <w:rFonts w:hAnsi="宋体"/>
        </w:rPr>
        <w:t>。矿井后期在井田南部</w:t>
      </w:r>
      <w:r>
        <w:t>ZK609</w:t>
      </w:r>
      <w:r>
        <w:rPr>
          <w:rFonts w:hAnsi="宋体"/>
        </w:rPr>
        <w:t>钻孔附近新建南翼风井场地，布置一对进、回风立井，服务于矿井南翼的三、六、七盘区，服务年限约为第</w:t>
      </w:r>
      <w:r>
        <w:t>12</w:t>
      </w:r>
      <w:r>
        <w:rPr>
          <w:rFonts w:hAnsi="宋体"/>
        </w:rPr>
        <w:t>～</w:t>
      </w:r>
      <w:r>
        <w:t>39a</w:t>
      </w:r>
      <w:r>
        <w:rPr>
          <w:rFonts w:hAnsi="宋体"/>
        </w:rPr>
        <w:t>；后期薄煤层搭配开采时，矿井通风系统为分区式通风（该风井场地不在本次评价范围内）。</w:t>
      </w:r>
    </w:p>
    <w:p w:rsidR="00C223F5" w:rsidRDefault="005860D5">
      <w:pPr>
        <w:pStyle w:val="aff1"/>
        <w:tabs>
          <w:tab w:val="clear" w:pos="5781"/>
        </w:tabs>
        <w:adjustRightInd w:val="0"/>
        <w:snapToGrid w:val="0"/>
        <w:spacing w:line="360" w:lineRule="auto"/>
        <w:ind w:left="0" w:firstLineChars="200" w:firstLine="480"/>
        <w:rPr>
          <w:rFonts w:hAnsi="宋体"/>
        </w:rPr>
      </w:pPr>
      <w:r>
        <w:rPr>
          <w:rFonts w:hAnsi="宋体"/>
        </w:rPr>
        <w:t>矿井总风量为</w:t>
      </w:r>
      <w:r>
        <w:rPr>
          <w:rFonts w:hAnsi="宋体" w:hint="eastAsia"/>
        </w:rPr>
        <w:t>110</w:t>
      </w:r>
      <w:r>
        <w:rPr>
          <w:rFonts w:hAnsi="宋体"/>
        </w:rPr>
        <w:t>m</w:t>
      </w:r>
      <w:r>
        <w:rPr>
          <w:rFonts w:hAnsi="宋体"/>
          <w:vertAlign w:val="superscript"/>
        </w:rPr>
        <w:t>3</w:t>
      </w:r>
      <w:r>
        <w:rPr>
          <w:rFonts w:hAnsi="宋体"/>
        </w:rPr>
        <w:t>/s</w:t>
      </w:r>
      <w:r>
        <w:rPr>
          <w:rFonts w:hAnsi="宋体"/>
        </w:rPr>
        <w:t>，</w:t>
      </w:r>
      <w:r>
        <w:rPr>
          <w:rFonts w:hAnsi="宋体" w:hint="eastAsia"/>
        </w:rPr>
        <w:t>通风容易</w:t>
      </w:r>
      <w:r>
        <w:rPr>
          <w:rFonts w:hAnsi="宋体"/>
        </w:rPr>
        <w:t>时期负压为</w:t>
      </w:r>
      <w:r>
        <w:rPr>
          <w:rFonts w:hAnsi="宋体" w:hint="eastAsia"/>
        </w:rPr>
        <w:t>1478</w:t>
      </w:r>
      <w:r>
        <w:rPr>
          <w:rFonts w:hAnsi="宋体"/>
        </w:rPr>
        <w:t>Pa</w:t>
      </w:r>
      <w:r>
        <w:rPr>
          <w:rFonts w:hAnsi="宋体" w:hint="eastAsia"/>
        </w:rPr>
        <w:t>，</w:t>
      </w:r>
      <w:r>
        <w:rPr>
          <w:rFonts w:hAnsi="宋体"/>
        </w:rPr>
        <w:t>通风困难时期负压为</w:t>
      </w:r>
      <w:r>
        <w:rPr>
          <w:rFonts w:hAnsi="宋体" w:hint="eastAsia"/>
        </w:rPr>
        <w:t>2851</w:t>
      </w:r>
      <w:r>
        <w:rPr>
          <w:rFonts w:hAnsi="宋体"/>
        </w:rPr>
        <w:t>Pa</w:t>
      </w:r>
      <w:r>
        <w:rPr>
          <w:rFonts w:hAnsi="宋体"/>
        </w:rPr>
        <w:t>。矿井投产时，</w:t>
      </w:r>
      <w:r>
        <w:rPr>
          <w:rFonts w:hAnsi="宋体" w:hint="eastAsia"/>
        </w:rPr>
        <w:t>在回风立井井口附近安装</w:t>
      </w:r>
      <w:r>
        <w:rPr>
          <w:rFonts w:hAnsi="宋体" w:hint="eastAsia"/>
        </w:rPr>
        <w:t>2</w:t>
      </w:r>
      <w:r>
        <w:rPr>
          <w:rFonts w:hAnsi="宋体" w:hint="eastAsia"/>
        </w:rPr>
        <w:t>台</w:t>
      </w:r>
      <w:r>
        <w:rPr>
          <w:rFonts w:hAnsi="宋体" w:hint="eastAsia"/>
        </w:rPr>
        <w:t>FBCDZ</w:t>
      </w:r>
      <w:r>
        <w:rPr>
          <w:rFonts w:hAnsi="宋体" w:hint="eastAsia"/>
        </w:rPr>
        <w:t>№</w:t>
      </w:r>
      <w:r>
        <w:rPr>
          <w:rFonts w:hAnsi="宋体" w:hint="eastAsia"/>
        </w:rPr>
        <w:t>30/315</w:t>
      </w:r>
      <w:r>
        <w:rPr>
          <w:rFonts w:hAnsi="宋体" w:hint="eastAsia"/>
        </w:rPr>
        <w:t>×</w:t>
      </w:r>
      <w:r>
        <w:rPr>
          <w:rFonts w:hAnsi="宋体" w:hint="eastAsia"/>
        </w:rPr>
        <w:t>2</w:t>
      </w:r>
      <w:r>
        <w:rPr>
          <w:rFonts w:hAnsi="宋体" w:hint="eastAsia"/>
        </w:rPr>
        <w:t>型防爆对旋轴流通风机，其中</w:t>
      </w:r>
      <w:r>
        <w:rPr>
          <w:rFonts w:hAnsi="宋体"/>
        </w:rPr>
        <w:t>1</w:t>
      </w:r>
      <w:r>
        <w:rPr>
          <w:rFonts w:hAnsi="宋体" w:hint="eastAsia"/>
        </w:rPr>
        <w:t>台工作，</w:t>
      </w:r>
      <w:r>
        <w:rPr>
          <w:rFonts w:hAnsi="宋体"/>
        </w:rPr>
        <w:t>1</w:t>
      </w:r>
      <w:r>
        <w:rPr>
          <w:rFonts w:hAnsi="宋体" w:hint="eastAsia"/>
        </w:rPr>
        <w:t>台备用。</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198" w:name="_Toc533604710"/>
      <w:bookmarkStart w:id="199" w:name="_Toc533604290"/>
      <w:bookmarkStart w:id="200" w:name="_Toc16785255"/>
      <w:r>
        <w:rPr>
          <w:rFonts w:eastAsia="宋体" w:hint="eastAsia"/>
          <w:b/>
          <w:bCs w:val="0"/>
          <w:sz w:val="28"/>
          <w:szCs w:val="28"/>
        </w:rPr>
        <w:lastRenderedPageBreak/>
        <w:t>2.2.3</w:t>
      </w:r>
      <w:r>
        <w:rPr>
          <w:rFonts w:eastAsia="宋体" w:hint="eastAsia"/>
          <w:b/>
          <w:bCs w:val="0"/>
          <w:sz w:val="28"/>
          <w:szCs w:val="28"/>
        </w:rPr>
        <w:t>矿井排水</w:t>
      </w:r>
      <w:bookmarkEnd w:id="198"/>
      <w:bookmarkEnd w:id="199"/>
      <w:bookmarkEnd w:id="200"/>
    </w:p>
    <w:p w:rsidR="00C223F5" w:rsidRDefault="005860D5">
      <w:pPr>
        <w:overflowPunct w:val="0"/>
        <w:snapToGrid w:val="0"/>
        <w:spacing w:line="360" w:lineRule="auto"/>
        <w:ind w:firstLineChars="200" w:firstLine="480"/>
        <w:rPr>
          <w:bCs/>
          <w:sz w:val="24"/>
        </w:rPr>
      </w:pPr>
      <w:r>
        <w:rPr>
          <w:rFonts w:hAnsi="宋体"/>
          <w:sz w:val="24"/>
        </w:rPr>
        <w:t>矿井</w:t>
      </w:r>
      <w:r>
        <w:rPr>
          <w:rFonts w:hAnsi="宋体"/>
          <w:spacing w:val="4"/>
          <w:sz w:val="24"/>
        </w:rPr>
        <w:t>井</w:t>
      </w:r>
      <w:r>
        <w:rPr>
          <w:rFonts w:hAnsi="宋体"/>
          <w:sz w:val="24"/>
        </w:rPr>
        <w:t>底</w:t>
      </w:r>
      <w:r>
        <w:rPr>
          <w:rFonts w:hAnsi="宋体"/>
          <w:spacing w:val="4"/>
          <w:sz w:val="24"/>
        </w:rPr>
        <w:t>主排水泵房及水仓位于副斜井井底附近</w:t>
      </w:r>
      <w:r>
        <w:rPr>
          <w:rFonts w:hAnsi="宋体" w:hint="eastAsia"/>
          <w:spacing w:val="4"/>
          <w:sz w:val="24"/>
        </w:rPr>
        <w:t>，</w:t>
      </w:r>
      <w:r>
        <w:rPr>
          <w:rFonts w:hAnsi="宋体"/>
          <w:spacing w:val="4"/>
          <w:sz w:val="24"/>
        </w:rPr>
        <w:t>矿井涌水由井底主排水泵房的水泵和敷设于管子道、主斜井的排水管路排至矿井工业场地的井下水处理站进行处理后复用，剩余部分排入蚂蚁河。</w:t>
      </w:r>
    </w:p>
    <w:p w:rsidR="00C223F5" w:rsidRDefault="005860D5">
      <w:pPr>
        <w:spacing w:line="360" w:lineRule="auto"/>
        <w:ind w:firstLineChars="200" w:firstLine="480"/>
        <w:rPr>
          <w:rFonts w:hAnsi="宋体"/>
          <w:sz w:val="24"/>
        </w:rPr>
      </w:pPr>
      <w:r>
        <w:rPr>
          <w:rFonts w:hAnsi="宋体"/>
          <w:sz w:val="24"/>
        </w:rPr>
        <w:t>矿井正常涌水量</w:t>
      </w:r>
      <w:r>
        <w:rPr>
          <w:rFonts w:hAnsi="宋体"/>
          <w:sz w:val="24"/>
        </w:rPr>
        <w:t>80m</w:t>
      </w:r>
      <w:r>
        <w:rPr>
          <w:rFonts w:hAnsi="宋体"/>
          <w:sz w:val="24"/>
          <w:vertAlign w:val="superscript"/>
        </w:rPr>
        <w:t>3</w:t>
      </w:r>
      <w:r>
        <w:rPr>
          <w:rFonts w:hAnsi="宋体"/>
          <w:sz w:val="24"/>
        </w:rPr>
        <w:t>/h</w:t>
      </w:r>
      <w:r>
        <w:rPr>
          <w:rFonts w:hAnsi="宋体"/>
          <w:sz w:val="24"/>
        </w:rPr>
        <w:t>、最大涌水量</w:t>
      </w:r>
      <w:r>
        <w:rPr>
          <w:rFonts w:hAnsi="宋体"/>
          <w:sz w:val="24"/>
        </w:rPr>
        <w:t>100m</w:t>
      </w:r>
      <w:r>
        <w:rPr>
          <w:rFonts w:hAnsi="宋体"/>
          <w:sz w:val="24"/>
          <w:vertAlign w:val="superscript"/>
        </w:rPr>
        <w:t>3</w:t>
      </w:r>
      <w:r>
        <w:rPr>
          <w:rFonts w:hAnsi="宋体"/>
          <w:sz w:val="24"/>
        </w:rPr>
        <w:t>/h</w:t>
      </w:r>
      <w:r>
        <w:rPr>
          <w:rFonts w:hAnsi="宋体"/>
          <w:sz w:val="24"/>
        </w:rPr>
        <w:t>（已考虑灌浆析出水量）。主排水泵选用</w:t>
      </w:r>
      <w:r>
        <w:rPr>
          <w:rFonts w:hAnsi="宋体"/>
          <w:sz w:val="24"/>
        </w:rPr>
        <w:t>3</w:t>
      </w:r>
      <w:r>
        <w:rPr>
          <w:rFonts w:hAnsi="宋体"/>
          <w:sz w:val="24"/>
        </w:rPr>
        <w:t>台</w:t>
      </w:r>
      <w:r>
        <w:rPr>
          <w:rFonts w:hAnsi="宋体"/>
          <w:sz w:val="24"/>
        </w:rPr>
        <w:t>MD155-30</w:t>
      </w:r>
      <w:r>
        <w:rPr>
          <w:rFonts w:hAnsi="宋体"/>
          <w:sz w:val="24"/>
        </w:rPr>
        <w:t>×</w:t>
      </w:r>
      <w:r>
        <w:rPr>
          <w:rFonts w:hAnsi="宋体"/>
          <w:sz w:val="24"/>
        </w:rPr>
        <w:t>9</w:t>
      </w:r>
      <w:r>
        <w:rPr>
          <w:rFonts w:hAnsi="宋体"/>
          <w:sz w:val="24"/>
        </w:rPr>
        <w:t>型矿用耐磨多级离心式水泵，设置φ</w:t>
      </w:r>
      <w:r>
        <w:rPr>
          <w:rFonts w:hAnsi="宋体"/>
          <w:sz w:val="24"/>
        </w:rPr>
        <w:t>219</w:t>
      </w:r>
      <w:r>
        <w:rPr>
          <w:rFonts w:hAnsi="宋体"/>
          <w:sz w:val="24"/>
        </w:rPr>
        <w:t>×</w:t>
      </w:r>
      <w:r>
        <w:rPr>
          <w:rFonts w:hAnsi="宋体"/>
          <w:sz w:val="24"/>
        </w:rPr>
        <w:t>8</w:t>
      </w:r>
      <w:r>
        <w:rPr>
          <w:rFonts w:hAnsi="宋体"/>
          <w:sz w:val="24"/>
        </w:rPr>
        <w:t>无缝钢管排水管路</w:t>
      </w:r>
      <w:r>
        <w:rPr>
          <w:rFonts w:hAnsi="宋体"/>
          <w:sz w:val="24"/>
        </w:rPr>
        <w:t>2</w:t>
      </w:r>
      <w:r>
        <w:rPr>
          <w:rFonts w:hAnsi="宋体"/>
          <w:sz w:val="24"/>
        </w:rPr>
        <w:t>趟，每台水泵选配</w:t>
      </w:r>
      <w:r>
        <w:rPr>
          <w:rFonts w:hAnsi="宋体"/>
          <w:sz w:val="24"/>
        </w:rPr>
        <w:t>YB3</w:t>
      </w:r>
      <w:r>
        <w:rPr>
          <w:rFonts w:hAnsi="宋体"/>
          <w:sz w:val="24"/>
        </w:rPr>
        <w:t>型隔爆电动机</w:t>
      </w:r>
      <w:r>
        <w:rPr>
          <w:rFonts w:hAnsi="宋体"/>
          <w:sz w:val="24"/>
        </w:rPr>
        <w:t>1</w:t>
      </w:r>
      <w:r>
        <w:rPr>
          <w:rFonts w:hAnsi="宋体"/>
          <w:sz w:val="24"/>
        </w:rPr>
        <w:t>台，功率</w:t>
      </w:r>
      <w:r>
        <w:rPr>
          <w:rFonts w:hAnsi="宋体"/>
          <w:sz w:val="24"/>
        </w:rPr>
        <w:t>200kW</w:t>
      </w:r>
      <w:r>
        <w:rPr>
          <w:rFonts w:hAnsi="宋体"/>
          <w:sz w:val="24"/>
        </w:rPr>
        <w:t>。</w:t>
      </w:r>
      <w:r>
        <w:rPr>
          <w:rFonts w:hAnsi="宋体" w:hint="eastAsia"/>
          <w:sz w:val="24"/>
        </w:rPr>
        <w:t>矿井正常涌水量和最大涌水量均为</w:t>
      </w:r>
      <w:r>
        <w:rPr>
          <w:rFonts w:hAnsi="宋体" w:hint="eastAsia"/>
          <w:sz w:val="24"/>
        </w:rPr>
        <w:t>1</w:t>
      </w:r>
      <w:r>
        <w:rPr>
          <w:rFonts w:hAnsi="宋体" w:hint="eastAsia"/>
          <w:sz w:val="24"/>
        </w:rPr>
        <w:t>台水泵工作、</w:t>
      </w:r>
      <w:r>
        <w:rPr>
          <w:rFonts w:hAnsi="宋体" w:hint="eastAsia"/>
          <w:sz w:val="24"/>
        </w:rPr>
        <w:t>1</w:t>
      </w:r>
      <w:r>
        <w:rPr>
          <w:rFonts w:hAnsi="宋体" w:hint="eastAsia"/>
          <w:sz w:val="24"/>
        </w:rPr>
        <w:t>台备用、</w:t>
      </w:r>
      <w:r>
        <w:rPr>
          <w:rFonts w:hAnsi="宋体" w:hint="eastAsia"/>
          <w:sz w:val="24"/>
        </w:rPr>
        <w:t>1</w:t>
      </w:r>
      <w:r>
        <w:rPr>
          <w:rFonts w:hAnsi="宋体" w:hint="eastAsia"/>
          <w:sz w:val="24"/>
        </w:rPr>
        <w:t>台检修，每台水泵对应一趟排水管路运行。</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201" w:name="_Toc533604291"/>
      <w:bookmarkStart w:id="202" w:name="_Toc533604711"/>
      <w:bookmarkStart w:id="203" w:name="_Toc16785256"/>
      <w:r>
        <w:rPr>
          <w:rFonts w:eastAsia="宋体" w:hint="eastAsia"/>
          <w:b/>
          <w:bCs w:val="0"/>
          <w:sz w:val="28"/>
          <w:szCs w:val="28"/>
        </w:rPr>
        <w:t>2.2.4</w:t>
      </w:r>
      <w:r>
        <w:rPr>
          <w:rFonts w:eastAsia="宋体" w:hint="eastAsia"/>
          <w:b/>
          <w:bCs w:val="0"/>
          <w:sz w:val="28"/>
          <w:szCs w:val="28"/>
        </w:rPr>
        <w:t>矿井地面生产系统</w:t>
      </w:r>
      <w:bookmarkEnd w:id="201"/>
      <w:bookmarkEnd w:id="202"/>
      <w:bookmarkEnd w:id="203"/>
    </w:p>
    <w:p w:rsidR="00C223F5" w:rsidRDefault="005860D5" w:rsidP="00C006A7">
      <w:pPr>
        <w:spacing w:line="360" w:lineRule="auto"/>
        <w:ind w:firstLineChars="200" w:firstLine="482"/>
        <w:rPr>
          <w:b/>
          <w:sz w:val="24"/>
          <w:szCs w:val="22"/>
        </w:rPr>
      </w:pPr>
      <w:r>
        <w:rPr>
          <w:b/>
          <w:sz w:val="24"/>
          <w:szCs w:val="22"/>
        </w:rPr>
        <w:t>（</w:t>
      </w:r>
      <w:r>
        <w:rPr>
          <w:rFonts w:hint="eastAsia"/>
          <w:b/>
          <w:sz w:val="24"/>
          <w:szCs w:val="22"/>
        </w:rPr>
        <w:t>一</w:t>
      </w:r>
      <w:r>
        <w:rPr>
          <w:b/>
          <w:sz w:val="24"/>
          <w:szCs w:val="22"/>
        </w:rPr>
        <w:t>）主斜井生产系统</w:t>
      </w:r>
    </w:p>
    <w:p w:rsidR="00C223F5" w:rsidRDefault="005860D5" w:rsidP="0064552A">
      <w:pPr>
        <w:spacing w:line="360" w:lineRule="auto"/>
        <w:ind w:firstLineChars="200" w:firstLine="480"/>
        <w:rPr>
          <w:rFonts w:hAnsi="宋体"/>
          <w:sz w:val="24"/>
        </w:rPr>
      </w:pPr>
      <w:r>
        <w:rPr>
          <w:rFonts w:hAnsi="宋体"/>
          <w:sz w:val="24"/>
        </w:rPr>
        <w:t>主斜井担负矿井新鲜进风和煤炭提升任务</w:t>
      </w:r>
      <w:r>
        <w:rPr>
          <w:rFonts w:hAnsi="宋体" w:hint="eastAsia"/>
          <w:sz w:val="24"/>
        </w:rPr>
        <w:t>，</w:t>
      </w:r>
      <w:r>
        <w:rPr>
          <w:rFonts w:hAnsi="宋体"/>
          <w:sz w:val="24"/>
        </w:rPr>
        <w:t>主运输系统为井下大巷带式输送机与主斜井带式输送机直接搭接，无井底煤仓缓冲环节，主斜井选用钢丝绳芯阻燃带式输送机承担全矿井的提煤任务。</w:t>
      </w:r>
    </w:p>
    <w:p w:rsidR="00C223F5" w:rsidRPr="00925B84" w:rsidRDefault="005860D5" w:rsidP="0064552A">
      <w:pPr>
        <w:spacing w:line="360" w:lineRule="auto"/>
        <w:ind w:firstLineChars="200" w:firstLine="480"/>
        <w:rPr>
          <w:rFonts w:hAnsi="宋体"/>
          <w:sz w:val="24"/>
        </w:rPr>
      </w:pPr>
      <w:r>
        <w:rPr>
          <w:rFonts w:hAnsi="宋体" w:hint="eastAsia"/>
          <w:sz w:val="24"/>
        </w:rPr>
        <w:t>地面</w:t>
      </w:r>
      <w:r>
        <w:rPr>
          <w:rFonts w:hAnsi="宋体"/>
          <w:sz w:val="24"/>
        </w:rPr>
        <w:t>主斜井</w:t>
      </w:r>
      <w:r>
        <w:rPr>
          <w:rFonts w:hAnsi="宋体" w:hint="eastAsia"/>
          <w:sz w:val="24"/>
        </w:rPr>
        <w:t>井口布置驱动机房，</w:t>
      </w:r>
      <w:r>
        <w:rPr>
          <w:rFonts w:hAnsi="宋体"/>
          <w:sz w:val="24"/>
        </w:rPr>
        <w:t>装备带式输送机</w:t>
      </w:r>
      <w:r>
        <w:rPr>
          <w:rFonts w:hAnsi="宋体" w:hint="eastAsia"/>
          <w:sz w:val="24"/>
        </w:rPr>
        <w:t>驱动装置，井下</w:t>
      </w:r>
      <w:r>
        <w:rPr>
          <w:rFonts w:hAnsi="宋体"/>
          <w:sz w:val="24"/>
        </w:rPr>
        <w:t>工作面生产的原煤</w:t>
      </w:r>
      <w:r>
        <w:rPr>
          <w:rFonts w:hAnsi="宋体" w:hint="eastAsia"/>
          <w:sz w:val="24"/>
        </w:rPr>
        <w:t>经</w:t>
      </w:r>
      <w:r>
        <w:rPr>
          <w:rFonts w:hAnsi="宋体"/>
          <w:sz w:val="24"/>
        </w:rPr>
        <w:t>带式输送</w:t>
      </w:r>
      <w:r w:rsidRPr="00925B84">
        <w:rPr>
          <w:rFonts w:hAnsi="宋体"/>
          <w:sz w:val="24"/>
        </w:rPr>
        <w:t>机提升至</w:t>
      </w:r>
      <w:r w:rsidRPr="00925B84">
        <w:rPr>
          <w:rFonts w:hAnsi="宋体" w:hint="eastAsia"/>
          <w:sz w:val="24"/>
        </w:rPr>
        <w:t>原煤仓，经转载至选煤厂加工</w:t>
      </w:r>
      <w:r w:rsidRPr="00925B84">
        <w:rPr>
          <w:rFonts w:hAnsi="宋体"/>
          <w:sz w:val="24"/>
        </w:rPr>
        <w:t>。主斜井带式输送机输送量</w:t>
      </w:r>
      <w:r w:rsidRPr="00925B84">
        <w:rPr>
          <w:rFonts w:hAnsi="宋体"/>
          <w:sz w:val="24"/>
        </w:rPr>
        <w:t>Q</w:t>
      </w:r>
      <w:r w:rsidRPr="00925B84">
        <w:rPr>
          <w:rFonts w:hAnsi="宋体"/>
          <w:sz w:val="24"/>
        </w:rPr>
        <w:t>＝</w:t>
      </w:r>
      <w:r w:rsidRPr="00925B84">
        <w:rPr>
          <w:rFonts w:hAnsi="宋体"/>
          <w:sz w:val="24"/>
        </w:rPr>
        <w:t>600t/h</w:t>
      </w:r>
      <w:r w:rsidRPr="00925B84">
        <w:rPr>
          <w:rFonts w:hAnsi="宋体"/>
          <w:sz w:val="24"/>
        </w:rPr>
        <w:t>，带宽</w:t>
      </w:r>
      <w:r w:rsidRPr="00925B84">
        <w:rPr>
          <w:rFonts w:hAnsi="宋体"/>
          <w:sz w:val="24"/>
        </w:rPr>
        <w:t>B=1000mm</w:t>
      </w:r>
      <w:r w:rsidRPr="00925B84">
        <w:rPr>
          <w:rFonts w:hAnsi="宋体"/>
          <w:sz w:val="24"/>
        </w:rPr>
        <w:t>，带速</w:t>
      </w:r>
      <w:r w:rsidRPr="00925B84">
        <w:rPr>
          <w:rFonts w:hAnsi="宋体"/>
          <w:sz w:val="24"/>
        </w:rPr>
        <w:t>V=3.15m/s</w:t>
      </w:r>
      <w:r w:rsidRPr="00925B84">
        <w:rPr>
          <w:rFonts w:hAnsi="宋体"/>
          <w:sz w:val="24"/>
        </w:rPr>
        <w:t>，倾角δ</w:t>
      </w:r>
      <w:r w:rsidRPr="00925B84">
        <w:rPr>
          <w:rFonts w:hAnsi="宋体"/>
          <w:sz w:val="24"/>
        </w:rPr>
        <w:t>=22</w:t>
      </w:r>
      <w:r w:rsidRPr="00925B84">
        <w:rPr>
          <w:rFonts w:hAnsi="宋体"/>
          <w:sz w:val="24"/>
        </w:rPr>
        <w:t>°，长度</w:t>
      </w:r>
      <w:r w:rsidRPr="00925B84">
        <w:rPr>
          <w:rFonts w:hAnsi="宋体"/>
          <w:sz w:val="24"/>
        </w:rPr>
        <w:t>L=573m</w:t>
      </w:r>
      <w:r w:rsidRPr="00925B84">
        <w:rPr>
          <w:rFonts w:hAnsi="宋体"/>
          <w:sz w:val="24"/>
        </w:rPr>
        <w:t>，采用低压防爆变频调速驱动系统，头部双滚筒双电机驱动。</w:t>
      </w:r>
    </w:p>
    <w:p w:rsidR="00C223F5" w:rsidRPr="00925B84" w:rsidRDefault="005860D5" w:rsidP="00C006A7">
      <w:pPr>
        <w:spacing w:line="360" w:lineRule="auto"/>
        <w:ind w:firstLineChars="200" w:firstLine="482"/>
        <w:rPr>
          <w:b/>
          <w:sz w:val="24"/>
        </w:rPr>
      </w:pPr>
      <w:r w:rsidRPr="00925B84">
        <w:rPr>
          <w:b/>
          <w:sz w:val="24"/>
        </w:rPr>
        <w:t>（</w:t>
      </w:r>
      <w:r w:rsidRPr="00925B84">
        <w:rPr>
          <w:rFonts w:hint="eastAsia"/>
          <w:b/>
          <w:sz w:val="24"/>
        </w:rPr>
        <w:t>二</w:t>
      </w:r>
      <w:r w:rsidRPr="00925B84">
        <w:rPr>
          <w:b/>
          <w:sz w:val="24"/>
        </w:rPr>
        <w:t>）副斜井生产系统</w:t>
      </w:r>
    </w:p>
    <w:p w:rsidR="00C223F5" w:rsidRPr="00925B84" w:rsidRDefault="005860D5" w:rsidP="0064552A">
      <w:pPr>
        <w:spacing w:line="360" w:lineRule="auto"/>
        <w:ind w:firstLineChars="200" w:firstLine="480"/>
        <w:rPr>
          <w:rFonts w:hAnsi="宋体"/>
          <w:sz w:val="24"/>
        </w:rPr>
      </w:pPr>
      <w:r w:rsidRPr="00925B84">
        <w:rPr>
          <w:rFonts w:hAnsi="宋体" w:hint="eastAsia"/>
          <w:sz w:val="24"/>
        </w:rPr>
        <w:t>矿井副井为倾角</w:t>
      </w:r>
      <w:r w:rsidRPr="00925B84">
        <w:rPr>
          <w:rFonts w:hAnsi="宋体" w:hint="eastAsia"/>
          <w:sz w:val="24"/>
        </w:rPr>
        <w:t>6</w:t>
      </w:r>
      <w:r w:rsidRPr="00925B84">
        <w:rPr>
          <w:rFonts w:hAnsi="宋体" w:hint="eastAsia"/>
          <w:sz w:val="24"/>
        </w:rPr>
        <w:t>°的缓坡副斜井，辅助运输采用无轨胶轮车运输。</w:t>
      </w:r>
    </w:p>
    <w:p w:rsidR="00C223F5" w:rsidRPr="00925B84" w:rsidRDefault="005860D5" w:rsidP="00C006A7">
      <w:pPr>
        <w:spacing w:line="360" w:lineRule="auto"/>
        <w:ind w:firstLineChars="200" w:firstLine="482"/>
        <w:rPr>
          <w:b/>
          <w:sz w:val="24"/>
        </w:rPr>
      </w:pPr>
      <w:r w:rsidRPr="00925B84">
        <w:rPr>
          <w:b/>
          <w:sz w:val="24"/>
        </w:rPr>
        <w:t>（</w:t>
      </w:r>
      <w:r w:rsidRPr="00925B84">
        <w:rPr>
          <w:rFonts w:hint="eastAsia"/>
          <w:b/>
          <w:sz w:val="24"/>
        </w:rPr>
        <w:t>三</w:t>
      </w:r>
      <w:r w:rsidRPr="00925B84">
        <w:rPr>
          <w:b/>
          <w:sz w:val="24"/>
        </w:rPr>
        <w:t>）矿井排矸系统</w:t>
      </w:r>
    </w:p>
    <w:p w:rsidR="00C223F5" w:rsidRPr="00925B84" w:rsidRDefault="005860D5" w:rsidP="0064552A">
      <w:pPr>
        <w:snapToGrid w:val="0"/>
        <w:spacing w:line="360" w:lineRule="auto"/>
        <w:ind w:firstLineChars="200" w:firstLine="480"/>
        <w:rPr>
          <w:rFonts w:hAnsi="宋体"/>
          <w:sz w:val="24"/>
        </w:rPr>
      </w:pPr>
      <w:r w:rsidRPr="00925B84">
        <w:rPr>
          <w:rFonts w:hAnsi="宋体"/>
          <w:sz w:val="24"/>
        </w:rPr>
        <w:t>矿井</w:t>
      </w:r>
      <w:r w:rsidRPr="00925B84">
        <w:rPr>
          <w:rFonts w:hAnsi="宋体" w:hint="eastAsia"/>
          <w:sz w:val="24"/>
        </w:rPr>
        <w:t>建井期间产生的总矸石量约</w:t>
      </w:r>
      <w:r w:rsidRPr="00925B84">
        <w:rPr>
          <w:rFonts w:hAnsi="宋体" w:hint="eastAsia"/>
          <w:sz w:val="24"/>
        </w:rPr>
        <w:t>9.9</w:t>
      </w:r>
      <w:r w:rsidRPr="00925B84">
        <w:rPr>
          <w:rFonts w:hAnsi="宋体" w:hint="eastAsia"/>
          <w:sz w:val="24"/>
        </w:rPr>
        <w:t>万</w:t>
      </w:r>
      <w:r w:rsidRPr="00925B84">
        <w:rPr>
          <w:rFonts w:hAnsi="宋体" w:hint="eastAsia"/>
          <w:sz w:val="24"/>
        </w:rPr>
        <w:t>m</w:t>
      </w:r>
      <w:r w:rsidRPr="00925B84">
        <w:rPr>
          <w:rFonts w:hAnsi="宋体" w:hint="eastAsia"/>
          <w:sz w:val="24"/>
          <w:vertAlign w:val="superscript"/>
        </w:rPr>
        <w:t>3</w:t>
      </w:r>
      <w:r w:rsidRPr="00925B84">
        <w:rPr>
          <w:rFonts w:hAnsi="宋体" w:hint="eastAsia"/>
          <w:sz w:val="24"/>
        </w:rPr>
        <w:t>，矸石综合利用于制砖厂</w:t>
      </w:r>
      <w:r w:rsidR="005F7BDD" w:rsidRPr="00925B84">
        <w:rPr>
          <w:rFonts w:hAnsi="宋体" w:hint="eastAsia"/>
          <w:sz w:val="24"/>
        </w:rPr>
        <w:t>和道路改造</w:t>
      </w:r>
      <w:r w:rsidRPr="00925B84">
        <w:rPr>
          <w:rFonts w:hAnsi="宋体" w:hint="eastAsia"/>
          <w:sz w:val="24"/>
        </w:rPr>
        <w:t>。</w:t>
      </w:r>
      <w:r w:rsidRPr="00925B84">
        <w:rPr>
          <w:rFonts w:ascii="宋体" w:hAnsi="宋体" w:hint="eastAsia"/>
          <w:sz w:val="24"/>
        </w:rPr>
        <w:t>正常生产期间掘进产生的矸石量很小，</w:t>
      </w:r>
      <w:r w:rsidR="00BB73E2" w:rsidRPr="00925B84">
        <w:rPr>
          <w:rFonts w:ascii="宋体" w:hAnsi="宋体" w:hint="eastAsia"/>
          <w:sz w:val="24"/>
        </w:rPr>
        <w:t>不出井</w:t>
      </w:r>
      <w:r w:rsidRPr="00925B84">
        <w:rPr>
          <w:rFonts w:ascii="宋体" w:hAnsi="宋体" w:hint="eastAsia"/>
          <w:sz w:val="24"/>
        </w:rPr>
        <w:t>；</w:t>
      </w:r>
      <w:r w:rsidRPr="00925B84">
        <w:rPr>
          <w:rFonts w:hAnsi="宋体"/>
          <w:sz w:val="24"/>
        </w:rPr>
        <w:t>选煤厂</w:t>
      </w:r>
      <w:r w:rsidRPr="00925B84">
        <w:rPr>
          <w:rFonts w:hAnsi="宋体" w:hint="eastAsia"/>
          <w:sz w:val="24"/>
        </w:rPr>
        <w:t>筛选矸石（</w:t>
      </w:r>
      <w:r w:rsidRPr="00925B84">
        <w:rPr>
          <w:rFonts w:hAnsi="宋体" w:hint="eastAsia"/>
          <w:sz w:val="24"/>
        </w:rPr>
        <w:t>24.7</w:t>
      </w:r>
      <w:r w:rsidRPr="00925B84">
        <w:rPr>
          <w:rFonts w:hAnsi="宋体" w:hint="eastAsia"/>
          <w:sz w:val="24"/>
        </w:rPr>
        <w:t>万</w:t>
      </w:r>
      <w:r w:rsidRPr="00925B84">
        <w:rPr>
          <w:rFonts w:hAnsi="宋体" w:hint="eastAsia"/>
          <w:sz w:val="24"/>
        </w:rPr>
        <w:t>t/a</w:t>
      </w:r>
      <w:r w:rsidRPr="00925B84">
        <w:rPr>
          <w:rFonts w:hAnsi="宋体" w:hint="eastAsia"/>
          <w:sz w:val="24"/>
        </w:rPr>
        <w:t>）</w:t>
      </w:r>
      <w:r w:rsidRPr="00925B84">
        <w:rPr>
          <w:rFonts w:hAnsi="宋体"/>
          <w:sz w:val="24"/>
        </w:rPr>
        <w:t>综合利用</w:t>
      </w:r>
      <w:r w:rsidRPr="00925B84">
        <w:rPr>
          <w:rFonts w:hAnsi="宋体" w:hint="eastAsia"/>
          <w:sz w:val="24"/>
        </w:rPr>
        <w:t>于制备建材或作为井下充填材料，洗选矸石运至选煤厂矸石仓内（容量</w:t>
      </w:r>
      <w:r w:rsidRPr="00925B84">
        <w:rPr>
          <w:rFonts w:hAnsi="宋体" w:hint="eastAsia"/>
          <w:sz w:val="24"/>
        </w:rPr>
        <w:t>2500t</w:t>
      </w:r>
      <w:r w:rsidRPr="00925B84">
        <w:rPr>
          <w:rFonts w:hAnsi="宋体" w:hint="eastAsia"/>
          <w:sz w:val="24"/>
        </w:rPr>
        <w:t>）缓存</w:t>
      </w:r>
      <w:r w:rsidRPr="00925B84">
        <w:rPr>
          <w:rFonts w:hAnsi="宋体"/>
          <w:sz w:val="24"/>
        </w:rPr>
        <w:t>，</w:t>
      </w:r>
      <w:r w:rsidRPr="00925B84">
        <w:rPr>
          <w:rFonts w:hAnsi="宋体" w:hint="eastAsia"/>
          <w:sz w:val="24"/>
        </w:rPr>
        <w:t>矿方已与于子洲县马岔乡大堡岔兴盛砖厂和大堡岔红旗空心砖厂</w:t>
      </w:r>
      <w:r w:rsidRPr="00925B84">
        <w:rPr>
          <w:rFonts w:hAnsi="宋体"/>
          <w:sz w:val="24"/>
        </w:rPr>
        <w:t>签订综合利用协议，用做该公司</w:t>
      </w:r>
      <w:r w:rsidRPr="00925B84">
        <w:rPr>
          <w:rFonts w:hAnsi="宋体" w:hint="eastAsia"/>
          <w:sz w:val="24"/>
        </w:rPr>
        <w:t>制砖</w:t>
      </w:r>
      <w:r w:rsidRPr="00925B84">
        <w:rPr>
          <w:rFonts w:hAnsi="宋体"/>
          <w:sz w:val="24"/>
        </w:rPr>
        <w:t>原料</w:t>
      </w:r>
      <w:r w:rsidRPr="00925B84">
        <w:rPr>
          <w:rFonts w:hAnsi="宋体" w:hint="eastAsia"/>
          <w:sz w:val="24"/>
        </w:rPr>
        <w:t>；并与</w:t>
      </w:r>
      <w:r w:rsidR="00BB73E2" w:rsidRPr="00925B84">
        <w:rPr>
          <w:rFonts w:hAnsi="宋体" w:hint="eastAsia"/>
          <w:sz w:val="24"/>
        </w:rPr>
        <w:t>圣拓（陕西）矿业有限公司</w:t>
      </w:r>
      <w:r w:rsidRPr="00925B84">
        <w:rPr>
          <w:rFonts w:hAnsi="宋体" w:hint="eastAsia"/>
          <w:sz w:val="24"/>
        </w:rPr>
        <w:t>签订原料供销协议</w:t>
      </w:r>
      <w:r w:rsidR="00BB73E2" w:rsidRPr="00925B84">
        <w:rPr>
          <w:rFonts w:hAnsi="宋体" w:hint="eastAsia"/>
          <w:sz w:val="24"/>
        </w:rPr>
        <w:t>，年度供应量</w:t>
      </w:r>
      <w:r w:rsidR="00BB73E2" w:rsidRPr="00925B84">
        <w:rPr>
          <w:rFonts w:hAnsi="宋体" w:hint="eastAsia"/>
          <w:sz w:val="24"/>
        </w:rPr>
        <w:t>12</w:t>
      </w:r>
      <w:r w:rsidR="00BB73E2" w:rsidRPr="00925B84">
        <w:rPr>
          <w:rFonts w:hAnsi="宋体" w:hint="eastAsia"/>
          <w:sz w:val="24"/>
        </w:rPr>
        <w:t>万</w:t>
      </w:r>
      <w:r w:rsidR="00BB73E2" w:rsidRPr="00925B84">
        <w:rPr>
          <w:rFonts w:hAnsi="宋体" w:hint="eastAsia"/>
          <w:sz w:val="24"/>
        </w:rPr>
        <w:t>m</w:t>
      </w:r>
      <w:r w:rsidR="00BB73E2" w:rsidRPr="00925B84">
        <w:rPr>
          <w:rFonts w:hAnsi="宋体" w:hint="eastAsia"/>
          <w:sz w:val="24"/>
          <w:vertAlign w:val="superscript"/>
        </w:rPr>
        <w:t>3</w:t>
      </w:r>
      <w:r w:rsidR="005F7BDD" w:rsidRPr="00925B84">
        <w:rPr>
          <w:rFonts w:hAnsi="宋体" w:hint="eastAsia"/>
          <w:sz w:val="24"/>
        </w:rPr>
        <w:t>左右</w:t>
      </w:r>
      <w:r w:rsidRPr="00925B84">
        <w:rPr>
          <w:rFonts w:hAnsi="宋体" w:hint="eastAsia"/>
          <w:sz w:val="24"/>
        </w:rPr>
        <w:t>。</w:t>
      </w:r>
    </w:p>
    <w:p w:rsidR="00C223F5" w:rsidRPr="00925B84" w:rsidRDefault="005860D5" w:rsidP="00C006A7">
      <w:pPr>
        <w:spacing w:line="360" w:lineRule="auto"/>
        <w:ind w:firstLineChars="200" w:firstLine="482"/>
        <w:rPr>
          <w:b/>
          <w:sz w:val="24"/>
        </w:rPr>
      </w:pPr>
      <w:r w:rsidRPr="00925B84">
        <w:rPr>
          <w:b/>
          <w:sz w:val="24"/>
        </w:rPr>
        <w:t>（</w:t>
      </w:r>
      <w:r w:rsidRPr="00925B84">
        <w:rPr>
          <w:rFonts w:hint="eastAsia"/>
          <w:b/>
          <w:sz w:val="24"/>
        </w:rPr>
        <w:t>四</w:t>
      </w:r>
      <w:r w:rsidRPr="00925B84">
        <w:rPr>
          <w:b/>
          <w:sz w:val="24"/>
        </w:rPr>
        <w:t>）矿井辅助设施</w:t>
      </w:r>
    </w:p>
    <w:p w:rsidR="00C223F5" w:rsidRDefault="005860D5" w:rsidP="0064552A">
      <w:pPr>
        <w:spacing w:line="360" w:lineRule="auto"/>
        <w:ind w:firstLineChars="200" w:firstLine="480"/>
        <w:rPr>
          <w:rFonts w:ascii="宋体" w:hAnsi="宋体"/>
          <w:sz w:val="24"/>
          <w:lang w:val="zh-CN"/>
        </w:rPr>
      </w:pPr>
      <w:r w:rsidRPr="00925B84">
        <w:rPr>
          <w:rFonts w:hAnsi="宋体"/>
          <w:sz w:val="24"/>
        </w:rPr>
        <w:t>矿井辅助设施由</w:t>
      </w:r>
      <w:r w:rsidRPr="00925B84">
        <w:rPr>
          <w:rFonts w:ascii="宋体" w:hAnsi="宋体" w:hint="eastAsia"/>
          <w:sz w:val="24"/>
        </w:rPr>
        <w:t>设备中转、材料库联合建筑(</w:t>
      </w:r>
      <w:r>
        <w:rPr>
          <w:rFonts w:ascii="宋体" w:hAnsi="宋体" w:hint="eastAsia"/>
          <w:sz w:val="24"/>
        </w:rPr>
        <w:t>含消防材料库、油脂库)</w:t>
      </w:r>
      <w:r>
        <w:rPr>
          <w:rFonts w:hAnsi="宋体"/>
          <w:sz w:val="24"/>
        </w:rPr>
        <w:t>、</w:t>
      </w:r>
      <w:r>
        <w:rPr>
          <w:rFonts w:ascii="宋体" w:hAnsi="宋体" w:hint="eastAsia"/>
          <w:sz w:val="24"/>
        </w:rPr>
        <w:t>无轨</w:t>
      </w:r>
      <w:r>
        <w:rPr>
          <w:rFonts w:ascii="宋体" w:hAnsi="宋体" w:hint="eastAsia"/>
          <w:sz w:val="24"/>
        </w:rPr>
        <w:lastRenderedPageBreak/>
        <w:t>胶轮车库、</w:t>
      </w:r>
      <w:r>
        <w:rPr>
          <w:rFonts w:hAnsi="宋体"/>
          <w:sz w:val="24"/>
        </w:rPr>
        <w:t>煤样室化验室等组成。</w:t>
      </w:r>
      <w:r>
        <w:rPr>
          <w:rFonts w:hAnsi="宋体" w:hint="eastAsia"/>
          <w:sz w:val="24"/>
        </w:rPr>
        <w:t>矿井机电设备修理间主要依托附近社会机修厂完成矿井机电设备日常</w:t>
      </w:r>
      <w:r>
        <w:rPr>
          <w:sz w:val="24"/>
        </w:rPr>
        <w:t>维护、保养及小修任务。综采设备起吊主要租用</w:t>
      </w:r>
      <w:r>
        <w:rPr>
          <w:sz w:val="24"/>
        </w:rPr>
        <w:t>30t</w:t>
      </w:r>
      <w:r>
        <w:rPr>
          <w:sz w:val="24"/>
        </w:rPr>
        <w:t>汽车吊完成。</w:t>
      </w:r>
      <w:r>
        <w:rPr>
          <w:rFonts w:hAnsi="宋体"/>
          <w:sz w:val="24"/>
          <w:lang w:val="zh-CN"/>
        </w:rPr>
        <w:t>辅助设施建筑面积详见表</w:t>
      </w:r>
      <w:r>
        <w:rPr>
          <w:sz w:val="24"/>
          <w:lang w:val="zh-CN"/>
        </w:rPr>
        <w:t>2.2.4-1</w:t>
      </w:r>
      <w:r>
        <w:rPr>
          <w:rFonts w:hAnsi="宋体"/>
          <w:sz w:val="24"/>
          <w:lang w:val="zh-CN"/>
        </w:rPr>
        <w:t>。</w:t>
      </w:r>
    </w:p>
    <w:p w:rsidR="00C223F5" w:rsidRDefault="005860D5">
      <w:pPr>
        <w:jc w:val="center"/>
        <w:rPr>
          <w:rFonts w:eastAsiaTheme="minorEastAsia"/>
          <w:b/>
          <w:bCs/>
          <w:sz w:val="24"/>
        </w:rPr>
      </w:pPr>
      <w:r>
        <w:rPr>
          <w:rFonts w:eastAsiaTheme="minorEastAsia" w:hAnsiTheme="minorEastAsia"/>
          <w:b/>
          <w:bCs/>
          <w:sz w:val="24"/>
        </w:rPr>
        <w:t>表</w:t>
      </w:r>
      <w:r>
        <w:rPr>
          <w:rFonts w:eastAsiaTheme="minorEastAsia"/>
          <w:b/>
          <w:bCs/>
          <w:sz w:val="24"/>
        </w:rPr>
        <w:t xml:space="preserve">2.2.4-1   </w:t>
      </w:r>
      <w:r>
        <w:rPr>
          <w:rFonts w:eastAsiaTheme="minorEastAsia" w:hAnsiTheme="minorEastAsia"/>
          <w:b/>
          <w:bCs/>
          <w:sz w:val="24"/>
        </w:rPr>
        <w:t>辅助设施建筑面积表</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38"/>
        <w:gridCol w:w="1586"/>
        <w:gridCol w:w="1476"/>
        <w:gridCol w:w="1295"/>
        <w:gridCol w:w="1000"/>
      </w:tblGrid>
      <w:tr w:rsidR="00C223F5">
        <w:trPr>
          <w:trHeight w:val="242"/>
          <w:jc w:val="center"/>
        </w:trPr>
        <w:tc>
          <w:tcPr>
            <w:tcW w:w="4524" w:type="dxa"/>
            <w:gridSpan w:val="2"/>
            <w:vAlign w:val="center"/>
          </w:tcPr>
          <w:p w:rsidR="00C223F5" w:rsidRDefault="005860D5">
            <w:pPr>
              <w:autoSpaceDE w:val="0"/>
              <w:autoSpaceDN w:val="0"/>
              <w:jc w:val="center"/>
              <w:rPr>
                <w:b/>
                <w:kern w:val="0"/>
                <w:szCs w:val="21"/>
              </w:rPr>
            </w:pPr>
            <w:r>
              <w:rPr>
                <w:b/>
                <w:kern w:val="0"/>
                <w:szCs w:val="21"/>
              </w:rPr>
              <w:t>项</w:t>
            </w:r>
            <w:r>
              <w:rPr>
                <w:b/>
                <w:kern w:val="0"/>
                <w:szCs w:val="21"/>
              </w:rPr>
              <w:t xml:space="preserve"> </w:t>
            </w:r>
            <w:r>
              <w:rPr>
                <w:b/>
                <w:kern w:val="0"/>
                <w:szCs w:val="21"/>
              </w:rPr>
              <w:t>目</w:t>
            </w:r>
            <w:r>
              <w:rPr>
                <w:b/>
                <w:kern w:val="0"/>
                <w:szCs w:val="21"/>
              </w:rPr>
              <w:t xml:space="preserve"> </w:t>
            </w:r>
            <w:r>
              <w:rPr>
                <w:b/>
                <w:kern w:val="0"/>
                <w:szCs w:val="21"/>
              </w:rPr>
              <w:t>名</w:t>
            </w:r>
            <w:r>
              <w:rPr>
                <w:b/>
                <w:kern w:val="0"/>
                <w:szCs w:val="21"/>
              </w:rPr>
              <w:t xml:space="preserve"> </w:t>
            </w:r>
            <w:r>
              <w:rPr>
                <w:b/>
                <w:kern w:val="0"/>
                <w:szCs w:val="21"/>
              </w:rPr>
              <w:t>称</w:t>
            </w:r>
          </w:p>
        </w:tc>
        <w:tc>
          <w:tcPr>
            <w:tcW w:w="1476" w:type="dxa"/>
            <w:vAlign w:val="center"/>
          </w:tcPr>
          <w:p w:rsidR="00C223F5" w:rsidRDefault="005860D5">
            <w:pPr>
              <w:autoSpaceDE w:val="0"/>
              <w:autoSpaceDN w:val="0"/>
              <w:jc w:val="center"/>
              <w:rPr>
                <w:b/>
                <w:kern w:val="0"/>
                <w:szCs w:val="21"/>
              </w:rPr>
            </w:pPr>
            <w:r>
              <w:rPr>
                <w:b/>
                <w:kern w:val="0"/>
                <w:szCs w:val="21"/>
              </w:rPr>
              <w:t>建筑面积</w:t>
            </w:r>
            <w:r>
              <w:rPr>
                <w:b/>
                <w:szCs w:val="21"/>
              </w:rPr>
              <w:t>(m</w:t>
            </w:r>
            <w:r>
              <w:rPr>
                <w:b/>
                <w:szCs w:val="21"/>
                <w:vertAlign w:val="superscript"/>
              </w:rPr>
              <w:t>2</w:t>
            </w:r>
            <w:r>
              <w:rPr>
                <w:b/>
                <w:szCs w:val="21"/>
              </w:rPr>
              <w:t>)</w:t>
            </w:r>
          </w:p>
        </w:tc>
        <w:tc>
          <w:tcPr>
            <w:tcW w:w="1295" w:type="dxa"/>
            <w:vAlign w:val="center"/>
          </w:tcPr>
          <w:p w:rsidR="00C223F5" w:rsidRDefault="005860D5">
            <w:pPr>
              <w:autoSpaceDE w:val="0"/>
              <w:autoSpaceDN w:val="0"/>
              <w:jc w:val="center"/>
              <w:rPr>
                <w:b/>
                <w:kern w:val="0"/>
                <w:szCs w:val="21"/>
              </w:rPr>
            </w:pPr>
            <w:r>
              <w:rPr>
                <w:b/>
                <w:kern w:val="0"/>
                <w:szCs w:val="21"/>
              </w:rPr>
              <w:t>采用面积</w:t>
            </w:r>
            <w:r>
              <w:rPr>
                <w:b/>
                <w:szCs w:val="21"/>
              </w:rPr>
              <w:t>(m</w:t>
            </w:r>
            <w:r>
              <w:rPr>
                <w:b/>
                <w:szCs w:val="21"/>
                <w:vertAlign w:val="superscript"/>
              </w:rPr>
              <w:t>2</w:t>
            </w:r>
            <w:r>
              <w:rPr>
                <w:b/>
                <w:szCs w:val="21"/>
              </w:rPr>
              <w:t>)</w:t>
            </w:r>
          </w:p>
        </w:tc>
        <w:tc>
          <w:tcPr>
            <w:tcW w:w="1000" w:type="dxa"/>
            <w:vAlign w:val="center"/>
          </w:tcPr>
          <w:p w:rsidR="00C223F5" w:rsidRDefault="005860D5">
            <w:pPr>
              <w:autoSpaceDE w:val="0"/>
              <w:autoSpaceDN w:val="0"/>
              <w:jc w:val="center"/>
              <w:rPr>
                <w:b/>
                <w:kern w:val="0"/>
                <w:szCs w:val="21"/>
              </w:rPr>
            </w:pPr>
            <w:r>
              <w:rPr>
                <w:b/>
                <w:kern w:val="0"/>
                <w:szCs w:val="21"/>
              </w:rPr>
              <w:t>长</w:t>
            </w:r>
            <w:r>
              <w:rPr>
                <w:b/>
                <w:kern w:val="0"/>
                <w:szCs w:val="21"/>
              </w:rPr>
              <w:t>×</w:t>
            </w:r>
            <w:r>
              <w:rPr>
                <w:b/>
                <w:kern w:val="0"/>
                <w:szCs w:val="21"/>
              </w:rPr>
              <w:t>宽</w:t>
            </w:r>
          </w:p>
        </w:tc>
      </w:tr>
      <w:tr w:rsidR="00C223F5">
        <w:trPr>
          <w:trHeight w:val="70"/>
          <w:jc w:val="center"/>
        </w:trPr>
        <w:tc>
          <w:tcPr>
            <w:tcW w:w="2938" w:type="dxa"/>
            <w:vMerge w:val="restart"/>
            <w:vAlign w:val="center"/>
          </w:tcPr>
          <w:p w:rsidR="00C223F5" w:rsidRDefault="005860D5">
            <w:pPr>
              <w:autoSpaceDE w:val="0"/>
              <w:autoSpaceDN w:val="0"/>
              <w:jc w:val="center"/>
              <w:rPr>
                <w:szCs w:val="21"/>
              </w:rPr>
            </w:pPr>
            <w:r>
              <w:rPr>
                <w:szCs w:val="21"/>
              </w:rPr>
              <w:t>设备中转、材料库联合建筑</w:t>
            </w:r>
          </w:p>
          <w:p w:rsidR="00C223F5" w:rsidRDefault="005860D5">
            <w:pPr>
              <w:autoSpaceDE w:val="0"/>
              <w:autoSpaceDN w:val="0"/>
              <w:jc w:val="center"/>
              <w:rPr>
                <w:szCs w:val="21"/>
              </w:rPr>
            </w:pPr>
            <w:r>
              <w:rPr>
                <w:szCs w:val="21"/>
              </w:rPr>
              <w:t>（</w:t>
            </w:r>
            <w:r>
              <w:rPr>
                <w:kern w:val="0"/>
                <w:szCs w:val="21"/>
              </w:rPr>
              <w:t>含消防材料库、油脂库</w:t>
            </w:r>
            <w:r>
              <w:rPr>
                <w:szCs w:val="21"/>
              </w:rPr>
              <w:t>）</w:t>
            </w:r>
          </w:p>
        </w:tc>
        <w:tc>
          <w:tcPr>
            <w:tcW w:w="1586" w:type="dxa"/>
            <w:tcBorders>
              <w:bottom w:val="single" w:sz="4" w:space="0" w:color="auto"/>
            </w:tcBorders>
            <w:vAlign w:val="center"/>
          </w:tcPr>
          <w:p w:rsidR="00C223F5" w:rsidRDefault="005860D5">
            <w:pPr>
              <w:autoSpaceDE w:val="0"/>
              <w:autoSpaceDN w:val="0"/>
              <w:jc w:val="center"/>
              <w:rPr>
                <w:kern w:val="0"/>
                <w:szCs w:val="21"/>
              </w:rPr>
            </w:pPr>
            <w:r>
              <w:rPr>
                <w:szCs w:val="21"/>
              </w:rPr>
              <w:t>综合设备库</w:t>
            </w:r>
          </w:p>
        </w:tc>
        <w:tc>
          <w:tcPr>
            <w:tcW w:w="1476" w:type="dxa"/>
            <w:tcBorders>
              <w:bottom w:val="single" w:sz="4" w:space="0" w:color="auto"/>
            </w:tcBorders>
            <w:vAlign w:val="center"/>
          </w:tcPr>
          <w:p w:rsidR="00C223F5" w:rsidRDefault="005860D5">
            <w:pPr>
              <w:autoSpaceDE w:val="0"/>
              <w:autoSpaceDN w:val="0"/>
              <w:jc w:val="center"/>
              <w:rPr>
                <w:kern w:val="0"/>
                <w:szCs w:val="21"/>
              </w:rPr>
            </w:pPr>
            <w:r>
              <w:rPr>
                <w:kern w:val="0"/>
                <w:szCs w:val="21"/>
              </w:rPr>
              <w:t>310</w:t>
            </w:r>
          </w:p>
        </w:tc>
        <w:tc>
          <w:tcPr>
            <w:tcW w:w="1295" w:type="dxa"/>
            <w:vMerge w:val="restart"/>
            <w:vAlign w:val="center"/>
          </w:tcPr>
          <w:p w:rsidR="00C223F5" w:rsidRDefault="005860D5">
            <w:pPr>
              <w:autoSpaceDE w:val="0"/>
              <w:autoSpaceDN w:val="0"/>
              <w:jc w:val="center"/>
              <w:rPr>
                <w:kern w:val="0"/>
                <w:szCs w:val="21"/>
              </w:rPr>
            </w:pPr>
            <w:r>
              <w:rPr>
                <w:kern w:val="0"/>
                <w:szCs w:val="21"/>
              </w:rPr>
              <w:t>900</w:t>
            </w:r>
          </w:p>
        </w:tc>
        <w:tc>
          <w:tcPr>
            <w:tcW w:w="1000" w:type="dxa"/>
            <w:vMerge w:val="restart"/>
            <w:vAlign w:val="center"/>
          </w:tcPr>
          <w:p w:rsidR="00C223F5" w:rsidRDefault="005860D5">
            <w:pPr>
              <w:autoSpaceDE w:val="0"/>
              <w:autoSpaceDN w:val="0"/>
              <w:jc w:val="center"/>
              <w:rPr>
                <w:kern w:val="0"/>
                <w:szCs w:val="21"/>
              </w:rPr>
            </w:pPr>
            <w:r>
              <w:rPr>
                <w:kern w:val="0"/>
                <w:szCs w:val="21"/>
              </w:rPr>
              <w:t>60×15</w:t>
            </w:r>
          </w:p>
        </w:tc>
      </w:tr>
      <w:tr w:rsidR="00C223F5">
        <w:trPr>
          <w:trHeight w:val="70"/>
          <w:jc w:val="center"/>
        </w:trPr>
        <w:tc>
          <w:tcPr>
            <w:tcW w:w="2938" w:type="dxa"/>
            <w:vMerge/>
            <w:vAlign w:val="center"/>
          </w:tcPr>
          <w:p w:rsidR="00C223F5" w:rsidRDefault="00C223F5">
            <w:pPr>
              <w:autoSpaceDE w:val="0"/>
              <w:autoSpaceDN w:val="0"/>
              <w:jc w:val="center"/>
              <w:rPr>
                <w:kern w:val="0"/>
                <w:szCs w:val="21"/>
              </w:rPr>
            </w:pPr>
          </w:p>
        </w:tc>
        <w:tc>
          <w:tcPr>
            <w:tcW w:w="1586" w:type="dxa"/>
            <w:vAlign w:val="center"/>
          </w:tcPr>
          <w:p w:rsidR="00C223F5" w:rsidRDefault="005860D5">
            <w:pPr>
              <w:autoSpaceDE w:val="0"/>
              <w:autoSpaceDN w:val="0"/>
              <w:jc w:val="center"/>
              <w:rPr>
                <w:kern w:val="0"/>
                <w:szCs w:val="21"/>
              </w:rPr>
            </w:pPr>
            <w:r>
              <w:rPr>
                <w:kern w:val="0"/>
                <w:szCs w:val="21"/>
              </w:rPr>
              <w:t>材料库</w:t>
            </w:r>
          </w:p>
        </w:tc>
        <w:tc>
          <w:tcPr>
            <w:tcW w:w="1476" w:type="dxa"/>
            <w:vAlign w:val="center"/>
          </w:tcPr>
          <w:p w:rsidR="00C223F5" w:rsidRDefault="005860D5">
            <w:pPr>
              <w:autoSpaceDE w:val="0"/>
              <w:autoSpaceDN w:val="0"/>
              <w:jc w:val="center"/>
              <w:rPr>
                <w:kern w:val="0"/>
                <w:szCs w:val="21"/>
              </w:rPr>
            </w:pPr>
            <w:r>
              <w:rPr>
                <w:kern w:val="0"/>
                <w:szCs w:val="21"/>
              </w:rPr>
              <w:t>450</w:t>
            </w:r>
          </w:p>
        </w:tc>
        <w:tc>
          <w:tcPr>
            <w:tcW w:w="1295" w:type="dxa"/>
            <w:vMerge/>
            <w:vAlign w:val="center"/>
          </w:tcPr>
          <w:p w:rsidR="00C223F5" w:rsidRDefault="00C223F5">
            <w:pPr>
              <w:autoSpaceDE w:val="0"/>
              <w:autoSpaceDN w:val="0"/>
              <w:jc w:val="center"/>
              <w:rPr>
                <w:kern w:val="0"/>
                <w:szCs w:val="21"/>
              </w:rPr>
            </w:pPr>
          </w:p>
        </w:tc>
        <w:tc>
          <w:tcPr>
            <w:tcW w:w="1000" w:type="dxa"/>
            <w:vMerge/>
            <w:vAlign w:val="center"/>
          </w:tcPr>
          <w:p w:rsidR="00C223F5" w:rsidRDefault="00C223F5">
            <w:pPr>
              <w:autoSpaceDE w:val="0"/>
              <w:autoSpaceDN w:val="0"/>
              <w:jc w:val="center"/>
              <w:rPr>
                <w:kern w:val="0"/>
                <w:szCs w:val="21"/>
              </w:rPr>
            </w:pPr>
          </w:p>
        </w:tc>
      </w:tr>
      <w:tr w:rsidR="00C223F5">
        <w:trPr>
          <w:trHeight w:val="70"/>
          <w:jc w:val="center"/>
        </w:trPr>
        <w:tc>
          <w:tcPr>
            <w:tcW w:w="2938" w:type="dxa"/>
            <w:vMerge/>
            <w:vAlign w:val="center"/>
          </w:tcPr>
          <w:p w:rsidR="00C223F5" w:rsidRDefault="00C223F5">
            <w:pPr>
              <w:autoSpaceDE w:val="0"/>
              <w:autoSpaceDN w:val="0"/>
              <w:jc w:val="center"/>
              <w:rPr>
                <w:kern w:val="0"/>
                <w:szCs w:val="21"/>
              </w:rPr>
            </w:pPr>
          </w:p>
        </w:tc>
        <w:tc>
          <w:tcPr>
            <w:tcW w:w="1586" w:type="dxa"/>
            <w:vAlign w:val="center"/>
          </w:tcPr>
          <w:p w:rsidR="00C223F5" w:rsidRDefault="005860D5">
            <w:pPr>
              <w:autoSpaceDE w:val="0"/>
              <w:autoSpaceDN w:val="0"/>
              <w:jc w:val="center"/>
              <w:rPr>
                <w:kern w:val="0"/>
                <w:szCs w:val="21"/>
              </w:rPr>
            </w:pPr>
            <w:r>
              <w:rPr>
                <w:kern w:val="0"/>
                <w:szCs w:val="21"/>
              </w:rPr>
              <w:t>消防材料库</w:t>
            </w:r>
          </w:p>
        </w:tc>
        <w:tc>
          <w:tcPr>
            <w:tcW w:w="1476" w:type="dxa"/>
            <w:vAlign w:val="center"/>
          </w:tcPr>
          <w:p w:rsidR="00C223F5" w:rsidRDefault="005860D5">
            <w:pPr>
              <w:autoSpaceDE w:val="0"/>
              <w:autoSpaceDN w:val="0"/>
              <w:jc w:val="center"/>
              <w:rPr>
                <w:kern w:val="0"/>
                <w:szCs w:val="21"/>
              </w:rPr>
            </w:pPr>
            <w:r>
              <w:rPr>
                <w:kern w:val="0"/>
                <w:szCs w:val="21"/>
              </w:rPr>
              <w:t>60</w:t>
            </w:r>
          </w:p>
        </w:tc>
        <w:tc>
          <w:tcPr>
            <w:tcW w:w="1295" w:type="dxa"/>
            <w:vMerge/>
            <w:vAlign w:val="center"/>
          </w:tcPr>
          <w:p w:rsidR="00C223F5" w:rsidRDefault="00C223F5">
            <w:pPr>
              <w:autoSpaceDE w:val="0"/>
              <w:autoSpaceDN w:val="0"/>
              <w:jc w:val="center"/>
              <w:rPr>
                <w:kern w:val="0"/>
                <w:szCs w:val="21"/>
              </w:rPr>
            </w:pPr>
          </w:p>
        </w:tc>
        <w:tc>
          <w:tcPr>
            <w:tcW w:w="1000" w:type="dxa"/>
            <w:vMerge/>
            <w:vAlign w:val="center"/>
          </w:tcPr>
          <w:p w:rsidR="00C223F5" w:rsidRDefault="00C223F5">
            <w:pPr>
              <w:autoSpaceDE w:val="0"/>
              <w:autoSpaceDN w:val="0"/>
              <w:jc w:val="center"/>
              <w:rPr>
                <w:kern w:val="0"/>
                <w:szCs w:val="21"/>
              </w:rPr>
            </w:pPr>
          </w:p>
        </w:tc>
      </w:tr>
      <w:tr w:rsidR="00C223F5">
        <w:trPr>
          <w:trHeight w:val="70"/>
          <w:jc w:val="center"/>
        </w:trPr>
        <w:tc>
          <w:tcPr>
            <w:tcW w:w="2938" w:type="dxa"/>
            <w:vMerge/>
            <w:vAlign w:val="center"/>
          </w:tcPr>
          <w:p w:rsidR="00C223F5" w:rsidRDefault="00C223F5">
            <w:pPr>
              <w:autoSpaceDE w:val="0"/>
              <w:autoSpaceDN w:val="0"/>
              <w:jc w:val="center"/>
              <w:rPr>
                <w:kern w:val="0"/>
                <w:szCs w:val="21"/>
              </w:rPr>
            </w:pPr>
          </w:p>
        </w:tc>
        <w:tc>
          <w:tcPr>
            <w:tcW w:w="1586" w:type="dxa"/>
            <w:vAlign w:val="center"/>
          </w:tcPr>
          <w:p w:rsidR="00C223F5" w:rsidRPr="00D807E3" w:rsidRDefault="005860D5">
            <w:pPr>
              <w:autoSpaceDE w:val="0"/>
              <w:autoSpaceDN w:val="0"/>
              <w:jc w:val="center"/>
              <w:rPr>
                <w:color w:val="FF0000"/>
                <w:kern w:val="0"/>
                <w:szCs w:val="21"/>
              </w:rPr>
            </w:pPr>
            <w:r w:rsidRPr="00D807E3">
              <w:rPr>
                <w:color w:val="FF0000"/>
                <w:kern w:val="0"/>
                <w:szCs w:val="21"/>
              </w:rPr>
              <w:t>油脂库</w:t>
            </w:r>
            <w:r w:rsidR="00D807E3" w:rsidRPr="00D807E3">
              <w:rPr>
                <w:rFonts w:hint="eastAsia"/>
                <w:color w:val="FF0000"/>
                <w:kern w:val="0"/>
                <w:szCs w:val="21"/>
              </w:rPr>
              <w:t>（与危废暂存间分隔共建）</w:t>
            </w:r>
          </w:p>
        </w:tc>
        <w:tc>
          <w:tcPr>
            <w:tcW w:w="1476" w:type="dxa"/>
            <w:vAlign w:val="center"/>
          </w:tcPr>
          <w:p w:rsidR="00C223F5" w:rsidRDefault="005860D5">
            <w:pPr>
              <w:autoSpaceDE w:val="0"/>
              <w:autoSpaceDN w:val="0"/>
              <w:jc w:val="center"/>
              <w:rPr>
                <w:kern w:val="0"/>
                <w:szCs w:val="21"/>
              </w:rPr>
            </w:pPr>
            <w:r>
              <w:rPr>
                <w:kern w:val="0"/>
                <w:szCs w:val="21"/>
              </w:rPr>
              <w:t>80</w:t>
            </w:r>
          </w:p>
        </w:tc>
        <w:tc>
          <w:tcPr>
            <w:tcW w:w="1295" w:type="dxa"/>
            <w:vMerge/>
            <w:vAlign w:val="center"/>
          </w:tcPr>
          <w:p w:rsidR="00C223F5" w:rsidRDefault="00C223F5">
            <w:pPr>
              <w:autoSpaceDE w:val="0"/>
              <w:autoSpaceDN w:val="0"/>
              <w:jc w:val="center"/>
              <w:rPr>
                <w:kern w:val="0"/>
                <w:szCs w:val="21"/>
              </w:rPr>
            </w:pPr>
          </w:p>
        </w:tc>
        <w:tc>
          <w:tcPr>
            <w:tcW w:w="1000" w:type="dxa"/>
            <w:vMerge/>
            <w:vAlign w:val="center"/>
          </w:tcPr>
          <w:p w:rsidR="00C223F5" w:rsidRDefault="00C223F5">
            <w:pPr>
              <w:autoSpaceDE w:val="0"/>
              <w:autoSpaceDN w:val="0"/>
              <w:jc w:val="center"/>
              <w:rPr>
                <w:kern w:val="0"/>
                <w:szCs w:val="21"/>
              </w:rPr>
            </w:pPr>
          </w:p>
        </w:tc>
      </w:tr>
      <w:tr w:rsidR="00C223F5">
        <w:trPr>
          <w:trHeight w:val="70"/>
          <w:jc w:val="center"/>
        </w:trPr>
        <w:tc>
          <w:tcPr>
            <w:tcW w:w="4524" w:type="dxa"/>
            <w:gridSpan w:val="2"/>
            <w:vAlign w:val="center"/>
          </w:tcPr>
          <w:p w:rsidR="00C223F5" w:rsidRDefault="005860D5">
            <w:pPr>
              <w:autoSpaceDE w:val="0"/>
              <w:autoSpaceDN w:val="0"/>
              <w:jc w:val="center"/>
              <w:rPr>
                <w:kern w:val="0"/>
                <w:szCs w:val="21"/>
              </w:rPr>
            </w:pPr>
            <w:r>
              <w:rPr>
                <w:kern w:val="0"/>
                <w:szCs w:val="21"/>
              </w:rPr>
              <w:t>无轨胶轮车库</w:t>
            </w:r>
          </w:p>
        </w:tc>
        <w:tc>
          <w:tcPr>
            <w:tcW w:w="1476" w:type="dxa"/>
            <w:vAlign w:val="center"/>
          </w:tcPr>
          <w:p w:rsidR="00C223F5" w:rsidRDefault="005860D5">
            <w:pPr>
              <w:autoSpaceDE w:val="0"/>
              <w:autoSpaceDN w:val="0"/>
              <w:jc w:val="center"/>
              <w:rPr>
                <w:kern w:val="0"/>
                <w:szCs w:val="21"/>
              </w:rPr>
            </w:pPr>
            <w:r>
              <w:rPr>
                <w:kern w:val="0"/>
                <w:szCs w:val="21"/>
              </w:rPr>
              <w:t>240</w:t>
            </w:r>
          </w:p>
        </w:tc>
        <w:tc>
          <w:tcPr>
            <w:tcW w:w="1295" w:type="dxa"/>
            <w:vAlign w:val="center"/>
          </w:tcPr>
          <w:p w:rsidR="00C223F5" w:rsidRDefault="005860D5">
            <w:pPr>
              <w:autoSpaceDE w:val="0"/>
              <w:autoSpaceDN w:val="0"/>
              <w:jc w:val="center"/>
              <w:rPr>
                <w:kern w:val="0"/>
                <w:szCs w:val="21"/>
              </w:rPr>
            </w:pPr>
            <w:r>
              <w:rPr>
                <w:kern w:val="0"/>
                <w:szCs w:val="21"/>
              </w:rPr>
              <w:t>240</w:t>
            </w:r>
          </w:p>
        </w:tc>
        <w:tc>
          <w:tcPr>
            <w:tcW w:w="1000" w:type="dxa"/>
            <w:vAlign w:val="center"/>
          </w:tcPr>
          <w:p w:rsidR="00C223F5" w:rsidRDefault="005860D5">
            <w:pPr>
              <w:autoSpaceDE w:val="0"/>
              <w:autoSpaceDN w:val="0"/>
              <w:jc w:val="center"/>
              <w:rPr>
                <w:kern w:val="0"/>
                <w:szCs w:val="21"/>
              </w:rPr>
            </w:pPr>
            <w:r>
              <w:rPr>
                <w:kern w:val="0"/>
                <w:szCs w:val="21"/>
              </w:rPr>
              <w:t>30×8</w:t>
            </w:r>
          </w:p>
        </w:tc>
      </w:tr>
    </w:tbl>
    <w:p w:rsidR="00C223F5" w:rsidRDefault="005860D5" w:rsidP="004835BD">
      <w:pPr>
        <w:pStyle w:val="3"/>
        <w:numPr>
          <w:ilvl w:val="0"/>
          <w:numId w:val="0"/>
        </w:numPr>
        <w:spacing w:beforeLines="50" w:before="120" w:after="0" w:line="360" w:lineRule="auto"/>
        <w:ind w:left="170"/>
        <w:rPr>
          <w:rFonts w:eastAsia="宋体"/>
          <w:b/>
          <w:bCs w:val="0"/>
          <w:sz w:val="28"/>
          <w:szCs w:val="28"/>
        </w:rPr>
      </w:pPr>
      <w:bookmarkStart w:id="204" w:name="_Toc533604712"/>
      <w:bookmarkStart w:id="205" w:name="_Toc533604292"/>
      <w:bookmarkStart w:id="206" w:name="_Toc16785257"/>
      <w:r>
        <w:rPr>
          <w:rFonts w:eastAsia="宋体" w:hint="eastAsia"/>
          <w:b/>
          <w:bCs w:val="0"/>
          <w:sz w:val="28"/>
          <w:szCs w:val="28"/>
        </w:rPr>
        <w:t>2.2.5</w:t>
      </w:r>
      <w:r>
        <w:rPr>
          <w:rFonts w:eastAsia="宋体" w:hint="eastAsia"/>
          <w:b/>
          <w:bCs w:val="0"/>
          <w:sz w:val="28"/>
          <w:szCs w:val="28"/>
        </w:rPr>
        <w:t>选煤工程</w:t>
      </w:r>
      <w:bookmarkEnd w:id="204"/>
      <w:bookmarkEnd w:id="205"/>
      <w:bookmarkEnd w:id="206"/>
    </w:p>
    <w:p w:rsidR="00C223F5" w:rsidRDefault="005860D5" w:rsidP="004835BD">
      <w:pPr>
        <w:pStyle w:val="4"/>
        <w:spacing w:before="0" w:after="0" w:line="360" w:lineRule="auto"/>
        <w:ind w:firstLineChars="100" w:firstLine="241"/>
        <w:rPr>
          <w:b/>
          <w:szCs w:val="24"/>
        </w:rPr>
      </w:pPr>
      <w:r>
        <w:rPr>
          <w:rFonts w:hint="eastAsia"/>
          <w:b/>
          <w:szCs w:val="24"/>
        </w:rPr>
        <w:t>（一）选煤厂工艺流程</w:t>
      </w:r>
    </w:p>
    <w:p w:rsidR="00C223F5" w:rsidRDefault="005860D5">
      <w:pPr>
        <w:spacing w:line="360" w:lineRule="auto"/>
        <w:ind w:firstLineChars="200" w:firstLine="480"/>
        <w:rPr>
          <w:sz w:val="24"/>
        </w:rPr>
      </w:pPr>
      <w:r>
        <w:rPr>
          <w:rFonts w:hAnsi="宋体" w:hint="eastAsia"/>
          <w:sz w:val="24"/>
        </w:rPr>
        <w:t>矿井配套建设选煤厂，</w:t>
      </w:r>
      <w:r>
        <w:rPr>
          <w:rFonts w:hAnsi="宋体"/>
          <w:sz w:val="24"/>
        </w:rPr>
        <w:t>规模</w:t>
      </w:r>
      <w:r>
        <w:rPr>
          <w:rFonts w:hAnsi="宋体" w:hint="eastAsia"/>
          <w:sz w:val="24"/>
        </w:rPr>
        <w:t>为</w:t>
      </w:r>
      <w:r>
        <w:rPr>
          <w:rFonts w:hAnsi="宋体" w:hint="eastAsia"/>
          <w:sz w:val="24"/>
        </w:rPr>
        <w:t>0.9</w:t>
      </w:r>
      <w:r>
        <w:rPr>
          <w:rFonts w:hAnsi="宋体"/>
          <w:sz w:val="24"/>
        </w:rPr>
        <w:t>0Mt/a</w:t>
      </w:r>
      <w:r>
        <w:rPr>
          <w:rFonts w:hAnsi="宋体" w:hint="eastAsia"/>
          <w:sz w:val="24"/>
        </w:rPr>
        <w:t>，</w:t>
      </w:r>
      <w:r>
        <w:rPr>
          <w:rFonts w:hAnsi="宋体"/>
          <w:sz w:val="24"/>
        </w:rPr>
        <w:t>选煤厂厂址位于矿井工业场地</w:t>
      </w:r>
      <w:r>
        <w:rPr>
          <w:rFonts w:hAnsi="宋体" w:hint="eastAsia"/>
          <w:sz w:val="24"/>
        </w:rPr>
        <w:t>东部，</w:t>
      </w:r>
      <w:r>
        <w:rPr>
          <w:rFonts w:hint="eastAsia"/>
          <w:sz w:val="24"/>
        </w:rPr>
        <w:t>设计</w:t>
      </w:r>
      <w:r>
        <w:rPr>
          <w:rFonts w:hAnsi="宋体" w:hint="eastAsia"/>
          <w:sz w:val="24"/>
        </w:rPr>
        <w:t>150mm</w:t>
      </w:r>
      <w:r>
        <w:rPr>
          <w:rFonts w:hAnsi="宋体" w:hint="eastAsia"/>
          <w:sz w:val="24"/>
        </w:rPr>
        <w:t>～</w:t>
      </w:r>
      <w:r>
        <w:rPr>
          <w:rFonts w:hAnsi="宋体" w:hint="eastAsia"/>
          <w:sz w:val="24"/>
        </w:rPr>
        <w:t>50mm</w:t>
      </w:r>
      <w:r>
        <w:rPr>
          <w:rFonts w:hAnsi="宋体"/>
          <w:sz w:val="24"/>
        </w:rPr>
        <w:t>块煤</w:t>
      </w:r>
      <w:r>
        <w:rPr>
          <w:rFonts w:hAnsi="宋体" w:hint="eastAsia"/>
          <w:sz w:val="24"/>
        </w:rPr>
        <w:t>排矸选用智能选矸系统，</w:t>
      </w:r>
      <w:r>
        <w:rPr>
          <w:rFonts w:hint="eastAsia"/>
          <w:sz w:val="24"/>
        </w:rPr>
        <w:t>50</w:t>
      </w:r>
      <w:r>
        <w:rPr>
          <w:sz w:val="24"/>
        </w:rPr>
        <w:t>mm</w:t>
      </w:r>
      <w:r>
        <w:rPr>
          <w:rFonts w:hAnsi="宋体"/>
          <w:sz w:val="24"/>
        </w:rPr>
        <w:t>～</w:t>
      </w:r>
      <w:r>
        <w:rPr>
          <w:rFonts w:hint="eastAsia"/>
          <w:sz w:val="24"/>
        </w:rPr>
        <w:t>0</w:t>
      </w:r>
      <w:r>
        <w:rPr>
          <w:sz w:val="24"/>
        </w:rPr>
        <w:t xml:space="preserve">mm </w:t>
      </w:r>
      <w:r>
        <w:rPr>
          <w:rFonts w:hAnsi="宋体"/>
          <w:sz w:val="24"/>
        </w:rPr>
        <w:t>末煤</w:t>
      </w:r>
      <w:r>
        <w:rPr>
          <w:rFonts w:hAnsi="宋体" w:hint="eastAsia"/>
          <w:sz w:val="24"/>
        </w:rPr>
        <w:t>洗选采用无压三产品重介旋流器，</w:t>
      </w:r>
      <w:r>
        <w:rPr>
          <w:sz w:val="24"/>
        </w:rPr>
        <w:t>1.</w:t>
      </w:r>
      <w:r>
        <w:rPr>
          <w:rFonts w:hint="eastAsia"/>
          <w:sz w:val="24"/>
        </w:rPr>
        <w:t>0</w:t>
      </w:r>
      <w:r>
        <w:rPr>
          <w:sz w:val="24"/>
        </w:rPr>
        <w:t>mm</w:t>
      </w:r>
      <w:r>
        <w:rPr>
          <w:rFonts w:hAnsi="宋体"/>
          <w:sz w:val="24"/>
        </w:rPr>
        <w:t>～</w:t>
      </w:r>
      <w:r>
        <w:rPr>
          <w:sz w:val="24"/>
        </w:rPr>
        <w:t>0.25mm</w:t>
      </w:r>
      <w:r>
        <w:rPr>
          <w:rFonts w:hAnsi="宋体"/>
          <w:sz w:val="24"/>
        </w:rPr>
        <w:t>粗煤泥</w:t>
      </w:r>
      <w:r>
        <w:rPr>
          <w:rFonts w:hAnsi="宋体" w:hint="eastAsia"/>
          <w:sz w:val="24"/>
        </w:rPr>
        <w:t>的分选采用</w:t>
      </w:r>
      <w:r>
        <w:rPr>
          <w:rFonts w:hAnsi="宋体" w:hint="eastAsia"/>
          <w:sz w:val="24"/>
        </w:rPr>
        <w:t>TBS</w:t>
      </w:r>
      <w:r>
        <w:rPr>
          <w:rFonts w:hAnsi="宋体" w:hint="eastAsia"/>
          <w:sz w:val="24"/>
        </w:rPr>
        <w:t>分选机。</w:t>
      </w:r>
      <w:r>
        <w:rPr>
          <w:rFonts w:hAnsi="宋体"/>
          <w:sz w:val="24"/>
        </w:rPr>
        <w:t>选煤厂</w:t>
      </w:r>
      <w:r>
        <w:rPr>
          <w:rFonts w:hAnsi="宋体" w:hint="eastAsia"/>
          <w:sz w:val="24"/>
        </w:rPr>
        <w:t>工艺</w:t>
      </w:r>
      <w:r>
        <w:rPr>
          <w:rFonts w:hAnsi="宋体"/>
          <w:sz w:val="24"/>
        </w:rPr>
        <w:t>流程见图</w:t>
      </w:r>
      <w:r>
        <w:rPr>
          <w:rFonts w:hAnsi="宋体" w:hint="eastAsia"/>
          <w:sz w:val="24"/>
        </w:rPr>
        <w:t>2</w:t>
      </w:r>
      <w:r>
        <w:rPr>
          <w:rFonts w:hAnsi="宋体"/>
          <w:sz w:val="24"/>
        </w:rPr>
        <w:t>.</w:t>
      </w:r>
      <w:r>
        <w:rPr>
          <w:rFonts w:hAnsi="宋体" w:hint="eastAsia"/>
          <w:sz w:val="24"/>
        </w:rPr>
        <w:t>2</w:t>
      </w:r>
      <w:r>
        <w:rPr>
          <w:rFonts w:hAnsi="宋体"/>
          <w:sz w:val="24"/>
        </w:rPr>
        <w:t>.</w:t>
      </w:r>
      <w:r>
        <w:rPr>
          <w:rFonts w:hAnsi="宋体" w:hint="eastAsia"/>
          <w:sz w:val="24"/>
        </w:rPr>
        <w:t>5-1</w:t>
      </w:r>
      <w:r>
        <w:rPr>
          <w:rFonts w:hAnsi="宋体" w:hint="eastAsia"/>
          <w:sz w:val="24"/>
        </w:rPr>
        <w:t>，地面生产工艺布置见图</w:t>
      </w:r>
      <w:r>
        <w:rPr>
          <w:rFonts w:hAnsi="宋体"/>
          <w:sz w:val="24"/>
        </w:rPr>
        <w:t>2.2.5-2</w:t>
      </w:r>
      <w:r>
        <w:rPr>
          <w:rFonts w:hAnsi="宋体" w:hint="eastAsia"/>
          <w:sz w:val="24"/>
        </w:rPr>
        <w:t>。</w:t>
      </w:r>
    </w:p>
    <w:p w:rsidR="00C223F5" w:rsidRDefault="005860D5">
      <w:pPr>
        <w:spacing w:line="360" w:lineRule="auto"/>
        <w:ind w:firstLineChars="200" w:firstLine="480"/>
        <w:rPr>
          <w:sz w:val="24"/>
        </w:rPr>
      </w:pPr>
      <w:r>
        <w:rPr>
          <w:rFonts w:hAnsi="宋体"/>
          <w:sz w:val="24"/>
        </w:rPr>
        <w:t>①</w:t>
      </w:r>
      <w:r>
        <w:rPr>
          <w:sz w:val="24"/>
        </w:rPr>
        <w:t>300mm</w:t>
      </w:r>
      <w:r>
        <w:rPr>
          <w:sz w:val="24"/>
        </w:rPr>
        <w:t>～</w:t>
      </w:r>
      <w:r>
        <w:rPr>
          <w:sz w:val="24"/>
        </w:rPr>
        <w:t>150mm</w:t>
      </w:r>
      <w:r>
        <w:rPr>
          <w:sz w:val="24"/>
        </w:rPr>
        <w:t>原煤破碎及储存系统</w:t>
      </w:r>
    </w:p>
    <w:p w:rsidR="00C223F5" w:rsidRDefault="005860D5">
      <w:pPr>
        <w:spacing w:line="360" w:lineRule="auto"/>
        <w:ind w:firstLineChars="200" w:firstLine="480"/>
        <w:rPr>
          <w:sz w:val="24"/>
        </w:rPr>
      </w:pPr>
      <w:r>
        <w:rPr>
          <w:sz w:val="24"/>
        </w:rPr>
        <w:t>井下原煤（</w:t>
      </w:r>
      <w:r>
        <w:rPr>
          <w:sz w:val="24"/>
        </w:rPr>
        <w:t>-300mm</w:t>
      </w:r>
      <w:r>
        <w:rPr>
          <w:sz w:val="24"/>
        </w:rPr>
        <w:t>）经带式输送机运至原煤仓上，通过分级式齿辊破碎机将原煤破碎至</w:t>
      </w:r>
      <w:r>
        <w:rPr>
          <w:sz w:val="24"/>
        </w:rPr>
        <w:t>150mm</w:t>
      </w:r>
      <w:r>
        <w:rPr>
          <w:sz w:val="24"/>
        </w:rPr>
        <w:t>以下，破碎后原煤（</w:t>
      </w:r>
      <w:r>
        <w:rPr>
          <w:sz w:val="24"/>
        </w:rPr>
        <w:t>-150mm</w:t>
      </w:r>
      <w:r>
        <w:rPr>
          <w:sz w:val="24"/>
        </w:rPr>
        <w:t>）通过溜槽进入原煤仓进行储存。</w:t>
      </w:r>
    </w:p>
    <w:p w:rsidR="00C223F5" w:rsidRDefault="005860D5">
      <w:pPr>
        <w:spacing w:line="360" w:lineRule="auto"/>
        <w:ind w:firstLineChars="200" w:firstLine="480"/>
        <w:rPr>
          <w:sz w:val="24"/>
        </w:rPr>
      </w:pPr>
      <w:r>
        <w:rPr>
          <w:rFonts w:hAnsi="宋体"/>
          <w:sz w:val="24"/>
        </w:rPr>
        <w:t>②</w:t>
      </w:r>
      <w:r>
        <w:rPr>
          <w:sz w:val="24"/>
        </w:rPr>
        <w:t>150mm</w:t>
      </w:r>
      <w:r>
        <w:rPr>
          <w:sz w:val="24"/>
        </w:rPr>
        <w:t>～</w:t>
      </w:r>
      <w:r>
        <w:rPr>
          <w:sz w:val="24"/>
        </w:rPr>
        <w:t xml:space="preserve">50mm </w:t>
      </w:r>
      <w:r>
        <w:rPr>
          <w:sz w:val="24"/>
        </w:rPr>
        <w:t>原煤分级及智能选矸系统</w:t>
      </w:r>
    </w:p>
    <w:p w:rsidR="00C223F5" w:rsidRDefault="005860D5">
      <w:pPr>
        <w:spacing w:line="360" w:lineRule="auto"/>
        <w:ind w:firstLineChars="200" w:firstLine="480"/>
        <w:rPr>
          <w:sz w:val="24"/>
        </w:rPr>
      </w:pPr>
      <w:r>
        <w:rPr>
          <w:sz w:val="24"/>
        </w:rPr>
        <w:t>通过原煤仓下给煤机将原煤给至上筛分破碎车间带式输送机上，经带式输送机运至筛分破碎车间给入原煤双层分级筛进行分级。分级筛的上层筛孔为</w:t>
      </w:r>
      <w:r>
        <w:rPr>
          <w:sz w:val="24"/>
        </w:rPr>
        <w:t>50mm</w:t>
      </w:r>
      <w:r>
        <w:rPr>
          <w:sz w:val="24"/>
        </w:rPr>
        <w:t>，筛上物</w:t>
      </w:r>
      <w:r>
        <w:rPr>
          <w:sz w:val="24"/>
        </w:rPr>
        <w:t>150mm</w:t>
      </w:r>
      <w:r>
        <w:rPr>
          <w:sz w:val="24"/>
        </w:rPr>
        <w:t>～</w:t>
      </w:r>
      <w:r>
        <w:rPr>
          <w:sz w:val="24"/>
        </w:rPr>
        <w:t>50mm</w:t>
      </w:r>
      <w:r>
        <w:rPr>
          <w:sz w:val="24"/>
        </w:rPr>
        <w:t>块煤，进入智能选矸系统进行排矸作业。经智能选矸系统排矸后的块煤进入块煤破碎机破碎至</w:t>
      </w:r>
      <w:r>
        <w:rPr>
          <w:sz w:val="24"/>
        </w:rPr>
        <w:t>-50mm</w:t>
      </w:r>
      <w:r>
        <w:rPr>
          <w:sz w:val="24"/>
        </w:rPr>
        <w:t>，与筛下物</w:t>
      </w:r>
      <w:r>
        <w:rPr>
          <w:sz w:val="24"/>
        </w:rPr>
        <w:t>50mm</w:t>
      </w:r>
      <w:r>
        <w:rPr>
          <w:sz w:val="24"/>
        </w:rPr>
        <w:t>～</w:t>
      </w:r>
      <w:r>
        <w:rPr>
          <w:sz w:val="24"/>
        </w:rPr>
        <w:t>0mm</w:t>
      </w:r>
      <w:r>
        <w:rPr>
          <w:sz w:val="24"/>
        </w:rPr>
        <w:t>末煤混为一起通过带式输送机运至主厂房进行洗选，矸石进入矸石转载带式输送机。</w:t>
      </w:r>
    </w:p>
    <w:p w:rsidR="00C223F5" w:rsidRDefault="005860D5">
      <w:pPr>
        <w:spacing w:line="360" w:lineRule="auto"/>
        <w:ind w:firstLineChars="200" w:firstLine="480"/>
        <w:rPr>
          <w:sz w:val="24"/>
        </w:rPr>
      </w:pPr>
      <w:r>
        <w:rPr>
          <w:rFonts w:hAnsi="宋体"/>
          <w:sz w:val="24"/>
        </w:rPr>
        <w:t>③</w:t>
      </w:r>
      <w:r>
        <w:rPr>
          <w:sz w:val="24"/>
        </w:rPr>
        <w:t>50mm</w:t>
      </w:r>
      <w:r>
        <w:rPr>
          <w:sz w:val="24"/>
        </w:rPr>
        <w:t>～</w:t>
      </w:r>
      <w:r>
        <w:rPr>
          <w:sz w:val="24"/>
        </w:rPr>
        <w:t>0mm</w:t>
      </w:r>
      <w:r>
        <w:rPr>
          <w:sz w:val="24"/>
        </w:rPr>
        <w:t>末煤无压三产品重介旋流器分选</w:t>
      </w:r>
    </w:p>
    <w:p w:rsidR="00C223F5" w:rsidRDefault="005860D5">
      <w:pPr>
        <w:spacing w:line="360" w:lineRule="auto"/>
        <w:ind w:firstLineChars="200" w:firstLine="480"/>
        <w:rPr>
          <w:sz w:val="24"/>
        </w:rPr>
      </w:pPr>
      <w:r>
        <w:rPr>
          <w:sz w:val="24"/>
        </w:rPr>
        <w:t>50mm</w:t>
      </w:r>
      <w:r>
        <w:rPr>
          <w:sz w:val="24"/>
        </w:rPr>
        <w:t>～</w:t>
      </w:r>
      <w:r>
        <w:rPr>
          <w:sz w:val="24"/>
        </w:rPr>
        <w:t>0mm</w:t>
      </w:r>
      <w:r>
        <w:rPr>
          <w:sz w:val="24"/>
        </w:rPr>
        <w:t>末煤经带式输送机运至主厂房上层转载刮板运输机进行润湿，通过刮板运输机进入无压三产品重介质旋流器进行分选，一次性分选出精煤、中煤和矸石。产品先由弧形筛预先脱介脱水，然后进入脱介筛上喷水脱介，精煤及中煤分别由离心机进行二次脱水后做为最终产品，经带式输送机运至产品仓；矸石经过脱介脱水后进入矸石带式输送机运至矸石仓。</w:t>
      </w:r>
    </w:p>
    <w:p w:rsidR="00C223F5" w:rsidRDefault="000F32AE">
      <w:pPr>
        <w:spacing w:line="360" w:lineRule="auto"/>
        <w:ind w:firstLineChars="200" w:firstLine="480"/>
        <w:rPr>
          <w:sz w:val="24"/>
        </w:rPr>
      </w:pPr>
      <w:r>
        <w:rPr>
          <w:sz w:val="24"/>
        </w:rPr>
        <w:lastRenderedPageBreak/>
        <w:fldChar w:fldCharType="begin"/>
      </w:r>
      <w:r w:rsidR="005860D5">
        <w:rPr>
          <w:sz w:val="24"/>
        </w:rPr>
        <w:instrText xml:space="preserve"> = 4 \* GB3 </w:instrText>
      </w:r>
      <w:r>
        <w:rPr>
          <w:sz w:val="24"/>
        </w:rPr>
        <w:fldChar w:fldCharType="separate"/>
      </w:r>
      <w:r w:rsidR="005860D5">
        <w:rPr>
          <w:sz w:val="24"/>
        </w:rPr>
        <w:t>④</w:t>
      </w:r>
      <w:r>
        <w:rPr>
          <w:sz w:val="24"/>
        </w:rPr>
        <w:fldChar w:fldCharType="end"/>
      </w:r>
      <w:r w:rsidR="005860D5">
        <w:rPr>
          <w:sz w:val="24"/>
        </w:rPr>
        <w:t>1.0mm</w:t>
      </w:r>
      <w:r w:rsidR="005860D5">
        <w:rPr>
          <w:sz w:val="24"/>
        </w:rPr>
        <w:t>～</w:t>
      </w:r>
      <w:r w:rsidR="005860D5">
        <w:rPr>
          <w:sz w:val="24"/>
        </w:rPr>
        <w:t>0.25mm</w:t>
      </w:r>
      <w:r w:rsidR="005860D5">
        <w:rPr>
          <w:sz w:val="24"/>
        </w:rPr>
        <w:t>粗煤泥采用</w:t>
      </w:r>
      <w:r w:rsidR="005860D5">
        <w:rPr>
          <w:sz w:val="24"/>
        </w:rPr>
        <w:t>TBS</w:t>
      </w:r>
      <w:r w:rsidR="005860D5">
        <w:rPr>
          <w:sz w:val="24"/>
        </w:rPr>
        <w:t>分选</w:t>
      </w:r>
    </w:p>
    <w:p w:rsidR="00C223F5" w:rsidRDefault="005860D5">
      <w:pPr>
        <w:spacing w:line="360" w:lineRule="auto"/>
        <w:ind w:firstLineChars="200" w:firstLine="480"/>
        <w:rPr>
          <w:sz w:val="24"/>
        </w:rPr>
      </w:pPr>
      <w:r>
        <w:rPr>
          <w:sz w:val="24"/>
        </w:rPr>
        <w:t>精煤磁选尾矿和中矸磁选尾矿分别进入各自的粗煤泥回收系统，精煤磁选尾矿依次通过浓缩分级旋流器、</w:t>
      </w:r>
      <w:r>
        <w:rPr>
          <w:sz w:val="24"/>
        </w:rPr>
        <w:t>TBS</w:t>
      </w:r>
      <w:r>
        <w:rPr>
          <w:sz w:val="24"/>
        </w:rPr>
        <w:t>分选机、煤泥弧形筛和煤泥离心机回收粗精煤掺入精煤，</w:t>
      </w:r>
      <w:r>
        <w:rPr>
          <w:sz w:val="24"/>
        </w:rPr>
        <w:t>TBS</w:t>
      </w:r>
      <w:r>
        <w:rPr>
          <w:sz w:val="24"/>
        </w:rPr>
        <w:t>分选机底流进入高频筛进行脱水，脱水后的产品进入矸石带式输送机。中矸磁选尾矿依次通过浓缩分级旋流器、高频筛回收粗煤泥掺入中煤。精煤泥浓缩分级旋流器溢流、中矸煤泥浓缩分级旋流器溢流及中矸煤泥高频筛下水进入浓缩机。弧形筛筛下水和煤泥离心机离心液进入精煤磁选尾矿桶。</w:t>
      </w:r>
      <w:r>
        <w:rPr>
          <w:sz w:val="24"/>
        </w:rPr>
        <w:t xml:space="preserve"> </w:t>
      </w:r>
    </w:p>
    <w:p w:rsidR="00C223F5" w:rsidRDefault="000F32AE">
      <w:pPr>
        <w:spacing w:line="360" w:lineRule="auto"/>
        <w:ind w:firstLineChars="200" w:firstLine="480"/>
        <w:rPr>
          <w:sz w:val="24"/>
        </w:rPr>
      </w:pPr>
      <w:r>
        <w:rPr>
          <w:sz w:val="24"/>
        </w:rPr>
        <w:fldChar w:fldCharType="begin"/>
      </w:r>
      <w:r w:rsidR="005860D5">
        <w:rPr>
          <w:sz w:val="24"/>
        </w:rPr>
        <w:instrText xml:space="preserve"> = 5 \* GB3 </w:instrText>
      </w:r>
      <w:r>
        <w:rPr>
          <w:sz w:val="24"/>
        </w:rPr>
        <w:fldChar w:fldCharType="separate"/>
      </w:r>
      <w:r w:rsidR="005860D5">
        <w:rPr>
          <w:sz w:val="24"/>
        </w:rPr>
        <w:t>⑤</w:t>
      </w:r>
      <w:r>
        <w:rPr>
          <w:sz w:val="24"/>
        </w:rPr>
        <w:fldChar w:fldCharType="end"/>
      </w:r>
      <w:r w:rsidR="005860D5">
        <w:rPr>
          <w:sz w:val="24"/>
        </w:rPr>
        <w:t>煤泥水处理</w:t>
      </w:r>
    </w:p>
    <w:p w:rsidR="00C223F5" w:rsidRPr="00925B84" w:rsidRDefault="005860D5">
      <w:pPr>
        <w:adjustRightInd w:val="0"/>
        <w:snapToGrid w:val="0"/>
        <w:spacing w:line="360" w:lineRule="auto"/>
        <w:ind w:firstLineChars="200" w:firstLine="480"/>
        <w:rPr>
          <w:sz w:val="24"/>
        </w:rPr>
      </w:pPr>
      <w:r>
        <w:rPr>
          <w:sz w:val="24"/>
        </w:rPr>
        <w:t>精煤泥浓缩分级旋</w:t>
      </w:r>
      <w:r w:rsidRPr="00925B84">
        <w:rPr>
          <w:sz w:val="24"/>
        </w:rPr>
        <w:t>流器溢流、中矸煤泥浓缩分级旋流器溢流及中矸煤泥高频筛下水进入</w:t>
      </w:r>
      <w:r w:rsidRPr="00925B84">
        <w:rPr>
          <w:sz w:val="24"/>
        </w:rPr>
        <w:t>2</w:t>
      </w:r>
      <w:r w:rsidRPr="00925B84">
        <w:rPr>
          <w:sz w:val="24"/>
        </w:rPr>
        <w:t>台</w:t>
      </w:r>
      <w:r w:rsidRPr="00925B84">
        <w:rPr>
          <w:sz w:val="24"/>
        </w:rPr>
        <w:t>φ28m</w:t>
      </w:r>
      <w:r w:rsidRPr="00925B84">
        <w:rPr>
          <w:sz w:val="24"/>
        </w:rPr>
        <w:t>高效浓缩机</w:t>
      </w:r>
      <w:r w:rsidRPr="00925B84">
        <w:rPr>
          <w:rFonts w:hint="eastAsia"/>
          <w:sz w:val="24"/>
        </w:rPr>
        <w:t>（</w:t>
      </w:r>
      <w:r w:rsidRPr="00925B84">
        <w:rPr>
          <w:rFonts w:hint="eastAsia"/>
          <w:sz w:val="24"/>
        </w:rPr>
        <w:t>1</w:t>
      </w:r>
      <w:r w:rsidRPr="00925B84">
        <w:rPr>
          <w:sz w:val="24"/>
        </w:rPr>
        <w:t>用</w:t>
      </w:r>
      <w:r w:rsidRPr="00925B84">
        <w:rPr>
          <w:rFonts w:hint="eastAsia"/>
          <w:sz w:val="24"/>
        </w:rPr>
        <w:t>1</w:t>
      </w:r>
      <w:r w:rsidRPr="00925B84">
        <w:rPr>
          <w:sz w:val="24"/>
        </w:rPr>
        <w:t>备</w:t>
      </w:r>
      <w:r w:rsidRPr="00925B84">
        <w:rPr>
          <w:rFonts w:hint="eastAsia"/>
          <w:sz w:val="24"/>
        </w:rPr>
        <w:t>）</w:t>
      </w:r>
      <w:r w:rsidRPr="00925B84">
        <w:rPr>
          <w:sz w:val="24"/>
        </w:rPr>
        <w:t>，浓缩机溢流作为循环水由循环水泵打回主厂房循环使用。浓缩机底流经底流泵送到压滤机入料搅拌桶，再经压滤机脱水回收</w:t>
      </w:r>
      <w:r w:rsidRPr="00925B84">
        <w:rPr>
          <w:rFonts w:hint="eastAsia"/>
          <w:sz w:val="24"/>
        </w:rPr>
        <w:t>；</w:t>
      </w:r>
      <w:r w:rsidRPr="00925B84">
        <w:rPr>
          <w:sz w:val="24"/>
        </w:rPr>
        <w:t>压滤回收的煤泥经带式输送机运至煤泥落载场地，再装车外运。</w:t>
      </w:r>
      <w:r w:rsidRPr="00925B84">
        <w:rPr>
          <w:rFonts w:hint="eastAsia"/>
          <w:b/>
          <w:sz w:val="24"/>
        </w:rPr>
        <w:t>环评要求煤泥落载场地应设</w:t>
      </w:r>
      <w:r w:rsidR="00307EC9" w:rsidRPr="00925B84">
        <w:rPr>
          <w:rFonts w:hint="eastAsia"/>
          <w:b/>
          <w:sz w:val="24"/>
        </w:rPr>
        <w:t>防散逸围挡及</w:t>
      </w:r>
      <w:r w:rsidRPr="00925B84">
        <w:rPr>
          <w:rFonts w:hint="eastAsia"/>
          <w:b/>
          <w:sz w:val="24"/>
        </w:rPr>
        <w:t>顶棚</w:t>
      </w:r>
      <w:r w:rsidR="00307EC9" w:rsidRPr="00925B84">
        <w:rPr>
          <w:rFonts w:hint="eastAsia"/>
          <w:b/>
          <w:sz w:val="24"/>
        </w:rPr>
        <w:t>进行密封，地面防渗和</w:t>
      </w:r>
      <w:r w:rsidRPr="00925B84">
        <w:rPr>
          <w:rFonts w:hint="eastAsia"/>
          <w:b/>
          <w:sz w:val="24"/>
        </w:rPr>
        <w:t>截水</w:t>
      </w:r>
      <w:r w:rsidR="00307EC9" w:rsidRPr="00925B84">
        <w:rPr>
          <w:rFonts w:hint="eastAsia"/>
          <w:b/>
          <w:sz w:val="24"/>
        </w:rPr>
        <w:t>设施</w:t>
      </w:r>
      <w:r w:rsidRPr="00925B84">
        <w:rPr>
          <w:rFonts w:hint="eastAsia"/>
          <w:b/>
          <w:sz w:val="24"/>
        </w:rPr>
        <w:t>等。</w:t>
      </w:r>
    </w:p>
    <w:p w:rsidR="00C223F5" w:rsidRPr="00925B84" w:rsidRDefault="000F32AE">
      <w:pPr>
        <w:spacing w:line="360" w:lineRule="auto"/>
        <w:ind w:firstLineChars="200" w:firstLine="480"/>
        <w:rPr>
          <w:sz w:val="24"/>
        </w:rPr>
      </w:pPr>
      <w:r w:rsidRPr="00925B84">
        <w:rPr>
          <w:sz w:val="24"/>
        </w:rPr>
        <w:fldChar w:fldCharType="begin"/>
      </w:r>
      <w:r w:rsidR="005860D5" w:rsidRPr="00925B84">
        <w:rPr>
          <w:sz w:val="24"/>
        </w:rPr>
        <w:instrText xml:space="preserve"> = 6 \* GB3 </w:instrText>
      </w:r>
      <w:r w:rsidRPr="00925B84">
        <w:rPr>
          <w:sz w:val="24"/>
        </w:rPr>
        <w:fldChar w:fldCharType="separate"/>
      </w:r>
      <w:r w:rsidR="005860D5" w:rsidRPr="00925B84">
        <w:rPr>
          <w:sz w:val="24"/>
        </w:rPr>
        <w:t>⑥</w:t>
      </w:r>
      <w:r w:rsidRPr="00925B84">
        <w:rPr>
          <w:sz w:val="24"/>
        </w:rPr>
        <w:fldChar w:fldCharType="end"/>
      </w:r>
      <w:r w:rsidR="005860D5" w:rsidRPr="00925B84">
        <w:rPr>
          <w:sz w:val="24"/>
        </w:rPr>
        <w:t>介质循环系统</w:t>
      </w:r>
    </w:p>
    <w:p w:rsidR="00C223F5" w:rsidRDefault="005860D5">
      <w:pPr>
        <w:spacing w:line="360" w:lineRule="auto"/>
        <w:ind w:firstLineChars="200" w:firstLine="480"/>
        <w:rPr>
          <w:sz w:val="24"/>
        </w:rPr>
      </w:pPr>
      <w:r w:rsidRPr="00925B84">
        <w:rPr>
          <w:sz w:val="24"/>
        </w:rPr>
        <w:t>重介旋流器精煤稀介质进入精煤磁选机，旋流器中煤和矸石稀介质进入中矸磁选机，选出的磁选精矿返回合介桶，磁选尾矿进入各自的磁选尾矿桶。厂内跑、冒、滴、漏的介质收集后，由扫地泵</w:t>
      </w:r>
      <w:r>
        <w:rPr>
          <w:sz w:val="24"/>
        </w:rPr>
        <w:t>打入稀介系统进行回收处理。</w:t>
      </w:r>
    </w:p>
    <w:p w:rsidR="00C223F5" w:rsidRDefault="005860D5" w:rsidP="004835BD">
      <w:pPr>
        <w:pStyle w:val="4"/>
        <w:spacing w:before="0" w:after="0" w:line="360" w:lineRule="auto"/>
        <w:ind w:firstLineChars="100" w:firstLine="241"/>
        <w:rPr>
          <w:b/>
          <w:szCs w:val="24"/>
        </w:rPr>
      </w:pPr>
      <w:r>
        <w:rPr>
          <w:rFonts w:hint="eastAsia"/>
          <w:b/>
          <w:szCs w:val="24"/>
        </w:rPr>
        <w:t>（二）主要工艺设备及设施</w:t>
      </w:r>
    </w:p>
    <w:p w:rsidR="00C223F5" w:rsidRDefault="000F32AE" w:rsidP="00C006A7">
      <w:pPr>
        <w:spacing w:line="360" w:lineRule="auto"/>
        <w:ind w:firstLineChars="200" w:firstLine="482"/>
        <w:rPr>
          <w:b/>
          <w:sz w:val="24"/>
        </w:rPr>
      </w:pPr>
      <w:r>
        <w:rPr>
          <w:b/>
          <w:sz w:val="24"/>
        </w:rPr>
        <w:fldChar w:fldCharType="begin"/>
      </w:r>
      <w:r w:rsidR="005860D5">
        <w:rPr>
          <w:rFonts w:hint="eastAsia"/>
          <w:b/>
          <w:sz w:val="24"/>
        </w:rPr>
        <w:instrText>= 1 \* GB3</w:instrText>
      </w:r>
      <w:r>
        <w:rPr>
          <w:b/>
          <w:sz w:val="24"/>
        </w:rPr>
        <w:fldChar w:fldCharType="separate"/>
      </w:r>
      <w:r w:rsidR="005860D5">
        <w:rPr>
          <w:rFonts w:hint="eastAsia"/>
          <w:b/>
          <w:sz w:val="24"/>
        </w:rPr>
        <w:t>①</w:t>
      </w:r>
      <w:r>
        <w:rPr>
          <w:b/>
          <w:sz w:val="24"/>
        </w:rPr>
        <w:fldChar w:fldCharType="end"/>
      </w:r>
      <w:r w:rsidR="005860D5">
        <w:rPr>
          <w:rFonts w:hint="eastAsia"/>
          <w:b/>
          <w:sz w:val="24"/>
        </w:rPr>
        <w:t>选煤厂主要工艺设备</w:t>
      </w:r>
    </w:p>
    <w:p w:rsidR="00C223F5" w:rsidRDefault="005860D5" w:rsidP="0064552A">
      <w:pPr>
        <w:spacing w:line="360" w:lineRule="auto"/>
        <w:ind w:firstLineChars="200" w:firstLine="480"/>
        <w:rPr>
          <w:sz w:val="24"/>
        </w:rPr>
      </w:pPr>
      <w:r>
        <w:rPr>
          <w:sz w:val="24"/>
        </w:rPr>
        <w:t>选煤厂主要设备情况见表</w:t>
      </w:r>
      <w:r>
        <w:rPr>
          <w:rFonts w:hint="eastAsia"/>
          <w:sz w:val="24"/>
        </w:rPr>
        <w:t>2.2.5-1</w:t>
      </w:r>
      <w:r>
        <w:rPr>
          <w:sz w:val="24"/>
        </w:rPr>
        <w:t>。</w:t>
      </w:r>
    </w:p>
    <w:p w:rsidR="00C223F5" w:rsidRDefault="000F32AE" w:rsidP="0064552A">
      <w:pPr>
        <w:spacing w:line="360" w:lineRule="auto"/>
        <w:ind w:firstLineChars="200" w:firstLine="482"/>
        <w:rPr>
          <w:b/>
          <w:sz w:val="24"/>
        </w:rPr>
      </w:pPr>
      <w:r>
        <w:rPr>
          <w:b/>
          <w:sz w:val="24"/>
        </w:rPr>
        <w:fldChar w:fldCharType="begin"/>
      </w:r>
      <w:r w:rsidR="005860D5">
        <w:rPr>
          <w:b/>
          <w:sz w:val="24"/>
        </w:rPr>
        <w:instrText xml:space="preserve"> = 2 \* GB3 </w:instrText>
      </w:r>
      <w:r>
        <w:rPr>
          <w:b/>
          <w:sz w:val="24"/>
        </w:rPr>
        <w:fldChar w:fldCharType="separate"/>
      </w:r>
      <w:r w:rsidR="005860D5">
        <w:rPr>
          <w:b/>
          <w:sz w:val="24"/>
        </w:rPr>
        <w:t>②</w:t>
      </w:r>
      <w:r>
        <w:rPr>
          <w:b/>
          <w:sz w:val="24"/>
        </w:rPr>
        <w:fldChar w:fldCharType="end"/>
      </w:r>
      <w:r w:rsidR="005860D5">
        <w:rPr>
          <w:b/>
          <w:sz w:val="24"/>
        </w:rPr>
        <w:t>选煤厂原煤及产品储存设施</w:t>
      </w:r>
    </w:p>
    <w:p w:rsidR="00C223F5" w:rsidRDefault="005860D5" w:rsidP="0064552A">
      <w:pPr>
        <w:spacing w:line="360" w:lineRule="auto"/>
        <w:ind w:firstLineChars="200" w:firstLine="480"/>
        <w:rPr>
          <w:bCs/>
          <w:sz w:val="24"/>
        </w:rPr>
      </w:pPr>
      <w:r>
        <w:rPr>
          <w:sz w:val="24"/>
        </w:rPr>
        <w:t>选煤厂原煤及产品全部采用封闭设施储存，</w:t>
      </w:r>
      <w:r>
        <w:rPr>
          <w:rFonts w:hAnsi="宋体"/>
          <w:bCs/>
          <w:sz w:val="24"/>
        </w:rPr>
        <w:t>选煤厂各种煤仓统计见表</w:t>
      </w:r>
      <w:r>
        <w:rPr>
          <w:rFonts w:hint="eastAsia"/>
          <w:bCs/>
          <w:sz w:val="24"/>
        </w:rPr>
        <w:t>2.2.5-2</w:t>
      </w:r>
      <w:r>
        <w:rPr>
          <w:rFonts w:hAnsi="宋体"/>
          <w:bCs/>
          <w:sz w:val="24"/>
        </w:rPr>
        <w:t>。</w:t>
      </w:r>
    </w:p>
    <w:p w:rsidR="00C223F5" w:rsidRDefault="005860D5">
      <w:pPr>
        <w:jc w:val="center"/>
        <w:rPr>
          <w:b/>
          <w:bCs/>
          <w:sz w:val="24"/>
        </w:rPr>
      </w:pPr>
      <w:r>
        <w:rPr>
          <w:rFonts w:hAnsi="宋体"/>
          <w:b/>
          <w:bCs/>
          <w:sz w:val="24"/>
        </w:rPr>
        <w:t>表</w:t>
      </w:r>
      <w:r>
        <w:rPr>
          <w:rFonts w:hint="eastAsia"/>
          <w:b/>
          <w:bCs/>
          <w:sz w:val="24"/>
        </w:rPr>
        <w:t>2.2.5-2</w:t>
      </w:r>
      <w:r>
        <w:rPr>
          <w:rFonts w:hAnsi="宋体"/>
          <w:b/>
          <w:bCs/>
          <w:sz w:val="24"/>
        </w:rPr>
        <w:t>全厂煤仓统计表</w:t>
      </w:r>
    </w:p>
    <w:tbl>
      <w:tblPr>
        <w:tblW w:w="80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27"/>
        <w:gridCol w:w="1440"/>
        <w:gridCol w:w="1346"/>
        <w:gridCol w:w="1705"/>
        <w:gridCol w:w="2193"/>
      </w:tblGrid>
      <w:tr w:rsidR="00C223F5">
        <w:trPr>
          <w:trHeight w:val="309"/>
          <w:jc w:val="center"/>
        </w:trPr>
        <w:tc>
          <w:tcPr>
            <w:tcW w:w="1327" w:type="dxa"/>
            <w:vAlign w:val="center"/>
          </w:tcPr>
          <w:p w:rsidR="00C223F5" w:rsidRDefault="005860D5">
            <w:pPr>
              <w:adjustRightInd w:val="0"/>
              <w:snapToGrid w:val="0"/>
              <w:spacing w:line="440" w:lineRule="exact"/>
              <w:jc w:val="center"/>
              <w:rPr>
                <w:b/>
                <w:bCs/>
                <w:szCs w:val="21"/>
              </w:rPr>
            </w:pPr>
            <w:r>
              <w:rPr>
                <w:rFonts w:hAnsi="宋体"/>
                <w:b/>
                <w:bCs/>
                <w:szCs w:val="21"/>
              </w:rPr>
              <w:t>名称</w:t>
            </w:r>
          </w:p>
        </w:tc>
        <w:tc>
          <w:tcPr>
            <w:tcW w:w="1440" w:type="dxa"/>
            <w:vAlign w:val="center"/>
          </w:tcPr>
          <w:p w:rsidR="00C223F5" w:rsidRDefault="005860D5">
            <w:pPr>
              <w:adjustRightInd w:val="0"/>
              <w:snapToGrid w:val="0"/>
              <w:spacing w:line="440" w:lineRule="exact"/>
              <w:jc w:val="center"/>
              <w:rPr>
                <w:b/>
                <w:bCs/>
                <w:szCs w:val="21"/>
              </w:rPr>
            </w:pPr>
            <w:r>
              <w:rPr>
                <w:rFonts w:hAnsi="宋体"/>
                <w:b/>
                <w:bCs/>
                <w:szCs w:val="21"/>
              </w:rPr>
              <w:t>形式及规格</w:t>
            </w:r>
          </w:p>
        </w:tc>
        <w:tc>
          <w:tcPr>
            <w:tcW w:w="1346" w:type="dxa"/>
            <w:vAlign w:val="center"/>
          </w:tcPr>
          <w:p w:rsidR="00C223F5" w:rsidRDefault="005860D5">
            <w:pPr>
              <w:adjustRightInd w:val="0"/>
              <w:snapToGrid w:val="0"/>
              <w:spacing w:line="440" w:lineRule="exact"/>
              <w:jc w:val="center"/>
              <w:rPr>
                <w:b/>
                <w:bCs/>
                <w:szCs w:val="21"/>
              </w:rPr>
            </w:pPr>
            <w:r>
              <w:rPr>
                <w:rFonts w:hAnsi="宋体"/>
                <w:b/>
                <w:bCs/>
                <w:szCs w:val="21"/>
              </w:rPr>
              <w:t>个数（个）</w:t>
            </w:r>
          </w:p>
        </w:tc>
        <w:tc>
          <w:tcPr>
            <w:tcW w:w="1705" w:type="dxa"/>
            <w:vAlign w:val="center"/>
          </w:tcPr>
          <w:p w:rsidR="00C223F5" w:rsidRDefault="005860D5">
            <w:pPr>
              <w:adjustRightInd w:val="0"/>
              <w:snapToGrid w:val="0"/>
              <w:spacing w:line="440" w:lineRule="exact"/>
              <w:jc w:val="center"/>
              <w:rPr>
                <w:b/>
                <w:bCs/>
                <w:szCs w:val="21"/>
              </w:rPr>
            </w:pPr>
            <w:r>
              <w:rPr>
                <w:rFonts w:hAnsi="宋体"/>
                <w:b/>
                <w:bCs/>
                <w:szCs w:val="21"/>
              </w:rPr>
              <w:t>总容量（</w:t>
            </w:r>
            <w:r>
              <w:rPr>
                <w:b/>
                <w:bCs/>
                <w:szCs w:val="21"/>
              </w:rPr>
              <w:t>t</w:t>
            </w:r>
            <w:r>
              <w:rPr>
                <w:rFonts w:hAnsi="宋体"/>
                <w:b/>
                <w:bCs/>
                <w:szCs w:val="21"/>
              </w:rPr>
              <w:t>）</w:t>
            </w:r>
          </w:p>
        </w:tc>
        <w:tc>
          <w:tcPr>
            <w:tcW w:w="2193" w:type="dxa"/>
            <w:vAlign w:val="center"/>
          </w:tcPr>
          <w:p w:rsidR="00C223F5" w:rsidRDefault="005860D5">
            <w:pPr>
              <w:adjustRightInd w:val="0"/>
              <w:snapToGrid w:val="0"/>
              <w:spacing w:line="440" w:lineRule="exact"/>
              <w:jc w:val="center"/>
              <w:rPr>
                <w:b/>
                <w:bCs/>
                <w:szCs w:val="21"/>
              </w:rPr>
            </w:pPr>
            <w:r>
              <w:rPr>
                <w:rFonts w:hAnsi="宋体"/>
                <w:b/>
                <w:bCs/>
                <w:szCs w:val="21"/>
              </w:rPr>
              <w:t>对原煤储存时间</w:t>
            </w:r>
            <w:r>
              <w:rPr>
                <w:b/>
                <w:bCs/>
                <w:szCs w:val="21"/>
              </w:rPr>
              <w:t>(d)</w:t>
            </w:r>
          </w:p>
        </w:tc>
      </w:tr>
      <w:tr w:rsidR="00C223F5">
        <w:trPr>
          <w:trHeight w:val="118"/>
          <w:jc w:val="center"/>
        </w:trPr>
        <w:tc>
          <w:tcPr>
            <w:tcW w:w="1327" w:type="dxa"/>
            <w:vAlign w:val="center"/>
          </w:tcPr>
          <w:p w:rsidR="00C223F5" w:rsidRDefault="005860D5">
            <w:pPr>
              <w:adjustRightInd w:val="0"/>
              <w:snapToGrid w:val="0"/>
              <w:spacing w:line="440" w:lineRule="exact"/>
              <w:jc w:val="center"/>
              <w:rPr>
                <w:szCs w:val="21"/>
              </w:rPr>
            </w:pPr>
            <w:r>
              <w:rPr>
                <w:rFonts w:hAnsi="宋体"/>
                <w:szCs w:val="21"/>
              </w:rPr>
              <w:t>原煤仓</w:t>
            </w:r>
          </w:p>
        </w:tc>
        <w:tc>
          <w:tcPr>
            <w:tcW w:w="1440" w:type="dxa"/>
            <w:vAlign w:val="center"/>
          </w:tcPr>
          <w:p w:rsidR="00C223F5" w:rsidRDefault="005860D5">
            <w:pPr>
              <w:adjustRightInd w:val="0"/>
              <w:snapToGrid w:val="0"/>
              <w:spacing w:line="440" w:lineRule="exact"/>
              <w:jc w:val="center"/>
              <w:rPr>
                <w:szCs w:val="21"/>
              </w:rPr>
            </w:pPr>
            <w:r>
              <w:rPr>
                <w:szCs w:val="21"/>
              </w:rPr>
              <w:t>Φ18m</w:t>
            </w:r>
            <w:r>
              <w:rPr>
                <w:rFonts w:hAnsi="宋体"/>
                <w:szCs w:val="21"/>
              </w:rPr>
              <w:t>筒仓</w:t>
            </w:r>
          </w:p>
        </w:tc>
        <w:tc>
          <w:tcPr>
            <w:tcW w:w="1346" w:type="dxa"/>
            <w:vAlign w:val="center"/>
          </w:tcPr>
          <w:p w:rsidR="00C223F5" w:rsidRDefault="005860D5">
            <w:pPr>
              <w:adjustRightInd w:val="0"/>
              <w:snapToGrid w:val="0"/>
              <w:spacing w:line="440" w:lineRule="exact"/>
              <w:jc w:val="center"/>
              <w:rPr>
                <w:szCs w:val="21"/>
              </w:rPr>
            </w:pPr>
            <w:r>
              <w:rPr>
                <w:szCs w:val="21"/>
              </w:rPr>
              <w:t>1</w:t>
            </w:r>
          </w:p>
        </w:tc>
        <w:tc>
          <w:tcPr>
            <w:tcW w:w="1705" w:type="dxa"/>
            <w:vAlign w:val="center"/>
          </w:tcPr>
          <w:p w:rsidR="00C223F5" w:rsidRDefault="005860D5">
            <w:pPr>
              <w:adjustRightInd w:val="0"/>
              <w:snapToGrid w:val="0"/>
              <w:spacing w:line="440" w:lineRule="exact"/>
              <w:jc w:val="center"/>
              <w:rPr>
                <w:szCs w:val="21"/>
              </w:rPr>
            </w:pPr>
            <w:r>
              <w:rPr>
                <w:szCs w:val="21"/>
              </w:rPr>
              <w:t>5000</w:t>
            </w:r>
          </w:p>
        </w:tc>
        <w:tc>
          <w:tcPr>
            <w:tcW w:w="2193" w:type="dxa"/>
            <w:vAlign w:val="center"/>
          </w:tcPr>
          <w:p w:rsidR="00C223F5" w:rsidRDefault="005860D5">
            <w:pPr>
              <w:adjustRightInd w:val="0"/>
              <w:snapToGrid w:val="0"/>
              <w:spacing w:line="440" w:lineRule="exact"/>
              <w:jc w:val="center"/>
              <w:rPr>
                <w:szCs w:val="21"/>
              </w:rPr>
            </w:pPr>
            <w:r>
              <w:rPr>
                <w:szCs w:val="21"/>
              </w:rPr>
              <w:t>1.8</w:t>
            </w:r>
          </w:p>
        </w:tc>
      </w:tr>
      <w:tr w:rsidR="00C223F5">
        <w:trPr>
          <w:trHeight w:val="82"/>
          <w:jc w:val="center"/>
        </w:trPr>
        <w:tc>
          <w:tcPr>
            <w:tcW w:w="1327" w:type="dxa"/>
            <w:vAlign w:val="center"/>
          </w:tcPr>
          <w:p w:rsidR="00C223F5" w:rsidRDefault="005860D5">
            <w:pPr>
              <w:adjustRightInd w:val="0"/>
              <w:snapToGrid w:val="0"/>
              <w:spacing w:line="440" w:lineRule="exact"/>
              <w:jc w:val="center"/>
              <w:rPr>
                <w:szCs w:val="21"/>
              </w:rPr>
            </w:pPr>
            <w:r>
              <w:rPr>
                <w:rFonts w:hAnsi="宋体"/>
                <w:szCs w:val="21"/>
              </w:rPr>
              <w:t>产品仓</w:t>
            </w:r>
          </w:p>
        </w:tc>
        <w:tc>
          <w:tcPr>
            <w:tcW w:w="1440" w:type="dxa"/>
            <w:vAlign w:val="center"/>
          </w:tcPr>
          <w:p w:rsidR="00C223F5" w:rsidRDefault="005860D5">
            <w:pPr>
              <w:adjustRightInd w:val="0"/>
              <w:snapToGrid w:val="0"/>
              <w:spacing w:line="440" w:lineRule="exact"/>
              <w:jc w:val="center"/>
              <w:rPr>
                <w:szCs w:val="21"/>
              </w:rPr>
            </w:pPr>
            <w:r>
              <w:rPr>
                <w:szCs w:val="21"/>
              </w:rPr>
              <w:t>Φ12m</w:t>
            </w:r>
            <w:r>
              <w:rPr>
                <w:rFonts w:hAnsi="宋体"/>
                <w:szCs w:val="21"/>
              </w:rPr>
              <w:t>筒仓</w:t>
            </w:r>
          </w:p>
        </w:tc>
        <w:tc>
          <w:tcPr>
            <w:tcW w:w="1346" w:type="dxa"/>
            <w:vAlign w:val="center"/>
          </w:tcPr>
          <w:p w:rsidR="00C223F5" w:rsidRDefault="005860D5">
            <w:pPr>
              <w:adjustRightInd w:val="0"/>
              <w:snapToGrid w:val="0"/>
              <w:spacing w:line="440" w:lineRule="exact"/>
              <w:jc w:val="center"/>
              <w:rPr>
                <w:szCs w:val="21"/>
              </w:rPr>
            </w:pPr>
            <w:r>
              <w:rPr>
                <w:szCs w:val="21"/>
              </w:rPr>
              <w:t>4</w:t>
            </w:r>
          </w:p>
        </w:tc>
        <w:tc>
          <w:tcPr>
            <w:tcW w:w="1705" w:type="dxa"/>
            <w:vAlign w:val="center"/>
          </w:tcPr>
          <w:p w:rsidR="00C223F5" w:rsidRDefault="005860D5">
            <w:pPr>
              <w:adjustRightInd w:val="0"/>
              <w:snapToGrid w:val="0"/>
              <w:spacing w:line="440" w:lineRule="exact"/>
              <w:jc w:val="center"/>
              <w:rPr>
                <w:szCs w:val="21"/>
              </w:rPr>
            </w:pPr>
            <w:r>
              <w:rPr>
                <w:szCs w:val="21"/>
              </w:rPr>
              <w:t>6000</w:t>
            </w:r>
          </w:p>
        </w:tc>
        <w:tc>
          <w:tcPr>
            <w:tcW w:w="2193" w:type="dxa"/>
            <w:vAlign w:val="center"/>
          </w:tcPr>
          <w:p w:rsidR="00C223F5" w:rsidRDefault="005860D5">
            <w:pPr>
              <w:adjustRightInd w:val="0"/>
              <w:snapToGrid w:val="0"/>
              <w:spacing w:line="440" w:lineRule="exact"/>
              <w:jc w:val="center"/>
              <w:rPr>
                <w:szCs w:val="21"/>
              </w:rPr>
            </w:pPr>
            <w:r>
              <w:rPr>
                <w:szCs w:val="21"/>
              </w:rPr>
              <w:t>2.2</w:t>
            </w:r>
          </w:p>
        </w:tc>
      </w:tr>
      <w:tr w:rsidR="00C223F5">
        <w:trPr>
          <w:trHeight w:val="65"/>
          <w:jc w:val="center"/>
        </w:trPr>
        <w:tc>
          <w:tcPr>
            <w:tcW w:w="1327" w:type="dxa"/>
            <w:vAlign w:val="center"/>
          </w:tcPr>
          <w:p w:rsidR="00C223F5" w:rsidRDefault="005860D5">
            <w:pPr>
              <w:adjustRightInd w:val="0"/>
              <w:snapToGrid w:val="0"/>
              <w:spacing w:line="440" w:lineRule="exact"/>
              <w:jc w:val="center"/>
              <w:rPr>
                <w:szCs w:val="21"/>
              </w:rPr>
            </w:pPr>
            <w:r>
              <w:rPr>
                <w:rFonts w:hAnsi="宋体"/>
                <w:szCs w:val="21"/>
              </w:rPr>
              <w:t>矸石仓</w:t>
            </w:r>
          </w:p>
        </w:tc>
        <w:tc>
          <w:tcPr>
            <w:tcW w:w="1440" w:type="dxa"/>
            <w:vAlign w:val="center"/>
          </w:tcPr>
          <w:p w:rsidR="00C223F5" w:rsidRDefault="005860D5">
            <w:pPr>
              <w:adjustRightInd w:val="0"/>
              <w:snapToGrid w:val="0"/>
              <w:spacing w:line="440" w:lineRule="exact"/>
              <w:jc w:val="center"/>
              <w:rPr>
                <w:szCs w:val="21"/>
              </w:rPr>
            </w:pPr>
            <w:r>
              <w:rPr>
                <w:szCs w:val="21"/>
              </w:rPr>
              <w:t>Φ12m</w:t>
            </w:r>
            <w:r>
              <w:rPr>
                <w:rFonts w:hAnsi="宋体"/>
                <w:szCs w:val="21"/>
              </w:rPr>
              <w:t>筒仓</w:t>
            </w:r>
          </w:p>
        </w:tc>
        <w:tc>
          <w:tcPr>
            <w:tcW w:w="1346" w:type="dxa"/>
            <w:vAlign w:val="center"/>
          </w:tcPr>
          <w:p w:rsidR="00C223F5" w:rsidRDefault="005860D5">
            <w:pPr>
              <w:adjustRightInd w:val="0"/>
              <w:snapToGrid w:val="0"/>
              <w:spacing w:line="440" w:lineRule="exact"/>
              <w:jc w:val="center"/>
              <w:rPr>
                <w:szCs w:val="21"/>
              </w:rPr>
            </w:pPr>
            <w:r>
              <w:rPr>
                <w:szCs w:val="21"/>
              </w:rPr>
              <w:t>1</w:t>
            </w:r>
          </w:p>
        </w:tc>
        <w:tc>
          <w:tcPr>
            <w:tcW w:w="1705" w:type="dxa"/>
            <w:vAlign w:val="center"/>
          </w:tcPr>
          <w:p w:rsidR="00C223F5" w:rsidRDefault="005860D5">
            <w:pPr>
              <w:adjustRightInd w:val="0"/>
              <w:snapToGrid w:val="0"/>
              <w:spacing w:line="440" w:lineRule="exact"/>
              <w:jc w:val="center"/>
              <w:rPr>
                <w:szCs w:val="21"/>
              </w:rPr>
            </w:pPr>
            <w:r>
              <w:rPr>
                <w:szCs w:val="21"/>
              </w:rPr>
              <w:t>2500</w:t>
            </w:r>
          </w:p>
        </w:tc>
        <w:tc>
          <w:tcPr>
            <w:tcW w:w="2193" w:type="dxa"/>
            <w:vAlign w:val="center"/>
          </w:tcPr>
          <w:p w:rsidR="00C223F5" w:rsidRDefault="005860D5">
            <w:pPr>
              <w:adjustRightInd w:val="0"/>
              <w:snapToGrid w:val="0"/>
              <w:spacing w:line="440" w:lineRule="exact"/>
              <w:jc w:val="center"/>
              <w:rPr>
                <w:szCs w:val="21"/>
              </w:rPr>
            </w:pPr>
            <w:r>
              <w:rPr>
                <w:szCs w:val="21"/>
              </w:rPr>
              <w:t>0.9</w:t>
            </w:r>
          </w:p>
        </w:tc>
      </w:tr>
      <w:tr w:rsidR="00C223F5">
        <w:trPr>
          <w:trHeight w:val="139"/>
          <w:jc w:val="center"/>
        </w:trPr>
        <w:tc>
          <w:tcPr>
            <w:tcW w:w="1327" w:type="dxa"/>
            <w:vAlign w:val="center"/>
          </w:tcPr>
          <w:p w:rsidR="00C223F5" w:rsidRDefault="005860D5">
            <w:pPr>
              <w:adjustRightInd w:val="0"/>
              <w:snapToGrid w:val="0"/>
              <w:spacing w:line="440" w:lineRule="exact"/>
              <w:jc w:val="center"/>
              <w:rPr>
                <w:szCs w:val="21"/>
              </w:rPr>
            </w:pPr>
            <w:r>
              <w:rPr>
                <w:rFonts w:hAnsi="宋体"/>
                <w:szCs w:val="21"/>
              </w:rPr>
              <w:t>合计</w:t>
            </w:r>
          </w:p>
        </w:tc>
        <w:tc>
          <w:tcPr>
            <w:tcW w:w="1440" w:type="dxa"/>
            <w:vAlign w:val="center"/>
          </w:tcPr>
          <w:p w:rsidR="00C223F5" w:rsidRDefault="00C223F5">
            <w:pPr>
              <w:adjustRightInd w:val="0"/>
              <w:snapToGrid w:val="0"/>
              <w:spacing w:line="440" w:lineRule="exact"/>
              <w:jc w:val="center"/>
              <w:rPr>
                <w:szCs w:val="21"/>
              </w:rPr>
            </w:pPr>
          </w:p>
        </w:tc>
        <w:tc>
          <w:tcPr>
            <w:tcW w:w="1346" w:type="dxa"/>
            <w:vAlign w:val="center"/>
          </w:tcPr>
          <w:p w:rsidR="00C223F5" w:rsidRDefault="005860D5">
            <w:pPr>
              <w:adjustRightInd w:val="0"/>
              <w:snapToGrid w:val="0"/>
              <w:spacing w:line="440" w:lineRule="exact"/>
              <w:jc w:val="center"/>
              <w:rPr>
                <w:szCs w:val="21"/>
              </w:rPr>
            </w:pPr>
            <w:r>
              <w:rPr>
                <w:szCs w:val="21"/>
              </w:rPr>
              <w:t>6</w:t>
            </w:r>
          </w:p>
        </w:tc>
        <w:tc>
          <w:tcPr>
            <w:tcW w:w="1705" w:type="dxa"/>
            <w:vAlign w:val="center"/>
          </w:tcPr>
          <w:p w:rsidR="00C223F5" w:rsidRDefault="005860D5">
            <w:pPr>
              <w:adjustRightInd w:val="0"/>
              <w:snapToGrid w:val="0"/>
              <w:spacing w:line="440" w:lineRule="exact"/>
              <w:jc w:val="center"/>
              <w:rPr>
                <w:szCs w:val="21"/>
              </w:rPr>
            </w:pPr>
            <w:r>
              <w:rPr>
                <w:szCs w:val="21"/>
              </w:rPr>
              <w:t>13500</w:t>
            </w:r>
          </w:p>
        </w:tc>
        <w:tc>
          <w:tcPr>
            <w:tcW w:w="2193" w:type="dxa"/>
            <w:vAlign w:val="center"/>
          </w:tcPr>
          <w:p w:rsidR="00C223F5" w:rsidRDefault="005860D5">
            <w:pPr>
              <w:adjustRightInd w:val="0"/>
              <w:snapToGrid w:val="0"/>
              <w:spacing w:line="440" w:lineRule="exact"/>
              <w:jc w:val="center"/>
              <w:rPr>
                <w:szCs w:val="21"/>
              </w:rPr>
            </w:pPr>
            <w:r>
              <w:rPr>
                <w:szCs w:val="21"/>
              </w:rPr>
              <w:t>4.9</w:t>
            </w:r>
          </w:p>
        </w:tc>
      </w:tr>
    </w:tbl>
    <w:p w:rsidR="00C223F5" w:rsidRDefault="00C223F5">
      <w:pPr>
        <w:spacing w:line="360" w:lineRule="auto"/>
        <w:ind w:firstLineChars="200" w:firstLine="480"/>
        <w:rPr>
          <w:color w:val="FF0000"/>
          <w:sz w:val="24"/>
        </w:rPr>
      </w:pPr>
    </w:p>
    <w:p w:rsidR="00C223F5" w:rsidRDefault="00C223F5">
      <w:pPr>
        <w:spacing w:line="360" w:lineRule="auto"/>
        <w:ind w:firstLineChars="200" w:firstLine="480"/>
        <w:rPr>
          <w:color w:val="FF0000"/>
          <w:sz w:val="24"/>
        </w:rPr>
        <w:sectPr w:rsidR="00C223F5">
          <w:footerReference w:type="even" r:id="rId22"/>
          <w:pgSz w:w="11907" w:h="16840"/>
          <w:pgMar w:top="1440" w:right="1701" w:bottom="1440" w:left="1701" w:header="851" w:footer="992" w:gutter="0"/>
          <w:cols w:space="425"/>
          <w:docGrid w:linePitch="312"/>
        </w:sectPr>
      </w:pPr>
    </w:p>
    <w:p w:rsidR="00C223F5" w:rsidRDefault="005860D5">
      <w:pPr>
        <w:jc w:val="center"/>
        <w:rPr>
          <w:b/>
          <w:sz w:val="24"/>
        </w:rPr>
      </w:pPr>
      <w:r>
        <w:rPr>
          <w:b/>
          <w:sz w:val="24"/>
        </w:rPr>
        <w:lastRenderedPageBreak/>
        <w:t>表</w:t>
      </w:r>
      <w:r>
        <w:rPr>
          <w:rFonts w:hint="eastAsia"/>
          <w:b/>
          <w:sz w:val="24"/>
        </w:rPr>
        <w:t>2.2.5-1</w:t>
      </w:r>
      <w:r>
        <w:rPr>
          <w:b/>
          <w:sz w:val="24"/>
        </w:rPr>
        <w:t xml:space="preserve">  </w:t>
      </w:r>
      <w:r>
        <w:rPr>
          <w:b/>
          <w:sz w:val="24"/>
        </w:rPr>
        <w:t>主要工艺设备选型</w:t>
      </w:r>
      <w:r>
        <w:rPr>
          <w:rFonts w:hint="eastAsia"/>
          <w:b/>
          <w:sz w:val="24"/>
        </w:rPr>
        <w:t>及器材</w:t>
      </w:r>
      <w:r>
        <w:rPr>
          <w:b/>
          <w:sz w:val="24"/>
        </w:rPr>
        <w:t>表</w:t>
      </w:r>
    </w:p>
    <w:tbl>
      <w:tblPr>
        <w:tblW w:w="14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2173"/>
        <w:gridCol w:w="4930"/>
        <w:gridCol w:w="1663"/>
        <w:gridCol w:w="1984"/>
        <w:gridCol w:w="840"/>
        <w:gridCol w:w="952"/>
        <w:gridCol w:w="631"/>
        <w:gridCol w:w="1035"/>
      </w:tblGrid>
      <w:tr w:rsidR="00C223F5">
        <w:trPr>
          <w:trHeight w:val="340"/>
          <w:jc w:val="center"/>
        </w:trPr>
        <w:tc>
          <w:tcPr>
            <w:tcW w:w="534" w:type="dxa"/>
            <w:vMerge w:val="restart"/>
            <w:shd w:val="clear" w:color="auto" w:fill="auto"/>
            <w:vAlign w:val="center"/>
          </w:tcPr>
          <w:p w:rsidR="00C223F5" w:rsidRDefault="005860D5">
            <w:pPr>
              <w:widowControl/>
              <w:jc w:val="center"/>
              <w:rPr>
                <w:b/>
                <w:bCs/>
                <w:kern w:val="0"/>
                <w:szCs w:val="21"/>
              </w:rPr>
            </w:pPr>
            <w:r>
              <w:rPr>
                <w:rFonts w:hAnsi="宋体"/>
                <w:b/>
                <w:bCs/>
                <w:kern w:val="0"/>
                <w:szCs w:val="21"/>
              </w:rPr>
              <w:t>编号</w:t>
            </w:r>
          </w:p>
        </w:tc>
        <w:tc>
          <w:tcPr>
            <w:tcW w:w="2173" w:type="dxa"/>
            <w:vMerge w:val="restart"/>
            <w:shd w:val="clear" w:color="auto" w:fill="auto"/>
            <w:vAlign w:val="center"/>
          </w:tcPr>
          <w:p w:rsidR="00C223F5" w:rsidRDefault="005860D5">
            <w:pPr>
              <w:widowControl/>
              <w:jc w:val="center"/>
              <w:rPr>
                <w:b/>
                <w:bCs/>
                <w:kern w:val="0"/>
                <w:szCs w:val="21"/>
              </w:rPr>
            </w:pPr>
            <w:r>
              <w:rPr>
                <w:rFonts w:hAnsi="宋体"/>
                <w:b/>
                <w:bCs/>
                <w:kern w:val="0"/>
                <w:szCs w:val="21"/>
              </w:rPr>
              <w:t>设备名称</w:t>
            </w:r>
          </w:p>
        </w:tc>
        <w:tc>
          <w:tcPr>
            <w:tcW w:w="4930" w:type="dxa"/>
            <w:vMerge w:val="restart"/>
            <w:shd w:val="clear" w:color="auto" w:fill="auto"/>
            <w:vAlign w:val="center"/>
          </w:tcPr>
          <w:p w:rsidR="00C223F5" w:rsidRDefault="005860D5">
            <w:pPr>
              <w:widowControl/>
              <w:jc w:val="center"/>
              <w:rPr>
                <w:b/>
                <w:bCs/>
                <w:kern w:val="0"/>
                <w:szCs w:val="21"/>
              </w:rPr>
            </w:pPr>
            <w:r>
              <w:rPr>
                <w:rFonts w:hAnsi="宋体"/>
                <w:b/>
                <w:bCs/>
                <w:kern w:val="0"/>
                <w:szCs w:val="21"/>
              </w:rPr>
              <w:t>技术特征</w:t>
            </w:r>
          </w:p>
        </w:tc>
        <w:tc>
          <w:tcPr>
            <w:tcW w:w="1663" w:type="dxa"/>
            <w:shd w:val="clear" w:color="auto" w:fill="auto"/>
            <w:vAlign w:val="center"/>
          </w:tcPr>
          <w:p w:rsidR="00C223F5" w:rsidRDefault="005860D5">
            <w:pPr>
              <w:widowControl/>
              <w:jc w:val="center"/>
              <w:rPr>
                <w:b/>
                <w:bCs/>
                <w:kern w:val="0"/>
                <w:szCs w:val="21"/>
              </w:rPr>
            </w:pPr>
            <w:r>
              <w:rPr>
                <w:rFonts w:hAnsi="宋体"/>
                <w:b/>
                <w:bCs/>
                <w:kern w:val="0"/>
                <w:szCs w:val="21"/>
              </w:rPr>
              <w:t>入料量</w:t>
            </w:r>
          </w:p>
        </w:tc>
        <w:tc>
          <w:tcPr>
            <w:tcW w:w="1984" w:type="dxa"/>
            <w:shd w:val="clear" w:color="auto" w:fill="auto"/>
            <w:vAlign w:val="center"/>
          </w:tcPr>
          <w:p w:rsidR="00C223F5" w:rsidRDefault="005860D5">
            <w:pPr>
              <w:widowControl/>
              <w:jc w:val="center"/>
              <w:rPr>
                <w:b/>
                <w:bCs/>
                <w:kern w:val="0"/>
                <w:szCs w:val="21"/>
              </w:rPr>
            </w:pPr>
            <w:r>
              <w:rPr>
                <w:rFonts w:hAnsi="宋体"/>
                <w:b/>
                <w:bCs/>
                <w:kern w:val="0"/>
                <w:szCs w:val="21"/>
              </w:rPr>
              <w:t>单位处理量</w:t>
            </w:r>
          </w:p>
        </w:tc>
        <w:tc>
          <w:tcPr>
            <w:tcW w:w="840" w:type="dxa"/>
            <w:vMerge w:val="restart"/>
            <w:vAlign w:val="center"/>
          </w:tcPr>
          <w:p w:rsidR="00C223F5" w:rsidRDefault="005860D5">
            <w:pPr>
              <w:widowControl/>
              <w:jc w:val="center"/>
              <w:rPr>
                <w:b/>
                <w:bCs/>
                <w:kern w:val="0"/>
                <w:szCs w:val="21"/>
              </w:rPr>
            </w:pPr>
            <w:r>
              <w:rPr>
                <w:rFonts w:hAnsi="宋体"/>
                <w:b/>
                <w:bCs/>
                <w:kern w:val="0"/>
                <w:szCs w:val="21"/>
              </w:rPr>
              <w:t>不均衡系数</w:t>
            </w:r>
          </w:p>
          <w:p w:rsidR="00C223F5" w:rsidRDefault="005860D5">
            <w:pPr>
              <w:widowControl/>
              <w:jc w:val="center"/>
              <w:rPr>
                <w:b/>
                <w:bCs/>
                <w:kern w:val="0"/>
                <w:szCs w:val="21"/>
              </w:rPr>
            </w:pPr>
            <w:r>
              <w:rPr>
                <w:b/>
                <w:bCs/>
                <w:kern w:val="0"/>
                <w:szCs w:val="21"/>
              </w:rPr>
              <w:t>K</w:t>
            </w:r>
          </w:p>
        </w:tc>
        <w:tc>
          <w:tcPr>
            <w:tcW w:w="952" w:type="dxa"/>
            <w:vMerge w:val="restart"/>
            <w:shd w:val="clear" w:color="auto" w:fill="auto"/>
            <w:vAlign w:val="center"/>
          </w:tcPr>
          <w:p w:rsidR="00C223F5" w:rsidRDefault="005860D5">
            <w:pPr>
              <w:widowControl/>
              <w:jc w:val="center"/>
              <w:rPr>
                <w:b/>
                <w:bCs/>
                <w:kern w:val="0"/>
                <w:szCs w:val="21"/>
              </w:rPr>
            </w:pPr>
            <w:r>
              <w:rPr>
                <w:rFonts w:hAnsi="宋体"/>
                <w:b/>
                <w:bCs/>
                <w:kern w:val="0"/>
                <w:szCs w:val="21"/>
              </w:rPr>
              <w:t>计算</w:t>
            </w:r>
          </w:p>
          <w:p w:rsidR="00C223F5" w:rsidRDefault="005860D5">
            <w:pPr>
              <w:widowControl/>
              <w:jc w:val="center"/>
              <w:rPr>
                <w:b/>
                <w:bCs/>
                <w:kern w:val="0"/>
                <w:szCs w:val="21"/>
              </w:rPr>
            </w:pPr>
            <w:r>
              <w:rPr>
                <w:rFonts w:hAnsi="宋体"/>
                <w:b/>
                <w:bCs/>
                <w:kern w:val="0"/>
                <w:szCs w:val="21"/>
              </w:rPr>
              <w:t>台数</w:t>
            </w:r>
          </w:p>
        </w:tc>
        <w:tc>
          <w:tcPr>
            <w:tcW w:w="631" w:type="dxa"/>
            <w:vMerge w:val="restart"/>
            <w:shd w:val="clear" w:color="auto" w:fill="auto"/>
            <w:vAlign w:val="center"/>
          </w:tcPr>
          <w:p w:rsidR="00C223F5" w:rsidRDefault="005860D5">
            <w:pPr>
              <w:widowControl/>
              <w:jc w:val="center"/>
              <w:rPr>
                <w:b/>
                <w:bCs/>
                <w:kern w:val="0"/>
                <w:szCs w:val="21"/>
              </w:rPr>
            </w:pPr>
            <w:r>
              <w:rPr>
                <w:rFonts w:hAnsi="宋体"/>
                <w:b/>
                <w:bCs/>
                <w:kern w:val="0"/>
                <w:szCs w:val="21"/>
              </w:rPr>
              <w:t>选用</w:t>
            </w:r>
          </w:p>
          <w:p w:rsidR="00C223F5" w:rsidRDefault="005860D5">
            <w:pPr>
              <w:widowControl/>
              <w:jc w:val="center"/>
              <w:rPr>
                <w:b/>
                <w:bCs/>
                <w:kern w:val="0"/>
                <w:szCs w:val="21"/>
              </w:rPr>
            </w:pPr>
            <w:r>
              <w:rPr>
                <w:rFonts w:hAnsi="宋体"/>
                <w:b/>
                <w:bCs/>
                <w:kern w:val="0"/>
                <w:szCs w:val="21"/>
              </w:rPr>
              <w:t>台数</w:t>
            </w:r>
          </w:p>
        </w:tc>
        <w:tc>
          <w:tcPr>
            <w:tcW w:w="1035" w:type="dxa"/>
            <w:vMerge w:val="restart"/>
            <w:shd w:val="clear" w:color="auto" w:fill="auto"/>
            <w:vAlign w:val="center"/>
          </w:tcPr>
          <w:p w:rsidR="00C223F5" w:rsidRDefault="005860D5">
            <w:pPr>
              <w:widowControl/>
              <w:jc w:val="center"/>
              <w:rPr>
                <w:b/>
                <w:bCs/>
                <w:kern w:val="0"/>
                <w:szCs w:val="21"/>
              </w:rPr>
            </w:pPr>
            <w:r>
              <w:rPr>
                <w:rFonts w:hAnsi="宋体"/>
                <w:b/>
                <w:bCs/>
                <w:kern w:val="0"/>
                <w:szCs w:val="21"/>
              </w:rPr>
              <w:t>备注</w:t>
            </w:r>
          </w:p>
        </w:tc>
      </w:tr>
      <w:tr w:rsidR="00C223F5">
        <w:trPr>
          <w:trHeight w:val="541"/>
          <w:jc w:val="center"/>
        </w:trPr>
        <w:tc>
          <w:tcPr>
            <w:tcW w:w="534" w:type="dxa"/>
            <w:vMerge/>
            <w:vAlign w:val="center"/>
          </w:tcPr>
          <w:p w:rsidR="00C223F5" w:rsidRDefault="00C223F5">
            <w:pPr>
              <w:widowControl/>
              <w:jc w:val="left"/>
              <w:rPr>
                <w:b/>
                <w:bCs/>
                <w:color w:val="000000"/>
                <w:kern w:val="0"/>
                <w:szCs w:val="21"/>
              </w:rPr>
            </w:pPr>
          </w:p>
        </w:tc>
        <w:tc>
          <w:tcPr>
            <w:tcW w:w="2173" w:type="dxa"/>
            <w:vMerge/>
            <w:vAlign w:val="center"/>
          </w:tcPr>
          <w:p w:rsidR="00C223F5" w:rsidRDefault="00C223F5">
            <w:pPr>
              <w:widowControl/>
              <w:jc w:val="left"/>
              <w:rPr>
                <w:b/>
                <w:bCs/>
                <w:color w:val="000000"/>
                <w:kern w:val="0"/>
                <w:szCs w:val="21"/>
              </w:rPr>
            </w:pPr>
          </w:p>
        </w:tc>
        <w:tc>
          <w:tcPr>
            <w:tcW w:w="4930" w:type="dxa"/>
            <w:vMerge/>
            <w:vAlign w:val="center"/>
          </w:tcPr>
          <w:p w:rsidR="00C223F5" w:rsidRDefault="00C223F5">
            <w:pPr>
              <w:widowControl/>
              <w:jc w:val="left"/>
              <w:rPr>
                <w:b/>
                <w:bCs/>
                <w:color w:val="000000"/>
                <w:kern w:val="0"/>
                <w:szCs w:val="21"/>
              </w:rPr>
            </w:pPr>
          </w:p>
        </w:tc>
        <w:tc>
          <w:tcPr>
            <w:tcW w:w="1663" w:type="dxa"/>
            <w:shd w:val="clear" w:color="auto" w:fill="auto"/>
            <w:vAlign w:val="center"/>
          </w:tcPr>
          <w:p w:rsidR="00C223F5" w:rsidRDefault="005860D5">
            <w:pPr>
              <w:widowControl/>
              <w:jc w:val="center"/>
              <w:rPr>
                <w:b/>
                <w:bCs/>
                <w:color w:val="000000"/>
                <w:kern w:val="0"/>
                <w:szCs w:val="21"/>
              </w:rPr>
            </w:pPr>
            <w:r>
              <w:rPr>
                <w:b/>
                <w:bCs/>
                <w:color w:val="000000"/>
                <w:kern w:val="0"/>
                <w:szCs w:val="21"/>
              </w:rPr>
              <w:t>(t/h</w:t>
            </w:r>
            <w:r>
              <w:rPr>
                <w:rFonts w:hAnsi="宋体"/>
                <w:b/>
                <w:bCs/>
                <w:color w:val="000000"/>
                <w:kern w:val="0"/>
                <w:szCs w:val="21"/>
              </w:rPr>
              <w:t>或</w:t>
            </w:r>
            <w:r>
              <w:rPr>
                <w:b/>
                <w:bCs/>
                <w:color w:val="000000"/>
                <w:kern w:val="0"/>
                <w:szCs w:val="21"/>
              </w:rPr>
              <w:t>m</w:t>
            </w:r>
            <w:r>
              <w:rPr>
                <w:b/>
                <w:bCs/>
                <w:color w:val="000000"/>
                <w:kern w:val="0"/>
                <w:szCs w:val="21"/>
                <w:vertAlign w:val="superscript"/>
              </w:rPr>
              <w:t>3</w:t>
            </w:r>
            <w:r>
              <w:rPr>
                <w:b/>
                <w:bCs/>
                <w:color w:val="000000"/>
                <w:kern w:val="0"/>
                <w:szCs w:val="21"/>
              </w:rPr>
              <w:t>/h)</w:t>
            </w:r>
          </w:p>
        </w:tc>
        <w:tc>
          <w:tcPr>
            <w:tcW w:w="1984" w:type="dxa"/>
            <w:shd w:val="clear" w:color="auto" w:fill="auto"/>
            <w:vAlign w:val="center"/>
          </w:tcPr>
          <w:p w:rsidR="00C223F5" w:rsidRDefault="005860D5">
            <w:pPr>
              <w:widowControl/>
              <w:jc w:val="center"/>
              <w:rPr>
                <w:b/>
                <w:bCs/>
                <w:color w:val="000000"/>
                <w:kern w:val="0"/>
                <w:szCs w:val="21"/>
              </w:rPr>
            </w:pPr>
            <w:r>
              <w:rPr>
                <w:rFonts w:hAnsi="宋体"/>
                <w:b/>
                <w:bCs/>
                <w:color w:val="000000"/>
                <w:kern w:val="0"/>
                <w:szCs w:val="21"/>
              </w:rPr>
              <w:t>（</w:t>
            </w:r>
            <w:r>
              <w:rPr>
                <w:b/>
                <w:bCs/>
                <w:color w:val="000000"/>
                <w:kern w:val="0"/>
                <w:szCs w:val="21"/>
              </w:rPr>
              <w:t>t/h.m</w:t>
            </w:r>
            <w:r>
              <w:rPr>
                <w:b/>
                <w:bCs/>
                <w:color w:val="000000"/>
                <w:kern w:val="0"/>
                <w:szCs w:val="21"/>
                <w:vertAlign w:val="superscript"/>
              </w:rPr>
              <w:t>2</w:t>
            </w:r>
            <w:r>
              <w:rPr>
                <w:rFonts w:hAnsi="宋体"/>
                <w:b/>
                <w:bCs/>
                <w:color w:val="000000"/>
                <w:kern w:val="0"/>
                <w:szCs w:val="21"/>
              </w:rPr>
              <w:t>或</w:t>
            </w:r>
            <w:r>
              <w:rPr>
                <w:b/>
                <w:bCs/>
                <w:color w:val="000000"/>
                <w:kern w:val="0"/>
                <w:szCs w:val="21"/>
              </w:rPr>
              <w:t>m</w:t>
            </w:r>
            <w:r>
              <w:rPr>
                <w:b/>
                <w:bCs/>
                <w:color w:val="000000"/>
                <w:kern w:val="0"/>
                <w:szCs w:val="21"/>
                <w:vertAlign w:val="superscript"/>
              </w:rPr>
              <w:t>3</w:t>
            </w:r>
            <w:r>
              <w:rPr>
                <w:b/>
                <w:bCs/>
                <w:color w:val="000000"/>
                <w:kern w:val="0"/>
                <w:szCs w:val="21"/>
              </w:rPr>
              <w:t>/h.m</w:t>
            </w:r>
            <w:r>
              <w:rPr>
                <w:b/>
                <w:bCs/>
                <w:color w:val="000000"/>
                <w:kern w:val="0"/>
                <w:szCs w:val="21"/>
                <w:vertAlign w:val="superscript"/>
              </w:rPr>
              <w:t>2</w:t>
            </w:r>
            <w:r>
              <w:rPr>
                <w:rFonts w:hAnsi="宋体"/>
                <w:b/>
                <w:bCs/>
                <w:color w:val="000000"/>
                <w:kern w:val="0"/>
                <w:szCs w:val="21"/>
              </w:rPr>
              <w:t>）</w:t>
            </w:r>
          </w:p>
        </w:tc>
        <w:tc>
          <w:tcPr>
            <w:tcW w:w="840" w:type="dxa"/>
            <w:vMerge/>
            <w:vAlign w:val="center"/>
          </w:tcPr>
          <w:p w:rsidR="00C223F5" w:rsidRDefault="00C223F5">
            <w:pPr>
              <w:widowControl/>
              <w:jc w:val="center"/>
              <w:rPr>
                <w:b/>
                <w:bCs/>
                <w:color w:val="000000"/>
                <w:kern w:val="0"/>
                <w:szCs w:val="21"/>
              </w:rPr>
            </w:pPr>
          </w:p>
        </w:tc>
        <w:tc>
          <w:tcPr>
            <w:tcW w:w="952" w:type="dxa"/>
            <w:vMerge/>
            <w:vAlign w:val="center"/>
          </w:tcPr>
          <w:p w:rsidR="00C223F5" w:rsidRDefault="00C223F5">
            <w:pPr>
              <w:widowControl/>
              <w:jc w:val="left"/>
              <w:rPr>
                <w:b/>
                <w:bCs/>
                <w:color w:val="000000"/>
                <w:kern w:val="0"/>
                <w:szCs w:val="21"/>
              </w:rPr>
            </w:pPr>
          </w:p>
        </w:tc>
        <w:tc>
          <w:tcPr>
            <w:tcW w:w="631" w:type="dxa"/>
            <w:vMerge/>
            <w:vAlign w:val="center"/>
          </w:tcPr>
          <w:p w:rsidR="00C223F5" w:rsidRDefault="00C223F5">
            <w:pPr>
              <w:widowControl/>
              <w:jc w:val="left"/>
              <w:rPr>
                <w:b/>
                <w:bCs/>
                <w:color w:val="000000"/>
                <w:kern w:val="0"/>
                <w:szCs w:val="21"/>
              </w:rPr>
            </w:pPr>
          </w:p>
        </w:tc>
        <w:tc>
          <w:tcPr>
            <w:tcW w:w="1035" w:type="dxa"/>
            <w:vMerge/>
            <w:vAlign w:val="center"/>
          </w:tcPr>
          <w:p w:rsidR="00C223F5" w:rsidRDefault="00C223F5">
            <w:pPr>
              <w:widowControl/>
              <w:jc w:val="left"/>
              <w:rPr>
                <w:b/>
                <w:bCs/>
                <w:color w:val="000000"/>
                <w:kern w:val="0"/>
                <w:szCs w:val="21"/>
              </w:rPr>
            </w:pP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1</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原煤破碎机</w:t>
            </w:r>
          </w:p>
        </w:tc>
        <w:tc>
          <w:tcPr>
            <w:tcW w:w="4930" w:type="dxa"/>
            <w:shd w:val="clear" w:color="auto" w:fill="auto"/>
            <w:vAlign w:val="center"/>
          </w:tcPr>
          <w:p w:rsidR="00C223F5" w:rsidRDefault="005860D5">
            <w:pPr>
              <w:widowControl/>
              <w:rPr>
                <w:color w:val="000000"/>
                <w:kern w:val="0"/>
                <w:szCs w:val="21"/>
              </w:rPr>
            </w:pPr>
            <w:r>
              <w:rPr>
                <w:rFonts w:hAnsi="宋体"/>
                <w:color w:val="000000"/>
                <w:kern w:val="0"/>
                <w:szCs w:val="21"/>
              </w:rPr>
              <w:t>入料粒度</w:t>
            </w:r>
            <w:r>
              <w:rPr>
                <w:color w:val="000000"/>
                <w:kern w:val="0"/>
                <w:szCs w:val="21"/>
              </w:rPr>
              <w:t>≤300mm</w:t>
            </w:r>
            <w:r>
              <w:rPr>
                <w:rFonts w:hAnsi="宋体"/>
                <w:color w:val="000000"/>
                <w:kern w:val="0"/>
                <w:szCs w:val="21"/>
              </w:rPr>
              <w:t>，排料粒度</w:t>
            </w:r>
            <w:r>
              <w:rPr>
                <w:color w:val="000000"/>
                <w:kern w:val="0"/>
                <w:szCs w:val="21"/>
              </w:rPr>
              <w:t>150mm</w:t>
            </w:r>
            <w:r>
              <w:rPr>
                <w:rFonts w:hAnsi="宋体"/>
                <w:color w:val="000000"/>
                <w:kern w:val="0"/>
                <w:szCs w:val="21"/>
              </w:rPr>
              <w:t>，</w:t>
            </w:r>
            <w:r>
              <w:rPr>
                <w:bCs/>
                <w:szCs w:val="21"/>
                <w:shd w:val="clear" w:color="auto" w:fill="FFFFFF"/>
              </w:rPr>
              <w:t>限上率</w:t>
            </w:r>
            <w:r>
              <w:rPr>
                <w:bCs/>
                <w:szCs w:val="21"/>
                <w:shd w:val="clear" w:color="auto" w:fill="FFFFFF"/>
              </w:rPr>
              <w:t>&lt;=5%</w:t>
            </w:r>
          </w:p>
        </w:tc>
        <w:tc>
          <w:tcPr>
            <w:tcW w:w="1663" w:type="dxa"/>
            <w:shd w:val="clear" w:color="auto" w:fill="auto"/>
            <w:vAlign w:val="center"/>
          </w:tcPr>
          <w:p w:rsidR="00C223F5" w:rsidRDefault="005860D5">
            <w:pPr>
              <w:jc w:val="center"/>
              <w:rPr>
                <w:color w:val="000000"/>
                <w:szCs w:val="21"/>
              </w:rPr>
            </w:pPr>
            <w:r>
              <w:rPr>
                <w:color w:val="000000"/>
                <w:szCs w:val="21"/>
              </w:rPr>
              <w:t>600</w:t>
            </w:r>
          </w:p>
        </w:tc>
        <w:tc>
          <w:tcPr>
            <w:tcW w:w="1984" w:type="dxa"/>
            <w:shd w:val="clear" w:color="auto" w:fill="auto"/>
            <w:vAlign w:val="center"/>
          </w:tcPr>
          <w:p w:rsidR="00C223F5" w:rsidRDefault="005860D5">
            <w:pPr>
              <w:jc w:val="center"/>
              <w:rPr>
                <w:color w:val="000000"/>
                <w:szCs w:val="21"/>
              </w:rPr>
            </w:pPr>
            <w:r>
              <w:rPr>
                <w:color w:val="000000"/>
                <w:szCs w:val="21"/>
              </w:rPr>
              <w:t>800</w:t>
            </w:r>
          </w:p>
        </w:tc>
        <w:tc>
          <w:tcPr>
            <w:tcW w:w="840" w:type="dxa"/>
            <w:vAlign w:val="center"/>
          </w:tcPr>
          <w:p w:rsidR="00C223F5" w:rsidRDefault="00C223F5">
            <w:pPr>
              <w:jc w:val="center"/>
              <w:rPr>
                <w:color w:val="000000"/>
                <w:szCs w:val="21"/>
              </w:rPr>
            </w:pPr>
          </w:p>
        </w:tc>
        <w:tc>
          <w:tcPr>
            <w:tcW w:w="952" w:type="dxa"/>
            <w:shd w:val="clear" w:color="auto" w:fill="auto"/>
            <w:vAlign w:val="center"/>
          </w:tcPr>
          <w:p w:rsidR="00C223F5" w:rsidRDefault="005860D5">
            <w:pPr>
              <w:jc w:val="center"/>
              <w:rPr>
                <w:color w:val="000000"/>
                <w:szCs w:val="21"/>
              </w:rPr>
            </w:pPr>
            <w:r>
              <w:rPr>
                <w:color w:val="000000"/>
                <w:szCs w:val="21"/>
              </w:rPr>
              <w:t>0.75</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2</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原煤分级筛</w:t>
            </w:r>
          </w:p>
        </w:tc>
        <w:tc>
          <w:tcPr>
            <w:tcW w:w="4930" w:type="dxa"/>
            <w:shd w:val="clear" w:color="auto" w:fill="auto"/>
            <w:vAlign w:val="center"/>
          </w:tcPr>
          <w:p w:rsidR="00C223F5" w:rsidRDefault="005860D5">
            <w:pPr>
              <w:widowControl/>
              <w:rPr>
                <w:color w:val="000000"/>
                <w:kern w:val="0"/>
                <w:szCs w:val="21"/>
              </w:rPr>
            </w:pPr>
            <w:r>
              <w:rPr>
                <w:color w:val="000000"/>
                <w:kern w:val="0"/>
                <w:szCs w:val="21"/>
              </w:rPr>
              <w:t>3680</w:t>
            </w:r>
            <w:r>
              <w:rPr>
                <w:rFonts w:hAnsi="宋体"/>
                <w:color w:val="000000"/>
                <w:kern w:val="0"/>
                <w:szCs w:val="21"/>
              </w:rPr>
              <w:t>双层弛张筛，</w:t>
            </w:r>
            <w:r>
              <w:rPr>
                <w:szCs w:val="21"/>
                <w:shd w:val="clear" w:color="auto" w:fill="FFFFFF"/>
              </w:rPr>
              <w:t>F=28.8m</w:t>
            </w:r>
            <w:r>
              <w:rPr>
                <w:szCs w:val="21"/>
                <w:shd w:val="clear" w:color="auto" w:fill="FFFFFF"/>
                <w:vertAlign w:val="superscript"/>
              </w:rPr>
              <w:t>2</w:t>
            </w:r>
            <w:r>
              <w:rPr>
                <w:szCs w:val="21"/>
                <w:shd w:val="clear" w:color="auto" w:fill="FFFFFF"/>
              </w:rPr>
              <w:t>，</w:t>
            </w:r>
            <w:r>
              <w:rPr>
                <w:rFonts w:hAnsi="宋体"/>
                <w:color w:val="000000"/>
                <w:kern w:val="0"/>
                <w:szCs w:val="21"/>
              </w:rPr>
              <w:t>筛孔</w:t>
            </w:r>
            <w:r>
              <w:rPr>
                <w:color w:val="000000"/>
                <w:kern w:val="0"/>
                <w:szCs w:val="21"/>
              </w:rPr>
              <w:t>50</w:t>
            </w:r>
            <w:r>
              <w:rPr>
                <w:rFonts w:hAnsi="宋体"/>
                <w:color w:val="000000"/>
                <w:kern w:val="0"/>
                <w:szCs w:val="21"/>
              </w:rPr>
              <w:t>、</w:t>
            </w:r>
            <w:r>
              <w:rPr>
                <w:color w:val="000000"/>
                <w:kern w:val="0"/>
                <w:szCs w:val="21"/>
              </w:rPr>
              <w:t xml:space="preserve">3mm </w:t>
            </w:r>
          </w:p>
        </w:tc>
        <w:tc>
          <w:tcPr>
            <w:tcW w:w="1663" w:type="dxa"/>
            <w:shd w:val="clear" w:color="auto" w:fill="auto"/>
            <w:vAlign w:val="center"/>
          </w:tcPr>
          <w:p w:rsidR="00C223F5" w:rsidRDefault="005860D5">
            <w:pPr>
              <w:jc w:val="center"/>
              <w:rPr>
                <w:color w:val="000000"/>
                <w:szCs w:val="21"/>
              </w:rPr>
            </w:pPr>
            <w:r>
              <w:rPr>
                <w:color w:val="000000"/>
                <w:szCs w:val="21"/>
              </w:rPr>
              <w:t>350</w:t>
            </w:r>
          </w:p>
        </w:tc>
        <w:tc>
          <w:tcPr>
            <w:tcW w:w="1984" w:type="dxa"/>
            <w:shd w:val="clear" w:color="auto" w:fill="auto"/>
            <w:vAlign w:val="center"/>
          </w:tcPr>
          <w:p w:rsidR="00C223F5" w:rsidRDefault="005860D5">
            <w:pPr>
              <w:jc w:val="center"/>
              <w:rPr>
                <w:color w:val="000000"/>
                <w:szCs w:val="21"/>
              </w:rPr>
            </w:pPr>
            <w:r>
              <w:rPr>
                <w:color w:val="000000"/>
                <w:szCs w:val="21"/>
              </w:rPr>
              <w:t>500</w:t>
            </w:r>
          </w:p>
        </w:tc>
        <w:tc>
          <w:tcPr>
            <w:tcW w:w="840" w:type="dxa"/>
            <w:vAlign w:val="center"/>
          </w:tcPr>
          <w:p w:rsidR="00C223F5" w:rsidRDefault="005860D5">
            <w:pPr>
              <w:jc w:val="center"/>
              <w:rPr>
                <w:color w:val="000000"/>
                <w:szCs w:val="21"/>
              </w:rPr>
            </w:pPr>
            <w:r>
              <w:rPr>
                <w:color w:val="000000"/>
                <w:szCs w:val="21"/>
              </w:rPr>
              <w:t>1.15</w:t>
            </w:r>
          </w:p>
        </w:tc>
        <w:tc>
          <w:tcPr>
            <w:tcW w:w="952" w:type="dxa"/>
            <w:shd w:val="clear" w:color="auto" w:fill="auto"/>
            <w:vAlign w:val="center"/>
          </w:tcPr>
          <w:p w:rsidR="00C223F5" w:rsidRDefault="005860D5">
            <w:pPr>
              <w:jc w:val="center"/>
              <w:rPr>
                <w:color w:val="000000"/>
                <w:szCs w:val="21"/>
              </w:rPr>
            </w:pPr>
            <w:r>
              <w:rPr>
                <w:color w:val="000000"/>
                <w:szCs w:val="21"/>
              </w:rPr>
              <w:t>0.8</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3</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智能选矸系统</w:t>
            </w:r>
          </w:p>
        </w:tc>
        <w:tc>
          <w:tcPr>
            <w:tcW w:w="4930" w:type="dxa"/>
            <w:shd w:val="clear" w:color="auto" w:fill="auto"/>
            <w:vAlign w:val="center"/>
          </w:tcPr>
          <w:p w:rsidR="00C223F5" w:rsidRDefault="005860D5">
            <w:pPr>
              <w:widowControl/>
              <w:jc w:val="left"/>
              <w:rPr>
                <w:color w:val="000000"/>
                <w:kern w:val="0"/>
                <w:szCs w:val="21"/>
              </w:rPr>
            </w:pPr>
            <w:r>
              <w:rPr>
                <w:color w:val="000000"/>
                <w:kern w:val="0"/>
                <w:szCs w:val="21"/>
              </w:rPr>
              <w:t>B=2000mm</w:t>
            </w:r>
            <w:r>
              <w:rPr>
                <w:rFonts w:hAnsi="宋体"/>
                <w:color w:val="000000"/>
                <w:kern w:val="0"/>
                <w:szCs w:val="21"/>
              </w:rPr>
              <w:t>，</w:t>
            </w:r>
            <w:r>
              <w:rPr>
                <w:color w:val="000000"/>
                <w:kern w:val="0"/>
                <w:szCs w:val="21"/>
              </w:rPr>
              <w:t>V=0.8m/s</w:t>
            </w:r>
          </w:p>
        </w:tc>
        <w:tc>
          <w:tcPr>
            <w:tcW w:w="1663" w:type="dxa"/>
            <w:shd w:val="clear" w:color="auto" w:fill="auto"/>
            <w:vAlign w:val="center"/>
          </w:tcPr>
          <w:p w:rsidR="00C223F5" w:rsidRDefault="005860D5">
            <w:pPr>
              <w:jc w:val="center"/>
              <w:rPr>
                <w:color w:val="000000"/>
                <w:szCs w:val="21"/>
              </w:rPr>
            </w:pPr>
            <w:r>
              <w:rPr>
                <w:color w:val="000000"/>
                <w:szCs w:val="21"/>
              </w:rPr>
              <w:t>150</w:t>
            </w:r>
          </w:p>
        </w:tc>
        <w:tc>
          <w:tcPr>
            <w:tcW w:w="1984" w:type="dxa"/>
            <w:shd w:val="clear" w:color="auto" w:fill="auto"/>
            <w:vAlign w:val="center"/>
          </w:tcPr>
          <w:p w:rsidR="00C223F5" w:rsidRDefault="005860D5">
            <w:pPr>
              <w:jc w:val="center"/>
              <w:rPr>
                <w:color w:val="000000"/>
                <w:szCs w:val="21"/>
              </w:rPr>
            </w:pPr>
            <w:r>
              <w:rPr>
                <w:color w:val="000000"/>
                <w:szCs w:val="21"/>
              </w:rPr>
              <w:t>200</w:t>
            </w:r>
          </w:p>
        </w:tc>
        <w:tc>
          <w:tcPr>
            <w:tcW w:w="840" w:type="dxa"/>
            <w:vAlign w:val="center"/>
          </w:tcPr>
          <w:p w:rsidR="00C223F5" w:rsidRDefault="005860D5">
            <w:pPr>
              <w:jc w:val="center"/>
              <w:rPr>
                <w:color w:val="000000"/>
                <w:szCs w:val="21"/>
              </w:rPr>
            </w:pPr>
            <w:r>
              <w:rPr>
                <w:color w:val="000000"/>
                <w:szCs w:val="21"/>
              </w:rPr>
              <w:t>1.25</w:t>
            </w:r>
          </w:p>
        </w:tc>
        <w:tc>
          <w:tcPr>
            <w:tcW w:w="952" w:type="dxa"/>
            <w:shd w:val="clear" w:color="auto" w:fill="auto"/>
            <w:vAlign w:val="center"/>
          </w:tcPr>
          <w:p w:rsidR="00C223F5" w:rsidRDefault="005860D5">
            <w:pPr>
              <w:jc w:val="center"/>
              <w:rPr>
                <w:color w:val="000000"/>
                <w:szCs w:val="21"/>
              </w:rPr>
            </w:pPr>
            <w:r>
              <w:rPr>
                <w:color w:val="000000"/>
                <w:szCs w:val="21"/>
              </w:rPr>
              <w:t xml:space="preserve">0.94 </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4</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重介质旋流器</w:t>
            </w:r>
          </w:p>
        </w:tc>
        <w:tc>
          <w:tcPr>
            <w:tcW w:w="4930" w:type="dxa"/>
            <w:shd w:val="clear" w:color="auto" w:fill="auto"/>
            <w:vAlign w:val="center"/>
          </w:tcPr>
          <w:p w:rsidR="00C223F5" w:rsidRDefault="005860D5">
            <w:pPr>
              <w:widowControl/>
              <w:rPr>
                <w:color w:val="000000"/>
                <w:kern w:val="0"/>
                <w:szCs w:val="21"/>
              </w:rPr>
            </w:pPr>
            <w:r>
              <w:rPr>
                <w:rFonts w:hAnsi="宋体"/>
                <w:color w:val="000000"/>
                <w:kern w:val="0"/>
                <w:szCs w:val="21"/>
              </w:rPr>
              <w:t>直径</w:t>
            </w:r>
            <w:r>
              <w:rPr>
                <w:color w:val="000000"/>
                <w:kern w:val="0"/>
                <w:szCs w:val="21"/>
              </w:rPr>
              <w:t>1400/1000</w:t>
            </w:r>
          </w:p>
        </w:tc>
        <w:tc>
          <w:tcPr>
            <w:tcW w:w="1663" w:type="dxa"/>
            <w:shd w:val="clear" w:color="auto" w:fill="auto"/>
            <w:vAlign w:val="center"/>
          </w:tcPr>
          <w:p w:rsidR="00C223F5" w:rsidRDefault="005860D5">
            <w:pPr>
              <w:jc w:val="center"/>
              <w:rPr>
                <w:color w:val="000000"/>
                <w:szCs w:val="21"/>
              </w:rPr>
            </w:pPr>
            <w:r>
              <w:rPr>
                <w:color w:val="000000"/>
                <w:szCs w:val="21"/>
              </w:rPr>
              <w:t xml:space="preserve">350 </w:t>
            </w:r>
          </w:p>
        </w:tc>
        <w:tc>
          <w:tcPr>
            <w:tcW w:w="1984" w:type="dxa"/>
            <w:shd w:val="clear" w:color="auto" w:fill="auto"/>
            <w:vAlign w:val="center"/>
          </w:tcPr>
          <w:p w:rsidR="00C223F5" w:rsidRDefault="005860D5">
            <w:pPr>
              <w:jc w:val="center"/>
              <w:rPr>
                <w:color w:val="000000"/>
                <w:szCs w:val="21"/>
              </w:rPr>
            </w:pPr>
            <w:r>
              <w:rPr>
                <w:color w:val="000000"/>
                <w:szCs w:val="21"/>
              </w:rPr>
              <w:t>450</w:t>
            </w:r>
          </w:p>
        </w:tc>
        <w:tc>
          <w:tcPr>
            <w:tcW w:w="840" w:type="dxa"/>
            <w:vAlign w:val="center"/>
          </w:tcPr>
          <w:p w:rsidR="00C223F5" w:rsidRDefault="005860D5">
            <w:pPr>
              <w:jc w:val="center"/>
              <w:rPr>
                <w:color w:val="000000"/>
                <w:szCs w:val="21"/>
              </w:rPr>
            </w:pPr>
            <w:r>
              <w:rPr>
                <w:color w:val="000000"/>
                <w:szCs w:val="21"/>
              </w:rPr>
              <w:t>1.15</w:t>
            </w:r>
          </w:p>
        </w:tc>
        <w:tc>
          <w:tcPr>
            <w:tcW w:w="952" w:type="dxa"/>
            <w:shd w:val="clear" w:color="auto" w:fill="auto"/>
            <w:vAlign w:val="center"/>
          </w:tcPr>
          <w:p w:rsidR="00C223F5" w:rsidRDefault="005860D5">
            <w:pPr>
              <w:jc w:val="center"/>
              <w:rPr>
                <w:color w:val="000000"/>
                <w:szCs w:val="21"/>
              </w:rPr>
            </w:pPr>
            <w:r>
              <w:rPr>
                <w:color w:val="000000"/>
                <w:szCs w:val="21"/>
              </w:rPr>
              <w:t>0.89</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5</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末精煤脱介筛</w:t>
            </w:r>
          </w:p>
        </w:tc>
        <w:tc>
          <w:tcPr>
            <w:tcW w:w="4930" w:type="dxa"/>
            <w:shd w:val="clear" w:color="auto" w:fill="auto"/>
            <w:vAlign w:val="center"/>
          </w:tcPr>
          <w:p w:rsidR="00C223F5" w:rsidRDefault="005860D5">
            <w:pPr>
              <w:widowControl/>
              <w:rPr>
                <w:color w:val="000000"/>
                <w:kern w:val="0"/>
                <w:szCs w:val="21"/>
              </w:rPr>
            </w:pPr>
            <w:r>
              <w:rPr>
                <w:color w:val="000000"/>
                <w:kern w:val="0"/>
                <w:szCs w:val="21"/>
              </w:rPr>
              <w:t>3673m</w:t>
            </w:r>
            <w:r>
              <w:rPr>
                <w:rFonts w:hAnsi="宋体"/>
                <w:color w:val="000000"/>
                <w:kern w:val="0"/>
                <w:szCs w:val="21"/>
              </w:rPr>
              <w:t>单层直线筛，合介段</w:t>
            </w:r>
            <w:r>
              <w:rPr>
                <w:color w:val="000000"/>
                <w:kern w:val="0"/>
                <w:szCs w:val="21"/>
              </w:rPr>
              <w:t>φ0.5mm</w:t>
            </w:r>
            <w:r>
              <w:rPr>
                <w:rFonts w:hAnsi="宋体"/>
                <w:color w:val="000000"/>
                <w:kern w:val="0"/>
                <w:szCs w:val="21"/>
              </w:rPr>
              <w:t>，稀介段</w:t>
            </w:r>
            <w:r>
              <w:rPr>
                <w:color w:val="000000"/>
                <w:kern w:val="0"/>
                <w:szCs w:val="21"/>
              </w:rPr>
              <w:t>φ1.0mm</w:t>
            </w:r>
          </w:p>
        </w:tc>
        <w:tc>
          <w:tcPr>
            <w:tcW w:w="1663" w:type="dxa"/>
            <w:shd w:val="clear" w:color="auto" w:fill="auto"/>
            <w:vAlign w:val="center"/>
          </w:tcPr>
          <w:p w:rsidR="00C223F5" w:rsidRDefault="005860D5">
            <w:pPr>
              <w:jc w:val="center"/>
              <w:rPr>
                <w:color w:val="000000"/>
                <w:szCs w:val="21"/>
              </w:rPr>
            </w:pPr>
            <w:r>
              <w:rPr>
                <w:color w:val="000000"/>
                <w:szCs w:val="21"/>
              </w:rPr>
              <w:t>200</w:t>
            </w:r>
          </w:p>
        </w:tc>
        <w:tc>
          <w:tcPr>
            <w:tcW w:w="1984" w:type="dxa"/>
            <w:shd w:val="clear" w:color="auto" w:fill="auto"/>
            <w:vAlign w:val="center"/>
          </w:tcPr>
          <w:p w:rsidR="00C223F5" w:rsidRDefault="005860D5">
            <w:pPr>
              <w:jc w:val="center"/>
              <w:rPr>
                <w:color w:val="000000"/>
                <w:szCs w:val="21"/>
              </w:rPr>
            </w:pPr>
            <w:r>
              <w:rPr>
                <w:color w:val="000000"/>
                <w:szCs w:val="21"/>
              </w:rPr>
              <w:t>350</w:t>
            </w:r>
          </w:p>
        </w:tc>
        <w:tc>
          <w:tcPr>
            <w:tcW w:w="840" w:type="dxa"/>
            <w:vAlign w:val="center"/>
          </w:tcPr>
          <w:p w:rsidR="00C223F5" w:rsidRDefault="005860D5">
            <w:pPr>
              <w:jc w:val="center"/>
              <w:rPr>
                <w:color w:val="000000"/>
                <w:szCs w:val="21"/>
              </w:rPr>
            </w:pPr>
            <w:r>
              <w:rPr>
                <w:color w:val="000000"/>
                <w:szCs w:val="21"/>
              </w:rPr>
              <w:t>1.15</w:t>
            </w:r>
          </w:p>
        </w:tc>
        <w:tc>
          <w:tcPr>
            <w:tcW w:w="952" w:type="dxa"/>
            <w:shd w:val="clear" w:color="auto" w:fill="auto"/>
            <w:vAlign w:val="center"/>
          </w:tcPr>
          <w:p w:rsidR="00C223F5" w:rsidRDefault="005860D5">
            <w:pPr>
              <w:jc w:val="center"/>
              <w:rPr>
                <w:color w:val="000000"/>
                <w:szCs w:val="21"/>
              </w:rPr>
            </w:pPr>
            <w:r>
              <w:rPr>
                <w:color w:val="000000"/>
                <w:szCs w:val="21"/>
              </w:rPr>
              <w:t xml:space="preserve">0.66 </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6</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末精煤离心脱水机</w:t>
            </w:r>
          </w:p>
        </w:tc>
        <w:tc>
          <w:tcPr>
            <w:tcW w:w="4930" w:type="dxa"/>
            <w:shd w:val="clear" w:color="auto" w:fill="auto"/>
            <w:vAlign w:val="center"/>
          </w:tcPr>
          <w:p w:rsidR="00C223F5" w:rsidRDefault="005860D5">
            <w:pPr>
              <w:widowControl/>
              <w:rPr>
                <w:color w:val="000000"/>
                <w:kern w:val="0"/>
                <w:szCs w:val="21"/>
              </w:rPr>
            </w:pPr>
            <w:r>
              <w:rPr>
                <w:rFonts w:hAnsi="宋体"/>
                <w:color w:val="000000"/>
                <w:kern w:val="0"/>
                <w:szCs w:val="21"/>
              </w:rPr>
              <w:t>直径</w:t>
            </w:r>
            <w:r>
              <w:rPr>
                <w:color w:val="000000"/>
                <w:kern w:val="0"/>
                <w:szCs w:val="21"/>
              </w:rPr>
              <w:t>1400</w:t>
            </w:r>
            <w:r>
              <w:rPr>
                <w:rFonts w:hAnsi="宋体"/>
                <w:color w:val="000000"/>
                <w:kern w:val="0"/>
                <w:szCs w:val="21"/>
              </w:rPr>
              <w:t>，</w:t>
            </w:r>
            <w:r>
              <w:rPr>
                <w:color w:val="000000"/>
                <w:kern w:val="0"/>
                <w:szCs w:val="21"/>
              </w:rPr>
              <w:t>50</w:t>
            </w:r>
            <w:r>
              <w:rPr>
                <w:rFonts w:hAnsi="宋体"/>
                <w:color w:val="000000"/>
                <w:kern w:val="0"/>
                <w:szCs w:val="21"/>
              </w:rPr>
              <w:t>～</w:t>
            </w:r>
            <w:r>
              <w:rPr>
                <w:color w:val="000000"/>
                <w:kern w:val="0"/>
                <w:szCs w:val="21"/>
              </w:rPr>
              <w:t>1.0mm</w:t>
            </w:r>
            <w:r>
              <w:rPr>
                <w:rFonts w:hAnsi="宋体"/>
                <w:color w:val="000000"/>
                <w:kern w:val="0"/>
                <w:szCs w:val="21"/>
              </w:rPr>
              <w:t>，</w:t>
            </w:r>
            <w:r>
              <w:rPr>
                <w:szCs w:val="21"/>
              </w:rPr>
              <w:t>产品外在水分</w:t>
            </w:r>
            <w:r>
              <w:rPr>
                <w:szCs w:val="21"/>
              </w:rPr>
              <w:t>5%</w:t>
            </w:r>
            <w:r>
              <w:rPr>
                <w:szCs w:val="21"/>
              </w:rPr>
              <w:t>～</w:t>
            </w:r>
            <w:r>
              <w:rPr>
                <w:szCs w:val="21"/>
              </w:rPr>
              <w:t>6%</w:t>
            </w:r>
            <w:r>
              <w:rPr>
                <w:szCs w:val="21"/>
              </w:rPr>
              <w:t>，筛网</w:t>
            </w:r>
            <w:r>
              <w:rPr>
                <w:szCs w:val="21"/>
              </w:rPr>
              <w:t>0.5mm</w:t>
            </w:r>
          </w:p>
        </w:tc>
        <w:tc>
          <w:tcPr>
            <w:tcW w:w="1663" w:type="dxa"/>
            <w:shd w:val="clear" w:color="auto" w:fill="auto"/>
            <w:vAlign w:val="center"/>
          </w:tcPr>
          <w:p w:rsidR="00C223F5" w:rsidRDefault="005860D5">
            <w:pPr>
              <w:jc w:val="center"/>
              <w:rPr>
                <w:color w:val="000000"/>
                <w:szCs w:val="21"/>
              </w:rPr>
            </w:pPr>
            <w:r>
              <w:rPr>
                <w:color w:val="000000"/>
                <w:szCs w:val="21"/>
              </w:rPr>
              <w:t xml:space="preserve">200 </w:t>
            </w:r>
          </w:p>
        </w:tc>
        <w:tc>
          <w:tcPr>
            <w:tcW w:w="1984" w:type="dxa"/>
            <w:shd w:val="clear" w:color="auto" w:fill="auto"/>
            <w:vAlign w:val="center"/>
          </w:tcPr>
          <w:p w:rsidR="00C223F5" w:rsidRDefault="005860D5">
            <w:pPr>
              <w:jc w:val="center"/>
              <w:rPr>
                <w:color w:val="000000"/>
                <w:szCs w:val="21"/>
              </w:rPr>
            </w:pPr>
            <w:r>
              <w:rPr>
                <w:color w:val="000000"/>
                <w:szCs w:val="21"/>
              </w:rPr>
              <w:t>300</w:t>
            </w:r>
          </w:p>
        </w:tc>
        <w:tc>
          <w:tcPr>
            <w:tcW w:w="840" w:type="dxa"/>
            <w:vAlign w:val="center"/>
          </w:tcPr>
          <w:p w:rsidR="00C223F5" w:rsidRDefault="005860D5">
            <w:pPr>
              <w:jc w:val="center"/>
              <w:rPr>
                <w:color w:val="000000"/>
                <w:szCs w:val="21"/>
              </w:rPr>
            </w:pPr>
            <w:r>
              <w:rPr>
                <w:color w:val="000000"/>
                <w:szCs w:val="21"/>
              </w:rPr>
              <w:t>1.15</w:t>
            </w:r>
          </w:p>
        </w:tc>
        <w:tc>
          <w:tcPr>
            <w:tcW w:w="952" w:type="dxa"/>
            <w:shd w:val="clear" w:color="auto" w:fill="auto"/>
            <w:vAlign w:val="center"/>
          </w:tcPr>
          <w:p w:rsidR="00C223F5" w:rsidRDefault="005860D5">
            <w:pPr>
              <w:jc w:val="center"/>
              <w:rPr>
                <w:color w:val="000000"/>
                <w:szCs w:val="21"/>
              </w:rPr>
            </w:pPr>
            <w:r>
              <w:rPr>
                <w:color w:val="000000"/>
                <w:szCs w:val="21"/>
              </w:rPr>
              <w:t>0.76</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7</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中煤脱介筛</w:t>
            </w:r>
          </w:p>
        </w:tc>
        <w:tc>
          <w:tcPr>
            <w:tcW w:w="4930" w:type="dxa"/>
            <w:shd w:val="clear" w:color="auto" w:fill="auto"/>
            <w:vAlign w:val="center"/>
          </w:tcPr>
          <w:p w:rsidR="00C223F5" w:rsidRDefault="005860D5">
            <w:pPr>
              <w:widowControl/>
              <w:rPr>
                <w:color w:val="000000"/>
                <w:kern w:val="0"/>
                <w:szCs w:val="21"/>
              </w:rPr>
            </w:pPr>
            <w:r>
              <w:rPr>
                <w:color w:val="000000"/>
                <w:kern w:val="0"/>
                <w:szCs w:val="21"/>
              </w:rPr>
              <w:t>3061m</w:t>
            </w:r>
            <w:r>
              <w:rPr>
                <w:rFonts w:hAnsi="宋体"/>
                <w:color w:val="000000"/>
                <w:kern w:val="0"/>
                <w:szCs w:val="21"/>
              </w:rPr>
              <w:t>单层直线筛，合介段</w:t>
            </w:r>
            <w:r>
              <w:rPr>
                <w:color w:val="000000"/>
                <w:kern w:val="0"/>
                <w:szCs w:val="21"/>
              </w:rPr>
              <w:t>φ0.5mm</w:t>
            </w:r>
            <w:r>
              <w:rPr>
                <w:rFonts w:hAnsi="宋体"/>
                <w:color w:val="000000"/>
                <w:kern w:val="0"/>
                <w:szCs w:val="21"/>
              </w:rPr>
              <w:t>，稀介段</w:t>
            </w:r>
            <w:r>
              <w:rPr>
                <w:color w:val="000000"/>
                <w:kern w:val="0"/>
                <w:szCs w:val="21"/>
              </w:rPr>
              <w:t>φ1.0mm</w:t>
            </w:r>
          </w:p>
        </w:tc>
        <w:tc>
          <w:tcPr>
            <w:tcW w:w="1663" w:type="dxa"/>
            <w:shd w:val="clear" w:color="auto" w:fill="auto"/>
            <w:vAlign w:val="center"/>
          </w:tcPr>
          <w:p w:rsidR="00C223F5" w:rsidRDefault="005860D5">
            <w:pPr>
              <w:jc w:val="center"/>
              <w:rPr>
                <w:color w:val="000000"/>
                <w:szCs w:val="21"/>
              </w:rPr>
            </w:pPr>
            <w:r>
              <w:rPr>
                <w:color w:val="000000"/>
                <w:szCs w:val="21"/>
              </w:rPr>
              <w:t>100</w:t>
            </w:r>
          </w:p>
        </w:tc>
        <w:tc>
          <w:tcPr>
            <w:tcW w:w="1984" w:type="dxa"/>
            <w:shd w:val="clear" w:color="auto" w:fill="auto"/>
            <w:vAlign w:val="center"/>
          </w:tcPr>
          <w:p w:rsidR="00C223F5" w:rsidRDefault="005860D5">
            <w:pPr>
              <w:jc w:val="center"/>
              <w:rPr>
                <w:color w:val="000000"/>
                <w:szCs w:val="21"/>
              </w:rPr>
            </w:pPr>
            <w:r>
              <w:rPr>
                <w:color w:val="000000"/>
                <w:szCs w:val="21"/>
              </w:rPr>
              <w:t>180</w:t>
            </w:r>
          </w:p>
        </w:tc>
        <w:tc>
          <w:tcPr>
            <w:tcW w:w="840" w:type="dxa"/>
            <w:vAlign w:val="center"/>
          </w:tcPr>
          <w:p w:rsidR="00C223F5" w:rsidRDefault="005860D5">
            <w:pPr>
              <w:jc w:val="center"/>
              <w:rPr>
                <w:color w:val="000000"/>
                <w:szCs w:val="21"/>
              </w:rPr>
            </w:pPr>
            <w:r>
              <w:rPr>
                <w:color w:val="000000"/>
                <w:szCs w:val="21"/>
              </w:rPr>
              <w:t>1.15</w:t>
            </w:r>
          </w:p>
        </w:tc>
        <w:tc>
          <w:tcPr>
            <w:tcW w:w="952" w:type="dxa"/>
            <w:shd w:val="clear" w:color="auto" w:fill="auto"/>
            <w:vAlign w:val="center"/>
          </w:tcPr>
          <w:p w:rsidR="00C223F5" w:rsidRDefault="005860D5">
            <w:pPr>
              <w:jc w:val="center"/>
              <w:rPr>
                <w:color w:val="000000"/>
                <w:szCs w:val="21"/>
              </w:rPr>
            </w:pPr>
            <w:r>
              <w:rPr>
                <w:color w:val="000000"/>
                <w:szCs w:val="21"/>
              </w:rPr>
              <w:t xml:space="preserve">0.64 </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8</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中煤离心机</w:t>
            </w:r>
          </w:p>
        </w:tc>
        <w:tc>
          <w:tcPr>
            <w:tcW w:w="4930" w:type="dxa"/>
            <w:shd w:val="clear" w:color="auto" w:fill="auto"/>
            <w:vAlign w:val="center"/>
          </w:tcPr>
          <w:p w:rsidR="00C223F5" w:rsidRDefault="005860D5">
            <w:pPr>
              <w:widowControl/>
              <w:rPr>
                <w:color w:val="000000"/>
                <w:kern w:val="0"/>
                <w:szCs w:val="21"/>
              </w:rPr>
            </w:pPr>
            <w:r>
              <w:rPr>
                <w:rFonts w:hAnsi="宋体"/>
                <w:color w:val="000000"/>
                <w:kern w:val="0"/>
                <w:szCs w:val="21"/>
              </w:rPr>
              <w:t>直径</w:t>
            </w:r>
            <w:r>
              <w:rPr>
                <w:color w:val="000000"/>
                <w:kern w:val="0"/>
                <w:szCs w:val="21"/>
              </w:rPr>
              <w:t>1400</w:t>
            </w:r>
            <w:r>
              <w:rPr>
                <w:rFonts w:hAnsi="宋体"/>
                <w:color w:val="000000"/>
                <w:kern w:val="0"/>
                <w:szCs w:val="21"/>
              </w:rPr>
              <w:t>，入料粒度</w:t>
            </w:r>
            <w:r>
              <w:rPr>
                <w:color w:val="000000"/>
                <w:kern w:val="0"/>
                <w:szCs w:val="21"/>
              </w:rPr>
              <w:t>50</w:t>
            </w:r>
            <w:r>
              <w:rPr>
                <w:rFonts w:hAnsi="宋体"/>
                <w:color w:val="000000"/>
                <w:kern w:val="0"/>
                <w:szCs w:val="21"/>
              </w:rPr>
              <w:t>～</w:t>
            </w:r>
            <w:r>
              <w:rPr>
                <w:color w:val="000000"/>
                <w:kern w:val="0"/>
                <w:szCs w:val="21"/>
              </w:rPr>
              <w:t>1.0mm</w:t>
            </w:r>
            <w:r>
              <w:rPr>
                <w:rFonts w:hAnsi="宋体"/>
                <w:color w:val="000000"/>
                <w:kern w:val="0"/>
                <w:szCs w:val="21"/>
              </w:rPr>
              <w:t>，</w:t>
            </w:r>
            <w:r>
              <w:rPr>
                <w:szCs w:val="21"/>
              </w:rPr>
              <w:t>产品外在水分</w:t>
            </w:r>
            <w:r>
              <w:rPr>
                <w:szCs w:val="21"/>
              </w:rPr>
              <w:t>5%</w:t>
            </w:r>
            <w:r>
              <w:rPr>
                <w:szCs w:val="21"/>
              </w:rPr>
              <w:t>～</w:t>
            </w:r>
            <w:r>
              <w:rPr>
                <w:szCs w:val="21"/>
              </w:rPr>
              <w:t>6%</w:t>
            </w:r>
            <w:r>
              <w:rPr>
                <w:szCs w:val="21"/>
              </w:rPr>
              <w:t>，筛网</w:t>
            </w:r>
            <w:r>
              <w:rPr>
                <w:szCs w:val="21"/>
              </w:rPr>
              <w:t>0.5mm</w:t>
            </w:r>
          </w:p>
        </w:tc>
        <w:tc>
          <w:tcPr>
            <w:tcW w:w="1663" w:type="dxa"/>
            <w:shd w:val="clear" w:color="auto" w:fill="auto"/>
            <w:vAlign w:val="center"/>
          </w:tcPr>
          <w:p w:rsidR="00C223F5" w:rsidRDefault="005860D5">
            <w:pPr>
              <w:jc w:val="center"/>
              <w:rPr>
                <w:color w:val="000000"/>
                <w:szCs w:val="21"/>
              </w:rPr>
            </w:pPr>
            <w:r>
              <w:rPr>
                <w:color w:val="000000"/>
                <w:szCs w:val="21"/>
              </w:rPr>
              <w:t>100</w:t>
            </w:r>
          </w:p>
        </w:tc>
        <w:tc>
          <w:tcPr>
            <w:tcW w:w="1984" w:type="dxa"/>
            <w:shd w:val="clear" w:color="auto" w:fill="auto"/>
            <w:vAlign w:val="center"/>
          </w:tcPr>
          <w:p w:rsidR="00C223F5" w:rsidRDefault="005860D5">
            <w:pPr>
              <w:jc w:val="center"/>
              <w:rPr>
                <w:color w:val="000000"/>
                <w:szCs w:val="21"/>
              </w:rPr>
            </w:pPr>
            <w:r>
              <w:rPr>
                <w:color w:val="000000"/>
                <w:szCs w:val="21"/>
              </w:rPr>
              <w:t>300</w:t>
            </w:r>
          </w:p>
        </w:tc>
        <w:tc>
          <w:tcPr>
            <w:tcW w:w="840" w:type="dxa"/>
            <w:vAlign w:val="center"/>
          </w:tcPr>
          <w:p w:rsidR="00C223F5" w:rsidRDefault="005860D5">
            <w:pPr>
              <w:jc w:val="center"/>
              <w:rPr>
                <w:color w:val="000000"/>
                <w:szCs w:val="21"/>
              </w:rPr>
            </w:pPr>
            <w:r>
              <w:rPr>
                <w:color w:val="000000"/>
                <w:szCs w:val="21"/>
              </w:rPr>
              <w:t>1.15</w:t>
            </w:r>
          </w:p>
        </w:tc>
        <w:tc>
          <w:tcPr>
            <w:tcW w:w="952" w:type="dxa"/>
            <w:shd w:val="clear" w:color="auto" w:fill="auto"/>
            <w:vAlign w:val="center"/>
          </w:tcPr>
          <w:p w:rsidR="00C223F5" w:rsidRDefault="005860D5">
            <w:pPr>
              <w:jc w:val="center"/>
              <w:rPr>
                <w:color w:val="000000"/>
                <w:szCs w:val="21"/>
              </w:rPr>
            </w:pPr>
            <w:r>
              <w:rPr>
                <w:color w:val="000000"/>
                <w:szCs w:val="21"/>
              </w:rPr>
              <w:t>0.38</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9</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矸石脱介筛</w:t>
            </w:r>
          </w:p>
        </w:tc>
        <w:tc>
          <w:tcPr>
            <w:tcW w:w="4930" w:type="dxa"/>
            <w:shd w:val="clear" w:color="auto" w:fill="auto"/>
            <w:vAlign w:val="center"/>
          </w:tcPr>
          <w:p w:rsidR="00C223F5" w:rsidRDefault="005860D5">
            <w:pPr>
              <w:widowControl/>
              <w:rPr>
                <w:color w:val="000000"/>
                <w:kern w:val="0"/>
                <w:szCs w:val="21"/>
              </w:rPr>
            </w:pPr>
            <w:r>
              <w:rPr>
                <w:color w:val="000000"/>
                <w:kern w:val="0"/>
                <w:szCs w:val="21"/>
              </w:rPr>
              <w:t>3061m</w:t>
            </w:r>
            <w:r>
              <w:rPr>
                <w:rFonts w:hAnsi="宋体"/>
                <w:color w:val="000000"/>
                <w:kern w:val="0"/>
                <w:szCs w:val="21"/>
              </w:rPr>
              <w:t>单层直线筛，合介段</w:t>
            </w:r>
            <w:r>
              <w:rPr>
                <w:color w:val="000000"/>
                <w:kern w:val="0"/>
                <w:szCs w:val="21"/>
              </w:rPr>
              <w:t>φ0.5mm</w:t>
            </w:r>
            <w:r>
              <w:rPr>
                <w:rFonts w:hAnsi="宋体"/>
                <w:color w:val="000000"/>
                <w:kern w:val="0"/>
                <w:szCs w:val="21"/>
              </w:rPr>
              <w:t>，稀介段</w:t>
            </w:r>
            <w:r>
              <w:rPr>
                <w:color w:val="000000"/>
                <w:kern w:val="0"/>
                <w:szCs w:val="21"/>
              </w:rPr>
              <w:t>φ1.0mm</w:t>
            </w:r>
          </w:p>
        </w:tc>
        <w:tc>
          <w:tcPr>
            <w:tcW w:w="1663" w:type="dxa"/>
            <w:shd w:val="clear" w:color="auto" w:fill="auto"/>
            <w:vAlign w:val="center"/>
          </w:tcPr>
          <w:p w:rsidR="00C223F5" w:rsidRDefault="005860D5">
            <w:pPr>
              <w:jc w:val="center"/>
              <w:rPr>
                <w:color w:val="000000"/>
                <w:szCs w:val="21"/>
              </w:rPr>
            </w:pPr>
            <w:r>
              <w:rPr>
                <w:color w:val="000000"/>
                <w:szCs w:val="21"/>
              </w:rPr>
              <w:t>100</w:t>
            </w:r>
          </w:p>
        </w:tc>
        <w:tc>
          <w:tcPr>
            <w:tcW w:w="1984" w:type="dxa"/>
            <w:shd w:val="clear" w:color="auto" w:fill="auto"/>
            <w:vAlign w:val="center"/>
          </w:tcPr>
          <w:p w:rsidR="00C223F5" w:rsidRDefault="005860D5">
            <w:pPr>
              <w:jc w:val="center"/>
              <w:rPr>
                <w:color w:val="000000"/>
                <w:szCs w:val="21"/>
              </w:rPr>
            </w:pPr>
            <w:r>
              <w:rPr>
                <w:color w:val="000000"/>
                <w:szCs w:val="21"/>
              </w:rPr>
              <w:t>180</w:t>
            </w:r>
          </w:p>
        </w:tc>
        <w:tc>
          <w:tcPr>
            <w:tcW w:w="840" w:type="dxa"/>
            <w:vAlign w:val="center"/>
          </w:tcPr>
          <w:p w:rsidR="00C223F5" w:rsidRDefault="005860D5">
            <w:pPr>
              <w:jc w:val="center"/>
              <w:rPr>
                <w:color w:val="000000"/>
                <w:szCs w:val="21"/>
              </w:rPr>
            </w:pPr>
            <w:r>
              <w:rPr>
                <w:color w:val="000000"/>
                <w:szCs w:val="21"/>
              </w:rPr>
              <w:t>1.5</w:t>
            </w:r>
          </w:p>
        </w:tc>
        <w:tc>
          <w:tcPr>
            <w:tcW w:w="952" w:type="dxa"/>
            <w:shd w:val="clear" w:color="auto" w:fill="auto"/>
            <w:vAlign w:val="center"/>
          </w:tcPr>
          <w:p w:rsidR="00C223F5" w:rsidRDefault="005860D5">
            <w:pPr>
              <w:jc w:val="center"/>
              <w:rPr>
                <w:color w:val="000000"/>
                <w:szCs w:val="21"/>
              </w:rPr>
            </w:pPr>
            <w:r>
              <w:rPr>
                <w:color w:val="000000"/>
                <w:szCs w:val="21"/>
              </w:rPr>
              <w:t>0.83</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10</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精煤磁选机</w:t>
            </w:r>
          </w:p>
        </w:tc>
        <w:tc>
          <w:tcPr>
            <w:tcW w:w="4930" w:type="dxa"/>
            <w:shd w:val="clear" w:color="auto" w:fill="auto"/>
            <w:vAlign w:val="center"/>
          </w:tcPr>
          <w:p w:rsidR="00C223F5" w:rsidRDefault="005860D5">
            <w:pPr>
              <w:widowControl/>
              <w:rPr>
                <w:color w:val="000000"/>
                <w:kern w:val="0"/>
                <w:szCs w:val="21"/>
              </w:rPr>
            </w:pPr>
            <w:r>
              <w:rPr>
                <w:color w:val="000000"/>
                <w:kern w:val="0"/>
                <w:szCs w:val="21"/>
              </w:rPr>
              <w:t>φ1219/2972</w:t>
            </w:r>
            <w:r>
              <w:rPr>
                <w:rFonts w:hAnsi="宋体"/>
                <w:color w:val="000000"/>
                <w:kern w:val="0"/>
                <w:szCs w:val="21"/>
              </w:rPr>
              <w:t>型，</w:t>
            </w:r>
            <w:r>
              <w:rPr>
                <w:bCs/>
                <w:szCs w:val="21"/>
              </w:rPr>
              <w:t>湿式，单滚筒</w:t>
            </w:r>
          </w:p>
        </w:tc>
        <w:tc>
          <w:tcPr>
            <w:tcW w:w="1663" w:type="dxa"/>
            <w:shd w:val="clear" w:color="auto" w:fill="auto"/>
            <w:vAlign w:val="center"/>
          </w:tcPr>
          <w:p w:rsidR="00C223F5" w:rsidRDefault="005860D5">
            <w:pPr>
              <w:jc w:val="center"/>
              <w:rPr>
                <w:color w:val="000000"/>
                <w:szCs w:val="21"/>
              </w:rPr>
            </w:pPr>
            <w:r>
              <w:rPr>
                <w:color w:val="000000"/>
                <w:szCs w:val="21"/>
              </w:rPr>
              <w:t>245</w:t>
            </w:r>
          </w:p>
        </w:tc>
        <w:tc>
          <w:tcPr>
            <w:tcW w:w="1984" w:type="dxa"/>
            <w:shd w:val="clear" w:color="auto" w:fill="auto"/>
            <w:vAlign w:val="center"/>
          </w:tcPr>
          <w:p w:rsidR="00C223F5" w:rsidRDefault="005860D5">
            <w:pPr>
              <w:jc w:val="center"/>
              <w:rPr>
                <w:color w:val="000000"/>
                <w:szCs w:val="21"/>
              </w:rPr>
            </w:pPr>
            <w:r>
              <w:rPr>
                <w:color w:val="000000"/>
                <w:szCs w:val="21"/>
              </w:rPr>
              <w:t>350</w:t>
            </w:r>
          </w:p>
        </w:tc>
        <w:tc>
          <w:tcPr>
            <w:tcW w:w="840" w:type="dxa"/>
            <w:vAlign w:val="center"/>
          </w:tcPr>
          <w:p w:rsidR="00C223F5" w:rsidRDefault="005860D5">
            <w:pPr>
              <w:jc w:val="center"/>
              <w:rPr>
                <w:color w:val="000000"/>
                <w:szCs w:val="21"/>
              </w:rPr>
            </w:pPr>
            <w:r>
              <w:rPr>
                <w:color w:val="000000"/>
                <w:szCs w:val="21"/>
              </w:rPr>
              <w:t>1.15</w:t>
            </w:r>
          </w:p>
        </w:tc>
        <w:tc>
          <w:tcPr>
            <w:tcW w:w="952" w:type="dxa"/>
            <w:shd w:val="clear" w:color="auto" w:fill="auto"/>
            <w:vAlign w:val="center"/>
          </w:tcPr>
          <w:p w:rsidR="00C223F5" w:rsidRDefault="005860D5">
            <w:pPr>
              <w:jc w:val="center"/>
              <w:rPr>
                <w:color w:val="000000"/>
                <w:szCs w:val="21"/>
              </w:rPr>
            </w:pPr>
            <w:r>
              <w:rPr>
                <w:color w:val="000000"/>
                <w:szCs w:val="21"/>
              </w:rPr>
              <w:t xml:space="preserve">0.81 </w:t>
            </w:r>
          </w:p>
        </w:tc>
        <w:tc>
          <w:tcPr>
            <w:tcW w:w="631" w:type="dxa"/>
            <w:shd w:val="clear" w:color="auto" w:fill="auto"/>
            <w:vAlign w:val="center"/>
          </w:tcPr>
          <w:p w:rsidR="00C223F5" w:rsidRDefault="005860D5">
            <w:pPr>
              <w:jc w:val="center"/>
              <w:rPr>
                <w:color w:val="000000"/>
                <w:szCs w:val="21"/>
              </w:rPr>
            </w:pPr>
            <w:r>
              <w:rPr>
                <w:color w:val="000000"/>
                <w:szCs w:val="21"/>
              </w:rPr>
              <w:t>2</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11</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中矸磁选机</w:t>
            </w:r>
          </w:p>
        </w:tc>
        <w:tc>
          <w:tcPr>
            <w:tcW w:w="4930" w:type="dxa"/>
            <w:shd w:val="clear" w:color="auto" w:fill="auto"/>
            <w:vAlign w:val="center"/>
          </w:tcPr>
          <w:p w:rsidR="00C223F5" w:rsidRDefault="005860D5">
            <w:pPr>
              <w:widowControl/>
              <w:rPr>
                <w:color w:val="000000"/>
                <w:kern w:val="0"/>
                <w:szCs w:val="21"/>
              </w:rPr>
            </w:pPr>
            <w:r>
              <w:rPr>
                <w:color w:val="000000"/>
                <w:kern w:val="0"/>
                <w:szCs w:val="21"/>
              </w:rPr>
              <w:t>φ1219/2972</w:t>
            </w:r>
            <w:r>
              <w:rPr>
                <w:rFonts w:hAnsi="宋体"/>
                <w:color w:val="000000"/>
                <w:kern w:val="0"/>
                <w:szCs w:val="21"/>
              </w:rPr>
              <w:t>型，</w:t>
            </w:r>
            <w:r>
              <w:rPr>
                <w:bCs/>
                <w:szCs w:val="21"/>
              </w:rPr>
              <w:t>湿式，单滚筒</w:t>
            </w:r>
          </w:p>
        </w:tc>
        <w:tc>
          <w:tcPr>
            <w:tcW w:w="1663" w:type="dxa"/>
            <w:shd w:val="clear" w:color="auto" w:fill="auto"/>
            <w:vAlign w:val="center"/>
          </w:tcPr>
          <w:p w:rsidR="00C223F5" w:rsidRDefault="005860D5">
            <w:pPr>
              <w:jc w:val="center"/>
              <w:rPr>
                <w:color w:val="000000"/>
                <w:szCs w:val="21"/>
              </w:rPr>
            </w:pPr>
            <w:r>
              <w:rPr>
                <w:color w:val="000000"/>
                <w:szCs w:val="21"/>
              </w:rPr>
              <w:t>80</w:t>
            </w:r>
          </w:p>
        </w:tc>
        <w:tc>
          <w:tcPr>
            <w:tcW w:w="1984" w:type="dxa"/>
            <w:shd w:val="clear" w:color="auto" w:fill="auto"/>
            <w:vAlign w:val="center"/>
          </w:tcPr>
          <w:p w:rsidR="00C223F5" w:rsidRDefault="005860D5">
            <w:pPr>
              <w:jc w:val="center"/>
              <w:rPr>
                <w:color w:val="000000"/>
                <w:szCs w:val="21"/>
              </w:rPr>
            </w:pPr>
            <w:r>
              <w:rPr>
                <w:color w:val="000000"/>
                <w:szCs w:val="21"/>
              </w:rPr>
              <w:t>350</w:t>
            </w:r>
          </w:p>
        </w:tc>
        <w:tc>
          <w:tcPr>
            <w:tcW w:w="840" w:type="dxa"/>
            <w:vAlign w:val="center"/>
          </w:tcPr>
          <w:p w:rsidR="00C223F5" w:rsidRDefault="005860D5">
            <w:pPr>
              <w:jc w:val="center"/>
              <w:rPr>
                <w:color w:val="000000"/>
                <w:szCs w:val="21"/>
              </w:rPr>
            </w:pPr>
            <w:r>
              <w:rPr>
                <w:color w:val="000000"/>
                <w:szCs w:val="21"/>
              </w:rPr>
              <w:t>1.15</w:t>
            </w:r>
          </w:p>
        </w:tc>
        <w:tc>
          <w:tcPr>
            <w:tcW w:w="952" w:type="dxa"/>
            <w:shd w:val="clear" w:color="auto" w:fill="auto"/>
            <w:vAlign w:val="center"/>
          </w:tcPr>
          <w:p w:rsidR="00C223F5" w:rsidRDefault="005860D5">
            <w:pPr>
              <w:jc w:val="center"/>
              <w:rPr>
                <w:color w:val="000000"/>
                <w:szCs w:val="21"/>
              </w:rPr>
            </w:pPr>
            <w:r>
              <w:rPr>
                <w:color w:val="000000"/>
                <w:szCs w:val="21"/>
              </w:rPr>
              <w:t xml:space="preserve">0.36 </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12</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精煤泥分级旋流器</w:t>
            </w:r>
          </w:p>
        </w:tc>
        <w:tc>
          <w:tcPr>
            <w:tcW w:w="4930" w:type="dxa"/>
            <w:shd w:val="clear" w:color="auto" w:fill="auto"/>
            <w:vAlign w:val="center"/>
          </w:tcPr>
          <w:p w:rsidR="00C223F5" w:rsidRDefault="005860D5">
            <w:pPr>
              <w:widowControl/>
              <w:rPr>
                <w:color w:val="000000"/>
                <w:kern w:val="0"/>
                <w:szCs w:val="21"/>
              </w:rPr>
            </w:pPr>
            <w:r>
              <w:rPr>
                <w:color w:val="000000"/>
                <w:kern w:val="0"/>
                <w:szCs w:val="21"/>
              </w:rPr>
              <w:t>φ350×4</w:t>
            </w:r>
            <w:r>
              <w:rPr>
                <w:rFonts w:hint="eastAsia"/>
                <w:color w:val="000000"/>
                <w:kern w:val="0"/>
                <w:szCs w:val="21"/>
              </w:rPr>
              <w:t>，</w:t>
            </w:r>
            <w:r>
              <w:rPr>
                <w:color w:val="000000"/>
                <w:kern w:val="0"/>
                <w:szCs w:val="21"/>
              </w:rPr>
              <w:t>Q=400m</w:t>
            </w:r>
            <w:r>
              <w:rPr>
                <w:color w:val="000000"/>
                <w:kern w:val="0"/>
                <w:szCs w:val="21"/>
                <w:vertAlign w:val="superscript"/>
              </w:rPr>
              <w:t>3</w:t>
            </w:r>
            <w:r>
              <w:rPr>
                <w:color w:val="000000"/>
                <w:kern w:val="0"/>
                <w:szCs w:val="21"/>
              </w:rPr>
              <w:t>/h</w:t>
            </w:r>
            <w:r>
              <w:rPr>
                <w:rFonts w:hAnsi="宋体"/>
                <w:color w:val="000000"/>
                <w:kern w:val="0"/>
                <w:szCs w:val="21"/>
              </w:rPr>
              <w:t>，</w:t>
            </w:r>
            <w:r>
              <w:rPr>
                <w:bCs/>
                <w:szCs w:val="21"/>
              </w:rPr>
              <w:t>入料粒度</w:t>
            </w:r>
            <w:r>
              <w:rPr>
                <w:bCs/>
                <w:szCs w:val="21"/>
              </w:rPr>
              <w:t>1-0mm</w:t>
            </w:r>
            <w:r>
              <w:rPr>
                <w:bCs/>
                <w:szCs w:val="21"/>
              </w:rPr>
              <w:t>，</w:t>
            </w:r>
          </w:p>
        </w:tc>
        <w:tc>
          <w:tcPr>
            <w:tcW w:w="1663" w:type="dxa"/>
            <w:shd w:val="clear" w:color="auto" w:fill="auto"/>
            <w:vAlign w:val="center"/>
          </w:tcPr>
          <w:p w:rsidR="00C223F5" w:rsidRDefault="005860D5">
            <w:pPr>
              <w:jc w:val="center"/>
              <w:rPr>
                <w:color w:val="000000"/>
                <w:szCs w:val="21"/>
              </w:rPr>
            </w:pPr>
            <w:r>
              <w:rPr>
                <w:color w:val="000000"/>
                <w:szCs w:val="21"/>
              </w:rPr>
              <w:t>230</w:t>
            </w:r>
          </w:p>
        </w:tc>
        <w:tc>
          <w:tcPr>
            <w:tcW w:w="1984" w:type="dxa"/>
            <w:shd w:val="clear" w:color="auto" w:fill="auto"/>
            <w:vAlign w:val="center"/>
          </w:tcPr>
          <w:p w:rsidR="00C223F5" w:rsidRDefault="005860D5">
            <w:pPr>
              <w:jc w:val="center"/>
              <w:rPr>
                <w:color w:val="000000"/>
                <w:szCs w:val="21"/>
              </w:rPr>
            </w:pPr>
            <w:r>
              <w:rPr>
                <w:color w:val="000000"/>
                <w:szCs w:val="21"/>
              </w:rPr>
              <w:t>400</w:t>
            </w:r>
          </w:p>
        </w:tc>
        <w:tc>
          <w:tcPr>
            <w:tcW w:w="840" w:type="dxa"/>
            <w:vAlign w:val="center"/>
          </w:tcPr>
          <w:p w:rsidR="00C223F5" w:rsidRDefault="005860D5">
            <w:pPr>
              <w:jc w:val="center"/>
              <w:rPr>
                <w:color w:val="000000"/>
                <w:szCs w:val="21"/>
              </w:rPr>
            </w:pPr>
            <w:r>
              <w:rPr>
                <w:color w:val="000000"/>
                <w:szCs w:val="21"/>
              </w:rPr>
              <w:t>1.35</w:t>
            </w:r>
          </w:p>
        </w:tc>
        <w:tc>
          <w:tcPr>
            <w:tcW w:w="952" w:type="dxa"/>
            <w:shd w:val="clear" w:color="auto" w:fill="auto"/>
            <w:vAlign w:val="center"/>
          </w:tcPr>
          <w:p w:rsidR="00C223F5" w:rsidRDefault="005860D5">
            <w:pPr>
              <w:jc w:val="center"/>
              <w:rPr>
                <w:color w:val="000000"/>
                <w:szCs w:val="21"/>
              </w:rPr>
            </w:pPr>
            <w:r>
              <w:rPr>
                <w:color w:val="000000"/>
                <w:szCs w:val="21"/>
              </w:rPr>
              <w:t>0.78</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C223F5">
            <w:pPr>
              <w:widowControl/>
              <w:jc w:val="center"/>
              <w:rPr>
                <w:color w:val="000000"/>
                <w:kern w:val="0"/>
                <w:szCs w:val="21"/>
              </w:rPr>
            </w:pP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13</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中矸煤泥分级旋流器</w:t>
            </w:r>
          </w:p>
        </w:tc>
        <w:tc>
          <w:tcPr>
            <w:tcW w:w="4930" w:type="dxa"/>
            <w:shd w:val="clear" w:color="auto" w:fill="auto"/>
            <w:vAlign w:val="center"/>
          </w:tcPr>
          <w:p w:rsidR="00C223F5" w:rsidRDefault="005860D5">
            <w:pPr>
              <w:widowControl/>
              <w:rPr>
                <w:color w:val="000000"/>
                <w:kern w:val="0"/>
                <w:szCs w:val="21"/>
              </w:rPr>
            </w:pPr>
            <w:r>
              <w:rPr>
                <w:color w:val="000000"/>
                <w:kern w:val="0"/>
                <w:szCs w:val="21"/>
              </w:rPr>
              <w:t>φ350×4</w:t>
            </w:r>
            <w:r>
              <w:rPr>
                <w:rFonts w:hint="eastAsia"/>
                <w:color w:val="000000"/>
                <w:kern w:val="0"/>
                <w:szCs w:val="21"/>
              </w:rPr>
              <w:t>，</w:t>
            </w:r>
            <w:r>
              <w:rPr>
                <w:color w:val="000000"/>
                <w:kern w:val="0"/>
                <w:szCs w:val="21"/>
              </w:rPr>
              <w:t>Q=400m</w:t>
            </w:r>
            <w:r>
              <w:rPr>
                <w:color w:val="000000"/>
                <w:kern w:val="0"/>
                <w:szCs w:val="21"/>
                <w:vertAlign w:val="superscript"/>
              </w:rPr>
              <w:t>3</w:t>
            </w:r>
            <w:r>
              <w:rPr>
                <w:color w:val="000000"/>
                <w:kern w:val="0"/>
                <w:szCs w:val="21"/>
              </w:rPr>
              <w:t>/h</w:t>
            </w:r>
            <w:r>
              <w:rPr>
                <w:rFonts w:hAnsi="宋体"/>
                <w:color w:val="000000"/>
                <w:kern w:val="0"/>
                <w:szCs w:val="21"/>
              </w:rPr>
              <w:t>，</w:t>
            </w:r>
            <w:r>
              <w:rPr>
                <w:bCs/>
                <w:szCs w:val="21"/>
              </w:rPr>
              <w:t>入料粒度</w:t>
            </w:r>
            <w:r>
              <w:rPr>
                <w:bCs/>
                <w:szCs w:val="21"/>
              </w:rPr>
              <w:t>1-0mm</w:t>
            </w:r>
            <w:r>
              <w:rPr>
                <w:bCs/>
                <w:szCs w:val="21"/>
              </w:rPr>
              <w:t>，</w:t>
            </w:r>
          </w:p>
        </w:tc>
        <w:tc>
          <w:tcPr>
            <w:tcW w:w="1663" w:type="dxa"/>
            <w:shd w:val="clear" w:color="auto" w:fill="auto"/>
            <w:vAlign w:val="center"/>
          </w:tcPr>
          <w:p w:rsidR="00C223F5" w:rsidRDefault="005860D5">
            <w:pPr>
              <w:jc w:val="center"/>
              <w:rPr>
                <w:color w:val="000000"/>
                <w:szCs w:val="21"/>
              </w:rPr>
            </w:pPr>
            <w:r>
              <w:rPr>
                <w:color w:val="000000"/>
                <w:szCs w:val="21"/>
              </w:rPr>
              <w:t>80</w:t>
            </w:r>
          </w:p>
        </w:tc>
        <w:tc>
          <w:tcPr>
            <w:tcW w:w="1984" w:type="dxa"/>
            <w:shd w:val="clear" w:color="auto" w:fill="auto"/>
            <w:vAlign w:val="center"/>
          </w:tcPr>
          <w:p w:rsidR="00C223F5" w:rsidRDefault="005860D5">
            <w:pPr>
              <w:jc w:val="center"/>
              <w:rPr>
                <w:color w:val="000000"/>
                <w:szCs w:val="21"/>
              </w:rPr>
            </w:pPr>
            <w:r>
              <w:rPr>
                <w:color w:val="000000"/>
                <w:szCs w:val="21"/>
              </w:rPr>
              <w:t>400</w:t>
            </w:r>
          </w:p>
        </w:tc>
        <w:tc>
          <w:tcPr>
            <w:tcW w:w="840" w:type="dxa"/>
            <w:vAlign w:val="center"/>
          </w:tcPr>
          <w:p w:rsidR="00C223F5" w:rsidRDefault="005860D5">
            <w:pPr>
              <w:jc w:val="center"/>
              <w:rPr>
                <w:color w:val="000000"/>
                <w:szCs w:val="21"/>
              </w:rPr>
            </w:pPr>
            <w:r>
              <w:rPr>
                <w:color w:val="000000"/>
                <w:szCs w:val="21"/>
              </w:rPr>
              <w:t>1.35</w:t>
            </w:r>
          </w:p>
        </w:tc>
        <w:tc>
          <w:tcPr>
            <w:tcW w:w="952" w:type="dxa"/>
            <w:shd w:val="clear" w:color="auto" w:fill="auto"/>
            <w:vAlign w:val="center"/>
          </w:tcPr>
          <w:p w:rsidR="00C223F5" w:rsidRDefault="005860D5">
            <w:pPr>
              <w:jc w:val="center"/>
              <w:rPr>
                <w:color w:val="000000"/>
                <w:szCs w:val="21"/>
              </w:rPr>
            </w:pPr>
            <w:r>
              <w:rPr>
                <w:color w:val="000000"/>
                <w:szCs w:val="21"/>
              </w:rPr>
              <w:t>0.27</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C223F5">
            <w:pPr>
              <w:widowControl/>
              <w:jc w:val="center"/>
              <w:rPr>
                <w:color w:val="000000"/>
                <w:kern w:val="0"/>
                <w:szCs w:val="21"/>
              </w:rPr>
            </w:pP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14</w:t>
            </w:r>
          </w:p>
        </w:tc>
        <w:tc>
          <w:tcPr>
            <w:tcW w:w="2173" w:type="dxa"/>
            <w:shd w:val="clear" w:color="auto" w:fill="auto"/>
            <w:vAlign w:val="center"/>
          </w:tcPr>
          <w:p w:rsidR="00C223F5" w:rsidRDefault="005860D5">
            <w:pPr>
              <w:widowControl/>
              <w:rPr>
                <w:color w:val="000000"/>
                <w:kern w:val="0"/>
                <w:szCs w:val="21"/>
              </w:rPr>
            </w:pPr>
            <w:r>
              <w:rPr>
                <w:color w:val="000000"/>
                <w:kern w:val="0"/>
                <w:szCs w:val="21"/>
              </w:rPr>
              <w:t>TBS</w:t>
            </w:r>
            <w:r>
              <w:rPr>
                <w:rFonts w:hAnsi="宋体"/>
                <w:color w:val="000000"/>
                <w:kern w:val="0"/>
                <w:szCs w:val="21"/>
              </w:rPr>
              <w:t>分选机</w:t>
            </w:r>
          </w:p>
        </w:tc>
        <w:tc>
          <w:tcPr>
            <w:tcW w:w="4930" w:type="dxa"/>
            <w:shd w:val="clear" w:color="auto" w:fill="auto"/>
            <w:vAlign w:val="center"/>
          </w:tcPr>
          <w:p w:rsidR="00C223F5" w:rsidRDefault="005860D5">
            <w:pPr>
              <w:widowControl/>
              <w:rPr>
                <w:color w:val="000000"/>
                <w:kern w:val="0"/>
                <w:szCs w:val="21"/>
              </w:rPr>
            </w:pPr>
            <w:r>
              <w:rPr>
                <w:color w:val="000000"/>
                <w:kern w:val="0"/>
                <w:szCs w:val="21"/>
              </w:rPr>
              <w:t>φ3000mm</w:t>
            </w:r>
            <w:r>
              <w:rPr>
                <w:rFonts w:hAnsi="宋体"/>
                <w:color w:val="000000"/>
                <w:kern w:val="0"/>
                <w:szCs w:val="21"/>
              </w:rPr>
              <w:t>，</w:t>
            </w:r>
            <w:r>
              <w:rPr>
                <w:bCs/>
                <w:szCs w:val="21"/>
              </w:rPr>
              <w:t>入料粒度</w:t>
            </w:r>
            <w:r>
              <w:rPr>
                <w:bCs/>
                <w:szCs w:val="21"/>
              </w:rPr>
              <w:t>1-0mm</w:t>
            </w:r>
            <w:r>
              <w:rPr>
                <w:bCs/>
                <w:szCs w:val="21"/>
              </w:rPr>
              <w:t>，</w:t>
            </w:r>
          </w:p>
        </w:tc>
        <w:tc>
          <w:tcPr>
            <w:tcW w:w="1663" w:type="dxa"/>
            <w:shd w:val="clear" w:color="auto" w:fill="auto"/>
            <w:vAlign w:val="center"/>
          </w:tcPr>
          <w:p w:rsidR="00C223F5" w:rsidRDefault="005860D5">
            <w:pPr>
              <w:jc w:val="center"/>
              <w:rPr>
                <w:color w:val="000000"/>
                <w:szCs w:val="21"/>
              </w:rPr>
            </w:pPr>
            <w:r>
              <w:rPr>
                <w:color w:val="000000"/>
                <w:szCs w:val="21"/>
              </w:rPr>
              <w:t>30</w:t>
            </w:r>
          </w:p>
        </w:tc>
        <w:tc>
          <w:tcPr>
            <w:tcW w:w="1984" w:type="dxa"/>
            <w:shd w:val="clear" w:color="auto" w:fill="auto"/>
            <w:vAlign w:val="center"/>
          </w:tcPr>
          <w:p w:rsidR="00C223F5" w:rsidRDefault="005860D5">
            <w:pPr>
              <w:jc w:val="center"/>
              <w:rPr>
                <w:color w:val="000000"/>
                <w:szCs w:val="21"/>
              </w:rPr>
            </w:pPr>
            <w:r>
              <w:rPr>
                <w:color w:val="000000"/>
                <w:szCs w:val="21"/>
              </w:rPr>
              <w:t>100</w:t>
            </w:r>
          </w:p>
        </w:tc>
        <w:tc>
          <w:tcPr>
            <w:tcW w:w="840" w:type="dxa"/>
            <w:vAlign w:val="center"/>
          </w:tcPr>
          <w:p w:rsidR="00C223F5" w:rsidRDefault="005860D5">
            <w:pPr>
              <w:jc w:val="center"/>
              <w:rPr>
                <w:color w:val="000000"/>
                <w:szCs w:val="21"/>
              </w:rPr>
            </w:pPr>
            <w:r>
              <w:rPr>
                <w:color w:val="000000"/>
                <w:szCs w:val="21"/>
              </w:rPr>
              <w:t>1.35</w:t>
            </w:r>
          </w:p>
        </w:tc>
        <w:tc>
          <w:tcPr>
            <w:tcW w:w="952" w:type="dxa"/>
            <w:shd w:val="clear" w:color="auto" w:fill="auto"/>
            <w:vAlign w:val="center"/>
          </w:tcPr>
          <w:p w:rsidR="00C223F5" w:rsidRDefault="005860D5">
            <w:pPr>
              <w:jc w:val="center"/>
              <w:rPr>
                <w:color w:val="000000"/>
                <w:szCs w:val="21"/>
              </w:rPr>
            </w:pPr>
            <w:r>
              <w:rPr>
                <w:color w:val="000000"/>
                <w:szCs w:val="21"/>
              </w:rPr>
              <w:t>0.30</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C223F5">
            <w:pPr>
              <w:widowControl/>
              <w:jc w:val="center"/>
              <w:rPr>
                <w:color w:val="000000"/>
                <w:kern w:val="0"/>
                <w:szCs w:val="21"/>
              </w:rPr>
            </w:pP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15</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精煤泥离心机</w:t>
            </w:r>
          </w:p>
        </w:tc>
        <w:tc>
          <w:tcPr>
            <w:tcW w:w="4930" w:type="dxa"/>
            <w:shd w:val="clear" w:color="auto" w:fill="auto"/>
            <w:vAlign w:val="center"/>
          </w:tcPr>
          <w:p w:rsidR="00C223F5" w:rsidRDefault="005860D5">
            <w:pPr>
              <w:widowControl/>
              <w:rPr>
                <w:color w:val="000000"/>
                <w:kern w:val="0"/>
                <w:szCs w:val="21"/>
              </w:rPr>
            </w:pPr>
            <w:r>
              <w:rPr>
                <w:color w:val="000000"/>
                <w:kern w:val="0"/>
                <w:szCs w:val="21"/>
              </w:rPr>
              <w:t>φ1200</w:t>
            </w:r>
            <w:r>
              <w:rPr>
                <w:rFonts w:hint="eastAsia"/>
                <w:color w:val="000000"/>
                <w:kern w:val="0"/>
                <w:szCs w:val="21"/>
              </w:rPr>
              <w:t>，</w:t>
            </w:r>
            <w:r>
              <w:rPr>
                <w:color w:val="000000"/>
                <w:kern w:val="0"/>
                <w:szCs w:val="21"/>
              </w:rPr>
              <w:t>Q=60t/h</w:t>
            </w:r>
            <w:r>
              <w:rPr>
                <w:rFonts w:hAnsi="宋体"/>
                <w:color w:val="000000"/>
                <w:kern w:val="0"/>
                <w:szCs w:val="21"/>
              </w:rPr>
              <w:t>，</w:t>
            </w:r>
          </w:p>
        </w:tc>
        <w:tc>
          <w:tcPr>
            <w:tcW w:w="1663" w:type="dxa"/>
            <w:shd w:val="clear" w:color="auto" w:fill="auto"/>
            <w:vAlign w:val="center"/>
          </w:tcPr>
          <w:p w:rsidR="00C223F5" w:rsidRDefault="005860D5">
            <w:pPr>
              <w:jc w:val="center"/>
              <w:rPr>
                <w:color w:val="000000"/>
                <w:szCs w:val="21"/>
              </w:rPr>
            </w:pPr>
            <w:r>
              <w:rPr>
                <w:color w:val="000000"/>
                <w:szCs w:val="21"/>
              </w:rPr>
              <w:t>25</w:t>
            </w:r>
          </w:p>
        </w:tc>
        <w:tc>
          <w:tcPr>
            <w:tcW w:w="1984" w:type="dxa"/>
            <w:shd w:val="clear" w:color="auto" w:fill="auto"/>
            <w:vAlign w:val="center"/>
          </w:tcPr>
          <w:p w:rsidR="00C223F5" w:rsidRDefault="005860D5">
            <w:pPr>
              <w:jc w:val="center"/>
              <w:rPr>
                <w:color w:val="000000"/>
                <w:szCs w:val="21"/>
              </w:rPr>
            </w:pPr>
            <w:r>
              <w:rPr>
                <w:color w:val="000000"/>
                <w:szCs w:val="21"/>
              </w:rPr>
              <w:t>60</w:t>
            </w:r>
          </w:p>
        </w:tc>
        <w:tc>
          <w:tcPr>
            <w:tcW w:w="840" w:type="dxa"/>
            <w:vAlign w:val="center"/>
          </w:tcPr>
          <w:p w:rsidR="00C223F5" w:rsidRDefault="005860D5">
            <w:pPr>
              <w:jc w:val="center"/>
              <w:rPr>
                <w:color w:val="000000"/>
                <w:szCs w:val="21"/>
              </w:rPr>
            </w:pPr>
            <w:r>
              <w:rPr>
                <w:color w:val="000000"/>
                <w:szCs w:val="21"/>
              </w:rPr>
              <w:t>1.35</w:t>
            </w:r>
          </w:p>
        </w:tc>
        <w:tc>
          <w:tcPr>
            <w:tcW w:w="952" w:type="dxa"/>
            <w:shd w:val="clear" w:color="auto" w:fill="auto"/>
            <w:vAlign w:val="center"/>
          </w:tcPr>
          <w:p w:rsidR="00C223F5" w:rsidRDefault="005860D5">
            <w:pPr>
              <w:jc w:val="center"/>
              <w:rPr>
                <w:color w:val="000000"/>
                <w:szCs w:val="21"/>
              </w:rPr>
            </w:pPr>
            <w:r>
              <w:rPr>
                <w:color w:val="000000"/>
                <w:szCs w:val="21"/>
              </w:rPr>
              <w:t xml:space="preserve">0.56 </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16</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矸石高频筛</w:t>
            </w:r>
          </w:p>
        </w:tc>
        <w:tc>
          <w:tcPr>
            <w:tcW w:w="4930" w:type="dxa"/>
            <w:shd w:val="clear" w:color="auto" w:fill="auto"/>
            <w:vAlign w:val="center"/>
          </w:tcPr>
          <w:p w:rsidR="00C223F5" w:rsidRDefault="005860D5">
            <w:pPr>
              <w:widowControl/>
              <w:rPr>
                <w:color w:val="000000"/>
                <w:kern w:val="0"/>
                <w:szCs w:val="21"/>
              </w:rPr>
            </w:pPr>
            <w:r>
              <w:rPr>
                <w:color w:val="000000"/>
                <w:kern w:val="0"/>
                <w:szCs w:val="21"/>
              </w:rPr>
              <w:t>GPS2448, φ0.25mm</w:t>
            </w:r>
            <w:r>
              <w:rPr>
                <w:rFonts w:hint="eastAsia"/>
                <w:color w:val="000000"/>
                <w:kern w:val="0"/>
                <w:szCs w:val="21"/>
              </w:rPr>
              <w:t>，</w:t>
            </w:r>
            <w:r>
              <w:rPr>
                <w:color w:val="000000"/>
                <w:kern w:val="0"/>
                <w:szCs w:val="21"/>
              </w:rPr>
              <w:t>Q=35t/h</w:t>
            </w:r>
          </w:p>
        </w:tc>
        <w:tc>
          <w:tcPr>
            <w:tcW w:w="1663" w:type="dxa"/>
            <w:shd w:val="clear" w:color="auto" w:fill="auto"/>
            <w:vAlign w:val="center"/>
          </w:tcPr>
          <w:p w:rsidR="00C223F5" w:rsidRDefault="005860D5">
            <w:pPr>
              <w:jc w:val="center"/>
              <w:rPr>
                <w:color w:val="000000"/>
                <w:szCs w:val="21"/>
              </w:rPr>
            </w:pPr>
            <w:r>
              <w:rPr>
                <w:color w:val="000000"/>
                <w:szCs w:val="21"/>
              </w:rPr>
              <w:t xml:space="preserve">10 </w:t>
            </w:r>
          </w:p>
        </w:tc>
        <w:tc>
          <w:tcPr>
            <w:tcW w:w="1984" w:type="dxa"/>
            <w:shd w:val="clear" w:color="auto" w:fill="auto"/>
            <w:vAlign w:val="center"/>
          </w:tcPr>
          <w:p w:rsidR="00C223F5" w:rsidRDefault="005860D5">
            <w:pPr>
              <w:jc w:val="center"/>
              <w:rPr>
                <w:color w:val="000000"/>
                <w:szCs w:val="21"/>
              </w:rPr>
            </w:pPr>
            <w:r>
              <w:rPr>
                <w:color w:val="000000"/>
                <w:szCs w:val="21"/>
              </w:rPr>
              <w:t>35</w:t>
            </w:r>
          </w:p>
        </w:tc>
        <w:tc>
          <w:tcPr>
            <w:tcW w:w="840" w:type="dxa"/>
            <w:vAlign w:val="center"/>
          </w:tcPr>
          <w:p w:rsidR="00C223F5" w:rsidRDefault="005860D5">
            <w:pPr>
              <w:jc w:val="center"/>
              <w:rPr>
                <w:color w:val="000000"/>
                <w:szCs w:val="21"/>
              </w:rPr>
            </w:pPr>
            <w:r>
              <w:rPr>
                <w:color w:val="000000"/>
                <w:szCs w:val="21"/>
              </w:rPr>
              <w:t>1.5</w:t>
            </w:r>
          </w:p>
        </w:tc>
        <w:tc>
          <w:tcPr>
            <w:tcW w:w="952" w:type="dxa"/>
            <w:shd w:val="clear" w:color="auto" w:fill="auto"/>
            <w:vAlign w:val="center"/>
          </w:tcPr>
          <w:p w:rsidR="00C223F5" w:rsidRDefault="005860D5">
            <w:pPr>
              <w:jc w:val="center"/>
              <w:rPr>
                <w:color w:val="000000"/>
                <w:szCs w:val="21"/>
              </w:rPr>
            </w:pPr>
            <w:r>
              <w:rPr>
                <w:color w:val="000000"/>
                <w:szCs w:val="21"/>
              </w:rPr>
              <w:t xml:space="preserve">0.43 </w:t>
            </w:r>
          </w:p>
        </w:tc>
        <w:tc>
          <w:tcPr>
            <w:tcW w:w="631" w:type="dxa"/>
            <w:shd w:val="clear" w:color="auto" w:fill="auto"/>
            <w:vAlign w:val="center"/>
          </w:tcPr>
          <w:p w:rsidR="00C223F5" w:rsidRDefault="005860D5">
            <w:pPr>
              <w:jc w:val="center"/>
              <w:rPr>
                <w:color w:val="000000"/>
                <w:szCs w:val="21"/>
              </w:rPr>
            </w:pPr>
            <w:r>
              <w:rPr>
                <w:color w:val="000000"/>
                <w:szCs w:val="21"/>
              </w:rPr>
              <w:t>1</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17</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浓缩机</w:t>
            </w:r>
          </w:p>
        </w:tc>
        <w:tc>
          <w:tcPr>
            <w:tcW w:w="4930" w:type="dxa"/>
            <w:shd w:val="clear" w:color="auto" w:fill="auto"/>
            <w:vAlign w:val="center"/>
          </w:tcPr>
          <w:p w:rsidR="00C223F5" w:rsidRDefault="005860D5">
            <w:pPr>
              <w:widowControl/>
              <w:rPr>
                <w:color w:val="000000"/>
                <w:kern w:val="0"/>
                <w:szCs w:val="21"/>
              </w:rPr>
            </w:pPr>
            <w:r>
              <w:rPr>
                <w:rFonts w:hAnsi="宋体"/>
                <w:color w:val="000000"/>
                <w:kern w:val="0"/>
                <w:szCs w:val="21"/>
              </w:rPr>
              <w:t>直径</w:t>
            </w:r>
            <w:r>
              <w:rPr>
                <w:color w:val="000000"/>
                <w:kern w:val="0"/>
                <w:szCs w:val="21"/>
              </w:rPr>
              <w:t>28m</w:t>
            </w:r>
            <w:r>
              <w:rPr>
                <w:rFonts w:hint="eastAsia"/>
                <w:color w:val="000000"/>
                <w:kern w:val="0"/>
                <w:szCs w:val="21"/>
              </w:rPr>
              <w:t>，</w:t>
            </w:r>
            <w:r>
              <w:rPr>
                <w:rFonts w:hAnsi="宋体"/>
                <w:color w:val="000000"/>
                <w:kern w:val="0"/>
                <w:szCs w:val="21"/>
              </w:rPr>
              <w:t>自动提耙，稳流入料</w:t>
            </w:r>
          </w:p>
        </w:tc>
        <w:tc>
          <w:tcPr>
            <w:tcW w:w="1663" w:type="dxa"/>
            <w:shd w:val="clear" w:color="auto" w:fill="auto"/>
            <w:vAlign w:val="center"/>
          </w:tcPr>
          <w:p w:rsidR="00C223F5" w:rsidRDefault="005860D5">
            <w:pPr>
              <w:jc w:val="center"/>
              <w:rPr>
                <w:color w:val="000000"/>
                <w:szCs w:val="21"/>
              </w:rPr>
            </w:pPr>
            <w:r>
              <w:rPr>
                <w:color w:val="000000"/>
                <w:szCs w:val="21"/>
              </w:rPr>
              <w:t>350</w:t>
            </w:r>
          </w:p>
        </w:tc>
        <w:tc>
          <w:tcPr>
            <w:tcW w:w="1984" w:type="dxa"/>
            <w:shd w:val="clear" w:color="auto" w:fill="auto"/>
            <w:vAlign w:val="center"/>
          </w:tcPr>
          <w:p w:rsidR="00C223F5" w:rsidRDefault="005860D5">
            <w:pPr>
              <w:jc w:val="center"/>
              <w:rPr>
                <w:color w:val="000000"/>
                <w:szCs w:val="21"/>
              </w:rPr>
            </w:pPr>
            <w:r>
              <w:rPr>
                <w:color w:val="000000"/>
                <w:szCs w:val="21"/>
              </w:rPr>
              <w:t>1100</w:t>
            </w:r>
          </w:p>
        </w:tc>
        <w:tc>
          <w:tcPr>
            <w:tcW w:w="840" w:type="dxa"/>
            <w:vAlign w:val="center"/>
          </w:tcPr>
          <w:p w:rsidR="00C223F5" w:rsidRDefault="005860D5">
            <w:pPr>
              <w:jc w:val="center"/>
              <w:rPr>
                <w:color w:val="000000"/>
                <w:szCs w:val="21"/>
              </w:rPr>
            </w:pPr>
            <w:r>
              <w:rPr>
                <w:color w:val="000000"/>
                <w:szCs w:val="21"/>
              </w:rPr>
              <w:t>1.35</w:t>
            </w:r>
          </w:p>
        </w:tc>
        <w:tc>
          <w:tcPr>
            <w:tcW w:w="952" w:type="dxa"/>
            <w:shd w:val="clear" w:color="auto" w:fill="auto"/>
            <w:vAlign w:val="center"/>
          </w:tcPr>
          <w:p w:rsidR="00C223F5" w:rsidRDefault="005860D5">
            <w:pPr>
              <w:jc w:val="center"/>
              <w:rPr>
                <w:color w:val="000000"/>
                <w:szCs w:val="21"/>
              </w:rPr>
            </w:pPr>
            <w:r>
              <w:rPr>
                <w:color w:val="000000"/>
                <w:szCs w:val="21"/>
              </w:rPr>
              <w:t xml:space="preserve">0.43 </w:t>
            </w:r>
          </w:p>
        </w:tc>
        <w:tc>
          <w:tcPr>
            <w:tcW w:w="631" w:type="dxa"/>
            <w:shd w:val="clear" w:color="auto" w:fill="auto"/>
            <w:vAlign w:val="center"/>
          </w:tcPr>
          <w:p w:rsidR="00C223F5" w:rsidRDefault="005860D5">
            <w:pPr>
              <w:jc w:val="center"/>
              <w:rPr>
                <w:color w:val="000000"/>
                <w:szCs w:val="21"/>
              </w:rPr>
            </w:pPr>
            <w:r>
              <w:rPr>
                <w:color w:val="000000"/>
                <w:szCs w:val="21"/>
              </w:rPr>
              <w:t>2</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 xml:space="preserve">　</w:t>
            </w:r>
          </w:p>
        </w:tc>
      </w:tr>
      <w:tr w:rsidR="00C223F5">
        <w:trPr>
          <w:trHeight w:val="340"/>
          <w:jc w:val="center"/>
        </w:trPr>
        <w:tc>
          <w:tcPr>
            <w:tcW w:w="534" w:type="dxa"/>
            <w:shd w:val="clear" w:color="auto" w:fill="auto"/>
            <w:vAlign w:val="center"/>
          </w:tcPr>
          <w:p w:rsidR="00C223F5" w:rsidRDefault="005860D5">
            <w:pPr>
              <w:widowControl/>
              <w:jc w:val="center"/>
              <w:rPr>
                <w:color w:val="000000"/>
                <w:kern w:val="0"/>
                <w:szCs w:val="21"/>
              </w:rPr>
            </w:pPr>
            <w:r>
              <w:rPr>
                <w:color w:val="000000"/>
                <w:kern w:val="0"/>
                <w:szCs w:val="21"/>
              </w:rPr>
              <w:t>18</w:t>
            </w:r>
          </w:p>
        </w:tc>
        <w:tc>
          <w:tcPr>
            <w:tcW w:w="2173" w:type="dxa"/>
            <w:shd w:val="clear" w:color="auto" w:fill="auto"/>
            <w:vAlign w:val="center"/>
          </w:tcPr>
          <w:p w:rsidR="00C223F5" w:rsidRDefault="005860D5">
            <w:pPr>
              <w:widowControl/>
              <w:rPr>
                <w:color w:val="000000"/>
                <w:kern w:val="0"/>
                <w:szCs w:val="21"/>
              </w:rPr>
            </w:pPr>
            <w:r>
              <w:rPr>
                <w:rFonts w:hAnsi="宋体"/>
                <w:color w:val="000000"/>
                <w:kern w:val="0"/>
                <w:szCs w:val="21"/>
              </w:rPr>
              <w:t>快开隔膜压滤机</w:t>
            </w:r>
          </w:p>
        </w:tc>
        <w:tc>
          <w:tcPr>
            <w:tcW w:w="4930" w:type="dxa"/>
            <w:shd w:val="clear" w:color="auto" w:fill="auto"/>
            <w:vAlign w:val="center"/>
          </w:tcPr>
          <w:p w:rsidR="00C223F5" w:rsidRDefault="005860D5">
            <w:pPr>
              <w:widowControl/>
              <w:rPr>
                <w:color w:val="000000"/>
                <w:kern w:val="0"/>
                <w:szCs w:val="21"/>
              </w:rPr>
            </w:pPr>
            <w:r>
              <w:rPr>
                <w:color w:val="000000"/>
                <w:kern w:val="0"/>
                <w:szCs w:val="21"/>
              </w:rPr>
              <w:t>KXMZG750/2000</w:t>
            </w:r>
            <w:r>
              <w:rPr>
                <w:rFonts w:hint="eastAsia"/>
                <w:color w:val="000000"/>
                <w:kern w:val="0"/>
                <w:szCs w:val="21"/>
              </w:rPr>
              <w:t>，</w:t>
            </w:r>
            <w:r>
              <w:rPr>
                <w:color w:val="000000"/>
                <w:kern w:val="0"/>
                <w:szCs w:val="21"/>
              </w:rPr>
              <w:t>F=750m</w:t>
            </w:r>
            <w:r>
              <w:rPr>
                <w:color w:val="000000"/>
                <w:kern w:val="0"/>
                <w:szCs w:val="21"/>
                <w:vertAlign w:val="superscript"/>
              </w:rPr>
              <w:t>2</w:t>
            </w:r>
          </w:p>
        </w:tc>
        <w:tc>
          <w:tcPr>
            <w:tcW w:w="1663" w:type="dxa"/>
            <w:shd w:val="clear" w:color="auto" w:fill="auto"/>
            <w:vAlign w:val="center"/>
          </w:tcPr>
          <w:p w:rsidR="00C223F5" w:rsidRDefault="005860D5">
            <w:pPr>
              <w:jc w:val="center"/>
              <w:rPr>
                <w:color w:val="000000"/>
                <w:szCs w:val="21"/>
              </w:rPr>
            </w:pPr>
            <w:r>
              <w:rPr>
                <w:color w:val="000000"/>
                <w:szCs w:val="21"/>
              </w:rPr>
              <w:t>20</w:t>
            </w:r>
          </w:p>
        </w:tc>
        <w:tc>
          <w:tcPr>
            <w:tcW w:w="1984" w:type="dxa"/>
            <w:shd w:val="clear" w:color="auto" w:fill="auto"/>
            <w:vAlign w:val="center"/>
          </w:tcPr>
          <w:p w:rsidR="00C223F5" w:rsidRDefault="005860D5">
            <w:pPr>
              <w:jc w:val="center"/>
              <w:rPr>
                <w:color w:val="000000"/>
                <w:szCs w:val="21"/>
              </w:rPr>
            </w:pPr>
            <w:r>
              <w:rPr>
                <w:color w:val="000000"/>
                <w:szCs w:val="21"/>
              </w:rPr>
              <w:t>15</w:t>
            </w:r>
          </w:p>
        </w:tc>
        <w:tc>
          <w:tcPr>
            <w:tcW w:w="840" w:type="dxa"/>
            <w:vAlign w:val="center"/>
          </w:tcPr>
          <w:p w:rsidR="00C223F5" w:rsidRDefault="005860D5">
            <w:pPr>
              <w:jc w:val="center"/>
              <w:rPr>
                <w:color w:val="000000"/>
                <w:szCs w:val="21"/>
              </w:rPr>
            </w:pPr>
            <w:r>
              <w:rPr>
                <w:color w:val="000000"/>
                <w:szCs w:val="21"/>
              </w:rPr>
              <w:t>1.35</w:t>
            </w:r>
          </w:p>
        </w:tc>
        <w:tc>
          <w:tcPr>
            <w:tcW w:w="952" w:type="dxa"/>
            <w:shd w:val="clear" w:color="auto" w:fill="auto"/>
            <w:vAlign w:val="center"/>
          </w:tcPr>
          <w:p w:rsidR="00C223F5" w:rsidRDefault="005860D5">
            <w:pPr>
              <w:jc w:val="center"/>
              <w:rPr>
                <w:color w:val="000000"/>
                <w:szCs w:val="21"/>
              </w:rPr>
            </w:pPr>
            <w:r>
              <w:rPr>
                <w:color w:val="000000"/>
                <w:szCs w:val="21"/>
              </w:rPr>
              <w:t xml:space="preserve">1.8 </w:t>
            </w:r>
          </w:p>
        </w:tc>
        <w:tc>
          <w:tcPr>
            <w:tcW w:w="631" w:type="dxa"/>
            <w:shd w:val="clear" w:color="auto" w:fill="auto"/>
            <w:vAlign w:val="center"/>
          </w:tcPr>
          <w:p w:rsidR="00C223F5" w:rsidRDefault="005860D5">
            <w:pPr>
              <w:jc w:val="center"/>
              <w:rPr>
                <w:color w:val="000000"/>
                <w:szCs w:val="21"/>
              </w:rPr>
            </w:pPr>
            <w:r>
              <w:rPr>
                <w:color w:val="000000"/>
                <w:szCs w:val="21"/>
              </w:rPr>
              <w:t>4</w:t>
            </w:r>
          </w:p>
        </w:tc>
        <w:tc>
          <w:tcPr>
            <w:tcW w:w="1035" w:type="dxa"/>
            <w:shd w:val="clear" w:color="auto" w:fill="auto"/>
            <w:vAlign w:val="center"/>
          </w:tcPr>
          <w:p w:rsidR="00C223F5" w:rsidRDefault="005860D5">
            <w:pPr>
              <w:widowControl/>
              <w:jc w:val="center"/>
              <w:rPr>
                <w:color w:val="000000"/>
                <w:kern w:val="0"/>
                <w:szCs w:val="21"/>
              </w:rPr>
            </w:pPr>
            <w:r>
              <w:rPr>
                <w:rFonts w:hAnsi="宋体"/>
                <w:color w:val="000000"/>
                <w:kern w:val="0"/>
                <w:szCs w:val="21"/>
              </w:rPr>
              <w:t>预留</w:t>
            </w:r>
            <w:r>
              <w:rPr>
                <w:color w:val="000000"/>
                <w:kern w:val="0"/>
                <w:szCs w:val="21"/>
              </w:rPr>
              <w:t>2</w:t>
            </w:r>
            <w:r>
              <w:rPr>
                <w:rFonts w:hAnsi="宋体"/>
                <w:color w:val="000000"/>
                <w:kern w:val="0"/>
                <w:szCs w:val="21"/>
              </w:rPr>
              <w:t xml:space="preserve">台　</w:t>
            </w:r>
          </w:p>
        </w:tc>
      </w:tr>
    </w:tbl>
    <w:p w:rsidR="00C223F5" w:rsidRDefault="00C223F5">
      <w:pPr>
        <w:spacing w:line="360" w:lineRule="auto"/>
        <w:rPr>
          <w:color w:val="FF0000"/>
          <w:sz w:val="24"/>
        </w:rPr>
        <w:sectPr w:rsidR="00C223F5">
          <w:pgSz w:w="16840" w:h="11907" w:orient="landscape"/>
          <w:pgMar w:top="1701" w:right="1440" w:bottom="1701" w:left="1440" w:header="851" w:footer="992" w:gutter="0"/>
          <w:cols w:space="425"/>
          <w:docGrid w:linePitch="312"/>
        </w:sectPr>
      </w:pPr>
    </w:p>
    <w:p w:rsidR="00C223F5" w:rsidRDefault="005860D5" w:rsidP="004835BD">
      <w:pPr>
        <w:pStyle w:val="3"/>
        <w:numPr>
          <w:ilvl w:val="0"/>
          <w:numId w:val="0"/>
        </w:numPr>
        <w:spacing w:beforeLines="50" w:before="156" w:after="0" w:line="360" w:lineRule="auto"/>
        <w:ind w:left="170"/>
        <w:rPr>
          <w:rFonts w:eastAsia="宋体"/>
          <w:b/>
          <w:bCs w:val="0"/>
          <w:sz w:val="28"/>
          <w:szCs w:val="28"/>
        </w:rPr>
      </w:pPr>
      <w:bookmarkStart w:id="207" w:name="_Toc533604293"/>
      <w:bookmarkStart w:id="208" w:name="_Toc533604713"/>
      <w:bookmarkStart w:id="209" w:name="_Toc16785258"/>
      <w:bookmarkStart w:id="210" w:name="_Toc533604714"/>
      <w:bookmarkStart w:id="211" w:name="_Toc533604294"/>
      <w:r>
        <w:rPr>
          <w:rFonts w:eastAsia="宋体" w:hint="eastAsia"/>
          <w:b/>
          <w:bCs w:val="0"/>
          <w:sz w:val="28"/>
          <w:szCs w:val="28"/>
        </w:rPr>
        <w:lastRenderedPageBreak/>
        <w:t>2.2.6</w:t>
      </w:r>
      <w:r>
        <w:rPr>
          <w:rFonts w:eastAsia="宋体" w:hint="eastAsia"/>
          <w:b/>
          <w:bCs w:val="0"/>
          <w:sz w:val="28"/>
          <w:szCs w:val="28"/>
        </w:rPr>
        <w:t>给排水</w:t>
      </w:r>
      <w:bookmarkEnd w:id="207"/>
      <w:bookmarkEnd w:id="208"/>
      <w:bookmarkEnd w:id="209"/>
    </w:p>
    <w:p w:rsidR="00C223F5" w:rsidRDefault="005860D5" w:rsidP="00C006A7">
      <w:pPr>
        <w:pStyle w:val="aff1"/>
        <w:tabs>
          <w:tab w:val="clear" w:pos="5781"/>
        </w:tabs>
        <w:spacing w:line="360" w:lineRule="auto"/>
        <w:ind w:left="0" w:firstLineChars="200" w:firstLine="480"/>
        <w:rPr>
          <w:szCs w:val="24"/>
        </w:rPr>
      </w:pPr>
      <w:r>
        <w:rPr>
          <w:rFonts w:hint="eastAsia"/>
          <w:szCs w:val="24"/>
        </w:rPr>
        <w:t>（一）</w:t>
      </w:r>
      <w:r>
        <w:rPr>
          <w:szCs w:val="24"/>
        </w:rPr>
        <w:t>水源及给水系统</w:t>
      </w:r>
    </w:p>
    <w:p w:rsidR="00C223F5" w:rsidRPr="00925B84" w:rsidRDefault="005860D5">
      <w:pPr>
        <w:spacing w:line="360" w:lineRule="auto"/>
        <w:ind w:firstLineChars="200" w:firstLine="480"/>
        <w:rPr>
          <w:sz w:val="24"/>
        </w:rPr>
      </w:pPr>
      <w:r>
        <w:rPr>
          <w:rFonts w:hint="eastAsia"/>
          <w:sz w:val="24"/>
        </w:rPr>
        <w:t>生活水源由横山县自来水公司魏家楼自来水供应站供给，接管位置位于工业场地围墙外（目</w:t>
      </w:r>
      <w:r w:rsidRPr="00925B84">
        <w:rPr>
          <w:rFonts w:hint="eastAsia"/>
          <w:sz w:val="24"/>
        </w:rPr>
        <w:t>前自来水公司管网已铺设至工业场地外），接管供水至工业场地日用消防水池，再由变频供水设备供水，通过配水管网供水给</w:t>
      </w:r>
      <w:r w:rsidRPr="00925B84">
        <w:rPr>
          <w:rFonts w:hAnsi="宋体"/>
          <w:sz w:val="24"/>
          <w:lang w:val="zh-CN"/>
        </w:rPr>
        <w:t>各生活用水点</w:t>
      </w:r>
      <w:r w:rsidRPr="00925B84">
        <w:rPr>
          <w:rFonts w:hint="eastAsia"/>
          <w:sz w:val="24"/>
        </w:rPr>
        <w:t>；生产水源为处理达标后的矿井水、生活污水。</w:t>
      </w:r>
    </w:p>
    <w:p w:rsidR="00C223F5" w:rsidRPr="00925B84" w:rsidRDefault="005860D5">
      <w:pPr>
        <w:spacing w:line="360" w:lineRule="auto"/>
        <w:ind w:firstLineChars="200" w:firstLine="480"/>
        <w:rPr>
          <w:b/>
          <w:sz w:val="24"/>
        </w:rPr>
      </w:pPr>
      <w:r w:rsidRPr="00925B84">
        <w:rPr>
          <w:rFonts w:hint="eastAsia"/>
          <w:sz w:val="24"/>
        </w:rPr>
        <w:t>矿井</w:t>
      </w:r>
      <w:r w:rsidRPr="00925B84">
        <w:rPr>
          <w:sz w:val="24"/>
        </w:rPr>
        <w:t>总用水量为</w:t>
      </w:r>
      <w:r w:rsidRPr="00925B84">
        <w:rPr>
          <w:rFonts w:hint="eastAsia"/>
          <w:sz w:val="24"/>
        </w:rPr>
        <w:t>采暖期</w:t>
      </w:r>
      <w:r w:rsidRPr="00925B84">
        <w:rPr>
          <w:rFonts w:hint="eastAsia"/>
          <w:sz w:val="24"/>
        </w:rPr>
        <w:t>2196.8</w:t>
      </w:r>
      <w:r w:rsidRPr="00925B84">
        <w:rPr>
          <w:sz w:val="24"/>
        </w:rPr>
        <w:t>m</w:t>
      </w:r>
      <w:r w:rsidRPr="00925B84">
        <w:rPr>
          <w:sz w:val="24"/>
          <w:vertAlign w:val="superscript"/>
        </w:rPr>
        <w:t>3</w:t>
      </w:r>
      <w:r w:rsidRPr="00925B84">
        <w:rPr>
          <w:sz w:val="24"/>
        </w:rPr>
        <w:t>/d</w:t>
      </w:r>
      <w:r w:rsidRPr="00925B84">
        <w:rPr>
          <w:rFonts w:hint="eastAsia"/>
          <w:sz w:val="24"/>
        </w:rPr>
        <w:t>、非采暖期</w:t>
      </w:r>
      <w:r w:rsidRPr="00925B84">
        <w:rPr>
          <w:rFonts w:hint="eastAsia"/>
          <w:sz w:val="24"/>
        </w:rPr>
        <w:t>1996.4</w:t>
      </w:r>
      <w:r w:rsidRPr="00925B84">
        <w:rPr>
          <w:sz w:val="24"/>
        </w:rPr>
        <w:t>m</w:t>
      </w:r>
      <w:r w:rsidRPr="00925B84">
        <w:rPr>
          <w:sz w:val="24"/>
          <w:vertAlign w:val="superscript"/>
        </w:rPr>
        <w:t>3</w:t>
      </w:r>
      <w:r w:rsidRPr="00925B84">
        <w:rPr>
          <w:sz w:val="24"/>
        </w:rPr>
        <w:t>/d</w:t>
      </w:r>
      <w:r w:rsidRPr="00925B84">
        <w:rPr>
          <w:sz w:val="24"/>
        </w:rPr>
        <w:t>，</w:t>
      </w:r>
      <w:r w:rsidRPr="00925B84">
        <w:rPr>
          <w:rFonts w:hAnsi="宋体"/>
          <w:snapToGrid w:val="0"/>
          <w:kern w:val="0"/>
          <w:sz w:val="24"/>
        </w:rPr>
        <w:t>其中：</w:t>
      </w:r>
      <w:r w:rsidRPr="00925B84">
        <w:rPr>
          <w:rFonts w:hAnsi="宋体" w:hint="eastAsia"/>
          <w:snapToGrid w:val="0"/>
          <w:kern w:val="0"/>
          <w:sz w:val="24"/>
        </w:rPr>
        <w:t>最大地面生活用水量为</w:t>
      </w:r>
      <w:r w:rsidRPr="00925B84">
        <w:rPr>
          <w:rFonts w:hint="eastAsia"/>
          <w:sz w:val="24"/>
        </w:rPr>
        <w:t>631.1</w:t>
      </w:r>
      <w:r w:rsidRPr="00925B84">
        <w:rPr>
          <w:rFonts w:hAnsi="宋体" w:hint="eastAsia"/>
          <w:snapToGrid w:val="0"/>
          <w:kern w:val="0"/>
          <w:sz w:val="24"/>
        </w:rPr>
        <w:t>m</w:t>
      </w:r>
      <w:r w:rsidRPr="00925B84">
        <w:rPr>
          <w:rFonts w:hAnsi="宋体" w:hint="eastAsia"/>
          <w:snapToGrid w:val="0"/>
          <w:kern w:val="0"/>
          <w:sz w:val="24"/>
          <w:vertAlign w:val="superscript"/>
        </w:rPr>
        <w:t>3</w:t>
      </w:r>
      <w:r w:rsidRPr="00925B84">
        <w:rPr>
          <w:rFonts w:hAnsi="宋体" w:hint="eastAsia"/>
          <w:snapToGrid w:val="0"/>
          <w:kern w:val="0"/>
          <w:sz w:val="24"/>
        </w:rPr>
        <w:t>/d</w:t>
      </w:r>
      <w:r w:rsidRPr="00925B84">
        <w:rPr>
          <w:rFonts w:hAnsi="宋体" w:hint="eastAsia"/>
          <w:snapToGrid w:val="0"/>
          <w:kern w:val="0"/>
          <w:sz w:val="24"/>
        </w:rPr>
        <w:t>（</w:t>
      </w:r>
      <w:r w:rsidRPr="002F2A2D">
        <w:rPr>
          <w:rFonts w:hAnsi="宋体" w:hint="eastAsia"/>
          <w:color w:val="FF0000"/>
          <w:sz w:val="24"/>
          <w:lang w:val="zh-CN"/>
        </w:rPr>
        <w:t>新鲜用水量</w:t>
      </w:r>
      <w:r w:rsidR="002F2A2D">
        <w:rPr>
          <w:rFonts w:hAnsi="宋体" w:hint="eastAsia"/>
          <w:color w:val="FF0000"/>
          <w:sz w:val="24"/>
          <w:lang w:val="zh-CN"/>
        </w:rPr>
        <w:t>313.7</w:t>
      </w:r>
      <w:r w:rsidRPr="002F2A2D">
        <w:rPr>
          <w:color w:val="FF0000"/>
          <w:sz w:val="24"/>
          <w:lang w:val="zh-CN"/>
        </w:rPr>
        <w:t>m</w:t>
      </w:r>
      <w:r w:rsidRPr="002F2A2D">
        <w:rPr>
          <w:color w:val="FF0000"/>
          <w:sz w:val="24"/>
          <w:vertAlign w:val="superscript"/>
          <w:lang w:val="zh-CN"/>
        </w:rPr>
        <w:t>3</w:t>
      </w:r>
      <w:r w:rsidRPr="002F2A2D">
        <w:rPr>
          <w:color w:val="FF0000"/>
          <w:sz w:val="24"/>
          <w:lang w:val="zh-CN"/>
        </w:rPr>
        <w:t>/d</w:t>
      </w:r>
      <w:r w:rsidRPr="00925B84">
        <w:rPr>
          <w:rFonts w:hAnsi="宋体" w:hint="eastAsia"/>
          <w:snapToGrid w:val="0"/>
          <w:kern w:val="0"/>
          <w:sz w:val="24"/>
        </w:rPr>
        <w:t>），最大生产用水量为</w:t>
      </w:r>
      <w:r w:rsidRPr="00925B84">
        <w:rPr>
          <w:rFonts w:hAnsi="宋体" w:hint="eastAsia"/>
          <w:snapToGrid w:val="0"/>
          <w:kern w:val="0"/>
          <w:sz w:val="24"/>
        </w:rPr>
        <w:t>1622.7m</w:t>
      </w:r>
      <w:r w:rsidRPr="00925B84">
        <w:rPr>
          <w:rFonts w:hAnsi="宋体" w:hint="eastAsia"/>
          <w:snapToGrid w:val="0"/>
          <w:kern w:val="0"/>
          <w:sz w:val="24"/>
          <w:vertAlign w:val="superscript"/>
        </w:rPr>
        <w:t>3</w:t>
      </w:r>
      <w:r w:rsidRPr="00925B84">
        <w:rPr>
          <w:rFonts w:hAnsi="宋体" w:hint="eastAsia"/>
          <w:snapToGrid w:val="0"/>
          <w:kern w:val="0"/>
          <w:sz w:val="24"/>
        </w:rPr>
        <w:t>/d</w:t>
      </w:r>
      <w:r w:rsidRPr="00925B84">
        <w:rPr>
          <w:rFonts w:hAnsi="宋体" w:hint="eastAsia"/>
          <w:snapToGrid w:val="0"/>
          <w:kern w:val="0"/>
          <w:sz w:val="24"/>
        </w:rPr>
        <w:t>（</w:t>
      </w:r>
      <w:r w:rsidRPr="00925B84">
        <w:rPr>
          <w:rFonts w:hAnsi="宋体"/>
          <w:snapToGrid w:val="0"/>
          <w:kern w:val="0"/>
          <w:sz w:val="24"/>
        </w:rPr>
        <w:t>井下洒水量</w:t>
      </w:r>
      <w:r w:rsidRPr="00925B84">
        <w:rPr>
          <w:rFonts w:hint="eastAsia"/>
          <w:sz w:val="24"/>
        </w:rPr>
        <w:t>1107.7</w:t>
      </w:r>
      <w:r w:rsidRPr="00925B84">
        <w:rPr>
          <w:snapToGrid w:val="0"/>
          <w:kern w:val="0"/>
          <w:sz w:val="24"/>
        </w:rPr>
        <w:t>m</w:t>
      </w:r>
      <w:r w:rsidRPr="00925B84">
        <w:rPr>
          <w:snapToGrid w:val="0"/>
          <w:kern w:val="0"/>
          <w:sz w:val="24"/>
          <w:vertAlign w:val="superscript"/>
        </w:rPr>
        <w:t>3</w:t>
      </w:r>
      <w:r w:rsidRPr="00925B84">
        <w:rPr>
          <w:snapToGrid w:val="0"/>
          <w:kern w:val="0"/>
          <w:sz w:val="24"/>
        </w:rPr>
        <w:t>/d</w:t>
      </w:r>
      <w:r w:rsidRPr="00925B84">
        <w:rPr>
          <w:rFonts w:hAnsi="宋体" w:hint="eastAsia"/>
          <w:snapToGrid w:val="0"/>
          <w:kern w:val="0"/>
          <w:sz w:val="24"/>
        </w:rPr>
        <w:t>，</w:t>
      </w:r>
      <w:r w:rsidRPr="00925B84">
        <w:rPr>
          <w:rFonts w:hAnsi="宋体"/>
          <w:sz w:val="24"/>
          <w:lang w:val="zh-CN"/>
        </w:rPr>
        <w:t>黄泥灌浆用水量</w:t>
      </w:r>
      <w:r w:rsidRPr="00925B84">
        <w:rPr>
          <w:rFonts w:hint="eastAsia"/>
          <w:sz w:val="24"/>
          <w:lang w:val="zh-CN"/>
        </w:rPr>
        <w:t>173</w:t>
      </w:r>
      <w:r w:rsidRPr="00925B84">
        <w:rPr>
          <w:sz w:val="24"/>
          <w:lang w:val="zh-CN"/>
        </w:rPr>
        <w:t>m</w:t>
      </w:r>
      <w:r w:rsidRPr="00925B84">
        <w:rPr>
          <w:sz w:val="24"/>
          <w:vertAlign w:val="superscript"/>
          <w:lang w:val="zh-CN"/>
        </w:rPr>
        <w:t>3</w:t>
      </w:r>
      <w:r w:rsidRPr="00925B84">
        <w:rPr>
          <w:sz w:val="24"/>
          <w:lang w:val="zh-CN"/>
        </w:rPr>
        <w:t>/d</w:t>
      </w:r>
      <w:r w:rsidRPr="00925B84">
        <w:rPr>
          <w:rFonts w:hAnsi="宋体" w:hint="eastAsia"/>
          <w:snapToGrid w:val="0"/>
          <w:kern w:val="0"/>
          <w:sz w:val="24"/>
        </w:rPr>
        <w:t>，选煤厂补充水量</w:t>
      </w:r>
      <w:r w:rsidRPr="00925B84">
        <w:rPr>
          <w:rFonts w:hint="eastAsia"/>
          <w:snapToGrid w:val="0"/>
          <w:kern w:val="0"/>
          <w:sz w:val="24"/>
        </w:rPr>
        <w:t>229.5</w:t>
      </w:r>
      <w:r w:rsidRPr="00925B84">
        <w:rPr>
          <w:sz w:val="24"/>
          <w:lang w:val="zh-CN"/>
        </w:rPr>
        <w:t>m</w:t>
      </w:r>
      <w:r w:rsidRPr="00925B84">
        <w:rPr>
          <w:sz w:val="24"/>
          <w:vertAlign w:val="superscript"/>
          <w:lang w:val="zh-CN"/>
        </w:rPr>
        <w:t>3</w:t>
      </w:r>
      <w:r w:rsidRPr="00925B84">
        <w:rPr>
          <w:sz w:val="24"/>
          <w:lang w:val="zh-CN"/>
        </w:rPr>
        <w:t>/d</w:t>
      </w:r>
      <w:r w:rsidRPr="00925B84">
        <w:rPr>
          <w:rFonts w:hAnsi="宋体" w:hint="eastAsia"/>
          <w:snapToGrid w:val="0"/>
          <w:kern w:val="0"/>
          <w:sz w:val="24"/>
        </w:rPr>
        <w:t>，地面冲洗及防尘洒水最大量</w:t>
      </w:r>
      <w:r w:rsidRPr="00925B84">
        <w:rPr>
          <w:rFonts w:hAnsi="宋体" w:hint="eastAsia"/>
          <w:snapToGrid w:val="0"/>
          <w:kern w:val="0"/>
          <w:sz w:val="24"/>
        </w:rPr>
        <w:t>85.5</w:t>
      </w:r>
      <w:r w:rsidRPr="00925B84">
        <w:rPr>
          <w:snapToGrid w:val="0"/>
          <w:kern w:val="0"/>
          <w:sz w:val="24"/>
        </w:rPr>
        <w:t>m</w:t>
      </w:r>
      <w:r w:rsidRPr="00925B84">
        <w:rPr>
          <w:snapToGrid w:val="0"/>
          <w:kern w:val="0"/>
          <w:sz w:val="24"/>
          <w:vertAlign w:val="superscript"/>
        </w:rPr>
        <w:t>3</w:t>
      </w:r>
      <w:r w:rsidRPr="00925B84">
        <w:rPr>
          <w:snapToGrid w:val="0"/>
          <w:kern w:val="0"/>
          <w:sz w:val="24"/>
        </w:rPr>
        <w:t>/d</w:t>
      </w:r>
      <w:r w:rsidRPr="00925B84">
        <w:rPr>
          <w:rFonts w:hAnsi="宋体" w:hint="eastAsia"/>
          <w:snapToGrid w:val="0"/>
          <w:kern w:val="0"/>
          <w:sz w:val="24"/>
        </w:rPr>
        <w:t>，绿化最大</w:t>
      </w:r>
      <w:r w:rsidRPr="00925B84">
        <w:rPr>
          <w:rFonts w:hAnsi="宋体"/>
          <w:snapToGrid w:val="0"/>
          <w:kern w:val="0"/>
          <w:sz w:val="24"/>
        </w:rPr>
        <w:t>用水量</w:t>
      </w:r>
      <w:r w:rsidRPr="00925B84">
        <w:rPr>
          <w:rFonts w:hAnsi="宋体" w:hint="eastAsia"/>
          <w:snapToGrid w:val="0"/>
          <w:kern w:val="0"/>
          <w:sz w:val="24"/>
        </w:rPr>
        <w:t>27</w:t>
      </w:r>
      <w:r w:rsidRPr="00925B84">
        <w:rPr>
          <w:sz w:val="24"/>
          <w:lang w:val="zh-CN"/>
        </w:rPr>
        <w:t>m</w:t>
      </w:r>
      <w:r w:rsidRPr="00925B84">
        <w:rPr>
          <w:sz w:val="24"/>
          <w:vertAlign w:val="superscript"/>
          <w:lang w:val="zh-CN"/>
        </w:rPr>
        <w:t>3</w:t>
      </w:r>
      <w:r w:rsidRPr="00925B84">
        <w:rPr>
          <w:sz w:val="24"/>
          <w:lang w:val="zh-CN"/>
        </w:rPr>
        <w:t>/d</w:t>
      </w:r>
      <w:r w:rsidRPr="00925B84">
        <w:rPr>
          <w:rFonts w:hint="eastAsia"/>
          <w:snapToGrid w:val="0"/>
          <w:kern w:val="0"/>
          <w:sz w:val="24"/>
        </w:rPr>
        <w:t>）</w:t>
      </w:r>
      <w:r w:rsidRPr="00925B84">
        <w:rPr>
          <w:rFonts w:hAnsi="宋体" w:hint="eastAsia"/>
          <w:snapToGrid w:val="0"/>
          <w:kern w:val="0"/>
          <w:sz w:val="24"/>
        </w:rPr>
        <w:t>；</w:t>
      </w:r>
      <w:r w:rsidRPr="00925B84">
        <w:rPr>
          <w:rFonts w:hint="eastAsia"/>
          <w:sz w:val="24"/>
        </w:rPr>
        <w:t>井下涌水经处理后部分用于井下洒水、黄泥灌浆补充水及地</w:t>
      </w:r>
      <w:r w:rsidRPr="00C807E8">
        <w:rPr>
          <w:rFonts w:hint="eastAsia"/>
          <w:color w:val="FF0000"/>
          <w:sz w:val="24"/>
        </w:rPr>
        <w:t>面生产用水外</w:t>
      </w:r>
      <w:r w:rsidRPr="00925B84">
        <w:rPr>
          <w:rFonts w:hint="eastAsia"/>
          <w:sz w:val="24"/>
        </w:rPr>
        <w:t>，其余达标排至蚂蚁河；生活污水经处理后全部回用于选煤厂补充水、绿化洒水、地面降尘洒水等。矿井</w:t>
      </w:r>
      <w:r w:rsidRPr="00925B84">
        <w:rPr>
          <w:sz w:val="24"/>
        </w:rPr>
        <w:t>用水情况见表</w:t>
      </w:r>
      <w:r w:rsidRPr="00925B84">
        <w:rPr>
          <w:rFonts w:hint="eastAsia"/>
          <w:sz w:val="24"/>
        </w:rPr>
        <w:t>2.2.6-1</w:t>
      </w:r>
      <w:r w:rsidRPr="00925B84">
        <w:rPr>
          <w:rFonts w:hint="eastAsia"/>
          <w:sz w:val="24"/>
        </w:rPr>
        <w:t>。</w:t>
      </w:r>
    </w:p>
    <w:p w:rsidR="00C223F5" w:rsidRPr="00925B84" w:rsidRDefault="005860D5">
      <w:pPr>
        <w:jc w:val="center"/>
        <w:rPr>
          <w:b/>
          <w:sz w:val="24"/>
        </w:rPr>
      </w:pPr>
      <w:r w:rsidRPr="00925B84">
        <w:rPr>
          <w:b/>
          <w:sz w:val="24"/>
        </w:rPr>
        <w:t>表</w:t>
      </w:r>
      <w:r w:rsidRPr="00925B84">
        <w:rPr>
          <w:rFonts w:hint="eastAsia"/>
          <w:b/>
          <w:sz w:val="24"/>
        </w:rPr>
        <w:t xml:space="preserve">2.2.6-1  </w:t>
      </w:r>
      <w:r w:rsidRPr="00925B84">
        <w:rPr>
          <w:rFonts w:hint="eastAsia"/>
          <w:b/>
          <w:sz w:val="24"/>
        </w:rPr>
        <w:t>矿井</w:t>
      </w:r>
      <w:r w:rsidRPr="00925B84">
        <w:rPr>
          <w:b/>
          <w:sz w:val="24"/>
        </w:rPr>
        <w:t>用水量表</w:t>
      </w: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
        <w:gridCol w:w="1821"/>
        <w:gridCol w:w="839"/>
        <w:gridCol w:w="1267"/>
        <w:gridCol w:w="1310"/>
        <w:gridCol w:w="839"/>
        <w:gridCol w:w="1267"/>
        <w:gridCol w:w="1319"/>
        <w:gridCol w:w="698"/>
      </w:tblGrid>
      <w:tr w:rsidR="002F2A2D" w:rsidRPr="004B6BC4" w:rsidTr="00D702E5">
        <w:trPr>
          <w:trHeight w:val="240"/>
          <w:jc w:val="center"/>
        </w:trPr>
        <w:tc>
          <w:tcPr>
            <w:tcW w:w="352" w:type="dxa"/>
            <w:vMerge w:val="restart"/>
            <w:vAlign w:val="center"/>
          </w:tcPr>
          <w:p w:rsidR="002F2A2D" w:rsidRPr="004B6BC4" w:rsidRDefault="002F2A2D" w:rsidP="002F2A2D">
            <w:pPr>
              <w:spacing w:line="300" w:lineRule="exact"/>
              <w:jc w:val="center"/>
              <w:rPr>
                <w:szCs w:val="21"/>
              </w:rPr>
            </w:pPr>
            <w:r w:rsidRPr="004B6BC4">
              <w:rPr>
                <w:szCs w:val="21"/>
              </w:rPr>
              <w:t>序号</w:t>
            </w:r>
          </w:p>
        </w:tc>
        <w:tc>
          <w:tcPr>
            <w:tcW w:w="1821" w:type="dxa"/>
            <w:vMerge w:val="restart"/>
            <w:vAlign w:val="center"/>
          </w:tcPr>
          <w:p w:rsidR="002F2A2D" w:rsidRPr="004B6BC4" w:rsidRDefault="002F2A2D" w:rsidP="002F2A2D">
            <w:pPr>
              <w:spacing w:line="300" w:lineRule="exact"/>
              <w:jc w:val="center"/>
              <w:rPr>
                <w:szCs w:val="21"/>
              </w:rPr>
            </w:pPr>
            <w:r w:rsidRPr="004B6BC4">
              <w:rPr>
                <w:szCs w:val="21"/>
              </w:rPr>
              <w:t>用水项目</w:t>
            </w:r>
          </w:p>
        </w:tc>
        <w:tc>
          <w:tcPr>
            <w:tcW w:w="2106" w:type="dxa"/>
            <w:gridSpan w:val="2"/>
            <w:vAlign w:val="center"/>
          </w:tcPr>
          <w:p w:rsidR="002F2A2D" w:rsidRPr="004B6BC4" w:rsidRDefault="002F2A2D" w:rsidP="002F2A2D">
            <w:pPr>
              <w:spacing w:line="300" w:lineRule="exact"/>
              <w:jc w:val="center"/>
              <w:rPr>
                <w:szCs w:val="21"/>
              </w:rPr>
            </w:pPr>
            <w:r w:rsidRPr="004B6BC4">
              <w:rPr>
                <w:szCs w:val="21"/>
              </w:rPr>
              <w:t>采暖季</w:t>
            </w:r>
          </w:p>
        </w:tc>
        <w:tc>
          <w:tcPr>
            <w:tcW w:w="1310" w:type="dxa"/>
            <w:vMerge w:val="restart"/>
            <w:vAlign w:val="center"/>
          </w:tcPr>
          <w:p w:rsidR="002F2A2D" w:rsidRPr="004B6BC4" w:rsidRDefault="002F2A2D" w:rsidP="002F2A2D">
            <w:pPr>
              <w:spacing w:line="300" w:lineRule="exact"/>
              <w:jc w:val="center"/>
              <w:rPr>
                <w:color w:val="FF0000"/>
                <w:szCs w:val="21"/>
              </w:rPr>
            </w:pPr>
            <w:r w:rsidRPr="004B6BC4">
              <w:rPr>
                <w:color w:val="FF0000"/>
                <w:szCs w:val="21"/>
              </w:rPr>
              <w:t>取值</w:t>
            </w:r>
          </w:p>
          <w:p w:rsidR="002F2A2D" w:rsidRPr="004B6BC4" w:rsidRDefault="002F2A2D" w:rsidP="002F2A2D">
            <w:pPr>
              <w:spacing w:line="300" w:lineRule="exact"/>
              <w:jc w:val="center"/>
              <w:rPr>
                <w:color w:val="FF0000"/>
                <w:szCs w:val="21"/>
              </w:rPr>
            </w:pPr>
            <w:r w:rsidRPr="004B6BC4">
              <w:rPr>
                <w:color w:val="FF0000"/>
                <w:szCs w:val="21"/>
              </w:rPr>
              <w:t>依据</w:t>
            </w:r>
          </w:p>
        </w:tc>
        <w:tc>
          <w:tcPr>
            <w:tcW w:w="2106" w:type="dxa"/>
            <w:gridSpan w:val="2"/>
            <w:vAlign w:val="center"/>
          </w:tcPr>
          <w:p w:rsidR="002F2A2D" w:rsidRPr="004B6BC4" w:rsidRDefault="002F2A2D" w:rsidP="002F2A2D">
            <w:pPr>
              <w:spacing w:line="300" w:lineRule="exact"/>
              <w:jc w:val="center"/>
              <w:rPr>
                <w:szCs w:val="21"/>
              </w:rPr>
            </w:pPr>
            <w:r w:rsidRPr="004B6BC4">
              <w:rPr>
                <w:szCs w:val="21"/>
              </w:rPr>
              <w:t>非采暖季</w:t>
            </w:r>
          </w:p>
        </w:tc>
        <w:tc>
          <w:tcPr>
            <w:tcW w:w="1319" w:type="dxa"/>
            <w:vMerge w:val="restart"/>
            <w:vAlign w:val="center"/>
          </w:tcPr>
          <w:p w:rsidR="002F2A2D" w:rsidRPr="004B6BC4" w:rsidRDefault="002F2A2D" w:rsidP="002F2A2D">
            <w:pPr>
              <w:spacing w:line="300" w:lineRule="exact"/>
              <w:jc w:val="center"/>
              <w:rPr>
                <w:color w:val="FF0000"/>
                <w:szCs w:val="21"/>
              </w:rPr>
            </w:pPr>
            <w:r w:rsidRPr="004B6BC4">
              <w:rPr>
                <w:color w:val="FF0000"/>
                <w:szCs w:val="21"/>
              </w:rPr>
              <w:t>取值</w:t>
            </w:r>
          </w:p>
          <w:p w:rsidR="002F2A2D" w:rsidRPr="004B6BC4" w:rsidRDefault="002F2A2D" w:rsidP="002F2A2D">
            <w:pPr>
              <w:spacing w:line="300" w:lineRule="exact"/>
              <w:jc w:val="center"/>
              <w:rPr>
                <w:color w:val="FF0000"/>
                <w:szCs w:val="21"/>
              </w:rPr>
            </w:pPr>
            <w:r w:rsidRPr="004B6BC4">
              <w:rPr>
                <w:color w:val="FF0000"/>
                <w:szCs w:val="21"/>
              </w:rPr>
              <w:t>依据</w:t>
            </w:r>
          </w:p>
        </w:tc>
        <w:tc>
          <w:tcPr>
            <w:tcW w:w="698" w:type="dxa"/>
            <w:vMerge w:val="restart"/>
            <w:vAlign w:val="center"/>
          </w:tcPr>
          <w:p w:rsidR="002F2A2D" w:rsidRPr="004B6BC4" w:rsidRDefault="002F2A2D" w:rsidP="002F2A2D">
            <w:pPr>
              <w:spacing w:line="300" w:lineRule="exact"/>
              <w:jc w:val="center"/>
              <w:rPr>
                <w:szCs w:val="21"/>
              </w:rPr>
            </w:pPr>
            <w:r w:rsidRPr="004B6BC4">
              <w:rPr>
                <w:szCs w:val="21"/>
              </w:rPr>
              <w:t>备注</w:t>
            </w:r>
          </w:p>
        </w:tc>
      </w:tr>
      <w:tr w:rsidR="002F2A2D" w:rsidRPr="004B6BC4" w:rsidTr="00D702E5">
        <w:trPr>
          <w:trHeight w:val="566"/>
          <w:jc w:val="center"/>
        </w:trPr>
        <w:tc>
          <w:tcPr>
            <w:tcW w:w="352" w:type="dxa"/>
            <w:vMerge/>
            <w:vAlign w:val="center"/>
          </w:tcPr>
          <w:p w:rsidR="002F2A2D" w:rsidRPr="004B6BC4" w:rsidRDefault="002F2A2D" w:rsidP="002F2A2D">
            <w:pPr>
              <w:spacing w:line="300" w:lineRule="exact"/>
              <w:jc w:val="center"/>
              <w:rPr>
                <w:szCs w:val="21"/>
              </w:rPr>
            </w:pPr>
          </w:p>
        </w:tc>
        <w:tc>
          <w:tcPr>
            <w:tcW w:w="1821" w:type="dxa"/>
            <w:vMerge/>
            <w:vAlign w:val="center"/>
          </w:tcPr>
          <w:p w:rsidR="002F2A2D" w:rsidRPr="004B6BC4" w:rsidRDefault="002F2A2D" w:rsidP="002F2A2D">
            <w:pPr>
              <w:spacing w:line="300" w:lineRule="exact"/>
              <w:jc w:val="center"/>
              <w:rPr>
                <w:szCs w:val="21"/>
              </w:rPr>
            </w:pPr>
          </w:p>
        </w:tc>
        <w:tc>
          <w:tcPr>
            <w:tcW w:w="839" w:type="dxa"/>
            <w:vAlign w:val="center"/>
          </w:tcPr>
          <w:p w:rsidR="002F2A2D" w:rsidRPr="004B6BC4" w:rsidRDefault="002F2A2D" w:rsidP="002F2A2D">
            <w:pPr>
              <w:spacing w:line="260" w:lineRule="exact"/>
              <w:jc w:val="center"/>
              <w:rPr>
                <w:szCs w:val="21"/>
              </w:rPr>
            </w:pPr>
            <w:r w:rsidRPr="004B6BC4">
              <w:rPr>
                <w:szCs w:val="21"/>
              </w:rPr>
              <w:t>用水量（</w:t>
            </w:r>
            <w:r w:rsidRPr="004B6BC4">
              <w:rPr>
                <w:szCs w:val="21"/>
              </w:rPr>
              <w:t>m</w:t>
            </w:r>
            <w:r w:rsidRPr="004B6BC4">
              <w:rPr>
                <w:szCs w:val="21"/>
                <w:vertAlign w:val="superscript"/>
              </w:rPr>
              <w:t>3</w:t>
            </w:r>
            <w:r w:rsidRPr="004B6BC4">
              <w:rPr>
                <w:szCs w:val="21"/>
              </w:rPr>
              <w:t>/d</w:t>
            </w:r>
            <w:r w:rsidRPr="004B6BC4">
              <w:rPr>
                <w:szCs w:val="21"/>
              </w:rPr>
              <w:t>）</w:t>
            </w:r>
          </w:p>
        </w:tc>
        <w:tc>
          <w:tcPr>
            <w:tcW w:w="1267" w:type="dxa"/>
            <w:vAlign w:val="center"/>
          </w:tcPr>
          <w:p w:rsidR="002F2A2D" w:rsidRPr="004B6BC4" w:rsidRDefault="002F2A2D" w:rsidP="002F2A2D">
            <w:pPr>
              <w:spacing w:line="260" w:lineRule="exact"/>
              <w:jc w:val="center"/>
              <w:rPr>
                <w:szCs w:val="21"/>
              </w:rPr>
            </w:pPr>
            <w:r w:rsidRPr="004B6BC4">
              <w:rPr>
                <w:szCs w:val="21"/>
              </w:rPr>
              <w:t>水源</w:t>
            </w:r>
          </w:p>
        </w:tc>
        <w:tc>
          <w:tcPr>
            <w:tcW w:w="1310" w:type="dxa"/>
            <w:vMerge/>
            <w:vAlign w:val="center"/>
          </w:tcPr>
          <w:p w:rsidR="002F2A2D" w:rsidRPr="004B6BC4" w:rsidRDefault="002F2A2D" w:rsidP="002F2A2D">
            <w:pPr>
              <w:spacing w:line="260" w:lineRule="exact"/>
              <w:jc w:val="center"/>
              <w:rPr>
                <w:color w:val="FF0000"/>
                <w:szCs w:val="21"/>
              </w:rPr>
            </w:pPr>
          </w:p>
        </w:tc>
        <w:tc>
          <w:tcPr>
            <w:tcW w:w="839" w:type="dxa"/>
            <w:vAlign w:val="center"/>
          </w:tcPr>
          <w:p w:rsidR="002F2A2D" w:rsidRPr="004B6BC4" w:rsidRDefault="002F2A2D" w:rsidP="002F2A2D">
            <w:pPr>
              <w:spacing w:line="260" w:lineRule="exact"/>
              <w:jc w:val="center"/>
              <w:rPr>
                <w:szCs w:val="21"/>
              </w:rPr>
            </w:pPr>
            <w:r w:rsidRPr="004B6BC4">
              <w:rPr>
                <w:szCs w:val="21"/>
              </w:rPr>
              <w:t>用水量</w:t>
            </w:r>
          </w:p>
          <w:p w:rsidR="002F2A2D" w:rsidRPr="004B6BC4" w:rsidRDefault="002F2A2D" w:rsidP="002F2A2D">
            <w:pPr>
              <w:spacing w:line="260" w:lineRule="exact"/>
              <w:jc w:val="center"/>
              <w:rPr>
                <w:szCs w:val="21"/>
              </w:rPr>
            </w:pPr>
            <w:r w:rsidRPr="004B6BC4">
              <w:rPr>
                <w:szCs w:val="21"/>
              </w:rPr>
              <w:t>（</w:t>
            </w:r>
            <w:r w:rsidRPr="004B6BC4">
              <w:rPr>
                <w:szCs w:val="21"/>
              </w:rPr>
              <w:t>m</w:t>
            </w:r>
            <w:r w:rsidRPr="004B6BC4">
              <w:rPr>
                <w:szCs w:val="21"/>
                <w:vertAlign w:val="superscript"/>
              </w:rPr>
              <w:t>3</w:t>
            </w:r>
            <w:r w:rsidRPr="004B6BC4">
              <w:rPr>
                <w:szCs w:val="21"/>
              </w:rPr>
              <w:t>/d</w:t>
            </w:r>
            <w:r w:rsidRPr="004B6BC4">
              <w:rPr>
                <w:szCs w:val="21"/>
              </w:rPr>
              <w:t>）</w:t>
            </w:r>
          </w:p>
        </w:tc>
        <w:tc>
          <w:tcPr>
            <w:tcW w:w="1267" w:type="dxa"/>
            <w:vAlign w:val="center"/>
          </w:tcPr>
          <w:p w:rsidR="002F2A2D" w:rsidRPr="004B6BC4" w:rsidRDefault="002F2A2D" w:rsidP="002F2A2D">
            <w:pPr>
              <w:spacing w:line="260" w:lineRule="exact"/>
              <w:jc w:val="center"/>
              <w:rPr>
                <w:szCs w:val="21"/>
              </w:rPr>
            </w:pPr>
            <w:r w:rsidRPr="004B6BC4">
              <w:rPr>
                <w:szCs w:val="21"/>
              </w:rPr>
              <w:t>水源</w:t>
            </w:r>
          </w:p>
        </w:tc>
        <w:tc>
          <w:tcPr>
            <w:tcW w:w="1319" w:type="dxa"/>
            <w:vMerge/>
            <w:vAlign w:val="center"/>
          </w:tcPr>
          <w:p w:rsidR="002F2A2D" w:rsidRPr="004B6BC4" w:rsidRDefault="002F2A2D" w:rsidP="002F2A2D">
            <w:pPr>
              <w:spacing w:line="260" w:lineRule="exact"/>
              <w:jc w:val="center"/>
              <w:rPr>
                <w:color w:val="FF0000"/>
                <w:szCs w:val="21"/>
              </w:rPr>
            </w:pPr>
          </w:p>
        </w:tc>
        <w:tc>
          <w:tcPr>
            <w:tcW w:w="698" w:type="dxa"/>
            <w:vMerge/>
            <w:vAlign w:val="center"/>
          </w:tcPr>
          <w:p w:rsidR="002F2A2D" w:rsidRPr="004B6BC4" w:rsidRDefault="002F2A2D" w:rsidP="002F2A2D">
            <w:pPr>
              <w:spacing w:line="260" w:lineRule="exact"/>
              <w:jc w:val="center"/>
              <w:rPr>
                <w:szCs w:val="21"/>
              </w:rPr>
            </w:pPr>
          </w:p>
        </w:tc>
      </w:tr>
      <w:tr w:rsidR="002F2A2D" w:rsidRPr="004B6BC4" w:rsidTr="00D702E5">
        <w:trPr>
          <w:trHeight w:val="242"/>
          <w:jc w:val="center"/>
        </w:trPr>
        <w:tc>
          <w:tcPr>
            <w:tcW w:w="352" w:type="dxa"/>
            <w:vAlign w:val="center"/>
          </w:tcPr>
          <w:p w:rsidR="002F2A2D" w:rsidRPr="004B6BC4" w:rsidRDefault="002F2A2D" w:rsidP="002F2A2D">
            <w:pPr>
              <w:spacing w:line="300" w:lineRule="exact"/>
              <w:jc w:val="center"/>
              <w:rPr>
                <w:szCs w:val="21"/>
              </w:rPr>
            </w:pPr>
            <w:r w:rsidRPr="004B6BC4">
              <w:rPr>
                <w:szCs w:val="21"/>
              </w:rPr>
              <w:t>1</w:t>
            </w:r>
          </w:p>
        </w:tc>
        <w:tc>
          <w:tcPr>
            <w:tcW w:w="1821" w:type="dxa"/>
            <w:vAlign w:val="center"/>
          </w:tcPr>
          <w:p w:rsidR="002F2A2D" w:rsidRPr="004B6BC4" w:rsidRDefault="002F2A2D" w:rsidP="002F2A2D">
            <w:pPr>
              <w:spacing w:line="300" w:lineRule="exact"/>
              <w:jc w:val="center"/>
              <w:rPr>
                <w:szCs w:val="21"/>
              </w:rPr>
            </w:pPr>
            <w:r w:rsidRPr="004B6BC4">
              <w:rPr>
                <w:szCs w:val="21"/>
              </w:rPr>
              <w:t>生活用水</w:t>
            </w:r>
          </w:p>
        </w:tc>
        <w:tc>
          <w:tcPr>
            <w:tcW w:w="839" w:type="dxa"/>
            <w:vAlign w:val="center"/>
          </w:tcPr>
          <w:p w:rsidR="002F2A2D" w:rsidRPr="004B6BC4" w:rsidRDefault="002F2A2D" w:rsidP="002F2A2D">
            <w:pPr>
              <w:spacing w:line="300" w:lineRule="exact"/>
              <w:jc w:val="center"/>
              <w:rPr>
                <w:szCs w:val="21"/>
              </w:rPr>
            </w:pPr>
            <w:r w:rsidRPr="004B6BC4">
              <w:rPr>
                <w:szCs w:val="21"/>
              </w:rPr>
              <w:t>21.5</w:t>
            </w:r>
          </w:p>
        </w:tc>
        <w:tc>
          <w:tcPr>
            <w:tcW w:w="1267" w:type="dxa"/>
            <w:vMerge w:val="restart"/>
            <w:shd w:val="clear" w:color="auto" w:fill="auto"/>
            <w:vAlign w:val="center"/>
          </w:tcPr>
          <w:p w:rsidR="002F2A2D" w:rsidRPr="004B6BC4" w:rsidRDefault="002F2A2D" w:rsidP="002F2A2D">
            <w:pPr>
              <w:spacing w:line="300" w:lineRule="exact"/>
              <w:jc w:val="center"/>
              <w:rPr>
                <w:color w:val="FF0000"/>
                <w:szCs w:val="21"/>
              </w:rPr>
            </w:pPr>
            <w:r w:rsidRPr="004B6BC4">
              <w:rPr>
                <w:color w:val="FF0000"/>
                <w:szCs w:val="21"/>
              </w:rPr>
              <w:t>自来水</w:t>
            </w:r>
          </w:p>
        </w:tc>
        <w:tc>
          <w:tcPr>
            <w:tcW w:w="1310" w:type="dxa"/>
            <w:vAlign w:val="center"/>
          </w:tcPr>
          <w:p w:rsidR="002F2A2D" w:rsidRPr="004B6BC4" w:rsidRDefault="002F2A2D" w:rsidP="002F2A2D">
            <w:pPr>
              <w:spacing w:line="300" w:lineRule="exact"/>
              <w:jc w:val="center"/>
              <w:rPr>
                <w:color w:val="FF0000"/>
                <w:szCs w:val="21"/>
              </w:rPr>
            </w:pPr>
            <w:r w:rsidRPr="004B6BC4">
              <w:rPr>
                <w:color w:val="FF0000"/>
                <w:szCs w:val="21"/>
              </w:rPr>
              <w:t>40L/</w:t>
            </w:r>
            <w:r w:rsidRPr="004B6BC4">
              <w:rPr>
                <w:color w:val="FF0000"/>
                <w:szCs w:val="21"/>
              </w:rPr>
              <w:t>人</w:t>
            </w:r>
            <w:r w:rsidRPr="004B6BC4">
              <w:rPr>
                <w:color w:val="FF0000"/>
                <w:szCs w:val="21"/>
              </w:rPr>
              <w:t>.</w:t>
            </w:r>
            <w:r w:rsidRPr="004B6BC4">
              <w:rPr>
                <w:color w:val="FF0000"/>
                <w:szCs w:val="21"/>
              </w:rPr>
              <w:t>班</w:t>
            </w:r>
          </w:p>
        </w:tc>
        <w:tc>
          <w:tcPr>
            <w:tcW w:w="839" w:type="dxa"/>
            <w:vAlign w:val="center"/>
          </w:tcPr>
          <w:p w:rsidR="002F2A2D" w:rsidRPr="004B6BC4" w:rsidRDefault="002F2A2D" w:rsidP="002F2A2D">
            <w:pPr>
              <w:spacing w:line="300" w:lineRule="exact"/>
              <w:jc w:val="center"/>
              <w:rPr>
                <w:szCs w:val="21"/>
              </w:rPr>
            </w:pPr>
            <w:r w:rsidRPr="004B6BC4">
              <w:rPr>
                <w:szCs w:val="21"/>
              </w:rPr>
              <w:t>21.5</w:t>
            </w:r>
          </w:p>
        </w:tc>
        <w:tc>
          <w:tcPr>
            <w:tcW w:w="1267" w:type="dxa"/>
            <w:vMerge w:val="restart"/>
            <w:shd w:val="clear" w:color="auto" w:fill="auto"/>
            <w:vAlign w:val="center"/>
          </w:tcPr>
          <w:p w:rsidR="002F2A2D" w:rsidRPr="004B6BC4" w:rsidRDefault="002F2A2D" w:rsidP="002F2A2D">
            <w:pPr>
              <w:spacing w:line="300" w:lineRule="exact"/>
              <w:jc w:val="center"/>
              <w:rPr>
                <w:color w:val="FF0000"/>
                <w:szCs w:val="21"/>
              </w:rPr>
            </w:pPr>
            <w:r w:rsidRPr="004B6BC4">
              <w:rPr>
                <w:color w:val="FF0000"/>
                <w:szCs w:val="21"/>
              </w:rPr>
              <w:t>自来水</w:t>
            </w:r>
          </w:p>
        </w:tc>
        <w:tc>
          <w:tcPr>
            <w:tcW w:w="1319" w:type="dxa"/>
            <w:vAlign w:val="center"/>
          </w:tcPr>
          <w:p w:rsidR="002F2A2D" w:rsidRPr="004B6BC4" w:rsidRDefault="002F2A2D" w:rsidP="002F2A2D">
            <w:pPr>
              <w:spacing w:line="300" w:lineRule="exact"/>
              <w:jc w:val="center"/>
              <w:rPr>
                <w:rFonts w:eastAsiaTheme="minorEastAsia"/>
                <w:color w:val="FF0000"/>
                <w:szCs w:val="21"/>
              </w:rPr>
            </w:pPr>
            <w:r w:rsidRPr="004B6BC4">
              <w:rPr>
                <w:color w:val="FF0000"/>
                <w:szCs w:val="21"/>
              </w:rPr>
              <w:t>40L/</w:t>
            </w:r>
            <w:r w:rsidRPr="004B6BC4">
              <w:rPr>
                <w:color w:val="FF0000"/>
                <w:szCs w:val="21"/>
              </w:rPr>
              <w:t>人</w:t>
            </w:r>
            <w:r w:rsidRPr="004B6BC4">
              <w:rPr>
                <w:color w:val="FF0000"/>
                <w:szCs w:val="21"/>
              </w:rPr>
              <w:t>.</w:t>
            </w:r>
            <w:r w:rsidRPr="004B6BC4">
              <w:rPr>
                <w:color w:val="FF0000"/>
                <w:szCs w:val="21"/>
              </w:rPr>
              <w:t>班</w:t>
            </w:r>
          </w:p>
        </w:tc>
        <w:tc>
          <w:tcPr>
            <w:tcW w:w="698" w:type="dxa"/>
            <w:vMerge w:val="restart"/>
            <w:vAlign w:val="center"/>
          </w:tcPr>
          <w:p w:rsidR="002F2A2D" w:rsidRPr="004B6BC4" w:rsidRDefault="002F2A2D" w:rsidP="002F2A2D">
            <w:pPr>
              <w:spacing w:line="300" w:lineRule="exact"/>
              <w:jc w:val="center"/>
              <w:rPr>
                <w:rFonts w:eastAsiaTheme="minorEastAsia"/>
                <w:szCs w:val="21"/>
              </w:rPr>
            </w:pPr>
            <w:r w:rsidRPr="004B6BC4">
              <w:rPr>
                <w:rFonts w:eastAsiaTheme="minorEastAsia"/>
                <w:szCs w:val="21"/>
              </w:rPr>
              <w:t>矿井</w:t>
            </w:r>
          </w:p>
          <w:p w:rsidR="002F2A2D" w:rsidRPr="004B6BC4" w:rsidRDefault="002F2A2D" w:rsidP="002F2A2D">
            <w:pPr>
              <w:spacing w:line="300" w:lineRule="exact"/>
              <w:jc w:val="center"/>
              <w:rPr>
                <w:rFonts w:eastAsiaTheme="minorEastAsia"/>
                <w:szCs w:val="21"/>
              </w:rPr>
            </w:pPr>
            <w:r w:rsidRPr="004B6BC4">
              <w:rPr>
                <w:rFonts w:eastAsiaTheme="minorEastAsia"/>
                <w:szCs w:val="21"/>
              </w:rPr>
              <w:t>在籍</w:t>
            </w:r>
          </w:p>
          <w:p w:rsidR="002F2A2D" w:rsidRPr="004B6BC4" w:rsidRDefault="002F2A2D" w:rsidP="002F2A2D">
            <w:pPr>
              <w:spacing w:line="300" w:lineRule="exact"/>
              <w:jc w:val="center"/>
              <w:rPr>
                <w:szCs w:val="21"/>
              </w:rPr>
            </w:pPr>
            <w:r w:rsidRPr="004B6BC4">
              <w:rPr>
                <w:rFonts w:eastAsiaTheme="minorEastAsia"/>
                <w:szCs w:val="21"/>
              </w:rPr>
              <w:t>565</w:t>
            </w:r>
            <w:r w:rsidRPr="004B6BC4">
              <w:rPr>
                <w:rFonts w:eastAsiaTheme="minorEastAsia"/>
                <w:szCs w:val="21"/>
              </w:rPr>
              <w:t>人</w:t>
            </w:r>
          </w:p>
        </w:tc>
      </w:tr>
      <w:tr w:rsidR="002F2A2D" w:rsidRPr="004B6BC4" w:rsidTr="00D702E5">
        <w:trPr>
          <w:trHeight w:val="242"/>
          <w:jc w:val="center"/>
        </w:trPr>
        <w:tc>
          <w:tcPr>
            <w:tcW w:w="352" w:type="dxa"/>
            <w:vAlign w:val="center"/>
          </w:tcPr>
          <w:p w:rsidR="002F2A2D" w:rsidRPr="004B6BC4" w:rsidRDefault="002F2A2D" w:rsidP="002F2A2D">
            <w:pPr>
              <w:spacing w:line="300" w:lineRule="exact"/>
              <w:jc w:val="center"/>
              <w:rPr>
                <w:szCs w:val="21"/>
              </w:rPr>
            </w:pPr>
            <w:r w:rsidRPr="004B6BC4">
              <w:rPr>
                <w:szCs w:val="21"/>
              </w:rPr>
              <w:t>2</w:t>
            </w:r>
          </w:p>
        </w:tc>
        <w:tc>
          <w:tcPr>
            <w:tcW w:w="1821" w:type="dxa"/>
            <w:vAlign w:val="center"/>
          </w:tcPr>
          <w:p w:rsidR="002F2A2D" w:rsidRPr="004B6BC4" w:rsidRDefault="002F2A2D" w:rsidP="002F2A2D">
            <w:pPr>
              <w:spacing w:line="300" w:lineRule="exact"/>
              <w:jc w:val="center"/>
              <w:rPr>
                <w:szCs w:val="21"/>
              </w:rPr>
            </w:pPr>
            <w:r w:rsidRPr="004B6BC4">
              <w:rPr>
                <w:szCs w:val="21"/>
              </w:rPr>
              <w:t>食堂用水</w:t>
            </w:r>
          </w:p>
        </w:tc>
        <w:tc>
          <w:tcPr>
            <w:tcW w:w="839" w:type="dxa"/>
            <w:vAlign w:val="center"/>
          </w:tcPr>
          <w:p w:rsidR="002F2A2D" w:rsidRPr="004B6BC4" w:rsidRDefault="002F2A2D" w:rsidP="002F2A2D">
            <w:pPr>
              <w:spacing w:line="300" w:lineRule="exact"/>
              <w:jc w:val="center"/>
              <w:rPr>
                <w:szCs w:val="21"/>
              </w:rPr>
            </w:pPr>
            <w:r w:rsidRPr="004B6BC4">
              <w:rPr>
                <w:szCs w:val="21"/>
              </w:rPr>
              <w:t>19.6</w:t>
            </w:r>
          </w:p>
        </w:tc>
        <w:tc>
          <w:tcPr>
            <w:tcW w:w="1267" w:type="dxa"/>
            <w:vMerge/>
            <w:shd w:val="clear" w:color="auto" w:fill="auto"/>
            <w:vAlign w:val="center"/>
          </w:tcPr>
          <w:p w:rsidR="002F2A2D" w:rsidRPr="004B6BC4" w:rsidRDefault="002F2A2D" w:rsidP="002F2A2D">
            <w:pPr>
              <w:spacing w:line="300" w:lineRule="exact"/>
              <w:jc w:val="center"/>
              <w:rPr>
                <w:szCs w:val="21"/>
              </w:rPr>
            </w:pPr>
          </w:p>
        </w:tc>
        <w:tc>
          <w:tcPr>
            <w:tcW w:w="1310" w:type="dxa"/>
            <w:vAlign w:val="center"/>
          </w:tcPr>
          <w:p w:rsidR="002F2A2D" w:rsidRPr="004B6BC4" w:rsidRDefault="002F2A2D" w:rsidP="002F2A2D">
            <w:pPr>
              <w:spacing w:line="300" w:lineRule="exact"/>
              <w:jc w:val="center"/>
              <w:rPr>
                <w:color w:val="FF0000"/>
                <w:szCs w:val="21"/>
              </w:rPr>
            </w:pPr>
            <w:r w:rsidRPr="004B6BC4">
              <w:rPr>
                <w:color w:val="FF0000"/>
                <w:szCs w:val="21"/>
              </w:rPr>
              <w:t>25 L/</w:t>
            </w:r>
            <w:r w:rsidRPr="004B6BC4">
              <w:rPr>
                <w:color w:val="FF0000"/>
                <w:szCs w:val="21"/>
              </w:rPr>
              <w:t>人</w:t>
            </w:r>
            <w:r w:rsidRPr="004B6BC4">
              <w:rPr>
                <w:color w:val="FF0000"/>
                <w:szCs w:val="21"/>
              </w:rPr>
              <w:t>.</w:t>
            </w:r>
            <w:r w:rsidRPr="004B6BC4">
              <w:rPr>
                <w:color w:val="FF0000"/>
                <w:szCs w:val="21"/>
              </w:rPr>
              <w:t>餐</w:t>
            </w:r>
          </w:p>
        </w:tc>
        <w:tc>
          <w:tcPr>
            <w:tcW w:w="839" w:type="dxa"/>
            <w:vAlign w:val="center"/>
          </w:tcPr>
          <w:p w:rsidR="002F2A2D" w:rsidRPr="004B6BC4" w:rsidRDefault="002F2A2D" w:rsidP="002F2A2D">
            <w:pPr>
              <w:spacing w:line="300" w:lineRule="exact"/>
              <w:jc w:val="center"/>
              <w:rPr>
                <w:szCs w:val="21"/>
              </w:rPr>
            </w:pPr>
            <w:r w:rsidRPr="004B6BC4">
              <w:rPr>
                <w:szCs w:val="21"/>
              </w:rPr>
              <w:t>19.6</w:t>
            </w:r>
          </w:p>
        </w:tc>
        <w:tc>
          <w:tcPr>
            <w:tcW w:w="1267" w:type="dxa"/>
            <w:vMerge/>
            <w:shd w:val="clear" w:color="auto" w:fill="auto"/>
            <w:vAlign w:val="center"/>
          </w:tcPr>
          <w:p w:rsidR="002F2A2D" w:rsidRPr="004B6BC4" w:rsidRDefault="002F2A2D" w:rsidP="002F2A2D">
            <w:pPr>
              <w:spacing w:line="300" w:lineRule="exact"/>
              <w:jc w:val="center"/>
              <w:rPr>
                <w:szCs w:val="21"/>
              </w:rPr>
            </w:pPr>
          </w:p>
        </w:tc>
        <w:tc>
          <w:tcPr>
            <w:tcW w:w="1319" w:type="dxa"/>
            <w:vAlign w:val="center"/>
          </w:tcPr>
          <w:p w:rsidR="002F2A2D" w:rsidRPr="004B6BC4" w:rsidRDefault="002F2A2D" w:rsidP="002F2A2D">
            <w:pPr>
              <w:spacing w:line="300" w:lineRule="exact"/>
              <w:jc w:val="center"/>
              <w:rPr>
                <w:color w:val="FF0000"/>
                <w:szCs w:val="21"/>
              </w:rPr>
            </w:pPr>
            <w:r w:rsidRPr="004B6BC4">
              <w:rPr>
                <w:color w:val="FF0000"/>
                <w:szCs w:val="21"/>
              </w:rPr>
              <w:t>25 L/</w:t>
            </w:r>
            <w:r w:rsidRPr="004B6BC4">
              <w:rPr>
                <w:color w:val="FF0000"/>
                <w:szCs w:val="21"/>
              </w:rPr>
              <w:t>人</w:t>
            </w:r>
            <w:r w:rsidRPr="004B6BC4">
              <w:rPr>
                <w:color w:val="FF0000"/>
                <w:szCs w:val="21"/>
              </w:rPr>
              <w:t>.</w:t>
            </w:r>
            <w:r w:rsidRPr="004B6BC4">
              <w:rPr>
                <w:color w:val="FF0000"/>
                <w:szCs w:val="21"/>
              </w:rPr>
              <w:t>餐</w:t>
            </w:r>
          </w:p>
        </w:tc>
        <w:tc>
          <w:tcPr>
            <w:tcW w:w="698" w:type="dxa"/>
            <w:vMerge/>
            <w:vAlign w:val="center"/>
          </w:tcPr>
          <w:p w:rsidR="002F2A2D" w:rsidRPr="004B6BC4" w:rsidRDefault="002F2A2D" w:rsidP="002F2A2D">
            <w:pPr>
              <w:spacing w:line="300" w:lineRule="exact"/>
              <w:jc w:val="center"/>
              <w:rPr>
                <w:szCs w:val="21"/>
              </w:rPr>
            </w:pPr>
          </w:p>
        </w:tc>
      </w:tr>
      <w:tr w:rsidR="002F2A2D" w:rsidRPr="004B6BC4" w:rsidTr="00D702E5">
        <w:trPr>
          <w:trHeight w:val="230"/>
          <w:jc w:val="center"/>
        </w:trPr>
        <w:tc>
          <w:tcPr>
            <w:tcW w:w="352" w:type="dxa"/>
            <w:vAlign w:val="center"/>
          </w:tcPr>
          <w:p w:rsidR="002F2A2D" w:rsidRPr="004B6BC4" w:rsidRDefault="002F2A2D" w:rsidP="002F2A2D">
            <w:pPr>
              <w:spacing w:line="300" w:lineRule="exact"/>
              <w:jc w:val="center"/>
              <w:rPr>
                <w:szCs w:val="21"/>
              </w:rPr>
            </w:pPr>
            <w:r w:rsidRPr="004B6BC4">
              <w:rPr>
                <w:szCs w:val="21"/>
              </w:rPr>
              <w:t>3</w:t>
            </w:r>
          </w:p>
        </w:tc>
        <w:tc>
          <w:tcPr>
            <w:tcW w:w="1821" w:type="dxa"/>
            <w:vAlign w:val="center"/>
          </w:tcPr>
          <w:p w:rsidR="002F2A2D" w:rsidRPr="004B6BC4" w:rsidRDefault="002F2A2D" w:rsidP="002F2A2D">
            <w:pPr>
              <w:spacing w:line="300" w:lineRule="exact"/>
              <w:jc w:val="center"/>
              <w:rPr>
                <w:szCs w:val="21"/>
              </w:rPr>
            </w:pPr>
            <w:r w:rsidRPr="004B6BC4">
              <w:rPr>
                <w:szCs w:val="21"/>
              </w:rPr>
              <w:t>宿舍用水</w:t>
            </w:r>
          </w:p>
        </w:tc>
        <w:tc>
          <w:tcPr>
            <w:tcW w:w="839" w:type="dxa"/>
            <w:vAlign w:val="center"/>
          </w:tcPr>
          <w:p w:rsidR="002F2A2D" w:rsidRPr="004B6BC4" w:rsidRDefault="002F2A2D" w:rsidP="002F2A2D">
            <w:pPr>
              <w:spacing w:line="300" w:lineRule="exact"/>
              <w:jc w:val="center"/>
              <w:rPr>
                <w:szCs w:val="21"/>
              </w:rPr>
            </w:pPr>
            <w:r w:rsidRPr="004B6BC4">
              <w:rPr>
                <w:szCs w:val="21"/>
              </w:rPr>
              <w:t>84.8</w:t>
            </w:r>
          </w:p>
        </w:tc>
        <w:tc>
          <w:tcPr>
            <w:tcW w:w="1267" w:type="dxa"/>
            <w:vMerge/>
            <w:shd w:val="clear" w:color="auto" w:fill="auto"/>
            <w:vAlign w:val="center"/>
          </w:tcPr>
          <w:p w:rsidR="002F2A2D" w:rsidRPr="004B6BC4" w:rsidRDefault="002F2A2D" w:rsidP="002F2A2D">
            <w:pPr>
              <w:spacing w:line="300" w:lineRule="exact"/>
              <w:jc w:val="center"/>
              <w:rPr>
                <w:szCs w:val="21"/>
              </w:rPr>
            </w:pPr>
          </w:p>
        </w:tc>
        <w:tc>
          <w:tcPr>
            <w:tcW w:w="1310" w:type="dxa"/>
            <w:vAlign w:val="center"/>
          </w:tcPr>
          <w:p w:rsidR="002F2A2D" w:rsidRPr="004B6BC4" w:rsidRDefault="00D702E5" w:rsidP="002F2A2D">
            <w:pPr>
              <w:spacing w:line="300" w:lineRule="exact"/>
              <w:jc w:val="center"/>
              <w:rPr>
                <w:color w:val="FF0000"/>
                <w:spacing w:val="-4"/>
                <w:szCs w:val="21"/>
              </w:rPr>
            </w:pPr>
            <w:r w:rsidRPr="004B6BC4">
              <w:rPr>
                <w:color w:val="FF0000"/>
                <w:spacing w:val="-4"/>
                <w:szCs w:val="21"/>
              </w:rPr>
              <w:t>150 L/</w:t>
            </w:r>
            <w:r w:rsidRPr="004B6BC4">
              <w:rPr>
                <w:color w:val="FF0000"/>
                <w:spacing w:val="-4"/>
                <w:szCs w:val="21"/>
              </w:rPr>
              <w:t>人</w:t>
            </w:r>
            <w:r w:rsidRPr="004B6BC4">
              <w:rPr>
                <w:color w:val="FF0000"/>
                <w:spacing w:val="-4"/>
                <w:szCs w:val="21"/>
              </w:rPr>
              <w:t>.</w:t>
            </w:r>
            <w:r w:rsidRPr="004B6BC4">
              <w:rPr>
                <w:color w:val="FF0000"/>
                <w:spacing w:val="-4"/>
                <w:szCs w:val="21"/>
              </w:rPr>
              <w:t>日</w:t>
            </w:r>
          </w:p>
        </w:tc>
        <w:tc>
          <w:tcPr>
            <w:tcW w:w="839" w:type="dxa"/>
            <w:vAlign w:val="center"/>
          </w:tcPr>
          <w:p w:rsidR="002F2A2D" w:rsidRPr="004B6BC4" w:rsidRDefault="002F2A2D" w:rsidP="002F2A2D">
            <w:pPr>
              <w:spacing w:line="300" w:lineRule="exact"/>
              <w:jc w:val="center"/>
              <w:rPr>
                <w:szCs w:val="21"/>
              </w:rPr>
            </w:pPr>
            <w:r w:rsidRPr="004B6BC4">
              <w:rPr>
                <w:szCs w:val="21"/>
              </w:rPr>
              <w:t>84.8</w:t>
            </w:r>
          </w:p>
        </w:tc>
        <w:tc>
          <w:tcPr>
            <w:tcW w:w="1267" w:type="dxa"/>
            <w:vMerge/>
            <w:shd w:val="clear" w:color="auto" w:fill="auto"/>
            <w:vAlign w:val="center"/>
          </w:tcPr>
          <w:p w:rsidR="002F2A2D" w:rsidRPr="004B6BC4" w:rsidRDefault="002F2A2D" w:rsidP="002F2A2D">
            <w:pPr>
              <w:spacing w:line="300" w:lineRule="exact"/>
              <w:jc w:val="center"/>
              <w:rPr>
                <w:szCs w:val="21"/>
              </w:rPr>
            </w:pPr>
          </w:p>
        </w:tc>
        <w:tc>
          <w:tcPr>
            <w:tcW w:w="1319" w:type="dxa"/>
            <w:vAlign w:val="center"/>
          </w:tcPr>
          <w:p w:rsidR="002F2A2D" w:rsidRPr="004B6BC4" w:rsidRDefault="00D702E5" w:rsidP="002F2A2D">
            <w:pPr>
              <w:spacing w:line="300" w:lineRule="exact"/>
              <w:jc w:val="center"/>
              <w:rPr>
                <w:color w:val="FF0000"/>
                <w:spacing w:val="-4"/>
                <w:szCs w:val="21"/>
              </w:rPr>
            </w:pPr>
            <w:r w:rsidRPr="004B6BC4">
              <w:rPr>
                <w:color w:val="FF0000"/>
                <w:spacing w:val="-4"/>
                <w:szCs w:val="21"/>
              </w:rPr>
              <w:t>150 L/</w:t>
            </w:r>
            <w:r w:rsidRPr="004B6BC4">
              <w:rPr>
                <w:color w:val="FF0000"/>
                <w:spacing w:val="-4"/>
                <w:szCs w:val="21"/>
              </w:rPr>
              <w:t>人</w:t>
            </w:r>
            <w:r w:rsidRPr="004B6BC4">
              <w:rPr>
                <w:color w:val="FF0000"/>
                <w:spacing w:val="-4"/>
                <w:szCs w:val="21"/>
              </w:rPr>
              <w:t>.</w:t>
            </w:r>
            <w:r w:rsidRPr="004B6BC4">
              <w:rPr>
                <w:color w:val="FF0000"/>
                <w:spacing w:val="-4"/>
                <w:szCs w:val="21"/>
              </w:rPr>
              <w:t>日</w:t>
            </w:r>
          </w:p>
        </w:tc>
        <w:tc>
          <w:tcPr>
            <w:tcW w:w="698" w:type="dxa"/>
            <w:vMerge/>
            <w:vAlign w:val="center"/>
          </w:tcPr>
          <w:p w:rsidR="002F2A2D" w:rsidRPr="004B6BC4" w:rsidRDefault="002F2A2D" w:rsidP="002F2A2D">
            <w:pPr>
              <w:spacing w:line="300" w:lineRule="exact"/>
              <w:jc w:val="center"/>
              <w:rPr>
                <w:szCs w:val="21"/>
              </w:rPr>
            </w:pPr>
          </w:p>
        </w:tc>
      </w:tr>
      <w:tr w:rsidR="002F2A2D" w:rsidRPr="004B6BC4" w:rsidTr="00D702E5">
        <w:trPr>
          <w:trHeight w:val="230"/>
          <w:jc w:val="center"/>
        </w:trPr>
        <w:tc>
          <w:tcPr>
            <w:tcW w:w="352" w:type="dxa"/>
            <w:vAlign w:val="center"/>
          </w:tcPr>
          <w:p w:rsidR="002F2A2D" w:rsidRPr="004B6BC4" w:rsidRDefault="002F2A2D" w:rsidP="002F2A2D">
            <w:pPr>
              <w:spacing w:line="300" w:lineRule="exact"/>
              <w:jc w:val="center"/>
              <w:rPr>
                <w:szCs w:val="21"/>
              </w:rPr>
            </w:pPr>
            <w:r w:rsidRPr="004B6BC4">
              <w:rPr>
                <w:szCs w:val="21"/>
              </w:rPr>
              <w:t>4</w:t>
            </w:r>
          </w:p>
        </w:tc>
        <w:tc>
          <w:tcPr>
            <w:tcW w:w="1821" w:type="dxa"/>
            <w:vAlign w:val="center"/>
          </w:tcPr>
          <w:p w:rsidR="002F2A2D" w:rsidRPr="004B6BC4" w:rsidRDefault="002F2A2D" w:rsidP="002F2A2D">
            <w:pPr>
              <w:spacing w:line="300" w:lineRule="exact"/>
              <w:jc w:val="center"/>
              <w:rPr>
                <w:szCs w:val="21"/>
              </w:rPr>
            </w:pPr>
            <w:r w:rsidRPr="004B6BC4">
              <w:rPr>
                <w:szCs w:val="21"/>
              </w:rPr>
              <w:t>洗浴用水</w:t>
            </w:r>
          </w:p>
        </w:tc>
        <w:tc>
          <w:tcPr>
            <w:tcW w:w="839" w:type="dxa"/>
            <w:vAlign w:val="center"/>
          </w:tcPr>
          <w:p w:rsidR="002F2A2D" w:rsidRPr="004B6BC4" w:rsidRDefault="002F2A2D" w:rsidP="002F2A2D">
            <w:pPr>
              <w:spacing w:line="300" w:lineRule="exact"/>
              <w:jc w:val="center"/>
              <w:rPr>
                <w:szCs w:val="21"/>
              </w:rPr>
            </w:pPr>
            <w:r w:rsidRPr="004B6BC4">
              <w:rPr>
                <w:szCs w:val="21"/>
              </w:rPr>
              <w:t>151.9</w:t>
            </w:r>
          </w:p>
        </w:tc>
        <w:tc>
          <w:tcPr>
            <w:tcW w:w="1267" w:type="dxa"/>
            <w:vMerge/>
            <w:shd w:val="clear" w:color="auto" w:fill="auto"/>
            <w:vAlign w:val="center"/>
          </w:tcPr>
          <w:p w:rsidR="002F2A2D" w:rsidRPr="004B6BC4" w:rsidRDefault="002F2A2D" w:rsidP="002F2A2D">
            <w:pPr>
              <w:spacing w:line="300" w:lineRule="exact"/>
              <w:jc w:val="center"/>
              <w:rPr>
                <w:szCs w:val="21"/>
              </w:rPr>
            </w:pPr>
          </w:p>
        </w:tc>
        <w:tc>
          <w:tcPr>
            <w:tcW w:w="1310" w:type="dxa"/>
            <w:vAlign w:val="center"/>
          </w:tcPr>
          <w:p w:rsidR="002F2A2D" w:rsidRPr="004B6BC4" w:rsidRDefault="00D702E5" w:rsidP="002F2A2D">
            <w:pPr>
              <w:spacing w:line="300" w:lineRule="exact"/>
              <w:jc w:val="center"/>
              <w:rPr>
                <w:color w:val="FF0000"/>
                <w:szCs w:val="21"/>
              </w:rPr>
            </w:pPr>
            <w:r w:rsidRPr="004B6BC4">
              <w:rPr>
                <w:color w:val="FF0000"/>
                <w:szCs w:val="21"/>
              </w:rPr>
              <w:t>540L/h.</w:t>
            </w:r>
            <w:r w:rsidRPr="004B6BC4">
              <w:rPr>
                <w:color w:val="FF0000"/>
                <w:szCs w:val="21"/>
              </w:rPr>
              <w:t>个淋浴器</w:t>
            </w:r>
            <w:r w:rsidRPr="004B6BC4">
              <w:rPr>
                <w:color w:val="FF0000"/>
                <w:szCs w:val="21"/>
              </w:rPr>
              <w:t>+</w:t>
            </w:r>
            <w:smartTag w:uri="urn:schemas-microsoft-com:office:smarttags" w:element="chmetcnv">
              <w:smartTagPr>
                <w:attr w:name="UnitName" w:val="m2"/>
                <w:attr w:name="SourceValue" w:val="24"/>
                <w:attr w:name="HasSpace" w:val="False"/>
                <w:attr w:name="Negative" w:val="False"/>
                <w:attr w:name="NumberType" w:val="1"/>
                <w:attr w:name="TCSC" w:val="0"/>
              </w:smartTagPr>
              <w:r w:rsidRPr="004B6BC4">
                <w:rPr>
                  <w:color w:val="FF0000"/>
                  <w:szCs w:val="21"/>
                </w:rPr>
                <w:t>24m</w:t>
              </w:r>
              <w:r w:rsidRPr="004B6BC4">
                <w:rPr>
                  <w:color w:val="FF0000"/>
                  <w:szCs w:val="21"/>
                  <w:vertAlign w:val="superscript"/>
                </w:rPr>
                <w:t>2</w:t>
              </w:r>
            </w:smartTag>
            <w:r w:rsidRPr="004B6BC4">
              <w:rPr>
                <w:color w:val="FF0000"/>
                <w:szCs w:val="21"/>
              </w:rPr>
              <w:t>浴池</w:t>
            </w:r>
          </w:p>
        </w:tc>
        <w:tc>
          <w:tcPr>
            <w:tcW w:w="839" w:type="dxa"/>
            <w:vAlign w:val="center"/>
          </w:tcPr>
          <w:p w:rsidR="002F2A2D" w:rsidRPr="004B6BC4" w:rsidRDefault="002F2A2D" w:rsidP="002F2A2D">
            <w:pPr>
              <w:spacing w:line="300" w:lineRule="exact"/>
              <w:jc w:val="center"/>
              <w:rPr>
                <w:szCs w:val="21"/>
              </w:rPr>
            </w:pPr>
            <w:r w:rsidRPr="004B6BC4">
              <w:rPr>
                <w:szCs w:val="21"/>
              </w:rPr>
              <w:t>151.9</w:t>
            </w:r>
          </w:p>
        </w:tc>
        <w:tc>
          <w:tcPr>
            <w:tcW w:w="1267" w:type="dxa"/>
            <w:vMerge/>
            <w:shd w:val="clear" w:color="auto" w:fill="auto"/>
            <w:vAlign w:val="center"/>
          </w:tcPr>
          <w:p w:rsidR="002F2A2D" w:rsidRPr="004B6BC4" w:rsidRDefault="002F2A2D" w:rsidP="002F2A2D">
            <w:pPr>
              <w:spacing w:line="300" w:lineRule="exact"/>
              <w:jc w:val="center"/>
              <w:rPr>
                <w:szCs w:val="21"/>
              </w:rPr>
            </w:pPr>
          </w:p>
        </w:tc>
        <w:tc>
          <w:tcPr>
            <w:tcW w:w="1319" w:type="dxa"/>
            <w:vAlign w:val="center"/>
          </w:tcPr>
          <w:p w:rsidR="002F2A2D" w:rsidRPr="004B6BC4" w:rsidRDefault="00D702E5" w:rsidP="002F2A2D">
            <w:pPr>
              <w:spacing w:line="300" w:lineRule="exact"/>
              <w:jc w:val="center"/>
              <w:rPr>
                <w:color w:val="FF0000"/>
                <w:szCs w:val="21"/>
              </w:rPr>
            </w:pPr>
            <w:r w:rsidRPr="004B6BC4">
              <w:rPr>
                <w:color w:val="FF0000"/>
                <w:szCs w:val="21"/>
              </w:rPr>
              <w:t>540L/h.</w:t>
            </w:r>
            <w:r w:rsidRPr="004B6BC4">
              <w:rPr>
                <w:color w:val="FF0000"/>
                <w:szCs w:val="21"/>
              </w:rPr>
              <w:t>个淋浴器</w:t>
            </w:r>
            <w:r w:rsidRPr="004B6BC4">
              <w:rPr>
                <w:color w:val="FF0000"/>
                <w:szCs w:val="21"/>
              </w:rPr>
              <w:t>+</w:t>
            </w:r>
            <w:smartTag w:uri="urn:schemas-microsoft-com:office:smarttags" w:element="chmetcnv">
              <w:smartTagPr>
                <w:attr w:name="UnitName" w:val="m2"/>
                <w:attr w:name="SourceValue" w:val="24"/>
                <w:attr w:name="HasSpace" w:val="False"/>
                <w:attr w:name="Negative" w:val="False"/>
                <w:attr w:name="NumberType" w:val="1"/>
                <w:attr w:name="TCSC" w:val="0"/>
              </w:smartTagPr>
              <w:r w:rsidRPr="004B6BC4">
                <w:rPr>
                  <w:color w:val="FF0000"/>
                  <w:szCs w:val="21"/>
                </w:rPr>
                <w:t>24m</w:t>
              </w:r>
              <w:r w:rsidRPr="004B6BC4">
                <w:rPr>
                  <w:color w:val="FF0000"/>
                  <w:szCs w:val="21"/>
                  <w:vertAlign w:val="superscript"/>
                </w:rPr>
                <w:t>2</w:t>
              </w:r>
            </w:smartTag>
            <w:r w:rsidRPr="004B6BC4">
              <w:rPr>
                <w:color w:val="FF0000"/>
                <w:szCs w:val="21"/>
              </w:rPr>
              <w:t>浴池</w:t>
            </w:r>
          </w:p>
        </w:tc>
        <w:tc>
          <w:tcPr>
            <w:tcW w:w="698" w:type="dxa"/>
            <w:vMerge/>
            <w:vAlign w:val="center"/>
          </w:tcPr>
          <w:p w:rsidR="002F2A2D" w:rsidRPr="004B6BC4" w:rsidRDefault="002F2A2D" w:rsidP="002F2A2D">
            <w:pPr>
              <w:spacing w:line="300" w:lineRule="exact"/>
              <w:jc w:val="center"/>
              <w:rPr>
                <w:szCs w:val="21"/>
              </w:rPr>
            </w:pPr>
          </w:p>
        </w:tc>
      </w:tr>
      <w:tr w:rsidR="002F2A2D" w:rsidRPr="004B6BC4" w:rsidTr="00D702E5">
        <w:trPr>
          <w:trHeight w:val="230"/>
          <w:jc w:val="center"/>
        </w:trPr>
        <w:tc>
          <w:tcPr>
            <w:tcW w:w="352" w:type="dxa"/>
            <w:vAlign w:val="center"/>
          </w:tcPr>
          <w:p w:rsidR="002F2A2D" w:rsidRPr="004B6BC4" w:rsidRDefault="002F2A2D" w:rsidP="002F2A2D">
            <w:pPr>
              <w:spacing w:line="300" w:lineRule="exact"/>
              <w:jc w:val="center"/>
              <w:rPr>
                <w:szCs w:val="21"/>
              </w:rPr>
            </w:pPr>
            <w:r w:rsidRPr="004B6BC4">
              <w:rPr>
                <w:szCs w:val="21"/>
              </w:rPr>
              <w:t>5</w:t>
            </w:r>
          </w:p>
        </w:tc>
        <w:tc>
          <w:tcPr>
            <w:tcW w:w="1821" w:type="dxa"/>
            <w:vAlign w:val="center"/>
          </w:tcPr>
          <w:p w:rsidR="002F2A2D" w:rsidRPr="004B6BC4" w:rsidRDefault="002F2A2D" w:rsidP="002F2A2D">
            <w:pPr>
              <w:spacing w:line="300" w:lineRule="exact"/>
              <w:jc w:val="center"/>
              <w:rPr>
                <w:color w:val="FF0000"/>
                <w:szCs w:val="21"/>
              </w:rPr>
            </w:pPr>
            <w:r w:rsidRPr="004B6BC4">
              <w:rPr>
                <w:color w:val="FF0000"/>
                <w:szCs w:val="21"/>
              </w:rPr>
              <w:t>洗衣用水</w:t>
            </w:r>
          </w:p>
        </w:tc>
        <w:tc>
          <w:tcPr>
            <w:tcW w:w="839" w:type="dxa"/>
            <w:vAlign w:val="center"/>
          </w:tcPr>
          <w:p w:rsidR="002F2A2D" w:rsidRPr="004B6BC4" w:rsidRDefault="002F2A2D" w:rsidP="002F2A2D">
            <w:pPr>
              <w:spacing w:line="300" w:lineRule="exact"/>
              <w:jc w:val="center"/>
              <w:rPr>
                <w:color w:val="FF0000"/>
                <w:szCs w:val="21"/>
              </w:rPr>
            </w:pPr>
            <w:r w:rsidRPr="004B6BC4">
              <w:rPr>
                <w:color w:val="FF0000"/>
                <w:szCs w:val="21"/>
              </w:rPr>
              <w:t>35.9</w:t>
            </w:r>
          </w:p>
        </w:tc>
        <w:tc>
          <w:tcPr>
            <w:tcW w:w="1267" w:type="dxa"/>
            <w:vMerge/>
            <w:shd w:val="clear" w:color="auto" w:fill="auto"/>
            <w:vAlign w:val="center"/>
          </w:tcPr>
          <w:p w:rsidR="002F2A2D" w:rsidRPr="004B6BC4" w:rsidRDefault="002F2A2D" w:rsidP="002F2A2D">
            <w:pPr>
              <w:spacing w:line="300" w:lineRule="exact"/>
              <w:jc w:val="center"/>
              <w:rPr>
                <w:szCs w:val="21"/>
              </w:rPr>
            </w:pPr>
          </w:p>
        </w:tc>
        <w:tc>
          <w:tcPr>
            <w:tcW w:w="1310" w:type="dxa"/>
            <w:vAlign w:val="center"/>
          </w:tcPr>
          <w:p w:rsidR="002F2A2D" w:rsidRPr="004B6BC4" w:rsidRDefault="00D702E5" w:rsidP="002F2A2D">
            <w:pPr>
              <w:spacing w:line="300" w:lineRule="exact"/>
              <w:jc w:val="center"/>
              <w:rPr>
                <w:color w:val="FF0000"/>
                <w:szCs w:val="21"/>
              </w:rPr>
            </w:pPr>
            <w:r w:rsidRPr="004B6BC4">
              <w:rPr>
                <w:color w:val="FF0000"/>
                <w:szCs w:val="21"/>
              </w:rPr>
              <w:t>120 L/</w:t>
            </w:r>
            <w:r w:rsidRPr="004B6BC4">
              <w:rPr>
                <w:color w:val="FF0000"/>
                <w:szCs w:val="21"/>
              </w:rPr>
              <w:t>人</w:t>
            </w:r>
          </w:p>
        </w:tc>
        <w:tc>
          <w:tcPr>
            <w:tcW w:w="839" w:type="dxa"/>
            <w:vAlign w:val="center"/>
          </w:tcPr>
          <w:p w:rsidR="002F2A2D" w:rsidRPr="004B6BC4" w:rsidRDefault="002F2A2D" w:rsidP="002F2A2D">
            <w:pPr>
              <w:spacing w:line="300" w:lineRule="exact"/>
              <w:jc w:val="center"/>
              <w:rPr>
                <w:color w:val="FF0000"/>
                <w:szCs w:val="21"/>
              </w:rPr>
            </w:pPr>
            <w:r w:rsidRPr="004B6BC4">
              <w:rPr>
                <w:color w:val="FF0000"/>
                <w:szCs w:val="21"/>
              </w:rPr>
              <w:t>35.9</w:t>
            </w:r>
          </w:p>
        </w:tc>
        <w:tc>
          <w:tcPr>
            <w:tcW w:w="1267" w:type="dxa"/>
            <w:vMerge/>
            <w:shd w:val="clear" w:color="auto" w:fill="auto"/>
            <w:vAlign w:val="center"/>
          </w:tcPr>
          <w:p w:rsidR="002F2A2D" w:rsidRPr="004B6BC4" w:rsidRDefault="002F2A2D" w:rsidP="002F2A2D">
            <w:pPr>
              <w:spacing w:line="300" w:lineRule="exact"/>
              <w:jc w:val="center"/>
              <w:rPr>
                <w:szCs w:val="21"/>
              </w:rPr>
            </w:pPr>
          </w:p>
        </w:tc>
        <w:tc>
          <w:tcPr>
            <w:tcW w:w="1319" w:type="dxa"/>
            <w:vAlign w:val="center"/>
          </w:tcPr>
          <w:p w:rsidR="002F2A2D" w:rsidRPr="004B6BC4" w:rsidRDefault="00D702E5" w:rsidP="002F2A2D">
            <w:pPr>
              <w:spacing w:line="300" w:lineRule="exact"/>
              <w:jc w:val="center"/>
              <w:rPr>
                <w:color w:val="FF0000"/>
                <w:szCs w:val="21"/>
              </w:rPr>
            </w:pPr>
            <w:r w:rsidRPr="004B6BC4">
              <w:rPr>
                <w:color w:val="FF0000"/>
                <w:szCs w:val="21"/>
              </w:rPr>
              <w:t>120 L/</w:t>
            </w:r>
            <w:r w:rsidRPr="004B6BC4">
              <w:rPr>
                <w:color w:val="FF0000"/>
                <w:szCs w:val="21"/>
              </w:rPr>
              <w:t>人</w:t>
            </w:r>
          </w:p>
        </w:tc>
        <w:tc>
          <w:tcPr>
            <w:tcW w:w="698" w:type="dxa"/>
            <w:vMerge/>
            <w:vAlign w:val="center"/>
          </w:tcPr>
          <w:p w:rsidR="002F2A2D" w:rsidRPr="004B6BC4" w:rsidRDefault="002F2A2D" w:rsidP="002F2A2D">
            <w:pPr>
              <w:spacing w:line="300" w:lineRule="exact"/>
              <w:jc w:val="center"/>
              <w:rPr>
                <w:szCs w:val="21"/>
              </w:rPr>
            </w:pPr>
          </w:p>
        </w:tc>
      </w:tr>
      <w:tr w:rsidR="002F2A2D" w:rsidRPr="004B6BC4" w:rsidTr="00D702E5">
        <w:trPr>
          <w:trHeight w:val="230"/>
          <w:jc w:val="center"/>
        </w:trPr>
        <w:tc>
          <w:tcPr>
            <w:tcW w:w="352" w:type="dxa"/>
            <w:vAlign w:val="center"/>
          </w:tcPr>
          <w:p w:rsidR="002F2A2D" w:rsidRPr="004B6BC4" w:rsidRDefault="002F2A2D" w:rsidP="002F2A2D">
            <w:pPr>
              <w:spacing w:line="300" w:lineRule="exact"/>
              <w:jc w:val="center"/>
              <w:rPr>
                <w:szCs w:val="21"/>
              </w:rPr>
            </w:pPr>
            <w:r w:rsidRPr="004B6BC4">
              <w:rPr>
                <w:szCs w:val="21"/>
              </w:rPr>
              <w:t>6</w:t>
            </w:r>
          </w:p>
        </w:tc>
        <w:tc>
          <w:tcPr>
            <w:tcW w:w="1821" w:type="dxa"/>
            <w:vAlign w:val="center"/>
          </w:tcPr>
          <w:p w:rsidR="002F2A2D" w:rsidRPr="004B6BC4" w:rsidRDefault="002F2A2D" w:rsidP="002F2A2D">
            <w:pPr>
              <w:spacing w:line="300" w:lineRule="exact"/>
              <w:jc w:val="center"/>
              <w:rPr>
                <w:szCs w:val="21"/>
              </w:rPr>
            </w:pPr>
            <w:r w:rsidRPr="004B6BC4">
              <w:rPr>
                <w:szCs w:val="21"/>
              </w:rPr>
              <w:t>乏风热泵机房补水</w:t>
            </w:r>
          </w:p>
        </w:tc>
        <w:tc>
          <w:tcPr>
            <w:tcW w:w="839" w:type="dxa"/>
            <w:vAlign w:val="center"/>
          </w:tcPr>
          <w:p w:rsidR="002F2A2D" w:rsidRPr="004B6BC4" w:rsidRDefault="002F2A2D" w:rsidP="002F2A2D">
            <w:pPr>
              <w:spacing w:line="300" w:lineRule="exact"/>
              <w:jc w:val="center"/>
              <w:rPr>
                <w:szCs w:val="21"/>
              </w:rPr>
            </w:pPr>
            <w:r w:rsidRPr="004B6BC4">
              <w:rPr>
                <w:szCs w:val="21"/>
              </w:rPr>
              <w:t>260</w:t>
            </w:r>
          </w:p>
        </w:tc>
        <w:tc>
          <w:tcPr>
            <w:tcW w:w="1267" w:type="dxa"/>
            <w:vMerge w:val="restart"/>
            <w:shd w:val="clear" w:color="auto" w:fill="auto"/>
            <w:vAlign w:val="center"/>
          </w:tcPr>
          <w:p w:rsidR="002F2A2D" w:rsidRPr="004B6BC4" w:rsidRDefault="002F2A2D" w:rsidP="002F2A2D">
            <w:pPr>
              <w:spacing w:line="300" w:lineRule="exact"/>
              <w:jc w:val="center"/>
              <w:rPr>
                <w:szCs w:val="21"/>
              </w:rPr>
            </w:pPr>
            <w:r w:rsidRPr="004B6BC4">
              <w:rPr>
                <w:szCs w:val="21"/>
              </w:rPr>
              <w:t>处理后</w:t>
            </w:r>
          </w:p>
          <w:p w:rsidR="002F2A2D" w:rsidRPr="004B6BC4" w:rsidRDefault="002F2A2D" w:rsidP="002F2A2D">
            <w:pPr>
              <w:spacing w:line="300" w:lineRule="exact"/>
              <w:jc w:val="center"/>
              <w:rPr>
                <w:szCs w:val="21"/>
              </w:rPr>
            </w:pPr>
            <w:r w:rsidRPr="004B6BC4">
              <w:rPr>
                <w:szCs w:val="21"/>
              </w:rPr>
              <w:t>矿井水</w:t>
            </w:r>
          </w:p>
        </w:tc>
        <w:tc>
          <w:tcPr>
            <w:tcW w:w="1310" w:type="dxa"/>
            <w:vAlign w:val="center"/>
          </w:tcPr>
          <w:p w:rsidR="002F2A2D" w:rsidRPr="004B6BC4" w:rsidRDefault="00D702E5" w:rsidP="002F2A2D">
            <w:pPr>
              <w:spacing w:line="300" w:lineRule="exact"/>
              <w:jc w:val="center"/>
              <w:rPr>
                <w:color w:val="FF0000"/>
                <w:szCs w:val="21"/>
              </w:rPr>
            </w:pPr>
            <w:r w:rsidRPr="004B6BC4">
              <w:rPr>
                <w:color w:val="FF0000"/>
                <w:szCs w:val="21"/>
              </w:rPr>
              <w:t>设计工艺</w:t>
            </w:r>
            <w:r w:rsidR="004B6BC4" w:rsidRPr="004B6BC4">
              <w:rPr>
                <w:color w:val="FF0000"/>
                <w:szCs w:val="21"/>
              </w:rPr>
              <w:t>要求</w:t>
            </w:r>
          </w:p>
        </w:tc>
        <w:tc>
          <w:tcPr>
            <w:tcW w:w="839" w:type="dxa"/>
            <w:vAlign w:val="center"/>
          </w:tcPr>
          <w:p w:rsidR="002F2A2D" w:rsidRPr="004B6BC4" w:rsidRDefault="002F2A2D" w:rsidP="002F2A2D">
            <w:pPr>
              <w:spacing w:line="300" w:lineRule="exact"/>
              <w:jc w:val="center"/>
              <w:rPr>
                <w:szCs w:val="21"/>
              </w:rPr>
            </w:pPr>
            <w:r w:rsidRPr="004B6BC4">
              <w:rPr>
                <w:szCs w:val="21"/>
              </w:rPr>
              <w:t>26</w:t>
            </w:r>
          </w:p>
        </w:tc>
        <w:tc>
          <w:tcPr>
            <w:tcW w:w="1267" w:type="dxa"/>
            <w:vMerge w:val="restart"/>
            <w:shd w:val="clear" w:color="auto" w:fill="auto"/>
            <w:vAlign w:val="center"/>
          </w:tcPr>
          <w:p w:rsidR="002F2A2D" w:rsidRPr="004B6BC4" w:rsidRDefault="002F2A2D" w:rsidP="002F2A2D">
            <w:pPr>
              <w:spacing w:line="300" w:lineRule="exact"/>
              <w:jc w:val="center"/>
              <w:rPr>
                <w:szCs w:val="21"/>
              </w:rPr>
            </w:pPr>
            <w:r w:rsidRPr="004B6BC4">
              <w:rPr>
                <w:szCs w:val="21"/>
              </w:rPr>
              <w:t>处理后</w:t>
            </w:r>
          </w:p>
          <w:p w:rsidR="002F2A2D" w:rsidRPr="004B6BC4" w:rsidRDefault="002F2A2D" w:rsidP="002F2A2D">
            <w:pPr>
              <w:spacing w:line="300" w:lineRule="exact"/>
              <w:jc w:val="center"/>
              <w:rPr>
                <w:szCs w:val="21"/>
              </w:rPr>
            </w:pPr>
            <w:r w:rsidRPr="004B6BC4">
              <w:rPr>
                <w:szCs w:val="21"/>
              </w:rPr>
              <w:t>矿井水</w:t>
            </w:r>
          </w:p>
        </w:tc>
        <w:tc>
          <w:tcPr>
            <w:tcW w:w="1319" w:type="dxa"/>
            <w:vAlign w:val="center"/>
          </w:tcPr>
          <w:p w:rsidR="002F2A2D" w:rsidRPr="004B6BC4" w:rsidRDefault="00D702E5" w:rsidP="002F2A2D">
            <w:pPr>
              <w:spacing w:line="300" w:lineRule="exact"/>
              <w:jc w:val="center"/>
              <w:rPr>
                <w:color w:val="FF0000"/>
                <w:szCs w:val="21"/>
              </w:rPr>
            </w:pPr>
            <w:r w:rsidRPr="004B6BC4">
              <w:rPr>
                <w:color w:val="FF0000"/>
                <w:szCs w:val="21"/>
              </w:rPr>
              <w:t>设计工艺</w:t>
            </w:r>
            <w:r w:rsidR="004B6BC4" w:rsidRPr="004B6BC4">
              <w:rPr>
                <w:color w:val="FF0000"/>
                <w:szCs w:val="21"/>
              </w:rPr>
              <w:t>要求</w:t>
            </w:r>
          </w:p>
        </w:tc>
        <w:tc>
          <w:tcPr>
            <w:tcW w:w="698" w:type="dxa"/>
            <w:vMerge/>
            <w:vAlign w:val="center"/>
          </w:tcPr>
          <w:p w:rsidR="002F2A2D" w:rsidRPr="004B6BC4" w:rsidRDefault="002F2A2D" w:rsidP="002F2A2D">
            <w:pPr>
              <w:spacing w:line="300" w:lineRule="exact"/>
              <w:jc w:val="center"/>
              <w:rPr>
                <w:szCs w:val="21"/>
              </w:rPr>
            </w:pPr>
          </w:p>
        </w:tc>
      </w:tr>
      <w:tr w:rsidR="00D702E5" w:rsidRPr="004B6BC4" w:rsidTr="00D702E5">
        <w:trPr>
          <w:trHeight w:val="245"/>
          <w:jc w:val="center"/>
        </w:trPr>
        <w:tc>
          <w:tcPr>
            <w:tcW w:w="352" w:type="dxa"/>
            <w:vAlign w:val="center"/>
          </w:tcPr>
          <w:p w:rsidR="00D702E5" w:rsidRPr="004B6BC4" w:rsidRDefault="00D702E5" w:rsidP="002F2A2D">
            <w:pPr>
              <w:spacing w:line="300" w:lineRule="exact"/>
              <w:jc w:val="center"/>
              <w:rPr>
                <w:szCs w:val="21"/>
              </w:rPr>
            </w:pPr>
            <w:r w:rsidRPr="004B6BC4">
              <w:rPr>
                <w:szCs w:val="21"/>
              </w:rPr>
              <w:t>7</w:t>
            </w:r>
          </w:p>
        </w:tc>
        <w:tc>
          <w:tcPr>
            <w:tcW w:w="1821" w:type="dxa"/>
            <w:vAlign w:val="center"/>
          </w:tcPr>
          <w:p w:rsidR="00D702E5" w:rsidRPr="004B6BC4" w:rsidRDefault="00D702E5" w:rsidP="002F2A2D">
            <w:pPr>
              <w:spacing w:line="300" w:lineRule="exact"/>
              <w:jc w:val="center"/>
              <w:rPr>
                <w:szCs w:val="21"/>
              </w:rPr>
            </w:pPr>
            <w:r w:rsidRPr="004B6BC4">
              <w:rPr>
                <w:szCs w:val="21"/>
              </w:rPr>
              <w:t>未预见水量</w:t>
            </w:r>
          </w:p>
        </w:tc>
        <w:tc>
          <w:tcPr>
            <w:tcW w:w="839" w:type="dxa"/>
            <w:vAlign w:val="center"/>
          </w:tcPr>
          <w:p w:rsidR="00D702E5" w:rsidRPr="004B6BC4" w:rsidRDefault="00D702E5" w:rsidP="002F2A2D">
            <w:pPr>
              <w:spacing w:line="300" w:lineRule="exact"/>
              <w:jc w:val="center"/>
              <w:rPr>
                <w:szCs w:val="21"/>
              </w:rPr>
            </w:pPr>
            <w:r w:rsidRPr="004B6BC4">
              <w:rPr>
                <w:szCs w:val="21"/>
              </w:rPr>
              <w:t>57.4</w:t>
            </w:r>
          </w:p>
        </w:tc>
        <w:tc>
          <w:tcPr>
            <w:tcW w:w="1267" w:type="dxa"/>
            <w:vMerge/>
            <w:shd w:val="clear" w:color="auto" w:fill="auto"/>
            <w:vAlign w:val="center"/>
          </w:tcPr>
          <w:p w:rsidR="00D702E5" w:rsidRPr="004B6BC4" w:rsidRDefault="00D702E5" w:rsidP="002F2A2D">
            <w:pPr>
              <w:spacing w:line="300" w:lineRule="exact"/>
              <w:jc w:val="center"/>
              <w:rPr>
                <w:spacing w:val="-10"/>
                <w:szCs w:val="21"/>
              </w:rPr>
            </w:pPr>
          </w:p>
        </w:tc>
        <w:tc>
          <w:tcPr>
            <w:tcW w:w="1310" w:type="dxa"/>
            <w:vAlign w:val="center"/>
          </w:tcPr>
          <w:p w:rsidR="00D702E5" w:rsidRPr="004B6BC4" w:rsidRDefault="00D702E5" w:rsidP="00D702E5">
            <w:pPr>
              <w:spacing w:line="300" w:lineRule="exact"/>
              <w:jc w:val="center"/>
              <w:rPr>
                <w:color w:val="FF0000"/>
                <w:spacing w:val="-6"/>
                <w:szCs w:val="21"/>
              </w:rPr>
            </w:pPr>
            <w:r w:rsidRPr="004B6BC4">
              <w:rPr>
                <w:color w:val="FF0000"/>
                <w:spacing w:val="-6"/>
                <w:szCs w:val="21"/>
              </w:rPr>
              <w:t>小计水量</w:t>
            </w:r>
            <w:r w:rsidRPr="004B6BC4">
              <w:rPr>
                <w:color w:val="FF0000"/>
                <w:spacing w:val="-6"/>
                <w:szCs w:val="21"/>
              </w:rPr>
              <w:t>10%</w:t>
            </w:r>
          </w:p>
        </w:tc>
        <w:tc>
          <w:tcPr>
            <w:tcW w:w="839" w:type="dxa"/>
            <w:vAlign w:val="center"/>
          </w:tcPr>
          <w:p w:rsidR="00D702E5" w:rsidRPr="004B6BC4" w:rsidRDefault="00D702E5" w:rsidP="002F2A2D">
            <w:pPr>
              <w:spacing w:line="300" w:lineRule="exact"/>
              <w:jc w:val="center"/>
              <w:rPr>
                <w:szCs w:val="21"/>
              </w:rPr>
            </w:pPr>
            <w:r w:rsidRPr="004B6BC4">
              <w:rPr>
                <w:szCs w:val="21"/>
              </w:rPr>
              <w:t>34</w:t>
            </w:r>
          </w:p>
        </w:tc>
        <w:tc>
          <w:tcPr>
            <w:tcW w:w="1267" w:type="dxa"/>
            <w:vMerge/>
            <w:shd w:val="clear" w:color="auto" w:fill="auto"/>
            <w:vAlign w:val="center"/>
          </w:tcPr>
          <w:p w:rsidR="00D702E5" w:rsidRPr="004B6BC4" w:rsidRDefault="00D702E5" w:rsidP="002F2A2D">
            <w:pPr>
              <w:spacing w:line="300" w:lineRule="exact"/>
              <w:jc w:val="center"/>
              <w:rPr>
                <w:szCs w:val="21"/>
              </w:rPr>
            </w:pPr>
          </w:p>
        </w:tc>
        <w:tc>
          <w:tcPr>
            <w:tcW w:w="1319" w:type="dxa"/>
            <w:vAlign w:val="center"/>
          </w:tcPr>
          <w:p w:rsidR="00D702E5" w:rsidRPr="004B6BC4" w:rsidRDefault="00D702E5" w:rsidP="00894456">
            <w:pPr>
              <w:spacing w:line="300" w:lineRule="exact"/>
              <w:jc w:val="center"/>
              <w:rPr>
                <w:color w:val="FF0000"/>
                <w:spacing w:val="-6"/>
                <w:szCs w:val="21"/>
              </w:rPr>
            </w:pPr>
            <w:r w:rsidRPr="004B6BC4">
              <w:rPr>
                <w:color w:val="FF0000"/>
                <w:spacing w:val="-6"/>
                <w:szCs w:val="21"/>
              </w:rPr>
              <w:t>小计水量</w:t>
            </w:r>
            <w:r w:rsidRPr="004B6BC4">
              <w:rPr>
                <w:color w:val="FF0000"/>
                <w:spacing w:val="-6"/>
                <w:szCs w:val="21"/>
              </w:rPr>
              <w:t>10%</w:t>
            </w:r>
          </w:p>
        </w:tc>
        <w:tc>
          <w:tcPr>
            <w:tcW w:w="698" w:type="dxa"/>
            <w:vMerge/>
            <w:vAlign w:val="center"/>
          </w:tcPr>
          <w:p w:rsidR="00D702E5" w:rsidRPr="004B6BC4" w:rsidRDefault="00D702E5" w:rsidP="002F2A2D">
            <w:pPr>
              <w:spacing w:line="300" w:lineRule="exact"/>
              <w:jc w:val="center"/>
              <w:rPr>
                <w:szCs w:val="21"/>
              </w:rPr>
            </w:pPr>
          </w:p>
        </w:tc>
      </w:tr>
      <w:tr w:rsidR="00D702E5" w:rsidRPr="004B6BC4" w:rsidTr="00D702E5">
        <w:trPr>
          <w:trHeight w:val="315"/>
          <w:jc w:val="center"/>
        </w:trPr>
        <w:tc>
          <w:tcPr>
            <w:tcW w:w="2173" w:type="dxa"/>
            <w:gridSpan w:val="2"/>
            <w:vAlign w:val="center"/>
          </w:tcPr>
          <w:p w:rsidR="00D702E5" w:rsidRPr="004B6BC4" w:rsidRDefault="00D702E5" w:rsidP="002F2A2D">
            <w:pPr>
              <w:spacing w:line="300" w:lineRule="exact"/>
              <w:jc w:val="center"/>
              <w:rPr>
                <w:szCs w:val="21"/>
              </w:rPr>
            </w:pPr>
            <w:r w:rsidRPr="004B6BC4">
              <w:rPr>
                <w:szCs w:val="21"/>
              </w:rPr>
              <w:t>小计</w:t>
            </w:r>
          </w:p>
        </w:tc>
        <w:tc>
          <w:tcPr>
            <w:tcW w:w="839" w:type="dxa"/>
            <w:vAlign w:val="center"/>
          </w:tcPr>
          <w:p w:rsidR="00D702E5" w:rsidRPr="004B6BC4" w:rsidRDefault="000F32AE" w:rsidP="002F2A2D">
            <w:pPr>
              <w:spacing w:line="300" w:lineRule="exact"/>
              <w:jc w:val="center"/>
              <w:rPr>
                <w:b/>
                <w:szCs w:val="21"/>
              </w:rPr>
            </w:pPr>
            <w:r w:rsidRPr="004B6BC4">
              <w:rPr>
                <w:b/>
                <w:szCs w:val="21"/>
              </w:rPr>
              <w:fldChar w:fldCharType="begin"/>
            </w:r>
            <w:r w:rsidR="00D702E5" w:rsidRPr="004B6BC4">
              <w:rPr>
                <w:b/>
                <w:szCs w:val="21"/>
              </w:rPr>
              <w:instrText xml:space="preserve"> =SUM(ABOVE) </w:instrText>
            </w:r>
            <w:r w:rsidRPr="004B6BC4">
              <w:rPr>
                <w:b/>
                <w:szCs w:val="21"/>
              </w:rPr>
              <w:fldChar w:fldCharType="separate"/>
            </w:r>
            <w:r w:rsidR="00D702E5" w:rsidRPr="004B6BC4">
              <w:rPr>
                <w:b/>
                <w:szCs w:val="21"/>
              </w:rPr>
              <w:t>631.1</w:t>
            </w:r>
            <w:r w:rsidRPr="004B6BC4">
              <w:rPr>
                <w:b/>
                <w:szCs w:val="21"/>
              </w:rPr>
              <w:fldChar w:fldCharType="end"/>
            </w:r>
          </w:p>
        </w:tc>
        <w:tc>
          <w:tcPr>
            <w:tcW w:w="1267" w:type="dxa"/>
            <w:shd w:val="clear" w:color="auto" w:fill="auto"/>
            <w:vAlign w:val="center"/>
          </w:tcPr>
          <w:p w:rsidR="00D702E5" w:rsidRPr="004B6BC4" w:rsidRDefault="00D702E5" w:rsidP="002F2A2D">
            <w:pPr>
              <w:spacing w:line="300" w:lineRule="exact"/>
              <w:jc w:val="center"/>
              <w:rPr>
                <w:szCs w:val="21"/>
              </w:rPr>
            </w:pPr>
          </w:p>
        </w:tc>
        <w:tc>
          <w:tcPr>
            <w:tcW w:w="1310" w:type="dxa"/>
            <w:vAlign w:val="center"/>
          </w:tcPr>
          <w:p w:rsidR="00D702E5" w:rsidRPr="004B6BC4" w:rsidRDefault="00D702E5" w:rsidP="002F2A2D">
            <w:pPr>
              <w:spacing w:line="300" w:lineRule="exact"/>
              <w:jc w:val="center"/>
              <w:rPr>
                <w:b/>
                <w:color w:val="FF0000"/>
                <w:szCs w:val="21"/>
              </w:rPr>
            </w:pPr>
          </w:p>
        </w:tc>
        <w:tc>
          <w:tcPr>
            <w:tcW w:w="839" w:type="dxa"/>
            <w:vAlign w:val="center"/>
          </w:tcPr>
          <w:p w:rsidR="00D702E5" w:rsidRPr="004B6BC4" w:rsidRDefault="000F32AE" w:rsidP="002F2A2D">
            <w:pPr>
              <w:spacing w:line="300" w:lineRule="exact"/>
              <w:jc w:val="center"/>
              <w:rPr>
                <w:b/>
                <w:szCs w:val="21"/>
              </w:rPr>
            </w:pPr>
            <w:r w:rsidRPr="004B6BC4">
              <w:rPr>
                <w:b/>
                <w:szCs w:val="21"/>
              </w:rPr>
              <w:fldChar w:fldCharType="begin"/>
            </w:r>
            <w:r w:rsidR="00D702E5" w:rsidRPr="004B6BC4">
              <w:rPr>
                <w:b/>
                <w:szCs w:val="21"/>
              </w:rPr>
              <w:instrText xml:space="preserve"> =SUM(ABOVE) </w:instrText>
            </w:r>
            <w:r w:rsidRPr="004B6BC4">
              <w:rPr>
                <w:b/>
                <w:szCs w:val="21"/>
              </w:rPr>
              <w:fldChar w:fldCharType="separate"/>
            </w:r>
            <w:r w:rsidR="00D702E5" w:rsidRPr="004B6BC4">
              <w:rPr>
                <w:b/>
                <w:szCs w:val="21"/>
              </w:rPr>
              <w:t>373.7</w:t>
            </w:r>
            <w:r w:rsidRPr="004B6BC4">
              <w:rPr>
                <w:b/>
                <w:szCs w:val="21"/>
              </w:rPr>
              <w:fldChar w:fldCharType="end"/>
            </w:r>
          </w:p>
        </w:tc>
        <w:tc>
          <w:tcPr>
            <w:tcW w:w="1267" w:type="dxa"/>
            <w:shd w:val="clear" w:color="auto" w:fill="auto"/>
            <w:vAlign w:val="center"/>
          </w:tcPr>
          <w:p w:rsidR="00D702E5" w:rsidRPr="004B6BC4" w:rsidRDefault="00D702E5" w:rsidP="002F2A2D">
            <w:pPr>
              <w:spacing w:line="300" w:lineRule="exact"/>
              <w:jc w:val="center"/>
              <w:rPr>
                <w:b/>
                <w:szCs w:val="21"/>
              </w:rPr>
            </w:pPr>
          </w:p>
        </w:tc>
        <w:tc>
          <w:tcPr>
            <w:tcW w:w="1319" w:type="dxa"/>
            <w:vAlign w:val="center"/>
          </w:tcPr>
          <w:p w:rsidR="00D702E5" w:rsidRPr="004B6BC4" w:rsidRDefault="00D702E5" w:rsidP="002F2A2D">
            <w:pPr>
              <w:spacing w:line="300" w:lineRule="exact"/>
              <w:jc w:val="center"/>
              <w:rPr>
                <w:color w:val="FF0000"/>
                <w:szCs w:val="21"/>
              </w:rPr>
            </w:pPr>
          </w:p>
        </w:tc>
        <w:tc>
          <w:tcPr>
            <w:tcW w:w="698" w:type="dxa"/>
            <w:vMerge/>
            <w:vAlign w:val="center"/>
          </w:tcPr>
          <w:p w:rsidR="00D702E5" w:rsidRPr="004B6BC4" w:rsidRDefault="00D702E5" w:rsidP="002F2A2D">
            <w:pPr>
              <w:spacing w:line="300" w:lineRule="exact"/>
              <w:jc w:val="center"/>
              <w:rPr>
                <w:szCs w:val="21"/>
              </w:rPr>
            </w:pPr>
          </w:p>
        </w:tc>
      </w:tr>
      <w:tr w:rsidR="00D702E5" w:rsidRPr="004B6BC4" w:rsidTr="00D702E5">
        <w:trPr>
          <w:trHeight w:val="245"/>
          <w:jc w:val="center"/>
        </w:trPr>
        <w:tc>
          <w:tcPr>
            <w:tcW w:w="352" w:type="dxa"/>
            <w:vAlign w:val="center"/>
          </w:tcPr>
          <w:p w:rsidR="00D702E5" w:rsidRPr="004B6BC4" w:rsidRDefault="00D702E5" w:rsidP="002F2A2D">
            <w:pPr>
              <w:spacing w:line="300" w:lineRule="exact"/>
              <w:jc w:val="center"/>
              <w:rPr>
                <w:szCs w:val="21"/>
              </w:rPr>
            </w:pPr>
            <w:r w:rsidRPr="004B6BC4">
              <w:rPr>
                <w:szCs w:val="21"/>
              </w:rPr>
              <w:t>8</w:t>
            </w:r>
          </w:p>
        </w:tc>
        <w:tc>
          <w:tcPr>
            <w:tcW w:w="1821" w:type="dxa"/>
            <w:vAlign w:val="center"/>
          </w:tcPr>
          <w:p w:rsidR="00D702E5" w:rsidRPr="004B6BC4" w:rsidRDefault="00D702E5" w:rsidP="002F2A2D">
            <w:pPr>
              <w:spacing w:line="300" w:lineRule="exact"/>
              <w:jc w:val="center"/>
              <w:rPr>
                <w:spacing w:val="-6"/>
                <w:szCs w:val="21"/>
              </w:rPr>
            </w:pPr>
            <w:r w:rsidRPr="004B6BC4">
              <w:rPr>
                <w:szCs w:val="21"/>
              </w:rPr>
              <w:t>选煤厂补充用水</w:t>
            </w:r>
          </w:p>
        </w:tc>
        <w:tc>
          <w:tcPr>
            <w:tcW w:w="839" w:type="dxa"/>
            <w:vAlign w:val="center"/>
          </w:tcPr>
          <w:p w:rsidR="00D702E5" w:rsidRPr="004B6BC4" w:rsidRDefault="00D702E5" w:rsidP="002F2A2D">
            <w:pPr>
              <w:spacing w:line="300" w:lineRule="exact"/>
              <w:jc w:val="center"/>
              <w:rPr>
                <w:szCs w:val="21"/>
              </w:rPr>
            </w:pPr>
            <w:r w:rsidRPr="004B6BC4">
              <w:rPr>
                <w:szCs w:val="21"/>
              </w:rPr>
              <w:t>229.5</w:t>
            </w:r>
          </w:p>
        </w:tc>
        <w:tc>
          <w:tcPr>
            <w:tcW w:w="1267" w:type="dxa"/>
            <w:vMerge w:val="restart"/>
            <w:shd w:val="clear" w:color="auto" w:fill="auto"/>
            <w:vAlign w:val="center"/>
          </w:tcPr>
          <w:p w:rsidR="00D702E5" w:rsidRPr="004B6BC4" w:rsidRDefault="00D702E5" w:rsidP="002F2A2D">
            <w:pPr>
              <w:spacing w:line="300" w:lineRule="exact"/>
              <w:jc w:val="center"/>
              <w:rPr>
                <w:szCs w:val="21"/>
              </w:rPr>
            </w:pPr>
            <w:r w:rsidRPr="004B6BC4">
              <w:rPr>
                <w:szCs w:val="21"/>
              </w:rPr>
              <w:t>处理后</w:t>
            </w:r>
          </w:p>
          <w:p w:rsidR="00D702E5" w:rsidRPr="004B6BC4" w:rsidRDefault="00D702E5" w:rsidP="002F2A2D">
            <w:pPr>
              <w:spacing w:line="300" w:lineRule="exact"/>
              <w:jc w:val="center"/>
              <w:rPr>
                <w:szCs w:val="21"/>
              </w:rPr>
            </w:pPr>
            <w:r w:rsidRPr="004B6BC4">
              <w:rPr>
                <w:szCs w:val="21"/>
              </w:rPr>
              <w:t>生活污水</w:t>
            </w:r>
          </w:p>
        </w:tc>
        <w:tc>
          <w:tcPr>
            <w:tcW w:w="1310" w:type="dxa"/>
            <w:vAlign w:val="center"/>
          </w:tcPr>
          <w:p w:rsidR="00D702E5" w:rsidRPr="004B6BC4" w:rsidRDefault="00D702E5" w:rsidP="00D702E5">
            <w:pPr>
              <w:spacing w:line="300" w:lineRule="exact"/>
              <w:jc w:val="center"/>
              <w:rPr>
                <w:color w:val="FF0000"/>
                <w:szCs w:val="21"/>
              </w:rPr>
            </w:pPr>
            <w:r w:rsidRPr="004B6BC4">
              <w:rPr>
                <w:color w:val="FF0000"/>
                <w:kern w:val="0"/>
                <w:szCs w:val="21"/>
              </w:rPr>
              <w:t>吨煤水耗</w:t>
            </w:r>
            <w:r w:rsidRPr="004B6BC4">
              <w:rPr>
                <w:color w:val="FF0000"/>
                <w:kern w:val="0"/>
                <w:szCs w:val="21"/>
              </w:rPr>
              <w:t>0.084m</w:t>
            </w:r>
            <w:r w:rsidRPr="004B6BC4">
              <w:rPr>
                <w:color w:val="FF0000"/>
                <w:kern w:val="0"/>
                <w:szCs w:val="21"/>
                <w:vertAlign w:val="superscript"/>
              </w:rPr>
              <w:t>3</w:t>
            </w:r>
          </w:p>
        </w:tc>
        <w:tc>
          <w:tcPr>
            <w:tcW w:w="839" w:type="dxa"/>
            <w:vAlign w:val="center"/>
          </w:tcPr>
          <w:p w:rsidR="00D702E5" w:rsidRPr="004B6BC4" w:rsidRDefault="00D702E5" w:rsidP="002F2A2D">
            <w:pPr>
              <w:spacing w:line="300" w:lineRule="exact"/>
              <w:jc w:val="center"/>
              <w:rPr>
                <w:szCs w:val="21"/>
              </w:rPr>
            </w:pPr>
            <w:r w:rsidRPr="004B6BC4">
              <w:rPr>
                <w:szCs w:val="21"/>
              </w:rPr>
              <w:t>229.5</w:t>
            </w:r>
          </w:p>
        </w:tc>
        <w:tc>
          <w:tcPr>
            <w:tcW w:w="1267" w:type="dxa"/>
            <w:vMerge w:val="restart"/>
            <w:shd w:val="clear" w:color="auto" w:fill="auto"/>
            <w:vAlign w:val="center"/>
          </w:tcPr>
          <w:p w:rsidR="00D702E5" w:rsidRPr="004B6BC4" w:rsidRDefault="00D702E5" w:rsidP="002F2A2D">
            <w:pPr>
              <w:spacing w:line="300" w:lineRule="exact"/>
              <w:jc w:val="center"/>
              <w:rPr>
                <w:szCs w:val="21"/>
              </w:rPr>
            </w:pPr>
            <w:r w:rsidRPr="004B6BC4">
              <w:rPr>
                <w:szCs w:val="21"/>
              </w:rPr>
              <w:t>处理后</w:t>
            </w:r>
          </w:p>
          <w:p w:rsidR="00D702E5" w:rsidRPr="004B6BC4" w:rsidRDefault="00D702E5" w:rsidP="002F2A2D">
            <w:pPr>
              <w:spacing w:line="300" w:lineRule="exact"/>
              <w:jc w:val="center"/>
              <w:rPr>
                <w:szCs w:val="21"/>
              </w:rPr>
            </w:pPr>
            <w:r w:rsidRPr="004B6BC4">
              <w:rPr>
                <w:szCs w:val="21"/>
              </w:rPr>
              <w:t>生活污水</w:t>
            </w:r>
          </w:p>
        </w:tc>
        <w:tc>
          <w:tcPr>
            <w:tcW w:w="1319" w:type="dxa"/>
            <w:vAlign w:val="center"/>
          </w:tcPr>
          <w:p w:rsidR="00D702E5" w:rsidRPr="004B6BC4" w:rsidRDefault="00D702E5" w:rsidP="002F2A2D">
            <w:pPr>
              <w:spacing w:line="300" w:lineRule="exact"/>
              <w:jc w:val="center"/>
              <w:rPr>
                <w:color w:val="FF0000"/>
                <w:szCs w:val="21"/>
              </w:rPr>
            </w:pPr>
            <w:r w:rsidRPr="004B6BC4">
              <w:rPr>
                <w:color w:val="FF0000"/>
                <w:kern w:val="0"/>
                <w:szCs w:val="21"/>
              </w:rPr>
              <w:t>吨煤水耗</w:t>
            </w:r>
            <w:r w:rsidRPr="004B6BC4">
              <w:rPr>
                <w:color w:val="FF0000"/>
                <w:kern w:val="0"/>
                <w:szCs w:val="21"/>
              </w:rPr>
              <w:t>0.084m</w:t>
            </w:r>
            <w:r w:rsidRPr="004B6BC4">
              <w:rPr>
                <w:color w:val="FF0000"/>
                <w:kern w:val="0"/>
                <w:szCs w:val="21"/>
                <w:vertAlign w:val="superscript"/>
              </w:rPr>
              <w:t>3</w:t>
            </w:r>
          </w:p>
        </w:tc>
        <w:tc>
          <w:tcPr>
            <w:tcW w:w="698" w:type="dxa"/>
            <w:vMerge/>
            <w:vAlign w:val="center"/>
          </w:tcPr>
          <w:p w:rsidR="00D702E5" w:rsidRPr="004B6BC4" w:rsidRDefault="00D702E5" w:rsidP="002F2A2D">
            <w:pPr>
              <w:spacing w:line="300" w:lineRule="exact"/>
              <w:jc w:val="center"/>
              <w:rPr>
                <w:szCs w:val="21"/>
              </w:rPr>
            </w:pPr>
          </w:p>
        </w:tc>
      </w:tr>
      <w:tr w:rsidR="00D702E5" w:rsidRPr="004B6BC4" w:rsidTr="00D702E5">
        <w:trPr>
          <w:trHeight w:val="245"/>
          <w:jc w:val="center"/>
        </w:trPr>
        <w:tc>
          <w:tcPr>
            <w:tcW w:w="352" w:type="dxa"/>
            <w:vAlign w:val="center"/>
          </w:tcPr>
          <w:p w:rsidR="00D702E5" w:rsidRPr="004B6BC4" w:rsidRDefault="00D702E5" w:rsidP="002F2A2D">
            <w:pPr>
              <w:spacing w:line="300" w:lineRule="exact"/>
              <w:jc w:val="center"/>
              <w:rPr>
                <w:szCs w:val="21"/>
              </w:rPr>
            </w:pPr>
            <w:r w:rsidRPr="004B6BC4">
              <w:rPr>
                <w:szCs w:val="21"/>
              </w:rPr>
              <w:t>9</w:t>
            </w:r>
          </w:p>
        </w:tc>
        <w:tc>
          <w:tcPr>
            <w:tcW w:w="1821" w:type="dxa"/>
            <w:vAlign w:val="center"/>
          </w:tcPr>
          <w:p w:rsidR="00D702E5" w:rsidRPr="004B6BC4" w:rsidRDefault="00D702E5" w:rsidP="002F2A2D">
            <w:pPr>
              <w:spacing w:line="300" w:lineRule="exact"/>
              <w:jc w:val="center"/>
              <w:rPr>
                <w:szCs w:val="21"/>
              </w:rPr>
            </w:pPr>
            <w:r w:rsidRPr="004B6BC4">
              <w:rPr>
                <w:szCs w:val="21"/>
              </w:rPr>
              <w:t>绿化洒水</w:t>
            </w:r>
          </w:p>
        </w:tc>
        <w:tc>
          <w:tcPr>
            <w:tcW w:w="839" w:type="dxa"/>
            <w:vAlign w:val="center"/>
          </w:tcPr>
          <w:p w:rsidR="00D702E5" w:rsidRPr="004B6BC4" w:rsidRDefault="00D702E5" w:rsidP="002F2A2D">
            <w:pPr>
              <w:spacing w:line="300" w:lineRule="exact"/>
              <w:jc w:val="center"/>
              <w:rPr>
                <w:szCs w:val="21"/>
              </w:rPr>
            </w:pPr>
            <w:r w:rsidRPr="004B6BC4">
              <w:rPr>
                <w:szCs w:val="21"/>
              </w:rPr>
              <w:t>13</w:t>
            </w:r>
          </w:p>
        </w:tc>
        <w:tc>
          <w:tcPr>
            <w:tcW w:w="1267" w:type="dxa"/>
            <w:vMerge/>
            <w:shd w:val="clear" w:color="auto" w:fill="auto"/>
            <w:vAlign w:val="center"/>
          </w:tcPr>
          <w:p w:rsidR="00D702E5" w:rsidRPr="004B6BC4" w:rsidRDefault="00D702E5" w:rsidP="002F2A2D">
            <w:pPr>
              <w:spacing w:line="300" w:lineRule="exact"/>
              <w:jc w:val="center"/>
              <w:rPr>
                <w:szCs w:val="21"/>
              </w:rPr>
            </w:pPr>
          </w:p>
        </w:tc>
        <w:tc>
          <w:tcPr>
            <w:tcW w:w="1310" w:type="dxa"/>
            <w:vAlign w:val="center"/>
          </w:tcPr>
          <w:p w:rsidR="00D702E5" w:rsidRPr="004B6BC4" w:rsidRDefault="00D702E5" w:rsidP="002F2A2D">
            <w:pPr>
              <w:spacing w:line="300" w:lineRule="exact"/>
              <w:jc w:val="center"/>
              <w:rPr>
                <w:color w:val="FF0000"/>
                <w:szCs w:val="21"/>
              </w:rPr>
            </w:pPr>
            <w:r w:rsidRPr="004B6BC4">
              <w:rPr>
                <w:color w:val="FF0000"/>
                <w:szCs w:val="21"/>
              </w:rPr>
              <w:t>3L/m</w:t>
            </w:r>
            <w:r w:rsidRPr="004B6BC4">
              <w:rPr>
                <w:color w:val="FF0000"/>
                <w:szCs w:val="21"/>
                <w:vertAlign w:val="superscript"/>
              </w:rPr>
              <w:t>2</w:t>
            </w:r>
            <w:r w:rsidRPr="004B6BC4">
              <w:rPr>
                <w:color w:val="FF0000"/>
                <w:szCs w:val="21"/>
              </w:rPr>
              <w:t>.</w:t>
            </w:r>
            <w:r w:rsidRPr="004B6BC4">
              <w:rPr>
                <w:color w:val="FF0000"/>
                <w:szCs w:val="21"/>
              </w:rPr>
              <w:t>日，</w:t>
            </w:r>
          </w:p>
          <w:p w:rsidR="00D702E5" w:rsidRPr="004B6BC4" w:rsidRDefault="00D702E5" w:rsidP="002F2A2D">
            <w:pPr>
              <w:spacing w:line="300" w:lineRule="exact"/>
              <w:jc w:val="center"/>
              <w:rPr>
                <w:color w:val="FF0000"/>
                <w:szCs w:val="21"/>
              </w:rPr>
            </w:pPr>
            <w:r w:rsidRPr="004B6BC4">
              <w:rPr>
                <w:color w:val="FF0000"/>
                <w:szCs w:val="21"/>
              </w:rPr>
              <w:t>2</w:t>
            </w:r>
            <w:r w:rsidRPr="004B6BC4">
              <w:rPr>
                <w:color w:val="FF0000"/>
                <w:szCs w:val="21"/>
              </w:rPr>
              <w:t>日一次</w:t>
            </w:r>
          </w:p>
        </w:tc>
        <w:tc>
          <w:tcPr>
            <w:tcW w:w="839" w:type="dxa"/>
            <w:vAlign w:val="center"/>
          </w:tcPr>
          <w:p w:rsidR="00D702E5" w:rsidRPr="004B6BC4" w:rsidRDefault="00D702E5" w:rsidP="002F2A2D">
            <w:pPr>
              <w:spacing w:line="300" w:lineRule="exact"/>
              <w:jc w:val="center"/>
              <w:rPr>
                <w:szCs w:val="21"/>
              </w:rPr>
            </w:pPr>
            <w:r w:rsidRPr="004B6BC4">
              <w:rPr>
                <w:szCs w:val="21"/>
              </w:rPr>
              <w:t>27</w:t>
            </w:r>
          </w:p>
        </w:tc>
        <w:tc>
          <w:tcPr>
            <w:tcW w:w="1267" w:type="dxa"/>
            <w:vMerge/>
            <w:shd w:val="clear" w:color="auto" w:fill="auto"/>
            <w:vAlign w:val="center"/>
          </w:tcPr>
          <w:p w:rsidR="00D702E5" w:rsidRPr="004B6BC4" w:rsidRDefault="00D702E5" w:rsidP="002F2A2D">
            <w:pPr>
              <w:spacing w:line="300" w:lineRule="exact"/>
              <w:jc w:val="center"/>
              <w:rPr>
                <w:szCs w:val="21"/>
              </w:rPr>
            </w:pPr>
          </w:p>
        </w:tc>
        <w:tc>
          <w:tcPr>
            <w:tcW w:w="1319" w:type="dxa"/>
            <w:vAlign w:val="center"/>
          </w:tcPr>
          <w:p w:rsidR="00D702E5" w:rsidRPr="004B6BC4" w:rsidRDefault="00D702E5" w:rsidP="002F2A2D">
            <w:pPr>
              <w:spacing w:line="300" w:lineRule="exact"/>
              <w:jc w:val="center"/>
              <w:rPr>
                <w:color w:val="FF0000"/>
                <w:szCs w:val="21"/>
              </w:rPr>
            </w:pPr>
            <w:r w:rsidRPr="004B6BC4">
              <w:rPr>
                <w:color w:val="FF0000"/>
                <w:szCs w:val="21"/>
              </w:rPr>
              <w:t>3L/m</w:t>
            </w:r>
            <w:r w:rsidRPr="004B6BC4">
              <w:rPr>
                <w:color w:val="FF0000"/>
                <w:szCs w:val="21"/>
                <w:vertAlign w:val="superscript"/>
              </w:rPr>
              <w:t>2</w:t>
            </w:r>
            <w:r w:rsidRPr="004B6BC4">
              <w:rPr>
                <w:color w:val="FF0000"/>
                <w:szCs w:val="21"/>
              </w:rPr>
              <w:t>.</w:t>
            </w:r>
            <w:r w:rsidRPr="004B6BC4">
              <w:rPr>
                <w:color w:val="FF0000"/>
                <w:szCs w:val="21"/>
              </w:rPr>
              <w:t>日，</w:t>
            </w:r>
          </w:p>
          <w:p w:rsidR="00D702E5" w:rsidRPr="004B6BC4" w:rsidRDefault="00D702E5" w:rsidP="002F2A2D">
            <w:pPr>
              <w:spacing w:line="300" w:lineRule="exact"/>
              <w:jc w:val="center"/>
              <w:rPr>
                <w:color w:val="FF0000"/>
                <w:szCs w:val="21"/>
              </w:rPr>
            </w:pPr>
            <w:r w:rsidRPr="004B6BC4">
              <w:rPr>
                <w:color w:val="FF0000"/>
                <w:szCs w:val="21"/>
              </w:rPr>
              <w:t>1</w:t>
            </w:r>
            <w:r w:rsidRPr="004B6BC4">
              <w:rPr>
                <w:color w:val="FF0000"/>
                <w:szCs w:val="21"/>
              </w:rPr>
              <w:t>次</w:t>
            </w:r>
            <w:r w:rsidRPr="004B6BC4">
              <w:rPr>
                <w:color w:val="FF0000"/>
                <w:szCs w:val="21"/>
              </w:rPr>
              <w:t>/</w:t>
            </w:r>
            <w:r w:rsidRPr="004B6BC4">
              <w:rPr>
                <w:color w:val="FF0000"/>
                <w:szCs w:val="21"/>
              </w:rPr>
              <w:t>日</w:t>
            </w:r>
          </w:p>
        </w:tc>
        <w:tc>
          <w:tcPr>
            <w:tcW w:w="698" w:type="dxa"/>
            <w:vMerge/>
            <w:vAlign w:val="center"/>
          </w:tcPr>
          <w:p w:rsidR="00D702E5" w:rsidRPr="004B6BC4" w:rsidRDefault="00D702E5" w:rsidP="002F2A2D">
            <w:pPr>
              <w:spacing w:line="300" w:lineRule="exact"/>
              <w:jc w:val="center"/>
              <w:rPr>
                <w:szCs w:val="21"/>
              </w:rPr>
            </w:pPr>
          </w:p>
        </w:tc>
      </w:tr>
      <w:tr w:rsidR="00D702E5" w:rsidRPr="004B6BC4" w:rsidTr="00D702E5">
        <w:trPr>
          <w:trHeight w:val="245"/>
          <w:jc w:val="center"/>
        </w:trPr>
        <w:tc>
          <w:tcPr>
            <w:tcW w:w="352" w:type="dxa"/>
            <w:vAlign w:val="center"/>
          </w:tcPr>
          <w:p w:rsidR="00D702E5" w:rsidRPr="004B6BC4" w:rsidRDefault="00D702E5" w:rsidP="002F2A2D">
            <w:pPr>
              <w:spacing w:line="300" w:lineRule="exact"/>
              <w:jc w:val="center"/>
              <w:rPr>
                <w:szCs w:val="21"/>
              </w:rPr>
            </w:pPr>
            <w:r w:rsidRPr="004B6BC4">
              <w:rPr>
                <w:szCs w:val="21"/>
              </w:rPr>
              <w:t>10</w:t>
            </w:r>
          </w:p>
        </w:tc>
        <w:tc>
          <w:tcPr>
            <w:tcW w:w="1821" w:type="dxa"/>
            <w:vAlign w:val="center"/>
          </w:tcPr>
          <w:p w:rsidR="00D702E5" w:rsidRPr="004B6BC4" w:rsidRDefault="00D702E5" w:rsidP="002F2A2D">
            <w:pPr>
              <w:spacing w:line="300" w:lineRule="exact"/>
              <w:jc w:val="center"/>
              <w:rPr>
                <w:szCs w:val="21"/>
              </w:rPr>
            </w:pPr>
            <w:r w:rsidRPr="004B6BC4">
              <w:rPr>
                <w:szCs w:val="21"/>
              </w:rPr>
              <w:t>地面冲洗及生产</w:t>
            </w:r>
          </w:p>
          <w:p w:rsidR="00D702E5" w:rsidRPr="004B6BC4" w:rsidRDefault="00D702E5" w:rsidP="002F2A2D">
            <w:pPr>
              <w:spacing w:line="300" w:lineRule="exact"/>
              <w:jc w:val="center"/>
              <w:rPr>
                <w:szCs w:val="21"/>
              </w:rPr>
            </w:pPr>
            <w:r w:rsidRPr="004B6BC4">
              <w:rPr>
                <w:szCs w:val="21"/>
              </w:rPr>
              <w:t>防尘用水</w:t>
            </w:r>
          </w:p>
        </w:tc>
        <w:tc>
          <w:tcPr>
            <w:tcW w:w="839" w:type="dxa"/>
            <w:vAlign w:val="center"/>
          </w:tcPr>
          <w:p w:rsidR="00D702E5" w:rsidRPr="004B6BC4" w:rsidRDefault="00D702E5" w:rsidP="002F2A2D">
            <w:pPr>
              <w:spacing w:line="300" w:lineRule="exact"/>
              <w:jc w:val="center"/>
              <w:rPr>
                <w:szCs w:val="21"/>
              </w:rPr>
            </w:pPr>
            <w:r w:rsidRPr="004B6BC4">
              <w:rPr>
                <w:szCs w:val="21"/>
              </w:rPr>
              <w:t>42.5</w:t>
            </w:r>
          </w:p>
        </w:tc>
        <w:tc>
          <w:tcPr>
            <w:tcW w:w="1267" w:type="dxa"/>
            <w:vMerge/>
            <w:shd w:val="clear" w:color="auto" w:fill="auto"/>
            <w:vAlign w:val="center"/>
          </w:tcPr>
          <w:p w:rsidR="00D702E5" w:rsidRPr="004B6BC4" w:rsidRDefault="00D702E5" w:rsidP="002F2A2D">
            <w:pPr>
              <w:spacing w:line="300" w:lineRule="exact"/>
              <w:jc w:val="center"/>
              <w:rPr>
                <w:szCs w:val="21"/>
              </w:rPr>
            </w:pPr>
          </w:p>
        </w:tc>
        <w:tc>
          <w:tcPr>
            <w:tcW w:w="1310" w:type="dxa"/>
            <w:vAlign w:val="center"/>
          </w:tcPr>
          <w:p w:rsidR="00D702E5" w:rsidRPr="004B6BC4" w:rsidRDefault="004B6BC4" w:rsidP="002F2A2D">
            <w:pPr>
              <w:spacing w:line="300" w:lineRule="exact"/>
              <w:jc w:val="center"/>
              <w:rPr>
                <w:color w:val="FF0000"/>
                <w:szCs w:val="21"/>
              </w:rPr>
            </w:pPr>
            <w:r w:rsidRPr="004B6BC4">
              <w:rPr>
                <w:color w:val="FF0000"/>
                <w:szCs w:val="21"/>
              </w:rPr>
              <w:t>5L/m</w:t>
            </w:r>
            <w:r w:rsidRPr="004B6BC4">
              <w:rPr>
                <w:color w:val="FF0000"/>
                <w:szCs w:val="21"/>
                <w:vertAlign w:val="superscript"/>
              </w:rPr>
              <w:t>2</w:t>
            </w:r>
            <w:r w:rsidRPr="004B6BC4">
              <w:rPr>
                <w:color w:val="FF0000"/>
                <w:szCs w:val="21"/>
              </w:rPr>
              <w:t>.d</w:t>
            </w:r>
            <w:r w:rsidRPr="004B6BC4">
              <w:rPr>
                <w:rFonts w:hAnsi="宋体"/>
                <w:color w:val="FF0000"/>
                <w:szCs w:val="21"/>
              </w:rPr>
              <w:t>；</w:t>
            </w:r>
          </w:p>
          <w:p w:rsidR="004B6BC4" w:rsidRPr="004B6BC4" w:rsidRDefault="004B6BC4" w:rsidP="002F2A2D">
            <w:pPr>
              <w:spacing w:line="300" w:lineRule="exact"/>
              <w:jc w:val="center"/>
              <w:rPr>
                <w:color w:val="FF0000"/>
                <w:szCs w:val="21"/>
              </w:rPr>
            </w:pPr>
            <w:r w:rsidRPr="004B6BC4">
              <w:rPr>
                <w:color w:val="FF0000"/>
                <w:szCs w:val="21"/>
              </w:rPr>
              <w:t>7100m</w:t>
            </w:r>
            <w:r w:rsidRPr="004B6BC4">
              <w:rPr>
                <w:color w:val="FF0000"/>
                <w:szCs w:val="21"/>
                <w:vertAlign w:val="superscript"/>
              </w:rPr>
              <w:t>2</w:t>
            </w:r>
            <w:r w:rsidRPr="004B6BC4">
              <w:rPr>
                <w:rFonts w:hAnsi="宋体"/>
                <w:color w:val="FF0000"/>
                <w:szCs w:val="21"/>
              </w:rPr>
              <w:t>（减半）</w:t>
            </w:r>
          </w:p>
        </w:tc>
        <w:tc>
          <w:tcPr>
            <w:tcW w:w="839" w:type="dxa"/>
            <w:vAlign w:val="center"/>
          </w:tcPr>
          <w:p w:rsidR="00D702E5" w:rsidRPr="004B6BC4" w:rsidRDefault="00D702E5" w:rsidP="002F2A2D">
            <w:pPr>
              <w:spacing w:line="300" w:lineRule="exact"/>
              <w:jc w:val="center"/>
              <w:rPr>
                <w:szCs w:val="21"/>
              </w:rPr>
            </w:pPr>
            <w:r w:rsidRPr="004B6BC4">
              <w:rPr>
                <w:szCs w:val="21"/>
              </w:rPr>
              <w:t>85.5</w:t>
            </w:r>
          </w:p>
        </w:tc>
        <w:tc>
          <w:tcPr>
            <w:tcW w:w="1267" w:type="dxa"/>
            <w:shd w:val="clear" w:color="auto" w:fill="auto"/>
            <w:vAlign w:val="center"/>
          </w:tcPr>
          <w:p w:rsidR="00D702E5" w:rsidRPr="004B6BC4" w:rsidRDefault="00D702E5" w:rsidP="002F2A2D">
            <w:pPr>
              <w:spacing w:line="300" w:lineRule="exact"/>
              <w:jc w:val="center"/>
              <w:rPr>
                <w:spacing w:val="-8"/>
                <w:szCs w:val="21"/>
              </w:rPr>
            </w:pPr>
            <w:r w:rsidRPr="004B6BC4">
              <w:rPr>
                <w:spacing w:val="-8"/>
                <w:szCs w:val="21"/>
              </w:rPr>
              <w:t>处理后生活</w:t>
            </w:r>
          </w:p>
          <w:p w:rsidR="00D702E5" w:rsidRPr="004B6BC4" w:rsidRDefault="00D702E5" w:rsidP="002F2A2D">
            <w:pPr>
              <w:spacing w:line="300" w:lineRule="exact"/>
              <w:jc w:val="center"/>
              <w:rPr>
                <w:szCs w:val="21"/>
              </w:rPr>
            </w:pPr>
            <w:r w:rsidRPr="004B6BC4">
              <w:rPr>
                <w:spacing w:val="-8"/>
                <w:szCs w:val="21"/>
              </w:rPr>
              <w:t>污水及矿井水</w:t>
            </w:r>
          </w:p>
        </w:tc>
        <w:tc>
          <w:tcPr>
            <w:tcW w:w="1319" w:type="dxa"/>
            <w:vAlign w:val="center"/>
          </w:tcPr>
          <w:p w:rsidR="004B6BC4" w:rsidRPr="004B6BC4" w:rsidRDefault="004B6BC4" w:rsidP="004B6BC4">
            <w:pPr>
              <w:spacing w:line="300" w:lineRule="exact"/>
              <w:jc w:val="center"/>
              <w:rPr>
                <w:color w:val="FF0000"/>
                <w:szCs w:val="21"/>
              </w:rPr>
            </w:pPr>
            <w:r w:rsidRPr="004B6BC4">
              <w:rPr>
                <w:color w:val="FF0000"/>
                <w:szCs w:val="21"/>
              </w:rPr>
              <w:t>5L/m</w:t>
            </w:r>
            <w:r w:rsidRPr="004B6BC4">
              <w:rPr>
                <w:color w:val="FF0000"/>
                <w:szCs w:val="21"/>
                <w:vertAlign w:val="superscript"/>
              </w:rPr>
              <w:t>2</w:t>
            </w:r>
            <w:r w:rsidRPr="004B6BC4">
              <w:rPr>
                <w:color w:val="FF0000"/>
                <w:szCs w:val="21"/>
              </w:rPr>
              <w:t>.d</w:t>
            </w:r>
            <w:r w:rsidRPr="004B6BC4">
              <w:rPr>
                <w:rFonts w:hAnsi="宋体"/>
                <w:color w:val="FF0000"/>
                <w:szCs w:val="21"/>
              </w:rPr>
              <w:t>；</w:t>
            </w:r>
          </w:p>
          <w:p w:rsidR="00D702E5" w:rsidRPr="004B6BC4" w:rsidRDefault="004B6BC4" w:rsidP="004B6BC4">
            <w:pPr>
              <w:spacing w:line="300" w:lineRule="exact"/>
              <w:jc w:val="center"/>
              <w:rPr>
                <w:color w:val="FF0000"/>
                <w:szCs w:val="21"/>
              </w:rPr>
            </w:pPr>
            <w:r w:rsidRPr="004B6BC4">
              <w:rPr>
                <w:color w:val="FF0000"/>
                <w:szCs w:val="21"/>
              </w:rPr>
              <w:t>7100m</w:t>
            </w:r>
            <w:r w:rsidRPr="004B6BC4">
              <w:rPr>
                <w:color w:val="FF0000"/>
                <w:szCs w:val="21"/>
                <w:vertAlign w:val="superscript"/>
              </w:rPr>
              <w:t>2</w:t>
            </w:r>
          </w:p>
        </w:tc>
        <w:tc>
          <w:tcPr>
            <w:tcW w:w="698" w:type="dxa"/>
            <w:vMerge/>
            <w:vAlign w:val="center"/>
          </w:tcPr>
          <w:p w:rsidR="00D702E5" w:rsidRPr="004B6BC4" w:rsidRDefault="00D702E5" w:rsidP="002F2A2D">
            <w:pPr>
              <w:spacing w:line="300" w:lineRule="exact"/>
              <w:jc w:val="center"/>
              <w:rPr>
                <w:szCs w:val="21"/>
              </w:rPr>
            </w:pPr>
          </w:p>
        </w:tc>
      </w:tr>
      <w:tr w:rsidR="00D702E5" w:rsidRPr="004B6BC4" w:rsidTr="00D702E5">
        <w:trPr>
          <w:trHeight w:val="139"/>
          <w:jc w:val="center"/>
        </w:trPr>
        <w:tc>
          <w:tcPr>
            <w:tcW w:w="352" w:type="dxa"/>
            <w:vAlign w:val="center"/>
          </w:tcPr>
          <w:p w:rsidR="00D702E5" w:rsidRPr="004B6BC4" w:rsidRDefault="00D702E5" w:rsidP="002F2A2D">
            <w:pPr>
              <w:spacing w:line="300" w:lineRule="exact"/>
              <w:jc w:val="center"/>
              <w:rPr>
                <w:szCs w:val="21"/>
              </w:rPr>
            </w:pPr>
            <w:r w:rsidRPr="004B6BC4">
              <w:rPr>
                <w:szCs w:val="21"/>
              </w:rPr>
              <w:t>11</w:t>
            </w:r>
          </w:p>
        </w:tc>
        <w:tc>
          <w:tcPr>
            <w:tcW w:w="1821" w:type="dxa"/>
            <w:vAlign w:val="center"/>
          </w:tcPr>
          <w:p w:rsidR="00D702E5" w:rsidRPr="004B6BC4" w:rsidRDefault="00D702E5" w:rsidP="002F2A2D">
            <w:pPr>
              <w:spacing w:line="300" w:lineRule="exact"/>
              <w:jc w:val="center"/>
              <w:rPr>
                <w:szCs w:val="21"/>
              </w:rPr>
            </w:pPr>
            <w:r w:rsidRPr="004B6BC4">
              <w:rPr>
                <w:szCs w:val="21"/>
              </w:rPr>
              <w:t>黄泥灌浆用水</w:t>
            </w:r>
          </w:p>
        </w:tc>
        <w:tc>
          <w:tcPr>
            <w:tcW w:w="839" w:type="dxa"/>
            <w:vAlign w:val="center"/>
          </w:tcPr>
          <w:p w:rsidR="00D702E5" w:rsidRPr="004B6BC4" w:rsidRDefault="00D702E5" w:rsidP="002F2A2D">
            <w:pPr>
              <w:spacing w:line="300" w:lineRule="exact"/>
              <w:jc w:val="center"/>
              <w:rPr>
                <w:szCs w:val="21"/>
              </w:rPr>
            </w:pPr>
            <w:r w:rsidRPr="004B6BC4">
              <w:rPr>
                <w:szCs w:val="21"/>
              </w:rPr>
              <w:t>173</w:t>
            </w:r>
          </w:p>
        </w:tc>
        <w:tc>
          <w:tcPr>
            <w:tcW w:w="1267" w:type="dxa"/>
            <w:shd w:val="clear" w:color="auto" w:fill="auto"/>
            <w:vAlign w:val="center"/>
          </w:tcPr>
          <w:p w:rsidR="00D702E5" w:rsidRPr="004B6BC4" w:rsidRDefault="00D702E5" w:rsidP="002F2A2D">
            <w:pPr>
              <w:spacing w:line="300" w:lineRule="exact"/>
              <w:jc w:val="center"/>
              <w:rPr>
                <w:spacing w:val="-8"/>
                <w:szCs w:val="21"/>
              </w:rPr>
            </w:pPr>
            <w:r w:rsidRPr="004B6BC4">
              <w:rPr>
                <w:spacing w:val="-8"/>
                <w:szCs w:val="21"/>
              </w:rPr>
              <w:t>处理后生活</w:t>
            </w:r>
          </w:p>
          <w:p w:rsidR="00D702E5" w:rsidRPr="004B6BC4" w:rsidRDefault="00D702E5" w:rsidP="002F2A2D">
            <w:pPr>
              <w:spacing w:line="300" w:lineRule="exact"/>
              <w:jc w:val="center"/>
              <w:rPr>
                <w:spacing w:val="-8"/>
                <w:szCs w:val="21"/>
              </w:rPr>
            </w:pPr>
            <w:r w:rsidRPr="004B6BC4">
              <w:rPr>
                <w:spacing w:val="-8"/>
                <w:szCs w:val="21"/>
              </w:rPr>
              <w:t>污水及矿井水</w:t>
            </w:r>
          </w:p>
        </w:tc>
        <w:tc>
          <w:tcPr>
            <w:tcW w:w="1310" w:type="dxa"/>
            <w:vAlign w:val="center"/>
          </w:tcPr>
          <w:p w:rsidR="00D702E5" w:rsidRPr="004B6BC4" w:rsidRDefault="004B6BC4" w:rsidP="002F2A2D">
            <w:pPr>
              <w:spacing w:line="300" w:lineRule="exact"/>
              <w:jc w:val="center"/>
              <w:rPr>
                <w:color w:val="FF0000"/>
                <w:szCs w:val="21"/>
              </w:rPr>
            </w:pPr>
            <w:r w:rsidRPr="004B6BC4">
              <w:rPr>
                <w:color w:val="FF0000"/>
                <w:szCs w:val="21"/>
              </w:rPr>
              <w:t>设计工艺要求</w:t>
            </w:r>
          </w:p>
        </w:tc>
        <w:tc>
          <w:tcPr>
            <w:tcW w:w="839" w:type="dxa"/>
            <w:vAlign w:val="center"/>
          </w:tcPr>
          <w:p w:rsidR="00D702E5" w:rsidRPr="004B6BC4" w:rsidRDefault="00D702E5" w:rsidP="002F2A2D">
            <w:pPr>
              <w:spacing w:line="300" w:lineRule="exact"/>
              <w:jc w:val="center"/>
              <w:rPr>
                <w:szCs w:val="21"/>
              </w:rPr>
            </w:pPr>
            <w:r w:rsidRPr="004B6BC4">
              <w:rPr>
                <w:szCs w:val="21"/>
              </w:rPr>
              <w:t>173</w:t>
            </w:r>
          </w:p>
        </w:tc>
        <w:tc>
          <w:tcPr>
            <w:tcW w:w="1267" w:type="dxa"/>
            <w:vMerge w:val="restart"/>
            <w:shd w:val="clear" w:color="auto" w:fill="auto"/>
            <w:vAlign w:val="center"/>
          </w:tcPr>
          <w:p w:rsidR="00D702E5" w:rsidRPr="004B6BC4" w:rsidRDefault="00D702E5" w:rsidP="002F2A2D">
            <w:pPr>
              <w:spacing w:line="300" w:lineRule="exact"/>
              <w:jc w:val="center"/>
              <w:rPr>
                <w:szCs w:val="21"/>
              </w:rPr>
            </w:pPr>
            <w:r w:rsidRPr="004B6BC4">
              <w:rPr>
                <w:szCs w:val="21"/>
              </w:rPr>
              <w:t>处理后</w:t>
            </w:r>
          </w:p>
          <w:p w:rsidR="00D702E5" w:rsidRPr="004B6BC4" w:rsidRDefault="00D702E5" w:rsidP="002F2A2D">
            <w:pPr>
              <w:spacing w:line="300" w:lineRule="exact"/>
              <w:jc w:val="center"/>
              <w:rPr>
                <w:szCs w:val="21"/>
              </w:rPr>
            </w:pPr>
            <w:r w:rsidRPr="004B6BC4">
              <w:rPr>
                <w:szCs w:val="21"/>
              </w:rPr>
              <w:t>矿井水</w:t>
            </w:r>
          </w:p>
        </w:tc>
        <w:tc>
          <w:tcPr>
            <w:tcW w:w="1319" w:type="dxa"/>
            <w:vAlign w:val="center"/>
          </w:tcPr>
          <w:p w:rsidR="00D702E5" w:rsidRPr="004B6BC4" w:rsidRDefault="004B6BC4" w:rsidP="002F2A2D">
            <w:pPr>
              <w:spacing w:line="300" w:lineRule="exact"/>
              <w:jc w:val="center"/>
              <w:rPr>
                <w:color w:val="FF0000"/>
                <w:szCs w:val="21"/>
              </w:rPr>
            </w:pPr>
            <w:r w:rsidRPr="004B6BC4">
              <w:rPr>
                <w:color w:val="FF0000"/>
                <w:szCs w:val="21"/>
              </w:rPr>
              <w:t>设计工艺要求</w:t>
            </w:r>
          </w:p>
        </w:tc>
        <w:tc>
          <w:tcPr>
            <w:tcW w:w="698" w:type="dxa"/>
            <w:vMerge/>
            <w:vAlign w:val="center"/>
          </w:tcPr>
          <w:p w:rsidR="00D702E5" w:rsidRPr="004B6BC4" w:rsidRDefault="00D702E5" w:rsidP="002F2A2D">
            <w:pPr>
              <w:spacing w:line="300" w:lineRule="exact"/>
              <w:jc w:val="center"/>
              <w:rPr>
                <w:szCs w:val="21"/>
              </w:rPr>
            </w:pPr>
          </w:p>
        </w:tc>
      </w:tr>
      <w:tr w:rsidR="00D702E5" w:rsidRPr="004B6BC4" w:rsidTr="00D702E5">
        <w:trPr>
          <w:trHeight w:val="280"/>
          <w:jc w:val="center"/>
        </w:trPr>
        <w:tc>
          <w:tcPr>
            <w:tcW w:w="352" w:type="dxa"/>
            <w:vAlign w:val="center"/>
          </w:tcPr>
          <w:p w:rsidR="00D702E5" w:rsidRPr="004B6BC4" w:rsidRDefault="00D702E5" w:rsidP="002F2A2D">
            <w:pPr>
              <w:spacing w:line="300" w:lineRule="exact"/>
              <w:jc w:val="center"/>
              <w:rPr>
                <w:szCs w:val="21"/>
              </w:rPr>
            </w:pPr>
            <w:r w:rsidRPr="004B6BC4">
              <w:rPr>
                <w:szCs w:val="21"/>
              </w:rPr>
              <w:t>12</w:t>
            </w:r>
          </w:p>
        </w:tc>
        <w:tc>
          <w:tcPr>
            <w:tcW w:w="1821" w:type="dxa"/>
            <w:vAlign w:val="center"/>
          </w:tcPr>
          <w:p w:rsidR="00D702E5" w:rsidRPr="004B6BC4" w:rsidRDefault="00D702E5" w:rsidP="002F2A2D">
            <w:pPr>
              <w:spacing w:line="300" w:lineRule="exact"/>
              <w:jc w:val="center"/>
              <w:rPr>
                <w:szCs w:val="21"/>
              </w:rPr>
            </w:pPr>
            <w:r w:rsidRPr="004B6BC4">
              <w:rPr>
                <w:szCs w:val="21"/>
              </w:rPr>
              <w:t>井下洒水</w:t>
            </w:r>
          </w:p>
        </w:tc>
        <w:tc>
          <w:tcPr>
            <w:tcW w:w="839" w:type="dxa"/>
            <w:vAlign w:val="center"/>
          </w:tcPr>
          <w:p w:rsidR="00D702E5" w:rsidRPr="004B6BC4" w:rsidRDefault="00D702E5" w:rsidP="002F2A2D">
            <w:pPr>
              <w:spacing w:line="300" w:lineRule="exact"/>
              <w:jc w:val="center"/>
              <w:rPr>
                <w:szCs w:val="21"/>
              </w:rPr>
            </w:pPr>
            <w:r w:rsidRPr="004B6BC4">
              <w:rPr>
                <w:szCs w:val="21"/>
              </w:rPr>
              <w:t>1107.7</w:t>
            </w:r>
          </w:p>
        </w:tc>
        <w:tc>
          <w:tcPr>
            <w:tcW w:w="1267" w:type="dxa"/>
            <w:shd w:val="clear" w:color="auto" w:fill="auto"/>
            <w:vAlign w:val="center"/>
          </w:tcPr>
          <w:p w:rsidR="00D702E5" w:rsidRPr="004B6BC4" w:rsidRDefault="00D702E5" w:rsidP="002F2A2D">
            <w:pPr>
              <w:spacing w:line="300" w:lineRule="exact"/>
              <w:jc w:val="center"/>
              <w:rPr>
                <w:szCs w:val="21"/>
              </w:rPr>
            </w:pPr>
            <w:r w:rsidRPr="004B6BC4">
              <w:rPr>
                <w:szCs w:val="21"/>
              </w:rPr>
              <w:t>处理后</w:t>
            </w:r>
          </w:p>
          <w:p w:rsidR="00D702E5" w:rsidRPr="004B6BC4" w:rsidRDefault="00D702E5" w:rsidP="002F2A2D">
            <w:pPr>
              <w:spacing w:line="300" w:lineRule="exact"/>
              <w:jc w:val="center"/>
              <w:rPr>
                <w:szCs w:val="21"/>
              </w:rPr>
            </w:pPr>
            <w:r w:rsidRPr="004B6BC4">
              <w:rPr>
                <w:szCs w:val="21"/>
              </w:rPr>
              <w:t>矿井水</w:t>
            </w:r>
          </w:p>
        </w:tc>
        <w:tc>
          <w:tcPr>
            <w:tcW w:w="1310" w:type="dxa"/>
            <w:vAlign w:val="center"/>
          </w:tcPr>
          <w:p w:rsidR="00D702E5" w:rsidRPr="004B6BC4" w:rsidRDefault="004B6BC4" w:rsidP="002F2A2D">
            <w:pPr>
              <w:spacing w:line="300" w:lineRule="exact"/>
              <w:jc w:val="center"/>
              <w:rPr>
                <w:color w:val="FF0000"/>
                <w:szCs w:val="21"/>
              </w:rPr>
            </w:pPr>
            <w:r w:rsidRPr="004B6BC4">
              <w:rPr>
                <w:color w:val="FF0000"/>
                <w:szCs w:val="21"/>
              </w:rPr>
              <w:t>设计工艺要求</w:t>
            </w:r>
          </w:p>
        </w:tc>
        <w:tc>
          <w:tcPr>
            <w:tcW w:w="839" w:type="dxa"/>
            <w:vAlign w:val="center"/>
          </w:tcPr>
          <w:p w:rsidR="00D702E5" w:rsidRPr="004B6BC4" w:rsidRDefault="00D702E5" w:rsidP="002F2A2D">
            <w:pPr>
              <w:spacing w:line="300" w:lineRule="exact"/>
              <w:jc w:val="center"/>
              <w:rPr>
                <w:szCs w:val="21"/>
              </w:rPr>
            </w:pPr>
            <w:r w:rsidRPr="004B6BC4">
              <w:rPr>
                <w:szCs w:val="21"/>
              </w:rPr>
              <w:t>1107.7</w:t>
            </w:r>
          </w:p>
        </w:tc>
        <w:tc>
          <w:tcPr>
            <w:tcW w:w="1267" w:type="dxa"/>
            <w:vMerge/>
            <w:shd w:val="clear" w:color="auto" w:fill="auto"/>
            <w:vAlign w:val="center"/>
          </w:tcPr>
          <w:p w:rsidR="00D702E5" w:rsidRPr="004B6BC4" w:rsidRDefault="00D702E5" w:rsidP="002F2A2D">
            <w:pPr>
              <w:spacing w:line="300" w:lineRule="exact"/>
              <w:jc w:val="center"/>
              <w:rPr>
                <w:szCs w:val="21"/>
              </w:rPr>
            </w:pPr>
          </w:p>
        </w:tc>
        <w:tc>
          <w:tcPr>
            <w:tcW w:w="1319" w:type="dxa"/>
            <w:vAlign w:val="center"/>
          </w:tcPr>
          <w:p w:rsidR="00D702E5" w:rsidRPr="004B6BC4" w:rsidRDefault="004B6BC4" w:rsidP="002F2A2D">
            <w:pPr>
              <w:spacing w:line="300" w:lineRule="exact"/>
              <w:jc w:val="center"/>
              <w:rPr>
                <w:color w:val="FF0000"/>
                <w:szCs w:val="21"/>
              </w:rPr>
            </w:pPr>
            <w:r w:rsidRPr="004B6BC4">
              <w:rPr>
                <w:color w:val="FF0000"/>
                <w:szCs w:val="21"/>
              </w:rPr>
              <w:t>设计工艺要求</w:t>
            </w:r>
          </w:p>
        </w:tc>
        <w:tc>
          <w:tcPr>
            <w:tcW w:w="698" w:type="dxa"/>
            <w:vMerge/>
            <w:vAlign w:val="center"/>
          </w:tcPr>
          <w:p w:rsidR="00D702E5" w:rsidRPr="004B6BC4" w:rsidRDefault="00D702E5" w:rsidP="002F2A2D">
            <w:pPr>
              <w:spacing w:line="300" w:lineRule="exact"/>
              <w:jc w:val="center"/>
              <w:rPr>
                <w:szCs w:val="21"/>
              </w:rPr>
            </w:pPr>
          </w:p>
        </w:tc>
      </w:tr>
      <w:tr w:rsidR="00D702E5" w:rsidRPr="004B6BC4" w:rsidTr="00D702E5">
        <w:trPr>
          <w:trHeight w:val="260"/>
          <w:jc w:val="center"/>
        </w:trPr>
        <w:tc>
          <w:tcPr>
            <w:tcW w:w="2173" w:type="dxa"/>
            <w:gridSpan w:val="2"/>
            <w:vAlign w:val="center"/>
          </w:tcPr>
          <w:p w:rsidR="00D702E5" w:rsidRPr="004B6BC4" w:rsidRDefault="00D702E5" w:rsidP="002F2A2D">
            <w:pPr>
              <w:spacing w:line="300" w:lineRule="exact"/>
              <w:jc w:val="center"/>
              <w:rPr>
                <w:b/>
                <w:szCs w:val="21"/>
              </w:rPr>
            </w:pPr>
            <w:r w:rsidRPr="004B6BC4">
              <w:rPr>
                <w:b/>
                <w:szCs w:val="21"/>
              </w:rPr>
              <w:t>合计</w:t>
            </w:r>
          </w:p>
        </w:tc>
        <w:tc>
          <w:tcPr>
            <w:tcW w:w="839" w:type="dxa"/>
            <w:vAlign w:val="center"/>
          </w:tcPr>
          <w:p w:rsidR="00D702E5" w:rsidRPr="004B6BC4" w:rsidRDefault="000F32AE" w:rsidP="002F2A2D">
            <w:pPr>
              <w:spacing w:line="300" w:lineRule="exact"/>
              <w:jc w:val="center"/>
              <w:rPr>
                <w:b/>
                <w:szCs w:val="21"/>
              </w:rPr>
            </w:pPr>
            <w:r w:rsidRPr="004B6BC4">
              <w:rPr>
                <w:b/>
                <w:szCs w:val="21"/>
              </w:rPr>
              <w:fldChar w:fldCharType="begin"/>
            </w:r>
            <w:r w:rsidR="00D702E5" w:rsidRPr="004B6BC4">
              <w:rPr>
                <w:b/>
                <w:szCs w:val="21"/>
              </w:rPr>
              <w:instrText xml:space="preserve"> =SUM(ABOVE) </w:instrText>
            </w:r>
            <w:r w:rsidRPr="004B6BC4">
              <w:rPr>
                <w:b/>
                <w:szCs w:val="21"/>
              </w:rPr>
              <w:fldChar w:fldCharType="separate"/>
            </w:r>
            <w:r w:rsidR="00D702E5" w:rsidRPr="004B6BC4">
              <w:rPr>
                <w:b/>
                <w:szCs w:val="21"/>
              </w:rPr>
              <w:t>2196.8</w:t>
            </w:r>
            <w:r w:rsidRPr="004B6BC4">
              <w:rPr>
                <w:b/>
                <w:szCs w:val="21"/>
              </w:rPr>
              <w:fldChar w:fldCharType="end"/>
            </w:r>
          </w:p>
        </w:tc>
        <w:tc>
          <w:tcPr>
            <w:tcW w:w="1267" w:type="dxa"/>
            <w:vAlign w:val="center"/>
          </w:tcPr>
          <w:p w:rsidR="00D702E5" w:rsidRPr="004B6BC4" w:rsidRDefault="00D702E5" w:rsidP="002F2A2D">
            <w:pPr>
              <w:spacing w:line="300" w:lineRule="exact"/>
              <w:jc w:val="center"/>
              <w:rPr>
                <w:szCs w:val="21"/>
              </w:rPr>
            </w:pPr>
          </w:p>
        </w:tc>
        <w:tc>
          <w:tcPr>
            <w:tcW w:w="1310" w:type="dxa"/>
            <w:vAlign w:val="center"/>
          </w:tcPr>
          <w:p w:rsidR="00D702E5" w:rsidRPr="004B6BC4" w:rsidRDefault="00D702E5" w:rsidP="002F2A2D">
            <w:pPr>
              <w:spacing w:line="300" w:lineRule="exact"/>
              <w:jc w:val="center"/>
              <w:rPr>
                <w:b/>
                <w:color w:val="FF0000"/>
                <w:szCs w:val="21"/>
              </w:rPr>
            </w:pPr>
          </w:p>
        </w:tc>
        <w:tc>
          <w:tcPr>
            <w:tcW w:w="839" w:type="dxa"/>
            <w:vAlign w:val="center"/>
          </w:tcPr>
          <w:p w:rsidR="00D702E5" w:rsidRPr="004B6BC4" w:rsidRDefault="000F32AE" w:rsidP="002F2A2D">
            <w:pPr>
              <w:spacing w:line="300" w:lineRule="exact"/>
              <w:jc w:val="center"/>
              <w:rPr>
                <w:b/>
                <w:szCs w:val="21"/>
              </w:rPr>
            </w:pPr>
            <w:r w:rsidRPr="004B6BC4">
              <w:rPr>
                <w:b/>
                <w:szCs w:val="21"/>
              </w:rPr>
              <w:fldChar w:fldCharType="begin"/>
            </w:r>
            <w:r w:rsidR="00D702E5" w:rsidRPr="004B6BC4">
              <w:rPr>
                <w:b/>
                <w:szCs w:val="21"/>
              </w:rPr>
              <w:instrText xml:space="preserve"> =SUM(ABOVE) </w:instrText>
            </w:r>
            <w:r w:rsidRPr="004B6BC4">
              <w:rPr>
                <w:b/>
                <w:szCs w:val="21"/>
              </w:rPr>
              <w:fldChar w:fldCharType="separate"/>
            </w:r>
            <w:r w:rsidR="00D702E5" w:rsidRPr="004B6BC4">
              <w:rPr>
                <w:b/>
                <w:szCs w:val="21"/>
              </w:rPr>
              <w:t>1996.4</w:t>
            </w:r>
            <w:r w:rsidRPr="004B6BC4">
              <w:rPr>
                <w:b/>
                <w:szCs w:val="21"/>
              </w:rPr>
              <w:fldChar w:fldCharType="end"/>
            </w:r>
          </w:p>
        </w:tc>
        <w:tc>
          <w:tcPr>
            <w:tcW w:w="1267" w:type="dxa"/>
            <w:vAlign w:val="center"/>
          </w:tcPr>
          <w:p w:rsidR="00D702E5" w:rsidRPr="004B6BC4" w:rsidRDefault="00D702E5" w:rsidP="002F2A2D">
            <w:pPr>
              <w:spacing w:line="300" w:lineRule="exact"/>
              <w:jc w:val="center"/>
              <w:rPr>
                <w:b/>
                <w:szCs w:val="21"/>
              </w:rPr>
            </w:pPr>
          </w:p>
        </w:tc>
        <w:tc>
          <w:tcPr>
            <w:tcW w:w="1319" w:type="dxa"/>
            <w:vAlign w:val="center"/>
          </w:tcPr>
          <w:p w:rsidR="00D702E5" w:rsidRPr="004B6BC4" w:rsidRDefault="00D702E5" w:rsidP="002F2A2D">
            <w:pPr>
              <w:spacing w:line="300" w:lineRule="exact"/>
              <w:jc w:val="center"/>
              <w:rPr>
                <w:color w:val="FF0000"/>
                <w:szCs w:val="21"/>
              </w:rPr>
            </w:pPr>
          </w:p>
        </w:tc>
        <w:tc>
          <w:tcPr>
            <w:tcW w:w="698" w:type="dxa"/>
            <w:vMerge/>
            <w:vAlign w:val="center"/>
          </w:tcPr>
          <w:p w:rsidR="00D702E5" w:rsidRPr="004B6BC4" w:rsidRDefault="00D702E5" w:rsidP="002F2A2D">
            <w:pPr>
              <w:spacing w:line="300" w:lineRule="exact"/>
              <w:jc w:val="center"/>
              <w:rPr>
                <w:szCs w:val="21"/>
              </w:rPr>
            </w:pPr>
          </w:p>
        </w:tc>
      </w:tr>
    </w:tbl>
    <w:p w:rsidR="00C223F5" w:rsidRPr="00925B84" w:rsidRDefault="005860D5">
      <w:pPr>
        <w:pStyle w:val="aff1"/>
        <w:tabs>
          <w:tab w:val="clear" w:pos="5781"/>
        </w:tabs>
        <w:spacing w:line="360" w:lineRule="auto"/>
        <w:ind w:left="0" w:firstLineChars="200" w:firstLine="480"/>
        <w:rPr>
          <w:szCs w:val="24"/>
        </w:rPr>
      </w:pPr>
      <w:r w:rsidRPr="00925B84">
        <w:rPr>
          <w:szCs w:val="24"/>
        </w:rPr>
        <w:lastRenderedPageBreak/>
        <w:t>（</w:t>
      </w:r>
      <w:r w:rsidRPr="00925B84">
        <w:rPr>
          <w:rFonts w:hint="eastAsia"/>
          <w:szCs w:val="24"/>
        </w:rPr>
        <w:t>二</w:t>
      </w:r>
      <w:r w:rsidRPr="00925B84">
        <w:rPr>
          <w:szCs w:val="24"/>
        </w:rPr>
        <w:t>）排水</w:t>
      </w:r>
      <w:r w:rsidRPr="00925B84">
        <w:rPr>
          <w:rFonts w:hint="eastAsia"/>
          <w:szCs w:val="24"/>
        </w:rPr>
        <w:t>及污水处理系统</w:t>
      </w:r>
    </w:p>
    <w:p w:rsidR="00C223F5" w:rsidRPr="00925B84" w:rsidRDefault="005860D5">
      <w:pPr>
        <w:pStyle w:val="aff1"/>
        <w:tabs>
          <w:tab w:val="clear" w:pos="5781"/>
        </w:tabs>
        <w:spacing w:line="360" w:lineRule="auto"/>
        <w:ind w:left="0" w:firstLineChars="200" w:firstLine="480"/>
        <w:rPr>
          <w:szCs w:val="24"/>
        </w:rPr>
      </w:pPr>
      <w:r w:rsidRPr="00925B84">
        <w:rPr>
          <w:rFonts w:hint="eastAsia"/>
          <w:szCs w:val="24"/>
        </w:rPr>
        <w:t>A</w:t>
      </w:r>
      <w:r w:rsidRPr="00925B84">
        <w:rPr>
          <w:rFonts w:hint="eastAsia"/>
          <w:szCs w:val="24"/>
        </w:rPr>
        <w:t>、井下排水</w:t>
      </w:r>
    </w:p>
    <w:p w:rsidR="00C223F5" w:rsidRDefault="005860D5">
      <w:pPr>
        <w:pStyle w:val="aff1"/>
        <w:tabs>
          <w:tab w:val="clear" w:pos="5781"/>
        </w:tabs>
        <w:spacing w:line="360" w:lineRule="auto"/>
        <w:ind w:left="0" w:firstLineChars="200" w:firstLine="480"/>
        <w:rPr>
          <w:szCs w:val="24"/>
        </w:rPr>
      </w:pPr>
      <w:r w:rsidRPr="004B6BC4">
        <w:rPr>
          <w:rFonts w:hint="eastAsia"/>
          <w:color w:val="FF0000"/>
          <w:szCs w:val="24"/>
        </w:rPr>
        <w:t>根据</w:t>
      </w:r>
      <w:r w:rsidR="00E134B5">
        <w:rPr>
          <w:rFonts w:hint="eastAsia"/>
          <w:color w:val="FF0000"/>
          <w:szCs w:val="24"/>
        </w:rPr>
        <w:t>储量核实</w:t>
      </w:r>
      <w:r w:rsidR="004B6BC4" w:rsidRPr="004B6BC4">
        <w:rPr>
          <w:rFonts w:hint="eastAsia"/>
          <w:color w:val="FF0000"/>
          <w:szCs w:val="24"/>
        </w:rPr>
        <w:t>报告及</w:t>
      </w:r>
      <w:r w:rsidRPr="004B6BC4">
        <w:rPr>
          <w:rFonts w:hint="eastAsia"/>
          <w:color w:val="FF0000"/>
          <w:szCs w:val="24"/>
        </w:rPr>
        <w:t>设计报告</w:t>
      </w:r>
      <w:r>
        <w:rPr>
          <w:rFonts w:hint="eastAsia"/>
          <w:szCs w:val="24"/>
        </w:rPr>
        <w:t>，考虑黄泥灌浆析出水，矿井正常涌水量为</w:t>
      </w:r>
      <w:r>
        <w:rPr>
          <w:rFonts w:hint="eastAsia"/>
          <w:szCs w:val="24"/>
        </w:rPr>
        <w:t>80m</w:t>
      </w:r>
      <w:r>
        <w:rPr>
          <w:rFonts w:hint="eastAsia"/>
          <w:szCs w:val="24"/>
          <w:vertAlign w:val="superscript"/>
        </w:rPr>
        <w:t>3</w:t>
      </w:r>
      <w:r>
        <w:rPr>
          <w:rFonts w:hint="eastAsia"/>
          <w:szCs w:val="24"/>
        </w:rPr>
        <w:t>/h</w:t>
      </w:r>
      <w:r>
        <w:rPr>
          <w:rFonts w:hint="eastAsia"/>
          <w:szCs w:val="24"/>
        </w:rPr>
        <w:t>，最大涌水量为</w:t>
      </w:r>
      <w:r>
        <w:rPr>
          <w:rFonts w:hint="eastAsia"/>
          <w:szCs w:val="24"/>
        </w:rPr>
        <w:t>100 m</w:t>
      </w:r>
      <w:r>
        <w:rPr>
          <w:rFonts w:hint="eastAsia"/>
          <w:szCs w:val="24"/>
          <w:vertAlign w:val="superscript"/>
        </w:rPr>
        <w:t>3</w:t>
      </w:r>
      <w:r>
        <w:rPr>
          <w:rFonts w:hint="eastAsia"/>
          <w:szCs w:val="24"/>
        </w:rPr>
        <w:t>/h</w:t>
      </w:r>
      <w:r>
        <w:rPr>
          <w:rFonts w:hint="eastAsia"/>
          <w:szCs w:val="24"/>
        </w:rPr>
        <w:t>。井下排水经排水泵排至矿井水处理站，经处理达标后部分回用于井下洒水、黄泥灌浆补充水及地面</w:t>
      </w:r>
      <w:r w:rsidRPr="00C807E8">
        <w:rPr>
          <w:rFonts w:hint="eastAsia"/>
          <w:color w:val="FF0000"/>
          <w:szCs w:val="24"/>
        </w:rPr>
        <w:t>生产用水</w:t>
      </w:r>
      <w:r>
        <w:rPr>
          <w:rFonts w:hint="eastAsia"/>
          <w:szCs w:val="24"/>
        </w:rPr>
        <w:t>，其余达标排至蚂蚁河。整合矿井新建规模为</w:t>
      </w:r>
      <w:r>
        <w:rPr>
          <w:rFonts w:hint="eastAsia"/>
          <w:szCs w:val="24"/>
        </w:rPr>
        <w:t>2400m</w:t>
      </w:r>
      <w:r>
        <w:rPr>
          <w:rFonts w:hint="eastAsia"/>
          <w:szCs w:val="24"/>
          <w:vertAlign w:val="superscript"/>
        </w:rPr>
        <w:t>3</w:t>
      </w:r>
      <w:r>
        <w:rPr>
          <w:rFonts w:hint="eastAsia"/>
          <w:szCs w:val="24"/>
        </w:rPr>
        <w:t>/d</w:t>
      </w:r>
      <w:r>
        <w:rPr>
          <w:rFonts w:hint="eastAsia"/>
          <w:szCs w:val="24"/>
        </w:rPr>
        <w:t>的矿井水处理站，采用混凝沉淀、气浮、过滤消毒处理工艺。</w:t>
      </w:r>
    </w:p>
    <w:p w:rsidR="00C223F5" w:rsidRDefault="005860D5">
      <w:pPr>
        <w:pStyle w:val="aff1"/>
        <w:tabs>
          <w:tab w:val="clear" w:pos="5781"/>
        </w:tabs>
        <w:spacing w:line="360" w:lineRule="auto"/>
        <w:ind w:left="0" w:firstLineChars="200" w:firstLine="480"/>
        <w:rPr>
          <w:szCs w:val="24"/>
        </w:rPr>
      </w:pPr>
      <w:r>
        <w:rPr>
          <w:rFonts w:hint="eastAsia"/>
          <w:szCs w:val="24"/>
        </w:rPr>
        <w:t>B</w:t>
      </w:r>
      <w:r>
        <w:rPr>
          <w:rFonts w:hint="eastAsia"/>
          <w:szCs w:val="24"/>
        </w:rPr>
        <w:t>、工业场地生活、生产废水</w:t>
      </w:r>
    </w:p>
    <w:p w:rsidR="00C223F5" w:rsidRDefault="005860D5">
      <w:pPr>
        <w:pStyle w:val="aff1"/>
        <w:tabs>
          <w:tab w:val="clear" w:pos="5781"/>
        </w:tabs>
        <w:spacing w:line="360" w:lineRule="auto"/>
        <w:ind w:left="0" w:firstLineChars="200" w:firstLine="480"/>
        <w:rPr>
          <w:rFonts w:hAnsi="宋体"/>
          <w:szCs w:val="24"/>
        </w:rPr>
      </w:pPr>
      <w:r>
        <w:rPr>
          <w:rFonts w:hint="eastAsia"/>
          <w:szCs w:val="24"/>
        </w:rPr>
        <w:t>工业场地地面生活、生产废水最大</w:t>
      </w:r>
      <w:r>
        <w:rPr>
          <w:rFonts w:hint="eastAsia"/>
        </w:rPr>
        <w:t>产生量为</w:t>
      </w:r>
      <w:r>
        <w:rPr>
          <w:rFonts w:hint="eastAsia"/>
        </w:rPr>
        <w:t>350.8</w:t>
      </w:r>
      <w:r>
        <w:t>m</w:t>
      </w:r>
      <w:r>
        <w:rPr>
          <w:vertAlign w:val="superscript"/>
        </w:rPr>
        <w:t>3</w:t>
      </w:r>
      <w:r>
        <w:t>/d</w:t>
      </w:r>
      <w:r>
        <w:rPr>
          <w:rFonts w:hint="eastAsia"/>
        </w:rPr>
        <w:t>，经污水管网汇集后送</w:t>
      </w:r>
      <w:r>
        <w:rPr>
          <w:rFonts w:hint="eastAsia"/>
          <w:szCs w:val="24"/>
        </w:rPr>
        <w:t>生活污水</w:t>
      </w:r>
      <w:r>
        <w:rPr>
          <w:rFonts w:hint="eastAsia"/>
        </w:rPr>
        <w:t>处理站。地面污废水经处理后全部回用于选煤厂补充水、绿化洒水及地面降尘洒水等。</w:t>
      </w:r>
      <w:r>
        <w:rPr>
          <w:rFonts w:hint="eastAsia"/>
          <w:szCs w:val="24"/>
        </w:rPr>
        <w:t>整合矿井新建规模为</w:t>
      </w:r>
      <w:r>
        <w:rPr>
          <w:rFonts w:hint="eastAsia"/>
          <w:szCs w:val="24"/>
        </w:rPr>
        <w:t>480m</w:t>
      </w:r>
      <w:r>
        <w:rPr>
          <w:rFonts w:hint="eastAsia"/>
          <w:szCs w:val="24"/>
          <w:vertAlign w:val="superscript"/>
        </w:rPr>
        <w:t>3</w:t>
      </w:r>
      <w:r>
        <w:rPr>
          <w:rFonts w:hint="eastAsia"/>
          <w:szCs w:val="24"/>
        </w:rPr>
        <w:t>/d</w:t>
      </w:r>
      <w:r>
        <w:rPr>
          <w:rFonts w:hint="eastAsia"/>
          <w:szCs w:val="24"/>
        </w:rPr>
        <w:t>的生活污水处理站，采用</w:t>
      </w:r>
      <w:r>
        <w:rPr>
          <w:lang w:val="zh-CN"/>
        </w:rPr>
        <w:t>A</w:t>
      </w:r>
      <w:r>
        <w:rPr>
          <w:rFonts w:hint="eastAsia"/>
          <w:vertAlign w:val="superscript"/>
          <w:lang w:val="zh-CN"/>
        </w:rPr>
        <w:t>2</w:t>
      </w:r>
      <w:r>
        <w:rPr>
          <w:rFonts w:hint="eastAsia"/>
          <w:lang w:val="zh-CN"/>
        </w:rPr>
        <w:t>/</w:t>
      </w:r>
      <w:r>
        <w:rPr>
          <w:lang w:val="zh-CN"/>
        </w:rPr>
        <w:t>O</w:t>
      </w:r>
      <w:r>
        <w:rPr>
          <w:rFonts w:hint="eastAsia"/>
          <w:szCs w:val="24"/>
        </w:rPr>
        <w:t>二级生化</w:t>
      </w:r>
      <w:r>
        <w:t>加深度处理</w:t>
      </w:r>
      <w:r>
        <w:rPr>
          <w:rFonts w:hint="eastAsia"/>
          <w:szCs w:val="24"/>
        </w:rPr>
        <w:t>工艺。</w:t>
      </w:r>
    </w:p>
    <w:p w:rsidR="00C223F5" w:rsidRDefault="005860D5">
      <w:pPr>
        <w:spacing w:line="360" w:lineRule="auto"/>
        <w:ind w:firstLineChars="200" w:firstLine="480"/>
        <w:rPr>
          <w:rFonts w:hAnsi="宋体"/>
          <w:sz w:val="24"/>
        </w:rPr>
      </w:pPr>
      <w:r>
        <w:rPr>
          <w:rFonts w:hAnsi="宋体"/>
          <w:sz w:val="24"/>
        </w:rPr>
        <w:t>（</w:t>
      </w:r>
      <w:r>
        <w:rPr>
          <w:rFonts w:hAnsi="宋体" w:hint="eastAsia"/>
          <w:sz w:val="24"/>
        </w:rPr>
        <w:t>三</w:t>
      </w:r>
      <w:r>
        <w:rPr>
          <w:rFonts w:hAnsi="宋体"/>
          <w:sz w:val="24"/>
        </w:rPr>
        <w:t>）雨水收集及处理</w:t>
      </w:r>
    </w:p>
    <w:p w:rsidR="00C223F5" w:rsidRPr="00925B84" w:rsidRDefault="005860D5">
      <w:pPr>
        <w:pStyle w:val="aff1"/>
        <w:tabs>
          <w:tab w:val="clear" w:pos="5781"/>
        </w:tabs>
        <w:spacing w:line="360" w:lineRule="auto"/>
        <w:ind w:left="0" w:firstLineChars="200" w:firstLine="480"/>
        <w:rPr>
          <w:szCs w:val="24"/>
        </w:rPr>
      </w:pPr>
      <w:r>
        <w:rPr>
          <w:szCs w:val="24"/>
        </w:rPr>
        <w:t>工业</w:t>
      </w:r>
      <w:r w:rsidRPr="00925B84">
        <w:rPr>
          <w:szCs w:val="24"/>
        </w:rPr>
        <w:t>场地排水采用雨、污分流制排水系统。雨水采用道路排水沟排水，初期降雨经过雨水收集池沉淀后</w:t>
      </w:r>
      <w:r w:rsidRPr="00C807E8">
        <w:rPr>
          <w:color w:val="FF0000"/>
          <w:szCs w:val="24"/>
        </w:rPr>
        <w:t>，提升至井下水处理站处理后复用</w:t>
      </w:r>
      <w:r w:rsidRPr="00925B84">
        <w:rPr>
          <w:szCs w:val="24"/>
        </w:rPr>
        <w:t>。初期雨水收集池</w:t>
      </w:r>
      <w:r w:rsidRPr="00925B84">
        <w:rPr>
          <w:rFonts w:eastAsiaTheme="minorEastAsia" w:hAnsiTheme="minorEastAsia" w:hint="eastAsia"/>
        </w:rPr>
        <w:t>在场地内南侧生活污水处理站附近，</w:t>
      </w:r>
      <w:r w:rsidRPr="00925B84">
        <w:rPr>
          <w:szCs w:val="24"/>
        </w:rPr>
        <w:t>收集工业场地生产区附近初期</w:t>
      </w:r>
      <w:r w:rsidRPr="00925B84">
        <w:rPr>
          <w:szCs w:val="24"/>
        </w:rPr>
        <w:t>5mm</w:t>
      </w:r>
      <w:r w:rsidRPr="00925B84">
        <w:rPr>
          <w:szCs w:val="24"/>
        </w:rPr>
        <w:t>径流厚度地表弃流，</w:t>
      </w:r>
      <w:r w:rsidRPr="00925B84">
        <w:rPr>
          <w:rFonts w:hint="eastAsia"/>
          <w:szCs w:val="24"/>
        </w:rPr>
        <w:t>计算确定雨水收集池容积为</w:t>
      </w:r>
      <w:r w:rsidRPr="00925B84">
        <w:rPr>
          <w:rFonts w:hint="eastAsia"/>
          <w:szCs w:val="24"/>
        </w:rPr>
        <w:t>250m</w:t>
      </w:r>
      <w:r w:rsidRPr="00925B84">
        <w:rPr>
          <w:rFonts w:hint="eastAsia"/>
          <w:szCs w:val="24"/>
          <w:vertAlign w:val="superscript"/>
        </w:rPr>
        <w:t>3</w:t>
      </w:r>
      <w:r w:rsidRPr="00925B84">
        <w:rPr>
          <w:rFonts w:hint="eastAsia"/>
          <w:szCs w:val="24"/>
        </w:rPr>
        <w:t>，</w:t>
      </w:r>
      <w:r w:rsidRPr="00925B84">
        <w:rPr>
          <w:rFonts w:hint="eastAsia"/>
          <w:szCs w:val="24"/>
        </w:rPr>
        <w:t>L</w:t>
      </w:r>
      <w:r w:rsidRPr="00925B84">
        <w:rPr>
          <w:rFonts w:hint="eastAsia"/>
          <w:szCs w:val="24"/>
        </w:rPr>
        <w:t>×</w:t>
      </w:r>
      <w:r w:rsidRPr="00925B84">
        <w:rPr>
          <w:rFonts w:hint="eastAsia"/>
          <w:szCs w:val="24"/>
        </w:rPr>
        <w:t>B</w:t>
      </w:r>
      <w:r w:rsidRPr="00925B84">
        <w:rPr>
          <w:rFonts w:hint="eastAsia"/>
          <w:szCs w:val="24"/>
        </w:rPr>
        <w:t>×</w:t>
      </w:r>
      <w:r w:rsidRPr="00925B84">
        <w:rPr>
          <w:rFonts w:hint="eastAsia"/>
          <w:szCs w:val="24"/>
        </w:rPr>
        <w:t>H=10.0</w:t>
      </w:r>
      <w:r w:rsidRPr="00925B84">
        <w:rPr>
          <w:rFonts w:hint="eastAsia"/>
          <w:szCs w:val="24"/>
        </w:rPr>
        <w:t>×</w:t>
      </w:r>
      <w:r w:rsidRPr="00925B84">
        <w:rPr>
          <w:rFonts w:hint="eastAsia"/>
          <w:szCs w:val="24"/>
        </w:rPr>
        <w:t>3.0</w:t>
      </w:r>
      <w:r w:rsidRPr="00925B84">
        <w:rPr>
          <w:rFonts w:hint="eastAsia"/>
          <w:szCs w:val="24"/>
        </w:rPr>
        <w:t>×</w:t>
      </w:r>
      <w:r w:rsidRPr="00925B84">
        <w:rPr>
          <w:rFonts w:hint="eastAsia"/>
          <w:szCs w:val="24"/>
        </w:rPr>
        <w:t>5.5m</w:t>
      </w:r>
      <w:r w:rsidRPr="00925B84">
        <w:rPr>
          <w:rFonts w:hint="eastAsia"/>
          <w:szCs w:val="24"/>
        </w:rPr>
        <w:t>，地下式布置，</w:t>
      </w:r>
      <w:r w:rsidRPr="00925B84">
        <w:rPr>
          <w:szCs w:val="24"/>
        </w:rPr>
        <w:t>内设雨水提升泵两台（一用一备</w:t>
      </w:r>
      <w:r w:rsidRPr="00925B84">
        <w:rPr>
          <w:rFonts w:hint="eastAsia"/>
          <w:szCs w:val="24"/>
        </w:rPr>
        <w:t>，</w:t>
      </w:r>
      <w:r w:rsidRPr="00925B84">
        <w:rPr>
          <w:szCs w:val="24"/>
        </w:rPr>
        <w:t>Q=17.5</w:t>
      </w:r>
      <w:r w:rsidRPr="00925B84">
        <w:rPr>
          <w:rFonts w:hint="eastAsia"/>
          <w:szCs w:val="24"/>
        </w:rPr>
        <w:t>~</w:t>
      </w:r>
      <w:r w:rsidRPr="00925B84">
        <w:rPr>
          <w:szCs w:val="24"/>
        </w:rPr>
        <w:t>30m</w:t>
      </w:r>
      <w:r w:rsidRPr="00925B84">
        <w:rPr>
          <w:szCs w:val="24"/>
          <w:vertAlign w:val="superscript"/>
        </w:rPr>
        <w:t>3</w:t>
      </w:r>
      <w:r w:rsidRPr="00925B84">
        <w:rPr>
          <w:szCs w:val="24"/>
        </w:rPr>
        <w:t>/h</w:t>
      </w:r>
      <w:r w:rsidRPr="00925B84">
        <w:rPr>
          <w:szCs w:val="24"/>
        </w:rPr>
        <w:t>），格栅除污机一台</w:t>
      </w:r>
      <w:r w:rsidRPr="00925B84">
        <w:rPr>
          <w:rFonts w:hint="eastAsia"/>
          <w:szCs w:val="24"/>
        </w:rPr>
        <w:t>。</w:t>
      </w:r>
    </w:p>
    <w:p w:rsidR="00C223F5" w:rsidRPr="00925B84" w:rsidRDefault="005860D5" w:rsidP="004835BD">
      <w:pPr>
        <w:pStyle w:val="3"/>
        <w:numPr>
          <w:ilvl w:val="0"/>
          <w:numId w:val="0"/>
        </w:numPr>
        <w:spacing w:before="0" w:after="0" w:line="360" w:lineRule="auto"/>
        <w:ind w:left="170"/>
        <w:rPr>
          <w:rFonts w:eastAsia="宋体"/>
          <w:b/>
          <w:bCs w:val="0"/>
          <w:sz w:val="28"/>
          <w:szCs w:val="28"/>
        </w:rPr>
      </w:pPr>
      <w:bookmarkStart w:id="212" w:name="_Toc16785259"/>
      <w:r w:rsidRPr="00925B84">
        <w:rPr>
          <w:rFonts w:eastAsia="宋体" w:hint="eastAsia"/>
          <w:b/>
          <w:bCs w:val="0"/>
          <w:sz w:val="28"/>
          <w:szCs w:val="28"/>
        </w:rPr>
        <w:t>2.2.7</w:t>
      </w:r>
      <w:r w:rsidRPr="00925B84">
        <w:rPr>
          <w:rFonts w:eastAsia="宋体" w:hint="eastAsia"/>
          <w:b/>
          <w:bCs w:val="0"/>
          <w:sz w:val="28"/>
          <w:szCs w:val="28"/>
        </w:rPr>
        <w:t>采暖、供热</w:t>
      </w:r>
      <w:bookmarkEnd w:id="210"/>
      <w:bookmarkEnd w:id="211"/>
      <w:bookmarkEnd w:id="212"/>
    </w:p>
    <w:p w:rsidR="00C223F5" w:rsidRDefault="005860D5">
      <w:pPr>
        <w:pStyle w:val="aff1"/>
        <w:tabs>
          <w:tab w:val="clear" w:pos="5781"/>
        </w:tabs>
        <w:spacing w:line="360" w:lineRule="auto"/>
        <w:ind w:left="0" w:firstLineChars="200" w:firstLine="480"/>
      </w:pPr>
      <w:r>
        <w:t>矿井</w:t>
      </w:r>
      <w:r>
        <w:rPr>
          <w:rFonts w:hint="eastAsia"/>
        </w:rPr>
        <w:t>及选煤厂</w:t>
      </w:r>
      <w:r>
        <w:t>总耗热量为</w:t>
      </w:r>
      <w:r>
        <w:rPr>
          <w:rFonts w:hint="eastAsia"/>
        </w:rPr>
        <w:t>10666</w:t>
      </w:r>
      <w:r>
        <w:t>kW</w:t>
      </w:r>
      <w:r>
        <w:t>，其中</w:t>
      </w:r>
      <w:r>
        <w:rPr>
          <w:rFonts w:hint="eastAsia"/>
        </w:rPr>
        <w:t>生产系统及辅助建筑物</w:t>
      </w:r>
      <w:r>
        <w:t>耗热量</w:t>
      </w:r>
      <w:r>
        <w:t>1500kW</w:t>
      </w:r>
      <w:r>
        <w:t>，福利建筑物耗热量</w:t>
      </w:r>
      <w:r>
        <w:t>1274kW</w:t>
      </w:r>
      <w:r>
        <w:t>，井筒防冻耗热量</w:t>
      </w:r>
      <w:r>
        <w:t>4030kW</w:t>
      </w:r>
      <w:r>
        <w:t>，生活热水制备耗热量</w:t>
      </w:r>
      <w:r>
        <w:t>774kW</w:t>
      </w:r>
      <w:r>
        <w:t>，选煤厂耗热量</w:t>
      </w:r>
      <w:r>
        <w:t>3087kW</w:t>
      </w:r>
      <w:r>
        <w:t>，考虑换热损失系数</w:t>
      </w:r>
      <w:r>
        <w:t>1.05</w:t>
      </w:r>
      <w:r>
        <w:t>，工业场地总热负荷为</w:t>
      </w:r>
      <w:r>
        <w:t>11200kW</w:t>
      </w:r>
      <w:r>
        <w:t>。</w:t>
      </w:r>
    </w:p>
    <w:p w:rsidR="00C223F5" w:rsidRDefault="005860D5">
      <w:pPr>
        <w:pStyle w:val="aff1"/>
        <w:tabs>
          <w:tab w:val="clear" w:pos="5781"/>
        </w:tabs>
        <w:spacing w:line="360" w:lineRule="auto"/>
        <w:ind w:left="0" w:firstLineChars="200" w:firstLine="480"/>
      </w:pPr>
      <w:r>
        <w:t>工业场地新建乏风热泵机房，采用乏风热泵机组（</w:t>
      </w:r>
      <w:r>
        <w:t>4</w:t>
      </w:r>
      <w:r>
        <w:t>台</w:t>
      </w:r>
      <w:r>
        <w:t>SMEET-F-S-1370H</w:t>
      </w:r>
      <w:r>
        <w:t>型乏风热泵采暖机组、</w:t>
      </w:r>
      <w:r>
        <w:t>2</w:t>
      </w:r>
      <w:r>
        <w:t>台</w:t>
      </w:r>
      <w:r>
        <w:t>SMEET-F-S-1650</w:t>
      </w:r>
      <w:r>
        <w:t>型乏风热泵机组）</w:t>
      </w:r>
      <w:r>
        <w:t>+</w:t>
      </w:r>
      <w:r>
        <w:t>水源热泵机组（</w:t>
      </w:r>
      <w:r>
        <w:t>1</w:t>
      </w:r>
      <w:r>
        <w:t>台</w:t>
      </w:r>
      <w:r>
        <w:t>SMEET-YSZ-R-1650</w:t>
      </w:r>
      <w:r>
        <w:t>型水源热泵机组）</w:t>
      </w:r>
      <w:r>
        <w:t>+</w:t>
      </w:r>
      <w:r>
        <w:t>电锅炉（</w:t>
      </w:r>
      <w:r>
        <w:t>1</w:t>
      </w:r>
      <w:r>
        <w:t>台</w:t>
      </w:r>
      <w:r>
        <w:t>CWDR1440-85/70</w:t>
      </w:r>
      <w:r>
        <w:t>型电锅炉）供热。其中乏风井口取热装置为回风立井口取热房设的</w:t>
      </w:r>
      <w:r>
        <w:t>14</w:t>
      </w:r>
      <w:r>
        <w:t>台</w:t>
      </w:r>
      <w:r>
        <w:t>SMEET-FSQ-400</w:t>
      </w:r>
      <w:r>
        <w:t>型取热箱，取热量</w:t>
      </w:r>
      <w:r>
        <w:t>8820KW</w:t>
      </w:r>
      <w:r>
        <w:t>，由</w:t>
      </w:r>
      <w:r>
        <w:t>3</w:t>
      </w:r>
      <w:r>
        <w:t>台（两用一备）</w:t>
      </w:r>
      <w:r>
        <w:t>DFG125-400B/4/30</w:t>
      </w:r>
      <w:r>
        <w:t>型工质循环泵和</w:t>
      </w:r>
      <w:r>
        <w:t>2</w:t>
      </w:r>
      <w:r>
        <w:t>台（一用一备）</w:t>
      </w:r>
      <w:r>
        <w:t>DFG40-200</w:t>
      </w:r>
      <w:r>
        <w:t>（</w:t>
      </w:r>
      <w:r>
        <w:t>1</w:t>
      </w:r>
      <w:r>
        <w:t>）</w:t>
      </w:r>
      <w:r>
        <w:t>A/2/4</w:t>
      </w:r>
      <w:r>
        <w:t>型工质补水泵，通过工质管路将低品</w:t>
      </w:r>
      <w:r>
        <w:lastRenderedPageBreak/>
        <w:t>位的热量输送到乏风热泵机房的乏风热泵机组，由乏风机组制出高品位热量给矿井供热；</w:t>
      </w:r>
      <w:r>
        <w:rPr>
          <w:bCs/>
        </w:rPr>
        <w:t>乏风采暖系统由</w:t>
      </w:r>
      <w:r>
        <w:t>乏风热泵机房内设置的</w:t>
      </w:r>
      <w:r>
        <w:t>4</w:t>
      </w:r>
      <w:r>
        <w:rPr>
          <w:rFonts w:hAnsi="宋体"/>
        </w:rPr>
        <w:t>台</w:t>
      </w:r>
      <w:r>
        <w:t>SMEET-F-S-1370H</w:t>
      </w:r>
      <w:r>
        <w:rPr>
          <w:rFonts w:hAnsi="宋体"/>
        </w:rPr>
        <w:t>型乏风热泵采暖机组和</w:t>
      </w:r>
      <w:r>
        <w:t>1</w:t>
      </w:r>
      <w:r>
        <w:rPr>
          <w:rFonts w:hAnsi="宋体"/>
        </w:rPr>
        <w:t>台</w:t>
      </w:r>
      <w:r>
        <w:t>CWDR1440-85/70</w:t>
      </w:r>
      <w:r>
        <w:rPr>
          <w:rFonts w:hAnsi="宋体"/>
        </w:rPr>
        <w:t>型电锅炉共同提供建筑物采暖；</w:t>
      </w:r>
      <w:r>
        <w:rPr>
          <w:bCs/>
        </w:rPr>
        <w:t>乏风井筒加热及洗浴系统由</w:t>
      </w:r>
      <w:r>
        <w:t>乏风热泵机房内</w:t>
      </w:r>
      <w:r>
        <w:rPr>
          <w:rFonts w:hAnsi="宋体"/>
        </w:rPr>
        <w:t>设置的</w:t>
      </w:r>
      <w:r>
        <w:t>2</w:t>
      </w:r>
      <w:r>
        <w:rPr>
          <w:rFonts w:hAnsi="宋体"/>
        </w:rPr>
        <w:t>台</w:t>
      </w:r>
      <w:r>
        <w:t>SMEET-F-S-1650</w:t>
      </w:r>
      <w:r>
        <w:rPr>
          <w:rFonts w:hAnsi="宋体"/>
        </w:rPr>
        <w:t>型乏风热泵机组和</w:t>
      </w:r>
      <w:r>
        <w:t>1</w:t>
      </w:r>
      <w:r>
        <w:rPr>
          <w:rFonts w:hAnsi="宋体"/>
        </w:rPr>
        <w:t>台</w:t>
      </w:r>
      <w:r>
        <w:t>SMEET-YSZ-R-1650</w:t>
      </w:r>
      <w:r>
        <w:rPr>
          <w:rFonts w:hAnsi="宋体"/>
        </w:rPr>
        <w:t>型水源热泵机组并联，共同承担井筒加热和洗浴用热</w:t>
      </w:r>
      <w:r>
        <w:t>。</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213" w:name="_Toc533604295"/>
      <w:bookmarkStart w:id="214" w:name="_Toc533604715"/>
      <w:bookmarkStart w:id="215" w:name="_Toc16785260"/>
      <w:r>
        <w:rPr>
          <w:rFonts w:eastAsia="宋体" w:hint="eastAsia"/>
          <w:b/>
          <w:bCs w:val="0"/>
          <w:sz w:val="28"/>
          <w:szCs w:val="28"/>
        </w:rPr>
        <w:t>2.2.8</w:t>
      </w:r>
      <w:r>
        <w:rPr>
          <w:rFonts w:eastAsia="宋体" w:hint="eastAsia"/>
          <w:b/>
          <w:bCs w:val="0"/>
          <w:sz w:val="28"/>
          <w:szCs w:val="28"/>
        </w:rPr>
        <w:t>供电</w:t>
      </w:r>
      <w:bookmarkEnd w:id="213"/>
      <w:bookmarkEnd w:id="214"/>
      <w:bookmarkEnd w:id="215"/>
    </w:p>
    <w:p w:rsidR="00C223F5" w:rsidRDefault="005860D5">
      <w:pPr>
        <w:pStyle w:val="aff1"/>
        <w:tabs>
          <w:tab w:val="clear" w:pos="5781"/>
        </w:tabs>
        <w:spacing w:line="360" w:lineRule="auto"/>
        <w:ind w:left="0" w:firstLineChars="200" w:firstLine="480"/>
      </w:pPr>
      <w:r>
        <w:rPr>
          <w:rFonts w:hint="eastAsia"/>
        </w:rPr>
        <w:t>全矿（含选煤厂）电力总负荷：有功功率</w:t>
      </w:r>
      <w:r>
        <w:rPr>
          <w:rFonts w:hint="eastAsia"/>
        </w:rPr>
        <w:t>10627.66kW</w:t>
      </w:r>
      <w:r>
        <w:rPr>
          <w:rFonts w:hint="eastAsia"/>
        </w:rPr>
        <w:t>，视在功率</w:t>
      </w:r>
      <w:r>
        <w:rPr>
          <w:rFonts w:hint="eastAsia"/>
        </w:rPr>
        <w:t>11093.37</w:t>
      </w:r>
      <w:r>
        <w:t>k</w:t>
      </w:r>
      <w:r>
        <w:rPr>
          <w:rFonts w:hint="eastAsia"/>
        </w:rPr>
        <w:t>VA</w:t>
      </w:r>
      <w:r>
        <w:rPr>
          <w:rFonts w:hint="eastAsia"/>
        </w:rPr>
        <w:t>，矿井部分吨煤电耗</w:t>
      </w:r>
      <w:r>
        <w:rPr>
          <w:rFonts w:hint="eastAsia"/>
        </w:rPr>
        <w:t>35.72kW</w:t>
      </w:r>
      <w:r>
        <w:rPr>
          <w:rFonts w:hint="eastAsia"/>
        </w:rPr>
        <w:t>·</w:t>
      </w:r>
      <w:r>
        <w:rPr>
          <w:rFonts w:hint="eastAsia"/>
        </w:rPr>
        <w:t>h/t</w:t>
      </w:r>
      <w:r>
        <w:rPr>
          <w:rFonts w:hint="eastAsia"/>
        </w:rPr>
        <w:t>，选煤厂部分吨煤电耗</w:t>
      </w:r>
      <w:r>
        <w:rPr>
          <w:rFonts w:hint="eastAsia"/>
        </w:rPr>
        <w:t>7.28kWh/t</w:t>
      </w:r>
      <w:r>
        <w:rPr>
          <w:rFonts w:hint="eastAsia"/>
        </w:rPr>
        <w:t>。</w:t>
      </w:r>
    </w:p>
    <w:p w:rsidR="00C223F5" w:rsidRDefault="005860D5">
      <w:pPr>
        <w:pStyle w:val="aff1"/>
        <w:tabs>
          <w:tab w:val="clear" w:pos="5781"/>
        </w:tabs>
        <w:spacing w:line="360" w:lineRule="auto"/>
        <w:ind w:left="0" w:firstLineChars="200" w:firstLine="480"/>
      </w:pPr>
      <w:r>
        <w:rPr>
          <w:rFonts w:hint="eastAsia"/>
        </w:rPr>
        <w:t>矿井工业场地建一座</w:t>
      </w:r>
      <w:r>
        <w:rPr>
          <w:rFonts w:hint="eastAsia"/>
        </w:rPr>
        <w:t>35/10kV</w:t>
      </w:r>
      <w:r>
        <w:rPr>
          <w:rFonts w:hint="eastAsia"/>
        </w:rPr>
        <w:t>变电站，其两回</w:t>
      </w:r>
      <w:r>
        <w:rPr>
          <w:rFonts w:hint="eastAsia"/>
        </w:rPr>
        <w:t>35kV</w:t>
      </w:r>
      <w:r>
        <w:rPr>
          <w:rFonts w:hint="eastAsia"/>
        </w:rPr>
        <w:t>电源分别引自石湾</w:t>
      </w:r>
      <w:r>
        <w:rPr>
          <w:rFonts w:hint="eastAsia"/>
        </w:rPr>
        <w:t>110kV</w:t>
      </w:r>
      <w:r>
        <w:rPr>
          <w:rFonts w:hint="eastAsia"/>
        </w:rPr>
        <w:t>变电站和高镇</w:t>
      </w:r>
      <w:r>
        <w:rPr>
          <w:rFonts w:hint="eastAsia"/>
        </w:rPr>
        <w:t>110kV</w:t>
      </w:r>
      <w:r>
        <w:rPr>
          <w:rFonts w:hint="eastAsia"/>
        </w:rPr>
        <w:t>变电站，导线均采用</w:t>
      </w:r>
      <w:r>
        <w:rPr>
          <w:rFonts w:hint="eastAsia"/>
        </w:rPr>
        <w:t>LGJ-240/3km</w:t>
      </w:r>
      <w:r>
        <w:rPr>
          <w:rFonts w:hint="eastAsia"/>
        </w:rPr>
        <w:t>，全线架设</w:t>
      </w:r>
      <w:r>
        <w:rPr>
          <w:rFonts w:hint="eastAsia"/>
        </w:rPr>
        <w:t>OPGW-24B1-57</w:t>
      </w:r>
      <w:r>
        <w:rPr>
          <w:rFonts w:hint="eastAsia"/>
        </w:rPr>
        <w:t>复合地线。</w:t>
      </w:r>
      <w:r>
        <w:t>该变电站以</w:t>
      </w:r>
      <w:r>
        <w:t>10kV</w:t>
      </w:r>
      <w:r>
        <w:t>电压供矿井工业场地所有负荷以及井下负荷用电。</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216" w:name="_Toc533604296"/>
      <w:bookmarkStart w:id="217" w:name="_Toc533604716"/>
      <w:bookmarkStart w:id="218" w:name="_Toc16785261"/>
      <w:r>
        <w:rPr>
          <w:rFonts w:eastAsia="宋体" w:hint="eastAsia"/>
          <w:b/>
          <w:bCs w:val="0"/>
          <w:sz w:val="28"/>
          <w:szCs w:val="28"/>
        </w:rPr>
        <w:t>2.2.9</w:t>
      </w:r>
      <w:r>
        <w:rPr>
          <w:rFonts w:eastAsia="宋体" w:hint="eastAsia"/>
          <w:b/>
          <w:bCs w:val="0"/>
          <w:sz w:val="28"/>
          <w:szCs w:val="28"/>
        </w:rPr>
        <w:t>环保工程</w:t>
      </w:r>
      <w:bookmarkEnd w:id="216"/>
      <w:bookmarkEnd w:id="217"/>
      <w:bookmarkEnd w:id="218"/>
    </w:p>
    <w:p w:rsidR="00C223F5" w:rsidRDefault="005860D5">
      <w:pPr>
        <w:pStyle w:val="aff1"/>
        <w:tabs>
          <w:tab w:val="clear" w:pos="5781"/>
        </w:tabs>
        <w:spacing w:line="360" w:lineRule="auto"/>
        <w:ind w:left="0" w:firstLineChars="200" w:firstLine="480"/>
      </w:pPr>
      <w:r>
        <w:t>（</w:t>
      </w:r>
      <w:r>
        <w:t>1</w:t>
      </w:r>
      <w:r>
        <w:t>）污水处理工程</w:t>
      </w:r>
    </w:p>
    <w:p w:rsidR="00C223F5" w:rsidRDefault="000F32AE">
      <w:pPr>
        <w:pStyle w:val="aff1"/>
        <w:tabs>
          <w:tab w:val="clear" w:pos="5781"/>
        </w:tabs>
        <w:spacing w:line="360" w:lineRule="auto"/>
        <w:ind w:left="0" w:firstLineChars="200" w:firstLine="480"/>
      </w:pPr>
      <w:r>
        <w:fldChar w:fldCharType="begin"/>
      </w:r>
      <w:r w:rsidR="005860D5">
        <w:instrText>= 1 \* GB3</w:instrText>
      </w:r>
      <w:r>
        <w:fldChar w:fldCharType="separate"/>
      </w:r>
      <w:r w:rsidR="005860D5">
        <w:t>①</w:t>
      </w:r>
      <w:r>
        <w:fldChar w:fldCharType="end"/>
      </w:r>
      <w:r w:rsidR="005860D5">
        <w:t>生活污水处理站</w:t>
      </w:r>
    </w:p>
    <w:p w:rsidR="00C223F5" w:rsidRDefault="005860D5">
      <w:pPr>
        <w:pStyle w:val="24"/>
      </w:pPr>
      <w:r>
        <w:t>工业场地内设一座生活污水处理站，</w:t>
      </w:r>
      <w:r w:rsidR="004B6BC4" w:rsidRPr="004B6BC4">
        <w:rPr>
          <w:rFonts w:hint="eastAsia"/>
          <w:color w:val="FF0000"/>
        </w:rPr>
        <w:t>设计考虑留设</w:t>
      </w:r>
      <w:r w:rsidR="004B6BC4" w:rsidRPr="004B6BC4">
        <w:rPr>
          <w:rFonts w:hint="eastAsia"/>
          <w:color w:val="FF0000"/>
        </w:rPr>
        <w:t>1.2~1.5</w:t>
      </w:r>
      <w:r w:rsidR="004B6BC4" w:rsidRPr="004B6BC4">
        <w:rPr>
          <w:rFonts w:hint="eastAsia"/>
          <w:color w:val="FF0000"/>
        </w:rPr>
        <w:t>富余系数，</w:t>
      </w:r>
      <w:r>
        <w:rPr>
          <w:rFonts w:hAnsi="宋体"/>
        </w:rPr>
        <w:t>处理规模为</w:t>
      </w:r>
      <w:r>
        <w:t>480m</w:t>
      </w:r>
      <w:r>
        <w:rPr>
          <w:vertAlign w:val="superscript"/>
        </w:rPr>
        <w:t>3</w:t>
      </w:r>
      <w:r>
        <w:t>/d</w:t>
      </w:r>
      <w:r>
        <w:rPr>
          <w:rFonts w:hAnsi="宋体"/>
        </w:rPr>
        <w:t>，采用</w:t>
      </w:r>
      <w:r>
        <w:t>A</w:t>
      </w:r>
      <w:r>
        <w:rPr>
          <w:vertAlign w:val="superscript"/>
        </w:rPr>
        <w:t>2</w:t>
      </w:r>
      <w:r>
        <w:t>/O</w:t>
      </w:r>
      <w:r>
        <w:rPr>
          <w:rFonts w:hAnsi="宋体"/>
        </w:rPr>
        <w:t>二级生化</w:t>
      </w:r>
      <w:r>
        <w:t>+</w:t>
      </w:r>
      <w:r>
        <w:rPr>
          <w:rFonts w:hAnsi="宋体"/>
        </w:rPr>
        <w:t>深度处理工艺。</w:t>
      </w:r>
      <w:r>
        <w:t>生活污水经矿井工业场地的排水管网收集后，重力流排入污水处理站，经过机械格栅进入调节池，由污水泵提升至综合污水处理设备进行处理，出水再经过滤及消毒后，回用于选煤厂补充水、绿化洒水及地面降尘洒水等，不外排。生活污水处理站处理工艺流程见图</w:t>
      </w:r>
      <w:r>
        <w:t>2.2.9-1</w:t>
      </w:r>
      <w:r>
        <w:t>。</w:t>
      </w:r>
    </w:p>
    <w:p w:rsidR="00C223F5" w:rsidRDefault="003761EF">
      <w:pPr>
        <w:spacing w:line="360" w:lineRule="auto"/>
        <w:jc w:val="center"/>
        <w:rPr>
          <w:rFonts w:ascii="仿宋_GB2312" w:eastAsia="仿宋_GB2312"/>
          <w:color w:val="FF0000"/>
          <w:sz w:val="28"/>
        </w:rPr>
      </w:pPr>
      <w:r>
        <w:rPr>
          <w:rFonts w:eastAsiaTheme="minorEastAsia"/>
          <w:color w:val="FF0000"/>
        </w:rPr>
        <w:pict>
          <v:shape id="文本框 10528" o:spid="_x0000_s1425" type="#_x0000_t202" style="position:absolute;left:0;text-align:left;margin-left:354.75pt;margin-top:115.05pt;width:93pt;height:31.5pt;z-index:252136448" o:gfxdata="UEsDBAoAAAAAAIdO4kAAAAAAAAAAAAAAAAAEAAAAZHJzL1BLAwQUAAAACACHTuJAszlc/twAAAAL&#10;AQAADwAAAGRycy9kb3ducmV2LnhtbE2PwU7DMBBE70j8g7VI3KjThjYkZFMJRIXoBVGQ4OjG2zgi&#10;tqN4mxS+HnOC4+yMZt+U65PtxEhDaL1DmM8SEORqr1vXILy9bq5uQARWTqvOO0L4ogDr6vysVIX2&#10;k3uhcceNiCUuFArBMPeFlKE2ZFWY+Z5c9A5+sIqjHBqpBzXFctvJRZKspFWtix+M6uneUP25O1qE&#10;8enQ8PdUb9vMbB6fP1i93z1sES8v5sktCKYT/4XhFz+iQxWZ9v7odBAdQrbM4xZGWGSrFERM5NfL&#10;eNkjpGmegqxK+X9D9QNQSwMEFAAAAAgAh07iQP78tZLEAQAAbwMAAA4AAABkcnMvZTJvRG9jLnht&#10;bK1TS27bMBDdF8gdCO5jUc4HhmA5QBs4CFC0BdIegKIoiQB/GDKWfIH2Bl11033P5XN0SDuq2+6K&#10;ekHPcD6c995ofTcZTXYSgnK2puWCUSKtcK2yfU0/fdxerigJkduWa2dlTfcy0LvNxav16Cu5dIPT&#10;rQSCTWyoRl/TIUZfFUUQgzQ8LJyXFoOdA8MjutAXLfARuxtdLBm7LUYHrQcnZAh4e38M0k3u33VS&#10;xPddF2QkuqY4W8wn5LNJZ7FZ86oH7gclTmPwf5jCcGXx0bnVPY+cPIP6q5VRAlxwXVwIZwrXdUrI&#10;jAHRlOwPNE8D9zJjQXKCn2kK/6+teLf7AES1Nb26RqksNyjS4euXw7cfh++fSclulqtE0uhDhblP&#10;HrPj9NpNKPbLfcDLhH3qwKR/REUwjnTvZ4rlFIlIReWqLBmGBMauGWM3WYPiV7WHEB+kMyQZNQWU&#10;MDPLd29DxEkw9SUlPRacVu1WaZ0d6Js3GsiOo9zb/EtDYslvadqmZOtS2TF8vJF5YU7PJMRHZMmK&#10;UzOdaGhcu0cW9KNFHa5uEQPu1exQAmd2M9uY9OxB9QNiyswVqS2qmsc7bWBam3Mf7fPvZPM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zlc/twAAAALAQAADwAAAAAAAAABACAAAAAiAAAAZHJzL2Rv&#10;d25yZXYueG1sUEsBAhQAFAAAAAgAh07iQP78tZLEAQAAbwMAAA4AAAAAAAAAAQAgAAAAKwEAAGRy&#10;cy9lMm9Eb2MueG1sUEsFBgAAAAAGAAYAWQEAAGEFAAAAAA==&#10;" stroked="f">
            <v:textbox style="mso-next-textbox:#文本框 10528" inset="1mm,.1mm,.1mm,1mm">
              <w:txbxContent>
                <w:p w:rsidR="00BB1CC7" w:rsidRDefault="00BB1CC7">
                  <w:pPr>
                    <w:rPr>
                      <w:rFonts w:ascii="华文楷体" w:eastAsia="华文楷体" w:hAnsi="华文楷体"/>
                      <w:spacing w:val="-6"/>
                    </w:rPr>
                  </w:pPr>
                  <w:r>
                    <w:rPr>
                      <w:rFonts w:ascii="华文楷体" w:eastAsia="华文楷体" w:hAnsi="华文楷体" w:hint="eastAsia"/>
                      <w:spacing w:val="-6"/>
                    </w:rPr>
                    <w:t>选煤厂补充水等</w:t>
                  </w:r>
                </w:p>
              </w:txbxContent>
            </v:textbox>
          </v:shape>
        </w:pict>
      </w:r>
      <w:r w:rsidR="005860D5">
        <w:rPr>
          <w:rFonts w:ascii="仿宋_GB2312" w:eastAsia="仿宋_GB2312" w:hint="eastAsia"/>
          <w:noProof/>
          <w:color w:val="FF0000"/>
          <w:sz w:val="28"/>
        </w:rPr>
        <w:drawing>
          <wp:inline distT="0" distB="0" distL="0" distR="0">
            <wp:extent cx="5400675" cy="2466975"/>
            <wp:effectExtent l="0" t="0" r="9525" b="0"/>
            <wp:docPr id="10527" name="图片 1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 name="图片 10527"/>
                    <pic:cNvPicPr>
                      <a:picLocks noChangeAspect="1" noChangeArrowheads="1"/>
                    </pic:cNvPicPr>
                  </pic:nvPicPr>
                  <pic:blipFill>
                    <a:blip r:embed="rId23"/>
                    <a:srcRect l="39492" t="29022" r="17771" b="35202"/>
                    <a:stretch>
                      <a:fillRect/>
                    </a:stretch>
                  </pic:blipFill>
                  <pic:spPr>
                    <a:xfrm>
                      <a:off x="0" y="0"/>
                      <a:ext cx="5400633" cy="2466956"/>
                    </a:xfrm>
                    <a:prstGeom prst="rect">
                      <a:avLst/>
                    </a:prstGeom>
                    <a:noFill/>
                    <a:ln w="9525">
                      <a:noFill/>
                      <a:miter lim="800000"/>
                      <a:headEnd/>
                      <a:tailEnd/>
                    </a:ln>
                  </pic:spPr>
                </pic:pic>
              </a:graphicData>
            </a:graphic>
          </wp:inline>
        </w:drawing>
      </w:r>
    </w:p>
    <w:p w:rsidR="00C223F5" w:rsidRDefault="005860D5">
      <w:pPr>
        <w:pStyle w:val="aff1"/>
        <w:spacing w:line="360" w:lineRule="auto"/>
        <w:ind w:left="0" w:firstLine="0"/>
        <w:jc w:val="center"/>
        <w:rPr>
          <w:rFonts w:ascii="仿宋_GB2312" w:eastAsia="仿宋_GB2312" w:hAnsi="宋体"/>
          <w:szCs w:val="22"/>
        </w:rPr>
      </w:pPr>
      <w:r>
        <w:rPr>
          <w:rFonts w:hint="eastAsia"/>
          <w:b/>
        </w:rPr>
        <w:t>图</w:t>
      </w:r>
      <w:r>
        <w:rPr>
          <w:rFonts w:hint="eastAsia"/>
          <w:b/>
        </w:rPr>
        <w:t xml:space="preserve">2.2.9-1   </w:t>
      </w:r>
      <w:r>
        <w:rPr>
          <w:rFonts w:hint="eastAsia"/>
          <w:b/>
        </w:rPr>
        <w:t>生活污水处理站工艺流程图</w:t>
      </w:r>
    </w:p>
    <w:p w:rsidR="00C223F5" w:rsidRDefault="000F32AE">
      <w:pPr>
        <w:pStyle w:val="aff1"/>
        <w:tabs>
          <w:tab w:val="clear" w:pos="5781"/>
        </w:tabs>
        <w:spacing w:line="360" w:lineRule="auto"/>
        <w:ind w:left="0" w:firstLineChars="200" w:firstLine="480"/>
        <w:rPr>
          <w:rFonts w:eastAsiaTheme="minorEastAsia" w:hAnsiTheme="minorEastAsia"/>
          <w:szCs w:val="24"/>
        </w:rPr>
      </w:pPr>
      <w:r>
        <w:rPr>
          <w:rFonts w:eastAsiaTheme="minorEastAsia"/>
          <w:szCs w:val="24"/>
        </w:rPr>
        <w:lastRenderedPageBreak/>
        <w:fldChar w:fldCharType="begin"/>
      </w:r>
      <w:r w:rsidR="005860D5">
        <w:rPr>
          <w:rFonts w:eastAsiaTheme="minorEastAsia"/>
          <w:szCs w:val="24"/>
        </w:rPr>
        <w:instrText>= 2 \* GB3</w:instrText>
      </w:r>
      <w:r>
        <w:rPr>
          <w:rFonts w:eastAsiaTheme="minorEastAsia"/>
          <w:szCs w:val="24"/>
        </w:rPr>
        <w:fldChar w:fldCharType="separate"/>
      </w:r>
      <w:r w:rsidR="005860D5">
        <w:rPr>
          <w:rFonts w:eastAsiaTheme="minorEastAsia" w:hAnsiTheme="minorEastAsia"/>
          <w:szCs w:val="24"/>
        </w:rPr>
        <w:t>②</w:t>
      </w:r>
      <w:r>
        <w:rPr>
          <w:rFonts w:eastAsiaTheme="minorEastAsia"/>
          <w:szCs w:val="24"/>
        </w:rPr>
        <w:fldChar w:fldCharType="end"/>
      </w:r>
      <w:r w:rsidR="005860D5">
        <w:rPr>
          <w:rFonts w:eastAsiaTheme="minorEastAsia" w:hAnsiTheme="minorEastAsia"/>
          <w:szCs w:val="24"/>
        </w:rPr>
        <w:t>矿井水处理站</w:t>
      </w:r>
    </w:p>
    <w:p w:rsidR="00C223F5" w:rsidRDefault="005860D5">
      <w:pPr>
        <w:pStyle w:val="aff1"/>
        <w:tabs>
          <w:tab w:val="clear" w:pos="5781"/>
        </w:tabs>
        <w:spacing w:line="360" w:lineRule="auto"/>
        <w:ind w:left="0" w:firstLineChars="200" w:firstLine="480"/>
        <w:rPr>
          <w:rFonts w:eastAsiaTheme="minorEastAsia" w:hAnsiTheme="minorEastAsia"/>
        </w:rPr>
      </w:pPr>
      <w:r>
        <w:rPr>
          <w:rFonts w:eastAsiaTheme="minorEastAsia" w:hAnsiTheme="minorEastAsia"/>
        </w:rPr>
        <w:t>矿井正常涌水量为</w:t>
      </w:r>
      <w:r>
        <w:rPr>
          <w:rFonts w:eastAsiaTheme="minorEastAsia" w:hint="eastAsia"/>
        </w:rPr>
        <w:t>8</w:t>
      </w:r>
      <w:r>
        <w:rPr>
          <w:rFonts w:eastAsiaTheme="minorEastAsia"/>
        </w:rPr>
        <w:t>0m</w:t>
      </w:r>
      <w:r>
        <w:rPr>
          <w:rFonts w:eastAsiaTheme="minorEastAsia"/>
          <w:vertAlign w:val="superscript"/>
        </w:rPr>
        <w:t>3</w:t>
      </w:r>
      <w:r>
        <w:rPr>
          <w:rFonts w:eastAsiaTheme="minorEastAsia"/>
        </w:rPr>
        <w:t>/h</w:t>
      </w:r>
      <w:r>
        <w:rPr>
          <w:rFonts w:eastAsiaTheme="minorEastAsia" w:hAnsiTheme="minorEastAsia"/>
        </w:rPr>
        <w:t>，最大涌水量为</w:t>
      </w:r>
      <w:r>
        <w:rPr>
          <w:rFonts w:eastAsiaTheme="minorEastAsia" w:hint="eastAsia"/>
        </w:rPr>
        <w:t>10</w:t>
      </w:r>
      <w:r>
        <w:rPr>
          <w:rFonts w:eastAsiaTheme="minorEastAsia"/>
        </w:rPr>
        <w:t>0m</w:t>
      </w:r>
      <w:r>
        <w:rPr>
          <w:rFonts w:eastAsiaTheme="minorEastAsia"/>
          <w:vertAlign w:val="superscript"/>
        </w:rPr>
        <w:t>3</w:t>
      </w:r>
      <w:r>
        <w:rPr>
          <w:rFonts w:eastAsiaTheme="minorEastAsia"/>
        </w:rPr>
        <w:t>/h</w:t>
      </w:r>
      <w:r>
        <w:rPr>
          <w:rFonts w:eastAsiaTheme="minorEastAsia" w:hAnsiTheme="minorEastAsia"/>
        </w:rPr>
        <w:t>（含黄泥灌浆析出水）</w:t>
      </w:r>
      <w:r>
        <w:rPr>
          <w:rFonts w:eastAsiaTheme="minorEastAsia" w:hAnsiTheme="minorEastAsia" w:hint="eastAsia"/>
        </w:rPr>
        <w:t>，</w:t>
      </w:r>
      <w:r>
        <w:rPr>
          <w:rFonts w:eastAsiaTheme="minorEastAsia" w:hAnsiTheme="minorEastAsia"/>
        </w:rPr>
        <w:t>设计在工业场地建设一座矿井水处理站，处理站规模为</w:t>
      </w:r>
      <w:r>
        <w:rPr>
          <w:rFonts w:eastAsiaTheme="minorEastAsia"/>
        </w:rPr>
        <w:t>2</w:t>
      </w:r>
      <w:r>
        <w:rPr>
          <w:rFonts w:eastAsiaTheme="minorEastAsia" w:hint="eastAsia"/>
        </w:rPr>
        <w:t>4</w:t>
      </w:r>
      <w:r>
        <w:rPr>
          <w:rFonts w:eastAsiaTheme="minorEastAsia"/>
        </w:rPr>
        <w:t>00m</w:t>
      </w:r>
      <w:r>
        <w:rPr>
          <w:rFonts w:eastAsiaTheme="minorEastAsia"/>
          <w:vertAlign w:val="superscript"/>
        </w:rPr>
        <w:t>3</w:t>
      </w:r>
      <w:r>
        <w:rPr>
          <w:rFonts w:eastAsiaTheme="minorEastAsia"/>
        </w:rPr>
        <w:t>/d</w:t>
      </w:r>
      <w:r>
        <w:rPr>
          <w:rFonts w:eastAsiaTheme="minorEastAsia" w:hAnsiTheme="minorEastAsia"/>
        </w:rPr>
        <w:t>，采用混凝、沉淀、</w:t>
      </w:r>
      <w:r>
        <w:rPr>
          <w:rFonts w:eastAsiaTheme="minorEastAsia" w:hAnsiTheme="minorEastAsia" w:hint="eastAsia"/>
        </w:rPr>
        <w:t>气浮、</w:t>
      </w:r>
      <w:r>
        <w:rPr>
          <w:rFonts w:eastAsiaTheme="minorEastAsia" w:hAnsiTheme="minorEastAsia"/>
        </w:rPr>
        <w:t>过滤</w:t>
      </w:r>
      <w:r>
        <w:rPr>
          <w:rFonts w:eastAsiaTheme="minorEastAsia" w:hAnsiTheme="minorEastAsia" w:hint="eastAsia"/>
        </w:rPr>
        <w:t>消毒</w:t>
      </w:r>
      <w:r>
        <w:rPr>
          <w:rFonts w:eastAsiaTheme="minorEastAsia" w:hAnsiTheme="minorEastAsia"/>
        </w:rPr>
        <w:t>处理工艺。</w:t>
      </w:r>
    </w:p>
    <w:p w:rsidR="00C223F5" w:rsidRDefault="005860D5">
      <w:pPr>
        <w:pStyle w:val="aff1"/>
        <w:tabs>
          <w:tab w:val="clear" w:pos="5781"/>
        </w:tabs>
        <w:spacing w:line="360" w:lineRule="auto"/>
        <w:ind w:left="0" w:firstLineChars="200" w:firstLine="480"/>
      </w:pPr>
      <w:r>
        <w:rPr>
          <w:rFonts w:eastAsiaTheme="minorEastAsia" w:hAnsiTheme="minorEastAsia" w:hint="eastAsia"/>
        </w:rPr>
        <w:t>井下排水经处理后</w:t>
      </w:r>
      <w:r>
        <w:rPr>
          <w:rFonts w:hint="eastAsia"/>
          <w:szCs w:val="24"/>
        </w:rPr>
        <w:t>部分回用于井下洒水、黄泥灌浆补充水及</w:t>
      </w:r>
      <w:r w:rsidRPr="00C807E8">
        <w:rPr>
          <w:rFonts w:hint="eastAsia"/>
          <w:color w:val="FF0000"/>
          <w:szCs w:val="24"/>
        </w:rPr>
        <w:t>地面生产用水</w:t>
      </w:r>
      <w:r>
        <w:rPr>
          <w:rFonts w:hint="eastAsia"/>
          <w:szCs w:val="24"/>
        </w:rPr>
        <w:t>，其余达标排至蚂蚁河</w:t>
      </w:r>
      <w:r>
        <w:rPr>
          <w:rFonts w:eastAsiaTheme="minorEastAsia" w:hAnsiTheme="minorEastAsia" w:hint="eastAsia"/>
        </w:rPr>
        <w:t>。</w:t>
      </w:r>
      <w:r>
        <w:rPr>
          <w:rFonts w:hint="eastAsia"/>
        </w:rPr>
        <w:t>矿井水处理站处理工艺流程见图</w:t>
      </w:r>
      <w:r>
        <w:rPr>
          <w:rFonts w:hAnsi="宋体" w:hint="eastAsia"/>
        </w:rPr>
        <w:t>2.2.9-2</w:t>
      </w:r>
      <w:r>
        <w:rPr>
          <w:rFonts w:hint="eastAsia"/>
        </w:rPr>
        <w:t>。</w:t>
      </w:r>
    </w:p>
    <w:p w:rsidR="00C223F5" w:rsidRDefault="003761EF">
      <w:pPr>
        <w:spacing w:line="360" w:lineRule="auto"/>
        <w:jc w:val="center"/>
        <w:rPr>
          <w:color w:val="FF0000"/>
          <w:sz w:val="24"/>
        </w:rPr>
      </w:pPr>
      <w:r>
        <w:rPr>
          <w:rFonts w:eastAsiaTheme="minorEastAsia" w:hAnsiTheme="minorEastAsia"/>
        </w:rPr>
        <w:pict>
          <v:shape id="_x0000_s1424" type="#_x0000_t202" style="position:absolute;left:0;text-align:left;margin-left:232.95pt;margin-top:279.6pt;width:63.3pt;height:31.5pt;z-index:252160000" o:gfxdata="UEsDBAoAAAAAAIdO4kAAAAAAAAAAAAAAAAAEAAAAZHJzL1BLAwQUAAAACACHTuJAukPbfdsAAAAL&#10;AQAADwAAAGRycy9kb3ducmV2LnhtbE2PwUrDQBCG74LvsIzgzW66mGhjJgXFIvZSrIV63CbTbDC7&#10;G7LbpPr0jic9DcN8/PP9xfJsOzHSEFrvEOazBAS5ytetaxB276ubexAhalfrzjtC+KIAy/LyotB5&#10;7Sf3RuM2NoJDXMg1gomxz6UMlSGrw8z35Ph29IPVkdehkfWgJw63nVRJkkmrW8cfjO7pyVD1uT1Z&#10;hPH12MTvqVq3d2b1svmIev/4vEa8vponDyAineMfDL/6rA4lOx38ydVBdAi3WbpgFCFNFwoEEzxT&#10;EAeETCkFsizk/w7lD1BLAwQUAAAACACHTuJAOqt6ccIBAABvAwAADgAAAGRycy9lMm9Eb2MueG1s&#10;rVNNjtMwFN4jcQfLexqnQ6sqajoSjIqQECDNcADHcRJL/tOzp0kvADdgxYY95+o5eHY7ocAOkYXz&#10;/v2+7z1vbyejyUFCUM7WtFwwSqQVrlW2r+mnh/2LDSUhctty7ays6VEGert7/mw7+kou3eB0K4Fg&#10;ERuq0dd0iNFXRRHEIA0PC+elRWfnwPCIKvRFC3zE6kYXS8bWxeig9eCEDAGtd2cn3eX6XSdF/NB1&#10;QUaia4q9xXxCPpt0Frstr3rgflDi0gb/hy4MVxYvnUvd8cjJI6i/ShklwAXXxYVwpnBdp4TMGBBN&#10;yf5Acz9wLzMWJCf4mabw/8qK94ePQFRb05v1ihLLDQ7p9PXL6duP0/fPpGSr5SaRNPpQYey9x+g4&#10;vXITDvvJHtCYsE8dmPRHVAT9SPdxplhOkYiUVG7KkqFLoO8lY2yVZ1D8yvYQ4hvpDElCTQFHmJnl&#10;h3chYicY+hSSLgtOq3avtM4K9M1rDeTAcdz7/KUmMeW3MG1TsHUp7ew+W2RemMs1CfEZWZLi1EwX&#10;GhrXHpEF/dbiHG7WiAH3alYogSu5mWUMevSg+gExZeaKVBanmtu7bGBam2sd5et3svs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kPbfdsAAAALAQAADwAAAAAAAAABACAAAAAiAAAAZHJzL2Rvd25y&#10;ZXYueG1sUEsBAhQAFAAAAAgAh07iQDqrenHCAQAAbwMAAA4AAAAAAAAAAQAgAAAAKgEAAGRycy9l&#10;Mm9Eb2MueG1sUEsFBgAAAAAGAAYAWQEAAF4FAAAAAA==&#10;" stroked="f">
            <v:textbox style="mso-next-textbox:#_x0000_s1424" inset="1mm,.1mm,.1mm,1mm">
              <w:txbxContent>
                <w:p w:rsidR="00BB1CC7" w:rsidRDefault="00BB1CC7"/>
              </w:txbxContent>
            </v:textbox>
          </v:shape>
        </w:pict>
      </w:r>
      <w:r>
        <w:rPr>
          <w:rFonts w:eastAsiaTheme="minorEastAsia" w:hAnsiTheme="minorEastAsia"/>
        </w:rPr>
        <w:pict>
          <v:shape id="_x0000_s1423" type="#_x0000_t202" style="position:absolute;left:0;text-align:left;margin-left:341.7pt;margin-top:5.85pt;width:63.3pt;height:31.5pt;z-index:252158976" o:gfxdata="UEsDBAoAAAAAAIdO4kAAAAAAAAAAAAAAAAAEAAAAZHJzL1BLAwQUAAAACACHTuJAQ9gy59gAAAAJ&#10;AQAADwAAAGRycy9kb3ducmV2LnhtbE2PQUvEMBCF74L/IYzgzU2qy7bUpguKi7gXcRX0ONtkm2Iz&#10;KU22Xf31jic9Du/jzfeq9cn3YrJj7AJpyBYKhKUmmI5aDW+vm6sCRExIBvtAVsOXjbCuz88qLE2Y&#10;6cVOu9QKLqFYogaX0lBKGRtnPcZFGCxxdgijx8Tn2Eoz4szlvpfXSq2kx474g8PB3jvbfO6OXsP0&#10;dGjT99xsu9xtHp8/Er7fPWy1vrzI1C2IZE/pD4ZffVaHmp324Ugmil7DqrhZMspBloNgoMgUj9tr&#10;yJc5yLqS/xfUP1BLAwQUAAAACACHTuJAtT9x98MBAABvAwAADgAAAGRycy9lMm9Eb2MueG1srVNN&#10;jtMwFN4jcQfLe5qkM1NVUdORYFSEhABp4ACOYyeW/KdnT5NeAG7Aig17ztVz8Ox2QpnZIbJw3r/f&#10;973nze1kNNkLCMrZhlaLkhJhueuU7Rv65fPu1ZqSEJntmHZWNPQgAr3dvnyxGX0tlm5wuhNAsIgN&#10;9egbOsTo66IIfBCGhYXzwqJTOjAsogp90QEbsbrRxbIsV8XooPPguAgBrXcnJ93m+lIKHj9KGUQk&#10;uqHYW8wn5LNNZ7HdsLoH5gfFz22wf+jCMGXx0rnUHYuMPIB6VsooDi44GRfcmcJJqbjIGBBNVT5B&#10;cz8wLzIWJCf4mabw/8ryD/tPQFTX0KvVNSWWGRzS8fu3449fx59fSVXeLNeJpNGHGmPvPUbH6bWb&#10;cNiP9oDGhH2SYNIfURH0I92HmWIxRcJTUrWuqhJdHH3XZVne5BkUf7I9hPhWOEOS0FDAEWZm2f59&#10;iNgJhj6GpMuC06rbKa2zAn37RgPZMxz3Ln+pSUz5K0zbFGxdSju5TxaRF+Z8TUJ8QpakOLXTmYbW&#10;dQdkQb+zOIerFWLAvZoVSuBCbmcZgx48qH5ATJm5IpXFqeb2zhuY1uZSR/nynW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PYMufYAAAACQEAAA8AAAAAAAAAAQAgAAAAIgAAAGRycy9kb3ducmV2&#10;LnhtbFBLAQIUABQAAAAIAIdO4kC1P3H3wwEAAG8DAAAOAAAAAAAAAAEAIAAAACcBAABkcnMvZTJv&#10;RG9jLnhtbFBLBQYAAAAABgAGAFkBAABcBQAAAAA=&#10;" stroked="f">
            <v:textbox style="mso-next-textbox:#_x0000_s1423" inset="1mm,.1mm,.1mm,1mm">
              <w:txbxContent>
                <w:p w:rsidR="00BB1CC7" w:rsidRDefault="00BB1CC7"/>
              </w:txbxContent>
            </v:textbox>
          </v:shape>
        </w:pict>
      </w:r>
      <w:r>
        <w:rPr>
          <w:rFonts w:eastAsiaTheme="minorEastAsia" w:hAnsiTheme="minorEastAsia"/>
        </w:rPr>
        <w:pict>
          <v:shape id="_x0000_s1422" type="#_x0000_t202" style="position:absolute;left:0;text-align:left;margin-left:312pt;margin-top:18.6pt;width:29.7pt;height:31.5pt;z-index:252157952" o:gfxdata="UEsDBAoAAAAAAIdO4kAAAAAAAAAAAAAAAAAEAAAAZHJzL1BLAwQUAAAACACHTuJAQQBMdNoAAAAK&#10;AQAADwAAAGRycy9kb3ducmV2LnhtbE2PQUvDQBCF74L/YRnBm91tWtISsykoFrEXsQp63Gan2WB2&#10;NmS3SfXXO570OMzHe98rN2ffiRGH2AbSMJ8pEEh1sC01Gt5etzdrEDEZsqYLhBq+MMKmurwoTWHD&#10;RC847lMjOIRiYTS4lPpCylg79CbOQo/Ev2MYvEl8Do20g5k43HcyUyqX3rTEDc70eO+w/tyfvIbx&#10;6dik76netSu3fXz+SOb97mGn9fXVXN2CSHhOfzD86rM6VOx0CCeyUXQa8mzJW5KGxSoDwUC+XixB&#10;HJhUKgNZlfL/hOoHUEsDBBQAAAAIAIdO4kCa3KHTwgEAAG8DAAAOAAAAZHJzL2Uyb0RvYy54bWyt&#10;U02O0zAU3iNxB8t7GqdlqipqOhKMipAQIM1wAMdxEkv+07OnSS8AN2DFhj3n6jl4djuhwA6RhfP+&#10;/b7vPW9vJ6PJQUJQzta0XDBKpBWuVbav6aeH/YsNJSFy23LtrKzpUQZ6u3v+bDv6Si7d4HQrgWAR&#10;G6rR13SI0VdFEcQgDQ8L56VFZ+fA8Igq9EULfMTqRhdLxtbF6KD14IQMAa13Zyfd5fpdJ0X80HVB&#10;RqJrir3FfEI+m3QWuy2veuB+UOLSBv+HLgxXFi+dS93xyMkjqL9KGSXABdfFhXCmcF2nhMwYEE3J&#10;/kBzP3AvMxYkJ/iZpvD/yor3h49AVFvT1XpFieUGh3T6+uX07cfp+2dSspvlJpE0+lBh7L3H6Di9&#10;chMO+8ke0JiwTx2Y9EdUBP1I93GmWE6RiJRUbsqSoUug7yVj7CbPoPiV7SHEN9IZkoSaAo4wM8sP&#10;70LETjD0KSRdFpxW7V5pnRXom9cayIHjuPf5S01iym9h2qZg61La2X22yLwwl2sS4jOyJMWpmS40&#10;NK49Igv6rcU5rNaIAfdqViiBK7mZZQx69KD6ATFl5opUFqea27tsYFqbax3l63ey+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BAEx02gAAAAoBAAAPAAAAAAAAAAEAIAAAACIAAABkcnMvZG93bnJl&#10;di54bWxQSwECFAAUAAAACACHTuJAmtyh08IBAABvAwAADgAAAAAAAAABACAAAAApAQAAZHJzL2Uy&#10;b0RvYy54bWxQSwUGAAAAAAYABgBZAQAAXQUAAAAA&#10;" stroked="f">
            <v:textbox style="mso-next-textbox:#_x0000_s1422" inset="1mm,.1mm,.1mm,1mm">
              <w:txbxContent>
                <w:p w:rsidR="00BB1CC7" w:rsidRDefault="00BB1CC7"/>
              </w:txbxContent>
            </v:textbox>
          </v:shape>
        </w:pict>
      </w:r>
      <w:r>
        <w:rPr>
          <w:rFonts w:eastAsiaTheme="minorEastAsia" w:hAnsiTheme="minorEastAsia"/>
        </w:rPr>
        <w:pict>
          <v:shape id="_x0000_s1421" type="#_x0000_t202" style="position:absolute;left:0;text-align:left;margin-left:312pt;margin-top:304.35pt;width:93pt;height:31.5pt;z-index:252156928" o:gfxdata="UEsDBAoAAAAAAIdO4kAAAAAAAAAAAAAAAAAEAAAAZHJzL1BLAwQUAAAACACHTuJAryjUUdoAAAAL&#10;AQAADwAAAGRycy9kb3ducmV2LnhtbE2PQU/DMAyF70j8h8hI3FjSCa1VaToJxITYBTGQ4Og1WVPR&#10;JFXjtYNfjzmxm/389Py9an3yvZjsmLoYNGQLBcKGJpoutBre3zY3BYhEGAz2MVgN3zbBur68qLA0&#10;cQ6vdtpRKzgkpBI1OKKhlDI1znpMizjYwLdDHD0Sr2MrzYgzh/teLpVaSY9d4A8OB/vgbPO1O3oN&#10;0/OhpZ+52Xa52zy9fBJ+3D9utb6+ytQdCLIn+jfDHz6jQ81M+3gMJolew2p5y12IB1XkINhRZIqV&#10;PSt5loOsK3neof4FUEsDBBQAAAAIAIdO4kAVSKpVwwEAAG8DAAAOAAAAZHJzL2Uyb0RvYy54bWyt&#10;U02O0zAU3iNxB8t7GqfDVFXUdCQYFSEhQJrhAI7jJJb8p2dPk14AbsCKDXvO1XPw7HZCYXYjsnDe&#10;v9/3vefNzWQ02UsIytmalgtGibTCtcr2Nf1yv3u1piREbluunZU1PchAb7YvX2xGX8mlG5xuJRAs&#10;YkM1+poOMfqqKIIYpOFh4by06OwcGB5Rhb5ogY9Y3ehiydiqGB20HpyQIaD19uSk21y/66SIn7ou&#10;yEh0TbG3mE/IZ5POYrvhVQ/cD0qc2+DP6MJwZfHSudQtj5w8gHpSyigBLrguLoQzhes6JWTGgGhK&#10;9g+au4F7mbEgOcHPNIX/V1Z83H8GotqaXq2WlFhucEjH79+OP34df34lJbterhNJow8Vxt55jI7T&#10;GzfhsB/tAY0J+9SBSX9ERdCPdB9miuUUiUhJ5bosGboE+l4zxq7zDIo/2R5CfCedIUmoKeAIM7N8&#10;/yFE7ARDH0PSZcFp1e6U1lmBvnmrgew5jnuXv9QkpvwVpm0Kti6lndwni8wLc74mIT4hS1KcmulM&#10;Q+PaA7Kg31ucw9UKMeBezQolcCE3s4xBDx5UPyCmzFyRyuJUc3vnDUxrc6mjfPlO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yjUUdoAAAALAQAADwAAAAAAAAABACAAAAAiAAAAZHJzL2Rvd25y&#10;ZXYueG1sUEsBAhQAFAAAAAgAh07iQBVIqlXDAQAAbwMAAA4AAAAAAAAAAQAgAAAAKQEAAGRycy9l&#10;Mm9Eb2MueG1sUEsFBgAAAAAGAAYAWQEAAF4FAAAAAA==&#10;" stroked="f">
            <v:textbox style="mso-next-textbox:#_x0000_s1421" inset="1mm,.1mm,.1mm,1mm">
              <w:txbxContent>
                <w:p w:rsidR="00BB1CC7" w:rsidRDefault="00BB1CC7">
                  <w:pPr>
                    <w:rPr>
                      <w:rFonts w:ascii="华文楷体" w:eastAsia="华文楷体" w:hAnsi="华文楷体"/>
                      <w:spacing w:val="-6"/>
                    </w:rPr>
                  </w:pPr>
                  <w:r>
                    <w:rPr>
                      <w:rFonts w:ascii="华文楷体" w:eastAsia="华文楷体" w:hAnsi="华文楷体" w:hint="eastAsia"/>
                      <w:spacing w:val="-6"/>
                    </w:rPr>
                    <w:t>井下洒水、黄泥灌浆、绿化除尘等</w:t>
                  </w:r>
                </w:p>
              </w:txbxContent>
            </v:textbox>
          </v:shape>
        </w:pict>
      </w:r>
      <w:r w:rsidR="005860D5">
        <w:rPr>
          <w:rFonts w:hint="eastAsia"/>
          <w:noProof/>
          <w:color w:val="FF0000"/>
          <w:sz w:val="24"/>
        </w:rPr>
        <w:drawing>
          <wp:inline distT="0" distB="0" distL="0" distR="0">
            <wp:extent cx="4886325" cy="6229350"/>
            <wp:effectExtent l="0" t="0" r="0" b="0"/>
            <wp:docPr id="10529" name="图片 1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 name="图片 10529"/>
                    <pic:cNvPicPr>
                      <a:picLocks noChangeAspect="1" noChangeArrowheads="1"/>
                    </pic:cNvPicPr>
                  </pic:nvPicPr>
                  <pic:blipFill>
                    <a:blip r:embed="rId24"/>
                    <a:srcRect l="17264" t="15555" r="50595" b="31473"/>
                    <a:stretch>
                      <a:fillRect/>
                    </a:stretch>
                  </pic:blipFill>
                  <pic:spPr>
                    <a:xfrm>
                      <a:off x="0" y="0"/>
                      <a:ext cx="4886325" cy="6229350"/>
                    </a:xfrm>
                    <a:prstGeom prst="rect">
                      <a:avLst/>
                    </a:prstGeom>
                    <a:noFill/>
                    <a:ln w="9525">
                      <a:noFill/>
                      <a:miter lim="800000"/>
                      <a:headEnd/>
                      <a:tailEnd/>
                    </a:ln>
                  </pic:spPr>
                </pic:pic>
              </a:graphicData>
            </a:graphic>
          </wp:inline>
        </w:drawing>
      </w:r>
    </w:p>
    <w:p w:rsidR="00C223F5" w:rsidRDefault="005860D5">
      <w:pPr>
        <w:pStyle w:val="aff1"/>
        <w:spacing w:line="360" w:lineRule="auto"/>
        <w:ind w:left="0" w:firstLine="0"/>
        <w:jc w:val="center"/>
        <w:rPr>
          <w:b/>
        </w:rPr>
      </w:pPr>
      <w:r>
        <w:rPr>
          <w:rFonts w:hint="eastAsia"/>
          <w:b/>
        </w:rPr>
        <w:t>图</w:t>
      </w:r>
      <w:r>
        <w:rPr>
          <w:rFonts w:hint="eastAsia"/>
          <w:b/>
        </w:rPr>
        <w:t xml:space="preserve">2.2.9-2   </w:t>
      </w:r>
      <w:r>
        <w:rPr>
          <w:rFonts w:hint="eastAsia"/>
          <w:b/>
        </w:rPr>
        <w:t>矿井水处理站工艺流程图</w:t>
      </w:r>
    </w:p>
    <w:p w:rsidR="00CC5E6C" w:rsidRDefault="00CC5E6C">
      <w:pPr>
        <w:pStyle w:val="aff1"/>
        <w:tabs>
          <w:tab w:val="clear" w:pos="5781"/>
        </w:tabs>
        <w:spacing w:line="360" w:lineRule="auto"/>
        <w:ind w:left="0" w:firstLineChars="200" w:firstLine="480"/>
        <w:rPr>
          <w:rFonts w:eastAsiaTheme="minorEastAsia" w:hAnsiTheme="minorEastAsia"/>
        </w:rPr>
      </w:pPr>
      <w:bookmarkStart w:id="219" w:name="_Toc488660684"/>
    </w:p>
    <w:p w:rsidR="00C223F5" w:rsidRDefault="005860D5">
      <w:pPr>
        <w:pStyle w:val="aff1"/>
        <w:tabs>
          <w:tab w:val="clear" w:pos="5781"/>
        </w:tabs>
        <w:spacing w:line="360" w:lineRule="auto"/>
        <w:ind w:left="0" w:firstLineChars="200" w:firstLine="480"/>
        <w:rPr>
          <w:rFonts w:eastAsiaTheme="minorEastAsia" w:hAnsiTheme="minorEastAsia"/>
        </w:rPr>
      </w:pPr>
      <w:r>
        <w:rPr>
          <w:rFonts w:eastAsiaTheme="minorEastAsia" w:hAnsiTheme="minorEastAsia"/>
        </w:rPr>
        <w:lastRenderedPageBreak/>
        <w:t>（</w:t>
      </w:r>
      <w:r>
        <w:rPr>
          <w:rFonts w:eastAsiaTheme="minorEastAsia" w:hAnsiTheme="minorEastAsia"/>
        </w:rPr>
        <w:t>2</w:t>
      </w:r>
      <w:r>
        <w:rPr>
          <w:rFonts w:eastAsiaTheme="minorEastAsia" w:hAnsiTheme="minorEastAsia"/>
        </w:rPr>
        <w:t>）</w:t>
      </w:r>
      <w:r>
        <w:rPr>
          <w:rFonts w:eastAsiaTheme="minorEastAsia" w:hAnsiTheme="minorEastAsia" w:hint="eastAsia"/>
        </w:rPr>
        <w:t>粉尘治理工程</w:t>
      </w:r>
      <w:bookmarkEnd w:id="219"/>
    </w:p>
    <w:p w:rsidR="00C223F5" w:rsidRPr="00925B84" w:rsidRDefault="005860D5">
      <w:pPr>
        <w:pStyle w:val="aff1"/>
        <w:tabs>
          <w:tab w:val="clear" w:pos="5781"/>
        </w:tabs>
        <w:spacing w:line="360" w:lineRule="auto"/>
        <w:ind w:left="0" w:firstLineChars="200" w:firstLine="480"/>
        <w:rPr>
          <w:rFonts w:ascii="宋体" w:hAnsi="宋体"/>
        </w:rPr>
      </w:pPr>
      <w:r>
        <w:rPr>
          <w:rFonts w:eastAsiaTheme="minorEastAsia" w:hAnsiTheme="minorEastAsia" w:hint="eastAsia"/>
        </w:rPr>
        <w:t>煤炭输送采用密闭带式输送机，</w:t>
      </w:r>
      <w:r>
        <w:rPr>
          <w:rFonts w:ascii="宋体" w:hAnsi="宋体"/>
          <w:color w:val="000000"/>
          <w:szCs w:val="24"/>
        </w:rPr>
        <w:t>设洒水抑尘系统</w:t>
      </w:r>
      <w:r>
        <w:rPr>
          <w:rFonts w:ascii="宋体" w:hAnsi="宋体" w:hint="eastAsia"/>
          <w:color w:val="000000"/>
          <w:szCs w:val="24"/>
        </w:rPr>
        <w:t>；</w:t>
      </w:r>
      <w:r>
        <w:rPr>
          <w:rFonts w:eastAsiaTheme="minorEastAsia" w:hAnsiTheme="minorEastAsia" w:hint="eastAsia"/>
        </w:rPr>
        <w:t>选煤厂筛破设备安装在主厂房及筛分破</w:t>
      </w:r>
      <w:r w:rsidRPr="00925B84">
        <w:rPr>
          <w:rFonts w:eastAsiaTheme="minorEastAsia" w:hAnsiTheme="minorEastAsia" w:hint="eastAsia"/>
        </w:rPr>
        <w:t>碎车间联合建筑内，设置集尘罩及微米级干雾抑尘装置，主要产尘点原煤仓上下转载点、筛分破碎车间振动筛上下转载点、产品仓上下转载点等设干雾喷头</w:t>
      </w:r>
      <w:r w:rsidRPr="00925B84">
        <w:rPr>
          <w:rFonts w:hAnsi="宋体" w:hint="eastAsia"/>
          <w:szCs w:val="22"/>
        </w:rPr>
        <w:t>；原煤、产品及选矸均存贮在筒仓内</w:t>
      </w:r>
      <w:r w:rsidR="00B65AE9" w:rsidRPr="00925B84">
        <w:rPr>
          <w:rFonts w:hAnsi="宋体" w:hint="eastAsia"/>
          <w:szCs w:val="22"/>
        </w:rPr>
        <w:t>；煤泥卸载场地设置为密闭储棚</w:t>
      </w:r>
      <w:r w:rsidRPr="00925B84">
        <w:rPr>
          <w:rFonts w:hAnsi="宋体" w:hint="eastAsia"/>
          <w:szCs w:val="22"/>
        </w:rPr>
        <w:t>。</w:t>
      </w:r>
    </w:p>
    <w:p w:rsidR="00C223F5" w:rsidRPr="00925B84" w:rsidRDefault="005860D5">
      <w:pPr>
        <w:spacing w:line="360" w:lineRule="auto"/>
        <w:ind w:firstLineChars="200" w:firstLine="480"/>
        <w:rPr>
          <w:rFonts w:hAnsi="宋体"/>
          <w:sz w:val="24"/>
        </w:rPr>
      </w:pPr>
      <w:r w:rsidRPr="00925B84">
        <w:rPr>
          <w:rFonts w:hAnsi="宋体" w:hint="eastAsia"/>
          <w:sz w:val="24"/>
        </w:rPr>
        <w:t>（</w:t>
      </w:r>
      <w:r w:rsidRPr="00925B84">
        <w:rPr>
          <w:rFonts w:hAnsi="宋体" w:hint="eastAsia"/>
          <w:sz w:val="24"/>
        </w:rPr>
        <w:t>3</w:t>
      </w:r>
      <w:r w:rsidRPr="00925B84">
        <w:rPr>
          <w:rFonts w:hAnsi="宋体" w:hint="eastAsia"/>
          <w:sz w:val="24"/>
        </w:rPr>
        <w:t>）固废处置工程</w:t>
      </w:r>
    </w:p>
    <w:p w:rsidR="00C223F5" w:rsidRPr="00925B84" w:rsidRDefault="005860D5">
      <w:pPr>
        <w:spacing w:line="360" w:lineRule="auto"/>
        <w:ind w:firstLineChars="200" w:firstLine="480"/>
        <w:rPr>
          <w:rFonts w:hAnsi="宋体"/>
          <w:sz w:val="24"/>
        </w:rPr>
      </w:pPr>
      <w:r w:rsidRPr="00925B84">
        <w:rPr>
          <w:rFonts w:ascii="宋体" w:hAnsi="宋体" w:hint="eastAsia"/>
          <w:sz w:val="24"/>
        </w:rPr>
        <w:t>正常生产期间掘进产生的矸石量很小，</w:t>
      </w:r>
      <w:r w:rsidR="005F7BDD" w:rsidRPr="00925B84">
        <w:rPr>
          <w:rFonts w:ascii="宋体" w:hAnsi="宋体" w:hint="eastAsia"/>
          <w:sz w:val="24"/>
        </w:rPr>
        <w:t>不出井</w:t>
      </w:r>
      <w:r w:rsidRPr="00925B84">
        <w:rPr>
          <w:rFonts w:hAnsi="宋体" w:hint="eastAsia"/>
          <w:sz w:val="24"/>
        </w:rPr>
        <w:t>，选煤厂筛选矸石量为</w:t>
      </w:r>
      <w:r w:rsidRPr="00925B84">
        <w:rPr>
          <w:rFonts w:hint="eastAsia"/>
          <w:sz w:val="24"/>
        </w:rPr>
        <w:t>24.7</w:t>
      </w:r>
      <w:r w:rsidRPr="00925B84">
        <w:rPr>
          <w:rFonts w:hint="eastAsia"/>
          <w:sz w:val="24"/>
        </w:rPr>
        <w:t>万</w:t>
      </w:r>
      <w:r w:rsidRPr="00925B84">
        <w:rPr>
          <w:rFonts w:hint="eastAsia"/>
          <w:sz w:val="24"/>
        </w:rPr>
        <w:t>t</w:t>
      </w:r>
      <w:r w:rsidR="005F7BDD" w:rsidRPr="00925B84">
        <w:rPr>
          <w:rFonts w:hint="eastAsia"/>
          <w:sz w:val="24"/>
        </w:rPr>
        <w:t>/a</w:t>
      </w:r>
      <w:r w:rsidRPr="00925B84">
        <w:rPr>
          <w:rFonts w:hAnsi="宋体" w:hint="eastAsia"/>
          <w:sz w:val="24"/>
        </w:rPr>
        <w:t>，优先综合利用于子洲县马岔乡大堡岔兴盛砖厂和大堡岔红旗空心砖厂，部分外销给</w:t>
      </w:r>
      <w:r w:rsidR="005F7BDD" w:rsidRPr="00925B84">
        <w:rPr>
          <w:rFonts w:hAnsi="宋体" w:hint="eastAsia"/>
          <w:sz w:val="24"/>
        </w:rPr>
        <w:t>圣拓（陕西）矿业有限公司</w:t>
      </w:r>
      <w:r w:rsidR="00CC2685">
        <w:rPr>
          <w:rFonts w:hAnsi="宋体" w:hint="eastAsia"/>
          <w:sz w:val="24"/>
        </w:rPr>
        <w:t>用作井下充填骨料</w:t>
      </w:r>
      <w:r w:rsidRPr="00925B84">
        <w:rPr>
          <w:rFonts w:hAnsi="宋体" w:hint="eastAsia"/>
          <w:sz w:val="24"/>
        </w:rPr>
        <w:t>，利用不畅时暂存工业场地矸石仓内</w:t>
      </w:r>
      <w:r w:rsidR="005F7BDD" w:rsidRPr="00925B84">
        <w:rPr>
          <w:rFonts w:hAnsi="宋体" w:hint="eastAsia"/>
          <w:sz w:val="24"/>
        </w:rPr>
        <w:t>或回填井下废弃巷道</w:t>
      </w:r>
      <w:r w:rsidRPr="00925B84">
        <w:rPr>
          <w:rFonts w:hAnsi="宋体" w:hint="eastAsia"/>
          <w:sz w:val="24"/>
        </w:rPr>
        <w:t>。</w:t>
      </w:r>
    </w:p>
    <w:p w:rsidR="00C223F5" w:rsidRPr="00925B84" w:rsidRDefault="005860D5">
      <w:pPr>
        <w:spacing w:line="360" w:lineRule="auto"/>
        <w:ind w:firstLineChars="200" w:firstLine="480"/>
        <w:rPr>
          <w:kern w:val="0"/>
          <w:sz w:val="24"/>
        </w:rPr>
      </w:pPr>
      <w:r w:rsidRPr="00925B84">
        <w:rPr>
          <w:rFonts w:hint="eastAsia"/>
          <w:kern w:val="0"/>
          <w:sz w:val="24"/>
        </w:rPr>
        <w:t>（</w:t>
      </w:r>
      <w:r w:rsidRPr="00925B84">
        <w:rPr>
          <w:rFonts w:hint="eastAsia"/>
          <w:kern w:val="0"/>
          <w:sz w:val="24"/>
        </w:rPr>
        <w:t>4</w:t>
      </w:r>
      <w:r w:rsidRPr="00925B84">
        <w:rPr>
          <w:rFonts w:hint="eastAsia"/>
          <w:kern w:val="0"/>
          <w:sz w:val="24"/>
        </w:rPr>
        <w:t>）噪声防治工程</w:t>
      </w:r>
    </w:p>
    <w:p w:rsidR="00B65AE9" w:rsidRDefault="005860D5" w:rsidP="00B65AE9">
      <w:pPr>
        <w:spacing w:line="360" w:lineRule="auto"/>
        <w:ind w:firstLineChars="200" w:firstLine="480"/>
        <w:rPr>
          <w:rFonts w:hAnsi="宋体"/>
          <w:sz w:val="24"/>
        </w:rPr>
      </w:pPr>
      <w:r w:rsidRPr="00925B84">
        <w:rPr>
          <w:rFonts w:hAnsi="宋体" w:hint="eastAsia"/>
          <w:sz w:val="24"/>
        </w:rPr>
        <w:t>工业场地</w:t>
      </w:r>
      <w:r w:rsidRPr="00925B84">
        <w:rPr>
          <w:rFonts w:hAnsi="宋体"/>
          <w:sz w:val="24"/>
        </w:rPr>
        <w:t>噪声源主要有</w:t>
      </w:r>
      <w:r w:rsidRPr="00925B84">
        <w:rPr>
          <w:rFonts w:hAnsi="宋体" w:hint="eastAsia"/>
          <w:sz w:val="24"/>
        </w:rPr>
        <w:t>驱动机房</w:t>
      </w:r>
      <w:r w:rsidRPr="00925B84">
        <w:rPr>
          <w:rFonts w:hAnsi="宋体"/>
          <w:sz w:val="24"/>
        </w:rPr>
        <w:t>、通风机房、</w:t>
      </w:r>
      <w:r>
        <w:rPr>
          <w:rFonts w:hAnsi="宋体" w:hint="eastAsia"/>
          <w:sz w:val="24"/>
        </w:rPr>
        <w:t>乏风热泵机房、</w:t>
      </w:r>
      <w:r>
        <w:rPr>
          <w:rFonts w:eastAsiaTheme="minorEastAsia" w:hAnsiTheme="minorEastAsia" w:hint="eastAsia"/>
          <w:sz w:val="24"/>
        </w:rPr>
        <w:t>筛分破碎车间</w:t>
      </w:r>
      <w:r>
        <w:rPr>
          <w:rFonts w:hAnsi="宋体" w:hint="eastAsia"/>
          <w:sz w:val="24"/>
        </w:rPr>
        <w:t>、</w:t>
      </w:r>
      <w:r>
        <w:rPr>
          <w:rFonts w:hAnsi="宋体"/>
          <w:sz w:val="24"/>
        </w:rPr>
        <w:t>主厂房、</w:t>
      </w:r>
      <w:r>
        <w:rPr>
          <w:rFonts w:hAnsi="宋体" w:hint="eastAsia"/>
          <w:sz w:val="24"/>
        </w:rPr>
        <w:t>空压机房</w:t>
      </w:r>
      <w:r>
        <w:rPr>
          <w:rFonts w:hAnsi="宋体"/>
          <w:sz w:val="24"/>
        </w:rPr>
        <w:t>等</w:t>
      </w:r>
      <w:r>
        <w:rPr>
          <w:rFonts w:hAnsi="宋体" w:hint="eastAsia"/>
          <w:sz w:val="24"/>
        </w:rPr>
        <w:t>，</w:t>
      </w:r>
      <w:r>
        <w:rPr>
          <w:rFonts w:hAnsi="宋体"/>
          <w:sz w:val="24"/>
        </w:rPr>
        <w:t>正常生产时设备产生的噪声较强，一般为</w:t>
      </w:r>
      <w:r>
        <w:rPr>
          <w:rFonts w:hAnsi="宋体"/>
          <w:sz w:val="24"/>
        </w:rPr>
        <w:t>80</w:t>
      </w:r>
      <w:r>
        <w:rPr>
          <w:rFonts w:hAnsi="宋体"/>
          <w:sz w:val="24"/>
        </w:rPr>
        <w:t>～</w:t>
      </w:r>
      <w:r>
        <w:rPr>
          <w:rFonts w:hAnsi="宋体"/>
          <w:sz w:val="24"/>
        </w:rPr>
        <w:t>120dB</w:t>
      </w:r>
      <w:r>
        <w:rPr>
          <w:rFonts w:hAnsi="宋体" w:hint="eastAsia"/>
          <w:sz w:val="24"/>
        </w:rPr>
        <w:t>（</w:t>
      </w:r>
      <w:r>
        <w:rPr>
          <w:rFonts w:hAnsi="宋体" w:hint="eastAsia"/>
          <w:sz w:val="24"/>
        </w:rPr>
        <w:t>A</w:t>
      </w:r>
      <w:r>
        <w:rPr>
          <w:rFonts w:hAnsi="宋体" w:hint="eastAsia"/>
          <w:sz w:val="24"/>
        </w:rPr>
        <w:t>）</w:t>
      </w:r>
      <w:r>
        <w:rPr>
          <w:rFonts w:hAnsi="宋体"/>
          <w:sz w:val="24"/>
        </w:rPr>
        <w:t>。实施的噪声防治工程如下：</w:t>
      </w:r>
      <w:r>
        <w:rPr>
          <w:rFonts w:hAnsi="宋体" w:hint="eastAsia"/>
          <w:sz w:val="24"/>
        </w:rPr>
        <w:t>乏风热泵机房、</w:t>
      </w:r>
      <w:r>
        <w:rPr>
          <w:rFonts w:eastAsiaTheme="minorEastAsia" w:hAnsiTheme="minorEastAsia" w:hint="eastAsia"/>
          <w:sz w:val="24"/>
        </w:rPr>
        <w:t>筛分破碎车间</w:t>
      </w:r>
      <w:r>
        <w:rPr>
          <w:rFonts w:hAnsi="宋体" w:hint="eastAsia"/>
          <w:sz w:val="24"/>
        </w:rPr>
        <w:t>、主厂房和水处理站设置隔声门窗；在驱动机头上安装隔声箱；通风机风机口上加设扩散塔；空压机进气口装消声器；振动筛等设备减震；输煤栈桥设隔声窗；</w:t>
      </w:r>
      <w:r>
        <w:rPr>
          <w:rFonts w:hAnsi="宋体"/>
          <w:sz w:val="24"/>
        </w:rPr>
        <w:t>振动较强的各类水泵基础设减振、管道连接设橡胶软接头等。</w:t>
      </w:r>
      <w:bookmarkStart w:id="220" w:name="_Toc472327295"/>
      <w:bookmarkStart w:id="221" w:name="_Toc471477591"/>
      <w:bookmarkStart w:id="222" w:name="_Toc474316558"/>
      <w:bookmarkStart w:id="223" w:name="_Toc488660686"/>
      <w:bookmarkStart w:id="224" w:name="_Toc471319412"/>
    </w:p>
    <w:p w:rsidR="00B65AE9" w:rsidRDefault="005860D5" w:rsidP="00B65AE9">
      <w:pPr>
        <w:spacing w:line="360" w:lineRule="auto"/>
        <w:ind w:firstLineChars="200" w:firstLine="480"/>
        <w:rPr>
          <w:kern w:val="0"/>
          <w:sz w:val="24"/>
        </w:rPr>
      </w:pPr>
      <w:r>
        <w:rPr>
          <w:rFonts w:hint="eastAsia"/>
          <w:kern w:val="0"/>
          <w:sz w:val="24"/>
        </w:rPr>
        <w:t>（</w:t>
      </w:r>
      <w:r>
        <w:rPr>
          <w:rFonts w:hint="eastAsia"/>
          <w:kern w:val="0"/>
          <w:sz w:val="24"/>
        </w:rPr>
        <w:t>5</w:t>
      </w:r>
      <w:r>
        <w:rPr>
          <w:rFonts w:hint="eastAsia"/>
          <w:kern w:val="0"/>
          <w:sz w:val="24"/>
        </w:rPr>
        <w:t>）绿化工程</w:t>
      </w:r>
      <w:bookmarkEnd w:id="220"/>
      <w:bookmarkEnd w:id="221"/>
      <w:bookmarkEnd w:id="222"/>
      <w:bookmarkEnd w:id="223"/>
      <w:bookmarkEnd w:id="224"/>
    </w:p>
    <w:p w:rsidR="00C223F5" w:rsidRDefault="005860D5" w:rsidP="00B65AE9">
      <w:pPr>
        <w:spacing w:line="360" w:lineRule="auto"/>
        <w:ind w:firstLineChars="200" w:firstLine="480"/>
        <w:rPr>
          <w:rFonts w:hAnsi="宋体"/>
          <w:sz w:val="24"/>
        </w:rPr>
      </w:pPr>
      <w:r>
        <w:rPr>
          <w:rFonts w:hAnsi="宋体"/>
          <w:sz w:val="24"/>
        </w:rPr>
        <w:t>场地绿化面积</w:t>
      </w:r>
      <w:r>
        <w:rPr>
          <w:rFonts w:hint="eastAsia"/>
          <w:sz w:val="24"/>
        </w:rPr>
        <w:t>0.945hm</w:t>
      </w:r>
      <w:r>
        <w:rPr>
          <w:rFonts w:hint="eastAsia"/>
          <w:sz w:val="24"/>
          <w:vertAlign w:val="superscript"/>
        </w:rPr>
        <w:t>2</w:t>
      </w:r>
      <w:r>
        <w:rPr>
          <w:rFonts w:hint="eastAsia"/>
          <w:sz w:val="24"/>
        </w:rPr>
        <w:t>，含场内边坡绿化和场内空地绿化，绿化系数</w:t>
      </w:r>
      <w:r>
        <w:rPr>
          <w:rFonts w:hint="eastAsia"/>
          <w:sz w:val="24"/>
        </w:rPr>
        <w:t>18%</w:t>
      </w:r>
      <w:r>
        <w:rPr>
          <w:sz w:val="24"/>
        </w:rPr>
        <w:t>。</w:t>
      </w: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225" w:name="_Toc533604717"/>
      <w:bookmarkStart w:id="226" w:name="_Toc533604297"/>
      <w:bookmarkStart w:id="227" w:name="_Toc16785262"/>
      <w:r>
        <w:rPr>
          <w:rFonts w:ascii="Times New Roman" w:eastAsia="宋体" w:hAnsi="Times New Roman" w:hint="eastAsia"/>
          <w:b/>
          <w:bCs w:val="0"/>
          <w:szCs w:val="30"/>
        </w:rPr>
        <w:t>2.3</w:t>
      </w:r>
      <w:r>
        <w:rPr>
          <w:rFonts w:ascii="Times New Roman" w:eastAsia="宋体" w:hAnsi="Times New Roman" w:hint="eastAsia"/>
          <w:b/>
          <w:bCs w:val="0"/>
          <w:szCs w:val="30"/>
        </w:rPr>
        <w:t>污染源及环境影响因素分析</w:t>
      </w:r>
      <w:bookmarkEnd w:id="225"/>
      <w:bookmarkEnd w:id="226"/>
      <w:bookmarkEnd w:id="227"/>
    </w:p>
    <w:p w:rsidR="00C223F5" w:rsidRDefault="005860D5" w:rsidP="004835BD">
      <w:pPr>
        <w:pStyle w:val="3"/>
        <w:numPr>
          <w:ilvl w:val="0"/>
          <w:numId w:val="0"/>
        </w:numPr>
        <w:spacing w:before="0" w:after="0" w:line="360" w:lineRule="auto"/>
        <w:ind w:left="170"/>
        <w:rPr>
          <w:rFonts w:eastAsia="宋体"/>
          <w:b/>
          <w:bCs w:val="0"/>
          <w:sz w:val="28"/>
          <w:szCs w:val="28"/>
        </w:rPr>
      </w:pPr>
      <w:bookmarkStart w:id="228" w:name="_Toc533604298"/>
      <w:bookmarkStart w:id="229" w:name="_Toc533604718"/>
      <w:bookmarkStart w:id="230" w:name="_Toc16785263"/>
      <w:r>
        <w:rPr>
          <w:rFonts w:eastAsia="宋体" w:hint="eastAsia"/>
          <w:b/>
          <w:bCs w:val="0"/>
          <w:sz w:val="28"/>
          <w:szCs w:val="28"/>
        </w:rPr>
        <w:t>2.3.1</w:t>
      </w:r>
      <w:r>
        <w:rPr>
          <w:rFonts w:eastAsia="宋体" w:hint="eastAsia"/>
          <w:b/>
          <w:bCs w:val="0"/>
          <w:sz w:val="28"/>
          <w:szCs w:val="28"/>
        </w:rPr>
        <w:t>原整合工程污染源及生态、地下水环境影响</w:t>
      </w:r>
      <w:bookmarkEnd w:id="228"/>
      <w:bookmarkEnd w:id="229"/>
      <w:bookmarkEnd w:id="230"/>
    </w:p>
    <w:p w:rsidR="00C223F5" w:rsidRDefault="005860D5" w:rsidP="00F66BD1">
      <w:pPr>
        <w:spacing w:line="360" w:lineRule="auto"/>
        <w:ind w:firstLineChars="200" w:firstLine="480"/>
        <w:rPr>
          <w:sz w:val="24"/>
        </w:rPr>
      </w:pPr>
      <w:r>
        <w:rPr>
          <w:rFonts w:hint="eastAsia"/>
          <w:sz w:val="24"/>
        </w:rPr>
        <w:t>原天云煤矿工程</w:t>
      </w:r>
      <w:r>
        <w:rPr>
          <w:sz w:val="24"/>
        </w:rPr>
        <w:t>主要生产</w:t>
      </w:r>
      <w:r>
        <w:rPr>
          <w:rFonts w:hint="eastAsia"/>
          <w:sz w:val="24"/>
        </w:rPr>
        <w:t>过程</w:t>
      </w:r>
      <w:r>
        <w:rPr>
          <w:sz w:val="24"/>
        </w:rPr>
        <w:t>为：井下采用</w:t>
      </w:r>
      <w:r>
        <w:rPr>
          <w:rFonts w:hint="eastAsia"/>
          <w:sz w:val="24"/>
        </w:rPr>
        <w:t>长壁式普采采煤法，全部垮落法管理顶板</w:t>
      </w:r>
      <w:r>
        <w:rPr>
          <w:sz w:val="24"/>
        </w:rPr>
        <w:t>。原煤出井后</w:t>
      </w:r>
      <w:r>
        <w:rPr>
          <w:rFonts w:hint="eastAsia"/>
          <w:sz w:val="24"/>
        </w:rPr>
        <w:t>简单筛分进入棚式储煤场</w:t>
      </w:r>
      <w:r>
        <w:rPr>
          <w:rFonts w:hAnsi="宋体" w:hint="eastAsia"/>
          <w:sz w:val="24"/>
        </w:rPr>
        <w:t>缓存</w:t>
      </w:r>
      <w:r>
        <w:rPr>
          <w:rFonts w:hAnsi="宋体"/>
          <w:sz w:val="24"/>
        </w:rPr>
        <w:t>，然后</w:t>
      </w:r>
      <w:r>
        <w:rPr>
          <w:rFonts w:hAnsi="宋体" w:hint="eastAsia"/>
          <w:sz w:val="24"/>
        </w:rPr>
        <w:t>装车外运</w:t>
      </w:r>
      <w:r>
        <w:rPr>
          <w:sz w:val="24"/>
        </w:rPr>
        <w:t>。矿井生产工艺见图</w:t>
      </w:r>
      <w:r>
        <w:rPr>
          <w:rFonts w:hint="eastAsia"/>
          <w:sz w:val="24"/>
        </w:rPr>
        <w:t>2.3.1-</w:t>
      </w:r>
      <w:r>
        <w:rPr>
          <w:sz w:val="24"/>
        </w:rPr>
        <w:t>1</w:t>
      </w:r>
      <w:r>
        <w:rPr>
          <w:sz w:val="24"/>
        </w:rPr>
        <w:t>。</w:t>
      </w:r>
      <w:r>
        <w:rPr>
          <w:rFonts w:hint="eastAsia"/>
          <w:sz w:val="24"/>
        </w:rPr>
        <w:t>工程污染源及污染物排放情况引自原环评报告及竣工验收报告。</w:t>
      </w:r>
    </w:p>
    <w:p w:rsidR="00C223F5" w:rsidRDefault="005860D5" w:rsidP="00F66BD1">
      <w:pPr>
        <w:spacing w:line="360" w:lineRule="auto"/>
        <w:ind w:firstLineChars="200" w:firstLine="480"/>
        <w:rPr>
          <w:sz w:val="24"/>
        </w:rPr>
      </w:pPr>
      <w:r>
        <w:rPr>
          <w:sz w:val="24"/>
        </w:rPr>
        <w:t>（</w:t>
      </w:r>
      <w:r>
        <w:rPr>
          <w:sz w:val="24"/>
        </w:rPr>
        <w:t>1</w:t>
      </w:r>
      <w:r>
        <w:rPr>
          <w:sz w:val="24"/>
        </w:rPr>
        <w:t>）大气污染源</w:t>
      </w:r>
    </w:p>
    <w:p w:rsidR="00C223F5" w:rsidRDefault="000F32AE" w:rsidP="00C006A7">
      <w:pPr>
        <w:spacing w:line="360" w:lineRule="auto"/>
        <w:ind w:firstLineChars="200" w:firstLine="480"/>
        <w:rPr>
          <w:sz w:val="24"/>
        </w:rPr>
      </w:pPr>
      <w:r>
        <w:rPr>
          <w:sz w:val="24"/>
        </w:rPr>
        <w:fldChar w:fldCharType="begin"/>
      </w:r>
      <w:r w:rsidR="005860D5">
        <w:rPr>
          <w:rFonts w:hint="eastAsia"/>
          <w:sz w:val="24"/>
        </w:rPr>
        <w:instrText>= 1 \* GB3</w:instrText>
      </w:r>
      <w:r>
        <w:rPr>
          <w:sz w:val="24"/>
        </w:rPr>
        <w:fldChar w:fldCharType="separate"/>
      </w:r>
      <w:r w:rsidR="005860D5">
        <w:rPr>
          <w:rFonts w:hint="eastAsia"/>
          <w:sz w:val="24"/>
        </w:rPr>
        <w:t>①</w:t>
      </w:r>
      <w:r>
        <w:rPr>
          <w:sz w:val="24"/>
        </w:rPr>
        <w:fldChar w:fldCharType="end"/>
      </w:r>
      <w:r w:rsidR="005860D5">
        <w:rPr>
          <w:rFonts w:hint="eastAsia"/>
          <w:sz w:val="24"/>
        </w:rPr>
        <w:t>锅炉烟气</w:t>
      </w:r>
    </w:p>
    <w:p w:rsidR="00C223F5" w:rsidRDefault="005860D5" w:rsidP="00F66BD1">
      <w:pPr>
        <w:spacing w:line="360" w:lineRule="auto"/>
        <w:ind w:firstLineChars="200" w:firstLine="480"/>
        <w:rPr>
          <w:sz w:val="24"/>
        </w:rPr>
      </w:pPr>
      <w:r>
        <w:rPr>
          <w:rFonts w:hint="eastAsia"/>
          <w:sz w:val="24"/>
        </w:rPr>
        <w:t>原天云煤矿工业场地锅炉房内设</w:t>
      </w:r>
      <w:r>
        <w:rPr>
          <w:color w:val="000000"/>
          <w:sz w:val="24"/>
        </w:rPr>
        <w:t>NS85-60</w:t>
      </w:r>
      <w:r>
        <w:rPr>
          <w:color w:val="000000"/>
          <w:sz w:val="24"/>
        </w:rPr>
        <w:t>气化节煤环保常压热水锅炉（冬季采暖</w:t>
      </w:r>
      <w:r>
        <w:rPr>
          <w:rFonts w:hint="eastAsia"/>
          <w:color w:val="000000"/>
          <w:sz w:val="24"/>
        </w:rPr>
        <w:t>期使用</w:t>
      </w:r>
      <w:r>
        <w:rPr>
          <w:color w:val="000000"/>
          <w:sz w:val="24"/>
        </w:rPr>
        <w:t>）及</w:t>
      </w:r>
      <w:r>
        <w:rPr>
          <w:color w:val="000000"/>
          <w:sz w:val="24"/>
        </w:rPr>
        <w:t>CLHG0.20</w:t>
      </w:r>
      <w:r>
        <w:rPr>
          <w:color w:val="000000"/>
          <w:sz w:val="24"/>
        </w:rPr>
        <w:t>常压</w:t>
      </w:r>
      <w:r>
        <w:rPr>
          <w:sz w:val="24"/>
        </w:rPr>
        <w:t>热水锅炉（洗浴锅炉）</w:t>
      </w:r>
      <w:r>
        <w:rPr>
          <w:rFonts w:hint="eastAsia"/>
          <w:sz w:val="24"/>
        </w:rPr>
        <w:t>，主井口设</w:t>
      </w:r>
      <w:r>
        <w:rPr>
          <w:color w:val="000000"/>
          <w:sz w:val="24"/>
        </w:rPr>
        <w:t>RFL-200</w:t>
      </w:r>
      <w:r>
        <w:rPr>
          <w:color w:val="000000"/>
          <w:sz w:val="24"/>
        </w:rPr>
        <w:t>矿用型热风炉</w:t>
      </w:r>
      <w:r>
        <w:rPr>
          <w:rFonts w:hint="eastAsia"/>
          <w:color w:val="000000"/>
          <w:sz w:val="24"/>
        </w:rPr>
        <w:t>（采暖期使用）。</w:t>
      </w:r>
      <w:r>
        <w:rPr>
          <w:rFonts w:hint="eastAsia"/>
          <w:sz w:val="24"/>
        </w:rPr>
        <w:t>根据《横山县天云煤矿有限公司煤矿资源整合项目竣工环</w:t>
      </w:r>
      <w:r>
        <w:rPr>
          <w:rFonts w:hint="eastAsia"/>
          <w:sz w:val="24"/>
        </w:rPr>
        <w:lastRenderedPageBreak/>
        <w:t>境保护验收调查报告》（陕环咨（验）字</w:t>
      </w:r>
      <w:r>
        <w:rPr>
          <w:rFonts w:hint="eastAsia"/>
          <w:sz w:val="24"/>
        </w:rPr>
        <w:t>[2016]</w:t>
      </w:r>
      <w:r>
        <w:rPr>
          <w:rFonts w:hint="eastAsia"/>
          <w:sz w:val="24"/>
        </w:rPr>
        <w:t>第</w:t>
      </w:r>
      <w:r>
        <w:rPr>
          <w:rFonts w:hint="eastAsia"/>
          <w:sz w:val="24"/>
        </w:rPr>
        <w:t>040</w:t>
      </w:r>
      <w:r>
        <w:rPr>
          <w:rFonts w:hint="eastAsia"/>
          <w:sz w:val="24"/>
        </w:rPr>
        <w:t>号），原天云煤矿</w:t>
      </w:r>
      <w:r>
        <w:rPr>
          <w:rFonts w:hint="eastAsia"/>
          <w:sz w:val="24"/>
        </w:rPr>
        <w:t>NS85-60</w:t>
      </w:r>
      <w:r>
        <w:rPr>
          <w:rFonts w:hint="eastAsia"/>
          <w:sz w:val="24"/>
        </w:rPr>
        <w:t>气化节煤环保常压热水锅炉及</w:t>
      </w:r>
      <w:r>
        <w:rPr>
          <w:rFonts w:hint="eastAsia"/>
          <w:sz w:val="24"/>
        </w:rPr>
        <w:t>CLHG0.20</w:t>
      </w:r>
      <w:r>
        <w:rPr>
          <w:rFonts w:hint="eastAsia"/>
          <w:sz w:val="24"/>
        </w:rPr>
        <w:t>常压热水锅炉产生的废气共同经</w:t>
      </w:r>
      <w:r>
        <w:rPr>
          <w:rFonts w:hint="eastAsia"/>
          <w:sz w:val="24"/>
        </w:rPr>
        <w:t>XTD-2TI</w:t>
      </w:r>
      <w:r>
        <w:rPr>
          <w:rFonts w:hint="eastAsia"/>
          <w:sz w:val="24"/>
        </w:rPr>
        <w:t>型环保除尘设备、</w:t>
      </w:r>
      <w:r>
        <w:rPr>
          <w:rFonts w:hint="eastAsia"/>
          <w:sz w:val="24"/>
        </w:rPr>
        <w:t>XL-4T</w:t>
      </w:r>
      <w:r>
        <w:rPr>
          <w:rFonts w:hint="eastAsia"/>
          <w:sz w:val="24"/>
        </w:rPr>
        <w:t>脱硫设备处理后，经由一根高</w:t>
      </w:r>
      <w:r>
        <w:rPr>
          <w:rFonts w:hint="eastAsia"/>
          <w:sz w:val="24"/>
        </w:rPr>
        <w:t>22m</w:t>
      </w:r>
      <w:r>
        <w:rPr>
          <w:rFonts w:hint="eastAsia"/>
          <w:sz w:val="24"/>
        </w:rPr>
        <w:t>的烟囱排放（共用）；</w:t>
      </w:r>
      <w:r>
        <w:rPr>
          <w:rFonts w:hint="eastAsia"/>
          <w:sz w:val="24"/>
        </w:rPr>
        <w:t>RFL-200</w:t>
      </w:r>
      <w:r>
        <w:rPr>
          <w:rFonts w:hint="eastAsia"/>
          <w:sz w:val="24"/>
        </w:rPr>
        <w:t>矿用型热风炉废气经多管陶瓷除尘设备、脱硫设备</w:t>
      </w:r>
      <w:r>
        <w:rPr>
          <w:rFonts w:hint="eastAsia"/>
          <w:sz w:val="24"/>
        </w:rPr>
        <w:t>-</w:t>
      </w:r>
      <w:r>
        <w:rPr>
          <w:rFonts w:hint="eastAsia"/>
          <w:sz w:val="24"/>
        </w:rPr>
        <w:t>玻璃钢脱硫塔处理后，经高</w:t>
      </w:r>
      <w:r>
        <w:rPr>
          <w:rFonts w:hint="eastAsia"/>
          <w:sz w:val="24"/>
        </w:rPr>
        <w:t>16m</w:t>
      </w:r>
      <w:r>
        <w:rPr>
          <w:rFonts w:hint="eastAsia"/>
          <w:sz w:val="24"/>
        </w:rPr>
        <w:t>烟囱排放。</w:t>
      </w:r>
      <w:r>
        <w:rPr>
          <w:rFonts w:hAnsi="宋体" w:hint="eastAsia"/>
          <w:sz w:val="24"/>
        </w:rPr>
        <w:t>燃煤烟尘</w:t>
      </w:r>
      <w:r>
        <w:rPr>
          <w:rFonts w:hint="eastAsia"/>
          <w:sz w:val="24"/>
        </w:rPr>
        <w:t>污染物</w:t>
      </w:r>
      <w:r>
        <w:rPr>
          <w:sz w:val="24"/>
        </w:rPr>
        <w:t>排放情况见表</w:t>
      </w:r>
      <w:r>
        <w:rPr>
          <w:rFonts w:hint="eastAsia"/>
          <w:sz w:val="24"/>
        </w:rPr>
        <w:t>2.3.1-1</w:t>
      </w:r>
      <w:r>
        <w:rPr>
          <w:sz w:val="24"/>
        </w:rPr>
        <w:t>。</w:t>
      </w:r>
    </w:p>
    <w:p w:rsidR="00C223F5" w:rsidRDefault="003761EF" w:rsidP="00F66BD1">
      <w:pPr>
        <w:spacing w:line="360" w:lineRule="auto"/>
        <w:jc w:val="center"/>
        <w:rPr>
          <w:sz w:val="24"/>
        </w:rPr>
      </w:pPr>
      <w:r>
        <w:rPr>
          <w:sz w:val="24"/>
        </w:rPr>
        <w:pict>
          <v:shape id="文本框 12189" o:spid="_x0000_s1420" type="#_x0000_t202" style="position:absolute;left:0;text-align:left;margin-left:366.45pt;margin-top:212.4pt;width:19.3pt;height:21.35pt;z-index:252164096;mso-width-relative:margin;mso-height-relative:margin" o:gfxdata="UEsDBAoAAAAAAIdO4kAAAAAAAAAAAAAAAAAEAAAAZHJzL1BLAwQUAAAACACHTuJAAZ5Fj9kAAAAL&#10;AQAADwAAAGRycy9kb3ducmV2LnhtbE2PwU7DMAyG70i8Q2QkLoilDdsKpemEJhDnDS7cssZrKxqn&#10;bbJ14+kxp3G0/en39xerk+vEEcfQetKQzhIQSJW3LdUaPj/e7h9BhGjIms4TajhjgFV5fVWY3PqJ&#10;NnjcxlpwCIXcaGhi7HMpQ9WgM2HmeyS+7f3oTORxrKUdzcThrpMqSZbSmZb4Q2N6XDdYfW8PToOf&#10;Xs/O45Cou68f975+GTZ7NWh9e5MmzyAinuIFhj99VoeSnXb+QDaITkP2oJ4Y1TBXc+7ARJalCxA7&#10;3iyzBciykP87lL9QSwMEFAAAAAgAh07iQM0uE17wAQAA7QMAAA4AAABkcnMvZTJvRG9jLnhtbK1T&#10;zW4TMRC+I/EOlu9ks0tT2lU3lSCECwKkwgNM/LNryX+y3ezmBeANOHHhznPlOTp20pTCpULswTv2&#10;jL+Z+b7x1fVkNNmKEJWzHa1nc0qEZY4r23f0y+f1iwtKYgLLQTsrOroTkV4vnz+7Gn0rGjc4zUUg&#10;CGJjO/qODin5tqoiG4SBOHNeWHRKFwwk3Ia+4gFGRDe6aubz82p0gfvgmIgRT1cHJ10WfCkFSx+l&#10;jCIR3VGsLZU1lHWT12p5BW0fwA+KHcuAf6jCgLKY9AS1ggTkNqi/oIxiwUUn04w5UzkpFROlB+ym&#10;nv/Rzc0AXpRekJzoTzTF/wfLPmw/BaJ4R1+eo1QWDIq0//5t/+PX/udXUjf1xWUmafSxxdgbj9Fp&#10;eu0mFPv+POJh7n2SweQ/dkXQj3TvThSLKRGGh83Zoq7Rw9DVvKrrs0VGqR4u+xDTO+EMyUZHAypY&#10;iIXt+5gOofchOVd0WvG10rpsQr95owPZAqq9Lt8R/VGYtmTs6OWiWWAdgEMnNSQ0jUcaou1Lvkc3&#10;4tOAc2EriMOhgIKQ80NrVBKhWIMA/tZyknYeibb4JmguxghOiRb4hLJVIhMo/ZRI5E5bpDArdFAi&#10;W2naTAiTzY3jO1Tt1gfVD0hp0a2E40wV7o/zn4f2930BfXily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nkWP2QAAAAsBAAAPAAAAAAAAAAEAIAAAACIAAABkcnMvZG93bnJldi54bWxQSwECFAAU&#10;AAAACACHTuJAzS4TXvABAADtAwAADgAAAAAAAAABACAAAAAoAQAAZHJzL2Uyb0RvYy54bWxQSwUG&#10;AAAAAAYABgBZAQAAigUAAAAA&#10;" strokecolor="white [3212]">
            <v:textbox style="mso-next-textbox:#文本框 12189">
              <w:txbxContent>
                <w:p w:rsidR="00BB1CC7" w:rsidRDefault="00BB1CC7"/>
              </w:txbxContent>
            </v:textbox>
          </v:shape>
        </w:pict>
      </w:r>
      <w:r w:rsidR="005860D5">
        <w:rPr>
          <w:noProof/>
        </w:rPr>
        <w:drawing>
          <wp:inline distT="0" distB="0" distL="0" distR="0">
            <wp:extent cx="5210175" cy="3514725"/>
            <wp:effectExtent l="19050" t="0" r="9525" b="0"/>
            <wp:docPr id="17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3"/>
                    <pic:cNvPicPr>
                      <a:picLocks noChangeAspect="1" noChangeArrowheads="1"/>
                    </pic:cNvPicPr>
                  </pic:nvPicPr>
                  <pic:blipFill>
                    <a:blip r:embed="rId25" cstate="print"/>
                    <a:srcRect l="5244" t="1714" r="4159" b="1714"/>
                    <a:stretch>
                      <a:fillRect/>
                    </a:stretch>
                  </pic:blipFill>
                  <pic:spPr>
                    <a:xfrm>
                      <a:off x="0" y="0"/>
                      <a:ext cx="5210175" cy="3515048"/>
                    </a:xfrm>
                    <a:prstGeom prst="rect">
                      <a:avLst/>
                    </a:prstGeom>
                    <a:noFill/>
                    <a:ln w="9525">
                      <a:noFill/>
                      <a:miter lim="800000"/>
                      <a:headEnd/>
                      <a:tailEnd/>
                    </a:ln>
                    <a:effectLst/>
                  </pic:spPr>
                </pic:pic>
              </a:graphicData>
            </a:graphic>
          </wp:inline>
        </w:drawing>
      </w:r>
    </w:p>
    <w:p w:rsidR="00C223F5" w:rsidRDefault="005860D5" w:rsidP="004835BD">
      <w:pPr>
        <w:spacing w:afterLines="50" w:after="156" w:line="360" w:lineRule="auto"/>
        <w:jc w:val="center"/>
        <w:rPr>
          <w:b/>
          <w:sz w:val="24"/>
        </w:rPr>
      </w:pPr>
      <w:r>
        <w:rPr>
          <w:b/>
          <w:sz w:val="24"/>
        </w:rPr>
        <w:t>图</w:t>
      </w:r>
      <w:r>
        <w:rPr>
          <w:rFonts w:hint="eastAsia"/>
          <w:b/>
          <w:sz w:val="24"/>
        </w:rPr>
        <w:t>2.3.1-</w:t>
      </w:r>
      <w:r>
        <w:rPr>
          <w:b/>
          <w:sz w:val="24"/>
        </w:rPr>
        <w:t>1</w:t>
      </w:r>
      <w:r>
        <w:rPr>
          <w:rFonts w:hint="eastAsia"/>
          <w:b/>
          <w:sz w:val="24"/>
        </w:rPr>
        <w:t xml:space="preserve">   </w:t>
      </w:r>
      <w:r>
        <w:rPr>
          <w:rFonts w:hint="eastAsia"/>
          <w:b/>
          <w:sz w:val="24"/>
        </w:rPr>
        <w:t>原整合工程</w:t>
      </w:r>
      <w:r>
        <w:rPr>
          <w:b/>
          <w:sz w:val="24"/>
        </w:rPr>
        <w:t>生产工艺</w:t>
      </w:r>
      <w:r>
        <w:rPr>
          <w:rFonts w:hint="eastAsia"/>
          <w:b/>
          <w:sz w:val="24"/>
        </w:rPr>
        <w:t>图</w:t>
      </w:r>
    </w:p>
    <w:p w:rsidR="00C223F5" w:rsidRDefault="005860D5" w:rsidP="00F66BD1">
      <w:pPr>
        <w:jc w:val="center"/>
        <w:rPr>
          <w:b/>
          <w:sz w:val="24"/>
        </w:rPr>
      </w:pPr>
      <w:r>
        <w:rPr>
          <w:b/>
          <w:sz w:val="24"/>
        </w:rPr>
        <w:t>表</w:t>
      </w:r>
      <w:r>
        <w:rPr>
          <w:rFonts w:hint="eastAsia"/>
          <w:b/>
          <w:sz w:val="24"/>
        </w:rPr>
        <w:t xml:space="preserve">2.3.1-1   </w:t>
      </w:r>
      <w:r>
        <w:rPr>
          <w:rFonts w:hint="eastAsia"/>
          <w:b/>
          <w:sz w:val="24"/>
        </w:rPr>
        <w:t>原整合工程锅炉</w:t>
      </w:r>
      <w:r>
        <w:rPr>
          <w:b/>
          <w:sz w:val="24"/>
        </w:rPr>
        <w:t>大气污染物排放表</w:t>
      </w: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
        <w:gridCol w:w="1989"/>
        <w:gridCol w:w="1535"/>
        <w:gridCol w:w="869"/>
        <w:gridCol w:w="1229"/>
        <w:gridCol w:w="1246"/>
        <w:gridCol w:w="1037"/>
        <w:gridCol w:w="601"/>
      </w:tblGrid>
      <w:tr w:rsidR="00C223F5">
        <w:trPr>
          <w:jc w:val="center"/>
        </w:trPr>
        <w:tc>
          <w:tcPr>
            <w:tcW w:w="2297" w:type="dxa"/>
            <w:gridSpan w:val="2"/>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季节及污染源</w:t>
            </w:r>
          </w:p>
        </w:tc>
        <w:tc>
          <w:tcPr>
            <w:tcW w:w="1535" w:type="dxa"/>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烟气量</w:t>
            </w:r>
            <w:r>
              <w:rPr>
                <w:rFonts w:hAnsi="宋体"/>
                <w:spacing w:val="-20"/>
                <w:szCs w:val="21"/>
              </w:rPr>
              <w:t>（</w:t>
            </w:r>
            <w:r>
              <w:rPr>
                <w:spacing w:val="-20"/>
                <w:szCs w:val="21"/>
              </w:rPr>
              <w:t>m</w:t>
            </w:r>
            <w:r>
              <w:rPr>
                <w:spacing w:val="-20"/>
                <w:szCs w:val="21"/>
                <w:vertAlign w:val="superscript"/>
              </w:rPr>
              <w:t>3</w:t>
            </w:r>
            <w:r>
              <w:rPr>
                <w:spacing w:val="-20"/>
                <w:szCs w:val="21"/>
              </w:rPr>
              <w:t>/h</w:t>
            </w:r>
            <w:r>
              <w:rPr>
                <w:rFonts w:hAnsi="宋体"/>
                <w:spacing w:val="-20"/>
                <w:szCs w:val="21"/>
              </w:rPr>
              <w:t>）</w:t>
            </w:r>
          </w:p>
        </w:tc>
        <w:tc>
          <w:tcPr>
            <w:tcW w:w="869" w:type="dxa"/>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污染物</w:t>
            </w:r>
          </w:p>
        </w:tc>
        <w:tc>
          <w:tcPr>
            <w:tcW w:w="1229" w:type="dxa"/>
            <w:tcMar>
              <w:left w:w="28" w:type="dxa"/>
              <w:right w:w="28" w:type="dxa"/>
            </w:tcMar>
            <w:vAlign w:val="center"/>
          </w:tcPr>
          <w:p w:rsidR="00C223F5" w:rsidRDefault="005860D5" w:rsidP="00F66BD1">
            <w:pPr>
              <w:adjustRightInd w:val="0"/>
              <w:snapToGrid w:val="0"/>
              <w:jc w:val="center"/>
              <w:textAlignment w:val="baseline"/>
              <w:rPr>
                <w:rFonts w:hAnsi="宋体"/>
                <w:szCs w:val="21"/>
              </w:rPr>
            </w:pPr>
            <w:r>
              <w:rPr>
                <w:rFonts w:hAnsi="宋体"/>
                <w:szCs w:val="21"/>
              </w:rPr>
              <w:t>排放量</w:t>
            </w:r>
          </w:p>
          <w:p w:rsidR="00C223F5" w:rsidRDefault="005860D5" w:rsidP="00F66BD1">
            <w:pPr>
              <w:adjustRightInd w:val="0"/>
              <w:snapToGrid w:val="0"/>
              <w:jc w:val="center"/>
              <w:textAlignment w:val="baseline"/>
              <w:rPr>
                <w:szCs w:val="21"/>
              </w:rPr>
            </w:pPr>
            <w:r>
              <w:rPr>
                <w:rFonts w:hAnsi="宋体"/>
                <w:szCs w:val="21"/>
              </w:rPr>
              <w:t>（</w:t>
            </w:r>
            <w:r>
              <w:rPr>
                <w:szCs w:val="21"/>
              </w:rPr>
              <w:t>kg/h</w:t>
            </w:r>
            <w:r>
              <w:rPr>
                <w:rFonts w:hAnsi="宋体"/>
                <w:szCs w:val="21"/>
              </w:rPr>
              <w:t>）</w:t>
            </w:r>
          </w:p>
        </w:tc>
        <w:tc>
          <w:tcPr>
            <w:tcW w:w="1246" w:type="dxa"/>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排放浓度</w:t>
            </w:r>
          </w:p>
          <w:p w:rsidR="00C223F5" w:rsidRDefault="005860D5" w:rsidP="00F66BD1">
            <w:pPr>
              <w:adjustRightInd w:val="0"/>
              <w:snapToGrid w:val="0"/>
              <w:jc w:val="center"/>
              <w:textAlignment w:val="baseline"/>
              <w:rPr>
                <w:szCs w:val="21"/>
              </w:rPr>
            </w:pPr>
            <w:r>
              <w:rPr>
                <w:rFonts w:hAnsi="宋体"/>
                <w:szCs w:val="21"/>
              </w:rPr>
              <w:t>（</w:t>
            </w:r>
            <w:r>
              <w:rPr>
                <w:szCs w:val="21"/>
              </w:rPr>
              <w:t>mg/m</w:t>
            </w:r>
            <w:r>
              <w:rPr>
                <w:szCs w:val="21"/>
                <w:vertAlign w:val="superscript"/>
              </w:rPr>
              <w:t>3</w:t>
            </w:r>
            <w:r>
              <w:rPr>
                <w:rFonts w:hAnsi="宋体"/>
                <w:szCs w:val="21"/>
              </w:rPr>
              <w:t>）</w:t>
            </w:r>
          </w:p>
        </w:tc>
        <w:tc>
          <w:tcPr>
            <w:tcW w:w="1037" w:type="dxa"/>
            <w:tcMar>
              <w:left w:w="28" w:type="dxa"/>
              <w:right w:w="28" w:type="dxa"/>
            </w:tcMar>
            <w:vAlign w:val="center"/>
          </w:tcPr>
          <w:p w:rsidR="00C223F5" w:rsidRDefault="005860D5" w:rsidP="00F66BD1">
            <w:pPr>
              <w:adjustRightInd w:val="0"/>
              <w:snapToGrid w:val="0"/>
              <w:jc w:val="center"/>
              <w:textAlignment w:val="baseline"/>
              <w:rPr>
                <w:szCs w:val="21"/>
              </w:rPr>
            </w:pPr>
            <w:r>
              <w:rPr>
                <w:kern w:val="24"/>
                <w:szCs w:val="21"/>
              </w:rPr>
              <w:t>GB13271-20</w:t>
            </w:r>
            <w:r>
              <w:rPr>
                <w:rFonts w:hint="eastAsia"/>
                <w:kern w:val="24"/>
                <w:szCs w:val="21"/>
              </w:rPr>
              <w:t>14</w:t>
            </w:r>
            <w:r>
              <w:rPr>
                <w:rFonts w:hAnsi="宋体" w:hint="eastAsia"/>
                <w:kern w:val="24"/>
                <w:szCs w:val="21"/>
              </w:rPr>
              <w:t>表</w:t>
            </w:r>
            <w:r>
              <w:rPr>
                <w:rFonts w:hAnsi="宋体" w:hint="eastAsia"/>
                <w:kern w:val="24"/>
                <w:szCs w:val="21"/>
              </w:rPr>
              <w:t>1</w:t>
            </w:r>
          </w:p>
          <w:p w:rsidR="00C223F5" w:rsidRDefault="005860D5" w:rsidP="00F66BD1">
            <w:pPr>
              <w:adjustRightInd w:val="0"/>
              <w:snapToGrid w:val="0"/>
              <w:jc w:val="center"/>
              <w:textAlignment w:val="baseline"/>
              <w:rPr>
                <w:szCs w:val="21"/>
              </w:rPr>
            </w:pPr>
            <w:r>
              <w:rPr>
                <w:rFonts w:hAnsi="宋体"/>
                <w:szCs w:val="21"/>
              </w:rPr>
              <w:t>（</w:t>
            </w:r>
            <w:r>
              <w:rPr>
                <w:szCs w:val="21"/>
              </w:rPr>
              <w:t>mg/m</w:t>
            </w:r>
            <w:r>
              <w:rPr>
                <w:szCs w:val="21"/>
                <w:vertAlign w:val="superscript"/>
              </w:rPr>
              <w:t>3</w:t>
            </w:r>
            <w:r>
              <w:rPr>
                <w:rFonts w:hAnsi="宋体"/>
                <w:szCs w:val="21"/>
              </w:rPr>
              <w:t>）</w:t>
            </w:r>
          </w:p>
        </w:tc>
        <w:tc>
          <w:tcPr>
            <w:tcW w:w="601" w:type="dxa"/>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达标</w:t>
            </w:r>
          </w:p>
          <w:p w:rsidR="00C223F5" w:rsidRDefault="005860D5" w:rsidP="00F66BD1">
            <w:pPr>
              <w:adjustRightInd w:val="0"/>
              <w:snapToGrid w:val="0"/>
              <w:jc w:val="center"/>
              <w:textAlignment w:val="baseline"/>
              <w:rPr>
                <w:szCs w:val="21"/>
              </w:rPr>
            </w:pPr>
            <w:r>
              <w:rPr>
                <w:rFonts w:hAnsi="宋体"/>
                <w:szCs w:val="21"/>
              </w:rPr>
              <w:t>情况</w:t>
            </w:r>
          </w:p>
        </w:tc>
      </w:tr>
      <w:tr w:rsidR="00C223F5">
        <w:trPr>
          <w:jc w:val="center"/>
        </w:trPr>
        <w:tc>
          <w:tcPr>
            <w:tcW w:w="308" w:type="dxa"/>
            <w:vMerge w:val="restart"/>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采暖期</w:t>
            </w:r>
          </w:p>
        </w:tc>
        <w:tc>
          <w:tcPr>
            <w:tcW w:w="1989" w:type="dxa"/>
            <w:vMerge w:val="restart"/>
            <w:tcMar>
              <w:left w:w="28" w:type="dxa"/>
              <w:right w:w="28" w:type="dxa"/>
            </w:tcMar>
            <w:vAlign w:val="center"/>
          </w:tcPr>
          <w:p w:rsidR="00C223F5" w:rsidRDefault="005860D5" w:rsidP="00F66BD1">
            <w:pPr>
              <w:jc w:val="center"/>
              <w:rPr>
                <w:szCs w:val="21"/>
              </w:rPr>
            </w:pPr>
            <w:r>
              <w:rPr>
                <w:szCs w:val="21"/>
              </w:rPr>
              <w:t>NS85-60</w:t>
            </w:r>
            <w:r>
              <w:rPr>
                <w:szCs w:val="21"/>
              </w:rPr>
              <w:t>常压锅炉</w:t>
            </w:r>
          </w:p>
          <w:p w:rsidR="00C223F5" w:rsidRDefault="005860D5" w:rsidP="00F66BD1">
            <w:pPr>
              <w:jc w:val="center"/>
              <w:rPr>
                <w:szCs w:val="21"/>
              </w:rPr>
            </w:pPr>
            <w:r>
              <w:rPr>
                <w:szCs w:val="21"/>
              </w:rPr>
              <w:t>CLHG0.20</w:t>
            </w:r>
            <w:r>
              <w:rPr>
                <w:szCs w:val="21"/>
              </w:rPr>
              <w:t>常压锅炉</w:t>
            </w:r>
          </w:p>
        </w:tc>
        <w:tc>
          <w:tcPr>
            <w:tcW w:w="1535" w:type="dxa"/>
            <w:vMerge w:val="restart"/>
            <w:tcMar>
              <w:left w:w="28" w:type="dxa"/>
              <w:right w:w="28" w:type="dxa"/>
            </w:tcMar>
            <w:vAlign w:val="center"/>
          </w:tcPr>
          <w:p w:rsidR="00C223F5" w:rsidRDefault="005860D5" w:rsidP="00F66BD1">
            <w:pPr>
              <w:jc w:val="center"/>
              <w:rPr>
                <w:szCs w:val="21"/>
              </w:rPr>
            </w:pPr>
            <w:r>
              <w:rPr>
                <w:rFonts w:hint="eastAsia"/>
                <w:szCs w:val="21"/>
              </w:rPr>
              <w:t>1749</w:t>
            </w:r>
          </w:p>
        </w:tc>
        <w:tc>
          <w:tcPr>
            <w:tcW w:w="869" w:type="dxa"/>
            <w:tcMar>
              <w:left w:w="28" w:type="dxa"/>
              <w:right w:w="28" w:type="dxa"/>
            </w:tcMar>
            <w:vAlign w:val="center"/>
          </w:tcPr>
          <w:p w:rsidR="00C223F5" w:rsidRDefault="005860D5" w:rsidP="00F66BD1">
            <w:pPr>
              <w:adjustRightInd w:val="0"/>
              <w:snapToGrid w:val="0"/>
              <w:jc w:val="center"/>
              <w:textAlignment w:val="baseline"/>
              <w:rPr>
                <w:szCs w:val="21"/>
              </w:rPr>
            </w:pPr>
            <w:r>
              <w:rPr>
                <w:szCs w:val="21"/>
              </w:rPr>
              <w:t>SO</w:t>
            </w:r>
            <w:r>
              <w:rPr>
                <w:szCs w:val="21"/>
                <w:vertAlign w:val="subscript"/>
              </w:rPr>
              <w:t>2</w:t>
            </w:r>
          </w:p>
        </w:tc>
        <w:tc>
          <w:tcPr>
            <w:tcW w:w="1229" w:type="dxa"/>
            <w:tcMar>
              <w:left w:w="28" w:type="dxa"/>
              <w:right w:w="28" w:type="dxa"/>
            </w:tcMar>
            <w:vAlign w:val="center"/>
          </w:tcPr>
          <w:p w:rsidR="00C223F5" w:rsidRDefault="005860D5" w:rsidP="00F66BD1">
            <w:pPr>
              <w:jc w:val="center"/>
              <w:rPr>
                <w:szCs w:val="21"/>
              </w:rPr>
            </w:pPr>
            <w:r>
              <w:rPr>
                <w:rFonts w:hint="eastAsia"/>
                <w:szCs w:val="21"/>
              </w:rPr>
              <w:t>0.264</w:t>
            </w:r>
          </w:p>
        </w:tc>
        <w:tc>
          <w:tcPr>
            <w:tcW w:w="1246" w:type="dxa"/>
            <w:tcMar>
              <w:left w:w="28" w:type="dxa"/>
              <w:right w:w="28" w:type="dxa"/>
            </w:tcMar>
            <w:vAlign w:val="center"/>
          </w:tcPr>
          <w:p w:rsidR="00C223F5" w:rsidRDefault="005860D5" w:rsidP="00F66BD1">
            <w:pPr>
              <w:jc w:val="center"/>
              <w:rPr>
                <w:szCs w:val="21"/>
              </w:rPr>
            </w:pPr>
            <w:r>
              <w:rPr>
                <w:rFonts w:hint="eastAsia"/>
                <w:szCs w:val="21"/>
              </w:rPr>
              <w:t>151</w:t>
            </w:r>
          </w:p>
        </w:tc>
        <w:tc>
          <w:tcPr>
            <w:tcW w:w="1037"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4</w:t>
            </w:r>
            <w:r>
              <w:rPr>
                <w:szCs w:val="21"/>
              </w:rPr>
              <w:t>00</w:t>
            </w:r>
          </w:p>
        </w:tc>
        <w:tc>
          <w:tcPr>
            <w:tcW w:w="601" w:type="dxa"/>
            <w:vMerge w:val="restart"/>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达标</w:t>
            </w:r>
          </w:p>
        </w:tc>
      </w:tr>
      <w:tr w:rsidR="00C223F5">
        <w:trPr>
          <w:trHeight w:val="125"/>
          <w:jc w:val="center"/>
        </w:trPr>
        <w:tc>
          <w:tcPr>
            <w:tcW w:w="308"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1989"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1535"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869" w:type="dxa"/>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颗粒物</w:t>
            </w:r>
          </w:p>
        </w:tc>
        <w:tc>
          <w:tcPr>
            <w:tcW w:w="1229"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0.121</w:t>
            </w:r>
          </w:p>
        </w:tc>
        <w:tc>
          <w:tcPr>
            <w:tcW w:w="1246"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69</w:t>
            </w:r>
          </w:p>
        </w:tc>
        <w:tc>
          <w:tcPr>
            <w:tcW w:w="1037"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80</w:t>
            </w:r>
          </w:p>
        </w:tc>
        <w:tc>
          <w:tcPr>
            <w:tcW w:w="601" w:type="dxa"/>
            <w:vMerge/>
            <w:tcMar>
              <w:left w:w="28" w:type="dxa"/>
              <w:right w:w="28" w:type="dxa"/>
            </w:tcMar>
            <w:vAlign w:val="center"/>
          </w:tcPr>
          <w:p w:rsidR="00C223F5" w:rsidRDefault="00C223F5" w:rsidP="00F66BD1">
            <w:pPr>
              <w:adjustRightInd w:val="0"/>
              <w:snapToGrid w:val="0"/>
              <w:jc w:val="center"/>
              <w:textAlignment w:val="baseline"/>
              <w:rPr>
                <w:color w:val="FF0000"/>
                <w:szCs w:val="21"/>
              </w:rPr>
            </w:pPr>
          </w:p>
        </w:tc>
      </w:tr>
      <w:tr w:rsidR="00C223F5">
        <w:trPr>
          <w:trHeight w:val="125"/>
          <w:jc w:val="center"/>
        </w:trPr>
        <w:tc>
          <w:tcPr>
            <w:tcW w:w="308"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1989"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1535"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869" w:type="dxa"/>
            <w:tcMar>
              <w:left w:w="28" w:type="dxa"/>
              <w:right w:w="28" w:type="dxa"/>
            </w:tcMar>
            <w:vAlign w:val="center"/>
          </w:tcPr>
          <w:p w:rsidR="00C223F5" w:rsidRDefault="005860D5" w:rsidP="00F66BD1">
            <w:pPr>
              <w:adjustRightInd w:val="0"/>
              <w:snapToGrid w:val="0"/>
              <w:jc w:val="center"/>
              <w:textAlignment w:val="baseline"/>
              <w:rPr>
                <w:rFonts w:hAnsi="宋体"/>
                <w:szCs w:val="21"/>
              </w:rPr>
            </w:pPr>
            <w:r>
              <w:rPr>
                <w:szCs w:val="21"/>
              </w:rPr>
              <w:t>NOx</w:t>
            </w:r>
          </w:p>
        </w:tc>
        <w:tc>
          <w:tcPr>
            <w:tcW w:w="1229"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0.299</w:t>
            </w:r>
          </w:p>
        </w:tc>
        <w:tc>
          <w:tcPr>
            <w:tcW w:w="1246"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171</w:t>
            </w:r>
          </w:p>
        </w:tc>
        <w:tc>
          <w:tcPr>
            <w:tcW w:w="1037"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400</w:t>
            </w:r>
          </w:p>
        </w:tc>
        <w:tc>
          <w:tcPr>
            <w:tcW w:w="601" w:type="dxa"/>
            <w:vMerge/>
            <w:tcMar>
              <w:left w:w="28" w:type="dxa"/>
              <w:right w:w="28" w:type="dxa"/>
            </w:tcMar>
            <w:vAlign w:val="center"/>
          </w:tcPr>
          <w:p w:rsidR="00C223F5" w:rsidRDefault="00C223F5" w:rsidP="00F66BD1">
            <w:pPr>
              <w:adjustRightInd w:val="0"/>
              <w:snapToGrid w:val="0"/>
              <w:jc w:val="center"/>
              <w:textAlignment w:val="baseline"/>
              <w:rPr>
                <w:color w:val="FF0000"/>
                <w:szCs w:val="21"/>
              </w:rPr>
            </w:pPr>
          </w:p>
        </w:tc>
      </w:tr>
      <w:tr w:rsidR="00C223F5">
        <w:trPr>
          <w:trHeight w:val="125"/>
          <w:jc w:val="center"/>
        </w:trPr>
        <w:tc>
          <w:tcPr>
            <w:tcW w:w="308"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1989" w:type="dxa"/>
            <w:vMerge w:val="restart"/>
            <w:tcMar>
              <w:left w:w="28" w:type="dxa"/>
              <w:right w:w="28" w:type="dxa"/>
            </w:tcMar>
            <w:vAlign w:val="center"/>
          </w:tcPr>
          <w:p w:rsidR="00C223F5" w:rsidRDefault="005860D5" w:rsidP="00F66BD1">
            <w:pPr>
              <w:adjustRightInd w:val="0"/>
              <w:snapToGrid w:val="0"/>
              <w:jc w:val="center"/>
              <w:textAlignment w:val="baseline"/>
              <w:rPr>
                <w:szCs w:val="21"/>
              </w:rPr>
            </w:pPr>
            <w:r>
              <w:rPr>
                <w:szCs w:val="21"/>
              </w:rPr>
              <w:t>RFL-200</w:t>
            </w:r>
            <w:r>
              <w:rPr>
                <w:szCs w:val="21"/>
              </w:rPr>
              <w:t>热风炉</w:t>
            </w:r>
          </w:p>
        </w:tc>
        <w:tc>
          <w:tcPr>
            <w:tcW w:w="1535" w:type="dxa"/>
            <w:vMerge w:val="restart"/>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3559</w:t>
            </w:r>
          </w:p>
        </w:tc>
        <w:tc>
          <w:tcPr>
            <w:tcW w:w="869" w:type="dxa"/>
            <w:tcMar>
              <w:left w:w="28" w:type="dxa"/>
              <w:right w:w="28" w:type="dxa"/>
            </w:tcMar>
            <w:vAlign w:val="center"/>
          </w:tcPr>
          <w:p w:rsidR="00C223F5" w:rsidRDefault="005860D5" w:rsidP="00F66BD1">
            <w:pPr>
              <w:adjustRightInd w:val="0"/>
              <w:snapToGrid w:val="0"/>
              <w:jc w:val="center"/>
              <w:textAlignment w:val="baseline"/>
              <w:rPr>
                <w:szCs w:val="21"/>
              </w:rPr>
            </w:pPr>
            <w:r>
              <w:rPr>
                <w:szCs w:val="21"/>
              </w:rPr>
              <w:t>SO</w:t>
            </w:r>
            <w:r>
              <w:rPr>
                <w:szCs w:val="21"/>
                <w:vertAlign w:val="subscript"/>
              </w:rPr>
              <w:t>2</w:t>
            </w:r>
          </w:p>
        </w:tc>
        <w:tc>
          <w:tcPr>
            <w:tcW w:w="1229"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0.544</w:t>
            </w:r>
          </w:p>
        </w:tc>
        <w:tc>
          <w:tcPr>
            <w:tcW w:w="1246"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153</w:t>
            </w:r>
          </w:p>
        </w:tc>
        <w:tc>
          <w:tcPr>
            <w:tcW w:w="1037"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4</w:t>
            </w:r>
            <w:r>
              <w:rPr>
                <w:szCs w:val="21"/>
              </w:rPr>
              <w:t>00</w:t>
            </w:r>
          </w:p>
        </w:tc>
        <w:tc>
          <w:tcPr>
            <w:tcW w:w="601" w:type="dxa"/>
            <w:vMerge/>
            <w:tcMar>
              <w:left w:w="28" w:type="dxa"/>
              <w:right w:w="28" w:type="dxa"/>
            </w:tcMar>
            <w:vAlign w:val="center"/>
          </w:tcPr>
          <w:p w:rsidR="00C223F5" w:rsidRDefault="00C223F5" w:rsidP="00F66BD1">
            <w:pPr>
              <w:adjustRightInd w:val="0"/>
              <w:snapToGrid w:val="0"/>
              <w:jc w:val="center"/>
              <w:textAlignment w:val="baseline"/>
              <w:rPr>
                <w:color w:val="FF0000"/>
                <w:szCs w:val="21"/>
              </w:rPr>
            </w:pPr>
          </w:p>
        </w:tc>
      </w:tr>
      <w:tr w:rsidR="00C223F5">
        <w:trPr>
          <w:trHeight w:val="125"/>
          <w:jc w:val="center"/>
        </w:trPr>
        <w:tc>
          <w:tcPr>
            <w:tcW w:w="308"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1989"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1535"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869" w:type="dxa"/>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颗粒物</w:t>
            </w:r>
          </w:p>
        </w:tc>
        <w:tc>
          <w:tcPr>
            <w:tcW w:w="1229"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0.263</w:t>
            </w:r>
          </w:p>
        </w:tc>
        <w:tc>
          <w:tcPr>
            <w:tcW w:w="1246"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74</w:t>
            </w:r>
          </w:p>
        </w:tc>
        <w:tc>
          <w:tcPr>
            <w:tcW w:w="1037"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80</w:t>
            </w:r>
          </w:p>
        </w:tc>
        <w:tc>
          <w:tcPr>
            <w:tcW w:w="601" w:type="dxa"/>
            <w:vMerge/>
            <w:tcMar>
              <w:left w:w="28" w:type="dxa"/>
              <w:right w:w="28" w:type="dxa"/>
            </w:tcMar>
            <w:vAlign w:val="center"/>
          </w:tcPr>
          <w:p w:rsidR="00C223F5" w:rsidRDefault="00C223F5" w:rsidP="00F66BD1">
            <w:pPr>
              <w:adjustRightInd w:val="0"/>
              <w:snapToGrid w:val="0"/>
              <w:jc w:val="center"/>
              <w:textAlignment w:val="baseline"/>
              <w:rPr>
                <w:color w:val="FF0000"/>
                <w:szCs w:val="21"/>
              </w:rPr>
            </w:pPr>
          </w:p>
        </w:tc>
      </w:tr>
      <w:tr w:rsidR="00C223F5">
        <w:trPr>
          <w:jc w:val="center"/>
        </w:trPr>
        <w:tc>
          <w:tcPr>
            <w:tcW w:w="308"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1989"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1535"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869" w:type="dxa"/>
            <w:tcMar>
              <w:left w:w="28" w:type="dxa"/>
              <w:right w:w="28" w:type="dxa"/>
            </w:tcMar>
            <w:vAlign w:val="center"/>
          </w:tcPr>
          <w:p w:rsidR="00C223F5" w:rsidRDefault="005860D5" w:rsidP="00F66BD1">
            <w:pPr>
              <w:adjustRightInd w:val="0"/>
              <w:snapToGrid w:val="0"/>
              <w:jc w:val="center"/>
              <w:textAlignment w:val="baseline"/>
              <w:rPr>
                <w:rFonts w:hAnsi="宋体"/>
                <w:szCs w:val="21"/>
              </w:rPr>
            </w:pPr>
            <w:r>
              <w:rPr>
                <w:szCs w:val="21"/>
              </w:rPr>
              <w:t>NOx</w:t>
            </w:r>
          </w:p>
        </w:tc>
        <w:tc>
          <w:tcPr>
            <w:tcW w:w="1229"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0.370</w:t>
            </w:r>
          </w:p>
        </w:tc>
        <w:tc>
          <w:tcPr>
            <w:tcW w:w="1246"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104</w:t>
            </w:r>
          </w:p>
        </w:tc>
        <w:tc>
          <w:tcPr>
            <w:tcW w:w="1037"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400</w:t>
            </w:r>
          </w:p>
        </w:tc>
        <w:tc>
          <w:tcPr>
            <w:tcW w:w="601" w:type="dxa"/>
            <w:vMerge/>
            <w:tcMar>
              <w:left w:w="28" w:type="dxa"/>
              <w:right w:w="28" w:type="dxa"/>
            </w:tcMar>
            <w:vAlign w:val="center"/>
          </w:tcPr>
          <w:p w:rsidR="00C223F5" w:rsidRDefault="00C223F5" w:rsidP="00F66BD1">
            <w:pPr>
              <w:adjustRightInd w:val="0"/>
              <w:snapToGrid w:val="0"/>
              <w:jc w:val="center"/>
              <w:textAlignment w:val="baseline"/>
              <w:rPr>
                <w:color w:val="FF0000"/>
                <w:szCs w:val="21"/>
              </w:rPr>
            </w:pPr>
          </w:p>
        </w:tc>
      </w:tr>
      <w:tr w:rsidR="00C223F5">
        <w:trPr>
          <w:trHeight w:val="471"/>
          <w:jc w:val="center"/>
        </w:trPr>
        <w:tc>
          <w:tcPr>
            <w:tcW w:w="308" w:type="dxa"/>
            <w:vMerge w:val="restart"/>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非采暖期</w:t>
            </w:r>
          </w:p>
        </w:tc>
        <w:tc>
          <w:tcPr>
            <w:tcW w:w="1989" w:type="dxa"/>
            <w:vMerge w:val="restart"/>
            <w:tcMar>
              <w:left w:w="28" w:type="dxa"/>
              <w:right w:w="28" w:type="dxa"/>
            </w:tcMar>
            <w:vAlign w:val="center"/>
          </w:tcPr>
          <w:p w:rsidR="00C223F5" w:rsidRDefault="005860D5" w:rsidP="00F66BD1">
            <w:pPr>
              <w:jc w:val="center"/>
              <w:rPr>
                <w:szCs w:val="21"/>
              </w:rPr>
            </w:pPr>
            <w:r>
              <w:rPr>
                <w:szCs w:val="21"/>
              </w:rPr>
              <w:t>CLHG0.20</w:t>
            </w:r>
            <w:r>
              <w:rPr>
                <w:szCs w:val="21"/>
              </w:rPr>
              <w:t>常压锅炉</w:t>
            </w:r>
          </w:p>
        </w:tc>
        <w:tc>
          <w:tcPr>
            <w:tcW w:w="1535" w:type="dxa"/>
            <w:vMerge w:val="restart"/>
            <w:tcMar>
              <w:left w:w="28" w:type="dxa"/>
              <w:right w:w="28" w:type="dxa"/>
            </w:tcMar>
            <w:vAlign w:val="center"/>
          </w:tcPr>
          <w:p w:rsidR="00C223F5" w:rsidRDefault="005860D5" w:rsidP="00F66BD1">
            <w:pPr>
              <w:jc w:val="center"/>
              <w:rPr>
                <w:szCs w:val="21"/>
              </w:rPr>
            </w:pPr>
            <w:r>
              <w:rPr>
                <w:rFonts w:hint="eastAsia"/>
                <w:szCs w:val="21"/>
              </w:rPr>
              <w:t>724</w:t>
            </w:r>
          </w:p>
        </w:tc>
        <w:tc>
          <w:tcPr>
            <w:tcW w:w="869" w:type="dxa"/>
            <w:tcMar>
              <w:left w:w="28" w:type="dxa"/>
              <w:right w:w="28" w:type="dxa"/>
            </w:tcMar>
            <w:vAlign w:val="center"/>
          </w:tcPr>
          <w:p w:rsidR="00C223F5" w:rsidRDefault="005860D5" w:rsidP="00F66BD1">
            <w:pPr>
              <w:adjustRightInd w:val="0"/>
              <w:snapToGrid w:val="0"/>
              <w:jc w:val="center"/>
              <w:textAlignment w:val="baseline"/>
              <w:rPr>
                <w:szCs w:val="21"/>
              </w:rPr>
            </w:pPr>
            <w:r>
              <w:rPr>
                <w:szCs w:val="21"/>
              </w:rPr>
              <w:t>SO</w:t>
            </w:r>
            <w:r>
              <w:rPr>
                <w:szCs w:val="21"/>
                <w:vertAlign w:val="subscript"/>
              </w:rPr>
              <w:t>2</w:t>
            </w:r>
          </w:p>
        </w:tc>
        <w:tc>
          <w:tcPr>
            <w:tcW w:w="1229" w:type="dxa"/>
            <w:tcMar>
              <w:left w:w="28" w:type="dxa"/>
              <w:right w:w="28" w:type="dxa"/>
            </w:tcMar>
            <w:vAlign w:val="center"/>
          </w:tcPr>
          <w:p w:rsidR="00C223F5" w:rsidRDefault="005860D5" w:rsidP="00F66BD1">
            <w:pPr>
              <w:jc w:val="center"/>
              <w:rPr>
                <w:szCs w:val="21"/>
              </w:rPr>
            </w:pPr>
            <w:r>
              <w:rPr>
                <w:rFonts w:hint="eastAsia"/>
                <w:szCs w:val="21"/>
              </w:rPr>
              <w:t>0.109</w:t>
            </w:r>
          </w:p>
        </w:tc>
        <w:tc>
          <w:tcPr>
            <w:tcW w:w="1246" w:type="dxa"/>
            <w:tcMar>
              <w:left w:w="28" w:type="dxa"/>
              <w:right w:w="28" w:type="dxa"/>
            </w:tcMar>
            <w:vAlign w:val="center"/>
          </w:tcPr>
          <w:p w:rsidR="00C223F5" w:rsidRDefault="005860D5" w:rsidP="00F66BD1">
            <w:pPr>
              <w:jc w:val="center"/>
              <w:rPr>
                <w:szCs w:val="21"/>
              </w:rPr>
            </w:pPr>
            <w:r>
              <w:rPr>
                <w:rFonts w:hint="eastAsia"/>
                <w:szCs w:val="21"/>
              </w:rPr>
              <w:t>151</w:t>
            </w:r>
          </w:p>
        </w:tc>
        <w:tc>
          <w:tcPr>
            <w:tcW w:w="1037"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4</w:t>
            </w:r>
            <w:r>
              <w:rPr>
                <w:szCs w:val="21"/>
              </w:rPr>
              <w:t>00</w:t>
            </w:r>
          </w:p>
        </w:tc>
        <w:tc>
          <w:tcPr>
            <w:tcW w:w="601" w:type="dxa"/>
            <w:vMerge/>
            <w:tcMar>
              <w:left w:w="28" w:type="dxa"/>
              <w:right w:w="28" w:type="dxa"/>
            </w:tcMar>
            <w:vAlign w:val="center"/>
          </w:tcPr>
          <w:p w:rsidR="00C223F5" w:rsidRDefault="00C223F5" w:rsidP="00F66BD1">
            <w:pPr>
              <w:adjustRightInd w:val="0"/>
              <w:snapToGrid w:val="0"/>
              <w:jc w:val="center"/>
              <w:textAlignment w:val="baseline"/>
              <w:rPr>
                <w:color w:val="FF0000"/>
                <w:szCs w:val="21"/>
              </w:rPr>
            </w:pPr>
          </w:p>
        </w:tc>
      </w:tr>
      <w:tr w:rsidR="00C223F5">
        <w:trPr>
          <w:trHeight w:val="518"/>
          <w:jc w:val="center"/>
        </w:trPr>
        <w:tc>
          <w:tcPr>
            <w:tcW w:w="308" w:type="dxa"/>
            <w:vMerge/>
            <w:tcMar>
              <w:left w:w="28" w:type="dxa"/>
              <w:right w:w="28" w:type="dxa"/>
            </w:tcMar>
            <w:vAlign w:val="center"/>
          </w:tcPr>
          <w:p w:rsidR="00C223F5" w:rsidRDefault="00C223F5" w:rsidP="00F66BD1">
            <w:pPr>
              <w:adjustRightInd w:val="0"/>
              <w:snapToGrid w:val="0"/>
              <w:jc w:val="center"/>
              <w:textAlignment w:val="baseline"/>
              <w:rPr>
                <w:color w:val="FF0000"/>
                <w:szCs w:val="21"/>
              </w:rPr>
            </w:pPr>
          </w:p>
        </w:tc>
        <w:tc>
          <w:tcPr>
            <w:tcW w:w="1989" w:type="dxa"/>
            <w:vMerge/>
            <w:tcMar>
              <w:left w:w="28" w:type="dxa"/>
              <w:right w:w="28" w:type="dxa"/>
            </w:tcMar>
            <w:vAlign w:val="center"/>
          </w:tcPr>
          <w:p w:rsidR="00C223F5" w:rsidRDefault="00C223F5" w:rsidP="00F66BD1">
            <w:pPr>
              <w:adjustRightInd w:val="0"/>
              <w:snapToGrid w:val="0"/>
              <w:jc w:val="center"/>
              <w:textAlignment w:val="baseline"/>
              <w:rPr>
                <w:color w:val="FF0000"/>
                <w:szCs w:val="21"/>
              </w:rPr>
            </w:pPr>
          </w:p>
        </w:tc>
        <w:tc>
          <w:tcPr>
            <w:tcW w:w="1535"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869" w:type="dxa"/>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颗粒物</w:t>
            </w:r>
          </w:p>
        </w:tc>
        <w:tc>
          <w:tcPr>
            <w:tcW w:w="1229"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0.050</w:t>
            </w:r>
          </w:p>
        </w:tc>
        <w:tc>
          <w:tcPr>
            <w:tcW w:w="1246"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69</w:t>
            </w:r>
          </w:p>
        </w:tc>
        <w:tc>
          <w:tcPr>
            <w:tcW w:w="1037"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80</w:t>
            </w:r>
          </w:p>
        </w:tc>
        <w:tc>
          <w:tcPr>
            <w:tcW w:w="601" w:type="dxa"/>
            <w:vMerge/>
            <w:tcMar>
              <w:left w:w="28" w:type="dxa"/>
              <w:right w:w="28" w:type="dxa"/>
            </w:tcMar>
            <w:vAlign w:val="center"/>
          </w:tcPr>
          <w:p w:rsidR="00C223F5" w:rsidRDefault="00C223F5" w:rsidP="00F66BD1">
            <w:pPr>
              <w:adjustRightInd w:val="0"/>
              <w:snapToGrid w:val="0"/>
              <w:jc w:val="center"/>
              <w:textAlignment w:val="baseline"/>
              <w:rPr>
                <w:color w:val="FF0000"/>
                <w:szCs w:val="21"/>
              </w:rPr>
            </w:pPr>
          </w:p>
        </w:tc>
      </w:tr>
      <w:tr w:rsidR="00C223F5">
        <w:trPr>
          <w:jc w:val="center"/>
        </w:trPr>
        <w:tc>
          <w:tcPr>
            <w:tcW w:w="308" w:type="dxa"/>
            <w:vMerge/>
            <w:tcMar>
              <w:left w:w="28" w:type="dxa"/>
              <w:right w:w="28" w:type="dxa"/>
            </w:tcMar>
            <w:vAlign w:val="center"/>
          </w:tcPr>
          <w:p w:rsidR="00C223F5" w:rsidRDefault="00C223F5" w:rsidP="00F66BD1">
            <w:pPr>
              <w:adjustRightInd w:val="0"/>
              <w:snapToGrid w:val="0"/>
              <w:jc w:val="center"/>
              <w:textAlignment w:val="baseline"/>
              <w:rPr>
                <w:color w:val="FF0000"/>
                <w:szCs w:val="21"/>
              </w:rPr>
            </w:pPr>
          </w:p>
        </w:tc>
        <w:tc>
          <w:tcPr>
            <w:tcW w:w="1989" w:type="dxa"/>
            <w:vMerge/>
            <w:tcMar>
              <w:left w:w="28" w:type="dxa"/>
              <w:right w:w="28" w:type="dxa"/>
            </w:tcMar>
            <w:vAlign w:val="center"/>
          </w:tcPr>
          <w:p w:rsidR="00C223F5" w:rsidRDefault="00C223F5" w:rsidP="00F66BD1">
            <w:pPr>
              <w:adjustRightInd w:val="0"/>
              <w:snapToGrid w:val="0"/>
              <w:jc w:val="center"/>
              <w:textAlignment w:val="baseline"/>
              <w:rPr>
                <w:color w:val="FF0000"/>
                <w:szCs w:val="21"/>
              </w:rPr>
            </w:pPr>
          </w:p>
        </w:tc>
        <w:tc>
          <w:tcPr>
            <w:tcW w:w="1535"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869" w:type="dxa"/>
            <w:tcMar>
              <w:left w:w="28" w:type="dxa"/>
              <w:right w:w="28" w:type="dxa"/>
            </w:tcMar>
            <w:vAlign w:val="center"/>
          </w:tcPr>
          <w:p w:rsidR="00C223F5" w:rsidRDefault="005860D5" w:rsidP="00F66BD1">
            <w:pPr>
              <w:adjustRightInd w:val="0"/>
              <w:snapToGrid w:val="0"/>
              <w:jc w:val="center"/>
              <w:textAlignment w:val="baseline"/>
              <w:rPr>
                <w:szCs w:val="21"/>
              </w:rPr>
            </w:pPr>
            <w:r>
              <w:rPr>
                <w:szCs w:val="21"/>
              </w:rPr>
              <w:t>NOx</w:t>
            </w:r>
          </w:p>
        </w:tc>
        <w:tc>
          <w:tcPr>
            <w:tcW w:w="1229" w:type="dxa"/>
            <w:tcMar>
              <w:left w:w="28" w:type="dxa"/>
              <w:right w:w="28" w:type="dxa"/>
            </w:tcMar>
            <w:vAlign w:val="center"/>
          </w:tcPr>
          <w:p w:rsidR="00C223F5" w:rsidRDefault="005860D5" w:rsidP="00F66BD1">
            <w:pPr>
              <w:jc w:val="center"/>
              <w:rPr>
                <w:szCs w:val="21"/>
              </w:rPr>
            </w:pPr>
            <w:r>
              <w:rPr>
                <w:rFonts w:hint="eastAsia"/>
                <w:szCs w:val="21"/>
              </w:rPr>
              <w:t>0.124</w:t>
            </w:r>
          </w:p>
        </w:tc>
        <w:tc>
          <w:tcPr>
            <w:tcW w:w="1246"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171</w:t>
            </w:r>
          </w:p>
        </w:tc>
        <w:tc>
          <w:tcPr>
            <w:tcW w:w="1037"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400</w:t>
            </w:r>
          </w:p>
        </w:tc>
        <w:tc>
          <w:tcPr>
            <w:tcW w:w="601" w:type="dxa"/>
            <w:vMerge/>
            <w:tcMar>
              <w:left w:w="28" w:type="dxa"/>
              <w:right w:w="28" w:type="dxa"/>
            </w:tcMar>
            <w:vAlign w:val="center"/>
          </w:tcPr>
          <w:p w:rsidR="00C223F5" w:rsidRDefault="00C223F5" w:rsidP="00F66BD1">
            <w:pPr>
              <w:adjustRightInd w:val="0"/>
              <w:snapToGrid w:val="0"/>
              <w:jc w:val="center"/>
              <w:textAlignment w:val="baseline"/>
              <w:rPr>
                <w:color w:val="FF0000"/>
                <w:szCs w:val="21"/>
              </w:rPr>
            </w:pPr>
          </w:p>
        </w:tc>
      </w:tr>
      <w:tr w:rsidR="00C223F5">
        <w:trPr>
          <w:jc w:val="center"/>
        </w:trPr>
        <w:tc>
          <w:tcPr>
            <w:tcW w:w="2297" w:type="dxa"/>
            <w:gridSpan w:val="2"/>
            <w:vMerge w:val="restart"/>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合计</w:t>
            </w:r>
          </w:p>
        </w:tc>
        <w:tc>
          <w:tcPr>
            <w:tcW w:w="1535" w:type="dxa"/>
            <w:vMerge w:val="restart"/>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1378.2</w:t>
            </w:r>
            <w:r>
              <w:rPr>
                <w:szCs w:val="21"/>
              </w:rPr>
              <w:t>万</w:t>
            </w:r>
            <w:r>
              <w:rPr>
                <w:szCs w:val="21"/>
              </w:rPr>
              <w:t>m</w:t>
            </w:r>
            <w:r>
              <w:rPr>
                <w:szCs w:val="21"/>
                <w:vertAlign w:val="superscript"/>
              </w:rPr>
              <w:t>3</w:t>
            </w:r>
            <w:r>
              <w:rPr>
                <w:szCs w:val="21"/>
              </w:rPr>
              <w:t>/a</w:t>
            </w:r>
          </w:p>
        </w:tc>
        <w:tc>
          <w:tcPr>
            <w:tcW w:w="869" w:type="dxa"/>
            <w:tcMar>
              <w:left w:w="28" w:type="dxa"/>
              <w:right w:w="28" w:type="dxa"/>
            </w:tcMar>
            <w:vAlign w:val="center"/>
          </w:tcPr>
          <w:p w:rsidR="00C223F5" w:rsidRDefault="005860D5" w:rsidP="00F66BD1">
            <w:pPr>
              <w:adjustRightInd w:val="0"/>
              <w:snapToGrid w:val="0"/>
              <w:jc w:val="center"/>
              <w:textAlignment w:val="baseline"/>
              <w:rPr>
                <w:szCs w:val="21"/>
              </w:rPr>
            </w:pPr>
            <w:r>
              <w:rPr>
                <w:szCs w:val="21"/>
              </w:rPr>
              <w:t>SO</w:t>
            </w:r>
            <w:r>
              <w:rPr>
                <w:szCs w:val="21"/>
                <w:vertAlign w:val="subscript"/>
              </w:rPr>
              <w:t>2</w:t>
            </w:r>
          </w:p>
        </w:tc>
        <w:tc>
          <w:tcPr>
            <w:tcW w:w="2475" w:type="dxa"/>
            <w:gridSpan w:val="2"/>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排放量</w:t>
            </w:r>
            <w:r>
              <w:rPr>
                <w:rFonts w:hint="eastAsia"/>
                <w:szCs w:val="21"/>
              </w:rPr>
              <w:t xml:space="preserve">2.10 </w:t>
            </w:r>
            <w:r>
              <w:rPr>
                <w:szCs w:val="21"/>
              </w:rPr>
              <w:t>t/a</w:t>
            </w:r>
          </w:p>
        </w:tc>
        <w:tc>
          <w:tcPr>
            <w:tcW w:w="1037"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w:t>
            </w:r>
          </w:p>
        </w:tc>
        <w:tc>
          <w:tcPr>
            <w:tcW w:w="601" w:type="dxa"/>
            <w:vMerge/>
            <w:tcMar>
              <w:left w:w="28" w:type="dxa"/>
              <w:right w:w="28" w:type="dxa"/>
            </w:tcMar>
            <w:vAlign w:val="center"/>
          </w:tcPr>
          <w:p w:rsidR="00C223F5" w:rsidRDefault="00C223F5" w:rsidP="00F66BD1">
            <w:pPr>
              <w:adjustRightInd w:val="0"/>
              <w:snapToGrid w:val="0"/>
              <w:jc w:val="center"/>
              <w:textAlignment w:val="baseline"/>
              <w:rPr>
                <w:szCs w:val="21"/>
              </w:rPr>
            </w:pPr>
          </w:p>
        </w:tc>
      </w:tr>
      <w:tr w:rsidR="00C223F5">
        <w:trPr>
          <w:jc w:val="center"/>
        </w:trPr>
        <w:tc>
          <w:tcPr>
            <w:tcW w:w="2297" w:type="dxa"/>
            <w:gridSpan w:val="2"/>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1535"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869" w:type="dxa"/>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颗粒物</w:t>
            </w:r>
          </w:p>
        </w:tc>
        <w:tc>
          <w:tcPr>
            <w:tcW w:w="2475" w:type="dxa"/>
            <w:gridSpan w:val="2"/>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排放量</w:t>
            </w:r>
            <w:r>
              <w:rPr>
                <w:rFonts w:hint="eastAsia"/>
                <w:szCs w:val="21"/>
              </w:rPr>
              <w:t>0.99</w:t>
            </w:r>
            <w:r>
              <w:rPr>
                <w:szCs w:val="21"/>
              </w:rPr>
              <w:t xml:space="preserve"> t/a</w:t>
            </w:r>
          </w:p>
        </w:tc>
        <w:tc>
          <w:tcPr>
            <w:tcW w:w="1037"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w:t>
            </w:r>
          </w:p>
        </w:tc>
        <w:tc>
          <w:tcPr>
            <w:tcW w:w="601" w:type="dxa"/>
            <w:vMerge/>
            <w:tcMar>
              <w:left w:w="28" w:type="dxa"/>
              <w:right w:w="28" w:type="dxa"/>
            </w:tcMar>
            <w:vAlign w:val="center"/>
          </w:tcPr>
          <w:p w:rsidR="00C223F5" w:rsidRDefault="00C223F5" w:rsidP="00F66BD1">
            <w:pPr>
              <w:adjustRightInd w:val="0"/>
              <w:snapToGrid w:val="0"/>
              <w:jc w:val="center"/>
              <w:textAlignment w:val="baseline"/>
              <w:rPr>
                <w:szCs w:val="21"/>
              </w:rPr>
            </w:pPr>
          </w:p>
        </w:tc>
      </w:tr>
      <w:tr w:rsidR="00C223F5">
        <w:trPr>
          <w:jc w:val="center"/>
        </w:trPr>
        <w:tc>
          <w:tcPr>
            <w:tcW w:w="2297" w:type="dxa"/>
            <w:gridSpan w:val="2"/>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1535" w:type="dxa"/>
            <w:vMerge/>
            <w:tcMar>
              <w:left w:w="28" w:type="dxa"/>
              <w:right w:w="28" w:type="dxa"/>
            </w:tcMar>
            <w:vAlign w:val="center"/>
          </w:tcPr>
          <w:p w:rsidR="00C223F5" w:rsidRDefault="00C223F5" w:rsidP="00F66BD1">
            <w:pPr>
              <w:adjustRightInd w:val="0"/>
              <w:snapToGrid w:val="0"/>
              <w:jc w:val="center"/>
              <w:textAlignment w:val="baseline"/>
              <w:rPr>
                <w:szCs w:val="21"/>
              </w:rPr>
            </w:pPr>
          </w:p>
        </w:tc>
        <w:tc>
          <w:tcPr>
            <w:tcW w:w="869" w:type="dxa"/>
            <w:tcMar>
              <w:left w:w="28" w:type="dxa"/>
              <w:right w:w="28" w:type="dxa"/>
            </w:tcMar>
            <w:vAlign w:val="center"/>
          </w:tcPr>
          <w:p w:rsidR="00C223F5" w:rsidRDefault="005860D5" w:rsidP="00F66BD1">
            <w:pPr>
              <w:adjustRightInd w:val="0"/>
              <w:snapToGrid w:val="0"/>
              <w:jc w:val="center"/>
              <w:textAlignment w:val="baseline"/>
              <w:rPr>
                <w:szCs w:val="21"/>
              </w:rPr>
            </w:pPr>
            <w:r>
              <w:rPr>
                <w:szCs w:val="21"/>
              </w:rPr>
              <w:t>NOx</w:t>
            </w:r>
          </w:p>
        </w:tc>
        <w:tc>
          <w:tcPr>
            <w:tcW w:w="2475" w:type="dxa"/>
            <w:gridSpan w:val="2"/>
            <w:tcMar>
              <w:left w:w="28" w:type="dxa"/>
              <w:right w:w="28" w:type="dxa"/>
            </w:tcMar>
            <w:vAlign w:val="center"/>
          </w:tcPr>
          <w:p w:rsidR="00C223F5" w:rsidRDefault="005860D5" w:rsidP="00F66BD1">
            <w:pPr>
              <w:adjustRightInd w:val="0"/>
              <w:snapToGrid w:val="0"/>
              <w:jc w:val="center"/>
              <w:textAlignment w:val="baseline"/>
              <w:rPr>
                <w:szCs w:val="21"/>
              </w:rPr>
            </w:pPr>
            <w:r>
              <w:rPr>
                <w:rFonts w:hAnsi="宋体"/>
                <w:szCs w:val="21"/>
              </w:rPr>
              <w:t>排放量</w:t>
            </w:r>
            <w:r>
              <w:rPr>
                <w:rFonts w:hint="eastAsia"/>
                <w:szCs w:val="21"/>
              </w:rPr>
              <w:t>1.78</w:t>
            </w:r>
            <w:r>
              <w:rPr>
                <w:szCs w:val="21"/>
              </w:rPr>
              <w:t xml:space="preserve"> t/a</w:t>
            </w:r>
          </w:p>
        </w:tc>
        <w:tc>
          <w:tcPr>
            <w:tcW w:w="1037" w:type="dxa"/>
            <w:tcMar>
              <w:left w:w="28" w:type="dxa"/>
              <w:right w:w="28" w:type="dxa"/>
            </w:tcMar>
            <w:vAlign w:val="center"/>
          </w:tcPr>
          <w:p w:rsidR="00C223F5" w:rsidRDefault="005860D5" w:rsidP="00F66BD1">
            <w:pPr>
              <w:adjustRightInd w:val="0"/>
              <w:snapToGrid w:val="0"/>
              <w:jc w:val="center"/>
              <w:textAlignment w:val="baseline"/>
              <w:rPr>
                <w:szCs w:val="21"/>
              </w:rPr>
            </w:pPr>
            <w:r>
              <w:rPr>
                <w:rFonts w:hint="eastAsia"/>
                <w:szCs w:val="21"/>
              </w:rPr>
              <w:t>/</w:t>
            </w:r>
          </w:p>
        </w:tc>
        <w:tc>
          <w:tcPr>
            <w:tcW w:w="601" w:type="dxa"/>
            <w:vMerge/>
            <w:tcMar>
              <w:left w:w="28" w:type="dxa"/>
              <w:right w:w="28" w:type="dxa"/>
            </w:tcMar>
            <w:vAlign w:val="center"/>
          </w:tcPr>
          <w:p w:rsidR="00C223F5" w:rsidRDefault="00C223F5" w:rsidP="00F66BD1">
            <w:pPr>
              <w:adjustRightInd w:val="0"/>
              <w:snapToGrid w:val="0"/>
              <w:jc w:val="center"/>
              <w:textAlignment w:val="baseline"/>
              <w:rPr>
                <w:szCs w:val="21"/>
              </w:rPr>
            </w:pPr>
          </w:p>
        </w:tc>
      </w:tr>
      <w:tr w:rsidR="00C223F5">
        <w:trPr>
          <w:trHeight w:val="70"/>
          <w:jc w:val="center"/>
        </w:trPr>
        <w:tc>
          <w:tcPr>
            <w:tcW w:w="8814" w:type="dxa"/>
            <w:gridSpan w:val="8"/>
            <w:tcMar>
              <w:left w:w="28" w:type="dxa"/>
              <w:right w:w="28" w:type="dxa"/>
            </w:tcMar>
            <w:vAlign w:val="center"/>
          </w:tcPr>
          <w:p w:rsidR="00C223F5" w:rsidRDefault="005860D5" w:rsidP="00F66BD1">
            <w:pPr>
              <w:adjustRightInd w:val="0"/>
              <w:snapToGrid w:val="0"/>
              <w:jc w:val="left"/>
              <w:textAlignment w:val="baseline"/>
              <w:rPr>
                <w:szCs w:val="21"/>
              </w:rPr>
            </w:pPr>
            <w:r>
              <w:rPr>
                <w:rFonts w:hAnsi="宋体" w:hint="eastAsia"/>
                <w:szCs w:val="21"/>
              </w:rPr>
              <w:t>原天云煤矿</w:t>
            </w:r>
            <w:r>
              <w:rPr>
                <w:rFonts w:hAnsi="宋体" w:hint="eastAsia"/>
                <w:szCs w:val="21"/>
              </w:rPr>
              <w:t>2017.12</w:t>
            </w:r>
            <w:r>
              <w:rPr>
                <w:rFonts w:hAnsi="宋体" w:hint="eastAsia"/>
                <w:szCs w:val="21"/>
              </w:rPr>
              <w:t>已完成验收；本次整合工程将拆除原天云煤矿小锅炉。</w:t>
            </w:r>
          </w:p>
        </w:tc>
      </w:tr>
    </w:tbl>
    <w:p w:rsidR="00C223F5" w:rsidRDefault="005860D5" w:rsidP="00F66BD1">
      <w:pPr>
        <w:ind w:firstLineChars="50" w:firstLine="105"/>
        <w:rPr>
          <w:szCs w:val="21"/>
        </w:rPr>
      </w:pPr>
      <w:r>
        <w:rPr>
          <w:rFonts w:hAnsi="宋体"/>
          <w:szCs w:val="21"/>
        </w:rPr>
        <w:lastRenderedPageBreak/>
        <w:t>注：</w:t>
      </w:r>
      <w:r>
        <w:rPr>
          <w:rFonts w:hAnsi="宋体" w:hint="eastAsia"/>
          <w:szCs w:val="21"/>
        </w:rPr>
        <w:t>采暖期运行</w:t>
      </w:r>
      <w:r>
        <w:rPr>
          <w:rFonts w:hAnsi="宋体" w:hint="eastAsia"/>
          <w:szCs w:val="21"/>
        </w:rPr>
        <w:t>150d16h</w:t>
      </w:r>
      <w:r>
        <w:rPr>
          <w:rFonts w:hAnsi="宋体" w:hint="eastAsia"/>
          <w:szCs w:val="21"/>
        </w:rPr>
        <w:t>，非采暖期运行</w:t>
      </w:r>
      <w:r>
        <w:rPr>
          <w:rFonts w:hAnsi="宋体" w:hint="eastAsia"/>
          <w:szCs w:val="21"/>
        </w:rPr>
        <w:t>180d8h</w:t>
      </w:r>
      <w:r>
        <w:rPr>
          <w:rFonts w:hAnsi="宋体"/>
          <w:szCs w:val="21"/>
        </w:rPr>
        <w:t>。</w:t>
      </w:r>
    </w:p>
    <w:p w:rsidR="00C223F5" w:rsidRDefault="000F32AE" w:rsidP="00F66BD1">
      <w:pPr>
        <w:spacing w:line="360" w:lineRule="auto"/>
        <w:ind w:firstLineChars="200" w:firstLine="480"/>
        <w:rPr>
          <w:sz w:val="24"/>
        </w:rPr>
      </w:pPr>
      <w:r>
        <w:rPr>
          <w:sz w:val="24"/>
        </w:rPr>
        <w:fldChar w:fldCharType="begin"/>
      </w:r>
      <w:r w:rsidR="005860D5">
        <w:rPr>
          <w:sz w:val="24"/>
        </w:rPr>
        <w:instrText>= 2 \* GB3</w:instrText>
      </w:r>
      <w:r>
        <w:rPr>
          <w:sz w:val="24"/>
        </w:rPr>
        <w:fldChar w:fldCharType="separate"/>
      </w:r>
      <w:r w:rsidR="005860D5">
        <w:rPr>
          <w:sz w:val="24"/>
        </w:rPr>
        <w:t>②</w:t>
      </w:r>
      <w:r>
        <w:rPr>
          <w:sz w:val="24"/>
        </w:rPr>
        <w:fldChar w:fldCharType="end"/>
      </w:r>
      <w:r w:rsidR="005860D5">
        <w:rPr>
          <w:sz w:val="24"/>
        </w:rPr>
        <w:t>生产、储运系统粉尘</w:t>
      </w:r>
    </w:p>
    <w:p w:rsidR="00C223F5" w:rsidRPr="00925B84" w:rsidRDefault="005860D5" w:rsidP="00F66BD1">
      <w:pPr>
        <w:spacing w:line="360" w:lineRule="auto"/>
        <w:ind w:firstLineChars="200" w:firstLine="480"/>
        <w:rPr>
          <w:rFonts w:hAnsi="宋体"/>
          <w:sz w:val="24"/>
        </w:rPr>
      </w:pPr>
      <w:r>
        <w:rPr>
          <w:sz w:val="24"/>
        </w:rPr>
        <w:t>根据原整合环评报告，矿井原煤经简单筛分后存于加盖储煤场内，周边设有防风抑尘网，</w:t>
      </w:r>
      <w:r>
        <w:rPr>
          <w:rFonts w:hAnsi="宋体"/>
          <w:sz w:val="24"/>
        </w:rPr>
        <w:t>转载点</w:t>
      </w:r>
      <w:r w:rsidRPr="00925B84">
        <w:rPr>
          <w:rFonts w:hAnsi="宋体"/>
          <w:sz w:val="24"/>
        </w:rPr>
        <w:t>及溜槽设置喷雾洒水降尘，无组织煤尘排放量</w:t>
      </w:r>
      <w:r w:rsidRPr="00925B84">
        <w:rPr>
          <w:sz w:val="24"/>
        </w:rPr>
        <w:t>6t/a</w:t>
      </w:r>
      <w:r w:rsidRPr="00925B84">
        <w:rPr>
          <w:rFonts w:hAnsi="宋体"/>
          <w:sz w:val="24"/>
        </w:rPr>
        <w:t>。</w:t>
      </w:r>
    </w:p>
    <w:p w:rsidR="00C223F5" w:rsidRPr="00925B84" w:rsidRDefault="005860D5" w:rsidP="00C006A7">
      <w:pPr>
        <w:spacing w:line="360" w:lineRule="auto"/>
        <w:ind w:firstLineChars="200" w:firstLine="480"/>
        <w:rPr>
          <w:sz w:val="24"/>
        </w:rPr>
      </w:pPr>
      <w:r w:rsidRPr="00925B84">
        <w:rPr>
          <w:sz w:val="24"/>
        </w:rPr>
        <w:t>（</w:t>
      </w:r>
      <w:r w:rsidRPr="00925B84">
        <w:rPr>
          <w:sz w:val="24"/>
        </w:rPr>
        <w:t>2</w:t>
      </w:r>
      <w:r w:rsidRPr="00925B84">
        <w:rPr>
          <w:sz w:val="24"/>
        </w:rPr>
        <w:t>）水污染源</w:t>
      </w:r>
    </w:p>
    <w:p w:rsidR="00C223F5" w:rsidRPr="00925B84" w:rsidRDefault="005860D5" w:rsidP="00F66BD1">
      <w:pPr>
        <w:spacing w:line="360" w:lineRule="auto"/>
        <w:ind w:firstLineChars="200" w:firstLine="480"/>
        <w:rPr>
          <w:sz w:val="24"/>
        </w:rPr>
      </w:pPr>
      <w:r w:rsidRPr="00925B84">
        <w:rPr>
          <w:rFonts w:hint="eastAsia"/>
          <w:sz w:val="24"/>
        </w:rPr>
        <w:t>2017</w:t>
      </w:r>
      <w:r w:rsidRPr="00925B84">
        <w:rPr>
          <w:rFonts w:hint="eastAsia"/>
          <w:sz w:val="24"/>
        </w:rPr>
        <w:t>年</w:t>
      </w:r>
      <w:r w:rsidRPr="00925B84">
        <w:rPr>
          <w:rFonts w:hint="eastAsia"/>
          <w:sz w:val="24"/>
        </w:rPr>
        <w:t>12</w:t>
      </w:r>
      <w:r w:rsidRPr="00925B84">
        <w:rPr>
          <w:rFonts w:hint="eastAsia"/>
          <w:sz w:val="24"/>
        </w:rPr>
        <w:t>月，原天云煤矿完成环保验收，根据《横山县天云煤矿有限公司煤矿资源整合项目入河排污口设置论证报告》（</w:t>
      </w:r>
      <w:r w:rsidRPr="00925B84">
        <w:rPr>
          <w:rFonts w:hint="eastAsia"/>
          <w:sz w:val="24"/>
        </w:rPr>
        <w:t>2018.12</w:t>
      </w:r>
      <w:r w:rsidRPr="00925B84">
        <w:rPr>
          <w:rFonts w:hint="eastAsia"/>
          <w:sz w:val="24"/>
        </w:rPr>
        <w:t>），原天云煤矿工业场地生活污水经处理后全部回用不外排，矿井正常涌水量</w:t>
      </w:r>
      <w:r w:rsidRPr="00925B84">
        <w:rPr>
          <w:rFonts w:hint="eastAsia"/>
          <w:sz w:val="24"/>
        </w:rPr>
        <w:t>1078m</w:t>
      </w:r>
      <w:r w:rsidRPr="00925B84">
        <w:rPr>
          <w:rFonts w:hint="eastAsia"/>
          <w:sz w:val="24"/>
          <w:vertAlign w:val="superscript"/>
        </w:rPr>
        <w:t>3</w:t>
      </w:r>
      <w:r w:rsidRPr="00925B84">
        <w:rPr>
          <w:rFonts w:hint="eastAsia"/>
          <w:sz w:val="24"/>
        </w:rPr>
        <w:t>/d</w:t>
      </w:r>
      <w:r w:rsidRPr="00925B84">
        <w:rPr>
          <w:rFonts w:hint="eastAsia"/>
          <w:sz w:val="24"/>
        </w:rPr>
        <w:t>，扣除处理过程损耗及本矿自用水量，剩余排至蚂蚁河。原整合工程水平衡见图</w:t>
      </w:r>
      <w:r w:rsidRPr="00925B84">
        <w:rPr>
          <w:rFonts w:hint="eastAsia"/>
          <w:sz w:val="24"/>
        </w:rPr>
        <w:t>2.3.1-2</w:t>
      </w:r>
      <w:r w:rsidRPr="00925B84">
        <w:rPr>
          <w:rFonts w:hint="eastAsia"/>
          <w:sz w:val="24"/>
        </w:rPr>
        <w:t>，污废水产排情况见表</w:t>
      </w:r>
      <w:r w:rsidRPr="00925B84">
        <w:rPr>
          <w:rFonts w:hint="eastAsia"/>
          <w:sz w:val="24"/>
        </w:rPr>
        <w:t>2.3.1-2</w:t>
      </w:r>
      <w:r w:rsidRPr="00925B84">
        <w:rPr>
          <w:rFonts w:hint="eastAsia"/>
          <w:sz w:val="24"/>
        </w:rPr>
        <w:t>。</w:t>
      </w:r>
    </w:p>
    <w:p w:rsidR="00C223F5" w:rsidRDefault="005860D5" w:rsidP="00F66BD1">
      <w:pPr>
        <w:spacing w:line="360" w:lineRule="auto"/>
        <w:ind w:firstLineChars="200" w:firstLine="480"/>
        <w:rPr>
          <w:sz w:val="24"/>
        </w:rPr>
      </w:pPr>
      <w:r w:rsidRPr="00925B84">
        <w:rPr>
          <w:rFonts w:hint="eastAsia"/>
          <w:sz w:val="24"/>
        </w:rPr>
        <w:t>原天云煤矿入河排污口位于横山区魏</w:t>
      </w:r>
      <w:r>
        <w:rPr>
          <w:rFonts w:hint="eastAsia"/>
          <w:sz w:val="24"/>
        </w:rPr>
        <w:t>家楼镇施阳台村附近；坐标为经度</w:t>
      </w:r>
      <w:r>
        <w:rPr>
          <w:rFonts w:hint="eastAsia"/>
          <w:sz w:val="24"/>
        </w:rPr>
        <w:t>109</w:t>
      </w:r>
      <w:r>
        <w:rPr>
          <w:rFonts w:hint="eastAsia"/>
          <w:sz w:val="24"/>
        </w:rPr>
        <w:t>°</w:t>
      </w:r>
      <w:r>
        <w:rPr>
          <w:rFonts w:hint="eastAsia"/>
          <w:sz w:val="24"/>
        </w:rPr>
        <w:t>27</w:t>
      </w:r>
      <w:r>
        <w:rPr>
          <w:rFonts w:hint="eastAsia"/>
          <w:sz w:val="24"/>
        </w:rPr>
        <w:t>′</w:t>
      </w:r>
      <w:r>
        <w:rPr>
          <w:rFonts w:hint="eastAsia"/>
          <w:sz w:val="24"/>
        </w:rPr>
        <w:t>34</w:t>
      </w:r>
      <w:r>
        <w:rPr>
          <w:rFonts w:hint="eastAsia"/>
          <w:sz w:val="24"/>
        </w:rPr>
        <w:t>″、纬度</w:t>
      </w:r>
      <w:r>
        <w:rPr>
          <w:rFonts w:hint="eastAsia"/>
          <w:sz w:val="24"/>
        </w:rPr>
        <w:t>37</w:t>
      </w:r>
      <w:r>
        <w:rPr>
          <w:rFonts w:hint="eastAsia"/>
          <w:sz w:val="24"/>
        </w:rPr>
        <w:t>°</w:t>
      </w:r>
      <w:r>
        <w:rPr>
          <w:rFonts w:hint="eastAsia"/>
          <w:sz w:val="24"/>
        </w:rPr>
        <w:t>33</w:t>
      </w:r>
      <w:r>
        <w:rPr>
          <w:rFonts w:hint="eastAsia"/>
          <w:sz w:val="24"/>
        </w:rPr>
        <w:t>′</w:t>
      </w:r>
      <w:r>
        <w:rPr>
          <w:rFonts w:hint="eastAsia"/>
          <w:sz w:val="24"/>
        </w:rPr>
        <w:t>38</w:t>
      </w:r>
      <w:r>
        <w:rPr>
          <w:rFonts w:hint="eastAsia"/>
          <w:sz w:val="24"/>
        </w:rPr>
        <w:t>″，榆林市横山区水务局已批复入河排污口设置（横政水函</w:t>
      </w:r>
      <w:r>
        <w:rPr>
          <w:rFonts w:hint="eastAsia"/>
          <w:sz w:val="24"/>
        </w:rPr>
        <w:t>[2018]104</w:t>
      </w:r>
      <w:r>
        <w:rPr>
          <w:rFonts w:hint="eastAsia"/>
          <w:sz w:val="24"/>
        </w:rPr>
        <w:t>号），榆林市环境保护局同意排污总量指标为化学需氧量</w:t>
      </w:r>
      <w:r>
        <w:rPr>
          <w:rFonts w:hint="eastAsia"/>
          <w:sz w:val="24"/>
        </w:rPr>
        <w:t>11.6t/a</w:t>
      </w:r>
      <w:r>
        <w:rPr>
          <w:rFonts w:hint="eastAsia"/>
          <w:sz w:val="24"/>
        </w:rPr>
        <w:t>，氨氮</w:t>
      </w:r>
      <w:r>
        <w:rPr>
          <w:rFonts w:hint="eastAsia"/>
          <w:sz w:val="24"/>
        </w:rPr>
        <w:t>0.18t/a</w:t>
      </w:r>
      <w:r>
        <w:rPr>
          <w:rFonts w:hint="eastAsia"/>
          <w:sz w:val="24"/>
        </w:rPr>
        <w:t>（榆政环函</w:t>
      </w:r>
      <w:r>
        <w:rPr>
          <w:rFonts w:hint="eastAsia"/>
          <w:sz w:val="24"/>
        </w:rPr>
        <w:t>[2016]508</w:t>
      </w:r>
      <w:r>
        <w:rPr>
          <w:rFonts w:hint="eastAsia"/>
          <w:sz w:val="24"/>
        </w:rPr>
        <w:t>号）。</w:t>
      </w:r>
    </w:p>
    <w:p w:rsidR="00C223F5" w:rsidRDefault="003761EF" w:rsidP="00F66BD1">
      <w:pPr>
        <w:spacing w:line="360" w:lineRule="auto"/>
        <w:jc w:val="center"/>
        <w:rPr>
          <w:b/>
          <w:sz w:val="24"/>
        </w:rPr>
      </w:pPr>
      <w:r>
        <w:rPr>
          <w:sz w:val="24"/>
        </w:rPr>
        <w:pict>
          <v:shape id="_x0000_s1419" type="#_x0000_t202" style="position:absolute;left:0;text-align:left;margin-left:383.25pt;margin-top:102.15pt;width:50.7pt;height:143.25pt;z-index:252161024" o:gfxdata="UEsDBAoAAAAAAIdO4kAAAAAAAAAAAAAAAAAEAAAAZHJzL1BLAwQUAAAACACHTuJA7Z4dY9wAAAAL&#10;AQAADwAAAGRycy9kb3ducmV2LnhtbE2PwU7DMBBE70j8g7VI3KjdUpI0ZFMJRIXoBVGQ4LiN3SQi&#10;XkexmxS+HnOC42qeZt4W65PtxGgG3zpGmM8UCMOV0y3XCG+vm6sMhA/EmjrHBuHLeFiX52cF5dpN&#10;/GLGXahFLGGfE0ITQp9L6avGWPIz1xuO2cENlkI8h1rqgaZYbju5UCqRllqOCw315r4x1efuaBHG&#10;p0Mdvqdq26bN5vH5I9D73cMW8fJirm5BBHMKfzD86kd1KKPT3h1Ze9EhpElyE1GEhVpeg4hElqQr&#10;EHuE5UplIMtC/v+h/AFQSwMEFAAAAAgAh07iQOoQFyDDAQAAbwMAAA4AAABkcnMvZTJvRG9jLnht&#10;bK1TTY7TMBTeI3EHy3uapMNUVdR0JBgVISFAmuEAjmMnlvynZ0+TXgBuwIoNe87Vc/DsdkJhdiOy&#10;cN6/3/e9583NZDTZCwjK2YZWi5ISYbnrlO0b+uV+92pNSYjMdkw7Kxp6EIHebF++2Iy+Fks3ON0J&#10;IFjEhnr0DR1i9HVRBD4Iw8LCeWHRKR0YFlGFvuiAjVjd6GJZlqtidNB5cFyEgNbbk5Nuc30pBY+f&#10;pAwiEt1Q7C3mE/LZprPYbljdA/OD4uc22DO6MExZvHQudcsiIw+gnpQyioMLTsYFd6ZwUiouMgZE&#10;U5X/oLkbmBcZC5IT/ExT+H9l+cf9ZyCqa+jVakWJZQaHdPz+7fjj1/HnV1KV18t1Imn0ocbYO4/R&#10;cXrjJhz2oz2gMWGfJJj0R1QE/Uj3YaZYTJHwlFStq6pEF0ff67Isr/MMij/ZHkJ8J5whSWgo4Agz&#10;s2z/IUTsBEMfQ9JlwWnV7ZTWWYG+fauB7BmOe5e/1CSm/BWmbQq2LqWd3CeLyAtzviYhPiFLUpza&#10;6UxD67oDsqDfW5zD1Qox4F7NCiVwIbezjEEPHlQ/IKbMXJHK4lRze+cNTGtzqaN8+U6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tnh1j3AAAAAsBAAAPAAAAAAAAAAEAIAAAACIAAABkcnMvZG93&#10;bnJldi54bWxQSwECFAAUAAAACACHTuJA6hAXIMMBAABvAwAADgAAAAAAAAABACAAAAArAQAAZHJz&#10;L2Uyb0RvYy54bWxQSwUGAAAAAAYABgBZAQAAYAUAAAAA&#10;" stroked="f">
            <v:textbox style="mso-next-textbox:#_x0000_s1419" inset="1mm,.1mm,.1mm,1mm">
              <w:txbxContent>
                <w:p w:rsidR="00BB1CC7" w:rsidRDefault="00BB1CC7"/>
              </w:txbxContent>
            </v:textbox>
          </v:shape>
        </w:pict>
      </w:r>
      <w:r w:rsidR="00C223F5">
        <w:object w:dxaOrig="11352" w:dyaOrig="9461">
          <v:shape id="_x0000_i1026" type="#_x0000_t75" style="width:472.65pt;height:343.05pt" o:ole="">
            <v:imagedata r:id="rId26" o:title=""/>
          </v:shape>
          <o:OLEObject Type="Embed" ProgID="Visio.Drawing.11" ShapeID="_x0000_i1026" DrawAspect="Content" ObjectID="_1629037137" r:id="rId27"/>
        </w:object>
      </w:r>
      <w:r w:rsidR="005860D5">
        <w:rPr>
          <w:rFonts w:hint="eastAsia"/>
          <w:b/>
          <w:sz w:val="24"/>
        </w:rPr>
        <w:t>图</w:t>
      </w:r>
      <w:r w:rsidR="005860D5">
        <w:rPr>
          <w:rFonts w:hint="eastAsia"/>
          <w:b/>
          <w:sz w:val="24"/>
        </w:rPr>
        <w:t xml:space="preserve">2.3.1-2   </w:t>
      </w:r>
      <w:r w:rsidR="005860D5">
        <w:rPr>
          <w:rFonts w:hint="eastAsia"/>
          <w:b/>
          <w:sz w:val="24"/>
        </w:rPr>
        <w:t>原整合工程水量平衡图</w:t>
      </w:r>
    </w:p>
    <w:p w:rsidR="00C223F5" w:rsidRPr="00925B84" w:rsidRDefault="005860D5" w:rsidP="004835BD">
      <w:pPr>
        <w:spacing w:beforeLines="50" w:before="156"/>
        <w:jc w:val="center"/>
        <w:rPr>
          <w:b/>
          <w:sz w:val="24"/>
        </w:rPr>
      </w:pPr>
      <w:r w:rsidRPr="00925B84">
        <w:rPr>
          <w:b/>
          <w:sz w:val="24"/>
        </w:rPr>
        <w:lastRenderedPageBreak/>
        <w:t>表</w:t>
      </w:r>
      <w:r w:rsidRPr="00925B84">
        <w:rPr>
          <w:rFonts w:hint="eastAsia"/>
          <w:b/>
          <w:sz w:val="24"/>
        </w:rPr>
        <w:t xml:space="preserve">2.3.1-2   </w:t>
      </w:r>
      <w:r w:rsidRPr="00925B84">
        <w:rPr>
          <w:rFonts w:hint="eastAsia"/>
          <w:b/>
          <w:sz w:val="24"/>
        </w:rPr>
        <w:t>原整合工程</w:t>
      </w:r>
      <w:r w:rsidRPr="00925B84">
        <w:rPr>
          <w:b/>
          <w:sz w:val="24"/>
        </w:rPr>
        <w:t>水污染物排放表</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66"/>
        <w:gridCol w:w="480"/>
        <w:gridCol w:w="1278"/>
        <w:gridCol w:w="686"/>
        <w:gridCol w:w="931"/>
        <w:gridCol w:w="2397"/>
        <w:gridCol w:w="686"/>
        <w:gridCol w:w="931"/>
        <w:gridCol w:w="931"/>
        <w:gridCol w:w="754"/>
      </w:tblGrid>
      <w:tr w:rsidR="00C223F5" w:rsidRPr="00925B84">
        <w:trPr>
          <w:jc w:val="center"/>
        </w:trPr>
        <w:tc>
          <w:tcPr>
            <w:tcW w:w="266" w:type="dxa"/>
            <w:vMerge w:val="restart"/>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序号</w:t>
            </w:r>
          </w:p>
        </w:tc>
        <w:tc>
          <w:tcPr>
            <w:tcW w:w="480" w:type="dxa"/>
            <w:vMerge w:val="restart"/>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项目</w:t>
            </w:r>
          </w:p>
        </w:tc>
        <w:tc>
          <w:tcPr>
            <w:tcW w:w="1278" w:type="dxa"/>
            <w:vMerge w:val="restart"/>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名称</w:t>
            </w:r>
          </w:p>
        </w:tc>
        <w:tc>
          <w:tcPr>
            <w:tcW w:w="1617" w:type="dxa"/>
            <w:gridSpan w:val="2"/>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产生情况</w:t>
            </w:r>
          </w:p>
        </w:tc>
        <w:tc>
          <w:tcPr>
            <w:tcW w:w="2397" w:type="dxa"/>
            <w:vMerge w:val="restart"/>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处理措施</w:t>
            </w:r>
          </w:p>
        </w:tc>
        <w:tc>
          <w:tcPr>
            <w:tcW w:w="1617" w:type="dxa"/>
            <w:gridSpan w:val="2"/>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排放情况</w:t>
            </w:r>
          </w:p>
        </w:tc>
        <w:tc>
          <w:tcPr>
            <w:tcW w:w="931" w:type="dxa"/>
            <w:vMerge w:val="restart"/>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标准限值</w:t>
            </w:r>
          </w:p>
          <w:p w:rsidR="00C223F5" w:rsidRPr="00925B84" w:rsidRDefault="005860D5" w:rsidP="00F66BD1">
            <w:pPr>
              <w:adjustRightInd w:val="0"/>
              <w:snapToGrid w:val="0"/>
              <w:jc w:val="center"/>
              <w:rPr>
                <w:szCs w:val="21"/>
              </w:rPr>
            </w:pPr>
            <w:r w:rsidRPr="00925B84">
              <w:rPr>
                <w:rFonts w:hAnsi="宋体"/>
                <w:szCs w:val="21"/>
              </w:rPr>
              <w:t>浓度（</w:t>
            </w:r>
            <w:r w:rsidRPr="00925B84">
              <w:rPr>
                <w:szCs w:val="21"/>
              </w:rPr>
              <w:t>mg/L</w:t>
            </w:r>
            <w:r w:rsidRPr="00925B84">
              <w:rPr>
                <w:rFonts w:hAnsi="宋体"/>
                <w:szCs w:val="21"/>
              </w:rPr>
              <w:t>）</w:t>
            </w:r>
          </w:p>
        </w:tc>
        <w:tc>
          <w:tcPr>
            <w:tcW w:w="754" w:type="dxa"/>
            <w:vMerge w:val="restart"/>
            <w:tcMar>
              <w:left w:w="28" w:type="dxa"/>
              <w:right w:w="28" w:type="dxa"/>
            </w:tcMar>
            <w:vAlign w:val="center"/>
          </w:tcPr>
          <w:p w:rsidR="00C223F5" w:rsidRPr="00925B84" w:rsidRDefault="005860D5" w:rsidP="00F66BD1">
            <w:pPr>
              <w:adjustRightInd w:val="0"/>
              <w:snapToGrid w:val="0"/>
              <w:jc w:val="center"/>
              <w:rPr>
                <w:rFonts w:hAnsi="宋体"/>
                <w:szCs w:val="21"/>
              </w:rPr>
            </w:pPr>
            <w:r w:rsidRPr="00925B84">
              <w:rPr>
                <w:rFonts w:hAnsi="宋体"/>
                <w:szCs w:val="21"/>
              </w:rPr>
              <w:t>达标</w:t>
            </w:r>
          </w:p>
          <w:p w:rsidR="00C223F5" w:rsidRPr="00925B84" w:rsidRDefault="005860D5" w:rsidP="00F66BD1">
            <w:pPr>
              <w:adjustRightInd w:val="0"/>
              <w:snapToGrid w:val="0"/>
              <w:jc w:val="center"/>
              <w:rPr>
                <w:szCs w:val="21"/>
              </w:rPr>
            </w:pPr>
            <w:r w:rsidRPr="00925B84">
              <w:rPr>
                <w:rFonts w:hAnsi="宋体"/>
                <w:szCs w:val="21"/>
              </w:rPr>
              <w:t>情况</w:t>
            </w:r>
          </w:p>
        </w:tc>
      </w:tr>
      <w:tr w:rsidR="00C223F5" w:rsidRPr="00925B84">
        <w:trPr>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产生量（</w:t>
            </w:r>
            <w:r w:rsidRPr="00925B84">
              <w:rPr>
                <w:szCs w:val="21"/>
              </w:rPr>
              <w:t>t/a</w:t>
            </w:r>
            <w:r w:rsidRPr="00925B84">
              <w:rPr>
                <w:rFonts w:hAnsi="宋体"/>
                <w:szCs w:val="21"/>
              </w:rPr>
              <w:t>）</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浓度（</w:t>
            </w:r>
            <w:r w:rsidRPr="00925B84">
              <w:rPr>
                <w:szCs w:val="21"/>
              </w:rPr>
              <w:t>mg/L</w:t>
            </w:r>
            <w:r w:rsidRPr="00925B84">
              <w:rPr>
                <w:rFonts w:hAnsi="宋体"/>
                <w:szCs w:val="21"/>
              </w:rPr>
              <w:t>）</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925B84" w:rsidRDefault="005860D5" w:rsidP="00F66BD1">
            <w:pPr>
              <w:pStyle w:val="affff1"/>
              <w:snapToGrid w:val="0"/>
              <w:spacing w:line="240" w:lineRule="auto"/>
              <w:jc w:val="center"/>
            </w:pPr>
            <w:r w:rsidRPr="00925B84">
              <w:rPr>
                <w:rFonts w:hAnsi="宋体"/>
              </w:rPr>
              <w:t>排放量（</w:t>
            </w:r>
            <w:r w:rsidRPr="00925B84">
              <w:t>t/a</w:t>
            </w:r>
            <w:r w:rsidRPr="00925B84">
              <w:rPr>
                <w:rFonts w:hAnsi="宋体"/>
              </w:rPr>
              <w:t>）</w:t>
            </w:r>
          </w:p>
        </w:tc>
        <w:tc>
          <w:tcPr>
            <w:tcW w:w="931" w:type="dxa"/>
            <w:tcMar>
              <w:left w:w="28" w:type="dxa"/>
              <w:right w:w="28" w:type="dxa"/>
            </w:tcMar>
            <w:vAlign w:val="center"/>
          </w:tcPr>
          <w:p w:rsidR="00C223F5" w:rsidRPr="00925B84" w:rsidRDefault="005860D5" w:rsidP="00F66BD1">
            <w:pPr>
              <w:pStyle w:val="affff1"/>
              <w:snapToGrid w:val="0"/>
              <w:spacing w:line="240" w:lineRule="auto"/>
              <w:jc w:val="center"/>
            </w:pPr>
            <w:r w:rsidRPr="00925B84">
              <w:rPr>
                <w:rFonts w:hAnsi="宋体"/>
              </w:rPr>
              <w:t>浓度（</w:t>
            </w:r>
            <w:r w:rsidRPr="00925B84">
              <w:t>mg/L</w:t>
            </w:r>
            <w:r w:rsidRPr="00925B84">
              <w:rPr>
                <w:rFonts w:hAnsi="宋体"/>
              </w:rPr>
              <w:t>）</w:t>
            </w:r>
          </w:p>
        </w:tc>
        <w:tc>
          <w:tcPr>
            <w:tcW w:w="931"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trHeight w:val="225"/>
          <w:jc w:val="center"/>
        </w:trPr>
        <w:tc>
          <w:tcPr>
            <w:tcW w:w="266" w:type="dxa"/>
            <w:vMerge w:val="restart"/>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1</w:t>
            </w:r>
          </w:p>
        </w:tc>
        <w:tc>
          <w:tcPr>
            <w:tcW w:w="480" w:type="dxa"/>
            <w:vMerge w:val="restart"/>
            <w:tcMar>
              <w:left w:w="28" w:type="dxa"/>
              <w:right w:w="28" w:type="dxa"/>
            </w:tcMar>
            <w:vAlign w:val="center"/>
          </w:tcPr>
          <w:p w:rsidR="00C223F5" w:rsidRPr="00925B84" w:rsidRDefault="005860D5" w:rsidP="00F66BD1">
            <w:pPr>
              <w:adjustRightInd w:val="0"/>
              <w:snapToGrid w:val="0"/>
              <w:jc w:val="center"/>
              <w:rPr>
                <w:rFonts w:hAnsi="宋体"/>
                <w:szCs w:val="21"/>
              </w:rPr>
            </w:pPr>
            <w:r w:rsidRPr="00925B84">
              <w:rPr>
                <w:rFonts w:hAnsi="宋体" w:hint="eastAsia"/>
                <w:szCs w:val="21"/>
              </w:rPr>
              <w:t>井下</w:t>
            </w:r>
          </w:p>
        </w:tc>
        <w:tc>
          <w:tcPr>
            <w:tcW w:w="1278"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矿井排水</w:t>
            </w:r>
          </w:p>
        </w:tc>
        <w:tc>
          <w:tcPr>
            <w:tcW w:w="1617" w:type="dxa"/>
            <w:gridSpan w:val="2"/>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39.35</w:t>
            </w:r>
            <w:r w:rsidRPr="00925B84">
              <w:rPr>
                <w:szCs w:val="21"/>
              </w:rPr>
              <w:t>万</w:t>
            </w:r>
            <w:r w:rsidRPr="00925B84">
              <w:rPr>
                <w:szCs w:val="21"/>
              </w:rPr>
              <w:t>t/a</w:t>
            </w:r>
          </w:p>
        </w:tc>
        <w:tc>
          <w:tcPr>
            <w:tcW w:w="2397" w:type="dxa"/>
            <w:vMerge w:val="restart"/>
            <w:tcMar>
              <w:left w:w="28" w:type="dxa"/>
              <w:right w:w="28" w:type="dxa"/>
            </w:tcMar>
            <w:vAlign w:val="center"/>
          </w:tcPr>
          <w:p w:rsidR="00C223F5" w:rsidRPr="00925B84" w:rsidRDefault="005860D5" w:rsidP="00F66BD1">
            <w:pPr>
              <w:adjustRightInd w:val="0"/>
              <w:snapToGrid w:val="0"/>
              <w:jc w:val="center"/>
              <w:rPr>
                <w:spacing w:val="-6"/>
                <w:szCs w:val="21"/>
              </w:rPr>
            </w:pPr>
            <w:r w:rsidRPr="00925B84">
              <w:rPr>
                <w:rFonts w:hAnsi="宋体"/>
                <w:spacing w:val="-6"/>
                <w:szCs w:val="21"/>
              </w:rPr>
              <w:t>矿井水处理站规模</w:t>
            </w:r>
            <w:r w:rsidRPr="00925B84">
              <w:rPr>
                <w:rFonts w:hAnsi="宋体" w:hint="eastAsia"/>
                <w:spacing w:val="-6"/>
                <w:szCs w:val="21"/>
              </w:rPr>
              <w:t>2000</w:t>
            </w:r>
            <w:r w:rsidRPr="00925B84">
              <w:rPr>
                <w:spacing w:val="-6"/>
                <w:szCs w:val="21"/>
              </w:rPr>
              <w:t>m</w:t>
            </w:r>
            <w:r w:rsidRPr="00925B84">
              <w:rPr>
                <w:spacing w:val="-6"/>
                <w:szCs w:val="21"/>
                <w:vertAlign w:val="superscript"/>
              </w:rPr>
              <w:t>3</w:t>
            </w:r>
            <w:r w:rsidRPr="00925B84">
              <w:rPr>
                <w:spacing w:val="-6"/>
                <w:szCs w:val="21"/>
              </w:rPr>
              <w:t>/</w:t>
            </w:r>
            <w:r w:rsidRPr="00925B84">
              <w:rPr>
                <w:rFonts w:hint="eastAsia"/>
                <w:spacing w:val="-6"/>
                <w:szCs w:val="21"/>
              </w:rPr>
              <w:t>d</w:t>
            </w:r>
            <w:r w:rsidRPr="00925B84">
              <w:rPr>
                <w:rFonts w:hAnsi="宋体"/>
                <w:spacing w:val="-6"/>
                <w:szCs w:val="21"/>
              </w:rPr>
              <w:t>，</w:t>
            </w:r>
            <w:r w:rsidRPr="00925B84">
              <w:rPr>
                <w:rFonts w:hAnsi="宋体"/>
                <w:snapToGrid w:val="0"/>
                <w:spacing w:val="-6"/>
                <w:szCs w:val="21"/>
              </w:rPr>
              <w:t>采用</w:t>
            </w:r>
            <w:r w:rsidRPr="00925B84">
              <w:rPr>
                <w:rFonts w:hAnsi="宋体"/>
                <w:spacing w:val="-6"/>
                <w:szCs w:val="21"/>
              </w:rPr>
              <w:t>混凝、沉淀、过滤工艺。处理达标后</w:t>
            </w:r>
            <w:r w:rsidRPr="00925B84">
              <w:rPr>
                <w:rFonts w:hAnsi="宋体" w:hint="eastAsia"/>
                <w:spacing w:val="-6"/>
                <w:szCs w:val="21"/>
              </w:rPr>
              <w:t>部分回用，其余排至蚂蚁河</w:t>
            </w:r>
          </w:p>
        </w:tc>
        <w:tc>
          <w:tcPr>
            <w:tcW w:w="1617" w:type="dxa"/>
            <w:gridSpan w:val="2"/>
            <w:tcMar>
              <w:left w:w="28" w:type="dxa"/>
              <w:right w:w="28" w:type="dxa"/>
            </w:tcMar>
            <w:vAlign w:val="center"/>
          </w:tcPr>
          <w:p w:rsidR="00C223F5" w:rsidRPr="00925B84" w:rsidRDefault="005860D5" w:rsidP="00F66BD1">
            <w:pPr>
              <w:pStyle w:val="affff1"/>
              <w:snapToGrid w:val="0"/>
              <w:spacing w:line="240" w:lineRule="auto"/>
              <w:jc w:val="center"/>
            </w:pPr>
            <w:r w:rsidRPr="00925B84">
              <w:rPr>
                <w:rFonts w:hint="eastAsia"/>
              </w:rPr>
              <w:t>26.87</w:t>
            </w:r>
            <w:r w:rsidRPr="00925B84">
              <w:t>万</w:t>
            </w:r>
            <w:r w:rsidRPr="00925B84">
              <w:t>t/a</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w:t>
            </w:r>
          </w:p>
        </w:tc>
        <w:tc>
          <w:tcPr>
            <w:tcW w:w="754" w:type="dxa"/>
            <w:vMerge w:val="restart"/>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处理达标，</w:t>
            </w:r>
            <w:r w:rsidRPr="00925B84">
              <w:rPr>
                <w:rFonts w:hAnsi="宋体" w:hint="eastAsia"/>
                <w:szCs w:val="21"/>
              </w:rPr>
              <w:t>部分</w:t>
            </w:r>
            <w:r w:rsidRPr="00925B84">
              <w:rPr>
                <w:rFonts w:hAnsi="宋体"/>
                <w:szCs w:val="21"/>
              </w:rPr>
              <w:t>排放</w:t>
            </w:r>
          </w:p>
        </w:tc>
      </w:tr>
      <w:tr w:rsidR="00C223F5" w:rsidRPr="00925B84">
        <w:trPr>
          <w:trHeight w:val="70"/>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SS</w:t>
            </w: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30.69</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78</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4.03</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15</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50</w:t>
            </w: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COD</w:t>
            </w: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29.91</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76</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11.28</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42</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50</w:t>
            </w: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pacing w:val="-6"/>
                <w:szCs w:val="21"/>
              </w:rPr>
              <w:t>石油类</w:t>
            </w: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0.047</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0.12</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0.019</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0.07</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5</w:t>
            </w: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tcMar>
              <w:left w:w="28" w:type="dxa"/>
              <w:right w:w="28" w:type="dxa"/>
            </w:tcMar>
            <w:vAlign w:val="center"/>
          </w:tcPr>
          <w:p w:rsidR="00C223F5" w:rsidRPr="00925B84" w:rsidRDefault="005860D5" w:rsidP="00F66BD1">
            <w:pPr>
              <w:adjustRightInd w:val="0"/>
              <w:snapToGrid w:val="0"/>
              <w:jc w:val="center"/>
              <w:rPr>
                <w:spacing w:val="-6"/>
                <w:szCs w:val="21"/>
              </w:rPr>
            </w:pPr>
            <w:r w:rsidRPr="00925B84">
              <w:rPr>
                <w:rFonts w:hAnsi="宋体"/>
                <w:spacing w:val="-6"/>
                <w:szCs w:val="21"/>
              </w:rPr>
              <w:t>氨氮</w:t>
            </w: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0.41</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1.05</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2F23B2" w:rsidRDefault="005860D5" w:rsidP="00F66BD1">
            <w:pPr>
              <w:adjustRightInd w:val="0"/>
              <w:snapToGrid w:val="0"/>
              <w:jc w:val="center"/>
              <w:rPr>
                <w:color w:val="FF0000"/>
                <w:szCs w:val="21"/>
              </w:rPr>
            </w:pPr>
            <w:r w:rsidRPr="002F23B2">
              <w:rPr>
                <w:rFonts w:hint="eastAsia"/>
                <w:color w:val="FF0000"/>
                <w:szCs w:val="21"/>
              </w:rPr>
              <w:t>0.</w:t>
            </w:r>
            <w:r w:rsidR="002F23B2">
              <w:rPr>
                <w:color w:val="FF0000"/>
                <w:szCs w:val="21"/>
              </w:rPr>
              <w:t>14</w:t>
            </w:r>
          </w:p>
        </w:tc>
        <w:tc>
          <w:tcPr>
            <w:tcW w:w="931" w:type="dxa"/>
            <w:tcMar>
              <w:left w:w="28" w:type="dxa"/>
              <w:right w:w="28" w:type="dxa"/>
            </w:tcMar>
            <w:vAlign w:val="center"/>
          </w:tcPr>
          <w:p w:rsidR="00C223F5" w:rsidRPr="002F23B2" w:rsidRDefault="002F23B2" w:rsidP="00F66BD1">
            <w:pPr>
              <w:adjustRightInd w:val="0"/>
              <w:snapToGrid w:val="0"/>
              <w:jc w:val="center"/>
              <w:rPr>
                <w:color w:val="FF0000"/>
                <w:szCs w:val="21"/>
              </w:rPr>
            </w:pPr>
            <w:r w:rsidRPr="002F23B2">
              <w:rPr>
                <w:rFonts w:hAnsi="宋体" w:hint="eastAsia"/>
                <w:color w:val="FF0000"/>
                <w:szCs w:val="21"/>
              </w:rPr>
              <w:t>0.52</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12</w:t>
            </w: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jc w:val="center"/>
        </w:trPr>
        <w:tc>
          <w:tcPr>
            <w:tcW w:w="266" w:type="dxa"/>
            <w:vMerge w:val="restart"/>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2</w:t>
            </w:r>
          </w:p>
        </w:tc>
        <w:tc>
          <w:tcPr>
            <w:tcW w:w="480" w:type="dxa"/>
            <w:vMerge w:val="restart"/>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hint="eastAsia"/>
                <w:szCs w:val="21"/>
              </w:rPr>
              <w:t>工业场地</w:t>
            </w:r>
          </w:p>
        </w:tc>
        <w:tc>
          <w:tcPr>
            <w:tcW w:w="1278"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生活污水</w:t>
            </w:r>
          </w:p>
        </w:tc>
        <w:tc>
          <w:tcPr>
            <w:tcW w:w="1617" w:type="dxa"/>
            <w:gridSpan w:val="2"/>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1.41</w:t>
            </w:r>
            <w:r w:rsidRPr="00925B84">
              <w:rPr>
                <w:szCs w:val="21"/>
              </w:rPr>
              <w:t>万</w:t>
            </w:r>
            <w:r w:rsidRPr="00925B84">
              <w:rPr>
                <w:szCs w:val="21"/>
              </w:rPr>
              <w:t>t/a</w:t>
            </w:r>
          </w:p>
        </w:tc>
        <w:tc>
          <w:tcPr>
            <w:tcW w:w="2397" w:type="dxa"/>
            <w:vMerge w:val="restart"/>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生活污水处理站规模</w:t>
            </w:r>
            <w:r w:rsidRPr="00925B84">
              <w:rPr>
                <w:rFonts w:hint="eastAsia"/>
                <w:szCs w:val="21"/>
              </w:rPr>
              <w:t>300</w:t>
            </w:r>
            <w:r w:rsidRPr="00925B84">
              <w:rPr>
                <w:szCs w:val="21"/>
              </w:rPr>
              <w:t>m</w:t>
            </w:r>
            <w:r w:rsidRPr="00925B84">
              <w:rPr>
                <w:szCs w:val="21"/>
                <w:vertAlign w:val="superscript"/>
              </w:rPr>
              <w:t>3</w:t>
            </w:r>
            <w:r w:rsidRPr="00925B84">
              <w:rPr>
                <w:szCs w:val="21"/>
              </w:rPr>
              <w:t>/</w:t>
            </w:r>
            <w:r w:rsidRPr="00925B84">
              <w:rPr>
                <w:rFonts w:hint="eastAsia"/>
                <w:szCs w:val="21"/>
              </w:rPr>
              <w:t xml:space="preserve"> d</w:t>
            </w:r>
            <w:r w:rsidRPr="00925B84">
              <w:rPr>
                <w:rFonts w:hAnsi="宋体"/>
                <w:szCs w:val="21"/>
              </w:rPr>
              <w:t>，</w:t>
            </w:r>
            <w:r w:rsidRPr="00925B84">
              <w:rPr>
                <w:szCs w:val="21"/>
              </w:rPr>
              <w:t>A</w:t>
            </w:r>
            <w:r w:rsidRPr="00925B84">
              <w:rPr>
                <w:szCs w:val="21"/>
                <w:vertAlign w:val="superscript"/>
              </w:rPr>
              <w:t>2</w:t>
            </w:r>
            <w:r w:rsidRPr="00925B84">
              <w:rPr>
                <w:szCs w:val="21"/>
              </w:rPr>
              <w:t>O</w:t>
            </w:r>
            <w:r w:rsidRPr="00925B84">
              <w:rPr>
                <w:szCs w:val="21"/>
              </w:rPr>
              <w:t>地埋式一体机处理工艺</w:t>
            </w:r>
            <w:r w:rsidRPr="00925B84">
              <w:rPr>
                <w:rFonts w:hAnsi="宋体" w:hint="eastAsia"/>
                <w:szCs w:val="21"/>
              </w:rPr>
              <w:t>，</w:t>
            </w:r>
            <w:r w:rsidRPr="00925B84">
              <w:rPr>
                <w:rFonts w:hAnsi="宋体"/>
                <w:snapToGrid w:val="0"/>
                <w:spacing w:val="2"/>
                <w:szCs w:val="21"/>
              </w:rPr>
              <w:t>处理达标后</w:t>
            </w:r>
            <w:r w:rsidRPr="00925B84">
              <w:rPr>
                <w:rFonts w:hAnsi="宋体" w:hint="eastAsia"/>
                <w:snapToGrid w:val="0"/>
                <w:spacing w:val="2"/>
                <w:szCs w:val="21"/>
              </w:rPr>
              <w:t>全部</w:t>
            </w:r>
            <w:r w:rsidRPr="00925B84">
              <w:rPr>
                <w:rFonts w:hAnsi="宋体"/>
                <w:snapToGrid w:val="0"/>
                <w:spacing w:val="2"/>
                <w:szCs w:val="21"/>
              </w:rPr>
              <w:t>回用于</w:t>
            </w:r>
            <w:r w:rsidRPr="00925B84">
              <w:rPr>
                <w:rFonts w:hAnsi="宋体" w:hint="eastAsia"/>
                <w:snapToGrid w:val="0"/>
                <w:spacing w:val="2"/>
                <w:szCs w:val="21"/>
              </w:rPr>
              <w:t>绿化降尘等</w:t>
            </w:r>
          </w:p>
        </w:tc>
        <w:tc>
          <w:tcPr>
            <w:tcW w:w="1617" w:type="dxa"/>
            <w:gridSpan w:val="2"/>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 xml:space="preserve">0 </w:t>
            </w:r>
            <w:r w:rsidRPr="00925B84">
              <w:rPr>
                <w:szCs w:val="21"/>
              </w:rPr>
              <w:t>万</w:t>
            </w:r>
            <w:r w:rsidRPr="00925B84">
              <w:rPr>
                <w:szCs w:val="21"/>
              </w:rPr>
              <w:t>t/a</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w:t>
            </w:r>
          </w:p>
        </w:tc>
        <w:tc>
          <w:tcPr>
            <w:tcW w:w="754" w:type="dxa"/>
            <w:vMerge w:val="restart"/>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处理达标，</w:t>
            </w:r>
            <w:r w:rsidRPr="00925B84">
              <w:rPr>
                <w:rFonts w:hAnsi="宋体" w:hint="eastAsia"/>
                <w:szCs w:val="21"/>
              </w:rPr>
              <w:t>不</w:t>
            </w:r>
            <w:r w:rsidRPr="00925B84">
              <w:rPr>
                <w:rFonts w:hAnsi="宋体"/>
                <w:szCs w:val="21"/>
              </w:rPr>
              <w:t>排放</w:t>
            </w:r>
          </w:p>
        </w:tc>
      </w:tr>
      <w:tr w:rsidR="00C223F5" w:rsidRPr="00925B84">
        <w:trPr>
          <w:trHeight w:val="70"/>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SS</w:t>
            </w: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0.282</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20</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15</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70</w:t>
            </w: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COD</w:t>
            </w: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1.029</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73</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41</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50</w:t>
            </w: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tcMar>
              <w:left w:w="28" w:type="dxa"/>
              <w:right w:w="28" w:type="dxa"/>
            </w:tcMar>
            <w:vAlign w:val="center"/>
          </w:tcPr>
          <w:p w:rsidR="00C223F5" w:rsidRPr="00925B84" w:rsidRDefault="005860D5" w:rsidP="00F66BD1">
            <w:pPr>
              <w:adjustRightInd w:val="0"/>
              <w:snapToGrid w:val="0"/>
              <w:jc w:val="center"/>
              <w:rPr>
                <w:spacing w:val="-6"/>
                <w:szCs w:val="21"/>
              </w:rPr>
            </w:pPr>
            <w:r w:rsidRPr="00925B84">
              <w:rPr>
                <w:spacing w:val="-6"/>
                <w:szCs w:val="21"/>
              </w:rPr>
              <w:t>BOD</w:t>
            </w:r>
            <w:r w:rsidRPr="00925B84">
              <w:rPr>
                <w:spacing w:val="-6"/>
                <w:szCs w:val="21"/>
                <w:vertAlign w:val="subscript"/>
              </w:rPr>
              <w:t>5</w:t>
            </w: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0.398</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28.2</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10.4</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20</w:t>
            </w: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pacing w:val="-6"/>
                <w:szCs w:val="21"/>
              </w:rPr>
              <w:t>氨氮</w:t>
            </w: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0.059</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4.21</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0.032</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12</w:t>
            </w: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jc w:val="center"/>
        </w:trPr>
        <w:tc>
          <w:tcPr>
            <w:tcW w:w="266" w:type="dxa"/>
            <w:vMerge w:val="restart"/>
            <w:tcMar>
              <w:left w:w="28" w:type="dxa"/>
              <w:right w:w="28" w:type="dxa"/>
            </w:tcMar>
            <w:vAlign w:val="center"/>
          </w:tcPr>
          <w:p w:rsidR="00C223F5" w:rsidRPr="00925B84" w:rsidRDefault="005860D5" w:rsidP="00F66BD1">
            <w:pPr>
              <w:adjustRightInd w:val="0"/>
              <w:snapToGrid w:val="0"/>
              <w:jc w:val="center"/>
              <w:rPr>
                <w:szCs w:val="21"/>
              </w:rPr>
            </w:pPr>
            <w:r w:rsidRPr="00925B84">
              <w:rPr>
                <w:rFonts w:hAnsi="宋体"/>
                <w:szCs w:val="21"/>
              </w:rPr>
              <w:t>合计</w:t>
            </w:r>
          </w:p>
        </w:tc>
        <w:tc>
          <w:tcPr>
            <w:tcW w:w="480" w:type="dxa"/>
            <w:vMerge w:val="restart"/>
            <w:tcMar>
              <w:left w:w="28" w:type="dxa"/>
              <w:right w:w="28" w:type="dxa"/>
            </w:tcMar>
            <w:vAlign w:val="center"/>
          </w:tcPr>
          <w:p w:rsidR="00C223F5" w:rsidRPr="00925B84" w:rsidRDefault="005860D5" w:rsidP="00F66BD1">
            <w:pPr>
              <w:adjustRightInd w:val="0"/>
              <w:snapToGrid w:val="0"/>
              <w:jc w:val="center"/>
              <w:rPr>
                <w:rFonts w:hAnsi="宋体"/>
                <w:szCs w:val="21"/>
              </w:rPr>
            </w:pPr>
            <w:r w:rsidRPr="00925B84">
              <w:rPr>
                <w:rFonts w:hAnsi="宋体"/>
                <w:szCs w:val="21"/>
              </w:rPr>
              <w:t>污</w:t>
            </w:r>
          </w:p>
          <w:p w:rsidR="00C223F5" w:rsidRPr="00925B84" w:rsidRDefault="005860D5" w:rsidP="00F66BD1">
            <w:pPr>
              <w:adjustRightInd w:val="0"/>
              <w:snapToGrid w:val="0"/>
              <w:jc w:val="center"/>
              <w:rPr>
                <w:rFonts w:hAnsi="宋体"/>
                <w:szCs w:val="21"/>
              </w:rPr>
            </w:pPr>
            <w:r w:rsidRPr="00925B84">
              <w:rPr>
                <w:rFonts w:hAnsi="宋体"/>
                <w:szCs w:val="21"/>
              </w:rPr>
              <w:t>染</w:t>
            </w:r>
          </w:p>
          <w:p w:rsidR="00C223F5" w:rsidRPr="00925B84" w:rsidRDefault="005860D5" w:rsidP="00F66BD1">
            <w:pPr>
              <w:adjustRightInd w:val="0"/>
              <w:snapToGrid w:val="0"/>
              <w:jc w:val="center"/>
              <w:rPr>
                <w:szCs w:val="21"/>
              </w:rPr>
            </w:pPr>
            <w:r w:rsidRPr="00925B84">
              <w:rPr>
                <w:rFonts w:hAnsi="宋体"/>
                <w:szCs w:val="21"/>
              </w:rPr>
              <w:t>物</w:t>
            </w:r>
          </w:p>
        </w:tc>
        <w:tc>
          <w:tcPr>
            <w:tcW w:w="1278" w:type="dxa"/>
            <w:tcMar>
              <w:left w:w="28" w:type="dxa"/>
              <w:right w:w="28" w:type="dxa"/>
            </w:tcMar>
            <w:vAlign w:val="center"/>
          </w:tcPr>
          <w:p w:rsidR="00C223F5" w:rsidRPr="00925B84" w:rsidRDefault="005860D5" w:rsidP="00F66BD1">
            <w:pPr>
              <w:adjustRightInd w:val="0"/>
              <w:snapToGrid w:val="0"/>
              <w:jc w:val="center"/>
              <w:rPr>
                <w:spacing w:val="-6"/>
                <w:szCs w:val="21"/>
              </w:rPr>
            </w:pPr>
            <w:r w:rsidRPr="00925B84">
              <w:rPr>
                <w:rFonts w:hAnsi="宋体"/>
                <w:szCs w:val="21"/>
              </w:rPr>
              <w:t>废水</w:t>
            </w:r>
          </w:p>
        </w:tc>
        <w:tc>
          <w:tcPr>
            <w:tcW w:w="1617" w:type="dxa"/>
            <w:gridSpan w:val="2"/>
            <w:tcMar>
              <w:left w:w="28" w:type="dxa"/>
              <w:right w:w="28" w:type="dxa"/>
            </w:tcMar>
            <w:vAlign w:val="center"/>
          </w:tcPr>
          <w:p w:rsidR="00C223F5" w:rsidRPr="00925B84" w:rsidRDefault="005860D5" w:rsidP="00F66BD1">
            <w:pPr>
              <w:adjustRightInd w:val="0"/>
              <w:snapToGrid w:val="0"/>
              <w:jc w:val="center"/>
              <w:rPr>
                <w:spacing w:val="-6"/>
                <w:szCs w:val="21"/>
              </w:rPr>
            </w:pPr>
            <w:r w:rsidRPr="00925B84">
              <w:rPr>
                <w:rFonts w:hint="eastAsia"/>
                <w:spacing w:val="-6"/>
                <w:szCs w:val="21"/>
              </w:rPr>
              <w:t>40.76</w:t>
            </w:r>
            <w:r w:rsidRPr="00925B84">
              <w:rPr>
                <w:szCs w:val="21"/>
              </w:rPr>
              <w:t>万</w:t>
            </w:r>
            <w:r w:rsidRPr="00925B84">
              <w:rPr>
                <w:szCs w:val="21"/>
              </w:rPr>
              <w:t>t/a</w:t>
            </w:r>
          </w:p>
        </w:tc>
        <w:tc>
          <w:tcPr>
            <w:tcW w:w="2397" w:type="dxa"/>
            <w:vMerge w:val="restart"/>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1617" w:type="dxa"/>
            <w:gridSpan w:val="2"/>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rPr>
              <w:t>26.87</w:t>
            </w:r>
            <w:r w:rsidRPr="00925B84">
              <w:t>万</w:t>
            </w:r>
            <w:r w:rsidRPr="00925B84">
              <w:t>t/a</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w:t>
            </w:r>
          </w:p>
        </w:tc>
        <w:tc>
          <w:tcPr>
            <w:tcW w:w="754" w:type="dxa"/>
            <w:vMerge w:val="restart"/>
            <w:tcMar>
              <w:left w:w="28" w:type="dxa"/>
              <w:right w:w="28" w:type="dxa"/>
            </w:tcMar>
            <w:vAlign w:val="center"/>
          </w:tcPr>
          <w:p w:rsidR="00C223F5" w:rsidRPr="00925B84" w:rsidRDefault="005860D5" w:rsidP="00F66BD1">
            <w:pPr>
              <w:adjustRightInd w:val="0"/>
              <w:snapToGrid w:val="0"/>
              <w:jc w:val="center"/>
              <w:rPr>
                <w:rFonts w:hAnsi="宋体"/>
                <w:szCs w:val="21"/>
              </w:rPr>
            </w:pPr>
            <w:r w:rsidRPr="00925B84">
              <w:rPr>
                <w:rFonts w:hAnsi="宋体"/>
                <w:szCs w:val="21"/>
              </w:rPr>
              <w:t>达标</w:t>
            </w:r>
          </w:p>
          <w:p w:rsidR="00C223F5" w:rsidRPr="00925B84" w:rsidRDefault="005860D5" w:rsidP="00F66BD1">
            <w:pPr>
              <w:adjustRightInd w:val="0"/>
              <w:snapToGrid w:val="0"/>
              <w:jc w:val="center"/>
              <w:rPr>
                <w:szCs w:val="21"/>
              </w:rPr>
            </w:pPr>
            <w:r w:rsidRPr="00925B84">
              <w:rPr>
                <w:rFonts w:hAnsi="宋体"/>
                <w:szCs w:val="21"/>
              </w:rPr>
              <w:t>排放</w:t>
            </w:r>
          </w:p>
        </w:tc>
      </w:tr>
      <w:tr w:rsidR="00C223F5" w:rsidRPr="00925B84">
        <w:trPr>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SS</w:t>
            </w:r>
          </w:p>
        </w:tc>
        <w:tc>
          <w:tcPr>
            <w:tcW w:w="686" w:type="dxa"/>
            <w:tcMar>
              <w:left w:w="28" w:type="dxa"/>
              <w:right w:w="28" w:type="dxa"/>
            </w:tcMar>
            <w:vAlign w:val="center"/>
          </w:tcPr>
          <w:p w:rsidR="00C223F5" w:rsidRPr="00925B84" w:rsidRDefault="005860D5" w:rsidP="00F66BD1">
            <w:pPr>
              <w:adjustRightInd w:val="0"/>
              <w:snapToGrid w:val="0"/>
              <w:jc w:val="center"/>
              <w:rPr>
                <w:spacing w:val="-6"/>
                <w:szCs w:val="21"/>
              </w:rPr>
            </w:pPr>
            <w:r w:rsidRPr="00925B84">
              <w:rPr>
                <w:rFonts w:hint="eastAsia"/>
                <w:spacing w:val="-6"/>
                <w:szCs w:val="21"/>
              </w:rPr>
              <w:t>30.972</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4.03</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50</w:t>
            </w: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COD</w:t>
            </w:r>
          </w:p>
        </w:tc>
        <w:tc>
          <w:tcPr>
            <w:tcW w:w="686" w:type="dxa"/>
            <w:tcMar>
              <w:left w:w="28" w:type="dxa"/>
              <w:right w:w="28" w:type="dxa"/>
            </w:tcMar>
            <w:vAlign w:val="center"/>
          </w:tcPr>
          <w:p w:rsidR="00C223F5" w:rsidRPr="00925B84" w:rsidRDefault="005860D5" w:rsidP="00F66BD1">
            <w:pPr>
              <w:adjustRightInd w:val="0"/>
              <w:snapToGrid w:val="0"/>
              <w:jc w:val="center"/>
              <w:rPr>
                <w:spacing w:val="-6"/>
                <w:szCs w:val="21"/>
              </w:rPr>
            </w:pPr>
            <w:r w:rsidRPr="00925B84">
              <w:rPr>
                <w:rFonts w:hint="eastAsia"/>
                <w:spacing w:val="-6"/>
                <w:szCs w:val="21"/>
              </w:rPr>
              <w:t>30.939</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11.28</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szCs w:val="21"/>
              </w:rPr>
              <w:t>50</w:t>
            </w: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tcMar>
              <w:left w:w="28" w:type="dxa"/>
              <w:right w:w="28" w:type="dxa"/>
            </w:tcMar>
            <w:vAlign w:val="center"/>
          </w:tcPr>
          <w:p w:rsidR="00C223F5" w:rsidRPr="00925B84" w:rsidRDefault="005860D5" w:rsidP="00F66BD1">
            <w:pPr>
              <w:adjustRightInd w:val="0"/>
              <w:snapToGrid w:val="0"/>
              <w:jc w:val="center"/>
              <w:rPr>
                <w:szCs w:val="21"/>
              </w:rPr>
            </w:pPr>
            <w:r w:rsidRPr="00925B84">
              <w:rPr>
                <w:spacing w:val="-6"/>
                <w:szCs w:val="21"/>
              </w:rPr>
              <w:t>BOD</w:t>
            </w:r>
            <w:r w:rsidRPr="00925B84">
              <w:rPr>
                <w:spacing w:val="-6"/>
                <w:szCs w:val="21"/>
                <w:vertAlign w:val="subscript"/>
              </w:rPr>
              <w:t>5</w:t>
            </w: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0.398</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tcMar>
              <w:left w:w="28" w:type="dxa"/>
              <w:right w:w="28" w:type="dxa"/>
            </w:tcMar>
            <w:vAlign w:val="center"/>
          </w:tcPr>
          <w:p w:rsidR="00C223F5" w:rsidRPr="00925B84" w:rsidRDefault="005860D5" w:rsidP="00F66BD1">
            <w:pPr>
              <w:adjustRightInd w:val="0"/>
              <w:snapToGrid w:val="0"/>
              <w:jc w:val="center"/>
              <w:rPr>
                <w:spacing w:val="-6"/>
                <w:szCs w:val="21"/>
              </w:rPr>
            </w:pPr>
            <w:r w:rsidRPr="00925B84">
              <w:rPr>
                <w:rFonts w:hAnsi="宋体"/>
                <w:spacing w:val="-6"/>
                <w:szCs w:val="21"/>
              </w:rPr>
              <w:t>氨氮</w:t>
            </w:r>
          </w:p>
        </w:tc>
        <w:tc>
          <w:tcPr>
            <w:tcW w:w="686" w:type="dxa"/>
            <w:tcMar>
              <w:left w:w="28" w:type="dxa"/>
              <w:right w:w="28" w:type="dxa"/>
            </w:tcMar>
            <w:vAlign w:val="center"/>
          </w:tcPr>
          <w:p w:rsidR="00C223F5" w:rsidRPr="002F23B2" w:rsidRDefault="005860D5" w:rsidP="00F66BD1">
            <w:pPr>
              <w:adjustRightInd w:val="0"/>
              <w:snapToGrid w:val="0"/>
              <w:jc w:val="center"/>
              <w:rPr>
                <w:color w:val="FF0000"/>
                <w:szCs w:val="21"/>
              </w:rPr>
            </w:pPr>
            <w:r w:rsidRPr="002F23B2">
              <w:rPr>
                <w:rFonts w:hint="eastAsia"/>
                <w:color w:val="FF0000"/>
                <w:szCs w:val="21"/>
              </w:rPr>
              <w:t>0.</w:t>
            </w:r>
            <w:r w:rsidR="002F23B2" w:rsidRPr="002F23B2">
              <w:rPr>
                <w:color w:val="FF0000"/>
                <w:szCs w:val="21"/>
              </w:rPr>
              <w:t>4</w:t>
            </w:r>
            <w:r w:rsidRPr="002F23B2">
              <w:rPr>
                <w:rFonts w:hint="eastAsia"/>
                <w:color w:val="FF0000"/>
                <w:szCs w:val="21"/>
              </w:rPr>
              <w:t>69</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2F23B2" w:rsidRDefault="005860D5" w:rsidP="00F66BD1">
            <w:pPr>
              <w:adjustRightInd w:val="0"/>
              <w:snapToGrid w:val="0"/>
              <w:jc w:val="center"/>
              <w:rPr>
                <w:color w:val="FF0000"/>
                <w:szCs w:val="21"/>
              </w:rPr>
            </w:pPr>
            <w:r w:rsidRPr="002F23B2">
              <w:rPr>
                <w:rFonts w:hint="eastAsia"/>
                <w:color w:val="FF0000"/>
                <w:szCs w:val="21"/>
              </w:rPr>
              <w:t>0.</w:t>
            </w:r>
            <w:r w:rsidR="002F23B2" w:rsidRPr="002F23B2">
              <w:rPr>
                <w:color w:val="FF0000"/>
                <w:szCs w:val="21"/>
              </w:rPr>
              <w:t>14</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jc w:val="center"/>
        </w:trPr>
        <w:tc>
          <w:tcPr>
            <w:tcW w:w="266"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480"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1278" w:type="dxa"/>
            <w:tcMar>
              <w:left w:w="28" w:type="dxa"/>
              <w:right w:w="28" w:type="dxa"/>
            </w:tcMar>
            <w:vAlign w:val="center"/>
          </w:tcPr>
          <w:p w:rsidR="00C223F5" w:rsidRPr="00925B84" w:rsidRDefault="005860D5" w:rsidP="00F66BD1">
            <w:pPr>
              <w:adjustRightInd w:val="0"/>
              <w:snapToGrid w:val="0"/>
              <w:jc w:val="center"/>
              <w:rPr>
                <w:rFonts w:hAnsi="宋体"/>
                <w:spacing w:val="-6"/>
                <w:szCs w:val="21"/>
              </w:rPr>
            </w:pPr>
            <w:r w:rsidRPr="00925B84">
              <w:rPr>
                <w:rFonts w:hint="eastAsia"/>
                <w:spacing w:val="-6"/>
                <w:szCs w:val="21"/>
              </w:rPr>
              <w:t>石油类</w:t>
            </w:r>
          </w:p>
        </w:tc>
        <w:tc>
          <w:tcPr>
            <w:tcW w:w="686" w:type="dxa"/>
            <w:tcMar>
              <w:left w:w="28" w:type="dxa"/>
              <w:right w:w="28" w:type="dxa"/>
            </w:tcMar>
            <w:vAlign w:val="center"/>
          </w:tcPr>
          <w:p w:rsidR="00C223F5" w:rsidRPr="00925B84" w:rsidRDefault="005860D5" w:rsidP="00F66BD1">
            <w:pPr>
              <w:adjustRightInd w:val="0"/>
              <w:snapToGrid w:val="0"/>
              <w:jc w:val="center"/>
              <w:rPr>
                <w:spacing w:val="2"/>
                <w:szCs w:val="21"/>
              </w:rPr>
            </w:pPr>
            <w:r w:rsidRPr="00925B84">
              <w:rPr>
                <w:rFonts w:hint="eastAsia"/>
                <w:spacing w:val="2"/>
                <w:szCs w:val="21"/>
              </w:rPr>
              <w:t>0.047</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2397" w:type="dxa"/>
            <w:vMerge/>
            <w:tcMar>
              <w:left w:w="28" w:type="dxa"/>
              <w:right w:w="28" w:type="dxa"/>
            </w:tcMar>
            <w:vAlign w:val="center"/>
          </w:tcPr>
          <w:p w:rsidR="00C223F5" w:rsidRPr="00925B84" w:rsidRDefault="00C223F5" w:rsidP="00F66BD1">
            <w:pPr>
              <w:adjustRightInd w:val="0"/>
              <w:snapToGrid w:val="0"/>
              <w:jc w:val="center"/>
              <w:rPr>
                <w:szCs w:val="21"/>
              </w:rPr>
            </w:pPr>
          </w:p>
        </w:tc>
        <w:tc>
          <w:tcPr>
            <w:tcW w:w="686"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0.019</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w:t>
            </w:r>
          </w:p>
        </w:tc>
        <w:tc>
          <w:tcPr>
            <w:tcW w:w="931" w:type="dxa"/>
            <w:tcMar>
              <w:left w:w="28" w:type="dxa"/>
              <w:right w:w="28" w:type="dxa"/>
            </w:tcMar>
            <w:vAlign w:val="center"/>
          </w:tcPr>
          <w:p w:rsidR="00C223F5" w:rsidRPr="00925B84" w:rsidRDefault="005860D5" w:rsidP="00F66BD1">
            <w:pPr>
              <w:adjustRightInd w:val="0"/>
              <w:snapToGrid w:val="0"/>
              <w:jc w:val="center"/>
              <w:rPr>
                <w:szCs w:val="21"/>
              </w:rPr>
            </w:pPr>
            <w:r w:rsidRPr="00925B84">
              <w:rPr>
                <w:rFonts w:hint="eastAsia"/>
                <w:szCs w:val="21"/>
              </w:rPr>
              <w:t>5</w:t>
            </w:r>
          </w:p>
        </w:tc>
        <w:tc>
          <w:tcPr>
            <w:tcW w:w="754" w:type="dxa"/>
            <w:vMerge/>
            <w:tcMar>
              <w:left w:w="28" w:type="dxa"/>
              <w:right w:w="28" w:type="dxa"/>
            </w:tcMar>
            <w:vAlign w:val="center"/>
          </w:tcPr>
          <w:p w:rsidR="00C223F5" w:rsidRPr="00925B84" w:rsidRDefault="00C223F5" w:rsidP="00F66BD1">
            <w:pPr>
              <w:adjustRightInd w:val="0"/>
              <w:snapToGrid w:val="0"/>
              <w:jc w:val="center"/>
              <w:rPr>
                <w:szCs w:val="21"/>
              </w:rPr>
            </w:pPr>
          </w:p>
        </w:tc>
      </w:tr>
      <w:tr w:rsidR="00C223F5" w:rsidRPr="00925B84">
        <w:trPr>
          <w:jc w:val="center"/>
        </w:trPr>
        <w:tc>
          <w:tcPr>
            <w:tcW w:w="9340" w:type="dxa"/>
            <w:gridSpan w:val="10"/>
            <w:tcMar>
              <w:left w:w="28" w:type="dxa"/>
              <w:right w:w="28" w:type="dxa"/>
            </w:tcMar>
            <w:vAlign w:val="center"/>
          </w:tcPr>
          <w:p w:rsidR="00C223F5" w:rsidRPr="00925B84" w:rsidRDefault="005860D5" w:rsidP="00F66BD1">
            <w:pPr>
              <w:adjustRightInd w:val="0"/>
              <w:snapToGrid w:val="0"/>
              <w:jc w:val="center"/>
              <w:rPr>
                <w:spacing w:val="-4"/>
                <w:kern w:val="24"/>
                <w:szCs w:val="21"/>
              </w:rPr>
            </w:pPr>
            <w:r w:rsidRPr="00925B84">
              <w:rPr>
                <w:rFonts w:hAnsi="宋体"/>
                <w:spacing w:val="-4"/>
                <w:szCs w:val="21"/>
              </w:rPr>
              <w:t>注：</w:t>
            </w:r>
            <w:r w:rsidRPr="00925B84">
              <w:rPr>
                <w:rFonts w:ascii="宋体" w:hAnsi="宋体"/>
                <w:spacing w:val="-4"/>
                <w:szCs w:val="21"/>
              </w:rPr>
              <w:t>①</w:t>
            </w:r>
            <w:r w:rsidRPr="00925B84">
              <w:rPr>
                <w:rFonts w:hAnsi="宋体"/>
                <w:spacing w:val="-4"/>
                <w:szCs w:val="21"/>
              </w:rPr>
              <w:t>矿井排水排放执行</w:t>
            </w:r>
            <w:r w:rsidRPr="00925B84">
              <w:rPr>
                <w:spacing w:val="-4"/>
                <w:szCs w:val="21"/>
              </w:rPr>
              <w:t>GB20246</w:t>
            </w:r>
            <w:r w:rsidRPr="00925B84">
              <w:rPr>
                <w:rFonts w:hAnsi="宋体"/>
                <w:spacing w:val="-4"/>
                <w:szCs w:val="21"/>
              </w:rPr>
              <w:t>－</w:t>
            </w:r>
            <w:r w:rsidRPr="00925B84">
              <w:rPr>
                <w:spacing w:val="-4"/>
                <w:szCs w:val="21"/>
              </w:rPr>
              <w:t>2006</w:t>
            </w:r>
            <w:r w:rsidRPr="00925B84">
              <w:rPr>
                <w:rFonts w:hAnsi="宋体"/>
                <w:spacing w:val="-4"/>
                <w:szCs w:val="21"/>
              </w:rPr>
              <w:t>《煤炭工业污染物排放标准》表</w:t>
            </w:r>
            <w:r w:rsidRPr="00925B84">
              <w:rPr>
                <w:spacing w:val="-4"/>
                <w:szCs w:val="21"/>
              </w:rPr>
              <w:t>2</w:t>
            </w:r>
            <w:r w:rsidRPr="00925B84">
              <w:rPr>
                <w:rFonts w:hAnsi="宋体"/>
                <w:spacing w:val="-4"/>
                <w:szCs w:val="21"/>
              </w:rPr>
              <w:t>中有关规定；</w:t>
            </w:r>
            <w:r w:rsidRPr="00925B84">
              <w:rPr>
                <w:rFonts w:ascii="宋体" w:hAnsi="宋体"/>
                <w:spacing w:val="-4"/>
                <w:szCs w:val="21"/>
              </w:rPr>
              <w:t>②</w:t>
            </w:r>
            <w:r w:rsidRPr="00925B84">
              <w:rPr>
                <w:rFonts w:hAnsi="宋体"/>
                <w:spacing w:val="-4"/>
                <w:szCs w:val="21"/>
              </w:rPr>
              <w:t>生活污水处理排放执行《黄河流域（陕西段）污水综合排放标准》一级，其中</w:t>
            </w:r>
            <w:r w:rsidRPr="00925B84">
              <w:rPr>
                <w:spacing w:val="-4"/>
                <w:szCs w:val="21"/>
              </w:rPr>
              <w:t>SS</w:t>
            </w:r>
            <w:r w:rsidRPr="00925B84">
              <w:rPr>
                <w:rFonts w:hAnsi="宋体"/>
                <w:spacing w:val="-4"/>
                <w:szCs w:val="21"/>
              </w:rPr>
              <w:t>执行《污水综合排放标准》一级</w:t>
            </w:r>
          </w:p>
        </w:tc>
      </w:tr>
    </w:tbl>
    <w:p w:rsidR="00C223F5" w:rsidRPr="00925B84" w:rsidRDefault="005860D5" w:rsidP="00F66BD1">
      <w:pPr>
        <w:rPr>
          <w:szCs w:val="21"/>
        </w:rPr>
      </w:pPr>
      <w:r w:rsidRPr="00925B84">
        <w:rPr>
          <w:rFonts w:hint="eastAsia"/>
          <w:szCs w:val="21"/>
        </w:rPr>
        <w:t>注：生活污水及矿井水处理站进出口水质参数引自《横山县天云煤矿有限公司煤矿资源整合项目竣工环境保护验收调查报告》（陕环咨（验）字</w:t>
      </w:r>
      <w:r w:rsidRPr="00925B84">
        <w:rPr>
          <w:rFonts w:hint="eastAsia"/>
          <w:szCs w:val="21"/>
        </w:rPr>
        <w:t>[2016]</w:t>
      </w:r>
      <w:r w:rsidRPr="00925B84">
        <w:rPr>
          <w:rFonts w:hint="eastAsia"/>
          <w:szCs w:val="21"/>
        </w:rPr>
        <w:t>第</w:t>
      </w:r>
      <w:r w:rsidRPr="00925B84">
        <w:rPr>
          <w:rFonts w:hint="eastAsia"/>
          <w:szCs w:val="21"/>
        </w:rPr>
        <w:t>040</w:t>
      </w:r>
      <w:r w:rsidRPr="00925B84">
        <w:rPr>
          <w:rFonts w:hint="eastAsia"/>
          <w:szCs w:val="21"/>
        </w:rPr>
        <w:t>号）。</w:t>
      </w:r>
    </w:p>
    <w:p w:rsidR="00C223F5" w:rsidRPr="00925B84" w:rsidRDefault="005860D5" w:rsidP="00C006A7">
      <w:pPr>
        <w:spacing w:line="360" w:lineRule="auto"/>
        <w:ind w:firstLineChars="200" w:firstLine="480"/>
        <w:rPr>
          <w:sz w:val="24"/>
        </w:rPr>
      </w:pPr>
      <w:r w:rsidRPr="00925B84">
        <w:rPr>
          <w:sz w:val="24"/>
        </w:rPr>
        <w:t>（</w:t>
      </w:r>
      <w:r w:rsidRPr="00925B84">
        <w:rPr>
          <w:sz w:val="24"/>
        </w:rPr>
        <w:t>3</w:t>
      </w:r>
      <w:r w:rsidRPr="00925B84">
        <w:rPr>
          <w:sz w:val="24"/>
        </w:rPr>
        <w:t>）固体废物</w:t>
      </w:r>
    </w:p>
    <w:p w:rsidR="00C223F5" w:rsidRPr="00925B84" w:rsidRDefault="005860D5" w:rsidP="00F66BD1">
      <w:pPr>
        <w:spacing w:line="360" w:lineRule="auto"/>
        <w:ind w:firstLineChars="200" w:firstLine="480"/>
        <w:rPr>
          <w:sz w:val="24"/>
        </w:rPr>
      </w:pPr>
      <w:r w:rsidRPr="00925B84">
        <w:rPr>
          <w:sz w:val="24"/>
        </w:rPr>
        <w:t>矿井固体废弃物主要为煤矸石，另外还有锅炉灰渣及生活垃圾。</w:t>
      </w:r>
      <w:r w:rsidRPr="00925B84">
        <w:rPr>
          <w:rFonts w:hint="eastAsia"/>
          <w:sz w:val="24"/>
        </w:rPr>
        <w:t>原整合矿井固体废弃物处置方式</w:t>
      </w:r>
      <w:r w:rsidRPr="00925B84">
        <w:rPr>
          <w:sz w:val="24"/>
        </w:rPr>
        <w:t>其产生及排放情况见表</w:t>
      </w:r>
      <w:r w:rsidRPr="00925B84">
        <w:rPr>
          <w:rFonts w:hint="eastAsia"/>
          <w:sz w:val="24"/>
        </w:rPr>
        <w:t>2.3.1-4</w:t>
      </w:r>
      <w:r w:rsidRPr="00925B84">
        <w:rPr>
          <w:sz w:val="24"/>
        </w:rPr>
        <w:t>。</w:t>
      </w:r>
    </w:p>
    <w:p w:rsidR="00C223F5" w:rsidRPr="00925B84" w:rsidRDefault="005860D5" w:rsidP="00F66BD1">
      <w:pPr>
        <w:jc w:val="center"/>
        <w:rPr>
          <w:b/>
          <w:sz w:val="24"/>
        </w:rPr>
      </w:pPr>
      <w:r w:rsidRPr="00925B84">
        <w:rPr>
          <w:b/>
          <w:sz w:val="24"/>
        </w:rPr>
        <w:t>表</w:t>
      </w:r>
      <w:r w:rsidRPr="00925B84">
        <w:rPr>
          <w:rFonts w:hint="eastAsia"/>
          <w:b/>
          <w:sz w:val="24"/>
        </w:rPr>
        <w:t xml:space="preserve">2.3.1-4   </w:t>
      </w:r>
      <w:r w:rsidRPr="00925B84">
        <w:rPr>
          <w:rFonts w:hint="eastAsia"/>
          <w:b/>
          <w:sz w:val="24"/>
        </w:rPr>
        <w:t>原整合</w:t>
      </w:r>
      <w:r w:rsidRPr="00925B84">
        <w:rPr>
          <w:b/>
          <w:sz w:val="24"/>
        </w:rPr>
        <w:t>工程固体废弃物排放表</w:t>
      </w: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8"/>
        <w:gridCol w:w="934"/>
        <w:gridCol w:w="1407"/>
        <w:gridCol w:w="957"/>
        <w:gridCol w:w="2557"/>
        <w:gridCol w:w="748"/>
        <w:gridCol w:w="1060"/>
      </w:tblGrid>
      <w:tr w:rsidR="00C223F5" w:rsidRPr="00925B84" w:rsidTr="002F5F3B">
        <w:trPr>
          <w:trHeight w:hRule="exact" w:val="697"/>
          <w:jc w:val="center"/>
        </w:trPr>
        <w:tc>
          <w:tcPr>
            <w:tcW w:w="1628" w:type="dxa"/>
            <w:vAlign w:val="center"/>
          </w:tcPr>
          <w:p w:rsidR="00C223F5" w:rsidRPr="00925B84" w:rsidRDefault="005860D5" w:rsidP="00F66BD1">
            <w:pPr>
              <w:adjustRightInd w:val="0"/>
              <w:snapToGrid w:val="0"/>
              <w:jc w:val="center"/>
            </w:pPr>
            <w:r w:rsidRPr="00925B84">
              <w:rPr>
                <w:rFonts w:hAnsi="宋体"/>
              </w:rPr>
              <w:t>污染源</w:t>
            </w:r>
          </w:p>
        </w:tc>
        <w:tc>
          <w:tcPr>
            <w:tcW w:w="934" w:type="dxa"/>
            <w:vAlign w:val="center"/>
          </w:tcPr>
          <w:p w:rsidR="00C223F5" w:rsidRPr="00925B84" w:rsidRDefault="005860D5" w:rsidP="00F66BD1">
            <w:pPr>
              <w:adjustRightInd w:val="0"/>
              <w:snapToGrid w:val="0"/>
              <w:jc w:val="center"/>
            </w:pPr>
            <w:r w:rsidRPr="00925B84">
              <w:rPr>
                <w:rFonts w:hAnsi="宋体"/>
              </w:rPr>
              <w:t>污染物</w:t>
            </w:r>
          </w:p>
        </w:tc>
        <w:tc>
          <w:tcPr>
            <w:tcW w:w="1407" w:type="dxa"/>
            <w:vAlign w:val="center"/>
          </w:tcPr>
          <w:p w:rsidR="00C223F5" w:rsidRPr="00925B84" w:rsidRDefault="005860D5" w:rsidP="00F66BD1">
            <w:pPr>
              <w:jc w:val="center"/>
              <w:rPr>
                <w:szCs w:val="21"/>
              </w:rPr>
            </w:pPr>
            <w:r w:rsidRPr="00925B84">
              <w:rPr>
                <w:rFonts w:hAnsi="宋体"/>
              </w:rPr>
              <w:t>固废类别</w:t>
            </w:r>
          </w:p>
        </w:tc>
        <w:tc>
          <w:tcPr>
            <w:tcW w:w="957" w:type="dxa"/>
            <w:vAlign w:val="center"/>
          </w:tcPr>
          <w:p w:rsidR="00C223F5" w:rsidRPr="00925B84" w:rsidRDefault="005860D5" w:rsidP="00F66BD1">
            <w:pPr>
              <w:jc w:val="center"/>
              <w:rPr>
                <w:szCs w:val="21"/>
              </w:rPr>
            </w:pPr>
            <w:r w:rsidRPr="00925B84">
              <w:rPr>
                <w:szCs w:val="21"/>
              </w:rPr>
              <w:t>产生量</w:t>
            </w:r>
          </w:p>
          <w:p w:rsidR="00C223F5" w:rsidRPr="00925B84" w:rsidRDefault="005860D5" w:rsidP="00F66BD1">
            <w:pPr>
              <w:jc w:val="center"/>
              <w:rPr>
                <w:szCs w:val="21"/>
              </w:rPr>
            </w:pPr>
            <w:r w:rsidRPr="00925B84">
              <w:rPr>
                <w:szCs w:val="21"/>
              </w:rPr>
              <w:t>（</w:t>
            </w:r>
            <w:r w:rsidRPr="00925B84">
              <w:rPr>
                <w:szCs w:val="21"/>
              </w:rPr>
              <w:t>t/a</w:t>
            </w:r>
            <w:r w:rsidRPr="00925B84">
              <w:rPr>
                <w:szCs w:val="21"/>
              </w:rPr>
              <w:t>）</w:t>
            </w:r>
          </w:p>
        </w:tc>
        <w:tc>
          <w:tcPr>
            <w:tcW w:w="2557" w:type="dxa"/>
            <w:vAlign w:val="center"/>
          </w:tcPr>
          <w:p w:rsidR="00C223F5" w:rsidRPr="00925B84" w:rsidRDefault="005860D5" w:rsidP="00F66BD1">
            <w:pPr>
              <w:jc w:val="center"/>
              <w:rPr>
                <w:szCs w:val="21"/>
              </w:rPr>
            </w:pPr>
            <w:r w:rsidRPr="00925B84">
              <w:rPr>
                <w:rFonts w:hAnsi="宋体"/>
              </w:rPr>
              <w:t>处置措施</w:t>
            </w:r>
          </w:p>
        </w:tc>
        <w:tc>
          <w:tcPr>
            <w:tcW w:w="748" w:type="dxa"/>
            <w:vAlign w:val="center"/>
          </w:tcPr>
          <w:p w:rsidR="00C223F5" w:rsidRPr="00925B84" w:rsidRDefault="005860D5" w:rsidP="00F66BD1">
            <w:pPr>
              <w:jc w:val="center"/>
              <w:rPr>
                <w:rFonts w:hAnsi="宋体"/>
              </w:rPr>
            </w:pPr>
            <w:r w:rsidRPr="00925B84">
              <w:rPr>
                <w:rFonts w:hAnsi="宋体"/>
              </w:rPr>
              <w:t>排放量</w:t>
            </w:r>
          </w:p>
          <w:p w:rsidR="00C223F5" w:rsidRPr="00925B84" w:rsidRDefault="005860D5" w:rsidP="00F66BD1">
            <w:pPr>
              <w:jc w:val="center"/>
              <w:rPr>
                <w:szCs w:val="21"/>
              </w:rPr>
            </w:pPr>
            <w:r w:rsidRPr="00925B84">
              <w:rPr>
                <w:szCs w:val="21"/>
              </w:rPr>
              <w:t>（</w:t>
            </w:r>
            <w:r w:rsidRPr="00925B84">
              <w:rPr>
                <w:szCs w:val="21"/>
              </w:rPr>
              <w:t>t/a</w:t>
            </w:r>
            <w:r w:rsidRPr="00925B84">
              <w:rPr>
                <w:szCs w:val="21"/>
              </w:rPr>
              <w:t>）</w:t>
            </w:r>
          </w:p>
        </w:tc>
        <w:tc>
          <w:tcPr>
            <w:tcW w:w="1060" w:type="dxa"/>
            <w:vAlign w:val="center"/>
          </w:tcPr>
          <w:p w:rsidR="00C223F5" w:rsidRPr="00925B84" w:rsidRDefault="005860D5" w:rsidP="00F66BD1">
            <w:pPr>
              <w:jc w:val="center"/>
              <w:rPr>
                <w:szCs w:val="21"/>
              </w:rPr>
            </w:pPr>
            <w:r w:rsidRPr="00925B84">
              <w:rPr>
                <w:szCs w:val="21"/>
              </w:rPr>
              <w:t>备注</w:t>
            </w:r>
          </w:p>
        </w:tc>
      </w:tr>
      <w:tr w:rsidR="00C223F5" w:rsidRPr="00925B84" w:rsidTr="002F5F3B">
        <w:trPr>
          <w:trHeight w:val="634"/>
          <w:jc w:val="center"/>
        </w:trPr>
        <w:tc>
          <w:tcPr>
            <w:tcW w:w="1628" w:type="dxa"/>
            <w:vAlign w:val="center"/>
          </w:tcPr>
          <w:p w:rsidR="00C223F5" w:rsidRPr="00925B84" w:rsidRDefault="005860D5" w:rsidP="00F66BD1">
            <w:pPr>
              <w:jc w:val="center"/>
              <w:rPr>
                <w:szCs w:val="21"/>
              </w:rPr>
            </w:pPr>
            <w:r w:rsidRPr="00925B84">
              <w:rPr>
                <w:rFonts w:hint="eastAsia"/>
                <w:szCs w:val="21"/>
              </w:rPr>
              <w:t>井下采煤</w:t>
            </w:r>
          </w:p>
          <w:p w:rsidR="00C223F5" w:rsidRPr="00925B84" w:rsidRDefault="005860D5" w:rsidP="00F66BD1">
            <w:pPr>
              <w:jc w:val="center"/>
              <w:rPr>
                <w:szCs w:val="21"/>
              </w:rPr>
            </w:pPr>
            <w:r w:rsidRPr="00925B84">
              <w:rPr>
                <w:rFonts w:hint="eastAsia"/>
                <w:szCs w:val="21"/>
              </w:rPr>
              <w:t>地面选煤</w:t>
            </w:r>
          </w:p>
        </w:tc>
        <w:tc>
          <w:tcPr>
            <w:tcW w:w="934" w:type="dxa"/>
            <w:vAlign w:val="center"/>
          </w:tcPr>
          <w:p w:rsidR="00C223F5" w:rsidRPr="00925B84" w:rsidRDefault="005860D5" w:rsidP="00F66BD1">
            <w:pPr>
              <w:jc w:val="center"/>
              <w:rPr>
                <w:szCs w:val="21"/>
              </w:rPr>
            </w:pPr>
            <w:r w:rsidRPr="00925B84">
              <w:rPr>
                <w:rFonts w:hint="eastAsia"/>
                <w:szCs w:val="21"/>
              </w:rPr>
              <w:t>矸石</w:t>
            </w:r>
          </w:p>
        </w:tc>
        <w:tc>
          <w:tcPr>
            <w:tcW w:w="1407" w:type="dxa"/>
            <w:vMerge w:val="restart"/>
            <w:vAlign w:val="center"/>
          </w:tcPr>
          <w:p w:rsidR="00C223F5" w:rsidRPr="00925B84" w:rsidRDefault="005860D5" w:rsidP="00F66BD1">
            <w:pPr>
              <w:jc w:val="center"/>
              <w:rPr>
                <w:szCs w:val="21"/>
              </w:rPr>
            </w:pPr>
            <w:r w:rsidRPr="00925B84">
              <w:rPr>
                <w:rFonts w:ascii="宋体" w:hAnsi="宋体"/>
                <w:szCs w:val="21"/>
              </w:rPr>
              <w:t>Ⅰ</w:t>
            </w:r>
            <w:r w:rsidRPr="00925B84">
              <w:rPr>
                <w:rFonts w:hAnsi="宋体"/>
                <w:szCs w:val="21"/>
              </w:rPr>
              <w:t>类一般工业固体废物</w:t>
            </w:r>
          </w:p>
        </w:tc>
        <w:tc>
          <w:tcPr>
            <w:tcW w:w="957" w:type="dxa"/>
            <w:vAlign w:val="center"/>
          </w:tcPr>
          <w:p w:rsidR="00C223F5" w:rsidRPr="00925B84" w:rsidRDefault="005860D5" w:rsidP="00F66BD1">
            <w:pPr>
              <w:jc w:val="center"/>
              <w:rPr>
                <w:szCs w:val="21"/>
              </w:rPr>
            </w:pPr>
            <w:r w:rsidRPr="00925B84">
              <w:rPr>
                <w:rFonts w:hint="eastAsia"/>
                <w:szCs w:val="21"/>
              </w:rPr>
              <w:t>14000</w:t>
            </w:r>
          </w:p>
        </w:tc>
        <w:tc>
          <w:tcPr>
            <w:tcW w:w="2557" w:type="dxa"/>
            <w:vAlign w:val="center"/>
          </w:tcPr>
          <w:p w:rsidR="00C223F5" w:rsidRPr="00925B84" w:rsidRDefault="005860D5" w:rsidP="00F66BD1">
            <w:pPr>
              <w:jc w:val="center"/>
              <w:rPr>
                <w:szCs w:val="21"/>
              </w:rPr>
            </w:pPr>
            <w:r w:rsidRPr="00925B84">
              <w:rPr>
                <w:szCs w:val="21"/>
              </w:rPr>
              <w:t>掘进矸石</w:t>
            </w:r>
            <w:r w:rsidRPr="00925B84">
              <w:rPr>
                <w:rFonts w:hint="eastAsia"/>
                <w:szCs w:val="21"/>
              </w:rPr>
              <w:t>优先</w:t>
            </w:r>
            <w:r w:rsidRPr="00925B84">
              <w:rPr>
                <w:szCs w:val="21"/>
              </w:rPr>
              <w:t>充填井下</w:t>
            </w:r>
            <w:r w:rsidRPr="00925B84">
              <w:rPr>
                <w:rFonts w:hint="eastAsia"/>
                <w:szCs w:val="21"/>
              </w:rPr>
              <w:t>，手选矸石外运作制砖原料</w:t>
            </w:r>
            <w:r w:rsidR="002F5F3B">
              <w:rPr>
                <w:rFonts w:hint="eastAsia"/>
                <w:szCs w:val="21"/>
              </w:rPr>
              <w:t>；</w:t>
            </w:r>
            <w:r w:rsidR="002F5F3B" w:rsidRPr="002F5F3B">
              <w:rPr>
                <w:rFonts w:hint="eastAsia"/>
                <w:color w:val="FF0000"/>
                <w:szCs w:val="21"/>
              </w:rPr>
              <w:t>目前地面不再选矸</w:t>
            </w:r>
          </w:p>
        </w:tc>
        <w:tc>
          <w:tcPr>
            <w:tcW w:w="748" w:type="dxa"/>
            <w:vAlign w:val="center"/>
          </w:tcPr>
          <w:p w:rsidR="00C223F5" w:rsidRPr="00925B84" w:rsidRDefault="005860D5" w:rsidP="00F66BD1">
            <w:pPr>
              <w:jc w:val="center"/>
              <w:rPr>
                <w:szCs w:val="21"/>
              </w:rPr>
            </w:pPr>
            <w:r w:rsidRPr="00925B84">
              <w:rPr>
                <w:rFonts w:hint="eastAsia"/>
                <w:szCs w:val="21"/>
              </w:rPr>
              <w:t>0</w:t>
            </w:r>
          </w:p>
        </w:tc>
        <w:tc>
          <w:tcPr>
            <w:tcW w:w="1060" w:type="dxa"/>
            <w:vMerge w:val="restart"/>
            <w:vAlign w:val="center"/>
          </w:tcPr>
          <w:p w:rsidR="00C223F5" w:rsidRPr="00925B84" w:rsidRDefault="005860D5" w:rsidP="00F66BD1">
            <w:pPr>
              <w:jc w:val="center"/>
              <w:rPr>
                <w:szCs w:val="21"/>
              </w:rPr>
            </w:pPr>
            <w:r w:rsidRPr="00925B84">
              <w:rPr>
                <w:rFonts w:hAnsi="宋体"/>
              </w:rPr>
              <w:t>全部妥善处置或综合利用</w:t>
            </w:r>
          </w:p>
        </w:tc>
      </w:tr>
      <w:tr w:rsidR="00C223F5" w:rsidRPr="00925B84" w:rsidTr="002F5F3B">
        <w:trPr>
          <w:trHeight w:val="306"/>
          <w:jc w:val="center"/>
        </w:trPr>
        <w:tc>
          <w:tcPr>
            <w:tcW w:w="1628" w:type="dxa"/>
            <w:vAlign w:val="center"/>
          </w:tcPr>
          <w:p w:rsidR="00C223F5" w:rsidRPr="00925B84" w:rsidRDefault="005860D5" w:rsidP="00F66BD1">
            <w:pPr>
              <w:jc w:val="center"/>
              <w:rPr>
                <w:szCs w:val="21"/>
              </w:rPr>
            </w:pPr>
            <w:r w:rsidRPr="00925B84">
              <w:rPr>
                <w:szCs w:val="21"/>
              </w:rPr>
              <w:t>锅炉房</w:t>
            </w:r>
          </w:p>
        </w:tc>
        <w:tc>
          <w:tcPr>
            <w:tcW w:w="934" w:type="dxa"/>
            <w:vAlign w:val="center"/>
          </w:tcPr>
          <w:p w:rsidR="00C223F5" w:rsidRPr="00925B84" w:rsidRDefault="005860D5" w:rsidP="00F66BD1">
            <w:pPr>
              <w:jc w:val="center"/>
              <w:rPr>
                <w:szCs w:val="21"/>
              </w:rPr>
            </w:pPr>
            <w:r w:rsidRPr="00925B84">
              <w:rPr>
                <w:szCs w:val="21"/>
              </w:rPr>
              <w:t>锅炉渣</w:t>
            </w:r>
          </w:p>
        </w:tc>
        <w:tc>
          <w:tcPr>
            <w:tcW w:w="1407" w:type="dxa"/>
            <w:vMerge/>
            <w:vAlign w:val="center"/>
          </w:tcPr>
          <w:p w:rsidR="00C223F5" w:rsidRPr="00925B84" w:rsidRDefault="00C223F5" w:rsidP="00F66BD1">
            <w:pPr>
              <w:jc w:val="center"/>
              <w:rPr>
                <w:szCs w:val="21"/>
              </w:rPr>
            </w:pPr>
          </w:p>
        </w:tc>
        <w:tc>
          <w:tcPr>
            <w:tcW w:w="957" w:type="dxa"/>
            <w:vAlign w:val="center"/>
          </w:tcPr>
          <w:p w:rsidR="00C223F5" w:rsidRPr="00925B84" w:rsidRDefault="005860D5" w:rsidP="00F66BD1">
            <w:pPr>
              <w:jc w:val="center"/>
              <w:rPr>
                <w:szCs w:val="21"/>
              </w:rPr>
            </w:pPr>
            <w:r w:rsidRPr="00925B84">
              <w:rPr>
                <w:rFonts w:hint="eastAsia"/>
                <w:szCs w:val="21"/>
              </w:rPr>
              <w:t>362</w:t>
            </w:r>
          </w:p>
        </w:tc>
        <w:tc>
          <w:tcPr>
            <w:tcW w:w="2557" w:type="dxa"/>
            <w:vAlign w:val="center"/>
          </w:tcPr>
          <w:p w:rsidR="00C223F5" w:rsidRPr="00925B84" w:rsidRDefault="005860D5" w:rsidP="00F66BD1">
            <w:pPr>
              <w:jc w:val="center"/>
              <w:rPr>
                <w:szCs w:val="21"/>
              </w:rPr>
            </w:pPr>
            <w:r w:rsidRPr="00925B84">
              <w:rPr>
                <w:rFonts w:hint="eastAsia"/>
                <w:szCs w:val="21"/>
              </w:rPr>
              <w:t>用于铺路及建材原料</w:t>
            </w:r>
          </w:p>
        </w:tc>
        <w:tc>
          <w:tcPr>
            <w:tcW w:w="748" w:type="dxa"/>
            <w:vAlign w:val="center"/>
          </w:tcPr>
          <w:p w:rsidR="00C223F5" w:rsidRPr="00925B84" w:rsidRDefault="005860D5" w:rsidP="00F66BD1">
            <w:pPr>
              <w:jc w:val="center"/>
              <w:rPr>
                <w:szCs w:val="21"/>
              </w:rPr>
            </w:pPr>
            <w:r w:rsidRPr="00925B84">
              <w:rPr>
                <w:rFonts w:hint="eastAsia"/>
                <w:szCs w:val="21"/>
              </w:rPr>
              <w:t>0</w:t>
            </w:r>
          </w:p>
        </w:tc>
        <w:tc>
          <w:tcPr>
            <w:tcW w:w="1060" w:type="dxa"/>
            <w:vMerge/>
            <w:shd w:val="clear" w:color="auto" w:fill="auto"/>
            <w:vAlign w:val="center"/>
          </w:tcPr>
          <w:p w:rsidR="00C223F5" w:rsidRPr="00925B84" w:rsidRDefault="00C223F5" w:rsidP="00F66BD1">
            <w:pPr>
              <w:jc w:val="center"/>
              <w:rPr>
                <w:szCs w:val="21"/>
              </w:rPr>
            </w:pPr>
          </w:p>
        </w:tc>
      </w:tr>
      <w:tr w:rsidR="00C223F5" w:rsidRPr="00925B84" w:rsidTr="002F5F3B">
        <w:trPr>
          <w:trHeight w:hRule="exact" w:val="668"/>
          <w:jc w:val="center"/>
        </w:trPr>
        <w:tc>
          <w:tcPr>
            <w:tcW w:w="1628" w:type="dxa"/>
            <w:vAlign w:val="center"/>
          </w:tcPr>
          <w:p w:rsidR="00C223F5" w:rsidRPr="00925B84" w:rsidRDefault="005860D5" w:rsidP="00F66BD1">
            <w:pPr>
              <w:jc w:val="center"/>
              <w:rPr>
                <w:szCs w:val="21"/>
              </w:rPr>
            </w:pPr>
            <w:r w:rsidRPr="00925B84">
              <w:rPr>
                <w:szCs w:val="21"/>
              </w:rPr>
              <w:t>办公生活</w:t>
            </w:r>
          </w:p>
        </w:tc>
        <w:tc>
          <w:tcPr>
            <w:tcW w:w="934" w:type="dxa"/>
            <w:vAlign w:val="center"/>
          </w:tcPr>
          <w:p w:rsidR="00C223F5" w:rsidRPr="00925B84" w:rsidRDefault="005860D5" w:rsidP="00F66BD1">
            <w:pPr>
              <w:jc w:val="center"/>
              <w:rPr>
                <w:szCs w:val="21"/>
              </w:rPr>
            </w:pPr>
            <w:r w:rsidRPr="00925B84">
              <w:rPr>
                <w:szCs w:val="21"/>
              </w:rPr>
              <w:t>生活垃圾</w:t>
            </w:r>
          </w:p>
        </w:tc>
        <w:tc>
          <w:tcPr>
            <w:tcW w:w="1407" w:type="dxa"/>
            <w:vAlign w:val="center"/>
          </w:tcPr>
          <w:p w:rsidR="00C223F5" w:rsidRPr="00925B84" w:rsidRDefault="005860D5" w:rsidP="00F66BD1">
            <w:pPr>
              <w:jc w:val="center"/>
              <w:rPr>
                <w:szCs w:val="21"/>
              </w:rPr>
            </w:pPr>
            <w:r w:rsidRPr="00925B84">
              <w:rPr>
                <w:szCs w:val="21"/>
              </w:rPr>
              <w:t>有机物</w:t>
            </w:r>
          </w:p>
          <w:p w:rsidR="00C223F5" w:rsidRPr="00925B84" w:rsidRDefault="005860D5" w:rsidP="00F66BD1">
            <w:pPr>
              <w:jc w:val="center"/>
              <w:rPr>
                <w:szCs w:val="21"/>
              </w:rPr>
            </w:pPr>
            <w:r w:rsidRPr="00925B84">
              <w:rPr>
                <w:szCs w:val="21"/>
              </w:rPr>
              <w:t>无机物</w:t>
            </w:r>
          </w:p>
        </w:tc>
        <w:tc>
          <w:tcPr>
            <w:tcW w:w="957" w:type="dxa"/>
            <w:vAlign w:val="center"/>
          </w:tcPr>
          <w:p w:rsidR="00C223F5" w:rsidRPr="00925B84" w:rsidRDefault="005860D5" w:rsidP="00F66BD1">
            <w:pPr>
              <w:jc w:val="center"/>
              <w:rPr>
                <w:szCs w:val="21"/>
              </w:rPr>
            </w:pPr>
            <w:r w:rsidRPr="00925B84">
              <w:rPr>
                <w:rFonts w:hint="eastAsia"/>
                <w:szCs w:val="21"/>
              </w:rPr>
              <w:t>62</w:t>
            </w:r>
          </w:p>
        </w:tc>
        <w:tc>
          <w:tcPr>
            <w:tcW w:w="2557" w:type="dxa"/>
            <w:vAlign w:val="center"/>
          </w:tcPr>
          <w:p w:rsidR="00C223F5" w:rsidRPr="00925B84" w:rsidRDefault="005860D5" w:rsidP="00F66BD1">
            <w:pPr>
              <w:jc w:val="center"/>
              <w:rPr>
                <w:szCs w:val="21"/>
              </w:rPr>
            </w:pPr>
            <w:r w:rsidRPr="00925B84">
              <w:rPr>
                <w:rFonts w:hint="eastAsia"/>
                <w:szCs w:val="21"/>
              </w:rPr>
              <w:t>运往市政指定垃圾场</w:t>
            </w:r>
          </w:p>
          <w:p w:rsidR="00C223F5" w:rsidRPr="00925B84" w:rsidRDefault="005860D5" w:rsidP="00F66BD1">
            <w:pPr>
              <w:jc w:val="center"/>
              <w:rPr>
                <w:szCs w:val="21"/>
              </w:rPr>
            </w:pPr>
            <w:r w:rsidRPr="00925B84">
              <w:rPr>
                <w:rFonts w:hint="eastAsia"/>
                <w:szCs w:val="21"/>
              </w:rPr>
              <w:t>卫生填埋</w:t>
            </w:r>
          </w:p>
        </w:tc>
        <w:tc>
          <w:tcPr>
            <w:tcW w:w="748" w:type="dxa"/>
            <w:vAlign w:val="center"/>
          </w:tcPr>
          <w:p w:rsidR="00C223F5" w:rsidRPr="00925B84" w:rsidRDefault="005860D5" w:rsidP="00F66BD1">
            <w:pPr>
              <w:jc w:val="center"/>
              <w:rPr>
                <w:szCs w:val="21"/>
              </w:rPr>
            </w:pPr>
            <w:r w:rsidRPr="00925B84">
              <w:rPr>
                <w:rFonts w:hint="eastAsia"/>
                <w:szCs w:val="21"/>
              </w:rPr>
              <w:t>0</w:t>
            </w:r>
          </w:p>
        </w:tc>
        <w:tc>
          <w:tcPr>
            <w:tcW w:w="1060" w:type="dxa"/>
            <w:shd w:val="clear" w:color="auto" w:fill="auto"/>
            <w:vAlign w:val="center"/>
          </w:tcPr>
          <w:p w:rsidR="00C223F5" w:rsidRPr="00925B84" w:rsidRDefault="005860D5" w:rsidP="00F66BD1">
            <w:pPr>
              <w:jc w:val="center"/>
              <w:rPr>
                <w:rFonts w:hAnsi="宋体"/>
              </w:rPr>
            </w:pPr>
            <w:r w:rsidRPr="00925B84">
              <w:rPr>
                <w:rFonts w:hAnsi="宋体"/>
              </w:rPr>
              <w:t>环卫</w:t>
            </w:r>
          </w:p>
          <w:p w:rsidR="00C223F5" w:rsidRPr="00925B84" w:rsidRDefault="005860D5" w:rsidP="00F66BD1">
            <w:pPr>
              <w:jc w:val="center"/>
              <w:rPr>
                <w:szCs w:val="21"/>
              </w:rPr>
            </w:pPr>
            <w:r w:rsidRPr="00925B84">
              <w:rPr>
                <w:rFonts w:hAnsi="宋体"/>
              </w:rPr>
              <w:t>部门</w:t>
            </w:r>
          </w:p>
        </w:tc>
      </w:tr>
      <w:tr w:rsidR="00C223F5" w:rsidRPr="00925B84" w:rsidTr="002F5F3B">
        <w:trPr>
          <w:trHeight w:hRule="exact" w:val="428"/>
          <w:jc w:val="center"/>
        </w:trPr>
        <w:tc>
          <w:tcPr>
            <w:tcW w:w="1628" w:type="dxa"/>
            <w:vAlign w:val="center"/>
          </w:tcPr>
          <w:p w:rsidR="00C223F5" w:rsidRPr="00925B84" w:rsidRDefault="005860D5" w:rsidP="00F66BD1">
            <w:pPr>
              <w:jc w:val="center"/>
              <w:rPr>
                <w:rFonts w:eastAsia="新宋体"/>
                <w:szCs w:val="21"/>
              </w:rPr>
            </w:pPr>
            <w:r w:rsidRPr="00925B84">
              <w:rPr>
                <w:rFonts w:hint="eastAsia"/>
                <w:szCs w:val="21"/>
              </w:rPr>
              <w:t>生活污水处理站</w:t>
            </w:r>
          </w:p>
        </w:tc>
        <w:tc>
          <w:tcPr>
            <w:tcW w:w="934" w:type="dxa"/>
            <w:vAlign w:val="center"/>
          </w:tcPr>
          <w:p w:rsidR="00C223F5" w:rsidRPr="00925B84" w:rsidRDefault="005860D5" w:rsidP="00F66BD1">
            <w:pPr>
              <w:jc w:val="center"/>
              <w:rPr>
                <w:rFonts w:eastAsia="新宋体"/>
                <w:szCs w:val="21"/>
              </w:rPr>
            </w:pPr>
            <w:r w:rsidRPr="00925B84">
              <w:rPr>
                <w:rFonts w:eastAsia="新宋体" w:hint="eastAsia"/>
                <w:szCs w:val="21"/>
              </w:rPr>
              <w:t>污泥</w:t>
            </w:r>
          </w:p>
        </w:tc>
        <w:tc>
          <w:tcPr>
            <w:tcW w:w="1407" w:type="dxa"/>
            <w:vAlign w:val="center"/>
          </w:tcPr>
          <w:p w:rsidR="00C223F5" w:rsidRPr="00925B84" w:rsidRDefault="005860D5" w:rsidP="00F66BD1">
            <w:pPr>
              <w:jc w:val="center"/>
              <w:rPr>
                <w:szCs w:val="21"/>
              </w:rPr>
            </w:pPr>
            <w:r w:rsidRPr="00925B84">
              <w:rPr>
                <w:szCs w:val="21"/>
              </w:rPr>
              <w:t>泥渣</w:t>
            </w:r>
          </w:p>
        </w:tc>
        <w:tc>
          <w:tcPr>
            <w:tcW w:w="957" w:type="dxa"/>
            <w:vAlign w:val="center"/>
          </w:tcPr>
          <w:p w:rsidR="00C223F5" w:rsidRPr="00925B84" w:rsidRDefault="005860D5" w:rsidP="00F66BD1">
            <w:pPr>
              <w:jc w:val="center"/>
              <w:rPr>
                <w:szCs w:val="21"/>
              </w:rPr>
            </w:pPr>
            <w:r w:rsidRPr="00925B84">
              <w:rPr>
                <w:rFonts w:hint="eastAsia"/>
                <w:szCs w:val="21"/>
              </w:rPr>
              <w:t>0.68</w:t>
            </w:r>
          </w:p>
        </w:tc>
        <w:tc>
          <w:tcPr>
            <w:tcW w:w="2557" w:type="dxa"/>
            <w:vAlign w:val="center"/>
          </w:tcPr>
          <w:p w:rsidR="00C223F5" w:rsidRPr="00925B84" w:rsidRDefault="005860D5" w:rsidP="00F66BD1">
            <w:pPr>
              <w:jc w:val="center"/>
              <w:rPr>
                <w:szCs w:val="21"/>
              </w:rPr>
            </w:pPr>
            <w:r w:rsidRPr="00925B84">
              <w:rPr>
                <w:rFonts w:hAnsi="宋体" w:hint="eastAsia"/>
                <w:szCs w:val="21"/>
              </w:rPr>
              <w:t>脱水后送</w:t>
            </w:r>
            <w:r w:rsidRPr="00925B84">
              <w:rPr>
                <w:rFonts w:hint="eastAsia"/>
                <w:szCs w:val="21"/>
              </w:rPr>
              <w:t>市政垃圾场处置</w:t>
            </w:r>
          </w:p>
        </w:tc>
        <w:tc>
          <w:tcPr>
            <w:tcW w:w="748" w:type="dxa"/>
            <w:vAlign w:val="center"/>
          </w:tcPr>
          <w:p w:rsidR="00C223F5" w:rsidRPr="00925B84" w:rsidRDefault="005860D5" w:rsidP="00F66BD1">
            <w:pPr>
              <w:jc w:val="center"/>
              <w:rPr>
                <w:szCs w:val="21"/>
              </w:rPr>
            </w:pPr>
            <w:r w:rsidRPr="00925B84">
              <w:rPr>
                <w:rFonts w:hint="eastAsia"/>
                <w:szCs w:val="21"/>
              </w:rPr>
              <w:t>0</w:t>
            </w:r>
          </w:p>
        </w:tc>
        <w:tc>
          <w:tcPr>
            <w:tcW w:w="1060" w:type="dxa"/>
            <w:shd w:val="clear" w:color="auto" w:fill="auto"/>
            <w:vAlign w:val="center"/>
          </w:tcPr>
          <w:p w:rsidR="00C223F5" w:rsidRPr="00925B84" w:rsidRDefault="005860D5" w:rsidP="00F66BD1">
            <w:pPr>
              <w:jc w:val="center"/>
              <w:rPr>
                <w:rFonts w:hAnsi="宋体"/>
              </w:rPr>
            </w:pPr>
            <w:r w:rsidRPr="00925B84">
              <w:rPr>
                <w:rFonts w:hAnsi="宋体" w:hint="eastAsia"/>
              </w:rPr>
              <w:t>/</w:t>
            </w:r>
          </w:p>
        </w:tc>
      </w:tr>
      <w:tr w:rsidR="00C223F5" w:rsidRPr="00925B84" w:rsidTr="002F5F3B">
        <w:trPr>
          <w:trHeight w:hRule="exact" w:val="420"/>
          <w:jc w:val="center"/>
        </w:trPr>
        <w:tc>
          <w:tcPr>
            <w:tcW w:w="1628" w:type="dxa"/>
            <w:vAlign w:val="center"/>
          </w:tcPr>
          <w:p w:rsidR="00C223F5" w:rsidRPr="00925B84" w:rsidRDefault="005860D5" w:rsidP="00F66BD1">
            <w:pPr>
              <w:jc w:val="center"/>
              <w:rPr>
                <w:rFonts w:eastAsia="新宋体"/>
                <w:szCs w:val="21"/>
              </w:rPr>
            </w:pPr>
            <w:r w:rsidRPr="00925B84">
              <w:rPr>
                <w:rFonts w:hint="eastAsia"/>
                <w:szCs w:val="21"/>
              </w:rPr>
              <w:t>矿井水处理站</w:t>
            </w:r>
          </w:p>
        </w:tc>
        <w:tc>
          <w:tcPr>
            <w:tcW w:w="934" w:type="dxa"/>
            <w:vAlign w:val="center"/>
          </w:tcPr>
          <w:p w:rsidR="00C223F5" w:rsidRPr="00925B84" w:rsidRDefault="005860D5" w:rsidP="00F66BD1">
            <w:pPr>
              <w:jc w:val="center"/>
              <w:rPr>
                <w:rFonts w:eastAsia="新宋体"/>
                <w:szCs w:val="21"/>
              </w:rPr>
            </w:pPr>
            <w:r w:rsidRPr="00925B84">
              <w:rPr>
                <w:rFonts w:eastAsia="新宋体" w:hint="eastAsia"/>
                <w:szCs w:val="21"/>
              </w:rPr>
              <w:t>煤泥</w:t>
            </w:r>
          </w:p>
        </w:tc>
        <w:tc>
          <w:tcPr>
            <w:tcW w:w="1407" w:type="dxa"/>
            <w:vAlign w:val="center"/>
          </w:tcPr>
          <w:p w:rsidR="00C223F5" w:rsidRPr="00925B84" w:rsidRDefault="005860D5" w:rsidP="00F66BD1">
            <w:pPr>
              <w:jc w:val="center"/>
              <w:rPr>
                <w:szCs w:val="21"/>
              </w:rPr>
            </w:pPr>
            <w:r w:rsidRPr="00925B84">
              <w:rPr>
                <w:szCs w:val="21"/>
              </w:rPr>
              <w:t>煤渣</w:t>
            </w:r>
          </w:p>
        </w:tc>
        <w:tc>
          <w:tcPr>
            <w:tcW w:w="957" w:type="dxa"/>
            <w:vAlign w:val="center"/>
          </w:tcPr>
          <w:p w:rsidR="00C223F5" w:rsidRPr="002F5F3B" w:rsidRDefault="005860D5" w:rsidP="00F66BD1">
            <w:pPr>
              <w:jc w:val="center"/>
              <w:rPr>
                <w:szCs w:val="21"/>
              </w:rPr>
            </w:pPr>
            <w:r w:rsidRPr="002F5F3B">
              <w:rPr>
                <w:rFonts w:hint="eastAsia"/>
                <w:szCs w:val="21"/>
              </w:rPr>
              <w:t>18.6</w:t>
            </w:r>
          </w:p>
        </w:tc>
        <w:tc>
          <w:tcPr>
            <w:tcW w:w="2557" w:type="dxa"/>
            <w:vAlign w:val="center"/>
          </w:tcPr>
          <w:p w:rsidR="00C223F5" w:rsidRPr="00925B84" w:rsidRDefault="005860D5" w:rsidP="00F66BD1">
            <w:pPr>
              <w:jc w:val="center"/>
              <w:rPr>
                <w:szCs w:val="21"/>
              </w:rPr>
            </w:pPr>
            <w:r w:rsidRPr="00925B84">
              <w:rPr>
                <w:rFonts w:hAnsi="宋体" w:hint="eastAsia"/>
                <w:szCs w:val="21"/>
              </w:rPr>
              <w:t>掺入末煤外销</w:t>
            </w:r>
          </w:p>
        </w:tc>
        <w:tc>
          <w:tcPr>
            <w:tcW w:w="748" w:type="dxa"/>
            <w:vAlign w:val="center"/>
          </w:tcPr>
          <w:p w:rsidR="00C223F5" w:rsidRPr="00925B84" w:rsidRDefault="005860D5" w:rsidP="00F66BD1">
            <w:pPr>
              <w:jc w:val="center"/>
              <w:rPr>
                <w:szCs w:val="21"/>
              </w:rPr>
            </w:pPr>
            <w:r w:rsidRPr="00925B84">
              <w:rPr>
                <w:rFonts w:hint="eastAsia"/>
                <w:szCs w:val="21"/>
              </w:rPr>
              <w:t>0</w:t>
            </w:r>
          </w:p>
        </w:tc>
        <w:tc>
          <w:tcPr>
            <w:tcW w:w="1060" w:type="dxa"/>
            <w:shd w:val="clear" w:color="auto" w:fill="auto"/>
            <w:vAlign w:val="center"/>
          </w:tcPr>
          <w:p w:rsidR="00C223F5" w:rsidRPr="00925B84" w:rsidRDefault="005860D5" w:rsidP="00F66BD1">
            <w:pPr>
              <w:jc w:val="center"/>
              <w:rPr>
                <w:rFonts w:hAnsi="宋体"/>
              </w:rPr>
            </w:pPr>
            <w:r w:rsidRPr="00925B84">
              <w:rPr>
                <w:rFonts w:hAnsi="宋体" w:hint="eastAsia"/>
              </w:rPr>
              <w:t>/</w:t>
            </w:r>
          </w:p>
        </w:tc>
      </w:tr>
      <w:tr w:rsidR="002F5F3B" w:rsidRPr="00925B84" w:rsidTr="002F5F3B">
        <w:trPr>
          <w:trHeight w:hRule="exact" w:val="420"/>
          <w:jc w:val="center"/>
        </w:trPr>
        <w:tc>
          <w:tcPr>
            <w:tcW w:w="1628" w:type="dxa"/>
            <w:vAlign w:val="center"/>
          </w:tcPr>
          <w:p w:rsidR="002F5F3B" w:rsidRPr="00312C6B" w:rsidRDefault="002F5F3B" w:rsidP="00F66BD1">
            <w:pPr>
              <w:jc w:val="center"/>
              <w:rPr>
                <w:color w:val="FF0000"/>
                <w:szCs w:val="21"/>
              </w:rPr>
            </w:pPr>
            <w:r w:rsidRPr="00312C6B">
              <w:rPr>
                <w:rFonts w:hint="eastAsia"/>
                <w:color w:val="FF0000"/>
                <w:szCs w:val="21"/>
              </w:rPr>
              <w:t>工业场地</w:t>
            </w:r>
          </w:p>
        </w:tc>
        <w:tc>
          <w:tcPr>
            <w:tcW w:w="934" w:type="dxa"/>
            <w:vAlign w:val="center"/>
          </w:tcPr>
          <w:p w:rsidR="002F5F3B" w:rsidRPr="00312C6B" w:rsidRDefault="002F5F3B" w:rsidP="00F66BD1">
            <w:pPr>
              <w:jc w:val="center"/>
              <w:rPr>
                <w:rFonts w:eastAsia="新宋体"/>
                <w:color w:val="FF0000"/>
                <w:szCs w:val="21"/>
              </w:rPr>
            </w:pPr>
            <w:r w:rsidRPr="00312C6B">
              <w:rPr>
                <w:rFonts w:eastAsia="新宋体" w:hint="eastAsia"/>
                <w:color w:val="FF0000"/>
                <w:szCs w:val="21"/>
              </w:rPr>
              <w:t>废机油</w:t>
            </w:r>
          </w:p>
        </w:tc>
        <w:tc>
          <w:tcPr>
            <w:tcW w:w="1407" w:type="dxa"/>
            <w:vAlign w:val="center"/>
          </w:tcPr>
          <w:p w:rsidR="002F5F3B" w:rsidRPr="00312C6B" w:rsidRDefault="002F5F3B" w:rsidP="002F5F3B">
            <w:pPr>
              <w:jc w:val="center"/>
              <w:rPr>
                <w:rFonts w:eastAsia="新宋体"/>
                <w:color w:val="FF0000"/>
                <w:sz w:val="18"/>
                <w:szCs w:val="18"/>
              </w:rPr>
            </w:pPr>
            <w:r w:rsidRPr="00312C6B">
              <w:rPr>
                <w:rFonts w:hint="eastAsia"/>
                <w:color w:val="FF0000"/>
                <w:sz w:val="18"/>
                <w:szCs w:val="18"/>
              </w:rPr>
              <w:t>HW08900-199-08</w:t>
            </w:r>
          </w:p>
        </w:tc>
        <w:tc>
          <w:tcPr>
            <w:tcW w:w="957" w:type="dxa"/>
            <w:vAlign w:val="center"/>
          </w:tcPr>
          <w:p w:rsidR="002F5F3B" w:rsidRPr="00312C6B" w:rsidRDefault="002F5F3B" w:rsidP="00894456">
            <w:pPr>
              <w:jc w:val="center"/>
              <w:rPr>
                <w:rFonts w:eastAsia="新宋体"/>
                <w:color w:val="FF0000"/>
                <w:szCs w:val="21"/>
              </w:rPr>
            </w:pPr>
            <w:r w:rsidRPr="00312C6B">
              <w:rPr>
                <w:rFonts w:eastAsia="新宋体" w:hint="eastAsia"/>
                <w:color w:val="FF0000"/>
                <w:szCs w:val="21"/>
              </w:rPr>
              <w:t>极少量</w:t>
            </w:r>
          </w:p>
        </w:tc>
        <w:tc>
          <w:tcPr>
            <w:tcW w:w="2557" w:type="dxa"/>
            <w:vAlign w:val="center"/>
          </w:tcPr>
          <w:p w:rsidR="002F5F3B" w:rsidRPr="00312C6B" w:rsidRDefault="002F5F3B" w:rsidP="00F66BD1">
            <w:pPr>
              <w:jc w:val="center"/>
              <w:rPr>
                <w:rFonts w:hAnsi="宋体"/>
                <w:color w:val="FF0000"/>
                <w:szCs w:val="21"/>
              </w:rPr>
            </w:pPr>
            <w:r w:rsidRPr="00312C6B">
              <w:rPr>
                <w:rFonts w:hAnsi="宋体" w:hint="eastAsia"/>
                <w:color w:val="FF0000"/>
                <w:szCs w:val="21"/>
              </w:rPr>
              <w:t>交由资质单位处置</w:t>
            </w:r>
          </w:p>
        </w:tc>
        <w:tc>
          <w:tcPr>
            <w:tcW w:w="748" w:type="dxa"/>
            <w:vAlign w:val="center"/>
          </w:tcPr>
          <w:p w:rsidR="002F5F3B" w:rsidRPr="00312C6B" w:rsidRDefault="002F5F3B" w:rsidP="00894456">
            <w:pPr>
              <w:jc w:val="center"/>
              <w:rPr>
                <w:color w:val="FF0000"/>
                <w:szCs w:val="21"/>
              </w:rPr>
            </w:pPr>
            <w:r w:rsidRPr="00312C6B">
              <w:rPr>
                <w:rFonts w:hint="eastAsia"/>
                <w:color w:val="FF0000"/>
                <w:szCs w:val="21"/>
              </w:rPr>
              <w:t>0</w:t>
            </w:r>
          </w:p>
        </w:tc>
        <w:tc>
          <w:tcPr>
            <w:tcW w:w="1060" w:type="dxa"/>
            <w:shd w:val="clear" w:color="auto" w:fill="auto"/>
            <w:vAlign w:val="center"/>
          </w:tcPr>
          <w:p w:rsidR="002F5F3B" w:rsidRPr="00312C6B" w:rsidRDefault="002F5F3B" w:rsidP="00894456">
            <w:pPr>
              <w:jc w:val="center"/>
              <w:rPr>
                <w:rFonts w:hAnsi="宋体"/>
                <w:color w:val="FF0000"/>
              </w:rPr>
            </w:pPr>
            <w:r w:rsidRPr="00312C6B">
              <w:rPr>
                <w:rFonts w:hAnsi="宋体" w:hint="eastAsia"/>
                <w:color w:val="FF0000"/>
              </w:rPr>
              <w:t>/</w:t>
            </w:r>
          </w:p>
        </w:tc>
      </w:tr>
    </w:tbl>
    <w:p w:rsidR="00C223F5" w:rsidRPr="00925B84" w:rsidRDefault="005860D5" w:rsidP="00F66BD1">
      <w:pPr>
        <w:spacing w:line="360" w:lineRule="auto"/>
        <w:ind w:firstLineChars="200" w:firstLine="480"/>
        <w:rPr>
          <w:sz w:val="24"/>
        </w:rPr>
      </w:pPr>
      <w:r w:rsidRPr="00925B84">
        <w:rPr>
          <w:sz w:val="24"/>
        </w:rPr>
        <w:t>（</w:t>
      </w:r>
      <w:r w:rsidRPr="00925B84">
        <w:rPr>
          <w:sz w:val="24"/>
        </w:rPr>
        <w:t>4</w:t>
      </w:r>
      <w:r w:rsidRPr="00925B84">
        <w:rPr>
          <w:sz w:val="24"/>
        </w:rPr>
        <w:t>）噪声</w:t>
      </w:r>
    </w:p>
    <w:p w:rsidR="00C223F5" w:rsidRPr="00925B84" w:rsidRDefault="005860D5" w:rsidP="00F66BD1">
      <w:pPr>
        <w:spacing w:line="360" w:lineRule="auto"/>
        <w:ind w:firstLineChars="200" w:firstLine="480"/>
        <w:rPr>
          <w:sz w:val="24"/>
        </w:rPr>
      </w:pPr>
      <w:r w:rsidRPr="00925B84">
        <w:rPr>
          <w:rFonts w:ascii="宋体" w:hAnsi="宋体" w:hint="eastAsia"/>
          <w:sz w:val="24"/>
        </w:rPr>
        <w:t>矿井工业场地噪声源主要有提升机、溜槽、通风机、锅炉鼓、引风机、坑木加工、机修设备、露天煤场的装载机等产生的机械噪声</w:t>
      </w:r>
      <w:r w:rsidRPr="00925B84">
        <w:rPr>
          <w:sz w:val="24"/>
        </w:rPr>
        <w:t>等。</w:t>
      </w:r>
      <w:r w:rsidRPr="00925B84">
        <w:rPr>
          <w:rFonts w:hint="eastAsia"/>
          <w:sz w:val="24"/>
        </w:rPr>
        <w:t>采取优选高效低噪产</w:t>
      </w:r>
      <w:r w:rsidRPr="00925B84">
        <w:rPr>
          <w:rFonts w:hint="eastAsia"/>
          <w:sz w:val="24"/>
        </w:rPr>
        <w:lastRenderedPageBreak/>
        <w:t>品，设隔声间、消声器、阻尼及减振处理等。</w:t>
      </w:r>
    </w:p>
    <w:p w:rsidR="00C223F5" w:rsidRDefault="005860D5" w:rsidP="00C006A7">
      <w:pPr>
        <w:spacing w:line="360" w:lineRule="auto"/>
        <w:ind w:firstLineChars="150" w:firstLine="360"/>
        <w:rPr>
          <w:sz w:val="24"/>
        </w:rPr>
      </w:pPr>
      <w:r>
        <w:rPr>
          <w:sz w:val="24"/>
        </w:rPr>
        <w:t>（</w:t>
      </w:r>
      <w:r>
        <w:rPr>
          <w:sz w:val="24"/>
        </w:rPr>
        <w:t>5</w:t>
      </w:r>
      <w:r>
        <w:rPr>
          <w:sz w:val="24"/>
        </w:rPr>
        <w:t>）生态环境</w:t>
      </w:r>
      <w:r>
        <w:rPr>
          <w:rFonts w:hint="eastAsia"/>
          <w:sz w:val="24"/>
        </w:rPr>
        <w:t>影响</w:t>
      </w:r>
    </w:p>
    <w:p w:rsidR="00C223F5" w:rsidRDefault="005860D5" w:rsidP="00F66BD1">
      <w:pPr>
        <w:spacing w:line="360" w:lineRule="auto"/>
        <w:ind w:firstLineChars="150" w:firstLine="360"/>
        <w:rPr>
          <w:bCs/>
          <w:sz w:val="24"/>
        </w:rPr>
      </w:pPr>
      <w:r>
        <w:rPr>
          <w:rFonts w:hint="eastAsia"/>
          <w:sz w:val="24"/>
        </w:rPr>
        <w:t>原整合工程生产规模</w:t>
      </w:r>
      <w:r>
        <w:rPr>
          <w:rFonts w:hint="eastAsia"/>
          <w:sz w:val="24"/>
        </w:rPr>
        <w:t>0.42Mt/a</w:t>
      </w:r>
      <w:r>
        <w:rPr>
          <w:rFonts w:hint="eastAsia"/>
          <w:sz w:val="24"/>
        </w:rPr>
        <w:t>，采用长壁普采采煤方法，</w:t>
      </w:r>
      <w:r>
        <w:rPr>
          <w:sz w:val="24"/>
        </w:rPr>
        <w:t>4</w:t>
      </w:r>
      <w:r>
        <w:rPr>
          <w:sz w:val="24"/>
          <w:vertAlign w:val="superscript"/>
        </w:rPr>
        <w:t>-1</w:t>
      </w:r>
      <w:r>
        <w:rPr>
          <w:rFonts w:hAnsi="宋体"/>
          <w:sz w:val="24"/>
        </w:rPr>
        <w:t>号煤层开采后地表最大下沉值为</w:t>
      </w:r>
      <w:r>
        <w:rPr>
          <w:sz w:val="24"/>
        </w:rPr>
        <w:t>1952 mm</w:t>
      </w:r>
      <w:r>
        <w:rPr>
          <w:rFonts w:hAnsi="宋体"/>
          <w:sz w:val="24"/>
        </w:rPr>
        <w:t>，最大倾斜值为</w:t>
      </w:r>
      <w:r>
        <w:rPr>
          <w:sz w:val="24"/>
        </w:rPr>
        <w:t>16.27mm/m</w:t>
      </w:r>
      <w:r>
        <w:rPr>
          <w:rFonts w:hAnsi="宋体"/>
          <w:sz w:val="24"/>
        </w:rPr>
        <w:t>，最大水平变形值为</w:t>
      </w:r>
      <w:r>
        <w:rPr>
          <w:sz w:val="24"/>
        </w:rPr>
        <w:t>7.42mm/m</w:t>
      </w:r>
      <w:r>
        <w:rPr>
          <w:rFonts w:hint="eastAsia"/>
          <w:sz w:val="24"/>
        </w:rPr>
        <w:t>，</w:t>
      </w:r>
      <w:r>
        <w:rPr>
          <w:rFonts w:hAnsi="宋体"/>
          <w:sz w:val="24"/>
        </w:rPr>
        <w:t>最大曲率</w:t>
      </w:r>
      <w:r>
        <w:rPr>
          <w:sz w:val="24"/>
        </w:rPr>
        <w:t>变形值为</w:t>
      </w:r>
      <w:r>
        <w:rPr>
          <w:sz w:val="24"/>
        </w:rPr>
        <w:t>0.21×10</w:t>
      </w:r>
      <w:r>
        <w:rPr>
          <w:sz w:val="24"/>
          <w:vertAlign w:val="superscript"/>
        </w:rPr>
        <w:t>-3</w:t>
      </w:r>
      <w:r>
        <w:rPr>
          <w:sz w:val="24"/>
        </w:rPr>
        <w:t>/m</w:t>
      </w:r>
      <w:r>
        <w:rPr>
          <w:sz w:val="24"/>
        </w:rPr>
        <w:t>。全井田地表沉陷影响范围为</w:t>
      </w:r>
      <w:r>
        <w:rPr>
          <w:sz w:val="24"/>
        </w:rPr>
        <w:t>6.887km</w:t>
      </w:r>
      <w:r>
        <w:rPr>
          <w:sz w:val="24"/>
          <w:vertAlign w:val="superscript"/>
        </w:rPr>
        <w:t>2</w:t>
      </w:r>
      <w:r>
        <w:rPr>
          <w:sz w:val="24"/>
        </w:rPr>
        <w:t>，其中中度破坏影响面积</w:t>
      </w:r>
      <w:r>
        <w:rPr>
          <w:sz w:val="24"/>
        </w:rPr>
        <w:t>333.6hm</w:t>
      </w:r>
      <w:r>
        <w:rPr>
          <w:sz w:val="24"/>
          <w:vertAlign w:val="superscript"/>
        </w:rPr>
        <w:t>2</w:t>
      </w:r>
      <w:r>
        <w:rPr>
          <w:sz w:val="24"/>
        </w:rPr>
        <w:t>，轻度影响面积</w:t>
      </w:r>
      <w:r>
        <w:rPr>
          <w:sz w:val="24"/>
        </w:rPr>
        <w:t>355.1hm</w:t>
      </w:r>
      <w:r>
        <w:rPr>
          <w:sz w:val="24"/>
          <w:vertAlign w:val="superscript"/>
        </w:rPr>
        <w:t>2</w:t>
      </w:r>
      <w:r>
        <w:rPr>
          <w:sz w:val="24"/>
        </w:rPr>
        <w:t>。采煤对沉陷区地下水、地形地貌、土地利用、农业生产、水土流失及动植物等生态环境产生不利影响，但采取相应保护措施后影响的范围和程度有限，不会明显改变评价区的生态系统结构、类型和生态系统的稳定性。</w:t>
      </w:r>
    </w:p>
    <w:p w:rsidR="00C223F5" w:rsidRPr="00BB645D" w:rsidRDefault="005860D5" w:rsidP="00F66BD1">
      <w:pPr>
        <w:spacing w:line="360" w:lineRule="auto"/>
        <w:ind w:firstLineChars="200" w:firstLine="480"/>
        <w:rPr>
          <w:color w:val="FF0000"/>
          <w:sz w:val="24"/>
        </w:rPr>
      </w:pPr>
      <w:r w:rsidRPr="00BB645D">
        <w:rPr>
          <w:color w:val="FF0000"/>
          <w:sz w:val="24"/>
        </w:rPr>
        <w:t>经调查，原天云煤矿整合区范围内采空区面积约为</w:t>
      </w:r>
      <w:r w:rsidRPr="00BB645D">
        <w:rPr>
          <w:color w:val="FF0000"/>
          <w:sz w:val="24"/>
        </w:rPr>
        <w:t>4</w:t>
      </w:r>
      <w:r w:rsidRPr="00BB645D">
        <w:rPr>
          <w:color w:val="FF0000"/>
          <w:sz w:val="24"/>
          <w:vertAlign w:val="superscript"/>
        </w:rPr>
        <w:t>-1</w:t>
      </w:r>
      <w:r w:rsidRPr="00BB645D">
        <w:rPr>
          <w:color w:val="FF0000"/>
          <w:sz w:val="24"/>
        </w:rPr>
        <w:t>号煤为</w:t>
      </w:r>
      <w:r w:rsidRPr="00BB645D">
        <w:rPr>
          <w:rFonts w:hint="eastAsia"/>
          <w:color w:val="FF0000"/>
          <w:sz w:val="24"/>
        </w:rPr>
        <w:t>2.21k</w:t>
      </w:r>
      <w:r w:rsidRPr="00BB645D">
        <w:rPr>
          <w:color w:val="FF0000"/>
          <w:sz w:val="24"/>
        </w:rPr>
        <w:t>m</w:t>
      </w:r>
      <w:r w:rsidRPr="00BB645D">
        <w:rPr>
          <w:color w:val="FF0000"/>
          <w:sz w:val="24"/>
          <w:vertAlign w:val="superscript"/>
        </w:rPr>
        <w:t>2</w:t>
      </w:r>
      <w:r w:rsidRPr="00BB645D">
        <w:rPr>
          <w:color w:val="FF0000"/>
          <w:sz w:val="24"/>
        </w:rPr>
        <w:t>，分布在煤矿北部和南部，其中</w:t>
      </w:r>
      <w:r w:rsidRPr="00BB645D">
        <w:rPr>
          <w:rFonts w:hint="eastAsia"/>
          <w:color w:val="FF0000"/>
          <w:sz w:val="24"/>
        </w:rPr>
        <w:t>2006</w:t>
      </w:r>
      <w:r w:rsidRPr="00BB645D">
        <w:rPr>
          <w:rFonts w:hint="eastAsia"/>
          <w:color w:val="FF0000"/>
          <w:sz w:val="24"/>
        </w:rPr>
        <w:t>年以前开采区域地表未发现裂缝发育，处于稳沉状态；</w:t>
      </w:r>
      <w:r w:rsidRPr="00BB645D">
        <w:rPr>
          <w:rFonts w:hint="eastAsia"/>
          <w:color w:val="FF0000"/>
          <w:sz w:val="24"/>
        </w:rPr>
        <w:t>2008</w:t>
      </w:r>
      <w:r w:rsidRPr="00BB645D">
        <w:rPr>
          <w:rFonts w:hint="eastAsia"/>
          <w:color w:val="FF0000"/>
          <w:sz w:val="24"/>
        </w:rPr>
        <w:t>年后开采区域</w:t>
      </w:r>
      <w:r w:rsidRPr="00BB645D">
        <w:rPr>
          <w:color w:val="FF0000"/>
          <w:kern w:val="0"/>
          <w:sz w:val="24"/>
        </w:rPr>
        <w:t>发育数条塌陷裂缝，走向南北，宽</w:t>
      </w:r>
      <w:r w:rsidRPr="00BB645D">
        <w:rPr>
          <w:color w:val="FF0000"/>
          <w:kern w:val="0"/>
          <w:sz w:val="24"/>
        </w:rPr>
        <w:t>8~12cm</w:t>
      </w:r>
      <w:r w:rsidRPr="00BB645D">
        <w:rPr>
          <w:color w:val="FF0000"/>
          <w:kern w:val="0"/>
          <w:sz w:val="24"/>
        </w:rPr>
        <w:t>，长度约</w:t>
      </w:r>
      <w:r w:rsidRPr="00BB645D">
        <w:rPr>
          <w:color w:val="FF0000"/>
          <w:kern w:val="0"/>
          <w:sz w:val="24"/>
        </w:rPr>
        <w:t>3~8m</w:t>
      </w:r>
      <w:r w:rsidRPr="00BB645D">
        <w:rPr>
          <w:rFonts w:hint="eastAsia"/>
          <w:color w:val="FF0000"/>
          <w:kern w:val="0"/>
          <w:sz w:val="24"/>
        </w:rPr>
        <w:t>；</w:t>
      </w:r>
      <w:r w:rsidRPr="00BB645D">
        <w:rPr>
          <w:color w:val="FF0000"/>
          <w:sz w:val="24"/>
        </w:rPr>
        <w:t>矿区内已塌陷的较严重区域实施了裂缝充填和土地平整工程，共计填充裂缝</w:t>
      </w:r>
      <w:r w:rsidRPr="00BB645D">
        <w:rPr>
          <w:color w:val="FF0000"/>
          <w:sz w:val="24"/>
        </w:rPr>
        <w:t>2049m</w:t>
      </w:r>
      <w:r w:rsidRPr="00BB645D">
        <w:rPr>
          <w:color w:val="FF0000"/>
          <w:sz w:val="24"/>
          <w:vertAlign w:val="superscript"/>
        </w:rPr>
        <w:t>3</w:t>
      </w:r>
      <w:r w:rsidRPr="00BB645D">
        <w:rPr>
          <w:color w:val="FF0000"/>
          <w:sz w:val="24"/>
        </w:rPr>
        <w:t>，平整土方</w:t>
      </w:r>
      <w:r w:rsidRPr="00BB645D">
        <w:rPr>
          <w:color w:val="FF0000"/>
          <w:sz w:val="24"/>
        </w:rPr>
        <w:t>1332m</w:t>
      </w:r>
      <w:r w:rsidRPr="00BB645D">
        <w:rPr>
          <w:color w:val="FF0000"/>
          <w:sz w:val="24"/>
          <w:vertAlign w:val="superscript"/>
        </w:rPr>
        <w:t>3</w:t>
      </w:r>
      <w:r w:rsidRPr="00BB645D">
        <w:rPr>
          <w:color w:val="FF0000"/>
          <w:sz w:val="24"/>
        </w:rPr>
        <w:t>，总费用共计</w:t>
      </w:r>
      <w:r w:rsidRPr="00BB645D">
        <w:rPr>
          <w:color w:val="FF0000"/>
          <w:sz w:val="24"/>
        </w:rPr>
        <w:t>40.93</w:t>
      </w:r>
      <w:r w:rsidRPr="00BB645D">
        <w:rPr>
          <w:color w:val="FF0000"/>
          <w:sz w:val="24"/>
        </w:rPr>
        <w:t>万元。</w:t>
      </w:r>
    </w:p>
    <w:p w:rsidR="00C223F5" w:rsidRDefault="005860D5" w:rsidP="00F66BD1">
      <w:pPr>
        <w:spacing w:line="360" w:lineRule="auto"/>
        <w:ind w:firstLineChars="200" w:firstLine="480"/>
        <w:rPr>
          <w:sz w:val="24"/>
        </w:rPr>
      </w:pPr>
      <w:r>
        <w:rPr>
          <w:sz w:val="24"/>
        </w:rPr>
        <w:t>（</w:t>
      </w:r>
      <w:r>
        <w:rPr>
          <w:sz w:val="24"/>
        </w:rPr>
        <w:t>6</w:t>
      </w:r>
      <w:r>
        <w:rPr>
          <w:sz w:val="24"/>
        </w:rPr>
        <w:t>）地下水环境影响</w:t>
      </w:r>
    </w:p>
    <w:p w:rsidR="00C223F5" w:rsidRDefault="005860D5" w:rsidP="00F66BD1">
      <w:pPr>
        <w:spacing w:line="360" w:lineRule="auto"/>
        <w:ind w:firstLineChars="200" w:firstLine="480"/>
        <w:rPr>
          <w:sz w:val="24"/>
        </w:rPr>
      </w:pPr>
      <w:r>
        <w:rPr>
          <w:sz w:val="24"/>
        </w:rPr>
        <w:t>根据项目原环境影响报告书，</w:t>
      </w:r>
      <w:r>
        <w:rPr>
          <w:sz w:val="24"/>
        </w:rPr>
        <w:t>4</w:t>
      </w:r>
      <w:r>
        <w:rPr>
          <w:sz w:val="24"/>
          <w:vertAlign w:val="superscript"/>
        </w:rPr>
        <w:t>-1</w:t>
      </w:r>
      <w:r>
        <w:rPr>
          <w:rFonts w:hAnsi="宋体"/>
          <w:sz w:val="24"/>
        </w:rPr>
        <w:t>号煤层开采导水裂隙带厚</w:t>
      </w:r>
      <w:r>
        <w:rPr>
          <w:sz w:val="24"/>
        </w:rPr>
        <w:t>35.38</w:t>
      </w:r>
      <w:r>
        <w:rPr>
          <w:rFonts w:hAnsi="宋体"/>
          <w:sz w:val="24"/>
        </w:rPr>
        <w:t>～</w:t>
      </w:r>
      <w:r>
        <w:rPr>
          <w:sz w:val="24"/>
        </w:rPr>
        <w:t>53.27m</w:t>
      </w:r>
      <w:r>
        <w:rPr>
          <w:rFonts w:hAnsi="宋体"/>
          <w:sz w:val="24"/>
        </w:rPr>
        <w:t>，导水裂隙带顶与基岩顶间距</w:t>
      </w:r>
      <w:r>
        <w:rPr>
          <w:sz w:val="24"/>
        </w:rPr>
        <w:t>130.38</w:t>
      </w:r>
      <w:r>
        <w:rPr>
          <w:rFonts w:hAnsi="宋体"/>
          <w:sz w:val="24"/>
        </w:rPr>
        <w:t>～</w:t>
      </w:r>
      <w:r>
        <w:rPr>
          <w:sz w:val="24"/>
        </w:rPr>
        <w:t>186.98m</w:t>
      </w:r>
      <w:r>
        <w:rPr>
          <w:rFonts w:hAnsi="宋体"/>
          <w:sz w:val="24"/>
        </w:rPr>
        <w:t>，导水裂隙带均未波及到基岩风化裂隙带及地表，</w:t>
      </w:r>
      <w:r>
        <w:rPr>
          <w:rFonts w:hAnsi="宋体"/>
          <w:sz w:val="24"/>
          <w:lang w:val="en-GB"/>
        </w:rPr>
        <w:t>影响半径在开采边界外</w:t>
      </w:r>
      <w:r>
        <w:rPr>
          <w:sz w:val="24"/>
          <w:lang w:val="en-GB"/>
        </w:rPr>
        <w:t>130</w:t>
      </w:r>
      <w:r>
        <w:rPr>
          <w:rFonts w:hAnsi="宋体"/>
          <w:sz w:val="24"/>
          <w:lang w:val="en-GB"/>
        </w:rPr>
        <w:t>～</w:t>
      </w:r>
      <w:r>
        <w:rPr>
          <w:sz w:val="24"/>
          <w:lang w:val="en-GB"/>
        </w:rPr>
        <w:t>500m</w:t>
      </w:r>
      <w:r>
        <w:rPr>
          <w:rFonts w:hAnsi="宋体"/>
          <w:sz w:val="24"/>
          <w:lang w:val="en-GB"/>
        </w:rPr>
        <w:t>的范围内，开采区的承压水位最大可降低至开采煤层的底板。</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231" w:name="_Toc533604299"/>
      <w:bookmarkStart w:id="232" w:name="_Toc533604719"/>
      <w:bookmarkStart w:id="233" w:name="_Toc16785264"/>
      <w:r>
        <w:rPr>
          <w:rFonts w:eastAsia="宋体" w:hint="eastAsia"/>
          <w:b/>
          <w:bCs w:val="0"/>
          <w:sz w:val="28"/>
          <w:szCs w:val="28"/>
        </w:rPr>
        <w:t>2.</w:t>
      </w:r>
      <w:r>
        <w:rPr>
          <w:rFonts w:eastAsia="宋体"/>
          <w:b/>
          <w:bCs w:val="0"/>
          <w:sz w:val="28"/>
          <w:szCs w:val="28"/>
        </w:rPr>
        <w:t>3.2</w:t>
      </w:r>
      <w:r>
        <w:rPr>
          <w:rFonts w:eastAsia="宋体" w:hint="eastAsia"/>
          <w:b/>
          <w:bCs w:val="0"/>
          <w:sz w:val="28"/>
          <w:szCs w:val="28"/>
        </w:rPr>
        <w:t>本次整合工程污染源分析</w:t>
      </w:r>
      <w:bookmarkEnd w:id="231"/>
      <w:bookmarkEnd w:id="232"/>
      <w:bookmarkEnd w:id="233"/>
    </w:p>
    <w:p w:rsidR="00C223F5" w:rsidRDefault="005860D5" w:rsidP="004835BD">
      <w:pPr>
        <w:pStyle w:val="4"/>
        <w:spacing w:before="0" w:after="0" w:line="360" w:lineRule="auto"/>
        <w:ind w:firstLineChars="100" w:firstLine="240"/>
        <w:rPr>
          <w:szCs w:val="24"/>
        </w:rPr>
      </w:pPr>
      <w:bookmarkStart w:id="234" w:name="_Toc174283780"/>
      <w:r>
        <w:rPr>
          <w:rFonts w:hint="eastAsia"/>
          <w:szCs w:val="24"/>
        </w:rPr>
        <w:t>2.</w:t>
      </w:r>
      <w:r>
        <w:rPr>
          <w:szCs w:val="24"/>
        </w:rPr>
        <w:t>3.2.1</w:t>
      </w:r>
      <w:bookmarkStart w:id="235" w:name="_Toc502857254"/>
      <w:bookmarkStart w:id="236" w:name="_Toc281479440"/>
      <w:bookmarkStart w:id="237" w:name="_Toc441738746"/>
      <w:bookmarkEnd w:id="234"/>
      <w:r>
        <w:rPr>
          <w:szCs w:val="24"/>
        </w:rPr>
        <w:t>施工期</w:t>
      </w:r>
      <w:r>
        <w:rPr>
          <w:rFonts w:hint="eastAsia"/>
          <w:szCs w:val="24"/>
        </w:rPr>
        <w:t>污染源及污染物</w:t>
      </w:r>
      <w:bookmarkEnd w:id="235"/>
      <w:bookmarkEnd w:id="236"/>
      <w:bookmarkEnd w:id="237"/>
    </w:p>
    <w:p w:rsidR="00C223F5" w:rsidRDefault="005860D5" w:rsidP="00F66BD1">
      <w:pPr>
        <w:spacing w:line="360" w:lineRule="auto"/>
        <w:ind w:firstLineChars="200" w:firstLine="480"/>
        <w:rPr>
          <w:color w:val="000000"/>
          <w:sz w:val="24"/>
        </w:rPr>
      </w:pPr>
      <w:bookmarkStart w:id="238" w:name="_Toc106450204"/>
      <w:r>
        <w:rPr>
          <w:sz w:val="24"/>
        </w:rPr>
        <w:t>矿井建设期</w:t>
      </w:r>
      <w:r>
        <w:rPr>
          <w:color w:val="000000"/>
          <w:sz w:val="24"/>
        </w:rPr>
        <w:t>主要环境影响表现在工业场地建设永久占地；井巷工程施工弃石；地面建筑建设弃土、弃渣；道路施工占地以及工程施工损坏地表植被、造成水土流失；另外施工过程中施工废水、施工机械噪声、施工人员生活污水、垃圾也是环境影响因素之一。</w:t>
      </w:r>
    </w:p>
    <w:p w:rsidR="00C223F5" w:rsidRDefault="005860D5" w:rsidP="00C006A7">
      <w:pPr>
        <w:spacing w:line="360" w:lineRule="auto"/>
        <w:ind w:firstLineChars="200" w:firstLine="482"/>
        <w:rPr>
          <w:b/>
          <w:bCs/>
          <w:color w:val="000000"/>
          <w:sz w:val="24"/>
        </w:rPr>
      </w:pPr>
      <w:bookmarkStart w:id="239" w:name="_Toc113719550"/>
      <w:r>
        <w:rPr>
          <w:b/>
          <w:bCs/>
          <w:color w:val="000000"/>
          <w:sz w:val="24"/>
        </w:rPr>
        <w:t>（</w:t>
      </w:r>
      <w:r>
        <w:rPr>
          <w:rFonts w:hint="eastAsia"/>
          <w:b/>
          <w:sz w:val="24"/>
        </w:rPr>
        <w:t>一</w:t>
      </w:r>
      <w:r>
        <w:rPr>
          <w:b/>
          <w:bCs/>
          <w:color w:val="000000"/>
          <w:sz w:val="24"/>
        </w:rPr>
        <w:t>）</w:t>
      </w:r>
      <w:r>
        <w:rPr>
          <w:b/>
          <w:bCs/>
          <w:color w:val="000000"/>
          <w:sz w:val="24"/>
        </w:rPr>
        <w:t xml:space="preserve"> </w:t>
      </w:r>
      <w:r>
        <w:rPr>
          <w:b/>
          <w:bCs/>
          <w:color w:val="000000"/>
          <w:sz w:val="24"/>
        </w:rPr>
        <w:t>工程占地情况</w:t>
      </w:r>
      <w:bookmarkEnd w:id="239"/>
    </w:p>
    <w:p w:rsidR="00C223F5" w:rsidRDefault="005860D5" w:rsidP="00F66BD1">
      <w:pPr>
        <w:spacing w:line="360" w:lineRule="auto"/>
        <w:ind w:firstLineChars="200" w:firstLine="480"/>
        <w:rPr>
          <w:color w:val="000000"/>
          <w:sz w:val="24"/>
        </w:rPr>
      </w:pPr>
      <w:r>
        <w:rPr>
          <w:color w:val="000000"/>
          <w:sz w:val="24"/>
        </w:rPr>
        <w:t>矿井建设占地情况见前述表</w:t>
      </w:r>
      <w:r>
        <w:rPr>
          <w:color w:val="000000"/>
          <w:sz w:val="24"/>
        </w:rPr>
        <w:t>2.1.2-4</w:t>
      </w:r>
      <w:r>
        <w:rPr>
          <w:color w:val="000000"/>
          <w:sz w:val="24"/>
        </w:rPr>
        <w:t>。</w:t>
      </w:r>
    </w:p>
    <w:p w:rsidR="00C223F5" w:rsidRDefault="005860D5" w:rsidP="00C006A7">
      <w:pPr>
        <w:spacing w:line="360" w:lineRule="auto"/>
        <w:ind w:firstLineChars="200" w:firstLine="482"/>
        <w:rPr>
          <w:b/>
          <w:bCs/>
          <w:color w:val="000000"/>
          <w:sz w:val="24"/>
        </w:rPr>
      </w:pPr>
      <w:r>
        <w:rPr>
          <w:b/>
          <w:bCs/>
          <w:color w:val="000000"/>
          <w:sz w:val="24"/>
        </w:rPr>
        <w:t>（</w:t>
      </w:r>
      <w:r>
        <w:rPr>
          <w:rFonts w:hint="eastAsia"/>
          <w:b/>
          <w:bCs/>
          <w:color w:val="000000"/>
          <w:sz w:val="24"/>
        </w:rPr>
        <w:t>二</w:t>
      </w:r>
      <w:r>
        <w:rPr>
          <w:b/>
          <w:bCs/>
          <w:color w:val="000000"/>
          <w:sz w:val="24"/>
        </w:rPr>
        <w:t>）</w:t>
      </w:r>
      <w:r>
        <w:rPr>
          <w:b/>
          <w:bCs/>
          <w:color w:val="000000"/>
          <w:sz w:val="24"/>
        </w:rPr>
        <w:t xml:space="preserve"> </w:t>
      </w:r>
      <w:r>
        <w:rPr>
          <w:b/>
          <w:bCs/>
          <w:color w:val="000000"/>
          <w:sz w:val="24"/>
        </w:rPr>
        <w:t>污染物排放情况</w:t>
      </w:r>
    </w:p>
    <w:p w:rsidR="00C223F5" w:rsidRDefault="005860D5" w:rsidP="00F66BD1">
      <w:pPr>
        <w:spacing w:line="360" w:lineRule="auto"/>
        <w:ind w:firstLineChars="200" w:firstLine="482"/>
        <w:rPr>
          <w:b/>
          <w:color w:val="000000"/>
          <w:sz w:val="24"/>
        </w:rPr>
      </w:pPr>
      <w:r>
        <w:rPr>
          <w:rFonts w:hint="eastAsia"/>
          <w:b/>
          <w:color w:val="000000"/>
          <w:sz w:val="24"/>
        </w:rPr>
        <w:t>（</w:t>
      </w:r>
      <w:r>
        <w:rPr>
          <w:rFonts w:hint="eastAsia"/>
          <w:b/>
          <w:color w:val="000000"/>
          <w:sz w:val="24"/>
        </w:rPr>
        <w:t>1</w:t>
      </w:r>
      <w:r>
        <w:rPr>
          <w:rFonts w:hint="eastAsia"/>
          <w:b/>
          <w:color w:val="000000"/>
          <w:sz w:val="24"/>
        </w:rPr>
        <w:t>）</w:t>
      </w:r>
      <w:r>
        <w:rPr>
          <w:b/>
          <w:color w:val="000000"/>
          <w:sz w:val="24"/>
        </w:rPr>
        <w:t>大气污染源</w:t>
      </w:r>
    </w:p>
    <w:p w:rsidR="00C223F5" w:rsidRDefault="005860D5" w:rsidP="00F66BD1">
      <w:pPr>
        <w:spacing w:line="360" w:lineRule="auto"/>
        <w:ind w:firstLineChars="200" w:firstLine="480"/>
        <w:rPr>
          <w:b/>
          <w:color w:val="000000"/>
          <w:sz w:val="24"/>
        </w:rPr>
      </w:pPr>
      <w:r>
        <w:rPr>
          <w:color w:val="000000"/>
          <w:sz w:val="24"/>
        </w:rPr>
        <w:lastRenderedPageBreak/>
        <w:t>施工期的大气污染源主要为施工场地裸露地表在大风气象条件下的风蚀扬尘、施工队伍临时生活炉灶排放的烟气，建筑材料运输、装卸中的扬尘，土方运输车辆行驶产生的扬尘，临时物料堆场产生的风蚀扬尘，混凝土搅拌站产生的水泥粉尘等。污染物大多为无组织排放，根据神华集团榆家梁矿、孙家沟矿等施工期有关监测资料类比，施工扬尘不采取防治措施、平均风速下影响至施工边界外</w:t>
      </w:r>
      <w:r>
        <w:rPr>
          <w:color w:val="000000"/>
          <w:sz w:val="24"/>
        </w:rPr>
        <w:t>200m</w:t>
      </w:r>
      <w:r>
        <w:rPr>
          <w:color w:val="000000"/>
          <w:sz w:val="24"/>
        </w:rPr>
        <w:t>内</w:t>
      </w:r>
      <w:r>
        <w:rPr>
          <w:color w:val="000000"/>
          <w:sz w:val="24"/>
        </w:rPr>
        <w:t>TSP</w:t>
      </w:r>
      <w:r>
        <w:rPr>
          <w:color w:val="000000"/>
          <w:sz w:val="24"/>
        </w:rPr>
        <w:t>浓度超标</w:t>
      </w:r>
      <w:r>
        <w:rPr>
          <w:color w:val="000000"/>
          <w:sz w:val="24"/>
        </w:rPr>
        <w:t>3</w:t>
      </w:r>
      <w:r>
        <w:rPr>
          <w:color w:val="000000"/>
          <w:sz w:val="24"/>
        </w:rPr>
        <w:t>～</w:t>
      </w:r>
      <w:bookmarkStart w:id="240" w:name="_Toc106450205"/>
      <w:r>
        <w:rPr>
          <w:color w:val="000000"/>
          <w:sz w:val="24"/>
        </w:rPr>
        <w:t>5</w:t>
      </w:r>
      <w:r>
        <w:rPr>
          <w:color w:val="000000"/>
          <w:sz w:val="24"/>
        </w:rPr>
        <w:t>倍，采取防治措施后一般可以达标。</w:t>
      </w:r>
    </w:p>
    <w:p w:rsidR="00C223F5" w:rsidRDefault="005860D5" w:rsidP="00F66BD1">
      <w:pPr>
        <w:spacing w:line="360" w:lineRule="auto"/>
        <w:ind w:firstLineChars="200" w:firstLine="482"/>
        <w:rPr>
          <w:b/>
          <w:color w:val="000000"/>
          <w:sz w:val="24"/>
        </w:rPr>
      </w:pPr>
      <w:r>
        <w:rPr>
          <w:rFonts w:hint="eastAsia"/>
          <w:b/>
          <w:color w:val="000000"/>
          <w:sz w:val="24"/>
        </w:rPr>
        <w:t>（</w:t>
      </w:r>
      <w:r>
        <w:rPr>
          <w:rFonts w:hint="eastAsia"/>
          <w:b/>
          <w:color w:val="000000"/>
          <w:sz w:val="24"/>
        </w:rPr>
        <w:t>2</w:t>
      </w:r>
      <w:r>
        <w:rPr>
          <w:rFonts w:hint="eastAsia"/>
          <w:b/>
          <w:color w:val="000000"/>
          <w:sz w:val="24"/>
        </w:rPr>
        <w:t>）</w:t>
      </w:r>
      <w:r>
        <w:rPr>
          <w:b/>
          <w:color w:val="000000"/>
          <w:sz w:val="24"/>
        </w:rPr>
        <w:t>水污染源</w:t>
      </w:r>
      <w:bookmarkEnd w:id="240"/>
    </w:p>
    <w:p w:rsidR="00C223F5" w:rsidRDefault="005860D5" w:rsidP="00F66BD1">
      <w:pPr>
        <w:spacing w:line="360" w:lineRule="auto"/>
        <w:ind w:firstLineChars="200" w:firstLine="480"/>
        <w:rPr>
          <w:color w:val="000000"/>
          <w:sz w:val="24"/>
        </w:rPr>
      </w:pPr>
      <w:r>
        <w:rPr>
          <w:color w:val="000000"/>
          <w:sz w:val="24"/>
        </w:rPr>
        <w:t>施工期水污染源主要为施工废水和生活污水，施工废水包括井筒施工穿透含水层产生的废水、施工区冲洗与设备清洗废水等。井筒施工时穿透含水层会产生少量井下涌水，由于井筒穿透的主要为基岩裂隙含水层，该段岩性主要为砂岩和砂质泥岩，水质属于清洁水，因此井筒施工穿透含水层产生的废水主要污染物为悬浮的煤与岩微粒，主要污染物为悬浮物；施工区的冲洗和设备清洗废水主要污染物为悬浮物，其次是石油类；生活污水主要污染物为悬浮物、</w:t>
      </w:r>
      <w:r>
        <w:rPr>
          <w:color w:val="000000"/>
          <w:sz w:val="24"/>
        </w:rPr>
        <w:t>BOD</w:t>
      </w:r>
      <w:r>
        <w:rPr>
          <w:color w:val="000000"/>
          <w:sz w:val="24"/>
        </w:rPr>
        <w:t>、</w:t>
      </w:r>
      <w:r>
        <w:rPr>
          <w:color w:val="000000"/>
          <w:sz w:val="24"/>
        </w:rPr>
        <w:t>COD</w:t>
      </w:r>
      <w:r>
        <w:rPr>
          <w:color w:val="000000"/>
          <w:sz w:val="24"/>
        </w:rPr>
        <w:t>等。</w:t>
      </w:r>
    </w:p>
    <w:p w:rsidR="00C223F5" w:rsidRDefault="005860D5" w:rsidP="00F66BD1">
      <w:pPr>
        <w:spacing w:line="360" w:lineRule="auto"/>
        <w:ind w:firstLineChars="200" w:firstLine="482"/>
        <w:rPr>
          <w:b/>
          <w:color w:val="000000"/>
          <w:sz w:val="24"/>
        </w:rPr>
      </w:pPr>
      <w:r>
        <w:rPr>
          <w:rFonts w:hint="eastAsia"/>
          <w:b/>
          <w:color w:val="000000"/>
          <w:sz w:val="24"/>
        </w:rPr>
        <w:t>（</w:t>
      </w:r>
      <w:r>
        <w:rPr>
          <w:rFonts w:hint="eastAsia"/>
          <w:b/>
          <w:color w:val="000000"/>
          <w:sz w:val="24"/>
        </w:rPr>
        <w:t>3</w:t>
      </w:r>
      <w:r>
        <w:rPr>
          <w:rFonts w:hint="eastAsia"/>
          <w:b/>
          <w:color w:val="000000"/>
          <w:sz w:val="24"/>
        </w:rPr>
        <w:t>）</w:t>
      </w:r>
      <w:r>
        <w:rPr>
          <w:b/>
          <w:color w:val="000000"/>
          <w:sz w:val="24"/>
        </w:rPr>
        <w:t>固体废弃物</w:t>
      </w:r>
    </w:p>
    <w:p w:rsidR="00C223F5" w:rsidRDefault="005860D5" w:rsidP="00F66BD1">
      <w:pPr>
        <w:spacing w:line="360" w:lineRule="auto"/>
        <w:ind w:firstLineChars="200" w:firstLine="480"/>
        <w:rPr>
          <w:color w:val="000000"/>
          <w:sz w:val="24"/>
        </w:rPr>
      </w:pPr>
      <w:r>
        <w:rPr>
          <w:color w:val="000000"/>
          <w:sz w:val="24"/>
        </w:rPr>
        <w:t>建设期废渣主要是场地平整、井巷工程等工程施工弃土、弃石、弃渣，产生、处置及排放情况见图</w:t>
      </w:r>
      <w:r>
        <w:rPr>
          <w:color w:val="000000"/>
          <w:sz w:val="24"/>
        </w:rPr>
        <w:t>2.3.2-1</w:t>
      </w:r>
      <w:r>
        <w:rPr>
          <w:color w:val="000000"/>
          <w:sz w:val="24"/>
        </w:rPr>
        <w:t>。</w:t>
      </w:r>
    </w:p>
    <w:p w:rsidR="00C223F5" w:rsidRDefault="003761EF" w:rsidP="00F66BD1">
      <w:pPr>
        <w:widowControl/>
        <w:jc w:val="left"/>
        <w:rPr>
          <w:rFonts w:ascii="宋体" w:hAnsi="宋体" w:cs="宋体"/>
          <w:kern w:val="0"/>
          <w:sz w:val="24"/>
        </w:rPr>
      </w:pPr>
      <w:r>
        <w:rPr>
          <w:rFonts w:hAnsi="宋体"/>
          <w:sz w:val="24"/>
        </w:rPr>
        <w:pict>
          <v:shape id="文本框 12139" o:spid="_x0000_s1417" type="#_x0000_t202" style="position:absolute;margin-left:438.7pt;margin-top:84.6pt;width:23.95pt;height:22.8pt;z-index:252163072;mso-height-percent:200;mso-height-percent:200;mso-width-relative:margin;mso-height-relative:margin" o:gfxdata="UEsDBAoAAAAAAIdO4kAAAAAAAAAAAAAAAAAEAAAAZHJzL1BLAwQUAAAACACHTuJARcmi1doAAAAL&#10;AQAADwAAAGRycy9kb3ducmV2LnhtbE2Py07DMBBF90j8gzVI7KgdU5o0jVMh1JZloURdu7FJIuKH&#10;bDctf8+wguXoHt17plpfzUgmHeLgrIBsxoBo2zo12E5A87F9KIDEJK2So7NawLeOsK5vbypZKnex&#10;73o6pI5giY2lFNCn5EtKY9trI+PMeW0x+3TByIRn6KgK8oLlZqScsQU1crC40EuvX3rdfh3ORoBP&#10;fpe/hv3b82Y7sea4a/jQbYS4v8vYCkjS1/QHw68+qkONTid3tiqSUUCR53NEMVgsORAklvzpEchJ&#10;AM/mBdC6ov9/qH8AUEsDBBQAAAAIAIdO4kCIipP1qwEAACgDAAAOAAAAZHJzL2Uyb0RvYy54bWyt&#10;UjtuGzEQ7QPkDgR7az+KFGuhleHAcJrADuDkABSX1BLgDxxKu7pAcoNUbtznXDpHhpQsB0lnuBmS&#10;83kzbx6XV6PRZCcCKGdbWk1KSoTlrlN209Lv324vLimByGzHtLOipXsB9Gr1/t1y8I2oXe90JwJB&#10;EAvN4Fvax+ibogDeC8Ng4rywGJQuGBbxGTZFF9iA6EYXdVnOi8GFzgfHBQB6b45Busr4Ugoe76UE&#10;EYluKc4Wsw3ZrpMtVkvWbALzveKnMdgrpjBMWWx6hrphkZFtUP9BGcWDAyfjhDtTOCkVF5kDsqnK&#10;f9g89MyLzAWXA/68Jng7WH63+xqI6lo6nX+kxDKDIh1+/Tw8/j48/SBVXU0XaUmDhwZzHzxmx/GT&#10;G1HsZz+gM3EfZTDpRFYE47ju/XnFYoyEo3NafqjmM0o4hurLxWyeJShein2A+Fk4Q9KlpQEVzItl&#10;uy8QcRBMfU5Jvay7VVpnFbUlQ0sXs3qWC84RrNAWCxOF46jpFsf1eOK1dt0eaW19UJsee1a5Hvz1&#10;NiJ6bpoqjmknIJQjz3L6Oknvv9856+WDr/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cmi1doA&#10;AAALAQAADwAAAAAAAAABACAAAAAiAAAAZHJzL2Rvd25yZXYueG1sUEsBAhQAFAAAAAgAh07iQIiK&#10;k/WrAQAAKAMAAA4AAAAAAAAAAQAgAAAAKQEAAGRycy9lMm9Eb2MueG1sUEsFBgAAAAAGAAYAWQEA&#10;AEYFAAAAAA==&#10;" filled="f" stroked="f">
            <v:textbox style="mso-next-textbox:#文本框 12139;mso-fit-shape-to-text:t">
              <w:txbxContent>
                <w:p w:rsidR="00BB1CC7" w:rsidRDefault="00BB1CC7">
                  <w:pPr>
                    <w:rPr>
                      <w:rFonts w:ascii="华文楷体" w:eastAsia="华文楷体" w:hAnsi="华文楷体"/>
                      <w:sz w:val="15"/>
                      <w:szCs w:val="15"/>
                    </w:rPr>
                  </w:pPr>
                  <w:r>
                    <w:rPr>
                      <w:rFonts w:ascii="华文楷体" w:eastAsia="华文楷体" w:hAnsi="华文楷体" w:hint="eastAsia"/>
                      <w:sz w:val="15"/>
                      <w:szCs w:val="15"/>
                    </w:rPr>
                    <w:t>等</w:t>
                  </w:r>
                </w:p>
              </w:txbxContent>
            </v:textbox>
          </v:shape>
        </w:pict>
      </w:r>
      <w:r w:rsidR="005860D5">
        <w:rPr>
          <w:rFonts w:ascii="宋体" w:hAnsi="宋体" w:cs="宋体"/>
          <w:noProof/>
          <w:kern w:val="0"/>
          <w:sz w:val="24"/>
        </w:rPr>
        <w:drawing>
          <wp:inline distT="0" distB="0" distL="0" distR="0">
            <wp:extent cx="5886450" cy="1600200"/>
            <wp:effectExtent l="19050" t="0" r="0" b="0"/>
            <wp:docPr id="2" name="图片 102" descr="C:\Users\lenovo\AppData\Roaming\Tencent\Users\15249517\QQ\WinTemp\RichOle\HU6X3LRD$[82JBON@6N))6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2" descr="C:\Users\lenovo\AppData\Roaming\Tencent\Users\15249517\QQ\WinTemp\RichOle\HU6X3LRD$[82JBON@6N))6V.png"/>
                    <pic:cNvPicPr>
                      <a:picLocks noChangeAspect="1" noChangeArrowheads="1"/>
                    </pic:cNvPicPr>
                  </pic:nvPicPr>
                  <pic:blipFill>
                    <a:blip r:embed="rId28"/>
                    <a:srcRect/>
                    <a:stretch>
                      <a:fillRect/>
                    </a:stretch>
                  </pic:blipFill>
                  <pic:spPr>
                    <a:xfrm>
                      <a:off x="0" y="0"/>
                      <a:ext cx="5922309" cy="1609948"/>
                    </a:xfrm>
                    <a:prstGeom prst="rect">
                      <a:avLst/>
                    </a:prstGeom>
                    <a:noFill/>
                    <a:ln w="9525">
                      <a:noFill/>
                      <a:miter lim="800000"/>
                      <a:headEnd/>
                      <a:tailEnd/>
                    </a:ln>
                  </pic:spPr>
                </pic:pic>
              </a:graphicData>
            </a:graphic>
          </wp:inline>
        </w:drawing>
      </w:r>
    </w:p>
    <w:p w:rsidR="00C223F5" w:rsidRDefault="005860D5" w:rsidP="004835BD">
      <w:pPr>
        <w:pStyle w:val="afffffffff3"/>
        <w:spacing w:afterLines="50" w:after="156"/>
        <w:rPr>
          <w:b w:val="0"/>
        </w:rPr>
      </w:pPr>
      <w:r>
        <w:rPr>
          <w:rStyle w:val="Charff0"/>
          <w:rFonts w:hint="eastAsia"/>
          <w:b/>
        </w:rPr>
        <w:t>图</w:t>
      </w:r>
      <w:r>
        <w:rPr>
          <w:rStyle w:val="Charff0"/>
          <w:rFonts w:hint="eastAsia"/>
          <w:b/>
        </w:rPr>
        <w:t xml:space="preserve">2.3.2-1   </w:t>
      </w:r>
      <w:r>
        <w:rPr>
          <w:rStyle w:val="Charff0"/>
          <w:rFonts w:hint="eastAsia"/>
          <w:b/>
        </w:rPr>
        <w:t>土石方</w:t>
      </w:r>
      <w:r>
        <w:rPr>
          <w:rStyle w:val="Charff0"/>
          <w:b/>
        </w:rPr>
        <w:t>平衡框图（</w:t>
      </w:r>
      <w:r>
        <w:rPr>
          <w:rStyle w:val="Charff0"/>
          <w:rFonts w:hint="eastAsia"/>
          <w:b/>
        </w:rPr>
        <w:t>单位</w:t>
      </w:r>
      <w:r>
        <w:rPr>
          <w:rStyle w:val="Charff0"/>
          <w:b/>
        </w:rPr>
        <w:t>：万</w:t>
      </w:r>
      <w:r>
        <w:rPr>
          <w:rStyle w:val="Charff0"/>
          <w:b/>
        </w:rPr>
        <w:t>m</w:t>
      </w:r>
      <w:r>
        <w:rPr>
          <w:rStyle w:val="Charff0"/>
          <w:rFonts w:hint="eastAsia"/>
          <w:b/>
          <w:vertAlign w:val="superscript"/>
        </w:rPr>
        <w:t>3</w:t>
      </w:r>
      <w:r>
        <w:rPr>
          <w:b w:val="0"/>
        </w:rPr>
        <w:t>）</w:t>
      </w:r>
    </w:p>
    <w:p w:rsidR="00C223F5" w:rsidRDefault="005860D5" w:rsidP="00C006A7">
      <w:pPr>
        <w:spacing w:line="360" w:lineRule="auto"/>
        <w:ind w:firstLineChars="200" w:firstLine="482"/>
        <w:rPr>
          <w:b/>
          <w:sz w:val="24"/>
        </w:rPr>
      </w:pPr>
      <w:r>
        <w:rPr>
          <w:rFonts w:hint="eastAsia"/>
          <w:b/>
          <w:sz w:val="24"/>
        </w:rPr>
        <w:t>（</w:t>
      </w:r>
      <w:r>
        <w:rPr>
          <w:rFonts w:hint="eastAsia"/>
          <w:b/>
          <w:sz w:val="24"/>
        </w:rPr>
        <w:t>4</w:t>
      </w:r>
      <w:r>
        <w:rPr>
          <w:rFonts w:hint="eastAsia"/>
          <w:b/>
          <w:sz w:val="24"/>
        </w:rPr>
        <w:t>）</w:t>
      </w:r>
      <w:r>
        <w:rPr>
          <w:b/>
          <w:sz w:val="24"/>
        </w:rPr>
        <w:t>噪声污染源</w:t>
      </w:r>
    </w:p>
    <w:p w:rsidR="00C223F5" w:rsidRDefault="005860D5" w:rsidP="00F66BD1">
      <w:pPr>
        <w:spacing w:line="360" w:lineRule="auto"/>
        <w:ind w:firstLineChars="200" w:firstLine="480"/>
        <w:rPr>
          <w:sz w:val="24"/>
        </w:rPr>
      </w:pPr>
      <w:r>
        <w:rPr>
          <w:sz w:val="24"/>
        </w:rPr>
        <w:t>施工期噪声源主要为各类施工机械。根据本工程施工活动的特点，经类比调查主要施工设备噪声级类比调查结果见表</w:t>
      </w:r>
      <w:r>
        <w:rPr>
          <w:sz w:val="24"/>
        </w:rPr>
        <w:t>2.3.2-1</w:t>
      </w:r>
      <w:r>
        <w:rPr>
          <w:sz w:val="24"/>
        </w:rPr>
        <w:t>。</w:t>
      </w:r>
    </w:p>
    <w:p w:rsidR="00C223F5" w:rsidRDefault="005860D5" w:rsidP="00C006A7">
      <w:pPr>
        <w:spacing w:line="360" w:lineRule="auto"/>
        <w:ind w:firstLineChars="200" w:firstLine="482"/>
        <w:rPr>
          <w:b/>
          <w:sz w:val="24"/>
        </w:rPr>
      </w:pPr>
      <w:r>
        <w:rPr>
          <w:rFonts w:hint="eastAsia"/>
          <w:b/>
          <w:sz w:val="24"/>
        </w:rPr>
        <w:t>（</w:t>
      </w:r>
      <w:r>
        <w:rPr>
          <w:rFonts w:hint="eastAsia"/>
          <w:b/>
          <w:sz w:val="24"/>
        </w:rPr>
        <w:t>5</w:t>
      </w:r>
      <w:r>
        <w:rPr>
          <w:rFonts w:hint="eastAsia"/>
          <w:b/>
          <w:sz w:val="24"/>
        </w:rPr>
        <w:t>）</w:t>
      </w:r>
      <w:r>
        <w:rPr>
          <w:b/>
          <w:sz w:val="24"/>
        </w:rPr>
        <w:t>生态环境</w:t>
      </w:r>
    </w:p>
    <w:p w:rsidR="00C223F5" w:rsidRDefault="005860D5" w:rsidP="00F66BD1">
      <w:pPr>
        <w:spacing w:line="360" w:lineRule="auto"/>
        <w:ind w:firstLineChars="200" w:firstLine="480"/>
        <w:rPr>
          <w:sz w:val="24"/>
        </w:rPr>
      </w:pPr>
      <w:r>
        <w:rPr>
          <w:sz w:val="24"/>
        </w:rPr>
        <w:t>施工过程中的场地开挖对土地造成扰动影响，堆填土石方、取土石方等工程引起水土流失量增加，道路作业等临时占地将破坏地表植被，引起局部生态环境</w:t>
      </w:r>
      <w:r>
        <w:rPr>
          <w:sz w:val="24"/>
        </w:rPr>
        <w:lastRenderedPageBreak/>
        <w:t>恶化。由于项目工业场地占地范围不大，工程量较小，只要建设方加强管理并及时进行生态恢复，生态影响程度及范围相对较小。</w:t>
      </w:r>
    </w:p>
    <w:p w:rsidR="00C223F5" w:rsidRDefault="005860D5" w:rsidP="00F66BD1">
      <w:pPr>
        <w:jc w:val="center"/>
        <w:rPr>
          <w:b/>
          <w:sz w:val="24"/>
        </w:rPr>
      </w:pPr>
      <w:r>
        <w:rPr>
          <w:b/>
          <w:sz w:val="24"/>
        </w:rPr>
        <w:t>表</w:t>
      </w:r>
      <w:r>
        <w:rPr>
          <w:b/>
          <w:sz w:val="24"/>
        </w:rPr>
        <w:t xml:space="preserve">2.3.2-1  </w:t>
      </w:r>
      <w:r>
        <w:rPr>
          <w:b/>
          <w:sz w:val="24"/>
        </w:rPr>
        <w:t>建设期噪声污染源情况一览表</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62"/>
        <w:gridCol w:w="2704"/>
        <w:gridCol w:w="1748"/>
        <w:gridCol w:w="2704"/>
      </w:tblGrid>
      <w:tr w:rsidR="00C223F5">
        <w:trPr>
          <w:trHeight w:val="360"/>
          <w:jc w:val="center"/>
        </w:trPr>
        <w:tc>
          <w:tcPr>
            <w:tcW w:w="1462" w:type="dxa"/>
            <w:vAlign w:val="center"/>
          </w:tcPr>
          <w:p w:rsidR="00C223F5" w:rsidRDefault="005860D5" w:rsidP="00F66BD1">
            <w:pPr>
              <w:pStyle w:val="affffff7"/>
              <w:rPr>
                <w:color w:val="auto"/>
                <w:sz w:val="21"/>
                <w:szCs w:val="21"/>
              </w:rPr>
            </w:pPr>
            <w:r>
              <w:rPr>
                <w:color w:val="auto"/>
                <w:sz w:val="21"/>
                <w:szCs w:val="21"/>
              </w:rPr>
              <w:t>产噪设备</w:t>
            </w:r>
          </w:p>
        </w:tc>
        <w:tc>
          <w:tcPr>
            <w:tcW w:w="2704" w:type="dxa"/>
            <w:vAlign w:val="center"/>
          </w:tcPr>
          <w:p w:rsidR="00C223F5" w:rsidRDefault="005860D5" w:rsidP="00F66BD1">
            <w:pPr>
              <w:pStyle w:val="affffff7"/>
              <w:rPr>
                <w:color w:val="auto"/>
                <w:sz w:val="21"/>
                <w:szCs w:val="21"/>
              </w:rPr>
            </w:pPr>
            <w:r>
              <w:rPr>
                <w:color w:val="auto"/>
                <w:sz w:val="21"/>
                <w:szCs w:val="21"/>
              </w:rPr>
              <w:t>声级</w:t>
            </w:r>
            <w:r>
              <w:rPr>
                <w:color w:val="auto"/>
                <w:sz w:val="21"/>
                <w:szCs w:val="21"/>
              </w:rPr>
              <w:t>/</w:t>
            </w:r>
            <w:r>
              <w:rPr>
                <w:color w:val="auto"/>
                <w:sz w:val="21"/>
                <w:szCs w:val="21"/>
              </w:rPr>
              <w:t>距声源距离</w:t>
            </w:r>
            <w:r>
              <w:rPr>
                <w:color w:val="auto"/>
                <w:sz w:val="21"/>
                <w:szCs w:val="21"/>
              </w:rPr>
              <w:t>[dB(A)/m]</w:t>
            </w:r>
          </w:p>
        </w:tc>
        <w:tc>
          <w:tcPr>
            <w:tcW w:w="1748" w:type="dxa"/>
            <w:vAlign w:val="center"/>
          </w:tcPr>
          <w:p w:rsidR="00C223F5" w:rsidRDefault="005860D5" w:rsidP="00F66BD1">
            <w:pPr>
              <w:pStyle w:val="affffff7"/>
              <w:rPr>
                <w:color w:val="auto"/>
                <w:sz w:val="21"/>
                <w:szCs w:val="21"/>
              </w:rPr>
            </w:pPr>
            <w:r>
              <w:rPr>
                <w:color w:val="auto"/>
                <w:sz w:val="21"/>
                <w:szCs w:val="21"/>
              </w:rPr>
              <w:t>产噪设备</w:t>
            </w:r>
          </w:p>
        </w:tc>
        <w:tc>
          <w:tcPr>
            <w:tcW w:w="2704" w:type="dxa"/>
            <w:vAlign w:val="center"/>
          </w:tcPr>
          <w:p w:rsidR="00C223F5" w:rsidRDefault="005860D5" w:rsidP="00F66BD1">
            <w:pPr>
              <w:pStyle w:val="affffff7"/>
              <w:rPr>
                <w:color w:val="auto"/>
                <w:sz w:val="21"/>
                <w:szCs w:val="21"/>
              </w:rPr>
            </w:pPr>
            <w:r>
              <w:rPr>
                <w:color w:val="auto"/>
                <w:sz w:val="21"/>
                <w:szCs w:val="21"/>
              </w:rPr>
              <w:t>声级</w:t>
            </w:r>
            <w:r>
              <w:rPr>
                <w:color w:val="auto"/>
                <w:sz w:val="21"/>
                <w:szCs w:val="21"/>
              </w:rPr>
              <w:t>/</w:t>
            </w:r>
            <w:r>
              <w:rPr>
                <w:color w:val="auto"/>
                <w:sz w:val="21"/>
                <w:szCs w:val="21"/>
              </w:rPr>
              <w:t>距声源距离</w:t>
            </w:r>
            <w:r>
              <w:rPr>
                <w:color w:val="auto"/>
                <w:sz w:val="21"/>
                <w:szCs w:val="21"/>
              </w:rPr>
              <w:t>[dB(A)/m]</w:t>
            </w:r>
          </w:p>
        </w:tc>
      </w:tr>
      <w:tr w:rsidR="00C223F5">
        <w:trPr>
          <w:trHeight w:val="312"/>
          <w:jc w:val="center"/>
        </w:trPr>
        <w:tc>
          <w:tcPr>
            <w:tcW w:w="1462" w:type="dxa"/>
            <w:vAlign w:val="center"/>
          </w:tcPr>
          <w:p w:rsidR="00C223F5" w:rsidRDefault="005860D5" w:rsidP="00F66BD1">
            <w:pPr>
              <w:pStyle w:val="affffff7"/>
              <w:rPr>
                <w:color w:val="auto"/>
                <w:sz w:val="21"/>
                <w:szCs w:val="21"/>
              </w:rPr>
            </w:pPr>
            <w:r>
              <w:rPr>
                <w:color w:val="auto"/>
                <w:sz w:val="21"/>
                <w:szCs w:val="21"/>
              </w:rPr>
              <w:t>吊车</w:t>
            </w:r>
          </w:p>
        </w:tc>
        <w:tc>
          <w:tcPr>
            <w:tcW w:w="2704" w:type="dxa"/>
            <w:vAlign w:val="center"/>
          </w:tcPr>
          <w:p w:rsidR="00C223F5" w:rsidRDefault="005860D5" w:rsidP="00F66BD1">
            <w:pPr>
              <w:pStyle w:val="affffff7"/>
              <w:rPr>
                <w:color w:val="auto"/>
                <w:sz w:val="21"/>
                <w:szCs w:val="21"/>
              </w:rPr>
            </w:pPr>
            <w:r>
              <w:rPr>
                <w:color w:val="auto"/>
                <w:sz w:val="21"/>
                <w:szCs w:val="21"/>
              </w:rPr>
              <w:t>72</w:t>
            </w:r>
            <w:r>
              <w:rPr>
                <w:color w:val="auto"/>
                <w:sz w:val="21"/>
                <w:szCs w:val="21"/>
              </w:rPr>
              <w:t>～</w:t>
            </w:r>
            <w:r>
              <w:rPr>
                <w:color w:val="auto"/>
                <w:sz w:val="21"/>
                <w:szCs w:val="21"/>
              </w:rPr>
              <w:t>73/15</w:t>
            </w:r>
          </w:p>
        </w:tc>
        <w:tc>
          <w:tcPr>
            <w:tcW w:w="1748" w:type="dxa"/>
            <w:vAlign w:val="center"/>
          </w:tcPr>
          <w:p w:rsidR="00C223F5" w:rsidRDefault="005860D5" w:rsidP="00F66BD1">
            <w:pPr>
              <w:pStyle w:val="affffff7"/>
              <w:rPr>
                <w:color w:val="auto"/>
                <w:sz w:val="21"/>
                <w:szCs w:val="21"/>
              </w:rPr>
            </w:pPr>
            <w:r>
              <w:rPr>
                <w:color w:val="auto"/>
                <w:sz w:val="21"/>
                <w:szCs w:val="21"/>
              </w:rPr>
              <w:t>压风机</w:t>
            </w:r>
          </w:p>
        </w:tc>
        <w:tc>
          <w:tcPr>
            <w:tcW w:w="2704" w:type="dxa"/>
            <w:vAlign w:val="center"/>
          </w:tcPr>
          <w:p w:rsidR="00C223F5" w:rsidRDefault="005860D5" w:rsidP="00F66BD1">
            <w:pPr>
              <w:pStyle w:val="affffff7"/>
              <w:rPr>
                <w:color w:val="auto"/>
                <w:sz w:val="21"/>
                <w:szCs w:val="21"/>
              </w:rPr>
            </w:pPr>
            <w:r>
              <w:rPr>
                <w:color w:val="auto"/>
                <w:sz w:val="21"/>
                <w:szCs w:val="21"/>
              </w:rPr>
              <w:t>95/1</w:t>
            </w:r>
          </w:p>
        </w:tc>
      </w:tr>
      <w:tr w:rsidR="00C223F5">
        <w:trPr>
          <w:trHeight w:val="312"/>
          <w:jc w:val="center"/>
        </w:trPr>
        <w:tc>
          <w:tcPr>
            <w:tcW w:w="1462" w:type="dxa"/>
            <w:vAlign w:val="center"/>
          </w:tcPr>
          <w:p w:rsidR="00C223F5" w:rsidRDefault="005860D5" w:rsidP="00F66BD1">
            <w:pPr>
              <w:pStyle w:val="affffff7"/>
              <w:rPr>
                <w:color w:val="auto"/>
                <w:sz w:val="21"/>
                <w:szCs w:val="21"/>
              </w:rPr>
            </w:pPr>
            <w:r>
              <w:rPr>
                <w:color w:val="auto"/>
                <w:sz w:val="21"/>
                <w:szCs w:val="21"/>
              </w:rPr>
              <w:t>装载机</w:t>
            </w:r>
          </w:p>
        </w:tc>
        <w:tc>
          <w:tcPr>
            <w:tcW w:w="2704" w:type="dxa"/>
            <w:vAlign w:val="center"/>
          </w:tcPr>
          <w:p w:rsidR="00C223F5" w:rsidRDefault="005860D5" w:rsidP="00F66BD1">
            <w:pPr>
              <w:pStyle w:val="affffff7"/>
              <w:rPr>
                <w:color w:val="auto"/>
                <w:sz w:val="21"/>
                <w:szCs w:val="21"/>
              </w:rPr>
            </w:pPr>
            <w:r>
              <w:rPr>
                <w:color w:val="auto"/>
                <w:sz w:val="21"/>
                <w:szCs w:val="21"/>
              </w:rPr>
              <w:t>85/3</w:t>
            </w:r>
          </w:p>
        </w:tc>
        <w:tc>
          <w:tcPr>
            <w:tcW w:w="1748" w:type="dxa"/>
            <w:vAlign w:val="center"/>
          </w:tcPr>
          <w:p w:rsidR="00C223F5" w:rsidRDefault="005860D5" w:rsidP="00F66BD1">
            <w:pPr>
              <w:pStyle w:val="affffff7"/>
              <w:rPr>
                <w:color w:val="auto"/>
                <w:sz w:val="21"/>
                <w:szCs w:val="21"/>
              </w:rPr>
            </w:pPr>
            <w:r>
              <w:rPr>
                <w:color w:val="auto"/>
                <w:sz w:val="21"/>
                <w:szCs w:val="21"/>
              </w:rPr>
              <w:t>振捣机</w:t>
            </w:r>
            <w:r>
              <w:rPr>
                <w:color w:val="auto"/>
                <w:sz w:val="21"/>
                <w:szCs w:val="21"/>
              </w:rPr>
              <w:t>50mm</w:t>
            </w:r>
          </w:p>
        </w:tc>
        <w:tc>
          <w:tcPr>
            <w:tcW w:w="2704" w:type="dxa"/>
            <w:vAlign w:val="center"/>
          </w:tcPr>
          <w:p w:rsidR="00C223F5" w:rsidRDefault="005860D5" w:rsidP="00F66BD1">
            <w:pPr>
              <w:pStyle w:val="affffff7"/>
              <w:rPr>
                <w:color w:val="auto"/>
                <w:sz w:val="21"/>
                <w:szCs w:val="21"/>
              </w:rPr>
            </w:pPr>
            <w:r>
              <w:rPr>
                <w:color w:val="auto"/>
                <w:sz w:val="21"/>
                <w:szCs w:val="21"/>
              </w:rPr>
              <w:t>93/1</w:t>
            </w:r>
          </w:p>
        </w:tc>
      </w:tr>
      <w:tr w:rsidR="00C223F5">
        <w:trPr>
          <w:trHeight w:val="312"/>
          <w:jc w:val="center"/>
        </w:trPr>
        <w:tc>
          <w:tcPr>
            <w:tcW w:w="1462" w:type="dxa"/>
            <w:vAlign w:val="center"/>
          </w:tcPr>
          <w:p w:rsidR="00C223F5" w:rsidRDefault="005860D5" w:rsidP="00F66BD1">
            <w:pPr>
              <w:pStyle w:val="affffff7"/>
              <w:rPr>
                <w:color w:val="auto"/>
                <w:sz w:val="21"/>
                <w:szCs w:val="21"/>
              </w:rPr>
            </w:pPr>
            <w:r>
              <w:rPr>
                <w:color w:val="auto"/>
                <w:sz w:val="21"/>
                <w:szCs w:val="21"/>
              </w:rPr>
              <w:t>挖掘机</w:t>
            </w:r>
          </w:p>
        </w:tc>
        <w:tc>
          <w:tcPr>
            <w:tcW w:w="2704" w:type="dxa"/>
            <w:vAlign w:val="center"/>
          </w:tcPr>
          <w:p w:rsidR="00C223F5" w:rsidRDefault="005860D5" w:rsidP="00F66BD1">
            <w:pPr>
              <w:pStyle w:val="affffff7"/>
              <w:rPr>
                <w:color w:val="auto"/>
                <w:sz w:val="21"/>
                <w:szCs w:val="21"/>
              </w:rPr>
            </w:pPr>
            <w:r>
              <w:rPr>
                <w:color w:val="auto"/>
                <w:sz w:val="21"/>
                <w:szCs w:val="21"/>
              </w:rPr>
              <w:t>67</w:t>
            </w:r>
            <w:r>
              <w:rPr>
                <w:color w:val="auto"/>
                <w:sz w:val="21"/>
                <w:szCs w:val="21"/>
              </w:rPr>
              <w:t>～</w:t>
            </w:r>
            <w:r>
              <w:rPr>
                <w:color w:val="auto"/>
                <w:sz w:val="21"/>
                <w:szCs w:val="21"/>
              </w:rPr>
              <w:t>77/15</w:t>
            </w:r>
          </w:p>
        </w:tc>
        <w:tc>
          <w:tcPr>
            <w:tcW w:w="1748" w:type="dxa"/>
            <w:vAlign w:val="center"/>
          </w:tcPr>
          <w:p w:rsidR="00C223F5" w:rsidRDefault="005860D5" w:rsidP="00F66BD1">
            <w:pPr>
              <w:pStyle w:val="affffff7"/>
              <w:rPr>
                <w:color w:val="auto"/>
                <w:sz w:val="21"/>
                <w:szCs w:val="21"/>
              </w:rPr>
            </w:pPr>
            <w:r>
              <w:rPr>
                <w:color w:val="auto"/>
                <w:sz w:val="21"/>
                <w:szCs w:val="21"/>
              </w:rPr>
              <w:t>电锯</w:t>
            </w:r>
          </w:p>
        </w:tc>
        <w:tc>
          <w:tcPr>
            <w:tcW w:w="2704" w:type="dxa"/>
            <w:vAlign w:val="center"/>
          </w:tcPr>
          <w:p w:rsidR="00C223F5" w:rsidRDefault="005860D5" w:rsidP="00F66BD1">
            <w:pPr>
              <w:pStyle w:val="affffff7"/>
              <w:rPr>
                <w:color w:val="auto"/>
                <w:sz w:val="21"/>
                <w:szCs w:val="21"/>
              </w:rPr>
            </w:pPr>
            <w:r>
              <w:rPr>
                <w:color w:val="auto"/>
                <w:sz w:val="21"/>
                <w:szCs w:val="21"/>
              </w:rPr>
              <w:t>103/1</w:t>
            </w:r>
          </w:p>
        </w:tc>
      </w:tr>
      <w:tr w:rsidR="00C223F5">
        <w:trPr>
          <w:trHeight w:val="312"/>
          <w:jc w:val="center"/>
        </w:trPr>
        <w:tc>
          <w:tcPr>
            <w:tcW w:w="1462" w:type="dxa"/>
            <w:vAlign w:val="center"/>
          </w:tcPr>
          <w:p w:rsidR="00C223F5" w:rsidRDefault="005860D5" w:rsidP="00F66BD1">
            <w:pPr>
              <w:pStyle w:val="affffff7"/>
              <w:rPr>
                <w:color w:val="auto"/>
                <w:sz w:val="21"/>
                <w:szCs w:val="21"/>
              </w:rPr>
            </w:pPr>
            <w:r>
              <w:rPr>
                <w:color w:val="auto"/>
                <w:sz w:val="21"/>
                <w:szCs w:val="21"/>
              </w:rPr>
              <w:t>推土机</w:t>
            </w:r>
          </w:p>
        </w:tc>
        <w:tc>
          <w:tcPr>
            <w:tcW w:w="2704" w:type="dxa"/>
            <w:vAlign w:val="center"/>
          </w:tcPr>
          <w:p w:rsidR="00C223F5" w:rsidRDefault="005860D5" w:rsidP="00F66BD1">
            <w:pPr>
              <w:pStyle w:val="affffff7"/>
              <w:rPr>
                <w:color w:val="auto"/>
                <w:sz w:val="21"/>
                <w:szCs w:val="21"/>
              </w:rPr>
            </w:pPr>
            <w:r>
              <w:rPr>
                <w:color w:val="auto"/>
                <w:sz w:val="21"/>
                <w:szCs w:val="21"/>
              </w:rPr>
              <w:t>73</w:t>
            </w:r>
            <w:r>
              <w:rPr>
                <w:color w:val="auto"/>
                <w:sz w:val="21"/>
                <w:szCs w:val="21"/>
              </w:rPr>
              <w:t>～</w:t>
            </w:r>
            <w:r>
              <w:rPr>
                <w:color w:val="auto"/>
                <w:sz w:val="21"/>
                <w:szCs w:val="21"/>
              </w:rPr>
              <w:t>83/15</w:t>
            </w:r>
          </w:p>
        </w:tc>
        <w:tc>
          <w:tcPr>
            <w:tcW w:w="1748" w:type="dxa"/>
            <w:vAlign w:val="center"/>
          </w:tcPr>
          <w:p w:rsidR="00C223F5" w:rsidRDefault="005860D5" w:rsidP="00F66BD1">
            <w:pPr>
              <w:pStyle w:val="affffff7"/>
              <w:rPr>
                <w:color w:val="auto"/>
                <w:sz w:val="21"/>
                <w:szCs w:val="21"/>
              </w:rPr>
            </w:pPr>
            <w:r>
              <w:rPr>
                <w:color w:val="auto"/>
                <w:sz w:val="21"/>
                <w:szCs w:val="21"/>
              </w:rPr>
              <w:t>升降机</w:t>
            </w:r>
          </w:p>
        </w:tc>
        <w:tc>
          <w:tcPr>
            <w:tcW w:w="2704" w:type="dxa"/>
            <w:vAlign w:val="center"/>
          </w:tcPr>
          <w:p w:rsidR="00C223F5" w:rsidRDefault="005860D5" w:rsidP="00F66BD1">
            <w:pPr>
              <w:pStyle w:val="affffff7"/>
              <w:rPr>
                <w:color w:val="auto"/>
                <w:sz w:val="21"/>
                <w:szCs w:val="21"/>
              </w:rPr>
            </w:pPr>
            <w:r>
              <w:rPr>
                <w:color w:val="auto"/>
                <w:sz w:val="21"/>
                <w:szCs w:val="21"/>
              </w:rPr>
              <w:t>78/1</w:t>
            </w:r>
          </w:p>
        </w:tc>
      </w:tr>
      <w:tr w:rsidR="00C223F5">
        <w:trPr>
          <w:trHeight w:val="312"/>
          <w:jc w:val="center"/>
        </w:trPr>
        <w:tc>
          <w:tcPr>
            <w:tcW w:w="1462" w:type="dxa"/>
            <w:vAlign w:val="center"/>
          </w:tcPr>
          <w:p w:rsidR="00C223F5" w:rsidRDefault="005860D5" w:rsidP="00F66BD1">
            <w:pPr>
              <w:pStyle w:val="affffff7"/>
              <w:rPr>
                <w:color w:val="auto"/>
                <w:sz w:val="21"/>
                <w:szCs w:val="21"/>
              </w:rPr>
            </w:pPr>
            <w:r>
              <w:rPr>
                <w:color w:val="auto"/>
                <w:sz w:val="21"/>
                <w:szCs w:val="21"/>
              </w:rPr>
              <w:t>打桩机</w:t>
            </w:r>
          </w:p>
        </w:tc>
        <w:tc>
          <w:tcPr>
            <w:tcW w:w="2704" w:type="dxa"/>
            <w:vAlign w:val="center"/>
          </w:tcPr>
          <w:p w:rsidR="00C223F5" w:rsidRDefault="005860D5" w:rsidP="00F66BD1">
            <w:pPr>
              <w:pStyle w:val="affffff7"/>
              <w:rPr>
                <w:color w:val="auto"/>
                <w:sz w:val="21"/>
                <w:szCs w:val="21"/>
              </w:rPr>
            </w:pPr>
            <w:r>
              <w:rPr>
                <w:color w:val="auto"/>
                <w:sz w:val="21"/>
                <w:szCs w:val="21"/>
              </w:rPr>
              <w:t>85</w:t>
            </w:r>
            <w:r>
              <w:rPr>
                <w:color w:val="auto"/>
                <w:sz w:val="21"/>
                <w:szCs w:val="21"/>
              </w:rPr>
              <w:t>～</w:t>
            </w:r>
            <w:r>
              <w:rPr>
                <w:color w:val="auto"/>
                <w:sz w:val="21"/>
                <w:szCs w:val="21"/>
              </w:rPr>
              <w:t>105/15</w:t>
            </w:r>
          </w:p>
        </w:tc>
        <w:tc>
          <w:tcPr>
            <w:tcW w:w="1748" w:type="dxa"/>
            <w:vAlign w:val="center"/>
          </w:tcPr>
          <w:p w:rsidR="00C223F5" w:rsidRDefault="005860D5" w:rsidP="00F66BD1">
            <w:pPr>
              <w:pStyle w:val="affffff7"/>
              <w:rPr>
                <w:color w:val="auto"/>
                <w:sz w:val="21"/>
                <w:szCs w:val="21"/>
              </w:rPr>
            </w:pPr>
            <w:r>
              <w:rPr>
                <w:color w:val="auto"/>
                <w:sz w:val="21"/>
                <w:szCs w:val="21"/>
              </w:rPr>
              <w:t>扇风机</w:t>
            </w:r>
          </w:p>
        </w:tc>
        <w:tc>
          <w:tcPr>
            <w:tcW w:w="2704" w:type="dxa"/>
            <w:vAlign w:val="center"/>
          </w:tcPr>
          <w:p w:rsidR="00C223F5" w:rsidRDefault="005860D5" w:rsidP="00F66BD1">
            <w:pPr>
              <w:pStyle w:val="affffff7"/>
              <w:rPr>
                <w:color w:val="auto"/>
                <w:sz w:val="21"/>
                <w:szCs w:val="21"/>
              </w:rPr>
            </w:pPr>
            <w:r>
              <w:rPr>
                <w:color w:val="auto"/>
                <w:sz w:val="21"/>
                <w:szCs w:val="21"/>
              </w:rPr>
              <w:t>92/1</w:t>
            </w:r>
          </w:p>
        </w:tc>
      </w:tr>
      <w:tr w:rsidR="00C223F5">
        <w:trPr>
          <w:trHeight w:val="312"/>
          <w:jc w:val="center"/>
        </w:trPr>
        <w:tc>
          <w:tcPr>
            <w:tcW w:w="1462" w:type="dxa"/>
            <w:vAlign w:val="center"/>
          </w:tcPr>
          <w:p w:rsidR="00C223F5" w:rsidRDefault="005860D5">
            <w:pPr>
              <w:pStyle w:val="affffff7"/>
              <w:rPr>
                <w:color w:val="auto"/>
                <w:sz w:val="21"/>
                <w:szCs w:val="21"/>
              </w:rPr>
            </w:pPr>
            <w:r>
              <w:rPr>
                <w:color w:val="auto"/>
                <w:sz w:val="21"/>
                <w:szCs w:val="21"/>
              </w:rPr>
              <w:t>混凝土搅拌机</w:t>
            </w:r>
          </w:p>
        </w:tc>
        <w:tc>
          <w:tcPr>
            <w:tcW w:w="2704" w:type="dxa"/>
            <w:vAlign w:val="center"/>
          </w:tcPr>
          <w:p w:rsidR="00C223F5" w:rsidRDefault="005860D5">
            <w:pPr>
              <w:pStyle w:val="affffff7"/>
              <w:rPr>
                <w:color w:val="auto"/>
                <w:sz w:val="21"/>
                <w:szCs w:val="21"/>
              </w:rPr>
            </w:pPr>
            <w:r>
              <w:rPr>
                <w:rFonts w:hint="eastAsia"/>
                <w:color w:val="auto"/>
                <w:sz w:val="21"/>
                <w:szCs w:val="21"/>
              </w:rPr>
              <w:t>89</w:t>
            </w:r>
            <w:r>
              <w:rPr>
                <w:color w:val="auto"/>
                <w:sz w:val="21"/>
                <w:szCs w:val="21"/>
              </w:rPr>
              <w:t>/1</w:t>
            </w:r>
          </w:p>
        </w:tc>
        <w:tc>
          <w:tcPr>
            <w:tcW w:w="1748" w:type="dxa"/>
            <w:vAlign w:val="center"/>
          </w:tcPr>
          <w:p w:rsidR="00C223F5" w:rsidRDefault="005860D5">
            <w:pPr>
              <w:pStyle w:val="affffff7"/>
              <w:rPr>
                <w:color w:val="auto"/>
                <w:sz w:val="21"/>
                <w:szCs w:val="21"/>
              </w:rPr>
            </w:pPr>
            <w:r>
              <w:rPr>
                <w:color w:val="auto"/>
                <w:sz w:val="21"/>
                <w:szCs w:val="21"/>
              </w:rPr>
              <w:t>重型卡车</w:t>
            </w:r>
            <w:r>
              <w:rPr>
                <w:color w:val="auto"/>
                <w:sz w:val="21"/>
                <w:szCs w:val="21"/>
              </w:rPr>
              <w:t>/</w:t>
            </w:r>
            <w:r>
              <w:rPr>
                <w:color w:val="auto"/>
                <w:sz w:val="21"/>
                <w:szCs w:val="21"/>
              </w:rPr>
              <w:t>拖拉机</w:t>
            </w:r>
          </w:p>
        </w:tc>
        <w:tc>
          <w:tcPr>
            <w:tcW w:w="2704" w:type="dxa"/>
            <w:vAlign w:val="center"/>
          </w:tcPr>
          <w:p w:rsidR="00C223F5" w:rsidRDefault="005860D5">
            <w:pPr>
              <w:pStyle w:val="affffff7"/>
              <w:rPr>
                <w:color w:val="auto"/>
                <w:sz w:val="21"/>
                <w:szCs w:val="21"/>
              </w:rPr>
            </w:pPr>
            <w:r>
              <w:rPr>
                <w:color w:val="auto"/>
                <w:sz w:val="21"/>
                <w:szCs w:val="21"/>
              </w:rPr>
              <w:t>80~85/7.5</w:t>
            </w:r>
          </w:p>
        </w:tc>
      </w:tr>
    </w:tbl>
    <w:bookmarkEnd w:id="238"/>
    <w:p w:rsidR="00C223F5" w:rsidRDefault="005860D5">
      <w:pPr>
        <w:pStyle w:val="4"/>
        <w:spacing w:before="0" w:after="0" w:line="360" w:lineRule="auto"/>
        <w:ind w:firstLineChars="100" w:firstLine="240"/>
        <w:rPr>
          <w:szCs w:val="24"/>
        </w:rPr>
      </w:pPr>
      <w:r>
        <w:rPr>
          <w:rFonts w:hint="eastAsia"/>
          <w:szCs w:val="24"/>
        </w:rPr>
        <w:t>2.</w:t>
      </w:r>
      <w:r>
        <w:rPr>
          <w:szCs w:val="24"/>
        </w:rPr>
        <w:t>3.2.2</w:t>
      </w:r>
      <w:r>
        <w:rPr>
          <w:szCs w:val="24"/>
        </w:rPr>
        <w:t>工程营运期污染源与污染物</w:t>
      </w:r>
    </w:p>
    <w:p w:rsidR="00C223F5" w:rsidRDefault="005860D5" w:rsidP="00C006A7">
      <w:pPr>
        <w:spacing w:line="360" w:lineRule="auto"/>
        <w:ind w:firstLineChars="200" w:firstLine="480"/>
        <w:rPr>
          <w:sz w:val="24"/>
        </w:rPr>
      </w:pPr>
      <w:r>
        <w:rPr>
          <w:sz w:val="24"/>
        </w:rPr>
        <w:t>（</w:t>
      </w:r>
      <w:r>
        <w:rPr>
          <w:rFonts w:hint="eastAsia"/>
          <w:sz w:val="24"/>
        </w:rPr>
        <w:t>一</w:t>
      </w:r>
      <w:r>
        <w:rPr>
          <w:sz w:val="24"/>
        </w:rPr>
        <w:t>）生产工艺排污环节分析</w:t>
      </w:r>
    </w:p>
    <w:p w:rsidR="00C223F5" w:rsidRDefault="005860D5" w:rsidP="00F66BD1">
      <w:pPr>
        <w:spacing w:line="360" w:lineRule="auto"/>
        <w:ind w:firstLineChars="200" w:firstLine="480"/>
        <w:rPr>
          <w:sz w:val="24"/>
        </w:rPr>
      </w:pPr>
      <w:r>
        <w:rPr>
          <w:sz w:val="24"/>
        </w:rPr>
        <w:t>煤矿运营期地表变形和矿井水疏排主要产生环节为井下煤炭开采，是煤矿开采对生态环境影响主要因素；大气污染物主要来自于仓储设施及选煤厂；水污染物主要产生于煤炭开采过程中排水以及地面生产生活产生的污水；噪声污染主要产生于通风机、空压机等环节；固体废弃物主要来源于煤炭开采产生的掘进矸石、地面生产生活产生的生活垃圾、</w:t>
      </w:r>
      <w:r>
        <w:rPr>
          <w:rFonts w:hint="eastAsia"/>
          <w:sz w:val="24"/>
        </w:rPr>
        <w:t>水处理站污泥等</w:t>
      </w:r>
      <w:r>
        <w:rPr>
          <w:sz w:val="24"/>
        </w:rPr>
        <w:t>。</w:t>
      </w:r>
      <w:r>
        <w:rPr>
          <w:rFonts w:hint="eastAsia"/>
          <w:sz w:val="24"/>
        </w:rPr>
        <w:t>营运期</w:t>
      </w:r>
      <w:r>
        <w:rPr>
          <w:sz w:val="24"/>
        </w:rPr>
        <w:t>生产工艺流程及排污环节分析见图</w:t>
      </w:r>
      <w:r>
        <w:rPr>
          <w:rFonts w:hint="eastAsia"/>
          <w:sz w:val="24"/>
        </w:rPr>
        <w:t>2.3.2-2</w:t>
      </w:r>
      <w:r>
        <w:rPr>
          <w:sz w:val="24"/>
        </w:rPr>
        <w:t>。</w:t>
      </w:r>
    </w:p>
    <w:p w:rsidR="00C223F5" w:rsidRDefault="005860D5" w:rsidP="00C006A7">
      <w:pPr>
        <w:spacing w:line="360" w:lineRule="auto"/>
        <w:ind w:firstLineChars="200" w:firstLine="480"/>
        <w:rPr>
          <w:sz w:val="24"/>
        </w:rPr>
      </w:pPr>
      <w:r>
        <w:rPr>
          <w:sz w:val="24"/>
        </w:rPr>
        <w:t>（</w:t>
      </w:r>
      <w:r>
        <w:rPr>
          <w:rFonts w:hint="eastAsia"/>
          <w:sz w:val="24"/>
        </w:rPr>
        <w:t>二</w:t>
      </w:r>
      <w:r>
        <w:rPr>
          <w:sz w:val="24"/>
        </w:rPr>
        <w:t>）营运期主要污染源、污染物及拟采用的防治措施</w:t>
      </w:r>
    </w:p>
    <w:p w:rsidR="00C223F5" w:rsidRDefault="005860D5" w:rsidP="00F66BD1">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水污染源及设计拟采用的治理措施</w:t>
      </w:r>
    </w:p>
    <w:p w:rsidR="00C223F5" w:rsidRDefault="005860D5" w:rsidP="00F66BD1">
      <w:pPr>
        <w:pStyle w:val="BG"/>
        <w:ind w:firstLine="480"/>
      </w:pPr>
      <w:r>
        <w:rPr>
          <w:rFonts w:hint="eastAsia"/>
          <w:szCs w:val="22"/>
        </w:rPr>
        <w:t>地面生产、</w:t>
      </w:r>
      <w:r>
        <w:rPr>
          <w:szCs w:val="22"/>
        </w:rPr>
        <w:t>生活污水主要来自浴室、洗衣房、食堂、单身宿舍等设施，</w:t>
      </w:r>
      <w:r>
        <w:rPr>
          <w:rFonts w:hint="eastAsia"/>
          <w:szCs w:val="22"/>
        </w:rPr>
        <w:t>采暖期生活污水</w:t>
      </w:r>
      <w:r>
        <w:rPr>
          <w:szCs w:val="22"/>
        </w:rPr>
        <w:t>产生量为</w:t>
      </w:r>
      <w:r>
        <w:rPr>
          <w:rFonts w:hint="eastAsia"/>
          <w:szCs w:val="22"/>
        </w:rPr>
        <w:t>350.8</w:t>
      </w:r>
      <w:r>
        <w:rPr>
          <w:szCs w:val="22"/>
        </w:rPr>
        <w:t>m</w:t>
      </w:r>
      <w:r>
        <w:rPr>
          <w:szCs w:val="22"/>
          <w:vertAlign w:val="superscript"/>
        </w:rPr>
        <w:t>3</w:t>
      </w:r>
      <w:r>
        <w:rPr>
          <w:szCs w:val="22"/>
        </w:rPr>
        <w:t>/d</w:t>
      </w:r>
      <w:r>
        <w:rPr>
          <w:szCs w:val="22"/>
        </w:rPr>
        <w:t>，</w:t>
      </w:r>
      <w:r>
        <w:rPr>
          <w:rFonts w:hint="eastAsia"/>
          <w:szCs w:val="22"/>
        </w:rPr>
        <w:t>非采暖期生活污水</w:t>
      </w:r>
      <w:r>
        <w:rPr>
          <w:szCs w:val="22"/>
        </w:rPr>
        <w:t>产生量为</w:t>
      </w:r>
      <w:r>
        <w:rPr>
          <w:rFonts w:hint="eastAsia"/>
          <w:szCs w:val="22"/>
        </w:rPr>
        <w:t>315.7</w:t>
      </w:r>
      <w:r>
        <w:rPr>
          <w:szCs w:val="22"/>
        </w:rPr>
        <w:t>m</w:t>
      </w:r>
      <w:r>
        <w:rPr>
          <w:szCs w:val="22"/>
          <w:vertAlign w:val="superscript"/>
        </w:rPr>
        <w:t>3</w:t>
      </w:r>
      <w:r>
        <w:rPr>
          <w:szCs w:val="22"/>
        </w:rPr>
        <w:t>/d</w:t>
      </w:r>
      <w:r>
        <w:rPr>
          <w:szCs w:val="22"/>
        </w:rPr>
        <w:t>，</w:t>
      </w:r>
      <w:r>
        <w:rPr>
          <w:rFonts w:hAnsi="宋体"/>
        </w:rPr>
        <w:t>采用</w:t>
      </w:r>
      <w:r>
        <w:t>A</w:t>
      </w:r>
      <w:r>
        <w:rPr>
          <w:vertAlign w:val="superscript"/>
        </w:rPr>
        <w:t>2</w:t>
      </w:r>
      <w:r>
        <w:t>/O</w:t>
      </w:r>
      <w:r>
        <w:rPr>
          <w:rFonts w:hAnsi="宋体"/>
        </w:rPr>
        <w:t>二级生化</w:t>
      </w:r>
      <w:r>
        <w:t>+</w:t>
      </w:r>
      <w:r>
        <w:rPr>
          <w:rFonts w:hAnsi="宋体"/>
        </w:rPr>
        <w:t>深度处理工艺</w:t>
      </w:r>
      <w:r>
        <w:t>，</w:t>
      </w:r>
      <w:r>
        <w:rPr>
          <w:rFonts w:hint="eastAsia"/>
        </w:rPr>
        <w:t>全部</w:t>
      </w:r>
      <w:r>
        <w:t>回用于选煤厂补充水、绿化洒水及地面降尘洒水等，不外排。</w:t>
      </w:r>
    </w:p>
    <w:p w:rsidR="00C223F5" w:rsidRPr="00925B84" w:rsidRDefault="005860D5" w:rsidP="00F66BD1">
      <w:pPr>
        <w:pStyle w:val="aff1"/>
        <w:tabs>
          <w:tab w:val="clear" w:pos="5781"/>
        </w:tabs>
        <w:spacing w:line="360" w:lineRule="auto"/>
        <w:ind w:left="0" w:firstLineChars="200" w:firstLine="480"/>
      </w:pPr>
      <w:r>
        <w:rPr>
          <w:rFonts w:hint="eastAsia"/>
        </w:rPr>
        <w:t>天云煤矿整合</w:t>
      </w:r>
      <w:r>
        <w:rPr>
          <w:rFonts w:eastAsiaTheme="minorEastAsia" w:hAnsiTheme="minorEastAsia" w:hint="eastAsia"/>
        </w:rPr>
        <w:t>工程</w:t>
      </w:r>
      <w:r>
        <w:rPr>
          <w:rFonts w:hint="eastAsia"/>
        </w:rPr>
        <w:t>井下</w:t>
      </w:r>
      <w:r>
        <w:rPr>
          <w:rFonts w:eastAsiaTheme="minorEastAsia" w:hAnsiTheme="minorEastAsia"/>
        </w:rPr>
        <w:t>正常涌水量为</w:t>
      </w:r>
      <w:r>
        <w:rPr>
          <w:rFonts w:eastAsiaTheme="minorEastAsia" w:hint="eastAsia"/>
        </w:rPr>
        <w:t>8</w:t>
      </w:r>
      <w:r>
        <w:rPr>
          <w:rFonts w:eastAsiaTheme="minorEastAsia"/>
        </w:rPr>
        <w:t>0m</w:t>
      </w:r>
      <w:r>
        <w:rPr>
          <w:rFonts w:eastAsiaTheme="minorEastAsia"/>
          <w:vertAlign w:val="superscript"/>
        </w:rPr>
        <w:t>3</w:t>
      </w:r>
      <w:r>
        <w:rPr>
          <w:rFonts w:eastAsiaTheme="minorEastAsia"/>
        </w:rPr>
        <w:t>/h</w:t>
      </w:r>
      <w:r>
        <w:rPr>
          <w:rFonts w:eastAsiaTheme="minorEastAsia" w:hAnsiTheme="minorEastAsia"/>
        </w:rPr>
        <w:t>，最大涌水量为</w:t>
      </w:r>
      <w:r>
        <w:rPr>
          <w:rFonts w:eastAsiaTheme="minorEastAsia" w:hint="eastAsia"/>
        </w:rPr>
        <w:t>10</w:t>
      </w:r>
      <w:r>
        <w:rPr>
          <w:rFonts w:eastAsiaTheme="minorEastAsia"/>
        </w:rPr>
        <w:t>0m</w:t>
      </w:r>
      <w:r>
        <w:rPr>
          <w:rFonts w:eastAsiaTheme="minorEastAsia"/>
          <w:vertAlign w:val="superscript"/>
        </w:rPr>
        <w:t>3</w:t>
      </w:r>
      <w:r>
        <w:rPr>
          <w:rFonts w:eastAsiaTheme="minorEastAsia"/>
        </w:rPr>
        <w:t>/h</w:t>
      </w:r>
      <w:r>
        <w:rPr>
          <w:rFonts w:eastAsiaTheme="minorEastAsia" w:hAnsiTheme="minorEastAsia"/>
        </w:rPr>
        <w:t>（含黄泥灌浆析出水）</w:t>
      </w:r>
      <w:r>
        <w:rPr>
          <w:rFonts w:eastAsiaTheme="minorEastAsia" w:hAnsiTheme="minorEastAsia" w:hint="eastAsia"/>
        </w:rPr>
        <w:t>，</w:t>
      </w:r>
      <w:r>
        <w:rPr>
          <w:rFonts w:hint="eastAsia"/>
        </w:rPr>
        <w:t>矿井水</w:t>
      </w:r>
      <w:r>
        <w:t>采用</w:t>
      </w:r>
      <w:r>
        <w:rPr>
          <w:rFonts w:eastAsiaTheme="minorEastAsia" w:hAnsiTheme="minorEastAsia"/>
        </w:rPr>
        <w:t>混凝、沉淀、</w:t>
      </w:r>
      <w:r>
        <w:rPr>
          <w:rFonts w:eastAsiaTheme="minorEastAsia" w:hAnsiTheme="minorEastAsia" w:hint="eastAsia"/>
        </w:rPr>
        <w:t>气浮、</w:t>
      </w:r>
      <w:r>
        <w:rPr>
          <w:rFonts w:eastAsiaTheme="minorEastAsia" w:hAnsiTheme="minorEastAsia"/>
        </w:rPr>
        <w:t>过滤</w:t>
      </w:r>
      <w:r>
        <w:rPr>
          <w:rFonts w:eastAsiaTheme="minorEastAsia" w:hAnsiTheme="minorEastAsia" w:hint="eastAsia"/>
        </w:rPr>
        <w:t>消毒</w:t>
      </w:r>
      <w:r>
        <w:rPr>
          <w:rFonts w:eastAsiaTheme="minorEastAsia" w:hAnsiTheme="minorEastAsia"/>
        </w:rPr>
        <w:t>处理工艺</w:t>
      </w:r>
      <w:r>
        <w:rPr>
          <w:rFonts w:eastAsiaTheme="minorEastAsia" w:hAnsiTheme="minorEastAsia" w:hint="eastAsia"/>
        </w:rPr>
        <w:t>，处理后</w:t>
      </w:r>
      <w:r>
        <w:rPr>
          <w:rFonts w:hint="eastAsia"/>
          <w:szCs w:val="24"/>
        </w:rPr>
        <w:t>部分回用于井下洒水、黄泥灌浆</w:t>
      </w:r>
      <w:r w:rsidRPr="00925B84">
        <w:rPr>
          <w:rFonts w:hint="eastAsia"/>
          <w:szCs w:val="24"/>
        </w:rPr>
        <w:t>补充水及</w:t>
      </w:r>
      <w:r w:rsidRPr="00C807E8">
        <w:rPr>
          <w:rFonts w:hint="eastAsia"/>
          <w:color w:val="FF0000"/>
          <w:szCs w:val="24"/>
        </w:rPr>
        <w:t>地面生产用水</w:t>
      </w:r>
      <w:r w:rsidRPr="00925B84">
        <w:rPr>
          <w:rFonts w:hint="eastAsia"/>
          <w:szCs w:val="24"/>
        </w:rPr>
        <w:t>，其余达标排至蚂蚁河</w:t>
      </w:r>
      <w:r w:rsidRPr="00925B84">
        <w:rPr>
          <w:rFonts w:eastAsiaTheme="minorEastAsia" w:hAnsiTheme="minorEastAsia" w:hint="eastAsia"/>
        </w:rPr>
        <w:t>。</w:t>
      </w:r>
    </w:p>
    <w:p w:rsidR="00C223F5" w:rsidRPr="00925B84" w:rsidRDefault="005860D5" w:rsidP="00F66BD1">
      <w:pPr>
        <w:pStyle w:val="BG"/>
        <w:ind w:firstLine="480"/>
      </w:pPr>
      <w:r w:rsidRPr="00925B84">
        <w:t>选煤厂煤泥水主要污染物为</w:t>
      </w:r>
      <w:r w:rsidRPr="00925B84">
        <w:t>SS</w:t>
      </w:r>
      <w:r w:rsidRPr="00925B84">
        <w:t>，经浓缩</w:t>
      </w:r>
      <w:r w:rsidRPr="00925B84">
        <w:rPr>
          <w:rFonts w:hint="eastAsia"/>
        </w:rPr>
        <w:t>压滤</w:t>
      </w:r>
      <w:r w:rsidRPr="00925B84">
        <w:t>后回收煤泥，脱水后煤泥外销，滤液返回系统作为循环水复用，不外排。</w:t>
      </w:r>
    </w:p>
    <w:p w:rsidR="00C223F5" w:rsidRPr="00925B84" w:rsidRDefault="005860D5" w:rsidP="00F66BD1">
      <w:pPr>
        <w:pStyle w:val="BG"/>
        <w:ind w:firstLine="480"/>
        <w:rPr>
          <w:szCs w:val="22"/>
        </w:rPr>
      </w:pPr>
      <w:r w:rsidRPr="00925B84">
        <w:t>矿井水量平衡见图</w:t>
      </w:r>
      <w:r w:rsidRPr="00925B84">
        <w:rPr>
          <w:rFonts w:hint="eastAsia"/>
        </w:rPr>
        <w:t>2.3.2</w:t>
      </w:r>
      <w:r w:rsidRPr="00925B84">
        <w:t>-</w:t>
      </w:r>
      <w:r w:rsidRPr="00925B84">
        <w:rPr>
          <w:rFonts w:hint="eastAsia"/>
        </w:rPr>
        <w:t>3~2</w:t>
      </w:r>
      <w:r w:rsidRPr="00925B84">
        <w:t>.3.2-</w:t>
      </w:r>
      <w:r w:rsidRPr="00925B84">
        <w:rPr>
          <w:rFonts w:hint="eastAsia"/>
        </w:rPr>
        <w:t>4</w:t>
      </w:r>
      <w:r w:rsidRPr="00925B84">
        <w:rPr>
          <w:rFonts w:hint="eastAsia"/>
        </w:rPr>
        <w:t>，结合</w:t>
      </w:r>
      <w:r w:rsidRPr="00925B84">
        <w:rPr>
          <w:rFonts w:hint="eastAsia"/>
          <w:szCs w:val="22"/>
        </w:rPr>
        <w:t>原天云</w:t>
      </w:r>
      <w:r w:rsidRPr="00925B84">
        <w:rPr>
          <w:rFonts w:hint="eastAsia"/>
        </w:rPr>
        <w:t>煤矿竣工环保验收报告及横山区魏墙矿井竣工</w:t>
      </w:r>
      <w:r w:rsidRPr="00925B84">
        <w:t>环境保护验收调查报告</w:t>
      </w:r>
      <w:r w:rsidRPr="00925B84">
        <w:rPr>
          <w:rFonts w:hint="eastAsia"/>
        </w:rPr>
        <w:t>相关资料中</w:t>
      </w:r>
      <w:r w:rsidRPr="00925B84">
        <w:t>矿井水</w:t>
      </w:r>
      <w:r w:rsidRPr="00925B84">
        <w:rPr>
          <w:rFonts w:hint="eastAsia"/>
        </w:rPr>
        <w:t>及生活污水</w:t>
      </w:r>
      <w:r w:rsidRPr="00925B84">
        <w:t>监测水质</w:t>
      </w:r>
      <w:r w:rsidRPr="00925B84">
        <w:rPr>
          <w:rFonts w:hint="eastAsia"/>
        </w:rPr>
        <w:t>，核算</w:t>
      </w:r>
      <w:r w:rsidRPr="00925B84">
        <w:t>本项目</w:t>
      </w:r>
      <w:r w:rsidRPr="00925B84">
        <w:rPr>
          <w:szCs w:val="22"/>
        </w:rPr>
        <w:t>水污染源物产排情况见表</w:t>
      </w:r>
      <w:r w:rsidRPr="00925B84">
        <w:rPr>
          <w:rFonts w:hint="eastAsia"/>
          <w:szCs w:val="22"/>
        </w:rPr>
        <w:t>2.3.2-2</w:t>
      </w:r>
      <w:r w:rsidRPr="00925B84">
        <w:rPr>
          <w:szCs w:val="22"/>
        </w:rPr>
        <w:t>。</w:t>
      </w:r>
    </w:p>
    <w:p w:rsidR="00C223F5" w:rsidRDefault="00C223F5" w:rsidP="00F66BD1">
      <w:pPr>
        <w:jc w:val="center"/>
        <w:rPr>
          <w:b/>
          <w:color w:val="FF0000"/>
          <w:sz w:val="24"/>
        </w:rPr>
      </w:pPr>
    </w:p>
    <w:p w:rsidR="00C223F5" w:rsidRDefault="003761EF" w:rsidP="00F66BD1">
      <w:pPr>
        <w:jc w:val="center"/>
        <w:rPr>
          <w:b/>
          <w:color w:val="FF0000"/>
          <w:sz w:val="24"/>
        </w:rPr>
      </w:pPr>
      <w:r>
        <w:rPr>
          <w:b/>
          <w:noProof/>
          <w:color w:val="FF0000"/>
          <w:sz w:val="24"/>
        </w:rPr>
        <w:pict>
          <v:group id="_x0000_s3074" style="position:absolute;left:0;text-align:left;margin-left:-29.3pt;margin-top:8.45pt;width:494pt;height:508.35pt;z-index:252251136" coordorigin="1115,1921" coordsize="9880,10167">
            <v:line id="_x0000_s1584" style="position:absolute" from="8415,2284" to="8415,5969">
              <o:callout v:ext="edit" on="t" lengthspecified="t"/>
            </v:line>
            <v:group id="_x0000_s3073" style="position:absolute;left:1115;top:1921;width:9880;height:10167" coordorigin="1130,1921" coordsize="9880,10167">
              <v:line id="_x0000_s1526" style="position:absolute;flip:y" from="5254,6560" to="5254,10015"/>
              <v:group id="_x0000_s3072" style="position:absolute;left:1130;top:1921;width:9880;height:10167" coordorigin="1130,1936" coordsize="9880,10167">
                <v:line id="_x0000_s1525" style="position:absolute" from="5258,6543" to="9567,6543"/>
                <v:group id="_x0000_s2047" style="position:absolute;left:1130;top:1936;width:9880;height:10167" coordorigin="1130,1906" coordsize="9880,10167">
                  <v:group id="_x0000_s1491" style="position:absolute;left:5561;top:6544;width:5449;height:2800" coordorigin="5527,6463" coordsize="5449,2800">
                    <v:shape id="_x0000_s1492" type="#_x0000_t202" style="position:absolute;left:5527;top:6834;width:735;height:528;v-text-anchor:middle" filled="f" strokecolor="white">
                      <v:stroke dashstyle="longDashDotDot" startarrowlength="long" endarrowlength="long"/>
                      <v:textbox style="mso-next-textbox:#_x0000_s1492" inset="0,,0">
                        <w:txbxContent>
                          <w:p w:rsidR="00BB1CC7" w:rsidRPr="00070A86" w:rsidRDefault="00BB1CC7" w:rsidP="005F7BDD">
                            <w:pPr>
                              <w:rPr>
                                <w:b/>
                              </w:rPr>
                            </w:pPr>
                            <w:r>
                              <w:rPr>
                                <w:rFonts w:hint="eastAsia"/>
                                <w:b/>
                              </w:rPr>
                              <w:t>229.5</w:t>
                            </w:r>
                          </w:p>
                          <w:p w:rsidR="00BB1CC7" w:rsidRPr="00070A86" w:rsidRDefault="00BB1CC7" w:rsidP="005F7BDD"/>
                        </w:txbxContent>
                      </v:textbox>
                    </v:shape>
                    <v:line id="_x0000_s1493" style="position:absolute" from="6171,6463" to="6171,7854">
                      <v:stroke endarrow="classic" endarrowlength="long"/>
                    </v:line>
                    <v:group id="_x0000_s1494" style="position:absolute;left:6074;top:6502;width:4902;height:2761" coordorigin="6074,6502" coordsize="4902,2761">
                      <v:shape id="_x0000_s1495" type="#_x0000_t202" style="position:absolute;left:6201;top:6502;width:1696;height:599" stroked="f">
                        <v:textbox style="mso-next-textbox:#_x0000_s1495">
                          <w:txbxContent>
                            <w:p w:rsidR="00BB1CC7" w:rsidRPr="00070A86" w:rsidRDefault="00BB1CC7" w:rsidP="005F7BDD">
                              <w:r w:rsidRPr="00BB70AE">
                                <w:rPr>
                                  <w:rFonts w:hAnsi="宋体"/>
                                </w:rPr>
                                <w:t>原煤带入</w:t>
                              </w:r>
                              <w:r>
                                <w:rPr>
                                  <w:rFonts w:hint="eastAsia"/>
                                  <w:b/>
                                </w:rPr>
                                <w:t>119.6</w:t>
                              </w:r>
                            </w:p>
                          </w:txbxContent>
                        </v:textbox>
                      </v:shape>
                      <v:line id="_x0000_s1496" style="position:absolute" from="6578,6972" to="6578,7795">
                        <v:stroke dashstyle="longDashDotDot" endarrow="classic" endarrowlength="long"/>
                      </v:line>
                      <v:shape id="_x0000_s1497" type="#_x0000_t202" style="position:absolute;left:6074;top:7854;width:1584;height:408">
                        <v:textbox style="mso-next-textbox:#_x0000_s1497" inset="1mm,.5mm,1mm,.5mm">
                          <w:txbxContent>
                            <w:p w:rsidR="00BB1CC7" w:rsidRPr="00070A86" w:rsidRDefault="00BB1CC7" w:rsidP="005F7BDD">
                              <w:pPr>
                                <w:jc w:val="center"/>
                                <w:rPr>
                                  <w:szCs w:val="21"/>
                                </w:rPr>
                              </w:pPr>
                              <w:r>
                                <w:rPr>
                                  <w:rFonts w:hint="eastAsia"/>
                                  <w:szCs w:val="21"/>
                                </w:rPr>
                                <w:t>选煤厂补充水</w:t>
                              </w:r>
                            </w:p>
                          </w:txbxContent>
                        </v:textbox>
                      </v:shape>
                      <v:group id="_x0000_s1498" style="position:absolute;left:6700;top:6798;width:3225;height:1035" coordorigin="6242,11365" coordsize="3225,829">
                        <v:shape id="_x0000_s1499" type="#_x0000_t202" style="position:absolute;left:7783;top:11365;width:1684;height:361">
                          <v:textbox style="mso-next-textbox:#_x0000_s1499" inset=".1mm,.5mm,.1mm,.5mm">
                            <w:txbxContent>
                              <w:p w:rsidR="00BB1CC7" w:rsidRPr="00070A86" w:rsidRDefault="00BB1CC7" w:rsidP="005F7BDD">
                                <w:pPr>
                                  <w:jc w:val="center"/>
                                </w:pPr>
                                <w:r w:rsidRPr="00BB70AE">
                                  <w:rPr>
                                    <w:rFonts w:hAnsi="宋体"/>
                                  </w:rPr>
                                  <w:t>煤泥水处理系统</w:t>
                                </w:r>
                              </w:p>
                            </w:txbxContent>
                          </v:textbox>
                        </v:shape>
                        <v:group id="_x0000_s1500" style="position:absolute;left:6242;top:11504;width:1632;height:690" coordorigin="6242,11504" coordsize="1632,690">
                          <v:shape id="_x0000_s1501" type="#_x0000_t202" style="position:absolute;left:6885;top:11822;width:976;height:372" filled="f" stroked="f">
                            <v:textbox style="mso-next-textbox:#_x0000_s1501" inset=",0,,0">
                              <w:txbxContent>
                                <w:p w:rsidR="00BB1CC7" w:rsidRPr="00070A86" w:rsidRDefault="00BB1CC7" w:rsidP="005F7BDD">
                                  <w:pPr>
                                    <w:rPr>
                                      <w:b/>
                                    </w:rPr>
                                  </w:pPr>
                                  <w:r>
                                    <w:rPr>
                                      <w:rFonts w:hint="eastAsia"/>
                                      <w:b/>
                                    </w:rPr>
                                    <w:t>4990.5</w:t>
                                  </w:r>
                                </w:p>
                              </w:txbxContent>
                            </v:textbox>
                          </v:shape>
                          <v:group id="_x0000_s1502" style="position:absolute;left:6242;top:11504;width:1632;height:340" coordorigin="6242,11504" coordsize="1632,340">
                            <v:shape id="_x0000_s1503" type="#_x0000_t202" style="position:absolute;left:6307;top:11504;width:976;height:255" filled="f" stroked="f">
                              <v:textbox style="mso-next-textbox:#_x0000_s1503" inset=",0,,0">
                                <w:txbxContent>
                                  <w:p w:rsidR="00BB1CC7" w:rsidRPr="00070A86" w:rsidRDefault="00BB1CC7" w:rsidP="005F7BDD">
                                    <w:pPr>
                                      <w:rPr>
                                        <w:b/>
                                      </w:rPr>
                                    </w:pPr>
                                    <w:r>
                                      <w:rPr>
                                        <w:rFonts w:hint="eastAsia"/>
                                        <w:b/>
                                      </w:rPr>
                                      <w:t>4990.5</w:t>
                                    </w:r>
                                  </w:p>
                                </w:txbxContent>
                              </v:textbox>
                            </v:shape>
                            <v:line id="_x0000_s1504" style="position:absolute;rotation:-1875015fd" from="6242,11744" to="7874,11744">
                              <v:stroke dashstyle="longDashDotDot" endarrow="classic" endarrowlength="long"/>
                            </v:line>
                            <v:line id="_x0000_s1505" style="position:absolute;rotation:-1875015fd" from="6473,11822" to="7853,11844">
                              <v:stroke dashstyle="longDashDotDot" startarrow="classic" startarrowlength="long"/>
                            </v:line>
                          </v:group>
                        </v:group>
                      </v:group>
                      <v:group id="_x0000_s1506" style="position:absolute;left:7653;top:7297;width:3323;height:1966" coordorigin="7653,7297" coordsize="3323,1966">
                        <v:line id="_x0000_s1507" style="position:absolute;flip:y" from="7653,8071" to="8134,8071">
                          <v:stroke dashstyle="longDashDotDot" endarrow="classic" endarrowlength="long"/>
                        </v:line>
                        <v:group id="_x0000_s1508" style="position:absolute;left:8016;top:7297;width:2960;height:1966" coordorigin="8676,7297" coordsize="2960,1966">
                          <v:line id="_x0000_s1509" style="position:absolute;flip:y" from="8774,8071" to="8774,8972">
                            <v:stroke dashstyle="longDashDotDot" endarrowlength="long"/>
                          </v:line>
                          <v:group id="_x0000_s1510" style="position:absolute;left:8676;top:7297;width:2960;height:1966" coordorigin="8151,7297" coordsize="2960,1966">
                            <v:group id="_x0000_s1511" style="position:absolute;left:9979;top:7971;width:675;height:469" coordorigin="9491,12290" coordsize="675,376">
                              <v:line id="_x0000_s1512" style="position:absolute;flip:x" from="9551,12666" to="10117,12666">
                                <v:stroke dashstyle="longDashDotDot" startarrow="classic" startarrowlength="long" endarrowlength="long"/>
                              </v:line>
                              <v:shape id="_x0000_s1513" type="#_x0000_t202" style="position:absolute;left:9491;top:12290;width:675;height:376;v-text-anchor:middle" filled="f" stroked="f">
                                <v:textbox style="mso-next-textbox:#_x0000_s1513" inset="0,,0">
                                  <w:txbxContent>
                                    <w:p w:rsidR="00BB1CC7" w:rsidRPr="00070A86" w:rsidRDefault="00BB1CC7" w:rsidP="005F7BDD">
                                      <w:r>
                                        <w:rPr>
                                          <w:rFonts w:hint="eastAsia"/>
                                          <w:b/>
                                        </w:rPr>
                                        <w:t xml:space="preserve"> 349.1</w:t>
                                      </w:r>
                                    </w:p>
                                  </w:txbxContent>
                                </v:textbox>
                              </v:shape>
                            </v:group>
                            <v:shape id="_x0000_s1514" type="#_x0000_t202" style="position:absolute;left:10654;top:7574;width:457;height:1689" filled="f" stroked="f">
                              <v:textbox style="mso-next-textbox:#_x0000_s1514" inset="0">
                                <w:txbxContent>
                                  <w:p w:rsidR="00BB1CC7" w:rsidRPr="00070A86" w:rsidRDefault="00BB1CC7" w:rsidP="005F7BDD">
                                    <w:r w:rsidRPr="00BB70AE">
                                      <w:rPr>
                                        <w:rFonts w:hAnsi="宋体"/>
                                      </w:rPr>
                                      <w:t>产品带走</w:t>
                                    </w:r>
                                  </w:p>
                                </w:txbxContent>
                              </v:textbox>
                            </v:shape>
                            <v:group id="_x0000_s1515" style="position:absolute;left:8484;top:7297;width:1569;height:664" coordorigin="7981,11753" coordsize="1569,532">
                              <v:shape id="_x0000_s1516" type="#_x0000_t202" style="position:absolute;left:8011;top:11844;width:1539;height:441" stroked="f">
                                <v:textbox style="mso-next-textbox:#_x0000_s1516">
                                  <w:txbxContent>
                                    <w:p w:rsidR="00BB1CC7" w:rsidRPr="00070A86" w:rsidRDefault="00BB1CC7" w:rsidP="005F7BDD">
                                      <w:pPr>
                                        <w:rPr>
                                          <w:b/>
                                        </w:rPr>
                                      </w:pPr>
                                      <w:r w:rsidRPr="00BB70AE">
                                        <w:rPr>
                                          <w:rFonts w:hAnsi="宋体" w:hint="eastAsia"/>
                                        </w:rPr>
                                        <w:t>煤泥</w:t>
                                      </w:r>
                                      <w:r w:rsidRPr="00BB70AE">
                                        <w:rPr>
                                          <w:rFonts w:hAnsi="宋体"/>
                                        </w:rPr>
                                        <w:t>带走</w:t>
                                      </w:r>
                                      <w:r>
                                        <w:rPr>
                                          <w:rFonts w:hint="eastAsia"/>
                                          <w:b/>
                                        </w:rPr>
                                        <w:t>35.4</w:t>
                                      </w:r>
                                    </w:p>
                                  </w:txbxContent>
                                </v:textbox>
                              </v:shape>
                              <v:line id="_x0000_s1517" style="position:absolute" from="7981,12285" to="9540,12285">
                                <v:stroke dashstyle="longDashDotDot" endarrow="classic" endarrowlength="long"/>
                              </v:line>
                              <v:line id="_x0000_s1518" style="position:absolute" from="7981,11753" to="7981,12240">
                                <v:stroke dashstyle="longDashDotDot" endarrow="classic" endarrowlength="long"/>
                              </v:line>
                            </v:group>
                            <v:line id="_x0000_s1519" style="position:absolute" from="10069,7983" to="10069,8996">
                              <v:stroke dashstyle="longDashDotDot" startarrowlength="long" endarrowlength="long"/>
                            </v:line>
                            <v:shape id="_x0000_s1520" type="#_x0000_t202" style="position:absolute;left:8167;top:8548;width:2055;height:550" filled="f" stroked="f">
                              <v:textbox style="mso-next-textbox:#_x0000_s1520" inset=".2mm,,.2mm">
                                <w:txbxContent>
                                  <w:p w:rsidR="00BB1CC7" w:rsidRPr="00070A86" w:rsidRDefault="00BB1CC7" w:rsidP="005F7BDD">
                                    <w:pPr>
                                      <w:ind w:firstLineChars="50" w:firstLine="99"/>
                                    </w:pPr>
                                    <w:r>
                                      <w:rPr>
                                        <w:rFonts w:hAnsi="宋体" w:hint="eastAsia"/>
                                        <w:spacing w:val="-6"/>
                                      </w:rPr>
                                      <w:t>精煤中煤</w:t>
                                    </w:r>
                                    <w:r w:rsidRPr="00BB70AE">
                                      <w:rPr>
                                        <w:rFonts w:hAnsi="宋体"/>
                                        <w:spacing w:val="-6"/>
                                      </w:rPr>
                                      <w:t>带走</w:t>
                                    </w:r>
                                    <w:r>
                                      <w:rPr>
                                        <w:rFonts w:hint="eastAsia"/>
                                        <w:b/>
                                      </w:rPr>
                                      <w:t>223.5</w:t>
                                    </w:r>
                                  </w:p>
                                  <w:p w:rsidR="00BB1CC7" w:rsidRPr="00070A86" w:rsidRDefault="00BB1CC7" w:rsidP="005F7BDD"/>
                                </w:txbxContent>
                              </v:textbox>
                            </v:shape>
                            <v:shape id="_x0000_s1521" type="#_x0000_t202" style="position:absolute;left:8151;top:8015;width:1729;height:550" filled="f" stroked="f">
                              <v:textbox style="mso-next-textbox:#_x0000_s1521">
                                <w:txbxContent>
                                  <w:p w:rsidR="00BB1CC7" w:rsidRPr="00070A86" w:rsidRDefault="00BB1CC7" w:rsidP="005F7BDD">
                                    <w:r w:rsidRPr="00BB70AE">
                                      <w:rPr>
                                        <w:rFonts w:hAnsi="宋体"/>
                                      </w:rPr>
                                      <w:t>矸石带走</w:t>
                                    </w:r>
                                    <w:r>
                                      <w:rPr>
                                        <w:rFonts w:hint="eastAsia"/>
                                        <w:b/>
                                      </w:rPr>
                                      <w:t>90.2</w:t>
                                    </w:r>
                                  </w:p>
                                </w:txbxContent>
                              </v:textbox>
                            </v:shape>
                            <v:line id="_x0000_s1522" style="position:absolute" from="8264,8439" to="10050,8439">
                              <v:stroke dashstyle="longDashDotDot" endarrow="classic" endarrowlength="long"/>
                            </v:line>
                            <v:line id="_x0000_s1523" style="position:absolute" from="8264,8976" to="10050,8976">
                              <v:stroke dashstyle="longDashDotDot" endarrow="classic" endarrowlength="long"/>
                            </v:line>
                          </v:group>
                        </v:group>
                      </v:group>
                    </v:group>
                  </v:group>
                  <v:group id="_x0000_s2046" style="position:absolute;left:1130;top:4981;width:7304;height:7092" coordorigin="1130,4981" coordsize="7304,7092">
                    <v:group id="_x0000_s1528" style="position:absolute;left:1130;top:7360;width:7118;height:4713" coordorigin="1081,7279" coordsize="7118,4713">
                      <v:group id="_x0000_s1529" style="position:absolute;left:4032;top:9934;width:2539;height:589" coordorigin="3496,14827" coordsize="2539,589">
                        <v:shape id="_x0000_s1530" type="#_x0000_t202" style="position:absolute;left:3575;top:14827;width:756;height:341" filled="f" stroked="f" strokecolor="white">
                          <v:textbox style="mso-next-textbox:#_x0000_s1530" inset=".5mm,.1mm,.5mm,.3mm">
                            <w:txbxContent>
                              <w:p w:rsidR="00BB1CC7" w:rsidRPr="00070A86" w:rsidRDefault="00BB1CC7" w:rsidP="005F7BDD">
                                <w:pPr>
                                  <w:ind w:firstLineChars="49" w:firstLine="103"/>
                                  <w:rPr>
                                    <w:b/>
                                    <w:szCs w:val="21"/>
                                  </w:rPr>
                                </w:pPr>
                                <w:r>
                                  <w:rPr>
                                    <w:rFonts w:hint="eastAsia"/>
                                    <w:b/>
                                  </w:rPr>
                                  <w:t>1107.7</w:t>
                                </w:r>
                              </w:p>
                            </w:txbxContent>
                          </v:textbox>
                        </v:shape>
                        <v:group id="_x0000_s1531" style="position:absolute;left:3496;top:14993;width:2539;height:423" coordorigin="3496,15188" coordsize="2539,423">
                          <v:line id="_x0000_s1532" style="position:absolute" from="3496,15383" to="4460,15383">
                            <v:stroke endarrow="classic" endarrowlength="long"/>
                          </v:line>
                          <v:shape id="_x0000_s1533" type="#_x0000_t202" style="position:absolute;left:4451;top:15188;width:1584;height:423">
                            <v:textbox style="mso-next-textbox:#_x0000_s1533" inset="1mm,.5mm,1mm,.5mm">
                              <w:txbxContent>
                                <w:p w:rsidR="00BB1CC7" w:rsidRPr="004732AA" w:rsidRDefault="00BB1CC7" w:rsidP="005F7BDD">
                                  <w:pPr>
                                    <w:jc w:val="center"/>
                                    <w:rPr>
                                      <w:szCs w:val="21"/>
                                    </w:rPr>
                                  </w:pPr>
                                  <w:r>
                                    <w:rPr>
                                      <w:rFonts w:hint="eastAsia"/>
                                      <w:szCs w:val="21"/>
                                    </w:rPr>
                                    <w:t>井下洒水</w:t>
                                  </w:r>
                                </w:p>
                              </w:txbxContent>
                            </v:textbox>
                          </v:shape>
                        </v:group>
                      </v:group>
                      <v:group id="_x0000_s1534" style="position:absolute;left:4039;top:10483;width:2539;height:609" coordorigin="3503,15406" coordsize="2539,609">
                        <v:shape id="_x0000_s1535" type="#_x0000_t202" style="position:absolute;left:3561;top:15406;width:770;height:381" filled="f" stroked="f" strokecolor="white">
                          <v:textbox style="mso-next-textbox:#_x0000_s1535" inset=".5mm,.3mm,.5mm,.3mm">
                            <w:txbxContent>
                              <w:p w:rsidR="00BB1CC7" w:rsidRPr="00AA4F67" w:rsidRDefault="00BB1CC7" w:rsidP="005F7BDD">
                                <w:pPr>
                                  <w:jc w:val="center"/>
                                  <w:rPr>
                                    <w:b/>
                                    <w:color w:val="FF0000"/>
                                    <w:szCs w:val="21"/>
                                  </w:rPr>
                                </w:pPr>
                                <w:r>
                                  <w:rPr>
                                    <w:rFonts w:hint="eastAsia"/>
                                    <w:b/>
                                    <w:color w:val="FF0000"/>
                                  </w:rPr>
                                  <w:t>387.7</w:t>
                                </w:r>
                              </w:p>
                            </w:txbxContent>
                          </v:textbox>
                        </v:shape>
                        <v:group id="_x0000_s1536" style="position:absolute;left:3503;top:15592;width:2539;height:423" coordorigin="3496,15188" coordsize="2539,423">
                          <v:line id="_x0000_s1537" style="position:absolute" from="3496,15383" to="4460,15383">
                            <v:stroke endarrow="classic" endarrowlength="long"/>
                          </v:line>
                          <v:shape id="_x0000_s1538" type="#_x0000_t202" style="position:absolute;left:4451;top:15188;width:1584;height:423">
                            <v:textbox style="mso-next-textbox:#_x0000_s1538" inset="1mm,.5mm,1mm,.5mm">
                              <w:txbxContent>
                                <w:p w:rsidR="00BB1CC7" w:rsidRPr="004732AA" w:rsidRDefault="00BB1CC7" w:rsidP="005F7BDD">
                                  <w:pPr>
                                    <w:jc w:val="center"/>
                                    <w:rPr>
                                      <w:szCs w:val="21"/>
                                    </w:rPr>
                                  </w:pPr>
                                  <w:r>
                                    <w:rPr>
                                      <w:rFonts w:hint="eastAsia"/>
                                      <w:szCs w:val="21"/>
                                    </w:rPr>
                                    <w:t>排至蚂蚁河</w:t>
                                  </w:r>
                                </w:p>
                              </w:txbxContent>
                            </v:textbox>
                          </v:shape>
                        </v:group>
                      </v:group>
                      <v:group id="_x0000_s1539" style="position:absolute;left:4036;top:11104;width:2539;height:609" coordorigin="3503,15406" coordsize="2539,609">
                        <v:shape id="_x0000_s1540" type="#_x0000_t202" style="position:absolute;left:3561;top:15406;width:770;height:381" filled="f" stroked="f" strokecolor="white">
                          <v:textbox style="mso-next-textbox:#_x0000_s1540" inset=".5mm,.3mm,.5mm,.3mm">
                            <w:txbxContent>
                              <w:p w:rsidR="00BB1CC7" w:rsidRPr="00070A86" w:rsidRDefault="00BB1CC7" w:rsidP="005F7BDD">
                                <w:pPr>
                                  <w:jc w:val="center"/>
                                  <w:rPr>
                                    <w:b/>
                                    <w:szCs w:val="21"/>
                                  </w:rPr>
                                </w:pPr>
                                <w:r>
                                  <w:rPr>
                                    <w:rFonts w:hint="eastAsia"/>
                                    <w:b/>
                                  </w:rPr>
                                  <w:t>107.2</w:t>
                                </w:r>
                              </w:p>
                            </w:txbxContent>
                          </v:textbox>
                        </v:shape>
                        <v:group id="_x0000_s1541" style="position:absolute;left:3503;top:15592;width:2539;height:423" coordorigin="3496,15188" coordsize="2539,423">
                          <v:line id="_x0000_s1542" style="position:absolute" from="3496,15383" to="4460,15383">
                            <v:stroke endarrow="classic" endarrowlength="long"/>
                          </v:line>
                          <v:shape id="_x0000_s1543" type="#_x0000_t202" style="position:absolute;left:4451;top:15188;width:1584;height:423">
                            <v:textbox style="mso-next-textbox:#_x0000_s1543" inset="1mm,.5mm,1mm,.5mm">
                              <w:txbxContent>
                                <w:p w:rsidR="00BB1CC7" w:rsidRPr="00070A86" w:rsidRDefault="00BB1CC7" w:rsidP="005F7BDD">
                                  <w:pPr>
                                    <w:jc w:val="center"/>
                                    <w:rPr>
                                      <w:szCs w:val="21"/>
                                    </w:rPr>
                                  </w:pPr>
                                  <w:r>
                                    <w:rPr>
                                      <w:rFonts w:hAnsi="宋体" w:hint="eastAsia"/>
                                      <w:szCs w:val="21"/>
                                    </w:rPr>
                                    <w:t>黄泥灌浆用水</w:t>
                                  </w:r>
                                </w:p>
                              </w:txbxContent>
                            </v:textbox>
                          </v:shape>
                        </v:group>
                      </v:group>
                      <v:group id="_x0000_s1544" style="position:absolute;left:1081;top:7279;width:2968;height:833" coordorigin="976,7279" coordsize="2968,833">
                        <v:shape id="_x0000_s1545" type="#_x0000_t202" style="position:absolute;left:3032;top:7346;width:708;height:435" filled="f" stroked="f" strokecolor="white">
                          <v:textbox style="mso-next-textbox:#_x0000_s1545" inset=".5mm,.3mm,.5mm,.3mm">
                            <w:txbxContent>
                              <w:p w:rsidR="00BB1CC7" w:rsidRPr="009E0C63" w:rsidRDefault="00BB1CC7" w:rsidP="005F7BDD">
                                <w:pPr>
                                  <w:jc w:val="center"/>
                                  <w:rPr>
                                    <w:b/>
                                    <w:szCs w:val="21"/>
                                  </w:rPr>
                                </w:pPr>
                                <w:r>
                                  <w:rPr>
                                    <w:rFonts w:hint="eastAsia"/>
                                    <w:b/>
                                    <w:szCs w:val="21"/>
                                  </w:rPr>
                                  <w:t>1920</w:t>
                                </w:r>
                              </w:p>
                            </w:txbxContent>
                          </v:textbox>
                        </v:shape>
                        <v:line id="_x0000_s1546" style="position:absolute" from="2972,7692" to="3944,7692">
                          <v:stroke endarrow="classic" endarrowlength="long"/>
                        </v:line>
                        <v:group id="_x0000_s1547" style="position:absolute;left:976;top:7279;width:1996;height:833" coordorigin="545,12142" coordsize="1996,833">
                          <v:shape id="_x0000_s1548" type="#_x0000_t202" style="position:absolute;left:1805;top:12142;width:736;height:833">
                            <v:textbox style="mso-next-textbox:#_x0000_s1548" inset="1mm,.1mm,.1mm,1mm">
                              <w:txbxContent>
                                <w:p w:rsidR="00BB1CC7" w:rsidRPr="00070A86" w:rsidRDefault="00BB1CC7" w:rsidP="005F7BDD">
                                  <w:pPr>
                                    <w:rPr>
                                      <w:szCs w:val="21"/>
                                    </w:rPr>
                                  </w:pPr>
                                  <w:r w:rsidRPr="00BB70AE">
                                    <w:rPr>
                                      <w:rFonts w:hAnsi="宋体"/>
                                      <w:szCs w:val="21"/>
                                    </w:rPr>
                                    <w:t>矿井水处理站</w:t>
                                  </w:r>
                                </w:p>
                              </w:txbxContent>
                            </v:textbox>
                          </v:shape>
                          <v:group id="_x0000_s1549" style="position:absolute;left:545;top:12153;width:1260;height:753" coordorigin="545,12153" coordsize="1260,753">
                            <v:shape id="_x0000_s1550" type="#_x0000_t202" style="position:absolute;left:545;top:12153;width:550;height:753">
                              <v:textbox style="mso-next-textbox:#_x0000_s1550" inset="1mm,.1mm,.1mm,0">
                                <w:txbxContent>
                                  <w:p w:rsidR="00BB1CC7" w:rsidRPr="00070A86" w:rsidRDefault="00BB1CC7" w:rsidP="005F7BDD">
                                    <w:pPr>
                                      <w:jc w:val="center"/>
                                    </w:pPr>
                                    <w:r w:rsidRPr="00BB70AE">
                                      <w:rPr>
                                        <w:rFonts w:hAnsi="宋体"/>
                                      </w:rPr>
                                      <w:t>井下排水</w:t>
                                    </w:r>
                                  </w:p>
                                </w:txbxContent>
                              </v:textbox>
                            </v:shape>
                            <v:shape id="_x0000_s1551" type="#_x0000_t202" style="position:absolute;left:1067;top:12209;width:616;height:435" filled="f" stroked="f" strokecolor="white">
                              <v:textbox style="mso-next-textbox:#_x0000_s1551" inset=".5mm,.3mm,.5mm,.3mm">
                                <w:txbxContent>
                                  <w:p w:rsidR="00BB1CC7" w:rsidRPr="00070A86" w:rsidRDefault="00BB1CC7" w:rsidP="005F7BDD">
                                    <w:pPr>
                                      <w:rPr>
                                        <w:b/>
                                        <w:szCs w:val="21"/>
                                      </w:rPr>
                                    </w:pPr>
                                    <w:r>
                                      <w:rPr>
                                        <w:rFonts w:hint="eastAsia"/>
                                        <w:b/>
                                        <w:szCs w:val="21"/>
                                      </w:rPr>
                                      <w:t xml:space="preserve"> 1920</w:t>
                                    </w:r>
                                  </w:p>
                                </w:txbxContent>
                              </v:textbox>
                            </v:shape>
                            <v:line id="_x0000_s1552" style="position:absolute" from="1097,12555" to="1805,12555">
                              <v:stroke endarrow="classic" endarrowlength="long"/>
                            </v:line>
                          </v:group>
                        </v:group>
                      </v:group>
                      <v:group id="_x0000_s1553" style="position:absolute;left:1331;top:8034;width:5603;height:3958" coordorigin="1226,8034" coordsize="5603,3958">
                        <v:line id="_x0000_s1554" style="position:absolute" from="1256,8034" to="1256,11923">
                          <v:stroke startarrow="classic" startarrowlength="long" endarrowlength="long"/>
                        </v:line>
                        <v:shape id="_x0000_s1555" type="#_x0000_t202" style="position:absolute;left:2641;top:11611;width:1022;height:381" filled="f" stroked="f" strokecolor="white">
                          <v:textbox style="mso-next-textbox:#_x0000_s1555" inset=".5mm,.3mm,.5mm,.3mm">
                            <w:txbxContent>
                              <w:p w:rsidR="00BB1CC7" w:rsidRPr="00930EB5" w:rsidRDefault="00BB1CC7" w:rsidP="005F7BDD">
                                <w:pPr>
                                  <w:rPr>
                                    <w:szCs w:val="21"/>
                                  </w:rPr>
                                </w:pPr>
                                <w:r w:rsidRPr="00930EB5">
                                  <w:rPr>
                                    <w:rFonts w:hint="eastAsia"/>
                                  </w:rPr>
                                  <w:t>析出水</w:t>
                                </w:r>
                              </w:p>
                            </w:txbxContent>
                          </v:textbox>
                        </v:shape>
                        <v:line id="_x0000_s1556" style="position:absolute;flip:y" from="6816,11598" to="6816,11938">
                          <v:stroke startarrow="classic" startarrowlength="long" endarrowlength="long"/>
                        </v:line>
                        <v:line id="_x0000_s1557" style="position:absolute;flip:x" from="1226,11921" to="6826,11921">
                          <v:stroke endarrow="classic" endarrowlength="long"/>
                        </v:line>
                        <v:line id="_x0000_s1558" style="position:absolute;flip:x y" from="6483,11575" to="6829,11575">
                          <v:stroke startarrow="classic" startarrowlength="long" endarrowlength="long"/>
                        </v:line>
                      </v:group>
                      <v:group id="_x0000_s1559" style="position:absolute;left:5205;top:9595;width:2046;height:1796" coordorigin="5100,9595" coordsize="2046,1796">
                        <v:shape id="_x0000_s1560" type="#_x0000_t202" style="position:absolute;left:5226;top:9595;width:743;height:339" filled="f" stroked="f">
                          <v:textbox style="mso-next-textbox:#_x0000_s1560" inset="1mm,.1mm,.1mm,1mm">
                            <w:txbxContent>
                              <w:p w:rsidR="00BB1CC7" w:rsidRPr="00CF46FB" w:rsidRDefault="00BB1CC7" w:rsidP="005F7BDD">
                                <w:pPr>
                                  <w:rPr>
                                    <w:b/>
                                  </w:rPr>
                                </w:pPr>
                                <w:r>
                                  <w:rPr>
                                    <w:rFonts w:hint="eastAsia"/>
                                    <w:b/>
                                  </w:rPr>
                                  <w:t>65.8</w:t>
                                </w:r>
                              </w:p>
                            </w:txbxContent>
                          </v:textbox>
                        </v:shape>
                        <v:shapetype id="_x0000_t32" coordsize="21600,21600" o:spt="32" o:oned="t" path="m,l21600,21600e" filled="f">
                          <v:path arrowok="t" fillok="f" o:connecttype="none"/>
                          <o:lock v:ext="edit" shapetype="t"/>
                        </v:shapetype>
                        <v:shape id="_x0000_s1561" type="#_x0000_t32" style="position:absolute;left:5100;top:9934;width:2046;height:1;flip:y" o:connectortype="straight">
                          <v:stroke endarrow="classic" endarrowlength="long"/>
                        </v:shape>
                        <v:line id="_x0000_s1562" style="position:absolute;flip:y" from="7130,9917" to="7131,11391">
                          <v:stroke startarrow="classic" startarrowlength="long" endarrowlength="long"/>
                        </v:line>
                        <v:line id="_x0000_s1563" style="position:absolute;flip:y" from="6457,11380" to="7137,11380">
                          <v:stroke startarrow="classic" startarrowlength="long" endarrowlength="long"/>
                        </v:line>
                      </v:group>
                      <v:group id="_x0000_s1564" style="position:absolute;left:5209;top:8952;width:2990;height:699" coordorigin="4814,7014" coordsize="2990,619">
                        <v:shape id="_x0000_s1565" type="#_x0000_t202" style="position:absolute;left:4814;top:7014;width:735;height:440" filled="f" stroked="f" strokecolor="white">
                          <v:stroke dashstyle="longDashDotDot" startarrowlength="long" endarrowlength="long"/>
                          <v:textbox style="mso-next-textbox:#_x0000_s1565">
                            <w:txbxContent>
                              <w:p w:rsidR="00BB1CC7" w:rsidRPr="00070A86" w:rsidRDefault="00BB1CC7" w:rsidP="005F7BDD">
                                <w:pPr>
                                  <w:rPr>
                                    <w:b/>
                                  </w:rPr>
                                </w:pPr>
                                <w:r>
                                  <w:rPr>
                                    <w:rFonts w:hint="eastAsia"/>
                                    <w:b/>
                                  </w:rPr>
                                  <w:t>42.5</w:t>
                                </w:r>
                              </w:p>
                              <w:p w:rsidR="00BB1CC7" w:rsidRPr="00070A86" w:rsidRDefault="00BB1CC7" w:rsidP="005F7BDD"/>
                            </w:txbxContent>
                          </v:textbox>
                        </v:shape>
                        <v:shape id="_x0000_s1566" type="#_x0000_t32" style="position:absolute;left:4822;top:7454;width:822;height:0" o:connectortype="straight">
                          <v:stroke endarrow="classic" endarrowlength="long"/>
                        </v:shape>
                        <v:shape id="_x0000_s1567" type="#_x0000_t202" style="position:absolute;left:5673;top:7254;width:2131;height:379">
                          <v:textbox style="mso-next-textbox:#_x0000_s1567" inset=".1mm,.5mm,.1mm,.5mm">
                            <w:txbxContent>
                              <w:p w:rsidR="00BB1CC7" w:rsidRPr="009E0C63" w:rsidRDefault="00BB1CC7" w:rsidP="005F7BDD">
                                <w:pPr>
                                  <w:jc w:val="center"/>
                                </w:pPr>
                                <w:r>
                                  <w:rPr>
                                    <w:rFonts w:hint="eastAsia"/>
                                    <w:spacing w:val="-6"/>
                                    <w:szCs w:val="21"/>
                                  </w:rPr>
                                  <w:t>地面冲洗及生产防尘水</w:t>
                                </w:r>
                              </w:p>
                            </w:txbxContent>
                          </v:textbox>
                        </v:shape>
                      </v:group>
                      <v:group id="_x0000_s1568" style="position:absolute;left:5220;top:8304;width:2434;height:677" coordorigin="4863,7541" coordsize="2434,599">
                        <v:shape id="_x0000_s1569" type="#_x0000_t202" style="position:absolute;left:4878;top:7541;width:735;height:507" filled="f" strokecolor="white">
                          <v:stroke dashstyle="longDashDotDot" startarrowlength="long" endarrowlength="long"/>
                          <v:textbox style="mso-next-textbox:#_x0000_s1569">
                            <w:txbxContent>
                              <w:p w:rsidR="00BB1CC7" w:rsidRPr="00070A86" w:rsidRDefault="00BB1CC7" w:rsidP="005F7BDD">
                                <w:pPr>
                                  <w:rPr>
                                    <w:b/>
                                  </w:rPr>
                                </w:pPr>
                                <w:r>
                                  <w:rPr>
                                    <w:rFonts w:hint="eastAsia"/>
                                    <w:b/>
                                  </w:rPr>
                                  <w:t>13</w:t>
                                </w:r>
                              </w:p>
                              <w:p w:rsidR="00BB1CC7" w:rsidRPr="00070A86" w:rsidRDefault="00BB1CC7" w:rsidP="005F7BDD"/>
                            </w:txbxContent>
                          </v:textbox>
                        </v:shape>
                        <v:shape id="_x0000_s1570" type="#_x0000_t32" style="position:absolute;left:4863;top:7950;width:822;height:0" o:connectortype="straight">
                          <v:stroke endarrow="classic" endarrowlength="long"/>
                        </v:shape>
                        <v:shape id="_x0000_s1571" type="#_x0000_t202" style="position:absolute;left:5702;top:7761;width:1595;height:379">
                          <v:textbox style="mso-next-textbox:#_x0000_s1571" inset=".1mm,.5mm,.1mm,.5mm">
                            <w:txbxContent>
                              <w:p w:rsidR="00BB1CC7" w:rsidRPr="009E0C63" w:rsidRDefault="00BB1CC7" w:rsidP="005F7BDD">
                                <w:pPr>
                                  <w:jc w:val="center"/>
                                </w:pPr>
                                <w:r w:rsidRPr="00567E06">
                                  <w:rPr>
                                    <w:rFonts w:hint="eastAsia"/>
                                    <w:szCs w:val="21"/>
                                  </w:rPr>
                                  <w:t>绿化洒水</w:t>
                                </w:r>
                              </w:p>
                            </w:txbxContent>
                          </v:textbox>
                        </v:shape>
                      </v:group>
                    </v:group>
                    <v:line id="_x0000_s1572" style="position:absolute;flip:y" from="4070,5710" to="4070,11566">
                      <v:stroke startarrowlength="long" endarrowlength="long"/>
                    </v:line>
                    <v:group id="_x0000_s1573" style="position:absolute;left:4053;top:5253;width:918;height:582" coordorigin="3485,9390" coordsize="918,582">
                      <v:shape id="_x0000_s1574" type="#_x0000_t202" style="position:absolute;left:3485;top:9390;width:861;height:582" filled="f" strokecolor="white">
                        <v:stroke dashstyle="longDashDotDot" startarrowlength="long" endarrowlength="long"/>
                        <v:textbox style="mso-next-textbox:#_x0000_s1574">
                          <w:txbxContent>
                            <w:p w:rsidR="00BB1CC7" w:rsidRPr="00AA4F67" w:rsidRDefault="00BB1CC7" w:rsidP="005F7BDD">
                              <w:pPr>
                                <w:rPr>
                                  <w:b/>
                                  <w:color w:val="FF0000"/>
                                </w:rPr>
                              </w:pPr>
                              <w:r>
                                <w:rPr>
                                  <w:rFonts w:hint="eastAsia"/>
                                  <w:b/>
                                  <w:color w:val="FF0000"/>
                                </w:rPr>
                                <w:t>317.4</w:t>
                              </w:r>
                            </w:p>
                            <w:p w:rsidR="00BB1CC7" w:rsidRPr="00070A86" w:rsidRDefault="00BB1CC7" w:rsidP="005F7BDD"/>
                          </w:txbxContent>
                        </v:textbox>
                      </v:shape>
                      <v:shape id="_x0000_s1575" type="#_x0000_t32" style="position:absolute;left:3496;top:9847;width:907;height:0" o:connectortype="straight">
                        <v:stroke endarrow="classic" endarrowlength="long"/>
                      </v:shape>
                    </v:group>
                    <v:group id="_x0000_s2045" style="position:absolute;left:4961;top:4981;width:3473;height:1233" coordorigin="4961,4981" coordsize="3473,1233">
                      <v:line id="_x0000_s1586" style="position:absolute" from="4961,5398" to="4961,5984"/>
                      <v:group id="_x0000_s1594" style="position:absolute;left:4969;top:4981;width:3465;height:630" coordorigin="4384,9453" coordsize="3465,630">
                        <v:shape id="_x0000_s1595" type="#_x0000_t202" style="position:absolute;left:6653;top:9453;width:988;height:400;v-text-anchor:middle" filled="f" stroked="f">
                          <v:textbox style="mso-next-textbox:#_x0000_s1595" inset="0,0,0,0">
                            <w:txbxContent>
                              <w:p w:rsidR="00BB1CC7" w:rsidRPr="00070A86" w:rsidRDefault="00BB1CC7" w:rsidP="005F7BDD">
                                <w:pPr>
                                  <w:jc w:val="center"/>
                                  <w:rPr>
                                    <w:b/>
                                  </w:rPr>
                                </w:pPr>
                                <w:r>
                                  <w:rPr>
                                    <w:rFonts w:hint="eastAsia"/>
                                    <w:b/>
                                  </w:rPr>
                                  <w:t xml:space="preserve"> 26</w:t>
                                </w:r>
                                <w:r>
                                  <w:rPr>
                                    <w:rFonts w:hint="eastAsia"/>
                                    <w:b/>
                                  </w:rPr>
                                  <w:t>（</w:t>
                                </w:r>
                                <w:r>
                                  <w:rPr>
                                    <w:rFonts w:hint="eastAsia"/>
                                    <w:b/>
                                  </w:rPr>
                                  <w:t>234</w:t>
                                </w:r>
                                <w:r>
                                  <w:rPr>
                                    <w:rFonts w:hint="eastAsia"/>
                                    <w:b/>
                                  </w:rPr>
                                  <w:t>）</w:t>
                                </w:r>
                              </w:p>
                            </w:txbxContent>
                          </v:textbox>
                        </v:shape>
                        <v:group id="_x0000_s1596" style="position:absolute;left:4384;top:9537;width:3465;height:546" coordorigin="4384,9537" coordsize="3465,546">
                          <v:line id="_x0000_s1597" style="position:absolute" from="6715,9840" to="7849,9842">
                            <v:stroke endarrow="classic" endarrowlength="long"/>
                          </v:line>
                          <v:shape id="_x0000_s1598" type="#_x0000_t202" style="position:absolute;left:5168;top:9641;width:1531;height:420;v-text-anchor:middle" filled="f">
                            <v:textbox style="mso-next-textbox:#_x0000_s1598" inset="0,0,0,0">
                              <w:txbxContent>
                                <w:p w:rsidR="00BB1CC7" w:rsidRPr="00070A86" w:rsidRDefault="00BB1CC7" w:rsidP="005F7BDD">
                                  <w:pPr>
                                    <w:jc w:val="center"/>
                                  </w:pPr>
                                  <w:r>
                                    <w:rPr>
                                      <w:rFonts w:hAnsi="宋体" w:hint="eastAsia"/>
                                    </w:rPr>
                                    <w:t>乏风热泵房补水</w:t>
                                  </w:r>
                                </w:p>
                              </w:txbxContent>
                            </v:textbox>
                            <o:callout v:ext="edit" on="t" lengthspecified="t"/>
                          </v:shape>
                          <v:line id="_x0000_s1599" style="position:absolute" from="4384,9869" to="5178,9870">
                            <v:stroke endarrow="classic" endarrowlength="long"/>
                          </v:line>
                          <v:shape id="_x0000_s1600" type="#_x0000_t202" style="position:absolute;left:4470;top:9537;width:516;height:546" filled="f" stroked="f">
                            <v:textbox style="mso-next-textbox:#_x0000_s1600" inset="0,0,0,0">
                              <w:txbxContent>
                                <w:p w:rsidR="00BB1CC7" w:rsidRPr="00070A86" w:rsidRDefault="00BB1CC7" w:rsidP="005F7BDD">
                                  <w:pPr>
                                    <w:ind w:firstLineChars="49" w:firstLine="103"/>
                                  </w:pPr>
                                  <w:r>
                                    <w:rPr>
                                      <w:rFonts w:hint="eastAsia"/>
                                      <w:b/>
                                    </w:rPr>
                                    <w:t>260</w:t>
                                  </w:r>
                                </w:p>
                              </w:txbxContent>
                            </v:textbox>
                          </v:shape>
                        </v:group>
                      </v:group>
                      <v:group id="_x0000_s1601" style="position:absolute;left:4991;top:5569;width:3419;height:645" coordorigin="4391,9891" coordsize="3419,645">
                        <v:shape id="_x0000_s1602" type="#_x0000_t202" style="position:absolute;left:6543;top:9891;width:988;height:400;v-text-anchor:middle" filled="f" stroked="f">
                          <v:textbox style="mso-next-textbox:#_x0000_s1602" inset="0,0,0,0">
                            <w:txbxContent>
                              <w:p w:rsidR="00BB1CC7" w:rsidRPr="00070A86" w:rsidRDefault="00BB1CC7" w:rsidP="005F7BDD">
                                <w:pPr>
                                  <w:jc w:val="center"/>
                                  <w:rPr>
                                    <w:b/>
                                  </w:rPr>
                                </w:pPr>
                                <w:r>
                                  <w:rPr>
                                    <w:rFonts w:hint="eastAsia"/>
                                    <w:b/>
                                  </w:rPr>
                                  <w:t>28.7</w:t>
                                </w:r>
                                <w:r>
                                  <w:rPr>
                                    <w:rFonts w:hint="eastAsia"/>
                                    <w:b/>
                                  </w:rPr>
                                  <w:t>（</w:t>
                                </w:r>
                                <w:r>
                                  <w:rPr>
                                    <w:rFonts w:hint="eastAsia"/>
                                    <w:b/>
                                  </w:rPr>
                                  <w:t>28.7</w:t>
                                </w:r>
                                <w:r>
                                  <w:rPr>
                                    <w:rFonts w:hint="eastAsia"/>
                                    <w:b/>
                                  </w:rPr>
                                  <w:t>）</w:t>
                                </w:r>
                              </w:p>
                            </w:txbxContent>
                          </v:textbox>
                        </v:shape>
                        <v:group id="_x0000_s1603" style="position:absolute;left:4391;top:9990;width:3419;height:546" coordorigin="4391,9990" coordsize="3419,546">
                          <v:line id="_x0000_s1604" style="position:absolute" from="6530,10278" to="7810,10280">
                            <v:stroke endarrow="classic" endarrowlength="long"/>
                          </v:line>
                          <v:shape id="_x0000_s1605" type="#_x0000_t202" style="position:absolute;left:5343;top:10109;width:1187;height:420" filled="f">
                            <v:textbox style="mso-next-textbox:#_x0000_s1605" inset="0,0,0,0">
                              <w:txbxContent>
                                <w:p w:rsidR="00BB1CC7" w:rsidRPr="00070A86" w:rsidRDefault="00BB1CC7" w:rsidP="005F7BDD">
                                  <w:pPr>
                                    <w:jc w:val="center"/>
                                  </w:pPr>
                                  <w:r w:rsidRPr="00BB70AE">
                                    <w:rPr>
                                      <w:rFonts w:hAnsi="宋体"/>
                                    </w:rPr>
                                    <w:t>未预见用水</w:t>
                                  </w:r>
                                </w:p>
                              </w:txbxContent>
                            </v:textbox>
                            <o:callout v:ext="edit" on="t" lengthspecified="t"/>
                          </v:shape>
                          <v:line id="_x0000_s1606" style="position:absolute" from="4391,10307" to="5332,10308">
                            <v:stroke endarrow="classic" endarrowlength="long"/>
                          </v:line>
                          <v:shape id="_x0000_s1607" type="#_x0000_t202" style="position:absolute;left:4525;top:9990;width:516;height:546" filled="f" stroked="f">
                            <v:textbox style="mso-next-textbox:#_x0000_s1607" inset="0,0,0,0">
                              <w:txbxContent>
                                <w:p w:rsidR="00BB1CC7" w:rsidRPr="00070A86" w:rsidRDefault="00BB1CC7" w:rsidP="005F7BDD">
                                  <w:pPr>
                                    <w:ind w:firstLineChars="49" w:firstLine="103"/>
                                  </w:pPr>
                                  <w:r>
                                    <w:rPr>
                                      <w:rFonts w:hint="eastAsia"/>
                                      <w:b/>
                                    </w:rPr>
                                    <w:t>57.4</w:t>
                                  </w:r>
                                </w:p>
                              </w:txbxContent>
                            </v:textbox>
                          </v:shape>
                        </v:group>
                      </v:group>
                    </v:group>
                  </v:group>
                  <v:group id="_x0000_s2044" style="position:absolute;left:2006;top:1906;width:8862;height:4645" coordorigin="2006,1906" coordsize="8862,4645">
                    <v:group id="_x0000_s1576" style="position:absolute;left:8408;top:3938;width:2460;height:2613" coordorigin="7823,8720" coordsize="2460,2613">
                      <v:shape id="_x0000_s1577" type="#_x0000_t202" style="position:absolute;left:8289;top:9951;width:708;height:458" filled="f" stroked="f" strokecolor="white">
                        <v:textbox style="mso-next-textbox:#_x0000_s1577" inset=".5mm,.3mm,.5mm,.3mm">
                          <w:txbxContent>
                            <w:p w:rsidR="00BB1CC7" w:rsidRPr="005C6077" w:rsidRDefault="00BB1CC7" w:rsidP="005F7BDD">
                              <w:pPr>
                                <w:rPr>
                                  <w:b/>
                                  <w:szCs w:val="21"/>
                                </w:rPr>
                              </w:pPr>
                              <w:r>
                                <w:rPr>
                                  <w:rFonts w:hint="eastAsia"/>
                                  <w:b/>
                                  <w:szCs w:val="21"/>
                                </w:rPr>
                                <w:t>350.8</w:t>
                              </w:r>
                            </w:p>
                          </w:txbxContent>
                        </v:textbox>
                      </v:shape>
                      <v:group id="_x0000_s1578" style="position:absolute;left:7823;top:8720;width:2460;height:593" coordorigin="7212,4460" coordsize="2564,434">
                        <v:shape id="_x0000_s1579" type="#_x0000_t202" style="position:absolute;left:7280;top:4460;width:678;height:288" filled="f" stroked="f">
                          <v:textbox style="mso-next-textbox:#_x0000_s1579" inset="0,0,0,0">
                            <w:txbxContent>
                              <w:p w:rsidR="00BB1CC7" w:rsidRPr="00070A86" w:rsidRDefault="00BB1CC7" w:rsidP="005F7BDD">
                                <w:pPr>
                                  <w:jc w:val="center"/>
                                  <w:rPr>
                                    <w:b/>
                                  </w:rPr>
                                </w:pPr>
                                <w:r>
                                  <w:rPr>
                                    <w:rFonts w:hint="eastAsia"/>
                                    <w:b/>
                                  </w:rPr>
                                  <w:t>350.8</w:t>
                                </w:r>
                              </w:p>
                            </w:txbxContent>
                          </v:textbox>
                        </v:shape>
                        <v:line id="_x0000_s1580" style="position:absolute" from="7212,4739" to="8112,4740">
                          <v:stroke endarrow="classic" endarrowlength="long"/>
                          <o:callout v:ext="edit" on="t" lengthspecified="t"/>
                        </v:line>
                        <v:shape id="_x0000_s1581" type="#_x0000_t202" style="position:absolute;left:8126;top:4576;width:1650;height:318" filled="f">
                          <v:textbox style="mso-next-textbox:#_x0000_s1581" inset="0,0,0,0">
                            <w:txbxContent>
                              <w:p w:rsidR="00BB1CC7" w:rsidRPr="00070A86" w:rsidRDefault="00BB1CC7" w:rsidP="005F7BDD">
                                <w:pPr>
                                  <w:jc w:val="center"/>
                                  <w:rPr>
                                    <w:b/>
                                  </w:rPr>
                                </w:pPr>
                                <w:r w:rsidRPr="00BB70AE">
                                  <w:rPr>
                                    <w:rFonts w:hAnsi="宋体"/>
                                  </w:rPr>
                                  <w:t>生活污水处理站</w:t>
                                </w:r>
                              </w:p>
                            </w:txbxContent>
                          </v:textbox>
                        </v:shape>
                      </v:group>
                      <v:line id="_x0000_s1582" style="position:absolute;flip:x" from="8997,9333" to="8997,11333">
                        <v:stroke endarrow="classic" endarrowlength="long"/>
                      </v:line>
                    </v:group>
                    <v:group id="_x0000_s1587" style="position:absolute;left:4991;top:4428;width:3497;height:526" coordorigin="3916,4957" coordsize="3344,398">
                      <v:shape id="_x0000_s1588" type="#_x0000_t202" style="position:absolute;left:5968;top:4957;width:1292;height:288" filled="f" stroked="f">
                        <v:textbox style="mso-next-textbox:#_x0000_s1588" inset="0,0,0,0">
                          <w:txbxContent>
                            <w:p w:rsidR="00BB1CC7" w:rsidRPr="00070A86" w:rsidRDefault="00BB1CC7" w:rsidP="005F7BDD">
                              <w:pPr>
                                <w:jc w:val="center"/>
                                <w:rPr>
                                  <w:b/>
                                </w:rPr>
                              </w:pPr>
                              <w:r>
                                <w:rPr>
                                  <w:rFonts w:hint="eastAsia"/>
                                  <w:b/>
                                </w:rPr>
                                <w:t>34.1</w:t>
                              </w:r>
                              <w:r w:rsidRPr="00BB70AE">
                                <w:rPr>
                                  <w:rFonts w:hAnsi="宋体"/>
                                  <w:b/>
                                </w:rPr>
                                <w:t>（</w:t>
                              </w:r>
                              <w:r>
                                <w:rPr>
                                  <w:rFonts w:hint="eastAsia"/>
                                  <w:b/>
                                </w:rPr>
                                <w:t>1.8</w:t>
                              </w:r>
                              <w:r w:rsidRPr="00BB70AE">
                                <w:rPr>
                                  <w:rFonts w:hAnsi="宋体"/>
                                  <w:b/>
                                </w:rPr>
                                <w:t>）</w:t>
                              </w:r>
                            </w:p>
                          </w:txbxContent>
                        </v:textbox>
                      </v:shape>
                      <v:group id="_x0000_s1589" style="position:absolute;left:3916;top:4957;width:3282;height:398" coordorigin="3916,4957" coordsize="3282,398">
                        <v:shape id="_x0000_s1590" type="#_x0000_t202" style="position:absolute;left:4806;top:5037;width:1136;height:318" filled="f">
                          <v:textbox style="mso-next-textbox:#_x0000_s1590" inset="0,0,0,0">
                            <w:txbxContent>
                              <w:p w:rsidR="00BB1CC7" w:rsidRPr="00070A86" w:rsidRDefault="00BB1CC7" w:rsidP="005F7BDD">
                                <w:pPr>
                                  <w:ind w:firstLineChars="100" w:firstLine="210"/>
                                </w:pPr>
                                <w:r w:rsidRPr="00BB70AE">
                                  <w:rPr>
                                    <w:rFonts w:hAnsi="宋体"/>
                                  </w:rPr>
                                  <w:t>洗衣用水</w:t>
                                </w:r>
                              </w:p>
                            </w:txbxContent>
                          </v:textbox>
                        </v:shape>
                        <v:line id="_x0000_s1591" style="position:absolute" from="3916,5202" to="4818,5203">
                          <v:stroke endarrow="classic" endarrowlength="long"/>
                        </v:line>
                        <v:shape id="_x0000_s1592" type="#_x0000_t202" style="position:absolute;left:4040;top:4957;width:602;height:227" filled="f" stroked="f">
                          <v:textbox style="mso-next-textbox:#_x0000_s1592" inset="0,0,0,0">
                            <w:txbxContent>
                              <w:p w:rsidR="00BB1CC7" w:rsidRPr="00070A86" w:rsidRDefault="00BB1CC7" w:rsidP="005F7BDD">
                                <w:r>
                                  <w:rPr>
                                    <w:rFonts w:hint="eastAsia"/>
                                    <w:b/>
                                  </w:rPr>
                                  <w:t xml:space="preserve"> 35.9</w:t>
                                </w:r>
                              </w:p>
                            </w:txbxContent>
                          </v:textbox>
                        </v:shape>
                        <v:line id="_x0000_s1593" style="position:absolute" from="5952,5207" to="7198,5208">
                          <v:stroke endarrow="classic" endarrowlength="long"/>
                        </v:line>
                      </v:group>
                    </v:group>
                    <v:group id="_x0000_s1609" style="position:absolute;left:2006;top:2719;width:2982;height:1068" coordorigin="1855,5789" coordsize="3116,809">
                      <v:group id="_x0000_s1610" style="position:absolute;left:3073;top:5828;width:1898;height:729" coordorigin="3073,5828" coordsize="1898,729">
                        <v:shape id="_x0000_s1611" type="#_x0000_t202" style="position:absolute;left:4233;top:5832;width:738;height:336" filled="f" stroked="f" strokecolor="white">
                          <v:textbox style="mso-next-textbox:#_x0000_s1611" inset=".5mm,.3mm,.5mm,.3mm">
                            <w:txbxContent>
                              <w:p w:rsidR="00BB1CC7" w:rsidRPr="00BB645D" w:rsidRDefault="00BB1CC7" w:rsidP="005F7BDD">
                                <w:pPr>
                                  <w:jc w:val="center"/>
                                  <w:rPr>
                                    <w:b/>
                                    <w:color w:val="FF0000"/>
                                    <w:szCs w:val="21"/>
                                  </w:rPr>
                                </w:pPr>
                                <w:r>
                                  <w:rPr>
                                    <w:rFonts w:hint="eastAsia"/>
                                    <w:b/>
                                    <w:color w:val="FF0000"/>
                                    <w:szCs w:val="21"/>
                                  </w:rPr>
                                  <w:t>313.7</w:t>
                                </w:r>
                              </w:p>
                            </w:txbxContent>
                          </v:textbox>
                        </v:shape>
                        <v:shape id="_x0000_s1612" type="#_x0000_t202" style="position:absolute;left:3073;top:5828;width:1202;height:729">
                          <v:textbox style="mso-next-textbox:#_x0000_s1612">
                            <w:txbxContent>
                              <w:p w:rsidR="00BB1CC7" w:rsidRPr="00070A86" w:rsidRDefault="00BB1CC7" w:rsidP="005F7BDD">
                                <w:pPr>
                                  <w:jc w:val="center"/>
                                  <w:rPr>
                                    <w:b/>
                                  </w:rPr>
                                </w:pPr>
                                <w:r w:rsidRPr="00BB70AE">
                                  <w:rPr>
                                    <w:rFonts w:hAnsi="宋体"/>
                                  </w:rPr>
                                  <w:t>工业场地高位水池</w:t>
                                </w:r>
                              </w:p>
                            </w:txbxContent>
                          </v:textbox>
                        </v:shape>
                      </v:group>
                      <v:group id="_x0000_s1613" style="position:absolute;left:1855;top:5789;width:1226;height:809" coordorigin="1855,5789" coordsize="1226,809">
                        <v:shape id="_x0000_s1614" type="#_x0000_t202" style="position:absolute;left:2314;top:5805;width:678;height:318" filled="f" stroked="f">
                          <v:textbox style="mso-next-textbox:#_x0000_s1614" inset="0,0,0,0">
                            <w:txbxContent>
                              <w:p w:rsidR="00BB1CC7" w:rsidRPr="00BB645D" w:rsidRDefault="00BB1CC7" w:rsidP="005F7BDD">
                                <w:pPr>
                                  <w:jc w:val="center"/>
                                  <w:rPr>
                                    <w:b/>
                                    <w:color w:val="FF0000"/>
                                  </w:rPr>
                                </w:pPr>
                                <w:r>
                                  <w:rPr>
                                    <w:rFonts w:hint="eastAsia"/>
                                    <w:b/>
                                    <w:color w:val="FF0000"/>
                                  </w:rPr>
                                  <w:t>313.7</w:t>
                                </w:r>
                              </w:p>
                            </w:txbxContent>
                          </v:textbox>
                        </v:shape>
                        <v:group id="_x0000_s1615" style="position:absolute;left:1855;top:5789;width:1226;height:809" coordorigin="1855,6839" coordsize="1226,960">
                          <v:line id="_x0000_s1616" style="position:absolute" from="2241,7307" to="3081,7307">
                            <v:stroke endarrow="classic" endarrowlength="long"/>
                          </v:line>
                          <v:shape id="_x0000_s1617" type="#_x0000_t202" style="position:absolute;left:1855;top:6839;width:405;height:960">
                            <v:textbox style="layout-flow:vertical-ideographic;mso-next-textbox:#_x0000_s1617" inset="1mm,1mm,1mm,1mm">
                              <w:txbxContent>
                                <w:p w:rsidR="00BB1CC7" w:rsidRPr="00070A86" w:rsidRDefault="00BB1CC7" w:rsidP="005F7BDD">
                                  <w:pPr>
                                    <w:jc w:val="center"/>
                                  </w:pPr>
                                  <w:r w:rsidRPr="00BB70AE">
                                    <w:rPr>
                                      <w:rFonts w:hAnsi="宋体"/>
                                    </w:rPr>
                                    <w:t>水源</w:t>
                                  </w:r>
                                </w:p>
                              </w:txbxContent>
                            </v:textbox>
                          </v:shape>
                        </v:group>
                      </v:group>
                      <v:line id="_x0000_s1618" style="position:absolute" from="4287,6182" to="4967,6182">
                        <v:stroke endarrow="classic" endarrowlength="long"/>
                      </v:line>
                    </v:group>
                    <v:group id="_x0000_s1620" style="position:absolute;left:4978;top:3817;width:3496;height:562" coordorigin="3902,4421" coordsize="3358,426">
                      <v:line id="_x0000_s1621" style="position:absolute" from="3902,4683" to="4803,4684">
                        <v:stroke endarrow="classic" endarrowlength="long"/>
                      </v:line>
                      <v:shape id="_x0000_s1622" type="#_x0000_t202" style="position:absolute;left:5968;top:4431;width:1292;height:288" filled="f" stroked="f">
                        <v:textbox style="mso-next-textbox:#_x0000_s1622" inset="0,0,0,0">
                          <w:txbxContent>
                            <w:p w:rsidR="00BB1CC7" w:rsidRPr="00070A86" w:rsidRDefault="00BB1CC7" w:rsidP="005F7BDD">
                              <w:pPr>
                                <w:jc w:val="center"/>
                                <w:rPr>
                                  <w:b/>
                                </w:rPr>
                              </w:pPr>
                              <w:r>
                                <w:rPr>
                                  <w:rFonts w:hint="eastAsia"/>
                                  <w:b/>
                                </w:rPr>
                                <w:t>144.3</w:t>
                              </w:r>
                              <w:r w:rsidRPr="00BB70AE">
                                <w:rPr>
                                  <w:rFonts w:hAnsi="宋体"/>
                                  <w:b/>
                                </w:rPr>
                                <w:t>（</w:t>
                              </w:r>
                              <w:r>
                                <w:rPr>
                                  <w:rFonts w:hint="eastAsia"/>
                                  <w:b/>
                                </w:rPr>
                                <w:t>7.6</w:t>
                              </w:r>
                              <w:r w:rsidRPr="00BB70AE">
                                <w:rPr>
                                  <w:rFonts w:hAnsi="宋体"/>
                                  <w:b/>
                                </w:rPr>
                                <w:t>）</w:t>
                              </w:r>
                            </w:p>
                          </w:txbxContent>
                        </v:textbox>
                      </v:shape>
                      <v:group id="_x0000_s1623" style="position:absolute;left:3958;top:4421;width:3248;height:426" coordorigin="3958,4421" coordsize="3248,426">
                        <v:shape id="_x0000_s1624" type="#_x0000_t202" style="position:absolute;left:4792;top:4529;width:1158;height:318">
                          <v:textbox style="mso-next-textbox:#_x0000_s1624" inset="0,0,0,0">
                            <w:txbxContent>
                              <w:p w:rsidR="00BB1CC7" w:rsidRPr="00070A86" w:rsidRDefault="00BB1CC7" w:rsidP="005F7BDD">
                                <w:pPr>
                                  <w:jc w:val="center"/>
                                </w:pPr>
                                <w:r w:rsidRPr="00BB70AE">
                                  <w:rPr>
                                    <w:rFonts w:hAnsi="宋体"/>
                                  </w:rPr>
                                  <w:t>洗浴用水</w:t>
                                </w:r>
                              </w:p>
                            </w:txbxContent>
                          </v:textbox>
                        </v:shape>
                        <v:shape id="_x0000_s1625" type="#_x0000_t202" style="position:absolute;left:3958;top:4421;width:706;height:285" filled="f" stroked="f">
                          <v:textbox style="mso-next-textbox:#_x0000_s1625" inset="0,0,0,0">
                            <w:txbxContent>
                              <w:p w:rsidR="00BB1CC7" w:rsidRPr="00070A86" w:rsidRDefault="00BB1CC7" w:rsidP="005F7BDD">
                                <w:pPr>
                                  <w:ind w:firstLineChars="49" w:firstLine="103"/>
                                  <w:rPr>
                                    <w:b/>
                                  </w:rPr>
                                </w:pPr>
                                <w:r>
                                  <w:rPr>
                                    <w:rFonts w:hint="eastAsia"/>
                                    <w:b/>
                                  </w:rPr>
                                  <w:t>151.9</w:t>
                                </w:r>
                              </w:p>
                            </w:txbxContent>
                          </v:textbox>
                        </v:shape>
                        <v:line id="_x0000_s1626" style="position:absolute" from="5960,4683" to="7206,4684">
                          <v:stroke endarrow="classic" endarrowlength="long"/>
                        </v:line>
                      </v:group>
                    </v:group>
                    <v:line id="_x0000_s1627" style="position:absolute" from="4961,2326" to="4964,4760"/>
                    <v:group id="_x0000_s1628" style="position:absolute;left:4956;top:1906;width:3529;height:1109" coordorigin="4366,8888" coordsize="3374,840">
                      <v:group id="_x0000_s1629" style="position:absolute;left:4366;top:8888;width:3356;height:449" coordorigin="3902,3367" coordsize="3356,449">
                        <v:shape id="_x0000_s1630" type="#_x0000_t202" style="position:absolute;left:5966;top:3367;width:1292;height:288" filled="f" stroked="f">
                          <v:textbox style="mso-next-textbox:#_x0000_s1630" inset="0,0,0,0">
                            <w:txbxContent>
                              <w:p w:rsidR="00BB1CC7" w:rsidRPr="00070A86" w:rsidRDefault="00BB1CC7" w:rsidP="005F7BDD">
                                <w:pPr>
                                  <w:jc w:val="left"/>
                                  <w:rPr>
                                    <w:b/>
                                  </w:rPr>
                                </w:pPr>
                                <w:r>
                                  <w:rPr>
                                    <w:rFonts w:hint="eastAsia"/>
                                    <w:b/>
                                  </w:rPr>
                                  <w:t xml:space="preserve"> 20.4</w:t>
                                </w:r>
                                <w:r w:rsidRPr="00BB70AE">
                                  <w:rPr>
                                    <w:rFonts w:hAnsi="宋体"/>
                                    <w:b/>
                                  </w:rPr>
                                  <w:t>（</w:t>
                                </w:r>
                                <w:r>
                                  <w:rPr>
                                    <w:rFonts w:hint="eastAsia"/>
                                    <w:b/>
                                  </w:rPr>
                                  <w:t>1.1</w:t>
                                </w:r>
                                <w:r w:rsidRPr="00BB70AE">
                                  <w:rPr>
                                    <w:rFonts w:hAnsi="宋体"/>
                                    <w:b/>
                                  </w:rPr>
                                  <w:t>）</w:t>
                                </w:r>
                              </w:p>
                            </w:txbxContent>
                          </v:textbox>
                        </v:shape>
                        <v:group id="_x0000_s1631" style="position:absolute;left:3902;top:3374;width:3316;height:442" coordorigin="3902,3374" coordsize="3316,442">
                          <v:shape id="_x0000_s1632" type="#_x0000_t202" style="position:absolute;left:4796;top:3513;width:1170;height:303">
                            <v:textbox style="mso-next-textbox:#_x0000_s1632" inset="0,0,0,0">
                              <w:txbxContent>
                                <w:p w:rsidR="00BB1CC7" w:rsidRPr="00070A86" w:rsidRDefault="00BB1CC7" w:rsidP="005F7BDD">
                                  <w:pPr>
                                    <w:jc w:val="center"/>
                                  </w:pPr>
                                  <w:r w:rsidRPr="00BB70AE">
                                    <w:rPr>
                                      <w:rFonts w:hAnsi="宋体"/>
                                    </w:rPr>
                                    <w:t>生活用水</w:t>
                                  </w:r>
                                </w:p>
                              </w:txbxContent>
                            </v:textbox>
                          </v:shape>
                          <v:line id="_x0000_s1633" style="position:absolute" from="3902,3663" to="4788,3664">
                            <v:stroke endarrow="classic" endarrowlength="long"/>
                          </v:line>
                          <v:line id="_x0000_s1634" style="position:absolute" from="5972,3659" to="7218,3660">
                            <v:stroke endarrow="classic" endarrowlength="long"/>
                          </v:line>
                          <v:shape id="_x0000_s1635" type="#_x0000_t202" style="position:absolute;left:4003;top:3374;width:587;height:274" filled="f" stroked="f">
                            <v:textbox style="mso-next-textbox:#_x0000_s1635" inset="0,0,0,0">
                              <w:txbxContent>
                                <w:p w:rsidR="00BB1CC7" w:rsidRPr="00070A86" w:rsidRDefault="00BB1CC7" w:rsidP="005F7BDD">
                                  <w:pPr>
                                    <w:ind w:firstLineChars="49" w:firstLine="103"/>
                                  </w:pPr>
                                  <w:r>
                                    <w:rPr>
                                      <w:rFonts w:hint="eastAsia"/>
                                      <w:b/>
                                    </w:rPr>
                                    <w:t xml:space="preserve"> 21.5</w:t>
                                  </w:r>
                                </w:p>
                              </w:txbxContent>
                            </v:textbox>
                          </v:shape>
                        </v:group>
                      </v:group>
                      <v:shape id="_x0000_s1636" type="#_x0000_t202" style="position:absolute;left:6448;top:9440;width:1292;height:288" filled="f" stroked="f">
                        <v:textbox style="mso-next-textbox:#_x0000_s1636" inset="0,0,0,0">
                          <w:txbxContent>
                            <w:p w:rsidR="00BB1CC7" w:rsidRPr="00070A86" w:rsidRDefault="00BB1CC7" w:rsidP="005F7BDD">
                              <w:pPr>
                                <w:jc w:val="center"/>
                                <w:rPr>
                                  <w:b/>
                                </w:rPr>
                              </w:pPr>
                              <w:r>
                                <w:rPr>
                                  <w:rFonts w:hint="eastAsia"/>
                                  <w:b/>
                                </w:rPr>
                                <w:t>16.7</w:t>
                              </w:r>
                              <w:r w:rsidRPr="00BB70AE">
                                <w:rPr>
                                  <w:rFonts w:hAnsi="宋体"/>
                                  <w:b/>
                                </w:rPr>
                                <w:t>（</w:t>
                              </w:r>
                              <w:r>
                                <w:rPr>
                                  <w:rFonts w:hint="eastAsia"/>
                                  <w:b/>
                                </w:rPr>
                                <w:t>2.9</w:t>
                              </w:r>
                              <w:r w:rsidRPr="00BB70AE">
                                <w:rPr>
                                  <w:rFonts w:hAnsi="宋体"/>
                                  <w:b/>
                                </w:rPr>
                                <w:t>）</w:t>
                              </w:r>
                            </w:p>
                          </w:txbxContent>
                        </v:textbox>
                      </v:shape>
                    </v:group>
                    <v:group id="_x0000_s1637" style="position:absolute;left:4961;top:2504;width:3429;height:629" coordorigin="4780,2396" coordsize="3278,557">
                      <v:line id="_x0000_s1638" style="position:absolute" from="6818,2789" to="8058,2789">
                        <v:stroke endarrow="classic" endarrowlength="long"/>
                      </v:line>
                      <v:group id="_x0000_s1639" style="position:absolute;left:4780;top:2396;width:2071;height:557" coordorigin="4315,7375" coordsize="2071,476">
                        <v:group id="_x0000_s1640" style="position:absolute;left:4447;top:7375;width:1939;height:476" coordorigin="4498,6631" coordsize="1939,476">
                          <v:shape id="_x0000_s1641" type="#_x0000_t202" style="position:absolute;left:5265;top:6774;width:1172;height:333">
                            <v:textbox style="mso-next-textbox:#_x0000_s1641" inset="0,0,0,0">
                              <w:txbxContent>
                                <w:p w:rsidR="00BB1CC7" w:rsidRPr="00070A86" w:rsidRDefault="00BB1CC7" w:rsidP="005F7BDD">
                                  <w:pPr>
                                    <w:jc w:val="center"/>
                                  </w:pPr>
                                  <w:r w:rsidRPr="00BB70AE">
                                    <w:rPr>
                                      <w:rFonts w:hAnsi="宋体"/>
                                    </w:rPr>
                                    <w:t>食堂用水</w:t>
                                  </w:r>
                                </w:p>
                              </w:txbxContent>
                            </v:textbox>
                          </v:shape>
                          <v:shape id="_x0000_s1642" type="#_x0000_t202" style="position:absolute;left:4498;top:6631;width:632;height:319" filled="f" stroked="f">
                            <v:textbox style="mso-next-textbox:#_x0000_s1642" inset="0,0,0,0">
                              <w:txbxContent>
                                <w:p w:rsidR="00BB1CC7" w:rsidRPr="00070A86" w:rsidRDefault="00BB1CC7" w:rsidP="005F7BDD">
                                  <w:pPr>
                                    <w:ind w:firstLineChars="49" w:firstLine="103"/>
                                  </w:pPr>
                                  <w:r>
                                    <w:rPr>
                                      <w:rFonts w:hint="eastAsia"/>
                                      <w:b/>
                                    </w:rPr>
                                    <w:t>19.6</w:t>
                                  </w:r>
                                </w:p>
                              </w:txbxContent>
                            </v:textbox>
                          </v:shape>
                        </v:group>
                        <v:line id="_x0000_s1643" style="position:absolute" from="4315,7691" to="5201,7691">
                          <v:stroke endarrow="classic" endarrowlength="long"/>
                        </v:line>
                      </v:group>
                    </v:group>
                    <v:group id="_x0000_s1644" style="position:absolute;left:4964;top:3094;width:3460;height:657" coordorigin="4797,3968" coordsize="3308,582">
                      <v:group id="_x0000_s1645" style="position:absolute;left:4797;top:3968;width:3308;height:582" coordorigin="4797,3968" coordsize="3308,582">
                        <v:shape id="_x0000_s1646" type="#_x0000_t202" style="position:absolute;left:6852;top:3968;width:1253;height:372" filled="f" stroked="f">
                          <v:textbox style="mso-next-textbox:#_x0000_s1646" inset="0,0,0,0">
                            <w:txbxContent>
                              <w:p w:rsidR="00BB1CC7" w:rsidRPr="00070A86" w:rsidRDefault="00BB1CC7" w:rsidP="005F7BDD">
                                <w:pPr>
                                  <w:ind w:firstLineChars="49" w:firstLine="103"/>
                                  <w:rPr>
                                    <w:b/>
                                  </w:rPr>
                                </w:pPr>
                                <w:r>
                                  <w:rPr>
                                    <w:rFonts w:hint="eastAsia"/>
                                    <w:b/>
                                  </w:rPr>
                                  <w:t>80.6</w:t>
                                </w:r>
                                <w:r w:rsidRPr="00BB70AE">
                                  <w:rPr>
                                    <w:rFonts w:hAnsi="宋体"/>
                                    <w:b/>
                                  </w:rPr>
                                  <w:t>（</w:t>
                                </w:r>
                                <w:r>
                                  <w:rPr>
                                    <w:rFonts w:hint="eastAsia"/>
                                    <w:b/>
                                  </w:rPr>
                                  <w:t>4.2</w:t>
                                </w:r>
                                <w:r w:rsidRPr="00BB70AE">
                                  <w:rPr>
                                    <w:rFonts w:hAnsi="宋体"/>
                                    <w:b/>
                                  </w:rPr>
                                  <w:t>）</w:t>
                                </w:r>
                              </w:p>
                            </w:txbxContent>
                          </v:textbox>
                        </v:shape>
                        <v:group id="_x0000_s1647" style="position:absolute;left:4797;top:4178;width:3266;height:372" coordorigin="4797,4178" coordsize="3266,372">
                          <v:line id="_x0000_s1648" style="position:absolute" from="6839,4328" to="8063,4329">
                            <v:stroke endarrow="classic" endarrowlength="long"/>
                          </v:line>
                          <v:shape id="_x0000_s1649" type="#_x0000_t202" style="position:absolute;left:5704;top:4178;width:1135;height:372" filled="f">
                            <v:textbox style="mso-next-textbox:#_x0000_s1649" inset="0,0,0,0">
                              <w:txbxContent>
                                <w:p w:rsidR="00BB1CC7" w:rsidRPr="00070A86" w:rsidRDefault="00BB1CC7" w:rsidP="005F7BDD">
                                  <w:pPr>
                                    <w:jc w:val="center"/>
                                  </w:pPr>
                                  <w:r w:rsidRPr="00BB70AE">
                                    <w:rPr>
                                      <w:rFonts w:hAnsi="宋体"/>
                                    </w:rPr>
                                    <w:t>宿舍用水</w:t>
                                  </w:r>
                                </w:p>
                              </w:txbxContent>
                            </v:textbox>
                            <o:callout v:ext="edit" on="t" lengthspecified="t"/>
                          </v:shape>
                          <v:line id="_x0000_s1650" style="position:absolute" from="4797,4354" to="5696,4355">
                            <v:stroke endarrow="classic" endarrowlength="long"/>
                          </v:line>
                        </v:group>
                      </v:group>
                      <v:shape id="_x0000_s1651" type="#_x0000_t202" style="position:absolute;left:4923;top:4073;width:621;height:356" filled="f" stroked="f">
                        <v:textbox style="mso-next-textbox:#_x0000_s1651" inset="0,0,0,0">
                          <w:txbxContent>
                            <w:p w:rsidR="00BB1CC7" w:rsidRPr="00070A86" w:rsidRDefault="00BB1CC7" w:rsidP="005F7BDD">
                              <w:r>
                                <w:rPr>
                                  <w:rFonts w:hint="eastAsia"/>
                                  <w:b/>
                                </w:rPr>
                                <w:t xml:space="preserve"> 84.8</w:t>
                              </w:r>
                            </w:p>
                          </w:txbxContent>
                        </v:textbox>
                      </v:shape>
                    </v:group>
                  </v:group>
                </v:group>
              </v:group>
            </v:group>
          </v:group>
        </w:pict>
      </w: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F66BD1">
      <w:pPr>
        <w:jc w:val="center"/>
        <w:rPr>
          <w:b/>
          <w:color w:val="FF0000"/>
          <w:sz w:val="24"/>
        </w:rPr>
      </w:pPr>
    </w:p>
    <w:p w:rsidR="00C223F5" w:rsidRDefault="00C223F5" w:rsidP="004835BD">
      <w:pPr>
        <w:spacing w:beforeLines="50" w:before="156"/>
        <w:jc w:val="center"/>
        <w:rPr>
          <w:b/>
          <w:sz w:val="24"/>
        </w:rPr>
      </w:pPr>
    </w:p>
    <w:p w:rsidR="00C223F5" w:rsidRDefault="00C223F5" w:rsidP="004835BD">
      <w:pPr>
        <w:spacing w:beforeLines="50" w:before="156"/>
        <w:jc w:val="center"/>
        <w:rPr>
          <w:b/>
          <w:sz w:val="24"/>
        </w:rPr>
      </w:pPr>
    </w:p>
    <w:p w:rsidR="00C223F5" w:rsidRDefault="00C223F5" w:rsidP="004835BD">
      <w:pPr>
        <w:spacing w:beforeLines="50" w:before="156"/>
        <w:jc w:val="center"/>
        <w:rPr>
          <w:b/>
          <w:sz w:val="24"/>
        </w:rPr>
      </w:pPr>
    </w:p>
    <w:p w:rsidR="00C223F5" w:rsidRDefault="00C223F5" w:rsidP="004835BD">
      <w:pPr>
        <w:spacing w:beforeLines="50" w:before="156"/>
        <w:jc w:val="center"/>
        <w:rPr>
          <w:b/>
          <w:sz w:val="24"/>
        </w:rPr>
      </w:pPr>
    </w:p>
    <w:p w:rsidR="00C223F5" w:rsidRPr="00BB645D" w:rsidRDefault="005860D5" w:rsidP="004835BD">
      <w:pPr>
        <w:spacing w:beforeLines="50" w:before="156"/>
        <w:jc w:val="center"/>
        <w:rPr>
          <w:b/>
          <w:color w:val="FF0000"/>
          <w:sz w:val="24"/>
        </w:rPr>
      </w:pPr>
      <w:r w:rsidRPr="00BB645D">
        <w:rPr>
          <w:b/>
          <w:color w:val="FF0000"/>
          <w:sz w:val="24"/>
        </w:rPr>
        <w:t>图</w:t>
      </w:r>
      <w:r w:rsidRPr="00BB645D">
        <w:rPr>
          <w:rFonts w:hint="eastAsia"/>
          <w:b/>
          <w:color w:val="FF0000"/>
          <w:sz w:val="24"/>
        </w:rPr>
        <w:t xml:space="preserve">2.3.2-3   </w:t>
      </w:r>
      <w:r w:rsidRPr="00BB645D">
        <w:rPr>
          <w:b/>
          <w:color w:val="FF0000"/>
          <w:sz w:val="24"/>
        </w:rPr>
        <w:t>矿井</w:t>
      </w:r>
      <w:r w:rsidRPr="00BB645D">
        <w:rPr>
          <w:rFonts w:hint="eastAsia"/>
          <w:b/>
          <w:color w:val="FF0000"/>
          <w:sz w:val="24"/>
        </w:rPr>
        <w:t>采暖季</w:t>
      </w:r>
      <w:r w:rsidRPr="00BB645D">
        <w:rPr>
          <w:b/>
          <w:color w:val="FF0000"/>
          <w:sz w:val="24"/>
        </w:rPr>
        <w:t>水量平衡图</w:t>
      </w:r>
    </w:p>
    <w:p w:rsidR="00C223F5" w:rsidRPr="00925B84" w:rsidRDefault="005860D5" w:rsidP="004835BD">
      <w:pPr>
        <w:spacing w:beforeLines="50" w:before="156"/>
        <w:rPr>
          <w:szCs w:val="21"/>
        </w:rPr>
      </w:pPr>
      <w:r w:rsidRPr="00925B84">
        <w:rPr>
          <w:szCs w:val="21"/>
        </w:rPr>
        <w:t>说明：</w:t>
      </w:r>
      <w:r w:rsidRPr="00925B84">
        <w:rPr>
          <w:szCs w:val="21"/>
        </w:rPr>
        <w:t>1.</w:t>
      </w:r>
      <w:r w:rsidRPr="00925B84">
        <w:rPr>
          <w:szCs w:val="21"/>
        </w:rPr>
        <w:t>未特殊标明的数据为全矿正常用水量，各水量单位为</w:t>
      </w:r>
      <w:r w:rsidRPr="00925B84">
        <w:rPr>
          <w:szCs w:val="21"/>
        </w:rPr>
        <w:t>m</w:t>
      </w:r>
      <w:r w:rsidRPr="00925B84">
        <w:rPr>
          <w:szCs w:val="21"/>
          <w:vertAlign w:val="superscript"/>
        </w:rPr>
        <w:t>3</w:t>
      </w:r>
      <w:r w:rsidRPr="00925B84">
        <w:rPr>
          <w:szCs w:val="21"/>
        </w:rPr>
        <w:t>/d</w:t>
      </w:r>
      <w:r w:rsidRPr="00925B84">
        <w:rPr>
          <w:szCs w:val="21"/>
        </w:rPr>
        <w:t>；</w:t>
      </w:r>
    </w:p>
    <w:p w:rsidR="00C223F5" w:rsidRDefault="005860D5" w:rsidP="00C006A7">
      <w:pPr>
        <w:rPr>
          <w:szCs w:val="21"/>
        </w:rPr>
      </w:pPr>
      <w:r w:rsidRPr="00925B84">
        <w:rPr>
          <w:szCs w:val="21"/>
        </w:rPr>
        <w:t>2.“[  ]”</w:t>
      </w:r>
      <w:r w:rsidRPr="00925B84">
        <w:rPr>
          <w:szCs w:val="21"/>
        </w:rPr>
        <w:t>标明的数据为损失水量；</w:t>
      </w:r>
      <w:r w:rsidRPr="00925B84">
        <w:rPr>
          <w:szCs w:val="21"/>
        </w:rPr>
        <w:t>3.</w:t>
      </w:r>
      <w:r>
        <w:rPr>
          <w:rFonts w:hint="eastAsia"/>
          <w:szCs w:val="21"/>
        </w:rPr>
        <w:t>雨水及</w:t>
      </w:r>
      <w:r>
        <w:rPr>
          <w:szCs w:val="21"/>
        </w:rPr>
        <w:t>地面消防用水未参与水量平衡</w:t>
      </w:r>
      <w:r>
        <w:rPr>
          <w:rFonts w:hint="eastAsia"/>
          <w:szCs w:val="21"/>
        </w:rPr>
        <w:t>；</w:t>
      </w:r>
    </w:p>
    <w:p w:rsidR="00C223F5" w:rsidRDefault="003761EF" w:rsidP="00F66BD1">
      <w:pPr>
        <w:rPr>
          <w:szCs w:val="21"/>
        </w:rPr>
      </w:pPr>
      <w:r>
        <w:rPr>
          <w:szCs w:val="21"/>
        </w:rPr>
        <w:pict>
          <v:line id="直线 11916" o:spid="_x0000_s1254" style="position:absolute;left:0;text-align:left;flip:y;z-index:252152832" from="42.8pt,7.8pt" to="84.8pt,7.8pt" o:gfxdata="UEsDBAoAAAAAAIdO4kAAAAAAAAAAAAAAAAAEAAAAZHJzL1BLAwQUAAAACACHTuJAYNr0m9YAAAAI&#10;AQAADwAAAGRycy9kb3ducmV2LnhtbE1Py07DMBC8I/EP1iJxo05BhBDi9FBRQFWF1Ic4u/GSRLXX&#10;aew+4OvZiAOcdndmNDNbTM7OiiP2ofWkYDxKQCBV3rRUK9isZzcZiBA1GW09oYIvDDApLy8KnRt/&#10;oiUeV7EWbEIh1wqaGLtcylA16HQY+Q6JuU/fOx357Gtpen1ic2flbZKk0umWOKHRHU4brHarg1Pw&#10;8Ly+s9/T2fz1fd/tspewf/tYzJW6vhonTyAinuOfGIb6XB1K7rT1BzJBWAXZfcpKxoc58OkjL9tf&#10;QJaF/P9A+QNQSwMEFAAAAAgAh07iQChwQ47eAQAAowMAAA4AAABkcnMvZTJvRG9jLnhtbK1TS44T&#10;MRDdI3EHy3vS6QwZSCudWRCGDYKRBtjX+NNtyT+5POnkLFyDFRuOM9eg7GTCb4MQrZZVtsvP770q&#10;r6/2zrKdSmiC73k7m3OmvAjS+KHnHz9cP3vJGWbwEmzwqucHhfxq8/TJeoqdWoQxWKkSIxCP3RR7&#10;PuYcu6ZBMSoHOAtRedrUITnINE1DIxNMhO5ss5jPL5spJBlTEAqRVrfHTb6p+Forkd9rjSoz23Pi&#10;luuY6nhXxmazhm5IEEcjTjTgH1g4MJ4uPUNtIQO7T+YPKGdEChh0nongmqC1EapqIDXt/Dc1tyNE&#10;VbWQORjPNuH/gxXvdjeJGUm1W73gzIOjIj18/vLw9Rtr21V7WRyaInaUeBtv0mmGFBa5e50c09bE&#10;TwRQDSBJbF/9PZz9VfvMBC0uLy6ez6kK4nGrOSIUpJgwv1HBsRL03BpflEMHu7eY6VZKfUwpy9az&#10;qeer5WJJcECNoy1kCl0kKeiHehaDNfLaWFtOYBruXtnEdlBaoX5FG+H+klYu2QKOxzw7lHgbMv3H&#10;XhkVyNdesnyI5JSnpuaFiVOSM6voDZSIcKHLYOzfZBID64lIcfnoa4nugjxQZe5jMsNIhrSVbNmh&#10;Tqi0T11bWu3neUX68bY2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g2vSb1gAAAAgBAAAPAAAA&#10;AAAAAAEAIAAAACIAAABkcnMvZG93bnJldi54bWxQSwECFAAUAAAACACHTuJAKHBDjt4BAACjAwAA&#10;DgAAAAAAAAABACAAAAAlAQAAZHJzL2Uyb0RvYy54bWxQSwUGAAAAAAYABgBZAQAAdQUAAAAA&#10;">
            <v:stroke dashstyle="longDashDotDot"/>
          </v:line>
        </w:pict>
      </w:r>
      <w:r w:rsidR="005860D5">
        <w:rPr>
          <w:rFonts w:hint="eastAsia"/>
          <w:szCs w:val="21"/>
        </w:rPr>
        <w:t xml:space="preserve">      4</w:t>
      </w:r>
      <w:r w:rsidR="005860D5">
        <w:rPr>
          <w:szCs w:val="21"/>
        </w:rPr>
        <w:t>.</w:t>
      </w:r>
      <w:r w:rsidR="005860D5">
        <w:rPr>
          <w:rFonts w:hint="eastAsia"/>
          <w:szCs w:val="21"/>
        </w:rPr>
        <w:t xml:space="preserve">         </w:t>
      </w:r>
      <w:r w:rsidR="005860D5">
        <w:rPr>
          <w:rFonts w:hint="eastAsia"/>
          <w:szCs w:val="21"/>
        </w:rPr>
        <w:t>表示选煤厂用水量及去向</w:t>
      </w:r>
      <w:r w:rsidR="005860D5">
        <w:rPr>
          <w:szCs w:val="21"/>
        </w:rPr>
        <w:t>。</w:t>
      </w:r>
    </w:p>
    <w:p w:rsidR="00C223F5" w:rsidRDefault="00C223F5" w:rsidP="00F66BD1">
      <w:pPr>
        <w:jc w:val="center"/>
        <w:rPr>
          <w:b/>
          <w:color w:val="FF0000"/>
          <w:sz w:val="24"/>
        </w:rPr>
      </w:pPr>
    </w:p>
    <w:p w:rsidR="00C223F5" w:rsidRDefault="00C223F5" w:rsidP="00F66BD1"/>
    <w:p w:rsidR="00C223F5" w:rsidRDefault="00C223F5" w:rsidP="00F66BD1"/>
    <w:p w:rsidR="00C223F5" w:rsidRDefault="00C223F5" w:rsidP="00F66BD1"/>
    <w:p w:rsidR="00C223F5" w:rsidRDefault="00C223F5" w:rsidP="00F66BD1"/>
    <w:p w:rsidR="00C223F5" w:rsidRDefault="003761EF" w:rsidP="00F66BD1">
      <w:r>
        <w:rPr>
          <w:noProof/>
        </w:rPr>
        <w:pict>
          <v:group id="_x0000_s3080" style="position:absolute;left:0;text-align:left;margin-left:-28.95pt;margin-top:5.35pt;width:494pt;height:508.35pt;z-index:252281856" coordorigin="942,2171" coordsize="9880,10167">
            <v:line id="_x0000_s1668" style="position:absolute" from="8242,2564" to="8242,6249">
              <o:callout v:ext="edit" on="t" lengthspecified="t"/>
            </v:line>
            <v:group id="_x0000_s3079" style="position:absolute;left:942;top:2171;width:9880;height:10167" coordorigin="927,2186" coordsize="9880,10167">
              <v:group id="_x0000_s3077" style="position:absolute;left:927;top:5231;width:9880;height:7122" coordorigin="927,5231" coordsize="9880,7122">
                <v:line id="_x0000_s1654" style="position:absolute;flip:x y" from="3867,5971" to="3867,11889">
                  <v:stroke startarrowlength="long" endarrowlength="long"/>
                </v:line>
                <v:group id="_x0000_s3075" style="position:absolute;left:927;top:6823;width:9880;height:5530" coordorigin="957,6823" coordsize="9880,5530">
                  <v:group id="_x0000_s1811" style="position:absolute;left:3897;top:9956;width:3230;height:340" coordorigin="4276,9625" coordsize="3230,340">
                    <v:shape id="_x0000_s1812" type="#_x0000_t202" style="position:absolute;left:5586;top:9625;width:743;height:339" filled="f" stroked="f">
                      <v:textbox style="mso-next-textbox:#_x0000_s1812" inset="1mm,.1mm,.1mm,1mm">
                        <w:txbxContent>
                          <w:p w:rsidR="00BB1CC7" w:rsidRPr="00CF46FB" w:rsidRDefault="00BB1CC7" w:rsidP="005F7BDD">
                            <w:pPr>
                              <w:rPr>
                                <w:b/>
                              </w:rPr>
                            </w:pPr>
                            <w:r>
                              <w:rPr>
                                <w:rFonts w:hint="eastAsia"/>
                                <w:b/>
                              </w:rPr>
                              <w:t>26.3</w:t>
                            </w:r>
                          </w:p>
                        </w:txbxContent>
                      </v:textbox>
                    </v:shape>
                    <v:shape id="_x0000_s1813" type="#_x0000_t32" style="position:absolute;left:4276;top:9964;width:3230;height:1;flip:y" o:connectortype="straight">
                      <v:stroke endarrow="classic" endarrowlength="long"/>
                    </v:shape>
                    <v:line id="_x0000_s1814" style="position:absolute;flip:x" from="7491,9681" to="7497,9947">
                      <v:stroke startarrow="classic" startarrowlength="long" endarrowlength="long"/>
                    </v:line>
                  </v:group>
                  <v:group id="_x0000_s1736" style="position:absolute;left:957;top:7640;width:2968;height:833" coordorigin="976,7279" coordsize="2968,833">
                    <v:shape id="_x0000_s1737" type="#_x0000_t202" style="position:absolute;left:3032;top:7346;width:708;height:435" filled="f" stroked="f" strokecolor="white">
                      <v:textbox style="mso-next-textbox:#_x0000_s1737" inset=".5mm,.3mm,.5mm,.3mm">
                        <w:txbxContent>
                          <w:p w:rsidR="00BB1CC7" w:rsidRPr="009E0C63" w:rsidRDefault="00BB1CC7" w:rsidP="005F7BDD">
                            <w:pPr>
                              <w:jc w:val="center"/>
                              <w:rPr>
                                <w:b/>
                                <w:szCs w:val="21"/>
                              </w:rPr>
                            </w:pPr>
                            <w:r>
                              <w:rPr>
                                <w:rFonts w:hint="eastAsia"/>
                                <w:b/>
                                <w:szCs w:val="21"/>
                              </w:rPr>
                              <w:t>1920</w:t>
                            </w:r>
                          </w:p>
                        </w:txbxContent>
                      </v:textbox>
                    </v:shape>
                    <v:line id="_x0000_s1738" style="position:absolute" from="2972,7692" to="3944,7692">
                      <v:stroke endarrow="classic" endarrowlength="long"/>
                    </v:line>
                    <v:group id="_x0000_s1739" style="position:absolute;left:976;top:7279;width:1996;height:833" coordorigin="545,12142" coordsize="1996,833">
                      <v:shape id="_x0000_s1740" type="#_x0000_t202" style="position:absolute;left:1805;top:12142;width:736;height:833">
                        <v:textbox style="mso-next-textbox:#_x0000_s1740" inset="1mm,.1mm,.1mm,1mm">
                          <w:txbxContent>
                            <w:p w:rsidR="00BB1CC7" w:rsidRPr="00070A86" w:rsidRDefault="00BB1CC7" w:rsidP="005F7BDD">
                              <w:pPr>
                                <w:rPr>
                                  <w:szCs w:val="21"/>
                                </w:rPr>
                              </w:pPr>
                              <w:r w:rsidRPr="00BB70AE">
                                <w:rPr>
                                  <w:rFonts w:hAnsi="宋体"/>
                                  <w:szCs w:val="21"/>
                                </w:rPr>
                                <w:t>矿井水处理站</w:t>
                              </w:r>
                            </w:p>
                          </w:txbxContent>
                        </v:textbox>
                      </v:shape>
                      <v:group id="_x0000_s1741" style="position:absolute;left:545;top:12153;width:1260;height:753" coordorigin="545,12153" coordsize="1260,753">
                        <v:shape id="_x0000_s1742" type="#_x0000_t202" style="position:absolute;left:545;top:12153;width:550;height:753">
                          <v:textbox style="mso-next-textbox:#_x0000_s1742" inset="1mm,.1mm,.1mm,0">
                            <w:txbxContent>
                              <w:p w:rsidR="00BB1CC7" w:rsidRPr="00070A86" w:rsidRDefault="00BB1CC7" w:rsidP="005F7BDD">
                                <w:pPr>
                                  <w:jc w:val="center"/>
                                </w:pPr>
                                <w:r w:rsidRPr="00BB70AE">
                                  <w:rPr>
                                    <w:rFonts w:hAnsi="宋体"/>
                                  </w:rPr>
                                  <w:t>井下排水</w:t>
                                </w:r>
                              </w:p>
                            </w:txbxContent>
                          </v:textbox>
                        </v:shape>
                        <v:shape id="_x0000_s1743" type="#_x0000_t202" style="position:absolute;left:1067;top:12209;width:616;height:435" filled="f" stroked="f" strokecolor="white">
                          <v:textbox style="mso-next-textbox:#_x0000_s1743" inset=".5mm,.3mm,.5mm,.3mm">
                            <w:txbxContent>
                              <w:p w:rsidR="00BB1CC7" w:rsidRPr="00070A86" w:rsidRDefault="00BB1CC7" w:rsidP="005F7BDD">
                                <w:pPr>
                                  <w:rPr>
                                    <w:b/>
                                    <w:szCs w:val="21"/>
                                  </w:rPr>
                                </w:pPr>
                                <w:r>
                                  <w:rPr>
                                    <w:rFonts w:hint="eastAsia"/>
                                    <w:b/>
                                    <w:szCs w:val="21"/>
                                  </w:rPr>
                                  <w:t xml:space="preserve"> 1920</w:t>
                                </w:r>
                              </w:p>
                            </w:txbxContent>
                          </v:textbox>
                        </v:shape>
                        <v:line id="_x0000_s1744" style="position:absolute" from="1097,12555" to="1805,12555">
                          <v:stroke endarrow="classic" endarrowlength="long"/>
                        </v:line>
                      </v:group>
                    </v:group>
                  </v:group>
                  <v:group id="_x0000_s1745" style="position:absolute;left:1207;top:8395;width:5603;height:3958" coordorigin="1586,8064" coordsize="5603,3958">
                    <v:group id="_x0000_s1746" style="position:absolute;left:4287;top:10024;width:2539;height:589" coordorigin="3496,14827" coordsize="2539,589">
                      <v:shape id="_x0000_s1747" type="#_x0000_t202" style="position:absolute;left:3575;top:14827;width:756;height:341" filled="f" stroked="f" strokecolor="white">
                        <v:textbox style="mso-next-textbox:#_x0000_s1747" inset=".5mm,.1mm,.5mm,.3mm">
                          <w:txbxContent>
                            <w:p w:rsidR="00BB1CC7" w:rsidRPr="00070A86" w:rsidRDefault="00BB1CC7" w:rsidP="005F7BDD">
                              <w:pPr>
                                <w:ind w:firstLineChars="49" w:firstLine="103"/>
                                <w:rPr>
                                  <w:b/>
                                  <w:szCs w:val="21"/>
                                </w:rPr>
                              </w:pPr>
                              <w:r>
                                <w:rPr>
                                  <w:rFonts w:hint="eastAsia"/>
                                  <w:b/>
                                </w:rPr>
                                <w:t>1107.7</w:t>
                              </w:r>
                            </w:p>
                          </w:txbxContent>
                        </v:textbox>
                      </v:shape>
                      <v:group id="_x0000_s1748" style="position:absolute;left:3496;top:14993;width:2539;height:423" coordorigin="3496,15188" coordsize="2539,423">
                        <v:line id="_x0000_s1749" style="position:absolute" from="3496,15383" to="4460,15383">
                          <v:stroke endarrow="classic" endarrowlength="long"/>
                        </v:line>
                        <v:shape id="_x0000_s1750" type="#_x0000_t202" style="position:absolute;left:4451;top:15188;width:1584;height:423">
                          <v:textbox style="mso-next-textbox:#_x0000_s1750" inset="1mm,.5mm,1mm,.5mm">
                            <w:txbxContent>
                              <w:p w:rsidR="00BB1CC7" w:rsidRPr="004732AA" w:rsidRDefault="00BB1CC7" w:rsidP="005F7BDD">
                                <w:pPr>
                                  <w:jc w:val="center"/>
                                  <w:rPr>
                                    <w:szCs w:val="21"/>
                                  </w:rPr>
                                </w:pPr>
                                <w:r>
                                  <w:rPr>
                                    <w:rFonts w:hint="eastAsia"/>
                                    <w:szCs w:val="21"/>
                                  </w:rPr>
                                  <w:t>井下洒水</w:t>
                                </w:r>
                              </w:p>
                            </w:txbxContent>
                          </v:textbox>
                        </v:shape>
                      </v:group>
                    </v:group>
                    <v:group id="_x0000_s1751" style="position:absolute;left:4294;top:10588;width:2539;height:609" coordorigin="3503,15406" coordsize="2539,609">
                      <v:shape id="_x0000_s1752" type="#_x0000_t202" style="position:absolute;left:3561;top:15406;width:770;height:381" filled="f" stroked="f" strokecolor="white">
                        <v:textbox style="mso-next-textbox:#_x0000_s1752" inset=".5mm,.3mm,.5mm,.3mm">
                          <w:txbxContent>
                            <w:p w:rsidR="00BB1CC7" w:rsidRPr="008914BC" w:rsidRDefault="00BB1CC7" w:rsidP="005F7BDD">
                              <w:pPr>
                                <w:jc w:val="center"/>
                                <w:rPr>
                                  <w:b/>
                                  <w:color w:val="FF0000"/>
                                  <w:szCs w:val="21"/>
                                </w:rPr>
                              </w:pPr>
                              <w:r>
                                <w:rPr>
                                  <w:rFonts w:hint="eastAsia"/>
                                  <w:b/>
                                  <w:color w:val="FF0000"/>
                                </w:rPr>
                                <w:t>553</w:t>
                              </w:r>
                            </w:p>
                          </w:txbxContent>
                        </v:textbox>
                      </v:shape>
                      <v:group id="_x0000_s1753" style="position:absolute;left:3503;top:15592;width:2539;height:423" coordorigin="3496,15188" coordsize="2539,423">
                        <v:line id="_x0000_s1754" style="position:absolute" from="3496,15383" to="4460,15383">
                          <v:stroke endarrow="classic" endarrowlength="long"/>
                        </v:line>
                        <v:shape id="_x0000_s1755" type="#_x0000_t202" style="position:absolute;left:4451;top:15188;width:1584;height:423">
                          <v:textbox style="mso-next-textbox:#_x0000_s1755" inset="1mm,.5mm,1mm,.5mm">
                            <w:txbxContent>
                              <w:p w:rsidR="00BB1CC7" w:rsidRPr="004732AA" w:rsidRDefault="00BB1CC7" w:rsidP="005F7BDD">
                                <w:pPr>
                                  <w:jc w:val="center"/>
                                  <w:rPr>
                                    <w:szCs w:val="21"/>
                                  </w:rPr>
                                </w:pPr>
                                <w:r>
                                  <w:rPr>
                                    <w:rFonts w:hint="eastAsia"/>
                                    <w:szCs w:val="21"/>
                                  </w:rPr>
                                  <w:t>排至蚂蚁河</w:t>
                                </w:r>
                              </w:p>
                            </w:txbxContent>
                          </v:textbox>
                        </v:shape>
                      </v:group>
                    </v:group>
                    <v:group id="_x0000_s1756" style="position:absolute;left:4291;top:11179;width:2539;height:609" coordorigin="3503,15406" coordsize="2539,609">
                      <v:shape id="_x0000_s1757" type="#_x0000_t202" style="position:absolute;left:3561;top:15406;width:770;height:381" filled="f" stroked="f" strokecolor="white">
                        <v:textbox style="mso-next-textbox:#_x0000_s1757" inset=".5mm,.3mm,.5mm,.3mm">
                          <w:txbxContent>
                            <w:p w:rsidR="00BB1CC7" w:rsidRPr="00070A86" w:rsidRDefault="00BB1CC7" w:rsidP="005F7BDD">
                              <w:pPr>
                                <w:jc w:val="center"/>
                                <w:rPr>
                                  <w:b/>
                                  <w:szCs w:val="21"/>
                                </w:rPr>
                              </w:pPr>
                              <w:r>
                                <w:rPr>
                                  <w:rFonts w:hint="eastAsia"/>
                                  <w:b/>
                                </w:rPr>
                                <w:t>173</w:t>
                              </w:r>
                            </w:p>
                          </w:txbxContent>
                        </v:textbox>
                      </v:shape>
                      <v:group id="_x0000_s1758" style="position:absolute;left:3503;top:15592;width:2539;height:423" coordorigin="3496,15188" coordsize="2539,423">
                        <v:line id="_x0000_s1759" style="position:absolute" from="3496,15383" to="4460,15383">
                          <v:stroke endarrow="classic" endarrowlength="long"/>
                        </v:line>
                        <v:shape id="_x0000_s1760" type="#_x0000_t202" style="position:absolute;left:4451;top:15188;width:1584;height:423">
                          <v:textbox style="mso-next-textbox:#_x0000_s1760" inset="1mm,.5mm,1mm,.5mm">
                            <w:txbxContent>
                              <w:p w:rsidR="00BB1CC7" w:rsidRPr="00070A86" w:rsidRDefault="00BB1CC7" w:rsidP="005F7BDD">
                                <w:pPr>
                                  <w:jc w:val="center"/>
                                  <w:rPr>
                                    <w:szCs w:val="21"/>
                                  </w:rPr>
                                </w:pPr>
                                <w:r>
                                  <w:rPr>
                                    <w:rFonts w:hAnsi="宋体" w:hint="eastAsia"/>
                                    <w:szCs w:val="21"/>
                                  </w:rPr>
                                  <w:t>黄泥灌浆用水</w:t>
                                </w:r>
                              </w:p>
                            </w:txbxContent>
                          </v:textbox>
                        </v:shape>
                      </v:group>
                    </v:group>
                    <v:group id="_x0000_s1761" style="position:absolute;left:1586;top:8064;width:5603;height:3958" coordorigin="1226,8034" coordsize="5603,3958">
                      <v:line id="_x0000_s1762" style="position:absolute" from="1256,8034" to="1256,11923">
                        <v:stroke startarrow="classic" startarrowlength="long" endarrowlength="long"/>
                      </v:line>
                      <v:shape id="_x0000_s1763" type="#_x0000_t202" style="position:absolute;left:2641;top:11611;width:1022;height:381" filled="f" stroked="f" strokecolor="white">
                        <v:textbox style="mso-next-textbox:#_x0000_s1763" inset=".5mm,.3mm,.5mm,.3mm">
                          <w:txbxContent>
                            <w:p w:rsidR="00BB1CC7" w:rsidRPr="00930EB5" w:rsidRDefault="00BB1CC7" w:rsidP="005F7BDD">
                              <w:pPr>
                                <w:rPr>
                                  <w:szCs w:val="21"/>
                                </w:rPr>
                              </w:pPr>
                              <w:r w:rsidRPr="00930EB5">
                                <w:rPr>
                                  <w:rFonts w:hint="eastAsia"/>
                                </w:rPr>
                                <w:t>析出水</w:t>
                              </w:r>
                            </w:p>
                          </w:txbxContent>
                        </v:textbox>
                      </v:shape>
                      <v:line id="_x0000_s1764" style="position:absolute;flip:y" from="6816,11598" to="6816,11938">
                        <v:stroke startarrow="classic" startarrowlength="long" endarrowlength="long"/>
                      </v:line>
                      <v:line id="_x0000_s1765" style="position:absolute;flip:x" from="1226,11921" to="6826,11921">
                        <v:stroke endarrow="classic" endarrowlength="long"/>
                      </v:line>
                      <v:line id="_x0000_s1766" style="position:absolute;flip:x y" from="6483,11575" to="6829,11575">
                        <v:stroke startarrow="classic" startarrowlength="long" endarrowlength="long"/>
                      </v:line>
                    </v:group>
                  </v:group>
                  <v:group id="_x0000_s1767" style="position:absolute;left:5081;top:6823;width:5756;height:3189" coordorigin="5460,6492" coordsize="5756,3189">
                    <v:group id="_x0000_s1768" style="position:absolute;left:5767;top:6493;width:5449;height:2800" coordorigin="5527,6463" coordsize="5449,2800">
                      <v:shape id="_x0000_s1769" type="#_x0000_t202" style="position:absolute;left:5527;top:6834;width:735;height:528;v-text-anchor:middle" filled="f" strokecolor="white">
                        <v:stroke dashstyle="longDashDotDot" startarrowlength="long" endarrowlength="long"/>
                        <v:textbox style="mso-next-textbox:#_x0000_s1769" inset="0,,0">
                          <w:txbxContent>
                            <w:p w:rsidR="00BB1CC7" w:rsidRPr="00070A86" w:rsidRDefault="00BB1CC7" w:rsidP="005F7BDD">
                              <w:pPr>
                                <w:rPr>
                                  <w:b/>
                                </w:rPr>
                              </w:pPr>
                              <w:r>
                                <w:rPr>
                                  <w:rFonts w:hint="eastAsia"/>
                                  <w:b/>
                                </w:rPr>
                                <w:t>229.5</w:t>
                              </w:r>
                            </w:p>
                            <w:p w:rsidR="00BB1CC7" w:rsidRPr="00070A86" w:rsidRDefault="00BB1CC7" w:rsidP="005F7BDD"/>
                          </w:txbxContent>
                        </v:textbox>
                      </v:shape>
                      <v:line id="_x0000_s1770" style="position:absolute" from="6171,6463" to="6171,7854">
                        <v:stroke endarrow="classic" endarrowlength="long"/>
                      </v:line>
                      <v:group id="_x0000_s1771" style="position:absolute;left:6074;top:6502;width:4902;height:2761" coordorigin="6074,6502" coordsize="4902,2761">
                        <v:shape id="_x0000_s1772" type="#_x0000_t202" style="position:absolute;left:6201;top:6502;width:1696;height:599" stroked="f">
                          <v:textbox style="mso-next-textbox:#_x0000_s1772">
                            <w:txbxContent>
                              <w:p w:rsidR="00BB1CC7" w:rsidRPr="00070A86" w:rsidRDefault="00BB1CC7" w:rsidP="005F7BDD">
                                <w:r w:rsidRPr="00BB70AE">
                                  <w:rPr>
                                    <w:rFonts w:hAnsi="宋体"/>
                                  </w:rPr>
                                  <w:t>原煤带入</w:t>
                                </w:r>
                                <w:r>
                                  <w:rPr>
                                    <w:rFonts w:hint="eastAsia"/>
                                    <w:b/>
                                  </w:rPr>
                                  <w:t>119.6</w:t>
                                </w:r>
                              </w:p>
                            </w:txbxContent>
                          </v:textbox>
                        </v:shape>
                        <v:line id="_x0000_s1773" style="position:absolute" from="6578,6972" to="6578,7795">
                          <v:stroke dashstyle="longDashDotDot" endarrow="classic" endarrowlength="long"/>
                        </v:line>
                        <v:shape id="_x0000_s1774" type="#_x0000_t202" style="position:absolute;left:6074;top:7854;width:1584;height:408">
                          <v:textbox style="mso-next-textbox:#_x0000_s1774" inset="1mm,.5mm,1mm,.5mm">
                            <w:txbxContent>
                              <w:p w:rsidR="00BB1CC7" w:rsidRPr="00070A86" w:rsidRDefault="00BB1CC7" w:rsidP="005F7BDD">
                                <w:pPr>
                                  <w:jc w:val="center"/>
                                  <w:rPr>
                                    <w:szCs w:val="21"/>
                                  </w:rPr>
                                </w:pPr>
                                <w:r>
                                  <w:rPr>
                                    <w:rFonts w:hint="eastAsia"/>
                                    <w:szCs w:val="21"/>
                                  </w:rPr>
                                  <w:t>选煤厂补充水</w:t>
                                </w:r>
                              </w:p>
                            </w:txbxContent>
                          </v:textbox>
                        </v:shape>
                        <v:group id="_x0000_s1775" style="position:absolute;left:6700;top:6798;width:3225;height:1035" coordorigin="6242,11365" coordsize="3225,829">
                          <v:shape id="_x0000_s1776" type="#_x0000_t202" style="position:absolute;left:7783;top:11365;width:1684;height:361">
                            <v:textbox style="mso-next-textbox:#_x0000_s1776" inset=".1mm,.5mm,.1mm,.5mm">
                              <w:txbxContent>
                                <w:p w:rsidR="00BB1CC7" w:rsidRPr="00070A86" w:rsidRDefault="00BB1CC7" w:rsidP="005F7BDD">
                                  <w:pPr>
                                    <w:jc w:val="center"/>
                                  </w:pPr>
                                  <w:r w:rsidRPr="00BB70AE">
                                    <w:rPr>
                                      <w:rFonts w:hAnsi="宋体"/>
                                    </w:rPr>
                                    <w:t>煤泥水处理系统</w:t>
                                  </w:r>
                                </w:p>
                              </w:txbxContent>
                            </v:textbox>
                          </v:shape>
                          <v:group id="_x0000_s1777" style="position:absolute;left:6242;top:11504;width:1632;height:690" coordorigin="6242,11504" coordsize="1632,690">
                            <v:shape id="_x0000_s1778" type="#_x0000_t202" style="position:absolute;left:6885;top:11822;width:976;height:372" filled="f" stroked="f">
                              <v:textbox style="mso-next-textbox:#_x0000_s1778" inset=",0,,0">
                                <w:txbxContent>
                                  <w:p w:rsidR="00BB1CC7" w:rsidRPr="00070A86" w:rsidRDefault="00BB1CC7" w:rsidP="005F7BDD">
                                    <w:pPr>
                                      <w:rPr>
                                        <w:b/>
                                      </w:rPr>
                                    </w:pPr>
                                    <w:r>
                                      <w:rPr>
                                        <w:rFonts w:hint="eastAsia"/>
                                        <w:b/>
                                      </w:rPr>
                                      <w:t>4990.5</w:t>
                                    </w:r>
                                  </w:p>
                                </w:txbxContent>
                              </v:textbox>
                            </v:shape>
                            <v:group id="_x0000_s1779" style="position:absolute;left:6242;top:11504;width:1632;height:340" coordorigin="6242,11504" coordsize="1632,340">
                              <v:shape id="_x0000_s1780" type="#_x0000_t202" style="position:absolute;left:6307;top:11504;width:976;height:255" filled="f" stroked="f">
                                <v:textbox style="mso-next-textbox:#_x0000_s1780" inset=",0,,0">
                                  <w:txbxContent>
                                    <w:p w:rsidR="00BB1CC7" w:rsidRPr="00070A86" w:rsidRDefault="00BB1CC7" w:rsidP="005F7BDD">
                                      <w:pPr>
                                        <w:rPr>
                                          <w:b/>
                                        </w:rPr>
                                      </w:pPr>
                                      <w:r>
                                        <w:rPr>
                                          <w:rFonts w:hint="eastAsia"/>
                                          <w:b/>
                                        </w:rPr>
                                        <w:t>4990.5</w:t>
                                      </w:r>
                                    </w:p>
                                  </w:txbxContent>
                                </v:textbox>
                              </v:shape>
                              <v:line id="_x0000_s1781" style="position:absolute;rotation:-1875015fd" from="6242,11744" to="7874,11744">
                                <v:stroke dashstyle="longDashDotDot" endarrow="classic" endarrowlength="long"/>
                              </v:line>
                              <v:line id="_x0000_s1782" style="position:absolute;rotation:-1875015fd" from="6473,11822" to="7853,11844">
                                <v:stroke dashstyle="longDashDotDot" startarrow="classic" startarrowlength="long"/>
                              </v:line>
                            </v:group>
                          </v:group>
                        </v:group>
                        <v:group id="_x0000_s1783" style="position:absolute;left:7653;top:7297;width:3323;height:1966" coordorigin="7653,7297" coordsize="3323,1966">
                          <v:line id="_x0000_s1784" style="position:absolute;flip:y" from="7653,8071" to="8134,8071">
                            <v:stroke dashstyle="longDashDotDot" endarrow="classic" endarrowlength="long"/>
                          </v:line>
                          <v:group id="_x0000_s1785" style="position:absolute;left:8016;top:7297;width:2960;height:1966" coordorigin="8676,7297" coordsize="2960,1966">
                            <v:line id="_x0000_s1786" style="position:absolute;flip:y" from="8774,8071" to="8774,8972">
                              <v:stroke dashstyle="longDashDotDot" endarrowlength="long"/>
                            </v:line>
                            <v:group id="_x0000_s1787" style="position:absolute;left:8676;top:7297;width:2960;height:1966" coordorigin="8151,7297" coordsize="2960,1966">
                              <v:group id="_x0000_s1788" style="position:absolute;left:9979;top:7971;width:675;height:469" coordorigin="9491,12290" coordsize="675,376">
                                <v:line id="_x0000_s1789" style="position:absolute;flip:x" from="9551,12666" to="10117,12666">
                                  <v:stroke dashstyle="longDashDotDot" startarrow="classic" startarrowlength="long" endarrowlength="long"/>
                                </v:line>
                                <v:shape id="_x0000_s1790" type="#_x0000_t202" style="position:absolute;left:9491;top:12290;width:675;height:376;v-text-anchor:middle" filled="f" stroked="f">
                                  <v:textbox style="mso-next-textbox:#_x0000_s1790" inset="0,,0">
                                    <w:txbxContent>
                                      <w:p w:rsidR="00BB1CC7" w:rsidRPr="00070A86" w:rsidRDefault="00BB1CC7" w:rsidP="005F7BDD">
                                        <w:r>
                                          <w:rPr>
                                            <w:rFonts w:hint="eastAsia"/>
                                            <w:b/>
                                          </w:rPr>
                                          <w:t xml:space="preserve"> 349.1</w:t>
                                        </w:r>
                                      </w:p>
                                    </w:txbxContent>
                                  </v:textbox>
                                </v:shape>
                              </v:group>
                              <v:shape id="_x0000_s1791" type="#_x0000_t202" style="position:absolute;left:10654;top:7574;width:457;height:1689" filled="f" stroked="f">
                                <v:textbox style="mso-next-textbox:#_x0000_s1791" inset="0">
                                  <w:txbxContent>
                                    <w:p w:rsidR="00BB1CC7" w:rsidRPr="00070A86" w:rsidRDefault="00BB1CC7" w:rsidP="005F7BDD">
                                      <w:r w:rsidRPr="00BB70AE">
                                        <w:rPr>
                                          <w:rFonts w:hAnsi="宋体"/>
                                        </w:rPr>
                                        <w:t>产品带走</w:t>
                                      </w:r>
                                    </w:p>
                                  </w:txbxContent>
                                </v:textbox>
                              </v:shape>
                              <v:group id="_x0000_s1792" style="position:absolute;left:8484;top:7297;width:1569;height:664" coordorigin="7981,11753" coordsize="1569,532">
                                <v:shape id="_x0000_s1793" type="#_x0000_t202" style="position:absolute;left:8011;top:11844;width:1539;height:441" stroked="f">
                                  <v:textbox style="mso-next-textbox:#_x0000_s1793">
                                    <w:txbxContent>
                                      <w:p w:rsidR="00BB1CC7" w:rsidRPr="00070A86" w:rsidRDefault="00BB1CC7" w:rsidP="005F7BDD">
                                        <w:pPr>
                                          <w:rPr>
                                            <w:b/>
                                          </w:rPr>
                                        </w:pPr>
                                        <w:r w:rsidRPr="00BB70AE">
                                          <w:rPr>
                                            <w:rFonts w:hAnsi="宋体" w:hint="eastAsia"/>
                                          </w:rPr>
                                          <w:t>煤泥</w:t>
                                        </w:r>
                                        <w:r w:rsidRPr="00BB70AE">
                                          <w:rPr>
                                            <w:rFonts w:hAnsi="宋体"/>
                                          </w:rPr>
                                          <w:t>带走</w:t>
                                        </w:r>
                                        <w:r>
                                          <w:rPr>
                                            <w:rFonts w:hint="eastAsia"/>
                                            <w:b/>
                                          </w:rPr>
                                          <w:t>35.4</w:t>
                                        </w:r>
                                      </w:p>
                                    </w:txbxContent>
                                  </v:textbox>
                                </v:shape>
                                <v:line id="_x0000_s1794" style="position:absolute" from="7981,12285" to="9540,12285">
                                  <v:stroke dashstyle="longDashDotDot" endarrow="classic" endarrowlength="long"/>
                                </v:line>
                                <v:line id="_x0000_s1795" style="position:absolute" from="7981,11753" to="7981,12240">
                                  <v:stroke dashstyle="longDashDotDot" endarrow="classic" endarrowlength="long"/>
                                </v:line>
                              </v:group>
                              <v:line id="_x0000_s1796" style="position:absolute" from="10069,7983" to="10069,8996">
                                <v:stroke dashstyle="longDashDotDot" startarrowlength="long" endarrowlength="long"/>
                              </v:line>
                              <v:shape id="_x0000_s1797" type="#_x0000_t202" style="position:absolute;left:8167;top:8548;width:2055;height:550" filled="f" stroked="f">
                                <v:textbox style="mso-next-textbox:#_x0000_s1797" inset=".2mm,,.2mm">
                                  <w:txbxContent>
                                    <w:p w:rsidR="00BB1CC7" w:rsidRPr="00070A86" w:rsidRDefault="00BB1CC7" w:rsidP="005F7BDD">
                                      <w:pPr>
                                        <w:ind w:firstLineChars="50" w:firstLine="99"/>
                                      </w:pPr>
                                      <w:r>
                                        <w:rPr>
                                          <w:rFonts w:hAnsi="宋体" w:hint="eastAsia"/>
                                          <w:spacing w:val="-6"/>
                                        </w:rPr>
                                        <w:t>精煤中煤</w:t>
                                      </w:r>
                                      <w:r w:rsidRPr="00BB70AE">
                                        <w:rPr>
                                          <w:rFonts w:hAnsi="宋体"/>
                                          <w:spacing w:val="-6"/>
                                        </w:rPr>
                                        <w:t>带走</w:t>
                                      </w:r>
                                      <w:r>
                                        <w:rPr>
                                          <w:rFonts w:hint="eastAsia"/>
                                          <w:b/>
                                        </w:rPr>
                                        <w:t>223.5</w:t>
                                      </w:r>
                                    </w:p>
                                    <w:p w:rsidR="00BB1CC7" w:rsidRPr="00070A86" w:rsidRDefault="00BB1CC7" w:rsidP="005F7BDD"/>
                                  </w:txbxContent>
                                </v:textbox>
                              </v:shape>
                              <v:shape id="_x0000_s1798" type="#_x0000_t202" style="position:absolute;left:8151;top:8015;width:1729;height:550" filled="f" stroked="f">
                                <v:textbox style="mso-next-textbox:#_x0000_s1798">
                                  <w:txbxContent>
                                    <w:p w:rsidR="00BB1CC7" w:rsidRPr="00070A86" w:rsidRDefault="00BB1CC7" w:rsidP="005F7BDD">
                                      <w:r w:rsidRPr="00BB70AE">
                                        <w:rPr>
                                          <w:rFonts w:hAnsi="宋体"/>
                                        </w:rPr>
                                        <w:t>矸石带走</w:t>
                                      </w:r>
                                      <w:r>
                                        <w:rPr>
                                          <w:rFonts w:hint="eastAsia"/>
                                          <w:b/>
                                        </w:rPr>
                                        <w:t>90.2</w:t>
                                      </w:r>
                                    </w:p>
                                  </w:txbxContent>
                                </v:textbox>
                              </v:shape>
                              <v:line id="_x0000_s1799" style="position:absolute" from="8264,8439" to="10050,8439">
                                <v:stroke dashstyle="longDashDotDot" endarrow="classic" endarrowlength="long"/>
                              </v:line>
                              <v:line id="_x0000_s1800" style="position:absolute" from="8264,8976" to="10050,8976">
                                <v:stroke dashstyle="longDashDotDot" endarrow="classic" endarrowlength="long"/>
                              </v:line>
                            </v:group>
                          </v:group>
                        </v:group>
                      </v:group>
                    </v:group>
                    <v:line id="_x0000_s1801" style="position:absolute" from="5464,6492" to="9773,6492"/>
                    <v:line id="_x0000_s1802" style="position:absolute;flip:y" from="5460,6509" to="5460,9479"/>
                    <v:group id="_x0000_s1803" style="position:absolute;left:5464;top:8982;width:2990;height:699" coordorigin="4814,7014" coordsize="2990,619">
                      <v:shape id="_x0000_s1804" type="#_x0000_t202" style="position:absolute;left:4814;top:7014;width:735;height:440" filled="f" stroked="f" strokecolor="white">
                        <v:stroke dashstyle="longDashDotDot" startarrowlength="long" endarrowlength="long"/>
                        <v:textbox style="mso-next-textbox:#_x0000_s1804">
                          <w:txbxContent>
                            <w:p w:rsidR="00BB1CC7" w:rsidRPr="00070A86" w:rsidRDefault="00BB1CC7" w:rsidP="005F7BDD">
                              <w:pPr>
                                <w:rPr>
                                  <w:b/>
                                </w:rPr>
                              </w:pPr>
                              <w:r>
                                <w:rPr>
                                  <w:rFonts w:hint="eastAsia"/>
                                  <w:b/>
                                </w:rPr>
                                <w:t>59.2</w:t>
                              </w:r>
                            </w:p>
                            <w:p w:rsidR="00BB1CC7" w:rsidRPr="00070A86" w:rsidRDefault="00BB1CC7" w:rsidP="005F7BDD"/>
                          </w:txbxContent>
                        </v:textbox>
                      </v:shape>
                      <v:shape id="_x0000_s1805" type="#_x0000_t32" style="position:absolute;left:4822;top:7454;width:822;height:0" o:connectortype="straight">
                        <v:stroke endarrow="classic" endarrowlength="long"/>
                      </v:shape>
                      <v:shape id="_x0000_s1806" type="#_x0000_t202" style="position:absolute;left:5673;top:7254;width:2131;height:379">
                        <v:textbox style="mso-next-textbox:#_x0000_s1806" inset=".1mm,.5mm,.1mm,.5mm">
                          <w:txbxContent>
                            <w:p w:rsidR="00BB1CC7" w:rsidRPr="009E0C63" w:rsidRDefault="00BB1CC7" w:rsidP="005F7BDD">
                              <w:pPr>
                                <w:jc w:val="center"/>
                              </w:pPr>
                              <w:r>
                                <w:rPr>
                                  <w:rFonts w:hint="eastAsia"/>
                                  <w:spacing w:val="-6"/>
                                  <w:szCs w:val="21"/>
                                </w:rPr>
                                <w:t>地面冲洗及生产防尘水</w:t>
                              </w:r>
                            </w:p>
                          </w:txbxContent>
                        </v:textbox>
                      </v:shape>
                    </v:group>
                    <v:group id="_x0000_s1807" style="position:absolute;left:5475;top:8334;width:2434;height:677" coordorigin="4863,7541" coordsize="2434,599">
                      <v:shape id="_x0000_s1808" type="#_x0000_t202" style="position:absolute;left:4878;top:7541;width:735;height:507" filled="f" strokecolor="white">
                        <v:stroke dashstyle="longDashDotDot" startarrowlength="long" endarrowlength="long"/>
                        <v:textbox style="mso-next-textbox:#_x0000_s1808">
                          <w:txbxContent>
                            <w:p w:rsidR="00BB1CC7" w:rsidRPr="00070A86" w:rsidRDefault="00BB1CC7" w:rsidP="005F7BDD">
                              <w:pPr>
                                <w:rPr>
                                  <w:b/>
                                </w:rPr>
                              </w:pPr>
                              <w:r>
                                <w:rPr>
                                  <w:rFonts w:hint="eastAsia"/>
                                  <w:b/>
                                </w:rPr>
                                <w:t>27</w:t>
                              </w:r>
                            </w:p>
                            <w:p w:rsidR="00BB1CC7" w:rsidRPr="00070A86" w:rsidRDefault="00BB1CC7" w:rsidP="005F7BDD"/>
                          </w:txbxContent>
                        </v:textbox>
                      </v:shape>
                      <v:shape id="_x0000_s1809" type="#_x0000_t32" style="position:absolute;left:4863;top:7950;width:822;height:0" o:connectortype="straight">
                        <v:stroke endarrow="classic" endarrowlength="long"/>
                      </v:shape>
                      <v:shape id="_x0000_s1810" type="#_x0000_t202" style="position:absolute;left:5702;top:7761;width:1595;height:379">
                        <v:textbox style="mso-next-textbox:#_x0000_s1810" inset=".1mm,.5mm,.1mm,.5mm">
                          <w:txbxContent>
                            <w:p w:rsidR="00BB1CC7" w:rsidRPr="009E0C63" w:rsidRDefault="00BB1CC7" w:rsidP="005F7BDD">
                              <w:pPr>
                                <w:jc w:val="center"/>
                              </w:pPr>
                              <w:r w:rsidRPr="00567E06">
                                <w:rPr>
                                  <w:rFonts w:hint="eastAsia"/>
                                  <w:szCs w:val="21"/>
                                </w:rPr>
                                <w:t>绿化洒水</w:t>
                              </w:r>
                            </w:p>
                          </w:txbxContent>
                        </v:textbox>
                      </v:shape>
                    </v:group>
                  </v:group>
                </v:group>
                <v:group id="_x0000_s1657" style="position:absolute;left:3882;top:5514;width:918;height:582" coordorigin="3485,9390" coordsize="918,582">
                  <v:shape id="_x0000_s1658" type="#_x0000_t202" style="position:absolute;left:3485;top:9390;width:861;height:582" filled="f" strokecolor="white">
                    <v:stroke dashstyle="longDashDotDot" startarrowlength="long" endarrowlength="long"/>
                    <v:textbox style="mso-next-textbox:#_x0000_s1658">
                      <w:txbxContent>
                        <w:p w:rsidR="00BB1CC7" w:rsidRPr="008914BC" w:rsidRDefault="00BB1CC7" w:rsidP="005F7BDD">
                          <w:pPr>
                            <w:rPr>
                              <w:b/>
                              <w:color w:val="FF0000"/>
                            </w:rPr>
                          </w:pPr>
                          <w:r>
                            <w:rPr>
                              <w:rFonts w:hint="eastAsia"/>
                              <w:b/>
                              <w:color w:val="FF0000"/>
                            </w:rPr>
                            <w:t>60</w:t>
                          </w:r>
                        </w:p>
                        <w:p w:rsidR="00BB1CC7" w:rsidRPr="00070A86" w:rsidRDefault="00BB1CC7" w:rsidP="005F7BDD"/>
                      </w:txbxContent>
                    </v:textbox>
                  </v:shape>
                  <v:shape id="_x0000_s1659" type="#_x0000_t32" style="position:absolute;left:3496;top:9847;width:907;height:0" o:connectortype="straight">
                    <v:stroke endarrow="classic" endarrowlength="long"/>
                  </v:shape>
                </v:group>
                <v:group id="_x0000_s3076" style="position:absolute;left:4783;top:5231;width:3478;height:1263" coordorigin="4783,5231" coordsize="3478,1263">
                  <v:line id="_x0000_s1670" style="position:absolute" from="4783,5648" to="4783,6264"/>
                  <v:group id="_x0000_s1678" style="position:absolute;left:4796;top:5231;width:3465;height:630" coordorigin="4384,9453" coordsize="3465,630">
                    <v:shape id="_x0000_s1679" type="#_x0000_t202" style="position:absolute;left:6653;top:9453;width:988;height:400;v-text-anchor:middle" filled="f" stroked="f">
                      <v:textbox style="mso-next-textbox:#_x0000_s1679" inset="0,0,0,0">
                        <w:txbxContent>
                          <w:p w:rsidR="00BB1CC7" w:rsidRPr="00070A86" w:rsidRDefault="00BB1CC7" w:rsidP="005F7BDD">
                            <w:pPr>
                              <w:jc w:val="center"/>
                              <w:rPr>
                                <w:b/>
                              </w:rPr>
                            </w:pPr>
                            <w:r>
                              <w:rPr>
                                <w:rFonts w:hint="eastAsia"/>
                                <w:b/>
                              </w:rPr>
                              <w:t xml:space="preserve"> 2.6</w:t>
                            </w:r>
                            <w:r>
                              <w:rPr>
                                <w:rFonts w:hint="eastAsia"/>
                                <w:b/>
                              </w:rPr>
                              <w:t>（</w:t>
                            </w:r>
                            <w:r>
                              <w:rPr>
                                <w:rFonts w:hint="eastAsia"/>
                                <w:b/>
                              </w:rPr>
                              <w:t>23.4</w:t>
                            </w:r>
                            <w:r>
                              <w:rPr>
                                <w:rFonts w:hint="eastAsia"/>
                                <w:b/>
                              </w:rPr>
                              <w:t>）</w:t>
                            </w:r>
                          </w:p>
                        </w:txbxContent>
                      </v:textbox>
                    </v:shape>
                    <v:group id="_x0000_s1680" style="position:absolute;left:4384;top:9537;width:3465;height:546" coordorigin="4384,9537" coordsize="3465,546">
                      <v:line id="_x0000_s1681" style="position:absolute" from="6715,9840" to="7849,9842">
                        <v:stroke endarrow="classic" endarrowlength="long"/>
                      </v:line>
                      <v:shape id="_x0000_s1682" type="#_x0000_t202" style="position:absolute;left:5168;top:9641;width:1531;height:420;v-text-anchor:middle" filled="f">
                        <v:textbox style="mso-next-textbox:#_x0000_s1682" inset="0,0,0,0">
                          <w:txbxContent>
                            <w:p w:rsidR="00BB1CC7" w:rsidRPr="00070A86" w:rsidRDefault="00BB1CC7" w:rsidP="005F7BDD">
                              <w:pPr>
                                <w:jc w:val="center"/>
                              </w:pPr>
                              <w:r>
                                <w:rPr>
                                  <w:rFonts w:hAnsi="宋体" w:hint="eastAsia"/>
                                </w:rPr>
                                <w:t>乏风热泵房补水</w:t>
                              </w:r>
                            </w:p>
                          </w:txbxContent>
                        </v:textbox>
                        <o:callout v:ext="edit" on="t" lengthspecified="t"/>
                      </v:shape>
                      <v:line id="_x0000_s1683" style="position:absolute" from="4384,9869" to="5178,9870">
                        <v:stroke endarrow="classic" endarrowlength="long"/>
                      </v:line>
                      <v:shape id="_x0000_s1684" type="#_x0000_t202" style="position:absolute;left:4470;top:9537;width:516;height:546" filled="f" stroked="f">
                        <v:textbox style="mso-next-textbox:#_x0000_s1684" inset="0,0,0,0">
                          <w:txbxContent>
                            <w:p w:rsidR="00BB1CC7" w:rsidRPr="00070A86" w:rsidRDefault="00BB1CC7" w:rsidP="005F7BDD">
                              <w:pPr>
                                <w:ind w:firstLineChars="49" w:firstLine="103"/>
                              </w:pPr>
                              <w:r>
                                <w:rPr>
                                  <w:rFonts w:hint="eastAsia"/>
                                  <w:b/>
                                </w:rPr>
                                <w:t>26</w:t>
                              </w:r>
                            </w:p>
                          </w:txbxContent>
                        </v:textbox>
                      </v:shape>
                    </v:group>
                  </v:group>
                  <v:group id="_x0000_s1685" style="position:absolute;left:4788;top:5849;width:3419;height:645" coordorigin="4391,9891" coordsize="3419,645">
                    <v:shape id="_x0000_s1686" type="#_x0000_t202" style="position:absolute;left:6543;top:9891;width:988;height:400;v-text-anchor:middle" filled="f" stroked="f">
                      <v:textbox style="mso-next-textbox:#_x0000_s1686" inset="0,0,0,0">
                        <w:txbxContent>
                          <w:p w:rsidR="00BB1CC7" w:rsidRPr="00070A86" w:rsidRDefault="00BB1CC7" w:rsidP="005F7BDD">
                            <w:pPr>
                              <w:jc w:val="center"/>
                              <w:rPr>
                                <w:b/>
                              </w:rPr>
                            </w:pPr>
                            <w:r>
                              <w:rPr>
                                <w:rFonts w:hint="eastAsia"/>
                                <w:b/>
                              </w:rPr>
                              <w:t>17</w:t>
                            </w:r>
                            <w:r>
                              <w:rPr>
                                <w:rFonts w:hint="eastAsia"/>
                                <w:b/>
                              </w:rPr>
                              <w:t>（</w:t>
                            </w:r>
                            <w:r>
                              <w:rPr>
                                <w:rFonts w:hint="eastAsia"/>
                                <w:b/>
                              </w:rPr>
                              <w:t>17</w:t>
                            </w:r>
                            <w:r>
                              <w:rPr>
                                <w:rFonts w:hint="eastAsia"/>
                                <w:b/>
                              </w:rPr>
                              <w:t>）</w:t>
                            </w:r>
                          </w:p>
                        </w:txbxContent>
                      </v:textbox>
                    </v:shape>
                    <v:group id="_x0000_s1687" style="position:absolute;left:4391;top:9990;width:3419;height:546" coordorigin="4391,9990" coordsize="3419,546">
                      <v:line id="_x0000_s1688" style="position:absolute" from="6530,10278" to="7810,10280">
                        <v:stroke endarrow="classic" endarrowlength="long"/>
                      </v:line>
                      <v:shape id="_x0000_s1689" type="#_x0000_t202" style="position:absolute;left:5343;top:10109;width:1187;height:420" filled="f">
                        <v:textbox style="mso-next-textbox:#_x0000_s1689" inset="0,0,0,0">
                          <w:txbxContent>
                            <w:p w:rsidR="00BB1CC7" w:rsidRPr="00070A86" w:rsidRDefault="00BB1CC7" w:rsidP="005F7BDD">
                              <w:pPr>
                                <w:jc w:val="center"/>
                              </w:pPr>
                              <w:r w:rsidRPr="00BB70AE">
                                <w:rPr>
                                  <w:rFonts w:hAnsi="宋体"/>
                                </w:rPr>
                                <w:t>未预见用水</w:t>
                              </w:r>
                            </w:p>
                          </w:txbxContent>
                        </v:textbox>
                        <o:callout v:ext="edit" on="t" lengthspecified="t"/>
                      </v:shape>
                      <v:line id="_x0000_s1690" style="position:absolute" from="4391,10307" to="5332,10308">
                        <v:stroke endarrow="classic" endarrowlength="long"/>
                      </v:line>
                      <v:shape id="_x0000_s1691" type="#_x0000_t202" style="position:absolute;left:4525;top:9990;width:516;height:546" filled="f" stroked="f">
                        <v:textbox style="mso-next-textbox:#_x0000_s1691" inset="0,0,0,0">
                          <w:txbxContent>
                            <w:p w:rsidR="00BB1CC7" w:rsidRPr="00070A86" w:rsidRDefault="00BB1CC7" w:rsidP="005F7BDD">
                              <w:pPr>
                                <w:ind w:firstLineChars="49" w:firstLine="103"/>
                              </w:pPr>
                              <w:r>
                                <w:rPr>
                                  <w:rFonts w:hint="eastAsia"/>
                                  <w:b/>
                                </w:rPr>
                                <w:t>34</w:t>
                              </w:r>
                            </w:p>
                          </w:txbxContent>
                        </v:textbox>
                      </v:shape>
                    </v:group>
                  </v:group>
                </v:group>
              </v:group>
              <v:group id="_x0000_s3078" style="position:absolute;left:1833;top:2186;width:8862;height:4645" coordorigin="1833,2186" coordsize="8862,4645">
                <v:group id="_x0000_s1660" style="position:absolute;left:8235;top:4218;width:2460;height:2613" coordorigin="7823,8720" coordsize="2460,2613">
                  <v:shape id="_x0000_s1661" type="#_x0000_t202" style="position:absolute;left:8289;top:9951;width:708;height:458" filled="f" stroked="f" strokecolor="white">
                    <v:textbox style="mso-next-textbox:#_x0000_s1661" inset=".5mm,.3mm,.5mm,.3mm">
                      <w:txbxContent>
                        <w:p w:rsidR="00BB1CC7" w:rsidRPr="005C6077" w:rsidRDefault="00BB1CC7" w:rsidP="005F7BDD">
                          <w:pPr>
                            <w:rPr>
                              <w:b/>
                              <w:szCs w:val="21"/>
                            </w:rPr>
                          </w:pPr>
                          <w:r>
                            <w:rPr>
                              <w:rFonts w:hint="eastAsia"/>
                              <w:b/>
                              <w:szCs w:val="21"/>
                            </w:rPr>
                            <w:t>315.7</w:t>
                          </w:r>
                        </w:p>
                      </w:txbxContent>
                    </v:textbox>
                  </v:shape>
                  <v:group id="_x0000_s1662" style="position:absolute;left:7823;top:8720;width:2460;height:593" coordorigin="7212,4460" coordsize="2564,434">
                    <v:shape id="_x0000_s1663" type="#_x0000_t202" style="position:absolute;left:7280;top:4460;width:678;height:288" filled="f" stroked="f">
                      <v:textbox style="mso-next-textbox:#_x0000_s1663" inset="0,0,0,0">
                        <w:txbxContent>
                          <w:p w:rsidR="00BB1CC7" w:rsidRPr="00070A86" w:rsidRDefault="00BB1CC7" w:rsidP="005F7BDD">
                            <w:pPr>
                              <w:jc w:val="center"/>
                              <w:rPr>
                                <w:b/>
                              </w:rPr>
                            </w:pPr>
                            <w:r>
                              <w:rPr>
                                <w:rFonts w:hint="eastAsia"/>
                                <w:b/>
                              </w:rPr>
                              <w:t>315.7</w:t>
                            </w:r>
                          </w:p>
                        </w:txbxContent>
                      </v:textbox>
                    </v:shape>
                    <v:line id="_x0000_s1664" style="position:absolute" from="7212,4739" to="8112,4740">
                      <v:stroke endarrow="classic" endarrowlength="long"/>
                      <o:callout v:ext="edit" on="t" lengthspecified="t"/>
                    </v:line>
                    <v:shape id="_x0000_s1665" type="#_x0000_t202" style="position:absolute;left:8126;top:4576;width:1650;height:318" filled="f">
                      <v:textbox style="mso-next-textbox:#_x0000_s1665" inset="0,0,0,0">
                        <w:txbxContent>
                          <w:p w:rsidR="00BB1CC7" w:rsidRPr="00070A86" w:rsidRDefault="00BB1CC7" w:rsidP="005F7BDD">
                            <w:pPr>
                              <w:jc w:val="center"/>
                              <w:rPr>
                                <w:b/>
                              </w:rPr>
                            </w:pPr>
                            <w:r w:rsidRPr="00BB70AE">
                              <w:rPr>
                                <w:rFonts w:hAnsi="宋体"/>
                              </w:rPr>
                              <w:t>生活污水处理站</w:t>
                            </w:r>
                          </w:p>
                        </w:txbxContent>
                      </v:textbox>
                    </v:shape>
                  </v:group>
                  <v:line id="_x0000_s1666" style="position:absolute;flip:x" from="8997,9333" to="8997,11333">
                    <v:stroke endarrow="classic" endarrowlength="long"/>
                  </v:line>
                </v:group>
                <v:group id="_x0000_s1671" style="position:absolute;left:4818;top:4708;width:3497;height:526" coordorigin="3916,4957" coordsize="3344,398">
                  <v:shape id="_x0000_s1672" type="#_x0000_t202" style="position:absolute;left:5968;top:4957;width:1292;height:288" filled="f" stroked="f">
                    <v:textbox style="mso-next-textbox:#_x0000_s1672" inset="0,0,0,0">
                      <w:txbxContent>
                        <w:p w:rsidR="00BB1CC7" w:rsidRPr="00070A86" w:rsidRDefault="00BB1CC7" w:rsidP="005F7BDD">
                          <w:pPr>
                            <w:jc w:val="center"/>
                            <w:rPr>
                              <w:b/>
                            </w:rPr>
                          </w:pPr>
                          <w:r>
                            <w:rPr>
                              <w:rFonts w:hint="eastAsia"/>
                              <w:b/>
                            </w:rPr>
                            <w:t>34.1</w:t>
                          </w:r>
                          <w:r w:rsidRPr="00BB70AE">
                            <w:rPr>
                              <w:rFonts w:hAnsi="宋体"/>
                              <w:b/>
                            </w:rPr>
                            <w:t>（</w:t>
                          </w:r>
                          <w:r>
                            <w:rPr>
                              <w:rFonts w:hint="eastAsia"/>
                              <w:b/>
                            </w:rPr>
                            <w:t>1.8</w:t>
                          </w:r>
                          <w:r w:rsidRPr="00BB70AE">
                            <w:rPr>
                              <w:rFonts w:hAnsi="宋体"/>
                              <w:b/>
                            </w:rPr>
                            <w:t>）</w:t>
                          </w:r>
                        </w:p>
                      </w:txbxContent>
                    </v:textbox>
                  </v:shape>
                  <v:group id="_x0000_s1673" style="position:absolute;left:3916;top:4957;width:3282;height:398" coordorigin="3916,4957" coordsize="3282,398">
                    <v:shape id="_x0000_s1674" type="#_x0000_t202" style="position:absolute;left:4806;top:5037;width:1136;height:318" filled="f">
                      <v:textbox style="mso-next-textbox:#_x0000_s1674" inset="0,0,0,0">
                        <w:txbxContent>
                          <w:p w:rsidR="00BB1CC7" w:rsidRPr="00070A86" w:rsidRDefault="00BB1CC7" w:rsidP="005F7BDD">
                            <w:pPr>
                              <w:ind w:firstLineChars="100" w:firstLine="210"/>
                            </w:pPr>
                            <w:r w:rsidRPr="00BB70AE">
                              <w:rPr>
                                <w:rFonts w:hAnsi="宋体"/>
                              </w:rPr>
                              <w:t>洗衣用水</w:t>
                            </w:r>
                          </w:p>
                        </w:txbxContent>
                      </v:textbox>
                    </v:shape>
                    <v:line id="_x0000_s1675" style="position:absolute" from="3916,5202" to="4818,5203">
                      <v:stroke endarrow="classic" endarrowlength="long"/>
                    </v:line>
                    <v:shape id="_x0000_s1676" type="#_x0000_t202" style="position:absolute;left:4040;top:4957;width:602;height:227" filled="f" stroked="f">
                      <v:textbox style="mso-next-textbox:#_x0000_s1676" inset="0,0,0,0">
                        <w:txbxContent>
                          <w:p w:rsidR="00BB1CC7" w:rsidRPr="00070A86" w:rsidRDefault="00BB1CC7" w:rsidP="005F7BDD">
                            <w:r>
                              <w:rPr>
                                <w:rFonts w:hint="eastAsia"/>
                                <w:b/>
                              </w:rPr>
                              <w:t xml:space="preserve"> 35.9</w:t>
                            </w:r>
                          </w:p>
                        </w:txbxContent>
                      </v:textbox>
                    </v:shape>
                    <v:line id="_x0000_s1677" style="position:absolute" from="5952,5207" to="7198,5208">
                      <v:stroke endarrow="classic" endarrowlength="long"/>
                    </v:line>
                  </v:group>
                </v:group>
                <v:group id="_x0000_s1693" style="position:absolute;left:1833;top:2999;width:2982;height:1068" coordorigin="1855,5789" coordsize="3116,809">
                  <v:group id="_x0000_s1694" style="position:absolute;left:3073;top:5828;width:1898;height:729" coordorigin="3073,5828" coordsize="1898,729">
                    <v:shape id="_x0000_s1695" type="#_x0000_t202" style="position:absolute;left:4233;top:5832;width:738;height:336" filled="f" stroked="f" strokecolor="white">
                      <v:textbox style="mso-next-textbox:#_x0000_s1695" inset=".5mm,.3mm,.5mm,.3mm">
                        <w:txbxContent>
                          <w:p w:rsidR="00BB1CC7" w:rsidRPr="008914BC" w:rsidRDefault="00BB1CC7" w:rsidP="005F7BDD">
                            <w:pPr>
                              <w:jc w:val="center"/>
                              <w:rPr>
                                <w:b/>
                                <w:color w:val="FF0000"/>
                                <w:szCs w:val="21"/>
                              </w:rPr>
                            </w:pPr>
                            <w:r>
                              <w:rPr>
                                <w:rFonts w:hint="eastAsia"/>
                                <w:b/>
                                <w:color w:val="FF0000"/>
                                <w:szCs w:val="21"/>
                              </w:rPr>
                              <w:t>313.7</w:t>
                            </w:r>
                          </w:p>
                        </w:txbxContent>
                      </v:textbox>
                    </v:shape>
                    <v:shape id="_x0000_s1696" type="#_x0000_t202" style="position:absolute;left:3073;top:5828;width:1202;height:729">
                      <v:textbox style="mso-next-textbox:#_x0000_s1696">
                        <w:txbxContent>
                          <w:p w:rsidR="00BB1CC7" w:rsidRPr="00070A86" w:rsidRDefault="00BB1CC7" w:rsidP="005F7BDD">
                            <w:pPr>
                              <w:jc w:val="center"/>
                              <w:rPr>
                                <w:b/>
                              </w:rPr>
                            </w:pPr>
                            <w:r w:rsidRPr="00BB70AE">
                              <w:rPr>
                                <w:rFonts w:hAnsi="宋体"/>
                              </w:rPr>
                              <w:t>工业场地高位水池</w:t>
                            </w:r>
                          </w:p>
                        </w:txbxContent>
                      </v:textbox>
                    </v:shape>
                  </v:group>
                  <v:group id="_x0000_s1697" style="position:absolute;left:1855;top:5789;width:1226;height:809" coordorigin="1855,5789" coordsize="1226,809">
                    <v:shape id="_x0000_s1698" type="#_x0000_t202" style="position:absolute;left:2314;top:5805;width:678;height:318" filled="f" stroked="f">
                      <v:textbox style="mso-next-textbox:#_x0000_s1698" inset="0,0,0,0">
                        <w:txbxContent>
                          <w:p w:rsidR="00BB1CC7" w:rsidRPr="008914BC" w:rsidRDefault="00BB1CC7" w:rsidP="005F7BDD">
                            <w:pPr>
                              <w:jc w:val="center"/>
                              <w:rPr>
                                <w:b/>
                                <w:color w:val="FF0000"/>
                              </w:rPr>
                            </w:pPr>
                            <w:r>
                              <w:rPr>
                                <w:rFonts w:hint="eastAsia"/>
                                <w:b/>
                                <w:color w:val="FF0000"/>
                              </w:rPr>
                              <w:t>313.7</w:t>
                            </w:r>
                          </w:p>
                        </w:txbxContent>
                      </v:textbox>
                    </v:shape>
                    <v:group id="_x0000_s1699" style="position:absolute;left:1855;top:5789;width:1226;height:809" coordorigin="1855,6839" coordsize="1226,960">
                      <v:line id="_x0000_s1700" style="position:absolute" from="2241,7307" to="3081,7307">
                        <v:stroke endarrow="classic" endarrowlength="long"/>
                      </v:line>
                      <v:shape id="_x0000_s1701" type="#_x0000_t202" style="position:absolute;left:1855;top:6839;width:405;height:960">
                        <v:textbox style="layout-flow:vertical-ideographic;mso-next-textbox:#_x0000_s1701" inset="1mm,1mm,1mm,1mm">
                          <w:txbxContent>
                            <w:p w:rsidR="00BB1CC7" w:rsidRPr="00070A86" w:rsidRDefault="00BB1CC7" w:rsidP="005F7BDD">
                              <w:pPr>
                                <w:jc w:val="center"/>
                              </w:pPr>
                              <w:r w:rsidRPr="00BB70AE">
                                <w:rPr>
                                  <w:rFonts w:hAnsi="宋体"/>
                                </w:rPr>
                                <w:t>水源</w:t>
                              </w:r>
                            </w:p>
                          </w:txbxContent>
                        </v:textbox>
                      </v:shape>
                    </v:group>
                  </v:group>
                  <v:line id="_x0000_s1702" style="position:absolute" from="4287,6182" to="4967,6182">
                    <v:stroke endarrow="classic" endarrowlength="long"/>
                  </v:line>
                </v:group>
                <v:group id="_x0000_s1704" style="position:absolute;left:4805;top:4097;width:3496;height:562" coordorigin="3902,4421" coordsize="3358,426">
                  <v:line id="_x0000_s1705" style="position:absolute" from="3902,4683" to="4803,4684">
                    <v:stroke endarrow="classic" endarrowlength="long"/>
                  </v:line>
                  <v:shape id="_x0000_s1706" type="#_x0000_t202" style="position:absolute;left:5968;top:4431;width:1292;height:288" filled="f" stroked="f">
                    <v:textbox style="mso-next-textbox:#_x0000_s1706" inset="0,0,0,0">
                      <w:txbxContent>
                        <w:p w:rsidR="00BB1CC7" w:rsidRPr="00070A86" w:rsidRDefault="00BB1CC7" w:rsidP="005F7BDD">
                          <w:pPr>
                            <w:jc w:val="center"/>
                            <w:rPr>
                              <w:b/>
                            </w:rPr>
                          </w:pPr>
                          <w:r>
                            <w:rPr>
                              <w:rFonts w:hint="eastAsia"/>
                              <w:b/>
                            </w:rPr>
                            <w:t>144.3</w:t>
                          </w:r>
                          <w:r w:rsidRPr="00BB70AE">
                            <w:rPr>
                              <w:rFonts w:hAnsi="宋体"/>
                              <w:b/>
                            </w:rPr>
                            <w:t>（</w:t>
                          </w:r>
                          <w:r>
                            <w:rPr>
                              <w:rFonts w:hint="eastAsia"/>
                              <w:b/>
                            </w:rPr>
                            <w:t>7.6</w:t>
                          </w:r>
                          <w:r w:rsidRPr="00BB70AE">
                            <w:rPr>
                              <w:rFonts w:hAnsi="宋体"/>
                              <w:b/>
                            </w:rPr>
                            <w:t>）</w:t>
                          </w:r>
                        </w:p>
                      </w:txbxContent>
                    </v:textbox>
                  </v:shape>
                  <v:group id="_x0000_s1707" style="position:absolute;left:3958;top:4421;width:3248;height:426" coordorigin="3958,4421" coordsize="3248,426">
                    <v:shape id="_x0000_s1708" type="#_x0000_t202" style="position:absolute;left:4792;top:4529;width:1158;height:318">
                      <v:textbox style="mso-next-textbox:#_x0000_s1708" inset="0,0,0,0">
                        <w:txbxContent>
                          <w:p w:rsidR="00BB1CC7" w:rsidRPr="00070A86" w:rsidRDefault="00BB1CC7" w:rsidP="005F7BDD">
                            <w:pPr>
                              <w:jc w:val="center"/>
                            </w:pPr>
                            <w:r w:rsidRPr="00BB70AE">
                              <w:rPr>
                                <w:rFonts w:hAnsi="宋体"/>
                              </w:rPr>
                              <w:t>洗浴用水</w:t>
                            </w:r>
                          </w:p>
                        </w:txbxContent>
                      </v:textbox>
                    </v:shape>
                    <v:shape id="_x0000_s1709" type="#_x0000_t202" style="position:absolute;left:3958;top:4421;width:706;height:285" filled="f" stroked="f">
                      <v:textbox style="mso-next-textbox:#_x0000_s1709" inset="0,0,0,0">
                        <w:txbxContent>
                          <w:p w:rsidR="00BB1CC7" w:rsidRPr="00070A86" w:rsidRDefault="00BB1CC7" w:rsidP="005F7BDD">
                            <w:pPr>
                              <w:ind w:firstLineChars="49" w:firstLine="103"/>
                              <w:rPr>
                                <w:b/>
                              </w:rPr>
                            </w:pPr>
                            <w:r>
                              <w:rPr>
                                <w:rFonts w:hint="eastAsia"/>
                                <w:b/>
                              </w:rPr>
                              <w:t>151.9</w:t>
                            </w:r>
                          </w:p>
                        </w:txbxContent>
                      </v:textbox>
                    </v:shape>
                    <v:line id="_x0000_s1710" style="position:absolute" from="5960,4683" to="7206,4684">
                      <v:stroke endarrow="classic" endarrowlength="long"/>
                    </v:line>
                  </v:group>
                </v:group>
                <v:line id="_x0000_s1711" style="position:absolute" from="4785,2576" to="4785,5010"/>
                <v:group id="_x0000_s1712" style="position:absolute;left:4783;top:2186;width:3529;height:1109" coordorigin="4366,8888" coordsize="3374,840">
                  <v:group id="_x0000_s1713" style="position:absolute;left:4366;top:8888;width:3356;height:449" coordorigin="3902,3367" coordsize="3356,449">
                    <v:shape id="_x0000_s1714" type="#_x0000_t202" style="position:absolute;left:5966;top:3367;width:1292;height:288" filled="f" stroked="f">
                      <v:textbox style="mso-next-textbox:#_x0000_s1714" inset="0,0,0,0">
                        <w:txbxContent>
                          <w:p w:rsidR="00BB1CC7" w:rsidRPr="00070A86" w:rsidRDefault="00BB1CC7" w:rsidP="005F7BDD">
                            <w:pPr>
                              <w:jc w:val="left"/>
                              <w:rPr>
                                <w:b/>
                              </w:rPr>
                            </w:pPr>
                            <w:r>
                              <w:rPr>
                                <w:rFonts w:hint="eastAsia"/>
                                <w:b/>
                              </w:rPr>
                              <w:t xml:space="preserve"> 20.4</w:t>
                            </w:r>
                            <w:r w:rsidRPr="00BB70AE">
                              <w:rPr>
                                <w:rFonts w:hAnsi="宋体"/>
                                <w:b/>
                              </w:rPr>
                              <w:t>（</w:t>
                            </w:r>
                            <w:r>
                              <w:rPr>
                                <w:rFonts w:hint="eastAsia"/>
                                <w:b/>
                              </w:rPr>
                              <w:t>1.1</w:t>
                            </w:r>
                            <w:r w:rsidRPr="00BB70AE">
                              <w:rPr>
                                <w:rFonts w:hAnsi="宋体"/>
                                <w:b/>
                              </w:rPr>
                              <w:t>）</w:t>
                            </w:r>
                          </w:p>
                        </w:txbxContent>
                      </v:textbox>
                    </v:shape>
                    <v:group id="_x0000_s1715" style="position:absolute;left:3902;top:3374;width:3316;height:442" coordorigin="3902,3374" coordsize="3316,442">
                      <v:shape id="_x0000_s1716" type="#_x0000_t202" style="position:absolute;left:4796;top:3513;width:1170;height:303">
                        <v:textbox style="mso-next-textbox:#_x0000_s1716" inset="0,0,0,0">
                          <w:txbxContent>
                            <w:p w:rsidR="00BB1CC7" w:rsidRPr="00070A86" w:rsidRDefault="00BB1CC7" w:rsidP="005F7BDD">
                              <w:pPr>
                                <w:jc w:val="center"/>
                              </w:pPr>
                              <w:r w:rsidRPr="00BB70AE">
                                <w:rPr>
                                  <w:rFonts w:hAnsi="宋体"/>
                                </w:rPr>
                                <w:t>生活用水</w:t>
                              </w:r>
                            </w:p>
                          </w:txbxContent>
                        </v:textbox>
                      </v:shape>
                      <v:line id="_x0000_s1717" style="position:absolute" from="3902,3663" to="4788,3664">
                        <v:stroke endarrow="classic" endarrowlength="long"/>
                      </v:line>
                      <v:line id="_x0000_s1718" style="position:absolute" from="5972,3659" to="7218,3660">
                        <v:stroke endarrow="classic" endarrowlength="long"/>
                      </v:line>
                      <v:shape id="_x0000_s1719" type="#_x0000_t202" style="position:absolute;left:4003;top:3374;width:587;height:274" filled="f" stroked="f">
                        <v:textbox style="mso-next-textbox:#_x0000_s1719" inset="0,0,0,0">
                          <w:txbxContent>
                            <w:p w:rsidR="00BB1CC7" w:rsidRPr="00070A86" w:rsidRDefault="00BB1CC7" w:rsidP="005F7BDD">
                              <w:pPr>
                                <w:ind w:firstLineChars="49" w:firstLine="103"/>
                              </w:pPr>
                              <w:r>
                                <w:rPr>
                                  <w:rFonts w:hint="eastAsia"/>
                                  <w:b/>
                                </w:rPr>
                                <w:t xml:space="preserve"> 21.5</w:t>
                              </w:r>
                            </w:p>
                          </w:txbxContent>
                        </v:textbox>
                      </v:shape>
                    </v:group>
                  </v:group>
                  <v:shape id="_x0000_s1720" type="#_x0000_t202" style="position:absolute;left:6448;top:9440;width:1292;height:288" filled="f" stroked="f">
                    <v:textbox style="mso-next-textbox:#_x0000_s1720" inset="0,0,0,0">
                      <w:txbxContent>
                        <w:p w:rsidR="00BB1CC7" w:rsidRPr="00070A86" w:rsidRDefault="00BB1CC7" w:rsidP="005F7BDD">
                          <w:pPr>
                            <w:jc w:val="center"/>
                            <w:rPr>
                              <w:b/>
                            </w:rPr>
                          </w:pPr>
                          <w:r>
                            <w:rPr>
                              <w:rFonts w:hint="eastAsia"/>
                              <w:b/>
                            </w:rPr>
                            <w:t>16.7</w:t>
                          </w:r>
                          <w:r w:rsidRPr="00BB70AE">
                            <w:rPr>
                              <w:rFonts w:hAnsi="宋体"/>
                              <w:b/>
                            </w:rPr>
                            <w:t>（</w:t>
                          </w:r>
                          <w:r>
                            <w:rPr>
                              <w:rFonts w:hint="eastAsia"/>
                              <w:b/>
                            </w:rPr>
                            <w:t>2.9</w:t>
                          </w:r>
                          <w:r w:rsidRPr="00BB70AE">
                            <w:rPr>
                              <w:rFonts w:hAnsi="宋体"/>
                              <w:b/>
                            </w:rPr>
                            <w:t>）</w:t>
                          </w:r>
                        </w:p>
                      </w:txbxContent>
                    </v:textbox>
                  </v:shape>
                </v:group>
                <v:group id="_x0000_s1721" style="position:absolute;left:4788;top:2784;width:3429;height:629" coordorigin="4780,2396" coordsize="3278,557">
                  <v:line id="_x0000_s1722" style="position:absolute" from="6818,2789" to="8058,2789">
                    <v:stroke endarrow="classic" endarrowlength="long"/>
                  </v:line>
                  <v:group id="_x0000_s1723" style="position:absolute;left:4780;top:2396;width:2071;height:557" coordorigin="4315,7375" coordsize="2071,476">
                    <v:group id="_x0000_s1724" style="position:absolute;left:4447;top:7375;width:1939;height:476" coordorigin="4498,6631" coordsize="1939,476">
                      <v:shape id="_x0000_s1725" type="#_x0000_t202" style="position:absolute;left:5265;top:6774;width:1172;height:333">
                        <v:textbox style="mso-next-textbox:#_x0000_s1725" inset="0,0,0,0">
                          <w:txbxContent>
                            <w:p w:rsidR="00BB1CC7" w:rsidRPr="00070A86" w:rsidRDefault="00BB1CC7" w:rsidP="005F7BDD">
                              <w:pPr>
                                <w:jc w:val="center"/>
                              </w:pPr>
                              <w:r w:rsidRPr="00BB70AE">
                                <w:rPr>
                                  <w:rFonts w:hAnsi="宋体"/>
                                </w:rPr>
                                <w:t>食堂用水</w:t>
                              </w:r>
                            </w:p>
                          </w:txbxContent>
                        </v:textbox>
                      </v:shape>
                      <v:shape id="_x0000_s1726" type="#_x0000_t202" style="position:absolute;left:4498;top:6631;width:632;height:319" filled="f" stroked="f">
                        <v:textbox style="mso-next-textbox:#_x0000_s1726" inset="0,0,0,0">
                          <w:txbxContent>
                            <w:p w:rsidR="00BB1CC7" w:rsidRPr="00070A86" w:rsidRDefault="00BB1CC7" w:rsidP="005F7BDD">
                              <w:pPr>
                                <w:ind w:firstLineChars="49" w:firstLine="103"/>
                              </w:pPr>
                              <w:r>
                                <w:rPr>
                                  <w:rFonts w:hint="eastAsia"/>
                                  <w:b/>
                                </w:rPr>
                                <w:t>19.6</w:t>
                              </w:r>
                            </w:p>
                          </w:txbxContent>
                        </v:textbox>
                      </v:shape>
                    </v:group>
                    <v:line id="_x0000_s1727" style="position:absolute" from="4315,7691" to="5201,7691">
                      <v:stroke endarrow="classic" endarrowlength="long"/>
                    </v:line>
                  </v:group>
                </v:group>
                <v:group id="_x0000_s1728" style="position:absolute;left:4791;top:3374;width:3460;height:657" coordorigin="4797,3968" coordsize="3308,582">
                  <v:group id="_x0000_s1729" style="position:absolute;left:4797;top:3968;width:3308;height:582" coordorigin="4797,3968" coordsize="3308,582">
                    <v:shape id="_x0000_s1730" type="#_x0000_t202" style="position:absolute;left:6852;top:3968;width:1253;height:372" filled="f" stroked="f">
                      <v:textbox style="mso-next-textbox:#_x0000_s1730" inset="0,0,0,0">
                        <w:txbxContent>
                          <w:p w:rsidR="00BB1CC7" w:rsidRPr="00070A86" w:rsidRDefault="00BB1CC7" w:rsidP="005F7BDD">
                            <w:pPr>
                              <w:ind w:firstLineChars="49" w:firstLine="103"/>
                              <w:rPr>
                                <w:b/>
                              </w:rPr>
                            </w:pPr>
                            <w:r>
                              <w:rPr>
                                <w:rFonts w:hint="eastAsia"/>
                                <w:b/>
                              </w:rPr>
                              <w:t>80.6</w:t>
                            </w:r>
                            <w:r w:rsidRPr="00BB70AE">
                              <w:rPr>
                                <w:rFonts w:hAnsi="宋体"/>
                                <w:b/>
                              </w:rPr>
                              <w:t>（</w:t>
                            </w:r>
                            <w:r>
                              <w:rPr>
                                <w:rFonts w:hint="eastAsia"/>
                                <w:b/>
                              </w:rPr>
                              <w:t>4.2</w:t>
                            </w:r>
                            <w:r w:rsidRPr="00BB70AE">
                              <w:rPr>
                                <w:rFonts w:hAnsi="宋体"/>
                                <w:b/>
                              </w:rPr>
                              <w:t>）</w:t>
                            </w:r>
                          </w:p>
                        </w:txbxContent>
                      </v:textbox>
                    </v:shape>
                    <v:group id="_x0000_s1731" style="position:absolute;left:4797;top:4178;width:3266;height:372" coordorigin="4797,4178" coordsize="3266,372">
                      <v:line id="_x0000_s1732" style="position:absolute" from="6839,4328" to="8063,4329">
                        <v:stroke endarrow="classic" endarrowlength="long"/>
                      </v:line>
                      <v:shape id="_x0000_s1733" type="#_x0000_t202" style="position:absolute;left:5704;top:4178;width:1135;height:372" filled="f">
                        <v:textbox style="mso-next-textbox:#_x0000_s1733" inset="0,0,0,0">
                          <w:txbxContent>
                            <w:p w:rsidR="00BB1CC7" w:rsidRPr="00070A86" w:rsidRDefault="00BB1CC7" w:rsidP="005F7BDD">
                              <w:pPr>
                                <w:jc w:val="center"/>
                              </w:pPr>
                              <w:r w:rsidRPr="00BB70AE">
                                <w:rPr>
                                  <w:rFonts w:hAnsi="宋体"/>
                                </w:rPr>
                                <w:t>宿舍用水</w:t>
                              </w:r>
                            </w:p>
                          </w:txbxContent>
                        </v:textbox>
                        <o:callout v:ext="edit" on="t" lengthspecified="t"/>
                      </v:shape>
                      <v:line id="_x0000_s1734" style="position:absolute" from="4797,4354" to="5696,4355">
                        <v:stroke endarrow="classic" endarrowlength="long"/>
                      </v:line>
                    </v:group>
                  </v:group>
                  <v:shape id="_x0000_s1735" type="#_x0000_t202" style="position:absolute;left:4923;top:4073;width:621;height:356" filled="f" stroked="f">
                    <v:textbox style="mso-next-textbox:#_x0000_s1735" inset="0,0,0,0">
                      <w:txbxContent>
                        <w:p w:rsidR="00BB1CC7" w:rsidRPr="00070A86" w:rsidRDefault="00BB1CC7" w:rsidP="005F7BDD">
                          <w:r>
                            <w:rPr>
                              <w:rFonts w:hint="eastAsia"/>
                              <w:b/>
                            </w:rPr>
                            <w:t xml:space="preserve"> 84.8</w:t>
                          </w:r>
                        </w:p>
                      </w:txbxContent>
                    </v:textbox>
                  </v:shape>
                </v:group>
              </v:group>
            </v:group>
          </v:group>
        </w:pict>
      </w:r>
    </w:p>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Default="00C223F5" w:rsidP="00F66BD1"/>
    <w:p w:rsidR="00C223F5" w:rsidRPr="008914BC" w:rsidRDefault="005860D5" w:rsidP="00F66BD1">
      <w:pPr>
        <w:jc w:val="center"/>
        <w:rPr>
          <w:b/>
          <w:color w:val="FF0000"/>
          <w:sz w:val="24"/>
        </w:rPr>
      </w:pPr>
      <w:r w:rsidRPr="008914BC">
        <w:rPr>
          <w:b/>
          <w:color w:val="FF0000"/>
          <w:sz w:val="24"/>
        </w:rPr>
        <w:t>图</w:t>
      </w:r>
      <w:r w:rsidRPr="008914BC">
        <w:rPr>
          <w:rFonts w:hint="eastAsia"/>
          <w:b/>
          <w:color w:val="FF0000"/>
          <w:sz w:val="24"/>
        </w:rPr>
        <w:t xml:space="preserve">2.3.2-4   </w:t>
      </w:r>
      <w:r w:rsidRPr="008914BC">
        <w:rPr>
          <w:b/>
          <w:color w:val="FF0000"/>
          <w:sz w:val="24"/>
        </w:rPr>
        <w:t>矿井</w:t>
      </w:r>
      <w:r w:rsidRPr="008914BC">
        <w:rPr>
          <w:rFonts w:hint="eastAsia"/>
          <w:b/>
          <w:color w:val="FF0000"/>
          <w:sz w:val="24"/>
        </w:rPr>
        <w:t>非采暖季</w:t>
      </w:r>
      <w:r w:rsidRPr="008914BC">
        <w:rPr>
          <w:b/>
          <w:color w:val="FF0000"/>
          <w:sz w:val="24"/>
        </w:rPr>
        <w:t>水量平衡图</w:t>
      </w:r>
    </w:p>
    <w:p w:rsidR="00C223F5" w:rsidRPr="00925B84" w:rsidRDefault="005860D5" w:rsidP="004835BD">
      <w:pPr>
        <w:spacing w:beforeLines="50" w:before="156"/>
        <w:rPr>
          <w:szCs w:val="21"/>
        </w:rPr>
      </w:pPr>
      <w:r w:rsidRPr="00925B84">
        <w:rPr>
          <w:szCs w:val="21"/>
        </w:rPr>
        <w:t>说明：</w:t>
      </w:r>
      <w:r w:rsidRPr="00925B84">
        <w:rPr>
          <w:szCs w:val="21"/>
        </w:rPr>
        <w:t>1.</w:t>
      </w:r>
      <w:r w:rsidRPr="00925B84">
        <w:rPr>
          <w:szCs w:val="21"/>
        </w:rPr>
        <w:t>未特殊标明的数据为全矿正常用水量，各水量单位为</w:t>
      </w:r>
      <w:r w:rsidRPr="00925B84">
        <w:rPr>
          <w:szCs w:val="21"/>
        </w:rPr>
        <w:t>m</w:t>
      </w:r>
      <w:r w:rsidRPr="00925B84">
        <w:rPr>
          <w:szCs w:val="21"/>
          <w:vertAlign w:val="superscript"/>
        </w:rPr>
        <w:t>3</w:t>
      </w:r>
      <w:r w:rsidRPr="00925B84">
        <w:rPr>
          <w:szCs w:val="21"/>
        </w:rPr>
        <w:t>/d</w:t>
      </w:r>
      <w:r w:rsidRPr="00925B84">
        <w:rPr>
          <w:szCs w:val="21"/>
        </w:rPr>
        <w:t>；</w:t>
      </w:r>
    </w:p>
    <w:p w:rsidR="00C223F5" w:rsidRPr="00925B84" w:rsidRDefault="005860D5" w:rsidP="00C006A7">
      <w:pPr>
        <w:ind w:firstLineChars="300" w:firstLine="630"/>
        <w:rPr>
          <w:szCs w:val="21"/>
        </w:rPr>
      </w:pPr>
      <w:r w:rsidRPr="00925B84">
        <w:rPr>
          <w:szCs w:val="21"/>
        </w:rPr>
        <w:t>2.“[  ]”</w:t>
      </w:r>
      <w:r w:rsidRPr="00925B84">
        <w:rPr>
          <w:szCs w:val="21"/>
        </w:rPr>
        <w:t>标明的数据为损失水量；</w:t>
      </w:r>
      <w:r w:rsidRPr="00925B84">
        <w:rPr>
          <w:szCs w:val="21"/>
        </w:rPr>
        <w:t>3.</w:t>
      </w:r>
      <w:r w:rsidRPr="00925B84">
        <w:rPr>
          <w:rFonts w:hint="eastAsia"/>
          <w:szCs w:val="21"/>
        </w:rPr>
        <w:t>雨水及</w:t>
      </w:r>
      <w:r w:rsidRPr="00925B84">
        <w:rPr>
          <w:szCs w:val="21"/>
        </w:rPr>
        <w:t>地面消防用水未参与水量平衡</w:t>
      </w:r>
      <w:r w:rsidRPr="00925B84">
        <w:rPr>
          <w:rFonts w:hint="eastAsia"/>
          <w:szCs w:val="21"/>
        </w:rPr>
        <w:t>；</w:t>
      </w:r>
    </w:p>
    <w:p w:rsidR="00C223F5" w:rsidRDefault="003761EF" w:rsidP="00F66BD1">
      <w:pPr>
        <w:ind w:firstLineChars="300" w:firstLine="630"/>
        <w:rPr>
          <w:szCs w:val="21"/>
        </w:rPr>
      </w:pPr>
      <w:r>
        <w:rPr>
          <w:szCs w:val="21"/>
        </w:rPr>
        <w:pict>
          <v:line id="直线 11154" o:spid="_x0000_s1090" style="position:absolute;left:0;text-align:left;flip:y;z-index:252144640" from="40.2pt,7.15pt" to="82.2pt,7.15pt" o:gfxdata="UEsDBAoAAAAAAIdO4kAAAAAAAAAAAAAAAAAEAAAAZHJzL1BLAwQUAAAACACHTuJA+dMRLtcAAAAI&#10;AQAADwAAAGRycy9kb3ducmV2LnhtbE2PzU7DMBCE70i8g7VI3KhdGpUoxOmhooAqhESLOLvxkkS1&#10;12ns/sDTsxUHOO43o9mZcnbyThxwiF0gDeORAoFUB9tRo+F9vbjJQcRkyBoXCDV8YYRZdXlRmsKG&#10;I73hYZUawSEUC6OhTakvpIx1i97EUeiRWPsMgzeJz6GRdjBHDvdO3io1ld50xB9a0+O8xXq72nsN&#10;dw/rifueL5ZPr7t+mz/G3fPHy1Lr66uxugeR8JT+zHCuz9Wh4k6bsCcbhdOQq4ydzLMJiLM+zRhs&#10;foGsSvl/QPUDUEsDBBQAAAAIAIdO4kD0p84+3AEAAKEDAAAOAAAAZHJzL2Uyb0RvYy54bWytU0uO&#10;EzEQ3SNxB8t70unMBEErnVkQhg2CkQbYV/zptuSfXJ50chauwYoNx5lrUHYyAWY2CNFqWWW7/Pze&#10;q/Lqau8s26mEJviet7M5Z8qLII0fev750/WLV5xhBi/BBq96flDIr9bPn62m2KlFGIOVKjEC8dhN&#10;sedjzrFrGhSjcoCzEJWnTR2Sg0zTNDQywUTozjaL+fxlM4UkYwpCIdLq5rjJ1xVfayXyR61RZWZ7&#10;TtxyHVMdt2Vs1ivohgRxNOJEA/6BhQPj6dIz1AYysLtknkA5I1LAoPNMBNcErY1QVQOpaeeP1NyO&#10;EFXVQuZgPNuE/w9WfNjdJGZkz6lQHhyV6P7rt/vvP1jbtsvL4s8UsaO023iTTjOksIjd6+SYtiZ+&#10;odJX+SSI7au7h7O7ap+ZoMXlxcXlnGogHraaI0JBignzOxUcK0HPrfFFN3Swe4+ZbqXUh5SybD2b&#10;ev56uVgSHFDbaAuZQhdJCPqhnsVgjbw21pYTmIbtG5vYDkoj1K9oI9w/0solG8DxmGeHEm9Cpv/Y&#10;KaMC+dZLlg+RnPLU0rwwcUpyZhW9gBIRLnQZjP2bTGJgPREpLh99LdE2yAPV5S4mM4xkSFvJlh3q&#10;g0r71LOl0X6fV6RfL2v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nTES7XAAAACAEAAA8AAAAA&#10;AAAAAQAgAAAAIgAAAGRycy9kb3ducmV2LnhtbFBLAQIUABQAAAAIAIdO4kD0p84+3AEAAKEDAAAO&#10;AAAAAAAAAAEAIAAAACYBAABkcnMvZTJvRG9jLnhtbFBLBQYAAAAABgAGAFkBAAB0BQAAAAA=&#10;">
            <v:stroke dashstyle="longDashDotDot"/>
          </v:line>
        </w:pict>
      </w:r>
      <w:r w:rsidR="005860D5" w:rsidRPr="00925B84">
        <w:rPr>
          <w:rFonts w:hint="eastAsia"/>
          <w:szCs w:val="21"/>
        </w:rPr>
        <w:t>4</w:t>
      </w:r>
      <w:r w:rsidR="005860D5" w:rsidRPr="00925B84">
        <w:rPr>
          <w:szCs w:val="21"/>
        </w:rPr>
        <w:t>.</w:t>
      </w:r>
      <w:r w:rsidR="005860D5" w:rsidRPr="00925B84">
        <w:rPr>
          <w:rFonts w:hint="eastAsia"/>
          <w:szCs w:val="21"/>
        </w:rPr>
        <w:t xml:space="preserve">         </w:t>
      </w:r>
      <w:r w:rsidR="005860D5" w:rsidRPr="00925B84">
        <w:rPr>
          <w:rFonts w:hint="eastAsia"/>
          <w:szCs w:val="21"/>
        </w:rPr>
        <w:t>表示选煤厂用</w:t>
      </w:r>
      <w:r w:rsidR="005860D5">
        <w:rPr>
          <w:rFonts w:hint="eastAsia"/>
          <w:szCs w:val="21"/>
        </w:rPr>
        <w:t>水量及去向</w:t>
      </w:r>
      <w:r w:rsidR="005860D5">
        <w:rPr>
          <w:szCs w:val="21"/>
        </w:rPr>
        <w:t>。</w:t>
      </w:r>
    </w:p>
    <w:p w:rsidR="00C223F5" w:rsidRDefault="00C223F5" w:rsidP="00F66BD1">
      <w:pPr>
        <w:ind w:firstLineChars="300" w:firstLine="630"/>
        <w:rPr>
          <w:szCs w:val="21"/>
        </w:rPr>
      </w:pPr>
    </w:p>
    <w:p w:rsidR="00C223F5" w:rsidRDefault="00C223F5" w:rsidP="00F66BD1">
      <w:pPr>
        <w:jc w:val="center"/>
        <w:rPr>
          <w:b/>
          <w:color w:val="FF0000"/>
          <w:sz w:val="24"/>
        </w:rPr>
      </w:pPr>
    </w:p>
    <w:p w:rsidR="00C223F5" w:rsidRDefault="00C223F5" w:rsidP="00F66BD1">
      <w:pPr>
        <w:rPr>
          <w:color w:val="FF0000"/>
        </w:rPr>
        <w:sectPr w:rsidR="00C223F5">
          <w:pgSz w:w="11906" w:h="16838"/>
          <w:pgMar w:top="1440" w:right="1701" w:bottom="1440" w:left="1701" w:header="851" w:footer="992" w:gutter="0"/>
          <w:cols w:space="425"/>
          <w:docGrid w:type="lines" w:linePitch="312"/>
        </w:sectPr>
      </w:pPr>
    </w:p>
    <w:p w:rsidR="00C223F5" w:rsidRPr="00925B84" w:rsidRDefault="005860D5" w:rsidP="008914BC">
      <w:pPr>
        <w:jc w:val="center"/>
        <w:rPr>
          <w:b/>
          <w:sz w:val="24"/>
        </w:rPr>
      </w:pPr>
      <w:r w:rsidRPr="00925B84">
        <w:rPr>
          <w:b/>
          <w:sz w:val="24"/>
        </w:rPr>
        <w:lastRenderedPageBreak/>
        <w:t>表</w:t>
      </w:r>
      <w:r w:rsidRPr="00925B84">
        <w:rPr>
          <w:rFonts w:hint="eastAsia"/>
          <w:b/>
          <w:sz w:val="24"/>
        </w:rPr>
        <w:t xml:space="preserve">2.3.2-2   </w:t>
      </w:r>
      <w:r w:rsidRPr="00925B84">
        <w:rPr>
          <w:rFonts w:hint="eastAsia"/>
          <w:b/>
          <w:sz w:val="24"/>
        </w:rPr>
        <w:t>本项目</w:t>
      </w:r>
      <w:r w:rsidRPr="00925B84">
        <w:rPr>
          <w:b/>
          <w:sz w:val="24"/>
        </w:rPr>
        <w:t>水污染物</w:t>
      </w:r>
      <w:r w:rsidRPr="00925B84">
        <w:rPr>
          <w:rFonts w:hint="eastAsia"/>
          <w:b/>
          <w:sz w:val="24"/>
        </w:rPr>
        <w:t>产</w:t>
      </w:r>
      <w:r w:rsidRPr="00925B84">
        <w:rPr>
          <w:b/>
          <w:sz w:val="24"/>
        </w:rPr>
        <w:t>排情况一览表</w:t>
      </w:r>
    </w:p>
    <w:tbl>
      <w:tblPr>
        <w:tblW w:w="8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23"/>
        <w:gridCol w:w="522"/>
        <w:gridCol w:w="1657"/>
        <w:gridCol w:w="2311"/>
        <w:gridCol w:w="722"/>
        <w:gridCol w:w="751"/>
        <w:gridCol w:w="690"/>
        <w:gridCol w:w="842"/>
        <w:gridCol w:w="761"/>
      </w:tblGrid>
      <w:tr w:rsidR="00C223F5" w:rsidRPr="00925B84">
        <w:trPr>
          <w:cantSplit/>
          <w:trHeight w:val="70"/>
          <w:jc w:val="center"/>
        </w:trPr>
        <w:tc>
          <w:tcPr>
            <w:tcW w:w="5113" w:type="dxa"/>
            <w:gridSpan w:val="4"/>
            <w:vMerge w:val="restart"/>
            <w:vAlign w:val="center"/>
          </w:tcPr>
          <w:p w:rsidR="00C223F5" w:rsidRPr="00925B84" w:rsidRDefault="005860D5" w:rsidP="00F66BD1">
            <w:pPr>
              <w:jc w:val="center"/>
              <w:rPr>
                <w:szCs w:val="21"/>
              </w:rPr>
            </w:pPr>
            <w:r w:rsidRPr="00925B84">
              <w:rPr>
                <w:rFonts w:hAnsi="宋体"/>
                <w:szCs w:val="21"/>
              </w:rPr>
              <w:t>污废水来源</w:t>
            </w:r>
          </w:p>
        </w:tc>
        <w:tc>
          <w:tcPr>
            <w:tcW w:w="3766" w:type="dxa"/>
            <w:gridSpan w:val="5"/>
            <w:vAlign w:val="center"/>
          </w:tcPr>
          <w:p w:rsidR="00C223F5" w:rsidRPr="00925B84" w:rsidRDefault="005860D5" w:rsidP="00F66BD1">
            <w:pPr>
              <w:jc w:val="center"/>
              <w:rPr>
                <w:szCs w:val="21"/>
              </w:rPr>
            </w:pPr>
            <w:r w:rsidRPr="00925B84">
              <w:rPr>
                <w:rFonts w:hAnsi="宋体"/>
                <w:szCs w:val="21"/>
              </w:rPr>
              <w:t>水质因子</w:t>
            </w:r>
          </w:p>
        </w:tc>
      </w:tr>
      <w:tr w:rsidR="00C223F5" w:rsidRPr="00925B84">
        <w:trPr>
          <w:cantSplit/>
          <w:trHeight w:val="70"/>
          <w:jc w:val="center"/>
        </w:trPr>
        <w:tc>
          <w:tcPr>
            <w:tcW w:w="5113" w:type="dxa"/>
            <w:gridSpan w:val="4"/>
            <w:vMerge/>
            <w:vAlign w:val="center"/>
          </w:tcPr>
          <w:p w:rsidR="00C223F5" w:rsidRPr="00925B84" w:rsidRDefault="00C223F5" w:rsidP="00F66BD1">
            <w:pPr>
              <w:jc w:val="center"/>
              <w:rPr>
                <w:szCs w:val="21"/>
              </w:rPr>
            </w:pPr>
          </w:p>
        </w:tc>
        <w:tc>
          <w:tcPr>
            <w:tcW w:w="722" w:type="dxa"/>
            <w:vAlign w:val="center"/>
          </w:tcPr>
          <w:p w:rsidR="00C223F5" w:rsidRPr="00925B84" w:rsidRDefault="005860D5" w:rsidP="00F66BD1">
            <w:pPr>
              <w:jc w:val="center"/>
              <w:rPr>
                <w:szCs w:val="21"/>
              </w:rPr>
            </w:pPr>
            <w:r w:rsidRPr="00925B84">
              <w:rPr>
                <w:szCs w:val="21"/>
              </w:rPr>
              <w:t>SS</w:t>
            </w:r>
          </w:p>
        </w:tc>
        <w:tc>
          <w:tcPr>
            <w:tcW w:w="751" w:type="dxa"/>
            <w:vAlign w:val="center"/>
          </w:tcPr>
          <w:p w:rsidR="00C223F5" w:rsidRPr="00925B84" w:rsidRDefault="005860D5" w:rsidP="00F66BD1">
            <w:pPr>
              <w:jc w:val="center"/>
              <w:rPr>
                <w:szCs w:val="21"/>
              </w:rPr>
            </w:pPr>
            <w:r w:rsidRPr="00925B84">
              <w:rPr>
                <w:szCs w:val="21"/>
              </w:rPr>
              <w:t>COD</w:t>
            </w:r>
          </w:p>
        </w:tc>
        <w:tc>
          <w:tcPr>
            <w:tcW w:w="690" w:type="dxa"/>
            <w:vAlign w:val="center"/>
          </w:tcPr>
          <w:p w:rsidR="00C223F5" w:rsidRPr="00925B84" w:rsidRDefault="005860D5" w:rsidP="00F66BD1">
            <w:pPr>
              <w:jc w:val="center"/>
              <w:rPr>
                <w:w w:val="90"/>
                <w:szCs w:val="21"/>
              </w:rPr>
            </w:pPr>
            <w:r w:rsidRPr="00925B84">
              <w:rPr>
                <w:w w:val="90"/>
                <w:szCs w:val="21"/>
              </w:rPr>
              <w:t>BOD</w:t>
            </w:r>
            <w:r w:rsidRPr="00925B84">
              <w:rPr>
                <w:w w:val="90"/>
                <w:szCs w:val="21"/>
                <w:vertAlign w:val="subscript"/>
              </w:rPr>
              <w:t>5</w:t>
            </w:r>
          </w:p>
        </w:tc>
        <w:tc>
          <w:tcPr>
            <w:tcW w:w="842" w:type="dxa"/>
            <w:vAlign w:val="center"/>
          </w:tcPr>
          <w:p w:rsidR="00C223F5" w:rsidRPr="00925B84" w:rsidRDefault="005860D5" w:rsidP="00F66BD1">
            <w:pPr>
              <w:jc w:val="center"/>
              <w:rPr>
                <w:szCs w:val="21"/>
              </w:rPr>
            </w:pPr>
            <w:r w:rsidRPr="00925B84">
              <w:rPr>
                <w:rFonts w:hAnsi="宋体"/>
                <w:szCs w:val="21"/>
              </w:rPr>
              <w:t>石油类</w:t>
            </w:r>
          </w:p>
        </w:tc>
        <w:tc>
          <w:tcPr>
            <w:tcW w:w="761" w:type="dxa"/>
            <w:vAlign w:val="center"/>
          </w:tcPr>
          <w:p w:rsidR="00C223F5" w:rsidRPr="00925B84" w:rsidRDefault="005860D5" w:rsidP="00F66BD1">
            <w:pPr>
              <w:jc w:val="center"/>
              <w:rPr>
                <w:szCs w:val="21"/>
              </w:rPr>
            </w:pPr>
            <w:r w:rsidRPr="00925B84">
              <w:rPr>
                <w:rFonts w:hAnsi="宋体"/>
                <w:szCs w:val="21"/>
              </w:rPr>
              <w:t>氨氮</w:t>
            </w:r>
          </w:p>
        </w:tc>
      </w:tr>
      <w:tr w:rsidR="00C223F5" w:rsidRPr="00925B84">
        <w:trPr>
          <w:cantSplit/>
          <w:trHeight w:val="70"/>
          <w:jc w:val="center"/>
        </w:trPr>
        <w:tc>
          <w:tcPr>
            <w:tcW w:w="623" w:type="dxa"/>
            <w:vMerge w:val="restart"/>
            <w:vAlign w:val="center"/>
          </w:tcPr>
          <w:p w:rsidR="00C223F5" w:rsidRPr="00925B84" w:rsidRDefault="005860D5" w:rsidP="00F66BD1">
            <w:pPr>
              <w:jc w:val="center"/>
              <w:rPr>
                <w:szCs w:val="21"/>
              </w:rPr>
            </w:pPr>
            <w:r w:rsidRPr="00925B84">
              <w:rPr>
                <w:rFonts w:hint="eastAsia"/>
                <w:szCs w:val="21"/>
              </w:rPr>
              <w:t>井采</w:t>
            </w:r>
          </w:p>
          <w:p w:rsidR="00C223F5" w:rsidRPr="00925B84" w:rsidRDefault="005860D5" w:rsidP="00F66BD1">
            <w:pPr>
              <w:jc w:val="center"/>
              <w:rPr>
                <w:szCs w:val="21"/>
              </w:rPr>
            </w:pPr>
            <w:r w:rsidRPr="00925B84">
              <w:rPr>
                <w:rFonts w:hint="eastAsia"/>
                <w:szCs w:val="21"/>
              </w:rPr>
              <w:t>阶段</w:t>
            </w:r>
          </w:p>
        </w:tc>
        <w:tc>
          <w:tcPr>
            <w:tcW w:w="522" w:type="dxa"/>
            <w:vMerge w:val="restart"/>
            <w:vAlign w:val="center"/>
          </w:tcPr>
          <w:p w:rsidR="00C223F5" w:rsidRPr="00925B84" w:rsidRDefault="005860D5" w:rsidP="00F66BD1">
            <w:pPr>
              <w:jc w:val="center"/>
              <w:rPr>
                <w:rFonts w:hAnsi="宋体"/>
                <w:szCs w:val="21"/>
              </w:rPr>
            </w:pPr>
            <w:r w:rsidRPr="00925B84">
              <w:rPr>
                <w:rFonts w:hAnsi="宋体"/>
                <w:szCs w:val="21"/>
              </w:rPr>
              <w:t>井下</w:t>
            </w:r>
            <w:r w:rsidRPr="00925B84">
              <w:rPr>
                <w:rFonts w:hAnsi="宋体" w:hint="eastAsia"/>
                <w:szCs w:val="21"/>
              </w:rPr>
              <w:t>排</w:t>
            </w:r>
            <w:r w:rsidRPr="00925B84">
              <w:rPr>
                <w:rFonts w:hAnsi="宋体"/>
                <w:szCs w:val="21"/>
              </w:rPr>
              <w:t>水</w:t>
            </w:r>
          </w:p>
        </w:tc>
        <w:tc>
          <w:tcPr>
            <w:tcW w:w="1657" w:type="dxa"/>
            <w:vMerge w:val="restart"/>
            <w:vAlign w:val="center"/>
          </w:tcPr>
          <w:p w:rsidR="00C223F5" w:rsidRPr="00925B84" w:rsidRDefault="005860D5" w:rsidP="00F66BD1">
            <w:pPr>
              <w:jc w:val="center"/>
              <w:rPr>
                <w:szCs w:val="21"/>
              </w:rPr>
            </w:pPr>
            <w:r w:rsidRPr="00925B84">
              <w:rPr>
                <w:rFonts w:hint="eastAsia"/>
                <w:szCs w:val="21"/>
              </w:rPr>
              <w:t>产生（</w:t>
            </w:r>
            <w:r w:rsidRPr="00925B84">
              <w:rPr>
                <w:rFonts w:hint="eastAsia"/>
                <w:szCs w:val="21"/>
              </w:rPr>
              <w:t>69.73</w:t>
            </w:r>
            <w:r w:rsidRPr="00925B84">
              <w:rPr>
                <w:rFonts w:hint="eastAsia"/>
                <w:szCs w:val="21"/>
              </w:rPr>
              <w:t>万</w:t>
            </w:r>
            <w:r w:rsidRPr="00925B84">
              <w:rPr>
                <w:rFonts w:hint="eastAsia"/>
                <w:szCs w:val="21"/>
              </w:rPr>
              <w:t>t/a</w:t>
            </w:r>
            <w:r w:rsidRPr="00925B84">
              <w:rPr>
                <w:rFonts w:hint="eastAsia"/>
                <w:szCs w:val="21"/>
              </w:rPr>
              <w:t>）</w:t>
            </w:r>
          </w:p>
          <w:p w:rsidR="00C223F5" w:rsidRPr="00925B84" w:rsidRDefault="005860D5" w:rsidP="00F66BD1">
            <w:pPr>
              <w:jc w:val="center"/>
              <w:rPr>
                <w:szCs w:val="21"/>
              </w:rPr>
            </w:pPr>
            <w:r w:rsidRPr="00925B84">
              <w:rPr>
                <w:rFonts w:hint="eastAsia"/>
                <w:szCs w:val="21"/>
              </w:rPr>
              <w:t>1920</w:t>
            </w:r>
            <w:r w:rsidRPr="00925B84">
              <w:rPr>
                <w:szCs w:val="21"/>
              </w:rPr>
              <w:t>m</w:t>
            </w:r>
            <w:r w:rsidRPr="00925B84">
              <w:rPr>
                <w:szCs w:val="21"/>
                <w:vertAlign w:val="superscript"/>
              </w:rPr>
              <w:t>3</w:t>
            </w:r>
            <w:r w:rsidRPr="00925B84">
              <w:rPr>
                <w:szCs w:val="21"/>
              </w:rPr>
              <w:t>/d</w:t>
            </w:r>
          </w:p>
          <w:p w:rsidR="00C223F5" w:rsidRPr="00925B84" w:rsidRDefault="005860D5" w:rsidP="00F66BD1">
            <w:pPr>
              <w:jc w:val="center"/>
              <w:rPr>
                <w:rFonts w:hAnsi="宋体"/>
                <w:spacing w:val="-6"/>
                <w:szCs w:val="21"/>
              </w:rPr>
            </w:pPr>
            <w:r w:rsidRPr="00925B84">
              <w:rPr>
                <w:rFonts w:hAnsi="宋体" w:hint="eastAsia"/>
                <w:spacing w:val="-6"/>
                <w:szCs w:val="21"/>
              </w:rPr>
              <w:t>(</w:t>
            </w:r>
            <w:r w:rsidRPr="00925B84">
              <w:rPr>
                <w:rFonts w:hAnsi="宋体" w:hint="eastAsia"/>
                <w:spacing w:val="-6"/>
                <w:szCs w:val="21"/>
              </w:rPr>
              <w:t>含灌浆析出水</w:t>
            </w:r>
            <w:r w:rsidRPr="00925B84">
              <w:rPr>
                <w:rFonts w:hAnsi="宋体" w:hint="eastAsia"/>
                <w:spacing w:val="-6"/>
                <w:szCs w:val="21"/>
              </w:rPr>
              <w:t>)</w:t>
            </w:r>
          </w:p>
        </w:tc>
        <w:tc>
          <w:tcPr>
            <w:tcW w:w="2311" w:type="dxa"/>
            <w:vAlign w:val="center"/>
          </w:tcPr>
          <w:p w:rsidR="00C223F5" w:rsidRPr="00925B84" w:rsidRDefault="005860D5" w:rsidP="00F66BD1">
            <w:pPr>
              <w:jc w:val="center"/>
              <w:rPr>
                <w:szCs w:val="21"/>
              </w:rPr>
            </w:pPr>
            <w:r w:rsidRPr="00925B84">
              <w:rPr>
                <w:rFonts w:hAnsi="宋体" w:hint="eastAsia"/>
                <w:szCs w:val="21"/>
              </w:rPr>
              <w:t>未处理</w:t>
            </w:r>
            <w:r w:rsidRPr="00925B84">
              <w:rPr>
                <w:rFonts w:hAnsi="宋体"/>
                <w:szCs w:val="21"/>
              </w:rPr>
              <w:t>浓度，</w:t>
            </w:r>
            <w:r w:rsidRPr="00925B84">
              <w:rPr>
                <w:szCs w:val="21"/>
              </w:rPr>
              <w:t>mg/L</w:t>
            </w:r>
          </w:p>
        </w:tc>
        <w:tc>
          <w:tcPr>
            <w:tcW w:w="722" w:type="dxa"/>
            <w:vAlign w:val="center"/>
          </w:tcPr>
          <w:p w:rsidR="00C223F5" w:rsidRPr="00925B84" w:rsidRDefault="005860D5" w:rsidP="00F66BD1">
            <w:pPr>
              <w:jc w:val="center"/>
              <w:rPr>
                <w:szCs w:val="21"/>
              </w:rPr>
            </w:pPr>
            <w:r w:rsidRPr="00925B84">
              <w:rPr>
                <w:rFonts w:hint="eastAsia"/>
                <w:szCs w:val="21"/>
              </w:rPr>
              <w:t>102</w:t>
            </w:r>
          </w:p>
        </w:tc>
        <w:tc>
          <w:tcPr>
            <w:tcW w:w="751" w:type="dxa"/>
            <w:vAlign w:val="center"/>
          </w:tcPr>
          <w:p w:rsidR="00C223F5" w:rsidRPr="00925B84" w:rsidRDefault="005860D5" w:rsidP="00F66BD1">
            <w:pPr>
              <w:jc w:val="center"/>
              <w:rPr>
                <w:szCs w:val="21"/>
              </w:rPr>
            </w:pPr>
            <w:r w:rsidRPr="00925B84">
              <w:rPr>
                <w:rFonts w:hint="eastAsia"/>
                <w:szCs w:val="21"/>
              </w:rPr>
              <w:t>96</w:t>
            </w:r>
          </w:p>
        </w:tc>
        <w:tc>
          <w:tcPr>
            <w:tcW w:w="690" w:type="dxa"/>
            <w:vAlign w:val="center"/>
          </w:tcPr>
          <w:p w:rsidR="00C223F5" w:rsidRPr="00925B84" w:rsidRDefault="005860D5" w:rsidP="00F66BD1">
            <w:pPr>
              <w:jc w:val="center"/>
              <w:rPr>
                <w:szCs w:val="21"/>
              </w:rPr>
            </w:pPr>
            <w:r w:rsidRPr="00925B84">
              <w:rPr>
                <w:rFonts w:hint="eastAsia"/>
                <w:szCs w:val="21"/>
              </w:rPr>
              <w:t>/</w:t>
            </w:r>
          </w:p>
        </w:tc>
        <w:tc>
          <w:tcPr>
            <w:tcW w:w="842" w:type="dxa"/>
            <w:vAlign w:val="center"/>
          </w:tcPr>
          <w:p w:rsidR="00C223F5" w:rsidRPr="00925B84" w:rsidRDefault="005860D5" w:rsidP="00F66BD1">
            <w:pPr>
              <w:jc w:val="center"/>
              <w:rPr>
                <w:rFonts w:hAnsi="宋体"/>
                <w:szCs w:val="21"/>
              </w:rPr>
            </w:pPr>
            <w:r w:rsidRPr="00925B84">
              <w:rPr>
                <w:rFonts w:hAnsi="宋体" w:hint="eastAsia"/>
                <w:szCs w:val="21"/>
              </w:rPr>
              <w:t>0.12</w:t>
            </w:r>
          </w:p>
        </w:tc>
        <w:tc>
          <w:tcPr>
            <w:tcW w:w="761" w:type="dxa"/>
            <w:vAlign w:val="center"/>
          </w:tcPr>
          <w:p w:rsidR="00C223F5" w:rsidRPr="00925B84" w:rsidRDefault="005860D5" w:rsidP="00F66BD1">
            <w:pPr>
              <w:jc w:val="center"/>
              <w:rPr>
                <w:rFonts w:hAnsi="宋体"/>
                <w:szCs w:val="21"/>
              </w:rPr>
            </w:pPr>
            <w:r w:rsidRPr="00925B84">
              <w:rPr>
                <w:rFonts w:hAnsi="宋体" w:hint="eastAsia"/>
                <w:szCs w:val="21"/>
              </w:rPr>
              <w:t>1.05</w:t>
            </w:r>
          </w:p>
        </w:tc>
      </w:tr>
      <w:tr w:rsidR="00C223F5" w:rsidRPr="00925B84">
        <w:trPr>
          <w:cantSplit/>
          <w:trHeight w:val="70"/>
          <w:jc w:val="center"/>
        </w:trPr>
        <w:tc>
          <w:tcPr>
            <w:tcW w:w="623" w:type="dxa"/>
            <w:vMerge/>
            <w:vAlign w:val="center"/>
          </w:tcPr>
          <w:p w:rsidR="00C223F5" w:rsidRPr="00925B84" w:rsidRDefault="00C223F5" w:rsidP="00F66BD1">
            <w:pPr>
              <w:jc w:val="center"/>
              <w:rPr>
                <w:szCs w:val="21"/>
              </w:rPr>
            </w:pPr>
          </w:p>
        </w:tc>
        <w:tc>
          <w:tcPr>
            <w:tcW w:w="522" w:type="dxa"/>
            <w:vMerge/>
            <w:vAlign w:val="center"/>
          </w:tcPr>
          <w:p w:rsidR="00C223F5" w:rsidRPr="00925B84" w:rsidRDefault="00C223F5" w:rsidP="00F66BD1">
            <w:pPr>
              <w:jc w:val="center"/>
              <w:rPr>
                <w:szCs w:val="21"/>
              </w:rPr>
            </w:pPr>
          </w:p>
        </w:tc>
        <w:tc>
          <w:tcPr>
            <w:tcW w:w="1657" w:type="dxa"/>
            <w:vMerge/>
            <w:vAlign w:val="center"/>
          </w:tcPr>
          <w:p w:rsidR="00C223F5" w:rsidRPr="00925B84" w:rsidRDefault="00C223F5" w:rsidP="00F66BD1">
            <w:pPr>
              <w:jc w:val="center"/>
              <w:rPr>
                <w:szCs w:val="21"/>
              </w:rPr>
            </w:pPr>
          </w:p>
        </w:tc>
        <w:tc>
          <w:tcPr>
            <w:tcW w:w="2311" w:type="dxa"/>
            <w:vAlign w:val="center"/>
          </w:tcPr>
          <w:p w:rsidR="00C223F5" w:rsidRPr="00925B84" w:rsidRDefault="005860D5" w:rsidP="00F66BD1">
            <w:pPr>
              <w:jc w:val="center"/>
              <w:rPr>
                <w:szCs w:val="21"/>
              </w:rPr>
            </w:pPr>
            <w:r w:rsidRPr="00925B84">
              <w:rPr>
                <w:rFonts w:hAnsi="宋体"/>
                <w:szCs w:val="21"/>
              </w:rPr>
              <w:t>产生量，</w:t>
            </w:r>
            <w:r w:rsidRPr="00925B84">
              <w:rPr>
                <w:szCs w:val="21"/>
              </w:rPr>
              <w:t>kg/d</w:t>
            </w:r>
          </w:p>
        </w:tc>
        <w:tc>
          <w:tcPr>
            <w:tcW w:w="722" w:type="dxa"/>
            <w:vAlign w:val="bottom"/>
          </w:tcPr>
          <w:p w:rsidR="00C223F5" w:rsidRPr="00925B84" w:rsidRDefault="005860D5" w:rsidP="00F66BD1">
            <w:pPr>
              <w:widowControl/>
              <w:jc w:val="center"/>
              <w:rPr>
                <w:bCs/>
                <w:kern w:val="0"/>
                <w:szCs w:val="21"/>
              </w:rPr>
            </w:pPr>
            <w:r w:rsidRPr="00925B84">
              <w:rPr>
                <w:rFonts w:hint="eastAsia"/>
                <w:bCs/>
                <w:kern w:val="0"/>
                <w:szCs w:val="21"/>
              </w:rPr>
              <w:t>195.84</w:t>
            </w:r>
          </w:p>
        </w:tc>
        <w:tc>
          <w:tcPr>
            <w:tcW w:w="751" w:type="dxa"/>
            <w:vAlign w:val="bottom"/>
          </w:tcPr>
          <w:p w:rsidR="00C223F5" w:rsidRPr="00925B84" w:rsidRDefault="005860D5" w:rsidP="00F66BD1">
            <w:pPr>
              <w:widowControl/>
              <w:jc w:val="center"/>
              <w:rPr>
                <w:bCs/>
                <w:kern w:val="0"/>
                <w:szCs w:val="21"/>
              </w:rPr>
            </w:pPr>
            <w:r w:rsidRPr="00925B84">
              <w:rPr>
                <w:rFonts w:hint="eastAsia"/>
                <w:bCs/>
                <w:kern w:val="0"/>
                <w:szCs w:val="21"/>
              </w:rPr>
              <w:t>184.32</w:t>
            </w:r>
          </w:p>
        </w:tc>
        <w:tc>
          <w:tcPr>
            <w:tcW w:w="690" w:type="dxa"/>
            <w:vAlign w:val="bottom"/>
          </w:tcPr>
          <w:p w:rsidR="00C223F5" w:rsidRPr="00925B84" w:rsidRDefault="005860D5" w:rsidP="00F66BD1">
            <w:pPr>
              <w:widowControl/>
              <w:jc w:val="center"/>
              <w:rPr>
                <w:bCs/>
                <w:kern w:val="0"/>
                <w:szCs w:val="21"/>
              </w:rPr>
            </w:pPr>
            <w:r w:rsidRPr="00925B84">
              <w:rPr>
                <w:rFonts w:hint="eastAsia"/>
                <w:bCs/>
                <w:kern w:val="0"/>
                <w:szCs w:val="21"/>
              </w:rPr>
              <w:t>/</w:t>
            </w:r>
          </w:p>
        </w:tc>
        <w:tc>
          <w:tcPr>
            <w:tcW w:w="842" w:type="dxa"/>
            <w:vAlign w:val="bottom"/>
          </w:tcPr>
          <w:p w:rsidR="00C223F5" w:rsidRPr="00925B84" w:rsidRDefault="005860D5" w:rsidP="00F66BD1">
            <w:pPr>
              <w:widowControl/>
              <w:jc w:val="center"/>
              <w:rPr>
                <w:bCs/>
                <w:kern w:val="0"/>
                <w:szCs w:val="21"/>
              </w:rPr>
            </w:pPr>
            <w:r w:rsidRPr="00925B84">
              <w:rPr>
                <w:rFonts w:hint="eastAsia"/>
                <w:bCs/>
                <w:kern w:val="0"/>
                <w:szCs w:val="21"/>
              </w:rPr>
              <w:t>0.23</w:t>
            </w:r>
          </w:p>
        </w:tc>
        <w:tc>
          <w:tcPr>
            <w:tcW w:w="761" w:type="dxa"/>
            <w:vAlign w:val="bottom"/>
          </w:tcPr>
          <w:p w:rsidR="00C223F5" w:rsidRPr="00925B84" w:rsidRDefault="005860D5" w:rsidP="00F66BD1">
            <w:pPr>
              <w:widowControl/>
              <w:jc w:val="center"/>
              <w:rPr>
                <w:bCs/>
                <w:kern w:val="0"/>
                <w:szCs w:val="21"/>
              </w:rPr>
            </w:pPr>
            <w:r w:rsidRPr="00925B84">
              <w:rPr>
                <w:rFonts w:hint="eastAsia"/>
                <w:bCs/>
                <w:kern w:val="0"/>
                <w:szCs w:val="21"/>
              </w:rPr>
              <w:t>2.02</w:t>
            </w:r>
          </w:p>
        </w:tc>
      </w:tr>
      <w:tr w:rsidR="00C223F5" w:rsidRPr="00925B84">
        <w:trPr>
          <w:cantSplit/>
          <w:trHeight w:val="70"/>
          <w:jc w:val="center"/>
        </w:trPr>
        <w:tc>
          <w:tcPr>
            <w:tcW w:w="623" w:type="dxa"/>
            <w:vMerge/>
            <w:vAlign w:val="center"/>
          </w:tcPr>
          <w:p w:rsidR="00C223F5" w:rsidRPr="00925B84" w:rsidRDefault="00C223F5" w:rsidP="00F66BD1">
            <w:pPr>
              <w:jc w:val="center"/>
              <w:rPr>
                <w:szCs w:val="21"/>
              </w:rPr>
            </w:pPr>
          </w:p>
        </w:tc>
        <w:tc>
          <w:tcPr>
            <w:tcW w:w="522" w:type="dxa"/>
            <w:vMerge/>
            <w:vAlign w:val="center"/>
          </w:tcPr>
          <w:p w:rsidR="00C223F5" w:rsidRPr="00925B84" w:rsidRDefault="00C223F5" w:rsidP="00F66BD1">
            <w:pPr>
              <w:jc w:val="center"/>
              <w:rPr>
                <w:szCs w:val="21"/>
              </w:rPr>
            </w:pPr>
          </w:p>
        </w:tc>
        <w:tc>
          <w:tcPr>
            <w:tcW w:w="1657" w:type="dxa"/>
            <w:vMerge/>
            <w:vAlign w:val="center"/>
          </w:tcPr>
          <w:p w:rsidR="00C223F5" w:rsidRPr="00925B84" w:rsidRDefault="00C223F5" w:rsidP="00F66BD1">
            <w:pPr>
              <w:jc w:val="center"/>
              <w:rPr>
                <w:szCs w:val="21"/>
              </w:rPr>
            </w:pPr>
          </w:p>
        </w:tc>
        <w:tc>
          <w:tcPr>
            <w:tcW w:w="2311" w:type="dxa"/>
            <w:vAlign w:val="center"/>
          </w:tcPr>
          <w:p w:rsidR="00C223F5" w:rsidRPr="00925B84" w:rsidRDefault="005860D5" w:rsidP="00F66BD1">
            <w:pPr>
              <w:jc w:val="center"/>
              <w:rPr>
                <w:rFonts w:hAnsi="宋体"/>
                <w:szCs w:val="21"/>
              </w:rPr>
            </w:pPr>
            <w:r w:rsidRPr="00925B84">
              <w:rPr>
                <w:rFonts w:hAnsi="宋体"/>
                <w:szCs w:val="21"/>
              </w:rPr>
              <w:t>产生量，</w:t>
            </w:r>
            <w:r w:rsidRPr="00925B84">
              <w:rPr>
                <w:rFonts w:hint="eastAsia"/>
                <w:szCs w:val="21"/>
              </w:rPr>
              <w:t>t</w:t>
            </w:r>
            <w:r w:rsidRPr="00925B84">
              <w:rPr>
                <w:szCs w:val="21"/>
              </w:rPr>
              <w:t>/</w:t>
            </w:r>
            <w:r w:rsidRPr="00925B84">
              <w:rPr>
                <w:rFonts w:hint="eastAsia"/>
                <w:szCs w:val="21"/>
              </w:rPr>
              <w:t>a</w:t>
            </w:r>
          </w:p>
        </w:tc>
        <w:tc>
          <w:tcPr>
            <w:tcW w:w="722" w:type="dxa"/>
            <w:vAlign w:val="bottom"/>
          </w:tcPr>
          <w:p w:rsidR="00C223F5" w:rsidRPr="00925B84" w:rsidRDefault="005860D5" w:rsidP="00F66BD1">
            <w:pPr>
              <w:widowControl/>
              <w:jc w:val="center"/>
              <w:rPr>
                <w:bCs/>
                <w:kern w:val="0"/>
                <w:szCs w:val="21"/>
              </w:rPr>
            </w:pPr>
            <w:r w:rsidRPr="00925B84">
              <w:rPr>
                <w:rFonts w:hint="eastAsia"/>
                <w:bCs/>
                <w:kern w:val="0"/>
                <w:szCs w:val="21"/>
              </w:rPr>
              <w:t>71.12</w:t>
            </w:r>
          </w:p>
        </w:tc>
        <w:tc>
          <w:tcPr>
            <w:tcW w:w="751" w:type="dxa"/>
            <w:vAlign w:val="bottom"/>
          </w:tcPr>
          <w:p w:rsidR="00C223F5" w:rsidRPr="00925B84" w:rsidRDefault="005860D5" w:rsidP="00F66BD1">
            <w:pPr>
              <w:widowControl/>
              <w:jc w:val="center"/>
              <w:rPr>
                <w:bCs/>
                <w:kern w:val="0"/>
                <w:szCs w:val="21"/>
              </w:rPr>
            </w:pPr>
            <w:r w:rsidRPr="00925B84">
              <w:rPr>
                <w:rFonts w:hint="eastAsia"/>
                <w:bCs/>
                <w:kern w:val="0"/>
                <w:szCs w:val="21"/>
              </w:rPr>
              <w:t>66.94</w:t>
            </w:r>
          </w:p>
        </w:tc>
        <w:tc>
          <w:tcPr>
            <w:tcW w:w="690" w:type="dxa"/>
            <w:vAlign w:val="bottom"/>
          </w:tcPr>
          <w:p w:rsidR="00C223F5" w:rsidRPr="00925B84" w:rsidRDefault="005860D5" w:rsidP="00F66BD1">
            <w:pPr>
              <w:widowControl/>
              <w:jc w:val="center"/>
              <w:rPr>
                <w:bCs/>
                <w:kern w:val="0"/>
                <w:szCs w:val="21"/>
              </w:rPr>
            </w:pPr>
            <w:r w:rsidRPr="00925B84">
              <w:rPr>
                <w:rFonts w:hint="eastAsia"/>
                <w:bCs/>
                <w:kern w:val="0"/>
                <w:szCs w:val="21"/>
              </w:rPr>
              <w:t>/</w:t>
            </w:r>
          </w:p>
        </w:tc>
        <w:tc>
          <w:tcPr>
            <w:tcW w:w="842" w:type="dxa"/>
            <w:vAlign w:val="bottom"/>
          </w:tcPr>
          <w:p w:rsidR="00C223F5" w:rsidRPr="00925B84" w:rsidRDefault="005860D5" w:rsidP="00F66BD1">
            <w:pPr>
              <w:widowControl/>
              <w:jc w:val="center"/>
              <w:rPr>
                <w:bCs/>
                <w:kern w:val="0"/>
                <w:szCs w:val="21"/>
              </w:rPr>
            </w:pPr>
            <w:r w:rsidRPr="00925B84">
              <w:rPr>
                <w:rFonts w:hint="eastAsia"/>
                <w:bCs/>
                <w:kern w:val="0"/>
                <w:szCs w:val="21"/>
              </w:rPr>
              <w:t>0.08</w:t>
            </w:r>
          </w:p>
        </w:tc>
        <w:tc>
          <w:tcPr>
            <w:tcW w:w="761" w:type="dxa"/>
            <w:vAlign w:val="bottom"/>
          </w:tcPr>
          <w:p w:rsidR="00C223F5" w:rsidRPr="00925B84" w:rsidRDefault="005860D5" w:rsidP="00F66BD1">
            <w:pPr>
              <w:widowControl/>
              <w:jc w:val="center"/>
              <w:rPr>
                <w:bCs/>
                <w:kern w:val="0"/>
                <w:szCs w:val="21"/>
              </w:rPr>
            </w:pPr>
            <w:r w:rsidRPr="00925B84">
              <w:rPr>
                <w:rFonts w:hint="eastAsia"/>
                <w:bCs/>
                <w:kern w:val="0"/>
                <w:szCs w:val="21"/>
              </w:rPr>
              <w:t>0.73</w:t>
            </w:r>
          </w:p>
        </w:tc>
      </w:tr>
      <w:tr w:rsidR="00C223F5" w:rsidRPr="00925B84">
        <w:trPr>
          <w:cantSplit/>
          <w:trHeight w:val="70"/>
          <w:jc w:val="center"/>
        </w:trPr>
        <w:tc>
          <w:tcPr>
            <w:tcW w:w="623" w:type="dxa"/>
            <w:vMerge/>
            <w:vAlign w:val="center"/>
          </w:tcPr>
          <w:p w:rsidR="00C223F5" w:rsidRPr="00925B84" w:rsidRDefault="00C223F5" w:rsidP="00F66BD1">
            <w:pPr>
              <w:jc w:val="center"/>
              <w:rPr>
                <w:szCs w:val="21"/>
              </w:rPr>
            </w:pPr>
          </w:p>
        </w:tc>
        <w:tc>
          <w:tcPr>
            <w:tcW w:w="522" w:type="dxa"/>
            <w:vMerge/>
            <w:vAlign w:val="center"/>
          </w:tcPr>
          <w:p w:rsidR="00C223F5" w:rsidRPr="00925B84" w:rsidRDefault="00C223F5" w:rsidP="00F66BD1">
            <w:pPr>
              <w:jc w:val="center"/>
              <w:rPr>
                <w:szCs w:val="21"/>
              </w:rPr>
            </w:pPr>
          </w:p>
        </w:tc>
        <w:tc>
          <w:tcPr>
            <w:tcW w:w="1657" w:type="dxa"/>
            <w:vMerge w:val="restart"/>
            <w:vAlign w:val="center"/>
          </w:tcPr>
          <w:p w:rsidR="00C223F5" w:rsidRPr="00925B84" w:rsidRDefault="005860D5" w:rsidP="00F66BD1">
            <w:pPr>
              <w:jc w:val="center"/>
              <w:rPr>
                <w:szCs w:val="21"/>
              </w:rPr>
            </w:pPr>
            <w:r w:rsidRPr="00925B84">
              <w:rPr>
                <w:rFonts w:hint="eastAsia"/>
                <w:szCs w:val="21"/>
              </w:rPr>
              <w:t>排放（</w:t>
            </w:r>
            <w:r w:rsidR="00712806">
              <w:rPr>
                <w:rFonts w:hint="eastAsia"/>
                <w:color w:val="FF0000"/>
                <w:szCs w:val="21"/>
              </w:rPr>
              <w:t>22.49</w:t>
            </w:r>
            <w:r w:rsidRPr="00925B84">
              <w:rPr>
                <w:rFonts w:hint="eastAsia"/>
                <w:szCs w:val="21"/>
              </w:rPr>
              <w:t>万</w:t>
            </w:r>
            <w:r w:rsidRPr="00925B84">
              <w:rPr>
                <w:rFonts w:hint="eastAsia"/>
                <w:szCs w:val="21"/>
              </w:rPr>
              <w:t>t/a</w:t>
            </w:r>
            <w:r w:rsidRPr="00925B84">
              <w:rPr>
                <w:rFonts w:hint="eastAsia"/>
                <w:szCs w:val="21"/>
              </w:rPr>
              <w:t>）</w:t>
            </w:r>
          </w:p>
          <w:p w:rsidR="00C223F5" w:rsidRPr="00925B84" w:rsidRDefault="005860D5" w:rsidP="00F66BD1">
            <w:pPr>
              <w:jc w:val="center"/>
              <w:rPr>
                <w:spacing w:val="-8"/>
                <w:szCs w:val="21"/>
              </w:rPr>
            </w:pPr>
            <w:r w:rsidRPr="00925B84">
              <w:rPr>
                <w:rFonts w:hAnsi="宋体" w:hint="eastAsia"/>
                <w:spacing w:val="-4"/>
                <w:szCs w:val="21"/>
              </w:rPr>
              <w:t>采暖期</w:t>
            </w:r>
            <w:r w:rsidR="00712806">
              <w:rPr>
                <w:rFonts w:hAnsi="宋体" w:hint="eastAsia"/>
                <w:color w:val="FF0000"/>
                <w:spacing w:val="-8"/>
                <w:szCs w:val="21"/>
              </w:rPr>
              <w:t>387.7</w:t>
            </w:r>
            <w:r w:rsidRPr="00925B84">
              <w:rPr>
                <w:spacing w:val="-8"/>
                <w:szCs w:val="21"/>
              </w:rPr>
              <w:t>m</w:t>
            </w:r>
            <w:r w:rsidRPr="00925B84">
              <w:rPr>
                <w:spacing w:val="-8"/>
                <w:szCs w:val="21"/>
                <w:vertAlign w:val="superscript"/>
              </w:rPr>
              <w:t>3</w:t>
            </w:r>
            <w:r w:rsidRPr="00925B84">
              <w:rPr>
                <w:spacing w:val="-8"/>
                <w:szCs w:val="21"/>
              </w:rPr>
              <w:t>/d</w:t>
            </w:r>
          </w:p>
          <w:p w:rsidR="00C223F5" w:rsidRPr="00925B84" w:rsidRDefault="005860D5" w:rsidP="00712806">
            <w:pPr>
              <w:jc w:val="center"/>
              <w:rPr>
                <w:szCs w:val="21"/>
              </w:rPr>
            </w:pPr>
            <w:r w:rsidRPr="00925B84">
              <w:rPr>
                <w:rFonts w:hint="eastAsia"/>
                <w:spacing w:val="-8"/>
                <w:szCs w:val="21"/>
              </w:rPr>
              <w:t>非采暖期</w:t>
            </w:r>
            <w:r w:rsidR="00712806">
              <w:rPr>
                <w:rFonts w:hint="eastAsia"/>
                <w:color w:val="FF0000"/>
                <w:spacing w:val="-8"/>
                <w:szCs w:val="21"/>
              </w:rPr>
              <w:t>553</w:t>
            </w:r>
            <w:r w:rsidRPr="00925B84">
              <w:rPr>
                <w:spacing w:val="-8"/>
                <w:szCs w:val="21"/>
              </w:rPr>
              <w:t>m</w:t>
            </w:r>
            <w:r w:rsidRPr="00925B84">
              <w:rPr>
                <w:spacing w:val="-8"/>
                <w:szCs w:val="21"/>
                <w:vertAlign w:val="superscript"/>
              </w:rPr>
              <w:t>3</w:t>
            </w:r>
            <w:r w:rsidRPr="00925B84">
              <w:rPr>
                <w:spacing w:val="-8"/>
                <w:szCs w:val="21"/>
              </w:rPr>
              <w:t>/d</w:t>
            </w:r>
          </w:p>
        </w:tc>
        <w:tc>
          <w:tcPr>
            <w:tcW w:w="2311" w:type="dxa"/>
            <w:vAlign w:val="center"/>
          </w:tcPr>
          <w:p w:rsidR="00C223F5" w:rsidRPr="00925B84" w:rsidRDefault="005860D5" w:rsidP="00F66BD1">
            <w:pPr>
              <w:jc w:val="center"/>
              <w:rPr>
                <w:szCs w:val="21"/>
              </w:rPr>
            </w:pPr>
            <w:r w:rsidRPr="00925B84">
              <w:rPr>
                <w:rFonts w:hAnsi="宋体"/>
                <w:szCs w:val="21"/>
              </w:rPr>
              <w:t>处理</w:t>
            </w:r>
            <w:r w:rsidRPr="00925B84">
              <w:rPr>
                <w:rFonts w:hAnsi="宋体" w:hint="eastAsia"/>
                <w:szCs w:val="21"/>
              </w:rPr>
              <w:t>后</w:t>
            </w:r>
            <w:r w:rsidRPr="00925B84">
              <w:rPr>
                <w:rFonts w:hAnsi="宋体"/>
                <w:szCs w:val="21"/>
              </w:rPr>
              <w:t>浓度</w:t>
            </w:r>
            <w:r w:rsidRPr="00925B84">
              <w:rPr>
                <w:szCs w:val="21"/>
              </w:rPr>
              <w:t>mg/L</w:t>
            </w:r>
          </w:p>
        </w:tc>
        <w:tc>
          <w:tcPr>
            <w:tcW w:w="722" w:type="dxa"/>
            <w:vAlign w:val="center"/>
          </w:tcPr>
          <w:p w:rsidR="00C223F5" w:rsidRPr="00925B84" w:rsidRDefault="005860D5" w:rsidP="00F66BD1">
            <w:pPr>
              <w:jc w:val="center"/>
              <w:rPr>
                <w:szCs w:val="21"/>
              </w:rPr>
            </w:pPr>
            <w:r w:rsidRPr="00925B84">
              <w:rPr>
                <w:rFonts w:hint="eastAsia"/>
                <w:szCs w:val="21"/>
              </w:rPr>
              <w:t>15</w:t>
            </w:r>
          </w:p>
        </w:tc>
        <w:tc>
          <w:tcPr>
            <w:tcW w:w="751" w:type="dxa"/>
            <w:vAlign w:val="center"/>
          </w:tcPr>
          <w:p w:rsidR="00C223F5" w:rsidRPr="00925B84" w:rsidRDefault="005860D5" w:rsidP="00F66BD1">
            <w:pPr>
              <w:jc w:val="center"/>
              <w:rPr>
                <w:szCs w:val="21"/>
              </w:rPr>
            </w:pPr>
            <w:r w:rsidRPr="00925B84">
              <w:rPr>
                <w:rFonts w:hint="eastAsia"/>
                <w:szCs w:val="21"/>
              </w:rPr>
              <w:t>16.5</w:t>
            </w:r>
          </w:p>
        </w:tc>
        <w:tc>
          <w:tcPr>
            <w:tcW w:w="690" w:type="dxa"/>
            <w:vAlign w:val="center"/>
          </w:tcPr>
          <w:p w:rsidR="00C223F5" w:rsidRPr="00925B84" w:rsidRDefault="005860D5" w:rsidP="00F66BD1">
            <w:pPr>
              <w:jc w:val="center"/>
              <w:rPr>
                <w:szCs w:val="21"/>
              </w:rPr>
            </w:pPr>
            <w:r w:rsidRPr="00925B84">
              <w:rPr>
                <w:rFonts w:hint="eastAsia"/>
                <w:szCs w:val="21"/>
              </w:rPr>
              <w:t>/</w:t>
            </w:r>
          </w:p>
        </w:tc>
        <w:tc>
          <w:tcPr>
            <w:tcW w:w="842" w:type="dxa"/>
            <w:vAlign w:val="center"/>
          </w:tcPr>
          <w:p w:rsidR="00C223F5" w:rsidRPr="00925B84" w:rsidRDefault="005860D5" w:rsidP="00F66BD1">
            <w:pPr>
              <w:jc w:val="center"/>
              <w:rPr>
                <w:rFonts w:hAnsi="宋体"/>
                <w:szCs w:val="21"/>
              </w:rPr>
            </w:pPr>
            <w:r w:rsidRPr="00925B84">
              <w:rPr>
                <w:rFonts w:hAnsi="宋体" w:hint="eastAsia"/>
                <w:szCs w:val="21"/>
              </w:rPr>
              <w:t>0.045</w:t>
            </w:r>
          </w:p>
        </w:tc>
        <w:tc>
          <w:tcPr>
            <w:tcW w:w="761" w:type="dxa"/>
            <w:vAlign w:val="center"/>
          </w:tcPr>
          <w:p w:rsidR="00C223F5" w:rsidRPr="00925B84" w:rsidRDefault="005860D5" w:rsidP="00F66BD1">
            <w:pPr>
              <w:jc w:val="center"/>
              <w:rPr>
                <w:rFonts w:hAnsi="宋体"/>
                <w:szCs w:val="21"/>
              </w:rPr>
            </w:pPr>
            <w:r w:rsidRPr="00925B84">
              <w:rPr>
                <w:rFonts w:hAnsi="宋体" w:hint="eastAsia"/>
                <w:szCs w:val="21"/>
              </w:rPr>
              <w:t>0.52</w:t>
            </w:r>
          </w:p>
        </w:tc>
      </w:tr>
      <w:tr w:rsidR="00C223F5" w:rsidRPr="00925B84">
        <w:trPr>
          <w:cantSplit/>
          <w:trHeight w:val="70"/>
          <w:jc w:val="center"/>
        </w:trPr>
        <w:tc>
          <w:tcPr>
            <w:tcW w:w="623" w:type="dxa"/>
            <w:vMerge/>
            <w:vAlign w:val="center"/>
          </w:tcPr>
          <w:p w:rsidR="00C223F5" w:rsidRPr="00925B84" w:rsidRDefault="00C223F5" w:rsidP="00F66BD1">
            <w:pPr>
              <w:jc w:val="center"/>
              <w:rPr>
                <w:szCs w:val="21"/>
              </w:rPr>
            </w:pPr>
          </w:p>
        </w:tc>
        <w:tc>
          <w:tcPr>
            <w:tcW w:w="522" w:type="dxa"/>
            <w:vMerge/>
            <w:vAlign w:val="center"/>
          </w:tcPr>
          <w:p w:rsidR="00C223F5" w:rsidRPr="00925B84" w:rsidRDefault="00C223F5" w:rsidP="00F66BD1">
            <w:pPr>
              <w:jc w:val="center"/>
              <w:rPr>
                <w:szCs w:val="21"/>
              </w:rPr>
            </w:pPr>
          </w:p>
        </w:tc>
        <w:tc>
          <w:tcPr>
            <w:tcW w:w="1657" w:type="dxa"/>
            <w:vMerge/>
            <w:vAlign w:val="center"/>
          </w:tcPr>
          <w:p w:rsidR="00C223F5" w:rsidRPr="00925B84" w:rsidRDefault="00C223F5" w:rsidP="00F66BD1">
            <w:pPr>
              <w:jc w:val="center"/>
              <w:rPr>
                <w:szCs w:val="21"/>
              </w:rPr>
            </w:pPr>
          </w:p>
        </w:tc>
        <w:tc>
          <w:tcPr>
            <w:tcW w:w="2311" w:type="dxa"/>
            <w:vAlign w:val="center"/>
          </w:tcPr>
          <w:p w:rsidR="00C223F5" w:rsidRPr="00925B84" w:rsidRDefault="005860D5" w:rsidP="00F66BD1">
            <w:pPr>
              <w:jc w:val="center"/>
              <w:rPr>
                <w:szCs w:val="21"/>
              </w:rPr>
            </w:pPr>
            <w:r w:rsidRPr="00925B84">
              <w:rPr>
                <w:rFonts w:hAnsi="宋体" w:hint="eastAsia"/>
                <w:szCs w:val="21"/>
              </w:rPr>
              <w:t>采暖季</w:t>
            </w:r>
            <w:r w:rsidRPr="00925B84">
              <w:rPr>
                <w:rFonts w:hAnsi="宋体"/>
                <w:szCs w:val="21"/>
              </w:rPr>
              <w:t>排放量</w:t>
            </w:r>
            <w:r w:rsidRPr="00925B84">
              <w:rPr>
                <w:szCs w:val="21"/>
              </w:rPr>
              <w:t>kg/d</w:t>
            </w:r>
          </w:p>
        </w:tc>
        <w:tc>
          <w:tcPr>
            <w:tcW w:w="722" w:type="dxa"/>
            <w:vAlign w:val="bottom"/>
          </w:tcPr>
          <w:p w:rsidR="00C223F5" w:rsidRPr="00925B84" w:rsidRDefault="005860D5" w:rsidP="00F66BD1">
            <w:pPr>
              <w:widowControl/>
              <w:jc w:val="center"/>
              <w:rPr>
                <w:bCs/>
                <w:kern w:val="0"/>
                <w:szCs w:val="21"/>
              </w:rPr>
            </w:pPr>
            <w:r w:rsidRPr="00925B84">
              <w:rPr>
                <w:rFonts w:hint="eastAsia"/>
                <w:bCs/>
                <w:kern w:val="0"/>
                <w:szCs w:val="21"/>
              </w:rPr>
              <w:t>5.28</w:t>
            </w:r>
          </w:p>
        </w:tc>
        <w:tc>
          <w:tcPr>
            <w:tcW w:w="751" w:type="dxa"/>
            <w:vAlign w:val="bottom"/>
          </w:tcPr>
          <w:p w:rsidR="00C223F5" w:rsidRPr="00925B84" w:rsidRDefault="005860D5" w:rsidP="00F66BD1">
            <w:pPr>
              <w:widowControl/>
              <w:jc w:val="center"/>
              <w:rPr>
                <w:bCs/>
                <w:kern w:val="0"/>
                <w:szCs w:val="21"/>
              </w:rPr>
            </w:pPr>
            <w:r w:rsidRPr="00925B84">
              <w:rPr>
                <w:rFonts w:hint="eastAsia"/>
                <w:bCs/>
                <w:kern w:val="0"/>
                <w:szCs w:val="21"/>
              </w:rPr>
              <w:t>5.80</w:t>
            </w:r>
          </w:p>
        </w:tc>
        <w:tc>
          <w:tcPr>
            <w:tcW w:w="690" w:type="dxa"/>
            <w:vAlign w:val="bottom"/>
          </w:tcPr>
          <w:p w:rsidR="00C223F5" w:rsidRPr="00925B84" w:rsidRDefault="005860D5" w:rsidP="00F66BD1">
            <w:pPr>
              <w:widowControl/>
              <w:jc w:val="center"/>
              <w:rPr>
                <w:bCs/>
                <w:kern w:val="0"/>
                <w:szCs w:val="21"/>
              </w:rPr>
            </w:pPr>
            <w:r w:rsidRPr="00925B84">
              <w:rPr>
                <w:rFonts w:hint="eastAsia"/>
                <w:bCs/>
                <w:kern w:val="0"/>
                <w:szCs w:val="21"/>
              </w:rPr>
              <w:t>/</w:t>
            </w:r>
          </w:p>
        </w:tc>
        <w:tc>
          <w:tcPr>
            <w:tcW w:w="842" w:type="dxa"/>
            <w:vAlign w:val="bottom"/>
          </w:tcPr>
          <w:p w:rsidR="00C223F5" w:rsidRPr="00925B84" w:rsidRDefault="005860D5" w:rsidP="00F66BD1">
            <w:pPr>
              <w:widowControl/>
              <w:jc w:val="center"/>
              <w:rPr>
                <w:bCs/>
                <w:kern w:val="0"/>
                <w:szCs w:val="21"/>
              </w:rPr>
            </w:pPr>
            <w:r w:rsidRPr="00925B84">
              <w:rPr>
                <w:rFonts w:hint="eastAsia"/>
                <w:bCs/>
                <w:kern w:val="0"/>
                <w:szCs w:val="21"/>
              </w:rPr>
              <w:t>0.016</w:t>
            </w:r>
          </w:p>
        </w:tc>
        <w:tc>
          <w:tcPr>
            <w:tcW w:w="761" w:type="dxa"/>
            <w:vAlign w:val="bottom"/>
          </w:tcPr>
          <w:p w:rsidR="00C223F5" w:rsidRPr="00925B84" w:rsidRDefault="005860D5" w:rsidP="00F66BD1">
            <w:pPr>
              <w:widowControl/>
              <w:jc w:val="center"/>
              <w:rPr>
                <w:bCs/>
                <w:kern w:val="0"/>
                <w:szCs w:val="21"/>
              </w:rPr>
            </w:pPr>
            <w:r w:rsidRPr="00925B84">
              <w:rPr>
                <w:rFonts w:hint="eastAsia"/>
                <w:bCs/>
                <w:kern w:val="0"/>
                <w:szCs w:val="21"/>
              </w:rPr>
              <w:t>0.183</w:t>
            </w:r>
          </w:p>
        </w:tc>
      </w:tr>
      <w:tr w:rsidR="00C223F5" w:rsidRPr="00925B84">
        <w:trPr>
          <w:cantSplit/>
          <w:trHeight w:val="70"/>
          <w:jc w:val="center"/>
        </w:trPr>
        <w:tc>
          <w:tcPr>
            <w:tcW w:w="623" w:type="dxa"/>
            <w:vMerge/>
            <w:vAlign w:val="center"/>
          </w:tcPr>
          <w:p w:rsidR="00C223F5" w:rsidRPr="00925B84" w:rsidRDefault="00C223F5" w:rsidP="00F66BD1">
            <w:pPr>
              <w:jc w:val="center"/>
              <w:rPr>
                <w:szCs w:val="21"/>
              </w:rPr>
            </w:pPr>
          </w:p>
        </w:tc>
        <w:tc>
          <w:tcPr>
            <w:tcW w:w="522" w:type="dxa"/>
            <w:vMerge/>
            <w:vAlign w:val="center"/>
          </w:tcPr>
          <w:p w:rsidR="00C223F5" w:rsidRPr="00925B84" w:rsidRDefault="00C223F5" w:rsidP="00F66BD1">
            <w:pPr>
              <w:jc w:val="center"/>
              <w:rPr>
                <w:szCs w:val="21"/>
              </w:rPr>
            </w:pPr>
          </w:p>
        </w:tc>
        <w:tc>
          <w:tcPr>
            <w:tcW w:w="1657" w:type="dxa"/>
            <w:vMerge/>
            <w:vAlign w:val="center"/>
          </w:tcPr>
          <w:p w:rsidR="00C223F5" w:rsidRPr="00925B84" w:rsidRDefault="00C223F5" w:rsidP="00F66BD1">
            <w:pPr>
              <w:jc w:val="center"/>
              <w:rPr>
                <w:szCs w:val="21"/>
              </w:rPr>
            </w:pPr>
          </w:p>
        </w:tc>
        <w:tc>
          <w:tcPr>
            <w:tcW w:w="2311" w:type="dxa"/>
            <w:vAlign w:val="center"/>
          </w:tcPr>
          <w:p w:rsidR="00C223F5" w:rsidRPr="00925B84" w:rsidRDefault="005860D5" w:rsidP="00F66BD1">
            <w:pPr>
              <w:jc w:val="center"/>
              <w:rPr>
                <w:rFonts w:hAnsi="宋体"/>
                <w:szCs w:val="21"/>
              </w:rPr>
            </w:pPr>
            <w:r w:rsidRPr="00925B84">
              <w:rPr>
                <w:rFonts w:hAnsi="宋体" w:hint="eastAsia"/>
                <w:szCs w:val="21"/>
              </w:rPr>
              <w:t>非采暖季</w:t>
            </w:r>
            <w:r w:rsidRPr="00925B84">
              <w:rPr>
                <w:rFonts w:hAnsi="宋体"/>
                <w:szCs w:val="21"/>
              </w:rPr>
              <w:t>排放量</w:t>
            </w:r>
            <w:r w:rsidRPr="00925B84">
              <w:rPr>
                <w:szCs w:val="21"/>
              </w:rPr>
              <w:t>kg/d</w:t>
            </w:r>
          </w:p>
        </w:tc>
        <w:tc>
          <w:tcPr>
            <w:tcW w:w="722" w:type="dxa"/>
            <w:vAlign w:val="bottom"/>
          </w:tcPr>
          <w:p w:rsidR="00C223F5" w:rsidRPr="00925B84" w:rsidRDefault="005860D5" w:rsidP="00F66BD1">
            <w:pPr>
              <w:widowControl/>
              <w:jc w:val="center"/>
              <w:rPr>
                <w:bCs/>
                <w:kern w:val="0"/>
                <w:szCs w:val="21"/>
              </w:rPr>
            </w:pPr>
            <w:r w:rsidRPr="00925B84">
              <w:rPr>
                <w:rFonts w:hint="eastAsia"/>
                <w:bCs/>
                <w:kern w:val="0"/>
                <w:szCs w:val="21"/>
              </w:rPr>
              <w:t>7.76</w:t>
            </w:r>
          </w:p>
        </w:tc>
        <w:tc>
          <w:tcPr>
            <w:tcW w:w="751" w:type="dxa"/>
            <w:vAlign w:val="bottom"/>
          </w:tcPr>
          <w:p w:rsidR="00C223F5" w:rsidRPr="00925B84" w:rsidRDefault="005860D5" w:rsidP="00F66BD1">
            <w:pPr>
              <w:widowControl/>
              <w:jc w:val="center"/>
              <w:rPr>
                <w:bCs/>
                <w:kern w:val="0"/>
                <w:szCs w:val="21"/>
              </w:rPr>
            </w:pPr>
            <w:r w:rsidRPr="00925B84">
              <w:rPr>
                <w:rFonts w:hint="eastAsia"/>
                <w:bCs/>
                <w:kern w:val="0"/>
                <w:szCs w:val="21"/>
              </w:rPr>
              <w:t>8.53</w:t>
            </w:r>
          </w:p>
        </w:tc>
        <w:tc>
          <w:tcPr>
            <w:tcW w:w="690" w:type="dxa"/>
            <w:vAlign w:val="bottom"/>
          </w:tcPr>
          <w:p w:rsidR="00C223F5" w:rsidRPr="00925B84" w:rsidRDefault="005860D5" w:rsidP="00F66BD1">
            <w:pPr>
              <w:widowControl/>
              <w:jc w:val="center"/>
              <w:rPr>
                <w:bCs/>
                <w:kern w:val="0"/>
                <w:szCs w:val="21"/>
              </w:rPr>
            </w:pPr>
            <w:r w:rsidRPr="00925B84">
              <w:rPr>
                <w:rFonts w:hint="eastAsia"/>
                <w:bCs/>
                <w:kern w:val="0"/>
                <w:szCs w:val="21"/>
              </w:rPr>
              <w:t>/</w:t>
            </w:r>
          </w:p>
        </w:tc>
        <w:tc>
          <w:tcPr>
            <w:tcW w:w="842" w:type="dxa"/>
            <w:vAlign w:val="bottom"/>
          </w:tcPr>
          <w:p w:rsidR="00C223F5" w:rsidRPr="00925B84" w:rsidRDefault="005860D5" w:rsidP="00F66BD1">
            <w:pPr>
              <w:widowControl/>
              <w:jc w:val="center"/>
              <w:rPr>
                <w:bCs/>
                <w:kern w:val="0"/>
                <w:szCs w:val="21"/>
              </w:rPr>
            </w:pPr>
            <w:r w:rsidRPr="00925B84">
              <w:rPr>
                <w:rFonts w:hint="eastAsia"/>
                <w:bCs/>
                <w:kern w:val="0"/>
                <w:szCs w:val="21"/>
              </w:rPr>
              <w:t>0.023</w:t>
            </w:r>
          </w:p>
        </w:tc>
        <w:tc>
          <w:tcPr>
            <w:tcW w:w="761" w:type="dxa"/>
            <w:vAlign w:val="bottom"/>
          </w:tcPr>
          <w:p w:rsidR="00C223F5" w:rsidRPr="00925B84" w:rsidRDefault="005860D5" w:rsidP="00F66BD1">
            <w:pPr>
              <w:widowControl/>
              <w:jc w:val="center"/>
              <w:rPr>
                <w:bCs/>
                <w:kern w:val="0"/>
                <w:szCs w:val="21"/>
              </w:rPr>
            </w:pPr>
            <w:r w:rsidRPr="00925B84">
              <w:rPr>
                <w:rFonts w:hint="eastAsia"/>
                <w:bCs/>
                <w:kern w:val="0"/>
                <w:szCs w:val="21"/>
              </w:rPr>
              <w:t>0.269</w:t>
            </w:r>
          </w:p>
        </w:tc>
      </w:tr>
      <w:tr w:rsidR="00C223F5" w:rsidRPr="00925B84">
        <w:trPr>
          <w:cantSplit/>
          <w:trHeight w:val="70"/>
          <w:jc w:val="center"/>
        </w:trPr>
        <w:tc>
          <w:tcPr>
            <w:tcW w:w="623" w:type="dxa"/>
            <w:vMerge/>
            <w:vAlign w:val="center"/>
          </w:tcPr>
          <w:p w:rsidR="00C223F5" w:rsidRPr="00925B84" w:rsidRDefault="00C223F5" w:rsidP="00F66BD1">
            <w:pPr>
              <w:jc w:val="center"/>
              <w:rPr>
                <w:szCs w:val="21"/>
              </w:rPr>
            </w:pPr>
          </w:p>
        </w:tc>
        <w:tc>
          <w:tcPr>
            <w:tcW w:w="522" w:type="dxa"/>
            <w:vMerge/>
            <w:vAlign w:val="center"/>
          </w:tcPr>
          <w:p w:rsidR="00C223F5" w:rsidRPr="00925B84" w:rsidRDefault="00C223F5" w:rsidP="00F66BD1">
            <w:pPr>
              <w:jc w:val="center"/>
              <w:rPr>
                <w:szCs w:val="21"/>
              </w:rPr>
            </w:pPr>
          </w:p>
        </w:tc>
        <w:tc>
          <w:tcPr>
            <w:tcW w:w="1657" w:type="dxa"/>
            <w:vMerge/>
            <w:vAlign w:val="center"/>
          </w:tcPr>
          <w:p w:rsidR="00C223F5" w:rsidRPr="00925B84" w:rsidRDefault="00C223F5" w:rsidP="00F66BD1">
            <w:pPr>
              <w:jc w:val="center"/>
              <w:rPr>
                <w:szCs w:val="21"/>
              </w:rPr>
            </w:pPr>
          </w:p>
        </w:tc>
        <w:tc>
          <w:tcPr>
            <w:tcW w:w="2311" w:type="dxa"/>
            <w:vAlign w:val="center"/>
          </w:tcPr>
          <w:p w:rsidR="00C223F5" w:rsidRPr="00925B84" w:rsidRDefault="005860D5" w:rsidP="00F66BD1">
            <w:pPr>
              <w:jc w:val="center"/>
              <w:rPr>
                <w:rFonts w:hAnsi="宋体"/>
                <w:szCs w:val="21"/>
              </w:rPr>
            </w:pPr>
            <w:r w:rsidRPr="00925B84">
              <w:rPr>
                <w:rFonts w:hAnsi="宋体"/>
                <w:szCs w:val="21"/>
              </w:rPr>
              <w:t>排放量，</w:t>
            </w:r>
            <w:r w:rsidRPr="00925B84">
              <w:rPr>
                <w:rFonts w:hint="eastAsia"/>
                <w:szCs w:val="21"/>
              </w:rPr>
              <w:t>t</w:t>
            </w:r>
            <w:r w:rsidRPr="00925B84">
              <w:rPr>
                <w:szCs w:val="21"/>
              </w:rPr>
              <w:t>/</w:t>
            </w:r>
            <w:r w:rsidRPr="00925B84">
              <w:rPr>
                <w:rFonts w:hint="eastAsia"/>
                <w:szCs w:val="21"/>
              </w:rPr>
              <w:t>a</w:t>
            </w:r>
          </w:p>
        </w:tc>
        <w:tc>
          <w:tcPr>
            <w:tcW w:w="722" w:type="dxa"/>
            <w:vAlign w:val="bottom"/>
          </w:tcPr>
          <w:p w:rsidR="00C223F5" w:rsidRPr="00712806" w:rsidRDefault="00712806" w:rsidP="00F66BD1">
            <w:pPr>
              <w:widowControl/>
              <w:jc w:val="center"/>
              <w:rPr>
                <w:bCs/>
                <w:color w:val="FF0000"/>
                <w:kern w:val="0"/>
                <w:szCs w:val="21"/>
              </w:rPr>
            </w:pPr>
            <w:r>
              <w:rPr>
                <w:rFonts w:hint="eastAsia"/>
                <w:bCs/>
                <w:color w:val="FF0000"/>
                <w:kern w:val="0"/>
                <w:szCs w:val="21"/>
              </w:rPr>
              <w:t>3.37</w:t>
            </w:r>
          </w:p>
        </w:tc>
        <w:tc>
          <w:tcPr>
            <w:tcW w:w="751" w:type="dxa"/>
            <w:vAlign w:val="bottom"/>
          </w:tcPr>
          <w:p w:rsidR="00C223F5" w:rsidRPr="00712806" w:rsidRDefault="00712806" w:rsidP="00F66BD1">
            <w:pPr>
              <w:widowControl/>
              <w:jc w:val="center"/>
              <w:rPr>
                <w:bCs/>
                <w:color w:val="FF0000"/>
                <w:kern w:val="0"/>
                <w:szCs w:val="21"/>
              </w:rPr>
            </w:pPr>
            <w:r>
              <w:rPr>
                <w:rFonts w:hint="eastAsia"/>
                <w:bCs/>
                <w:color w:val="FF0000"/>
                <w:kern w:val="0"/>
                <w:szCs w:val="21"/>
              </w:rPr>
              <w:t>3.71</w:t>
            </w:r>
          </w:p>
        </w:tc>
        <w:tc>
          <w:tcPr>
            <w:tcW w:w="690" w:type="dxa"/>
            <w:vAlign w:val="center"/>
          </w:tcPr>
          <w:p w:rsidR="00C223F5" w:rsidRPr="00712806" w:rsidRDefault="005860D5" w:rsidP="00F66BD1">
            <w:pPr>
              <w:jc w:val="center"/>
              <w:rPr>
                <w:color w:val="FF0000"/>
                <w:szCs w:val="21"/>
              </w:rPr>
            </w:pPr>
            <w:r w:rsidRPr="00712806">
              <w:rPr>
                <w:rFonts w:hint="eastAsia"/>
                <w:color w:val="FF0000"/>
                <w:szCs w:val="21"/>
              </w:rPr>
              <w:t>/</w:t>
            </w:r>
          </w:p>
        </w:tc>
        <w:tc>
          <w:tcPr>
            <w:tcW w:w="842" w:type="dxa"/>
            <w:vAlign w:val="bottom"/>
          </w:tcPr>
          <w:p w:rsidR="00C223F5" w:rsidRPr="00712806" w:rsidRDefault="005860D5" w:rsidP="00712806">
            <w:pPr>
              <w:widowControl/>
              <w:jc w:val="center"/>
              <w:rPr>
                <w:bCs/>
                <w:color w:val="FF0000"/>
                <w:kern w:val="0"/>
                <w:szCs w:val="21"/>
              </w:rPr>
            </w:pPr>
            <w:r w:rsidRPr="00712806">
              <w:rPr>
                <w:rFonts w:hint="eastAsia"/>
                <w:bCs/>
                <w:color w:val="FF0000"/>
                <w:kern w:val="0"/>
                <w:szCs w:val="21"/>
              </w:rPr>
              <w:t>0.0</w:t>
            </w:r>
            <w:r w:rsidR="00712806">
              <w:rPr>
                <w:rFonts w:hint="eastAsia"/>
                <w:bCs/>
                <w:color w:val="FF0000"/>
                <w:kern w:val="0"/>
                <w:szCs w:val="21"/>
              </w:rPr>
              <w:t>10</w:t>
            </w:r>
          </w:p>
        </w:tc>
        <w:tc>
          <w:tcPr>
            <w:tcW w:w="761" w:type="dxa"/>
            <w:vAlign w:val="bottom"/>
          </w:tcPr>
          <w:p w:rsidR="00C223F5" w:rsidRPr="00712806" w:rsidRDefault="005860D5" w:rsidP="00712806">
            <w:pPr>
              <w:widowControl/>
              <w:jc w:val="center"/>
              <w:rPr>
                <w:bCs/>
                <w:color w:val="FF0000"/>
                <w:kern w:val="0"/>
                <w:szCs w:val="21"/>
              </w:rPr>
            </w:pPr>
            <w:r w:rsidRPr="00712806">
              <w:rPr>
                <w:rFonts w:hint="eastAsia"/>
                <w:bCs/>
                <w:color w:val="FF0000"/>
                <w:kern w:val="0"/>
                <w:szCs w:val="21"/>
              </w:rPr>
              <w:t>0.1</w:t>
            </w:r>
            <w:r w:rsidR="00712806">
              <w:rPr>
                <w:rFonts w:hint="eastAsia"/>
                <w:bCs/>
                <w:color w:val="FF0000"/>
                <w:kern w:val="0"/>
                <w:szCs w:val="21"/>
              </w:rPr>
              <w:t>2</w:t>
            </w:r>
          </w:p>
        </w:tc>
      </w:tr>
      <w:tr w:rsidR="00C223F5" w:rsidRPr="00925B84">
        <w:trPr>
          <w:cantSplit/>
          <w:trHeight w:val="70"/>
          <w:jc w:val="center"/>
        </w:trPr>
        <w:tc>
          <w:tcPr>
            <w:tcW w:w="623" w:type="dxa"/>
            <w:vMerge/>
            <w:vAlign w:val="center"/>
          </w:tcPr>
          <w:p w:rsidR="00C223F5" w:rsidRPr="00925B84" w:rsidRDefault="00C223F5" w:rsidP="00F66BD1">
            <w:pPr>
              <w:jc w:val="center"/>
              <w:rPr>
                <w:szCs w:val="21"/>
              </w:rPr>
            </w:pPr>
          </w:p>
        </w:tc>
        <w:tc>
          <w:tcPr>
            <w:tcW w:w="522" w:type="dxa"/>
            <w:vMerge w:val="restart"/>
            <w:vAlign w:val="center"/>
          </w:tcPr>
          <w:p w:rsidR="00C223F5" w:rsidRPr="00925B84" w:rsidRDefault="005860D5" w:rsidP="00F66BD1">
            <w:pPr>
              <w:jc w:val="center"/>
              <w:rPr>
                <w:szCs w:val="21"/>
              </w:rPr>
            </w:pPr>
            <w:r w:rsidRPr="00925B84">
              <w:rPr>
                <w:rFonts w:hAnsi="宋体" w:hint="eastAsia"/>
                <w:szCs w:val="21"/>
              </w:rPr>
              <w:t>生产生活污水</w:t>
            </w:r>
          </w:p>
        </w:tc>
        <w:tc>
          <w:tcPr>
            <w:tcW w:w="1657" w:type="dxa"/>
            <w:vMerge w:val="restart"/>
            <w:vAlign w:val="center"/>
          </w:tcPr>
          <w:p w:rsidR="00C223F5" w:rsidRPr="00925B84" w:rsidRDefault="005860D5" w:rsidP="00F66BD1">
            <w:pPr>
              <w:jc w:val="center"/>
              <w:rPr>
                <w:szCs w:val="21"/>
              </w:rPr>
            </w:pPr>
            <w:r w:rsidRPr="00925B84">
              <w:rPr>
                <w:rFonts w:hint="eastAsia"/>
                <w:szCs w:val="21"/>
              </w:rPr>
              <w:t>产生（</w:t>
            </w:r>
            <w:r w:rsidRPr="00925B84">
              <w:rPr>
                <w:rFonts w:hint="eastAsia"/>
                <w:szCs w:val="21"/>
              </w:rPr>
              <w:t>10.94</w:t>
            </w:r>
            <w:r w:rsidRPr="00925B84">
              <w:rPr>
                <w:rFonts w:hint="eastAsia"/>
                <w:szCs w:val="21"/>
              </w:rPr>
              <w:t>万</w:t>
            </w:r>
            <w:r w:rsidRPr="00925B84">
              <w:rPr>
                <w:rFonts w:hint="eastAsia"/>
                <w:szCs w:val="21"/>
              </w:rPr>
              <w:t>t/a</w:t>
            </w:r>
            <w:r w:rsidRPr="00925B84">
              <w:rPr>
                <w:rFonts w:hint="eastAsia"/>
                <w:szCs w:val="21"/>
              </w:rPr>
              <w:t>）</w:t>
            </w:r>
          </w:p>
          <w:p w:rsidR="00C223F5" w:rsidRPr="00925B84" w:rsidRDefault="005860D5" w:rsidP="00F66BD1">
            <w:pPr>
              <w:jc w:val="center"/>
              <w:rPr>
                <w:szCs w:val="21"/>
              </w:rPr>
            </w:pPr>
            <w:r w:rsidRPr="00925B84">
              <w:rPr>
                <w:rFonts w:hAnsi="宋体" w:hint="eastAsia"/>
                <w:szCs w:val="21"/>
              </w:rPr>
              <w:t>采暖期</w:t>
            </w:r>
            <w:r w:rsidRPr="00925B84">
              <w:rPr>
                <w:rFonts w:hAnsi="宋体" w:hint="eastAsia"/>
                <w:szCs w:val="21"/>
              </w:rPr>
              <w:t>350.8</w:t>
            </w:r>
            <w:r w:rsidRPr="00925B84">
              <w:rPr>
                <w:szCs w:val="21"/>
              </w:rPr>
              <w:t>m</w:t>
            </w:r>
            <w:r w:rsidRPr="00925B84">
              <w:rPr>
                <w:szCs w:val="21"/>
                <w:vertAlign w:val="superscript"/>
              </w:rPr>
              <w:t>3</w:t>
            </w:r>
            <w:r w:rsidRPr="00925B84">
              <w:rPr>
                <w:szCs w:val="21"/>
              </w:rPr>
              <w:t>/d</w:t>
            </w:r>
          </w:p>
          <w:p w:rsidR="00C223F5" w:rsidRPr="00925B84" w:rsidRDefault="005860D5" w:rsidP="00F66BD1">
            <w:pPr>
              <w:jc w:val="center"/>
              <w:rPr>
                <w:spacing w:val="-8"/>
                <w:szCs w:val="21"/>
              </w:rPr>
            </w:pPr>
            <w:r w:rsidRPr="00925B84">
              <w:rPr>
                <w:rFonts w:hint="eastAsia"/>
                <w:spacing w:val="-8"/>
                <w:szCs w:val="21"/>
              </w:rPr>
              <w:t>非采暖期</w:t>
            </w:r>
            <w:r w:rsidRPr="00925B84">
              <w:rPr>
                <w:rFonts w:hint="eastAsia"/>
                <w:spacing w:val="-8"/>
                <w:szCs w:val="21"/>
              </w:rPr>
              <w:t>315.7</w:t>
            </w:r>
            <w:r w:rsidRPr="00925B84">
              <w:rPr>
                <w:spacing w:val="-8"/>
                <w:szCs w:val="21"/>
              </w:rPr>
              <w:t>m</w:t>
            </w:r>
            <w:r w:rsidRPr="00925B84">
              <w:rPr>
                <w:spacing w:val="-8"/>
                <w:szCs w:val="21"/>
                <w:vertAlign w:val="superscript"/>
              </w:rPr>
              <w:t>3</w:t>
            </w:r>
            <w:r w:rsidRPr="00925B84">
              <w:rPr>
                <w:spacing w:val="-8"/>
                <w:szCs w:val="21"/>
              </w:rPr>
              <w:t>/d</w:t>
            </w:r>
          </w:p>
        </w:tc>
        <w:tc>
          <w:tcPr>
            <w:tcW w:w="2311" w:type="dxa"/>
            <w:vAlign w:val="center"/>
          </w:tcPr>
          <w:p w:rsidR="00C223F5" w:rsidRPr="00925B84" w:rsidRDefault="005860D5" w:rsidP="00F66BD1">
            <w:pPr>
              <w:jc w:val="center"/>
              <w:rPr>
                <w:szCs w:val="21"/>
              </w:rPr>
            </w:pPr>
            <w:r w:rsidRPr="00925B84">
              <w:rPr>
                <w:rFonts w:hAnsi="宋体" w:hint="eastAsia"/>
                <w:szCs w:val="21"/>
              </w:rPr>
              <w:t>未处理</w:t>
            </w:r>
            <w:r w:rsidRPr="00925B84">
              <w:rPr>
                <w:rFonts w:hAnsi="宋体"/>
                <w:szCs w:val="21"/>
              </w:rPr>
              <w:t>浓度，</w:t>
            </w:r>
            <w:r w:rsidRPr="00925B84">
              <w:rPr>
                <w:szCs w:val="21"/>
              </w:rPr>
              <w:t>mg/L</w:t>
            </w:r>
          </w:p>
        </w:tc>
        <w:tc>
          <w:tcPr>
            <w:tcW w:w="722" w:type="dxa"/>
            <w:vAlign w:val="center"/>
          </w:tcPr>
          <w:p w:rsidR="00C223F5" w:rsidRPr="00925B84" w:rsidRDefault="005860D5" w:rsidP="00F66BD1">
            <w:pPr>
              <w:jc w:val="center"/>
              <w:rPr>
                <w:szCs w:val="21"/>
              </w:rPr>
            </w:pPr>
            <w:r w:rsidRPr="00925B84">
              <w:rPr>
                <w:rFonts w:hint="eastAsia"/>
                <w:szCs w:val="21"/>
              </w:rPr>
              <w:t>146</w:t>
            </w:r>
          </w:p>
        </w:tc>
        <w:tc>
          <w:tcPr>
            <w:tcW w:w="751" w:type="dxa"/>
            <w:vAlign w:val="center"/>
          </w:tcPr>
          <w:p w:rsidR="00C223F5" w:rsidRPr="00925B84" w:rsidRDefault="005860D5" w:rsidP="00F66BD1">
            <w:pPr>
              <w:jc w:val="center"/>
              <w:rPr>
                <w:szCs w:val="21"/>
              </w:rPr>
            </w:pPr>
            <w:r w:rsidRPr="00925B84">
              <w:rPr>
                <w:rFonts w:hint="eastAsia"/>
                <w:szCs w:val="21"/>
              </w:rPr>
              <w:t>163</w:t>
            </w:r>
          </w:p>
        </w:tc>
        <w:tc>
          <w:tcPr>
            <w:tcW w:w="690" w:type="dxa"/>
            <w:vAlign w:val="center"/>
          </w:tcPr>
          <w:p w:rsidR="00C223F5" w:rsidRPr="00925B84" w:rsidRDefault="005860D5" w:rsidP="00F66BD1">
            <w:pPr>
              <w:jc w:val="center"/>
              <w:rPr>
                <w:szCs w:val="21"/>
              </w:rPr>
            </w:pPr>
            <w:r w:rsidRPr="00925B84">
              <w:rPr>
                <w:rFonts w:hint="eastAsia"/>
                <w:szCs w:val="21"/>
              </w:rPr>
              <w:t>93.3</w:t>
            </w:r>
          </w:p>
        </w:tc>
        <w:tc>
          <w:tcPr>
            <w:tcW w:w="842" w:type="dxa"/>
            <w:vAlign w:val="center"/>
          </w:tcPr>
          <w:p w:rsidR="00C223F5" w:rsidRPr="00925B84" w:rsidRDefault="005860D5" w:rsidP="00F66BD1">
            <w:pPr>
              <w:jc w:val="center"/>
              <w:rPr>
                <w:szCs w:val="21"/>
              </w:rPr>
            </w:pPr>
            <w:r w:rsidRPr="00925B84">
              <w:rPr>
                <w:rFonts w:hint="eastAsia"/>
                <w:szCs w:val="21"/>
              </w:rPr>
              <w:t>/</w:t>
            </w:r>
          </w:p>
        </w:tc>
        <w:tc>
          <w:tcPr>
            <w:tcW w:w="761" w:type="dxa"/>
            <w:vAlign w:val="center"/>
          </w:tcPr>
          <w:p w:rsidR="00C223F5" w:rsidRPr="00925B84" w:rsidRDefault="005860D5" w:rsidP="00F66BD1">
            <w:pPr>
              <w:jc w:val="center"/>
              <w:rPr>
                <w:szCs w:val="21"/>
              </w:rPr>
            </w:pPr>
            <w:r w:rsidRPr="00925B84">
              <w:rPr>
                <w:rFonts w:hint="eastAsia"/>
                <w:szCs w:val="21"/>
              </w:rPr>
              <w:t>4.21</w:t>
            </w:r>
          </w:p>
        </w:tc>
      </w:tr>
      <w:tr w:rsidR="00C223F5" w:rsidRPr="00925B84">
        <w:trPr>
          <w:cantSplit/>
          <w:trHeight w:val="70"/>
          <w:jc w:val="center"/>
        </w:trPr>
        <w:tc>
          <w:tcPr>
            <w:tcW w:w="623" w:type="dxa"/>
            <w:vMerge/>
            <w:vAlign w:val="center"/>
          </w:tcPr>
          <w:p w:rsidR="00C223F5" w:rsidRPr="00925B84" w:rsidRDefault="00C223F5" w:rsidP="00F66BD1">
            <w:pPr>
              <w:jc w:val="center"/>
              <w:rPr>
                <w:szCs w:val="21"/>
              </w:rPr>
            </w:pPr>
          </w:p>
        </w:tc>
        <w:tc>
          <w:tcPr>
            <w:tcW w:w="522" w:type="dxa"/>
            <w:vMerge/>
            <w:vAlign w:val="center"/>
          </w:tcPr>
          <w:p w:rsidR="00C223F5" w:rsidRPr="00925B84" w:rsidRDefault="00C223F5" w:rsidP="00F66BD1">
            <w:pPr>
              <w:jc w:val="center"/>
              <w:rPr>
                <w:szCs w:val="21"/>
              </w:rPr>
            </w:pPr>
          </w:p>
        </w:tc>
        <w:tc>
          <w:tcPr>
            <w:tcW w:w="1657" w:type="dxa"/>
            <w:vMerge/>
            <w:vAlign w:val="center"/>
          </w:tcPr>
          <w:p w:rsidR="00C223F5" w:rsidRPr="00925B84" w:rsidRDefault="00C223F5" w:rsidP="00F66BD1">
            <w:pPr>
              <w:jc w:val="center"/>
              <w:rPr>
                <w:szCs w:val="21"/>
              </w:rPr>
            </w:pPr>
          </w:p>
        </w:tc>
        <w:tc>
          <w:tcPr>
            <w:tcW w:w="2311" w:type="dxa"/>
            <w:vAlign w:val="center"/>
          </w:tcPr>
          <w:p w:rsidR="00C223F5" w:rsidRPr="00925B84" w:rsidRDefault="005860D5" w:rsidP="00F66BD1">
            <w:pPr>
              <w:jc w:val="center"/>
              <w:rPr>
                <w:szCs w:val="21"/>
              </w:rPr>
            </w:pPr>
            <w:r w:rsidRPr="00925B84">
              <w:rPr>
                <w:rFonts w:hAnsi="宋体" w:hint="eastAsia"/>
                <w:szCs w:val="21"/>
              </w:rPr>
              <w:t>采暖季</w:t>
            </w:r>
            <w:r w:rsidRPr="00925B84">
              <w:rPr>
                <w:rFonts w:hAnsi="宋体"/>
                <w:szCs w:val="21"/>
              </w:rPr>
              <w:t>产生量，</w:t>
            </w:r>
            <w:r w:rsidRPr="00925B84">
              <w:rPr>
                <w:szCs w:val="21"/>
              </w:rPr>
              <w:t>kg/d</w:t>
            </w:r>
          </w:p>
        </w:tc>
        <w:tc>
          <w:tcPr>
            <w:tcW w:w="722" w:type="dxa"/>
            <w:vAlign w:val="bottom"/>
          </w:tcPr>
          <w:p w:rsidR="00C223F5" w:rsidRPr="00925B84" w:rsidRDefault="005860D5" w:rsidP="00F66BD1">
            <w:pPr>
              <w:widowControl/>
              <w:jc w:val="center"/>
              <w:rPr>
                <w:bCs/>
                <w:kern w:val="0"/>
                <w:szCs w:val="21"/>
              </w:rPr>
            </w:pPr>
            <w:r w:rsidRPr="00925B84">
              <w:rPr>
                <w:rFonts w:hint="eastAsia"/>
                <w:bCs/>
                <w:kern w:val="0"/>
                <w:szCs w:val="21"/>
              </w:rPr>
              <w:t>51.22</w:t>
            </w:r>
          </w:p>
        </w:tc>
        <w:tc>
          <w:tcPr>
            <w:tcW w:w="751" w:type="dxa"/>
            <w:vAlign w:val="bottom"/>
          </w:tcPr>
          <w:p w:rsidR="00C223F5" w:rsidRPr="00925B84" w:rsidRDefault="005860D5" w:rsidP="00F66BD1">
            <w:pPr>
              <w:widowControl/>
              <w:jc w:val="center"/>
              <w:rPr>
                <w:bCs/>
                <w:kern w:val="0"/>
                <w:szCs w:val="21"/>
              </w:rPr>
            </w:pPr>
            <w:r w:rsidRPr="00925B84">
              <w:rPr>
                <w:rFonts w:hint="eastAsia"/>
                <w:bCs/>
                <w:kern w:val="0"/>
                <w:szCs w:val="21"/>
              </w:rPr>
              <w:t>57.18</w:t>
            </w:r>
          </w:p>
        </w:tc>
        <w:tc>
          <w:tcPr>
            <w:tcW w:w="690" w:type="dxa"/>
            <w:vAlign w:val="bottom"/>
          </w:tcPr>
          <w:p w:rsidR="00C223F5" w:rsidRPr="00925B84" w:rsidRDefault="005860D5" w:rsidP="00F66BD1">
            <w:pPr>
              <w:widowControl/>
              <w:jc w:val="center"/>
              <w:rPr>
                <w:bCs/>
                <w:kern w:val="0"/>
                <w:szCs w:val="21"/>
              </w:rPr>
            </w:pPr>
            <w:r w:rsidRPr="00925B84">
              <w:rPr>
                <w:rFonts w:hint="eastAsia"/>
                <w:bCs/>
                <w:kern w:val="0"/>
                <w:szCs w:val="21"/>
              </w:rPr>
              <w:t>32.73</w:t>
            </w:r>
          </w:p>
        </w:tc>
        <w:tc>
          <w:tcPr>
            <w:tcW w:w="842" w:type="dxa"/>
            <w:vAlign w:val="bottom"/>
          </w:tcPr>
          <w:p w:rsidR="00C223F5" w:rsidRPr="00925B84" w:rsidRDefault="005860D5" w:rsidP="00F66BD1">
            <w:pPr>
              <w:widowControl/>
              <w:jc w:val="center"/>
              <w:rPr>
                <w:bCs/>
                <w:kern w:val="0"/>
                <w:szCs w:val="21"/>
              </w:rPr>
            </w:pPr>
            <w:r w:rsidRPr="00925B84">
              <w:rPr>
                <w:rFonts w:hint="eastAsia"/>
                <w:bCs/>
                <w:kern w:val="0"/>
                <w:szCs w:val="21"/>
              </w:rPr>
              <w:t>/</w:t>
            </w:r>
          </w:p>
        </w:tc>
        <w:tc>
          <w:tcPr>
            <w:tcW w:w="761" w:type="dxa"/>
            <w:vAlign w:val="bottom"/>
          </w:tcPr>
          <w:p w:rsidR="00C223F5" w:rsidRPr="00925B84" w:rsidRDefault="005860D5" w:rsidP="00F66BD1">
            <w:pPr>
              <w:widowControl/>
              <w:jc w:val="center"/>
              <w:rPr>
                <w:bCs/>
                <w:kern w:val="0"/>
                <w:szCs w:val="21"/>
              </w:rPr>
            </w:pPr>
            <w:r w:rsidRPr="00925B84">
              <w:rPr>
                <w:rFonts w:hint="eastAsia"/>
                <w:bCs/>
                <w:kern w:val="0"/>
                <w:szCs w:val="21"/>
              </w:rPr>
              <w:t>1.48</w:t>
            </w:r>
          </w:p>
        </w:tc>
      </w:tr>
      <w:tr w:rsidR="00C223F5" w:rsidRPr="00925B84">
        <w:trPr>
          <w:cantSplit/>
          <w:trHeight w:val="70"/>
          <w:jc w:val="center"/>
        </w:trPr>
        <w:tc>
          <w:tcPr>
            <w:tcW w:w="623" w:type="dxa"/>
            <w:vMerge/>
            <w:vAlign w:val="center"/>
          </w:tcPr>
          <w:p w:rsidR="00C223F5" w:rsidRPr="00925B84" w:rsidRDefault="00C223F5" w:rsidP="00F66BD1">
            <w:pPr>
              <w:jc w:val="center"/>
              <w:rPr>
                <w:szCs w:val="21"/>
              </w:rPr>
            </w:pPr>
          </w:p>
        </w:tc>
        <w:tc>
          <w:tcPr>
            <w:tcW w:w="522" w:type="dxa"/>
            <w:vMerge/>
            <w:vAlign w:val="center"/>
          </w:tcPr>
          <w:p w:rsidR="00C223F5" w:rsidRPr="00925B84" w:rsidRDefault="00C223F5" w:rsidP="00F66BD1">
            <w:pPr>
              <w:jc w:val="center"/>
              <w:rPr>
                <w:szCs w:val="21"/>
              </w:rPr>
            </w:pPr>
          </w:p>
        </w:tc>
        <w:tc>
          <w:tcPr>
            <w:tcW w:w="1657" w:type="dxa"/>
            <w:vMerge/>
            <w:vAlign w:val="center"/>
          </w:tcPr>
          <w:p w:rsidR="00C223F5" w:rsidRPr="00925B84" w:rsidRDefault="00C223F5" w:rsidP="00F66BD1">
            <w:pPr>
              <w:jc w:val="center"/>
              <w:rPr>
                <w:szCs w:val="21"/>
              </w:rPr>
            </w:pPr>
          </w:p>
        </w:tc>
        <w:tc>
          <w:tcPr>
            <w:tcW w:w="2311" w:type="dxa"/>
            <w:vAlign w:val="center"/>
          </w:tcPr>
          <w:p w:rsidR="00C223F5" w:rsidRPr="00925B84" w:rsidRDefault="005860D5" w:rsidP="00F66BD1">
            <w:pPr>
              <w:jc w:val="center"/>
              <w:rPr>
                <w:rFonts w:hAnsi="宋体"/>
                <w:szCs w:val="21"/>
              </w:rPr>
            </w:pPr>
            <w:r w:rsidRPr="00925B84">
              <w:rPr>
                <w:rFonts w:hAnsi="宋体" w:hint="eastAsia"/>
                <w:szCs w:val="21"/>
              </w:rPr>
              <w:t>非采暖季产生量，</w:t>
            </w:r>
            <w:r w:rsidRPr="00925B84">
              <w:rPr>
                <w:szCs w:val="21"/>
              </w:rPr>
              <w:t>kg/d</w:t>
            </w:r>
          </w:p>
        </w:tc>
        <w:tc>
          <w:tcPr>
            <w:tcW w:w="722" w:type="dxa"/>
            <w:vAlign w:val="bottom"/>
          </w:tcPr>
          <w:p w:rsidR="00C223F5" w:rsidRPr="00925B84" w:rsidRDefault="005860D5" w:rsidP="00F66BD1">
            <w:pPr>
              <w:widowControl/>
              <w:jc w:val="center"/>
              <w:rPr>
                <w:bCs/>
                <w:kern w:val="0"/>
                <w:szCs w:val="21"/>
              </w:rPr>
            </w:pPr>
            <w:r w:rsidRPr="00925B84">
              <w:rPr>
                <w:rFonts w:hint="eastAsia"/>
                <w:bCs/>
                <w:kern w:val="0"/>
                <w:szCs w:val="21"/>
              </w:rPr>
              <w:t>46.09</w:t>
            </w:r>
          </w:p>
        </w:tc>
        <w:tc>
          <w:tcPr>
            <w:tcW w:w="751" w:type="dxa"/>
            <w:vAlign w:val="bottom"/>
          </w:tcPr>
          <w:p w:rsidR="00C223F5" w:rsidRPr="00925B84" w:rsidRDefault="005860D5" w:rsidP="00F66BD1">
            <w:pPr>
              <w:widowControl/>
              <w:jc w:val="center"/>
              <w:rPr>
                <w:bCs/>
                <w:kern w:val="0"/>
                <w:szCs w:val="21"/>
              </w:rPr>
            </w:pPr>
            <w:r w:rsidRPr="00925B84">
              <w:rPr>
                <w:rFonts w:hint="eastAsia"/>
                <w:bCs/>
                <w:kern w:val="0"/>
                <w:szCs w:val="21"/>
              </w:rPr>
              <w:t>51.46</w:t>
            </w:r>
          </w:p>
        </w:tc>
        <w:tc>
          <w:tcPr>
            <w:tcW w:w="690" w:type="dxa"/>
            <w:vAlign w:val="bottom"/>
          </w:tcPr>
          <w:p w:rsidR="00C223F5" w:rsidRPr="00925B84" w:rsidRDefault="005860D5" w:rsidP="00F66BD1">
            <w:pPr>
              <w:widowControl/>
              <w:jc w:val="center"/>
              <w:rPr>
                <w:bCs/>
                <w:kern w:val="0"/>
                <w:szCs w:val="21"/>
              </w:rPr>
            </w:pPr>
            <w:r w:rsidRPr="00925B84">
              <w:rPr>
                <w:rFonts w:hint="eastAsia"/>
                <w:bCs/>
                <w:kern w:val="0"/>
                <w:szCs w:val="21"/>
              </w:rPr>
              <w:t>29.45</w:t>
            </w:r>
          </w:p>
        </w:tc>
        <w:tc>
          <w:tcPr>
            <w:tcW w:w="842" w:type="dxa"/>
            <w:vAlign w:val="bottom"/>
          </w:tcPr>
          <w:p w:rsidR="00C223F5" w:rsidRPr="00925B84" w:rsidRDefault="005860D5" w:rsidP="00F66BD1">
            <w:pPr>
              <w:widowControl/>
              <w:jc w:val="center"/>
              <w:rPr>
                <w:bCs/>
                <w:kern w:val="0"/>
                <w:szCs w:val="21"/>
              </w:rPr>
            </w:pPr>
            <w:r w:rsidRPr="00925B84">
              <w:rPr>
                <w:rFonts w:hint="eastAsia"/>
                <w:bCs/>
                <w:kern w:val="0"/>
                <w:szCs w:val="21"/>
              </w:rPr>
              <w:t>/</w:t>
            </w:r>
          </w:p>
        </w:tc>
        <w:tc>
          <w:tcPr>
            <w:tcW w:w="761" w:type="dxa"/>
            <w:vAlign w:val="bottom"/>
          </w:tcPr>
          <w:p w:rsidR="00C223F5" w:rsidRPr="00925B84" w:rsidRDefault="005860D5" w:rsidP="00F66BD1">
            <w:pPr>
              <w:widowControl/>
              <w:jc w:val="center"/>
              <w:rPr>
                <w:bCs/>
                <w:kern w:val="0"/>
                <w:szCs w:val="21"/>
              </w:rPr>
            </w:pPr>
            <w:r w:rsidRPr="00925B84">
              <w:rPr>
                <w:rFonts w:hint="eastAsia"/>
                <w:bCs/>
                <w:kern w:val="0"/>
                <w:szCs w:val="21"/>
              </w:rPr>
              <w:t>1.33</w:t>
            </w:r>
          </w:p>
        </w:tc>
      </w:tr>
      <w:tr w:rsidR="00C223F5" w:rsidRPr="00925B84">
        <w:trPr>
          <w:cantSplit/>
          <w:trHeight w:val="70"/>
          <w:jc w:val="center"/>
        </w:trPr>
        <w:tc>
          <w:tcPr>
            <w:tcW w:w="623" w:type="dxa"/>
            <w:vMerge/>
            <w:vAlign w:val="center"/>
          </w:tcPr>
          <w:p w:rsidR="00C223F5" w:rsidRPr="00925B84" w:rsidRDefault="00C223F5" w:rsidP="00F66BD1">
            <w:pPr>
              <w:jc w:val="center"/>
              <w:rPr>
                <w:szCs w:val="21"/>
              </w:rPr>
            </w:pPr>
          </w:p>
        </w:tc>
        <w:tc>
          <w:tcPr>
            <w:tcW w:w="522" w:type="dxa"/>
            <w:vMerge/>
            <w:vAlign w:val="center"/>
          </w:tcPr>
          <w:p w:rsidR="00C223F5" w:rsidRPr="00925B84" w:rsidRDefault="00C223F5" w:rsidP="00F66BD1">
            <w:pPr>
              <w:jc w:val="center"/>
              <w:rPr>
                <w:szCs w:val="21"/>
              </w:rPr>
            </w:pPr>
          </w:p>
        </w:tc>
        <w:tc>
          <w:tcPr>
            <w:tcW w:w="1657" w:type="dxa"/>
            <w:vMerge/>
            <w:vAlign w:val="center"/>
          </w:tcPr>
          <w:p w:rsidR="00C223F5" w:rsidRPr="00925B84" w:rsidRDefault="00C223F5" w:rsidP="00F66BD1">
            <w:pPr>
              <w:jc w:val="center"/>
              <w:rPr>
                <w:szCs w:val="21"/>
              </w:rPr>
            </w:pPr>
          </w:p>
        </w:tc>
        <w:tc>
          <w:tcPr>
            <w:tcW w:w="2311" w:type="dxa"/>
            <w:vAlign w:val="center"/>
          </w:tcPr>
          <w:p w:rsidR="00C223F5" w:rsidRPr="00925B84" w:rsidRDefault="005860D5" w:rsidP="00F66BD1">
            <w:pPr>
              <w:jc w:val="center"/>
              <w:rPr>
                <w:rFonts w:hAnsi="宋体"/>
                <w:szCs w:val="21"/>
              </w:rPr>
            </w:pPr>
            <w:r w:rsidRPr="00925B84">
              <w:rPr>
                <w:rFonts w:hAnsi="宋体"/>
                <w:szCs w:val="21"/>
              </w:rPr>
              <w:t>产生量，</w:t>
            </w:r>
            <w:r w:rsidRPr="00925B84">
              <w:rPr>
                <w:rFonts w:hint="eastAsia"/>
                <w:szCs w:val="21"/>
              </w:rPr>
              <w:t>t</w:t>
            </w:r>
            <w:r w:rsidRPr="00925B84">
              <w:rPr>
                <w:szCs w:val="21"/>
              </w:rPr>
              <w:t>/</w:t>
            </w:r>
            <w:r w:rsidRPr="00925B84">
              <w:rPr>
                <w:rFonts w:hint="eastAsia"/>
                <w:szCs w:val="21"/>
              </w:rPr>
              <w:t>a</w:t>
            </w:r>
          </w:p>
        </w:tc>
        <w:tc>
          <w:tcPr>
            <w:tcW w:w="722" w:type="dxa"/>
            <w:vAlign w:val="bottom"/>
          </w:tcPr>
          <w:p w:rsidR="00C223F5" w:rsidRPr="00925B84" w:rsidRDefault="005860D5" w:rsidP="00F66BD1">
            <w:pPr>
              <w:widowControl/>
              <w:jc w:val="center"/>
              <w:rPr>
                <w:bCs/>
                <w:kern w:val="0"/>
                <w:szCs w:val="21"/>
              </w:rPr>
            </w:pPr>
            <w:r w:rsidRPr="00925B84">
              <w:rPr>
                <w:rFonts w:hint="eastAsia"/>
                <w:bCs/>
                <w:kern w:val="0"/>
                <w:szCs w:val="21"/>
              </w:rPr>
              <w:t>15.98</w:t>
            </w:r>
          </w:p>
        </w:tc>
        <w:tc>
          <w:tcPr>
            <w:tcW w:w="751" w:type="dxa"/>
            <w:vAlign w:val="bottom"/>
          </w:tcPr>
          <w:p w:rsidR="00C223F5" w:rsidRPr="00925B84" w:rsidRDefault="005860D5" w:rsidP="00F66BD1">
            <w:pPr>
              <w:widowControl/>
              <w:jc w:val="center"/>
              <w:rPr>
                <w:bCs/>
                <w:kern w:val="0"/>
                <w:szCs w:val="21"/>
              </w:rPr>
            </w:pPr>
            <w:r w:rsidRPr="00925B84">
              <w:rPr>
                <w:rFonts w:hint="eastAsia"/>
                <w:bCs/>
                <w:kern w:val="0"/>
                <w:szCs w:val="21"/>
              </w:rPr>
              <w:t>17.83</w:t>
            </w:r>
          </w:p>
        </w:tc>
        <w:tc>
          <w:tcPr>
            <w:tcW w:w="690" w:type="dxa"/>
            <w:vAlign w:val="bottom"/>
          </w:tcPr>
          <w:p w:rsidR="00C223F5" w:rsidRPr="00925B84" w:rsidRDefault="005860D5" w:rsidP="00F66BD1">
            <w:pPr>
              <w:widowControl/>
              <w:jc w:val="center"/>
              <w:rPr>
                <w:bCs/>
                <w:kern w:val="0"/>
                <w:szCs w:val="21"/>
              </w:rPr>
            </w:pPr>
            <w:r w:rsidRPr="00925B84">
              <w:rPr>
                <w:rFonts w:hint="eastAsia"/>
                <w:bCs/>
                <w:kern w:val="0"/>
                <w:szCs w:val="21"/>
              </w:rPr>
              <w:t>10.21</w:t>
            </w:r>
          </w:p>
        </w:tc>
        <w:tc>
          <w:tcPr>
            <w:tcW w:w="842" w:type="dxa"/>
            <w:vAlign w:val="bottom"/>
          </w:tcPr>
          <w:p w:rsidR="00C223F5" w:rsidRPr="00925B84" w:rsidRDefault="005860D5" w:rsidP="00F66BD1">
            <w:pPr>
              <w:widowControl/>
              <w:jc w:val="center"/>
              <w:rPr>
                <w:bCs/>
                <w:kern w:val="0"/>
                <w:szCs w:val="21"/>
              </w:rPr>
            </w:pPr>
            <w:r w:rsidRPr="00925B84">
              <w:rPr>
                <w:rFonts w:hint="eastAsia"/>
                <w:bCs/>
                <w:kern w:val="0"/>
                <w:szCs w:val="21"/>
              </w:rPr>
              <w:t>/</w:t>
            </w:r>
          </w:p>
        </w:tc>
        <w:tc>
          <w:tcPr>
            <w:tcW w:w="761" w:type="dxa"/>
            <w:vAlign w:val="bottom"/>
          </w:tcPr>
          <w:p w:rsidR="00C223F5" w:rsidRPr="00925B84" w:rsidRDefault="005860D5" w:rsidP="00F66BD1">
            <w:pPr>
              <w:widowControl/>
              <w:jc w:val="center"/>
              <w:rPr>
                <w:bCs/>
                <w:kern w:val="0"/>
                <w:szCs w:val="21"/>
              </w:rPr>
            </w:pPr>
            <w:r w:rsidRPr="00925B84">
              <w:rPr>
                <w:rFonts w:hint="eastAsia"/>
                <w:bCs/>
                <w:kern w:val="0"/>
                <w:szCs w:val="21"/>
              </w:rPr>
              <w:t>0.46</w:t>
            </w:r>
          </w:p>
        </w:tc>
      </w:tr>
      <w:tr w:rsidR="00C223F5" w:rsidRPr="00925B84">
        <w:trPr>
          <w:cantSplit/>
          <w:trHeight w:val="70"/>
          <w:jc w:val="center"/>
        </w:trPr>
        <w:tc>
          <w:tcPr>
            <w:tcW w:w="623" w:type="dxa"/>
            <w:vMerge/>
            <w:vAlign w:val="center"/>
          </w:tcPr>
          <w:p w:rsidR="00C223F5" w:rsidRPr="00925B84" w:rsidRDefault="00C223F5" w:rsidP="00F66BD1">
            <w:pPr>
              <w:jc w:val="center"/>
              <w:rPr>
                <w:szCs w:val="21"/>
              </w:rPr>
            </w:pPr>
          </w:p>
        </w:tc>
        <w:tc>
          <w:tcPr>
            <w:tcW w:w="522" w:type="dxa"/>
            <w:vMerge/>
            <w:vAlign w:val="center"/>
          </w:tcPr>
          <w:p w:rsidR="00C223F5" w:rsidRPr="00925B84" w:rsidRDefault="00C223F5" w:rsidP="00F66BD1">
            <w:pPr>
              <w:jc w:val="center"/>
              <w:rPr>
                <w:szCs w:val="21"/>
              </w:rPr>
            </w:pPr>
          </w:p>
        </w:tc>
        <w:tc>
          <w:tcPr>
            <w:tcW w:w="1657" w:type="dxa"/>
            <w:vMerge w:val="restart"/>
            <w:vAlign w:val="center"/>
          </w:tcPr>
          <w:p w:rsidR="00C223F5" w:rsidRPr="00925B84" w:rsidRDefault="005860D5" w:rsidP="00F66BD1">
            <w:pPr>
              <w:jc w:val="center"/>
              <w:rPr>
                <w:szCs w:val="21"/>
              </w:rPr>
            </w:pPr>
            <w:r w:rsidRPr="00925B84">
              <w:rPr>
                <w:rFonts w:hint="eastAsia"/>
                <w:szCs w:val="21"/>
              </w:rPr>
              <w:t>排放</w:t>
            </w:r>
          </w:p>
          <w:p w:rsidR="00C223F5" w:rsidRPr="00925B84" w:rsidRDefault="005860D5" w:rsidP="00F66BD1">
            <w:pPr>
              <w:jc w:val="center"/>
              <w:rPr>
                <w:szCs w:val="21"/>
              </w:rPr>
            </w:pPr>
            <w:r w:rsidRPr="00925B84">
              <w:rPr>
                <w:rFonts w:hint="eastAsia"/>
                <w:szCs w:val="21"/>
              </w:rPr>
              <w:t xml:space="preserve">0 </w:t>
            </w:r>
            <w:r w:rsidRPr="00925B84">
              <w:rPr>
                <w:szCs w:val="21"/>
              </w:rPr>
              <w:t>m</w:t>
            </w:r>
            <w:r w:rsidRPr="00925B84">
              <w:rPr>
                <w:szCs w:val="21"/>
                <w:vertAlign w:val="superscript"/>
              </w:rPr>
              <w:t>3</w:t>
            </w:r>
            <w:r w:rsidRPr="00925B84">
              <w:rPr>
                <w:szCs w:val="21"/>
              </w:rPr>
              <w:t>/d</w:t>
            </w:r>
          </w:p>
        </w:tc>
        <w:tc>
          <w:tcPr>
            <w:tcW w:w="2311" w:type="dxa"/>
            <w:vAlign w:val="center"/>
          </w:tcPr>
          <w:p w:rsidR="00C223F5" w:rsidRPr="00925B84" w:rsidRDefault="005860D5" w:rsidP="00F66BD1">
            <w:pPr>
              <w:jc w:val="center"/>
              <w:rPr>
                <w:szCs w:val="21"/>
              </w:rPr>
            </w:pPr>
            <w:r w:rsidRPr="00925B84">
              <w:rPr>
                <w:rFonts w:hAnsi="宋体"/>
                <w:szCs w:val="21"/>
              </w:rPr>
              <w:t>处理</w:t>
            </w:r>
            <w:r w:rsidRPr="00925B84">
              <w:rPr>
                <w:rFonts w:hAnsi="宋体" w:hint="eastAsia"/>
                <w:szCs w:val="21"/>
              </w:rPr>
              <w:t>后</w:t>
            </w:r>
            <w:r w:rsidRPr="00925B84">
              <w:rPr>
                <w:rFonts w:hAnsi="宋体"/>
                <w:szCs w:val="21"/>
              </w:rPr>
              <w:t>浓度</w:t>
            </w:r>
            <w:r w:rsidRPr="00925B84">
              <w:rPr>
                <w:szCs w:val="21"/>
              </w:rPr>
              <w:t>mg/L</w:t>
            </w:r>
          </w:p>
        </w:tc>
        <w:tc>
          <w:tcPr>
            <w:tcW w:w="722" w:type="dxa"/>
            <w:vAlign w:val="center"/>
          </w:tcPr>
          <w:p w:rsidR="00C223F5" w:rsidRPr="00925B84" w:rsidRDefault="005860D5" w:rsidP="00F66BD1">
            <w:pPr>
              <w:jc w:val="center"/>
              <w:rPr>
                <w:szCs w:val="21"/>
              </w:rPr>
            </w:pPr>
            <w:r w:rsidRPr="00925B84">
              <w:rPr>
                <w:rFonts w:hint="eastAsia"/>
                <w:szCs w:val="21"/>
              </w:rPr>
              <w:t>30</w:t>
            </w:r>
          </w:p>
        </w:tc>
        <w:tc>
          <w:tcPr>
            <w:tcW w:w="751" w:type="dxa"/>
            <w:vAlign w:val="center"/>
          </w:tcPr>
          <w:p w:rsidR="00C223F5" w:rsidRPr="00925B84" w:rsidRDefault="005860D5" w:rsidP="00F66BD1">
            <w:pPr>
              <w:jc w:val="center"/>
              <w:rPr>
                <w:szCs w:val="21"/>
              </w:rPr>
            </w:pPr>
            <w:r w:rsidRPr="00925B84">
              <w:rPr>
                <w:rFonts w:hint="eastAsia"/>
                <w:spacing w:val="2"/>
                <w:szCs w:val="21"/>
              </w:rPr>
              <w:t>29</w:t>
            </w:r>
          </w:p>
        </w:tc>
        <w:tc>
          <w:tcPr>
            <w:tcW w:w="690" w:type="dxa"/>
            <w:vAlign w:val="center"/>
          </w:tcPr>
          <w:p w:rsidR="00C223F5" w:rsidRPr="00925B84" w:rsidRDefault="005860D5" w:rsidP="00F66BD1">
            <w:pPr>
              <w:jc w:val="center"/>
              <w:rPr>
                <w:w w:val="90"/>
                <w:szCs w:val="21"/>
              </w:rPr>
            </w:pPr>
            <w:r w:rsidRPr="00925B84">
              <w:rPr>
                <w:rFonts w:hint="eastAsia"/>
                <w:szCs w:val="21"/>
              </w:rPr>
              <w:t>14.5</w:t>
            </w:r>
          </w:p>
        </w:tc>
        <w:tc>
          <w:tcPr>
            <w:tcW w:w="842" w:type="dxa"/>
            <w:vAlign w:val="center"/>
          </w:tcPr>
          <w:p w:rsidR="00C223F5" w:rsidRPr="00925B84" w:rsidRDefault="005860D5" w:rsidP="00F66BD1">
            <w:pPr>
              <w:jc w:val="center"/>
              <w:rPr>
                <w:rFonts w:hAnsi="宋体"/>
                <w:szCs w:val="21"/>
              </w:rPr>
            </w:pPr>
            <w:r w:rsidRPr="00925B84">
              <w:rPr>
                <w:rFonts w:hint="eastAsia"/>
                <w:szCs w:val="21"/>
              </w:rPr>
              <w:t>/</w:t>
            </w:r>
          </w:p>
        </w:tc>
        <w:tc>
          <w:tcPr>
            <w:tcW w:w="761" w:type="dxa"/>
            <w:vAlign w:val="center"/>
          </w:tcPr>
          <w:p w:rsidR="00C223F5" w:rsidRPr="00925B84" w:rsidRDefault="005860D5" w:rsidP="00F66BD1">
            <w:pPr>
              <w:jc w:val="center"/>
              <w:rPr>
                <w:rFonts w:hAnsi="宋体"/>
                <w:szCs w:val="21"/>
              </w:rPr>
            </w:pPr>
            <w:r w:rsidRPr="00925B84">
              <w:rPr>
                <w:rFonts w:hint="eastAsia"/>
                <w:szCs w:val="21"/>
              </w:rPr>
              <w:t>0.032</w:t>
            </w:r>
          </w:p>
        </w:tc>
      </w:tr>
      <w:tr w:rsidR="00C223F5" w:rsidRPr="00925B84">
        <w:trPr>
          <w:cantSplit/>
          <w:trHeight w:val="70"/>
          <w:jc w:val="center"/>
        </w:trPr>
        <w:tc>
          <w:tcPr>
            <w:tcW w:w="623" w:type="dxa"/>
            <w:vMerge/>
            <w:vAlign w:val="center"/>
          </w:tcPr>
          <w:p w:rsidR="00C223F5" w:rsidRPr="00925B84" w:rsidRDefault="00C223F5" w:rsidP="00F66BD1">
            <w:pPr>
              <w:jc w:val="center"/>
              <w:rPr>
                <w:szCs w:val="21"/>
              </w:rPr>
            </w:pPr>
          </w:p>
        </w:tc>
        <w:tc>
          <w:tcPr>
            <w:tcW w:w="522" w:type="dxa"/>
            <w:vMerge/>
            <w:vAlign w:val="center"/>
          </w:tcPr>
          <w:p w:rsidR="00C223F5" w:rsidRPr="00925B84" w:rsidRDefault="00C223F5" w:rsidP="00F66BD1">
            <w:pPr>
              <w:jc w:val="center"/>
              <w:rPr>
                <w:szCs w:val="21"/>
              </w:rPr>
            </w:pPr>
          </w:p>
        </w:tc>
        <w:tc>
          <w:tcPr>
            <w:tcW w:w="1657" w:type="dxa"/>
            <w:vMerge/>
            <w:vAlign w:val="center"/>
          </w:tcPr>
          <w:p w:rsidR="00C223F5" w:rsidRPr="00925B84" w:rsidRDefault="00C223F5" w:rsidP="00F66BD1">
            <w:pPr>
              <w:jc w:val="center"/>
              <w:rPr>
                <w:szCs w:val="21"/>
              </w:rPr>
            </w:pPr>
          </w:p>
        </w:tc>
        <w:tc>
          <w:tcPr>
            <w:tcW w:w="2311" w:type="dxa"/>
            <w:vAlign w:val="center"/>
          </w:tcPr>
          <w:p w:rsidR="00C223F5" w:rsidRPr="00925B84" w:rsidRDefault="005860D5" w:rsidP="00F66BD1">
            <w:pPr>
              <w:jc w:val="center"/>
              <w:rPr>
                <w:szCs w:val="21"/>
              </w:rPr>
            </w:pPr>
            <w:r w:rsidRPr="00925B84">
              <w:rPr>
                <w:rFonts w:hAnsi="宋体"/>
                <w:szCs w:val="21"/>
              </w:rPr>
              <w:t>排放量</w:t>
            </w:r>
            <w:r w:rsidRPr="00925B84">
              <w:rPr>
                <w:szCs w:val="21"/>
              </w:rPr>
              <w:t>kg/d</w:t>
            </w:r>
          </w:p>
        </w:tc>
        <w:tc>
          <w:tcPr>
            <w:tcW w:w="722" w:type="dxa"/>
            <w:vAlign w:val="center"/>
          </w:tcPr>
          <w:p w:rsidR="00C223F5" w:rsidRPr="00925B84" w:rsidRDefault="005860D5" w:rsidP="00F66BD1">
            <w:pPr>
              <w:jc w:val="center"/>
              <w:rPr>
                <w:szCs w:val="21"/>
              </w:rPr>
            </w:pPr>
            <w:r w:rsidRPr="00925B84">
              <w:rPr>
                <w:szCs w:val="21"/>
              </w:rPr>
              <w:t>0</w:t>
            </w:r>
          </w:p>
        </w:tc>
        <w:tc>
          <w:tcPr>
            <w:tcW w:w="751" w:type="dxa"/>
            <w:vAlign w:val="center"/>
          </w:tcPr>
          <w:p w:rsidR="00C223F5" w:rsidRPr="00925B84" w:rsidRDefault="005860D5" w:rsidP="00F66BD1">
            <w:pPr>
              <w:jc w:val="center"/>
              <w:rPr>
                <w:szCs w:val="21"/>
              </w:rPr>
            </w:pPr>
            <w:r w:rsidRPr="00925B84">
              <w:rPr>
                <w:szCs w:val="21"/>
              </w:rPr>
              <w:t>0</w:t>
            </w:r>
          </w:p>
        </w:tc>
        <w:tc>
          <w:tcPr>
            <w:tcW w:w="690" w:type="dxa"/>
            <w:vAlign w:val="center"/>
          </w:tcPr>
          <w:p w:rsidR="00C223F5" w:rsidRPr="00925B84" w:rsidRDefault="005860D5" w:rsidP="00F66BD1">
            <w:pPr>
              <w:jc w:val="center"/>
              <w:rPr>
                <w:szCs w:val="21"/>
              </w:rPr>
            </w:pPr>
            <w:r w:rsidRPr="00925B84">
              <w:rPr>
                <w:szCs w:val="21"/>
              </w:rPr>
              <w:t>0</w:t>
            </w:r>
          </w:p>
        </w:tc>
        <w:tc>
          <w:tcPr>
            <w:tcW w:w="842" w:type="dxa"/>
            <w:vAlign w:val="center"/>
          </w:tcPr>
          <w:p w:rsidR="00C223F5" w:rsidRPr="00925B84" w:rsidRDefault="005860D5" w:rsidP="00F66BD1">
            <w:pPr>
              <w:jc w:val="center"/>
              <w:rPr>
                <w:szCs w:val="21"/>
              </w:rPr>
            </w:pPr>
            <w:r w:rsidRPr="00925B84">
              <w:rPr>
                <w:szCs w:val="21"/>
              </w:rPr>
              <w:t>0</w:t>
            </w:r>
          </w:p>
        </w:tc>
        <w:tc>
          <w:tcPr>
            <w:tcW w:w="761" w:type="dxa"/>
            <w:vAlign w:val="center"/>
          </w:tcPr>
          <w:p w:rsidR="00C223F5" w:rsidRPr="00925B84" w:rsidRDefault="005860D5" w:rsidP="00F66BD1">
            <w:pPr>
              <w:jc w:val="center"/>
              <w:rPr>
                <w:szCs w:val="21"/>
              </w:rPr>
            </w:pPr>
            <w:r w:rsidRPr="00925B84">
              <w:rPr>
                <w:szCs w:val="21"/>
              </w:rPr>
              <w:t>0</w:t>
            </w:r>
          </w:p>
        </w:tc>
      </w:tr>
      <w:tr w:rsidR="00C223F5" w:rsidRPr="00925B84">
        <w:trPr>
          <w:cantSplit/>
          <w:trHeight w:val="70"/>
          <w:jc w:val="center"/>
        </w:trPr>
        <w:tc>
          <w:tcPr>
            <w:tcW w:w="5113" w:type="dxa"/>
            <w:gridSpan w:val="4"/>
            <w:vAlign w:val="center"/>
          </w:tcPr>
          <w:p w:rsidR="00C223F5" w:rsidRPr="00925B84" w:rsidRDefault="005860D5" w:rsidP="00F66BD1">
            <w:pPr>
              <w:jc w:val="center"/>
              <w:rPr>
                <w:rFonts w:hAnsi="宋体"/>
                <w:szCs w:val="21"/>
              </w:rPr>
            </w:pPr>
            <w:r w:rsidRPr="00925B84">
              <w:rPr>
                <w:rFonts w:hint="eastAsia"/>
                <w:kern w:val="0"/>
                <w:szCs w:val="21"/>
              </w:rPr>
              <w:t xml:space="preserve">GB 20426-2006    </w:t>
            </w:r>
            <w:r w:rsidRPr="00925B84">
              <w:rPr>
                <w:szCs w:val="21"/>
              </w:rPr>
              <w:t xml:space="preserve"> mg/L</w:t>
            </w:r>
          </w:p>
        </w:tc>
        <w:tc>
          <w:tcPr>
            <w:tcW w:w="722" w:type="dxa"/>
            <w:vAlign w:val="center"/>
          </w:tcPr>
          <w:p w:rsidR="00C223F5" w:rsidRPr="00925B84" w:rsidRDefault="005860D5" w:rsidP="00F66BD1">
            <w:pPr>
              <w:jc w:val="center"/>
              <w:rPr>
                <w:szCs w:val="21"/>
              </w:rPr>
            </w:pPr>
            <w:r w:rsidRPr="00925B84">
              <w:rPr>
                <w:rFonts w:hint="eastAsia"/>
                <w:szCs w:val="21"/>
              </w:rPr>
              <w:t>50</w:t>
            </w:r>
          </w:p>
        </w:tc>
        <w:tc>
          <w:tcPr>
            <w:tcW w:w="751" w:type="dxa"/>
            <w:vAlign w:val="center"/>
          </w:tcPr>
          <w:p w:rsidR="00C223F5" w:rsidRPr="00925B84" w:rsidRDefault="005860D5" w:rsidP="00F66BD1">
            <w:pPr>
              <w:jc w:val="center"/>
              <w:rPr>
                <w:szCs w:val="21"/>
              </w:rPr>
            </w:pPr>
            <w:r w:rsidRPr="00925B84">
              <w:rPr>
                <w:rFonts w:hint="eastAsia"/>
                <w:szCs w:val="21"/>
              </w:rPr>
              <w:t>50</w:t>
            </w:r>
          </w:p>
        </w:tc>
        <w:tc>
          <w:tcPr>
            <w:tcW w:w="690" w:type="dxa"/>
            <w:vAlign w:val="center"/>
          </w:tcPr>
          <w:p w:rsidR="00C223F5" w:rsidRPr="00925B84" w:rsidRDefault="005860D5" w:rsidP="00F66BD1">
            <w:pPr>
              <w:jc w:val="center"/>
              <w:rPr>
                <w:szCs w:val="21"/>
              </w:rPr>
            </w:pPr>
            <w:r w:rsidRPr="00925B84">
              <w:rPr>
                <w:rFonts w:hint="eastAsia"/>
                <w:szCs w:val="21"/>
              </w:rPr>
              <w:t>/</w:t>
            </w:r>
          </w:p>
        </w:tc>
        <w:tc>
          <w:tcPr>
            <w:tcW w:w="842" w:type="dxa"/>
            <w:vAlign w:val="center"/>
          </w:tcPr>
          <w:p w:rsidR="00C223F5" w:rsidRPr="00925B84" w:rsidRDefault="005860D5" w:rsidP="00F66BD1">
            <w:pPr>
              <w:jc w:val="center"/>
              <w:rPr>
                <w:szCs w:val="21"/>
              </w:rPr>
            </w:pPr>
            <w:r w:rsidRPr="00925B84">
              <w:rPr>
                <w:rFonts w:hint="eastAsia"/>
                <w:szCs w:val="21"/>
              </w:rPr>
              <w:t>5</w:t>
            </w:r>
          </w:p>
        </w:tc>
        <w:tc>
          <w:tcPr>
            <w:tcW w:w="761" w:type="dxa"/>
            <w:vAlign w:val="center"/>
          </w:tcPr>
          <w:p w:rsidR="00C223F5" w:rsidRPr="00925B84" w:rsidRDefault="005860D5" w:rsidP="00F66BD1">
            <w:pPr>
              <w:jc w:val="center"/>
              <w:rPr>
                <w:szCs w:val="21"/>
              </w:rPr>
            </w:pPr>
            <w:r w:rsidRPr="00925B84">
              <w:rPr>
                <w:rFonts w:hint="eastAsia"/>
                <w:szCs w:val="21"/>
              </w:rPr>
              <w:t>/</w:t>
            </w:r>
          </w:p>
        </w:tc>
      </w:tr>
      <w:tr w:rsidR="00C223F5" w:rsidRPr="00925B84">
        <w:trPr>
          <w:cantSplit/>
          <w:trHeight w:val="70"/>
          <w:jc w:val="center"/>
        </w:trPr>
        <w:tc>
          <w:tcPr>
            <w:tcW w:w="5113" w:type="dxa"/>
            <w:gridSpan w:val="4"/>
            <w:vAlign w:val="center"/>
          </w:tcPr>
          <w:p w:rsidR="00C223F5" w:rsidRPr="00925B84" w:rsidRDefault="005860D5" w:rsidP="00F66BD1">
            <w:pPr>
              <w:jc w:val="center"/>
              <w:rPr>
                <w:szCs w:val="21"/>
              </w:rPr>
            </w:pPr>
            <w:r w:rsidRPr="00925B84">
              <w:rPr>
                <w:rFonts w:hint="eastAsia"/>
                <w:kern w:val="0"/>
                <w:szCs w:val="21"/>
              </w:rPr>
              <w:t>D</w:t>
            </w:r>
            <w:r w:rsidRPr="00925B84">
              <w:rPr>
                <w:kern w:val="0"/>
                <w:szCs w:val="21"/>
              </w:rPr>
              <w:t>B</w:t>
            </w:r>
            <w:r w:rsidRPr="00925B84">
              <w:rPr>
                <w:rFonts w:hint="eastAsia"/>
                <w:kern w:val="0"/>
                <w:szCs w:val="21"/>
              </w:rPr>
              <w:t xml:space="preserve"> 61/244</w:t>
            </w:r>
            <w:r w:rsidRPr="00925B84">
              <w:rPr>
                <w:kern w:val="0"/>
                <w:szCs w:val="21"/>
              </w:rPr>
              <w:t>-</w:t>
            </w:r>
            <w:r w:rsidRPr="00925B84">
              <w:rPr>
                <w:rFonts w:hint="eastAsia"/>
                <w:kern w:val="0"/>
                <w:szCs w:val="21"/>
              </w:rPr>
              <w:t>2018</w:t>
            </w:r>
            <w:r w:rsidRPr="00925B84">
              <w:rPr>
                <w:rFonts w:hint="eastAsia"/>
                <w:kern w:val="0"/>
                <w:szCs w:val="21"/>
              </w:rPr>
              <w:t>、</w:t>
            </w:r>
            <w:r w:rsidRPr="00925B84">
              <w:rPr>
                <w:rFonts w:hint="eastAsia"/>
                <w:kern w:val="0"/>
                <w:szCs w:val="21"/>
              </w:rPr>
              <w:t xml:space="preserve"> GB8978-1996</w:t>
            </w:r>
            <w:r w:rsidRPr="00925B84">
              <w:rPr>
                <w:szCs w:val="21"/>
              </w:rPr>
              <w:t>mg/L</w:t>
            </w:r>
          </w:p>
        </w:tc>
        <w:tc>
          <w:tcPr>
            <w:tcW w:w="722" w:type="dxa"/>
            <w:vAlign w:val="center"/>
          </w:tcPr>
          <w:p w:rsidR="00C223F5" w:rsidRPr="00925B84" w:rsidRDefault="005860D5" w:rsidP="00F66BD1">
            <w:pPr>
              <w:jc w:val="center"/>
              <w:rPr>
                <w:szCs w:val="21"/>
              </w:rPr>
            </w:pPr>
            <w:r w:rsidRPr="00925B84">
              <w:rPr>
                <w:rFonts w:hint="eastAsia"/>
                <w:szCs w:val="21"/>
              </w:rPr>
              <w:t>70</w:t>
            </w:r>
          </w:p>
        </w:tc>
        <w:tc>
          <w:tcPr>
            <w:tcW w:w="751" w:type="dxa"/>
            <w:vAlign w:val="center"/>
          </w:tcPr>
          <w:p w:rsidR="00C223F5" w:rsidRPr="00925B84" w:rsidRDefault="005860D5" w:rsidP="00F66BD1">
            <w:pPr>
              <w:jc w:val="center"/>
              <w:rPr>
                <w:szCs w:val="21"/>
              </w:rPr>
            </w:pPr>
            <w:r w:rsidRPr="00925B84">
              <w:rPr>
                <w:rFonts w:hint="eastAsia"/>
                <w:szCs w:val="21"/>
              </w:rPr>
              <w:t>50</w:t>
            </w:r>
          </w:p>
        </w:tc>
        <w:tc>
          <w:tcPr>
            <w:tcW w:w="690" w:type="dxa"/>
            <w:vAlign w:val="center"/>
          </w:tcPr>
          <w:p w:rsidR="00C223F5" w:rsidRPr="00925B84" w:rsidRDefault="005860D5" w:rsidP="00F66BD1">
            <w:pPr>
              <w:jc w:val="center"/>
              <w:rPr>
                <w:szCs w:val="21"/>
              </w:rPr>
            </w:pPr>
            <w:r w:rsidRPr="00925B84">
              <w:rPr>
                <w:rFonts w:hint="eastAsia"/>
                <w:szCs w:val="21"/>
              </w:rPr>
              <w:t>20</w:t>
            </w:r>
          </w:p>
        </w:tc>
        <w:tc>
          <w:tcPr>
            <w:tcW w:w="842" w:type="dxa"/>
            <w:vAlign w:val="center"/>
          </w:tcPr>
          <w:p w:rsidR="00C223F5" w:rsidRPr="00925B84" w:rsidRDefault="005860D5" w:rsidP="00F66BD1">
            <w:pPr>
              <w:jc w:val="center"/>
              <w:rPr>
                <w:szCs w:val="21"/>
              </w:rPr>
            </w:pPr>
            <w:r w:rsidRPr="00925B84">
              <w:rPr>
                <w:rFonts w:hint="eastAsia"/>
                <w:szCs w:val="21"/>
              </w:rPr>
              <w:t>3</w:t>
            </w:r>
          </w:p>
        </w:tc>
        <w:tc>
          <w:tcPr>
            <w:tcW w:w="761" w:type="dxa"/>
            <w:vAlign w:val="center"/>
          </w:tcPr>
          <w:p w:rsidR="00C223F5" w:rsidRPr="00925B84" w:rsidRDefault="005860D5" w:rsidP="00F66BD1">
            <w:pPr>
              <w:jc w:val="center"/>
              <w:rPr>
                <w:szCs w:val="21"/>
              </w:rPr>
            </w:pPr>
            <w:r w:rsidRPr="00925B84">
              <w:rPr>
                <w:rFonts w:hint="eastAsia"/>
                <w:szCs w:val="21"/>
              </w:rPr>
              <w:t>8</w:t>
            </w:r>
          </w:p>
        </w:tc>
      </w:tr>
    </w:tbl>
    <w:p w:rsidR="00C223F5" w:rsidRPr="00925B84" w:rsidRDefault="005860D5" w:rsidP="00F66BD1">
      <w:pPr>
        <w:spacing w:line="360" w:lineRule="auto"/>
        <w:ind w:firstLineChars="200" w:firstLine="480"/>
        <w:rPr>
          <w:sz w:val="24"/>
        </w:rPr>
      </w:pPr>
      <w:r w:rsidRPr="00925B84">
        <w:rPr>
          <w:rFonts w:hint="eastAsia"/>
          <w:sz w:val="24"/>
        </w:rPr>
        <w:t>（</w:t>
      </w:r>
      <w:r w:rsidRPr="00925B84">
        <w:rPr>
          <w:rFonts w:hint="eastAsia"/>
          <w:sz w:val="24"/>
        </w:rPr>
        <w:t>2</w:t>
      </w:r>
      <w:r w:rsidRPr="00925B84">
        <w:rPr>
          <w:rFonts w:hint="eastAsia"/>
          <w:sz w:val="24"/>
        </w:rPr>
        <w:t>）</w:t>
      </w:r>
      <w:r w:rsidRPr="00925B84">
        <w:rPr>
          <w:sz w:val="24"/>
        </w:rPr>
        <w:t>环境空气污染源、污染物及拟</w:t>
      </w:r>
      <w:r w:rsidRPr="00925B84">
        <w:rPr>
          <w:rFonts w:hint="eastAsia"/>
          <w:sz w:val="24"/>
        </w:rPr>
        <w:t>采取</w:t>
      </w:r>
      <w:r w:rsidRPr="00925B84">
        <w:rPr>
          <w:sz w:val="24"/>
        </w:rPr>
        <w:t>的环保措施</w:t>
      </w:r>
    </w:p>
    <w:p w:rsidR="00C223F5" w:rsidRDefault="005860D5" w:rsidP="00F66BD1">
      <w:pPr>
        <w:spacing w:line="360" w:lineRule="auto"/>
        <w:ind w:firstLineChars="200" w:firstLine="480"/>
        <w:rPr>
          <w:color w:val="000000"/>
          <w:sz w:val="24"/>
        </w:rPr>
      </w:pPr>
      <w:r w:rsidRPr="00925B84">
        <w:rPr>
          <w:sz w:val="24"/>
        </w:rPr>
        <w:t>对环境空气的污染主要来自工业场地</w:t>
      </w:r>
      <w:r>
        <w:rPr>
          <w:sz w:val="24"/>
        </w:rPr>
        <w:t>煤炭洗选、贮存、装卸运输过程中产生的粉尘。生产环节（</w:t>
      </w:r>
      <w:r>
        <w:rPr>
          <w:color w:val="000000"/>
          <w:sz w:val="24"/>
        </w:rPr>
        <w:t>破碎筛分、输煤及储煤系统</w:t>
      </w:r>
      <w:r>
        <w:rPr>
          <w:sz w:val="24"/>
        </w:rPr>
        <w:t>等环节）造成的扬尘主要是煤粉尘，其排放方式为间断地、无组织地向环境空气扩散。</w:t>
      </w:r>
      <w:r>
        <w:rPr>
          <w:color w:val="000000"/>
          <w:sz w:val="24"/>
        </w:rPr>
        <w:t>根据神东公司上湾洗煤厂实测数据（资料来源神东集团安监局李品文编写的《浅谈洗煤厂粉尘危害及治理措施》），上湾洗煤厂筛分破碎车间粉尘治理前浓度为</w:t>
      </w:r>
      <w:r>
        <w:rPr>
          <w:color w:val="000000"/>
          <w:sz w:val="24"/>
        </w:rPr>
        <w:t>81</w:t>
      </w:r>
      <w:r>
        <w:rPr>
          <w:color w:val="000000"/>
          <w:sz w:val="24"/>
        </w:rPr>
        <w:t>～</w:t>
      </w:r>
      <w:r>
        <w:rPr>
          <w:color w:val="000000"/>
          <w:sz w:val="24"/>
        </w:rPr>
        <w:t>300mg/m</w:t>
      </w:r>
      <w:r>
        <w:rPr>
          <w:color w:val="000000"/>
          <w:sz w:val="24"/>
          <w:vertAlign w:val="superscript"/>
        </w:rPr>
        <w:t>3</w:t>
      </w:r>
      <w:r>
        <w:rPr>
          <w:color w:val="000000"/>
          <w:sz w:val="24"/>
        </w:rPr>
        <w:t>，采取上料卸料点密闭、水幕降尘等措施后煤尘浓度降到</w:t>
      </w:r>
      <w:r>
        <w:rPr>
          <w:color w:val="000000"/>
          <w:sz w:val="24"/>
        </w:rPr>
        <w:t>10mg/m</w:t>
      </w:r>
      <w:r>
        <w:rPr>
          <w:color w:val="000000"/>
          <w:sz w:val="24"/>
          <w:vertAlign w:val="superscript"/>
        </w:rPr>
        <w:t>3</w:t>
      </w:r>
      <w:r>
        <w:rPr>
          <w:color w:val="000000"/>
          <w:sz w:val="24"/>
        </w:rPr>
        <w:t>以下。根据胡家河煤矿竣工验收调查报告，筛分车间除尘器进口浓度在</w:t>
      </w:r>
      <w:r>
        <w:rPr>
          <w:color w:val="000000"/>
          <w:sz w:val="24"/>
        </w:rPr>
        <w:t>115</w:t>
      </w:r>
      <w:r>
        <w:rPr>
          <w:color w:val="000000"/>
          <w:sz w:val="24"/>
        </w:rPr>
        <w:t>～</w:t>
      </w:r>
      <w:r>
        <w:rPr>
          <w:color w:val="000000"/>
          <w:sz w:val="24"/>
        </w:rPr>
        <w:t>146mg/m</w:t>
      </w:r>
      <w:r>
        <w:rPr>
          <w:color w:val="000000"/>
          <w:sz w:val="24"/>
          <w:vertAlign w:val="superscript"/>
        </w:rPr>
        <w:t>3</w:t>
      </w:r>
      <w:r>
        <w:rPr>
          <w:color w:val="000000"/>
          <w:sz w:val="24"/>
        </w:rPr>
        <w:t>之间，出口浓度在</w:t>
      </w:r>
      <w:r>
        <w:rPr>
          <w:color w:val="000000"/>
          <w:sz w:val="24"/>
        </w:rPr>
        <w:t>6.7</w:t>
      </w:r>
      <w:r>
        <w:rPr>
          <w:color w:val="000000"/>
          <w:sz w:val="24"/>
        </w:rPr>
        <w:t>～</w:t>
      </w:r>
      <w:r>
        <w:rPr>
          <w:color w:val="000000"/>
          <w:sz w:val="24"/>
        </w:rPr>
        <w:t>12.1mg/m</w:t>
      </w:r>
      <w:r>
        <w:rPr>
          <w:color w:val="000000"/>
          <w:sz w:val="24"/>
          <w:vertAlign w:val="superscript"/>
        </w:rPr>
        <w:t>3</w:t>
      </w:r>
      <w:r>
        <w:rPr>
          <w:color w:val="000000"/>
          <w:sz w:val="24"/>
        </w:rPr>
        <w:t>之间。</w:t>
      </w:r>
    </w:p>
    <w:p w:rsidR="00C223F5" w:rsidRDefault="005860D5" w:rsidP="00F66BD1">
      <w:pPr>
        <w:spacing w:line="360" w:lineRule="auto"/>
        <w:ind w:firstLineChars="200" w:firstLine="480"/>
        <w:rPr>
          <w:color w:val="000000"/>
          <w:sz w:val="24"/>
        </w:rPr>
      </w:pPr>
      <w:r>
        <w:rPr>
          <w:rFonts w:hint="eastAsia"/>
          <w:color w:val="000000"/>
          <w:sz w:val="24"/>
        </w:rPr>
        <w:t>天云</w:t>
      </w:r>
      <w:r>
        <w:rPr>
          <w:color w:val="000000"/>
          <w:sz w:val="24"/>
        </w:rPr>
        <w:t>煤矿原煤及产品煤、矸石均采用筒仓处置，筛</w:t>
      </w:r>
      <w:r>
        <w:rPr>
          <w:rFonts w:hint="eastAsia"/>
          <w:color w:val="000000"/>
          <w:sz w:val="24"/>
        </w:rPr>
        <w:t>破</w:t>
      </w:r>
      <w:r>
        <w:rPr>
          <w:color w:val="000000"/>
          <w:sz w:val="24"/>
        </w:rPr>
        <w:t>设备全部设置在</w:t>
      </w:r>
      <w:r>
        <w:rPr>
          <w:rFonts w:hint="eastAsia"/>
          <w:color w:val="000000"/>
          <w:sz w:val="24"/>
        </w:rPr>
        <w:t>主厂房及筛分破碎车间联合建筑</w:t>
      </w:r>
      <w:r>
        <w:rPr>
          <w:color w:val="000000"/>
          <w:sz w:val="24"/>
        </w:rPr>
        <w:t>内，</w:t>
      </w:r>
      <w:r>
        <w:rPr>
          <w:rFonts w:hint="eastAsia"/>
          <w:color w:val="000000"/>
          <w:sz w:val="24"/>
        </w:rPr>
        <w:t>安装</w:t>
      </w:r>
      <w:r>
        <w:rPr>
          <w:rFonts w:eastAsiaTheme="minorEastAsia" w:hAnsiTheme="minorEastAsia" w:hint="eastAsia"/>
          <w:sz w:val="24"/>
        </w:rPr>
        <w:t>微米级干雾抑尘装置</w:t>
      </w:r>
      <w:r>
        <w:rPr>
          <w:rFonts w:hint="eastAsia"/>
          <w:color w:val="000000"/>
          <w:sz w:val="24"/>
        </w:rPr>
        <w:t>，</w:t>
      </w:r>
      <w:r>
        <w:rPr>
          <w:color w:val="000000"/>
          <w:sz w:val="24"/>
        </w:rPr>
        <w:t>煤尘产生情况见表</w:t>
      </w:r>
      <w:r>
        <w:rPr>
          <w:color w:val="000000"/>
          <w:sz w:val="24"/>
        </w:rPr>
        <w:t>2.3.2-</w:t>
      </w:r>
      <w:r>
        <w:rPr>
          <w:rFonts w:hint="eastAsia"/>
          <w:color w:val="000000"/>
          <w:sz w:val="24"/>
        </w:rPr>
        <w:t>3</w:t>
      </w:r>
      <w:r>
        <w:rPr>
          <w:color w:val="000000"/>
          <w:sz w:val="24"/>
        </w:rPr>
        <w:t>。输煤栈桥封闭，在输煤栈桥内设置喷雾洒水装置</w:t>
      </w:r>
      <w:r>
        <w:rPr>
          <w:rFonts w:hint="eastAsia"/>
          <w:color w:val="000000"/>
          <w:sz w:val="24"/>
        </w:rPr>
        <w:t>；</w:t>
      </w:r>
      <w:r>
        <w:rPr>
          <w:rFonts w:eastAsiaTheme="minorEastAsia" w:hAnsiTheme="minorEastAsia" w:hint="eastAsia"/>
          <w:sz w:val="24"/>
        </w:rPr>
        <w:t>主要产尘点设集尘罩，原煤仓上下转载点、筛分破碎车间振动筛上下转载点、产品仓上下转载点等设干雾喷头</w:t>
      </w:r>
      <w:r>
        <w:rPr>
          <w:color w:val="000000"/>
          <w:sz w:val="24"/>
        </w:rPr>
        <w:t>。从榆神矿区杭来湾煤矿、金鸡滩煤矿等矿井实际运行经验来看，生产设施颗粒物无组织排放</w:t>
      </w:r>
      <w:r>
        <w:rPr>
          <w:rFonts w:hint="eastAsia"/>
          <w:color w:val="000000"/>
          <w:sz w:val="24"/>
        </w:rPr>
        <w:t>限值</w:t>
      </w:r>
      <w:r>
        <w:rPr>
          <w:color w:val="000000"/>
          <w:sz w:val="24"/>
        </w:rPr>
        <w:t>可以满足《煤炭工业污染物排放标准》（</w:t>
      </w:r>
      <w:r>
        <w:rPr>
          <w:color w:val="000000"/>
          <w:sz w:val="24"/>
        </w:rPr>
        <w:t>GB20426-2006</w:t>
      </w:r>
      <w:r>
        <w:rPr>
          <w:color w:val="000000"/>
          <w:sz w:val="24"/>
        </w:rPr>
        <w:t>）要求。</w:t>
      </w:r>
    </w:p>
    <w:p w:rsidR="00C223F5" w:rsidRDefault="005860D5" w:rsidP="00F66BD1">
      <w:pPr>
        <w:jc w:val="center"/>
        <w:rPr>
          <w:b/>
          <w:color w:val="000000"/>
          <w:sz w:val="24"/>
        </w:rPr>
      </w:pPr>
      <w:r>
        <w:rPr>
          <w:b/>
          <w:color w:val="000000"/>
          <w:sz w:val="24"/>
        </w:rPr>
        <w:t>表</w:t>
      </w:r>
      <w:r>
        <w:rPr>
          <w:b/>
          <w:color w:val="000000"/>
          <w:sz w:val="24"/>
        </w:rPr>
        <w:t>2.3.2-</w:t>
      </w:r>
      <w:r>
        <w:rPr>
          <w:rFonts w:hint="eastAsia"/>
          <w:b/>
          <w:color w:val="000000"/>
          <w:sz w:val="24"/>
        </w:rPr>
        <w:t>3</w:t>
      </w:r>
      <w:r>
        <w:rPr>
          <w:rFonts w:hint="eastAsia"/>
          <w:b/>
          <w:color w:val="000000"/>
          <w:sz w:val="24"/>
        </w:rPr>
        <w:t>生产系统</w:t>
      </w:r>
      <w:r>
        <w:rPr>
          <w:b/>
          <w:color w:val="000000"/>
          <w:sz w:val="24"/>
        </w:rPr>
        <w:t>煤尘产排情况表</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1508"/>
        <w:gridCol w:w="632"/>
        <w:gridCol w:w="733"/>
        <w:gridCol w:w="900"/>
        <w:gridCol w:w="845"/>
        <w:gridCol w:w="1402"/>
        <w:gridCol w:w="992"/>
        <w:gridCol w:w="850"/>
        <w:gridCol w:w="773"/>
      </w:tblGrid>
      <w:tr w:rsidR="00C223F5">
        <w:trPr>
          <w:trHeight w:val="371"/>
          <w:jc w:val="center"/>
        </w:trPr>
        <w:tc>
          <w:tcPr>
            <w:tcW w:w="1508" w:type="dxa"/>
            <w:vMerge w:val="restart"/>
            <w:vAlign w:val="center"/>
          </w:tcPr>
          <w:p w:rsidR="00C223F5" w:rsidRDefault="005860D5" w:rsidP="00F66BD1">
            <w:pPr>
              <w:jc w:val="center"/>
              <w:rPr>
                <w:rFonts w:eastAsia="Times New Roman"/>
                <w:color w:val="000000"/>
                <w:szCs w:val="21"/>
              </w:rPr>
            </w:pPr>
            <w:r>
              <w:rPr>
                <w:color w:val="000000"/>
                <w:szCs w:val="21"/>
              </w:rPr>
              <w:t>污染源</w:t>
            </w:r>
          </w:p>
        </w:tc>
        <w:tc>
          <w:tcPr>
            <w:tcW w:w="632" w:type="dxa"/>
            <w:vMerge w:val="restart"/>
            <w:vAlign w:val="center"/>
          </w:tcPr>
          <w:p w:rsidR="00C223F5" w:rsidRDefault="005860D5" w:rsidP="00F66BD1">
            <w:pPr>
              <w:jc w:val="center"/>
              <w:rPr>
                <w:rFonts w:eastAsia="Times New Roman"/>
                <w:color w:val="000000"/>
                <w:szCs w:val="21"/>
              </w:rPr>
            </w:pPr>
            <w:r>
              <w:rPr>
                <w:color w:val="000000"/>
                <w:szCs w:val="21"/>
              </w:rPr>
              <w:t>污染物</w:t>
            </w:r>
          </w:p>
        </w:tc>
        <w:tc>
          <w:tcPr>
            <w:tcW w:w="733" w:type="dxa"/>
            <w:vMerge w:val="restart"/>
            <w:vAlign w:val="center"/>
          </w:tcPr>
          <w:p w:rsidR="00C223F5" w:rsidRDefault="005860D5" w:rsidP="00F66BD1">
            <w:pPr>
              <w:jc w:val="center"/>
              <w:rPr>
                <w:rFonts w:eastAsia="Times New Roman"/>
                <w:color w:val="000000"/>
                <w:szCs w:val="21"/>
              </w:rPr>
            </w:pPr>
            <w:r>
              <w:rPr>
                <w:color w:val="000000"/>
                <w:szCs w:val="21"/>
              </w:rPr>
              <w:t>总废</w:t>
            </w:r>
          </w:p>
          <w:p w:rsidR="00C223F5" w:rsidRDefault="005860D5" w:rsidP="00F66BD1">
            <w:pPr>
              <w:jc w:val="center"/>
              <w:rPr>
                <w:rFonts w:eastAsia="Times New Roman"/>
                <w:color w:val="000000"/>
                <w:szCs w:val="21"/>
              </w:rPr>
            </w:pPr>
            <w:r>
              <w:rPr>
                <w:color w:val="000000"/>
                <w:szCs w:val="21"/>
              </w:rPr>
              <w:t>气量</w:t>
            </w:r>
            <w:r>
              <w:rPr>
                <w:rFonts w:eastAsia="Times New Roman"/>
                <w:color w:val="000000"/>
                <w:szCs w:val="21"/>
              </w:rPr>
              <w:t>(m</w:t>
            </w:r>
            <w:r>
              <w:rPr>
                <w:rFonts w:eastAsia="Times New Roman"/>
                <w:color w:val="000000"/>
                <w:szCs w:val="21"/>
                <w:vertAlign w:val="superscript"/>
              </w:rPr>
              <w:t>3</w:t>
            </w:r>
            <w:r>
              <w:rPr>
                <w:rFonts w:eastAsia="Times New Roman"/>
                <w:color w:val="000000"/>
                <w:szCs w:val="21"/>
              </w:rPr>
              <w:t>/h)</w:t>
            </w:r>
          </w:p>
        </w:tc>
        <w:tc>
          <w:tcPr>
            <w:tcW w:w="1745" w:type="dxa"/>
            <w:gridSpan w:val="2"/>
            <w:vAlign w:val="center"/>
          </w:tcPr>
          <w:p w:rsidR="00C223F5" w:rsidRDefault="005860D5" w:rsidP="00F66BD1">
            <w:pPr>
              <w:jc w:val="center"/>
              <w:rPr>
                <w:rFonts w:eastAsia="Times New Roman"/>
                <w:color w:val="000000"/>
                <w:szCs w:val="21"/>
              </w:rPr>
            </w:pPr>
            <w:r>
              <w:rPr>
                <w:color w:val="000000"/>
                <w:szCs w:val="21"/>
              </w:rPr>
              <w:t>产生量</w:t>
            </w:r>
          </w:p>
        </w:tc>
        <w:tc>
          <w:tcPr>
            <w:tcW w:w="1402" w:type="dxa"/>
            <w:vMerge w:val="restart"/>
            <w:vAlign w:val="center"/>
          </w:tcPr>
          <w:p w:rsidR="00C223F5" w:rsidRDefault="005860D5" w:rsidP="00F66BD1">
            <w:pPr>
              <w:jc w:val="center"/>
              <w:rPr>
                <w:rFonts w:eastAsia="Times New Roman"/>
                <w:color w:val="000000"/>
                <w:szCs w:val="21"/>
              </w:rPr>
            </w:pPr>
            <w:r>
              <w:rPr>
                <w:color w:val="000000"/>
                <w:szCs w:val="21"/>
              </w:rPr>
              <w:t>采取治理措施</w:t>
            </w:r>
          </w:p>
        </w:tc>
        <w:tc>
          <w:tcPr>
            <w:tcW w:w="2615" w:type="dxa"/>
            <w:gridSpan w:val="3"/>
            <w:vAlign w:val="center"/>
          </w:tcPr>
          <w:p w:rsidR="00C223F5" w:rsidRDefault="005860D5" w:rsidP="00F66BD1">
            <w:pPr>
              <w:jc w:val="center"/>
              <w:rPr>
                <w:rFonts w:eastAsia="Times New Roman"/>
                <w:color w:val="000000"/>
                <w:szCs w:val="21"/>
              </w:rPr>
            </w:pPr>
            <w:r>
              <w:rPr>
                <w:color w:val="000000"/>
                <w:szCs w:val="21"/>
              </w:rPr>
              <w:t>排放量</w:t>
            </w:r>
          </w:p>
        </w:tc>
      </w:tr>
      <w:tr w:rsidR="00C223F5">
        <w:trPr>
          <w:trHeight w:val="315"/>
          <w:jc w:val="center"/>
        </w:trPr>
        <w:tc>
          <w:tcPr>
            <w:tcW w:w="1508" w:type="dxa"/>
            <w:vMerge/>
            <w:vAlign w:val="center"/>
          </w:tcPr>
          <w:p w:rsidR="00C223F5" w:rsidRDefault="00C223F5" w:rsidP="00F66BD1">
            <w:pPr>
              <w:jc w:val="center"/>
              <w:rPr>
                <w:rFonts w:eastAsia="Times New Roman"/>
                <w:color w:val="000000"/>
                <w:szCs w:val="21"/>
              </w:rPr>
            </w:pPr>
          </w:p>
        </w:tc>
        <w:tc>
          <w:tcPr>
            <w:tcW w:w="632" w:type="dxa"/>
            <w:vMerge/>
            <w:vAlign w:val="center"/>
          </w:tcPr>
          <w:p w:rsidR="00C223F5" w:rsidRDefault="00C223F5" w:rsidP="00F66BD1">
            <w:pPr>
              <w:jc w:val="center"/>
              <w:rPr>
                <w:rFonts w:eastAsia="Times New Roman"/>
                <w:color w:val="000000"/>
                <w:szCs w:val="21"/>
              </w:rPr>
            </w:pPr>
          </w:p>
        </w:tc>
        <w:tc>
          <w:tcPr>
            <w:tcW w:w="733" w:type="dxa"/>
            <w:vMerge/>
            <w:vAlign w:val="center"/>
          </w:tcPr>
          <w:p w:rsidR="00C223F5" w:rsidRDefault="00C223F5" w:rsidP="00F66BD1">
            <w:pPr>
              <w:jc w:val="center"/>
              <w:rPr>
                <w:rFonts w:eastAsia="Times New Roman"/>
                <w:color w:val="000000"/>
                <w:szCs w:val="21"/>
              </w:rPr>
            </w:pPr>
          </w:p>
        </w:tc>
        <w:tc>
          <w:tcPr>
            <w:tcW w:w="900" w:type="dxa"/>
            <w:vMerge w:val="restart"/>
            <w:vAlign w:val="center"/>
          </w:tcPr>
          <w:p w:rsidR="00C223F5" w:rsidRDefault="005860D5" w:rsidP="00F66BD1">
            <w:pPr>
              <w:jc w:val="center"/>
              <w:rPr>
                <w:rFonts w:eastAsia="Times New Roman"/>
                <w:color w:val="000000"/>
                <w:szCs w:val="21"/>
              </w:rPr>
            </w:pPr>
            <w:r>
              <w:rPr>
                <w:color w:val="000000"/>
                <w:szCs w:val="21"/>
              </w:rPr>
              <w:t>产生浓度</w:t>
            </w:r>
          </w:p>
          <w:p w:rsidR="00C223F5" w:rsidRDefault="005860D5" w:rsidP="00F66BD1">
            <w:pPr>
              <w:jc w:val="center"/>
              <w:rPr>
                <w:rFonts w:eastAsia="Times New Roman"/>
                <w:color w:val="000000"/>
                <w:szCs w:val="21"/>
              </w:rPr>
            </w:pPr>
            <w:r>
              <w:rPr>
                <w:rFonts w:eastAsia="Times New Roman"/>
                <w:color w:val="000000"/>
                <w:szCs w:val="21"/>
              </w:rPr>
              <w:t>(mg/m</w:t>
            </w:r>
            <w:r>
              <w:rPr>
                <w:rFonts w:eastAsia="Times New Roman"/>
                <w:color w:val="000000"/>
                <w:szCs w:val="21"/>
                <w:vertAlign w:val="superscript"/>
              </w:rPr>
              <w:t>3</w:t>
            </w:r>
            <w:r>
              <w:rPr>
                <w:rFonts w:eastAsia="Times New Roman"/>
                <w:color w:val="000000"/>
                <w:szCs w:val="21"/>
              </w:rPr>
              <w:t>)</w:t>
            </w:r>
          </w:p>
        </w:tc>
        <w:tc>
          <w:tcPr>
            <w:tcW w:w="845" w:type="dxa"/>
            <w:vMerge w:val="restart"/>
            <w:vAlign w:val="center"/>
          </w:tcPr>
          <w:p w:rsidR="00C223F5" w:rsidRDefault="005860D5" w:rsidP="00F66BD1">
            <w:pPr>
              <w:jc w:val="center"/>
              <w:rPr>
                <w:rFonts w:eastAsia="Times New Roman"/>
                <w:color w:val="000000"/>
                <w:szCs w:val="21"/>
              </w:rPr>
            </w:pPr>
            <w:r>
              <w:rPr>
                <w:color w:val="000000"/>
                <w:szCs w:val="21"/>
              </w:rPr>
              <w:t>产生量</w:t>
            </w:r>
          </w:p>
          <w:p w:rsidR="00C223F5" w:rsidRDefault="005860D5" w:rsidP="00F66BD1">
            <w:pPr>
              <w:jc w:val="center"/>
              <w:rPr>
                <w:rFonts w:eastAsia="Times New Roman"/>
                <w:color w:val="000000"/>
                <w:szCs w:val="21"/>
              </w:rPr>
            </w:pPr>
            <w:r>
              <w:rPr>
                <w:rFonts w:eastAsia="Times New Roman"/>
                <w:color w:val="000000"/>
                <w:szCs w:val="21"/>
              </w:rPr>
              <w:t>(t/a)</w:t>
            </w:r>
          </w:p>
        </w:tc>
        <w:tc>
          <w:tcPr>
            <w:tcW w:w="1402" w:type="dxa"/>
            <w:vMerge/>
            <w:vAlign w:val="center"/>
          </w:tcPr>
          <w:p w:rsidR="00C223F5" w:rsidRDefault="00C223F5" w:rsidP="00F66BD1">
            <w:pPr>
              <w:jc w:val="center"/>
              <w:rPr>
                <w:rFonts w:eastAsia="Times New Roman"/>
                <w:color w:val="000000"/>
                <w:szCs w:val="21"/>
              </w:rPr>
            </w:pPr>
          </w:p>
        </w:tc>
        <w:tc>
          <w:tcPr>
            <w:tcW w:w="992" w:type="dxa"/>
            <w:vMerge w:val="restart"/>
            <w:vAlign w:val="center"/>
          </w:tcPr>
          <w:p w:rsidR="00C223F5" w:rsidRDefault="005860D5" w:rsidP="00F66BD1">
            <w:pPr>
              <w:jc w:val="center"/>
              <w:rPr>
                <w:rFonts w:eastAsia="Times New Roman"/>
                <w:color w:val="000000"/>
                <w:szCs w:val="21"/>
              </w:rPr>
            </w:pPr>
            <w:r>
              <w:rPr>
                <w:color w:val="000000"/>
                <w:szCs w:val="21"/>
              </w:rPr>
              <w:t>排放浓度</w:t>
            </w:r>
            <w:r>
              <w:rPr>
                <w:rFonts w:eastAsia="Times New Roman"/>
                <w:color w:val="000000"/>
                <w:szCs w:val="21"/>
              </w:rPr>
              <w:t>(mg/m</w:t>
            </w:r>
            <w:r>
              <w:rPr>
                <w:rFonts w:eastAsia="Times New Roman"/>
                <w:color w:val="000000"/>
                <w:szCs w:val="21"/>
                <w:vertAlign w:val="superscript"/>
              </w:rPr>
              <w:t>3</w:t>
            </w:r>
            <w:r>
              <w:rPr>
                <w:rFonts w:eastAsia="Times New Roman"/>
                <w:color w:val="000000"/>
                <w:szCs w:val="21"/>
              </w:rPr>
              <w:t>)</w:t>
            </w:r>
          </w:p>
        </w:tc>
        <w:tc>
          <w:tcPr>
            <w:tcW w:w="1623" w:type="dxa"/>
            <w:gridSpan w:val="2"/>
            <w:vAlign w:val="center"/>
          </w:tcPr>
          <w:p w:rsidR="00C223F5" w:rsidRDefault="005860D5" w:rsidP="00F66BD1">
            <w:pPr>
              <w:jc w:val="center"/>
              <w:rPr>
                <w:color w:val="000000"/>
                <w:szCs w:val="21"/>
              </w:rPr>
            </w:pPr>
            <w:r>
              <w:rPr>
                <w:color w:val="000000"/>
                <w:szCs w:val="21"/>
              </w:rPr>
              <w:t>排放量</w:t>
            </w:r>
          </w:p>
        </w:tc>
      </w:tr>
      <w:tr w:rsidR="00C223F5">
        <w:trPr>
          <w:trHeight w:val="219"/>
          <w:jc w:val="center"/>
        </w:trPr>
        <w:tc>
          <w:tcPr>
            <w:tcW w:w="1508" w:type="dxa"/>
            <w:vMerge/>
            <w:vAlign w:val="center"/>
          </w:tcPr>
          <w:p w:rsidR="00C223F5" w:rsidRDefault="00C223F5" w:rsidP="00F66BD1">
            <w:pPr>
              <w:jc w:val="center"/>
              <w:rPr>
                <w:rFonts w:eastAsia="Times New Roman"/>
                <w:color w:val="000000"/>
                <w:szCs w:val="21"/>
              </w:rPr>
            </w:pPr>
          </w:p>
        </w:tc>
        <w:tc>
          <w:tcPr>
            <w:tcW w:w="632" w:type="dxa"/>
            <w:vMerge/>
            <w:vAlign w:val="center"/>
          </w:tcPr>
          <w:p w:rsidR="00C223F5" w:rsidRDefault="00C223F5" w:rsidP="00F66BD1">
            <w:pPr>
              <w:jc w:val="center"/>
              <w:rPr>
                <w:rFonts w:eastAsia="Times New Roman"/>
                <w:color w:val="000000"/>
                <w:szCs w:val="21"/>
              </w:rPr>
            </w:pPr>
          </w:p>
        </w:tc>
        <w:tc>
          <w:tcPr>
            <w:tcW w:w="733" w:type="dxa"/>
            <w:vMerge/>
            <w:vAlign w:val="center"/>
          </w:tcPr>
          <w:p w:rsidR="00C223F5" w:rsidRDefault="00C223F5" w:rsidP="00F66BD1">
            <w:pPr>
              <w:jc w:val="center"/>
              <w:rPr>
                <w:rFonts w:eastAsia="Times New Roman"/>
                <w:color w:val="000000"/>
                <w:szCs w:val="21"/>
              </w:rPr>
            </w:pPr>
          </w:p>
        </w:tc>
        <w:tc>
          <w:tcPr>
            <w:tcW w:w="900" w:type="dxa"/>
            <w:vMerge/>
            <w:vAlign w:val="center"/>
          </w:tcPr>
          <w:p w:rsidR="00C223F5" w:rsidRDefault="00C223F5" w:rsidP="00F66BD1">
            <w:pPr>
              <w:jc w:val="center"/>
              <w:rPr>
                <w:color w:val="000000"/>
                <w:szCs w:val="21"/>
              </w:rPr>
            </w:pPr>
          </w:p>
        </w:tc>
        <w:tc>
          <w:tcPr>
            <w:tcW w:w="845" w:type="dxa"/>
            <w:vMerge/>
            <w:vAlign w:val="center"/>
          </w:tcPr>
          <w:p w:rsidR="00C223F5" w:rsidRDefault="00C223F5" w:rsidP="00F66BD1">
            <w:pPr>
              <w:jc w:val="center"/>
              <w:rPr>
                <w:color w:val="000000"/>
                <w:szCs w:val="21"/>
              </w:rPr>
            </w:pPr>
          </w:p>
        </w:tc>
        <w:tc>
          <w:tcPr>
            <w:tcW w:w="1402" w:type="dxa"/>
            <w:vMerge/>
            <w:vAlign w:val="center"/>
          </w:tcPr>
          <w:p w:rsidR="00C223F5" w:rsidRDefault="00C223F5" w:rsidP="00F66BD1">
            <w:pPr>
              <w:jc w:val="center"/>
              <w:rPr>
                <w:rFonts w:eastAsia="Times New Roman"/>
                <w:color w:val="000000"/>
                <w:szCs w:val="21"/>
              </w:rPr>
            </w:pPr>
          </w:p>
        </w:tc>
        <w:tc>
          <w:tcPr>
            <w:tcW w:w="992" w:type="dxa"/>
            <w:vMerge/>
            <w:vAlign w:val="center"/>
          </w:tcPr>
          <w:p w:rsidR="00C223F5" w:rsidRDefault="00C223F5" w:rsidP="00F66BD1">
            <w:pPr>
              <w:jc w:val="center"/>
              <w:rPr>
                <w:color w:val="000000"/>
                <w:szCs w:val="21"/>
              </w:rPr>
            </w:pPr>
          </w:p>
        </w:tc>
        <w:tc>
          <w:tcPr>
            <w:tcW w:w="850" w:type="dxa"/>
            <w:vAlign w:val="center"/>
          </w:tcPr>
          <w:p w:rsidR="00C223F5" w:rsidRDefault="005860D5" w:rsidP="00F66BD1">
            <w:pPr>
              <w:jc w:val="center"/>
              <w:rPr>
                <w:color w:val="000000"/>
                <w:szCs w:val="21"/>
              </w:rPr>
            </w:pPr>
            <w:r>
              <w:rPr>
                <w:rFonts w:hint="eastAsia"/>
                <w:color w:val="000000"/>
                <w:szCs w:val="21"/>
              </w:rPr>
              <w:t>t</w:t>
            </w:r>
            <w:r>
              <w:rPr>
                <w:color w:val="000000"/>
                <w:szCs w:val="21"/>
              </w:rPr>
              <w:t>/a</w:t>
            </w:r>
          </w:p>
        </w:tc>
        <w:tc>
          <w:tcPr>
            <w:tcW w:w="773" w:type="dxa"/>
            <w:vAlign w:val="center"/>
          </w:tcPr>
          <w:p w:rsidR="00C223F5" w:rsidRDefault="005860D5" w:rsidP="00F66BD1">
            <w:pPr>
              <w:jc w:val="center"/>
              <w:rPr>
                <w:color w:val="000000"/>
                <w:szCs w:val="21"/>
              </w:rPr>
            </w:pPr>
            <w:r>
              <w:rPr>
                <w:color w:val="000000"/>
                <w:szCs w:val="21"/>
              </w:rPr>
              <w:t>g/s</w:t>
            </w:r>
          </w:p>
        </w:tc>
      </w:tr>
      <w:tr w:rsidR="00C223F5">
        <w:trPr>
          <w:trHeight w:val="375"/>
          <w:jc w:val="center"/>
        </w:trPr>
        <w:tc>
          <w:tcPr>
            <w:tcW w:w="1508" w:type="dxa"/>
            <w:vAlign w:val="center"/>
          </w:tcPr>
          <w:p w:rsidR="00C223F5" w:rsidRDefault="005860D5" w:rsidP="00F66BD1">
            <w:pPr>
              <w:jc w:val="center"/>
              <w:rPr>
                <w:rFonts w:eastAsia="Times New Roman"/>
                <w:color w:val="000000"/>
                <w:szCs w:val="21"/>
              </w:rPr>
            </w:pPr>
            <w:r>
              <w:rPr>
                <w:rFonts w:hint="eastAsia"/>
                <w:color w:val="000000"/>
                <w:szCs w:val="21"/>
              </w:rPr>
              <w:t>主厂房筛分</w:t>
            </w:r>
            <w:r>
              <w:rPr>
                <w:color w:val="000000"/>
                <w:szCs w:val="21"/>
              </w:rPr>
              <w:t>车间</w:t>
            </w:r>
          </w:p>
        </w:tc>
        <w:tc>
          <w:tcPr>
            <w:tcW w:w="632" w:type="dxa"/>
            <w:vAlign w:val="center"/>
          </w:tcPr>
          <w:p w:rsidR="00C223F5" w:rsidRDefault="005860D5" w:rsidP="00F66BD1">
            <w:pPr>
              <w:jc w:val="center"/>
              <w:rPr>
                <w:rFonts w:eastAsia="Times New Roman"/>
                <w:color w:val="000000"/>
                <w:szCs w:val="21"/>
              </w:rPr>
            </w:pPr>
            <w:r>
              <w:rPr>
                <w:color w:val="000000"/>
                <w:szCs w:val="21"/>
              </w:rPr>
              <w:t>煤尘</w:t>
            </w:r>
          </w:p>
        </w:tc>
        <w:tc>
          <w:tcPr>
            <w:tcW w:w="733" w:type="dxa"/>
            <w:vAlign w:val="center"/>
          </w:tcPr>
          <w:p w:rsidR="00C223F5" w:rsidRDefault="00792DE6" w:rsidP="00F66BD1">
            <w:pPr>
              <w:jc w:val="center"/>
              <w:rPr>
                <w:rFonts w:eastAsia="Times New Roman"/>
                <w:color w:val="000000"/>
                <w:szCs w:val="21"/>
              </w:rPr>
            </w:pPr>
            <w:r>
              <w:rPr>
                <w:rFonts w:hint="eastAsia"/>
                <w:color w:val="000000"/>
                <w:szCs w:val="21"/>
              </w:rPr>
              <w:t>/</w:t>
            </w:r>
          </w:p>
        </w:tc>
        <w:tc>
          <w:tcPr>
            <w:tcW w:w="900" w:type="dxa"/>
            <w:vAlign w:val="center"/>
          </w:tcPr>
          <w:p w:rsidR="00C223F5" w:rsidRDefault="005860D5" w:rsidP="00F66BD1">
            <w:pPr>
              <w:jc w:val="center"/>
              <w:rPr>
                <w:color w:val="000000"/>
                <w:szCs w:val="21"/>
              </w:rPr>
            </w:pPr>
            <w:r>
              <w:rPr>
                <w:rFonts w:hint="eastAsia"/>
                <w:color w:val="000000"/>
                <w:szCs w:val="21"/>
              </w:rPr>
              <w:t>125</w:t>
            </w:r>
          </w:p>
        </w:tc>
        <w:tc>
          <w:tcPr>
            <w:tcW w:w="845" w:type="dxa"/>
            <w:vAlign w:val="center"/>
          </w:tcPr>
          <w:p w:rsidR="00C223F5" w:rsidRDefault="005860D5" w:rsidP="00F66BD1">
            <w:pPr>
              <w:jc w:val="center"/>
              <w:rPr>
                <w:color w:val="000000"/>
                <w:szCs w:val="21"/>
              </w:rPr>
            </w:pPr>
            <w:r>
              <w:rPr>
                <w:rFonts w:hint="eastAsia"/>
                <w:color w:val="000000"/>
                <w:szCs w:val="21"/>
              </w:rPr>
              <w:t>0.792</w:t>
            </w:r>
          </w:p>
        </w:tc>
        <w:tc>
          <w:tcPr>
            <w:tcW w:w="1402" w:type="dxa"/>
            <w:vAlign w:val="center"/>
          </w:tcPr>
          <w:p w:rsidR="00C223F5" w:rsidRDefault="005860D5" w:rsidP="00F66BD1">
            <w:pPr>
              <w:jc w:val="center"/>
              <w:rPr>
                <w:color w:val="000000"/>
                <w:szCs w:val="21"/>
              </w:rPr>
            </w:pPr>
            <w:r>
              <w:rPr>
                <w:rFonts w:hint="eastAsia"/>
                <w:color w:val="000000"/>
                <w:szCs w:val="21"/>
              </w:rPr>
              <w:t>微米级干雾</w:t>
            </w:r>
          </w:p>
          <w:p w:rsidR="00C223F5" w:rsidRDefault="005860D5" w:rsidP="00F66BD1">
            <w:pPr>
              <w:jc w:val="center"/>
              <w:rPr>
                <w:rFonts w:eastAsia="Times New Roman"/>
                <w:color w:val="000000"/>
                <w:szCs w:val="21"/>
              </w:rPr>
            </w:pPr>
            <w:r>
              <w:rPr>
                <w:rFonts w:hint="eastAsia"/>
                <w:color w:val="000000"/>
                <w:szCs w:val="21"/>
              </w:rPr>
              <w:t>抑尘装置</w:t>
            </w:r>
          </w:p>
        </w:tc>
        <w:tc>
          <w:tcPr>
            <w:tcW w:w="992" w:type="dxa"/>
            <w:vAlign w:val="center"/>
          </w:tcPr>
          <w:p w:rsidR="00C223F5" w:rsidRDefault="005860D5" w:rsidP="00F66BD1">
            <w:pPr>
              <w:jc w:val="center"/>
              <w:rPr>
                <w:color w:val="000000"/>
                <w:szCs w:val="21"/>
              </w:rPr>
            </w:pPr>
            <w:r>
              <w:rPr>
                <w:rFonts w:hint="eastAsia"/>
                <w:color w:val="000000"/>
                <w:szCs w:val="21"/>
              </w:rPr>
              <w:t>10</w:t>
            </w:r>
          </w:p>
        </w:tc>
        <w:tc>
          <w:tcPr>
            <w:tcW w:w="850" w:type="dxa"/>
            <w:vAlign w:val="center"/>
          </w:tcPr>
          <w:p w:rsidR="00C223F5" w:rsidRDefault="005860D5" w:rsidP="00F66BD1">
            <w:pPr>
              <w:jc w:val="center"/>
              <w:rPr>
                <w:color w:val="000000"/>
                <w:szCs w:val="21"/>
              </w:rPr>
            </w:pPr>
            <w:r>
              <w:rPr>
                <w:rFonts w:hint="eastAsia"/>
                <w:color w:val="000000"/>
                <w:szCs w:val="21"/>
              </w:rPr>
              <w:t>0.063</w:t>
            </w:r>
          </w:p>
        </w:tc>
        <w:tc>
          <w:tcPr>
            <w:tcW w:w="773" w:type="dxa"/>
            <w:vAlign w:val="center"/>
          </w:tcPr>
          <w:p w:rsidR="00C223F5" w:rsidRDefault="005860D5" w:rsidP="00F66BD1">
            <w:pPr>
              <w:jc w:val="center"/>
              <w:rPr>
                <w:color w:val="000000"/>
                <w:szCs w:val="21"/>
              </w:rPr>
            </w:pPr>
            <w:r>
              <w:rPr>
                <w:rFonts w:hint="eastAsia"/>
                <w:color w:val="000000"/>
                <w:szCs w:val="21"/>
              </w:rPr>
              <w:t>0.0033</w:t>
            </w:r>
          </w:p>
        </w:tc>
      </w:tr>
    </w:tbl>
    <w:p w:rsidR="00C223F5" w:rsidRDefault="005860D5" w:rsidP="00F66BD1">
      <w:pPr>
        <w:tabs>
          <w:tab w:val="left" w:pos="4820"/>
        </w:tabs>
        <w:spacing w:line="360" w:lineRule="auto"/>
        <w:ind w:firstLineChars="200" w:firstLine="480"/>
        <w:rPr>
          <w:rFonts w:hAnsi="宋体"/>
          <w:color w:val="FF0000"/>
          <w:sz w:val="24"/>
        </w:rPr>
      </w:pPr>
      <w:r>
        <w:rPr>
          <w:rFonts w:hint="eastAsia"/>
          <w:sz w:val="24"/>
        </w:rPr>
        <w:lastRenderedPageBreak/>
        <w:t>根据计算结果可知，在采取相关措施后，</w:t>
      </w:r>
      <w:r>
        <w:rPr>
          <w:sz w:val="24"/>
        </w:rPr>
        <w:t>预计煤尘排放量</w:t>
      </w:r>
      <w:r>
        <w:rPr>
          <w:rFonts w:hint="eastAsia"/>
          <w:sz w:val="24"/>
        </w:rPr>
        <w:t xml:space="preserve">0.063 </w:t>
      </w:r>
      <w:r>
        <w:rPr>
          <w:sz w:val="24"/>
        </w:rPr>
        <w:t>t/a</w:t>
      </w:r>
      <w:r>
        <w:rPr>
          <w:sz w:val="24"/>
        </w:rPr>
        <w:t>。</w:t>
      </w:r>
    </w:p>
    <w:p w:rsidR="00C223F5" w:rsidRDefault="005860D5" w:rsidP="00F66BD1">
      <w:pPr>
        <w:spacing w:line="360" w:lineRule="auto"/>
        <w:ind w:firstLineChars="200" w:firstLine="480"/>
        <w:rPr>
          <w:sz w:val="24"/>
        </w:rPr>
      </w:pPr>
      <w:r>
        <w:rPr>
          <w:color w:val="000000"/>
          <w:sz w:val="24"/>
        </w:rPr>
        <w:t>此外，运煤车辆加盖</w:t>
      </w:r>
      <w:r>
        <w:rPr>
          <w:sz w:val="24"/>
        </w:rPr>
        <w:t>篷布，硬化场地和道路，对运输车辆应加强管理，道路、场地每日洒水降尘。采取上述一系列措施后场地扬尘将得到有效控制。</w:t>
      </w:r>
    </w:p>
    <w:p w:rsidR="00C223F5" w:rsidRDefault="005860D5" w:rsidP="00C006A7">
      <w:pPr>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固体废物污染源、污染物及拟</w:t>
      </w:r>
      <w:r>
        <w:rPr>
          <w:rFonts w:hint="eastAsia"/>
          <w:sz w:val="24"/>
        </w:rPr>
        <w:t>采取的</w:t>
      </w:r>
      <w:r>
        <w:rPr>
          <w:sz w:val="24"/>
        </w:rPr>
        <w:t>防治措施</w:t>
      </w:r>
    </w:p>
    <w:p w:rsidR="00C223F5" w:rsidRPr="00925B84" w:rsidRDefault="005860D5" w:rsidP="00F66BD1">
      <w:pPr>
        <w:spacing w:line="360" w:lineRule="auto"/>
        <w:ind w:firstLineChars="200" w:firstLine="480"/>
        <w:rPr>
          <w:sz w:val="24"/>
        </w:rPr>
      </w:pPr>
      <w:r>
        <w:rPr>
          <w:sz w:val="24"/>
        </w:rPr>
        <w:t>固体废弃物由煤矸石、</w:t>
      </w:r>
      <w:r>
        <w:rPr>
          <w:rFonts w:hint="eastAsia"/>
          <w:sz w:val="24"/>
        </w:rPr>
        <w:t>污泥</w:t>
      </w:r>
      <w:r>
        <w:rPr>
          <w:sz w:val="24"/>
        </w:rPr>
        <w:t>及生活垃圾</w:t>
      </w:r>
      <w:r>
        <w:rPr>
          <w:rFonts w:hint="eastAsia"/>
          <w:sz w:val="24"/>
        </w:rPr>
        <w:t>等组成</w:t>
      </w:r>
      <w:r>
        <w:rPr>
          <w:sz w:val="24"/>
        </w:rPr>
        <w:t>。煤矸石来自井下煤巷开拓</w:t>
      </w:r>
      <w:r>
        <w:rPr>
          <w:rFonts w:hint="eastAsia"/>
          <w:sz w:val="24"/>
        </w:rPr>
        <w:t>以及地面选矸</w:t>
      </w:r>
      <w:r>
        <w:rPr>
          <w:sz w:val="24"/>
        </w:rPr>
        <w:t>，</w:t>
      </w:r>
      <w:r>
        <w:rPr>
          <w:rFonts w:hint="eastAsia"/>
          <w:sz w:val="24"/>
        </w:rPr>
        <w:t>污泥和煤</w:t>
      </w:r>
      <w:r w:rsidRPr="00925B84">
        <w:rPr>
          <w:rFonts w:hint="eastAsia"/>
          <w:sz w:val="24"/>
        </w:rPr>
        <w:t>泥分别来自矿井地面及井下污水处理站，</w:t>
      </w:r>
      <w:r w:rsidRPr="00925B84">
        <w:rPr>
          <w:sz w:val="24"/>
        </w:rPr>
        <w:t>生活垃圾来自办公楼及职工的日常生活。固体废弃物组成、排放量及去向见表</w:t>
      </w:r>
      <w:r w:rsidRPr="00925B84">
        <w:rPr>
          <w:rFonts w:hint="eastAsia"/>
          <w:sz w:val="24"/>
        </w:rPr>
        <w:t>2.</w:t>
      </w:r>
      <w:r w:rsidRPr="00925B84">
        <w:rPr>
          <w:sz w:val="24"/>
        </w:rPr>
        <w:t>3</w:t>
      </w:r>
      <w:r w:rsidRPr="00925B84">
        <w:rPr>
          <w:rFonts w:hint="eastAsia"/>
          <w:sz w:val="24"/>
        </w:rPr>
        <w:t>.2-4</w:t>
      </w:r>
      <w:r w:rsidRPr="00925B84">
        <w:rPr>
          <w:sz w:val="24"/>
        </w:rPr>
        <w:t>。</w:t>
      </w:r>
    </w:p>
    <w:p w:rsidR="00C223F5" w:rsidRPr="00925B84" w:rsidRDefault="005860D5" w:rsidP="00F66BD1">
      <w:pPr>
        <w:jc w:val="center"/>
        <w:rPr>
          <w:b/>
          <w:sz w:val="24"/>
        </w:rPr>
      </w:pPr>
      <w:r w:rsidRPr="00925B84">
        <w:rPr>
          <w:rFonts w:hint="eastAsia"/>
          <w:b/>
          <w:sz w:val="24"/>
        </w:rPr>
        <w:t>表</w:t>
      </w:r>
      <w:r w:rsidRPr="00925B84">
        <w:rPr>
          <w:rFonts w:hint="eastAsia"/>
          <w:b/>
          <w:sz w:val="24"/>
        </w:rPr>
        <w:t xml:space="preserve">2.3.2-4   </w:t>
      </w:r>
      <w:r w:rsidRPr="00925B84">
        <w:rPr>
          <w:b/>
          <w:sz w:val="24"/>
        </w:rPr>
        <w:t>固体废弃物排放特征表</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5"/>
        <w:gridCol w:w="580"/>
        <w:gridCol w:w="998"/>
        <w:gridCol w:w="790"/>
        <w:gridCol w:w="993"/>
        <w:gridCol w:w="1102"/>
        <w:gridCol w:w="872"/>
        <w:gridCol w:w="2760"/>
        <w:gridCol w:w="651"/>
      </w:tblGrid>
      <w:tr w:rsidR="00C223F5" w:rsidRPr="00925B84" w:rsidTr="005F7BDD">
        <w:trPr>
          <w:trHeight w:val="381"/>
          <w:jc w:val="center"/>
        </w:trPr>
        <w:tc>
          <w:tcPr>
            <w:tcW w:w="1075" w:type="dxa"/>
            <w:gridSpan w:val="2"/>
            <w:vAlign w:val="center"/>
          </w:tcPr>
          <w:p w:rsidR="00C223F5" w:rsidRPr="00925B84" w:rsidRDefault="005860D5" w:rsidP="00F66BD1">
            <w:pPr>
              <w:jc w:val="center"/>
              <w:rPr>
                <w:sz w:val="18"/>
                <w:szCs w:val="18"/>
              </w:rPr>
            </w:pPr>
            <w:r w:rsidRPr="00925B84">
              <w:rPr>
                <w:sz w:val="18"/>
                <w:szCs w:val="18"/>
              </w:rPr>
              <w:t>来源</w:t>
            </w:r>
          </w:p>
        </w:tc>
        <w:tc>
          <w:tcPr>
            <w:tcW w:w="998" w:type="dxa"/>
            <w:vAlign w:val="center"/>
          </w:tcPr>
          <w:p w:rsidR="00C223F5" w:rsidRPr="00925B84" w:rsidRDefault="005860D5" w:rsidP="00F66BD1">
            <w:pPr>
              <w:jc w:val="center"/>
              <w:rPr>
                <w:sz w:val="18"/>
                <w:szCs w:val="18"/>
              </w:rPr>
            </w:pPr>
            <w:r w:rsidRPr="00925B84">
              <w:rPr>
                <w:sz w:val="18"/>
                <w:szCs w:val="18"/>
              </w:rPr>
              <w:t>种类</w:t>
            </w:r>
          </w:p>
        </w:tc>
        <w:tc>
          <w:tcPr>
            <w:tcW w:w="790" w:type="dxa"/>
            <w:vAlign w:val="center"/>
          </w:tcPr>
          <w:p w:rsidR="00C223F5" w:rsidRPr="00925B84" w:rsidRDefault="005860D5" w:rsidP="00F66BD1">
            <w:pPr>
              <w:jc w:val="center"/>
              <w:rPr>
                <w:sz w:val="18"/>
                <w:szCs w:val="18"/>
              </w:rPr>
            </w:pPr>
            <w:r w:rsidRPr="00925B84">
              <w:rPr>
                <w:sz w:val="18"/>
                <w:szCs w:val="18"/>
              </w:rPr>
              <w:t>组成</w:t>
            </w:r>
          </w:p>
        </w:tc>
        <w:tc>
          <w:tcPr>
            <w:tcW w:w="993" w:type="dxa"/>
            <w:vAlign w:val="center"/>
          </w:tcPr>
          <w:p w:rsidR="00C223F5" w:rsidRPr="00925B84" w:rsidRDefault="005860D5" w:rsidP="00F66BD1">
            <w:pPr>
              <w:jc w:val="center"/>
              <w:rPr>
                <w:sz w:val="18"/>
                <w:szCs w:val="18"/>
              </w:rPr>
            </w:pPr>
            <w:r w:rsidRPr="00925B84">
              <w:rPr>
                <w:rFonts w:hint="eastAsia"/>
                <w:sz w:val="18"/>
                <w:szCs w:val="18"/>
              </w:rPr>
              <w:t>危废类别</w:t>
            </w:r>
          </w:p>
          <w:p w:rsidR="00C223F5" w:rsidRPr="00925B84" w:rsidRDefault="005860D5" w:rsidP="00F66BD1">
            <w:pPr>
              <w:jc w:val="center"/>
              <w:rPr>
                <w:sz w:val="18"/>
                <w:szCs w:val="18"/>
              </w:rPr>
            </w:pPr>
            <w:r w:rsidRPr="00925B84">
              <w:rPr>
                <w:rFonts w:hint="eastAsia"/>
                <w:sz w:val="18"/>
                <w:szCs w:val="18"/>
              </w:rPr>
              <w:t>及代码</w:t>
            </w:r>
          </w:p>
        </w:tc>
        <w:tc>
          <w:tcPr>
            <w:tcW w:w="1102" w:type="dxa"/>
            <w:vAlign w:val="center"/>
          </w:tcPr>
          <w:p w:rsidR="00C223F5" w:rsidRPr="00925B84" w:rsidRDefault="005860D5" w:rsidP="00F66BD1">
            <w:pPr>
              <w:jc w:val="center"/>
              <w:rPr>
                <w:sz w:val="18"/>
                <w:szCs w:val="18"/>
              </w:rPr>
            </w:pPr>
            <w:r w:rsidRPr="00925B84">
              <w:rPr>
                <w:rFonts w:hint="eastAsia"/>
                <w:sz w:val="18"/>
                <w:szCs w:val="18"/>
              </w:rPr>
              <w:t>特性及形态</w:t>
            </w:r>
          </w:p>
        </w:tc>
        <w:tc>
          <w:tcPr>
            <w:tcW w:w="872" w:type="dxa"/>
            <w:vAlign w:val="center"/>
          </w:tcPr>
          <w:p w:rsidR="00C223F5" w:rsidRPr="00925B84" w:rsidRDefault="005860D5" w:rsidP="00F66BD1">
            <w:pPr>
              <w:jc w:val="center"/>
              <w:rPr>
                <w:sz w:val="18"/>
                <w:szCs w:val="18"/>
              </w:rPr>
            </w:pPr>
            <w:r w:rsidRPr="00925B84">
              <w:rPr>
                <w:sz w:val="18"/>
                <w:szCs w:val="18"/>
              </w:rPr>
              <w:t>产生量</w:t>
            </w:r>
          </w:p>
          <w:p w:rsidR="00C223F5" w:rsidRPr="00925B84" w:rsidRDefault="005860D5" w:rsidP="00F66BD1">
            <w:pPr>
              <w:jc w:val="center"/>
              <w:rPr>
                <w:sz w:val="18"/>
                <w:szCs w:val="18"/>
              </w:rPr>
            </w:pPr>
            <w:r w:rsidRPr="00925B84">
              <w:rPr>
                <w:sz w:val="18"/>
                <w:szCs w:val="18"/>
              </w:rPr>
              <w:t>（</w:t>
            </w:r>
            <w:r w:rsidRPr="00925B84">
              <w:rPr>
                <w:sz w:val="18"/>
                <w:szCs w:val="18"/>
              </w:rPr>
              <w:t>t/a</w:t>
            </w:r>
            <w:r w:rsidRPr="00925B84">
              <w:rPr>
                <w:sz w:val="18"/>
                <w:szCs w:val="18"/>
              </w:rPr>
              <w:t>）</w:t>
            </w:r>
          </w:p>
        </w:tc>
        <w:tc>
          <w:tcPr>
            <w:tcW w:w="2760" w:type="dxa"/>
            <w:vAlign w:val="center"/>
          </w:tcPr>
          <w:p w:rsidR="00C223F5" w:rsidRPr="00925B84" w:rsidRDefault="005860D5" w:rsidP="00F66BD1">
            <w:pPr>
              <w:jc w:val="center"/>
              <w:rPr>
                <w:sz w:val="18"/>
                <w:szCs w:val="18"/>
              </w:rPr>
            </w:pPr>
            <w:r w:rsidRPr="00925B84">
              <w:rPr>
                <w:sz w:val="18"/>
                <w:szCs w:val="18"/>
              </w:rPr>
              <w:t>排放方式及去向</w:t>
            </w:r>
          </w:p>
        </w:tc>
        <w:tc>
          <w:tcPr>
            <w:tcW w:w="651" w:type="dxa"/>
            <w:vAlign w:val="center"/>
          </w:tcPr>
          <w:p w:rsidR="00C223F5" w:rsidRPr="00925B84" w:rsidRDefault="005860D5" w:rsidP="00F66BD1">
            <w:pPr>
              <w:jc w:val="center"/>
              <w:rPr>
                <w:sz w:val="18"/>
                <w:szCs w:val="18"/>
              </w:rPr>
            </w:pPr>
            <w:r w:rsidRPr="00925B84">
              <w:rPr>
                <w:sz w:val="18"/>
                <w:szCs w:val="18"/>
              </w:rPr>
              <w:t>备注</w:t>
            </w:r>
          </w:p>
        </w:tc>
      </w:tr>
      <w:tr w:rsidR="00C223F5" w:rsidRPr="00925B84" w:rsidTr="005F7BDD">
        <w:trPr>
          <w:trHeight w:hRule="exact" w:val="577"/>
          <w:jc w:val="center"/>
        </w:trPr>
        <w:tc>
          <w:tcPr>
            <w:tcW w:w="495" w:type="dxa"/>
            <w:vMerge w:val="restart"/>
            <w:vAlign w:val="center"/>
          </w:tcPr>
          <w:p w:rsidR="00C223F5" w:rsidRPr="00925B84" w:rsidRDefault="005860D5" w:rsidP="00F66BD1">
            <w:pPr>
              <w:jc w:val="center"/>
              <w:rPr>
                <w:sz w:val="18"/>
                <w:szCs w:val="18"/>
              </w:rPr>
            </w:pPr>
            <w:r w:rsidRPr="00925B84">
              <w:rPr>
                <w:rFonts w:hint="eastAsia"/>
                <w:sz w:val="18"/>
                <w:szCs w:val="18"/>
              </w:rPr>
              <w:t>井工开采</w:t>
            </w:r>
          </w:p>
        </w:tc>
        <w:tc>
          <w:tcPr>
            <w:tcW w:w="580" w:type="dxa"/>
            <w:vAlign w:val="center"/>
          </w:tcPr>
          <w:p w:rsidR="00C223F5" w:rsidRPr="00925B84" w:rsidRDefault="005860D5" w:rsidP="00F66BD1">
            <w:pPr>
              <w:jc w:val="center"/>
              <w:rPr>
                <w:sz w:val="18"/>
                <w:szCs w:val="18"/>
              </w:rPr>
            </w:pPr>
            <w:r w:rsidRPr="00925B84">
              <w:rPr>
                <w:sz w:val="18"/>
                <w:szCs w:val="18"/>
              </w:rPr>
              <w:t>井巷</w:t>
            </w:r>
          </w:p>
          <w:p w:rsidR="00C223F5" w:rsidRPr="00925B84" w:rsidRDefault="005860D5" w:rsidP="00F66BD1">
            <w:pPr>
              <w:jc w:val="center"/>
              <w:rPr>
                <w:sz w:val="18"/>
                <w:szCs w:val="18"/>
              </w:rPr>
            </w:pPr>
            <w:r w:rsidRPr="00925B84">
              <w:rPr>
                <w:sz w:val="18"/>
                <w:szCs w:val="18"/>
              </w:rPr>
              <w:t>开拓</w:t>
            </w:r>
          </w:p>
        </w:tc>
        <w:tc>
          <w:tcPr>
            <w:tcW w:w="998" w:type="dxa"/>
            <w:vAlign w:val="center"/>
          </w:tcPr>
          <w:p w:rsidR="00C223F5" w:rsidRPr="00925B84" w:rsidRDefault="005860D5" w:rsidP="00F66BD1">
            <w:pPr>
              <w:jc w:val="center"/>
              <w:rPr>
                <w:sz w:val="18"/>
                <w:szCs w:val="18"/>
              </w:rPr>
            </w:pPr>
            <w:r w:rsidRPr="00925B84">
              <w:rPr>
                <w:sz w:val="18"/>
                <w:szCs w:val="18"/>
              </w:rPr>
              <w:t>掘进矸石</w:t>
            </w:r>
          </w:p>
        </w:tc>
        <w:tc>
          <w:tcPr>
            <w:tcW w:w="790" w:type="dxa"/>
            <w:vAlign w:val="center"/>
          </w:tcPr>
          <w:p w:rsidR="00C223F5" w:rsidRPr="00925B84" w:rsidRDefault="005860D5" w:rsidP="00F66BD1">
            <w:pPr>
              <w:jc w:val="center"/>
              <w:rPr>
                <w:sz w:val="18"/>
                <w:szCs w:val="18"/>
              </w:rPr>
            </w:pPr>
            <w:r w:rsidRPr="00925B84">
              <w:rPr>
                <w:sz w:val="18"/>
                <w:szCs w:val="18"/>
              </w:rPr>
              <w:t>细砂岩</w:t>
            </w:r>
          </w:p>
          <w:p w:rsidR="00C223F5" w:rsidRPr="00925B84" w:rsidRDefault="005860D5" w:rsidP="00F66BD1">
            <w:pPr>
              <w:jc w:val="center"/>
              <w:rPr>
                <w:sz w:val="18"/>
                <w:szCs w:val="18"/>
              </w:rPr>
            </w:pPr>
            <w:r w:rsidRPr="00925B84">
              <w:rPr>
                <w:sz w:val="18"/>
                <w:szCs w:val="18"/>
              </w:rPr>
              <w:t>泥岩</w:t>
            </w:r>
          </w:p>
        </w:tc>
        <w:tc>
          <w:tcPr>
            <w:tcW w:w="993" w:type="dxa"/>
            <w:vAlign w:val="center"/>
          </w:tcPr>
          <w:p w:rsidR="00C223F5" w:rsidRPr="00925B84" w:rsidRDefault="005860D5" w:rsidP="00F66BD1">
            <w:pPr>
              <w:jc w:val="center"/>
              <w:rPr>
                <w:sz w:val="18"/>
                <w:szCs w:val="18"/>
              </w:rPr>
            </w:pPr>
            <w:r w:rsidRPr="00925B84">
              <w:rPr>
                <w:rFonts w:hint="eastAsia"/>
                <w:sz w:val="18"/>
                <w:szCs w:val="18"/>
              </w:rPr>
              <w:t>/</w:t>
            </w:r>
          </w:p>
        </w:tc>
        <w:tc>
          <w:tcPr>
            <w:tcW w:w="1102" w:type="dxa"/>
            <w:vAlign w:val="center"/>
          </w:tcPr>
          <w:p w:rsidR="00C223F5" w:rsidRPr="00925B84" w:rsidRDefault="005860D5" w:rsidP="00F66BD1">
            <w:pPr>
              <w:jc w:val="center"/>
              <w:rPr>
                <w:sz w:val="18"/>
                <w:szCs w:val="18"/>
              </w:rPr>
            </w:pPr>
            <w:r w:rsidRPr="00925B84">
              <w:rPr>
                <w:rFonts w:hint="eastAsia"/>
                <w:sz w:val="18"/>
                <w:szCs w:val="18"/>
              </w:rPr>
              <w:t>固态</w:t>
            </w:r>
          </w:p>
        </w:tc>
        <w:tc>
          <w:tcPr>
            <w:tcW w:w="872" w:type="dxa"/>
            <w:vAlign w:val="center"/>
          </w:tcPr>
          <w:p w:rsidR="00C223F5" w:rsidRPr="00925B84" w:rsidRDefault="005860D5" w:rsidP="00F66BD1">
            <w:pPr>
              <w:jc w:val="center"/>
              <w:rPr>
                <w:kern w:val="0"/>
                <w:sz w:val="18"/>
                <w:szCs w:val="18"/>
              </w:rPr>
            </w:pPr>
            <w:r w:rsidRPr="00925B84">
              <w:rPr>
                <w:rFonts w:hint="eastAsia"/>
                <w:sz w:val="18"/>
                <w:szCs w:val="18"/>
              </w:rPr>
              <w:t>9.9</w:t>
            </w:r>
            <w:r w:rsidRPr="00925B84">
              <w:rPr>
                <w:rFonts w:hint="eastAsia"/>
                <w:sz w:val="18"/>
                <w:szCs w:val="18"/>
              </w:rPr>
              <w:t>万</w:t>
            </w:r>
            <w:r w:rsidRPr="00925B84">
              <w:rPr>
                <w:sz w:val="18"/>
                <w:szCs w:val="18"/>
              </w:rPr>
              <w:t>m</w:t>
            </w:r>
            <w:r w:rsidRPr="00925B84">
              <w:rPr>
                <w:sz w:val="18"/>
                <w:szCs w:val="18"/>
                <w:vertAlign w:val="superscript"/>
              </w:rPr>
              <w:t>3</w:t>
            </w:r>
          </w:p>
        </w:tc>
        <w:tc>
          <w:tcPr>
            <w:tcW w:w="2760" w:type="dxa"/>
            <w:vAlign w:val="center"/>
          </w:tcPr>
          <w:p w:rsidR="00C223F5" w:rsidRPr="00925B84" w:rsidRDefault="005860D5" w:rsidP="00F66BD1">
            <w:pPr>
              <w:jc w:val="center"/>
              <w:rPr>
                <w:sz w:val="18"/>
                <w:szCs w:val="18"/>
              </w:rPr>
            </w:pPr>
            <w:r w:rsidRPr="00925B84">
              <w:rPr>
                <w:rFonts w:hint="eastAsia"/>
                <w:sz w:val="18"/>
                <w:szCs w:val="18"/>
              </w:rPr>
              <w:t>用于艾魏路改造工程和制砖等</w:t>
            </w:r>
          </w:p>
        </w:tc>
        <w:tc>
          <w:tcPr>
            <w:tcW w:w="651" w:type="dxa"/>
            <w:vAlign w:val="center"/>
          </w:tcPr>
          <w:p w:rsidR="00C223F5" w:rsidRPr="00925B84" w:rsidRDefault="005860D5" w:rsidP="00F66BD1">
            <w:pPr>
              <w:jc w:val="center"/>
              <w:rPr>
                <w:sz w:val="18"/>
                <w:szCs w:val="18"/>
              </w:rPr>
            </w:pPr>
            <w:r w:rsidRPr="00925B84">
              <w:rPr>
                <w:sz w:val="18"/>
                <w:szCs w:val="18"/>
              </w:rPr>
              <w:t>建设期</w:t>
            </w:r>
          </w:p>
        </w:tc>
      </w:tr>
      <w:tr w:rsidR="00C223F5" w:rsidRPr="00925B84" w:rsidTr="005F7BDD">
        <w:trPr>
          <w:trHeight w:val="270"/>
          <w:jc w:val="center"/>
        </w:trPr>
        <w:tc>
          <w:tcPr>
            <w:tcW w:w="495" w:type="dxa"/>
            <w:vMerge/>
            <w:vAlign w:val="center"/>
          </w:tcPr>
          <w:p w:rsidR="00C223F5" w:rsidRPr="00925B84" w:rsidRDefault="00C223F5" w:rsidP="00F66BD1">
            <w:pPr>
              <w:jc w:val="center"/>
              <w:rPr>
                <w:sz w:val="18"/>
                <w:szCs w:val="18"/>
              </w:rPr>
            </w:pPr>
          </w:p>
        </w:tc>
        <w:tc>
          <w:tcPr>
            <w:tcW w:w="580" w:type="dxa"/>
            <w:vAlign w:val="center"/>
          </w:tcPr>
          <w:p w:rsidR="00C223F5" w:rsidRPr="00925B84" w:rsidRDefault="005860D5" w:rsidP="00F66BD1">
            <w:pPr>
              <w:jc w:val="center"/>
              <w:rPr>
                <w:sz w:val="18"/>
                <w:szCs w:val="18"/>
              </w:rPr>
            </w:pPr>
            <w:r w:rsidRPr="00925B84">
              <w:rPr>
                <w:rFonts w:hint="eastAsia"/>
                <w:sz w:val="18"/>
                <w:szCs w:val="18"/>
              </w:rPr>
              <w:t>井下</w:t>
            </w:r>
          </w:p>
          <w:p w:rsidR="00C223F5" w:rsidRPr="00925B84" w:rsidRDefault="005860D5" w:rsidP="00F66BD1">
            <w:pPr>
              <w:jc w:val="center"/>
              <w:rPr>
                <w:sz w:val="18"/>
                <w:szCs w:val="18"/>
              </w:rPr>
            </w:pPr>
            <w:r w:rsidRPr="00925B84">
              <w:rPr>
                <w:rFonts w:hint="eastAsia"/>
                <w:sz w:val="18"/>
                <w:szCs w:val="18"/>
              </w:rPr>
              <w:t>采煤</w:t>
            </w:r>
          </w:p>
        </w:tc>
        <w:tc>
          <w:tcPr>
            <w:tcW w:w="998" w:type="dxa"/>
            <w:vAlign w:val="center"/>
          </w:tcPr>
          <w:p w:rsidR="00C223F5" w:rsidRPr="00925B84" w:rsidRDefault="005860D5" w:rsidP="00F66BD1">
            <w:pPr>
              <w:jc w:val="center"/>
              <w:rPr>
                <w:sz w:val="18"/>
                <w:szCs w:val="18"/>
              </w:rPr>
            </w:pPr>
            <w:r w:rsidRPr="00925B84">
              <w:rPr>
                <w:rFonts w:hint="eastAsia"/>
                <w:sz w:val="18"/>
                <w:szCs w:val="18"/>
              </w:rPr>
              <w:t>掘进矸石</w:t>
            </w:r>
          </w:p>
        </w:tc>
        <w:tc>
          <w:tcPr>
            <w:tcW w:w="790" w:type="dxa"/>
            <w:vAlign w:val="center"/>
          </w:tcPr>
          <w:p w:rsidR="00C223F5" w:rsidRPr="00925B84" w:rsidRDefault="005860D5" w:rsidP="00F66BD1">
            <w:pPr>
              <w:jc w:val="center"/>
              <w:rPr>
                <w:sz w:val="18"/>
                <w:szCs w:val="18"/>
              </w:rPr>
            </w:pPr>
            <w:r w:rsidRPr="00925B84">
              <w:rPr>
                <w:sz w:val="18"/>
                <w:szCs w:val="18"/>
              </w:rPr>
              <w:t>炭质泥</w:t>
            </w:r>
          </w:p>
        </w:tc>
        <w:tc>
          <w:tcPr>
            <w:tcW w:w="993" w:type="dxa"/>
            <w:vAlign w:val="center"/>
          </w:tcPr>
          <w:p w:rsidR="00C223F5" w:rsidRPr="00925B84" w:rsidRDefault="005860D5" w:rsidP="00F66BD1">
            <w:pPr>
              <w:jc w:val="center"/>
              <w:rPr>
                <w:rFonts w:eastAsia="新宋体"/>
                <w:sz w:val="18"/>
                <w:szCs w:val="18"/>
              </w:rPr>
            </w:pPr>
            <w:r w:rsidRPr="00925B84">
              <w:rPr>
                <w:rFonts w:eastAsia="新宋体" w:hint="eastAsia"/>
                <w:sz w:val="18"/>
                <w:szCs w:val="18"/>
              </w:rPr>
              <w:t>/</w:t>
            </w:r>
          </w:p>
        </w:tc>
        <w:tc>
          <w:tcPr>
            <w:tcW w:w="1102" w:type="dxa"/>
            <w:vAlign w:val="center"/>
          </w:tcPr>
          <w:p w:rsidR="00C223F5" w:rsidRPr="00925B84" w:rsidRDefault="005860D5" w:rsidP="00F66BD1">
            <w:pPr>
              <w:jc w:val="center"/>
              <w:rPr>
                <w:rFonts w:eastAsia="新宋体"/>
                <w:sz w:val="18"/>
                <w:szCs w:val="18"/>
              </w:rPr>
            </w:pPr>
            <w:r w:rsidRPr="00925B84">
              <w:rPr>
                <w:rFonts w:hint="eastAsia"/>
                <w:sz w:val="18"/>
                <w:szCs w:val="18"/>
              </w:rPr>
              <w:t>固态</w:t>
            </w:r>
          </w:p>
        </w:tc>
        <w:tc>
          <w:tcPr>
            <w:tcW w:w="872" w:type="dxa"/>
            <w:vAlign w:val="center"/>
          </w:tcPr>
          <w:p w:rsidR="00C223F5" w:rsidRPr="00925B84" w:rsidRDefault="005860D5" w:rsidP="00F66BD1">
            <w:pPr>
              <w:jc w:val="center"/>
              <w:rPr>
                <w:kern w:val="0"/>
                <w:sz w:val="18"/>
                <w:szCs w:val="18"/>
              </w:rPr>
            </w:pPr>
            <w:r w:rsidRPr="00925B84">
              <w:rPr>
                <w:rFonts w:eastAsia="新宋体" w:hint="eastAsia"/>
                <w:sz w:val="18"/>
                <w:szCs w:val="18"/>
              </w:rPr>
              <w:t>少量</w:t>
            </w:r>
          </w:p>
        </w:tc>
        <w:tc>
          <w:tcPr>
            <w:tcW w:w="2760" w:type="dxa"/>
            <w:vAlign w:val="center"/>
          </w:tcPr>
          <w:p w:rsidR="00C223F5" w:rsidRPr="00925B84" w:rsidRDefault="005860D5" w:rsidP="00F66BD1">
            <w:pPr>
              <w:jc w:val="center"/>
              <w:rPr>
                <w:sz w:val="18"/>
                <w:szCs w:val="18"/>
              </w:rPr>
            </w:pPr>
            <w:r w:rsidRPr="00925B84">
              <w:rPr>
                <w:rFonts w:ascii="宋体" w:hAnsi="宋体" w:hint="eastAsia"/>
                <w:sz w:val="18"/>
                <w:szCs w:val="18"/>
              </w:rPr>
              <w:t>正常生产期间产生的矸石量很小，</w:t>
            </w:r>
            <w:r w:rsidR="005F7BDD" w:rsidRPr="00925B84">
              <w:rPr>
                <w:rFonts w:ascii="宋体" w:hAnsi="宋体" w:hint="eastAsia"/>
                <w:sz w:val="18"/>
                <w:szCs w:val="18"/>
              </w:rPr>
              <w:t>不出井</w:t>
            </w:r>
          </w:p>
        </w:tc>
        <w:tc>
          <w:tcPr>
            <w:tcW w:w="651" w:type="dxa"/>
            <w:vAlign w:val="center"/>
          </w:tcPr>
          <w:p w:rsidR="00C223F5" w:rsidRPr="00925B84" w:rsidRDefault="005860D5" w:rsidP="00F66BD1">
            <w:pPr>
              <w:jc w:val="center"/>
              <w:rPr>
                <w:sz w:val="18"/>
                <w:szCs w:val="18"/>
              </w:rPr>
            </w:pPr>
            <w:r w:rsidRPr="00925B84">
              <w:rPr>
                <w:rFonts w:hint="eastAsia"/>
                <w:sz w:val="18"/>
                <w:szCs w:val="18"/>
              </w:rPr>
              <w:t>运营期</w:t>
            </w:r>
          </w:p>
        </w:tc>
      </w:tr>
      <w:tr w:rsidR="00C223F5" w:rsidRPr="00925B84" w:rsidTr="005F7BDD">
        <w:trPr>
          <w:trHeight w:val="420"/>
          <w:jc w:val="center"/>
        </w:trPr>
        <w:tc>
          <w:tcPr>
            <w:tcW w:w="495" w:type="dxa"/>
            <w:vAlign w:val="center"/>
          </w:tcPr>
          <w:p w:rsidR="00C223F5" w:rsidRPr="00925B84" w:rsidRDefault="005860D5" w:rsidP="00F66BD1">
            <w:pPr>
              <w:jc w:val="center"/>
              <w:rPr>
                <w:sz w:val="18"/>
                <w:szCs w:val="18"/>
              </w:rPr>
            </w:pPr>
            <w:r w:rsidRPr="00925B84">
              <w:rPr>
                <w:rFonts w:hint="eastAsia"/>
                <w:sz w:val="18"/>
                <w:szCs w:val="18"/>
              </w:rPr>
              <w:t>选煤厂</w:t>
            </w:r>
          </w:p>
        </w:tc>
        <w:tc>
          <w:tcPr>
            <w:tcW w:w="580" w:type="dxa"/>
            <w:vAlign w:val="center"/>
          </w:tcPr>
          <w:p w:rsidR="00C223F5" w:rsidRPr="00925B84" w:rsidRDefault="005860D5" w:rsidP="00F66BD1">
            <w:pPr>
              <w:jc w:val="center"/>
              <w:rPr>
                <w:sz w:val="18"/>
                <w:szCs w:val="18"/>
              </w:rPr>
            </w:pPr>
            <w:r w:rsidRPr="00925B84">
              <w:rPr>
                <w:rFonts w:hint="eastAsia"/>
                <w:sz w:val="18"/>
                <w:szCs w:val="18"/>
              </w:rPr>
              <w:t>洗选矸石</w:t>
            </w:r>
          </w:p>
        </w:tc>
        <w:tc>
          <w:tcPr>
            <w:tcW w:w="998" w:type="dxa"/>
            <w:vAlign w:val="center"/>
          </w:tcPr>
          <w:p w:rsidR="00C223F5" w:rsidRPr="00925B84" w:rsidRDefault="005860D5" w:rsidP="00F66BD1">
            <w:pPr>
              <w:jc w:val="center"/>
              <w:rPr>
                <w:sz w:val="18"/>
                <w:szCs w:val="18"/>
              </w:rPr>
            </w:pPr>
            <w:r w:rsidRPr="00925B84">
              <w:rPr>
                <w:rFonts w:hint="eastAsia"/>
                <w:sz w:val="18"/>
                <w:szCs w:val="18"/>
              </w:rPr>
              <w:t>筛分选矸</w:t>
            </w:r>
          </w:p>
        </w:tc>
        <w:tc>
          <w:tcPr>
            <w:tcW w:w="790" w:type="dxa"/>
            <w:vAlign w:val="center"/>
          </w:tcPr>
          <w:p w:rsidR="00C223F5" w:rsidRPr="00925B84" w:rsidRDefault="005860D5" w:rsidP="00F66BD1">
            <w:pPr>
              <w:jc w:val="center"/>
              <w:rPr>
                <w:sz w:val="18"/>
                <w:szCs w:val="18"/>
              </w:rPr>
            </w:pPr>
            <w:r w:rsidRPr="00925B84">
              <w:rPr>
                <w:sz w:val="18"/>
                <w:szCs w:val="18"/>
              </w:rPr>
              <w:t>炭质泥</w:t>
            </w:r>
          </w:p>
        </w:tc>
        <w:tc>
          <w:tcPr>
            <w:tcW w:w="993" w:type="dxa"/>
            <w:vAlign w:val="center"/>
          </w:tcPr>
          <w:p w:rsidR="00C223F5" w:rsidRPr="00925B84" w:rsidRDefault="005860D5" w:rsidP="00F66BD1">
            <w:pPr>
              <w:jc w:val="center"/>
              <w:rPr>
                <w:rFonts w:hAnsi="宋体"/>
                <w:sz w:val="18"/>
                <w:szCs w:val="18"/>
              </w:rPr>
            </w:pPr>
            <w:r w:rsidRPr="00925B84">
              <w:rPr>
                <w:rFonts w:hAnsi="宋体" w:hint="eastAsia"/>
                <w:sz w:val="18"/>
                <w:szCs w:val="18"/>
              </w:rPr>
              <w:t>/</w:t>
            </w:r>
          </w:p>
        </w:tc>
        <w:tc>
          <w:tcPr>
            <w:tcW w:w="1102" w:type="dxa"/>
            <w:vAlign w:val="center"/>
          </w:tcPr>
          <w:p w:rsidR="00C223F5" w:rsidRPr="00925B84" w:rsidRDefault="005860D5" w:rsidP="00F66BD1">
            <w:pPr>
              <w:jc w:val="center"/>
              <w:rPr>
                <w:rFonts w:hAnsi="宋体"/>
                <w:sz w:val="18"/>
                <w:szCs w:val="18"/>
              </w:rPr>
            </w:pPr>
            <w:r w:rsidRPr="00925B84">
              <w:rPr>
                <w:rFonts w:hint="eastAsia"/>
                <w:sz w:val="18"/>
                <w:szCs w:val="18"/>
              </w:rPr>
              <w:t>固态</w:t>
            </w:r>
          </w:p>
        </w:tc>
        <w:tc>
          <w:tcPr>
            <w:tcW w:w="872" w:type="dxa"/>
            <w:vAlign w:val="center"/>
          </w:tcPr>
          <w:p w:rsidR="00C223F5" w:rsidRPr="00D3434C" w:rsidRDefault="005860D5" w:rsidP="00F66BD1">
            <w:pPr>
              <w:jc w:val="center"/>
              <w:rPr>
                <w:color w:val="FF0000"/>
                <w:kern w:val="0"/>
                <w:sz w:val="18"/>
                <w:szCs w:val="18"/>
              </w:rPr>
            </w:pPr>
            <w:r w:rsidRPr="00D3434C">
              <w:rPr>
                <w:rFonts w:hAnsi="宋体" w:hint="eastAsia"/>
                <w:color w:val="FF0000"/>
                <w:sz w:val="18"/>
                <w:szCs w:val="18"/>
              </w:rPr>
              <w:t>24.7</w:t>
            </w:r>
            <w:r w:rsidRPr="00D3434C">
              <w:rPr>
                <w:rFonts w:hint="eastAsia"/>
                <w:color w:val="FF0000"/>
                <w:kern w:val="0"/>
                <w:sz w:val="18"/>
                <w:szCs w:val="18"/>
              </w:rPr>
              <w:t>×</w:t>
            </w:r>
            <w:r w:rsidRPr="00D3434C">
              <w:rPr>
                <w:rFonts w:hint="eastAsia"/>
                <w:color w:val="FF0000"/>
                <w:kern w:val="0"/>
                <w:sz w:val="18"/>
                <w:szCs w:val="18"/>
              </w:rPr>
              <w:t>10</w:t>
            </w:r>
            <w:r w:rsidRPr="00D3434C">
              <w:rPr>
                <w:rFonts w:hint="eastAsia"/>
                <w:color w:val="FF0000"/>
                <w:kern w:val="0"/>
                <w:sz w:val="18"/>
                <w:szCs w:val="18"/>
                <w:vertAlign w:val="superscript"/>
              </w:rPr>
              <w:t>4</w:t>
            </w:r>
          </w:p>
        </w:tc>
        <w:tc>
          <w:tcPr>
            <w:tcW w:w="2760" w:type="dxa"/>
            <w:vAlign w:val="center"/>
          </w:tcPr>
          <w:p w:rsidR="00C223F5" w:rsidRPr="00925B84" w:rsidRDefault="005860D5" w:rsidP="00F66BD1">
            <w:pPr>
              <w:jc w:val="center"/>
              <w:rPr>
                <w:sz w:val="18"/>
                <w:szCs w:val="18"/>
              </w:rPr>
            </w:pPr>
            <w:r w:rsidRPr="00925B84">
              <w:rPr>
                <w:rFonts w:hint="eastAsia"/>
                <w:sz w:val="18"/>
                <w:szCs w:val="18"/>
              </w:rPr>
              <w:t>优先综合利用于</w:t>
            </w:r>
            <w:r w:rsidRPr="00925B84">
              <w:rPr>
                <w:rFonts w:hAnsi="宋体" w:hint="eastAsia"/>
                <w:sz w:val="18"/>
                <w:szCs w:val="18"/>
              </w:rPr>
              <w:t>砖厂及</w:t>
            </w:r>
            <w:r w:rsidR="005F7BDD" w:rsidRPr="00925B84">
              <w:rPr>
                <w:rFonts w:hAnsi="宋体" w:hint="eastAsia"/>
                <w:sz w:val="18"/>
                <w:szCs w:val="18"/>
              </w:rPr>
              <w:t>外销</w:t>
            </w:r>
            <w:r w:rsidR="00712806">
              <w:rPr>
                <w:rFonts w:hAnsi="宋体" w:hint="eastAsia"/>
                <w:sz w:val="18"/>
                <w:szCs w:val="18"/>
              </w:rPr>
              <w:t>圣拓公司做井下充填骨料</w:t>
            </w:r>
            <w:r w:rsidRPr="00925B84">
              <w:rPr>
                <w:rFonts w:hAnsi="宋体" w:hint="eastAsia"/>
                <w:sz w:val="18"/>
                <w:szCs w:val="18"/>
              </w:rPr>
              <w:t>，其余回填井下废弃巷道</w:t>
            </w:r>
          </w:p>
        </w:tc>
        <w:tc>
          <w:tcPr>
            <w:tcW w:w="651" w:type="dxa"/>
            <w:vAlign w:val="center"/>
          </w:tcPr>
          <w:p w:rsidR="00C223F5" w:rsidRPr="00925B84" w:rsidRDefault="005860D5" w:rsidP="00F66BD1">
            <w:pPr>
              <w:jc w:val="center"/>
              <w:rPr>
                <w:sz w:val="18"/>
                <w:szCs w:val="18"/>
              </w:rPr>
            </w:pPr>
            <w:r w:rsidRPr="00925B84">
              <w:rPr>
                <w:rFonts w:hint="eastAsia"/>
                <w:sz w:val="18"/>
                <w:szCs w:val="18"/>
              </w:rPr>
              <w:t>运营期</w:t>
            </w:r>
          </w:p>
        </w:tc>
      </w:tr>
      <w:tr w:rsidR="00C223F5" w:rsidRPr="00925B84" w:rsidTr="005F7BDD">
        <w:trPr>
          <w:trHeight w:hRule="exact" w:val="586"/>
          <w:jc w:val="center"/>
        </w:trPr>
        <w:tc>
          <w:tcPr>
            <w:tcW w:w="1075" w:type="dxa"/>
            <w:gridSpan w:val="2"/>
            <w:vAlign w:val="center"/>
          </w:tcPr>
          <w:p w:rsidR="00C223F5" w:rsidRPr="00925B84" w:rsidRDefault="005860D5" w:rsidP="00F66BD1">
            <w:pPr>
              <w:jc w:val="center"/>
              <w:rPr>
                <w:sz w:val="18"/>
                <w:szCs w:val="18"/>
              </w:rPr>
            </w:pPr>
            <w:r w:rsidRPr="00925B84">
              <w:rPr>
                <w:sz w:val="18"/>
                <w:szCs w:val="18"/>
              </w:rPr>
              <w:t>办公生活</w:t>
            </w:r>
          </w:p>
        </w:tc>
        <w:tc>
          <w:tcPr>
            <w:tcW w:w="998" w:type="dxa"/>
            <w:vAlign w:val="center"/>
          </w:tcPr>
          <w:p w:rsidR="00C223F5" w:rsidRPr="00925B84" w:rsidRDefault="005860D5" w:rsidP="00F66BD1">
            <w:pPr>
              <w:jc w:val="center"/>
              <w:rPr>
                <w:sz w:val="18"/>
                <w:szCs w:val="18"/>
              </w:rPr>
            </w:pPr>
            <w:r w:rsidRPr="00925B84">
              <w:rPr>
                <w:sz w:val="18"/>
                <w:szCs w:val="18"/>
              </w:rPr>
              <w:t>生活垃圾</w:t>
            </w:r>
          </w:p>
        </w:tc>
        <w:tc>
          <w:tcPr>
            <w:tcW w:w="790" w:type="dxa"/>
            <w:vAlign w:val="center"/>
          </w:tcPr>
          <w:p w:rsidR="00C223F5" w:rsidRPr="00925B84" w:rsidRDefault="005860D5" w:rsidP="00F66BD1">
            <w:pPr>
              <w:jc w:val="center"/>
              <w:rPr>
                <w:sz w:val="18"/>
                <w:szCs w:val="18"/>
              </w:rPr>
            </w:pPr>
            <w:r w:rsidRPr="00925B84">
              <w:rPr>
                <w:sz w:val="18"/>
                <w:szCs w:val="18"/>
              </w:rPr>
              <w:t>有机物</w:t>
            </w:r>
          </w:p>
          <w:p w:rsidR="00C223F5" w:rsidRPr="00925B84" w:rsidRDefault="005860D5" w:rsidP="00F66BD1">
            <w:pPr>
              <w:jc w:val="center"/>
              <w:rPr>
                <w:sz w:val="18"/>
                <w:szCs w:val="18"/>
              </w:rPr>
            </w:pPr>
            <w:r w:rsidRPr="00925B84">
              <w:rPr>
                <w:sz w:val="18"/>
                <w:szCs w:val="18"/>
              </w:rPr>
              <w:t>无机物</w:t>
            </w:r>
          </w:p>
        </w:tc>
        <w:tc>
          <w:tcPr>
            <w:tcW w:w="993" w:type="dxa"/>
            <w:vAlign w:val="center"/>
          </w:tcPr>
          <w:p w:rsidR="00C223F5" w:rsidRPr="00925B84" w:rsidRDefault="005860D5" w:rsidP="00F66BD1">
            <w:pPr>
              <w:jc w:val="center"/>
              <w:rPr>
                <w:sz w:val="18"/>
                <w:szCs w:val="18"/>
              </w:rPr>
            </w:pPr>
            <w:r w:rsidRPr="00925B84">
              <w:rPr>
                <w:rFonts w:hint="eastAsia"/>
                <w:sz w:val="18"/>
                <w:szCs w:val="18"/>
              </w:rPr>
              <w:t>/</w:t>
            </w:r>
          </w:p>
        </w:tc>
        <w:tc>
          <w:tcPr>
            <w:tcW w:w="1102" w:type="dxa"/>
            <w:vAlign w:val="center"/>
          </w:tcPr>
          <w:p w:rsidR="00C223F5" w:rsidRPr="00925B84" w:rsidRDefault="005860D5" w:rsidP="00F66BD1">
            <w:pPr>
              <w:jc w:val="center"/>
              <w:rPr>
                <w:sz w:val="18"/>
                <w:szCs w:val="18"/>
              </w:rPr>
            </w:pPr>
            <w:r w:rsidRPr="00925B84">
              <w:rPr>
                <w:rFonts w:hint="eastAsia"/>
                <w:sz w:val="18"/>
                <w:szCs w:val="18"/>
              </w:rPr>
              <w:t>固态</w:t>
            </w:r>
          </w:p>
        </w:tc>
        <w:tc>
          <w:tcPr>
            <w:tcW w:w="872" w:type="dxa"/>
            <w:vAlign w:val="center"/>
          </w:tcPr>
          <w:p w:rsidR="00C223F5" w:rsidRPr="00925B84" w:rsidRDefault="005860D5" w:rsidP="00F66BD1">
            <w:pPr>
              <w:jc w:val="center"/>
              <w:rPr>
                <w:sz w:val="18"/>
                <w:szCs w:val="18"/>
              </w:rPr>
            </w:pPr>
            <w:r w:rsidRPr="00925B84">
              <w:rPr>
                <w:rFonts w:hint="eastAsia"/>
                <w:sz w:val="18"/>
                <w:szCs w:val="18"/>
              </w:rPr>
              <w:t>149</w:t>
            </w:r>
          </w:p>
        </w:tc>
        <w:tc>
          <w:tcPr>
            <w:tcW w:w="2760" w:type="dxa"/>
            <w:vAlign w:val="center"/>
          </w:tcPr>
          <w:p w:rsidR="00C223F5" w:rsidRPr="00925B84" w:rsidRDefault="005860D5" w:rsidP="00F66BD1">
            <w:pPr>
              <w:jc w:val="center"/>
              <w:rPr>
                <w:sz w:val="18"/>
                <w:szCs w:val="18"/>
              </w:rPr>
            </w:pPr>
            <w:r w:rsidRPr="00925B84">
              <w:rPr>
                <w:sz w:val="18"/>
                <w:szCs w:val="18"/>
              </w:rPr>
              <w:t>集中收集、定期运往市政</w:t>
            </w:r>
          </w:p>
          <w:p w:rsidR="00C223F5" w:rsidRPr="00925B84" w:rsidRDefault="005860D5" w:rsidP="00F66BD1">
            <w:pPr>
              <w:jc w:val="center"/>
              <w:rPr>
                <w:sz w:val="18"/>
                <w:szCs w:val="18"/>
              </w:rPr>
            </w:pPr>
            <w:r w:rsidRPr="00925B84">
              <w:rPr>
                <w:rFonts w:hint="eastAsia"/>
                <w:sz w:val="18"/>
                <w:szCs w:val="18"/>
              </w:rPr>
              <w:t>垃圾场处置</w:t>
            </w:r>
          </w:p>
        </w:tc>
        <w:tc>
          <w:tcPr>
            <w:tcW w:w="651" w:type="dxa"/>
            <w:shd w:val="clear" w:color="auto" w:fill="auto"/>
            <w:vAlign w:val="center"/>
          </w:tcPr>
          <w:p w:rsidR="00C223F5" w:rsidRPr="00925B84" w:rsidRDefault="005860D5" w:rsidP="00F66BD1">
            <w:pPr>
              <w:jc w:val="center"/>
              <w:rPr>
                <w:sz w:val="18"/>
                <w:szCs w:val="18"/>
              </w:rPr>
            </w:pPr>
            <w:r w:rsidRPr="00925B84">
              <w:rPr>
                <w:sz w:val="18"/>
                <w:szCs w:val="18"/>
              </w:rPr>
              <w:t>运营期</w:t>
            </w:r>
          </w:p>
        </w:tc>
      </w:tr>
      <w:tr w:rsidR="00C223F5" w:rsidRPr="00925B84" w:rsidTr="005F7BDD">
        <w:trPr>
          <w:trHeight w:hRule="exact" w:val="581"/>
          <w:jc w:val="center"/>
        </w:trPr>
        <w:tc>
          <w:tcPr>
            <w:tcW w:w="1075" w:type="dxa"/>
            <w:gridSpan w:val="2"/>
            <w:vMerge w:val="restart"/>
            <w:vAlign w:val="center"/>
          </w:tcPr>
          <w:p w:rsidR="00C223F5" w:rsidRPr="00925B84" w:rsidRDefault="005860D5" w:rsidP="00F66BD1">
            <w:pPr>
              <w:jc w:val="center"/>
              <w:rPr>
                <w:sz w:val="18"/>
                <w:szCs w:val="18"/>
              </w:rPr>
            </w:pPr>
            <w:r w:rsidRPr="00925B84">
              <w:rPr>
                <w:rFonts w:hint="eastAsia"/>
                <w:sz w:val="18"/>
                <w:szCs w:val="18"/>
              </w:rPr>
              <w:t>污水站</w:t>
            </w:r>
          </w:p>
        </w:tc>
        <w:tc>
          <w:tcPr>
            <w:tcW w:w="998" w:type="dxa"/>
            <w:vAlign w:val="center"/>
          </w:tcPr>
          <w:p w:rsidR="00C223F5" w:rsidRPr="00925B84" w:rsidRDefault="005860D5" w:rsidP="00F66BD1">
            <w:pPr>
              <w:jc w:val="center"/>
              <w:rPr>
                <w:sz w:val="18"/>
                <w:szCs w:val="18"/>
              </w:rPr>
            </w:pPr>
            <w:r w:rsidRPr="00925B84">
              <w:rPr>
                <w:rFonts w:hint="eastAsia"/>
                <w:sz w:val="18"/>
                <w:szCs w:val="18"/>
              </w:rPr>
              <w:t>生活污水</w:t>
            </w:r>
          </w:p>
          <w:p w:rsidR="00C223F5" w:rsidRPr="00925B84" w:rsidRDefault="005860D5" w:rsidP="00F66BD1">
            <w:pPr>
              <w:jc w:val="center"/>
              <w:rPr>
                <w:rFonts w:eastAsia="新宋体"/>
                <w:sz w:val="18"/>
                <w:szCs w:val="18"/>
              </w:rPr>
            </w:pPr>
            <w:r w:rsidRPr="00925B84">
              <w:rPr>
                <w:rFonts w:hint="eastAsia"/>
                <w:sz w:val="18"/>
                <w:szCs w:val="18"/>
              </w:rPr>
              <w:t>处理站</w:t>
            </w:r>
            <w:r w:rsidRPr="00925B84">
              <w:rPr>
                <w:rFonts w:eastAsia="新宋体" w:hint="eastAsia"/>
                <w:sz w:val="18"/>
                <w:szCs w:val="18"/>
              </w:rPr>
              <w:t>污泥</w:t>
            </w:r>
          </w:p>
        </w:tc>
        <w:tc>
          <w:tcPr>
            <w:tcW w:w="790" w:type="dxa"/>
            <w:vAlign w:val="center"/>
          </w:tcPr>
          <w:p w:rsidR="00C223F5" w:rsidRPr="00925B84" w:rsidRDefault="005860D5" w:rsidP="00F66BD1">
            <w:pPr>
              <w:jc w:val="center"/>
              <w:rPr>
                <w:sz w:val="18"/>
                <w:szCs w:val="18"/>
              </w:rPr>
            </w:pPr>
            <w:r w:rsidRPr="00925B84">
              <w:rPr>
                <w:sz w:val="18"/>
                <w:szCs w:val="18"/>
              </w:rPr>
              <w:t>泥渣</w:t>
            </w:r>
          </w:p>
        </w:tc>
        <w:tc>
          <w:tcPr>
            <w:tcW w:w="993" w:type="dxa"/>
            <w:vAlign w:val="center"/>
          </w:tcPr>
          <w:p w:rsidR="00C223F5" w:rsidRPr="00925B84" w:rsidRDefault="005860D5" w:rsidP="00F66BD1">
            <w:pPr>
              <w:jc w:val="center"/>
              <w:rPr>
                <w:sz w:val="18"/>
                <w:szCs w:val="18"/>
              </w:rPr>
            </w:pPr>
            <w:r w:rsidRPr="00925B84">
              <w:rPr>
                <w:rFonts w:hint="eastAsia"/>
                <w:sz w:val="18"/>
                <w:szCs w:val="18"/>
              </w:rPr>
              <w:t>/</w:t>
            </w:r>
          </w:p>
        </w:tc>
        <w:tc>
          <w:tcPr>
            <w:tcW w:w="1102" w:type="dxa"/>
            <w:vAlign w:val="center"/>
          </w:tcPr>
          <w:p w:rsidR="00C223F5" w:rsidRPr="00925B84" w:rsidRDefault="005860D5" w:rsidP="00F66BD1">
            <w:pPr>
              <w:jc w:val="center"/>
              <w:rPr>
                <w:sz w:val="18"/>
                <w:szCs w:val="18"/>
              </w:rPr>
            </w:pPr>
            <w:r w:rsidRPr="00925B84">
              <w:rPr>
                <w:rFonts w:hint="eastAsia"/>
                <w:sz w:val="18"/>
                <w:szCs w:val="18"/>
              </w:rPr>
              <w:t>固态</w:t>
            </w:r>
          </w:p>
        </w:tc>
        <w:tc>
          <w:tcPr>
            <w:tcW w:w="872" w:type="dxa"/>
            <w:vAlign w:val="center"/>
          </w:tcPr>
          <w:p w:rsidR="00C223F5" w:rsidRPr="00925B84" w:rsidRDefault="005860D5" w:rsidP="00F66BD1">
            <w:pPr>
              <w:jc w:val="center"/>
              <w:rPr>
                <w:sz w:val="18"/>
                <w:szCs w:val="18"/>
              </w:rPr>
            </w:pPr>
            <w:r w:rsidRPr="00925B84">
              <w:rPr>
                <w:rFonts w:hint="eastAsia"/>
                <w:sz w:val="18"/>
                <w:szCs w:val="18"/>
              </w:rPr>
              <w:t>5.28</w:t>
            </w:r>
          </w:p>
        </w:tc>
        <w:tc>
          <w:tcPr>
            <w:tcW w:w="2760" w:type="dxa"/>
            <w:vAlign w:val="center"/>
          </w:tcPr>
          <w:p w:rsidR="00C223F5" w:rsidRPr="00925B84" w:rsidRDefault="005860D5" w:rsidP="00F66BD1">
            <w:pPr>
              <w:jc w:val="center"/>
              <w:rPr>
                <w:sz w:val="18"/>
                <w:szCs w:val="18"/>
              </w:rPr>
            </w:pPr>
            <w:r w:rsidRPr="00925B84">
              <w:rPr>
                <w:rFonts w:hAnsi="宋体" w:hint="eastAsia"/>
                <w:sz w:val="18"/>
                <w:szCs w:val="18"/>
              </w:rPr>
              <w:t>压滤脱水后送</w:t>
            </w:r>
            <w:r w:rsidRPr="00925B84">
              <w:rPr>
                <w:rFonts w:hint="eastAsia"/>
                <w:sz w:val="18"/>
                <w:szCs w:val="18"/>
              </w:rPr>
              <w:t>市政垃圾场处置</w:t>
            </w:r>
          </w:p>
        </w:tc>
        <w:tc>
          <w:tcPr>
            <w:tcW w:w="651" w:type="dxa"/>
            <w:shd w:val="clear" w:color="auto" w:fill="auto"/>
            <w:vAlign w:val="center"/>
          </w:tcPr>
          <w:p w:rsidR="00C223F5" w:rsidRPr="00925B84" w:rsidRDefault="005860D5" w:rsidP="00F66BD1">
            <w:pPr>
              <w:jc w:val="center"/>
              <w:rPr>
                <w:sz w:val="18"/>
                <w:szCs w:val="18"/>
              </w:rPr>
            </w:pPr>
            <w:r w:rsidRPr="00925B84">
              <w:rPr>
                <w:sz w:val="18"/>
                <w:szCs w:val="18"/>
              </w:rPr>
              <w:t>运营期</w:t>
            </w:r>
          </w:p>
        </w:tc>
      </w:tr>
      <w:tr w:rsidR="00C223F5" w:rsidRPr="00925B84" w:rsidTr="005F7BDD">
        <w:trPr>
          <w:trHeight w:hRule="exact" w:val="561"/>
          <w:jc w:val="center"/>
        </w:trPr>
        <w:tc>
          <w:tcPr>
            <w:tcW w:w="1075" w:type="dxa"/>
            <w:gridSpan w:val="2"/>
            <w:vMerge/>
            <w:vAlign w:val="center"/>
          </w:tcPr>
          <w:p w:rsidR="00C223F5" w:rsidRPr="00925B84" w:rsidRDefault="00C223F5" w:rsidP="00F66BD1">
            <w:pPr>
              <w:jc w:val="center"/>
              <w:rPr>
                <w:sz w:val="18"/>
                <w:szCs w:val="18"/>
              </w:rPr>
            </w:pPr>
          </w:p>
        </w:tc>
        <w:tc>
          <w:tcPr>
            <w:tcW w:w="998" w:type="dxa"/>
            <w:vAlign w:val="center"/>
          </w:tcPr>
          <w:p w:rsidR="00C223F5" w:rsidRPr="00925B84" w:rsidRDefault="005860D5" w:rsidP="00F66BD1">
            <w:pPr>
              <w:jc w:val="center"/>
              <w:rPr>
                <w:sz w:val="18"/>
                <w:szCs w:val="18"/>
              </w:rPr>
            </w:pPr>
            <w:r w:rsidRPr="00925B84">
              <w:rPr>
                <w:rFonts w:hint="eastAsia"/>
                <w:sz w:val="18"/>
                <w:szCs w:val="18"/>
              </w:rPr>
              <w:t>矿井水</w:t>
            </w:r>
          </w:p>
          <w:p w:rsidR="00C223F5" w:rsidRPr="00925B84" w:rsidRDefault="005860D5" w:rsidP="00F66BD1">
            <w:pPr>
              <w:jc w:val="center"/>
              <w:rPr>
                <w:rFonts w:eastAsia="新宋体"/>
                <w:sz w:val="18"/>
                <w:szCs w:val="18"/>
              </w:rPr>
            </w:pPr>
            <w:r w:rsidRPr="00925B84">
              <w:rPr>
                <w:rFonts w:hint="eastAsia"/>
                <w:sz w:val="18"/>
                <w:szCs w:val="18"/>
              </w:rPr>
              <w:t>处理站</w:t>
            </w:r>
            <w:r w:rsidRPr="00925B84">
              <w:rPr>
                <w:rFonts w:eastAsia="新宋体" w:hint="eastAsia"/>
                <w:sz w:val="18"/>
                <w:szCs w:val="18"/>
              </w:rPr>
              <w:t>煤泥</w:t>
            </w:r>
          </w:p>
        </w:tc>
        <w:tc>
          <w:tcPr>
            <w:tcW w:w="790" w:type="dxa"/>
            <w:vAlign w:val="center"/>
          </w:tcPr>
          <w:p w:rsidR="00C223F5" w:rsidRPr="00925B84" w:rsidRDefault="005860D5" w:rsidP="00F66BD1">
            <w:pPr>
              <w:jc w:val="center"/>
              <w:rPr>
                <w:sz w:val="18"/>
                <w:szCs w:val="18"/>
              </w:rPr>
            </w:pPr>
            <w:r w:rsidRPr="00925B84">
              <w:rPr>
                <w:sz w:val="18"/>
                <w:szCs w:val="18"/>
              </w:rPr>
              <w:t>煤渣</w:t>
            </w:r>
          </w:p>
        </w:tc>
        <w:tc>
          <w:tcPr>
            <w:tcW w:w="993" w:type="dxa"/>
            <w:vAlign w:val="center"/>
          </w:tcPr>
          <w:p w:rsidR="00C223F5" w:rsidRPr="00925B84" w:rsidRDefault="005860D5" w:rsidP="00F66BD1">
            <w:pPr>
              <w:jc w:val="center"/>
              <w:rPr>
                <w:rFonts w:eastAsia="新宋体"/>
                <w:sz w:val="18"/>
                <w:szCs w:val="18"/>
              </w:rPr>
            </w:pPr>
            <w:r w:rsidRPr="00925B84">
              <w:rPr>
                <w:rFonts w:eastAsia="新宋体" w:hint="eastAsia"/>
                <w:sz w:val="18"/>
                <w:szCs w:val="18"/>
              </w:rPr>
              <w:t>/</w:t>
            </w:r>
          </w:p>
        </w:tc>
        <w:tc>
          <w:tcPr>
            <w:tcW w:w="1102" w:type="dxa"/>
            <w:vAlign w:val="center"/>
          </w:tcPr>
          <w:p w:rsidR="00C223F5" w:rsidRPr="00925B84" w:rsidRDefault="005860D5" w:rsidP="00F66BD1">
            <w:pPr>
              <w:jc w:val="center"/>
              <w:rPr>
                <w:rFonts w:eastAsia="新宋体"/>
                <w:sz w:val="18"/>
                <w:szCs w:val="18"/>
              </w:rPr>
            </w:pPr>
            <w:r w:rsidRPr="00925B84">
              <w:rPr>
                <w:rFonts w:hint="eastAsia"/>
                <w:sz w:val="18"/>
                <w:szCs w:val="18"/>
              </w:rPr>
              <w:t>固态</w:t>
            </w:r>
          </w:p>
        </w:tc>
        <w:tc>
          <w:tcPr>
            <w:tcW w:w="872" w:type="dxa"/>
            <w:vAlign w:val="center"/>
          </w:tcPr>
          <w:p w:rsidR="00C223F5" w:rsidRPr="00925B84" w:rsidRDefault="005860D5" w:rsidP="00F66BD1">
            <w:pPr>
              <w:jc w:val="center"/>
              <w:rPr>
                <w:rFonts w:eastAsia="新宋体"/>
                <w:sz w:val="18"/>
                <w:szCs w:val="18"/>
              </w:rPr>
            </w:pPr>
            <w:r w:rsidRPr="00925B84">
              <w:rPr>
                <w:rFonts w:eastAsia="新宋体" w:hint="eastAsia"/>
                <w:sz w:val="18"/>
                <w:szCs w:val="18"/>
              </w:rPr>
              <w:t>34</w:t>
            </w:r>
          </w:p>
        </w:tc>
        <w:tc>
          <w:tcPr>
            <w:tcW w:w="2760" w:type="dxa"/>
            <w:vAlign w:val="center"/>
          </w:tcPr>
          <w:p w:rsidR="00C223F5" w:rsidRPr="00925B84" w:rsidRDefault="005860D5" w:rsidP="00F66BD1">
            <w:pPr>
              <w:jc w:val="center"/>
              <w:rPr>
                <w:sz w:val="18"/>
                <w:szCs w:val="18"/>
              </w:rPr>
            </w:pPr>
            <w:r w:rsidRPr="00925B84">
              <w:rPr>
                <w:rFonts w:hAnsi="宋体" w:hint="eastAsia"/>
                <w:sz w:val="18"/>
                <w:szCs w:val="18"/>
              </w:rPr>
              <w:t>掺入末煤外销</w:t>
            </w:r>
          </w:p>
        </w:tc>
        <w:tc>
          <w:tcPr>
            <w:tcW w:w="651" w:type="dxa"/>
            <w:shd w:val="clear" w:color="auto" w:fill="auto"/>
            <w:vAlign w:val="center"/>
          </w:tcPr>
          <w:p w:rsidR="00C223F5" w:rsidRPr="00925B84" w:rsidRDefault="005860D5" w:rsidP="00F66BD1">
            <w:pPr>
              <w:jc w:val="center"/>
              <w:rPr>
                <w:sz w:val="18"/>
                <w:szCs w:val="18"/>
              </w:rPr>
            </w:pPr>
            <w:r w:rsidRPr="00925B84">
              <w:rPr>
                <w:sz w:val="18"/>
                <w:szCs w:val="18"/>
              </w:rPr>
              <w:t>运营期</w:t>
            </w:r>
          </w:p>
        </w:tc>
      </w:tr>
      <w:tr w:rsidR="00C223F5" w:rsidRPr="00925B84" w:rsidTr="005F7BDD">
        <w:trPr>
          <w:trHeight w:hRule="exact" w:val="427"/>
          <w:jc w:val="center"/>
        </w:trPr>
        <w:tc>
          <w:tcPr>
            <w:tcW w:w="1075" w:type="dxa"/>
            <w:gridSpan w:val="2"/>
            <w:vAlign w:val="center"/>
          </w:tcPr>
          <w:p w:rsidR="00C223F5" w:rsidRPr="00925B84" w:rsidRDefault="005860D5" w:rsidP="00F66BD1">
            <w:pPr>
              <w:jc w:val="center"/>
              <w:rPr>
                <w:sz w:val="18"/>
                <w:szCs w:val="18"/>
              </w:rPr>
            </w:pPr>
            <w:r w:rsidRPr="00925B84">
              <w:rPr>
                <w:rFonts w:hint="eastAsia"/>
                <w:sz w:val="18"/>
                <w:szCs w:val="18"/>
              </w:rPr>
              <w:t>工业场地</w:t>
            </w:r>
          </w:p>
        </w:tc>
        <w:tc>
          <w:tcPr>
            <w:tcW w:w="998" w:type="dxa"/>
            <w:vAlign w:val="center"/>
          </w:tcPr>
          <w:p w:rsidR="00C223F5" w:rsidRPr="00925B84" w:rsidRDefault="005860D5" w:rsidP="00F66BD1">
            <w:pPr>
              <w:jc w:val="center"/>
              <w:rPr>
                <w:rFonts w:eastAsia="新宋体"/>
                <w:sz w:val="18"/>
                <w:szCs w:val="18"/>
              </w:rPr>
            </w:pPr>
            <w:r w:rsidRPr="00925B84">
              <w:rPr>
                <w:sz w:val="18"/>
                <w:szCs w:val="18"/>
              </w:rPr>
              <w:t>危险废物</w:t>
            </w:r>
          </w:p>
        </w:tc>
        <w:tc>
          <w:tcPr>
            <w:tcW w:w="790" w:type="dxa"/>
            <w:vAlign w:val="center"/>
          </w:tcPr>
          <w:p w:rsidR="00C223F5" w:rsidRPr="00925B84" w:rsidRDefault="005860D5" w:rsidP="00F66BD1">
            <w:pPr>
              <w:jc w:val="center"/>
              <w:rPr>
                <w:sz w:val="18"/>
                <w:szCs w:val="18"/>
              </w:rPr>
            </w:pPr>
            <w:r w:rsidRPr="00925B84">
              <w:rPr>
                <w:rFonts w:eastAsiaTheme="minorEastAsia" w:hAnsiTheme="minorEastAsia"/>
                <w:sz w:val="18"/>
                <w:szCs w:val="18"/>
              </w:rPr>
              <w:t>废机油等</w:t>
            </w:r>
          </w:p>
        </w:tc>
        <w:tc>
          <w:tcPr>
            <w:tcW w:w="993" w:type="dxa"/>
            <w:vAlign w:val="center"/>
          </w:tcPr>
          <w:p w:rsidR="00C223F5" w:rsidRPr="00925B84" w:rsidRDefault="005860D5" w:rsidP="00F66BD1">
            <w:pPr>
              <w:jc w:val="center"/>
              <w:rPr>
                <w:sz w:val="18"/>
                <w:szCs w:val="18"/>
              </w:rPr>
            </w:pPr>
            <w:r w:rsidRPr="00925B84">
              <w:rPr>
                <w:rFonts w:hint="eastAsia"/>
                <w:sz w:val="18"/>
                <w:szCs w:val="18"/>
              </w:rPr>
              <w:t>HW08</w:t>
            </w:r>
          </w:p>
          <w:p w:rsidR="00C223F5" w:rsidRPr="00925B84" w:rsidRDefault="005860D5" w:rsidP="00F66BD1">
            <w:pPr>
              <w:jc w:val="center"/>
              <w:rPr>
                <w:rFonts w:eastAsia="新宋体"/>
                <w:sz w:val="18"/>
                <w:szCs w:val="18"/>
              </w:rPr>
            </w:pPr>
            <w:r w:rsidRPr="00925B84">
              <w:rPr>
                <w:rFonts w:hint="eastAsia"/>
                <w:sz w:val="18"/>
                <w:szCs w:val="18"/>
              </w:rPr>
              <w:t>900-199-08</w:t>
            </w:r>
          </w:p>
        </w:tc>
        <w:tc>
          <w:tcPr>
            <w:tcW w:w="1102" w:type="dxa"/>
            <w:vAlign w:val="center"/>
          </w:tcPr>
          <w:p w:rsidR="00C223F5" w:rsidRPr="00925B84" w:rsidRDefault="005860D5" w:rsidP="00F66BD1">
            <w:pPr>
              <w:jc w:val="center"/>
              <w:rPr>
                <w:rFonts w:eastAsia="新宋体"/>
                <w:sz w:val="18"/>
                <w:szCs w:val="18"/>
              </w:rPr>
            </w:pPr>
            <w:r w:rsidRPr="00925B84">
              <w:rPr>
                <w:rFonts w:hint="eastAsia"/>
                <w:sz w:val="18"/>
                <w:szCs w:val="18"/>
              </w:rPr>
              <w:t>T</w:t>
            </w:r>
            <w:r w:rsidRPr="00925B84">
              <w:rPr>
                <w:rFonts w:hint="eastAsia"/>
                <w:sz w:val="18"/>
                <w:szCs w:val="18"/>
              </w:rPr>
              <w:t>，</w:t>
            </w:r>
            <w:r w:rsidR="000F32AE" w:rsidRPr="00925B84">
              <w:rPr>
                <w:sz w:val="18"/>
                <w:szCs w:val="18"/>
              </w:rPr>
              <w:fldChar w:fldCharType="begin"/>
            </w:r>
            <w:r w:rsidRPr="00925B84">
              <w:rPr>
                <w:rFonts w:hint="eastAsia"/>
                <w:sz w:val="18"/>
                <w:szCs w:val="18"/>
              </w:rPr>
              <w:instrText>= 1 \* ROMAN</w:instrText>
            </w:r>
            <w:r w:rsidR="000F32AE" w:rsidRPr="00925B84">
              <w:rPr>
                <w:sz w:val="18"/>
                <w:szCs w:val="18"/>
              </w:rPr>
              <w:fldChar w:fldCharType="separate"/>
            </w:r>
            <w:r w:rsidRPr="00925B84">
              <w:rPr>
                <w:sz w:val="18"/>
                <w:szCs w:val="18"/>
              </w:rPr>
              <w:t>I</w:t>
            </w:r>
            <w:r w:rsidR="000F32AE" w:rsidRPr="00925B84">
              <w:rPr>
                <w:sz w:val="18"/>
                <w:szCs w:val="18"/>
              </w:rPr>
              <w:fldChar w:fldCharType="end"/>
            </w:r>
            <w:r w:rsidRPr="00925B84">
              <w:rPr>
                <w:rFonts w:hint="eastAsia"/>
                <w:sz w:val="18"/>
                <w:szCs w:val="18"/>
              </w:rPr>
              <w:t>/</w:t>
            </w:r>
            <w:r w:rsidRPr="00925B84">
              <w:rPr>
                <w:rFonts w:hint="eastAsia"/>
                <w:sz w:val="18"/>
                <w:szCs w:val="18"/>
              </w:rPr>
              <w:t>半固态</w:t>
            </w:r>
          </w:p>
        </w:tc>
        <w:tc>
          <w:tcPr>
            <w:tcW w:w="872" w:type="dxa"/>
            <w:vAlign w:val="center"/>
          </w:tcPr>
          <w:p w:rsidR="00C223F5" w:rsidRPr="00925B84" w:rsidRDefault="005860D5" w:rsidP="00F66BD1">
            <w:pPr>
              <w:jc w:val="center"/>
              <w:rPr>
                <w:rFonts w:eastAsia="新宋体"/>
                <w:sz w:val="18"/>
                <w:szCs w:val="18"/>
              </w:rPr>
            </w:pPr>
            <w:r w:rsidRPr="00925B84">
              <w:rPr>
                <w:rFonts w:eastAsia="新宋体" w:hint="eastAsia"/>
                <w:sz w:val="18"/>
                <w:szCs w:val="18"/>
              </w:rPr>
              <w:t>0.3</w:t>
            </w:r>
          </w:p>
        </w:tc>
        <w:tc>
          <w:tcPr>
            <w:tcW w:w="2760" w:type="dxa"/>
            <w:vAlign w:val="center"/>
          </w:tcPr>
          <w:p w:rsidR="00C223F5" w:rsidRPr="00925B84" w:rsidRDefault="005860D5" w:rsidP="00F66BD1">
            <w:pPr>
              <w:jc w:val="center"/>
              <w:rPr>
                <w:rFonts w:hAnsi="宋体"/>
                <w:sz w:val="18"/>
                <w:szCs w:val="18"/>
              </w:rPr>
            </w:pPr>
            <w:r w:rsidRPr="00925B84">
              <w:rPr>
                <w:rFonts w:hint="eastAsia"/>
                <w:sz w:val="18"/>
                <w:szCs w:val="18"/>
              </w:rPr>
              <w:t>集中收集，</w:t>
            </w:r>
            <w:r w:rsidRPr="00925B84">
              <w:rPr>
                <w:rFonts w:eastAsiaTheme="minorEastAsia" w:hAnsiTheme="minorEastAsia"/>
                <w:sz w:val="18"/>
                <w:szCs w:val="18"/>
              </w:rPr>
              <w:t>交有资质的单位处置</w:t>
            </w:r>
          </w:p>
        </w:tc>
        <w:tc>
          <w:tcPr>
            <w:tcW w:w="651" w:type="dxa"/>
            <w:shd w:val="clear" w:color="auto" w:fill="auto"/>
            <w:vAlign w:val="center"/>
          </w:tcPr>
          <w:p w:rsidR="00C223F5" w:rsidRPr="00925B84" w:rsidRDefault="005860D5" w:rsidP="00F66BD1">
            <w:pPr>
              <w:jc w:val="center"/>
              <w:rPr>
                <w:sz w:val="18"/>
                <w:szCs w:val="18"/>
              </w:rPr>
            </w:pPr>
            <w:r w:rsidRPr="00925B84">
              <w:rPr>
                <w:sz w:val="18"/>
                <w:szCs w:val="18"/>
              </w:rPr>
              <w:t>运营期</w:t>
            </w:r>
          </w:p>
        </w:tc>
      </w:tr>
    </w:tbl>
    <w:p w:rsidR="00C223F5" w:rsidRPr="00925B84" w:rsidRDefault="005860D5" w:rsidP="00F66BD1">
      <w:pPr>
        <w:spacing w:line="360" w:lineRule="auto"/>
        <w:ind w:firstLineChars="200" w:firstLine="480"/>
        <w:rPr>
          <w:sz w:val="24"/>
        </w:rPr>
      </w:pPr>
      <w:r w:rsidRPr="00925B84">
        <w:rPr>
          <w:rFonts w:hint="eastAsia"/>
          <w:sz w:val="24"/>
        </w:rPr>
        <w:t>（</w:t>
      </w:r>
      <w:r w:rsidRPr="00925B84">
        <w:rPr>
          <w:rFonts w:hint="eastAsia"/>
          <w:sz w:val="24"/>
        </w:rPr>
        <w:t>4</w:t>
      </w:r>
      <w:r w:rsidRPr="00925B84">
        <w:rPr>
          <w:rFonts w:hint="eastAsia"/>
          <w:sz w:val="24"/>
        </w:rPr>
        <w:t>）</w:t>
      </w:r>
      <w:r w:rsidRPr="00925B84">
        <w:rPr>
          <w:sz w:val="24"/>
        </w:rPr>
        <w:t>噪声污染源及拟</w:t>
      </w:r>
      <w:r w:rsidRPr="00925B84">
        <w:rPr>
          <w:rFonts w:hint="eastAsia"/>
          <w:sz w:val="24"/>
        </w:rPr>
        <w:t>采取的</w:t>
      </w:r>
      <w:r w:rsidRPr="00925B84">
        <w:rPr>
          <w:sz w:val="24"/>
        </w:rPr>
        <w:t>防治措施</w:t>
      </w:r>
    </w:p>
    <w:p w:rsidR="00C223F5" w:rsidRPr="00925B84" w:rsidRDefault="005860D5" w:rsidP="00F66BD1">
      <w:pPr>
        <w:spacing w:line="360" w:lineRule="auto"/>
        <w:ind w:firstLineChars="200" w:firstLine="480"/>
        <w:rPr>
          <w:bCs/>
          <w:sz w:val="24"/>
        </w:rPr>
      </w:pPr>
      <w:r w:rsidRPr="00925B84">
        <w:rPr>
          <w:rFonts w:hAnsi="宋体" w:hint="eastAsia"/>
          <w:sz w:val="24"/>
        </w:rPr>
        <w:t>工业场地</w:t>
      </w:r>
      <w:r w:rsidRPr="00925B84">
        <w:rPr>
          <w:rFonts w:hAnsi="宋体"/>
          <w:sz w:val="24"/>
        </w:rPr>
        <w:t>噪声源主要有</w:t>
      </w:r>
      <w:r w:rsidRPr="00925B84">
        <w:rPr>
          <w:bCs/>
          <w:sz w:val="24"/>
        </w:rPr>
        <w:t>矿井</w:t>
      </w:r>
      <w:r w:rsidRPr="00925B84">
        <w:rPr>
          <w:rFonts w:hint="eastAsia"/>
          <w:bCs/>
          <w:sz w:val="24"/>
        </w:rPr>
        <w:t>驱动机房</w:t>
      </w:r>
      <w:r w:rsidRPr="00925B84">
        <w:rPr>
          <w:bCs/>
          <w:sz w:val="24"/>
        </w:rPr>
        <w:t>、</w:t>
      </w:r>
      <w:r w:rsidRPr="00925B84">
        <w:rPr>
          <w:rFonts w:hint="eastAsia"/>
          <w:bCs/>
          <w:sz w:val="24"/>
        </w:rPr>
        <w:t>筛破车间、主厂房、乏风热泵机房、</w:t>
      </w:r>
      <w:r w:rsidRPr="00925B84">
        <w:rPr>
          <w:bCs/>
          <w:sz w:val="24"/>
        </w:rPr>
        <w:t>通风机房、</w:t>
      </w:r>
      <w:r w:rsidRPr="00925B84">
        <w:rPr>
          <w:rFonts w:hint="eastAsia"/>
          <w:bCs/>
          <w:sz w:val="24"/>
        </w:rPr>
        <w:t>压缩空气站</w:t>
      </w:r>
      <w:r w:rsidRPr="00925B84">
        <w:rPr>
          <w:bCs/>
          <w:sz w:val="24"/>
        </w:rPr>
        <w:t>、</w:t>
      </w:r>
      <w:r w:rsidRPr="00925B84">
        <w:rPr>
          <w:rFonts w:hint="eastAsia"/>
          <w:bCs/>
          <w:sz w:val="24"/>
        </w:rPr>
        <w:t>灌浆站和输煤栈桥</w:t>
      </w:r>
      <w:r w:rsidRPr="00925B84">
        <w:rPr>
          <w:bCs/>
          <w:sz w:val="24"/>
        </w:rPr>
        <w:t>等</w:t>
      </w:r>
      <w:r w:rsidRPr="00925B84">
        <w:rPr>
          <w:rFonts w:hAnsi="宋体" w:hint="eastAsia"/>
          <w:sz w:val="24"/>
        </w:rPr>
        <w:t>，</w:t>
      </w:r>
      <w:r w:rsidRPr="00925B84">
        <w:rPr>
          <w:bCs/>
          <w:sz w:val="24"/>
        </w:rPr>
        <w:t>主要噪声源及治理措施见表</w:t>
      </w:r>
      <w:r w:rsidRPr="00925B84">
        <w:rPr>
          <w:bCs/>
          <w:sz w:val="24"/>
        </w:rPr>
        <w:t>2.</w:t>
      </w:r>
      <w:r w:rsidRPr="00925B84">
        <w:rPr>
          <w:rFonts w:hint="eastAsia"/>
          <w:bCs/>
          <w:sz w:val="24"/>
        </w:rPr>
        <w:t>3</w:t>
      </w:r>
      <w:r w:rsidRPr="00925B84">
        <w:rPr>
          <w:bCs/>
          <w:sz w:val="24"/>
        </w:rPr>
        <w:t>.</w:t>
      </w:r>
      <w:r w:rsidRPr="00925B84">
        <w:rPr>
          <w:rFonts w:hint="eastAsia"/>
          <w:bCs/>
          <w:sz w:val="24"/>
        </w:rPr>
        <w:t>2-5</w:t>
      </w:r>
      <w:r w:rsidRPr="00925B84">
        <w:rPr>
          <w:rFonts w:hint="eastAsia"/>
          <w:bCs/>
          <w:sz w:val="24"/>
        </w:rPr>
        <w:t>，主要噪声源分布详见图</w:t>
      </w:r>
      <w:r w:rsidRPr="00925B84">
        <w:rPr>
          <w:rFonts w:hint="eastAsia"/>
          <w:sz w:val="24"/>
        </w:rPr>
        <w:t>2.3.2-5</w:t>
      </w:r>
      <w:r w:rsidRPr="00925B84">
        <w:rPr>
          <w:bCs/>
          <w:sz w:val="24"/>
        </w:rPr>
        <w:t>。经类比调查，</w:t>
      </w:r>
      <w:r w:rsidRPr="00925B84">
        <w:rPr>
          <w:rFonts w:hAnsi="宋体" w:hint="eastAsia"/>
          <w:sz w:val="24"/>
        </w:rPr>
        <w:t>场内</w:t>
      </w:r>
      <w:r w:rsidRPr="00925B84">
        <w:rPr>
          <w:bCs/>
          <w:sz w:val="24"/>
        </w:rPr>
        <w:t>设备噪声源大部分是宽频带的，且为固定、连续噪声源</w:t>
      </w:r>
      <w:r w:rsidRPr="00925B84">
        <w:rPr>
          <w:rFonts w:hint="eastAsia"/>
          <w:bCs/>
          <w:sz w:val="24"/>
        </w:rPr>
        <w:t>，</w:t>
      </w:r>
      <w:r w:rsidRPr="00925B84">
        <w:rPr>
          <w:bCs/>
          <w:sz w:val="24"/>
        </w:rPr>
        <w:t>声压级</w:t>
      </w:r>
      <w:r w:rsidRPr="00925B84">
        <w:rPr>
          <w:rFonts w:hAnsi="宋体"/>
          <w:sz w:val="24"/>
        </w:rPr>
        <w:t>一般为</w:t>
      </w:r>
      <w:r w:rsidRPr="00925B84">
        <w:rPr>
          <w:rFonts w:hAnsi="宋体"/>
          <w:sz w:val="24"/>
        </w:rPr>
        <w:t>80</w:t>
      </w:r>
      <w:r w:rsidRPr="00925B84">
        <w:rPr>
          <w:rFonts w:hAnsi="宋体"/>
          <w:sz w:val="24"/>
        </w:rPr>
        <w:t>～</w:t>
      </w:r>
      <w:r w:rsidRPr="00925B84">
        <w:rPr>
          <w:rFonts w:hAnsi="宋体" w:hint="eastAsia"/>
          <w:sz w:val="24"/>
        </w:rPr>
        <w:t>100</w:t>
      </w:r>
      <w:r w:rsidRPr="00925B84">
        <w:rPr>
          <w:rFonts w:hAnsi="宋体"/>
          <w:sz w:val="24"/>
        </w:rPr>
        <w:t>dB</w:t>
      </w:r>
      <w:r w:rsidRPr="00925B84">
        <w:rPr>
          <w:rFonts w:hAnsi="宋体" w:hint="eastAsia"/>
          <w:sz w:val="24"/>
        </w:rPr>
        <w:t>(A)</w:t>
      </w:r>
      <w:r w:rsidRPr="00925B84">
        <w:rPr>
          <w:rFonts w:hAnsi="宋体" w:hint="eastAsia"/>
          <w:sz w:val="24"/>
        </w:rPr>
        <w:t>，</w:t>
      </w:r>
      <w:r w:rsidRPr="00925B84">
        <w:rPr>
          <w:rFonts w:hint="eastAsia"/>
          <w:bCs/>
          <w:sz w:val="24"/>
        </w:rPr>
        <w:t>在采取隔声、消声、设备基础减震等降噪措施后，场地内噪声源</w:t>
      </w:r>
      <w:r w:rsidRPr="00925B84">
        <w:rPr>
          <w:bCs/>
          <w:sz w:val="24"/>
        </w:rPr>
        <w:t>声压级一般在</w:t>
      </w:r>
      <w:r w:rsidRPr="00925B84">
        <w:rPr>
          <w:rFonts w:hint="eastAsia"/>
          <w:bCs/>
          <w:sz w:val="24"/>
        </w:rPr>
        <w:t>65~75</w:t>
      </w:r>
      <w:r w:rsidRPr="00925B84">
        <w:rPr>
          <w:rFonts w:hAnsi="宋体"/>
          <w:sz w:val="24"/>
        </w:rPr>
        <w:t>dB</w:t>
      </w:r>
      <w:r w:rsidRPr="00925B84">
        <w:rPr>
          <w:rFonts w:hAnsi="宋体" w:hint="eastAsia"/>
          <w:sz w:val="24"/>
        </w:rPr>
        <w:t>(A)</w:t>
      </w:r>
      <w:r w:rsidRPr="00925B84">
        <w:rPr>
          <w:bCs/>
          <w:sz w:val="24"/>
        </w:rPr>
        <w:t>之间</w:t>
      </w:r>
      <w:r w:rsidRPr="00925B84">
        <w:rPr>
          <w:rFonts w:hint="eastAsia"/>
          <w:bCs/>
          <w:sz w:val="24"/>
        </w:rPr>
        <w:t>。</w:t>
      </w:r>
      <w:r w:rsidRPr="00925B84">
        <w:rPr>
          <w:bCs/>
          <w:sz w:val="24"/>
        </w:rPr>
        <w:t>交通噪声主要是</w:t>
      </w:r>
      <w:r w:rsidRPr="00925B84">
        <w:rPr>
          <w:rFonts w:hint="eastAsia"/>
          <w:bCs/>
          <w:sz w:val="24"/>
        </w:rPr>
        <w:t>运煤</w:t>
      </w:r>
      <w:r w:rsidRPr="00925B84">
        <w:rPr>
          <w:bCs/>
          <w:sz w:val="24"/>
        </w:rPr>
        <w:t>道路噪声，运输产生的噪声源主要为线性、间断噪声源。</w:t>
      </w:r>
    </w:p>
    <w:p w:rsidR="00C223F5" w:rsidRPr="00925B84" w:rsidRDefault="005860D5" w:rsidP="00C006A7">
      <w:pPr>
        <w:spacing w:line="360" w:lineRule="auto"/>
        <w:ind w:firstLineChars="200" w:firstLine="480"/>
        <w:rPr>
          <w:sz w:val="24"/>
        </w:rPr>
      </w:pPr>
      <w:r w:rsidRPr="00925B84">
        <w:rPr>
          <w:rFonts w:hint="eastAsia"/>
          <w:sz w:val="24"/>
        </w:rPr>
        <w:t>（</w:t>
      </w:r>
      <w:r w:rsidRPr="00925B84">
        <w:rPr>
          <w:rFonts w:hint="eastAsia"/>
          <w:sz w:val="24"/>
        </w:rPr>
        <w:t>5</w:t>
      </w:r>
      <w:r w:rsidRPr="00925B84">
        <w:rPr>
          <w:rFonts w:hint="eastAsia"/>
          <w:sz w:val="24"/>
        </w:rPr>
        <w:t>）生态影响因素分析</w:t>
      </w:r>
    </w:p>
    <w:p w:rsidR="00C223F5" w:rsidRDefault="005860D5">
      <w:pPr>
        <w:spacing w:line="360" w:lineRule="auto"/>
        <w:ind w:firstLineChars="200" w:firstLine="480"/>
        <w:rPr>
          <w:sz w:val="24"/>
        </w:rPr>
      </w:pPr>
      <w:r w:rsidRPr="00925B84">
        <w:rPr>
          <w:rFonts w:hint="eastAsia"/>
          <w:sz w:val="24"/>
        </w:rPr>
        <w:t>运行期生态影响因素主要为井下采煤导致地表移动变形，产生裂隙，对土地资源利用产生不利影响，对地表建构筑物造成损害。工程运行期生态影响具有持续时间较长、影响范围较大、难以避免</w:t>
      </w:r>
      <w:r>
        <w:rPr>
          <w:rFonts w:hint="eastAsia"/>
          <w:sz w:val="24"/>
        </w:rPr>
        <w:t>的特点，是工程实施最主要的环境影响因素。工程投入运行后，需采取生态综合治理恢复措施，妥善安置受影响居民生活、恢复受损土地使用功能。</w:t>
      </w:r>
    </w:p>
    <w:p w:rsidR="00C223F5" w:rsidRPr="00925B84" w:rsidRDefault="005860D5">
      <w:pPr>
        <w:jc w:val="center"/>
        <w:rPr>
          <w:b/>
          <w:sz w:val="24"/>
        </w:rPr>
      </w:pPr>
      <w:r w:rsidRPr="00925B84">
        <w:rPr>
          <w:b/>
          <w:sz w:val="24"/>
        </w:rPr>
        <w:lastRenderedPageBreak/>
        <w:t>表</w:t>
      </w:r>
      <w:r w:rsidRPr="00925B84">
        <w:rPr>
          <w:rFonts w:hint="eastAsia"/>
          <w:b/>
          <w:sz w:val="24"/>
        </w:rPr>
        <w:t xml:space="preserve">2.3.2-5   </w:t>
      </w:r>
      <w:r w:rsidRPr="00925B84">
        <w:rPr>
          <w:b/>
          <w:sz w:val="24"/>
        </w:rPr>
        <w:t>噪声源特征表</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
        <w:gridCol w:w="1317"/>
        <w:gridCol w:w="1807"/>
        <w:gridCol w:w="781"/>
        <w:gridCol w:w="1302"/>
        <w:gridCol w:w="538"/>
        <w:gridCol w:w="782"/>
        <w:gridCol w:w="2232"/>
      </w:tblGrid>
      <w:tr w:rsidR="00C223F5" w:rsidRPr="00925B84">
        <w:trPr>
          <w:trHeight w:val="313"/>
          <w:jc w:val="center"/>
        </w:trPr>
        <w:tc>
          <w:tcPr>
            <w:tcW w:w="396" w:type="dxa"/>
            <w:vMerge w:val="restart"/>
            <w:vAlign w:val="center"/>
          </w:tcPr>
          <w:p w:rsidR="00C223F5" w:rsidRPr="00925B84" w:rsidRDefault="005860D5">
            <w:pPr>
              <w:jc w:val="center"/>
            </w:pPr>
            <w:r w:rsidRPr="00925B84">
              <w:rPr>
                <w:rFonts w:hint="eastAsia"/>
              </w:rPr>
              <w:t>序号</w:t>
            </w:r>
          </w:p>
        </w:tc>
        <w:tc>
          <w:tcPr>
            <w:tcW w:w="1317" w:type="dxa"/>
            <w:vMerge w:val="restart"/>
            <w:tcMar>
              <w:top w:w="6" w:type="dxa"/>
              <w:left w:w="6" w:type="dxa"/>
              <w:bottom w:w="6" w:type="dxa"/>
              <w:right w:w="6" w:type="dxa"/>
            </w:tcMar>
            <w:vAlign w:val="center"/>
          </w:tcPr>
          <w:p w:rsidR="00C223F5" w:rsidRPr="00925B84" w:rsidRDefault="005860D5">
            <w:pPr>
              <w:jc w:val="center"/>
            </w:pPr>
            <w:r w:rsidRPr="00925B84">
              <w:t>厂房或车间</w:t>
            </w:r>
          </w:p>
        </w:tc>
        <w:tc>
          <w:tcPr>
            <w:tcW w:w="4428" w:type="dxa"/>
            <w:gridSpan w:val="4"/>
            <w:tcMar>
              <w:top w:w="6" w:type="dxa"/>
              <w:left w:w="6" w:type="dxa"/>
              <w:bottom w:w="6" w:type="dxa"/>
              <w:right w:w="6" w:type="dxa"/>
            </w:tcMar>
            <w:vAlign w:val="center"/>
          </w:tcPr>
          <w:p w:rsidR="00C223F5" w:rsidRPr="00925B84" w:rsidRDefault="005860D5">
            <w:pPr>
              <w:jc w:val="center"/>
            </w:pPr>
            <w:r w:rsidRPr="00925B84">
              <w:t>噪声源特征</w:t>
            </w:r>
          </w:p>
        </w:tc>
        <w:tc>
          <w:tcPr>
            <w:tcW w:w="782" w:type="dxa"/>
            <w:vMerge w:val="restart"/>
            <w:tcMar>
              <w:top w:w="6" w:type="dxa"/>
              <w:left w:w="6" w:type="dxa"/>
              <w:bottom w:w="6" w:type="dxa"/>
              <w:right w:w="6" w:type="dxa"/>
            </w:tcMar>
            <w:vAlign w:val="center"/>
          </w:tcPr>
          <w:p w:rsidR="00C223F5" w:rsidRPr="00925B84" w:rsidRDefault="005860D5">
            <w:pPr>
              <w:jc w:val="center"/>
            </w:pPr>
            <w:r w:rsidRPr="00925B84">
              <w:t>治理后</w:t>
            </w:r>
          </w:p>
          <w:p w:rsidR="00C223F5" w:rsidRPr="00925B84" w:rsidRDefault="005860D5">
            <w:pPr>
              <w:jc w:val="center"/>
            </w:pPr>
            <w:r w:rsidRPr="00925B84">
              <w:t>声压级</w:t>
            </w:r>
            <w:r w:rsidRPr="00925B84">
              <w:t>dB(A)</w:t>
            </w:r>
          </w:p>
        </w:tc>
        <w:tc>
          <w:tcPr>
            <w:tcW w:w="2232" w:type="dxa"/>
            <w:vMerge w:val="restart"/>
            <w:tcMar>
              <w:top w:w="6" w:type="dxa"/>
              <w:left w:w="6" w:type="dxa"/>
              <w:bottom w:w="6" w:type="dxa"/>
              <w:right w:w="6" w:type="dxa"/>
            </w:tcMar>
            <w:vAlign w:val="center"/>
          </w:tcPr>
          <w:p w:rsidR="00C223F5" w:rsidRPr="00925B84" w:rsidRDefault="005860D5">
            <w:pPr>
              <w:jc w:val="center"/>
            </w:pPr>
            <w:r w:rsidRPr="00925B84">
              <w:t>防治措施</w:t>
            </w:r>
          </w:p>
        </w:tc>
      </w:tr>
      <w:tr w:rsidR="00C223F5" w:rsidRPr="00925B84">
        <w:trPr>
          <w:trHeight w:val="411"/>
          <w:jc w:val="center"/>
        </w:trPr>
        <w:tc>
          <w:tcPr>
            <w:tcW w:w="396" w:type="dxa"/>
            <w:vMerge/>
            <w:vAlign w:val="center"/>
          </w:tcPr>
          <w:p w:rsidR="00C223F5" w:rsidRPr="00925B84" w:rsidRDefault="00C223F5">
            <w:pPr>
              <w:jc w:val="center"/>
            </w:pPr>
          </w:p>
        </w:tc>
        <w:tc>
          <w:tcPr>
            <w:tcW w:w="1317" w:type="dxa"/>
            <w:vMerge/>
            <w:tcMar>
              <w:top w:w="6" w:type="dxa"/>
              <w:left w:w="6" w:type="dxa"/>
              <w:bottom w:w="6" w:type="dxa"/>
              <w:right w:w="6" w:type="dxa"/>
            </w:tcMar>
            <w:vAlign w:val="center"/>
          </w:tcPr>
          <w:p w:rsidR="00C223F5" w:rsidRPr="00925B84" w:rsidRDefault="00C223F5">
            <w:pPr>
              <w:jc w:val="center"/>
            </w:pPr>
          </w:p>
        </w:tc>
        <w:tc>
          <w:tcPr>
            <w:tcW w:w="1807" w:type="dxa"/>
            <w:tcMar>
              <w:top w:w="6" w:type="dxa"/>
              <w:left w:w="6" w:type="dxa"/>
              <w:bottom w:w="6" w:type="dxa"/>
              <w:right w:w="6" w:type="dxa"/>
            </w:tcMar>
            <w:vAlign w:val="center"/>
          </w:tcPr>
          <w:p w:rsidR="00C223F5" w:rsidRPr="00925B84" w:rsidRDefault="005860D5">
            <w:pPr>
              <w:jc w:val="center"/>
            </w:pPr>
            <w:r w:rsidRPr="00925B84">
              <w:t>主要产噪设备</w:t>
            </w:r>
          </w:p>
        </w:tc>
        <w:tc>
          <w:tcPr>
            <w:tcW w:w="781" w:type="dxa"/>
            <w:tcMar>
              <w:top w:w="6" w:type="dxa"/>
              <w:left w:w="6" w:type="dxa"/>
              <w:bottom w:w="6" w:type="dxa"/>
              <w:right w:w="6" w:type="dxa"/>
            </w:tcMar>
            <w:vAlign w:val="center"/>
          </w:tcPr>
          <w:p w:rsidR="00C223F5" w:rsidRPr="00925B84" w:rsidRDefault="005860D5">
            <w:pPr>
              <w:jc w:val="center"/>
            </w:pPr>
            <w:r w:rsidRPr="00925B84">
              <w:t>声压级</w:t>
            </w:r>
          </w:p>
          <w:p w:rsidR="00C223F5" w:rsidRPr="00925B84" w:rsidRDefault="005860D5">
            <w:pPr>
              <w:jc w:val="center"/>
            </w:pPr>
            <w:r w:rsidRPr="00925B84">
              <w:t>dB(A)</w:t>
            </w:r>
          </w:p>
        </w:tc>
        <w:tc>
          <w:tcPr>
            <w:tcW w:w="1302" w:type="dxa"/>
            <w:tcMar>
              <w:top w:w="6" w:type="dxa"/>
              <w:left w:w="6" w:type="dxa"/>
              <w:bottom w:w="6" w:type="dxa"/>
              <w:right w:w="6" w:type="dxa"/>
            </w:tcMar>
            <w:vAlign w:val="center"/>
          </w:tcPr>
          <w:p w:rsidR="00C223F5" w:rsidRPr="00925B84" w:rsidRDefault="005860D5">
            <w:pPr>
              <w:jc w:val="center"/>
            </w:pPr>
            <w:r w:rsidRPr="00925B84">
              <w:t>声源分类</w:t>
            </w:r>
          </w:p>
        </w:tc>
        <w:tc>
          <w:tcPr>
            <w:tcW w:w="538" w:type="dxa"/>
            <w:tcMar>
              <w:top w:w="6" w:type="dxa"/>
              <w:left w:w="6" w:type="dxa"/>
              <w:bottom w:w="6" w:type="dxa"/>
              <w:right w:w="6" w:type="dxa"/>
            </w:tcMar>
            <w:vAlign w:val="center"/>
          </w:tcPr>
          <w:p w:rsidR="00C223F5" w:rsidRPr="00925B84" w:rsidRDefault="005860D5">
            <w:pPr>
              <w:jc w:val="center"/>
            </w:pPr>
            <w:r w:rsidRPr="00925B84">
              <w:t>特征</w:t>
            </w:r>
          </w:p>
        </w:tc>
        <w:tc>
          <w:tcPr>
            <w:tcW w:w="782" w:type="dxa"/>
            <w:vMerge/>
            <w:tcMar>
              <w:top w:w="6" w:type="dxa"/>
              <w:left w:w="6" w:type="dxa"/>
              <w:bottom w:w="6" w:type="dxa"/>
              <w:right w:w="6" w:type="dxa"/>
            </w:tcMar>
            <w:vAlign w:val="center"/>
          </w:tcPr>
          <w:p w:rsidR="00C223F5" w:rsidRPr="00925B84" w:rsidRDefault="00C223F5">
            <w:pPr>
              <w:jc w:val="center"/>
            </w:pPr>
          </w:p>
        </w:tc>
        <w:tc>
          <w:tcPr>
            <w:tcW w:w="2232" w:type="dxa"/>
            <w:vMerge/>
            <w:tcMar>
              <w:top w:w="6" w:type="dxa"/>
              <w:left w:w="6" w:type="dxa"/>
              <w:bottom w:w="6" w:type="dxa"/>
              <w:right w:w="6" w:type="dxa"/>
            </w:tcMar>
            <w:vAlign w:val="center"/>
          </w:tcPr>
          <w:p w:rsidR="00C223F5" w:rsidRPr="00925B84" w:rsidRDefault="00C223F5">
            <w:pPr>
              <w:jc w:val="center"/>
            </w:pPr>
          </w:p>
        </w:tc>
      </w:tr>
      <w:tr w:rsidR="00C223F5" w:rsidRPr="00925B84">
        <w:trPr>
          <w:trHeight w:val="411"/>
          <w:jc w:val="center"/>
        </w:trPr>
        <w:tc>
          <w:tcPr>
            <w:tcW w:w="396" w:type="dxa"/>
            <w:vAlign w:val="center"/>
          </w:tcPr>
          <w:p w:rsidR="00C223F5" w:rsidRPr="00925B84" w:rsidRDefault="005860D5">
            <w:pPr>
              <w:jc w:val="center"/>
            </w:pPr>
            <w:r w:rsidRPr="00925B84">
              <w:rPr>
                <w:rFonts w:hint="eastAsia"/>
              </w:rPr>
              <w:t>1</w:t>
            </w:r>
          </w:p>
        </w:tc>
        <w:tc>
          <w:tcPr>
            <w:tcW w:w="1317" w:type="dxa"/>
            <w:tcMar>
              <w:top w:w="6" w:type="dxa"/>
              <w:left w:w="6" w:type="dxa"/>
              <w:bottom w:w="6" w:type="dxa"/>
              <w:right w:w="6" w:type="dxa"/>
            </w:tcMar>
            <w:vAlign w:val="center"/>
          </w:tcPr>
          <w:p w:rsidR="00C223F5" w:rsidRPr="00925B84" w:rsidRDefault="005860D5">
            <w:pPr>
              <w:jc w:val="center"/>
              <w:rPr>
                <w:bCs/>
                <w:spacing w:val="-4"/>
                <w:szCs w:val="21"/>
              </w:rPr>
            </w:pPr>
            <w:r w:rsidRPr="00925B84">
              <w:rPr>
                <w:rFonts w:hint="eastAsia"/>
                <w:bCs/>
                <w:spacing w:val="-4"/>
                <w:szCs w:val="21"/>
              </w:rPr>
              <w:t>驱动机房</w:t>
            </w:r>
          </w:p>
        </w:tc>
        <w:tc>
          <w:tcPr>
            <w:tcW w:w="1807" w:type="dxa"/>
            <w:tcMar>
              <w:top w:w="6" w:type="dxa"/>
              <w:left w:w="6" w:type="dxa"/>
              <w:bottom w:w="6" w:type="dxa"/>
              <w:right w:w="6" w:type="dxa"/>
            </w:tcMar>
            <w:vAlign w:val="center"/>
          </w:tcPr>
          <w:p w:rsidR="00C223F5" w:rsidRPr="00925B84" w:rsidRDefault="005860D5">
            <w:pPr>
              <w:jc w:val="center"/>
              <w:rPr>
                <w:szCs w:val="21"/>
              </w:rPr>
            </w:pPr>
            <w:r w:rsidRPr="00925B84">
              <w:rPr>
                <w:rFonts w:hint="eastAsia"/>
                <w:szCs w:val="21"/>
              </w:rPr>
              <w:t>驱动</w:t>
            </w:r>
            <w:r w:rsidRPr="00925B84">
              <w:rPr>
                <w:szCs w:val="21"/>
              </w:rPr>
              <w:t>机</w:t>
            </w:r>
          </w:p>
        </w:tc>
        <w:tc>
          <w:tcPr>
            <w:tcW w:w="781" w:type="dxa"/>
            <w:tcMar>
              <w:top w:w="6" w:type="dxa"/>
              <w:left w:w="6" w:type="dxa"/>
              <w:bottom w:w="6" w:type="dxa"/>
              <w:right w:w="6" w:type="dxa"/>
            </w:tcMar>
            <w:vAlign w:val="center"/>
          </w:tcPr>
          <w:p w:rsidR="00C223F5" w:rsidRPr="00925B84" w:rsidRDefault="005860D5">
            <w:pPr>
              <w:jc w:val="center"/>
              <w:rPr>
                <w:szCs w:val="21"/>
              </w:rPr>
            </w:pPr>
            <w:r w:rsidRPr="00925B84">
              <w:rPr>
                <w:rFonts w:hint="eastAsia"/>
                <w:szCs w:val="21"/>
              </w:rPr>
              <w:t>95.0</w:t>
            </w:r>
          </w:p>
        </w:tc>
        <w:tc>
          <w:tcPr>
            <w:tcW w:w="1302" w:type="dxa"/>
            <w:tcMar>
              <w:top w:w="6" w:type="dxa"/>
              <w:left w:w="6" w:type="dxa"/>
              <w:bottom w:w="6" w:type="dxa"/>
              <w:right w:w="6" w:type="dxa"/>
            </w:tcMar>
            <w:vAlign w:val="center"/>
          </w:tcPr>
          <w:p w:rsidR="00C223F5" w:rsidRPr="00925B84" w:rsidRDefault="005860D5">
            <w:pPr>
              <w:jc w:val="center"/>
              <w:rPr>
                <w:szCs w:val="21"/>
              </w:rPr>
            </w:pPr>
            <w:r w:rsidRPr="00925B84">
              <w:rPr>
                <w:szCs w:val="21"/>
              </w:rPr>
              <w:t>机械性</w:t>
            </w:r>
          </w:p>
        </w:tc>
        <w:tc>
          <w:tcPr>
            <w:tcW w:w="538" w:type="dxa"/>
            <w:tcMar>
              <w:top w:w="6" w:type="dxa"/>
              <w:left w:w="6" w:type="dxa"/>
              <w:bottom w:w="6" w:type="dxa"/>
              <w:right w:w="6" w:type="dxa"/>
            </w:tcMar>
            <w:vAlign w:val="center"/>
          </w:tcPr>
          <w:p w:rsidR="00C223F5" w:rsidRPr="00925B84" w:rsidRDefault="005860D5">
            <w:pPr>
              <w:jc w:val="center"/>
              <w:rPr>
                <w:szCs w:val="21"/>
              </w:rPr>
            </w:pPr>
            <w:r w:rsidRPr="00925B84">
              <w:rPr>
                <w:szCs w:val="21"/>
              </w:rPr>
              <w:t>连续</w:t>
            </w:r>
          </w:p>
        </w:tc>
        <w:tc>
          <w:tcPr>
            <w:tcW w:w="782" w:type="dxa"/>
            <w:tcMar>
              <w:top w:w="6" w:type="dxa"/>
              <w:left w:w="6" w:type="dxa"/>
              <w:bottom w:w="6" w:type="dxa"/>
              <w:right w:w="6" w:type="dxa"/>
            </w:tcMar>
            <w:vAlign w:val="center"/>
          </w:tcPr>
          <w:p w:rsidR="00C223F5" w:rsidRPr="00925B84" w:rsidRDefault="005860D5">
            <w:pPr>
              <w:jc w:val="center"/>
              <w:rPr>
                <w:szCs w:val="21"/>
              </w:rPr>
            </w:pPr>
            <w:r w:rsidRPr="00925B84">
              <w:rPr>
                <w:rFonts w:hint="eastAsia"/>
                <w:szCs w:val="21"/>
              </w:rPr>
              <w:t>70.0</w:t>
            </w:r>
          </w:p>
        </w:tc>
        <w:tc>
          <w:tcPr>
            <w:tcW w:w="2232" w:type="dxa"/>
            <w:tcMar>
              <w:top w:w="6" w:type="dxa"/>
              <w:left w:w="6" w:type="dxa"/>
              <w:bottom w:w="6" w:type="dxa"/>
              <w:right w:w="6" w:type="dxa"/>
            </w:tcMar>
            <w:vAlign w:val="center"/>
          </w:tcPr>
          <w:p w:rsidR="00C223F5" w:rsidRPr="00925B84" w:rsidRDefault="005860D5">
            <w:pPr>
              <w:jc w:val="center"/>
            </w:pPr>
            <w:r w:rsidRPr="00925B84">
              <w:t>设置隔声门窗和隔音值班室</w:t>
            </w:r>
            <w:r w:rsidRPr="00925B84">
              <w:rPr>
                <w:rFonts w:hint="eastAsia"/>
              </w:rPr>
              <w:t>、驱动机隔声罩</w:t>
            </w:r>
          </w:p>
        </w:tc>
      </w:tr>
      <w:tr w:rsidR="00C223F5" w:rsidRPr="00925B84">
        <w:trPr>
          <w:trHeight w:val="326"/>
          <w:jc w:val="center"/>
        </w:trPr>
        <w:tc>
          <w:tcPr>
            <w:tcW w:w="396" w:type="dxa"/>
            <w:vAlign w:val="center"/>
          </w:tcPr>
          <w:p w:rsidR="00C223F5" w:rsidRPr="00925B84" w:rsidRDefault="005860D5">
            <w:pPr>
              <w:jc w:val="center"/>
            </w:pPr>
            <w:r w:rsidRPr="00925B84">
              <w:rPr>
                <w:rFonts w:hint="eastAsia"/>
              </w:rPr>
              <w:t>2</w:t>
            </w:r>
          </w:p>
        </w:tc>
        <w:tc>
          <w:tcPr>
            <w:tcW w:w="1317" w:type="dxa"/>
            <w:tcMar>
              <w:top w:w="6" w:type="dxa"/>
              <w:left w:w="6" w:type="dxa"/>
              <w:bottom w:w="6" w:type="dxa"/>
              <w:right w:w="6" w:type="dxa"/>
            </w:tcMar>
            <w:vAlign w:val="center"/>
          </w:tcPr>
          <w:p w:rsidR="00C223F5" w:rsidRPr="00925B84" w:rsidRDefault="005860D5">
            <w:pPr>
              <w:jc w:val="center"/>
            </w:pPr>
            <w:r w:rsidRPr="00925B84">
              <w:rPr>
                <w:rFonts w:hint="eastAsia"/>
              </w:rPr>
              <w:t>筛破车间</w:t>
            </w:r>
          </w:p>
        </w:tc>
        <w:tc>
          <w:tcPr>
            <w:tcW w:w="1807" w:type="dxa"/>
            <w:tcMar>
              <w:top w:w="6" w:type="dxa"/>
              <w:left w:w="6" w:type="dxa"/>
              <w:bottom w:w="6" w:type="dxa"/>
              <w:right w:w="6" w:type="dxa"/>
            </w:tcMar>
            <w:vAlign w:val="center"/>
          </w:tcPr>
          <w:p w:rsidR="00C223F5" w:rsidRPr="00925B84" w:rsidRDefault="005860D5">
            <w:pPr>
              <w:jc w:val="center"/>
            </w:pPr>
            <w:r w:rsidRPr="00925B84">
              <w:rPr>
                <w:rFonts w:hint="eastAsia"/>
                <w:szCs w:val="21"/>
              </w:rPr>
              <w:t>分级筛、破碎机</w:t>
            </w:r>
          </w:p>
        </w:tc>
        <w:tc>
          <w:tcPr>
            <w:tcW w:w="781" w:type="dxa"/>
            <w:tcMar>
              <w:top w:w="6" w:type="dxa"/>
              <w:left w:w="6" w:type="dxa"/>
              <w:bottom w:w="6" w:type="dxa"/>
              <w:right w:w="6" w:type="dxa"/>
            </w:tcMar>
            <w:vAlign w:val="center"/>
          </w:tcPr>
          <w:p w:rsidR="00C223F5" w:rsidRPr="00925B84" w:rsidRDefault="005860D5">
            <w:pPr>
              <w:jc w:val="center"/>
            </w:pPr>
            <w:r w:rsidRPr="00925B84">
              <w:rPr>
                <w:rFonts w:hint="eastAsia"/>
              </w:rPr>
              <w:t>98.0</w:t>
            </w:r>
          </w:p>
        </w:tc>
        <w:tc>
          <w:tcPr>
            <w:tcW w:w="1302" w:type="dxa"/>
            <w:tcMar>
              <w:top w:w="6" w:type="dxa"/>
              <w:left w:w="6" w:type="dxa"/>
              <w:bottom w:w="6" w:type="dxa"/>
              <w:right w:w="6" w:type="dxa"/>
            </w:tcMar>
            <w:vAlign w:val="center"/>
          </w:tcPr>
          <w:p w:rsidR="00C223F5" w:rsidRPr="00925B84" w:rsidRDefault="005860D5">
            <w:pPr>
              <w:jc w:val="center"/>
            </w:pPr>
            <w:r w:rsidRPr="00925B84">
              <w:t>撞击、机械性</w:t>
            </w:r>
          </w:p>
        </w:tc>
        <w:tc>
          <w:tcPr>
            <w:tcW w:w="538" w:type="dxa"/>
            <w:tcMar>
              <w:top w:w="6" w:type="dxa"/>
              <w:left w:w="6" w:type="dxa"/>
              <w:bottom w:w="6" w:type="dxa"/>
              <w:right w:w="6" w:type="dxa"/>
            </w:tcMar>
            <w:vAlign w:val="center"/>
          </w:tcPr>
          <w:p w:rsidR="00C223F5" w:rsidRPr="00925B84" w:rsidRDefault="005860D5">
            <w:pPr>
              <w:jc w:val="center"/>
            </w:pPr>
            <w:r w:rsidRPr="00925B84">
              <w:t>连续</w:t>
            </w:r>
          </w:p>
        </w:tc>
        <w:tc>
          <w:tcPr>
            <w:tcW w:w="782" w:type="dxa"/>
            <w:tcMar>
              <w:top w:w="6" w:type="dxa"/>
              <w:left w:w="6" w:type="dxa"/>
              <w:bottom w:w="6" w:type="dxa"/>
              <w:right w:w="6" w:type="dxa"/>
            </w:tcMar>
            <w:vAlign w:val="center"/>
          </w:tcPr>
          <w:p w:rsidR="00C223F5" w:rsidRPr="00925B84" w:rsidRDefault="005860D5">
            <w:pPr>
              <w:jc w:val="center"/>
            </w:pPr>
            <w:r w:rsidRPr="00925B84">
              <w:rPr>
                <w:rFonts w:hint="eastAsia"/>
              </w:rPr>
              <w:t>78.0</w:t>
            </w:r>
          </w:p>
        </w:tc>
        <w:tc>
          <w:tcPr>
            <w:tcW w:w="2232" w:type="dxa"/>
            <w:tcMar>
              <w:top w:w="6" w:type="dxa"/>
              <w:left w:w="6" w:type="dxa"/>
              <w:bottom w:w="6" w:type="dxa"/>
              <w:right w:w="6" w:type="dxa"/>
            </w:tcMar>
            <w:vAlign w:val="center"/>
          </w:tcPr>
          <w:p w:rsidR="00C223F5" w:rsidRPr="00925B84" w:rsidRDefault="005860D5">
            <w:pPr>
              <w:jc w:val="center"/>
            </w:pPr>
            <w:r w:rsidRPr="00925B84">
              <w:rPr>
                <w:rFonts w:hint="eastAsia"/>
              </w:rPr>
              <w:t>加装专用</w:t>
            </w:r>
            <w:r w:rsidRPr="00925B84">
              <w:t>隔声门窗</w:t>
            </w:r>
            <w:r w:rsidRPr="00925B84">
              <w:rPr>
                <w:rFonts w:hint="eastAsia"/>
              </w:rPr>
              <w:t>，设备基础减震，隔声办公室</w:t>
            </w:r>
          </w:p>
        </w:tc>
      </w:tr>
      <w:tr w:rsidR="00C223F5" w:rsidRPr="00925B84">
        <w:trPr>
          <w:trHeight w:val="326"/>
          <w:jc w:val="center"/>
        </w:trPr>
        <w:tc>
          <w:tcPr>
            <w:tcW w:w="396" w:type="dxa"/>
            <w:vAlign w:val="center"/>
          </w:tcPr>
          <w:p w:rsidR="00C223F5" w:rsidRPr="00925B84" w:rsidRDefault="005860D5">
            <w:pPr>
              <w:jc w:val="center"/>
            </w:pPr>
            <w:r w:rsidRPr="00925B84">
              <w:rPr>
                <w:rFonts w:hint="eastAsia"/>
              </w:rPr>
              <w:t>3</w:t>
            </w:r>
          </w:p>
        </w:tc>
        <w:tc>
          <w:tcPr>
            <w:tcW w:w="1317" w:type="dxa"/>
            <w:tcMar>
              <w:top w:w="6" w:type="dxa"/>
              <w:left w:w="6" w:type="dxa"/>
              <w:bottom w:w="6" w:type="dxa"/>
              <w:right w:w="6" w:type="dxa"/>
            </w:tcMar>
            <w:vAlign w:val="center"/>
          </w:tcPr>
          <w:p w:rsidR="00C223F5" w:rsidRPr="00925B84" w:rsidRDefault="005860D5">
            <w:pPr>
              <w:jc w:val="center"/>
            </w:pPr>
            <w:r w:rsidRPr="00925B84">
              <w:rPr>
                <w:rFonts w:hint="eastAsia"/>
              </w:rPr>
              <w:t>主厂房</w:t>
            </w:r>
          </w:p>
        </w:tc>
        <w:tc>
          <w:tcPr>
            <w:tcW w:w="1807" w:type="dxa"/>
            <w:tcMar>
              <w:top w:w="6" w:type="dxa"/>
              <w:left w:w="6" w:type="dxa"/>
              <w:bottom w:w="6" w:type="dxa"/>
              <w:right w:w="6" w:type="dxa"/>
            </w:tcMar>
            <w:vAlign w:val="center"/>
          </w:tcPr>
          <w:p w:rsidR="00C223F5" w:rsidRPr="00925B84" w:rsidRDefault="005860D5">
            <w:pPr>
              <w:jc w:val="center"/>
              <w:rPr>
                <w:szCs w:val="21"/>
              </w:rPr>
            </w:pPr>
            <w:r w:rsidRPr="00925B84">
              <w:rPr>
                <w:rFonts w:hint="eastAsia"/>
                <w:szCs w:val="21"/>
              </w:rPr>
              <w:t>分选机、脱介脱</w:t>
            </w:r>
          </w:p>
          <w:p w:rsidR="00C223F5" w:rsidRPr="00925B84" w:rsidRDefault="005860D5">
            <w:pPr>
              <w:jc w:val="center"/>
            </w:pPr>
            <w:r w:rsidRPr="00925B84">
              <w:rPr>
                <w:rFonts w:hint="eastAsia"/>
                <w:szCs w:val="21"/>
              </w:rPr>
              <w:t>泥筛、离心机等</w:t>
            </w:r>
          </w:p>
        </w:tc>
        <w:tc>
          <w:tcPr>
            <w:tcW w:w="781" w:type="dxa"/>
            <w:tcMar>
              <w:top w:w="6" w:type="dxa"/>
              <w:left w:w="6" w:type="dxa"/>
              <w:bottom w:w="6" w:type="dxa"/>
              <w:right w:w="6" w:type="dxa"/>
            </w:tcMar>
            <w:vAlign w:val="center"/>
          </w:tcPr>
          <w:p w:rsidR="00C223F5" w:rsidRPr="00925B84" w:rsidRDefault="005860D5">
            <w:pPr>
              <w:jc w:val="center"/>
            </w:pPr>
            <w:r w:rsidRPr="00925B84">
              <w:rPr>
                <w:rFonts w:hint="eastAsia"/>
              </w:rPr>
              <w:t>98.0</w:t>
            </w:r>
          </w:p>
        </w:tc>
        <w:tc>
          <w:tcPr>
            <w:tcW w:w="1302" w:type="dxa"/>
            <w:tcMar>
              <w:top w:w="6" w:type="dxa"/>
              <w:left w:w="6" w:type="dxa"/>
              <w:bottom w:w="6" w:type="dxa"/>
              <w:right w:w="6" w:type="dxa"/>
            </w:tcMar>
            <w:vAlign w:val="center"/>
          </w:tcPr>
          <w:p w:rsidR="00C223F5" w:rsidRPr="00925B84" w:rsidRDefault="005860D5">
            <w:pPr>
              <w:jc w:val="center"/>
            </w:pPr>
            <w:r w:rsidRPr="00925B84">
              <w:t>撞击、机械性</w:t>
            </w:r>
          </w:p>
        </w:tc>
        <w:tc>
          <w:tcPr>
            <w:tcW w:w="538" w:type="dxa"/>
            <w:tcMar>
              <w:top w:w="6" w:type="dxa"/>
              <w:left w:w="6" w:type="dxa"/>
              <w:bottom w:w="6" w:type="dxa"/>
              <w:right w:w="6" w:type="dxa"/>
            </w:tcMar>
            <w:vAlign w:val="center"/>
          </w:tcPr>
          <w:p w:rsidR="00C223F5" w:rsidRPr="00925B84" w:rsidRDefault="005860D5">
            <w:pPr>
              <w:jc w:val="center"/>
            </w:pPr>
            <w:r w:rsidRPr="00925B84">
              <w:t>连续</w:t>
            </w:r>
          </w:p>
        </w:tc>
        <w:tc>
          <w:tcPr>
            <w:tcW w:w="782" w:type="dxa"/>
            <w:tcMar>
              <w:top w:w="6" w:type="dxa"/>
              <w:left w:w="6" w:type="dxa"/>
              <w:bottom w:w="6" w:type="dxa"/>
              <w:right w:w="6" w:type="dxa"/>
            </w:tcMar>
            <w:vAlign w:val="center"/>
          </w:tcPr>
          <w:p w:rsidR="00C223F5" w:rsidRPr="00925B84" w:rsidRDefault="005860D5">
            <w:pPr>
              <w:jc w:val="center"/>
            </w:pPr>
            <w:r w:rsidRPr="00925B84">
              <w:rPr>
                <w:rFonts w:hint="eastAsia"/>
              </w:rPr>
              <w:t>78.0</w:t>
            </w:r>
          </w:p>
        </w:tc>
        <w:tc>
          <w:tcPr>
            <w:tcW w:w="2232" w:type="dxa"/>
            <w:tcMar>
              <w:top w:w="6" w:type="dxa"/>
              <w:left w:w="6" w:type="dxa"/>
              <w:bottom w:w="6" w:type="dxa"/>
              <w:right w:w="6" w:type="dxa"/>
            </w:tcMar>
            <w:vAlign w:val="center"/>
          </w:tcPr>
          <w:p w:rsidR="00C223F5" w:rsidRPr="00925B84" w:rsidRDefault="005860D5">
            <w:pPr>
              <w:jc w:val="center"/>
            </w:pPr>
            <w:r w:rsidRPr="00925B84">
              <w:rPr>
                <w:rFonts w:hint="eastAsia"/>
              </w:rPr>
              <w:t>加装专用</w:t>
            </w:r>
            <w:r w:rsidRPr="00925B84">
              <w:t>隔声门窗</w:t>
            </w:r>
            <w:r w:rsidRPr="00925B84">
              <w:rPr>
                <w:rFonts w:hint="eastAsia"/>
              </w:rPr>
              <w:t>，设备基础减震，隔声办公室</w:t>
            </w:r>
          </w:p>
        </w:tc>
      </w:tr>
      <w:tr w:rsidR="00C223F5" w:rsidRPr="00925B84">
        <w:trPr>
          <w:trHeight w:val="326"/>
          <w:jc w:val="center"/>
        </w:trPr>
        <w:tc>
          <w:tcPr>
            <w:tcW w:w="396" w:type="dxa"/>
            <w:vAlign w:val="center"/>
          </w:tcPr>
          <w:p w:rsidR="00C223F5" w:rsidRPr="00925B84" w:rsidRDefault="005860D5">
            <w:pPr>
              <w:jc w:val="center"/>
            </w:pPr>
            <w:r w:rsidRPr="00925B84">
              <w:rPr>
                <w:rFonts w:hint="eastAsia"/>
              </w:rPr>
              <w:t>4</w:t>
            </w:r>
          </w:p>
        </w:tc>
        <w:tc>
          <w:tcPr>
            <w:tcW w:w="1317" w:type="dxa"/>
            <w:tcMar>
              <w:top w:w="6" w:type="dxa"/>
              <w:left w:w="6" w:type="dxa"/>
              <w:bottom w:w="6" w:type="dxa"/>
              <w:right w:w="6" w:type="dxa"/>
            </w:tcMar>
            <w:vAlign w:val="center"/>
          </w:tcPr>
          <w:p w:rsidR="00C223F5" w:rsidRPr="00925B84" w:rsidRDefault="005860D5">
            <w:pPr>
              <w:jc w:val="center"/>
            </w:pPr>
            <w:r w:rsidRPr="00925B84">
              <w:rPr>
                <w:rFonts w:hint="eastAsia"/>
              </w:rPr>
              <w:t>乏风热泵机房</w:t>
            </w:r>
          </w:p>
        </w:tc>
        <w:tc>
          <w:tcPr>
            <w:tcW w:w="1807" w:type="dxa"/>
            <w:tcMar>
              <w:top w:w="6" w:type="dxa"/>
              <w:left w:w="6" w:type="dxa"/>
              <w:bottom w:w="6" w:type="dxa"/>
              <w:right w:w="6" w:type="dxa"/>
            </w:tcMar>
            <w:vAlign w:val="center"/>
          </w:tcPr>
          <w:p w:rsidR="00C223F5" w:rsidRPr="00925B84" w:rsidRDefault="005860D5">
            <w:pPr>
              <w:jc w:val="center"/>
            </w:pPr>
            <w:r w:rsidRPr="00925B84">
              <w:rPr>
                <w:rFonts w:hint="eastAsia"/>
              </w:rPr>
              <w:t>压缩机</w:t>
            </w:r>
          </w:p>
        </w:tc>
        <w:tc>
          <w:tcPr>
            <w:tcW w:w="781" w:type="dxa"/>
            <w:tcMar>
              <w:top w:w="6" w:type="dxa"/>
              <w:left w:w="6" w:type="dxa"/>
              <w:bottom w:w="6" w:type="dxa"/>
              <w:right w:w="6" w:type="dxa"/>
            </w:tcMar>
            <w:vAlign w:val="center"/>
          </w:tcPr>
          <w:p w:rsidR="00C223F5" w:rsidRPr="00925B84" w:rsidRDefault="005860D5">
            <w:pPr>
              <w:jc w:val="center"/>
            </w:pPr>
            <w:r w:rsidRPr="00925B84">
              <w:rPr>
                <w:rFonts w:hint="eastAsia"/>
              </w:rPr>
              <w:t>85.0</w:t>
            </w:r>
          </w:p>
        </w:tc>
        <w:tc>
          <w:tcPr>
            <w:tcW w:w="1302" w:type="dxa"/>
            <w:tcMar>
              <w:top w:w="6" w:type="dxa"/>
              <w:left w:w="6" w:type="dxa"/>
              <w:bottom w:w="6" w:type="dxa"/>
              <w:right w:w="6" w:type="dxa"/>
            </w:tcMar>
            <w:vAlign w:val="center"/>
          </w:tcPr>
          <w:p w:rsidR="00C223F5" w:rsidRPr="00925B84" w:rsidRDefault="005860D5">
            <w:pPr>
              <w:jc w:val="center"/>
            </w:pPr>
            <w:r w:rsidRPr="00925B84">
              <w:t>空气动力性</w:t>
            </w:r>
          </w:p>
        </w:tc>
        <w:tc>
          <w:tcPr>
            <w:tcW w:w="538" w:type="dxa"/>
            <w:tcMar>
              <w:top w:w="6" w:type="dxa"/>
              <w:left w:w="6" w:type="dxa"/>
              <w:bottom w:w="6" w:type="dxa"/>
              <w:right w:w="6" w:type="dxa"/>
            </w:tcMar>
            <w:vAlign w:val="center"/>
          </w:tcPr>
          <w:p w:rsidR="00C223F5" w:rsidRPr="00925B84" w:rsidRDefault="005860D5">
            <w:pPr>
              <w:jc w:val="center"/>
            </w:pPr>
            <w:r w:rsidRPr="00925B84">
              <w:t>连续</w:t>
            </w:r>
          </w:p>
        </w:tc>
        <w:tc>
          <w:tcPr>
            <w:tcW w:w="782" w:type="dxa"/>
            <w:tcMar>
              <w:top w:w="6" w:type="dxa"/>
              <w:left w:w="6" w:type="dxa"/>
              <w:bottom w:w="6" w:type="dxa"/>
              <w:right w:w="6" w:type="dxa"/>
            </w:tcMar>
            <w:vAlign w:val="center"/>
          </w:tcPr>
          <w:p w:rsidR="00C223F5" w:rsidRPr="00925B84" w:rsidRDefault="005860D5">
            <w:pPr>
              <w:jc w:val="center"/>
            </w:pPr>
            <w:r w:rsidRPr="00925B84">
              <w:rPr>
                <w:rFonts w:hint="eastAsia"/>
              </w:rPr>
              <w:t>65.0</w:t>
            </w:r>
          </w:p>
        </w:tc>
        <w:tc>
          <w:tcPr>
            <w:tcW w:w="2232" w:type="dxa"/>
            <w:tcMar>
              <w:top w:w="6" w:type="dxa"/>
              <w:left w:w="6" w:type="dxa"/>
              <w:bottom w:w="6" w:type="dxa"/>
              <w:right w:w="6" w:type="dxa"/>
            </w:tcMar>
            <w:vAlign w:val="center"/>
          </w:tcPr>
          <w:p w:rsidR="00C223F5" w:rsidRPr="00925B84" w:rsidRDefault="005860D5">
            <w:pPr>
              <w:jc w:val="center"/>
            </w:pPr>
            <w:r w:rsidRPr="00925B84">
              <w:t>安装</w:t>
            </w:r>
            <w:r w:rsidRPr="00925B84">
              <w:rPr>
                <w:rFonts w:hint="eastAsia"/>
              </w:rPr>
              <w:t>隔声罩、设备</w:t>
            </w:r>
          </w:p>
          <w:p w:rsidR="00C223F5" w:rsidRPr="00925B84" w:rsidRDefault="005860D5">
            <w:pPr>
              <w:jc w:val="center"/>
            </w:pPr>
            <w:r w:rsidRPr="00925B84">
              <w:rPr>
                <w:rFonts w:hint="eastAsia"/>
              </w:rPr>
              <w:t>减震、隔声门窗</w:t>
            </w:r>
          </w:p>
        </w:tc>
      </w:tr>
      <w:tr w:rsidR="00C223F5" w:rsidRPr="00925B84">
        <w:trPr>
          <w:trHeight w:val="217"/>
          <w:jc w:val="center"/>
        </w:trPr>
        <w:tc>
          <w:tcPr>
            <w:tcW w:w="396" w:type="dxa"/>
            <w:vAlign w:val="center"/>
          </w:tcPr>
          <w:p w:rsidR="00C223F5" w:rsidRPr="00925B84" w:rsidRDefault="005860D5">
            <w:pPr>
              <w:jc w:val="center"/>
            </w:pPr>
            <w:r w:rsidRPr="00925B84">
              <w:rPr>
                <w:rFonts w:hint="eastAsia"/>
              </w:rPr>
              <w:t>5</w:t>
            </w:r>
          </w:p>
        </w:tc>
        <w:tc>
          <w:tcPr>
            <w:tcW w:w="1317" w:type="dxa"/>
            <w:tcMar>
              <w:top w:w="6" w:type="dxa"/>
              <w:left w:w="6" w:type="dxa"/>
              <w:bottom w:w="6" w:type="dxa"/>
              <w:right w:w="6" w:type="dxa"/>
            </w:tcMar>
            <w:vAlign w:val="center"/>
          </w:tcPr>
          <w:p w:rsidR="00C223F5" w:rsidRPr="00925B84" w:rsidRDefault="005860D5">
            <w:pPr>
              <w:jc w:val="center"/>
            </w:pPr>
            <w:r w:rsidRPr="00925B84">
              <w:t>通风机房</w:t>
            </w:r>
          </w:p>
        </w:tc>
        <w:tc>
          <w:tcPr>
            <w:tcW w:w="1807" w:type="dxa"/>
            <w:tcMar>
              <w:top w:w="6" w:type="dxa"/>
              <w:left w:w="6" w:type="dxa"/>
              <w:bottom w:w="6" w:type="dxa"/>
              <w:right w:w="6" w:type="dxa"/>
            </w:tcMar>
            <w:vAlign w:val="center"/>
          </w:tcPr>
          <w:p w:rsidR="00C223F5" w:rsidRPr="00925B84" w:rsidRDefault="005860D5">
            <w:pPr>
              <w:jc w:val="center"/>
            </w:pPr>
            <w:r w:rsidRPr="00925B84">
              <w:t>通风机</w:t>
            </w:r>
          </w:p>
        </w:tc>
        <w:tc>
          <w:tcPr>
            <w:tcW w:w="781" w:type="dxa"/>
            <w:tcMar>
              <w:top w:w="6" w:type="dxa"/>
              <w:left w:w="6" w:type="dxa"/>
              <w:bottom w:w="6" w:type="dxa"/>
              <w:right w:w="6" w:type="dxa"/>
            </w:tcMar>
            <w:vAlign w:val="center"/>
          </w:tcPr>
          <w:p w:rsidR="00C223F5" w:rsidRPr="00925B84" w:rsidRDefault="005860D5">
            <w:pPr>
              <w:jc w:val="center"/>
            </w:pPr>
            <w:r w:rsidRPr="00925B84">
              <w:t>10</w:t>
            </w:r>
            <w:r w:rsidRPr="00925B84">
              <w:rPr>
                <w:rFonts w:hint="eastAsia"/>
              </w:rPr>
              <w:t>0.0</w:t>
            </w:r>
          </w:p>
        </w:tc>
        <w:tc>
          <w:tcPr>
            <w:tcW w:w="1302" w:type="dxa"/>
            <w:tcMar>
              <w:top w:w="6" w:type="dxa"/>
              <w:left w:w="6" w:type="dxa"/>
              <w:bottom w:w="6" w:type="dxa"/>
              <w:right w:w="6" w:type="dxa"/>
            </w:tcMar>
            <w:vAlign w:val="center"/>
          </w:tcPr>
          <w:p w:rsidR="00C223F5" w:rsidRPr="00925B84" w:rsidRDefault="005860D5">
            <w:pPr>
              <w:jc w:val="center"/>
            </w:pPr>
            <w:r w:rsidRPr="00925B84">
              <w:t>空气动力性</w:t>
            </w:r>
          </w:p>
        </w:tc>
        <w:tc>
          <w:tcPr>
            <w:tcW w:w="538" w:type="dxa"/>
            <w:tcMar>
              <w:top w:w="6" w:type="dxa"/>
              <w:left w:w="6" w:type="dxa"/>
              <w:bottom w:w="6" w:type="dxa"/>
              <w:right w:w="6" w:type="dxa"/>
            </w:tcMar>
            <w:vAlign w:val="center"/>
          </w:tcPr>
          <w:p w:rsidR="00C223F5" w:rsidRPr="00925B84" w:rsidRDefault="005860D5">
            <w:pPr>
              <w:jc w:val="center"/>
            </w:pPr>
            <w:r w:rsidRPr="00925B84">
              <w:t>连续</w:t>
            </w:r>
          </w:p>
        </w:tc>
        <w:tc>
          <w:tcPr>
            <w:tcW w:w="782" w:type="dxa"/>
            <w:tcMar>
              <w:top w:w="6" w:type="dxa"/>
              <w:left w:w="6" w:type="dxa"/>
              <w:bottom w:w="6" w:type="dxa"/>
              <w:right w:w="6" w:type="dxa"/>
            </w:tcMar>
            <w:vAlign w:val="center"/>
          </w:tcPr>
          <w:p w:rsidR="00C223F5" w:rsidRPr="00925B84" w:rsidRDefault="005860D5">
            <w:pPr>
              <w:jc w:val="center"/>
            </w:pPr>
            <w:r w:rsidRPr="00925B84">
              <w:t>7</w:t>
            </w:r>
            <w:r w:rsidRPr="00925B84">
              <w:rPr>
                <w:rFonts w:hint="eastAsia"/>
              </w:rPr>
              <w:t>0</w:t>
            </w:r>
            <w:r w:rsidRPr="00925B84">
              <w:t>.0</w:t>
            </w:r>
          </w:p>
        </w:tc>
        <w:tc>
          <w:tcPr>
            <w:tcW w:w="2232" w:type="dxa"/>
            <w:tcMar>
              <w:top w:w="6" w:type="dxa"/>
              <w:left w:w="6" w:type="dxa"/>
              <w:bottom w:w="6" w:type="dxa"/>
              <w:right w:w="6" w:type="dxa"/>
            </w:tcMar>
            <w:vAlign w:val="center"/>
          </w:tcPr>
          <w:p w:rsidR="00C223F5" w:rsidRPr="00925B84" w:rsidRDefault="005860D5">
            <w:pPr>
              <w:jc w:val="center"/>
            </w:pPr>
            <w:r w:rsidRPr="00925B84">
              <w:t>安装消声器</w:t>
            </w:r>
          </w:p>
        </w:tc>
      </w:tr>
      <w:tr w:rsidR="00C223F5" w:rsidRPr="00925B84">
        <w:trPr>
          <w:trHeight w:val="70"/>
          <w:jc w:val="center"/>
        </w:trPr>
        <w:tc>
          <w:tcPr>
            <w:tcW w:w="396" w:type="dxa"/>
            <w:vAlign w:val="center"/>
          </w:tcPr>
          <w:p w:rsidR="00C223F5" w:rsidRPr="00925B84" w:rsidRDefault="005860D5">
            <w:pPr>
              <w:jc w:val="center"/>
            </w:pPr>
            <w:r w:rsidRPr="00925B84">
              <w:rPr>
                <w:rFonts w:hint="eastAsia"/>
              </w:rPr>
              <w:t>6</w:t>
            </w:r>
          </w:p>
        </w:tc>
        <w:tc>
          <w:tcPr>
            <w:tcW w:w="1317" w:type="dxa"/>
            <w:tcMar>
              <w:top w:w="6" w:type="dxa"/>
              <w:left w:w="6" w:type="dxa"/>
              <w:bottom w:w="6" w:type="dxa"/>
              <w:right w:w="6" w:type="dxa"/>
            </w:tcMar>
            <w:vAlign w:val="center"/>
          </w:tcPr>
          <w:p w:rsidR="00C223F5" w:rsidRPr="00925B84" w:rsidRDefault="005860D5">
            <w:pPr>
              <w:jc w:val="center"/>
            </w:pPr>
            <w:r w:rsidRPr="00925B84">
              <w:rPr>
                <w:rFonts w:hint="eastAsia"/>
              </w:rPr>
              <w:t>压缩空气站</w:t>
            </w:r>
          </w:p>
        </w:tc>
        <w:tc>
          <w:tcPr>
            <w:tcW w:w="1807" w:type="dxa"/>
            <w:tcMar>
              <w:top w:w="6" w:type="dxa"/>
              <w:left w:w="6" w:type="dxa"/>
              <w:bottom w:w="6" w:type="dxa"/>
              <w:right w:w="6" w:type="dxa"/>
            </w:tcMar>
            <w:vAlign w:val="center"/>
          </w:tcPr>
          <w:p w:rsidR="00C223F5" w:rsidRPr="00925B84" w:rsidRDefault="005860D5">
            <w:pPr>
              <w:jc w:val="center"/>
            </w:pPr>
            <w:r w:rsidRPr="00925B84">
              <w:t>空气压缩机</w:t>
            </w:r>
          </w:p>
        </w:tc>
        <w:tc>
          <w:tcPr>
            <w:tcW w:w="781" w:type="dxa"/>
            <w:tcMar>
              <w:top w:w="6" w:type="dxa"/>
              <w:left w:w="6" w:type="dxa"/>
              <w:bottom w:w="6" w:type="dxa"/>
              <w:right w:w="6" w:type="dxa"/>
            </w:tcMar>
            <w:vAlign w:val="center"/>
          </w:tcPr>
          <w:p w:rsidR="00C223F5" w:rsidRPr="00925B84" w:rsidRDefault="005860D5">
            <w:pPr>
              <w:jc w:val="center"/>
            </w:pPr>
            <w:r w:rsidRPr="00925B84">
              <w:rPr>
                <w:rFonts w:hint="eastAsia"/>
              </w:rPr>
              <w:t>95.0</w:t>
            </w:r>
          </w:p>
        </w:tc>
        <w:tc>
          <w:tcPr>
            <w:tcW w:w="1302" w:type="dxa"/>
            <w:tcMar>
              <w:top w:w="6" w:type="dxa"/>
              <w:left w:w="6" w:type="dxa"/>
              <w:bottom w:w="6" w:type="dxa"/>
              <w:right w:w="6" w:type="dxa"/>
            </w:tcMar>
            <w:vAlign w:val="center"/>
          </w:tcPr>
          <w:p w:rsidR="00C223F5" w:rsidRPr="00925B84" w:rsidRDefault="005860D5">
            <w:pPr>
              <w:jc w:val="center"/>
            </w:pPr>
            <w:r w:rsidRPr="00925B84">
              <w:t>空气动力性</w:t>
            </w:r>
          </w:p>
        </w:tc>
        <w:tc>
          <w:tcPr>
            <w:tcW w:w="538" w:type="dxa"/>
            <w:tcMar>
              <w:top w:w="6" w:type="dxa"/>
              <w:left w:w="6" w:type="dxa"/>
              <w:bottom w:w="6" w:type="dxa"/>
              <w:right w:w="6" w:type="dxa"/>
            </w:tcMar>
            <w:vAlign w:val="center"/>
          </w:tcPr>
          <w:p w:rsidR="00C223F5" w:rsidRPr="00925B84" w:rsidRDefault="005860D5">
            <w:pPr>
              <w:jc w:val="center"/>
            </w:pPr>
            <w:r w:rsidRPr="00925B84">
              <w:rPr>
                <w:rFonts w:hint="eastAsia"/>
              </w:rPr>
              <w:t>连续</w:t>
            </w:r>
          </w:p>
        </w:tc>
        <w:tc>
          <w:tcPr>
            <w:tcW w:w="782" w:type="dxa"/>
            <w:tcMar>
              <w:top w:w="6" w:type="dxa"/>
              <w:left w:w="6" w:type="dxa"/>
              <w:bottom w:w="6" w:type="dxa"/>
              <w:right w:w="6" w:type="dxa"/>
            </w:tcMar>
            <w:vAlign w:val="center"/>
          </w:tcPr>
          <w:p w:rsidR="00C223F5" w:rsidRPr="00925B84" w:rsidRDefault="005860D5">
            <w:pPr>
              <w:jc w:val="center"/>
            </w:pPr>
            <w:r w:rsidRPr="00925B84">
              <w:rPr>
                <w:rFonts w:hint="eastAsia"/>
              </w:rPr>
              <w:t>75.0</w:t>
            </w:r>
          </w:p>
        </w:tc>
        <w:tc>
          <w:tcPr>
            <w:tcW w:w="2232" w:type="dxa"/>
            <w:tcMar>
              <w:top w:w="6" w:type="dxa"/>
              <w:left w:w="6" w:type="dxa"/>
              <w:bottom w:w="6" w:type="dxa"/>
              <w:right w:w="6" w:type="dxa"/>
            </w:tcMar>
            <w:vAlign w:val="center"/>
          </w:tcPr>
          <w:p w:rsidR="00C223F5" w:rsidRPr="00925B84" w:rsidRDefault="005860D5">
            <w:pPr>
              <w:jc w:val="center"/>
            </w:pPr>
            <w:r w:rsidRPr="00925B84">
              <w:rPr>
                <w:rFonts w:hint="eastAsia"/>
              </w:rPr>
              <w:t>设备减震、隔声罩</w:t>
            </w:r>
            <w:r w:rsidRPr="00925B84">
              <w:t>，</w:t>
            </w:r>
          </w:p>
          <w:p w:rsidR="00C223F5" w:rsidRPr="00925B84" w:rsidRDefault="005860D5">
            <w:pPr>
              <w:jc w:val="center"/>
            </w:pPr>
            <w:r w:rsidRPr="00925B84">
              <w:t>隔声门窗</w:t>
            </w:r>
          </w:p>
        </w:tc>
      </w:tr>
      <w:tr w:rsidR="00C223F5" w:rsidRPr="00925B84">
        <w:trPr>
          <w:trHeight w:val="70"/>
          <w:jc w:val="center"/>
        </w:trPr>
        <w:tc>
          <w:tcPr>
            <w:tcW w:w="396" w:type="dxa"/>
            <w:vAlign w:val="center"/>
          </w:tcPr>
          <w:p w:rsidR="00C223F5" w:rsidRPr="00925B84" w:rsidRDefault="005860D5">
            <w:pPr>
              <w:jc w:val="center"/>
            </w:pPr>
            <w:r w:rsidRPr="00925B84">
              <w:rPr>
                <w:rFonts w:hint="eastAsia"/>
              </w:rPr>
              <w:t>7</w:t>
            </w:r>
          </w:p>
        </w:tc>
        <w:tc>
          <w:tcPr>
            <w:tcW w:w="1317" w:type="dxa"/>
            <w:tcMar>
              <w:top w:w="6" w:type="dxa"/>
              <w:left w:w="6" w:type="dxa"/>
              <w:bottom w:w="6" w:type="dxa"/>
              <w:right w:w="6" w:type="dxa"/>
            </w:tcMar>
            <w:vAlign w:val="center"/>
          </w:tcPr>
          <w:p w:rsidR="00C223F5" w:rsidRPr="00925B84" w:rsidRDefault="005860D5">
            <w:pPr>
              <w:jc w:val="center"/>
            </w:pPr>
            <w:r w:rsidRPr="00925B84">
              <w:rPr>
                <w:rFonts w:hint="eastAsia"/>
              </w:rPr>
              <w:t>灌浆站</w:t>
            </w:r>
          </w:p>
        </w:tc>
        <w:tc>
          <w:tcPr>
            <w:tcW w:w="1807" w:type="dxa"/>
            <w:tcMar>
              <w:top w:w="6" w:type="dxa"/>
              <w:left w:w="6" w:type="dxa"/>
              <w:bottom w:w="6" w:type="dxa"/>
              <w:right w:w="6" w:type="dxa"/>
            </w:tcMar>
            <w:vAlign w:val="center"/>
          </w:tcPr>
          <w:p w:rsidR="00C223F5" w:rsidRPr="00925B84" w:rsidRDefault="005860D5">
            <w:pPr>
              <w:jc w:val="center"/>
            </w:pPr>
            <w:r w:rsidRPr="00925B84">
              <w:rPr>
                <w:rFonts w:hint="eastAsia"/>
              </w:rPr>
              <w:t>黄泥泵</w:t>
            </w:r>
          </w:p>
        </w:tc>
        <w:tc>
          <w:tcPr>
            <w:tcW w:w="781" w:type="dxa"/>
            <w:tcMar>
              <w:top w:w="6" w:type="dxa"/>
              <w:left w:w="6" w:type="dxa"/>
              <w:bottom w:w="6" w:type="dxa"/>
              <w:right w:w="6" w:type="dxa"/>
            </w:tcMar>
            <w:vAlign w:val="center"/>
          </w:tcPr>
          <w:p w:rsidR="00C223F5" w:rsidRPr="00925B84" w:rsidRDefault="005860D5">
            <w:pPr>
              <w:jc w:val="center"/>
            </w:pPr>
            <w:r w:rsidRPr="00925B84">
              <w:rPr>
                <w:rFonts w:hint="eastAsia"/>
              </w:rPr>
              <w:t>85.0</w:t>
            </w:r>
          </w:p>
        </w:tc>
        <w:tc>
          <w:tcPr>
            <w:tcW w:w="1302" w:type="dxa"/>
            <w:tcMar>
              <w:top w:w="6" w:type="dxa"/>
              <w:left w:w="6" w:type="dxa"/>
              <w:bottom w:w="6" w:type="dxa"/>
              <w:right w:w="6" w:type="dxa"/>
            </w:tcMar>
            <w:vAlign w:val="center"/>
          </w:tcPr>
          <w:p w:rsidR="00C223F5" w:rsidRPr="00925B84" w:rsidRDefault="005860D5">
            <w:pPr>
              <w:jc w:val="center"/>
            </w:pPr>
            <w:r w:rsidRPr="00925B84">
              <w:t>空气动力性</w:t>
            </w:r>
          </w:p>
        </w:tc>
        <w:tc>
          <w:tcPr>
            <w:tcW w:w="538" w:type="dxa"/>
            <w:tcMar>
              <w:top w:w="6" w:type="dxa"/>
              <w:left w:w="6" w:type="dxa"/>
              <w:bottom w:w="6" w:type="dxa"/>
              <w:right w:w="6" w:type="dxa"/>
            </w:tcMar>
            <w:vAlign w:val="center"/>
          </w:tcPr>
          <w:p w:rsidR="00C223F5" w:rsidRPr="00925B84" w:rsidRDefault="005860D5">
            <w:pPr>
              <w:jc w:val="center"/>
            </w:pPr>
            <w:r w:rsidRPr="00925B84">
              <w:t>连续</w:t>
            </w:r>
          </w:p>
        </w:tc>
        <w:tc>
          <w:tcPr>
            <w:tcW w:w="782" w:type="dxa"/>
            <w:tcMar>
              <w:top w:w="6" w:type="dxa"/>
              <w:left w:w="6" w:type="dxa"/>
              <w:bottom w:w="6" w:type="dxa"/>
              <w:right w:w="6" w:type="dxa"/>
            </w:tcMar>
            <w:vAlign w:val="center"/>
          </w:tcPr>
          <w:p w:rsidR="00C223F5" w:rsidRPr="00925B84" w:rsidRDefault="005860D5">
            <w:pPr>
              <w:jc w:val="center"/>
            </w:pPr>
            <w:r w:rsidRPr="00925B84">
              <w:rPr>
                <w:rFonts w:hint="eastAsia"/>
              </w:rPr>
              <w:t>65.0</w:t>
            </w:r>
          </w:p>
        </w:tc>
        <w:tc>
          <w:tcPr>
            <w:tcW w:w="2232" w:type="dxa"/>
            <w:tcMar>
              <w:top w:w="6" w:type="dxa"/>
              <w:left w:w="6" w:type="dxa"/>
              <w:bottom w:w="6" w:type="dxa"/>
              <w:right w:w="6" w:type="dxa"/>
            </w:tcMar>
            <w:vAlign w:val="center"/>
          </w:tcPr>
          <w:p w:rsidR="00C223F5" w:rsidRPr="00925B84" w:rsidRDefault="005860D5">
            <w:pPr>
              <w:jc w:val="center"/>
            </w:pPr>
            <w:r w:rsidRPr="00925B84">
              <w:rPr>
                <w:rFonts w:hint="eastAsia"/>
              </w:rPr>
              <w:t>设备减震，</w:t>
            </w:r>
            <w:r w:rsidRPr="00925B84">
              <w:t>设隔声门窗</w:t>
            </w:r>
          </w:p>
        </w:tc>
      </w:tr>
      <w:tr w:rsidR="00C223F5" w:rsidRPr="00925B84">
        <w:trPr>
          <w:trHeight w:hRule="exact" w:val="363"/>
          <w:jc w:val="center"/>
        </w:trPr>
        <w:tc>
          <w:tcPr>
            <w:tcW w:w="396" w:type="dxa"/>
            <w:vAlign w:val="center"/>
          </w:tcPr>
          <w:p w:rsidR="00C223F5" w:rsidRPr="00925B84" w:rsidRDefault="005860D5">
            <w:pPr>
              <w:jc w:val="center"/>
            </w:pPr>
            <w:r w:rsidRPr="00925B84">
              <w:rPr>
                <w:rFonts w:hint="eastAsia"/>
              </w:rPr>
              <w:t>8</w:t>
            </w:r>
          </w:p>
        </w:tc>
        <w:tc>
          <w:tcPr>
            <w:tcW w:w="1317" w:type="dxa"/>
            <w:tcMar>
              <w:top w:w="6" w:type="dxa"/>
              <w:left w:w="6" w:type="dxa"/>
              <w:bottom w:w="6" w:type="dxa"/>
              <w:right w:w="6" w:type="dxa"/>
            </w:tcMar>
            <w:vAlign w:val="center"/>
          </w:tcPr>
          <w:p w:rsidR="00C223F5" w:rsidRPr="00925B84" w:rsidRDefault="005860D5">
            <w:pPr>
              <w:jc w:val="center"/>
            </w:pPr>
            <w:r w:rsidRPr="00925B84">
              <w:t>输煤栈桥</w:t>
            </w:r>
          </w:p>
        </w:tc>
        <w:tc>
          <w:tcPr>
            <w:tcW w:w="1807" w:type="dxa"/>
            <w:tcMar>
              <w:top w:w="6" w:type="dxa"/>
              <w:left w:w="6" w:type="dxa"/>
              <w:bottom w:w="6" w:type="dxa"/>
              <w:right w:w="6" w:type="dxa"/>
            </w:tcMar>
            <w:vAlign w:val="center"/>
          </w:tcPr>
          <w:p w:rsidR="00C223F5" w:rsidRPr="00925B84" w:rsidRDefault="005860D5">
            <w:pPr>
              <w:jc w:val="center"/>
              <w:rPr>
                <w:spacing w:val="-6"/>
              </w:rPr>
            </w:pPr>
            <w:r w:rsidRPr="00925B84">
              <w:rPr>
                <w:spacing w:val="-6"/>
              </w:rPr>
              <w:t>带式输送机驱动设备</w:t>
            </w:r>
          </w:p>
        </w:tc>
        <w:tc>
          <w:tcPr>
            <w:tcW w:w="781" w:type="dxa"/>
            <w:tcMar>
              <w:top w:w="6" w:type="dxa"/>
              <w:left w:w="6" w:type="dxa"/>
              <w:bottom w:w="6" w:type="dxa"/>
              <w:right w:w="6" w:type="dxa"/>
            </w:tcMar>
            <w:vAlign w:val="center"/>
          </w:tcPr>
          <w:p w:rsidR="00C223F5" w:rsidRPr="00925B84" w:rsidRDefault="005860D5">
            <w:pPr>
              <w:jc w:val="center"/>
            </w:pPr>
            <w:r w:rsidRPr="00925B84">
              <w:rPr>
                <w:rFonts w:hint="eastAsia"/>
              </w:rPr>
              <w:t>80.0</w:t>
            </w:r>
          </w:p>
        </w:tc>
        <w:tc>
          <w:tcPr>
            <w:tcW w:w="1302" w:type="dxa"/>
            <w:tcMar>
              <w:top w:w="6" w:type="dxa"/>
              <w:left w:w="6" w:type="dxa"/>
              <w:bottom w:w="6" w:type="dxa"/>
              <w:right w:w="6" w:type="dxa"/>
            </w:tcMar>
            <w:vAlign w:val="center"/>
          </w:tcPr>
          <w:p w:rsidR="00C223F5" w:rsidRPr="00925B84" w:rsidRDefault="005860D5">
            <w:pPr>
              <w:jc w:val="center"/>
            </w:pPr>
            <w:r w:rsidRPr="00925B84">
              <w:t>机械</w:t>
            </w:r>
          </w:p>
        </w:tc>
        <w:tc>
          <w:tcPr>
            <w:tcW w:w="538" w:type="dxa"/>
            <w:tcMar>
              <w:top w:w="6" w:type="dxa"/>
              <w:left w:w="6" w:type="dxa"/>
              <w:bottom w:w="6" w:type="dxa"/>
              <w:right w:w="6" w:type="dxa"/>
            </w:tcMar>
            <w:vAlign w:val="center"/>
          </w:tcPr>
          <w:p w:rsidR="00C223F5" w:rsidRPr="00925B84" w:rsidRDefault="005860D5">
            <w:pPr>
              <w:jc w:val="center"/>
            </w:pPr>
            <w:r w:rsidRPr="00925B84">
              <w:t>连续</w:t>
            </w:r>
          </w:p>
        </w:tc>
        <w:tc>
          <w:tcPr>
            <w:tcW w:w="782" w:type="dxa"/>
            <w:tcMar>
              <w:top w:w="6" w:type="dxa"/>
              <w:left w:w="6" w:type="dxa"/>
              <w:bottom w:w="6" w:type="dxa"/>
              <w:right w:w="6" w:type="dxa"/>
            </w:tcMar>
            <w:vAlign w:val="center"/>
          </w:tcPr>
          <w:p w:rsidR="00C223F5" w:rsidRPr="00925B84" w:rsidRDefault="005860D5">
            <w:pPr>
              <w:jc w:val="center"/>
            </w:pPr>
            <w:r w:rsidRPr="00925B84">
              <w:rPr>
                <w:rFonts w:hint="eastAsia"/>
              </w:rPr>
              <w:t>65.0</w:t>
            </w:r>
          </w:p>
        </w:tc>
        <w:tc>
          <w:tcPr>
            <w:tcW w:w="2232" w:type="dxa"/>
            <w:tcMar>
              <w:top w:w="6" w:type="dxa"/>
              <w:left w:w="6" w:type="dxa"/>
              <w:bottom w:w="6" w:type="dxa"/>
              <w:right w:w="6" w:type="dxa"/>
            </w:tcMar>
            <w:vAlign w:val="center"/>
          </w:tcPr>
          <w:p w:rsidR="00C223F5" w:rsidRPr="00925B84" w:rsidRDefault="005860D5">
            <w:pPr>
              <w:jc w:val="center"/>
            </w:pPr>
            <w:r w:rsidRPr="00925B84">
              <w:t>封闭隔声，阻尼措施</w:t>
            </w:r>
          </w:p>
        </w:tc>
      </w:tr>
    </w:tbl>
    <w:p w:rsidR="00C223F5" w:rsidRPr="00925B84" w:rsidRDefault="005860D5">
      <w:pPr>
        <w:spacing w:line="360" w:lineRule="auto"/>
        <w:ind w:firstLineChars="200" w:firstLine="480"/>
        <w:rPr>
          <w:sz w:val="24"/>
        </w:rPr>
      </w:pPr>
      <w:r w:rsidRPr="00925B84">
        <w:rPr>
          <w:rFonts w:hint="eastAsia"/>
          <w:sz w:val="24"/>
        </w:rPr>
        <w:t>（</w:t>
      </w:r>
      <w:r w:rsidRPr="00925B84">
        <w:rPr>
          <w:rFonts w:hint="eastAsia"/>
          <w:sz w:val="24"/>
        </w:rPr>
        <w:t>6</w:t>
      </w:r>
      <w:r w:rsidRPr="00925B84">
        <w:rPr>
          <w:rFonts w:hint="eastAsia"/>
          <w:sz w:val="24"/>
        </w:rPr>
        <w:t>）地下水影响因素分析</w:t>
      </w:r>
    </w:p>
    <w:p w:rsidR="00C223F5" w:rsidRDefault="005860D5">
      <w:pPr>
        <w:tabs>
          <w:tab w:val="left" w:pos="142"/>
        </w:tabs>
        <w:spacing w:line="360" w:lineRule="auto"/>
        <w:ind w:firstLineChars="200" w:firstLine="480"/>
        <w:rPr>
          <w:sz w:val="24"/>
        </w:rPr>
      </w:pPr>
      <w:r w:rsidRPr="00925B84">
        <w:rPr>
          <w:rFonts w:hint="eastAsia"/>
          <w:sz w:val="24"/>
        </w:rPr>
        <w:t>运行期地下水环境影响因素主要为工业场地</w:t>
      </w:r>
      <w:r>
        <w:rPr>
          <w:rFonts w:hint="eastAsia"/>
          <w:sz w:val="24"/>
        </w:rPr>
        <w:t>区污废水处理不当使污染物下渗到地下水环境和采煤区导水裂隙带对地下含水层的影响，其中采煤区环境影响是主要影响，其特征是影响范围较大、持续时间较长。</w:t>
      </w:r>
    </w:p>
    <w:p w:rsidR="00C223F5" w:rsidRDefault="005860D5">
      <w:pPr>
        <w:tabs>
          <w:tab w:val="left" w:pos="2552"/>
          <w:tab w:val="left" w:pos="5387"/>
        </w:tabs>
        <w:spacing w:line="360" w:lineRule="auto"/>
        <w:ind w:firstLineChars="200" w:firstLine="480"/>
        <w:rPr>
          <w:sz w:val="24"/>
        </w:rPr>
      </w:pPr>
      <w:r>
        <w:rPr>
          <w:rFonts w:hint="eastAsia"/>
          <w:sz w:val="24"/>
        </w:rPr>
        <w:t>本次整合工程“三废”产排情况见表</w:t>
      </w:r>
      <w:r>
        <w:rPr>
          <w:rFonts w:hint="eastAsia"/>
          <w:sz w:val="24"/>
        </w:rPr>
        <w:t>2.3.2-6</w:t>
      </w:r>
      <w:r>
        <w:rPr>
          <w:rFonts w:hint="eastAsia"/>
          <w:sz w:val="24"/>
        </w:rPr>
        <w:t>。</w:t>
      </w:r>
    </w:p>
    <w:p w:rsidR="00C223F5" w:rsidRDefault="00C223F5">
      <w:pPr>
        <w:jc w:val="left"/>
        <w:rPr>
          <w:color w:val="FF0000"/>
          <w:sz w:val="24"/>
        </w:rPr>
      </w:pPr>
    </w:p>
    <w:p w:rsidR="00C223F5" w:rsidRDefault="00C223F5">
      <w:pPr>
        <w:tabs>
          <w:tab w:val="left" w:pos="2552"/>
          <w:tab w:val="left" w:pos="5387"/>
        </w:tabs>
        <w:spacing w:line="360" w:lineRule="auto"/>
        <w:ind w:firstLineChars="200" w:firstLine="480"/>
        <w:rPr>
          <w:color w:val="FF0000"/>
          <w:sz w:val="24"/>
        </w:rPr>
        <w:sectPr w:rsidR="00C223F5">
          <w:pgSz w:w="11907" w:h="16840"/>
          <w:pgMar w:top="1440" w:right="1701" w:bottom="1440" w:left="1701" w:header="851" w:footer="992" w:gutter="0"/>
          <w:cols w:space="425"/>
          <w:docGrid w:linePitch="312"/>
        </w:sectPr>
      </w:pPr>
    </w:p>
    <w:p w:rsidR="00C223F5" w:rsidRPr="00925B84" w:rsidRDefault="005860D5">
      <w:pPr>
        <w:jc w:val="center"/>
        <w:rPr>
          <w:b/>
          <w:sz w:val="24"/>
        </w:rPr>
      </w:pPr>
      <w:r w:rsidRPr="00925B84">
        <w:rPr>
          <w:b/>
          <w:sz w:val="24"/>
        </w:rPr>
        <w:lastRenderedPageBreak/>
        <w:t>表</w:t>
      </w:r>
      <w:r w:rsidRPr="00925B84">
        <w:rPr>
          <w:rFonts w:hint="eastAsia"/>
          <w:b/>
          <w:sz w:val="24"/>
        </w:rPr>
        <w:t xml:space="preserve">2.3.2-6   </w:t>
      </w:r>
      <w:r w:rsidRPr="00925B84">
        <w:rPr>
          <w:rFonts w:hint="eastAsia"/>
          <w:b/>
          <w:sz w:val="24"/>
        </w:rPr>
        <w:t>本次整合工程“</w:t>
      </w:r>
      <w:r w:rsidRPr="00925B84">
        <w:rPr>
          <w:b/>
          <w:sz w:val="24"/>
        </w:rPr>
        <w:t>三废</w:t>
      </w:r>
      <w:r w:rsidRPr="00925B84">
        <w:rPr>
          <w:rFonts w:hint="eastAsia"/>
          <w:b/>
          <w:sz w:val="24"/>
        </w:rPr>
        <w:t>”</w:t>
      </w:r>
      <w:r w:rsidRPr="00925B84">
        <w:rPr>
          <w:b/>
          <w:sz w:val="24"/>
        </w:rPr>
        <w:t>预计排放情况表</w:t>
      </w:r>
    </w:p>
    <w:tbl>
      <w:tblPr>
        <w:tblW w:w="139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87"/>
        <w:gridCol w:w="1037"/>
        <w:gridCol w:w="722"/>
        <w:gridCol w:w="1371"/>
        <w:gridCol w:w="1070"/>
        <w:gridCol w:w="815"/>
        <w:gridCol w:w="820"/>
        <w:gridCol w:w="3125"/>
        <w:gridCol w:w="1017"/>
        <w:gridCol w:w="1095"/>
        <w:gridCol w:w="1274"/>
        <w:gridCol w:w="784"/>
      </w:tblGrid>
      <w:tr w:rsidR="00C223F5" w:rsidRPr="00925B84">
        <w:trPr>
          <w:trHeight w:val="391"/>
          <w:jc w:val="center"/>
        </w:trPr>
        <w:tc>
          <w:tcPr>
            <w:tcW w:w="787" w:type="dxa"/>
            <w:vMerge w:val="restart"/>
            <w:vAlign w:val="center"/>
          </w:tcPr>
          <w:p w:rsidR="00C223F5" w:rsidRPr="00925B84" w:rsidRDefault="005860D5">
            <w:pPr>
              <w:jc w:val="center"/>
              <w:rPr>
                <w:szCs w:val="21"/>
              </w:rPr>
            </w:pPr>
            <w:r w:rsidRPr="00925B84">
              <w:rPr>
                <w:szCs w:val="21"/>
              </w:rPr>
              <w:t>污染源</w:t>
            </w:r>
          </w:p>
        </w:tc>
        <w:tc>
          <w:tcPr>
            <w:tcW w:w="3130" w:type="dxa"/>
            <w:gridSpan w:val="3"/>
            <w:vAlign w:val="center"/>
          </w:tcPr>
          <w:p w:rsidR="00C223F5" w:rsidRPr="00925B84" w:rsidRDefault="005860D5">
            <w:pPr>
              <w:jc w:val="center"/>
              <w:rPr>
                <w:szCs w:val="21"/>
              </w:rPr>
            </w:pPr>
            <w:r w:rsidRPr="00925B84">
              <w:rPr>
                <w:szCs w:val="21"/>
              </w:rPr>
              <w:t>污染物产生情况</w:t>
            </w:r>
          </w:p>
        </w:tc>
        <w:tc>
          <w:tcPr>
            <w:tcW w:w="2705" w:type="dxa"/>
            <w:gridSpan w:val="3"/>
            <w:vAlign w:val="center"/>
          </w:tcPr>
          <w:p w:rsidR="00C223F5" w:rsidRPr="00925B84" w:rsidRDefault="005860D5">
            <w:pPr>
              <w:jc w:val="center"/>
              <w:rPr>
                <w:szCs w:val="21"/>
              </w:rPr>
            </w:pPr>
            <w:r w:rsidRPr="00925B84">
              <w:rPr>
                <w:szCs w:val="21"/>
              </w:rPr>
              <w:t>污染物排放情况</w:t>
            </w:r>
          </w:p>
        </w:tc>
        <w:tc>
          <w:tcPr>
            <w:tcW w:w="3125" w:type="dxa"/>
            <w:vMerge w:val="restart"/>
            <w:vAlign w:val="center"/>
          </w:tcPr>
          <w:p w:rsidR="00C223F5" w:rsidRPr="00925B84" w:rsidRDefault="005860D5">
            <w:pPr>
              <w:jc w:val="center"/>
              <w:rPr>
                <w:szCs w:val="21"/>
              </w:rPr>
            </w:pPr>
            <w:r w:rsidRPr="00925B84">
              <w:rPr>
                <w:szCs w:val="21"/>
              </w:rPr>
              <w:t>拟采取的环保措施</w:t>
            </w:r>
          </w:p>
        </w:tc>
        <w:tc>
          <w:tcPr>
            <w:tcW w:w="4170" w:type="dxa"/>
            <w:gridSpan w:val="4"/>
            <w:vAlign w:val="center"/>
          </w:tcPr>
          <w:p w:rsidR="00C223F5" w:rsidRPr="00925B84" w:rsidRDefault="005860D5">
            <w:pPr>
              <w:jc w:val="center"/>
              <w:rPr>
                <w:szCs w:val="21"/>
              </w:rPr>
            </w:pPr>
            <w:r w:rsidRPr="00925B84">
              <w:rPr>
                <w:szCs w:val="21"/>
              </w:rPr>
              <w:t>污染物预期削减情况</w:t>
            </w:r>
          </w:p>
        </w:tc>
      </w:tr>
      <w:tr w:rsidR="00C223F5" w:rsidRPr="00925B84">
        <w:trPr>
          <w:trHeight w:val="473"/>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rPr>
            </w:pPr>
            <w:r w:rsidRPr="00925B84">
              <w:rPr>
                <w:szCs w:val="21"/>
              </w:rPr>
              <w:t>类别</w:t>
            </w:r>
          </w:p>
        </w:tc>
        <w:tc>
          <w:tcPr>
            <w:tcW w:w="722" w:type="dxa"/>
            <w:vAlign w:val="center"/>
          </w:tcPr>
          <w:p w:rsidR="00C223F5" w:rsidRPr="00925B84" w:rsidRDefault="005860D5">
            <w:pPr>
              <w:jc w:val="center"/>
              <w:rPr>
                <w:szCs w:val="21"/>
              </w:rPr>
            </w:pPr>
            <w:r w:rsidRPr="00925B84">
              <w:rPr>
                <w:szCs w:val="21"/>
              </w:rPr>
              <w:t>浓度</w:t>
            </w:r>
          </w:p>
        </w:tc>
        <w:tc>
          <w:tcPr>
            <w:tcW w:w="1371" w:type="dxa"/>
            <w:vAlign w:val="center"/>
          </w:tcPr>
          <w:p w:rsidR="00C223F5" w:rsidRPr="00925B84" w:rsidRDefault="005860D5">
            <w:pPr>
              <w:jc w:val="center"/>
              <w:rPr>
                <w:szCs w:val="21"/>
              </w:rPr>
            </w:pPr>
            <w:r w:rsidRPr="00925B84">
              <w:rPr>
                <w:szCs w:val="21"/>
              </w:rPr>
              <w:t>产生量</w:t>
            </w:r>
          </w:p>
        </w:tc>
        <w:tc>
          <w:tcPr>
            <w:tcW w:w="1070" w:type="dxa"/>
            <w:vAlign w:val="center"/>
          </w:tcPr>
          <w:p w:rsidR="00C223F5" w:rsidRPr="00925B84" w:rsidRDefault="005860D5">
            <w:pPr>
              <w:jc w:val="center"/>
              <w:rPr>
                <w:szCs w:val="21"/>
              </w:rPr>
            </w:pPr>
            <w:r w:rsidRPr="00925B84">
              <w:rPr>
                <w:szCs w:val="21"/>
              </w:rPr>
              <w:t>类别</w:t>
            </w:r>
          </w:p>
        </w:tc>
        <w:tc>
          <w:tcPr>
            <w:tcW w:w="815" w:type="dxa"/>
            <w:vAlign w:val="center"/>
          </w:tcPr>
          <w:p w:rsidR="00C223F5" w:rsidRPr="00925B84" w:rsidRDefault="005860D5">
            <w:pPr>
              <w:jc w:val="center"/>
              <w:rPr>
                <w:szCs w:val="21"/>
              </w:rPr>
            </w:pPr>
            <w:r w:rsidRPr="00925B84">
              <w:rPr>
                <w:szCs w:val="21"/>
              </w:rPr>
              <w:t>浓度</w:t>
            </w:r>
          </w:p>
        </w:tc>
        <w:tc>
          <w:tcPr>
            <w:tcW w:w="820" w:type="dxa"/>
            <w:vAlign w:val="center"/>
          </w:tcPr>
          <w:p w:rsidR="00C223F5" w:rsidRPr="00925B84" w:rsidRDefault="005860D5">
            <w:pPr>
              <w:jc w:val="center"/>
              <w:rPr>
                <w:szCs w:val="21"/>
              </w:rPr>
            </w:pPr>
            <w:r w:rsidRPr="00925B84">
              <w:rPr>
                <w:szCs w:val="21"/>
              </w:rPr>
              <w:t>排放量</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rPr>
            </w:pPr>
            <w:r w:rsidRPr="00925B84">
              <w:rPr>
                <w:szCs w:val="21"/>
              </w:rPr>
              <w:t>类别</w:t>
            </w:r>
          </w:p>
        </w:tc>
        <w:tc>
          <w:tcPr>
            <w:tcW w:w="1095" w:type="dxa"/>
            <w:vAlign w:val="center"/>
          </w:tcPr>
          <w:p w:rsidR="00C223F5" w:rsidRPr="00925B84" w:rsidRDefault="005860D5">
            <w:pPr>
              <w:jc w:val="center"/>
              <w:rPr>
                <w:szCs w:val="21"/>
              </w:rPr>
            </w:pPr>
            <w:r w:rsidRPr="00925B84">
              <w:rPr>
                <w:szCs w:val="21"/>
              </w:rPr>
              <w:t>去除率或</w:t>
            </w:r>
          </w:p>
          <w:p w:rsidR="00C223F5" w:rsidRPr="00925B84" w:rsidRDefault="005860D5">
            <w:pPr>
              <w:jc w:val="center"/>
              <w:rPr>
                <w:szCs w:val="21"/>
              </w:rPr>
            </w:pPr>
            <w:r w:rsidRPr="00925B84">
              <w:rPr>
                <w:szCs w:val="21"/>
              </w:rPr>
              <w:t>利用率</w:t>
            </w:r>
            <w:r w:rsidRPr="00925B84">
              <w:rPr>
                <w:rFonts w:hint="eastAsia"/>
                <w:szCs w:val="21"/>
              </w:rPr>
              <w:t>(</w:t>
            </w:r>
            <w:r w:rsidRPr="00925B84">
              <w:rPr>
                <w:szCs w:val="21"/>
              </w:rPr>
              <w:t>%</w:t>
            </w:r>
            <w:r w:rsidRPr="00925B84">
              <w:rPr>
                <w:rFonts w:hint="eastAsia"/>
                <w:szCs w:val="21"/>
              </w:rPr>
              <w:t>)</w:t>
            </w:r>
          </w:p>
        </w:tc>
        <w:tc>
          <w:tcPr>
            <w:tcW w:w="1274" w:type="dxa"/>
            <w:vAlign w:val="center"/>
          </w:tcPr>
          <w:p w:rsidR="00C223F5" w:rsidRPr="00925B84" w:rsidRDefault="005860D5">
            <w:pPr>
              <w:jc w:val="center"/>
              <w:rPr>
                <w:szCs w:val="21"/>
              </w:rPr>
            </w:pPr>
            <w:r w:rsidRPr="00925B84">
              <w:rPr>
                <w:szCs w:val="21"/>
              </w:rPr>
              <w:t>削减量</w:t>
            </w:r>
          </w:p>
        </w:tc>
        <w:tc>
          <w:tcPr>
            <w:tcW w:w="784" w:type="dxa"/>
            <w:vAlign w:val="center"/>
          </w:tcPr>
          <w:p w:rsidR="00C223F5" w:rsidRPr="00925B84" w:rsidRDefault="005860D5">
            <w:pPr>
              <w:jc w:val="center"/>
              <w:rPr>
                <w:szCs w:val="21"/>
              </w:rPr>
            </w:pPr>
            <w:r w:rsidRPr="00925B84">
              <w:rPr>
                <w:szCs w:val="21"/>
              </w:rPr>
              <w:t>削减比例</w:t>
            </w:r>
            <w:r w:rsidRPr="00925B84">
              <w:rPr>
                <w:rFonts w:hint="eastAsia"/>
                <w:szCs w:val="21"/>
              </w:rPr>
              <w:t>(</w:t>
            </w:r>
            <w:r w:rsidRPr="00925B84">
              <w:rPr>
                <w:szCs w:val="21"/>
              </w:rPr>
              <w:t>%</w:t>
            </w:r>
            <w:r w:rsidRPr="00925B84">
              <w:rPr>
                <w:rFonts w:hint="eastAsia"/>
                <w:szCs w:val="21"/>
              </w:rPr>
              <w:t>)</w:t>
            </w:r>
          </w:p>
        </w:tc>
      </w:tr>
      <w:tr w:rsidR="00C223F5" w:rsidRPr="00925B84">
        <w:trPr>
          <w:jc w:val="center"/>
        </w:trPr>
        <w:tc>
          <w:tcPr>
            <w:tcW w:w="787" w:type="dxa"/>
            <w:vMerge w:val="restart"/>
            <w:vAlign w:val="center"/>
          </w:tcPr>
          <w:p w:rsidR="00C223F5" w:rsidRPr="00925B84" w:rsidRDefault="005860D5">
            <w:pPr>
              <w:jc w:val="center"/>
              <w:rPr>
                <w:szCs w:val="21"/>
              </w:rPr>
            </w:pPr>
            <w:r w:rsidRPr="00925B84">
              <w:rPr>
                <w:rFonts w:hint="eastAsia"/>
                <w:szCs w:val="21"/>
              </w:rPr>
              <w:t>井下</w:t>
            </w:r>
          </w:p>
          <w:p w:rsidR="00C223F5" w:rsidRPr="00925B84" w:rsidRDefault="005860D5">
            <w:pPr>
              <w:jc w:val="center"/>
              <w:rPr>
                <w:szCs w:val="21"/>
              </w:rPr>
            </w:pPr>
            <w:r w:rsidRPr="00925B84">
              <w:rPr>
                <w:rFonts w:hint="eastAsia"/>
                <w:szCs w:val="21"/>
              </w:rPr>
              <w:t>排水</w:t>
            </w:r>
          </w:p>
        </w:tc>
        <w:tc>
          <w:tcPr>
            <w:tcW w:w="1037" w:type="dxa"/>
            <w:vAlign w:val="center"/>
          </w:tcPr>
          <w:p w:rsidR="00C223F5" w:rsidRPr="00925B84" w:rsidRDefault="005860D5">
            <w:pPr>
              <w:jc w:val="center"/>
              <w:rPr>
                <w:szCs w:val="21"/>
              </w:rPr>
            </w:pPr>
            <w:r w:rsidRPr="00925B84">
              <w:rPr>
                <w:szCs w:val="21"/>
              </w:rPr>
              <w:t>排水量</w:t>
            </w:r>
          </w:p>
        </w:tc>
        <w:tc>
          <w:tcPr>
            <w:tcW w:w="722" w:type="dxa"/>
            <w:vAlign w:val="center"/>
          </w:tcPr>
          <w:p w:rsidR="00C223F5" w:rsidRPr="00925B84" w:rsidRDefault="005860D5">
            <w:pPr>
              <w:jc w:val="center"/>
              <w:rPr>
                <w:szCs w:val="21"/>
              </w:rPr>
            </w:pPr>
            <w:r w:rsidRPr="00925B84">
              <w:rPr>
                <w:rFonts w:hint="eastAsia"/>
                <w:szCs w:val="21"/>
              </w:rPr>
              <w:t>/</w:t>
            </w:r>
          </w:p>
        </w:tc>
        <w:tc>
          <w:tcPr>
            <w:tcW w:w="1371" w:type="dxa"/>
            <w:vAlign w:val="center"/>
          </w:tcPr>
          <w:p w:rsidR="00C223F5" w:rsidRPr="00925B84" w:rsidRDefault="005860D5">
            <w:pPr>
              <w:jc w:val="center"/>
              <w:rPr>
                <w:szCs w:val="21"/>
              </w:rPr>
            </w:pPr>
            <w:r w:rsidRPr="00925B84">
              <w:rPr>
                <w:rFonts w:hint="eastAsia"/>
                <w:szCs w:val="21"/>
              </w:rPr>
              <w:t>69.73</w:t>
            </w:r>
          </w:p>
        </w:tc>
        <w:tc>
          <w:tcPr>
            <w:tcW w:w="1070" w:type="dxa"/>
            <w:vAlign w:val="center"/>
          </w:tcPr>
          <w:p w:rsidR="00C223F5" w:rsidRPr="00925B84" w:rsidRDefault="005860D5">
            <w:pPr>
              <w:jc w:val="center"/>
              <w:rPr>
                <w:szCs w:val="21"/>
              </w:rPr>
            </w:pPr>
            <w:r w:rsidRPr="00925B84">
              <w:rPr>
                <w:szCs w:val="21"/>
              </w:rPr>
              <w:t>排水量</w:t>
            </w:r>
          </w:p>
        </w:tc>
        <w:tc>
          <w:tcPr>
            <w:tcW w:w="815" w:type="dxa"/>
            <w:vAlign w:val="center"/>
          </w:tcPr>
          <w:p w:rsidR="00C223F5" w:rsidRPr="00925B84" w:rsidRDefault="005860D5">
            <w:pPr>
              <w:jc w:val="center"/>
              <w:rPr>
                <w:szCs w:val="21"/>
              </w:rPr>
            </w:pPr>
            <w:r w:rsidRPr="00925B84">
              <w:rPr>
                <w:rFonts w:hint="eastAsia"/>
                <w:szCs w:val="21"/>
              </w:rPr>
              <w:t>/</w:t>
            </w:r>
          </w:p>
        </w:tc>
        <w:tc>
          <w:tcPr>
            <w:tcW w:w="820" w:type="dxa"/>
            <w:vAlign w:val="center"/>
          </w:tcPr>
          <w:p w:rsidR="00C223F5" w:rsidRPr="00712806" w:rsidRDefault="00712806">
            <w:pPr>
              <w:jc w:val="center"/>
              <w:rPr>
                <w:color w:val="FF0000"/>
                <w:szCs w:val="21"/>
              </w:rPr>
            </w:pPr>
            <w:r>
              <w:rPr>
                <w:rFonts w:hint="eastAsia"/>
                <w:color w:val="FF0000"/>
                <w:szCs w:val="21"/>
              </w:rPr>
              <w:t>22.49</w:t>
            </w:r>
          </w:p>
        </w:tc>
        <w:tc>
          <w:tcPr>
            <w:tcW w:w="3125" w:type="dxa"/>
            <w:vMerge w:val="restart"/>
            <w:vAlign w:val="center"/>
          </w:tcPr>
          <w:p w:rsidR="00C223F5" w:rsidRPr="00925B84" w:rsidRDefault="005860D5">
            <w:pPr>
              <w:jc w:val="center"/>
              <w:rPr>
                <w:szCs w:val="21"/>
              </w:rPr>
            </w:pPr>
            <w:r w:rsidRPr="00925B84">
              <w:rPr>
                <w:rFonts w:hint="eastAsia"/>
                <w:szCs w:val="21"/>
              </w:rPr>
              <w:t>井下排水采用混凝、沉淀、气浮、过滤消毒处理工艺，处理后部分回用于井下洒水、黄泥灌浆补充水及</w:t>
            </w:r>
            <w:r w:rsidRPr="00C807E8">
              <w:rPr>
                <w:rFonts w:hint="eastAsia"/>
                <w:color w:val="FF0000"/>
                <w:szCs w:val="21"/>
              </w:rPr>
              <w:t>地面生产用水</w:t>
            </w:r>
            <w:r w:rsidRPr="00925B84">
              <w:rPr>
                <w:rFonts w:hint="eastAsia"/>
                <w:szCs w:val="21"/>
              </w:rPr>
              <w:t>，其余达标排至蚂蚁河</w:t>
            </w:r>
          </w:p>
        </w:tc>
        <w:tc>
          <w:tcPr>
            <w:tcW w:w="1017" w:type="dxa"/>
            <w:vAlign w:val="center"/>
          </w:tcPr>
          <w:p w:rsidR="00C223F5" w:rsidRPr="00925B84" w:rsidRDefault="005860D5">
            <w:pPr>
              <w:jc w:val="center"/>
              <w:rPr>
                <w:szCs w:val="21"/>
              </w:rPr>
            </w:pPr>
            <w:r w:rsidRPr="00925B84">
              <w:rPr>
                <w:szCs w:val="21"/>
              </w:rPr>
              <w:t>排水量</w:t>
            </w:r>
          </w:p>
        </w:tc>
        <w:tc>
          <w:tcPr>
            <w:tcW w:w="1095" w:type="dxa"/>
            <w:vAlign w:val="center"/>
          </w:tcPr>
          <w:p w:rsidR="00C223F5" w:rsidRPr="00925B84" w:rsidRDefault="005860D5">
            <w:pPr>
              <w:jc w:val="center"/>
              <w:rPr>
                <w:szCs w:val="21"/>
              </w:rPr>
            </w:pPr>
            <w:r w:rsidRPr="00925B84">
              <w:rPr>
                <w:rFonts w:hint="eastAsia"/>
                <w:szCs w:val="21"/>
              </w:rPr>
              <w:t>70</w:t>
            </w:r>
          </w:p>
        </w:tc>
        <w:tc>
          <w:tcPr>
            <w:tcW w:w="1274" w:type="dxa"/>
            <w:vAlign w:val="center"/>
          </w:tcPr>
          <w:p w:rsidR="00C223F5" w:rsidRPr="00712806" w:rsidRDefault="00712806">
            <w:pPr>
              <w:jc w:val="center"/>
              <w:rPr>
                <w:color w:val="FF0000"/>
                <w:szCs w:val="21"/>
              </w:rPr>
            </w:pPr>
            <w:r>
              <w:rPr>
                <w:rFonts w:hint="eastAsia"/>
                <w:color w:val="FF0000"/>
                <w:szCs w:val="21"/>
              </w:rPr>
              <w:t>47.24</w:t>
            </w:r>
          </w:p>
        </w:tc>
        <w:tc>
          <w:tcPr>
            <w:tcW w:w="784" w:type="dxa"/>
            <w:vAlign w:val="center"/>
          </w:tcPr>
          <w:p w:rsidR="00C223F5" w:rsidRPr="00712806" w:rsidRDefault="00712806">
            <w:pPr>
              <w:jc w:val="center"/>
              <w:rPr>
                <w:color w:val="FF0000"/>
                <w:szCs w:val="21"/>
              </w:rPr>
            </w:pPr>
            <w:r w:rsidRPr="00712806">
              <w:rPr>
                <w:rFonts w:hint="eastAsia"/>
                <w:color w:val="FF0000"/>
                <w:szCs w:val="21"/>
              </w:rPr>
              <w:t>67.7</w:t>
            </w:r>
          </w:p>
        </w:tc>
      </w:tr>
      <w:tr w:rsidR="00C223F5" w:rsidRPr="00925B84">
        <w:trPr>
          <w:trHeight w:val="338"/>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rPr>
            </w:pPr>
            <w:r w:rsidRPr="00925B84">
              <w:rPr>
                <w:szCs w:val="21"/>
              </w:rPr>
              <w:t>SS</w:t>
            </w:r>
          </w:p>
        </w:tc>
        <w:tc>
          <w:tcPr>
            <w:tcW w:w="722" w:type="dxa"/>
            <w:vAlign w:val="center"/>
          </w:tcPr>
          <w:p w:rsidR="00C223F5" w:rsidRPr="00925B84" w:rsidRDefault="005860D5">
            <w:pPr>
              <w:jc w:val="center"/>
              <w:rPr>
                <w:spacing w:val="2"/>
                <w:szCs w:val="21"/>
              </w:rPr>
            </w:pPr>
            <w:r w:rsidRPr="00925B84">
              <w:rPr>
                <w:rFonts w:hint="eastAsia"/>
                <w:szCs w:val="21"/>
              </w:rPr>
              <w:t>102</w:t>
            </w:r>
          </w:p>
        </w:tc>
        <w:tc>
          <w:tcPr>
            <w:tcW w:w="1371" w:type="dxa"/>
            <w:vAlign w:val="center"/>
          </w:tcPr>
          <w:p w:rsidR="00C223F5" w:rsidRPr="00925B84" w:rsidRDefault="005860D5">
            <w:pPr>
              <w:spacing w:line="280" w:lineRule="exact"/>
              <w:contextualSpacing/>
              <w:jc w:val="center"/>
              <w:rPr>
                <w:szCs w:val="21"/>
              </w:rPr>
            </w:pPr>
            <w:r w:rsidRPr="00925B84">
              <w:rPr>
                <w:rFonts w:hint="eastAsia"/>
                <w:bCs/>
                <w:kern w:val="0"/>
                <w:szCs w:val="21"/>
              </w:rPr>
              <w:t>71.12</w:t>
            </w:r>
          </w:p>
        </w:tc>
        <w:tc>
          <w:tcPr>
            <w:tcW w:w="1070" w:type="dxa"/>
            <w:vAlign w:val="center"/>
          </w:tcPr>
          <w:p w:rsidR="00C223F5" w:rsidRPr="00925B84" w:rsidRDefault="005860D5">
            <w:pPr>
              <w:jc w:val="center"/>
              <w:rPr>
                <w:szCs w:val="21"/>
              </w:rPr>
            </w:pPr>
            <w:r w:rsidRPr="00925B84">
              <w:rPr>
                <w:szCs w:val="21"/>
              </w:rPr>
              <w:t>SS</w:t>
            </w:r>
          </w:p>
        </w:tc>
        <w:tc>
          <w:tcPr>
            <w:tcW w:w="815" w:type="dxa"/>
            <w:vAlign w:val="center"/>
          </w:tcPr>
          <w:p w:rsidR="00C223F5" w:rsidRPr="00925B84" w:rsidRDefault="005860D5">
            <w:pPr>
              <w:jc w:val="center"/>
              <w:rPr>
                <w:spacing w:val="2"/>
                <w:szCs w:val="21"/>
              </w:rPr>
            </w:pPr>
            <w:r w:rsidRPr="00925B84">
              <w:rPr>
                <w:rFonts w:hint="eastAsia"/>
                <w:szCs w:val="21"/>
              </w:rPr>
              <w:t>15</w:t>
            </w:r>
          </w:p>
        </w:tc>
        <w:tc>
          <w:tcPr>
            <w:tcW w:w="820" w:type="dxa"/>
            <w:vAlign w:val="center"/>
          </w:tcPr>
          <w:p w:rsidR="00C223F5" w:rsidRPr="00712806" w:rsidRDefault="00712806">
            <w:pPr>
              <w:jc w:val="center"/>
              <w:rPr>
                <w:color w:val="FF0000"/>
                <w:spacing w:val="2"/>
                <w:szCs w:val="21"/>
              </w:rPr>
            </w:pPr>
            <w:r>
              <w:rPr>
                <w:rFonts w:hint="eastAsia"/>
                <w:bCs/>
                <w:color w:val="FF0000"/>
                <w:kern w:val="0"/>
                <w:szCs w:val="21"/>
              </w:rPr>
              <w:t>3.37</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rPr>
            </w:pPr>
            <w:r w:rsidRPr="00925B84">
              <w:rPr>
                <w:szCs w:val="21"/>
              </w:rPr>
              <w:t>SS</w:t>
            </w:r>
          </w:p>
        </w:tc>
        <w:tc>
          <w:tcPr>
            <w:tcW w:w="1095" w:type="dxa"/>
            <w:vAlign w:val="center"/>
          </w:tcPr>
          <w:p w:rsidR="00C223F5" w:rsidRPr="00925B84" w:rsidRDefault="005860D5">
            <w:pPr>
              <w:jc w:val="center"/>
              <w:rPr>
                <w:szCs w:val="21"/>
              </w:rPr>
            </w:pPr>
            <w:r w:rsidRPr="00925B84">
              <w:rPr>
                <w:rFonts w:hint="eastAsia"/>
                <w:szCs w:val="21"/>
              </w:rPr>
              <w:t>85</w:t>
            </w:r>
          </w:p>
        </w:tc>
        <w:tc>
          <w:tcPr>
            <w:tcW w:w="1274" w:type="dxa"/>
            <w:vAlign w:val="center"/>
          </w:tcPr>
          <w:p w:rsidR="00C223F5" w:rsidRPr="00712806" w:rsidRDefault="005860D5" w:rsidP="00712806">
            <w:pPr>
              <w:spacing w:line="280" w:lineRule="exact"/>
              <w:contextualSpacing/>
              <w:jc w:val="center"/>
              <w:rPr>
                <w:color w:val="FF0000"/>
                <w:szCs w:val="21"/>
              </w:rPr>
            </w:pPr>
            <w:r w:rsidRPr="00712806">
              <w:rPr>
                <w:rFonts w:hint="eastAsia"/>
                <w:color w:val="FF0000"/>
                <w:szCs w:val="21"/>
              </w:rPr>
              <w:t>67.</w:t>
            </w:r>
            <w:r w:rsidR="00712806">
              <w:rPr>
                <w:rFonts w:hint="eastAsia"/>
                <w:color w:val="FF0000"/>
                <w:szCs w:val="21"/>
              </w:rPr>
              <w:t>75</w:t>
            </w:r>
          </w:p>
        </w:tc>
        <w:tc>
          <w:tcPr>
            <w:tcW w:w="784" w:type="dxa"/>
            <w:vAlign w:val="center"/>
          </w:tcPr>
          <w:p w:rsidR="00C223F5" w:rsidRPr="00712806" w:rsidRDefault="005860D5" w:rsidP="00712806">
            <w:pPr>
              <w:jc w:val="center"/>
              <w:rPr>
                <w:color w:val="FF0000"/>
                <w:szCs w:val="21"/>
              </w:rPr>
            </w:pPr>
            <w:r w:rsidRPr="00712806">
              <w:rPr>
                <w:color w:val="FF0000"/>
                <w:szCs w:val="21"/>
              </w:rPr>
              <w:t>9</w:t>
            </w:r>
            <w:r w:rsidRPr="00712806">
              <w:rPr>
                <w:rFonts w:hint="eastAsia"/>
                <w:color w:val="FF0000"/>
                <w:szCs w:val="21"/>
              </w:rPr>
              <w:t>5.</w:t>
            </w:r>
            <w:r w:rsidR="00712806" w:rsidRPr="00712806">
              <w:rPr>
                <w:rFonts w:hint="eastAsia"/>
                <w:color w:val="FF0000"/>
                <w:szCs w:val="21"/>
              </w:rPr>
              <w:t>3</w:t>
            </w:r>
          </w:p>
        </w:tc>
      </w:tr>
      <w:tr w:rsidR="00C223F5" w:rsidRPr="00925B84">
        <w:trPr>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rPr>
            </w:pPr>
            <w:r w:rsidRPr="00925B84">
              <w:rPr>
                <w:szCs w:val="21"/>
              </w:rPr>
              <w:t>COD</w:t>
            </w:r>
          </w:p>
        </w:tc>
        <w:tc>
          <w:tcPr>
            <w:tcW w:w="722" w:type="dxa"/>
            <w:vAlign w:val="center"/>
          </w:tcPr>
          <w:p w:rsidR="00C223F5" w:rsidRPr="00925B84" w:rsidRDefault="005860D5">
            <w:pPr>
              <w:jc w:val="center"/>
              <w:rPr>
                <w:spacing w:val="2"/>
                <w:szCs w:val="21"/>
              </w:rPr>
            </w:pPr>
            <w:r w:rsidRPr="00925B84">
              <w:rPr>
                <w:rFonts w:hint="eastAsia"/>
                <w:szCs w:val="21"/>
              </w:rPr>
              <w:t>96</w:t>
            </w:r>
          </w:p>
        </w:tc>
        <w:tc>
          <w:tcPr>
            <w:tcW w:w="1371" w:type="dxa"/>
            <w:vAlign w:val="center"/>
          </w:tcPr>
          <w:p w:rsidR="00C223F5" w:rsidRPr="00925B84" w:rsidRDefault="005860D5">
            <w:pPr>
              <w:spacing w:line="280" w:lineRule="exact"/>
              <w:contextualSpacing/>
              <w:jc w:val="center"/>
              <w:rPr>
                <w:szCs w:val="21"/>
              </w:rPr>
            </w:pPr>
            <w:r w:rsidRPr="00925B84">
              <w:rPr>
                <w:rFonts w:hint="eastAsia"/>
                <w:bCs/>
                <w:kern w:val="0"/>
                <w:szCs w:val="21"/>
              </w:rPr>
              <w:t>66.94</w:t>
            </w:r>
          </w:p>
        </w:tc>
        <w:tc>
          <w:tcPr>
            <w:tcW w:w="1070" w:type="dxa"/>
            <w:vAlign w:val="center"/>
          </w:tcPr>
          <w:p w:rsidR="00C223F5" w:rsidRPr="00925B84" w:rsidRDefault="005860D5">
            <w:pPr>
              <w:jc w:val="center"/>
              <w:rPr>
                <w:szCs w:val="21"/>
              </w:rPr>
            </w:pPr>
            <w:r w:rsidRPr="00925B84">
              <w:rPr>
                <w:szCs w:val="21"/>
              </w:rPr>
              <w:t>COD</w:t>
            </w:r>
          </w:p>
        </w:tc>
        <w:tc>
          <w:tcPr>
            <w:tcW w:w="815" w:type="dxa"/>
            <w:vAlign w:val="center"/>
          </w:tcPr>
          <w:p w:rsidR="00C223F5" w:rsidRPr="00925B84" w:rsidRDefault="005860D5">
            <w:pPr>
              <w:jc w:val="center"/>
              <w:rPr>
                <w:spacing w:val="2"/>
                <w:szCs w:val="21"/>
              </w:rPr>
            </w:pPr>
            <w:r w:rsidRPr="00925B84">
              <w:rPr>
                <w:rFonts w:hint="eastAsia"/>
                <w:szCs w:val="21"/>
              </w:rPr>
              <w:t>16.5</w:t>
            </w:r>
          </w:p>
        </w:tc>
        <w:tc>
          <w:tcPr>
            <w:tcW w:w="820" w:type="dxa"/>
            <w:vAlign w:val="center"/>
          </w:tcPr>
          <w:p w:rsidR="00C223F5" w:rsidRPr="00712806" w:rsidRDefault="00712806">
            <w:pPr>
              <w:jc w:val="center"/>
              <w:rPr>
                <w:color w:val="FF0000"/>
                <w:spacing w:val="2"/>
                <w:szCs w:val="21"/>
              </w:rPr>
            </w:pPr>
            <w:r>
              <w:rPr>
                <w:rFonts w:hint="eastAsia"/>
                <w:bCs/>
                <w:color w:val="FF0000"/>
                <w:kern w:val="0"/>
                <w:szCs w:val="21"/>
              </w:rPr>
              <w:t>3.71</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rPr>
            </w:pPr>
            <w:r w:rsidRPr="00925B84">
              <w:rPr>
                <w:szCs w:val="21"/>
              </w:rPr>
              <w:t>COD</w:t>
            </w:r>
          </w:p>
        </w:tc>
        <w:tc>
          <w:tcPr>
            <w:tcW w:w="1095" w:type="dxa"/>
            <w:vAlign w:val="center"/>
          </w:tcPr>
          <w:p w:rsidR="00C223F5" w:rsidRPr="00925B84" w:rsidRDefault="005860D5">
            <w:pPr>
              <w:jc w:val="center"/>
              <w:rPr>
                <w:szCs w:val="21"/>
              </w:rPr>
            </w:pPr>
            <w:r w:rsidRPr="00925B84">
              <w:rPr>
                <w:rFonts w:hint="eastAsia"/>
                <w:szCs w:val="21"/>
              </w:rPr>
              <w:t>83</w:t>
            </w:r>
          </w:p>
        </w:tc>
        <w:tc>
          <w:tcPr>
            <w:tcW w:w="1274" w:type="dxa"/>
            <w:vAlign w:val="center"/>
          </w:tcPr>
          <w:p w:rsidR="00C223F5" w:rsidRPr="00712806" w:rsidRDefault="005860D5" w:rsidP="00712806">
            <w:pPr>
              <w:spacing w:line="280" w:lineRule="exact"/>
              <w:contextualSpacing/>
              <w:jc w:val="center"/>
              <w:rPr>
                <w:color w:val="FF0000"/>
                <w:szCs w:val="21"/>
              </w:rPr>
            </w:pPr>
            <w:r w:rsidRPr="00712806">
              <w:rPr>
                <w:rFonts w:hint="eastAsia"/>
                <w:color w:val="FF0000"/>
                <w:szCs w:val="21"/>
              </w:rPr>
              <w:t>63.</w:t>
            </w:r>
            <w:r w:rsidR="00712806">
              <w:rPr>
                <w:rFonts w:hint="eastAsia"/>
                <w:color w:val="FF0000"/>
                <w:szCs w:val="21"/>
              </w:rPr>
              <w:t>2</w:t>
            </w:r>
            <w:r w:rsidRPr="00712806">
              <w:rPr>
                <w:rFonts w:hint="eastAsia"/>
                <w:color w:val="FF0000"/>
                <w:szCs w:val="21"/>
              </w:rPr>
              <w:t>3</w:t>
            </w:r>
          </w:p>
        </w:tc>
        <w:tc>
          <w:tcPr>
            <w:tcW w:w="784" w:type="dxa"/>
            <w:vAlign w:val="center"/>
          </w:tcPr>
          <w:p w:rsidR="00C223F5" w:rsidRPr="00712806" w:rsidRDefault="005860D5" w:rsidP="00712806">
            <w:pPr>
              <w:jc w:val="center"/>
              <w:rPr>
                <w:color w:val="FF0000"/>
                <w:szCs w:val="21"/>
              </w:rPr>
            </w:pPr>
            <w:r w:rsidRPr="00712806">
              <w:rPr>
                <w:rFonts w:hint="eastAsia"/>
                <w:color w:val="FF0000"/>
                <w:szCs w:val="21"/>
              </w:rPr>
              <w:t>94.</w:t>
            </w:r>
            <w:r w:rsidR="00712806" w:rsidRPr="00712806">
              <w:rPr>
                <w:rFonts w:hint="eastAsia"/>
                <w:color w:val="FF0000"/>
                <w:szCs w:val="21"/>
              </w:rPr>
              <w:t>5</w:t>
            </w:r>
          </w:p>
        </w:tc>
      </w:tr>
      <w:tr w:rsidR="00C223F5" w:rsidRPr="00925B84">
        <w:trPr>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vertAlign w:val="subscript"/>
              </w:rPr>
            </w:pPr>
            <w:r w:rsidRPr="00925B84">
              <w:rPr>
                <w:szCs w:val="21"/>
              </w:rPr>
              <w:t>BOD</w:t>
            </w:r>
            <w:r w:rsidRPr="00925B84">
              <w:rPr>
                <w:szCs w:val="21"/>
                <w:vertAlign w:val="subscript"/>
              </w:rPr>
              <w:t>5</w:t>
            </w:r>
          </w:p>
        </w:tc>
        <w:tc>
          <w:tcPr>
            <w:tcW w:w="722" w:type="dxa"/>
            <w:vAlign w:val="center"/>
          </w:tcPr>
          <w:p w:rsidR="00C223F5" w:rsidRPr="00925B84" w:rsidRDefault="005860D5">
            <w:pPr>
              <w:jc w:val="center"/>
              <w:rPr>
                <w:szCs w:val="21"/>
              </w:rPr>
            </w:pPr>
            <w:r w:rsidRPr="00925B84">
              <w:rPr>
                <w:rFonts w:hint="eastAsia"/>
                <w:szCs w:val="21"/>
              </w:rPr>
              <w:t>/</w:t>
            </w:r>
          </w:p>
        </w:tc>
        <w:tc>
          <w:tcPr>
            <w:tcW w:w="1371" w:type="dxa"/>
            <w:vAlign w:val="center"/>
          </w:tcPr>
          <w:p w:rsidR="00C223F5" w:rsidRPr="00925B84" w:rsidRDefault="005860D5">
            <w:pPr>
              <w:spacing w:line="280" w:lineRule="exact"/>
              <w:contextualSpacing/>
              <w:jc w:val="center"/>
              <w:rPr>
                <w:szCs w:val="21"/>
              </w:rPr>
            </w:pPr>
            <w:r w:rsidRPr="00925B84">
              <w:rPr>
                <w:rFonts w:hint="eastAsia"/>
                <w:szCs w:val="21"/>
              </w:rPr>
              <w:t>/</w:t>
            </w:r>
          </w:p>
        </w:tc>
        <w:tc>
          <w:tcPr>
            <w:tcW w:w="1070" w:type="dxa"/>
            <w:vAlign w:val="center"/>
          </w:tcPr>
          <w:p w:rsidR="00C223F5" w:rsidRPr="00925B84" w:rsidRDefault="005860D5">
            <w:pPr>
              <w:jc w:val="center"/>
              <w:rPr>
                <w:szCs w:val="21"/>
                <w:vertAlign w:val="subscript"/>
              </w:rPr>
            </w:pPr>
            <w:r w:rsidRPr="00925B84">
              <w:rPr>
                <w:szCs w:val="21"/>
              </w:rPr>
              <w:t>BOD</w:t>
            </w:r>
            <w:r w:rsidRPr="00925B84">
              <w:rPr>
                <w:szCs w:val="21"/>
                <w:vertAlign w:val="subscript"/>
              </w:rPr>
              <w:t>5</w:t>
            </w:r>
          </w:p>
        </w:tc>
        <w:tc>
          <w:tcPr>
            <w:tcW w:w="815" w:type="dxa"/>
            <w:vAlign w:val="center"/>
          </w:tcPr>
          <w:p w:rsidR="00C223F5" w:rsidRPr="00925B84" w:rsidRDefault="005860D5">
            <w:pPr>
              <w:jc w:val="center"/>
              <w:rPr>
                <w:szCs w:val="21"/>
              </w:rPr>
            </w:pPr>
            <w:r w:rsidRPr="00925B84">
              <w:rPr>
                <w:rFonts w:hint="eastAsia"/>
                <w:szCs w:val="21"/>
              </w:rPr>
              <w:t>/</w:t>
            </w:r>
          </w:p>
        </w:tc>
        <w:tc>
          <w:tcPr>
            <w:tcW w:w="820" w:type="dxa"/>
            <w:vAlign w:val="center"/>
          </w:tcPr>
          <w:p w:rsidR="00C223F5" w:rsidRPr="00712806" w:rsidRDefault="005860D5">
            <w:pPr>
              <w:jc w:val="center"/>
              <w:rPr>
                <w:color w:val="FF0000"/>
                <w:szCs w:val="21"/>
              </w:rPr>
            </w:pPr>
            <w:r w:rsidRPr="00712806">
              <w:rPr>
                <w:rFonts w:hint="eastAsia"/>
                <w:color w:val="FF0000"/>
                <w:szCs w:val="21"/>
              </w:rPr>
              <w:t>/</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vertAlign w:val="subscript"/>
              </w:rPr>
            </w:pPr>
            <w:r w:rsidRPr="00925B84">
              <w:rPr>
                <w:szCs w:val="21"/>
              </w:rPr>
              <w:t>BOD</w:t>
            </w:r>
            <w:r w:rsidRPr="00925B84">
              <w:rPr>
                <w:szCs w:val="21"/>
                <w:vertAlign w:val="subscript"/>
              </w:rPr>
              <w:t>5</w:t>
            </w:r>
          </w:p>
        </w:tc>
        <w:tc>
          <w:tcPr>
            <w:tcW w:w="1095" w:type="dxa"/>
            <w:vAlign w:val="center"/>
          </w:tcPr>
          <w:p w:rsidR="00C223F5" w:rsidRPr="00925B84" w:rsidRDefault="005860D5">
            <w:pPr>
              <w:jc w:val="center"/>
              <w:rPr>
                <w:rFonts w:eastAsia="楷体_GB2312"/>
                <w:szCs w:val="21"/>
              </w:rPr>
            </w:pPr>
            <w:r w:rsidRPr="00925B84">
              <w:rPr>
                <w:rFonts w:eastAsia="楷体_GB2312" w:hint="eastAsia"/>
                <w:szCs w:val="21"/>
              </w:rPr>
              <w:t>/</w:t>
            </w:r>
          </w:p>
        </w:tc>
        <w:tc>
          <w:tcPr>
            <w:tcW w:w="1274" w:type="dxa"/>
            <w:vAlign w:val="center"/>
          </w:tcPr>
          <w:p w:rsidR="00C223F5" w:rsidRPr="00712806" w:rsidRDefault="005860D5">
            <w:pPr>
              <w:spacing w:line="280" w:lineRule="exact"/>
              <w:contextualSpacing/>
              <w:jc w:val="center"/>
              <w:rPr>
                <w:color w:val="FF0000"/>
                <w:szCs w:val="21"/>
              </w:rPr>
            </w:pPr>
            <w:r w:rsidRPr="00712806">
              <w:rPr>
                <w:rFonts w:hint="eastAsia"/>
                <w:color w:val="FF0000"/>
                <w:szCs w:val="21"/>
              </w:rPr>
              <w:t>/</w:t>
            </w:r>
          </w:p>
        </w:tc>
        <w:tc>
          <w:tcPr>
            <w:tcW w:w="784" w:type="dxa"/>
            <w:vAlign w:val="center"/>
          </w:tcPr>
          <w:p w:rsidR="00C223F5" w:rsidRPr="00925B84" w:rsidRDefault="005860D5">
            <w:pPr>
              <w:jc w:val="center"/>
              <w:rPr>
                <w:szCs w:val="21"/>
              </w:rPr>
            </w:pPr>
            <w:r w:rsidRPr="00925B84">
              <w:rPr>
                <w:rFonts w:hint="eastAsia"/>
                <w:szCs w:val="21"/>
              </w:rPr>
              <w:t>/</w:t>
            </w:r>
          </w:p>
        </w:tc>
      </w:tr>
      <w:tr w:rsidR="00C223F5" w:rsidRPr="00925B84">
        <w:trPr>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rPr>
            </w:pPr>
            <w:r w:rsidRPr="00925B84">
              <w:rPr>
                <w:szCs w:val="21"/>
              </w:rPr>
              <w:t>石油类</w:t>
            </w:r>
          </w:p>
        </w:tc>
        <w:tc>
          <w:tcPr>
            <w:tcW w:w="722" w:type="dxa"/>
            <w:vAlign w:val="center"/>
          </w:tcPr>
          <w:p w:rsidR="00C223F5" w:rsidRPr="00925B84" w:rsidRDefault="005860D5">
            <w:pPr>
              <w:jc w:val="center"/>
              <w:rPr>
                <w:spacing w:val="2"/>
                <w:szCs w:val="21"/>
              </w:rPr>
            </w:pPr>
            <w:r w:rsidRPr="00925B84">
              <w:rPr>
                <w:rFonts w:hAnsi="宋体" w:hint="eastAsia"/>
                <w:szCs w:val="21"/>
              </w:rPr>
              <w:t>0.12</w:t>
            </w:r>
          </w:p>
        </w:tc>
        <w:tc>
          <w:tcPr>
            <w:tcW w:w="1371" w:type="dxa"/>
            <w:vAlign w:val="center"/>
          </w:tcPr>
          <w:p w:rsidR="00C223F5" w:rsidRPr="00925B84" w:rsidRDefault="005860D5">
            <w:pPr>
              <w:spacing w:line="280" w:lineRule="exact"/>
              <w:contextualSpacing/>
              <w:jc w:val="center"/>
              <w:rPr>
                <w:szCs w:val="21"/>
              </w:rPr>
            </w:pPr>
            <w:r w:rsidRPr="00925B84">
              <w:rPr>
                <w:rFonts w:hint="eastAsia"/>
                <w:bCs/>
                <w:kern w:val="0"/>
                <w:szCs w:val="21"/>
              </w:rPr>
              <w:t>0.08</w:t>
            </w:r>
          </w:p>
        </w:tc>
        <w:tc>
          <w:tcPr>
            <w:tcW w:w="1070" w:type="dxa"/>
            <w:vAlign w:val="center"/>
          </w:tcPr>
          <w:p w:rsidR="00C223F5" w:rsidRPr="00925B84" w:rsidRDefault="005860D5">
            <w:pPr>
              <w:jc w:val="center"/>
              <w:rPr>
                <w:szCs w:val="21"/>
              </w:rPr>
            </w:pPr>
            <w:r w:rsidRPr="00925B84">
              <w:rPr>
                <w:szCs w:val="21"/>
              </w:rPr>
              <w:t>石油类</w:t>
            </w:r>
          </w:p>
        </w:tc>
        <w:tc>
          <w:tcPr>
            <w:tcW w:w="815" w:type="dxa"/>
            <w:vAlign w:val="center"/>
          </w:tcPr>
          <w:p w:rsidR="00C223F5" w:rsidRPr="00925B84" w:rsidRDefault="005860D5">
            <w:pPr>
              <w:jc w:val="center"/>
              <w:rPr>
                <w:spacing w:val="2"/>
                <w:szCs w:val="21"/>
              </w:rPr>
            </w:pPr>
            <w:r w:rsidRPr="00925B84">
              <w:rPr>
                <w:rFonts w:hAnsi="宋体" w:hint="eastAsia"/>
                <w:szCs w:val="21"/>
              </w:rPr>
              <w:t>0.045</w:t>
            </w:r>
          </w:p>
        </w:tc>
        <w:tc>
          <w:tcPr>
            <w:tcW w:w="820" w:type="dxa"/>
            <w:vAlign w:val="center"/>
          </w:tcPr>
          <w:p w:rsidR="00C223F5" w:rsidRPr="00712806" w:rsidRDefault="005860D5" w:rsidP="00712806">
            <w:pPr>
              <w:jc w:val="center"/>
              <w:rPr>
                <w:color w:val="FF0000"/>
                <w:spacing w:val="2"/>
                <w:szCs w:val="21"/>
              </w:rPr>
            </w:pPr>
            <w:r w:rsidRPr="00712806">
              <w:rPr>
                <w:rFonts w:hint="eastAsia"/>
                <w:bCs/>
                <w:color w:val="FF0000"/>
                <w:kern w:val="0"/>
                <w:szCs w:val="21"/>
              </w:rPr>
              <w:t>0.0</w:t>
            </w:r>
            <w:r w:rsidR="00712806">
              <w:rPr>
                <w:rFonts w:hint="eastAsia"/>
                <w:bCs/>
                <w:color w:val="FF0000"/>
                <w:kern w:val="0"/>
                <w:szCs w:val="21"/>
              </w:rPr>
              <w:t>10</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rPr>
            </w:pPr>
            <w:r w:rsidRPr="00925B84">
              <w:rPr>
                <w:szCs w:val="21"/>
              </w:rPr>
              <w:t>石油类</w:t>
            </w:r>
          </w:p>
        </w:tc>
        <w:tc>
          <w:tcPr>
            <w:tcW w:w="1095" w:type="dxa"/>
            <w:vAlign w:val="center"/>
          </w:tcPr>
          <w:p w:rsidR="00C223F5" w:rsidRPr="00925B84" w:rsidRDefault="005860D5">
            <w:pPr>
              <w:jc w:val="center"/>
              <w:rPr>
                <w:szCs w:val="21"/>
              </w:rPr>
            </w:pPr>
            <w:r w:rsidRPr="00925B84">
              <w:rPr>
                <w:rFonts w:hint="eastAsia"/>
                <w:szCs w:val="21"/>
              </w:rPr>
              <w:t>63</w:t>
            </w:r>
          </w:p>
        </w:tc>
        <w:tc>
          <w:tcPr>
            <w:tcW w:w="1274" w:type="dxa"/>
            <w:vAlign w:val="center"/>
          </w:tcPr>
          <w:p w:rsidR="00C223F5" w:rsidRPr="00712806" w:rsidRDefault="005860D5">
            <w:pPr>
              <w:spacing w:line="280" w:lineRule="exact"/>
              <w:contextualSpacing/>
              <w:jc w:val="center"/>
              <w:rPr>
                <w:color w:val="FF0000"/>
                <w:szCs w:val="21"/>
              </w:rPr>
            </w:pPr>
            <w:r w:rsidRPr="00712806">
              <w:rPr>
                <w:rFonts w:hint="eastAsia"/>
                <w:color w:val="FF0000"/>
                <w:szCs w:val="21"/>
              </w:rPr>
              <w:t>0.07</w:t>
            </w:r>
          </w:p>
        </w:tc>
        <w:tc>
          <w:tcPr>
            <w:tcW w:w="784" w:type="dxa"/>
            <w:vAlign w:val="center"/>
          </w:tcPr>
          <w:p w:rsidR="00C223F5" w:rsidRPr="00712806" w:rsidRDefault="005860D5" w:rsidP="00712806">
            <w:pPr>
              <w:jc w:val="center"/>
              <w:rPr>
                <w:color w:val="FF0000"/>
                <w:szCs w:val="21"/>
              </w:rPr>
            </w:pPr>
            <w:r w:rsidRPr="00712806">
              <w:rPr>
                <w:rFonts w:hint="eastAsia"/>
                <w:color w:val="FF0000"/>
                <w:szCs w:val="21"/>
              </w:rPr>
              <w:t>8</w:t>
            </w:r>
            <w:r w:rsidR="00712806" w:rsidRPr="00712806">
              <w:rPr>
                <w:rFonts w:hint="eastAsia"/>
                <w:color w:val="FF0000"/>
                <w:szCs w:val="21"/>
              </w:rPr>
              <w:t>7.5</w:t>
            </w:r>
          </w:p>
        </w:tc>
      </w:tr>
      <w:tr w:rsidR="00C223F5" w:rsidRPr="00925B84">
        <w:trPr>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rPr>
            </w:pPr>
            <w:r w:rsidRPr="00925B84">
              <w:rPr>
                <w:rFonts w:hint="eastAsia"/>
                <w:szCs w:val="21"/>
              </w:rPr>
              <w:t>氨氮</w:t>
            </w:r>
          </w:p>
        </w:tc>
        <w:tc>
          <w:tcPr>
            <w:tcW w:w="722" w:type="dxa"/>
            <w:vAlign w:val="center"/>
          </w:tcPr>
          <w:p w:rsidR="00C223F5" w:rsidRPr="00925B84" w:rsidRDefault="005860D5">
            <w:pPr>
              <w:jc w:val="center"/>
              <w:rPr>
                <w:szCs w:val="21"/>
              </w:rPr>
            </w:pPr>
            <w:r w:rsidRPr="00925B84">
              <w:rPr>
                <w:rFonts w:hAnsi="宋体" w:hint="eastAsia"/>
                <w:szCs w:val="21"/>
              </w:rPr>
              <w:t>1.05</w:t>
            </w:r>
          </w:p>
        </w:tc>
        <w:tc>
          <w:tcPr>
            <w:tcW w:w="1371" w:type="dxa"/>
            <w:vAlign w:val="center"/>
          </w:tcPr>
          <w:p w:rsidR="00C223F5" w:rsidRPr="00925B84" w:rsidRDefault="005860D5">
            <w:pPr>
              <w:spacing w:line="280" w:lineRule="exact"/>
              <w:contextualSpacing/>
              <w:jc w:val="center"/>
              <w:rPr>
                <w:spacing w:val="2"/>
                <w:szCs w:val="21"/>
              </w:rPr>
            </w:pPr>
            <w:r w:rsidRPr="00925B84">
              <w:rPr>
                <w:rFonts w:hint="eastAsia"/>
                <w:bCs/>
                <w:kern w:val="0"/>
                <w:szCs w:val="21"/>
              </w:rPr>
              <w:t>0.73</w:t>
            </w:r>
          </w:p>
        </w:tc>
        <w:tc>
          <w:tcPr>
            <w:tcW w:w="1070" w:type="dxa"/>
            <w:vAlign w:val="center"/>
          </w:tcPr>
          <w:p w:rsidR="00C223F5" w:rsidRPr="00925B84" w:rsidRDefault="005860D5">
            <w:pPr>
              <w:jc w:val="center"/>
              <w:rPr>
                <w:szCs w:val="21"/>
              </w:rPr>
            </w:pPr>
            <w:r w:rsidRPr="00925B84">
              <w:rPr>
                <w:rFonts w:hint="eastAsia"/>
                <w:szCs w:val="21"/>
              </w:rPr>
              <w:t>氨氮</w:t>
            </w:r>
          </w:p>
        </w:tc>
        <w:tc>
          <w:tcPr>
            <w:tcW w:w="815" w:type="dxa"/>
            <w:vAlign w:val="center"/>
          </w:tcPr>
          <w:p w:rsidR="00C223F5" w:rsidRPr="00925B84" w:rsidRDefault="005860D5">
            <w:pPr>
              <w:jc w:val="center"/>
              <w:rPr>
                <w:szCs w:val="21"/>
              </w:rPr>
            </w:pPr>
            <w:r w:rsidRPr="00925B84">
              <w:rPr>
                <w:rFonts w:hAnsi="宋体" w:hint="eastAsia"/>
                <w:szCs w:val="21"/>
              </w:rPr>
              <w:t>0.52</w:t>
            </w:r>
          </w:p>
        </w:tc>
        <w:tc>
          <w:tcPr>
            <w:tcW w:w="820" w:type="dxa"/>
            <w:vAlign w:val="center"/>
          </w:tcPr>
          <w:p w:rsidR="00C223F5" w:rsidRPr="00712806" w:rsidRDefault="005860D5" w:rsidP="00712806">
            <w:pPr>
              <w:jc w:val="center"/>
              <w:rPr>
                <w:color w:val="FF0000"/>
                <w:szCs w:val="21"/>
              </w:rPr>
            </w:pPr>
            <w:r w:rsidRPr="00712806">
              <w:rPr>
                <w:rFonts w:hint="eastAsia"/>
                <w:bCs/>
                <w:color w:val="FF0000"/>
                <w:kern w:val="0"/>
                <w:szCs w:val="21"/>
              </w:rPr>
              <w:t>0.1</w:t>
            </w:r>
            <w:r w:rsidR="00712806">
              <w:rPr>
                <w:rFonts w:hint="eastAsia"/>
                <w:bCs/>
                <w:color w:val="FF0000"/>
                <w:kern w:val="0"/>
                <w:szCs w:val="21"/>
              </w:rPr>
              <w:t>2</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rPr>
            </w:pPr>
            <w:r w:rsidRPr="00925B84">
              <w:rPr>
                <w:rFonts w:hint="eastAsia"/>
                <w:szCs w:val="21"/>
              </w:rPr>
              <w:t>氨氮</w:t>
            </w:r>
          </w:p>
        </w:tc>
        <w:tc>
          <w:tcPr>
            <w:tcW w:w="1095" w:type="dxa"/>
            <w:vAlign w:val="center"/>
          </w:tcPr>
          <w:p w:rsidR="00C223F5" w:rsidRPr="00925B84" w:rsidRDefault="005860D5">
            <w:pPr>
              <w:jc w:val="center"/>
              <w:rPr>
                <w:szCs w:val="21"/>
              </w:rPr>
            </w:pPr>
            <w:r w:rsidRPr="00925B84">
              <w:rPr>
                <w:rFonts w:hint="eastAsia"/>
                <w:szCs w:val="21"/>
              </w:rPr>
              <w:t>50.5</w:t>
            </w:r>
          </w:p>
        </w:tc>
        <w:tc>
          <w:tcPr>
            <w:tcW w:w="1274" w:type="dxa"/>
            <w:vAlign w:val="center"/>
          </w:tcPr>
          <w:p w:rsidR="00C223F5" w:rsidRPr="00712806" w:rsidRDefault="005860D5" w:rsidP="00712806">
            <w:pPr>
              <w:spacing w:line="280" w:lineRule="exact"/>
              <w:contextualSpacing/>
              <w:jc w:val="center"/>
              <w:rPr>
                <w:color w:val="FF0000"/>
                <w:szCs w:val="21"/>
              </w:rPr>
            </w:pPr>
            <w:r w:rsidRPr="00712806">
              <w:rPr>
                <w:rFonts w:hint="eastAsia"/>
                <w:color w:val="FF0000"/>
                <w:szCs w:val="21"/>
              </w:rPr>
              <w:t>0.6</w:t>
            </w:r>
            <w:r w:rsidR="00712806">
              <w:rPr>
                <w:rFonts w:hint="eastAsia"/>
                <w:color w:val="FF0000"/>
                <w:szCs w:val="21"/>
              </w:rPr>
              <w:t>1</w:t>
            </w:r>
          </w:p>
        </w:tc>
        <w:tc>
          <w:tcPr>
            <w:tcW w:w="784" w:type="dxa"/>
            <w:vAlign w:val="center"/>
          </w:tcPr>
          <w:p w:rsidR="00C223F5" w:rsidRPr="00712806" w:rsidRDefault="00712806">
            <w:pPr>
              <w:jc w:val="center"/>
              <w:rPr>
                <w:color w:val="FF0000"/>
                <w:szCs w:val="21"/>
              </w:rPr>
            </w:pPr>
            <w:r>
              <w:rPr>
                <w:rFonts w:hint="eastAsia"/>
                <w:color w:val="FF0000"/>
                <w:szCs w:val="21"/>
              </w:rPr>
              <w:t>83.6</w:t>
            </w:r>
          </w:p>
        </w:tc>
      </w:tr>
      <w:tr w:rsidR="00C223F5" w:rsidRPr="00925B84">
        <w:trPr>
          <w:jc w:val="center"/>
        </w:trPr>
        <w:tc>
          <w:tcPr>
            <w:tcW w:w="787" w:type="dxa"/>
            <w:vMerge w:val="restart"/>
            <w:vAlign w:val="center"/>
          </w:tcPr>
          <w:p w:rsidR="00C223F5" w:rsidRPr="00925B84" w:rsidRDefault="005860D5">
            <w:pPr>
              <w:jc w:val="center"/>
              <w:rPr>
                <w:szCs w:val="21"/>
              </w:rPr>
            </w:pPr>
            <w:r w:rsidRPr="00925B84">
              <w:rPr>
                <w:szCs w:val="21"/>
              </w:rPr>
              <w:t>工业场地排水</w:t>
            </w:r>
          </w:p>
        </w:tc>
        <w:tc>
          <w:tcPr>
            <w:tcW w:w="1037" w:type="dxa"/>
            <w:vAlign w:val="center"/>
          </w:tcPr>
          <w:p w:rsidR="00C223F5" w:rsidRPr="00925B84" w:rsidRDefault="005860D5">
            <w:pPr>
              <w:jc w:val="center"/>
              <w:rPr>
                <w:szCs w:val="21"/>
              </w:rPr>
            </w:pPr>
            <w:r w:rsidRPr="00925B84">
              <w:rPr>
                <w:szCs w:val="21"/>
              </w:rPr>
              <w:t>排水量</w:t>
            </w:r>
          </w:p>
        </w:tc>
        <w:tc>
          <w:tcPr>
            <w:tcW w:w="722" w:type="dxa"/>
            <w:vAlign w:val="center"/>
          </w:tcPr>
          <w:p w:rsidR="00C223F5" w:rsidRPr="00925B84" w:rsidRDefault="005860D5">
            <w:pPr>
              <w:jc w:val="center"/>
              <w:rPr>
                <w:szCs w:val="21"/>
              </w:rPr>
            </w:pPr>
            <w:r w:rsidRPr="00925B84">
              <w:rPr>
                <w:rFonts w:hint="eastAsia"/>
                <w:szCs w:val="21"/>
              </w:rPr>
              <w:t>/</w:t>
            </w:r>
          </w:p>
        </w:tc>
        <w:tc>
          <w:tcPr>
            <w:tcW w:w="1371" w:type="dxa"/>
            <w:vAlign w:val="center"/>
          </w:tcPr>
          <w:p w:rsidR="00C223F5" w:rsidRPr="00925B84" w:rsidRDefault="005860D5">
            <w:pPr>
              <w:spacing w:line="280" w:lineRule="exact"/>
              <w:contextualSpacing/>
              <w:jc w:val="center"/>
              <w:rPr>
                <w:szCs w:val="21"/>
              </w:rPr>
            </w:pPr>
            <w:r w:rsidRPr="00925B84">
              <w:rPr>
                <w:rFonts w:hint="eastAsia"/>
                <w:szCs w:val="21"/>
              </w:rPr>
              <w:t>10.94</w:t>
            </w:r>
          </w:p>
        </w:tc>
        <w:tc>
          <w:tcPr>
            <w:tcW w:w="1070" w:type="dxa"/>
            <w:vAlign w:val="center"/>
          </w:tcPr>
          <w:p w:rsidR="00C223F5" w:rsidRPr="00925B84" w:rsidRDefault="005860D5">
            <w:pPr>
              <w:jc w:val="center"/>
              <w:rPr>
                <w:szCs w:val="21"/>
              </w:rPr>
            </w:pPr>
            <w:r w:rsidRPr="00925B84">
              <w:rPr>
                <w:szCs w:val="21"/>
              </w:rPr>
              <w:t>排水量</w:t>
            </w:r>
          </w:p>
        </w:tc>
        <w:tc>
          <w:tcPr>
            <w:tcW w:w="815" w:type="dxa"/>
            <w:vAlign w:val="center"/>
          </w:tcPr>
          <w:p w:rsidR="00C223F5" w:rsidRPr="00925B84" w:rsidRDefault="005860D5">
            <w:pPr>
              <w:jc w:val="center"/>
              <w:rPr>
                <w:szCs w:val="21"/>
              </w:rPr>
            </w:pPr>
            <w:r w:rsidRPr="00925B84">
              <w:rPr>
                <w:rFonts w:hint="eastAsia"/>
                <w:szCs w:val="21"/>
              </w:rPr>
              <w:t>/</w:t>
            </w:r>
          </w:p>
        </w:tc>
        <w:tc>
          <w:tcPr>
            <w:tcW w:w="820" w:type="dxa"/>
            <w:vAlign w:val="center"/>
          </w:tcPr>
          <w:p w:rsidR="00C223F5" w:rsidRPr="00925B84" w:rsidRDefault="005860D5">
            <w:pPr>
              <w:jc w:val="center"/>
              <w:rPr>
                <w:szCs w:val="21"/>
              </w:rPr>
            </w:pPr>
            <w:r w:rsidRPr="00925B84">
              <w:rPr>
                <w:rFonts w:hint="eastAsia"/>
                <w:szCs w:val="21"/>
              </w:rPr>
              <w:t>0</w:t>
            </w:r>
          </w:p>
        </w:tc>
        <w:tc>
          <w:tcPr>
            <w:tcW w:w="3125" w:type="dxa"/>
            <w:vMerge w:val="restart"/>
            <w:vAlign w:val="center"/>
          </w:tcPr>
          <w:p w:rsidR="00C223F5" w:rsidRPr="00925B84" w:rsidRDefault="005860D5">
            <w:pPr>
              <w:jc w:val="center"/>
              <w:rPr>
                <w:szCs w:val="21"/>
              </w:rPr>
            </w:pPr>
            <w:r w:rsidRPr="00925B84">
              <w:rPr>
                <w:szCs w:val="21"/>
              </w:rPr>
              <w:t>生产、生活污</w:t>
            </w:r>
            <w:r w:rsidRPr="00925B84">
              <w:rPr>
                <w:rFonts w:hint="eastAsia"/>
                <w:szCs w:val="21"/>
              </w:rPr>
              <w:t>废水</w:t>
            </w:r>
            <w:r w:rsidRPr="00925B84">
              <w:rPr>
                <w:szCs w:val="21"/>
              </w:rPr>
              <w:t>经</w:t>
            </w:r>
            <w:r w:rsidRPr="00925B84">
              <w:rPr>
                <w:rFonts w:hint="eastAsia"/>
                <w:szCs w:val="21"/>
              </w:rPr>
              <w:t>二级</w:t>
            </w:r>
          </w:p>
          <w:p w:rsidR="00C223F5" w:rsidRPr="00925B84" w:rsidRDefault="005860D5">
            <w:pPr>
              <w:jc w:val="center"/>
              <w:rPr>
                <w:szCs w:val="21"/>
              </w:rPr>
            </w:pPr>
            <w:r w:rsidRPr="00925B84">
              <w:rPr>
                <w:rFonts w:hint="eastAsia"/>
                <w:szCs w:val="21"/>
              </w:rPr>
              <w:t>生化</w:t>
            </w:r>
            <w:r w:rsidRPr="00925B84">
              <w:rPr>
                <w:szCs w:val="21"/>
              </w:rPr>
              <w:t>处理后</w:t>
            </w:r>
            <w:r w:rsidRPr="00925B84">
              <w:rPr>
                <w:rFonts w:hint="eastAsia"/>
                <w:szCs w:val="21"/>
              </w:rPr>
              <w:t>，全部回用</w:t>
            </w:r>
          </w:p>
        </w:tc>
        <w:tc>
          <w:tcPr>
            <w:tcW w:w="1017" w:type="dxa"/>
            <w:vAlign w:val="center"/>
          </w:tcPr>
          <w:p w:rsidR="00C223F5" w:rsidRPr="00925B84" w:rsidRDefault="005860D5">
            <w:pPr>
              <w:jc w:val="center"/>
              <w:rPr>
                <w:szCs w:val="21"/>
              </w:rPr>
            </w:pPr>
            <w:r w:rsidRPr="00925B84">
              <w:rPr>
                <w:szCs w:val="21"/>
              </w:rPr>
              <w:t>排水量</w:t>
            </w:r>
          </w:p>
        </w:tc>
        <w:tc>
          <w:tcPr>
            <w:tcW w:w="1095" w:type="dxa"/>
            <w:vAlign w:val="center"/>
          </w:tcPr>
          <w:p w:rsidR="00C223F5" w:rsidRPr="00925B84" w:rsidRDefault="005860D5">
            <w:pPr>
              <w:jc w:val="center"/>
              <w:rPr>
                <w:szCs w:val="21"/>
              </w:rPr>
            </w:pPr>
            <w:r w:rsidRPr="00925B84">
              <w:rPr>
                <w:szCs w:val="21"/>
              </w:rPr>
              <w:t>100</w:t>
            </w:r>
          </w:p>
        </w:tc>
        <w:tc>
          <w:tcPr>
            <w:tcW w:w="1274" w:type="dxa"/>
            <w:vAlign w:val="center"/>
          </w:tcPr>
          <w:p w:rsidR="00C223F5" w:rsidRPr="00925B84" w:rsidRDefault="005860D5">
            <w:pPr>
              <w:spacing w:line="280" w:lineRule="exact"/>
              <w:contextualSpacing/>
              <w:jc w:val="center"/>
              <w:rPr>
                <w:szCs w:val="21"/>
              </w:rPr>
            </w:pPr>
            <w:r w:rsidRPr="00925B84">
              <w:rPr>
                <w:rFonts w:hint="eastAsia"/>
                <w:szCs w:val="21"/>
              </w:rPr>
              <w:t>10.94</w:t>
            </w:r>
          </w:p>
        </w:tc>
        <w:tc>
          <w:tcPr>
            <w:tcW w:w="784" w:type="dxa"/>
            <w:vAlign w:val="center"/>
          </w:tcPr>
          <w:p w:rsidR="00C223F5" w:rsidRPr="00925B84" w:rsidRDefault="005860D5">
            <w:pPr>
              <w:jc w:val="center"/>
              <w:rPr>
                <w:szCs w:val="21"/>
              </w:rPr>
            </w:pPr>
            <w:r w:rsidRPr="00925B84">
              <w:rPr>
                <w:szCs w:val="21"/>
              </w:rPr>
              <w:t>100</w:t>
            </w:r>
          </w:p>
        </w:tc>
      </w:tr>
      <w:tr w:rsidR="00C223F5" w:rsidRPr="00925B84">
        <w:trPr>
          <w:trHeight w:val="69"/>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rPr>
            </w:pPr>
            <w:r w:rsidRPr="00925B84">
              <w:rPr>
                <w:szCs w:val="21"/>
              </w:rPr>
              <w:t>SS</w:t>
            </w:r>
          </w:p>
        </w:tc>
        <w:tc>
          <w:tcPr>
            <w:tcW w:w="722" w:type="dxa"/>
            <w:vAlign w:val="center"/>
          </w:tcPr>
          <w:p w:rsidR="00C223F5" w:rsidRPr="00925B84" w:rsidRDefault="005860D5">
            <w:pPr>
              <w:jc w:val="center"/>
              <w:rPr>
                <w:szCs w:val="21"/>
              </w:rPr>
            </w:pPr>
            <w:r w:rsidRPr="00925B84">
              <w:rPr>
                <w:rFonts w:hint="eastAsia"/>
                <w:szCs w:val="21"/>
              </w:rPr>
              <w:t>146</w:t>
            </w:r>
          </w:p>
        </w:tc>
        <w:tc>
          <w:tcPr>
            <w:tcW w:w="1371" w:type="dxa"/>
            <w:vAlign w:val="center"/>
          </w:tcPr>
          <w:p w:rsidR="00C223F5" w:rsidRPr="00925B84" w:rsidRDefault="005860D5">
            <w:pPr>
              <w:spacing w:line="280" w:lineRule="exact"/>
              <w:contextualSpacing/>
              <w:jc w:val="center"/>
              <w:rPr>
                <w:spacing w:val="2"/>
                <w:szCs w:val="21"/>
              </w:rPr>
            </w:pPr>
            <w:r w:rsidRPr="00925B84">
              <w:rPr>
                <w:rFonts w:hint="eastAsia"/>
                <w:bCs/>
                <w:kern w:val="0"/>
                <w:szCs w:val="21"/>
              </w:rPr>
              <w:t>15.98</w:t>
            </w:r>
          </w:p>
        </w:tc>
        <w:tc>
          <w:tcPr>
            <w:tcW w:w="1070" w:type="dxa"/>
            <w:vAlign w:val="center"/>
          </w:tcPr>
          <w:p w:rsidR="00C223F5" w:rsidRPr="00925B84" w:rsidRDefault="005860D5">
            <w:pPr>
              <w:jc w:val="center"/>
              <w:rPr>
                <w:szCs w:val="21"/>
              </w:rPr>
            </w:pPr>
            <w:r w:rsidRPr="00925B84">
              <w:rPr>
                <w:szCs w:val="21"/>
              </w:rPr>
              <w:t>SS</w:t>
            </w:r>
          </w:p>
        </w:tc>
        <w:tc>
          <w:tcPr>
            <w:tcW w:w="815" w:type="dxa"/>
            <w:vAlign w:val="center"/>
          </w:tcPr>
          <w:p w:rsidR="00C223F5" w:rsidRPr="00925B84" w:rsidRDefault="005860D5">
            <w:pPr>
              <w:jc w:val="center"/>
              <w:rPr>
                <w:szCs w:val="21"/>
              </w:rPr>
            </w:pPr>
            <w:r w:rsidRPr="00925B84">
              <w:rPr>
                <w:rFonts w:hint="eastAsia"/>
                <w:szCs w:val="21"/>
              </w:rPr>
              <w:t>30</w:t>
            </w:r>
          </w:p>
        </w:tc>
        <w:tc>
          <w:tcPr>
            <w:tcW w:w="820" w:type="dxa"/>
            <w:vAlign w:val="center"/>
          </w:tcPr>
          <w:p w:rsidR="00C223F5" w:rsidRPr="00925B84" w:rsidRDefault="005860D5">
            <w:pPr>
              <w:jc w:val="center"/>
              <w:rPr>
                <w:szCs w:val="21"/>
              </w:rPr>
            </w:pPr>
            <w:r w:rsidRPr="00925B84">
              <w:rPr>
                <w:rFonts w:hint="eastAsia"/>
                <w:szCs w:val="21"/>
              </w:rPr>
              <w:t>0</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rPr>
            </w:pPr>
            <w:r w:rsidRPr="00925B84">
              <w:rPr>
                <w:szCs w:val="21"/>
              </w:rPr>
              <w:t>SS</w:t>
            </w:r>
          </w:p>
        </w:tc>
        <w:tc>
          <w:tcPr>
            <w:tcW w:w="1095" w:type="dxa"/>
            <w:vAlign w:val="center"/>
          </w:tcPr>
          <w:p w:rsidR="00C223F5" w:rsidRPr="00925B84" w:rsidRDefault="005860D5">
            <w:pPr>
              <w:jc w:val="center"/>
              <w:rPr>
                <w:rFonts w:eastAsia="楷体_GB2312"/>
                <w:szCs w:val="21"/>
              </w:rPr>
            </w:pPr>
            <w:r w:rsidRPr="00925B84">
              <w:rPr>
                <w:rFonts w:eastAsia="楷体_GB2312" w:hint="eastAsia"/>
                <w:szCs w:val="21"/>
              </w:rPr>
              <w:t>80</w:t>
            </w:r>
          </w:p>
        </w:tc>
        <w:tc>
          <w:tcPr>
            <w:tcW w:w="1274" w:type="dxa"/>
            <w:vAlign w:val="center"/>
          </w:tcPr>
          <w:p w:rsidR="00C223F5" w:rsidRPr="00925B84" w:rsidRDefault="005860D5">
            <w:pPr>
              <w:spacing w:line="280" w:lineRule="exact"/>
              <w:contextualSpacing/>
              <w:jc w:val="center"/>
              <w:rPr>
                <w:spacing w:val="2"/>
                <w:szCs w:val="21"/>
              </w:rPr>
            </w:pPr>
            <w:r w:rsidRPr="00925B84">
              <w:rPr>
                <w:rFonts w:hint="eastAsia"/>
                <w:bCs/>
                <w:kern w:val="0"/>
                <w:szCs w:val="21"/>
              </w:rPr>
              <w:t>15.98</w:t>
            </w:r>
          </w:p>
        </w:tc>
        <w:tc>
          <w:tcPr>
            <w:tcW w:w="784" w:type="dxa"/>
            <w:vAlign w:val="center"/>
          </w:tcPr>
          <w:p w:rsidR="00C223F5" w:rsidRPr="00925B84" w:rsidRDefault="005860D5">
            <w:pPr>
              <w:jc w:val="center"/>
              <w:rPr>
                <w:szCs w:val="21"/>
              </w:rPr>
            </w:pPr>
            <w:r w:rsidRPr="00925B84">
              <w:rPr>
                <w:szCs w:val="21"/>
              </w:rPr>
              <w:t>100</w:t>
            </w:r>
          </w:p>
        </w:tc>
      </w:tr>
      <w:tr w:rsidR="00C223F5" w:rsidRPr="00925B84">
        <w:trPr>
          <w:trHeight w:val="69"/>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rPr>
            </w:pPr>
            <w:r w:rsidRPr="00925B84">
              <w:rPr>
                <w:szCs w:val="21"/>
              </w:rPr>
              <w:t>COD</w:t>
            </w:r>
          </w:p>
        </w:tc>
        <w:tc>
          <w:tcPr>
            <w:tcW w:w="722" w:type="dxa"/>
            <w:vAlign w:val="center"/>
          </w:tcPr>
          <w:p w:rsidR="00C223F5" w:rsidRPr="00925B84" w:rsidRDefault="005860D5">
            <w:pPr>
              <w:jc w:val="center"/>
              <w:rPr>
                <w:szCs w:val="21"/>
              </w:rPr>
            </w:pPr>
            <w:r w:rsidRPr="00925B84">
              <w:rPr>
                <w:rFonts w:hint="eastAsia"/>
                <w:szCs w:val="21"/>
              </w:rPr>
              <w:t>163</w:t>
            </w:r>
          </w:p>
        </w:tc>
        <w:tc>
          <w:tcPr>
            <w:tcW w:w="1371" w:type="dxa"/>
            <w:vAlign w:val="center"/>
          </w:tcPr>
          <w:p w:rsidR="00C223F5" w:rsidRPr="00925B84" w:rsidRDefault="005860D5">
            <w:pPr>
              <w:spacing w:line="280" w:lineRule="exact"/>
              <w:contextualSpacing/>
              <w:jc w:val="center"/>
              <w:rPr>
                <w:spacing w:val="2"/>
                <w:szCs w:val="21"/>
              </w:rPr>
            </w:pPr>
            <w:r w:rsidRPr="00925B84">
              <w:rPr>
                <w:rFonts w:hint="eastAsia"/>
                <w:bCs/>
                <w:kern w:val="0"/>
                <w:szCs w:val="21"/>
              </w:rPr>
              <w:t>17.83</w:t>
            </w:r>
          </w:p>
        </w:tc>
        <w:tc>
          <w:tcPr>
            <w:tcW w:w="1070" w:type="dxa"/>
            <w:vAlign w:val="center"/>
          </w:tcPr>
          <w:p w:rsidR="00C223F5" w:rsidRPr="00925B84" w:rsidRDefault="005860D5">
            <w:pPr>
              <w:jc w:val="center"/>
              <w:rPr>
                <w:szCs w:val="21"/>
              </w:rPr>
            </w:pPr>
            <w:r w:rsidRPr="00925B84">
              <w:rPr>
                <w:szCs w:val="21"/>
              </w:rPr>
              <w:t>COD</w:t>
            </w:r>
          </w:p>
        </w:tc>
        <w:tc>
          <w:tcPr>
            <w:tcW w:w="815" w:type="dxa"/>
            <w:vAlign w:val="center"/>
          </w:tcPr>
          <w:p w:rsidR="00C223F5" w:rsidRPr="00925B84" w:rsidRDefault="005860D5">
            <w:pPr>
              <w:jc w:val="center"/>
              <w:rPr>
                <w:szCs w:val="21"/>
              </w:rPr>
            </w:pPr>
            <w:r w:rsidRPr="00925B84">
              <w:rPr>
                <w:rFonts w:hint="eastAsia"/>
                <w:spacing w:val="2"/>
                <w:szCs w:val="21"/>
              </w:rPr>
              <w:t>29</w:t>
            </w:r>
          </w:p>
        </w:tc>
        <w:tc>
          <w:tcPr>
            <w:tcW w:w="820" w:type="dxa"/>
            <w:vAlign w:val="center"/>
          </w:tcPr>
          <w:p w:rsidR="00C223F5" w:rsidRPr="00925B84" w:rsidRDefault="005860D5">
            <w:pPr>
              <w:jc w:val="center"/>
              <w:rPr>
                <w:szCs w:val="21"/>
              </w:rPr>
            </w:pPr>
            <w:r w:rsidRPr="00925B84">
              <w:rPr>
                <w:rFonts w:hint="eastAsia"/>
                <w:szCs w:val="21"/>
              </w:rPr>
              <w:t>0</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rPr>
            </w:pPr>
            <w:r w:rsidRPr="00925B84">
              <w:rPr>
                <w:szCs w:val="21"/>
              </w:rPr>
              <w:t>COD</w:t>
            </w:r>
          </w:p>
        </w:tc>
        <w:tc>
          <w:tcPr>
            <w:tcW w:w="1095" w:type="dxa"/>
            <w:vAlign w:val="center"/>
          </w:tcPr>
          <w:p w:rsidR="00C223F5" w:rsidRPr="00925B84" w:rsidRDefault="005860D5">
            <w:pPr>
              <w:jc w:val="center"/>
              <w:rPr>
                <w:rFonts w:eastAsia="楷体_GB2312"/>
                <w:szCs w:val="21"/>
              </w:rPr>
            </w:pPr>
            <w:r w:rsidRPr="00925B84">
              <w:rPr>
                <w:rFonts w:eastAsia="楷体_GB2312" w:hint="eastAsia"/>
                <w:szCs w:val="21"/>
              </w:rPr>
              <w:t>82</w:t>
            </w:r>
          </w:p>
        </w:tc>
        <w:tc>
          <w:tcPr>
            <w:tcW w:w="1274" w:type="dxa"/>
            <w:vAlign w:val="center"/>
          </w:tcPr>
          <w:p w:rsidR="00C223F5" w:rsidRPr="00925B84" w:rsidRDefault="005860D5">
            <w:pPr>
              <w:spacing w:line="280" w:lineRule="exact"/>
              <w:contextualSpacing/>
              <w:jc w:val="center"/>
              <w:rPr>
                <w:spacing w:val="2"/>
                <w:szCs w:val="21"/>
              </w:rPr>
            </w:pPr>
            <w:r w:rsidRPr="00925B84">
              <w:rPr>
                <w:rFonts w:hint="eastAsia"/>
                <w:bCs/>
                <w:kern w:val="0"/>
                <w:szCs w:val="21"/>
              </w:rPr>
              <w:t>17.83</w:t>
            </w:r>
          </w:p>
        </w:tc>
        <w:tc>
          <w:tcPr>
            <w:tcW w:w="784" w:type="dxa"/>
            <w:vAlign w:val="center"/>
          </w:tcPr>
          <w:p w:rsidR="00C223F5" w:rsidRPr="00925B84" w:rsidRDefault="005860D5">
            <w:pPr>
              <w:jc w:val="center"/>
              <w:rPr>
                <w:szCs w:val="21"/>
              </w:rPr>
            </w:pPr>
            <w:r w:rsidRPr="00925B84">
              <w:rPr>
                <w:szCs w:val="21"/>
              </w:rPr>
              <w:t>100</w:t>
            </w:r>
          </w:p>
        </w:tc>
      </w:tr>
      <w:tr w:rsidR="00C223F5" w:rsidRPr="00925B84">
        <w:trPr>
          <w:trHeight w:val="75"/>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vertAlign w:val="subscript"/>
              </w:rPr>
            </w:pPr>
            <w:r w:rsidRPr="00925B84">
              <w:rPr>
                <w:szCs w:val="21"/>
              </w:rPr>
              <w:t>BOD</w:t>
            </w:r>
            <w:r w:rsidRPr="00925B84">
              <w:rPr>
                <w:szCs w:val="21"/>
                <w:vertAlign w:val="subscript"/>
              </w:rPr>
              <w:t>5</w:t>
            </w:r>
          </w:p>
        </w:tc>
        <w:tc>
          <w:tcPr>
            <w:tcW w:w="722" w:type="dxa"/>
            <w:vAlign w:val="center"/>
          </w:tcPr>
          <w:p w:rsidR="00C223F5" w:rsidRPr="00925B84" w:rsidRDefault="005860D5">
            <w:pPr>
              <w:jc w:val="center"/>
              <w:rPr>
                <w:szCs w:val="21"/>
              </w:rPr>
            </w:pPr>
            <w:r w:rsidRPr="00925B84">
              <w:rPr>
                <w:rFonts w:hint="eastAsia"/>
                <w:szCs w:val="21"/>
              </w:rPr>
              <w:t>93.3</w:t>
            </w:r>
          </w:p>
        </w:tc>
        <w:tc>
          <w:tcPr>
            <w:tcW w:w="1371" w:type="dxa"/>
            <w:vAlign w:val="center"/>
          </w:tcPr>
          <w:p w:rsidR="00C223F5" w:rsidRPr="00925B84" w:rsidRDefault="005860D5">
            <w:pPr>
              <w:spacing w:line="280" w:lineRule="exact"/>
              <w:contextualSpacing/>
              <w:jc w:val="center"/>
              <w:rPr>
                <w:spacing w:val="2"/>
                <w:szCs w:val="21"/>
              </w:rPr>
            </w:pPr>
            <w:r w:rsidRPr="00925B84">
              <w:rPr>
                <w:rFonts w:hint="eastAsia"/>
                <w:bCs/>
                <w:kern w:val="0"/>
                <w:szCs w:val="21"/>
              </w:rPr>
              <w:t>10.21</w:t>
            </w:r>
          </w:p>
        </w:tc>
        <w:tc>
          <w:tcPr>
            <w:tcW w:w="1070" w:type="dxa"/>
            <w:vAlign w:val="center"/>
          </w:tcPr>
          <w:p w:rsidR="00C223F5" w:rsidRPr="00925B84" w:rsidRDefault="005860D5">
            <w:pPr>
              <w:jc w:val="center"/>
              <w:rPr>
                <w:szCs w:val="21"/>
                <w:vertAlign w:val="subscript"/>
              </w:rPr>
            </w:pPr>
            <w:r w:rsidRPr="00925B84">
              <w:rPr>
                <w:szCs w:val="21"/>
              </w:rPr>
              <w:t>BOD</w:t>
            </w:r>
            <w:r w:rsidRPr="00925B84">
              <w:rPr>
                <w:szCs w:val="21"/>
                <w:vertAlign w:val="subscript"/>
              </w:rPr>
              <w:t>5</w:t>
            </w:r>
          </w:p>
        </w:tc>
        <w:tc>
          <w:tcPr>
            <w:tcW w:w="815" w:type="dxa"/>
            <w:vAlign w:val="center"/>
          </w:tcPr>
          <w:p w:rsidR="00C223F5" w:rsidRPr="00925B84" w:rsidRDefault="005860D5">
            <w:pPr>
              <w:jc w:val="center"/>
              <w:rPr>
                <w:szCs w:val="21"/>
              </w:rPr>
            </w:pPr>
            <w:r w:rsidRPr="00925B84">
              <w:rPr>
                <w:rFonts w:hint="eastAsia"/>
                <w:szCs w:val="21"/>
              </w:rPr>
              <w:t>14.5</w:t>
            </w:r>
          </w:p>
        </w:tc>
        <w:tc>
          <w:tcPr>
            <w:tcW w:w="820" w:type="dxa"/>
            <w:vAlign w:val="center"/>
          </w:tcPr>
          <w:p w:rsidR="00C223F5" w:rsidRPr="00925B84" w:rsidRDefault="005860D5">
            <w:pPr>
              <w:jc w:val="center"/>
              <w:rPr>
                <w:szCs w:val="21"/>
              </w:rPr>
            </w:pPr>
            <w:r w:rsidRPr="00925B84">
              <w:rPr>
                <w:rFonts w:hint="eastAsia"/>
                <w:szCs w:val="21"/>
              </w:rPr>
              <w:t>0</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vertAlign w:val="subscript"/>
              </w:rPr>
            </w:pPr>
            <w:r w:rsidRPr="00925B84">
              <w:rPr>
                <w:szCs w:val="21"/>
              </w:rPr>
              <w:t>BOD</w:t>
            </w:r>
            <w:r w:rsidRPr="00925B84">
              <w:rPr>
                <w:szCs w:val="21"/>
                <w:vertAlign w:val="subscript"/>
              </w:rPr>
              <w:t>5</w:t>
            </w:r>
          </w:p>
        </w:tc>
        <w:tc>
          <w:tcPr>
            <w:tcW w:w="1095" w:type="dxa"/>
            <w:vAlign w:val="center"/>
          </w:tcPr>
          <w:p w:rsidR="00C223F5" w:rsidRPr="00925B84" w:rsidRDefault="005860D5">
            <w:pPr>
              <w:jc w:val="center"/>
              <w:rPr>
                <w:rFonts w:eastAsia="楷体_GB2312"/>
                <w:szCs w:val="21"/>
              </w:rPr>
            </w:pPr>
            <w:r w:rsidRPr="00925B84">
              <w:rPr>
                <w:rFonts w:eastAsia="楷体_GB2312" w:hint="eastAsia"/>
                <w:szCs w:val="21"/>
              </w:rPr>
              <w:t>84.5</w:t>
            </w:r>
          </w:p>
        </w:tc>
        <w:tc>
          <w:tcPr>
            <w:tcW w:w="1274" w:type="dxa"/>
            <w:vAlign w:val="center"/>
          </w:tcPr>
          <w:p w:rsidR="00C223F5" w:rsidRPr="00925B84" w:rsidRDefault="005860D5">
            <w:pPr>
              <w:spacing w:line="280" w:lineRule="exact"/>
              <w:contextualSpacing/>
              <w:jc w:val="center"/>
              <w:rPr>
                <w:spacing w:val="2"/>
                <w:szCs w:val="21"/>
              </w:rPr>
            </w:pPr>
            <w:r w:rsidRPr="00925B84">
              <w:rPr>
                <w:rFonts w:hint="eastAsia"/>
                <w:bCs/>
                <w:kern w:val="0"/>
                <w:szCs w:val="21"/>
              </w:rPr>
              <w:t>10.21</w:t>
            </w:r>
          </w:p>
        </w:tc>
        <w:tc>
          <w:tcPr>
            <w:tcW w:w="784" w:type="dxa"/>
            <w:vAlign w:val="center"/>
          </w:tcPr>
          <w:p w:rsidR="00C223F5" w:rsidRPr="00925B84" w:rsidRDefault="005860D5">
            <w:pPr>
              <w:jc w:val="center"/>
              <w:rPr>
                <w:szCs w:val="21"/>
              </w:rPr>
            </w:pPr>
            <w:r w:rsidRPr="00925B84">
              <w:rPr>
                <w:szCs w:val="21"/>
              </w:rPr>
              <w:t>100</w:t>
            </w:r>
          </w:p>
        </w:tc>
      </w:tr>
      <w:tr w:rsidR="00C223F5" w:rsidRPr="00925B84">
        <w:trPr>
          <w:trHeight w:val="69"/>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rPr>
            </w:pPr>
            <w:r w:rsidRPr="00925B84">
              <w:rPr>
                <w:szCs w:val="21"/>
              </w:rPr>
              <w:t>石油类</w:t>
            </w:r>
          </w:p>
        </w:tc>
        <w:tc>
          <w:tcPr>
            <w:tcW w:w="722" w:type="dxa"/>
            <w:vAlign w:val="center"/>
          </w:tcPr>
          <w:p w:rsidR="00C223F5" w:rsidRPr="00925B84" w:rsidRDefault="005860D5">
            <w:pPr>
              <w:jc w:val="center"/>
              <w:rPr>
                <w:szCs w:val="21"/>
              </w:rPr>
            </w:pPr>
            <w:r w:rsidRPr="00925B84">
              <w:rPr>
                <w:rFonts w:hint="eastAsia"/>
                <w:szCs w:val="21"/>
              </w:rPr>
              <w:t>/</w:t>
            </w:r>
          </w:p>
        </w:tc>
        <w:tc>
          <w:tcPr>
            <w:tcW w:w="1371" w:type="dxa"/>
            <w:vAlign w:val="center"/>
          </w:tcPr>
          <w:p w:rsidR="00C223F5" w:rsidRPr="00925B84" w:rsidRDefault="005860D5">
            <w:pPr>
              <w:spacing w:line="280" w:lineRule="exact"/>
              <w:contextualSpacing/>
              <w:jc w:val="center"/>
              <w:rPr>
                <w:spacing w:val="2"/>
                <w:szCs w:val="21"/>
              </w:rPr>
            </w:pPr>
            <w:r w:rsidRPr="00925B84">
              <w:rPr>
                <w:rFonts w:hint="eastAsia"/>
                <w:spacing w:val="2"/>
                <w:szCs w:val="21"/>
              </w:rPr>
              <w:t>/</w:t>
            </w:r>
          </w:p>
        </w:tc>
        <w:tc>
          <w:tcPr>
            <w:tcW w:w="1070" w:type="dxa"/>
            <w:vAlign w:val="center"/>
          </w:tcPr>
          <w:p w:rsidR="00C223F5" w:rsidRPr="00925B84" w:rsidRDefault="005860D5">
            <w:pPr>
              <w:jc w:val="center"/>
              <w:rPr>
                <w:szCs w:val="21"/>
              </w:rPr>
            </w:pPr>
            <w:r w:rsidRPr="00925B84">
              <w:rPr>
                <w:szCs w:val="21"/>
              </w:rPr>
              <w:t>石油类</w:t>
            </w:r>
          </w:p>
        </w:tc>
        <w:tc>
          <w:tcPr>
            <w:tcW w:w="815" w:type="dxa"/>
            <w:vAlign w:val="center"/>
          </w:tcPr>
          <w:p w:rsidR="00C223F5" w:rsidRPr="00925B84" w:rsidRDefault="005860D5">
            <w:pPr>
              <w:jc w:val="center"/>
              <w:rPr>
                <w:szCs w:val="21"/>
              </w:rPr>
            </w:pPr>
            <w:r w:rsidRPr="00925B84">
              <w:rPr>
                <w:rFonts w:hint="eastAsia"/>
                <w:szCs w:val="21"/>
              </w:rPr>
              <w:t>/</w:t>
            </w:r>
          </w:p>
        </w:tc>
        <w:tc>
          <w:tcPr>
            <w:tcW w:w="820" w:type="dxa"/>
            <w:vAlign w:val="center"/>
          </w:tcPr>
          <w:p w:rsidR="00C223F5" w:rsidRPr="00925B84" w:rsidRDefault="005860D5">
            <w:pPr>
              <w:jc w:val="center"/>
              <w:rPr>
                <w:szCs w:val="21"/>
              </w:rPr>
            </w:pPr>
            <w:r w:rsidRPr="00925B84">
              <w:rPr>
                <w:rFonts w:hint="eastAsia"/>
                <w:szCs w:val="21"/>
              </w:rPr>
              <w:t>0</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rPr>
            </w:pPr>
            <w:r w:rsidRPr="00925B84">
              <w:rPr>
                <w:szCs w:val="21"/>
              </w:rPr>
              <w:t>石油类</w:t>
            </w:r>
          </w:p>
        </w:tc>
        <w:tc>
          <w:tcPr>
            <w:tcW w:w="1095" w:type="dxa"/>
            <w:vAlign w:val="center"/>
          </w:tcPr>
          <w:p w:rsidR="00C223F5" w:rsidRPr="00925B84" w:rsidRDefault="005860D5">
            <w:pPr>
              <w:jc w:val="center"/>
              <w:rPr>
                <w:rFonts w:eastAsia="楷体_GB2312"/>
                <w:szCs w:val="21"/>
              </w:rPr>
            </w:pPr>
            <w:r w:rsidRPr="00925B84">
              <w:rPr>
                <w:rFonts w:eastAsia="楷体_GB2312" w:hint="eastAsia"/>
                <w:szCs w:val="21"/>
              </w:rPr>
              <w:t>/</w:t>
            </w:r>
          </w:p>
        </w:tc>
        <w:tc>
          <w:tcPr>
            <w:tcW w:w="1274" w:type="dxa"/>
            <w:vAlign w:val="center"/>
          </w:tcPr>
          <w:p w:rsidR="00C223F5" w:rsidRPr="00925B84" w:rsidRDefault="005860D5">
            <w:pPr>
              <w:spacing w:line="280" w:lineRule="exact"/>
              <w:contextualSpacing/>
              <w:jc w:val="center"/>
              <w:rPr>
                <w:spacing w:val="2"/>
                <w:szCs w:val="21"/>
              </w:rPr>
            </w:pPr>
            <w:r w:rsidRPr="00925B84">
              <w:rPr>
                <w:rFonts w:hint="eastAsia"/>
                <w:spacing w:val="2"/>
                <w:szCs w:val="21"/>
              </w:rPr>
              <w:t>/</w:t>
            </w:r>
          </w:p>
        </w:tc>
        <w:tc>
          <w:tcPr>
            <w:tcW w:w="784" w:type="dxa"/>
            <w:vAlign w:val="center"/>
          </w:tcPr>
          <w:p w:rsidR="00C223F5" w:rsidRPr="00925B84" w:rsidRDefault="005860D5">
            <w:pPr>
              <w:jc w:val="center"/>
              <w:rPr>
                <w:szCs w:val="21"/>
              </w:rPr>
            </w:pPr>
            <w:r w:rsidRPr="00925B84">
              <w:rPr>
                <w:rFonts w:hint="eastAsia"/>
                <w:szCs w:val="21"/>
              </w:rPr>
              <w:t>/</w:t>
            </w:r>
          </w:p>
        </w:tc>
      </w:tr>
      <w:tr w:rsidR="00C223F5" w:rsidRPr="00925B84">
        <w:trPr>
          <w:trHeight w:val="69"/>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rPr>
            </w:pPr>
            <w:r w:rsidRPr="00925B84">
              <w:rPr>
                <w:rFonts w:hint="eastAsia"/>
                <w:szCs w:val="21"/>
              </w:rPr>
              <w:t>氨氮</w:t>
            </w:r>
          </w:p>
        </w:tc>
        <w:tc>
          <w:tcPr>
            <w:tcW w:w="722" w:type="dxa"/>
            <w:vAlign w:val="center"/>
          </w:tcPr>
          <w:p w:rsidR="00C223F5" w:rsidRPr="00925B84" w:rsidRDefault="005860D5">
            <w:pPr>
              <w:jc w:val="center"/>
              <w:rPr>
                <w:szCs w:val="21"/>
              </w:rPr>
            </w:pPr>
            <w:r w:rsidRPr="00925B84">
              <w:rPr>
                <w:rFonts w:hint="eastAsia"/>
                <w:szCs w:val="21"/>
              </w:rPr>
              <w:t>4.21</w:t>
            </w:r>
          </w:p>
        </w:tc>
        <w:tc>
          <w:tcPr>
            <w:tcW w:w="1371" w:type="dxa"/>
            <w:vAlign w:val="center"/>
          </w:tcPr>
          <w:p w:rsidR="00C223F5" w:rsidRPr="00925B84" w:rsidRDefault="005860D5">
            <w:pPr>
              <w:spacing w:line="280" w:lineRule="exact"/>
              <w:contextualSpacing/>
              <w:jc w:val="center"/>
              <w:rPr>
                <w:spacing w:val="2"/>
                <w:szCs w:val="21"/>
              </w:rPr>
            </w:pPr>
            <w:r w:rsidRPr="00925B84">
              <w:rPr>
                <w:rFonts w:hint="eastAsia"/>
                <w:spacing w:val="2"/>
                <w:szCs w:val="21"/>
              </w:rPr>
              <w:t>0.46</w:t>
            </w:r>
          </w:p>
        </w:tc>
        <w:tc>
          <w:tcPr>
            <w:tcW w:w="1070" w:type="dxa"/>
            <w:vAlign w:val="center"/>
          </w:tcPr>
          <w:p w:rsidR="00C223F5" w:rsidRPr="00925B84" w:rsidRDefault="005860D5">
            <w:pPr>
              <w:jc w:val="center"/>
              <w:rPr>
                <w:szCs w:val="21"/>
              </w:rPr>
            </w:pPr>
            <w:r w:rsidRPr="00925B84">
              <w:rPr>
                <w:rFonts w:hint="eastAsia"/>
                <w:szCs w:val="21"/>
              </w:rPr>
              <w:t>氨氮</w:t>
            </w:r>
          </w:p>
        </w:tc>
        <w:tc>
          <w:tcPr>
            <w:tcW w:w="815" w:type="dxa"/>
            <w:vAlign w:val="center"/>
          </w:tcPr>
          <w:p w:rsidR="00C223F5" w:rsidRPr="00925B84" w:rsidRDefault="005860D5">
            <w:pPr>
              <w:jc w:val="center"/>
              <w:rPr>
                <w:szCs w:val="21"/>
              </w:rPr>
            </w:pPr>
            <w:r w:rsidRPr="00925B84">
              <w:rPr>
                <w:rFonts w:hint="eastAsia"/>
                <w:szCs w:val="21"/>
              </w:rPr>
              <w:t>0.032</w:t>
            </w:r>
          </w:p>
        </w:tc>
        <w:tc>
          <w:tcPr>
            <w:tcW w:w="820" w:type="dxa"/>
            <w:vAlign w:val="center"/>
          </w:tcPr>
          <w:p w:rsidR="00C223F5" w:rsidRPr="00925B84" w:rsidRDefault="005860D5">
            <w:pPr>
              <w:jc w:val="center"/>
              <w:rPr>
                <w:szCs w:val="21"/>
              </w:rPr>
            </w:pPr>
            <w:r w:rsidRPr="00925B84">
              <w:rPr>
                <w:rFonts w:hint="eastAsia"/>
                <w:szCs w:val="21"/>
              </w:rPr>
              <w:t>0</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rPr>
            </w:pPr>
            <w:r w:rsidRPr="00925B84">
              <w:rPr>
                <w:rFonts w:hint="eastAsia"/>
                <w:szCs w:val="21"/>
              </w:rPr>
              <w:t>氨氮</w:t>
            </w:r>
          </w:p>
        </w:tc>
        <w:tc>
          <w:tcPr>
            <w:tcW w:w="1095" w:type="dxa"/>
            <w:vAlign w:val="center"/>
          </w:tcPr>
          <w:p w:rsidR="00C223F5" w:rsidRPr="00925B84" w:rsidRDefault="005860D5">
            <w:pPr>
              <w:jc w:val="center"/>
              <w:rPr>
                <w:rFonts w:eastAsia="楷体_GB2312"/>
                <w:szCs w:val="21"/>
              </w:rPr>
            </w:pPr>
            <w:r w:rsidRPr="00925B84">
              <w:rPr>
                <w:rFonts w:eastAsia="楷体_GB2312" w:hint="eastAsia"/>
                <w:szCs w:val="21"/>
              </w:rPr>
              <w:t>99</w:t>
            </w:r>
          </w:p>
        </w:tc>
        <w:tc>
          <w:tcPr>
            <w:tcW w:w="1274" w:type="dxa"/>
            <w:vAlign w:val="center"/>
          </w:tcPr>
          <w:p w:rsidR="00C223F5" w:rsidRPr="00925B84" w:rsidRDefault="005860D5">
            <w:pPr>
              <w:spacing w:line="280" w:lineRule="exact"/>
              <w:contextualSpacing/>
              <w:jc w:val="center"/>
              <w:rPr>
                <w:spacing w:val="2"/>
                <w:szCs w:val="21"/>
              </w:rPr>
            </w:pPr>
            <w:r w:rsidRPr="00925B84">
              <w:rPr>
                <w:rFonts w:hint="eastAsia"/>
                <w:spacing w:val="2"/>
                <w:szCs w:val="21"/>
              </w:rPr>
              <w:t>0.46</w:t>
            </w:r>
          </w:p>
        </w:tc>
        <w:tc>
          <w:tcPr>
            <w:tcW w:w="784" w:type="dxa"/>
            <w:vAlign w:val="center"/>
          </w:tcPr>
          <w:p w:rsidR="00C223F5" w:rsidRPr="00925B84" w:rsidRDefault="005860D5">
            <w:pPr>
              <w:jc w:val="center"/>
              <w:rPr>
                <w:szCs w:val="21"/>
              </w:rPr>
            </w:pPr>
            <w:r w:rsidRPr="00925B84">
              <w:rPr>
                <w:rFonts w:hint="eastAsia"/>
                <w:szCs w:val="21"/>
              </w:rPr>
              <w:t>100</w:t>
            </w:r>
          </w:p>
        </w:tc>
      </w:tr>
      <w:tr w:rsidR="00C223F5" w:rsidRPr="00925B84">
        <w:trPr>
          <w:trHeight w:val="1139"/>
          <w:jc w:val="center"/>
        </w:trPr>
        <w:tc>
          <w:tcPr>
            <w:tcW w:w="787" w:type="dxa"/>
            <w:vAlign w:val="center"/>
          </w:tcPr>
          <w:p w:rsidR="00C223F5" w:rsidRPr="00925B84" w:rsidRDefault="005860D5">
            <w:pPr>
              <w:jc w:val="center"/>
              <w:rPr>
                <w:szCs w:val="21"/>
              </w:rPr>
            </w:pPr>
            <w:r w:rsidRPr="00925B84">
              <w:rPr>
                <w:rFonts w:hint="eastAsia"/>
                <w:szCs w:val="21"/>
              </w:rPr>
              <w:t>地面</w:t>
            </w:r>
          </w:p>
          <w:p w:rsidR="00C223F5" w:rsidRPr="00925B84" w:rsidRDefault="005860D5">
            <w:pPr>
              <w:jc w:val="center"/>
              <w:rPr>
                <w:szCs w:val="21"/>
              </w:rPr>
            </w:pPr>
            <w:r w:rsidRPr="00925B84">
              <w:rPr>
                <w:rFonts w:hint="eastAsia"/>
                <w:szCs w:val="21"/>
              </w:rPr>
              <w:t>生产</w:t>
            </w:r>
          </w:p>
          <w:p w:rsidR="00C223F5" w:rsidRPr="00925B84" w:rsidRDefault="005860D5">
            <w:pPr>
              <w:jc w:val="center"/>
              <w:rPr>
                <w:szCs w:val="21"/>
              </w:rPr>
            </w:pPr>
            <w:r w:rsidRPr="00925B84">
              <w:rPr>
                <w:rFonts w:hint="eastAsia"/>
                <w:szCs w:val="21"/>
              </w:rPr>
              <w:t>系统</w:t>
            </w:r>
          </w:p>
        </w:tc>
        <w:tc>
          <w:tcPr>
            <w:tcW w:w="1037" w:type="dxa"/>
            <w:vAlign w:val="center"/>
          </w:tcPr>
          <w:p w:rsidR="00C223F5" w:rsidRPr="00925B84" w:rsidRDefault="005860D5">
            <w:pPr>
              <w:jc w:val="center"/>
              <w:rPr>
                <w:szCs w:val="21"/>
              </w:rPr>
            </w:pPr>
            <w:r w:rsidRPr="00925B84">
              <w:rPr>
                <w:szCs w:val="21"/>
              </w:rPr>
              <w:t>煤尘</w:t>
            </w:r>
          </w:p>
        </w:tc>
        <w:tc>
          <w:tcPr>
            <w:tcW w:w="722" w:type="dxa"/>
            <w:vAlign w:val="center"/>
          </w:tcPr>
          <w:p w:rsidR="00C223F5" w:rsidRPr="00925B84" w:rsidRDefault="005860D5">
            <w:pPr>
              <w:jc w:val="center"/>
              <w:rPr>
                <w:szCs w:val="21"/>
              </w:rPr>
            </w:pPr>
            <w:r w:rsidRPr="00925B84">
              <w:rPr>
                <w:szCs w:val="21"/>
              </w:rPr>
              <w:t>/</w:t>
            </w:r>
          </w:p>
        </w:tc>
        <w:tc>
          <w:tcPr>
            <w:tcW w:w="1371" w:type="dxa"/>
            <w:vAlign w:val="center"/>
          </w:tcPr>
          <w:p w:rsidR="00C223F5" w:rsidRPr="00925B84" w:rsidRDefault="005860D5">
            <w:pPr>
              <w:jc w:val="center"/>
              <w:rPr>
                <w:szCs w:val="21"/>
              </w:rPr>
            </w:pPr>
            <w:r w:rsidRPr="00925B84">
              <w:rPr>
                <w:rFonts w:hint="eastAsia"/>
                <w:szCs w:val="21"/>
              </w:rPr>
              <w:t>0.792</w:t>
            </w:r>
          </w:p>
        </w:tc>
        <w:tc>
          <w:tcPr>
            <w:tcW w:w="1070" w:type="dxa"/>
            <w:vAlign w:val="center"/>
          </w:tcPr>
          <w:p w:rsidR="00C223F5" w:rsidRPr="00925B84" w:rsidRDefault="005860D5">
            <w:pPr>
              <w:jc w:val="center"/>
              <w:rPr>
                <w:szCs w:val="21"/>
              </w:rPr>
            </w:pPr>
            <w:r w:rsidRPr="00925B84">
              <w:rPr>
                <w:szCs w:val="21"/>
              </w:rPr>
              <w:t>煤尘</w:t>
            </w:r>
          </w:p>
        </w:tc>
        <w:tc>
          <w:tcPr>
            <w:tcW w:w="815" w:type="dxa"/>
            <w:vAlign w:val="center"/>
          </w:tcPr>
          <w:p w:rsidR="00C223F5" w:rsidRPr="00925B84" w:rsidRDefault="005860D5">
            <w:pPr>
              <w:jc w:val="center"/>
              <w:rPr>
                <w:szCs w:val="21"/>
              </w:rPr>
            </w:pPr>
            <w:r w:rsidRPr="00925B84">
              <w:rPr>
                <w:szCs w:val="21"/>
              </w:rPr>
              <w:t>＜</w:t>
            </w:r>
            <w:r w:rsidRPr="00925B84">
              <w:rPr>
                <w:rFonts w:hint="eastAsia"/>
                <w:szCs w:val="21"/>
              </w:rPr>
              <w:t>10</w:t>
            </w:r>
          </w:p>
          <w:p w:rsidR="00C223F5" w:rsidRPr="00925B84" w:rsidRDefault="005860D5">
            <w:pPr>
              <w:jc w:val="center"/>
              <w:rPr>
                <w:szCs w:val="21"/>
              </w:rPr>
            </w:pPr>
            <w:r w:rsidRPr="00925B84">
              <w:rPr>
                <w:szCs w:val="21"/>
              </w:rPr>
              <w:t>mg /m</w:t>
            </w:r>
            <w:r w:rsidRPr="00925B84">
              <w:rPr>
                <w:szCs w:val="21"/>
                <w:vertAlign w:val="superscript"/>
              </w:rPr>
              <w:t>3</w:t>
            </w:r>
          </w:p>
        </w:tc>
        <w:tc>
          <w:tcPr>
            <w:tcW w:w="820" w:type="dxa"/>
            <w:vAlign w:val="center"/>
          </w:tcPr>
          <w:p w:rsidR="00C223F5" w:rsidRPr="00925B84" w:rsidRDefault="005860D5">
            <w:pPr>
              <w:jc w:val="center"/>
              <w:rPr>
                <w:szCs w:val="21"/>
              </w:rPr>
            </w:pPr>
            <w:r w:rsidRPr="00925B84">
              <w:rPr>
                <w:rFonts w:hint="eastAsia"/>
                <w:szCs w:val="21"/>
              </w:rPr>
              <w:t>0.063</w:t>
            </w:r>
          </w:p>
        </w:tc>
        <w:tc>
          <w:tcPr>
            <w:tcW w:w="3125" w:type="dxa"/>
            <w:vAlign w:val="center"/>
          </w:tcPr>
          <w:p w:rsidR="00C223F5" w:rsidRPr="00925B84" w:rsidRDefault="005860D5">
            <w:pPr>
              <w:jc w:val="center"/>
              <w:rPr>
                <w:szCs w:val="21"/>
              </w:rPr>
            </w:pPr>
            <w:r w:rsidRPr="00925B84">
              <w:rPr>
                <w:rFonts w:hint="eastAsia"/>
                <w:szCs w:val="21"/>
              </w:rPr>
              <w:t>原煤及产品煤、矸石均采用筒仓处置，筛破设备设置在厂房内，选煤厂安装微米级干雾抑尘装置；输煤栈桥封闭，设置喷雾洒水装置；主要产尘点设集尘罩，原煤仓上下转载点、筛分破碎车间振动筛上下转载点、产品仓上下转载点等设干雾喷头</w:t>
            </w:r>
          </w:p>
        </w:tc>
        <w:tc>
          <w:tcPr>
            <w:tcW w:w="1017" w:type="dxa"/>
            <w:vAlign w:val="center"/>
          </w:tcPr>
          <w:p w:rsidR="00C223F5" w:rsidRPr="00925B84" w:rsidRDefault="005860D5">
            <w:pPr>
              <w:jc w:val="center"/>
              <w:rPr>
                <w:szCs w:val="21"/>
              </w:rPr>
            </w:pPr>
            <w:r w:rsidRPr="00925B84">
              <w:rPr>
                <w:szCs w:val="21"/>
              </w:rPr>
              <w:t>煤尘</w:t>
            </w:r>
          </w:p>
        </w:tc>
        <w:tc>
          <w:tcPr>
            <w:tcW w:w="1095" w:type="dxa"/>
            <w:vAlign w:val="center"/>
          </w:tcPr>
          <w:p w:rsidR="00C223F5" w:rsidRPr="00925B84" w:rsidRDefault="005860D5">
            <w:pPr>
              <w:jc w:val="center"/>
              <w:rPr>
                <w:szCs w:val="21"/>
              </w:rPr>
            </w:pPr>
            <w:r w:rsidRPr="00925B84">
              <w:rPr>
                <w:rFonts w:hint="eastAsia"/>
                <w:szCs w:val="21"/>
              </w:rPr>
              <w:t>92</w:t>
            </w:r>
          </w:p>
        </w:tc>
        <w:tc>
          <w:tcPr>
            <w:tcW w:w="1274" w:type="dxa"/>
            <w:vAlign w:val="center"/>
          </w:tcPr>
          <w:p w:rsidR="00C223F5" w:rsidRPr="00925B84" w:rsidRDefault="005860D5">
            <w:pPr>
              <w:jc w:val="center"/>
              <w:rPr>
                <w:szCs w:val="21"/>
              </w:rPr>
            </w:pPr>
            <w:r w:rsidRPr="00925B84">
              <w:rPr>
                <w:rFonts w:hint="eastAsia"/>
                <w:szCs w:val="21"/>
              </w:rPr>
              <w:t>0.729</w:t>
            </w:r>
          </w:p>
        </w:tc>
        <w:tc>
          <w:tcPr>
            <w:tcW w:w="784" w:type="dxa"/>
            <w:vAlign w:val="center"/>
          </w:tcPr>
          <w:p w:rsidR="00C223F5" w:rsidRPr="00925B84" w:rsidRDefault="005860D5">
            <w:pPr>
              <w:jc w:val="center"/>
              <w:rPr>
                <w:szCs w:val="21"/>
              </w:rPr>
            </w:pPr>
            <w:r w:rsidRPr="00925B84">
              <w:rPr>
                <w:rFonts w:hint="eastAsia"/>
                <w:szCs w:val="21"/>
              </w:rPr>
              <w:t>92</w:t>
            </w:r>
          </w:p>
        </w:tc>
      </w:tr>
      <w:tr w:rsidR="00C223F5" w:rsidRPr="00925B84">
        <w:trPr>
          <w:jc w:val="center"/>
        </w:trPr>
        <w:tc>
          <w:tcPr>
            <w:tcW w:w="787" w:type="dxa"/>
            <w:vMerge w:val="restart"/>
            <w:vAlign w:val="center"/>
          </w:tcPr>
          <w:p w:rsidR="00C223F5" w:rsidRPr="00925B84" w:rsidRDefault="005860D5">
            <w:pPr>
              <w:jc w:val="center"/>
              <w:rPr>
                <w:szCs w:val="21"/>
              </w:rPr>
            </w:pPr>
            <w:r w:rsidRPr="00925B84">
              <w:rPr>
                <w:szCs w:val="21"/>
              </w:rPr>
              <w:t>固体</w:t>
            </w:r>
          </w:p>
          <w:p w:rsidR="00C223F5" w:rsidRPr="00925B84" w:rsidRDefault="005860D5">
            <w:pPr>
              <w:jc w:val="center"/>
              <w:rPr>
                <w:szCs w:val="21"/>
              </w:rPr>
            </w:pPr>
            <w:r w:rsidRPr="00925B84">
              <w:rPr>
                <w:szCs w:val="21"/>
              </w:rPr>
              <w:t>废物</w:t>
            </w:r>
          </w:p>
        </w:tc>
        <w:tc>
          <w:tcPr>
            <w:tcW w:w="1037" w:type="dxa"/>
            <w:vAlign w:val="center"/>
          </w:tcPr>
          <w:p w:rsidR="00C223F5" w:rsidRPr="00925B84" w:rsidRDefault="005860D5">
            <w:pPr>
              <w:jc w:val="center"/>
              <w:rPr>
                <w:szCs w:val="21"/>
              </w:rPr>
            </w:pPr>
            <w:r w:rsidRPr="00925B84">
              <w:rPr>
                <w:rFonts w:hint="eastAsia"/>
                <w:szCs w:val="21"/>
              </w:rPr>
              <w:t>生产矸石</w:t>
            </w:r>
          </w:p>
        </w:tc>
        <w:tc>
          <w:tcPr>
            <w:tcW w:w="722" w:type="dxa"/>
            <w:vAlign w:val="center"/>
          </w:tcPr>
          <w:p w:rsidR="00C223F5" w:rsidRPr="00925B84" w:rsidRDefault="005860D5">
            <w:pPr>
              <w:jc w:val="center"/>
              <w:rPr>
                <w:szCs w:val="21"/>
              </w:rPr>
            </w:pPr>
            <w:r w:rsidRPr="00925B84">
              <w:rPr>
                <w:rFonts w:hint="eastAsia"/>
                <w:szCs w:val="21"/>
              </w:rPr>
              <w:t>/</w:t>
            </w:r>
          </w:p>
        </w:tc>
        <w:tc>
          <w:tcPr>
            <w:tcW w:w="1371" w:type="dxa"/>
            <w:vAlign w:val="center"/>
          </w:tcPr>
          <w:p w:rsidR="00C223F5" w:rsidRPr="00135798" w:rsidRDefault="005860D5">
            <w:pPr>
              <w:contextualSpacing/>
              <w:jc w:val="center"/>
              <w:rPr>
                <w:color w:val="FF0000"/>
                <w:szCs w:val="21"/>
              </w:rPr>
            </w:pPr>
            <w:r w:rsidRPr="00135798">
              <w:rPr>
                <w:rFonts w:hint="eastAsia"/>
                <w:color w:val="FF0000"/>
                <w:kern w:val="0"/>
                <w:szCs w:val="21"/>
              </w:rPr>
              <w:t>24.7</w:t>
            </w:r>
            <w:r w:rsidRPr="00135798">
              <w:rPr>
                <w:rFonts w:hint="eastAsia"/>
                <w:color w:val="FF0000"/>
                <w:kern w:val="0"/>
                <w:szCs w:val="21"/>
              </w:rPr>
              <w:t>×</w:t>
            </w:r>
            <w:r w:rsidRPr="00135798">
              <w:rPr>
                <w:rFonts w:hint="eastAsia"/>
                <w:color w:val="FF0000"/>
                <w:kern w:val="0"/>
                <w:szCs w:val="21"/>
              </w:rPr>
              <w:t>10</w:t>
            </w:r>
            <w:r w:rsidRPr="00135798">
              <w:rPr>
                <w:rFonts w:hint="eastAsia"/>
                <w:color w:val="FF0000"/>
                <w:kern w:val="0"/>
                <w:szCs w:val="21"/>
                <w:vertAlign w:val="superscript"/>
              </w:rPr>
              <w:t>4</w:t>
            </w:r>
          </w:p>
        </w:tc>
        <w:tc>
          <w:tcPr>
            <w:tcW w:w="1070" w:type="dxa"/>
            <w:vAlign w:val="center"/>
          </w:tcPr>
          <w:p w:rsidR="00C223F5" w:rsidRPr="00925B84" w:rsidRDefault="005860D5">
            <w:pPr>
              <w:jc w:val="center"/>
              <w:rPr>
                <w:szCs w:val="21"/>
              </w:rPr>
            </w:pPr>
            <w:r w:rsidRPr="00925B84">
              <w:rPr>
                <w:rFonts w:hint="eastAsia"/>
                <w:szCs w:val="21"/>
              </w:rPr>
              <w:t>生产矸石</w:t>
            </w:r>
          </w:p>
        </w:tc>
        <w:tc>
          <w:tcPr>
            <w:tcW w:w="815" w:type="dxa"/>
            <w:vAlign w:val="center"/>
          </w:tcPr>
          <w:p w:rsidR="00C223F5" w:rsidRPr="00925B84" w:rsidRDefault="005860D5">
            <w:pPr>
              <w:jc w:val="center"/>
              <w:rPr>
                <w:szCs w:val="21"/>
              </w:rPr>
            </w:pPr>
            <w:r w:rsidRPr="00925B84">
              <w:rPr>
                <w:rFonts w:hint="eastAsia"/>
                <w:szCs w:val="21"/>
              </w:rPr>
              <w:t>/</w:t>
            </w:r>
          </w:p>
        </w:tc>
        <w:tc>
          <w:tcPr>
            <w:tcW w:w="820" w:type="dxa"/>
            <w:vAlign w:val="center"/>
          </w:tcPr>
          <w:p w:rsidR="00C223F5" w:rsidRPr="00925B84" w:rsidRDefault="005860D5">
            <w:pPr>
              <w:jc w:val="center"/>
              <w:rPr>
                <w:szCs w:val="21"/>
              </w:rPr>
            </w:pPr>
            <w:r w:rsidRPr="00925B84">
              <w:rPr>
                <w:rFonts w:hint="eastAsia"/>
                <w:szCs w:val="21"/>
              </w:rPr>
              <w:t>0</w:t>
            </w:r>
          </w:p>
        </w:tc>
        <w:tc>
          <w:tcPr>
            <w:tcW w:w="3125" w:type="dxa"/>
            <w:vMerge w:val="restart"/>
            <w:vAlign w:val="center"/>
          </w:tcPr>
          <w:p w:rsidR="00C223F5" w:rsidRPr="00925B84" w:rsidRDefault="005860D5">
            <w:pPr>
              <w:jc w:val="center"/>
              <w:rPr>
                <w:szCs w:val="21"/>
              </w:rPr>
            </w:pPr>
            <w:r w:rsidRPr="00925B84">
              <w:rPr>
                <w:szCs w:val="21"/>
              </w:rPr>
              <w:t>掘进矸石</w:t>
            </w:r>
            <w:r w:rsidR="00792DE6" w:rsidRPr="00925B84">
              <w:rPr>
                <w:rFonts w:hint="eastAsia"/>
                <w:szCs w:val="21"/>
              </w:rPr>
              <w:t>不出井</w:t>
            </w:r>
            <w:r w:rsidRPr="00925B84">
              <w:rPr>
                <w:rFonts w:hint="eastAsia"/>
                <w:szCs w:val="21"/>
              </w:rPr>
              <w:t>，</w:t>
            </w:r>
            <w:r w:rsidRPr="00925B84">
              <w:rPr>
                <w:szCs w:val="21"/>
              </w:rPr>
              <w:t>地面选矸</w:t>
            </w:r>
            <w:r w:rsidRPr="00925B84">
              <w:rPr>
                <w:rFonts w:hint="eastAsia"/>
                <w:szCs w:val="21"/>
              </w:rPr>
              <w:t>优先</w:t>
            </w:r>
            <w:r w:rsidRPr="00925B84">
              <w:rPr>
                <w:szCs w:val="21"/>
              </w:rPr>
              <w:t>综合利用</w:t>
            </w:r>
            <w:r w:rsidRPr="00925B84">
              <w:rPr>
                <w:rFonts w:hint="eastAsia"/>
                <w:szCs w:val="21"/>
              </w:rPr>
              <w:t>；污泥脱水后送至市政垃圾填埋场处置；</w:t>
            </w:r>
            <w:r w:rsidRPr="00925B84">
              <w:rPr>
                <w:szCs w:val="21"/>
              </w:rPr>
              <w:t>生活垃圾定期运往市政垃圾场，煤泥压滤后外销</w:t>
            </w:r>
            <w:r w:rsidRPr="00925B84">
              <w:rPr>
                <w:rFonts w:hint="eastAsia"/>
                <w:szCs w:val="21"/>
              </w:rPr>
              <w:t>；</w:t>
            </w:r>
          </w:p>
          <w:p w:rsidR="00C223F5" w:rsidRPr="00925B84" w:rsidRDefault="005860D5">
            <w:pPr>
              <w:jc w:val="center"/>
              <w:rPr>
                <w:szCs w:val="21"/>
              </w:rPr>
            </w:pPr>
            <w:r w:rsidRPr="00925B84">
              <w:rPr>
                <w:rFonts w:hint="eastAsia"/>
                <w:szCs w:val="21"/>
              </w:rPr>
              <w:t>废机油</w:t>
            </w:r>
            <w:r w:rsidRPr="00925B84">
              <w:rPr>
                <w:rFonts w:eastAsiaTheme="minorEastAsia" w:hAnsiTheme="minorEastAsia"/>
                <w:szCs w:val="21"/>
              </w:rPr>
              <w:t>交有资质的单位处置</w:t>
            </w:r>
          </w:p>
        </w:tc>
        <w:tc>
          <w:tcPr>
            <w:tcW w:w="1017" w:type="dxa"/>
            <w:vAlign w:val="center"/>
          </w:tcPr>
          <w:p w:rsidR="00C223F5" w:rsidRPr="00925B84" w:rsidRDefault="005860D5">
            <w:pPr>
              <w:jc w:val="center"/>
              <w:rPr>
                <w:szCs w:val="21"/>
              </w:rPr>
            </w:pPr>
            <w:r w:rsidRPr="00925B84">
              <w:rPr>
                <w:rFonts w:hint="eastAsia"/>
                <w:szCs w:val="21"/>
              </w:rPr>
              <w:t>生产矸石</w:t>
            </w:r>
          </w:p>
        </w:tc>
        <w:tc>
          <w:tcPr>
            <w:tcW w:w="1095" w:type="dxa"/>
            <w:vAlign w:val="center"/>
          </w:tcPr>
          <w:p w:rsidR="00C223F5" w:rsidRPr="00925B84" w:rsidRDefault="005860D5">
            <w:pPr>
              <w:jc w:val="center"/>
              <w:rPr>
                <w:szCs w:val="21"/>
              </w:rPr>
            </w:pPr>
            <w:r w:rsidRPr="00925B84">
              <w:rPr>
                <w:rFonts w:hint="eastAsia"/>
                <w:szCs w:val="21"/>
              </w:rPr>
              <w:t>100</w:t>
            </w:r>
          </w:p>
        </w:tc>
        <w:tc>
          <w:tcPr>
            <w:tcW w:w="1274" w:type="dxa"/>
            <w:vAlign w:val="center"/>
          </w:tcPr>
          <w:p w:rsidR="00C223F5" w:rsidRPr="00925B84" w:rsidRDefault="005860D5">
            <w:pPr>
              <w:contextualSpacing/>
              <w:jc w:val="center"/>
              <w:rPr>
                <w:szCs w:val="21"/>
              </w:rPr>
            </w:pPr>
            <w:r w:rsidRPr="00925B84">
              <w:rPr>
                <w:rFonts w:hint="eastAsia"/>
                <w:kern w:val="0"/>
                <w:szCs w:val="21"/>
              </w:rPr>
              <w:t>24.7</w:t>
            </w:r>
            <w:r w:rsidRPr="00925B84">
              <w:rPr>
                <w:rFonts w:hint="eastAsia"/>
                <w:kern w:val="0"/>
                <w:szCs w:val="21"/>
              </w:rPr>
              <w:t>×</w:t>
            </w:r>
            <w:r w:rsidRPr="00925B84">
              <w:rPr>
                <w:rFonts w:hint="eastAsia"/>
                <w:kern w:val="0"/>
                <w:szCs w:val="21"/>
              </w:rPr>
              <w:t>10</w:t>
            </w:r>
            <w:r w:rsidRPr="00925B84">
              <w:rPr>
                <w:rFonts w:hint="eastAsia"/>
                <w:kern w:val="0"/>
                <w:szCs w:val="21"/>
                <w:vertAlign w:val="superscript"/>
              </w:rPr>
              <w:t>4</w:t>
            </w:r>
          </w:p>
        </w:tc>
        <w:tc>
          <w:tcPr>
            <w:tcW w:w="784" w:type="dxa"/>
            <w:vAlign w:val="center"/>
          </w:tcPr>
          <w:p w:rsidR="00C223F5" w:rsidRPr="00925B84" w:rsidRDefault="005860D5">
            <w:pPr>
              <w:jc w:val="center"/>
              <w:rPr>
                <w:szCs w:val="21"/>
              </w:rPr>
            </w:pPr>
            <w:r w:rsidRPr="00925B84">
              <w:rPr>
                <w:rFonts w:hint="eastAsia"/>
                <w:szCs w:val="21"/>
              </w:rPr>
              <w:t>100</w:t>
            </w:r>
          </w:p>
        </w:tc>
      </w:tr>
      <w:tr w:rsidR="00C223F5" w:rsidRPr="00925B84">
        <w:trPr>
          <w:trHeight w:val="69"/>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rPr>
            </w:pPr>
            <w:r w:rsidRPr="00925B84">
              <w:rPr>
                <w:szCs w:val="21"/>
              </w:rPr>
              <w:t>生活垃圾</w:t>
            </w:r>
          </w:p>
        </w:tc>
        <w:tc>
          <w:tcPr>
            <w:tcW w:w="722" w:type="dxa"/>
            <w:vAlign w:val="center"/>
          </w:tcPr>
          <w:p w:rsidR="00C223F5" w:rsidRPr="00925B84" w:rsidRDefault="005860D5">
            <w:pPr>
              <w:jc w:val="center"/>
              <w:rPr>
                <w:szCs w:val="21"/>
              </w:rPr>
            </w:pPr>
            <w:r w:rsidRPr="00925B84">
              <w:rPr>
                <w:rFonts w:hint="eastAsia"/>
                <w:szCs w:val="21"/>
              </w:rPr>
              <w:t>/</w:t>
            </w:r>
          </w:p>
        </w:tc>
        <w:tc>
          <w:tcPr>
            <w:tcW w:w="1371" w:type="dxa"/>
            <w:vAlign w:val="center"/>
          </w:tcPr>
          <w:p w:rsidR="00C223F5" w:rsidRPr="00925B84" w:rsidRDefault="005860D5">
            <w:pPr>
              <w:spacing w:line="280" w:lineRule="exact"/>
              <w:contextualSpacing/>
              <w:jc w:val="center"/>
              <w:rPr>
                <w:szCs w:val="21"/>
              </w:rPr>
            </w:pPr>
            <w:r w:rsidRPr="00925B84">
              <w:rPr>
                <w:rFonts w:hint="eastAsia"/>
                <w:szCs w:val="21"/>
              </w:rPr>
              <w:t>149</w:t>
            </w:r>
          </w:p>
        </w:tc>
        <w:tc>
          <w:tcPr>
            <w:tcW w:w="1070" w:type="dxa"/>
            <w:vAlign w:val="center"/>
          </w:tcPr>
          <w:p w:rsidR="00C223F5" w:rsidRPr="00925B84" w:rsidRDefault="005860D5">
            <w:pPr>
              <w:jc w:val="center"/>
              <w:rPr>
                <w:szCs w:val="21"/>
              </w:rPr>
            </w:pPr>
            <w:r w:rsidRPr="00925B84">
              <w:rPr>
                <w:szCs w:val="21"/>
              </w:rPr>
              <w:t>生活垃圾</w:t>
            </w:r>
          </w:p>
        </w:tc>
        <w:tc>
          <w:tcPr>
            <w:tcW w:w="815" w:type="dxa"/>
            <w:vAlign w:val="center"/>
          </w:tcPr>
          <w:p w:rsidR="00C223F5" w:rsidRPr="00925B84" w:rsidRDefault="005860D5">
            <w:pPr>
              <w:jc w:val="center"/>
              <w:rPr>
                <w:szCs w:val="21"/>
              </w:rPr>
            </w:pPr>
            <w:r w:rsidRPr="00925B84">
              <w:rPr>
                <w:rFonts w:hint="eastAsia"/>
                <w:szCs w:val="21"/>
              </w:rPr>
              <w:t>/</w:t>
            </w:r>
          </w:p>
        </w:tc>
        <w:tc>
          <w:tcPr>
            <w:tcW w:w="820" w:type="dxa"/>
            <w:vAlign w:val="center"/>
          </w:tcPr>
          <w:p w:rsidR="00C223F5" w:rsidRPr="00925B84" w:rsidRDefault="005860D5">
            <w:pPr>
              <w:jc w:val="center"/>
              <w:rPr>
                <w:szCs w:val="21"/>
              </w:rPr>
            </w:pPr>
            <w:r w:rsidRPr="00925B84">
              <w:rPr>
                <w:rFonts w:hint="eastAsia"/>
                <w:szCs w:val="21"/>
              </w:rPr>
              <w:t>0</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rPr>
            </w:pPr>
            <w:r w:rsidRPr="00925B84">
              <w:rPr>
                <w:szCs w:val="21"/>
              </w:rPr>
              <w:t>生活垃圾</w:t>
            </w:r>
          </w:p>
        </w:tc>
        <w:tc>
          <w:tcPr>
            <w:tcW w:w="1095" w:type="dxa"/>
            <w:vAlign w:val="center"/>
          </w:tcPr>
          <w:p w:rsidR="00C223F5" w:rsidRPr="00925B84" w:rsidRDefault="005860D5">
            <w:pPr>
              <w:jc w:val="center"/>
              <w:rPr>
                <w:szCs w:val="21"/>
              </w:rPr>
            </w:pPr>
            <w:r w:rsidRPr="00925B84">
              <w:rPr>
                <w:szCs w:val="21"/>
              </w:rPr>
              <w:t>100</w:t>
            </w:r>
          </w:p>
        </w:tc>
        <w:tc>
          <w:tcPr>
            <w:tcW w:w="1274" w:type="dxa"/>
            <w:vAlign w:val="center"/>
          </w:tcPr>
          <w:p w:rsidR="00C223F5" w:rsidRPr="00925B84" w:rsidRDefault="005860D5">
            <w:pPr>
              <w:spacing w:line="280" w:lineRule="exact"/>
              <w:contextualSpacing/>
              <w:jc w:val="center"/>
              <w:rPr>
                <w:szCs w:val="21"/>
              </w:rPr>
            </w:pPr>
            <w:r w:rsidRPr="00925B84">
              <w:rPr>
                <w:rFonts w:hint="eastAsia"/>
                <w:szCs w:val="21"/>
              </w:rPr>
              <w:t>149</w:t>
            </w:r>
          </w:p>
        </w:tc>
        <w:tc>
          <w:tcPr>
            <w:tcW w:w="784" w:type="dxa"/>
            <w:vAlign w:val="center"/>
          </w:tcPr>
          <w:p w:rsidR="00C223F5" w:rsidRPr="00925B84" w:rsidRDefault="005860D5">
            <w:pPr>
              <w:jc w:val="center"/>
              <w:rPr>
                <w:szCs w:val="21"/>
              </w:rPr>
            </w:pPr>
            <w:r w:rsidRPr="00925B84">
              <w:rPr>
                <w:szCs w:val="21"/>
              </w:rPr>
              <w:t>100</w:t>
            </w:r>
          </w:p>
        </w:tc>
      </w:tr>
      <w:tr w:rsidR="00C223F5" w:rsidRPr="00925B84">
        <w:trPr>
          <w:trHeight w:val="69"/>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rPr>
            </w:pPr>
            <w:r w:rsidRPr="00925B84">
              <w:rPr>
                <w:rFonts w:hint="eastAsia"/>
                <w:szCs w:val="21"/>
              </w:rPr>
              <w:t>污泥</w:t>
            </w:r>
          </w:p>
        </w:tc>
        <w:tc>
          <w:tcPr>
            <w:tcW w:w="722" w:type="dxa"/>
            <w:vAlign w:val="center"/>
          </w:tcPr>
          <w:p w:rsidR="00C223F5" w:rsidRPr="00925B84" w:rsidRDefault="005860D5">
            <w:pPr>
              <w:jc w:val="center"/>
              <w:rPr>
                <w:szCs w:val="21"/>
              </w:rPr>
            </w:pPr>
            <w:r w:rsidRPr="00925B84">
              <w:rPr>
                <w:rFonts w:hint="eastAsia"/>
                <w:szCs w:val="21"/>
              </w:rPr>
              <w:t>/</w:t>
            </w:r>
          </w:p>
        </w:tc>
        <w:tc>
          <w:tcPr>
            <w:tcW w:w="1371" w:type="dxa"/>
            <w:vAlign w:val="center"/>
          </w:tcPr>
          <w:p w:rsidR="00C223F5" w:rsidRPr="00925B84" w:rsidRDefault="005860D5">
            <w:pPr>
              <w:jc w:val="center"/>
              <w:rPr>
                <w:szCs w:val="21"/>
              </w:rPr>
            </w:pPr>
            <w:r w:rsidRPr="00925B84">
              <w:rPr>
                <w:rFonts w:hint="eastAsia"/>
                <w:szCs w:val="21"/>
              </w:rPr>
              <w:t>5.28</w:t>
            </w:r>
          </w:p>
        </w:tc>
        <w:tc>
          <w:tcPr>
            <w:tcW w:w="1070" w:type="dxa"/>
            <w:vAlign w:val="center"/>
          </w:tcPr>
          <w:p w:rsidR="00C223F5" w:rsidRPr="00925B84" w:rsidRDefault="005860D5">
            <w:pPr>
              <w:jc w:val="center"/>
              <w:rPr>
                <w:szCs w:val="21"/>
              </w:rPr>
            </w:pPr>
            <w:r w:rsidRPr="00925B84">
              <w:rPr>
                <w:rFonts w:hint="eastAsia"/>
                <w:szCs w:val="21"/>
              </w:rPr>
              <w:t>污泥</w:t>
            </w:r>
          </w:p>
        </w:tc>
        <w:tc>
          <w:tcPr>
            <w:tcW w:w="815" w:type="dxa"/>
            <w:vAlign w:val="center"/>
          </w:tcPr>
          <w:p w:rsidR="00C223F5" w:rsidRPr="00925B84" w:rsidRDefault="005860D5">
            <w:pPr>
              <w:jc w:val="center"/>
              <w:rPr>
                <w:szCs w:val="21"/>
              </w:rPr>
            </w:pPr>
            <w:r w:rsidRPr="00925B84">
              <w:rPr>
                <w:rFonts w:hint="eastAsia"/>
                <w:szCs w:val="21"/>
              </w:rPr>
              <w:t>/</w:t>
            </w:r>
          </w:p>
        </w:tc>
        <w:tc>
          <w:tcPr>
            <w:tcW w:w="820" w:type="dxa"/>
            <w:vAlign w:val="center"/>
          </w:tcPr>
          <w:p w:rsidR="00C223F5" w:rsidRPr="00925B84" w:rsidRDefault="005860D5">
            <w:pPr>
              <w:jc w:val="center"/>
              <w:rPr>
                <w:szCs w:val="21"/>
              </w:rPr>
            </w:pPr>
            <w:r w:rsidRPr="00925B84">
              <w:rPr>
                <w:rFonts w:hint="eastAsia"/>
                <w:szCs w:val="21"/>
              </w:rPr>
              <w:t>0</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rPr>
            </w:pPr>
            <w:r w:rsidRPr="00925B84">
              <w:rPr>
                <w:rFonts w:hint="eastAsia"/>
                <w:szCs w:val="21"/>
              </w:rPr>
              <w:t>污泥</w:t>
            </w:r>
          </w:p>
        </w:tc>
        <w:tc>
          <w:tcPr>
            <w:tcW w:w="1095" w:type="dxa"/>
            <w:vAlign w:val="center"/>
          </w:tcPr>
          <w:p w:rsidR="00C223F5" w:rsidRPr="00925B84" w:rsidRDefault="005860D5">
            <w:pPr>
              <w:jc w:val="center"/>
              <w:rPr>
                <w:szCs w:val="21"/>
              </w:rPr>
            </w:pPr>
            <w:r w:rsidRPr="00925B84">
              <w:rPr>
                <w:rFonts w:hint="eastAsia"/>
                <w:szCs w:val="21"/>
              </w:rPr>
              <w:t>100</w:t>
            </w:r>
          </w:p>
        </w:tc>
        <w:tc>
          <w:tcPr>
            <w:tcW w:w="1274" w:type="dxa"/>
            <w:vAlign w:val="center"/>
          </w:tcPr>
          <w:p w:rsidR="00C223F5" w:rsidRPr="00925B84" w:rsidRDefault="005860D5">
            <w:pPr>
              <w:jc w:val="center"/>
              <w:rPr>
                <w:szCs w:val="21"/>
              </w:rPr>
            </w:pPr>
            <w:r w:rsidRPr="00925B84">
              <w:rPr>
                <w:rFonts w:hint="eastAsia"/>
                <w:szCs w:val="21"/>
              </w:rPr>
              <w:t>5.28</w:t>
            </w:r>
          </w:p>
        </w:tc>
        <w:tc>
          <w:tcPr>
            <w:tcW w:w="784" w:type="dxa"/>
            <w:vAlign w:val="center"/>
          </w:tcPr>
          <w:p w:rsidR="00C223F5" w:rsidRPr="00925B84" w:rsidRDefault="005860D5">
            <w:pPr>
              <w:jc w:val="center"/>
              <w:rPr>
                <w:szCs w:val="21"/>
              </w:rPr>
            </w:pPr>
            <w:r w:rsidRPr="00925B84">
              <w:rPr>
                <w:rFonts w:hint="eastAsia"/>
                <w:szCs w:val="21"/>
              </w:rPr>
              <w:t>100</w:t>
            </w:r>
          </w:p>
        </w:tc>
      </w:tr>
      <w:tr w:rsidR="00C223F5" w:rsidRPr="00925B84">
        <w:trPr>
          <w:trHeight w:val="69"/>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rPr>
            </w:pPr>
            <w:r w:rsidRPr="00925B84">
              <w:rPr>
                <w:rFonts w:hint="eastAsia"/>
                <w:szCs w:val="21"/>
              </w:rPr>
              <w:t>煤泥</w:t>
            </w:r>
          </w:p>
        </w:tc>
        <w:tc>
          <w:tcPr>
            <w:tcW w:w="722" w:type="dxa"/>
            <w:vAlign w:val="center"/>
          </w:tcPr>
          <w:p w:rsidR="00C223F5" w:rsidRPr="00925B84" w:rsidRDefault="005860D5">
            <w:pPr>
              <w:jc w:val="center"/>
              <w:rPr>
                <w:szCs w:val="21"/>
              </w:rPr>
            </w:pPr>
            <w:r w:rsidRPr="00925B84">
              <w:rPr>
                <w:rFonts w:hint="eastAsia"/>
                <w:szCs w:val="21"/>
              </w:rPr>
              <w:t>/</w:t>
            </w:r>
          </w:p>
        </w:tc>
        <w:tc>
          <w:tcPr>
            <w:tcW w:w="1371" w:type="dxa"/>
            <w:vAlign w:val="center"/>
          </w:tcPr>
          <w:p w:rsidR="00C223F5" w:rsidRPr="00925B84" w:rsidRDefault="005860D5">
            <w:pPr>
              <w:jc w:val="center"/>
              <w:rPr>
                <w:rFonts w:eastAsia="新宋体"/>
                <w:szCs w:val="21"/>
              </w:rPr>
            </w:pPr>
            <w:r w:rsidRPr="00925B84">
              <w:rPr>
                <w:rFonts w:eastAsia="新宋体" w:hint="eastAsia"/>
                <w:szCs w:val="21"/>
              </w:rPr>
              <w:t>34</w:t>
            </w:r>
          </w:p>
        </w:tc>
        <w:tc>
          <w:tcPr>
            <w:tcW w:w="1070" w:type="dxa"/>
            <w:vAlign w:val="center"/>
          </w:tcPr>
          <w:p w:rsidR="00C223F5" w:rsidRPr="00925B84" w:rsidRDefault="005860D5">
            <w:pPr>
              <w:jc w:val="center"/>
              <w:rPr>
                <w:szCs w:val="21"/>
              </w:rPr>
            </w:pPr>
            <w:r w:rsidRPr="00925B84">
              <w:rPr>
                <w:rFonts w:hint="eastAsia"/>
                <w:szCs w:val="21"/>
              </w:rPr>
              <w:t>煤泥</w:t>
            </w:r>
          </w:p>
        </w:tc>
        <w:tc>
          <w:tcPr>
            <w:tcW w:w="815" w:type="dxa"/>
            <w:vAlign w:val="center"/>
          </w:tcPr>
          <w:p w:rsidR="00C223F5" w:rsidRPr="00925B84" w:rsidRDefault="005860D5">
            <w:pPr>
              <w:jc w:val="center"/>
              <w:rPr>
                <w:szCs w:val="21"/>
              </w:rPr>
            </w:pPr>
            <w:r w:rsidRPr="00925B84">
              <w:rPr>
                <w:rFonts w:hint="eastAsia"/>
                <w:szCs w:val="21"/>
              </w:rPr>
              <w:t>/</w:t>
            </w:r>
          </w:p>
        </w:tc>
        <w:tc>
          <w:tcPr>
            <w:tcW w:w="820" w:type="dxa"/>
            <w:vAlign w:val="center"/>
          </w:tcPr>
          <w:p w:rsidR="00C223F5" w:rsidRPr="00925B84" w:rsidRDefault="005860D5">
            <w:pPr>
              <w:jc w:val="center"/>
              <w:rPr>
                <w:szCs w:val="21"/>
              </w:rPr>
            </w:pPr>
            <w:r w:rsidRPr="00925B84">
              <w:rPr>
                <w:rFonts w:hint="eastAsia"/>
                <w:szCs w:val="21"/>
              </w:rPr>
              <w:t>0</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rPr>
            </w:pPr>
            <w:r w:rsidRPr="00925B84">
              <w:rPr>
                <w:rFonts w:hint="eastAsia"/>
                <w:szCs w:val="21"/>
              </w:rPr>
              <w:t>煤泥</w:t>
            </w:r>
          </w:p>
        </w:tc>
        <w:tc>
          <w:tcPr>
            <w:tcW w:w="1095" w:type="dxa"/>
            <w:vAlign w:val="center"/>
          </w:tcPr>
          <w:p w:rsidR="00C223F5" w:rsidRPr="00925B84" w:rsidRDefault="005860D5">
            <w:pPr>
              <w:jc w:val="center"/>
              <w:rPr>
                <w:szCs w:val="21"/>
              </w:rPr>
            </w:pPr>
            <w:r w:rsidRPr="00925B84">
              <w:rPr>
                <w:szCs w:val="21"/>
              </w:rPr>
              <w:t>100</w:t>
            </w:r>
          </w:p>
        </w:tc>
        <w:tc>
          <w:tcPr>
            <w:tcW w:w="1274" w:type="dxa"/>
            <w:vAlign w:val="center"/>
          </w:tcPr>
          <w:p w:rsidR="00C223F5" w:rsidRPr="00925B84" w:rsidRDefault="005860D5">
            <w:pPr>
              <w:jc w:val="center"/>
              <w:rPr>
                <w:rFonts w:eastAsia="新宋体"/>
                <w:szCs w:val="21"/>
              </w:rPr>
            </w:pPr>
            <w:r w:rsidRPr="00925B84">
              <w:rPr>
                <w:rFonts w:eastAsia="新宋体" w:hint="eastAsia"/>
                <w:szCs w:val="21"/>
              </w:rPr>
              <w:t>34</w:t>
            </w:r>
          </w:p>
        </w:tc>
        <w:tc>
          <w:tcPr>
            <w:tcW w:w="784" w:type="dxa"/>
            <w:vAlign w:val="center"/>
          </w:tcPr>
          <w:p w:rsidR="00C223F5" w:rsidRPr="00925B84" w:rsidRDefault="005860D5">
            <w:pPr>
              <w:jc w:val="center"/>
              <w:rPr>
                <w:szCs w:val="21"/>
              </w:rPr>
            </w:pPr>
            <w:r w:rsidRPr="00925B84">
              <w:rPr>
                <w:szCs w:val="21"/>
              </w:rPr>
              <w:t>100</w:t>
            </w:r>
          </w:p>
        </w:tc>
      </w:tr>
      <w:tr w:rsidR="00C223F5" w:rsidRPr="00925B84">
        <w:trPr>
          <w:trHeight w:val="69"/>
          <w:jc w:val="center"/>
        </w:trPr>
        <w:tc>
          <w:tcPr>
            <w:tcW w:w="787" w:type="dxa"/>
            <w:vMerge/>
            <w:vAlign w:val="center"/>
          </w:tcPr>
          <w:p w:rsidR="00C223F5" w:rsidRPr="00925B84" w:rsidRDefault="00C223F5">
            <w:pPr>
              <w:jc w:val="center"/>
              <w:rPr>
                <w:szCs w:val="21"/>
              </w:rPr>
            </w:pPr>
          </w:p>
        </w:tc>
        <w:tc>
          <w:tcPr>
            <w:tcW w:w="1037" w:type="dxa"/>
            <w:vAlign w:val="center"/>
          </w:tcPr>
          <w:p w:rsidR="00C223F5" w:rsidRPr="00925B84" w:rsidRDefault="005860D5">
            <w:pPr>
              <w:jc w:val="center"/>
              <w:rPr>
                <w:szCs w:val="21"/>
              </w:rPr>
            </w:pPr>
            <w:r w:rsidRPr="00925B84">
              <w:rPr>
                <w:rFonts w:eastAsiaTheme="minorEastAsia" w:hAnsiTheme="minorEastAsia"/>
                <w:szCs w:val="21"/>
              </w:rPr>
              <w:t>废机油等</w:t>
            </w:r>
          </w:p>
        </w:tc>
        <w:tc>
          <w:tcPr>
            <w:tcW w:w="722" w:type="dxa"/>
            <w:vAlign w:val="center"/>
          </w:tcPr>
          <w:p w:rsidR="00C223F5" w:rsidRPr="00925B84" w:rsidRDefault="005860D5">
            <w:pPr>
              <w:jc w:val="center"/>
              <w:rPr>
                <w:szCs w:val="21"/>
              </w:rPr>
            </w:pPr>
            <w:r w:rsidRPr="00925B84">
              <w:rPr>
                <w:rFonts w:hint="eastAsia"/>
                <w:szCs w:val="21"/>
              </w:rPr>
              <w:t>/</w:t>
            </w:r>
          </w:p>
        </w:tc>
        <w:tc>
          <w:tcPr>
            <w:tcW w:w="1371" w:type="dxa"/>
            <w:vAlign w:val="center"/>
          </w:tcPr>
          <w:p w:rsidR="00C223F5" w:rsidRPr="00925B84" w:rsidRDefault="005860D5">
            <w:pPr>
              <w:jc w:val="center"/>
              <w:rPr>
                <w:rFonts w:eastAsia="新宋体"/>
                <w:szCs w:val="21"/>
              </w:rPr>
            </w:pPr>
            <w:r w:rsidRPr="00925B84">
              <w:rPr>
                <w:rFonts w:eastAsia="新宋体" w:hint="eastAsia"/>
                <w:szCs w:val="21"/>
              </w:rPr>
              <w:t>0.3</w:t>
            </w:r>
          </w:p>
        </w:tc>
        <w:tc>
          <w:tcPr>
            <w:tcW w:w="1070" w:type="dxa"/>
            <w:vAlign w:val="center"/>
          </w:tcPr>
          <w:p w:rsidR="00C223F5" w:rsidRPr="00925B84" w:rsidRDefault="005860D5">
            <w:pPr>
              <w:jc w:val="center"/>
              <w:rPr>
                <w:szCs w:val="21"/>
              </w:rPr>
            </w:pPr>
            <w:r w:rsidRPr="00925B84">
              <w:rPr>
                <w:rFonts w:eastAsiaTheme="minorEastAsia" w:hAnsiTheme="minorEastAsia"/>
                <w:szCs w:val="21"/>
              </w:rPr>
              <w:t>废机油等</w:t>
            </w:r>
          </w:p>
        </w:tc>
        <w:tc>
          <w:tcPr>
            <w:tcW w:w="815" w:type="dxa"/>
            <w:vAlign w:val="center"/>
          </w:tcPr>
          <w:p w:rsidR="00C223F5" w:rsidRPr="00925B84" w:rsidRDefault="005860D5">
            <w:pPr>
              <w:jc w:val="center"/>
              <w:rPr>
                <w:szCs w:val="21"/>
              </w:rPr>
            </w:pPr>
            <w:r w:rsidRPr="00925B84">
              <w:rPr>
                <w:rFonts w:hint="eastAsia"/>
                <w:szCs w:val="21"/>
              </w:rPr>
              <w:t>/</w:t>
            </w:r>
          </w:p>
        </w:tc>
        <w:tc>
          <w:tcPr>
            <w:tcW w:w="820" w:type="dxa"/>
            <w:vAlign w:val="center"/>
          </w:tcPr>
          <w:p w:rsidR="00C223F5" w:rsidRPr="00925B84" w:rsidRDefault="005860D5">
            <w:pPr>
              <w:jc w:val="center"/>
              <w:rPr>
                <w:szCs w:val="21"/>
              </w:rPr>
            </w:pPr>
            <w:r w:rsidRPr="00925B84">
              <w:rPr>
                <w:rFonts w:hint="eastAsia"/>
                <w:szCs w:val="21"/>
              </w:rPr>
              <w:t>0</w:t>
            </w:r>
          </w:p>
        </w:tc>
        <w:tc>
          <w:tcPr>
            <w:tcW w:w="3125" w:type="dxa"/>
            <w:vMerge/>
            <w:vAlign w:val="center"/>
          </w:tcPr>
          <w:p w:rsidR="00C223F5" w:rsidRPr="00925B84" w:rsidRDefault="00C223F5">
            <w:pPr>
              <w:jc w:val="center"/>
              <w:rPr>
                <w:szCs w:val="21"/>
              </w:rPr>
            </w:pPr>
          </w:p>
        </w:tc>
        <w:tc>
          <w:tcPr>
            <w:tcW w:w="1017" w:type="dxa"/>
            <w:vAlign w:val="center"/>
          </w:tcPr>
          <w:p w:rsidR="00C223F5" w:rsidRPr="00925B84" w:rsidRDefault="005860D5">
            <w:pPr>
              <w:jc w:val="center"/>
              <w:rPr>
                <w:szCs w:val="21"/>
              </w:rPr>
            </w:pPr>
            <w:r w:rsidRPr="00925B84">
              <w:rPr>
                <w:rFonts w:eastAsiaTheme="minorEastAsia" w:hAnsiTheme="minorEastAsia"/>
                <w:szCs w:val="21"/>
              </w:rPr>
              <w:t>废机油等</w:t>
            </w:r>
          </w:p>
        </w:tc>
        <w:tc>
          <w:tcPr>
            <w:tcW w:w="1095" w:type="dxa"/>
            <w:vAlign w:val="center"/>
          </w:tcPr>
          <w:p w:rsidR="00C223F5" w:rsidRPr="00925B84" w:rsidRDefault="005860D5">
            <w:pPr>
              <w:jc w:val="center"/>
              <w:rPr>
                <w:szCs w:val="21"/>
              </w:rPr>
            </w:pPr>
            <w:r w:rsidRPr="00925B84">
              <w:rPr>
                <w:rFonts w:hint="eastAsia"/>
                <w:szCs w:val="21"/>
              </w:rPr>
              <w:t>100</w:t>
            </w:r>
          </w:p>
        </w:tc>
        <w:tc>
          <w:tcPr>
            <w:tcW w:w="1274" w:type="dxa"/>
            <w:vAlign w:val="center"/>
          </w:tcPr>
          <w:p w:rsidR="00C223F5" w:rsidRPr="00925B84" w:rsidRDefault="005860D5">
            <w:pPr>
              <w:jc w:val="center"/>
              <w:rPr>
                <w:rFonts w:eastAsia="新宋体"/>
                <w:szCs w:val="21"/>
              </w:rPr>
            </w:pPr>
            <w:r w:rsidRPr="00925B84">
              <w:rPr>
                <w:rFonts w:eastAsia="新宋体" w:hint="eastAsia"/>
                <w:szCs w:val="21"/>
              </w:rPr>
              <w:t>0.3</w:t>
            </w:r>
          </w:p>
        </w:tc>
        <w:tc>
          <w:tcPr>
            <w:tcW w:w="784" w:type="dxa"/>
            <w:vAlign w:val="center"/>
          </w:tcPr>
          <w:p w:rsidR="00C223F5" w:rsidRPr="00925B84" w:rsidRDefault="005860D5">
            <w:pPr>
              <w:jc w:val="center"/>
              <w:rPr>
                <w:szCs w:val="21"/>
              </w:rPr>
            </w:pPr>
            <w:r w:rsidRPr="00925B84">
              <w:rPr>
                <w:rFonts w:hint="eastAsia"/>
                <w:szCs w:val="21"/>
              </w:rPr>
              <w:t>100</w:t>
            </w:r>
          </w:p>
        </w:tc>
      </w:tr>
      <w:tr w:rsidR="00C223F5" w:rsidRPr="00925B84">
        <w:trPr>
          <w:trHeight w:val="132"/>
          <w:jc w:val="center"/>
        </w:trPr>
        <w:tc>
          <w:tcPr>
            <w:tcW w:w="787" w:type="dxa"/>
            <w:vAlign w:val="center"/>
          </w:tcPr>
          <w:p w:rsidR="00C223F5" w:rsidRPr="00925B84" w:rsidRDefault="005860D5">
            <w:pPr>
              <w:jc w:val="center"/>
              <w:rPr>
                <w:szCs w:val="21"/>
              </w:rPr>
            </w:pPr>
            <w:r w:rsidRPr="00925B84">
              <w:rPr>
                <w:szCs w:val="21"/>
              </w:rPr>
              <w:t>备注</w:t>
            </w:r>
          </w:p>
        </w:tc>
        <w:tc>
          <w:tcPr>
            <w:tcW w:w="13130" w:type="dxa"/>
            <w:gridSpan w:val="11"/>
            <w:vAlign w:val="center"/>
          </w:tcPr>
          <w:p w:rsidR="00C223F5" w:rsidRPr="00925B84" w:rsidRDefault="000F32AE">
            <w:pPr>
              <w:rPr>
                <w:szCs w:val="21"/>
              </w:rPr>
            </w:pPr>
            <w:r w:rsidRPr="00925B84">
              <w:rPr>
                <w:szCs w:val="21"/>
              </w:rPr>
              <w:fldChar w:fldCharType="begin"/>
            </w:r>
            <w:r w:rsidR="005860D5" w:rsidRPr="00925B84">
              <w:rPr>
                <w:rFonts w:hint="eastAsia"/>
                <w:szCs w:val="21"/>
              </w:rPr>
              <w:instrText>= 1 \* GB3</w:instrText>
            </w:r>
            <w:r w:rsidRPr="00925B84">
              <w:rPr>
                <w:szCs w:val="21"/>
              </w:rPr>
              <w:fldChar w:fldCharType="separate"/>
            </w:r>
            <w:r w:rsidR="005860D5" w:rsidRPr="00925B84">
              <w:rPr>
                <w:rFonts w:hint="eastAsia"/>
                <w:szCs w:val="21"/>
              </w:rPr>
              <w:t>①</w:t>
            </w:r>
            <w:r w:rsidRPr="00925B84">
              <w:rPr>
                <w:szCs w:val="21"/>
              </w:rPr>
              <w:fldChar w:fldCharType="end"/>
            </w:r>
            <w:r w:rsidR="005860D5" w:rsidRPr="00925B84">
              <w:rPr>
                <w:szCs w:val="21"/>
              </w:rPr>
              <w:t>废污水：排放量单位为</w:t>
            </w:r>
            <w:r w:rsidR="005860D5" w:rsidRPr="00925B84">
              <w:rPr>
                <w:szCs w:val="21"/>
              </w:rPr>
              <w:t xml:space="preserve"> </w:t>
            </w:r>
            <w:r w:rsidR="005860D5" w:rsidRPr="00925B84">
              <w:rPr>
                <w:szCs w:val="21"/>
              </w:rPr>
              <w:t>万</w:t>
            </w:r>
            <w:r w:rsidR="005860D5" w:rsidRPr="00925B84">
              <w:rPr>
                <w:szCs w:val="21"/>
              </w:rPr>
              <w:t>t/a</w:t>
            </w:r>
            <w:r w:rsidR="005860D5" w:rsidRPr="00925B84">
              <w:rPr>
                <w:szCs w:val="21"/>
              </w:rPr>
              <w:t>，</w:t>
            </w:r>
            <w:r w:rsidR="005860D5" w:rsidRPr="00925B84">
              <w:rPr>
                <w:szCs w:val="21"/>
              </w:rPr>
              <w:t xml:space="preserve"> </w:t>
            </w:r>
            <w:r w:rsidR="005860D5" w:rsidRPr="00925B84">
              <w:rPr>
                <w:szCs w:val="21"/>
              </w:rPr>
              <w:t>浓度单位为</w:t>
            </w:r>
            <w:r w:rsidR="005860D5" w:rsidRPr="00925B84">
              <w:rPr>
                <w:szCs w:val="21"/>
              </w:rPr>
              <w:t xml:space="preserve"> mg/L </w:t>
            </w:r>
            <w:r w:rsidR="005860D5" w:rsidRPr="00925B84">
              <w:rPr>
                <w:szCs w:val="21"/>
              </w:rPr>
              <w:t>，污染物排放量单位为</w:t>
            </w:r>
            <w:r w:rsidR="005860D5" w:rsidRPr="00925B84">
              <w:rPr>
                <w:szCs w:val="21"/>
              </w:rPr>
              <w:t xml:space="preserve"> t/a</w:t>
            </w:r>
            <w:r w:rsidR="005860D5" w:rsidRPr="00925B84">
              <w:rPr>
                <w:szCs w:val="21"/>
              </w:rPr>
              <w:t>；</w:t>
            </w:r>
            <w:r w:rsidRPr="00925B84">
              <w:rPr>
                <w:szCs w:val="21"/>
              </w:rPr>
              <w:fldChar w:fldCharType="begin"/>
            </w:r>
            <w:r w:rsidR="005860D5" w:rsidRPr="00925B84">
              <w:rPr>
                <w:rFonts w:hint="eastAsia"/>
                <w:szCs w:val="21"/>
              </w:rPr>
              <w:instrText>= 2 \* GB3</w:instrText>
            </w:r>
            <w:r w:rsidRPr="00925B84">
              <w:rPr>
                <w:szCs w:val="21"/>
              </w:rPr>
              <w:fldChar w:fldCharType="separate"/>
            </w:r>
            <w:r w:rsidR="005860D5" w:rsidRPr="00925B84">
              <w:rPr>
                <w:rFonts w:hint="eastAsia"/>
                <w:szCs w:val="21"/>
              </w:rPr>
              <w:t>②</w:t>
            </w:r>
            <w:r w:rsidRPr="00925B84">
              <w:rPr>
                <w:szCs w:val="21"/>
              </w:rPr>
              <w:fldChar w:fldCharType="end"/>
            </w:r>
            <w:r w:rsidR="005860D5" w:rsidRPr="00925B84">
              <w:rPr>
                <w:szCs w:val="21"/>
              </w:rPr>
              <w:t>固体废弃物：排放量单位为</w:t>
            </w:r>
            <w:r w:rsidR="005860D5" w:rsidRPr="00925B84">
              <w:rPr>
                <w:szCs w:val="21"/>
              </w:rPr>
              <w:t>t/a</w:t>
            </w:r>
            <w:r w:rsidR="005860D5" w:rsidRPr="00925B84">
              <w:rPr>
                <w:szCs w:val="21"/>
              </w:rPr>
              <w:t>；</w:t>
            </w:r>
          </w:p>
          <w:p w:rsidR="00C223F5" w:rsidRPr="00925B84" w:rsidRDefault="000F32AE">
            <w:pPr>
              <w:rPr>
                <w:szCs w:val="21"/>
              </w:rPr>
            </w:pPr>
            <w:r w:rsidRPr="00925B84">
              <w:rPr>
                <w:szCs w:val="21"/>
              </w:rPr>
              <w:fldChar w:fldCharType="begin"/>
            </w:r>
            <w:r w:rsidR="005860D5" w:rsidRPr="00925B84">
              <w:rPr>
                <w:rFonts w:hint="eastAsia"/>
                <w:szCs w:val="21"/>
              </w:rPr>
              <w:instrText>= 3 \* GB3</w:instrText>
            </w:r>
            <w:r w:rsidRPr="00925B84">
              <w:rPr>
                <w:szCs w:val="21"/>
              </w:rPr>
              <w:fldChar w:fldCharType="separate"/>
            </w:r>
            <w:r w:rsidR="005860D5" w:rsidRPr="00925B84">
              <w:rPr>
                <w:rFonts w:hint="eastAsia"/>
                <w:szCs w:val="21"/>
              </w:rPr>
              <w:t>③</w:t>
            </w:r>
            <w:r w:rsidRPr="00925B84">
              <w:rPr>
                <w:szCs w:val="21"/>
              </w:rPr>
              <w:fldChar w:fldCharType="end"/>
            </w:r>
            <w:r w:rsidR="005860D5" w:rsidRPr="00925B84">
              <w:rPr>
                <w:szCs w:val="21"/>
              </w:rPr>
              <w:t>废气：浓度单位为</w:t>
            </w:r>
            <w:r w:rsidR="005860D5" w:rsidRPr="00925B84">
              <w:rPr>
                <w:szCs w:val="21"/>
              </w:rPr>
              <w:t xml:space="preserve"> mg/ m</w:t>
            </w:r>
            <w:r w:rsidR="005860D5" w:rsidRPr="00925B84">
              <w:rPr>
                <w:szCs w:val="21"/>
                <w:vertAlign w:val="superscript"/>
              </w:rPr>
              <w:t>3</w:t>
            </w:r>
            <w:r w:rsidR="005860D5" w:rsidRPr="00925B84">
              <w:rPr>
                <w:rFonts w:hint="eastAsia"/>
                <w:szCs w:val="21"/>
              </w:rPr>
              <w:t>，</w:t>
            </w:r>
            <w:r w:rsidR="005860D5" w:rsidRPr="00925B84">
              <w:rPr>
                <w:szCs w:val="21"/>
              </w:rPr>
              <w:t xml:space="preserve"> </w:t>
            </w:r>
            <w:r w:rsidR="005860D5" w:rsidRPr="00925B84">
              <w:rPr>
                <w:szCs w:val="21"/>
              </w:rPr>
              <w:t>污染物排放量单位为</w:t>
            </w:r>
            <w:r w:rsidR="005860D5" w:rsidRPr="00925B84">
              <w:rPr>
                <w:szCs w:val="21"/>
              </w:rPr>
              <w:t xml:space="preserve"> t/a</w:t>
            </w:r>
            <w:r w:rsidR="005860D5" w:rsidRPr="00925B84">
              <w:rPr>
                <w:rFonts w:hint="eastAsia"/>
                <w:szCs w:val="21"/>
              </w:rPr>
              <w:t>。</w:t>
            </w:r>
          </w:p>
        </w:tc>
      </w:tr>
    </w:tbl>
    <w:p w:rsidR="00C223F5" w:rsidRDefault="00C223F5">
      <w:pPr>
        <w:topLinePunct/>
        <w:spacing w:line="360" w:lineRule="auto"/>
        <w:ind w:firstLineChars="200" w:firstLine="480"/>
        <w:rPr>
          <w:color w:val="FF0000"/>
          <w:sz w:val="24"/>
        </w:rPr>
        <w:sectPr w:rsidR="00C223F5">
          <w:pgSz w:w="16840" w:h="11907" w:orient="landscape"/>
          <w:pgMar w:top="1418" w:right="1440" w:bottom="1418" w:left="1440" w:header="851" w:footer="992" w:gutter="0"/>
          <w:cols w:space="425"/>
          <w:docGrid w:linePitch="312"/>
        </w:sectPr>
      </w:pPr>
    </w:p>
    <w:p w:rsidR="00C223F5" w:rsidRDefault="005860D5" w:rsidP="004835BD">
      <w:pPr>
        <w:pStyle w:val="3"/>
        <w:numPr>
          <w:ilvl w:val="0"/>
          <w:numId w:val="0"/>
        </w:numPr>
        <w:spacing w:before="0" w:after="0" w:line="360" w:lineRule="auto"/>
        <w:ind w:left="170"/>
        <w:rPr>
          <w:rFonts w:eastAsia="宋体"/>
          <w:b/>
          <w:bCs w:val="0"/>
          <w:sz w:val="28"/>
          <w:szCs w:val="28"/>
        </w:rPr>
      </w:pPr>
      <w:bookmarkStart w:id="241" w:name="_Toc533604720"/>
      <w:bookmarkStart w:id="242" w:name="_Toc533604300"/>
      <w:bookmarkStart w:id="243" w:name="_Toc16785265"/>
      <w:r>
        <w:rPr>
          <w:rFonts w:eastAsia="宋体" w:hint="eastAsia"/>
          <w:b/>
          <w:bCs w:val="0"/>
          <w:sz w:val="28"/>
          <w:szCs w:val="28"/>
        </w:rPr>
        <w:lastRenderedPageBreak/>
        <w:t>2.</w:t>
      </w:r>
      <w:r>
        <w:rPr>
          <w:rFonts w:eastAsia="宋体"/>
          <w:b/>
          <w:bCs w:val="0"/>
          <w:sz w:val="28"/>
          <w:szCs w:val="28"/>
        </w:rPr>
        <w:t>3.</w:t>
      </w:r>
      <w:r>
        <w:rPr>
          <w:rFonts w:eastAsia="宋体" w:hint="eastAsia"/>
          <w:b/>
          <w:bCs w:val="0"/>
          <w:sz w:val="28"/>
          <w:szCs w:val="28"/>
        </w:rPr>
        <w:t>3</w:t>
      </w:r>
      <w:r>
        <w:rPr>
          <w:rFonts w:eastAsia="宋体" w:hint="eastAsia"/>
          <w:b/>
          <w:bCs w:val="0"/>
          <w:sz w:val="28"/>
          <w:szCs w:val="28"/>
        </w:rPr>
        <w:t>污染源变化情况分析</w:t>
      </w:r>
      <w:bookmarkEnd w:id="241"/>
      <w:bookmarkEnd w:id="242"/>
      <w:bookmarkEnd w:id="243"/>
    </w:p>
    <w:p w:rsidR="00C223F5" w:rsidRPr="00925B84" w:rsidRDefault="005860D5">
      <w:pPr>
        <w:pStyle w:val="24"/>
      </w:pPr>
      <w:r w:rsidRPr="00925B84">
        <w:rPr>
          <w:rFonts w:hint="eastAsia"/>
        </w:rPr>
        <w:t>项目</w:t>
      </w:r>
      <w:r w:rsidRPr="00925B84">
        <w:t>整合前后污染物排放情况见表</w:t>
      </w:r>
      <w:r w:rsidRPr="00925B84">
        <w:rPr>
          <w:rFonts w:hint="eastAsia"/>
        </w:rPr>
        <w:t>2.3.3-1</w:t>
      </w:r>
      <w:r w:rsidRPr="00925B84">
        <w:rPr>
          <w:rFonts w:hint="eastAsia"/>
        </w:rPr>
        <w:t>，</w:t>
      </w:r>
      <w:r w:rsidRPr="00925B84">
        <w:t>整合前后</w:t>
      </w:r>
      <w:r w:rsidRPr="00925B84">
        <w:rPr>
          <w:rFonts w:hint="eastAsia"/>
        </w:rPr>
        <w:t>环保措施及污染物排放变化情况</w:t>
      </w:r>
      <w:r w:rsidRPr="00925B84">
        <w:t>见表</w:t>
      </w:r>
      <w:r w:rsidRPr="00925B84">
        <w:rPr>
          <w:rFonts w:hint="eastAsia"/>
        </w:rPr>
        <w:t>2.3.3-2</w:t>
      </w:r>
      <w:r w:rsidRPr="00925B84">
        <w:t>。</w:t>
      </w:r>
    </w:p>
    <w:p w:rsidR="00C223F5" w:rsidRPr="00925B84" w:rsidRDefault="005860D5">
      <w:pPr>
        <w:jc w:val="center"/>
        <w:rPr>
          <w:b/>
          <w:sz w:val="24"/>
        </w:rPr>
      </w:pPr>
      <w:r w:rsidRPr="00925B84">
        <w:rPr>
          <w:b/>
          <w:sz w:val="24"/>
        </w:rPr>
        <w:t>表</w:t>
      </w:r>
      <w:r w:rsidRPr="00925B84">
        <w:rPr>
          <w:rFonts w:hint="eastAsia"/>
          <w:b/>
          <w:sz w:val="24"/>
        </w:rPr>
        <w:t xml:space="preserve">2.3.3-1   </w:t>
      </w:r>
      <w:r w:rsidRPr="00925B84">
        <w:rPr>
          <w:rFonts w:hint="eastAsia"/>
          <w:b/>
          <w:sz w:val="24"/>
        </w:rPr>
        <w:t>项目整合前后</w:t>
      </w:r>
      <w:r w:rsidRPr="00925B84">
        <w:rPr>
          <w:b/>
          <w:sz w:val="24"/>
        </w:rPr>
        <w:t>主要污染物排放情况</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1193"/>
        <w:gridCol w:w="1368"/>
        <w:gridCol w:w="934"/>
        <w:gridCol w:w="1227"/>
        <w:gridCol w:w="1245"/>
        <w:gridCol w:w="1285"/>
        <w:gridCol w:w="1051"/>
        <w:gridCol w:w="959"/>
      </w:tblGrid>
      <w:tr w:rsidR="00C223F5" w:rsidRPr="00925B84">
        <w:trPr>
          <w:trHeight w:val="270"/>
          <w:jc w:val="center"/>
        </w:trPr>
        <w:tc>
          <w:tcPr>
            <w:tcW w:w="1193" w:type="dxa"/>
            <w:vMerge w:val="restart"/>
            <w:vAlign w:val="center"/>
          </w:tcPr>
          <w:p w:rsidR="00C223F5" w:rsidRPr="00925B84" w:rsidRDefault="005860D5">
            <w:pPr>
              <w:spacing w:line="360" w:lineRule="exact"/>
              <w:contextualSpacing/>
              <w:jc w:val="center"/>
              <w:rPr>
                <w:szCs w:val="21"/>
              </w:rPr>
            </w:pPr>
            <w:r w:rsidRPr="00925B84">
              <w:rPr>
                <w:szCs w:val="21"/>
              </w:rPr>
              <w:t>污染源</w:t>
            </w:r>
          </w:p>
        </w:tc>
        <w:tc>
          <w:tcPr>
            <w:tcW w:w="1368" w:type="dxa"/>
            <w:vMerge w:val="restart"/>
            <w:vAlign w:val="center"/>
          </w:tcPr>
          <w:p w:rsidR="00C223F5" w:rsidRPr="00925B84" w:rsidRDefault="005860D5">
            <w:pPr>
              <w:spacing w:line="360" w:lineRule="exact"/>
              <w:contextualSpacing/>
              <w:jc w:val="center"/>
              <w:rPr>
                <w:szCs w:val="21"/>
              </w:rPr>
            </w:pPr>
            <w:r w:rsidRPr="00925B84">
              <w:rPr>
                <w:szCs w:val="21"/>
              </w:rPr>
              <w:t>主要</w:t>
            </w:r>
          </w:p>
          <w:p w:rsidR="00C223F5" w:rsidRPr="00925B84" w:rsidRDefault="005860D5">
            <w:pPr>
              <w:spacing w:line="360" w:lineRule="exact"/>
              <w:contextualSpacing/>
              <w:jc w:val="center"/>
              <w:rPr>
                <w:szCs w:val="21"/>
              </w:rPr>
            </w:pPr>
            <w:r w:rsidRPr="00925B84">
              <w:rPr>
                <w:szCs w:val="21"/>
              </w:rPr>
              <w:t>污染物</w:t>
            </w:r>
          </w:p>
        </w:tc>
        <w:tc>
          <w:tcPr>
            <w:tcW w:w="934" w:type="dxa"/>
            <w:vMerge w:val="restart"/>
            <w:vAlign w:val="center"/>
          </w:tcPr>
          <w:p w:rsidR="00C223F5" w:rsidRPr="00925B84" w:rsidRDefault="005860D5">
            <w:pPr>
              <w:spacing w:line="360" w:lineRule="exact"/>
              <w:contextualSpacing/>
              <w:jc w:val="center"/>
              <w:rPr>
                <w:szCs w:val="21"/>
              </w:rPr>
            </w:pPr>
            <w:r w:rsidRPr="00925B84">
              <w:rPr>
                <w:rFonts w:hint="eastAsia"/>
                <w:szCs w:val="21"/>
              </w:rPr>
              <w:t>原整合工程</w:t>
            </w:r>
            <w:r w:rsidRPr="00925B84">
              <w:rPr>
                <w:szCs w:val="21"/>
              </w:rPr>
              <w:t>排放量</w:t>
            </w:r>
          </w:p>
        </w:tc>
        <w:tc>
          <w:tcPr>
            <w:tcW w:w="4808" w:type="dxa"/>
            <w:gridSpan w:val="4"/>
            <w:vAlign w:val="center"/>
          </w:tcPr>
          <w:p w:rsidR="00C223F5" w:rsidRPr="00925B84" w:rsidRDefault="005860D5">
            <w:pPr>
              <w:spacing w:line="360" w:lineRule="exact"/>
              <w:contextualSpacing/>
              <w:jc w:val="center"/>
              <w:rPr>
                <w:szCs w:val="21"/>
              </w:rPr>
            </w:pPr>
            <w:r w:rsidRPr="00925B84">
              <w:rPr>
                <w:rFonts w:hint="eastAsia"/>
                <w:szCs w:val="21"/>
              </w:rPr>
              <w:t>本次整合工程</w:t>
            </w:r>
          </w:p>
        </w:tc>
        <w:tc>
          <w:tcPr>
            <w:tcW w:w="959" w:type="dxa"/>
            <w:vMerge w:val="restart"/>
            <w:vAlign w:val="center"/>
          </w:tcPr>
          <w:p w:rsidR="00C223F5" w:rsidRPr="00925B84" w:rsidRDefault="005860D5">
            <w:pPr>
              <w:spacing w:line="360" w:lineRule="exact"/>
              <w:contextualSpacing/>
              <w:jc w:val="center"/>
              <w:rPr>
                <w:szCs w:val="21"/>
              </w:rPr>
            </w:pPr>
            <w:r w:rsidRPr="00925B84">
              <w:rPr>
                <w:szCs w:val="21"/>
              </w:rPr>
              <w:t>增减量</w:t>
            </w:r>
          </w:p>
        </w:tc>
      </w:tr>
      <w:tr w:rsidR="00C223F5" w:rsidRPr="00925B84">
        <w:trPr>
          <w:trHeight w:val="255"/>
          <w:jc w:val="center"/>
        </w:trPr>
        <w:tc>
          <w:tcPr>
            <w:tcW w:w="1193" w:type="dxa"/>
            <w:vMerge/>
            <w:vAlign w:val="center"/>
          </w:tcPr>
          <w:p w:rsidR="00C223F5" w:rsidRPr="00925B84" w:rsidRDefault="00C223F5">
            <w:pPr>
              <w:spacing w:line="360" w:lineRule="exact"/>
              <w:contextualSpacing/>
              <w:jc w:val="center"/>
              <w:rPr>
                <w:szCs w:val="21"/>
              </w:rPr>
            </w:pPr>
          </w:p>
        </w:tc>
        <w:tc>
          <w:tcPr>
            <w:tcW w:w="1368" w:type="dxa"/>
            <w:vMerge/>
            <w:vAlign w:val="center"/>
          </w:tcPr>
          <w:p w:rsidR="00C223F5" w:rsidRPr="00925B84" w:rsidRDefault="00C223F5">
            <w:pPr>
              <w:spacing w:line="360" w:lineRule="exact"/>
              <w:contextualSpacing/>
              <w:jc w:val="center"/>
              <w:rPr>
                <w:szCs w:val="21"/>
              </w:rPr>
            </w:pPr>
          </w:p>
        </w:tc>
        <w:tc>
          <w:tcPr>
            <w:tcW w:w="934" w:type="dxa"/>
            <w:vMerge/>
            <w:vAlign w:val="center"/>
          </w:tcPr>
          <w:p w:rsidR="00C223F5" w:rsidRPr="00925B84" w:rsidRDefault="00C223F5">
            <w:pPr>
              <w:spacing w:line="360" w:lineRule="exact"/>
              <w:contextualSpacing/>
              <w:jc w:val="center"/>
              <w:rPr>
                <w:szCs w:val="21"/>
              </w:rPr>
            </w:pPr>
          </w:p>
        </w:tc>
        <w:tc>
          <w:tcPr>
            <w:tcW w:w="1227" w:type="dxa"/>
            <w:vAlign w:val="center"/>
          </w:tcPr>
          <w:p w:rsidR="00C223F5" w:rsidRPr="00925B84" w:rsidRDefault="005860D5">
            <w:pPr>
              <w:spacing w:line="360" w:lineRule="exact"/>
              <w:contextualSpacing/>
              <w:jc w:val="center"/>
              <w:rPr>
                <w:szCs w:val="21"/>
              </w:rPr>
            </w:pPr>
            <w:r w:rsidRPr="00925B84">
              <w:rPr>
                <w:szCs w:val="21"/>
              </w:rPr>
              <w:t>产生量</w:t>
            </w:r>
          </w:p>
        </w:tc>
        <w:tc>
          <w:tcPr>
            <w:tcW w:w="1245" w:type="dxa"/>
            <w:vAlign w:val="center"/>
          </w:tcPr>
          <w:p w:rsidR="00C223F5" w:rsidRPr="00925B84" w:rsidRDefault="005860D5">
            <w:pPr>
              <w:spacing w:line="360" w:lineRule="exact"/>
              <w:contextualSpacing/>
              <w:jc w:val="center"/>
              <w:rPr>
                <w:szCs w:val="21"/>
              </w:rPr>
            </w:pPr>
            <w:r w:rsidRPr="00925B84">
              <w:rPr>
                <w:szCs w:val="21"/>
              </w:rPr>
              <w:t>资源化量</w:t>
            </w:r>
          </w:p>
        </w:tc>
        <w:tc>
          <w:tcPr>
            <w:tcW w:w="1285" w:type="dxa"/>
            <w:vAlign w:val="center"/>
          </w:tcPr>
          <w:p w:rsidR="00C223F5" w:rsidRPr="00925B84" w:rsidRDefault="005860D5">
            <w:pPr>
              <w:spacing w:line="360" w:lineRule="exact"/>
              <w:contextualSpacing/>
              <w:jc w:val="center"/>
              <w:rPr>
                <w:szCs w:val="21"/>
              </w:rPr>
            </w:pPr>
            <w:r w:rsidRPr="00925B84">
              <w:rPr>
                <w:szCs w:val="21"/>
              </w:rPr>
              <w:t>处置量</w:t>
            </w:r>
          </w:p>
        </w:tc>
        <w:tc>
          <w:tcPr>
            <w:tcW w:w="1051" w:type="dxa"/>
            <w:vAlign w:val="center"/>
          </w:tcPr>
          <w:p w:rsidR="00C223F5" w:rsidRPr="00925B84" w:rsidRDefault="005860D5">
            <w:pPr>
              <w:spacing w:line="360" w:lineRule="exact"/>
              <w:contextualSpacing/>
              <w:jc w:val="center"/>
              <w:rPr>
                <w:szCs w:val="21"/>
              </w:rPr>
            </w:pPr>
            <w:r w:rsidRPr="00925B84">
              <w:rPr>
                <w:szCs w:val="21"/>
              </w:rPr>
              <w:t>排放量</w:t>
            </w:r>
          </w:p>
        </w:tc>
        <w:tc>
          <w:tcPr>
            <w:tcW w:w="959" w:type="dxa"/>
            <w:vMerge/>
            <w:vAlign w:val="center"/>
          </w:tcPr>
          <w:p w:rsidR="00C223F5" w:rsidRPr="00925B84" w:rsidRDefault="00C223F5">
            <w:pPr>
              <w:widowControl/>
              <w:spacing w:line="360" w:lineRule="exact"/>
              <w:contextualSpacing/>
              <w:jc w:val="center"/>
              <w:rPr>
                <w:szCs w:val="21"/>
              </w:rPr>
            </w:pPr>
          </w:p>
        </w:tc>
      </w:tr>
      <w:tr w:rsidR="009E79E6" w:rsidRPr="00925B84">
        <w:trPr>
          <w:trHeight w:val="70"/>
          <w:jc w:val="center"/>
        </w:trPr>
        <w:tc>
          <w:tcPr>
            <w:tcW w:w="1193" w:type="dxa"/>
            <w:vMerge w:val="restart"/>
            <w:vAlign w:val="center"/>
          </w:tcPr>
          <w:p w:rsidR="009E79E6" w:rsidRPr="00925B84" w:rsidRDefault="009E79E6">
            <w:pPr>
              <w:spacing w:line="360" w:lineRule="exact"/>
              <w:contextualSpacing/>
              <w:jc w:val="center"/>
              <w:rPr>
                <w:szCs w:val="21"/>
              </w:rPr>
            </w:pPr>
            <w:r w:rsidRPr="00925B84">
              <w:rPr>
                <w:szCs w:val="21"/>
              </w:rPr>
              <w:t>井下排水</w:t>
            </w:r>
          </w:p>
        </w:tc>
        <w:tc>
          <w:tcPr>
            <w:tcW w:w="1368" w:type="dxa"/>
            <w:vAlign w:val="center"/>
          </w:tcPr>
          <w:p w:rsidR="009E79E6" w:rsidRPr="00925B84" w:rsidRDefault="009E79E6">
            <w:pPr>
              <w:spacing w:line="360" w:lineRule="exact"/>
              <w:contextualSpacing/>
              <w:jc w:val="center"/>
              <w:rPr>
                <w:szCs w:val="21"/>
              </w:rPr>
            </w:pPr>
            <w:r w:rsidRPr="00925B84">
              <w:rPr>
                <w:szCs w:val="21"/>
              </w:rPr>
              <w:t>水量</w:t>
            </w:r>
          </w:p>
        </w:tc>
        <w:tc>
          <w:tcPr>
            <w:tcW w:w="934" w:type="dxa"/>
            <w:vAlign w:val="center"/>
          </w:tcPr>
          <w:p w:rsidR="009E79E6" w:rsidRPr="00925B84" w:rsidRDefault="009E79E6">
            <w:pPr>
              <w:spacing w:line="360" w:lineRule="exact"/>
              <w:contextualSpacing/>
              <w:jc w:val="center"/>
              <w:rPr>
                <w:szCs w:val="21"/>
              </w:rPr>
            </w:pPr>
            <w:r w:rsidRPr="00925B84">
              <w:rPr>
                <w:rFonts w:hint="eastAsia"/>
                <w:szCs w:val="21"/>
              </w:rPr>
              <w:t>26.87</w:t>
            </w:r>
          </w:p>
        </w:tc>
        <w:tc>
          <w:tcPr>
            <w:tcW w:w="1227" w:type="dxa"/>
            <w:vAlign w:val="center"/>
          </w:tcPr>
          <w:p w:rsidR="009E79E6" w:rsidRPr="00925B84" w:rsidRDefault="009E79E6">
            <w:pPr>
              <w:spacing w:line="360" w:lineRule="exact"/>
              <w:contextualSpacing/>
              <w:jc w:val="center"/>
              <w:rPr>
                <w:szCs w:val="21"/>
              </w:rPr>
            </w:pPr>
            <w:r w:rsidRPr="00925B84">
              <w:rPr>
                <w:rFonts w:hint="eastAsia"/>
                <w:szCs w:val="21"/>
              </w:rPr>
              <w:t>69.73</w:t>
            </w:r>
          </w:p>
        </w:tc>
        <w:tc>
          <w:tcPr>
            <w:tcW w:w="1245" w:type="dxa"/>
            <w:vAlign w:val="center"/>
          </w:tcPr>
          <w:p w:rsidR="009E79E6" w:rsidRPr="00712806" w:rsidRDefault="009E79E6" w:rsidP="00894456">
            <w:pPr>
              <w:jc w:val="center"/>
              <w:rPr>
                <w:color w:val="FF0000"/>
                <w:szCs w:val="21"/>
              </w:rPr>
            </w:pPr>
            <w:r>
              <w:rPr>
                <w:rFonts w:hint="eastAsia"/>
                <w:color w:val="FF0000"/>
                <w:szCs w:val="21"/>
              </w:rPr>
              <w:t>47.24</w:t>
            </w:r>
          </w:p>
        </w:tc>
        <w:tc>
          <w:tcPr>
            <w:tcW w:w="1285" w:type="dxa"/>
            <w:vAlign w:val="center"/>
          </w:tcPr>
          <w:p w:rsidR="009E79E6" w:rsidRPr="00925B84" w:rsidRDefault="009E79E6">
            <w:pPr>
              <w:spacing w:line="360" w:lineRule="exact"/>
              <w:contextualSpacing/>
              <w:jc w:val="center"/>
              <w:rPr>
                <w:szCs w:val="21"/>
              </w:rPr>
            </w:pPr>
            <w:r w:rsidRPr="00925B84">
              <w:rPr>
                <w:rFonts w:hint="eastAsia"/>
                <w:szCs w:val="21"/>
              </w:rPr>
              <w:t>0</w:t>
            </w:r>
          </w:p>
        </w:tc>
        <w:tc>
          <w:tcPr>
            <w:tcW w:w="1051" w:type="dxa"/>
            <w:vAlign w:val="center"/>
          </w:tcPr>
          <w:p w:rsidR="009E79E6" w:rsidRPr="00712806" w:rsidRDefault="009E79E6" w:rsidP="00894456">
            <w:pPr>
              <w:jc w:val="center"/>
              <w:rPr>
                <w:color w:val="FF0000"/>
                <w:szCs w:val="21"/>
              </w:rPr>
            </w:pPr>
            <w:r>
              <w:rPr>
                <w:rFonts w:hint="eastAsia"/>
                <w:color w:val="FF0000"/>
                <w:szCs w:val="21"/>
              </w:rPr>
              <w:t>22.49</w:t>
            </w:r>
          </w:p>
        </w:tc>
        <w:tc>
          <w:tcPr>
            <w:tcW w:w="959" w:type="dxa"/>
            <w:vAlign w:val="center"/>
          </w:tcPr>
          <w:p w:rsidR="009E79E6" w:rsidRPr="009E79E6" w:rsidRDefault="009E79E6" w:rsidP="009E79E6">
            <w:pPr>
              <w:spacing w:line="360" w:lineRule="exact"/>
              <w:contextualSpacing/>
              <w:jc w:val="center"/>
              <w:rPr>
                <w:color w:val="FF0000"/>
                <w:szCs w:val="21"/>
              </w:rPr>
            </w:pPr>
            <w:r w:rsidRPr="009E79E6">
              <w:rPr>
                <w:rFonts w:hint="eastAsia"/>
                <w:color w:val="FF0000"/>
                <w:szCs w:val="21"/>
              </w:rPr>
              <w:t>-4.38</w:t>
            </w:r>
          </w:p>
        </w:tc>
      </w:tr>
      <w:tr w:rsidR="009E79E6" w:rsidRPr="00925B84">
        <w:trPr>
          <w:trHeight w:val="70"/>
          <w:jc w:val="center"/>
        </w:trPr>
        <w:tc>
          <w:tcPr>
            <w:tcW w:w="1193" w:type="dxa"/>
            <w:vMerge/>
            <w:vAlign w:val="center"/>
          </w:tcPr>
          <w:p w:rsidR="009E79E6" w:rsidRPr="00925B84" w:rsidRDefault="009E79E6">
            <w:pPr>
              <w:spacing w:line="360" w:lineRule="exact"/>
              <w:contextualSpacing/>
              <w:jc w:val="center"/>
              <w:rPr>
                <w:szCs w:val="21"/>
              </w:rPr>
            </w:pPr>
          </w:p>
        </w:tc>
        <w:tc>
          <w:tcPr>
            <w:tcW w:w="1368" w:type="dxa"/>
            <w:vAlign w:val="center"/>
          </w:tcPr>
          <w:p w:rsidR="009E79E6" w:rsidRPr="00925B84" w:rsidRDefault="009E79E6">
            <w:pPr>
              <w:spacing w:line="360" w:lineRule="exact"/>
              <w:contextualSpacing/>
              <w:jc w:val="center"/>
              <w:rPr>
                <w:szCs w:val="21"/>
              </w:rPr>
            </w:pPr>
            <w:r w:rsidRPr="00925B84">
              <w:rPr>
                <w:szCs w:val="21"/>
              </w:rPr>
              <w:t>SS</w:t>
            </w:r>
          </w:p>
        </w:tc>
        <w:tc>
          <w:tcPr>
            <w:tcW w:w="934" w:type="dxa"/>
            <w:vAlign w:val="center"/>
          </w:tcPr>
          <w:p w:rsidR="009E79E6" w:rsidRPr="00925B84" w:rsidRDefault="009E79E6">
            <w:pPr>
              <w:adjustRightInd w:val="0"/>
              <w:snapToGrid w:val="0"/>
              <w:spacing w:line="360" w:lineRule="exact"/>
              <w:jc w:val="center"/>
              <w:rPr>
                <w:szCs w:val="21"/>
              </w:rPr>
            </w:pPr>
            <w:r w:rsidRPr="00925B84">
              <w:rPr>
                <w:rFonts w:hint="eastAsia"/>
                <w:szCs w:val="21"/>
              </w:rPr>
              <w:t>4.03</w:t>
            </w:r>
          </w:p>
        </w:tc>
        <w:tc>
          <w:tcPr>
            <w:tcW w:w="1227" w:type="dxa"/>
            <w:vAlign w:val="center"/>
          </w:tcPr>
          <w:p w:rsidR="009E79E6" w:rsidRPr="00925B84" w:rsidRDefault="009E79E6">
            <w:pPr>
              <w:spacing w:line="280" w:lineRule="exact"/>
              <w:contextualSpacing/>
              <w:jc w:val="center"/>
              <w:rPr>
                <w:szCs w:val="21"/>
              </w:rPr>
            </w:pPr>
            <w:r w:rsidRPr="00925B84">
              <w:rPr>
                <w:rFonts w:hint="eastAsia"/>
                <w:bCs/>
                <w:kern w:val="0"/>
                <w:szCs w:val="21"/>
              </w:rPr>
              <w:t>71.12</w:t>
            </w:r>
          </w:p>
        </w:tc>
        <w:tc>
          <w:tcPr>
            <w:tcW w:w="1245" w:type="dxa"/>
            <w:vAlign w:val="center"/>
          </w:tcPr>
          <w:p w:rsidR="009E79E6" w:rsidRPr="00712806" w:rsidRDefault="009E79E6" w:rsidP="00894456">
            <w:pPr>
              <w:spacing w:line="280" w:lineRule="exact"/>
              <w:contextualSpacing/>
              <w:jc w:val="center"/>
              <w:rPr>
                <w:color w:val="FF0000"/>
                <w:szCs w:val="21"/>
              </w:rPr>
            </w:pPr>
            <w:r w:rsidRPr="00712806">
              <w:rPr>
                <w:rFonts w:hint="eastAsia"/>
                <w:color w:val="FF0000"/>
                <w:szCs w:val="21"/>
              </w:rPr>
              <w:t>67.</w:t>
            </w:r>
            <w:r>
              <w:rPr>
                <w:rFonts w:hint="eastAsia"/>
                <w:color w:val="FF0000"/>
                <w:szCs w:val="21"/>
              </w:rPr>
              <w:t>75</w:t>
            </w:r>
          </w:p>
        </w:tc>
        <w:tc>
          <w:tcPr>
            <w:tcW w:w="1285" w:type="dxa"/>
            <w:vAlign w:val="center"/>
          </w:tcPr>
          <w:p w:rsidR="009E79E6" w:rsidRPr="00925B84" w:rsidRDefault="009E79E6">
            <w:pPr>
              <w:spacing w:line="360" w:lineRule="exact"/>
              <w:contextualSpacing/>
              <w:jc w:val="center"/>
              <w:rPr>
                <w:szCs w:val="21"/>
              </w:rPr>
            </w:pPr>
            <w:r w:rsidRPr="00925B84">
              <w:rPr>
                <w:rFonts w:hint="eastAsia"/>
                <w:szCs w:val="21"/>
              </w:rPr>
              <w:t>0</w:t>
            </w:r>
          </w:p>
        </w:tc>
        <w:tc>
          <w:tcPr>
            <w:tcW w:w="1051" w:type="dxa"/>
            <w:vAlign w:val="center"/>
          </w:tcPr>
          <w:p w:rsidR="009E79E6" w:rsidRPr="00712806" w:rsidRDefault="009E79E6" w:rsidP="00894456">
            <w:pPr>
              <w:jc w:val="center"/>
              <w:rPr>
                <w:color w:val="FF0000"/>
                <w:spacing w:val="2"/>
                <w:szCs w:val="21"/>
              </w:rPr>
            </w:pPr>
            <w:r>
              <w:rPr>
                <w:rFonts w:hint="eastAsia"/>
                <w:bCs/>
                <w:color w:val="FF0000"/>
                <w:kern w:val="0"/>
                <w:szCs w:val="21"/>
              </w:rPr>
              <w:t>3.37</w:t>
            </w:r>
          </w:p>
        </w:tc>
        <w:tc>
          <w:tcPr>
            <w:tcW w:w="959" w:type="dxa"/>
            <w:vAlign w:val="center"/>
          </w:tcPr>
          <w:p w:rsidR="009E79E6" w:rsidRPr="009E79E6" w:rsidRDefault="009E79E6" w:rsidP="009E79E6">
            <w:pPr>
              <w:adjustRightInd w:val="0"/>
              <w:snapToGrid w:val="0"/>
              <w:spacing w:line="360" w:lineRule="exact"/>
              <w:jc w:val="center"/>
              <w:rPr>
                <w:color w:val="FF0000"/>
                <w:szCs w:val="21"/>
              </w:rPr>
            </w:pPr>
            <w:r w:rsidRPr="009E79E6">
              <w:rPr>
                <w:rFonts w:hint="eastAsia"/>
                <w:color w:val="FF0000"/>
                <w:szCs w:val="21"/>
              </w:rPr>
              <w:t>-0.66</w:t>
            </w:r>
          </w:p>
        </w:tc>
      </w:tr>
      <w:tr w:rsidR="009E79E6" w:rsidRPr="00925B84">
        <w:trPr>
          <w:trHeight w:val="70"/>
          <w:jc w:val="center"/>
        </w:trPr>
        <w:tc>
          <w:tcPr>
            <w:tcW w:w="1193" w:type="dxa"/>
            <w:vMerge/>
            <w:vAlign w:val="center"/>
          </w:tcPr>
          <w:p w:rsidR="009E79E6" w:rsidRPr="00925B84" w:rsidRDefault="009E79E6">
            <w:pPr>
              <w:spacing w:line="360" w:lineRule="exact"/>
              <w:contextualSpacing/>
              <w:jc w:val="center"/>
              <w:rPr>
                <w:szCs w:val="21"/>
              </w:rPr>
            </w:pPr>
          </w:p>
        </w:tc>
        <w:tc>
          <w:tcPr>
            <w:tcW w:w="1368" w:type="dxa"/>
            <w:vAlign w:val="center"/>
          </w:tcPr>
          <w:p w:rsidR="009E79E6" w:rsidRPr="00925B84" w:rsidRDefault="009E79E6">
            <w:pPr>
              <w:spacing w:line="360" w:lineRule="exact"/>
              <w:contextualSpacing/>
              <w:jc w:val="center"/>
              <w:rPr>
                <w:szCs w:val="21"/>
              </w:rPr>
            </w:pPr>
            <w:r w:rsidRPr="00925B84">
              <w:rPr>
                <w:szCs w:val="21"/>
              </w:rPr>
              <w:t>COD</w:t>
            </w:r>
          </w:p>
        </w:tc>
        <w:tc>
          <w:tcPr>
            <w:tcW w:w="934" w:type="dxa"/>
            <w:vAlign w:val="center"/>
          </w:tcPr>
          <w:p w:rsidR="009E79E6" w:rsidRPr="00925B84" w:rsidRDefault="009E79E6">
            <w:pPr>
              <w:adjustRightInd w:val="0"/>
              <w:snapToGrid w:val="0"/>
              <w:spacing w:line="360" w:lineRule="exact"/>
              <w:jc w:val="center"/>
              <w:rPr>
                <w:szCs w:val="21"/>
              </w:rPr>
            </w:pPr>
            <w:r w:rsidRPr="00925B84">
              <w:rPr>
                <w:rFonts w:hint="eastAsia"/>
                <w:szCs w:val="21"/>
              </w:rPr>
              <w:t>11.28</w:t>
            </w:r>
          </w:p>
        </w:tc>
        <w:tc>
          <w:tcPr>
            <w:tcW w:w="1227" w:type="dxa"/>
            <w:vAlign w:val="center"/>
          </w:tcPr>
          <w:p w:rsidR="009E79E6" w:rsidRPr="00925B84" w:rsidRDefault="009E79E6">
            <w:pPr>
              <w:spacing w:line="280" w:lineRule="exact"/>
              <w:contextualSpacing/>
              <w:jc w:val="center"/>
              <w:rPr>
                <w:szCs w:val="21"/>
              </w:rPr>
            </w:pPr>
            <w:r w:rsidRPr="00925B84">
              <w:rPr>
                <w:rFonts w:hint="eastAsia"/>
                <w:bCs/>
                <w:kern w:val="0"/>
                <w:szCs w:val="21"/>
              </w:rPr>
              <w:t>66.94</w:t>
            </w:r>
          </w:p>
        </w:tc>
        <w:tc>
          <w:tcPr>
            <w:tcW w:w="1245" w:type="dxa"/>
            <w:vAlign w:val="center"/>
          </w:tcPr>
          <w:p w:rsidR="009E79E6" w:rsidRPr="00712806" w:rsidRDefault="009E79E6" w:rsidP="00894456">
            <w:pPr>
              <w:spacing w:line="280" w:lineRule="exact"/>
              <w:contextualSpacing/>
              <w:jc w:val="center"/>
              <w:rPr>
                <w:color w:val="FF0000"/>
                <w:szCs w:val="21"/>
              </w:rPr>
            </w:pPr>
            <w:r w:rsidRPr="00712806">
              <w:rPr>
                <w:rFonts w:hint="eastAsia"/>
                <w:color w:val="FF0000"/>
                <w:szCs w:val="21"/>
              </w:rPr>
              <w:t>63.</w:t>
            </w:r>
            <w:r>
              <w:rPr>
                <w:rFonts w:hint="eastAsia"/>
                <w:color w:val="FF0000"/>
                <w:szCs w:val="21"/>
              </w:rPr>
              <w:t>2</w:t>
            </w:r>
            <w:r w:rsidRPr="00712806">
              <w:rPr>
                <w:rFonts w:hint="eastAsia"/>
                <w:color w:val="FF0000"/>
                <w:szCs w:val="21"/>
              </w:rPr>
              <w:t>3</w:t>
            </w:r>
          </w:p>
        </w:tc>
        <w:tc>
          <w:tcPr>
            <w:tcW w:w="1285" w:type="dxa"/>
            <w:vAlign w:val="center"/>
          </w:tcPr>
          <w:p w:rsidR="009E79E6" w:rsidRPr="00925B84" w:rsidRDefault="009E79E6">
            <w:pPr>
              <w:spacing w:line="360" w:lineRule="exact"/>
              <w:contextualSpacing/>
              <w:jc w:val="center"/>
              <w:rPr>
                <w:szCs w:val="21"/>
              </w:rPr>
            </w:pPr>
            <w:r w:rsidRPr="00925B84">
              <w:rPr>
                <w:rFonts w:hint="eastAsia"/>
                <w:szCs w:val="21"/>
              </w:rPr>
              <w:t>0</w:t>
            </w:r>
          </w:p>
        </w:tc>
        <w:tc>
          <w:tcPr>
            <w:tcW w:w="1051" w:type="dxa"/>
            <w:vAlign w:val="center"/>
          </w:tcPr>
          <w:p w:rsidR="009E79E6" w:rsidRPr="00712806" w:rsidRDefault="009E79E6" w:rsidP="00894456">
            <w:pPr>
              <w:jc w:val="center"/>
              <w:rPr>
                <w:color w:val="FF0000"/>
                <w:spacing w:val="2"/>
                <w:szCs w:val="21"/>
              </w:rPr>
            </w:pPr>
            <w:r>
              <w:rPr>
                <w:rFonts w:hint="eastAsia"/>
                <w:bCs/>
                <w:color w:val="FF0000"/>
                <w:kern w:val="0"/>
                <w:szCs w:val="21"/>
              </w:rPr>
              <w:t>3.71</w:t>
            </w:r>
          </w:p>
        </w:tc>
        <w:tc>
          <w:tcPr>
            <w:tcW w:w="959" w:type="dxa"/>
            <w:vAlign w:val="center"/>
          </w:tcPr>
          <w:p w:rsidR="009E79E6" w:rsidRPr="009E79E6" w:rsidRDefault="009E79E6" w:rsidP="009E79E6">
            <w:pPr>
              <w:adjustRightInd w:val="0"/>
              <w:snapToGrid w:val="0"/>
              <w:spacing w:line="360" w:lineRule="exact"/>
              <w:jc w:val="center"/>
              <w:rPr>
                <w:color w:val="FF0000"/>
                <w:szCs w:val="21"/>
              </w:rPr>
            </w:pPr>
            <w:r w:rsidRPr="009E79E6">
              <w:rPr>
                <w:rFonts w:hint="eastAsia"/>
                <w:color w:val="FF0000"/>
                <w:szCs w:val="21"/>
              </w:rPr>
              <w:t>-7.57</w:t>
            </w:r>
          </w:p>
        </w:tc>
      </w:tr>
      <w:tr w:rsidR="009E79E6" w:rsidRPr="00925B84">
        <w:trPr>
          <w:trHeight w:val="70"/>
          <w:jc w:val="center"/>
        </w:trPr>
        <w:tc>
          <w:tcPr>
            <w:tcW w:w="1193" w:type="dxa"/>
            <w:vMerge/>
            <w:vAlign w:val="center"/>
          </w:tcPr>
          <w:p w:rsidR="009E79E6" w:rsidRPr="00925B84" w:rsidRDefault="009E79E6">
            <w:pPr>
              <w:spacing w:line="360" w:lineRule="exact"/>
              <w:contextualSpacing/>
              <w:jc w:val="center"/>
              <w:rPr>
                <w:szCs w:val="21"/>
              </w:rPr>
            </w:pPr>
          </w:p>
        </w:tc>
        <w:tc>
          <w:tcPr>
            <w:tcW w:w="1368" w:type="dxa"/>
            <w:vAlign w:val="center"/>
          </w:tcPr>
          <w:p w:rsidR="009E79E6" w:rsidRPr="00925B84" w:rsidRDefault="009E79E6">
            <w:pPr>
              <w:spacing w:line="360" w:lineRule="exact"/>
              <w:contextualSpacing/>
              <w:jc w:val="center"/>
              <w:rPr>
                <w:szCs w:val="21"/>
              </w:rPr>
            </w:pPr>
            <w:r w:rsidRPr="00925B84">
              <w:rPr>
                <w:szCs w:val="21"/>
              </w:rPr>
              <w:t>BOD</w:t>
            </w:r>
            <w:r w:rsidRPr="00925B84">
              <w:rPr>
                <w:rFonts w:hint="eastAsia"/>
                <w:szCs w:val="21"/>
                <w:vertAlign w:val="subscript"/>
              </w:rPr>
              <w:t>5</w:t>
            </w:r>
          </w:p>
        </w:tc>
        <w:tc>
          <w:tcPr>
            <w:tcW w:w="934" w:type="dxa"/>
            <w:vAlign w:val="center"/>
          </w:tcPr>
          <w:p w:rsidR="009E79E6" w:rsidRPr="00925B84" w:rsidRDefault="009E79E6">
            <w:pPr>
              <w:adjustRightInd w:val="0"/>
              <w:snapToGrid w:val="0"/>
              <w:spacing w:line="360" w:lineRule="exact"/>
              <w:jc w:val="center"/>
              <w:rPr>
                <w:szCs w:val="21"/>
              </w:rPr>
            </w:pPr>
            <w:r w:rsidRPr="00925B84">
              <w:rPr>
                <w:rFonts w:hint="eastAsia"/>
                <w:szCs w:val="21"/>
              </w:rPr>
              <w:t>/</w:t>
            </w:r>
          </w:p>
        </w:tc>
        <w:tc>
          <w:tcPr>
            <w:tcW w:w="1227" w:type="dxa"/>
            <w:vAlign w:val="center"/>
          </w:tcPr>
          <w:p w:rsidR="009E79E6" w:rsidRPr="00925B84" w:rsidRDefault="009E79E6">
            <w:pPr>
              <w:spacing w:line="360" w:lineRule="exact"/>
              <w:contextualSpacing/>
              <w:jc w:val="center"/>
              <w:rPr>
                <w:szCs w:val="21"/>
              </w:rPr>
            </w:pPr>
            <w:r w:rsidRPr="00925B84">
              <w:rPr>
                <w:rFonts w:hint="eastAsia"/>
                <w:szCs w:val="21"/>
              </w:rPr>
              <w:t>/</w:t>
            </w:r>
          </w:p>
        </w:tc>
        <w:tc>
          <w:tcPr>
            <w:tcW w:w="1245" w:type="dxa"/>
            <w:vAlign w:val="center"/>
          </w:tcPr>
          <w:p w:rsidR="009E79E6" w:rsidRPr="00712806" w:rsidRDefault="009E79E6" w:rsidP="00894456">
            <w:pPr>
              <w:spacing w:line="280" w:lineRule="exact"/>
              <w:contextualSpacing/>
              <w:jc w:val="center"/>
              <w:rPr>
                <w:color w:val="FF0000"/>
                <w:szCs w:val="21"/>
              </w:rPr>
            </w:pPr>
            <w:r w:rsidRPr="00712806">
              <w:rPr>
                <w:rFonts w:hint="eastAsia"/>
                <w:color w:val="FF0000"/>
                <w:szCs w:val="21"/>
              </w:rPr>
              <w:t>/</w:t>
            </w:r>
          </w:p>
        </w:tc>
        <w:tc>
          <w:tcPr>
            <w:tcW w:w="1285" w:type="dxa"/>
            <w:vAlign w:val="center"/>
          </w:tcPr>
          <w:p w:rsidR="009E79E6" w:rsidRPr="00925B84" w:rsidRDefault="009E79E6">
            <w:pPr>
              <w:spacing w:line="360" w:lineRule="exact"/>
              <w:contextualSpacing/>
              <w:jc w:val="center"/>
              <w:rPr>
                <w:szCs w:val="21"/>
              </w:rPr>
            </w:pPr>
            <w:r w:rsidRPr="00925B84">
              <w:rPr>
                <w:rFonts w:hint="eastAsia"/>
                <w:szCs w:val="21"/>
              </w:rPr>
              <w:t>0</w:t>
            </w:r>
          </w:p>
        </w:tc>
        <w:tc>
          <w:tcPr>
            <w:tcW w:w="1051" w:type="dxa"/>
            <w:vAlign w:val="center"/>
          </w:tcPr>
          <w:p w:rsidR="009E79E6" w:rsidRPr="00712806" w:rsidRDefault="009E79E6" w:rsidP="00894456">
            <w:pPr>
              <w:jc w:val="center"/>
              <w:rPr>
                <w:color w:val="FF0000"/>
                <w:szCs w:val="21"/>
              </w:rPr>
            </w:pPr>
            <w:r w:rsidRPr="00712806">
              <w:rPr>
                <w:rFonts w:hint="eastAsia"/>
                <w:color w:val="FF0000"/>
                <w:szCs w:val="21"/>
              </w:rPr>
              <w:t>/</w:t>
            </w:r>
          </w:p>
        </w:tc>
        <w:tc>
          <w:tcPr>
            <w:tcW w:w="959" w:type="dxa"/>
            <w:vAlign w:val="center"/>
          </w:tcPr>
          <w:p w:rsidR="009E79E6" w:rsidRPr="009E79E6" w:rsidRDefault="009E79E6">
            <w:pPr>
              <w:adjustRightInd w:val="0"/>
              <w:snapToGrid w:val="0"/>
              <w:spacing w:line="360" w:lineRule="exact"/>
              <w:jc w:val="center"/>
              <w:rPr>
                <w:color w:val="FF0000"/>
                <w:szCs w:val="21"/>
              </w:rPr>
            </w:pPr>
            <w:r w:rsidRPr="009E79E6">
              <w:rPr>
                <w:rFonts w:hint="eastAsia"/>
                <w:color w:val="FF0000"/>
                <w:szCs w:val="21"/>
              </w:rPr>
              <w:t>/</w:t>
            </w:r>
          </w:p>
        </w:tc>
      </w:tr>
      <w:tr w:rsidR="009E79E6" w:rsidRPr="00925B84">
        <w:trPr>
          <w:trHeight w:val="70"/>
          <w:jc w:val="center"/>
        </w:trPr>
        <w:tc>
          <w:tcPr>
            <w:tcW w:w="1193" w:type="dxa"/>
            <w:vMerge/>
            <w:vAlign w:val="center"/>
          </w:tcPr>
          <w:p w:rsidR="009E79E6" w:rsidRPr="00925B84" w:rsidRDefault="009E79E6">
            <w:pPr>
              <w:spacing w:line="360" w:lineRule="exact"/>
              <w:contextualSpacing/>
              <w:jc w:val="center"/>
              <w:rPr>
                <w:szCs w:val="21"/>
              </w:rPr>
            </w:pPr>
          </w:p>
        </w:tc>
        <w:tc>
          <w:tcPr>
            <w:tcW w:w="1368" w:type="dxa"/>
            <w:vAlign w:val="center"/>
          </w:tcPr>
          <w:p w:rsidR="009E79E6" w:rsidRPr="00925B84" w:rsidRDefault="009E79E6">
            <w:pPr>
              <w:spacing w:line="360" w:lineRule="exact"/>
              <w:contextualSpacing/>
              <w:jc w:val="center"/>
              <w:rPr>
                <w:szCs w:val="21"/>
              </w:rPr>
            </w:pPr>
            <w:r w:rsidRPr="00925B84">
              <w:rPr>
                <w:szCs w:val="21"/>
              </w:rPr>
              <w:t>石油类</w:t>
            </w:r>
          </w:p>
        </w:tc>
        <w:tc>
          <w:tcPr>
            <w:tcW w:w="934" w:type="dxa"/>
            <w:vAlign w:val="center"/>
          </w:tcPr>
          <w:p w:rsidR="009E79E6" w:rsidRPr="00925B84" w:rsidRDefault="009E79E6">
            <w:pPr>
              <w:adjustRightInd w:val="0"/>
              <w:snapToGrid w:val="0"/>
              <w:spacing w:line="360" w:lineRule="exact"/>
              <w:jc w:val="center"/>
              <w:rPr>
                <w:szCs w:val="21"/>
              </w:rPr>
            </w:pPr>
            <w:r w:rsidRPr="00925B84">
              <w:rPr>
                <w:rFonts w:hint="eastAsia"/>
                <w:szCs w:val="21"/>
              </w:rPr>
              <w:t>0.019</w:t>
            </w:r>
          </w:p>
        </w:tc>
        <w:tc>
          <w:tcPr>
            <w:tcW w:w="1227" w:type="dxa"/>
            <w:vAlign w:val="center"/>
          </w:tcPr>
          <w:p w:rsidR="009E79E6" w:rsidRPr="00925B84" w:rsidRDefault="009E79E6">
            <w:pPr>
              <w:spacing w:line="280" w:lineRule="exact"/>
              <w:contextualSpacing/>
              <w:jc w:val="center"/>
              <w:rPr>
                <w:szCs w:val="21"/>
              </w:rPr>
            </w:pPr>
            <w:r w:rsidRPr="00925B84">
              <w:rPr>
                <w:rFonts w:hint="eastAsia"/>
                <w:bCs/>
                <w:kern w:val="0"/>
                <w:szCs w:val="21"/>
              </w:rPr>
              <w:t>0.08</w:t>
            </w:r>
          </w:p>
        </w:tc>
        <w:tc>
          <w:tcPr>
            <w:tcW w:w="1245" w:type="dxa"/>
            <w:vAlign w:val="center"/>
          </w:tcPr>
          <w:p w:rsidR="009E79E6" w:rsidRPr="00712806" w:rsidRDefault="009E79E6" w:rsidP="00894456">
            <w:pPr>
              <w:spacing w:line="280" w:lineRule="exact"/>
              <w:contextualSpacing/>
              <w:jc w:val="center"/>
              <w:rPr>
                <w:color w:val="FF0000"/>
                <w:szCs w:val="21"/>
              </w:rPr>
            </w:pPr>
            <w:r w:rsidRPr="00712806">
              <w:rPr>
                <w:rFonts w:hint="eastAsia"/>
                <w:color w:val="FF0000"/>
                <w:szCs w:val="21"/>
              </w:rPr>
              <w:t>0.07</w:t>
            </w:r>
          </w:p>
        </w:tc>
        <w:tc>
          <w:tcPr>
            <w:tcW w:w="1285" w:type="dxa"/>
            <w:vAlign w:val="center"/>
          </w:tcPr>
          <w:p w:rsidR="009E79E6" w:rsidRPr="00925B84" w:rsidRDefault="009E79E6">
            <w:pPr>
              <w:spacing w:line="360" w:lineRule="exact"/>
              <w:contextualSpacing/>
              <w:jc w:val="center"/>
              <w:rPr>
                <w:szCs w:val="21"/>
              </w:rPr>
            </w:pPr>
            <w:r w:rsidRPr="00925B84">
              <w:rPr>
                <w:rFonts w:hint="eastAsia"/>
                <w:szCs w:val="21"/>
              </w:rPr>
              <w:t>0</w:t>
            </w:r>
          </w:p>
        </w:tc>
        <w:tc>
          <w:tcPr>
            <w:tcW w:w="1051" w:type="dxa"/>
            <w:vAlign w:val="center"/>
          </w:tcPr>
          <w:p w:rsidR="009E79E6" w:rsidRPr="00712806" w:rsidRDefault="009E79E6" w:rsidP="00894456">
            <w:pPr>
              <w:jc w:val="center"/>
              <w:rPr>
                <w:color w:val="FF0000"/>
                <w:spacing w:val="2"/>
                <w:szCs w:val="21"/>
              </w:rPr>
            </w:pPr>
            <w:r w:rsidRPr="00712806">
              <w:rPr>
                <w:rFonts w:hint="eastAsia"/>
                <w:bCs/>
                <w:color w:val="FF0000"/>
                <w:kern w:val="0"/>
                <w:szCs w:val="21"/>
              </w:rPr>
              <w:t>0.0</w:t>
            </w:r>
            <w:r>
              <w:rPr>
                <w:rFonts w:hint="eastAsia"/>
                <w:bCs/>
                <w:color w:val="FF0000"/>
                <w:kern w:val="0"/>
                <w:szCs w:val="21"/>
              </w:rPr>
              <w:t>10</w:t>
            </w:r>
          </w:p>
        </w:tc>
        <w:tc>
          <w:tcPr>
            <w:tcW w:w="959" w:type="dxa"/>
            <w:vAlign w:val="center"/>
          </w:tcPr>
          <w:p w:rsidR="009E79E6" w:rsidRPr="009E79E6" w:rsidRDefault="009E79E6" w:rsidP="009E79E6">
            <w:pPr>
              <w:adjustRightInd w:val="0"/>
              <w:snapToGrid w:val="0"/>
              <w:spacing w:line="360" w:lineRule="exact"/>
              <w:jc w:val="center"/>
              <w:rPr>
                <w:color w:val="FF0000"/>
                <w:szCs w:val="21"/>
              </w:rPr>
            </w:pPr>
            <w:r w:rsidRPr="009E79E6">
              <w:rPr>
                <w:rFonts w:hint="eastAsia"/>
                <w:color w:val="FF0000"/>
                <w:szCs w:val="21"/>
              </w:rPr>
              <w:t>-0.009</w:t>
            </w:r>
          </w:p>
        </w:tc>
      </w:tr>
      <w:tr w:rsidR="009E79E6" w:rsidRPr="00925B84">
        <w:trPr>
          <w:trHeight w:val="70"/>
          <w:jc w:val="center"/>
        </w:trPr>
        <w:tc>
          <w:tcPr>
            <w:tcW w:w="1193" w:type="dxa"/>
            <w:vMerge/>
            <w:vAlign w:val="center"/>
          </w:tcPr>
          <w:p w:rsidR="009E79E6" w:rsidRPr="00925B84" w:rsidRDefault="009E79E6">
            <w:pPr>
              <w:spacing w:line="360" w:lineRule="exact"/>
              <w:contextualSpacing/>
              <w:jc w:val="center"/>
              <w:rPr>
                <w:szCs w:val="21"/>
              </w:rPr>
            </w:pPr>
          </w:p>
        </w:tc>
        <w:tc>
          <w:tcPr>
            <w:tcW w:w="1368" w:type="dxa"/>
            <w:vAlign w:val="center"/>
          </w:tcPr>
          <w:p w:rsidR="009E79E6" w:rsidRPr="00925B84" w:rsidRDefault="009E79E6">
            <w:pPr>
              <w:spacing w:line="360" w:lineRule="exact"/>
              <w:contextualSpacing/>
              <w:jc w:val="center"/>
              <w:rPr>
                <w:szCs w:val="21"/>
              </w:rPr>
            </w:pPr>
            <w:r w:rsidRPr="00925B84">
              <w:rPr>
                <w:szCs w:val="21"/>
              </w:rPr>
              <w:t>氨氮</w:t>
            </w:r>
          </w:p>
        </w:tc>
        <w:tc>
          <w:tcPr>
            <w:tcW w:w="934" w:type="dxa"/>
            <w:vAlign w:val="center"/>
          </w:tcPr>
          <w:p w:rsidR="009E79E6" w:rsidRPr="003C282B" w:rsidRDefault="003C282B">
            <w:pPr>
              <w:adjustRightInd w:val="0"/>
              <w:snapToGrid w:val="0"/>
              <w:spacing w:line="360" w:lineRule="exact"/>
              <w:jc w:val="center"/>
              <w:rPr>
                <w:color w:val="FF0000"/>
                <w:szCs w:val="21"/>
              </w:rPr>
            </w:pPr>
            <w:r>
              <w:rPr>
                <w:color w:val="FF0000"/>
                <w:szCs w:val="21"/>
              </w:rPr>
              <w:t>0.14</w:t>
            </w:r>
          </w:p>
        </w:tc>
        <w:tc>
          <w:tcPr>
            <w:tcW w:w="1227" w:type="dxa"/>
            <w:vAlign w:val="center"/>
          </w:tcPr>
          <w:p w:rsidR="009E79E6" w:rsidRPr="00925B84" w:rsidRDefault="009E79E6">
            <w:pPr>
              <w:spacing w:line="280" w:lineRule="exact"/>
              <w:contextualSpacing/>
              <w:jc w:val="center"/>
              <w:rPr>
                <w:spacing w:val="2"/>
                <w:szCs w:val="21"/>
              </w:rPr>
            </w:pPr>
            <w:r w:rsidRPr="00925B84">
              <w:rPr>
                <w:rFonts w:hint="eastAsia"/>
                <w:bCs/>
                <w:kern w:val="0"/>
                <w:szCs w:val="21"/>
              </w:rPr>
              <w:t>0.73</w:t>
            </w:r>
          </w:p>
        </w:tc>
        <w:tc>
          <w:tcPr>
            <w:tcW w:w="1245" w:type="dxa"/>
            <w:vAlign w:val="center"/>
          </w:tcPr>
          <w:p w:rsidR="009E79E6" w:rsidRPr="00712806" w:rsidRDefault="009E79E6" w:rsidP="00894456">
            <w:pPr>
              <w:spacing w:line="280" w:lineRule="exact"/>
              <w:contextualSpacing/>
              <w:jc w:val="center"/>
              <w:rPr>
                <w:color w:val="FF0000"/>
                <w:szCs w:val="21"/>
              </w:rPr>
            </w:pPr>
            <w:r w:rsidRPr="00712806">
              <w:rPr>
                <w:rFonts w:hint="eastAsia"/>
                <w:color w:val="FF0000"/>
                <w:szCs w:val="21"/>
              </w:rPr>
              <w:t>0.6</w:t>
            </w:r>
            <w:r>
              <w:rPr>
                <w:rFonts w:hint="eastAsia"/>
                <w:color w:val="FF0000"/>
                <w:szCs w:val="21"/>
              </w:rPr>
              <w:t>1</w:t>
            </w:r>
          </w:p>
        </w:tc>
        <w:tc>
          <w:tcPr>
            <w:tcW w:w="1285" w:type="dxa"/>
            <w:vAlign w:val="center"/>
          </w:tcPr>
          <w:p w:rsidR="009E79E6" w:rsidRPr="00925B84" w:rsidRDefault="009E79E6">
            <w:pPr>
              <w:spacing w:line="360" w:lineRule="exact"/>
              <w:contextualSpacing/>
              <w:jc w:val="center"/>
              <w:rPr>
                <w:szCs w:val="21"/>
              </w:rPr>
            </w:pPr>
            <w:r w:rsidRPr="00925B84">
              <w:rPr>
                <w:rFonts w:hint="eastAsia"/>
                <w:szCs w:val="21"/>
              </w:rPr>
              <w:t>0</w:t>
            </w:r>
          </w:p>
        </w:tc>
        <w:tc>
          <w:tcPr>
            <w:tcW w:w="1051" w:type="dxa"/>
            <w:vAlign w:val="center"/>
          </w:tcPr>
          <w:p w:rsidR="009E79E6" w:rsidRPr="00712806" w:rsidRDefault="009E79E6" w:rsidP="00894456">
            <w:pPr>
              <w:jc w:val="center"/>
              <w:rPr>
                <w:color w:val="FF0000"/>
                <w:szCs w:val="21"/>
              </w:rPr>
            </w:pPr>
            <w:r w:rsidRPr="00712806">
              <w:rPr>
                <w:rFonts w:hint="eastAsia"/>
                <w:bCs/>
                <w:color w:val="FF0000"/>
                <w:kern w:val="0"/>
                <w:szCs w:val="21"/>
              </w:rPr>
              <w:t>0.1</w:t>
            </w:r>
            <w:r>
              <w:rPr>
                <w:rFonts w:hint="eastAsia"/>
                <w:bCs/>
                <w:color w:val="FF0000"/>
                <w:kern w:val="0"/>
                <w:szCs w:val="21"/>
              </w:rPr>
              <w:t>2</w:t>
            </w:r>
          </w:p>
        </w:tc>
        <w:tc>
          <w:tcPr>
            <w:tcW w:w="959" w:type="dxa"/>
            <w:vAlign w:val="center"/>
          </w:tcPr>
          <w:p w:rsidR="009E79E6" w:rsidRPr="009E79E6" w:rsidRDefault="009E79E6" w:rsidP="009E79E6">
            <w:pPr>
              <w:adjustRightInd w:val="0"/>
              <w:snapToGrid w:val="0"/>
              <w:spacing w:line="360" w:lineRule="exact"/>
              <w:jc w:val="center"/>
              <w:rPr>
                <w:color w:val="FF0000"/>
                <w:szCs w:val="21"/>
              </w:rPr>
            </w:pPr>
            <w:r w:rsidRPr="009E79E6">
              <w:rPr>
                <w:rFonts w:hint="eastAsia"/>
                <w:color w:val="FF0000"/>
                <w:szCs w:val="21"/>
              </w:rPr>
              <w:t>-0</w:t>
            </w:r>
            <w:r w:rsidR="003C282B">
              <w:rPr>
                <w:color w:val="FF0000"/>
                <w:szCs w:val="21"/>
              </w:rPr>
              <w:t>.02</w:t>
            </w:r>
          </w:p>
        </w:tc>
      </w:tr>
      <w:tr w:rsidR="00C223F5" w:rsidRPr="00925B84">
        <w:trPr>
          <w:trHeight w:val="70"/>
          <w:jc w:val="center"/>
        </w:trPr>
        <w:tc>
          <w:tcPr>
            <w:tcW w:w="1193" w:type="dxa"/>
            <w:vMerge w:val="restart"/>
            <w:vAlign w:val="center"/>
          </w:tcPr>
          <w:p w:rsidR="00C223F5" w:rsidRPr="00925B84" w:rsidRDefault="005860D5">
            <w:pPr>
              <w:spacing w:line="360" w:lineRule="exact"/>
              <w:contextualSpacing/>
              <w:jc w:val="center"/>
              <w:rPr>
                <w:szCs w:val="21"/>
              </w:rPr>
            </w:pPr>
            <w:r w:rsidRPr="00925B84">
              <w:rPr>
                <w:szCs w:val="21"/>
              </w:rPr>
              <w:t>生产生活</w:t>
            </w:r>
          </w:p>
          <w:p w:rsidR="00C223F5" w:rsidRPr="00925B84" w:rsidRDefault="005860D5">
            <w:pPr>
              <w:spacing w:line="360" w:lineRule="exact"/>
              <w:contextualSpacing/>
              <w:jc w:val="center"/>
              <w:rPr>
                <w:szCs w:val="21"/>
              </w:rPr>
            </w:pPr>
            <w:r w:rsidRPr="00925B84">
              <w:rPr>
                <w:szCs w:val="21"/>
              </w:rPr>
              <w:t>污水</w:t>
            </w:r>
          </w:p>
        </w:tc>
        <w:tc>
          <w:tcPr>
            <w:tcW w:w="1368" w:type="dxa"/>
            <w:vAlign w:val="center"/>
          </w:tcPr>
          <w:p w:rsidR="00C223F5" w:rsidRPr="00925B84" w:rsidRDefault="005860D5">
            <w:pPr>
              <w:spacing w:line="360" w:lineRule="exact"/>
              <w:contextualSpacing/>
              <w:jc w:val="center"/>
              <w:rPr>
                <w:szCs w:val="21"/>
              </w:rPr>
            </w:pPr>
            <w:r w:rsidRPr="00925B84">
              <w:rPr>
                <w:szCs w:val="21"/>
              </w:rPr>
              <w:t>水量</w:t>
            </w:r>
          </w:p>
        </w:tc>
        <w:tc>
          <w:tcPr>
            <w:tcW w:w="934"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27" w:type="dxa"/>
            <w:vAlign w:val="center"/>
          </w:tcPr>
          <w:p w:rsidR="00C223F5" w:rsidRPr="00925B84" w:rsidRDefault="005860D5">
            <w:pPr>
              <w:spacing w:line="360" w:lineRule="exact"/>
              <w:contextualSpacing/>
              <w:jc w:val="center"/>
              <w:rPr>
                <w:szCs w:val="21"/>
              </w:rPr>
            </w:pPr>
            <w:r w:rsidRPr="00925B84">
              <w:rPr>
                <w:rFonts w:hint="eastAsia"/>
                <w:szCs w:val="21"/>
              </w:rPr>
              <w:t>10.94</w:t>
            </w:r>
          </w:p>
        </w:tc>
        <w:tc>
          <w:tcPr>
            <w:tcW w:w="1245" w:type="dxa"/>
            <w:vAlign w:val="center"/>
          </w:tcPr>
          <w:p w:rsidR="00C223F5" w:rsidRPr="00925B84" w:rsidRDefault="005860D5">
            <w:pPr>
              <w:spacing w:line="360" w:lineRule="exact"/>
              <w:contextualSpacing/>
              <w:jc w:val="center"/>
              <w:rPr>
                <w:szCs w:val="21"/>
              </w:rPr>
            </w:pPr>
            <w:r w:rsidRPr="00925B84">
              <w:rPr>
                <w:rFonts w:hint="eastAsia"/>
                <w:szCs w:val="21"/>
              </w:rPr>
              <w:t>10.94</w:t>
            </w:r>
          </w:p>
        </w:tc>
        <w:tc>
          <w:tcPr>
            <w:tcW w:w="1285"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051"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959" w:type="dxa"/>
            <w:vAlign w:val="center"/>
          </w:tcPr>
          <w:p w:rsidR="00C223F5" w:rsidRPr="00925B84" w:rsidRDefault="005860D5">
            <w:pPr>
              <w:spacing w:line="360" w:lineRule="exact"/>
              <w:contextualSpacing/>
              <w:jc w:val="center"/>
              <w:rPr>
                <w:szCs w:val="21"/>
              </w:rPr>
            </w:pPr>
            <w:r w:rsidRPr="00925B84">
              <w:rPr>
                <w:rFonts w:hint="eastAsia"/>
                <w:szCs w:val="21"/>
              </w:rPr>
              <w:t>0</w:t>
            </w:r>
          </w:p>
        </w:tc>
      </w:tr>
      <w:tr w:rsidR="00C223F5" w:rsidRPr="00925B84">
        <w:trPr>
          <w:trHeight w:val="70"/>
          <w:jc w:val="center"/>
        </w:trPr>
        <w:tc>
          <w:tcPr>
            <w:tcW w:w="1193" w:type="dxa"/>
            <w:vMerge/>
            <w:vAlign w:val="center"/>
          </w:tcPr>
          <w:p w:rsidR="00C223F5" w:rsidRPr="00925B84" w:rsidRDefault="00C223F5">
            <w:pPr>
              <w:spacing w:line="360" w:lineRule="exact"/>
              <w:contextualSpacing/>
              <w:jc w:val="center"/>
              <w:rPr>
                <w:szCs w:val="21"/>
              </w:rPr>
            </w:pPr>
          </w:p>
        </w:tc>
        <w:tc>
          <w:tcPr>
            <w:tcW w:w="1368" w:type="dxa"/>
            <w:vAlign w:val="center"/>
          </w:tcPr>
          <w:p w:rsidR="00C223F5" w:rsidRPr="00925B84" w:rsidRDefault="005860D5">
            <w:pPr>
              <w:spacing w:line="360" w:lineRule="exact"/>
              <w:contextualSpacing/>
              <w:jc w:val="center"/>
              <w:rPr>
                <w:szCs w:val="21"/>
              </w:rPr>
            </w:pPr>
            <w:r w:rsidRPr="00925B84">
              <w:rPr>
                <w:szCs w:val="21"/>
              </w:rPr>
              <w:t>SS</w:t>
            </w:r>
          </w:p>
        </w:tc>
        <w:tc>
          <w:tcPr>
            <w:tcW w:w="934"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27" w:type="dxa"/>
            <w:vAlign w:val="center"/>
          </w:tcPr>
          <w:p w:rsidR="00C223F5" w:rsidRPr="00925B84" w:rsidRDefault="005860D5">
            <w:pPr>
              <w:spacing w:line="280" w:lineRule="exact"/>
              <w:contextualSpacing/>
              <w:jc w:val="center"/>
              <w:rPr>
                <w:spacing w:val="2"/>
                <w:szCs w:val="21"/>
              </w:rPr>
            </w:pPr>
            <w:r w:rsidRPr="00925B84">
              <w:rPr>
                <w:rFonts w:hint="eastAsia"/>
                <w:bCs/>
                <w:kern w:val="0"/>
                <w:szCs w:val="21"/>
              </w:rPr>
              <w:t>15.98</w:t>
            </w:r>
          </w:p>
        </w:tc>
        <w:tc>
          <w:tcPr>
            <w:tcW w:w="1245" w:type="dxa"/>
            <w:vAlign w:val="center"/>
          </w:tcPr>
          <w:p w:rsidR="00C223F5" w:rsidRPr="00925B84" w:rsidRDefault="005860D5">
            <w:pPr>
              <w:spacing w:line="280" w:lineRule="exact"/>
              <w:contextualSpacing/>
              <w:jc w:val="center"/>
              <w:rPr>
                <w:spacing w:val="2"/>
                <w:szCs w:val="21"/>
              </w:rPr>
            </w:pPr>
            <w:r w:rsidRPr="00925B84">
              <w:rPr>
                <w:rFonts w:hint="eastAsia"/>
                <w:bCs/>
                <w:kern w:val="0"/>
                <w:szCs w:val="21"/>
              </w:rPr>
              <w:t>15.98</w:t>
            </w:r>
          </w:p>
        </w:tc>
        <w:tc>
          <w:tcPr>
            <w:tcW w:w="1285"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c>
          <w:tcPr>
            <w:tcW w:w="1051"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c>
          <w:tcPr>
            <w:tcW w:w="959"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r>
      <w:tr w:rsidR="00C223F5" w:rsidRPr="00925B84">
        <w:trPr>
          <w:trHeight w:val="70"/>
          <w:jc w:val="center"/>
        </w:trPr>
        <w:tc>
          <w:tcPr>
            <w:tcW w:w="1193" w:type="dxa"/>
            <w:vMerge/>
            <w:vAlign w:val="center"/>
          </w:tcPr>
          <w:p w:rsidR="00C223F5" w:rsidRPr="00925B84" w:rsidRDefault="00C223F5">
            <w:pPr>
              <w:spacing w:line="360" w:lineRule="exact"/>
              <w:contextualSpacing/>
              <w:jc w:val="center"/>
              <w:rPr>
                <w:szCs w:val="21"/>
              </w:rPr>
            </w:pPr>
          </w:p>
        </w:tc>
        <w:tc>
          <w:tcPr>
            <w:tcW w:w="1368" w:type="dxa"/>
            <w:vAlign w:val="center"/>
          </w:tcPr>
          <w:p w:rsidR="00C223F5" w:rsidRPr="00925B84" w:rsidRDefault="005860D5">
            <w:pPr>
              <w:spacing w:line="360" w:lineRule="exact"/>
              <w:contextualSpacing/>
              <w:jc w:val="center"/>
              <w:rPr>
                <w:szCs w:val="21"/>
              </w:rPr>
            </w:pPr>
            <w:r w:rsidRPr="00925B84">
              <w:rPr>
                <w:szCs w:val="21"/>
              </w:rPr>
              <w:t>COD</w:t>
            </w:r>
          </w:p>
        </w:tc>
        <w:tc>
          <w:tcPr>
            <w:tcW w:w="934"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27" w:type="dxa"/>
            <w:vAlign w:val="center"/>
          </w:tcPr>
          <w:p w:rsidR="00C223F5" w:rsidRPr="00925B84" w:rsidRDefault="005860D5">
            <w:pPr>
              <w:spacing w:line="280" w:lineRule="exact"/>
              <w:contextualSpacing/>
              <w:jc w:val="center"/>
              <w:rPr>
                <w:spacing w:val="2"/>
                <w:szCs w:val="21"/>
              </w:rPr>
            </w:pPr>
            <w:r w:rsidRPr="00925B84">
              <w:rPr>
                <w:rFonts w:hint="eastAsia"/>
                <w:bCs/>
                <w:kern w:val="0"/>
                <w:szCs w:val="21"/>
              </w:rPr>
              <w:t>17.83</w:t>
            </w:r>
          </w:p>
        </w:tc>
        <w:tc>
          <w:tcPr>
            <w:tcW w:w="1245" w:type="dxa"/>
            <w:vAlign w:val="center"/>
          </w:tcPr>
          <w:p w:rsidR="00C223F5" w:rsidRPr="00925B84" w:rsidRDefault="005860D5">
            <w:pPr>
              <w:spacing w:line="280" w:lineRule="exact"/>
              <w:contextualSpacing/>
              <w:jc w:val="center"/>
              <w:rPr>
                <w:spacing w:val="2"/>
                <w:szCs w:val="21"/>
              </w:rPr>
            </w:pPr>
            <w:r w:rsidRPr="00925B84">
              <w:rPr>
                <w:rFonts w:hint="eastAsia"/>
                <w:bCs/>
                <w:kern w:val="0"/>
                <w:szCs w:val="21"/>
              </w:rPr>
              <w:t>17.83</w:t>
            </w:r>
          </w:p>
        </w:tc>
        <w:tc>
          <w:tcPr>
            <w:tcW w:w="1285"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c>
          <w:tcPr>
            <w:tcW w:w="1051"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c>
          <w:tcPr>
            <w:tcW w:w="959"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r>
      <w:tr w:rsidR="00C223F5" w:rsidRPr="00925B84">
        <w:trPr>
          <w:trHeight w:val="70"/>
          <w:jc w:val="center"/>
        </w:trPr>
        <w:tc>
          <w:tcPr>
            <w:tcW w:w="1193" w:type="dxa"/>
            <w:vMerge/>
            <w:vAlign w:val="center"/>
          </w:tcPr>
          <w:p w:rsidR="00C223F5" w:rsidRPr="00925B84" w:rsidRDefault="00C223F5">
            <w:pPr>
              <w:spacing w:line="360" w:lineRule="exact"/>
              <w:contextualSpacing/>
              <w:jc w:val="center"/>
              <w:rPr>
                <w:szCs w:val="21"/>
              </w:rPr>
            </w:pPr>
          </w:p>
        </w:tc>
        <w:tc>
          <w:tcPr>
            <w:tcW w:w="1368" w:type="dxa"/>
            <w:vAlign w:val="center"/>
          </w:tcPr>
          <w:p w:rsidR="00C223F5" w:rsidRPr="00925B84" w:rsidRDefault="005860D5">
            <w:pPr>
              <w:spacing w:line="360" w:lineRule="exact"/>
              <w:contextualSpacing/>
              <w:jc w:val="center"/>
              <w:rPr>
                <w:szCs w:val="21"/>
              </w:rPr>
            </w:pPr>
            <w:r w:rsidRPr="00925B84">
              <w:rPr>
                <w:szCs w:val="21"/>
              </w:rPr>
              <w:t>BOD</w:t>
            </w:r>
            <w:r w:rsidRPr="00925B84">
              <w:rPr>
                <w:rFonts w:hint="eastAsia"/>
                <w:szCs w:val="21"/>
                <w:vertAlign w:val="subscript"/>
              </w:rPr>
              <w:t>5</w:t>
            </w:r>
          </w:p>
        </w:tc>
        <w:tc>
          <w:tcPr>
            <w:tcW w:w="934"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27" w:type="dxa"/>
            <w:vAlign w:val="center"/>
          </w:tcPr>
          <w:p w:rsidR="00C223F5" w:rsidRPr="00925B84" w:rsidRDefault="005860D5">
            <w:pPr>
              <w:spacing w:line="280" w:lineRule="exact"/>
              <w:contextualSpacing/>
              <w:jc w:val="center"/>
              <w:rPr>
                <w:spacing w:val="2"/>
                <w:szCs w:val="21"/>
              </w:rPr>
            </w:pPr>
            <w:r w:rsidRPr="00925B84">
              <w:rPr>
                <w:rFonts w:hint="eastAsia"/>
                <w:bCs/>
                <w:kern w:val="0"/>
                <w:szCs w:val="21"/>
              </w:rPr>
              <w:t>10.21</w:t>
            </w:r>
          </w:p>
        </w:tc>
        <w:tc>
          <w:tcPr>
            <w:tcW w:w="1245" w:type="dxa"/>
            <w:vAlign w:val="center"/>
          </w:tcPr>
          <w:p w:rsidR="00C223F5" w:rsidRPr="00925B84" w:rsidRDefault="005860D5">
            <w:pPr>
              <w:spacing w:line="280" w:lineRule="exact"/>
              <w:contextualSpacing/>
              <w:jc w:val="center"/>
              <w:rPr>
                <w:spacing w:val="2"/>
                <w:szCs w:val="21"/>
              </w:rPr>
            </w:pPr>
            <w:r w:rsidRPr="00925B84">
              <w:rPr>
                <w:rFonts w:hint="eastAsia"/>
                <w:bCs/>
                <w:kern w:val="0"/>
                <w:szCs w:val="21"/>
              </w:rPr>
              <w:t>10.21</w:t>
            </w:r>
          </w:p>
        </w:tc>
        <w:tc>
          <w:tcPr>
            <w:tcW w:w="1285"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c>
          <w:tcPr>
            <w:tcW w:w="1051"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c>
          <w:tcPr>
            <w:tcW w:w="959"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r>
      <w:tr w:rsidR="00C223F5" w:rsidRPr="00925B84">
        <w:trPr>
          <w:trHeight w:val="70"/>
          <w:jc w:val="center"/>
        </w:trPr>
        <w:tc>
          <w:tcPr>
            <w:tcW w:w="1193" w:type="dxa"/>
            <w:vMerge/>
            <w:vAlign w:val="center"/>
          </w:tcPr>
          <w:p w:rsidR="00C223F5" w:rsidRPr="00925B84" w:rsidRDefault="00C223F5">
            <w:pPr>
              <w:spacing w:line="360" w:lineRule="exact"/>
              <w:contextualSpacing/>
              <w:jc w:val="center"/>
              <w:rPr>
                <w:szCs w:val="21"/>
              </w:rPr>
            </w:pPr>
          </w:p>
        </w:tc>
        <w:tc>
          <w:tcPr>
            <w:tcW w:w="1368" w:type="dxa"/>
            <w:vAlign w:val="center"/>
          </w:tcPr>
          <w:p w:rsidR="00C223F5" w:rsidRPr="00925B84" w:rsidRDefault="005860D5">
            <w:pPr>
              <w:spacing w:line="360" w:lineRule="exact"/>
              <w:contextualSpacing/>
              <w:jc w:val="center"/>
              <w:rPr>
                <w:szCs w:val="21"/>
              </w:rPr>
            </w:pPr>
            <w:r w:rsidRPr="00925B84">
              <w:rPr>
                <w:szCs w:val="21"/>
              </w:rPr>
              <w:t>石油类</w:t>
            </w:r>
          </w:p>
        </w:tc>
        <w:tc>
          <w:tcPr>
            <w:tcW w:w="934"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27"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w:t>
            </w:r>
          </w:p>
        </w:tc>
        <w:tc>
          <w:tcPr>
            <w:tcW w:w="1245"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w:t>
            </w:r>
          </w:p>
        </w:tc>
        <w:tc>
          <w:tcPr>
            <w:tcW w:w="1285"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c>
          <w:tcPr>
            <w:tcW w:w="1051"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c>
          <w:tcPr>
            <w:tcW w:w="959"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r>
      <w:tr w:rsidR="00C223F5" w:rsidRPr="00925B84">
        <w:trPr>
          <w:trHeight w:val="70"/>
          <w:jc w:val="center"/>
        </w:trPr>
        <w:tc>
          <w:tcPr>
            <w:tcW w:w="1193" w:type="dxa"/>
            <w:vMerge/>
            <w:vAlign w:val="center"/>
          </w:tcPr>
          <w:p w:rsidR="00C223F5" w:rsidRPr="00925B84" w:rsidRDefault="00C223F5">
            <w:pPr>
              <w:spacing w:line="360" w:lineRule="exact"/>
              <w:contextualSpacing/>
              <w:jc w:val="center"/>
              <w:rPr>
                <w:szCs w:val="21"/>
              </w:rPr>
            </w:pPr>
          </w:p>
        </w:tc>
        <w:tc>
          <w:tcPr>
            <w:tcW w:w="1368" w:type="dxa"/>
            <w:vAlign w:val="center"/>
          </w:tcPr>
          <w:p w:rsidR="00C223F5" w:rsidRPr="00925B84" w:rsidRDefault="005860D5">
            <w:pPr>
              <w:spacing w:line="360" w:lineRule="exact"/>
              <w:contextualSpacing/>
              <w:jc w:val="center"/>
              <w:rPr>
                <w:szCs w:val="21"/>
              </w:rPr>
            </w:pPr>
            <w:r w:rsidRPr="00925B84">
              <w:rPr>
                <w:szCs w:val="21"/>
              </w:rPr>
              <w:t>氨氮</w:t>
            </w:r>
          </w:p>
        </w:tc>
        <w:tc>
          <w:tcPr>
            <w:tcW w:w="934"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27"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0.46</w:t>
            </w:r>
          </w:p>
        </w:tc>
        <w:tc>
          <w:tcPr>
            <w:tcW w:w="1245"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0.46</w:t>
            </w:r>
          </w:p>
        </w:tc>
        <w:tc>
          <w:tcPr>
            <w:tcW w:w="1285"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c>
          <w:tcPr>
            <w:tcW w:w="1051"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c>
          <w:tcPr>
            <w:tcW w:w="959" w:type="dxa"/>
            <w:vAlign w:val="center"/>
          </w:tcPr>
          <w:p w:rsidR="00C223F5" w:rsidRPr="00925B84" w:rsidRDefault="005860D5">
            <w:pPr>
              <w:spacing w:line="360" w:lineRule="exact"/>
              <w:contextualSpacing/>
              <w:jc w:val="center"/>
              <w:rPr>
                <w:spacing w:val="2"/>
                <w:szCs w:val="21"/>
              </w:rPr>
            </w:pPr>
            <w:r w:rsidRPr="00925B84">
              <w:rPr>
                <w:rFonts w:hint="eastAsia"/>
                <w:spacing w:val="2"/>
                <w:szCs w:val="21"/>
              </w:rPr>
              <w:t>0</w:t>
            </w:r>
          </w:p>
        </w:tc>
      </w:tr>
      <w:tr w:rsidR="006E293D" w:rsidRPr="00925B84">
        <w:trPr>
          <w:trHeight w:val="70"/>
          <w:jc w:val="center"/>
        </w:trPr>
        <w:tc>
          <w:tcPr>
            <w:tcW w:w="1193" w:type="dxa"/>
            <w:vMerge w:val="restart"/>
            <w:vAlign w:val="center"/>
          </w:tcPr>
          <w:p w:rsidR="006E293D" w:rsidRPr="00925B84" w:rsidRDefault="006E293D" w:rsidP="006E293D">
            <w:pPr>
              <w:spacing w:line="360" w:lineRule="exact"/>
              <w:contextualSpacing/>
              <w:jc w:val="center"/>
              <w:rPr>
                <w:szCs w:val="21"/>
              </w:rPr>
            </w:pPr>
            <w:r w:rsidRPr="00925B84">
              <w:rPr>
                <w:szCs w:val="21"/>
              </w:rPr>
              <w:t>锅炉房</w:t>
            </w:r>
          </w:p>
        </w:tc>
        <w:tc>
          <w:tcPr>
            <w:tcW w:w="1368" w:type="dxa"/>
            <w:vAlign w:val="center"/>
          </w:tcPr>
          <w:p w:rsidR="006E293D" w:rsidRPr="00925B84" w:rsidRDefault="006E293D" w:rsidP="006E293D">
            <w:pPr>
              <w:spacing w:line="360" w:lineRule="exact"/>
              <w:jc w:val="center"/>
              <w:rPr>
                <w:szCs w:val="21"/>
              </w:rPr>
            </w:pPr>
            <w:r w:rsidRPr="00925B84">
              <w:rPr>
                <w:szCs w:val="21"/>
              </w:rPr>
              <w:t>烟气量</w:t>
            </w:r>
          </w:p>
        </w:tc>
        <w:tc>
          <w:tcPr>
            <w:tcW w:w="934" w:type="dxa"/>
            <w:vAlign w:val="center"/>
          </w:tcPr>
          <w:p w:rsidR="006E293D" w:rsidRPr="00925B84" w:rsidRDefault="006E293D" w:rsidP="006E293D">
            <w:pPr>
              <w:spacing w:line="360" w:lineRule="exact"/>
              <w:contextualSpacing/>
              <w:jc w:val="center"/>
              <w:rPr>
                <w:szCs w:val="21"/>
              </w:rPr>
            </w:pPr>
            <w:r w:rsidRPr="00925B84">
              <w:rPr>
                <w:rFonts w:hint="eastAsia"/>
                <w:szCs w:val="21"/>
              </w:rPr>
              <w:t>1378.2</w:t>
            </w:r>
          </w:p>
        </w:tc>
        <w:tc>
          <w:tcPr>
            <w:tcW w:w="1227" w:type="dxa"/>
            <w:vAlign w:val="center"/>
          </w:tcPr>
          <w:p w:rsidR="006E293D" w:rsidRPr="006E293D" w:rsidRDefault="00D807E3" w:rsidP="006E293D">
            <w:pPr>
              <w:spacing w:line="360" w:lineRule="exact"/>
              <w:contextualSpacing/>
              <w:jc w:val="center"/>
              <w:rPr>
                <w:color w:val="FF0000"/>
                <w:szCs w:val="21"/>
              </w:rPr>
            </w:pPr>
            <w:r>
              <w:rPr>
                <w:rFonts w:hint="eastAsia"/>
                <w:color w:val="FF0000"/>
                <w:szCs w:val="21"/>
              </w:rPr>
              <w:t>-</w:t>
            </w:r>
          </w:p>
        </w:tc>
        <w:tc>
          <w:tcPr>
            <w:tcW w:w="1245" w:type="dxa"/>
            <w:vAlign w:val="center"/>
          </w:tcPr>
          <w:p w:rsidR="006E293D" w:rsidRPr="006E293D" w:rsidRDefault="00D807E3" w:rsidP="006E293D">
            <w:pPr>
              <w:spacing w:line="360" w:lineRule="exact"/>
              <w:contextualSpacing/>
              <w:jc w:val="center"/>
              <w:rPr>
                <w:color w:val="FF0000"/>
                <w:szCs w:val="21"/>
              </w:rPr>
            </w:pPr>
            <w:r>
              <w:rPr>
                <w:rFonts w:hint="eastAsia"/>
                <w:color w:val="FF0000"/>
                <w:szCs w:val="21"/>
              </w:rPr>
              <w:t>-</w:t>
            </w:r>
          </w:p>
        </w:tc>
        <w:tc>
          <w:tcPr>
            <w:tcW w:w="1285" w:type="dxa"/>
            <w:vAlign w:val="center"/>
          </w:tcPr>
          <w:p w:rsidR="006E293D" w:rsidRPr="006E293D" w:rsidRDefault="00D807E3" w:rsidP="006E293D">
            <w:pPr>
              <w:spacing w:line="360" w:lineRule="exact"/>
              <w:contextualSpacing/>
              <w:jc w:val="center"/>
              <w:rPr>
                <w:color w:val="FF0000"/>
                <w:szCs w:val="21"/>
              </w:rPr>
            </w:pPr>
            <w:r>
              <w:rPr>
                <w:rFonts w:hint="eastAsia"/>
                <w:color w:val="FF0000"/>
                <w:szCs w:val="21"/>
              </w:rPr>
              <w:t>-</w:t>
            </w:r>
          </w:p>
        </w:tc>
        <w:tc>
          <w:tcPr>
            <w:tcW w:w="1051" w:type="dxa"/>
            <w:vAlign w:val="center"/>
          </w:tcPr>
          <w:p w:rsidR="006E293D" w:rsidRPr="006E293D" w:rsidRDefault="00D807E3" w:rsidP="006E293D">
            <w:pPr>
              <w:spacing w:line="360" w:lineRule="exact"/>
              <w:contextualSpacing/>
              <w:jc w:val="center"/>
              <w:rPr>
                <w:color w:val="FF0000"/>
                <w:szCs w:val="21"/>
              </w:rPr>
            </w:pPr>
            <w:r>
              <w:rPr>
                <w:rFonts w:hint="eastAsia"/>
                <w:color w:val="FF0000"/>
                <w:szCs w:val="21"/>
              </w:rPr>
              <w:t>-</w:t>
            </w:r>
          </w:p>
        </w:tc>
        <w:tc>
          <w:tcPr>
            <w:tcW w:w="959" w:type="dxa"/>
            <w:vAlign w:val="center"/>
          </w:tcPr>
          <w:p w:rsidR="006E293D" w:rsidRPr="006E293D" w:rsidRDefault="006E293D" w:rsidP="006E293D">
            <w:pPr>
              <w:spacing w:line="360" w:lineRule="exact"/>
              <w:contextualSpacing/>
              <w:jc w:val="center"/>
              <w:rPr>
                <w:color w:val="FF0000"/>
                <w:szCs w:val="21"/>
              </w:rPr>
            </w:pPr>
            <w:r w:rsidRPr="006E293D">
              <w:rPr>
                <w:rFonts w:hint="eastAsia"/>
                <w:color w:val="FF0000"/>
                <w:szCs w:val="21"/>
              </w:rPr>
              <w:t>-1378.2</w:t>
            </w:r>
          </w:p>
        </w:tc>
      </w:tr>
      <w:tr w:rsidR="00D807E3" w:rsidRPr="00925B84">
        <w:trPr>
          <w:trHeight w:val="70"/>
          <w:jc w:val="center"/>
        </w:trPr>
        <w:tc>
          <w:tcPr>
            <w:tcW w:w="1193" w:type="dxa"/>
            <w:vMerge/>
            <w:vAlign w:val="center"/>
          </w:tcPr>
          <w:p w:rsidR="00D807E3" w:rsidRPr="00925B84" w:rsidRDefault="00D807E3" w:rsidP="00D807E3">
            <w:pPr>
              <w:spacing w:line="360" w:lineRule="exact"/>
              <w:contextualSpacing/>
              <w:jc w:val="center"/>
              <w:rPr>
                <w:szCs w:val="21"/>
              </w:rPr>
            </w:pPr>
          </w:p>
        </w:tc>
        <w:tc>
          <w:tcPr>
            <w:tcW w:w="1368" w:type="dxa"/>
            <w:vAlign w:val="center"/>
          </w:tcPr>
          <w:p w:rsidR="00D807E3" w:rsidRPr="00925B84" w:rsidRDefault="00D807E3" w:rsidP="00D807E3">
            <w:pPr>
              <w:spacing w:line="360" w:lineRule="exact"/>
              <w:jc w:val="center"/>
              <w:rPr>
                <w:szCs w:val="21"/>
              </w:rPr>
            </w:pPr>
            <w:r w:rsidRPr="00925B84">
              <w:rPr>
                <w:szCs w:val="21"/>
              </w:rPr>
              <w:t>SO</w:t>
            </w:r>
            <w:r w:rsidRPr="00925B84">
              <w:rPr>
                <w:szCs w:val="21"/>
                <w:vertAlign w:val="subscript"/>
              </w:rPr>
              <w:t>2</w:t>
            </w:r>
          </w:p>
        </w:tc>
        <w:tc>
          <w:tcPr>
            <w:tcW w:w="934" w:type="dxa"/>
            <w:vAlign w:val="center"/>
          </w:tcPr>
          <w:p w:rsidR="00D807E3" w:rsidRPr="00925B84" w:rsidRDefault="00D807E3" w:rsidP="00D807E3">
            <w:pPr>
              <w:spacing w:line="360" w:lineRule="exact"/>
              <w:contextualSpacing/>
              <w:jc w:val="center"/>
              <w:rPr>
                <w:szCs w:val="21"/>
              </w:rPr>
            </w:pPr>
            <w:r w:rsidRPr="00925B84">
              <w:rPr>
                <w:rFonts w:hint="eastAsia"/>
                <w:szCs w:val="21"/>
              </w:rPr>
              <w:t>2.1</w:t>
            </w:r>
          </w:p>
        </w:tc>
        <w:tc>
          <w:tcPr>
            <w:tcW w:w="1227"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1245"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1285"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1051"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959" w:type="dxa"/>
            <w:vAlign w:val="center"/>
          </w:tcPr>
          <w:p w:rsidR="00D807E3" w:rsidRPr="006E293D" w:rsidRDefault="00D807E3" w:rsidP="00D807E3">
            <w:pPr>
              <w:spacing w:line="360" w:lineRule="exact"/>
              <w:contextualSpacing/>
              <w:jc w:val="center"/>
              <w:rPr>
                <w:color w:val="FF0000"/>
                <w:szCs w:val="21"/>
              </w:rPr>
            </w:pPr>
            <w:r w:rsidRPr="006E293D">
              <w:rPr>
                <w:rFonts w:hint="eastAsia"/>
                <w:color w:val="FF0000"/>
                <w:szCs w:val="21"/>
              </w:rPr>
              <w:t>-2.1</w:t>
            </w:r>
          </w:p>
        </w:tc>
      </w:tr>
      <w:tr w:rsidR="00D807E3" w:rsidRPr="00925B84">
        <w:trPr>
          <w:trHeight w:val="70"/>
          <w:jc w:val="center"/>
        </w:trPr>
        <w:tc>
          <w:tcPr>
            <w:tcW w:w="1193" w:type="dxa"/>
            <w:vMerge/>
            <w:vAlign w:val="center"/>
          </w:tcPr>
          <w:p w:rsidR="00D807E3" w:rsidRPr="00925B84" w:rsidRDefault="00D807E3" w:rsidP="00D807E3">
            <w:pPr>
              <w:spacing w:line="360" w:lineRule="exact"/>
              <w:contextualSpacing/>
              <w:jc w:val="center"/>
              <w:rPr>
                <w:szCs w:val="21"/>
              </w:rPr>
            </w:pPr>
          </w:p>
        </w:tc>
        <w:tc>
          <w:tcPr>
            <w:tcW w:w="1368" w:type="dxa"/>
            <w:vAlign w:val="center"/>
          </w:tcPr>
          <w:p w:rsidR="00D807E3" w:rsidRPr="00925B84" w:rsidRDefault="00D807E3" w:rsidP="00D807E3">
            <w:pPr>
              <w:spacing w:line="360" w:lineRule="exact"/>
              <w:jc w:val="center"/>
              <w:rPr>
                <w:szCs w:val="21"/>
              </w:rPr>
            </w:pPr>
            <w:r w:rsidRPr="00925B84">
              <w:rPr>
                <w:szCs w:val="21"/>
              </w:rPr>
              <w:t>烟尘</w:t>
            </w:r>
          </w:p>
        </w:tc>
        <w:tc>
          <w:tcPr>
            <w:tcW w:w="934" w:type="dxa"/>
            <w:vAlign w:val="center"/>
          </w:tcPr>
          <w:p w:rsidR="00D807E3" w:rsidRPr="00925B84" w:rsidRDefault="00D807E3" w:rsidP="00D807E3">
            <w:pPr>
              <w:spacing w:line="360" w:lineRule="exact"/>
              <w:contextualSpacing/>
              <w:jc w:val="center"/>
              <w:rPr>
                <w:szCs w:val="21"/>
              </w:rPr>
            </w:pPr>
            <w:r w:rsidRPr="00925B84">
              <w:rPr>
                <w:rFonts w:hint="eastAsia"/>
                <w:szCs w:val="21"/>
              </w:rPr>
              <w:t>0.99</w:t>
            </w:r>
          </w:p>
        </w:tc>
        <w:tc>
          <w:tcPr>
            <w:tcW w:w="1227"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1245"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1285"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1051"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959" w:type="dxa"/>
            <w:vAlign w:val="center"/>
          </w:tcPr>
          <w:p w:rsidR="00D807E3" w:rsidRPr="006E293D" w:rsidRDefault="00D807E3" w:rsidP="00D807E3">
            <w:pPr>
              <w:spacing w:line="360" w:lineRule="exact"/>
              <w:contextualSpacing/>
              <w:jc w:val="center"/>
              <w:rPr>
                <w:color w:val="FF0000"/>
                <w:szCs w:val="21"/>
              </w:rPr>
            </w:pPr>
            <w:r w:rsidRPr="006E293D">
              <w:rPr>
                <w:rFonts w:hint="eastAsia"/>
                <w:color w:val="FF0000"/>
                <w:szCs w:val="21"/>
              </w:rPr>
              <w:t>-0.99</w:t>
            </w:r>
          </w:p>
        </w:tc>
      </w:tr>
      <w:tr w:rsidR="00D807E3" w:rsidRPr="00925B84">
        <w:trPr>
          <w:trHeight w:val="70"/>
          <w:jc w:val="center"/>
        </w:trPr>
        <w:tc>
          <w:tcPr>
            <w:tcW w:w="1193" w:type="dxa"/>
            <w:vMerge/>
            <w:vAlign w:val="center"/>
          </w:tcPr>
          <w:p w:rsidR="00D807E3" w:rsidRPr="00925B84" w:rsidRDefault="00D807E3" w:rsidP="00D807E3">
            <w:pPr>
              <w:spacing w:line="360" w:lineRule="exact"/>
              <w:contextualSpacing/>
              <w:jc w:val="center"/>
              <w:rPr>
                <w:szCs w:val="21"/>
              </w:rPr>
            </w:pPr>
          </w:p>
        </w:tc>
        <w:tc>
          <w:tcPr>
            <w:tcW w:w="1368" w:type="dxa"/>
            <w:vAlign w:val="center"/>
          </w:tcPr>
          <w:p w:rsidR="00D807E3" w:rsidRPr="00925B84" w:rsidRDefault="00D807E3" w:rsidP="00D807E3">
            <w:pPr>
              <w:spacing w:line="360" w:lineRule="exact"/>
              <w:jc w:val="center"/>
              <w:rPr>
                <w:szCs w:val="21"/>
              </w:rPr>
            </w:pPr>
            <w:r w:rsidRPr="00925B84">
              <w:rPr>
                <w:szCs w:val="21"/>
              </w:rPr>
              <w:t>氮氧化物</w:t>
            </w:r>
          </w:p>
        </w:tc>
        <w:tc>
          <w:tcPr>
            <w:tcW w:w="934" w:type="dxa"/>
            <w:vAlign w:val="center"/>
          </w:tcPr>
          <w:p w:rsidR="00D807E3" w:rsidRPr="00925B84" w:rsidRDefault="00D807E3" w:rsidP="00D807E3">
            <w:pPr>
              <w:spacing w:line="360" w:lineRule="exact"/>
              <w:contextualSpacing/>
              <w:jc w:val="center"/>
              <w:rPr>
                <w:szCs w:val="21"/>
              </w:rPr>
            </w:pPr>
            <w:r w:rsidRPr="00925B84">
              <w:rPr>
                <w:rFonts w:hint="eastAsia"/>
                <w:szCs w:val="21"/>
              </w:rPr>
              <w:t>1.78</w:t>
            </w:r>
          </w:p>
        </w:tc>
        <w:tc>
          <w:tcPr>
            <w:tcW w:w="1227"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1245"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1285"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1051"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959" w:type="dxa"/>
            <w:vAlign w:val="center"/>
          </w:tcPr>
          <w:p w:rsidR="00D807E3" w:rsidRPr="006E293D" w:rsidRDefault="00D807E3" w:rsidP="00D807E3">
            <w:pPr>
              <w:spacing w:line="360" w:lineRule="exact"/>
              <w:contextualSpacing/>
              <w:jc w:val="center"/>
              <w:rPr>
                <w:color w:val="FF0000"/>
                <w:szCs w:val="21"/>
              </w:rPr>
            </w:pPr>
            <w:r w:rsidRPr="006E293D">
              <w:rPr>
                <w:rFonts w:hint="eastAsia"/>
                <w:color w:val="FF0000"/>
                <w:szCs w:val="21"/>
              </w:rPr>
              <w:t>-1.78</w:t>
            </w:r>
          </w:p>
        </w:tc>
      </w:tr>
      <w:tr w:rsidR="00C223F5" w:rsidRPr="00925B84">
        <w:trPr>
          <w:trHeight w:val="70"/>
          <w:jc w:val="center"/>
        </w:trPr>
        <w:tc>
          <w:tcPr>
            <w:tcW w:w="1193" w:type="dxa"/>
            <w:vAlign w:val="center"/>
          </w:tcPr>
          <w:p w:rsidR="00C223F5" w:rsidRPr="00925B84" w:rsidRDefault="005860D5">
            <w:pPr>
              <w:spacing w:line="360" w:lineRule="exact"/>
              <w:contextualSpacing/>
              <w:jc w:val="center"/>
              <w:rPr>
                <w:szCs w:val="21"/>
              </w:rPr>
            </w:pPr>
            <w:r w:rsidRPr="00925B84">
              <w:rPr>
                <w:rFonts w:hint="eastAsia"/>
                <w:szCs w:val="21"/>
              </w:rPr>
              <w:t>生产系统</w:t>
            </w:r>
          </w:p>
        </w:tc>
        <w:tc>
          <w:tcPr>
            <w:tcW w:w="1368" w:type="dxa"/>
            <w:vAlign w:val="center"/>
          </w:tcPr>
          <w:p w:rsidR="00C223F5" w:rsidRPr="00925B84" w:rsidRDefault="005860D5">
            <w:pPr>
              <w:spacing w:line="360" w:lineRule="exact"/>
              <w:contextualSpacing/>
              <w:jc w:val="center"/>
              <w:rPr>
                <w:szCs w:val="21"/>
              </w:rPr>
            </w:pPr>
            <w:r w:rsidRPr="00925B84">
              <w:rPr>
                <w:szCs w:val="21"/>
              </w:rPr>
              <w:t>煤尘</w:t>
            </w:r>
          </w:p>
        </w:tc>
        <w:tc>
          <w:tcPr>
            <w:tcW w:w="934" w:type="dxa"/>
            <w:vAlign w:val="center"/>
          </w:tcPr>
          <w:p w:rsidR="00C223F5" w:rsidRPr="00925B84" w:rsidRDefault="005860D5">
            <w:pPr>
              <w:spacing w:line="360" w:lineRule="exact"/>
              <w:contextualSpacing/>
              <w:jc w:val="center"/>
              <w:rPr>
                <w:szCs w:val="21"/>
              </w:rPr>
            </w:pPr>
            <w:r w:rsidRPr="00925B84">
              <w:rPr>
                <w:rFonts w:hint="eastAsia"/>
                <w:szCs w:val="21"/>
              </w:rPr>
              <w:t>6</w:t>
            </w:r>
          </w:p>
        </w:tc>
        <w:tc>
          <w:tcPr>
            <w:tcW w:w="1227" w:type="dxa"/>
            <w:vAlign w:val="center"/>
          </w:tcPr>
          <w:p w:rsidR="00C223F5" w:rsidRPr="00925B84" w:rsidRDefault="005860D5">
            <w:pPr>
              <w:spacing w:line="360" w:lineRule="exact"/>
              <w:contextualSpacing/>
              <w:jc w:val="center"/>
              <w:rPr>
                <w:szCs w:val="21"/>
              </w:rPr>
            </w:pPr>
            <w:r w:rsidRPr="00925B84">
              <w:rPr>
                <w:rFonts w:hint="eastAsia"/>
                <w:szCs w:val="21"/>
              </w:rPr>
              <w:t>0.792</w:t>
            </w:r>
          </w:p>
        </w:tc>
        <w:tc>
          <w:tcPr>
            <w:tcW w:w="1245"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85" w:type="dxa"/>
            <w:vAlign w:val="center"/>
          </w:tcPr>
          <w:p w:rsidR="00C223F5" w:rsidRPr="00925B84" w:rsidRDefault="005860D5">
            <w:pPr>
              <w:spacing w:line="360" w:lineRule="exact"/>
              <w:contextualSpacing/>
              <w:jc w:val="center"/>
              <w:rPr>
                <w:szCs w:val="21"/>
              </w:rPr>
            </w:pPr>
            <w:r w:rsidRPr="00925B84">
              <w:rPr>
                <w:rFonts w:hint="eastAsia"/>
                <w:szCs w:val="21"/>
              </w:rPr>
              <w:t>0.729</w:t>
            </w:r>
          </w:p>
        </w:tc>
        <w:tc>
          <w:tcPr>
            <w:tcW w:w="1051" w:type="dxa"/>
            <w:vAlign w:val="center"/>
          </w:tcPr>
          <w:p w:rsidR="00C223F5" w:rsidRPr="00925B84" w:rsidRDefault="005860D5">
            <w:pPr>
              <w:spacing w:line="360" w:lineRule="exact"/>
              <w:contextualSpacing/>
              <w:jc w:val="center"/>
              <w:rPr>
                <w:szCs w:val="21"/>
              </w:rPr>
            </w:pPr>
            <w:r w:rsidRPr="00925B84">
              <w:rPr>
                <w:rFonts w:hint="eastAsia"/>
                <w:szCs w:val="21"/>
              </w:rPr>
              <w:t>0.063</w:t>
            </w:r>
          </w:p>
        </w:tc>
        <w:tc>
          <w:tcPr>
            <w:tcW w:w="959" w:type="dxa"/>
            <w:vAlign w:val="center"/>
          </w:tcPr>
          <w:p w:rsidR="00C223F5" w:rsidRPr="00925B84" w:rsidRDefault="005860D5">
            <w:pPr>
              <w:spacing w:line="360" w:lineRule="exact"/>
              <w:contextualSpacing/>
              <w:jc w:val="center"/>
              <w:rPr>
                <w:szCs w:val="21"/>
              </w:rPr>
            </w:pPr>
            <w:r w:rsidRPr="00925B84">
              <w:rPr>
                <w:rFonts w:hint="eastAsia"/>
                <w:szCs w:val="21"/>
              </w:rPr>
              <w:t>-5.937</w:t>
            </w:r>
          </w:p>
        </w:tc>
      </w:tr>
      <w:tr w:rsidR="00C223F5" w:rsidRPr="00925B84">
        <w:trPr>
          <w:trHeight w:val="70"/>
          <w:jc w:val="center"/>
        </w:trPr>
        <w:tc>
          <w:tcPr>
            <w:tcW w:w="1193" w:type="dxa"/>
            <w:vMerge w:val="restart"/>
            <w:vAlign w:val="center"/>
          </w:tcPr>
          <w:p w:rsidR="00C223F5" w:rsidRPr="00925B84" w:rsidRDefault="005860D5">
            <w:pPr>
              <w:spacing w:line="360" w:lineRule="exact"/>
              <w:contextualSpacing/>
              <w:jc w:val="center"/>
              <w:rPr>
                <w:szCs w:val="21"/>
              </w:rPr>
            </w:pPr>
            <w:r w:rsidRPr="00925B84">
              <w:rPr>
                <w:szCs w:val="21"/>
              </w:rPr>
              <w:t>固体废弃物</w:t>
            </w:r>
          </w:p>
        </w:tc>
        <w:tc>
          <w:tcPr>
            <w:tcW w:w="1368" w:type="dxa"/>
            <w:vAlign w:val="center"/>
          </w:tcPr>
          <w:p w:rsidR="00C223F5" w:rsidRPr="00925B84" w:rsidRDefault="005860D5">
            <w:pPr>
              <w:spacing w:line="360" w:lineRule="exact"/>
              <w:contextualSpacing/>
              <w:jc w:val="center"/>
              <w:rPr>
                <w:szCs w:val="21"/>
              </w:rPr>
            </w:pPr>
            <w:r w:rsidRPr="00925B84">
              <w:rPr>
                <w:rFonts w:hint="eastAsia"/>
                <w:szCs w:val="21"/>
              </w:rPr>
              <w:t>掘进矸石</w:t>
            </w:r>
          </w:p>
        </w:tc>
        <w:tc>
          <w:tcPr>
            <w:tcW w:w="934" w:type="dxa"/>
            <w:vMerge w:val="restart"/>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27" w:type="dxa"/>
            <w:vMerge w:val="restart"/>
            <w:vAlign w:val="center"/>
          </w:tcPr>
          <w:p w:rsidR="00C223F5" w:rsidRPr="00135798" w:rsidRDefault="005860D5">
            <w:pPr>
              <w:spacing w:line="360" w:lineRule="exact"/>
              <w:contextualSpacing/>
              <w:jc w:val="center"/>
              <w:rPr>
                <w:color w:val="FF0000"/>
                <w:szCs w:val="21"/>
              </w:rPr>
            </w:pPr>
            <w:r w:rsidRPr="00135798">
              <w:rPr>
                <w:rFonts w:hint="eastAsia"/>
                <w:color w:val="FF0000"/>
                <w:kern w:val="0"/>
                <w:szCs w:val="21"/>
              </w:rPr>
              <w:t>24.7</w:t>
            </w:r>
            <w:r w:rsidRPr="00135798">
              <w:rPr>
                <w:rFonts w:hint="eastAsia"/>
                <w:color w:val="FF0000"/>
                <w:kern w:val="0"/>
                <w:szCs w:val="21"/>
              </w:rPr>
              <w:t>×</w:t>
            </w:r>
            <w:r w:rsidRPr="00135798">
              <w:rPr>
                <w:rFonts w:hint="eastAsia"/>
                <w:color w:val="FF0000"/>
                <w:kern w:val="0"/>
                <w:szCs w:val="21"/>
              </w:rPr>
              <w:t>10</w:t>
            </w:r>
            <w:r w:rsidRPr="00135798">
              <w:rPr>
                <w:rFonts w:hint="eastAsia"/>
                <w:color w:val="FF0000"/>
                <w:kern w:val="0"/>
                <w:szCs w:val="21"/>
                <w:vertAlign w:val="superscript"/>
              </w:rPr>
              <w:t>4</w:t>
            </w:r>
          </w:p>
        </w:tc>
        <w:tc>
          <w:tcPr>
            <w:tcW w:w="1245" w:type="dxa"/>
            <w:vMerge w:val="restart"/>
            <w:vAlign w:val="center"/>
          </w:tcPr>
          <w:p w:rsidR="00C223F5" w:rsidRPr="00135798" w:rsidRDefault="005860D5">
            <w:pPr>
              <w:spacing w:line="360" w:lineRule="exact"/>
              <w:contextualSpacing/>
              <w:jc w:val="center"/>
              <w:rPr>
                <w:color w:val="FF0000"/>
                <w:szCs w:val="21"/>
              </w:rPr>
            </w:pPr>
            <w:r w:rsidRPr="00135798">
              <w:rPr>
                <w:rFonts w:hint="eastAsia"/>
                <w:color w:val="FF0000"/>
                <w:kern w:val="0"/>
                <w:szCs w:val="21"/>
              </w:rPr>
              <w:t>24.7</w:t>
            </w:r>
            <w:r w:rsidRPr="00135798">
              <w:rPr>
                <w:rFonts w:hint="eastAsia"/>
                <w:color w:val="FF0000"/>
                <w:kern w:val="0"/>
                <w:szCs w:val="21"/>
              </w:rPr>
              <w:t>×</w:t>
            </w:r>
            <w:r w:rsidRPr="00135798">
              <w:rPr>
                <w:rFonts w:hint="eastAsia"/>
                <w:color w:val="FF0000"/>
                <w:kern w:val="0"/>
                <w:szCs w:val="21"/>
              </w:rPr>
              <w:t>10</w:t>
            </w:r>
            <w:r w:rsidRPr="00135798">
              <w:rPr>
                <w:rFonts w:hint="eastAsia"/>
                <w:color w:val="FF0000"/>
                <w:kern w:val="0"/>
                <w:szCs w:val="21"/>
                <w:vertAlign w:val="superscript"/>
              </w:rPr>
              <w:t>4</w:t>
            </w:r>
          </w:p>
        </w:tc>
        <w:tc>
          <w:tcPr>
            <w:tcW w:w="1285" w:type="dxa"/>
            <w:vMerge w:val="restart"/>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051" w:type="dxa"/>
            <w:vMerge w:val="restart"/>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959" w:type="dxa"/>
            <w:vMerge w:val="restart"/>
            <w:vAlign w:val="center"/>
          </w:tcPr>
          <w:p w:rsidR="00C223F5" w:rsidRPr="00925B84" w:rsidRDefault="005860D5">
            <w:pPr>
              <w:spacing w:line="360" w:lineRule="exact"/>
              <w:contextualSpacing/>
              <w:jc w:val="center"/>
              <w:rPr>
                <w:szCs w:val="21"/>
              </w:rPr>
            </w:pPr>
            <w:r w:rsidRPr="00925B84">
              <w:rPr>
                <w:rFonts w:hint="eastAsia"/>
                <w:szCs w:val="21"/>
              </w:rPr>
              <w:t>0</w:t>
            </w:r>
          </w:p>
        </w:tc>
      </w:tr>
      <w:tr w:rsidR="00C223F5" w:rsidRPr="00925B84">
        <w:trPr>
          <w:trHeight w:val="70"/>
          <w:jc w:val="center"/>
        </w:trPr>
        <w:tc>
          <w:tcPr>
            <w:tcW w:w="1193" w:type="dxa"/>
            <w:vMerge/>
            <w:vAlign w:val="center"/>
          </w:tcPr>
          <w:p w:rsidR="00C223F5" w:rsidRPr="00925B84" w:rsidRDefault="00C223F5">
            <w:pPr>
              <w:spacing w:line="360" w:lineRule="exact"/>
              <w:contextualSpacing/>
              <w:jc w:val="center"/>
              <w:rPr>
                <w:szCs w:val="21"/>
              </w:rPr>
            </w:pPr>
          </w:p>
        </w:tc>
        <w:tc>
          <w:tcPr>
            <w:tcW w:w="1368" w:type="dxa"/>
            <w:vAlign w:val="center"/>
          </w:tcPr>
          <w:p w:rsidR="00C223F5" w:rsidRPr="00925B84" w:rsidRDefault="005860D5">
            <w:pPr>
              <w:spacing w:line="360" w:lineRule="exact"/>
              <w:contextualSpacing/>
              <w:jc w:val="center"/>
              <w:rPr>
                <w:szCs w:val="21"/>
              </w:rPr>
            </w:pPr>
            <w:r w:rsidRPr="00925B84">
              <w:rPr>
                <w:rFonts w:hint="eastAsia"/>
                <w:szCs w:val="21"/>
              </w:rPr>
              <w:t>地面选矸</w:t>
            </w:r>
          </w:p>
        </w:tc>
        <w:tc>
          <w:tcPr>
            <w:tcW w:w="934" w:type="dxa"/>
            <w:vMerge/>
            <w:vAlign w:val="center"/>
          </w:tcPr>
          <w:p w:rsidR="00C223F5" w:rsidRPr="00925B84" w:rsidRDefault="00C223F5">
            <w:pPr>
              <w:spacing w:line="360" w:lineRule="exact"/>
              <w:contextualSpacing/>
              <w:jc w:val="center"/>
              <w:rPr>
                <w:szCs w:val="21"/>
              </w:rPr>
            </w:pPr>
          </w:p>
        </w:tc>
        <w:tc>
          <w:tcPr>
            <w:tcW w:w="1227" w:type="dxa"/>
            <w:vMerge/>
            <w:vAlign w:val="center"/>
          </w:tcPr>
          <w:p w:rsidR="00C223F5" w:rsidRPr="00925B84" w:rsidRDefault="00C223F5">
            <w:pPr>
              <w:spacing w:line="360" w:lineRule="exact"/>
              <w:contextualSpacing/>
              <w:jc w:val="center"/>
              <w:rPr>
                <w:szCs w:val="21"/>
              </w:rPr>
            </w:pPr>
          </w:p>
        </w:tc>
        <w:tc>
          <w:tcPr>
            <w:tcW w:w="1245" w:type="dxa"/>
            <w:vMerge/>
            <w:vAlign w:val="center"/>
          </w:tcPr>
          <w:p w:rsidR="00C223F5" w:rsidRPr="00925B84" w:rsidRDefault="00C223F5">
            <w:pPr>
              <w:spacing w:line="360" w:lineRule="exact"/>
              <w:contextualSpacing/>
              <w:jc w:val="center"/>
              <w:rPr>
                <w:szCs w:val="21"/>
              </w:rPr>
            </w:pPr>
          </w:p>
        </w:tc>
        <w:tc>
          <w:tcPr>
            <w:tcW w:w="1285" w:type="dxa"/>
            <w:vMerge/>
            <w:vAlign w:val="center"/>
          </w:tcPr>
          <w:p w:rsidR="00C223F5" w:rsidRPr="00925B84" w:rsidRDefault="00C223F5">
            <w:pPr>
              <w:spacing w:line="360" w:lineRule="exact"/>
              <w:contextualSpacing/>
              <w:jc w:val="center"/>
              <w:rPr>
                <w:szCs w:val="21"/>
              </w:rPr>
            </w:pPr>
          </w:p>
        </w:tc>
        <w:tc>
          <w:tcPr>
            <w:tcW w:w="1051" w:type="dxa"/>
            <w:vMerge/>
            <w:vAlign w:val="center"/>
          </w:tcPr>
          <w:p w:rsidR="00C223F5" w:rsidRPr="00925B84" w:rsidRDefault="00C223F5">
            <w:pPr>
              <w:spacing w:line="360" w:lineRule="exact"/>
              <w:contextualSpacing/>
              <w:jc w:val="center"/>
              <w:rPr>
                <w:szCs w:val="21"/>
              </w:rPr>
            </w:pPr>
          </w:p>
        </w:tc>
        <w:tc>
          <w:tcPr>
            <w:tcW w:w="959" w:type="dxa"/>
            <w:vMerge/>
            <w:vAlign w:val="center"/>
          </w:tcPr>
          <w:p w:rsidR="00C223F5" w:rsidRPr="00925B84" w:rsidRDefault="00C223F5">
            <w:pPr>
              <w:spacing w:line="360" w:lineRule="exact"/>
              <w:contextualSpacing/>
              <w:jc w:val="center"/>
              <w:rPr>
                <w:szCs w:val="21"/>
              </w:rPr>
            </w:pPr>
          </w:p>
        </w:tc>
      </w:tr>
      <w:tr w:rsidR="00D807E3" w:rsidRPr="00925B84">
        <w:trPr>
          <w:trHeight w:val="70"/>
          <w:jc w:val="center"/>
        </w:trPr>
        <w:tc>
          <w:tcPr>
            <w:tcW w:w="1193" w:type="dxa"/>
            <w:vMerge/>
            <w:vAlign w:val="center"/>
          </w:tcPr>
          <w:p w:rsidR="00D807E3" w:rsidRPr="00925B84" w:rsidRDefault="00D807E3" w:rsidP="00D807E3">
            <w:pPr>
              <w:spacing w:line="360" w:lineRule="exact"/>
              <w:contextualSpacing/>
              <w:jc w:val="center"/>
              <w:rPr>
                <w:szCs w:val="21"/>
              </w:rPr>
            </w:pPr>
          </w:p>
        </w:tc>
        <w:tc>
          <w:tcPr>
            <w:tcW w:w="1368" w:type="dxa"/>
            <w:vAlign w:val="center"/>
          </w:tcPr>
          <w:p w:rsidR="00D807E3" w:rsidRPr="00925B84" w:rsidRDefault="00D807E3" w:rsidP="00D807E3">
            <w:pPr>
              <w:spacing w:line="360" w:lineRule="exact"/>
              <w:contextualSpacing/>
              <w:jc w:val="center"/>
              <w:rPr>
                <w:szCs w:val="21"/>
              </w:rPr>
            </w:pPr>
            <w:r w:rsidRPr="00925B84">
              <w:rPr>
                <w:rFonts w:hint="eastAsia"/>
                <w:szCs w:val="21"/>
              </w:rPr>
              <w:t>锅炉炉渣</w:t>
            </w:r>
          </w:p>
        </w:tc>
        <w:tc>
          <w:tcPr>
            <w:tcW w:w="934" w:type="dxa"/>
            <w:vAlign w:val="center"/>
          </w:tcPr>
          <w:p w:rsidR="00D807E3" w:rsidRPr="00925B84" w:rsidRDefault="00D807E3" w:rsidP="00D807E3">
            <w:pPr>
              <w:spacing w:line="360" w:lineRule="exact"/>
              <w:contextualSpacing/>
              <w:jc w:val="center"/>
              <w:rPr>
                <w:szCs w:val="21"/>
              </w:rPr>
            </w:pPr>
            <w:r w:rsidRPr="00925B84">
              <w:rPr>
                <w:rFonts w:hint="eastAsia"/>
                <w:szCs w:val="21"/>
              </w:rPr>
              <w:t>0</w:t>
            </w:r>
          </w:p>
        </w:tc>
        <w:tc>
          <w:tcPr>
            <w:tcW w:w="1227"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1245"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1285"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1051" w:type="dxa"/>
            <w:vAlign w:val="center"/>
          </w:tcPr>
          <w:p w:rsidR="00D807E3" w:rsidRPr="006E293D" w:rsidRDefault="00D807E3" w:rsidP="00D807E3">
            <w:pPr>
              <w:spacing w:line="360" w:lineRule="exact"/>
              <w:contextualSpacing/>
              <w:jc w:val="center"/>
              <w:rPr>
                <w:color w:val="FF0000"/>
                <w:szCs w:val="21"/>
              </w:rPr>
            </w:pPr>
            <w:r>
              <w:rPr>
                <w:rFonts w:hint="eastAsia"/>
                <w:color w:val="FF0000"/>
                <w:szCs w:val="21"/>
              </w:rPr>
              <w:t>-</w:t>
            </w:r>
          </w:p>
        </w:tc>
        <w:tc>
          <w:tcPr>
            <w:tcW w:w="959" w:type="dxa"/>
            <w:vAlign w:val="center"/>
          </w:tcPr>
          <w:p w:rsidR="00D807E3" w:rsidRPr="006E293D" w:rsidRDefault="00D807E3" w:rsidP="00D807E3">
            <w:pPr>
              <w:spacing w:line="360" w:lineRule="exact"/>
              <w:contextualSpacing/>
              <w:jc w:val="center"/>
              <w:rPr>
                <w:color w:val="FF0000"/>
                <w:szCs w:val="21"/>
              </w:rPr>
            </w:pPr>
            <w:r w:rsidRPr="006E293D">
              <w:rPr>
                <w:color w:val="FF0000"/>
                <w:szCs w:val="21"/>
              </w:rPr>
              <w:t>0</w:t>
            </w:r>
          </w:p>
        </w:tc>
      </w:tr>
      <w:tr w:rsidR="00C223F5" w:rsidRPr="00925B84">
        <w:trPr>
          <w:trHeight w:val="70"/>
          <w:jc w:val="center"/>
        </w:trPr>
        <w:tc>
          <w:tcPr>
            <w:tcW w:w="1193" w:type="dxa"/>
            <w:vMerge/>
            <w:vAlign w:val="center"/>
          </w:tcPr>
          <w:p w:rsidR="00C223F5" w:rsidRPr="00925B84" w:rsidRDefault="00C223F5">
            <w:pPr>
              <w:spacing w:line="360" w:lineRule="exact"/>
              <w:contextualSpacing/>
              <w:jc w:val="center"/>
              <w:rPr>
                <w:szCs w:val="21"/>
              </w:rPr>
            </w:pPr>
          </w:p>
        </w:tc>
        <w:tc>
          <w:tcPr>
            <w:tcW w:w="1368" w:type="dxa"/>
            <w:vAlign w:val="center"/>
          </w:tcPr>
          <w:p w:rsidR="00C223F5" w:rsidRPr="00925B84" w:rsidRDefault="005860D5">
            <w:pPr>
              <w:spacing w:line="360" w:lineRule="exact"/>
              <w:contextualSpacing/>
              <w:jc w:val="center"/>
              <w:rPr>
                <w:szCs w:val="21"/>
              </w:rPr>
            </w:pPr>
            <w:r w:rsidRPr="00925B84">
              <w:rPr>
                <w:szCs w:val="21"/>
              </w:rPr>
              <w:t>生活垃圾</w:t>
            </w:r>
          </w:p>
        </w:tc>
        <w:tc>
          <w:tcPr>
            <w:tcW w:w="934"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27" w:type="dxa"/>
            <w:vAlign w:val="center"/>
          </w:tcPr>
          <w:p w:rsidR="00C223F5" w:rsidRPr="00925B84" w:rsidRDefault="005860D5">
            <w:pPr>
              <w:spacing w:line="360" w:lineRule="exact"/>
              <w:contextualSpacing/>
              <w:jc w:val="center"/>
              <w:rPr>
                <w:szCs w:val="21"/>
              </w:rPr>
            </w:pPr>
            <w:r w:rsidRPr="00925B84">
              <w:rPr>
                <w:rFonts w:hint="eastAsia"/>
                <w:szCs w:val="21"/>
              </w:rPr>
              <w:t>149</w:t>
            </w:r>
          </w:p>
        </w:tc>
        <w:tc>
          <w:tcPr>
            <w:tcW w:w="1245"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85" w:type="dxa"/>
            <w:vAlign w:val="center"/>
          </w:tcPr>
          <w:p w:rsidR="00C223F5" w:rsidRPr="00925B84" w:rsidRDefault="005860D5">
            <w:pPr>
              <w:spacing w:line="360" w:lineRule="exact"/>
              <w:contextualSpacing/>
              <w:jc w:val="center"/>
              <w:rPr>
                <w:szCs w:val="21"/>
              </w:rPr>
            </w:pPr>
            <w:r w:rsidRPr="00925B84">
              <w:rPr>
                <w:rFonts w:hint="eastAsia"/>
                <w:szCs w:val="21"/>
              </w:rPr>
              <w:t>149</w:t>
            </w:r>
          </w:p>
        </w:tc>
        <w:tc>
          <w:tcPr>
            <w:tcW w:w="1051"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959" w:type="dxa"/>
            <w:vAlign w:val="center"/>
          </w:tcPr>
          <w:p w:rsidR="00C223F5" w:rsidRPr="00925B84" w:rsidRDefault="005860D5">
            <w:pPr>
              <w:spacing w:line="360" w:lineRule="exact"/>
              <w:contextualSpacing/>
              <w:jc w:val="center"/>
              <w:rPr>
                <w:szCs w:val="21"/>
              </w:rPr>
            </w:pPr>
            <w:r w:rsidRPr="00925B84">
              <w:rPr>
                <w:rFonts w:hint="eastAsia"/>
                <w:szCs w:val="21"/>
              </w:rPr>
              <w:t>0</w:t>
            </w:r>
          </w:p>
        </w:tc>
      </w:tr>
      <w:tr w:rsidR="00C223F5" w:rsidRPr="00925B84">
        <w:trPr>
          <w:trHeight w:val="70"/>
          <w:jc w:val="center"/>
        </w:trPr>
        <w:tc>
          <w:tcPr>
            <w:tcW w:w="1193" w:type="dxa"/>
            <w:vMerge/>
            <w:vAlign w:val="center"/>
          </w:tcPr>
          <w:p w:rsidR="00C223F5" w:rsidRPr="00925B84" w:rsidRDefault="00C223F5">
            <w:pPr>
              <w:spacing w:line="360" w:lineRule="exact"/>
              <w:contextualSpacing/>
              <w:jc w:val="center"/>
              <w:rPr>
                <w:szCs w:val="21"/>
              </w:rPr>
            </w:pPr>
          </w:p>
        </w:tc>
        <w:tc>
          <w:tcPr>
            <w:tcW w:w="1368" w:type="dxa"/>
            <w:vAlign w:val="center"/>
          </w:tcPr>
          <w:p w:rsidR="00C223F5" w:rsidRPr="00925B84" w:rsidRDefault="005860D5">
            <w:pPr>
              <w:spacing w:line="360" w:lineRule="exact"/>
              <w:contextualSpacing/>
              <w:jc w:val="center"/>
              <w:rPr>
                <w:szCs w:val="21"/>
              </w:rPr>
            </w:pPr>
            <w:r w:rsidRPr="00925B84">
              <w:rPr>
                <w:rFonts w:hint="eastAsia"/>
                <w:szCs w:val="21"/>
              </w:rPr>
              <w:t>污泥</w:t>
            </w:r>
          </w:p>
        </w:tc>
        <w:tc>
          <w:tcPr>
            <w:tcW w:w="934"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27" w:type="dxa"/>
            <w:vAlign w:val="center"/>
          </w:tcPr>
          <w:p w:rsidR="00C223F5" w:rsidRPr="00925B84" w:rsidRDefault="005860D5">
            <w:pPr>
              <w:spacing w:line="360" w:lineRule="exact"/>
              <w:jc w:val="center"/>
              <w:rPr>
                <w:szCs w:val="21"/>
              </w:rPr>
            </w:pPr>
            <w:r w:rsidRPr="00925B84">
              <w:rPr>
                <w:rFonts w:hint="eastAsia"/>
                <w:szCs w:val="21"/>
              </w:rPr>
              <w:t>5.28</w:t>
            </w:r>
          </w:p>
        </w:tc>
        <w:tc>
          <w:tcPr>
            <w:tcW w:w="1245"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85" w:type="dxa"/>
            <w:vAlign w:val="center"/>
          </w:tcPr>
          <w:p w:rsidR="00C223F5" w:rsidRPr="00925B84" w:rsidRDefault="005860D5">
            <w:pPr>
              <w:spacing w:line="360" w:lineRule="exact"/>
              <w:jc w:val="center"/>
              <w:rPr>
                <w:szCs w:val="21"/>
              </w:rPr>
            </w:pPr>
            <w:r w:rsidRPr="00925B84">
              <w:rPr>
                <w:rFonts w:hint="eastAsia"/>
                <w:szCs w:val="21"/>
              </w:rPr>
              <w:t>5.28</w:t>
            </w:r>
          </w:p>
        </w:tc>
        <w:tc>
          <w:tcPr>
            <w:tcW w:w="1051"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959" w:type="dxa"/>
            <w:vAlign w:val="center"/>
          </w:tcPr>
          <w:p w:rsidR="00C223F5" w:rsidRPr="00925B84" w:rsidRDefault="005860D5">
            <w:pPr>
              <w:spacing w:line="360" w:lineRule="exact"/>
              <w:contextualSpacing/>
              <w:jc w:val="center"/>
              <w:rPr>
                <w:szCs w:val="21"/>
              </w:rPr>
            </w:pPr>
            <w:r w:rsidRPr="00925B84">
              <w:rPr>
                <w:rFonts w:hint="eastAsia"/>
                <w:szCs w:val="21"/>
              </w:rPr>
              <w:t>0</w:t>
            </w:r>
          </w:p>
        </w:tc>
      </w:tr>
      <w:tr w:rsidR="00C223F5" w:rsidRPr="00925B84">
        <w:trPr>
          <w:trHeight w:val="70"/>
          <w:jc w:val="center"/>
        </w:trPr>
        <w:tc>
          <w:tcPr>
            <w:tcW w:w="1193" w:type="dxa"/>
            <w:vMerge/>
            <w:vAlign w:val="center"/>
          </w:tcPr>
          <w:p w:rsidR="00C223F5" w:rsidRPr="00925B84" w:rsidRDefault="00C223F5">
            <w:pPr>
              <w:spacing w:line="360" w:lineRule="exact"/>
              <w:contextualSpacing/>
              <w:jc w:val="center"/>
              <w:rPr>
                <w:szCs w:val="21"/>
              </w:rPr>
            </w:pPr>
          </w:p>
        </w:tc>
        <w:tc>
          <w:tcPr>
            <w:tcW w:w="1368" w:type="dxa"/>
            <w:vAlign w:val="center"/>
          </w:tcPr>
          <w:p w:rsidR="00C223F5" w:rsidRPr="00925B84" w:rsidRDefault="005860D5">
            <w:pPr>
              <w:spacing w:line="360" w:lineRule="exact"/>
              <w:contextualSpacing/>
              <w:jc w:val="center"/>
              <w:rPr>
                <w:szCs w:val="21"/>
              </w:rPr>
            </w:pPr>
            <w:r w:rsidRPr="00925B84">
              <w:rPr>
                <w:rFonts w:hint="eastAsia"/>
                <w:szCs w:val="21"/>
              </w:rPr>
              <w:t>煤泥</w:t>
            </w:r>
          </w:p>
        </w:tc>
        <w:tc>
          <w:tcPr>
            <w:tcW w:w="934"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27" w:type="dxa"/>
            <w:vAlign w:val="center"/>
          </w:tcPr>
          <w:p w:rsidR="00C223F5" w:rsidRPr="00925B84" w:rsidRDefault="005860D5">
            <w:pPr>
              <w:spacing w:line="360" w:lineRule="exact"/>
              <w:jc w:val="center"/>
              <w:rPr>
                <w:rFonts w:eastAsia="新宋体"/>
                <w:szCs w:val="21"/>
              </w:rPr>
            </w:pPr>
            <w:r w:rsidRPr="00925B84">
              <w:rPr>
                <w:rFonts w:eastAsia="新宋体" w:hint="eastAsia"/>
                <w:szCs w:val="21"/>
              </w:rPr>
              <w:t>34</w:t>
            </w:r>
          </w:p>
        </w:tc>
        <w:tc>
          <w:tcPr>
            <w:tcW w:w="1245" w:type="dxa"/>
            <w:vAlign w:val="center"/>
          </w:tcPr>
          <w:p w:rsidR="00C223F5" w:rsidRPr="00925B84" w:rsidRDefault="005860D5">
            <w:pPr>
              <w:spacing w:line="360" w:lineRule="exact"/>
              <w:contextualSpacing/>
              <w:jc w:val="center"/>
              <w:rPr>
                <w:szCs w:val="21"/>
              </w:rPr>
            </w:pPr>
            <w:r w:rsidRPr="00925B84">
              <w:rPr>
                <w:rFonts w:eastAsia="新宋体" w:hint="eastAsia"/>
                <w:szCs w:val="21"/>
              </w:rPr>
              <w:t>34</w:t>
            </w:r>
          </w:p>
        </w:tc>
        <w:tc>
          <w:tcPr>
            <w:tcW w:w="1285"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051"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959" w:type="dxa"/>
            <w:vAlign w:val="center"/>
          </w:tcPr>
          <w:p w:rsidR="00C223F5" w:rsidRPr="00925B84" w:rsidRDefault="005860D5">
            <w:pPr>
              <w:spacing w:line="360" w:lineRule="exact"/>
              <w:contextualSpacing/>
              <w:jc w:val="center"/>
              <w:rPr>
                <w:szCs w:val="21"/>
              </w:rPr>
            </w:pPr>
            <w:r w:rsidRPr="00925B84">
              <w:rPr>
                <w:rFonts w:hint="eastAsia"/>
                <w:szCs w:val="21"/>
              </w:rPr>
              <w:t>0</w:t>
            </w:r>
          </w:p>
        </w:tc>
      </w:tr>
      <w:tr w:rsidR="00C223F5" w:rsidRPr="00925B84">
        <w:trPr>
          <w:trHeight w:val="70"/>
          <w:jc w:val="center"/>
        </w:trPr>
        <w:tc>
          <w:tcPr>
            <w:tcW w:w="1193" w:type="dxa"/>
            <w:vMerge/>
            <w:vAlign w:val="center"/>
          </w:tcPr>
          <w:p w:rsidR="00C223F5" w:rsidRPr="00925B84" w:rsidRDefault="00C223F5">
            <w:pPr>
              <w:spacing w:line="360" w:lineRule="exact"/>
              <w:contextualSpacing/>
              <w:jc w:val="center"/>
              <w:rPr>
                <w:szCs w:val="21"/>
              </w:rPr>
            </w:pPr>
          </w:p>
        </w:tc>
        <w:tc>
          <w:tcPr>
            <w:tcW w:w="1368" w:type="dxa"/>
            <w:vAlign w:val="center"/>
          </w:tcPr>
          <w:p w:rsidR="00C223F5" w:rsidRPr="00925B84" w:rsidRDefault="005860D5">
            <w:pPr>
              <w:spacing w:line="360" w:lineRule="exact"/>
              <w:contextualSpacing/>
              <w:jc w:val="center"/>
              <w:rPr>
                <w:szCs w:val="21"/>
              </w:rPr>
            </w:pPr>
            <w:r w:rsidRPr="00925B84">
              <w:rPr>
                <w:rFonts w:eastAsiaTheme="minorEastAsia" w:hAnsiTheme="minorEastAsia"/>
                <w:szCs w:val="21"/>
              </w:rPr>
              <w:t>废机油等</w:t>
            </w:r>
          </w:p>
        </w:tc>
        <w:tc>
          <w:tcPr>
            <w:tcW w:w="934"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1227" w:type="dxa"/>
            <w:vAlign w:val="center"/>
          </w:tcPr>
          <w:p w:rsidR="00C223F5" w:rsidRPr="00925B84" w:rsidRDefault="005860D5">
            <w:pPr>
              <w:spacing w:line="360" w:lineRule="exact"/>
              <w:jc w:val="center"/>
              <w:rPr>
                <w:rFonts w:eastAsia="新宋体"/>
                <w:szCs w:val="21"/>
              </w:rPr>
            </w:pPr>
            <w:r w:rsidRPr="00925B84">
              <w:rPr>
                <w:rFonts w:eastAsia="新宋体" w:hint="eastAsia"/>
                <w:szCs w:val="21"/>
              </w:rPr>
              <w:t>0.3</w:t>
            </w:r>
          </w:p>
        </w:tc>
        <w:tc>
          <w:tcPr>
            <w:tcW w:w="1245" w:type="dxa"/>
            <w:vAlign w:val="center"/>
          </w:tcPr>
          <w:p w:rsidR="00C223F5" w:rsidRPr="00925B84" w:rsidRDefault="005860D5">
            <w:pPr>
              <w:spacing w:line="360" w:lineRule="exact"/>
              <w:contextualSpacing/>
              <w:jc w:val="center"/>
              <w:rPr>
                <w:rFonts w:eastAsia="新宋体"/>
                <w:szCs w:val="21"/>
              </w:rPr>
            </w:pPr>
            <w:r w:rsidRPr="00925B84">
              <w:rPr>
                <w:rFonts w:eastAsia="新宋体" w:hint="eastAsia"/>
                <w:szCs w:val="21"/>
              </w:rPr>
              <w:t>0</w:t>
            </w:r>
          </w:p>
        </w:tc>
        <w:tc>
          <w:tcPr>
            <w:tcW w:w="1285" w:type="dxa"/>
            <w:vAlign w:val="center"/>
          </w:tcPr>
          <w:p w:rsidR="00C223F5" w:rsidRPr="00925B84" w:rsidRDefault="005860D5">
            <w:pPr>
              <w:spacing w:line="360" w:lineRule="exact"/>
              <w:contextualSpacing/>
              <w:jc w:val="center"/>
              <w:rPr>
                <w:szCs w:val="21"/>
              </w:rPr>
            </w:pPr>
            <w:r w:rsidRPr="00925B84">
              <w:rPr>
                <w:rFonts w:eastAsia="新宋体" w:hint="eastAsia"/>
                <w:szCs w:val="21"/>
              </w:rPr>
              <w:t>0.3</w:t>
            </w:r>
          </w:p>
        </w:tc>
        <w:tc>
          <w:tcPr>
            <w:tcW w:w="1051" w:type="dxa"/>
            <w:vAlign w:val="center"/>
          </w:tcPr>
          <w:p w:rsidR="00C223F5" w:rsidRPr="00925B84" w:rsidRDefault="005860D5">
            <w:pPr>
              <w:spacing w:line="360" w:lineRule="exact"/>
              <w:contextualSpacing/>
              <w:jc w:val="center"/>
              <w:rPr>
                <w:szCs w:val="21"/>
              </w:rPr>
            </w:pPr>
            <w:r w:rsidRPr="00925B84">
              <w:rPr>
                <w:rFonts w:hint="eastAsia"/>
                <w:szCs w:val="21"/>
              </w:rPr>
              <w:t>0</w:t>
            </w:r>
          </w:p>
        </w:tc>
        <w:tc>
          <w:tcPr>
            <w:tcW w:w="959" w:type="dxa"/>
            <w:vAlign w:val="center"/>
          </w:tcPr>
          <w:p w:rsidR="00C223F5" w:rsidRPr="00925B84" w:rsidRDefault="005860D5">
            <w:pPr>
              <w:spacing w:line="360" w:lineRule="exact"/>
              <w:contextualSpacing/>
              <w:jc w:val="center"/>
              <w:rPr>
                <w:szCs w:val="21"/>
              </w:rPr>
            </w:pPr>
            <w:r w:rsidRPr="00925B84">
              <w:rPr>
                <w:rFonts w:hint="eastAsia"/>
                <w:szCs w:val="21"/>
              </w:rPr>
              <w:t>0</w:t>
            </w:r>
          </w:p>
        </w:tc>
      </w:tr>
    </w:tbl>
    <w:p w:rsidR="00C223F5" w:rsidRPr="00925B84" w:rsidRDefault="005860D5">
      <w:pPr>
        <w:jc w:val="left"/>
      </w:pPr>
      <w:r w:rsidRPr="00925B84">
        <w:t>注：表中水量单位为万</w:t>
      </w:r>
      <w:r w:rsidRPr="00925B84">
        <w:t>m</w:t>
      </w:r>
      <w:r w:rsidRPr="00925B84">
        <w:rPr>
          <w:szCs w:val="21"/>
          <w:vertAlign w:val="superscript"/>
        </w:rPr>
        <w:t>3</w:t>
      </w:r>
      <w:r w:rsidRPr="00925B84">
        <w:t>/</w:t>
      </w:r>
      <w:r w:rsidRPr="00925B84">
        <w:rPr>
          <w:rFonts w:hint="eastAsia"/>
        </w:rPr>
        <w:t>a</w:t>
      </w:r>
      <w:r w:rsidRPr="00925B84">
        <w:t>，其它均为</w:t>
      </w:r>
      <w:r w:rsidRPr="00925B84">
        <w:t>t/a</w:t>
      </w:r>
      <w:r w:rsidRPr="00925B84">
        <w:rPr>
          <w:rFonts w:hint="eastAsia"/>
        </w:rPr>
        <w:t>。</w:t>
      </w:r>
    </w:p>
    <w:p w:rsidR="00C223F5" w:rsidRDefault="00C223F5">
      <w:pPr>
        <w:ind w:firstLine="482"/>
        <w:jc w:val="center"/>
        <w:rPr>
          <w:b/>
          <w:color w:val="000000"/>
        </w:rPr>
        <w:sectPr w:rsidR="00C223F5">
          <w:pgSz w:w="11907" w:h="16840"/>
          <w:pgMar w:top="1440" w:right="1701" w:bottom="1440" w:left="1701" w:header="851" w:footer="992" w:gutter="0"/>
          <w:cols w:space="425"/>
          <w:docGrid w:linePitch="312"/>
        </w:sectPr>
      </w:pPr>
    </w:p>
    <w:p w:rsidR="00C223F5" w:rsidRDefault="005860D5">
      <w:pPr>
        <w:jc w:val="center"/>
        <w:rPr>
          <w:b/>
          <w:color w:val="000000"/>
          <w:sz w:val="24"/>
        </w:rPr>
      </w:pPr>
      <w:r>
        <w:rPr>
          <w:b/>
          <w:color w:val="000000"/>
          <w:sz w:val="24"/>
        </w:rPr>
        <w:lastRenderedPageBreak/>
        <w:t>表</w:t>
      </w:r>
      <w:r>
        <w:rPr>
          <w:b/>
          <w:color w:val="000000"/>
          <w:sz w:val="24"/>
        </w:rPr>
        <w:t>2.3.</w:t>
      </w:r>
      <w:r>
        <w:rPr>
          <w:rFonts w:hint="eastAsia"/>
          <w:b/>
          <w:color w:val="000000"/>
          <w:sz w:val="24"/>
        </w:rPr>
        <w:t>3</w:t>
      </w:r>
      <w:r>
        <w:rPr>
          <w:b/>
          <w:color w:val="000000"/>
          <w:sz w:val="24"/>
        </w:rPr>
        <w:t xml:space="preserve">-2   </w:t>
      </w:r>
      <w:r>
        <w:rPr>
          <w:b/>
          <w:color w:val="000000"/>
          <w:sz w:val="24"/>
        </w:rPr>
        <w:t>整合前后环保措施</w:t>
      </w:r>
      <w:r>
        <w:rPr>
          <w:rFonts w:hint="eastAsia"/>
          <w:b/>
          <w:color w:val="000000"/>
          <w:sz w:val="24"/>
        </w:rPr>
        <w:t>及主要污染物排放情况</w:t>
      </w:r>
      <w:r>
        <w:rPr>
          <w:b/>
          <w:color w:val="000000"/>
          <w:sz w:val="24"/>
        </w:rPr>
        <w:t>对比表</w:t>
      </w:r>
    </w:p>
    <w:tbl>
      <w:tblPr>
        <w:tblW w:w="13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693"/>
        <w:gridCol w:w="4345"/>
        <w:gridCol w:w="1736"/>
        <w:gridCol w:w="5190"/>
        <w:gridCol w:w="1585"/>
      </w:tblGrid>
      <w:tr w:rsidR="00C223F5">
        <w:trPr>
          <w:trHeight w:val="388"/>
          <w:tblHeader/>
          <w:jc w:val="center"/>
        </w:trPr>
        <w:tc>
          <w:tcPr>
            <w:tcW w:w="1051" w:type="dxa"/>
            <w:gridSpan w:val="2"/>
            <w:vMerge w:val="restart"/>
            <w:tcMar>
              <w:left w:w="28" w:type="dxa"/>
              <w:right w:w="28" w:type="dxa"/>
            </w:tcMar>
            <w:vAlign w:val="center"/>
          </w:tcPr>
          <w:p w:rsidR="00C223F5" w:rsidRDefault="005860D5">
            <w:pPr>
              <w:pStyle w:val="affffff7"/>
              <w:rPr>
                <w:sz w:val="21"/>
                <w:szCs w:val="21"/>
              </w:rPr>
            </w:pPr>
            <w:r>
              <w:rPr>
                <w:sz w:val="21"/>
                <w:szCs w:val="21"/>
              </w:rPr>
              <w:t>污染源</w:t>
            </w:r>
          </w:p>
          <w:p w:rsidR="00C223F5" w:rsidRDefault="005860D5">
            <w:pPr>
              <w:pStyle w:val="affffff7"/>
              <w:rPr>
                <w:sz w:val="21"/>
                <w:szCs w:val="21"/>
              </w:rPr>
            </w:pPr>
            <w:r>
              <w:rPr>
                <w:sz w:val="21"/>
                <w:szCs w:val="21"/>
              </w:rPr>
              <w:t>分类</w:t>
            </w:r>
          </w:p>
        </w:tc>
        <w:tc>
          <w:tcPr>
            <w:tcW w:w="6081" w:type="dxa"/>
            <w:gridSpan w:val="2"/>
            <w:tcMar>
              <w:left w:w="28" w:type="dxa"/>
              <w:right w:w="28" w:type="dxa"/>
            </w:tcMar>
            <w:vAlign w:val="center"/>
          </w:tcPr>
          <w:p w:rsidR="00C223F5" w:rsidRDefault="005860D5">
            <w:pPr>
              <w:pStyle w:val="affffff7"/>
              <w:rPr>
                <w:sz w:val="21"/>
                <w:szCs w:val="21"/>
              </w:rPr>
            </w:pPr>
            <w:r>
              <w:rPr>
                <w:rFonts w:hint="eastAsia"/>
                <w:sz w:val="21"/>
                <w:szCs w:val="21"/>
              </w:rPr>
              <w:t>整合前</w:t>
            </w:r>
          </w:p>
        </w:tc>
        <w:tc>
          <w:tcPr>
            <w:tcW w:w="6775" w:type="dxa"/>
            <w:gridSpan w:val="2"/>
            <w:tcMar>
              <w:left w:w="28" w:type="dxa"/>
              <w:right w:w="28" w:type="dxa"/>
            </w:tcMar>
            <w:vAlign w:val="center"/>
          </w:tcPr>
          <w:p w:rsidR="00C223F5" w:rsidRDefault="005860D5">
            <w:pPr>
              <w:pStyle w:val="affffff7"/>
              <w:rPr>
                <w:sz w:val="21"/>
                <w:szCs w:val="21"/>
              </w:rPr>
            </w:pPr>
            <w:r>
              <w:rPr>
                <w:rFonts w:hint="eastAsia"/>
                <w:sz w:val="21"/>
                <w:szCs w:val="21"/>
              </w:rPr>
              <w:t>整合后</w:t>
            </w:r>
          </w:p>
        </w:tc>
      </w:tr>
      <w:tr w:rsidR="00C223F5">
        <w:trPr>
          <w:trHeight w:val="422"/>
          <w:tblHeader/>
          <w:jc w:val="center"/>
        </w:trPr>
        <w:tc>
          <w:tcPr>
            <w:tcW w:w="1051" w:type="dxa"/>
            <w:gridSpan w:val="2"/>
            <w:vMerge/>
            <w:tcMar>
              <w:left w:w="28" w:type="dxa"/>
              <w:right w:w="28" w:type="dxa"/>
            </w:tcMar>
            <w:vAlign w:val="center"/>
          </w:tcPr>
          <w:p w:rsidR="00C223F5" w:rsidRDefault="00C223F5">
            <w:pPr>
              <w:pStyle w:val="affffff7"/>
              <w:rPr>
                <w:sz w:val="21"/>
                <w:szCs w:val="21"/>
              </w:rPr>
            </w:pPr>
          </w:p>
        </w:tc>
        <w:tc>
          <w:tcPr>
            <w:tcW w:w="4345" w:type="dxa"/>
            <w:tcMar>
              <w:left w:w="28" w:type="dxa"/>
              <w:right w:w="28" w:type="dxa"/>
            </w:tcMar>
            <w:vAlign w:val="center"/>
          </w:tcPr>
          <w:p w:rsidR="00C223F5" w:rsidRDefault="005860D5">
            <w:pPr>
              <w:pStyle w:val="affffff7"/>
              <w:rPr>
                <w:sz w:val="21"/>
                <w:szCs w:val="21"/>
              </w:rPr>
            </w:pPr>
            <w:r>
              <w:rPr>
                <w:rFonts w:hint="eastAsia"/>
                <w:sz w:val="21"/>
                <w:szCs w:val="21"/>
              </w:rPr>
              <w:t>治理措施</w:t>
            </w:r>
          </w:p>
        </w:tc>
        <w:tc>
          <w:tcPr>
            <w:tcW w:w="1736" w:type="dxa"/>
            <w:vAlign w:val="center"/>
          </w:tcPr>
          <w:p w:rsidR="00C223F5" w:rsidRDefault="005860D5">
            <w:pPr>
              <w:pStyle w:val="affffff7"/>
              <w:rPr>
                <w:sz w:val="21"/>
                <w:szCs w:val="21"/>
              </w:rPr>
            </w:pPr>
            <w:r>
              <w:rPr>
                <w:rFonts w:hint="eastAsia"/>
                <w:sz w:val="21"/>
                <w:szCs w:val="21"/>
              </w:rPr>
              <w:t>污染物排放量</w:t>
            </w:r>
          </w:p>
        </w:tc>
        <w:tc>
          <w:tcPr>
            <w:tcW w:w="5190" w:type="dxa"/>
            <w:tcMar>
              <w:left w:w="28" w:type="dxa"/>
              <w:right w:w="28" w:type="dxa"/>
            </w:tcMar>
            <w:vAlign w:val="center"/>
          </w:tcPr>
          <w:p w:rsidR="00C223F5" w:rsidRDefault="005860D5">
            <w:pPr>
              <w:pStyle w:val="affffff7"/>
              <w:rPr>
                <w:sz w:val="21"/>
                <w:szCs w:val="21"/>
              </w:rPr>
            </w:pPr>
            <w:r>
              <w:rPr>
                <w:rFonts w:hint="eastAsia"/>
                <w:sz w:val="21"/>
                <w:szCs w:val="21"/>
              </w:rPr>
              <w:t>治理措施</w:t>
            </w:r>
          </w:p>
        </w:tc>
        <w:tc>
          <w:tcPr>
            <w:tcW w:w="1585" w:type="dxa"/>
            <w:vAlign w:val="center"/>
          </w:tcPr>
          <w:p w:rsidR="00C223F5" w:rsidRDefault="005860D5">
            <w:pPr>
              <w:pStyle w:val="affffff7"/>
              <w:rPr>
                <w:sz w:val="21"/>
                <w:szCs w:val="21"/>
              </w:rPr>
            </w:pPr>
            <w:r>
              <w:rPr>
                <w:rFonts w:hint="eastAsia"/>
                <w:sz w:val="21"/>
                <w:szCs w:val="21"/>
              </w:rPr>
              <w:t>污染物排放量</w:t>
            </w:r>
          </w:p>
        </w:tc>
      </w:tr>
      <w:tr w:rsidR="00C223F5">
        <w:trPr>
          <w:trHeight w:val="534"/>
          <w:jc w:val="center"/>
        </w:trPr>
        <w:tc>
          <w:tcPr>
            <w:tcW w:w="358" w:type="dxa"/>
            <w:vMerge w:val="restart"/>
            <w:tcMar>
              <w:left w:w="28" w:type="dxa"/>
              <w:right w:w="28" w:type="dxa"/>
            </w:tcMar>
            <w:vAlign w:val="center"/>
          </w:tcPr>
          <w:p w:rsidR="00C223F5" w:rsidRDefault="005860D5">
            <w:pPr>
              <w:pStyle w:val="affffff7"/>
              <w:rPr>
                <w:sz w:val="21"/>
                <w:szCs w:val="21"/>
              </w:rPr>
            </w:pPr>
            <w:r>
              <w:rPr>
                <w:sz w:val="21"/>
                <w:szCs w:val="21"/>
              </w:rPr>
              <w:t>气</w:t>
            </w:r>
          </w:p>
        </w:tc>
        <w:tc>
          <w:tcPr>
            <w:tcW w:w="693" w:type="dxa"/>
            <w:tcMar>
              <w:left w:w="28" w:type="dxa"/>
              <w:right w:w="28" w:type="dxa"/>
            </w:tcMar>
            <w:vAlign w:val="center"/>
          </w:tcPr>
          <w:p w:rsidR="00C223F5" w:rsidRDefault="005860D5">
            <w:pPr>
              <w:pStyle w:val="affffff7"/>
              <w:rPr>
                <w:sz w:val="21"/>
                <w:szCs w:val="21"/>
              </w:rPr>
            </w:pPr>
            <w:r>
              <w:rPr>
                <w:sz w:val="21"/>
                <w:szCs w:val="21"/>
              </w:rPr>
              <w:t>锅炉</w:t>
            </w:r>
          </w:p>
        </w:tc>
        <w:tc>
          <w:tcPr>
            <w:tcW w:w="4345" w:type="dxa"/>
            <w:tcMar>
              <w:left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NS85-60</w:t>
            </w:r>
            <w:r w:rsidRPr="00925B84">
              <w:rPr>
                <w:rFonts w:hint="eastAsia"/>
                <w:color w:val="auto"/>
                <w:sz w:val="21"/>
                <w:szCs w:val="21"/>
              </w:rPr>
              <w:t>气化节煤环保常压热水锅炉及</w:t>
            </w:r>
            <w:r w:rsidRPr="00925B84">
              <w:rPr>
                <w:rFonts w:hint="eastAsia"/>
                <w:color w:val="auto"/>
                <w:sz w:val="21"/>
                <w:szCs w:val="21"/>
              </w:rPr>
              <w:t>CLHG0.20</w:t>
            </w:r>
            <w:r w:rsidRPr="00925B84">
              <w:rPr>
                <w:rFonts w:hint="eastAsia"/>
                <w:color w:val="auto"/>
                <w:sz w:val="21"/>
                <w:szCs w:val="21"/>
              </w:rPr>
              <w:t>常压热水锅炉产生的废气共同经</w:t>
            </w:r>
            <w:r w:rsidRPr="00925B84">
              <w:rPr>
                <w:rFonts w:hint="eastAsia"/>
                <w:color w:val="auto"/>
                <w:sz w:val="21"/>
                <w:szCs w:val="21"/>
              </w:rPr>
              <w:t>XTD-2TI</w:t>
            </w:r>
            <w:r w:rsidRPr="00925B84">
              <w:rPr>
                <w:rFonts w:hint="eastAsia"/>
                <w:color w:val="auto"/>
                <w:sz w:val="21"/>
                <w:szCs w:val="21"/>
              </w:rPr>
              <w:t>型环保除尘设备、</w:t>
            </w:r>
            <w:r w:rsidRPr="00925B84">
              <w:rPr>
                <w:rFonts w:hint="eastAsia"/>
                <w:color w:val="auto"/>
                <w:sz w:val="21"/>
                <w:szCs w:val="21"/>
              </w:rPr>
              <w:t>XL-4T</w:t>
            </w:r>
            <w:r w:rsidRPr="00925B84">
              <w:rPr>
                <w:rFonts w:hint="eastAsia"/>
                <w:color w:val="auto"/>
                <w:sz w:val="21"/>
                <w:szCs w:val="21"/>
              </w:rPr>
              <w:t>脱硫设备处理后，经由一根高</w:t>
            </w:r>
            <w:r w:rsidRPr="00925B84">
              <w:rPr>
                <w:rFonts w:hint="eastAsia"/>
                <w:color w:val="auto"/>
                <w:sz w:val="21"/>
                <w:szCs w:val="21"/>
              </w:rPr>
              <w:t>22m</w:t>
            </w:r>
            <w:r w:rsidRPr="00925B84">
              <w:rPr>
                <w:rFonts w:hint="eastAsia"/>
                <w:color w:val="auto"/>
                <w:sz w:val="21"/>
                <w:szCs w:val="21"/>
              </w:rPr>
              <w:t>的烟囱排放（共用）；</w:t>
            </w:r>
            <w:r w:rsidRPr="00925B84">
              <w:rPr>
                <w:rFonts w:hint="eastAsia"/>
                <w:color w:val="auto"/>
                <w:sz w:val="21"/>
                <w:szCs w:val="21"/>
              </w:rPr>
              <w:t>RFL-200</w:t>
            </w:r>
            <w:r w:rsidRPr="00925B84">
              <w:rPr>
                <w:rFonts w:hint="eastAsia"/>
                <w:color w:val="auto"/>
                <w:sz w:val="21"/>
                <w:szCs w:val="21"/>
              </w:rPr>
              <w:t>矿用型热风炉废气经多管陶瓷除尘设备、脱硫设备</w:t>
            </w:r>
            <w:r w:rsidRPr="00925B84">
              <w:rPr>
                <w:rFonts w:hint="eastAsia"/>
                <w:color w:val="auto"/>
                <w:sz w:val="21"/>
                <w:szCs w:val="21"/>
              </w:rPr>
              <w:t>-</w:t>
            </w:r>
            <w:r w:rsidRPr="00925B84">
              <w:rPr>
                <w:rFonts w:hint="eastAsia"/>
                <w:color w:val="auto"/>
                <w:sz w:val="21"/>
                <w:szCs w:val="21"/>
              </w:rPr>
              <w:t>玻璃钢脱硫塔处理后，经高</w:t>
            </w:r>
            <w:r w:rsidRPr="00925B84">
              <w:rPr>
                <w:rFonts w:hint="eastAsia"/>
                <w:color w:val="auto"/>
                <w:sz w:val="21"/>
                <w:szCs w:val="21"/>
              </w:rPr>
              <w:t>16m</w:t>
            </w:r>
            <w:r w:rsidRPr="00925B84">
              <w:rPr>
                <w:rFonts w:hint="eastAsia"/>
                <w:color w:val="auto"/>
                <w:sz w:val="21"/>
                <w:szCs w:val="21"/>
              </w:rPr>
              <w:t>烟囱排放</w:t>
            </w:r>
          </w:p>
        </w:tc>
        <w:tc>
          <w:tcPr>
            <w:tcW w:w="1736" w:type="dxa"/>
            <w:vAlign w:val="center"/>
          </w:tcPr>
          <w:p w:rsidR="00C223F5" w:rsidRPr="00925B84" w:rsidRDefault="005860D5">
            <w:pPr>
              <w:pStyle w:val="affffff7"/>
              <w:rPr>
                <w:color w:val="auto"/>
                <w:sz w:val="21"/>
                <w:szCs w:val="21"/>
              </w:rPr>
            </w:pPr>
            <w:r w:rsidRPr="00925B84">
              <w:rPr>
                <w:rFonts w:hint="eastAsia"/>
                <w:color w:val="auto"/>
                <w:sz w:val="21"/>
                <w:szCs w:val="21"/>
              </w:rPr>
              <w:t>锅炉房</w:t>
            </w:r>
            <w:r w:rsidRPr="00925B84">
              <w:rPr>
                <w:color w:val="auto"/>
                <w:sz w:val="21"/>
                <w:szCs w:val="21"/>
              </w:rPr>
              <w:t>：</w:t>
            </w:r>
          </w:p>
          <w:p w:rsidR="00C223F5" w:rsidRPr="00925B84" w:rsidRDefault="005860D5">
            <w:pPr>
              <w:pStyle w:val="affffff7"/>
              <w:rPr>
                <w:color w:val="auto"/>
                <w:sz w:val="21"/>
                <w:szCs w:val="21"/>
              </w:rPr>
            </w:pPr>
            <w:r w:rsidRPr="00925B84">
              <w:rPr>
                <w:rFonts w:hint="eastAsia"/>
                <w:color w:val="auto"/>
                <w:sz w:val="21"/>
                <w:szCs w:val="21"/>
              </w:rPr>
              <w:t>S</w:t>
            </w:r>
            <w:r w:rsidRPr="00925B84">
              <w:rPr>
                <w:color w:val="auto"/>
                <w:sz w:val="21"/>
                <w:szCs w:val="21"/>
              </w:rPr>
              <w:t>O</w:t>
            </w:r>
            <w:r w:rsidRPr="00925B84">
              <w:rPr>
                <w:color w:val="auto"/>
                <w:sz w:val="21"/>
                <w:szCs w:val="21"/>
                <w:vertAlign w:val="subscript"/>
              </w:rPr>
              <w:t>2</w:t>
            </w:r>
            <w:r w:rsidRPr="00925B84">
              <w:rPr>
                <w:rFonts w:hint="eastAsia"/>
                <w:color w:val="auto"/>
                <w:sz w:val="21"/>
                <w:szCs w:val="21"/>
              </w:rPr>
              <w:t>排放量</w:t>
            </w:r>
            <w:r w:rsidRPr="00925B84">
              <w:rPr>
                <w:rFonts w:hint="eastAsia"/>
                <w:color w:val="auto"/>
                <w:sz w:val="21"/>
                <w:szCs w:val="21"/>
              </w:rPr>
              <w:t>2.1</w:t>
            </w:r>
            <w:r w:rsidRPr="00925B84">
              <w:rPr>
                <w:color w:val="auto"/>
                <w:sz w:val="21"/>
                <w:szCs w:val="21"/>
              </w:rPr>
              <w:t>t/a</w:t>
            </w:r>
            <w:r w:rsidRPr="00925B84">
              <w:rPr>
                <w:color w:val="auto"/>
                <w:sz w:val="21"/>
                <w:szCs w:val="21"/>
              </w:rPr>
              <w:t>，烟尘</w:t>
            </w:r>
            <w:r w:rsidRPr="00925B84">
              <w:rPr>
                <w:rFonts w:hint="eastAsia"/>
                <w:color w:val="auto"/>
                <w:sz w:val="21"/>
                <w:szCs w:val="21"/>
              </w:rPr>
              <w:t>排放量</w:t>
            </w:r>
            <w:r w:rsidRPr="00925B84">
              <w:rPr>
                <w:rFonts w:hint="eastAsia"/>
                <w:color w:val="auto"/>
                <w:sz w:val="21"/>
                <w:szCs w:val="21"/>
              </w:rPr>
              <w:t>0.99</w:t>
            </w:r>
            <w:r w:rsidRPr="00925B84">
              <w:rPr>
                <w:color w:val="auto"/>
                <w:sz w:val="21"/>
                <w:szCs w:val="21"/>
              </w:rPr>
              <w:t>t/a</w:t>
            </w:r>
            <w:r w:rsidRPr="00925B84">
              <w:rPr>
                <w:color w:val="auto"/>
                <w:sz w:val="21"/>
                <w:szCs w:val="21"/>
              </w:rPr>
              <w:t>，</w:t>
            </w:r>
          </w:p>
          <w:p w:rsidR="00C223F5" w:rsidRPr="00925B84" w:rsidRDefault="005860D5">
            <w:pPr>
              <w:pStyle w:val="affffff7"/>
              <w:rPr>
                <w:color w:val="auto"/>
                <w:sz w:val="21"/>
                <w:szCs w:val="21"/>
              </w:rPr>
            </w:pPr>
            <w:r w:rsidRPr="00925B84">
              <w:rPr>
                <w:color w:val="auto"/>
                <w:sz w:val="21"/>
                <w:szCs w:val="21"/>
              </w:rPr>
              <w:t>NO</w:t>
            </w:r>
            <w:r w:rsidRPr="00925B84">
              <w:rPr>
                <w:color w:val="auto"/>
                <w:sz w:val="21"/>
                <w:szCs w:val="21"/>
                <w:vertAlign w:val="subscript"/>
              </w:rPr>
              <w:t>X</w:t>
            </w:r>
            <w:r w:rsidRPr="00925B84">
              <w:rPr>
                <w:rFonts w:hint="eastAsia"/>
                <w:color w:val="auto"/>
                <w:sz w:val="21"/>
                <w:szCs w:val="21"/>
              </w:rPr>
              <w:t>排放量</w:t>
            </w:r>
            <w:r w:rsidRPr="00925B84">
              <w:rPr>
                <w:rFonts w:hint="eastAsia"/>
                <w:color w:val="auto"/>
                <w:sz w:val="21"/>
                <w:szCs w:val="21"/>
              </w:rPr>
              <w:t>1.78</w:t>
            </w:r>
            <w:r w:rsidRPr="00925B84">
              <w:rPr>
                <w:color w:val="auto"/>
                <w:sz w:val="21"/>
                <w:szCs w:val="21"/>
              </w:rPr>
              <w:t>t/a</w:t>
            </w:r>
          </w:p>
        </w:tc>
        <w:tc>
          <w:tcPr>
            <w:tcW w:w="5190" w:type="dxa"/>
            <w:tcMar>
              <w:left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建乏风热泵机房，采用乏风热泵机组</w:t>
            </w:r>
            <w:r w:rsidRPr="00925B84">
              <w:rPr>
                <w:rFonts w:hint="eastAsia"/>
                <w:color w:val="auto"/>
                <w:sz w:val="21"/>
                <w:szCs w:val="21"/>
              </w:rPr>
              <w:t>+</w:t>
            </w:r>
            <w:r w:rsidRPr="00925B84">
              <w:rPr>
                <w:rFonts w:hint="eastAsia"/>
                <w:color w:val="auto"/>
                <w:sz w:val="21"/>
                <w:szCs w:val="21"/>
              </w:rPr>
              <w:t>水源热泵机组</w:t>
            </w:r>
            <w:r w:rsidRPr="00925B84">
              <w:rPr>
                <w:rFonts w:hint="eastAsia"/>
                <w:color w:val="auto"/>
                <w:sz w:val="21"/>
                <w:szCs w:val="21"/>
              </w:rPr>
              <w:t>+</w:t>
            </w:r>
            <w:r w:rsidRPr="00925B84">
              <w:rPr>
                <w:rFonts w:hint="eastAsia"/>
                <w:color w:val="auto"/>
                <w:sz w:val="21"/>
                <w:szCs w:val="21"/>
              </w:rPr>
              <w:t>电锅炉供热，不产生燃煤污染物</w:t>
            </w:r>
          </w:p>
        </w:tc>
        <w:tc>
          <w:tcPr>
            <w:tcW w:w="1585" w:type="dxa"/>
            <w:vAlign w:val="center"/>
          </w:tcPr>
          <w:p w:rsidR="00C223F5" w:rsidRPr="00925B84" w:rsidRDefault="005860D5">
            <w:pPr>
              <w:pStyle w:val="affffff7"/>
              <w:rPr>
                <w:color w:val="auto"/>
                <w:sz w:val="21"/>
                <w:szCs w:val="21"/>
              </w:rPr>
            </w:pPr>
            <w:r w:rsidRPr="00925B84">
              <w:rPr>
                <w:rFonts w:hint="eastAsia"/>
                <w:color w:val="auto"/>
                <w:sz w:val="21"/>
                <w:szCs w:val="21"/>
              </w:rPr>
              <w:t>0</w:t>
            </w:r>
          </w:p>
        </w:tc>
      </w:tr>
      <w:tr w:rsidR="00C223F5">
        <w:trPr>
          <w:trHeight w:val="2029"/>
          <w:jc w:val="center"/>
        </w:trPr>
        <w:tc>
          <w:tcPr>
            <w:tcW w:w="358" w:type="dxa"/>
            <w:vMerge/>
            <w:tcMar>
              <w:left w:w="28" w:type="dxa"/>
              <w:right w:w="28" w:type="dxa"/>
            </w:tcMar>
            <w:vAlign w:val="center"/>
          </w:tcPr>
          <w:p w:rsidR="00C223F5" w:rsidRDefault="00C223F5">
            <w:pPr>
              <w:pStyle w:val="affffff7"/>
              <w:rPr>
                <w:sz w:val="21"/>
                <w:szCs w:val="21"/>
              </w:rPr>
            </w:pPr>
          </w:p>
        </w:tc>
        <w:tc>
          <w:tcPr>
            <w:tcW w:w="693" w:type="dxa"/>
            <w:tcMar>
              <w:left w:w="28" w:type="dxa"/>
              <w:right w:w="28" w:type="dxa"/>
            </w:tcMar>
            <w:vAlign w:val="center"/>
          </w:tcPr>
          <w:p w:rsidR="00C223F5" w:rsidRDefault="005860D5">
            <w:pPr>
              <w:pStyle w:val="affffff7"/>
              <w:rPr>
                <w:sz w:val="21"/>
                <w:szCs w:val="21"/>
              </w:rPr>
            </w:pPr>
            <w:r>
              <w:rPr>
                <w:sz w:val="21"/>
                <w:szCs w:val="21"/>
              </w:rPr>
              <w:t>扬尘</w:t>
            </w:r>
          </w:p>
        </w:tc>
        <w:tc>
          <w:tcPr>
            <w:tcW w:w="4345" w:type="dxa"/>
            <w:tcMar>
              <w:left w:w="28" w:type="dxa"/>
              <w:right w:w="28" w:type="dxa"/>
            </w:tcMar>
            <w:vAlign w:val="center"/>
          </w:tcPr>
          <w:p w:rsidR="00C223F5" w:rsidRPr="00925B84" w:rsidRDefault="005860D5">
            <w:pPr>
              <w:pStyle w:val="affffff7"/>
              <w:rPr>
                <w:color w:val="auto"/>
                <w:sz w:val="21"/>
                <w:szCs w:val="21"/>
              </w:rPr>
            </w:pPr>
            <w:r w:rsidRPr="00925B84">
              <w:rPr>
                <w:rFonts w:ascii="宋体" w:hAnsi="宋体" w:cs="宋体" w:hint="eastAsia"/>
                <w:color w:val="auto"/>
                <w:sz w:val="21"/>
                <w:szCs w:val="21"/>
              </w:rPr>
              <w:t>原煤经简单筛分后存于加盖储煤场内，煤场周边设有防风抑尘网，转载点及溜槽设置喷雾洒水降尘</w:t>
            </w:r>
          </w:p>
        </w:tc>
        <w:tc>
          <w:tcPr>
            <w:tcW w:w="1736" w:type="dxa"/>
            <w:vAlign w:val="center"/>
          </w:tcPr>
          <w:p w:rsidR="00C223F5" w:rsidRPr="00925B84" w:rsidRDefault="005860D5">
            <w:pPr>
              <w:pStyle w:val="affffff7"/>
              <w:rPr>
                <w:color w:val="auto"/>
                <w:sz w:val="21"/>
                <w:szCs w:val="21"/>
              </w:rPr>
            </w:pPr>
            <w:r w:rsidRPr="00925B84">
              <w:rPr>
                <w:rFonts w:hint="eastAsia"/>
                <w:color w:val="auto"/>
                <w:sz w:val="21"/>
                <w:szCs w:val="21"/>
              </w:rPr>
              <w:t>煤尘排放量</w:t>
            </w:r>
            <w:r w:rsidRPr="00925B84">
              <w:rPr>
                <w:rFonts w:hint="eastAsia"/>
                <w:color w:val="auto"/>
                <w:sz w:val="21"/>
                <w:szCs w:val="21"/>
              </w:rPr>
              <w:t>6t/a</w:t>
            </w:r>
          </w:p>
        </w:tc>
        <w:tc>
          <w:tcPr>
            <w:tcW w:w="5190" w:type="dxa"/>
            <w:tcMar>
              <w:left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原煤及产品煤、矸石均采用筒仓处置，筛破设备全部设置在主厂房及筛分破碎车间联合建筑内，安装微米级干雾抑尘装置；输煤栈桥封闭，在输煤栈桥内设置喷雾洒水装置；主要产尘点设集尘罩，原煤仓上下转载点、筛分破碎车间振动筛上下转载点、产品仓上下转载点等设干雾喷头；</w:t>
            </w:r>
            <w:r w:rsidRPr="00925B84">
              <w:rPr>
                <w:color w:val="auto"/>
                <w:sz w:val="21"/>
                <w:szCs w:val="21"/>
              </w:rPr>
              <w:t>对运输车辆统一管理，限载限速，加盖蓬布；对厂区附近道路派专人负责，及时维护、清扫、洒水</w:t>
            </w:r>
          </w:p>
        </w:tc>
        <w:tc>
          <w:tcPr>
            <w:tcW w:w="1585" w:type="dxa"/>
            <w:vAlign w:val="center"/>
          </w:tcPr>
          <w:p w:rsidR="00C223F5" w:rsidRPr="00925B84" w:rsidRDefault="005860D5">
            <w:pPr>
              <w:pStyle w:val="affffff7"/>
              <w:rPr>
                <w:color w:val="auto"/>
                <w:sz w:val="21"/>
                <w:szCs w:val="21"/>
              </w:rPr>
            </w:pPr>
            <w:r w:rsidRPr="00925B84">
              <w:rPr>
                <w:rFonts w:hint="eastAsia"/>
                <w:color w:val="auto"/>
                <w:sz w:val="21"/>
                <w:szCs w:val="21"/>
              </w:rPr>
              <w:t>煤尘排放量</w:t>
            </w:r>
            <w:r w:rsidRPr="00925B84">
              <w:rPr>
                <w:rFonts w:hint="eastAsia"/>
                <w:color w:val="auto"/>
                <w:sz w:val="21"/>
                <w:szCs w:val="21"/>
              </w:rPr>
              <w:t>0.063t/a</w:t>
            </w:r>
          </w:p>
        </w:tc>
      </w:tr>
      <w:tr w:rsidR="00C223F5">
        <w:trPr>
          <w:trHeight w:val="1531"/>
          <w:jc w:val="center"/>
        </w:trPr>
        <w:tc>
          <w:tcPr>
            <w:tcW w:w="358" w:type="dxa"/>
            <w:vMerge w:val="restart"/>
            <w:tcMar>
              <w:left w:w="28" w:type="dxa"/>
              <w:right w:w="28" w:type="dxa"/>
            </w:tcMar>
            <w:vAlign w:val="center"/>
          </w:tcPr>
          <w:p w:rsidR="00C223F5" w:rsidRDefault="005860D5">
            <w:pPr>
              <w:pStyle w:val="affffff7"/>
              <w:rPr>
                <w:sz w:val="21"/>
                <w:szCs w:val="21"/>
              </w:rPr>
            </w:pPr>
            <w:r>
              <w:rPr>
                <w:sz w:val="21"/>
                <w:szCs w:val="21"/>
              </w:rPr>
              <w:t>水</w:t>
            </w:r>
          </w:p>
        </w:tc>
        <w:tc>
          <w:tcPr>
            <w:tcW w:w="693" w:type="dxa"/>
            <w:tcMar>
              <w:left w:w="28" w:type="dxa"/>
              <w:right w:w="28" w:type="dxa"/>
            </w:tcMar>
            <w:vAlign w:val="center"/>
          </w:tcPr>
          <w:p w:rsidR="00C223F5" w:rsidRDefault="005860D5">
            <w:pPr>
              <w:pStyle w:val="affffff7"/>
              <w:rPr>
                <w:sz w:val="21"/>
                <w:szCs w:val="21"/>
              </w:rPr>
            </w:pPr>
            <w:r>
              <w:rPr>
                <w:sz w:val="21"/>
                <w:szCs w:val="21"/>
              </w:rPr>
              <w:t>井下</w:t>
            </w:r>
          </w:p>
          <w:p w:rsidR="00C223F5" w:rsidRDefault="005860D5">
            <w:pPr>
              <w:pStyle w:val="affffff7"/>
              <w:rPr>
                <w:sz w:val="21"/>
                <w:szCs w:val="21"/>
              </w:rPr>
            </w:pPr>
            <w:r>
              <w:rPr>
                <w:sz w:val="21"/>
                <w:szCs w:val="21"/>
              </w:rPr>
              <w:t>排水</w:t>
            </w:r>
          </w:p>
        </w:tc>
        <w:tc>
          <w:tcPr>
            <w:tcW w:w="4345" w:type="dxa"/>
            <w:tcMar>
              <w:left w:w="28" w:type="dxa"/>
              <w:right w:w="28" w:type="dxa"/>
            </w:tcMar>
            <w:vAlign w:val="center"/>
          </w:tcPr>
          <w:p w:rsidR="00C223F5" w:rsidRPr="00925B84" w:rsidRDefault="005860D5">
            <w:pPr>
              <w:pStyle w:val="affffff7"/>
              <w:rPr>
                <w:color w:val="auto"/>
                <w:sz w:val="21"/>
                <w:szCs w:val="21"/>
              </w:rPr>
            </w:pPr>
            <w:r w:rsidRPr="00925B84">
              <w:rPr>
                <w:color w:val="auto"/>
                <w:sz w:val="21"/>
                <w:szCs w:val="21"/>
              </w:rPr>
              <w:t>场地内建有</w:t>
            </w:r>
            <w:r w:rsidRPr="00925B84">
              <w:rPr>
                <w:color w:val="auto"/>
                <w:sz w:val="21"/>
                <w:szCs w:val="21"/>
              </w:rPr>
              <w:t>1</w:t>
            </w:r>
            <w:r w:rsidRPr="00925B84">
              <w:rPr>
                <w:color w:val="auto"/>
                <w:sz w:val="21"/>
                <w:szCs w:val="21"/>
              </w:rPr>
              <w:t>套矿井水处理系统，处理能力</w:t>
            </w:r>
            <w:r w:rsidRPr="00925B84">
              <w:rPr>
                <w:rFonts w:hint="eastAsia"/>
                <w:color w:val="auto"/>
                <w:sz w:val="21"/>
                <w:szCs w:val="21"/>
              </w:rPr>
              <w:t>20</w:t>
            </w:r>
            <w:r w:rsidRPr="00925B84">
              <w:rPr>
                <w:color w:val="auto"/>
                <w:sz w:val="21"/>
                <w:szCs w:val="21"/>
              </w:rPr>
              <w:t>00m</w:t>
            </w:r>
            <w:r w:rsidRPr="00925B84">
              <w:rPr>
                <w:color w:val="auto"/>
                <w:sz w:val="21"/>
                <w:szCs w:val="21"/>
                <w:vertAlign w:val="superscript"/>
              </w:rPr>
              <w:t>3</w:t>
            </w:r>
            <w:r w:rsidRPr="00925B84">
              <w:rPr>
                <w:color w:val="auto"/>
                <w:sz w:val="21"/>
                <w:szCs w:val="21"/>
              </w:rPr>
              <w:t>/</w:t>
            </w:r>
            <w:r w:rsidRPr="00925B84">
              <w:rPr>
                <w:rFonts w:hint="eastAsia"/>
                <w:color w:val="auto"/>
                <w:sz w:val="21"/>
                <w:szCs w:val="21"/>
              </w:rPr>
              <w:t>d</w:t>
            </w:r>
            <w:r w:rsidRPr="00925B84">
              <w:rPr>
                <w:color w:val="auto"/>
                <w:sz w:val="21"/>
                <w:szCs w:val="21"/>
              </w:rPr>
              <w:t>，</w:t>
            </w:r>
            <w:r w:rsidRPr="00925B84">
              <w:rPr>
                <w:color w:val="auto"/>
                <w:position w:val="-1"/>
                <w:sz w:val="21"/>
                <w:szCs w:val="21"/>
              </w:rPr>
              <w:t>采用</w:t>
            </w:r>
            <w:r w:rsidRPr="00925B84">
              <w:rPr>
                <w:rFonts w:eastAsiaTheme="minorEastAsia"/>
                <w:color w:val="auto"/>
                <w:sz w:val="21"/>
                <w:szCs w:val="21"/>
              </w:rPr>
              <w:t>混凝沉淀法三级沉淀处理</w:t>
            </w:r>
            <w:r w:rsidRPr="00925B84">
              <w:rPr>
                <w:color w:val="auto"/>
                <w:position w:val="-1"/>
                <w:sz w:val="21"/>
                <w:szCs w:val="21"/>
              </w:rPr>
              <w:t>工艺</w:t>
            </w:r>
            <w:r w:rsidRPr="00925B84">
              <w:rPr>
                <w:rFonts w:hint="eastAsia"/>
                <w:color w:val="auto"/>
                <w:position w:val="-1"/>
                <w:sz w:val="21"/>
                <w:szCs w:val="21"/>
              </w:rPr>
              <w:t>，</w:t>
            </w:r>
            <w:r w:rsidRPr="00925B84">
              <w:rPr>
                <w:color w:val="auto"/>
                <w:sz w:val="21"/>
                <w:szCs w:val="21"/>
              </w:rPr>
              <w:t>处理后矿井水部分回用，其余</w:t>
            </w:r>
            <w:r w:rsidRPr="00925B84">
              <w:rPr>
                <w:rFonts w:hint="eastAsia"/>
                <w:color w:val="auto"/>
                <w:sz w:val="21"/>
                <w:szCs w:val="21"/>
              </w:rPr>
              <w:t>700m</w:t>
            </w:r>
            <w:r w:rsidRPr="00925B84">
              <w:rPr>
                <w:rFonts w:hint="eastAsia"/>
                <w:color w:val="auto"/>
                <w:sz w:val="21"/>
                <w:szCs w:val="21"/>
                <w:vertAlign w:val="superscript"/>
              </w:rPr>
              <w:t>3</w:t>
            </w:r>
            <w:r w:rsidRPr="00925B84">
              <w:rPr>
                <w:rFonts w:hint="eastAsia"/>
                <w:color w:val="auto"/>
                <w:sz w:val="21"/>
                <w:szCs w:val="21"/>
              </w:rPr>
              <w:t>/d</w:t>
            </w:r>
            <w:r w:rsidRPr="00925B84">
              <w:rPr>
                <w:color w:val="auto"/>
                <w:sz w:val="21"/>
                <w:szCs w:val="21"/>
              </w:rPr>
              <w:t>达标排至场地南侧的蚂蚁河，并已取得入河排污口批复（横政水函</w:t>
            </w:r>
            <w:r w:rsidRPr="00925B84">
              <w:rPr>
                <w:color w:val="auto"/>
                <w:sz w:val="21"/>
                <w:szCs w:val="21"/>
              </w:rPr>
              <w:t>[2018]104</w:t>
            </w:r>
            <w:r w:rsidRPr="00925B84">
              <w:rPr>
                <w:color w:val="auto"/>
                <w:sz w:val="21"/>
                <w:szCs w:val="21"/>
              </w:rPr>
              <w:t>号）</w:t>
            </w:r>
          </w:p>
        </w:tc>
        <w:tc>
          <w:tcPr>
            <w:tcW w:w="1736" w:type="dxa"/>
            <w:vMerge w:val="restart"/>
            <w:vAlign w:val="center"/>
          </w:tcPr>
          <w:p w:rsidR="00C223F5" w:rsidRPr="00925B84" w:rsidRDefault="005860D5">
            <w:pPr>
              <w:pStyle w:val="affffff7"/>
              <w:rPr>
                <w:color w:val="auto"/>
                <w:sz w:val="21"/>
                <w:szCs w:val="21"/>
              </w:rPr>
            </w:pPr>
            <w:r w:rsidRPr="00925B84">
              <w:rPr>
                <w:rFonts w:hint="eastAsia"/>
                <w:color w:val="auto"/>
                <w:sz w:val="21"/>
                <w:szCs w:val="21"/>
              </w:rPr>
              <w:t xml:space="preserve">COD </w:t>
            </w:r>
            <w:r w:rsidRPr="00925B84">
              <w:rPr>
                <w:color w:val="auto"/>
                <w:sz w:val="21"/>
                <w:szCs w:val="21"/>
              </w:rPr>
              <w:t>1</w:t>
            </w:r>
            <w:r w:rsidRPr="00925B84">
              <w:rPr>
                <w:rFonts w:hint="eastAsia"/>
                <w:color w:val="auto"/>
                <w:sz w:val="21"/>
                <w:szCs w:val="21"/>
              </w:rPr>
              <w:t>1.2</w:t>
            </w:r>
            <w:r w:rsidRPr="00925B84">
              <w:rPr>
                <w:color w:val="auto"/>
                <w:sz w:val="21"/>
                <w:szCs w:val="21"/>
              </w:rPr>
              <w:t>8</w:t>
            </w:r>
            <w:r w:rsidRPr="00925B84">
              <w:rPr>
                <w:rFonts w:hint="eastAsia"/>
                <w:color w:val="auto"/>
                <w:sz w:val="21"/>
                <w:szCs w:val="21"/>
              </w:rPr>
              <w:t>t/a</w:t>
            </w:r>
            <w:r w:rsidRPr="00925B84">
              <w:rPr>
                <w:rFonts w:hint="eastAsia"/>
                <w:color w:val="auto"/>
                <w:sz w:val="21"/>
                <w:szCs w:val="21"/>
              </w:rPr>
              <w:t>，</w:t>
            </w:r>
          </w:p>
          <w:p w:rsidR="00C223F5" w:rsidRPr="00135798" w:rsidRDefault="005860D5">
            <w:pPr>
              <w:pStyle w:val="affffff7"/>
              <w:rPr>
                <w:color w:val="FF0000"/>
                <w:sz w:val="21"/>
                <w:szCs w:val="21"/>
              </w:rPr>
            </w:pPr>
            <w:r w:rsidRPr="00135798">
              <w:rPr>
                <w:rFonts w:hint="eastAsia"/>
                <w:color w:val="FF0000"/>
                <w:sz w:val="21"/>
                <w:szCs w:val="21"/>
              </w:rPr>
              <w:t>氨氮</w:t>
            </w:r>
            <w:r w:rsidRPr="00135798">
              <w:rPr>
                <w:color w:val="FF0000"/>
                <w:sz w:val="21"/>
                <w:szCs w:val="21"/>
              </w:rPr>
              <w:t>0</w:t>
            </w:r>
            <w:r w:rsidRPr="00135798">
              <w:rPr>
                <w:rFonts w:hint="eastAsia"/>
                <w:color w:val="FF0000"/>
                <w:sz w:val="21"/>
                <w:szCs w:val="21"/>
              </w:rPr>
              <w:t>.</w:t>
            </w:r>
            <w:r w:rsidR="00135798" w:rsidRPr="00135798">
              <w:rPr>
                <w:color w:val="FF0000"/>
                <w:sz w:val="21"/>
                <w:szCs w:val="21"/>
              </w:rPr>
              <w:t>14</w:t>
            </w:r>
            <w:r w:rsidRPr="00135798">
              <w:rPr>
                <w:rFonts w:hint="eastAsia"/>
                <w:color w:val="FF0000"/>
                <w:sz w:val="21"/>
                <w:szCs w:val="21"/>
              </w:rPr>
              <w:t>t/a</w:t>
            </w:r>
          </w:p>
        </w:tc>
        <w:tc>
          <w:tcPr>
            <w:tcW w:w="5190" w:type="dxa"/>
            <w:tcMar>
              <w:left w:w="28" w:type="dxa"/>
              <w:right w:w="28" w:type="dxa"/>
            </w:tcMar>
            <w:vAlign w:val="center"/>
          </w:tcPr>
          <w:p w:rsidR="00C223F5" w:rsidRPr="00925B84" w:rsidRDefault="005860D5" w:rsidP="009E79E6">
            <w:pPr>
              <w:jc w:val="center"/>
              <w:rPr>
                <w:szCs w:val="21"/>
              </w:rPr>
            </w:pPr>
            <w:r w:rsidRPr="00925B84">
              <w:rPr>
                <w:rFonts w:eastAsiaTheme="minorEastAsia" w:hAnsiTheme="minorEastAsia"/>
                <w:szCs w:val="21"/>
              </w:rPr>
              <w:t>建设一座矿井水处理站，处理站规模为</w:t>
            </w:r>
            <w:r w:rsidRPr="00925B84">
              <w:rPr>
                <w:rFonts w:eastAsiaTheme="minorEastAsia"/>
                <w:szCs w:val="21"/>
              </w:rPr>
              <w:t>2</w:t>
            </w:r>
            <w:r w:rsidRPr="00925B84">
              <w:rPr>
                <w:rFonts w:eastAsiaTheme="minorEastAsia" w:hint="eastAsia"/>
                <w:szCs w:val="21"/>
              </w:rPr>
              <w:t>4</w:t>
            </w:r>
            <w:r w:rsidRPr="00925B84">
              <w:rPr>
                <w:rFonts w:eastAsiaTheme="minorEastAsia"/>
                <w:szCs w:val="21"/>
              </w:rPr>
              <w:t>00m</w:t>
            </w:r>
            <w:r w:rsidRPr="00925B84">
              <w:rPr>
                <w:rFonts w:eastAsiaTheme="minorEastAsia"/>
                <w:szCs w:val="21"/>
                <w:vertAlign w:val="superscript"/>
              </w:rPr>
              <w:t>3</w:t>
            </w:r>
            <w:r w:rsidRPr="00925B84">
              <w:rPr>
                <w:rFonts w:eastAsiaTheme="minorEastAsia"/>
                <w:szCs w:val="21"/>
              </w:rPr>
              <w:t>/d</w:t>
            </w:r>
            <w:r w:rsidRPr="00925B84">
              <w:rPr>
                <w:rFonts w:eastAsiaTheme="minorEastAsia" w:hAnsiTheme="minorEastAsia"/>
                <w:szCs w:val="21"/>
              </w:rPr>
              <w:t>，采用混凝、沉淀、</w:t>
            </w:r>
            <w:r w:rsidRPr="00925B84">
              <w:rPr>
                <w:rFonts w:eastAsiaTheme="minorEastAsia" w:hAnsiTheme="minorEastAsia" w:hint="eastAsia"/>
                <w:szCs w:val="21"/>
              </w:rPr>
              <w:t>气浮、</w:t>
            </w:r>
            <w:r w:rsidRPr="00925B84">
              <w:rPr>
                <w:rFonts w:eastAsiaTheme="minorEastAsia" w:hAnsiTheme="minorEastAsia"/>
                <w:szCs w:val="21"/>
              </w:rPr>
              <w:t>过滤</w:t>
            </w:r>
            <w:r w:rsidRPr="00925B84">
              <w:rPr>
                <w:rFonts w:eastAsiaTheme="minorEastAsia" w:hAnsiTheme="minorEastAsia" w:hint="eastAsia"/>
                <w:szCs w:val="21"/>
              </w:rPr>
              <w:t>消毒</w:t>
            </w:r>
            <w:r w:rsidRPr="00925B84">
              <w:rPr>
                <w:rFonts w:eastAsiaTheme="minorEastAsia" w:hAnsiTheme="minorEastAsia"/>
                <w:szCs w:val="21"/>
              </w:rPr>
              <w:t>处理工艺</w:t>
            </w:r>
            <w:r w:rsidRPr="00925B84">
              <w:rPr>
                <w:rFonts w:eastAsiaTheme="minorEastAsia" w:hAnsiTheme="minorEastAsia" w:hint="eastAsia"/>
                <w:szCs w:val="21"/>
              </w:rPr>
              <w:t>，处理后</w:t>
            </w:r>
            <w:r w:rsidRPr="00925B84">
              <w:rPr>
                <w:rFonts w:hint="eastAsia"/>
                <w:szCs w:val="21"/>
              </w:rPr>
              <w:t>部分回用于井下洒水、黄泥灌浆补充水及</w:t>
            </w:r>
            <w:r w:rsidRPr="00C807E8">
              <w:rPr>
                <w:rFonts w:hint="eastAsia"/>
                <w:color w:val="FF0000"/>
                <w:szCs w:val="21"/>
              </w:rPr>
              <w:t>地面生产用水</w:t>
            </w:r>
            <w:r w:rsidRPr="00925B84">
              <w:rPr>
                <w:rFonts w:hint="eastAsia"/>
                <w:szCs w:val="21"/>
              </w:rPr>
              <w:t>，其余达标排至蚂蚁河（</w:t>
            </w:r>
            <w:r w:rsidRPr="00925B84">
              <w:rPr>
                <w:rFonts w:hAnsi="宋体" w:hint="eastAsia"/>
                <w:szCs w:val="21"/>
              </w:rPr>
              <w:t>采暖期</w:t>
            </w:r>
            <w:r w:rsidR="009E79E6">
              <w:rPr>
                <w:rFonts w:hAnsi="宋体" w:hint="eastAsia"/>
                <w:color w:val="FF0000"/>
                <w:szCs w:val="21"/>
              </w:rPr>
              <w:t>387.7</w:t>
            </w:r>
            <w:r w:rsidRPr="00925B84">
              <w:rPr>
                <w:szCs w:val="21"/>
              </w:rPr>
              <w:t>m</w:t>
            </w:r>
            <w:r w:rsidRPr="00925B84">
              <w:rPr>
                <w:szCs w:val="21"/>
                <w:vertAlign w:val="superscript"/>
              </w:rPr>
              <w:t>3</w:t>
            </w:r>
            <w:r w:rsidRPr="00925B84">
              <w:rPr>
                <w:szCs w:val="21"/>
              </w:rPr>
              <w:t>/d</w:t>
            </w:r>
            <w:r w:rsidRPr="00925B84">
              <w:rPr>
                <w:rFonts w:hint="eastAsia"/>
                <w:szCs w:val="21"/>
              </w:rPr>
              <w:t>、非采暖期</w:t>
            </w:r>
            <w:r w:rsidR="009E79E6">
              <w:rPr>
                <w:rFonts w:hint="eastAsia"/>
                <w:color w:val="FF0000"/>
                <w:szCs w:val="21"/>
              </w:rPr>
              <w:t>553</w:t>
            </w:r>
            <w:r w:rsidRPr="00925B84">
              <w:rPr>
                <w:szCs w:val="21"/>
              </w:rPr>
              <w:t>m</w:t>
            </w:r>
            <w:r w:rsidRPr="00925B84">
              <w:rPr>
                <w:szCs w:val="21"/>
                <w:vertAlign w:val="superscript"/>
              </w:rPr>
              <w:t>3</w:t>
            </w:r>
            <w:r w:rsidRPr="00925B84">
              <w:rPr>
                <w:szCs w:val="21"/>
              </w:rPr>
              <w:t>/d</w:t>
            </w:r>
            <w:r w:rsidRPr="00925B84">
              <w:rPr>
                <w:rFonts w:hint="eastAsia"/>
                <w:szCs w:val="21"/>
              </w:rPr>
              <w:t>）</w:t>
            </w:r>
          </w:p>
        </w:tc>
        <w:tc>
          <w:tcPr>
            <w:tcW w:w="1585" w:type="dxa"/>
            <w:vMerge w:val="restart"/>
            <w:vAlign w:val="center"/>
          </w:tcPr>
          <w:p w:rsidR="00C223F5" w:rsidRPr="009E79E6" w:rsidRDefault="005860D5">
            <w:pPr>
              <w:pStyle w:val="affffff7"/>
              <w:rPr>
                <w:color w:val="FF0000"/>
                <w:sz w:val="21"/>
                <w:szCs w:val="21"/>
              </w:rPr>
            </w:pPr>
            <w:r w:rsidRPr="009E79E6">
              <w:rPr>
                <w:rFonts w:hint="eastAsia"/>
                <w:color w:val="FF0000"/>
                <w:sz w:val="21"/>
                <w:szCs w:val="21"/>
              </w:rPr>
              <w:t>COD 3.</w:t>
            </w:r>
            <w:r w:rsidR="009E79E6" w:rsidRPr="009E79E6">
              <w:rPr>
                <w:rFonts w:hint="eastAsia"/>
                <w:color w:val="FF0000"/>
                <w:sz w:val="21"/>
                <w:szCs w:val="21"/>
              </w:rPr>
              <w:t>7</w:t>
            </w:r>
            <w:r w:rsidRPr="009E79E6">
              <w:rPr>
                <w:rFonts w:hint="eastAsia"/>
                <w:color w:val="FF0000"/>
                <w:sz w:val="21"/>
                <w:szCs w:val="21"/>
              </w:rPr>
              <w:t>1t/a</w:t>
            </w:r>
            <w:r w:rsidRPr="009E79E6">
              <w:rPr>
                <w:rFonts w:hint="eastAsia"/>
                <w:color w:val="FF0000"/>
                <w:sz w:val="21"/>
                <w:szCs w:val="21"/>
              </w:rPr>
              <w:t>，</w:t>
            </w:r>
          </w:p>
          <w:p w:rsidR="00C223F5" w:rsidRPr="00925B84" w:rsidRDefault="005860D5" w:rsidP="009E79E6">
            <w:pPr>
              <w:pStyle w:val="affffff7"/>
              <w:rPr>
                <w:color w:val="auto"/>
                <w:sz w:val="21"/>
                <w:szCs w:val="21"/>
              </w:rPr>
            </w:pPr>
            <w:r w:rsidRPr="009E79E6">
              <w:rPr>
                <w:rFonts w:hint="eastAsia"/>
                <w:color w:val="FF0000"/>
                <w:sz w:val="21"/>
                <w:szCs w:val="21"/>
              </w:rPr>
              <w:t>氨氮</w:t>
            </w:r>
            <w:r w:rsidRPr="009E79E6">
              <w:rPr>
                <w:color w:val="FF0000"/>
                <w:sz w:val="21"/>
                <w:szCs w:val="21"/>
              </w:rPr>
              <w:t>0.</w:t>
            </w:r>
            <w:r w:rsidRPr="009E79E6">
              <w:rPr>
                <w:rFonts w:hint="eastAsia"/>
                <w:color w:val="FF0000"/>
                <w:sz w:val="21"/>
                <w:szCs w:val="21"/>
              </w:rPr>
              <w:t>1</w:t>
            </w:r>
            <w:r w:rsidR="009E79E6" w:rsidRPr="009E79E6">
              <w:rPr>
                <w:rFonts w:hint="eastAsia"/>
                <w:color w:val="FF0000"/>
                <w:sz w:val="21"/>
                <w:szCs w:val="21"/>
              </w:rPr>
              <w:t>2</w:t>
            </w:r>
            <w:r w:rsidRPr="009E79E6">
              <w:rPr>
                <w:rFonts w:hint="eastAsia"/>
                <w:color w:val="FF0000"/>
                <w:sz w:val="21"/>
                <w:szCs w:val="21"/>
              </w:rPr>
              <w:t>t/a</w:t>
            </w:r>
          </w:p>
        </w:tc>
      </w:tr>
      <w:tr w:rsidR="00C223F5">
        <w:trPr>
          <w:trHeight w:val="1837"/>
          <w:jc w:val="center"/>
        </w:trPr>
        <w:tc>
          <w:tcPr>
            <w:tcW w:w="358" w:type="dxa"/>
            <w:vMerge/>
            <w:tcMar>
              <w:left w:w="28" w:type="dxa"/>
              <w:right w:w="28" w:type="dxa"/>
            </w:tcMar>
            <w:vAlign w:val="center"/>
          </w:tcPr>
          <w:p w:rsidR="00C223F5" w:rsidRDefault="00C223F5">
            <w:pPr>
              <w:pStyle w:val="affffff7"/>
              <w:rPr>
                <w:sz w:val="21"/>
                <w:szCs w:val="21"/>
              </w:rPr>
            </w:pPr>
          </w:p>
        </w:tc>
        <w:tc>
          <w:tcPr>
            <w:tcW w:w="693" w:type="dxa"/>
            <w:tcMar>
              <w:left w:w="28" w:type="dxa"/>
              <w:right w:w="28" w:type="dxa"/>
            </w:tcMar>
            <w:vAlign w:val="center"/>
          </w:tcPr>
          <w:p w:rsidR="00C223F5" w:rsidRDefault="005860D5">
            <w:pPr>
              <w:pStyle w:val="affffff7"/>
              <w:rPr>
                <w:sz w:val="21"/>
                <w:szCs w:val="21"/>
              </w:rPr>
            </w:pPr>
            <w:r>
              <w:rPr>
                <w:sz w:val="21"/>
                <w:szCs w:val="21"/>
              </w:rPr>
              <w:t>生活</w:t>
            </w:r>
          </w:p>
          <w:p w:rsidR="00C223F5" w:rsidRDefault="005860D5">
            <w:pPr>
              <w:pStyle w:val="affffff7"/>
              <w:rPr>
                <w:sz w:val="21"/>
                <w:szCs w:val="21"/>
              </w:rPr>
            </w:pPr>
            <w:r>
              <w:rPr>
                <w:sz w:val="21"/>
                <w:szCs w:val="21"/>
              </w:rPr>
              <w:t>污废水</w:t>
            </w:r>
          </w:p>
        </w:tc>
        <w:tc>
          <w:tcPr>
            <w:tcW w:w="4345" w:type="dxa"/>
            <w:tcMar>
              <w:left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设</w:t>
            </w:r>
            <w:r w:rsidRPr="00925B84">
              <w:rPr>
                <w:color w:val="auto"/>
                <w:sz w:val="21"/>
                <w:szCs w:val="21"/>
              </w:rPr>
              <w:t>独立的生活水处理系统</w:t>
            </w:r>
            <w:r w:rsidRPr="00925B84">
              <w:rPr>
                <w:color w:val="auto"/>
                <w:sz w:val="21"/>
                <w:szCs w:val="21"/>
              </w:rPr>
              <w:t>2</w:t>
            </w:r>
            <w:r w:rsidRPr="00925B84">
              <w:rPr>
                <w:color w:val="auto"/>
                <w:sz w:val="21"/>
                <w:szCs w:val="21"/>
              </w:rPr>
              <w:t>套，</w:t>
            </w:r>
            <w:r w:rsidRPr="00925B84">
              <w:rPr>
                <w:color w:val="auto"/>
                <w:sz w:val="21"/>
                <w:szCs w:val="21"/>
              </w:rPr>
              <w:t>1</w:t>
            </w:r>
            <w:r w:rsidRPr="00925B84">
              <w:rPr>
                <w:color w:val="auto"/>
                <w:sz w:val="21"/>
                <w:szCs w:val="21"/>
              </w:rPr>
              <w:t>套以洗浴水，洗漱水处理为主，采用</w:t>
            </w:r>
            <w:r w:rsidRPr="00925B84">
              <w:rPr>
                <w:color w:val="auto"/>
                <w:sz w:val="21"/>
                <w:szCs w:val="21"/>
              </w:rPr>
              <w:t>A</w:t>
            </w:r>
            <w:r w:rsidRPr="00925B84">
              <w:rPr>
                <w:color w:val="auto"/>
                <w:sz w:val="21"/>
                <w:szCs w:val="21"/>
                <w:vertAlign w:val="superscript"/>
              </w:rPr>
              <w:t>2</w:t>
            </w:r>
            <w:r w:rsidRPr="00925B84">
              <w:rPr>
                <w:color w:val="auto"/>
                <w:sz w:val="21"/>
                <w:szCs w:val="21"/>
              </w:rPr>
              <w:t>O</w:t>
            </w:r>
            <w:r w:rsidRPr="00925B84">
              <w:rPr>
                <w:color w:val="auto"/>
                <w:sz w:val="21"/>
                <w:szCs w:val="21"/>
              </w:rPr>
              <w:t>地埋式一体机处理工艺，处理能力为</w:t>
            </w:r>
            <w:r w:rsidRPr="00925B84">
              <w:rPr>
                <w:rFonts w:hint="eastAsia"/>
                <w:color w:val="auto"/>
                <w:sz w:val="21"/>
                <w:szCs w:val="21"/>
              </w:rPr>
              <w:t>300</w:t>
            </w:r>
            <w:r w:rsidRPr="00925B84">
              <w:rPr>
                <w:color w:val="auto"/>
                <w:sz w:val="21"/>
                <w:szCs w:val="21"/>
              </w:rPr>
              <w:t>m</w:t>
            </w:r>
            <w:r w:rsidRPr="00925B84">
              <w:rPr>
                <w:color w:val="auto"/>
                <w:sz w:val="21"/>
                <w:szCs w:val="21"/>
                <w:vertAlign w:val="superscript"/>
              </w:rPr>
              <w:t>3</w:t>
            </w:r>
            <w:r w:rsidRPr="00925B84">
              <w:rPr>
                <w:color w:val="auto"/>
                <w:sz w:val="21"/>
                <w:szCs w:val="21"/>
              </w:rPr>
              <w:t>/</w:t>
            </w:r>
            <w:r w:rsidRPr="00925B84">
              <w:rPr>
                <w:rFonts w:hint="eastAsia"/>
                <w:color w:val="auto"/>
                <w:sz w:val="21"/>
                <w:szCs w:val="21"/>
              </w:rPr>
              <w:t>d</w:t>
            </w:r>
            <w:r w:rsidRPr="00925B84">
              <w:rPr>
                <w:color w:val="auto"/>
                <w:sz w:val="21"/>
                <w:szCs w:val="21"/>
              </w:rPr>
              <w:t>，出水全部用于井上下洒水、绿化、降尘；</w:t>
            </w:r>
            <w:r w:rsidRPr="00925B84">
              <w:rPr>
                <w:color w:val="auto"/>
                <w:sz w:val="21"/>
                <w:szCs w:val="21"/>
              </w:rPr>
              <w:t>1</w:t>
            </w:r>
            <w:r w:rsidRPr="00925B84">
              <w:rPr>
                <w:color w:val="auto"/>
                <w:sz w:val="21"/>
                <w:szCs w:val="21"/>
              </w:rPr>
              <w:t>套以餐饮废水处理为主，采用</w:t>
            </w:r>
            <w:r w:rsidRPr="00925B84">
              <w:rPr>
                <w:color w:val="auto"/>
                <w:sz w:val="21"/>
                <w:szCs w:val="21"/>
              </w:rPr>
              <w:t>MBR</w:t>
            </w:r>
            <w:r w:rsidRPr="00925B84">
              <w:rPr>
                <w:color w:val="auto"/>
                <w:sz w:val="21"/>
                <w:szCs w:val="21"/>
              </w:rPr>
              <w:t>工艺，处理能力</w:t>
            </w:r>
            <w:r w:rsidRPr="00925B84">
              <w:rPr>
                <w:rFonts w:hint="eastAsia"/>
                <w:color w:val="auto"/>
                <w:sz w:val="21"/>
                <w:szCs w:val="21"/>
              </w:rPr>
              <w:t>20</w:t>
            </w:r>
            <w:r w:rsidRPr="00925B84">
              <w:rPr>
                <w:color w:val="auto"/>
                <w:sz w:val="21"/>
                <w:szCs w:val="21"/>
              </w:rPr>
              <w:t>m</w:t>
            </w:r>
            <w:r w:rsidRPr="00925B84">
              <w:rPr>
                <w:color w:val="auto"/>
                <w:sz w:val="21"/>
                <w:szCs w:val="21"/>
                <w:vertAlign w:val="superscript"/>
              </w:rPr>
              <w:t>3</w:t>
            </w:r>
            <w:r w:rsidRPr="00925B84">
              <w:rPr>
                <w:color w:val="auto"/>
                <w:sz w:val="21"/>
                <w:szCs w:val="21"/>
              </w:rPr>
              <w:t>/</w:t>
            </w:r>
            <w:r w:rsidRPr="00925B84">
              <w:rPr>
                <w:rFonts w:hint="eastAsia"/>
                <w:color w:val="auto"/>
                <w:sz w:val="21"/>
                <w:szCs w:val="21"/>
              </w:rPr>
              <w:t>d</w:t>
            </w:r>
            <w:r w:rsidRPr="00925B84">
              <w:rPr>
                <w:color w:val="auto"/>
                <w:sz w:val="21"/>
                <w:szCs w:val="21"/>
              </w:rPr>
              <w:t>，出水用于煤棚喷雾降尘系统</w:t>
            </w:r>
          </w:p>
        </w:tc>
        <w:tc>
          <w:tcPr>
            <w:tcW w:w="1736" w:type="dxa"/>
            <w:vMerge/>
            <w:vAlign w:val="center"/>
          </w:tcPr>
          <w:p w:rsidR="00C223F5" w:rsidRPr="00925B84" w:rsidRDefault="00C223F5">
            <w:pPr>
              <w:pStyle w:val="affffff7"/>
              <w:rPr>
                <w:color w:val="auto"/>
                <w:sz w:val="21"/>
                <w:szCs w:val="21"/>
              </w:rPr>
            </w:pPr>
          </w:p>
        </w:tc>
        <w:tc>
          <w:tcPr>
            <w:tcW w:w="5190" w:type="dxa"/>
            <w:tcMar>
              <w:left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设置一座生活污水处理站，</w:t>
            </w:r>
            <w:r w:rsidRPr="00925B84">
              <w:rPr>
                <w:rFonts w:hAnsi="宋体"/>
                <w:color w:val="auto"/>
                <w:sz w:val="21"/>
                <w:szCs w:val="21"/>
              </w:rPr>
              <w:t>处理规模为</w:t>
            </w:r>
            <w:r w:rsidRPr="00925B84">
              <w:rPr>
                <w:color w:val="auto"/>
                <w:sz w:val="21"/>
                <w:szCs w:val="21"/>
              </w:rPr>
              <w:t>480m</w:t>
            </w:r>
            <w:r w:rsidRPr="00925B84">
              <w:rPr>
                <w:color w:val="auto"/>
                <w:sz w:val="21"/>
                <w:szCs w:val="21"/>
                <w:vertAlign w:val="superscript"/>
              </w:rPr>
              <w:t>3</w:t>
            </w:r>
            <w:r w:rsidRPr="00925B84">
              <w:rPr>
                <w:color w:val="auto"/>
                <w:sz w:val="21"/>
                <w:szCs w:val="21"/>
              </w:rPr>
              <w:t>/d</w:t>
            </w:r>
            <w:r w:rsidRPr="00925B84">
              <w:rPr>
                <w:rFonts w:hAnsi="宋体"/>
                <w:color w:val="auto"/>
                <w:sz w:val="21"/>
                <w:szCs w:val="21"/>
              </w:rPr>
              <w:t>，采用</w:t>
            </w:r>
            <w:r w:rsidRPr="00925B84">
              <w:rPr>
                <w:color w:val="auto"/>
                <w:sz w:val="21"/>
                <w:szCs w:val="21"/>
              </w:rPr>
              <w:t>A</w:t>
            </w:r>
            <w:r w:rsidRPr="00925B84">
              <w:rPr>
                <w:color w:val="auto"/>
                <w:sz w:val="21"/>
                <w:szCs w:val="21"/>
                <w:vertAlign w:val="superscript"/>
              </w:rPr>
              <w:t>2</w:t>
            </w:r>
            <w:r w:rsidRPr="00925B84">
              <w:rPr>
                <w:color w:val="auto"/>
                <w:sz w:val="21"/>
                <w:szCs w:val="21"/>
              </w:rPr>
              <w:t>/O</w:t>
            </w:r>
            <w:r w:rsidRPr="00925B84">
              <w:rPr>
                <w:rFonts w:hAnsi="宋体"/>
                <w:color w:val="auto"/>
                <w:sz w:val="21"/>
                <w:szCs w:val="21"/>
              </w:rPr>
              <w:t>二级生化</w:t>
            </w:r>
            <w:r w:rsidRPr="00925B84">
              <w:rPr>
                <w:color w:val="auto"/>
                <w:sz w:val="21"/>
                <w:szCs w:val="21"/>
              </w:rPr>
              <w:t>+</w:t>
            </w:r>
            <w:r w:rsidRPr="00925B84">
              <w:rPr>
                <w:rFonts w:hAnsi="宋体"/>
                <w:color w:val="auto"/>
                <w:sz w:val="21"/>
                <w:szCs w:val="21"/>
              </w:rPr>
              <w:t>深度处理工艺</w:t>
            </w:r>
            <w:r w:rsidRPr="00925B84">
              <w:rPr>
                <w:color w:val="auto"/>
                <w:sz w:val="21"/>
                <w:szCs w:val="21"/>
              </w:rPr>
              <w:t>，出水回用于选煤厂补充水、绿化洒水及地面降尘洒水等，不外排</w:t>
            </w:r>
          </w:p>
        </w:tc>
        <w:tc>
          <w:tcPr>
            <w:tcW w:w="1585" w:type="dxa"/>
            <w:vMerge/>
            <w:vAlign w:val="center"/>
          </w:tcPr>
          <w:p w:rsidR="00C223F5" w:rsidRPr="00925B84" w:rsidRDefault="00C223F5">
            <w:pPr>
              <w:pStyle w:val="affffff7"/>
              <w:rPr>
                <w:color w:val="auto"/>
                <w:sz w:val="21"/>
                <w:szCs w:val="21"/>
              </w:rPr>
            </w:pPr>
          </w:p>
        </w:tc>
      </w:tr>
      <w:tr w:rsidR="00C223F5">
        <w:trPr>
          <w:trHeight w:val="217"/>
          <w:jc w:val="center"/>
        </w:trPr>
        <w:tc>
          <w:tcPr>
            <w:tcW w:w="358" w:type="dxa"/>
            <w:vMerge/>
            <w:tcMar>
              <w:left w:w="28" w:type="dxa"/>
              <w:right w:w="28" w:type="dxa"/>
            </w:tcMar>
            <w:vAlign w:val="center"/>
          </w:tcPr>
          <w:p w:rsidR="00C223F5" w:rsidRDefault="00C223F5">
            <w:pPr>
              <w:pStyle w:val="affffff7"/>
              <w:rPr>
                <w:sz w:val="21"/>
                <w:szCs w:val="21"/>
              </w:rPr>
            </w:pPr>
          </w:p>
        </w:tc>
        <w:tc>
          <w:tcPr>
            <w:tcW w:w="693" w:type="dxa"/>
            <w:tcMar>
              <w:left w:w="28" w:type="dxa"/>
              <w:right w:w="28" w:type="dxa"/>
            </w:tcMar>
            <w:vAlign w:val="center"/>
          </w:tcPr>
          <w:p w:rsidR="00C223F5" w:rsidRDefault="005860D5">
            <w:pPr>
              <w:pStyle w:val="affffff7"/>
              <w:rPr>
                <w:sz w:val="21"/>
                <w:szCs w:val="21"/>
              </w:rPr>
            </w:pPr>
            <w:r>
              <w:rPr>
                <w:sz w:val="21"/>
                <w:szCs w:val="21"/>
              </w:rPr>
              <w:t>煤泥水</w:t>
            </w:r>
          </w:p>
        </w:tc>
        <w:tc>
          <w:tcPr>
            <w:tcW w:w="4345" w:type="dxa"/>
            <w:tcMar>
              <w:left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无</w:t>
            </w:r>
          </w:p>
        </w:tc>
        <w:tc>
          <w:tcPr>
            <w:tcW w:w="1736" w:type="dxa"/>
            <w:vAlign w:val="center"/>
          </w:tcPr>
          <w:p w:rsidR="00C223F5" w:rsidRPr="00925B84" w:rsidRDefault="005860D5">
            <w:pPr>
              <w:pStyle w:val="affffff7"/>
              <w:rPr>
                <w:color w:val="auto"/>
                <w:sz w:val="21"/>
                <w:szCs w:val="21"/>
              </w:rPr>
            </w:pPr>
            <w:r w:rsidRPr="00925B84">
              <w:rPr>
                <w:rFonts w:hint="eastAsia"/>
                <w:color w:val="auto"/>
                <w:sz w:val="21"/>
                <w:szCs w:val="21"/>
              </w:rPr>
              <w:t>0</w:t>
            </w:r>
          </w:p>
        </w:tc>
        <w:tc>
          <w:tcPr>
            <w:tcW w:w="5190" w:type="dxa"/>
            <w:tcMar>
              <w:left w:w="28" w:type="dxa"/>
              <w:right w:w="28" w:type="dxa"/>
            </w:tcMar>
            <w:vAlign w:val="center"/>
          </w:tcPr>
          <w:p w:rsidR="00A467F7" w:rsidRPr="00925B84" w:rsidRDefault="005860D5">
            <w:pPr>
              <w:pStyle w:val="affffff7"/>
              <w:rPr>
                <w:color w:val="auto"/>
                <w:sz w:val="21"/>
                <w:szCs w:val="21"/>
              </w:rPr>
            </w:pPr>
            <w:r w:rsidRPr="00925B84">
              <w:rPr>
                <w:rFonts w:hint="eastAsia"/>
                <w:color w:val="auto"/>
                <w:sz w:val="21"/>
                <w:szCs w:val="21"/>
              </w:rPr>
              <w:t>设置</w:t>
            </w:r>
            <w:r w:rsidRPr="00925B84">
              <w:rPr>
                <w:rFonts w:hint="eastAsia"/>
                <w:color w:val="auto"/>
                <w:sz w:val="21"/>
                <w:szCs w:val="21"/>
              </w:rPr>
              <w:t>2</w:t>
            </w:r>
            <w:r w:rsidRPr="00925B84">
              <w:rPr>
                <w:rFonts w:hint="eastAsia"/>
                <w:color w:val="auto"/>
                <w:sz w:val="21"/>
                <w:szCs w:val="21"/>
              </w:rPr>
              <w:t>台φ</w:t>
            </w:r>
            <w:r w:rsidRPr="00925B84">
              <w:rPr>
                <w:rFonts w:hint="eastAsia"/>
                <w:color w:val="auto"/>
                <w:sz w:val="21"/>
                <w:szCs w:val="21"/>
              </w:rPr>
              <w:t>28m</w:t>
            </w:r>
            <w:r w:rsidRPr="00925B84">
              <w:rPr>
                <w:rFonts w:hint="eastAsia"/>
                <w:color w:val="auto"/>
                <w:sz w:val="21"/>
                <w:szCs w:val="21"/>
              </w:rPr>
              <w:t>高效浓缩机（</w:t>
            </w:r>
            <w:r w:rsidRPr="00925B84">
              <w:rPr>
                <w:rFonts w:hint="eastAsia"/>
                <w:color w:val="auto"/>
                <w:sz w:val="21"/>
                <w:szCs w:val="21"/>
              </w:rPr>
              <w:t>1</w:t>
            </w:r>
            <w:r w:rsidRPr="00925B84">
              <w:rPr>
                <w:rFonts w:hint="eastAsia"/>
                <w:color w:val="auto"/>
                <w:sz w:val="21"/>
                <w:szCs w:val="21"/>
              </w:rPr>
              <w:t>用</w:t>
            </w:r>
            <w:r w:rsidRPr="00925B84">
              <w:rPr>
                <w:rFonts w:hint="eastAsia"/>
                <w:color w:val="auto"/>
                <w:sz w:val="21"/>
                <w:szCs w:val="21"/>
              </w:rPr>
              <w:t>1</w:t>
            </w:r>
            <w:r w:rsidRPr="00925B84">
              <w:rPr>
                <w:rFonts w:hint="eastAsia"/>
                <w:color w:val="auto"/>
                <w:sz w:val="21"/>
                <w:szCs w:val="21"/>
              </w:rPr>
              <w:t>备）；</w:t>
            </w:r>
          </w:p>
          <w:p w:rsidR="00C223F5" w:rsidRPr="00925B84" w:rsidRDefault="005860D5">
            <w:pPr>
              <w:pStyle w:val="affffff7"/>
              <w:rPr>
                <w:color w:val="auto"/>
                <w:sz w:val="21"/>
                <w:szCs w:val="21"/>
              </w:rPr>
            </w:pPr>
            <w:r w:rsidRPr="00925B84">
              <w:rPr>
                <w:rFonts w:hint="eastAsia"/>
                <w:color w:val="auto"/>
                <w:sz w:val="21"/>
                <w:szCs w:val="21"/>
              </w:rPr>
              <w:t>煤泥水闭路循环，不外排</w:t>
            </w:r>
          </w:p>
        </w:tc>
        <w:tc>
          <w:tcPr>
            <w:tcW w:w="1585" w:type="dxa"/>
            <w:vAlign w:val="center"/>
          </w:tcPr>
          <w:p w:rsidR="00C223F5" w:rsidRPr="00925B84" w:rsidRDefault="005860D5">
            <w:pPr>
              <w:pStyle w:val="affffff7"/>
              <w:rPr>
                <w:color w:val="auto"/>
                <w:sz w:val="21"/>
                <w:szCs w:val="21"/>
              </w:rPr>
            </w:pPr>
            <w:r w:rsidRPr="00925B84">
              <w:rPr>
                <w:rFonts w:hint="eastAsia"/>
                <w:color w:val="auto"/>
                <w:sz w:val="21"/>
                <w:szCs w:val="21"/>
              </w:rPr>
              <w:t>0</w:t>
            </w:r>
          </w:p>
        </w:tc>
      </w:tr>
      <w:tr w:rsidR="00C223F5">
        <w:trPr>
          <w:trHeight w:val="510"/>
          <w:jc w:val="center"/>
        </w:trPr>
        <w:tc>
          <w:tcPr>
            <w:tcW w:w="358" w:type="dxa"/>
            <w:vMerge w:val="restart"/>
            <w:tcMar>
              <w:left w:w="28" w:type="dxa"/>
              <w:right w:w="28" w:type="dxa"/>
            </w:tcMar>
            <w:vAlign w:val="center"/>
          </w:tcPr>
          <w:p w:rsidR="00C223F5" w:rsidRDefault="005860D5">
            <w:pPr>
              <w:pStyle w:val="affffff7"/>
              <w:rPr>
                <w:sz w:val="21"/>
                <w:szCs w:val="21"/>
              </w:rPr>
            </w:pPr>
            <w:r>
              <w:rPr>
                <w:sz w:val="21"/>
                <w:szCs w:val="21"/>
              </w:rPr>
              <w:lastRenderedPageBreak/>
              <w:t>渣</w:t>
            </w:r>
          </w:p>
        </w:tc>
        <w:tc>
          <w:tcPr>
            <w:tcW w:w="693" w:type="dxa"/>
            <w:tcMar>
              <w:left w:w="57" w:type="dxa"/>
              <w:right w:w="57" w:type="dxa"/>
            </w:tcMar>
            <w:vAlign w:val="center"/>
          </w:tcPr>
          <w:p w:rsidR="00C223F5" w:rsidRDefault="005860D5">
            <w:pPr>
              <w:pStyle w:val="affffff7"/>
              <w:rPr>
                <w:spacing w:val="-20"/>
                <w:sz w:val="21"/>
                <w:szCs w:val="21"/>
              </w:rPr>
            </w:pPr>
            <w:r>
              <w:rPr>
                <w:spacing w:val="-20"/>
                <w:sz w:val="21"/>
                <w:szCs w:val="21"/>
              </w:rPr>
              <w:t>矸石</w:t>
            </w:r>
          </w:p>
        </w:tc>
        <w:tc>
          <w:tcPr>
            <w:tcW w:w="4345" w:type="dxa"/>
            <w:tcMar>
              <w:left w:w="28" w:type="dxa"/>
              <w:right w:w="28" w:type="dxa"/>
            </w:tcMar>
            <w:vAlign w:val="center"/>
          </w:tcPr>
          <w:p w:rsidR="00C223F5" w:rsidRPr="00925B84" w:rsidRDefault="005860D5">
            <w:pPr>
              <w:pStyle w:val="affffff7"/>
              <w:rPr>
                <w:color w:val="auto"/>
                <w:sz w:val="21"/>
                <w:szCs w:val="21"/>
              </w:rPr>
            </w:pPr>
            <w:r w:rsidRPr="00925B84">
              <w:rPr>
                <w:color w:val="auto"/>
                <w:sz w:val="21"/>
                <w:szCs w:val="21"/>
              </w:rPr>
              <w:t>掘进矸石主要井下充填</w:t>
            </w:r>
            <w:r w:rsidRPr="00925B84">
              <w:rPr>
                <w:rFonts w:hint="eastAsia"/>
                <w:color w:val="auto"/>
                <w:sz w:val="21"/>
                <w:szCs w:val="21"/>
              </w:rPr>
              <w:t>，手选矸石综合利用</w:t>
            </w:r>
          </w:p>
        </w:tc>
        <w:tc>
          <w:tcPr>
            <w:tcW w:w="1736" w:type="dxa"/>
            <w:vAlign w:val="center"/>
          </w:tcPr>
          <w:p w:rsidR="00C223F5" w:rsidRPr="00925B84" w:rsidRDefault="005860D5">
            <w:pPr>
              <w:pStyle w:val="affffff7"/>
              <w:rPr>
                <w:color w:val="auto"/>
                <w:sz w:val="21"/>
                <w:szCs w:val="21"/>
              </w:rPr>
            </w:pPr>
            <w:r w:rsidRPr="00925B84">
              <w:rPr>
                <w:rFonts w:hint="eastAsia"/>
                <w:color w:val="auto"/>
                <w:sz w:val="21"/>
                <w:szCs w:val="21"/>
              </w:rPr>
              <w:t>0</w:t>
            </w:r>
          </w:p>
        </w:tc>
        <w:tc>
          <w:tcPr>
            <w:tcW w:w="5190" w:type="dxa"/>
            <w:tcMar>
              <w:left w:w="28" w:type="dxa"/>
              <w:right w:w="28" w:type="dxa"/>
            </w:tcMar>
            <w:vAlign w:val="center"/>
          </w:tcPr>
          <w:p w:rsidR="00C223F5" w:rsidRPr="00925B84" w:rsidRDefault="005860D5" w:rsidP="00792DE6">
            <w:pPr>
              <w:pStyle w:val="affffff7"/>
              <w:rPr>
                <w:color w:val="auto"/>
                <w:sz w:val="21"/>
                <w:szCs w:val="21"/>
              </w:rPr>
            </w:pPr>
            <w:r w:rsidRPr="00925B84">
              <w:rPr>
                <w:color w:val="auto"/>
                <w:sz w:val="21"/>
                <w:szCs w:val="21"/>
              </w:rPr>
              <w:t>掘进矸石</w:t>
            </w:r>
            <w:r w:rsidR="00DF7CF7" w:rsidRPr="00925B84">
              <w:rPr>
                <w:rFonts w:hint="eastAsia"/>
                <w:color w:val="auto"/>
                <w:sz w:val="21"/>
                <w:szCs w:val="21"/>
              </w:rPr>
              <w:t>不出井</w:t>
            </w:r>
            <w:r w:rsidRPr="00925B84">
              <w:rPr>
                <w:rFonts w:hint="eastAsia"/>
                <w:color w:val="auto"/>
                <w:sz w:val="21"/>
                <w:szCs w:val="21"/>
              </w:rPr>
              <w:t>；地面洗选矸石在矸石仓缓存，优先综合利用于</w:t>
            </w:r>
            <w:r w:rsidRPr="00925B84">
              <w:rPr>
                <w:rFonts w:hAnsi="宋体" w:hint="eastAsia"/>
                <w:color w:val="auto"/>
                <w:sz w:val="21"/>
                <w:szCs w:val="21"/>
              </w:rPr>
              <w:t>子洲县马岔乡大堡岔兴盛砖厂和大堡岔红旗空心砖厂，部分供给</w:t>
            </w:r>
            <w:r w:rsidR="00792DE6" w:rsidRPr="00925B84">
              <w:rPr>
                <w:rFonts w:hAnsi="宋体" w:hint="eastAsia"/>
                <w:color w:val="auto"/>
                <w:sz w:val="21"/>
                <w:szCs w:val="21"/>
              </w:rPr>
              <w:t>圣拓（陕西）矿业有限公司作为井下充填</w:t>
            </w:r>
            <w:r w:rsidRPr="00925B84">
              <w:rPr>
                <w:rFonts w:hAnsi="宋体" w:hint="eastAsia"/>
                <w:color w:val="auto"/>
                <w:sz w:val="21"/>
                <w:szCs w:val="21"/>
              </w:rPr>
              <w:t>原料，</w:t>
            </w:r>
            <w:r w:rsidR="00792DE6" w:rsidRPr="00925B84">
              <w:rPr>
                <w:rFonts w:hAnsi="宋体" w:hint="eastAsia"/>
                <w:color w:val="auto"/>
                <w:sz w:val="21"/>
                <w:szCs w:val="21"/>
              </w:rPr>
              <w:t>利用不畅时</w:t>
            </w:r>
            <w:r w:rsidRPr="00925B84">
              <w:rPr>
                <w:rFonts w:hAnsi="宋体" w:hint="eastAsia"/>
                <w:color w:val="auto"/>
                <w:sz w:val="21"/>
                <w:szCs w:val="21"/>
              </w:rPr>
              <w:t>回填井下废弃巷道</w:t>
            </w:r>
          </w:p>
        </w:tc>
        <w:tc>
          <w:tcPr>
            <w:tcW w:w="1585" w:type="dxa"/>
            <w:vAlign w:val="center"/>
          </w:tcPr>
          <w:p w:rsidR="00C223F5" w:rsidRDefault="005860D5">
            <w:pPr>
              <w:pStyle w:val="affffff7"/>
              <w:rPr>
                <w:sz w:val="21"/>
                <w:szCs w:val="21"/>
              </w:rPr>
            </w:pPr>
            <w:r>
              <w:rPr>
                <w:rFonts w:hint="eastAsia"/>
                <w:sz w:val="21"/>
                <w:szCs w:val="21"/>
              </w:rPr>
              <w:t>0</w:t>
            </w:r>
          </w:p>
        </w:tc>
      </w:tr>
      <w:tr w:rsidR="00C223F5">
        <w:trPr>
          <w:trHeight w:val="300"/>
          <w:jc w:val="center"/>
        </w:trPr>
        <w:tc>
          <w:tcPr>
            <w:tcW w:w="358" w:type="dxa"/>
            <w:vMerge/>
            <w:tcMar>
              <w:left w:w="28" w:type="dxa"/>
              <w:right w:w="28" w:type="dxa"/>
            </w:tcMar>
            <w:vAlign w:val="center"/>
          </w:tcPr>
          <w:p w:rsidR="00C223F5" w:rsidRDefault="00C223F5">
            <w:pPr>
              <w:pStyle w:val="affffff7"/>
              <w:rPr>
                <w:sz w:val="21"/>
                <w:szCs w:val="21"/>
              </w:rPr>
            </w:pPr>
          </w:p>
        </w:tc>
        <w:tc>
          <w:tcPr>
            <w:tcW w:w="693" w:type="dxa"/>
            <w:tcMar>
              <w:left w:w="57" w:type="dxa"/>
              <w:right w:w="57" w:type="dxa"/>
            </w:tcMar>
            <w:vAlign w:val="center"/>
          </w:tcPr>
          <w:p w:rsidR="00C223F5" w:rsidRDefault="005860D5">
            <w:pPr>
              <w:pStyle w:val="affffff7"/>
              <w:rPr>
                <w:spacing w:val="-20"/>
                <w:sz w:val="21"/>
                <w:szCs w:val="21"/>
              </w:rPr>
            </w:pPr>
            <w:r>
              <w:rPr>
                <w:spacing w:val="-20"/>
                <w:sz w:val="21"/>
                <w:szCs w:val="21"/>
              </w:rPr>
              <w:t>炉渣</w:t>
            </w:r>
          </w:p>
        </w:tc>
        <w:tc>
          <w:tcPr>
            <w:tcW w:w="4345" w:type="dxa"/>
            <w:tcMar>
              <w:left w:w="28" w:type="dxa"/>
              <w:right w:w="28" w:type="dxa"/>
            </w:tcMar>
            <w:vAlign w:val="center"/>
          </w:tcPr>
          <w:p w:rsidR="00C223F5" w:rsidRPr="00925B84" w:rsidRDefault="005860D5">
            <w:pPr>
              <w:pStyle w:val="affffff7"/>
              <w:rPr>
                <w:color w:val="auto"/>
                <w:sz w:val="21"/>
                <w:szCs w:val="21"/>
              </w:rPr>
            </w:pPr>
            <w:r w:rsidRPr="00925B84">
              <w:rPr>
                <w:color w:val="auto"/>
                <w:sz w:val="21"/>
                <w:szCs w:val="21"/>
              </w:rPr>
              <w:t>道路边坡维护、坑洼地的填垫、</w:t>
            </w:r>
            <w:r w:rsidRPr="00925B84">
              <w:rPr>
                <w:rFonts w:hint="eastAsia"/>
                <w:color w:val="auto"/>
                <w:sz w:val="21"/>
                <w:szCs w:val="21"/>
              </w:rPr>
              <w:t>建材厂原料</w:t>
            </w:r>
          </w:p>
        </w:tc>
        <w:tc>
          <w:tcPr>
            <w:tcW w:w="1736" w:type="dxa"/>
            <w:vAlign w:val="center"/>
          </w:tcPr>
          <w:p w:rsidR="00C223F5" w:rsidRPr="00925B84" w:rsidRDefault="005860D5">
            <w:pPr>
              <w:pStyle w:val="affffff7"/>
              <w:rPr>
                <w:color w:val="auto"/>
                <w:sz w:val="21"/>
                <w:szCs w:val="21"/>
              </w:rPr>
            </w:pPr>
            <w:r w:rsidRPr="00925B84">
              <w:rPr>
                <w:rFonts w:hint="eastAsia"/>
                <w:color w:val="auto"/>
                <w:sz w:val="21"/>
                <w:szCs w:val="21"/>
              </w:rPr>
              <w:t>0</w:t>
            </w:r>
          </w:p>
        </w:tc>
        <w:tc>
          <w:tcPr>
            <w:tcW w:w="5190" w:type="dxa"/>
            <w:tcMar>
              <w:left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无</w:t>
            </w:r>
          </w:p>
        </w:tc>
        <w:tc>
          <w:tcPr>
            <w:tcW w:w="1585" w:type="dxa"/>
            <w:vAlign w:val="center"/>
          </w:tcPr>
          <w:p w:rsidR="00C223F5" w:rsidRDefault="005860D5">
            <w:pPr>
              <w:pStyle w:val="affffff7"/>
              <w:rPr>
                <w:sz w:val="21"/>
                <w:szCs w:val="21"/>
              </w:rPr>
            </w:pPr>
            <w:r>
              <w:rPr>
                <w:rFonts w:hint="eastAsia"/>
                <w:sz w:val="21"/>
                <w:szCs w:val="21"/>
              </w:rPr>
              <w:t>0</w:t>
            </w:r>
          </w:p>
        </w:tc>
      </w:tr>
      <w:tr w:rsidR="00C223F5">
        <w:trPr>
          <w:trHeight w:val="188"/>
          <w:jc w:val="center"/>
        </w:trPr>
        <w:tc>
          <w:tcPr>
            <w:tcW w:w="358" w:type="dxa"/>
            <w:vMerge/>
            <w:tcMar>
              <w:left w:w="28" w:type="dxa"/>
              <w:right w:w="28" w:type="dxa"/>
            </w:tcMar>
            <w:vAlign w:val="center"/>
          </w:tcPr>
          <w:p w:rsidR="00C223F5" w:rsidRDefault="00C223F5">
            <w:pPr>
              <w:pStyle w:val="affffff7"/>
              <w:rPr>
                <w:sz w:val="21"/>
                <w:szCs w:val="21"/>
              </w:rPr>
            </w:pPr>
          </w:p>
        </w:tc>
        <w:tc>
          <w:tcPr>
            <w:tcW w:w="693" w:type="dxa"/>
            <w:tcMar>
              <w:left w:w="28" w:type="dxa"/>
              <w:right w:w="28" w:type="dxa"/>
            </w:tcMar>
            <w:vAlign w:val="center"/>
          </w:tcPr>
          <w:p w:rsidR="00C223F5" w:rsidRDefault="005860D5">
            <w:pPr>
              <w:pStyle w:val="affffff7"/>
              <w:rPr>
                <w:sz w:val="21"/>
                <w:szCs w:val="21"/>
              </w:rPr>
            </w:pPr>
            <w:r>
              <w:rPr>
                <w:sz w:val="21"/>
                <w:szCs w:val="21"/>
              </w:rPr>
              <w:t>脱硫渣</w:t>
            </w:r>
          </w:p>
        </w:tc>
        <w:tc>
          <w:tcPr>
            <w:tcW w:w="4345" w:type="dxa"/>
            <w:tcMar>
              <w:left w:w="28" w:type="dxa"/>
              <w:right w:w="28" w:type="dxa"/>
            </w:tcMar>
            <w:vAlign w:val="center"/>
          </w:tcPr>
          <w:p w:rsidR="00C223F5" w:rsidRPr="00925B84" w:rsidRDefault="005860D5">
            <w:pPr>
              <w:pStyle w:val="affffff7"/>
              <w:rPr>
                <w:color w:val="auto"/>
                <w:sz w:val="21"/>
                <w:szCs w:val="21"/>
              </w:rPr>
            </w:pPr>
            <w:r w:rsidRPr="00925B84">
              <w:rPr>
                <w:color w:val="auto"/>
                <w:sz w:val="21"/>
                <w:szCs w:val="21"/>
              </w:rPr>
              <w:t>无</w:t>
            </w:r>
          </w:p>
        </w:tc>
        <w:tc>
          <w:tcPr>
            <w:tcW w:w="1736" w:type="dxa"/>
            <w:vAlign w:val="center"/>
          </w:tcPr>
          <w:p w:rsidR="00C223F5" w:rsidRPr="00925B84" w:rsidRDefault="005860D5">
            <w:pPr>
              <w:pStyle w:val="affffff7"/>
              <w:rPr>
                <w:color w:val="auto"/>
                <w:sz w:val="21"/>
                <w:szCs w:val="21"/>
              </w:rPr>
            </w:pPr>
            <w:r w:rsidRPr="00925B84">
              <w:rPr>
                <w:rFonts w:hint="eastAsia"/>
                <w:color w:val="auto"/>
                <w:sz w:val="21"/>
                <w:szCs w:val="21"/>
              </w:rPr>
              <w:t>0</w:t>
            </w:r>
          </w:p>
        </w:tc>
        <w:tc>
          <w:tcPr>
            <w:tcW w:w="5190" w:type="dxa"/>
            <w:tcMar>
              <w:left w:w="28" w:type="dxa"/>
              <w:right w:w="28" w:type="dxa"/>
            </w:tcMar>
            <w:vAlign w:val="center"/>
          </w:tcPr>
          <w:p w:rsidR="00C223F5" w:rsidRPr="00925B84" w:rsidRDefault="005860D5">
            <w:pPr>
              <w:pStyle w:val="affffff7"/>
              <w:rPr>
                <w:color w:val="auto"/>
                <w:sz w:val="21"/>
                <w:szCs w:val="21"/>
              </w:rPr>
            </w:pPr>
            <w:r w:rsidRPr="00925B84">
              <w:rPr>
                <w:rFonts w:hint="eastAsia"/>
                <w:color w:val="auto"/>
                <w:sz w:val="21"/>
                <w:szCs w:val="21"/>
              </w:rPr>
              <w:t>无</w:t>
            </w:r>
          </w:p>
        </w:tc>
        <w:tc>
          <w:tcPr>
            <w:tcW w:w="1585" w:type="dxa"/>
            <w:vAlign w:val="center"/>
          </w:tcPr>
          <w:p w:rsidR="00C223F5" w:rsidRDefault="005860D5">
            <w:pPr>
              <w:pStyle w:val="affffff7"/>
              <w:rPr>
                <w:sz w:val="21"/>
                <w:szCs w:val="21"/>
              </w:rPr>
            </w:pPr>
            <w:r>
              <w:rPr>
                <w:rFonts w:hint="eastAsia"/>
                <w:sz w:val="21"/>
                <w:szCs w:val="21"/>
              </w:rPr>
              <w:t>0</w:t>
            </w:r>
          </w:p>
        </w:tc>
      </w:tr>
      <w:tr w:rsidR="00C223F5">
        <w:trPr>
          <w:trHeight w:val="136"/>
          <w:jc w:val="center"/>
        </w:trPr>
        <w:tc>
          <w:tcPr>
            <w:tcW w:w="358" w:type="dxa"/>
            <w:vMerge/>
            <w:tcMar>
              <w:left w:w="28" w:type="dxa"/>
              <w:right w:w="28" w:type="dxa"/>
            </w:tcMar>
            <w:vAlign w:val="center"/>
          </w:tcPr>
          <w:p w:rsidR="00C223F5" w:rsidRDefault="00C223F5">
            <w:pPr>
              <w:pStyle w:val="affffff7"/>
              <w:rPr>
                <w:sz w:val="21"/>
                <w:szCs w:val="21"/>
              </w:rPr>
            </w:pPr>
          </w:p>
        </w:tc>
        <w:tc>
          <w:tcPr>
            <w:tcW w:w="693" w:type="dxa"/>
            <w:tcMar>
              <w:left w:w="28" w:type="dxa"/>
              <w:right w:w="28" w:type="dxa"/>
            </w:tcMar>
            <w:vAlign w:val="center"/>
          </w:tcPr>
          <w:p w:rsidR="00C223F5" w:rsidRDefault="005860D5">
            <w:pPr>
              <w:pStyle w:val="affffff7"/>
              <w:rPr>
                <w:sz w:val="21"/>
                <w:szCs w:val="21"/>
              </w:rPr>
            </w:pPr>
            <w:r>
              <w:rPr>
                <w:sz w:val="21"/>
                <w:szCs w:val="21"/>
              </w:rPr>
              <w:t>生活</w:t>
            </w:r>
          </w:p>
          <w:p w:rsidR="00C223F5" w:rsidRDefault="005860D5">
            <w:pPr>
              <w:pStyle w:val="affffff7"/>
              <w:rPr>
                <w:sz w:val="21"/>
                <w:szCs w:val="21"/>
              </w:rPr>
            </w:pPr>
            <w:r>
              <w:rPr>
                <w:sz w:val="21"/>
                <w:szCs w:val="21"/>
              </w:rPr>
              <w:t>垃圾</w:t>
            </w:r>
          </w:p>
        </w:tc>
        <w:tc>
          <w:tcPr>
            <w:tcW w:w="4345" w:type="dxa"/>
            <w:tcMar>
              <w:left w:w="28" w:type="dxa"/>
              <w:right w:w="28" w:type="dxa"/>
            </w:tcMar>
            <w:vAlign w:val="center"/>
          </w:tcPr>
          <w:p w:rsidR="00C223F5" w:rsidRPr="00925B84" w:rsidRDefault="005860D5">
            <w:pPr>
              <w:pStyle w:val="affffff7"/>
              <w:rPr>
                <w:rFonts w:eastAsia="新宋体"/>
                <w:color w:val="auto"/>
                <w:sz w:val="21"/>
                <w:szCs w:val="21"/>
              </w:rPr>
            </w:pPr>
            <w:r w:rsidRPr="00925B84">
              <w:rPr>
                <w:color w:val="auto"/>
                <w:sz w:val="21"/>
                <w:szCs w:val="21"/>
              </w:rPr>
              <w:t>由地方政府环保部门统一处置</w:t>
            </w:r>
          </w:p>
        </w:tc>
        <w:tc>
          <w:tcPr>
            <w:tcW w:w="1736" w:type="dxa"/>
            <w:vAlign w:val="center"/>
          </w:tcPr>
          <w:p w:rsidR="00C223F5" w:rsidRPr="00925B84" w:rsidRDefault="005860D5">
            <w:pPr>
              <w:pStyle w:val="affffff7"/>
              <w:rPr>
                <w:color w:val="auto"/>
                <w:sz w:val="21"/>
                <w:szCs w:val="21"/>
              </w:rPr>
            </w:pPr>
            <w:r w:rsidRPr="00925B84">
              <w:rPr>
                <w:rFonts w:hint="eastAsia"/>
                <w:color w:val="auto"/>
                <w:sz w:val="21"/>
                <w:szCs w:val="21"/>
              </w:rPr>
              <w:t>0</w:t>
            </w:r>
          </w:p>
        </w:tc>
        <w:tc>
          <w:tcPr>
            <w:tcW w:w="5190" w:type="dxa"/>
            <w:tcMar>
              <w:left w:w="28" w:type="dxa"/>
              <w:right w:w="28" w:type="dxa"/>
            </w:tcMar>
            <w:vAlign w:val="center"/>
          </w:tcPr>
          <w:p w:rsidR="00C223F5" w:rsidRPr="00925B84" w:rsidRDefault="005860D5">
            <w:pPr>
              <w:pStyle w:val="affffff7"/>
              <w:rPr>
                <w:color w:val="auto"/>
                <w:sz w:val="21"/>
                <w:szCs w:val="21"/>
              </w:rPr>
            </w:pPr>
            <w:r w:rsidRPr="00925B84">
              <w:rPr>
                <w:color w:val="auto"/>
                <w:sz w:val="21"/>
                <w:szCs w:val="21"/>
              </w:rPr>
              <w:t>集中收集、定期</w:t>
            </w:r>
            <w:r w:rsidRPr="00925B84">
              <w:rPr>
                <w:rFonts w:eastAsia="新宋体"/>
                <w:color w:val="auto"/>
                <w:sz w:val="21"/>
                <w:szCs w:val="21"/>
              </w:rPr>
              <w:t>清运至市政垃圾场处置</w:t>
            </w:r>
          </w:p>
        </w:tc>
        <w:tc>
          <w:tcPr>
            <w:tcW w:w="1585" w:type="dxa"/>
            <w:vAlign w:val="center"/>
          </w:tcPr>
          <w:p w:rsidR="00C223F5" w:rsidRDefault="005860D5">
            <w:pPr>
              <w:pStyle w:val="affffff7"/>
              <w:rPr>
                <w:sz w:val="21"/>
                <w:szCs w:val="21"/>
              </w:rPr>
            </w:pPr>
            <w:r>
              <w:rPr>
                <w:rFonts w:hint="eastAsia"/>
                <w:sz w:val="21"/>
                <w:szCs w:val="21"/>
              </w:rPr>
              <w:t>0</w:t>
            </w:r>
          </w:p>
        </w:tc>
      </w:tr>
      <w:tr w:rsidR="00C223F5">
        <w:trPr>
          <w:trHeight w:val="195"/>
          <w:jc w:val="center"/>
        </w:trPr>
        <w:tc>
          <w:tcPr>
            <w:tcW w:w="358" w:type="dxa"/>
            <w:vMerge/>
            <w:tcMar>
              <w:left w:w="28" w:type="dxa"/>
              <w:right w:w="28" w:type="dxa"/>
            </w:tcMar>
            <w:vAlign w:val="center"/>
          </w:tcPr>
          <w:p w:rsidR="00C223F5" w:rsidRDefault="00C223F5">
            <w:pPr>
              <w:pStyle w:val="affffff7"/>
              <w:rPr>
                <w:sz w:val="21"/>
                <w:szCs w:val="21"/>
              </w:rPr>
            </w:pPr>
          </w:p>
        </w:tc>
        <w:tc>
          <w:tcPr>
            <w:tcW w:w="693" w:type="dxa"/>
            <w:tcMar>
              <w:left w:w="28" w:type="dxa"/>
              <w:right w:w="28" w:type="dxa"/>
            </w:tcMar>
            <w:vAlign w:val="center"/>
          </w:tcPr>
          <w:p w:rsidR="00C223F5" w:rsidRDefault="005860D5">
            <w:pPr>
              <w:pStyle w:val="affffff7"/>
              <w:rPr>
                <w:sz w:val="21"/>
                <w:szCs w:val="21"/>
              </w:rPr>
            </w:pPr>
            <w:r>
              <w:rPr>
                <w:sz w:val="21"/>
                <w:szCs w:val="21"/>
              </w:rPr>
              <w:t>煤泥</w:t>
            </w:r>
          </w:p>
        </w:tc>
        <w:tc>
          <w:tcPr>
            <w:tcW w:w="4345" w:type="dxa"/>
            <w:tcMar>
              <w:left w:w="28" w:type="dxa"/>
              <w:right w:w="28" w:type="dxa"/>
            </w:tcMar>
            <w:vAlign w:val="center"/>
          </w:tcPr>
          <w:p w:rsidR="00C223F5" w:rsidRPr="00925B84" w:rsidRDefault="005860D5">
            <w:pPr>
              <w:pStyle w:val="affffff7"/>
              <w:rPr>
                <w:color w:val="auto"/>
                <w:sz w:val="21"/>
                <w:szCs w:val="21"/>
              </w:rPr>
            </w:pPr>
            <w:r w:rsidRPr="00925B84">
              <w:rPr>
                <w:color w:val="auto"/>
                <w:sz w:val="21"/>
                <w:szCs w:val="21"/>
              </w:rPr>
              <w:t>混入</w:t>
            </w:r>
            <w:r w:rsidRPr="00925B84">
              <w:rPr>
                <w:rFonts w:hint="eastAsia"/>
                <w:color w:val="auto"/>
                <w:sz w:val="21"/>
                <w:szCs w:val="21"/>
              </w:rPr>
              <w:t>产品煤</w:t>
            </w:r>
            <w:r w:rsidRPr="00925B84">
              <w:rPr>
                <w:color w:val="auto"/>
                <w:sz w:val="21"/>
                <w:szCs w:val="21"/>
              </w:rPr>
              <w:t>出售</w:t>
            </w:r>
          </w:p>
        </w:tc>
        <w:tc>
          <w:tcPr>
            <w:tcW w:w="1736" w:type="dxa"/>
            <w:vAlign w:val="center"/>
          </w:tcPr>
          <w:p w:rsidR="00C223F5" w:rsidRPr="00925B84" w:rsidRDefault="005860D5">
            <w:pPr>
              <w:pStyle w:val="affffff7"/>
              <w:rPr>
                <w:color w:val="auto"/>
                <w:sz w:val="21"/>
                <w:szCs w:val="21"/>
              </w:rPr>
            </w:pPr>
            <w:r w:rsidRPr="00925B84">
              <w:rPr>
                <w:rFonts w:hint="eastAsia"/>
                <w:color w:val="auto"/>
                <w:sz w:val="21"/>
                <w:szCs w:val="21"/>
              </w:rPr>
              <w:t>0</w:t>
            </w:r>
          </w:p>
        </w:tc>
        <w:tc>
          <w:tcPr>
            <w:tcW w:w="5190" w:type="dxa"/>
            <w:tcMar>
              <w:left w:w="28" w:type="dxa"/>
              <w:right w:w="28" w:type="dxa"/>
            </w:tcMar>
            <w:vAlign w:val="center"/>
          </w:tcPr>
          <w:p w:rsidR="00C223F5" w:rsidRPr="00925B84" w:rsidRDefault="005860D5">
            <w:pPr>
              <w:pStyle w:val="affffff7"/>
              <w:rPr>
                <w:color w:val="auto"/>
                <w:sz w:val="21"/>
                <w:szCs w:val="21"/>
              </w:rPr>
            </w:pPr>
            <w:r w:rsidRPr="00925B84">
              <w:rPr>
                <w:color w:val="auto"/>
                <w:sz w:val="21"/>
                <w:szCs w:val="21"/>
              </w:rPr>
              <w:t>煤泥压滤后外销</w:t>
            </w:r>
          </w:p>
        </w:tc>
        <w:tc>
          <w:tcPr>
            <w:tcW w:w="1585" w:type="dxa"/>
            <w:vAlign w:val="center"/>
          </w:tcPr>
          <w:p w:rsidR="00C223F5" w:rsidRDefault="005860D5">
            <w:pPr>
              <w:pStyle w:val="affffff7"/>
              <w:rPr>
                <w:sz w:val="21"/>
                <w:szCs w:val="21"/>
              </w:rPr>
            </w:pPr>
            <w:r>
              <w:rPr>
                <w:rFonts w:hint="eastAsia"/>
                <w:sz w:val="21"/>
                <w:szCs w:val="21"/>
              </w:rPr>
              <w:t>0</w:t>
            </w:r>
          </w:p>
        </w:tc>
      </w:tr>
      <w:tr w:rsidR="00C223F5">
        <w:trPr>
          <w:trHeight w:val="161"/>
          <w:jc w:val="center"/>
        </w:trPr>
        <w:tc>
          <w:tcPr>
            <w:tcW w:w="358" w:type="dxa"/>
            <w:vMerge/>
            <w:tcMar>
              <w:left w:w="28" w:type="dxa"/>
              <w:right w:w="28" w:type="dxa"/>
            </w:tcMar>
            <w:vAlign w:val="center"/>
          </w:tcPr>
          <w:p w:rsidR="00C223F5" w:rsidRDefault="00C223F5">
            <w:pPr>
              <w:pStyle w:val="affffff7"/>
              <w:rPr>
                <w:sz w:val="21"/>
                <w:szCs w:val="21"/>
              </w:rPr>
            </w:pPr>
          </w:p>
        </w:tc>
        <w:tc>
          <w:tcPr>
            <w:tcW w:w="693" w:type="dxa"/>
            <w:tcMar>
              <w:left w:w="28" w:type="dxa"/>
              <w:right w:w="28" w:type="dxa"/>
            </w:tcMar>
            <w:vAlign w:val="center"/>
          </w:tcPr>
          <w:p w:rsidR="00C223F5" w:rsidRDefault="005860D5">
            <w:pPr>
              <w:pStyle w:val="affffff7"/>
              <w:rPr>
                <w:sz w:val="21"/>
                <w:szCs w:val="21"/>
              </w:rPr>
            </w:pPr>
            <w:r>
              <w:rPr>
                <w:sz w:val="21"/>
                <w:szCs w:val="21"/>
              </w:rPr>
              <w:t>污泥</w:t>
            </w:r>
          </w:p>
        </w:tc>
        <w:tc>
          <w:tcPr>
            <w:tcW w:w="4345" w:type="dxa"/>
            <w:tcMar>
              <w:left w:w="28" w:type="dxa"/>
              <w:right w:w="28" w:type="dxa"/>
            </w:tcMar>
            <w:vAlign w:val="center"/>
          </w:tcPr>
          <w:p w:rsidR="00C223F5" w:rsidRPr="00925B84" w:rsidRDefault="005860D5">
            <w:pPr>
              <w:pStyle w:val="affffff7"/>
              <w:rPr>
                <w:color w:val="auto"/>
                <w:sz w:val="21"/>
                <w:szCs w:val="21"/>
              </w:rPr>
            </w:pPr>
            <w:r w:rsidRPr="00925B84">
              <w:rPr>
                <w:color w:val="auto"/>
                <w:sz w:val="21"/>
                <w:szCs w:val="21"/>
              </w:rPr>
              <w:t>堆肥或由当地政府统一处置</w:t>
            </w:r>
          </w:p>
        </w:tc>
        <w:tc>
          <w:tcPr>
            <w:tcW w:w="1736" w:type="dxa"/>
            <w:vAlign w:val="center"/>
          </w:tcPr>
          <w:p w:rsidR="00C223F5" w:rsidRPr="00925B84" w:rsidRDefault="005860D5">
            <w:pPr>
              <w:pStyle w:val="affffff7"/>
              <w:rPr>
                <w:color w:val="auto"/>
                <w:sz w:val="21"/>
                <w:szCs w:val="21"/>
              </w:rPr>
            </w:pPr>
            <w:r w:rsidRPr="00925B84">
              <w:rPr>
                <w:rFonts w:hint="eastAsia"/>
                <w:color w:val="auto"/>
                <w:sz w:val="21"/>
                <w:szCs w:val="21"/>
              </w:rPr>
              <w:t>0</w:t>
            </w:r>
          </w:p>
        </w:tc>
        <w:tc>
          <w:tcPr>
            <w:tcW w:w="5190" w:type="dxa"/>
            <w:tcMar>
              <w:left w:w="28" w:type="dxa"/>
              <w:right w:w="28" w:type="dxa"/>
            </w:tcMar>
            <w:vAlign w:val="center"/>
          </w:tcPr>
          <w:p w:rsidR="00C223F5" w:rsidRPr="00925B84" w:rsidRDefault="005860D5">
            <w:pPr>
              <w:pStyle w:val="affffff7"/>
              <w:rPr>
                <w:color w:val="auto"/>
                <w:sz w:val="21"/>
                <w:szCs w:val="21"/>
              </w:rPr>
            </w:pPr>
            <w:r w:rsidRPr="00925B84">
              <w:rPr>
                <w:color w:val="auto"/>
                <w:sz w:val="21"/>
                <w:szCs w:val="21"/>
              </w:rPr>
              <w:t>脱水及相关处理后送垃圾填埋场处理</w:t>
            </w:r>
          </w:p>
        </w:tc>
        <w:tc>
          <w:tcPr>
            <w:tcW w:w="1585" w:type="dxa"/>
            <w:vAlign w:val="center"/>
          </w:tcPr>
          <w:p w:rsidR="00C223F5" w:rsidRDefault="005860D5">
            <w:pPr>
              <w:pStyle w:val="affffff7"/>
              <w:rPr>
                <w:sz w:val="21"/>
                <w:szCs w:val="21"/>
              </w:rPr>
            </w:pPr>
            <w:r>
              <w:rPr>
                <w:rFonts w:hint="eastAsia"/>
                <w:sz w:val="21"/>
                <w:szCs w:val="21"/>
              </w:rPr>
              <w:t>0</w:t>
            </w:r>
          </w:p>
        </w:tc>
      </w:tr>
      <w:tr w:rsidR="00C223F5">
        <w:trPr>
          <w:trHeight w:val="2141"/>
          <w:jc w:val="center"/>
        </w:trPr>
        <w:tc>
          <w:tcPr>
            <w:tcW w:w="358" w:type="dxa"/>
            <w:tcMar>
              <w:left w:w="28" w:type="dxa"/>
              <w:right w:w="28" w:type="dxa"/>
            </w:tcMar>
            <w:vAlign w:val="center"/>
          </w:tcPr>
          <w:p w:rsidR="00C223F5" w:rsidRDefault="005860D5">
            <w:pPr>
              <w:pStyle w:val="affffff7"/>
              <w:rPr>
                <w:color w:val="auto"/>
                <w:sz w:val="21"/>
                <w:szCs w:val="21"/>
              </w:rPr>
            </w:pPr>
            <w:r>
              <w:rPr>
                <w:color w:val="auto"/>
                <w:sz w:val="21"/>
                <w:szCs w:val="21"/>
              </w:rPr>
              <w:t>声</w:t>
            </w:r>
          </w:p>
        </w:tc>
        <w:tc>
          <w:tcPr>
            <w:tcW w:w="693" w:type="dxa"/>
            <w:tcMar>
              <w:left w:w="28" w:type="dxa"/>
              <w:right w:w="28" w:type="dxa"/>
            </w:tcMar>
            <w:vAlign w:val="center"/>
          </w:tcPr>
          <w:p w:rsidR="00C223F5" w:rsidRDefault="005860D5">
            <w:pPr>
              <w:pStyle w:val="affffff7"/>
              <w:rPr>
                <w:color w:val="auto"/>
                <w:sz w:val="21"/>
                <w:szCs w:val="21"/>
              </w:rPr>
            </w:pPr>
            <w:r>
              <w:rPr>
                <w:color w:val="auto"/>
                <w:sz w:val="21"/>
                <w:szCs w:val="21"/>
              </w:rPr>
              <w:t>通风</w:t>
            </w:r>
          </w:p>
          <w:p w:rsidR="00C223F5" w:rsidRDefault="005860D5">
            <w:pPr>
              <w:pStyle w:val="affffff7"/>
              <w:rPr>
                <w:color w:val="auto"/>
                <w:sz w:val="21"/>
                <w:szCs w:val="21"/>
              </w:rPr>
            </w:pPr>
            <w:r>
              <w:rPr>
                <w:color w:val="auto"/>
                <w:sz w:val="21"/>
                <w:szCs w:val="21"/>
              </w:rPr>
              <w:t>机房、</w:t>
            </w:r>
          </w:p>
          <w:p w:rsidR="00C223F5" w:rsidRDefault="005860D5">
            <w:pPr>
              <w:pStyle w:val="affffff7"/>
              <w:rPr>
                <w:color w:val="auto"/>
                <w:sz w:val="21"/>
                <w:szCs w:val="21"/>
              </w:rPr>
            </w:pPr>
            <w:r>
              <w:rPr>
                <w:color w:val="auto"/>
                <w:sz w:val="21"/>
                <w:szCs w:val="21"/>
              </w:rPr>
              <w:t>锅炉等主要强噪设备</w:t>
            </w:r>
          </w:p>
        </w:tc>
        <w:tc>
          <w:tcPr>
            <w:tcW w:w="4345" w:type="dxa"/>
            <w:tcMar>
              <w:left w:w="28" w:type="dxa"/>
              <w:right w:w="28" w:type="dxa"/>
            </w:tcMar>
            <w:vAlign w:val="center"/>
          </w:tcPr>
          <w:p w:rsidR="00C223F5" w:rsidRPr="00925B84" w:rsidRDefault="000F32AE">
            <w:pPr>
              <w:adjustRightInd w:val="0"/>
              <w:snapToGrid w:val="0"/>
              <w:jc w:val="left"/>
              <w:rPr>
                <w:kern w:val="0"/>
                <w:szCs w:val="21"/>
              </w:rPr>
            </w:pPr>
            <w:r w:rsidRPr="00925B84">
              <w:rPr>
                <w:kern w:val="0"/>
                <w:szCs w:val="21"/>
              </w:rPr>
              <w:fldChar w:fldCharType="begin"/>
            </w:r>
            <w:r w:rsidR="005860D5" w:rsidRPr="00925B84">
              <w:rPr>
                <w:rFonts w:hint="eastAsia"/>
                <w:kern w:val="0"/>
                <w:szCs w:val="21"/>
              </w:rPr>
              <w:instrText>= 1 \* GB3</w:instrText>
            </w:r>
            <w:r w:rsidRPr="00925B84">
              <w:rPr>
                <w:kern w:val="0"/>
                <w:szCs w:val="21"/>
              </w:rPr>
              <w:fldChar w:fldCharType="separate"/>
            </w:r>
            <w:r w:rsidR="005860D5" w:rsidRPr="00925B84">
              <w:rPr>
                <w:rFonts w:hint="eastAsia"/>
                <w:kern w:val="0"/>
                <w:szCs w:val="21"/>
              </w:rPr>
              <w:t>①</w:t>
            </w:r>
            <w:r w:rsidRPr="00925B84">
              <w:rPr>
                <w:kern w:val="0"/>
                <w:szCs w:val="21"/>
              </w:rPr>
              <w:fldChar w:fldCharType="end"/>
            </w:r>
            <w:r w:rsidR="005860D5" w:rsidRPr="00925B84">
              <w:rPr>
                <w:rFonts w:hint="eastAsia"/>
                <w:kern w:val="0"/>
                <w:szCs w:val="21"/>
              </w:rPr>
              <w:t>选用低噪声设备</w:t>
            </w:r>
          </w:p>
          <w:p w:rsidR="00C223F5" w:rsidRPr="00925B84" w:rsidRDefault="005860D5">
            <w:pPr>
              <w:adjustRightInd w:val="0"/>
              <w:snapToGrid w:val="0"/>
              <w:jc w:val="left"/>
              <w:rPr>
                <w:kern w:val="0"/>
                <w:szCs w:val="21"/>
              </w:rPr>
            </w:pPr>
            <w:r w:rsidRPr="00925B84">
              <w:rPr>
                <w:kern w:val="0"/>
                <w:szCs w:val="21"/>
              </w:rPr>
              <w:t>②</w:t>
            </w:r>
            <w:r w:rsidRPr="00925B84">
              <w:rPr>
                <w:rFonts w:hint="eastAsia"/>
                <w:kern w:val="0"/>
                <w:szCs w:val="21"/>
              </w:rPr>
              <w:t>通风机加装消声器，高噪声设备采取基础减震、隔声、吸声、消声等措施</w:t>
            </w:r>
          </w:p>
          <w:p w:rsidR="00C223F5" w:rsidRPr="00925B84" w:rsidRDefault="000F32AE">
            <w:pPr>
              <w:adjustRightInd w:val="0"/>
              <w:snapToGrid w:val="0"/>
              <w:jc w:val="left"/>
              <w:rPr>
                <w:kern w:val="0"/>
                <w:szCs w:val="21"/>
              </w:rPr>
            </w:pPr>
            <w:r w:rsidRPr="00925B84">
              <w:rPr>
                <w:kern w:val="0"/>
                <w:szCs w:val="21"/>
              </w:rPr>
              <w:fldChar w:fldCharType="begin"/>
            </w:r>
            <w:r w:rsidR="005860D5" w:rsidRPr="00925B84">
              <w:rPr>
                <w:rFonts w:hint="eastAsia"/>
                <w:kern w:val="0"/>
                <w:szCs w:val="21"/>
              </w:rPr>
              <w:instrText>= 3 \* GB3</w:instrText>
            </w:r>
            <w:r w:rsidRPr="00925B84">
              <w:rPr>
                <w:kern w:val="0"/>
                <w:szCs w:val="21"/>
              </w:rPr>
              <w:fldChar w:fldCharType="separate"/>
            </w:r>
            <w:r w:rsidR="005860D5" w:rsidRPr="00925B84">
              <w:rPr>
                <w:rFonts w:hint="eastAsia"/>
                <w:kern w:val="0"/>
                <w:szCs w:val="21"/>
              </w:rPr>
              <w:t>③</w:t>
            </w:r>
            <w:r w:rsidRPr="00925B84">
              <w:rPr>
                <w:kern w:val="0"/>
                <w:szCs w:val="21"/>
              </w:rPr>
              <w:fldChar w:fldCharType="end"/>
            </w:r>
            <w:r w:rsidR="005860D5" w:rsidRPr="00925B84">
              <w:rPr>
                <w:rFonts w:hint="eastAsia"/>
                <w:kern w:val="0"/>
                <w:szCs w:val="21"/>
              </w:rPr>
              <w:t>锅炉房鼓、引风机减震消声；</w:t>
            </w:r>
          </w:p>
          <w:p w:rsidR="00C223F5" w:rsidRPr="00925B84" w:rsidRDefault="000F32AE">
            <w:pPr>
              <w:adjustRightInd w:val="0"/>
              <w:snapToGrid w:val="0"/>
              <w:jc w:val="left"/>
              <w:rPr>
                <w:kern w:val="0"/>
                <w:szCs w:val="21"/>
              </w:rPr>
            </w:pPr>
            <w:r w:rsidRPr="00925B84">
              <w:rPr>
                <w:kern w:val="0"/>
                <w:szCs w:val="21"/>
              </w:rPr>
              <w:fldChar w:fldCharType="begin"/>
            </w:r>
            <w:r w:rsidR="005860D5" w:rsidRPr="00925B84">
              <w:rPr>
                <w:rFonts w:hint="eastAsia"/>
                <w:kern w:val="0"/>
                <w:szCs w:val="21"/>
              </w:rPr>
              <w:instrText>= 4 \* GB3</w:instrText>
            </w:r>
            <w:r w:rsidRPr="00925B84">
              <w:rPr>
                <w:kern w:val="0"/>
                <w:szCs w:val="21"/>
              </w:rPr>
              <w:fldChar w:fldCharType="separate"/>
            </w:r>
            <w:r w:rsidR="005860D5" w:rsidRPr="00925B84">
              <w:rPr>
                <w:rFonts w:hint="eastAsia"/>
                <w:kern w:val="0"/>
                <w:szCs w:val="21"/>
              </w:rPr>
              <w:t>④</w:t>
            </w:r>
            <w:r w:rsidRPr="00925B84">
              <w:rPr>
                <w:kern w:val="0"/>
                <w:szCs w:val="21"/>
              </w:rPr>
              <w:fldChar w:fldCharType="end"/>
            </w:r>
            <w:r w:rsidR="005860D5" w:rsidRPr="00925B84">
              <w:rPr>
                <w:rFonts w:hint="eastAsia"/>
                <w:kern w:val="0"/>
                <w:szCs w:val="21"/>
              </w:rPr>
              <w:t>对溜槽、溜斗等阻尼减震处置等</w:t>
            </w:r>
          </w:p>
        </w:tc>
        <w:tc>
          <w:tcPr>
            <w:tcW w:w="1736" w:type="dxa"/>
            <w:vAlign w:val="center"/>
          </w:tcPr>
          <w:p w:rsidR="00C223F5" w:rsidRPr="00925B84" w:rsidRDefault="005860D5">
            <w:pPr>
              <w:pStyle w:val="affffff7"/>
              <w:rPr>
                <w:color w:val="auto"/>
                <w:sz w:val="21"/>
                <w:szCs w:val="21"/>
              </w:rPr>
            </w:pPr>
            <w:r w:rsidRPr="00925B84">
              <w:rPr>
                <w:rFonts w:hint="eastAsia"/>
                <w:color w:val="auto"/>
                <w:sz w:val="21"/>
                <w:szCs w:val="21"/>
              </w:rPr>
              <w:t>厂界达标</w:t>
            </w:r>
          </w:p>
        </w:tc>
        <w:tc>
          <w:tcPr>
            <w:tcW w:w="5190" w:type="dxa"/>
            <w:tcMar>
              <w:left w:w="28" w:type="dxa"/>
              <w:right w:w="28" w:type="dxa"/>
            </w:tcMar>
            <w:vAlign w:val="center"/>
          </w:tcPr>
          <w:p w:rsidR="00C223F5" w:rsidRPr="00925B84" w:rsidRDefault="000F32AE">
            <w:pPr>
              <w:pStyle w:val="affffff7"/>
              <w:jc w:val="left"/>
              <w:rPr>
                <w:color w:val="auto"/>
                <w:sz w:val="21"/>
                <w:szCs w:val="21"/>
              </w:rPr>
            </w:pPr>
            <w:r w:rsidRPr="00925B84">
              <w:rPr>
                <w:color w:val="auto"/>
                <w:sz w:val="21"/>
                <w:szCs w:val="21"/>
              </w:rPr>
              <w:fldChar w:fldCharType="begin"/>
            </w:r>
            <w:r w:rsidR="005860D5" w:rsidRPr="00925B84">
              <w:rPr>
                <w:rFonts w:hint="eastAsia"/>
                <w:color w:val="auto"/>
                <w:sz w:val="21"/>
                <w:szCs w:val="21"/>
              </w:rPr>
              <w:instrText>= 1 \* GB3</w:instrText>
            </w:r>
            <w:r w:rsidRPr="00925B84">
              <w:rPr>
                <w:color w:val="auto"/>
                <w:sz w:val="21"/>
                <w:szCs w:val="21"/>
              </w:rPr>
              <w:fldChar w:fldCharType="separate"/>
            </w:r>
            <w:r w:rsidR="005860D5" w:rsidRPr="00925B84">
              <w:rPr>
                <w:rFonts w:hint="eastAsia"/>
                <w:color w:val="auto"/>
                <w:sz w:val="21"/>
                <w:szCs w:val="21"/>
              </w:rPr>
              <w:t>①</w:t>
            </w:r>
            <w:r w:rsidRPr="00925B84">
              <w:rPr>
                <w:color w:val="auto"/>
                <w:sz w:val="21"/>
                <w:szCs w:val="21"/>
              </w:rPr>
              <w:fldChar w:fldCharType="end"/>
            </w:r>
            <w:r w:rsidR="005860D5" w:rsidRPr="00925B84">
              <w:rPr>
                <w:rFonts w:hint="eastAsia"/>
                <w:color w:val="auto"/>
                <w:sz w:val="21"/>
                <w:szCs w:val="21"/>
              </w:rPr>
              <w:t>选用低噪声设备；</w:t>
            </w:r>
          </w:p>
          <w:p w:rsidR="00C223F5" w:rsidRPr="00925B84" w:rsidRDefault="005860D5">
            <w:pPr>
              <w:pStyle w:val="affffff7"/>
              <w:jc w:val="left"/>
              <w:rPr>
                <w:color w:val="auto"/>
                <w:sz w:val="21"/>
                <w:szCs w:val="21"/>
              </w:rPr>
            </w:pPr>
            <w:r w:rsidRPr="00925B84">
              <w:rPr>
                <w:color w:val="auto"/>
                <w:sz w:val="21"/>
                <w:szCs w:val="21"/>
              </w:rPr>
              <w:t>②</w:t>
            </w:r>
            <w:r w:rsidRPr="00925B84">
              <w:rPr>
                <w:rFonts w:hint="eastAsia"/>
                <w:color w:val="auto"/>
                <w:sz w:val="21"/>
                <w:szCs w:val="21"/>
              </w:rPr>
              <w:t>驱动机设隔声罩，门窗选用隔声型结构，室内设隔声值班室；</w:t>
            </w:r>
          </w:p>
          <w:p w:rsidR="00C223F5" w:rsidRPr="00925B84" w:rsidRDefault="000F32AE">
            <w:pPr>
              <w:pStyle w:val="affffff7"/>
              <w:jc w:val="left"/>
              <w:rPr>
                <w:color w:val="auto"/>
                <w:sz w:val="21"/>
                <w:szCs w:val="21"/>
              </w:rPr>
            </w:pPr>
            <w:r w:rsidRPr="00925B84">
              <w:rPr>
                <w:color w:val="auto"/>
                <w:sz w:val="21"/>
                <w:szCs w:val="21"/>
              </w:rPr>
              <w:fldChar w:fldCharType="begin"/>
            </w:r>
            <w:r w:rsidR="005860D5" w:rsidRPr="00925B84">
              <w:rPr>
                <w:rFonts w:hint="eastAsia"/>
                <w:color w:val="auto"/>
                <w:sz w:val="21"/>
                <w:szCs w:val="21"/>
              </w:rPr>
              <w:instrText>= 3 \* GB3</w:instrText>
            </w:r>
            <w:r w:rsidRPr="00925B84">
              <w:rPr>
                <w:color w:val="auto"/>
                <w:sz w:val="21"/>
                <w:szCs w:val="21"/>
              </w:rPr>
              <w:fldChar w:fldCharType="separate"/>
            </w:r>
            <w:r w:rsidR="005860D5" w:rsidRPr="00925B84">
              <w:rPr>
                <w:rFonts w:hint="eastAsia"/>
                <w:color w:val="auto"/>
                <w:sz w:val="21"/>
                <w:szCs w:val="21"/>
              </w:rPr>
              <w:t>③</w:t>
            </w:r>
            <w:r w:rsidRPr="00925B84">
              <w:rPr>
                <w:color w:val="auto"/>
                <w:sz w:val="21"/>
                <w:szCs w:val="21"/>
              </w:rPr>
              <w:fldChar w:fldCharType="end"/>
            </w:r>
            <w:r w:rsidR="005860D5" w:rsidRPr="00925B84">
              <w:rPr>
                <w:color w:val="auto"/>
                <w:sz w:val="21"/>
                <w:szCs w:val="21"/>
              </w:rPr>
              <w:t>筛</w:t>
            </w:r>
            <w:r w:rsidR="005860D5" w:rsidRPr="00925B84">
              <w:rPr>
                <w:rFonts w:hint="eastAsia"/>
                <w:color w:val="auto"/>
                <w:sz w:val="21"/>
                <w:szCs w:val="21"/>
              </w:rPr>
              <w:t>破</w:t>
            </w:r>
            <w:r w:rsidR="005860D5" w:rsidRPr="00925B84">
              <w:rPr>
                <w:color w:val="auto"/>
                <w:sz w:val="21"/>
                <w:szCs w:val="21"/>
              </w:rPr>
              <w:t>车间</w:t>
            </w:r>
            <w:r w:rsidR="005860D5" w:rsidRPr="00925B84">
              <w:rPr>
                <w:rFonts w:hint="eastAsia"/>
                <w:color w:val="auto"/>
                <w:sz w:val="21"/>
                <w:szCs w:val="21"/>
              </w:rPr>
              <w:t>和</w:t>
            </w:r>
            <w:r w:rsidR="005860D5" w:rsidRPr="00925B84">
              <w:rPr>
                <w:color w:val="auto"/>
                <w:sz w:val="21"/>
                <w:szCs w:val="21"/>
              </w:rPr>
              <w:t>主厂房</w:t>
            </w:r>
            <w:r w:rsidR="005860D5" w:rsidRPr="00925B84">
              <w:rPr>
                <w:rFonts w:hint="eastAsia"/>
                <w:color w:val="auto"/>
                <w:sz w:val="21"/>
                <w:szCs w:val="21"/>
              </w:rPr>
              <w:t>联合建筑加装专用</w:t>
            </w:r>
            <w:r w:rsidR="005860D5" w:rsidRPr="00925B84">
              <w:rPr>
                <w:color w:val="auto"/>
                <w:sz w:val="21"/>
                <w:szCs w:val="21"/>
              </w:rPr>
              <w:t>隔声门窗</w:t>
            </w:r>
            <w:r w:rsidR="005860D5" w:rsidRPr="00925B84">
              <w:rPr>
                <w:rFonts w:hint="eastAsia"/>
                <w:color w:val="auto"/>
                <w:sz w:val="21"/>
                <w:szCs w:val="21"/>
              </w:rPr>
              <w:t>，设备基础减震，</w:t>
            </w:r>
            <w:r w:rsidR="005860D5" w:rsidRPr="00925B84">
              <w:rPr>
                <w:color w:val="auto"/>
                <w:sz w:val="21"/>
                <w:szCs w:val="21"/>
              </w:rPr>
              <w:t>厂房设隔声值班室</w:t>
            </w:r>
            <w:r w:rsidR="005860D5" w:rsidRPr="00925B84">
              <w:rPr>
                <w:rFonts w:hint="eastAsia"/>
                <w:color w:val="auto"/>
                <w:sz w:val="21"/>
                <w:szCs w:val="21"/>
              </w:rPr>
              <w:t>；</w:t>
            </w:r>
          </w:p>
          <w:p w:rsidR="00C223F5" w:rsidRPr="00925B84" w:rsidRDefault="000F32AE">
            <w:pPr>
              <w:pStyle w:val="affffff7"/>
              <w:jc w:val="left"/>
              <w:rPr>
                <w:color w:val="auto"/>
                <w:sz w:val="21"/>
                <w:szCs w:val="21"/>
              </w:rPr>
            </w:pPr>
            <w:r w:rsidRPr="00925B84">
              <w:rPr>
                <w:color w:val="auto"/>
                <w:sz w:val="21"/>
                <w:szCs w:val="21"/>
              </w:rPr>
              <w:fldChar w:fldCharType="begin"/>
            </w:r>
            <w:r w:rsidR="005860D5" w:rsidRPr="00925B84">
              <w:rPr>
                <w:rFonts w:hint="eastAsia"/>
                <w:color w:val="auto"/>
                <w:sz w:val="21"/>
                <w:szCs w:val="21"/>
              </w:rPr>
              <w:instrText>= 4 \* GB3</w:instrText>
            </w:r>
            <w:r w:rsidRPr="00925B84">
              <w:rPr>
                <w:color w:val="auto"/>
                <w:sz w:val="21"/>
                <w:szCs w:val="21"/>
              </w:rPr>
              <w:fldChar w:fldCharType="separate"/>
            </w:r>
            <w:r w:rsidR="005860D5" w:rsidRPr="00925B84">
              <w:rPr>
                <w:rFonts w:hint="eastAsia"/>
                <w:color w:val="auto"/>
                <w:sz w:val="21"/>
                <w:szCs w:val="21"/>
              </w:rPr>
              <w:t>④</w:t>
            </w:r>
            <w:r w:rsidRPr="00925B84">
              <w:rPr>
                <w:color w:val="auto"/>
                <w:sz w:val="21"/>
                <w:szCs w:val="21"/>
              </w:rPr>
              <w:fldChar w:fldCharType="end"/>
            </w:r>
            <w:r w:rsidR="005860D5" w:rsidRPr="00925B84">
              <w:rPr>
                <w:rFonts w:hint="eastAsia"/>
                <w:color w:val="auto"/>
                <w:sz w:val="21"/>
                <w:szCs w:val="21"/>
              </w:rPr>
              <w:t>乏风热泵机</w:t>
            </w:r>
            <w:r w:rsidR="005860D5" w:rsidRPr="00925B84">
              <w:rPr>
                <w:color w:val="auto"/>
                <w:sz w:val="21"/>
                <w:szCs w:val="21"/>
              </w:rPr>
              <w:t>安装</w:t>
            </w:r>
            <w:r w:rsidR="005860D5" w:rsidRPr="00925B84">
              <w:rPr>
                <w:rFonts w:hint="eastAsia"/>
                <w:color w:val="auto"/>
                <w:sz w:val="21"/>
                <w:szCs w:val="21"/>
              </w:rPr>
              <w:t>隔声罩、设备减震、隔声门窗；</w:t>
            </w:r>
          </w:p>
          <w:p w:rsidR="00C223F5" w:rsidRPr="00925B84" w:rsidRDefault="005860D5">
            <w:pPr>
              <w:pStyle w:val="affffff7"/>
              <w:jc w:val="left"/>
              <w:rPr>
                <w:color w:val="auto"/>
                <w:sz w:val="21"/>
                <w:szCs w:val="21"/>
              </w:rPr>
            </w:pPr>
            <w:r w:rsidRPr="00925B84">
              <w:rPr>
                <w:color w:val="auto"/>
                <w:sz w:val="21"/>
                <w:szCs w:val="21"/>
              </w:rPr>
              <w:t>⑤</w:t>
            </w:r>
            <w:r w:rsidRPr="00925B84">
              <w:rPr>
                <w:color w:val="auto"/>
                <w:sz w:val="21"/>
                <w:szCs w:val="21"/>
              </w:rPr>
              <w:t>通风</w:t>
            </w:r>
            <w:r w:rsidRPr="00925B84">
              <w:rPr>
                <w:rFonts w:hint="eastAsia"/>
                <w:color w:val="auto"/>
                <w:sz w:val="21"/>
                <w:szCs w:val="21"/>
              </w:rPr>
              <w:t>机</w:t>
            </w:r>
            <w:r w:rsidRPr="00925B84">
              <w:rPr>
                <w:color w:val="auto"/>
                <w:sz w:val="21"/>
                <w:szCs w:val="21"/>
              </w:rPr>
              <w:t>安装消声器</w:t>
            </w:r>
            <w:r w:rsidRPr="00925B84">
              <w:rPr>
                <w:rFonts w:hint="eastAsia"/>
                <w:color w:val="auto"/>
                <w:sz w:val="21"/>
                <w:szCs w:val="21"/>
              </w:rPr>
              <w:t>，</w:t>
            </w:r>
            <w:r w:rsidRPr="00925B84">
              <w:rPr>
                <w:color w:val="auto"/>
                <w:sz w:val="21"/>
                <w:szCs w:val="21"/>
              </w:rPr>
              <w:t>空压机设置</w:t>
            </w:r>
            <w:r w:rsidRPr="00925B84">
              <w:rPr>
                <w:rFonts w:hint="eastAsia"/>
                <w:color w:val="auto"/>
                <w:sz w:val="21"/>
                <w:szCs w:val="21"/>
              </w:rPr>
              <w:t>隔声罩；</w:t>
            </w:r>
          </w:p>
          <w:p w:rsidR="00C223F5" w:rsidRPr="00925B84" w:rsidRDefault="000F32AE">
            <w:pPr>
              <w:pStyle w:val="affffff7"/>
              <w:jc w:val="left"/>
              <w:rPr>
                <w:color w:val="auto"/>
                <w:sz w:val="21"/>
                <w:szCs w:val="21"/>
              </w:rPr>
            </w:pPr>
            <w:r w:rsidRPr="00925B84">
              <w:rPr>
                <w:color w:val="auto"/>
                <w:sz w:val="21"/>
                <w:szCs w:val="21"/>
              </w:rPr>
              <w:fldChar w:fldCharType="begin"/>
            </w:r>
            <w:r w:rsidR="005860D5" w:rsidRPr="00925B84">
              <w:rPr>
                <w:rFonts w:hint="eastAsia"/>
                <w:color w:val="auto"/>
                <w:sz w:val="21"/>
                <w:szCs w:val="21"/>
              </w:rPr>
              <w:instrText>= 6 \* GB3</w:instrText>
            </w:r>
            <w:r w:rsidRPr="00925B84">
              <w:rPr>
                <w:color w:val="auto"/>
                <w:sz w:val="21"/>
                <w:szCs w:val="21"/>
              </w:rPr>
              <w:fldChar w:fldCharType="separate"/>
            </w:r>
            <w:r w:rsidR="005860D5" w:rsidRPr="00925B84">
              <w:rPr>
                <w:rFonts w:hint="eastAsia"/>
                <w:color w:val="auto"/>
                <w:sz w:val="21"/>
                <w:szCs w:val="21"/>
              </w:rPr>
              <w:t>⑥</w:t>
            </w:r>
            <w:r w:rsidRPr="00925B84">
              <w:rPr>
                <w:color w:val="auto"/>
                <w:sz w:val="21"/>
                <w:szCs w:val="21"/>
              </w:rPr>
              <w:fldChar w:fldCharType="end"/>
            </w:r>
            <w:r w:rsidR="005860D5" w:rsidRPr="00925B84">
              <w:rPr>
                <w:color w:val="auto"/>
                <w:sz w:val="21"/>
                <w:szCs w:val="21"/>
              </w:rPr>
              <w:t>灌浆泵</w:t>
            </w:r>
            <w:r w:rsidR="005860D5" w:rsidRPr="00925B84">
              <w:rPr>
                <w:rFonts w:hint="eastAsia"/>
                <w:color w:val="auto"/>
                <w:sz w:val="21"/>
                <w:szCs w:val="21"/>
              </w:rPr>
              <w:t>设备减震，</w:t>
            </w:r>
            <w:r w:rsidR="005860D5" w:rsidRPr="00925B84">
              <w:rPr>
                <w:color w:val="auto"/>
                <w:sz w:val="21"/>
                <w:szCs w:val="21"/>
              </w:rPr>
              <w:t>采用隔声门窗</w:t>
            </w:r>
            <w:r w:rsidR="005860D5" w:rsidRPr="00925B84">
              <w:rPr>
                <w:rFonts w:hint="eastAsia"/>
                <w:color w:val="auto"/>
                <w:sz w:val="21"/>
                <w:szCs w:val="21"/>
              </w:rPr>
              <w:t>；</w:t>
            </w:r>
          </w:p>
          <w:p w:rsidR="00C223F5" w:rsidRPr="00925B84" w:rsidRDefault="000F32AE">
            <w:pPr>
              <w:pStyle w:val="affffff7"/>
              <w:jc w:val="left"/>
              <w:rPr>
                <w:color w:val="auto"/>
                <w:sz w:val="21"/>
                <w:szCs w:val="21"/>
              </w:rPr>
            </w:pPr>
            <w:r w:rsidRPr="00925B84">
              <w:rPr>
                <w:color w:val="auto"/>
                <w:sz w:val="21"/>
                <w:szCs w:val="21"/>
              </w:rPr>
              <w:fldChar w:fldCharType="begin"/>
            </w:r>
            <w:r w:rsidR="005860D5" w:rsidRPr="00925B84">
              <w:rPr>
                <w:rFonts w:hint="eastAsia"/>
                <w:color w:val="auto"/>
                <w:sz w:val="21"/>
                <w:szCs w:val="21"/>
              </w:rPr>
              <w:instrText>= 7 \* GB3</w:instrText>
            </w:r>
            <w:r w:rsidRPr="00925B84">
              <w:rPr>
                <w:color w:val="auto"/>
                <w:sz w:val="21"/>
                <w:szCs w:val="21"/>
              </w:rPr>
              <w:fldChar w:fldCharType="separate"/>
            </w:r>
            <w:r w:rsidR="005860D5" w:rsidRPr="00925B84">
              <w:rPr>
                <w:rFonts w:hint="eastAsia"/>
                <w:color w:val="auto"/>
                <w:sz w:val="21"/>
                <w:szCs w:val="21"/>
              </w:rPr>
              <w:t>⑦</w:t>
            </w:r>
            <w:r w:rsidRPr="00925B84">
              <w:rPr>
                <w:color w:val="auto"/>
                <w:sz w:val="21"/>
                <w:szCs w:val="21"/>
              </w:rPr>
              <w:fldChar w:fldCharType="end"/>
            </w:r>
            <w:r w:rsidR="005860D5" w:rsidRPr="00925B84">
              <w:rPr>
                <w:rFonts w:hint="eastAsia"/>
                <w:color w:val="auto"/>
                <w:sz w:val="21"/>
                <w:szCs w:val="21"/>
              </w:rPr>
              <w:t>对溜槽、溜斗等阻尼减震处置等</w:t>
            </w:r>
          </w:p>
        </w:tc>
        <w:tc>
          <w:tcPr>
            <w:tcW w:w="1585" w:type="dxa"/>
            <w:vAlign w:val="center"/>
          </w:tcPr>
          <w:p w:rsidR="00C223F5" w:rsidRDefault="005860D5">
            <w:pPr>
              <w:pStyle w:val="affffff7"/>
              <w:rPr>
                <w:color w:val="auto"/>
                <w:sz w:val="21"/>
                <w:szCs w:val="21"/>
                <w:highlight w:val="yellow"/>
              </w:rPr>
            </w:pPr>
            <w:r>
              <w:rPr>
                <w:rFonts w:hint="eastAsia"/>
                <w:color w:val="auto"/>
                <w:sz w:val="21"/>
                <w:szCs w:val="21"/>
              </w:rPr>
              <w:t>厂界达标</w:t>
            </w:r>
          </w:p>
        </w:tc>
      </w:tr>
      <w:tr w:rsidR="00C223F5">
        <w:trPr>
          <w:trHeight w:val="636"/>
          <w:jc w:val="center"/>
        </w:trPr>
        <w:tc>
          <w:tcPr>
            <w:tcW w:w="358" w:type="dxa"/>
            <w:tcMar>
              <w:left w:w="28" w:type="dxa"/>
              <w:right w:w="28" w:type="dxa"/>
            </w:tcMar>
            <w:vAlign w:val="center"/>
          </w:tcPr>
          <w:p w:rsidR="00C223F5" w:rsidRDefault="005860D5">
            <w:pPr>
              <w:pStyle w:val="affffff7"/>
              <w:rPr>
                <w:sz w:val="21"/>
                <w:szCs w:val="21"/>
              </w:rPr>
            </w:pPr>
            <w:r>
              <w:rPr>
                <w:sz w:val="21"/>
                <w:szCs w:val="21"/>
              </w:rPr>
              <w:t>沉陷</w:t>
            </w:r>
          </w:p>
        </w:tc>
        <w:tc>
          <w:tcPr>
            <w:tcW w:w="693" w:type="dxa"/>
            <w:tcMar>
              <w:left w:w="28" w:type="dxa"/>
              <w:right w:w="28" w:type="dxa"/>
            </w:tcMar>
            <w:vAlign w:val="center"/>
          </w:tcPr>
          <w:p w:rsidR="00C223F5" w:rsidRDefault="005860D5">
            <w:pPr>
              <w:pStyle w:val="affffff7"/>
              <w:rPr>
                <w:color w:val="auto"/>
                <w:sz w:val="21"/>
                <w:szCs w:val="21"/>
              </w:rPr>
            </w:pPr>
            <w:r>
              <w:rPr>
                <w:color w:val="auto"/>
                <w:sz w:val="21"/>
                <w:szCs w:val="21"/>
              </w:rPr>
              <w:t>井下</w:t>
            </w:r>
          </w:p>
          <w:p w:rsidR="00C223F5" w:rsidRDefault="005860D5">
            <w:pPr>
              <w:pStyle w:val="affffff7"/>
              <w:rPr>
                <w:color w:val="auto"/>
                <w:sz w:val="21"/>
                <w:szCs w:val="21"/>
              </w:rPr>
            </w:pPr>
            <w:r>
              <w:rPr>
                <w:color w:val="auto"/>
                <w:sz w:val="21"/>
                <w:szCs w:val="21"/>
              </w:rPr>
              <w:t>采煤</w:t>
            </w:r>
          </w:p>
        </w:tc>
        <w:tc>
          <w:tcPr>
            <w:tcW w:w="4345" w:type="dxa"/>
            <w:tcMar>
              <w:left w:w="28" w:type="dxa"/>
              <w:right w:w="28" w:type="dxa"/>
            </w:tcMar>
            <w:vAlign w:val="center"/>
          </w:tcPr>
          <w:p w:rsidR="00C223F5" w:rsidRPr="00925B84" w:rsidRDefault="005860D5">
            <w:pPr>
              <w:pStyle w:val="affffff7"/>
              <w:rPr>
                <w:color w:val="auto"/>
                <w:sz w:val="21"/>
                <w:szCs w:val="21"/>
              </w:rPr>
            </w:pPr>
            <w:r w:rsidRPr="00925B84">
              <w:rPr>
                <w:color w:val="auto"/>
                <w:sz w:val="21"/>
                <w:szCs w:val="21"/>
              </w:rPr>
              <w:t>工业场地、井田边界、主要巷道</w:t>
            </w:r>
            <w:r w:rsidRPr="00925B84">
              <w:rPr>
                <w:rFonts w:hint="eastAsia"/>
                <w:color w:val="auto"/>
                <w:sz w:val="21"/>
                <w:szCs w:val="21"/>
              </w:rPr>
              <w:t>、村庄及高速公路</w:t>
            </w:r>
            <w:r w:rsidRPr="00925B84">
              <w:rPr>
                <w:color w:val="auto"/>
                <w:sz w:val="21"/>
                <w:szCs w:val="21"/>
              </w:rPr>
              <w:t>等下留设保护煤柱</w:t>
            </w:r>
            <w:r w:rsidRPr="00925B84">
              <w:rPr>
                <w:rFonts w:ascii="宋体" w:hAnsi="宋体" w:hint="eastAsia"/>
                <w:color w:val="auto"/>
                <w:sz w:val="21"/>
                <w:szCs w:val="21"/>
              </w:rPr>
              <w:t>；</w:t>
            </w:r>
            <w:r w:rsidRPr="00925B84">
              <w:rPr>
                <w:rFonts w:ascii="宋体" w:hAnsi="宋体"/>
                <w:color w:val="auto"/>
                <w:sz w:val="21"/>
                <w:szCs w:val="21"/>
              </w:rPr>
              <w:t>对沉降区，及时整修</w:t>
            </w:r>
            <w:r w:rsidRPr="00925B84">
              <w:rPr>
                <w:rFonts w:ascii="宋体" w:hAnsi="宋体" w:hint="eastAsia"/>
                <w:color w:val="auto"/>
                <w:sz w:val="21"/>
                <w:szCs w:val="21"/>
              </w:rPr>
              <w:t>，占地补偿</w:t>
            </w:r>
          </w:p>
        </w:tc>
        <w:tc>
          <w:tcPr>
            <w:tcW w:w="1736" w:type="dxa"/>
            <w:vAlign w:val="center"/>
          </w:tcPr>
          <w:p w:rsidR="00C223F5" w:rsidRPr="00925B84" w:rsidRDefault="005860D5">
            <w:pPr>
              <w:pStyle w:val="affffff7"/>
              <w:rPr>
                <w:rFonts w:ascii="宋体" w:hAnsi="宋体" w:cs="宋体"/>
                <w:color w:val="auto"/>
                <w:sz w:val="21"/>
                <w:szCs w:val="21"/>
              </w:rPr>
            </w:pPr>
            <w:r w:rsidRPr="00925B84">
              <w:rPr>
                <w:rFonts w:ascii="宋体" w:hAnsi="宋体" w:cs="宋体" w:hint="eastAsia"/>
                <w:color w:val="auto"/>
                <w:sz w:val="21"/>
                <w:szCs w:val="21"/>
              </w:rPr>
              <w:t>/</w:t>
            </w:r>
          </w:p>
        </w:tc>
        <w:tc>
          <w:tcPr>
            <w:tcW w:w="5190" w:type="dxa"/>
            <w:tcMar>
              <w:left w:w="28" w:type="dxa"/>
              <w:right w:w="28" w:type="dxa"/>
            </w:tcMar>
            <w:vAlign w:val="center"/>
          </w:tcPr>
          <w:p w:rsidR="00C223F5" w:rsidRPr="00925B84" w:rsidRDefault="005860D5">
            <w:pPr>
              <w:pStyle w:val="affffff7"/>
              <w:rPr>
                <w:color w:val="auto"/>
                <w:sz w:val="21"/>
                <w:szCs w:val="21"/>
              </w:rPr>
            </w:pPr>
            <w:r w:rsidRPr="00925B84">
              <w:rPr>
                <w:rFonts w:ascii="宋体" w:hAnsi="宋体" w:cs="宋体" w:hint="eastAsia"/>
                <w:color w:val="auto"/>
                <w:sz w:val="21"/>
                <w:szCs w:val="21"/>
              </w:rPr>
              <w:t>①</w:t>
            </w:r>
            <w:r w:rsidRPr="00925B84">
              <w:rPr>
                <w:color w:val="auto"/>
                <w:sz w:val="21"/>
                <w:szCs w:val="21"/>
              </w:rPr>
              <w:t>土地整治；</w:t>
            </w:r>
            <w:r w:rsidRPr="00925B84">
              <w:rPr>
                <w:rFonts w:ascii="宋体" w:hAnsi="宋体" w:cs="宋体" w:hint="eastAsia"/>
                <w:color w:val="auto"/>
                <w:sz w:val="21"/>
                <w:szCs w:val="21"/>
              </w:rPr>
              <w:t>②</w:t>
            </w:r>
            <w:r w:rsidRPr="00925B84">
              <w:rPr>
                <w:color w:val="auto"/>
                <w:sz w:val="21"/>
                <w:szCs w:val="21"/>
              </w:rPr>
              <w:t>生态补偿；</w:t>
            </w:r>
            <w:r w:rsidRPr="00925B84">
              <w:rPr>
                <w:rFonts w:ascii="宋体" w:hAnsi="宋体" w:cs="宋体" w:hint="eastAsia"/>
                <w:color w:val="auto"/>
                <w:sz w:val="21"/>
                <w:szCs w:val="21"/>
              </w:rPr>
              <w:t>③藏家沟、清水沟等村庄均</w:t>
            </w:r>
            <w:r w:rsidRPr="00925B84">
              <w:rPr>
                <w:color w:val="auto"/>
                <w:sz w:val="21"/>
                <w:szCs w:val="21"/>
              </w:rPr>
              <w:t>留设保护煤柱</w:t>
            </w:r>
            <w:r w:rsidRPr="00925B84">
              <w:rPr>
                <w:rFonts w:hint="eastAsia"/>
                <w:color w:val="auto"/>
                <w:sz w:val="21"/>
                <w:szCs w:val="21"/>
              </w:rPr>
              <w:t>；井田范围内油井、</w:t>
            </w:r>
            <w:r w:rsidRPr="00925B84">
              <w:rPr>
                <w:rFonts w:hint="eastAsia"/>
                <w:color w:val="auto"/>
                <w:sz w:val="21"/>
                <w:szCs w:val="21"/>
              </w:rPr>
              <w:t>750kV</w:t>
            </w:r>
            <w:r w:rsidRPr="00925B84">
              <w:rPr>
                <w:rFonts w:hint="eastAsia"/>
                <w:color w:val="auto"/>
                <w:sz w:val="21"/>
                <w:szCs w:val="21"/>
              </w:rPr>
              <w:t>洛横线高压塔基、青银高速公路、太（原）中（卫）银（川）铁路、</w:t>
            </w:r>
            <w:r w:rsidRPr="00925B84">
              <w:rPr>
                <w:color w:val="auto"/>
                <w:sz w:val="21"/>
                <w:szCs w:val="21"/>
              </w:rPr>
              <w:t>307</w:t>
            </w:r>
            <w:r w:rsidRPr="00925B84">
              <w:rPr>
                <w:rFonts w:hAnsi="宋体"/>
                <w:color w:val="auto"/>
                <w:sz w:val="21"/>
                <w:szCs w:val="21"/>
              </w:rPr>
              <w:t>国道</w:t>
            </w:r>
            <w:r w:rsidRPr="00925B84">
              <w:rPr>
                <w:rFonts w:hAnsi="宋体" w:hint="eastAsia"/>
                <w:color w:val="auto"/>
                <w:sz w:val="21"/>
                <w:szCs w:val="21"/>
              </w:rPr>
              <w:t>、大理河及湿地等地表水体均相应留设保护煤柱</w:t>
            </w:r>
            <w:r w:rsidRPr="00925B84">
              <w:rPr>
                <w:color w:val="auto"/>
                <w:sz w:val="21"/>
                <w:szCs w:val="21"/>
              </w:rPr>
              <w:t>，</w:t>
            </w:r>
            <w:r w:rsidRPr="00925B84">
              <w:rPr>
                <w:rFonts w:hint="eastAsia"/>
                <w:color w:val="auto"/>
                <w:sz w:val="21"/>
                <w:szCs w:val="21"/>
              </w:rPr>
              <w:t>不</w:t>
            </w:r>
            <w:r w:rsidRPr="00925B84">
              <w:rPr>
                <w:color w:val="auto"/>
                <w:sz w:val="21"/>
                <w:szCs w:val="21"/>
              </w:rPr>
              <w:t>在沉陷影响波及范围内，开采时应扩大井田边界煤柱保护范围，确保不受沉陷影响</w:t>
            </w:r>
            <w:r w:rsidRPr="00925B84">
              <w:rPr>
                <w:rFonts w:hint="eastAsia"/>
                <w:color w:val="auto"/>
                <w:sz w:val="21"/>
                <w:szCs w:val="21"/>
              </w:rPr>
              <w:t>；</w:t>
            </w:r>
            <w:r w:rsidR="000F32AE" w:rsidRPr="00925B84">
              <w:rPr>
                <w:color w:val="auto"/>
                <w:sz w:val="21"/>
                <w:szCs w:val="21"/>
              </w:rPr>
              <w:fldChar w:fldCharType="begin"/>
            </w:r>
            <w:r w:rsidRPr="00925B84">
              <w:rPr>
                <w:rFonts w:hint="eastAsia"/>
                <w:color w:val="auto"/>
                <w:sz w:val="21"/>
                <w:szCs w:val="21"/>
              </w:rPr>
              <w:instrText>= 4 \* GB3</w:instrText>
            </w:r>
            <w:r w:rsidR="000F32AE" w:rsidRPr="00925B84">
              <w:rPr>
                <w:color w:val="auto"/>
                <w:sz w:val="21"/>
                <w:szCs w:val="21"/>
              </w:rPr>
              <w:fldChar w:fldCharType="separate"/>
            </w:r>
            <w:r w:rsidRPr="00925B84">
              <w:rPr>
                <w:rFonts w:hint="eastAsia"/>
                <w:color w:val="auto"/>
                <w:sz w:val="21"/>
                <w:szCs w:val="21"/>
              </w:rPr>
              <w:t>④</w:t>
            </w:r>
            <w:r w:rsidR="000F32AE" w:rsidRPr="00925B84">
              <w:rPr>
                <w:color w:val="auto"/>
                <w:sz w:val="21"/>
                <w:szCs w:val="21"/>
              </w:rPr>
              <w:fldChar w:fldCharType="end"/>
            </w:r>
            <w:r w:rsidRPr="00925B84">
              <w:rPr>
                <w:rFonts w:hint="eastAsia"/>
                <w:color w:val="auto"/>
                <w:sz w:val="21"/>
                <w:szCs w:val="21"/>
              </w:rPr>
              <w:t>建立地表岩移观测系统</w:t>
            </w:r>
          </w:p>
        </w:tc>
        <w:tc>
          <w:tcPr>
            <w:tcW w:w="1585" w:type="dxa"/>
            <w:vAlign w:val="center"/>
          </w:tcPr>
          <w:p w:rsidR="00C223F5" w:rsidRDefault="005860D5">
            <w:pPr>
              <w:pStyle w:val="affffff7"/>
              <w:rPr>
                <w:rFonts w:ascii="宋体" w:hAnsi="宋体" w:cs="宋体"/>
                <w:sz w:val="21"/>
                <w:szCs w:val="21"/>
              </w:rPr>
            </w:pPr>
            <w:r>
              <w:rPr>
                <w:rFonts w:ascii="宋体" w:hAnsi="宋体" w:cs="宋体" w:hint="eastAsia"/>
                <w:sz w:val="21"/>
                <w:szCs w:val="21"/>
              </w:rPr>
              <w:t>/</w:t>
            </w:r>
          </w:p>
        </w:tc>
      </w:tr>
      <w:tr w:rsidR="00C223F5">
        <w:trPr>
          <w:trHeight w:val="288"/>
          <w:jc w:val="center"/>
        </w:trPr>
        <w:tc>
          <w:tcPr>
            <w:tcW w:w="1051" w:type="dxa"/>
            <w:gridSpan w:val="2"/>
            <w:tcMar>
              <w:left w:w="28" w:type="dxa"/>
              <w:right w:w="28" w:type="dxa"/>
            </w:tcMar>
            <w:vAlign w:val="center"/>
          </w:tcPr>
          <w:p w:rsidR="00C223F5" w:rsidRDefault="005860D5">
            <w:pPr>
              <w:pStyle w:val="affffff7"/>
              <w:rPr>
                <w:sz w:val="21"/>
                <w:szCs w:val="21"/>
              </w:rPr>
            </w:pPr>
            <w:r>
              <w:rPr>
                <w:sz w:val="21"/>
                <w:szCs w:val="21"/>
              </w:rPr>
              <w:t>水土保持</w:t>
            </w:r>
          </w:p>
        </w:tc>
        <w:tc>
          <w:tcPr>
            <w:tcW w:w="4345" w:type="dxa"/>
            <w:tcMar>
              <w:left w:w="28" w:type="dxa"/>
              <w:right w:w="28" w:type="dxa"/>
            </w:tcMar>
            <w:vAlign w:val="center"/>
          </w:tcPr>
          <w:p w:rsidR="00C223F5" w:rsidRDefault="005860D5">
            <w:pPr>
              <w:pStyle w:val="affffff7"/>
              <w:rPr>
                <w:sz w:val="21"/>
                <w:szCs w:val="21"/>
              </w:rPr>
            </w:pPr>
            <w:r>
              <w:rPr>
                <w:sz w:val="21"/>
                <w:szCs w:val="21"/>
              </w:rPr>
              <w:t>工业场地内应按不同功能区进行场地绿化；工业场地四周种植林带；采用工程和林草措施防治水土流失</w:t>
            </w:r>
          </w:p>
        </w:tc>
        <w:tc>
          <w:tcPr>
            <w:tcW w:w="1736" w:type="dxa"/>
            <w:vAlign w:val="center"/>
          </w:tcPr>
          <w:p w:rsidR="00C223F5" w:rsidRDefault="005860D5">
            <w:pPr>
              <w:pStyle w:val="affffff7"/>
              <w:rPr>
                <w:rFonts w:ascii="宋体" w:hAnsi="宋体" w:cs="宋体"/>
                <w:sz w:val="21"/>
                <w:szCs w:val="21"/>
              </w:rPr>
            </w:pPr>
            <w:r>
              <w:rPr>
                <w:rFonts w:ascii="宋体" w:hAnsi="宋体" w:cs="宋体" w:hint="eastAsia"/>
                <w:sz w:val="21"/>
                <w:szCs w:val="21"/>
              </w:rPr>
              <w:t>/</w:t>
            </w:r>
          </w:p>
        </w:tc>
        <w:tc>
          <w:tcPr>
            <w:tcW w:w="5190" w:type="dxa"/>
            <w:tcMar>
              <w:left w:w="28" w:type="dxa"/>
              <w:right w:w="28" w:type="dxa"/>
            </w:tcMar>
            <w:vAlign w:val="center"/>
          </w:tcPr>
          <w:p w:rsidR="00C223F5" w:rsidRDefault="005860D5">
            <w:pPr>
              <w:pStyle w:val="affffff7"/>
              <w:rPr>
                <w:sz w:val="21"/>
                <w:szCs w:val="21"/>
              </w:rPr>
            </w:pPr>
            <w:r>
              <w:rPr>
                <w:rFonts w:ascii="宋体" w:hAnsi="宋体" w:cs="宋体" w:hint="eastAsia"/>
                <w:sz w:val="21"/>
                <w:szCs w:val="21"/>
              </w:rPr>
              <w:t>①</w:t>
            </w:r>
            <w:r>
              <w:rPr>
                <w:sz w:val="21"/>
                <w:szCs w:val="21"/>
              </w:rPr>
              <w:t>对井田内的沉陷区及时进行生态恢复；</w:t>
            </w:r>
            <w:r>
              <w:rPr>
                <w:rFonts w:ascii="宋体" w:hAnsi="宋体" w:cs="宋体" w:hint="eastAsia"/>
                <w:sz w:val="21"/>
                <w:szCs w:val="21"/>
              </w:rPr>
              <w:t>②</w:t>
            </w:r>
            <w:r>
              <w:rPr>
                <w:sz w:val="21"/>
                <w:szCs w:val="21"/>
              </w:rPr>
              <w:t>施工结束前，对场外道路</w:t>
            </w:r>
            <w:r>
              <w:rPr>
                <w:rFonts w:hint="eastAsia"/>
                <w:sz w:val="21"/>
                <w:szCs w:val="21"/>
              </w:rPr>
              <w:t>等</w:t>
            </w:r>
            <w:r>
              <w:rPr>
                <w:sz w:val="21"/>
                <w:szCs w:val="21"/>
              </w:rPr>
              <w:t>临时占地进行生态恢复</w:t>
            </w:r>
          </w:p>
        </w:tc>
        <w:tc>
          <w:tcPr>
            <w:tcW w:w="1585" w:type="dxa"/>
            <w:vAlign w:val="center"/>
          </w:tcPr>
          <w:p w:rsidR="00C223F5" w:rsidRDefault="005860D5">
            <w:pPr>
              <w:pStyle w:val="affffff7"/>
              <w:rPr>
                <w:rFonts w:ascii="宋体" w:hAnsi="宋体" w:cs="宋体"/>
                <w:sz w:val="21"/>
                <w:szCs w:val="21"/>
              </w:rPr>
            </w:pPr>
            <w:r>
              <w:rPr>
                <w:rFonts w:ascii="宋体" w:hAnsi="宋体" w:cs="宋体" w:hint="eastAsia"/>
                <w:sz w:val="21"/>
                <w:szCs w:val="21"/>
              </w:rPr>
              <w:t>/</w:t>
            </w:r>
          </w:p>
        </w:tc>
      </w:tr>
    </w:tbl>
    <w:p w:rsidR="00C223F5" w:rsidRDefault="00C223F5">
      <w:pPr>
        <w:jc w:val="left"/>
        <w:rPr>
          <w:color w:val="FF0000"/>
        </w:rPr>
        <w:sectPr w:rsidR="00C223F5">
          <w:pgSz w:w="16840" w:h="11907" w:orient="landscape"/>
          <w:pgMar w:top="1304" w:right="1440" w:bottom="1304" w:left="1440" w:header="851" w:footer="992" w:gutter="0"/>
          <w:cols w:space="425"/>
          <w:docGrid w:linePitch="312"/>
        </w:sectPr>
      </w:pPr>
    </w:p>
    <w:p w:rsidR="00C223F5" w:rsidRPr="00925B84" w:rsidRDefault="005860D5" w:rsidP="004835BD">
      <w:pPr>
        <w:pStyle w:val="3"/>
        <w:numPr>
          <w:ilvl w:val="0"/>
          <w:numId w:val="0"/>
        </w:numPr>
        <w:spacing w:before="0" w:after="0" w:line="360" w:lineRule="auto"/>
        <w:ind w:left="170"/>
        <w:rPr>
          <w:rFonts w:eastAsia="宋体"/>
          <w:b/>
          <w:bCs w:val="0"/>
          <w:sz w:val="28"/>
          <w:szCs w:val="28"/>
        </w:rPr>
      </w:pPr>
      <w:bookmarkStart w:id="244" w:name="_Toc12968209"/>
      <w:bookmarkStart w:id="245" w:name="_Toc16785266"/>
      <w:bookmarkStart w:id="246" w:name="_Toc533604303"/>
      <w:bookmarkStart w:id="247" w:name="_Toc533604723"/>
      <w:r w:rsidRPr="00925B84">
        <w:rPr>
          <w:rFonts w:eastAsia="宋体"/>
          <w:b/>
          <w:bCs w:val="0"/>
          <w:sz w:val="28"/>
          <w:szCs w:val="28"/>
        </w:rPr>
        <w:lastRenderedPageBreak/>
        <w:t>2.3.</w:t>
      </w:r>
      <w:r w:rsidRPr="00925B84">
        <w:rPr>
          <w:rFonts w:eastAsia="宋体" w:hint="eastAsia"/>
          <w:b/>
          <w:bCs w:val="0"/>
          <w:sz w:val="28"/>
          <w:szCs w:val="28"/>
        </w:rPr>
        <w:t>4</w:t>
      </w:r>
      <w:r w:rsidRPr="00925B84">
        <w:rPr>
          <w:rFonts w:eastAsia="宋体"/>
          <w:b/>
          <w:bCs w:val="0"/>
          <w:sz w:val="28"/>
          <w:szCs w:val="28"/>
        </w:rPr>
        <w:t xml:space="preserve"> </w:t>
      </w:r>
      <w:r w:rsidRPr="00925B84">
        <w:rPr>
          <w:rFonts w:eastAsia="宋体"/>
          <w:b/>
          <w:bCs w:val="0"/>
          <w:sz w:val="28"/>
          <w:szCs w:val="28"/>
        </w:rPr>
        <w:t>清洁生产</w:t>
      </w:r>
      <w:bookmarkEnd w:id="244"/>
      <w:bookmarkEnd w:id="245"/>
    </w:p>
    <w:p w:rsidR="00C223F5" w:rsidRPr="00925B84" w:rsidRDefault="005860D5">
      <w:pPr>
        <w:adjustRightInd w:val="0"/>
        <w:snapToGrid w:val="0"/>
        <w:spacing w:line="360" w:lineRule="auto"/>
        <w:ind w:firstLineChars="200" w:firstLine="480"/>
        <w:rPr>
          <w:sz w:val="24"/>
        </w:rPr>
      </w:pPr>
      <w:r w:rsidRPr="00925B84">
        <w:rPr>
          <w:sz w:val="24"/>
        </w:rPr>
        <w:t>本项目清洁生产按照《清洁生产标准－煤炭采选业（</w:t>
      </w:r>
      <w:r w:rsidRPr="00925B84">
        <w:rPr>
          <w:sz w:val="24"/>
        </w:rPr>
        <w:t>HJ446-2008</w:t>
      </w:r>
      <w:r w:rsidRPr="00925B84">
        <w:rPr>
          <w:sz w:val="24"/>
        </w:rPr>
        <w:t>）》指标，从生产工艺与装备要求、资源能源利用指标、产品指标、污染物产生指标、废物回收利用及矿山生态保护指标等六个方面，分项对照</w:t>
      </w:r>
      <w:r w:rsidRPr="00925B84">
        <w:rPr>
          <w:sz w:val="24"/>
        </w:rPr>
        <w:t>“</w:t>
      </w:r>
      <w:r w:rsidRPr="00925B84">
        <w:rPr>
          <w:sz w:val="24"/>
        </w:rPr>
        <w:t>清洁生产标准</w:t>
      </w:r>
      <w:r w:rsidRPr="00925B84">
        <w:rPr>
          <w:sz w:val="24"/>
        </w:rPr>
        <w:t>”</w:t>
      </w:r>
      <w:r w:rsidRPr="00925B84">
        <w:rPr>
          <w:sz w:val="24"/>
        </w:rPr>
        <w:t>中技术指标进行分析评价。</w:t>
      </w:r>
    </w:p>
    <w:p w:rsidR="00C223F5" w:rsidRPr="00925B84" w:rsidRDefault="005860D5">
      <w:pPr>
        <w:adjustRightInd w:val="0"/>
        <w:snapToGrid w:val="0"/>
        <w:spacing w:line="360" w:lineRule="auto"/>
        <w:ind w:firstLineChars="200" w:firstLine="480"/>
        <w:rPr>
          <w:sz w:val="24"/>
        </w:rPr>
      </w:pPr>
      <w:r w:rsidRPr="00925B84">
        <w:rPr>
          <w:sz w:val="24"/>
        </w:rPr>
        <w:t>在采煤生产工艺和装备要求方面：工艺与设备基本体现了国内同类矿井的生产水平发展趋势，符合总体要求；</w:t>
      </w:r>
      <w:r w:rsidRPr="00925B84">
        <w:rPr>
          <w:rFonts w:hint="eastAsia"/>
          <w:sz w:val="24"/>
        </w:rPr>
        <w:t>煤矿工艺与装备、贮煤设施工艺及装备、原煤入选率均为清洁生产一级水平；原煤破碎筛分分级均设置与室内，产尘点设集尘罩及喷雾抑尘装置，清洁生产二级水平；</w:t>
      </w:r>
      <w:r w:rsidRPr="00925B84">
        <w:rPr>
          <w:sz w:val="24"/>
        </w:rPr>
        <w:t>矿井煤炭采用公路外运，运输车辆加盖棚布，矿山公路运输线硬化，煤炭装运为三级标准。</w:t>
      </w:r>
    </w:p>
    <w:p w:rsidR="00C223F5" w:rsidRPr="00925B84" w:rsidRDefault="005860D5">
      <w:pPr>
        <w:adjustRightInd w:val="0"/>
        <w:snapToGrid w:val="0"/>
        <w:spacing w:line="360" w:lineRule="auto"/>
        <w:ind w:firstLineChars="200" w:firstLine="480"/>
        <w:rPr>
          <w:sz w:val="24"/>
        </w:rPr>
      </w:pPr>
      <w:r w:rsidRPr="00925B84">
        <w:rPr>
          <w:sz w:val="24"/>
        </w:rPr>
        <w:t>在资源能源利用指标方面：土地资源占用符合清洁生产要求；原煤生产电耗</w:t>
      </w:r>
      <w:r w:rsidRPr="00925B84">
        <w:rPr>
          <w:rFonts w:hint="eastAsia"/>
          <w:sz w:val="24"/>
        </w:rPr>
        <w:t>、水耗均为二级水平</w:t>
      </w:r>
      <w:r w:rsidRPr="00925B84">
        <w:rPr>
          <w:sz w:val="24"/>
        </w:rPr>
        <w:t>、采区回采率、工作面回采率等各项指标均达到清洁生产一级标准。</w:t>
      </w:r>
    </w:p>
    <w:p w:rsidR="00C223F5" w:rsidRPr="00925B84" w:rsidRDefault="005860D5">
      <w:pPr>
        <w:adjustRightInd w:val="0"/>
        <w:snapToGrid w:val="0"/>
        <w:spacing w:line="360" w:lineRule="auto"/>
        <w:ind w:firstLineChars="200" w:firstLine="480"/>
        <w:rPr>
          <w:sz w:val="24"/>
        </w:rPr>
      </w:pPr>
      <w:r w:rsidRPr="00925B84">
        <w:rPr>
          <w:sz w:val="24"/>
        </w:rPr>
        <w:t>在产品指标、污染物产生指标及废物回收利用指标方面：</w:t>
      </w:r>
      <w:r w:rsidRPr="00925B84">
        <w:rPr>
          <w:rFonts w:hint="eastAsia"/>
          <w:sz w:val="24"/>
        </w:rPr>
        <w:t>原</w:t>
      </w:r>
      <w:r w:rsidRPr="00925B84">
        <w:rPr>
          <w:sz w:val="24"/>
        </w:rPr>
        <w:t>煤硫分、灰分</w:t>
      </w:r>
      <w:r w:rsidRPr="00925B84">
        <w:rPr>
          <w:rFonts w:hint="eastAsia"/>
          <w:sz w:val="24"/>
        </w:rPr>
        <w:t>为二</w:t>
      </w:r>
      <w:r w:rsidRPr="00925B84">
        <w:rPr>
          <w:sz w:val="24"/>
        </w:rPr>
        <w:t>级标准要求</w:t>
      </w:r>
      <w:r w:rsidRPr="00925B84">
        <w:rPr>
          <w:rFonts w:hint="eastAsia"/>
          <w:sz w:val="24"/>
        </w:rPr>
        <w:t>，</w:t>
      </w:r>
      <w:r w:rsidRPr="00925B84">
        <w:rPr>
          <w:sz w:val="24"/>
        </w:rPr>
        <w:t>矿井废水</w:t>
      </w:r>
      <w:r w:rsidRPr="00925B84">
        <w:rPr>
          <w:sz w:val="24"/>
        </w:rPr>
        <w:t>COD</w:t>
      </w:r>
      <w:r w:rsidRPr="00925B84">
        <w:rPr>
          <w:sz w:val="24"/>
        </w:rPr>
        <w:t>和石油类产生量、</w:t>
      </w:r>
      <w:r w:rsidRPr="00925B84">
        <w:rPr>
          <w:rFonts w:hint="eastAsia"/>
          <w:sz w:val="24"/>
        </w:rPr>
        <w:t>煤矸石综合利用率、筛分破碎等含尘浓度、塌陷土地治理、场地绿化率</w:t>
      </w:r>
      <w:r w:rsidRPr="00925B84">
        <w:rPr>
          <w:sz w:val="24"/>
        </w:rPr>
        <w:t>等均达到一级标准要求</w:t>
      </w:r>
      <w:r w:rsidRPr="00925B84">
        <w:rPr>
          <w:rFonts w:hint="eastAsia"/>
          <w:sz w:val="24"/>
        </w:rPr>
        <w:t>；</w:t>
      </w:r>
      <w:r w:rsidRPr="00925B84">
        <w:rPr>
          <w:sz w:val="24"/>
        </w:rPr>
        <w:t>采煤煤矸石产生量</w:t>
      </w:r>
      <w:r w:rsidR="00135798" w:rsidRPr="00135798">
        <w:rPr>
          <w:rFonts w:hint="eastAsia"/>
          <w:color w:val="FF0000"/>
          <w:sz w:val="24"/>
        </w:rPr>
        <w:t>、矿井水</w:t>
      </w:r>
      <w:r w:rsidR="00135798" w:rsidRPr="00135798">
        <w:rPr>
          <w:color w:val="FF0000"/>
          <w:sz w:val="24"/>
        </w:rPr>
        <w:t>利用率</w:t>
      </w:r>
      <w:r w:rsidRPr="00135798">
        <w:rPr>
          <w:rFonts w:hint="eastAsia"/>
          <w:color w:val="FF0000"/>
          <w:sz w:val="24"/>
        </w:rPr>
        <w:t>为</w:t>
      </w:r>
      <w:r w:rsidRPr="00135798">
        <w:rPr>
          <w:color w:val="FF0000"/>
          <w:sz w:val="24"/>
        </w:rPr>
        <w:t>三级</w:t>
      </w:r>
      <w:r w:rsidRPr="00135798">
        <w:rPr>
          <w:rFonts w:hint="eastAsia"/>
          <w:color w:val="FF0000"/>
          <w:sz w:val="24"/>
        </w:rPr>
        <w:t>以下。</w:t>
      </w:r>
    </w:p>
    <w:p w:rsidR="00C223F5" w:rsidRPr="00925B84" w:rsidRDefault="005860D5">
      <w:pPr>
        <w:adjustRightInd w:val="0"/>
        <w:snapToGrid w:val="0"/>
        <w:spacing w:line="360" w:lineRule="auto"/>
        <w:ind w:firstLineChars="200" w:firstLine="480"/>
        <w:rPr>
          <w:sz w:val="24"/>
        </w:rPr>
      </w:pPr>
      <w:r w:rsidRPr="00925B84">
        <w:rPr>
          <w:sz w:val="24"/>
        </w:rPr>
        <w:t>通过清洁生产评价指标的对比分析，项目生产符合相关产业政策，</w:t>
      </w:r>
      <w:r w:rsidRPr="00925B84">
        <w:rPr>
          <w:rFonts w:hint="eastAsia"/>
          <w:bCs/>
          <w:kern w:val="0"/>
          <w:sz w:val="24"/>
        </w:rPr>
        <w:t>煤矿</w:t>
      </w:r>
      <w:r w:rsidRPr="00925B84">
        <w:rPr>
          <w:rFonts w:hint="eastAsia"/>
          <w:sz w:val="24"/>
        </w:rPr>
        <w:t>开采采用</w:t>
      </w:r>
      <w:r w:rsidRPr="00925B84">
        <w:rPr>
          <w:rFonts w:hAnsi="宋体"/>
          <w:kern w:val="0"/>
          <w:sz w:val="24"/>
        </w:rPr>
        <w:t>一次采全高长壁</w:t>
      </w:r>
      <w:r w:rsidRPr="00925B84">
        <w:rPr>
          <w:rFonts w:hAnsi="宋体" w:hint="eastAsia"/>
          <w:kern w:val="0"/>
          <w:sz w:val="24"/>
        </w:rPr>
        <w:t>综采</w:t>
      </w:r>
      <w:r w:rsidRPr="00925B84">
        <w:rPr>
          <w:rFonts w:hAnsi="宋体"/>
          <w:sz w:val="24"/>
        </w:rPr>
        <w:t>采煤法，</w:t>
      </w:r>
      <w:r w:rsidRPr="00925B84">
        <w:rPr>
          <w:sz w:val="24"/>
        </w:rPr>
        <w:t>选用同类成熟、可靠的开采设备，同时采用必要的</w:t>
      </w:r>
      <w:r w:rsidRPr="00925B84">
        <w:rPr>
          <w:sz w:val="24"/>
        </w:rPr>
        <w:t>“</w:t>
      </w:r>
      <w:r w:rsidRPr="00925B84">
        <w:rPr>
          <w:sz w:val="24"/>
        </w:rPr>
        <w:t>节能、降耗、减污、增效</w:t>
      </w:r>
      <w:r w:rsidRPr="00925B84">
        <w:rPr>
          <w:sz w:val="24"/>
        </w:rPr>
        <w:t>”</w:t>
      </w:r>
      <w:r w:rsidRPr="00925B84">
        <w:rPr>
          <w:sz w:val="24"/>
        </w:rPr>
        <w:t>的清洁生产措施，符合改造项目的相应技术水平要求</w:t>
      </w:r>
      <w:r w:rsidRPr="00925B84">
        <w:rPr>
          <w:rFonts w:hint="eastAsia"/>
          <w:sz w:val="24"/>
        </w:rPr>
        <w:t>。</w:t>
      </w:r>
    </w:p>
    <w:p w:rsidR="00C223F5" w:rsidRPr="00925B84" w:rsidRDefault="005860D5">
      <w:pPr>
        <w:adjustRightInd w:val="0"/>
        <w:snapToGrid w:val="0"/>
        <w:spacing w:line="360" w:lineRule="auto"/>
        <w:ind w:firstLineChars="200" w:firstLine="480"/>
        <w:rPr>
          <w:sz w:val="24"/>
        </w:rPr>
      </w:pPr>
      <w:r w:rsidRPr="00925B84">
        <w:rPr>
          <w:rFonts w:hint="eastAsia"/>
          <w:sz w:val="24"/>
        </w:rPr>
        <w:t>20</w:t>
      </w:r>
      <w:r w:rsidRPr="00925B84">
        <w:rPr>
          <w:sz w:val="24"/>
        </w:rPr>
        <w:t>项参评指标中，达到一级标准的有</w:t>
      </w:r>
      <w:r w:rsidRPr="00925B84">
        <w:rPr>
          <w:rFonts w:hint="eastAsia"/>
          <w:sz w:val="24"/>
        </w:rPr>
        <w:t>11</w:t>
      </w:r>
      <w:r w:rsidRPr="00925B84">
        <w:rPr>
          <w:sz w:val="24"/>
        </w:rPr>
        <w:t>项，</w:t>
      </w:r>
      <w:r w:rsidRPr="00925B84">
        <w:rPr>
          <w:rFonts w:hint="eastAsia"/>
          <w:sz w:val="24"/>
        </w:rPr>
        <w:t>达标二级标准</w:t>
      </w:r>
      <w:r w:rsidR="00135798">
        <w:rPr>
          <w:sz w:val="24"/>
        </w:rPr>
        <w:t>6</w:t>
      </w:r>
      <w:r w:rsidRPr="00925B84">
        <w:rPr>
          <w:rFonts w:hint="eastAsia"/>
          <w:sz w:val="24"/>
        </w:rPr>
        <w:t>项目，达标三级标准的</w:t>
      </w:r>
      <w:r w:rsidR="00135798">
        <w:rPr>
          <w:sz w:val="24"/>
        </w:rPr>
        <w:t>1</w:t>
      </w:r>
      <w:r w:rsidRPr="00925B84">
        <w:rPr>
          <w:rFonts w:hint="eastAsia"/>
          <w:sz w:val="24"/>
        </w:rPr>
        <w:t>项目，低于三级标准的</w:t>
      </w:r>
      <w:r w:rsidR="00135798">
        <w:rPr>
          <w:sz w:val="24"/>
        </w:rPr>
        <w:t>2</w:t>
      </w:r>
      <w:r w:rsidRPr="00925B84">
        <w:rPr>
          <w:rFonts w:hint="eastAsia"/>
          <w:sz w:val="24"/>
        </w:rPr>
        <w:t>项目。</w:t>
      </w:r>
      <w:r w:rsidRPr="00925B84">
        <w:rPr>
          <w:sz w:val="24"/>
        </w:rPr>
        <w:t>环评针对较低等级指标提出如下建议：</w:t>
      </w:r>
    </w:p>
    <w:p w:rsidR="00C223F5" w:rsidRPr="00925B84" w:rsidRDefault="005860D5">
      <w:pPr>
        <w:spacing w:line="360" w:lineRule="auto"/>
        <w:ind w:firstLineChars="200" w:firstLine="482"/>
        <w:rPr>
          <w:b/>
          <w:sz w:val="24"/>
        </w:rPr>
      </w:pPr>
      <w:bookmarkStart w:id="248" w:name="_Toc525047788"/>
      <w:bookmarkStart w:id="249" w:name="_Toc518464596"/>
      <w:r w:rsidRPr="00925B84">
        <w:rPr>
          <w:b/>
          <w:sz w:val="24"/>
        </w:rPr>
        <w:t>（</w:t>
      </w:r>
      <w:r w:rsidRPr="00925B84">
        <w:rPr>
          <w:rFonts w:hint="eastAsia"/>
          <w:b/>
          <w:sz w:val="24"/>
        </w:rPr>
        <w:t>1</w:t>
      </w:r>
      <w:r w:rsidRPr="00925B84">
        <w:rPr>
          <w:b/>
          <w:sz w:val="24"/>
        </w:rPr>
        <w:t>）提高矿井水的利用率</w:t>
      </w:r>
      <w:bookmarkEnd w:id="248"/>
      <w:bookmarkEnd w:id="249"/>
    </w:p>
    <w:p w:rsidR="00C223F5" w:rsidRPr="00925B84" w:rsidRDefault="005860D5">
      <w:pPr>
        <w:spacing w:line="360" w:lineRule="auto"/>
        <w:ind w:firstLineChars="200" w:firstLine="480"/>
        <w:rPr>
          <w:sz w:val="24"/>
        </w:rPr>
      </w:pPr>
      <w:r w:rsidRPr="00925B84">
        <w:rPr>
          <w:rFonts w:hint="eastAsia"/>
          <w:sz w:val="24"/>
        </w:rPr>
        <w:t>提高矿井水的利用率，根据周边企业建设情况寻求新的用水用户提高矿井水利用率</w:t>
      </w:r>
      <w:r w:rsidRPr="00925B84">
        <w:rPr>
          <w:sz w:val="24"/>
        </w:rPr>
        <w:t>。</w:t>
      </w:r>
    </w:p>
    <w:p w:rsidR="00C223F5" w:rsidRPr="00925B84" w:rsidRDefault="005860D5">
      <w:pPr>
        <w:spacing w:line="360" w:lineRule="auto"/>
        <w:ind w:firstLineChars="200" w:firstLine="482"/>
        <w:rPr>
          <w:sz w:val="24"/>
        </w:rPr>
      </w:pPr>
      <w:bookmarkStart w:id="250" w:name="_Toc518464597"/>
      <w:bookmarkStart w:id="251" w:name="_Toc525047789"/>
      <w:r w:rsidRPr="00925B84">
        <w:rPr>
          <w:b/>
          <w:sz w:val="24"/>
        </w:rPr>
        <w:t>（</w:t>
      </w:r>
      <w:r w:rsidRPr="00925B84">
        <w:rPr>
          <w:rFonts w:hint="eastAsia"/>
          <w:b/>
          <w:sz w:val="24"/>
        </w:rPr>
        <w:t>2</w:t>
      </w:r>
      <w:r w:rsidRPr="00925B84">
        <w:rPr>
          <w:b/>
          <w:sz w:val="24"/>
        </w:rPr>
        <w:t>）进一步减小资源与能源的消耗</w:t>
      </w:r>
      <w:bookmarkEnd w:id="250"/>
      <w:bookmarkEnd w:id="251"/>
    </w:p>
    <w:p w:rsidR="00C223F5" w:rsidRPr="00925B84" w:rsidRDefault="005860D5">
      <w:pPr>
        <w:spacing w:line="360" w:lineRule="auto"/>
        <w:ind w:firstLineChars="200" w:firstLine="480"/>
        <w:rPr>
          <w:sz w:val="24"/>
        </w:rPr>
      </w:pPr>
      <w:r w:rsidRPr="00925B84">
        <w:rPr>
          <w:sz w:val="24"/>
        </w:rPr>
        <w:t>本项目清洁生产指标中，原煤生产水耗、电耗指标低，环评要求加强水资源综合利用及节水节点措施，进一步降低原煤生产水耗和电耗。同时，在矿井安全生产的基础上，实现以最小的资源、能源消耗取得最大的经济利益，建立节约型</w:t>
      </w:r>
      <w:r w:rsidRPr="00925B84">
        <w:rPr>
          <w:sz w:val="24"/>
        </w:rPr>
        <w:lastRenderedPageBreak/>
        <w:t>企业。</w:t>
      </w:r>
    </w:p>
    <w:p w:rsidR="00C223F5" w:rsidRPr="00925B84" w:rsidRDefault="005860D5">
      <w:pPr>
        <w:spacing w:line="360" w:lineRule="auto"/>
        <w:ind w:firstLineChars="200" w:firstLine="482"/>
        <w:rPr>
          <w:b/>
          <w:sz w:val="24"/>
        </w:rPr>
      </w:pPr>
      <w:bookmarkStart w:id="252" w:name="_Toc525047790"/>
      <w:bookmarkStart w:id="253" w:name="_Toc518464598"/>
      <w:r w:rsidRPr="00925B84">
        <w:rPr>
          <w:b/>
          <w:sz w:val="24"/>
        </w:rPr>
        <w:t>（</w:t>
      </w:r>
      <w:r w:rsidRPr="00925B84">
        <w:rPr>
          <w:rFonts w:hint="eastAsia"/>
          <w:b/>
          <w:sz w:val="24"/>
        </w:rPr>
        <w:t>3</w:t>
      </w:r>
      <w:r w:rsidRPr="00925B84">
        <w:rPr>
          <w:b/>
          <w:sz w:val="24"/>
        </w:rPr>
        <w:t>）加强清洁生产管理</w:t>
      </w:r>
      <w:bookmarkEnd w:id="252"/>
      <w:bookmarkEnd w:id="253"/>
    </w:p>
    <w:p w:rsidR="00C223F5" w:rsidRPr="00925B84" w:rsidRDefault="005860D5">
      <w:pPr>
        <w:spacing w:line="360" w:lineRule="auto"/>
        <w:ind w:firstLineChars="200" w:firstLine="480"/>
        <w:rPr>
          <w:sz w:val="24"/>
        </w:rPr>
      </w:pPr>
      <w:r w:rsidRPr="00925B84">
        <w:rPr>
          <w:sz w:val="24"/>
        </w:rPr>
        <w:t>建立清洁生产管理机构。更新观念，把</w:t>
      </w:r>
      <w:r w:rsidRPr="00925B84">
        <w:rPr>
          <w:sz w:val="24"/>
        </w:rPr>
        <w:t>“</w:t>
      </w:r>
      <w:r w:rsidRPr="00925B84">
        <w:rPr>
          <w:sz w:val="24"/>
        </w:rPr>
        <w:t>预防</w:t>
      </w:r>
      <w:r w:rsidRPr="00925B84">
        <w:rPr>
          <w:sz w:val="24"/>
        </w:rPr>
        <w:t>”</w:t>
      </w:r>
      <w:r w:rsidRPr="00925B84">
        <w:rPr>
          <w:sz w:val="24"/>
        </w:rPr>
        <w:t>真正放在首位，把</w:t>
      </w:r>
      <w:r w:rsidRPr="00925B84">
        <w:rPr>
          <w:sz w:val="24"/>
        </w:rPr>
        <w:t>“</w:t>
      </w:r>
      <w:r w:rsidRPr="00925B84">
        <w:rPr>
          <w:sz w:val="24"/>
        </w:rPr>
        <w:t>末端治理</w:t>
      </w:r>
      <w:r w:rsidRPr="00925B84">
        <w:rPr>
          <w:sz w:val="24"/>
        </w:rPr>
        <w:t>”</w:t>
      </w:r>
      <w:r w:rsidRPr="00925B84">
        <w:rPr>
          <w:sz w:val="24"/>
        </w:rPr>
        <w:t>转向矿区开发生产全过程的污染控制。同时设立有生产、技术、环保、安全、运销等部门参加的清洁生产管理机构；适时开展组织培训，对职工进行清洁生产目的、意义、政策、技术、实施方法和运行机制方面的学习和培训。通过培训，克服各种思想障碍，提高认识、增强清洁生产自觉性。</w:t>
      </w:r>
    </w:p>
    <w:p w:rsidR="00C223F5" w:rsidRPr="00925B84" w:rsidRDefault="005860D5" w:rsidP="004835BD">
      <w:pPr>
        <w:pStyle w:val="3"/>
        <w:numPr>
          <w:ilvl w:val="0"/>
          <w:numId w:val="0"/>
        </w:numPr>
        <w:spacing w:before="0" w:after="0" w:line="360" w:lineRule="auto"/>
        <w:ind w:left="170"/>
        <w:rPr>
          <w:rFonts w:eastAsia="宋体"/>
          <w:b/>
          <w:bCs w:val="0"/>
          <w:szCs w:val="24"/>
        </w:rPr>
      </w:pPr>
      <w:bookmarkStart w:id="254" w:name="_Toc12968210"/>
      <w:bookmarkStart w:id="255" w:name="_Toc16785267"/>
      <w:r w:rsidRPr="00925B84">
        <w:rPr>
          <w:rFonts w:eastAsia="宋体"/>
          <w:b/>
          <w:bCs w:val="0"/>
          <w:sz w:val="28"/>
          <w:szCs w:val="28"/>
        </w:rPr>
        <w:t>2.3.</w:t>
      </w:r>
      <w:r w:rsidRPr="00925B84">
        <w:rPr>
          <w:rFonts w:eastAsia="宋体" w:hint="eastAsia"/>
          <w:b/>
          <w:bCs w:val="0"/>
          <w:sz w:val="28"/>
          <w:szCs w:val="28"/>
        </w:rPr>
        <w:t>5</w:t>
      </w:r>
      <w:r w:rsidRPr="00925B84">
        <w:rPr>
          <w:rFonts w:eastAsia="宋体"/>
          <w:b/>
          <w:bCs w:val="0"/>
          <w:sz w:val="28"/>
          <w:szCs w:val="28"/>
        </w:rPr>
        <w:t xml:space="preserve"> </w:t>
      </w:r>
      <w:r w:rsidRPr="00925B84">
        <w:rPr>
          <w:rFonts w:eastAsia="宋体"/>
          <w:b/>
          <w:bCs w:val="0"/>
          <w:sz w:val="28"/>
          <w:szCs w:val="28"/>
        </w:rPr>
        <w:t>达标排放及总量控制指标</w:t>
      </w:r>
      <w:bookmarkEnd w:id="254"/>
      <w:bookmarkEnd w:id="255"/>
    </w:p>
    <w:p w:rsidR="00C223F5" w:rsidRPr="00925B84" w:rsidRDefault="005860D5">
      <w:pPr>
        <w:spacing w:line="360" w:lineRule="auto"/>
        <w:ind w:firstLineChars="200" w:firstLine="480"/>
        <w:rPr>
          <w:sz w:val="24"/>
        </w:rPr>
      </w:pPr>
      <w:r w:rsidRPr="00925B84">
        <w:rPr>
          <w:rFonts w:hint="eastAsia"/>
          <w:sz w:val="24"/>
        </w:rPr>
        <w:t>矿井开采阶段井下排水经</w:t>
      </w:r>
      <w:r w:rsidRPr="00925B84">
        <w:rPr>
          <w:sz w:val="24"/>
        </w:rPr>
        <w:t>“</w:t>
      </w:r>
      <w:r w:rsidRPr="00925B84">
        <w:rPr>
          <w:sz w:val="24"/>
        </w:rPr>
        <w:t>混凝</w:t>
      </w:r>
      <w:r w:rsidRPr="00925B84">
        <w:rPr>
          <w:rFonts w:hint="eastAsia"/>
          <w:sz w:val="24"/>
        </w:rPr>
        <w:t>、</w:t>
      </w:r>
      <w:r w:rsidRPr="00925B84">
        <w:rPr>
          <w:sz w:val="24"/>
        </w:rPr>
        <w:t>沉淀、</w:t>
      </w:r>
      <w:r w:rsidRPr="00925B84">
        <w:rPr>
          <w:rFonts w:hint="eastAsia"/>
          <w:sz w:val="24"/>
        </w:rPr>
        <w:t>气浮</w:t>
      </w:r>
      <w:r w:rsidRPr="00925B84">
        <w:rPr>
          <w:sz w:val="24"/>
        </w:rPr>
        <w:t>、过滤</w:t>
      </w:r>
      <w:r w:rsidRPr="00925B84">
        <w:rPr>
          <w:rFonts w:hint="eastAsia"/>
          <w:sz w:val="24"/>
        </w:rPr>
        <w:t>和</w:t>
      </w:r>
      <w:r w:rsidRPr="00925B84">
        <w:rPr>
          <w:sz w:val="24"/>
        </w:rPr>
        <w:t>消毒</w:t>
      </w:r>
      <w:r w:rsidRPr="00925B84">
        <w:rPr>
          <w:rFonts w:hint="eastAsia"/>
          <w:sz w:val="24"/>
        </w:rPr>
        <w:t>”工艺处理</w:t>
      </w:r>
      <w:r w:rsidRPr="00925B84">
        <w:rPr>
          <w:sz w:val="24"/>
        </w:rPr>
        <w:t>后</w:t>
      </w:r>
      <w:r w:rsidRPr="00925B84">
        <w:rPr>
          <w:rFonts w:hint="eastAsia"/>
          <w:sz w:val="24"/>
        </w:rPr>
        <w:t>，部分回用于</w:t>
      </w:r>
      <w:r w:rsidRPr="00135798">
        <w:rPr>
          <w:rFonts w:hint="eastAsia"/>
          <w:color w:val="FF0000"/>
          <w:sz w:val="24"/>
        </w:rPr>
        <w:t>矿井生产</w:t>
      </w:r>
      <w:r w:rsidRPr="00925B84">
        <w:rPr>
          <w:rFonts w:hint="eastAsia"/>
          <w:sz w:val="24"/>
        </w:rPr>
        <w:t>，少量</w:t>
      </w:r>
      <w:r w:rsidRPr="00925B84">
        <w:rPr>
          <w:sz w:val="24"/>
        </w:rPr>
        <w:t>达标</w:t>
      </w:r>
      <w:r w:rsidRPr="00925B84">
        <w:rPr>
          <w:rFonts w:hint="eastAsia"/>
          <w:sz w:val="24"/>
        </w:rPr>
        <w:t>外</w:t>
      </w:r>
      <w:r w:rsidRPr="00925B84">
        <w:rPr>
          <w:sz w:val="24"/>
        </w:rPr>
        <w:t>排至</w:t>
      </w:r>
      <w:r w:rsidRPr="00925B84">
        <w:rPr>
          <w:rFonts w:hint="eastAsia"/>
          <w:sz w:val="24"/>
        </w:rPr>
        <w:t>蚂蚁河；</w:t>
      </w:r>
      <w:r w:rsidRPr="00925B84">
        <w:rPr>
          <w:sz w:val="24"/>
        </w:rPr>
        <w:t>生活污水经</w:t>
      </w:r>
      <w:r w:rsidRPr="00925B84">
        <w:rPr>
          <w:sz w:val="24"/>
        </w:rPr>
        <w:t>“</w:t>
      </w:r>
      <w:r w:rsidRPr="00925B84">
        <w:rPr>
          <w:sz w:val="24"/>
        </w:rPr>
        <w:t>二级生化</w:t>
      </w:r>
      <w:r w:rsidRPr="00925B84">
        <w:rPr>
          <w:rFonts w:hint="eastAsia"/>
          <w:sz w:val="24"/>
        </w:rPr>
        <w:t>+</w:t>
      </w:r>
      <w:r w:rsidRPr="00925B84">
        <w:rPr>
          <w:rFonts w:hint="eastAsia"/>
          <w:sz w:val="24"/>
        </w:rPr>
        <w:t>深度</w:t>
      </w:r>
      <w:r w:rsidRPr="00925B84">
        <w:rPr>
          <w:sz w:val="24"/>
        </w:rPr>
        <w:t>”</w:t>
      </w:r>
      <w:r w:rsidRPr="00925B84">
        <w:rPr>
          <w:sz w:val="24"/>
        </w:rPr>
        <w:t>工艺处理达标后全部回用；矿井不设燃煤锅炉，</w:t>
      </w:r>
      <w:r w:rsidRPr="00925B84">
        <w:rPr>
          <w:rFonts w:hint="eastAsia"/>
          <w:sz w:val="24"/>
        </w:rPr>
        <w:t>采用</w:t>
      </w:r>
      <w:r w:rsidRPr="00925B84">
        <w:rPr>
          <w:sz w:val="24"/>
        </w:rPr>
        <w:t>乏风热泵机组</w:t>
      </w:r>
      <w:r w:rsidRPr="00925B84">
        <w:rPr>
          <w:sz w:val="24"/>
        </w:rPr>
        <w:t>+</w:t>
      </w:r>
      <w:r w:rsidRPr="00925B84">
        <w:rPr>
          <w:sz w:val="24"/>
        </w:rPr>
        <w:t>水源热泵机组</w:t>
      </w:r>
      <w:r w:rsidRPr="00925B84">
        <w:rPr>
          <w:sz w:val="24"/>
        </w:rPr>
        <w:t>+</w:t>
      </w:r>
      <w:r w:rsidRPr="00925B84">
        <w:rPr>
          <w:sz w:val="24"/>
        </w:rPr>
        <w:t>电锅炉供热</w:t>
      </w:r>
      <w:r w:rsidRPr="00925B84">
        <w:rPr>
          <w:rFonts w:hint="eastAsia"/>
          <w:sz w:val="24"/>
        </w:rPr>
        <w:t>；由此确定</w:t>
      </w:r>
      <w:r w:rsidRPr="00925B84">
        <w:rPr>
          <w:rFonts w:hint="eastAsia"/>
          <w:sz w:val="24"/>
          <w:szCs w:val="22"/>
        </w:rPr>
        <w:t>本项目</w:t>
      </w:r>
      <w:r w:rsidRPr="00925B84">
        <w:rPr>
          <w:sz w:val="24"/>
          <w:szCs w:val="22"/>
        </w:rPr>
        <w:t>总量控制指标为：水体污染物中的</w:t>
      </w:r>
      <w:r w:rsidRPr="00925B84">
        <w:rPr>
          <w:sz w:val="24"/>
          <w:szCs w:val="22"/>
        </w:rPr>
        <w:t>COD</w:t>
      </w:r>
      <w:r w:rsidRPr="00925B84">
        <w:rPr>
          <w:sz w:val="24"/>
          <w:szCs w:val="22"/>
        </w:rPr>
        <w:t>和氨氮。</w:t>
      </w:r>
      <w:r w:rsidRPr="00925B84">
        <w:rPr>
          <w:rFonts w:hint="eastAsia"/>
          <w:sz w:val="24"/>
          <w:szCs w:val="22"/>
        </w:rPr>
        <w:t>原天云煤矿已取得榆林市环保局“榆政环函</w:t>
      </w:r>
      <w:r w:rsidRPr="00925B84">
        <w:rPr>
          <w:rFonts w:hint="eastAsia"/>
          <w:sz w:val="24"/>
          <w:szCs w:val="22"/>
        </w:rPr>
        <w:t>[2016]508</w:t>
      </w:r>
      <w:r w:rsidRPr="00925B84">
        <w:rPr>
          <w:rFonts w:hint="eastAsia"/>
          <w:sz w:val="24"/>
          <w:szCs w:val="22"/>
        </w:rPr>
        <w:t>号”关于原整合工程污染物排放总量的批复，本项目</w:t>
      </w:r>
      <w:r w:rsidRPr="00925B84">
        <w:rPr>
          <w:rFonts w:hint="eastAsia"/>
          <w:sz w:val="24"/>
        </w:rPr>
        <w:t>污染物达标排放及排放总量情况见表</w:t>
      </w:r>
      <w:r w:rsidRPr="00925B84">
        <w:rPr>
          <w:rFonts w:hint="eastAsia"/>
          <w:sz w:val="24"/>
        </w:rPr>
        <w:t>2.3.2-6</w:t>
      </w:r>
      <w:r w:rsidRPr="00925B84">
        <w:rPr>
          <w:rFonts w:hint="eastAsia"/>
          <w:sz w:val="24"/>
        </w:rPr>
        <w:t>。</w:t>
      </w:r>
    </w:p>
    <w:p w:rsidR="00C223F5" w:rsidRPr="00925B84" w:rsidRDefault="005860D5">
      <w:pPr>
        <w:adjustRightInd w:val="0"/>
        <w:snapToGrid w:val="0"/>
        <w:jc w:val="center"/>
        <w:rPr>
          <w:b/>
          <w:bCs/>
          <w:sz w:val="24"/>
          <w:szCs w:val="22"/>
        </w:rPr>
      </w:pPr>
      <w:bookmarkStart w:id="256" w:name="_Toc277690630"/>
      <w:r w:rsidRPr="00925B84">
        <w:rPr>
          <w:b/>
          <w:bCs/>
          <w:sz w:val="24"/>
          <w:szCs w:val="22"/>
        </w:rPr>
        <w:t>表</w:t>
      </w:r>
      <w:r w:rsidRPr="00925B84">
        <w:rPr>
          <w:rFonts w:hint="eastAsia"/>
          <w:b/>
          <w:bCs/>
          <w:sz w:val="24"/>
          <w:szCs w:val="22"/>
        </w:rPr>
        <w:t>2.3.2-6</w:t>
      </w:r>
      <w:r w:rsidRPr="00925B84">
        <w:rPr>
          <w:b/>
          <w:sz w:val="24"/>
          <w:szCs w:val="22"/>
        </w:rPr>
        <w:t>主要污染物排放量及批复总量</w:t>
      </w:r>
    </w:p>
    <w:tbl>
      <w:tblPr>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72"/>
        <w:gridCol w:w="709"/>
        <w:gridCol w:w="1936"/>
        <w:gridCol w:w="1085"/>
        <w:gridCol w:w="1503"/>
        <w:gridCol w:w="1041"/>
        <w:gridCol w:w="1510"/>
      </w:tblGrid>
      <w:tr w:rsidR="00C223F5" w:rsidRPr="00925B84">
        <w:trPr>
          <w:trHeight w:val="340"/>
          <w:jc w:val="center"/>
        </w:trPr>
        <w:tc>
          <w:tcPr>
            <w:tcW w:w="872" w:type="dxa"/>
            <w:vMerge w:val="restart"/>
            <w:vAlign w:val="center"/>
          </w:tcPr>
          <w:p w:rsidR="00C223F5" w:rsidRPr="00925B84" w:rsidRDefault="005860D5">
            <w:pPr>
              <w:adjustRightInd w:val="0"/>
              <w:snapToGrid w:val="0"/>
              <w:jc w:val="center"/>
              <w:rPr>
                <w:szCs w:val="21"/>
              </w:rPr>
            </w:pPr>
            <w:r w:rsidRPr="00925B84">
              <w:rPr>
                <w:rFonts w:ascii="宋体" w:hAnsi="宋体" w:cs="宋体" w:hint="eastAsia"/>
                <w:szCs w:val="21"/>
              </w:rPr>
              <w:t>污染物类型</w:t>
            </w:r>
          </w:p>
        </w:tc>
        <w:tc>
          <w:tcPr>
            <w:tcW w:w="709" w:type="dxa"/>
            <w:vMerge w:val="restart"/>
            <w:vAlign w:val="center"/>
          </w:tcPr>
          <w:p w:rsidR="00C223F5" w:rsidRPr="00925B84" w:rsidRDefault="005860D5">
            <w:pPr>
              <w:adjustRightInd w:val="0"/>
              <w:snapToGrid w:val="0"/>
              <w:jc w:val="center"/>
              <w:rPr>
                <w:szCs w:val="21"/>
              </w:rPr>
            </w:pPr>
            <w:r w:rsidRPr="00925B84">
              <w:rPr>
                <w:rFonts w:ascii="宋体" w:hAnsi="宋体" w:cs="宋体" w:hint="eastAsia"/>
                <w:szCs w:val="21"/>
              </w:rPr>
              <w:t>控制因子</w:t>
            </w:r>
          </w:p>
        </w:tc>
        <w:tc>
          <w:tcPr>
            <w:tcW w:w="1936" w:type="dxa"/>
            <w:vMerge w:val="restart"/>
            <w:vAlign w:val="center"/>
          </w:tcPr>
          <w:p w:rsidR="00C223F5" w:rsidRPr="00925B84" w:rsidRDefault="005860D5">
            <w:pPr>
              <w:adjustRightInd w:val="0"/>
              <w:snapToGrid w:val="0"/>
              <w:jc w:val="center"/>
              <w:rPr>
                <w:szCs w:val="21"/>
              </w:rPr>
            </w:pPr>
            <w:r w:rsidRPr="00925B84">
              <w:rPr>
                <w:rFonts w:hint="eastAsia"/>
                <w:szCs w:val="21"/>
              </w:rPr>
              <w:t>“</w:t>
            </w:r>
            <w:r w:rsidRPr="00925B84">
              <w:rPr>
                <w:rFonts w:hint="eastAsia"/>
                <w:sz w:val="24"/>
                <w:szCs w:val="22"/>
              </w:rPr>
              <w:t>榆政环函</w:t>
            </w:r>
            <w:r w:rsidRPr="00925B84">
              <w:rPr>
                <w:rFonts w:hint="eastAsia"/>
                <w:sz w:val="24"/>
                <w:szCs w:val="22"/>
              </w:rPr>
              <w:t>[2016]508</w:t>
            </w:r>
            <w:r w:rsidRPr="00925B84">
              <w:rPr>
                <w:rFonts w:hint="eastAsia"/>
                <w:sz w:val="24"/>
                <w:szCs w:val="22"/>
              </w:rPr>
              <w:t>号</w:t>
            </w:r>
            <w:r w:rsidRPr="00925B84">
              <w:rPr>
                <w:rFonts w:hint="eastAsia"/>
                <w:szCs w:val="21"/>
              </w:rPr>
              <w:t>”</w:t>
            </w:r>
            <w:r w:rsidRPr="00925B84">
              <w:rPr>
                <w:rFonts w:ascii="宋体" w:hAnsi="宋体" w:cs="宋体" w:hint="eastAsia"/>
                <w:szCs w:val="21"/>
              </w:rPr>
              <w:t>批复总量</w:t>
            </w:r>
          </w:p>
        </w:tc>
        <w:tc>
          <w:tcPr>
            <w:tcW w:w="5139" w:type="dxa"/>
            <w:gridSpan w:val="4"/>
            <w:vAlign w:val="center"/>
          </w:tcPr>
          <w:p w:rsidR="00C223F5" w:rsidRPr="00925B84" w:rsidRDefault="005860D5">
            <w:pPr>
              <w:adjustRightInd w:val="0"/>
              <w:snapToGrid w:val="0"/>
              <w:jc w:val="center"/>
              <w:rPr>
                <w:szCs w:val="21"/>
              </w:rPr>
            </w:pPr>
            <w:r w:rsidRPr="00925B84">
              <w:rPr>
                <w:rFonts w:ascii="宋体" w:hAnsi="宋体" w:cs="宋体" w:hint="eastAsia"/>
                <w:szCs w:val="21"/>
              </w:rPr>
              <w:t>项目排放量</w:t>
            </w:r>
          </w:p>
        </w:tc>
      </w:tr>
      <w:tr w:rsidR="00C223F5" w:rsidRPr="00925B84">
        <w:trPr>
          <w:trHeight w:val="340"/>
          <w:jc w:val="center"/>
        </w:trPr>
        <w:tc>
          <w:tcPr>
            <w:tcW w:w="872" w:type="dxa"/>
            <w:vMerge/>
            <w:vAlign w:val="center"/>
          </w:tcPr>
          <w:p w:rsidR="00C223F5" w:rsidRPr="00925B84" w:rsidRDefault="00C223F5">
            <w:pPr>
              <w:adjustRightInd w:val="0"/>
              <w:snapToGrid w:val="0"/>
              <w:jc w:val="center"/>
              <w:rPr>
                <w:rFonts w:ascii="宋体" w:hAnsi="宋体" w:cs="宋体"/>
                <w:szCs w:val="21"/>
              </w:rPr>
            </w:pPr>
          </w:p>
        </w:tc>
        <w:tc>
          <w:tcPr>
            <w:tcW w:w="709" w:type="dxa"/>
            <w:vMerge/>
            <w:vAlign w:val="center"/>
          </w:tcPr>
          <w:p w:rsidR="00C223F5" w:rsidRPr="00925B84" w:rsidRDefault="00C223F5">
            <w:pPr>
              <w:adjustRightInd w:val="0"/>
              <w:snapToGrid w:val="0"/>
              <w:jc w:val="center"/>
              <w:rPr>
                <w:rFonts w:ascii="宋体" w:hAnsi="宋体" w:cs="宋体"/>
                <w:szCs w:val="21"/>
              </w:rPr>
            </w:pPr>
          </w:p>
        </w:tc>
        <w:tc>
          <w:tcPr>
            <w:tcW w:w="1936" w:type="dxa"/>
            <w:vMerge/>
            <w:vAlign w:val="center"/>
          </w:tcPr>
          <w:p w:rsidR="00C223F5" w:rsidRPr="00925B84" w:rsidRDefault="00C223F5">
            <w:pPr>
              <w:adjustRightInd w:val="0"/>
              <w:snapToGrid w:val="0"/>
              <w:jc w:val="center"/>
              <w:rPr>
                <w:rFonts w:ascii="宋体" w:hAnsi="宋体" w:cs="宋体"/>
                <w:szCs w:val="21"/>
              </w:rPr>
            </w:pPr>
          </w:p>
        </w:tc>
        <w:tc>
          <w:tcPr>
            <w:tcW w:w="1085" w:type="dxa"/>
            <w:vAlign w:val="center"/>
          </w:tcPr>
          <w:p w:rsidR="00C223F5" w:rsidRPr="00925B84" w:rsidRDefault="005860D5">
            <w:pPr>
              <w:jc w:val="center"/>
              <w:rPr>
                <w:szCs w:val="21"/>
              </w:rPr>
            </w:pPr>
            <w:r w:rsidRPr="00925B84">
              <w:rPr>
                <w:szCs w:val="21"/>
              </w:rPr>
              <w:t>排放浓度</w:t>
            </w:r>
          </w:p>
          <w:p w:rsidR="00C223F5" w:rsidRPr="00925B84" w:rsidRDefault="005860D5">
            <w:pPr>
              <w:jc w:val="center"/>
              <w:rPr>
                <w:szCs w:val="21"/>
              </w:rPr>
            </w:pPr>
            <w:r w:rsidRPr="00925B84">
              <w:rPr>
                <w:rFonts w:hint="eastAsia"/>
                <w:szCs w:val="21"/>
              </w:rPr>
              <w:t>（</w:t>
            </w:r>
            <w:r w:rsidRPr="00925B84">
              <w:rPr>
                <w:szCs w:val="21"/>
              </w:rPr>
              <w:t>mg/L</w:t>
            </w:r>
            <w:r w:rsidRPr="00925B84">
              <w:rPr>
                <w:rFonts w:hint="eastAsia"/>
                <w:szCs w:val="21"/>
              </w:rPr>
              <w:t>）</w:t>
            </w:r>
          </w:p>
        </w:tc>
        <w:tc>
          <w:tcPr>
            <w:tcW w:w="1503" w:type="dxa"/>
            <w:vAlign w:val="center"/>
          </w:tcPr>
          <w:p w:rsidR="00C223F5" w:rsidRPr="00925B84" w:rsidRDefault="005860D5">
            <w:pPr>
              <w:jc w:val="center"/>
              <w:rPr>
                <w:szCs w:val="21"/>
              </w:rPr>
            </w:pPr>
            <w:r w:rsidRPr="00925B84">
              <w:rPr>
                <w:szCs w:val="21"/>
              </w:rPr>
              <w:t>排放标准</w:t>
            </w:r>
          </w:p>
          <w:p w:rsidR="00C223F5" w:rsidRPr="00925B84" w:rsidRDefault="005860D5">
            <w:pPr>
              <w:jc w:val="center"/>
              <w:rPr>
                <w:szCs w:val="21"/>
              </w:rPr>
            </w:pPr>
            <w:r w:rsidRPr="00925B84">
              <w:rPr>
                <w:rFonts w:hint="eastAsia"/>
                <w:szCs w:val="21"/>
              </w:rPr>
              <w:t>（</w:t>
            </w:r>
            <w:r w:rsidRPr="00925B84">
              <w:rPr>
                <w:szCs w:val="21"/>
              </w:rPr>
              <w:t>mg/L</w:t>
            </w:r>
            <w:r w:rsidRPr="00925B84">
              <w:rPr>
                <w:rFonts w:hint="eastAsia"/>
                <w:szCs w:val="21"/>
              </w:rPr>
              <w:t>）</w:t>
            </w:r>
          </w:p>
        </w:tc>
        <w:tc>
          <w:tcPr>
            <w:tcW w:w="1041" w:type="dxa"/>
            <w:vAlign w:val="center"/>
          </w:tcPr>
          <w:p w:rsidR="00C223F5" w:rsidRPr="00925B84" w:rsidRDefault="005860D5">
            <w:pPr>
              <w:jc w:val="center"/>
              <w:rPr>
                <w:szCs w:val="21"/>
              </w:rPr>
            </w:pPr>
            <w:r w:rsidRPr="00925B84">
              <w:rPr>
                <w:szCs w:val="21"/>
              </w:rPr>
              <w:t>排放总量</w:t>
            </w:r>
          </w:p>
          <w:p w:rsidR="00C223F5" w:rsidRPr="00925B84" w:rsidRDefault="005860D5">
            <w:pPr>
              <w:jc w:val="center"/>
              <w:rPr>
                <w:szCs w:val="21"/>
              </w:rPr>
            </w:pPr>
            <w:r w:rsidRPr="00925B84">
              <w:rPr>
                <w:rFonts w:hint="eastAsia"/>
                <w:szCs w:val="21"/>
              </w:rPr>
              <w:t>（</w:t>
            </w:r>
            <w:r w:rsidRPr="00925B84">
              <w:rPr>
                <w:rFonts w:hint="eastAsia"/>
                <w:szCs w:val="21"/>
              </w:rPr>
              <w:t>t</w:t>
            </w:r>
            <w:r w:rsidRPr="00925B84">
              <w:rPr>
                <w:szCs w:val="21"/>
              </w:rPr>
              <w:t>/</w:t>
            </w:r>
            <w:r w:rsidRPr="00925B84">
              <w:rPr>
                <w:rFonts w:hint="eastAsia"/>
                <w:szCs w:val="21"/>
              </w:rPr>
              <w:t>a</w:t>
            </w:r>
            <w:r w:rsidRPr="00925B84">
              <w:rPr>
                <w:rFonts w:hint="eastAsia"/>
                <w:szCs w:val="21"/>
              </w:rPr>
              <w:t>）</w:t>
            </w:r>
          </w:p>
        </w:tc>
        <w:tc>
          <w:tcPr>
            <w:tcW w:w="1510" w:type="dxa"/>
            <w:vAlign w:val="center"/>
          </w:tcPr>
          <w:p w:rsidR="00C223F5" w:rsidRPr="00925B84" w:rsidRDefault="005860D5">
            <w:pPr>
              <w:adjustRightInd w:val="0"/>
              <w:snapToGrid w:val="0"/>
              <w:jc w:val="center"/>
              <w:rPr>
                <w:rFonts w:ascii="宋体" w:hAnsi="宋体" w:cs="宋体"/>
                <w:szCs w:val="21"/>
              </w:rPr>
            </w:pPr>
            <w:r w:rsidRPr="00925B84">
              <w:rPr>
                <w:rFonts w:ascii="宋体" w:hAnsi="宋体" w:cs="宋体" w:hint="eastAsia"/>
                <w:szCs w:val="21"/>
              </w:rPr>
              <w:t>是否满足总量</w:t>
            </w:r>
          </w:p>
        </w:tc>
      </w:tr>
      <w:tr w:rsidR="00C223F5" w:rsidRPr="00925B84">
        <w:trPr>
          <w:trHeight w:val="340"/>
          <w:jc w:val="center"/>
        </w:trPr>
        <w:tc>
          <w:tcPr>
            <w:tcW w:w="872" w:type="dxa"/>
            <w:vMerge w:val="restart"/>
            <w:vAlign w:val="center"/>
          </w:tcPr>
          <w:p w:rsidR="00C223F5" w:rsidRPr="00925B84" w:rsidRDefault="005860D5">
            <w:pPr>
              <w:adjustRightInd w:val="0"/>
              <w:snapToGrid w:val="0"/>
              <w:jc w:val="center"/>
              <w:rPr>
                <w:szCs w:val="21"/>
              </w:rPr>
            </w:pPr>
            <w:r w:rsidRPr="00925B84">
              <w:rPr>
                <w:rFonts w:ascii="宋体" w:hAnsi="宋体" w:cs="宋体" w:hint="eastAsia"/>
                <w:szCs w:val="21"/>
              </w:rPr>
              <w:t>废水</w:t>
            </w:r>
          </w:p>
        </w:tc>
        <w:tc>
          <w:tcPr>
            <w:tcW w:w="709" w:type="dxa"/>
            <w:vAlign w:val="center"/>
          </w:tcPr>
          <w:p w:rsidR="00C223F5" w:rsidRPr="00925B84" w:rsidRDefault="005860D5">
            <w:pPr>
              <w:adjustRightInd w:val="0"/>
              <w:snapToGrid w:val="0"/>
              <w:jc w:val="center"/>
              <w:rPr>
                <w:szCs w:val="21"/>
              </w:rPr>
            </w:pPr>
            <w:r w:rsidRPr="00925B84">
              <w:rPr>
                <w:szCs w:val="21"/>
              </w:rPr>
              <w:t>COD</w:t>
            </w:r>
          </w:p>
        </w:tc>
        <w:tc>
          <w:tcPr>
            <w:tcW w:w="1936" w:type="dxa"/>
            <w:vAlign w:val="center"/>
          </w:tcPr>
          <w:p w:rsidR="00C223F5" w:rsidRPr="00925B84" w:rsidRDefault="005860D5">
            <w:pPr>
              <w:adjustRightInd w:val="0"/>
              <w:snapToGrid w:val="0"/>
              <w:jc w:val="center"/>
              <w:rPr>
                <w:szCs w:val="21"/>
              </w:rPr>
            </w:pPr>
            <w:r w:rsidRPr="00925B84">
              <w:rPr>
                <w:rFonts w:hint="eastAsia"/>
                <w:szCs w:val="21"/>
              </w:rPr>
              <w:t>11.6</w:t>
            </w:r>
          </w:p>
        </w:tc>
        <w:tc>
          <w:tcPr>
            <w:tcW w:w="1085" w:type="dxa"/>
            <w:vAlign w:val="center"/>
          </w:tcPr>
          <w:p w:rsidR="00C223F5" w:rsidRPr="00925B84" w:rsidRDefault="005860D5">
            <w:pPr>
              <w:adjustRightInd w:val="0"/>
              <w:snapToGrid w:val="0"/>
              <w:jc w:val="center"/>
              <w:rPr>
                <w:szCs w:val="21"/>
              </w:rPr>
            </w:pPr>
            <w:r w:rsidRPr="00925B84">
              <w:rPr>
                <w:rFonts w:hint="eastAsia"/>
                <w:szCs w:val="21"/>
              </w:rPr>
              <w:t>16.5</w:t>
            </w:r>
          </w:p>
        </w:tc>
        <w:tc>
          <w:tcPr>
            <w:tcW w:w="1503" w:type="dxa"/>
            <w:vAlign w:val="center"/>
          </w:tcPr>
          <w:p w:rsidR="00C223F5" w:rsidRPr="00925B84" w:rsidRDefault="005860D5">
            <w:pPr>
              <w:adjustRightInd w:val="0"/>
              <w:snapToGrid w:val="0"/>
              <w:jc w:val="center"/>
              <w:rPr>
                <w:spacing w:val="2"/>
                <w:szCs w:val="21"/>
              </w:rPr>
            </w:pPr>
            <w:r w:rsidRPr="00925B84">
              <w:rPr>
                <w:rFonts w:hint="eastAsia"/>
                <w:spacing w:val="2"/>
                <w:szCs w:val="21"/>
              </w:rPr>
              <w:t>50</w:t>
            </w:r>
          </w:p>
        </w:tc>
        <w:tc>
          <w:tcPr>
            <w:tcW w:w="1041" w:type="dxa"/>
            <w:vAlign w:val="center"/>
          </w:tcPr>
          <w:p w:rsidR="00C223F5" w:rsidRPr="009E79E6" w:rsidRDefault="005860D5" w:rsidP="009E79E6">
            <w:pPr>
              <w:adjustRightInd w:val="0"/>
              <w:snapToGrid w:val="0"/>
              <w:jc w:val="center"/>
              <w:rPr>
                <w:color w:val="FF0000"/>
                <w:szCs w:val="21"/>
              </w:rPr>
            </w:pPr>
            <w:r w:rsidRPr="009E79E6">
              <w:rPr>
                <w:rFonts w:hint="eastAsia"/>
                <w:color w:val="FF0000"/>
                <w:szCs w:val="21"/>
              </w:rPr>
              <w:t>3.</w:t>
            </w:r>
            <w:r w:rsidR="009E79E6">
              <w:rPr>
                <w:rFonts w:hint="eastAsia"/>
                <w:color w:val="FF0000"/>
                <w:szCs w:val="21"/>
              </w:rPr>
              <w:t>7</w:t>
            </w:r>
            <w:r w:rsidRPr="009E79E6">
              <w:rPr>
                <w:rFonts w:hint="eastAsia"/>
                <w:color w:val="FF0000"/>
                <w:szCs w:val="21"/>
              </w:rPr>
              <w:t>1</w:t>
            </w:r>
          </w:p>
        </w:tc>
        <w:tc>
          <w:tcPr>
            <w:tcW w:w="1510" w:type="dxa"/>
            <w:vAlign w:val="center"/>
          </w:tcPr>
          <w:p w:rsidR="00C223F5" w:rsidRPr="00925B84" w:rsidRDefault="005860D5">
            <w:pPr>
              <w:adjustRightInd w:val="0"/>
              <w:snapToGrid w:val="0"/>
              <w:jc w:val="center"/>
              <w:rPr>
                <w:szCs w:val="21"/>
              </w:rPr>
            </w:pPr>
            <w:r w:rsidRPr="00925B84">
              <w:rPr>
                <w:rFonts w:ascii="宋体" w:hAnsi="宋体" w:cs="宋体" w:hint="eastAsia"/>
                <w:szCs w:val="21"/>
              </w:rPr>
              <w:t>是</w:t>
            </w:r>
          </w:p>
        </w:tc>
      </w:tr>
      <w:tr w:rsidR="00C223F5" w:rsidRPr="00925B84">
        <w:trPr>
          <w:trHeight w:val="340"/>
          <w:jc w:val="center"/>
        </w:trPr>
        <w:tc>
          <w:tcPr>
            <w:tcW w:w="872" w:type="dxa"/>
            <w:vMerge/>
            <w:vAlign w:val="center"/>
          </w:tcPr>
          <w:p w:rsidR="00C223F5" w:rsidRPr="00925B84" w:rsidRDefault="00C223F5">
            <w:pPr>
              <w:adjustRightInd w:val="0"/>
              <w:snapToGrid w:val="0"/>
              <w:jc w:val="center"/>
              <w:rPr>
                <w:szCs w:val="21"/>
              </w:rPr>
            </w:pPr>
          </w:p>
        </w:tc>
        <w:tc>
          <w:tcPr>
            <w:tcW w:w="709" w:type="dxa"/>
            <w:vAlign w:val="center"/>
          </w:tcPr>
          <w:p w:rsidR="00C223F5" w:rsidRPr="00925B84" w:rsidRDefault="005860D5">
            <w:pPr>
              <w:adjustRightInd w:val="0"/>
              <w:snapToGrid w:val="0"/>
              <w:jc w:val="center"/>
              <w:rPr>
                <w:szCs w:val="21"/>
              </w:rPr>
            </w:pPr>
            <w:r w:rsidRPr="00925B84">
              <w:rPr>
                <w:szCs w:val="21"/>
              </w:rPr>
              <w:t>NH</w:t>
            </w:r>
            <w:r w:rsidRPr="00925B84">
              <w:rPr>
                <w:szCs w:val="21"/>
                <w:vertAlign w:val="subscript"/>
              </w:rPr>
              <w:t>3</w:t>
            </w:r>
            <w:r w:rsidRPr="00925B84">
              <w:rPr>
                <w:szCs w:val="21"/>
              </w:rPr>
              <w:t>-N</w:t>
            </w:r>
          </w:p>
        </w:tc>
        <w:tc>
          <w:tcPr>
            <w:tcW w:w="1936" w:type="dxa"/>
            <w:vAlign w:val="center"/>
          </w:tcPr>
          <w:p w:rsidR="00C223F5" w:rsidRPr="00925B84" w:rsidRDefault="005860D5">
            <w:pPr>
              <w:adjustRightInd w:val="0"/>
              <w:snapToGrid w:val="0"/>
              <w:jc w:val="center"/>
              <w:rPr>
                <w:szCs w:val="21"/>
              </w:rPr>
            </w:pPr>
            <w:r w:rsidRPr="00925B84">
              <w:rPr>
                <w:rFonts w:hint="eastAsia"/>
                <w:szCs w:val="21"/>
              </w:rPr>
              <w:t>0.18</w:t>
            </w:r>
          </w:p>
        </w:tc>
        <w:tc>
          <w:tcPr>
            <w:tcW w:w="1085" w:type="dxa"/>
            <w:vAlign w:val="center"/>
          </w:tcPr>
          <w:p w:rsidR="00C223F5" w:rsidRPr="00925B84" w:rsidRDefault="005860D5">
            <w:pPr>
              <w:adjustRightInd w:val="0"/>
              <w:snapToGrid w:val="0"/>
              <w:jc w:val="center"/>
              <w:rPr>
                <w:szCs w:val="21"/>
              </w:rPr>
            </w:pPr>
            <w:r w:rsidRPr="00925B84">
              <w:rPr>
                <w:rFonts w:hint="eastAsia"/>
                <w:szCs w:val="21"/>
              </w:rPr>
              <w:t>0.52</w:t>
            </w:r>
          </w:p>
        </w:tc>
        <w:tc>
          <w:tcPr>
            <w:tcW w:w="1503" w:type="dxa"/>
            <w:vAlign w:val="center"/>
          </w:tcPr>
          <w:p w:rsidR="00C223F5" w:rsidRPr="00925B84" w:rsidRDefault="005860D5">
            <w:pPr>
              <w:adjustRightInd w:val="0"/>
              <w:snapToGrid w:val="0"/>
              <w:jc w:val="center"/>
              <w:rPr>
                <w:spacing w:val="2"/>
                <w:szCs w:val="21"/>
              </w:rPr>
            </w:pPr>
            <w:r w:rsidRPr="00925B84">
              <w:rPr>
                <w:rFonts w:hint="eastAsia"/>
                <w:spacing w:val="2"/>
                <w:szCs w:val="21"/>
              </w:rPr>
              <w:t>8</w:t>
            </w:r>
          </w:p>
        </w:tc>
        <w:tc>
          <w:tcPr>
            <w:tcW w:w="1041" w:type="dxa"/>
            <w:vAlign w:val="center"/>
          </w:tcPr>
          <w:p w:rsidR="00C223F5" w:rsidRPr="009E79E6" w:rsidRDefault="005860D5" w:rsidP="009E79E6">
            <w:pPr>
              <w:adjustRightInd w:val="0"/>
              <w:snapToGrid w:val="0"/>
              <w:jc w:val="center"/>
              <w:rPr>
                <w:color w:val="FF0000"/>
                <w:szCs w:val="21"/>
              </w:rPr>
            </w:pPr>
            <w:r w:rsidRPr="009E79E6">
              <w:rPr>
                <w:rFonts w:hint="eastAsia"/>
                <w:color w:val="FF0000"/>
                <w:szCs w:val="21"/>
              </w:rPr>
              <w:t>0.1</w:t>
            </w:r>
            <w:r w:rsidR="009E79E6">
              <w:rPr>
                <w:rFonts w:hint="eastAsia"/>
                <w:color w:val="FF0000"/>
                <w:szCs w:val="21"/>
              </w:rPr>
              <w:t>2</w:t>
            </w:r>
          </w:p>
        </w:tc>
        <w:tc>
          <w:tcPr>
            <w:tcW w:w="1510" w:type="dxa"/>
            <w:vAlign w:val="center"/>
          </w:tcPr>
          <w:p w:rsidR="00C223F5" w:rsidRPr="00925B84" w:rsidRDefault="005860D5">
            <w:pPr>
              <w:adjustRightInd w:val="0"/>
              <w:snapToGrid w:val="0"/>
              <w:jc w:val="center"/>
              <w:rPr>
                <w:szCs w:val="21"/>
              </w:rPr>
            </w:pPr>
            <w:r w:rsidRPr="00925B84">
              <w:rPr>
                <w:rFonts w:ascii="宋体" w:hAnsi="宋体" w:cs="宋体" w:hint="eastAsia"/>
                <w:szCs w:val="21"/>
              </w:rPr>
              <w:t>是</w:t>
            </w:r>
          </w:p>
        </w:tc>
      </w:tr>
      <w:bookmarkEnd w:id="256"/>
    </w:tbl>
    <w:p w:rsidR="00C223F5" w:rsidRPr="00925B84" w:rsidRDefault="00C223F5" w:rsidP="00AB79FB">
      <w:pPr>
        <w:ind w:firstLineChars="56" w:firstLine="118"/>
      </w:pPr>
    </w:p>
    <w:p w:rsidR="00C223F5" w:rsidRPr="00925B84" w:rsidRDefault="005860D5">
      <w:pPr>
        <w:spacing w:line="360" w:lineRule="auto"/>
        <w:ind w:firstLineChars="250" w:firstLine="600"/>
        <w:rPr>
          <w:kern w:val="0"/>
          <w:sz w:val="24"/>
        </w:rPr>
      </w:pPr>
      <w:r w:rsidRPr="00925B84">
        <w:rPr>
          <w:sz w:val="24"/>
        </w:rPr>
        <w:t>由表</w:t>
      </w:r>
      <w:r w:rsidRPr="00925B84">
        <w:rPr>
          <w:rFonts w:hint="eastAsia"/>
          <w:sz w:val="24"/>
        </w:rPr>
        <w:t>2.3.2-6</w:t>
      </w:r>
      <w:r w:rsidRPr="00925B84">
        <w:rPr>
          <w:sz w:val="24"/>
        </w:rPr>
        <w:t>可见，</w:t>
      </w:r>
      <w:r w:rsidRPr="00925B84">
        <w:rPr>
          <w:rFonts w:hint="eastAsia"/>
          <w:kern w:val="0"/>
          <w:sz w:val="24"/>
        </w:rPr>
        <w:t>项目已有污染物排放总量指标满足整合后污染物排放总量要求。</w:t>
      </w:r>
    </w:p>
    <w:p w:rsidR="00C223F5" w:rsidRPr="00925B84" w:rsidRDefault="00C223F5">
      <w:pPr>
        <w:spacing w:line="360" w:lineRule="auto"/>
        <w:ind w:firstLineChars="200" w:firstLine="480"/>
        <w:rPr>
          <w:sz w:val="24"/>
        </w:rPr>
      </w:pPr>
    </w:p>
    <w:p w:rsidR="00C223F5" w:rsidRDefault="00C223F5" w:rsidP="004835BD">
      <w:pPr>
        <w:pStyle w:val="1"/>
        <w:numPr>
          <w:ilvl w:val="0"/>
          <w:numId w:val="0"/>
        </w:numPr>
        <w:spacing w:before="0" w:after="0" w:line="360" w:lineRule="auto"/>
        <w:sectPr w:rsidR="00C223F5">
          <w:pgSz w:w="11907" w:h="16840"/>
          <w:pgMar w:top="1440" w:right="1701" w:bottom="1440" w:left="1701" w:header="851" w:footer="992" w:gutter="0"/>
          <w:cols w:space="425"/>
          <w:docGrid w:linePitch="312"/>
        </w:sectPr>
      </w:pPr>
    </w:p>
    <w:p w:rsidR="00C223F5" w:rsidRDefault="00C223F5" w:rsidP="004835BD">
      <w:pPr>
        <w:pStyle w:val="1"/>
        <w:numPr>
          <w:ilvl w:val="0"/>
          <w:numId w:val="0"/>
        </w:numPr>
        <w:spacing w:before="0" w:after="0" w:line="360" w:lineRule="auto"/>
        <w:sectPr w:rsidR="00C223F5">
          <w:pgSz w:w="11907" w:h="16840"/>
          <w:pgMar w:top="1440" w:right="1701" w:bottom="1440" w:left="1701" w:header="851" w:footer="992" w:gutter="0"/>
          <w:cols w:space="425"/>
          <w:docGrid w:linePitch="312"/>
        </w:sectPr>
      </w:pPr>
    </w:p>
    <w:p w:rsidR="00C223F5" w:rsidRDefault="005860D5" w:rsidP="004835BD">
      <w:pPr>
        <w:pStyle w:val="1"/>
        <w:numPr>
          <w:ilvl w:val="0"/>
          <w:numId w:val="0"/>
        </w:numPr>
        <w:spacing w:before="0" w:after="0" w:line="360" w:lineRule="auto"/>
      </w:pPr>
      <w:bookmarkStart w:id="257" w:name="_Toc16785268"/>
      <w:r>
        <w:rPr>
          <w:rFonts w:hint="eastAsia"/>
        </w:rPr>
        <w:lastRenderedPageBreak/>
        <w:t>3</w:t>
      </w:r>
      <w:r>
        <w:rPr>
          <w:rFonts w:hint="eastAsia"/>
        </w:rPr>
        <w:t>、</w:t>
      </w:r>
      <w:r>
        <w:t>建设项目地区的环境概况</w:t>
      </w:r>
      <w:bookmarkEnd w:id="246"/>
      <w:bookmarkEnd w:id="247"/>
      <w:bookmarkEnd w:id="257"/>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258" w:name="_Toc533604724"/>
      <w:bookmarkStart w:id="259" w:name="_Toc533604304"/>
      <w:bookmarkStart w:id="260" w:name="_Toc16785269"/>
      <w:r>
        <w:rPr>
          <w:rFonts w:ascii="Times New Roman" w:eastAsia="宋体" w:hAnsi="Times New Roman" w:hint="eastAsia"/>
          <w:b/>
          <w:bCs w:val="0"/>
          <w:szCs w:val="30"/>
        </w:rPr>
        <w:t>3</w:t>
      </w:r>
      <w:r>
        <w:rPr>
          <w:rFonts w:ascii="Times New Roman" w:eastAsia="宋体" w:hAnsi="Times New Roman"/>
          <w:b/>
          <w:bCs w:val="0"/>
          <w:szCs w:val="30"/>
        </w:rPr>
        <w:t>.1</w:t>
      </w:r>
      <w:r>
        <w:rPr>
          <w:rFonts w:ascii="Times New Roman" w:eastAsia="宋体" w:hAnsi="宋体"/>
          <w:b/>
          <w:bCs w:val="0"/>
          <w:szCs w:val="30"/>
        </w:rPr>
        <w:t>自然环境概况</w:t>
      </w:r>
      <w:bookmarkEnd w:id="258"/>
      <w:bookmarkEnd w:id="259"/>
      <w:bookmarkEnd w:id="260"/>
    </w:p>
    <w:p w:rsidR="00C223F5" w:rsidRDefault="005860D5" w:rsidP="004835BD">
      <w:pPr>
        <w:pStyle w:val="3"/>
        <w:numPr>
          <w:ilvl w:val="0"/>
          <w:numId w:val="0"/>
        </w:numPr>
        <w:spacing w:before="0" w:after="0" w:line="360" w:lineRule="auto"/>
        <w:ind w:left="720" w:hanging="720"/>
        <w:rPr>
          <w:rFonts w:eastAsia="宋体"/>
          <w:b/>
          <w:bCs w:val="0"/>
          <w:sz w:val="28"/>
          <w:szCs w:val="28"/>
        </w:rPr>
      </w:pPr>
      <w:bookmarkStart w:id="261" w:name="_Toc525047793"/>
      <w:bookmarkStart w:id="262" w:name="_Toc245523862"/>
      <w:bookmarkStart w:id="263" w:name="_Toc321820496"/>
      <w:bookmarkStart w:id="264" w:name="_Toc16785270"/>
      <w:bookmarkStart w:id="265" w:name="_Toc533604725"/>
      <w:bookmarkStart w:id="266" w:name="_Toc533604305"/>
      <w:bookmarkStart w:id="267" w:name="_Toc216254937"/>
      <w:r>
        <w:rPr>
          <w:rFonts w:eastAsia="宋体" w:hint="eastAsia"/>
          <w:b/>
          <w:bCs w:val="0"/>
          <w:sz w:val="28"/>
          <w:szCs w:val="28"/>
        </w:rPr>
        <w:t>3</w:t>
      </w:r>
      <w:r>
        <w:rPr>
          <w:rFonts w:eastAsia="宋体"/>
          <w:b/>
          <w:bCs w:val="0"/>
          <w:sz w:val="28"/>
          <w:szCs w:val="28"/>
        </w:rPr>
        <w:t>.1.1</w:t>
      </w:r>
      <w:r>
        <w:rPr>
          <w:rFonts w:eastAsia="宋体"/>
          <w:b/>
          <w:bCs w:val="0"/>
          <w:sz w:val="28"/>
          <w:szCs w:val="28"/>
        </w:rPr>
        <w:t>地形地貌</w:t>
      </w:r>
      <w:bookmarkEnd w:id="261"/>
      <w:bookmarkEnd w:id="262"/>
      <w:bookmarkEnd w:id="263"/>
      <w:bookmarkEnd w:id="264"/>
    </w:p>
    <w:p w:rsidR="00C223F5" w:rsidRDefault="005860D5">
      <w:pPr>
        <w:pStyle w:val="aff1"/>
        <w:adjustRightInd w:val="0"/>
        <w:snapToGrid w:val="0"/>
        <w:spacing w:line="360" w:lineRule="auto"/>
        <w:ind w:left="0" w:firstLineChars="200" w:firstLine="480"/>
      </w:pPr>
      <w:r>
        <w:rPr>
          <w:rFonts w:hAnsi="宋体"/>
        </w:rPr>
        <w:t>井田内地形切割破碎，沟壑纵横。黄土广布，厚度大，以黄土梁峁地貌为主。地形总的趋势为西部高东部低，海拔标高在</w:t>
      </w:r>
      <w:r>
        <w:t>+1020</w:t>
      </w:r>
      <w:r>
        <w:rPr>
          <w:rFonts w:hAnsi="宋体" w:hint="eastAsia"/>
        </w:rPr>
        <w:t>~</w:t>
      </w:r>
      <w:r>
        <w:t>+1481m</w:t>
      </w:r>
      <w:r>
        <w:rPr>
          <w:rFonts w:hAnsi="宋体"/>
        </w:rPr>
        <w:t>，最高点位于井田西北部的</w:t>
      </w:r>
      <w:r>
        <w:t>2-1</w:t>
      </w:r>
      <w:r>
        <w:rPr>
          <w:rFonts w:hAnsi="宋体"/>
        </w:rPr>
        <w:t>号钻孔附近，标高</w:t>
      </w:r>
      <w:r>
        <w:t>+1481m</w:t>
      </w:r>
      <w:r>
        <w:rPr>
          <w:rFonts w:hAnsi="宋体"/>
        </w:rPr>
        <w:t>；最低点位于井田东部大理河河道，标高</w:t>
      </w:r>
      <w:r>
        <w:t>+1020m</w:t>
      </w:r>
      <w:r>
        <w:rPr>
          <w:rFonts w:hAnsi="宋体"/>
        </w:rPr>
        <w:t>。相对最大高差</w:t>
      </w:r>
      <w:r>
        <w:t>461m</w:t>
      </w:r>
      <w:r>
        <w:rPr>
          <w:rFonts w:hAnsi="宋体"/>
        </w:rPr>
        <w:t>。</w:t>
      </w:r>
    </w:p>
    <w:p w:rsidR="00C223F5" w:rsidRDefault="005860D5" w:rsidP="004835BD">
      <w:pPr>
        <w:pStyle w:val="3"/>
        <w:numPr>
          <w:ilvl w:val="0"/>
          <w:numId w:val="0"/>
        </w:numPr>
        <w:spacing w:before="0" w:after="0" w:line="360" w:lineRule="auto"/>
        <w:ind w:left="720" w:hanging="720"/>
        <w:rPr>
          <w:rFonts w:eastAsia="宋体"/>
          <w:b/>
          <w:bCs w:val="0"/>
          <w:sz w:val="28"/>
          <w:szCs w:val="28"/>
        </w:rPr>
      </w:pPr>
      <w:bookmarkStart w:id="268" w:name="_Toc525047794"/>
      <w:bookmarkStart w:id="269" w:name="_Toc321820497"/>
      <w:bookmarkStart w:id="270" w:name="_Toc16785271"/>
      <w:r>
        <w:rPr>
          <w:rFonts w:eastAsia="宋体" w:hint="eastAsia"/>
          <w:b/>
          <w:bCs w:val="0"/>
          <w:sz w:val="28"/>
          <w:szCs w:val="28"/>
        </w:rPr>
        <w:t>3</w:t>
      </w:r>
      <w:r>
        <w:rPr>
          <w:rFonts w:eastAsia="宋体"/>
          <w:b/>
          <w:bCs w:val="0"/>
          <w:sz w:val="28"/>
          <w:szCs w:val="28"/>
        </w:rPr>
        <w:t>.1.2</w:t>
      </w:r>
      <w:r>
        <w:rPr>
          <w:rFonts w:eastAsia="宋体"/>
          <w:b/>
          <w:bCs w:val="0"/>
          <w:sz w:val="28"/>
          <w:szCs w:val="28"/>
        </w:rPr>
        <w:t>气候气象</w:t>
      </w:r>
      <w:bookmarkEnd w:id="268"/>
      <w:bookmarkEnd w:id="269"/>
      <w:bookmarkEnd w:id="270"/>
    </w:p>
    <w:p w:rsidR="00C223F5" w:rsidRDefault="005860D5">
      <w:pPr>
        <w:adjustRightInd w:val="0"/>
        <w:snapToGrid w:val="0"/>
        <w:spacing w:line="360" w:lineRule="auto"/>
        <w:ind w:firstLineChars="200" w:firstLine="480"/>
        <w:rPr>
          <w:snapToGrid w:val="0"/>
          <w:kern w:val="0"/>
          <w:sz w:val="24"/>
        </w:rPr>
      </w:pPr>
      <w:r>
        <w:rPr>
          <w:rFonts w:hAnsi="宋体"/>
          <w:snapToGrid w:val="0"/>
          <w:sz w:val="24"/>
        </w:rPr>
        <w:t>本井田属中温带干旱、半干旱大陆性气候，冬、春受蒙古冷空气影响，雨水稀少，气候干燥寒冷，西北季风盛行，是主要风沙期；夏、秋气候干燥，降水集中，多东南风。全年降水量分布极不均匀，雨季多集中在</w:t>
      </w:r>
      <w:r>
        <w:rPr>
          <w:snapToGrid w:val="0"/>
          <w:sz w:val="24"/>
        </w:rPr>
        <w:t>7~9</w:t>
      </w:r>
      <w:r>
        <w:rPr>
          <w:rFonts w:hAnsi="宋体"/>
          <w:snapToGrid w:val="0"/>
          <w:sz w:val="24"/>
        </w:rPr>
        <w:t>月份，占年降水量的</w:t>
      </w:r>
      <w:r>
        <w:rPr>
          <w:snapToGrid w:val="0"/>
          <w:sz w:val="24"/>
        </w:rPr>
        <w:t>66%</w:t>
      </w:r>
      <w:r>
        <w:rPr>
          <w:rFonts w:hAnsi="宋体"/>
          <w:snapToGrid w:val="0"/>
          <w:sz w:val="24"/>
        </w:rPr>
        <w:t>。</w:t>
      </w:r>
    </w:p>
    <w:p w:rsidR="00C223F5" w:rsidRDefault="005860D5">
      <w:pPr>
        <w:adjustRightInd w:val="0"/>
        <w:snapToGrid w:val="0"/>
        <w:spacing w:line="360" w:lineRule="auto"/>
        <w:ind w:firstLineChars="200" w:firstLine="480"/>
        <w:rPr>
          <w:snapToGrid w:val="0"/>
          <w:kern w:val="0"/>
          <w:sz w:val="24"/>
        </w:rPr>
      </w:pPr>
      <w:r>
        <w:rPr>
          <w:rFonts w:hAnsi="宋体"/>
          <w:sz w:val="24"/>
        </w:rPr>
        <w:t>据横山县气象站资料，主要气象参数如下：</w:t>
      </w:r>
      <w:r>
        <w:rPr>
          <w:rFonts w:hAnsi="宋体"/>
          <w:snapToGrid w:val="0"/>
          <w:kern w:val="0"/>
          <w:sz w:val="24"/>
        </w:rPr>
        <w:t>极端最高气温</w:t>
      </w:r>
      <w:r>
        <w:rPr>
          <w:snapToGrid w:val="0"/>
          <w:kern w:val="0"/>
          <w:sz w:val="24"/>
        </w:rPr>
        <w:t>38.9</w:t>
      </w:r>
      <w:r>
        <w:rPr>
          <w:rFonts w:ascii="宋体" w:hAnsi="宋体"/>
          <w:snapToGrid w:val="0"/>
          <w:kern w:val="0"/>
          <w:sz w:val="24"/>
        </w:rPr>
        <w:t>℃</w:t>
      </w:r>
      <w:r>
        <w:rPr>
          <w:rFonts w:hAnsi="宋体"/>
          <w:snapToGrid w:val="0"/>
          <w:kern w:val="0"/>
          <w:sz w:val="24"/>
        </w:rPr>
        <w:t>（</w:t>
      </w:r>
      <w:r>
        <w:rPr>
          <w:snapToGrid w:val="0"/>
          <w:kern w:val="0"/>
          <w:sz w:val="24"/>
        </w:rPr>
        <w:t>1996.6</w:t>
      </w:r>
      <w:r>
        <w:rPr>
          <w:rFonts w:hAnsi="宋体"/>
          <w:snapToGrid w:val="0"/>
          <w:kern w:val="0"/>
          <w:sz w:val="24"/>
        </w:rPr>
        <w:t>），极端最低气温</w:t>
      </w:r>
      <w:r>
        <w:rPr>
          <w:snapToGrid w:val="0"/>
          <w:kern w:val="0"/>
          <w:sz w:val="24"/>
        </w:rPr>
        <w:t>-29.0</w:t>
      </w:r>
      <w:r>
        <w:rPr>
          <w:rFonts w:ascii="宋体" w:hAnsi="宋体"/>
          <w:snapToGrid w:val="0"/>
          <w:kern w:val="0"/>
          <w:sz w:val="24"/>
        </w:rPr>
        <w:t>℃</w:t>
      </w:r>
      <w:r>
        <w:rPr>
          <w:rFonts w:hAnsi="宋体"/>
          <w:snapToGrid w:val="0"/>
          <w:kern w:val="0"/>
          <w:sz w:val="24"/>
        </w:rPr>
        <w:t>（</w:t>
      </w:r>
      <w:r>
        <w:rPr>
          <w:snapToGrid w:val="0"/>
          <w:kern w:val="0"/>
          <w:sz w:val="24"/>
        </w:rPr>
        <w:t>2003.1</w:t>
      </w:r>
      <w:r>
        <w:rPr>
          <w:rFonts w:hAnsi="宋体"/>
          <w:snapToGrid w:val="0"/>
          <w:kern w:val="0"/>
          <w:sz w:val="24"/>
        </w:rPr>
        <w:t>），多年平均气温</w:t>
      </w:r>
      <w:r>
        <w:rPr>
          <w:snapToGrid w:val="0"/>
          <w:kern w:val="0"/>
          <w:sz w:val="24"/>
        </w:rPr>
        <w:t>8.6</w:t>
      </w:r>
      <w:r>
        <w:rPr>
          <w:rFonts w:ascii="宋体" w:hAnsi="宋体"/>
          <w:snapToGrid w:val="0"/>
          <w:kern w:val="0"/>
          <w:sz w:val="24"/>
        </w:rPr>
        <w:t>℃</w:t>
      </w:r>
      <w:r>
        <w:rPr>
          <w:rFonts w:hint="eastAsia"/>
          <w:snapToGrid w:val="0"/>
          <w:kern w:val="0"/>
          <w:sz w:val="24"/>
        </w:rPr>
        <w:t>（</w:t>
      </w:r>
      <w:r>
        <w:rPr>
          <w:snapToGrid w:val="0"/>
          <w:kern w:val="0"/>
          <w:sz w:val="24"/>
        </w:rPr>
        <w:t>1961-2003</w:t>
      </w:r>
      <w:r>
        <w:rPr>
          <w:rFonts w:hint="eastAsia"/>
          <w:snapToGrid w:val="0"/>
          <w:kern w:val="0"/>
          <w:sz w:val="24"/>
        </w:rPr>
        <w:t>）</w:t>
      </w:r>
      <w:r>
        <w:rPr>
          <w:rFonts w:hAnsi="宋体"/>
          <w:snapToGrid w:val="0"/>
          <w:kern w:val="0"/>
          <w:sz w:val="24"/>
        </w:rPr>
        <w:t>；多年平均降水量</w:t>
      </w:r>
      <w:r>
        <w:rPr>
          <w:snapToGrid w:val="0"/>
          <w:kern w:val="0"/>
          <w:sz w:val="24"/>
        </w:rPr>
        <w:t>434.1mm</w:t>
      </w:r>
      <w:r>
        <w:rPr>
          <w:rFonts w:hint="eastAsia"/>
          <w:snapToGrid w:val="0"/>
          <w:kern w:val="0"/>
          <w:sz w:val="24"/>
        </w:rPr>
        <w:t>（</w:t>
      </w:r>
      <w:r>
        <w:rPr>
          <w:snapToGrid w:val="0"/>
          <w:kern w:val="0"/>
          <w:sz w:val="24"/>
        </w:rPr>
        <w:t>1961-2003</w:t>
      </w:r>
      <w:r>
        <w:rPr>
          <w:rFonts w:hint="eastAsia"/>
          <w:snapToGrid w:val="0"/>
          <w:kern w:val="0"/>
          <w:sz w:val="24"/>
        </w:rPr>
        <w:t>）</w:t>
      </w:r>
      <w:r>
        <w:rPr>
          <w:rFonts w:hAnsi="宋体"/>
          <w:snapToGrid w:val="0"/>
          <w:kern w:val="0"/>
          <w:sz w:val="24"/>
        </w:rPr>
        <w:t>，枯水年降水量</w:t>
      </w:r>
      <w:r>
        <w:rPr>
          <w:snapToGrid w:val="0"/>
          <w:kern w:val="0"/>
          <w:sz w:val="24"/>
        </w:rPr>
        <w:t>108.6mm</w:t>
      </w:r>
      <w:r>
        <w:rPr>
          <w:rFonts w:hAnsi="宋体"/>
          <w:snapToGrid w:val="0"/>
          <w:kern w:val="0"/>
          <w:sz w:val="24"/>
        </w:rPr>
        <w:t>（</w:t>
      </w:r>
      <w:r>
        <w:rPr>
          <w:snapToGrid w:val="0"/>
          <w:kern w:val="0"/>
          <w:sz w:val="24"/>
        </w:rPr>
        <w:t>1965</w:t>
      </w:r>
      <w:r>
        <w:rPr>
          <w:rFonts w:hAnsi="宋体"/>
          <w:snapToGrid w:val="0"/>
          <w:kern w:val="0"/>
          <w:sz w:val="24"/>
        </w:rPr>
        <w:t>）丰水年降水量</w:t>
      </w:r>
      <w:r>
        <w:rPr>
          <w:snapToGrid w:val="0"/>
          <w:kern w:val="0"/>
          <w:sz w:val="24"/>
        </w:rPr>
        <w:t>819.1mm</w:t>
      </w:r>
      <w:r>
        <w:rPr>
          <w:rFonts w:hAnsi="宋体"/>
          <w:snapToGrid w:val="0"/>
          <w:kern w:val="0"/>
          <w:sz w:val="24"/>
        </w:rPr>
        <w:t>（</w:t>
      </w:r>
      <w:r>
        <w:rPr>
          <w:snapToGrid w:val="0"/>
          <w:kern w:val="0"/>
          <w:sz w:val="24"/>
        </w:rPr>
        <w:t>1967</w:t>
      </w:r>
      <w:r>
        <w:rPr>
          <w:rFonts w:hAnsi="宋体"/>
          <w:snapToGrid w:val="0"/>
          <w:kern w:val="0"/>
          <w:sz w:val="24"/>
        </w:rPr>
        <w:t>），日最大降水量</w:t>
      </w:r>
      <w:r>
        <w:rPr>
          <w:snapToGrid w:val="0"/>
          <w:kern w:val="0"/>
          <w:sz w:val="24"/>
        </w:rPr>
        <w:t>141.1mm</w:t>
      </w:r>
      <w:r>
        <w:rPr>
          <w:rFonts w:hAnsi="宋体"/>
          <w:snapToGrid w:val="0"/>
          <w:kern w:val="0"/>
          <w:sz w:val="24"/>
        </w:rPr>
        <w:t>（</w:t>
      </w:r>
      <w:r>
        <w:rPr>
          <w:snapToGrid w:val="0"/>
          <w:kern w:val="0"/>
          <w:sz w:val="24"/>
        </w:rPr>
        <w:t>1971.7.21</w:t>
      </w:r>
      <w:r>
        <w:rPr>
          <w:rFonts w:hAnsi="宋体"/>
          <w:snapToGrid w:val="0"/>
          <w:kern w:val="0"/>
          <w:sz w:val="24"/>
        </w:rPr>
        <w:t>）；多年平均蒸发量</w:t>
      </w:r>
      <w:r>
        <w:rPr>
          <w:snapToGrid w:val="0"/>
          <w:kern w:val="0"/>
          <w:sz w:val="24"/>
        </w:rPr>
        <w:t>1712.0mm</w:t>
      </w:r>
      <w:r>
        <w:rPr>
          <w:rFonts w:hint="eastAsia"/>
          <w:snapToGrid w:val="0"/>
          <w:kern w:val="0"/>
          <w:sz w:val="24"/>
        </w:rPr>
        <w:t>（</w:t>
      </w:r>
      <w:r>
        <w:rPr>
          <w:snapToGrid w:val="0"/>
          <w:kern w:val="0"/>
          <w:sz w:val="24"/>
        </w:rPr>
        <w:t>1961-2003</w:t>
      </w:r>
      <w:r>
        <w:rPr>
          <w:rFonts w:hint="eastAsia"/>
          <w:snapToGrid w:val="0"/>
          <w:kern w:val="0"/>
          <w:sz w:val="24"/>
        </w:rPr>
        <w:t>）</w:t>
      </w:r>
      <w:r>
        <w:rPr>
          <w:rFonts w:hAnsi="宋体"/>
          <w:snapToGrid w:val="0"/>
          <w:kern w:val="0"/>
          <w:sz w:val="24"/>
        </w:rPr>
        <w:t>，多年平均相对湿度</w:t>
      </w:r>
      <w:r>
        <w:rPr>
          <w:snapToGrid w:val="0"/>
          <w:kern w:val="0"/>
          <w:sz w:val="24"/>
        </w:rPr>
        <w:t>56%</w:t>
      </w:r>
      <w:r>
        <w:rPr>
          <w:rFonts w:hint="eastAsia"/>
          <w:snapToGrid w:val="0"/>
          <w:kern w:val="0"/>
          <w:sz w:val="24"/>
        </w:rPr>
        <w:t>（</w:t>
      </w:r>
      <w:r>
        <w:rPr>
          <w:snapToGrid w:val="0"/>
          <w:kern w:val="0"/>
          <w:sz w:val="24"/>
        </w:rPr>
        <w:t>1961-2003</w:t>
      </w:r>
      <w:r>
        <w:rPr>
          <w:rFonts w:hint="eastAsia"/>
          <w:snapToGrid w:val="0"/>
          <w:kern w:val="0"/>
          <w:sz w:val="24"/>
        </w:rPr>
        <w:t>）</w:t>
      </w:r>
      <w:r>
        <w:rPr>
          <w:rFonts w:hAnsi="宋体"/>
          <w:snapToGrid w:val="0"/>
          <w:kern w:val="0"/>
          <w:sz w:val="24"/>
        </w:rPr>
        <w:t>，极端最大风速</w:t>
      </w:r>
      <w:r>
        <w:rPr>
          <w:snapToGrid w:val="0"/>
          <w:kern w:val="0"/>
          <w:sz w:val="24"/>
        </w:rPr>
        <w:t>19.0m/s</w:t>
      </w:r>
      <w:r>
        <w:rPr>
          <w:rFonts w:hAnsi="宋体"/>
          <w:snapToGrid w:val="0"/>
          <w:kern w:val="0"/>
          <w:sz w:val="24"/>
        </w:rPr>
        <w:t>（</w:t>
      </w:r>
      <w:r>
        <w:rPr>
          <w:snapToGrid w:val="0"/>
          <w:kern w:val="0"/>
          <w:sz w:val="24"/>
        </w:rPr>
        <w:t>1970.7</w:t>
      </w:r>
      <w:r>
        <w:rPr>
          <w:rFonts w:hAnsi="宋体"/>
          <w:snapToGrid w:val="0"/>
          <w:kern w:val="0"/>
          <w:sz w:val="24"/>
        </w:rPr>
        <w:t>），最大冻土深度</w:t>
      </w:r>
      <w:r>
        <w:rPr>
          <w:snapToGrid w:val="0"/>
          <w:kern w:val="0"/>
          <w:sz w:val="24"/>
        </w:rPr>
        <w:t>146cm</w:t>
      </w:r>
      <w:r>
        <w:rPr>
          <w:rFonts w:hAnsi="宋体"/>
          <w:snapToGrid w:val="0"/>
          <w:kern w:val="0"/>
          <w:sz w:val="24"/>
        </w:rPr>
        <w:t>（</w:t>
      </w:r>
      <w:r>
        <w:rPr>
          <w:snapToGrid w:val="0"/>
          <w:kern w:val="0"/>
          <w:sz w:val="24"/>
        </w:rPr>
        <w:t>1968</w:t>
      </w:r>
      <w:r>
        <w:rPr>
          <w:rFonts w:hAnsi="宋体"/>
          <w:snapToGrid w:val="0"/>
          <w:kern w:val="0"/>
          <w:sz w:val="24"/>
        </w:rPr>
        <w:t>）。</w:t>
      </w:r>
    </w:p>
    <w:p w:rsidR="00C223F5" w:rsidRDefault="005860D5">
      <w:pPr>
        <w:adjustRightInd w:val="0"/>
        <w:snapToGrid w:val="0"/>
        <w:spacing w:line="360" w:lineRule="auto"/>
        <w:ind w:firstLineChars="200" w:firstLine="480"/>
        <w:rPr>
          <w:sz w:val="24"/>
        </w:rPr>
      </w:pPr>
      <w:r>
        <w:rPr>
          <w:rFonts w:hAnsi="宋体"/>
          <w:sz w:val="24"/>
        </w:rPr>
        <w:t>井田位于鄂尔多斯台向斜宽缓的东翼</w:t>
      </w:r>
      <w:r>
        <w:rPr>
          <w:sz w:val="24"/>
        </w:rPr>
        <w:t>—</w:t>
      </w:r>
      <w:r>
        <w:rPr>
          <w:rFonts w:hAnsi="宋体"/>
          <w:sz w:val="24"/>
        </w:rPr>
        <w:t>陕北斜坡上，地壳活动相对微弱。</w:t>
      </w:r>
      <w:r>
        <w:rPr>
          <w:rFonts w:hAnsi="宋体"/>
          <w:snapToGrid w:val="0"/>
          <w:kern w:val="0"/>
          <w:sz w:val="24"/>
        </w:rPr>
        <w:t>根据中国地震局《中国地震动参数区划图》（</w:t>
      </w:r>
      <w:r>
        <w:rPr>
          <w:snapToGrid w:val="0"/>
          <w:kern w:val="0"/>
          <w:sz w:val="24"/>
        </w:rPr>
        <w:t>GB1318306-2015</w:t>
      </w:r>
      <w:r>
        <w:rPr>
          <w:rFonts w:hAnsi="宋体"/>
          <w:snapToGrid w:val="0"/>
          <w:kern w:val="0"/>
          <w:sz w:val="24"/>
        </w:rPr>
        <w:t>）</w:t>
      </w:r>
      <w:r>
        <w:rPr>
          <w:rFonts w:hAnsi="宋体" w:hint="eastAsia"/>
          <w:snapToGrid w:val="0"/>
          <w:kern w:val="0"/>
          <w:sz w:val="24"/>
        </w:rPr>
        <w:t>，项目区</w:t>
      </w:r>
      <w:r>
        <w:rPr>
          <w:rFonts w:hAnsi="宋体"/>
          <w:snapToGrid w:val="0"/>
          <w:kern w:val="0"/>
          <w:sz w:val="24"/>
        </w:rPr>
        <w:t>地震烈度</w:t>
      </w:r>
      <w:r>
        <w:rPr>
          <w:rFonts w:hAnsi="宋体"/>
          <w:sz w:val="24"/>
        </w:rPr>
        <w:t>＜</w:t>
      </w:r>
      <w:r>
        <w:rPr>
          <w:rFonts w:hAnsi="宋体"/>
          <w:snapToGrid w:val="0"/>
          <w:kern w:val="0"/>
          <w:sz w:val="24"/>
        </w:rPr>
        <w:t>Ⅵ度</w:t>
      </w:r>
      <w:r>
        <w:rPr>
          <w:sz w:val="24"/>
        </w:rPr>
        <w:t>。</w:t>
      </w:r>
    </w:p>
    <w:p w:rsidR="00C223F5" w:rsidRDefault="005860D5" w:rsidP="004835BD">
      <w:pPr>
        <w:pStyle w:val="3"/>
        <w:numPr>
          <w:ilvl w:val="0"/>
          <w:numId w:val="0"/>
        </w:numPr>
        <w:spacing w:before="0" w:after="0" w:line="360" w:lineRule="auto"/>
        <w:ind w:left="720" w:hanging="720"/>
        <w:rPr>
          <w:rFonts w:eastAsia="宋体"/>
          <w:b/>
          <w:bCs w:val="0"/>
          <w:sz w:val="28"/>
          <w:szCs w:val="28"/>
        </w:rPr>
      </w:pPr>
      <w:bookmarkStart w:id="271" w:name="_Toc525047796"/>
      <w:bookmarkStart w:id="272" w:name="_Toc321820499"/>
      <w:bookmarkStart w:id="273" w:name="_Toc16785272"/>
      <w:r>
        <w:rPr>
          <w:rFonts w:eastAsia="宋体" w:hint="eastAsia"/>
          <w:b/>
          <w:bCs w:val="0"/>
          <w:sz w:val="28"/>
          <w:szCs w:val="28"/>
        </w:rPr>
        <w:t>3.1.3</w:t>
      </w:r>
      <w:r>
        <w:rPr>
          <w:rFonts w:eastAsia="宋体"/>
          <w:b/>
          <w:bCs w:val="0"/>
          <w:sz w:val="28"/>
          <w:szCs w:val="28"/>
        </w:rPr>
        <w:t>地表水系</w:t>
      </w:r>
      <w:bookmarkEnd w:id="271"/>
      <w:bookmarkEnd w:id="272"/>
      <w:bookmarkEnd w:id="273"/>
    </w:p>
    <w:p w:rsidR="00C223F5" w:rsidRDefault="005860D5">
      <w:pPr>
        <w:spacing w:line="360" w:lineRule="auto"/>
        <w:ind w:firstLine="482"/>
        <w:rPr>
          <w:rFonts w:hAnsi="宋体"/>
          <w:sz w:val="24"/>
        </w:rPr>
      </w:pPr>
      <w:r>
        <w:rPr>
          <w:rFonts w:hAnsi="宋体"/>
          <w:sz w:val="24"/>
        </w:rPr>
        <w:t>井田内水系发育，主要有大理河</w:t>
      </w:r>
      <w:r>
        <w:rPr>
          <w:rFonts w:hAnsi="宋体" w:hint="eastAsia"/>
          <w:sz w:val="24"/>
        </w:rPr>
        <w:t>及其支流</w:t>
      </w:r>
      <w:r>
        <w:rPr>
          <w:rFonts w:hAnsi="宋体"/>
          <w:sz w:val="24"/>
        </w:rPr>
        <w:t>蚂蚁河。大理河于井田</w:t>
      </w:r>
      <w:r>
        <w:rPr>
          <w:rFonts w:hAnsi="宋体" w:hint="eastAsia"/>
          <w:sz w:val="24"/>
        </w:rPr>
        <w:t>东</w:t>
      </w:r>
      <w:r>
        <w:rPr>
          <w:rFonts w:hAnsi="宋体"/>
          <w:sz w:val="24"/>
        </w:rPr>
        <w:t>南部由西南向东北穿过。大理河多年最大流量</w:t>
      </w:r>
      <w:r>
        <w:rPr>
          <w:sz w:val="24"/>
        </w:rPr>
        <w:t>6.95m</w:t>
      </w:r>
      <w:r>
        <w:rPr>
          <w:sz w:val="24"/>
          <w:vertAlign w:val="superscript"/>
        </w:rPr>
        <w:t>3</w:t>
      </w:r>
      <w:r>
        <w:rPr>
          <w:sz w:val="24"/>
        </w:rPr>
        <w:t>/s</w:t>
      </w:r>
      <w:r>
        <w:rPr>
          <w:rFonts w:hAnsi="宋体"/>
          <w:sz w:val="24"/>
        </w:rPr>
        <w:t>（子洲水文站），最小流量</w:t>
      </w:r>
      <w:r>
        <w:rPr>
          <w:sz w:val="24"/>
        </w:rPr>
        <w:t>0.05m</w:t>
      </w:r>
      <w:r>
        <w:rPr>
          <w:sz w:val="24"/>
          <w:vertAlign w:val="superscript"/>
        </w:rPr>
        <w:t>3</w:t>
      </w:r>
      <w:r>
        <w:rPr>
          <w:sz w:val="24"/>
        </w:rPr>
        <w:t>/s</w:t>
      </w:r>
      <w:r>
        <w:rPr>
          <w:rFonts w:hAnsi="宋体"/>
          <w:sz w:val="24"/>
        </w:rPr>
        <w:t>。井田内大理河支沟多为季节性溪流</w:t>
      </w:r>
      <w:r>
        <w:rPr>
          <w:rFonts w:hAnsi="宋体" w:hint="eastAsia"/>
          <w:sz w:val="24"/>
        </w:rPr>
        <w:t>，其中</w:t>
      </w:r>
      <w:r>
        <w:rPr>
          <w:rFonts w:hAnsi="宋体"/>
          <w:sz w:val="24"/>
        </w:rPr>
        <w:t>蚂蚁河沿井田北部由西而东向下游归入大理河。根据观测资料，蚂蚁河最大流量</w:t>
      </w:r>
      <w:r>
        <w:rPr>
          <w:sz w:val="24"/>
        </w:rPr>
        <w:t>216m</w:t>
      </w:r>
      <w:r>
        <w:rPr>
          <w:sz w:val="24"/>
          <w:vertAlign w:val="superscript"/>
        </w:rPr>
        <w:t>3</w:t>
      </w:r>
      <w:r>
        <w:rPr>
          <w:sz w:val="24"/>
        </w:rPr>
        <w:t>/s</w:t>
      </w:r>
      <w:r>
        <w:rPr>
          <w:rFonts w:hAnsi="宋体"/>
          <w:sz w:val="24"/>
        </w:rPr>
        <w:t>，最小流量为</w:t>
      </w:r>
      <w:r>
        <w:rPr>
          <w:sz w:val="24"/>
        </w:rPr>
        <w:t>0</w:t>
      </w:r>
      <w:r>
        <w:rPr>
          <w:rFonts w:hAnsi="宋体"/>
          <w:sz w:val="24"/>
        </w:rPr>
        <w:t>，平均流量</w:t>
      </w:r>
      <w:r>
        <w:rPr>
          <w:sz w:val="24"/>
        </w:rPr>
        <w:t>0.005m</w:t>
      </w:r>
      <w:r>
        <w:rPr>
          <w:sz w:val="24"/>
          <w:vertAlign w:val="superscript"/>
        </w:rPr>
        <w:t>3</w:t>
      </w:r>
      <w:r>
        <w:rPr>
          <w:sz w:val="24"/>
        </w:rPr>
        <w:t>/s</w:t>
      </w:r>
      <w:r>
        <w:rPr>
          <w:rFonts w:hAnsi="宋体" w:hint="eastAsia"/>
          <w:sz w:val="24"/>
        </w:rPr>
        <w:t>；</w:t>
      </w:r>
      <w:r>
        <w:rPr>
          <w:rFonts w:hAnsi="宋体"/>
          <w:sz w:val="24"/>
        </w:rPr>
        <w:t>较大支沟有</w:t>
      </w:r>
      <w:r>
        <w:rPr>
          <w:sz w:val="24"/>
        </w:rPr>
        <w:t>6</w:t>
      </w:r>
      <w:r>
        <w:rPr>
          <w:rFonts w:hAnsi="宋体"/>
          <w:sz w:val="24"/>
        </w:rPr>
        <w:t>条，多为季节性溪流。丰水期各沟口测流，东庄沟流量</w:t>
      </w:r>
      <w:r>
        <w:rPr>
          <w:rFonts w:hAnsi="宋体"/>
          <w:sz w:val="24"/>
        </w:rPr>
        <w:t>4.456L/s</w:t>
      </w:r>
      <w:r>
        <w:rPr>
          <w:rFonts w:hAnsi="宋体"/>
          <w:sz w:val="24"/>
        </w:rPr>
        <w:t>，拐沟较大为</w:t>
      </w:r>
      <w:r>
        <w:rPr>
          <w:rFonts w:hAnsi="宋体"/>
          <w:sz w:val="24"/>
        </w:rPr>
        <w:t>5.618L/s</w:t>
      </w:r>
      <w:r>
        <w:rPr>
          <w:rFonts w:hAnsi="宋体"/>
          <w:sz w:val="24"/>
        </w:rPr>
        <w:t>，南沟流量最小为</w:t>
      </w:r>
      <w:r>
        <w:rPr>
          <w:rFonts w:hAnsi="宋体"/>
          <w:sz w:val="24"/>
        </w:rPr>
        <w:t>0.454L/s</w:t>
      </w:r>
      <w:r>
        <w:rPr>
          <w:rFonts w:hAnsi="宋体"/>
          <w:sz w:val="24"/>
        </w:rPr>
        <w:t>，其余支沟溪流干涸。</w:t>
      </w:r>
    </w:p>
    <w:p w:rsidR="00C223F5" w:rsidRDefault="005860D5">
      <w:pPr>
        <w:spacing w:line="360" w:lineRule="auto"/>
        <w:ind w:firstLine="482"/>
        <w:rPr>
          <w:rFonts w:hAnsi="宋体"/>
          <w:sz w:val="24"/>
        </w:rPr>
      </w:pPr>
      <w:r>
        <w:rPr>
          <w:rFonts w:hAnsi="宋体" w:hint="eastAsia"/>
          <w:sz w:val="24"/>
        </w:rPr>
        <w:t>此外，在天云煤矿整合区范围内有两处小型水库，分别为横山县石湾镇梁坪</w:t>
      </w:r>
      <w:r>
        <w:rPr>
          <w:rFonts w:hAnsi="宋体" w:hint="eastAsia"/>
          <w:sz w:val="24"/>
        </w:rPr>
        <w:lastRenderedPageBreak/>
        <w:t>水库（面积约</w:t>
      </w:r>
      <w:r>
        <w:rPr>
          <w:rFonts w:hAnsi="宋体" w:hint="eastAsia"/>
          <w:sz w:val="24"/>
        </w:rPr>
        <w:t>1.06hm</w:t>
      </w:r>
      <w:r>
        <w:rPr>
          <w:rFonts w:hAnsi="宋体" w:hint="eastAsia"/>
          <w:sz w:val="24"/>
          <w:vertAlign w:val="superscript"/>
        </w:rPr>
        <w:t>2</w:t>
      </w:r>
      <w:r>
        <w:rPr>
          <w:rFonts w:hAnsi="宋体" w:hint="eastAsia"/>
          <w:sz w:val="24"/>
        </w:rPr>
        <w:t>，目前基本无水）和麻地沟水库（面积约</w:t>
      </w:r>
      <w:r>
        <w:rPr>
          <w:rFonts w:hAnsi="宋体" w:hint="eastAsia"/>
          <w:sz w:val="24"/>
        </w:rPr>
        <w:t>1.9hm</w:t>
      </w:r>
      <w:r>
        <w:rPr>
          <w:rFonts w:hAnsi="宋体" w:hint="eastAsia"/>
          <w:sz w:val="24"/>
          <w:vertAlign w:val="superscript"/>
        </w:rPr>
        <w:t>2</w:t>
      </w:r>
      <w:r>
        <w:rPr>
          <w:rFonts w:hAnsi="宋体" w:hint="eastAsia"/>
          <w:sz w:val="24"/>
        </w:rPr>
        <w:t>，水深约</w:t>
      </w:r>
      <w:r>
        <w:rPr>
          <w:rFonts w:hAnsi="宋体" w:hint="eastAsia"/>
          <w:sz w:val="24"/>
        </w:rPr>
        <w:t>0.7m</w:t>
      </w:r>
      <w:r>
        <w:rPr>
          <w:rFonts w:hAnsi="宋体" w:hint="eastAsia"/>
          <w:sz w:val="24"/>
        </w:rPr>
        <w:t>），两处水库均位于整合区中南部，大理河支流上，主要用于农业灌溉。</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274" w:name="_Toc533604728"/>
      <w:bookmarkStart w:id="275" w:name="_Toc533604308"/>
      <w:bookmarkStart w:id="276" w:name="_Toc16785273"/>
      <w:bookmarkStart w:id="277" w:name="_Toc216254940"/>
      <w:bookmarkEnd w:id="265"/>
      <w:bookmarkEnd w:id="266"/>
      <w:bookmarkEnd w:id="267"/>
      <w:r>
        <w:rPr>
          <w:rFonts w:eastAsia="宋体" w:hint="eastAsia"/>
          <w:b/>
          <w:bCs w:val="0"/>
          <w:sz w:val="28"/>
          <w:szCs w:val="28"/>
        </w:rPr>
        <w:t>3</w:t>
      </w:r>
      <w:r>
        <w:rPr>
          <w:rFonts w:eastAsia="宋体"/>
          <w:b/>
          <w:bCs w:val="0"/>
          <w:sz w:val="28"/>
          <w:szCs w:val="28"/>
        </w:rPr>
        <w:t>.1.</w:t>
      </w:r>
      <w:r>
        <w:rPr>
          <w:rFonts w:eastAsia="宋体" w:hint="eastAsia"/>
          <w:b/>
          <w:bCs w:val="0"/>
          <w:sz w:val="28"/>
          <w:szCs w:val="28"/>
        </w:rPr>
        <w:t>4</w:t>
      </w:r>
      <w:r>
        <w:rPr>
          <w:rFonts w:eastAsia="宋体" w:hint="eastAsia"/>
          <w:b/>
          <w:bCs w:val="0"/>
          <w:sz w:val="28"/>
          <w:szCs w:val="28"/>
        </w:rPr>
        <w:t>生态环境现状</w:t>
      </w:r>
      <w:bookmarkEnd w:id="274"/>
      <w:bookmarkEnd w:id="275"/>
      <w:bookmarkEnd w:id="276"/>
    </w:p>
    <w:p w:rsidR="00C223F5" w:rsidRDefault="005860D5" w:rsidP="004835BD">
      <w:pPr>
        <w:pStyle w:val="4"/>
        <w:spacing w:before="0" w:after="0" w:line="360" w:lineRule="auto"/>
        <w:ind w:firstLineChars="100" w:firstLine="240"/>
        <w:rPr>
          <w:szCs w:val="24"/>
        </w:rPr>
      </w:pPr>
      <w:r>
        <w:rPr>
          <w:rFonts w:hint="eastAsia"/>
          <w:szCs w:val="24"/>
        </w:rPr>
        <w:t>3.1.4.1</w:t>
      </w:r>
      <w:r>
        <w:rPr>
          <w:rFonts w:hint="eastAsia"/>
          <w:szCs w:val="24"/>
        </w:rPr>
        <w:t>概述</w:t>
      </w:r>
    </w:p>
    <w:p w:rsidR="00C223F5" w:rsidRDefault="005860D5">
      <w:pPr>
        <w:pStyle w:val="aff1"/>
        <w:adjustRightInd w:val="0"/>
        <w:snapToGrid w:val="0"/>
        <w:spacing w:line="360" w:lineRule="auto"/>
        <w:ind w:left="0" w:firstLineChars="200" w:firstLine="482"/>
        <w:textAlignment w:val="baseline"/>
        <w:rPr>
          <w:rFonts w:eastAsiaTheme="minorEastAsia"/>
          <w:b/>
          <w:bCs/>
        </w:rPr>
      </w:pPr>
      <w:r>
        <w:rPr>
          <w:rFonts w:eastAsiaTheme="minorEastAsia" w:hAnsiTheme="minorEastAsia"/>
          <w:b/>
          <w:bCs/>
        </w:rPr>
        <w:t>（</w:t>
      </w:r>
      <w:r>
        <w:rPr>
          <w:rFonts w:eastAsiaTheme="minorEastAsia"/>
          <w:b/>
          <w:bCs/>
        </w:rPr>
        <w:t>1</w:t>
      </w:r>
      <w:r>
        <w:rPr>
          <w:rFonts w:eastAsiaTheme="minorEastAsia" w:hAnsiTheme="minorEastAsia"/>
          <w:b/>
          <w:bCs/>
        </w:rPr>
        <w:t>）评价范围</w:t>
      </w:r>
    </w:p>
    <w:p w:rsidR="00C223F5" w:rsidRDefault="005860D5">
      <w:pPr>
        <w:pStyle w:val="aff1"/>
        <w:adjustRightInd w:val="0"/>
        <w:snapToGrid w:val="0"/>
        <w:spacing w:line="360" w:lineRule="auto"/>
        <w:ind w:left="0" w:firstLineChars="200" w:firstLine="480"/>
        <w:textAlignment w:val="baseline"/>
        <w:rPr>
          <w:rFonts w:eastAsiaTheme="minorEastAsia"/>
        </w:rPr>
      </w:pPr>
      <w:r>
        <w:rPr>
          <w:rFonts w:eastAsiaTheme="minorEastAsia" w:hAnsiTheme="minorEastAsia"/>
        </w:rPr>
        <w:t>根据</w:t>
      </w:r>
      <w:r>
        <w:rPr>
          <w:rFonts w:eastAsiaTheme="minorEastAsia" w:hAnsiTheme="minorEastAsia" w:hint="eastAsia"/>
        </w:rPr>
        <w:t>天云煤矿</w:t>
      </w:r>
      <w:r>
        <w:rPr>
          <w:rFonts w:eastAsiaTheme="minorEastAsia" w:hAnsiTheme="minorEastAsia"/>
        </w:rPr>
        <w:t>建设内容及总体布置，本次环评生态评价范围为</w:t>
      </w:r>
      <w:r>
        <w:rPr>
          <w:rFonts w:eastAsiaTheme="minorEastAsia" w:hAnsiTheme="minorEastAsia" w:hint="eastAsia"/>
        </w:rPr>
        <w:t>井田边界</w:t>
      </w:r>
      <w:r>
        <w:rPr>
          <w:rFonts w:eastAsiaTheme="minorEastAsia" w:hAnsiTheme="minorEastAsia"/>
        </w:rPr>
        <w:t>向外延</w:t>
      </w:r>
      <w:r>
        <w:rPr>
          <w:rFonts w:eastAsiaTheme="minorEastAsia"/>
        </w:rPr>
        <w:t>500m</w:t>
      </w:r>
      <w:r>
        <w:rPr>
          <w:rFonts w:eastAsiaTheme="minorEastAsia" w:hAnsiTheme="minorEastAsia"/>
        </w:rPr>
        <w:t>区域，面积</w:t>
      </w:r>
      <w:r>
        <w:rPr>
          <w:rFonts w:hint="eastAsia"/>
        </w:rPr>
        <w:t>87.</w:t>
      </w:r>
      <w:r>
        <w:t>72km</w:t>
      </w:r>
      <w:r>
        <w:rPr>
          <w:vertAlign w:val="superscript"/>
        </w:rPr>
        <w:t>2</w:t>
      </w:r>
      <w:r>
        <w:rPr>
          <w:rFonts w:eastAsiaTheme="minorEastAsia" w:hAnsiTheme="minorEastAsia"/>
        </w:rPr>
        <w:t>。</w:t>
      </w:r>
    </w:p>
    <w:p w:rsidR="00C223F5" w:rsidRDefault="005860D5">
      <w:pPr>
        <w:pStyle w:val="aff1"/>
        <w:adjustRightInd w:val="0"/>
        <w:snapToGrid w:val="0"/>
        <w:spacing w:line="360" w:lineRule="auto"/>
        <w:ind w:left="0" w:firstLineChars="200" w:firstLine="482"/>
        <w:textAlignment w:val="baseline"/>
        <w:rPr>
          <w:rFonts w:eastAsiaTheme="minorEastAsia"/>
          <w:b/>
          <w:bCs/>
        </w:rPr>
      </w:pPr>
      <w:r>
        <w:rPr>
          <w:rFonts w:eastAsiaTheme="minorEastAsia" w:hAnsiTheme="minorEastAsia"/>
          <w:b/>
          <w:bCs/>
        </w:rPr>
        <w:t>（</w:t>
      </w:r>
      <w:r>
        <w:rPr>
          <w:rFonts w:eastAsiaTheme="minorEastAsia"/>
          <w:b/>
          <w:bCs/>
        </w:rPr>
        <w:t>2</w:t>
      </w:r>
      <w:r>
        <w:rPr>
          <w:rFonts w:eastAsiaTheme="minorEastAsia" w:hAnsiTheme="minorEastAsia"/>
          <w:b/>
          <w:bCs/>
        </w:rPr>
        <w:t>）调查内容</w:t>
      </w:r>
    </w:p>
    <w:p w:rsidR="00C223F5" w:rsidRDefault="005860D5">
      <w:pPr>
        <w:pStyle w:val="aff1"/>
        <w:adjustRightInd w:val="0"/>
        <w:snapToGrid w:val="0"/>
        <w:spacing w:line="360" w:lineRule="auto"/>
        <w:ind w:left="0" w:firstLineChars="200" w:firstLine="480"/>
        <w:textAlignment w:val="baseline"/>
        <w:rPr>
          <w:rFonts w:eastAsiaTheme="minorEastAsia"/>
        </w:rPr>
      </w:pPr>
      <w:r>
        <w:rPr>
          <w:rFonts w:eastAsiaTheme="minorEastAsia" w:hAnsiTheme="minorEastAsia"/>
        </w:rPr>
        <w:t>生态现状调查内容包括：</w:t>
      </w:r>
      <w:r>
        <w:rPr>
          <w:rFonts w:asciiTheme="minorEastAsia" w:eastAsiaTheme="minorEastAsia" w:hAnsiTheme="minorEastAsia"/>
        </w:rPr>
        <w:t>①</w:t>
      </w:r>
      <w:r>
        <w:rPr>
          <w:rFonts w:eastAsiaTheme="minorEastAsia" w:hAnsiTheme="minorEastAsia"/>
        </w:rPr>
        <w:t>地形地貌；</w:t>
      </w:r>
      <w:r>
        <w:rPr>
          <w:rFonts w:asciiTheme="minorEastAsia" w:eastAsiaTheme="minorEastAsia" w:hAnsiTheme="minorEastAsia"/>
        </w:rPr>
        <w:t>②</w:t>
      </w:r>
      <w:r>
        <w:rPr>
          <w:rFonts w:eastAsiaTheme="minorEastAsia" w:hAnsiTheme="minorEastAsia"/>
        </w:rPr>
        <w:t>土地利用构成、分布等；</w:t>
      </w:r>
      <w:r w:rsidR="000F32AE">
        <w:rPr>
          <w:rFonts w:eastAsiaTheme="minorEastAsia"/>
        </w:rPr>
        <w:fldChar w:fldCharType="begin"/>
      </w:r>
      <w:r>
        <w:rPr>
          <w:rFonts w:eastAsiaTheme="minorEastAsia"/>
        </w:rPr>
        <w:instrText xml:space="preserve"> = 3 \* GB3 </w:instrText>
      </w:r>
      <w:r w:rsidR="000F32AE">
        <w:rPr>
          <w:rFonts w:eastAsiaTheme="minorEastAsia"/>
        </w:rPr>
        <w:fldChar w:fldCharType="separate"/>
      </w:r>
      <w:r>
        <w:rPr>
          <w:rFonts w:asciiTheme="minorEastAsia" w:eastAsiaTheme="minorEastAsia" w:hAnsiTheme="minorEastAsia"/>
        </w:rPr>
        <w:t>③</w:t>
      </w:r>
      <w:r w:rsidR="000F32AE">
        <w:rPr>
          <w:rFonts w:eastAsiaTheme="minorEastAsia"/>
        </w:rPr>
        <w:fldChar w:fldCharType="end"/>
      </w:r>
      <w:r>
        <w:rPr>
          <w:rFonts w:eastAsiaTheme="minorEastAsia" w:hAnsiTheme="minorEastAsia"/>
        </w:rPr>
        <w:t>植被类型；</w:t>
      </w:r>
      <w:r>
        <w:rPr>
          <w:rFonts w:asciiTheme="minorEastAsia" w:eastAsiaTheme="minorEastAsia" w:hAnsiTheme="minorEastAsia"/>
        </w:rPr>
        <w:t>④</w:t>
      </w:r>
      <w:r>
        <w:rPr>
          <w:rFonts w:eastAsiaTheme="minorEastAsia" w:hAnsiTheme="minorEastAsia"/>
        </w:rPr>
        <w:t>土壤类型</w:t>
      </w:r>
      <w:r>
        <w:rPr>
          <w:rFonts w:eastAsiaTheme="minorEastAsia" w:hAnsiTheme="minorEastAsia" w:hint="eastAsia"/>
        </w:rPr>
        <w:t>及</w:t>
      </w:r>
      <w:r>
        <w:rPr>
          <w:rFonts w:eastAsiaTheme="minorEastAsia" w:hAnsiTheme="minorEastAsia"/>
        </w:rPr>
        <w:t>侵蚀类型；</w:t>
      </w:r>
      <w:r>
        <w:rPr>
          <w:rFonts w:asciiTheme="minorEastAsia" w:eastAsiaTheme="minorEastAsia" w:hAnsiTheme="minorEastAsia"/>
        </w:rPr>
        <w:t>⑤</w:t>
      </w:r>
      <w:r>
        <w:rPr>
          <w:rFonts w:eastAsiaTheme="minorEastAsia" w:hAnsiTheme="minorEastAsia"/>
        </w:rPr>
        <w:t>动物资源等。</w:t>
      </w:r>
    </w:p>
    <w:p w:rsidR="00C223F5" w:rsidRDefault="005860D5">
      <w:pPr>
        <w:pStyle w:val="aff1"/>
        <w:adjustRightInd w:val="0"/>
        <w:snapToGrid w:val="0"/>
        <w:spacing w:line="360" w:lineRule="auto"/>
        <w:ind w:left="0" w:firstLineChars="200" w:firstLine="482"/>
        <w:textAlignment w:val="baseline"/>
        <w:rPr>
          <w:rFonts w:eastAsiaTheme="minorEastAsia"/>
          <w:b/>
          <w:bCs/>
        </w:rPr>
      </w:pPr>
      <w:r>
        <w:rPr>
          <w:rFonts w:eastAsiaTheme="minorEastAsia" w:hAnsiTheme="minorEastAsia"/>
          <w:b/>
          <w:bCs/>
        </w:rPr>
        <w:t>（</w:t>
      </w:r>
      <w:r>
        <w:rPr>
          <w:rFonts w:eastAsiaTheme="minorEastAsia"/>
          <w:b/>
          <w:bCs/>
        </w:rPr>
        <w:t>3</w:t>
      </w:r>
      <w:r>
        <w:rPr>
          <w:rFonts w:eastAsiaTheme="minorEastAsia" w:hAnsiTheme="minorEastAsia"/>
          <w:b/>
          <w:bCs/>
        </w:rPr>
        <w:t>）调查方法</w:t>
      </w:r>
    </w:p>
    <w:p w:rsidR="00C223F5" w:rsidRDefault="005860D5">
      <w:pPr>
        <w:pStyle w:val="aff1"/>
        <w:adjustRightInd w:val="0"/>
        <w:snapToGrid w:val="0"/>
        <w:spacing w:line="360" w:lineRule="auto"/>
        <w:ind w:left="0" w:firstLineChars="200" w:firstLine="480"/>
        <w:textAlignment w:val="baseline"/>
        <w:rPr>
          <w:rFonts w:eastAsiaTheme="minorEastAsia"/>
          <w:kern w:val="0"/>
        </w:rPr>
      </w:pPr>
      <w:r>
        <w:rPr>
          <w:rFonts w:eastAsiaTheme="minorEastAsia" w:hAnsiTheme="minorEastAsia"/>
          <w:kern w:val="0"/>
        </w:rPr>
        <w:t>评价区生态环境现状采用收集资料、现场勘查和遥感（</w:t>
      </w:r>
      <w:r>
        <w:rPr>
          <w:rFonts w:eastAsiaTheme="minorEastAsia"/>
          <w:kern w:val="0"/>
        </w:rPr>
        <w:t>3S</w:t>
      </w:r>
      <w:r>
        <w:rPr>
          <w:rFonts w:eastAsiaTheme="minorEastAsia" w:hAnsiTheme="minorEastAsia"/>
          <w:kern w:val="0"/>
        </w:rPr>
        <w:t>）相结合的方法。</w:t>
      </w:r>
    </w:p>
    <w:p w:rsidR="00C223F5" w:rsidRDefault="005860D5">
      <w:pPr>
        <w:pStyle w:val="aff1"/>
        <w:adjustRightInd w:val="0"/>
        <w:snapToGrid w:val="0"/>
        <w:spacing w:line="360" w:lineRule="auto"/>
        <w:ind w:left="0" w:firstLineChars="200" w:firstLine="480"/>
        <w:textAlignment w:val="baseline"/>
        <w:rPr>
          <w:rFonts w:eastAsiaTheme="minorEastAsia" w:hAnsiTheme="minorEastAsia"/>
          <w:kern w:val="0"/>
        </w:rPr>
      </w:pPr>
      <w:r>
        <w:rPr>
          <w:rFonts w:eastAsiaTheme="minorEastAsia" w:hAnsiTheme="minorEastAsia"/>
          <w:kern w:val="0"/>
        </w:rPr>
        <w:t>资料收集包括当地土地利用现状、</w:t>
      </w:r>
      <w:r>
        <w:rPr>
          <w:rFonts w:eastAsiaTheme="minorEastAsia" w:hAnsiTheme="minorEastAsia" w:hint="eastAsia"/>
          <w:kern w:val="0"/>
        </w:rPr>
        <w:t>基本农田</w:t>
      </w:r>
      <w:r>
        <w:rPr>
          <w:rFonts w:eastAsiaTheme="minorEastAsia" w:hAnsiTheme="minorEastAsia"/>
          <w:kern w:val="0"/>
        </w:rPr>
        <w:t>分布等基础资料。</w:t>
      </w:r>
    </w:p>
    <w:p w:rsidR="00C223F5" w:rsidRDefault="005860D5">
      <w:pPr>
        <w:pStyle w:val="aff1"/>
        <w:adjustRightInd w:val="0"/>
        <w:snapToGrid w:val="0"/>
        <w:spacing w:line="360" w:lineRule="auto"/>
        <w:ind w:left="0" w:firstLineChars="200" w:firstLine="480"/>
        <w:textAlignment w:val="baseline"/>
        <w:rPr>
          <w:rFonts w:eastAsiaTheme="minorEastAsia" w:hAnsiTheme="minorEastAsia"/>
          <w:kern w:val="0"/>
        </w:rPr>
      </w:pPr>
      <w:r>
        <w:rPr>
          <w:rFonts w:eastAsiaTheme="minorEastAsia" w:hAnsiTheme="minorEastAsia"/>
          <w:kern w:val="0"/>
        </w:rPr>
        <w:t>遥感信息源采用</w:t>
      </w:r>
      <w:r>
        <w:rPr>
          <w:rFonts w:hint="eastAsia"/>
        </w:rPr>
        <w:t>201</w:t>
      </w:r>
      <w:r>
        <w:t>7</w:t>
      </w:r>
      <w:r>
        <w:rPr>
          <w:rFonts w:hint="eastAsia"/>
        </w:rPr>
        <w:t>年</w:t>
      </w:r>
      <w:r>
        <w:t>9</w:t>
      </w:r>
      <w:r>
        <w:rPr>
          <w:rFonts w:hint="eastAsia"/>
        </w:rPr>
        <w:t>月份的</w:t>
      </w:r>
      <w:r>
        <w:t>Sentinel-2</w:t>
      </w:r>
      <w:r>
        <w:rPr>
          <w:rFonts w:hint="eastAsia"/>
        </w:rPr>
        <w:t>哨兵</w:t>
      </w:r>
      <w:r>
        <w:rPr>
          <w:rFonts w:hint="eastAsia"/>
        </w:rPr>
        <w:t>2</w:t>
      </w:r>
      <w:r>
        <w:rPr>
          <w:rFonts w:hint="eastAsia"/>
        </w:rPr>
        <w:t>卫星图像为信息源，分辨率为</w:t>
      </w:r>
      <w:r>
        <w:rPr>
          <w:rFonts w:hint="eastAsia"/>
        </w:rPr>
        <w:t>1</w:t>
      </w:r>
      <w:r>
        <w:t>0</w:t>
      </w:r>
      <w:r>
        <w:rPr>
          <w:rFonts w:hint="eastAsia"/>
        </w:rPr>
        <w:t>m</w:t>
      </w:r>
      <w:r>
        <w:rPr>
          <w:rFonts w:hint="eastAsia"/>
        </w:rPr>
        <w:t>，线状地物解译长度不小于</w:t>
      </w:r>
      <w:r>
        <w:rPr>
          <w:rFonts w:hint="eastAsia"/>
        </w:rPr>
        <w:t>1cm</w:t>
      </w:r>
      <w:r>
        <w:rPr>
          <w:rFonts w:hint="eastAsia"/>
        </w:rPr>
        <w:t>，解译图斑面积不小于</w:t>
      </w:r>
      <w:r>
        <w:rPr>
          <w:rFonts w:hint="eastAsia"/>
        </w:rPr>
        <w:t>4mm</w:t>
      </w:r>
      <w:r>
        <w:rPr>
          <w:rFonts w:hint="eastAsia"/>
          <w:vertAlign w:val="superscript"/>
        </w:rPr>
        <w:t>2</w:t>
      </w:r>
      <w:r>
        <w:rPr>
          <w:rFonts w:eastAsiaTheme="minorEastAsia" w:hAnsiTheme="minorEastAsia" w:hint="eastAsia"/>
          <w:kern w:val="0"/>
        </w:rPr>
        <w:t>。</w:t>
      </w:r>
    </w:p>
    <w:p w:rsidR="00C223F5" w:rsidRDefault="005860D5" w:rsidP="004835BD">
      <w:pPr>
        <w:pStyle w:val="4"/>
        <w:spacing w:before="0" w:after="0" w:line="360" w:lineRule="auto"/>
        <w:ind w:firstLineChars="100" w:firstLine="240"/>
        <w:rPr>
          <w:szCs w:val="24"/>
        </w:rPr>
      </w:pPr>
      <w:r>
        <w:rPr>
          <w:rFonts w:hint="eastAsia"/>
          <w:szCs w:val="24"/>
        </w:rPr>
        <w:t>3.1.4.2</w:t>
      </w:r>
      <w:r>
        <w:rPr>
          <w:rFonts w:hint="eastAsia"/>
          <w:szCs w:val="24"/>
        </w:rPr>
        <w:t>地貌类型</w:t>
      </w:r>
    </w:p>
    <w:p w:rsidR="00C223F5" w:rsidRDefault="005860D5">
      <w:pPr>
        <w:spacing w:line="360" w:lineRule="auto"/>
        <w:ind w:firstLineChars="200" w:firstLine="480"/>
        <w:rPr>
          <w:sz w:val="24"/>
        </w:rPr>
      </w:pPr>
      <w:r>
        <w:rPr>
          <w:rFonts w:hint="eastAsia"/>
          <w:sz w:val="24"/>
        </w:rPr>
        <w:t>评价区以黄土堆积地貌为主，在评价区存在小面积河流阶地。一级地貌黄土堆积地貌分为黄土梁峁、黄土沟壑，河流地貌以河流阶地为主。天云</w:t>
      </w:r>
      <w:r>
        <w:rPr>
          <w:rFonts w:hAnsi="宋体"/>
          <w:sz w:val="24"/>
        </w:rPr>
        <w:t>煤矿</w:t>
      </w:r>
      <w:r>
        <w:rPr>
          <w:rFonts w:hAnsi="宋体" w:hint="eastAsia"/>
          <w:sz w:val="24"/>
        </w:rPr>
        <w:t>评价区卫星</w:t>
      </w:r>
      <w:r>
        <w:rPr>
          <w:rFonts w:hAnsi="宋体"/>
          <w:sz w:val="24"/>
        </w:rPr>
        <w:t>影像</w:t>
      </w:r>
      <w:r>
        <w:rPr>
          <w:rFonts w:hAnsi="宋体" w:hint="eastAsia"/>
          <w:sz w:val="24"/>
        </w:rPr>
        <w:t>见</w:t>
      </w:r>
      <w:r>
        <w:rPr>
          <w:rFonts w:hAnsi="宋体"/>
          <w:sz w:val="24"/>
        </w:rPr>
        <w:t>图</w:t>
      </w:r>
      <w:r>
        <w:rPr>
          <w:rFonts w:hint="eastAsia"/>
          <w:sz w:val="24"/>
        </w:rPr>
        <w:t>3.1.4-1</w:t>
      </w:r>
      <w:r>
        <w:rPr>
          <w:rFonts w:hint="eastAsia"/>
          <w:sz w:val="24"/>
        </w:rPr>
        <w:t>，</w:t>
      </w:r>
      <w:r>
        <w:rPr>
          <w:rFonts w:cs="宋体" w:hint="eastAsia"/>
          <w:sz w:val="24"/>
        </w:rPr>
        <w:t>地貌类型的遥感解译标志见表</w:t>
      </w:r>
      <w:r>
        <w:rPr>
          <w:rFonts w:hint="eastAsia"/>
          <w:sz w:val="24"/>
        </w:rPr>
        <w:t>3.1.4-1</w:t>
      </w:r>
      <w:r>
        <w:rPr>
          <w:rFonts w:cs="宋体" w:hint="eastAsia"/>
          <w:sz w:val="24"/>
        </w:rPr>
        <w:t>。</w:t>
      </w:r>
    </w:p>
    <w:p w:rsidR="00C223F5" w:rsidRDefault="005860D5">
      <w:pPr>
        <w:jc w:val="center"/>
        <w:rPr>
          <w:rFonts w:cs="宋体"/>
          <w:b/>
          <w:sz w:val="24"/>
        </w:rPr>
      </w:pPr>
      <w:r>
        <w:rPr>
          <w:rFonts w:cs="宋体" w:hint="eastAsia"/>
          <w:b/>
          <w:sz w:val="24"/>
        </w:rPr>
        <w:t>表</w:t>
      </w:r>
      <w:r>
        <w:rPr>
          <w:rFonts w:hint="eastAsia"/>
          <w:b/>
          <w:sz w:val="24"/>
        </w:rPr>
        <w:t>3.1.4-1</w:t>
      </w:r>
      <w:r>
        <w:rPr>
          <w:rFonts w:cs="宋体" w:hint="eastAsia"/>
          <w:b/>
          <w:sz w:val="24"/>
        </w:rPr>
        <w:t>地貌类型分类系统及遥感影像特征</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596"/>
        <w:gridCol w:w="5274"/>
      </w:tblGrid>
      <w:tr w:rsidR="00C223F5">
        <w:trPr>
          <w:jc w:val="center"/>
        </w:trPr>
        <w:tc>
          <w:tcPr>
            <w:tcW w:w="1851" w:type="dxa"/>
            <w:shd w:val="clear" w:color="auto" w:fill="auto"/>
            <w:vAlign w:val="center"/>
          </w:tcPr>
          <w:p w:rsidR="00C223F5" w:rsidRDefault="005860D5">
            <w:pPr>
              <w:jc w:val="center"/>
            </w:pPr>
            <w:r>
              <w:rPr>
                <w:rFonts w:hint="eastAsia"/>
              </w:rPr>
              <w:t>一级地貌</w:t>
            </w:r>
          </w:p>
        </w:tc>
        <w:tc>
          <w:tcPr>
            <w:tcW w:w="1596" w:type="dxa"/>
            <w:shd w:val="clear" w:color="auto" w:fill="auto"/>
            <w:vAlign w:val="center"/>
          </w:tcPr>
          <w:p w:rsidR="00C223F5" w:rsidRDefault="005860D5">
            <w:pPr>
              <w:jc w:val="center"/>
            </w:pPr>
            <w:r>
              <w:rPr>
                <w:rFonts w:hint="eastAsia"/>
              </w:rPr>
              <w:t>二级地貌</w:t>
            </w:r>
          </w:p>
        </w:tc>
        <w:tc>
          <w:tcPr>
            <w:tcW w:w="5274" w:type="dxa"/>
            <w:shd w:val="clear" w:color="auto" w:fill="auto"/>
            <w:vAlign w:val="center"/>
          </w:tcPr>
          <w:p w:rsidR="00C223F5" w:rsidRDefault="005860D5">
            <w:pPr>
              <w:jc w:val="center"/>
            </w:pPr>
            <w:r>
              <w:rPr>
                <w:rFonts w:hint="eastAsia"/>
              </w:rPr>
              <w:t>遥感影像特征</w:t>
            </w:r>
          </w:p>
        </w:tc>
      </w:tr>
      <w:tr w:rsidR="00C223F5">
        <w:trPr>
          <w:jc w:val="center"/>
        </w:trPr>
        <w:tc>
          <w:tcPr>
            <w:tcW w:w="1851" w:type="dxa"/>
            <w:vMerge w:val="restart"/>
            <w:shd w:val="clear" w:color="auto" w:fill="auto"/>
            <w:vAlign w:val="center"/>
          </w:tcPr>
          <w:p w:rsidR="00C223F5" w:rsidRDefault="005860D5">
            <w:pPr>
              <w:jc w:val="center"/>
              <w:rPr>
                <w:rFonts w:ascii="黑体" w:eastAsia="黑体"/>
              </w:rPr>
            </w:pPr>
            <w:r>
              <w:rPr>
                <w:rFonts w:hint="eastAsia"/>
              </w:rPr>
              <w:t>黄土堆积地貌</w:t>
            </w:r>
          </w:p>
        </w:tc>
        <w:tc>
          <w:tcPr>
            <w:tcW w:w="1596" w:type="dxa"/>
            <w:shd w:val="clear" w:color="auto" w:fill="auto"/>
            <w:vAlign w:val="center"/>
          </w:tcPr>
          <w:p w:rsidR="00C223F5" w:rsidRDefault="005860D5">
            <w:pPr>
              <w:jc w:val="center"/>
            </w:pPr>
            <w:r>
              <w:rPr>
                <w:rFonts w:hint="eastAsia"/>
              </w:rPr>
              <w:t>黄土梁峁</w:t>
            </w:r>
          </w:p>
        </w:tc>
        <w:tc>
          <w:tcPr>
            <w:tcW w:w="5274" w:type="dxa"/>
            <w:shd w:val="clear" w:color="auto" w:fill="auto"/>
            <w:vAlign w:val="center"/>
          </w:tcPr>
          <w:p w:rsidR="00C223F5" w:rsidRDefault="005860D5">
            <w:r>
              <w:rPr>
                <w:rFonts w:hint="eastAsia"/>
              </w:rPr>
              <w:t>呈长条状、圆丘状，两侧有大致与其垂直成排分布的黄土冲沟，梁面平坦。在遥感图像上呈不规则带状纹理和斑块状纹理。</w:t>
            </w:r>
          </w:p>
        </w:tc>
      </w:tr>
      <w:tr w:rsidR="00C223F5">
        <w:trPr>
          <w:jc w:val="center"/>
        </w:trPr>
        <w:tc>
          <w:tcPr>
            <w:tcW w:w="1851" w:type="dxa"/>
            <w:vMerge/>
            <w:shd w:val="clear" w:color="auto" w:fill="auto"/>
            <w:vAlign w:val="center"/>
          </w:tcPr>
          <w:p w:rsidR="00C223F5" w:rsidRDefault="00C223F5">
            <w:pPr>
              <w:jc w:val="center"/>
              <w:rPr>
                <w:rFonts w:ascii="黑体" w:eastAsia="黑体"/>
              </w:rPr>
            </w:pPr>
          </w:p>
        </w:tc>
        <w:tc>
          <w:tcPr>
            <w:tcW w:w="1596" w:type="dxa"/>
            <w:shd w:val="clear" w:color="auto" w:fill="auto"/>
            <w:vAlign w:val="center"/>
          </w:tcPr>
          <w:p w:rsidR="00C223F5" w:rsidRDefault="005860D5">
            <w:pPr>
              <w:jc w:val="center"/>
            </w:pPr>
            <w:r>
              <w:rPr>
                <w:rFonts w:hint="eastAsia"/>
              </w:rPr>
              <w:t>黄土沟壑</w:t>
            </w:r>
          </w:p>
        </w:tc>
        <w:tc>
          <w:tcPr>
            <w:tcW w:w="5274" w:type="dxa"/>
            <w:shd w:val="clear" w:color="auto" w:fill="auto"/>
            <w:vAlign w:val="center"/>
          </w:tcPr>
          <w:p w:rsidR="00C223F5" w:rsidRDefault="005860D5">
            <w:r>
              <w:rPr>
                <w:rFonts w:hint="eastAsia"/>
              </w:rPr>
              <w:t>沟壁为锯齿状、密度高、形态复杂，根据其树枝状、格状、羽状或不规则高密度水系进行解译。</w:t>
            </w:r>
          </w:p>
        </w:tc>
      </w:tr>
      <w:tr w:rsidR="00C223F5">
        <w:trPr>
          <w:jc w:val="center"/>
        </w:trPr>
        <w:tc>
          <w:tcPr>
            <w:tcW w:w="1851" w:type="dxa"/>
            <w:shd w:val="clear" w:color="auto" w:fill="auto"/>
            <w:vAlign w:val="center"/>
          </w:tcPr>
          <w:p w:rsidR="00C223F5" w:rsidRDefault="005860D5">
            <w:pPr>
              <w:jc w:val="center"/>
              <w:rPr>
                <w:rFonts w:ascii="黑体" w:eastAsia="黑体"/>
              </w:rPr>
            </w:pPr>
            <w:r>
              <w:rPr>
                <w:rFonts w:hint="eastAsia"/>
              </w:rPr>
              <w:t>河流地貌</w:t>
            </w:r>
          </w:p>
        </w:tc>
        <w:tc>
          <w:tcPr>
            <w:tcW w:w="1596" w:type="dxa"/>
            <w:shd w:val="clear" w:color="auto" w:fill="auto"/>
            <w:vAlign w:val="center"/>
          </w:tcPr>
          <w:p w:rsidR="00C223F5" w:rsidRDefault="005860D5">
            <w:pPr>
              <w:jc w:val="center"/>
            </w:pPr>
            <w:r>
              <w:rPr>
                <w:rFonts w:hint="eastAsia"/>
              </w:rPr>
              <w:t>河流阶地</w:t>
            </w:r>
          </w:p>
        </w:tc>
        <w:tc>
          <w:tcPr>
            <w:tcW w:w="5274" w:type="dxa"/>
            <w:shd w:val="clear" w:color="auto" w:fill="auto"/>
            <w:vAlign w:val="center"/>
          </w:tcPr>
          <w:p w:rsidR="00C223F5" w:rsidRDefault="005860D5">
            <w:r>
              <w:rPr>
                <w:rFonts w:hint="eastAsia"/>
              </w:rPr>
              <w:t>位于河谷两侧，较新的阶地阶面形态平整，耕地、树木多；老的阶地位于较高地段，阶面支离破碎，不完整。</w:t>
            </w:r>
          </w:p>
        </w:tc>
      </w:tr>
    </w:tbl>
    <w:p w:rsidR="00C223F5" w:rsidRDefault="005860D5">
      <w:pPr>
        <w:spacing w:line="360" w:lineRule="auto"/>
        <w:ind w:firstLineChars="200" w:firstLine="480"/>
        <w:rPr>
          <w:rFonts w:hAnsi="宋体"/>
          <w:sz w:val="24"/>
        </w:rPr>
      </w:pPr>
      <w:r>
        <w:rPr>
          <w:rFonts w:hint="eastAsia"/>
          <w:bCs/>
          <w:sz w:val="24"/>
        </w:rPr>
        <w:t>评价区范围内大部以黄土梁峁为主，面积为</w:t>
      </w:r>
      <w:r>
        <w:rPr>
          <w:rFonts w:hint="eastAsia"/>
          <w:bCs/>
          <w:sz w:val="24"/>
        </w:rPr>
        <w:t>35.92km</w:t>
      </w:r>
      <w:r>
        <w:rPr>
          <w:rFonts w:hint="eastAsia"/>
          <w:bCs/>
          <w:sz w:val="24"/>
          <w:vertAlign w:val="superscript"/>
        </w:rPr>
        <w:t>2</w:t>
      </w:r>
      <w:r>
        <w:rPr>
          <w:rFonts w:hint="eastAsia"/>
          <w:bCs/>
          <w:sz w:val="24"/>
        </w:rPr>
        <w:t>，占评价区面积的</w:t>
      </w:r>
      <w:r>
        <w:rPr>
          <w:rFonts w:hint="eastAsia"/>
          <w:bCs/>
          <w:sz w:val="24"/>
        </w:rPr>
        <w:t>40.94%</w:t>
      </w:r>
      <w:r>
        <w:rPr>
          <w:rFonts w:hint="eastAsia"/>
          <w:bCs/>
          <w:sz w:val="24"/>
        </w:rPr>
        <w:t>；黄土沟壑主要分布于黄土梁峁之间，受侵蚀后形成，呈树枝状，面积为</w:t>
      </w:r>
      <w:r>
        <w:rPr>
          <w:rFonts w:hint="eastAsia"/>
          <w:bCs/>
          <w:sz w:val="24"/>
        </w:rPr>
        <w:t>45.56km</w:t>
      </w:r>
      <w:r>
        <w:rPr>
          <w:rFonts w:hint="eastAsia"/>
          <w:bCs/>
          <w:sz w:val="24"/>
          <w:vertAlign w:val="superscript"/>
        </w:rPr>
        <w:t>2</w:t>
      </w:r>
      <w:r>
        <w:rPr>
          <w:rFonts w:hint="eastAsia"/>
          <w:bCs/>
          <w:sz w:val="24"/>
        </w:rPr>
        <w:t>，占评价区面积的</w:t>
      </w:r>
      <w:r>
        <w:rPr>
          <w:rFonts w:hint="eastAsia"/>
          <w:bCs/>
          <w:sz w:val="24"/>
        </w:rPr>
        <w:t>51.95%</w:t>
      </w:r>
      <w:r>
        <w:rPr>
          <w:rFonts w:hint="eastAsia"/>
          <w:bCs/>
          <w:sz w:val="24"/>
        </w:rPr>
        <w:t>；河流阶地主要分布于区内北部及北东至南西河流两侧，面积</w:t>
      </w:r>
      <w:r>
        <w:rPr>
          <w:rFonts w:hint="eastAsia"/>
          <w:bCs/>
          <w:sz w:val="24"/>
        </w:rPr>
        <w:t>3.85 km</w:t>
      </w:r>
      <w:r>
        <w:rPr>
          <w:rFonts w:hint="eastAsia"/>
          <w:bCs/>
          <w:sz w:val="24"/>
          <w:vertAlign w:val="superscript"/>
        </w:rPr>
        <w:t>2</w:t>
      </w:r>
      <w:r>
        <w:rPr>
          <w:rFonts w:hint="eastAsia"/>
          <w:bCs/>
          <w:sz w:val="24"/>
        </w:rPr>
        <w:t>，占评价区面积的</w:t>
      </w:r>
      <w:r>
        <w:rPr>
          <w:rFonts w:hint="eastAsia"/>
          <w:bCs/>
          <w:sz w:val="24"/>
        </w:rPr>
        <w:t>4.39%</w:t>
      </w:r>
      <w:r>
        <w:rPr>
          <w:rFonts w:hint="eastAsia"/>
          <w:bCs/>
          <w:sz w:val="24"/>
        </w:rPr>
        <w:t>；建设用地面积</w:t>
      </w:r>
      <w:r>
        <w:rPr>
          <w:rFonts w:hint="eastAsia"/>
          <w:bCs/>
          <w:sz w:val="24"/>
        </w:rPr>
        <w:t>1.11 km</w:t>
      </w:r>
      <w:r>
        <w:rPr>
          <w:rFonts w:hint="eastAsia"/>
          <w:bCs/>
          <w:sz w:val="24"/>
          <w:vertAlign w:val="superscript"/>
        </w:rPr>
        <w:t>2</w:t>
      </w:r>
      <w:r>
        <w:rPr>
          <w:rFonts w:hint="eastAsia"/>
          <w:bCs/>
          <w:sz w:val="24"/>
        </w:rPr>
        <w:t>，占评价区面积的</w:t>
      </w:r>
      <w:r>
        <w:rPr>
          <w:rFonts w:hint="eastAsia"/>
          <w:bCs/>
          <w:sz w:val="24"/>
        </w:rPr>
        <w:t>1.26%</w:t>
      </w:r>
      <w:r>
        <w:rPr>
          <w:rFonts w:hint="eastAsia"/>
          <w:bCs/>
          <w:sz w:val="24"/>
        </w:rPr>
        <w:t>；水体面积</w:t>
      </w:r>
      <w:r>
        <w:rPr>
          <w:rFonts w:hint="eastAsia"/>
          <w:bCs/>
          <w:sz w:val="24"/>
        </w:rPr>
        <w:t>1.28km</w:t>
      </w:r>
      <w:r>
        <w:rPr>
          <w:rFonts w:hint="eastAsia"/>
          <w:bCs/>
          <w:sz w:val="24"/>
          <w:vertAlign w:val="superscript"/>
        </w:rPr>
        <w:t>2</w:t>
      </w:r>
      <w:r>
        <w:rPr>
          <w:rFonts w:hint="eastAsia"/>
          <w:bCs/>
          <w:sz w:val="24"/>
        </w:rPr>
        <w:t>，占评价区面积的</w:t>
      </w:r>
      <w:r>
        <w:rPr>
          <w:rFonts w:hint="eastAsia"/>
          <w:bCs/>
          <w:sz w:val="24"/>
        </w:rPr>
        <w:t>1.46%</w:t>
      </w:r>
      <w:r>
        <w:rPr>
          <w:rFonts w:hint="eastAsia"/>
          <w:bCs/>
          <w:sz w:val="24"/>
        </w:rPr>
        <w:t>。</w:t>
      </w:r>
      <w:r>
        <w:rPr>
          <w:rFonts w:hint="eastAsia"/>
          <w:sz w:val="24"/>
        </w:rPr>
        <w:t>评价区地貌类型统计见表</w:t>
      </w:r>
      <w:r>
        <w:rPr>
          <w:rFonts w:hint="eastAsia"/>
          <w:sz w:val="24"/>
        </w:rPr>
        <w:t>3.1.4-2</w:t>
      </w:r>
      <w:r>
        <w:rPr>
          <w:rFonts w:hint="eastAsia"/>
          <w:sz w:val="24"/>
        </w:rPr>
        <w:lastRenderedPageBreak/>
        <w:t>及图</w:t>
      </w:r>
      <w:r>
        <w:rPr>
          <w:rFonts w:hint="eastAsia"/>
          <w:sz w:val="24"/>
        </w:rPr>
        <w:t>3.1.4-2</w:t>
      </w:r>
      <w:r>
        <w:rPr>
          <w:rFonts w:hAnsi="宋体"/>
          <w:sz w:val="24"/>
        </w:rPr>
        <w:t>。</w:t>
      </w:r>
    </w:p>
    <w:p w:rsidR="00C223F5" w:rsidRDefault="005860D5">
      <w:pPr>
        <w:jc w:val="center"/>
        <w:rPr>
          <w:b/>
          <w:sz w:val="24"/>
        </w:rPr>
      </w:pPr>
      <w:r>
        <w:rPr>
          <w:rFonts w:hint="eastAsia"/>
          <w:b/>
          <w:sz w:val="24"/>
        </w:rPr>
        <w:t>表</w:t>
      </w:r>
      <w:r>
        <w:rPr>
          <w:rFonts w:hint="eastAsia"/>
          <w:b/>
          <w:sz w:val="24"/>
        </w:rPr>
        <w:t xml:space="preserve">3.1.4-2   </w:t>
      </w:r>
      <w:r>
        <w:rPr>
          <w:rFonts w:hint="eastAsia"/>
          <w:b/>
          <w:sz w:val="24"/>
        </w:rPr>
        <w:t>评价区地貌类型面积统计结果</w:t>
      </w:r>
    </w:p>
    <w:tbl>
      <w:tblPr>
        <w:tblW w:w="8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800"/>
        <w:gridCol w:w="1620"/>
        <w:gridCol w:w="1800"/>
        <w:gridCol w:w="1440"/>
      </w:tblGrid>
      <w:tr w:rsidR="00C223F5">
        <w:trPr>
          <w:trHeight w:val="270"/>
          <w:jc w:val="center"/>
        </w:trPr>
        <w:tc>
          <w:tcPr>
            <w:tcW w:w="1815" w:type="dxa"/>
            <w:vMerge w:val="restart"/>
            <w:shd w:val="clear" w:color="auto" w:fill="auto"/>
            <w:vAlign w:val="center"/>
          </w:tcPr>
          <w:p w:rsidR="00C223F5" w:rsidRDefault="005860D5">
            <w:pPr>
              <w:widowControl/>
              <w:jc w:val="center"/>
              <w:rPr>
                <w:rFonts w:ascii="宋体" w:hAnsi="宋体" w:cs="宋体"/>
                <w:kern w:val="0"/>
                <w:szCs w:val="21"/>
              </w:rPr>
            </w:pPr>
            <w:r>
              <w:rPr>
                <w:rFonts w:hint="eastAsia"/>
                <w:bCs/>
                <w:szCs w:val="21"/>
              </w:rPr>
              <w:t>地貌类型</w:t>
            </w:r>
          </w:p>
        </w:tc>
        <w:tc>
          <w:tcPr>
            <w:tcW w:w="3420" w:type="dxa"/>
            <w:gridSpan w:val="2"/>
            <w:shd w:val="clear" w:color="auto" w:fill="auto"/>
            <w:vAlign w:val="center"/>
          </w:tcPr>
          <w:p w:rsidR="00C223F5" w:rsidRDefault="005860D5">
            <w:pPr>
              <w:widowControl/>
              <w:jc w:val="center"/>
              <w:rPr>
                <w:rFonts w:ascii="宋体" w:hAnsi="宋体" w:cs="宋体"/>
                <w:kern w:val="0"/>
                <w:szCs w:val="21"/>
              </w:rPr>
            </w:pPr>
            <w:r>
              <w:rPr>
                <w:rFonts w:ascii="宋体" w:hAnsi="宋体" w:cs="宋体" w:hint="eastAsia"/>
                <w:kern w:val="0"/>
                <w:szCs w:val="21"/>
              </w:rPr>
              <w:t>评价区</w:t>
            </w:r>
          </w:p>
        </w:tc>
        <w:tc>
          <w:tcPr>
            <w:tcW w:w="3240" w:type="dxa"/>
            <w:gridSpan w:val="2"/>
            <w:shd w:val="clear" w:color="auto" w:fill="auto"/>
            <w:vAlign w:val="center"/>
          </w:tcPr>
          <w:p w:rsidR="00C223F5" w:rsidRDefault="005860D5">
            <w:pPr>
              <w:widowControl/>
              <w:jc w:val="center"/>
              <w:rPr>
                <w:rFonts w:ascii="宋体" w:hAnsi="宋体" w:cs="宋体"/>
                <w:kern w:val="0"/>
                <w:szCs w:val="21"/>
              </w:rPr>
            </w:pPr>
            <w:r>
              <w:rPr>
                <w:rFonts w:ascii="宋体" w:hAnsi="宋体" w:cs="宋体" w:hint="eastAsia"/>
                <w:kern w:val="0"/>
                <w:szCs w:val="21"/>
              </w:rPr>
              <w:t>井田范围</w:t>
            </w:r>
          </w:p>
        </w:tc>
      </w:tr>
      <w:tr w:rsidR="00C223F5">
        <w:trPr>
          <w:trHeight w:val="270"/>
          <w:jc w:val="center"/>
        </w:trPr>
        <w:tc>
          <w:tcPr>
            <w:tcW w:w="1815" w:type="dxa"/>
            <w:vMerge/>
            <w:shd w:val="clear" w:color="auto" w:fill="auto"/>
            <w:vAlign w:val="center"/>
          </w:tcPr>
          <w:p w:rsidR="00C223F5" w:rsidRDefault="00C223F5">
            <w:pPr>
              <w:widowControl/>
              <w:jc w:val="center"/>
              <w:rPr>
                <w:rFonts w:ascii="宋体" w:hAnsi="宋体" w:cs="宋体"/>
                <w:kern w:val="0"/>
                <w:szCs w:val="21"/>
              </w:rPr>
            </w:pPr>
          </w:p>
        </w:tc>
        <w:tc>
          <w:tcPr>
            <w:tcW w:w="1800" w:type="dxa"/>
            <w:shd w:val="clear" w:color="auto" w:fill="auto"/>
            <w:vAlign w:val="center"/>
          </w:tcPr>
          <w:p w:rsidR="00C223F5" w:rsidRDefault="005860D5">
            <w:pPr>
              <w:jc w:val="center"/>
              <w:rPr>
                <w:rFonts w:ascii="宋体" w:hAnsi="宋体" w:cs="宋体"/>
                <w:szCs w:val="21"/>
              </w:rPr>
            </w:pPr>
            <w:r>
              <w:rPr>
                <w:rFonts w:hint="eastAsia"/>
                <w:szCs w:val="21"/>
              </w:rPr>
              <w:t>面积（</w:t>
            </w:r>
            <w:r>
              <w:rPr>
                <w:rFonts w:hint="eastAsia"/>
                <w:bCs/>
                <w:szCs w:val="21"/>
              </w:rPr>
              <w:t>km</w:t>
            </w:r>
            <w:r>
              <w:rPr>
                <w:rFonts w:hint="eastAsia"/>
                <w:bCs/>
                <w:szCs w:val="21"/>
                <w:vertAlign w:val="superscript"/>
              </w:rPr>
              <w:t>2</w:t>
            </w:r>
            <w:r>
              <w:rPr>
                <w:rFonts w:hint="eastAsia"/>
                <w:szCs w:val="21"/>
              </w:rPr>
              <w:t>）</w:t>
            </w:r>
          </w:p>
        </w:tc>
        <w:tc>
          <w:tcPr>
            <w:tcW w:w="1620" w:type="dxa"/>
            <w:shd w:val="clear" w:color="auto" w:fill="auto"/>
            <w:vAlign w:val="center"/>
          </w:tcPr>
          <w:p w:rsidR="00C223F5" w:rsidRDefault="005860D5">
            <w:pPr>
              <w:jc w:val="center"/>
              <w:rPr>
                <w:rFonts w:ascii="宋体" w:hAnsi="宋体" w:cs="宋体"/>
                <w:szCs w:val="21"/>
              </w:rPr>
            </w:pPr>
            <w:r>
              <w:rPr>
                <w:rFonts w:hint="eastAsia"/>
                <w:szCs w:val="21"/>
              </w:rPr>
              <w:t>百分比（</w:t>
            </w:r>
            <w:r>
              <w:rPr>
                <w:rFonts w:hint="eastAsia"/>
                <w:szCs w:val="21"/>
              </w:rPr>
              <w:t>%</w:t>
            </w:r>
            <w:r>
              <w:rPr>
                <w:rFonts w:hint="eastAsia"/>
                <w:szCs w:val="21"/>
              </w:rPr>
              <w:t>）</w:t>
            </w:r>
          </w:p>
        </w:tc>
        <w:tc>
          <w:tcPr>
            <w:tcW w:w="1800" w:type="dxa"/>
            <w:shd w:val="clear" w:color="auto" w:fill="auto"/>
            <w:vAlign w:val="center"/>
          </w:tcPr>
          <w:p w:rsidR="00C223F5" w:rsidRDefault="005860D5">
            <w:pPr>
              <w:jc w:val="center"/>
              <w:rPr>
                <w:rFonts w:ascii="宋体" w:hAnsi="宋体" w:cs="宋体"/>
                <w:szCs w:val="21"/>
              </w:rPr>
            </w:pPr>
            <w:r>
              <w:rPr>
                <w:rFonts w:hint="eastAsia"/>
                <w:szCs w:val="21"/>
              </w:rPr>
              <w:t>面积（</w:t>
            </w:r>
            <w:r>
              <w:rPr>
                <w:rFonts w:hint="eastAsia"/>
                <w:bCs/>
                <w:szCs w:val="21"/>
              </w:rPr>
              <w:t>km</w:t>
            </w:r>
            <w:r>
              <w:rPr>
                <w:rFonts w:hint="eastAsia"/>
                <w:bCs/>
                <w:szCs w:val="21"/>
                <w:vertAlign w:val="superscript"/>
              </w:rPr>
              <w:t>2</w:t>
            </w:r>
            <w:r>
              <w:rPr>
                <w:rFonts w:hint="eastAsia"/>
                <w:bCs/>
                <w:szCs w:val="21"/>
              </w:rPr>
              <w:t>）</w:t>
            </w:r>
          </w:p>
        </w:tc>
        <w:tc>
          <w:tcPr>
            <w:tcW w:w="1440" w:type="dxa"/>
            <w:shd w:val="clear" w:color="auto" w:fill="auto"/>
            <w:vAlign w:val="center"/>
          </w:tcPr>
          <w:p w:rsidR="00C223F5" w:rsidRDefault="005860D5">
            <w:pPr>
              <w:jc w:val="center"/>
              <w:rPr>
                <w:rFonts w:ascii="宋体" w:hAnsi="宋体" w:cs="宋体"/>
                <w:szCs w:val="21"/>
              </w:rPr>
            </w:pPr>
            <w:r>
              <w:rPr>
                <w:rFonts w:hint="eastAsia"/>
                <w:szCs w:val="21"/>
              </w:rPr>
              <w:t>百分比（</w:t>
            </w:r>
            <w:r>
              <w:rPr>
                <w:rFonts w:hint="eastAsia"/>
                <w:szCs w:val="21"/>
              </w:rPr>
              <w:t>%</w:t>
            </w:r>
            <w:r>
              <w:rPr>
                <w:rFonts w:hint="eastAsia"/>
                <w:szCs w:val="21"/>
              </w:rPr>
              <w:t>）</w:t>
            </w:r>
          </w:p>
        </w:tc>
      </w:tr>
      <w:tr w:rsidR="00C223F5">
        <w:trPr>
          <w:trHeight w:val="270"/>
          <w:jc w:val="center"/>
        </w:trPr>
        <w:tc>
          <w:tcPr>
            <w:tcW w:w="1815" w:type="dxa"/>
            <w:shd w:val="clear" w:color="auto" w:fill="auto"/>
            <w:vAlign w:val="center"/>
          </w:tcPr>
          <w:p w:rsidR="00C223F5" w:rsidRDefault="005860D5">
            <w:pPr>
              <w:jc w:val="center"/>
              <w:rPr>
                <w:rFonts w:ascii="宋体" w:hAnsi="宋体" w:cs="宋体"/>
                <w:szCs w:val="21"/>
              </w:rPr>
            </w:pPr>
            <w:r>
              <w:rPr>
                <w:rFonts w:ascii="宋体" w:hAnsi="宋体" w:cs="宋体" w:hint="eastAsia"/>
                <w:szCs w:val="21"/>
              </w:rPr>
              <w:t>黄土梁峁</w:t>
            </w:r>
          </w:p>
        </w:tc>
        <w:tc>
          <w:tcPr>
            <w:tcW w:w="1800" w:type="dxa"/>
            <w:shd w:val="clear" w:color="auto" w:fill="auto"/>
            <w:vAlign w:val="center"/>
          </w:tcPr>
          <w:p w:rsidR="00C223F5" w:rsidRDefault="005860D5">
            <w:pPr>
              <w:jc w:val="center"/>
              <w:rPr>
                <w:rFonts w:eastAsia="等线"/>
                <w:szCs w:val="21"/>
              </w:rPr>
            </w:pPr>
            <w:r>
              <w:rPr>
                <w:rFonts w:eastAsia="等线"/>
                <w:szCs w:val="21"/>
              </w:rPr>
              <w:t>35.92</w:t>
            </w:r>
          </w:p>
        </w:tc>
        <w:tc>
          <w:tcPr>
            <w:tcW w:w="1620" w:type="dxa"/>
            <w:shd w:val="clear" w:color="auto" w:fill="auto"/>
            <w:vAlign w:val="center"/>
          </w:tcPr>
          <w:p w:rsidR="00C223F5" w:rsidRDefault="005860D5">
            <w:pPr>
              <w:jc w:val="center"/>
              <w:rPr>
                <w:rFonts w:eastAsia="等线"/>
                <w:szCs w:val="21"/>
              </w:rPr>
            </w:pPr>
            <w:r>
              <w:rPr>
                <w:rFonts w:eastAsia="等线"/>
                <w:szCs w:val="21"/>
              </w:rPr>
              <w:t>40.94</w:t>
            </w:r>
          </w:p>
        </w:tc>
        <w:tc>
          <w:tcPr>
            <w:tcW w:w="1800" w:type="dxa"/>
            <w:shd w:val="clear" w:color="auto" w:fill="auto"/>
            <w:vAlign w:val="center"/>
          </w:tcPr>
          <w:p w:rsidR="00C223F5" w:rsidRDefault="005860D5">
            <w:pPr>
              <w:jc w:val="center"/>
              <w:rPr>
                <w:rFonts w:eastAsia="等线"/>
                <w:szCs w:val="21"/>
              </w:rPr>
            </w:pPr>
            <w:r>
              <w:rPr>
                <w:rFonts w:eastAsia="等线"/>
                <w:szCs w:val="21"/>
              </w:rPr>
              <w:t>27.37</w:t>
            </w:r>
          </w:p>
        </w:tc>
        <w:tc>
          <w:tcPr>
            <w:tcW w:w="1440" w:type="dxa"/>
            <w:shd w:val="clear" w:color="auto" w:fill="auto"/>
            <w:vAlign w:val="bottom"/>
          </w:tcPr>
          <w:p w:rsidR="00C223F5" w:rsidRDefault="005860D5">
            <w:pPr>
              <w:jc w:val="center"/>
              <w:rPr>
                <w:rFonts w:eastAsia="等线"/>
                <w:szCs w:val="21"/>
              </w:rPr>
            </w:pPr>
            <w:r>
              <w:rPr>
                <w:rFonts w:eastAsia="等线"/>
                <w:szCs w:val="21"/>
              </w:rPr>
              <w:t>40.78</w:t>
            </w:r>
          </w:p>
        </w:tc>
      </w:tr>
      <w:tr w:rsidR="00C223F5">
        <w:trPr>
          <w:trHeight w:val="270"/>
          <w:jc w:val="center"/>
        </w:trPr>
        <w:tc>
          <w:tcPr>
            <w:tcW w:w="1815" w:type="dxa"/>
            <w:shd w:val="clear" w:color="auto" w:fill="auto"/>
            <w:vAlign w:val="center"/>
          </w:tcPr>
          <w:p w:rsidR="00C223F5" w:rsidRDefault="005860D5">
            <w:pPr>
              <w:jc w:val="center"/>
              <w:rPr>
                <w:rFonts w:ascii="宋体" w:hAnsi="宋体" w:cs="宋体"/>
                <w:szCs w:val="21"/>
              </w:rPr>
            </w:pPr>
            <w:r>
              <w:rPr>
                <w:rFonts w:hint="eastAsia"/>
                <w:szCs w:val="21"/>
              </w:rPr>
              <w:t>黄土沟壑</w:t>
            </w:r>
          </w:p>
        </w:tc>
        <w:tc>
          <w:tcPr>
            <w:tcW w:w="1800" w:type="dxa"/>
            <w:shd w:val="clear" w:color="auto" w:fill="auto"/>
            <w:vAlign w:val="center"/>
          </w:tcPr>
          <w:p w:rsidR="00C223F5" w:rsidRDefault="005860D5">
            <w:pPr>
              <w:jc w:val="center"/>
              <w:rPr>
                <w:rFonts w:eastAsia="等线"/>
                <w:szCs w:val="21"/>
              </w:rPr>
            </w:pPr>
            <w:r>
              <w:rPr>
                <w:rFonts w:eastAsia="等线"/>
                <w:szCs w:val="21"/>
              </w:rPr>
              <w:t>45.5</w:t>
            </w:r>
            <w:r>
              <w:rPr>
                <w:rFonts w:eastAsia="等线" w:hint="eastAsia"/>
                <w:szCs w:val="21"/>
              </w:rPr>
              <w:t>6</w:t>
            </w:r>
          </w:p>
        </w:tc>
        <w:tc>
          <w:tcPr>
            <w:tcW w:w="1620" w:type="dxa"/>
            <w:shd w:val="clear" w:color="auto" w:fill="auto"/>
            <w:vAlign w:val="center"/>
          </w:tcPr>
          <w:p w:rsidR="00C223F5" w:rsidRDefault="005860D5">
            <w:pPr>
              <w:jc w:val="center"/>
              <w:rPr>
                <w:rFonts w:eastAsia="等线"/>
                <w:szCs w:val="21"/>
              </w:rPr>
            </w:pPr>
            <w:r>
              <w:rPr>
                <w:rFonts w:eastAsia="等线"/>
                <w:szCs w:val="21"/>
              </w:rPr>
              <w:t>51.95</w:t>
            </w:r>
          </w:p>
        </w:tc>
        <w:tc>
          <w:tcPr>
            <w:tcW w:w="1800" w:type="dxa"/>
            <w:shd w:val="clear" w:color="auto" w:fill="auto"/>
            <w:vAlign w:val="center"/>
          </w:tcPr>
          <w:p w:rsidR="00C223F5" w:rsidRDefault="005860D5">
            <w:pPr>
              <w:jc w:val="center"/>
              <w:rPr>
                <w:rFonts w:eastAsia="等线"/>
                <w:szCs w:val="21"/>
              </w:rPr>
            </w:pPr>
            <w:r>
              <w:rPr>
                <w:rFonts w:eastAsia="等线"/>
                <w:szCs w:val="21"/>
              </w:rPr>
              <w:t>34.8</w:t>
            </w:r>
            <w:r>
              <w:rPr>
                <w:rFonts w:eastAsia="等线" w:hint="eastAsia"/>
                <w:szCs w:val="21"/>
              </w:rPr>
              <w:t>1</w:t>
            </w:r>
          </w:p>
        </w:tc>
        <w:tc>
          <w:tcPr>
            <w:tcW w:w="1440" w:type="dxa"/>
            <w:shd w:val="clear" w:color="auto" w:fill="auto"/>
            <w:vAlign w:val="bottom"/>
          </w:tcPr>
          <w:p w:rsidR="00C223F5" w:rsidRDefault="005860D5">
            <w:pPr>
              <w:jc w:val="center"/>
              <w:rPr>
                <w:rFonts w:eastAsia="等线"/>
                <w:szCs w:val="21"/>
              </w:rPr>
            </w:pPr>
            <w:r>
              <w:rPr>
                <w:rFonts w:eastAsia="等线"/>
                <w:szCs w:val="21"/>
              </w:rPr>
              <w:t>51.87</w:t>
            </w:r>
          </w:p>
        </w:tc>
      </w:tr>
      <w:tr w:rsidR="00C223F5">
        <w:trPr>
          <w:trHeight w:val="270"/>
          <w:jc w:val="center"/>
        </w:trPr>
        <w:tc>
          <w:tcPr>
            <w:tcW w:w="1815" w:type="dxa"/>
            <w:shd w:val="clear" w:color="auto" w:fill="auto"/>
            <w:vAlign w:val="center"/>
          </w:tcPr>
          <w:p w:rsidR="00C223F5" w:rsidRDefault="005860D5">
            <w:pPr>
              <w:jc w:val="center"/>
              <w:rPr>
                <w:szCs w:val="21"/>
              </w:rPr>
            </w:pPr>
            <w:r>
              <w:rPr>
                <w:rFonts w:hint="eastAsia"/>
                <w:szCs w:val="21"/>
              </w:rPr>
              <w:t>河流阶地</w:t>
            </w:r>
          </w:p>
        </w:tc>
        <w:tc>
          <w:tcPr>
            <w:tcW w:w="1800" w:type="dxa"/>
            <w:shd w:val="clear" w:color="auto" w:fill="auto"/>
            <w:vAlign w:val="center"/>
          </w:tcPr>
          <w:p w:rsidR="00C223F5" w:rsidRDefault="005860D5">
            <w:pPr>
              <w:jc w:val="center"/>
              <w:rPr>
                <w:rFonts w:eastAsia="等线"/>
                <w:szCs w:val="21"/>
              </w:rPr>
            </w:pPr>
            <w:r>
              <w:rPr>
                <w:rFonts w:eastAsia="等线"/>
                <w:szCs w:val="21"/>
              </w:rPr>
              <w:t>3.85</w:t>
            </w:r>
          </w:p>
        </w:tc>
        <w:tc>
          <w:tcPr>
            <w:tcW w:w="1620" w:type="dxa"/>
            <w:shd w:val="clear" w:color="auto" w:fill="auto"/>
            <w:vAlign w:val="center"/>
          </w:tcPr>
          <w:p w:rsidR="00C223F5" w:rsidRDefault="005860D5">
            <w:pPr>
              <w:jc w:val="center"/>
              <w:rPr>
                <w:rFonts w:eastAsia="等线"/>
                <w:szCs w:val="21"/>
              </w:rPr>
            </w:pPr>
            <w:r>
              <w:rPr>
                <w:rFonts w:eastAsia="等线"/>
                <w:szCs w:val="21"/>
              </w:rPr>
              <w:t>4.39</w:t>
            </w:r>
          </w:p>
        </w:tc>
        <w:tc>
          <w:tcPr>
            <w:tcW w:w="1800" w:type="dxa"/>
            <w:shd w:val="clear" w:color="auto" w:fill="auto"/>
            <w:vAlign w:val="center"/>
          </w:tcPr>
          <w:p w:rsidR="00C223F5" w:rsidRDefault="005860D5">
            <w:pPr>
              <w:jc w:val="center"/>
              <w:rPr>
                <w:rFonts w:eastAsia="等线"/>
                <w:szCs w:val="21"/>
              </w:rPr>
            </w:pPr>
            <w:r>
              <w:rPr>
                <w:rFonts w:eastAsia="等线"/>
                <w:szCs w:val="21"/>
              </w:rPr>
              <w:t>3.08</w:t>
            </w:r>
          </w:p>
        </w:tc>
        <w:tc>
          <w:tcPr>
            <w:tcW w:w="1440" w:type="dxa"/>
            <w:shd w:val="clear" w:color="auto" w:fill="auto"/>
            <w:vAlign w:val="bottom"/>
          </w:tcPr>
          <w:p w:rsidR="00C223F5" w:rsidRDefault="005860D5">
            <w:pPr>
              <w:jc w:val="center"/>
              <w:rPr>
                <w:rFonts w:eastAsia="等线"/>
                <w:szCs w:val="21"/>
              </w:rPr>
            </w:pPr>
            <w:r>
              <w:rPr>
                <w:rFonts w:eastAsia="等线"/>
                <w:szCs w:val="21"/>
              </w:rPr>
              <w:t>4.59</w:t>
            </w:r>
          </w:p>
        </w:tc>
      </w:tr>
      <w:tr w:rsidR="00C223F5">
        <w:trPr>
          <w:trHeight w:val="270"/>
          <w:jc w:val="center"/>
        </w:trPr>
        <w:tc>
          <w:tcPr>
            <w:tcW w:w="1815" w:type="dxa"/>
            <w:shd w:val="clear" w:color="auto" w:fill="auto"/>
            <w:vAlign w:val="center"/>
          </w:tcPr>
          <w:p w:rsidR="00C223F5" w:rsidRDefault="005860D5">
            <w:pPr>
              <w:jc w:val="center"/>
              <w:rPr>
                <w:szCs w:val="21"/>
              </w:rPr>
            </w:pPr>
            <w:r>
              <w:rPr>
                <w:rFonts w:hint="eastAsia"/>
                <w:szCs w:val="21"/>
              </w:rPr>
              <w:t>建设用地</w:t>
            </w:r>
          </w:p>
        </w:tc>
        <w:tc>
          <w:tcPr>
            <w:tcW w:w="1800" w:type="dxa"/>
            <w:shd w:val="clear" w:color="auto" w:fill="auto"/>
            <w:vAlign w:val="center"/>
          </w:tcPr>
          <w:p w:rsidR="00C223F5" w:rsidRDefault="005860D5">
            <w:pPr>
              <w:jc w:val="center"/>
              <w:rPr>
                <w:rFonts w:eastAsia="等线"/>
                <w:szCs w:val="21"/>
              </w:rPr>
            </w:pPr>
            <w:r>
              <w:rPr>
                <w:rFonts w:eastAsia="等线"/>
                <w:szCs w:val="21"/>
              </w:rPr>
              <w:t>1.11</w:t>
            </w:r>
          </w:p>
        </w:tc>
        <w:tc>
          <w:tcPr>
            <w:tcW w:w="1620" w:type="dxa"/>
            <w:shd w:val="clear" w:color="auto" w:fill="auto"/>
            <w:vAlign w:val="center"/>
          </w:tcPr>
          <w:p w:rsidR="00C223F5" w:rsidRDefault="005860D5">
            <w:pPr>
              <w:jc w:val="center"/>
              <w:rPr>
                <w:rFonts w:eastAsia="等线"/>
                <w:szCs w:val="21"/>
              </w:rPr>
            </w:pPr>
            <w:r>
              <w:rPr>
                <w:rFonts w:eastAsia="等线"/>
                <w:szCs w:val="21"/>
              </w:rPr>
              <w:t>1.26</w:t>
            </w:r>
          </w:p>
        </w:tc>
        <w:tc>
          <w:tcPr>
            <w:tcW w:w="1800" w:type="dxa"/>
            <w:shd w:val="clear" w:color="auto" w:fill="auto"/>
            <w:vAlign w:val="center"/>
          </w:tcPr>
          <w:p w:rsidR="00C223F5" w:rsidRDefault="005860D5">
            <w:pPr>
              <w:jc w:val="center"/>
              <w:rPr>
                <w:rFonts w:eastAsia="等线"/>
                <w:szCs w:val="21"/>
              </w:rPr>
            </w:pPr>
            <w:r>
              <w:rPr>
                <w:rFonts w:eastAsia="等线"/>
                <w:szCs w:val="21"/>
              </w:rPr>
              <w:t>0.80</w:t>
            </w:r>
          </w:p>
        </w:tc>
        <w:tc>
          <w:tcPr>
            <w:tcW w:w="1440" w:type="dxa"/>
            <w:shd w:val="clear" w:color="auto" w:fill="auto"/>
            <w:vAlign w:val="bottom"/>
          </w:tcPr>
          <w:p w:rsidR="00C223F5" w:rsidRDefault="005860D5">
            <w:pPr>
              <w:jc w:val="center"/>
              <w:rPr>
                <w:rFonts w:eastAsia="等线"/>
                <w:szCs w:val="21"/>
              </w:rPr>
            </w:pPr>
            <w:r>
              <w:rPr>
                <w:rFonts w:eastAsia="等线"/>
                <w:szCs w:val="21"/>
              </w:rPr>
              <w:t>1.19</w:t>
            </w:r>
          </w:p>
        </w:tc>
      </w:tr>
      <w:tr w:rsidR="00C223F5">
        <w:trPr>
          <w:trHeight w:val="270"/>
          <w:jc w:val="center"/>
        </w:trPr>
        <w:tc>
          <w:tcPr>
            <w:tcW w:w="1815" w:type="dxa"/>
            <w:shd w:val="clear" w:color="auto" w:fill="auto"/>
            <w:vAlign w:val="center"/>
          </w:tcPr>
          <w:p w:rsidR="00C223F5" w:rsidRDefault="005860D5">
            <w:pPr>
              <w:jc w:val="center"/>
              <w:rPr>
                <w:szCs w:val="21"/>
              </w:rPr>
            </w:pPr>
            <w:r>
              <w:rPr>
                <w:rFonts w:hint="eastAsia"/>
                <w:szCs w:val="21"/>
              </w:rPr>
              <w:t>水体</w:t>
            </w:r>
          </w:p>
        </w:tc>
        <w:tc>
          <w:tcPr>
            <w:tcW w:w="1800" w:type="dxa"/>
            <w:shd w:val="clear" w:color="auto" w:fill="auto"/>
            <w:vAlign w:val="center"/>
          </w:tcPr>
          <w:p w:rsidR="00C223F5" w:rsidRDefault="005860D5">
            <w:pPr>
              <w:jc w:val="center"/>
              <w:rPr>
                <w:rFonts w:eastAsia="等线"/>
                <w:szCs w:val="21"/>
              </w:rPr>
            </w:pPr>
            <w:r>
              <w:rPr>
                <w:rFonts w:eastAsia="等线"/>
                <w:szCs w:val="21"/>
              </w:rPr>
              <w:t>1.28</w:t>
            </w:r>
          </w:p>
        </w:tc>
        <w:tc>
          <w:tcPr>
            <w:tcW w:w="1620" w:type="dxa"/>
            <w:shd w:val="clear" w:color="auto" w:fill="auto"/>
            <w:vAlign w:val="center"/>
          </w:tcPr>
          <w:p w:rsidR="00C223F5" w:rsidRDefault="005860D5">
            <w:pPr>
              <w:jc w:val="center"/>
              <w:rPr>
                <w:rFonts w:eastAsia="等线"/>
                <w:szCs w:val="21"/>
              </w:rPr>
            </w:pPr>
            <w:r>
              <w:rPr>
                <w:rFonts w:eastAsia="等线"/>
                <w:szCs w:val="21"/>
              </w:rPr>
              <w:t>1.46</w:t>
            </w:r>
          </w:p>
        </w:tc>
        <w:tc>
          <w:tcPr>
            <w:tcW w:w="1800" w:type="dxa"/>
            <w:shd w:val="clear" w:color="auto" w:fill="auto"/>
            <w:vAlign w:val="center"/>
          </w:tcPr>
          <w:p w:rsidR="00C223F5" w:rsidRDefault="005860D5">
            <w:pPr>
              <w:jc w:val="center"/>
              <w:rPr>
                <w:rFonts w:eastAsia="等线"/>
                <w:szCs w:val="21"/>
              </w:rPr>
            </w:pPr>
            <w:r>
              <w:rPr>
                <w:rFonts w:eastAsia="等线"/>
                <w:szCs w:val="21"/>
              </w:rPr>
              <w:t>1.06</w:t>
            </w:r>
          </w:p>
        </w:tc>
        <w:tc>
          <w:tcPr>
            <w:tcW w:w="1440" w:type="dxa"/>
            <w:shd w:val="clear" w:color="auto" w:fill="auto"/>
            <w:vAlign w:val="bottom"/>
          </w:tcPr>
          <w:p w:rsidR="00C223F5" w:rsidRDefault="005860D5">
            <w:pPr>
              <w:jc w:val="center"/>
              <w:rPr>
                <w:rFonts w:eastAsia="等线"/>
                <w:szCs w:val="21"/>
              </w:rPr>
            </w:pPr>
            <w:r>
              <w:rPr>
                <w:rFonts w:eastAsia="等线"/>
                <w:szCs w:val="21"/>
              </w:rPr>
              <w:t>1.57</w:t>
            </w:r>
          </w:p>
        </w:tc>
      </w:tr>
      <w:tr w:rsidR="00C223F5">
        <w:trPr>
          <w:trHeight w:val="270"/>
          <w:jc w:val="center"/>
        </w:trPr>
        <w:tc>
          <w:tcPr>
            <w:tcW w:w="1815" w:type="dxa"/>
            <w:shd w:val="clear" w:color="auto" w:fill="auto"/>
            <w:vAlign w:val="center"/>
          </w:tcPr>
          <w:p w:rsidR="00C223F5" w:rsidRDefault="005860D5">
            <w:pPr>
              <w:jc w:val="center"/>
              <w:rPr>
                <w:rFonts w:ascii="宋体" w:hAnsi="宋体" w:cs="宋体"/>
                <w:szCs w:val="21"/>
              </w:rPr>
            </w:pPr>
            <w:r>
              <w:rPr>
                <w:rFonts w:hint="eastAsia"/>
                <w:szCs w:val="21"/>
              </w:rPr>
              <w:t>总计</w:t>
            </w:r>
          </w:p>
        </w:tc>
        <w:tc>
          <w:tcPr>
            <w:tcW w:w="1800" w:type="dxa"/>
            <w:shd w:val="clear" w:color="auto" w:fill="auto"/>
            <w:vAlign w:val="center"/>
          </w:tcPr>
          <w:p w:rsidR="00C223F5" w:rsidRDefault="000F32AE">
            <w:pPr>
              <w:jc w:val="center"/>
              <w:rPr>
                <w:rFonts w:eastAsia="等线"/>
                <w:szCs w:val="21"/>
              </w:rPr>
            </w:pPr>
            <w:r>
              <w:rPr>
                <w:rFonts w:eastAsia="等线"/>
                <w:szCs w:val="21"/>
              </w:rPr>
              <w:fldChar w:fldCharType="begin"/>
            </w:r>
            <w:r w:rsidR="005860D5">
              <w:rPr>
                <w:rFonts w:eastAsia="等线"/>
                <w:szCs w:val="21"/>
              </w:rPr>
              <w:instrText xml:space="preserve"> =SUM(ABOVE) </w:instrText>
            </w:r>
            <w:r>
              <w:rPr>
                <w:rFonts w:eastAsia="等线"/>
                <w:szCs w:val="21"/>
              </w:rPr>
              <w:fldChar w:fldCharType="separate"/>
            </w:r>
            <w:r w:rsidR="005860D5">
              <w:rPr>
                <w:rFonts w:eastAsia="等线"/>
                <w:szCs w:val="21"/>
              </w:rPr>
              <w:t>87.72</w:t>
            </w:r>
            <w:r>
              <w:rPr>
                <w:rFonts w:eastAsia="等线"/>
                <w:szCs w:val="21"/>
              </w:rPr>
              <w:fldChar w:fldCharType="end"/>
            </w:r>
          </w:p>
        </w:tc>
        <w:tc>
          <w:tcPr>
            <w:tcW w:w="1620" w:type="dxa"/>
            <w:shd w:val="clear" w:color="auto" w:fill="auto"/>
            <w:vAlign w:val="center"/>
          </w:tcPr>
          <w:p w:rsidR="00C223F5" w:rsidRDefault="000F32AE">
            <w:pPr>
              <w:jc w:val="center"/>
              <w:rPr>
                <w:rFonts w:eastAsia="等线"/>
                <w:szCs w:val="21"/>
              </w:rPr>
            </w:pPr>
            <w:r>
              <w:rPr>
                <w:rFonts w:eastAsia="等线"/>
                <w:szCs w:val="21"/>
              </w:rPr>
              <w:fldChar w:fldCharType="begin"/>
            </w:r>
            <w:r w:rsidR="005860D5">
              <w:rPr>
                <w:rFonts w:eastAsia="等线"/>
                <w:szCs w:val="21"/>
              </w:rPr>
              <w:instrText xml:space="preserve"> =SUM(ABOVE) </w:instrText>
            </w:r>
            <w:r>
              <w:rPr>
                <w:rFonts w:eastAsia="等线"/>
                <w:szCs w:val="21"/>
              </w:rPr>
              <w:fldChar w:fldCharType="separate"/>
            </w:r>
            <w:r w:rsidR="005860D5">
              <w:rPr>
                <w:rFonts w:eastAsia="等线"/>
                <w:szCs w:val="21"/>
              </w:rPr>
              <w:t>100</w:t>
            </w:r>
            <w:r>
              <w:rPr>
                <w:rFonts w:eastAsia="等线"/>
                <w:szCs w:val="21"/>
              </w:rPr>
              <w:fldChar w:fldCharType="end"/>
            </w:r>
          </w:p>
        </w:tc>
        <w:tc>
          <w:tcPr>
            <w:tcW w:w="1800" w:type="dxa"/>
            <w:shd w:val="clear" w:color="auto" w:fill="auto"/>
            <w:vAlign w:val="center"/>
          </w:tcPr>
          <w:p w:rsidR="00C223F5" w:rsidRDefault="000F32AE">
            <w:pPr>
              <w:jc w:val="center"/>
              <w:rPr>
                <w:rFonts w:eastAsia="等线"/>
                <w:szCs w:val="21"/>
              </w:rPr>
            </w:pPr>
            <w:r>
              <w:rPr>
                <w:rFonts w:eastAsia="等线"/>
                <w:szCs w:val="21"/>
              </w:rPr>
              <w:fldChar w:fldCharType="begin"/>
            </w:r>
            <w:r w:rsidR="005860D5">
              <w:rPr>
                <w:rFonts w:eastAsia="等线"/>
                <w:szCs w:val="21"/>
              </w:rPr>
              <w:instrText xml:space="preserve"> =SUM(ABOVE) </w:instrText>
            </w:r>
            <w:r>
              <w:rPr>
                <w:rFonts w:eastAsia="等线"/>
                <w:szCs w:val="21"/>
              </w:rPr>
              <w:fldChar w:fldCharType="separate"/>
            </w:r>
            <w:r w:rsidR="005860D5">
              <w:rPr>
                <w:rFonts w:eastAsia="等线"/>
                <w:szCs w:val="21"/>
              </w:rPr>
              <w:t>67.12</w:t>
            </w:r>
            <w:r>
              <w:rPr>
                <w:rFonts w:eastAsia="等线"/>
                <w:szCs w:val="21"/>
              </w:rPr>
              <w:fldChar w:fldCharType="end"/>
            </w:r>
          </w:p>
        </w:tc>
        <w:tc>
          <w:tcPr>
            <w:tcW w:w="1440" w:type="dxa"/>
            <w:shd w:val="clear" w:color="auto" w:fill="auto"/>
            <w:vAlign w:val="bottom"/>
          </w:tcPr>
          <w:p w:rsidR="00C223F5" w:rsidRDefault="005860D5">
            <w:pPr>
              <w:jc w:val="center"/>
              <w:rPr>
                <w:rFonts w:eastAsia="等线"/>
                <w:szCs w:val="21"/>
              </w:rPr>
            </w:pPr>
            <w:r>
              <w:rPr>
                <w:rFonts w:eastAsia="等线" w:hint="eastAsia"/>
                <w:szCs w:val="21"/>
              </w:rPr>
              <w:t>100</w:t>
            </w:r>
          </w:p>
        </w:tc>
      </w:tr>
    </w:tbl>
    <w:p w:rsidR="00C223F5" w:rsidRDefault="005860D5">
      <w:pPr>
        <w:pStyle w:val="4"/>
        <w:spacing w:before="0" w:after="0" w:line="360" w:lineRule="auto"/>
        <w:ind w:firstLineChars="100" w:firstLine="240"/>
        <w:rPr>
          <w:szCs w:val="24"/>
        </w:rPr>
      </w:pPr>
      <w:r>
        <w:rPr>
          <w:rFonts w:hint="eastAsia"/>
          <w:szCs w:val="24"/>
        </w:rPr>
        <w:t>3.1.4.3</w:t>
      </w:r>
      <w:r>
        <w:rPr>
          <w:szCs w:val="24"/>
        </w:rPr>
        <w:t>植物、动物现状调查与评价</w:t>
      </w:r>
    </w:p>
    <w:p w:rsidR="00C223F5" w:rsidRDefault="005860D5" w:rsidP="00C006A7">
      <w:pPr>
        <w:pStyle w:val="hp"/>
        <w:ind w:firstLine="482"/>
        <w:rPr>
          <w:b/>
          <w:bCs/>
        </w:rPr>
      </w:pPr>
      <w:bookmarkStart w:id="278" w:name="_Toc317252652"/>
      <w:r>
        <w:rPr>
          <w:rFonts w:hint="eastAsia"/>
          <w:b/>
          <w:bCs/>
        </w:rPr>
        <w:t>（一）植物资源</w:t>
      </w:r>
      <w:bookmarkEnd w:id="278"/>
    </w:p>
    <w:p w:rsidR="00C223F5" w:rsidRDefault="005860D5" w:rsidP="00C006A7">
      <w:pPr>
        <w:pStyle w:val="hp"/>
        <w:ind w:firstLine="482"/>
        <w:rPr>
          <w:b/>
        </w:rPr>
      </w:pPr>
      <w:r>
        <w:rPr>
          <w:rFonts w:hint="eastAsia"/>
          <w:b/>
        </w:rPr>
        <w:t>①</w:t>
      </w:r>
      <w:r>
        <w:rPr>
          <w:b/>
        </w:rPr>
        <w:t>区系地理成分</w:t>
      </w:r>
    </w:p>
    <w:p w:rsidR="00C223F5" w:rsidRDefault="005860D5" w:rsidP="002D1BB7">
      <w:pPr>
        <w:spacing w:line="360" w:lineRule="auto"/>
        <w:ind w:firstLine="540"/>
        <w:rPr>
          <w:sz w:val="24"/>
        </w:rPr>
      </w:pPr>
      <w:r>
        <w:rPr>
          <w:sz w:val="24"/>
        </w:rPr>
        <w:t>在植物区系划分上，评价区植物属欧亚草原区黄土高原草原植物省。评价区处于黄土高原草原植物省的南部，植物区系组成具有明显的过渡特征。本区植物区系（指野生种类）的特点是以东亚区系成分为主，如白羊草、胡枝子、白莲蒿、委陵菜、虎榛子等；亚洲中部区系成分也占有一定的比例，如隐子草、本氏针茅等；达乌里</w:t>
      </w:r>
      <w:r>
        <w:rPr>
          <w:sz w:val="24"/>
        </w:rPr>
        <w:t>—</w:t>
      </w:r>
      <w:r>
        <w:rPr>
          <w:sz w:val="24"/>
        </w:rPr>
        <w:t>蒙古区系也占有一定的数量，如羊草、棘豆等。其中虎榛子、胡枝子等在评价区的低山丘陵可形成灌丛。根据实地调查与资料记载，评价区内主要植物种类包括</w:t>
      </w:r>
      <w:r>
        <w:rPr>
          <w:sz w:val="24"/>
        </w:rPr>
        <w:t>60</w:t>
      </w:r>
      <w:r>
        <w:rPr>
          <w:sz w:val="24"/>
        </w:rPr>
        <w:t>科</w:t>
      </w:r>
      <w:r>
        <w:rPr>
          <w:sz w:val="24"/>
        </w:rPr>
        <w:t>227</w:t>
      </w:r>
      <w:r>
        <w:rPr>
          <w:sz w:val="24"/>
        </w:rPr>
        <w:t>种，禾本科、菊科、豆科、藜科、蔷薇科、毛茛科植物为评价区植物种类的主体，分别含</w:t>
      </w:r>
      <w:r>
        <w:rPr>
          <w:sz w:val="24"/>
        </w:rPr>
        <w:t>43</w:t>
      </w:r>
      <w:r>
        <w:rPr>
          <w:sz w:val="24"/>
        </w:rPr>
        <w:t>、</w:t>
      </w:r>
      <w:r>
        <w:rPr>
          <w:sz w:val="24"/>
        </w:rPr>
        <w:t>36</w:t>
      </w:r>
      <w:r>
        <w:rPr>
          <w:sz w:val="24"/>
        </w:rPr>
        <w:t>、</w:t>
      </w:r>
      <w:r>
        <w:rPr>
          <w:sz w:val="24"/>
        </w:rPr>
        <w:t>24</w:t>
      </w:r>
      <w:r>
        <w:rPr>
          <w:sz w:val="24"/>
        </w:rPr>
        <w:t>、</w:t>
      </w:r>
      <w:r>
        <w:rPr>
          <w:sz w:val="24"/>
        </w:rPr>
        <w:t>10</w:t>
      </w:r>
      <w:r>
        <w:rPr>
          <w:sz w:val="24"/>
        </w:rPr>
        <w:t>、</w:t>
      </w:r>
      <w:r>
        <w:rPr>
          <w:sz w:val="24"/>
        </w:rPr>
        <w:t>8</w:t>
      </w:r>
      <w:r>
        <w:rPr>
          <w:sz w:val="24"/>
        </w:rPr>
        <w:t>、</w:t>
      </w:r>
      <w:r>
        <w:rPr>
          <w:sz w:val="24"/>
        </w:rPr>
        <w:t>7</w:t>
      </w:r>
      <w:r>
        <w:rPr>
          <w:sz w:val="24"/>
        </w:rPr>
        <w:t>种，其余各科均仅含少数物种，甚至仅有</w:t>
      </w:r>
      <w:r>
        <w:rPr>
          <w:sz w:val="24"/>
        </w:rPr>
        <w:t>1</w:t>
      </w:r>
      <w:r>
        <w:rPr>
          <w:sz w:val="24"/>
        </w:rPr>
        <w:t>种。其物种数约占整个评价区植物种类的二分之一，而科数占整个评价区植物科数的十分之一，表明评价区植物类群分布具有一定的典型性。</w:t>
      </w:r>
    </w:p>
    <w:p w:rsidR="00C223F5" w:rsidRDefault="005860D5" w:rsidP="002D1BB7">
      <w:pPr>
        <w:spacing w:line="360" w:lineRule="auto"/>
        <w:ind w:firstLine="540"/>
        <w:rPr>
          <w:sz w:val="24"/>
        </w:rPr>
      </w:pPr>
      <w:r>
        <w:rPr>
          <w:sz w:val="24"/>
        </w:rPr>
        <w:t>从主要物种水分生态类型来看，由于处于森林草原过渡区，建群植物和优势植物中既有旱生类型（沙柳、长芒草、柠条），也有部分旱中生类型（白羊草、扫帚艾）。而大部分旱中生、中生类型主要作为群落的伴生种，或者构成村落附近的杂草群落，如大针茅、早熟禾、小藜、阿尔泰紫菀、山苦卖等。而自然植被建群种和优势种多由典型的旱生和旱中生植物组成。</w:t>
      </w:r>
    </w:p>
    <w:p w:rsidR="00C223F5" w:rsidRDefault="005860D5" w:rsidP="002D1BB7">
      <w:pPr>
        <w:pStyle w:val="hp"/>
        <w:ind w:firstLine="480"/>
      </w:pPr>
      <w:r>
        <w:t>从评价区主要植物的生活型看，多年生草本（地面芽植物）和一、二年生草本植物占绝对优势，而灌木（小高位芽植物）、乔木（大高位芽植物）、半灌木（地上芽植物）、寄生植物和藤本植物等</w:t>
      </w:r>
      <w:r>
        <w:rPr>
          <w:rFonts w:hint="eastAsia"/>
        </w:rPr>
        <w:t>较少</w:t>
      </w:r>
      <w:r>
        <w:t>。</w:t>
      </w:r>
    </w:p>
    <w:p w:rsidR="00C223F5" w:rsidRDefault="005860D5" w:rsidP="00C006A7">
      <w:pPr>
        <w:pStyle w:val="hp"/>
        <w:ind w:firstLine="482"/>
        <w:rPr>
          <w:b/>
        </w:rPr>
      </w:pPr>
      <w:r>
        <w:rPr>
          <w:rFonts w:hint="eastAsia"/>
          <w:b/>
        </w:rPr>
        <w:t>②</w:t>
      </w:r>
      <w:r>
        <w:rPr>
          <w:b/>
        </w:rPr>
        <w:t>植物资源</w:t>
      </w:r>
    </w:p>
    <w:p w:rsidR="00C223F5" w:rsidRDefault="005860D5" w:rsidP="002D1BB7">
      <w:pPr>
        <w:pStyle w:val="hp"/>
        <w:ind w:firstLine="480"/>
      </w:pPr>
      <w:r>
        <w:t>在这</w:t>
      </w:r>
      <w:r>
        <w:rPr>
          <w:rFonts w:hint="eastAsia"/>
        </w:rPr>
        <w:t>227</w:t>
      </w:r>
      <w:r>
        <w:t>种植物中，许多种类具有重要的价值，如食用（指对人类）、药用、</w:t>
      </w:r>
      <w:r>
        <w:lastRenderedPageBreak/>
        <w:t>饲用（指对家畜）、防风固沙、水土保持以及其它用途等。</w:t>
      </w:r>
    </w:p>
    <w:p w:rsidR="00C223F5" w:rsidRDefault="005860D5" w:rsidP="002D1BB7">
      <w:pPr>
        <w:pStyle w:val="hp"/>
        <w:ind w:firstLine="480"/>
      </w:pPr>
      <w:r>
        <w:t>A.</w:t>
      </w:r>
      <w:r>
        <w:t>乔木：评价区内的乔木如侧柏、旱柳、小叶杨、河北杨等多栽培于农田或村落附近作为防护林。</w:t>
      </w:r>
    </w:p>
    <w:p w:rsidR="00C223F5" w:rsidRDefault="005860D5" w:rsidP="002D1BB7">
      <w:pPr>
        <w:pStyle w:val="hp"/>
        <w:ind w:firstLine="480"/>
      </w:pPr>
      <w:r>
        <w:t>B.</w:t>
      </w:r>
      <w:r>
        <w:t>灌木：主要有柠条、沙柳等，作为群落优势种，构成评价区植被的主体。</w:t>
      </w:r>
    </w:p>
    <w:p w:rsidR="00C223F5" w:rsidRDefault="005860D5" w:rsidP="002D1BB7">
      <w:pPr>
        <w:pStyle w:val="hp"/>
        <w:ind w:firstLine="480"/>
      </w:pPr>
      <w:r>
        <w:t xml:space="preserve">C. </w:t>
      </w:r>
      <w:r>
        <w:t>草本植物：多为菊科、禾本科和豆科和藜科植物，如扫帚艾、白草、赖草、长芒草等。藤本植物和寄生植物均仅</w:t>
      </w:r>
      <w:r>
        <w:t>3</w:t>
      </w:r>
      <w:r>
        <w:t>种，个体数量也很少。</w:t>
      </w:r>
    </w:p>
    <w:p w:rsidR="00C223F5" w:rsidRDefault="005860D5" w:rsidP="002D1BB7">
      <w:pPr>
        <w:pStyle w:val="hp"/>
        <w:ind w:firstLine="480"/>
      </w:pPr>
      <w:r>
        <w:t>D.</w:t>
      </w:r>
      <w:r>
        <w:t>农作物：有玉米、向日葵、马铃薯、大豆和西瓜等。</w:t>
      </w:r>
    </w:p>
    <w:p w:rsidR="00C223F5" w:rsidRDefault="005860D5" w:rsidP="002D1BB7">
      <w:pPr>
        <w:pStyle w:val="hp"/>
        <w:ind w:firstLine="480"/>
      </w:pPr>
      <w:r>
        <w:t>E.</w:t>
      </w:r>
      <w:r>
        <w:t>药用植物：可资利用的野生资源植物有药用植物，如益母草、蒲公英、茵陈蒿、远志、黄花列当等；</w:t>
      </w:r>
    </w:p>
    <w:p w:rsidR="00C223F5" w:rsidRDefault="005860D5" w:rsidP="002D1BB7">
      <w:pPr>
        <w:pStyle w:val="hp"/>
        <w:ind w:firstLine="480"/>
      </w:pPr>
      <w:r>
        <w:t>F.</w:t>
      </w:r>
      <w:r>
        <w:t>食用植物：包括多根葱、藜属多种、草木樨、沙芥、反枝苋等；</w:t>
      </w:r>
    </w:p>
    <w:p w:rsidR="00C223F5" w:rsidRDefault="005860D5" w:rsidP="002D1BB7">
      <w:pPr>
        <w:pStyle w:val="hp"/>
        <w:ind w:firstLine="480"/>
      </w:pPr>
      <w:r>
        <w:t>G.</w:t>
      </w:r>
      <w:r>
        <w:t>优良牧草：区内饲用植物资源丰富，主要有藜科植物、禾本科植物、豆科植物等。</w:t>
      </w:r>
    </w:p>
    <w:p w:rsidR="00C223F5" w:rsidRDefault="005860D5" w:rsidP="002D1BB7">
      <w:pPr>
        <w:pStyle w:val="hp"/>
        <w:ind w:firstLine="482"/>
        <w:rPr>
          <w:b/>
          <w:bCs/>
        </w:rPr>
      </w:pPr>
      <w:r>
        <w:rPr>
          <w:rFonts w:hint="eastAsia"/>
          <w:b/>
          <w:bCs/>
        </w:rPr>
        <w:t>（二）评价区</w:t>
      </w:r>
      <w:r>
        <w:rPr>
          <w:b/>
          <w:bCs/>
        </w:rPr>
        <w:t>植物类型</w:t>
      </w:r>
      <w:r>
        <w:rPr>
          <w:rFonts w:hint="eastAsia"/>
          <w:b/>
          <w:bCs/>
        </w:rPr>
        <w:t>分布</w:t>
      </w:r>
    </w:p>
    <w:p w:rsidR="00C223F5" w:rsidRDefault="005860D5" w:rsidP="002D1BB7">
      <w:pPr>
        <w:pStyle w:val="hp"/>
        <w:ind w:firstLine="456"/>
      </w:pPr>
      <w:r>
        <w:rPr>
          <w:rFonts w:hint="eastAsia"/>
          <w:spacing w:val="-6"/>
        </w:rPr>
        <w:t>评价区植被类型主要有农业植被、乔木林、灌丛、草丛、植被稀少地带。农业植被主要包括谷、糜、洋芋、红薯、小麦、高粱、大豆、玉米等；乔木林分布较少，主要包括榆、柳、小叶杨、青杨、山杏、桑、杜梨、槐等一些落叶阔叶果树；灌丛主要包括黄蔷薇、柠条、黄刺玫、沙棘、酸枣、杠柳、狼牙刺等。植被类型及遥感影像特征见表</w:t>
      </w:r>
      <w:r>
        <w:rPr>
          <w:rFonts w:hint="eastAsia"/>
          <w:spacing w:val="-6"/>
        </w:rPr>
        <w:t>3.1.4-</w:t>
      </w:r>
      <w:r>
        <w:rPr>
          <w:spacing w:val="-6"/>
        </w:rPr>
        <w:t>3</w:t>
      </w:r>
      <w:r>
        <w:rPr>
          <w:rFonts w:hint="eastAsia"/>
        </w:rPr>
        <w:t>，分布面积统计见表</w:t>
      </w:r>
      <w:r>
        <w:rPr>
          <w:rFonts w:hint="eastAsia"/>
        </w:rPr>
        <w:t>3.1.4-</w:t>
      </w:r>
      <w:r>
        <w:t>4</w:t>
      </w:r>
      <w:r>
        <w:rPr>
          <w:rFonts w:hint="eastAsia"/>
        </w:rPr>
        <w:t>及图</w:t>
      </w:r>
      <w:r>
        <w:rPr>
          <w:rFonts w:hint="eastAsia"/>
        </w:rPr>
        <w:t>3.1.4-3</w:t>
      </w:r>
      <w:r>
        <w:t>。</w:t>
      </w:r>
    </w:p>
    <w:p w:rsidR="00C223F5" w:rsidRDefault="005860D5" w:rsidP="002D1BB7">
      <w:pPr>
        <w:jc w:val="center"/>
        <w:rPr>
          <w:rFonts w:eastAsiaTheme="minorEastAsia" w:hAnsiTheme="minorEastAsia"/>
          <w:b/>
          <w:bCs/>
          <w:sz w:val="24"/>
        </w:rPr>
      </w:pPr>
      <w:r>
        <w:rPr>
          <w:rFonts w:eastAsiaTheme="minorEastAsia" w:hAnsiTheme="minorEastAsia"/>
          <w:b/>
          <w:bCs/>
          <w:sz w:val="24"/>
        </w:rPr>
        <w:t>表</w:t>
      </w:r>
      <w:r>
        <w:rPr>
          <w:rFonts w:eastAsiaTheme="minorEastAsia"/>
          <w:b/>
          <w:bCs/>
          <w:sz w:val="24"/>
        </w:rPr>
        <w:t xml:space="preserve">3.1.4-3   </w:t>
      </w:r>
      <w:r>
        <w:rPr>
          <w:rFonts w:eastAsiaTheme="minorEastAsia" w:hAnsiTheme="minorEastAsia"/>
          <w:b/>
          <w:bCs/>
          <w:sz w:val="24"/>
        </w:rPr>
        <w:t>植被类型及遥感影像特征</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860"/>
        <w:gridCol w:w="2085"/>
      </w:tblGrid>
      <w:tr w:rsidR="00C223F5">
        <w:trPr>
          <w:cantSplit/>
        </w:trPr>
        <w:tc>
          <w:tcPr>
            <w:tcW w:w="1560" w:type="dxa"/>
            <w:vAlign w:val="center"/>
          </w:tcPr>
          <w:p w:rsidR="00C223F5" w:rsidRDefault="005860D5" w:rsidP="002D1BB7">
            <w:pPr>
              <w:jc w:val="center"/>
            </w:pPr>
            <w:r>
              <w:rPr>
                <w:rFonts w:hint="eastAsia"/>
              </w:rPr>
              <w:t>植被类型</w:t>
            </w:r>
          </w:p>
        </w:tc>
        <w:tc>
          <w:tcPr>
            <w:tcW w:w="4860" w:type="dxa"/>
            <w:vAlign w:val="center"/>
          </w:tcPr>
          <w:p w:rsidR="00C223F5" w:rsidRDefault="005860D5" w:rsidP="002D1BB7">
            <w:pPr>
              <w:jc w:val="center"/>
            </w:pPr>
            <w:r>
              <w:rPr>
                <w:rFonts w:hint="eastAsia"/>
              </w:rPr>
              <w:t>遥感影像特征</w:t>
            </w:r>
          </w:p>
        </w:tc>
        <w:tc>
          <w:tcPr>
            <w:tcW w:w="2085" w:type="dxa"/>
            <w:vAlign w:val="center"/>
          </w:tcPr>
          <w:p w:rsidR="00C223F5" w:rsidRDefault="005860D5" w:rsidP="002D1BB7">
            <w:pPr>
              <w:jc w:val="center"/>
            </w:pPr>
            <w:r>
              <w:rPr>
                <w:rFonts w:hint="eastAsia"/>
              </w:rPr>
              <w:t>典型遥感影像</w:t>
            </w:r>
          </w:p>
        </w:tc>
      </w:tr>
      <w:tr w:rsidR="00C223F5">
        <w:trPr>
          <w:cantSplit/>
          <w:trHeight w:val="958"/>
        </w:trPr>
        <w:tc>
          <w:tcPr>
            <w:tcW w:w="1560" w:type="dxa"/>
            <w:vAlign w:val="center"/>
          </w:tcPr>
          <w:p w:rsidR="00C223F5" w:rsidRDefault="005860D5" w:rsidP="002D1BB7">
            <w:pPr>
              <w:jc w:val="center"/>
            </w:pPr>
            <w:r>
              <w:rPr>
                <w:rFonts w:hint="eastAsia"/>
              </w:rPr>
              <w:t>农业植被</w:t>
            </w:r>
          </w:p>
        </w:tc>
        <w:tc>
          <w:tcPr>
            <w:tcW w:w="4860" w:type="dxa"/>
            <w:vAlign w:val="center"/>
          </w:tcPr>
          <w:p w:rsidR="00C223F5" w:rsidRDefault="005860D5" w:rsidP="002D1BB7">
            <w:r>
              <w:rPr>
                <w:rFonts w:hint="eastAsia"/>
              </w:rPr>
              <w:t>呈绿色色彩，具网格状影纹，规则块状分布，表面平坦，解译标志明显。</w:t>
            </w:r>
          </w:p>
        </w:tc>
        <w:tc>
          <w:tcPr>
            <w:tcW w:w="2085" w:type="dxa"/>
            <w:vAlign w:val="center"/>
          </w:tcPr>
          <w:p w:rsidR="00C223F5" w:rsidRDefault="005860D5" w:rsidP="002D1BB7">
            <w:pPr>
              <w:jc w:val="center"/>
            </w:pPr>
            <w:r>
              <w:rPr>
                <w:rFonts w:ascii="宋体" w:hAnsi="宋体" w:cs="宋体"/>
                <w:noProof/>
                <w:kern w:val="0"/>
                <w:sz w:val="24"/>
              </w:rPr>
              <w:drawing>
                <wp:inline distT="0" distB="0" distL="0" distR="0">
                  <wp:extent cx="962025" cy="564515"/>
                  <wp:effectExtent l="19050" t="0" r="9525" b="0"/>
                  <wp:docPr id="11" name="图片 100" descr="6UER355%}AQ`7S6$9OF3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0" descr="6UER355%}AQ`7S6$9OF3CA1"/>
                          <pic:cNvPicPr>
                            <a:picLocks noChangeAspect="1" noChangeArrowheads="1"/>
                          </pic:cNvPicPr>
                        </pic:nvPicPr>
                        <pic:blipFill>
                          <a:blip r:embed="rId29" cstate="print"/>
                          <a:srcRect/>
                          <a:stretch>
                            <a:fillRect/>
                          </a:stretch>
                        </pic:blipFill>
                        <pic:spPr>
                          <a:xfrm>
                            <a:off x="0" y="0"/>
                            <a:ext cx="962025" cy="564515"/>
                          </a:xfrm>
                          <a:prstGeom prst="rect">
                            <a:avLst/>
                          </a:prstGeom>
                          <a:noFill/>
                          <a:ln w="9525">
                            <a:noFill/>
                            <a:miter lim="800000"/>
                            <a:headEnd/>
                            <a:tailEnd/>
                          </a:ln>
                        </pic:spPr>
                      </pic:pic>
                    </a:graphicData>
                  </a:graphic>
                </wp:inline>
              </w:drawing>
            </w:r>
          </w:p>
        </w:tc>
      </w:tr>
      <w:tr w:rsidR="00C223F5">
        <w:trPr>
          <w:cantSplit/>
          <w:trHeight w:val="985"/>
        </w:trPr>
        <w:tc>
          <w:tcPr>
            <w:tcW w:w="1560" w:type="dxa"/>
            <w:vAlign w:val="center"/>
          </w:tcPr>
          <w:p w:rsidR="00C223F5" w:rsidRDefault="005860D5" w:rsidP="002D1BB7">
            <w:pPr>
              <w:jc w:val="center"/>
            </w:pPr>
            <w:r>
              <w:rPr>
                <w:rFonts w:hint="eastAsia"/>
              </w:rPr>
              <w:t>乔木林</w:t>
            </w:r>
          </w:p>
        </w:tc>
        <w:tc>
          <w:tcPr>
            <w:tcW w:w="4860" w:type="dxa"/>
            <w:vAlign w:val="center"/>
          </w:tcPr>
          <w:p w:rsidR="00C223F5" w:rsidRDefault="005860D5" w:rsidP="002D1BB7">
            <w:r>
              <w:rPr>
                <w:rFonts w:hint="eastAsia"/>
              </w:rPr>
              <w:t>呈深绿色色彩，具白色斑点状影纹，不规则块状分布，解译标志明显。</w:t>
            </w:r>
          </w:p>
        </w:tc>
        <w:tc>
          <w:tcPr>
            <w:tcW w:w="2085" w:type="dxa"/>
            <w:vAlign w:val="center"/>
          </w:tcPr>
          <w:p w:rsidR="00C223F5" w:rsidRDefault="005860D5" w:rsidP="002D1BB7">
            <w:pPr>
              <w:widowControl/>
              <w:jc w:val="center"/>
              <w:rPr>
                <w:rFonts w:ascii="宋体" w:hAnsi="宋体" w:cs="宋体"/>
                <w:kern w:val="0"/>
                <w:sz w:val="24"/>
              </w:rPr>
            </w:pPr>
            <w:r>
              <w:rPr>
                <w:rFonts w:ascii="宋体" w:hAnsi="宋体" w:cs="宋体"/>
                <w:noProof/>
                <w:kern w:val="0"/>
                <w:sz w:val="24"/>
              </w:rPr>
              <w:drawing>
                <wp:inline distT="0" distB="0" distL="0" distR="0">
                  <wp:extent cx="946150" cy="572770"/>
                  <wp:effectExtent l="19050" t="0" r="6350" b="0"/>
                  <wp:docPr id="101" name="图片 101" descr="%2@4G}5V$RXUMTI(}%B}}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2@4G}5V$RXUMTI(}%B}}V3"/>
                          <pic:cNvPicPr>
                            <a:picLocks noChangeAspect="1" noChangeArrowheads="1"/>
                          </pic:cNvPicPr>
                        </pic:nvPicPr>
                        <pic:blipFill>
                          <a:blip r:embed="rId30" cstate="print"/>
                          <a:srcRect/>
                          <a:stretch>
                            <a:fillRect/>
                          </a:stretch>
                        </pic:blipFill>
                        <pic:spPr>
                          <a:xfrm>
                            <a:off x="0" y="0"/>
                            <a:ext cx="946150" cy="572770"/>
                          </a:xfrm>
                          <a:prstGeom prst="rect">
                            <a:avLst/>
                          </a:prstGeom>
                          <a:noFill/>
                          <a:ln w="9525">
                            <a:noFill/>
                            <a:miter lim="800000"/>
                            <a:headEnd/>
                            <a:tailEnd/>
                          </a:ln>
                        </pic:spPr>
                      </pic:pic>
                    </a:graphicData>
                  </a:graphic>
                </wp:inline>
              </w:drawing>
            </w:r>
          </w:p>
        </w:tc>
      </w:tr>
      <w:tr w:rsidR="00C223F5">
        <w:trPr>
          <w:cantSplit/>
          <w:trHeight w:val="985"/>
        </w:trPr>
        <w:tc>
          <w:tcPr>
            <w:tcW w:w="1560" w:type="dxa"/>
            <w:vAlign w:val="center"/>
          </w:tcPr>
          <w:p w:rsidR="00C223F5" w:rsidRDefault="005860D5" w:rsidP="002D1BB7">
            <w:pPr>
              <w:jc w:val="center"/>
            </w:pPr>
            <w:r>
              <w:rPr>
                <w:rFonts w:hint="eastAsia"/>
              </w:rPr>
              <w:t>灌丛</w:t>
            </w:r>
          </w:p>
        </w:tc>
        <w:tc>
          <w:tcPr>
            <w:tcW w:w="4860" w:type="dxa"/>
            <w:vAlign w:val="center"/>
          </w:tcPr>
          <w:p w:rsidR="00C223F5" w:rsidRDefault="005860D5" w:rsidP="002D1BB7">
            <w:r>
              <w:rPr>
                <w:rFonts w:hint="eastAsia"/>
              </w:rPr>
              <w:t>呈暗棕色，具绿色斑点状影纹，片状分布，解译标志明显。</w:t>
            </w:r>
          </w:p>
        </w:tc>
        <w:tc>
          <w:tcPr>
            <w:tcW w:w="2085" w:type="dxa"/>
            <w:vAlign w:val="center"/>
          </w:tcPr>
          <w:p w:rsidR="00C223F5" w:rsidRDefault="005860D5" w:rsidP="002D1BB7">
            <w:pPr>
              <w:jc w:val="center"/>
            </w:pPr>
            <w:r>
              <w:rPr>
                <w:rFonts w:ascii="宋体" w:hAnsi="宋体" w:cs="宋体"/>
                <w:noProof/>
                <w:kern w:val="0"/>
                <w:sz w:val="24"/>
              </w:rPr>
              <w:drawing>
                <wp:inline distT="0" distB="0" distL="0" distR="0">
                  <wp:extent cx="954405" cy="588645"/>
                  <wp:effectExtent l="19050" t="0" r="0" b="0"/>
                  <wp:docPr id="102" name="图片 102" descr="I)7B1P)2Z8ZV_1G[`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7B1P)2Z8ZV_1G[`S{S_]1"/>
                          <pic:cNvPicPr>
                            <a:picLocks noChangeAspect="1" noChangeArrowheads="1"/>
                          </pic:cNvPicPr>
                        </pic:nvPicPr>
                        <pic:blipFill>
                          <a:blip r:embed="rId31" cstate="print"/>
                          <a:srcRect/>
                          <a:stretch>
                            <a:fillRect/>
                          </a:stretch>
                        </pic:blipFill>
                        <pic:spPr>
                          <a:xfrm>
                            <a:off x="0" y="0"/>
                            <a:ext cx="954405" cy="588645"/>
                          </a:xfrm>
                          <a:prstGeom prst="rect">
                            <a:avLst/>
                          </a:prstGeom>
                          <a:noFill/>
                          <a:ln w="9525">
                            <a:noFill/>
                            <a:miter lim="800000"/>
                            <a:headEnd/>
                            <a:tailEnd/>
                          </a:ln>
                        </pic:spPr>
                      </pic:pic>
                    </a:graphicData>
                  </a:graphic>
                </wp:inline>
              </w:drawing>
            </w:r>
          </w:p>
        </w:tc>
      </w:tr>
      <w:tr w:rsidR="00C223F5">
        <w:trPr>
          <w:cantSplit/>
          <w:trHeight w:val="986"/>
        </w:trPr>
        <w:tc>
          <w:tcPr>
            <w:tcW w:w="1560" w:type="dxa"/>
            <w:vAlign w:val="center"/>
          </w:tcPr>
          <w:p w:rsidR="00C223F5" w:rsidRDefault="005860D5" w:rsidP="002D1BB7">
            <w:pPr>
              <w:jc w:val="center"/>
            </w:pPr>
            <w:r>
              <w:rPr>
                <w:rFonts w:hint="eastAsia"/>
              </w:rPr>
              <w:t>草丛</w:t>
            </w:r>
          </w:p>
        </w:tc>
        <w:tc>
          <w:tcPr>
            <w:tcW w:w="4860" w:type="dxa"/>
            <w:vAlign w:val="center"/>
          </w:tcPr>
          <w:p w:rsidR="00C223F5" w:rsidRDefault="005860D5" w:rsidP="002D1BB7">
            <w:r>
              <w:rPr>
                <w:rFonts w:hint="eastAsia"/>
              </w:rPr>
              <w:t>呈棕色、灰白色色彩，具白色斑点状或斑块状影纹，不规则块状分布，解译标志明显。</w:t>
            </w:r>
          </w:p>
        </w:tc>
        <w:tc>
          <w:tcPr>
            <w:tcW w:w="2085" w:type="dxa"/>
            <w:vAlign w:val="center"/>
          </w:tcPr>
          <w:p w:rsidR="00C223F5" w:rsidRDefault="005860D5" w:rsidP="002D1BB7">
            <w:pPr>
              <w:jc w:val="center"/>
            </w:pPr>
            <w:r>
              <w:rPr>
                <w:rFonts w:ascii="宋体" w:hAnsi="宋体" w:cs="宋体"/>
                <w:noProof/>
                <w:kern w:val="0"/>
                <w:sz w:val="24"/>
              </w:rPr>
              <w:drawing>
                <wp:inline distT="0" distB="0" distL="0" distR="0">
                  <wp:extent cx="954405" cy="588645"/>
                  <wp:effectExtent l="19050" t="0" r="0" b="0"/>
                  <wp:docPr id="103" name="图片 103" descr="JEZE3(M([(UUKPW]NM}XQ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JEZE3(M([(UUKPW]NM}XQ0J"/>
                          <pic:cNvPicPr>
                            <a:picLocks noChangeAspect="1" noChangeArrowheads="1"/>
                          </pic:cNvPicPr>
                        </pic:nvPicPr>
                        <pic:blipFill>
                          <a:blip r:embed="rId32" cstate="print"/>
                          <a:srcRect/>
                          <a:stretch>
                            <a:fillRect/>
                          </a:stretch>
                        </pic:blipFill>
                        <pic:spPr>
                          <a:xfrm>
                            <a:off x="0" y="0"/>
                            <a:ext cx="954405" cy="588645"/>
                          </a:xfrm>
                          <a:prstGeom prst="rect">
                            <a:avLst/>
                          </a:prstGeom>
                          <a:noFill/>
                          <a:ln w="9525">
                            <a:noFill/>
                            <a:miter lim="800000"/>
                            <a:headEnd/>
                            <a:tailEnd/>
                          </a:ln>
                        </pic:spPr>
                      </pic:pic>
                    </a:graphicData>
                  </a:graphic>
                </wp:inline>
              </w:drawing>
            </w:r>
          </w:p>
        </w:tc>
      </w:tr>
      <w:tr w:rsidR="00C223F5">
        <w:trPr>
          <w:cantSplit/>
          <w:trHeight w:val="972"/>
        </w:trPr>
        <w:tc>
          <w:tcPr>
            <w:tcW w:w="1560" w:type="dxa"/>
            <w:vAlign w:val="center"/>
          </w:tcPr>
          <w:p w:rsidR="00C223F5" w:rsidRDefault="005860D5" w:rsidP="002D1BB7">
            <w:pPr>
              <w:jc w:val="center"/>
            </w:pPr>
            <w:r>
              <w:rPr>
                <w:rFonts w:hint="eastAsia"/>
              </w:rPr>
              <w:t>植被稀少地带</w:t>
            </w:r>
          </w:p>
        </w:tc>
        <w:tc>
          <w:tcPr>
            <w:tcW w:w="4860" w:type="dxa"/>
            <w:vAlign w:val="center"/>
          </w:tcPr>
          <w:p w:rsidR="00C223F5" w:rsidRDefault="005860D5" w:rsidP="002D1BB7">
            <w:r>
              <w:rPr>
                <w:rFonts w:hint="eastAsia"/>
              </w:rPr>
              <w:t>呈白色色彩，具棕色、绿色条带状或斑点状影纹，不规则斑片状分布。</w:t>
            </w:r>
          </w:p>
        </w:tc>
        <w:tc>
          <w:tcPr>
            <w:tcW w:w="2085" w:type="dxa"/>
            <w:vAlign w:val="center"/>
          </w:tcPr>
          <w:p w:rsidR="00C223F5" w:rsidRDefault="005860D5" w:rsidP="002D1BB7">
            <w:pPr>
              <w:jc w:val="center"/>
            </w:pPr>
            <w:r>
              <w:rPr>
                <w:rFonts w:ascii="宋体" w:hAnsi="宋体" w:cs="宋体"/>
                <w:noProof/>
                <w:kern w:val="0"/>
                <w:sz w:val="24"/>
              </w:rPr>
              <w:drawing>
                <wp:inline distT="0" distB="0" distL="0" distR="0">
                  <wp:extent cx="962025" cy="580390"/>
                  <wp:effectExtent l="19050" t="0" r="9525" b="0"/>
                  <wp:docPr id="10" name="图片 104" descr="D3UHJE[6RDI@GYMGOX~Y2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4" descr="D3UHJE[6RDI@GYMGOX~Y2Y3"/>
                          <pic:cNvPicPr>
                            <a:picLocks noChangeAspect="1" noChangeArrowheads="1"/>
                          </pic:cNvPicPr>
                        </pic:nvPicPr>
                        <pic:blipFill>
                          <a:blip r:embed="rId33" cstate="print"/>
                          <a:srcRect/>
                          <a:stretch>
                            <a:fillRect/>
                          </a:stretch>
                        </pic:blipFill>
                        <pic:spPr>
                          <a:xfrm>
                            <a:off x="0" y="0"/>
                            <a:ext cx="962025" cy="580390"/>
                          </a:xfrm>
                          <a:prstGeom prst="rect">
                            <a:avLst/>
                          </a:prstGeom>
                          <a:noFill/>
                          <a:ln w="9525">
                            <a:noFill/>
                            <a:miter lim="800000"/>
                            <a:headEnd/>
                            <a:tailEnd/>
                          </a:ln>
                        </pic:spPr>
                      </pic:pic>
                    </a:graphicData>
                  </a:graphic>
                </wp:inline>
              </w:drawing>
            </w:r>
          </w:p>
        </w:tc>
      </w:tr>
    </w:tbl>
    <w:p w:rsidR="00C223F5" w:rsidRDefault="005860D5" w:rsidP="002D1BB7">
      <w:pPr>
        <w:jc w:val="center"/>
        <w:rPr>
          <w:b/>
          <w:sz w:val="24"/>
        </w:rPr>
      </w:pPr>
      <w:r>
        <w:rPr>
          <w:rFonts w:hint="eastAsia"/>
          <w:b/>
          <w:sz w:val="24"/>
        </w:rPr>
        <w:lastRenderedPageBreak/>
        <w:t>表</w:t>
      </w:r>
      <w:r>
        <w:rPr>
          <w:rFonts w:hint="eastAsia"/>
          <w:b/>
          <w:sz w:val="24"/>
        </w:rPr>
        <w:t>3.1.4-</w:t>
      </w:r>
      <w:r>
        <w:rPr>
          <w:b/>
          <w:sz w:val="24"/>
        </w:rPr>
        <w:t>4</w:t>
      </w:r>
      <w:r>
        <w:rPr>
          <w:rFonts w:hint="eastAsia"/>
          <w:b/>
          <w:sz w:val="24"/>
        </w:rPr>
        <w:t xml:space="preserve">   </w:t>
      </w:r>
      <w:r>
        <w:rPr>
          <w:rFonts w:hint="eastAsia"/>
          <w:b/>
          <w:sz w:val="24"/>
        </w:rPr>
        <w:t>评价区植被类型面积统计</w:t>
      </w:r>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0"/>
        <w:gridCol w:w="1516"/>
        <w:gridCol w:w="1559"/>
        <w:gridCol w:w="1701"/>
        <w:gridCol w:w="1893"/>
      </w:tblGrid>
      <w:tr w:rsidR="00C223F5">
        <w:trPr>
          <w:trHeight w:val="270"/>
          <w:jc w:val="center"/>
        </w:trPr>
        <w:tc>
          <w:tcPr>
            <w:tcW w:w="1760" w:type="dxa"/>
            <w:vMerge w:val="restart"/>
            <w:shd w:val="clear" w:color="auto" w:fill="auto"/>
            <w:vAlign w:val="center"/>
          </w:tcPr>
          <w:p w:rsidR="00C223F5" w:rsidRDefault="005860D5" w:rsidP="002D1BB7">
            <w:pPr>
              <w:widowControl/>
              <w:jc w:val="center"/>
              <w:rPr>
                <w:rFonts w:ascii="宋体" w:hAnsi="宋体" w:cs="宋体"/>
                <w:kern w:val="0"/>
                <w:sz w:val="22"/>
                <w:szCs w:val="22"/>
              </w:rPr>
            </w:pPr>
            <w:r>
              <w:rPr>
                <w:rFonts w:ascii="宋体" w:hAnsi="宋体" w:cs="宋体" w:hint="eastAsia"/>
                <w:kern w:val="0"/>
                <w:sz w:val="22"/>
                <w:szCs w:val="22"/>
              </w:rPr>
              <w:t>植被类型</w:t>
            </w:r>
          </w:p>
        </w:tc>
        <w:tc>
          <w:tcPr>
            <w:tcW w:w="3075" w:type="dxa"/>
            <w:gridSpan w:val="2"/>
            <w:shd w:val="clear" w:color="auto" w:fill="auto"/>
            <w:vAlign w:val="center"/>
          </w:tcPr>
          <w:p w:rsidR="00C223F5" w:rsidRDefault="005860D5" w:rsidP="002D1BB7">
            <w:pPr>
              <w:widowControl/>
              <w:jc w:val="center"/>
              <w:rPr>
                <w:rFonts w:ascii="宋体" w:hAnsi="宋体" w:cs="宋体"/>
                <w:kern w:val="0"/>
                <w:sz w:val="22"/>
                <w:szCs w:val="22"/>
              </w:rPr>
            </w:pPr>
            <w:r>
              <w:rPr>
                <w:rFonts w:ascii="宋体" w:hAnsi="宋体" w:cs="宋体" w:hint="eastAsia"/>
                <w:kern w:val="0"/>
                <w:sz w:val="22"/>
                <w:szCs w:val="22"/>
              </w:rPr>
              <w:t>评价区</w:t>
            </w:r>
          </w:p>
        </w:tc>
        <w:tc>
          <w:tcPr>
            <w:tcW w:w="3594" w:type="dxa"/>
            <w:gridSpan w:val="2"/>
            <w:vAlign w:val="center"/>
          </w:tcPr>
          <w:p w:rsidR="00C223F5" w:rsidRDefault="005860D5" w:rsidP="002D1BB7">
            <w:pPr>
              <w:widowControl/>
              <w:jc w:val="center"/>
              <w:rPr>
                <w:rFonts w:ascii="宋体" w:hAnsi="宋体" w:cs="宋体"/>
                <w:kern w:val="0"/>
                <w:sz w:val="22"/>
                <w:szCs w:val="22"/>
              </w:rPr>
            </w:pPr>
            <w:r>
              <w:rPr>
                <w:rFonts w:ascii="宋体" w:hAnsi="宋体" w:cs="宋体" w:hint="eastAsia"/>
                <w:kern w:val="0"/>
                <w:sz w:val="22"/>
                <w:szCs w:val="22"/>
              </w:rPr>
              <w:t>井田范围</w:t>
            </w:r>
          </w:p>
        </w:tc>
      </w:tr>
      <w:tr w:rsidR="00C223F5">
        <w:trPr>
          <w:trHeight w:val="270"/>
          <w:jc w:val="center"/>
        </w:trPr>
        <w:tc>
          <w:tcPr>
            <w:tcW w:w="1760" w:type="dxa"/>
            <w:vMerge/>
            <w:shd w:val="clear" w:color="auto" w:fill="auto"/>
            <w:vAlign w:val="center"/>
          </w:tcPr>
          <w:p w:rsidR="00C223F5" w:rsidRDefault="00C223F5" w:rsidP="002D1BB7">
            <w:pPr>
              <w:widowControl/>
              <w:jc w:val="center"/>
              <w:rPr>
                <w:rFonts w:ascii="宋体" w:hAnsi="宋体" w:cs="宋体"/>
                <w:kern w:val="0"/>
                <w:sz w:val="22"/>
                <w:szCs w:val="22"/>
              </w:rPr>
            </w:pPr>
          </w:p>
        </w:tc>
        <w:tc>
          <w:tcPr>
            <w:tcW w:w="1516" w:type="dxa"/>
            <w:shd w:val="clear" w:color="auto" w:fill="auto"/>
            <w:vAlign w:val="center"/>
          </w:tcPr>
          <w:p w:rsidR="00C223F5" w:rsidRDefault="005860D5" w:rsidP="002D1BB7">
            <w:pPr>
              <w:jc w:val="center"/>
              <w:rPr>
                <w:rFonts w:ascii="宋体" w:hAnsi="宋体" w:cs="宋体"/>
                <w:sz w:val="22"/>
                <w:szCs w:val="22"/>
              </w:rPr>
            </w:pPr>
            <w:r>
              <w:rPr>
                <w:rFonts w:hint="eastAsia"/>
                <w:sz w:val="22"/>
                <w:szCs w:val="22"/>
              </w:rPr>
              <w:t>面积（</w:t>
            </w:r>
            <w:r>
              <w:rPr>
                <w:rFonts w:hint="eastAsia"/>
                <w:bCs/>
                <w:szCs w:val="21"/>
              </w:rPr>
              <w:t>km</w:t>
            </w:r>
            <w:r>
              <w:rPr>
                <w:rFonts w:hint="eastAsia"/>
                <w:bCs/>
                <w:szCs w:val="21"/>
                <w:vertAlign w:val="superscript"/>
              </w:rPr>
              <w:t>2</w:t>
            </w:r>
            <w:r>
              <w:rPr>
                <w:rFonts w:hint="eastAsia"/>
                <w:sz w:val="22"/>
                <w:szCs w:val="22"/>
              </w:rPr>
              <w:t>）</w:t>
            </w:r>
          </w:p>
        </w:tc>
        <w:tc>
          <w:tcPr>
            <w:tcW w:w="1559" w:type="dxa"/>
            <w:shd w:val="clear" w:color="auto" w:fill="auto"/>
            <w:vAlign w:val="center"/>
          </w:tcPr>
          <w:p w:rsidR="00C223F5" w:rsidRDefault="005860D5" w:rsidP="002D1BB7">
            <w:pPr>
              <w:jc w:val="center"/>
              <w:rPr>
                <w:rFonts w:ascii="宋体" w:hAnsi="宋体" w:cs="宋体"/>
                <w:sz w:val="22"/>
                <w:szCs w:val="22"/>
              </w:rPr>
            </w:pPr>
            <w:r>
              <w:rPr>
                <w:rFonts w:hint="eastAsia"/>
                <w:sz w:val="22"/>
                <w:szCs w:val="22"/>
              </w:rPr>
              <w:t>百分比（</w:t>
            </w:r>
            <w:r>
              <w:rPr>
                <w:rFonts w:hint="eastAsia"/>
                <w:sz w:val="22"/>
                <w:szCs w:val="22"/>
              </w:rPr>
              <w:t>%</w:t>
            </w:r>
            <w:r>
              <w:rPr>
                <w:rFonts w:hint="eastAsia"/>
                <w:sz w:val="22"/>
                <w:szCs w:val="22"/>
              </w:rPr>
              <w:t>）</w:t>
            </w:r>
          </w:p>
        </w:tc>
        <w:tc>
          <w:tcPr>
            <w:tcW w:w="1701" w:type="dxa"/>
            <w:vAlign w:val="center"/>
          </w:tcPr>
          <w:p w:rsidR="00C223F5" w:rsidRDefault="005860D5" w:rsidP="002D1BB7">
            <w:pPr>
              <w:jc w:val="center"/>
              <w:rPr>
                <w:rFonts w:ascii="宋体" w:hAnsi="宋体" w:cs="宋体"/>
                <w:sz w:val="22"/>
                <w:szCs w:val="22"/>
              </w:rPr>
            </w:pPr>
            <w:r>
              <w:rPr>
                <w:rFonts w:hint="eastAsia"/>
                <w:sz w:val="22"/>
                <w:szCs w:val="22"/>
              </w:rPr>
              <w:t>面积（</w:t>
            </w:r>
            <w:r>
              <w:rPr>
                <w:rFonts w:hint="eastAsia"/>
                <w:bCs/>
                <w:szCs w:val="21"/>
              </w:rPr>
              <w:t>km</w:t>
            </w:r>
            <w:r>
              <w:rPr>
                <w:rFonts w:hint="eastAsia"/>
                <w:bCs/>
                <w:szCs w:val="21"/>
                <w:vertAlign w:val="superscript"/>
              </w:rPr>
              <w:t>2</w:t>
            </w:r>
            <w:r>
              <w:rPr>
                <w:rFonts w:hint="eastAsia"/>
                <w:sz w:val="22"/>
                <w:szCs w:val="22"/>
              </w:rPr>
              <w:t>）</w:t>
            </w:r>
          </w:p>
        </w:tc>
        <w:tc>
          <w:tcPr>
            <w:tcW w:w="1893" w:type="dxa"/>
            <w:vAlign w:val="center"/>
          </w:tcPr>
          <w:p w:rsidR="00C223F5" w:rsidRDefault="005860D5" w:rsidP="002D1BB7">
            <w:pPr>
              <w:jc w:val="center"/>
              <w:rPr>
                <w:rFonts w:ascii="宋体" w:hAnsi="宋体" w:cs="宋体"/>
                <w:sz w:val="22"/>
                <w:szCs w:val="22"/>
              </w:rPr>
            </w:pPr>
            <w:r>
              <w:rPr>
                <w:rFonts w:hint="eastAsia"/>
                <w:sz w:val="22"/>
                <w:szCs w:val="22"/>
              </w:rPr>
              <w:t>百分比（</w:t>
            </w:r>
            <w:r>
              <w:rPr>
                <w:rFonts w:hint="eastAsia"/>
                <w:sz w:val="22"/>
                <w:szCs w:val="22"/>
              </w:rPr>
              <w:t>%</w:t>
            </w:r>
            <w:r>
              <w:rPr>
                <w:rFonts w:hint="eastAsia"/>
                <w:sz w:val="22"/>
                <w:szCs w:val="22"/>
              </w:rPr>
              <w:t>）</w:t>
            </w:r>
          </w:p>
        </w:tc>
      </w:tr>
      <w:tr w:rsidR="00C223F5">
        <w:trPr>
          <w:trHeight w:val="270"/>
          <w:jc w:val="center"/>
        </w:trPr>
        <w:tc>
          <w:tcPr>
            <w:tcW w:w="1760" w:type="dxa"/>
            <w:shd w:val="clear" w:color="auto" w:fill="auto"/>
            <w:vAlign w:val="center"/>
          </w:tcPr>
          <w:p w:rsidR="00C223F5" w:rsidRDefault="005860D5" w:rsidP="002D1BB7">
            <w:pPr>
              <w:widowControl/>
              <w:jc w:val="center"/>
              <w:rPr>
                <w:rFonts w:ascii="宋体" w:hAnsi="宋体" w:cs="宋体"/>
                <w:kern w:val="0"/>
                <w:sz w:val="22"/>
                <w:szCs w:val="22"/>
              </w:rPr>
            </w:pPr>
            <w:r>
              <w:rPr>
                <w:rFonts w:ascii="宋体" w:hAnsi="宋体" w:cs="宋体" w:hint="eastAsia"/>
                <w:kern w:val="0"/>
                <w:sz w:val="22"/>
                <w:szCs w:val="22"/>
              </w:rPr>
              <w:t>农业植被</w:t>
            </w:r>
          </w:p>
        </w:tc>
        <w:tc>
          <w:tcPr>
            <w:tcW w:w="1516" w:type="dxa"/>
            <w:shd w:val="clear" w:color="auto" w:fill="auto"/>
            <w:vAlign w:val="center"/>
          </w:tcPr>
          <w:p w:rsidR="00C223F5" w:rsidRDefault="005860D5" w:rsidP="002D1BB7">
            <w:pPr>
              <w:adjustRightInd w:val="0"/>
              <w:snapToGrid w:val="0"/>
              <w:jc w:val="center"/>
              <w:rPr>
                <w:rFonts w:eastAsia="等线"/>
                <w:szCs w:val="21"/>
              </w:rPr>
            </w:pPr>
            <w:r>
              <w:rPr>
                <w:rFonts w:eastAsia="等线" w:hint="eastAsia"/>
                <w:szCs w:val="21"/>
              </w:rPr>
              <w:t>29.04</w:t>
            </w:r>
          </w:p>
        </w:tc>
        <w:tc>
          <w:tcPr>
            <w:tcW w:w="1559" w:type="dxa"/>
            <w:shd w:val="clear" w:color="auto" w:fill="auto"/>
            <w:vAlign w:val="center"/>
          </w:tcPr>
          <w:p w:rsidR="00C223F5" w:rsidRDefault="005860D5" w:rsidP="002D1BB7">
            <w:pPr>
              <w:adjustRightInd w:val="0"/>
              <w:snapToGrid w:val="0"/>
              <w:jc w:val="center"/>
              <w:rPr>
                <w:rFonts w:eastAsia="等线"/>
                <w:szCs w:val="21"/>
              </w:rPr>
            </w:pPr>
            <w:r>
              <w:rPr>
                <w:rFonts w:eastAsia="等线" w:hint="eastAsia"/>
                <w:szCs w:val="21"/>
              </w:rPr>
              <w:t>33.11</w:t>
            </w:r>
          </w:p>
        </w:tc>
        <w:tc>
          <w:tcPr>
            <w:tcW w:w="1701" w:type="dxa"/>
            <w:vAlign w:val="center"/>
          </w:tcPr>
          <w:p w:rsidR="00C223F5" w:rsidRDefault="005860D5" w:rsidP="002D1BB7">
            <w:pPr>
              <w:adjustRightInd w:val="0"/>
              <w:snapToGrid w:val="0"/>
              <w:jc w:val="center"/>
              <w:rPr>
                <w:rFonts w:eastAsia="等线"/>
                <w:szCs w:val="21"/>
              </w:rPr>
            </w:pPr>
            <w:r>
              <w:rPr>
                <w:rFonts w:eastAsia="等线" w:hint="eastAsia"/>
                <w:szCs w:val="21"/>
              </w:rPr>
              <w:t>22.82</w:t>
            </w:r>
          </w:p>
        </w:tc>
        <w:tc>
          <w:tcPr>
            <w:tcW w:w="1893" w:type="dxa"/>
            <w:vAlign w:val="center"/>
          </w:tcPr>
          <w:p w:rsidR="00C223F5" w:rsidRDefault="005860D5" w:rsidP="002D1BB7">
            <w:pPr>
              <w:adjustRightInd w:val="0"/>
              <w:snapToGrid w:val="0"/>
              <w:jc w:val="center"/>
              <w:rPr>
                <w:rFonts w:eastAsia="等线"/>
                <w:szCs w:val="21"/>
              </w:rPr>
            </w:pPr>
            <w:r>
              <w:rPr>
                <w:rFonts w:eastAsia="等线" w:hint="eastAsia"/>
                <w:szCs w:val="21"/>
              </w:rPr>
              <w:t>33.98</w:t>
            </w:r>
          </w:p>
        </w:tc>
      </w:tr>
      <w:tr w:rsidR="00C223F5">
        <w:trPr>
          <w:trHeight w:val="270"/>
          <w:jc w:val="center"/>
        </w:trPr>
        <w:tc>
          <w:tcPr>
            <w:tcW w:w="1760" w:type="dxa"/>
            <w:shd w:val="clear" w:color="auto" w:fill="auto"/>
            <w:vAlign w:val="center"/>
          </w:tcPr>
          <w:p w:rsidR="00C223F5" w:rsidRDefault="005860D5" w:rsidP="002D1BB7">
            <w:pPr>
              <w:widowControl/>
              <w:jc w:val="center"/>
              <w:rPr>
                <w:rFonts w:ascii="宋体" w:hAnsi="宋体" w:cs="宋体"/>
                <w:kern w:val="0"/>
                <w:sz w:val="22"/>
                <w:szCs w:val="22"/>
              </w:rPr>
            </w:pPr>
            <w:r>
              <w:rPr>
                <w:rFonts w:ascii="宋体" w:hAnsi="宋体" w:cs="宋体" w:hint="eastAsia"/>
                <w:kern w:val="0"/>
                <w:sz w:val="22"/>
                <w:szCs w:val="22"/>
              </w:rPr>
              <w:t>乔木林</w:t>
            </w:r>
          </w:p>
        </w:tc>
        <w:tc>
          <w:tcPr>
            <w:tcW w:w="1516" w:type="dxa"/>
            <w:shd w:val="clear" w:color="auto" w:fill="auto"/>
            <w:vAlign w:val="center"/>
          </w:tcPr>
          <w:p w:rsidR="00C223F5" w:rsidRDefault="005860D5" w:rsidP="002D1BB7">
            <w:pPr>
              <w:adjustRightInd w:val="0"/>
              <w:snapToGrid w:val="0"/>
              <w:jc w:val="center"/>
              <w:rPr>
                <w:rFonts w:eastAsia="等线"/>
                <w:szCs w:val="21"/>
              </w:rPr>
            </w:pPr>
            <w:r>
              <w:rPr>
                <w:rFonts w:eastAsia="等线"/>
                <w:szCs w:val="21"/>
              </w:rPr>
              <w:t>22.06</w:t>
            </w:r>
          </w:p>
        </w:tc>
        <w:tc>
          <w:tcPr>
            <w:tcW w:w="1559" w:type="dxa"/>
            <w:shd w:val="clear" w:color="auto" w:fill="auto"/>
            <w:vAlign w:val="center"/>
          </w:tcPr>
          <w:p w:rsidR="00C223F5" w:rsidRDefault="005860D5" w:rsidP="002D1BB7">
            <w:pPr>
              <w:adjustRightInd w:val="0"/>
              <w:snapToGrid w:val="0"/>
              <w:jc w:val="center"/>
              <w:rPr>
                <w:rFonts w:eastAsia="等线"/>
                <w:szCs w:val="21"/>
              </w:rPr>
            </w:pPr>
            <w:r>
              <w:rPr>
                <w:rFonts w:eastAsia="等线"/>
                <w:szCs w:val="21"/>
              </w:rPr>
              <w:t>25.15</w:t>
            </w:r>
          </w:p>
        </w:tc>
        <w:tc>
          <w:tcPr>
            <w:tcW w:w="1701" w:type="dxa"/>
            <w:vAlign w:val="center"/>
          </w:tcPr>
          <w:p w:rsidR="00C223F5" w:rsidRDefault="005860D5" w:rsidP="002D1BB7">
            <w:pPr>
              <w:adjustRightInd w:val="0"/>
              <w:snapToGrid w:val="0"/>
              <w:jc w:val="center"/>
              <w:rPr>
                <w:rFonts w:eastAsia="等线"/>
                <w:szCs w:val="21"/>
              </w:rPr>
            </w:pPr>
            <w:r>
              <w:rPr>
                <w:rFonts w:eastAsia="等线"/>
                <w:szCs w:val="21"/>
              </w:rPr>
              <w:t>17.44</w:t>
            </w:r>
          </w:p>
        </w:tc>
        <w:tc>
          <w:tcPr>
            <w:tcW w:w="1893" w:type="dxa"/>
            <w:vAlign w:val="center"/>
          </w:tcPr>
          <w:p w:rsidR="00C223F5" w:rsidRDefault="005860D5" w:rsidP="002D1BB7">
            <w:pPr>
              <w:adjustRightInd w:val="0"/>
              <w:snapToGrid w:val="0"/>
              <w:jc w:val="center"/>
              <w:rPr>
                <w:rFonts w:eastAsia="等线"/>
                <w:szCs w:val="21"/>
              </w:rPr>
            </w:pPr>
            <w:r>
              <w:rPr>
                <w:rFonts w:eastAsia="等线"/>
                <w:szCs w:val="21"/>
              </w:rPr>
              <w:t>25.98</w:t>
            </w:r>
          </w:p>
        </w:tc>
      </w:tr>
      <w:tr w:rsidR="00C223F5">
        <w:trPr>
          <w:trHeight w:val="270"/>
          <w:jc w:val="center"/>
        </w:trPr>
        <w:tc>
          <w:tcPr>
            <w:tcW w:w="1760" w:type="dxa"/>
            <w:shd w:val="clear" w:color="auto" w:fill="auto"/>
            <w:vAlign w:val="center"/>
          </w:tcPr>
          <w:p w:rsidR="00C223F5" w:rsidRDefault="005860D5" w:rsidP="002D1BB7">
            <w:pPr>
              <w:widowControl/>
              <w:jc w:val="center"/>
              <w:rPr>
                <w:rFonts w:ascii="宋体" w:hAnsi="宋体" w:cs="宋体"/>
                <w:kern w:val="0"/>
                <w:sz w:val="22"/>
                <w:szCs w:val="22"/>
              </w:rPr>
            </w:pPr>
            <w:r>
              <w:rPr>
                <w:rFonts w:ascii="宋体" w:hAnsi="宋体" w:cs="宋体" w:hint="eastAsia"/>
                <w:kern w:val="0"/>
                <w:sz w:val="22"/>
                <w:szCs w:val="22"/>
              </w:rPr>
              <w:t>灌丛</w:t>
            </w:r>
          </w:p>
        </w:tc>
        <w:tc>
          <w:tcPr>
            <w:tcW w:w="1516" w:type="dxa"/>
            <w:shd w:val="clear" w:color="auto" w:fill="auto"/>
            <w:vAlign w:val="center"/>
          </w:tcPr>
          <w:p w:rsidR="00C223F5" w:rsidRDefault="005860D5" w:rsidP="002D1BB7">
            <w:pPr>
              <w:adjustRightInd w:val="0"/>
              <w:snapToGrid w:val="0"/>
              <w:jc w:val="center"/>
              <w:rPr>
                <w:rFonts w:eastAsia="等线"/>
                <w:szCs w:val="21"/>
              </w:rPr>
            </w:pPr>
            <w:r>
              <w:rPr>
                <w:rFonts w:eastAsia="等线"/>
                <w:szCs w:val="21"/>
              </w:rPr>
              <w:t>10.00</w:t>
            </w:r>
          </w:p>
        </w:tc>
        <w:tc>
          <w:tcPr>
            <w:tcW w:w="1559" w:type="dxa"/>
            <w:shd w:val="clear" w:color="auto" w:fill="auto"/>
            <w:vAlign w:val="center"/>
          </w:tcPr>
          <w:p w:rsidR="00C223F5" w:rsidRDefault="005860D5" w:rsidP="002D1BB7">
            <w:pPr>
              <w:adjustRightInd w:val="0"/>
              <w:snapToGrid w:val="0"/>
              <w:jc w:val="center"/>
              <w:rPr>
                <w:rFonts w:eastAsia="等线"/>
                <w:szCs w:val="21"/>
              </w:rPr>
            </w:pPr>
            <w:r>
              <w:rPr>
                <w:rFonts w:eastAsia="等线"/>
                <w:szCs w:val="21"/>
              </w:rPr>
              <w:t>11.40</w:t>
            </w:r>
          </w:p>
        </w:tc>
        <w:tc>
          <w:tcPr>
            <w:tcW w:w="1701" w:type="dxa"/>
            <w:vAlign w:val="center"/>
          </w:tcPr>
          <w:p w:rsidR="00C223F5" w:rsidRDefault="005860D5" w:rsidP="002D1BB7">
            <w:pPr>
              <w:adjustRightInd w:val="0"/>
              <w:snapToGrid w:val="0"/>
              <w:jc w:val="center"/>
              <w:rPr>
                <w:rFonts w:eastAsia="等线"/>
                <w:szCs w:val="21"/>
              </w:rPr>
            </w:pPr>
            <w:r>
              <w:rPr>
                <w:rFonts w:eastAsia="等线"/>
                <w:szCs w:val="21"/>
              </w:rPr>
              <w:t>6.24</w:t>
            </w:r>
          </w:p>
        </w:tc>
        <w:tc>
          <w:tcPr>
            <w:tcW w:w="1893" w:type="dxa"/>
            <w:vAlign w:val="center"/>
          </w:tcPr>
          <w:p w:rsidR="00C223F5" w:rsidRDefault="005860D5" w:rsidP="002D1BB7">
            <w:pPr>
              <w:adjustRightInd w:val="0"/>
              <w:snapToGrid w:val="0"/>
              <w:jc w:val="center"/>
              <w:rPr>
                <w:rFonts w:eastAsia="等线"/>
                <w:szCs w:val="21"/>
              </w:rPr>
            </w:pPr>
            <w:r>
              <w:rPr>
                <w:rFonts w:eastAsia="等线"/>
                <w:szCs w:val="21"/>
              </w:rPr>
              <w:t>9.</w:t>
            </w:r>
            <w:r>
              <w:rPr>
                <w:rFonts w:eastAsia="等线" w:hint="eastAsia"/>
                <w:szCs w:val="21"/>
              </w:rPr>
              <w:t>30</w:t>
            </w:r>
          </w:p>
        </w:tc>
      </w:tr>
      <w:tr w:rsidR="00C223F5">
        <w:trPr>
          <w:trHeight w:val="270"/>
          <w:jc w:val="center"/>
        </w:trPr>
        <w:tc>
          <w:tcPr>
            <w:tcW w:w="1760" w:type="dxa"/>
            <w:shd w:val="clear" w:color="auto" w:fill="auto"/>
            <w:vAlign w:val="center"/>
          </w:tcPr>
          <w:p w:rsidR="00C223F5" w:rsidRDefault="005860D5" w:rsidP="002D1BB7">
            <w:pPr>
              <w:widowControl/>
              <w:jc w:val="center"/>
              <w:rPr>
                <w:rFonts w:ascii="宋体" w:hAnsi="宋体" w:cs="宋体"/>
                <w:kern w:val="0"/>
                <w:sz w:val="22"/>
                <w:szCs w:val="22"/>
              </w:rPr>
            </w:pPr>
            <w:r>
              <w:rPr>
                <w:rFonts w:ascii="宋体" w:hAnsi="宋体" w:cs="宋体" w:hint="eastAsia"/>
                <w:kern w:val="0"/>
                <w:sz w:val="22"/>
                <w:szCs w:val="22"/>
              </w:rPr>
              <w:t>草丛</w:t>
            </w:r>
          </w:p>
        </w:tc>
        <w:tc>
          <w:tcPr>
            <w:tcW w:w="1516" w:type="dxa"/>
            <w:shd w:val="clear" w:color="auto" w:fill="auto"/>
            <w:vAlign w:val="center"/>
          </w:tcPr>
          <w:p w:rsidR="00C223F5" w:rsidRDefault="005860D5" w:rsidP="002D1BB7">
            <w:pPr>
              <w:jc w:val="center"/>
              <w:rPr>
                <w:rFonts w:eastAsia="等线"/>
                <w:szCs w:val="21"/>
              </w:rPr>
            </w:pPr>
            <w:r>
              <w:rPr>
                <w:rFonts w:eastAsia="等线" w:hint="eastAsia"/>
                <w:szCs w:val="21"/>
              </w:rPr>
              <w:t xml:space="preserve">23.86 </w:t>
            </w:r>
          </w:p>
        </w:tc>
        <w:tc>
          <w:tcPr>
            <w:tcW w:w="1559" w:type="dxa"/>
            <w:shd w:val="clear" w:color="auto" w:fill="auto"/>
            <w:vAlign w:val="center"/>
          </w:tcPr>
          <w:p w:rsidR="00C223F5" w:rsidRDefault="005860D5" w:rsidP="002D1BB7">
            <w:pPr>
              <w:jc w:val="center"/>
              <w:rPr>
                <w:rFonts w:eastAsia="等线"/>
                <w:szCs w:val="21"/>
              </w:rPr>
            </w:pPr>
            <w:r>
              <w:rPr>
                <w:rFonts w:eastAsia="等线" w:hint="eastAsia"/>
                <w:szCs w:val="21"/>
              </w:rPr>
              <w:t>27.20</w:t>
            </w:r>
          </w:p>
        </w:tc>
        <w:tc>
          <w:tcPr>
            <w:tcW w:w="1701" w:type="dxa"/>
            <w:vAlign w:val="center"/>
          </w:tcPr>
          <w:p w:rsidR="00C223F5" w:rsidRDefault="005860D5" w:rsidP="002D1BB7">
            <w:pPr>
              <w:jc w:val="center"/>
              <w:rPr>
                <w:rFonts w:eastAsia="等线"/>
                <w:szCs w:val="21"/>
              </w:rPr>
            </w:pPr>
            <w:r>
              <w:rPr>
                <w:rFonts w:eastAsia="等线" w:hint="eastAsia"/>
                <w:szCs w:val="21"/>
              </w:rPr>
              <w:t xml:space="preserve">18.44 </w:t>
            </w:r>
          </w:p>
        </w:tc>
        <w:tc>
          <w:tcPr>
            <w:tcW w:w="1893" w:type="dxa"/>
            <w:vAlign w:val="center"/>
          </w:tcPr>
          <w:p w:rsidR="00C223F5" w:rsidRDefault="005860D5" w:rsidP="002D1BB7">
            <w:pPr>
              <w:jc w:val="center"/>
              <w:rPr>
                <w:rFonts w:eastAsia="等线"/>
                <w:szCs w:val="21"/>
              </w:rPr>
            </w:pPr>
            <w:r>
              <w:rPr>
                <w:rFonts w:eastAsia="等线" w:hint="eastAsia"/>
                <w:szCs w:val="21"/>
              </w:rPr>
              <w:t>27.47</w:t>
            </w:r>
          </w:p>
        </w:tc>
      </w:tr>
      <w:tr w:rsidR="00C223F5">
        <w:trPr>
          <w:trHeight w:val="270"/>
          <w:jc w:val="center"/>
        </w:trPr>
        <w:tc>
          <w:tcPr>
            <w:tcW w:w="1760" w:type="dxa"/>
            <w:shd w:val="clear" w:color="auto" w:fill="auto"/>
            <w:vAlign w:val="center"/>
          </w:tcPr>
          <w:p w:rsidR="00C223F5" w:rsidRDefault="005860D5" w:rsidP="002D1BB7">
            <w:pPr>
              <w:widowControl/>
              <w:jc w:val="center"/>
              <w:rPr>
                <w:rFonts w:ascii="宋体" w:hAnsi="宋体" w:cs="宋体"/>
                <w:kern w:val="0"/>
                <w:sz w:val="22"/>
                <w:szCs w:val="22"/>
              </w:rPr>
            </w:pPr>
            <w:r>
              <w:rPr>
                <w:rFonts w:ascii="宋体" w:hAnsi="宋体" w:cs="宋体" w:hint="eastAsia"/>
                <w:kern w:val="0"/>
                <w:sz w:val="22"/>
                <w:szCs w:val="22"/>
              </w:rPr>
              <w:t>植被稀少地带</w:t>
            </w:r>
          </w:p>
        </w:tc>
        <w:tc>
          <w:tcPr>
            <w:tcW w:w="1516" w:type="dxa"/>
            <w:shd w:val="clear" w:color="auto" w:fill="auto"/>
            <w:vAlign w:val="center"/>
          </w:tcPr>
          <w:p w:rsidR="00C223F5" w:rsidRDefault="005860D5" w:rsidP="002D1BB7">
            <w:pPr>
              <w:adjustRightInd w:val="0"/>
              <w:snapToGrid w:val="0"/>
              <w:jc w:val="center"/>
              <w:rPr>
                <w:rFonts w:eastAsia="等线"/>
                <w:szCs w:val="21"/>
              </w:rPr>
            </w:pPr>
            <w:r>
              <w:rPr>
                <w:rFonts w:eastAsia="等线" w:hint="eastAsia"/>
                <w:szCs w:val="21"/>
              </w:rPr>
              <w:t>0.38</w:t>
            </w:r>
          </w:p>
        </w:tc>
        <w:tc>
          <w:tcPr>
            <w:tcW w:w="1559" w:type="dxa"/>
            <w:shd w:val="clear" w:color="auto" w:fill="auto"/>
            <w:vAlign w:val="center"/>
          </w:tcPr>
          <w:p w:rsidR="00C223F5" w:rsidRDefault="005860D5" w:rsidP="002D1BB7">
            <w:pPr>
              <w:adjustRightInd w:val="0"/>
              <w:snapToGrid w:val="0"/>
              <w:jc w:val="center"/>
              <w:rPr>
                <w:rFonts w:eastAsia="等线"/>
                <w:szCs w:val="21"/>
              </w:rPr>
            </w:pPr>
            <w:r>
              <w:rPr>
                <w:rFonts w:eastAsia="等线" w:hint="eastAsia"/>
                <w:szCs w:val="21"/>
              </w:rPr>
              <w:t>0.43</w:t>
            </w:r>
          </w:p>
        </w:tc>
        <w:tc>
          <w:tcPr>
            <w:tcW w:w="1701" w:type="dxa"/>
            <w:vAlign w:val="center"/>
          </w:tcPr>
          <w:p w:rsidR="00C223F5" w:rsidRDefault="005860D5" w:rsidP="002D1BB7">
            <w:pPr>
              <w:adjustRightInd w:val="0"/>
              <w:snapToGrid w:val="0"/>
              <w:jc w:val="center"/>
              <w:rPr>
                <w:rFonts w:eastAsia="等线"/>
                <w:szCs w:val="21"/>
              </w:rPr>
            </w:pPr>
            <w:r>
              <w:rPr>
                <w:rFonts w:eastAsia="等线" w:hint="eastAsia"/>
                <w:szCs w:val="21"/>
              </w:rPr>
              <w:t>0.32</w:t>
            </w:r>
          </w:p>
        </w:tc>
        <w:tc>
          <w:tcPr>
            <w:tcW w:w="1893" w:type="dxa"/>
            <w:vAlign w:val="center"/>
          </w:tcPr>
          <w:p w:rsidR="00C223F5" w:rsidRDefault="005860D5" w:rsidP="002D1BB7">
            <w:pPr>
              <w:adjustRightInd w:val="0"/>
              <w:snapToGrid w:val="0"/>
              <w:jc w:val="center"/>
              <w:rPr>
                <w:rFonts w:eastAsia="等线"/>
                <w:szCs w:val="21"/>
              </w:rPr>
            </w:pPr>
            <w:r>
              <w:rPr>
                <w:rFonts w:eastAsia="等线" w:hint="eastAsia"/>
                <w:szCs w:val="21"/>
              </w:rPr>
              <w:t>0.50</w:t>
            </w:r>
          </w:p>
        </w:tc>
      </w:tr>
      <w:tr w:rsidR="00C223F5">
        <w:trPr>
          <w:trHeight w:val="270"/>
          <w:jc w:val="center"/>
        </w:trPr>
        <w:tc>
          <w:tcPr>
            <w:tcW w:w="1760" w:type="dxa"/>
            <w:shd w:val="clear" w:color="auto" w:fill="auto"/>
            <w:vAlign w:val="center"/>
          </w:tcPr>
          <w:p w:rsidR="00C223F5" w:rsidRDefault="005860D5" w:rsidP="002D1BB7">
            <w:pPr>
              <w:widowControl/>
              <w:jc w:val="center"/>
              <w:rPr>
                <w:rFonts w:ascii="宋体" w:hAnsi="宋体" w:cs="宋体"/>
                <w:kern w:val="0"/>
                <w:sz w:val="22"/>
                <w:szCs w:val="22"/>
              </w:rPr>
            </w:pPr>
            <w:r>
              <w:rPr>
                <w:rFonts w:ascii="宋体" w:hAnsi="宋体" w:cs="宋体" w:hint="eastAsia"/>
                <w:kern w:val="0"/>
                <w:sz w:val="22"/>
                <w:szCs w:val="22"/>
              </w:rPr>
              <w:t>建设用地</w:t>
            </w:r>
          </w:p>
        </w:tc>
        <w:tc>
          <w:tcPr>
            <w:tcW w:w="1516" w:type="dxa"/>
            <w:shd w:val="clear" w:color="auto" w:fill="auto"/>
            <w:vAlign w:val="center"/>
          </w:tcPr>
          <w:p w:rsidR="00C223F5" w:rsidRDefault="005860D5" w:rsidP="002D1BB7">
            <w:pPr>
              <w:adjustRightInd w:val="0"/>
              <w:snapToGrid w:val="0"/>
              <w:jc w:val="center"/>
              <w:rPr>
                <w:rFonts w:eastAsia="等线"/>
                <w:szCs w:val="21"/>
              </w:rPr>
            </w:pPr>
            <w:r>
              <w:rPr>
                <w:rFonts w:eastAsia="等线"/>
                <w:szCs w:val="21"/>
              </w:rPr>
              <w:t>1.1</w:t>
            </w:r>
            <w:r>
              <w:rPr>
                <w:rFonts w:eastAsia="等线" w:hint="eastAsia"/>
                <w:szCs w:val="21"/>
              </w:rPr>
              <w:t>0</w:t>
            </w:r>
          </w:p>
        </w:tc>
        <w:tc>
          <w:tcPr>
            <w:tcW w:w="1559" w:type="dxa"/>
            <w:shd w:val="clear" w:color="auto" w:fill="auto"/>
            <w:vAlign w:val="center"/>
          </w:tcPr>
          <w:p w:rsidR="00C223F5" w:rsidRDefault="005860D5" w:rsidP="002D1BB7">
            <w:pPr>
              <w:adjustRightInd w:val="0"/>
              <w:snapToGrid w:val="0"/>
              <w:jc w:val="center"/>
              <w:rPr>
                <w:rFonts w:eastAsia="等线"/>
                <w:szCs w:val="21"/>
              </w:rPr>
            </w:pPr>
            <w:r>
              <w:rPr>
                <w:rFonts w:eastAsia="等线"/>
                <w:szCs w:val="21"/>
              </w:rPr>
              <w:t>1.2</w:t>
            </w:r>
            <w:r>
              <w:rPr>
                <w:rFonts w:eastAsia="等线" w:hint="eastAsia"/>
                <w:szCs w:val="21"/>
              </w:rPr>
              <w:t>5</w:t>
            </w:r>
          </w:p>
        </w:tc>
        <w:tc>
          <w:tcPr>
            <w:tcW w:w="1701" w:type="dxa"/>
            <w:vAlign w:val="center"/>
          </w:tcPr>
          <w:p w:rsidR="00C223F5" w:rsidRDefault="005860D5" w:rsidP="002D1BB7">
            <w:pPr>
              <w:adjustRightInd w:val="0"/>
              <w:snapToGrid w:val="0"/>
              <w:jc w:val="center"/>
              <w:rPr>
                <w:rFonts w:eastAsia="等线"/>
                <w:szCs w:val="21"/>
              </w:rPr>
            </w:pPr>
            <w:r>
              <w:rPr>
                <w:rFonts w:eastAsia="等线"/>
                <w:szCs w:val="21"/>
              </w:rPr>
              <w:t>0.80</w:t>
            </w:r>
          </w:p>
        </w:tc>
        <w:tc>
          <w:tcPr>
            <w:tcW w:w="1893" w:type="dxa"/>
            <w:vAlign w:val="center"/>
          </w:tcPr>
          <w:p w:rsidR="00C223F5" w:rsidRDefault="005860D5" w:rsidP="002D1BB7">
            <w:pPr>
              <w:adjustRightInd w:val="0"/>
              <w:snapToGrid w:val="0"/>
              <w:jc w:val="center"/>
              <w:rPr>
                <w:rFonts w:eastAsia="等线"/>
                <w:szCs w:val="21"/>
              </w:rPr>
            </w:pPr>
            <w:r>
              <w:rPr>
                <w:rFonts w:eastAsia="等线"/>
                <w:szCs w:val="21"/>
              </w:rPr>
              <w:t>1.19</w:t>
            </w:r>
          </w:p>
        </w:tc>
      </w:tr>
      <w:tr w:rsidR="00C223F5">
        <w:trPr>
          <w:trHeight w:val="270"/>
          <w:jc w:val="center"/>
        </w:trPr>
        <w:tc>
          <w:tcPr>
            <w:tcW w:w="1760" w:type="dxa"/>
            <w:shd w:val="clear" w:color="auto" w:fill="auto"/>
            <w:vAlign w:val="center"/>
          </w:tcPr>
          <w:p w:rsidR="00C223F5" w:rsidRDefault="005860D5" w:rsidP="002D1BB7">
            <w:pPr>
              <w:widowControl/>
              <w:jc w:val="center"/>
              <w:rPr>
                <w:rFonts w:ascii="宋体" w:hAnsi="宋体" w:cs="宋体"/>
                <w:kern w:val="0"/>
                <w:sz w:val="22"/>
                <w:szCs w:val="22"/>
              </w:rPr>
            </w:pPr>
            <w:r>
              <w:rPr>
                <w:rFonts w:ascii="宋体" w:hAnsi="宋体" w:cs="宋体" w:hint="eastAsia"/>
                <w:kern w:val="0"/>
                <w:sz w:val="22"/>
                <w:szCs w:val="22"/>
              </w:rPr>
              <w:t>水体</w:t>
            </w:r>
          </w:p>
        </w:tc>
        <w:tc>
          <w:tcPr>
            <w:tcW w:w="1516" w:type="dxa"/>
            <w:shd w:val="clear" w:color="auto" w:fill="auto"/>
            <w:vAlign w:val="center"/>
          </w:tcPr>
          <w:p w:rsidR="00C223F5" w:rsidRDefault="005860D5" w:rsidP="002D1BB7">
            <w:pPr>
              <w:adjustRightInd w:val="0"/>
              <w:snapToGrid w:val="0"/>
              <w:jc w:val="center"/>
              <w:rPr>
                <w:rFonts w:eastAsia="等线"/>
                <w:szCs w:val="21"/>
              </w:rPr>
            </w:pPr>
            <w:r>
              <w:rPr>
                <w:rFonts w:eastAsia="等线"/>
                <w:szCs w:val="21"/>
              </w:rPr>
              <w:t>1.28</w:t>
            </w:r>
          </w:p>
        </w:tc>
        <w:tc>
          <w:tcPr>
            <w:tcW w:w="1559" w:type="dxa"/>
            <w:shd w:val="clear" w:color="auto" w:fill="auto"/>
            <w:vAlign w:val="center"/>
          </w:tcPr>
          <w:p w:rsidR="00C223F5" w:rsidRDefault="005860D5" w:rsidP="002D1BB7">
            <w:pPr>
              <w:adjustRightInd w:val="0"/>
              <w:snapToGrid w:val="0"/>
              <w:jc w:val="center"/>
              <w:rPr>
                <w:rFonts w:eastAsia="等线"/>
                <w:szCs w:val="21"/>
              </w:rPr>
            </w:pPr>
            <w:r>
              <w:rPr>
                <w:rFonts w:eastAsia="等线"/>
                <w:szCs w:val="21"/>
              </w:rPr>
              <w:t>1.46</w:t>
            </w:r>
          </w:p>
        </w:tc>
        <w:tc>
          <w:tcPr>
            <w:tcW w:w="1701" w:type="dxa"/>
            <w:vAlign w:val="center"/>
          </w:tcPr>
          <w:p w:rsidR="00C223F5" w:rsidRDefault="005860D5" w:rsidP="002D1BB7">
            <w:pPr>
              <w:adjustRightInd w:val="0"/>
              <w:snapToGrid w:val="0"/>
              <w:jc w:val="center"/>
              <w:rPr>
                <w:rFonts w:eastAsia="等线"/>
                <w:szCs w:val="21"/>
              </w:rPr>
            </w:pPr>
            <w:r>
              <w:rPr>
                <w:rFonts w:eastAsia="等线"/>
                <w:szCs w:val="21"/>
              </w:rPr>
              <w:t>1.06</w:t>
            </w:r>
          </w:p>
        </w:tc>
        <w:tc>
          <w:tcPr>
            <w:tcW w:w="1893" w:type="dxa"/>
            <w:vAlign w:val="center"/>
          </w:tcPr>
          <w:p w:rsidR="00C223F5" w:rsidRDefault="005860D5" w:rsidP="002D1BB7">
            <w:pPr>
              <w:adjustRightInd w:val="0"/>
              <w:snapToGrid w:val="0"/>
              <w:jc w:val="center"/>
              <w:rPr>
                <w:rFonts w:eastAsia="等线"/>
                <w:szCs w:val="21"/>
              </w:rPr>
            </w:pPr>
            <w:r>
              <w:rPr>
                <w:rFonts w:eastAsia="等线"/>
                <w:szCs w:val="21"/>
              </w:rPr>
              <w:t>1.5</w:t>
            </w:r>
            <w:r>
              <w:rPr>
                <w:rFonts w:eastAsia="等线" w:hint="eastAsia"/>
                <w:szCs w:val="21"/>
              </w:rPr>
              <w:t>8</w:t>
            </w:r>
          </w:p>
        </w:tc>
      </w:tr>
      <w:tr w:rsidR="00C223F5">
        <w:trPr>
          <w:trHeight w:val="270"/>
          <w:jc w:val="center"/>
        </w:trPr>
        <w:tc>
          <w:tcPr>
            <w:tcW w:w="1760" w:type="dxa"/>
            <w:shd w:val="clear" w:color="auto" w:fill="auto"/>
            <w:vAlign w:val="center"/>
          </w:tcPr>
          <w:p w:rsidR="00C223F5" w:rsidRDefault="005860D5" w:rsidP="002D1BB7">
            <w:pPr>
              <w:widowControl/>
              <w:jc w:val="center"/>
              <w:rPr>
                <w:rFonts w:ascii="宋体" w:hAnsi="宋体" w:cs="宋体"/>
                <w:kern w:val="0"/>
                <w:sz w:val="22"/>
                <w:szCs w:val="22"/>
              </w:rPr>
            </w:pPr>
            <w:r>
              <w:rPr>
                <w:rFonts w:ascii="宋体" w:hAnsi="宋体" w:cs="宋体" w:hint="eastAsia"/>
                <w:kern w:val="0"/>
                <w:sz w:val="22"/>
                <w:szCs w:val="22"/>
              </w:rPr>
              <w:t>合计</w:t>
            </w:r>
          </w:p>
        </w:tc>
        <w:tc>
          <w:tcPr>
            <w:tcW w:w="1516" w:type="dxa"/>
            <w:shd w:val="clear" w:color="auto" w:fill="auto"/>
            <w:vAlign w:val="center"/>
          </w:tcPr>
          <w:p w:rsidR="00C223F5" w:rsidRDefault="000F32AE" w:rsidP="002D1BB7">
            <w:pPr>
              <w:adjustRightInd w:val="0"/>
              <w:snapToGrid w:val="0"/>
              <w:jc w:val="center"/>
              <w:rPr>
                <w:rFonts w:eastAsia="等线"/>
                <w:szCs w:val="21"/>
              </w:rPr>
            </w:pPr>
            <w:r>
              <w:rPr>
                <w:rFonts w:eastAsia="等线"/>
                <w:szCs w:val="21"/>
              </w:rPr>
              <w:fldChar w:fldCharType="begin"/>
            </w:r>
            <w:r w:rsidR="005860D5">
              <w:rPr>
                <w:rFonts w:eastAsia="等线"/>
                <w:szCs w:val="21"/>
              </w:rPr>
              <w:instrText xml:space="preserve"> =SUM(ABOVE) </w:instrText>
            </w:r>
            <w:r>
              <w:rPr>
                <w:rFonts w:eastAsia="等线"/>
                <w:szCs w:val="21"/>
              </w:rPr>
              <w:fldChar w:fldCharType="separate"/>
            </w:r>
            <w:r w:rsidR="005860D5">
              <w:rPr>
                <w:rFonts w:eastAsia="等线"/>
                <w:szCs w:val="21"/>
              </w:rPr>
              <w:t>87.72</w:t>
            </w:r>
            <w:r>
              <w:rPr>
                <w:rFonts w:eastAsia="等线"/>
                <w:szCs w:val="21"/>
              </w:rPr>
              <w:fldChar w:fldCharType="end"/>
            </w:r>
          </w:p>
        </w:tc>
        <w:tc>
          <w:tcPr>
            <w:tcW w:w="1559" w:type="dxa"/>
            <w:shd w:val="clear" w:color="auto" w:fill="auto"/>
            <w:vAlign w:val="center"/>
          </w:tcPr>
          <w:p w:rsidR="00C223F5" w:rsidRDefault="000F32AE" w:rsidP="002D1BB7">
            <w:pPr>
              <w:adjustRightInd w:val="0"/>
              <w:snapToGrid w:val="0"/>
              <w:jc w:val="center"/>
              <w:rPr>
                <w:rFonts w:eastAsia="等线"/>
                <w:szCs w:val="21"/>
              </w:rPr>
            </w:pPr>
            <w:r>
              <w:rPr>
                <w:rFonts w:eastAsia="等线"/>
                <w:szCs w:val="21"/>
              </w:rPr>
              <w:fldChar w:fldCharType="begin"/>
            </w:r>
            <w:r w:rsidR="005860D5">
              <w:rPr>
                <w:rFonts w:eastAsia="等线"/>
                <w:szCs w:val="21"/>
              </w:rPr>
              <w:instrText xml:space="preserve"> =SUM(ABOVE) </w:instrText>
            </w:r>
            <w:r>
              <w:rPr>
                <w:rFonts w:eastAsia="等线"/>
                <w:szCs w:val="21"/>
              </w:rPr>
              <w:fldChar w:fldCharType="separate"/>
            </w:r>
            <w:r w:rsidR="005860D5">
              <w:rPr>
                <w:rFonts w:eastAsia="等线"/>
                <w:szCs w:val="21"/>
              </w:rPr>
              <w:t>100</w:t>
            </w:r>
            <w:r>
              <w:rPr>
                <w:rFonts w:eastAsia="等线"/>
                <w:szCs w:val="21"/>
              </w:rPr>
              <w:fldChar w:fldCharType="end"/>
            </w:r>
          </w:p>
        </w:tc>
        <w:tc>
          <w:tcPr>
            <w:tcW w:w="1701" w:type="dxa"/>
            <w:vAlign w:val="center"/>
          </w:tcPr>
          <w:p w:rsidR="00C223F5" w:rsidRDefault="000F32AE" w:rsidP="002D1BB7">
            <w:pPr>
              <w:adjustRightInd w:val="0"/>
              <w:snapToGrid w:val="0"/>
              <w:jc w:val="center"/>
              <w:rPr>
                <w:rFonts w:eastAsia="等线"/>
                <w:szCs w:val="21"/>
              </w:rPr>
            </w:pPr>
            <w:r>
              <w:rPr>
                <w:rFonts w:eastAsia="等线"/>
                <w:szCs w:val="21"/>
              </w:rPr>
              <w:fldChar w:fldCharType="begin"/>
            </w:r>
            <w:r w:rsidR="005860D5">
              <w:rPr>
                <w:rFonts w:eastAsia="等线"/>
                <w:szCs w:val="21"/>
              </w:rPr>
              <w:instrText xml:space="preserve"> =SUM(ABOVE) </w:instrText>
            </w:r>
            <w:r>
              <w:rPr>
                <w:rFonts w:eastAsia="等线"/>
                <w:szCs w:val="21"/>
              </w:rPr>
              <w:fldChar w:fldCharType="separate"/>
            </w:r>
            <w:r w:rsidR="005860D5">
              <w:rPr>
                <w:rFonts w:eastAsia="等线"/>
                <w:szCs w:val="21"/>
              </w:rPr>
              <w:t>67.12</w:t>
            </w:r>
            <w:r>
              <w:rPr>
                <w:rFonts w:eastAsia="等线"/>
                <w:szCs w:val="21"/>
              </w:rPr>
              <w:fldChar w:fldCharType="end"/>
            </w:r>
          </w:p>
        </w:tc>
        <w:tc>
          <w:tcPr>
            <w:tcW w:w="1893" w:type="dxa"/>
            <w:vAlign w:val="center"/>
          </w:tcPr>
          <w:p w:rsidR="00C223F5" w:rsidRDefault="000F32AE" w:rsidP="002D1BB7">
            <w:pPr>
              <w:adjustRightInd w:val="0"/>
              <w:snapToGrid w:val="0"/>
              <w:jc w:val="center"/>
              <w:rPr>
                <w:rFonts w:eastAsia="等线"/>
                <w:szCs w:val="21"/>
              </w:rPr>
            </w:pPr>
            <w:r>
              <w:rPr>
                <w:rFonts w:eastAsia="等线"/>
                <w:szCs w:val="21"/>
              </w:rPr>
              <w:fldChar w:fldCharType="begin"/>
            </w:r>
            <w:r w:rsidR="005860D5">
              <w:rPr>
                <w:rFonts w:eastAsia="等线"/>
                <w:szCs w:val="21"/>
              </w:rPr>
              <w:instrText xml:space="preserve"> =SUM(ABOVE) </w:instrText>
            </w:r>
            <w:r>
              <w:rPr>
                <w:rFonts w:eastAsia="等线"/>
                <w:szCs w:val="21"/>
              </w:rPr>
              <w:fldChar w:fldCharType="separate"/>
            </w:r>
            <w:r w:rsidR="005860D5">
              <w:rPr>
                <w:rFonts w:eastAsia="等线"/>
                <w:szCs w:val="21"/>
              </w:rPr>
              <w:t>100</w:t>
            </w:r>
            <w:r>
              <w:rPr>
                <w:rFonts w:eastAsia="等线"/>
                <w:szCs w:val="21"/>
              </w:rPr>
              <w:fldChar w:fldCharType="end"/>
            </w:r>
          </w:p>
        </w:tc>
      </w:tr>
    </w:tbl>
    <w:p w:rsidR="00C223F5" w:rsidRDefault="005860D5" w:rsidP="002D1BB7">
      <w:pPr>
        <w:spacing w:line="360" w:lineRule="auto"/>
        <w:ind w:firstLineChars="200" w:firstLine="480"/>
        <w:rPr>
          <w:bCs/>
          <w:sz w:val="24"/>
        </w:rPr>
      </w:pPr>
      <w:r>
        <w:rPr>
          <w:rFonts w:hint="eastAsia"/>
          <w:bCs/>
          <w:sz w:val="24"/>
        </w:rPr>
        <w:t>评价区内农业植被分布最广，主要分布于区内村庄周边的黄土梁峁等地形平缓地段，以旱地为主，总面积</w:t>
      </w:r>
      <w:r>
        <w:rPr>
          <w:rFonts w:hint="eastAsia"/>
          <w:bCs/>
          <w:sz w:val="24"/>
        </w:rPr>
        <w:t>29.04km</w:t>
      </w:r>
      <w:r>
        <w:rPr>
          <w:rFonts w:hint="eastAsia"/>
          <w:bCs/>
          <w:sz w:val="24"/>
          <w:vertAlign w:val="superscript"/>
        </w:rPr>
        <w:t>2</w:t>
      </w:r>
      <w:r>
        <w:rPr>
          <w:rFonts w:hint="eastAsia"/>
          <w:bCs/>
          <w:sz w:val="24"/>
        </w:rPr>
        <w:t>，占评价区面积的</w:t>
      </w:r>
      <w:r>
        <w:rPr>
          <w:rFonts w:hint="eastAsia"/>
          <w:bCs/>
          <w:sz w:val="24"/>
        </w:rPr>
        <w:t>33.11%</w:t>
      </w:r>
      <w:r>
        <w:rPr>
          <w:rFonts w:hint="eastAsia"/>
          <w:bCs/>
          <w:sz w:val="24"/>
        </w:rPr>
        <w:t>；其次为草丛占地面积较大，广泛分布于全区范围内，面积为</w:t>
      </w:r>
      <w:r>
        <w:rPr>
          <w:rFonts w:hint="eastAsia"/>
          <w:bCs/>
          <w:sz w:val="24"/>
        </w:rPr>
        <w:t>23.86km</w:t>
      </w:r>
      <w:r>
        <w:rPr>
          <w:rFonts w:hint="eastAsia"/>
          <w:bCs/>
          <w:sz w:val="24"/>
          <w:vertAlign w:val="superscript"/>
        </w:rPr>
        <w:t>2</w:t>
      </w:r>
      <w:r>
        <w:rPr>
          <w:rFonts w:hint="eastAsia"/>
          <w:bCs/>
          <w:sz w:val="24"/>
        </w:rPr>
        <w:t>，占评价区面积的</w:t>
      </w:r>
      <w:r>
        <w:rPr>
          <w:rFonts w:hint="eastAsia"/>
          <w:bCs/>
          <w:sz w:val="24"/>
        </w:rPr>
        <w:t>27.20%</w:t>
      </w:r>
      <w:r>
        <w:rPr>
          <w:rFonts w:hint="eastAsia"/>
          <w:bCs/>
          <w:sz w:val="24"/>
        </w:rPr>
        <w:t>；乔木林分布较为零散，主要集中于区内一些黄土沟壑及沟谷底部地形平缓处，面积为</w:t>
      </w:r>
      <w:r>
        <w:rPr>
          <w:rFonts w:hint="eastAsia"/>
          <w:bCs/>
          <w:sz w:val="24"/>
        </w:rPr>
        <w:t>22.06km</w:t>
      </w:r>
      <w:r>
        <w:rPr>
          <w:rFonts w:hint="eastAsia"/>
          <w:bCs/>
          <w:sz w:val="24"/>
          <w:vertAlign w:val="superscript"/>
        </w:rPr>
        <w:t>2</w:t>
      </w:r>
      <w:r>
        <w:rPr>
          <w:rFonts w:hint="eastAsia"/>
          <w:bCs/>
          <w:sz w:val="24"/>
        </w:rPr>
        <w:t>，占评价区面积的</w:t>
      </w:r>
      <w:r>
        <w:rPr>
          <w:rFonts w:hint="eastAsia"/>
          <w:bCs/>
          <w:sz w:val="24"/>
        </w:rPr>
        <w:t>25.15%</w:t>
      </w:r>
      <w:r>
        <w:rPr>
          <w:rFonts w:hint="eastAsia"/>
          <w:bCs/>
          <w:sz w:val="24"/>
        </w:rPr>
        <w:t>；灌丛面积相对较小，分布较为零散，面积为</w:t>
      </w:r>
      <w:r>
        <w:rPr>
          <w:rFonts w:hint="eastAsia"/>
          <w:bCs/>
          <w:sz w:val="24"/>
        </w:rPr>
        <w:t>10.00km</w:t>
      </w:r>
      <w:r>
        <w:rPr>
          <w:rFonts w:hint="eastAsia"/>
          <w:bCs/>
          <w:sz w:val="24"/>
          <w:vertAlign w:val="superscript"/>
        </w:rPr>
        <w:t>2</w:t>
      </w:r>
      <w:r>
        <w:rPr>
          <w:rFonts w:hint="eastAsia"/>
          <w:bCs/>
          <w:sz w:val="24"/>
        </w:rPr>
        <w:t>，占评价区面积的</w:t>
      </w:r>
      <w:r>
        <w:rPr>
          <w:rFonts w:hint="eastAsia"/>
          <w:bCs/>
          <w:sz w:val="24"/>
        </w:rPr>
        <w:t>11.40%</w:t>
      </w:r>
      <w:r>
        <w:rPr>
          <w:rFonts w:hint="eastAsia"/>
          <w:bCs/>
          <w:sz w:val="24"/>
        </w:rPr>
        <w:t>；植被稀少地带仅在评价区西南部有少量分布，面积</w:t>
      </w:r>
      <w:r>
        <w:rPr>
          <w:rFonts w:hint="eastAsia"/>
          <w:bCs/>
          <w:sz w:val="24"/>
        </w:rPr>
        <w:t>0.38km</w:t>
      </w:r>
      <w:r>
        <w:rPr>
          <w:rFonts w:hint="eastAsia"/>
          <w:bCs/>
          <w:sz w:val="24"/>
          <w:vertAlign w:val="superscript"/>
        </w:rPr>
        <w:t>2</w:t>
      </w:r>
      <w:r>
        <w:rPr>
          <w:rFonts w:hint="eastAsia"/>
          <w:bCs/>
          <w:sz w:val="24"/>
        </w:rPr>
        <w:t>，占评价区面积</w:t>
      </w:r>
      <w:r>
        <w:rPr>
          <w:rFonts w:hint="eastAsia"/>
          <w:bCs/>
          <w:sz w:val="24"/>
        </w:rPr>
        <w:t>0.43%</w:t>
      </w:r>
      <w:r>
        <w:rPr>
          <w:rFonts w:hint="eastAsia"/>
          <w:bCs/>
          <w:sz w:val="24"/>
        </w:rPr>
        <w:t>；建设用地面积为</w:t>
      </w:r>
      <w:r>
        <w:rPr>
          <w:rFonts w:hint="eastAsia"/>
          <w:bCs/>
          <w:sz w:val="24"/>
        </w:rPr>
        <w:t>1.10km</w:t>
      </w:r>
      <w:r>
        <w:rPr>
          <w:rFonts w:hint="eastAsia"/>
          <w:bCs/>
          <w:sz w:val="24"/>
          <w:vertAlign w:val="superscript"/>
        </w:rPr>
        <w:t>2</w:t>
      </w:r>
      <w:r>
        <w:rPr>
          <w:rFonts w:hint="eastAsia"/>
          <w:bCs/>
          <w:sz w:val="24"/>
        </w:rPr>
        <w:t>，占评价区面积的</w:t>
      </w:r>
      <w:r>
        <w:rPr>
          <w:rFonts w:hint="eastAsia"/>
          <w:bCs/>
          <w:sz w:val="24"/>
        </w:rPr>
        <w:t>1.25%</w:t>
      </w:r>
      <w:r>
        <w:rPr>
          <w:rFonts w:hint="eastAsia"/>
          <w:bCs/>
          <w:sz w:val="24"/>
        </w:rPr>
        <w:t>；河流水面面积为</w:t>
      </w:r>
      <w:r>
        <w:rPr>
          <w:rFonts w:hint="eastAsia"/>
          <w:bCs/>
          <w:sz w:val="24"/>
        </w:rPr>
        <w:t>1.28km</w:t>
      </w:r>
      <w:r>
        <w:rPr>
          <w:rFonts w:hint="eastAsia"/>
          <w:bCs/>
          <w:sz w:val="24"/>
          <w:vertAlign w:val="superscript"/>
        </w:rPr>
        <w:t>2</w:t>
      </w:r>
      <w:r>
        <w:rPr>
          <w:rFonts w:hint="eastAsia"/>
          <w:bCs/>
          <w:sz w:val="24"/>
        </w:rPr>
        <w:t>，占评价区面积的</w:t>
      </w:r>
      <w:r>
        <w:rPr>
          <w:rFonts w:hint="eastAsia"/>
          <w:bCs/>
          <w:sz w:val="24"/>
        </w:rPr>
        <w:t>1.46%</w:t>
      </w:r>
      <w:r>
        <w:rPr>
          <w:rFonts w:hint="eastAsia"/>
          <w:bCs/>
          <w:sz w:val="24"/>
        </w:rPr>
        <w:t>。</w:t>
      </w:r>
    </w:p>
    <w:p w:rsidR="00C223F5" w:rsidRDefault="005860D5" w:rsidP="00C006A7">
      <w:pPr>
        <w:pStyle w:val="hp"/>
        <w:ind w:firstLine="482"/>
        <w:rPr>
          <w:b/>
          <w:bCs/>
        </w:rPr>
      </w:pPr>
      <w:r>
        <w:rPr>
          <w:rFonts w:hint="eastAsia"/>
          <w:b/>
          <w:bCs/>
        </w:rPr>
        <w:t>（三）评价区植被覆盖度</w:t>
      </w:r>
    </w:p>
    <w:p w:rsidR="00C223F5" w:rsidRDefault="005860D5" w:rsidP="002D1BB7">
      <w:pPr>
        <w:pStyle w:val="hp"/>
        <w:ind w:firstLine="480"/>
      </w:pPr>
      <w:r>
        <w:rPr>
          <w:rFonts w:hint="eastAsia"/>
        </w:rPr>
        <w:t>根据植被覆盖地表的百分比，评价区的植被覆盖度划分为四级，即高覆盖度、中高覆盖度、中覆盖度、低覆盖度，农业植被不分等级。植被覆盖度类型的遥感解译标志见表</w:t>
      </w:r>
      <w:r>
        <w:rPr>
          <w:rFonts w:hint="eastAsia"/>
        </w:rPr>
        <w:t>3.1.4-5</w:t>
      </w:r>
      <w:r>
        <w:rPr>
          <w:rFonts w:hint="eastAsia"/>
        </w:rPr>
        <w:t>，评价区植被覆盖度统计见表</w:t>
      </w:r>
      <w:r>
        <w:rPr>
          <w:rFonts w:hint="eastAsia"/>
        </w:rPr>
        <w:t>3.1.4-6</w:t>
      </w:r>
      <w:r>
        <w:rPr>
          <w:rFonts w:hint="eastAsia"/>
        </w:rPr>
        <w:t>及图</w:t>
      </w:r>
      <w:r>
        <w:rPr>
          <w:rFonts w:hint="eastAsia"/>
        </w:rPr>
        <w:t>3.1.4-4</w:t>
      </w:r>
      <w:r>
        <w:rPr>
          <w:rFonts w:hint="eastAsia"/>
        </w:rPr>
        <w:t>。</w:t>
      </w:r>
    </w:p>
    <w:p w:rsidR="00C223F5" w:rsidRDefault="005860D5" w:rsidP="002D1BB7">
      <w:pPr>
        <w:jc w:val="center"/>
        <w:rPr>
          <w:b/>
          <w:sz w:val="24"/>
        </w:rPr>
      </w:pPr>
      <w:r>
        <w:rPr>
          <w:rFonts w:hint="eastAsia"/>
          <w:b/>
          <w:sz w:val="24"/>
        </w:rPr>
        <w:t>表</w:t>
      </w:r>
      <w:r>
        <w:rPr>
          <w:rFonts w:hint="eastAsia"/>
          <w:b/>
          <w:sz w:val="24"/>
        </w:rPr>
        <w:t xml:space="preserve">3.1.4-5   </w:t>
      </w:r>
      <w:r>
        <w:rPr>
          <w:rFonts w:hint="eastAsia"/>
          <w:b/>
          <w:sz w:val="24"/>
        </w:rPr>
        <w:t>植被覆盖度</w:t>
      </w:r>
      <w:r>
        <w:rPr>
          <w:b/>
          <w:sz w:val="24"/>
        </w:rPr>
        <w:t>影像特征</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1380"/>
        <w:gridCol w:w="3827"/>
        <w:gridCol w:w="1776"/>
      </w:tblGrid>
      <w:tr w:rsidR="00C223F5">
        <w:trPr>
          <w:jc w:val="center"/>
        </w:trPr>
        <w:tc>
          <w:tcPr>
            <w:tcW w:w="1738" w:type="dxa"/>
            <w:vAlign w:val="center"/>
          </w:tcPr>
          <w:p w:rsidR="00C223F5" w:rsidRDefault="005860D5" w:rsidP="002D1BB7">
            <w:pPr>
              <w:jc w:val="center"/>
            </w:pPr>
            <w:r>
              <w:rPr>
                <w:rFonts w:hint="eastAsia"/>
              </w:rPr>
              <w:t>植被覆盖度类型</w:t>
            </w:r>
          </w:p>
        </w:tc>
        <w:tc>
          <w:tcPr>
            <w:tcW w:w="1380" w:type="dxa"/>
            <w:vAlign w:val="center"/>
          </w:tcPr>
          <w:p w:rsidR="00C223F5" w:rsidRDefault="005860D5" w:rsidP="002D1BB7">
            <w:pPr>
              <w:jc w:val="center"/>
            </w:pPr>
            <w:r>
              <w:rPr>
                <w:rFonts w:hint="eastAsia"/>
              </w:rPr>
              <w:t>覆盖度（</w:t>
            </w:r>
            <w:r>
              <w:rPr>
                <w:rFonts w:hint="eastAsia"/>
              </w:rPr>
              <w:t>%</w:t>
            </w:r>
            <w:r>
              <w:rPr>
                <w:rFonts w:hint="eastAsia"/>
              </w:rPr>
              <w:t>）</w:t>
            </w:r>
          </w:p>
        </w:tc>
        <w:tc>
          <w:tcPr>
            <w:tcW w:w="3827" w:type="dxa"/>
            <w:vAlign w:val="center"/>
          </w:tcPr>
          <w:p w:rsidR="00C223F5" w:rsidRDefault="005860D5" w:rsidP="002D1BB7">
            <w:pPr>
              <w:jc w:val="center"/>
            </w:pPr>
            <w:r>
              <w:rPr>
                <w:rFonts w:hint="eastAsia"/>
              </w:rPr>
              <w:t>遥感影像特征</w:t>
            </w:r>
          </w:p>
        </w:tc>
        <w:tc>
          <w:tcPr>
            <w:tcW w:w="1776" w:type="dxa"/>
            <w:vAlign w:val="center"/>
          </w:tcPr>
          <w:p w:rsidR="00C223F5" w:rsidRDefault="005860D5" w:rsidP="002D1BB7">
            <w:pPr>
              <w:jc w:val="center"/>
            </w:pPr>
            <w:r>
              <w:rPr>
                <w:rFonts w:hint="eastAsia"/>
              </w:rPr>
              <w:t>典型遥感影像</w:t>
            </w:r>
          </w:p>
        </w:tc>
      </w:tr>
      <w:tr w:rsidR="00C223F5">
        <w:trPr>
          <w:trHeight w:val="1009"/>
          <w:jc w:val="center"/>
        </w:trPr>
        <w:tc>
          <w:tcPr>
            <w:tcW w:w="1738" w:type="dxa"/>
            <w:vAlign w:val="center"/>
          </w:tcPr>
          <w:p w:rsidR="00C223F5" w:rsidRDefault="005860D5" w:rsidP="002D1BB7">
            <w:pPr>
              <w:jc w:val="center"/>
            </w:pPr>
            <w:r>
              <w:rPr>
                <w:rFonts w:hint="eastAsia"/>
              </w:rPr>
              <w:t>高覆盖度</w:t>
            </w:r>
          </w:p>
        </w:tc>
        <w:tc>
          <w:tcPr>
            <w:tcW w:w="1380" w:type="dxa"/>
            <w:vAlign w:val="center"/>
          </w:tcPr>
          <w:p w:rsidR="00C223F5" w:rsidRDefault="005860D5" w:rsidP="002D1BB7">
            <w:pPr>
              <w:jc w:val="center"/>
            </w:pPr>
            <w:r>
              <w:rPr>
                <w:rFonts w:hint="eastAsia"/>
              </w:rPr>
              <w:t>＞</w:t>
            </w:r>
            <w:r>
              <w:rPr>
                <w:rFonts w:hint="eastAsia"/>
              </w:rPr>
              <w:t>70</w:t>
            </w:r>
          </w:p>
        </w:tc>
        <w:tc>
          <w:tcPr>
            <w:tcW w:w="3827" w:type="dxa"/>
            <w:vAlign w:val="center"/>
          </w:tcPr>
          <w:p w:rsidR="00C223F5" w:rsidRDefault="005860D5" w:rsidP="002D1BB7">
            <w:r>
              <w:rPr>
                <w:rFonts w:hint="eastAsia"/>
              </w:rPr>
              <w:t>呈绿色、深褐色色彩，色彩均匀，不规则块状分布，解译标志明显</w:t>
            </w:r>
          </w:p>
        </w:tc>
        <w:tc>
          <w:tcPr>
            <w:tcW w:w="1776" w:type="dxa"/>
            <w:vAlign w:val="center"/>
          </w:tcPr>
          <w:p w:rsidR="00C223F5" w:rsidRDefault="005860D5" w:rsidP="002D1BB7">
            <w:pPr>
              <w:jc w:val="center"/>
            </w:pPr>
            <w:r>
              <w:rPr>
                <w:rFonts w:ascii="宋体" w:hAnsi="宋体" w:cs="宋体"/>
                <w:noProof/>
                <w:kern w:val="0"/>
                <w:sz w:val="24"/>
              </w:rPr>
              <w:drawing>
                <wp:inline distT="0" distB="0" distL="0" distR="0">
                  <wp:extent cx="962025" cy="581025"/>
                  <wp:effectExtent l="19050" t="0" r="9525" b="0"/>
                  <wp:docPr id="165" name="图片 165" descr="H{_}TNM@JG@XNCSDB39_W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H{_}TNM@JG@XNCSDB39_WQT"/>
                          <pic:cNvPicPr>
                            <a:picLocks noChangeAspect="1" noChangeArrowheads="1"/>
                          </pic:cNvPicPr>
                        </pic:nvPicPr>
                        <pic:blipFill>
                          <a:blip r:embed="rId34" cstate="print"/>
                          <a:srcRect/>
                          <a:stretch>
                            <a:fillRect/>
                          </a:stretch>
                        </pic:blipFill>
                        <pic:spPr>
                          <a:xfrm>
                            <a:off x="0" y="0"/>
                            <a:ext cx="962025" cy="581025"/>
                          </a:xfrm>
                          <a:prstGeom prst="rect">
                            <a:avLst/>
                          </a:prstGeom>
                          <a:noFill/>
                          <a:ln w="9525">
                            <a:noFill/>
                            <a:miter lim="800000"/>
                            <a:headEnd/>
                            <a:tailEnd/>
                          </a:ln>
                        </pic:spPr>
                      </pic:pic>
                    </a:graphicData>
                  </a:graphic>
                </wp:inline>
              </w:drawing>
            </w:r>
          </w:p>
        </w:tc>
      </w:tr>
      <w:tr w:rsidR="00C223F5">
        <w:trPr>
          <w:trHeight w:val="1038"/>
          <w:jc w:val="center"/>
        </w:trPr>
        <w:tc>
          <w:tcPr>
            <w:tcW w:w="1738" w:type="dxa"/>
            <w:vAlign w:val="center"/>
          </w:tcPr>
          <w:p w:rsidR="00C223F5" w:rsidRDefault="005860D5" w:rsidP="002D1BB7">
            <w:pPr>
              <w:jc w:val="center"/>
            </w:pPr>
            <w:r>
              <w:rPr>
                <w:rFonts w:hint="eastAsia"/>
              </w:rPr>
              <w:t>中高覆盖度</w:t>
            </w:r>
          </w:p>
        </w:tc>
        <w:tc>
          <w:tcPr>
            <w:tcW w:w="1380" w:type="dxa"/>
            <w:shd w:val="clear" w:color="auto" w:fill="auto"/>
            <w:vAlign w:val="center"/>
          </w:tcPr>
          <w:p w:rsidR="00C223F5" w:rsidRDefault="005860D5" w:rsidP="002D1BB7">
            <w:pPr>
              <w:jc w:val="center"/>
            </w:pPr>
            <w:r>
              <w:rPr>
                <w:rFonts w:hint="eastAsia"/>
              </w:rPr>
              <w:t>50</w:t>
            </w:r>
            <w:r>
              <w:rPr>
                <w:rFonts w:hint="eastAsia"/>
              </w:rPr>
              <w:t>－</w:t>
            </w:r>
            <w:r>
              <w:rPr>
                <w:rFonts w:hint="eastAsia"/>
              </w:rPr>
              <w:t>70</w:t>
            </w:r>
          </w:p>
        </w:tc>
        <w:tc>
          <w:tcPr>
            <w:tcW w:w="3827" w:type="dxa"/>
            <w:shd w:val="clear" w:color="auto" w:fill="auto"/>
            <w:vAlign w:val="center"/>
          </w:tcPr>
          <w:p w:rsidR="00C223F5" w:rsidRDefault="005860D5" w:rsidP="002D1BB7">
            <w:r>
              <w:rPr>
                <w:rFonts w:hint="eastAsia"/>
              </w:rPr>
              <w:t>呈绿色、褐色色彩，具白色斑点状影纹，不规则片状分布，解译标志明显</w:t>
            </w:r>
          </w:p>
        </w:tc>
        <w:tc>
          <w:tcPr>
            <w:tcW w:w="1776" w:type="dxa"/>
            <w:vAlign w:val="center"/>
          </w:tcPr>
          <w:p w:rsidR="00C223F5" w:rsidRDefault="005860D5" w:rsidP="002D1BB7">
            <w:pPr>
              <w:jc w:val="center"/>
            </w:pPr>
            <w:r>
              <w:rPr>
                <w:rFonts w:ascii="宋体" w:hAnsi="宋体" w:cs="宋体"/>
                <w:noProof/>
                <w:kern w:val="0"/>
                <w:sz w:val="24"/>
              </w:rPr>
              <w:drawing>
                <wp:inline distT="0" distB="0" distL="0" distR="0">
                  <wp:extent cx="952500" cy="590550"/>
                  <wp:effectExtent l="19050" t="0" r="0" b="0"/>
                  <wp:docPr id="166" name="图片 166" descr="YF6QVT}[Q07SHRV4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YF6QVT}[Q07SHRV4A]}@P`2"/>
                          <pic:cNvPicPr>
                            <a:picLocks noChangeAspect="1" noChangeArrowheads="1"/>
                          </pic:cNvPicPr>
                        </pic:nvPicPr>
                        <pic:blipFill>
                          <a:blip r:embed="rId35" cstate="print"/>
                          <a:srcRect/>
                          <a:stretch>
                            <a:fillRect/>
                          </a:stretch>
                        </pic:blipFill>
                        <pic:spPr>
                          <a:xfrm>
                            <a:off x="0" y="0"/>
                            <a:ext cx="952500" cy="590550"/>
                          </a:xfrm>
                          <a:prstGeom prst="rect">
                            <a:avLst/>
                          </a:prstGeom>
                          <a:noFill/>
                          <a:ln w="9525">
                            <a:noFill/>
                            <a:miter lim="800000"/>
                            <a:headEnd/>
                            <a:tailEnd/>
                          </a:ln>
                        </pic:spPr>
                      </pic:pic>
                    </a:graphicData>
                  </a:graphic>
                </wp:inline>
              </w:drawing>
            </w:r>
          </w:p>
        </w:tc>
      </w:tr>
      <w:tr w:rsidR="00C223F5">
        <w:trPr>
          <w:trHeight w:val="996"/>
          <w:jc w:val="center"/>
        </w:trPr>
        <w:tc>
          <w:tcPr>
            <w:tcW w:w="1738" w:type="dxa"/>
            <w:vAlign w:val="center"/>
          </w:tcPr>
          <w:p w:rsidR="00C223F5" w:rsidRDefault="005860D5" w:rsidP="002D1BB7">
            <w:pPr>
              <w:jc w:val="center"/>
            </w:pPr>
            <w:r>
              <w:rPr>
                <w:rFonts w:hint="eastAsia"/>
              </w:rPr>
              <w:t>中覆盖度</w:t>
            </w:r>
          </w:p>
        </w:tc>
        <w:tc>
          <w:tcPr>
            <w:tcW w:w="1380" w:type="dxa"/>
            <w:vAlign w:val="center"/>
          </w:tcPr>
          <w:p w:rsidR="00C223F5" w:rsidRDefault="005860D5" w:rsidP="002D1BB7">
            <w:pPr>
              <w:jc w:val="center"/>
            </w:pPr>
            <w:r>
              <w:rPr>
                <w:rFonts w:hint="eastAsia"/>
              </w:rPr>
              <w:t>30</w:t>
            </w:r>
            <w:r>
              <w:rPr>
                <w:rFonts w:hint="eastAsia"/>
              </w:rPr>
              <w:t>—</w:t>
            </w:r>
            <w:r>
              <w:rPr>
                <w:rFonts w:hint="eastAsia"/>
              </w:rPr>
              <w:t>50</w:t>
            </w:r>
          </w:p>
        </w:tc>
        <w:tc>
          <w:tcPr>
            <w:tcW w:w="3827" w:type="dxa"/>
            <w:vAlign w:val="center"/>
          </w:tcPr>
          <w:p w:rsidR="00C223F5" w:rsidRDefault="005860D5" w:rsidP="002D1BB7">
            <w:r>
              <w:rPr>
                <w:rFonts w:hint="eastAsia"/>
              </w:rPr>
              <w:t>浅绿色、黄灰色色彩，具白色斑块状影纹，不规则片状分布，解译标志明显</w:t>
            </w:r>
          </w:p>
        </w:tc>
        <w:tc>
          <w:tcPr>
            <w:tcW w:w="1776" w:type="dxa"/>
            <w:vAlign w:val="center"/>
          </w:tcPr>
          <w:p w:rsidR="00C223F5" w:rsidRDefault="005860D5" w:rsidP="002D1BB7">
            <w:pPr>
              <w:jc w:val="center"/>
            </w:pPr>
            <w:r>
              <w:rPr>
                <w:rFonts w:ascii="宋体" w:hAnsi="宋体" w:cs="宋体"/>
                <w:noProof/>
                <w:kern w:val="0"/>
                <w:sz w:val="24"/>
              </w:rPr>
              <w:drawing>
                <wp:inline distT="0" distB="0" distL="0" distR="0">
                  <wp:extent cx="952500" cy="571500"/>
                  <wp:effectExtent l="19050" t="0" r="0" b="0"/>
                  <wp:docPr id="167" name="图片 167" descr="$4UA{@DB`)%(2WPOJ7~69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4UA{@DB`)%(2WPOJ7~69GT"/>
                          <pic:cNvPicPr>
                            <a:picLocks noChangeAspect="1" noChangeArrowheads="1"/>
                          </pic:cNvPicPr>
                        </pic:nvPicPr>
                        <pic:blipFill>
                          <a:blip r:embed="rId36" cstate="print"/>
                          <a:srcRect/>
                          <a:stretch>
                            <a:fillRect/>
                          </a:stretch>
                        </pic:blipFill>
                        <pic:spPr>
                          <a:xfrm>
                            <a:off x="0" y="0"/>
                            <a:ext cx="952500" cy="571500"/>
                          </a:xfrm>
                          <a:prstGeom prst="rect">
                            <a:avLst/>
                          </a:prstGeom>
                          <a:noFill/>
                          <a:ln w="9525">
                            <a:noFill/>
                            <a:miter lim="800000"/>
                            <a:headEnd/>
                            <a:tailEnd/>
                          </a:ln>
                        </pic:spPr>
                      </pic:pic>
                    </a:graphicData>
                  </a:graphic>
                </wp:inline>
              </w:drawing>
            </w:r>
          </w:p>
        </w:tc>
      </w:tr>
      <w:tr w:rsidR="00C223F5">
        <w:trPr>
          <w:trHeight w:val="1034"/>
          <w:jc w:val="center"/>
        </w:trPr>
        <w:tc>
          <w:tcPr>
            <w:tcW w:w="1738" w:type="dxa"/>
            <w:vAlign w:val="center"/>
          </w:tcPr>
          <w:p w:rsidR="00C223F5" w:rsidRDefault="005860D5" w:rsidP="002D1BB7">
            <w:pPr>
              <w:jc w:val="center"/>
            </w:pPr>
            <w:r>
              <w:rPr>
                <w:rFonts w:hint="eastAsia"/>
              </w:rPr>
              <w:t>低覆盖度</w:t>
            </w:r>
          </w:p>
        </w:tc>
        <w:tc>
          <w:tcPr>
            <w:tcW w:w="1380" w:type="dxa"/>
            <w:vAlign w:val="center"/>
          </w:tcPr>
          <w:p w:rsidR="00C223F5" w:rsidRDefault="005860D5" w:rsidP="002D1BB7">
            <w:pPr>
              <w:jc w:val="center"/>
            </w:pPr>
            <w:r>
              <w:rPr>
                <w:rFonts w:hint="eastAsia"/>
              </w:rPr>
              <w:t>10</w:t>
            </w:r>
            <w:r>
              <w:rPr>
                <w:rFonts w:hint="eastAsia"/>
              </w:rPr>
              <w:t>—</w:t>
            </w:r>
            <w:r>
              <w:rPr>
                <w:rFonts w:hint="eastAsia"/>
              </w:rPr>
              <w:t>30</w:t>
            </w:r>
          </w:p>
        </w:tc>
        <w:tc>
          <w:tcPr>
            <w:tcW w:w="3827" w:type="dxa"/>
            <w:vAlign w:val="center"/>
          </w:tcPr>
          <w:p w:rsidR="00C223F5" w:rsidRDefault="005860D5" w:rsidP="002D1BB7">
            <w:r>
              <w:rPr>
                <w:rFonts w:hint="eastAsia"/>
              </w:rPr>
              <w:t>呈白色色彩，具棕色、绿色斑点状影纹，不规则片状分布，解译标志明显</w:t>
            </w:r>
          </w:p>
        </w:tc>
        <w:tc>
          <w:tcPr>
            <w:tcW w:w="1776" w:type="dxa"/>
            <w:vAlign w:val="center"/>
          </w:tcPr>
          <w:p w:rsidR="00C223F5" w:rsidRDefault="005860D5" w:rsidP="002D1BB7">
            <w:pPr>
              <w:widowControl/>
              <w:jc w:val="center"/>
              <w:rPr>
                <w:rFonts w:ascii="宋体" w:hAnsi="宋体" w:cs="宋体"/>
                <w:kern w:val="0"/>
                <w:sz w:val="24"/>
              </w:rPr>
            </w:pPr>
            <w:r>
              <w:rPr>
                <w:rFonts w:ascii="宋体" w:hAnsi="宋体" w:cs="宋体"/>
                <w:noProof/>
                <w:kern w:val="0"/>
                <w:sz w:val="24"/>
              </w:rPr>
              <w:drawing>
                <wp:inline distT="0" distB="0" distL="0" distR="0">
                  <wp:extent cx="962025" cy="571500"/>
                  <wp:effectExtent l="19050" t="0" r="9525" b="0"/>
                  <wp:docPr id="168" name="图片 168" descr="H7UCL3KBD`)J3N]J0E0@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H7UCL3KBD`)J3N]J0E0@LEA"/>
                          <pic:cNvPicPr>
                            <a:picLocks noChangeAspect="1" noChangeArrowheads="1"/>
                          </pic:cNvPicPr>
                        </pic:nvPicPr>
                        <pic:blipFill>
                          <a:blip r:embed="rId37" cstate="print"/>
                          <a:srcRect/>
                          <a:stretch>
                            <a:fillRect/>
                          </a:stretch>
                        </pic:blipFill>
                        <pic:spPr>
                          <a:xfrm>
                            <a:off x="0" y="0"/>
                            <a:ext cx="962025" cy="571500"/>
                          </a:xfrm>
                          <a:prstGeom prst="rect">
                            <a:avLst/>
                          </a:prstGeom>
                          <a:noFill/>
                          <a:ln w="9525">
                            <a:noFill/>
                            <a:miter lim="800000"/>
                            <a:headEnd/>
                            <a:tailEnd/>
                          </a:ln>
                        </pic:spPr>
                      </pic:pic>
                    </a:graphicData>
                  </a:graphic>
                </wp:inline>
              </w:drawing>
            </w:r>
          </w:p>
        </w:tc>
      </w:tr>
    </w:tbl>
    <w:p w:rsidR="00C223F5" w:rsidRDefault="005860D5" w:rsidP="002D1BB7">
      <w:pPr>
        <w:spacing w:line="360" w:lineRule="auto"/>
        <w:ind w:firstLineChars="200" w:firstLine="480"/>
        <w:rPr>
          <w:b/>
          <w:bCs/>
          <w:sz w:val="28"/>
        </w:rPr>
      </w:pPr>
      <w:r>
        <w:rPr>
          <w:rFonts w:hint="eastAsia"/>
          <w:sz w:val="24"/>
        </w:rPr>
        <w:t>高覆盖度植被在评价区各区域均有分布，多见于沟壑内；中高覆盖度植被在</w:t>
      </w:r>
      <w:r>
        <w:rPr>
          <w:rFonts w:hint="eastAsia"/>
          <w:sz w:val="24"/>
        </w:rPr>
        <w:lastRenderedPageBreak/>
        <w:t>评价区呈块状连续分布，东部分布面积相对较小；中覆盖度植被在区内亦呈大面积连续块状分布；低覆盖度植被分布较为零散，全区仅北部及西南部有小面积块状分布。</w:t>
      </w:r>
    </w:p>
    <w:p w:rsidR="00C223F5" w:rsidRDefault="005860D5" w:rsidP="002D1BB7">
      <w:pPr>
        <w:jc w:val="center"/>
        <w:rPr>
          <w:b/>
          <w:sz w:val="24"/>
        </w:rPr>
      </w:pPr>
      <w:r>
        <w:rPr>
          <w:rFonts w:hint="eastAsia"/>
          <w:b/>
          <w:sz w:val="24"/>
        </w:rPr>
        <w:t>表</w:t>
      </w:r>
      <w:r>
        <w:rPr>
          <w:rFonts w:hint="eastAsia"/>
          <w:b/>
          <w:sz w:val="24"/>
        </w:rPr>
        <w:t xml:space="preserve">3.1.4-6   </w:t>
      </w:r>
      <w:r>
        <w:rPr>
          <w:rFonts w:hint="eastAsia"/>
          <w:b/>
          <w:sz w:val="24"/>
        </w:rPr>
        <w:t>植被覆盖度类型面积统计</w:t>
      </w:r>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1655"/>
        <w:gridCol w:w="1560"/>
        <w:gridCol w:w="1701"/>
        <w:gridCol w:w="1751"/>
      </w:tblGrid>
      <w:tr w:rsidR="00C223F5">
        <w:trPr>
          <w:trHeight w:val="270"/>
          <w:jc w:val="center"/>
        </w:trPr>
        <w:tc>
          <w:tcPr>
            <w:tcW w:w="1762" w:type="dxa"/>
            <w:vMerge w:val="restart"/>
            <w:shd w:val="clear" w:color="auto" w:fill="auto"/>
            <w:vAlign w:val="center"/>
          </w:tcPr>
          <w:p w:rsidR="00C223F5" w:rsidRDefault="005860D5" w:rsidP="002D1BB7">
            <w:pPr>
              <w:widowControl/>
              <w:jc w:val="left"/>
              <w:rPr>
                <w:rFonts w:ascii="宋体" w:hAnsi="宋体" w:cs="宋体"/>
                <w:kern w:val="0"/>
                <w:sz w:val="22"/>
                <w:szCs w:val="22"/>
              </w:rPr>
            </w:pPr>
            <w:r>
              <w:rPr>
                <w:rFonts w:ascii="宋体" w:hAnsi="宋体" w:cs="宋体" w:hint="eastAsia"/>
                <w:kern w:val="0"/>
                <w:sz w:val="22"/>
                <w:szCs w:val="22"/>
              </w:rPr>
              <w:t>植被覆盖度</w:t>
            </w:r>
          </w:p>
        </w:tc>
        <w:tc>
          <w:tcPr>
            <w:tcW w:w="3215" w:type="dxa"/>
            <w:gridSpan w:val="2"/>
            <w:shd w:val="clear" w:color="auto" w:fill="auto"/>
            <w:vAlign w:val="center"/>
          </w:tcPr>
          <w:p w:rsidR="00C223F5" w:rsidRDefault="005860D5" w:rsidP="002D1BB7">
            <w:pPr>
              <w:widowControl/>
              <w:jc w:val="center"/>
              <w:rPr>
                <w:rFonts w:ascii="宋体" w:hAnsi="宋体" w:cs="宋体"/>
                <w:kern w:val="0"/>
                <w:sz w:val="22"/>
                <w:szCs w:val="22"/>
              </w:rPr>
            </w:pPr>
            <w:r>
              <w:rPr>
                <w:rFonts w:ascii="宋体" w:hAnsi="宋体" w:cs="宋体" w:hint="eastAsia"/>
                <w:kern w:val="0"/>
                <w:sz w:val="22"/>
                <w:szCs w:val="22"/>
              </w:rPr>
              <w:t>评价区</w:t>
            </w:r>
          </w:p>
        </w:tc>
        <w:tc>
          <w:tcPr>
            <w:tcW w:w="3452" w:type="dxa"/>
            <w:gridSpan w:val="2"/>
          </w:tcPr>
          <w:p w:rsidR="00C223F5" w:rsidRDefault="005860D5" w:rsidP="002D1BB7">
            <w:pPr>
              <w:widowControl/>
              <w:jc w:val="center"/>
              <w:rPr>
                <w:rFonts w:ascii="宋体" w:hAnsi="宋体" w:cs="宋体"/>
                <w:kern w:val="0"/>
                <w:sz w:val="22"/>
                <w:szCs w:val="22"/>
              </w:rPr>
            </w:pPr>
            <w:r>
              <w:rPr>
                <w:rFonts w:ascii="宋体" w:hAnsi="宋体" w:cs="宋体" w:hint="eastAsia"/>
                <w:kern w:val="0"/>
                <w:sz w:val="22"/>
                <w:szCs w:val="22"/>
              </w:rPr>
              <w:t>井田范围</w:t>
            </w:r>
          </w:p>
        </w:tc>
      </w:tr>
      <w:tr w:rsidR="00C223F5">
        <w:trPr>
          <w:trHeight w:val="270"/>
          <w:jc w:val="center"/>
        </w:trPr>
        <w:tc>
          <w:tcPr>
            <w:tcW w:w="1762" w:type="dxa"/>
            <w:vMerge/>
            <w:shd w:val="clear" w:color="auto" w:fill="auto"/>
            <w:vAlign w:val="center"/>
          </w:tcPr>
          <w:p w:rsidR="00C223F5" w:rsidRDefault="00C223F5" w:rsidP="002D1BB7">
            <w:pPr>
              <w:widowControl/>
              <w:jc w:val="left"/>
              <w:rPr>
                <w:rFonts w:ascii="宋体" w:hAnsi="宋体" w:cs="宋体"/>
                <w:kern w:val="0"/>
                <w:sz w:val="22"/>
                <w:szCs w:val="22"/>
              </w:rPr>
            </w:pPr>
          </w:p>
        </w:tc>
        <w:tc>
          <w:tcPr>
            <w:tcW w:w="1655" w:type="dxa"/>
            <w:shd w:val="clear" w:color="auto" w:fill="auto"/>
            <w:vAlign w:val="center"/>
          </w:tcPr>
          <w:p w:rsidR="00C223F5" w:rsidRDefault="005860D5" w:rsidP="002D1BB7">
            <w:pPr>
              <w:jc w:val="center"/>
              <w:rPr>
                <w:rFonts w:ascii="宋体" w:hAnsi="宋体" w:cs="宋体"/>
                <w:sz w:val="22"/>
                <w:szCs w:val="22"/>
              </w:rPr>
            </w:pPr>
            <w:r>
              <w:rPr>
                <w:rFonts w:hint="eastAsia"/>
                <w:sz w:val="22"/>
                <w:szCs w:val="22"/>
              </w:rPr>
              <w:t>面积（</w:t>
            </w:r>
            <w:r>
              <w:rPr>
                <w:rFonts w:hint="eastAsia"/>
                <w:bCs/>
                <w:szCs w:val="21"/>
              </w:rPr>
              <w:t>km</w:t>
            </w:r>
            <w:r>
              <w:rPr>
                <w:rFonts w:hint="eastAsia"/>
                <w:bCs/>
                <w:szCs w:val="21"/>
                <w:vertAlign w:val="superscript"/>
              </w:rPr>
              <w:t>2</w:t>
            </w:r>
            <w:r>
              <w:rPr>
                <w:rFonts w:hint="eastAsia"/>
                <w:sz w:val="22"/>
                <w:szCs w:val="22"/>
              </w:rPr>
              <w:t>）</w:t>
            </w:r>
          </w:p>
        </w:tc>
        <w:tc>
          <w:tcPr>
            <w:tcW w:w="1560" w:type="dxa"/>
            <w:shd w:val="clear" w:color="auto" w:fill="auto"/>
            <w:vAlign w:val="center"/>
          </w:tcPr>
          <w:p w:rsidR="00C223F5" w:rsidRDefault="005860D5" w:rsidP="002D1BB7">
            <w:pPr>
              <w:jc w:val="center"/>
              <w:rPr>
                <w:rFonts w:ascii="宋体" w:hAnsi="宋体" w:cs="宋体"/>
                <w:sz w:val="22"/>
                <w:szCs w:val="22"/>
              </w:rPr>
            </w:pPr>
            <w:r>
              <w:rPr>
                <w:rFonts w:hint="eastAsia"/>
                <w:sz w:val="22"/>
                <w:szCs w:val="22"/>
              </w:rPr>
              <w:t>百分比（</w:t>
            </w:r>
            <w:r>
              <w:rPr>
                <w:rFonts w:hint="eastAsia"/>
                <w:sz w:val="22"/>
                <w:szCs w:val="22"/>
              </w:rPr>
              <w:t>%</w:t>
            </w:r>
            <w:r>
              <w:rPr>
                <w:rFonts w:hint="eastAsia"/>
                <w:sz w:val="22"/>
                <w:szCs w:val="22"/>
              </w:rPr>
              <w:t>）</w:t>
            </w:r>
          </w:p>
        </w:tc>
        <w:tc>
          <w:tcPr>
            <w:tcW w:w="1701" w:type="dxa"/>
            <w:vAlign w:val="center"/>
          </w:tcPr>
          <w:p w:rsidR="00C223F5" w:rsidRDefault="005860D5" w:rsidP="002D1BB7">
            <w:pPr>
              <w:jc w:val="center"/>
              <w:rPr>
                <w:rFonts w:ascii="宋体" w:hAnsi="宋体" w:cs="宋体"/>
                <w:sz w:val="22"/>
                <w:szCs w:val="22"/>
              </w:rPr>
            </w:pPr>
            <w:r>
              <w:rPr>
                <w:rFonts w:hint="eastAsia"/>
                <w:sz w:val="22"/>
                <w:szCs w:val="22"/>
              </w:rPr>
              <w:t>面积（</w:t>
            </w:r>
            <w:r>
              <w:rPr>
                <w:rFonts w:hint="eastAsia"/>
                <w:bCs/>
                <w:szCs w:val="21"/>
              </w:rPr>
              <w:t>km</w:t>
            </w:r>
            <w:r>
              <w:rPr>
                <w:rFonts w:hint="eastAsia"/>
                <w:bCs/>
                <w:szCs w:val="21"/>
                <w:vertAlign w:val="superscript"/>
              </w:rPr>
              <w:t>2</w:t>
            </w:r>
            <w:r>
              <w:rPr>
                <w:rFonts w:hint="eastAsia"/>
                <w:sz w:val="22"/>
                <w:szCs w:val="22"/>
              </w:rPr>
              <w:t>）</w:t>
            </w:r>
          </w:p>
        </w:tc>
        <w:tc>
          <w:tcPr>
            <w:tcW w:w="1751" w:type="dxa"/>
            <w:vAlign w:val="center"/>
          </w:tcPr>
          <w:p w:rsidR="00C223F5" w:rsidRDefault="005860D5" w:rsidP="002D1BB7">
            <w:pPr>
              <w:jc w:val="center"/>
              <w:rPr>
                <w:rFonts w:ascii="宋体" w:hAnsi="宋体" w:cs="宋体"/>
                <w:sz w:val="22"/>
                <w:szCs w:val="22"/>
              </w:rPr>
            </w:pPr>
            <w:r>
              <w:rPr>
                <w:rFonts w:hint="eastAsia"/>
                <w:sz w:val="22"/>
                <w:szCs w:val="22"/>
              </w:rPr>
              <w:t>百分比（</w:t>
            </w:r>
            <w:r>
              <w:rPr>
                <w:rFonts w:hint="eastAsia"/>
                <w:sz w:val="22"/>
                <w:szCs w:val="22"/>
              </w:rPr>
              <w:t>%</w:t>
            </w:r>
            <w:r>
              <w:rPr>
                <w:rFonts w:hint="eastAsia"/>
                <w:sz w:val="22"/>
                <w:szCs w:val="22"/>
              </w:rPr>
              <w:t>）</w:t>
            </w:r>
          </w:p>
        </w:tc>
      </w:tr>
      <w:tr w:rsidR="00C223F5">
        <w:trPr>
          <w:trHeight w:val="270"/>
          <w:jc w:val="center"/>
        </w:trPr>
        <w:tc>
          <w:tcPr>
            <w:tcW w:w="1762" w:type="dxa"/>
            <w:shd w:val="clear" w:color="auto" w:fill="auto"/>
            <w:vAlign w:val="center"/>
          </w:tcPr>
          <w:p w:rsidR="00C223F5" w:rsidRDefault="005860D5" w:rsidP="002D1BB7">
            <w:pPr>
              <w:jc w:val="center"/>
              <w:rPr>
                <w:rFonts w:ascii="宋体" w:hAnsi="宋体" w:cs="宋体"/>
                <w:sz w:val="22"/>
                <w:szCs w:val="22"/>
              </w:rPr>
            </w:pPr>
            <w:r>
              <w:rPr>
                <w:rFonts w:hint="eastAsia"/>
                <w:sz w:val="22"/>
                <w:szCs w:val="22"/>
              </w:rPr>
              <w:t>农业植被</w:t>
            </w:r>
          </w:p>
        </w:tc>
        <w:tc>
          <w:tcPr>
            <w:tcW w:w="1655" w:type="dxa"/>
            <w:shd w:val="clear" w:color="auto" w:fill="auto"/>
            <w:vAlign w:val="center"/>
          </w:tcPr>
          <w:p w:rsidR="00C223F5" w:rsidRDefault="005860D5" w:rsidP="002D1BB7">
            <w:pPr>
              <w:jc w:val="center"/>
              <w:rPr>
                <w:rFonts w:eastAsia="等线"/>
                <w:szCs w:val="21"/>
              </w:rPr>
            </w:pPr>
            <w:r>
              <w:rPr>
                <w:rFonts w:eastAsia="等线"/>
                <w:szCs w:val="21"/>
              </w:rPr>
              <w:t>28.99</w:t>
            </w:r>
          </w:p>
        </w:tc>
        <w:tc>
          <w:tcPr>
            <w:tcW w:w="1560" w:type="dxa"/>
            <w:shd w:val="clear" w:color="auto" w:fill="auto"/>
            <w:vAlign w:val="center"/>
          </w:tcPr>
          <w:p w:rsidR="00C223F5" w:rsidRDefault="005860D5" w:rsidP="002D1BB7">
            <w:pPr>
              <w:jc w:val="center"/>
              <w:rPr>
                <w:rFonts w:eastAsia="等线"/>
                <w:szCs w:val="21"/>
              </w:rPr>
            </w:pPr>
            <w:r>
              <w:rPr>
                <w:rFonts w:eastAsia="等线"/>
                <w:szCs w:val="21"/>
              </w:rPr>
              <w:t>33.05</w:t>
            </w:r>
          </w:p>
        </w:tc>
        <w:tc>
          <w:tcPr>
            <w:tcW w:w="1701" w:type="dxa"/>
            <w:vAlign w:val="center"/>
          </w:tcPr>
          <w:p w:rsidR="00C223F5" w:rsidRDefault="005860D5" w:rsidP="002D1BB7">
            <w:pPr>
              <w:jc w:val="center"/>
              <w:rPr>
                <w:rFonts w:eastAsia="等线"/>
                <w:szCs w:val="21"/>
              </w:rPr>
            </w:pPr>
            <w:r>
              <w:rPr>
                <w:rFonts w:eastAsia="等线"/>
                <w:szCs w:val="21"/>
              </w:rPr>
              <w:t>22.7</w:t>
            </w:r>
            <w:r>
              <w:rPr>
                <w:rFonts w:eastAsia="等线" w:hint="eastAsia"/>
                <w:szCs w:val="21"/>
              </w:rPr>
              <w:t>5</w:t>
            </w:r>
          </w:p>
        </w:tc>
        <w:tc>
          <w:tcPr>
            <w:tcW w:w="1751" w:type="dxa"/>
            <w:vAlign w:val="center"/>
          </w:tcPr>
          <w:p w:rsidR="00C223F5" w:rsidRDefault="005860D5" w:rsidP="002D1BB7">
            <w:pPr>
              <w:jc w:val="center"/>
              <w:rPr>
                <w:rFonts w:eastAsia="等线"/>
                <w:szCs w:val="21"/>
              </w:rPr>
            </w:pPr>
            <w:r>
              <w:rPr>
                <w:rFonts w:eastAsia="等线"/>
                <w:szCs w:val="21"/>
              </w:rPr>
              <w:t>33.91</w:t>
            </w:r>
          </w:p>
        </w:tc>
      </w:tr>
      <w:tr w:rsidR="00C223F5">
        <w:trPr>
          <w:trHeight w:val="270"/>
          <w:jc w:val="center"/>
        </w:trPr>
        <w:tc>
          <w:tcPr>
            <w:tcW w:w="1762" w:type="dxa"/>
            <w:shd w:val="clear" w:color="auto" w:fill="auto"/>
            <w:vAlign w:val="center"/>
          </w:tcPr>
          <w:p w:rsidR="00C223F5" w:rsidRDefault="005860D5" w:rsidP="002D1BB7">
            <w:pPr>
              <w:jc w:val="center"/>
              <w:rPr>
                <w:rFonts w:ascii="宋体" w:hAnsi="宋体" w:cs="宋体"/>
                <w:sz w:val="22"/>
                <w:szCs w:val="22"/>
              </w:rPr>
            </w:pPr>
            <w:r>
              <w:rPr>
                <w:rFonts w:hint="eastAsia"/>
                <w:sz w:val="22"/>
                <w:szCs w:val="22"/>
              </w:rPr>
              <w:t>高覆盖度植被</w:t>
            </w:r>
          </w:p>
        </w:tc>
        <w:tc>
          <w:tcPr>
            <w:tcW w:w="1655" w:type="dxa"/>
            <w:shd w:val="clear" w:color="auto" w:fill="auto"/>
            <w:vAlign w:val="center"/>
          </w:tcPr>
          <w:p w:rsidR="00C223F5" w:rsidRDefault="005860D5" w:rsidP="002D1BB7">
            <w:pPr>
              <w:jc w:val="center"/>
              <w:rPr>
                <w:rFonts w:eastAsia="等线"/>
                <w:szCs w:val="21"/>
              </w:rPr>
            </w:pPr>
            <w:r>
              <w:rPr>
                <w:rFonts w:eastAsia="等线"/>
                <w:szCs w:val="21"/>
              </w:rPr>
              <w:t>13.9</w:t>
            </w:r>
            <w:r>
              <w:rPr>
                <w:rFonts w:eastAsia="等线" w:hint="eastAsia"/>
                <w:szCs w:val="21"/>
              </w:rPr>
              <w:t>2</w:t>
            </w:r>
          </w:p>
        </w:tc>
        <w:tc>
          <w:tcPr>
            <w:tcW w:w="1560" w:type="dxa"/>
            <w:shd w:val="clear" w:color="auto" w:fill="auto"/>
            <w:vAlign w:val="center"/>
          </w:tcPr>
          <w:p w:rsidR="00C223F5" w:rsidRDefault="005860D5" w:rsidP="002D1BB7">
            <w:pPr>
              <w:jc w:val="center"/>
              <w:rPr>
                <w:rFonts w:eastAsia="等线"/>
                <w:szCs w:val="21"/>
              </w:rPr>
            </w:pPr>
            <w:r>
              <w:rPr>
                <w:rFonts w:eastAsia="等线"/>
                <w:szCs w:val="21"/>
              </w:rPr>
              <w:t>15.86</w:t>
            </w:r>
          </w:p>
        </w:tc>
        <w:tc>
          <w:tcPr>
            <w:tcW w:w="1701" w:type="dxa"/>
            <w:vAlign w:val="center"/>
          </w:tcPr>
          <w:p w:rsidR="00C223F5" w:rsidRDefault="005860D5" w:rsidP="002D1BB7">
            <w:pPr>
              <w:jc w:val="center"/>
              <w:rPr>
                <w:rFonts w:eastAsia="等线"/>
                <w:szCs w:val="21"/>
              </w:rPr>
            </w:pPr>
            <w:r>
              <w:rPr>
                <w:rFonts w:eastAsia="等线"/>
                <w:szCs w:val="21"/>
              </w:rPr>
              <w:t>10.58</w:t>
            </w:r>
          </w:p>
        </w:tc>
        <w:tc>
          <w:tcPr>
            <w:tcW w:w="1751" w:type="dxa"/>
            <w:vAlign w:val="center"/>
          </w:tcPr>
          <w:p w:rsidR="00C223F5" w:rsidRDefault="005860D5" w:rsidP="002D1BB7">
            <w:pPr>
              <w:jc w:val="center"/>
              <w:rPr>
                <w:rFonts w:eastAsia="等线"/>
                <w:szCs w:val="21"/>
              </w:rPr>
            </w:pPr>
            <w:r>
              <w:rPr>
                <w:rFonts w:eastAsia="等线"/>
                <w:szCs w:val="21"/>
              </w:rPr>
              <w:t>15.77</w:t>
            </w:r>
          </w:p>
        </w:tc>
      </w:tr>
      <w:tr w:rsidR="00C223F5">
        <w:trPr>
          <w:trHeight w:val="270"/>
          <w:jc w:val="center"/>
        </w:trPr>
        <w:tc>
          <w:tcPr>
            <w:tcW w:w="1762" w:type="dxa"/>
            <w:shd w:val="clear" w:color="auto" w:fill="auto"/>
            <w:vAlign w:val="center"/>
          </w:tcPr>
          <w:p w:rsidR="00C223F5" w:rsidRDefault="005860D5" w:rsidP="002D1BB7">
            <w:pPr>
              <w:jc w:val="center"/>
              <w:rPr>
                <w:rFonts w:ascii="宋体" w:hAnsi="宋体" w:cs="宋体"/>
                <w:sz w:val="22"/>
                <w:szCs w:val="22"/>
              </w:rPr>
            </w:pPr>
            <w:r>
              <w:rPr>
                <w:rFonts w:hint="eastAsia"/>
                <w:sz w:val="22"/>
                <w:szCs w:val="22"/>
              </w:rPr>
              <w:t>中高覆盖度植被</w:t>
            </w:r>
          </w:p>
        </w:tc>
        <w:tc>
          <w:tcPr>
            <w:tcW w:w="1655" w:type="dxa"/>
            <w:shd w:val="clear" w:color="auto" w:fill="auto"/>
            <w:vAlign w:val="center"/>
          </w:tcPr>
          <w:p w:rsidR="00C223F5" w:rsidRDefault="005860D5" w:rsidP="002D1BB7">
            <w:pPr>
              <w:jc w:val="center"/>
              <w:rPr>
                <w:rFonts w:eastAsia="等线"/>
                <w:szCs w:val="21"/>
              </w:rPr>
            </w:pPr>
            <w:r>
              <w:rPr>
                <w:rFonts w:eastAsia="等线"/>
                <w:szCs w:val="21"/>
              </w:rPr>
              <w:t>11.27</w:t>
            </w:r>
          </w:p>
        </w:tc>
        <w:tc>
          <w:tcPr>
            <w:tcW w:w="1560" w:type="dxa"/>
            <w:shd w:val="clear" w:color="auto" w:fill="auto"/>
            <w:vAlign w:val="center"/>
          </w:tcPr>
          <w:p w:rsidR="00C223F5" w:rsidRDefault="005860D5" w:rsidP="002D1BB7">
            <w:pPr>
              <w:jc w:val="center"/>
              <w:rPr>
                <w:rFonts w:eastAsia="等线"/>
                <w:szCs w:val="21"/>
              </w:rPr>
            </w:pPr>
            <w:r>
              <w:rPr>
                <w:rFonts w:eastAsia="等线"/>
                <w:szCs w:val="21"/>
              </w:rPr>
              <w:t>12.85</w:t>
            </w:r>
          </w:p>
        </w:tc>
        <w:tc>
          <w:tcPr>
            <w:tcW w:w="1701" w:type="dxa"/>
            <w:vAlign w:val="center"/>
          </w:tcPr>
          <w:p w:rsidR="00C223F5" w:rsidRDefault="005860D5" w:rsidP="002D1BB7">
            <w:pPr>
              <w:jc w:val="center"/>
              <w:rPr>
                <w:rFonts w:eastAsia="等线"/>
                <w:szCs w:val="21"/>
              </w:rPr>
            </w:pPr>
            <w:r>
              <w:rPr>
                <w:rFonts w:eastAsia="等线"/>
                <w:szCs w:val="21"/>
              </w:rPr>
              <w:t>8.43</w:t>
            </w:r>
          </w:p>
        </w:tc>
        <w:tc>
          <w:tcPr>
            <w:tcW w:w="1751" w:type="dxa"/>
            <w:vAlign w:val="center"/>
          </w:tcPr>
          <w:p w:rsidR="00C223F5" w:rsidRDefault="005860D5" w:rsidP="002D1BB7">
            <w:pPr>
              <w:jc w:val="center"/>
              <w:rPr>
                <w:rFonts w:eastAsia="等线"/>
                <w:szCs w:val="21"/>
              </w:rPr>
            </w:pPr>
            <w:r>
              <w:rPr>
                <w:rFonts w:eastAsia="等线"/>
                <w:szCs w:val="21"/>
              </w:rPr>
              <w:t>12.55</w:t>
            </w:r>
          </w:p>
        </w:tc>
      </w:tr>
      <w:tr w:rsidR="00C223F5">
        <w:trPr>
          <w:trHeight w:val="270"/>
          <w:jc w:val="center"/>
        </w:trPr>
        <w:tc>
          <w:tcPr>
            <w:tcW w:w="1762" w:type="dxa"/>
            <w:shd w:val="clear" w:color="auto" w:fill="auto"/>
            <w:vAlign w:val="center"/>
          </w:tcPr>
          <w:p w:rsidR="00C223F5" w:rsidRDefault="005860D5" w:rsidP="002D1BB7">
            <w:pPr>
              <w:jc w:val="center"/>
              <w:rPr>
                <w:rFonts w:ascii="宋体" w:hAnsi="宋体" w:cs="宋体"/>
                <w:sz w:val="22"/>
                <w:szCs w:val="22"/>
              </w:rPr>
            </w:pPr>
            <w:r>
              <w:rPr>
                <w:rFonts w:hint="eastAsia"/>
                <w:sz w:val="22"/>
                <w:szCs w:val="22"/>
              </w:rPr>
              <w:t>中覆盖植被</w:t>
            </w:r>
          </w:p>
        </w:tc>
        <w:tc>
          <w:tcPr>
            <w:tcW w:w="1655" w:type="dxa"/>
            <w:shd w:val="clear" w:color="auto" w:fill="auto"/>
            <w:vAlign w:val="center"/>
          </w:tcPr>
          <w:p w:rsidR="00C223F5" w:rsidRDefault="005860D5" w:rsidP="002D1BB7">
            <w:pPr>
              <w:jc w:val="center"/>
              <w:rPr>
                <w:rFonts w:eastAsia="等线"/>
                <w:szCs w:val="21"/>
              </w:rPr>
            </w:pPr>
            <w:r>
              <w:rPr>
                <w:rFonts w:eastAsia="等线"/>
                <w:szCs w:val="21"/>
              </w:rPr>
              <w:t>30.</w:t>
            </w:r>
            <w:r>
              <w:rPr>
                <w:rFonts w:eastAsia="等线" w:hint="eastAsia"/>
                <w:szCs w:val="21"/>
              </w:rPr>
              <w:t>69</w:t>
            </w:r>
          </w:p>
        </w:tc>
        <w:tc>
          <w:tcPr>
            <w:tcW w:w="1560" w:type="dxa"/>
            <w:shd w:val="clear" w:color="auto" w:fill="auto"/>
            <w:vAlign w:val="center"/>
          </w:tcPr>
          <w:p w:rsidR="00C223F5" w:rsidRDefault="005860D5" w:rsidP="002D1BB7">
            <w:pPr>
              <w:jc w:val="center"/>
              <w:rPr>
                <w:rFonts w:eastAsia="等线"/>
                <w:szCs w:val="21"/>
              </w:rPr>
            </w:pPr>
            <w:r>
              <w:rPr>
                <w:rFonts w:eastAsia="等线"/>
                <w:szCs w:val="21"/>
              </w:rPr>
              <w:t>34.99</w:t>
            </w:r>
          </w:p>
        </w:tc>
        <w:tc>
          <w:tcPr>
            <w:tcW w:w="1701" w:type="dxa"/>
            <w:vAlign w:val="center"/>
          </w:tcPr>
          <w:p w:rsidR="00C223F5" w:rsidRDefault="005860D5" w:rsidP="002D1BB7">
            <w:pPr>
              <w:jc w:val="center"/>
              <w:rPr>
                <w:rFonts w:eastAsia="等线"/>
                <w:szCs w:val="21"/>
              </w:rPr>
            </w:pPr>
            <w:r>
              <w:rPr>
                <w:rFonts w:eastAsia="等线"/>
                <w:szCs w:val="21"/>
              </w:rPr>
              <w:t>23.23</w:t>
            </w:r>
          </w:p>
        </w:tc>
        <w:tc>
          <w:tcPr>
            <w:tcW w:w="1751" w:type="dxa"/>
            <w:vAlign w:val="center"/>
          </w:tcPr>
          <w:p w:rsidR="00C223F5" w:rsidRDefault="005860D5" w:rsidP="002D1BB7">
            <w:pPr>
              <w:jc w:val="center"/>
              <w:rPr>
                <w:rFonts w:eastAsia="等线"/>
                <w:szCs w:val="21"/>
              </w:rPr>
            </w:pPr>
            <w:r>
              <w:rPr>
                <w:rFonts w:eastAsia="等线"/>
                <w:szCs w:val="21"/>
              </w:rPr>
              <w:t>34.61</w:t>
            </w:r>
          </w:p>
        </w:tc>
      </w:tr>
      <w:tr w:rsidR="00C223F5">
        <w:trPr>
          <w:trHeight w:val="270"/>
          <w:jc w:val="center"/>
        </w:trPr>
        <w:tc>
          <w:tcPr>
            <w:tcW w:w="1762" w:type="dxa"/>
            <w:shd w:val="clear" w:color="auto" w:fill="auto"/>
            <w:vAlign w:val="center"/>
          </w:tcPr>
          <w:p w:rsidR="00C223F5" w:rsidRDefault="005860D5" w:rsidP="002D1BB7">
            <w:pPr>
              <w:jc w:val="center"/>
              <w:rPr>
                <w:sz w:val="22"/>
                <w:szCs w:val="22"/>
              </w:rPr>
            </w:pPr>
            <w:r>
              <w:rPr>
                <w:rFonts w:hint="eastAsia"/>
                <w:sz w:val="22"/>
                <w:szCs w:val="22"/>
              </w:rPr>
              <w:t>低覆盖植被</w:t>
            </w:r>
          </w:p>
        </w:tc>
        <w:tc>
          <w:tcPr>
            <w:tcW w:w="1655" w:type="dxa"/>
            <w:shd w:val="clear" w:color="auto" w:fill="auto"/>
            <w:vAlign w:val="center"/>
          </w:tcPr>
          <w:p w:rsidR="00C223F5" w:rsidRDefault="005860D5" w:rsidP="002D1BB7">
            <w:pPr>
              <w:jc w:val="center"/>
              <w:rPr>
                <w:rFonts w:eastAsia="等线"/>
                <w:szCs w:val="21"/>
              </w:rPr>
            </w:pPr>
            <w:r>
              <w:rPr>
                <w:rFonts w:eastAsia="等线"/>
                <w:szCs w:val="21"/>
              </w:rPr>
              <w:t>0.46</w:t>
            </w:r>
          </w:p>
        </w:tc>
        <w:tc>
          <w:tcPr>
            <w:tcW w:w="1560" w:type="dxa"/>
            <w:shd w:val="clear" w:color="auto" w:fill="auto"/>
            <w:vAlign w:val="center"/>
          </w:tcPr>
          <w:p w:rsidR="00C223F5" w:rsidRDefault="005860D5" w:rsidP="002D1BB7">
            <w:pPr>
              <w:jc w:val="center"/>
              <w:rPr>
                <w:rFonts w:eastAsia="等线"/>
                <w:szCs w:val="21"/>
              </w:rPr>
            </w:pPr>
            <w:r>
              <w:rPr>
                <w:rFonts w:eastAsia="等线"/>
                <w:szCs w:val="21"/>
              </w:rPr>
              <w:t>0.53</w:t>
            </w:r>
          </w:p>
        </w:tc>
        <w:tc>
          <w:tcPr>
            <w:tcW w:w="1701" w:type="dxa"/>
            <w:vAlign w:val="center"/>
          </w:tcPr>
          <w:p w:rsidR="00C223F5" w:rsidRDefault="005860D5" w:rsidP="002D1BB7">
            <w:pPr>
              <w:jc w:val="center"/>
              <w:rPr>
                <w:rFonts w:eastAsia="等线"/>
                <w:szCs w:val="21"/>
              </w:rPr>
            </w:pPr>
            <w:r>
              <w:rPr>
                <w:rFonts w:eastAsia="等线"/>
                <w:szCs w:val="21"/>
              </w:rPr>
              <w:t>0.27</w:t>
            </w:r>
          </w:p>
        </w:tc>
        <w:tc>
          <w:tcPr>
            <w:tcW w:w="1751" w:type="dxa"/>
            <w:vAlign w:val="center"/>
          </w:tcPr>
          <w:p w:rsidR="00C223F5" w:rsidRDefault="005860D5" w:rsidP="002D1BB7">
            <w:pPr>
              <w:jc w:val="center"/>
              <w:rPr>
                <w:rFonts w:eastAsia="等线"/>
                <w:szCs w:val="21"/>
              </w:rPr>
            </w:pPr>
            <w:r>
              <w:rPr>
                <w:rFonts w:eastAsia="等线"/>
                <w:szCs w:val="21"/>
              </w:rPr>
              <w:t>0.4</w:t>
            </w:r>
          </w:p>
        </w:tc>
      </w:tr>
      <w:tr w:rsidR="00C223F5">
        <w:trPr>
          <w:trHeight w:val="270"/>
          <w:jc w:val="center"/>
        </w:trPr>
        <w:tc>
          <w:tcPr>
            <w:tcW w:w="1762" w:type="dxa"/>
            <w:shd w:val="clear" w:color="auto" w:fill="auto"/>
            <w:vAlign w:val="center"/>
          </w:tcPr>
          <w:p w:rsidR="00C223F5" w:rsidRDefault="005860D5" w:rsidP="002D1BB7">
            <w:pPr>
              <w:jc w:val="center"/>
              <w:rPr>
                <w:rFonts w:ascii="宋体" w:hAnsi="宋体" w:cs="宋体"/>
                <w:sz w:val="22"/>
                <w:szCs w:val="22"/>
              </w:rPr>
            </w:pPr>
            <w:r>
              <w:rPr>
                <w:rFonts w:hint="eastAsia"/>
                <w:sz w:val="22"/>
                <w:szCs w:val="22"/>
              </w:rPr>
              <w:t>建设用地</w:t>
            </w:r>
          </w:p>
        </w:tc>
        <w:tc>
          <w:tcPr>
            <w:tcW w:w="1655" w:type="dxa"/>
            <w:shd w:val="clear" w:color="auto" w:fill="auto"/>
            <w:vAlign w:val="center"/>
          </w:tcPr>
          <w:p w:rsidR="00C223F5" w:rsidRDefault="005860D5" w:rsidP="002D1BB7">
            <w:pPr>
              <w:jc w:val="center"/>
              <w:rPr>
                <w:rFonts w:eastAsia="等线"/>
                <w:szCs w:val="21"/>
              </w:rPr>
            </w:pPr>
            <w:r>
              <w:rPr>
                <w:rFonts w:eastAsia="等线"/>
                <w:szCs w:val="21"/>
              </w:rPr>
              <w:t>1.11</w:t>
            </w:r>
          </w:p>
        </w:tc>
        <w:tc>
          <w:tcPr>
            <w:tcW w:w="1560" w:type="dxa"/>
            <w:shd w:val="clear" w:color="auto" w:fill="auto"/>
            <w:vAlign w:val="center"/>
          </w:tcPr>
          <w:p w:rsidR="00C223F5" w:rsidRDefault="005860D5" w:rsidP="002D1BB7">
            <w:pPr>
              <w:jc w:val="center"/>
              <w:rPr>
                <w:rFonts w:eastAsia="等线"/>
                <w:szCs w:val="21"/>
              </w:rPr>
            </w:pPr>
            <w:r>
              <w:rPr>
                <w:rFonts w:eastAsia="等线"/>
                <w:szCs w:val="21"/>
              </w:rPr>
              <w:t>1.26</w:t>
            </w:r>
          </w:p>
        </w:tc>
        <w:tc>
          <w:tcPr>
            <w:tcW w:w="1701" w:type="dxa"/>
            <w:vAlign w:val="center"/>
          </w:tcPr>
          <w:p w:rsidR="00C223F5" w:rsidRDefault="005860D5" w:rsidP="002D1BB7">
            <w:pPr>
              <w:jc w:val="center"/>
              <w:rPr>
                <w:rFonts w:eastAsia="等线"/>
                <w:szCs w:val="21"/>
              </w:rPr>
            </w:pPr>
            <w:r>
              <w:rPr>
                <w:rFonts w:eastAsia="等线"/>
                <w:szCs w:val="21"/>
              </w:rPr>
              <w:t>0.80</w:t>
            </w:r>
          </w:p>
        </w:tc>
        <w:tc>
          <w:tcPr>
            <w:tcW w:w="1751" w:type="dxa"/>
            <w:vAlign w:val="center"/>
          </w:tcPr>
          <w:p w:rsidR="00C223F5" w:rsidRDefault="005860D5" w:rsidP="002D1BB7">
            <w:pPr>
              <w:jc w:val="center"/>
              <w:rPr>
                <w:rFonts w:eastAsia="等线"/>
                <w:szCs w:val="21"/>
              </w:rPr>
            </w:pPr>
            <w:r>
              <w:rPr>
                <w:rFonts w:eastAsia="等线"/>
                <w:szCs w:val="21"/>
              </w:rPr>
              <w:t>1.19</w:t>
            </w:r>
          </w:p>
        </w:tc>
      </w:tr>
      <w:tr w:rsidR="00C223F5">
        <w:trPr>
          <w:trHeight w:val="270"/>
          <w:jc w:val="center"/>
        </w:trPr>
        <w:tc>
          <w:tcPr>
            <w:tcW w:w="1762" w:type="dxa"/>
            <w:shd w:val="clear" w:color="auto" w:fill="auto"/>
            <w:vAlign w:val="center"/>
          </w:tcPr>
          <w:p w:rsidR="00C223F5" w:rsidRDefault="005860D5" w:rsidP="002D1BB7">
            <w:pPr>
              <w:jc w:val="center"/>
              <w:rPr>
                <w:rFonts w:ascii="宋体" w:hAnsi="宋体" w:cs="宋体"/>
                <w:sz w:val="22"/>
                <w:szCs w:val="22"/>
              </w:rPr>
            </w:pPr>
            <w:r>
              <w:rPr>
                <w:rFonts w:hint="eastAsia"/>
                <w:sz w:val="22"/>
                <w:szCs w:val="22"/>
              </w:rPr>
              <w:t>水体</w:t>
            </w:r>
          </w:p>
        </w:tc>
        <w:tc>
          <w:tcPr>
            <w:tcW w:w="1655" w:type="dxa"/>
            <w:shd w:val="clear" w:color="auto" w:fill="auto"/>
            <w:vAlign w:val="center"/>
          </w:tcPr>
          <w:p w:rsidR="00C223F5" w:rsidRDefault="005860D5" w:rsidP="002D1BB7">
            <w:pPr>
              <w:jc w:val="center"/>
              <w:rPr>
                <w:rFonts w:eastAsia="等线"/>
                <w:szCs w:val="21"/>
              </w:rPr>
            </w:pPr>
            <w:r>
              <w:rPr>
                <w:rFonts w:eastAsia="等线"/>
                <w:szCs w:val="21"/>
              </w:rPr>
              <w:t>1.28</w:t>
            </w:r>
          </w:p>
        </w:tc>
        <w:tc>
          <w:tcPr>
            <w:tcW w:w="1560" w:type="dxa"/>
            <w:shd w:val="clear" w:color="auto" w:fill="auto"/>
            <w:vAlign w:val="center"/>
          </w:tcPr>
          <w:p w:rsidR="00C223F5" w:rsidRDefault="005860D5" w:rsidP="002D1BB7">
            <w:pPr>
              <w:jc w:val="center"/>
              <w:rPr>
                <w:rFonts w:eastAsia="等线"/>
                <w:szCs w:val="21"/>
              </w:rPr>
            </w:pPr>
            <w:r>
              <w:rPr>
                <w:rFonts w:eastAsia="等线"/>
                <w:szCs w:val="21"/>
              </w:rPr>
              <w:t>1.46</w:t>
            </w:r>
          </w:p>
        </w:tc>
        <w:tc>
          <w:tcPr>
            <w:tcW w:w="1701" w:type="dxa"/>
            <w:vAlign w:val="center"/>
          </w:tcPr>
          <w:p w:rsidR="00C223F5" w:rsidRDefault="005860D5" w:rsidP="002D1BB7">
            <w:pPr>
              <w:jc w:val="center"/>
              <w:rPr>
                <w:rFonts w:eastAsia="等线"/>
                <w:szCs w:val="21"/>
              </w:rPr>
            </w:pPr>
            <w:r>
              <w:rPr>
                <w:rFonts w:eastAsia="等线"/>
                <w:szCs w:val="21"/>
              </w:rPr>
              <w:t>1.06</w:t>
            </w:r>
          </w:p>
        </w:tc>
        <w:tc>
          <w:tcPr>
            <w:tcW w:w="1751" w:type="dxa"/>
            <w:vAlign w:val="center"/>
          </w:tcPr>
          <w:p w:rsidR="00C223F5" w:rsidRDefault="005860D5" w:rsidP="002D1BB7">
            <w:pPr>
              <w:jc w:val="center"/>
              <w:rPr>
                <w:rFonts w:eastAsia="等线"/>
                <w:szCs w:val="21"/>
              </w:rPr>
            </w:pPr>
            <w:r>
              <w:rPr>
                <w:rFonts w:eastAsia="等线"/>
                <w:szCs w:val="21"/>
              </w:rPr>
              <w:t>1.57</w:t>
            </w:r>
          </w:p>
        </w:tc>
      </w:tr>
      <w:tr w:rsidR="00C223F5">
        <w:trPr>
          <w:trHeight w:val="270"/>
          <w:jc w:val="center"/>
        </w:trPr>
        <w:tc>
          <w:tcPr>
            <w:tcW w:w="1762" w:type="dxa"/>
            <w:shd w:val="clear" w:color="auto" w:fill="auto"/>
            <w:vAlign w:val="center"/>
          </w:tcPr>
          <w:p w:rsidR="00C223F5" w:rsidRDefault="005860D5" w:rsidP="002D1BB7">
            <w:pPr>
              <w:jc w:val="center"/>
              <w:rPr>
                <w:sz w:val="22"/>
                <w:szCs w:val="22"/>
              </w:rPr>
            </w:pPr>
            <w:r>
              <w:rPr>
                <w:rFonts w:hint="eastAsia"/>
                <w:sz w:val="22"/>
                <w:szCs w:val="22"/>
              </w:rPr>
              <w:t>合计</w:t>
            </w:r>
          </w:p>
        </w:tc>
        <w:tc>
          <w:tcPr>
            <w:tcW w:w="1655" w:type="dxa"/>
            <w:shd w:val="clear" w:color="auto" w:fill="auto"/>
            <w:vAlign w:val="center"/>
          </w:tcPr>
          <w:p w:rsidR="00C223F5" w:rsidRDefault="000F32AE" w:rsidP="002D1BB7">
            <w:pPr>
              <w:jc w:val="center"/>
              <w:rPr>
                <w:rFonts w:eastAsia="等线"/>
                <w:szCs w:val="21"/>
              </w:rPr>
            </w:pPr>
            <w:r>
              <w:rPr>
                <w:rFonts w:eastAsia="等线"/>
                <w:szCs w:val="21"/>
              </w:rPr>
              <w:fldChar w:fldCharType="begin"/>
            </w:r>
            <w:r w:rsidR="005860D5">
              <w:rPr>
                <w:rFonts w:eastAsia="等线"/>
                <w:szCs w:val="21"/>
              </w:rPr>
              <w:instrText xml:space="preserve"> =SUM(ABOVE) </w:instrText>
            </w:r>
            <w:r>
              <w:rPr>
                <w:rFonts w:eastAsia="等线"/>
                <w:szCs w:val="21"/>
              </w:rPr>
              <w:fldChar w:fldCharType="separate"/>
            </w:r>
            <w:r w:rsidR="005860D5">
              <w:rPr>
                <w:rFonts w:eastAsia="等线"/>
                <w:szCs w:val="21"/>
              </w:rPr>
              <w:t>87.72</w:t>
            </w:r>
            <w:r>
              <w:rPr>
                <w:rFonts w:eastAsia="等线"/>
                <w:szCs w:val="21"/>
              </w:rPr>
              <w:fldChar w:fldCharType="end"/>
            </w:r>
          </w:p>
        </w:tc>
        <w:tc>
          <w:tcPr>
            <w:tcW w:w="1560" w:type="dxa"/>
            <w:shd w:val="clear" w:color="auto" w:fill="auto"/>
            <w:vAlign w:val="center"/>
          </w:tcPr>
          <w:p w:rsidR="00C223F5" w:rsidRDefault="000F32AE" w:rsidP="002D1BB7">
            <w:pPr>
              <w:jc w:val="center"/>
              <w:rPr>
                <w:rFonts w:eastAsia="等线"/>
                <w:szCs w:val="21"/>
              </w:rPr>
            </w:pPr>
            <w:r>
              <w:rPr>
                <w:rFonts w:eastAsia="等线"/>
                <w:szCs w:val="21"/>
              </w:rPr>
              <w:fldChar w:fldCharType="begin"/>
            </w:r>
            <w:r w:rsidR="005860D5">
              <w:rPr>
                <w:rFonts w:eastAsia="等线"/>
                <w:szCs w:val="21"/>
              </w:rPr>
              <w:instrText xml:space="preserve"> =SUM(ABOVE) </w:instrText>
            </w:r>
            <w:r>
              <w:rPr>
                <w:rFonts w:eastAsia="等线"/>
                <w:szCs w:val="21"/>
              </w:rPr>
              <w:fldChar w:fldCharType="separate"/>
            </w:r>
            <w:r w:rsidR="005860D5">
              <w:rPr>
                <w:rFonts w:eastAsia="等线"/>
                <w:szCs w:val="21"/>
              </w:rPr>
              <w:t>100</w:t>
            </w:r>
            <w:r>
              <w:rPr>
                <w:rFonts w:eastAsia="等线"/>
                <w:szCs w:val="21"/>
              </w:rPr>
              <w:fldChar w:fldCharType="end"/>
            </w:r>
          </w:p>
        </w:tc>
        <w:tc>
          <w:tcPr>
            <w:tcW w:w="1701" w:type="dxa"/>
            <w:vAlign w:val="center"/>
          </w:tcPr>
          <w:p w:rsidR="00C223F5" w:rsidRDefault="000F32AE" w:rsidP="002D1BB7">
            <w:pPr>
              <w:jc w:val="center"/>
              <w:rPr>
                <w:rFonts w:eastAsia="等线"/>
                <w:szCs w:val="21"/>
              </w:rPr>
            </w:pPr>
            <w:r>
              <w:rPr>
                <w:rFonts w:eastAsia="等线"/>
                <w:szCs w:val="21"/>
              </w:rPr>
              <w:fldChar w:fldCharType="begin"/>
            </w:r>
            <w:r w:rsidR="005860D5">
              <w:rPr>
                <w:rFonts w:eastAsia="等线"/>
                <w:szCs w:val="21"/>
              </w:rPr>
              <w:instrText xml:space="preserve"> =SUM(ABOVE) </w:instrText>
            </w:r>
            <w:r>
              <w:rPr>
                <w:rFonts w:eastAsia="等线"/>
                <w:szCs w:val="21"/>
              </w:rPr>
              <w:fldChar w:fldCharType="separate"/>
            </w:r>
            <w:r w:rsidR="005860D5">
              <w:rPr>
                <w:rFonts w:eastAsia="等线"/>
                <w:szCs w:val="21"/>
              </w:rPr>
              <w:t>67.12</w:t>
            </w:r>
            <w:r>
              <w:rPr>
                <w:rFonts w:eastAsia="等线"/>
                <w:szCs w:val="21"/>
              </w:rPr>
              <w:fldChar w:fldCharType="end"/>
            </w:r>
          </w:p>
        </w:tc>
        <w:tc>
          <w:tcPr>
            <w:tcW w:w="1751" w:type="dxa"/>
            <w:vAlign w:val="center"/>
          </w:tcPr>
          <w:p w:rsidR="00C223F5" w:rsidRDefault="005860D5" w:rsidP="002D1BB7">
            <w:pPr>
              <w:jc w:val="center"/>
              <w:rPr>
                <w:rFonts w:eastAsia="等线"/>
                <w:szCs w:val="21"/>
              </w:rPr>
            </w:pPr>
            <w:r>
              <w:rPr>
                <w:rFonts w:eastAsia="等线"/>
                <w:szCs w:val="21"/>
              </w:rPr>
              <w:t>100</w:t>
            </w:r>
          </w:p>
        </w:tc>
      </w:tr>
    </w:tbl>
    <w:p w:rsidR="00C223F5" w:rsidRDefault="005860D5" w:rsidP="002D1BB7">
      <w:pPr>
        <w:pStyle w:val="hp"/>
        <w:ind w:firstLine="480"/>
      </w:pPr>
      <w:r>
        <w:rPr>
          <w:rFonts w:hint="eastAsia"/>
          <w:bCs/>
        </w:rPr>
        <w:t>评价区范围内农业植被面积为</w:t>
      </w:r>
      <w:r>
        <w:rPr>
          <w:rFonts w:hint="eastAsia"/>
          <w:bCs/>
        </w:rPr>
        <w:t>28.99km</w:t>
      </w:r>
      <w:r>
        <w:rPr>
          <w:rFonts w:hint="eastAsia"/>
          <w:bCs/>
          <w:vertAlign w:val="superscript"/>
        </w:rPr>
        <w:t>2</w:t>
      </w:r>
      <w:r>
        <w:rPr>
          <w:rFonts w:hint="eastAsia"/>
          <w:bCs/>
        </w:rPr>
        <w:t>，主要分布于区内村庄周边及黄土梁峁等地形平缓地段，占评价区面积的</w:t>
      </w:r>
      <w:r>
        <w:rPr>
          <w:rFonts w:hint="eastAsia"/>
          <w:bCs/>
        </w:rPr>
        <w:t>33.05%</w:t>
      </w:r>
      <w:r>
        <w:rPr>
          <w:rFonts w:hint="eastAsia"/>
          <w:bCs/>
        </w:rPr>
        <w:t>；中覆盖度植被在评价区分布最多，主要以大面积连续块状广泛分布于全区，面积为</w:t>
      </w:r>
      <w:r>
        <w:rPr>
          <w:rFonts w:hint="eastAsia"/>
          <w:bCs/>
        </w:rPr>
        <w:t>30.69km</w:t>
      </w:r>
      <w:r>
        <w:rPr>
          <w:rFonts w:hint="eastAsia"/>
          <w:bCs/>
          <w:vertAlign w:val="superscript"/>
        </w:rPr>
        <w:t>2</w:t>
      </w:r>
      <w:r>
        <w:rPr>
          <w:rFonts w:hint="eastAsia"/>
          <w:bCs/>
        </w:rPr>
        <w:t>，占评价区面积的</w:t>
      </w:r>
      <w:r>
        <w:rPr>
          <w:rFonts w:hint="eastAsia"/>
          <w:bCs/>
        </w:rPr>
        <w:t>34.99%</w:t>
      </w:r>
      <w:r>
        <w:rPr>
          <w:rFonts w:hint="eastAsia"/>
          <w:bCs/>
        </w:rPr>
        <w:t>；其次为高覆盖度植被，在评价区各部均有分布，主要分布于黄土沟壑区，面积为</w:t>
      </w:r>
      <w:r>
        <w:rPr>
          <w:rFonts w:hint="eastAsia"/>
          <w:bCs/>
        </w:rPr>
        <w:t>13.92km</w:t>
      </w:r>
      <w:r>
        <w:rPr>
          <w:rFonts w:hint="eastAsia"/>
          <w:bCs/>
          <w:vertAlign w:val="superscript"/>
        </w:rPr>
        <w:t>2</w:t>
      </w:r>
      <w:r>
        <w:rPr>
          <w:rFonts w:hint="eastAsia"/>
          <w:bCs/>
        </w:rPr>
        <w:t>，占评价区面积的</w:t>
      </w:r>
      <w:r>
        <w:rPr>
          <w:rFonts w:hint="eastAsia"/>
          <w:bCs/>
        </w:rPr>
        <w:t>15.86%</w:t>
      </w:r>
      <w:r>
        <w:rPr>
          <w:rFonts w:hint="eastAsia"/>
          <w:bCs/>
        </w:rPr>
        <w:t>；中高覆盖植被呈连续块状分布于全区，面积为</w:t>
      </w:r>
      <w:r>
        <w:rPr>
          <w:rFonts w:hint="eastAsia"/>
          <w:bCs/>
        </w:rPr>
        <w:t>11.27 km</w:t>
      </w:r>
      <w:r>
        <w:rPr>
          <w:rFonts w:hint="eastAsia"/>
          <w:bCs/>
          <w:vertAlign w:val="superscript"/>
        </w:rPr>
        <w:t>2</w:t>
      </w:r>
      <w:r>
        <w:rPr>
          <w:rFonts w:hint="eastAsia"/>
          <w:bCs/>
        </w:rPr>
        <w:t>，占评价区面积的</w:t>
      </w:r>
      <w:r>
        <w:rPr>
          <w:rFonts w:hint="eastAsia"/>
          <w:bCs/>
        </w:rPr>
        <w:t>12.85%</w:t>
      </w:r>
      <w:r>
        <w:rPr>
          <w:rFonts w:hint="eastAsia"/>
          <w:bCs/>
        </w:rPr>
        <w:t>；低覆盖度植被区内分布较少，主要分布在评价区北部及西南部，面积为</w:t>
      </w:r>
      <w:r>
        <w:rPr>
          <w:rFonts w:hint="eastAsia"/>
          <w:bCs/>
        </w:rPr>
        <w:t>0.46km</w:t>
      </w:r>
      <w:r>
        <w:rPr>
          <w:rFonts w:hint="eastAsia"/>
          <w:bCs/>
          <w:vertAlign w:val="superscript"/>
        </w:rPr>
        <w:t>2</w:t>
      </w:r>
      <w:r>
        <w:rPr>
          <w:rFonts w:hint="eastAsia"/>
          <w:bCs/>
        </w:rPr>
        <w:t>，占评价区面积的</w:t>
      </w:r>
      <w:r>
        <w:rPr>
          <w:rFonts w:hint="eastAsia"/>
          <w:bCs/>
        </w:rPr>
        <w:t>0.53%</w:t>
      </w:r>
      <w:r>
        <w:rPr>
          <w:rFonts w:hint="eastAsia"/>
          <w:bCs/>
        </w:rPr>
        <w:t>；建设用地主要包括区内村镇建筑，面积为</w:t>
      </w:r>
      <w:r>
        <w:rPr>
          <w:rFonts w:hint="eastAsia"/>
          <w:bCs/>
        </w:rPr>
        <w:t>1.11km</w:t>
      </w:r>
      <w:r>
        <w:rPr>
          <w:rFonts w:hint="eastAsia"/>
          <w:bCs/>
          <w:vertAlign w:val="superscript"/>
        </w:rPr>
        <w:t>2</w:t>
      </w:r>
      <w:r>
        <w:rPr>
          <w:rFonts w:hint="eastAsia"/>
          <w:bCs/>
        </w:rPr>
        <w:t>，占评价区面积的</w:t>
      </w:r>
      <w:r>
        <w:rPr>
          <w:rFonts w:hint="eastAsia"/>
          <w:bCs/>
        </w:rPr>
        <w:t>1.26%</w:t>
      </w:r>
      <w:r>
        <w:rPr>
          <w:rFonts w:hint="eastAsia"/>
          <w:bCs/>
        </w:rPr>
        <w:t>，其余为水体，面积为</w:t>
      </w:r>
      <w:r>
        <w:rPr>
          <w:rFonts w:hint="eastAsia"/>
          <w:bCs/>
        </w:rPr>
        <w:t>1.28km</w:t>
      </w:r>
      <w:r>
        <w:rPr>
          <w:rFonts w:hint="eastAsia"/>
          <w:bCs/>
          <w:vertAlign w:val="superscript"/>
        </w:rPr>
        <w:t>2</w:t>
      </w:r>
      <w:r>
        <w:rPr>
          <w:rFonts w:hint="eastAsia"/>
          <w:bCs/>
        </w:rPr>
        <w:t>，占评价区面积的</w:t>
      </w:r>
      <w:r>
        <w:rPr>
          <w:rFonts w:hint="eastAsia"/>
          <w:bCs/>
        </w:rPr>
        <w:t>1.46%</w:t>
      </w:r>
      <w:r>
        <w:rPr>
          <w:rFonts w:hint="eastAsia"/>
          <w:bCs/>
        </w:rPr>
        <w:t>。</w:t>
      </w:r>
    </w:p>
    <w:p w:rsidR="00C223F5" w:rsidRDefault="005860D5" w:rsidP="00C006A7">
      <w:pPr>
        <w:pStyle w:val="hp"/>
        <w:ind w:firstLine="482"/>
        <w:rPr>
          <w:b/>
          <w:bCs/>
        </w:rPr>
      </w:pPr>
      <w:r>
        <w:rPr>
          <w:b/>
          <w:bCs/>
        </w:rPr>
        <w:t>（</w:t>
      </w:r>
      <w:r>
        <w:rPr>
          <w:rFonts w:hint="eastAsia"/>
          <w:b/>
          <w:bCs/>
        </w:rPr>
        <w:t>四</w:t>
      </w:r>
      <w:r>
        <w:rPr>
          <w:b/>
          <w:bCs/>
        </w:rPr>
        <w:t>）野生动物资源</w:t>
      </w:r>
    </w:p>
    <w:p w:rsidR="00C223F5" w:rsidRDefault="005860D5" w:rsidP="002D1BB7">
      <w:pPr>
        <w:pStyle w:val="hp"/>
        <w:ind w:firstLine="480"/>
      </w:pPr>
      <w:r>
        <w:t>评价区地处中温带，野生动物的地理分布在动物地理区划中属古北界</w:t>
      </w:r>
      <w:r>
        <w:t>—</w:t>
      </w:r>
      <w:r>
        <w:t>蒙新区</w:t>
      </w:r>
      <w:r>
        <w:t>—</w:t>
      </w:r>
      <w:r>
        <w:t>东部草原亚区。目前该区的野生动物组成比较简单，种类较少。根据现场调查及资料记载，目前该区</w:t>
      </w:r>
      <w:r>
        <w:rPr>
          <w:rFonts w:hint="eastAsia"/>
        </w:rPr>
        <w:t>规划开采范围内</w:t>
      </w:r>
      <w:r>
        <w:t>的野生动物（指脊椎动物中的兽类、鸟类、爬行类和两栖类）约有</w:t>
      </w:r>
      <w:r>
        <w:t>40</w:t>
      </w:r>
      <w:r>
        <w:t>多种，隶属于</w:t>
      </w:r>
      <w:r>
        <w:t>12</w:t>
      </w:r>
      <w:r>
        <w:t>目</w:t>
      </w:r>
      <w:r>
        <w:t>39</w:t>
      </w:r>
      <w:r>
        <w:t>科，其中兽类</w:t>
      </w:r>
      <w:r>
        <w:t>4</w:t>
      </w:r>
      <w:r>
        <w:t>目</w:t>
      </w:r>
      <w:r>
        <w:t>9</w:t>
      </w:r>
      <w:r>
        <w:t>科，鸟类</w:t>
      </w:r>
      <w:r>
        <w:t>15</w:t>
      </w:r>
      <w:r>
        <w:t>目</w:t>
      </w:r>
      <w:r>
        <w:t>26</w:t>
      </w:r>
      <w:r>
        <w:t>科，爬行类</w:t>
      </w:r>
      <w:r>
        <w:t>2</w:t>
      </w:r>
      <w:r>
        <w:t>目</w:t>
      </w:r>
      <w:r>
        <w:t>2</w:t>
      </w:r>
      <w:r>
        <w:t>科，两栖类</w:t>
      </w:r>
      <w:r>
        <w:t>1</w:t>
      </w:r>
      <w:r>
        <w:t>目</w:t>
      </w:r>
      <w:r>
        <w:t>2</w:t>
      </w:r>
      <w:r>
        <w:t>科。此外，还有种类和数量众多的昆虫。评价区家畜有主要山羊、绵羊、牛等。</w:t>
      </w:r>
    </w:p>
    <w:p w:rsidR="00C223F5" w:rsidRDefault="005860D5" w:rsidP="002D1BB7">
      <w:pPr>
        <w:spacing w:line="360" w:lineRule="auto"/>
        <w:ind w:firstLineChars="200" w:firstLine="480"/>
        <w:rPr>
          <w:sz w:val="24"/>
        </w:rPr>
      </w:pPr>
      <w:r>
        <w:rPr>
          <w:sz w:val="24"/>
        </w:rPr>
        <w:t>现场调查时未发现国家珍稀保护的动物物种。</w:t>
      </w:r>
    </w:p>
    <w:p w:rsidR="00C223F5" w:rsidRDefault="005860D5" w:rsidP="004835BD">
      <w:pPr>
        <w:pStyle w:val="4"/>
        <w:spacing w:before="0" w:after="0" w:line="360" w:lineRule="auto"/>
        <w:ind w:firstLineChars="100" w:firstLine="240"/>
        <w:rPr>
          <w:szCs w:val="24"/>
        </w:rPr>
      </w:pPr>
      <w:bookmarkStart w:id="279" w:name="_Toc216254950"/>
      <w:r>
        <w:rPr>
          <w:rFonts w:hint="eastAsia"/>
          <w:szCs w:val="24"/>
        </w:rPr>
        <w:t>3.1.4</w:t>
      </w:r>
      <w:r>
        <w:rPr>
          <w:szCs w:val="24"/>
        </w:rPr>
        <w:t>.</w:t>
      </w:r>
      <w:r>
        <w:rPr>
          <w:rFonts w:hint="eastAsia"/>
          <w:szCs w:val="24"/>
        </w:rPr>
        <w:t>4</w:t>
      </w:r>
      <w:r>
        <w:rPr>
          <w:szCs w:val="24"/>
        </w:rPr>
        <w:t>土地利用现状</w:t>
      </w:r>
      <w:bookmarkEnd w:id="279"/>
    </w:p>
    <w:p w:rsidR="00C223F5" w:rsidRDefault="005860D5">
      <w:pPr>
        <w:spacing w:line="360" w:lineRule="auto"/>
        <w:ind w:firstLineChars="200" w:firstLine="480"/>
        <w:rPr>
          <w:bCs/>
          <w:sz w:val="24"/>
        </w:rPr>
      </w:pPr>
      <w:r>
        <w:rPr>
          <w:rFonts w:hint="eastAsia"/>
          <w:bCs/>
          <w:sz w:val="24"/>
        </w:rPr>
        <w:t>按照国土资源部颁布的《土地利用现状分类标准</w:t>
      </w:r>
      <w:r>
        <w:rPr>
          <w:rFonts w:hint="eastAsia"/>
          <w:bCs/>
          <w:sz w:val="24"/>
        </w:rPr>
        <w:t>(GB/T21010-2017)</w:t>
      </w:r>
      <w:r>
        <w:rPr>
          <w:bCs/>
          <w:sz w:val="24"/>
        </w:rPr>
        <w:t>》</w:t>
      </w:r>
      <w:r>
        <w:rPr>
          <w:rFonts w:hint="eastAsia"/>
          <w:bCs/>
          <w:sz w:val="24"/>
        </w:rPr>
        <w:t>的规定，评价区的土地利用现状分为十一个</w:t>
      </w:r>
      <w:r>
        <w:rPr>
          <w:rFonts w:hint="eastAsia"/>
          <w:sz w:val="24"/>
        </w:rPr>
        <w:t>类型</w:t>
      </w:r>
      <w:r>
        <w:rPr>
          <w:rFonts w:hint="eastAsia"/>
          <w:bCs/>
          <w:sz w:val="24"/>
        </w:rPr>
        <w:t>，其分类体系及遥感影像特征见表</w:t>
      </w:r>
      <w:r>
        <w:rPr>
          <w:rFonts w:hint="eastAsia"/>
          <w:bCs/>
          <w:sz w:val="24"/>
        </w:rPr>
        <w:t>3.1.4-7</w:t>
      </w:r>
      <w:r>
        <w:rPr>
          <w:rFonts w:hint="eastAsia"/>
          <w:bCs/>
          <w:sz w:val="24"/>
        </w:rPr>
        <w:t>。</w:t>
      </w:r>
    </w:p>
    <w:p w:rsidR="00C223F5" w:rsidRDefault="005860D5">
      <w:pPr>
        <w:jc w:val="center"/>
        <w:rPr>
          <w:b/>
          <w:sz w:val="24"/>
        </w:rPr>
      </w:pPr>
      <w:r>
        <w:rPr>
          <w:rFonts w:hint="eastAsia"/>
          <w:b/>
          <w:sz w:val="24"/>
        </w:rPr>
        <w:lastRenderedPageBreak/>
        <w:t>表</w:t>
      </w:r>
      <w:r>
        <w:rPr>
          <w:rFonts w:hint="eastAsia"/>
          <w:b/>
          <w:sz w:val="24"/>
        </w:rPr>
        <w:t xml:space="preserve">3.1.4-7   </w:t>
      </w:r>
      <w:r>
        <w:rPr>
          <w:rFonts w:hint="eastAsia"/>
          <w:b/>
          <w:sz w:val="24"/>
        </w:rPr>
        <w:t>土地利用现状类型及遥感影像特征</w:t>
      </w:r>
    </w:p>
    <w:tbl>
      <w:tblPr>
        <w:tblW w:w="8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5341"/>
      </w:tblGrid>
      <w:tr w:rsidR="00C223F5">
        <w:trPr>
          <w:cantSplit/>
          <w:jc w:val="center"/>
        </w:trPr>
        <w:tc>
          <w:tcPr>
            <w:tcW w:w="3132" w:type="dxa"/>
            <w:vAlign w:val="center"/>
          </w:tcPr>
          <w:p w:rsidR="00C223F5" w:rsidRDefault="005860D5">
            <w:pPr>
              <w:jc w:val="center"/>
            </w:pPr>
            <w:r>
              <w:rPr>
                <w:rFonts w:hint="eastAsia"/>
              </w:rPr>
              <w:t>土地利用类型</w:t>
            </w:r>
          </w:p>
        </w:tc>
        <w:tc>
          <w:tcPr>
            <w:tcW w:w="5341" w:type="dxa"/>
            <w:vAlign w:val="center"/>
          </w:tcPr>
          <w:p w:rsidR="00C223F5" w:rsidRDefault="005860D5">
            <w:pPr>
              <w:jc w:val="center"/>
            </w:pPr>
            <w:r>
              <w:rPr>
                <w:rFonts w:hint="eastAsia"/>
              </w:rPr>
              <w:t>遥感影像特征</w:t>
            </w:r>
          </w:p>
        </w:tc>
      </w:tr>
      <w:tr w:rsidR="00C223F5">
        <w:trPr>
          <w:cantSplit/>
          <w:trHeight w:val="326"/>
          <w:jc w:val="center"/>
        </w:trPr>
        <w:tc>
          <w:tcPr>
            <w:tcW w:w="3132" w:type="dxa"/>
            <w:vAlign w:val="center"/>
          </w:tcPr>
          <w:p w:rsidR="00C223F5" w:rsidRDefault="005860D5">
            <w:pPr>
              <w:jc w:val="center"/>
            </w:pPr>
            <w:r>
              <w:rPr>
                <w:rFonts w:hint="eastAsia"/>
              </w:rPr>
              <w:t>耕地（</w:t>
            </w:r>
            <w:r>
              <w:rPr>
                <w:rFonts w:hint="eastAsia"/>
              </w:rPr>
              <w:t>0103</w:t>
            </w:r>
            <w:r>
              <w:rPr>
                <w:rFonts w:hint="eastAsia"/>
              </w:rPr>
              <w:t>）</w:t>
            </w:r>
          </w:p>
        </w:tc>
        <w:tc>
          <w:tcPr>
            <w:tcW w:w="5341" w:type="dxa"/>
            <w:shd w:val="clear" w:color="auto" w:fill="auto"/>
            <w:vAlign w:val="center"/>
          </w:tcPr>
          <w:p w:rsidR="00C223F5" w:rsidRDefault="005860D5">
            <w:r>
              <w:rPr>
                <w:rFonts w:hint="eastAsia"/>
              </w:rPr>
              <w:t>黄绿色、方块状分布于滩地之中，网格状结构明显。</w:t>
            </w:r>
          </w:p>
        </w:tc>
      </w:tr>
      <w:tr w:rsidR="00C223F5">
        <w:trPr>
          <w:cantSplit/>
          <w:trHeight w:val="315"/>
          <w:jc w:val="center"/>
        </w:trPr>
        <w:tc>
          <w:tcPr>
            <w:tcW w:w="3132" w:type="dxa"/>
            <w:shd w:val="clear" w:color="auto" w:fill="auto"/>
            <w:vAlign w:val="center"/>
          </w:tcPr>
          <w:p w:rsidR="00C223F5" w:rsidRDefault="005860D5">
            <w:pPr>
              <w:jc w:val="center"/>
            </w:pPr>
            <w:r>
              <w:rPr>
                <w:rFonts w:hint="eastAsia"/>
              </w:rPr>
              <w:t>乔木林地（</w:t>
            </w:r>
            <w:r>
              <w:rPr>
                <w:rFonts w:hint="eastAsia"/>
              </w:rPr>
              <w:t>0301</w:t>
            </w:r>
            <w:r>
              <w:rPr>
                <w:rFonts w:hint="eastAsia"/>
              </w:rPr>
              <w:t>）</w:t>
            </w:r>
          </w:p>
        </w:tc>
        <w:tc>
          <w:tcPr>
            <w:tcW w:w="5341" w:type="dxa"/>
            <w:vAlign w:val="center"/>
          </w:tcPr>
          <w:p w:rsidR="00C223F5" w:rsidRDefault="005860D5">
            <w:r>
              <w:rPr>
                <w:rFonts w:hint="eastAsia"/>
              </w:rPr>
              <w:t>呈深绿色色彩，具白色斑点状影纹，不规则块状分布，解译标志明显。</w:t>
            </w:r>
          </w:p>
        </w:tc>
      </w:tr>
      <w:tr w:rsidR="00C223F5">
        <w:trPr>
          <w:cantSplit/>
          <w:trHeight w:val="315"/>
          <w:jc w:val="center"/>
        </w:trPr>
        <w:tc>
          <w:tcPr>
            <w:tcW w:w="3132" w:type="dxa"/>
            <w:tcBorders>
              <w:bottom w:val="single" w:sz="4" w:space="0" w:color="auto"/>
            </w:tcBorders>
            <w:shd w:val="clear" w:color="auto" w:fill="auto"/>
            <w:vAlign w:val="center"/>
          </w:tcPr>
          <w:p w:rsidR="00C223F5" w:rsidRDefault="005860D5">
            <w:pPr>
              <w:jc w:val="center"/>
            </w:pPr>
            <w:r>
              <w:rPr>
                <w:rFonts w:hint="eastAsia"/>
              </w:rPr>
              <w:t>灌木林地（</w:t>
            </w:r>
            <w:r>
              <w:rPr>
                <w:rFonts w:hint="eastAsia"/>
              </w:rPr>
              <w:t>0305</w:t>
            </w:r>
            <w:r>
              <w:rPr>
                <w:rFonts w:hint="eastAsia"/>
              </w:rPr>
              <w:t>）</w:t>
            </w:r>
          </w:p>
        </w:tc>
        <w:tc>
          <w:tcPr>
            <w:tcW w:w="5341" w:type="dxa"/>
            <w:vAlign w:val="center"/>
          </w:tcPr>
          <w:p w:rsidR="00C223F5" w:rsidRDefault="005860D5">
            <w:r>
              <w:rPr>
                <w:rFonts w:hint="eastAsia"/>
              </w:rPr>
              <w:t>呈棕色色彩，具绿色斑点状影纹，不规则块状分布，解译标志明显。</w:t>
            </w:r>
          </w:p>
        </w:tc>
      </w:tr>
      <w:tr w:rsidR="00C223F5">
        <w:trPr>
          <w:cantSplit/>
          <w:trHeight w:val="604"/>
          <w:jc w:val="center"/>
        </w:trPr>
        <w:tc>
          <w:tcPr>
            <w:tcW w:w="3132" w:type="dxa"/>
            <w:tcBorders>
              <w:bottom w:val="single" w:sz="4" w:space="0" w:color="auto"/>
            </w:tcBorders>
            <w:vAlign w:val="center"/>
          </w:tcPr>
          <w:p w:rsidR="00C223F5" w:rsidRDefault="005860D5">
            <w:pPr>
              <w:jc w:val="center"/>
            </w:pPr>
            <w:r>
              <w:rPr>
                <w:rFonts w:hint="eastAsia"/>
              </w:rPr>
              <w:t>天然牧草地（</w:t>
            </w:r>
            <w:r>
              <w:rPr>
                <w:rFonts w:hint="eastAsia"/>
              </w:rPr>
              <w:t>0401</w:t>
            </w:r>
            <w:r>
              <w:rPr>
                <w:rFonts w:hint="eastAsia"/>
              </w:rPr>
              <w:t>）</w:t>
            </w:r>
          </w:p>
        </w:tc>
        <w:tc>
          <w:tcPr>
            <w:tcW w:w="5341" w:type="dxa"/>
            <w:tcBorders>
              <w:bottom w:val="single" w:sz="4" w:space="0" w:color="auto"/>
            </w:tcBorders>
            <w:vAlign w:val="center"/>
          </w:tcPr>
          <w:p w:rsidR="00C223F5" w:rsidRDefault="005860D5">
            <w:r>
              <w:rPr>
                <w:rFonts w:hint="eastAsia"/>
              </w:rPr>
              <w:t>呈浅棕色、浅绿色色彩，具绿色斑点状影纹，不规则斑片状分布，解译标志明显。</w:t>
            </w:r>
          </w:p>
        </w:tc>
      </w:tr>
      <w:tr w:rsidR="00C223F5">
        <w:trPr>
          <w:cantSplit/>
          <w:trHeight w:val="585"/>
          <w:jc w:val="center"/>
        </w:trPr>
        <w:tc>
          <w:tcPr>
            <w:tcW w:w="3132" w:type="dxa"/>
            <w:shd w:val="clear" w:color="auto" w:fill="auto"/>
            <w:vAlign w:val="center"/>
          </w:tcPr>
          <w:p w:rsidR="00C223F5" w:rsidRDefault="005860D5">
            <w:pPr>
              <w:jc w:val="center"/>
            </w:pPr>
            <w:r>
              <w:rPr>
                <w:rFonts w:hint="eastAsia"/>
              </w:rPr>
              <w:t>工业用地（</w:t>
            </w:r>
            <w:r>
              <w:rPr>
                <w:rFonts w:hint="eastAsia"/>
              </w:rPr>
              <w:t>0601</w:t>
            </w:r>
            <w:r>
              <w:rPr>
                <w:rFonts w:hint="eastAsia"/>
              </w:rPr>
              <w:t>）</w:t>
            </w:r>
          </w:p>
        </w:tc>
        <w:tc>
          <w:tcPr>
            <w:tcW w:w="5341" w:type="dxa"/>
            <w:tcBorders>
              <w:bottom w:val="single" w:sz="4" w:space="0" w:color="auto"/>
            </w:tcBorders>
            <w:vAlign w:val="center"/>
          </w:tcPr>
          <w:p w:rsidR="00C223F5" w:rsidRDefault="005860D5">
            <w:r>
              <w:rPr>
                <w:rFonts w:hint="eastAsia"/>
              </w:rPr>
              <w:t>呈灰色、黑色色彩，规则块状分布，有多条道路相通；解译标志明显。</w:t>
            </w:r>
          </w:p>
        </w:tc>
      </w:tr>
      <w:tr w:rsidR="00C223F5">
        <w:trPr>
          <w:cantSplit/>
          <w:trHeight w:val="424"/>
          <w:jc w:val="center"/>
        </w:trPr>
        <w:tc>
          <w:tcPr>
            <w:tcW w:w="3132" w:type="dxa"/>
            <w:shd w:val="clear" w:color="auto" w:fill="auto"/>
            <w:vAlign w:val="center"/>
          </w:tcPr>
          <w:p w:rsidR="00C223F5" w:rsidRDefault="005860D5">
            <w:pPr>
              <w:jc w:val="center"/>
            </w:pPr>
            <w:r>
              <w:rPr>
                <w:rFonts w:hint="eastAsia"/>
              </w:rPr>
              <w:t>采矿用地（</w:t>
            </w:r>
            <w:r>
              <w:rPr>
                <w:rFonts w:hint="eastAsia"/>
              </w:rPr>
              <w:t>0602</w:t>
            </w:r>
            <w:r>
              <w:rPr>
                <w:rFonts w:hint="eastAsia"/>
              </w:rPr>
              <w:t>）</w:t>
            </w:r>
          </w:p>
        </w:tc>
        <w:tc>
          <w:tcPr>
            <w:tcW w:w="5341" w:type="dxa"/>
            <w:tcBorders>
              <w:bottom w:val="single" w:sz="4" w:space="0" w:color="auto"/>
            </w:tcBorders>
            <w:vAlign w:val="center"/>
          </w:tcPr>
          <w:p w:rsidR="00C223F5" w:rsidRDefault="005860D5">
            <w:r>
              <w:t>为灰黑、黑色、灰白色图斑，具有较规则的条带状纹理，与周围图斑有明显区别</w:t>
            </w:r>
            <w:r>
              <w:rPr>
                <w:rFonts w:hint="eastAsia"/>
              </w:rPr>
              <w:t>。</w:t>
            </w:r>
          </w:p>
        </w:tc>
      </w:tr>
      <w:tr w:rsidR="00C223F5">
        <w:trPr>
          <w:cantSplit/>
          <w:trHeight w:val="416"/>
          <w:jc w:val="center"/>
        </w:trPr>
        <w:tc>
          <w:tcPr>
            <w:tcW w:w="3132" w:type="dxa"/>
            <w:tcBorders>
              <w:bottom w:val="single" w:sz="4" w:space="0" w:color="auto"/>
            </w:tcBorders>
            <w:shd w:val="clear" w:color="auto" w:fill="auto"/>
            <w:vAlign w:val="center"/>
          </w:tcPr>
          <w:p w:rsidR="00C223F5" w:rsidRDefault="005860D5">
            <w:pPr>
              <w:jc w:val="center"/>
            </w:pPr>
            <w:r>
              <w:rPr>
                <w:rFonts w:hint="eastAsia"/>
              </w:rPr>
              <w:t>农村宅基地（</w:t>
            </w:r>
            <w:r>
              <w:rPr>
                <w:rFonts w:hint="eastAsia"/>
              </w:rPr>
              <w:t>0702</w:t>
            </w:r>
            <w:r>
              <w:rPr>
                <w:rFonts w:hint="eastAsia"/>
              </w:rPr>
              <w:t>）</w:t>
            </w:r>
          </w:p>
        </w:tc>
        <w:tc>
          <w:tcPr>
            <w:tcW w:w="5341" w:type="dxa"/>
            <w:tcBorders>
              <w:bottom w:val="single" w:sz="4" w:space="0" w:color="auto"/>
            </w:tcBorders>
            <w:vAlign w:val="center"/>
          </w:tcPr>
          <w:p w:rsidR="00C223F5" w:rsidRDefault="005860D5">
            <w:r>
              <w:rPr>
                <w:rFonts w:hint="eastAsia"/>
              </w:rPr>
              <w:t>呈灰白色色彩，具灰白色斑点状影纹，不规则块状分布，解译标志明显。</w:t>
            </w:r>
          </w:p>
        </w:tc>
      </w:tr>
      <w:tr w:rsidR="00C223F5">
        <w:trPr>
          <w:cantSplit/>
          <w:trHeight w:val="354"/>
          <w:jc w:val="center"/>
        </w:trPr>
        <w:tc>
          <w:tcPr>
            <w:tcW w:w="3132" w:type="dxa"/>
            <w:shd w:val="clear" w:color="auto" w:fill="auto"/>
            <w:vAlign w:val="center"/>
          </w:tcPr>
          <w:p w:rsidR="00C223F5" w:rsidRDefault="005860D5">
            <w:pPr>
              <w:jc w:val="center"/>
            </w:pPr>
            <w:r>
              <w:rPr>
                <w:rFonts w:hint="eastAsia"/>
              </w:rPr>
              <w:t>河流水面（</w:t>
            </w:r>
            <w:r>
              <w:rPr>
                <w:rFonts w:hint="eastAsia"/>
              </w:rPr>
              <w:t>1101</w:t>
            </w:r>
            <w:r>
              <w:rPr>
                <w:rFonts w:hint="eastAsia"/>
              </w:rPr>
              <w:t>）</w:t>
            </w:r>
          </w:p>
        </w:tc>
        <w:tc>
          <w:tcPr>
            <w:tcW w:w="5341" w:type="dxa"/>
            <w:vAlign w:val="center"/>
          </w:tcPr>
          <w:p w:rsidR="00C223F5" w:rsidRDefault="005860D5">
            <w:r>
              <w:rPr>
                <w:rFonts w:hint="eastAsia"/>
              </w:rPr>
              <w:t>呈灰绿色色彩，条带状，解译标志明显。</w:t>
            </w:r>
          </w:p>
        </w:tc>
      </w:tr>
      <w:tr w:rsidR="00C223F5">
        <w:trPr>
          <w:cantSplit/>
          <w:trHeight w:val="354"/>
          <w:jc w:val="center"/>
        </w:trPr>
        <w:tc>
          <w:tcPr>
            <w:tcW w:w="3132" w:type="dxa"/>
            <w:shd w:val="clear" w:color="auto" w:fill="auto"/>
            <w:vAlign w:val="center"/>
          </w:tcPr>
          <w:p w:rsidR="00C223F5" w:rsidRDefault="005860D5">
            <w:pPr>
              <w:jc w:val="center"/>
            </w:pPr>
            <w:r>
              <w:rPr>
                <w:rFonts w:hint="eastAsia"/>
              </w:rPr>
              <w:t>坑塘水面（</w:t>
            </w:r>
            <w:r>
              <w:rPr>
                <w:rFonts w:hint="eastAsia"/>
              </w:rPr>
              <w:t>1102</w:t>
            </w:r>
            <w:r>
              <w:rPr>
                <w:rFonts w:hint="eastAsia"/>
              </w:rPr>
              <w:t>）</w:t>
            </w:r>
          </w:p>
        </w:tc>
        <w:tc>
          <w:tcPr>
            <w:tcW w:w="5341" w:type="dxa"/>
            <w:vAlign w:val="center"/>
          </w:tcPr>
          <w:p w:rsidR="00C223F5" w:rsidRDefault="005860D5">
            <w:r>
              <w:rPr>
                <w:rFonts w:hint="eastAsia"/>
              </w:rPr>
              <w:t>呈蓝色色彩，色彩均匀，长条状分布，解译标志明显。</w:t>
            </w:r>
          </w:p>
        </w:tc>
      </w:tr>
      <w:tr w:rsidR="00C223F5">
        <w:trPr>
          <w:cantSplit/>
          <w:trHeight w:val="354"/>
          <w:jc w:val="center"/>
        </w:trPr>
        <w:tc>
          <w:tcPr>
            <w:tcW w:w="3132" w:type="dxa"/>
            <w:shd w:val="clear" w:color="auto" w:fill="auto"/>
            <w:vAlign w:val="center"/>
          </w:tcPr>
          <w:p w:rsidR="00C223F5" w:rsidRDefault="005860D5">
            <w:pPr>
              <w:jc w:val="center"/>
            </w:pPr>
            <w:r>
              <w:rPr>
                <w:rFonts w:hint="eastAsia"/>
              </w:rPr>
              <w:t>内陆滩涂（</w:t>
            </w:r>
            <w:r>
              <w:rPr>
                <w:rFonts w:hint="eastAsia"/>
              </w:rPr>
              <w:t>1106</w:t>
            </w:r>
            <w:r>
              <w:rPr>
                <w:rFonts w:hint="eastAsia"/>
              </w:rPr>
              <w:t>）</w:t>
            </w:r>
          </w:p>
        </w:tc>
        <w:tc>
          <w:tcPr>
            <w:tcW w:w="5341" w:type="dxa"/>
            <w:vAlign w:val="center"/>
          </w:tcPr>
          <w:p w:rsidR="00C223F5" w:rsidRDefault="005860D5">
            <w:r>
              <w:rPr>
                <w:rFonts w:hint="eastAsia"/>
              </w:rPr>
              <w:t>呈灰绿色、深灰色色彩，色彩均匀，长条状分布。</w:t>
            </w:r>
          </w:p>
        </w:tc>
      </w:tr>
      <w:tr w:rsidR="00C223F5">
        <w:trPr>
          <w:cantSplit/>
          <w:trHeight w:val="335"/>
          <w:jc w:val="center"/>
        </w:trPr>
        <w:tc>
          <w:tcPr>
            <w:tcW w:w="3132" w:type="dxa"/>
            <w:tcBorders>
              <w:bottom w:val="single" w:sz="4" w:space="0" w:color="auto"/>
            </w:tcBorders>
            <w:shd w:val="clear" w:color="auto" w:fill="auto"/>
            <w:vAlign w:val="center"/>
          </w:tcPr>
          <w:p w:rsidR="00C223F5" w:rsidRDefault="005860D5">
            <w:pPr>
              <w:adjustRightInd w:val="0"/>
              <w:snapToGrid w:val="0"/>
              <w:jc w:val="center"/>
            </w:pPr>
            <w:r>
              <w:rPr>
                <w:rFonts w:hint="eastAsia"/>
              </w:rPr>
              <w:t>裸土地（</w:t>
            </w:r>
            <w:r>
              <w:rPr>
                <w:rFonts w:hint="eastAsia"/>
              </w:rPr>
              <w:t>1206</w:t>
            </w:r>
            <w:r>
              <w:rPr>
                <w:rFonts w:hint="eastAsia"/>
              </w:rPr>
              <w:t>）</w:t>
            </w:r>
          </w:p>
        </w:tc>
        <w:tc>
          <w:tcPr>
            <w:tcW w:w="5341" w:type="dxa"/>
            <w:tcBorders>
              <w:bottom w:val="single" w:sz="4" w:space="0" w:color="auto"/>
            </w:tcBorders>
            <w:vAlign w:val="center"/>
          </w:tcPr>
          <w:p w:rsidR="00C223F5" w:rsidRDefault="005860D5">
            <w:pPr>
              <w:adjustRightInd w:val="0"/>
              <w:snapToGrid w:val="0"/>
            </w:pPr>
            <w:r>
              <w:rPr>
                <w:rFonts w:hint="eastAsia"/>
              </w:rPr>
              <w:t>呈白色或土黄色色彩，色彩均匀，块状分布明显。</w:t>
            </w:r>
          </w:p>
        </w:tc>
      </w:tr>
    </w:tbl>
    <w:p w:rsidR="00C223F5" w:rsidRDefault="005860D5">
      <w:pPr>
        <w:spacing w:line="360" w:lineRule="auto"/>
        <w:ind w:firstLineChars="200" w:firstLine="480"/>
        <w:rPr>
          <w:sz w:val="24"/>
        </w:rPr>
      </w:pPr>
      <w:r>
        <w:rPr>
          <w:rFonts w:hint="eastAsia"/>
          <w:sz w:val="24"/>
        </w:rPr>
        <w:t>评价区为</w:t>
      </w:r>
      <w:r>
        <w:rPr>
          <w:rFonts w:hAnsi="宋体"/>
          <w:snapToGrid w:val="0"/>
          <w:sz w:val="24"/>
        </w:rPr>
        <w:t>属中温带干旱、半干旱大陆性气候</w:t>
      </w:r>
      <w:r>
        <w:rPr>
          <w:rFonts w:hint="eastAsia"/>
          <w:sz w:val="24"/>
        </w:rPr>
        <w:t>，多年平均降雨量</w:t>
      </w:r>
      <w:r>
        <w:rPr>
          <w:sz w:val="24"/>
        </w:rPr>
        <w:t>4</w:t>
      </w:r>
      <w:r>
        <w:rPr>
          <w:rFonts w:hint="eastAsia"/>
          <w:sz w:val="24"/>
        </w:rPr>
        <w:t>34.1</w:t>
      </w:r>
      <w:r>
        <w:rPr>
          <w:sz w:val="24"/>
        </w:rPr>
        <w:t>mm</w:t>
      </w:r>
      <w:r>
        <w:rPr>
          <w:rFonts w:hint="eastAsia"/>
          <w:sz w:val="24"/>
        </w:rPr>
        <w:t>左右，土地利用类型包括耕地、林地、草地、工业采矿用地、住宅用地、水域及水利设施用地等，该地区生产以农业为主，土地利用主要为耕地、天然牧草地和乔木林地，其它利用类型所占比重均较小。评价区用地情况详见表</w:t>
      </w:r>
      <w:r>
        <w:rPr>
          <w:rFonts w:hint="eastAsia"/>
          <w:sz w:val="24"/>
        </w:rPr>
        <w:t>3.1.4-8</w:t>
      </w:r>
      <w:r>
        <w:rPr>
          <w:rFonts w:hint="eastAsia"/>
          <w:sz w:val="24"/>
        </w:rPr>
        <w:t>及图</w:t>
      </w:r>
      <w:r>
        <w:rPr>
          <w:rFonts w:hint="eastAsia"/>
          <w:sz w:val="24"/>
        </w:rPr>
        <w:t>3.1.4-5</w:t>
      </w:r>
      <w:r>
        <w:rPr>
          <w:rFonts w:hint="eastAsia"/>
          <w:sz w:val="24"/>
        </w:rPr>
        <w:t>。</w:t>
      </w:r>
    </w:p>
    <w:p w:rsidR="00C223F5" w:rsidRDefault="005860D5">
      <w:pPr>
        <w:tabs>
          <w:tab w:val="left" w:pos="1245"/>
          <w:tab w:val="center" w:pos="4252"/>
        </w:tabs>
        <w:jc w:val="center"/>
        <w:rPr>
          <w:b/>
          <w:sz w:val="24"/>
        </w:rPr>
      </w:pPr>
      <w:r>
        <w:rPr>
          <w:rFonts w:hint="eastAsia"/>
          <w:b/>
          <w:sz w:val="24"/>
        </w:rPr>
        <w:t>表</w:t>
      </w:r>
      <w:r>
        <w:rPr>
          <w:rFonts w:hint="eastAsia"/>
          <w:b/>
          <w:sz w:val="24"/>
        </w:rPr>
        <w:t xml:space="preserve">3.1.4-8   </w:t>
      </w:r>
      <w:r>
        <w:rPr>
          <w:rFonts w:hint="eastAsia"/>
          <w:b/>
          <w:sz w:val="24"/>
        </w:rPr>
        <w:t>土地利用现状类型面积统计</w:t>
      </w:r>
    </w:p>
    <w:tbl>
      <w:tblPr>
        <w:tblW w:w="84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800"/>
        <w:gridCol w:w="1620"/>
        <w:gridCol w:w="1800"/>
        <w:gridCol w:w="1440"/>
      </w:tblGrid>
      <w:tr w:rsidR="00C223F5">
        <w:trPr>
          <w:trHeight w:val="270"/>
        </w:trPr>
        <w:tc>
          <w:tcPr>
            <w:tcW w:w="1815" w:type="dxa"/>
            <w:vMerge w:val="restart"/>
            <w:shd w:val="clear" w:color="auto" w:fill="auto"/>
            <w:vAlign w:val="center"/>
          </w:tcPr>
          <w:p w:rsidR="00C223F5" w:rsidRDefault="005860D5">
            <w:pPr>
              <w:widowControl/>
              <w:jc w:val="left"/>
              <w:rPr>
                <w:rFonts w:ascii="宋体" w:hAnsi="宋体" w:cs="宋体"/>
                <w:kern w:val="0"/>
                <w:sz w:val="22"/>
                <w:szCs w:val="22"/>
              </w:rPr>
            </w:pPr>
            <w:r>
              <w:rPr>
                <w:rFonts w:ascii="宋体" w:hAnsi="宋体" w:cs="宋体" w:hint="eastAsia"/>
                <w:kern w:val="0"/>
                <w:sz w:val="22"/>
                <w:szCs w:val="22"/>
              </w:rPr>
              <w:t>土地利用类型</w:t>
            </w:r>
          </w:p>
        </w:tc>
        <w:tc>
          <w:tcPr>
            <w:tcW w:w="3420" w:type="dxa"/>
            <w:gridSpan w:val="2"/>
            <w:shd w:val="clear" w:color="auto" w:fill="auto"/>
            <w:vAlign w:val="center"/>
          </w:tcPr>
          <w:p w:rsidR="00C223F5" w:rsidRDefault="005860D5">
            <w:pPr>
              <w:widowControl/>
              <w:jc w:val="center"/>
              <w:rPr>
                <w:rFonts w:ascii="宋体" w:hAnsi="宋体" w:cs="宋体"/>
                <w:kern w:val="0"/>
                <w:sz w:val="22"/>
                <w:szCs w:val="22"/>
              </w:rPr>
            </w:pPr>
            <w:r>
              <w:rPr>
                <w:rFonts w:ascii="宋体" w:hAnsi="宋体" w:cs="宋体" w:hint="eastAsia"/>
                <w:kern w:val="0"/>
                <w:sz w:val="22"/>
                <w:szCs w:val="22"/>
              </w:rPr>
              <w:t>评价区</w:t>
            </w:r>
          </w:p>
        </w:tc>
        <w:tc>
          <w:tcPr>
            <w:tcW w:w="3240" w:type="dxa"/>
            <w:gridSpan w:val="2"/>
            <w:shd w:val="clear" w:color="auto" w:fill="auto"/>
            <w:vAlign w:val="center"/>
          </w:tcPr>
          <w:p w:rsidR="00C223F5" w:rsidRDefault="005860D5">
            <w:pPr>
              <w:widowControl/>
              <w:jc w:val="center"/>
              <w:rPr>
                <w:rFonts w:ascii="宋体" w:hAnsi="宋体" w:cs="宋体"/>
                <w:kern w:val="0"/>
                <w:sz w:val="22"/>
                <w:szCs w:val="22"/>
              </w:rPr>
            </w:pPr>
            <w:r>
              <w:rPr>
                <w:rFonts w:ascii="宋体" w:hAnsi="宋体" w:cs="宋体" w:hint="eastAsia"/>
                <w:kern w:val="0"/>
                <w:sz w:val="22"/>
                <w:szCs w:val="22"/>
              </w:rPr>
              <w:t>井田范围</w:t>
            </w:r>
          </w:p>
        </w:tc>
      </w:tr>
      <w:tr w:rsidR="00C223F5">
        <w:trPr>
          <w:trHeight w:val="270"/>
        </w:trPr>
        <w:tc>
          <w:tcPr>
            <w:tcW w:w="1815" w:type="dxa"/>
            <w:vMerge/>
            <w:shd w:val="clear" w:color="auto" w:fill="auto"/>
            <w:vAlign w:val="center"/>
          </w:tcPr>
          <w:p w:rsidR="00C223F5" w:rsidRDefault="00C223F5">
            <w:pPr>
              <w:widowControl/>
              <w:jc w:val="left"/>
              <w:rPr>
                <w:rFonts w:ascii="宋体" w:hAnsi="宋体" w:cs="宋体"/>
                <w:kern w:val="0"/>
                <w:sz w:val="22"/>
                <w:szCs w:val="22"/>
              </w:rPr>
            </w:pPr>
          </w:p>
        </w:tc>
        <w:tc>
          <w:tcPr>
            <w:tcW w:w="1800" w:type="dxa"/>
            <w:shd w:val="clear" w:color="auto" w:fill="auto"/>
            <w:vAlign w:val="center"/>
          </w:tcPr>
          <w:p w:rsidR="00C223F5" w:rsidRDefault="005860D5">
            <w:pPr>
              <w:rPr>
                <w:rFonts w:ascii="宋体" w:hAnsi="宋体" w:cs="宋体"/>
                <w:sz w:val="22"/>
                <w:szCs w:val="22"/>
              </w:rPr>
            </w:pPr>
            <w:r>
              <w:rPr>
                <w:rFonts w:hint="eastAsia"/>
                <w:sz w:val="22"/>
                <w:szCs w:val="22"/>
              </w:rPr>
              <w:t>面积（</w:t>
            </w:r>
            <w:r>
              <w:rPr>
                <w:rFonts w:hint="eastAsia"/>
                <w:bCs/>
                <w:szCs w:val="21"/>
              </w:rPr>
              <w:t>km</w:t>
            </w:r>
            <w:r>
              <w:rPr>
                <w:rFonts w:hint="eastAsia"/>
                <w:bCs/>
                <w:szCs w:val="21"/>
                <w:vertAlign w:val="superscript"/>
              </w:rPr>
              <w:t>2</w:t>
            </w:r>
            <w:r>
              <w:rPr>
                <w:rFonts w:hint="eastAsia"/>
                <w:sz w:val="22"/>
                <w:szCs w:val="22"/>
              </w:rPr>
              <w:t>）</w:t>
            </w:r>
          </w:p>
        </w:tc>
        <w:tc>
          <w:tcPr>
            <w:tcW w:w="1620" w:type="dxa"/>
            <w:shd w:val="clear" w:color="auto" w:fill="auto"/>
            <w:vAlign w:val="center"/>
          </w:tcPr>
          <w:p w:rsidR="00C223F5" w:rsidRDefault="005860D5">
            <w:pPr>
              <w:rPr>
                <w:rFonts w:ascii="宋体" w:hAnsi="宋体" w:cs="宋体"/>
                <w:sz w:val="22"/>
                <w:szCs w:val="22"/>
              </w:rPr>
            </w:pPr>
            <w:r>
              <w:rPr>
                <w:rFonts w:hint="eastAsia"/>
                <w:sz w:val="22"/>
                <w:szCs w:val="22"/>
              </w:rPr>
              <w:t>百分比（</w:t>
            </w:r>
            <w:r>
              <w:rPr>
                <w:rFonts w:hint="eastAsia"/>
                <w:sz w:val="22"/>
                <w:szCs w:val="22"/>
              </w:rPr>
              <w:t>%</w:t>
            </w:r>
            <w:r>
              <w:rPr>
                <w:rFonts w:hint="eastAsia"/>
                <w:sz w:val="22"/>
                <w:szCs w:val="22"/>
              </w:rPr>
              <w:t>）</w:t>
            </w:r>
          </w:p>
        </w:tc>
        <w:tc>
          <w:tcPr>
            <w:tcW w:w="1800" w:type="dxa"/>
            <w:shd w:val="clear" w:color="auto" w:fill="auto"/>
            <w:vAlign w:val="center"/>
          </w:tcPr>
          <w:p w:rsidR="00C223F5" w:rsidRDefault="005860D5">
            <w:pPr>
              <w:rPr>
                <w:rFonts w:ascii="宋体" w:hAnsi="宋体" w:cs="宋体"/>
                <w:sz w:val="22"/>
                <w:szCs w:val="22"/>
              </w:rPr>
            </w:pPr>
            <w:r>
              <w:rPr>
                <w:rFonts w:hint="eastAsia"/>
                <w:sz w:val="22"/>
                <w:szCs w:val="22"/>
              </w:rPr>
              <w:t>面积（</w:t>
            </w:r>
            <w:r>
              <w:rPr>
                <w:rFonts w:hint="eastAsia"/>
                <w:bCs/>
                <w:szCs w:val="21"/>
              </w:rPr>
              <w:t>km</w:t>
            </w:r>
            <w:r>
              <w:rPr>
                <w:rFonts w:hint="eastAsia"/>
                <w:bCs/>
                <w:szCs w:val="21"/>
                <w:vertAlign w:val="superscript"/>
              </w:rPr>
              <w:t>2</w:t>
            </w:r>
            <w:r>
              <w:rPr>
                <w:rFonts w:hint="eastAsia"/>
                <w:sz w:val="22"/>
                <w:szCs w:val="22"/>
              </w:rPr>
              <w:t>）</w:t>
            </w:r>
          </w:p>
        </w:tc>
        <w:tc>
          <w:tcPr>
            <w:tcW w:w="1440" w:type="dxa"/>
            <w:shd w:val="clear" w:color="auto" w:fill="auto"/>
            <w:vAlign w:val="center"/>
          </w:tcPr>
          <w:p w:rsidR="00C223F5" w:rsidRDefault="005860D5">
            <w:pPr>
              <w:rPr>
                <w:rFonts w:ascii="宋体" w:hAnsi="宋体" w:cs="宋体"/>
                <w:sz w:val="22"/>
                <w:szCs w:val="22"/>
              </w:rPr>
            </w:pPr>
            <w:r>
              <w:rPr>
                <w:rFonts w:hint="eastAsia"/>
                <w:sz w:val="22"/>
                <w:szCs w:val="22"/>
              </w:rPr>
              <w:t>百分比（</w:t>
            </w:r>
            <w:r>
              <w:rPr>
                <w:rFonts w:hint="eastAsia"/>
                <w:sz w:val="22"/>
                <w:szCs w:val="22"/>
              </w:rPr>
              <w:t>%</w:t>
            </w:r>
            <w:r>
              <w:rPr>
                <w:rFonts w:hint="eastAsia"/>
                <w:sz w:val="22"/>
                <w:szCs w:val="22"/>
              </w:rPr>
              <w:t>）</w:t>
            </w:r>
          </w:p>
        </w:tc>
      </w:tr>
      <w:tr w:rsidR="00C223F5">
        <w:trPr>
          <w:trHeight w:val="270"/>
        </w:trPr>
        <w:tc>
          <w:tcPr>
            <w:tcW w:w="1815" w:type="dxa"/>
            <w:shd w:val="clear" w:color="auto" w:fill="auto"/>
            <w:vAlign w:val="center"/>
          </w:tcPr>
          <w:p w:rsidR="00C223F5" w:rsidRDefault="005860D5">
            <w:pPr>
              <w:widowControl/>
              <w:jc w:val="center"/>
              <w:rPr>
                <w:rFonts w:ascii="宋体" w:hAnsi="宋体" w:cs="宋体"/>
                <w:kern w:val="0"/>
                <w:sz w:val="22"/>
                <w:szCs w:val="22"/>
              </w:rPr>
            </w:pPr>
            <w:r>
              <w:rPr>
                <w:rFonts w:ascii="宋体" w:hAnsi="宋体" w:cs="宋体" w:hint="eastAsia"/>
                <w:kern w:val="0"/>
                <w:sz w:val="22"/>
                <w:szCs w:val="22"/>
              </w:rPr>
              <w:t>基本农田</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19.90 </w:t>
            </w:r>
          </w:p>
        </w:tc>
        <w:tc>
          <w:tcPr>
            <w:tcW w:w="1620" w:type="dxa"/>
            <w:shd w:val="clear" w:color="auto" w:fill="auto"/>
            <w:vAlign w:val="center"/>
          </w:tcPr>
          <w:p w:rsidR="00C223F5" w:rsidRDefault="005860D5">
            <w:pPr>
              <w:jc w:val="center"/>
              <w:rPr>
                <w:rFonts w:eastAsia="等线"/>
                <w:szCs w:val="21"/>
              </w:rPr>
            </w:pPr>
            <w:r>
              <w:rPr>
                <w:rFonts w:eastAsia="等线" w:hint="eastAsia"/>
                <w:szCs w:val="21"/>
              </w:rPr>
              <w:t>22.69</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16.16 </w:t>
            </w:r>
          </w:p>
        </w:tc>
        <w:tc>
          <w:tcPr>
            <w:tcW w:w="1440" w:type="dxa"/>
            <w:shd w:val="clear" w:color="auto" w:fill="auto"/>
            <w:vAlign w:val="center"/>
          </w:tcPr>
          <w:p w:rsidR="00C223F5" w:rsidRDefault="005860D5">
            <w:pPr>
              <w:jc w:val="center"/>
              <w:rPr>
                <w:rFonts w:eastAsia="等线"/>
                <w:szCs w:val="21"/>
              </w:rPr>
            </w:pPr>
            <w:r>
              <w:rPr>
                <w:rFonts w:eastAsia="等线" w:hint="eastAsia"/>
                <w:szCs w:val="21"/>
              </w:rPr>
              <w:t>24.07</w:t>
            </w:r>
          </w:p>
        </w:tc>
      </w:tr>
      <w:tr w:rsidR="00C223F5">
        <w:trPr>
          <w:trHeight w:val="270"/>
        </w:trPr>
        <w:tc>
          <w:tcPr>
            <w:tcW w:w="1815" w:type="dxa"/>
            <w:shd w:val="clear" w:color="auto" w:fill="auto"/>
            <w:vAlign w:val="center"/>
          </w:tcPr>
          <w:p w:rsidR="00C223F5" w:rsidRDefault="005860D5">
            <w:pPr>
              <w:jc w:val="center"/>
              <w:rPr>
                <w:sz w:val="22"/>
                <w:szCs w:val="22"/>
              </w:rPr>
            </w:pPr>
            <w:r>
              <w:rPr>
                <w:rFonts w:hint="eastAsia"/>
                <w:sz w:val="22"/>
                <w:szCs w:val="22"/>
              </w:rPr>
              <w:t>水浇地</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2.02 </w:t>
            </w:r>
          </w:p>
        </w:tc>
        <w:tc>
          <w:tcPr>
            <w:tcW w:w="1620" w:type="dxa"/>
            <w:shd w:val="clear" w:color="auto" w:fill="auto"/>
            <w:vAlign w:val="center"/>
          </w:tcPr>
          <w:p w:rsidR="00C223F5" w:rsidRDefault="005860D5">
            <w:pPr>
              <w:jc w:val="center"/>
              <w:rPr>
                <w:rFonts w:eastAsia="等线"/>
                <w:szCs w:val="21"/>
              </w:rPr>
            </w:pPr>
            <w:r>
              <w:rPr>
                <w:rFonts w:eastAsia="等线" w:hint="eastAsia"/>
                <w:szCs w:val="21"/>
              </w:rPr>
              <w:t>2.31</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1.83 </w:t>
            </w:r>
          </w:p>
        </w:tc>
        <w:tc>
          <w:tcPr>
            <w:tcW w:w="1440" w:type="dxa"/>
            <w:shd w:val="clear" w:color="auto" w:fill="auto"/>
            <w:vAlign w:val="center"/>
          </w:tcPr>
          <w:p w:rsidR="00C223F5" w:rsidRDefault="005860D5">
            <w:pPr>
              <w:jc w:val="center"/>
              <w:rPr>
                <w:rFonts w:eastAsia="等线"/>
                <w:szCs w:val="21"/>
              </w:rPr>
            </w:pPr>
            <w:r>
              <w:rPr>
                <w:rFonts w:eastAsia="等线" w:hint="eastAsia"/>
                <w:szCs w:val="21"/>
              </w:rPr>
              <w:t>2.72</w:t>
            </w:r>
          </w:p>
        </w:tc>
      </w:tr>
      <w:tr w:rsidR="00C223F5">
        <w:trPr>
          <w:trHeight w:val="270"/>
        </w:trPr>
        <w:tc>
          <w:tcPr>
            <w:tcW w:w="1815" w:type="dxa"/>
            <w:shd w:val="clear" w:color="auto" w:fill="auto"/>
            <w:vAlign w:val="center"/>
          </w:tcPr>
          <w:p w:rsidR="00C223F5" w:rsidRDefault="005860D5">
            <w:pPr>
              <w:jc w:val="center"/>
              <w:rPr>
                <w:rFonts w:ascii="宋体" w:hAnsi="宋体" w:cs="宋体"/>
                <w:sz w:val="22"/>
                <w:szCs w:val="22"/>
              </w:rPr>
            </w:pPr>
            <w:r>
              <w:rPr>
                <w:rFonts w:hint="eastAsia"/>
                <w:sz w:val="22"/>
                <w:szCs w:val="22"/>
              </w:rPr>
              <w:t>旱地</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7.12 </w:t>
            </w:r>
          </w:p>
        </w:tc>
        <w:tc>
          <w:tcPr>
            <w:tcW w:w="1620" w:type="dxa"/>
            <w:shd w:val="clear" w:color="auto" w:fill="auto"/>
            <w:vAlign w:val="center"/>
          </w:tcPr>
          <w:p w:rsidR="00C223F5" w:rsidRDefault="005860D5">
            <w:pPr>
              <w:jc w:val="center"/>
              <w:rPr>
                <w:rFonts w:eastAsia="等线"/>
                <w:szCs w:val="21"/>
              </w:rPr>
            </w:pPr>
            <w:r>
              <w:rPr>
                <w:rFonts w:eastAsia="等线" w:hint="eastAsia"/>
                <w:szCs w:val="21"/>
              </w:rPr>
              <w:t>8.11</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4.83 </w:t>
            </w:r>
          </w:p>
        </w:tc>
        <w:tc>
          <w:tcPr>
            <w:tcW w:w="1440" w:type="dxa"/>
            <w:shd w:val="clear" w:color="auto" w:fill="auto"/>
            <w:vAlign w:val="center"/>
          </w:tcPr>
          <w:p w:rsidR="00C223F5" w:rsidRDefault="005860D5">
            <w:pPr>
              <w:jc w:val="center"/>
              <w:rPr>
                <w:rFonts w:eastAsia="等线"/>
                <w:szCs w:val="21"/>
              </w:rPr>
            </w:pPr>
            <w:r>
              <w:rPr>
                <w:rFonts w:eastAsia="等线" w:hint="eastAsia"/>
                <w:szCs w:val="21"/>
              </w:rPr>
              <w:t>7.19</w:t>
            </w:r>
          </w:p>
        </w:tc>
      </w:tr>
      <w:tr w:rsidR="00C223F5">
        <w:trPr>
          <w:trHeight w:val="270"/>
        </w:trPr>
        <w:tc>
          <w:tcPr>
            <w:tcW w:w="1815" w:type="dxa"/>
            <w:shd w:val="clear" w:color="auto" w:fill="auto"/>
            <w:vAlign w:val="center"/>
          </w:tcPr>
          <w:p w:rsidR="00C223F5" w:rsidRDefault="005860D5">
            <w:pPr>
              <w:jc w:val="center"/>
              <w:rPr>
                <w:rFonts w:ascii="宋体" w:hAnsi="宋体" w:cs="宋体"/>
                <w:sz w:val="22"/>
                <w:szCs w:val="22"/>
              </w:rPr>
            </w:pPr>
            <w:r>
              <w:rPr>
                <w:rFonts w:hint="eastAsia"/>
                <w:sz w:val="22"/>
                <w:szCs w:val="22"/>
              </w:rPr>
              <w:t>乔木林地</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22.06 </w:t>
            </w:r>
          </w:p>
        </w:tc>
        <w:tc>
          <w:tcPr>
            <w:tcW w:w="1620" w:type="dxa"/>
            <w:shd w:val="clear" w:color="auto" w:fill="auto"/>
            <w:vAlign w:val="center"/>
          </w:tcPr>
          <w:p w:rsidR="00C223F5" w:rsidRDefault="005860D5">
            <w:pPr>
              <w:jc w:val="center"/>
              <w:rPr>
                <w:rFonts w:eastAsia="等线"/>
                <w:szCs w:val="21"/>
              </w:rPr>
            </w:pPr>
            <w:r>
              <w:rPr>
                <w:rFonts w:eastAsia="等线" w:hint="eastAsia"/>
                <w:szCs w:val="21"/>
              </w:rPr>
              <w:t>25.15</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17.44 </w:t>
            </w:r>
          </w:p>
        </w:tc>
        <w:tc>
          <w:tcPr>
            <w:tcW w:w="1440" w:type="dxa"/>
            <w:shd w:val="clear" w:color="auto" w:fill="auto"/>
            <w:vAlign w:val="center"/>
          </w:tcPr>
          <w:p w:rsidR="00C223F5" w:rsidRDefault="005860D5">
            <w:pPr>
              <w:jc w:val="center"/>
              <w:rPr>
                <w:rFonts w:eastAsia="等线"/>
                <w:szCs w:val="21"/>
              </w:rPr>
            </w:pPr>
            <w:r>
              <w:rPr>
                <w:rFonts w:eastAsia="等线" w:hint="eastAsia"/>
                <w:szCs w:val="21"/>
              </w:rPr>
              <w:t>25.98</w:t>
            </w:r>
          </w:p>
        </w:tc>
      </w:tr>
      <w:tr w:rsidR="00C223F5">
        <w:trPr>
          <w:trHeight w:val="270"/>
        </w:trPr>
        <w:tc>
          <w:tcPr>
            <w:tcW w:w="1815" w:type="dxa"/>
            <w:shd w:val="clear" w:color="auto" w:fill="auto"/>
            <w:vAlign w:val="center"/>
          </w:tcPr>
          <w:p w:rsidR="00C223F5" w:rsidRDefault="005860D5">
            <w:pPr>
              <w:jc w:val="center"/>
              <w:rPr>
                <w:rFonts w:ascii="宋体" w:hAnsi="宋体" w:cs="宋体"/>
                <w:sz w:val="22"/>
                <w:szCs w:val="22"/>
              </w:rPr>
            </w:pPr>
            <w:r>
              <w:rPr>
                <w:rFonts w:hint="eastAsia"/>
                <w:sz w:val="22"/>
                <w:szCs w:val="22"/>
              </w:rPr>
              <w:t>灌木林地</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10.00 </w:t>
            </w:r>
          </w:p>
        </w:tc>
        <w:tc>
          <w:tcPr>
            <w:tcW w:w="1620" w:type="dxa"/>
            <w:shd w:val="clear" w:color="auto" w:fill="auto"/>
            <w:vAlign w:val="center"/>
          </w:tcPr>
          <w:p w:rsidR="00C223F5" w:rsidRDefault="005860D5">
            <w:pPr>
              <w:jc w:val="center"/>
              <w:rPr>
                <w:rFonts w:eastAsia="等线"/>
                <w:szCs w:val="21"/>
              </w:rPr>
            </w:pPr>
            <w:r>
              <w:rPr>
                <w:rFonts w:eastAsia="等线" w:hint="eastAsia"/>
                <w:szCs w:val="21"/>
              </w:rPr>
              <w:t>11.40</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6.24 </w:t>
            </w:r>
          </w:p>
        </w:tc>
        <w:tc>
          <w:tcPr>
            <w:tcW w:w="1440" w:type="dxa"/>
            <w:shd w:val="clear" w:color="auto" w:fill="auto"/>
            <w:vAlign w:val="center"/>
          </w:tcPr>
          <w:p w:rsidR="00C223F5" w:rsidRDefault="005860D5">
            <w:pPr>
              <w:jc w:val="center"/>
              <w:rPr>
                <w:rFonts w:eastAsia="等线"/>
                <w:szCs w:val="21"/>
              </w:rPr>
            </w:pPr>
            <w:r>
              <w:rPr>
                <w:rFonts w:eastAsia="等线" w:hint="eastAsia"/>
                <w:szCs w:val="21"/>
              </w:rPr>
              <w:t>9.30</w:t>
            </w:r>
          </w:p>
        </w:tc>
      </w:tr>
      <w:tr w:rsidR="00C223F5">
        <w:trPr>
          <w:trHeight w:val="270"/>
        </w:trPr>
        <w:tc>
          <w:tcPr>
            <w:tcW w:w="1815" w:type="dxa"/>
            <w:shd w:val="clear" w:color="auto" w:fill="auto"/>
            <w:vAlign w:val="center"/>
          </w:tcPr>
          <w:p w:rsidR="00C223F5" w:rsidRDefault="005860D5">
            <w:pPr>
              <w:jc w:val="center"/>
              <w:rPr>
                <w:rFonts w:ascii="宋体" w:hAnsi="宋体" w:cs="宋体"/>
                <w:sz w:val="22"/>
                <w:szCs w:val="22"/>
              </w:rPr>
            </w:pPr>
            <w:r>
              <w:rPr>
                <w:rFonts w:hint="eastAsia"/>
                <w:sz w:val="22"/>
                <w:szCs w:val="22"/>
              </w:rPr>
              <w:t>天然牧草地</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23.86 </w:t>
            </w:r>
          </w:p>
        </w:tc>
        <w:tc>
          <w:tcPr>
            <w:tcW w:w="1620" w:type="dxa"/>
            <w:shd w:val="clear" w:color="auto" w:fill="auto"/>
            <w:vAlign w:val="center"/>
          </w:tcPr>
          <w:p w:rsidR="00C223F5" w:rsidRDefault="005860D5">
            <w:pPr>
              <w:jc w:val="center"/>
              <w:rPr>
                <w:rFonts w:eastAsia="等线"/>
                <w:szCs w:val="21"/>
              </w:rPr>
            </w:pPr>
            <w:r>
              <w:rPr>
                <w:rFonts w:eastAsia="等线" w:hint="eastAsia"/>
                <w:szCs w:val="21"/>
              </w:rPr>
              <w:t>27.20</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18.44 </w:t>
            </w:r>
          </w:p>
        </w:tc>
        <w:tc>
          <w:tcPr>
            <w:tcW w:w="1440" w:type="dxa"/>
            <w:shd w:val="clear" w:color="auto" w:fill="auto"/>
            <w:vAlign w:val="center"/>
          </w:tcPr>
          <w:p w:rsidR="00C223F5" w:rsidRDefault="005860D5">
            <w:pPr>
              <w:jc w:val="center"/>
              <w:rPr>
                <w:rFonts w:eastAsia="等线"/>
                <w:szCs w:val="21"/>
              </w:rPr>
            </w:pPr>
            <w:r>
              <w:rPr>
                <w:rFonts w:eastAsia="等线" w:hint="eastAsia"/>
                <w:szCs w:val="21"/>
              </w:rPr>
              <w:t>27.47</w:t>
            </w:r>
          </w:p>
        </w:tc>
      </w:tr>
      <w:tr w:rsidR="00C223F5">
        <w:trPr>
          <w:trHeight w:val="270"/>
        </w:trPr>
        <w:tc>
          <w:tcPr>
            <w:tcW w:w="1815" w:type="dxa"/>
            <w:shd w:val="clear" w:color="auto" w:fill="auto"/>
            <w:vAlign w:val="center"/>
          </w:tcPr>
          <w:p w:rsidR="00C223F5" w:rsidRDefault="005860D5">
            <w:pPr>
              <w:jc w:val="center"/>
              <w:rPr>
                <w:rFonts w:ascii="宋体" w:hAnsi="宋体" w:cs="宋体"/>
                <w:sz w:val="22"/>
                <w:szCs w:val="22"/>
              </w:rPr>
            </w:pPr>
            <w:r>
              <w:rPr>
                <w:rFonts w:hint="eastAsia"/>
                <w:sz w:val="22"/>
                <w:szCs w:val="22"/>
              </w:rPr>
              <w:t>工业用地</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0.08 </w:t>
            </w:r>
          </w:p>
        </w:tc>
        <w:tc>
          <w:tcPr>
            <w:tcW w:w="1620" w:type="dxa"/>
            <w:shd w:val="clear" w:color="auto" w:fill="auto"/>
            <w:vAlign w:val="center"/>
          </w:tcPr>
          <w:p w:rsidR="00C223F5" w:rsidRDefault="005860D5">
            <w:pPr>
              <w:jc w:val="center"/>
              <w:rPr>
                <w:rFonts w:eastAsia="等线"/>
                <w:szCs w:val="21"/>
              </w:rPr>
            </w:pPr>
            <w:r>
              <w:rPr>
                <w:rFonts w:eastAsia="等线" w:hint="eastAsia"/>
                <w:szCs w:val="21"/>
              </w:rPr>
              <w:t>0.09</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0.05 </w:t>
            </w:r>
          </w:p>
        </w:tc>
        <w:tc>
          <w:tcPr>
            <w:tcW w:w="1440" w:type="dxa"/>
            <w:shd w:val="clear" w:color="auto" w:fill="auto"/>
            <w:vAlign w:val="center"/>
          </w:tcPr>
          <w:p w:rsidR="00C223F5" w:rsidRDefault="005860D5">
            <w:pPr>
              <w:jc w:val="center"/>
              <w:rPr>
                <w:rFonts w:eastAsia="等线"/>
                <w:szCs w:val="21"/>
              </w:rPr>
            </w:pPr>
            <w:r>
              <w:rPr>
                <w:rFonts w:eastAsia="等线" w:hint="eastAsia"/>
                <w:szCs w:val="21"/>
              </w:rPr>
              <w:t>0.07</w:t>
            </w:r>
          </w:p>
        </w:tc>
      </w:tr>
      <w:tr w:rsidR="00C223F5">
        <w:trPr>
          <w:trHeight w:val="270"/>
        </w:trPr>
        <w:tc>
          <w:tcPr>
            <w:tcW w:w="1815" w:type="dxa"/>
            <w:shd w:val="clear" w:color="auto" w:fill="auto"/>
            <w:vAlign w:val="center"/>
          </w:tcPr>
          <w:p w:rsidR="00C223F5" w:rsidRDefault="005860D5">
            <w:pPr>
              <w:jc w:val="center"/>
              <w:rPr>
                <w:sz w:val="22"/>
                <w:szCs w:val="22"/>
              </w:rPr>
            </w:pPr>
            <w:r>
              <w:rPr>
                <w:rFonts w:hint="eastAsia"/>
                <w:sz w:val="22"/>
                <w:szCs w:val="22"/>
              </w:rPr>
              <w:t>采矿用地</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0.05 </w:t>
            </w:r>
          </w:p>
        </w:tc>
        <w:tc>
          <w:tcPr>
            <w:tcW w:w="1620" w:type="dxa"/>
            <w:shd w:val="clear" w:color="auto" w:fill="auto"/>
            <w:vAlign w:val="center"/>
          </w:tcPr>
          <w:p w:rsidR="00C223F5" w:rsidRDefault="005860D5">
            <w:pPr>
              <w:jc w:val="center"/>
              <w:rPr>
                <w:rFonts w:eastAsia="等线"/>
                <w:szCs w:val="21"/>
              </w:rPr>
            </w:pPr>
            <w:r>
              <w:rPr>
                <w:rFonts w:eastAsia="等线" w:hint="eastAsia"/>
                <w:szCs w:val="21"/>
              </w:rPr>
              <w:t>0.06</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0.05 </w:t>
            </w:r>
          </w:p>
        </w:tc>
        <w:tc>
          <w:tcPr>
            <w:tcW w:w="1440" w:type="dxa"/>
            <w:shd w:val="clear" w:color="auto" w:fill="auto"/>
            <w:vAlign w:val="center"/>
          </w:tcPr>
          <w:p w:rsidR="00C223F5" w:rsidRDefault="005860D5">
            <w:pPr>
              <w:jc w:val="center"/>
              <w:rPr>
                <w:rFonts w:eastAsia="等线"/>
                <w:szCs w:val="21"/>
              </w:rPr>
            </w:pPr>
            <w:r>
              <w:rPr>
                <w:rFonts w:eastAsia="等线" w:hint="eastAsia"/>
                <w:szCs w:val="21"/>
              </w:rPr>
              <w:t>0.08</w:t>
            </w:r>
          </w:p>
        </w:tc>
      </w:tr>
      <w:tr w:rsidR="00C223F5">
        <w:trPr>
          <w:trHeight w:val="270"/>
        </w:trPr>
        <w:tc>
          <w:tcPr>
            <w:tcW w:w="1815" w:type="dxa"/>
            <w:shd w:val="clear" w:color="auto" w:fill="auto"/>
            <w:vAlign w:val="center"/>
          </w:tcPr>
          <w:p w:rsidR="00C223F5" w:rsidRDefault="005860D5">
            <w:pPr>
              <w:jc w:val="center"/>
              <w:rPr>
                <w:sz w:val="22"/>
                <w:szCs w:val="22"/>
              </w:rPr>
            </w:pPr>
            <w:r>
              <w:rPr>
                <w:rFonts w:hint="eastAsia"/>
                <w:sz w:val="22"/>
                <w:szCs w:val="22"/>
              </w:rPr>
              <w:t>农村住宅</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0.97 </w:t>
            </w:r>
          </w:p>
        </w:tc>
        <w:tc>
          <w:tcPr>
            <w:tcW w:w="1620" w:type="dxa"/>
            <w:shd w:val="clear" w:color="auto" w:fill="auto"/>
            <w:vAlign w:val="center"/>
          </w:tcPr>
          <w:p w:rsidR="00C223F5" w:rsidRDefault="005860D5">
            <w:pPr>
              <w:jc w:val="center"/>
              <w:rPr>
                <w:rFonts w:eastAsia="等线"/>
                <w:szCs w:val="21"/>
              </w:rPr>
            </w:pPr>
            <w:r>
              <w:rPr>
                <w:rFonts w:eastAsia="等线" w:hint="eastAsia"/>
                <w:szCs w:val="21"/>
              </w:rPr>
              <w:t>1.10</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0.70 </w:t>
            </w:r>
          </w:p>
        </w:tc>
        <w:tc>
          <w:tcPr>
            <w:tcW w:w="1440" w:type="dxa"/>
            <w:shd w:val="clear" w:color="auto" w:fill="auto"/>
            <w:vAlign w:val="center"/>
          </w:tcPr>
          <w:p w:rsidR="00C223F5" w:rsidRDefault="005860D5">
            <w:pPr>
              <w:jc w:val="center"/>
              <w:rPr>
                <w:rFonts w:eastAsia="等线"/>
                <w:szCs w:val="21"/>
              </w:rPr>
            </w:pPr>
            <w:r>
              <w:rPr>
                <w:rFonts w:eastAsia="等线" w:hint="eastAsia"/>
                <w:szCs w:val="21"/>
              </w:rPr>
              <w:t>1.04</w:t>
            </w:r>
          </w:p>
        </w:tc>
      </w:tr>
      <w:tr w:rsidR="00C223F5">
        <w:trPr>
          <w:trHeight w:val="270"/>
        </w:trPr>
        <w:tc>
          <w:tcPr>
            <w:tcW w:w="1815" w:type="dxa"/>
            <w:shd w:val="clear" w:color="auto" w:fill="auto"/>
            <w:vAlign w:val="center"/>
          </w:tcPr>
          <w:p w:rsidR="00C223F5" w:rsidRDefault="005860D5">
            <w:pPr>
              <w:jc w:val="center"/>
              <w:rPr>
                <w:rFonts w:ascii="宋体" w:hAnsi="宋体" w:cs="宋体"/>
                <w:sz w:val="22"/>
                <w:szCs w:val="22"/>
              </w:rPr>
            </w:pPr>
            <w:r>
              <w:rPr>
                <w:rFonts w:hint="eastAsia"/>
                <w:sz w:val="22"/>
                <w:szCs w:val="22"/>
              </w:rPr>
              <w:t>河流水面</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1.25</w:t>
            </w:r>
          </w:p>
        </w:tc>
        <w:tc>
          <w:tcPr>
            <w:tcW w:w="1620" w:type="dxa"/>
            <w:shd w:val="clear" w:color="auto" w:fill="auto"/>
            <w:vAlign w:val="center"/>
          </w:tcPr>
          <w:p w:rsidR="00C223F5" w:rsidRDefault="005860D5">
            <w:pPr>
              <w:jc w:val="center"/>
              <w:rPr>
                <w:rFonts w:eastAsia="等线"/>
                <w:szCs w:val="21"/>
              </w:rPr>
            </w:pPr>
            <w:r>
              <w:rPr>
                <w:rFonts w:eastAsia="等线" w:hint="eastAsia"/>
                <w:szCs w:val="21"/>
              </w:rPr>
              <w:t>1.43</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1.03 </w:t>
            </w:r>
          </w:p>
        </w:tc>
        <w:tc>
          <w:tcPr>
            <w:tcW w:w="1440" w:type="dxa"/>
            <w:shd w:val="clear" w:color="auto" w:fill="auto"/>
            <w:vAlign w:val="center"/>
          </w:tcPr>
          <w:p w:rsidR="00C223F5" w:rsidRDefault="005860D5">
            <w:pPr>
              <w:jc w:val="center"/>
              <w:rPr>
                <w:rFonts w:eastAsia="等线"/>
                <w:szCs w:val="21"/>
              </w:rPr>
            </w:pPr>
            <w:r>
              <w:rPr>
                <w:rFonts w:eastAsia="等线" w:hint="eastAsia"/>
                <w:szCs w:val="21"/>
              </w:rPr>
              <w:t>1.54</w:t>
            </w:r>
          </w:p>
        </w:tc>
      </w:tr>
      <w:tr w:rsidR="00C223F5">
        <w:trPr>
          <w:trHeight w:val="270"/>
        </w:trPr>
        <w:tc>
          <w:tcPr>
            <w:tcW w:w="1815" w:type="dxa"/>
            <w:shd w:val="clear" w:color="auto" w:fill="auto"/>
            <w:vAlign w:val="center"/>
          </w:tcPr>
          <w:p w:rsidR="00C223F5" w:rsidRDefault="005860D5">
            <w:pPr>
              <w:jc w:val="center"/>
              <w:rPr>
                <w:rFonts w:ascii="宋体" w:hAnsi="宋体" w:cs="宋体"/>
                <w:sz w:val="22"/>
                <w:szCs w:val="22"/>
              </w:rPr>
            </w:pPr>
            <w:r>
              <w:rPr>
                <w:rFonts w:hint="eastAsia"/>
                <w:sz w:val="22"/>
                <w:szCs w:val="22"/>
              </w:rPr>
              <w:t>坑塘水面</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0.03 </w:t>
            </w:r>
          </w:p>
        </w:tc>
        <w:tc>
          <w:tcPr>
            <w:tcW w:w="1620" w:type="dxa"/>
            <w:shd w:val="clear" w:color="auto" w:fill="auto"/>
            <w:vAlign w:val="center"/>
          </w:tcPr>
          <w:p w:rsidR="00C223F5" w:rsidRDefault="005860D5">
            <w:pPr>
              <w:jc w:val="center"/>
              <w:rPr>
                <w:rFonts w:eastAsia="等线"/>
                <w:szCs w:val="21"/>
              </w:rPr>
            </w:pPr>
            <w:r>
              <w:rPr>
                <w:rFonts w:eastAsia="等线" w:hint="eastAsia"/>
                <w:szCs w:val="21"/>
              </w:rPr>
              <w:t>0.03</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0.03 </w:t>
            </w:r>
          </w:p>
        </w:tc>
        <w:tc>
          <w:tcPr>
            <w:tcW w:w="1440" w:type="dxa"/>
            <w:shd w:val="clear" w:color="auto" w:fill="auto"/>
            <w:vAlign w:val="center"/>
          </w:tcPr>
          <w:p w:rsidR="00C223F5" w:rsidRDefault="005860D5">
            <w:pPr>
              <w:jc w:val="center"/>
              <w:rPr>
                <w:rFonts w:eastAsia="等线"/>
                <w:szCs w:val="21"/>
              </w:rPr>
            </w:pPr>
            <w:r>
              <w:rPr>
                <w:rFonts w:eastAsia="等线" w:hint="eastAsia"/>
                <w:szCs w:val="21"/>
              </w:rPr>
              <w:t>0.04</w:t>
            </w:r>
          </w:p>
        </w:tc>
      </w:tr>
      <w:tr w:rsidR="00C223F5">
        <w:trPr>
          <w:trHeight w:val="270"/>
        </w:trPr>
        <w:tc>
          <w:tcPr>
            <w:tcW w:w="1815" w:type="dxa"/>
            <w:shd w:val="clear" w:color="auto" w:fill="auto"/>
            <w:vAlign w:val="center"/>
          </w:tcPr>
          <w:p w:rsidR="00C223F5" w:rsidRDefault="005860D5">
            <w:pPr>
              <w:jc w:val="center"/>
              <w:rPr>
                <w:sz w:val="22"/>
                <w:szCs w:val="22"/>
              </w:rPr>
            </w:pPr>
            <w:r>
              <w:rPr>
                <w:rFonts w:hint="eastAsia"/>
                <w:sz w:val="22"/>
                <w:szCs w:val="22"/>
              </w:rPr>
              <w:t>内陆滩涂</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0.14 </w:t>
            </w:r>
          </w:p>
        </w:tc>
        <w:tc>
          <w:tcPr>
            <w:tcW w:w="1620" w:type="dxa"/>
            <w:shd w:val="clear" w:color="auto" w:fill="auto"/>
            <w:vAlign w:val="center"/>
          </w:tcPr>
          <w:p w:rsidR="00C223F5" w:rsidRDefault="005860D5">
            <w:pPr>
              <w:jc w:val="center"/>
              <w:rPr>
                <w:rFonts w:eastAsia="等线"/>
                <w:szCs w:val="21"/>
              </w:rPr>
            </w:pPr>
            <w:r>
              <w:rPr>
                <w:rFonts w:eastAsia="等线" w:hint="eastAsia"/>
                <w:szCs w:val="21"/>
              </w:rPr>
              <w:t>0.16</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0.08</w:t>
            </w:r>
          </w:p>
        </w:tc>
        <w:tc>
          <w:tcPr>
            <w:tcW w:w="1440" w:type="dxa"/>
            <w:shd w:val="clear" w:color="auto" w:fill="auto"/>
            <w:vAlign w:val="center"/>
          </w:tcPr>
          <w:p w:rsidR="00C223F5" w:rsidRDefault="005860D5">
            <w:pPr>
              <w:jc w:val="center"/>
              <w:rPr>
                <w:rFonts w:eastAsia="等线"/>
                <w:szCs w:val="21"/>
              </w:rPr>
            </w:pPr>
            <w:r>
              <w:rPr>
                <w:rFonts w:eastAsia="等线" w:hint="eastAsia"/>
                <w:szCs w:val="21"/>
              </w:rPr>
              <w:t>0.15</w:t>
            </w:r>
          </w:p>
        </w:tc>
      </w:tr>
      <w:tr w:rsidR="00C223F5">
        <w:trPr>
          <w:trHeight w:val="270"/>
        </w:trPr>
        <w:tc>
          <w:tcPr>
            <w:tcW w:w="1815" w:type="dxa"/>
            <w:shd w:val="clear" w:color="auto" w:fill="auto"/>
            <w:vAlign w:val="center"/>
          </w:tcPr>
          <w:p w:rsidR="00C223F5" w:rsidRDefault="005860D5">
            <w:pPr>
              <w:jc w:val="center"/>
              <w:rPr>
                <w:sz w:val="22"/>
                <w:szCs w:val="22"/>
              </w:rPr>
            </w:pPr>
            <w:r>
              <w:rPr>
                <w:rFonts w:hint="eastAsia"/>
                <w:sz w:val="22"/>
                <w:szCs w:val="22"/>
              </w:rPr>
              <w:t>裸土地</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0.24 </w:t>
            </w:r>
          </w:p>
        </w:tc>
        <w:tc>
          <w:tcPr>
            <w:tcW w:w="1620" w:type="dxa"/>
            <w:shd w:val="clear" w:color="auto" w:fill="auto"/>
            <w:vAlign w:val="center"/>
          </w:tcPr>
          <w:p w:rsidR="00C223F5" w:rsidRDefault="005860D5">
            <w:pPr>
              <w:jc w:val="center"/>
              <w:rPr>
                <w:rFonts w:eastAsia="等线"/>
                <w:szCs w:val="21"/>
              </w:rPr>
            </w:pPr>
            <w:r>
              <w:rPr>
                <w:rFonts w:eastAsia="等线" w:hint="eastAsia"/>
                <w:szCs w:val="21"/>
              </w:rPr>
              <w:t>0.27</w:t>
            </w:r>
          </w:p>
        </w:tc>
        <w:tc>
          <w:tcPr>
            <w:tcW w:w="1800" w:type="dxa"/>
            <w:shd w:val="clear" w:color="auto" w:fill="auto"/>
            <w:vAlign w:val="center"/>
          </w:tcPr>
          <w:p w:rsidR="00C223F5" w:rsidRDefault="005860D5">
            <w:pPr>
              <w:jc w:val="center"/>
              <w:rPr>
                <w:rFonts w:eastAsia="等线"/>
                <w:szCs w:val="21"/>
              </w:rPr>
            </w:pPr>
            <w:r>
              <w:rPr>
                <w:rFonts w:eastAsia="等线" w:hint="eastAsia"/>
                <w:szCs w:val="21"/>
              </w:rPr>
              <w:t xml:space="preserve">0.24 </w:t>
            </w:r>
          </w:p>
        </w:tc>
        <w:tc>
          <w:tcPr>
            <w:tcW w:w="1440" w:type="dxa"/>
            <w:shd w:val="clear" w:color="auto" w:fill="auto"/>
            <w:vAlign w:val="center"/>
          </w:tcPr>
          <w:p w:rsidR="00C223F5" w:rsidRDefault="005860D5">
            <w:pPr>
              <w:jc w:val="center"/>
              <w:rPr>
                <w:rFonts w:eastAsia="等线"/>
                <w:szCs w:val="21"/>
              </w:rPr>
            </w:pPr>
            <w:r>
              <w:rPr>
                <w:rFonts w:eastAsia="等线" w:hint="eastAsia"/>
                <w:szCs w:val="21"/>
              </w:rPr>
              <w:t>0.35</w:t>
            </w:r>
          </w:p>
        </w:tc>
      </w:tr>
      <w:tr w:rsidR="00C223F5">
        <w:trPr>
          <w:trHeight w:val="270"/>
        </w:trPr>
        <w:tc>
          <w:tcPr>
            <w:tcW w:w="1815" w:type="dxa"/>
            <w:shd w:val="clear" w:color="auto" w:fill="auto"/>
            <w:vAlign w:val="center"/>
          </w:tcPr>
          <w:p w:rsidR="00C223F5" w:rsidRDefault="005860D5">
            <w:pPr>
              <w:jc w:val="center"/>
              <w:rPr>
                <w:rFonts w:ascii="宋体" w:hAnsi="宋体" w:cs="宋体"/>
                <w:sz w:val="22"/>
                <w:szCs w:val="22"/>
              </w:rPr>
            </w:pPr>
            <w:r>
              <w:rPr>
                <w:rFonts w:hint="eastAsia"/>
                <w:sz w:val="22"/>
                <w:szCs w:val="22"/>
              </w:rPr>
              <w:t>合计</w:t>
            </w:r>
          </w:p>
        </w:tc>
        <w:tc>
          <w:tcPr>
            <w:tcW w:w="1800" w:type="dxa"/>
            <w:shd w:val="clear" w:color="auto" w:fill="auto"/>
            <w:vAlign w:val="center"/>
          </w:tcPr>
          <w:p w:rsidR="00C223F5" w:rsidRDefault="000F32AE">
            <w:pPr>
              <w:jc w:val="center"/>
              <w:rPr>
                <w:rFonts w:eastAsia="等线"/>
                <w:szCs w:val="21"/>
              </w:rPr>
            </w:pPr>
            <w:r>
              <w:rPr>
                <w:rFonts w:eastAsia="等线"/>
                <w:szCs w:val="21"/>
              </w:rPr>
              <w:fldChar w:fldCharType="begin"/>
            </w:r>
            <w:r w:rsidR="005860D5">
              <w:rPr>
                <w:rFonts w:eastAsia="等线" w:hint="eastAsia"/>
                <w:szCs w:val="21"/>
              </w:rPr>
              <w:instrText>=SUM(ABOVE)</w:instrText>
            </w:r>
            <w:r>
              <w:rPr>
                <w:rFonts w:eastAsia="等线"/>
                <w:szCs w:val="21"/>
              </w:rPr>
              <w:fldChar w:fldCharType="separate"/>
            </w:r>
            <w:r w:rsidR="005860D5">
              <w:rPr>
                <w:rFonts w:eastAsia="等线"/>
                <w:szCs w:val="21"/>
              </w:rPr>
              <w:t>87.72</w:t>
            </w:r>
            <w:r>
              <w:rPr>
                <w:rFonts w:eastAsia="等线"/>
                <w:szCs w:val="21"/>
              </w:rPr>
              <w:fldChar w:fldCharType="end"/>
            </w:r>
          </w:p>
        </w:tc>
        <w:tc>
          <w:tcPr>
            <w:tcW w:w="1620" w:type="dxa"/>
            <w:shd w:val="clear" w:color="auto" w:fill="auto"/>
            <w:vAlign w:val="center"/>
          </w:tcPr>
          <w:p w:rsidR="00C223F5" w:rsidRDefault="000F32AE">
            <w:pPr>
              <w:jc w:val="center"/>
              <w:rPr>
                <w:rFonts w:eastAsia="等线"/>
                <w:szCs w:val="21"/>
              </w:rPr>
            </w:pPr>
            <w:r>
              <w:rPr>
                <w:rFonts w:eastAsia="等线"/>
                <w:szCs w:val="21"/>
              </w:rPr>
              <w:fldChar w:fldCharType="begin"/>
            </w:r>
            <w:r w:rsidR="005860D5">
              <w:rPr>
                <w:rFonts w:eastAsia="等线" w:hint="eastAsia"/>
                <w:szCs w:val="21"/>
              </w:rPr>
              <w:instrText>=SUM(ABOVE)</w:instrText>
            </w:r>
            <w:r>
              <w:rPr>
                <w:rFonts w:eastAsia="等线"/>
                <w:szCs w:val="21"/>
              </w:rPr>
              <w:fldChar w:fldCharType="separate"/>
            </w:r>
            <w:r w:rsidR="005860D5">
              <w:rPr>
                <w:rFonts w:eastAsia="等线"/>
                <w:szCs w:val="21"/>
              </w:rPr>
              <w:t>100</w:t>
            </w:r>
            <w:r>
              <w:rPr>
                <w:rFonts w:eastAsia="等线"/>
                <w:szCs w:val="21"/>
              </w:rPr>
              <w:fldChar w:fldCharType="end"/>
            </w:r>
          </w:p>
        </w:tc>
        <w:tc>
          <w:tcPr>
            <w:tcW w:w="1800" w:type="dxa"/>
            <w:shd w:val="clear" w:color="auto" w:fill="auto"/>
            <w:vAlign w:val="center"/>
          </w:tcPr>
          <w:p w:rsidR="00C223F5" w:rsidRDefault="000F32AE">
            <w:pPr>
              <w:jc w:val="center"/>
              <w:rPr>
                <w:rFonts w:eastAsia="等线"/>
                <w:szCs w:val="21"/>
              </w:rPr>
            </w:pPr>
            <w:r>
              <w:rPr>
                <w:rFonts w:eastAsia="等线"/>
                <w:szCs w:val="21"/>
              </w:rPr>
              <w:fldChar w:fldCharType="begin"/>
            </w:r>
            <w:r w:rsidR="005860D5">
              <w:rPr>
                <w:rFonts w:eastAsia="等线" w:hint="eastAsia"/>
                <w:szCs w:val="21"/>
              </w:rPr>
              <w:instrText>=SUM(ABOVE)</w:instrText>
            </w:r>
            <w:r>
              <w:rPr>
                <w:rFonts w:eastAsia="等线"/>
                <w:szCs w:val="21"/>
              </w:rPr>
              <w:fldChar w:fldCharType="separate"/>
            </w:r>
            <w:r w:rsidR="005860D5">
              <w:rPr>
                <w:rFonts w:eastAsia="等线"/>
                <w:szCs w:val="21"/>
              </w:rPr>
              <w:t>67.12</w:t>
            </w:r>
            <w:r>
              <w:rPr>
                <w:rFonts w:eastAsia="等线"/>
                <w:szCs w:val="21"/>
              </w:rPr>
              <w:fldChar w:fldCharType="end"/>
            </w:r>
          </w:p>
        </w:tc>
        <w:tc>
          <w:tcPr>
            <w:tcW w:w="1440" w:type="dxa"/>
            <w:shd w:val="clear" w:color="auto" w:fill="auto"/>
            <w:vAlign w:val="center"/>
          </w:tcPr>
          <w:p w:rsidR="00C223F5" w:rsidRDefault="000F32AE">
            <w:pPr>
              <w:jc w:val="center"/>
              <w:rPr>
                <w:rFonts w:eastAsia="等线"/>
                <w:szCs w:val="21"/>
              </w:rPr>
            </w:pPr>
            <w:r>
              <w:rPr>
                <w:rFonts w:eastAsia="等线"/>
                <w:szCs w:val="21"/>
              </w:rPr>
              <w:fldChar w:fldCharType="begin"/>
            </w:r>
            <w:r w:rsidR="005860D5">
              <w:rPr>
                <w:rFonts w:eastAsia="等线" w:hint="eastAsia"/>
                <w:szCs w:val="21"/>
              </w:rPr>
              <w:instrText>=SUM(ABOVE)</w:instrText>
            </w:r>
            <w:r>
              <w:rPr>
                <w:rFonts w:eastAsia="等线"/>
                <w:szCs w:val="21"/>
              </w:rPr>
              <w:fldChar w:fldCharType="separate"/>
            </w:r>
            <w:r w:rsidR="005860D5">
              <w:rPr>
                <w:rFonts w:eastAsia="等线"/>
                <w:szCs w:val="21"/>
              </w:rPr>
              <w:t>100</w:t>
            </w:r>
            <w:r>
              <w:rPr>
                <w:rFonts w:eastAsia="等线"/>
                <w:szCs w:val="21"/>
              </w:rPr>
              <w:fldChar w:fldCharType="end"/>
            </w:r>
          </w:p>
        </w:tc>
      </w:tr>
    </w:tbl>
    <w:p w:rsidR="00C223F5" w:rsidRPr="00925B84" w:rsidRDefault="005860D5">
      <w:pPr>
        <w:spacing w:line="360" w:lineRule="auto"/>
        <w:ind w:firstLineChars="250" w:firstLine="600"/>
        <w:rPr>
          <w:bCs/>
          <w:sz w:val="24"/>
        </w:rPr>
      </w:pPr>
      <w:r w:rsidRPr="00EA2F6E">
        <w:rPr>
          <w:rFonts w:hint="eastAsia"/>
          <w:bCs/>
          <w:color w:val="FF0000"/>
          <w:sz w:val="24"/>
        </w:rPr>
        <w:t>评价区范围内耕地分布较为零散，多集中于村庄周围及黄土梁峁顶部地形较为平坦的区域，面积为</w:t>
      </w:r>
      <w:r w:rsidRPr="00EA2F6E">
        <w:rPr>
          <w:rFonts w:hint="eastAsia"/>
          <w:bCs/>
          <w:color w:val="FF0000"/>
          <w:sz w:val="24"/>
        </w:rPr>
        <w:t>2</w:t>
      </w:r>
      <w:r w:rsidRPr="00EA2F6E">
        <w:rPr>
          <w:bCs/>
          <w:color w:val="FF0000"/>
          <w:sz w:val="24"/>
        </w:rPr>
        <w:t>9.0</w:t>
      </w:r>
      <w:r w:rsidRPr="00EA2F6E">
        <w:rPr>
          <w:rFonts w:hint="eastAsia"/>
          <w:bCs/>
          <w:color w:val="FF0000"/>
          <w:sz w:val="24"/>
        </w:rPr>
        <w:t>4km</w:t>
      </w:r>
      <w:r w:rsidRPr="00EA2F6E">
        <w:rPr>
          <w:rFonts w:hint="eastAsia"/>
          <w:bCs/>
          <w:color w:val="FF0000"/>
          <w:sz w:val="24"/>
          <w:vertAlign w:val="superscript"/>
        </w:rPr>
        <w:t>2</w:t>
      </w:r>
      <w:r w:rsidRPr="00EA2F6E">
        <w:rPr>
          <w:rFonts w:hint="eastAsia"/>
          <w:bCs/>
          <w:color w:val="FF0000"/>
          <w:sz w:val="24"/>
        </w:rPr>
        <w:t>，占评价区面积的</w:t>
      </w:r>
      <w:r w:rsidRPr="00EA2F6E">
        <w:rPr>
          <w:rFonts w:hint="eastAsia"/>
          <w:bCs/>
          <w:color w:val="FF0000"/>
          <w:sz w:val="24"/>
        </w:rPr>
        <w:t>33.</w:t>
      </w:r>
      <w:r w:rsidRPr="00EA2F6E">
        <w:rPr>
          <w:bCs/>
          <w:color w:val="FF0000"/>
          <w:sz w:val="24"/>
        </w:rPr>
        <w:t>11</w:t>
      </w:r>
      <w:r w:rsidRPr="00EA2F6E">
        <w:rPr>
          <w:rFonts w:hint="eastAsia"/>
          <w:bCs/>
          <w:color w:val="FF0000"/>
          <w:sz w:val="24"/>
        </w:rPr>
        <w:t>%</w:t>
      </w:r>
      <w:r w:rsidRPr="00EA2F6E">
        <w:rPr>
          <w:rFonts w:hint="eastAsia"/>
          <w:bCs/>
          <w:color w:val="FF0000"/>
          <w:sz w:val="24"/>
        </w:rPr>
        <w:t>；其中基本农田面积为</w:t>
      </w:r>
      <w:r w:rsidRPr="00EA2F6E">
        <w:rPr>
          <w:bCs/>
          <w:color w:val="FF0000"/>
          <w:sz w:val="24"/>
        </w:rPr>
        <w:lastRenderedPageBreak/>
        <w:t>19.90</w:t>
      </w:r>
      <w:r w:rsidRPr="00EA2F6E">
        <w:rPr>
          <w:rFonts w:hint="eastAsia"/>
          <w:bCs/>
          <w:color w:val="FF0000"/>
          <w:sz w:val="24"/>
        </w:rPr>
        <w:t>km</w:t>
      </w:r>
      <w:r w:rsidRPr="00EA2F6E">
        <w:rPr>
          <w:rFonts w:hint="eastAsia"/>
          <w:bCs/>
          <w:color w:val="FF0000"/>
          <w:sz w:val="24"/>
          <w:vertAlign w:val="superscript"/>
        </w:rPr>
        <w:t>2</w:t>
      </w:r>
      <w:r w:rsidRPr="00EA2F6E">
        <w:rPr>
          <w:rFonts w:hint="eastAsia"/>
          <w:bCs/>
          <w:color w:val="FF0000"/>
          <w:sz w:val="24"/>
        </w:rPr>
        <w:t>，占评价区面积的</w:t>
      </w:r>
      <w:r w:rsidRPr="00EA2F6E">
        <w:rPr>
          <w:rFonts w:hint="eastAsia"/>
          <w:bCs/>
          <w:color w:val="FF0000"/>
          <w:sz w:val="24"/>
        </w:rPr>
        <w:t>2</w:t>
      </w:r>
      <w:r w:rsidRPr="00EA2F6E">
        <w:rPr>
          <w:bCs/>
          <w:color w:val="FF0000"/>
          <w:sz w:val="24"/>
        </w:rPr>
        <w:t>2.69</w:t>
      </w:r>
      <w:r w:rsidRPr="00EA2F6E">
        <w:rPr>
          <w:rFonts w:hint="eastAsia"/>
          <w:bCs/>
          <w:color w:val="FF0000"/>
          <w:sz w:val="24"/>
        </w:rPr>
        <w:t>%</w:t>
      </w:r>
      <w:r w:rsidRPr="00EA2F6E">
        <w:rPr>
          <w:rFonts w:hint="eastAsia"/>
          <w:bCs/>
          <w:color w:val="FF0000"/>
          <w:sz w:val="24"/>
        </w:rPr>
        <w:t>；水浇地面积为</w:t>
      </w:r>
      <w:r w:rsidRPr="00EA2F6E">
        <w:rPr>
          <w:bCs/>
          <w:color w:val="FF0000"/>
          <w:sz w:val="24"/>
        </w:rPr>
        <w:t>2.0</w:t>
      </w:r>
      <w:r w:rsidRPr="00EA2F6E">
        <w:rPr>
          <w:rFonts w:hint="eastAsia"/>
          <w:bCs/>
          <w:color w:val="FF0000"/>
          <w:sz w:val="24"/>
        </w:rPr>
        <w:t>2km</w:t>
      </w:r>
      <w:r w:rsidRPr="00EA2F6E">
        <w:rPr>
          <w:rFonts w:hint="eastAsia"/>
          <w:bCs/>
          <w:color w:val="FF0000"/>
          <w:sz w:val="24"/>
          <w:vertAlign w:val="superscript"/>
        </w:rPr>
        <w:t>2</w:t>
      </w:r>
      <w:r w:rsidRPr="00EA2F6E">
        <w:rPr>
          <w:rFonts w:hint="eastAsia"/>
          <w:bCs/>
          <w:color w:val="FF0000"/>
          <w:sz w:val="24"/>
        </w:rPr>
        <w:t>，占总面积的</w:t>
      </w:r>
      <w:r w:rsidRPr="00EA2F6E">
        <w:rPr>
          <w:rFonts w:hint="eastAsia"/>
          <w:bCs/>
          <w:color w:val="FF0000"/>
          <w:sz w:val="24"/>
        </w:rPr>
        <w:t>2</w:t>
      </w:r>
      <w:r w:rsidRPr="00EA2F6E">
        <w:rPr>
          <w:bCs/>
          <w:color w:val="FF0000"/>
          <w:sz w:val="24"/>
        </w:rPr>
        <w:t>.31%</w:t>
      </w:r>
      <w:r w:rsidRPr="00EA2F6E">
        <w:rPr>
          <w:rFonts w:hint="eastAsia"/>
          <w:bCs/>
          <w:color w:val="FF0000"/>
          <w:sz w:val="24"/>
        </w:rPr>
        <w:t>；其余耕地面积为</w:t>
      </w:r>
      <w:r w:rsidRPr="00EA2F6E">
        <w:rPr>
          <w:bCs/>
          <w:color w:val="FF0000"/>
          <w:sz w:val="24"/>
        </w:rPr>
        <w:t>7.12</w:t>
      </w:r>
      <w:r w:rsidRPr="00EA2F6E">
        <w:rPr>
          <w:rFonts w:hint="eastAsia"/>
          <w:bCs/>
          <w:color w:val="FF0000"/>
          <w:sz w:val="24"/>
        </w:rPr>
        <w:t>km</w:t>
      </w:r>
      <w:r w:rsidRPr="00EA2F6E">
        <w:rPr>
          <w:rFonts w:hint="eastAsia"/>
          <w:bCs/>
          <w:color w:val="FF0000"/>
          <w:sz w:val="24"/>
          <w:vertAlign w:val="superscript"/>
        </w:rPr>
        <w:t>2</w:t>
      </w:r>
      <w:r w:rsidRPr="00EA2F6E">
        <w:rPr>
          <w:rFonts w:hint="eastAsia"/>
          <w:bCs/>
          <w:color w:val="FF0000"/>
          <w:sz w:val="24"/>
        </w:rPr>
        <w:t>，占评价区面积的</w:t>
      </w:r>
      <w:r w:rsidRPr="00EA2F6E">
        <w:rPr>
          <w:bCs/>
          <w:color w:val="FF0000"/>
          <w:sz w:val="24"/>
        </w:rPr>
        <w:t>8.11</w:t>
      </w:r>
      <w:r w:rsidRPr="00EA2F6E">
        <w:rPr>
          <w:rFonts w:hint="eastAsia"/>
          <w:bCs/>
          <w:color w:val="FF0000"/>
          <w:sz w:val="24"/>
        </w:rPr>
        <w:t>%</w:t>
      </w:r>
      <w:r w:rsidRPr="00EA2F6E">
        <w:rPr>
          <w:rFonts w:hint="eastAsia"/>
          <w:bCs/>
          <w:color w:val="FF0000"/>
          <w:sz w:val="24"/>
        </w:rPr>
        <w:t>。</w:t>
      </w:r>
      <w:r>
        <w:rPr>
          <w:rFonts w:hint="eastAsia"/>
          <w:bCs/>
          <w:sz w:val="24"/>
        </w:rPr>
        <w:t>乔木林地大多呈条带状分布于区黄土沟壑及黄土梁峁较平缓地带，面积为</w:t>
      </w:r>
      <w:r>
        <w:rPr>
          <w:rFonts w:hint="eastAsia"/>
          <w:bCs/>
          <w:sz w:val="24"/>
        </w:rPr>
        <w:t>22.06km</w:t>
      </w:r>
      <w:r>
        <w:rPr>
          <w:rFonts w:hint="eastAsia"/>
          <w:bCs/>
          <w:sz w:val="24"/>
          <w:vertAlign w:val="superscript"/>
        </w:rPr>
        <w:t>2</w:t>
      </w:r>
      <w:r>
        <w:rPr>
          <w:rFonts w:hint="eastAsia"/>
          <w:bCs/>
          <w:sz w:val="24"/>
        </w:rPr>
        <w:t>，占评价区面积的</w:t>
      </w:r>
      <w:r>
        <w:rPr>
          <w:rFonts w:hint="eastAsia"/>
          <w:bCs/>
          <w:sz w:val="24"/>
        </w:rPr>
        <w:t>25.15%</w:t>
      </w:r>
      <w:r>
        <w:rPr>
          <w:rFonts w:hint="eastAsia"/>
          <w:bCs/>
          <w:sz w:val="24"/>
        </w:rPr>
        <w:t>；灌木林地在评价区内呈连续块状分布，面积为</w:t>
      </w:r>
      <w:r>
        <w:rPr>
          <w:rFonts w:hint="eastAsia"/>
          <w:bCs/>
          <w:sz w:val="24"/>
        </w:rPr>
        <w:t>10.00km</w:t>
      </w:r>
      <w:r>
        <w:rPr>
          <w:rFonts w:hint="eastAsia"/>
          <w:bCs/>
          <w:sz w:val="24"/>
          <w:vertAlign w:val="superscript"/>
        </w:rPr>
        <w:t>2</w:t>
      </w:r>
      <w:r>
        <w:rPr>
          <w:rFonts w:hint="eastAsia"/>
          <w:bCs/>
          <w:sz w:val="24"/>
        </w:rPr>
        <w:t>，占评价区面积的</w:t>
      </w:r>
      <w:r>
        <w:rPr>
          <w:rFonts w:hint="eastAsia"/>
          <w:bCs/>
          <w:sz w:val="24"/>
        </w:rPr>
        <w:t>11.40%</w:t>
      </w:r>
      <w:r>
        <w:rPr>
          <w:rFonts w:hint="eastAsia"/>
          <w:bCs/>
          <w:sz w:val="24"/>
        </w:rPr>
        <w:t>；天然牧草地广泛分布于全区，呈连续块状，面积为</w:t>
      </w:r>
      <w:r>
        <w:rPr>
          <w:rFonts w:hint="eastAsia"/>
          <w:bCs/>
          <w:sz w:val="24"/>
        </w:rPr>
        <w:t>23.</w:t>
      </w:r>
      <w:r>
        <w:rPr>
          <w:bCs/>
          <w:sz w:val="24"/>
        </w:rPr>
        <w:t>86</w:t>
      </w:r>
      <w:r>
        <w:rPr>
          <w:rFonts w:hint="eastAsia"/>
          <w:bCs/>
          <w:sz w:val="24"/>
        </w:rPr>
        <w:t>km</w:t>
      </w:r>
      <w:r>
        <w:rPr>
          <w:rFonts w:hint="eastAsia"/>
          <w:bCs/>
          <w:sz w:val="24"/>
          <w:vertAlign w:val="superscript"/>
        </w:rPr>
        <w:t>2</w:t>
      </w:r>
      <w:r>
        <w:rPr>
          <w:rFonts w:hint="eastAsia"/>
          <w:bCs/>
          <w:sz w:val="24"/>
        </w:rPr>
        <w:t>，占评价区面积的</w:t>
      </w:r>
      <w:r>
        <w:rPr>
          <w:rFonts w:hint="eastAsia"/>
          <w:bCs/>
          <w:sz w:val="24"/>
        </w:rPr>
        <w:t>27.2</w:t>
      </w:r>
      <w:r>
        <w:rPr>
          <w:bCs/>
          <w:sz w:val="24"/>
        </w:rPr>
        <w:t>0</w:t>
      </w:r>
      <w:r>
        <w:rPr>
          <w:rFonts w:hint="eastAsia"/>
          <w:bCs/>
          <w:sz w:val="24"/>
        </w:rPr>
        <w:t>%</w:t>
      </w:r>
      <w:r>
        <w:rPr>
          <w:rFonts w:hint="eastAsia"/>
          <w:bCs/>
          <w:sz w:val="24"/>
        </w:rPr>
        <w:t>；工业用地仅分布于评价区北部地势平坦的河流阶地，面积为</w:t>
      </w:r>
      <w:r>
        <w:rPr>
          <w:rFonts w:hint="eastAsia"/>
          <w:bCs/>
          <w:sz w:val="24"/>
        </w:rPr>
        <w:t>0.08km</w:t>
      </w:r>
      <w:r>
        <w:rPr>
          <w:rFonts w:hint="eastAsia"/>
          <w:bCs/>
          <w:sz w:val="24"/>
          <w:vertAlign w:val="superscript"/>
        </w:rPr>
        <w:t>2</w:t>
      </w:r>
      <w:r>
        <w:rPr>
          <w:rFonts w:hint="eastAsia"/>
          <w:bCs/>
          <w:sz w:val="24"/>
        </w:rPr>
        <w:t>，占评价区面积的</w:t>
      </w:r>
      <w:r>
        <w:rPr>
          <w:rFonts w:hint="eastAsia"/>
          <w:bCs/>
          <w:sz w:val="24"/>
        </w:rPr>
        <w:t>0.09%</w:t>
      </w:r>
      <w:r>
        <w:rPr>
          <w:rFonts w:hint="eastAsia"/>
          <w:bCs/>
          <w:sz w:val="24"/>
        </w:rPr>
        <w:t>；采矿用地分布于评价区北部河流阶地，面积为</w:t>
      </w:r>
      <w:r>
        <w:rPr>
          <w:rFonts w:hint="eastAsia"/>
          <w:bCs/>
          <w:sz w:val="24"/>
        </w:rPr>
        <w:t>0.05km</w:t>
      </w:r>
      <w:r>
        <w:rPr>
          <w:rFonts w:hint="eastAsia"/>
          <w:bCs/>
          <w:sz w:val="24"/>
          <w:vertAlign w:val="superscript"/>
        </w:rPr>
        <w:t>2</w:t>
      </w:r>
      <w:r>
        <w:rPr>
          <w:rFonts w:hint="eastAsia"/>
          <w:bCs/>
          <w:sz w:val="24"/>
        </w:rPr>
        <w:t>，占评价区面积的</w:t>
      </w:r>
      <w:r>
        <w:rPr>
          <w:rFonts w:hint="eastAsia"/>
          <w:bCs/>
          <w:sz w:val="24"/>
        </w:rPr>
        <w:t>0.06%</w:t>
      </w:r>
      <w:r>
        <w:rPr>
          <w:rFonts w:hint="eastAsia"/>
          <w:bCs/>
          <w:sz w:val="24"/>
        </w:rPr>
        <w:t>；农村住宅主要分布于区内中部地势平坦的河流阶地两侧，面积</w:t>
      </w:r>
      <w:r>
        <w:rPr>
          <w:rFonts w:hint="eastAsia"/>
          <w:bCs/>
          <w:sz w:val="24"/>
        </w:rPr>
        <w:t>0.97 km</w:t>
      </w:r>
      <w:r>
        <w:rPr>
          <w:rFonts w:hint="eastAsia"/>
          <w:bCs/>
          <w:sz w:val="24"/>
          <w:vertAlign w:val="superscript"/>
        </w:rPr>
        <w:t>2</w:t>
      </w:r>
      <w:r>
        <w:rPr>
          <w:rFonts w:hint="eastAsia"/>
          <w:bCs/>
          <w:sz w:val="24"/>
        </w:rPr>
        <w:t>，占评</w:t>
      </w:r>
      <w:r w:rsidRPr="00925B84">
        <w:rPr>
          <w:rFonts w:hint="eastAsia"/>
          <w:bCs/>
          <w:sz w:val="24"/>
        </w:rPr>
        <w:t>价区面积</w:t>
      </w:r>
      <w:r w:rsidRPr="00925B84">
        <w:rPr>
          <w:rFonts w:hint="eastAsia"/>
          <w:bCs/>
          <w:sz w:val="24"/>
        </w:rPr>
        <w:t>1.10%</w:t>
      </w:r>
      <w:r w:rsidRPr="00925B84">
        <w:rPr>
          <w:rFonts w:hint="eastAsia"/>
          <w:bCs/>
          <w:sz w:val="24"/>
        </w:rPr>
        <w:t>；河流水面面积</w:t>
      </w:r>
      <w:r w:rsidRPr="00925B84">
        <w:rPr>
          <w:rFonts w:hint="eastAsia"/>
          <w:bCs/>
          <w:sz w:val="24"/>
        </w:rPr>
        <w:t>1.25km</w:t>
      </w:r>
      <w:r w:rsidRPr="00925B84">
        <w:rPr>
          <w:rFonts w:hint="eastAsia"/>
          <w:bCs/>
          <w:sz w:val="24"/>
          <w:vertAlign w:val="superscript"/>
        </w:rPr>
        <w:t>2</w:t>
      </w:r>
      <w:r w:rsidRPr="00925B84">
        <w:rPr>
          <w:rFonts w:hint="eastAsia"/>
          <w:bCs/>
          <w:sz w:val="24"/>
        </w:rPr>
        <w:t>，占评价区面积的</w:t>
      </w:r>
      <w:r w:rsidRPr="00925B84">
        <w:rPr>
          <w:rFonts w:hint="eastAsia"/>
          <w:bCs/>
          <w:sz w:val="24"/>
        </w:rPr>
        <w:t>1.43%</w:t>
      </w:r>
      <w:r w:rsidRPr="00925B84">
        <w:rPr>
          <w:rFonts w:hint="eastAsia"/>
          <w:bCs/>
          <w:sz w:val="24"/>
        </w:rPr>
        <w:t>；坑塘水面面积</w:t>
      </w:r>
      <w:r w:rsidRPr="00925B84">
        <w:rPr>
          <w:rFonts w:hint="eastAsia"/>
          <w:bCs/>
          <w:sz w:val="24"/>
        </w:rPr>
        <w:t>0.03 km</w:t>
      </w:r>
      <w:r w:rsidRPr="00925B84">
        <w:rPr>
          <w:rFonts w:hint="eastAsia"/>
          <w:bCs/>
          <w:sz w:val="24"/>
          <w:vertAlign w:val="superscript"/>
        </w:rPr>
        <w:t>2</w:t>
      </w:r>
      <w:r w:rsidRPr="00925B84">
        <w:rPr>
          <w:rFonts w:hint="eastAsia"/>
          <w:bCs/>
          <w:sz w:val="24"/>
        </w:rPr>
        <w:t>，占评价区面积的</w:t>
      </w:r>
      <w:r w:rsidRPr="00925B84">
        <w:rPr>
          <w:rFonts w:hint="eastAsia"/>
          <w:bCs/>
          <w:sz w:val="24"/>
        </w:rPr>
        <w:t>0.03%</w:t>
      </w:r>
      <w:r w:rsidRPr="00925B84">
        <w:rPr>
          <w:rFonts w:hint="eastAsia"/>
          <w:bCs/>
          <w:sz w:val="24"/>
        </w:rPr>
        <w:t>；内陆滩涂面积</w:t>
      </w:r>
      <w:r w:rsidRPr="00925B84">
        <w:rPr>
          <w:rFonts w:hint="eastAsia"/>
          <w:bCs/>
          <w:sz w:val="24"/>
        </w:rPr>
        <w:t>0.14km</w:t>
      </w:r>
      <w:r w:rsidRPr="00925B84">
        <w:rPr>
          <w:rFonts w:hint="eastAsia"/>
          <w:bCs/>
          <w:sz w:val="24"/>
          <w:vertAlign w:val="superscript"/>
        </w:rPr>
        <w:t>2</w:t>
      </w:r>
      <w:r w:rsidRPr="00925B84">
        <w:rPr>
          <w:rFonts w:hint="eastAsia"/>
          <w:bCs/>
          <w:sz w:val="24"/>
        </w:rPr>
        <w:t>，占评价区面积</w:t>
      </w:r>
      <w:r w:rsidRPr="00925B84">
        <w:rPr>
          <w:rFonts w:hint="eastAsia"/>
          <w:bCs/>
          <w:sz w:val="24"/>
        </w:rPr>
        <w:t>0.16%</w:t>
      </w:r>
      <w:r w:rsidRPr="00925B84">
        <w:rPr>
          <w:rFonts w:hint="eastAsia"/>
          <w:bCs/>
          <w:sz w:val="24"/>
        </w:rPr>
        <w:t>，裸土地面积</w:t>
      </w:r>
      <w:r w:rsidRPr="00925B84">
        <w:rPr>
          <w:rFonts w:hint="eastAsia"/>
          <w:bCs/>
          <w:sz w:val="24"/>
        </w:rPr>
        <w:t>0.24km</w:t>
      </w:r>
      <w:r w:rsidRPr="00925B84">
        <w:rPr>
          <w:rFonts w:hint="eastAsia"/>
          <w:bCs/>
          <w:sz w:val="24"/>
          <w:vertAlign w:val="superscript"/>
        </w:rPr>
        <w:t>2</w:t>
      </w:r>
      <w:r w:rsidRPr="00925B84">
        <w:rPr>
          <w:rFonts w:hint="eastAsia"/>
          <w:bCs/>
          <w:sz w:val="24"/>
        </w:rPr>
        <w:t>，占评价区面积</w:t>
      </w:r>
      <w:r w:rsidRPr="00925B84">
        <w:rPr>
          <w:rFonts w:hint="eastAsia"/>
          <w:bCs/>
          <w:sz w:val="24"/>
        </w:rPr>
        <w:t>27%</w:t>
      </w:r>
      <w:r w:rsidRPr="00925B84">
        <w:rPr>
          <w:rFonts w:hint="eastAsia"/>
          <w:bCs/>
          <w:sz w:val="24"/>
        </w:rPr>
        <w:t>。</w:t>
      </w:r>
    </w:p>
    <w:p w:rsidR="00C223F5" w:rsidRPr="00925B84" w:rsidRDefault="005860D5" w:rsidP="004835BD">
      <w:pPr>
        <w:pStyle w:val="4"/>
        <w:spacing w:before="0" w:after="0" w:line="360" w:lineRule="auto"/>
        <w:ind w:firstLineChars="100" w:firstLine="240"/>
        <w:rPr>
          <w:szCs w:val="24"/>
        </w:rPr>
      </w:pPr>
      <w:r w:rsidRPr="00925B84">
        <w:rPr>
          <w:rFonts w:hint="eastAsia"/>
          <w:szCs w:val="24"/>
        </w:rPr>
        <w:t>3.1.4.5</w:t>
      </w:r>
      <w:r w:rsidRPr="00925B84">
        <w:rPr>
          <w:rFonts w:hint="eastAsia"/>
          <w:szCs w:val="24"/>
        </w:rPr>
        <w:t>土壤现状及评价</w:t>
      </w:r>
    </w:p>
    <w:p w:rsidR="00C223F5" w:rsidRPr="00925B84" w:rsidRDefault="005860D5" w:rsidP="00C006A7">
      <w:pPr>
        <w:pStyle w:val="hp"/>
        <w:ind w:firstLine="482"/>
        <w:rPr>
          <w:b/>
          <w:bCs/>
        </w:rPr>
      </w:pPr>
      <w:r w:rsidRPr="00925B84">
        <w:rPr>
          <w:rFonts w:hint="eastAsia"/>
          <w:b/>
          <w:bCs/>
        </w:rPr>
        <w:t>（一）土壤类型</w:t>
      </w:r>
    </w:p>
    <w:p w:rsidR="00C223F5" w:rsidRPr="00925B84" w:rsidRDefault="005860D5" w:rsidP="002D1BB7">
      <w:pPr>
        <w:spacing w:line="360" w:lineRule="auto"/>
        <w:ind w:firstLineChars="200" w:firstLine="480"/>
        <w:rPr>
          <w:bCs/>
          <w:sz w:val="24"/>
        </w:rPr>
      </w:pPr>
      <w:r w:rsidRPr="00925B84">
        <w:rPr>
          <w:rFonts w:hint="eastAsia"/>
          <w:bCs/>
          <w:sz w:val="24"/>
        </w:rPr>
        <w:t>横山县土壤分布规律与地貌相适应，芦河以西、无定河以北以风沙土类为主，滩地中心多为沼泽土，水稻土和潮土类，其四周是淤土类；芦河以东、无定河以南以黄土性土类为主，零星出现红土类、黑土类和风沙土类。大多土壤缺磷少氮不短钾，有机质贫乏，蓄水保墑能力差。全县土壤呈</w:t>
      </w:r>
      <w:r w:rsidRPr="00925B84">
        <w:rPr>
          <w:rFonts w:hint="eastAsia"/>
          <w:bCs/>
          <w:sz w:val="24"/>
        </w:rPr>
        <w:t>9</w:t>
      </w:r>
      <w:r w:rsidRPr="00925B84">
        <w:rPr>
          <w:rFonts w:hint="eastAsia"/>
          <w:bCs/>
          <w:sz w:val="24"/>
        </w:rPr>
        <w:t>个类，</w:t>
      </w:r>
      <w:r w:rsidRPr="00925B84">
        <w:rPr>
          <w:rFonts w:hint="eastAsia"/>
          <w:bCs/>
          <w:sz w:val="24"/>
        </w:rPr>
        <w:t>21</w:t>
      </w:r>
      <w:r w:rsidRPr="00925B84">
        <w:rPr>
          <w:rFonts w:hint="eastAsia"/>
          <w:bCs/>
          <w:sz w:val="24"/>
        </w:rPr>
        <w:t>个亚类，</w:t>
      </w:r>
      <w:r w:rsidRPr="00925B84">
        <w:rPr>
          <w:rFonts w:hint="eastAsia"/>
          <w:bCs/>
          <w:sz w:val="24"/>
        </w:rPr>
        <w:t>39</w:t>
      </w:r>
      <w:r w:rsidRPr="00925B84">
        <w:rPr>
          <w:rFonts w:hint="eastAsia"/>
          <w:bCs/>
          <w:sz w:val="24"/>
        </w:rPr>
        <w:t>个土属，</w:t>
      </w:r>
      <w:r w:rsidRPr="00925B84">
        <w:rPr>
          <w:rFonts w:hint="eastAsia"/>
          <w:bCs/>
          <w:sz w:val="24"/>
        </w:rPr>
        <w:t>83</w:t>
      </w:r>
      <w:r w:rsidRPr="00925B84">
        <w:rPr>
          <w:rFonts w:hint="eastAsia"/>
          <w:bCs/>
          <w:sz w:val="24"/>
        </w:rPr>
        <w:t>个土种。</w:t>
      </w:r>
    </w:p>
    <w:p w:rsidR="00303053" w:rsidRDefault="00F121A7" w:rsidP="002D1BB7">
      <w:pPr>
        <w:spacing w:line="360" w:lineRule="auto"/>
        <w:ind w:firstLineChars="200" w:firstLine="480"/>
        <w:rPr>
          <w:sz w:val="24"/>
        </w:rPr>
      </w:pPr>
      <w:r w:rsidRPr="00925B84">
        <w:rPr>
          <w:rFonts w:hint="eastAsia"/>
          <w:bCs/>
          <w:sz w:val="24"/>
        </w:rPr>
        <w:t>根据“国家土壤信息服务平台”的查询结果，</w:t>
      </w:r>
      <w:r w:rsidR="005860D5" w:rsidRPr="00925B84">
        <w:rPr>
          <w:rFonts w:hint="eastAsia"/>
          <w:bCs/>
          <w:sz w:val="24"/>
        </w:rPr>
        <w:t>项目</w:t>
      </w:r>
      <w:r w:rsidRPr="00925B84">
        <w:rPr>
          <w:rFonts w:hint="eastAsia"/>
          <w:bCs/>
          <w:sz w:val="24"/>
        </w:rPr>
        <w:t>工业场地区土壤类型为黄绵土，</w:t>
      </w:r>
      <w:r w:rsidRPr="00925B84">
        <w:rPr>
          <w:sz w:val="24"/>
        </w:rPr>
        <w:t>黄绵土是由黄土母质经直接耕种而形成的一种幼年土壤</w:t>
      </w:r>
      <w:r w:rsidRPr="00925B84">
        <w:rPr>
          <w:rFonts w:hint="eastAsia"/>
          <w:sz w:val="24"/>
        </w:rPr>
        <w:t>，</w:t>
      </w:r>
      <w:r w:rsidRPr="00925B84">
        <w:rPr>
          <w:sz w:val="24"/>
        </w:rPr>
        <w:t>常和黑垆土、灰钙土等交错存在，有机质含量低</w:t>
      </w:r>
      <w:r w:rsidR="00303053">
        <w:rPr>
          <w:rFonts w:hint="eastAsia"/>
          <w:sz w:val="24"/>
        </w:rPr>
        <w:t>。具体见调查表</w:t>
      </w:r>
      <w:r w:rsidR="00303053">
        <w:rPr>
          <w:rFonts w:hint="eastAsia"/>
          <w:sz w:val="24"/>
        </w:rPr>
        <w:t>3.1.4-9</w:t>
      </w:r>
      <w:r w:rsidR="00303053">
        <w:rPr>
          <w:rFonts w:hint="eastAsia"/>
          <w:sz w:val="24"/>
        </w:rPr>
        <w:t>。</w:t>
      </w:r>
    </w:p>
    <w:p w:rsidR="00303053" w:rsidRPr="00925B84" w:rsidRDefault="00303053" w:rsidP="00303053">
      <w:pPr>
        <w:spacing w:line="360" w:lineRule="auto"/>
        <w:ind w:firstLineChars="200" w:firstLine="480"/>
        <w:rPr>
          <w:bCs/>
          <w:sz w:val="24"/>
        </w:rPr>
      </w:pPr>
      <w:r w:rsidRPr="00925B84">
        <w:rPr>
          <w:rFonts w:hint="eastAsia"/>
          <w:bCs/>
          <w:sz w:val="24"/>
        </w:rPr>
        <w:t>评价区域土壤类型主要有黄绵土、栗钙土、粗骨土等。栗钙土分布在坡梁地带，土层厚</w:t>
      </w:r>
      <w:r w:rsidRPr="00925B84">
        <w:rPr>
          <w:rFonts w:hint="eastAsia"/>
          <w:bCs/>
          <w:sz w:val="24"/>
        </w:rPr>
        <w:t>1</w:t>
      </w:r>
      <w:r w:rsidRPr="00925B84">
        <w:rPr>
          <w:rFonts w:hint="eastAsia"/>
          <w:bCs/>
          <w:sz w:val="24"/>
        </w:rPr>
        <w:t>～</w:t>
      </w:r>
      <w:r w:rsidRPr="00925B84">
        <w:rPr>
          <w:rFonts w:hint="eastAsia"/>
          <w:bCs/>
          <w:sz w:val="24"/>
        </w:rPr>
        <w:t>20m</w:t>
      </w:r>
      <w:r w:rsidRPr="00925B84">
        <w:rPr>
          <w:rFonts w:hint="eastAsia"/>
          <w:bCs/>
          <w:sz w:val="24"/>
        </w:rPr>
        <w:t>，土壤剖面分化明显，主要由腐殖质层和碳酸盐沉积层组成，腐殖质层厚</w:t>
      </w:r>
      <w:r w:rsidRPr="00925B84">
        <w:rPr>
          <w:rFonts w:hint="eastAsia"/>
          <w:bCs/>
          <w:sz w:val="24"/>
        </w:rPr>
        <w:t>25</w:t>
      </w:r>
      <w:r w:rsidRPr="00925B84">
        <w:rPr>
          <w:rFonts w:hint="eastAsia"/>
          <w:bCs/>
          <w:sz w:val="24"/>
        </w:rPr>
        <w:t>～</w:t>
      </w:r>
      <w:r w:rsidRPr="00925B84">
        <w:rPr>
          <w:rFonts w:hint="eastAsia"/>
          <w:bCs/>
          <w:sz w:val="24"/>
        </w:rPr>
        <w:t>45cm</w:t>
      </w:r>
      <w:r w:rsidRPr="00925B84">
        <w:rPr>
          <w:rFonts w:hint="eastAsia"/>
          <w:bCs/>
          <w:sz w:val="24"/>
        </w:rPr>
        <w:t>，表层有机质约为</w:t>
      </w:r>
      <w:r w:rsidRPr="00925B84">
        <w:rPr>
          <w:rFonts w:hint="eastAsia"/>
          <w:bCs/>
          <w:sz w:val="24"/>
        </w:rPr>
        <w:t>1.5</w:t>
      </w:r>
      <w:r w:rsidRPr="00925B84">
        <w:rPr>
          <w:rFonts w:hint="eastAsia"/>
          <w:bCs/>
          <w:sz w:val="24"/>
        </w:rPr>
        <w:t>～</w:t>
      </w:r>
      <w:r w:rsidRPr="00925B84">
        <w:rPr>
          <w:rFonts w:hint="eastAsia"/>
          <w:bCs/>
          <w:sz w:val="24"/>
        </w:rPr>
        <w:t>6.2%</w:t>
      </w:r>
      <w:r w:rsidRPr="00925B84">
        <w:rPr>
          <w:rFonts w:hint="eastAsia"/>
          <w:bCs/>
          <w:sz w:val="24"/>
        </w:rPr>
        <w:t>。粗骨土分布在矿区的丘陵顶部或迎风坡上部，土层极薄，土壤贫瘠。</w:t>
      </w:r>
    </w:p>
    <w:p w:rsidR="00303053" w:rsidRPr="00925B84" w:rsidRDefault="00303053" w:rsidP="00303053">
      <w:pPr>
        <w:spacing w:line="360" w:lineRule="auto"/>
        <w:ind w:firstLineChars="200" w:firstLine="480"/>
        <w:rPr>
          <w:sz w:val="24"/>
        </w:rPr>
      </w:pPr>
      <w:r w:rsidRPr="00925B84">
        <w:rPr>
          <w:rFonts w:hint="eastAsia"/>
          <w:sz w:val="24"/>
        </w:rPr>
        <w:t>项目评价区内的植被类型包括耕地、草丛、</w:t>
      </w:r>
      <w:r w:rsidRPr="00925B84">
        <w:rPr>
          <w:sz w:val="24"/>
        </w:rPr>
        <w:t>灌丛、乔木，</w:t>
      </w:r>
      <w:r w:rsidRPr="00925B84">
        <w:rPr>
          <w:rFonts w:hint="eastAsia"/>
          <w:sz w:val="24"/>
        </w:rPr>
        <w:t>耕地多分布在河流阶地两岸</w:t>
      </w:r>
      <w:r w:rsidRPr="00925B84">
        <w:rPr>
          <w:sz w:val="24"/>
        </w:rPr>
        <w:t>。</w:t>
      </w:r>
      <w:r w:rsidRPr="00925B84">
        <w:rPr>
          <w:rFonts w:hint="eastAsia"/>
          <w:sz w:val="24"/>
        </w:rPr>
        <w:t>评价区地下水类型主要包括</w:t>
      </w:r>
      <w:r w:rsidRPr="00925B84">
        <w:rPr>
          <w:sz w:val="24"/>
        </w:rPr>
        <w:t>第四系冲、洪积层孔隙潜水含水层</w:t>
      </w:r>
      <w:r w:rsidRPr="00925B84">
        <w:rPr>
          <w:rFonts w:hint="eastAsia"/>
          <w:sz w:val="24"/>
        </w:rPr>
        <w:t>和基岩裂隙水，项目位于黄土梁峁沟壑区，</w:t>
      </w:r>
      <w:r w:rsidRPr="00925B84">
        <w:rPr>
          <w:rFonts w:hint="eastAsia"/>
          <w:snapToGrid w:val="0"/>
          <w:kern w:val="0"/>
          <w:sz w:val="24"/>
        </w:rPr>
        <w:t>根据现状监测，地下水中的</w:t>
      </w:r>
      <w:r w:rsidRPr="00925B84">
        <w:rPr>
          <w:rFonts w:hint="eastAsia"/>
          <w:snapToGrid w:val="0"/>
          <w:kern w:val="0"/>
          <w:sz w:val="24"/>
        </w:rPr>
        <w:t>TDS</w:t>
      </w:r>
      <w:r w:rsidRPr="00925B84">
        <w:rPr>
          <w:rFonts w:hint="eastAsia"/>
          <w:snapToGrid w:val="0"/>
          <w:kern w:val="0"/>
          <w:sz w:val="24"/>
        </w:rPr>
        <w:t>一般为</w:t>
      </w:r>
      <w:r w:rsidRPr="00925B84">
        <w:rPr>
          <w:rFonts w:hint="eastAsia"/>
          <w:snapToGrid w:val="0"/>
          <w:kern w:val="0"/>
          <w:sz w:val="24"/>
        </w:rPr>
        <w:t>671-978mg/L</w:t>
      </w:r>
      <w:r w:rsidRPr="00925B84">
        <w:rPr>
          <w:rFonts w:hint="eastAsia"/>
          <w:snapToGrid w:val="0"/>
          <w:kern w:val="0"/>
          <w:sz w:val="24"/>
        </w:rPr>
        <w:t>。</w:t>
      </w:r>
    </w:p>
    <w:p w:rsidR="00303053" w:rsidRDefault="00303053" w:rsidP="002D1BB7">
      <w:pPr>
        <w:spacing w:line="360" w:lineRule="auto"/>
        <w:ind w:firstLineChars="200" w:firstLine="480"/>
        <w:rPr>
          <w:sz w:val="24"/>
        </w:rPr>
      </w:pPr>
    </w:p>
    <w:p w:rsidR="00303053" w:rsidRDefault="00303053" w:rsidP="00303053">
      <w:pPr>
        <w:jc w:val="center"/>
        <w:rPr>
          <w:b/>
          <w:sz w:val="24"/>
        </w:rPr>
      </w:pPr>
      <w:r w:rsidRPr="00303053">
        <w:rPr>
          <w:rFonts w:hint="eastAsia"/>
          <w:b/>
          <w:sz w:val="24"/>
        </w:rPr>
        <w:lastRenderedPageBreak/>
        <w:t>表</w:t>
      </w:r>
      <w:r w:rsidRPr="00303053">
        <w:rPr>
          <w:rFonts w:hint="eastAsia"/>
          <w:b/>
          <w:sz w:val="24"/>
        </w:rPr>
        <w:t>3.1.4-9</w:t>
      </w:r>
      <w:r>
        <w:rPr>
          <w:rFonts w:hint="eastAsia"/>
          <w:b/>
          <w:sz w:val="24"/>
        </w:rPr>
        <w:t xml:space="preserve">   </w:t>
      </w:r>
      <w:r>
        <w:rPr>
          <w:rFonts w:hint="eastAsia"/>
          <w:b/>
          <w:sz w:val="24"/>
        </w:rPr>
        <w:t>土壤理化特性调查表</w:t>
      </w:r>
    </w:p>
    <w:tbl>
      <w:tblPr>
        <w:tblStyle w:val="afffe"/>
        <w:tblW w:w="8988" w:type="dxa"/>
        <w:jc w:val="center"/>
        <w:tblLook w:val="04A0" w:firstRow="1" w:lastRow="0" w:firstColumn="1" w:lastColumn="0" w:noHBand="0" w:noVBand="1"/>
      </w:tblPr>
      <w:tblGrid>
        <w:gridCol w:w="1209"/>
        <w:gridCol w:w="1529"/>
        <w:gridCol w:w="2630"/>
        <w:gridCol w:w="1212"/>
        <w:gridCol w:w="2408"/>
      </w:tblGrid>
      <w:tr w:rsidR="00303053" w:rsidRPr="00615FFF" w:rsidTr="00E24670">
        <w:trPr>
          <w:jc w:val="center"/>
        </w:trPr>
        <w:tc>
          <w:tcPr>
            <w:tcW w:w="2738" w:type="dxa"/>
            <w:gridSpan w:val="2"/>
            <w:vAlign w:val="center"/>
          </w:tcPr>
          <w:p w:rsidR="00303053" w:rsidRPr="00615FFF" w:rsidRDefault="00303053" w:rsidP="00303053">
            <w:pPr>
              <w:jc w:val="center"/>
              <w:rPr>
                <w:szCs w:val="21"/>
              </w:rPr>
            </w:pPr>
            <w:r w:rsidRPr="00615FFF">
              <w:rPr>
                <w:rFonts w:hint="eastAsia"/>
                <w:szCs w:val="21"/>
              </w:rPr>
              <w:t>点号</w:t>
            </w:r>
          </w:p>
        </w:tc>
        <w:tc>
          <w:tcPr>
            <w:tcW w:w="2630" w:type="dxa"/>
            <w:vAlign w:val="center"/>
          </w:tcPr>
          <w:p w:rsidR="00303053" w:rsidRPr="00615FFF" w:rsidRDefault="00615FFF" w:rsidP="00303053">
            <w:pPr>
              <w:jc w:val="center"/>
              <w:rPr>
                <w:szCs w:val="21"/>
              </w:rPr>
            </w:pPr>
            <w:r w:rsidRPr="00615FFF">
              <w:rPr>
                <w:rFonts w:hint="eastAsia"/>
                <w:szCs w:val="21"/>
              </w:rPr>
              <w:t>一盘区内</w:t>
            </w:r>
          </w:p>
        </w:tc>
        <w:tc>
          <w:tcPr>
            <w:tcW w:w="1212" w:type="dxa"/>
            <w:vAlign w:val="center"/>
          </w:tcPr>
          <w:p w:rsidR="00303053" w:rsidRPr="00615FFF" w:rsidRDefault="00303053" w:rsidP="00303053">
            <w:pPr>
              <w:jc w:val="center"/>
              <w:rPr>
                <w:szCs w:val="21"/>
              </w:rPr>
            </w:pPr>
            <w:r w:rsidRPr="00615FFF">
              <w:rPr>
                <w:rFonts w:hint="eastAsia"/>
                <w:szCs w:val="21"/>
              </w:rPr>
              <w:t>时间</w:t>
            </w:r>
          </w:p>
        </w:tc>
        <w:tc>
          <w:tcPr>
            <w:tcW w:w="2408" w:type="dxa"/>
            <w:vAlign w:val="center"/>
          </w:tcPr>
          <w:p w:rsidR="00303053" w:rsidRPr="00615FFF" w:rsidRDefault="00615FFF" w:rsidP="00303053">
            <w:pPr>
              <w:jc w:val="center"/>
              <w:rPr>
                <w:szCs w:val="21"/>
              </w:rPr>
            </w:pPr>
            <w:r w:rsidRPr="00615FFF">
              <w:rPr>
                <w:rFonts w:hint="eastAsia"/>
                <w:bCs/>
                <w:szCs w:val="21"/>
              </w:rPr>
              <w:t>2019.07.13</w:t>
            </w:r>
          </w:p>
        </w:tc>
      </w:tr>
      <w:tr w:rsidR="00303053" w:rsidRPr="00615FFF" w:rsidTr="00E24670">
        <w:trPr>
          <w:jc w:val="center"/>
        </w:trPr>
        <w:tc>
          <w:tcPr>
            <w:tcW w:w="2738" w:type="dxa"/>
            <w:gridSpan w:val="2"/>
            <w:vAlign w:val="center"/>
          </w:tcPr>
          <w:p w:rsidR="00303053" w:rsidRPr="00615FFF" w:rsidRDefault="00303053" w:rsidP="00303053">
            <w:pPr>
              <w:jc w:val="center"/>
              <w:rPr>
                <w:szCs w:val="21"/>
              </w:rPr>
            </w:pPr>
            <w:r w:rsidRPr="00615FFF">
              <w:rPr>
                <w:rFonts w:hint="eastAsia"/>
                <w:szCs w:val="21"/>
              </w:rPr>
              <w:t>经度</w:t>
            </w:r>
          </w:p>
        </w:tc>
        <w:tc>
          <w:tcPr>
            <w:tcW w:w="2630" w:type="dxa"/>
            <w:vAlign w:val="center"/>
          </w:tcPr>
          <w:p w:rsidR="00303053" w:rsidRPr="00615FFF" w:rsidRDefault="00615FFF" w:rsidP="00303053">
            <w:pPr>
              <w:jc w:val="center"/>
              <w:rPr>
                <w:szCs w:val="21"/>
              </w:rPr>
            </w:pPr>
            <w:r w:rsidRPr="00615FFF">
              <w:rPr>
                <w:bCs/>
                <w:szCs w:val="21"/>
              </w:rPr>
              <w:t>E1</w:t>
            </w:r>
            <w:r w:rsidRPr="00615FFF">
              <w:rPr>
                <w:rFonts w:hint="eastAsia"/>
                <w:bCs/>
                <w:szCs w:val="21"/>
              </w:rPr>
              <w:t>09</w:t>
            </w:r>
            <w:r w:rsidRPr="00615FFF">
              <w:rPr>
                <w:bCs/>
                <w:szCs w:val="21"/>
              </w:rPr>
              <w:t>°</w:t>
            </w:r>
            <w:r w:rsidRPr="00615FFF">
              <w:rPr>
                <w:rFonts w:hint="eastAsia"/>
                <w:bCs/>
                <w:szCs w:val="21"/>
              </w:rPr>
              <w:t>27</w:t>
            </w:r>
            <w:r w:rsidRPr="00615FFF">
              <w:rPr>
                <w:bCs/>
                <w:szCs w:val="21"/>
              </w:rPr>
              <w:t>′</w:t>
            </w:r>
            <w:r w:rsidRPr="00615FFF">
              <w:rPr>
                <w:rFonts w:hint="eastAsia"/>
                <w:bCs/>
                <w:szCs w:val="21"/>
              </w:rPr>
              <w:t>20.84</w:t>
            </w:r>
            <w:r w:rsidRPr="00615FFF">
              <w:rPr>
                <w:bCs/>
                <w:szCs w:val="21"/>
              </w:rPr>
              <w:t>″</w:t>
            </w:r>
          </w:p>
        </w:tc>
        <w:tc>
          <w:tcPr>
            <w:tcW w:w="1212" w:type="dxa"/>
            <w:vAlign w:val="center"/>
          </w:tcPr>
          <w:p w:rsidR="00303053" w:rsidRPr="00615FFF" w:rsidRDefault="00303053" w:rsidP="00303053">
            <w:pPr>
              <w:jc w:val="center"/>
              <w:rPr>
                <w:szCs w:val="21"/>
              </w:rPr>
            </w:pPr>
            <w:r w:rsidRPr="00615FFF">
              <w:rPr>
                <w:rFonts w:hint="eastAsia"/>
                <w:szCs w:val="21"/>
              </w:rPr>
              <w:t>纬度</w:t>
            </w:r>
          </w:p>
        </w:tc>
        <w:tc>
          <w:tcPr>
            <w:tcW w:w="2408" w:type="dxa"/>
            <w:vAlign w:val="center"/>
          </w:tcPr>
          <w:p w:rsidR="00303053" w:rsidRPr="00615FFF" w:rsidRDefault="00615FFF" w:rsidP="00303053">
            <w:pPr>
              <w:jc w:val="center"/>
              <w:rPr>
                <w:szCs w:val="21"/>
              </w:rPr>
            </w:pPr>
            <w:r w:rsidRPr="00615FFF">
              <w:rPr>
                <w:bCs/>
                <w:szCs w:val="21"/>
              </w:rPr>
              <w:t>N3</w:t>
            </w:r>
            <w:r w:rsidRPr="00615FFF">
              <w:rPr>
                <w:rFonts w:hint="eastAsia"/>
                <w:bCs/>
                <w:szCs w:val="21"/>
              </w:rPr>
              <w:t>7</w:t>
            </w:r>
            <w:r w:rsidRPr="00615FFF">
              <w:rPr>
                <w:bCs/>
                <w:szCs w:val="21"/>
              </w:rPr>
              <w:t>°</w:t>
            </w:r>
            <w:r w:rsidRPr="00615FFF">
              <w:rPr>
                <w:rFonts w:hint="eastAsia"/>
                <w:bCs/>
                <w:szCs w:val="21"/>
              </w:rPr>
              <w:t>33</w:t>
            </w:r>
            <w:r w:rsidRPr="00615FFF">
              <w:rPr>
                <w:bCs/>
                <w:szCs w:val="21"/>
              </w:rPr>
              <w:t>′</w:t>
            </w:r>
            <w:r w:rsidRPr="00615FFF">
              <w:rPr>
                <w:rFonts w:hint="eastAsia"/>
                <w:bCs/>
                <w:szCs w:val="21"/>
              </w:rPr>
              <w:t>08.44</w:t>
            </w:r>
            <w:r w:rsidRPr="00615FFF">
              <w:rPr>
                <w:bCs/>
                <w:szCs w:val="21"/>
              </w:rPr>
              <w:t>″</w:t>
            </w:r>
          </w:p>
        </w:tc>
      </w:tr>
      <w:tr w:rsidR="00E24670" w:rsidRPr="00615FFF" w:rsidTr="00584B9F">
        <w:trPr>
          <w:jc w:val="center"/>
        </w:trPr>
        <w:tc>
          <w:tcPr>
            <w:tcW w:w="2738" w:type="dxa"/>
            <w:gridSpan w:val="2"/>
            <w:vAlign w:val="center"/>
          </w:tcPr>
          <w:p w:rsidR="00E24670" w:rsidRPr="00615FFF" w:rsidRDefault="00E24670" w:rsidP="00303053">
            <w:pPr>
              <w:jc w:val="center"/>
              <w:rPr>
                <w:szCs w:val="21"/>
              </w:rPr>
            </w:pPr>
            <w:r w:rsidRPr="00615FFF">
              <w:rPr>
                <w:rFonts w:hint="eastAsia"/>
                <w:szCs w:val="21"/>
              </w:rPr>
              <w:t>层次</w:t>
            </w:r>
          </w:p>
        </w:tc>
        <w:tc>
          <w:tcPr>
            <w:tcW w:w="6250" w:type="dxa"/>
            <w:gridSpan w:val="3"/>
            <w:vAlign w:val="center"/>
          </w:tcPr>
          <w:p w:rsidR="00E24670" w:rsidRPr="00615FFF" w:rsidRDefault="00615FFF" w:rsidP="00303053">
            <w:pPr>
              <w:jc w:val="center"/>
              <w:rPr>
                <w:szCs w:val="21"/>
              </w:rPr>
            </w:pPr>
            <w:r w:rsidRPr="00615FFF">
              <w:rPr>
                <w:rFonts w:hint="eastAsia"/>
                <w:bCs/>
                <w:szCs w:val="21"/>
              </w:rPr>
              <w:t>0.2m</w:t>
            </w:r>
            <w:r w:rsidRPr="00615FFF">
              <w:rPr>
                <w:rFonts w:hint="eastAsia"/>
                <w:bCs/>
                <w:szCs w:val="21"/>
              </w:rPr>
              <w:t>土样</w:t>
            </w:r>
            <w:r w:rsidRPr="00615FFF">
              <w:rPr>
                <w:rFonts w:hint="eastAsia"/>
                <w:bCs/>
                <w:szCs w:val="21"/>
              </w:rPr>
              <w:t>-</w:t>
            </w:r>
            <w:r w:rsidR="00E24670" w:rsidRPr="00615FFF">
              <w:rPr>
                <w:rFonts w:hint="eastAsia"/>
                <w:szCs w:val="21"/>
              </w:rPr>
              <w:t>黄绵土</w:t>
            </w:r>
          </w:p>
        </w:tc>
      </w:tr>
      <w:tr w:rsidR="00E24670" w:rsidRPr="00615FFF" w:rsidTr="00584B9F">
        <w:trPr>
          <w:jc w:val="center"/>
        </w:trPr>
        <w:tc>
          <w:tcPr>
            <w:tcW w:w="1209" w:type="dxa"/>
            <w:vMerge w:val="restart"/>
            <w:vAlign w:val="center"/>
          </w:tcPr>
          <w:p w:rsidR="00E24670" w:rsidRPr="00615FFF" w:rsidRDefault="00E24670" w:rsidP="00303053">
            <w:pPr>
              <w:jc w:val="center"/>
              <w:rPr>
                <w:szCs w:val="21"/>
              </w:rPr>
            </w:pPr>
            <w:r w:rsidRPr="00615FFF">
              <w:rPr>
                <w:rFonts w:hint="eastAsia"/>
                <w:szCs w:val="21"/>
              </w:rPr>
              <w:t>现场记录</w:t>
            </w:r>
          </w:p>
        </w:tc>
        <w:tc>
          <w:tcPr>
            <w:tcW w:w="1529" w:type="dxa"/>
            <w:vAlign w:val="center"/>
          </w:tcPr>
          <w:p w:rsidR="00E24670" w:rsidRPr="00615FFF" w:rsidRDefault="00E24670" w:rsidP="00303053">
            <w:pPr>
              <w:jc w:val="center"/>
              <w:rPr>
                <w:szCs w:val="21"/>
              </w:rPr>
            </w:pPr>
            <w:r w:rsidRPr="00615FFF">
              <w:rPr>
                <w:rFonts w:hint="eastAsia"/>
                <w:szCs w:val="21"/>
              </w:rPr>
              <w:t>颜色</w:t>
            </w:r>
          </w:p>
        </w:tc>
        <w:tc>
          <w:tcPr>
            <w:tcW w:w="6250" w:type="dxa"/>
            <w:gridSpan w:val="3"/>
            <w:vAlign w:val="center"/>
          </w:tcPr>
          <w:p w:rsidR="00E24670" w:rsidRPr="00615FFF" w:rsidRDefault="00E24670" w:rsidP="00303053">
            <w:pPr>
              <w:jc w:val="center"/>
              <w:rPr>
                <w:szCs w:val="21"/>
              </w:rPr>
            </w:pPr>
          </w:p>
        </w:tc>
      </w:tr>
      <w:tr w:rsidR="00E24670" w:rsidRPr="00615FFF" w:rsidTr="00E24670">
        <w:trPr>
          <w:jc w:val="center"/>
        </w:trPr>
        <w:tc>
          <w:tcPr>
            <w:tcW w:w="1209" w:type="dxa"/>
            <w:vMerge/>
            <w:vAlign w:val="center"/>
          </w:tcPr>
          <w:p w:rsidR="00E24670" w:rsidRPr="00615FFF" w:rsidRDefault="00E24670" w:rsidP="00303053">
            <w:pPr>
              <w:jc w:val="center"/>
              <w:rPr>
                <w:szCs w:val="21"/>
              </w:rPr>
            </w:pPr>
          </w:p>
        </w:tc>
        <w:tc>
          <w:tcPr>
            <w:tcW w:w="1529" w:type="dxa"/>
            <w:vAlign w:val="center"/>
          </w:tcPr>
          <w:p w:rsidR="00E24670" w:rsidRPr="00615FFF" w:rsidRDefault="00E24670" w:rsidP="00303053">
            <w:pPr>
              <w:jc w:val="center"/>
              <w:rPr>
                <w:szCs w:val="21"/>
              </w:rPr>
            </w:pPr>
            <w:r w:rsidRPr="00615FFF">
              <w:rPr>
                <w:rFonts w:hint="eastAsia"/>
                <w:szCs w:val="21"/>
              </w:rPr>
              <w:t>结构</w:t>
            </w:r>
          </w:p>
        </w:tc>
        <w:tc>
          <w:tcPr>
            <w:tcW w:w="6250" w:type="dxa"/>
            <w:gridSpan w:val="3"/>
            <w:vAlign w:val="center"/>
          </w:tcPr>
          <w:p w:rsidR="00E24670" w:rsidRPr="00615FFF" w:rsidRDefault="00E24670" w:rsidP="00303053">
            <w:pPr>
              <w:jc w:val="center"/>
              <w:rPr>
                <w:szCs w:val="21"/>
              </w:rPr>
            </w:pPr>
            <w:r w:rsidRPr="00615FFF">
              <w:rPr>
                <w:szCs w:val="21"/>
              </w:rPr>
              <w:t>细沙粒（</w:t>
            </w:r>
            <w:r w:rsidRPr="00615FFF">
              <w:rPr>
                <w:szCs w:val="21"/>
              </w:rPr>
              <w:t>0.25</w:t>
            </w:r>
            <w:r w:rsidRPr="00615FFF">
              <w:rPr>
                <w:szCs w:val="21"/>
              </w:rPr>
              <w:t>～</w:t>
            </w:r>
            <w:r w:rsidRPr="00615FFF">
              <w:rPr>
                <w:szCs w:val="21"/>
              </w:rPr>
              <w:t>0.05mm</w:t>
            </w:r>
            <w:r w:rsidRPr="00615FFF">
              <w:rPr>
                <w:szCs w:val="21"/>
              </w:rPr>
              <w:t>）和粉粒（</w:t>
            </w:r>
            <w:r w:rsidRPr="00615FFF">
              <w:rPr>
                <w:szCs w:val="21"/>
              </w:rPr>
              <w:t>0.05</w:t>
            </w:r>
            <w:r w:rsidRPr="00615FFF">
              <w:rPr>
                <w:szCs w:val="21"/>
              </w:rPr>
              <w:t>～</w:t>
            </w:r>
            <w:r w:rsidRPr="00615FFF">
              <w:rPr>
                <w:szCs w:val="21"/>
              </w:rPr>
              <w:t>0.005mm</w:t>
            </w:r>
            <w:r w:rsidRPr="00615FFF">
              <w:rPr>
                <w:szCs w:val="21"/>
              </w:rPr>
              <w:t>）</w:t>
            </w:r>
          </w:p>
        </w:tc>
      </w:tr>
      <w:tr w:rsidR="00E24670" w:rsidRPr="00615FFF" w:rsidTr="00584B9F">
        <w:trPr>
          <w:jc w:val="center"/>
        </w:trPr>
        <w:tc>
          <w:tcPr>
            <w:tcW w:w="1209" w:type="dxa"/>
            <w:vMerge/>
            <w:vAlign w:val="center"/>
          </w:tcPr>
          <w:p w:rsidR="00E24670" w:rsidRPr="00615FFF" w:rsidRDefault="00E24670" w:rsidP="00303053">
            <w:pPr>
              <w:jc w:val="center"/>
              <w:rPr>
                <w:szCs w:val="21"/>
              </w:rPr>
            </w:pPr>
          </w:p>
        </w:tc>
        <w:tc>
          <w:tcPr>
            <w:tcW w:w="1529" w:type="dxa"/>
            <w:vAlign w:val="center"/>
          </w:tcPr>
          <w:p w:rsidR="00E24670" w:rsidRPr="00615FFF" w:rsidRDefault="00E24670" w:rsidP="00303053">
            <w:pPr>
              <w:jc w:val="center"/>
              <w:rPr>
                <w:szCs w:val="21"/>
              </w:rPr>
            </w:pPr>
            <w:r w:rsidRPr="00615FFF">
              <w:rPr>
                <w:rFonts w:hint="eastAsia"/>
                <w:szCs w:val="21"/>
              </w:rPr>
              <w:t>质地</w:t>
            </w:r>
          </w:p>
        </w:tc>
        <w:tc>
          <w:tcPr>
            <w:tcW w:w="6250" w:type="dxa"/>
            <w:gridSpan w:val="3"/>
            <w:vAlign w:val="center"/>
          </w:tcPr>
          <w:p w:rsidR="00E24670" w:rsidRPr="00615FFF" w:rsidRDefault="00E24670" w:rsidP="00303053">
            <w:pPr>
              <w:jc w:val="center"/>
              <w:rPr>
                <w:szCs w:val="21"/>
              </w:rPr>
            </w:pPr>
          </w:p>
        </w:tc>
      </w:tr>
      <w:tr w:rsidR="00E24670" w:rsidRPr="00615FFF" w:rsidTr="00584B9F">
        <w:trPr>
          <w:jc w:val="center"/>
        </w:trPr>
        <w:tc>
          <w:tcPr>
            <w:tcW w:w="1209" w:type="dxa"/>
            <w:vMerge/>
            <w:vAlign w:val="center"/>
          </w:tcPr>
          <w:p w:rsidR="00E24670" w:rsidRPr="00615FFF" w:rsidRDefault="00E24670" w:rsidP="00303053">
            <w:pPr>
              <w:jc w:val="center"/>
              <w:rPr>
                <w:szCs w:val="21"/>
              </w:rPr>
            </w:pPr>
          </w:p>
        </w:tc>
        <w:tc>
          <w:tcPr>
            <w:tcW w:w="1529" w:type="dxa"/>
            <w:vAlign w:val="center"/>
          </w:tcPr>
          <w:p w:rsidR="00E24670" w:rsidRPr="00615FFF" w:rsidRDefault="00E24670" w:rsidP="00303053">
            <w:pPr>
              <w:jc w:val="center"/>
              <w:rPr>
                <w:szCs w:val="21"/>
              </w:rPr>
            </w:pPr>
            <w:r w:rsidRPr="00615FFF">
              <w:rPr>
                <w:rFonts w:hint="eastAsia"/>
                <w:szCs w:val="21"/>
              </w:rPr>
              <w:t>砂砾含量</w:t>
            </w:r>
          </w:p>
        </w:tc>
        <w:tc>
          <w:tcPr>
            <w:tcW w:w="6250" w:type="dxa"/>
            <w:gridSpan w:val="3"/>
            <w:vAlign w:val="center"/>
          </w:tcPr>
          <w:p w:rsidR="00E24670" w:rsidRPr="00615FFF" w:rsidRDefault="00E24670" w:rsidP="00303053">
            <w:pPr>
              <w:jc w:val="center"/>
              <w:rPr>
                <w:szCs w:val="21"/>
              </w:rPr>
            </w:pPr>
            <w:r w:rsidRPr="00615FFF">
              <w:rPr>
                <w:szCs w:val="21"/>
              </w:rPr>
              <w:t>60%</w:t>
            </w:r>
          </w:p>
        </w:tc>
      </w:tr>
      <w:tr w:rsidR="00E24670" w:rsidRPr="00615FFF" w:rsidTr="00584B9F">
        <w:trPr>
          <w:jc w:val="center"/>
        </w:trPr>
        <w:tc>
          <w:tcPr>
            <w:tcW w:w="1209" w:type="dxa"/>
            <w:vMerge/>
            <w:vAlign w:val="center"/>
          </w:tcPr>
          <w:p w:rsidR="00E24670" w:rsidRPr="00615FFF" w:rsidRDefault="00E24670" w:rsidP="00303053">
            <w:pPr>
              <w:jc w:val="center"/>
              <w:rPr>
                <w:szCs w:val="21"/>
              </w:rPr>
            </w:pPr>
          </w:p>
        </w:tc>
        <w:tc>
          <w:tcPr>
            <w:tcW w:w="1529" w:type="dxa"/>
            <w:vAlign w:val="center"/>
          </w:tcPr>
          <w:p w:rsidR="00E24670" w:rsidRPr="00615FFF" w:rsidRDefault="00E24670" w:rsidP="00303053">
            <w:pPr>
              <w:jc w:val="center"/>
              <w:rPr>
                <w:szCs w:val="21"/>
              </w:rPr>
            </w:pPr>
            <w:r w:rsidRPr="00615FFF">
              <w:rPr>
                <w:rFonts w:hint="eastAsia"/>
                <w:szCs w:val="21"/>
              </w:rPr>
              <w:t>其他异物</w:t>
            </w:r>
          </w:p>
        </w:tc>
        <w:tc>
          <w:tcPr>
            <w:tcW w:w="6250" w:type="dxa"/>
            <w:gridSpan w:val="3"/>
            <w:vAlign w:val="center"/>
          </w:tcPr>
          <w:p w:rsidR="00E24670" w:rsidRPr="00615FFF" w:rsidRDefault="00EB2B0B" w:rsidP="00303053">
            <w:pPr>
              <w:jc w:val="center"/>
              <w:rPr>
                <w:szCs w:val="21"/>
              </w:rPr>
            </w:pPr>
            <w:r>
              <w:rPr>
                <w:rFonts w:hint="eastAsia"/>
                <w:szCs w:val="21"/>
              </w:rPr>
              <w:t>/</w:t>
            </w:r>
          </w:p>
        </w:tc>
      </w:tr>
      <w:tr w:rsidR="00E24670" w:rsidRPr="00615FFF" w:rsidTr="00584B9F">
        <w:trPr>
          <w:jc w:val="center"/>
        </w:trPr>
        <w:tc>
          <w:tcPr>
            <w:tcW w:w="1209" w:type="dxa"/>
            <w:vMerge w:val="restart"/>
            <w:vAlign w:val="center"/>
          </w:tcPr>
          <w:p w:rsidR="00E24670" w:rsidRPr="00615FFF" w:rsidRDefault="00E24670" w:rsidP="00303053">
            <w:pPr>
              <w:jc w:val="center"/>
              <w:rPr>
                <w:szCs w:val="21"/>
              </w:rPr>
            </w:pPr>
            <w:r w:rsidRPr="00615FFF">
              <w:rPr>
                <w:rFonts w:hint="eastAsia"/>
                <w:szCs w:val="21"/>
              </w:rPr>
              <w:t>实验室测定</w:t>
            </w:r>
          </w:p>
        </w:tc>
        <w:tc>
          <w:tcPr>
            <w:tcW w:w="1529" w:type="dxa"/>
            <w:vAlign w:val="center"/>
          </w:tcPr>
          <w:p w:rsidR="00E24670" w:rsidRPr="00615FFF" w:rsidRDefault="00E24670" w:rsidP="00303053">
            <w:pPr>
              <w:jc w:val="center"/>
              <w:rPr>
                <w:szCs w:val="21"/>
              </w:rPr>
            </w:pPr>
            <w:r w:rsidRPr="00615FFF">
              <w:rPr>
                <w:rFonts w:hint="eastAsia"/>
                <w:szCs w:val="21"/>
              </w:rPr>
              <w:t>pH</w:t>
            </w:r>
            <w:r w:rsidRPr="00615FFF">
              <w:rPr>
                <w:rFonts w:hint="eastAsia"/>
                <w:szCs w:val="21"/>
              </w:rPr>
              <w:t>值</w:t>
            </w:r>
          </w:p>
        </w:tc>
        <w:tc>
          <w:tcPr>
            <w:tcW w:w="6250" w:type="dxa"/>
            <w:gridSpan w:val="3"/>
            <w:vAlign w:val="center"/>
          </w:tcPr>
          <w:p w:rsidR="00E24670" w:rsidRPr="00615FFF" w:rsidRDefault="00EB2B0B" w:rsidP="00303053">
            <w:pPr>
              <w:jc w:val="center"/>
              <w:rPr>
                <w:szCs w:val="21"/>
              </w:rPr>
            </w:pPr>
            <w:r>
              <w:rPr>
                <w:rFonts w:hint="eastAsia"/>
                <w:szCs w:val="21"/>
              </w:rPr>
              <w:t>8.3</w:t>
            </w:r>
          </w:p>
        </w:tc>
      </w:tr>
      <w:tr w:rsidR="00E24670" w:rsidRPr="00615FFF" w:rsidTr="00584B9F">
        <w:trPr>
          <w:jc w:val="center"/>
        </w:trPr>
        <w:tc>
          <w:tcPr>
            <w:tcW w:w="1209" w:type="dxa"/>
            <w:vMerge/>
            <w:vAlign w:val="center"/>
          </w:tcPr>
          <w:p w:rsidR="00E24670" w:rsidRPr="00615FFF" w:rsidRDefault="00E24670" w:rsidP="00303053">
            <w:pPr>
              <w:jc w:val="center"/>
              <w:rPr>
                <w:szCs w:val="21"/>
              </w:rPr>
            </w:pPr>
          </w:p>
        </w:tc>
        <w:tc>
          <w:tcPr>
            <w:tcW w:w="1529" w:type="dxa"/>
            <w:vAlign w:val="center"/>
          </w:tcPr>
          <w:p w:rsidR="00E24670" w:rsidRPr="00615FFF" w:rsidRDefault="00E24670" w:rsidP="00303053">
            <w:pPr>
              <w:jc w:val="center"/>
              <w:rPr>
                <w:szCs w:val="21"/>
              </w:rPr>
            </w:pPr>
            <w:r w:rsidRPr="00615FFF">
              <w:rPr>
                <w:rFonts w:hint="eastAsia"/>
                <w:szCs w:val="21"/>
              </w:rPr>
              <w:t>阳离子交换量</w:t>
            </w:r>
          </w:p>
        </w:tc>
        <w:tc>
          <w:tcPr>
            <w:tcW w:w="6250" w:type="dxa"/>
            <w:gridSpan w:val="3"/>
            <w:vAlign w:val="center"/>
          </w:tcPr>
          <w:p w:rsidR="00E24670" w:rsidRPr="00615FFF" w:rsidRDefault="00E24670" w:rsidP="00303053">
            <w:pPr>
              <w:jc w:val="center"/>
              <w:rPr>
                <w:szCs w:val="21"/>
              </w:rPr>
            </w:pPr>
            <w:r w:rsidRPr="00615FFF">
              <w:rPr>
                <w:rFonts w:hint="eastAsia"/>
                <w:szCs w:val="21"/>
              </w:rPr>
              <w:t>6.0</w:t>
            </w:r>
            <w:r w:rsidRPr="00615FFF">
              <w:rPr>
                <w:szCs w:val="21"/>
              </w:rPr>
              <w:t>cmol(+)/kg</w:t>
            </w:r>
          </w:p>
        </w:tc>
      </w:tr>
      <w:tr w:rsidR="00E24670" w:rsidRPr="00615FFF" w:rsidTr="00584B9F">
        <w:trPr>
          <w:jc w:val="center"/>
        </w:trPr>
        <w:tc>
          <w:tcPr>
            <w:tcW w:w="1209" w:type="dxa"/>
            <w:vMerge/>
            <w:vAlign w:val="center"/>
          </w:tcPr>
          <w:p w:rsidR="00E24670" w:rsidRPr="00615FFF" w:rsidRDefault="00E24670" w:rsidP="00303053">
            <w:pPr>
              <w:jc w:val="center"/>
              <w:rPr>
                <w:szCs w:val="21"/>
              </w:rPr>
            </w:pPr>
          </w:p>
        </w:tc>
        <w:tc>
          <w:tcPr>
            <w:tcW w:w="1529" w:type="dxa"/>
            <w:vAlign w:val="center"/>
          </w:tcPr>
          <w:p w:rsidR="00E24670" w:rsidRPr="00615FFF" w:rsidRDefault="00E24670" w:rsidP="00303053">
            <w:pPr>
              <w:jc w:val="center"/>
              <w:rPr>
                <w:szCs w:val="21"/>
              </w:rPr>
            </w:pPr>
            <w:r w:rsidRPr="00615FFF">
              <w:rPr>
                <w:rFonts w:hint="eastAsia"/>
                <w:szCs w:val="21"/>
              </w:rPr>
              <w:t>氧化还原电位</w:t>
            </w:r>
          </w:p>
        </w:tc>
        <w:tc>
          <w:tcPr>
            <w:tcW w:w="6250" w:type="dxa"/>
            <w:gridSpan w:val="3"/>
            <w:vAlign w:val="center"/>
          </w:tcPr>
          <w:p w:rsidR="00E24670" w:rsidRPr="00615FFF" w:rsidRDefault="00E24670" w:rsidP="00303053">
            <w:pPr>
              <w:jc w:val="center"/>
              <w:rPr>
                <w:szCs w:val="21"/>
              </w:rPr>
            </w:pPr>
            <w:r w:rsidRPr="00615FFF">
              <w:rPr>
                <w:rFonts w:hint="eastAsia"/>
                <w:szCs w:val="21"/>
              </w:rPr>
              <w:t>282</w:t>
            </w:r>
            <w:r w:rsidRPr="00615FFF">
              <w:rPr>
                <w:rFonts w:hint="eastAsia"/>
                <w:bCs/>
                <w:szCs w:val="21"/>
              </w:rPr>
              <w:t xml:space="preserve"> mV</w:t>
            </w:r>
          </w:p>
        </w:tc>
      </w:tr>
      <w:tr w:rsidR="00E24670" w:rsidRPr="00615FFF" w:rsidTr="00584B9F">
        <w:trPr>
          <w:jc w:val="center"/>
        </w:trPr>
        <w:tc>
          <w:tcPr>
            <w:tcW w:w="1209" w:type="dxa"/>
            <w:vMerge/>
            <w:vAlign w:val="center"/>
          </w:tcPr>
          <w:p w:rsidR="00E24670" w:rsidRPr="00615FFF" w:rsidRDefault="00E24670" w:rsidP="00303053">
            <w:pPr>
              <w:jc w:val="center"/>
              <w:rPr>
                <w:szCs w:val="21"/>
              </w:rPr>
            </w:pPr>
          </w:p>
        </w:tc>
        <w:tc>
          <w:tcPr>
            <w:tcW w:w="1529" w:type="dxa"/>
            <w:vAlign w:val="center"/>
          </w:tcPr>
          <w:p w:rsidR="00E24670" w:rsidRPr="00615FFF" w:rsidRDefault="00E24670" w:rsidP="00E24670">
            <w:pPr>
              <w:jc w:val="center"/>
              <w:rPr>
                <w:szCs w:val="21"/>
              </w:rPr>
            </w:pPr>
            <w:r w:rsidRPr="00615FFF">
              <w:rPr>
                <w:rFonts w:hint="eastAsia"/>
                <w:szCs w:val="21"/>
              </w:rPr>
              <w:t>饱和导水率</w:t>
            </w:r>
          </w:p>
        </w:tc>
        <w:tc>
          <w:tcPr>
            <w:tcW w:w="6250" w:type="dxa"/>
            <w:gridSpan w:val="3"/>
            <w:vAlign w:val="center"/>
          </w:tcPr>
          <w:p w:rsidR="00E24670" w:rsidRPr="00615FFF" w:rsidRDefault="00E24670" w:rsidP="00303053">
            <w:pPr>
              <w:jc w:val="center"/>
              <w:rPr>
                <w:szCs w:val="21"/>
              </w:rPr>
            </w:pPr>
            <w:r w:rsidRPr="00615FFF">
              <w:rPr>
                <w:rFonts w:hint="eastAsia"/>
                <w:szCs w:val="21"/>
              </w:rPr>
              <w:t>0.13</w:t>
            </w:r>
            <w:r w:rsidRPr="00615FFF">
              <w:rPr>
                <w:bCs/>
                <w:szCs w:val="21"/>
              </w:rPr>
              <w:t>mm/min</w:t>
            </w:r>
          </w:p>
        </w:tc>
      </w:tr>
      <w:tr w:rsidR="00E24670" w:rsidRPr="00615FFF" w:rsidTr="00584B9F">
        <w:trPr>
          <w:jc w:val="center"/>
        </w:trPr>
        <w:tc>
          <w:tcPr>
            <w:tcW w:w="1209" w:type="dxa"/>
            <w:vMerge/>
            <w:vAlign w:val="center"/>
          </w:tcPr>
          <w:p w:rsidR="00E24670" w:rsidRPr="00615FFF" w:rsidRDefault="00E24670" w:rsidP="00303053">
            <w:pPr>
              <w:jc w:val="center"/>
              <w:rPr>
                <w:szCs w:val="21"/>
              </w:rPr>
            </w:pPr>
          </w:p>
        </w:tc>
        <w:tc>
          <w:tcPr>
            <w:tcW w:w="1529" w:type="dxa"/>
            <w:vAlign w:val="center"/>
          </w:tcPr>
          <w:p w:rsidR="00E24670" w:rsidRPr="00615FFF" w:rsidRDefault="00E24670" w:rsidP="00E24670">
            <w:pPr>
              <w:jc w:val="center"/>
              <w:rPr>
                <w:szCs w:val="21"/>
              </w:rPr>
            </w:pPr>
            <w:r w:rsidRPr="00615FFF">
              <w:rPr>
                <w:rFonts w:hint="eastAsia"/>
                <w:szCs w:val="21"/>
              </w:rPr>
              <w:t>土壤容重</w:t>
            </w:r>
          </w:p>
        </w:tc>
        <w:tc>
          <w:tcPr>
            <w:tcW w:w="6250" w:type="dxa"/>
            <w:gridSpan w:val="3"/>
            <w:vAlign w:val="center"/>
          </w:tcPr>
          <w:p w:rsidR="00E24670" w:rsidRPr="00615FFF" w:rsidRDefault="00E24670" w:rsidP="00303053">
            <w:pPr>
              <w:jc w:val="center"/>
              <w:rPr>
                <w:szCs w:val="21"/>
              </w:rPr>
            </w:pPr>
            <w:r w:rsidRPr="00615FFF">
              <w:rPr>
                <w:szCs w:val="21"/>
              </w:rPr>
              <w:t>1.0</w:t>
            </w:r>
            <w:r w:rsidRPr="00615FFF">
              <w:rPr>
                <w:rFonts w:hint="eastAsia"/>
                <w:szCs w:val="21"/>
              </w:rPr>
              <w:t>~</w:t>
            </w:r>
            <w:r w:rsidRPr="00615FFF">
              <w:rPr>
                <w:szCs w:val="21"/>
              </w:rPr>
              <w:t>1.2</w:t>
            </w:r>
            <w:r w:rsidRPr="00615FFF">
              <w:rPr>
                <w:rFonts w:hint="eastAsia"/>
                <w:szCs w:val="21"/>
              </w:rPr>
              <w:t>g/cm</w:t>
            </w:r>
            <w:r w:rsidRPr="00615FFF">
              <w:rPr>
                <w:rFonts w:hint="eastAsia"/>
                <w:szCs w:val="21"/>
                <w:vertAlign w:val="superscript"/>
              </w:rPr>
              <w:t>3</w:t>
            </w:r>
          </w:p>
        </w:tc>
      </w:tr>
      <w:tr w:rsidR="00E24670" w:rsidRPr="00615FFF" w:rsidTr="00584B9F">
        <w:trPr>
          <w:jc w:val="center"/>
        </w:trPr>
        <w:tc>
          <w:tcPr>
            <w:tcW w:w="1209" w:type="dxa"/>
            <w:vMerge/>
            <w:vAlign w:val="center"/>
          </w:tcPr>
          <w:p w:rsidR="00E24670" w:rsidRPr="00615FFF" w:rsidRDefault="00E24670" w:rsidP="00303053">
            <w:pPr>
              <w:jc w:val="center"/>
              <w:rPr>
                <w:szCs w:val="21"/>
              </w:rPr>
            </w:pPr>
          </w:p>
        </w:tc>
        <w:tc>
          <w:tcPr>
            <w:tcW w:w="1529" w:type="dxa"/>
            <w:vAlign w:val="center"/>
          </w:tcPr>
          <w:p w:rsidR="00E24670" w:rsidRPr="00615FFF" w:rsidRDefault="00E24670" w:rsidP="00303053">
            <w:pPr>
              <w:jc w:val="center"/>
              <w:rPr>
                <w:szCs w:val="21"/>
              </w:rPr>
            </w:pPr>
            <w:r w:rsidRPr="00615FFF">
              <w:rPr>
                <w:rFonts w:hint="eastAsia"/>
                <w:szCs w:val="21"/>
              </w:rPr>
              <w:t>孔隙度</w:t>
            </w:r>
          </w:p>
        </w:tc>
        <w:tc>
          <w:tcPr>
            <w:tcW w:w="6250" w:type="dxa"/>
            <w:gridSpan w:val="3"/>
            <w:vAlign w:val="center"/>
          </w:tcPr>
          <w:p w:rsidR="00E24670" w:rsidRPr="00615FFF" w:rsidRDefault="00E24670" w:rsidP="00303053">
            <w:pPr>
              <w:jc w:val="center"/>
              <w:rPr>
                <w:szCs w:val="21"/>
              </w:rPr>
            </w:pPr>
            <w:r w:rsidRPr="00615FFF">
              <w:rPr>
                <w:rFonts w:hint="eastAsia"/>
                <w:szCs w:val="21"/>
              </w:rPr>
              <w:t>50~60%</w:t>
            </w:r>
          </w:p>
        </w:tc>
      </w:tr>
    </w:tbl>
    <w:p w:rsidR="00C223F5" w:rsidRPr="00925B84" w:rsidRDefault="005860D5" w:rsidP="00C006A7">
      <w:pPr>
        <w:pStyle w:val="hp"/>
        <w:ind w:firstLine="482"/>
        <w:rPr>
          <w:b/>
          <w:bCs/>
        </w:rPr>
      </w:pPr>
      <w:r w:rsidRPr="00925B84">
        <w:rPr>
          <w:rFonts w:hint="eastAsia"/>
          <w:b/>
          <w:bCs/>
        </w:rPr>
        <w:t>（二）土壤影响源调查</w:t>
      </w:r>
    </w:p>
    <w:p w:rsidR="00C223F5" w:rsidRPr="00925B84" w:rsidRDefault="005860D5" w:rsidP="002D1BB7">
      <w:pPr>
        <w:spacing w:line="360" w:lineRule="auto"/>
        <w:ind w:firstLineChars="200" w:firstLine="480"/>
        <w:rPr>
          <w:bCs/>
          <w:sz w:val="24"/>
        </w:rPr>
      </w:pPr>
      <w:r w:rsidRPr="00925B84">
        <w:rPr>
          <w:rFonts w:hint="eastAsia"/>
          <w:sz w:val="24"/>
        </w:rPr>
        <w:t>本项目为煤矿生产项目，污染影响主要发生在工业场地，根据调查，项目工业场地附近无其它煤矿工业场地；生态影响主要发生在采区范围内，相邻区域煤炭资源暂未开发利用。</w:t>
      </w:r>
    </w:p>
    <w:p w:rsidR="00C223F5" w:rsidRPr="00925B84" w:rsidRDefault="005860D5" w:rsidP="00C006A7">
      <w:pPr>
        <w:pStyle w:val="hp"/>
        <w:ind w:firstLine="482"/>
        <w:rPr>
          <w:b/>
          <w:bCs/>
        </w:rPr>
      </w:pPr>
      <w:r w:rsidRPr="00925B84">
        <w:rPr>
          <w:rFonts w:hint="eastAsia"/>
          <w:b/>
          <w:bCs/>
        </w:rPr>
        <w:t>（三）土壤侵蚀</w:t>
      </w:r>
    </w:p>
    <w:p w:rsidR="00C223F5" w:rsidRDefault="005860D5" w:rsidP="002D1BB7">
      <w:pPr>
        <w:spacing w:line="360" w:lineRule="auto"/>
        <w:ind w:firstLineChars="200" w:firstLine="480"/>
        <w:rPr>
          <w:sz w:val="24"/>
        </w:rPr>
      </w:pPr>
      <w:r w:rsidRPr="00925B84">
        <w:rPr>
          <w:rFonts w:hint="eastAsia"/>
          <w:sz w:val="24"/>
        </w:rPr>
        <w:t>根据水利部颁布的《土壤侵蚀分类分级标准》（</w:t>
      </w:r>
      <w:r w:rsidRPr="00925B84">
        <w:rPr>
          <w:rFonts w:hint="eastAsia"/>
          <w:sz w:val="24"/>
        </w:rPr>
        <w:t>SL190-1996</w:t>
      </w:r>
      <w:r w:rsidRPr="00925B84">
        <w:rPr>
          <w:rFonts w:hint="eastAsia"/>
          <w:sz w:val="24"/>
        </w:rPr>
        <w:t>）中的三种容许侵蚀量及区域特性，本区域土壤侵蚀</w:t>
      </w:r>
      <w:r>
        <w:rPr>
          <w:rFonts w:hint="eastAsia"/>
          <w:sz w:val="24"/>
        </w:rPr>
        <w:t>容许侵蚀量选用</w:t>
      </w:r>
      <w:r>
        <w:rPr>
          <w:rFonts w:hint="eastAsia"/>
          <w:sz w:val="24"/>
        </w:rPr>
        <w:t>500 t/km</w:t>
      </w:r>
      <w:r>
        <w:rPr>
          <w:rFonts w:hint="eastAsia"/>
          <w:sz w:val="24"/>
          <w:vertAlign w:val="superscript"/>
        </w:rPr>
        <w:t>2</w:t>
      </w:r>
      <w:r>
        <w:rPr>
          <w:rFonts w:hint="eastAsia"/>
          <w:sz w:val="24"/>
        </w:rPr>
        <w:t>·</w:t>
      </w:r>
      <w:r>
        <w:rPr>
          <w:rFonts w:hint="eastAsia"/>
          <w:sz w:val="24"/>
        </w:rPr>
        <w:t>a</w:t>
      </w:r>
      <w:r>
        <w:rPr>
          <w:rFonts w:hint="eastAsia"/>
          <w:sz w:val="24"/>
        </w:rPr>
        <w:t>。</w:t>
      </w:r>
    </w:p>
    <w:p w:rsidR="00C223F5" w:rsidRDefault="005860D5">
      <w:pPr>
        <w:spacing w:line="360" w:lineRule="auto"/>
        <w:ind w:firstLineChars="200" w:firstLine="480"/>
        <w:rPr>
          <w:sz w:val="28"/>
          <w:szCs w:val="28"/>
        </w:rPr>
      </w:pPr>
      <w:r>
        <w:rPr>
          <w:rFonts w:hint="eastAsia"/>
          <w:sz w:val="24"/>
        </w:rPr>
        <w:t>根据水利部颁布的</w:t>
      </w:r>
      <w:r>
        <w:rPr>
          <w:sz w:val="24"/>
        </w:rPr>
        <w:t>《土壤侵蚀分类分级标准》（</w:t>
      </w:r>
      <w:r>
        <w:rPr>
          <w:sz w:val="24"/>
        </w:rPr>
        <w:t>SL190</w:t>
      </w:r>
      <w:r>
        <w:rPr>
          <w:sz w:val="24"/>
        </w:rPr>
        <w:t>－</w:t>
      </w:r>
      <w:r>
        <w:rPr>
          <w:rFonts w:hint="eastAsia"/>
          <w:sz w:val="24"/>
        </w:rPr>
        <w:t>2007</w:t>
      </w:r>
      <w:r>
        <w:rPr>
          <w:sz w:val="24"/>
        </w:rPr>
        <w:t>）</w:t>
      </w:r>
      <w:r>
        <w:rPr>
          <w:rFonts w:hint="eastAsia"/>
          <w:sz w:val="24"/>
        </w:rPr>
        <w:t>，</w:t>
      </w:r>
      <w:r>
        <w:rPr>
          <w:rFonts w:ascii="宋体" w:hAnsi="宋体" w:hint="eastAsia"/>
          <w:sz w:val="24"/>
        </w:rPr>
        <w:t>结合水利部水土保持监测中心制定的《全国土壤侵蚀遥感调查技术规程》（</w:t>
      </w:r>
      <w:r>
        <w:rPr>
          <w:rFonts w:hint="eastAsia"/>
          <w:sz w:val="24"/>
        </w:rPr>
        <w:t>1999</w:t>
      </w:r>
      <w:r>
        <w:rPr>
          <w:rFonts w:hint="eastAsia"/>
          <w:sz w:val="24"/>
        </w:rPr>
        <w:t>年</w:t>
      </w:r>
      <w:r>
        <w:rPr>
          <w:rFonts w:hint="eastAsia"/>
          <w:sz w:val="24"/>
        </w:rPr>
        <w:t>4</w:t>
      </w:r>
      <w:r>
        <w:rPr>
          <w:rFonts w:hint="eastAsia"/>
          <w:sz w:val="24"/>
        </w:rPr>
        <w:t>月</w:t>
      </w:r>
      <w:r>
        <w:rPr>
          <w:rFonts w:hint="eastAsia"/>
          <w:sz w:val="24"/>
        </w:rPr>
        <w:t>1</w:t>
      </w:r>
      <w:r>
        <w:rPr>
          <w:rFonts w:ascii="宋体" w:hAnsi="宋体" w:hint="eastAsia"/>
          <w:sz w:val="24"/>
        </w:rPr>
        <w:t>日）中侵蚀强度分级参考指标，</w:t>
      </w:r>
      <w:r>
        <w:rPr>
          <w:rFonts w:hint="eastAsia"/>
          <w:sz w:val="24"/>
        </w:rPr>
        <w:t>主要土壤其实类型为水力侵蚀，土壤侵蚀划分为微度、轻度、中度、重度四个土壤侵蚀强度等级</w:t>
      </w:r>
      <w:r>
        <w:rPr>
          <w:rFonts w:ascii="宋体" w:hAnsi="宋体" w:hint="eastAsia"/>
          <w:bCs/>
          <w:sz w:val="24"/>
        </w:rPr>
        <w:t>。</w:t>
      </w:r>
      <w:r>
        <w:rPr>
          <w:rFonts w:cs="宋体" w:hint="eastAsia"/>
          <w:sz w:val="24"/>
        </w:rPr>
        <w:t>土壤侵蚀强度的遥感影像特征见表</w:t>
      </w:r>
      <w:r>
        <w:rPr>
          <w:rFonts w:hint="eastAsia"/>
          <w:bCs/>
          <w:sz w:val="24"/>
        </w:rPr>
        <w:t>3.1.4-</w:t>
      </w:r>
      <w:r>
        <w:rPr>
          <w:bCs/>
          <w:sz w:val="24"/>
        </w:rPr>
        <w:t>9</w:t>
      </w:r>
      <w:r>
        <w:rPr>
          <w:rFonts w:hint="eastAsia"/>
          <w:bCs/>
          <w:sz w:val="24"/>
        </w:rPr>
        <w:t>，</w:t>
      </w:r>
      <w:r>
        <w:rPr>
          <w:rFonts w:ascii="宋体" w:hAnsi="宋体" w:hint="eastAsia"/>
          <w:bCs/>
          <w:sz w:val="24"/>
        </w:rPr>
        <w:t>评价区</w:t>
      </w:r>
      <w:r>
        <w:rPr>
          <w:rFonts w:hint="eastAsia"/>
          <w:bCs/>
          <w:sz w:val="24"/>
        </w:rPr>
        <w:t>土壤侵蚀统计数据见表</w:t>
      </w:r>
      <w:r>
        <w:rPr>
          <w:rFonts w:hint="eastAsia"/>
          <w:bCs/>
          <w:sz w:val="24"/>
        </w:rPr>
        <w:t>3.1.4-1</w:t>
      </w:r>
      <w:r>
        <w:rPr>
          <w:bCs/>
          <w:sz w:val="24"/>
        </w:rPr>
        <w:t>0</w:t>
      </w:r>
      <w:r>
        <w:rPr>
          <w:rFonts w:hint="eastAsia"/>
          <w:bCs/>
          <w:sz w:val="24"/>
        </w:rPr>
        <w:t>及图</w:t>
      </w:r>
      <w:r>
        <w:rPr>
          <w:rFonts w:hint="eastAsia"/>
          <w:bCs/>
          <w:sz w:val="24"/>
        </w:rPr>
        <w:t>3.1.4-6</w:t>
      </w:r>
      <w:r>
        <w:rPr>
          <w:rFonts w:hint="eastAsia"/>
          <w:bCs/>
          <w:sz w:val="24"/>
        </w:rPr>
        <w:t>。</w:t>
      </w:r>
    </w:p>
    <w:p w:rsidR="00C223F5" w:rsidRDefault="005860D5">
      <w:pPr>
        <w:jc w:val="center"/>
        <w:rPr>
          <w:b/>
          <w:bCs/>
          <w:sz w:val="24"/>
        </w:rPr>
      </w:pPr>
      <w:r>
        <w:rPr>
          <w:rFonts w:hint="eastAsia"/>
          <w:b/>
          <w:bCs/>
          <w:sz w:val="24"/>
        </w:rPr>
        <w:t>表</w:t>
      </w:r>
      <w:r>
        <w:rPr>
          <w:rFonts w:hint="eastAsia"/>
          <w:b/>
          <w:bCs/>
          <w:sz w:val="24"/>
        </w:rPr>
        <w:t>3.1.4-</w:t>
      </w:r>
      <w:r>
        <w:rPr>
          <w:b/>
          <w:bCs/>
          <w:sz w:val="24"/>
        </w:rPr>
        <w:t xml:space="preserve">9 </w:t>
      </w:r>
      <w:r>
        <w:rPr>
          <w:rFonts w:hint="eastAsia"/>
          <w:b/>
          <w:bCs/>
          <w:sz w:val="24"/>
        </w:rPr>
        <w:t xml:space="preserve">  </w:t>
      </w:r>
      <w:r>
        <w:rPr>
          <w:rFonts w:hint="eastAsia"/>
          <w:b/>
          <w:bCs/>
          <w:sz w:val="24"/>
        </w:rPr>
        <w:t>土壤侵蚀类型与强度及遥感影像特征</w:t>
      </w:r>
    </w:p>
    <w:tbl>
      <w:tblPr>
        <w:tblW w:w="8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1411"/>
        <w:gridCol w:w="5428"/>
      </w:tblGrid>
      <w:tr w:rsidR="00C223F5">
        <w:trPr>
          <w:cantSplit/>
          <w:trHeight w:val="645"/>
          <w:jc w:val="center"/>
        </w:trPr>
        <w:tc>
          <w:tcPr>
            <w:tcW w:w="1720" w:type="dxa"/>
            <w:vAlign w:val="center"/>
          </w:tcPr>
          <w:p w:rsidR="00C223F5" w:rsidRDefault="005860D5">
            <w:pPr>
              <w:jc w:val="center"/>
            </w:pPr>
            <w:r>
              <w:rPr>
                <w:rFonts w:hint="eastAsia"/>
              </w:rPr>
              <w:t>土壤侵蚀类型与强度</w:t>
            </w:r>
          </w:p>
        </w:tc>
        <w:tc>
          <w:tcPr>
            <w:tcW w:w="1411" w:type="dxa"/>
            <w:vAlign w:val="center"/>
          </w:tcPr>
          <w:p w:rsidR="00C223F5" w:rsidRDefault="005860D5">
            <w:pPr>
              <w:jc w:val="center"/>
            </w:pPr>
            <w:r>
              <w:rPr>
                <w:rFonts w:hint="eastAsia"/>
              </w:rPr>
              <w:t>侵蚀模数</w:t>
            </w:r>
          </w:p>
          <w:p w:rsidR="00C223F5" w:rsidRDefault="005860D5">
            <w:pPr>
              <w:jc w:val="center"/>
            </w:pPr>
            <w:r>
              <w:rPr>
                <w:rFonts w:hint="eastAsia"/>
              </w:rPr>
              <w:t>（</w:t>
            </w:r>
            <w:r>
              <w:rPr>
                <w:rFonts w:hint="eastAsia"/>
              </w:rPr>
              <w:t>t/ km</w:t>
            </w:r>
            <w:r>
              <w:rPr>
                <w:rFonts w:hint="eastAsia"/>
                <w:vertAlign w:val="superscript"/>
              </w:rPr>
              <w:t>2</w:t>
            </w:r>
            <w:r>
              <w:rPr>
                <w:rFonts w:hint="eastAsia"/>
              </w:rPr>
              <w:t>. a</w:t>
            </w:r>
            <w:r>
              <w:rPr>
                <w:rFonts w:hint="eastAsia"/>
              </w:rPr>
              <w:t>）</w:t>
            </w:r>
          </w:p>
        </w:tc>
        <w:tc>
          <w:tcPr>
            <w:tcW w:w="5428" w:type="dxa"/>
            <w:vAlign w:val="center"/>
          </w:tcPr>
          <w:p w:rsidR="00C223F5" w:rsidRDefault="005860D5">
            <w:pPr>
              <w:ind w:firstLineChars="400" w:firstLine="840"/>
              <w:jc w:val="center"/>
            </w:pPr>
            <w:r>
              <w:rPr>
                <w:rFonts w:hint="eastAsia"/>
              </w:rPr>
              <w:t>遥感影像特征</w:t>
            </w:r>
          </w:p>
        </w:tc>
      </w:tr>
      <w:tr w:rsidR="00C223F5">
        <w:trPr>
          <w:cantSplit/>
          <w:trHeight w:val="645"/>
          <w:jc w:val="center"/>
        </w:trPr>
        <w:tc>
          <w:tcPr>
            <w:tcW w:w="1720" w:type="dxa"/>
            <w:vAlign w:val="center"/>
          </w:tcPr>
          <w:p w:rsidR="00C223F5" w:rsidRDefault="005860D5">
            <w:pPr>
              <w:jc w:val="center"/>
              <w:rPr>
                <w:rFonts w:ascii="宋体" w:hAnsi="宋体"/>
              </w:rPr>
            </w:pPr>
            <w:r>
              <w:rPr>
                <w:rFonts w:hint="eastAsia"/>
              </w:rPr>
              <w:t>微度水力侵蚀（</w:t>
            </w:r>
            <w:r>
              <w:rPr>
                <w:rFonts w:hint="eastAsia"/>
              </w:rPr>
              <w:t>11</w:t>
            </w:r>
            <w:r>
              <w:rPr>
                <w:rFonts w:hint="eastAsia"/>
              </w:rPr>
              <w:t>）</w:t>
            </w:r>
          </w:p>
        </w:tc>
        <w:tc>
          <w:tcPr>
            <w:tcW w:w="1411" w:type="dxa"/>
            <w:vAlign w:val="center"/>
          </w:tcPr>
          <w:p w:rsidR="00C223F5" w:rsidRDefault="005860D5">
            <w:pPr>
              <w:jc w:val="center"/>
            </w:pPr>
            <w:r>
              <w:rPr>
                <w:rFonts w:hint="eastAsia"/>
              </w:rPr>
              <w:t>≤</w:t>
            </w:r>
            <w:r>
              <w:rPr>
                <w:rFonts w:hint="eastAsia"/>
              </w:rPr>
              <w:t>500</w:t>
            </w:r>
          </w:p>
        </w:tc>
        <w:tc>
          <w:tcPr>
            <w:tcW w:w="5428" w:type="dxa"/>
            <w:vAlign w:val="center"/>
          </w:tcPr>
          <w:p w:rsidR="00C223F5" w:rsidRDefault="005860D5">
            <w:r>
              <w:rPr>
                <w:rFonts w:hint="eastAsia"/>
              </w:rPr>
              <w:t>位于黄土塬面，地面坡度较小，多被开垦成农田，条带状，绿色色调。</w:t>
            </w:r>
          </w:p>
        </w:tc>
      </w:tr>
      <w:tr w:rsidR="00C223F5">
        <w:trPr>
          <w:cantSplit/>
          <w:trHeight w:val="645"/>
          <w:jc w:val="center"/>
        </w:trPr>
        <w:tc>
          <w:tcPr>
            <w:tcW w:w="1720" w:type="dxa"/>
            <w:vAlign w:val="center"/>
          </w:tcPr>
          <w:p w:rsidR="00C223F5" w:rsidRDefault="005860D5">
            <w:pPr>
              <w:jc w:val="center"/>
            </w:pPr>
            <w:r>
              <w:rPr>
                <w:rFonts w:hint="eastAsia"/>
              </w:rPr>
              <w:t>轻度水力侵蚀（</w:t>
            </w:r>
            <w:r>
              <w:rPr>
                <w:rFonts w:hint="eastAsia"/>
              </w:rPr>
              <w:t>12</w:t>
            </w:r>
            <w:r>
              <w:rPr>
                <w:rFonts w:hint="eastAsia"/>
              </w:rPr>
              <w:t>）</w:t>
            </w:r>
          </w:p>
        </w:tc>
        <w:tc>
          <w:tcPr>
            <w:tcW w:w="1411" w:type="dxa"/>
            <w:vAlign w:val="center"/>
          </w:tcPr>
          <w:p w:rsidR="00C223F5" w:rsidRDefault="005860D5">
            <w:pPr>
              <w:jc w:val="center"/>
            </w:pPr>
            <w:r>
              <w:rPr>
                <w:rFonts w:hint="eastAsia"/>
              </w:rPr>
              <w:t>500</w:t>
            </w:r>
            <w:r>
              <w:rPr>
                <w:rFonts w:hint="eastAsia"/>
              </w:rPr>
              <w:t>—</w:t>
            </w:r>
            <w:r>
              <w:rPr>
                <w:rFonts w:hint="eastAsia"/>
              </w:rPr>
              <w:t>2500</w:t>
            </w:r>
          </w:p>
        </w:tc>
        <w:tc>
          <w:tcPr>
            <w:tcW w:w="5428" w:type="dxa"/>
            <w:vAlign w:val="center"/>
          </w:tcPr>
          <w:p w:rsidR="00C223F5" w:rsidRDefault="005860D5">
            <w:r>
              <w:rPr>
                <w:rFonts w:hint="eastAsia"/>
              </w:rPr>
              <w:t>位于黄土塬面边沿缓坡地带，或者黄土谷坡坡度较小地带，一般多为梯田，评价区为耕地等栽培区。</w:t>
            </w:r>
          </w:p>
        </w:tc>
      </w:tr>
      <w:tr w:rsidR="00C223F5">
        <w:trPr>
          <w:cantSplit/>
          <w:trHeight w:val="660"/>
          <w:jc w:val="center"/>
        </w:trPr>
        <w:tc>
          <w:tcPr>
            <w:tcW w:w="1720" w:type="dxa"/>
            <w:vAlign w:val="center"/>
          </w:tcPr>
          <w:p w:rsidR="00C223F5" w:rsidRDefault="005860D5">
            <w:pPr>
              <w:jc w:val="center"/>
            </w:pPr>
            <w:r>
              <w:rPr>
                <w:rFonts w:hint="eastAsia"/>
              </w:rPr>
              <w:t>中度水力侵蚀（</w:t>
            </w:r>
            <w:r>
              <w:rPr>
                <w:rFonts w:hint="eastAsia"/>
              </w:rPr>
              <w:t>13</w:t>
            </w:r>
            <w:r>
              <w:rPr>
                <w:rFonts w:hint="eastAsia"/>
              </w:rPr>
              <w:t>）</w:t>
            </w:r>
          </w:p>
        </w:tc>
        <w:tc>
          <w:tcPr>
            <w:tcW w:w="1411" w:type="dxa"/>
            <w:vAlign w:val="center"/>
          </w:tcPr>
          <w:p w:rsidR="00C223F5" w:rsidRDefault="005860D5">
            <w:pPr>
              <w:jc w:val="center"/>
            </w:pPr>
            <w:r>
              <w:rPr>
                <w:rFonts w:hint="eastAsia"/>
              </w:rPr>
              <w:t>2500</w:t>
            </w:r>
            <w:r>
              <w:rPr>
                <w:rFonts w:hint="eastAsia"/>
              </w:rPr>
              <w:t>—</w:t>
            </w:r>
            <w:r>
              <w:rPr>
                <w:rFonts w:hint="eastAsia"/>
              </w:rPr>
              <w:t>5000</w:t>
            </w:r>
          </w:p>
        </w:tc>
        <w:tc>
          <w:tcPr>
            <w:tcW w:w="5428" w:type="dxa"/>
            <w:vAlign w:val="center"/>
          </w:tcPr>
          <w:p w:rsidR="00C223F5" w:rsidRDefault="005860D5">
            <w:r>
              <w:rPr>
                <w:rFonts w:hint="eastAsia"/>
              </w:rPr>
              <w:t>绿色或浅绿色，位于黄土谷坡植被覆盖度较高地带。</w:t>
            </w:r>
          </w:p>
        </w:tc>
      </w:tr>
      <w:tr w:rsidR="00C223F5">
        <w:trPr>
          <w:cantSplit/>
          <w:trHeight w:val="660"/>
          <w:jc w:val="center"/>
        </w:trPr>
        <w:tc>
          <w:tcPr>
            <w:tcW w:w="1720" w:type="dxa"/>
            <w:vAlign w:val="center"/>
          </w:tcPr>
          <w:p w:rsidR="00C223F5" w:rsidRDefault="005860D5">
            <w:pPr>
              <w:jc w:val="center"/>
            </w:pPr>
            <w:r>
              <w:rPr>
                <w:rFonts w:hint="eastAsia"/>
              </w:rPr>
              <w:t>重度水力侵蚀</w:t>
            </w:r>
          </w:p>
          <w:p w:rsidR="00C223F5" w:rsidRDefault="005860D5">
            <w:pPr>
              <w:jc w:val="center"/>
            </w:pPr>
            <w:r>
              <w:rPr>
                <w:rFonts w:hint="eastAsia"/>
              </w:rPr>
              <w:t>（</w:t>
            </w:r>
            <w:r>
              <w:rPr>
                <w:rFonts w:hint="eastAsia"/>
              </w:rPr>
              <w:t>14</w:t>
            </w:r>
            <w:r>
              <w:rPr>
                <w:rFonts w:hint="eastAsia"/>
              </w:rPr>
              <w:t>）</w:t>
            </w:r>
          </w:p>
        </w:tc>
        <w:tc>
          <w:tcPr>
            <w:tcW w:w="1411" w:type="dxa"/>
            <w:vAlign w:val="center"/>
          </w:tcPr>
          <w:p w:rsidR="00C223F5" w:rsidRDefault="005860D5">
            <w:pPr>
              <w:jc w:val="center"/>
            </w:pPr>
            <w:r>
              <w:rPr>
                <w:rFonts w:hint="eastAsia"/>
              </w:rPr>
              <w:t>5000</w:t>
            </w:r>
            <w:r>
              <w:rPr>
                <w:rFonts w:hint="eastAsia"/>
              </w:rPr>
              <w:t>—</w:t>
            </w:r>
            <w:r>
              <w:rPr>
                <w:rFonts w:hint="eastAsia"/>
              </w:rPr>
              <w:t>8000</w:t>
            </w:r>
          </w:p>
        </w:tc>
        <w:tc>
          <w:tcPr>
            <w:tcW w:w="5428" w:type="dxa"/>
            <w:vAlign w:val="center"/>
          </w:tcPr>
          <w:p w:rsidR="00C223F5" w:rsidRDefault="005860D5">
            <w:r>
              <w:rPr>
                <w:rFonts w:hint="eastAsia"/>
              </w:rPr>
              <w:t>一般位于黄土沟壑两侧地形陡峭地段，地表受侵蚀后破碎严重，影像特征明显。</w:t>
            </w:r>
          </w:p>
        </w:tc>
      </w:tr>
    </w:tbl>
    <w:p w:rsidR="00C223F5" w:rsidRDefault="00C223F5">
      <w:pPr>
        <w:jc w:val="center"/>
        <w:rPr>
          <w:b/>
          <w:sz w:val="24"/>
        </w:rPr>
      </w:pPr>
    </w:p>
    <w:p w:rsidR="00C223F5" w:rsidRDefault="005860D5">
      <w:pPr>
        <w:jc w:val="center"/>
        <w:rPr>
          <w:b/>
          <w:sz w:val="24"/>
        </w:rPr>
      </w:pPr>
      <w:r>
        <w:rPr>
          <w:rFonts w:hint="eastAsia"/>
          <w:b/>
          <w:sz w:val="24"/>
        </w:rPr>
        <w:lastRenderedPageBreak/>
        <w:t>表</w:t>
      </w:r>
      <w:r>
        <w:rPr>
          <w:rFonts w:hint="eastAsia"/>
          <w:b/>
          <w:sz w:val="24"/>
        </w:rPr>
        <w:t>3.1.4-1</w:t>
      </w:r>
      <w:r>
        <w:rPr>
          <w:b/>
          <w:sz w:val="24"/>
        </w:rPr>
        <w:t>0</w:t>
      </w:r>
      <w:r>
        <w:rPr>
          <w:rFonts w:hint="eastAsia"/>
          <w:b/>
          <w:sz w:val="24"/>
        </w:rPr>
        <w:t xml:space="preserve">   </w:t>
      </w:r>
      <w:r>
        <w:rPr>
          <w:rFonts w:hint="eastAsia"/>
          <w:b/>
          <w:sz w:val="24"/>
        </w:rPr>
        <w:t>土壤侵蚀类型与强度统计表</w:t>
      </w:r>
    </w:p>
    <w:tbl>
      <w:tblPr>
        <w:tblW w:w="8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2"/>
        <w:gridCol w:w="1473"/>
        <w:gridCol w:w="1620"/>
        <w:gridCol w:w="1800"/>
        <w:gridCol w:w="1440"/>
      </w:tblGrid>
      <w:tr w:rsidR="00C223F5">
        <w:trPr>
          <w:trHeight w:val="270"/>
          <w:jc w:val="center"/>
        </w:trPr>
        <w:tc>
          <w:tcPr>
            <w:tcW w:w="2142" w:type="dxa"/>
            <w:vMerge w:val="restart"/>
            <w:shd w:val="clear" w:color="auto" w:fill="auto"/>
            <w:vAlign w:val="center"/>
          </w:tcPr>
          <w:p w:rsidR="00C223F5" w:rsidRDefault="005860D5">
            <w:pPr>
              <w:widowControl/>
              <w:jc w:val="left"/>
              <w:rPr>
                <w:rFonts w:ascii="宋体" w:hAnsi="宋体" w:cs="宋体"/>
                <w:kern w:val="0"/>
                <w:szCs w:val="21"/>
              </w:rPr>
            </w:pPr>
            <w:r>
              <w:rPr>
                <w:rFonts w:hint="eastAsia"/>
                <w:bCs/>
                <w:szCs w:val="21"/>
              </w:rPr>
              <w:t>土壤侵蚀类型与强度</w:t>
            </w:r>
          </w:p>
        </w:tc>
        <w:tc>
          <w:tcPr>
            <w:tcW w:w="3093" w:type="dxa"/>
            <w:gridSpan w:val="2"/>
            <w:shd w:val="clear" w:color="auto" w:fill="auto"/>
            <w:vAlign w:val="center"/>
          </w:tcPr>
          <w:p w:rsidR="00C223F5" w:rsidRDefault="005860D5">
            <w:pPr>
              <w:widowControl/>
              <w:jc w:val="center"/>
              <w:rPr>
                <w:rFonts w:ascii="宋体" w:hAnsi="宋体" w:cs="宋体"/>
                <w:kern w:val="0"/>
                <w:sz w:val="22"/>
                <w:szCs w:val="22"/>
              </w:rPr>
            </w:pPr>
            <w:r>
              <w:rPr>
                <w:rFonts w:ascii="宋体" w:hAnsi="宋体" w:cs="宋体" w:hint="eastAsia"/>
                <w:kern w:val="0"/>
                <w:sz w:val="22"/>
                <w:szCs w:val="22"/>
              </w:rPr>
              <w:t>评价区</w:t>
            </w:r>
          </w:p>
        </w:tc>
        <w:tc>
          <w:tcPr>
            <w:tcW w:w="3240" w:type="dxa"/>
            <w:gridSpan w:val="2"/>
            <w:shd w:val="clear" w:color="auto" w:fill="auto"/>
            <w:vAlign w:val="center"/>
          </w:tcPr>
          <w:p w:rsidR="00C223F5" w:rsidRDefault="005860D5">
            <w:pPr>
              <w:widowControl/>
              <w:jc w:val="center"/>
              <w:rPr>
                <w:rFonts w:ascii="宋体" w:hAnsi="宋体" w:cs="宋体"/>
                <w:kern w:val="0"/>
                <w:sz w:val="22"/>
                <w:szCs w:val="22"/>
              </w:rPr>
            </w:pPr>
            <w:r>
              <w:rPr>
                <w:rFonts w:ascii="宋体" w:hAnsi="宋体" w:cs="宋体" w:hint="eastAsia"/>
                <w:kern w:val="0"/>
                <w:sz w:val="22"/>
                <w:szCs w:val="22"/>
              </w:rPr>
              <w:t>井田范围</w:t>
            </w:r>
          </w:p>
        </w:tc>
      </w:tr>
      <w:tr w:rsidR="00C223F5">
        <w:trPr>
          <w:trHeight w:val="270"/>
          <w:jc w:val="center"/>
        </w:trPr>
        <w:tc>
          <w:tcPr>
            <w:tcW w:w="2142" w:type="dxa"/>
            <w:vMerge/>
            <w:shd w:val="clear" w:color="auto" w:fill="auto"/>
            <w:vAlign w:val="center"/>
          </w:tcPr>
          <w:p w:rsidR="00C223F5" w:rsidRDefault="00C223F5">
            <w:pPr>
              <w:widowControl/>
              <w:jc w:val="left"/>
              <w:rPr>
                <w:rFonts w:ascii="宋体" w:hAnsi="宋体" w:cs="宋体"/>
                <w:kern w:val="0"/>
                <w:sz w:val="22"/>
                <w:szCs w:val="22"/>
              </w:rPr>
            </w:pPr>
          </w:p>
        </w:tc>
        <w:tc>
          <w:tcPr>
            <w:tcW w:w="1473" w:type="dxa"/>
            <w:shd w:val="clear" w:color="auto" w:fill="auto"/>
            <w:vAlign w:val="center"/>
          </w:tcPr>
          <w:p w:rsidR="00C223F5" w:rsidRDefault="005860D5">
            <w:pPr>
              <w:rPr>
                <w:rFonts w:ascii="宋体" w:hAnsi="宋体" w:cs="宋体"/>
                <w:sz w:val="22"/>
                <w:szCs w:val="22"/>
              </w:rPr>
            </w:pPr>
            <w:r>
              <w:rPr>
                <w:rFonts w:hint="eastAsia"/>
                <w:sz w:val="22"/>
                <w:szCs w:val="22"/>
              </w:rPr>
              <w:t>面积（</w:t>
            </w:r>
            <w:r>
              <w:rPr>
                <w:rFonts w:hint="eastAsia"/>
                <w:bCs/>
                <w:szCs w:val="21"/>
              </w:rPr>
              <w:t>km</w:t>
            </w:r>
            <w:r>
              <w:rPr>
                <w:rFonts w:hint="eastAsia"/>
                <w:bCs/>
                <w:szCs w:val="21"/>
                <w:vertAlign w:val="superscript"/>
              </w:rPr>
              <w:t>2</w:t>
            </w:r>
            <w:r>
              <w:rPr>
                <w:rFonts w:hint="eastAsia"/>
                <w:sz w:val="22"/>
                <w:szCs w:val="22"/>
              </w:rPr>
              <w:t>）</w:t>
            </w:r>
          </w:p>
        </w:tc>
        <w:tc>
          <w:tcPr>
            <w:tcW w:w="1620" w:type="dxa"/>
            <w:shd w:val="clear" w:color="auto" w:fill="auto"/>
            <w:vAlign w:val="center"/>
          </w:tcPr>
          <w:p w:rsidR="00C223F5" w:rsidRDefault="005860D5">
            <w:pPr>
              <w:rPr>
                <w:rFonts w:ascii="宋体" w:hAnsi="宋体" w:cs="宋体"/>
                <w:sz w:val="22"/>
                <w:szCs w:val="22"/>
              </w:rPr>
            </w:pPr>
            <w:r>
              <w:rPr>
                <w:rFonts w:hint="eastAsia"/>
                <w:sz w:val="22"/>
                <w:szCs w:val="22"/>
              </w:rPr>
              <w:t>百分比（</w:t>
            </w:r>
            <w:r>
              <w:rPr>
                <w:rFonts w:hint="eastAsia"/>
                <w:sz w:val="22"/>
                <w:szCs w:val="22"/>
              </w:rPr>
              <w:t>%</w:t>
            </w:r>
            <w:r>
              <w:rPr>
                <w:rFonts w:hint="eastAsia"/>
                <w:sz w:val="22"/>
                <w:szCs w:val="22"/>
              </w:rPr>
              <w:t>）</w:t>
            </w:r>
          </w:p>
        </w:tc>
        <w:tc>
          <w:tcPr>
            <w:tcW w:w="1800" w:type="dxa"/>
            <w:shd w:val="clear" w:color="auto" w:fill="auto"/>
            <w:vAlign w:val="center"/>
          </w:tcPr>
          <w:p w:rsidR="00C223F5" w:rsidRDefault="005860D5">
            <w:pPr>
              <w:rPr>
                <w:rFonts w:ascii="宋体" w:hAnsi="宋体" w:cs="宋体"/>
                <w:sz w:val="22"/>
                <w:szCs w:val="22"/>
              </w:rPr>
            </w:pPr>
            <w:r>
              <w:rPr>
                <w:rFonts w:hint="eastAsia"/>
                <w:sz w:val="22"/>
                <w:szCs w:val="22"/>
              </w:rPr>
              <w:t>面积（</w:t>
            </w:r>
            <w:r>
              <w:rPr>
                <w:rFonts w:hint="eastAsia"/>
                <w:bCs/>
                <w:szCs w:val="21"/>
              </w:rPr>
              <w:t>km</w:t>
            </w:r>
            <w:r>
              <w:rPr>
                <w:rFonts w:hint="eastAsia"/>
                <w:bCs/>
                <w:szCs w:val="21"/>
                <w:vertAlign w:val="superscript"/>
              </w:rPr>
              <w:t>2</w:t>
            </w:r>
            <w:r>
              <w:rPr>
                <w:rFonts w:hint="eastAsia"/>
                <w:sz w:val="22"/>
                <w:szCs w:val="22"/>
              </w:rPr>
              <w:t>）</w:t>
            </w:r>
          </w:p>
        </w:tc>
        <w:tc>
          <w:tcPr>
            <w:tcW w:w="1440" w:type="dxa"/>
            <w:shd w:val="clear" w:color="auto" w:fill="auto"/>
            <w:vAlign w:val="center"/>
          </w:tcPr>
          <w:p w:rsidR="00C223F5" w:rsidRDefault="005860D5">
            <w:pPr>
              <w:rPr>
                <w:rFonts w:ascii="宋体" w:hAnsi="宋体" w:cs="宋体"/>
                <w:sz w:val="22"/>
                <w:szCs w:val="22"/>
              </w:rPr>
            </w:pPr>
            <w:r>
              <w:rPr>
                <w:rFonts w:hint="eastAsia"/>
                <w:sz w:val="22"/>
                <w:szCs w:val="22"/>
              </w:rPr>
              <w:t>百分比（</w:t>
            </w:r>
            <w:r>
              <w:rPr>
                <w:rFonts w:hint="eastAsia"/>
                <w:sz w:val="22"/>
                <w:szCs w:val="22"/>
              </w:rPr>
              <w:t>%</w:t>
            </w:r>
            <w:r>
              <w:rPr>
                <w:rFonts w:hint="eastAsia"/>
                <w:sz w:val="22"/>
                <w:szCs w:val="22"/>
              </w:rPr>
              <w:t>）</w:t>
            </w:r>
          </w:p>
        </w:tc>
      </w:tr>
      <w:tr w:rsidR="00C223F5">
        <w:trPr>
          <w:trHeight w:val="270"/>
          <w:jc w:val="center"/>
        </w:trPr>
        <w:tc>
          <w:tcPr>
            <w:tcW w:w="2142" w:type="dxa"/>
            <w:shd w:val="clear" w:color="auto" w:fill="auto"/>
            <w:vAlign w:val="center"/>
          </w:tcPr>
          <w:p w:rsidR="00C223F5" w:rsidRDefault="005860D5">
            <w:pPr>
              <w:adjustRightInd w:val="0"/>
              <w:snapToGrid w:val="0"/>
              <w:rPr>
                <w:rFonts w:ascii="宋体" w:hAnsi="宋体" w:cs="宋体"/>
                <w:sz w:val="22"/>
                <w:szCs w:val="22"/>
              </w:rPr>
            </w:pPr>
            <w:r>
              <w:rPr>
                <w:rFonts w:hint="eastAsia"/>
                <w:sz w:val="22"/>
                <w:szCs w:val="22"/>
              </w:rPr>
              <w:t>微度水力侵蚀</w:t>
            </w:r>
          </w:p>
        </w:tc>
        <w:tc>
          <w:tcPr>
            <w:tcW w:w="1473" w:type="dxa"/>
            <w:shd w:val="clear" w:color="auto" w:fill="auto"/>
            <w:vAlign w:val="center"/>
          </w:tcPr>
          <w:p w:rsidR="00C223F5" w:rsidRDefault="005860D5">
            <w:pPr>
              <w:jc w:val="center"/>
              <w:rPr>
                <w:rFonts w:eastAsia="等线"/>
                <w:szCs w:val="21"/>
              </w:rPr>
            </w:pPr>
            <w:r>
              <w:rPr>
                <w:rFonts w:eastAsia="等线"/>
                <w:szCs w:val="21"/>
              </w:rPr>
              <w:t>4.04</w:t>
            </w:r>
          </w:p>
        </w:tc>
        <w:tc>
          <w:tcPr>
            <w:tcW w:w="1620" w:type="dxa"/>
            <w:shd w:val="clear" w:color="auto" w:fill="auto"/>
            <w:vAlign w:val="center"/>
          </w:tcPr>
          <w:p w:rsidR="00C223F5" w:rsidRDefault="005860D5">
            <w:pPr>
              <w:jc w:val="center"/>
              <w:rPr>
                <w:rFonts w:eastAsia="等线"/>
                <w:szCs w:val="21"/>
              </w:rPr>
            </w:pPr>
            <w:r>
              <w:rPr>
                <w:rFonts w:eastAsia="等线"/>
                <w:szCs w:val="21"/>
              </w:rPr>
              <w:t>4.61</w:t>
            </w:r>
          </w:p>
        </w:tc>
        <w:tc>
          <w:tcPr>
            <w:tcW w:w="1800" w:type="dxa"/>
            <w:shd w:val="clear" w:color="auto" w:fill="auto"/>
            <w:vAlign w:val="center"/>
          </w:tcPr>
          <w:p w:rsidR="00C223F5" w:rsidRDefault="005860D5">
            <w:pPr>
              <w:jc w:val="center"/>
              <w:rPr>
                <w:rFonts w:eastAsia="等线"/>
                <w:szCs w:val="21"/>
              </w:rPr>
            </w:pPr>
            <w:r>
              <w:rPr>
                <w:rFonts w:eastAsia="等线"/>
                <w:szCs w:val="21"/>
              </w:rPr>
              <w:t>3.52</w:t>
            </w:r>
          </w:p>
        </w:tc>
        <w:tc>
          <w:tcPr>
            <w:tcW w:w="1440" w:type="dxa"/>
            <w:shd w:val="clear" w:color="auto" w:fill="auto"/>
            <w:vAlign w:val="bottom"/>
          </w:tcPr>
          <w:p w:rsidR="00C223F5" w:rsidRDefault="005860D5">
            <w:pPr>
              <w:jc w:val="center"/>
              <w:rPr>
                <w:rFonts w:eastAsia="等线"/>
                <w:szCs w:val="21"/>
              </w:rPr>
            </w:pPr>
            <w:r>
              <w:rPr>
                <w:rFonts w:eastAsia="等线"/>
                <w:szCs w:val="21"/>
              </w:rPr>
              <w:t>5.24</w:t>
            </w:r>
          </w:p>
        </w:tc>
      </w:tr>
      <w:tr w:rsidR="00C223F5">
        <w:trPr>
          <w:trHeight w:val="270"/>
          <w:jc w:val="center"/>
        </w:trPr>
        <w:tc>
          <w:tcPr>
            <w:tcW w:w="2142" w:type="dxa"/>
            <w:shd w:val="clear" w:color="auto" w:fill="auto"/>
            <w:vAlign w:val="center"/>
          </w:tcPr>
          <w:p w:rsidR="00C223F5" w:rsidRDefault="005860D5">
            <w:pPr>
              <w:adjustRightInd w:val="0"/>
              <w:snapToGrid w:val="0"/>
              <w:rPr>
                <w:rFonts w:ascii="宋体" w:hAnsi="宋体" w:cs="宋体"/>
                <w:sz w:val="22"/>
                <w:szCs w:val="22"/>
              </w:rPr>
            </w:pPr>
            <w:r>
              <w:rPr>
                <w:rFonts w:hint="eastAsia"/>
                <w:sz w:val="22"/>
                <w:szCs w:val="22"/>
              </w:rPr>
              <w:t>轻度水力侵蚀</w:t>
            </w:r>
          </w:p>
        </w:tc>
        <w:tc>
          <w:tcPr>
            <w:tcW w:w="1473" w:type="dxa"/>
            <w:shd w:val="clear" w:color="auto" w:fill="auto"/>
            <w:vAlign w:val="center"/>
          </w:tcPr>
          <w:p w:rsidR="00C223F5" w:rsidRDefault="005860D5">
            <w:pPr>
              <w:jc w:val="center"/>
              <w:rPr>
                <w:rFonts w:eastAsia="等线"/>
                <w:szCs w:val="21"/>
              </w:rPr>
            </w:pPr>
            <w:r>
              <w:rPr>
                <w:rFonts w:eastAsia="等线"/>
                <w:szCs w:val="21"/>
              </w:rPr>
              <w:t>36.1</w:t>
            </w:r>
            <w:r>
              <w:rPr>
                <w:rFonts w:eastAsia="等线" w:hint="eastAsia"/>
                <w:szCs w:val="21"/>
              </w:rPr>
              <w:t>8</w:t>
            </w:r>
          </w:p>
        </w:tc>
        <w:tc>
          <w:tcPr>
            <w:tcW w:w="1620" w:type="dxa"/>
            <w:shd w:val="clear" w:color="auto" w:fill="auto"/>
            <w:vAlign w:val="center"/>
          </w:tcPr>
          <w:p w:rsidR="00C223F5" w:rsidRDefault="005860D5">
            <w:pPr>
              <w:jc w:val="center"/>
              <w:rPr>
                <w:rFonts w:eastAsia="等线"/>
                <w:szCs w:val="21"/>
              </w:rPr>
            </w:pPr>
            <w:r>
              <w:rPr>
                <w:rFonts w:eastAsia="等线"/>
                <w:szCs w:val="21"/>
              </w:rPr>
              <w:t>41.26</w:t>
            </w:r>
          </w:p>
        </w:tc>
        <w:tc>
          <w:tcPr>
            <w:tcW w:w="1800" w:type="dxa"/>
            <w:shd w:val="clear" w:color="auto" w:fill="auto"/>
            <w:vAlign w:val="center"/>
          </w:tcPr>
          <w:p w:rsidR="00C223F5" w:rsidRDefault="005860D5">
            <w:pPr>
              <w:jc w:val="center"/>
              <w:rPr>
                <w:rFonts w:eastAsia="等线"/>
                <w:szCs w:val="21"/>
              </w:rPr>
            </w:pPr>
            <w:r>
              <w:rPr>
                <w:rFonts w:eastAsia="等线"/>
                <w:szCs w:val="21"/>
              </w:rPr>
              <w:t>27.25</w:t>
            </w:r>
          </w:p>
        </w:tc>
        <w:tc>
          <w:tcPr>
            <w:tcW w:w="1440" w:type="dxa"/>
            <w:shd w:val="clear" w:color="auto" w:fill="auto"/>
            <w:vAlign w:val="bottom"/>
          </w:tcPr>
          <w:p w:rsidR="00C223F5" w:rsidRDefault="005860D5">
            <w:pPr>
              <w:jc w:val="center"/>
              <w:rPr>
                <w:rFonts w:eastAsia="等线"/>
                <w:szCs w:val="21"/>
              </w:rPr>
            </w:pPr>
            <w:r>
              <w:rPr>
                <w:rFonts w:eastAsia="等线"/>
                <w:szCs w:val="21"/>
              </w:rPr>
              <w:t>40.59</w:t>
            </w:r>
          </w:p>
        </w:tc>
      </w:tr>
      <w:tr w:rsidR="00C223F5">
        <w:trPr>
          <w:trHeight w:val="270"/>
          <w:jc w:val="center"/>
        </w:trPr>
        <w:tc>
          <w:tcPr>
            <w:tcW w:w="2142" w:type="dxa"/>
            <w:shd w:val="clear" w:color="auto" w:fill="auto"/>
            <w:vAlign w:val="center"/>
          </w:tcPr>
          <w:p w:rsidR="00C223F5" w:rsidRDefault="005860D5">
            <w:pPr>
              <w:adjustRightInd w:val="0"/>
              <w:snapToGrid w:val="0"/>
              <w:rPr>
                <w:rFonts w:ascii="宋体" w:hAnsi="宋体" w:cs="宋体"/>
                <w:sz w:val="22"/>
                <w:szCs w:val="22"/>
              </w:rPr>
            </w:pPr>
            <w:r>
              <w:rPr>
                <w:rFonts w:hint="eastAsia"/>
                <w:sz w:val="22"/>
                <w:szCs w:val="22"/>
              </w:rPr>
              <w:t>中度水力侵蚀</w:t>
            </w:r>
          </w:p>
        </w:tc>
        <w:tc>
          <w:tcPr>
            <w:tcW w:w="1473" w:type="dxa"/>
            <w:shd w:val="clear" w:color="auto" w:fill="auto"/>
            <w:vAlign w:val="center"/>
          </w:tcPr>
          <w:p w:rsidR="00C223F5" w:rsidRDefault="005860D5">
            <w:pPr>
              <w:jc w:val="center"/>
              <w:rPr>
                <w:rFonts w:eastAsia="等线"/>
                <w:szCs w:val="21"/>
              </w:rPr>
            </w:pPr>
            <w:r>
              <w:rPr>
                <w:rFonts w:eastAsia="等线"/>
                <w:szCs w:val="21"/>
              </w:rPr>
              <w:t>43.56</w:t>
            </w:r>
          </w:p>
        </w:tc>
        <w:tc>
          <w:tcPr>
            <w:tcW w:w="1620" w:type="dxa"/>
            <w:shd w:val="clear" w:color="auto" w:fill="auto"/>
            <w:vAlign w:val="center"/>
          </w:tcPr>
          <w:p w:rsidR="00C223F5" w:rsidRDefault="005860D5">
            <w:pPr>
              <w:jc w:val="center"/>
              <w:rPr>
                <w:rFonts w:eastAsia="等线"/>
                <w:szCs w:val="21"/>
              </w:rPr>
            </w:pPr>
            <w:r>
              <w:rPr>
                <w:rFonts w:eastAsia="等线"/>
                <w:szCs w:val="21"/>
              </w:rPr>
              <w:t>49.65</w:t>
            </w:r>
          </w:p>
        </w:tc>
        <w:tc>
          <w:tcPr>
            <w:tcW w:w="1800" w:type="dxa"/>
            <w:shd w:val="clear" w:color="auto" w:fill="auto"/>
            <w:vAlign w:val="center"/>
          </w:tcPr>
          <w:p w:rsidR="00C223F5" w:rsidRDefault="005860D5">
            <w:pPr>
              <w:jc w:val="center"/>
              <w:rPr>
                <w:rFonts w:eastAsia="等线"/>
                <w:szCs w:val="21"/>
              </w:rPr>
            </w:pPr>
            <w:r>
              <w:rPr>
                <w:rFonts w:eastAsia="等线"/>
                <w:szCs w:val="21"/>
              </w:rPr>
              <w:t>33.</w:t>
            </w:r>
            <w:r>
              <w:rPr>
                <w:rFonts w:eastAsia="等线" w:hint="eastAsia"/>
                <w:szCs w:val="21"/>
              </w:rPr>
              <w:t>48</w:t>
            </w:r>
          </w:p>
        </w:tc>
        <w:tc>
          <w:tcPr>
            <w:tcW w:w="1440" w:type="dxa"/>
            <w:shd w:val="clear" w:color="auto" w:fill="auto"/>
            <w:vAlign w:val="bottom"/>
          </w:tcPr>
          <w:p w:rsidR="00C223F5" w:rsidRDefault="005860D5">
            <w:pPr>
              <w:jc w:val="center"/>
              <w:rPr>
                <w:rFonts w:eastAsia="等线"/>
                <w:szCs w:val="21"/>
              </w:rPr>
            </w:pPr>
            <w:r>
              <w:rPr>
                <w:rFonts w:eastAsia="等线"/>
                <w:szCs w:val="21"/>
              </w:rPr>
              <w:t>49.9</w:t>
            </w:r>
          </w:p>
        </w:tc>
      </w:tr>
      <w:tr w:rsidR="00C223F5">
        <w:trPr>
          <w:trHeight w:val="270"/>
          <w:jc w:val="center"/>
        </w:trPr>
        <w:tc>
          <w:tcPr>
            <w:tcW w:w="2142" w:type="dxa"/>
            <w:shd w:val="clear" w:color="auto" w:fill="auto"/>
            <w:vAlign w:val="center"/>
          </w:tcPr>
          <w:p w:rsidR="00C223F5" w:rsidRDefault="005860D5">
            <w:pPr>
              <w:adjustRightInd w:val="0"/>
              <w:snapToGrid w:val="0"/>
              <w:rPr>
                <w:sz w:val="22"/>
                <w:szCs w:val="22"/>
              </w:rPr>
            </w:pPr>
            <w:r>
              <w:rPr>
                <w:rFonts w:hint="eastAsia"/>
                <w:sz w:val="22"/>
                <w:szCs w:val="22"/>
              </w:rPr>
              <w:t>重度水力侵蚀</w:t>
            </w:r>
          </w:p>
        </w:tc>
        <w:tc>
          <w:tcPr>
            <w:tcW w:w="1473" w:type="dxa"/>
            <w:shd w:val="clear" w:color="auto" w:fill="auto"/>
            <w:vAlign w:val="center"/>
          </w:tcPr>
          <w:p w:rsidR="00C223F5" w:rsidRDefault="005860D5">
            <w:pPr>
              <w:jc w:val="center"/>
              <w:rPr>
                <w:rFonts w:eastAsia="等线"/>
                <w:szCs w:val="21"/>
              </w:rPr>
            </w:pPr>
            <w:r>
              <w:rPr>
                <w:rFonts w:eastAsia="等线"/>
                <w:szCs w:val="21"/>
              </w:rPr>
              <w:t>1.55</w:t>
            </w:r>
          </w:p>
        </w:tc>
        <w:tc>
          <w:tcPr>
            <w:tcW w:w="1620" w:type="dxa"/>
            <w:shd w:val="clear" w:color="auto" w:fill="auto"/>
            <w:vAlign w:val="center"/>
          </w:tcPr>
          <w:p w:rsidR="00C223F5" w:rsidRDefault="005860D5">
            <w:pPr>
              <w:jc w:val="center"/>
              <w:rPr>
                <w:rFonts w:eastAsia="等线"/>
                <w:szCs w:val="21"/>
              </w:rPr>
            </w:pPr>
            <w:r>
              <w:rPr>
                <w:rFonts w:eastAsia="等线"/>
                <w:szCs w:val="21"/>
              </w:rPr>
              <w:t>1.76</w:t>
            </w:r>
          </w:p>
        </w:tc>
        <w:tc>
          <w:tcPr>
            <w:tcW w:w="1800" w:type="dxa"/>
            <w:shd w:val="clear" w:color="auto" w:fill="auto"/>
            <w:vAlign w:val="center"/>
          </w:tcPr>
          <w:p w:rsidR="00C223F5" w:rsidRDefault="005860D5">
            <w:pPr>
              <w:jc w:val="center"/>
              <w:rPr>
                <w:rFonts w:eastAsia="等线"/>
                <w:szCs w:val="21"/>
              </w:rPr>
            </w:pPr>
            <w:r>
              <w:rPr>
                <w:rFonts w:eastAsia="等线"/>
                <w:szCs w:val="21"/>
              </w:rPr>
              <w:t>1.01</w:t>
            </w:r>
          </w:p>
        </w:tc>
        <w:tc>
          <w:tcPr>
            <w:tcW w:w="1440" w:type="dxa"/>
            <w:shd w:val="clear" w:color="auto" w:fill="auto"/>
            <w:vAlign w:val="bottom"/>
          </w:tcPr>
          <w:p w:rsidR="00C223F5" w:rsidRDefault="005860D5">
            <w:pPr>
              <w:jc w:val="center"/>
              <w:rPr>
                <w:rFonts w:eastAsia="等线"/>
                <w:szCs w:val="21"/>
              </w:rPr>
            </w:pPr>
            <w:r>
              <w:rPr>
                <w:rFonts w:eastAsia="等线"/>
                <w:szCs w:val="21"/>
              </w:rPr>
              <w:t>1.5</w:t>
            </w:r>
          </w:p>
        </w:tc>
      </w:tr>
      <w:tr w:rsidR="00C223F5">
        <w:trPr>
          <w:trHeight w:val="270"/>
          <w:jc w:val="center"/>
        </w:trPr>
        <w:tc>
          <w:tcPr>
            <w:tcW w:w="2142" w:type="dxa"/>
            <w:shd w:val="clear" w:color="auto" w:fill="auto"/>
            <w:vAlign w:val="center"/>
          </w:tcPr>
          <w:p w:rsidR="00C223F5" w:rsidRDefault="005860D5">
            <w:pPr>
              <w:adjustRightInd w:val="0"/>
              <w:snapToGrid w:val="0"/>
              <w:rPr>
                <w:rFonts w:ascii="宋体" w:hAnsi="宋体" w:cs="宋体"/>
                <w:sz w:val="22"/>
                <w:szCs w:val="22"/>
              </w:rPr>
            </w:pPr>
            <w:r>
              <w:rPr>
                <w:rFonts w:hint="eastAsia"/>
                <w:sz w:val="22"/>
                <w:szCs w:val="22"/>
              </w:rPr>
              <w:t>建设用地</w:t>
            </w:r>
          </w:p>
        </w:tc>
        <w:tc>
          <w:tcPr>
            <w:tcW w:w="1473" w:type="dxa"/>
            <w:shd w:val="clear" w:color="auto" w:fill="auto"/>
            <w:vAlign w:val="center"/>
          </w:tcPr>
          <w:p w:rsidR="00C223F5" w:rsidRDefault="005860D5">
            <w:pPr>
              <w:jc w:val="center"/>
              <w:rPr>
                <w:rFonts w:eastAsia="等线"/>
                <w:szCs w:val="21"/>
              </w:rPr>
            </w:pPr>
            <w:r>
              <w:rPr>
                <w:rFonts w:eastAsia="等线"/>
                <w:szCs w:val="21"/>
              </w:rPr>
              <w:t>1.11</w:t>
            </w:r>
          </w:p>
        </w:tc>
        <w:tc>
          <w:tcPr>
            <w:tcW w:w="1620" w:type="dxa"/>
            <w:shd w:val="clear" w:color="auto" w:fill="auto"/>
            <w:vAlign w:val="center"/>
          </w:tcPr>
          <w:p w:rsidR="00C223F5" w:rsidRDefault="005860D5">
            <w:pPr>
              <w:jc w:val="center"/>
              <w:rPr>
                <w:rFonts w:eastAsia="等线"/>
                <w:szCs w:val="21"/>
              </w:rPr>
            </w:pPr>
            <w:r>
              <w:rPr>
                <w:rFonts w:eastAsia="等线"/>
                <w:szCs w:val="21"/>
              </w:rPr>
              <w:t>1.26</w:t>
            </w:r>
          </w:p>
        </w:tc>
        <w:tc>
          <w:tcPr>
            <w:tcW w:w="1800" w:type="dxa"/>
            <w:shd w:val="clear" w:color="auto" w:fill="auto"/>
            <w:vAlign w:val="center"/>
          </w:tcPr>
          <w:p w:rsidR="00C223F5" w:rsidRDefault="005860D5">
            <w:pPr>
              <w:jc w:val="center"/>
              <w:rPr>
                <w:rFonts w:eastAsia="等线"/>
                <w:szCs w:val="21"/>
              </w:rPr>
            </w:pPr>
            <w:r>
              <w:rPr>
                <w:rFonts w:eastAsia="等线"/>
                <w:szCs w:val="21"/>
              </w:rPr>
              <w:t>0.80</w:t>
            </w:r>
          </w:p>
        </w:tc>
        <w:tc>
          <w:tcPr>
            <w:tcW w:w="1440" w:type="dxa"/>
            <w:shd w:val="clear" w:color="auto" w:fill="auto"/>
            <w:vAlign w:val="bottom"/>
          </w:tcPr>
          <w:p w:rsidR="00C223F5" w:rsidRDefault="005860D5">
            <w:pPr>
              <w:jc w:val="center"/>
              <w:rPr>
                <w:rFonts w:eastAsia="等线"/>
                <w:szCs w:val="21"/>
              </w:rPr>
            </w:pPr>
            <w:r>
              <w:rPr>
                <w:rFonts w:eastAsia="等线"/>
                <w:szCs w:val="21"/>
              </w:rPr>
              <w:t>1.19</w:t>
            </w:r>
          </w:p>
        </w:tc>
      </w:tr>
      <w:tr w:rsidR="00C223F5">
        <w:trPr>
          <w:trHeight w:val="270"/>
          <w:jc w:val="center"/>
        </w:trPr>
        <w:tc>
          <w:tcPr>
            <w:tcW w:w="2142" w:type="dxa"/>
            <w:shd w:val="clear" w:color="auto" w:fill="auto"/>
            <w:vAlign w:val="center"/>
          </w:tcPr>
          <w:p w:rsidR="00C223F5" w:rsidRDefault="005860D5">
            <w:pPr>
              <w:adjustRightInd w:val="0"/>
              <w:snapToGrid w:val="0"/>
              <w:rPr>
                <w:rFonts w:ascii="宋体" w:hAnsi="宋体" w:cs="宋体"/>
                <w:sz w:val="22"/>
                <w:szCs w:val="22"/>
              </w:rPr>
            </w:pPr>
            <w:r>
              <w:rPr>
                <w:rFonts w:hint="eastAsia"/>
                <w:sz w:val="22"/>
                <w:szCs w:val="22"/>
              </w:rPr>
              <w:t>水体</w:t>
            </w:r>
          </w:p>
        </w:tc>
        <w:tc>
          <w:tcPr>
            <w:tcW w:w="1473" w:type="dxa"/>
            <w:shd w:val="clear" w:color="auto" w:fill="auto"/>
            <w:vAlign w:val="center"/>
          </w:tcPr>
          <w:p w:rsidR="00C223F5" w:rsidRDefault="005860D5">
            <w:pPr>
              <w:jc w:val="center"/>
              <w:rPr>
                <w:rFonts w:eastAsia="等线"/>
                <w:szCs w:val="21"/>
              </w:rPr>
            </w:pPr>
            <w:r>
              <w:rPr>
                <w:rFonts w:eastAsia="等线"/>
                <w:szCs w:val="21"/>
              </w:rPr>
              <w:t>1.28</w:t>
            </w:r>
          </w:p>
        </w:tc>
        <w:tc>
          <w:tcPr>
            <w:tcW w:w="1620" w:type="dxa"/>
            <w:shd w:val="clear" w:color="auto" w:fill="auto"/>
            <w:vAlign w:val="center"/>
          </w:tcPr>
          <w:p w:rsidR="00C223F5" w:rsidRDefault="005860D5">
            <w:pPr>
              <w:jc w:val="center"/>
              <w:rPr>
                <w:rFonts w:eastAsia="等线"/>
                <w:szCs w:val="21"/>
              </w:rPr>
            </w:pPr>
            <w:r>
              <w:rPr>
                <w:rFonts w:eastAsia="等线"/>
                <w:szCs w:val="21"/>
              </w:rPr>
              <w:t>1.46</w:t>
            </w:r>
          </w:p>
        </w:tc>
        <w:tc>
          <w:tcPr>
            <w:tcW w:w="1800" w:type="dxa"/>
            <w:shd w:val="clear" w:color="auto" w:fill="auto"/>
            <w:vAlign w:val="center"/>
          </w:tcPr>
          <w:p w:rsidR="00C223F5" w:rsidRDefault="005860D5">
            <w:pPr>
              <w:jc w:val="center"/>
              <w:rPr>
                <w:rFonts w:eastAsia="等线"/>
                <w:szCs w:val="21"/>
              </w:rPr>
            </w:pPr>
            <w:r>
              <w:rPr>
                <w:rFonts w:eastAsia="等线"/>
                <w:szCs w:val="21"/>
              </w:rPr>
              <w:t>1.06</w:t>
            </w:r>
          </w:p>
        </w:tc>
        <w:tc>
          <w:tcPr>
            <w:tcW w:w="1440" w:type="dxa"/>
            <w:shd w:val="clear" w:color="auto" w:fill="auto"/>
            <w:vAlign w:val="bottom"/>
          </w:tcPr>
          <w:p w:rsidR="00C223F5" w:rsidRDefault="005860D5">
            <w:pPr>
              <w:jc w:val="center"/>
              <w:rPr>
                <w:rFonts w:eastAsia="等线"/>
                <w:szCs w:val="21"/>
              </w:rPr>
            </w:pPr>
            <w:r>
              <w:rPr>
                <w:rFonts w:eastAsia="等线"/>
                <w:szCs w:val="21"/>
              </w:rPr>
              <w:t>1.58</w:t>
            </w:r>
          </w:p>
        </w:tc>
      </w:tr>
      <w:tr w:rsidR="00C223F5">
        <w:trPr>
          <w:trHeight w:val="270"/>
          <w:jc w:val="center"/>
        </w:trPr>
        <w:tc>
          <w:tcPr>
            <w:tcW w:w="2142" w:type="dxa"/>
            <w:shd w:val="clear" w:color="auto" w:fill="auto"/>
            <w:vAlign w:val="center"/>
          </w:tcPr>
          <w:p w:rsidR="00C223F5" w:rsidRDefault="005860D5">
            <w:pPr>
              <w:adjustRightInd w:val="0"/>
              <w:snapToGrid w:val="0"/>
              <w:rPr>
                <w:rFonts w:ascii="宋体" w:hAnsi="宋体" w:cs="宋体"/>
                <w:sz w:val="22"/>
                <w:szCs w:val="22"/>
              </w:rPr>
            </w:pPr>
            <w:r>
              <w:rPr>
                <w:rFonts w:hint="eastAsia"/>
                <w:sz w:val="22"/>
                <w:szCs w:val="22"/>
              </w:rPr>
              <w:t>总计</w:t>
            </w:r>
          </w:p>
        </w:tc>
        <w:tc>
          <w:tcPr>
            <w:tcW w:w="1473" w:type="dxa"/>
            <w:shd w:val="clear" w:color="auto" w:fill="auto"/>
            <w:vAlign w:val="center"/>
          </w:tcPr>
          <w:p w:rsidR="00C223F5" w:rsidRDefault="000F32AE">
            <w:pPr>
              <w:jc w:val="center"/>
              <w:rPr>
                <w:rFonts w:eastAsia="等线"/>
                <w:szCs w:val="21"/>
              </w:rPr>
            </w:pPr>
            <w:r>
              <w:rPr>
                <w:rFonts w:eastAsia="等线"/>
                <w:szCs w:val="21"/>
              </w:rPr>
              <w:fldChar w:fldCharType="begin"/>
            </w:r>
            <w:r w:rsidR="005860D5">
              <w:rPr>
                <w:rFonts w:eastAsia="等线"/>
                <w:szCs w:val="21"/>
              </w:rPr>
              <w:instrText xml:space="preserve"> =SUM(ABOVE) </w:instrText>
            </w:r>
            <w:r>
              <w:rPr>
                <w:rFonts w:eastAsia="等线"/>
                <w:szCs w:val="21"/>
              </w:rPr>
              <w:fldChar w:fldCharType="separate"/>
            </w:r>
            <w:r w:rsidR="005860D5">
              <w:rPr>
                <w:rFonts w:eastAsia="等线"/>
                <w:szCs w:val="21"/>
              </w:rPr>
              <w:t>87.72</w:t>
            </w:r>
            <w:r>
              <w:rPr>
                <w:rFonts w:eastAsia="等线"/>
                <w:szCs w:val="21"/>
              </w:rPr>
              <w:fldChar w:fldCharType="end"/>
            </w:r>
          </w:p>
        </w:tc>
        <w:tc>
          <w:tcPr>
            <w:tcW w:w="1620" w:type="dxa"/>
            <w:shd w:val="clear" w:color="auto" w:fill="auto"/>
            <w:vAlign w:val="center"/>
          </w:tcPr>
          <w:p w:rsidR="00C223F5" w:rsidRDefault="005860D5">
            <w:pPr>
              <w:jc w:val="center"/>
              <w:rPr>
                <w:rFonts w:eastAsia="等线"/>
                <w:szCs w:val="21"/>
              </w:rPr>
            </w:pPr>
            <w:r>
              <w:rPr>
                <w:rFonts w:eastAsia="等线"/>
                <w:szCs w:val="21"/>
              </w:rPr>
              <w:t>100</w:t>
            </w:r>
          </w:p>
        </w:tc>
        <w:tc>
          <w:tcPr>
            <w:tcW w:w="1800" w:type="dxa"/>
            <w:shd w:val="clear" w:color="auto" w:fill="auto"/>
            <w:vAlign w:val="center"/>
          </w:tcPr>
          <w:p w:rsidR="00C223F5" w:rsidRDefault="000F32AE">
            <w:pPr>
              <w:jc w:val="center"/>
              <w:rPr>
                <w:rFonts w:eastAsia="等线"/>
                <w:szCs w:val="21"/>
              </w:rPr>
            </w:pPr>
            <w:r>
              <w:rPr>
                <w:rFonts w:eastAsia="等线"/>
                <w:szCs w:val="21"/>
              </w:rPr>
              <w:fldChar w:fldCharType="begin"/>
            </w:r>
            <w:r w:rsidR="005860D5">
              <w:rPr>
                <w:rFonts w:eastAsia="等线"/>
                <w:szCs w:val="21"/>
              </w:rPr>
              <w:instrText xml:space="preserve"> =SUM(ABOVE) </w:instrText>
            </w:r>
            <w:r>
              <w:rPr>
                <w:rFonts w:eastAsia="等线"/>
                <w:szCs w:val="21"/>
              </w:rPr>
              <w:fldChar w:fldCharType="separate"/>
            </w:r>
            <w:r w:rsidR="005860D5">
              <w:rPr>
                <w:rFonts w:eastAsia="等线"/>
                <w:szCs w:val="21"/>
              </w:rPr>
              <w:t>67.12</w:t>
            </w:r>
            <w:r>
              <w:rPr>
                <w:rFonts w:eastAsia="等线"/>
                <w:szCs w:val="21"/>
              </w:rPr>
              <w:fldChar w:fldCharType="end"/>
            </w:r>
          </w:p>
        </w:tc>
        <w:tc>
          <w:tcPr>
            <w:tcW w:w="1440" w:type="dxa"/>
            <w:shd w:val="clear" w:color="auto" w:fill="auto"/>
            <w:vAlign w:val="bottom"/>
          </w:tcPr>
          <w:p w:rsidR="00C223F5" w:rsidRDefault="005860D5">
            <w:pPr>
              <w:jc w:val="center"/>
              <w:rPr>
                <w:rFonts w:eastAsia="等线"/>
                <w:szCs w:val="21"/>
              </w:rPr>
            </w:pPr>
            <w:r>
              <w:rPr>
                <w:rFonts w:eastAsia="等线"/>
                <w:szCs w:val="21"/>
              </w:rPr>
              <w:t>100</w:t>
            </w:r>
          </w:p>
        </w:tc>
      </w:tr>
    </w:tbl>
    <w:p w:rsidR="00C223F5" w:rsidRDefault="005860D5">
      <w:pPr>
        <w:spacing w:line="360" w:lineRule="auto"/>
        <w:ind w:firstLineChars="200" w:firstLine="480"/>
        <w:rPr>
          <w:bCs/>
          <w:sz w:val="24"/>
        </w:rPr>
      </w:pPr>
      <w:r>
        <w:rPr>
          <w:rFonts w:hint="eastAsia"/>
          <w:bCs/>
          <w:sz w:val="24"/>
        </w:rPr>
        <w:t>评估区内土壤侵蚀以水力侵蚀为主；评价区内微度水力侵蚀主要分布于区内中部河流阶地或沟壑底部，呈长条带状，面积</w:t>
      </w:r>
      <w:r>
        <w:rPr>
          <w:rFonts w:hint="eastAsia"/>
          <w:bCs/>
          <w:sz w:val="24"/>
        </w:rPr>
        <w:t>4.04 km</w:t>
      </w:r>
      <w:r>
        <w:rPr>
          <w:rFonts w:hint="eastAsia"/>
          <w:bCs/>
          <w:sz w:val="24"/>
          <w:vertAlign w:val="superscript"/>
        </w:rPr>
        <w:t>2</w:t>
      </w:r>
      <w:r>
        <w:rPr>
          <w:rFonts w:hint="eastAsia"/>
          <w:bCs/>
          <w:sz w:val="24"/>
        </w:rPr>
        <w:t>，占评价区面积的</w:t>
      </w:r>
      <w:r>
        <w:rPr>
          <w:rFonts w:hint="eastAsia"/>
          <w:bCs/>
          <w:sz w:val="24"/>
        </w:rPr>
        <w:t>4.61%</w:t>
      </w:r>
      <w:r>
        <w:rPr>
          <w:rFonts w:hint="eastAsia"/>
          <w:bCs/>
          <w:sz w:val="24"/>
        </w:rPr>
        <w:t>，轻度水力侵蚀主要分布在区内黄土梁峁大部，面积为</w:t>
      </w:r>
      <w:r>
        <w:rPr>
          <w:rFonts w:hint="eastAsia"/>
          <w:bCs/>
          <w:sz w:val="24"/>
        </w:rPr>
        <w:t>36.18km</w:t>
      </w:r>
      <w:r>
        <w:rPr>
          <w:rFonts w:hint="eastAsia"/>
          <w:bCs/>
          <w:sz w:val="24"/>
          <w:vertAlign w:val="superscript"/>
        </w:rPr>
        <w:t>2</w:t>
      </w:r>
      <w:r>
        <w:rPr>
          <w:rFonts w:hint="eastAsia"/>
          <w:bCs/>
          <w:sz w:val="24"/>
        </w:rPr>
        <w:t>，占评价区面积的</w:t>
      </w:r>
      <w:r>
        <w:rPr>
          <w:rFonts w:hint="eastAsia"/>
          <w:bCs/>
          <w:sz w:val="24"/>
        </w:rPr>
        <w:t>41.26%</w:t>
      </w:r>
      <w:r>
        <w:rPr>
          <w:rFonts w:hint="eastAsia"/>
          <w:bCs/>
          <w:sz w:val="24"/>
        </w:rPr>
        <w:t>；中度水力侵蚀主要分布在区内黄土沟壑两侧，受水力侵蚀，地表较为破碎，面积为</w:t>
      </w:r>
      <w:r>
        <w:rPr>
          <w:rFonts w:hint="eastAsia"/>
          <w:bCs/>
          <w:sz w:val="24"/>
        </w:rPr>
        <w:t>43.56km</w:t>
      </w:r>
      <w:r>
        <w:rPr>
          <w:rFonts w:hint="eastAsia"/>
          <w:bCs/>
          <w:sz w:val="24"/>
          <w:vertAlign w:val="superscript"/>
        </w:rPr>
        <w:t>2</w:t>
      </w:r>
      <w:r>
        <w:rPr>
          <w:rFonts w:hint="eastAsia"/>
          <w:bCs/>
          <w:sz w:val="24"/>
        </w:rPr>
        <w:t>，占评价区面积的</w:t>
      </w:r>
      <w:r>
        <w:rPr>
          <w:rFonts w:hint="eastAsia"/>
          <w:bCs/>
          <w:sz w:val="24"/>
        </w:rPr>
        <w:t>49.65%</w:t>
      </w:r>
      <w:r>
        <w:rPr>
          <w:rFonts w:hint="eastAsia"/>
          <w:bCs/>
          <w:sz w:val="24"/>
        </w:rPr>
        <w:t>；重度水力侵蚀一般分布于黄土沟壑两侧陡峭地段，受侵蚀后地表破碎严重，面积为</w:t>
      </w:r>
      <w:r>
        <w:rPr>
          <w:rFonts w:hint="eastAsia"/>
          <w:bCs/>
          <w:sz w:val="24"/>
        </w:rPr>
        <w:t>1.55km</w:t>
      </w:r>
      <w:r>
        <w:rPr>
          <w:rFonts w:hint="eastAsia"/>
          <w:bCs/>
          <w:sz w:val="24"/>
          <w:vertAlign w:val="superscript"/>
        </w:rPr>
        <w:t>2</w:t>
      </w:r>
      <w:r>
        <w:rPr>
          <w:rFonts w:hint="eastAsia"/>
          <w:bCs/>
          <w:sz w:val="24"/>
        </w:rPr>
        <w:t>，占评价区面积的</w:t>
      </w:r>
      <w:r>
        <w:rPr>
          <w:rFonts w:hint="eastAsia"/>
          <w:bCs/>
          <w:sz w:val="24"/>
        </w:rPr>
        <w:t>1.76%</w:t>
      </w:r>
      <w:r>
        <w:rPr>
          <w:rFonts w:hint="eastAsia"/>
          <w:bCs/>
          <w:sz w:val="24"/>
        </w:rPr>
        <w:t>；建设用地面积为</w:t>
      </w:r>
      <w:r>
        <w:rPr>
          <w:rFonts w:hint="eastAsia"/>
          <w:bCs/>
          <w:sz w:val="24"/>
        </w:rPr>
        <w:t>1.11km</w:t>
      </w:r>
      <w:r>
        <w:rPr>
          <w:rFonts w:hint="eastAsia"/>
          <w:bCs/>
          <w:sz w:val="24"/>
          <w:vertAlign w:val="superscript"/>
        </w:rPr>
        <w:t>2</w:t>
      </w:r>
      <w:r>
        <w:rPr>
          <w:rFonts w:hint="eastAsia"/>
          <w:bCs/>
          <w:sz w:val="24"/>
        </w:rPr>
        <w:t>，占评价区面积的</w:t>
      </w:r>
      <w:r>
        <w:rPr>
          <w:rFonts w:hint="eastAsia"/>
          <w:bCs/>
          <w:sz w:val="24"/>
        </w:rPr>
        <w:t>1.26%</w:t>
      </w:r>
      <w:r>
        <w:rPr>
          <w:rFonts w:hint="eastAsia"/>
          <w:bCs/>
          <w:sz w:val="24"/>
        </w:rPr>
        <w:t>；水体面积为</w:t>
      </w:r>
      <w:r>
        <w:rPr>
          <w:rFonts w:hint="eastAsia"/>
          <w:bCs/>
          <w:sz w:val="24"/>
        </w:rPr>
        <w:t>1.28km</w:t>
      </w:r>
      <w:r>
        <w:rPr>
          <w:rFonts w:hint="eastAsia"/>
          <w:bCs/>
          <w:sz w:val="24"/>
          <w:vertAlign w:val="superscript"/>
        </w:rPr>
        <w:t>2</w:t>
      </w:r>
      <w:r>
        <w:rPr>
          <w:rFonts w:hint="eastAsia"/>
          <w:bCs/>
          <w:sz w:val="24"/>
        </w:rPr>
        <w:t>，占评价区面积的</w:t>
      </w:r>
      <w:r>
        <w:rPr>
          <w:rFonts w:hint="eastAsia"/>
          <w:bCs/>
          <w:sz w:val="24"/>
        </w:rPr>
        <w:t>1.46%</w:t>
      </w:r>
      <w:r>
        <w:rPr>
          <w:rFonts w:hint="eastAsia"/>
          <w:bCs/>
          <w:sz w:val="24"/>
        </w:rPr>
        <w:t>。</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280" w:name="_Toc533604309"/>
      <w:bookmarkStart w:id="281" w:name="_Toc533604729"/>
      <w:bookmarkStart w:id="282" w:name="_Toc16785274"/>
      <w:r>
        <w:rPr>
          <w:rFonts w:eastAsia="宋体" w:hint="eastAsia"/>
          <w:b/>
          <w:bCs w:val="0"/>
          <w:sz w:val="28"/>
          <w:szCs w:val="28"/>
        </w:rPr>
        <w:t>3</w:t>
      </w:r>
      <w:r>
        <w:rPr>
          <w:rFonts w:eastAsia="宋体"/>
          <w:b/>
          <w:bCs w:val="0"/>
          <w:sz w:val="28"/>
          <w:szCs w:val="28"/>
        </w:rPr>
        <w:t>.1.</w:t>
      </w:r>
      <w:r>
        <w:rPr>
          <w:rFonts w:eastAsia="宋体" w:hint="eastAsia"/>
          <w:b/>
          <w:bCs w:val="0"/>
          <w:sz w:val="28"/>
          <w:szCs w:val="28"/>
        </w:rPr>
        <w:t>5</w:t>
      </w:r>
      <w:r>
        <w:rPr>
          <w:rFonts w:eastAsia="宋体" w:hint="eastAsia"/>
          <w:b/>
          <w:bCs w:val="0"/>
          <w:sz w:val="28"/>
          <w:szCs w:val="28"/>
        </w:rPr>
        <w:t>地层与构造</w:t>
      </w:r>
      <w:bookmarkEnd w:id="280"/>
      <w:bookmarkEnd w:id="281"/>
      <w:bookmarkEnd w:id="282"/>
    </w:p>
    <w:p w:rsidR="00C223F5" w:rsidRDefault="005860D5" w:rsidP="004835BD">
      <w:pPr>
        <w:pStyle w:val="4"/>
        <w:spacing w:before="0" w:after="0" w:line="360" w:lineRule="auto"/>
        <w:ind w:firstLineChars="100" w:firstLine="240"/>
        <w:rPr>
          <w:szCs w:val="24"/>
        </w:rPr>
      </w:pPr>
      <w:bookmarkStart w:id="283" w:name="_Toc525047808"/>
      <w:bookmarkStart w:id="284" w:name="_Toc516737962"/>
      <w:bookmarkStart w:id="285" w:name="_Toc518042147"/>
      <w:bookmarkStart w:id="286" w:name="_Toc518464612"/>
      <w:bookmarkStart w:id="287" w:name="_Toc516059222"/>
      <w:bookmarkStart w:id="288" w:name="_Toc518158292"/>
      <w:r>
        <w:rPr>
          <w:rFonts w:hint="eastAsia"/>
          <w:szCs w:val="24"/>
        </w:rPr>
        <w:t>3.1.5.1</w:t>
      </w:r>
      <w:r>
        <w:rPr>
          <w:szCs w:val="24"/>
        </w:rPr>
        <w:t>地层</w:t>
      </w:r>
      <w:bookmarkEnd w:id="283"/>
      <w:bookmarkEnd w:id="284"/>
      <w:bookmarkEnd w:id="285"/>
      <w:bookmarkEnd w:id="286"/>
      <w:bookmarkEnd w:id="287"/>
      <w:bookmarkEnd w:id="288"/>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井田内地表多被第四系松散地层覆盖，沿河及较大沟谷出露有基岩。地层由老至新依次为：三叠系上统永坪组（</w:t>
      </w:r>
      <w:r>
        <w:rPr>
          <w:rFonts w:ascii="Times New Roman" w:eastAsiaTheme="minorEastAsia" w:hAnsi="Times New Roman"/>
        </w:rPr>
        <w:t>T</w:t>
      </w:r>
      <w:r>
        <w:rPr>
          <w:rFonts w:ascii="Times New Roman" w:eastAsiaTheme="minorEastAsia" w:hAnsi="Times New Roman"/>
          <w:vertAlign w:val="subscript"/>
        </w:rPr>
        <w:t>3</w:t>
      </w:r>
      <w:r>
        <w:rPr>
          <w:rFonts w:ascii="Times New Roman" w:eastAsiaTheme="minorEastAsia" w:hAnsi="Times New Roman"/>
        </w:rPr>
        <w:t>y</w:t>
      </w:r>
      <w:r>
        <w:rPr>
          <w:rFonts w:ascii="Times New Roman" w:eastAsiaTheme="minorEastAsia" w:hAnsiTheme="minorEastAsia"/>
        </w:rPr>
        <w:t>）、瓦窑堡组（</w:t>
      </w:r>
      <w:r>
        <w:rPr>
          <w:rFonts w:ascii="Times New Roman" w:eastAsiaTheme="minorEastAsia" w:hAnsi="Times New Roman"/>
        </w:rPr>
        <w:t>T</w:t>
      </w:r>
      <w:r>
        <w:rPr>
          <w:rFonts w:ascii="Times New Roman" w:eastAsiaTheme="minorEastAsia" w:hAnsi="Times New Roman"/>
          <w:vertAlign w:val="subscript"/>
        </w:rPr>
        <w:t>3</w:t>
      </w:r>
      <w:r>
        <w:rPr>
          <w:rFonts w:ascii="Times New Roman" w:eastAsiaTheme="minorEastAsia" w:hAnsi="Times New Roman"/>
        </w:rPr>
        <w:t>w</w:t>
      </w:r>
      <w:r>
        <w:rPr>
          <w:rFonts w:ascii="Times New Roman" w:eastAsiaTheme="minorEastAsia" w:hAnsiTheme="minorEastAsia"/>
        </w:rPr>
        <w:t>），侏罗系下统富县组（</w:t>
      </w:r>
      <w:r>
        <w:rPr>
          <w:rFonts w:ascii="Times New Roman" w:eastAsiaTheme="minorEastAsia" w:hAnsi="Times New Roman"/>
        </w:rPr>
        <w:t>J</w:t>
      </w:r>
      <w:r>
        <w:rPr>
          <w:rFonts w:ascii="Times New Roman" w:eastAsiaTheme="minorEastAsia" w:hAnsi="Times New Roman"/>
          <w:vertAlign w:val="subscript"/>
        </w:rPr>
        <w:t>1</w:t>
      </w:r>
      <w:r>
        <w:rPr>
          <w:rFonts w:ascii="Times New Roman" w:eastAsiaTheme="minorEastAsia" w:hAnsi="Times New Roman"/>
        </w:rPr>
        <w:t>f</w:t>
      </w:r>
      <w:r>
        <w:rPr>
          <w:rFonts w:ascii="Times New Roman" w:eastAsiaTheme="minorEastAsia" w:hAnsiTheme="minorEastAsia"/>
        </w:rPr>
        <w:t>），中统延安组（</w:t>
      </w:r>
      <w:r>
        <w:rPr>
          <w:rFonts w:ascii="Times New Roman" w:eastAsiaTheme="minorEastAsia" w:hAnsi="Times New Roman"/>
        </w:rPr>
        <w:t>J</w:t>
      </w:r>
      <w:r>
        <w:rPr>
          <w:rFonts w:ascii="Times New Roman" w:eastAsiaTheme="minorEastAsia" w:hAnsi="Times New Roman"/>
          <w:vertAlign w:val="subscript"/>
        </w:rPr>
        <w:t>2</w:t>
      </w:r>
      <w:r>
        <w:rPr>
          <w:rFonts w:ascii="Times New Roman" w:eastAsiaTheme="minorEastAsia" w:hAnsi="Times New Roman"/>
        </w:rPr>
        <w:t>y</w:t>
      </w:r>
      <w:r>
        <w:rPr>
          <w:rFonts w:ascii="Times New Roman" w:eastAsiaTheme="minorEastAsia" w:hAnsiTheme="minorEastAsia"/>
        </w:rPr>
        <w:t>），新近系上新统保德组（</w:t>
      </w:r>
      <w:r>
        <w:rPr>
          <w:rFonts w:ascii="Times New Roman" w:eastAsiaTheme="minorEastAsia" w:hAnsi="Times New Roman"/>
        </w:rPr>
        <w:t>N</w:t>
      </w:r>
      <w:r>
        <w:rPr>
          <w:rFonts w:ascii="Times New Roman" w:eastAsiaTheme="minorEastAsia" w:hAnsi="Times New Roman"/>
          <w:vertAlign w:val="subscript"/>
        </w:rPr>
        <w:t>2</w:t>
      </w:r>
      <w:r>
        <w:rPr>
          <w:rFonts w:ascii="Times New Roman" w:eastAsiaTheme="minorEastAsia" w:hAnsi="Times New Roman"/>
        </w:rPr>
        <w:t>b</w:t>
      </w:r>
      <w:r>
        <w:rPr>
          <w:rFonts w:ascii="Times New Roman" w:eastAsiaTheme="minorEastAsia" w:hAnsiTheme="minorEastAsia"/>
        </w:rPr>
        <w:t>），第四系上更新统马兰组（</w:t>
      </w:r>
      <w:r>
        <w:rPr>
          <w:rFonts w:ascii="Times New Roman" w:eastAsiaTheme="minorEastAsia" w:hAnsi="Times New Roman"/>
        </w:rPr>
        <w:t>Q</w:t>
      </w:r>
      <w:r>
        <w:rPr>
          <w:rFonts w:ascii="Times New Roman" w:eastAsiaTheme="minorEastAsia" w:hAnsi="Times New Roman"/>
          <w:vertAlign w:val="subscript"/>
        </w:rPr>
        <w:t>3</w:t>
      </w:r>
      <w:r>
        <w:rPr>
          <w:rFonts w:ascii="Times New Roman" w:eastAsiaTheme="minorEastAsia" w:hAnsi="Times New Roman"/>
        </w:rPr>
        <w:t>m</w:t>
      </w:r>
      <w:r>
        <w:rPr>
          <w:rFonts w:ascii="Times New Roman" w:eastAsiaTheme="minorEastAsia" w:hAnsiTheme="minorEastAsia"/>
        </w:rPr>
        <w:t>）及全新统冲、洪积层（</w:t>
      </w:r>
      <w:r>
        <w:rPr>
          <w:rFonts w:ascii="Times New Roman" w:eastAsiaTheme="minorEastAsia" w:hAnsi="Times New Roman"/>
        </w:rPr>
        <w:t>Q</w:t>
      </w:r>
      <w:r>
        <w:rPr>
          <w:rFonts w:ascii="Times New Roman" w:eastAsiaTheme="minorEastAsia" w:hAnsi="Times New Roman"/>
          <w:vertAlign w:val="subscript"/>
        </w:rPr>
        <w:t>4</w:t>
      </w:r>
      <w:r>
        <w:rPr>
          <w:rFonts w:ascii="Times New Roman" w:eastAsiaTheme="minorEastAsia" w:hAnsi="Times New Roman"/>
          <w:vertAlign w:val="superscript"/>
        </w:rPr>
        <w:t>al+pl</w:t>
      </w:r>
      <w:r>
        <w:rPr>
          <w:rFonts w:ascii="Times New Roman" w:eastAsiaTheme="minorEastAsia" w:hAnsiTheme="minorEastAsia"/>
        </w:rPr>
        <w:t>）。现由老至新分述如下：</w:t>
      </w:r>
    </w:p>
    <w:p w:rsidR="00C223F5" w:rsidRDefault="005860D5" w:rsidP="00C006A7">
      <w:pPr>
        <w:pStyle w:val="afff4"/>
        <w:adjustRightInd w:val="0"/>
        <w:snapToGrid w:val="0"/>
        <w:spacing w:before="0" w:beforeAutospacing="0" w:after="0" w:afterAutospacing="0" w:line="360" w:lineRule="auto"/>
        <w:ind w:firstLineChars="200" w:firstLine="482"/>
        <w:rPr>
          <w:rFonts w:ascii="Times New Roman" w:eastAsiaTheme="minorEastAsia" w:hAnsi="Times New Roman"/>
        </w:rPr>
      </w:pPr>
      <w:r>
        <w:rPr>
          <w:rFonts w:ascii="Times New Roman" w:eastAsiaTheme="minorEastAsia" w:hAnsiTheme="minorEastAsia"/>
          <w:b/>
        </w:rPr>
        <w:t>（</w:t>
      </w:r>
      <w:r>
        <w:rPr>
          <w:rFonts w:ascii="Times New Roman" w:eastAsiaTheme="minorEastAsia" w:hAnsi="Times New Roman" w:hint="eastAsia"/>
          <w:b/>
        </w:rPr>
        <w:t>一</w:t>
      </w:r>
      <w:r>
        <w:rPr>
          <w:rFonts w:ascii="Times New Roman" w:eastAsiaTheme="minorEastAsia" w:hAnsiTheme="minorEastAsia"/>
          <w:b/>
        </w:rPr>
        <w:t>）</w:t>
      </w:r>
      <w:bookmarkStart w:id="289" w:name="_Toc518464613"/>
      <w:bookmarkStart w:id="290" w:name="_Toc525047809"/>
      <w:r>
        <w:rPr>
          <w:rFonts w:ascii="Times New Roman" w:eastAsiaTheme="minorEastAsia" w:hAnsiTheme="minorEastAsia"/>
          <w:b/>
        </w:rPr>
        <w:t>三叠系上统永坪组（</w:t>
      </w:r>
      <w:r>
        <w:rPr>
          <w:rFonts w:ascii="Times New Roman" w:eastAsiaTheme="minorEastAsia" w:hAnsi="Times New Roman"/>
          <w:b/>
        </w:rPr>
        <w:t>T</w:t>
      </w:r>
      <w:r>
        <w:rPr>
          <w:rFonts w:ascii="Times New Roman" w:eastAsiaTheme="minorEastAsia" w:hAnsi="Times New Roman"/>
          <w:b/>
          <w:vertAlign w:val="subscript"/>
        </w:rPr>
        <w:t>3</w:t>
      </w:r>
      <w:r>
        <w:rPr>
          <w:rFonts w:ascii="Times New Roman" w:eastAsiaTheme="minorEastAsia" w:hAnsi="Times New Roman"/>
          <w:b/>
        </w:rPr>
        <w:t>y</w:t>
      </w:r>
      <w:r>
        <w:rPr>
          <w:rFonts w:ascii="Times New Roman" w:eastAsiaTheme="minorEastAsia" w:hAnsiTheme="minorEastAsia"/>
          <w:b/>
        </w:rPr>
        <w:t>）</w:t>
      </w:r>
      <w:bookmarkEnd w:id="289"/>
      <w:bookmarkEnd w:id="290"/>
    </w:p>
    <w:p w:rsidR="00C223F5" w:rsidRDefault="005860D5" w:rsidP="002D1BB7">
      <w:pPr>
        <w:spacing w:line="360" w:lineRule="auto"/>
        <w:ind w:firstLineChars="200" w:firstLine="480"/>
        <w:rPr>
          <w:rFonts w:eastAsiaTheme="minorEastAsia"/>
          <w:sz w:val="24"/>
        </w:rPr>
      </w:pPr>
      <w:r>
        <w:rPr>
          <w:rFonts w:eastAsiaTheme="minorEastAsia" w:hAnsiTheme="minorEastAsia"/>
          <w:sz w:val="24"/>
        </w:rPr>
        <w:t>为三叠系瓦窑堡组含煤地层的沉积基底，区内未出露，仅在普查阶段施工的钻孔中揭露，厚度大于</w:t>
      </w:r>
      <w:r>
        <w:rPr>
          <w:rFonts w:eastAsiaTheme="minorEastAsia"/>
          <w:sz w:val="24"/>
        </w:rPr>
        <w:t>90.65m</w:t>
      </w:r>
      <w:r>
        <w:rPr>
          <w:rFonts w:eastAsiaTheme="minorEastAsia" w:hAnsiTheme="minorEastAsia"/>
          <w:sz w:val="24"/>
        </w:rPr>
        <w:t>，钻孔也未穿透。岩性以灰绿、灰白色细、中粒长石石英砂岩为主，夹粉砂岩及泥岩薄层。</w:t>
      </w:r>
    </w:p>
    <w:p w:rsidR="00C223F5" w:rsidRDefault="005860D5" w:rsidP="00C006A7">
      <w:pPr>
        <w:pStyle w:val="afff4"/>
        <w:adjustRightInd w:val="0"/>
        <w:snapToGrid w:val="0"/>
        <w:spacing w:before="0" w:beforeAutospacing="0" w:after="0" w:afterAutospacing="0" w:line="360" w:lineRule="auto"/>
        <w:ind w:firstLineChars="200" w:firstLine="482"/>
        <w:rPr>
          <w:rFonts w:ascii="Times New Roman" w:eastAsiaTheme="minorEastAsia" w:hAnsi="Times New Roman"/>
          <w:b/>
        </w:rPr>
      </w:pPr>
      <w:r>
        <w:rPr>
          <w:rFonts w:ascii="Times New Roman" w:eastAsiaTheme="minorEastAsia" w:hAnsiTheme="minorEastAsia"/>
          <w:b/>
        </w:rPr>
        <w:t>（</w:t>
      </w:r>
      <w:r>
        <w:rPr>
          <w:rFonts w:ascii="Times New Roman" w:eastAsiaTheme="minorEastAsia" w:hAnsi="Times New Roman" w:hint="eastAsia"/>
          <w:b/>
        </w:rPr>
        <w:t>二</w:t>
      </w:r>
      <w:r>
        <w:rPr>
          <w:rFonts w:ascii="Times New Roman" w:eastAsiaTheme="minorEastAsia" w:hAnsiTheme="minorEastAsia"/>
          <w:b/>
        </w:rPr>
        <w:t>）三叠系上统瓦窑堡组</w:t>
      </w:r>
      <w:r>
        <w:rPr>
          <w:rFonts w:ascii="Times New Roman" w:eastAsiaTheme="minorEastAsia" w:hAnsi="Times New Roman"/>
          <w:b/>
        </w:rPr>
        <w:t>(T</w:t>
      </w:r>
      <w:r>
        <w:rPr>
          <w:rFonts w:ascii="Times New Roman" w:eastAsiaTheme="minorEastAsia" w:hAnsi="Times New Roman"/>
          <w:b/>
          <w:vertAlign w:val="subscript"/>
        </w:rPr>
        <w:t>3</w:t>
      </w:r>
      <w:r>
        <w:rPr>
          <w:rFonts w:ascii="Times New Roman" w:eastAsiaTheme="minorEastAsia" w:hAnsi="Times New Roman"/>
          <w:b/>
        </w:rPr>
        <w:t>w)</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该组地层为井田内含煤地层</w:t>
      </w:r>
      <w:r>
        <w:rPr>
          <w:rFonts w:ascii="Times New Roman" w:eastAsiaTheme="minorEastAsia" w:hAnsiTheme="minorEastAsia"/>
          <w:szCs w:val="28"/>
        </w:rPr>
        <w:t>。</w:t>
      </w:r>
      <w:r>
        <w:rPr>
          <w:rFonts w:ascii="Times New Roman" w:eastAsiaTheme="minorEastAsia" w:hAnsiTheme="minorEastAsia"/>
        </w:rPr>
        <w:t>瓦窑堡组全区分布，在煤矿内沿沟谷出露，连续沉积于永坪组之上。据以往各阶段钻孔揭露的厚度</w:t>
      </w:r>
      <w:r>
        <w:rPr>
          <w:rFonts w:ascii="Times New Roman" w:eastAsiaTheme="minorEastAsia" w:hAnsi="Times New Roman"/>
        </w:rPr>
        <w:t>163.73</w:t>
      </w:r>
      <w:r>
        <w:rPr>
          <w:rFonts w:ascii="Times New Roman" w:eastAsiaTheme="minorEastAsia" w:hAnsiTheme="minorEastAsia"/>
        </w:rPr>
        <w:t>～</w:t>
      </w:r>
      <w:r>
        <w:rPr>
          <w:rFonts w:ascii="Times New Roman" w:eastAsiaTheme="minorEastAsia" w:hAnsi="Times New Roman"/>
        </w:rPr>
        <w:t>436.30m</w:t>
      </w:r>
      <w:r>
        <w:rPr>
          <w:rFonts w:ascii="Times New Roman" w:eastAsiaTheme="minorEastAsia" w:hAnsiTheme="minorEastAsia"/>
        </w:rPr>
        <w:t>，平均厚度</w:t>
      </w:r>
      <w:r>
        <w:rPr>
          <w:rFonts w:ascii="Times New Roman" w:eastAsiaTheme="minorEastAsia" w:hAnsi="Times New Roman"/>
        </w:rPr>
        <w:t>346.45m</w:t>
      </w:r>
      <w:r>
        <w:rPr>
          <w:rFonts w:ascii="Times New Roman" w:eastAsiaTheme="minorEastAsia" w:hAnsiTheme="minorEastAsia"/>
        </w:rPr>
        <w:t>。总体变化趋势由东南向西北逐渐增厚。该组地层为一套河湖相沉积，其</w:t>
      </w:r>
      <w:r>
        <w:rPr>
          <w:rFonts w:ascii="Times New Roman" w:eastAsiaTheme="minorEastAsia" w:hAnsiTheme="minorEastAsia"/>
        </w:rPr>
        <w:lastRenderedPageBreak/>
        <w:t>岩性主要为灰色至灰白色粗、中、细粒长石石英砂岩，深灰色粉砂岩、泥岩、油页岩及煤层等。</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szCs w:val="28"/>
        </w:rPr>
      </w:pPr>
      <w:r>
        <w:rPr>
          <w:rFonts w:ascii="Times New Roman" w:eastAsiaTheme="minorEastAsia" w:hAnsiTheme="minorEastAsia"/>
          <w:szCs w:val="28"/>
        </w:rPr>
        <w:t>根据沉积旋回、岩煤组合特征及物性特征，将该组地层</w:t>
      </w:r>
      <w:r>
        <w:rPr>
          <w:rFonts w:ascii="Times New Roman" w:eastAsiaTheme="minorEastAsia" w:hAnsiTheme="minorEastAsia"/>
        </w:rPr>
        <w:t>划分为五个中级旋回，</w:t>
      </w:r>
      <w:r>
        <w:rPr>
          <w:rFonts w:ascii="Times New Roman" w:eastAsiaTheme="minorEastAsia" w:hAnsiTheme="minorEastAsia"/>
          <w:szCs w:val="28"/>
        </w:rPr>
        <w:t>自下而上依次编为一</w:t>
      </w:r>
      <w:r>
        <w:rPr>
          <w:rFonts w:ascii="Times New Roman" w:eastAsiaTheme="minorEastAsia" w:hAnsiTheme="minorEastAsia"/>
        </w:rPr>
        <w:t>～</w:t>
      </w:r>
      <w:r>
        <w:rPr>
          <w:rFonts w:ascii="Times New Roman" w:eastAsiaTheme="minorEastAsia" w:hAnsiTheme="minorEastAsia"/>
          <w:szCs w:val="28"/>
        </w:rPr>
        <w:t>五段，每段各含一个煤组，自下而上编为</w:t>
      </w:r>
      <w:r>
        <w:rPr>
          <w:rFonts w:ascii="Times New Roman" w:eastAsiaTheme="minorEastAsia" w:hAnsi="Times New Roman"/>
          <w:szCs w:val="28"/>
        </w:rPr>
        <w:t>1</w:t>
      </w:r>
      <w:r>
        <w:rPr>
          <w:rFonts w:ascii="Times New Roman" w:eastAsiaTheme="minorEastAsia" w:hAnsiTheme="minorEastAsia"/>
          <w:szCs w:val="28"/>
        </w:rPr>
        <w:t>～</w:t>
      </w:r>
      <w:r>
        <w:rPr>
          <w:rFonts w:ascii="Times New Roman" w:eastAsiaTheme="minorEastAsia" w:hAnsi="Times New Roman"/>
          <w:szCs w:val="28"/>
        </w:rPr>
        <w:t>5</w:t>
      </w:r>
      <w:r>
        <w:rPr>
          <w:rFonts w:ascii="Times New Roman" w:eastAsiaTheme="minorEastAsia" w:hAnsiTheme="minorEastAsia"/>
          <w:szCs w:val="28"/>
        </w:rPr>
        <w:t>号煤组。</w:t>
      </w:r>
      <w:r>
        <w:rPr>
          <w:rFonts w:ascii="Times New Roman" w:eastAsiaTheme="minorEastAsia" w:hAnsiTheme="minorEastAsia"/>
        </w:rPr>
        <w:t>可采煤层赋存于旋回顶部，为瓦窑堡组各段的分界界面，亦是各岩段主要聚煤作用之处。</w:t>
      </w:r>
      <w:r>
        <w:rPr>
          <w:rFonts w:ascii="Times New Roman" w:eastAsiaTheme="minorEastAsia" w:hAnsiTheme="minorEastAsia"/>
          <w:szCs w:val="28"/>
        </w:rPr>
        <w:t>现将各段特征自下而上分述如下：</w:t>
      </w:r>
    </w:p>
    <w:p w:rsidR="00C223F5" w:rsidRDefault="005860D5" w:rsidP="002D1BB7">
      <w:pPr>
        <w:pStyle w:val="afff4"/>
        <w:adjustRightInd w:val="0"/>
        <w:snapToGrid w:val="0"/>
        <w:spacing w:before="0" w:beforeAutospacing="0" w:after="0" w:afterAutospacing="0" w:line="360" w:lineRule="auto"/>
        <w:ind w:firstLineChars="200" w:firstLine="482"/>
        <w:rPr>
          <w:rFonts w:ascii="Times New Roman" w:eastAsiaTheme="minorEastAsia" w:hAnsi="Times New Roman"/>
        </w:rPr>
      </w:pPr>
      <w:r>
        <w:rPr>
          <w:rFonts w:ascii="Times New Roman" w:eastAsiaTheme="minorEastAsia" w:hAnsi="Times New Roman" w:hint="eastAsia"/>
          <w:b/>
        </w:rPr>
        <w:t>（</w:t>
      </w:r>
      <w:r>
        <w:rPr>
          <w:rFonts w:ascii="Times New Roman" w:eastAsiaTheme="minorEastAsia" w:hAnsi="Times New Roman" w:hint="eastAsia"/>
          <w:b/>
        </w:rPr>
        <w:t>1</w:t>
      </w:r>
      <w:r>
        <w:rPr>
          <w:rFonts w:ascii="Times New Roman" w:eastAsiaTheme="minorEastAsia" w:hAnsi="Times New Roman" w:hint="eastAsia"/>
          <w:b/>
        </w:rPr>
        <w:t>）</w:t>
      </w:r>
      <w:r>
        <w:rPr>
          <w:rFonts w:ascii="Times New Roman" w:eastAsiaTheme="minorEastAsia" w:hAnsiTheme="minorEastAsia"/>
          <w:b/>
        </w:rPr>
        <w:t>瓦窑堡组第一段（</w:t>
      </w:r>
      <w:r>
        <w:rPr>
          <w:rFonts w:ascii="Times New Roman" w:eastAsiaTheme="minorEastAsia" w:hAnsi="Times New Roman"/>
          <w:b/>
        </w:rPr>
        <w:t>T</w:t>
      </w:r>
      <w:r>
        <w:rPr>
          <w:rFonts w:ascii="Times New Roman" w:eastAsiaTheme="minorEastAsia" w:hAnsi="Times New Roman"/>
          <w:b/>
          <w:vertAlign w:val="subscript"/>
        </w:rPr>
        <w:t>3</w:t>
      </w:r>
      <w:r>
        <w:rPr>
          <w:rFonts w:ascii="Times New Roman" w:eastAsiaTheme="minorEastAsia" w:hAnsi="Times New Roman"/>
          <w:b/>
        </w:rPr>
        <w:t>w</w:t>
      </w:r>
      <w:r>
        <w:rPr>
          <w:rFonts w:ascii="Times New Roman" w:eastAsiaTheme="minorEastAsia" w:hAnsi="Times New Roman"/>
          <w:b/>
          <w:vertAlign w:val="superscript"/>
        </w:rPr>
        <w:t>1</w:t>
      </w:r>
      <w:r>
        <w:rPr>
          <w:rFonts w:ascii="Times New Roman" w:eastAsiaTheme="minorEastAsia" w:hAnsiTheme="minorEastAsia"/>
          <w:b/>
        </w:rPr>
        <w:t>）</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szCs w:val="28"/>
        </w:rPr>
        <w:t>该段自瓦窑堡组底部至</w:t>
      </w:r>
      <w:r>
        <w:rPr>
          <w:rFonts w:ascii="Times New Roman" w:eastAsiaTheme="minorEastAsia" w:hAnsi="Times New Roman"/>
        </w:rPr>
        <w:t>1</w:t>
      </w:r>
      <w:r>
        <w:rPr>
          <w:rFonts w:ascii="Times New Roman" w:eastAsiaTheme="minorEastAsia" w:hAnsi="Times New Roman"/>
          <w:vertAlign w:val="superscript"/>
        </w:rPr>
        <w:t>-1</w:t>
      </w:r>
      <w:r>
        <w:rPr>
          <w:rFonts w:ascii="Times New Roman" w:eastAsiaTheme="minorEastAsia" w:hAnsiTheme="minorEastAsia"/>
          <w:szCs w:val="28"/>
        </w:rPr>
        <w:t>煤层顶面。全区分布，含</w:t>
      </w:r>
      <w:r>
        <w:rPr>
          <w:rFonts w:ascii="Times New Roman" w:eastAsiaTheme="minorEastAsia" w:hAnsi="Times New Roman"/>
          <w:szCs w:val="28"/>
        </w:rPr>
        <w:t>1</w:t>
      </w:r>
      <w:r>
        <w:rPr>
          <w:rFonts w:ascii="Times New Roman" w:eastAsiaTheme="minorEastAsia" w:hAnsiTheme="minorEastAsia"/>
          <w:szCs w:val="28"/>
        </w:rPr>
        <w:t>号煤组，据以往钻孔揭露，</w:t>
      </w:r>
      <w:r>
        <w:rPr>
          <w:rFonts w:ascii="Times New Roman" w:eastAsiaTheme="minorEastAsia" w:hAnsiTheme="minorEastAsia"/>
        </w:rPr>
        <w:t>地层厚度</w:t>
      </w:r>
      <w:r>
        <w:rPr>
          <w:rFonts w:ascii="Times New Roman" w:eastAsiaTheme="minorEastAsia" w:hAnsi="Times New Roman"/>
        </w:rPr>
        <w:t>7.37</w:t>
      </w:r>
      <w:r>
        <w:rPr>
          <w:rFonts w:ascii="Times New Roman" w:eastAsiaTheme="minorEastAsia" w:hAnsiTheme="minorEastAsia"/>
        </w:rPr>
        <w:t>～</w:t>
      </w:r>
      <w:r>
        <w:rPr>
          <w:rFonts w:ascii="Times New Roman" w:eastAsiaTheme="minorEastAsia" w:hAnsi="Times New Roman"/>
        </w:rPr>
        <w:t>75.34m</w:t>
      </w:r>
      <w:r>
        <w:rPr>
          <w:rFonts w:ascii="Times New Roman" w:eastAsiaTheme="minorEastAsia" w:hAnsiTheme="minorEastAsia"/>
        </w:rPr>
        <w:t>，平均厚</w:t>
      </w:r>
      <w:r>
        <w:rPr>
          <w:rFonts w:ascii="Times New Roman" w:eastAsiaTheme="minorEastAsia" w:hAnsi="Times New Roman"/>
        </w:rPr>
        <w:t>27.90m</w:t>
      </w:r>
      <w:r>
        <w:rPr>
          <w:rFonts w:ascii="Times New Roman" w:eastAsiaTheme="minorEastAsia" w:hAnsiTheme="minorEastAsia"/>
        </w:rPr>
        <w:t>。厚度变化总体趋势表现为西北部薄，向东部、南部逐渐增厚。</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该段由</w:t>
      </w:r>
      <w:r>
        <w:rPr>
          <w:rFonts w:ascii="Times New Roman" w:eastAsiaTheme="minorEastAsia" w:hAnsi="Times New Roman"/>
        </w:rPr>
        <w:t>1</w:t>
      </w:r>
      <w:r>
        <w:rPr>
          <w:rFonts w:ascii="Times New Roman" w:eastAsiaTheme="minorEastAsia" w:hAnsiTheme="minorEastAsia"/>
        </w:rPr>
        <w:t>～</w:t>
      </w:r>
      <w:r>
        <w:rPr>
          <w:rFonts w:ascii="Times New Roman" w:eastAsiaTheme="minorEastAsia" w:hAnsi="Times New Roman"/>
        </w:rPr>
        <w:t>2</w:t>
      </w:r>
      <w:r>
        <w:rPr>
          <w:rFonts w:ascii="Times New Roman" w:eastAsiaTheme="minorEastAsia" w:hAnsiTheme="minorEastAsia"/>
        </w:rPr>
        <w:t>个次级沉积旋回组成，每个次级旋回下部为灰白色厚层状细粒长石石英砂岩，上部为深灰色泥岩与灰白色粉砂岩互层，以粉砂岩为主。泥岩发育水平层理，含植物叶片化石；粉砂岩发育波状层理及交错层理。本段顶部含</w:t>
      </w:r>
      <w:r>
        <w:rPr>
          <w:rFonts w:ascii="Times New Roman" w:eastAsiaTheme="minorEastAsia" w:hAnsi="Times New Roman"/>
        </w:rPr>
        <w:t>1</w:t>
      </w:r>
      <w:r>
        <w:rPr>
          <w:rFonts w:ascii="Times New Roman" w:eastAsiaTheme="minorEastAsia" w:hAnsi="Times New Roman"/>
          <w:vertAlign w:val="superscript"/>
        </w:rPr>
        <w:t>-1</w:t>
      </w:r>
      <w:r>
        <w:rPr>
          <w:rFonts w:ascii="Times New Roman" w:eastAsiaTheme="minorEastAsia" w:hAnsiTheme="minorEastAsia"/>
        </w:rPr>
        <w:t>号煤层</w:t>
      </w:r>
      <w:r>
        <w:rPr>
          <w:rFonts w:ascii="Times New Roman" w:eastAsiaTheme="minorEastAsia" w:hAnsi="Times New Roman" w:hint="eastAsia"/>
        </w:rPr>
        <w:t>，</w:t>
      </w:r>
      <w:r>
        <w:rPr>
          <w:rFonts w:ascii="Times New Roman" w:eastAsiaTheme="minorEastAsia" w:hAnsiTheme="minorEastAsia"/>
        </w:rPr>
        <w:t>属不可采煤层。</w:t>
      </w:r>
    </w:p>
    <w:p w:rsidR="00C223F5" w:rsidRDefault="005860D5" w:rsidP="002D1BB7">
      <w:pPr>
        <w:pStyle w:val="afff4"/>
        <w:adjustRightInd w:val="0"/>
        <w:snapToGrid w:val="0"/>
        <w:spacing w:before="0" w:beforeAutospacing="0" w:after="0" w:afterAutospacing="0" w:line="360" w:lineRule="auto"/>
        <w:ind w:firstLineChars="200" w:firstLine="482"/>
        <w:rPr>
          <w:rFonts w:ascii="Times New Roman" w:eastAsiaTheme="minorEastAsia" w:hAnsi="Times New Roman"/>
          <w:b/>
        </w:rPr>
      </w:pPr>
      <w:r>
        <w:rPr>
          <w:rFonts w:ascii="Times New Roman" w:eastAsiaTheme="minorEastAsia" w:hAnsi="Times New Roman" w:hint="eastAsia"/>
          <w:b/>
        </w:rPr>
        <w:t>（</w:t>
      </w:r>
      <w:r>
        <w:rPr>
          <w:rFonts w:ascii="Times New Roman" w:eastAsiaTheme="minorEastAsia" w:hAnsi="Times New Roman" w:hint="eastAsia"/>
          <w:b/>
        </w:rPr>
        <w:t>2</w:t>
      </w:r>
      <w:r>
        <w:rPr>
          <w:rFonts w:ascii="Times New Roman" w:eastAsiaTheme="minorEastAsia" w:hAnsi="Times New Roman" w:hint="eastAsia"/>
          <w:b/>
        </w:rPr>
        <w:t>）</w:t>
      </w:r>
      <w:r>
        <w:rPr>
          <w:rFonts w:ascii="Times New Roman" w:eastAsiaTheme="minorEastAsia" w:hAnsiTheme="minorEastAsia"/>
          <w:b/>
        </w:rPr>
        <w:t>瓦窑堡组第二段（</w:t>
      </w:r>
      <w:r>
        <w:rPr>
          <w:rFonts w:ascii="Times New Roman" w:eastAsiaTheme="minorEastAsia" w:hAnsi="Times New Roman"/>
          <w:b/>
        </w:rPr>
        <w:t>T</w:t>
      </w:r>
      <w:r>
        <w:rPr>
          <w:rFonts w:ascii="Times New Roman" w:eastAsiaTheme="minorEastAsia" w:hAnsi="Times New Roman"/>
          <w:b/>
          <w:vertAlign w:val="subscript"/>
        </w:rPr>
        <w:t>3</w:t>
      </w:r>
      <w:r>
        <w:rPr>
          <w:rFonts w:ascii="Times New Roman" w:eastAsiaTheme="minorEastAsia" w:hAnsi="Times New Roman"/>
          <w:b/>
        </w:rPr>
        <w:t>w</w:t>
      </w:r>
      <w:r>
        <w:rPr>
          <w:rFonts w:ascii="Times New Roman" w:eastAsiaTheme="minorEastAsia" w:hAnsi="Times New Roman"/>
          <w:b/>
          <w:vertAlign w:val="superscript"/>
        </w:rPr>
        <w:t>2</w:t>
      </w:r>
      <w:r>
        <w:rPr>
          <w:rFonts w:ascii="Times New Roman" w:eastAsiaTheme="minorEastAsia" w:hAnsiTheme="minorEastAsia"/>
          <w:b/>
        </w:rPr>
        <w:t>）</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该段自</w:t>
      </w:r>
      <w:r>
        <w:rPr>
          <w:rFonts w:ascii="Times New Roman" w:eastAsiaTheme="minorEastAsia" w:hAnsi="Times New Roman"/>
        </w:rPr>
        <w:t>1</w:t>
      </w:r>
      <w:r>
        <w:rPr>
          <w:rFonts w:ascii="Times New Roman" w:eastAsiaTheme="minorEastAsia" w:hAnsi="Times New Roman"/>
          <w:vertAlign w:val="superscript"/>
        </w:rPr>
        <w:t>-1</w:t>
      </w:r>
      <w:r>
        <w:rPr>
          <w:rFonts w:ascii="Times New Roman" w:eastAsiaTheme="minorEastAsia" w:hAnsiTheme="minorEastAsia"/>
        </w:rPr>
        <w:t>煤层顶面至</w:t>
      </w:r>
      <w:r>
        <w:rPr>
          <w:rFonts w:ascii="Times New Roman" w:eastAsiaTheme="minorEastAsia" w:hAnsi="Times New Roman"/>
        </w:rPr>
        <w:t>2</w:t>
      </w:r>
      <w:r>
        <w:rPr>
          <w:rFonts w:ascii="Times New Roman" w:eastAsiaTheme="minorEastAsia" w:hAnsi="Times New Roman"/>
          <w:vertAlign w:val="superscript"/>
        </w:rPr>
        <w:t>-1</w:t>
      </w:r>
      <w:r>
        <w:rPr>
          <w:rFonts w:ascii="Times New Roman" w:eastAsiaTheme="minorEastAsia" w:hAnsiTheme="minorEastAsia"/>
        </w:rPr>
        <w:t>煤层顶面。全区分布，含</w:t>
      </w:r>
      <w:r>
        <w:rPr>
          <w:rFonts w:ascii="Times New Roman" w:eastAsiaTheme="minorEastAsia" w:hAnsi="Times New Roman"/>
        </w:rPr>
        <w:t>2</w:t>
      </w:r>
      <w:r>
        <w:rPr>
          <w:rFonts w:ascii="Times New Roman" w:eastAsiaTheme="minorEastAsia" w:hAnsiTheme="minorEastAsia"/>
        </w:rPr>
        <w:t>号煤组，地层厚度</w:t>
      </w:r>
      <w:r>
        <w:rPr>
          <w:rFonts w:ascii="Times New Roman" w:eastAsiaTheme="minorEastAsia" w:hAnsi="Times New Roman"/>
        </w:rPr>
        <w:t>15.32</w:t>
      </w:r>
      <w:r>
        <w:rPr>
          <w:rFonts w:ascii="Times New Roman" w:eastAsiaTheme="minorEastAsia" w:hAnsiTheme="minorEastAsia"/>
        </w:rPr>
        <w:t>～</w:t>
      </w:r>
      <w:r>
        <w:rPr>
          <w:rFonts w:ascii="Times New Roman" w:eastAsiaTheme="minorEastAsia" w:hAnsi="Times New Roman"/>
        </w:rPr>
        <w:t>49.59m</w:t>
      </w:r>
      <w:r>
        <w:rPr>
          <w:rFonts w:ascii="Times New Roman" w:eastAsiaTheme="minorEastAsia" w:hAnsiTheme="minorEastAsia"/>
        </w:rPr>
        <w:t>，平均厚</w:t>
      </w:r>
      <w:r>
        <w:rPr>
          <w:rFonts w:ascii="Times New Roman" w:eastAsiaTheme="minorEastAsia" w:hAnsi="Times New Roman"/>
        </w:rPr>
        <w:t>33.70m</w:t>
      </w:r>
      <w:r>
        <w:rPr>
          <w:rFonts w:ascii="Times New Roman" w:eastAsiaTheme="minorEastAsia" w:hAnsiTheme="minorEastAsia"/>
        </w:rPr>
        <w:t>。厚度变化不大，总体趋势表现为西部较薄，向东部、南部逐渐增厚。</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该段由</w:t>
      </w:r>
      <w:r>
        <w:rPr>
          <w:rFonts w:ascii="Times New Roman" w:eastAsiaTheme="minorEastAsia" w:hAnsi="Times New Roman"/>
        </w:rPr>
        <w:t>1</w:t>
      </w:r>
      <w:r>
        <w:rPr>
          <w:rFonts w:ascii="Times New Roman" w:eastAsiaTheme="minorEastAsia" w:hAnsiTheme="minorEastAsia"/>
        </w:rPr>
        <w:t>～</w:t>
      </w:r>
      <w:r>
        <w:rPr>
          <w:rFonts w:ascii="Times New Roman" w:eastAsiaTheme="minorEastAsia" w:hAnsi="Times New Roman"/>
        </w:rPr>
        <w:t>2</w:t>
      </w:r>
      <w:r>
        <w:rPr>
          <w:rFonts w:ascii="Times New Roman" w:eastAsiaTheme="minorEastAsia" w:hAnsiTheme="minorEastAsia"/>
        </w:rPr>
        <w:t>个次级沉积旋回组成，第一沉积旋回主要为细至中粒长石石英砂岩；第二沉积旋回，主要为深灰色泥岩、灰白色粉砂质泥岩和粉砂岩互层，该旋回中上部含薄煤层或煤线（</w:t>
      </w:r>
      <w:r>
        <w:rPr>
          <w:rFonts w:ascii="Times New Roman" w:eastAsiaTheme="minorEastAsia" w:hAnsi="Times New Roman"/>
        </w:rPr>
        <w:t>2</w:t>
      </w:r>
      <w:r>
        <w:rPr>
          <w:rFonts w:ascii="Times New Roman" w:eastAsiaTheme="minorEastAsia" w:hAnsi="Times New Roman"/>
          <w:vertAlign w:val="superscript"/>
        </w:rPr>
        <w:t>-1</w:t>
      </w:r>
      <w:r>
        <w:rPr>
          <w:rFonts w:ascii="Times New Roman" w:eastAsiaTheme="minorEastAsia" w:hAnsiTheme="minorEastAsia"/>
        </w:rPr>
        <w:t>、</w:t>
      </w:r>
      <w:r>
        <w:rPr>
          <w:rFonts w:ascii="Times New Roman" w:eastAsiaTheme="minorEastAsia" w:hAnsi="Times New Roman"/>
        </w:rPr>
        <w:t>2</w:t>
      </w:r>
      <w:r>
        <w:rPr>
          <w:rFonts w:ascii="Times New Roman" w:eastAsiaTheme="minorEastAsia" w:hAnsi="Times New Roman"/>
          <w:vertAlign w:val="superscript"/>
        </w:rPr>
        <w:t>-2</w:t>
      </w:r>
      <w:r>
        <w:rPr>
          <w:rFonts w:ascii="Times New Roman" w:eastAsiaTheme="minorEastAsia" w:hAnsiTheme="minorEastAsia"/>
        </w:rPr>
        <w:t>号煤层）。泥岩发育水平层理，粉砂岩发育波状层理，细粒长石石英砂岩发育小型交错层理；泥岩中含植物叶片化石。</w:t>
      </w:r>
    </w:p>
    <w:p w:rsidR="00C223F5" w:rsidRDefault="005860D5" w:rsidP="002D1BB7">
      <w:pPr>
        <w:pStyle w:val="afff4"/>
        <w:adjustRightInd w:val="0"/>
        <w:snapToGrid w:val="0"/>
        <w:spacing w:before="0" w:beforeAutospacing="0" w:after="0" w:afterAutospacing="0" w:line="360" w:lineRule="auto"/>
        <w:ind w:firstLineChars="200" w:firstLine="482"/>
        <w:rPr>
          <w:rFonts w:ascii="Times New Roman" w:eastAsiaTheme="minorEastAsia" w:hAnsi="Times New Roman"/>
          <w:b/>
        </w:rPr>
      </w:pPr>
      <w:r>
        <w:rPr>
          <w:rFonts w:ascii="Times New Roman" w:eastAsiaTheme="minorEastAsia" w:hAnsi="Times New Roman" w:hint="eastAsia"/>
          <w:b/>
        </w:rPr>
        <w:t>（</w:t>
      </w:r>
      <w:r>
        <w:rPr>
          <w:rFonts w:ascii="Times New Roman" w:eastAsiaTheme="minorEastAsia" w:hAnsi="Times New Roman" w:hint="eastAsia"/>
          <w:b/>
        </w:rPr>
        <w:t>3</w:t>
      </w:r>
      <w:r>
        <w:rPr>
          <w:rFonts w:ascii="Times New Roman" w:eastAsiaTheme="minorEastAsia" w:hAnsi="Times New Roman" w:hint="eastAsia"/>
          <w:b/>
        </w:rPr>
        <w:t>）</w:t>
      </w:r>
      <w:r>
        <w:rPr>
          <w:rFonts w:ascii="Times New Roman" w:eastAsiaTheme="minorEastAsia" w:hAnsiTheme="minorEastAsia"/>
          <w:b/>
        </w:rPr>
        <w:t>瓦窑堡组第三段（</w:t>
      </w:r>
      <w:r>
        <w:rPr>
          <w:rFonts w:ascii="Times New Roman" w:eastAsiaTheme="minorEastAsia" w:hAnsi="Times New Roman"/>
          <w:b/>
        </w:rPr>
        <w:t>T</w:t>
      </w:r>
      <w:r>
        <w:rPr>
          <w:rFonts w:ascii="Times New Roman" w:eastAsiaTheme="minorEastAsia" w:hAnsi="Times New Roman"/>
          <w:b/>
          <w:vertAlign w:val="subscript"/>
        </w:rPr>
        <w:t>3</w:t>
      </w:r>
      <w:r>
        <w:rPr>
          <w:rFonts w:ascii="Times New Roman" w:eastAsiaTheme="minorEastAsia" w:hAnsi="Times New Roman"/>
          <w:b/>
        </w:rPr>
        <w:t>w</w:t>
      </w:r>
      <w:r>
        <w:rPr>
          <w:rFonts w:ascii="Times New Roman" w:eastAsiaTheme="minorEastAsia" w:hAnsi="Times New Roman"/>
          <w:b/>
          <w:vertAlign w:val="superscript"/>
        </w:rPr>
        <w:t>3</w:t>
      </w:r>
      <w:r>
        <w:rPr>
          <w:rFonts w:ascii="Times New Roman" w:eastAsiaTheme="minorEastAsia" w:hAnsiTheme="minorEastAsia"/>
          <w:b/>
        </w:rPr>
        <w:t>）</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该段自</w:t>
      </w:r>
      <w:r>
        <w:rPr>
          <w:rFonts w:ascii="Times New Roman" w:eastAsiaTheme="minorEastAsia" w:hAnsi="Times New Roman"/>
        </w:rPr>
        <w:t>2</w:t>
      </w:r>
      <w:r>
        <w:rPr>
          <w:rFonts w:ascii="Times New Roman" w:eastAsiaTheme="minorEastAsia" w:hAnsi="Times New Roman"/>
          <w:vertAlign w:val="superscript"/>
        </w:rPr>
        <w:t>-1</w:t>
      </w:r>
      <w:r>
        <w:rPr>
          <w:rFonts w:ascii="Times New Roman" w:eastAsiaTheme="minorEastAsia" w:hAnsiTheme="minorEastAsia"/>
        </w:rPr>
        <w:t>煤层顶面至</w:t>
      </w:r>
      <w:r>
        <w:rPr>
          <w:rFonts w:ascii="Times New Roman" w:eastAsiaTheme="minorEastAsia" w:hAnsi="Times New Roman"/>
        </w:rPr>
        <w:t>3</w:t>
      </w:r>
      <w:r>
        <w:rPr>
          <w:rFonts w:ascii="Times New Roman" w:eastAsiaTheme="minorEastAsia" w:hAnsi="Times New Roman"/>
          <w:vertAlign w:val="superscript"/>
        </w:rPr>
        <w:t>-1</w:t>
      </w:r>
      <w:r>
        <w:rPr>
          <w:rFonts w:ascii="Times New Roman" w:eastAsiaTheme="minorEastAsia" w:hAnsiTheme="minorEastAsia"/>
        </w:rPr>
        <w:t>煤层顶面。全区分布，含</w:t>
      </w:r>
      <w:r>
        <w:rPr>
          <w:rFonts w:ascii="Times New Roman" w:eastAsiaTheme="minorEastAsia" w:hAnsi="Times New Roman"/>
        </w:rPr>
        <w:t>3</w:t>
      </w:r>
      <w:r>
        <w:rPr>
          <w:rFonts w:ascii="Times New Roman" w:eastAsiaTheme="minorEastAsia" w:hAnsiTheme="minorEastAsia"/>
        </w:rPr>
        <w:t>号煤组，地层厚度</w:t>
      </w:r>
      <w:r>
        <w:rPr>
          <w:rFonts w:ascii="Times New Roman" w:eastAsiaTheme="minorEastAsia" w:hAnsi="Times New Roman"/>
        </w:rPr>
        <w:t>22.88</w:t>
      </w:r>
      <w:r>
        <w:rPr>
          <w:rFonts w:ascii="Times New Roman" w:eastAsiaTheme="minorEastAsia" w:hAnsiTheme="minorEastAsia"/>
        </w:rPr>
        <w:t>～</w:t>
      </w:r>
      <w:r>
        <w:rPr>
          <w:rFonts w:ascii="Times New Roman" w:eastAsiaTheme="minorEastAsia" w:hAnsi="Times New Roman"/>
        </w:rPr>
        <w:t>60.44m</w:t>
      </w:r>
      <w:r>
        <w:rPr>
          <w:rFonts w:ascii="Times New Roman" w:eastAsiaTheme="minorEastAsia" w:hAnsiTheme="minorEastAsia"/>
        </w:rPr>
        <w:t>，平均厚</w:t>
      </w:r>
      <w:r>
        <w:rPr>
          <w:rFonts w:ascii="Times New Roman" w:eastAsiaTheme="minorEastAsia" w:hAnsi="Times New Roman"/>
        </w:rPr>
        <w:t>42.86m</w:t>
      </w:r>
      <w:r>
        <w:rPr>
          <w:rFonts w:ascii="Times New Roman" w:eastAsiaTheme="minorEastAsia" w:hAnsiTheme="minorEastAsia"/>
        </w:rPr>
        <w:t>。厚度变化总体趋势表现为中部较薄，向北部、西南部逐渐增厚。</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该段由</w:t>
      </w:r>
      <w:r>
        <w:rPr>
          <w:rFonts w:ascii="Times New Roman" w:eastAsiaTheme="minorEastAsia" w:hAnsi="Times New Roman"/>
        </w:rPr>
        <w:t>3</w:t>
      </w:r>
      <w:r>
        <w:rPr>
          <w:rFonts w:ascii="Times New Roman" w:eastAsiaTheme="minorEastAsia" w:hAnsiTheme="minorEastAsia"/>
        </w:rPr>
        <w:t>～</w:t>
      </w:r>
      <w:r>
        <w:rPr>
          <w:rFonts w:ascii="Times New Roman" w:eastAsiaTheme="minorEastAsia" w:hAnsi="Times New Roman"/>
        </w:rPr>
        <w:t>4</w:t>
      </w:r>
      <w:r>
        <w:rPr>
          <w:rFonts w:ascii="Times New Roman" w:eastAsiaTheme="minorEastAsia" w:hAnsiTheme="minorEastAsia"/>
        </w:rPr>
        <w:t>个次级沉积旋回组成，第一沉积旋回为一较大的旋回，岩性为：细、中粒长石石英砂岩、粉砂岩、粉砂质泥岩，以细粒长石石英砂岩为主；第二、第三沉积旋回岩性由下而上为：细粒长石石英砂岩、粉砂岩、泥岩，含</w:t>
      </w:r>
      <w:r>
        <w:rPr>
          <w:rFonts w:ascii="Times New Roman" w:eastAsiaTheme="minorEastAsia" w:hAnsi="Times New Roman"/>
        </w:rPr>
        <w:t>3</w:t>
      </w:r>
      <w:r>
        <w:rPr>
          <w:rFonts w:ascii="Times New Roman" w:eastAsiaTheme="minorEastAsia" w:hAnsi="Times New Roman"/>
          <w:vertAlign w:val="superscript"/>
        </w:rPr>
        <w:t>-2</w:t>
      </w:r>
      <w:r>
        <w:rPr>
          <w:rFonts w:ascii="Times New Roman" w:eastAsiaTheme="minorEastAsia" w:hAnsiTheme="minorEastAsia"/>
        </w:rPr>
        <w:t>、</w:t>
      </w:r>
      <w:r>
        <w:rPr>
          <w:rFonts w:ascii="Times New Roman" w:eastAsiaTheme="minorEastAsia" w:hAnsi="Times New Roman"/>
        </w:rPr>
        <w:t>3</w:t>
      </w:r>
      <w:r>
        <w:rPr>
          <w:rFonts w:ascii="Times New Roman" w:eastAsiaTheme="minorEastAsia" w:hAnsi="Times New Roman"/>
          <w:vertAlign w:val="superscript"/>
        </w:rPr>
        <w:t>-3</w:t>
      </w:r>
      <w:r>
        <w:rPr>
          <w:rFonts w:ascii="Times New Roman" w:eastAsiaTheme="minorEastAsia" w:hAnsiTheme="minorEastAsia"/>
        </w:rPr>
        <w:t>号</w:t>
      </w:r>
      <w:r>
        <w:rPr>
          <w:rFonts w:ascii="Times New Roman" w:eastAsiaTheme="minorEastAsia" w:hAnsiTheme="minorEastAsia"/>
        </w:rPr>
        <w:lastRenderedPageBreak/>
        <w:t>薄层煤层（线）；第四沉积旋回岩性由下而上为：细粒长石砂岩、粉砂岩、粉砂质泥岩，顶部含</w:t>
      </w:r>
      <w:r>
        <w:rPr>
          <w:rFonts w:ascii="Times New Roman" w:eastAsiaTheme="minorEastAsia" w:hAnsi="Times New Roman"/>
        </w:rPr>
        <w:t>3</w:t>
      </w:r>
      <w:r>
        <w:rPr>
          <w:rFonts w:ascii="Times New Roman" w:eastAsiaTheme="minorEastAsia" w:hAnsi="Times New Roman"/>
          <w:vertAlign w:val="superscript"/>
        </w:rPr>
        <w:t>-1</w:t>
      </w:r>
      <w:r>
        <w:rPr>
          <w:rFonts w:ascii="Times New Roman" w:eastAsiaTheme="minorEastAsia" w:hAnsiTheme="minorEastAsia"/>
        </w:rPr>
        <w:t>号薄煤层（线）。</w:t>
      </w:r>
    </w:p>
    <w:p w:rsidR="00C223F5" w:rsidRDefault="005860D5" w:rsidP="002D1BB7">
      <w:pPr>
        <w:pStyle w:val="afff4"/>
        <w:adjustRightInd w:val="0"/>
        <w:snapToGrid w:val="0"/>
        <w:spacing w:before="0" w:beforeAutospacing="0" w:after="0" w:afterAutospacing="0" w:line="360" w:lineRule="auto"/>
        <w:ind w:firstLineChars="200" w:firstLine="482"/>
        <w:rPr>
          <w:rFonts w:ascii="Times New Roman" w:eastAsiaTheme="minorEastAsia" w:hAnsi="Times New Roman"/>
          <w:b/>
        </w:rPr>
      </w:pPr>
      <w:r>
        <w:rPr>
          <w:rFonts w:ascii="Times New Roman" w:eastAsiaTheme="minorEastAsia" w:hAnsi="Times New Roman" w:hint="eastAsia"/>
          <w:b/>
        </w:rPr>
        <w:t>（</w:t>
      </w:r>
      <w:r>
        <w:rPr>
          <w:rFonts w:ascii="Times New Roman" w:eastAsiaTheme="minorEastAsia" w:hAnsi="Times New Roman" w:hint="eastAsia"/>
          <w:b/>
        </w:rPr>
        <w:t>4</w:t>
      </w:r>
      <w:r>
        <w:rPr>
          <w:rFonts w:ascii="Times New Roman" w:eastAsiaTheme="minorEastAsia" w:hAnsi="Times New Roman" w:hint="eastAsia"/>
          <w:b/>
        </w:rPr>
        <w:t>）</w:t>
      </w:r>
      <w:r>
        <w:rPr>
          <w:rFonts w:ascii="Times New Roman" w:eastAsiaTheme="minorEastAsia" w:hAnsiTheme="minorEastAsia"/>
          <w:b/>
        </w:rPr>
        <w:t>瓦窑堡组第四段（</w:t>
      </w:r>
      <w:r>
        <w:rPr>
          <w:rFonts w:ascii="Times New Roman" w:eastAsiaTheme="minorEastAsia" w:hAnsi="Times New Roman"/>
          <w:b/>
        </w:rPr>
        <w:t>T</w:t>
      </w:r>
      <w:r>
        <w:rPr>
          <w:rFonts w:ascii="Times New Roman" w:eastAsiaTheme="minorEastAsia" w:hAnsi="Times New Roman"/>
          <w:b/>
          <w:vertAlign w:val="subscript"/>
        </w:rPr>
        <w:t>3</w:t>
      </w:r>
      <w:r>
        <w:rPr>
          <w:rFonts w:ascii="Times New Roman" w:eastAsiaTheme="minorEastAsia" w:hAnsi="Times New Roman"/>
          <w:b/>
        </w:rPr>
        <w:t>w</w:t>
      </w:r>
      <w:r>
        <w:rPr>
          <w:rFonts w:ascii="Times New Roman" w:eastAsiaTheme="minorEastAsia" w:hAnsi="Times New Roman"/>
          <w:b/>
          <w:vertAlign w:val="superscript"/>
        </w:rPr>
        <w:t>4</w:t>
      </w:r>
      <w:r>
        <w:rPr>
          <w:rFonts w:ascii="Times New Roman" w:eastAsiaTheme="minorEastAsia" w:hAnsiTheme="minorEastAsia"/>
          <w:b/>
        </w:rPr>
        <w:t>）</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szCs w:val="28"/>
        </w:rPr>
        <w:t>该段自</w:t>
      </w:r>
      <w:r>
        <w:rPr>
          <w:rFonts w:ascii="Times New Roman" w:eastAsiaTheme="minorEastAsia" w:hAnsi="Times New Roman"/>
        </w:rPr>
        <w:t>3</w:t>
      </w:r>
      <w:r>
        <w:rPr>
          <w:rFonts w:ascii="Times New Roman" w:eastAsiaTheme="minorEastAsia" w:hAnsi="Times New Roman"/>
          <w:vertAlign w:val="superscript"/>
        </w:rPr>
        <w:t>-1</w:t>
      </w:r>
      <w:r>
        <w:rPr>
          <w:rFonts w:ascii="Times New Roman" w:eastAsiaTheme="minorEastAsia" w:hAnsiTheme="minorEastAsia"/>
          <w:szCs w:val="28"/>
        </w:rPr>
        <w:t>煤顶面至层油页岩顶面。全区分布，含</w:t>
      </w:r>
      <w:r>
        <w:rPr>
          <w:rFonts w:ascii="Times New Roman" w:eastAsiaTheme="minorEastAsia" w:hAnsi="Times New Roman"/>
          <w:szCs w:val="28"/>
        </w:rPr>
        <w:t>4</w:t>
      </w:r>
      <w:r>
        <w:rPr>
          <w:rFonts w:ascii="Times New Roman" w:eastAsiaTheme="minorEastAsia" w:hAnsiTheme="minorEastAsia"/>
          <w:szCs w:val="28"/>
        </w:rPr>
        <w:t>号煤组，</w:t>
      </w:r>
      <w:r>
        <w:rPr>
          <w:rFonts w:ascii="Times New Roman" w:eastAsiaTheme="minorEastAsia" w:hAnsiTheme="minorEastAsia"/>
        </w:rPr>
        <w:t>为区内主要含煤段，地层厚度</w:t>
      </w:r>
      <w:r>
        <w:rPr>
          <w:rFonts w:ascii="Times New Roman" w:eastAsiaTheme="minorEastAsia" w:hAnsi="Times New Roman"/>
        </w:rPr>
        <w:t>25.62</w:t>
      </w:r>
      <w:r>
        <w:rPr>
          <w:rFonts w:ascii="Times New Roman" w:eastAsiaTheme="minorEastAsia" w:hAnsiTheme="minorEastAsia"/>
        </w:rPr>
        <w:t>～</w:t>
      </w:r>
      <w:r>
        <w:rPr>
          <w:rFonts w:ascii="Times New Roman" w:eastAsiaTheme="minorEastAsia" w:hAnsi="Times New Roman"/>
        </w:rPr>
        <w:t>60.05m</w:t>
      </w:r>
      <w:r>
        <w:rPr>
          <w:rFonts w:ascii="Times New Roman" w:eastAsiaTheme="minorEastAsia" w:hAnsiTheme="minorEastAsia"/>
        </w:rPr>
        <w:t>，平均厚</w:t>
      </w:r>
      <w:r>
        <w:rPr>
          <w:rFonts w:ascii="Times New Roman" w:eastAsiaTheme="minorEastAsia" w:hAnsi="Times New Roman"/>
        </w:rPr>
        <w:t>36.79m</w:t>
      </w:r>
      <w:r>
        <w:rPr>
          <w:rFonts w:ascii="Times New Roman" w:eastAsiaTheme="minorEastAsia" w:hAnsiTheme="minorEastAsia"/>
        </w:rPr>
        <w:t>。厚度变化总体趋势表现为南部较薄，向东北部逐渐增厚。</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该段由</w:t>
      </w:r>
      <w:r>
        <w:rPr>
          <w:rFonts w:ascii="Times New Roman" w:eastAsiaTheme="minorEastAsia" w:hAnsi="Times New Roman"/>
        </w:rPr>
        <w:t>2</w:t>
      </w:r>
      <w:r>
        <w:rPr>
          <w:rFonts w:ascii="Times New Roman" w:eastAsiaTheme="minorEastAsia" w:hAnsiTheme="minorEastAsia"/>
        </w:rPr>
        <w:t>～</w:t>
      </w:r>
      <w:r>
        <w:rPr>
          <w:rFonts w:ascii="Times New Roman" w:eastAsiaTheme="minorEastAsia" w:hAnsi="Times New Roman"/>
        </w:rPr>
        <w:t>3</w:t>
      </w:r>
      <w:r>
        <w:rPr>
          <w:rFonts w:ascii="Times New Roman" w:eastAsiaTheme="minorEastAsia" w:hAnsiTheme="minorEastAsia"/>
        </w:rPr>
        <w:t>个沉积旋回组成，第一沉积旋回下部岩性为灰白色厚层状细、中粒长石砂岩，是划分</w:t>
      </w:r>
      <w:r>
        <w:rPr>
          <w:rFonts w:ascii="Times New Roman" w:eastAsiaTheme="minorEastAsia" w:hAnsi="Times New Roman"/>
        </w:rPr>
        <w:t>T</w:t>
      </w:r>
      <w:r>
        <w:rPr>
          <w:rFonts w:ascii="Times New Roman" w:eastAsiaTheme="minorEastAsia" w:hAnsi="Times New Roman"/>
          <w:vertAlign w:val="subscript"/>
        </w:rPr>
        <w:t>3</w:t>
      </w:r>
      <w:r>
        <w:rPr>
          <w:rFonts w:ascii="Times New Roman" w:eastAsiaTheme="minorEastAsia" w:hAnsi="Times New Roman"/>
        </w:rPr>
        <w:t>w</w:t>
      </w:r>
      <w:r>
        <w:rPr>
          <w:rFonts w:ascii="Times New Roman" w:eastAsiaTheme="minorEastAsia" w:hAnsi="Times New Roman"/>
          <w:vertAlign w:val="superscript"/>
        </w:rPr>
        <w:t>4</w:t>
      </w:r>
      <w:r>
        <w:rPr>
          <w:rFonts w:ascii="Times New Roman" w:eastAsiaTheme="minorEastAsia" w:hAnsiTheme="minorEastAsia"/>
        </w:rPr>
        <w:t>与</w:t>
      </w:r>
      <w:r>
        <w:rPr>
          <w:rFonts w:ascii="Times New Roman" w:eastAsiaTheme="minorEastAsia" w:hAnsi="Times New Roman"/>
        </w:rPr>
        <w:t>T</w:t>
      </w:r>
      <w:r>
        <w:rPr>
          <w:rFonts w:ascii="Times New Roman" w:eastAsiaTheme="minorEastAsia" w:hAnsi="Times New Roman"/>
          <w:vertAlign w:val="subscript"/>
        </w:rPr>
        <w:t>3</w:t>
      </w:r>
      <w:r>
        <w:rPr>
          <w:rFonts w:ascii="Times New Roman" w:eastAsiaTheme="minorEastAsia" w:hAnsi="Times New Roman"/>
        </w:rPr>
        <w:t>w</w:t>
      </w:r>
      <w:r>
        <w:rPr>
          <w:rFonts w:ascii="Times New Roman" w:eastAsiaTheme="minorEastAsia" w:hAnsi="Times New Roman"/>
          <w:vertAlign w:val="superscript"/>
        </w:rPr>
        <w:t>3</w:t>
      </w:r>
      <w:r>
        <w:rPr>
          <w:rFonts w:ascii="Times New Roman" w:eastAsiaTheme="minorEastAsia" w:hAnsiTheme="minorEastAsia"/>
        </w:rPr>
        <w:t>的重要标志（</w:t>
      </w:r>
      <w:r>
        <w:rPr>
          <w:rFonts w:ascii="Times New Roman" w:eastAsiaTheme="minorEastAsia" w:hAnsi="Times New Roman"/>
        </w:rPr>
        <w:t>K</w:t>
      </w:r>
      <w:r>
        <w:rPr>
          <w:rFonts w:ascii="Times New Roman" w:eastAsiaTheme="minorEastAsia" w:hAnsi="Times New Roman"/>
          <w:vertAlign w:val="subscript"/>
        </w:rPr>
        <w:t>1</w:t>
      </w:r>
      <w:r>
        <w:rPr>
          <w:rFonts w:ascii="Times New Roman" w:eastAsiaTheme="minorEastAsia" w:hAnsiTheme="minorEastAsia"/>
        </w:rPr>
        <w:t>），中上部为泥岩、粉砂岩，上部含薄煤层或煤线（含</w:t>
      </w:r>
      <w:r>
        <w:rPr>
          <w:rFonts w:ascii="Times New Roman" w:eastAsiaTheme="minorEastAsia" w:hAnsi="Times New Roman"/>
        </w:rPr>
        <w:t>4</w:t>
      </w:r>
      <w:r>
        <w:rPr>
          <w:rFonts w:ascii="Times New Roman" w:eastAsiaTheme="minorEastAsia" w:hAnsi="Times New Roman"/>
          <w:vertAlign w:val="superscript"/>
        </w:rPr>
        <w:t>-2</w:t>
      </w:r>
      <w:r>
        <w:rPr>
          <w:rFonts w:ascii="Times New Roman" w:eastAsiaTheme="minorEastAsia" w:hAnsiTheme="minorEastAsia"/>
        </w:rPr>
        <w:t>、</w:t>
      </w:r>
      <w:r>
        <w:rPr>
          <w:rFonts w:ascii="Times New Roman" w:eastAsiaTheme="minorEastAsia" w:hAnsi="Times New Roman"/>
        </w:rPr>
        <w:t>4</w:t>
      </w:r>
      <w:r>
        <w:rPr>
          <w:rFonts w:ascii="Times New Roman" w:eastAsiaTheme="minorEastAsia" w:hAnsi="Times New Roman"/>
          <w:vertAlign w:val="superscript"/>
        </w:rPr>
        <w:t>-3</w:t>
      </w:r>
      <w:r>
        <w:rPr>
          <w:rFonts w:ascii="Times New Roman" w:eastAsiaTheme="minorEastAsia" w:hAnsiTheme="minorEastAsia"/>
        </w:rPr>
        <w:t>号煤层）；第二沉积旋回下部岩性为细粒长石砂岩，中部为泥岩、粉砂岩，含煤层或煤线（</w:t>
      </w:r>
      <w:r>
        <w:rPr>
          <w:rFonts w:ascii="Times New Roman" w:eastAsiaTheme="minorEastAsia" w:hAnsi="Times New Roman"/>
        </w:rPr>
        <w:t>4</w:t>
      </w:r>
      <w:r>
        <w:rPr>
          <w:rFonts w:ascii="Times New Roman" w:eastAsiaTheme="minorEastAsia" w:hAnsi="Times New Roman"/>
          <w:vertAlign w:val="superscript"/>
        </w:rPr>
        <w:t>-1</w:t>
      </w:r>
      <w:r>
        <w:rPr>
          <w:rFonts w:ascii="Times New Roman" w:eastAsiaTheme="minorEastAsia" w:hAnsiTheme="minorEastAsia"/>
        </w:rPr>
        <w:t>号煤层），上部为黑色油页岩夹灰白色铝土质泥岩，是划分</w:t>
      </w:r>
      <w:r>
        <w:rPr>
          <w:rFonts w:ascii="Times New Roman" w:eastAsiaTheme="minorEastAsia" w:hAnsi="Times New Roman"/>
        </w:rPr>
        <w:t>T</w:t>
      </w:r>
      <w:r>
        <w:rPr>
          <w:rFonts w:ascii="Times New Roman" w:eastAsiaTheme="minorEastAsia" w:hAnsi="Times New Roman"/>
          <w:vertAlign w:val="subscript"/>
        </w:rPr>
        <w:t>3</w:t>
      </w:r>
      <w:r>
        <w:rPr>
          <w:rFonts w:ascii="Times New Roman" w:eastAsiaTheme="minorEastAsia" w:hAnsi="Times New Roman"/>
        </w:rPr>
        <w:t>w</w:t>
      </w:r>
      <w:r>
        <w:rPr>
          <w:rFonts w:ascii="Times New Roman" w:eastAsiaTheme="minorEastAsia" w:hAnsi="Times New Roman"/>
          <w:vertAlign w:val="superscript"/>
        </w:rPr>
        <w:t>5</w:t>
      </w:r>
      <w:r>
        <w:rPr>
          <w:rFonts w:ascii="Times New Roman" w:eastAsiaTheme="minorEastAsia" w:hAnsiTheme="minorEastAsia"/>
        </w:rPr>
        <w:t>与</w:t>
      </w:r>
      <w:r>
        <w:rPr>
          <w:rFonts w:ascii="Times New Roman" w:eastAsiaTheme="minorEastAsia" w:hAnsi="Times New Roman"/>
        </w:rPr>
        <w:t>T</w:t>
      </w:r>
      <w:r>
        <w:rPr>
          <w:rFonts w:ascii="Times New Roman" w:eastAsiaTheme="minorEastAsia" w:hAnsi="Times New Roman"/>
          <w:vertAlign w:val="subscript"/>
        </w:rPr>
        <w:t>3</w:t>
      </w:r>
      <w:r>
        <w:rPr>
          <w:rFonts w:ascii="Times New Roman" w:eastAsiaTheme="minorEastAsia" w:hAnsi="Times New Roman"/>
        </w:rPr>
        <w:t>w</w:t>
      </w:r>
      <w:r>
        <w:rPr>
          <w:rFonts w:ascii="Times New Roman" w:eastAsiaTheme="minorEastAsia" w:hAnsi="Times New Roman"/>
          <w:vertAlign w:val="superscript"/>
        </w:rPr>
        <w:t>4</w:t>
      </w:r>
      <w:r>
        <w:rPr>
          <w:rFonts w:ascii="Times New Roman" w:eastAsiaTheme="minorEastAsia" w:hAnsiTheme="minorEastAsia"/>
        </w:rPr>
        <w:t>的重要标志，也是对比</w:t>
      </w:r>
      <w:r>
        <w:rPr>
          <w:rFonts w:ascii="Times New Roman" w:eastAsiaTheme="minorEastAsia" w:hAnsi="Times New Roman"/>
        </w:rPr>
        <w:t>4</w:t>
      </w:r>
      <w:r>
        <w:rPr>
          <w:rFonts w:ascii="Times New Roman" w:eastAsiaTheme="minorEastAsia" w:hAnsi="Times New Roman"/>
          <w:vertAlign w:val="superscript"/>
        </w:rPr>
        <w:t>-1</w:t>
      </w:r>
      <w:r>
        <w:rPr>
          <w:rFonts w:ascii="Times New Roman" w:eastAsiaTheme="minorEastAsia" w:hAnsiTheme="minorEastAsia"/>
        </w:rPr>
        <w:t>号煤层的主要标志层；第三沉积旋回岩性主要为细砂岩、粉砂岩与泥岩互层。</w:t>
      </w:r>
    </w:p>
    <w:p w:rsidR="00C223F5" w:rsidRDefault="005860D5" w:rsidP="002D1BB7">
      <w:pPr>
        <w:pStyle w:val="afff4"/>
        <w:adjustRightInd w:val="0"/>
        <w:snapToGrid w:val="0"/>
        <w:spacing w:before="0" w:beforeAutospacing="0" w:after="0" w:afterAutospacing="0" w:line="360" w:lineRule="auto"/>
        <w:ind w:firstLineChars="200" w:firstLine="482"/>
        <w:rPr>
          <w:rFonts w:ascii="Times New Roman" w:eastAsiaTheme="minorEastAsia" w:hAnsi="Times New Roman"/>
          <w:b/>
        </w:rPr>
      </w:pPr>
      <w:r>
        <w:rPr>
          <w:rFonts w:ascii="Times New Roman" w:eastAsiaTheme="minorEastAsia" w:hAnsi="Times New Roman" w:hint="eastAsia"/>
          <w:b/>
        </w:rPr>
        <w:t>（</w:t>
      </w:r>
      <w:r>
        <w:rPr>
          <w:rFonts w:ascii="Times New Roman" w:eastAsiaTheme="minorEastAsia" w:hAnsi="Times New Roman" w:hint="eastAsia"/>
          <w:b/>
        </w:rPr>
        <w:t>5</w:t>
      </w:r>
      <w:r>
        <w:rPr>
          <w:rFonts w:ascii="Times New Roman" w:eastAsiaTheme="minorEastAsia" w:hAnsi="Times New Roman" w:hint="eastAsia"/>
          <w:b/>
        </w:rPr>
        <w:t>）</w:t>
      </w:r>
      <w:r>
        <w:rPr>
          <w:rFonts w:ascii="Times New Roman" w:eastAsiaTheme="minorEastAsia" w:hAnsiTheme="minorEastAsia"/>
          <w:b/>
        </w:rPr>
        <w:t>瓦窑堡组第五段（</w:t>
      </w:r>
      <w:r>
        <w:rPr>
          <w:rFonts w:ascii="Times New Roman" w:eastAsiaTheme="minorEastAsia" w:hAnsi="Times New Roman"/>
          <w:b/>
        </w:rPr>
        <w:t>T</w:t>
      </w:r>
      <w:r>
        <w:rPr>
          <w:rFonts w:ascii="Times New Roman" w:eastAsiaTheme="minorEastAsia" w:hAnsi="Times New Roman"/>
          <w:b/>
          <w:vertAlign w:val="subscript"/>
        </w:rPr>
        <w:t>3</w:t>
      </w:r>
      <w:r>
        <w:rPr>
          <w:rFonts w:ascii="Times New Roman" w:eastAsiaTheme="minorEastAsia" w:hAnsi="Times New Roman"/>
          <w:b/>
        </w:rPr>
        <w:t>w</w:t>
      </w:r>
      <w:r>
        <w:rPr>
          <w:rFonts w:ascii="Times New Roman" w:eastAsiaTheme="minorEastAsia" w:hAnsi="Times New Roman"/>
          <w:b/>
          <w:vertAlign w:val="superscript"/>
        </w:rPr>
        <w:t>5</w:t>
      </w:r>
      <w:r>
        <w:rPr>
          <w:rFonts w:ascii="Times New Roman" w:eastAsiaTheme="minorEastAsia" w:hAnsiTheme="minorEastAsia"/>
          <w:b/>
        </w:rPr>
        <w:t>）</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szCs w:val="28"/>
        </w:rPr>
        <w:t>该段自油页岩顶面至</w:t>
      </w:r>
      <w:r>
        <w:rPr>
          <w:rFonts w:ascii="Times New Roman" w:eastAsiaTheme="minorEastAsia" w:hAnsiTheme="minorEastAsia"/>
        </w:rPr>
        <w:t>瓦窑堡组</w:t>
      </w:r>
      <w:r>
        <w:rPr>
          <w:rFonts w:ascii="Times New Roman" w:eastAsiaTheme="minorEastAsia" w:hAnsiTheme="minorEastAsia"/>
          <w:szCs w:val="28"/>
        </w:rPr>
        <w:t>顶面。全区分布，区内沟谷中出露。</w:t>
      </w:r>
      <w:r>
        <w:rPr>
          <w:rFonts w:ascii="Times New Roman" w:eastAsiaTheme="minorEastAsia" w:hAnsiTheme="minorEastAsia"/>
        </w:rPr>
        <w:t>因遭受后期剥蚀，该段地层厚度变化较大，其厚度</w:t>
      </w:r>
      <w:r>
        <w:rPr>
          <w:rFonts w:ascii="Times New Roman" w:eastAsiaTheme="minorEastAsia" w:hAnsi="Times New Roman"/>
        </w:rPr>
        <w:t>84.76</w:t>
      </w:r>
      <w:r>
        <w:rPr>
          <w:rFonts w:ascii="Times New Roman" w:eastAsiaTheme="minorEastAsia" w:hAnsiTheme="minorEastAsia"/>
        </w:rPr>
        <w:t>～</w:t>
      </w:r>
      <w:r>
        <w:rPr>
          <w:rFonts w:ascii="Times New Roman" w:eastAsiaTheme="minorEastAsia" w:hAnsi="Times New Roman"/>
        </w:rPr>
        <w:t>320.71m</w:t>
      </w:r>
      <w:r>
        <w:rPr>
          <w:rFonts w:ascii="Times New Roman" w:eastAsiaTheme="minorEastAsia" w:hAnsiTheme="minorEastAsia"/>
        </w:rPr>
        <w:t>，平均</w:t>
      </w:r>
      <w:r>
        <w:rPr>
          <w:rFonts w:ascii="Times New Roman" w:eastAsiaTheme="minorEastAsia" w:hAnsi="Times New Roman"/>
        </w:rPr>
        <w:t>205.20m</w:t>
      </w:r>
      <w:r>
        <w:rPr>
          <w:rFonts w:ascii="Times New Roman" w:eastAsiaTheme="minorEastAsia" w:hAnsiTheme="minorEastAsia"/>
        </w:rPr>
        <w:t>。厚度变化总体趋势表现为东部较薄，向西北、西南部逐渐增厚。</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该段由</w:t>
      </w:r>
      <w:r>
        <w:rPr>
          <w:rFonts w:ascii="Times New Roman" w:eastAsiaTheme="minorEastAsia" w:hAnsi="Times New Roman"/>
        </w:rPr>
        <w:t>4</w:t>
      </w:r>
      <w:r>
        <w:rPr>
          <w:rFonts w:ascii="Times New Roman" w:eastAsiaTheme="minorEastAsia" w:hAnsiTheme="minorEastAsia"/>
        </w:rPr>
        <w:t>个沉积旋回组成，每个旋回岩性由下而上为：细粒长石石英砂岩或中粒长石石英砂岩、灰白色粉砂岩夹深灰色泥岩以及深灰色泥岩与灰白色粉砂岩互层。</w:t>
      </w:r>
    </w:p>
    <w:p w:rsidR="00C223F5" w:rsidRDefault="005860D5" w:rsidP="00C006A7">
      <w:pPr>
        <w:pStyle w:val="afff4"/>
        <w:adjustRightInd w:val="0"/>
        <w:snapToGrid w:val="0"/>
        <w:spacing w:before="0" w:beforeAutospacing="0" w:after="0" w:afterAutospacing="0" w:line="360" w:lineRule="auto"/>
        <w:ind w:firstLineChars="200" w:firstLine="482"/>
        <w:rPr>
          <w:rFonts w:ascii="Times New Roman" w:eastAsiaTheme="minorEastAsia" w:hAnsi="Times New Roman"/>
          <w:b/>
        </w:rPr>
      </w:pPr>
      <w:r>
        <w:rPr>
          <w:rFonts w:ascii="Times New Roman" w:eastAsiaTheme="minorEastAsia" w:hAnsiTheme="minorEastAsia"/>
          <w:b/>
        </w:rPr>
        <w:t>（</w:t>
      </w:r>
      <w:r>
        <w:rPr>
          <w:rFonts w:ascii="Times New Roman" w:eastAsiaTheme="minorEastAsia" w:hAnsi="Times New Roman" w:hint="eastAsia"/>
          <w:b/>
        </w:rPr>
        <w:t>三</w:t>
      </w:r>
      <w:r>
        <w:rPr>
          <w:rFonts w:ascii="Times New Roman" w:eastAsiaTheme="minorEastAsia" w:hAnsiTheme="minorEastAsia"/>
          <w:b/>
        </w:rPr>
        <w:t>）侏罗系下统富县组（</w:t>
      </w:r>
      <w:r>
        <w:rPr>
          <w:rFonts w:ascii="Times New Roman" w:eastAsiaTheme="minorEastAsia" w:hAnsi="Times New Roman"/>
          <w:b/>
        </w:rPr>
        <w:t>J</w:t>
      </w:r>
      <w:r>
        <w:rPr>
          <w:rFonts w:ascii="Times New Roman" w:eastAsiaTheme="minorEastAsia" w:hAnsi="Times New Roman"/>
          <w:b/>
          <w:vertAlign w:val="subscript"/>
        </w:rPr>
        <w:t>1</w:t>
      </w:r>
      <w:r>
        <w:rPr>
          <w:rFonts w:ascii="Times New Roman" w:eastAsiaTheme="minorEastAsia" w:hAnsi="Times New Roman"/>
          <w:b/>
        </w:rPr>
        <w:t>f</w:t>
      </w:r>
      <w:r>
        <w:rPr>
          <w:rFonts w:ascii="Times New Roman" w:eastAsiaTheme="minorEastAsia" w:hAnsiTheme="minorEastAsia"/>
          <w:b/>
        </w:rPr>
        <w:t>）</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该组地层出露于井田西南部麻地沟、藏家沟中上部，据地质填图和钻孔资料，地层厚度</w:t>
      </w:r>
      <w:r>
        <w:rPr>
          <w:rFonts w:ascii="Times New Roman" w:eastAsiaTheme="minorEastAsia" w:hAnsi="Times New Roman"/>
        </w:rPr>
        <w:t>0~13.33m</w:t>
      </w:r>
      <w:r>
        <w:rPr>
          <w:rFonts w:ascii="Times New Roman" w:eastAsiaTheme="minorEastAsia" w:hAnsiTheme="minorEastAsia"/>
        </w:rPr>
        <w:t>，平均厚度</w:t>
      </w:r>
      <w:r>
        <w:rPr>
          <w:rFonts w:ascii="Times New Roman" w:eastAsiaTheme="minorEastAsia" w:hAnsi="Times New Roman"/>
        </w:rPr>
        <w:t>4.28m</w:t>
      </w:r>
      <w:r>
        <w:rPr>
          <w:rFonts w:ascii="Times New Roman" w:eastAsiaTheme="minorEastAsia" w:hAnsiTheme="minorEastAsia"/>
        </w:rPr>
        <w:t>。因受上覆地层剥蚀，该组地层仅在井田的西部、北部残存，厚度由北向南逐渐变薄。</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该组地层为干旱至半干旱气候条件下，以河相为主的沉积组合。下部为紫杂色粉砂质泥岩，中部为浅黄色中厚层状细粒长石砂岩，上部为紫杂色泥岩。与下伏地层呈平行不整合接触关系。</w:t>
      </w:r>
    </w:p>
    <w:p w:rsidR="00C223F5" w:rsidRDefault="005860D5" w:rsidP="00C006A7">
      <w:pPr>
        <w:pStyle w:val="afff4"/>
        <w:adjustRightInd w:val="0"/>
        <w:snapToGrid w:val="0"/>
        <w:spacing w:before="0" w:beforeAutospacing="0" w:after="0" w:afterAutospacing="0" w:line="360" w:lineRule="auto"/>
        <w:ind w:firstLineChars="200" w:firstLine="482"/>
        <w:rPr>
          <w:rFonts w:ascii="Times New Roman" w:eastAsiaTheme="minorEastAsia" w:hAnsi="Times New Roman"/>
          <w:b/>
        </w:rPr>
      </w:pPr>
      <w:r>
        <w:rPr>
          <w:rFonts w:ascii="Times New Roman" w:eastAsiaTheme="minorEastAsia" w:hAnsiTheme="minorEastAsia"/>
          <w:b/>
        </w:rPr>
        <w:t>（</w:t>
      </w:r>
      <w:r>
        <w:rPr>
          <w:rFonts w:ascii="Times New Roman" w:eastAsiaTheme="minorEastAsia" w:hAnsi="Times New Roman" w:hint="eastAsia"/>
          <w:b/>
        </w:rPr>
        <w:t>四</w:t>
      </w:r>
      <w:r>
        <w:rPr>
          <w:rFonts w:ascii="Times New Roman" w:eastAsiaTheme="minorEastAsia" w:hAnsiTheme="minorEastAsia"/>
          <w:b/>
        </w:rPr>
        <w:t>）侏罗系中统延安组（</w:t>
      </w:r>
      <w:r>
        <w:rPr>
          <w:rFonts w:ascii="Times New Roman" w:eastAsiaTheme="minorEastAsia" w:hAnsi="Times New Roman"/>
          <w:b/>
        </w:rPr>
        <w:t>J</w:t>
      </w:r>
      <w:r>
        <w:rPr>
          <w:rFonts w:ascii="Times New Roman" w:eastAsiaTheme="minorEastAsia" w:hAnsi="Times New Roman"/>
          <w:b/>
          <w:vertAlign w:val="subscript"/>
        </w:rPr>
        <w:t>2</w:t>
      </w:r>
      <w:r>
        <w:rPr>
          <w:rFonts w:ascii="Times New Roman" w:eastAsiaTheme="minorEastAsia" w:hAnsi="Times New Roman"/>
          <w:b/>
        </w:rPr>
        <w:t>y</w:t>
      </w:r>
      <w:r>
        <w:rPr>
          <w:rFonts w:ascii="Times New Roman" w:eastAsiaTheme="minorEastAsia" w:hAnsiTheme="minorEastAsia"/>
          <w:b/>
        </w:rPr>
        <w:t>）</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沉积于富县组地层之上，为一套以河流</w:t>
      </w:r>
      <w:r>
        <w:rPr>
          <w:rFonts w:ascii="Times New Roman" w:eastAsiaTheme="minorEastAsia" w:hAnsi="Times New Roman"/>
        </w:rPr>
        <w:t>—</w:t>
      </w:r>
      <w:r>
        <w:rPr>
          <w:rFonts w:ascii="Times New Roman" w:eastAsiaTheme="minorEastAsia" w:hAnsiTheme="minorEastAsia"/>
        </w:rPr>
        <w:t>湖泊为主的含煤地层，由灰色至灰白色粗粒至细粒砂岩，砂岩具大型板状交错层理或块状层理；深灰色粉砂岩、砂</w:t>
      </w:r>
      <w:r>
        <w:rPr>
          <w:rFonts w:ascii="Times New Roman" w:eastAsiaTheme="minorEastAsia" w:hAnsiTheme="minorEastAsia"/>
        </w:rPr>
        <w:lastRenderedPageBreak/>
        <w:t>质泥岩、炭质泥岩及煤线组成，具波状层理、块状层理及小型交错层理，含炭化植物化石碎屑。与下伏富县组成平行不整合接触。</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井田内延安组由于受后期剥蚀，地层仅残留下部地层。厚度</w:t>
      </w:r>
      <w:r>
        <w:rPr>
          <w:rFonts w:ascii="Times New Roman" w:eastAsiaTheme="minorEastAsia" w:hAnsi="Times New Roman"/>
        </w:rPr>
        <w:t>0~132.24m</w:t>
      </w:r>
      <w:r>
        <w:rPr>
          <w:rFonts w:ascii="Times New Roman" w:eastAsiaTheme="minorEastAsia" w:hAnsiTheme="minorEastAsia"/>
        </w:rPr>
        <w:t>，平均</w:t>
      </w:r>
      <w:r>
        <w:rPr>
          <w:rFonts w:ascii="Times New Roman" w:eastAsiaTheme="minorEastAsia" w:hAnsi="Times New Roman"/>
        </w:rPr>
        <w:t>49.58m</w:t>
      </w:r>
      <w:r>
        <w:rPr>
          <w:rFonts w:ascii="Times New Roman" w:eastAsiaTheme="minorEastAsia" w:hAnsiTheme="minorEastAsia"/>
        </w:rPr>
        <w:t>。无可采煤层。井田东部、西南部受上覆地层剥蚀殆尽，赋存范围内向西部逐渐增厚。</w:t>
      </w:r>
    </w:p>
    <w:p w:rsidR="00C223F5" w:rsidRDefault="005860D5" w:rsidP="00C006A7">
      <w:pPr>
        <w:pStyle w:val="afff4"/>
        <w:adjustRightInd w:val="0"/>
        <w:snapToGrid w:val="0"/>
        <w:spacing w:before="0" w:beforeAutospacing="0" w:after="0" w:afterAutospacing="0" w:line="360" w:lineRule="auto"/>
        <w:ind w:firstLineChars="200" w:firstLine="482"/>
        <w:rPr>
          <w:rFonts w:ascii="Times New Roman" w:eastAsiaTheme="minorEastAsia" w:hAnsi="Times New Roman"/>
          <w:b/>
        </w:rPr>
      </w:pPr>
      <w:r>
        <w:rPr>
          <w:rFonts w:ascii="Times New Roman" w:eastAsiaTheme="minorEastAsia" w:hAnsiTheme="minorEastAsia"/>
          <w:b/>
        </w:rPr>
        <w:t>（</w:t>
      </w:r>
      <w:r>
        <w:rPr>
          <w:rFonts w:ascii="Times New Roman" w:eastAsiaTheme="minorEastAsia" w:hAnsi="Times New Roman" w:hint="eastAsia"/>
          <w:b/>
        </w:rPr>
        <w:t>五</w:t>
      </w:r>
      <w:r>
        <w:rPr>
          <w:rFonts w:ascii="Times New Roman" w:eastAsiaTheme="minorEastAsia" w:hAnsiTheme="minorEastAsia"/>
          <w:b/>
        </w:rPr>
        <w:t>）新近系上新统保德组（</w:t>
      </w:r>
      <w:r>
        <w:rPr>
          <w:rFonts w:ascii="Times New Roman" w:eastAsiaTheme="minorEastAsia" w:hAnsi="Times New Roman"/>
          <w:b/>
        </w:rPr>
        <w:t>N</w:t>
      </w:r>
      <w:r>
        <w:rPr>
          <w:rFonts w:ascii="Times New Roman" w:eastAsiaTheme="minorEastAsia" w:hAnsi="Times New Roman"/>
          <w:b/>
          <w:vertAlign w:val="subscript"/>
        </w:rPr>
        <w:t>2</w:t>
      </w:r>
      <w:r>
        <w:rPr>
          <w:rFonts w:ascii="Times New Roman" w:eastAsiaTheme="minorEastAsia" w:hAnsi="Times New Roman"/>
          <w:b/>
        </w:rPr>
        <w:t>b</w:t>
      </w:r>
      <w:r>
        <w:rPr>
          <w:rFonts w:ascii="Times New Roman" w:eastAsiaTheme="minorEastAsia" w:hAnsiTheme="minorEastAsia"/>
          <w:b/>
        </w:rPr>
        <w:t>）</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szCs w:val="28"/>
        </w:rPr>
      </w:pPr>
      <w:r>
        <w:rPr>
          <w:rFonts w:ascii="Times New Roman" w:eastAsiaTheme="minorEastAsia" w:hAnsiTheme="minorEastAsia"/>
          <w:szCs w:val="28"/>
        </w:rPr>
        <w:t>该地层在井田内广泛分布，沿沟谷两侧有出露。</w:t>
      </w:r>
      <w:r>
        <w:rPr>
          <w:rFonts w:ascii="Times New Roman" w:eastAsiaTheme="minorEastAsia" w:hAnsiTheme="minorEastAsia"/>
        </w:rPr>
        <w:t>因第四系剥蚀，其厚度变化大，</w:t>
      </w:r>
      <w:r>
        <w:rPr>
          <w:rFonts w:ascii="Times New Roman" w:eastAsiaTheme="minorEastAsia" w:hAnsiTheme="minorEastAsia"/>
          <w:szCs w:val="28"/>
        </w:rPr>
        <w:t>据钻孔揭露，厚度为</w:t>
      </w:r>
      <w:r>
        <w:rPr>
          <w:rFonts w:ascii="Times New Roman" w:eastAsiaTheme="minorEastAsia" w:hAnsi="Times New Roman"/>
          <w:szCs w:val="28"/>
        </w:rPr>
        <w:t>0~140.70m</w:t>
      </w:r>
      <w:r>
        <w:rPr>
          <w:rFonts w:ascii="Times New Roman" w:eastAsiaTheme="minorEastAsia" w:hAnsiTheme="minorEastAsia"/>
          <w:szCs w:val="28"/>
        </w:rPr>
        <w:t>，平均</w:t>
      </w:r>
      <w:r>
        <w:rPr>
          <w:rFonts w:ascii="Times New Roman" w:eastAsiaTheme="minorEastAsia" w:hAnsi="Times New Roman"/>
          <w:szCs w:val="28"/>
        </w:rPr>
        <w:t>48.00m</w:t>
      </w:r>
      <w:r>
        <w:rPr>
          <w:rFonts w:ascii="Times New Roman" w:eastAsiaTheme="minorEastAsia" w:hAnsiTheme="minorEastAsia"/>
          <w:szCs w:val="28"/>
        </w:rPr>
        <w:t>。与下伏地层呈不整合接触。</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岩性主要为一套浅红色</w:t>
      </w:r>
      <w:r>
        <w:rPr>
          <w:rFonts w:ascii="Times New Roman" w:eastAsiaTheme="minorEastAsia" w:hAnsi="Times New Roman"/>
        </w:rPr>
        <w:t>~</w:t>
      </w:r>
      <w:r>
        <w:rPr>
          <w:rFonts w:ascii="Times New Roman" w:eastAsiaTheme="minorEastAsia" w:hAnsiTheme="minorEastAsia"/>
        </w:rPr>
        <w:t>棕红色粘土及亚粘土，局部风化成磷片状，含成层分布的钙质结核。</w:t>
      </w:r>
    </w:p>
    <w:p w:rsidR="00C223F5" w:rsidRDefault="005860D5" w:rsidP="00C006A7">
      <w:pPr>
        <w:pStyle w:val="afff4"/>
        <w:adjustRightInd w:val="0"/>
        <w:snapToGrid w:val="0"/>
        <w:spacing w:before="0" w:beforeAutospacing="0" w:after="0" w:afterAutospacing="0" w:line="360" w:lineRule="auto"/>
        <w:ind w:firstLineChars="200" w:firstLine="482"/>
        <w:rPr>
          <w:rFonts w:ascii="Times New Roman" w:eastAsiaTheme="minorEastAsia" w:hAnsi="Times New Roman"/>
          <w:b/>
        </w:rPr>
      </w:pPr>
      <w:r>
        <w:rPr>
          <w:rFonts w:ascii="Times New Roman" w:eastAsiaTheme="minorEastAsia" w:hAnsiTheme="minorEastAsia"/>
          <w:b/>
        </w:rPr>
        <w:t>（</w:t>
      </w:r>
      <w:r>
        <w:rPr>
          <w:rFonts w:ascii="Times New Roman" w:eastAsiaTheme="minorEastAsia" w:hAnsi="Times New Roman" w:hint="eastAsia"/>
          <w:b/>
        </w:rPr>
        <w:t>六</w:t>
      </w:r>
      <w:r>
        <w:rPr>
          <w:rFonts w:ascii="Times New Roman" w:eastAsiaTheme="minorEastAsia" w:hAnsiTheme="minorEastAsia"/>
          <w:b/>
        </w:rPr>
        <w:t>）第四系更新统（</w:t>
      </w:r>
      <w:r>
        <w:rPr>
          <w:rFonts w:ascii="Times New Roman" w:eastAsiaTheme="minorEastAsia" w:hAnsi="Times New Roman"/>
          <w:b/>
        </w:rPr>
        <w:t>Q</w:t>
      </w:r>
      <w:r>
        <w:rPr>
          <w:rFonts w:ascii="Times New Roman" w:eastAsiaTheme="minorEastAsia" w:hAnsi="Times New Roman"/>
          <w:b/>
          <w:vertAlign w:val="subscript"/>
        </w:rPr>
        <w:t>2+3</w:t>
      </w:r>
      <w:r>
        <w:rPr>
          <w:rFonts w:ascii="Times New Roman" w:eastAsiaTheme="minorEastAsia" w:hAnsiTheme="minorEastAsia"/>
          <w:b/>
        </w:rPr>
        <w:t>）</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该地层在井田内大面积分布于沟谷边坡和梁峁。在较大沟谷边坡多形成较陡峭边坡。据钻孔揭露，厚度</w:t>
      </w:r>
      <w:r>
        <w:rPr>
          <w:rFonts w:ascii="Times New Roman" w:eastAsiaTheme="minorEastAsia" w:hAnsi="Times New Roman"/>
        </w:rPr>
        <w:t>1.80~321.19m</w:t>
      </w:r>
      <w:r>
        <w:rPr>
          <w:rFonts w:ascii="Times New Roman" w:eastAsiaTheme="minorEastAsia" w:hAnsiTheme="minorEastAsia"/>
        </w:rPr>
        <w:t>，与其下地层呈角度不整合接触。总体变化趋势由东向西，由南向北逐渐增厚。</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岩性为灰黄、褐黄色、浅棕黄色粉砂质粘土、亚砂土，半固结，柱状垂直节理发育，局部含少量豆状灰白色钙质结核；底部偶见灰白、褐黄色砂、砂卵石层。</w:t>
      </w:r>
    </w:p>
    <w:p w:rsidR="00C223F5" w:rsidRDefault="005860D5" w:rsidP="00C006A7">
      <w:pPr>
        <w:pStyle w:val="afff4"/>
        <w:adjustRightInd w:val="0"/>
        <w:snapToGrid w:val="0"/>
        <w:spacing w:before="0" w:beforeAutospacing="0" w:after="0" w:afterAutospacing="0" w:line="360" w:lineRule="auto"/>
        <w:ind w:firstLineChars="200" w:firstLine="482"/>
        <w:rPr>
          <w:rFonts w:ascii="Times New Roman" w:eastAsiaTheme="minorEastAsia" w:hAnsiTheme="minorEastAsia"/>
        </w:rPr>
      </w:pPr>
      <w:r>
        <w:rPr>
          <w:rFonts w:ascii="Times New Roman" w:eastAsiaTheme="minorEastAsia" w:hAnsiTheme="minorEastAsia"/>
          <w:b/>
        </w:rPr>
        <w:t>（</w:t>
      </w:r>
      <w:r>
        <w:rPr>
          <w:rFonts w:ascii="Times New Roman" w:eastAsiaTheme="minorEastAsia" w:hAnsi="Times New Roman" w:hint="eastAsia"/>
          <w:b/>
        </w:rPr>
        <w:t>七</w:t>
      </w:r>
      <w:r>
        <w:rPr>
          <w:rFonts w:ascii="Times New Roman" w:eastAsiaTheme="minorEastAsia" w:hAnsiTheme="minorEastAsia"/>
          <w:b/>
        </w:rPr>
        <w:t>）第四系全新统近代河流冲、洪积层（</w:t>
      </w:r>
      <w:r>
        <w:rPr>
          <w:rFonts w:ascii="Times New Roman" w:eastAsiaTheme="minorEastAsia" w:hAnsiTheme="minorEastAsia"/>
          <w:b/>
        </w:rPr>
        <w:t>Q</w:t>
      </w:r>
      <w:r>
        <w:rPr>
          <w:rFonts w:ascii="Times New Roman" w:eastAsiaTheme="minorEastAsia" w:hAnsiTheme="minorEastAsia"/>
          <w:b/>
          <w:vertAlign w:val="superscript"/>
        </w:rPr>
        <w:t>4al+pl</w:t>
      </w:r>
      <w:r>
        <w:rPr>
          <w:rFonts w:ascii="Times New Roman" w:eastAsiaTheme="minorEastAsia" w:hAnsiTheme="minorEastAsia"/>
          <w:b/>
        </w:rPr>
        <w:t>）</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沿大理河两侧及蚂蚁河呈条带状、串珠状出露，形成一级阶地，其阶面平缓，宽度一般</w:t>
      </w:r>
      <w:r>
        <w:rPr>
          <w:rFonts w:ascii="Times New Roman" w:eastAsiaTheme="minorEastAsia" w:hAnsi="Times New Roman"/>
        </w:rPr>
        <w:t>200~350m</w:t>
      </w:r>
      <w:r>
        <w:rPr>
          <w:rFonts w:ascii="Times New Roman" w:eastAsiaTheme="minorEastAsia" w:hAnsiTheme="minorEastAsia"/>
        </w:rPr>
        <w:t>不等。厚度</w:t>
      </w:r>
      <w:r>
        <w:rPr>
          <w:rFonts w:ascii="Times New Roman" w:eastAsiaTheme="minorEastAsia" w:hAnsi="Times New Roman"/>
        </w:rPr>
        <w:t>1.40~10.28m</w:t>
      </w:r>
      <w:r>
        <w:rPr>
          <w:rFonts w:ascii="Times New Roman" w:eastAsiaTheme="minorEastAsia" w:hAnsiTheme="minorEastAsia"/>
        </w:rPr>
        <w:t>。现多为村庄和农田。</w:t>
      </w:r>
    </w:p>
    <w:p w:rsidR="00C223F5" w:rsidRDefault="005860D5" w:rsidP="002D1BB7">
      <w:pPr>
        <w:pStyle w:val="afff4"/>
        <w:adjustRightInd w:val="0"/>
        <w:snapToGrid w:val="0"/>
        <w:spacing w:before="0" w:beforeAutospacing="0" w:after="0" w:afterAutospacing="0" w:line="360" w:lineRule="auto"/>
        <w:ind w:firstLineChars="200" w:firstLine="480"/>
        <w:rPr>
          <w:rFonts w:ascii="Times New Roman" w:eastAsiaTheme="minorEastAsia" w:hAnsi="Times New Roman"/>
        </w:rPr>
      </w:pPr>
      <w:r>
        <w:rPr>
          <w:rFonts w:ascii="Times New Roman" w:eastAsiaTheme="minorEastAsia" w:hAnsiTheme="minorEastAsia"/>
        </w:rPr>
        <w:t>沉积层具典型的二元结构，下部为灰白、灰黄色砂卵石层。砾石多为砂岩、粉砂岩，次棱角</w:t>
      </w:r>
      <w:r>
        <w:rPr>
          <w:rFonts w:ascii="Times New Roman" w:eastAsiaTheme="minorEastAsia" w:hAnsi="Times New Roman"/>
        </w:rPr>
        <w:t>—</w:t>
      </w:r>
      <w:r>
        <w:rPr>
          <w:rFonts w:ascii="Times New Roman" w:eastAsiaTheme="minorEastAsia" w:hAnsiTheme="minorEastAsia"/>
        </w:rPr>
        <w:t>次圆状、浑圆状，分选性差，沙泥质充填；上部主要为褐黄色粉土、砂质粘土，夹砾石层；砾石成分复杂，分选性差。</w:t>
      </w:r>
    </w:p>
    <w:p w:rsidR="00C223F5" w:rsidRPr="00EA2F6E" w:rsidRDefault="005860D5">
      <w:pPr>
        <w:adjustRightInd w:val="0"/>
        <w:snapToGrid w:val="0"/>
        <w:spacing w:line="360" w:lineRule="auto"/>
        <w:ind w:firstLineChars="200" w:firstLine="480"/>
        <w:rPr>
          <w:rFonts w:eastAsiaTheme="minorEastAsia"/>
          <w:color w:val="FF0000"/>
          <w:sz w:val="24"/>
        </w:rPr>
      </w:pPr>
      <w:r w:rsidRPr="00EA2F6E">
        <w:rPr>
          <w:rFonts w:eastAsiaTheme="minorEastAsia" w:hAnsiTheme="minorEastAsia"/>
          <w:color w:val="FF0000"/>
          <w:sz w:val="24"/>
        </w:rPr>
        <w:t>井田地层</w:t>
      </w:r>
      <w:r w:rsidRPr="00EA2F6E">
        <w:rPr>
          <w:rFonts w:eastAsiaTheme="minorEastAsia" w:hAnsiTheme="minorEastAsia" w:hint="eastAsia"/>
          <w:color w:val="FF0000"/>
          <w:sz w:val="24"/>
        </w:rPr>
        <w:t>综合柱状图</w:t>
      </w:r>
      <w:r w:rsidRPr="00EA2F6E">
        <w:rPr>
          <w:rFonts w:eastAsiaTheme="minorEastAsia" w:hAnsiTheme="minorEastAsia"/>
          <w:color w:val="FF0000"/>
          <w:sz w:val="24"/>
        </w:rPr>
        <w:t>见</w:t>
      </w:r>
      <w:r w:rsidRPr="00EA2F6E">
        <w:rPr>
          <w:rFonts w:eastAsiaTheme="minorEastAsia" w:hAnsiTheme="minorEastAsia" w:hint="eastAsia"/>
          <w:color w:val="FF0000"/>
          <w:sz w:val="24"/>
        </w:rPr>
        <w:t>图</w:t>
      </w:r>
      <w:r w:rsidRPr="00EA2F6E">
        <w:rPr>
          <w:rFonts w:eastAsiaTheme="minorEastAsia"/>
          <w:color w:val="FF0000"/>
          <w:sz w:val="24"/>
        </w:rPr>
        <w:t>3.1.5-1</w:t>
      </w:r>
      <w:r w:rsidRPr="00EA2F6E">
        <w:rPr>
          <w:rFonts w:eastAsiaTheme="minorEastAsia" w:hAnsiTheme="minorEastAsia"/>
          <w:color w:val="FF0000"/>
          <w:sz w:val="24"/>
        </w:rPr>
        <w:t>。</w:t>
      </w:r>
    </w:p>
    <w:p w:rsidR="00C223F5" w:rsidRDefault="005860D5" w:rsidP="004835BD">
      <w:pPr>
        <w:pStyle w:val="4"/>
        <w:spacing w:before="0" w:after="0" w:line="360" w:lineRule="auto"/>
        <w:ind w:firstLineChars="100" w:firstLine="240"/>
        <w:rPr>
          <w:szCs w:val="24"/>
        </w:rPr>
      </w:pPr>
      <w:r>
        <w:rPr>
          <w:rFonts w:hint="eastAsia"/>
          <w:szCs w:val="24"/>
        </w:rPr>
        <w:t>3.1.5.2</w:t>
      </w:r>
      <w:r>
        <w:rPr>
          <w:szCs w:val="24"/>
        </w:rPr>
        <w:t>构造</w:t>
      </w:r>
    </w:p>
    <w:p w:rsidR="00C223F5" w:rsidRDefault="005860D5">
      <w:pPr>
        <w:pStyle w:val="hb1"/>
        <w:ind w:firstLine="480"/>
        <w:rPr>
          <w:rFonts w:cs="Times New Roman"/>
          <w:kern w:val="2"/>
        </w:rPr>
      </w:pPr>
      <w:r>
        <w:rPr>
          <w:rFonts w:cs="Times New Roman"/>
          <w:kern w:val="2"/>
        </w:rPr>
        <w:t>井田地层总体为一走向北东、倾向北西、倾角小于</w:t>
      </w:r>
      <w:r>
        <w:rPr>
          <w:rFonts w:cs="Times New Roman"/>
          <w:kern w:val="2"/>
        </w:rPr>
        <w:t>1°</w:t>
      </w:r>
      <w:r>
        <w:rPr>
          <w:rFonts w:cs="Times New Roman"/>
          <w:kern w:val="2"/>
        </w:rPr>
        <w:t>的单斜构造。未发现落差大于</w:t>
      </w:r>
      <w:r>
        <w:rPr>
          <w:rFonts w:cs="Times New Roman"/>
          <w:kern w:val="2"/>
        </w:rPr>
        <w:t>30m</w:t>
      </w:r>
      <w:r>
        <w:rPr>
          <w:rFonts w:cs="Times New Roman"/>
          <w:kern w:val="2"/>
        </w:rPr>
        <w:t>断层和明显的褶皱构造，仅在单斜构造的框架之上，发育有一些宽缓的波状起伏。</w:t>
      </w:r>
    </w:p>
    <w:p w:rsidR="00C223F5" w:rsidRDefault="005860D5">
      <w:pPr>
        <w:pStyle w:val="hb1"/>
        <w:ind w:firstLine="480"/>
        <w:rPr>
          <w:rFonts w:cs="Times New Roman"/>
          <w:b/>
          <w:bCs w:val="0"/>
          <w:szCs w:val="24"/>
        </w:rPr>
      </w:pPr>
      <w:r>
        <w:rPr>
          <w:rFonts w:hint="eastAsia"/>
          <w:kern w:val="2"/>
          <w:szCs w:val="24"/>
        </w:rPr>
        <w:t>井田内未见</w:t>
      </w:r>
      <w:r>
        <w:rPr>
          <w:kern w:val="2"/>
          <w:szCs w:val="24"/>
        </w:rPr>
        <w:t>岩浆岩活动痕迹</w:t>
      </w:r>
      <w:r>
        <w:rPr>
          <w:rFonts w:hint="eastAsia"/>
          <w:kern w:val="2"/>
          <w:szCs w:val="24"/>
        </w:rPr>
        <w:t>，属</w:t>
      </w:r>
      <w:r>
        <w:rPr>
          <w:kern w:val="2"/>
          <w:szCs w:val="24"/>
        </w:rPr>
        <w:t>构造简单</w:t>
      </w:r>
      <w:r>
        <w:rPr>
          <w:rFonts w:hint="eastAsia"/>
          <w:kern w:val="2"/>
          <w:szCs w:val="24"/>
        </w:rPr>
        <w:t>类型</w:t>
      </w:r>
      <w:r>
        <w:rPr>
          <w:kern w:val="2"/>
          <w:szCs w:val="24"/>
        </w:rPr>
        <w:t>。</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291" w:name="_Toc525047815"/>
      <w:bookmarkStart w:id="292" w:name="_Toc16785275"/>
      <w:r>
        <w:rPr>
          <w:rFonts w:eastAsia="宋体"/>
          <w:b/>
          <w:bCs w:val="0"/>
          <w:sz w:val="28"/>
          <w:szCs w:val="28"/>
        </w:rPr>
        <w:lastRenderedPageBreak/>
        <w:t>3.1.</w:t>
      </w:r>
      <w:r>
        <w:rPr>
          <w:rFonts w:eastAsia="宋体" w:hint="eastAsia"/>
          <w:b/>
          <w:bCs w:val="0"/>
          <w:sz w:val="28"/>
          <w:szCs w:val="28"/>
        </w:rPr>
        <w:t>6</w:t>
      </w:r>
      <w:r>
        <w:rPr>
          <w:rFonts w:eastAsia="宋体"/>
          <w:b/>
          <w:bCs w:val="0"/>
          <w:sz w:val="28"/>
          <w:szCs w:val="28"/>
        </w:rPr>
        <w:t>井田水文地质条件</w:t>
      </w:r>
      <w:bookmarkEnd w:id="291"/>
      <w:bookmarkEnd w:id="292"/>
    </w:p>
    <w:p w:rsidR="00C223F5" w:rsidRDefault="005860D5" w:rsidP="004835BD">
      <w:pPr>
        <w:pStyle w:val="4"/>
        <w:spacing w:before="0" w:after="0" w:line="360" w:lineRule="auto"/>
        <w:ind w:firstLineChars="100" w:firstLine="240"/>
        <w:rPr>
          <w:bCs w:val="0"/>
        </w:rPr>
      </w:pPr>
      <w:r>
        <w:rPr>
          <w:rFonts w:hint="eastAsia"/>
          <w:szCs w:val="24"/>
        </w:rPr>
        <w:t>3.1.6.1</w:t>
      </w:r>
      <w:r>
        <w:rPr>
          <w:bCs w:val="0"/>
        </w:rPr>
        <w:t>主要含（隔）水层</w:t>
      </w:r>
    </w:p>
    <w:p w:rsidR="00C223F5" w:rsidRPr="00EA2F6E" w:rsidRDefault="005860D5" w:rsidP="002D1BB7">
      <w:pPr>
        <w:autoSpaceDE w:val="0"/>
        <w:autoSpaceDN w:val="0"/>
        <w:adjustRightInd w:val="0"/>
        <w:spacing w:line="360" w:lineRule="auto"/>
        <w:ind w:firstLineChars="200" w:firstLine="480"/>
        <w:rPr>
          <w:color w:val="FF0000"/>
          <w:sz w:val="24"/>
        </w:rPr>
      </w:pPr>
      <w:r w:rsidRPr="00EA2F6E">
        <w:rPr>
          <w:rFonts w:hAnsi="宋体"/>
          <w:color w:val="FF0000"/>
          <w:sz w:val="24"/>
        </w:rPr>
        <w:t>井田水文地质图见图</w:t>
      </w:r>
      <w:r w:rsidRPr="00EA2F6E">
        <w:rPr>
          <w:color w:val="FF0000"/>
          <w:sz w:val="24"/>
        </w:rPr>
        <w:t>3.1.</w:t>
      </w:r>
      <w:r w:rsidRPr="00EA2F6E">
        <w:rPr>
          <w:rFonts w:hint="eastAsia"/>
          <w:color w:val="FF0000"/>
          <w:sz w:val="24"/>
        </w:rPr>
        <w:t>6</w:t>
      </w:r>
      <w:r w:rsidRPr="00EA2F6E">
        <w:rPr>
          <w:color w:val="FF0000"/>
          <w:sz w:val="24"/>
        </w:rPr>
        <w:t>-1</w:t>
      </w:r>
      <w:r w:rsidRPr="00EA2F6E">
        <w:rPr>
          <w:rFonts w:hAnsi="宋体"/>
          <w:color w:val="FF0000"/>
          <w:sz w:val="24"/>
        </w:rPr>
        <w:t>。</w:t>
      </w:r>
    </w:p>
    <w:p w:rsidR="00C223F5" w:rsidRDefault="005860D5" w:rsidP="00C006A7">
      <w:pPr>
        <w:pStyle w:val="aff1"/>
        <w:spacing w:line="360" w:lineRule="auto"/>
        <w:ind w:left="0" w:firstLineChars="200" w:firstLine="482"/>
        <w:rPr>
          <w:b/>
          <w:bCs/>
          <w:szCs w:val="24"/>
        </w:rPr>
      </w:pPr>
      <w:r>
        <w:rPr>
          <w:rFonts w:hint="eastAsia"/>
          <w:b/>
          <w:bCs/>
          <w:szCs w:val="24"/>
        </w:rPr>
        <w:t>（一）</w:t>
      </w:r>
      <w:r>
        <w:rPr>
          <w:rFonts w:hAnsi="宋体"/>
          <w:b/>
          <w:bCs/>
          <w:szCs w:val="24"/>
        </w:rPr>
        <w:t>含水层</w:t>
      </w:r>
      <w:r>
        <w:rPr>
          <w:b/>
          <w:bCs/>
          <w:szCs w:val="24"/>
        </w:rPr>
        <w:tab/>
      </w:r>
    </w:p>
    <w:p w:rsidR="00C223F5" w:rsidRDefault="005860D5" w:rsidP="002D1BB7">
      <w:pPr>
        <w:pStyle w:val="aff1"/>
        <w:spacing w:line="360" w:lineRule="auto"/>
        <w:ind w:left="0" w:firstLineChars="200" w:firstLine="482"/>
        <w:rPr>
          <w:b/>
          <w:bCs/>
          <w:szCs w:val="24"/>
        </w:rPr>
      </w:pPr>
      <w:r>
        <w:rPr>
          <w:rFonts w:hAnsi="宋体" w:hint="eastAsia"/>
          <w:b/>
          <w:szCs w:val="24"/>
        </w:rPr>
        <w:t>（</w:t>
      </w:r>
      <w:r>
        <w:rPr>
          <w:rFonts w:hAnsi="宋体" w:hint="eastAsia"/>
          <w:b/>
          <w:szCs w:val="24"/>
        </w:rPr>
        <w:t>1</w:t>
      </w:r>
      <w:r>
        <w:rPr>
          <w:rFonts w:hAnsi="宋体" w:hint="eastAsia"/>
          <w:b/>
          <w:szCs w:val="24"/>
        </w:rPr>
        <w:t>）</w:t>
      </w:r>
      <w:r>
        <w:rPr>
          <w:rFonts w:hAnsi="宋体"/>
          <w:b/>
          <w:szCs w:val="24"/>
        </w:rPr>
        <w:t>第四系全新统冲、洪积层孔隙潜水含水层（</w:t>
      </w:r>
      <w:r>
        <w:rPr>
          <w:b/>
          <w:szCs w:val="24"/>
        </w:rPr>
        <w:t>Q</w:t>
      </w:r>
      <w:r>
        <w:rPr>
          <w:b/>
          <w:szCs w:val="24"/>
          <w:vertAlign w:val="subscript"/>
        </w:rPr>
        <w:t>4</w:t>
      </w:r>
      <w:r>
        <w:rPr>
          <w:b/>
          <w:szCs w:val="24"/>
          <w:vertAlign w:val="superscript"/>
        </w:rPr>
        <w:t>al+pl</w:t>
      </w:r>
      <w:r>
        <w:rPr>
          <w:rFonts w:hAnsi="宋体"/>
          <w:b/>
          <w:szCs w:val="24"/>
        </w:rPr>
        <w:t>）</w:t>
      </w:r>
    </w:p>
    <w:p w:rsidR="00C223F5" w:rsidRDefault="005860D5" w:rsidP="002D1BB7">
      <w:pPr>
        <w:pStyle w:val="aff1"/>
        <w:spacing w:line="360" w:lineRule="auto"/>
        <w:ind w:left="0" w:firstLineChars="200" w:firstLine="480"/>
        <w:rPr>
          <w:bCs/>
          <w:szCs w:val="24"/>
        </w:rPr>
      </w:pPr>
      <w:r>
        <w:rPr>
          <w:rFonts w:hAnsi="宋体"/>
          <w:szCs w:val="24"/>
        </w:rPr>
        <w:t>分布于大理河、蚂蚁河河谷及主要支沟沟谷、漫滩及阶地区，沿河谷呈片状或带状分布于河流两岸，岩性一般为粉质粘土、砂质粉土，下部一般为砂砾石层，厚度</w:t>
      </w:r>
      <w:r>
        <w:rPr>
          <w:szCs w:val="24"/>
        </w:rPr>
        <w:t>1.40</w:t>
      </w:r>
      <w:r>
        <w:rPr>
          <w:rFonts w:hAnsi="宋体" w:hint="eastAsia"/>
          <w:szCs w:val="24"/>
        </w:rPr>
        <w:t>~</w:t>
      </w:r>
      <w:r>
        <w:rPr>
          <w:szCs w:val="24"/>
        </w:rPr>
        <w:t>10.28m</w:t>
      </w:r>
      <w:r>
        <w:rPr>
          <w:rFonts w:hAnsi="宋体"/>
          <w:szCs w:val="24"/>
        </w:rPr>
        <w:t>。由于河床多见基岩出露，故阶地多为基座式阶地，富水性弱。据沿河居民多在阶地上凿井取水调查及简易抽水试验，井深</w:t>
      </w:r>
      <w:r>
        <w:rPr>
          <w:szCs w:val="24"/>
        </w:rPr>
        <w:t>9.50</w:t>
      </w:r>
      <w:r>
        <w:rPr>
          <w:rFonts w:hAnsi="宋体" w:hint="eastAsia"/>
          <w:szCs w:val="24"/>
        </w:rPr>
        <w:t>~</w:t>
      </w:r>
      <w:r>
        <w:rPr>
          <w:szCs w:val="24"/>
        </w:rPr>
        <w:t>20.35m</w:t>
      </w:r>
      <w:r>
        <w:rPr>
          <w:rFonts w:hAnsi="宋体"/>
          <w:szCs w:val="24"/>
        </w:rPr>
        <w:t>，水位埋深</w:t>
      </w:r>
      <w:r>
        <w:rPr>
          <w:szCs w:val="24"/>
        </w:rPr>
        <w:t>7.95</w:t>
      </w:r>
      <w:r>
        <w:rPr>
          <w:rFonts w:hAnsi="宋体" w:hint="eastAsia"/>
          <w:szCs w:val="24"/>
        </w:rPr>
        <w:t>~</w:t>
      </w:r>
      <w:r>
        <w:rPr>
          <w:szCs w:val="24"/>
        </w:rPr>
        <w:t>18.82m</w:t>
      </w:r>
      <w:r>
        <w:rPr>
          <w:rFonts w:hAnsi="宋体"/>
          <w:szCs w:val="24"/>
        </w:rPr>
        <w:t>，</w:t>
      </w:r>
      <w:r>
        <w:rPr>
          <w:szCs w:val="24"/>
        </w:rPr>
        <w:t>1</w:t>
      </w:r>
      <w:r>
        <w:rPr>
          <w:rFonts w:hAnsi="宋体"/>
          <w:szCs w:val="24"/>
        </w:rPr>
        <w:t>寸潜水泵在</w:t>
      </w:r>
      <w:r>
        <w:rPr>
          <w:szCs w:val="24"/>
        </w:rPr>
        <w:t>15</w:t>
      </w:r>
      <w:r>
        <w:rPr>
          <w:rFonts w:hAnsi="宋体" w:hint="eastAsia"/>
          <w:szCs w:val="24"/>
        </w:rPr>
        <w:t>~</w:t>
      </w:r>
      <w:r>
        <w:rPr>
          <w:szCs w:val="24"/>
        </w:rPr>
        <w:t>30</w:t>
      </w:r>
      <w:r>
        <w:rPr>
          <w:rFonts w:hAnsi="宋体"/>
          <w:szCs w:val="24"/>
        </w:rPr>
        <w:t>分钟抽完，</w:t>
      </w:r>
      <w:r>
        <w:rPr>
          <w:szCs w:val="24"/>
        </w:rPr>
        <w:t>15</w:t>
      </w:r>
      <w:r>
        <w:rPr>
          <w:rFonts w:hAnsi="宋体" w:hint="eastAsia"/>
          <w:szCs w:val="24"/>
        </w:rPr>
        <w:t>~</w:t>
      </w:r>
      <w:r>
        <w:rPr>
          <w:szCs w:val="24"/>
        </w:rPr>
        <w:t>24</w:t>
      </w:r>
      <w:r>
        <w:rPr>
          <w:rFonts w:hAnsi="宋体"/>
          <w:szCs w:val="24"/>
        </w:rPr>
        <w:t>小时水位恢复，富水性弱。水化学类型为</w:t>
      </w:r>
      <w:r>
        <w:rPr>
          <w:szCs w:val="24"/>
        </w:rPr>
        <w:t>S</w:t>
      </w:r>
      <w:r>
        <w:rPr>
          <w:rFonts w:hint="eastAsia"/>
          <w:szCs w:val="24"/>
        </w:rPr>
        <w:t>O</w:t>
      </w:r>
      <w:r>
        <w:rPr>
          <w:szCs w:val="24"/>
          <w:vertAlign w:val="subscript"/>
        </w:rPr>
        <w:t>4</w:t>
      </w:r>
      <w:r>
        <w:rPr>
          <w:szCs w:val="24"/>
        </w:rPr>
        <w:t>·Cl</w:t>
      </w:r>
      <w:r>
        <w:rPr>
          <w:rFonts w:hint="eastAsia"/>
          <w:szCs w:val="24"/>
        </w:rPr>
        <w:t>-</w:t>
      </w:r>
      <w:r>
        <w:rPr>
          <w:szCs w:val="24"/>
        </w:rPr>
        <w:t>K+Na</w:t>
      </w:r>
      <w:r>
        <w:rPr>
          <w:rFonts w:hAnsi="宋体"/>
          <w:szCs w:val="24"/>
        </w:rPr>
        <w:t>或</w:t>
      </w:r>
      <w:r>
        <w:rPr>
          <w:szCs w:val="24"/>
        </w:rPr>
        <w:t>Cl·S</w:t>
      </w:r>
      <w:r>
        <w:rPr>
          <w:rFonts w:hint="eastAsia"/>
          <w:szCs w:val="24"/>
        </w:rPr>
        <w:t>O</w:t>
      </w:r>
      <w:r>
        <w:rPr>
          <w:szCs w:val="24"/>
          <w:vertAlign w:val="subscript"/>
        </w:rPr>
        <w:t>4</w:t>
      </w:r>
      <w:r>
        <w:rPr>
          <w:rFonts w:hint="eastAsia"/>
          <w:szCs w:val="24"/>
        </w:rPr>
        <w:t>-</w:t>
      </w:r>
      <w:r>
        <w:rPr>
          <w:szCs w:val="24"/>
        </w:rPr>
        <w:t>K+Na·Mg</w:t>
      </w:r>
      <w:r>
        <w:rPr>
          <w:rFonts w:hAnsi="宋体"/>
          <w:szCs w:val="24"/>
        </w:rPr>
        <w:t>型水，矿化度</w:t>
      </w:r>
      <w:r>
        <w:rPr>
          <w:szCs w:val="24"/>
        </w:rPr>
        <w:t>638.87</w:t>
      </w:r>
      <w:r>
        <w:rPr>
          <w:rFonts w:hAnsi="宋体" w:hint="eastAsia"/>
          <w:szCs w:val="24"/>
        </w:rPr>
        <w:t>~</w:t>
      </w:r>
      <w:r>
        <w:rPr>
          <w:szCs w:val="24"/>
        </w:rPr>
        <w:t>1688.89mg/L</w:t>
      </w:r>
      <w:r>
        <w:rPr>
          <w:rFonts w:hAnsi="宋体"/>
          <w:szCs w:val="24"/>
        </w:rPr>
        <w:t>。</w:t>
      </w:r>
    </w:p>
    <w:p w:rsidR="00C223F5" w:rsidRDefault="005860D5" w:rsidP="002D1BB7">
      <w:pPr>
        <w:pStyle w:val="aff1"/>
        <w:spacing w:line="360" w:lineRule="auto"/>
        <w:ind w:left="0" w:firstLineChars="200" w:firstLine="482"/>
        <w:rPr>
          <w:b/>
          <w:szCs w:val="24"/>
        </w:rPr>
      </w:pPr>
      <w:r>
        <w:rPr>
          <w:rFonts w:hAnsi="宋体" w:hint="eastAsia"/>
          <w:b/>
          <w:szCs w:val="24"/>
        </w:rPr>
        <w:t>（</w:t>
      </w:r>
      <w:r>
        <w:rPr>
          <w:rFonts w:hAnsi="宋体" w:hint="eastAsia"/>
          <w:b/>
          <w:szCs w:val="24"/>
        </w:rPr>
        <w:t>2</w:t>
      </w:r>
      <w:r>
        <w:rPr>
          <w:rFonts w:hAnsi="宋体" w:hint="eastAsia"/>
          <w:b/>
          <w:szCs w:val="24"/>
        </w:rPr>
        <w:t>）</w:t>
      </w:r>
      <w:r>
        <w:rPr>
          <w:rFonts w:hAnsi="宋体"/>
          <w:b/>
          <w:szCs w:val="24"/>
        </w:rPr>
        <w:t>第四系黄土孔隙裂隙潜水含水层（</w:t>
      </w:r>
      <w:r>
        <w:rPr>
          <w:b/>
          <w:szCs w:val="24"/>
        </w:rPr>
        <w:t>Q</w:t>
      </w:r>
      <w:r>
        <w:rPr>
          <w:b/>
          <w:szCs w:val="24"/>
          <w:vertAlign w:val="subscript"/>
        </w:rPr>
        <w:t>2+3</w:t>
      </w:r>
      <w:r>
        <w:rPr>
          <w:rFonts w:hAnsi="宋体"/>
          <w:b/>
          <w:szCs w:val="24"/>
        </w:rPr>
        <w:t>）</w:t>
      </w:r>
    </w:p>
    <w:p w:rsidR="00C223F5" w:rsidRDefault="005860D5" w:rsidP="002D1BB7">
      <w:pPr>
        <w:pStyle w:val="aff1"/>
        <w:spacing w:line="360" w:lineRule="auto"/>
        <w:ind w:left="0" w:firstLineChars="200" w:firstLine="480"/>
        <w:rPr>
          <w:szCs w:val="24"/>
        </w:rPr>
      </w:pPr>
      <w:r>
        <w:rPr>
          <w:rFonts w:hAnsi="宋体"/>
          <w:szCs w:val="24"/>
        </w:rPr>
        <w:t>广泛分布于井田的梁峁地带，梁区厚，沟谷区薄，钻孔揭露厚度</w:t>
      </w:r>
      <w:r>
        <w:rPr>
          <w:szCs w:val="24"/>
        </w:rPr>
        <w:t>1.80</w:t>
      </w:r>
      <w:r>
        <w:rPr>
          <w:rFonts w:hAnsi="宋体" w:hint="eastAsia"/>
          <w:szCs w:val="24"/>
        </w:rPr>
        <w:t>~</w:t>
      </w:r>
      <w:r>
        <w:rPr>
          <w:szCs w:val="24"/>
        </w:rPr>
        <w:t>321.19m</w:t>
      </w:r>
      <w:r>
        <w:rPr>
          <w:rFonts w:hAnsi="宋体"/>
          <w:szCs w:val="24"/>
        </w:rPr>
        <w:t>，岩性为粉质黄土，大孔隙和垂直裂隙较发育，垂向渗透性大于侧向渗透性。由于该区冲沟密集，切割深度大，地形极为破碎，黄土层局部地段含水，但含水量贫乏。通过地面调查，第四系黄土无泉水出露，故黄土大部不含水或富水性弱。本含水层是矿床的间接充水含水层，对矿床充水影响较小。</w:t>
      </w:r>
    </w:p>
    <w:p w:rsidR="00C223F5" w:rsidRDefault="005860D5" w:rsidP="002D1BB7">
      <w:pPr>
        <w:pStyle w:val="aff1"/>
        <w:spacing w:line="360" w:lineRule="auto"/>
        <w:ind w:left="0" w:firstLineChars="200" w:firstLine="482"/>
        <w:rPr>
          <w:b/>
          <w:szCs w:val="24"/>
        </w:rPr>
      </w:pPr>
      <w:r>
        <w:rPr>
          <w:rFonts w:hAnsi="宋体" w:hint="eastAsia"/>
          <w:b/>
          <w:szCs w:val="24"/>
        </w:rPr>
        <w:t>（</w:t>
      </w:r>
      <w:r>
        <w:rPr>
          <w:rFonts w:hAnsi="宋体" w:hint="eastAsia"/>
          <w:b/>
          <w:szCs w:val="24"/>
        </w:rPr>
        <w:t>3</w:t>
      </w:r>
      <w:r>
        <w:rPr>
          <w:rFonts w:hAnsi="宋体" w:hint="eastAsia"/>
          <w:b/>
          <w:szCs w:val="24"/>
        </w:rPr>
        <w:t>）</w:t>
      </w:r>
      <w:r>
        <w:rPr>
          <w:rFonts w:hAnsi="宋体"/>
          <w:b/>
          <w:szCs w:val="24"/>
        </w:rPr>
        <w:t>风化基岩裂隙潜水含水层</w:t>
      </w:r>
    </w:p>
    <w:p w:rsidR="00C223F5" w:rsidRDefault="005860D5" w:rsidP="002D1BB7">
      <w:pPr>
        <w:pStyle w:val="aff1"/>
        <w:spacing w:line="360" w:lineRule="auto"/>
        <w:ind w:left="0" w:firstLineChars="200" w:firstLine="480"/>
        <w:rPr>
          <w:szCs w:val="24"/>
        </w:rPr>
      </w:pPr>
      <w:r>
        <w:rPr>
          <w:rFonts w:hAnsi="宋体"/>
          <w:szCs w:val="24"/>
        </w:rPr>
        <w:t>井田内基岩顶部分布有</w:t>
      </w:r>
      <w:r>
        <w:rPr>
          <w:szCs w:val="24"/>
        </w:rPr>
        <w:t>5.00</w:t>
      </w:r>
      <w:r>
        <w:rPr>
          <w:rFonts w:hAnsi="宋体" w:hint="eastAsia"/>
          <w:szCs w:val="24"/>
        </w:rPr>
        <w:t>~</w:t>
      </w:r>
      <w:r>
        <w:rPr>
          <w:szCs w:val="24"/>
        </w:rPr>
        <w:t>41.70m</w:t>
      </w:r>
      <w:r>
        <w:rPr>
          <w:rFonts w:hAnsi="宋体"/>
          <w:szCs w:val="24"/>
        </w:rPr>
        <w:t>厚的风化裂隙带，西南较厚东部及北部较薄，由于地形破碎，起伏变化大，风化裂隙带亦随地形起伏变化，故不能形成一个较连续的储水空间。通过以往风化岩含水段层抽水试验资料，含水层厚度</w:t>
      </w:r>
      <w:r>
        <w:rPr>
          <w:szCs w:val="24"/>
        </w:rPr>
        <w:t>16.31</w:t>
      </w:r>
      <w:r>
        <w:rPr>
          <w:rFonts w:hAnsi="宋体" w:hint="eastAsia"/>
          <w:szCs w:val="24"/>
        </w:rPr>
        <w:t>~</w:t>
      </w:r>
      <w:r>
        <w:rPr>
          <w:szCs w:val="24"/>
        </w:rPr>
        <w:t>28.00m</w:t>
      </w:r>
      <w:r>
        <w:rPr>
          <w:rFonts w:hAnsi="宋体"/>
          <w:szCs w:val="24"/>
        </w:rPr>
        <w:t>，水位标高</w:t>
      </w:r>
      <w:r>
        <w:rPr>
          <w:szCs w:val="24"/>
        </w:rPr>
        <w:t>1164.14</w:t>
      </w:r>
      <w:r>
        <w:rPr>
          <w:rFonts w:hAnsi="宋体" w:hint="eastAsia"/>
          <w:szCs w:val="24"/>
        </w:rPr>
        <w:t>~</w:t>
      </w:r>
      <w:r>
        <w:rPr>
          <w:szCs w:val="24"/>
        </w:rPr>
        <w:t>1186.02m</w:t>
      </w:r>
      <w:r>
        <w:rPr>
          <w:rFonts w:hAnsi="宋体"/>
          <w:szCs w:val="24"/>
        </w:rPr>
        <w:t>，涌水量</w:t>
      </w:r>
      <w:r>
        <w:rPr>
          <w:szCs w:val="24"/>
        </w:rPr>
        <w:t>Q=0.071</w:t>
      </w:r>
      <w:r>
        <w:rPr>
          <w:rFonts w:hAnsi="宋体" w:hint="eastAsia"/>
          <w:szCs w:val="24"/>
        </w:rPr>
        <w:t>~</w:t>
      </w:r>
      <w:r>
        <w:rPr>
          <w:szCs w:val="24"/>
        </w:rPr>
        <w:t>0.080L/</w:t>
      </w:r>
      <w:proofErr w:type="spellStart"/>
      <w:r>
        <w:rPr>
          <w:szCs w:val="24"/>
        </w:rPr>
        <w:t>s·m</w:t>
      </w:r>
      <w:proofErr w:type="spellEnd"/>
      <w:r>
        <w:rPr>
          <w:rFonts w:hAnsi="宋体"/>
          <w:szCs w:val="24"/>
        </w:rPr>
        <w:t>，统降统径单位涌水量</w:t>
      </w:r>
      <w:r>
        <w:rPr>
          <w:szCs w:val="24"/>
        </w:rPr>
        <w:t>q=0.002751</w:t>
      </w:r>
      <w:r>
        <w:rPr>
          <w:rFonts w:hAnsi="宋体" w:hint="eastAsia"/>
          <w:szCs w:val="24"/>
        </w:rPr>
        <w:t>~</w:t>
      </w:r>
      <w:r>
        <w:rPr>
          <w:szCs w:val="24"/>
        </w:rPr>
        <w:t>0.002833L/</w:t>
      </w:r>
      <w:proofErr w:type="spellStart"/>
      <w:r>
        <w:rPr>
          <w:szCs w:val="24"/>
        </w:rPr>
        <w:t>s·m</w:t>
      </w:r>
      <w:proofErr w:type="spellEnd"/>
      <w:r>
        <w:rPr>
          <w:rFonts w:hAnsi="宋体"/>
          <w:szCs w:val="24"/>
        </w:rPr>
        <w:t>，平均渗透系数</w:t>
      </w:r>
      <w:r>
        <w:rPr>
          <w:szCs w:val="24"/>
        </w:rPr>
        <w:t>K=0.01136</w:t>
      </w:r>
      <w:r>
        <w:rPr>
          <w:rFonts w:hAnsi="宋体" w:hint="eastAsia"/>
          <w:szCs w:val="24"/>
        </w:rPr>
        <w:t>~</w:t>
      </w:r>
      <w:r>
        <w:rPr>
          <w:szCs w:val="24"/>
        </w:rPr>
        <w:t>0.01995m/d</w:t>
      </w:r>
      <w:r>
        <w:rPr>
          <w:rFonts w:hAnsi="宋体"/>
          <w:szCs w:val="24"/>
        </w:rPr>
        <w:t>，矿化度</w:t>
      </w:r>
      <w:r>
        <w:rPr>
          <w:szCs w:val="24"/>
        </w:rPr>
        <w:t>M=1.611</w:t>
      </w:r>
      <w:r>
        <w:rPr>
          <w:rFonts w:hAnsi="宋体" w:hint="eastAsia"/>
          <w:szCs w:val="24"/>
        </w:rPr>
        <w:t>~</w:t>
      </w:r>
      <w:r>
        <w:rPr>
          <w:szCs w:val="24"/>
        </w:rPr>
        <w:t>1.733g/L</w:t>
      </w:r>
      <w:r>
        <w:rPr>
          <w:rFonts w:hAnsi="宋体"/>
          <w:szCs w:val="24"/>
        </w:rPr>
        <w:t>。水文地质调查</w:t>
      </w:r>
      <w:r>
        <w:rPr>
          <w:szCs w:val="24"/>
        </w:rPr>
        <w:t>11</w:t>
      </w:r>
      <w:r>
        <w:rPr>
          <w:rFonts w:hAnsi="宋体"/>
          <w:szCs w:val="24"/>
        </w:rPr>
        <w:t>个风化岩泉水点，最大涌水量为</w:t>
      </w:r>
      <w:r>
        <w:rPr>
          <w:szCs w:val="24"/>
        </w:rPr>
        <w:t>0.454L/s</w:t>
      </w:r>
      <w:r>
        <w:rPr>
          <w:rFonts w:hAnsi="宋体"/>
          <w:szCs w:val="24"/>
        </w:rPr>
        <w:t>，最小涌水量为</w:t>
      </w:r>
      <w:r>
        <w:rPr>
          <w:szCs w:val="24"/>
        </w:rPr>
        <w:t>0.071L/s</w:t>
      </w:r>
      <w:r>
        <w:rPr>
          <w:rFonts w:hAnsi="宋体"/>
          <w:szCs w:val="24"/>
        </w:rPr>
        <w:t>，富水性弱。水化学类型以</w:t>
      </w:r>
      <w:r>
        <w:rPr>
          <w:szCs w:val="24"/>
        </w:rPr>
        <w:t>S</w:t>
      </w:r>
      <w:r>
        <w:rPr>
          <w:rFonts w:hint="eastAsia"/>
          <w:szCs w:val="24"/>
        </w:rPr>
        <w:t>O</w:t>
      </w:r>
      <w:r>
        <w:rPr>
          <w:szCs w:val="24"/>
          <w:vertAlign w:val="subscript"/>
        </w:rPr>
        <w:t>4</w:t>
      </w:r>
      <w:r>
        <w:rPr>
          <w:szCs w:val="24"/>
        </w:rPr>
        <w:t>· HCO</w:t>
      </w:r>
      <w:r>
        <w:rPr>
          <w:szCs w:val="24"/>
          <w:vertAlign w:val="subscript"/>
        </w:rPr>
        <w:t>3</w:t>
      </w:r>
      <w:r>
        <w:rPr>
          <w:szCs w:val="24"/>
        </w:rPr>
        <w:t>·Cl</w:t>
      </w:r>
      <w:r>
        <w:rPr>
          <w:rFonts w:hint="eastAsia"/>
          <w:szCs w:val="24"/>
        </w:rPr>
        <w:t>-</w:t>
      </w:r>
      <w:r>
        <w:rPr>
          <w:szCs w:val="24"/>
        </w:rPr>
        <w:t>Na·Mg</w:t>
      </w:r>
      <w:r>
        <w:rPr>
          <w:rFonts w:hAnsi="宋体"/>
          <w:szCs w:val="24"/>
        </w:rPr>
        <w:t>型水为主。矿化度一般为</w:t>
      </w:r>
      <w:r>
        <w:rPr>
          <w:szCs w:val="24"/>
        </w:rPr>
        <w:t>1599.3</w:t>
      </w:r>
      <w:r>
        <w:rPr>
          <w:rFonts w:hAnsi="宋体" w:hint="eastAsia"/>
          <w:szCs w:val="24"/>
        </w:rPr>
        <w:t>~</w:t>
      </w:r>
      <w:r>
        <w:rPr>
          <w:szCs w:val="24"/>
        </w:rPr>
        <w:t>2119.36mg/L</w:t>
      </w:r>
      <w:r>
        <w:rPr>
          <w:rFonts w:hAnsi="宋体"/>
          <w:szCs w:val="24"/>
        </w:rPr>
        <w:t>。本含水层是矿床的间接充水含水层，对矿床充水影响较小。</w:t>
      </w:r>
    </w:p>
    <w:p w:rsidR="00C223F5" w:rsidRDefault="005860D5" w:rsidP="002D1BB7">
      <w:pPr>
        <w:pStyle w:val="aff1"/>
        <w:spacing w:line="360" w:lineRule="auto"/>
        <w:ind w:left="0" w:firstLineChars="200" w:firstLine="482"/>
        <w:rPr>
          <w:b/>
          <w:szCs w:val="24"/>
        </w:rPr>
      </w:pPr>
      <w:r>
        <w:rPr>
          <w:rFonts w:hAnsi="宋体" w:hint="eastAsia"/>
          <w:b/>
          <w:szCs w:val="24"/>
        </w:rPr>
        <w:t>（</w:t>
      </w:r>
      <w:r>
        <w:rPr>
          <w:rFonts w:hAnsi="宋体" w:hint="eastAsia"/>
          <w:b/>
          <w:szCs w:val="24"/>
        </w:rPr>
        <w:t>4</w:t>
      </w:r>
      <w:r>
        <w:rPr>
          <w:rFonts w:hAnsi="宋体" w:hint="eastAsia"/>
          <w:b/>
          <w:szCs w:val="24"/>
        </w:rPr>
        <w:t>）</w:t>
      </w:r>
      <w:r>
        <w:rPr>
          <w:rFonts w:hAnsi="宋体"/>
          <w:b/>
          <w:szCs w:val="24"/>
        </w:rPr>
        <w:t>侏罗系中统延安组裂隙承压含水层</w:t>
      </w:r>
    </w:p>
    <w:p w:rsidR="00C223F5" w:rsidRDefault="005860D5" w:rsidP="002D1BB7">
      <w:pPr>
        <w:pStyle w:val="aff1"/>
        <w:spacing w:line="360" w:lineRule="auto"/>
        <w:ind w:left="0" w:firstLineChars="200" w:firstLine="480"/>
        <w:rPr>
          <w:szCs w:val="24"/>
        </w:rPr>
      </w:pPr>
      <w:r>
        <w:rPr>
          <w:rFonts w:hAnsi="宋体"/>
          <w:szCs w:val="24"/>
        </w:rPr>
        <w:lastRenderedPageBreak/>
        <w:t>侏罗系中统延安组因受后期剥蚀保留不全，岩性为一套浅灰色中细粒砂岩与砂质泥岩、炭质泥岩互层。钻孔揭露厚度为</w:t>
      </w:r>
      <w:r>
        <w:rPr>
          <w:szCs w:val="24"/>
        </w:rPr>
        <w:t>0</w:t>
      </w:r>
      <w:r>
        <w:rPr>
          <w:rFonts w:hAnsi="宋体" w:hint="eastAsia"/>
          <w:szCs w:val="24"/>
        </w:rPr>
        <w:t>~</w:t>
      </w:r>
      <w:r>
        <w:rPr>
          <w:szCs w:val="24"/>
        </w:rPr>
        <w:t>132.24m</w:t>
      </w:r>
      <w:r>
        <w:rPr>
          <w:rFonts w:hAnsi="宋体"/>
          <w:szCs w:val="24"/>
        </w:rPr>
        <w:t>左右</w:t>
      </w:r>
      <w:r>
        <w:rPr>
          <w:rFonts w:hint="eastAsia"/>
          <w:szCs w:val="24"/>
        </w:rPr>
        <w:t>，</w:t>
      </w:r>
      <w:r>
        <w:rPr>
          <w:rFonts w:hAnsi="宋体"/>
          <w:szCs w:val="24"/>
        </w:rPr>
        <w:t>节理裂隙不发育，富水性弱。本含水层是矿床的间接充水含水层，对矿床充水影响较小。</w:t>
      </w:r>
    </w:p>
    <w:p w:rsidR="00C223F5" w:rsidRDefault="005860D5" w:rsidP="002D1BB7">
      <w:pPr>
        <w:pStyle w:val="aff1"/>
        <w:spacing w:line="360" w:lineRule="auto"/>
        <w:ind w:left="0" w:firstLineChars="200" w:firstLine="482"/>
        <w:rPr>
          <w:b/>
          <w:szCs w:val="24"/>
        </w:rPr>
      </w:pPr>
      <w:r>
        <w:rPr>
          <w:rFonts w:hAnsi="宋体" w:hint="eastAsia"/>
          <w:b/>
          <w:szCs w:val="24"/>
        </w:rPr>
        <w:t>（</w:t>
      </w:r>
      <w:r>
        <w:rPr>
          <w:rFonts w:hAnsi="宋体" w:hint="eastAsia"/>
          <w:b/>
          <w:szCs w:val="24"/>
        </w:rPr>
        <w:t>5</w:t>
      </w:r>
      <w:r>
        <w:rPr>
          <w:rFonts w:hAnsi="宋体" w:hint="eastAsia"/>
          <w:b/>
          <w:szCs w:val="24"/>
        </w:rPr>
        <w:t>）</w:t>
      </w:r>
      <w:r>
        <w:rPr>
          <w:rFonts w:hAnsi="宋体"/>
          <w:b/>
          <w:szCs w:val="24"/>
        </w:rPr>
        <w:t>三叠系上统瓦窑堡组基岩孔隙裂隙承压水</w:t>
      </w:r>
    </w:p>
    <w:p w:rsidR="00C223F5" w:rsidRDefault="005860D5" w:rsidP="002D1BB7">
      <w:pPr>
        <w:pStyle w:val="aff1"/>
        <w:spacing w:line="360" w:lineRule="auto"/>
        <w:ind w:left="0" w:firstLineChars="200" w:firstLine="480"/>
        <w:rPr>
          <w:szCs w:val="24"/>
        </w:rPr>
      </w:pPr>
      <w:r>
        <w:rPr>
          <w:rFonts w:hAnsi="宋体"/>
          <w:szCs w:val="24"/>
        </w:rPr>
        <w:t>瓦窑堡组为井田的含煤地层，含水层岩性主要为中、细粒砂岩，局部粗粒砂岩，泥质胶结或硅质胶结，结构致密，裂隙发育微弱。煤系地层抽水试验表明：含水层厚度</w:t>
      </w:r>
      <w:r>
        <w:rPr>
          <w:szCs w:val="24"/>
        </w:rPr>
        <w:t>111.43</w:t>
      </w:r>
      <w:r>
        <w:rPr>
          <w:rFonts w:hAnsi="宋体" w:hint="eastAsia"/>
          <w:szCs w:val="24"/>
        </w:rPr>
        <w:t>~</w:t>
      </w:r>
      <w:r>
        <w:rPr>
          <w:szCs w:val="24"/>
        </w:rPr>
        <w:t>154.41m</w:t>
      </w:r>
      <w:r>
        <w:rPr>
          <w:rFonts w:hAnsi="宋体"/>
          <w:szCs w:val="24"/>
        </w:rPr>
        <w:t>，统降统径单位涌水量</w:t>
      </w:r>
      <w:r>
        <w:rPr>
          <w:szCs w:val="24"/>
        </w:rPr>
        <w:t>q=0.001279</w:t>
      </w:r>
      <w:r>
        <w:rPr>
          <w:rFonts w:hAnsi="宋体" w:hint="eastAsia"/>
          <w:szCs w:val="24"/>
        </w:rPr>
        <w:t>~</w:t>
      </w:r>
      <w:r>
        <w:rPr>
          <w:szCs w:val="24"/>
        </w:rPr>
        <w:t>0.002706L/</w:t>
      </w:r>
      <w:proofErr w:type="spellStart"/>
      <w:r>
        <w:rPr>
          <w:szCs w:val="24"/>
        </w:rPr>
        <w:t>s·m</w:t>
      </w:r>
      <w:proofErr w:type="spellEnd"/>
      <w:r>
        <w:rPr>
          <w:rFonts w:hAnsi="宋体"/>
          <w:szCs w:val="24"/>
        </w:rPr>
        <w:t>，各含水岩段富水性均弱，渗透系数</w:t>
      </w:r>
      <w:r>
        <w:rPr>
          <w:szCs w:val="24"/>
        </w:rPr>
        <w:t>K=0.001160</w:t>
      </w:r>
      <w:r>
        <w:rPr>
          <w:rFonts w:hAnsi="宋体" w:hint="eastAsia"/>
          <w:szCs w:val="24"/>
        </w:rPr>
        <w:t>~</w:t>
      </w:r>
      <w:r>
        <w:rPr>
          <w:szCs w:val="24"/>
        </w:rPr>
        <w:t>0.001745m/d</w:t>
      </w:r>
      <w:r>
        <w:rPr>
          <w:rFonts w:hAnsi="宋体"/>
          <w:szCs w:val="24"/>
        </w:rPr>
        <w:t>，水质由浅向深逐渐变差，水化学类型主要为</w:t>
      </w:r>
      <w:r>
        <w:rPr>
          <w:szCs w:val="24"/>
        </w:rPr>
        <w:t>SO</w:t>
      </w:r>
      <w:r>
        <w:rPr>
          <w:szCs w:val="24"/>
          <w:vertAlign w:val="subscript"/>
        </w:rPr>
        <w:t>4</w:t>
      </w:r>
      <w:r>
        <w:rPr>
          <w:szCs w:val="24"/>
        </w:rPr>
        <w:t>•Cl•HCO</w:t>
      </w:r>
      <w:r>
        <w:rPr>
          <w:szCs w:val="24"/>
          <w:vertAlign w:val="subscript"/>
        </w:rPr>
        <w:t>3</w:t>
      </w:r>
      <w:r>
        <w:rPr>
          <w:rFonts w:hAnsi="宋体" w:hint="eastAsia"/>
          <w:szCs w:val="24"/>
        </w:rPr>
        <w:t>-</w:t>
      </w:r>
      <w:r>
        <w:rPr>
          <w:szCs w:val="24"/>
        </w:rPr>
        <w:t>Na·Mg</w:t>
      </w:r>
      <w:r>
        <w:rPr>
          <w:rFonts w:hAnsi="宋体"/>
          <w:szCs w:val="24"/>
        </w:rPr>
        <w:t>或</w:t>
      </w:r>
      <w:r>
        <w:rPr>
          <w:szCs w:val="24"/>
        </w:rPr>
        <w:t>SO</w:t>
      </w:r>
      <w:r>
        <w:rPr>
          <w:szCs w:val="24"/>
          <w:vertAlign w:val="subscript"/>
        </w:rPr>
        <w:t>4</w:t>
      </w:r>
      <w:r>
        <w:rPr>
          <w:szCs w:val="24"/>
        </w:rPr>
        <w:t>•Cl</w:t>
      </w:r>
      <w:r>
        <w:rPr>
          <w:rFonts w:hint="eastAsia"/>
          <w:szCs w:val="24"/>
        </w:rPr>
        <w:t>-</w:t>
      </w:r>
      <w:r>
        <w:rPr>
          <w:szCs w:val="24"/>
        </w:rPr>
        <w:t>Na·Mg</w:t>
      </w:r>
      <w:r>
        <w:rPr>
          <w:rFonts w:hAnsi="宋体"/>
          <w:szCs w:val="24"/>
        </w:rPr>
        <w:t>型。根据储量核实报告，局部巷道有滴水、渗水现象，水量较小，对矿井开采影响不大。本含水层是矿床的直接充水含水层，对矿床充水有直接的影响。</w:t>
      </w:r>
    </w:p>
    <w:p w:rsidR="00C223F5" w:rsidRDefault="005860D5" w:rsidP="00C006A7">
      <w:pPr>
        <w:pStyle w:val="aff1"/>
        <w:spacing w:line="360" w:lineRule="auto"/>
        <w:ind w:left="0" w:firstLineChars="200" w:firstLine="482"/>
        <w:rPr>
          <w:b/>
          <w:bCs/>
          <w:szCs w:val="24"/>
        </w:rPr>
      </w:pPr>
      <w:r>
        <w:rPr>
          <w:rFonts w:hint="eastAsia"/>
          <w:b/>
          <w:bCs/>
          <w:szCs w:val="24"/>
        </w:rPr>
        <w:t>（二）</w:t>
      </w:r>
      <w:r>
        <w:rPr>
          <w:b/>
          <w:bCs/>
          <w:szCs w:val="24"/>
        </w:rPr>
        <w:t>隔水层</w:t>
      </w:r>
    </w:p>
    <w:p w:rsidR="00C223F5" w:rsidRDefault="005860D5" w:rsidP="002D1BB7">
      <w:pPr>
        <w:pStyle w:val="aff1"/>
        <w:spacing w:line="360" w:lineRule="auto"/>
        <w:ind w:left="0" w:firstLineChars="200" w:firstLine="480"/>
        <w:rPr>
          <w:szCs w:val="24"/>
        </w:rPr>
      </w:pPr>
      <w:r>
        <w:rPr>
          <w:rFonts w:hAnsi="宋体"/>
          <w:szCs w:val="24"/>
        </w:rPr>
        <w:t>井田内的隔水层主要是新近系上新统保德组红土；侏罗系下统富县组隔水层；油页岩隔水层；正常基岩中的泥岩和粉砂岩。</w:t>
      </w:r>
    </w:p>
    <w:p w:rsidR="00C223F5" w:rsidRDefault="005860D5" w:rsidP="002D1BB7">
      <w:pPr>
        <w:pStyle w:val="aff1"/>
        <w:spacing w:line="360" w:lineRule="auto"/>
        <w:ind w:left="0" w:firstLineChars="200" w:firstLine="482"/>
        <w:rPr>
          <w:b/>
          <w:szCs w:val="24"/>
        </w:rPr>
      </w:pPr>
      <w:r>
        <w:rPr>
          <w:rFonts w:hAnsi="宋体" w:hint="eastAsia"/>
          <w:b/>
          <w:szCs w:val="24"/>
        </w:rPr>
        <w:t>（</w:t>
      </w:r>
      <w:r>
        <w:rPr>
          <w:rFonts w:hAnsi="宋体" w:hint="eastAsia"/>
          <w:b/>
          <w:szCs w:val="24"/>
        </w:rPr>
        <w:t>1</w:t>
      </w:r>
      <w:r>
        <w:rPr>
          <w:rFonts w:hAnsi="宋体" w:hint="eastAsia"/>
          <w:b/>
          <w:szCs w:val="24"/>
        </w:rPr>
        <w:t>）</w:t>
      </w:r>
      <w:r>
        <w:rPr>
          <w:rFonts w:hAnsi="宋体"/>
          <w:b/>
          <w:szCs w:val="24"/>
        </w:rPr>
        <w:t>新近系上新统保德组红土隔水层</w:t>
      </w:r>
    </w:p>
    <w:p w:rsidR="00C223F5" w:rsidRDefault="005860D5" w:rsidP="002D1BB7">
      <w:pPr>
        <w:pStyle w:val="aff1"/>
        <w:spacing w:line="360" w:lineRule="auto"/>
        <w:ind w:left="0" w:firstLineChars="200" w:firstLine="480"/>
        <w:rPr>
          <w:szCs w:val="24"/>
        </w:rPr>
      </w:pPr>
      <w:r>
        <w:rPr>
          <w:rFonts w:hAnsi="宋体"/>
          <w:szCs w:val="24"/>
        </w:rPr>
        <w:t>新近系保德组红土出露于矿井的麻地沟、清水沟等大理河支沟的沟掌及沟谷两侧。因第四纪剥蚀，其厚度变化大，据钻孔揭露，厚度为</w:t>
      </w:r>
      <w:r>
        <w:rPr>
          <w:szCs w:val="24"/>
        </w:rPr>
        <w:t>0</w:t>
      </w:r>
      <w:r>
        <w:rPr>
          <w:rFonts w:hAnsi="宋体" w:hint="eastAsia"/>
          <w:szCs w:val="24"/>
        </w:rPr>
        <w:t>~</w:t>
      </w:r>
      <w:r>
        <w:rPr>
          <w:szCs w:val="24"/>
        </w:rPr>
        <w:t>140.70m</w:t>
      </w:r>
      <w:r>
        <w:rPr>
          <w:rFonts w:hAnsi="宋体"/>
          <w:szCs w:val="24"/>
        </w:rPr>
        <w:t>，平均</w:t>
      </w:r>
      <w:r>
        <w:rPr>
          <w:szCs w:val="24"/>
        </w:rPr>
        <w:t>48.00m</w:t>
      </w:r>
      <w:r>
        <w:rPr>
          <w:rFonts w:hAnsi="宋体"/>
          <w:szCs w:val="24"/>
        </w:rPr>
        <w:t>。岩性为棕红色粘土、亚粘土，块状，风化后呈鳞片状剥落。红土一般结构致密</w:t>
      </w:r>
      <w:r>
        <w:rPr>
          <w:szCs w:val="24"/>
        </w:rPr>
        <w:t xml:space="preserve"> ,</w:t>
      </w:r>
      <w:r>
        <w:rPr>
          <w:rFonts w:hAnsi="宋体"/>
          <w:szCs w:val="24"/>
        </w:rPr>
        <w:t>半坚硬状。根据钻孔揭露及野外地质填图显示红土层基本不含水或水量甚微，富水性弱，是井田内相对隔水层。</w:t>
      </w:r>
    </w:p>
    <w:p w:rsidR="00C223F5" w:rsidRDefault="005860D5" w:rsidP="002D1BB7">
      <w:pPr>
        <w:pStyle w:val="aff1"/>
        <w:spacing w:line="360" w:lineRule="auto"/>
        <w:ind w:left="0" w:firstLineChars="200" w:firstLine="482"/>
        <w:rPr>
          <w:rFonts w:hAnsi="宋体"/>
          <w:b/>
          <w:szCs w:val="24"/>
        </w:rPr>
      </w:pPr>
      <w:r>
        <w:rPr>
          <w:rFonts w:hAnsi="宋体" w:hint="eastAsia"/>
          <w:b/>
          <w:szCs w:val="24"/>
        </w:rPr>
        <w:t>（</w:t>
      </w:r>
      <w:r>
        <w:rPr>
          <w:rFonts w:hAnsi="宋体" w:hint="eastAsia"/>
          <w:b/>
          <w:szCs w:val="24"/>
        </w:rPr>
        <w:t>2</w:t>
      </w:r>
      <w:r>
        <w:rPr>
          <w:rFonts w:hAnsi="宋体" w:hint="eastAsia"/>
          <w:b/>
          <w:szCs w:val="24"/>
        </w:rPr>
        <w:t>）</w:t>
      </w:r>
      <w:r>
        <w:rPr>
          <w:rFonts w:hAnsi="宋体"/>
          <w:b/>
          <w:szCs w:val="24"/>
        </w:rPr>
        <w:t>侏罗系下统富县组隔水层</w:t>
      </w:r>
    </w:p>
    <w:p w:rsidR="00C223F5" w:rsidRDefault="005860D5" w:rsidP="002D1BB7">
      <w:pPr>
        <w:pStyle w:val="aff1"/>
        <w:spacing w:line="360" w:lineRule="auto"/>
        <w:ind w:left="0" w:firstLineChars="200" w:firstLine="480"/>
        <w:rPr>
          <w:szCs w:val="24"/>
        </w:rPr>
      </w:pPr>
      <w:r>
        <w:rPr>
          <w:rFonts w:hAnsi="宋体"/>
          <w:szCs w:val="24"/>
        </w:rPr>
        <w:t>受后期地层剥蚀保存不全，厚度</w:t>
      </w:r>
      <w:r>
        <w:rPr>
          <w:szCs w:val="24"/>
        </w:rPr>
        <w:t>0</w:t>
      </w:r>
      <w:r>
        <w:rPr>
          <w:rFonts w:hAnsi="宋体" w:hint="eastAsia"/>
          <w:szCs w:val="24"/>
        </w:rPr>
        <w:t>~</w:t>
      </w:r>
      <w:r>
        <w:rPr>
          <w:szCs w:val="24"/>
        </w:rPr>
        <w:t>13.33m</w:t>
      </w:r>
      <w:r>
        <w:rPr>
          <w:rFonts w:hAnsi="宋体"/>
          <w:szCs w:val="24"/>
        </w:rPr>
        <w:t>，平均厚度</w:t>
      </w:r>
      <w:r>
        <w:rPr>
          <w:szCs w:val="24"/>
        </w:rPr>
        <w:t>4.28m</w:t>
      </w:r>
      <w:r>
        <w:rPr>
          <w:rFonts w:hAnsi="宋体"/>
          <w:szCs w:val="24"/>
        </w:rPr>
        <w:t>。岩性主要为紫杂色、灰绿色泥岩和粉砂岩。裂隙不发育，富水性弱。</w:t>
      </w:r>
    </w:p>
    <w:p w:rsidR="00C223F5" w:rsidRDefault="005860D5" w:rsidP="002D1BB7">
      <w:pPr>
        <w:pStyle w:val="aff1"/>
        <w:spacing w:line="360" w:lineRule="auto"/>
        <w:ind w:left="0" w:firstLineChars="200" w:firstLine="482"/>
        <w:rPr>
          <w:rFonts w:hAnsi="宋体"/>
          <w:b/>
          <w:szCs w:val="24"/>
        </w:rPr>
      </w:pPr>
      <w:r>
        <w:rPr>
          <w:rFonts w:hAnsi="宋体" w:hint="eastAsia"/>
          <w:b/>
          <w:szCs w:val="24"/>
        </w:rPr>
        <w:t>（</w:t>
      </w:r>
      <w:r>
        <w:rPr>
          <w:rFonts w:hAnsi="宋体" w:hint="eastAsia"/>
          <w:b/>
          <w:szCs w:val="24"/>
        </w:rPr>
        <w:t>3</w:t>
      </w:r>
      <w:r>
        <w:rPr>
          <w:rFonts w:hAnsi="宋体" w:hint="eastAsia"/>
          <w:b/>
          <w:szCs w:val="24"/>
        </w:rPr>
        <w:t>）</w:t>
      </w:r>
      <w:r>
        <w:rPr>
          <w:rFonts w:hAnsi="宋体"/>
          <w:b/>
          <w:szCs w:val="24"/>
        </w:rPr>
        <w:t>油页岩的隔水性</w:t>
      </w:r>
    </w:p>
    <w:p w:rsidR="00C223F5" w:rsidRDefault="005860D5" w:rsidP="002D1BB7">
      <w:pPr>
        <w:pStyle w:val="aff1"/>
        <w:spacing w:line="360" w:lineRule="auto"/>
        <w:ind w:left="0" w:firstLineChars="200" w:firstLine="480"/>
        <w:rPr>
          <w:szCs w:val="24"/>
        </w:rPr>
      </w:pPr>
      <w:r>
        <w:rPr>
          <w:rFonts w:hAnsi="宋体"/>
          <w:szCs w:val="24"/>
        </w:rPr>
        <w:t>基本全区分布，厚度</w:t>
      </w:r>
      <w:r>
        <w:rPr>
          <w:szCs w:val="24"/>
        </w:rPr>
        <w:t>0</w:t>
      </w:r>
      <w:r>
        <w:rPr>
          <w:rFonts w:hAnsi="宋体" w:hint="eastAsia"/>
          <w:szCs w:val="24"/>
        </w:rPr>
        <w:t>~</w:t>
      </w:r>
      <w:r>
        <w:rPr>
          <w:szCs w:val="24"/>
        </w:rPr>
        <w:t>10.95m</w:t>
      </w:r>
      <w:r>
        <w:rPr>
          <w:rFonts w:hAnsi="宋体"/>
          <w:szCs w:val="24"/>
        </w:rPr>
        <w:t>，平均厚度</w:t>
      </w:r>
      <w:r>
        <w:rPr>
          <w:szCs w:val="24"/>
        </w:rPr>
        <w:t>4.62m</w:t>
      </w:r>
      <w:r>
        <w:rPr>
          <w:rFonts w:hAnsi="宋体"/>
          <w:szCs w:val="24"/>
        </w:rPr>
        <w:t>，岩性致密，裂隙不发育，富水性弱。</w:t>
      </w:r>
    </w:p>
    <w:p w:rsidR="00C223F5" w:rsidRDefault="005860D5" w:rsidP="002D1BB7">
      <w:pPr>
        <w:pStyle w:val="aff1"/>
        <w:spacing w:line="360" w:lineRule="auto"/>
        <w:ind w:left="0" w:firstLineChars="200" w:firstLine="482"/>
        <w:rPr>
          <w:b/>
          <w:szCs w:val="24"/>
        </w:rPr>
      </w:pPr>
      <w:r>
        <w:rPr>
          <w:rFonts w:hint="eastAsia"/>
          <w:b/>
          <w:szCs w:val="24"/>
        </w:rPr>
        <w:t>（</w:t>
      </w:r>
      <w:r>
        <w:rPr>
          <w:rFonts w:hint="eastAsia"/>
          <w:b/>
          <w:szCs w:val="24"/>
        </w:rPr>
        <w:t>4</w:t>
      </w:r>
      <w:r>
        <w:rPr>
          <w:rFonts w:hint="eastAsia"/>
          <w:b/>
          <w:szCs w:val="24"/>
        </w:rPr>
        <w:t>）</w:t>
      </w:r>
      <w:r>
        <w:rPr>
          <w:b/>
          <w:szCs w:val="24"/>
        </w:rPr>
        <w:t>正常基岩中的泥岩和粉砂岩</w:t>
      </w:r>
    </w:p>
    <w:p w:rsidR="00C223F5" w:rsidRPr="00EA2F6E" w:rsidRDefault="005860D5" w:rsidP="00EA2F6E">
      <w:pPr>
        <w:pStyle w:val="aff1"/>
        <w:spacing w:line="360" w:lineRule="auto"/>
        <w:ind w:left="0" w:firstLineChars="200" w:firstLine="482"/>
        <w:rPr>
          <w:b/>
          <w:szCs w:val="24"/>
        </w:rPr>
      </w:pPr>
      <w:r w:rsidRPr="00EA2F6E">
        <w:rPr>
          <w:b/>
          <w:szCs w:val="24"/>
        </w:rPr>
        <w:t>正常基岩中的泥岩和粉砂岩粘塑性较强，泥岩采动后容易冒落，采动时泥岩和粉砂岩冒裂带发育高度较小，裂隙导水性也差。具有一定的隔水性能。</w:t>
      </w:r>
    </w:p>
    <w:p w:rsidR="00C223F5" w:rsidRDefault="005860D5" w:rsidP="004835BD">
      <w:pPr>
        <w:pStyle w:val="4"/>
        <w:spacing w:before="0" w:after="0" w:line="360" w:lineRule="auto"/>
        <w:ind w:firstLineChars="100" w:firstLine="240"/>
        <w:rPr>
          <w:szCs w:val="24"/>
        </w:rPr>
      </w:pPr>
      <w:bookmarkStart w:id="293" w:name="_Toc518042152"/>
      <w:bookmarkStart w:id="294" w:name="_Toc518158297"/>
      <w:bookmarkStart w:id="295" w:name="_Toc516059227"/>
      <w:bookmarkStart w:id="296" w:name="_Toc525047826"/>
      <w:bookmarkStart w:id="297" w:name="_Toc516737967"/>
      <w:bookmarkStart w:id="298" w:name="_Toc518464630"/>
      <w:bookmarkStart w:id="299" w:name="_Toc205794823"/>
      <w:r>
        <w:rPr>
          <w:rFonts w:hint="eastAsia"/>
          <w:szCs w:val="24"/>
        </w:rPr>
        <w:lastRenderedPageBreak/>
        <w:t>3.1.6.2</w:t>
      </w:r>
      <w:r>
        <w:rPr>
          <w:szCs w:val="24"/>
        </w:rPr>
        <w:t>地下水补给、径流、排泄条件</w:t>
      </w:r>
      <w:bookmarkEnd w:id="293"/>
      <w:bookmarkEnd w:id="294"/>
      <w:bookmarkEnd w:id="295"/>
      <w:bookmarkEnd w:id="296"/>
      <w:bookmarkEnd w:id="297"/>
      <w:bookmarkEnd w:id="298"/>
    </w:p>
    <w:bookmarkEnd w:id="299"/>
    <w:p w:rsidR="00C223F5" w:rsidRDefault="005860D5">
      <w:pPr>
        <w:spacing w:line="360" w:lineRule="auto"/>
        <w:ind w:firstLineChars="200" w:firstLine="480"/>
        <w:rPr>
          <w:sz w:val="24"/>
          <w:szCs w:val="28"/>
        </w:rPr>
      </w:pPr>
      <w:r>
        <w:rPr>
          <w:rFonts w:hAnsi="宋体"/>
          <w:sz w:val="24"/>
          <w:szCs w:val="28"/>
        </w:rPr>
        <w:t>第四系冲、洪积层含水层分布的</w:t>
      </w:r>
      <w:r>
        <w:rPr>
          <w:rFonts w:ascii="宋体" w:hAnsi="宋体"/>
          <w:sz w:val="24"/>
          <w:szCs w:val="28"/>
        </w:rPr>
        <w:t>Ⅰ</w:t>
      </w:r>
      <w:r>
        <w:rPr>
          <w:rFonts w:hAnsi="宋体"/>
          <w:sz w:val="24"/>
          <w:szCs w:val="28"/>
        </w:rPr>
        <w:t>级阶地及漫滩，地势都较为平坦开阔，地下水位埋藏浅，岩性又多为沙粘土及亚粘土组成，有利于降水的渗入补给，雨季或一次大的降雨，地下水位迅即上升，潜水位变幅一般在</w:t>
      </w:r>
      <w:r>
        <w:rPr>
          <w:sz w:val="24"/>
          <w:szCs w:val="28"/>
        </w:rPr>
        <w:t>0.45</w:t>
      </w:r>
      <w:r>
        <w:rPr>
          <w:rFonts w:hAnsi="宋体" w:hint="eastAsia"/>
          <w:sz w:val="24"/>
          <w:szCs w:val="28"/>
        </w:rPr>
        <w:t>~</w:t>
      </w:r>
      <w:r>
        <w:rPr>
          <w:sz w:val="24"/>
          <w:szCs w:val="28"/>
        </w:rPr>
        <w:t>0.57m</w:t>
      </w:r>
      <w:r>
        <w:rPr>
          <w:rFonts w:hAnsi="宋体"/>
          <w:sz w:val="24"/>
          <w:szCs w:val="28"/>
        </w:rPr>
        <w:t>。此外，谷岸地带的地下径流及附近上游河段、冲沟渠道等地表水流，都为其重要的补给来源。其径流方向，基本延沟谷由高向低处流动，与地表径流基本一致</w:t>
      </w:r>
      <w:r>
        <w:rPr>
          <w:rFonts w:hAnsi="宋体" w:hint="eastAsia"/>
          <w:sz w:val="24"/>
          <w:szCs w:val="28"/>
        </w:rPr>
        <w:t>，</w:t>
      </w:r>
      <w:r>
        <w:rPr>
          <w:rFonts w:hAnsi="宋体"/>
          <w:sz w:val="24"/>
          <w:szCs w:val="28"/>
        </w:rPr>
        <w:t>排泄于就近河床内。</w:t>
      </w:r>
    </w:p>
    <w:p w:rsidR="00C223F5" w:rsidRDefault="005860D5">
      <w:pPr>
        <w:spacing w:line="360" w:lineRule="auto"/>
        <w:ind w:firstLineChars="200" w:firstLine="480"/>
        <w:rPr>
          <w:sz w:val="24"/>
          <w:szCs w:val="28"/>
        </w:rPr>
      </w:pPr>
      <w:r>
        <w:rPr>
          <w:rFonts w:hAnsi="宋体"/>
          <w:sz w:val="24"/>
          <w:szCs w:val="28"/>
        </w:rPr>
        <w:t>第四系黄土孔隙裂隙含水层大面积分布于梁峁地带，由于地形破碎，地面坡度大，含水岩层埋藏深。上覆非含水层的黄土，为弱透水岩层，一次小的降雨或时间短的降水，对地下水的补给毫无意义。再者，强度大的降水，还因为易于形成地面径流而迅速汇入河川流失。雨季期间降雨延续时间长，降水量也大，故为该潜水接受补给的主要季节。地下水向沟谷方向迳流，多下渗补给基岩风化裂隙潜水，极少部分以泉的形式渗出地表。</w:t>
      </w:r>
    </w:p>
    <w:p w:rsidR="00C223F5" w:rsidRDefault="005860D5">
      <w:pPr>
        <w:spacing w:line="360" w:lineRule="auto"/>
        <w:ind w:firstLineChars="200" w:firstLine="480"/>
        <w:rPr>
          <w:sz w:val="24"/>
          <w:szCs w:val="28"/>
        </w:rPr>
      </w:pPr>
      <w:r>
        <w:rPr>
          <w:rFonts w:hAnsi="宋体"/>
          <w:sz w:val="24"/>
          <w:szCs w:val="28"/>
        </w:rPr>
        <w:t>基岩风化裂隙带是与现代地形相吻合而起伏变化较大，一般厚约</w:t>
      </w:r>
      <w:r>
        <w:rPr>
          <w:sz w:val="24"/>
          <w:szCs w:val="28"/>
        </w:rPr>
        <w:t>5</w:t>
      </w:r>
      <w:r>
        <w:rPr>
          <w:rFonts w:hAnsi="宋体" w:hint="eastAsia"/>
          <w:sz w:val="24"/>
          <w:szCs w:val="28"/>
        </w:rPr>
        <w:t>~</w:t>
      </w:r>
      <w:r>
        <w:rPr>
          <w:sz w:val="24"/>
          <w:szCs w:val="28"/>
        </w:rPr>
        <w:t>41.70m</w:t>
      </w:r>
      <w:r>
        <w:rPr>
          <w:rFonts w:hAnsi="宋体"/>
          <w:sz w:val="24"/>
          <w:szCs w:val="28"/>
        </w:rPr>
        <w:t>。除在基岩裸露区得到大气降水的补给外，还得到地表水及上覆第四系松散层潜水的补给；在河谷区向下游径流，在梁峁区向沟谷方向径流；排泄除人工开采外，多以下降泉的形式排出。</w:t>
      </w:r>
    </w:p>
    <w:p w:rsidR="00C223F5" w:rsidRDefault="005860D5">
      <w:pPr>
        <w:spacing w:line="360" w:lineRule="auto"/>
        <w:ind w:firstLineChars="200" w:firstLine="480"/>
        <w:rPr>
          <w:sz w:val="24"/>
          <w:szCs w:val="28"/>
        </w:rPr>
      </w:pPr>
      <w:r>
        <w:rPr>
          <w:rFonts w:hAnsi="宋体"/>
          <w:sz w:val="24"/>
          <w:szCs w:val="28"/>
        </w:rPr>
        <w:t>基岩层间裂隙承压水在露头处接受大气降水和地表水的补给，还得到基岩风化裂隙带潜水的下渗补给。因受上覆泥岩、粉砂岩隔水层及单斜构造的制约，使地下水具有承压水性质，总体由东向西缓慢运移，且径流速度变得愈来愈慢，深部基本处于停滞状态。</w:t>
      </w:r>
    </w:p>
    <w:p w:rsidR="00C223F5" w:rsidRDefault="005860D5">
      <w:pPr>
        <w:spacing w:line="360" w:lineRule="auto"/>
        <w:ind w:firstLineChars="200" w:firstLine="480"/>
        <w:rPr>
          <w:sz w:val="24"/>
          <w:szCs w:val="28"/>
        </w:rPr>
      </w:pPr>
      <w:r>
        <w:rPr>
          <w:rFonts w:hAnsi="宋体"/>
          <w:sz w:val="24"/>
          <w:szCs w:val="28"/>
        </w:rPr>
        <w:t>原小天云煤矿开采范围主要分布在井田的北部，采空区面积</w:t>
      </w:r>
      <w:r>
        <w:rPr>
          <w:rFonts w:hAnsi="宋体" w:hint="eastAsia"/>
          <w:sz w:val="24"/>
          <w:szCs w:val="28"/>
        </w:rPr>
        <w:t>约</w:t>
      </w:r>
      <w:r>
        <w:rPr>
          <w:rFonts w:hint="eastAsia"/>
          <w:sz w:val="24"/>
          <w:szCs w:val="28"/>
        </w:rPr>
        <w:t>2.21</w:t>
      </w:r>
      <w:r>
        <w:rPr>
          <w:sz w:val="24"/>
          <w:szCs w:val="28"/>
        </w:rPr>
        <w:t>km</w:t>
      </w:r>
      <w:r>
        <w:rPr>
          <w:sz w:val="24"/>
          <w:szCs w:val="28"/>
          <w:vertAlign w:val="superscript"/>
        </w:rPr>
        <w:t>2</w:t>
      </w:r>
      <w:r>
        <w:rPr>
          <w:rFonts w:hint="eastAsia"/>
          <w:sz w:val="24"/>
          <w:szCs w:val="28"/>
        </w:rPr>
        <w:t>，</w:t>
      </w:r>
      <w:r>
        <w:rPr>
          <w:rFonts w:hAnsi="宋体"/>
          <w:sz w:val="24"/>
          <w:szCs w:val="28"/>
        </w:rPr>
        <w:t>开采范围较小，开采方式较为落后，采矿对含水层及地表水体影响较小，仅对采空区煤层直接充水含水层的补给、径流、排泄产生较大的影响。</w:t>
      </w:r>
    </w:p>
    <w:p w:rsidR="00C223F5" w:rsidRDefault="005860D5" w:rsidP="004835BD">
      <w:pPr>
        <w:pStyle w:val="4"/>
        <w:spacing w:before="0" w:after="0" w:line="360" w:lineRule="auto"/>
        <w:ind w:firstLineChars="100" w:firstLine="240"/>
        <w:rPr>
          <w:szCs w:val="24"/>
        </w:rPr>
      </w:pPr>
      <w:r>
        <w:rPr>
          <w:rFonts w:hint="eastAsia"/>
          <w:szCs w:val="24"/>
        </w:rPr>
        <w:t>3.1.6.3</w:t>
      </w:r>
      <w:r>
        <w:rPr>
          <w:rFonts w:hint="eastAsia"/>
          <w:szCs w:val="24"/>
        </w:rPr>
        <w:t>水文地质</w:t>
      </w:r>
      <w:r>
        <w:rPr>
          <w:szCs w:val="24"/>
        </w:rPr>
        <w:t>勘查类型</w:t>
      </w:r>
    </w:p>
    <w:p w:rsidR="00C223F5" w:rsidRDefault="005860D5">
      <w:pPr>
        <w:pStyle w:val="BG"/>
        <w:ind w:firstLine="480"/>
        <w:rPr>
          <w:b/>
        </w:rPr>
      </w:pPr>
      <w:r>
        <w:t>本井田含水层属弱富水性，补给条件差，隔水层稳定性好，矿井直接充水含水层为导水裂隙带导通的瓦窑堡组孔隙裂隙承压含水岩组，单位涌水量小于</w:t>
      </w:r>
      <w:r>
        <w:t>0.1L/</w:t>
      </w:r>
      <w:proofErr w:type="spellStart"/>
      <w:r>
        <w:t>s.m</w:t>
      </w:r>
      <w:proofErr w:type="spellEnd"/>
      <w:r>
        <w:t>；井田内原小天云煤矿采空区范围积水清楚；采掘工程基本不受水害影响，防治水工作简单，根据《煤矿防治水细则》（</w:t>
      </w:r>
      <w:r>
        <w:t>2018</w:t>
      </w:r>
      <w:r>
        <w:t>年），矿井水文地质类型属于中等类型。</w:t>
      </w:r>
    </w:p>
    <w:p w:rsidR="00C223F5" w:rsidRDefault="005860D5" w:rsidP="004835BD">
      <w:pPr>
        <w:pStyle w:val="4"/>
        <w:spacing w:before="0" w:after="0" w:line="360" w:lineRule="auto"/>
        <w:ind w:firstLineChars="100" w:firstLine="240"/>
        <w:rPr>
          <w:szCs w:val="24"/>
        </w:rPr>
      </w:pPr>
      <w:r>
        <w:rPr>
          <w:rFonts w:hint="eastAsia"/>
          <w:szCs w:val="24"/>
        </w:rPr>
        <w:lastRenderedPageBreak/>
        <w:t>3.1.6.4</w:t>
      </w:r>
      <w:r>
        <w:rPr>
          <w:rFonts w:hint="eastAsia"/>
          <w:szCs w:val="24"/>
        </w:rPr>
        <w:t>矿井充水因素及涌水量</w:t>
      </w:r>
    </w:p>
    <w:p w:rsidR="00C223F5" w:rsidRDefault="005860D5">
      <w:pPr>
        <w:spacing w:line="360" w:lineRule="auto"/>
        <w:ind w:firstLineChars="200" w:firstLine="480"/>
        <w:rPr>
          <w:sz w:val="24"/>
          <w:szCs w:val="28"/>
        </w:rPr>
      </w:pPr>
      <w:r>
        <w:rPr>
          <w:rFonts w:hAnsi="宋体"/>
          <w:sz w:val="24"/>
          <w:szCs w:val="28"/>
        </w:rPr>
        <w:t>依据水文地质条件及煤层覆岩结构类型，矿井充水方式有直接充水和间接充水两种。它们分别受大气降水、地表水和地下水等因素的控制，且具有一定的水力联系，对未来矿井开采有不同程度的影响。</w:t>
      </w:r>
    </w:p>
    <w:p w:rsidR="00C223F5" w:rsidRDefault="005860D5">
      <w:pPr>
        <w:spacing w:line="360" w:lineRule="auto"/>
        <w:ind w:firstLineChars="200" w:firstLine="480"/>
        <w:rPr>
          <w:sz w:val="24"/>
        </w:rPr>
      </w:pPr>
      <w:r>
        <w:rPr>
          <w:rFonts w:hint="eastAsia"/>
          <w:sz w:val="24"/>
        </w:rPr>
        <w:t>（</w:t>
      </w:r>
      <w:r>
        <w:rPr>
          <w:rFonts w:hint="eastAsia"/>
          <w:sz w:val="24"/>
        </w:rPr>
        <w:t>1</w:t>
      </w:r>
      <w:r>
        <w:rPr>
          <w:rFonts w:hint="eastAsia"/>
          <w:sz w:val="24"/>
        </w:rPr>
        <w:t>）</w:t>
      </w:r>
      <w:r>
        <w:rPr>
          <w:rFonts w:hAnsi="宋体"/>
          <w:sz w:val="24"/>
        </w:rPr>
        <w:t>充水水源</w:t>
      </w:r>
    </w:p>
    <w:p w:rsidR="00C223F5" w:rsidRDefault="000F32AE">
      <w:pPr>
        <w:spacing w:line="360" w:lineRule="auto"/>
        <w:ind w:firstLineChars="200" w:firstLine="480"/>
        <w:rPr>
          <w:sz w:val="24"/>
        </w:rPr>
      </w:pPr>
      <w:r>
        <w:rPr>
          <w:sz w:val="24"/>
        </w:rPr>
        <w:fldChar w:fldCharType="begin"/>
      </w:r>
      <w:r w:rsidR="005860D5">
        <w:rPr>
          <w:rFonts w:hint="eastAsia"/>
          <w:sz w:val="24"/>
        </w:rPr>
        <w:instrText>= 1 \* GB3</w:instrText>
      </w:r>
      <w:r>
        <w:rPr>
          <w:sz w:val="24"/>
        </w:rPr>
        <w:fldChar w:fldCharType="separate"/>
      </w:r>
      <w:r w:rsidR="005860D5">
        <w:rPr>
          <w:rFonts w:hint="eastAsia"/>
          <w:sz w:val="24"/>
        </w:rPr>
        <w:t>①</w:t>
      </w:r>
      <w:r>
        <w:rPr>
          <w:sz w:val="24"/>
        </w:rPr>
        <w:fldChar w:fldCharType="end"/>
      </w:r>
      <w:r w:rsidR="005860D5">
        <w:rPr>
          <w:rFonts w:hAnsi="宋体"/>
          <w:sz w:val="24"/>
        </w:rPr>
        <w:t>大气降水</w:t>
      </w:r>
    </w:p>
    <w:p w:rsidR="00C223F5" w:rsidRDefault="005860D5">
      <w:pPr>
        <w:spacing w:line="360" w:lineRule="auto"/>
        <w:ind w:firstLineChars="200" w:firstLine="480"/>
        <w:rPr>
          <w:sz w:val="24"/>
          <w:szCs w:val="28"/>
        </w:rPr>
      </w:pPr>
      <w:r>
        <w:rPr>
          <w:rFonts w:hAnsi="宋体"/>
          <w:sz w:val="24"/>
          <w:szCs w:val="28"/>
        </w:rPr>
        <w:t>井田内多年平均降水量</w:t>
      </w:r>
      <w:r>
        <w:rPr>
          <w:sz w:val="24"/>
          <w:szCs w:val="28"/>
        </w:rPr>
        <w:t>434mm</w:t>
      </w:r>
      <w:r>
        <w:rPr>
          <w:rFonts w:hint="eastAsia"/>
          <w:sz w:val="24"/>
          <w:szCs w:val="28"/>
        </w:rPr>
        <w:t>，</w:t>
      </w:r>
      <w:r>
        <w:rPr>
          <w:rFonts w:hAnsi="宋体"/>
          <w:sz w:val="24"/>
          <w:szCs w:val="28"/>
        </w:rPr>
        <w:t>且多集中</w:t>
      </w:r>
      <w:r>
        <w:rPr>
          <w:sz w:val="24"/>
          <w:szCs w:val="28"/>
        </w:rPr>
        <w:t>7</w:t>
      </w:r>
      <w:r>
        <w:rPr>
          <w:rFonts w:hAnsi="宋体"/>
          <w:sz w:val="24"/>
          <w:szCs w:val="28"/>
        </w:rPr>
        <w:t>～</w:t>
      </w:r>
      <w:r>
        <w:rPr>
          <w:sz w:val="24"/>
          <w:szCs w:val="28"/>
        </w:rPr>
        <w:t>9</w:t>
      </w:r>
      <w:r>
        <w:rPr>
          <w:rFonts w:hAnsi="宋体"/>
          <w:sz w:val="24"/>
          <w:szCs w:val="28"/>
        </w:rPr>
        <w:t>月份。井田内地表多为第四系松散地层覆盖，且下伏有红土层和透水极弱的基岩存在，不利于接受降水补给，故大气降水属间接充水水源。</w:t>
      </w:r>
    </w:p>
    <w:p w:rsidR="00C223F5" w:rsidRDefault="000F32AE">
      <w:pPr>
        <w:spacing w:line="360" w:lineRule="auto"/>
        <w:ind w:firstLineChars="200" w:firstLine="480"/>
        <w:rPr>
          <w:sz w:val="24"/>
        </w:rPr>
      </w:pPr>
      <w:r>
        <w:rPr>
          <w:sz w:val="24"/>
        </w:rPr>
        <w:fldChar w:fldCharType="begin"/>
      </w:r>
      <w:r w:rsidR="005860D5">
        <w:rPr>
          <w:rFonts w:hint="eastAsia"/>
          <w:sz w:val="24"/>
        </w:rPr>
        <w:instrText>= 2 \* GB3</w:instrText>
      </w:r>
      <w:r>
        <w:rPr>
          <w:sz w:val="24"/>
        </w:rPr>
        <w:fldChar w:fldCharType="separate"/>
      </w:r>
      <w:r w:rsidR="005860D5">
        <w:rPr>
          <w:rFonts w:hint="eastAsia"/>
          <w:sz w:val="24"/>
        </w:rPr>
        <w:t>②</w:t>
      </w:r>
      <w:r>
        <w:rPr>
          <w:sz w:val="24"/>
        </w:rPr>
        <w:fldChar w:fldCharType="end"/>
      </w:r>
      <w:r w:rsidR="005860D5">
        <w:rPr>
          <w:rFonts w:hAnsi="宋体"/>
          <w:sz w:val="24"/>
        </w:rPr>
        <w:t>地表水</w:t>
      </w:r>
    </w:p>
    <w:p w:rsidR="00C223F5" w:rsidRDefault="005860D5">
      <w:pPr>
        <w:spacing w:line="360" w:lineRule="auto"/>
        <w:ind w:firstLineChars="200" w:firstLine="480"/>
        <w:rPr>
          <w:sz w:val="24"/>
          <w:szCs w:val="28"/>
        </w:rPr>
      </w:pPr>
      <w:r>
        <w:rPr>
          <w:rFonts w:hAnsi="宋体"/>
          <w:sz w:val="24"/>
          <w:szCs w:val="28"/>
        </w:rPr>
        <w:t>井田内地表水主要为大理河、蚂蚁河及其支沟，河水流量随着季节的变化而变化，丰水期水量较大，枯水期水量相对减少。各支沟为季节性间隙溪或小沟流，其水量除平时由地下水排泄补给外，主要受大气降水所控制。</w:t>
      </w:r>
      <w:r>
        <w:rPr>
          <w:sz w:val="24"/>
          <w:szCs w:val="28"/>
        </w:rPr>
        <w:t>4</w:t>
      </w:r>
      <w:r>
        <w:rPr>
          <w:sz w:val="24"/>
          <w:szCs w:val="28"/>
          <w:vertAlign w:val="superscript"/>
        </w:rPr>
        <w:t>-1</w:t>
      </w:r>
      <w:r>
        <w:rPr>
          <w:rFonts w:hAnsi="宋体"/>
          <w:sz w:val="24"/>
          <w:szCs w:val="28"/>
        </w:rPr>
        <w:t>煤层开采后，导水裂隙带均在正常基岩里发育，因此地表水一般为间接充水水源。</w:t>
      </w:r>
    </w:p>
    <w:p w:rsidR="00C223F5" w:rsidRDefault="000F32AE">
      <w:pPr>
        <w:spacing w:line="360" w:lineRule="auto"/>
        <w:ind w:firstLineChars="200" w:firstLine="480"/>
        <w:rPr>
          <w:sz w:val="24"/>
        </w:rPr>
      </w:pPr>
      <w:r>
        <w:rPr>
          <w:sz w:val="24"/>
        </w:rPr>
        <w:fldChar w:fldCharType="begin"/>
      </w:r>
      <w:r w:rsidR="005860D5">
        <w:rPr>
          <w:sz w:val="24"/>
        </w:rPr>
        <w:instrText xml:space="preserve"> = 3 \* GB3 </w:instrText>
      </w:r>
      <w:r>
        <w:rPr>
          <w:sz w:val="24"/>
        </w:rPr>
        <w:fldChar w:fldCharType="separate"/>
      </w:r>
      <w:r w:rsidR="005860D5">
        <w:rPr>
          <w:sz w:val="24"/>
        </w:rPr>
        <w:t>③</w:t>
      </w:r>
      <w:r>
        <w:rPr>
          <w:sz w:val="24"/>
        </w:rPr>
        <w:fldChar w:fldCharType="end"/>
      </w:r>
      <w:r w:rsidR="005860D5">
        <w:rPr>
          <w:rFonts w:hAnsi="宋体"/>
          <w:sz w:val="24"/>
        </w:rPr>
        <w:t>地下水</w:t>
      </w:r>
    </w:p>
    <w:p w:rsidR="00C223F5" w:rsidRDefault="005860D5">
      <w:pPr>
        <w:spacing w:line="360" w:lineRule="auto"/>
        <w:ind w:firstLineChars="200" w:firstLine="480"/>
        <w:rPr>
          <w:sz w:val="24"/>
          <w:szCs w:val="28"/>
        </w:rPr>
      </w:pPr>
      <w:r>
        <w:rPr>
          <w:rFonts w:hAnsi="宋体"/>
          <w:sz w:val="24"/>
          <w:szCs w:val="28"/>
        </w:rPr>
        <w:t>风化基岩裂隙潜水：采煤时冒落带和导水裂隙带均在正常基岩里发育，因此风化基岩裂隙承压水是煤矿的间接充水含水层。</w:t>
      </w:r>
    </w:p>
    <w:p w:rsidR="00C223F5" w:rsidRPr="00600455" w:rsidRDefault="005860D5">
      <w:pPr>
        <w:spacing w:line="360" w:lineRule="auto"/>
        <w:ind w:firstLineChars="200" w:firstLine="480"/>
        <w:rPr>
          <w:color w:val="FF0000"/>
          <w:sz w:val="24"/>
          <w:szCs w:val="28"/>
        </w:rPr>
      </w:pPr>
      <w:r w:rsidRPr="00600455">
        <w:rPr>
          <w:rFonts w:hAnsi="宋体"/>
          <w:color w:val="FF0000"/>
          <w:sz w:val="24"/>
          <w:szCs w:val="28"/>
        </w:rPr>
        <w:t>各煤层顶板基岩裂隙承压水：煤系地层含水层是煤层的直接充水含水层，钻孔抽水资料显示单位涌水量小于</w:t>
      </w:r>
      <w:r w:rsidRPr="00600455">
        <w:rPr>
          <w:color w:val="FF0000"/>
          <w:sz w:val="24"/>
          <w:szCs w:val="28"/>
        </w:rPr>
        <w:t>0.01L/</w:t>
      </w:r>
      <w:proofErr w:type="spellStart"/>
      <w:r w:rsidRPr="00600455">
        <w:rPr>
          <w:color w:val="FF0000"/>
          <w:sz w:val="24"/>
          <w:szCs w:val="28"/>
        </w:rPr>
        <w:t>s.m</w:t>
      </w:r>
      <w:proofErr w:type="spellEnd"/>
      <w:r w:rsidRPr="00600455">
        <w:rPr>
          <w:rFonts w:hAnsi="宋体"/>
          <w:color w:val="FF0000"/>
          <w:sz w:val="24"/>
          <w:szCs w:val="28"/>
        </w:rPr>
        <w:t>，它们虽有较高的水头压力，但涌水量甚微，富水性弱，易于疏干。根据储量核实报告，矿井涌水表现为岩巷粉砂岩和细、中粒砂岩渗水、采空垮落区煤层顶板淋水、滴水。采空垮落区涌水量占矿井总涌水量的</w:t>
      </w:r>
      <w:r w:rsidRPr="00600455">
        <w:rPr>
          <w:color w:val="FF0000"/>
          <w:sz w:val="24"/>
          <w:szCs w:val="28"/>
        </w:rPr>
        <w:t>85%</w:t>
      </w:r>
      <w:r w:rsidRPr="00600455">
        <w:rPr>
          <w:rFonts w:hAnsi="宋体"/>
          <w:color w:val="FF0000"/>
          <w:sz w:val="24"/>
          <w:szCs w:val="28"/>
        </w:rPr>
        <w:t>以上。据现有资料分析，矿床充水的主要因素为含煤地层及其上覆地层裂隙含水层地下水通过</w:t>
      </w:r>
      <w:r w:rsidRPr="00600455">
        <w:rPr>
          <w:color w:val="FF0000"/>
          <w:sz w:val="24"/>
          <w:szCs w:val="28"/>
        </w:rPr>
        <w:t xml:space="preserve"> 4</w:t>
      </w:r>
      <w:r w:rsidRPr="00600455">
        <w:rPr>
          <w:color w:val="FF0000"/>
          <w:sz w:val="24"/>
          <w:szCs w:val="28"/>
          <w:vertAlign w:val="superscript"/>
        </w:rPr>
        <w:t>-1</w:t>
      </w:r>
      <w:r w:rsidRPr="00600455">
        <w:rPr>
          <w:rFonts w:hAnsi="宋体"/>
          <w:color w:val="FF0000"/>
          <w:sz w:val="24"/>
          <w:szCs w:val="28"/>
        </w:rPr>
        <w:t>煤层开采塌陷裂隙直接或间接渗入矿井。</w:t>
      </w:r>
    </w:p>
    <w:p w:rsidR="00C223F5" w:rsidRDefault="005860D5">
      <w:pPr>
        <w:tabs>
          <w:tab w:val="left" w:pos="0"/>
        </w:tabs>
        <w:adjustRightInd w:val="0"/>
        <w:snapToGrid w:val="0"/>
        <w:spacing w:line="360" w:lineRule="auto"/>
        <w:ind w:firstLineChars="200" w:firstLine="480"/>
        <w:rPr>
          <w:sz w:val="24"/>
        </w:rPr>
      </w:pPr>
      <w:r>
        <w:rPr>
          <w:rFonts w:hint="eastAsia"/>
          <w:snapToGrid w:val="0"/>
          <w:sz w:val="24"/>
        </w:rPr>
        <w:t>（</w:t>
      </w:r>
      <w:r>
        <w:rPr>
          <w:rFonts w:hint="eastAsia"/>
          <w:snapToGrid w:val="0"/>
          <w:sz w:val="24"/>
        </w:rPr>
        <w:t>2</w:t>
      </w:r>
      <w:r>
        <w:rPr>
          <w:rFonts w:hint="eastAsia"/>
          <w:snapToGrid w:val="0"/>
          <w:sz w:val="24"/>
        </w:rPr>
        <w:t>）</w:t>
      </w:r>
      <w:r>
        <w:rPr>
          <w:rFonts w:hAnsi="宋体"/>
          <w:snapToGrid w:val="0"/>
          <w:sz w:val="24"/>
        </w:rPr>
        <w:t>充水通道</w:t>
      </w:r>
    </w:p>
    <w:p w:rsidR="00C223F5" w:rsidRDefault="005860D5">
      <w:pPr>
        <w:spacing w:line="360" w:lineRule="auto"/>
        <w:ind w:firstLineChars="200" w:firstLine="480"/>
        <w:rPr>
          <w:sz w:val="24"/>
          <w:szCs w:val="28"/>
        </w:rPr>
      </w:pPr>
      <w:r>
        <w:rPr>
          <w:rFonts w:hAnsi="宋体"/>
          <w:sz w:val="24"/>
          <w:szCs w:val="28"/>
        </w:rPr>
        <w:t>矿井充水通道主要是煤层开采形成冒落、冒裂裂隙，其次为原生结构面裂隙。</w:t>
      </w:r>
    </w:p>
    <w:p w:rsidR="00C223F5" w:rsidRPr="00EE1294" w:rsidRDefault="005860D5">
      <w:pPr>
        <w:spacing w:line="360" w:lineRule="auto"/>
        <w:ind w:firstLineChars="200" w:firstLine="480"/>
        <w:rPr>
          <w:color w:val="FF0000"/>
          <w:sz w:val="24"/>
        </w:rPr>
      </w:pPr>
      <w:r w:rsidRPr="00EE1294">
        <w:rPr>
          <w:color w:val="FF0000"/>
          <w:sz w:val="24"/>
        </w:rPr>
        <w:t>（</w:t>
      </w:r>
      <w:r w:rsidRPr="00EE1294">
        <w:rPr>
          <w:color w:val="FF0000"/>
          <w:sz w:val="24"/>
        </w:rPr>
        <w:t>3</w:t>
      </w:r>
      <w:r w:rsidRPr="00EE1294">
        <w:rPr>
          <w:color w:val="FF0000"/>
          <w:sz w:val="24"/>
        </w:rPr>
        <w:t>）矿井涌水量</w:t>
      </w:r>
    </w:p>
    <w:p w:rsidR="00EE1294" w:rsidRPr="00EE1294" w:rsidRDefault="00EE1294" w:rsidP="00EE1294">
      <w:pPr>
        <w:adjustRightInd w:val="0"/>
        <w:snapToGrid w:val="0"/>
        <w:spacing w:line="360" w:lineRule="auto"/>
        <w:ind w:firstLineChars="200" w:firstLine="480"/>
        <w:rPr>
          <w:color w:val="FF0000"/>
          <w:sz w:val="24"/>
        </w:rPr>
      </w:pPr>
      <w:r w:rsidRPr="00EE1294">
        <w:rPr>
          <w:rFonts w:hint="eastAsia"/>
          <w:color w:val="FF0000"/>
          <w:sz w:val="24"/>
        </w:rPr>
        <w:t>本次评价采用的矿井涌水量数据来源于项目开采设计及《陕西省陕北三叠纪煤田横山矿区横山县天云煤矿资源储量核实报告》中数据。天云煤矿储量核实报告根据原小天云煤矿（规模</w:t>
      </w:r>
      <w:r w:rsidRPr="00EE1294">
        <w:rPr>
          <w:rFonts w:hint="eastAsia"/>
          <w:color w:val="FF0000"/>
          <w:sz w:val="24"/>
        </w:rPr>
        <w:t>0.60Mt/a</w:t>
      </w:r>
      <w:r w:rsidRPr="00EE1294">
        <w:rPr>
          <w:rFonts w:hint="eastAsia"/>
          <w:color w:val="FF0000"/>
          <w:sz w:val="24"/>
        </w:rPr>
        <w:t>）</w:t>
      </w:r>
      <w:r w:rsidRPr="00EE1294">
        <w:rPr>
          <w:rFonts w:hint="eastAsia"/>
          <w:color w:val="FF0000"/>
          <w:sz w:val="24"/>
        </w:rPr>
        <w:t>2015</w:t>
      </w:r>
      <w:r w:rsidRPr="00EE1294">
        <w:rPr>
          <w:rFonts w:hint="eastAsia"/>
          <w:color w:val="FF0000"/>
          <w:sz w:val="24"/>
        </w:rPr>
        <w:t>年矿井涌水量台账，矿井正常涌水量为</w:t>
      </w:r>
      <w:r w:rsidRPr="00EE1294">
        <w:rPr>
          <w:rFonts w:hint="eastAsia"/>
          <w:color w:val="FF0000"/>
          <w:sz w:val="24"/>
        </w:rPr>
        <w:t>52.3</w:t>
      </w:r>
      <w:r w:rsidRPr="00EE1294">
        <w:rPr>
          <w:rFonts w:hint="eastAsia"/>
          <w:color w:val="FF0000"/>
          <w:sz w:val="24"/>
        </w:rPr>
        <w:t>～</w:t>
      </w:r>
      <w:r w:rsidRPr="00EE1294">
        <w:rPr>
          <w:rFonts w:hint="eastAsia"/>
          <w:color w:val="FF0000"/>
          <w:sz w:val="24"/>
        </w:rPr>
        <w:t>55.5m</w:t>
      </w:r>
      <w:r w:rsidRPr="00EE1294">
        <w:rPr>
          <w:rFonts w:hint="eastAsia"/>
          <w:color w:val="FF0000"/>
          <w:sz w:val="24"/>
          <w:vertAlign w:val="superscript"/>
        </w:rPr>
        <w:t>3</w:t>
      </w:r>
      <w:r w:rsidRPr="00EE1294">
        <w:rPr>
          <w:rFonts w:hint="eastAsia"/>
          <w:color w:val="FF0000"/>
          <w:sz w:val="24"/>
        </w:rPr>
        <w:t>/h</w:t>
      </w:r>
      <w:r w:rsidRPr="00EE1294">
        <w:rPr>
          <w:rFonts w:hint="eastAsia"/>
          <w:color w:val="FF0000"/>
          <w:sz w:val="24"/>
        </w:rPr>
        <w:t>，矿井涌水量较为稳定，同时按照“富水系数比拟法”预测</w:t>
      </w:r>
      <w:r w:rsidRPr="00EE1294">
        <w:rPr>
          <w:rFonts w:hint="eastAsia"/>
          <w:color w:val="FF0000"/>
          <w:sz w:val="24"/>
        </w:rPr>
        <w:t>4</w:t>
      </w:r>
      <w:r w:rsidRPr="00EE1294">
        <w:rPr>
          <w:rFonts w:hint="eastAsia"/>
          <w:color w:val="FF0000"/>
          <w:sz w:val="24"/>
          <w:vertAlign w:val="superscript"/>
        </w:rPr>
        <w:t>-1</w:t>
      </w:r>
      <w:r w:rsidRPr="00EE1294">
        <w:rPr>
          <w:rFonts w:hint="eastAsia"/>
          <w:color w:val="FF0000"/>
          <w:sz w:val="24"/>
        </w:rPr>
        <w:lastRenderedPageBreak/>
        <w:t>煤层正常涌水量为</w:t>
      </w:r>
      <w:r w:rsidRPr="00EE1294">
        <w:rPr>
          <w:rFonts w:hint="eastAsia"/>
          <w:color w:val="FF0000"/>
          <w:sz w:val="24"/>
        </w:rPr>
        <w:t>80m</w:t>
      </w:r>
      <w:r w:rsidRPr="00EE1294">
        <w:rPr>
          <w:rFonts w:hint="eastAsia"/>
          <w:color w:val="FF0000"/>
          <w:sz w:val="24"/>
          <w:vertAlign w:val="superscript"/>
        </w:rPr>
        <w:t>3</w:t>
      </w:r>
      <w:r w:rsidRPr="00EE1294">
        <w:rPr>
          <w:rFonts w:hint="eastAsia"/>
          <w:color w:val="FF0000"/>
          <w:sz w:val="24"/>
        </w:rPr>
        <w:t>/h</w:t>
      </w:r>
      <w:r w:rsidRPr="00EE1294">
        <w:rPr>
          <w:rFonts w:hint="eastAsia"/>
          <w:color w:val="FF0000"/>
          <w:sz w:val="24"/>
        </w:rPr>
        <w:t>，最大涌水量为</w:t>
      </w:r>
      <w:r w:rsidRPr="00EE1294">
        <w:rPr>
          <w:rFonts w:hint="eastAsia"/>
          <w:color w:val="FF0000"/>
          <w:sz w:val="24"/>
        </w:rPr>
        <w:t>83m</w:t>
      </w:r>
      <w:r w:rsidRPr="00EE1294">
        <w:rPr>
          <w:rFonts w:hint="eastAsia"/>
          <w:color w:val="FF0000"/>
          <w:sz w:val="24"/>
          <w:vertAlign w:val="superscript"/>
        </w:rPr>
        <w:t>3</w:t>
      </w:r>
      <w:r w:rsidRPr="00EE1294">
        <w:rPr>
          <w:rFonts w:hint="eastAsia"/>
          <w:color w:val="FF0000"/>
          <w:sz w:val="24"/>
        </w:rPr>
        <w:t>/h</w:t>
      </w:r>
      <w:r w:rsidRPr="00EE1294">
        <w:rPr>
          <w:rFonts w:hint="eastAsia"/>
          <w:color w:val="FF0000"/>
          <w:sz w:val="24"/>
        </w:rPr>
        <w:t>；项目开采设计结合矿井实际并参考邻近</w:t>
      </w:r>
      <w:r w:rsidRPr="00EE1294">
        <w:rPr>
          <w:rFonts w:hAnsi="宋体"/>
          <w:color w:val="FF0000"/>
          <w:sz w:val="24"/>
        </w:rPr>
        <w:t>禾草沟矿井实际涌水量（约</w:t>
      </w:r>
      <w:r w:rsidRPr="00EE1294">
        <w:rPr>
          <w:color w:val="FF0000"/>
          <w:sz w:val="24"/>
        </w:rPr>
        <w:t>85m</w:t>
      </w:r>
      <w:r w:rsidRPr="00EE1294">
        <w:rPr>
          <w:color w:val="FF0000"/>
          <w:sz w:val="24"/>
          <w:vertAlign w:val="superscript"/>
        </w:rPr>
        <w:t>3</w:t>
      </w:r>
      <w:r w:rsidRPr="00EE1294">
        <w:rPr>
          <w:color w:val="FF0000"/>
          <w:sz w:val="24"/>
        </w:rPr>
        <w:t>/h</w:t>
      </w:r>
      <w:r w:rsidRPr="00EE1294">
        <w:rPr>
          <w:rFonts w:hAnsi="宋体"/>
          <w:color w:val="FF0000"/>
          <w:sz w:val="24"/>
        </w:rPr>
        <w:t>），确定本矿井正常涌水量为</w:t>
      </w:r>
      <w:r w:rsidRPr="00EE1294">
        <w:rPr>
          <w:color w:val="FF0000"/>
          <w:sz w:val="24"/>
        </w:rPr>
        <w:t>80 m</w:t>
      </w:r>
      <w:r w:rsidRPr="00EE1294">
        <w:rPr>
          <w:color w:val="FF0000"/>
          <w:sz w:val="24"/>
          <w:vertAlign w:val="superscript"/>
        </w:rPr>
        <w:t>3</w:t>
      </w:r>
      <w:r w:rsidRPr="00EE1294">
        <w:rPr>
          <w:color w:val="FF0000"/>
          <w:sz w:val="24"/>
        </w:rPr>
        <w:t>/h</w:t>
      </w:r>
      <w:r w:rsidRPr="00EE1294">
        <w:rPr>
          <w:rFonts w:hAnsi="宋体"/>
          <w:color w:val="FF0000"/>
          <w:sz w:val="24"/>
        </w:rPr>
        <w:t>，最大涌水量</w:t>
      </w:r>
      <w:r w:rsidRPr="00EE1294">
        <w:rPr>
          <w:color w:val="FF0000"/>
          <w:sz w:val="24"/>
        </w:rPr>
        <w:t>100m</w:t>
      </w:r>
      <w:r w:rsidRPr="00EE1294">
        <w:rPr>
          <w:color w:val="FF0000"/>
          <w:sz w:val="24"/>
          <w:vertAlign w:val="superscript"/>
        </w:rPr>
        <w:t>3</w:t>
      </w:r>
      <w:r w:rsidRPr="00EE1294">
        <w:rPr>
          <w:color w:val="FF0000"/>
          <w:sz w:val="24"/>
        </w:rPr>
        <w:t>/h</w:t>
      </w:r>
      <w:r w:rsidRPr="00EE1294">
        <w:rPr>
          <w:rFonts w:hAnsi="宋体"/>
          <w:color w:val="FF0000"/>
          <w:sz w:val="24"/>
        </w:rPr>
        <w:t>（已含灌浆析出水量）。</w:t>
      </w:r>
      <w:r w:rsidRPr="00EE1294">
        <w:rPr>
          <w:rFonts w:hint="eastAsia"/>
          <w:color w:val="FF0000"/>
          <w:sz w:val="24"/>
        </w:rPr>
        <w:t>根据《煤矿防治水细则》（</w:t>
      </w:r>
      <w:r w:rsidRPr="00EE1294">
        <w:rPr>
          <w:rFonts w:hint="eastAsia"/>
          <w:color w:val="FF0000"/>
          <w:sz w:val="24"/>
        </w:rPr>
        <w:t>2018</w:t>
      </w:r>
      <w:r w:rsidRPr="00EE1294">
        <w:rPr>
          <w:rFonts w:hint="eastAsia"/>
          <w:color w:val="FF0000"/>
          <w:sz w:val="24"/>
        </w:rPr>
        <w:t>版），矿井水文地质类型属于中等类型。</w:t>
      </w:r>
    </w:p>
    <w:p w:rsidR="00C223F5" w:rsidRDefault="005860D5" w:rsidP="004835BD">
      <w:pPr>
        <w:pStyle w:val="4"/>
        <w:spacing w:before="0" w:after="0" w:line="360" w:lineRule="auto"/>
        <w:ind w:firstLineChars="100" w:firstLine="240"/>
        <w:rPr>
          <w:szCs w:val="24"/>
        </w:rPr>
      </w:pPr>
      <w:r>
        <w:rPr>
          <w:rFonts w:hint="eastAsia"/>
          <w:szCs w:val="24"/>
        </w:rPr>
        <w:t>3.1.6.5</w:t>
      </w:r>
      <w:r>
        <w:rPr>
          <w:szCs w:val="24"/>
        </w:rPr>
        <w:t>井田地下水开发利用情况</w:t>
      </w:r>
    </w:p>
    <w:p w:rsidR="00C223F5" w:rsidRDefault="005860D5">
      <w:pPr>
        <w:spacing w:line="360" w:lineRule="auto"/>
        <w:ind w:firstLine="480"/>
        <w:rPr>
          <w:rFonts w:hAnsi="宋体"/>
          <w:sz w:val="24"/>
        </w:rPr>
      </w:pPr>
      <w:r>
        <w:rPr>
          <w:rFonts w:hAnsi="宋体" w:hint="eastAsia"/>
          <w:sz w:val="24"/>
        </w:rPr>
        <w:t>整合区地下水调查范围内</w:t>
      </w:r>
      <w:r>
        <w:rPr>
          <w:rFonts w:hAnsi="宋体"/>
          <w:sz w:val="24"/>
        </w:rPr>
        <w:t>共</w:t>
      </w:r>
      <w:r>
        <w:rPr>
          <w:rFonts w:hAnsi="宋体" w:hint="eastAsia"/>
          <w:sz w:val="24"/>
        </w:rPr>
        <w:t>约</w:t>
      </w:r>
      <w:r>
        <w:rPr>
          <w:rFonts w:hAnsi="宋体" w:hint="eastAsia"/>
          <w:sz w:val="24"/>
        </w:rPr>
        <w:t>33</w:t>
      </w:r>
      <w:r>
        <w:rPr>
          <w:rFonts w:hAnsi="宋体" w:hint="eastAsia"/>
          <w:sz w:val="24"/>
        </w:rPr>
        <w:t>个居民点，其中项目开采区内</w:t>
      </w:r>
      <w:r>
        <w:rPr>
          <w:rFonts w:hAnsi="宋体" w:hint="eastAsia"/>
          <w:sz w:val="24"/>
        </w:rPr>
        <w:t>13</w:t>
      </w:r>
      <w:r>
        <w:rPr>
          <w:rFonts w:hAnsi="宋体" w:hint="eastAsia"/>
          <w:sz w:val="24"/>
        </w:rPr>
        <w:t>个，开采区外</w:t>
      </w:r>
      <w:r>
        <w:rPr>
          <w:rFonts w:hAnsi="宋体" w:hint="eastAsia"/>
          <w:sz w:val="24"/>
        </w:rPr>
        <w:t>20</w:t>
      </w:r>
      <w:r>
        <w:rPr>
          <w:rFonts w:hAnsi="宋体" w:hint="eastAsia"/>
          <w:sz w:val="24"/>
        </w:rPr>
        <w:t>个。</w:t>
      </w:r>
      <w:r w:rsidR="00B2204C" w:rsidRPr="00E134B5">
        <w:rPr>
          <w:color w:val="FF0000"/>
          <w:sz w:val="24"/>
        </w:rPr>
        <w:t>井田</w:t>
      </w:r>
      <w:r w:rsidR="00B2204C" w:rsidRPr="00E134B5">
        <w:rPr>
          <w:rFonts w:hint="eastAsia"/>
          <w:color w:val="FF0000"/>
          <w:sz w:val="24"/>
        </w:rPr>
        <w:t>内蚂蚁河及大理河沿线居民</w:t>
      </w:r>
      <w:r w:rsidR="00B2204C" w:rsidRPr="00E134B5">
        <w:rPr>
          <w:rFonts w:hAnsi="宋体" w:hint="eastAsia"/>
          <w:color w:val="FF0000"/>
          <w:sz w:val="24"/>
        </w:rPr>
        <w:t>饮用水</w:t>
      </w:r>
      <w:r w:rsidR="00B2204C">
        <w:rPr>
          <w:rFonts w:hAnsi="宋体" w:hint="eastAsia"/>
          <w:color w:val="FF0000"/>
          <w:sz w:val="24"/>
        </w:rPr>
        <w:t>为</w:t>
      </w:r>
      <w:r w:rsidR="00B2204C" w:rsidRPr="00E134B5">
        <w:rPr>
          <w:rFonts w:hAnsi="宋体" w:hint="eastAsia"/>
          <w:color w:val="FF0000"/>
          <w:sz w:val="24"/>
        </w:rPr>
        <w:t>政府水利局农饮办的饮水工程提供</w:t>
      </w:r>
      <w:r w:rsidR="00B2204C">
        <w:rPr>
          <w:rFonts w:hAnsi="宋体" w:hint="eastAsia"/>
          <w:color w:val="FF0000"/>
          <w:sz w:val="24"/>
        </w:rPr>
        <w:t>的</w:t>
      </w:r>
      <w:r w:rsidR="00B2204C" w:rsidRPr="00E134B5">
        <w:rPr>
          <w:rFonts w:hAnsi="宋体" w:hint="eastAsia"/>
          <w:color w:val="FF0000"/>
          <w:sz w:val="24"/>
        </w:rPr>
        <w:t>自来水</w:t>
      </w:r>
      <w:r w:rsidR="00B2204C">
        <w:rPr>
          <w:rFonts w:hAnsi="宋体" w:hint="eastAsia"/>
          <w:color w:val="FF0000"/>
          <w:sz w:val="24"/>
        </w:rPr>
        <w:t>（水源不在项目评价区范围内）</w:t>
      </w:r>
      <w:r w:rsidR="003526FF">
        <w:rPr>
          <w:rFonts w:hAnsi="宋体" w:hint="eastAsia"/>
          <w:color w:val="FF0000"/>
          <w:sz w:val="24"/>
        </w:rPr>
        <w:t>；</w:t>
      </w:r>
      <w:r w:rsidR="00B2204C" w:rsidRPr="00E134B5">
        <w:rPr>
          <w:rFonts w:hAnsi="宋体" w:hint="eastAsia"/>
          <w:color w:val="FF0000"/>
          <w:sz w:val="24"/>
        </w:rPr>
        <w:t>井田西南部分散</w:t>
      </w:r>
      <w:r w:rsidR="00B2204C" w:rsidRPr="00E134B5">
        <w:rPr>
          <w:rFonts w:hint="eastAsia"/>
          <w:color w:val="FF0000"/>
          <w:sz w:val="24"/>
        </w:rPr>
        <w:t>居民</w:t>
      </w:r>
      <w:r w:rsidR="003526FF">
        <w:rPr>
          <w:rFonts w:hint="eastAsia"/>
          <w:color w:val="FF0000"/>
          <w:sz w:val="24"/>
        </w:rPr>
        <w:t>（藏家沟村、牛肚塌村、后麻地沟村）</w:t>
      </w:r>
      <w:r w:rsidR="00B2204C" w:rsidRPr="00E134B5">
        <w:rPr>
          <w:rFonts w:hint="eastAsia"/>
          <w:color w:val="FF0000"/>
          <w:sz w:val="24"/>
        </w:rPr>
        <w:t>用水主要为</w:t>
      </w:r>
      <w:r w:rsidR="00B2204C" w:rsidRPr="003526FF">
        <w:rPr>
          <w:rFonts w:hint="eastAsia"/>
          <w:color w:val="FF0000"/>
          <w:sz w:val="24"/>
        </w:rPr>
        <w:t>泉水（</w:t>
      </w:r>
      <w:r w:rsidR="00B2204C" w:rsidRPr="00EA42DD">
        <w:rPr>
          <w:rFonts w:hint="eastAsia"/>
          <w:b/>
          <w:bCs/>
          <w:color w:val="FF0000"/>
          <w:sz w:val="24"/>
        </w:rPr>
        <w:t>来自第四系及风化基岩</w:t>
      </w:r>
      <w:r w:rsidR="00296181" w:rsidRPr="00EA42DD">
        <w:rPr>
          <w:rFonts w:hint="eastAsia"/>
          <w:b/>
          <w:bCs/>
          <w:color w:val="FF0000"/>
          <w:sz w:val="24"/>
        </w:rPr>
        <w:t>潜水</w:t>
      </w:r>
      <w:r w:rsidR="00B2204C" w:rsidRPr="00EA42DD">
        <w:rPr>
          <w:rFonts w:hint="eastAsia"/>
          <w:b/>
          <w:bCs/>
          <w:color w:val="FF0000"/>
          <w:sz w:val="24"/>
        </w:rPr>
        <w:t>含水层</w:t>
      </w:r>
      <w:r w:rsidR="00B2204C" w:rsidRPr="003526FF">
        <w:rPr>
          <w:rFonts w:hint="eastAsia"/>
          <w:color w:val="FF0000"/>
          <w:sz w:val="24"/>
        </w:rPr>
        <w:t>），采用铺设防渗膜集中</w:t>
      </w:r>
      <w:r w:rsidR="00E47E95">
        <w:rPr>
          <w:rFonts w:hint="eastAsia"/>
          <w:color w:val="FF0000"/>
          <w:sz w:val="24"/>
        </w:rPr>
        <w:t>引泉</w:t>
      </w:r>
      <w:r w:rsidR="00B2204C" w:rsidRPr="003526FF">
        <w:rPr>
          <w:rFonts w:hint="eastAsia"/>
          <w:color w:val="FF0000"/>
          <w:sz w:val="24"/>
        </w:rPr>
        <w:t>收集的方式</w:t>
      </w:r>
      <w:r w:rsidR="003526FF" w:rsidRPr="003526FF">
        <w:rPr>
          <w:rFonts w:hint="eastAsia"/>
          <w:color w:val="FF0000"/>
          <w:sz w:val="24"/>
        </w:rPr>
        <w:t>；</w:t>
      </w:r>
      <w:r w:rsidR="00B2204C" w:rsidRPr="003526FF">
        <w:rPr>
          <w:rFonts w:hint="eastAsia"/>
          <w:color w:val="FF0000"/>
          <w:sz w:val="24"/>
        </w:rPr>
        <w:t>河流两岸分散水井主要用于农田灌溉</w:t>
      </w:r>
      <w:r w:rsidR="003526FF" w:rsidRPr="003526FF">
        <w:rPr>
          <w:rFonts w:hint="eastAsia"/>
          <w:color w:val="FF0000"/>
          <w:sz w:val="24"/>
        </w:rPr>
        <w:t>，</w:t>
      </w:r>
      <w:r w:rsidR="003526FF" w:rsidRPr="003526FF">
        <w:rPr>
          <w:rFonts w:hAnsi="宋体" w:hint="eastAsia"/>
          <w:color w:val="FF0000"/>
          <w:sz w:val="24"/>
        </w:rPr>
        <w:t>井深在</w:t>
      </w:r>
      <w:r w:rsidR="003526FF" w:rsidRPr="003526FF">
        <w:rPr>
          <w:rFonts w:hAnsi="宋体" w:hint="eastAsia"/>
          <w:color w:val="FF0000"/>
          <w:sz w:val="24"/>
        </w:rPr>
        <w:t>2~10m</w:t>
      </w:r>
      <w:r w:rsidR="003526FF" w:rsidRPr="003526FF">
        <w:rPr>
          <w:rFonts w:hAnsi="宋体" w:hint="eastAsia"/>
          <w:color w:val="FF0000"/>
          <w:sz w:val="24"/>
        </w:rPr>
        <w:t>，水位埋深在</w:t>
      </w:r>
      <w:r w:rsidR="003526FF" w:rsidRPr="003526FF">
        <w:rPr>
          <w:rFonts w:hAnsi="宋体" w:hint="eastAsia"/>
          <w:color w:val="FF0000"/>
          <w:sz w:val="24"/>
        </w:rPr>
        <w:t>0.5~8m</w:t>
      </w:r>
      <w:r w:rsidR="003526FF" w:rsidRPr="003526FF">
        <w:rPr>
          <w:rFonts w:hAnsi="宋体" w:hint="eastAsia"/>
          <w:color w:val="FF0000"/>
          <w:sz w:val="24"/>
        </w:rPr>
        <w:t>，</w:t>
      </w:r>
      <w:r w:rsidR="003526FF" w:rsidRPr="003526FF">
        <w:rPr>
          <w:rFonts w:hAnsi="宋体"/>
          <w:color w:val="FF0000"/>
          <w:sz w:val="24"/>
        </w:rPr>
        <w:t>取水层位主要为第四系全新统冲洪积层孔隙潜水含水层</w:t>
      </w:r>
      <w:r w:rsidR="003526FF" w:rsidRPr="003526FF">
        <w:rPr>
          <w:rFonts w:hAnsi="宋体" w:hint="eastAsia"/>
          <w:color w:val="FF0000"/>
          <w:sz w:val="24"/>
        </w:rPr>
        <w:t>和</w:t>
      </w:r>
      <w:r w:rsidR="003526FF" w:rsidRPr="003526FF">
        <w:rPr>
          <w:rFonts w:hint="eastAsia"/>
          <w:color w:val="FF0000"/>
          <w:sz w:val="24"/>
        </w:rPr>
        <w:t>三叠系</w:t>
      </w:r>
      <w:r w:rsidR="003526FF" w:rsidRPr="003526FF">
        <w:rPr>
          <w:rFonts w:hAnsi="宋体"/>
          <w:color w:val="FF0000"/>
          <w:sz w:val="24"/>
        </w:rPr>
        <w:t>风化基岩裂隙潜水含水层</w:t>
      </w:r>
      <w:r w:rsidR="00B2204C" w:rsidRPr="003526FF">
        <w:rPr>
          <w:color w:val="FF0000"/>
          <w:sz w:val="24"/>
        </w:rPr>
        <w:t>。</w:t>
      </w:r>
      <w:r w:rsidRPr="003526FF">
        <w:rPr>
          <w:rFonts w:hAnsi="宋体" w:hint="eastAsia"/>
          <w:color w:val="FF0000"/>
          <w:sz w:val="24"/>
        </w:rPr>
        <w:t>经调查</w:t>
      </w:r>
      <w:r w:rsidRPr="00B2204C">
        <w:rPr>
          <w:rFonts w:hAnsi="宋体" w:hint="eastAsia"/>
          <w:sz w:val="24"/>
        </w:rPr>
        <w:t>，天云煤矿现有排污口附近及下游河道内无集中取水工程。</w:t>
      </w:r>
    </w:p>
    <w:p w:rsidR="00001B76" w:rsidRDefault="009D40C2">
      <w:pPr>
        <w:pStyle w:val="aff1"/>
        <w:spacing w:line="360" w:lineRule="auto"/>
        <w:ind w:left="0" w:firstLineChars="200" w:firstLine="480"/>
        <w:rPr>
          <w:rFonts w:hAnsi="宋体"/>
          <w:color w:val="FF0000"/>
          <w:szCs w:val="24"/>
        </w:rPr>
      </w:pPr>
      <w:r w:rsidRPr="009D40C2">
        <w:rPr>
          <w:rFonts w:hAnsi="宋体" w:hint="eastAsia"/>
          <w:color w:val="FF0000"/>
          <w:szCs w:val="24"/>
        </w:rPr>
        <w:t>根据《陕西省陕北三叠纪煤田横山矿区横山县天云煤矿资源储量核实报告</w:t>
      </w:r>
      <w:r w:rsidRPr="009D40C2">
        <w:rPr>
          <w:rFonts w:hAnsi="宋体"/>
          <w:color w:val="FF0000"/>
          <w:szCs w:val="24"/>
        </w:rPr>
        <w:t>》</w:t>
      </w:r>
      <w:r>
        <w:rPr>
          <w:rFonts w:hAnsi="宋体" w:hint="eastAsia"/>
          <w:color w:val="FF0000"/>
          <w:szCs w:val="24"/>
        </w:rPr>
        <w:t>中调查成果</w:t>
      </w:r>
      <w:r w:rsidRPr="009D40C2">
        <w:rPr>
          <w:rFonts w:hAnsi="宋体" w:hint="eastAsia"/>
          <w:color w:val="FF0000"/>
          <w:szCs w:val="24"/>
        </w:rPr>
        <w:t>，</w:t>
      </w:r>
      <w:r w:rsidR="00001B76" w:rsidRPr="009D40C2">
        <w:rPr>
          <w:rFonts w:hAnsi="宋体" w:hint="eastAsia"/>
          <w:color w:val="FF0000"/>
          <w:szCs w:val="24"/>
        </w:rPr>
        <w:t>井田内</w:t>
      </w:r>
      <w:r>
        <w:rPr>
          <w:rFonts w:hAnsi="宋体" w:hint="eastAsia"/>
          <w:color w:val="FF0000"/>
          <w:szCs w:val="24"/>
        </w:rPr>
        <w:t>水</w:t>
      </w:r>
      <w:r w:rsidRPr="009D40C2">
        <w:rPr>
          <w:rFonts w:hAnsi="宋体" w:hint="eastAsia"/>
          <w:color w:val="FF0000"/>
          <w:szCs w:val="24"/>
        </w:rPr>
        <w:t>井</w:t>
      </w:r>
      <w:r w:rsidR="00861D72">
        <w:rPr>
          <w:rFonts w:hAnsi="宋体" w:hint="eastAsia"/>
          <w:color w:val="FF0000"/>
          <w:szCs w:val="24"/>
        </w:rPr>
        <w:t>、泉</w:t>
      </w:r>
      <w:r w:rsidRPr="009D40C2">
        <w:rPr>
          <w:rFonts w:hAnsi="宋体" w:hint="eastAsia"/>
          <w:color w:val="FF0000"/>
          <w:szCs w:val="24"/>
        </w:rPr>
        <w:t>测量成果</w:t>
      </w:r>
      <w:r w:rsidR="00001B76" w:rsidRPr="009D40C2">
        <w:rPr>
          <w:rFonts w:hAnsi="宋体" w:hint="eastAsia"/>
          <w:color w:val="FF0000"/>
          <w:szCs w:val="24"/>
        </w:rPr>
        <w:t>见表</w:t>
      </w:r>
      <w:r w:rsidR="00001B76" w:rsidRPr="009D40C2">
        <w:rPr>
          <w:rFonts w:hAnsi="宋体" w:hint="eastAsia"/>
          <w:color w:val="FF0000"/>
          <w:szCs w:val="24"/>
        </w:rPr>
        <w:t>3.1.6-1</w:t>
      </w:r>
      <w:r w:rsidR="00001B76" w:rsidRPr="009D40C2">
        <w:rPr>
          <w:rFonts w:hAnsi="宋体" w:hint="eastAsia"/>
          <w:color w:val="FF0000"/>
          <w:szCs w:val="24"/>
        </w:rPr>
        <w:t>。</w:t>
      </w:r>
    </w:p>
    <w:p w:rsidR="009D40C2" w:rsidRPr="00771611" w:rsidRDefault="009D40C2" w:rsidP="009D40C2">
      <w:pPr>
        <w:pStyle w:val="aff1"/>
        <w:spacing w:line="240" w:lineRule="auto"/>
        <w:ind w:left="0" w:firstLine="0"/>
        <w:jc w:val="center"/>
        <w:rPr>
          <w:rFonts w:hAnsi="宋体"/>
          <w:b/>
          <w:color w:val="FF0000"/>
          <w:szCs w:val="24"/>
        </w:rPr>
      </w:pPr>
      <w:r w:rsidRPr="00771611">
        <w:rPr>
          <w:rFonts w:hAnsi="宋体" w:hint="eastAsia"/>
          <w:b/>
          <w:color w:val="FF0000"/>
          <w:szCs w:val="24"/>
        </w:rPr>
        <w:t>表</w:t>
      </w:r>
      <w:r w:rsidRPr="00771611">
        <w:rPr>
          <w:rFonts w:hAnsi="宋体" w:hint="eastAsia"/>
          <w:b/>
          <w:color w:val="FF0000"/>
          <w:szCs w:val="24"/>
        </w:rPr>
        <w:t xml:space="preserve">3.1.6-1   </w:t>
      </w:r>
      <w:r w:rsidRPr="00771611">
        <w:rPr>
          <w:rFonts w:hAnsi="宋体" w:hint="eastAsia"/>
          <w:b/>
          <w:color w:val="FF0000"/>
          <w:szCs w:val="24"/>
        </w:rPr>
        <w:t>井田内水井</w:t>
      </w:r>
      <w:r w:rsidR="00861D72">
        <w:rPr>
          <w:rFonts w:hAnsi="宋体" w:hint="eastAsia"/>
          <w:b/>
          <w:color w:val="FF0000"/>
          <w:szCs w:val="24"/>
        </w:rPr>
        <w:t>、泉</w:t>
      </w:r>
      <w:r w:rsidRPr="00771611">
        <w:rPr>
          <w:rFonts w:hAnsi="宋体" w:hint="eastAsia"/>
          <w:b/>
          <w:color w:val="FF0000"/>
          <w:szCs w:val="24"/>
        </w:rPr>
        <w:t>测量一览表</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661"/>
        <w:gridCol w:w="1556"/>
        <w:gridCol w:w="1357"/>
        <w:gridCol w:w="1117"/>
        <w:gridCol w:w="1589"/>
      </w:tblGrid>
      <w:tr w:rsidR="00AD35CE" w:rsidRPr="003D13FE" w:rsidTr="003D13FE">
        <w:trPr>
          <w:trHeight w:val="315"/>
          <w:jc w:val="center"/>
        </w:trPr>
        <w:tc>
          <w:tcPr>
            <w:tcW w:w="1774" w:type="dxa"/>
            <w:shd w:val="clear" w:color="auto" w:fill="auto"/>
            <w:vAlign w:val="center"/>
            <w:hideMark/>
          </w:tcPr>
          <w:p w:rsidR="00AD35CE" w:rsidRPr="003D13FE" w:rsidRDefault="003D13FE" w:rsidP="003D13FE">
            <w:pPr>
              <w:widowControl/>
              <w:jc w:val="center"/>
              <w:rPr>
                <w:bCs/>
                <w:color w:val="FF0000"/>
                <w:kern w:val="0"/>
                <w:szCs w:val="21"/>
              </w:rPr>
            </w:pPr>
            <w:r w:rsidRPr="003D13FE">
              <w:rPr>
                <w:rFonts w:hint="eastAsia"/>
                <w:bCs/>
                <w:color w:val="FF0000"/>
                <w:kern w:val="0"/>
                <w:szCs w:val="21"/>
              </w:rPr>
              <w:t>水井</w:t>
            </w:r>
            <w:r w:rsidR="00AD35CE" w:rsidRPr="003D13FE">
              <w:rPr>
                <w:bCs/>
                <w:color w:val="FF0000"/>
                <w:kern w:val="0"/>
                <w:szCs w:val="21"/>
              </w:rPr>
              <w:t>编号</w:t>
            </w:r>
          </w:p>
        </w:tc>
        <w:tc>
          <w:tcPr>
            <w:tcW w:w="1661" w:type="dxa"/>
            <w:shd w:val="clear" w:color="auto" w:fill="auto"/>
            <w:vAlign w:val="center"/>
            <w:hideMark/>
          </w:tcPr>
          <w:p w:rsidR="00AD35CE" w:rsidRPr="003D13FE" w:rsidRDefault="00AD35CE" w:rsidP="003D13FE">
            <w:pPr>
              <w:widowControl/>
              <w:jc w:val="center"/>
              <w:rPr>
                <w:bCs/>
                <w:color w:val="FF0000"/>
                <w:kern w:val="0"/>
                <w:szCs w:val="21"/>
              </w:rPr>
            </w:pPr>
            <w:r w:rsidRPr="003D13FE">
              <w:rPr>
                <w:bCs/>
                <w:color w:val="FF0000"/>
                <w:kern w:val="0"/>
                <w:szCs w:val="21"/>
              </w:rPr>
              <w:t>纵坐标（</w:t>
            </w:r>
            <w:r w:rsidRPr="003D13FE">
              <w:rPr>
                <w:bCs/>
                <w:color w:val="FF0000"/>
                <w:kern w:val="0"/>
                <w:szCs w:val="21"/>
              </w:rPr>
              <w:t>Y</w:t>
            </w:r>
            <w:r w:rsidRPr="003D13FE">
              <w:rPr>
                <w:bCs/>
                <w:color w:val="FF0000"/>
                <w:kern w:val="0"/>
                <w:szCs w:val="21"/>
              </w:rPr>
              <w:t>）</w:t>
            </w:r>
          </w:p>
        </w:tc>
        <w:tc>
          <w:tcPr>
            <w:tcW w:w="1556" w:type="dxa"/>
            <w:shd w:val="clear" w:color="auto" w:fill="auto"/>
            <w:vAlign w:val="center"/>
            <w:hideMark/>
          </w:tcPr>
          <w:p w:rsidR="00AD35CE" w:rsidRPr="003D13FE" w:rsidRDefault="00AD35CE" w:rsidP="003D13FE">
            <w:pPr>
              <w:widowControl/>
              <w:jc w:val="center"/>
              <w:rPr>
                <w:bCs/>
                <w:color w:val="FF0000"/>
                <w:kern w:val="0"/>
                <w:szCs w:val="21"/>
              </w:rPr>
            </w:pPr>
            <w:r w:rsidRPr="003D13FE">
              <w:rPr>
                <w:bCs/>
                <w:color w:val="FF0000"/>
                <w:kern w:val="0"/>
                <w:szCs w:val="21"/>
              </w:rPr>
              <w:t>横坐标（</w:t>
            </w:r>
            <w:r w:rsidRPr="003D13FE">
              <w:rPr>
                <w:bCs/>
                <w:color w:val="FF0000"/>
                <w:kern w:val="0"/>
                <w:szCs w:val="21"/>
              </w:rPr>
              <w:t>X</w:t>
            </w:r>
            <w:r w:rsidRPr="003D13FE">
              <w:rPr>
                <w:bCs/>
                <w:color w:val="FF0000"/>
                <w:kern w:val="0"/>
                <w:szCs w:val="21"/>
              </w:rPr>
              <w:t>）</w:t>
            </w:r>
          </w:p>
        </w:tc>
        <w:tc>
          <w:tcPr>
            <w:tcW w:w="1357" w:type="dxa"/>
            <w:shd w:val="clear" w:color="auto" w:fill="auto"/>
            <w:vAlign w:val="center"/>
            <w:hideMark/>
          </w:tcPr>
          <w:p w:rsidR="00AD35CE" w:rsidRPr="003D13FE" w:rsidRDefault="00AD35CE" w:rsidP="003D13FE">
            <w:pPr>
              <w:widowControl/>
              <w:jc w:val="center"/>
              <w:rPr>
                <w:bCs/>
                <w:color w:val="FF0000"/>
                <w:kern w:val="0"/>
                <w:szCs w:val="21"/>
              </w:rPr>
            </w:pPr>
            <w:r w:rsidRPr="003D13FE">
              <w:rPr>
                <w:bCs/>
                <w:color w:val="FF0000"/>
                <w:kern w:val="0"/>
                <w:szCs w:val="21"/>
              </w:rPr>
              <w:t>高程（</w:t>
            </w:r>
            <w:r w:rsidR="003D13FE" w:rsidRPr="003D13FE">
              <w:rPr>
                <w:rFonts w:hint="eastAsia"/>
                <w:bCs/>
                <w:color w:val="FF0000"/>
                <w:kern w:val="0"/>
                <w:szCs w:val="21"/>
              </w:rPr>
              <w:t>m</w:t>
            </w:r>
            <w:r w:rsidRPr="003D13FE">
              <w:rPr>
                <w:bCs/>
                <w:color w:val="FF0000"/>
                <w:kern w:val="0"/>
                <w:szCs w:val="21"/>
              </w:rPr>
              <w:t>）</w:t>
            </w:r>
          </w:p>
        </w:tc>
        <w:tc>
          <w:tcPr>
            <w:tcW w:w="1117" w:type="dxa"/>
            <w:vAlign w:val="center"/>
          </w:tcPr>
          <w:p w:rsidR="00AD35CE" w:rsidRPr="003D13FE" w:rsidRDefault="00AD35CE" w:rsidP="003D13FE">
            <w:pPr>
              <w:widowControl/>
              <w:jc w:val="center"/>
              <w:rPr>
                <w:bCs/>
                <w:color w:val="FF0000"/>
                <w:kern w:val="0"/>
                <w:szCs w:val="21"/>
              </w:rPr>
            </w:pPr>
            <w:r w:rsidRPr="003D13FE">
              <w:rPr>
                <w:rFonts w:hint="eastAsia"/>
                <w:bCs/>
                <w:color w:val="FF0000"/>
                <w:kern w:val="0"/>
                <w:szCs w:val="21"/>
              </w:rPr>
              <w:t>含水层</w:t>
            </w:r>
          </w:p>
        </w:tc>
        <w:tc>
          <w:tcPr>
            <w:tcW w:w="1589" w:type="dxa"/>
            <w:vAlign w:val="center"/>
          </w:tcPr>
          <w:p w:rsidR="00AD35CE" w:rsidRPr="003D13FE" w:rsidRDefault="00AD35CE" w:rsidP="003D13FE">
            <w:pPr>
              <w:widowControl/>
              <w:jc w:val="center"/>
              <w:rPr>
                <w:bCs/>
                <w:color w:val="FF0000"/>
                <w:kern w:val="0"/>
                <w:szCs w:val="21"/>
              </w:rPr>
            </w:pPr>
            <w:r w:rsidRPr="003D13FE">
              <w:rPr>
                <w:rFonts w:eastAsiaTheme="minorEastAsia" w:hAnsiTheme="minorEastAsia"/>
                <w:color w:val="FF0000"/>
                <w:szCs w:val="21"/>
              </w:rPr>
              <w:t>水位埋深（</w:t>
            </w:r>
            <w:r w:rsidRPr="003D13FE">
              <w:rPr>
                <w:rFonts w:eastAsiaTheme="minorEastAsia"/>
                <w:color w:val="FF0000"/>
                <w:szCs w:val="21"/>
              </w:rPr>
              <w:t>m</w:t>
            </w:r>
            <w:r w:rsidRPr="003D13FE">
              <w:rPr>
                <w:rFonts w:eastAsiaTheme="minorEastAsia" w:hAnsiTheme="minorEastAsia"/>
                <w:color w:val="FF0000"/>
                <w:szCs w:val="21"/>
              </w:rPr>
              <w:t>）</w:t>
            </w:r>
          </w:p>
        </w:tc>
      </w:tr>
      <w:tr w:rsidR="00AD35CE" w:rsidRPr="003D13FE" w:rsidTr="003D13FE">
        <w:trPr>
          <w:trHeight w:val="389"/>
          <w:jc w:val="center"/>
        </w:trPr>
        <w:tc>
          <w:tcPr>
            <w:tcW w:w="1774" w:type="dxa"/>
            <w:shd w:val="clear" w:color="auto" w:fill="auto"/>
            <w:vAlign w:val="center"/>
            <w:hideMark/>
          </w:tcPr>
          <w:p w:rsidR="00AD35CE" w:rsidRPr="003D13FE" w:rsidRDefault="00AD35CE" w:rsidP="003D13FE">
            <w:pPr>
              <w:widowControl/>
              <w:jc w:val="center"/>
              <w:rPr>
                <w:bCs/>
                <w:color w:val="FF0000"/>
                <w:kern w:val="0"/>
                <w:szCs w:val="21"/>
              </w:rPr>
            </w:pPr>
            <w:r w:rsidRPr="003D13FE">
              <w:rPr>
                <w:rFonts w:hint="eastAsia"/>
                <w:bCs/>
                <w:color w:val="FF0000"/>
                <w:kern w:val="0"/>
                <w:szCs w:val="21"/>
              </w:rPr>
              <w:t>J1</w:t>
            </w:r>
          </w:p>
        </w:tc>
        <w:tc>
          <w:tcPr>
            <w:tcW w:w="1661" w:type="dxa"/>
            <w:shd w:val="clear" w:color="auto" w:fill="auto"/>
            <w:vAlign w:val="center"/>
            <w:hideMark/>
          </w:tcPr>
          <w:p w:rsidR="00AD35CE" w:rsidRPr="003D13FE" w:rsidRDefault="00AD35CE" w:rsidP="003D13FE">
            <w:pPr>
              <w:widowControl/>
              <w:jc w:val="center"/>
              <w:rPr>
                <w:bCs/>
                <w:color w:val="FF0000"/>
                <w:kern w:val="0"/>
                <w:szCs w:val="21"/>
              </w:rPr>
            </w:pPr>
            <w:r w:rsidRPr="003D13FE">
              <w:rPr>
                <w:bCs/>
                <w:color w:val="FF0000"/>
                <w:kern w:val="0"/>
                <w:szCs w:val="21"/>
              </w:rPr>
              <w:t>36629520.</w:t>
            </w:r>
            <w:r w:rsidRPr="003D13FE">
              <w:rPr>
                <w:rFonts w:hint="eastAsia"/>
                <w:bCs/>
                <w:color w:val="FF0000"/>
                <w:kern w:val="0"/>
                <w:szCs w:val="21"/>
              </w:rPr>
              <w:t>3</w:t>
            </w:r>
          </w:p>
        </w:tc>
        <w:tc>
          <w:tcPr>
            <w:tcW w:w="1556" w:type="dxa"/>
            <w:shd w:val="clear" w:color="auto" w:fill="auto"/>
            <w:vAlign w:val="center"/>
            <w:hideMark/>
          </w:tcPr>
          <w:p w:rsidR="00AD35CE" w:rsidRPr="003D13FE" w:rsidRDefault="00AD35CE" w:rsidP="003D13FE">
            <w:pPr>
              <w:widowControl/>
              <w:jc w:val="center"/>
              <w:rPr>
                <w:bCs/>
                <w:color w:val="FF0000"/>
                <w:kern w:val="0"/>
                <w:szCs w:val="21"/>
              </w:rPr>
            </w:pPr>
            <w:r w:rsidRPr="003D13FE">
              <w:rPr>
                <w:bCs/>
                <w:color w:val="FF0000"/>
                <w:kern w:val="0"/>
                <w:szCs w:val="21"/>
              </w:rPr>
              <w:t>4155549.8</w:t>
            </w:r>
          </w:p>
        </w:tc>
        <w:tc>
          <w:tcPr>
            <w:tcW w:w="1357" w:type="dxa"/>
            <w:shd w:val="clear" w:color="auto" w:fill="auto"/>
            <w:vAlign w:val="center"/>
            <w:hideMark/>
          </w:tcPr>
          <w:p w:rsidR="00AD35CE" w:rsidRPr="003D13FE" w:rsidRDefault="00AD35CE" w:rsidP="003D13FE">
            <w:pPr>
              <w:widowControl/>
              <w:jc w:val="center"/>
              <w:rPr>
                <w:bCs/>
                <w:color w:val="FF0000"/>
                <w:kern w:val="0"/>
                <w:szCs w:val="21"/>
              </w:rPr>
            </w:pPr>
            <w:r w:rsidRPr="003D13FE">
              <w:rPr>
                <w:rFonts w:hint="eastAsia"/>
                <w:bCs/>
                <w:color w:val="FF0000"/>
                <w:kern w:val="0"/>
                <w:szCs w:val="21"/>
              </w:rPr>
              <w:t>1143.21</w:t>
            </w:r>
          </w:p>
        </w:tc>
        <w:tc>
          <w:tcPr>
            <w:tcW w:w="1117" w:type="dxa"/>
            <w:vAlign w:val="center"/>
          </w:tcPr>
          <w:p w:rsidR="00AD35CE" w:rsidRPr="003D13FE" w:rsidRDefault="00AD35CE" w:rsidP="003D13FE">
            <w:pPr>
              <w:widowControl/>
              <w:jc w:val="center"/>
              <w:rPr>
                <w:bCs/>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AD35CE" w:rsidRPr="003D13FE" w:rsidRDefault="00AD35CE" w:rsidP="003D13FE">
            <w:pPr>
              <w:widowControl/>
              <w:jc w:val="center"/>
              <w:rPr>
                <w:bCs/>
                <w:color w:val="FF0000"/>
                <w:kern w:val="0"/>
                <w:szCs w:val="21"/>
              </w:rPr>
            </w:pPr>
            <w:r w:rsidRPr="003D13FE">
              <w:rPr>
                <w:rFonts w:hint="eastAsia"/>
                <w:bCs/>
                <w:color w:val="FF0000"/>
                <w:kern w:val="0"/>
                <w:szCs w:val="21"/>
              </w:rPr>
              <w:t>3</w:t>
            </w:r>
          </w:p>
        </w:tc>
      </w:tr>
      <w:tr w:rsidR="00AD35CE" w:rsidRPr="003D13FE" w:rsidTr="003D13FE">
        <w:trPr>
          <w:trHeight w:val="315"/>
          <w:jc w:val="center"/>
        </w:trPr>
        <w:tc>
          <w:tcPr>
            <w:tcW w:w="1774" w:type="dxa"/>
            <w:shd w:val="clear" w:color="auto" w:fill="auto"/>
            <w:vAlign w:val="center"/>
            <w:hideMark/>
          </w:tcPr>
          <w:p w:rsidR="00AD35CE" w:rsidRPr="003D13FE" w:rsidRDefault="00AD35CE" w:rsidP="003D13FE">
            <w:pPr>
              <w:widowControl/>
              <w:jc w:val="center"/>
              <w:rPr>
                <w:bCs/>
                <w:color w:val="FF0000"/>
                <w:kern w:val="0"/>
                <w:szCs w:val="21"/>
              </w:rPr>
            </w:pPr>
            <w:r w:rsidRPr="003D13FE">
              <w:rPr>
                <w:rFonts w:hint="eastAsia"/>
                <w:bCs/>
                <w:color w:val="FF0000"/>
                <w:kern w:val="0"/>
                <w:szCs w:val="21"/>
              </w:rPr>
              <w:t>J2</w:t>
            </w:r>
          </w:p>
        </w:tc>
        <w:tc>
          <w:tcPr>
            <w:tcW w:w="1661"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36629319</w:t>
            </w:r>
          </w:p>
        </w:tc>
        <w:tc>
          <w:tcPr>
            <w:tcW w:w="1556"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4154228</w:t>
            </w:r>
          </w:p>
        </w:tc>
        <w:tc>
          <w:tcPr>
            <w:tcW w:w="1357"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1095.88</w:t>
            </w:r>
          </w:p>
        </w:tc>
        <w:tc>
          <w:tcPr>
            <w:tcW w:w="1117"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1.5</w:t>
            </w:r>
          </w:p>
        </w:tc>
      </w:tr>
      <w:tr w:rsidR="00AD35CE" w:rsidRPr="003D13FE" w:rsidTr="003D13FE">
        <w:trPr>
          <w:trHeight w:val="315"/>
          <w:jc w:val="center"/>
        </w:trPr>
        <w:tc>
          <w:tcPr>
            <w:tcW w:w="1774" w:type="dxa"/>
            <w:shd w:val="clear" w:color="auto" w:fill="auto"/>
            <w:vAlign w:val="center"/>
            <w:hideMark/>
          </w:tcPr>
          <w:p w:rsidR="00AD35CE" w:rsidRPr="003D13FE" w:rsidRDefault="00AD35CE" w:rsidP="003D13FE">
            <w:pPr>
              <w:widowControl/>
              <w:jc w:val="center"/>
              <w:rPr>
                <w:bCs/>
                <w:color w:val="FF0000"/>
                <w:kern w:val="0"/>
                <w:szCs w:val="21"/>
              </w:rPr>
            </w:pPr>
            <w:r w:rsidRPr="003D13FE">
              <w:rPr>
                <w:rFonts w:hint="eastAsia"/>
                <w:bCs/>
                <w:color w:val="FF0000"/>
                <w:kern w:val="0"/>
                <w:szCs w:val="21"/>
              </w:rPr>
              <w:t>J3</w:t>
            </w:r>
            <w:r w:rsidRPr="003D13FE">
              <w:rPr>
                <w:rFonts w:hint="eastAsia"/>
                <w:bCs/>
                <w:color w:val="FF0000"/>
                <w:kern w:val="0"/>
                <w:szCs w:val="21"/>
              </w:rPr>
              <w:t>（藏家沟）</w:t>
            </w:r>
          </w:p>
        </w:tc>
        <w:tc>
          <w:tcPr>
            <w:tcW w:w="1661" w:type="dxa"/>
            <w:shd w:val="clear" w:color="auto" w:fill="auto"/>
            <w:vAlign w:val="center"/>
            <w:hideMark/>
          </w:tcPr>
          <w:p w:rsidR="00AD35CE" w:rsidRPr="003D13FE" w:rsidRDefault="00AD35CE" w:rsidP="003D13FE">
            <w:pPr>
              <w:jc w:val="center"/>
              <w:rPr>
                <w:rFonts w:ascii="宋体" w:hAnsi="宋体" w:cs="宋体"/>
                <w:color w:val="FF0000"/>
                <w:szCs w:val="21"/>
              </w:rPr>
            </w:pPr>
            <w:r w:rsidRPr="003D13FE">
              <w:rPr>
                <w:rFonts w:hint="eastAsia"/>
                <w:color w:val="FF0000"/>
                <w:szCs w:val="21"/>
              </w:rPr>
              <w:t>36625326</w:t>
            </w:r>
          </w:p>
        </w:tc>
        <w:tc>
          <w:tcPr>
            <w:tcW w:w="1556" w:type="dxa"/>
            <w:shd w:val="clear" w:color="auto" w:fill="auto"/>
            <w:vAlign w:val="center"/>
            <w:hideMark/>
          </w:tcPr>
          <w:p w:rsidR="00AD35CE" w:rsidRPr="003D13FE" w:rsidRDefault="00AD35CE" w:rsidP="003D13FE">
            <w:pPr>
              <w:jc w:val="center"/>
              <w:rPr>
                <w:rFonts w:ascii="宋体" w:hAnsi="宋体" w:cs="宋体"/>
                <w:color w:val="FF0000"/>
                <w:szCs w:val="21"/>
              </w:rPr>
            </w:pPr>
            <w:r w:rsidRPr="003D13FE">
              <w:rPr>
                <w:rFonts w:hint="eastAsia"/>
                <w:color w:val="FF0000"/>
                <w:szCs w:val="21"/>
              </w:rPr>
              <w:t>4153958</w:t>
            </w:r>
          </w:p>
        </w:tc>
        <w:tc>
          <w:tcPr>
            <w:tcW w:w="1357" w:type="dxa"/>
            <w:shd w:val="clear" w:color="auto" w:fill="auto"/>
            <w:vAlign w:val="center"/>
            <w:hideMark/>
          </w:tcPr>
          <w:p w:rsidR="00AD35CE" w:rsidRPr="003D13FE" w:rsidRDefault="00AD35CE" w:rsidP="003D13FE">
            <w:pPr>
              <w:pStyle w:val="a8"/>
              <w:rPr>
                <w:b w:val="0"/>
                <w:color w:val="FF0000"/>
                <w:szCs w:val="21"/>
              </w:rPr>
            </w:pPr>
            <w:r w:rsidRPr="003D13FE">
              <w:rPr>
                <w:b w:val="0"/>
                <w:color w:val="FF0000"/>
                <w:kern w:val="0"/>
                <w:szCs w:val="21"/>
              </w:rPr>
              <w:t>1032</w:t>
            </w:r>
          </w:p>
        </w:tc>
        <w:tc>
          <w:tcPr>
            <w:tcW w:w="1117" w:type="dxa"/>
            <w:vAlign w:val="center"/>
          </w:tcPr>
          <w:p w:rsidR="00AD35CE" w:rsidRPr="003D13FE" w:rsidRDefault="00AD35CE" w:rsidP="003D13FE">
            <w:pPr>
              <w:jc w:val="center"/>
              <w:rPr>
                <w:color w:val="FF0000"/>
                <w:szCs w:val="21"/>
              </w:rPr>
            </w:pPr>
            <w:r w:rsidRPr="003D13FE">
              <w:rPr>
                <w:rFonts w:hint="eastAsia"/>
                <w:color w:val="FF0000"/>
                <w:szCs w:val="21"/>
              </w:rPr>
              <w:t>J</w:t>
            </w:r>
            <w:r w:rsidRPr="003D13FE">
              <w:rPr>
                <w:rFonts w:hint="eastAsia"/>
                <w:color w:val="FF0000"/>
                <w:szCs w:val="21"/>
                <w:vertAlign w:val="subscript"/>
              </w:rPr>
              <w:t>2</w:t>
            </w:r>
            <w:r w:rsidRPr="003D13FE">
              <w:rPr>
                <w:rFonts w:hint="eastAsia"/>
                <w:color w:val="FF0000"/>
                <w:szCs w:val="21"/>
              </w:rPr>
              <w:t>y</w:t>
            </w:r>
          </w:p>
        </w:tc>
        <w:tc>
          <w:tcPr>
            <w:tcW w:w="1589" w:type="dxa"/>
            <w:vAlign w:val="center"/>
          </w:tcPr>
          <w:p w:rsidR="00AD35CE" w:rsidRPr="003D13FE" w:rsidRDefault="00AD35CE" w:rsidP="003D13FE">
            <w:pPr>
              <w:widowControl/>
              <w:jc w:val="center"/>
              <w:rPr>
                <w:color w:val="FF0000"/>
                <w:kern w:val="0"/>
                <w:szCs w:val="21"/>
              </w:rPr>
            </w:pPr>
            <w:r w:rsidRPr="003D13FE">
              <w:rPr>
                <w:color w:val="FF0000"/>
                <w:kern w:val="0"/>
                <w:szCs w:val="21"/>
              </w:rPr>
              <w:t>2.7</w:t>
            </w:r>
          </w:p>
        </w:tc>
      </w:tr>
      <w:tr w:rsidR="00AD35CE" w:rsidRPr="003D13FE" w:rsidTr="003D13FE">
        <w:trPr>
          <w:trHeight w:val="315"/>
          <w:jc w:val="center"/>
        </w:trPr>
        <w:tc>
          <w:tcPr>
            <w:tcW w:w="1774" w:type="dxa"/>
            <w:shd w:val="clear" w:color="auto" w:fill="auto"/>
            <w:vAlign w:val="center"/>
            <w:hideMark/>
          </w:tcPr>
          <w:p w:rsidR="00AD35CE" w:rsidRPr="003D13FE" w:rsidRDefault="00AD35CE" w:rsidP="003D13FE">
            <w:pPr>
              <w:widowControl/>
              <w:jc w:val="center"/>
              <w:rPr>
                <w:bCs/>
                <w:color w:val="FF0000"/>
                <w:kern w:val="0"/>
                <w:szCs w:val="21"/>
              </w:rPr>
            </w:pPr>
            <w:r w:rsidRPr="003D13FE">
              <w:rPr>
                <w:rFonts w:hint="eastAsia"/>
                <w:bCs/>
                <w:color w:val="FF0000"/>
                <w:kern w:val="0"/>
                <w:szCs w:val="21"/>
              </w:rPr>
              <w:t>J4</w:t>
            </w:r>
          </w:p>
        </w:tc>
        <w:tc>
          <w:tcPr>
            <w:tcW w:w="1661"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36626190</w:t>
            </w:r>
          </w:p>
        </w:tc>
        <w:tc>
          <w:tcPr>
            <w:tcW w:w="1556"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4152992</w:t>
            </w:r>
          </w:p>
        </w:tc>
        <w:tc>
          <w:tcPr>
            <w:tcW w:w="1357"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1130.79</w:t>
            </w:r>
          </w:p>
        </w:tc>
        <w:tc>
          <w:tcPr>
            <w:tcW w:w="1117"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J</w:t>
            </w:r>
            <w:r w:rsidRPr="003D13FE">
              <w:rPr>
                <w:rFonts w:hint="eastAsia"/>
                <w:color w:val="FF0000"/>
                <w:kern w:val="0"/>
                <w:szCs w:val="21"/>
                <w:vertAlign w:val="subscript"/>
              </w:rPr>
              <w:t>2</w:t>
            </w:r>
            <w:r w:rsidRPr="003D13FE">
              <w:rPr>
                <w:rFonts w:hint="eastAsia"/>
                <w:color w:val="FF0000"/>
                <w:kern w:val="0"/>
                <w:szCs w:val="21"/>
              </w:rPr>
              <w:t>y</w:t>
            </w:r>
          </w:p>
        </w:tc>
        <w:tc>
          <w:tcPr>
            <w:tcW w:w="1589"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1.0</w:t>
            </w:r>
          </w:p>
        </w:tc>
      </w:tr>
      <w:tr w:rsidR="00AD35CE" w:rsidRPr="003D13FE" w:rsidTr="003D13FE">
        <w:trPr>
          <w:trHeight w:val="315"/>
          <w:jc w:val="center"/>
        </w:trPr>
        <w:tc>
          <w:tcPr>
            <w:tcW w:w="1774" w:type="dxa"/>
            <w:shd w:val="clear" w:color="auto" w:fill="auto"/>
            <w:vAlign w:val="center"/>
            <w:hideMark/>
          </w:tcPr>
          <w:p w:rsidR="00AD35CE" w:rsidRPr="003D13FE" w:rsidRDefault="00AD35CE" w:rsidP="003D13FE">
            <w:pPr>
              <w:widowControl/>
              <w:jc w:val="center"/>
              <w:rPr>
                <w:bCs/>
                <w:color w:val="FF0000"/>
                <w:kern w:val="0"/>
                <w:szCs w:val="21"/>
              </w:rPr>
            </w:pPr>
            <w:r w:rsidRPr="003D13FE">
              <w:rPr>
                <w:rFonts w:hint="eastAsia"/>
                <w:bCs/>
                <w:color w:val="FF0000"/>
                <w:kern w:val="0"/>
                <w:szCs w:val="21"/>
              </w:rPr>
              <w:t>J5</w:t>
            </w:r>
          </w:p>
        </w:tc>
        <w:tc>
          <w:tcPr>
            <w:tcW w:w="1661"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36628435</w:t>
            </w:r>
          </w:p>
        </w:tc>
        <w:tc>
          <w:tcPr>
            <w:tcW w:w="1556"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4153025</w:t>
            </w:r>
          </w:p>
        </w:tc>
        <w:tc>
          <w:tcPr>
            <w:tcW w:w="1357"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1077.14</w:t>
            </w:r>
          </w:p>
        </w:tc>
        <w:tc>
          <w:tcPr>
            <w:tcW w:w="1117"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1.0</w:t>
            </w:r>
          </w:p>
        </w:tc>
      </w:tr>
      <w:tr w:rsidR="00AD35CE" w:rsidRPr="003D13FE" w:rsidTr="003D13FE">
        <w:trPr>
          <w:trHeight w:val="315"/>
          <w:jc w:val="center"/>
        </w:trPr>
        <w:tc>
          <w:tcPr>
            <w:tcW w:w="1774" w:type="dxa"/>
            <w:shd w:val="clear" w:color="auto" w:fill="auto"/>
            <w:vAlign w:val="center"/>
            <w:hideMark/>
          </w:tcPr>
          <w:p w:rsidR="00AD35CE" w:rsidRPr="003D13FE" w:rsidRDefault="00AD35CE" w:rsidP="003D13FE">
            <w:pPr>
              <w:widowControl/>
              <w:jc w:val="center"/>
              <w:rPr>
                <w:bCs/>
                <w:color w:val="FF0000"/>
                <w:kern w:val="0"/>
                <w:szCs w:val="21"/>
              </w:rPr>
            </w:pPr>
            <w:r w:rsidRPr="003D13FE">
              <w:rPr>
                <w:rFonts w:hint="eastAsia"/>
                <w:bCs/>
                <w:color w:val="FF0000"/>
                <w:kern w:val="0"/>
                <w:szCs w:val="21"/>
              </w:rPr>
              <w:t>J6</w:t>
            </w:r>
          </w:p>
        </w:tc>
        <w:tc>
          <w:tcPr>
            <w:tcW w:w="1661" w:type="dxa"/>
            <w:shd w:val="clear" w:color="auto" w:fill="auto"/>
            <w:vAlign w:val="center"/>
            <w:hideMark/>
          </w:tcPr>
          <w:p w:rsidR="00AD35CE" w:rsidRPr="003D13FE" w:rsidRDefault="00AD35CE" w:rsidP="003D13FE">
            <w:pPr>
              <w:jc w:val="center"/>
              <w:rPr>
                <w:rFonts w:ascii="宋体" w:hAnsi="宋体" w:cs="宋体"/>
                <w:color w:val="FF0000"/>
                <w:szCs w:val="21"/>
              </w:rPr>
            </w:pPr>
            <w:r w:rsidRPr="003D13FE">
              <w:rPr>
                <w:rFonts w:hint="eastAsia"/>
                <w:color w:val="FF0000"/>
                <w:szCs w:val="21"/>
              </w:rPr>
              <w:t>36630406</w:t>
            </w:r>
          </w:p>
        </w:tc>
        <w:tc>
          <w:tcPr>
            <w:tcW w:w="1556" w:type="dxa"/>
            <w:shd w:val="clear" w:color="auto" w:fill="auto"/>
            <w:vAlign w:val="center"/>
            <w:hideMark/>
          </w:tcPr>
          <w:p w:rsidR="00AD35CE" w:rsidRPr="003D13FE" w:rsidRDefault="00AD35CE" w:rsidP="003D13FE">
            <w:pPr>
              <w:jc w:val="center"/>
              <w:rPr>
                <w:rFonts w:ascii="宋体" w:hAnsi="宋体" w:cs="宋体"/>
                <w:color w:val="FF0000"/>
                <w:szCs w:val="21"/>
              </w:rPr>
            </w:pPr>
            <w:r w:rsidRPr="003D13FE">
              <w:rPr>
                <w:rFonts w:hint="eastAsia"/>
                <w:color w:val="FF0000"/>
                <w:szCs w:val="21"/>
              </w:rPr>
              <w:t>4154619</w:t>
            </w:r>
          </w:p>
        </w:tc>
        <w:tc>
          <w:tcPr>
            <w:tcW w:w="1357" w:type="dxa"/>
            <w:shd w:val="clear" w:color="auto" w:fill="auto"/>
            <w:vAlign w:val="center"/>
            <w:hideMark/>
          </w:tcPr>
          <w:p w:rsidR="00AD35CE" w:rsidRPr="003D13FE" w:rsidRDefault="00AD35CE" w:rsidP="003D13FE">
            <w:pPr>
              <w:widowControl/>
              <w:jc w:val="center"/>
              <w:rPr>
                <w:color w:val="FF0000"/>
                <w:kern w:val="0"/>
                <w:szCs w:val="21"/>
              </w:rPr>
            </w:pPr>
            <w:r w:rsidRPr="003D13FE">
              <w:rPr>
                <w:color w:val="FF0000"/>
                <w:kern w:val="0"/>
                <w:szCs w:val="21"/>
              </w:rPr>
              <w:t>10</w:t>
            </w:r>
            <w:r w:rsidRPr="003D13FE">
              <w:rPr>
                <w:rFonts w:hint="eastAsia"/>
                <w:color w:val="FF0000"/>
                <w:kern w:val="0"/>
                <w:szCs w:val="21"/>
              </w:rPr>
              <w:t>8</w:t>
            </w:r>
            <w:r w:rsidRPr="003D13FE">
              <w:rPr>
                <w:color w:val="FF0000"/>
                <w:kern w:val="0"/>
                <w:szCs w:val="21"/>
              </w:rPr>
              <w:t>6.25</w:t>
            </w:r>
          </w:p>
        </w:tc>
        <w:tc>
          <w:tcPr>
            <w:tcW w:w="1117"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3.5</w:t>
            </w:r>
          </w:p>
        </w:tc>
      </w:tr>
      <w:tr w:rsidR="00AD35CE" w:rsidRPr="003D13FE" w:rsidTr="003D13FE">
        <w:trPr>
          <w:trHeight w:val="315"/>
          <w:jc w:val="center"/>
        </w:trPr>
        <w:tc>
          <w:tcPr>
            <w:tcW w:w="1774" w:type="dxa"/>
            <w:shd w:val="clear" w:color="auto" w:fill="auto"/>
            <w:vAlign w:val="center"/>
            <w:hideMark/>
          </w:tcPr>
          <w:p w:rsidR="00AD35CE" w:rsidRPr="003D13FE" w:rsidRDefault="00AD35CE" w:rsidP="003D13FE">
            <w:pPr>
              <w:widowControl/>
              <w:jc w:val="center"/>
              <w:rPr>
                <w:bCs/>
                <w:color w:val="FF0000"/>
                <w:kern w:val="0"/>
                <w:szCs w:val="21"/>
              </w:rPr>
            </w:pPr>
            <w:r w:rsidRPr="003D13FE">
              <w:rPr>
                <w:rFonts w:hint="eastAsia"/>
                <w:bCs/>
                <w:color w:val="FF0000"/>
                <w:kern w:val="0"/>
                <w:szCs w:val="21"/>
              </w:rPr>
              <w:t>J7</w:t>
            </w:r>
          </w:p>
        </w:tc>
        <w:tc>
          <w:tcPr>
            <w:tcW w:w="1661"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36633596</w:t>
            </w:r>
          </w:p>
        </w:tc>
        <w:tc>
          <w:tcPr>
            <w:tcW w:w="1556"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4157558</w:t>
            </w:r>
          </w:p>
        </w:tc>
        <w:tc>
          <w:tcPr>
            <w:tcW w:w="1357"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1033.04</w:t>
            </w:r>
          </w:p>
        </w:tc>
        <w:tc>
          <w:tcPr>
            <w:tcW w:w="1117"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4.5</w:t>
            </w:r>
          </w:p>
        </w:tc>
      </w:tr>
      <w:tr w:rsidR="00AD35CE" w:rsidRPr="003D13FE" w:rsidTr="003D13FE">
        <w:trPr>
          <w:trHeight w:val="315"/>
          <w:jc w:val="center"/>
        </w:trPr>
        <w:tc>
          <w:tcPr>
            <w:tcW w:w="1774" w:type="dxa"/>
            <w:shd w:val="clear" w:color="auto" w:fill="auto"/>
            <w:vAlign w:val="center"/>
            <w:hideMark/>
          </w:tcPr>
          <w:p w:rsidR="00AD35CE" w:rsidRPr="003D13FE" w:rsidRDefault="00AD35CE" w:rsidP="003D13FE">
            <w:pPr>
              <w:widowControl/>
              <w:jc w:val="center"/>
              <w:rPr>
                <w:bCs/>
                <w:color w:val="FF0000"/>
                <w:kern w:val="0"/>
                <w:szCs w:val="21"/>
              </w:rPr>
            </w:pPr>
            <w:r w:rsidRPr="003D13FE">
              <w:rPr>
                <w:rFonts w:hint="eastAsia"/>
                <w:bCs/>
                <w:color w:val="FF0000"/>
                <w:kern w:val="0"/>
                <w:szCs w:val="21"/>
              </w:rPr>
              <w:t>J8</w:t>
            </w:r>
          </w:p>
        </w:tc>
        <w:tc>
          <w:tcPr>
            <w:tcW w:w="1661"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36633480</w:t>
            </w:r>
          </w:p>
        </w:tc>
        <w:tc>
          <w:tcPr>
            <w:tcW w:w="1556"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4158252</w:t>
            </w:r>
          </w:p>
        </w:tc>
        <w:tc>
          <w:tcPr>
            <w:tcW w:w="1357"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1043.29</w:t>
            </w:r>
          </w:p>
        </w:tc>
        <w:tc>
          <w:tcPr>
            <w:tcW w:w="1117"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4</w:t>
            </w:r>
          </w:p>
        </w:tc>
      </w:tr>
      <w:tr w:rsidR="00AD35CE" w:rsidRPr="003D13FE" w:rsidTr="003D13FE">
        <w:trPr>
          <w:trHeight w:val="315"/>
          <w:jc w:val="center"/>
        </w:trPr>
        <w:tc>
          <w:tcPr>
            <w:tcW w:w="1774" w:type="dxa"/>
            <w:shd w:val="clear" w:color="auto" w:fill="auto"/>
            <w:vAlign w:val="center"/>
            <w:hideMark/>
          </w:tcPr>
          <w:p w:rsidR="00AD35CE" w:rsidRPr="003D13FE" w:rsidRDefault="00AD35CE" w:rsidP="003D13FE">
            <w:pPr>
              <w:widowControl/>
              <w:jc w:val="center"/>
              <w:rPr>
                <w:bCs/>
                <w:color w:val="FF0000"/>
                <w:kern w:val="0"/>
                <w:szCs w:val="21"/>
              </w:rPr>
            </w:pPr>
            <w:r w:rsidRPr="003D13FE">
              <w:rPr>
                <w:rFonts w:hint="eastAsia"/>
                <w:bCs/>
                <w:color w:val="FF0000"/>
                <w:kern w:val="0"/>
                <w:szCs w:val="21"/>
              </w:rPr>
              <w:t>J9</w:t>
            </w:r>
          </w:p>
        </w:tc>
        <w:tc>
          <w:tcPr>
            <w:tcW w:w="1661" w:type="dxa"/>
            <w:shd w:val="clear" w:color="auto" w:fill="auto"/>
            <w:vAlign w:val="center"/>
            <w:hideMark/>
          </w:tcPr>
          <w:p w:rsidR="00AD35CE" w:rsidRPr="003D13FE" w:rsidRDefault="00AD35CE" w:rsidP="003D13FE">
            <w:pPr>
              <w:widowControl/>
              <w:jc w:val="center"/>
              <w:rPr>
                <w:color w:val="FF0000"/>
                <w:kern w:val="0"/>
                <w:szCs w:val="21"/>
              </w:rPr>
            </w:pPr>
            <w:r w:rsidRPr="003D13FE">
              <w:rPr>
                <w:color w:val="FF0000"/>
                <w:kern w:val="0"/>
                <w:szCs w:val="21"/>
              </w:rPr>
              <w:t>36632727.74</w:t>
            </w:r>
          </w:p>
        </w:tc>
        <w:tc>
          <w:tcPr>
            <w:tcW w:w="1556" w:type="dxa"/>
            <w:shd w:val="clear" w:color="auto" w:fill="auto"/>
            <w:vAlign w:val="center"/>
            <w:hideMark/>
          </w:tcPr>
          <w:p w:rsidR="00AD35CE" w:rsidRPr="003D13FE" w:rsidRDefault="00AD35CE" w:rsidP="003D13FE">
            <w:pPr>
              <w:widowControl/>
              <w:jc w:val="center"/>
              <w:rPr>
                <w:color w:val="FF0000"/>
                <w:kern w:val="0"/>
                <w:szCs w:val="21"/>
              </w:rPr>
            </w:pPr>
            <w:r w:rsidRPr="003D13FE">
              <w:rPr>
                <w:color w:val="FF0000"/>
                <w:kern w:val="0"/>
                <w:szCs w:val="21"/>
              </w:rPr>
              <w:t>4155270.05</w:t>
            </w:r>
          </w:p>
        </w:tc>
        <w:tc>
          <w:tcPr>
            <w:tcW w:w="1357" w:type="dxa"/>
            <w:shd w:val="clear" w:color="auto" w:fill="auto"/>
            <w:vAlign w:val="center"/>
            <w:hideMark/>
          </w:tcPr>
          <w:p w:rsidR="00AD35CE" w:rsidRPr="003D13FE" w:rsidRDefault="00AD35CE" w:rsidP="003D13FE">
            <w:pPr>
              <w:widowControl/>
              <w:jc w:val="center"/>
              <w:rPr>
                <w:color w:val="FF0000"/>
                <w:kern w:val="0"/>
                <w:szCs w:val="21"/>
              </w:rPr>
            </w:pPr>
            <w:r w:rsidRPr="003D13FE">
              <w:rPr>
                <w:rFonts w:hint="eastAsia"/>
                <w:color w:val="FF0000"/>
                <w:kern w:val="0"/>
                <w:szCs w:val="21"/>
              </w:rPr>
              <w:t>1081.3</w:t>
            </w:r>
          </w:p>
        </w:tc>
        <w:tc>
          <w:tcPr>
            <w:tcW w:w="1117"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3.5</w:t>
            </w:r>
          </w:p>
        </w:tc>
      </w:tr>
      <w:tr w:rsidR="00AD35CE" w:rsidRPr="003D13FE" w:rsidTr="003D13FE">
        <w:trPr>
          <w:trHeight w:val="315"/>
          <w:jc w:val="center"/>
        </w:trPr>
        <w:tc>
          <w:tcPr>
            <w:tcW w:w="1774" w:type="dxa"/>
            <w:shd w:val="clear" w:color="auto" w:fill="auto"/>
            <w:vAlign w:val="center"/>
            <w:hideMark/>
          </w:tcPr>
          <w:p w:rsidR="00AD35CE" w:rsidRPr="003D13FE" w:rsidRDefault="00AD35CE" w:rsidP="003D13FE">
            <w:pPr>
              <w:widowControl/>
              <w:jc w:val="center"/>
              <w:rPr>
                <w:bCs/>
                <w:color w:val="FF0000"/>
                <w:kern w:val="0"/>
                <w:szCs w:val="21"/>
              </w:rPr>
            </w:pPr>
            <w:r w:rsidRPr="003D13FE">
              <w:rPr>
                <w:rFonts w:hint="eastAsia"/>
                <w:bCs/>
                <w:color w:val="FF0000"/>
                <w:kern w:val="0"/>
                <w:szCs w:val="21"/>
              </w:rPr>
              <w:t>J10</w:t>
            </w:r>
          </w:p>
        </w:tc>
        <w:tc>
          <w:tcPr>
            <w:tcW w:w="1661"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36633433</w:t>
            </w:r>
          </w:p>
        </w:tc>
        <w:tc>
          <w:tcPr>
            <w:tcW w:w="1556"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4158169</w:t>
            </w:r>
          </w:p>
        </w:tc>
        <w:tc>
          <w:tcPr>
            <w:tcW w:w="1357" w:type="dxa"/>
            <w:shd w:val="clear" w:color="auto" w:fill="auto"/>
            <w:vAlign w:val="center"/>
            <w:hideMark/>
          </w:tcPr>
          <w:p w:rsidR="00AD35CE" w:rsidRPr="009D40C2" w:rsidRDefault="00AD35CE" w:rsidP="003D13FE">
            <w:pPr>
              <w:widowControl/>
              <w:jc w:val="center"/>
              <w:rPr>
                <w:color w:val="FF0000"/>
                <w:kern w:val="0"/>
                <w:szCs w:val="21"/>
              </w:rPr>
            </w:pPr>
            <w:r w:rsidRPr="009D40C2">
              <w:rPr>
                <w:color w:val="FF0000"/>
                <w:kern w:val="0"/>
                <w:szCs w:val="21"/>
              </w:rPr>
              <w:t>1032.18</w:t>
            </w:r>
          </w:p>
        </w:tc>
        <w:tc>
          <w:tcPr>
            <w:tcW w:w="1117"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8</w:t>
            </w:r>
          </w:p>
        </w:tc>
      </w:tr>
      <w:tr w:rsidR="00AD35CE" w:rsidRPr="003D13FE" w:rsidTr="003D13FE">
        <w:trPr>
          <w:trHeight w:val="70"/>
          <w:jc w:val="center"/>
        </w:trPr>
        <w:tc>
          <w:tcPr>
            <w:tcW w:w="1774" w:type="dxa"/>
            <w:shd w:val="clear" w:color="auto" w:fill="auto"/>
            <w:vAlign w:val="center"/>
            <w:hideMark/>
          </w:tcPr>
          <w:p w:rsidR="00AD35CE" w:rsidRPr="009D40C2" w:rsidRDefault="00AD35CE" w:rsidP="003D13FE">
            <w:pPr>
              <w:widowControl/>
              <w:jc w:val="center"/>
              <w:rPr>
                <w:color w:val="FF0000"/>
                <w:kern w:val="0"/>
                <w:szCs w:val="21"/>
              </w:rPr>
            </w:pPr>
            <w:r w:rsidRPr="003D13FE">
              <w:rPr>
                <w:rFonts w:hint="eastAsia"/>
                <w:bCs/>
                <w:color w:val="FF0000"/>
                <w:kern w:val="0"/>
                <w:szCs w:val="21"/>
              </w:rPr>
              <w:t>J11</w:t>
            </w:r>
            <w:r w:rsidRPr="003D13FE">
              <w:rPr>
                <w:rFonts w:hint="eastAsia"/>
                <w:bCs/>
                <w:color w:val="FF0000"/>
                <w:kern w:val="0"/>
                <w:szCs w:val="21"/>
              </w:rPr>
              <w:t>（</w:t>
            </w:r>
            <w:r w:rsidRPr="003D13FE">
              <w:rPr>
                <w:rFonts w:hint="eastAsia"/>
                <w:color w:val="FF0000"/>
                <w:kern w:val="0"/>
                <w:szCs w:val="21"/>
              </w:rPr>
              <w:t>倒座峁</w:t>
            </w:r>
            <w:r w:rsidRPr="003D13FE">
              <w:rPr>
                <w:rFonts w:hint="eastAsia"/>
                <w:bCs/>
                <w:color w:val="FF0000"/>
                <w:kern w:val="0"/>
                <w:szCs w:val="21"/>
              </w:rPr>
              <w:t>）</w:t>
            </w:r>
          </w:p>
        </w:tc>
        <w:tc>
          <w:tcPr>
            <w:tcW w:w="1661" w:type="dxa"/>
            <w:shd w:val="clear" w:color="auto" w:fill="auto"/>
            <w:vAlign w:val="center"/>
            <w:hideMark/>
          </w:tcPr>
          <w:p w:rsidR="00AD35CE" w:rsidRPr="003D13FE" w:rsidRDefault="00AD35CE" w:rsidP="003D13FE">
            <w:pPr>
              <w:jc w:val="center"/>
              <w:rPr>
                <w:rFonts w:ascii="宋体" w:hAnsi="宋体" w:cs="宋体"/>
                <w:color w:val="FF0000"/>
                <w:szCs w:val="21"/>
              </w:rPr>
            </w:pPr>
            <w:r w:rsidRPr="003D13FE">
              <w:rPr>
                <w:rFonts w:hint="eastAsia"/>
                <w:color w:val="FF0000"/>
                <w:szCs w:val="21"/>
              </w:rPr>
              <w:t>36631095</w:t>
            </w:r>
          </w:p>
        </w:tc>
        <w:tc>
          <w:tcPr>
            <w:tcW w:w="1556" w:type="dxa"/>
            <w:shd w:val="clear" w:color="auto" w:fill="auto"/>
            <w:vAlign w:val="center"/>
            <w:hideMark/>
          </w:tcPr>
          <w:p w:rsidR="00AD35CE" w:rsidRPr="003D13FE" w:rsidRDefault="00AD35CE" w:rsidP="003D13FE">
            <w:pPr>
              <w:jc w:val="center"/>
              <w:rPr>
                <w:rFonts w:ascii="宋体" w:hAnsi="宋体" w:cs="宋体"/>
                <w:color w:val="FF0000"/>
                <w:szCs w:val="21"/>
              </w:rPr>
            </w:pPr>
            <w:r w:rsidRPr="003D13FE">
              <w:rPr>
                <w:rFonts w:hint="eastAsia"/>
                <w:color w:val="FF0000"/>
                <w:szCs w:val="21"/>
              </w:rPr>
              <w:t>4157386</w:t>
            </w:r>
          </w:p>
        </w:tc>
        <w:tc>
          <w:tcPr>
            <w:tcW w:w="1357" w:type="dxa"/>
            <w:shd w:val="clear" w:color="auto" w:fill="auto"/>
            <w:vAlign w:val="center"/>
            <w:hideMark/>
          </w:tcPr>
          <w:p w:rsidR="00AD35CE" w:rsidRPr="009D40C2" w:rsidRDefault="00AD35CE" w:rsidP="003D13FE">
            <w:pPr>
              <w:widowControl/>
              <w:jc w:val="center"/>
              <w:rPr>
                <w:color w:val="FF0000"/>
                <w:kern w:val="0"/>
                <w:szCs w:val="21"/>
              </w:rPr>
            </w:pPr>
            <w:r w:rsidRPr="003D13FE">
              <w:rPr>
                <w:color w:val="FF0000"/>
                <w:kern w:val="0"/>
                <w:szCs w:val="21"/>
              </w:rPr>
              <w:t>1047</w:t>
            </w:r>
          </w:p>
        </w:tc>
        <w:tc>
          <w:tcPr>
            <w:tcW w:w="1117" w:type="dxa"/>
            <w:vAlign w:val="center"/>
          </w:tcPr>
          <w:p w:rsidR="00AD35CE" w:rsidRPr="003D13FE" w:rsidRDefault="00AD35C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AD35CE" w:rsidRPr="003D13FE" w:rsidRDefault="00AD35CE" w:rsidP="003D13FE">
            <w:pPr>
              <w:widowControl/>
              <w:jc w:val="center"/>
              <w:rPr>
                <w:color w:val="FF0000"/>
                <w:kern w:val="0"/>
                <w:szCs w:val="21"/>
              </w:rPr>
            </w:pPr>
            <w:r w:rsidRPr="003D13FE">
              <w:rPr>
                <w:color w:val="FF0000"/>
                <w:kern w:val="0"/>
                <w:szCs w:val="21"/>
              </w:rPr>
              <w:t>2.2</w:t>
            </w:r>
          </w:p>
        </w:tc>
      </w:tr>
      <w:tr w:rsidR="00AD35CE" w:rsidRPr="003D13FE" w:rsidTr="003D13FE">
        <w:trPr>
          <w:trHeight w:val="70"/>
          <w:jc w:val="center"/>
        </w:trPr>
        <w:tc>
          <w:tcPr>
            <w:tcW w:w="1774" w:type="dxa"/>
            <w:shd w:val="clear" w:color="auto" w:fill="auto"/>
            <w:noWrap/>
            <w:vAlign w:val="center"/>
            <w:hideMark/>
          </w:tcPr>
          <w:p w:rsidR="00AD35CE" w:rsidRPr="003D13FE" w:rsidRDefault="00AD35CE" w:rsidP="003D13FE">
            <w:pPr>
              <w:widowControl/>
              <w:jc w:val="center"/>
              <w:rPr>
                <w:bCs/>
                <w:color w:val="FF0000"/>
                <w:kern w:val="0"/>
                <w:szCs w:val="21"/>
              </w:rPr>
            </w:pPr>
            <w:r w:rsidRPr="003D13FE">
              <w:rPr>
                <w:rFonts w:hint="eastAsia"/>
                <w:bCs/>
                <w:color w:val="FF0000"/>
                <w:kern w:val="0"/>
                <w:szCs w:val="21"/>
              </w:rPr>
              <w:t>J12</w:t>
            </w:r>
            <w:r w:rsidRPr="003D13FE">
              <w:rPr>
                <w:rFonts w:hint="eastAsia"/>
                <w:bCs/>
                <w:color w:val="FF0000"/>
                <w:kern w:val="0"/>
                <w:szCs w:val="21"/>
              </w:rPr>
              <w:t>（</w:t>
            </w:r>
            <w:r w:rsidRPr="003D13FE">
              <w:rPr>
                <w:color w:val="FF0000"/>
                <w:kern w:val="0"/>
                <w:szCs w:val="21"/>
              </w:rPr>
              <w:t>施阳台村</w:t>
            </w:r>
            <w:r w:rsidRPr="003D13FE">
              <w:rPr>
                <w:rFonts w:hint="eastAsia"/>
                <w:bCs/>
                <w:color w:val="FF0000"/>
                <w:kern w:val="0"/>
                <w:szCs w:val="21"/>
              </w:rPr>
              <w:t>）</w:t>
            </w:r>
          </w:p>
        </w:tc>
        <w:tc>
          <w:tcPr>
            <w:tcW w:w="1661" w:type="dxa"/>
            <w:shd w:val="clear" w:color="auto" w:fill="auto"/>
            <w:noWrap/>
            <w:vAlign w:val="center"/>
            <w:hideMark/>
          </w:tcPr>
          <w:p w:rsidR="00AD35CE" w:rsidRPr="003D13FE" w:rsidRDefault="00AD35CE" w:rsidP="003D13FE">
            <w:pPr>
              <w:jc w:val="center"/>
              <w:rPr>
                <w:rFonts w:ascii="宋体" w:hAnsi="宋体" w:cs="宋体"/>
                <w:color w:val="FF0000"/>
                <w:szCs w:val="21"/>
              </w:rPr>
            </w:pPr>
            <w:r w:rsidRPr="003D13FE">
              <w:rPr>
                <w:rFonts w:hint="eastAsia"/>
                <w:color w:val="FF0000"/>
                <w:szCs w:val="21"/>
              </w:rPr>
              <w:t>36628366</w:t>
            </w:r>
          </w:p>
        </w:tc>
        <w:tc>
          <w:tcPr>
            <w:tcW w:w="1556" w:type="dxa"/>
            <w:shd w:val="clear" w:color="auto" w:fill="auto"/>
            <w:noWrap/>
            <w:vAlign w:val="center"/>
            <w:hideMark/>
          </w:tcPr>
          <w:p w:rsidR="00AD35CE" w:rsidRPr="003D13FE" w:rsidRDefault="00AD35CE" w:rsidP="003D13FE">
            <w:pPr>
              <w:jc w:val="center"/>
              <w:rPr>
                <w:rFonts w:ascii="宋体" w:hAnsi="宋体" w:cs="宋体"/>
                <w:color w:val="FF0000"/>
                <w:szCs w:val="21"/>
              </w:rPr>
            </w:pPr>
            <w:r w:rsidRPr="003D13FE">
              <w:rPr>
                <w:rFonts w:hint="eastAsia"/>
                <w:color w:val="FF0000"/>
                <w:szCs w:val="21"/>
              </w:rPr>
              <w:t>4160109</w:t>
            </w:r>
          </w:p>
        </w:tc>
        <w:tc>
          <w:tcPr>
            <w:tcW w:w="1357" w:type="dxa"/>
            <w:shd w:val="clear" w:color="auto" w:fill="auto"/>
            <w:noWrap/>
            <w:vAlign w:val="center"/>
            <w:hideMark/>
          </w:tcPr>
          <w:p w:rsidR="00AD35CE" w:rsidRPr="003D13FE" w:rsidRDefault="00AD35CE" w:rsidP="003D13FE">
            <w:pPr>
              <w:pStyle w:val="a8"/>
              <w:rPr>
                <w:b w:val="0"/>
                <w:color w:val="FF0000"/>
                <w:szCs w:val="21"/>
              </w:rPr>
            </w:pPr>
            <w:r w:rsidRPr="003D13FE">
              <w:rPr>
                <w:b w:val="0"/>
                <w:color w:val="FF0000"/>
                <w:kern w:val="0"/>
                <w:szCs w:val="21"/>
              </w:rPr>
              <w:t>1074</w:t>
            </w:r>
          </w:p>
        </w:tc>
        <w:tc>
          <w:tcPr>
            <w:tcW w:w="1117" w:type="dxa"/>
            <w:vAlign w:val="center"/>
          </w:tcPr>
          <w:p w:rsidR="00AD35CE" w:rsidRPr="003D13FE" w:rsidRDefault="00AD35CE" w:rsidP="003D13FE">
            <w:pPr>
              <w:jc w:val="center"/>
              <w:rPr>
                <w:color w:val="FF0000"/>
                <w:szCs w:val="21"/>
              </w:rPr>
            </w:pPr>
            <w:r w:rsidRPr="003D13FE">
              <w:rPr>
                <w:color w:val="FF0000"/>
                <w:szCs w:val="21"/>
              </w:rPr>
              <w:t>Q</w:t>
            </w:r>
            <w:r w:rsidRPr="003D13FE">
              <w:rPr>
                <w:color w:val="FF0000"/>
                <w:szCs w:val="21"/>
                <w:vertAlign w:val="subscript"/>
              </w:rPr>
              <w:t>4</w:t>
            </w:r>
            <w:r w:rsidRPr="003D13FE">
              <w:rPr>
                <w:color w:val="FF0000"/>
                <w:szCs w:val="21"/>
                <w:vertAlign w:val="superscript"/>
              </w:rPr>
              <w:t>al+pl</w:t>
            </w:r>
          </w:p>
        </w:tc>
        <w:tc>
          <w:tcPr>
            <w:tcW w:w="1589" w:type="dxa"/>
            <w:vAlign w:val="center"/>
          </w:tcPr>
          <w:p w:rsidR="00AD35CE" w:rsidRPr="003D13FE" w:rsidRDefault="00AD35CE" w:rsidP="003D13FE">
            <w:pPr>
              <w:widowControl/>
              <w:jc w:val="center"/>
              <w:rPr>
                <w:color w:val="FF0000"/>
                <w:kern w:val="0"/>
                <w:szCs w:val="21"/>
              </w:rPr>
            </w:pPr>
            <w:r w:rsidRPr="003D13FE">
              <w:rPr>
                <w:color w:val="FF0000"/>
                <w:kern w:val="0"/>
                <w:szCs w:val="21"/>
              </w:rPr>
              <w:t>0.5</w:t>
            </w:r>
          </w:p>
        </w:tc>
      </w:tr>
      <w:tr w:rsidR="00AD35CE" w:rsidRPr="003D13FE" w:rsidTr="003D13FE">
        <w:trPr>
          <w:trHeight w:val="70"/>
          <w:jc w:val="center"/>
        </w:trPr>
        <w:tc>
          <w:tcPr>
            <w:tcW w:w="1774" w:type="dxa"/>
            <w:shd w:val="clear" w:color="auto" w:fill="auto"/>
            <w:noWrap/>
            <w:vAlign w:val="center"/>
            <w:hideMark/>
          </w:tcPr>
          <w:p w:rsidR="00AD35CE" w:rsidRPr="003D13FE" w:rsidRDefault="00AD35CE" w:rsidP="003D13FE">
            <w:pPr>
              <w:widowControl/>
              <w:jc w:val="center"/>
              <w:rPr>
                <w:bCs/>
                <w:color w:val="FF0000"/>
                <w:kern w:val="0"/>
                <w:szCs w:val="21"/>
              </w:rPr>
            </w:pPr>
            <w:r w:rsidRPr="003D13FE">
              <w:rPr>
                <w:rFonts w:hint="eastAsia"/>
                <w:bCs/>
                <w:color w:val="FF0000"/>
                <w:kern w:val="0"/>
                <w:szCs w:val="21"/>
              </w:rPr>
              <w:t>J13</w:t>
            </w:r>
            <w:r w:rsidRPr="003D13FE">
              <w:rPr>
                <w:rFonts w:hint="eastAsia"/>
                <w:bCs/>
                <w:color w:val="FF0000"/>
                <w:kern w:val="0"/>
                <w:szCs w:val="21"/>
              </w:rPr>
              <w:t>（</w:t>
            </w:r>
            <w:r w:rsidRPr="003D13FE">
              <w:rPr>
                <w:color w:val="FF0000"/>
                <w:kern w:val="0"/>
                <w:szCs w:val="21"/>
              </w:rPr>
              <w:t>拓家阳坪村</w:t>
            </w:r>
            <w:r w:rsidRPr="003D13FE">
              <w:rPr>
                <w:rFonts w:hint="eastAsia"/>
                <w:bCs/>
                <w:color w:val="FF0000"/>
                <w:kern w:val="0"/>
                <w:szCs w:val="21"/>
              </w:rPr>
              <w:t>）</w:t>
            </w:r>
          </w:p>
        </w:tc>
        <w:tc>
          <w:tcPr>
            <w:tcW w:w="1661" w:type="dxa"/>
            <w:shd w:val="clear" w:color="auto" w:fill="auto"/>
            <w:noWrap/>
            <w:vAlign w:val="center"/>
            <w:hideMark/>
          </w:tcPr>
          <w:p w:rsidR="00AD35CE" w:rsidRPr="003D13FE" w:rsidRDefault="00AD35CE" w:rsidP="003D13FE">
            <w:pPr>
              <w:jc w:val="center"/>
              <w:rPr>
                <w:rFonts w:ascii="宋体" w:hAnsi="宋体" w:cs="宋体"/>
                <w:color w:val="FF0000"/>
                <w:szCs w:val="21"/>
              </w:rPr>
            </w:pPr>
            <w:r w:rsidRPr="003D13FE">
              <w:rPr>
                <w:rFonts w:hint="eastAsia"/>
                <w:color w:val="FF0000"/>
                <w:szCs w:val="21"/>
              </w:rPr>
              <w:t>36631600</w:t>
            </w:r>
          </w:p>
        </w:tc>
        <w:tc>
          <w:tcPr>
            <w:tcW w:w="1556" w:type="dxa"/>
            <w:shd w:val="clear" w:color="auto" w:fill="auto"/>
            <w:noWrap/>
            <w:vAlign w:val="center"/>
            <w:hideMark/>
          </w:tcPr>
          <w:p w:rsidR="00AD35CE" w:rsidRPr="003D13FE" w:rsidRDefault="00AD35CE" w:rsidP="003D13FE">
            <w:pPr>
              <w:jc w:val="center"/>
              <w:rPr>
                <w:rFonts w:ascii="宋体" w:hAnsi="宋体" w:cs="宋体"/>
                <w:color w:val="FF0000"/>
                <w:szCs w:val="21"/>
              </w:rPr>
            </w:pPr>
            <w:r w:rsidRPr="003D13FE">
              <w:rPr>
                <w:rFonts w:hint="eastAsia"/>
                <w:color w:val="FF0000"/>
                <w:szCs w:val="21"/>
              </w:rPr>
              <w:t>4158859</w:t>
            </w:r>
          </w:p>
        </w:tc>
        <w:tc>
          <w:tcPr>
            <w:tcW w:w="1357" w:type="dxa"/>
            <w:shd w:val="clear" w:color="auto" w:fill="auto"/>
            <w:noWrap/>
            <w:vAlign w:val="center"/>
            <w:hideMark/>
          </w:tcPr>
          <w:p w:rsidR="00AD35CE" w:rsidRPr="003D13FE" w:rsidRDefault="00AD35CE" w:rsidP="003D13FE">
            <w:pPr>
              <w:pStyle w:val="a8"/>
              <w:rPr>
                <w:b w:val="0"/>
                <w:color w:val="FF0000"/>
                <w:szCs w:val="21"/>
              </w:rPr>
            </w:pPr>
            <w:r w:rsidRPr="003D13FE">
              <w:rPr>
                <w:b w:val="0"/>
                <w:color w:val="FF0000"/>
                <w:kern w:val="0"/>
                <w:szCs w:val="21"/>
              </w:rPr>
              <w:t>1042</w:t>
            </w:r>
          </w:p>
        </w:tc>
        <w:tc>
          <w:tcPr>
            <w:tcW w:w="1117" w:type="dxa"/>
            <w:vAlign w:val="center"/>
          </w:tcPr>
          <w:p w:rsidR="00AD35CE" w:rsidRPr="003D13FE" w:rsidRDefault="00AD35CE" w:rsidP="003D13FE">
            <w:pPr>
              <w:jc w:val="center"/>
              <w:rPr>
                <w:color w:val="FF0000"/>
                <w:szCs w:val="21"/>
              </w:rPr>
            </w:pPr>
            <w:r w:rsidRPr="003D13FE">
              <w:rPr>
                <w:rFonts w:hint="eastAsia"/>
                <w:color w:val="FF0000"/>
                <w:szCs w:val="21"/>
              </w:rPr>
              <w:t>T</w:t>
            </w:r>
            <w:r w:rsidRPr="003D13FE">
              <w:rPr>
                <w:rFonts w:hint="eastAsia"/>
                <w:color w:val="FF0000"/>
                <w:szCs w:val="21"/>
                <w:vertAlign w:val="subscript"/>
              </w:rPr>
              <w:t>3</w:t>
            </w:r>
            <w:r w:rsidRPr="003D13FE">
              <w:rPr>
                <w:rFonts w:hint="eastAsia"/>
                <w:color w:val="FF0000"/>
                <w:szCs w:val="21"/>
              </w:rPr>
              <w:t>w</w:t>
            </w:r>
          </w:p>
        </w:tc>
        <w:tc>
          <w:tcPr>
            <w:tcW w:w="1589" w:type="dxa"/>
            <w:vAlign w:val="center"/>
          </w:tcPr>
          <w:p w:rsidR="00AD35CE" w:rsidRPr="003D13FE" w:rsidRDefault="00AD35CE" w:rsidP="003D13FE">
            <w:pPr>
              <w:widowControl/>
              <w:jc w:val="center"/>
              <w:rPr>
                <w:color w:val="FF0000"/>
                <w:kern w:val="0"/>
                <w:szCs w:val="21"/>
              </w:rPr>
            </w:pPr>
            <w:r w:rsidRPr="003D13FE">
              <w:rPr>
                <w:color w:val="FF0000"/>
                <w:kern w:val="0"/>
                <w:szCs w:val="21"/>
              </w:rPr>
              <w:t>0.5</w:t>
            </w:r>
          </w:p>
        </w:tc>
      </w:tr>
      <w:tr w:rsidR="003D13FE" w:rsidRPr="003D13FE" w:rsidTr="003D13FE">
        <w:trPr>
          <w:trHeight w:val="70"/>
          <w:jc w:val="center"/>
        </w:trPr>
        <w:tc>
          <w:tcPr>
            <w:tcW w:w="1774" w:type="dxa"/>
            <w:shd w:val="clear" w:color="auto" w:fill="auto"/>
            <w:noWrap/>
            <w:vAlign w:val="center"/>
            <w:hideMark/>
          </w:tcPr>
          <w:p w:rsidR="003D13FE" w:rsidRPr="003D13FE" w:rsidRDefault="003D13FE" w:rsidP="003D13FE">
            <w:pPr>
              <w:widowControl/>
              <w:jc w:val="center"/>
              <w:rPr>
                <w:bCs/>
                <w:color w:val="FF0000"/>
                <w:kern w:val="0"/>
                <w:szCs w:val="21"/>
              </w:rPr>
            </w:pPr>
            <w:r w:rsidRPr="003D13FE">
              <w:rPr>
                <w:rFonts w:hint="eastAsia"/>
                <w:bCs/>
                <w:color w:val="FF0000"/>
                <w:kern w:val="0"/>
                <w:szCs w:val="21"/>
              </w:rPr>
              <w:t>J14</w:t>
            </w:r>
            <w:r w:rsidRPr="003D13FE">
              <w:rPr>
                <w:rFonts w:hint="eastAsia"/>
                <w:bCs/>
                <w:color w:val="FF0000"/>
                <w:kern w:val="0"/>
                <w:szCs w:val="21"/>
              </w:rPr>
              <w:t>（</w:t>
            </w:r>
            <w:r w:rsidRPr="003D13FE">
              <w:rPr>
                <w:color w:val="FF0000"/>
                <w:kern w:val="0"/>
                <w:szCs w:val="21"/>
              </w:rPr>
              <w:t>施阳台散户</w:t>
            </w:r>
            <w:r w:rsidRPr="003D13FE">
              <w:rPr>
                <w:rFonts w:hint="eastAsia"/>
                <w:bCs/>
                <w:color w:val="FF0000"/>
                <w:kern w:val="0"/>
                <w:szCs w:val="21"/>
              </w:rPr>
              <w:t>）</w:t>
            </w:r>
          </w:p>
        </w:tc>
        <w:tc>
          <w:tcPr>
            <w:tcW w:w="1661" w:type="dxa"/>
            <w:shd w:val="clear" w:color="auto" w:fill="auto"/>
            <w:noWrap/>
            <w:vAlign w:val="center"/>
            <w:hideMark/>
          </w:tcPr>
          <w:p w:rsidR="003D13FE" w:rsidRPr="003D13FE" w:rsidRDefault="003D13FE" w:rsidP="003D13FE">
            <w:pPr>
              <w:jc w:val="center"/>
              <w:rPr>
                <w:rFonts w:ascii="宋体" w:hAnsi="宋体" w:cs="宋体"/>
                <w:color w:val="FF0000"/>
                <w:szCs w:val="21"/>
              </w:rPr>
            </w:pPr>
            <w:r w:rsidRPr="003D13FE">
              <w:rPr>
                <w:rFonts w:hint="eastAsia"/>
                <w:color w:val="FF0000"/>
                <w:szCs w:val="21"/>
              </w:rPr>
              <w:t>36631629</w:t>
            </w:r>
          </w:p>
        </w:tc>
        <w:tc>
          <w:tcPr>
            <w:tcW w:w="1556" w:type="dxa"/>
            <w:shd w:val="clear" w:color="auto" w:fill="auto"/>
            <w:noWrap/>
            <w:vAlign w:val="center"/>
            <w:hideMark/>
          </w:tcPr>
          <w:p w:rsidR="003D13FE" w:rsidRPr="003D13FE" w:rsidRDefault="003D13FE" w:rsidP="003D13FE">
            <w:pPr>
              <w:jc w:val="center"/>
              <w:rPr>
                <w:rFonts w:ascii="宋体" w:hAnsi="宋体" w:cs="宋体"/>
                <w:color w:val="FF0000"/>
                <w:szCs w:val="21"/>
              </w:rPr>
            </w:pPr>
            <w:r w:rsidRPr="003D13FE">
              <w:rPr>
                <w:rFonts w:hint="eastAsia"/>
                <w:color w:val="FF0000"/>
                <w:szCs w:val="21"/>
              </w:rPr>
              <w:t>4159997</w:t>
            </w:r>
          </w:p>
        </w:tc>
        <w:tc>
          <w:tcPr>
            <w:tcW w:w="1357" w:type="dxa"/>
            <w:shd w:val="clear" w:color="auto" w:fill="auto"/>
            <w:noWrap/>
            <w:vAlign w:val="center"/>
            <w:hideMark/>
          </w:tcPr>
          <w:p w:rsidR="003D13FE" w:rsidRPr="003D13FE" w:rsidRDefault="003D13FE" w:rsidP="003D13FE">
            <w:pPr>
              <w:pStyle w:val="a8"/>
              <w:rPr>
                <w:b w:val="0"/>
                <w:color w:val="FF0000"/>
                <w:szCs w:val="21"/>
              </w:rPr>
            </w:pPr>
            <w:r w:rsidRPr="003D13FE">
              <w:rPr>
                <w:b w:val="0"/>
                <w:color w:val="FF0000"/>
                <w:kern w:val="0"/>
                <w:szCs w:val="21"/>
              </w:rPr>
              <w:t>1089</w:t>
            </w:r>
          </w:p>
        </w:tc>
        <w:tc>
          <w:tcPr>
            <w:tcW w:w="1117" w:type="dxa"/>
            <w:vAlign w:val="center"/>
          </w:tcPr>
          <w:p w:rsidR="003D13FE" w:rsidRPr="003D13FE" w:rsidRDefault="003D13FE" w:rsidP="003D13FE">
            <w:pPr>
              <w:pStyle w:val="a8"/>
              <w:rPr>
                <w:b w:val="0"/>
                <w:color w:val="FF0000"/>
                <w:szCs w:val="21"/>
              </w:rPr>
            </w:pPr>
            <w:r w:rsidRPr="003D13FE">
              <w:rPr>
                <w:rFonts w:hint="eastAsia"/>
                <w:b w:val="0"/>
                <w:color w:val="FF0000"/>
                <w:szCs w:val="21"/>
              </w:rPr>
              <w:t>T</w:t>
            </w:r>
            <w:r w:rsidRPr="003D13FE">
              <w:rPr>
                <w:rFonts w:hint="eastAsia"/>
                <w:b w:val="0"/>
                <w:color w:val="FF0000"/>
                <w:szCs w:val="21"/>
                <w:vertAlign w:val="subscript"/>
              </w:rPr>
              <w:t>3</w:t>
            </w:r>
            <w:r w:rsidRPr="003D13FE">
              <w:rPr>
                <w:rFonts w:hint="eastAsia"/>
                <w:b w:val="0"/>
                <w:color w:val="FF0000"/>
                <w:szCs w:val="21"/>
              </w:rPr>
              <w:t>w</w:t>
            </w:r>
          </w:p>
        </w:tc>
        <w:tc>
          <w:tcPr>
            <w:tcW w:w="1589"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2</w:t>
            </w:r>
          </w:p>
        </w:tc>
      </w:tr>
      <w:tr w:rsidR="003D13FE" w:rsidRPr="003D13FE" w:rsidTr="003D13FE">
        <w:trPr>
          <w:trHeight w:val="70"/>
          <w:jc w:val="center"/>
        </w:trPr>
        <w:tc>
          <w:tcPr>
            <w:tcW w:w="1774" w:type="dxa"/>
            <w:shd w:val="clear" w:color="auto" w:fill="auto"/>
            <w:noWrap/>
            <w:vAlign w:val="center"/>
            <w:hideMark/>
          </w:tcPr>
          <w:p w:rsidR="003D13FE" w:rsidRPr="009D40C2" w:rsidRDefault="003D13FE" w:rsidP="003D13FE">
            <w:pPr>
              <w:widowControl/>
              <w:jc w:val="center"/>
              <w:rPr>
                <w:color w:val="FF0000"/>
                <w:kern w:val="0"/>
                <w:szCs w:val="21"/>
              </w:rPr>
            </w:pPr>
            <w:r w:rsidRPr="003D13FE">
              <w:rPr>
                <w:rFonts w:hint="eastAsia"/>
                <w:color w:val="FF0000"/>
                <w:kern w:val="0"/>
                <w:szCs w:val="21"/>
              </w:rPr>
              <w:t>泉编号</w:t>
            </w:r>
          </w:p>
        </w:tc>
        <w:tc>
          <w:tcPr>
            <w:tcW w:w="1661" w:type="dxa"/>
            <w:shd w:val="clear" w:color="auto" w:fill="auto"/>
            <w:noWrap/>
            <w:vAlign w:val="center"/>
            <w:hideMark/>
          </w:tcPr>
          <w:p w:rsidR="003D13FE" w:rsidRPr="003D13FE" w:rsidRDefault="003D13FE" w:rsidP="003D13FE">
            <w:pPr>
              <w:widowControl/>
              <w:jc w:val="center"/>
              <w:rPr>
                <w:bCs/>
                <w:color w:val="FF0000"/>
                <w:kern w:val="0"/>
                <w:szCs w:val="21"/>
              </w:rPr>
            </w:pPr>
            <w:r w:rsidRPr="003D13FE">
              <w:rPr>
                <w:bCs/>
                <w:color w:val="FF0000"/>
                <w:kern w:val="0"/>
                <w:szCs w:val="21"/>
              </w:rPr>
              <w:t>纵坐标（</w:t>
            </w:r>
            <w:r w:rsidRPr="003D13FE">
              <w:rPr>
                <w:bCs/>
                <w:color w:val="FF0000"/>
                <w:kern w:val="0"/>
                <w:szCs w:val="21"/>
              </w:rPr>
              <w:t>Y</w:t>
            </w:r>
            <w:r w:rsidRPr="003D13FE">
              <w:rPr>
                <w:bCs/>
                <w:color w:val="FF0000"/>
                <w:kern w:val="0"/>
                <w:szCs w:val="21"/>
              </w:rPr>
              <w:t>）</w:t>
            </w:r>
          </w:p>
        </w:tc>
        <w:tc>
          <w:tcPr>
            <w:tcW w:w="1556" w:type="dxa"/>
            <w:shd w:val="clear" w:color="auto" w:fill="auto"/>
            <w:noWrap/>
            <w:vAlign w:val="center"/>
            <w:hideMark/>
          </w:tcPr>
          <w:p w:rsidR="003D13FE" w:rsidRPr="003D13FE" w:rsidRDefault="003D13FE" w:rsidP="003D13FE">
            <w:pPr>
              <w:widowControl/>
              <w:jc w:val="center"/>
              <w:rPr>
                <w:bCs/>
                <w:color w:val="FF0000"/>
                <w:kern w:val="0"/>
                <w:szCs w:val="21"/>
              </w:rPr>
            </w:pPr>
            <w:r w:rsidRPr="003D13FE">
              <w:rPr>
                <w:bCs/>
                <w:color w:val="FF0000"/>
                <w:kern w:val="0"/>
                <w:szCs w:val="21"/>
              </w:rPr>
              <w:t>横坐标（</w:t>
            </w:r>
            <w:r w:rsidRPr="003D13FE">
              <w:rPr>
                <w:bCs/>
                <w:color w:val="FF0000"/>
                <w:kern w:val="0"/>
                <w:szCs w:val="21"/>
              </w:rPr>
              <w:t>X</w:t>
            </w:r>
            <w:r w:rsidRPr="003D13FE">
              <w:rPr>
                <w:bCs/>
                <w:color w:val="FF0000"/>
                <w:kern w:val="0"/>
                <w:szCs w:val="21"/>
              </w:rPr>
              <w:t>）</w:t>
            </w:r>
          </w:p>
        </w:tc>
        <w:tc>
          <w:tcPr>
            <w:tcW w:w="1357" w:type="dxa"/>
            <w:shd w:val="clear" w:color="auto" w:fill="auto"/>
            <w:noWrap/>
            <w:vAlign w:val="center"/>
            <w:hideMark/>
          </w:tcPr>
          <w:p w:rsidR="003D13FE" w:rsidRPr="003D13FE" w:rsidRDefault="003D13FE" w:rsidP="003D13FE">
            <w:pPr>
              <w:widowControl/>
              <w:jc w:val="center"/>
              <w:rPr>
                <w:bCs/>
                <w:color w:val="FF0000"/>
                <w:kern w:val="0"/>
                <w:szCs w:val="21"/>
              </w:rPr>
            </w:pPr>
            <w:r w:rsidRPr="003D13FE">
              <w:rPr>
                <w:bCs/>
                <w:color w:val="FF0000"/>
                <w:kern w:val="0"/>
                <w:szCs w:val="21"/>
              </w:rPr>
              <w:t>高程（</w:t>
            </w:r>
            <w:r w:rsidRPr="003D13FE">
              <w:rPr>
                <w:rFonts w:hint="eastAsia"/>
                <w:bCs/>
                <w:color w:val="FF0000"/>
                <w:kern w:val="0"/>
                <w:szCs w:val="21"/>
              </w:rPr>
              <w:t>m</w:t>
            </w:r>
            <w:r w:rsidRPr="003D13FE">
              <w:rPr>
                <w:bCs/>
                <w:color w:val="FF0000"/>
                <w:kern w:val="0"/>
                <w:szCs w:val="21"/>
              </w:rPr>
              <w:t>）</w:t>
            </w:r>
          </w:p>
        </w:tc>
        <w:tc>
          <w:tcPr>
            <w:tcW w:w="1117" w:type="dxa"/>
            <w:vAlign w:val="center"/>
          </w:tcPr>
          <w:p w:rsidR="003D13FE" w:rsidRPr="003D13FE" w:rsidRDefault="003D13FE" w:rsidP="003D13FE">
            <w:pPr>
              <w:widowControl/>
              <w:jc w:val="center"/>
              <w:rPr>
                <w:bCs/>
                <w:color w:val="FF0000"/>
                <w:kern w:val="0"/>
                <w:szCs w:val="21"/>
              </w:rPr>
            </w:pPr>
            <w:r w:rsidRPr="003D13FE">
              <w:rPr>
                <w:rFonts w:hint="eastAsia"/>
                <w:bCs/>
                <w:color w:val="FF0000"/>
                <w:kern w:val="0"/>
                <w:szCs w:val="21"/>
              </w:rPr>
              <w:t>含水层</w:t>
            </w:r>
          </w:p>
        </w:tc>
        <w:tc>
          <w:tcPr>
            <w:tcW w:w="1589"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流量（</w:t>
            </w:r>
            <w:r w:rsidRPr="003D13FE">
              <w:rPr>
                <w:rFonts w:hint="eastAsia"/>
                <w:color w:val="FF0000"/>
                <w:kern w:val="0"/>
                <w:szCs w:val="21"/>
              </w:rPr>
              <w:t>L/S</w:t>
            </w:r>
            <w:r w:rsidRPr="003D13FE">
              <w:rPr>
                <w:rFonts w:hint="eastAsia"/>
                <w:color w:val="FF0000"/>
                <w:kern w:val="0"/>
                <w:szCs w:val="21"/>
              </w:rPr>
              <w:t>）</w:t>
            </w:r>
          </w:p>
        </w:tc>
      </w:tr>
      <w:tr w:rsidR="003D13FE" w:rsidRPr="003D13FE" w:rsidTr="003D13FE">
        <w:trPr>
          <w:trHeight w:val="70"/>
          <w:jc w:val="center"/>
        </w:trPr>
        <w:tc>
          <w:tcPr>
            <w:tcW w:w="1774" w:type="dxa"/>
            <w:shd w:val="clear" w:color="auto" w:fill="auto"/>
            <w:vAlign w:val="center"/>
            <w:hideMark/>
          </w:tcPr>
          <w:p w:rsidR="003D13FE" w:rsidRPr="009D40C2" w:rsidRDefault="003D13FE" w:rsidP="003D13FE">
            <w:pPr>
              <w:widowControl/>
              <w:jc w:val="center"/>
              <w:rPr>
                <w:color w:val="FF0000"/>
                <w:kern w:val="0"/>
                <w:szCs w:val="21"/>
              </w:rPr>
            </w:pPr>
            <w:r w:rsidRPr="003D13FE">
              <w:rPr>
                <w:rFonts w:hint="eastAsia"/>
                <w:color w:val="FF0000"/>
                <w:kern w:val="0"/>
                <w:szCs w:val="21"/>
              </w:rPr>
              <w:t>Q1</w:t>
            </w:r>
          </w:p>
        </w:tc>
        <w:tc>
          <w:tcPr>
            <w:tcW w:w="1661" w:type="dxa"/>
            <w:shd w:val="clear" w:color="auto" w:fill="auto"/>
            <w:vAlign w:val="center"/>
            <w:hideMark/>
          </w:tcPr>
          <w:p w:rsidR="003D13FE" w:rsidRPr="009D40C2" w:rsidRDefault="003D13FE" w:rsidP="003D13FE">
            <w:pPr>
              <w:widowControl/>
              <w:jc w:val="center"/>
              <w:rPr>
                <w:color w:val="FF0000"/>
                <w:kern w:val="0"/>
                <w:szCs w:val="21"/>
              </w:rPr>
            </w:pPr>
            <w:r w:rsidRPr="003D13FE">
              <w:rPr>
                <w:color w:val="FF0000"/>
                <w:kern w:val="0"/>
                <w:szCs w:val="21"/>
              </w:rPr>
              <w:t>19365758.78</w:t>
            </w:r>
          </w:p>
        </w:tc>
        <w:tc>
          <w:tcPr>
            <w:tcW w:w="1556" w:type="dxa"/>
            <w:shd w:val="clear" w:color="auto" w:fill="auto"/>
            <w:vAlign w:val="center"/>
            <w:hideMark/>
          </w:tcPr>
          <w:p w:rsidR="003D13FE" w:rsidRPr="009D40C2" w:rsidRDefault="003D13FE" w:rsidP="003D13FE">
            <w:pPr>
              <w:widowControl/>
              <w:jc w:val="center"/>
              <w:rPr>
                <w:color w:val="FF0000"/>
                <w:kern w:val="0"/>
                <w:szCs w:val="21"/>
              </w:rPr>
            </w:pPr>
            <w:r w:rsidRPr="003D13FE">
              <w:rPr>
                <w:color w:val="FF0000"/>
                <w:kern w:val="0"/>
                <w:szCs w:val="21"/>
              </w:rPr>
              <w:t>4155912.96</w:t>
            </w:r>
          </w:p>
        </w:tc>
        <w:tc>
          <w:tcPr>
            <w:tcW w:w="1357" w:type="dxa"/>
            <w:shd w:val="clear" w:color="auto" w:fill="auto"/>
            <w:vAlign w:val="center"/>
            <w:hideMark/>
          </w:tcPr>
          <w:p w:rsidR="003D13FE" w:rsidRPr="009D40C2" w:rsidRDefault="003D13FE" w:rsidP="003D13FE">
            <w:pPr>
              <w:widowControl/>
              <w:jc w:val="center"/>
              <w:rPr>
                <w:color w:val="FF0000"/>
                <w:kern w:val="0"/>
                <w:szCs w:val="21"/>
              </w:rPr>
            </w:pPr>
            <w:r w:rsidRPr="003D13FE">
              <w:rPr>
                <w:color w:val="FF0000"/>
                <w:kern w:val="0"/>
                <w:szCs w:val="21"/>
              </w:rPr>
              <w:t>1185.32</w:t>
            </w:r>
          </w:p>
        </w:tc>
        <w:tc>
          <w:tcPr>
            <w:tcW w:w="1117" w:type="dxa"/>
            <w:vAlign w:val="center"/>
          </w:tcPr>
          <w:p w:rsidR="003D13FE" w:rsidRPr="003D13FE" w:rsidRDefault="003D13FE" w:rsidP="003D13FE">
            <w:pPr>
              <w:widowControl/>
              <w:jc w:val="center"/>
              <w:rPr>
                <w:bCs/>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0.427</w:t>
            </w:r>
          </w:p>
        </w:tc>
      </w:tr>
      <w:tr w:rsidR="003D13FE" w:rsidRPr="003D13FE" w:rsidTr="003D13FE">
        <w:trPr>
          <w:trHeight w:val="70"/>
          <w:jc w:val="center"/>
        </w:trPr>
        <w:tc>
          <w:tcPr>
            <w:tcW w:w="1774" w:type="dxa"/>
            <w:shd w:val="clear" w:color="auto" w:fill="auto"/>
            <w:vAlign w:val="center"/>
            <w:hideMark/>
          </w:tcPr>
          <w:p w:rsidR="003D13FE" w:rsidRPr="009D40C2" w:rsidRDefault="003D13FE" w:rsidP="003D13FE">
            <w:pPr>
              <w:widowControl/>
              <w:jc w:val="center"/>
              <w:rPr>
                <w:color w:val="FF0000"/>
                <w:kern w:val="0"/>
                <w:szCs w:val="21"/>
              </w:rPr>
            </w:pPr>
            <w:r w:rsidRPr="003D13FE">
              <w:rPr>
                <w:rFonts w:hint="eastAsia"/>
                <w:color w:val="FF0000"/>
                <w:kern w:val="0"/>
                <w:szCs w:val="21"/>
              </w:rPr>
              <w:t>Q2</w:t>
            </w:r>
          </w:p>
        </w:tc>
        <w:tc>
          <w:tcPr>
            <w:tcW w:w="1661" w:type="dxa"/>
            <w:shd w:val="clear" w:color="auto" w:fill="auto"/>
            <w:vAlign w:val="center"/>
            <w:hideMark/>
          </w:tcPr>
          <w:p w:rsidR="003D13FE" w:rsidRPr="009D40C2" w:rsidRDefault="003D13FE" w:rsidP="003D13FE">
            <w:pPr>
              <w:widowControl/>
              <w:jc w:val="center"/>
              <w:rPr>
                <w:color w:val="FF0000"/>
                <w:kern w:val="0"/>
                <w:szCs w:val="21"/>
              </w:rPr>
            </w:pPr>
            <w:r w:rsidRPr="003D13FE">
              <w:rPr>
                <w:color w:val="FF0000"/>
                <w:kern w:val="0"/>
                <w:szCs w:val="21"/>
              </w:rPr>
              <w:t>19365803.58</w:t>
            </w:r>
          </w:p>
        </w:tc>
        <w:tc>
          <w:tcPr>
            <w:tcW w:w="1556" w:type="dxa"/>
            <w:shd w:val="clear" w:color="auto" w:fill="auto"/>
            <w:vAlign w:val="center"/>
            <w:hideMark/>
          </w:tcPr>
          <w:p w:rsidR="003D13FE" w:rsidRPr="009D40C2" w:rsidRDefault="003D13FE" w:rsidP="003D13FE">
            <w:pPr>
              <w:widowControl/>
              <w:jc w:val="center"/>
              <w:rPr>
                <w:color w:val="FF0000"/>
                <w:kern w:val="0"/>
                <w:szCs w:val="21"/>
              </w:rPr>
            </w:pPr>
            <w:r w:rsidRPr="003D13FE">
              <w:rPr>
                <w:color w:val="FF0000"/>
                <w:kern w:val="0"/>
                <w:szCs w:val="21"/>
              </w:rPr>
              <w:t>4155782.08</w:t>
            </w:r>
          </w:p>
        </w:tc>
        <w:tc>
          <w:tcPr>
            <w:tcW w:w="1357" w:type="dxa"/>
            <w:shd w:val="clear" w:color="auto" w:fill="auto"/>
            <w:vAlign w:val="center"/>
            <w:hideMark/>
          </w:tcPr>
          <w:p w:rsidR="003D13FE" w:rsidRPr="009D40C2" w:rsidRDefault="003D13FE" w:rsidP="003D13FE">
            <w:pPr>
              <w:widowControl/>
              <w:jc w:val="center"/>
              <w:rPr>
                <w:color w:val="FF0000"/>
                <w:kern w:val="0"/>
                <w:szCs w:val="21"/>
              </w:rPr>
            </w:pPr>
            <w:r w:rsidRPr="003D13FE">
              <w:rPr>
                <w:color w:val="FF0000"/>
                <w:kern w:val="0"/>
                <w:szCs w:val="21"/>
              </w:rPr>
              <w:t>1163.42</w:t>
            </w:r>
          </w:p>
        </w:tc>
        <w:tc>
          <w:tcPr>
            <w:tcW w:w="1117"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0.4</w:t>
            </w:r>
          </w:p>
        </w:tc>
      </w:tr>
      <w:tr w:rsidR="003D13FE" w:rsidRPr="003D13FE" w:rsidTr="003D13FE">
        <w:trPr>
          <w:trHeight w:val="70"/>
          <w:jc w:val="center"/>
        </w:trPr>
        <w:tc>
          <w:tcPr>
            <w:tcW w:w="1774" w:type="dxa"/>
            <w:shd w:val="clear" w:color="auto" w:fill="auto"/>
            <w:vAlign w:val="center"/>
            <w:hideMark/>
          </w:tcPr>
          <w:p w:rsidR="003D13FE" w:rsidRPr="009D40C2" w:rsidRDefault="003D13FE" w:rsidP="003D13FE">
            <w:pPr>
              <w:widowControl/>
              <w:jc w:val="center"/>
              <w:rPr>
                <w:color w:val="FF0000"/>
                <w:kern w:val="0"/>
                <w:szCs w:val="21"/>
              </w:rPr>
            </w:pPr>
            <w:r w:rsidRPr="003D13FE">
              <w:rPr>
                <w:rFonts w:hint="eastAsia"/>
                <w:color w:val="FF0000"/>
                <w:kern w:val="0"/>
                <w:szCs w:val="21"/>
              </w:rPr>
              <w:t>Q3</w:t>
            </w:r>
          </w:p>
        </w:tc>
        <w:tc>
          <w:tcPr>
            <w:tcW w:w="1661"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19364058.42</w:t>
            </w:r>
          </w:p>
        </w:tc>
        <w:tc>
          <w:tcPr>
            <w:tcW w:w="1556"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4154211.14</w:t>
            </w:r>
          </w:p>
        </w:tc>
        <w:tc>
          <w:tcPr>
            <w:tcW w:w="1357"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1049.35</w:t>
            </w:r>
          </w:p>
        </w:tc>
        <w:tc>
          <w:tcPr>
            <w:tcW w:w="1117"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0.427</w:t>
            </w:r>
          </w:p>
        </w:tc>
      </w:tr>
      <w:tr w:rsidR="003D13FE" w:rsidRPr="003D13FE" w:rsidTr="003D13FE">
        <w:trPr>
          <w:trHeight w:val="70"/>
          <w:jc w:val="center"/>
        </w:trPr>
        <w:tc>
          <w:tcPr>
            <w:tcW w:w="1774" w:type="dxa"/>
            <w:shd w:val="clear" w:color="auto" w:fill="auto"/>
            <w:vAlign w:val="center"/>
            <w:hideMark/>
          </w:tcPr>
          <w:p w:rsidR="003D13FE" w:rsidRPr="009D40C2" w:rsidRDefault="003D13FE" w:rsidP="003D13FE">
            <w:pPr>
              <w:widowControl/>
              <w:jc w:val="center"/>
              <w:rPr>
                <w:color w:val="FF0000"/>
                <w:kern w:val="0"/>
                <w:szCs w:val="21"/>
              </w:rPr>
            </w:pPr>
            <w:r w:rsidRPr="003D13FE">
              <w:rPr>
                <w:rFonts w:hint="eastAsia"/>
                <w:color w:val="FF0000"/>
                <w:kern w:val="0"/>
                <w:szCs w:val="21"/>
              </w:rPr>
              <w:t>Q4</w:t>
            </w:r>
          </w:p>
        </w:tc>
        <w:tc>
          <w:tcPr>
            <w:tcW w:w="1661"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19360145.19</w:t>
            </w:r>
          </w:p>
        </w:tc>
        <w:tc>
          <w:tcPr>
            <w:tcW w:w="1556"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4153502.71</w:t>
            </w:r>
          </w:p>
        </w:tc>
        <w:tc>
          <w:tcPr>
            <w:tcW w:w="1357"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1165.38</w:t>
            </w:r>
          </w:p>
        </w:tc>
        <w:tc>
          <w:tcPr>
            <w:tcW w:w="1117"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J</w:t>
            </w:r>
            <w:r w:rsidRPr="003D13FE">
              <w:rPr>
                <w:rFonts w:hint="eastAsia"/>
                <w:color w:val="FF0000"/>
                <w:kern w:val="0"/>
                <w:szCs w:val="21"/>
                <w:vertAlign w:val="subscript"/>
              </w:rPr>
              <w:t>2</w:t>
            </w:r>
            <w:r w:rsidRPr="003D13FE">
              <w:rPr>
                <w:rFonts w:hint="eastAsia"/>
                <w:color w:val="FF0000"/>
                <w:kern w:val="0"/>
                <w:szCs w:val="21"/>
              </w:rPr>
              <w:t>y</w:t>
            </w:r>
          </w:p>
        </w:tc>
        <w:tc>
          <w:tcPr>
            <w:tcW w:w="1589"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0.4</w:t>
            </w:r>
          </w:p>
        </w:tc>
      </w:tr>
      <w:tr w:rsidR="003D13FE" w:rsidRPr="003D13FE" w:rsidTr="003D13FE">
        <w:trPr>
          <w:trHeight w:val="70"/>
          <w:jc w:val="center"/>
        </w:trPr>
        <w:tc>
          <w:tcPr>
            <w:tcW w:w="1774" w:type="dxa"/>
            <w:shd w:val="clear" w:color="auto" w:fill="auto"/>
            <w:vAlign w:val="center"/>
            <w:hideMark/>
          </w:tcPr>
          <w:p w:rsidR="003D13FE" w:rsidRPr="009D40C2" w:rsidRDefault="003D13FE" w:rsidP="003D13FE">
            <w:pPr>
              <w:widowControl/>
              <w:jc w:val="center"/>
              <w:rPr>
                <w:color w:val="FF0000"/>
                <w:kern w:val="0"/>
                <w:szCs w:val="21"/>
              </w:rPr>
            </w:pPr>
            <w:r w:rsidRPr="003D13FE">
              <w:rPr>
                <w:rFonts w:hint="eastAsia"/>
                <w:color w:val="FF0000"/>
                <w:kern w:val="0"/>
                <w:szCs w:val="21"/>
              </w:rPr>
              <w:t>Q5</w:t>
            </w:r>
          </w:p>
        </w:tc>
        <w:tc>
          <w:tcPr>
            <w:tcW w:w="1661"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19364750.87</w:t>
            </w:r>
          </w:p>
        </w:tc>
        <w:tc>
          <w:tcPr>
            <w:tcW w:w="1556"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4153545.19</w:t>
            </w:r>
          </w:p>
        </w:tc>
        <w:tc>
          <w:tcPr>
            <w:tcW w:w="1357"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1061.43</w:t>
            </w:r>
          </w:p>
        </w:tc>
        <w:tc>
          <w:tcPr>
            <w:tcW w:w="1117" w:type="dxa"/>
            <w:vAlign w:val="center"/>
          </w:tcPr>
          <w:p w:rsidR="003D13FE" w:rsidRPr="003D13FE" w:rsidRDefault="003D13FE" w:rsidP="003D13FE">
            <w:pPr>
              <w:widowControl/>
              <w:jc w:val="center"/>
              <w:rPr>
                <w:bCs/>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0.325</w:t>
            </w:r>
          </w:p>
        </w:tc>
      </w:tr>
      <w:tr w:rsidR="003D13FE" w:rsidRPr="003D13FE" w:rsidTr="003D13FE">
        <w:trPr>
          <w:trHeight w:val="70"/>
          <w:jc w:val="center"/>
        </w:trPr>
        <w:tc>
          <w:tcPr>
            <w:tcW w:w="1774" w:type="dxa"/>
            <w:shd w:val="clear" w:color="auto" w:fill="auto"/>
            <w:vAlign w:val="center"/>
            <w:hideMark/>
          </w:tcPr>
          <w:p w:rsidR="003D13FE" w:rsidRPr="009D40C2" w:rsidRDefault="003D13FE" w:rsidP="003D13FE">
            <w:pPr>
              <w:widowControl/>
              <w:jc w:val="center"/>
              <w:rPr>
                <w:color w:val="FF0000"/>
                <w:kern w:val="0"/>
                <w:szCs w:val="21"/>
              </w:rPr>
            </w:pPr>
            <w:r w:rsidRPr="003D13FE">
              <w:rPr>
                <w:rFonts w:hint="eastAsia"/>
                <w:color w:val="FF0000"/>
                <w:kern w:val="0"/>
                <w:szCs w:val="21"/>
              </w:rPr>
              <w:t>Q6</w:t>
            </w:r>
          </w:p>
        </w:tc>
        <w:tc>
          <w:tcPr>
            <w:tcW w:w="1661"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19363477.62</w:t>
            </w:r>
          </w:p>
        </w:tc>
        <w:tc>
          <w:tcPr>
            <w:tcW w:w="1556"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4153763.99</w:t>
            </w:r>
          </w:p>
        </w:tc>
        <w:tc>
          <w:tcPr>
            <w:tcW w:w="1357"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1078.24</w:t>
            </w:r>
          </w:p>
        </w:tc>
        <w:tc>
          <w:tcPr>
            <w:tcW w:w="1117"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0.071</w:t>
            </w:r>
          </w:p>
        </w:tc>
      </w:tr>
      <w:tr w:rsidR="003D13FE" w:rsidRPr="003D13FE" w:rsidTr="003D13FE">
        <w:trPr>
          <w:trHeight w:val="70"/>
          <w:jc w:val="center"/>
        </w:trPr>
        <w:tc>
          <w:tcPr>
            <w:tcW w:w="1774" w:type="dxa"/>
            <w:shd w:val="clear" w:color="auto" w:fill="auto"/>
            <w:vAlign w:val="center"/>
            <w:hideMark/>
          </w:tcPr>
          <w:p w:rsidR="003D13FE" w:rsidRPr="009D40C2" w:rsidRDefault="003D13FE" w:rsidP="003D13FE">
            <w:pPr>
              <w:widowControl/>
              <w:jc w:val="center"/>
              <w:rPr>
                <w:color w:val="FF0000"/>
                <w:kern w:val="0"/>
                <w:szCs w:val="21"/>
              </w:rPr>
            </w:pPr>
            <w:r w:rsidRPr="003D13FE">
              <w:rPr>
                <w:rFonts w:hint="eastAsia"/>
                <w:color w:val="FF0000"/>
                <w:kern w:val="0"/>
                <w:szCs w:val="21"/>
              </w:rPr>
              <w:lastRenderedPageBreak/>
              <w:t>Q7</w:t>
            </w:r>
          </w:p>
        </w:tc>
        <w:tc>
          <w:tcPr>
            <w:tcW w:w="1661"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19363488.96</w:t>
            </w:r>
          </w:p>
        </w:tc>
        <w:tc>
          <w:tcPr>
            <w:tcW w:w="1556"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4153719.01</w:t>
            </w:r>
          </w:p>
        </w:tc>
        <w:tc>
          <w:tcPr>
            <w:tcW w:w="1357"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1086.73</w:t>
            </w:r>
          </w:p>
        </w:tc>
        <w:tc>
          <w:tcPr>
            <w:tcW w:w="1117" w:type="dxa"/>
            <w:vAlign w:val="center"/>
          </w:tcPr>
          <w:p w:rsidR="003D13FE" w:rsidRPr="003D13FE" w:rsidRDefault="003D13FE" w:rsidP="003D13FE">
            <w:pPr>
              <w:widowControl/>
              <w:jc w:val="center"/>
              <w:rPr>
                <w:bCs/>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0.303</w:t>
            </w:r>
          </w:p>
        </w:tc>
      </w:tr>
      <w:tr w:rsidR="003D13FE" w:rsidRPr="003D13FE" w:rsidTr="003D13FE">
        <w:trPr>
          <w:trHeight w:val="70"/>
          <w:jc w:val="center"/>
        </w:trPr>
        <w:tc>
          <w:tcPr>
            <w:tcW w:w="1774" w:type="dxa"/>
            <w:shd w:val="clear" w:color="auto" w:fill="auto"/>
            <w:vAlign w:val="center"/>
            <w:hideMark/>
          </w:tcPr>
          <w:p w:rsidR="003D13FE" w:rsidRPr="009D40C2" w:rsidRDefault="003D13FE" w:rsidP="003D13FE">
            <w:pPr>
              <w:widowControl/>
              <w:jc w:val="center"/>
              <w:rPr>
                <w:color w:val="FF0000"/>
                <w:kern w:val="0"/>
                <w:szCs w:val="21"/>
              </w:rPr>
            </w:pPr>
            <w:r w:rsidRPr="003D13FE">
              <w:rPr>
                <w:rFonts w:hint="eastAsia"/>
                <w:color w:val="FF0000"/>
                <w:kern w:val="0"/>
                <w:szCs w:val="21"/>
              </w:rPr>
              <w:t>Q8</w:t>
            </w:r>
          </w:p>
        </w:tc>
        <w:tc>
          <w:tcPr>
            <w:tcW w:w="1661"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19365419.53</w:t>
            </w:r>
          </w:p>
        </w:tc>
        <w:tc>
          <w:tcPr>
            <w:tcW w:w="1556"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4155201.42</w:t>
            </w:r>
          </w:p>
        </w:tc>
        <w:tc>
          <w:tcPr>
            <w:tcW w:w="1357"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1072.84</w:t>
            </w:r>
          </w:p>
        </w:tc>
        <w:tc>
          <w:tcPr>
            <w:tcW w:w="1117"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0.303</w:t>
            </w:r>
          </w:p>
        </w:tc>
      </w:tr>
      <w:tr w:rsidR="003D13FE" w:rsidRPr="003D13FE" w:rsidTr="003D13FE">
        <w:trPr>
          <w:trHeight w:val="70"/>
          <w:jc w:val="center"/>
        </w:trPr>
        <w:tc>
          <w:tcPr>
            <w:tcW w:w="1774" w:type="dxa"/>
            <w:shd w:val="clear" w:color="auto" w:fill="auto"/>
            <w:vAlign w:val="center"/>
            <w:hideMark/>
          </w:tcPr>
          <w:p w:rsidR="003D13FE" w:rsidRPr="009D40C2" w:rsidRDefault="003D13FE" w:rsidP="003D13FE">
            <w:pPr>
              <w:widowControl/>
              <w:jc w:val="center"/>
              <w:rPr>
                <w:color w:val="FF0000"/>
                <w:kern w:val="0"/>
                <w:szCs w:val="21"/>
              </w:rPr>
            </w:pPr>
            <w:r w:rsidRPr="003D13FE">
              <w:rPr>
                <w:rFonts w:hint="eastAsia"/>
                <w:color w:val="FF0000"/>
                <w:kern w:val="0"/>
                <w:szCs w:val="21"/>
              </w:rPr>
              <w:t>Q9</w:t>
            </w:r>
          </w:p>
        </w:tc>
        <w:tc>
          <w:tcPr>
            <w:tcW w:w="1661"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19366752.30</w:t>
            </w:r>
          </w:p>
        </w:tc>
        <w:tc>
          <w:tcPr>
            <w:tcW w:w="1556"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4155938.12</w:t>
            </w:r>
          </w:p>
        </w:tc>
        <w:tc>
          <w:tcPr>
            <w:tcW w:w="1357"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1106.74</w:t>
            </w:r>
          </w:p>
        </w:tc>
        <w:tc>
          <w:tcPr>
            <w:tcW w:w="1117" w:type="dxa"/>
            <w:vAlign w:val="center"/>
          </w:tcPr>
          <w:p w:rsidR="003D13FE" w:rsidRPr="003D13FE" w:rsidRDefault="003D13FE" w:rsidP="003D13FE">
            <w:pPr>
              <w:widowControl/>
              <w:jc w:val="center"/>
              <w:rPr>
                <w:bCs/>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0.325</w:t>
            </w:r>
          </w:p>
        </w:tc>
      </w:tr>
      <w:tr w:rsidR="003D13FE" w:rsidRPr="003D13FE" w:rsidTr="003D13FE">
        <w:trPr>
          <w:trHeight w:val="70"/>
          <w:jc w:val="center"/>
        </w:trPr>
        <w:tc>
          <w:tcPr>
            <w:tcW w:w="1774" w:type="dxa"/>
            <w:shd w:val="clear" w:color="auto" w:fill="auto"/>
            <w:vAlign w:val="center"/>
            <w:hideMark/>
          </w:tcPr>
          <w:p w:rsidR="003D13FE" w:rsidRPr="009D40C2" w:rsidRDefault="003D13FE" w:rsidP="003D13FE">
            <w:pPr>
              <w:widowControl/>
              <w:jc w:val="center"/>
              <w:rPr>
                <w:color w:val="FF0000"/>
                <w:kern w:val="0"/>
                <w:szCs w:val="21"/>
              </w:rPr>
            </w:pPr>
            <w:r w:rsidRPr="003D13FE">
              <w:rPr>
                <w:rFonts w:hint="eastAsia"/>
                <w:color w:val="FF0000"/>
                <w:kern w:val="0"/>
                <w:szCs w:val="21"/>
              </w:rPr>
              <w:t>Q10</w:t>
            </w:r>
          </w:p>
        </w:tc>
        <w:tc>
          <w:tcPr>
            <w:tcW w:w="1661"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19365298.53</w:t>
            </w:r>
          </w:p>
        </w:tc>
        <w:tc>
          <w:tcPr>
            <w:tcW w:w="1556"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41553454.16</w:t>
            </w:r>
          </w:p>
        </w:tc>
        <w:tc>
          <w:tcPr>
            <w:tcW w:w="1357"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1075.43</w:t>
            </w:r>
          </w:p>
        </w:tc>
        <w:tc>
          <w:tcPr>
            <w:tcW w:w="1117"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0.303</w:t>
            </w:r>
          </w:p>
        </w:tc>
      </w:tr>
      <w:tr w:rsidR="003D13FE" w:rsidRPr="003D13FE" w:rsidTr="003D13FE">
        <w:trPr>
          <w:trHeight w:val="70"/>
          <w:jc w:val="center"/>
        </w:trPr>
        <w:tc>
          <w:tcPr>
            <w:tcW w:w="1774" w:type="dxa"/>
            <w:shd w:val="clear" w:color="auto" w:fill="auto"/>
            <w:vAlign w:val="center"/>
            <w:hideMark/>
          </w:tcPr>
          <w:p w:rsidR="003D13FE" w:rsidRPr="003D13FE" w:rsidRDefault="003D13FE" w:rsidP="003D13FE">
            <w:pPr>
              <w:widowControl/>
              <w:jc w:val="center"/>
              <w:rPr>
                <w:color w:val="FF0000"/>
                <w:kern w:val="0"/>
                <w:szCs w:val="21"/>
              </w:rPr>
            </w:pPr>
            <w:r w:rsidRPr="003D13FE">
              <w:rPr>
                <w:rFonts w:hint="eastAsia"/>
                <w:color w:val="FF0000"/>
                <w:kern w:val="0"/>
                <w:szCs w:val="21"/>
              </w:rPr>
              <w:t>Q 11</w:t>
            </w:r>
          </w:p>
        </w:tc>
        <w:tc>
          <w:tcPr>
            <w:tcW w:w="1661"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19369696.26</w:t>
            </w:r>
          </w:p>
        </w:tc>
        <w:tc>
          <w:tcPr>
            <w:tcW w:w="1556"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4157547.32</w:t>
            </w:r>
          </w:p>
        </w:tc>
        <w:tc>
          <w:tcPr>
            <w:tcW w:w="1357" w:type="dxa"/>
            <w:shd w:val="clear" w:color="auto" w:fill="auto"/>
            <w:vAlign w:val="center"/>
            <w:hideMark/>
          </w:tcPr>
          <w:p w:rsidR="003D13FE" w:rsidRPr="003D13FE" w:rsidRDefault="003D13FE" w:rsidP="003D13FE">
            <w:pPr>
              <w:widowControl/>
              <w:jc w:val="center"/>
              <w:rPr>
                <w:color w:val="FF0000"/>
                <w:kern w:val="0"/>
                <w:szCs w:val="21"/>
              </w:rPr>
            </w:pPr>
            <w:r w:rsidRPr="003D13FE">
              <w:rPr>
                <w:color w:val="FF0000"/>
                <w:kern w:val="0"/>
                <w:szCs w:val="21"/>
              </w:rPr>
              <w:t>1023.32</w:t>
            </w:r>
          </w:p>
        </w:tc>
        <w:tc>
          <w:tcPr>
            <w:tcW w:w="1117"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T</w:t>
            </w:r>
            <w:r w:rsidRPr="003D13FE">
              <w:rPr>
                <w:rFonts w:hint="eastAsia"/>
                <w:color w:val="FF0000"/>
                <w:kern w:val="0"/>
                <w:szCs w:val="21"/>
                <w:vertAlign w:val="subscript"/>
              </w:rPr>
              <w:t>3</w:t>
            </w:r>
            <w:r w:rsidRPr="003D13FE">
              <w:rPr>
                <w:rFonts w:hint="eastAsia"/>
                <w:color w:val="FF0000"/>
                <w:kern w:val="0"/>
                <w:szCs w:val="21"/>
              </w:rPr>
              <w:t>w</w:t>
            </w:r>
          </w:p>
        </w:tc>
        <w:tc>
          <w:tcPr>
            <w:tcW w:w="1589" w:type="dxa"/>
            <w:vAlign w:val="center"/>
          </w:tcPr>
          <w:p w:rsidR="003D13FE" w:rsidRPr="003D13FE" w:rsidRDefault="003D13FE" w:rsidP="003D13FE">
            <w:pPr>
              <w:widowControl/>
              <w:jc w:val="center"/>
              <w:rPr>
                <w:color w:val="FF0000"/>
                <w:kern w:val="0"/>
                <w:szCs w:val="21"/>
              </w:rPr>
            </w:pPr>
            <w:r w:rsidRPr="003D13FE">
              <w:rPr>
                <w:rFonts w:hint="eastAsia"/>
                <w:color w:val="FF0000"/>
                <w:kern w:val="0"/>
                <w:szCs w:val="21"/>
              </w:rPr>
              <w:t>0.454</w:t>
            </w:r>
          </w:p>
        </w:tc>
      </w:tr>
    </w:tbl>
    <w:p w:rsidR="00C223F5" w:rsidRPr="00925B84" w:rsidRDefault="005860D5" w:rsidP="004835BD">
      <w:pPr>
        <w:pStyle w:val="4"/>
        <w:spacing w:before="0" w:after="0" w:line="360" w:lineRule="auto"/>
        <w:ind w:firstLineChars="100" w:firstLine="240"/>
        <w:rPr>
          <w:szCs w:val="24"/>
        </w:rPr>
      </w:pPr>
      <w:r w:rsidRPr="00925B84">
        <w:rPr>
          <w:rFonts w:hint="eastAsia"/>
          <w:szCs w:val="24"/>
        </w:rPr>
        <w:t>3.1.6.6</w:t>
      </w:r>
      <w:r w:rsidRPr="00925B84">
        <w:rPr>
          <w:rFonts w:hint="eastAsia"/>
          <w:szCs w:val="24"/>
        </w:rPr>
        <w:t>场地区水文地质条件</w:t>
      </w:r>
    </w:p>
    <w:p w:rsidR="00C223F5" w:rsidRPr="00925B84" w:rsidRDefault="005860D5">
      <w:pPr>
        <w:spacing w:line="360" w:lineRule="auto"/>
        <w:ind w:firstLineChars="200" w:firstLine="480"/>
        <w:rPr>
          <w:sz w:val="24"/>
        </w:rPr>
      </w:pPr>
      <w:bookmarkStart w:id="300" w:name="_Toc533604731"/>
      <w:bookmarkStart w:id="301" w:name="_Toc533604311"/>
      <w:bookmarkStart w:id="302" w:name="_Toc19823"/>
      <w:r w:rsidRPr="00925B84">
        <w:rPr>
          <w:rFonts w:hint="eastAsia"/>
          <w:sz w:val="24"/>
        </w:rPr>
        <w:t>矿井场地区为工业场地，场地区位于大理河支流蚂蚁河北岸（施阳台村附近），包气带岩性主要为</w:t>
      </w:r>
      <w:r w:rsidRPr="00925B84">
        <w:rPr>
          <w:sz w:val="24"/>
        </w:rPr>
        <w:t>岩性一般为粉质粘土、砂质粉土，</w:t>
      </w:r>
      <w:r w:rsidRPr="00925B84">
        <w:rPr>
          <w:rFonts w:hint="eastAsia"/>
          <w:sz w:val="24"/>
        </w:rPr>
        <w:t>场地北部有局部区域瓦窑堡组地层出露。场地区包气带厚度大于</w:t>
      </w:r>
      <w:r w:rsidRPr="00925B84">
        <w:rPr>
          <w:rFonts w:hint="eastAsia"/>
          <w:sz w:val="24"/>
        </w:rPr>
        <w:t>1.3m</w:t>
      </w:r>
      <w:r w:rsidRPr="00925B84">
        <w:rPr>
          <w:rFonts w:hint="eastAsia"/>
          <w:sz w:val="24"/>
        </w:rPr>
        <w:t>，</w:t>
      </w:r>
      <w:r w:rsidRPr="00925B84">
        <w:rPr>
          <w:sz w:val="24"/>
          <w:lang w:val="zh-TW"/>
        </w:rPr>
        <w:t>包气带分布连续、稳定，</w:t>
      </w:r>
      <w:r w:rsidRPr="00925B84">
        <w:rPr>
          <w:sz w:val="24"/>
        </w:rPr>
        <w:t>包气带垂直饱和渗透系数经验值为</w:t>
      </w:r>
      <w:r w:rsidRPr="00925B84">
        <w:rPr>
          <w:rFonts w:hint="eastAsia"/>
          <w:sz w:val="24"/>
        </w:rPr>
        <w:t>5.79</w:t>
      </w:r>
      <w:r w:rsidRPr="00925B84">
        <w:rPr>
          <w:sz w:val="24"/>
        </w:rPr>
        <w:t>×10</w:t>
      </w:r>
      <w:r w:rsidRPr="00925B84">
        <w:rPr>
          <w:sz w:val="24"/>
          <w:vertAlign w:val="superscript"/>
        </w:rPr>
        <w:t>-4</w:t>
      </w:r>
      <w:r w:rsidRPr="00925B84">
        <w:rPr>
          <w:sz w:val="24"/>
        </w:rPr>
        <w:t>cm/s</w:t>
      </w:r>
      <w:r w:rsidRPr="00925B84">
        <w:rPr>
          <w:sz w:val="24"/>
        </w:rPr>
        <w:t>～</w:t>
      </w:r>
      <w:r w:rsidRPr="00925B84">
        <w:rPr>
          <w:rFonts w:hint="eastAsia"/>
          <w:sz w:val="24"/>
        </w:rPr>
        <w:t>1.16</w:t>
      </w:r>
      <w:r w:rsidRPr="00925B84">
        <w:rPr>
          <w:sz w:val="24"/>
        </w:rPr>
        <w:t>×10</w:t>
      </w:r>
      <w:r w:rsidRPr="00925B84">
        <w:rPr>
          <w:sz w:val="24"/>
          <w:vertAlign w:val="superscript"/>
        </w:rPr>
        <w:t>-</w:t>
      </w:r>
      <w:r w:rsidRPr="00925B84">
        <w:rPr>
          <w:rFonts w:hint="eastAsia"/>
          <w:sz w:val="24"/>
          <w:vertAlign w:val="superscript"/>
        </w:rPr>
        <w:t>3</w:t>
      </w:r>
      <w:r w:rsidRPr="00925B84">
        <w:rPr>
          <w:sz w:val="24"/>
        </w:rPr>
        <w:t>cm/s</w:t>
      </w:r>
      <w:r w:rsidRPr="00925B84">
        <w:rPr>
          <w:sz w:val="24"/>
        </w:rPr>
        <w:t>，根据天然包气带防污性能分级参照表，包气带渗透系数大于</w:t>
      </w:r>
      <w:r w:rsidRPr="00925B84">
        <w:rPr>
          <w:sz w:val="24"/>
        </w:rPr>
        <w:t>1×10</w:t>
      </w:r>
      <w:r w:rsidRPr="00925B84">
        <w:rPr>
          <w:sz w:val="24"/>
          <w:vertAlign w:val="superscript"/>
        </w:rPr>
        <w:t>-4</w:t>
      </w:r>
      <w:r w:rsidRPr="00925B84">
        <w:rPr>
          <w:sz w:val="24"/>
        </w:rPr>
        <w:t>cm/s</w:t>
      </w:r>
      <w:r w:rsidRPr="00925B84">
        <w:rPr>
          <w:sz w:val="24"/>
        </w:rPr>
        <w:t>，包气带防污性能</w:t>
      </w:r>
      <w:r w:rsidRPr="00925B84">
        <w:rPr>
          <w:sz w:val="24"/>
        </w:rPr>
        <w:t>“</w:t>
      </w:r>
      <w:r w:rsidRPr="00925B84">
        <w:rPr>
          <w:sz w:val="24"/>
        </w:rPr>
        <w:t>弱</w:t>
      </w:r>
      <w:r w:rsidRPr="00925B84">
        <w:rPr>
          <w:sz w:val="24"/>
        </w:rPr>
        <w:t>”</w:t>
      </w:r>
      <w:r w:rsidRPr="00925B84">
        <w:rPr>
          <w:sz w:val="24"/>
        </w:rPr>
        <w:t>。</w:t>
      </w:r>
      <w:r w:rsidRPr="00925B84">
        <w:rPr>
          <w:rFonts w:hint="eastAsia"/>
          <w:sz w:val="24"/>
        </w:rPr>
        <w:t>场地区浅层地下水类型为</w:t>
      </w:r>
      <w:r w:rsidRPr="00925B84">
        <w:rPr>
          <w:rFonts w:hAnsi="宋体"/>
          <w:sz w:val="24"/>
        </w:rPr>
        <w:t>第四系全新统冲洪积层孔隙潜水含水层</w:t>
      </w:r>
      <w:r w:rsidRPr="00925B84">
        <w:rPr>
          <w:rFonts w:hAnsi="宋体" w:hint="eastAsia"/>
          <w:sz w:val="24"/>
        </w:rPr>
        <w:t>和</w:t>
      </w:r>
      <w:r w:rsidRPr="00925B84">
        <w:rPr>
          <w:rFonts w:hint="eastAsia"/>
          <w:sz w:val="24"/>
        </w:rPr>
        <w:t>三叠系</w:t>
      </w:r>
      <w:r w:rsidRPr="00925B84">
        <w:rPr>
          <w:rFonts w:hAnsi="宋体"/>
          <w:sz w:val="24"/>
        </w:rPr>
        <w:t>风化基岩裂隙潜水含水层</w:t>
      </w:r>
      <w:r w:rsidRPr="00925B84">
        <w:rPr>
          <w:rFonts w:hint="eastAsia"/>
          <w:sz w:val="24"/>
        </w:rPr>
        <w:t>，第四系含水层岩性主要为砂卵砾石夹中粗砂，根据区域抽水试验结果以及含水层岩性经验值，第四系含水层渗透系数为</w:t>
      </w:r>
      <w:r w:rsidRPr="00925B84">
        <w:rPr>
          <w:rFonts w:hint="eastAsia"/>
          <w:sz w:val="24"/>
        </w:rPr>
        <w:t>25m/d</w:t>
      </w:r>
      <w:r w:rsidRPr="00925B84">
        <w:rPr>
          <w:rFonts w:hint="eastAsia"/>
          <w:sz w:val="24"/>
        </w:rPr>
        <w:t>，场地区地下水主要接受</w:t>
      </w:r>
      <w:r w:rsidRPr="00925B84">
        <w:rPr>
          <w:sz w:val="24"/>
        </w:rPr>
        <w:t>大气降水入渗补给</w:t>
      </w:r>
      <w:r w:rsidRPr="00925B84">
        <w:rPr>
          <w:rFonts w:hAnsi="宋体"/>
          <w:bCs/>
          <w:sz w:val="24"/>
        </w:rPr>
        <w:t>以及</w:t>
      </w:r>
      <w:r w:rsidRPr="00925B84">
        <w:rPr>
          <w:rFonts w:hAnsi="宋体" w:hint="eastAsia"/>
          <w:bCs/>
          <w:sz w:val="24"/>
        </w:rPr>
        <w:t>北部山区地下水</w:t>
      </w:r>
      <w:r w:rsidRPr="00925B84">
        <w:rPr>
          <w:rFonts w:hAnsi="宋体"/>
          <w:bCs/>
          <w:sz w:val="24"/>
        </w:rPr>
        <w:t>的侧向径流补给</w:t>
      </w:r>
      <w:r w:rsidRPr="00925B84">
        <w:rPr>
          <w:sz w:val="24"/>
        </w:rPr>
        <w:t>，</w:t>
      </w:r>
      <w:r w:rsidRPr="00925B84">
        <w:rPr>
          <w:rFonts w:hint="eastAsia"/>
          <w:sz w:val="24"/>
        </w:rPr>
        <w:t>在雨季还接受蚂蚁河地表水体的补给，地下水受蚂蚁河地表水的控制，总体由西北向东南方向径流，最终以潜流的形式补给下游地表水。</w:t>
      </w:r>
    </w:p>
    <w:p w:rsidR="00C223F5" w:rsidRPr="00925B84" w:rsidRDefault="005860D5" w:rsidP="004835BD">
      <w:pPr>
        <w:pStyle w:val="2"/>
        <w:numPr>
          <w:ilvl w:val="0"/>
          <w:numId w:val="0"/>
        </w:numPr>
        <w:spacing w:before="0" w:after="0" w:line="360" w:lineRule="auto"/>
        <w:rPr>
          <w:rFonts w:ascii="Times New Roman" w:eastAsia="宋体" w:hAnsi="Times New Roman"/>
          <w:b/>
          <w:bCs w:val="0"/>
          <w:szCs w:val="30"/>
        </w:rPr>
      </w:pPr>
      <w:bookmarkStart w:id="303" w:name="_Toc16785276"/>
      <w:r w:rsidRPr="00925B84">
        <w:rPr>
          <w:rFonts w:ascii="Times New Roman" w:eastAsia="宋体" w:hAnsi="Times New Roman" w:hint="eastAsia"/>
          <w:b/>
          <w:bCs w:val="0"/>
          <w:szCs w:val="30"/>
        </w:rPr>
        <w:t>3.2</w:t>
      </w:r>
      <w:r w:rsidRPr="00925B84">
        <w:rPr>
          <w:rFonts w:ascii="Times New Roman" w:eastAsia="宋体" w:hAnsi="Times New Roman" w:hint="eastAsia"/>
          <w:b/>
          <w:bCs w:val="0"/>
          <w:szCs w:val="30"/>
        </w:rPr>
        <w:t>主要</w:t>
      </w:r>
      <w:r w:rsidR="001F00D8">
        <w:fldChar w:fldCharType="begin"/>
      </w:r>
      <w:r w:rsidR="001F00D8">
        <w:instrText xml:space="preserve"> HYPERLINK \l "_Toc487630169" </w:instrText>
      </w:r>
      <w:r w:rsidR="001F00D8">
        <w:fldChar w:fldCharType="separate"/>
      </w:r>
      <w:r w:rsidRPr="00925B84">
        <w:rPr>
          <w:rFonts w:ascii="Times New Roman" w:eastAsia="宋体" w:hAnsi="Times New Roman"/>
          <w:b/>
          <w:bCs w:val="0"/>
          <w:szCs w:val="30"/>
        </w:rPr>
        <w:t>环境保护目标</w:t>
      </w:r>
      <w:bookmarkEnd w:id="300"/>
      <w:bookmarkEnd w:id="301"/>
      <w:bookmarkEnd w:id="303"/>
      <w:r w:rsidR="001F00D8">
        <w:rPr>
          <w:rFonts w:ascii="Times New Roman" w:eastAsia="宋体" w:hAnsi="Times New Roman"/>
          <w:b/>
          <w:bCs w:val="0"/>
          <w:szCs w:val="30"/>
        </w:rPr>
        <w:fldChar w:fldCharType="end"/>
      </w:r>
      <w:bookmarkEnd w:id="302"/>
    </w:p>
    <w:p w:rsidR="00C223F5" w:rsidRPr="00925B84" w:rsidRDefault="005860D5">
      <w:pPr>
        <w:spacing w:line="360" w:lineRule="auto"/>
        <w:ind w:firstLineChars="200" w:firstLine="480"/>
        <w:jc w:val="left"/>
        <w:rPr>
          <w:rFonts w:ascii="宋体" w:hAnsi="宋体" w:cs="宋体"/>
          <w:sz w:val="24"/>
        </w:rPr>
      </w:pPr>
      <w:r w:rsidRPr="00925B84">
        <w:rPr>
          <w:sz w:val="24"/>
        </w:rPr>
        <w:t>经调查，本项目</w:t>
      </w:r>
      <w:r w:rsidRPr="00925B84">
        <w:rPr>
          <w:rFonts w:hint="eastAsia"/>
          <w:sz w:val="24"/>
        </w:rPr>
        <w:t>井田</w:t>
      </w:r>
      <w:r w:rsidRPr="00925B84">
        <w:rPr>
          <w:sz w:val="24"/>
        </w:rPr>
        <w:t>范围内</w:t>
      </w:r>
      <w:r w:rsidRPr="00925B84">
        <w:rPr>
          <w:rFonts w:ascii="宋体" w:hAnsi="宋体" w:cs="宋体" w:hint="eastAsia"/>
          <w:sz w:val="24"/>
        </w:rPr>
        <w:t>涉及一处陕西省重要湿地、两处县级文物保护单位、铁路、高速公路等重要基础设施和居民居住区。</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304" w:name="_Toc525047836"/>
      <w:bookmarkStart w:id="305" w:name="_Toc16785277"/>
      <w:r>
        <w:rPr>
          <w:rFonts w:eastAsia="宋体" w:hint="eastAsia"/>
          <w:b/>
          <w:bCs w:val="0"/>
          <w:sz w:val="28"/>
          <w:szCs w:val="28"/>
        </w:rPr>
        <w:t>3</w:t>
      </w:r>
      <w:r>
        <w:rPr>
          <w:rFonts w:eastAsia="宋体"/>
          <w:b/>
          <w:bCs w:val="0"/>
          <w:sz w:val="28"/>
          <w:szCs w:val="28"/>
        </w:rPr>
        <w:t>.</w:t>
      </w:r>
      <w:bookmarkEnd w:id="304"/>
      <w:r>
        <w:rPr>
          <w:rFonts w:eastAsia="宋体" w:hint="eastAsia"/>
          <w:b/>
          <w:bCs w:val="0"/>
          <w:sz w:val="28"/>
          <w:szCs w:val="28"/>
        </w:rPr>
        <w:t>2.1</w:t>
      </w:r>
      <w:r>
        <w:rPr>
          <w:rFonts w:eastAsia="宋体" w:hint="eastAsia"/>
          <w:b/>
          <w:bCs w:val="0"/>
          <w:sz w:val="28"/>
          <w:szCs w:val="28"/>
        </w:rPr>
        <w:t>大理河湿地</w:t>
      </w:r>
      <w:bookmarkEnd w:id="305"/>
    </w:p>
    <w:p w:rsidR="00C223F5" w:rsidRDefault="005860D5">
      <w:pPr>
        <w:pStyle w:val="hp"/>
        <w:ind w:firstLine="482"/>
        <w:rPr>
          <w:b/>
        </w:rPr>
      </w:pPr>
      <w:r>
        <w:rPr>
          <w:rFonts w:hint="eastAsia"/>
          <w:b/>
        </w:rPr>
        <w:t>（</w:t>
      </w:r>
      <w:r>
        <w:rPr>
          <w:rFonts w:hint="eastAsia"/>
          <w:b/>
        </w:rPr>
        <w:t>1</w:t>
      </w:r>
      <w:r>
        <w:rPr>
          <w:rFonts w:hint="eastAsia"/>
          <w:b/>
        </w:rPr>
        <w:t>）基本情况</w:t>
      </w:r>
    </w:p>
    <w:p w:rsidR="00C223F5" w:rsidRDefault="005860D5" w:rsidP="00C006A7">
      <w:pPr>
        <w:pStyle w:val="hp"/>
        <w:ind w:firstLine="480"/>
      </w:pPr>
      <w:r>
        <w:rPr>
          <w:rFonts w:hint="eastAsia"/>
        </w:rPr>
        <w:t>根据陕西省人民政府“陕政发</w:t>
      </w:r>
      <w:r>
        <w:rPr>
          <w:rFonts w:hint="eastAsia"/>
        </w:rPr>
        <w:t>[2008]34</w:t>
      </w:r>
      <w:r>
        <w:rPr>
          <w:rFonts w:hint="eastAsia"/>
        </w:rPr>
        <w:t>号”文《关于公布陕西省重要湿地名录的通告》，本项目井田范围内分布有榆林大理河湿地，为省级重要湿地。其位置分布见图</w:t>
      </w:r>
      <w:r>
        <w:rPr>
          <w:rFonts w:hint="eastAsia"/>
        </w:rPr>
        <w:t>1.6-1</w:t>
      </w:r>
      <w:r>
        <w:rPr>
          <w:rFonts w:hint="eastAsia"/>
        </w:rPr>
        <w:t>。</w:t>
      </w:r>
    </w:p>
    <w:p w:rsidR="00C223F5" w:rsidRDefault="005860D5" w:rsidP="00C006A7">
      <w:pPr>
        <w:pStyle w:val="hp"/>
        <w:ind w:firstLine="480"/>
      </w:pPr>
      <w:r>
        <w:rPr>
          <w:rFonts w:hint="eastAsia"/>
        </w:rPr>
        <w:t>榆林大理河湿地界限范围从靖边县小河乡到绥德县名州镇沿大理河至大理河与无定河交汇处，包括大理河河道、河滩、泛洪区及河道两岸</w:t>
      </w:r>
      <w:r>
        <w:rPr>
          <w:rFonts w:hint="eastAsia"/>
        </w:rPr>
        <w:t>1km</w:t>
      </w:r>
      <w:r>
        <w:rPr>
          <w:rFonts w:hint="eastAsia"/>
        </w:rPr>
        <w:t>范围内的人工湿地，隶属于靖边、横山、子洲、绥德县。榆林大理河湿地位于项目井田东部，由西南向东北穿过井田，井</w:t>
      </w:r>
      <w:r w:rsidRPr="00925B84">
        <w:rPr>
          <w:rFonts w:hint="eastAsia"/>
        </w:rPr>
        <w:t>田内河流长约</w:t>
      </w:r>
      <w:r w:rsidRPr="00925B84">
        <w:rPr>
          <w:rFonts w:hint="eastAsia"/>
        </w:rPr>
        <w:t>9.7km</w:t>
      </w:r>
      <w:r w:rsidRPr="00925B84">
        <w:rPr>
          <w:rFonts w:hint="eastAsia"/>
        </w:rPr>
        <w:t>，大理河湿地保护区边界最近距采区边界约</w:t>
      </w:r>
      <w:r w:rsidRPr="00925B84">
        <w:rPr>
          <w:rFonts w:hint="eastAsia"/>
        </w:rPr>
        <w:t>90m</w:t>
      </w:r>
      <w:r w:rsidRPr="00925B84">
        <w:rPr>
          <w:rFonts w:hint="eastAsia"/>
        </w:rPr>
        <w:t>，重要湿地与天云煤矿重叠的面积约</w:t>
      </w:r>
      <w:r w:rsidRPr="00925B84">
        <w:rPr>
          <w:rFonts w:hint="eastAsia"/>
        </w:rPr>
        <w:t>2.84km</w:t>
      </w:r>
      <w:r w:rsidRPr="00925B84">
        <w:rPr>
          <w:rFonts w:hint="eastAsia"/>
          <w:vertAlign w:val="superscript"/>
        </w:rPr>
        <w:t>2</w:t>
      </w:r>
      <w:r w:rsidRPr="00925B84">
        <w:rPr>
          <w:rFonts w:hint="eastAsia"/>
        </w:rPr>
        <w:t>。大理河湿地范围属于无煤区或留设保护煤柱，不进行</w:t>
      </w:r>
      <w:r>
        <w:rPr>
          <w:rFonts w:hint="eastAsia"/>
        </w:rPr>
        <w:t>开采，故煤炭开采对其影响较小。</w:t>
      </w:r>
    </w:p>
    <w:p w:rsidR="00C223F5" w:rsidRDefault="005860D5" w:rsidP="00C006A7">
      <w:pPr>
        <w:pStyle w:val="hp"/>
        <w:ind w:firstLine="482"/>
        <w:rPr>
          <w:b/>
        </w:rPr>
      </w:pPr>
      <w:r>
        <w:rPr>
          <w:rFonts w:hint="eastAsia"/>
          <w:b/>
        </w:rPr>
        <w:t>（</w:t>
      </w:r>
      <w:r>
        <w:rPr>
          <w:rFonts w:hint="eastAsia"/>
          <w:b/>
        </w:rPr>
        <w:t>2</w:t>
      </w:r>
      <w:r>
        <w:rPr>
          <w:rFonts w:hint="eastAsia"/>
          <w:b/>
        </w:rPr>
        <w:t>）保护要求</w:t>
      </w:r>
    </w:p>
    <w:p w:rsidR="00C223F5" w:rsidRDefault="005860D5" w:rsidP="00C006A7">
      <w:pPr>
        <w:pStyle w:val="hp"/>
        <w:ind w:firstLine="480"/>
      </w:pPr>
      <w:r>
        <w:lastRenderedPageBreak/>
        <w:t>根据《</w:t>
      </w:r>
      <w:r>
        <w:rPr>
          <w:rFonts w:hint="eastAsia"/>
        </w:rPr>
        <w:t>陕西省湿地保护</w:t>
      </w:r>
      <w:r>
        <w:t>条例》，</w:t>
      </w:r>
      <w:r>
        <w:rPr>
          <w:rFonts w:hint="eastAsia"/>
        </w:rPr>
        <w:t>湿地主要环境</w:t>
      </w:r>
      <w:r>
        <w:t>保护要求：</w:t>
      </w:r>
    </w:p>
    <w:p w:rsidR="00C223F5" w:rsidRDefault="005860D5" w:rsidP="00C006A7">
      <w:pPr>
        <w:pStyle w:val="hp"/>
        <w:ind w:firstLine="480"/>
        <w:rPr>
          <w:rFonts w:cs="宋体"/>
        </w:rPr>
      </w:pPr>
      <w:r>
        <w:rPr>
          <w:rFonts w:cs="宋体"/>
        </w:rPr>
        <w:t>第二十三条　未经批准不得擅自改变天然湿地用途。</w:t>
      </w:r>
    </w:p>
    <w:p w:rsidR="00C223F5" w:rsidRDefault="005860D5" w:rsidP="00C006A7">
      <w:pPr>
        <w:pStyle w:val="hp"/>
        <w:ind w:firstLine="480"/>
        <w:rPr>
          <w:rFonts w:cs="宋体"/>
        </w:rPr>
      </w:pPr>
      <w:r>
        <w:rPr>
          <w:rFonts w:cs="宋体"/>
        </w:rPr>
        <w:t>因重要建设项目确需改变天然湿地用途的，国土资源行政部门在依法办理土地审批手续时，应当征求同级林业行政部门的意见。</w:t>
      </w:r>
    </w:p>
    <w:p w:rsidR="00C223F5" w:rsidRDefault="005860D5" w:rsidP="00C006A7">
      <w:pPr>
        <w:pStyle w:val="hp"/>
        <w:ind w:firstLine="480"/>
        <w:rPr>
          <w:rFonts w:cs="宋体"/>
        </w:rPr>
      </w:pPr>
      <w:r>
        <w:rPr>
          <w:rFonts w:cs="宋体"/>
        </w:rPr>
        <w:t>第二十四条　改变天然湿地用途，应当符合下列条件：</w:t>
      </w:r>
    </w:p>
    <w:p w:rsidR="00C223F5" w:rsidRDefault="005860D5" w:rsidP="00C006A7">
      <w:pPr>
        <w:pStyle w:val="hp"/>
        <w:ind w:firstLine="480"/>
        <w:rPr>
          <w:rFonts w:cs="宋体"/>
        </w:rPr>
      </w:pPr>
      <w:r>
        <w:rPr>
          <w:rFonts w:cs="宋体"/>
        </w:rPr>
        <w:t>（一）重要建设项目必须占用天然湿地；</w:t>
      </w:r>
    </w:p>
    <w:p w:rsidR="00C223F5" w:rsidRDefault="005860D5" w:rsidP="00C006A7">
      <w:pPr>
        <w:pStyle w:val="hp"/>
        <w:ind w:firstLine="480"/>
        <w:rPr>
          <w:rFonts w:cs="宋体"/>
        </w:rPr>
      </w:pPr>
      <w:r>
        <w:rPr>
          <w:rFonts w:cs="宋体"/>
        </w:rPr>
        <w:t>（二）重要建设项目已通过环境影响评价；</w:t>
      </w:r>
    </w:p>
    <w:p w:rsidR="00C223F5" w:rsidRDefault="005860D5" w:rsidP="00C006A7">
      <w:pPr>
        <w:pStyle w:val="hp"/>
        <w:ind w:firstLine="480"/>
        <w:rPr>
          <w:rFonts w:cs="宋体"/>
        </w:rPr>
      </w:pPr>
      <w:r>
        <w:rPr>
          <w:rFonts w:cs="宋体"/>
        </w:rPr>
        <w:t>（三）具有可行的湿地占用方案。</w:t>
      </w:r>
    </w:p>
    <w:p w:rsidR="00C223F5" w:rsidRDefault="005860D5" w:rsidP="00C006A7">
      <w:pPr>
        <w:pStyle w:val="hp"/>
        <w:ind w:firstLine="480"/>
        <w:rPr>
          <w:rFonts w:cs="宋体"/>
        </w:rPr>
      </w:pPr>
      <w:r>
        <w:rPr>
          <w:rFonts w:cs="宋体"/>
        </w:rPr>
        <w:t>第二十五条　临时占用湿地的，占用单位应当提出可行的湿地恢复方案，并经县级以上林业行政部门核准。</w:t>
      </w:r>
    </w:p>
    <w:p w:rsidR="00C223F5" w:rsidRDefault="005860D5" w:rsidP="00C006A7">
      <w:pPr>
        <w:pStyle w:val="hp"/>
        <w:ind w:firstLine="480"/>
        <w:rPr>
          <w:rFonts w:cs="宋体"/>
        </w:rPr>
      </w:pPr>
      <w:r>
        <w:rPr>
          <w:rFonts w:cs="宋体"/>
        </w:rPr>
        <w:t>临时占用湿地不得超过一年。占用期限届满后，占用单位应当按照湿地恢复方案及时恢复。</w:t>
      </w:r>
    </w:p>
    <w:p w:rsidR="00C223F5" w:rsidRDefault="005860D5" w:rsidP="00C006A7">
      <w:pPr>
        <w:pStyle w:val="hp"/>
        <w:ind w:firstLine="480"/>
        <w:rPr>
          <w:rFonts w:cs="宋体"/>
        </w:rPr>
      </w:pPr>
      <w:r>
        <w:rPr>
          <w:rFonts w:cs="宋体"/>
        </w:rPr>
        <w:t>第二十七条　禁止在天然湿地范围内从事下列活动：</w:t>
      </w:r>
    </w:p>
    <w:p w:rsidR="00C223F5" w:rsidRDefault="005860D5" w:rsidP="00C006A7">
      <w:pPr>
        <w:pStyle w:val="hp"/>
        <w:ind w:firstLine="480"/>
        <w:rPr>
          <w:rFonts w:cs="宋体"/>
        </w:rPr>
      </w:pPr>
      <w:r>
        <w:rPr>
          <w:rFonts w:cs="宋体"/>
        </w:rPr>
        <w:t>（一）开垦、烧荒；</w:t>
      </w:r>
    </w:p>
    <w:p w:rsidR="00C223F5" w:rsidRDefault="005860D5" w:rsidP="00C006A7">
      <w:pPr>
        <w:pStyle w:val="hp"/>
        <w:ind w:firstLine="480"/>
        <w:rPr>
          <w:rFonts w:cs="宋体"/>
        </w:rPr>
      </w:pPr>
      <w:r>
        <w:rPr>
          <w:rFonts w:cs="宋体"/>
        </w:rPr>
        <w:t>（二）擅自排放湿地蓄水；</w:t>
      </w:r>
    </w:p>
    <w:p w:rsidR="00C223F5" w:rsidRDefault="005860D5" w:rsidP="00C006A7">
      <w:pPr>
        <w:pStyle w:val="hp"/>
        <w:ind w:firstLine="480"/>
        <w:rPr>
          <w:rFonts w:cs="宋体"/>
        </w:rPr>
      </w:pPr>
      <w:r>
        <w:rPr>
          <w:rFonts w:cs="宋体"/>
        </w:rPr>
        <w:t>（三）破坏鱼类等水生生物洄游通道或者野生动物栖息地；</w:t>
      </w:r>
    </w:p>
    <w:p w:rsidR="00C223F5" w:rsidRDefault="005860D5" w:rsidP="00C006A7">
      <w:pPr>
        <w:pStyle w:val="hp"/>
        <w:ind w:firstLine="480"/>
        <w:rPr>
          <w:rFonts w:cs="宋体"/>
        </w:rPr>
      </w:pPr>
      <w:r>
        <w:rPr>
          <w:rFonts w:cs="宋体"/>
        </w:rPr>
        <w:t>（四）擅自采砂、采石、采矿、挖塘；</w:t>
      </w:r>
    </w:p>
    <w:p w:rsidR="00C223F5" w:rsidRDefault="005860D5" w:rsidP="00C006A7">
      <w:pPr>
        <w:pStyle w:val="hp"/>
        <w:ind w:firstLine="480"/>
        <w:rPr>
          <w:rFonts w:cs="宋体"/>
        </w:rPr>
      </w:pPr>
      <w:r>
        <w:rPr>
          <w:rFonts w:cs="宋体"/>
        </w:rPr>
        <w:t>（五）擅自砍伐林木、采集野生植物，猎捕野生动物、捡拾鸟卵或者采用灭绝性方式捕捞鱼类及其他水生生物；</w:t>
      </w:r>
    </w:p>
    <w:p w:rsidR="00C223F5" w:rsidRDefault="005860D5" w:rsidP="00C006A7">
      <w:pPr>
        <w:pStyle w:val="hp"/>
        <w:ind w:firstLine="480"/>
      </w:pPr>
      <w:r>
        <w:rPr>
          <w:rFonts w:hint="eastAsia"/>
        </w:rPr>
        <w:t>（</w:t>
      </w:r>
      <w:r>
        <w:t>六）向天然湿地内排放超标污水或者有毒有害气体，投放可能危害水体、水生生物的化学物品；</w:t>
      </w:r>
    </w:p>
    <w:p w:rsidR="00C223F5" w:rsidRDefault="005860D5" w:rsidP="00C006A7">
      <w:pPr>
        <w:pStyle w:val="hp"/>
        <w:ind w:firstLine="480"/>
      </w:pPr>
      <w:r>
        <w:rPr>
          <w:rFonts w:hint="eastAsia"/>
        </w:rPr>
        <w:t>（</w:t>
      </w:r>
      <w:r>
        <w:t>七）向天然湿地及其周边一公里范围内倾倒固体废物；</w:t>
      </w:r>
    </w:p>
    <w:p w:rsidR="00C223F5" w:rsidRDefault="005860D5" w:rsidP="00C006A7">
      <w:pPr>
        <w:pStyle w:val="hp"/>
        <w:ind w:firstLine="480"/>
      </w:pPr>
      <w:r>
        <w:t>（八）擅自向天然湿地引入外来物种；</w:t>
      </w:r>
    </w:p>
    <w:p w:rsidR="00C223F5" w:rsidRDefault="005860D5" w:rsidP="00C006A7">
      <w:pPr>
        <w:pStyle w:val="hp"/>
        <w:ind w:firstLine="480"/>
      </w:pPr>
      <w:r>
        <w:t>（九）其他破坏天然湿地的行为。</w:t>
      </w:r>
    </w:p>
    <w:p w:rsidR="00C223F5" w:rsidRDefault="005860D5" w:rsidP="00C006A7">
      <w:pPr>
        <w:pStyle w:val="hp"/>
        <w:ind w:firstLine="480"/>
      </w:pPr>
      <w:r>
        <w:t>根据《湿地保护管理规定》，</w:t>
      </w:r>
      <w:r>
        <w:rPr>
          <w:rFonts w:hint="eastAsia"/>
        </w:rPr>
        <w:t>湿地主要环境</w:t>
      </w:r>
      <w:r>
        <w:t>保护要求：</w:t>
      </w:r>
    </w:p>
    <w:p w:rsidR="00C223F5" w:rsidRDefault="005860D5" w:rsidP="00C006A7">
      <w:pPr>
        <w:pStyle w:val="hp"/>
        <w:ind w:firstLine="480"/>
      </w:pPr>
      <w:r>
        <w:t>第二十九条</w:t>
      </w:r>
      <w:r>
        <w:rPr>
          <w:rFonts w:cs="宋体"/>
        </w:rPr>
        <w:t xml:space="preserve">　</w:t>
      </w:r>
      <w:r>
        <w:t>除法律法规有特别规定的以外，在湿地内禁止从事下列活动：</w:t>
      </w:r>
    </w:p>
    <w:p w:rsidR="00C223F5" w:rsidRDefault="005860D5" w:rsidP="00C006A7">
      <w:pPr>
        <w:pStyle w:val="hp"/>
        <w:ind w:firstLine="480"/>
      </w:pPr>
      <w:r>
        <w:t>（一）开（围）垦、填埋或者排干湿地；</w:t>
      </w:r>
    </w:p>
    <w:p w:rsidR="00C223F5" w:rsidRDefault="005860D5" w:rsidP="00C006A7">
      <w:pPr>
        <w:pStyle w:val="hp"/>
        <w:ind w:firstLine="480"/>
      </w:pPr>
      <w:r>
        <w:t>（二）永久性截断湿地水源；</w:t>
      </w:r>
    </w:p>
    <w:p w:rsidR="00C223F5" w:rsidRDefault="005860D5" w:rsidP="00C006A7">
      <w:pPr>
        <w:pStyle w:val="hp"/>
        <w:ind w:firstLine="480"/>
      </w:pPr>
      <w:r>
        <w:t>（三）挖沙、采矿；</w:t>
      </w:r>
    </w:p>
    <w:p w:rsidR="00C223F5" w:rsidRDefault="005860D5" w:rsidP="00C006A7">
      <w:pPr>
        <w:pStyle w:val="hp"/>
        <w:ind w:firstLine="480"/>
      </w:pPr>
      <w:r>
        <w:t>（四）倾倒有毒有害物质、废弃物、垃圾；</w:t>
      </w:r>
    </w:p>
    <w:p w:rsidR="00C223F5" w:rsidRDefault="005860D5" w:rsidP="00C006A7">
      <w:pPr>
        <w:pStyle w:val="hp"/>
        <w:ind w:firstLine="480"/>
      </w:pPr>
      <w:r>
        <w:lastRenderedPageBreak/>
        <w:t>（五）</w:t>
      </w:r>
      <w:r>
        <w:rPr>
          <w:spacing w:val="-2"/>
        </w:rPr>
        <w:t>破坏野生动物栖息地和迁徙通道、鱼类洄游通道，滥采滥捕野生动植物；</w:t>
      </w:r>
    </w:p>
    <w:p w:rsidR="00C223F5" w:rsidRDefault="005860D5" w:rsidP="00C006A7">
      <w:pPr>
        <w:pStyle w:val="hp"/>
        <w:ind w:firstLine="480"/>
      </w:pPr>
      <w:r>
        <w:t>（六）引进外来物种；</w:t>
      </w:r>
    </w:p>
    <w:p w:rsidR="00C223F5" w:rsidRDefault="005860D5" w:rsidP="00C006A7">
      <w:pPr>
        <w:pStyle w:val="hp"/>
        <w:ind w:firstLine="480"/>
      </w:pPr>
      <w:r>
        <w:t>（七）擅自放牧、捕捞、取土、取水、排污、放生；</w:t>
      </w:r>
    </w:p>
    <w:p w:rsidR="00C223F5" w:rsidRDefault="005860D5" w:rsidP="00C006A7">
      <w:pPr>
        <w:pStyle w:val="hp"/>
        <w:ind w:firstLine="480"/>
      </w:pPr>
      <w:r>
        <w:t>（八）其他破坏湿地及其生态功能的活动。</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306" w:name="_Toc16785278"/>
      <w:r>
        <w:rPr>
          <w:rFonts w:eastAsia="宋体" w:hint="eastAsia"/>
          <w:b/>
          <w:bCs w:val="0"/>
          <w:sz w:val="28"/>
          <w:szCs w:val="28"/>
        </w:rPr>
        <w:t>3</w:t>
      </w:r>
      <w:r>
        <w:rPr>
          <w:rFonts w:eastAsia="宋体"/>
          <w:b/>
          <w:bCs w:val="0"/>
          <w:sz w:val="28"/>
          <w:szCs w:val="28"/>
        </w:rPr>
        <w:t>.</w:t>
      </w:r>
      <w:r>
        <w:rPr>
          <w:rFonts w:eastAsia="宋体" w:hint="eastAsia"/>
          <w:b/>
          <w:bCs w:val="0"/>
          <w:sz w:val="28"/>
          <w:szCs w:val="28"/>
        </w:rPr>
        <w:t>2.2</w:t>
      </w:r>
      <w:r>
        <w:rPr>
          <w:rFonts w:eastAsia="宋体" w:hint="eastAsia"/>
          <w:b/>
          <w:bCs w:val="0"/>
          <w:sz w:val="28"/>
          <w:szCs w:val="28"/>
        </w:rPr>
        <w:t>文物保护单位</w:t>
      </w:r>
      <w:bookmarkEnd w:id="306"/>
    </w:p>
    <w:p w:rsidR="00C223F5" w:rsidRDefault="005860D5">
      <w:pPr>
        <w:pStyle w:val="hp"/>
        <w:ind w:firstLine="480"/>
      </w:pPr>
      <w:r>
        <w:rPr>
          <w:rFonts w:hint="eastAsia"/>
        </w:rPr>
        <w:t>本项目井田范围内涉及到的</w:t>
      </w:r>
      <w:r>
        <w:t>文物保护</w:t>
      </w:r>
      <w:r>
        <w:rPr>
          <w:rFonts w:hint="eastAsia"/>
        </w:rPr>
        <w:t>单位</w:t>
      </w:r>
      <w:r>
        <w:t>见表</w:t>
      </w:r>
      <w:r>
        <w:t>3.</w:t>
      </w:r>
      <w:r>
        <w:rPr>
          <w:rFonts w:hint="eastAsia"/>
        </w:rPr>
        <w:t>2</w:t>
      </w:r>
      <w:r>
        <w:t>.</w:t>
      </w:r>
      <w:r>
        <w:rPr>
          <w:rFonts w:hint="eastAsia"/>
        </w:rPr>
        <w:t>2-</w:t>
      </w:r>
      <w:r>
        <w:t>1</w:t>
      </w:r>
      <w:r>
        <w:t>，其分布见图</w:t>
      </w:r>
      <w:r>
        <w:t>1.</w:t>
      </w:r>
      <w:r>
        <w:rPr>
          <w:rFonts w:hint="eastAsia"/>
        </w:rPr>
        <w:t>6</w:t>
      </w:r>
      <w:r>
        <w:t>-1</w:t>
      </w:r>
      <w:r>
        <w:t>。</w:t>
      </w:r>
    </w:p>
    <w:p w:rsidR="00C223F5" w:rsidRDefault="005860D5">
      <w:pPr>
        <w:jc w:val="center"/>
        <w:rPr>
          <w:b/>
          <w:sz w:val="24"/>
        </w:rPr>
      </w:pPr>
      <w:r>
        <w:rPr>
          <w:b/>
          <w:sz w:val="24"/>
        </w:rPr>
        <w:t>表</w:t>
      </w:r>
      <w:r>
        <w:rPr>
          <w:b/>
          <w:sz w:val="24"/>
        </w:rPr>
        <w:t>3.</w:t>
      </w:r>
      <w:r>
        <w:rPr>
          <w:rFonts w:hint="eastAsia"/>
          <w:b/>
          <w:sz w:val="24"/>
        </w:rPr>
        <w:t>2</w:t>
      </w:r>
      <w:r>
        <w:rPr>
          <w:b/>
          <w:sz w:val="24"/>
        </w:rPr>
        <w:t>.</w:t>
      </w:r>
      <w:r>
        <w:rPr>
          <w:rFonts w:hint="eastAsia"/>
          <w:b/>
          <w:sz w:val="24"/>
        </w:rPr>
        <w:t>2-</w:t>
      </w:r>
      <w:r>
        <w:rPr>
          <w:b/>
          <w:sz w:val="24"/>
        </w:rPr>
        <w:t xml:space="preserve">1    </w:t>
      </w:r>
      <w:r>
        <w:rPr>
          <w:rFonts w:hint="eastAsia"/>
          <w:b/>
          <w:sz w:val="24"/>
        </w:rPr>
        <w:t>井田范围内</w:t>
      </w:r>
      <w:r>
        <w:rPr>
          <w:b/>
          <w:sz w:val="24"/>
        </w:rPr>
        <w:t>文物保护单位一览表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2"/>
        <w:gridCol w:w="960"/>
        <w:gridCol w:w="607"/>
        <w:gridCol w:w="1225"/>
        <w:gridCol w:w="1786"/>
        <w:gridCol w:w="2276"/>
        <w:gridCol w:w="1924"/>
      </w:tblGrid>
      <w:tr w:rsidR="00C223F5">
        <w:trPr>
          <w:jc w:val="center"/>
        </w:trPr>
        <w:tc>
          <w:tcPr>
            <w:tcW w:w="282" w:type="dxa"/>
            <w:shd w:val="clear" w:color="auto" w:fill="auto"/>
            <w:vAlign w:val="center"/>
          </w:tcPr>
          <w:p w:rsidR="00C223F5" w:rsidRDefault="005860D5">
            <w:pPr>
              <w:jc w:val="center"/>
              <w:rPr>
                <w:rFonts w:eastAsiaTheme="minorEastAsia"/>
                <w:szCs w:val="21"/>
              </w:rPr>
            </w:pPr>
            <w:r>
              <w:rPr>
                <w:rFonts w:eastAsiaTheme="minorEastAsia" w:hAnsiTheme="minorEastAsia"/>
                <w:szCs w:val="21"/>
              </w:rPr>
              <w:t>序号</w:t>
            </w:r>
          </w:p>
        </w:tc>
        <w:tc>
          <w:tcPr>
            <w:tcW w:w="960" w:type="dxa"/>
            <w:shd w:val="clear" w:color="auto" w:fill="auto"/>
            <w:vAlign w:val="center"/>
          </w:tcPr>
          <w:p w:rsidR="00C223F5" w:rsidRDefault="005860D5">
            <w:pPr>
              <w:jc w:val="center"/>
              <w:rPr>
                <w:rFonts w:eastAsiaTheme="minorEastAsia" w:hAnsiTheme="minorEastAsia"/>
                <w:szCs w:val="21"/>
              </w:rPr>
            </w:pPr>
            <w:r>
              <w:rPr>
                <w:rFonts w:eastAsiaTheme="minorEastAsia" w:hAnsiTheme="minorEastAsia"/>
                <w:szCs w:val="21"/>
              </w:rPr>
              <w:t>文物</w:t>
            </w:r>
          </w:p>
          <w:p w:rsidR="00C223F5" w:rsidRDefault="005860D5">
            <w:pPr>
              <w:jc w:val="center"/>
              <w:rPr>
                <w:rFonts w:eastAsiaTheme="minorEastAsia"/>
                <w:szCs w:val="21"/>
              </w:rPr>
            </w:pPr>
            <w:r>
              <w:rPr>
                <w:rFonts w:eastAsiaTheme="minorEastAsia" w:hAnsiTheme="minorEastAsia"/>
                <w:szCs w:val="21"/>
              </w:rPr>
              <w:t>名称</w:t>
            </w:r>
          </w:p>
        </w:tc>
        <w:tc>
          <w:tcPr>
            <w:tcW w:w="607" w:type="dxa"/>
            <w:shd w:val="clear" w:color="auto" w:fill="auto"/>
            <w:vAlign w:val="center"/>
          </w:tcPr>
          <w:p w:rsidR="00C223F5" w:rsidRDefault="005860D5">
            <w:pPr>
              <w:jc w:val="center"/>
              <w:rPr>
                <w:rFonts w:eastAsiaTheme="minorEastAsia"/>
                <w:szCs w:val="21"/>
              </w:rPr>
            </w:pPr>
            <w:r>
              <w:rPr>
                <w:rFonts w:eastAsiaTheme="minorEastAsia" w:hAnsiTheme="minorEastAsia"/>
                <w:szCs w:val="21"/>
              </w:rPr>
              <w:t>文物等级</w:t>
            </w:r>
          </w:p>
        </w:tc>
        <w:tc>
          <w:tcPr>
            <w:tcW w:w="1225" w:type="dxa"/>
            <w:shd w:val="clear" w:color="auto" w:fill="auto"/>
            <w:vAlign w:val="center"/>
          </w:tcPr>
          <w:p w:rsidR="00C223F5" w:rsidRDefault="005860D5">
            <w:pPr>
              <w:jc w:val="center"/>
              <w:rPr>
                <w:rFonts w:eastAsiaTheme="minorEastAsia"/>
                <w:szCs w:val="21"/>
              </w:rPr>
            </w:pPr>
            <w:r>
              <w:rPr>
                <w:rFonts w:eastAsiaTheme="minorEastAsia" w:hAnsiTheme="minorEastAsia"/>
                <w:szCs w:val="21"/>
              </w:rPr>
              <w:t>地理位置</w:t>
            </w:r>
          </w:p>
        </w:tc>
        <w:tc>
          <w:tcPr>
            <w:tcW w:w="1786" w:type="dxa"/>
            <w:shd w:val="clear" w:color="auto" w:fill="auto"/>
            <w:vAlign w:val="center"/>
          </w:tcPr>
          <w:p w:rsidR="00C223F5" w:rsidRDefault="005860D5">
            <w:pPr>
              <w:jc w:val="center"/>
              <w:rPr>
                <w:rFonts w:eastAsiaTheme="minorEastAsia"/>
                <w:szCs w:val="21"/>
              </w:rPr>
            </w:pPr>
            <w:r>
              <w:rPr>
                <w:rFonts w:eastAsiaTheme="minorEastAsia" w:hAnsiTheme="minorEastAsia" w:hint="eastAsia"/>
                <w:szCs w:val="21"/>
              </w:rPr>
              <w:t>井田内</w:t>
            </w:r>
            <w:r>
              <w:rPr>
                <w:rFonts w:eastAsiaTheme="minorEastAsia" w:hAnsiTheme="minorEastAsia"/>
                <w:szCs w:val="21"/>
              </w:rPr>
              <w:t>分布</w:t>
            </w:r>
          </w:p>
        </w:tc>
        <w:tc>
          <w:tcPr>
            <w:tcW w:w="2276" w:type="dxa"/>
            <w:shd w:val="clear" w:color="auto" w:fill="auto"/>
            <w:vAlign w:val="center"/>
          </w:tcPr>
          <w:p w:rsidR="00C223F5" w:rsidRDefault="005860D5">
            <w:pPr>
              <w:jc w:val="center"/>
              <w:rPr>
                <w:rFonts w:eastAsiaTheme="minorEastAsia" w:hAnsiTheme="minorEastAsia"/>
                <w:szCs w:val="21"/>
              </w:rPr>
            </w:pPr>
            <w:r>
              <w:rPr>
                <w:rFonts w:eastAsiaTheme="minorEastAsia" w:hAnsiTheme="minorEastAsia"/>
                <w:szCs w:val="21"/>
              </w:rPr>
              <w:t>保护范围及</w:t>
            </w:r>
          </w:p>
          <w:p w:rsidR="00C223F5" w:rsidRDefault="005860D5">
            <w:pPr>
              <w:jc w:val="center"/>
              <w:rPr>
                <w:rFonts w:eastAsiaTheme="minorEastAsia"/>
                <w:szCs w:val="21"/>
              </w:rPr>
            </w:pPr>
            <w:r>
              <w:rPr>
                <w:rFonts w:eastAsiaTheme="minorEastAsia" w:hAnsiTheme="minorEastAsia"/>
                <w:szCs w:val="21"/>
              </w:rPr>
              <w:t>建设控制地带</w:t>
            </w:r>
          </w:p>
        </w:tc>
        <w:tc>
          <w:tcPr>
            <w:tcW w:w="1924" w:type="dxa"/>
            <w:vAlign w:val="center"/>
          </w:tcPr>
          <w:p w:rsidR="00C223F5" w:rsidRDefault="005860D5">
            <w:pPr>
              <w:jc w:val="center"/>
              <w:rPr>
                <w:rFonts w:eastAsiaTheme="minorEastAsia"/>
                <w:szCs w:val="21"/>
              </w:rPr>
            </w:pPr>
            <w:r>
              <w:rPr>
                <w:rFonts w:eastAsiaTheme="minorEastAsia" w:hAnsiTheme="minorEastAsia"/>
                <w:szCs w:val="21"/>
              </w:rPr>
              <w:t>基本情况</w:t>
            </w:r>
          </w:p>
        </w:tc>
      </w:tr>
      <w:tr w:rsidR="00C223F5" w:rsidTr="009D40C2">
        <w:trPr>
          <w:trHeight w:val="906"/>
          <w:jc w:val="center"/>
        </w:trPr>
        <w:tc>
          <w:tcPr>
            <w:tcW w:w="282" w:type="dxa"/>
            <w:shd w:val="clear" w:color="auto" w:fill="auto"/>
            <w:vAlign w:val="center"/>
          </w:tcPr>
          <w:p w:rsidR="00C223F5" w:rsidRDefault="005860D5">
            <w:pPr>
              <w:jc w:val="center"/>
              <w:rPr>
                <w:rFonts w:eastAsiaTheme="minorEastAsia"/>
                <w:szCs w:val="21"/>
              </w:rPr>
            </w:pPr>
            <w:r>
              <w:rPr>
                <w:rFonts w:eastAsiaTheme="minorEastAsia"/>
                <w:szCs w:val="21"/>
              </w:rPr>
              <w:t>1</w:t>
            </w:r>
          </w:p>
        </w:tc>
        <w:tc>
          <w:tcPr>
            <w:tcW w:w="960" w:type="dxa"/>
            <w:shd w:val="clear" w:color="auto" w:fill="auto"/>
            <w:vAlign w:val="center"/>
          </w:tcPr>
          <w:p w:rsidR="00C223F5" w:rsidRDefault="005860D5">
            <w:pPr>
              <w:widowControl/>
              <w:jc w:val="center"/>
              <w:rPr>
                <w:rFonts w:eastAsiaTheme="minorEastAsia" w:hAnsiTheme="minorEastAsia"/>
                <w:color w:val="000000"/>
                <w:kern w:val="0"/>
                <w:szCs w:val="21"/>
              </w:rPr>
            </w:pPr>
            <w:r>
              <w:rPr>
                <w:rFonts w:eastAsiaTheme="minorEastAsia" w:hAnsiTheme="minorEastAsia"/>
                <w:color w:val="000000"/>
                <w:kern w:val="0"/>
                <w:szCs w:val="21"/>
              </w:rPr>
              <w:t>副玉帝</w:t>
            </w:r>
          </w:p>
          <w:p w:rsidR="00C223F5" w:rsidRDefault="005860D5">
            <w:pPr>
              <w:widowControl/>
              <w:jc w:val="center"/>
              <w:rPr>
                <w:rFonts w:eastAsiaTheme="minorEastAsia"/>
                <w:color w:val="000000"/>
                <w:kern w:val="0"/>
                <w:szCs w:val="21"/>
              </w:rPr>
            </w:pPr>
            <w:r>
              <w:rPr>
                <w:rFonts w:eastAsiaTheme="minorEastAsia" w:hAnsiTheme="minorEastAsia"/>
                <w:color w:val="000000"/>
                <w:kern w:val="0"/>
                <w:szCs w:val="21"/>
              </w:rPr>
              <w:t>老爷庙</w:t>
            </w:r>
          </w:p>
        </w:tc>
        <w:tc>
          <w:tcPr>
            <w:tcW w:w="607" w:type="dxa"/>
            <w:shd w:val="clear" w:color="auto" w:fill="auto"/>
            <w:vAlign w:val="center"/>
          </w:tcPr>
          <w:p w:rsidR="00C223F5" w:rsidRDefault="005860D5">
            <w:pPr>
              <w:widowControl/>
              <w:jc w:val="center"/>
              <w:rPr>
                <w:rFonts w:eastAsiaTheme="minorEastAsia"/>
                <w:color w:val="000000"/>
                <w:kern w:val="0"/>
                <w:szCs w:val="21"/>
              </w:rPr>
            </w:pPr>
            <w:r>
              <w:rPr>
                <w:rFonts w:eastAsiaTheme="minorEastAsia" w:hAnsiTheme="minorEastAsia"/>
                <w:color w:val="000000"/>
                <w:kern w:val="0"/>
                <w:szCs w:val="21"/>
              </w:rPr>
              <w:t>县级</w:t>
            </w:r>
          </w:p>
        </w:tc>
        <w:tc>
          <w:tcPr>
            <w:tcW w:w="1225" w:type="dxa"/>
            <w:shd w:val="clear" w:color="auto" w:fill="auto"/>
            <w:vAlign w:val="center"/>
          </w:tcPr>
          <w:p w:rsidR="00C223F5" w:rsidRDefault="005860D5">
            <w:pPr>
              <w:widowControl/>
              <w:jc w:val="center"/>
              <w:rPr>
                <w:rFonts w:eastAsiaTheme="minorEastAsia"/>
                <w:color w:val="000000"/>
                <w:kern w:val="0"/>
                <w:szCs w:val="21"/>
              </w:rPr>
            </w:pPr>
            <w:r>
              <w:rPr>
                <w:rFonts w:eastAsiaTheme="minorEastAsia" w:hAnsiTheme="minorEastAsia"/>
                <w:color w:val="000000"/>
                <w:kern w:val="0"/>
                <w:szCs w:val="21"/>
              </w:rPr>
              <w:t>横山县魏家楼镇王家峁村</w:t>
            </w:r>
          </w:p>
        </w:tc>
        <w:tc>
          <w:tcPr>
            <w:tcW w:w="1786" w:type="dxa"/>
            <w:shd w:val="clear" w:color="auto" w:fill="auto"/>
            <w:vAlign w:val="center"/>
          </w:tcPr>
          <w:p w:rsidR="00C223F5" w:rsidRDefault="005860D5">
            <w:pPr>
              <w:jc w:val="center"/>
              <w:rPr>
                <w:rFonts w:eastAsiaTheme="minorEastAsia"/>
                <w:szCs w:val="21"/>
              </w:rPr>
            </w:pPr>
            <w:r>
              <w:rPr>
                <w:rFonts w:eastAsiaTheme="minorEastAsia" w:hint="eastAsia"/>
                <w:szCs w:val="21"/>
              </w:rPr>
              <w:t>工业场地西南，蚂蚁河南岸，一盘区北边界外约</w:t>
            </w:r>
            <w:r>
              <w:rPr>
                <w:rFonts w:eastAsiaTheme="minorEastAsia" w:hint="eastAsia"/>
                <w:szCs w:val="21"/>
              </w:rPr>
              <w:t>270m</w:t>
            </w:r>
            <w:r>
              <w:rPr>
                <w:rFonts w:eastAsiaTheme="minorEastAsia" w:hint="eastAsia"/>
                <w:szCs w:val="21"/>
              </w:rPr>
              <w:t>处，</w:t>
            </w:r>
            <w:r>
              <w:rPr>
                <w:rFonts w:eastAsiaTheme="minorEastAsia" w:hint="eastAsia"/>
                <w:b/>
                <w:szCs w:val="21"/>
              </w:rPr>
              <w:t>不在本次开采范围内</w:t>
            </w:r>
          </w:p>
        </w:tc>
        <w:tc>
          <w:tcPr>
            <w:tcW w:w="2276" w:type="dxa"/>
            <w:shd w:val="clear" w:color="auto" w:fill="auto"/>
            <w:vAlign w:val="center"/>
          </w:tcPr>
          <w:p w:rsidR="00C223F5" w:rsidRDefault="005860D5">
            <w:pPr>
              <w:widowControl/>
              <w:jc w:val="center"/>
              <w:rPr>
                <w:rFonts w:eastAsiaTheme="minorEastAsia"/>
                <w:kern w:val="0"/>
                <w:szCs w:val="21"/>
              </w:rPr>
            </w:pPr>
            <w:r>
              <w:rPr>
                <w:rFonts w:eastAsiaTheme="minorEastAsia" w:hAnsiTheme="minorEastAsia"/>
                <w:kern w:val="0"/>
                <w:szCs w:val="21"/>
              </w:rPr>
              <w:t>南至会窑后</w:t>
            </w:r>
            <w:r>
              <w:rPr>
                <w:rFonts w:eastAsiaTheme="minorEastAsia"/>
                <w:kern w:val="0"/>
                <w:szCs w:val="21"/>
              </w:rPr>
              <w:t>3</w:t>
            </w:r>
            <w:r>
              <w:rPr>
                <w:rFonts w:eastAsiaTheme="minorEastAsia" w:hAnsiTheme="minorEastAsia"/>
                <w:kern w:val="0"/>
                <w:szCs w:val="21"/>
              </w:rPr>
              <w:t>米，北至老爷庙后</w:t>
            </w:r>
            <w:r>
              <w:rPr>
                <w:rFonts w:eastAsiaTheme="minorEastAsia"/>
                <w:kern w:val="0"/>
                <w:szCs w:val="21"/>
              </w:rPr>
              <w:t>20</w:t>
            </w:r>
            <w:r>
              <w:rPr>
                <w:rFonts w:eastAsiaTheme="minorEastAsia" w:hAnsiTheme="minorEastAsia"/>
                <w:kern w:val="0"/>
                <w:szCs w:val="21"/>
              </w:rPr>
              <w:t>米，东至戏台后</w:t>
            </w:r>
            <w:r>
              <w:rPr>
                <w:rFonts w:eastAsiaTheme="minorEastAsia"/>
                <w:kern w:val="0"/>
                <w:szCs w:val="21"/>
              </w:rPr>
              <w:t>3</w:t>
            </w:r>
            <w:r>
              <w:rPr>
                <w:rFonts w:eastAsiaTheme="minorEastAsia" w:hAnsiTheme="minorEastAsia"/>
                <w:kern w:val="0"/>
                <w:szCs w:val="21"/>
              </w:rPr>
              <w:t>米，北至河畔</w:t>
            </w:r>
          </w:p>
        </w:tc>
        <w:tc>
          <w:tcPr>
            <w:tcW w:w="1924" w:type="dxa"/>
            <w:vAlign w:val="center"/>
          </w:tcPr>
          <w:p w:rsidR="00C223F5" w:rsidRDefault="005860D5">
            <w:pPr>
              <w:jc w:val="center"/>
              <w:rPr>
                <w:rFonts w:eastAsiaTheme="minorEastAsia"/>
                <w:szCs w:val="21"/>
              </w:rPr>
            </w:pPr>
            <w:r>
              <w:rPr>
                <w:rFonts w:eastAsiaTheme="minorEastAsia" w:hAnsiTheme="minorEastAsia"/>
                <w:szCs w:val="21"/>
              </w:rPr>
              <w:t>始建于明</w:t>
            </w:r>
            <w:r>
              <w:rPr>
                <w:rFonts w:eastAsiaTheme="minorEastAsia"/>
                <w:szCs w:val="21"/>
              </w:rPr>
              <w:t>-</w:t>
            </w:r>
            <w:r>
              <w:rPr>
                <w:rFonts w:eastAsiaTheme="minorEastAsia" w:hAnsiTheme="minorEastAsia"/>
                <w:szCs w:val="21"/>
              </w:rPr>
              <w:t>清代，</w:t>
            </w:r>
            <w:r>
              <w:rPr>
                <w:rFonts w:eastAsiaTheme="minorEastAsia"/>
                <w:szCs w:val="21"/>
              </w:rPr>
              <w:t>2013</w:t>
            </w:r>
            <w:r>
              <w:rPr>
                <w:rFonts w:eastAsiaTheme="minorEastAsia" w:hAnsiTheme="minorEastAsia"/>
                <w:szCs w:val="21"/>
              </w:rPr>
              <w:t>年</w:t>
            </w:r>
            <w:r>
              <w:rPr>
                <w:rFonts w:eastAsiaTheme="minorEastAsia"/>
                <w:szCs w:val="21"/>
              </w:rPr>
              <w:t>2</w:t>
            </w:r>
            <w:r>
              <w:rPr>
                <w:rFonts w:eastAsiaTheme="minorEastAsia" w:hAnsiTheme="minorEastAsia"/>
                <w:szCs w:val="21"/>
              </w:rPr>
              <w:t>月</w:t>
            </w:r>
            <w:r>
              <w:rPr>
                <w:rFonts w:eastAsiaTheme="minorEastAsia"/>
                <w:szCs w:val="21"/>
              </w:rPr>
              <w:t>27</w:t>
            </w:r>
            <w:r>
              <w:rPr>
                <w:rFonts w:eastAsiaTheme="minorEastAsia" w:hAnsiTheme="minorEastAsia"/>
                <w:szCs w:val="21"/>
              </w:rPr>
              <w:t>日被横山县人民政府公布为县级物保护单位（横政发</w:t>
            </w:r>
            <w:r>
              <w:rPr>
                <w:rFonts w:eastAsiaTheme="minorEastAsia" w:hAnsiTheme="minorEastAsia" w:hint="eastAsia"/>
                <w:szCs w:val="21"/>
              </w:rPr>
              <w:t>[</w:t>
            </w:r>
            <w:r>
              <w:rPr>
                <w:rFonts w:eastAsiaTheme="minorEastAsia"/>
                <w:szCs w:val="21"/>
              </w:rPr>
              <w:t>2013</w:t>
            </w:r>
            <w:r>
              <w:rPr>
                <w:rFonts w:eastAsiaTheme="minorEastAsia" w:hAnsiTheme="minorEastAsia" w:hint="eastAsia"/>
                <w:szCs w:val="21"/>
              </w:rPr>
              <w:t>]</w:t>
            </w:r>
            <w:r>
              <w:rPr>
                <w:rFonts w:eastAsiaTheme="minorEastAsia"/>
                <w:szCs w:val="21"/>
              </w:rPr>
              <w:t>13</w:t>
            </w:r>
            <w:r>
              <w:rPr>
                <w:rFonts w:eastAsiaTheme="minorEastAsia" w:hAnsiTheme="minorEastAsia"/>
                <w:szCs w:val="21"/>
              </w:rPr>
              <w:t>号）</w:t>
            </w:r>
          </w:p>
        </w:tc>
      </w:tr>
      <w:tr w:rsidR="00C223F5" w:rsidTr="009D40C2">
        <w:trPr>
          <w:trHeight w:val="1128"/>
          <w:jc w:val="center"/>
        </w:trPr>
        <w:tc>
          <w:tcPr>
            <w:tcW w:w="282" w:type="dxa"/>
            <w:shd w:val="clear" w:color="auto" w:fill="auto"/>
            <w:vAlign w:val="center"/>
          </w:tcPr>
          <w:p w:rsidR="00C223F5" w:rsidRDefault="005860D5">
            <w:pPr>
              <w:jc w:val="center"/>
              <w:rPr>
                <w:rFonts w:eastAsiaTheme="minorEastAsia"/>
                <w:szCs w:val="21"/>
              </w:rPr>
            </w:pPr>
            <w:r>
              <w:rPr>
                <w:rFonts w:eastAsiaTheme="minorEastAsia"/>
                <w:szCs w:val="21"/>
              </w:rPr>
              <w:t>2</w:t>
            </w:r>
          </w:p>
        </w:tc>
        <w:tc>
          <w:tcPr>
            <w:tcW w:w="960" w:type="dxa"/>
            <w:shd w:val="clear" w:color="auto" w:fill="auto"/>
            <w:vAlign w:val="center"/>
          </w:tcPr>
          <w:p w:rsidR="00C223F5" w:rsidRDefault="005860D5">
            <w:pPr>
              <w:widowControl/>
              <w:jc w:val="center"/>
              <w:rPr>
                <w:rFonts w:eastAsiaTheme="minorEastAsia"/>
                <w:color w:val="000000"/>
                <w:kern w:val="0"/>
                <w:szCs w:val="21"/>
              </w:rPr>
            </w:pPr>
            <w:r>
              <w:rPr>
                <w:rFonts w:eastAsiaTheme="minorEastAsia" w:hAnsiTheme="minorEastAsia"/>
                <w:color w:val="000000"/>
                <w:kern w:val="0"/>
                <w:szCs w:val="21"/>
              </w:rPr>
              <w:t>九龙山庙</w:t>
            </w:r>
          </w:p>
        </w:tc>
        <w:tc>
          <w:tcPr>
            <w:tcW w:w="607" w:type="dxa"/>
            <w:shd w:val="clear" w:color="auto" w:fill="auto"/>
            <w:vAlign w:val="center"/>
          </w:tcPr>
          <w:p w:rsidR="00C223F5" w:rsidRDefault="005860D5">
            <w:pPr>
              <w:widowControl/>
              <w:jc w:val="center"/>
              <w:rPr>
                <w:rFonts w:eastAsiaTheme="minorEastAsia"/>
                <w:color w:val="000000"/>
                <w:kern w:val="0"/>
                <w:szCs w:val="21"/>
              </w:rPr>
            </w:pPr>
            <w:r>
              <w:rPr>
                <w:rFonts w:eastAsiaTheme="minorEastAsia" w:hAnsiTheme="minorEastAsia"/>
                <w:color w:val="000000"/>
                <w:kern w:val="0"/>
                <w:szCs w:val="21"/>
              </w:rPr>
              <w:t>县级</w:t>
            </w:r>
          </w:p>
        </w:tc>
        <w:tc>
          <w:tcPr>
            <w:tcW w:w="1225" w:type="dxa"/>
            <w:shd w:val="clear" w:color="auto" w:fill="auto"/>
            <w:vAlign w:val="center"/>
          </w:tcPr>
          <w:p w:rsidR="00C223F5" w:rsidRDefault="005860D5">
            <w:pPr>
              <w:widowControl/>
              <w:jc w:val="center"/>
              <w:rPr>
                <w:rFonts w:eastAsiaTheme="minorEastAsia" w:hAnsiTheme="minorEastAsia"/>
                <w:color w:val="000000"/>
                <w:kern w:val="0"/>
                <w:szCs w:val="21"/>
              </w:rPr>
            </w:pPr>
            <w:r>
              <w:rPr>
                <w:rFonts w:eastAsiaTheme="minorEastAsia" w:hAnsiTheme="minorEastAsia"/>
                <w:color w:val="000000"/>
                <w:kern w:val="0"/>
                <w:szCs w:val="21"/>
              </w:rPr>
              <w:t>横山县石湾镇</w:t>
            </w:r>
          </w:p>
          <w:p w:rsidR="00C223F5" w:rsidRDefault="005860D5">
            <w:pPr>
              <w:widowControl/>
              <w:jc w:val="center"/>
              <w:rPr>
                <w:rFonts w:eastAsiaTheme="minorEastAsia"/>
                <w:color w:val="000000"/>
                <w:kern w:val="0"/>
                <w:szCs w:val="21"/>
              </w:rPr>
            </w:pPr>
            <w:r>
              <w:rPr>
                <w:rFonts w:eastAsiaTheme="minorEastAsia" w:hAnsiTheme="minorEastAsia"/>
                <w:color w:val="000000"/>
                <w:kern w:val="0"/>
                <w:szCs w:val="21"/>
              </w:rPr>
              <w:t>清水沟村</w:t>
            </w:r>
          </w:p>
        </w:tc>
        <w:tc>
          <w:tcPr>
            <w:tcW w:w="1786" w:type="dxa"/>
            <w:shd w:val="clear" w:color="auto" w:fill="auto"/>
            <w:vAlign w:val="center"/>
          </w:tcPr>
          <w:p w:rsidR="00C223F5" w:rsidRDefault="005860D5">
            <w:pPr>
              <w:jc w:val="center"/>
              <w:rPr>
                <w:rFonts w:eastAsiaTheme="minorEastAsia"/>
                <w:szCs w:val="21"/>
              </w:rPr>
            </w:pPr>
            <w:r>
              <w:rPr>
                <w:rFonts w:eastAsiaTheme="minorEastAsia" w:hint="eastAsia"/>
                <w:szCs w:val="21"/>
              </w:rPr>
              <w:t>井田中南部边界，距六盘区东南侧开采边界约</w:t>
            </w:r>
            <w:r>
              <w:rPr>
                <w:rFonts w:eastAsiaTheme="minorEastAsia" w:hint="eastAsia"/>
                <w:szCs w:val="21"/>
              </w:rPr>
              <w:t>120m</w:t>
            </w:r>
            <w:r>
              <w:rPr>
                <w:rFonts w:eastAsiaTheme="minorEastAsia" w:hint="eastAsia"/>
                <w:szCs w:val="21"/>
              </w:rPr>
              <w:t>，</w:t>
            </w:r>
            <w:r>
              <w:rPr>
                <w:rFonts w:eastAsiaTheme="minorEastAsia" w:hint="eastAsia"/>
                <w:b/>
                <w:szCs w:val="21"/>
              </w:rPr>
              <w:t>留设保护煤柱</w:t>
            </w:r>
          </w:p>
        </w:tc>
        <w:tc>
          <w:tcPr>
            <w:tcW w:w="2276" w:type="dxa"/>
            <w:shd w:val="clear" w:color="auto" w:fill="auto"/>
            <w:vAlign w:val="center"/>
          </w:tcPr>
          <w:p w:rsidR="00C223F5" w:rsidRDefault="005860D5">
            <w:pPr>
              <w:widowControl/>
              <w:jc w:val="center"/>
              <w:rPr>
                <w:rFonts w:eastAsiaTheme="minorEastAsia"/>
                <w:kern w:val="0"/>
                <w:szCs w:val="21"/>
              </w:rPr>
            </w:pPr>
            <w:r>
              <w:rPr>
                <w:rFonts w:eastAsiaTheme="minorEastAsia" w:hAnsiTheme="minorEastAsia"/>
                <w:kern w:val="0"/>
                <w:szCs w:val="21"/>
              </w:rPr>
              <w:t>环山外延</w:t>
            </w:r>
            <w:r>
              <w:rPr>
                <w:rFonts w:eastAsiaTheme="minorEastAsia"/>
                <w:kern w:val="0"/>
                <w:szCs w:val="21"/>
              </w:rPr>
              <w:t>60</w:t>
            </w:r>
            <w:r>
              <w:rPr>
                <w:rFonts w:eastAsiaTheme="minorEastAsia" w:hAnsiTheme="minorEastAsia"/>
                <w:kern w:val="0"/>
                <w:szCs w:val="21"/>
              </w:rPr>
              <w:t>米</w:t>
            </w:r>
          </w:p>
        </w:tc>
        <w:tc>
          <w:tcPr>
            <w:tcW w:w="1924" w:type="dxa"/>
            <w:vAlign w:val="center"/>
          </w:tcPr>
          <w:p w:rsidR="00C223F5" w:rsidRDefault="005860D5">
            <w:pPr>
              <w:jc w:val="center"/>
              <w:rPr>
                <w:rFonts w:eastAsiaTheme="minorEastAsia"/>
                <w:szCs w:val="21"/>
              </w:rPr>
            </w:pPr>
            <w:r>
              <w:rPr>
                <w:rFonts w:eastAsiaTheme="minorEastAsia" w:hAnsiTheme="minorEastAsia"/>
                <w:szCs w:val="21"/>
              </w:rPr>
              <w:t>始建于明代，</w:t>
            </w:r>
            <w:r>
              <w:rPr>
                <w:rFonts w:eastAsiaTheme="minorEastAsia"/>
                <w:szCs w:val="21"/>
              </w:rPr>
              <w:t>2013</w:t>
            </w:r>
            <w:r>
              <w:rPr>
                <w:rFonts w:eastAsiaTheme="minorEastAsia" w:hAnsiTheme="minorEastAsia"/>
                <w:szCs w:val="21"/>
              </w:rPr>
              <w:t>年</w:t>
            </w:r>
            <w:r>
              <w:rPr>
                <w:rFonts w:eastAsiaTheme="minorEastAsia"/>
                <w:szCs w:val="21"/>
              </w:rPr>
              <w:t>2</w:t>
            </w:r>
            <w:r>
              <w:rPr>
                <w:rFonts w:eastAsiaTheme="minorEastAsia" w:hAnsiTheme="minorEastAsia"/>
                <w:szCs w:val="21"/>
              </w:rPr>
              <w:t>月</w:t>
            </w:r>
            <w:r>
              <w:rPr>
                <w:rFonts w:eastAsiaTheme="minorEastAsia"/>
                <w:szCs w:val="21"/>
              </w:rPr>
              <w:t>27</w:t>
            </w:r>
            <w:r>
              <w:rPr>
                <w:rFonts w:eastAsiaTheme="minorEastAsia" w:hAnsiTheme="minorEastAsia"/>
                <w:szCs w:val="21"/>
              </w:rPr>
              <w:t>日被横山县人民政府公布为县级物保护单位（横政发</w:t>
            </w:r>
            <w:r>
              <w:rPr>
                <w:rFonts w:eastAsiaTheme="minorEastAsia" w:hAnsiTheme="minorEastAsia" w:hint="eastAsia"/>
                <w:szCs w:val="21"/>
              </w:rPr>
              <w:t>[</w:t>
            </w:r>
            <w:r>
              <w:rPr>
                <w:rFonts w:eastAsiaTheme="minorEastAsia"/>
                <w:szCs w:val="21"/>
              </w:rPr>
              <w:t>2013</w:t>
            </w:r>
            <w:r>
              <w:rPr>
                <w:rFonts w:eastAsiaTheme="minorEastAsia" w:hAnsiTheme="minorEastAsia" w:hint="eastAsia"/>
                <w:szCs w:val="21"/>
              </w:rPr>
              <w:t>]</w:t>
            </w:r>
            <w:r>
              <w:rPr>
                <w:rFonts w:eastAsiaTheme="minorEastAsia"/>
                <w:szCs w:val="21"/>
              </w:rPr>
              <w:t>13</w:t>
            </w:r>
            <w:r>
              <w:rPr>
                <w:rFonts w:eastAsiaTheme="minorEastAsia" w:hAnsiTheme="minorEastAsia"/>
                <w:szCs w:val="21"/>
              </w:rPr>
              <w:t>号）</w:t>
            </w:r>
          </w:p>
        </w:tc>
      </w:tr>
    </w:tbl>
    <w:p w:rsidR="009D40C2" w:rsidRDefault="009D40C2" w:rsidP="009D40C2">
      <w:pPr>
        <w:pStyle w:val="3"/>
        <w:numPr>
          <w:ilvl w:val="0"/>
          <w:numId w:val="0"/>
        </w:numPr>
        <w:spacing w:beforeLines="50" w:before="120" w:after="0" w:line="360" w:lineRule="auto"/>
        <w:ind w:left="170"/>
        <w:rPr>
          <w:rFonts w:eastAsia="宋体"/>
          <w:b/>
          <w:bCs w:val="0"/>
          <w:sz w:val="28"/>
          <w:szCs w:val="28"/>
        </w:rPr>
      </w:pPr>
      <w:bookmarkStart w:id="307" w:name="_Toc504658519"/>
      <w:bookmarkStart w:id="308" w:name="_Toc525047840"/>
      <w:bookmarkStart w:id="309" w:name="_Toc16785279"/>
      <w:r>
        <w:rPr>
          <w:rFonts w:eastAsia="宋体" w:hint="eastAsia"/>
          <w:b/>
          <w:bCs w:val="0"/>
          <w:sz w:val="28"/>
          <w:szCs w:val="28"/>
        </w:rPr>
        <w:t>3</w:t>
      </w:r>
      <w:r>
        <w:rPr>
          <w:rFonts w:eastAsia="宋体"/>
          <w:b/>
          <w:bCs w:val="0"/>
          <w:sz w:val="28"/>
          <w:szCs w:val="28"/>
        </w:rPr>
        <w:t>.</w:t>
      </w:r>
      <w:bookmarkEnd w:id="307"/>
      <w:r>
        <w:rPr>
          <w:rFonts w:eastAsia="宋体" w:hint="eastAsia"/>
          <w:b/>
          <w:bCs w:val="0"/>
          <w:sz w:val="28"/>
          <w:szCs w:val="28"/>
        </w:rPr>
        <w:t>2.3</w:t>
      </w:r>
      <w:r>
        <w:rPr>
          <w:rFonts w:eastAsia="宋体" w:hint="eastAsia"/>
          <w:b/>
          <w:bCs w:val="0"/>
          <w:sz w:val="28"/>
          <w:szCs w:val="28"/>
        </w:rPr>
        <w:t>重要基础设施</w:t>
      </w:r>
      <w:bookmarkEnd w:id="308"/>
      <w:r>
        <w:rPr>
          <w:rFonts w:eastAsia="宋体" w:hint="eastAsia"/>
          <w:b/>
          <w:bCs w:val="0"/>
          <w:sz w:val="28"/>
          <w:szCs w:val="28"/>
        </w:rPr>
        <w:t>及工业企业</w:t>
      </w:r>
      <w:bookmarkEnd w:id="309"/>
    </w:p>
    <w:p w:rsidR="009D40C2" w:rsidRDefault="009D40C2" w:rsidP="009D40C2">
      <w:pPr>
        <w:pStyle w:val="hp"/>
        <w:ind w:firstLine="480"/>
        <w:rPr>
          <w:b/>
        </w:rPr>
      </w:pPr>
      <w:r>
        <w:rPr>
          <w:rFonts w:hint="eastAsia"/>
        </w:rPr>
        <w:t>根据现场踏勘及调查，井田范围内重要基础设施主要有青银高速（</w:t>
      </w:r>
      <w:r>
        <w:rPr>
          <w:rFonts w:hint="eastAsia"/>
        </w:rPr>
        <w:t>G20</w:t>
      </w:r>
      <w:r>
        <w:rPr>
          <w:rFonts w:hint="eastAsia"/>
        </w:rPr>
        <w:t>）、国道</w:t>
      </w:r>
      <w:r>
        <w:rPr>
          <w:rFonts w:hint="eastAsia"/>
        </w:rPr>
        <w:t>G307</w:t>
      </w:r>
      <w:r>
        <w:rPr>
          <w:rFonts w:hint="eastAsia"/>
        </w:rPr>
        <w:t>、太（原）中（卫）银（川）铁路、</w:t>
      </w:r>
      <w:r>
        <w:rPr>
          <w:rFonts w:hint="eastAsia"/>
        </w:rPr>
        <w:t>750kV</w:t>
      </w:r>
      <w:r>
        <w:rPr>
          <w:rFonts w:hint="eastAsia"/>
        </w:rPr>
        <w:t>洛横高压线、延长石油油井及脱水站等，详见表</w:t>
      </w:r>
      <w:r>
        <w:rPr>
          <w:rFonts w:hint="eastAsia"/>
        </w:rPr>
        <w:t>3.2.3-1</w:t>
      </w:r>
      <w:r>
        <w:rPr>
          <w:rFonts w:hint="eastAsia"/>
        </w:rPr>
        <w:t>。</w:t>
      </w:r>
    </w:p>
    <w:p w:rsidR="00C223F5" w:rsidRDefault="005860D5">
      <w:pPr>
        <w:jc w:val="center"/>
        <w:rPr>
          <w:b/>
          <w:sz w:val="24"/>
        </w:rPr>
      </w:pPr>
      <w:r>
        <w:rPr>
          <w:rFonts w:hint="eastAsia"/>
          <w:b/>
          <w:sz w:val="24"/>
        </w:rPr>
        <w:t>表</w:t>
      </w:r>
      <w:r>
        <w:rPr>
          <w:rFonts w:hint="eastAsia"/>
          <w:b/>
          <w:sz w:val="24"/>
        </w:rPr>
        <w:t xml:space="preserve">3.2.3-1    </w:t>
      </w:r>
      <w:r>
        <w:rPr>
          <w:rFonts w:hint="eastAsia"/>
          <w:b/>
          <w:sz w:val="24"/>
        </w:rPr>
        <w:t>井田周边重要基础设施</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0"/>
        <w:gridCol w:w="3960"/>
        <w:gridCol w:w="2226"/>
      </w:tblGrid>
      <w:tr w:rsidR="00C223F5">
        <w:trPr>
          <w:trHeight w:val="378"/>
          <w:jc w:val="center"/>
        </w:trPr>
        <w:tc>
          <w:tcPr>
            <w:tcW w:w="1809" w:type="dxa"/>
            <w:vAlign w:val="center"/>
          </w:tcPr>
          <w:p w:rsidR="00C223F5" w:rsidRDefault="005860D5">
            <w:pPr>
              <w:jc w:val="center"/>
              <w:rPr>
                <w:b/>
                <w:szCs w:val="21"/>
              </w:rPr>
            </w:pPr>
            <w:r>
              <w:rPr>
                <w:rFonts w:hint="eastAsia"/>
                <w:b/>
                <w:szCs w:val="21"/>
              </w:rPr>
              <w:t>设施名称</w:t>
            </w:r>
          </w:p>
        </w:tc>
        <w:tc>
          <w:tcPr>
            <w:tcW w:w="1130" w:type="dxa"/>
            <w:vAlign w:val="center"/>
          </w:tcPr>
          <w:p w:rsidR="00C223F5" w:rsidRDefault="005860D5">
            <w:pPr>
              <w:jc w:val="center"/>
              <w:rPr>
                <w:b/>
                <w:szCs w:val="21"/>
              </w:rPr>
            </w:pPr>
            <w:r>
              <w:rPr>
                <w:rFonts w:hint="eastAsia"/>
                <w:b/>
                <w:szCs w:val="21"/>
              </w:rPr>
              <w:t>等级</w:t>
            </w:r>
          </w:p>
        </w:tc>
        <w:tc>
          <w:tcPr>
            <w:tcW w:w="3960" w:type="dxa"/>
            <w:vAlign w:val="center"/>
          </w:tcPr>
          <w:p w:rsidR="00C223F5" w:rsidRDefault="005860D5">
            <w:pPr>
              <w:jc w:val="center"/>
              <w:rPr>
                <w:b/>
                <w:szCs w:val="21"/>
              </w:rPr>
            </w:pPr>
            <w:r>
              <w:rPr>
                <w:rFonts w:hint="eastAsia"/>
                <w:b/>
                <w:szCs w:val="21"/>
              </w:rPr>
              <w:t>与矿井的位置关系</w:t>
            </w:r>
          </w:p>
        </w:tc>
        <w:tc>
          <w:tcPr>
            <w:tcW w:w="2226" w:type="dxa"/>
            <w:vAlign w:val="center"/>
          </w:tcPr>
          <w:p w:rsidR="00C223F5" w:rsidRDefault="005860D5">
            <w:pPr>
              <w:jc w:val="center"/>
              <w:rPr>
                <w:b/>
                <w:szCs w:val="21"/>
              </w:rPr>
            </w:pPr>
            <w:r>
              <w:rPr>
                <w:rFonts w:hint="eastAsia"/>
                <w:b/>
                <w:szCs w:val="21"/>
              </w:rPr>
              <w:t>拟采取措施</w:t>
            </w:r>
          </w:p>
        </w:tc>
      </w:tr>
      <w:tr w:rsidR="00C223F5">
        <w:trPr>
          <w:jc w:val="center"/>
        </w:trPr>
        <w:tc>
          <w:tcPr>
            <w:tcW w:w="1809" w:type="dxa"/>
            <w:vAlign w:val="center"/>
          </w:tcPr>
          <w:p w:rsidR="00C223F5" w:rsidRDefault="005860D5">
            <w:pPr>
              <w:jc w:val="center"/>
              <w:rPr>
                <w:szCs w:val="21"/>
              </w:rPr>
            </w:pPr>
            <w:r>
              <w:rPr>
                <w:rFonts w:hint="eastAsia"/>
                <w:szCs w:val="21"/>
              </w:rPr>
              <w:t>青银高速（</w:t>
            </w:r>
            <w:r>
              <w:rPr>
                <w:rFonts w:hint="eastAsia"/>
                <w:szCs w:val="21"/>
              </w:rPr>
              <w:t>G20</w:t>
            </w:r>
            <w:r>
              <w:rPr>
                <w:rFonts w:hint="eastAsia"/>
                <w:szCs w:val="21"/>
              </w:rPr>
              <w:t>）</w:t>
            </w:r>
          </w:p>
        </w:tc>
        <w:tc>
          <w:tcPr>
            <w:tcW w:w="1130" w:type="dxa"/>
            <w:vAlign w:val="center"/>
          </w:tcPr>
          <w:p w:rsidR="00C223F5" w:rsidRDefault="005860D5">
            <w:pPr>
              <w:jc w:val="center"/>
              <w:rPr>
                <w:szCs w:val="21"/>
              </w:rPr>
            </w:pPr>
            <w:r>
              <w:rPr>
                <w:rFonts w:hint="eastAsia"/>
                <w:szCs w:val="21"/>
              </w:rPr>
              <w:t>高速公路</w:t>
            </w:r>
          </w:p>
        </w:tc>
        <w:tc>
          <w:tcPr>
            <w:tcW w:w="3960" w:type="dxa"/>
            <w:vAlign w:val="center"/>
          </w:tcPr>
          <w:p w:rsidR="00C223F5" w:rsidRDefault="005860D5">
            <w:pPr>
              <w:pStyle w:val="affffff7"/>
              <w:rPr>
                <w:color w:val="auto"/>
                <w:kern w:val="2"/>
                <w:sz w:val="21"/>
                <w:szCs w:val="21"/>
              </w:rPr>
            </w:pPr>
            <w:r>
              <w:rPr>
                <w:rFonts w:hint="eastAsia"/>
                <w:color w:val="auto"/>
                <w:kern w:val="2"/>
                <w:sz w:val="21"/>
                <w:szCs w:val="21"/>
              </w:rPr>
              <w:t>工业场地南侧约</w:t>
            </w:r>
            <w:r>
              <w:rPr>
                <w:rFonts w:hint="eastAsia"/>
                <w:color w:val="auto"/>
                <w:kern w:val="2"/>
                <w:sz w:val="21"/>
                <w:szCs w:val="21"/>
              </w:rPr>
              <w:t>40m</w:t>
            </w:r>
            <w:r>
              <w:rPr>
                <w:rFonts w:hint="eastAsia"/>
                <w:color w:val="auto"/>
                <w:kern w:val="2"/>
                <w:sz w:val="21"/>
                <w:szCs w:val="21"/>
              </w:rPr>
              <w:t>处；井田北部西北</w:t>
            </w:r>
            <w:r>
              <w:rPr>
                <w:rFonts w:hint="eastAsia"/>
                <w:color w:val="auto"/>
                <w:kern w:val="2"/>
                <w:sz w:val="21"/>
                <w:szCs w:val="21"/>
              </w:rPr>
              <w:t>-</w:t>
            </w:r>
            <w:r>
              <w:rPr>
                <w:rFonts w:hint="eastAsia"/>
                <w:color w:val="auto"/>
                <w:kern w:val="2"/>
                <w:sz w:val="21"/>
                <w:szCs w:val="21"/>
              </w:rPr>
              <w:t>东南方向贯穿，井田内长度约</w:t>
            </w:r>
            <w:r>
              <w:rPr>
                <w:rFonts w:hint="eastAsia"/>
                <w:color w:val="auto"/>
                <w:kern w:val="2"/>
                <w:sz w:val="21"/>
                <w:szCs w:val="21"/>
              </w:rPr>
              <w:t>9.8km</w:t>
            </w:r>
          </w:p>
        </w:tc>
        <w:tc>
          <w:tcPr>
            <w:tcW w:w="2226" w:type="dxa"/>
            <w:vMerge w:val="restart"/>
            <w:vAlign w:val="center"/>
          </w:tcPr>
          <w:p w:rsidR="00C223F5" w:rsidRDefault="005860D5">
            <w:pPr>
              <w:pStyle w:val="affffff7"/>
              <w:rPr>
                <w:color w:val="auto"/>
                <w:kern w:val="2"/>
                <w:sz w:val="21"/>
                <w:szCs w:val="21"/>
              </w:rPr>
            </w:pPr>
            <w:r>
              <w:rPr>
                <w:rFonts w:hint="eastAsia"/>
                <w:color w:val="auto"/>
                <w:kern w:val="2"/>
                <w:sz w:val="21"/>
                <w:szCs w:val="21"/>
              </w:rPr>
              <w:t>留设保护煤柱，</w:t>
            </w:r>
            <w:r>
              <w:rPr>
                <w:color w:val="auto"/>
                <w:kern w:val="2"/>
                <w:sz w:val="21"/>
                <w:szCs w:val="21"/>
              </w:rPr>
              <w:t>不受采煤沉陷影响</w:t>
            </w:r>
          </w:p>
        </w:tc>
      </w:tr>
      <w:tr w:rsidR="00C223F5">
        <w:trPr>
          <w:trHeight w:val="390"/>
          <w:jc w:val="center"/>
        </w:trPr>
        <w:tc>
          <w:tcPr>
            <w:tcW w:w="1809" w:type="dxa"/>
            <w:vAlign w:val="center"/>
          </w:tcPr>
          <w:p w:rsidR="00C223F5" w:rsidRPr="00925B84" w:rsidRDefault="005860D5">
            <w:pPr>
              <w:jc w:val="center"/>
              <w:rPr>
                <w:szCs w:val="21"/>
              </w:rPr>
            </w:pPr>
            <w:r w:rsidRPr="00925B84">
              <w:rPr>
                <w:rFonts w:hint="eastAsia"/>
                <w:szCs w:val="21"/>
              </w:rPr>
              <w:t>G307</w:t>
            </w:r>
          </w:p>
        </w:tc>
        <w:tc>
          <w:tcPr>
            <w:tcW w:w="1130" w:type="dxa"/>
            <w:vAlign w:val="center"/>
          </w:tcPr>
          <w:p w:rsidR="00C223F5" w:rsidRPr="00925B84" w:rsidRDefault="005860D5">
            <w:pPr>
              <w:jc w:val="center"/>
              <w:rPr>
                <w:szCs w:val="21"/>
              </w:rPr>
            </w:pPr>
            <w:r w:rsidRPr="00925B84">
              <w:rPr>
                <w:rFonts w:hint="eastAsia"/>
                <w:szCs w:val="21"/>
              </w:rPr>
              <w:t>国道</w:t>
            </w:r>
          </w:p>
        </w:tc>
        <w:tc>
          <w:tcPr>
            <w:tcW w:w="3960" w:type="dxa"/>
            <w:vAlign w:val="center"/>
          </w:tcPr>
          <w:p w:rsidR="00C223F5" w:rsidRPr="00925B84" w:rsidRDefault="005860D5">
            <w:pPr>
              <w:pStyle w:val="affffff7"/>
              <w:rPr>
                <w:color w:val="auto"/>
                <w:kern w:val="2"/>
                <w:sz w:val="21"/>
                <w:szCs w:val="21"/>
              </w:rPr>
            </w:pPr>
            <w:r w:rsidRPr="00925B84">
              <w:rPr>
                <w:rFonts w:hint="eastAsia"/>
                <w:color w:val="auto"/>
                <w:kern w:val="2"/>
                <w:sz w:val="21"/>
                <w:szCs w:val="21"/>
              </w:rPr>
              <w:t>井田东部西南</w:t>
            </w:r>
            <w:r w:rsidRPr="00925B84">
              <w:rPr>
                <w:rFonts w:hint="eastAsia"/>
                <w:color w:val="auto"/>
                <w:kern w:val="2"/>
                <w:sz w:val="21"/>
                <w:szCs w:val="21"/>
              </w:rPr>
              <w:t>-</w:t>
            </w:r>
            <w:r w:rsidRPr="00925B84">
              <w:rPr>
                <w:rFonts w:hint="eastAsia"/>
                <w:color w:val="auto"/>
                <w:kern w:val="2"/>
                <w:sz w:val="21"/>
                <w:szCs w:val="21"/>
              </w:rPr>
              <w:t>东北方向贯穿，长约</w:t>
            </w:r>
            <w:r w:rsidRPr="00925B84">
              <w:rPr>
                <w:rFonts w:hint="eastAsia"/>
                <w:color w:val="auto"/>
                <w:kern w:val="2"/>
                <w:sz w:val="21"/>
                <w:szCs w:val="21"/>
              </w:rPr>
              <w:t>8.5km</w:t>
            </w:r>
          </w:p>
        </w:tc>
        <w:tc>
          <w:tcPr>
            <w:tcW w:w="2226" w:type="dxa"/>
            <w:vMerge/>
            <w:vAlign w:val="center"/>
          </w:tcPr>
          <w:p w:rsidR="00C223F5" w:rsidRPr="00925B84" w:rsidRDefault="00C223F5">
            <w:pPr>
              <w:jc w:val="center"/>
              <w:rPr>
                <w:szCs w:val="21"/>
              </w:rPr>
            </w:pPr>
          </w:p>
        </w:tc>
      </w:tr>
      <w:tr w:rsidR="00C223F5">
        <w:trPr>
          <w:jc w:val="center"/>
        </w:trPr>
        <w:tc>
          <w:tcPr>
            <w:tcW w:w="1809" w:type="dxa"/>
            <w:vAlign w:val="center"/>
          </w:tcPr>
          <w:p w:rsidR="00C223F5" w:rsidRPr="00925B84" w:rsidRDefault="005860D5">
            <w:pPr>
              <w:jc w:val="center"/>
              <w:rPr>
                <w:szCs w:val="21"/>
              </w:rPr>
            </w:pPr>
            <w:r w:rsidRPr="00925B84">
              <w:rPr>
                <w:rFonts w:hint="eastAsia"/>
                <w:szCs w:val="21"/>
              </w:rPr>
              <w:t>太（原）中（卫）银（川）铁路</w:t>
            </w:r>
          </w:p>
        </w:tc>
        <w:tc>
          <w:tcPr>
            <w:tcW w:w="1130" w:type="dxa"/>
            <w:vAlign w:val="center"/>
          </w:tcPr>
          <w:p w:rsidR="00C223F5" w:rsidRPr="00925B84" w:rsidRDefault="005860D5">
            <w:pPr>
              <w:jc w:val="center"/>
              <w:rPr>
                <w:szCs w:val="21"/>
              </w:rPr>
            </w:pPr>
            <w:r w:rsidRPr="00925B84">
              <w:rPr>
                <w:rFonts w:hint="eastAsia"/>
                <w:szCs w:val="21"/>
              </w:rPr>
              <w:t>国铁Ⅰ级</w:t>
            </w:r>
          </w:p>
        </w:tc>
        <w:tc>
          <w:tcPr>
            <w:tcW w:w="3960" w:type="dxa"/>
            <w:vAlign w:val="center"/>
          </w:tcPr>
          <w:p w:rsidR="00C223F5" w:rsidRPr="00925B84" w:rsidRDefault="005860D5">
            <w:pPr>
              <w:pStyle w:val="affffff7"/>
              <w:rPr>
                <w:color w:val="auto"/>
                <w:kern w:val="2"/>
                <w:sz w:val="21"/>
                <w:szCs w:val="21"/>
              </w:rPr>
            </w:pPr>
            <w:r w:rsidRPr="00925B84">
              <w:rPr>
                <w:rFonts w:hint="eastAsia"/>
                <w:color w:val="auto"/>
                <w:kern w:val="2"/>
                <w:sz w:val="21"/>
                <w:szCs w:val="21"/>
              </w:rPr>
              <w:t>井田中部东西方向贯穿，长约</w:t>
            </w:r>
            <w:r w:rsidRPr="00925B84">
              <w:rPr>
                <w:rFonts w:hint="eastAsia"/>
                <w:color w:val="auto"/>
                <w:kern w:val="2"/>
                <w:sz w:val="21"/>
                <w:szCs w:val="21"/>
              </w:rPr>
              <w:t>7.6km</w:t>
            </w:r>
            <w:r w:rsidRPr="00925B84">
              <w:rPr>
                <w:rFonts w:hint="eastAsia"/>
                <w:color w:val="auto"/>
                <w:kern w:val="2"/>
                <w:sz w:val="21"/>
                <w:szCs w:val="21"/>
              </w:rPr>
              <w:t>；两处建设期</w:t>
            </w:r>
            <w:r w:rsidRPr="00925B84">
              <w:rPr>
                <w:rFonts w:hint="eastAsia"/>
                <w:color w:val="auto"/>
                <w:sz w:val="21"/>
                <w:szCs w:val="21"/>
              </w:rPr>
              <w:t>隧道口</w:t>
            </w:r>
          </w:p>
        </w:tc>
        <w:tc>
          <w:tcPr>
            <w:tcW w:w="2226" w:type="dxa"/>
            <w:vMerge/>
            <w:vAlign w:val="center"/>
          </w:tcPr>
          <w:p w:rsidR="00C223F5" w:rsidRPr="00925B84" w:rsidRDefault="00C223F5">
            <w:pPr>
              <w:jc w:val="center"/>
              <w:rPr>
                <w:szCs w:val="21"/>
              </w:rPr>
            </w:pPr>
          </w:p>
        </w:tc>
      </w:tr>
      <w:tr w:rsidR="00C223F5">
        <w:trPr>
          <w:jc w:val="center"/>
        </w:trPr>
        <w:tc>
          <w:tcPr>
            <w:tcW w:w="1809" w:type="dxa"/>
            <w:vAlign w:val="center"/>
          </w:tcPr>
          <w:p w:rsidR="00C223F5" w:rsidRPr="00925B84" w:rsidRDefault="005860D5">
            <w:pPr>
              <w:jc w:val="center"/>
              <w:rPr>
                <w:szCs w:val="21"/>
              </w:rPr>
            </w:pPr>
            <w:r w:rsidRPr="00925B84">
              <w:rPr>
                <w:rFonts w:hint="eastAsia"/>
                <w:szCs w:val="21"/>
              </w:rPr>
              <w:t>750kV</w:t>
            </w:r>
            <w:r w:rsidRPr="00925B84">
              <w:rPr>
                <w:rFonts w:hint="eastAsia"/>
                <w:szCs w:val="21"/>
              </w:rPr>
              <w:t>洛横高压线及塔基</w:t>
            </w:r>
          </w:p>
        </w:tc>
        <w:tc>
          <w:tcPr>
            <w:tcW w:w="1130" w:type="dxa"/>
            <w:vAlign w:val="center"/>
          </w:tcPr>
          <w:p w:rsidR="00C223F5" w:rsidRPr="00925B84" w:rsidRDefault="005860D5">
            <w:pPr>
              <w:jc w:val="center"/>
              <w:rPr>
                <w:szCs w:val="21"/>
              </w:rPr>
            </w:pPr>
            <w:r w:rsidRPr="00925B84">
              <w:rPr>
                <w:rFonts w:hint="eastAsia"/>
                <w:szCs w:val="21"/>
              </w:rPr>
              <w:t>750kV</w:t>
            </w:r>
          </w:p>
        </w:tc>
        <w:tc>
          <w:tcPr>
            <w:tcW w:w="3960" w:type="dxa"/>
            <w:vAlign w:val="center"/>
          </w:tcPr>
          <w:p w:rsidR="00C223F5" w:rsidRPr="00925B84" w:rsidRDefault="005860D5">
            <w:pPr>
              <w:jc w:val="center"/>
              <w:rPr>
                <w:szCs w:val="21"/>
              </w:rPr>
            </w:pPr>
            <w:r w:rsidRPr="00925B84">
              <w:rPr>
                <w:rFonts w:hint="eastAsia"/>
                <w:szCs w:val="21"/>
              </w:rPr>
              <w:t>井田东部有</w:t>
            </w:r>
            <w:r w:rsidRPr="00925B84">
              <w:rPr>
                <w:rFonts w:hint="eastAsia"/>
                <w:szCs w:val="21"/>
              </w:rPr>
              <w:t>1</w:t>
            </w:r>
            <w:r w:rsidRPr="00925B84">
              <w:rPr>
                <w:rFonts w:hint="eastAsia"/>
                <w:szCs w:val="21"/>
              </w:rPr>
              <w:t>条南北方向</w:t>
            </w:r>
            <w:r w:rsidRPr="00925B84">
              <w:rPr>
                <w:rFonts w:hint="eastAsia"/>
                <w:szCs w:val="21"/>
              </w:rPr>
              <w:t>750kV</w:t>
            </w:r>
            <w:r w:rsidRPr="00925B84">
              <w:rPr>
                <w:rFonts w:hint="eastAsia"/>
                <w:szCs w:val="21"/>
              </w:rPr>
              <w:t>高压线，评价区内有塔基</w:t>
            </w:r>
            <w:r w:rsidRPr="00925B84">
              <w:rPr>
                <w:rFonts w:hint="eastAsia"/>
                <w:szCs w:val="21"/>
              </w:rPr>
              <w:t>12</w:t>
            </w:r>
            <w:r w:rsidRPr="00925B84">
              <w:rPr>
                <w:rFonts w:hint="eastAsia"/>
                <w:szCs w:val="21"/>
              </w:rPr>
              <w:t>座</w:t>
            </w:r>
          </w:p>
        </w:tc>
        <w:tc>
          <w:tcPr>
            <w:tcW w:w="2226" w:type="dxa"/>
            <w:vAlign w:val="center"/>
          </w:tcPr>
          <w:p w:rsidR="00C223F5" w:rsidRPr="00925B84" w:rsidRDefault="005860D5">
            <w:pPr>
              <w:jc w:val="center"/>
              <w:rPr>
                <w:szCs w:val="21"/>
              </w:rPr>
            </w:pPr>
            <w:r w:rsidRPr="00925B84">
              <w:rPr>
                <w:rFonts w:hint="eastAsia"/>
                <w:szCs w:val="21"/>
              </w:rPr>
              <w:t>开采区内高压线塔基留设保护煤柱</w:t>
            </w:r>
          </w:p>
        </w:tc>
      </w:tr>
      <w:tr w:rsidR="00C223F5">
        <w:trPr>
          <w:jc w:val="center"/>
        </w:trPr>
        <w:tc>
          <w:tcPr>
            <w:tcW w:w="1809" w:type="dxa"/>
            <w:vAlign w:val="center"/>
          </w:tcPr>
          <w:p w:rsidR="00C223F5" w:rsidRDefault="005860D5">
            <w:pPr>
              <w:jc w:val="center"/>
              <w:rPr>
                <w:szCs w:val="21"/>
              </w:rPr>
            </w:pPr>
            <w:r>
              <w:rPr>
                <w:rFonts w:hint="eastAsia"/>
                <w:szCs w:val="21"/>
              </w:rPr>
              <w:t>油气井及井场</w:t>
            </w:r>
          </w:p>
        </w:tc>
        <w:tc>
          <w:tcPr>
            <w:tcW w:w="1130" w:type="dxa"/>
            <w:vAlign w:val="center"/>
          </w:tcPr>
          <w:p w:rsidR="00C223F5" w:rsidRDefault="005860D5">
            <w:pPr>
              <w:jc w:val="center"/>
              <w:rPr>
                <w:szCs w:val="21"/>
              </w:rPr>
            </w:pPr>
            <w:r>
              <w:rPr>
                <w:rFonts w:hint="eastAsia"/>
                <w:szCs w:val="21"/>
              </w:rPr>
              <w:t>延长油矿</w:t>
            </w:r>
          </w:p>
        </w:tc>
        <w:tc>
          <w:tcPr>
            <w:tcW w:w="3960" w:type="dxa"/>
            <w:vAlign w:val="center"/>
          </w:tcPr>
          <w:p w:rsidR="00C223F5" w:rsidRDefault="005860D5">
            <w:pPr>
              <w:jc w:val="center"/>
              <w:rPr>
                <w:szCs w:val="21"/>
              </w:rPr>
            </w:pPr>
            <w:r>
              <w:rPr>
                <w:rFonts w:hint="eastAsia"/>
                <w:szCs w:val="21"/>
              </w:rPr>
              <w:t>井田内零星分布，评价区内共计</w:t>
            </w:r>
            <w:r>
              <w:rPr>
                <w:rFonts w:hint="eastAsia"/>
                <w:szCs w:val="21"/>
              </w:rPr>
              <w:t>72</w:t>
            </w:r>
            <w:r>
              <w:rPr>
                <w:rFonts w:hint="eastAsia"/>
                <w:szCs w:val="21"/>
              </w:rPr>
              <w:t>处井场，其中正在生产的</w:t>
            </w:r>
            <w:r>
              <w:rPr>
                <w:rFonts w:hint="eastAsia"/>
                <w:szCs w:val="21"/>
              </w:rPr>
              <w:t>55</w:t>
            </w:r>
            <w:r>
              <w:rPr>
                <w:rFonts w:hint="eastAsia"/>
                <w:szCs w:val="21"/>
              </w:rPr>
              <w:t>处</w:t>
            </w:r>
          </w:p>
        </w:tc>
        <w:tc>
          <w:tcPr>
            <w:tcW w:w="2226" w:type="dxa"/>
            <w:vAlign w:val="center"/>
          </w:tcPr>
          <w:p w:rsidR="00C223F5" w:rsidRDefault="005860D5">
            <w:pPr>
              <w:jc w:val="center"/>
              <w:rPr>
                <w:szCs w:val="21"/>
              </w:rPr>
            </w:pPr>
            <w:r>
              <w:rPr>
                <w:szCs w:val="21"/>
              </w:rPr>
              <w:t>留设保护煤柱</w:t>
            </w:r>
          </w:p>
        </w:tc>
      </w:tr>
    </w:tbl>
    <w:p w:rsidR="00C223F5" w:rsidRDefault="005860D5" w:rsidP="004835BD">
      <w:pPr>
        <w:pStyle w:val="3"/>
        <w:numPr>
          <w:ilvl w:val="0"/>
          <w:numId w:val="0"/>
        </w:numPr>
        <w:spacing w:beforeLines="50" w:before="120" w:after="0" w:line="360" w:lineRule="auto"/>
        <w:ind w:left="170"/>
        <w:rPr>
          <w:rFonts w:eastAsia="宋体"/>
          <w:b/>
          <w:bCs w:val="0"/>
          <w:sz w:val="28"/>
          <w:szCs w:val="28"/>
        </w:rPr>
      </w:pPr>
      <w:bookmarkStart w:id="310" w:name="_Toc525762788"/>
      <w:bookmarkStart w:id="311" w:name="_Toc527493519"/>
      <w:bookmarkStart w:id="312" w:name="_Toc488660692"/>
      <w:bookmarkStart w:id="313" w:name="_Toc16785280"/>
      <w:bookmarkStart w:id="314" w:name="_Toc488660694"/>
      <w:bookmarkStart w:id="315" w:name="_Toc533604737"/>
      <w:bookmarkStart w:id="316" w:name="_Toc533604317"/>
      <w:bookmarkEnd w:id="277"/>
      <w:r>
        <w:rPr>
          <w:rFonts w:eastAsia="宋体" w:hint="eastAsia"/>
          <w:b/>
          <w:bCs w:val="0"/>
          <w:sz w:val="28"/>
          <w:szCs w:val="28"/>
        </w:rPr>
        <w:t>3</w:t>
      </w:r>
      <w:r>
        <w:rPr>
          <w:rFonts w:eastAsia="宋体"/>
          <w:b/>
          <w:bCs w:val="0"/>
          <w:sz w:val="28"/>
          <w:szCs w:val="28"/>
        </w:rPr>
        <w:t>.</w:t>
      </w:r>
      <w:r>
        <w:rPr>
          <w:rFonts w:eastAsia="宋体" w:hint="eastAsia"/>
          <w:b/>
          <w:bCs w:val="0"/>
          <w:sz w:val="28"/>
          <w:szCs w:val="28"/>
        </w:rPr>
        <w:t>2.4</w:t>
      </w:r>
      <w:r>
        <w:rPr>
          <w:rFonts w:eastAsia="宋体" w:hint="eastAsia"/>
          <w:b/>
          <w:bCs w:val="0"/>
          <w:sz w:val="28"/>
          <w:szCs w:val="28"/>
        </w:rPr>
        <w:t>评价区村庄</w:t>
      </w:r>
      <w:bookmarkEnd w:id="310"/>
      <w:bookmarkEnd w:id="311"/>
      <w:bookmarkEnd w:id="312"/>
      <w:bookmarkEnd w:id="313"/>
    </w:p>
    <w:p w:rsidR="00C223F5" w:rsidRDefault="005860D5">
      <w:pPr>
        <w:spacing w:line="360" w:lineRule="auto"/>
        <w:ind w:firstLine="480"/>
        <w:rPr>
          <w:sz w:val="24"/>
        </w:rPr>
      </w:pPr>
      <w:r>
        <w:rPr>
          <w:sz w:val="24"/>
        </w:rPr>
        <w:t>横山县天云煤矿位于陕西省横山县城东南部，行政区划隶属横山县石湾镇、魏家楼乡管辖。</w:t>
      </w:r>
      <w:r>
        <w:rPr>
          <w:rFonts w:hint="eastAsia"/>
          <w:sz w:val="24"/>
        </w:rPr>
        <w:t>经调查，整合区内</w:t>
      </w:r>
      <w:r>
        <w:rPr>
          <w:sz w:val="24"/>
        </w:rPr>
        <w:t>共</w:t>
      </w:r>
      <w:r>
        <w:rPr>
          <w:rFonts w:hint="eastAsia"/>
          <w:sz w:val="24"/>
        </w:rPr>
        <w:t>涉及</w:t>
      </w:r>
      <w:r>
        <w:rPr>
          <w:rFonts w:hint="eastAsia"/>
          <w:sz w:val="24"/>
        </w:rPr>
        <w:t>8</w:t>
      </w:r>
      <w:r>
        <w:rPr>
          <w:sz w:val="24"/>
        </w:rPr>
        <w:t>个</w:t>
      </w:r>
      <w:r>
        <w:rPr>
          <w:rFonts w:hint="eastAsia"/>
          <w:sz w:val="24"/>
        </w:rPr>
        <w:t>行政村</w:t>
      </w:r>
      <w:r>
        <w:rPr>
          <w:rFonts w:hint="eastAsia"/>
          <w:sz w:val="24"/>
        </w:rPr>
        <w:t>33</w:t>
      </w:r>
      <w:r>
        <w:rPr>
          <w:rFonts w:hint="eastAsia"/>
          <w:sz w:val="24"/>
        </w:rPr>
        <w:t>个居民点</w:t>
      </w:r>
      <w:r>
        <w:rPr>
          <w:sz w:val="24"/>
        </w:rPr>
        <w:t>，</w:t>
      </w:r>
      <w:r>
        <w:rPr>
          <w:rFonts w:hint="eastAsia"/>
          <w:sz w:val="24"/>
        </w:rPr>
        <w:t>即</w:t>
      </w:r>
      <w:r>
        <w:rPr>
          <w:sz w:val="24"/>
        </w:rPr>
        <w:t>王家峁</w:t>
      </w:r>
      <w:r>
        <w:rPr>
          <w:rFonts w:hint="eastAsia"/>
          <w:sz w:val="24"/>
        </w:rPr>
        <w:t>村、</w:t>
      </w:r>
      <w:r>
        <w:rPr>
          <w:sz w:val="24"/>
        </w:rPr>
        <w:t>麻地沟</w:t>
      </w:r>
      <w:r>
        <w:rPr>
          <w:rFonts w:hint="eastAsia"/>
          <w:sz w:val="24"/>
        </w:rPr>
        <w:t>村、</w:t>
      </w:r>
      <w:r>
        <w:rPr>
          <w:sz w:val="24"/>
        </w:rPr>
        <w:t>瓦窑渠村</w:t>
      </w:r>
      <w:r>
        <w:rPr>
          <w:rFonts w:hint="eastAsia"/>
          <w:sz w:val="24"/>
        </w:rPr>
        <w:t>、</w:t>
      </w:r>
      <w:r>
        <w:rPr>
          <w:sz w:val="24"/>
        </w:rPr>
        <w:t>清水沟村</w:t>
      </w:r>
      <w:r>
        <w:rPr>
          <w:rFonts w:hint="eastAsia"/>
          <w:sz w:val="24"/>
        </w:rPr>
        <w:t>、石仁坪、</w:t>
      </w:r>
      <w:r>
        <w:rPr>
          <w:sz w:val="24"/>
        </w:rPr>
        <w:t>拓家峁</w:t>
      </w:r>
      <w:r>
        <w:rPr>
          <w:rFonts w:hint="eastAsia"/>
          <w:sz w:val="24"/>
        </w:rPr>
        <w:t>村、</w:t>
      </w:r>
      <w:r>
        <w:rPr>
          <w:sz w:val="24"/>
        </w:rPr>
        <w:t>枣坪村</w:t>
      </w:r>
      <w:r>
        <w:rPr>
          <w:rFonts w:hint="eastAsia"/>
          <w:sz w:val="24"/>
        </w:rPr>
        <w:t>、杨家楼村，其中</w:t>
      </w:r>
      <w:r>
        <w:rPr>
          <w:rFonts w:hAnsi="宋体" w:hint="eastAsia"/>
          <w:sz w:val="24"/>
        </w:rPr>
        <w:lastRenderedPageBreak/>
        <w:t>项目开采区内分布</w:t>
      </w:r>
      <w:r>
        <w:rPr>
          <w:rFonts w:hAnsi="宋体" w:hint="eastAsia"/>
          <w:sz w:val="24"/>
        </w:rPr>
        <w:t>13</w:t>
      </w:r>
      <w:r>
        <w:rPr>
          <w:rFonts w:hAnsi="宋体" w:hint="eastAsia"/>
          <w:sz w:val="24"/>
        </w:rPr>
        <w:t>个</w:t>
      </w:r>
      <w:r>
        <w:rPr>
          <w:rFonts w:hint="eastAsia"/>
          <w:sz w:val="24"/>
        </w:rPr>
        <w:t>居民点</w:t>
      </w:r>
      <w:r>
        <w:rPr>
          <w:rFonts w:hAnsi="宋体" w:hint="eastAsia"/>
          <w:sz w:val="24"/>
        </w:rPr>
        <w:t>，开采区外分布</w:t>
      </w:r>
      <w:r>
        <w:rPr>
          <w:rFonts w:hAnsi="宋体" w:hint="eastAsia"/>
          <w:sz w:val="24"/>
        </w:rPr>
        <w:t>20</w:t>
      </w:r>
      <w:r>
        <w:rPr>
          <w:rFonts w:hAnsi="宋体" w:hint="eastAsia"/>
          <w:sz w:val="24"/>
        </w:rPr>
        <w:t>个</w:t>
      </w:r>
      <w:r>
        <w:rPr>
          <w:rFonts w:hint="eastAsia"/>
          <w:sz w:val="24"/>
        </w:rPr>
        <w:t>居民点</w:t>
      </w:r>
      <w:r>
        <w:rPr>
          <w:rFonts w:hAnsi="宋体" w:hint="eastAsia"/>
          <w:sz w:val="24"/>
        </w:rPr>
        <w:t>。</w:t>
      </w:r>
      <w:r w:rsidR="00C24FFE">
        <w:rPr>
          <w:rFonts w:hAnsi="宋体" w:hint="eastAsia"/>
          <w:sz w:val="24"/>
        </w:rPr>
        <w:t>设计对</w:t>
      </w:r>
      <w:r w:rsidR="00C24FFE">
        <w:rPr>
          <w:rFonts w:hint="eastAsia"/>
          <w:sz w:val="24"/>
        </w:rPr>
        <w:t>项目开采区内居民点均留设保护煤柱</w:t>
      </w:r>
      <w:r w:rsidR="00C24FFE">
        <w:rPr>
          <w:sz w:val="24"/>
        </w:rPr>
        <w:t>。</w:t>
      </w:r>
      <w:r>
        <w:rPr>
          <w:rFonts w:hint="eastAsia"/>
          <w:sz w:val="24"/>
        </w:rPr>
        <w:t>村庄基本情况见表</w:t>
      </w:r>
      <w:r>
        <w:rPr>
          <w:rFonts w:hint="eastAsia"/>
          <w:sz w:val="24"/>
        </w:rPr>
        <w:t>1.6-2</w:t>
      </w:r>
      <w:r>
        <w:rPr>
          <w:rFonts w:hint="eastAsia"/>
          <w:sz w:val="24"/>
        </w:rPr>
        <w:t>。</w:t>
      </w:r>
    </w:p>
    <w:p w:rsidR="00C223F5" w:rsidRDefault="005860D5" w:rsidP="004835BD">
      <w:pPr>
        <w:pStyle w:val="2"/>
        <w:numPr>
          <w:ilvl w:val="0"/>
          <w:numId w:val="0"/>
        </w:numPr>
        <w:spacing w:beforeLines="50" w:before="120" w:after="0" w:line="360" w:lineRule="auto"/>
        <w:rPr>
          <w:rFonts w:ascii="Times New Roman" w:eastAsia="宋体" w:hAnsi="Times New Roman"/>
          <w:b/>
          <w:bCs w:val="0"/>
          <w:szCs w:val="30"/>
        </w:rPr>
      </w:pPr>
      <w:bookmarkStart w:id="317" w:name="_Toc16785281"/>
      <w:r>
        <w:rPr>
          <w:rFonts w:ascii="Times New Roman" w:eastAsia="宋体" w:hAnsi="Times New Roman" w:hint="eastAsia"/>
          <w:b/>
          <w:bCs w:val="0"/>
          <w:szCs w:val="30"/>
        </w:rPr>
        <w:t>3</w:t>
      </w:r>
      <w:r>
        <w:rPr>
          <w:rFonts w:ascii="Times New Roman" w:eastAsia="宋体" w:hAnsi="Times New Roman"/>
          <w:b/>
          <w:bCs w:val="0"/>
          <w:szCs w:val="30"/>
        </w:rPr>
        <w:t>.</w:t>
      </w:r>
      <w:r>
        <w:rPr>
          <w:rFonts w:ascii="Times New Roman" w:eastAsia="宋体" w:hAnsi="Times New Roman" w:hint="eastAsia"/>
          <w:b/>
          <w:bCs w:val="0"/>
          <w:szCs w:val="30"/>
        </w:rPr>
        <w:t>3</w:t>
      </w:r>
      <w:r>
        <w:rPr>
          <w:rFonts w:ascii="Times New Roman" w:eastAsia="宋体" w:hAnsi="Times New Roman" w:hint="eastAsia"/>
          <w:b/>
          <w:bCs w:val="0"/>
          <w:szCs w:val="30"/>
        </w:rPr>
        <w:t>评价区环境质量现状</w:t>
      </w:r>
      <w:bookmarkEnd w:id="314"/>
      <w:bookmarkEnd w:id="315"/>
      <w:bookmarkEnd w:id="316"/>
      <w:bookmarkEnd w:id="317"/>
    </w:p>
    <w:p w:rsidR="00C223F5" w:rsidRDefault="005860D5" w:rsidP="004835BD">
      <w:pPr>
        <w:pStyle w:val="3"/>
        <w:numPr>
          <w:ilvl w:val="0"/>
          <w:numId w:val="0"/>
        </w:numPr>
        <w:spacing w:before="0" w:after="0" w:line="360" w:lineRule="auto"/>
        <w:ind w:left="170"/>
        <w:rPr>
          <w:rFonts w:eastAsia="宋体"/>
          <w:b/>
          <w:bCs w:val="0"/>
          <w:sz w:val="28"/>
          <w:szCs w:val="28"/>
        </w:rPr>
      </w:pPr>
      <w:bookmarkStart w:id="318" w:name="_Toc533604738"/>
      <w:bookmarkStart w:id="319" w:name="_Toc477960476"/>
      <w:bookmarkStart w:id="320" w:name="_Toc533604318"/>
      <w:bookmarkStart w:id="321" w:name="_Toc16785282"/>
      <w:r>
        <w:rPr>
          <w:rFonts w:eastAsia="宋体"/>
          <w:b/>
          <w:bCs w:val="0"/>
          <w:sz w:val="28"/>
          <w:szCs w:val="28"/>
        </w:rPr>
        <w:t>3.</w:t>
      </w:r>
      <w:r>
        <w:rPr>
          <w:rFonts w:eastAsia="宋体" w:hint="eastAsia"/>
          <w:b/>
          <w:bCs w:val="0"/>
          <w:sz w:val="28"/>
          <w:szCs w:val="28"/>
        </w:rPr>
        <w:t>3</w:t>
      </w:r>
      <w:r>
        <w:rPr>
          <w:rFonts w:eastAsia="宋体"/>
          <w:b/>
          <w:bCs w:val="0"/>
          <w:sz w:val="28"/>
          <w:szCs w:val="28"/>
        </w:rPr>
        <w:t>.1</w:t>
      </w:r>
      <w:r>
        <w:rPr>
          <w:rFonts w:eastAsia="宋体"/>
          <w:b/>
          <w:bCs w:val="0"/>
          <w:sz w:val="28"/>
          <w:szCs w:val="28"/>
        </w:rPr>
        <w:t>地下水环境质量现状</w:t>
      </w:r>
      <w:bookmarkEnd w:id="318"/>
      <w:bookmarkEnd w:id="319"/>
      <w:bookmarkEnd w:id="320"/>
      <w:bookmarkEnd w:id="321"/>
    </w:p>
    <w:p w:rsidR="00C223F5" w:rsidRDefault="005860D5">
      <w:pPr>
        <w:spacing w:line="360" w:lineRule="auto"/>
        <w:ind w:firstLine="480"/>
        <w:rPr>
          <w:sz w:val="24"/>
        </w:rPr>
      </w:pPr>
      <w:r>
        <w:rPr>
          <w:rFonts w:hint="eastAsia"/>
          <w:sz w:val="24"/>
        </w:rPr>
        <w:t>陕西精益达安全环保技术服务有限公司</w:t>
      </w:r>
      <w:r>
        <w:rPr>
          <w:sz w:val="24"/>
        </w:rPr>
        <w:t>于</w:t>
      </w:r>
      <w:r>
        <w:rPr>
          <w:sz w:val="24"/>
        </w:rPr>
        <w:t>201</w:t>
      </w:r>
      <w:r>
        <w:rPr>
          <w:rFonts w:hint="eastAsia"/>
          <w:sz w:val="24"/>
        </w:rPr>
        <w:t>9</w:t>
      </w:r>
      <w:r>
        <w:rPr>
          <w:sz w:val="24"/>
        </w:rPr>
        <w:t>年</w:t>
      </w:r>
      <w:r>
        <w:rPr>
          <w:rFonts w:hint="eastAsia"/>
          <w:sz w:val="24"/>
        </w:rPr>
        <w:t>1</w:t>
      </w:r>
      <w:r>
        <w:rPr>
          <w:sz w:val="24"/>
        </w:rPr>
        <w:t>月</w:t>
      </w:r>
      <w:r>
        <w:rPr>
          <w:rFonts w:hint="eastAsia"/>
          <w:sz w:val="24"/>
        </w:rPr>
        <w:t>15</w:t>
      </w:r>
      <w:r>
        <w:rPr>
          <w:sz w:val="24"/>
        </w:rPr>
        <w:t>对评价范围内地下水环境质量进行监测。</w:t>
      </w:r>
    </w:p>
    <w:p w:rsidR="00C223F5" w:rsidRDefault="005860D5">
      <w:pPr>
        <w:spacing w:line="360" w:lineRule="auto"/>
        <w:ind w:firstLine="480"/>
        <w:rPr>
          <w:sz w:val="24"/>
        </w:rPr>
      </w:pPr>
      <w:r>
        <w:rPr>
          <w:sz w:val="24"/>
        </w:rPr>
        <w:t>（</w:t>
      </w:r>
      <w:r>
        <w:rPr>
          <w:sz w:val="24"/>
        </w:rPr>
        <w:t>1</w:t>
      </w:r>
      <w:r>
        <w:rPr>
          <w:sz w:val="24"/>
        </w:rPr>
        <w:t>）监测点的设置</w:t>
      </w:r>
    </w:p>
    <w:p w:rsidR="00C223F5" w:rsidRDefault="005860D5">
      <w:pPr>
        <w:spacing w:line="360" w:lineRule="auto"/>
        <w:ind w:firstLine="480"/>
        <w:rPr>
          <w:sz w:val="24"/>
        </w:rPr>
      </w:pPr>
      <w:r>
        <w:rPr>
          <w:sz w:val="24"/>
        </w:rPr>
        <w:t>本次地下水评价设</w:t>
      </w:r>
      <w:r>
        <w:rPr>
          <w:sz w:val="24"/>
        </w:rPr>
        <w:t>3</w:t>
      </w:r>
      <w:r>
        <w:rPr>
          <w:sz w:val="24"/>
        </w:rPr>
        <w:t>个地下水水质、水位监测点</w:t>
      </w:r>
      <w:r>
        <w:rPr>
          <w:rFonts w:hint="eastAsia"/>
          <w:sz w:val="24"/>
        </w:rPr>
        <w:t>和</w:t>
      </w:r>
      <w:r>
        <w:rPr>
          <w:sz w:val="24"/>
        </w:rPr>
        <w:t>设</w:t>
      </w:r>
      <w:r>
        <w:rPr>
          <w:sz w:val="24"/>
        </w:rPr>
        <w:t>3</w:t>
      </w:r>
      <w:r>
        <w:rPr>
          <w:sz w:val="24"/>
        </w:rPr>
        <w:t>个水位监测点，监测点布设见图</w:t>
      </w:r>
      <w:r>
        <w:rPr>
          <w:sz w:val="24"/>
        </w:rPr>
        <w:t>3.</w:t>
      </w:r>
      <w:r>
        <w:rPr>
          <w:rFonts w:hint="eastAsia"/>
          <w:sz w:val="24"/>
        </w:rPr>
        <w:t>3</w:t>
      </w:r>
      <w:r>
        <w:rPr>
          <w:sz w:val="24"/>
        </w:rPr>
        <w:t>.1-1</w:t>
      </w:r>
      <w:r>
        <w:rPr>
          <w:sz w:val="24"/>
        </w:rPr>
        <w:t>，监测布点具体见表</w:t>
      </w:r>
      <w:r>
        <w:rPr>
          <w:sz w:val="24"/>
        </w:rPr>
        <w:t>3.</w:t>
      </w:r>
      <w:r>
        <w:rPr>
          <w:rFonts w:hint="eastAsia"/>
          <w:sz w:val="24"/>
        </w:rPr>
        <w:t>3</w:t>
      </w:r>
      <w:r>
        <w:rPr>
          <w:sz w:val="24"/>
        </w:rPr>
        <w:t>.1-1</w:t>
      </w:r>
      <w:r>
        <w:rPr>
          <w:sz w:val="24"/>
        </w:rPr>
        <w:t>。</w:t>
      </w:r>
    </w:p>
    <w:p w:rsidR="00C223F5" w:rsidRDefault="005860D5">
      <w:pPr>
        <w:widowControl/>
        <w:ind w:firstLineChars="200" w:firstLine="482"/>
        <w:jc w:val="center"/>
        <w:rPr>
          <w:b/>
          <w:sz w:val="24"/>
        </w:rPr>
      </w:pPr>
      <w:r>
        <w:rPr>
          <w:b/>
          <w:sz w:val="24"/>
        </w:rPr>
        <w:t>表</w:t>
      </w:r>
      <w:r>
        <w:rPr>
          <w:b/>
          <w:sz w:val="24"/>
        </w:rPr>
        <w:t>3.</w:t>
      </w:r>
      <w:r>
        <w:rPr>
          <w:rFonts w:hint="eastAsia"/>
          <w:b/>
          <w:sz w:val="24"/>
        </w:rPr>
        <w:t>3</w:t>
      </w:r>
      <w:r>
        <w:rPr>
          <w:b/>
          <w:sz w:val="24"/>
        </w:rPr>
        <w:t xml:space="preserve">.1-1   </w:t>
      </w:r>
      <w:r>
        <w:rPr>
          <w:b/>
          <w:sz w:val="24"/>
        </w:rPr>
        <w:t>监测点位置一览表</w:t>
      </w: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2040"/>
        <w:gridCol w:w="1573"/>
        <w:gridCol w:w="881"/>
        <w:gridCol w:w="1559"/>
        <w:gridCol w:w="1560"/>
      </w:tblGrid>
      <w:tr w:rsidR="00FF22D7" w:rsidRPr="00EB6E70" w:rsidTr="00EB6E70">
        <w:trPr>
          <w:trHeight w:val="378"/>
          <w:jc w:val="center"/>
        </w:trPr>
        <w:tc>
          <w:tcPr>
            <w:tcW w:w="729" w:type="dxa"/>
            <w:vAlign w:val="center"/>
          </w:tcPr>
          <w:p w:rsidR="00FF22D7" w:rsidRPr="00EB6E70" w:rsidRDefault="00FF22D7" w:rsidP="00EB6E70">
            <w:pPr>
              <w:jc w:val="center"/>
              <w:rPr>
                <w:szCs w:val="21"/>
              </w:rPr>
            </w:pPr>
            <w:r w:rsidRPr="00EB6E70">
              <w:rPr>
                <w:szCs w:val="21"/>
              </w:rPr>
              <w:t>序号</w:t>
            </w:r>
          </w:p>
        </w:tc>
        <w:tc>
          <w:tcPr>
            <w:tcW w:w="2040" w:type="dxa"/>
            <w:vAlign w:val="center"/>
          </w:tcPr>
          <w:p w:rsidR="00FF22D7" w:rsidRPr="00EB6E70" w:rsidRDefault="00FF22D7" w:rsidP="00EB6E70">
            <w:pPr>
              <w:jc w:val="center"/>
              <w:rPr>
                <w:szCs w:val="21"/>
                <w:highlight w:val="yellow"/>
              </w:rPr>
            </w:pPr>
            <w:r w:rsidRPr="00EB6E70">
              <w:rPr>
                <w:szCs w:val="21"/>
              </w:rPr>
              <w:t>位置</w:t>
            </w:r>
          </w:p>
        </w:tc>
        <w:tc>
          <w:tcPr>
            <w:tcW w:w="1573" w:type="dxa"/>
            <w:vAlign w:val="center"/>
          </w:tcPr>
          <w:p w:rsidR="00FF22D7" w:rsidRPr="00EB6E70" w:rsidRDefault="00FF22D7" w:rsidP="00EB6E70">
            <w:pPr>
              <w:jc w:val="center"/>
              <w:rPr>
                <w:szCs w:val="21"/>
              </w:rPr>
            </w:pPr>
            <w:r w:rsidRPr="00EB6E70">
              <w:rPr>
                <w:szCs w:val="21"/>
              </w:rPr>
              <w:t>监测内容</w:t>
            </w:r>
          </w:p>
        </w:tc>
        <w:tc>
          <w:tcPr>
            <w:tcW w:w="881" w:type="dxa"/>
            <w:vAlign w:val="center"/>
          </w:tcPr>
          <w:p w:rsidR="00FF22D7" w:rsidRPr="00EB6E70" w:rsidRDefault="00FF22D7" w:rsidP="00EB6E70">
            <w:pPr>
              <w:jc w:val="center"/>
              <w:rPr>
                <w:color w:val="FF0000"/>
                <w:szCs w:val="21"/>
              </w:rPr>
            </w:pPr>
            <w:r w:rsidRPr="00EB6E70">
              <w:rPr>
                <w:rFonts w:hint="eastAsia"/>
                <w:color w:val="FF0000"/>
                <w:szCs w:val="21"/>
              </w:rPr>
              <w:t>层位</w:t>
            </w:r>
          </w:p>
        </w:tc>
        <w:tc>
          <w:tcPr>
            <w:tcW w:w="1559" w:type="dxa"/>
            <w:vAlign w:val="center"/>
          </w:tcPr>
          <w:p w:rsidR="00FF22D7" w:rsidRPr="00EB6E70" w:rsidRDefault="00FF22D7" w:rsidP="00EB6E70">
            <w:pPr>
              <w:jc w:val="center"/>
              <w:rPr>
                <w:color w:val="FF0000"/>
                <w:szCs w:val="21"/>
              </w:rPr>
            </w:pPr>
            <w:r w:rsidRPr="00EB6E70">
              <w:rPr>
                <w:rFonts w:hint="eastAsia"/>
                <w:color w:val="FF0000"/>
                <w:szCs w:val="21"/>
              </w:rPr>
              <w:t>位置关系</w:t>
            </w:r>
          </w:p>
        </w:tc>
        <w:tc>
          <w:tcPr>
            <w:tcW w:w="1560" w:type="dxa"/>
            <w:vAlign w:val="center"/>
          </w:tcPr>
          <w:p w:rsidR="00FF22D7" w:rsidRPr="00EB6E70" w:rsidRDefault="00FF22D7" w:rsidP="00EB6E70">
            <w:pPr>
              <w:jc w:val="center"/>
              <w:rPr>
                <w:color w:val="FF0000"/>
                <w:szCs w:val="21"/>
              </w:rPr>
            </w:pPr>
            <w:r w:rsidRPr="00EB6E70">
              <w:rPr>
                <w:rFonts w:hint="eastAsia"/>
                <w:color w:val="FF0000"/>
                <w:szCs w:val="21"/>
              </w:rPr>
              <w:t>备注</w:t>
            </w:r>
          </w:p>
        </w:tc>
      </w:tr>
      <w:tr w:rsidR="00FF22D7" w:rsidRPr="00EB6E70" w:rsidTr="00EB6E70">
        <w:trPr>
          <w:trHeight w:val="70"/>
          <w:jc w:val="center"/>
        </w:trPr>
        <w:tc>
          <w:tcPr>
            <w:tcW w:w="729" w:type="dxa"/>
            <w:vAlign w:val="center"/>
          </w:tcPr>
          <w:p w:rsidR="00FF22D7" w:rsidRPr="00EB6E70" w:rsidRDefault="00FF22D7" w:rsidP="00EB6E70">
            <w:pPr>
              <w:jc w:val="center"/>
              <w:rPr>
                <w:szCs w:val="21"/>
              </w:rPr>
            </w:pPr>
            <w:r w:rsidRPr="00EB6E70">
              <w:rPr>
                <w:szCs w:val="21"/>
              </w:rPr>
              <w:t>1</w:t>
            </w:r>
          </w:p>
        </w:tc>
        <w:tc>
          <w:tcPr>
            <w:tcW w:w="2040" w:type="dxa"/>
            <w:vAlign w:val="center"/>
          </w:tcPr>
          <w:p w:rsidR="00FF22D7" w:rsidRPr="00EB6E70" w:rsidRDefault="00FF22D7" w:rsidP="00EB6E70">
            <w:pPr>
              <w:widowControl/>
              <w:jc w:val="center"/>
              <w:rPr>
                <w:szCs w:val="21"/>
              </w:rPr>
            </w:pPr>
            <w:r w:rsidRPr="00EB6E70">
              <w:rPr>
                <w:rFonts w:hint="eastAsia"/>
                <w:szCs w:val="21"/>
              </w:rPr>
              <w:t>施阳台村（井）</w:t>
            </w:r>
          </w:p>
        </w:tc>
        <w:tc>
          <w:tcPr>
            <w:tcW w:w="1573" w:type="dxa"/>
            <w:vAlign w:val="center"/>
          </w:tcPr>
          <w:p w:rsidR="00FF22D7" w:rsidRPr="00EB6E70" w:rsidRDefault="00FF22D7" w:rsidP="00EB6E70">
            <w:pPr>
              <w:jc w:val="center"/>
              <w:rPr>
                <w:szCs w:val="21"/>
              </w:rPr>
            </w:pPr>
            <w:r w:rsidRPr="00EB6E70">
              <w:rPr>
                <w:szCs w:val="21"/>
              </w:rPr>
              <w:t>水质、水位</w:t>
            </w:r>
          </w:p>
        </w:tc>
        <w:tc>
          <w:tcPr>
            <w:tcW w:w="881" w:type="dxa"/>
            <w:vAlign w:val="center"/>
          </w:tcPr>
          <w:p w:rsidR="00FF22D7" w:rsidRPr="00EB6E70" w:rsidRDefault="007465FA" w:rsidP="00EB6E70">
            <w:pPr>
              <w:jc w:val="center"/>
              <w:rPr>
                <w:color w:val="FF0000"/>
                <w:szCs w:val="21"/>
              </w:rPr>
            </w:pPr>
            <w:r w:rsidRPr="00EB6E70">
              <w:rPr>
                <w:color w:val="FF0000"/>
                <w:szCs w:val="21"/>
              </w:rPr>
              <w:t>Q</w:t>
            </w:r>
            <w:r w:rsidRPr="00EB6E70">
              <w:rPr>
                <w:color w:val="FF0000"/>
                <w:szCs w:val="21"/>
                <w:vertAlign w:val="subscript"/>
              </w:rPr>
              <w:t>4</w:t>
            </w:r>
            <w:r w:rsidRPr="00EB6E70">
              <w:rPr>
                <w:color w:val="FF0000"/>
                <w:szCs w:val="21"/>
                <w:vertAlign w:val="superscript"/>
              </w:rPr>
              <w:t>al+pl</w:t>
            </w:r>
          </w:p>
        </w:tc>
        <w:tc>
          <w:tcPr>
            <w:tcW w:w="1559" w:type="dxa"/>
            <w:vAlign w:val="center"/>
          </w:tcPr>
          <w:p w:rsidR="00FF22D7" w:rsidRPr="00EB6E70" w:rsidRDefault="00FF22D7" w:rsidP="00EB6E70">
            <w:pPr>
              <w:jc w:val="center"/>
              <w:rPr>
                <w:color w:val="FF0000"/>
                <w:szCs w:val="21"/>
              </w:rPr>
            </w:pPr>
            <w:r w:rsidRPr="00EB6E70">
              <w:rPr>
                <w:rFonts w:hint="eastAsia"/>
                <w:color w:val="FF0000"/>
                <w:szCs w:val="21"/>
              </w:rPr>
              <w:t>工业场地上游</w:t>
            </w:r>
          </w:p>
        </w:tc>
        <w:tc>
          <w:tcPr>
            <w:tcW w:w="1560" w:type="dxa"/>
            <w:vMerge w:val="restart"/>
            <w:vAlign w:val="center"/>
          </w:tcPr>
          <w:p w:rsidR="00FF22D7" w:rsidRPr="00EB6E70" w:rsidRDefault="00FF22D7" w:rsidP="00EB6E70">
            <w:pPr>
              <w:jc w:val="center"/>
              <w:rPr>
                <w:color w:val="FF0000"/>
                <w:szCs w:val="21"/>
              </w:rPr>
            </w:pPr>
            <w:r w:rsidRPr="00EB6E70">
              <w:rPr>
                <w:rFonts w:hint="eastAsia"/>
                <w:color w:val="FF0000"/>
                <w:szCs w:val="21"/>
              </w:rPr>
              <w:t>工业场地上下游地下水水质现状调查</w:t>
            </w:r>
          </w:p>
        </w:tc>
      </w:tr>
      <w:tr w:rsidR="00FF22D7" w:rsidRPr="00EB6E70" w:rsidTr="00EB6E70">
        <w:trPr>
          <w:trHeight w:val="70"/>
          <w:jc w:val="center"/>
        </w:trPr>
        <w:tc>
          <w:tcPr>
            <w:tcW w:w="729" w:type="dxa"/>
            <w:vAlign w:val="center"/>
          </w:tcPr>
          <w:p w:rsidR="00FF22D7" w:rsidRPr="00EB6E70" w:rsidRDefault="00FF22D7" w:rsidP="00EB6E70">
            <w:pPr>
              <w:jc w:val="center"/>
              <w:rPr>
                <w:szCs w:val="21"/>
              </w:rPr>
            </w:pPr>
            <w:r w:rsidRPr="00EB6E70">
              <w:rPr>
                <w:szCs w:val="21"/>
              </w:rPr>
              <w:t>2</w:t>
            </w:r>
          </w:p>
        </w:tc>
        <w:tc>
          <w:tcPr>
            <w:tcW w:w="2040" w:type="dxa"/>
            <w:vAlign w:val="center"/>
          </w:tcPr>
          <w:p w:rsidR="00FF22D7" w:rsidRPr="00EB6E70" w:rsidRDefault="00FF22D7" w:rsidP="00EB6E70">
            <w:pPr>
              <w:widowControl/>
              <w:jc w:val="center"/>
              <w:rPr>
                <w:szCs w:val="21"/>
              </w:rPr>
            </w:pPr>
            <w:r w:rsidRPr="00EB6E70">
              <w:rPr>
                <w:rFonts w:hint="eastAsia"/>
                <w:szCs w:val="21"/>
              </w:rPr>
              <w:t>工业场地东部（井）</w:t>
            </w:r>
          </w:p>
        </w:tc>
        <w:tc>
          <w:tcPr>
            <w:tcW w:w="1573" w:type="dxa"/>
            <w:vAlign w:val="center"/>
          </w:tcPr>
          <w:p w:rsidR="00FF22D7" w:rsidRPr="00EB6E70" w:rsidRDefault="00FF22D7" w:rsidP="00EB6E70">
            <w:pPr>
              <w:jc w:val="center"/>
              <w:rPr>
                <w:szCs w:val="21"/>
              </w:rPr>
            </w:pPr>
            <w:r w:rsidRPr="00EB6E70">
              <w:rPr>
                <w:szCs w:val="21"/>
              </w:rPr>
              <w:t>水质、水位</w:t>
            </w:r>
          </w:p>
        </w:tc>
        <w:tc>
          <w:tcPr>
            <w:tcW w:w="881" w:type="dxa"/>
            <w:vAlign w:val="center"/>
          </w:tcPr>
          <w:p w:rsidR="00FF22D7" w:rsidRPr="00EB6E70" w:rsidRDefault="007465FA" w:rsidP="00EB6E70">
            <w:pPr>
              <w:jc w:val="center"/>
              <w:rPr>
                <w:color w:val="FF0000"/>
                <w:szCs w:val="21"/>
              </w:rPr>
            </w:pPr>
            <w:r w:rsidRPr="00EB6E70">
              <w:rPr>
                <w:color w:val="FF0000"/>
                <w:szCs w:val="21"/>
              </w:rPr>
              <w:t>Q</w:t>
            </w:r>
            <w:r w:rsidRPr="00EB6E70">
              <w:rPr>
                <w:color w:val="FF0000"/>
                <w:szCs w:val="21"/>
                <w:vertAlign w:val="subscript"/>
              </w:rPr>
              <w:t>4</w:t>
            </w:r>
            <w:r w:rsidRPr="00EB6E70">
              <w:rPr>
                <w:color w:val="FF0000"/>
                <w:szCs w:val="21"/>
                <w:vertAlign w:val="superscript"/>
              </w:rPr>
              <w:t>al+pl</w:t>
            </w:r>
          </w:p>
        </w:tc>
        <w:tc>
          <w:tcPr>
            <w:tcW w:w="1559" w:type="dxa"/>
            <w:vAlign w:val="center"/>
          </w:tcPr>
          <w:p w:rsidR="00FF22D7" w:rsidRPr="00EB6E70" w:rsidRDefault="00FF22D7" w:rsidP="00EB6E70">
            <w:pPr>
              <w:jc w:val="center"/>
              <w:rPr>
                <w:color w:val="FF0000"/>
                <w:szCs w:val="21"/>
              </w:rPr>
            </w:pPr>
            <w:r w:rsidRPr="00EB6E70">
              <w:rPr>
                <w:rFonts w:hint="eastAsia"/>
                <w:color w:val="FF0000"/>
                <w:szCs w:val="21"/>
              </w:rPr>
              <w:t>工业场地下游</w:t>
            </w:r>
          </w:p>
        </w:tc>
        <w:tc>
          <w:tcPr>
            <w:tcW w:w="1560" w:type="dxa"/>
            <w:vMerge/>
            <w:vAlign w:val="center"/>
          </w:tcPr>
          <w:p w:rsidR="00FF22D7" w:rsidRPr="00EB6E70" w:rsidRDefault="00FF22D7" w:rsidP="00EB6E70">
            <w:pPr>
              <w:jc w:val="center"/>
              <w:rPr>
                <w:color w:val="FF0000"/>
                <w:szCs w:val="21"/>
              </w:rPr>
            </w:pPr>
          </w:p>
        </w:tc>
      </w:tr>
      <w:tr w:rsidR="00FF22D7" w:rsidRPr="00EB6E70" w:rsidTr="00EB6E70">
        <w:trPr>
          <w:trHeight w:val="70"/>
          <w:jc w:val="center"/>
        </w:trPr>
        <w:tc>
          <w:tcPr>
            <w:tcW w:w="729" w:type="dxa"/>
            <w:vAlign w:val="center"/>
          </w:tcPr>
          <w:p w:rsidR="00FF22D7" w:rsidRPr="00EB6E70" w:rsidRDefault="00FF22D7" w:rsidP="00EB6E70">
            <w:pPr>
              <w:jc w:val="center"/>
              <w:rPr>
                <w:szCs w:val="21"/>
              </w:rPr>
            </w:pPr>
            <w:r w:rsidRPr="00EB6E70">
              <w:rPr>
                <w:szCs w:val="21"/>
              </w:rPr>
              <w:t>3</w:t>
            </w:r>
          </w:p>
        </w:tc>
        <w:tc>
          <w:tcPr>
            <w:tcW w:w="2040" w:type="dxa"/>
            <w:vAlign w:val="center"/>
          </w:tcPr>
          <w:p w:rsidR="00FF22D7" w:rsidRPr="00EB6E70" w:rsidRDefault="00FF22D7" w:rsidP="00EB6E70">
            <w:pPr>
              <w:widowControl/>
              <w:jc w:val="center"/>
              <w:rPr>
                <w:szCs w:val="21"/>
              </w:rPr>
            </w:pPr>
            <w:r w:rsidRPr="00EB6E70">
              <w:rPr>
                <w:rFonts w:hint="eastAsia"/>
                <w:szCs w:val="21"/>
              </w:rPr>
              <w:t>拓家阳坪村（井）</w:t>
            </w:r>
          </w:p>
        </w:tc>
        <w:tc>
          <w:tcPr>
            <w:tcW w:w="1573" w:type="dxa"/>
            <w:vAlign w:val="center"/>
          </w:tcPr>
          <w:p w:rsidR="00FF22D7" w:rsidRPr="00EB6E70" w:rsidRDefault="00FF22D7" w:rsidP="00EB6E70">
            <w:pPr>
              <w:jc w:val="center"/>
              <w:rPr>
                <w:szCs w:val="21"/>
              </w:rPr>
            </w:pPr>
            <w:r w:rsidRPr="00EB6E70">
              <w:rPr>
                <w:szCs w:val="21"/>
              </w:rPr>
              <w:t>水质、水位</w:t>
            </w:r>
          </w:p>
        </w:tc>
        <w:tc>
          <w:tcPr>
            <w:tcW w:w="881" w:type="dxa"/>
            <w:vAlign w:val="center"/>
          </w:tcPr>
          <w:p w:rsidR="00FF22D7" w:rsidRPr="00EB6E70" w:rsidRDefault="00A3164D" w:rsidP="00EB6E70">
            <w:pPr>
              <w:jc w:val="center"/>
              <w:rPr>
                <w:color w:val="FF0000"/>
                <w:szCs w:val="21"/>
              </w:rPr>
            </w:pPr>
            <w:r w:rsidRPr="00EB6E70">
              <w:rPr>
                <w:rFonts w:hint="eastAsia"/>
                <w:color w:val="FF0000"/>
                <w:szCs w:val="21"/>
              </w:rPr>
              <w:t>T</w:t>
            </w:r>
            <w:r w:rsidRPr="00EB6E70">
              <w:rPr>
                <w:rFonts w:hint="eastAsia"/>
                <w:color w:val="FF0000"/>
                <w:szCs w:val="21"/>
                <w:vertAlign w:val="subscript"/>
              </w:rPr>
              <w:t>3</w:t>
            </w:r>
            <w:r w:rsidRPr="00EB6E70">
              <w:rPr>
                <w:rFonts w:hint="eastAsia"/>
                <w:color w:val="FF0000"/>
                <w:szCs w:val="21"/>
              </w:rPr>
              <w:t>w</w:t>
            </w:r>
          </w:p>
        </w:tc>
        <w:tc>
          <w:tcPr>
            <w:tcW w:w="1559" w:type="dxa"/>
            <w:vAlign w:val="center"/>
          </w:tcPr>
          <w:p w:rsidR="00FF22D7" w:rsidRPr="00EB6E70" w:rsidRDefault="00FF22D7" w:rsidP="00EB6E70">
            <w:pPr>
              <w:jc w:val="center"/>
              <w:rPr>
                <w:color w:val="FF0000"/>
                <w:szCs w:val="21"/>
              </w:rPr>
            </w:pPr>
            <w:r w:rsidRPr="00EB6E70">
              <w:rPr>
                <w:rFonts w:hint="eastAsia"/>
                <w:color w:val="FF0000"/>
                <w:szCs w:val="21"/>
              </w:rPr>
              <w:t>工业场地下游</w:t>
            </w:r>
          </w:p>
        </w:tc>
        <w:tc>
          <w:tcPr>
            <w:tcW w:w="1560" w:type="dxa"/>
            <w:vMerge/>
            <w:vAlign w:val="center"/>
          </w:tcPr>
          <w:p w:rsidR="00FF22D7" w:rsidRPr="00EB6E70" w:rsidRDefault="00FF22D7" w:rsidP="00EB6E70">
            <w:pPr>
              <w:jc w:val="center"/>
              <w:rPr>
                <w:color w:val="FF0000"/>
                <w:szCs w:val="21"/>
              </w:rPr>
            </w:pPr>
          </w:p>
        </w:tc>
      </w:tr>
      <w:tr w:rsidR="00EB6E70" w:rsidRPr="00EB6E70" w:rsidTr="00EB6E70">
        <w:trPr>
          <w:jc w:val="center"/>
        </w:trPr>
        <w:tc>
          <w:tcPr>
            <w:tcW w:w="729" w:type="dxa"/>
            <w:vAlign w:val="center"/>
          </w:tcPr>
          <w:p w:rsidR="00EB6E70" w:rsidRPr="00EB6E70" w:rsidRDefault="00EB6E70" w:rsidP="00EB6E70">
            <w:pPr>
              <w:widowControl/>
              <w:jc w:val="center"/>
              <w:rPr>
                <w:szCs w:val="21"/>
              </w:rPr>
            </w:pPr>
            <w:r w:rsidRPr="00EB6E70">
              <w:rPr>
                <w:szCs w:val="21"/>
              </w:rPr>
              <w:t>4</w:t>
            </w:r>
          </w:p>
        </w:tc>
        <w:tc>
          <w:tcPr>
            <w:tcW w:w="2040" w:type="dxa"/>
            <w:vAlign w:val="center"/>
          </w:tcPr>
          <w:p w:rsidR="00EB6E70" w:rsidRPr="00EB6E70" w:rsidRDefault="00EB6E70" w:rsidP="00EB6E70">
            <w:pPr>
              <w:widowControl/>
              <w:jc w:val="center"/>
              <w:rPr>
                <w:szCs w:val="21"/>
              </w:rPr>
            </w:pPr>
            <w:r w:rsidRPr="00EB6E70">
              <w:rPr>
                <w:rFonts w:hint="eastAsia"/>
                <w:szCs w:val="21"/>
              </w:rPr>
              <w:t>施阳台散户（井）</w:t>
            </w:r>
          </w:p>
        </w:tc>
        <w:tc>
          <w:tcPr>
            <w:tcW w:w="1573" w:type="dxa"/>
            <w:vAlign w:val="center"/>
          </w:tcPr>
          <w:p w:rsidR="00EB6E70" w:rsidRPr="00EB6E70" w:rsidRDefault="00EB6E70" w:rsidP="00EB6E70">
            <w:pPr>
              <w:jc w:val="center"/>
              <w:rPr>
                <w:szCs w:val="21"/>
              </w:rPr>
            </w:pPr>
            <w:r w:rsidRPr="00EB6E70">
              <w:rPr>
                <w:szCs w:val="21"/>
              </w:rPr>
              <w:t>水位</w:t>
            </w:r>
          </w:p>
        </w:tc>
        <w:tc>
          <w:tcPr>
            <w:tcW w:w="881" w:type="dxa"/>
            <w:vAlign w:val="center"/>
          </w:tcPr>
          <w:p w:rsidR="00EB6E70" w:rsidRPr="00EB6E70" w:rsidRDefault="00AD35CE" w:rsidP="00EB6E70">
            <w:pPr>
              <w:jc w:val="center"/>
              <w:rPr>
                <w:color w:val="FF0000"/>
                <w:szCs w:val="21"/>
              </w:rPr>
            </w:pPr>
            <w:r w:rsidRPr="00EB6E70">
              <w:rPr>
                <w:rFonts w:hint="eastAsia"/>
                <w:color w:val="FF0000"/>
                <w:szCs w:val="21"/>
              </w:rPr>
              <w:t>T</w:t>
            </w:r>
            <w:r w:rsidRPr="00EB6E70">
              <w:rPr>
                <w:rFonts w:hint="eastAsia"/>
                <w:color w:val="FF0000"/>
                <w:szCs w:val="21"/>
                <w:vertAlign w:val="subscript"/>
              </w:rPr>
              <w:t>3</w:t>
            </w:r>
            <w:r w:rsidRPr="00EB6E70">
              <w:rPr>
                <w:rFonts w:hint="eastAsia"/>
                <w:color w:val="FF0000"/>
                <w:szCs w:val="21"/>
              </w:rPr>
              <w:t>w</w:t>
            </w:r>
          </w:p>
        </w:tc>
        <w:tc>
          <w:tcPr>
            <w:tcW w:w="1559" w:type="dxa"/>
            <w:vAlign w:val="center"/>
          </w:tcPr>
          <w:p w:rsidR="00EB6E70" w:rsidRPr="00EB6E70" w:rsidRDefault="00EB6E70" w:rsidP="00EB6E70">
            <w:pPr>
              <w:jc w:val="center"/>
              <w:rPr>
                <w:color w:val="FF0000"/>
                <w:szCs w:val="21"/>
              </w:rPr>
            </w:pPr>
            <w:r w:rsidRPr="00EB6E70">
              <w:rPr>
                <w:color w:val="FF0000"/>
                <w:szCs w:val="21"/>
              </w:rPr>
              <w:t>蚂蚁河</w:t>
            </w:r>
            <w:r w:rsidRPr="00EB6E70">
              <w:rPr>
                <w:rFonts w:hint="eastAsia"/>
                <w:color w:val="FF0000"/>
                <w:szCs w:val="21"/>
              </w:rPr>
              <w:t>南</w:t>
            </w:r>
            <w:r w:rsidRPr="00EB6E70">
              <w:rPr>
                <w:color w:val="FF0000"/>
                <w:szCs w:val="21"/>
              </w:rPr>
              <w:t>岸</w:t>
            </w:r>
          </w:p>
        </w:tc>
        <w:tc>
          <w:tcPr>
            <w:tcW w:w="1560" w:type="dxa"/>
            <w:vMerge w:val="restart"/>
            <w:vAlign w:val="center"/>
          </w:tcPr>
          <w:p w:rsidR="00EB6E70" w:rsidRPr="00EB6E70" w:rsidRDefault="00EB6E70" w:rsidP="00EB6E70">
            <w:pPr>
              <w:jc w:val="center"/>
              <w:rPr>
                <w:color w:val="FF0000"/>
                <w:szCs w:val="21"/>
              </w:rPr>
            </w:pPr>
            <w:r w:rsidRPr="00EB6E70">
              <w:rPr>
                <w:rFonts w:hint="eastAsia"/>
                <w:color w:val="FF0000"/>
                <w:szCs w:val="21"/>
              </w:rPr>
              <w:t>不同含水层水位调查</w:t>
            </w:r>
          </w:p>
        </w:tc>
      </w:tr>
      <w:tr w:rsidR="00EB6E70" w:rsidRPr="00EB6E70" w:rsidTr="00EB6E70">
        <w:trPr>
          <w:jc w:val="center"/>
        </w:trPr>
        <w:tc>
          <w:tcPr>
            <w:tcW w:w="729" w:type="dxa"/>
            <w:vAlign w:val="center"/>
          </w:tcPr>
          <w:p w:rsidR="00EB6E70" w:rsidRPr="00EB6E70" w:rsidRDefault="00EB6E70" w:rsidP="00EB6E70">
            <w:pPr>
              <w:widowControl/>
              <w:jc w:val="center"/>
              <w:rPr>
                <w:szCs w:val="21"/>
              </w:rPr>
            </w:pPr>
            <w:r w:rsidRPr="00EB6E70">
              <w:rPr>
                <w:szCs w:val="21"/>
              </w:rPr>
              <w:t>5</w:t>
            </w:r>
          </w:p>
        </w:tc>
        <w:tc>
          <w:tcPr>
            <w:tcW w:w="2040" w:type="dxa"/>
            <w:vAlign w:val="center"/>
          </w:tcPr>
          <w:p w:rsidR="00EB6E70" w:rsidRPr="00EB6E70" w:rsidRDefault="00EB6E70" w:rsidP="00EB6E70">
            <w:pPr>
              <w:widowControl/>
              <w:jc w:val="center"/>
              <w:rPr>
                <w:szCs w:val="21"/>
              </w:rPr>
            </w:pPr>
            <w:r w:rsidRPr="00EB6E70">
              <w:rPr>
                <w:rFonts w:hint="eastAsia"/>
                <w:szCs w:val="21"/>
              </w:rPr>
              <w:t>倒座茆村（井）</w:t>
            </w:r>
          </w:p>
        </w:tc>
        <w:tc>
          <w:tcPr>
            <w:tcW w:w="1573" w:type="dxa"/>
            <w:vAlign w:val="center"/>
          </w:tcPr>
          <w:p w:rsidR="00EB6E70" w:rsidRPr="00EB6E70" w:rsidRDefault="00EB6E70" w:rsidP="00EB6E70">
            <w:pPr>
              <w:jc w:val="center"/>
              <w:rPr>
                <w:szCs w:val="21"/>
              </w:rPr>
            </w:pPr>
            <w:r w:rsidRPr="00EB6E70">
              <w:rPr>
                <w:szCs w:val="21"/>
              </w:rPr>
              <w:t>水位</w:t>
            </w:r>
          </w:p>
        </w:tc>
        <w:tc>
          <w:tcPr>
            <w:tcW w:w="881" w:type="dxa"/>
            <w:vAlign w:val="center"/>
          </w:tcPr>
          <w:p w:rsidR="00EB6E70" w:rsidRPr="00EB6E70" w:rsidRDefault="00EB6E70" w:rsidP="00EB6E70">
            <w:pPr>
              <w:jc w:val="center"/>
              <w:rPr>
                <w:color w:val="FF0000"/>
                <w:szCs w:val="21"/>
              </w:rPr>
            </w:pPr>
            <w:r w:rsidRPr="00EB6E70">
              <w:rPr>
                <w:rFonts w:hint="eastAsia"/>
                <w:color w:val="FF0000"/>
                <w:szCs w:val="21"/>
              </w:rPr>
              <w:t>T</w:t>
            </w:r>
            <w:r w:rsidRPr="00EB6E70">
              <w:rPr>
                <w:rFonts w:hint="eastAsia"/>
                <w:color w:val="FF0000"/>
                <w:szCs w:val="21"/>
                <w:vertAlign w:val="subscript"/>
              </w:rPr>
              <w:t>3</w:t>
            </w:r>
            <w:r w:rsidRPr="00EB6E70">
              <w:rPr>
                <w:rFonts w:hint="eastAsia"/>
                <w:color w:val="FF0000"/>
                <w:szCs w:val="21"/>
              </w:rPr>
              <w:t>w</w:t>
            </w:r>
          </w:p>
        </w:tc>
        <w:tc>
          <w:tcPr>
            <w:tcW w:w="1559" w:type="dxa"/>
            <w:vAlign w:val="center"/>
          </w:tcPr>
          <w:p w:rsidR="00EB6E70" w:rsidRPr="00EB6E70" w:rsidRDefault="00EB6E70" w:rsidP="00EB6E70">
            <w:pPr>
              <w:jc w:val="center"/>
              <w:rPr>
                <w:color w:val="FF0000"/>
                <w:szCs w:val="21"/>
              </w:rPr>
            </w:pPr>
            <w:r w:rsidRPr="00EB6E70">
              <w:rPr>
                <w:rFonts w:hint="eastAsia"/>
                <w:color w:val="FF0000"/>
                <w:szCs w:val="21"/>
              </w:rPr>
              <w:t>五盘区以东</w:t>
            </w:r>
          </w:p>
        </w:tc>
        <w:tc>
          <w:tcPr>
            <w:tcW w:w="1560" w:type="dxa"/>
            <w:vMerge/>
            <w:vAlign w:val="center"/>
          </w:tcPr>
          <w:p w:rsidR="00EB6E70" w:rsidRPr="00EB6E70" w:rsidRDefault="00EB6E70" w:rsidP="00EB6E70">
            <w:pPr>
              <w:jc w:val="center"/>
              <w:rPr>
                <w:color w:val="FF0000"/>
                <w:szCs w:val="21"/>
              </w:rPr>
            </w:pPr>
          </w:p>
        </w:tc>
      </w:tr>
      <w:tr w:rsidR="00EB6E70" w:rsidRPr="00EB6E70" w:rsidTr="00EB6E70">
        <w:trPr>
          <w:jc w:val="center"/>
        </w:trPr>
        <w:tc>
          <w:tcPr>
            <w:tcW w:w="729" w:type="dxa"/>
            <w:vAlign w:val="center"/>
          </w:tcPr>
          <w:p w:rsidR="00EB6E70" w:rsidRPr="00EB6E70" w:rsidRDefault="00EB6E70" w:rsidP="00EB6E70">
            <w:pPr>
              <w:widowControl/>
              <w:jc w:val="center"/>
              <w:rPr>
                <w:szCs w:val="21"/>
              </w:rPr>
            </w:pPr>
            <w:r w:rsidRPr="00EB6E70">
              <w:rPr>
                <w:szCs w:val="21"/>
              </w:rPr>
              <w:t>6</w:t>
            </w:r>
          </w:p>
        </w:tc>
        <w:tc>
          <w:tcPr>
            <w:tcW w:w="2040" w:type="dxa"/>
            <w:vAlign w:val="center"/>
          </w:tcPr>
          <w:p w:rsidR="00EB6E70" w:rsidRPr="00EB6E70" w:rsidRDefault="00EB6E70" w:rsidP="00EB6E70">
            <w:pPr>
              <w:widowControl/>
              <w:jc w:val="center"/>
              <w:rPr>
                <w:szCs w:val="21"/>
              </w:rPr>
            </w:pPr>
            <w:r w:rsidRPr="00EB6E70">
              <w:rPr>
                <w:rFonts w:hint="eastAsia"/>
                <w:szCs w:val="21"/>
              </w:rPr>
              <w:t>藏家沟村（井）</w:t>
            </w:r>
          </w:p>
        </w:tc>
        <w:tc>
          <w:tcPr>
            <w:tcW w:w="1573" w:type="dxa"/>
            <w:vAlign w:val="center"/>
          </w:tcPr>
          <w:p w:rsidR="00EB6E70" w:rsidRPr="00EB6E70" w:rsidRDefault="00EB6E70" w:rsidP="00EB6E70">
            <w:pPr>
              <w:jc w:val="center"/>
              <w:rPr>
                <w:szCs w:val="21"/>
              </w:rPr>
            </w:pPr>
            <w:r w:rsidRPr="00EB6E70">
              <w:rPr>
                <w:szCs w:val="21"/>
              </w:rPr>
              <w:t>水位</w:t>
            </w:r>
          </w:p>
        </w:tc>
        <w:tc>
          <w:tcPr>
            <w:tcW w:w="881" w:type="dxa"/>
            <w:vAlign w:val="center"/>
          </w:tcPr>
          <w:p w:rsidR="00EB6E70" w:rsidRPr="00EB6E70" w:rsidRDefault="00EB6E70" w:rsidP="00EB6E70">
            <w:pPr>
              <w:jc w:val="center"/>
              <w:rPr>
                <w:color w:val="FF0000"/>
                <w:szCs w:val="21"/>
              </w:rPr>
            </w:pPr>
            <w:r w:rsidRPr="00EB6E70">
              <w:rPr>
                <w:rFonts w:hint="eastAsia"/>
                <w:color w:val="FF0000"/>
                <w:szCs w:val="21"/>
              </w:rPr>
              <w:t>J2y</w:t>
            </w:r>
          </w:p>
        </w:tc>
        <w:tc>
          <w:tcPr>
            <w:tcW w:w="1559" w:type="dxa"/>
            <w:vAlign w:val="center"/>
          </w:tcPr>
          <w:p w:rsidR="00EB6E70" w:rsidRPr="00EB6E70" w:rsidRDefault="00EB6E70" w:rsidP="00EB6E70">
            <w:pPr>
              <w:jc w:val="center"/>
              <w:rPr>
                <w:color w:val="FF0000"/>
                <w:szCs w:val="21"/>
              </w:rPr>
            </w:pPr>
            <w:r w:rsidRPr="00EB6E70">
              <w:rPr>
                <w:rFonts w:hint="eastAsia"/>
                <w:color w:val="FF0000"/>
                <w:szCs w:val="21"/>
              </w:rPr>
              <w:t>三盘区</w:t>
            </w:r>
          </w:p>
        </w:tc>
        <w:tc>
          <w:tcPr>
            <w:tcW w:w="1560" w:type="dxa"/>
            <w:vMerge/>
            <w:vAlign w:val="center"/>
          </w:tcPr>
          <w:p w:rsidR="00EB6E70" w:rsidRPr="00EB6E70" w:rsidRDefault="00EB6E70" w:rsidP="00EB6E70">
            <w:pPr>
              <w:jc w:val="center"/>
              <w:rPr>
                <w:color w:val="FF0000"/>
                <w:szCs w:val="21"/>
              </w:rPr>
            </w:pPr>
          </w:p>
        </w:tc>
      </w:tr>
    </w:tbl>
    <w:p w:rsidR="00C223F5" w:rsidRDefault="005860D5">
      <w:pPr>
        <w:spacing w:line="360" w:lineRule="auto"/>
        <w:ind w:firstLineChars="200" w:firstLine="480"/>
        <w:rPr>
          <w:sz w:val="24"/>
        </w:rPr>
      </w:pPr>
      <w:r>
        <w:rPr>
          <w:sz w:val="24"/>
        </w:rPr>
        <w:t>（</w:t>
      </w:r>
      <w:r>
        <w:rPr>
          <w:sz w:val="24"/>
        </w:rPr>
        <w:t>2</w:t>
      </w:r>
      <w:r>
        <w:rPr>
          <w:sz w:val="24"/>
        </w:rPr>
        <w:t>）监测项目及频率</w:t>
      </w:r>
    </w:p>
    <w:p w:rsidR="00C223F5" w:rsidRDefault="005860D5">
      <w:pPr>
        <w:spacing w:line="360" w:lineRule="auto"/>
        <w:ind w:firstLineChars="200" w:firstLine="480"/>
        <w:rPr>
          <w:sz w:val="24"/>
        </w:rPr>
      </w:pPr>
      <w:r>
        <w:rPr>
          <w:rFonts w:hint="eastAsia"/>
          <w:sz w:val="24"/>
        </w:rPr>
        <w:t>检测项目：</w:t>
      </w:r>
      <w:r>
        <w:rPr>
          <w:sz w:val="24"/>
        </w:rPr>
        <w:t>K</w:t>
      </w:r>
      <w:r>
        <w:rPr>
          <w:sz w:val="24"/>
          <w:vertAlign w:val="superscript"/>
        </w:rPr>
        <w:t>+</w:t>
      </w:r>
      <w:r>
        <w:rPr>
          <w:rFonts w:hint="eastAsia"/>
          <w:sz w:val="24"/>
        </w:rPr>
        <w:t>、</w:t>
      </w:r>
      <w:r>
        <w:rPr>
          <w:sz w:val="24"/>
        </w:rPr>
        <w:t xml:space="preserve"> Na</w:t>
      </w:r>
      <w:r>
        <w:rPr>
          <w:sz w:val="24"/>
          <w:vertAlign w:val="superscript"/>
        </w:rPr>
        <w:t>+</w:t>
      </w:r>
      <w:r>
        <w:rPr>
          <w:rFonts w:hAnsi="Calibri"/>
          <w:sz w:val="24"/>
        </w:rPr>
        <w:t>、</w:t>
      </w:r>
      <w:r>
        <w:rPr>
          <w:sz w:val="24"/>
        </w:rPr>
        <w:t>Ca</w:t>
      </w:r>
      <w:r>
        <w:rPr>
          <w:sz w:val="24"/>
          <w:vertAlign w:val="superscript"/>
        </w:rPr>
        <w:t>2+</w:t>
      </w:r>
      <w:r>
        <w:rPr>
          <w:rFonts w:hAnsi="Calibri"/>
          <w:sz w:val="24"/>
        </w:rPr>
        <w:t>、</w:t>
      </w:r>
      <w:r>
        <w:rPr>
          <w:sz w:val="24"/>
        </w:rPr>
        <w:t>Mg</w:t>
      </w:r>
      <w:r>
        <w:rPr>
          <w:sz w:val="24"/>
          <w:vertAlign w:val="superscript"/>
        </w:rPr>
        <w:t>2+</w:t>
      </w:r>
      <w:r>
        <w:rPr>
          <w:rFonts w:hAnsi="Calibri"/>
          <w:sz w:val="24"/>
        </w:rPr>
        <w:t>、</w:t>
      </w:r>
      <w:r>
        <w:rPr>
          <w:sz w:val="24"/>
        </w:rPr>
        <w:t>CO</w:t>
      </w:r>
      <w:r>
        <w:rPr>
          <w:sz w:val="24"/>
          <w:vertAlign w:val="subscript"/>
        </w:rPr>
        <w:t>3</w:t>
      </w:r>
      <w:r>
        <w:rPr>
          <w:sz w:val="24"/>
          <w:vertAlign w:val="superscript"/>
        </w:rPr>
        <w:t>2-</w:t>
      </w:r>
      <w:r>
        <w:rPr>
          <w:rFonts w:hAnsi="Calibri"/>
          <w:sz w:val="24"/>
        </w:rPr>
        <w:t>、</w:t>
      </w:r>
      <w:r>
        <w:rPr>
          <w:sz w:val="24"/>
        </w:rPr>
        <w:t>HCO</w:t>
      </w:r>
      <w:r>
        <w:rPr>
          <w:sz w:val="24"/>
          <w:vertAlign w:val="subscript"/>
        </w:rPr>
        <w:t>3</w:t>
      </w:r>
      <w:r>
        <w:rPr>
          <w:sz w:val="24"/>
          <w:vertAlign w:val="superscript"/>
        </w:rPr>
        <w:t>-</w:t>
      </w:r>
      <w:r>
        <w:rPr>
          <w:rFonts w:hAnsi="Calibri"/>
          <w:sz w:val="24"/>
        </w:rPr>
        <w:t>、</w:t>
      </w:r>
      <w:r>
        <w:rPr>
          <w:sz w:val="24"/>
        </w:rPr>
        <w:t>Cl</w:t>
      </w:r>
      <w:r>
        <w:rPr>
          <w:sz w:val="24"/>
          <w:vertAlign w:val="superscript"/>
        </w:rPr>
        <w:t>-</w:t>
      </w:r>
      <w:r>
        <w:rPr>
          <w:rFonts w:hAnsi="Calibri"/>
          <w:sz w:val="24"/>
        </w:rPr>
        <w:t>、</w:t>
      </w:r>
      <w:r>
        <w:rPr>
          <w:sz w:val="24"/>
        </w:rPr>
        <w:t>SO</w:t>
      </w:r>
      <w:r>
        <w:rPr>
          <w:sz w:val="24"/>
          <w:vertAlign w:val="subscript"/>
        </w:rPr>
        <w:t>4</w:t>
      </w:r>
      <w:r>
        <w:rPr>
          <w:sz w:val="24"/>
          <w:vertAlign w:val="superscript"/>
        </w:rPr>
        <w:t>2-</w:t>
      </w:r>
      <w:r>
        <w:rPr>
          <w:rFonts w:hint="eastAsia"/>
          <w:sz w:val="24"/>
        </w:rPr>
        <w:t>共</w:t>
      </w:r>
      <w:r>
        <w:rPr>
          <w:rFonts w:hint="eastAsia"/>
          <w:sz w:val="24"/>
        </w:rPr>
        <w:t>8</w:t>
      </w:r>
      <w:r>
        <w:rPr>
          <w:rFonts w:hint="eastAsia"/>
          <w:sz w:val="24"/>
        </w:rPr>
        <w:t>项。</w:t>
      </w:r>
    </w:p>
    <w:p w:rsidR="00C223F5" w:rsidRDefault="005860D5">
      <w:pPr>
        <w:spacing w:line="360" w:lineRule="auto"/>
        <w:ind w:firstLineChars="200" w:firstLine="480"/>
        <w:jc w:val="left"/>
        <w:rPr>
          <w:sz w:val="24"/>
        </w:rPr>
      </w:pPr>
      <w:r>
        <w:rPr>
          <w:rFonts w:hint="eastAsia"/>
          <w:sz w:val="24"/>
        </w:rPr>
        <w:t>监测项目：</w:t>
      </w:r>
      <w:r>
        <w:rPr>
          <w:sz w:val="24"/>
        </w:rPr>
        <w:t>pH</w:t>
      </w:r>
      <w:r>
        <w:rPr>
          <w:rFonts w:hAnsi="Calibri"/>
          <w:sz w:val="24"/>
        </w:rPr>
        <w:t>、氨氮、硝酸盐氮、亚硝酸盐氮、挥发酚、砷、汞、六价铬、氟、镉、铁、锰、溶解性总固体、</w:t>
      </w:r>
      <w:r>
        <w:rPr>
          <w:rFonts w:hAnsi="Calibri" w:hint="eastAsia"/>
          <w:sz w:val="24"/>
        </w:rPr>
        <w:t>耗氧量</w:t>
      </w:r>
      <w:r>
        <w:rPr>
          <w:sz w:val="24"/>
        </w:rPr>
        <w:t>、总大肠菌群</w:t>
      </w:r>
      <w:r>
        <w:rPr>
          <w:rFonts w:hint="eastAsia"/>
          <w:sz w:val="24"/>
        </w:rPr>
        <w:t>共</w:t>
      </w:r>
      <w:r>
        <w:rPr>
          <w:rFonts w:hint="eastAsia"/>
          <w:sz w:val="24"/>
        </w:rPr>
        <w:t>15</w:t>
      </w:r>
      <w:r>
        <w:rPr>
          <w:rFonts w:hint="eastAsia"/>
          <w:sz w:val="24"/>
        </w:rPr>
        <w:t>项</w:t>
      </w:r>
      <w:r>
        <w:rPr>
          <w:sz w:val="24"/>
        </w:rPr>
        <w:t>。</w:t>
      </w:r>
    </w:p>
    <w:p w:rsidR="00C223F5" w:rsidRDefault="005860D5">
      <w:pPr>
        <w:spacing w:line="360" w:lineRule="auto"/>
        <w:ind w:firstLineChars="200" w:firstLine="480"/>
        <w:rPr>
          <w:sz w:val="24"/>
          <w:highlight w:val="yellow"/>
        </w:rPr>
      </w:pPr>
      <w:r>
        <w:rPr>
          <w:sz w:val="24"/>
        </w:rPr>
        <w:t>水位监测项目：</w:t>
      </w:r>
      <w:r>
        <w:rPr>
          <w:rFonts w:hint="eastAsia"/>
          <w:sz w:val="24"/>
        </w:rPr>
        <w:t>井坐标、</w:t>
      </w:r>
      <w:r>
        <w:rPr>
          <w:sz w:val="24"/>
        </w:rPr>
        <w:t>井深、井口标高、</w:t>
      </w:r>
      <w:r>
        <w:rPr>
          <w:rFonts w:hint="eastAsia"/>
          <w:sz w:val="24"/>
        </w:rPr>
        <w:t>水位埋深、功能</w:t>
      </w:r>
      <w:r>
        <w:rPr>
          <w:sz w:val="24"/>
        </w:rPr>
        <w:t>。</w:t>
      </w:r>
    </w:p>
    <w:p w:rsidR="00C223F5" w:rsidRDefault="005860D5">
      <w:pPr>
        <w:spacing w:line="360" w:lineRule="auto"/>
        <w:ind w:firstLineChars="200" w:firstLine="480"/>
        <w:rPr>
          <w:sz w:val="24"/>
        </w:rPr>
      </w:pPr>
      <w:r>
        <w:rPr>
          <w:sz w:val="24"/>
        </w:rPr>
        <w:t>监测频率为一期</w:t>
      </w:r>
      <w:r>
        <w:rPr>
          <w:sz w:val="24"/>
        </w:rPr>
        <w:t>1</w:t>
      </w:r>
      <w:r>
        <w:rPr>
          <w:sz w:val="24"/>
        </w:rPr>
        <w:t>天</w:t>
      </w:r>
      <w:r>
        <w:rPr>
          <w:sz w:val="24"/>
        </w:rPr>
        <w:t>1</w:t>
      </w:r>
      <w:r>
        <w:rPr>
          <w:sz w:val="24"/>
        </w:rPr>
        <w:t>次。</w:t>
      </w:r>
    </w:p>
    <w:p w:rsidR="00C223F5" w:rsidRDefault="005860D5">
      <w:pPr>
        <w:spacing w:line="360" w:lineRule="auto"/>
        <w:ind w:firstLineChars="200" w:firstLine="480"/>
        <w:rPr>
          <w:sz w:val="24"/>
        </w:rPr>
      </w:pPr>
      <w:r>
        <w:rPr>
          <w:sz w:val="24"/>
        </w:rPr>
        <w:t>（</w:t>
      </w:r>
      <w:r>
        <w:rPr>
          <w:sz w:val="24"/>
        </w:rPr>
        <w:t>3</w:t>
      </w:r>
      <w:r>
        <w:rPr>
          <w:sz w:val="24"/>
        </w:rPr>
        <w:t>）监测结果</w:t>
      </w:r>
    </w:p>
    <w:p w:rsidR="00C223F5" w:rsidRDefault="005860D5">
      <w:pPr>
        <w:spacing w:line="360" w:lineRule="auto"/>
        <w:ind w:firstLineChars="200" w:firstLine="480"/>
        <w:rPr>
          <w:sz w:val="24"/>
        </w:rPr>
      </w:pPr>
      <w:r>
        <w:rPr>
          <w:sz w:val="24"/>
        </w:rPr>
        <w:t>水质监测结果见表</w:t>
      </w:r>
      <w:r>
        <w:rPr>
          <w:sz w:val="24"/>
        </w:rPr>
        <w:t>3.</w:t>
      </w:r>
      <w:r>
        <w:rPr>
          <w:rFonts w:hint="eastAsia"/>
          <w:sz w:val="24"/>
        </w:rPr>
        <w:t>3</w:t>
      </w:r>
      <w:r>
        <w:rPr>
          <w:sz w:val="24"/>
        </w:rPr>
        <w:t>.1-</w:t>
      </w:r>
      <w:r w:rsidR="004656C0">
        <w:rPr>
          <w:rFonts w:hint="eastAsia"/>
          <w:sz w:val="24"/>
        </w:rPr>
        <w:t>2</w:t>
      </w:r>
      <w:r w:rsidR="004656C0">
        <w:rPr>
          <w:rFonts w:hint="eastAsia"/>
          <w:sz w:val="24"/>
        </w:rPr>
        <w:t>，</w:t>
      </w:r>
      <w:r w:rsidR="004656C0">
        <w:rPr>
          <w:sz w:val="24"/>
        </w:rPr>
        <w:t>地下水水位监测结果见表</w:t>
      </w:r>
      <w:r w:rsidR="004656C0">
        <w:rPr>
          <w:sz w:val="24"/>
        </w:rPr>
        <w:t>3.</w:t>
      </w:r>
      <w:r w:rsidR="004656C0">
        <w:rPr>
          <w:rFonts w:hint="eastAsia"/>
          <w:sz w:val="24"/>
        </w:rPr>
        <w:t>3</w:t>
      </w:r>
      <w:r w:rsidR="004656C0">
        <w:rPr>
          <w:sz w:val="24"/>
        </w:rPr>
        <w:t>.1-</w:t>
      </w:r>
      <w:r w:rsidR="004656C0">
        <w:rPr>
          <w:rFonts w:hint="eastAsia"/>
          <w:sz w:val="24"/>
        </w:rPr>
        <w:t>3</w:t>
      </w:r>
      <w:r w:rsidR="004656C0">
        <w:rPr>
          <w:rFonts w:hint="eastAsia"/>
          <w:sz w:val="24"/>
        </w:rPr>
        <w:t>。</w:t>
      </w:r>
    </w:p>
    <w:p w:rsidR="00EB6E70" w:rsidRDefault="00EB6E70" w:rsidP="00C006A7">
      <w:pPr>
        <w:tabs>
          <w:tab w:val="left" w:pos="2552"/>
          <w:tab w:val="left" w:pos="5387"/>
        </w:tabs>
        <w:jc w:val="center"/>
        <w:rPr>
          <w:rFonts w:eastAsia="新宋体"/>
          <w:b/>
          <w:sz w:val="24"/>
        </w:rPr>
      </w:pPr>
      <w:r>
        <w:rPr>
          <w:rFonts w:eastAsia="新宋体"/>
          <w:b/>
          <w:sz w:val="24"/>
        </w:rPr>
        <w:t>3.</w:t>
      </w:r>
      <w:r>
        <w:rPr>
          <w:rFonts w:eastAsia="新宋体" w:hint="eastAsia"/>
          <w:b/>
          <w:sz w:val="24"/>
        </w:rPr>
        <w:t>3</w:t>
      </w:r>
      <w:r>
        <w:rPr>
          <w:rFonts w:eastAsia="新宋体"/>
          <w:b/>
          <w:sz w:val="24"/>
        </w:rPr>
        <w:t>.1-</w:t>
      </w:r>
      <w:r>
        <w:rPr>
          <w:rFonts w:eastAsia="新宋体" w:hint="eastAsia"/>
          <w:b/>
          <w:sz w:val="24"/>
        </w:rPr>
        <w:t>3</w:t>
      </w:r>
      <w:r>
        <w:rPr>
          <w:rFonts w:eastAsia="新宋体"/>
          <w:b/>
          <w:sz w:val="24"/>
        </w:rPr>
        <w:t xml:space="preserve">   </w:t>
      </w:r>
      <w:r>
        <w:rPr>
          <w:rFonts w:eastAsia="新宋体"/>
          <w:b/>
          <w:sz w:val="24"/>
        </w:rPr>
        <w:t>地下水水位现状监测结果统计表</w:t>
      </w:r>
    </w:p>
    <w:tbl>
      <w:tblPr>
        <w:tblStyle w:val="afffe"/>
        <w:tblpPr w:leftFromText="180" w:rightFromText="180" w:vertAnchor="text" w:horzAnchor="page" w:tblpXSpec="center" w:tblpY="42"/>
        <w:tblOverlap w:val="never"/>
        <w:tblW w:w="8613" w:type="dxa"/>
        <w:jc w:val="center"/>
        <w:tblLayout w:type="fixed"/>
        <w:tblLook w:val="04A0" w:firstRow="1" w:lastRow="0" w:firstColumn="1" w:lastColumn="0" w:noHBand="0" w:noVBand="1"/>
      </w:tblPr>
      <w:tblGrid>
        <w:gridCol w:w="1668"/>
        <w:gridCol w:w="1608"/>
        <w:gridCol w:w="1418"/>
        <w:gridCol w:w="818"/>
        <w:gridCol w:w="805"/>
        <w:gridCol w:w="786"/>
        <w:gridCol w:w="750"/>
        <w:gridCol w:w="760"/>
      </w:tblGrid>
      <w:tr w:rsidR="00EB6E70" w:rsidTr="004835BD">
        <w:trPr>
          <w:trHeight w:val="413"/>
          <w:jc w:val="center"/>
        </w:trPr>
        <w:tc>
          <w:tcPr>
            <w:tcW w:w="1668" w:type="dxa"/>
            <w:vMerge w:val="restart"/>
            <w:vAlign w:val="center"/>
          </w:tcPr>
          <w:p w:rsidR="00EB6E70" w:rsidRDefault="00EB6E70" w:rsidP="004A6DE1">
            <w:pPr>
              <w:pStyle w:val="a8"/>
              <w:autoSpaceDE w:val="0"/>
              <w:autoSpaceDN w:val="0"/>
              <w:adjustRightInd w:val="0"/>
              <w:rPr>
                <w:rFonts w:eastAsiaTheme="minorEastAsia"/>
                <w:b w:val="0"/>
                <w:szCs w:val="21"/>
              </w:rPr>
            </w:pPr>
            <w:r>
              <w:rPr>
                <w:rFonts w:eastAsiaTheme="minorEastAsia" w:hAnsiTheme="minorEastAsia"/>
                <w:b w:val="0"/>
                <w:szCs w:val="21"/>
              </w:rPr>
              <w:t>采样点</w:t>
            </w:r>
          </w:p>
        </w:tc>
        <w:tc>
          <w:tcPr>
            <w:tcW w:w="3026" w:type="dxa"/>
            <w:gridSpan w:val="2"/>
            <w:vAlign w:val="center"/>
          </w:tcPr>
          <w:p w:rsidR="00EB6E70" w:rsidRDefault="00EB6E70" w:rsidP="004A6DE1">
            <w:pPr>
              <w:pStyle w:val="a8"/>
              <w:autoSpaceDE w:val="0"/>
              <w:autoSpaceDN w:val="0"/>
              <w:adjustRightInd w:val="0"/>
              <w:rPr>
                <w:rFonts w:eastAsiaTheme="minorEastAsia"/>
                <w:b w:val="0"/>
                <w:szCs w:val="21"/>
              </w:rPr>
            </w:pPr>
            <w:r>
              <w:rPr>
                <w:rFonts w:eastAsiaTheme="minorEastAsia" w:hint="eastAsia"/>
                <w:b w:val="0"/>
                <w:szCs w:val="21"/>
              </w:rPr>
              <w:t>井口坐标</w:t>
            </w:r>
          </w:p>
        </w:tc>
        <w:tc>
          <w:tcPr>
            <w:tcW w:w="818" w:type="dxa"/>
            <w:vMerge w:val="restart"/>
            <w:vAlign w:val="center"/>
          </w:tcPr>
          <w:p w:rsidR="00EB6E70" w:rsidRDefault="00EB6E70" w:rsidP="004A6DE1">
            <w:pPr>
              <w:pStyle w:val="a8"/>
              <w:autoSpaceDE w:val="0"/>
              <w:autoSpaceDN w:val="0"/>
              <w:adjustRightInd w:val="0"/>
              <w:rPr>
                <w:rFonts w:eastAsiaTheme="minorEastAsia"/>
                <w:b w:val="0"/>
                <w:szCs w:val="21"/>
              </w:rPr>
            </w:pPr>
            <w:r>
              <w:rPr>
                <w:rFonts w:eastAsiaTheme="minorEastAsia" w:hAnsiTheme="minorEastAsia"/>
                <w:b w:val="0"/>
                <w:szCs w:val="21"/>
              </w:rPr>
              <w:t>井口标高（</w:t>
            </w:r>
            <w:r>
              <w:rPr>
                <w:rFonts w:eastAsiaTheme="minorEastAsia"/>
                <w:b w:val="0"/>
                <w:szCs w:val="21"/>
              </w:rPr>
              <w:t>m</w:t>
            </w:r>
            <w:r>
              <w:rPr>
                <w:rFonts w:eastAsiaTheme="minorEastAsia" w:hAnsiTheme="minorEastAsia"/>
                <w:b w:val="0"/>
                <w:szCs w:val="21"/>
              </w:rPr>
              <w:t>）</w:t>
            </w:r>
          </w:p>
        </w:tc>
        <w:tc>
          <w:tcPr>
            <w:tcW w:w="805" w:type="dxa"/>
            <w:vMerge w:val="restart"/>
            <w:vAlign w:val="center"/>
          </w:tcPr>
          <w:p w:rsidR="00EB6E70" w:rsidRDefault="00EB6E70" w:rsidP="004A6DE1">
            <w:pPr>
              <w:pStyle w:val="a8"/>
              <w:autoSpaceDE w:val="0"/>
              <w:autoSpaceDN w:val="0"/>
              <w:adjustRightInd w:val="0"/>
              <w:rPr>
                <w:rFonts w:eastAsiaTheme="minorEastAsia"/>
                <w:b w:val="0"/>
                <w:szCs w:val="21"/>
              </w:rPr>
            </w:pPr>
            <w:r>
              <w:rPr>
                <w:rFonts w:eastAsiaTheme="minorEastAsia" w:hAnsiTheme="minorEastAsia"/>
                <w:b w:val="0"/>
                <w:szCs w:val="21"/>
              </w:rPr>
              <w:t>水位埋深（</w:t>
            </w:r>
            <w:r>
              <w:rPr>
                <w:rFonts w:eastAsiaTheme="minorEastAsia"/>
                <w:b w:val="0"/>
                <w:szCs w:val="21"/>
              </w:rPr>
              <w:t>m</w:t>
            </w:r>
            <w:r>
              <w:rPr>
                <w:rFonts w:eastAsiaTheme="minorEastAsia" w:hAnsiTheme="minorEastAsia"/>
                <w:b w:val="0"/>
                <w:szCs w:val="21"/>
              </w:rPr>
              <w:t>）</w:t>
            </w:r>
          </w:p>
        </w:tc>
        <w:tc>
          <w:tcPr>
            <w:tcW w:w="786" w:type="dxa"/>
            <w:vMerge w:val="restart"/>
            <w:vAlign w:val="center"/>
          </w:tcPr>
          <w:p w:rsidR="00EB6E70" w:rsidRDefault="00EB6E70" w:rsidP="004A6DE1">
            <w:pPr>
              <w:pStyle w:val="a8"/>
              <w:autoSpaceDE w:val="0"/>
              <w:autoSpaceDN w:val="0"/>
              <w:adjustRightInd w:val="0"/>
              <w:rPr>
                <w:rFonts w:eastAsiaTheme="minorEastAsia"/>
                <w:b w:val="0"/>
                <w:szCs w:val="21"/>
              </w:rPr>
            </w:pPr>
            <w:r>
              <w:rPr>
                <w:rFonts w:eastAsiaTheme="minorEastAsia" w:hAnsiTheme="minorEastAsia"/>
                <w:b w:val="0"/>
                <w:szCs w:val="21"/>
              </w:rPr>
              <w:t>井深（</w:t>
            </w:r>
            <w:r>
              <w:rPr>
                <w:rFonts w:eastAsiaTheme="minorEastAsia"/>
                <w:b w:val="0"/>
                <w:szCs w:val="21"/>
              </w:rPr>
              <w:t>m</w:t>
            </w:r>
            <w:r>
              <w:rPr>
                <w:rFonts w:eastAsiaTheme="minorEastAsia" w:hAnsiTheme="minorEastAsia"/>
                <w:b w:val="0"/>
                <w:szCs w:val="21"/>
              </w:rPr>
              <w:t>）</w:t>
            </w:r>
          </w:p>
        </w:tc>
        <w:tc>
          <w:tcPr>
            <w:tcW w:w="750" w:type="dxa"/>
            <w:vMerge w:val="restart"/>
            <w:vAlign w:val="center"/>
          </w:tcPr>
          <w:p w:rsidR="00EB6E70" w:rsidRDefault="00EB6E70" w:rsidP="004A6DE1">
            <w:pPr>
              <w:pStyle w:val="a8"/>
              <w:autoSpaceDE w:val="0"/>
              <w:autoSpaceDN w:val="0"/>
              <w:adjustRightInd w:val="0"/>
              <w:rPr>
                <w:rFonts w:eastAsiaTheme="minorEastAsia"/>
                <w:b w:val="0"/>
                <w:szCs w:val="21"/>
              </w:rPr>
            </w:pPr>
            <w:r>
              <w:rPr>
                <w:rFonts w:eastAsiaTheme="minorEastAsia" w:hAnsiTheme="minorEastAsia"/>
                <w:b w:val="0"/>
                <w:szCs w:val="21"/>
              </w:rPr>
              <w:t>水温（℃）</w:t>
            </w:r>
          </w:p>
        </w:tc>
        <w:tc>
          <w:tcPr>
            <w:tcW w:w="760" w:type="dxa"/>
            <w:vMerge w:val="restart"/>
            <w:vAlign w:val="center"/>
          </w:tcPr>
          <w:p w:rsidR="00EB6E70" w:rsidRDefault="00EB6E70" w:rsidP="004A6DE1">
            <w:pPr>
              <w:pStyle w:val="a8"/>
              <w:autoSpaceDE w:val="0"/>
              <w:autoSpaceDN w:val="0"/>
              <w:adjustRightInd w:val="0"/>
              <w:rPr>
                <w:rFonts w:eastAsiaTheme="minorEastAsia"/>
                <w:b w:val="0"/>
                <w:szCs w:val="21"/>
              </w:rPr>
            </w:pPr>
            <w:r>
              <w:rPr>
                <w:rFonts w:eastAsiaTheme="minorEastAsia" w:hAnsiTheme="minorEastAsia"/>
                <w:b w:val="0"/>
                <w:szCs w:val="21"/>
              </w:rPr>
              <w:t>用途</w:t>
            </w:r>
          </w:p>
        </w:tc>
      </w:tr>
      <w:tr w:rsidR="00EB6E70" w:rsidTr="004835BD">
        <w:trPr>
          <w:trHeight w:val="435"/>
          <w:jc w:val="center"/>
        </w:trPr>
        <w:tc>
          <w:tcPr>
            <w:tcW w:w="1668" w:type="dxa"/>
            <w:vMerge/>
            <w:vAlign w:val="center"/>
          </w:tcPr>
          <w:p w:rsidR="00EB6E70" w:rsidRDefault="00EB6E70" w:rsidP="004A6DE1">
            <w:pPr>
              <w:pStyle w:val="a8"/>
              <w:autoSpaceDE w:val="0"/>
              <w:autoSpaceDN w:val="0"/>
              <w:adjustRightInd w:val="0"/>
              <w:rPr>
                <w:rFonts w:eastAsiaTheme="minorEastAsia" w:hAnsiTheme="minorEastAsia"/>
                <w:b w:val="0"/>
                <w:szCs w:val="21"/>
              </w:rPr>
            </w:pPr>
          </w:p>
        </w:tc>
        <w:tc>
          <w:tcPr>
            <w:tcW w:w="1608" w:type="dxa"/>
            <w:vAlign w:val="center"/>
          </w:tcPr>
          <w:p w:rsidR="00EB6E70" w:rsidRDefault="00EB6E70" w:rsidP="004A6DE1">
            <w:pPr>
              <w:pStyle w:val="a8"/>
              <w:autoSpaceDE w:val="0"/>
              <w:autoSpaceDN w:val="0"/>
              <w:adjustRightInd w:val="0"/>
              <w:rPr>
                <w:rFonts w:eastAsiaTheme="minorEastAsia"/>
                <w:b w:val="0"/>
                <w:szCs w:val="21"/>
              </w:rPr>
            </w:pPr>
            <w:r>
              <w:rPr>
                <w:rFonts w:eastAsiaTheme="minorEastAsia" w:hAnsiTheme="minorEastAsia"/>
                <w:b w:val="0"/>
                <w:szCs w:val="21"/>
              </w:rPr>
              <w:t>经度</w:t>
            </w:r>
          </w:p>
        </w:tc>
        <w:tc>
          <w:tcPr>
            <w:tcW w:w="1418" w:type="dxa"/>
            <w:vAlign w:val="center"/>
          </w:tcPr>
          <w:p w:rsidR="00EB6E70" w:rsidRDefault="00EB6E70" w:rsidP="004A6DE1">
            <w:pPr>
              <w:pStyle w:val="a8"/>
              <w:autoSpaceDE w:val="0"/>
              <w:autoSpaceDN w:val="0"/>
              <w:adjustRightInd w:val="0"/>
              <w:rPr>
                <w:rFonts w:eastAsiaTheme="minorEastAsia"/>
                <w:b w:val="0"/>
                <w:szCs w:val="21"/>
              </w:rPr>
            </w:pPr>
            <w:r>
              <w:rPr>
                <w:rFonts w:eastAsiaTheme="minorEastAsia" w:hAnsiTheme="minorEastAsia"/>
                <w:b w:val="0"/>
                <w:szCs w:val="21"/>
              </w:rPr>
              <w:t>纬度</w:t>
            </w:r>
          </w:p>
        </w:tc>
        <w:tc>
          <w:tcPr>
            <w:tcW w:w="818" w:type="dxa"/>
            <w:vMerge/>
            <w:vAlign w:val="center"/>
          </w:tcPr>
          <w:p w:rsidR="00EB6E70" w:rsidRDefault="00EB6E70" w:rsidP="004A6DE1">
            <w:pPr>
              <w:pStyle w:val="a8"/>
              <w:autoSpaceDE w:val="0"/>
              <w:autoSpaceDN w:val="0"/>
              <w:adjustRightInd w:val="0"/>
              <w:rPr>
                <w:rFonts w:eastAsiaTheme="minorEastAsia" w:hAnsiTheme="minorEastAsia"/>
                <w:b w:val="0"/>
                <w:szCs w:val="21"/>
              </w:rPr>
            </w:pPr>
          </w:p>
        </w:tc>
        <w:tc>
          <w:tcPr>
            <w:tcW w:w="805" w:type="dxa"/>
            <w:vMerge/>
            <w:vAlign w:val="center"/>
          </w:tcPr>
          <w:p w:rsidR="00EB6E70" w:rsidRDefault="00EB6E70" w:rsidP="004A6DE1">
            <w:pPr>
              <w:pStyle w:val="a8"/>
              <w:autoSpaceDE w:val="0"/>
              <w:autoSpaceDN w:val="0"/>
              <w:adjustRightInd w:val="0"/>
              <w:rPr>
                <w:rFonts w:eastAsiaTheme="minorEastAsia" w:hAnsiTheme="minorEastAsia"/>
                <w:b w:val="0"/>
                <w:szCs w:val="21"/>
              </w:rPr>
            </w:pPr>
          </w:p>
        </w:tc>
        <w:tc>
          <w:tcPr>
            <w:tcW w:w="786" w:type="dxa"/>
            <w:vMerge/>
            <w:vAlign w:val="center"/>
          </w:tcPr>
          <w:p w:rsidR="00EB6E70" w:rsidRDefault="00EB6E70" w:rsidP="004A6DE1">
            <w:pPr>
              <w:pStyle w:val="a8"/>
              <w:autoSpaceDE w:val="0"/>
              <w:autoSpaceDN w:val="0"/>
              <w:adjustRightInd w:val="0"/>
              <w:rPr>
                <w:rFonts w:eastAsiaTheme="minorEastAsia" w:hAnsiTheme="minorEastAsia"/>
                <w:b w:val="0"/>
                <w:szCs w:val="21"/>
              </w:rPr>
            </w:pPr>
          </w:p>
        </w:tc>
        <w:tc>
          <w:tcPr>
            <w:tcW w:w="750" w:type="dxa"/>
            <w:vMerge/>
            <w:vAlign w:val="center"/>
          </w:tcPr>
          <w:p w:rsidR="00EB6E70" w:rsidRDefault="00EB6E70" w:rsidP="004A6DE1">
            <w:pPr>
              <w:pStyle w:val="a8"/>
              <w:autoSpaceDE w:val="0"/>
              <w:autoSpaceDN w:val="0"/>
              <w:adjustRightInd w:val="0"/>
              <w:rPr>
                <w:rFonts w:eastAsiaTheme="minorEastAsia" w:hAnsiTheme="minorEastAsia"/>
                <w:b w:val="0"/>
                <w:szCs w:val="21"/>
              </w:rPr>
            </w:pPr>
          </w:p>
        </w:tc>
        <w:tc>
          <w:tcPr>
            <w:tcW w:w="760" w:type="dxa"/>
            <w:vMerge/>
            <w:vAlign w:val="center"/>
          </w:tcPr>
          <w:p w:rsidR="00EB6E70" w:rsidRDefault="00EB6E70" w:rsidP="004A6DE1">
            <w:pPr>
              <w:pStyle w:val="a8"/>
              <w:autoSpaceDE w:val="0"/>
              <w:autoSpaceDN w:val="0"/>
              <w:adjustRightInd w:val="0"/>
              <w:rPr>
                <w:rFonts w:eastAsiaTheme="minorEastAsia" w:hAnsiTheme="minorEastAsia"/>
                <w:b w:val="0"/>
                <w:szCs w:val="21"/>
              </w:rPr>
            </w:pPr>
          </w:p>
        </w:tc>
      </w:tr>
      <w:tr w:rsidR="00EB6E70" w:rsidTr="004835BD">
        <w:trPr>
          <w:trHeight w:val="70"/>
          <w:jc w:val="center"/>
        </w:trPr>
        <w:tc>
          <w:tcPr>
            <w:tcW w:w="1668" w:type="dxa"/>
            <w:vAlign w:val="center"/>
          </w:tcPr>
          <w:p w:rsidR="00EB6E70" w:rsidRDefault="00EB6E70" w:rsidP="004A6DE1">
            <w:pPr>
              <w:pStyle w:val="a8"/>
              <w:rPr>
                <w:b w:val="0"/>
                <w:sz w:val="24"/>
              </w:rPr>
            </w:pPr>
            <w:r>
              <w:rPr>
                <w:b w:val="0"/>
                <w:kern w:val="0"/>
              </w:rPr>
              <w:t>施阳台村</w:t>
            </w:r>
          </w:p>
        </w:tc>
        <w:tc>
          <w:tcPr>
            <w:tcW w:w="1608" w:type="dxa"/>
            <w:vAlign w:val="center"/>
          </w:tcPr>
          <w:p w:rsidR="00EB6E70" w:rsidRDefault="00EB6E70" w:rsidP="004A6DE1">
            <w:pPr>
              <w:pStyle w:val="a8"/>
              <w:rPr>
                <w:b w:val="0"/>
                <w:color w:val="262626"/>
              </w:rPr>
            </w:pPr>
            <w:r>
              <w:rPr>
                <w:b w:val="0"/>
                <w:kern w:val="0"/>
              </w:rPr>
              <w:t>109°27′10.25″</w:t>
            </w:r>
          </w:p>
        </w:tc>
        <w:tc>
          <w:tcPr>
            <w:tcW w:w="1418" w:type="dxa"/>
            <w:vAlign w:val="center"/>
          </w:tcPr>
          <w:p w:rsidR="00EB6E70" w:rsidRDefault="00EB6E70" w:rsidP="004A6DE1">
            <w:pPr>
              <w:pStyle w:val="a8"/>
              <w:rPr>
                <w:b w:val="0"/>
                <w:color w:val="262626"/>
              </w:rPr>
            </w:pPr>
            <w:r>
              <w:rPr>
                <w:b w:val="0"/>
                <w:kern w:val="0"/>
              </w:rPr>
              <w:t>37°33′48.39″</w:t>
            </w:r>
          </w:p>
        </w:tc>
        <w:tc>
          <w:tcPr>
            <w:tcW w:w="818" w:type="dxa"/>
            <w:vAlign w:val="center"/>
          </w:tcPr>
          <w:p w:rsidR="00EB6E70" w:rsidRDefault="00EB6E70" w:rsidP="004A6DE1">
            <w:pPr>
              <w:pStyle w:val="a8"/>
              <w:rPr>
                <w:b w:val="0"/>
                <w:color w:val="262626"/>
              </w:rPr>
            </w:pPr>
            <w:r>
              <w:rPr>
                <w:b w:val="0"/>
                <w:color w:val="262626"/>
                <w:kern w:val="0"/>
              </w:rPr>
              <w:t>1074m</w:t>
            </w:r>
          </w:p>
        </w:tc>
        <w:tc>
          <w:tcPr>
            <w:tcW w:w="805" w:type="dxa"/>
            <w:vAlign w:val="center"/>
          </w:tcPr>
          <w:p w:rsidR="00EB6E70" w:rsidRDefault="00EB6E70" w:rsidP="004A6DE1">
            <w:pPr>
              <w:pStyle w:val="a8"/>
              <w:rPr>
                <w:b w:val="0"/>
                <w:color w:val="262626"/>
              </w:rPr>
            </w:pPr>
            <w:r>
              <w:rPr>
                <w:b w:val="0"/>
                <w:color w:val="262626"/>
                <w:kern w:val="0"/>
              </w:rPr>
              <w:t>0.5m</w:t>
            </w:r>
          </w:p>
        </w:tc>
        <w:tc>
          <w:tcPr>
            <w:tcW w:w="786" w:type="dxa"/>
            <w:vAlign w:val="center"/>
          </w:tcPr>
          <w:p w:rsidR="00EB6E70" w:rsidRDefault="00EB6E70" w:rsidP="004A6DE1">
            <w:pPr>
              <w:pStyle w:val="a8"/>
              <w:rPr>
                <w:b w:val="0"/>
                <w:color w:val="262626"/>
              </w:rPr>
            </w:pPr>
            <w:r>
              <w:rPr>
                <w:b w:val="0"/>
                <w:color w:val="262626"/>
                <w:kern w:val="0"/>
              </w:rPr>
              <w:t>2m</w:t>
            </w:r>
          </w:p>
        </w:tc>
        <w:tc>
          <w:tcPr>
            <w:tcW w:w="750" w:type="dxa"/>
            <w:vAlign w:val="center"/>
          </w:tcPr>
          <w:p w:rsidR="00EB6E70" w:rsidRDefault="00EB6E70" w:rsidP="004A6DE1">
            <w:pPr>
              <w:pStyle w:val="a8"/>
              <w:rPr>
                <w:b w:val="0"/>
                <w:color w:val="262626"/>
              </w:rPr>
            </w:pPr>
            <w:r>
              <w:rPr>
                <w:b w:val="0"/>
                <w:color w:val="262626"/>
                <w:kern w:val="0"/>
              </w:rPr>
              <w:t>4℃</w:t>
            </w:r>
          </w:p>
        </w:tc>
        <w:tc>
          <w:tcPr>
            <w:tcW w:w="760" w:type="dxa"/>
            <w:vMerge w:val="restart"/>
            <w:vAlign w:val="center"/>
          </w:tcPr>
          <w:p w:rsidR="00EB6E70" w:rsidRDefault="00EB6E70" w:rsidP="004A6DE1">
            <w:pPr>
              <w:autoSpaceDE w:val="0"/>
              <w:autoSpaceDN w:val="0"/>
              <w:adjustRightInd w:val="0"/>
              <w:jc w:val="center"/>
              <w:rPr>
                <w:rFonts w:eastAsiaTheme="minorEastAsia"/>
                <w:bCs/>
                <w:color w:val="262626"/>
                <w:szCs w:val="21"/>
              </w:rPr>
            </w:pPr>
            <w:r>
              <w:rPr>
                <w:rFonts w:eastAsiaTheme="minorEastAsia" w:hAnsiTheme="minorEastAsia"/>
                <w:bCs/>
                <w:color w:val="262626"/>
                <w:szCs w:val="21"/>
              </w:rPr>
              <w:t>灌溉</w:t>
            </w:r>
          </w:p>
        </w:tc>
      </w:tr>
      <w:tr w:rsidR="00EB6E70" w:rsidTr="004835BD">
        <w:trPr>
          <w:trHeight w:val="70"/>
          <w:jc w:val="center"/>
        </w:trPr>
        <w:tc>
          <w:tcPr>
            <w:tcW w:w="1668" w:type="dxa"/>
            <w:vAlign w:val="center"/>
          </w:tcPr>
          <w:p w:rsidR="00EB6E70" w:rsidRDefault="00EB6E70" w:rsidP="004A6DE1">
            <w:pPr>
              <w:pStyle w:val="a8"/>
              <w:rPr>
                <w:b w:val="0"/>
                <w:color w:val="0000FF"/>
                <w:sz w:val="24"/>
              </w:rPr>
            </w:pPr>
            <w:r>
              <w:rPr>
                <w:b w:val="0"/>
                <w:kern w:val="0"/>
              </w:rPr>
              <w:t>工业场地东部</w:t>
            </w:r>
          </w:p>
        </w:tc>
        <w:tc>
          <w:tcPr>
            <w:tcW w:w="1608" w:type="dxa"/>
            <w:vAlign w:val="center"/>
          </w:tcPr>
          <w:p w:rsidR="00EB6E70" w:rsidRDefault="00EB6E70" w:rsidP="004A6DE1">
            <w:pPr>
              <w:pStyle w:val="a8"/>
              <w:rPr>
                <w:b w:val="0"/>
              </w:rPr>
            </w:pPr>
            <w:r>
              <w:rPr>
                <w:b w:val="0"/>
              </w:rPr>
              <w:t>109°27′56.18″</w:t>
            </w:r>
          </w:p>
        </w:tc>
        <w:tc>
          <w:tcPr>
            <w:tcW w:w="1418" w:type="dxa"/>
            <w:vAlign w:val="center"/>
          </w:tcPr>
          <w:p w:rsidR="00EB6E70" w:rsidRDefault="00EB6E70" w:rsidP="004A6DE1">
            <w:pPr>
              <w:pStyle w:val="a8"/>
              <w:rPr>
                <w:b w:val="0"/>
              </w:rPr>
            </w:pPr>
            <w:r>
              <w:rPr>
                <w:b w:val="0"/>
              </w:rPr>
              <w:t>37°33′44.05″</w:t>
            </w:r>
          </w:p>
        </w:tc>
        <w:tc>
          <w:tcPr>
            <w:tcW w:w="818" w:type="dxa"/>
            <w:vAlign w:val="center"/>
          </w:tcPr>
          <w:p w:rsidR="00EB6E70" w:rsidRDefault="00EB6E70" w:rsidP="004A6DE1">
            <w:pPr>
              <w:pStyle w:val="a8"/>
              <w:rPr>
                <w:b w:val="0"/>
                <w:color w:val="0000FF"/>
              </w:rPr>
            </w:pPr>
            <w:r>
              <w:rPr>
                <w:b w:val="0"/>
                <w:color w:val="262626"/>
                <w:kern w:val="0"/>
              </w:rPr>
              <w:t>1089m</w:t>
            </w:r>
          </w:p>
        </w:tc>
        <w:tc>
          <w:tcPr>
            <w:tcW w:w="805" w:type="dxa"/>
            <w:vAlign w:val="center"/>
          </w:tcPr>
          <w:p w:rsidR="00EB6E70" w:rsidRDefault="00EB6E70" w:rsidP="004A6DE1">
            <w:pPr>
              <w:pStyle w:val="a8"/>
              <w:rPr>
                <w:b w:val="0"/>
                <w:color w:val="262626"/>
              </w:rPr>
            </w:pPr>
            <w:r>
              <w:rPr>
                <w:b w:val="0"/>
                <w:color w:val="262626"/>
                <w:kern w:val="0"/>
              </w:rPr>
              <w:t>1.3m</w:t>
            </w:r>
          </w:p>
        </w:tc>
        <w:tc>
          <w:tcPr>
            <w:tcW w:w="786" w:type="dxa"/>
            <w:vAlign w:val="center"/>
          </w:tcPr>
          <w:p w:rsidR="00EB6E70" w:rsidRDefault="00EB6E70" w:rsidP="004A6DE1">
            <w:pPr>
              <w:pStyle w:val="a8"/>
              <w:rPr>
                <w:b w:val="0"/>
                <w:color w:val="262626"/>
              </w:rPr>
            </w:pPr>
            <w:r>
              <w:rPr>
                <w:b w:val="0"/>
                <w:color w:val="262626"/>
                <w:kern w:val="0"/>
              </w:rPr>
              <w:t>4m</w:t>
            </w:r>
          </w:p>
        </w:tc>
        <w:tc>
          <w:tcPr>
            <w:tcW w:w="750" w:type="dxa"/>
            <w:vAlign w:val="center"/>
          </w:tcPr>
          <w:p w:rsidR="00EB6E70" w:rsidRDefault="00EB6E70" w:rsidP="004A6DE1">
            <w:pPr>
              <w:pStyle w:val="a8"/>
              <w:rPr>
                <w:b w:val="0"/>
                <w:color w:val="262626"/>
              </w:rPr>
            </w:pPr>
            <w:r>
              <w:rPr>
                <w:b w:val="0"/>
                <w:color w:val="262626"/>
                <w:kern w:val="0"/>
              </w:rPr>
              <w:t>3℃</w:t>
            </w:r>
          </w:p>
        </w:tc>
        <w:tc>
          <w:tcPr>
            <w:tcW w:w="760" w:type="dxa"/>
            <w:vMerge/>
            <w:vAlign w:val="center"/>
          </w:tcPr>
          <w:p w:rsidR="00EB6E70" w:rsidRDefault="00EB6E70" w:rsidP="004A6DE1">
            <w:pPr>
              <w:autoSpaceDE w:val="0"/>
              <w:autoSpaceDN w:val="0"/>
              <w:adjustRightInd w:val="0"/>
              <w:jc w:val="center"/>
              <w:rPr>
                <w:rFonts w:eastAsiaTheme="minorEastAsia"/>
                <w:bCs/>
                <w:color w:val="262626"/>
                <w:szCs w:val="21"/>
              </w:rPr>
            </w:pPr>
          </w:p>
        </w:tc>
      </w:tr>
      <w:tr w:rsidR="00EB6E70" w:rsidTr="004835BD">
        <w:trPr>
          <w:trHeight w:val="70"/>
          <w:jc w:val="center"/>
        </w:trPr>
        <w:tc>
          <w:tcPr>
            <w:tcW w:w="1668" w:type="dxa"/>
            <w:vAlign w:val="center"/>
          </w:tcPr>
          <w:p w:rsidR="00EB6E70" w:rsidRDefault="00EB6E70" w:rsidP="004A6DE1">
            <w:pPr>
              <w:pStyle w:val="a8"/>
              <w:rPr>
                <w:b w:val="0"/>
                <w:color w:val="000000"/>
                <w:szCs w:val="21"/>
              </w:rPr>
            </w:pPr>
            <w:r>
              <w:rPr>
                <w:b w:val="0"/>
                <w:kern w:val="0"/>
              </w:rPr>
              <w:t>拓家阳坪村</w:t>
            </w:r>
          </w:p>
        </w:tc>
        <w:tc>
          <w:tcPr>
            <w:tcW w:w="1608" w:type="dxa"/>
            <w:vAlign w:val="center"/>
          </w:tcPr>
          <w:p w:rsidR="00EB6E70" w:rsidRDefault="00EB6E70" w:rsidP="004A6DE1">
            <w:pPr>
              <w:pStyle w:val="a8"/>
              <w:rPr>
                <w:b w:val="0"/>
                <w:color w:val="262626"/>
              </w:rPr>
            </w:pPr>
            <w:r>
              <w:rPr>
                <w:b w:val="0"/>
                <w:kern w:val="0"/>
              </w:rPr>
              <w:t>109°29′21.17″</w:t>
            </w:r>
          </w:p>
        </w:tc>
        <w:tc>
          <w:tcPr>
            <w:tcW w:w="1418" w:type="dxa"/>
            <w:vAlign w:val="center"/>
          </w:tcPr>
          <w:p w:rsidR="00EB6E70" w:rsidRDefault="00EB6E70" w:rsidP="004A6DE1">
            <w:pPr>
              <w:pStyle w:val="a8"/>
              <w:rPr>
                <w:b w:val="0"/>
                <w:color w:val="262626"/>
              </w:rPr>
            </w:pPr>
            <w:r>
              <w:rPr>
                <w:b w:val="0"/>
                <w:kern w:val="0"/>
              </w:rPr>
              <w:t>37°33′6.21″</w:t>
            </w:r>
          </w:p>
        </w:tc>
        <w:tc>
          <w:tcPr>
            <w:tcW w:w="818" w:type="dxa"/>
            <w:vAlign w:val="center"/>
          </w:tcPr>
          <w:p w:rsidR="00EB6E70" w:rsidRDefault="00EB6E70" w:rsidP="004A6DE1">
            <w:pPr>
              <w:pStyle w:val="a8"/>
              <w:rPr>
                <w:b w:val="0"/>
                <w:color w:val="262626"/>
              </w:rPr>
            </w:pPr>
            <w:r>
              <w:rPr>
                <w:b w:val="0"/>
                <w:color w:val="262626"/>
                <w:kern w:val="0"/>
              </w:rPr>
              <w:t>1042m</w:t>
            </w:r>
          </w:p>
        </w:tc>
        <w:tc>
          <w:tcPr>
            <w:tcW w:w="805" w:type="dxa"/>
            <w:vAlign w:val="center"/>
          </w:tcPr>
          <w:p w:rsidR="00EB6E70" w:rsidRDefault="00EB6E70" w:rsidP="004A6DE1">
            <w:pPr>
              <w:pStyle w:val="a8"/>
              <w:rPr>
                <w:b w:val="0"/>
                <w:color w:val="262626"/>
              </w:rPr>
            </w:pPr>
            <w:r>
              <w:rPr>
                <w:b w:val="0"/>
                <w:color w:val="262626"/>
                <w:kern w:val="0"/>
              </w:rPr>
              <w:t>0.5m</w:t>
            </w:r>
          </w:p>
        </w:tc>
        <w:tc>
          <w:tcPr>
            <w:tcW w:w="786" w:type="dxa"/>
            <w:vAlign w:val="center"/>
          </w:tcPr>
          <w:p w:rsidR="00EB6E70" w:rsidRDefault="00EB6E70" w:rsidP="004A6DE1">
            <w:pPr>
              <w:pStyle w:val="a8"/>
              <w:rPr>
                <w:b w:val="0"/>
                <w:color w:val="262626"/>
              </w:rPr>
            </w:pPr>
            <w:r>
              <w:rPr>
                <w:b w:val="0"/>
                <w:color w:val="262626"/>
                <w:kern w:val="0"/>
              </w:rPr>
              <w:t>3m</w:t>
            </w:r>
          </w:p>
        </w:tc>
        <w:tc>
          <w:tcPr>
            <w:tcW w:w="750" w:type="dxa"/>
            <w:vAlign w:val="center"/>
          </w:tcPr>
          <w:p w:rsidR="00EB6E70" w:rsidRDefault="00EB6E70" w:rsidP="004A6DE1">
            <w:pPr>
              <w:pStyle w:val="a8"/>
              <w:rPr>
                <w:b w:val="0"/>
                <w:color w:val="262626"/>
              </w:rPr>
            </w:pPr>
            <w:r>
              <w:rPr>
                <w:b w:val="0"/>
                <w:color w:val="262626"/>
                <w:kern w:val="0"/>
              </w:rPr>
              <w:t>2℃</w:t>
            </w:r>
          </w:p>
        </w:tc>
        <w:tc>
          <w:tcPr>
            <w:tcW w:w="760" w:type="dxa"/>
            <w:vMerge/>
            <w:vAlign w:val="center"/>
          </w:tcPr>
          <w:p w:rsidR="00EB6E70" w:rsidRDefault="00EB6E70" w:rsidP="004A6DE1">
            <w:pPr>
              <w:autoSpaceDE w:val="0"/>
              <w:autoSpaceDN w:val="0"/>
              <w:adjustRightInd w:val="0"/>
              <w:jc w:val="center"/>
              <w:rPr>
                <w:rFonts w:eastAsiaTheme="minorEastAsia"/>
                <w:bCs/>
                <w:color w:val="262626"/>
                <w:szCs w:val="21"/>
              </w:rPr>
            </w:pPr>
          </w:p>
        </w:tc>
      </w:tr>
      <w:tr w:rsidR="00EB6E70" w:rsidTr="004835BD">
        <w:trPr>
          <w:trHeight w:val="70"/>
          <w:jc w:val="center"/>
        </w:trPr>
        <w:tc>
          <w:tcPr>
            <w:tcW w:w="1668" w:type="dxa"/>
            <w:vAlign w:val="center"/>
          </w:tcPr>
          <w:p w:rsidR="00EB6E70" w:rsidRDefault="00EB6E70" w:rsidP="004A6DE1">
            <w:pPr>
              <w:pStyle w:val="a8"/>
              <w:rPr>
                <w:b w:val="0"/>
                <w:color w:val="000000"/>
                <w:szCs w:val="21"/>
              </w:rPr>
            </w:pPr>
            <w:r>
              <w:rPr>
                <w:b w:val="0"/>
                <w:kern w:val="0"/>
              </w:rPr>
              <w:t>施阳台散户</w:t>
            </w:r>
          </w:p>
        </w:tc>
        <w:tc>
          <w:tcPr>
            <w:tcW w:w="1608" w:type="dxa"/>
            <w:vAlign w:val="center"/>
          </w:tcPr>
          <w:p w:rsidR="00EB6E70" w:rsidRDefault="00EB6E70" w:rsidP="004A6DE1">
            <w:pPr>
              <w:pStyle w:val="a8"/>
              <w:rPr>
                <w:b w:val="0"/>
                <w:color w:val="000000"/>
              </w:rPr>
            </w:pPr>
            <w:r>
              <w:rPr>
                <w:b w:val="0"/>
                <w:kern w:val="0"/>
              </w:rPr>
              <w:t>109°27′21.92″</w:t>
            </w:r>
          </w:p>
        </w:tc>
        <w:tc>
          <w:tcPr>
            <w:tcW w:w="1418" w:type="dxa"/>
            <w:vAlign w:val="center"/>
          </w:tcPr>
          <w:p w:rsidR="00EB6E70" w:rsidRDefault="00EB6E70" w:rsidP="004A6DE1">
            <w:pPr>
              <w:pStyle w:val="a8"/>
              <w:rPr>
                <w:b w:val="0"/>
                <w:color w:val="000000"/>
              </w:rPr>
            </w:pPr>
            <w:r>
              <w:rPr>
                <w:b w:val="0"/>
                <w:kern w:val="0"/>
              </w:rPr>
              <w:t>37°33′36.49″</w:t>
            </w:r>
          </w:p>
        </w:tc>
        <w:tc>
          <w:tcPr>
            <w:tcW w:w="818" w:type="dxa"/>
            <w:vAlign w:val="center"/>
          </w:tcPr>
          <w:p w:rsidR="00EB6E70" w:rsidRDefault="00EB6E70" w:rsidP="004A6DE1">
            <w:pPr>
              <w:pStyle w:val="a8"/>
              <w:rPr>
                <w:b w:val="0"/>
                <w:color w:val="262626"/>
              </w:rPr>
            </w:pPr>
            <w:r>
              <w:rPr>
                <w:b w:val="0"/>
                <w:color w:val="262626"/>
                <w:kern w:val="0"/>
              </w:rPr>
              <w:t>1089m</w:t>
            </w:r>
          </w:p>
        </w:tc>
        <w:tc>
          <w:tcPr>
            <w:tcW w:w="805" w:type="dxa"/>
            <w:vAlign w:val="center"/>
          </w:tcPr>
          <w:p w:rsidR="00EB6E70" w:rsidRDefault="00EB6E70" w:rsidP="004A6DE1">
            <w:pPr>
              <w:pStyle w:val="a8"/>
              <w:rPr>
                <w:b w:val="0"/>
                <w:color w:val="262626"/>
              </w:rPr>
            </w:pPr>
            <w:r>
              <w:rPr>
                <w:b w:val="0"/>
                <w:color w:val="262626"/>
                <w:kern w:val="0"/>
              </w:rPr>
              <w:t>2m</w:t>
            </w:r>
          </w:p>
        </w:tc>
        <w:tc>
          <w:tcPr>
            <w:tcW w:w="786" w:type="dxa"/>
            <w:vAlign w:val="center"/>
          </w:tcPr>
          <w:p w:rsidR="00EB6E70" w:rsidRDefault="00EB6E70" w:rsidP="004A6DE1">
            <w:pPr>
              <w:pStyle w:val="a8"/>
              <w:rPr>
                <w:b w:val="0"/>
                <w:color w:val="262626"/>
              </w:rPr>
            </w:pPr>
            <w:r>
              <w:rPr>
                <w:b w:val="0"/>
                <w:color w:val="262626"/>
                <w:kern w:val="0"/>
              </w:rPr>
              <w:t>4m</w:t>
            </w:r>
          </w:p>
        </w:tc>
        <w:tc>
          <w:tcPr>
            <w:tcW w:w="750" w:type="dxa"/>
            <w:vAlign w:val="center"/>
          </w:tcPr>
          <w:p w:rsidR="00EB6E70" w:rsidRDefault="00EB6E70" w:rsidP="004A6DE1">
            <w:pPr>
              <w:pStyle w:val="a8"/>
              <w:rPr>
                <w:b w:val="0"/>
                <w:color w:val="262626"/>
              </w:rPr>
            </w:pPr>
            <w:r>
              <w:rPr>
                <w:b w:val="0"/>
                <w:color w:val="262626"/>
                <w:kern w:val="0"/>
              </w:rPr>
              <w:t>3℃</w:t>
            </w:r>
          </w:p>
        </w:tc>
        <w:tc>
          <w:tcPr>
            <w:tcW w:w="760" w:type="dxa"/>
            <w:vMerge/>
            <w:vAlign w:val="center"/>
          </w:tcPr>
          <w:p w:rsidR="00EB6E70" w:rsidRDefault="00EB6E70" w:rsidP="004A6DE1">
            <w:pPr>
              <w:autoSpaceDE w:val="0"/>
              <w:autoSpaceDN w:val="0"/>
              <w:adjustRightInd w:val="0"/>
              <w:jc w:val="center"/>
              <w:rPr>
                <w:rFonts w:eastAsiaTheme="minorEastAsia"/>
                <w:bCs/>
                <w:color w:val="262626"/>
                <w:szCs w:val="21"/>
              </w:rPr>
            </w:pPr>
          </w:p>
        </w:tc>
      </w:tr>
      <w:tr w:rsidR="00EB6E70" w:rsidTr="004835BD">
        <w:trPr>
          <w:trHeight w:val="70"/>
          <w:jc w:val="center"/>
        </w:trPr>
        <w:tc>
          <w:tcPr>
            <w:tcW w:w="1668" w:type="dxa"/>
            <w:vAlign w:val="center"/>
          </w:tcPr>
          <w:p w:rsidR="00EB6E70" w:rsidRDefault="00EB6E70" w:rsidP="004A6DE1">
            <w:pPr>
              <w:pStyle w:val="a8"/>
              <w:rPr>
                <w:b w:val="0"/>
                <w:color w:val="000000"/>
                <w:szCs w:val="21"/>
              </w:rPr>
            </w:pPr>
            <w:r>
              <w:rPr>
                <w:b w:val="0"/>
                <w:kern w:val="0"/>
              </w:rPr>
              <w:t>倒座茆村</w:t>
            </w:r>
          </w:p>
        </w:tc>
        <w:tc>
          <w:tcPr>
            <w:tcW w:w="1608" w:type="dxa"/>
            <w:vAlign w:val="center"/>
          </w:tcPr>
          <w:p w:rsidR="00EB6E70" w:rsidRDefault="00EB6E70" w:rsidP="004A6DE1">
            <w:pPr>
              <w:pStyle w:val="a8"/>
              <w:rPr>
                <w:b w:val="0"/>
                <w:color w:val="000000"/>
              </w:rPr>
            </w:pPr>
            <w:r>
              <w:rPr>
                <w:b w:val="0"/>
                <w:kern w:val="0"/>
              </w:rPr>
              <w:t>109°28′59.66″</w:t>
            </w:r>
          </w:p>
        </w:tc>
        <w:tc>
          <w:tcPr>
            <w:tcW w:w="1418" w:type="dxa"/>
            <w:vAlign w:val="center"/>
          </w:tcPr>
          <w:p w:rsidR="00EB6E70" w:rsidRDefault="00EB6E70" w:rsidP="004A6DE1">
            <w:pPr>
              <w:pStyle w:val="a8"/>
              <w:rPr>
                <w:b w:val="0"/>
                <w:color w:val="000000"/>
              </w:rPr>
            </w:pPr>
            <w:r>
              <w:rPr>
                <w:b w:val="0"/>
                <w:kern w:val="0"/>
              </w:rPr>
              <w:t>37°32′18.71″</w:t>
            </w:r>
          </w:p>
        </w:tc>
        <w:tc>
          <w:tcPr>
            <w:tcW w:w="818" w:type="dxa"/>
            <w:vAlign w:val="center"/>
          </w:tcPr>
          <w:p w:rsidR="00EB6E70" w:rsidRDefault="00EB6E70" w:rsidP="004A6DE1">
            <w:pPr>
              <w:pStyle w:val="a8"/>
              <w:rPr>
                <w:b w:val="0"/>
                <w:color w:val="262626"/>
              </w:rPr>
            </w:pPr>
            <w:r>
              <w:rPr>
                <w:b w:val="0"/>
                <w:color w:val="262626"/>
                <w:kern w:val="0"/>
              </w:rPr>
              <w:t>1047m</w:t>
            </w:r>
          </w:p>
        </w:tc>
        <w:tc>
          <w:tcPr>
            <w:tcW w:w="805" w:type="dxa"/>
            <w:vAlign w:val="center"/>
          </w:tcPr>
          <w:p w:rsidR="00EB6E70" w:rsidRDefault="00EB6E70" w:rsidP="004A6DE1">
            <w:pPr>
              <w:pStyle w:val="a8"/>
              <w:rPr>
                <w:b w:val="0"/>
                <w:color w:val="262626"/>
              </w:rPr>
            </w:pPr>
            <w:r>
              <w:rPr>
                <w:b w:val="0"/>
                <w:color w:val="262626"/>
                <w:kern w:val="0"/>
              </w:rPr>
              <w:t>2.2m</w:t>
            </w:r>
          </w:p>
        </w:tc>
        <w:tc>
          <w:tcPr>
            <w:tcW w:w="786" w:type="dxa"/>
            <w:vAlign w:val="center"/>
          </w:tcPr>
          <w:p w:rsidR="00EB6E70" w:rsidRDefault="00EB6E70" w:rsidP="004A6DE1">
            <w:pPr>
              <w:pStyle w:val="a8"/>
              <w:rPr>
                <w:b w:val="0"/>
                <w:color w:val="262626"/>
              </w:rPr>
            </w:pPr>
            <w:r>
              <w:rPr>
                <w:b w:val="0"/>
                <w:color w:val="262626"/>
                <w:kern w:val="0"/>
              </w:rPr>
              <w:t>4.5m</w:t>
            </w:r>
          </w:p>
        </w:tc>
        <w:tc>
          <w:tcPr>
            <w:tcW w:w="750" w:type="dxa"/>
            <w:vAlign w:val="center"/>
          </w:tcPr>
          <w:p w:rsidR="00EB6E70" w:rsidRDefault="00EB6E70" w:rsidP="004A6DE1">
            <w:pPr>
              <w:pStyle w:val="a8"/>
              <w:rPr>
                <w:b w:val="0"/>
                <w:color w:val="262626"/>
              </w:rPr>
            </w:pPr>
            <w:r>
              <w:rPr>
                <w:b w:val="0"/>
                <w:color w:val="262626"/>
                <w:kern w:val="0"/>
              </w:rPr>
              <w:t>2℃</w:t>
            </w:r>
          </w:p>
        </w:tc>
        <w:tc>
          <w:tcPr>
            <w:tcW w:w="760" w:type="dxa"/>
            <w:vMerge/>
            <w:vAlign w:val="center"/>
          </w:tcPr>
          <w:p w:rsidR="00EB6E70" w:rsidRDefault="00EB6E70" w:rsidP="004A6DE1">
            <w:pPr>
              <w:autoSpaceDE w:val="0"/>
              <w:autoSpaceDN w:val="0"/>
              <w:adjustRightInd w:val="0"/>
              <w:jc w:val="center"/>
              <w:rPr>
                <w:rFonts w:eastAsiaTheme="minorEastAsia"/>
                <w:bCs/>
                <w:color w:val="262626"/>
                <w:szCs w:val="21"/>
              </w:rPr>
            </w:pPr>
          </w:p>
        </w:tc>
      </w:tr>
      <w:tr w:rsidR="00EB6E70" w:rsidTr="004835BD">
        <w:trPr>
          <w:trHeight w:val="70"/>
          <w:jc w:val="center"/>
        </w:trPr>
        <w:tc>
          <w:tcPr>
            <w:tcW w:w="1668" w:type="dxa"/>
            <w:vAlign w:val="center"/>
          </w:tcPr>
          <w:p w:rsidR="00EB6E70" w:rsidRDefault="00EB6E70" w:rsidP="004A6DE1">
            <w:pPr>
              <w:pStyle w:val="a8"/>
              <w:rPr>
                <w:b w:val="0"/>
                <w:color w:val="000000"/>
              </w:rPr>
            </w:pPr>
            <w:r>
              <w:rPr>
                <w:b w:val="0"/>
                <w:kern w:val="0"/>
              </w:rPr>
              <w:t>藏家沟村</w:t>
            </w:r>
          </w:p>
        </w:tc>
        <w:tc>
          <w:tcPr>
            <w:tcW w:w="1608" w:type="dxa"/>
            <w:vAlign w:val="center"/>
          </w:tcPr>
          <w:p w:rsidR="00EB6E70" w:rsidRDefault="00EB6E70" w:rsidP="004A6DE1">
            <w:pPr>
              <w:pStyle w:val="a8"/>
              <w:rPr>
                <w:b w:val="0"/>
                <w:color w:val="000000"/>
              </w:rPr>
            </w:pPr>
            <w:r>
              <w:rPr>
                <w:b w:val="0"/>
                <w:kern w:val="0"/>
              </w:rPr>
              <w:t>109°25′2.64″</w:t>
            </w:r>
          </w:p>
        </w:tc>
        <w:tc>
          <w:tcPr>
            <w:tcW w:w="1418" w:type="dxa"/>
            <w:vAlign w:val="center"/>
          </w:tcPr>
          <w:p w:rsidR="00EB6E70" w:rsidRDefault="00EB6E70" w:rsidP="004A6DE1">
            <w:pPr>
              <w:pStyle w:val="a8"/>
              <w:rPr>
                <w:b w:val="0"/>
                <w:color w:val="000000"/>
              </w:rPr>
            </w:pPr>
            <w:r>
              <w:rPr>
                <w:b w:val="0"/>
                <w:kern w:val="0"/>
              </w:rPr>
              <w:t>37°30′30.43″</w:t>
            </w:r>
          </w:p>
        </w:tc>
        <w:tc>
          <w:tcPr>
            <w:tcW w:w="818" w:type="dxa"/>
            <w:vAlign w:val="center"/>
          </w:tcPr>
          <w:p w:rsidR="00EB6E70" w:rsidRDefault="00EB6E70" w:rsidP="004A6DE1">
            <w:pPr>
              <w:pStyle w:val="a8"/>
              <w:rPr>
                <w:b w:val="0"/>
                <w:color w:val="262626"/>
              </w:rPr>
            </w:pPr>
            <w:r>
              <w:rPr>
                <w:b w:val="0"/>
                <w:color w:val="262626"/>
                <w:kern w:val="0"/>
              </w:rPr>
              <w:t>1032m</w:t>
            </w:r>
          </w:p>
        </w:tc>
        <w:tc>
          <w:tcPr>
            <w:tcW w:w="805" w:type="dxa"/>
            <w:vAlign w:val="center"/>
          </w:tcPr>
          <w:p w:rsidR="00EB6E70" w:rsidRDefault="00EB6E70" w:rsidP="004A6DE1">
            <w:pPr>
              <w:pStyle w:val="a8"/>
              <w:rPr>
                <w:b w:val="0"/>
                <w:color w:val="262626"/>
              </w:rPr>
            </w:pPr>
            <w:r>
              <w:rPr>
                <w:b w:val="0"/>
                <w:color w:val="262626"/>
                <w:kern w:val="0"/>
              </w:rPr>
              <w:t>2.7m</w:t>
            </w:r>
          </w:p>
        </w:tc>
        <w:tc>
          <w:tcPr>
            <w:tcW w:w="786" w:type="dxa"/>
            <w:vAlign w:val="center"/>
          </w:tcPr>
          <w:p w:rsidR="00EB6E70" w:rsidRDefault="00EB6E70" w:rsidP="004A6DE1">
            <w:pPr>
              <w:pStyle w:val="a8"/>
              <w:rPr>
                <w:b w:val="0"/>
                <w:color w:val="262626"/>
              </w:rPr>
            </w:pPr>
            <w:r>
              <w:rPr>
                <w:b w:val="0"/>
                <w:color w:val="262626"/>
                <w:kern w:val="0"/>
              </w:rPr>
              <w:t>5.2m</w:t>
            </w:r>
          </w:p>
        </w:tc>
        <w:tc>
          <w:tcPr>
            <w:tcW w:w="750" w:type="dxa"/>
            <w:vAlign w:val="center"/>
          </w:tcPr>
          <w:p w:rsidR="00EB6E70" w:rsidRDefault="00EB6E70" w:rsidP="004A6DE1">
            <w:pPr>
              <w:pStyle w:val="a8"/>
              <w:rPr>
                <w:b w:val="0"/>
                <w:color w:val="262626"/>
              </w:rPr>
            </w:pPr>
            <w:r>
              <w:rPr>
                <w:b w:val="0"/>
                <w:color w:val="262626"/>
                <w:kern w:val="0"/>
              </w:rPr>
              <w:t>2℃</w:t>
            </w:r>
          </w:p>
        </w:tc>
        <w:tc>
          <w:tcPr>
            <w:tcW w:w="760" w:type="dxa"/>
            <w:vMerge/>
            <w:vAlign w:val="center"/>
          </w:tcPr>
          <w:p w:rsidR="00EB6E70" w:rsidRDefault="00EB6E70" w:rsidP="004A6DE1">
            <w:pPr>
              <w:autoSpaceDE w:val="0"/>
              <w:autoSpaceDN w:val="0"/>
              <w:adjustRightInd w:val="0"/>
              <w:jc w:val="center"/>
              <w:rPr>
                <w:rFonts w:eastAsiaTheme="minorEastAsia"/>
                <w:bCs/>
                <w:color w:val="262626"/>
                <w:szCs w:val="21"/>
              </w:rPr>
            </w:pPr>
          </w:p>
        </w:tc>
      </w:tr>
    </w:tbl>
    <w:p w:rsidR="001664D0" w:rsidRDefault="001664D0">
      <w:pPr>
        <w:tabs>
          <w:tab w:val="left" w:pos="2552"/>
          <w:tab w:val="left" w:pos="5387"/>
        </w:tabs>
        <w:jc w:val="center"/>
        <w:rPr>
          <w:rFonts w:eastAsia="新宋体"/>
          <w:b/>
          <w:sz w:val="24"/>
        </w:rPr>
      </w:pPr>
    </w:p>
    <w:p w:rsidR="00C223F5" w:rsidRDefault="005860D5">
      <w:pPr>
        <w:tabs>
          <w:tab w:val="left" w:pos="2552"/>
          <w:tab w:val="left" w:pos="5387"/>
        </w:tabs>
        <w:jc w:val="center"/>
        <w:rPr>
          <w:rFonts w:eastAsia="新宋体"/>
          <w:b/>
          <w:sz w:val="24"/>
        </w:rPr>
      </w:pPr>
      <w:r>
        <w:rPr>
          <w:rFonts w:eastAsia="新宋体"/>
          <w:b/>
          <w:sz w:val="24"/>
        </w:rPr>
        <w:lastRenderedPageBreak/>
        <w:t>表</w:t>
      </w:r>
      <w:r>
        <w:rPr>
          <w:rFonts w:eastAsia="新宋体"/>
          <w:b/>
          <w:sz w:val="24"/>
        </w:rPr>
        <w:t>3.</w:t>
      </w:r>
      <w:r>
        <w:rPr>
          <w:rFonts w:eastAsia="新宋体" w:hint="eastAsia"/>
          <w:b/>
          <w:sz w:val="24"/>
        </w:rPr>
        <w:t>3</w:t>
      </w:r>
      <w:r>
        <w:rPr>
          <w:rFonts w:eastAsia="新宋体"/>
          <w:b/>
          <w:sz w:val="24"/>
        </w:rPr>
        <w:t>.1-</w:t>
      </w:r>
      <w:r w:rsidR="004656C0">
        <w:rPr>
          <w:rFonts w:eastAsia="新宋体" w:hint="eastAsia"/>
          <w:b/>
          <w:sz w:val="24"/>
        </w:rPr>
        <w:t>2</w:t>
      </w:r>
      <w:r>
        <w:rPr>
          <w:rFonts w:eastAsia="新宋体"/>
          <w:b/>
          <w:sz w:val="24"/>
        </w:rPr>
        <w:t xml:space="preserve">   </w:t>
      </w:r>
      <w:r>
        <w:rPr>
          <w:rFonts w:eastAsia="新宋体"/>
          <w:b/>
          <w:sz w:val="24"/>
        </w:rPr>
        <w:t>地下水水质监测结果</w:t>
      </w:r>
    </w:p>
    <w:tbl>
      <w:tblPr>
        <w:tblW w:w="8655"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32"/>
        <w:gridCol w:w="1509"/>
        <w:gridCol w:w="541"/>
        <w:gridCol w:w="1497"/>
        <w:gridCol w:w="577"/>
        <w:gridCol w:w="1466"/>
        <w:gridCol w:w="580"/>
        <w:gridCol w:w="953"/>
      </w:tblGrid>
      <w:tr w:rsidR="00C223F5">
        <w:trPr>
          <w:trHeight w:val="172"/>
          <w:jc w:val="center"/>
        </w:trPr>
        <w:tc>
          <w:tcPr>
            <w:tcW w:w="1532" w:type="dxa"/>
            <w:vMerge w:val="restart"/>
            <w:tcBorders>
              <w:top w:val="single" w:sz="2" w:space="0" w:color="auto"/>
              <w:left w:val="single" w:sz="2" w:space="0" w:color="auto"/>
              <w:tl2br w:val="single" w:sz="4" w:space="0" w:color="auto"/>
            </w:tcBorders>
            <w:vAlign w:val="center"/>
          </w:tcPr>
          <w:p w:rsidR="00C223F5" w:rsidRDefault="005860D5" w:rsidP="00900720">
            <w:pPr>
              <w:tabs>
                <w:tab w:val="left" w:pos="2552"/>
                <w:tab w:val="left" w:pos="5387"/>
              </w:tabs>
              <w:jc w:val="center"/>
              <w:rPr>
                <w:szCs w:val="21"/>
              </w:rPr>
            </w:pPr>
            <w:r>
              <w:rPr>
                <w:szCs w:val="21"/>
              </w:rPr>
              <w:t xml:space="preserve">     </w:t>
            </w:r>
            <w:r>
              <w:rPr>
                <w:szCs w:val="21"/>
              </w:rPr>
              <w:t>监测点</w:t>
            </w:r>
          </w:p>
          <w:p w:rsidR="00C223F5" w:rsidRDefault="00C223F5" w:rsidP="00900720">
            <w:pPr>
              <w:tabs>
                <w:tab w:val="left" w:pos="2552"/>
                <w:tab w:val="left" w:pos="5387"/>
              </w:tabs>
              <w:jc w:val="center"/>
              <w:rPr>
                <w:szCs w:val="21"/>
              </w:rPr>
            </w:pPr>
          </w:p>
          <w:p w:rsidR="00C223F5" w:rsidRDefault="005860D5" w:rsidP="00900720">
            <w:pPr>
              <w:tabs>
                <w:tab w:val="left" w:pos="2552"/>
                <w:tab w:val="left" w:pos="5387"/>
              </w:tabs>
              <w:ind w:firstLineChars="50" w:firstLine="105"/>
              <w:rPr>
                <w:szCs w:val="21"/>
              </w:rPr>
            </w:pPr>
            <w:r>
              <w:rPr>
                <w:szCs w:val="21"/>
              </w:rPr>
              <w:t>监测项目</w:t>
            </w:r>
          </w:p>
        </w:tc>
        <w:tc>
          <w:tcPr>
            <w:tcW w:w="2050" w:type="dxa"/>
            <w:gridSpan w:val="2"/>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eastAsiaTheme="minorEastAsia"/>
                <w:szCs w:val="21"/>
              </w:rPr>
              <w:t>施阳台</w:t>
            </w:r>
            <w:r>
              <w:rPr>
                <w:rFonts w:eastAsiaTheme="minorEastAsia" w:hint="eastAsia"/>
                <w:szCs w:val="21"/>
              </w:rPr>
              <w:t>村</w:t>
            </w:r>
          </w:p>
        </w:tc>
        <w:tc>
          <w:tcPr>
            <w:tcW w:w="2074" w:type="dxa"/>
            <w:gridSpan w:val="2"/>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eastAsiaTheme="minorEastAsia"/>
                <w:szCs w:val="21"/>
              </w:rPr>
              <w:t>工业场地东部</w:t>
            </w:r>
          </w:p>
        </w:tc>
        <w:tc>
          <w:tcPr>
            <w:tcW w:w="2046" w:type="dxa"/>
            <w:gridSpan w:val="2"/>
            <w:tcBorders>
              <w:top w:val="single" w:sz="2" w:space="0" w:color="auto"/>
              <w:bottom w:val="single" w:sz="2" w:space="0" w:color="auto"/>
            </w:tcBorders>
            <w:vAlign w:val="center"/>
          </w:tcPr>
          <w:p w:rsidR="00C223F5" w:rsidRDefault="005860D5" w:rsidP="00900720">
            <w:pPr>
              <w:jc w:val="center"/>
              <w:rPr>
                <w:szCs w:val="21"/>
              </w:rPr>
            </w:pPr>
            <w:r>
              <w:rPr>
                <w:rFonts w:eastAsiaTheme="minorEastAsia"/>
                <w:szCs w:val="21"/>
              </w:rPr>
              <w:t>拓家阳坪村</w:t>
            </w:r>
          </w:p>
        </w:tc>
        <w:tc>
          <w:tcPr>
            <w:tcW w:w="953" w:type="dxa"/>
            <w:vMerge w:val="restart"/>
            <w:tcBorders>
              <w:top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t>GB14848-</w:t>
            </w:r>
          </w:p>
          <w:p w:rsidR="00C223F5" w:rsidRDefault="005860D5" w:rsidP="00900720">
            <w:pPr>
              <w:tabs>
                <w:tab w:val="left" w:pos="2552"/>
                <w:tab w:val="left" w:pos="5387"/>
              </w:tabs>
              <w:jc w:val="center"/>
              <w:rPr>
                <w:szCs w:val="21"/>
              </w:rPr>
            </w:pPr>
            <w:r>
              <w:rPr>
                <w:szCs w:val="21"/>
              </w:rPr>
              <w:t>2017</w:t>
            </w:r>
            <w:r>
              <w:rPr>
                <w:szCs w:val="21"/>
              </w:rPr>
              <w:t>中</w:t>
            </w:r>
            <w:r>
              <w:rPr>
                <w:rFonts w:hAnsi="宋体"/>
                <w:szCs w:val="21"/>
              </w:rPr>
              <w:t>Ⅲ</w:t>
            </w:r>
            <w:r>
              <w:rPr>
                <w:szCs w:val="21"/>
              </w:rPr>
              <w:t>类标准</w:t>
            </w:r>
          </w:p>
        </w:tc>
      </w:tr>
      <w:tr w:rsidR="00C223F5">
        <w:trPr>
          <w:trHeight w:val="212"/>
          <w:jc w:val="center"/>
        </w:trPr>
        <w:tc>
          <w:tcPr>
            <w:tcW w:w="1532" w:type="dxa"/>
            <w:vMerge/>
            <w:tcBorders>
              <w:left w:val="single" w:sz="2" w:space="0" w:color="auto"/>
              <w:bottom w:val="single" w:sz="2" w:space="0" w:color="auto"/>
              <w:tl2br w:val="single" w:sz="4" w:space="0" w:color="auto"/>
            </w:tcBorders>
            <w:vAlign w:val="center"/>
          </w:tcPr>
          <w:p w:rsidR="00C223F5" w:rsidRDefault="00C223F5" w:rsidP="00900720">
            <w:pPr>
              <w:tabs>
                <w:tab w:val="left" w:pos="2552"/>
                <w:tab w:val="left" w:pos="5387"/>
              </w:tabs>
              <w:jc w:val="center"/>
              <w:rPr>
                <w:szCs w:val="21"/>
                <w:highlight w:val="yellow"/>
              </w:rPr>
            </w:pPr>
          </w:p>
        </w:tc>
        <w:tc>
          <w:tcPr>
            <w:tcW w:w="1509"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监测值</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标准指数</w:t>
            </w:r>
          </w:p>
        </w:tc>
        <w:tc>
          <w:tcPr>
            <w:tcW w:w="149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监测均值</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标准指数</w:t>
            </w:r>
          </w:p>
        </w:tc>
        <w:tc>
          <w:tcPr>
            <w:tcW w:w="1466"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监测值</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标准指数</w:t>
            </w:r>
          </w:p>
        </w:tc>
        <w:tc>
          <w:tcPr>
            <w:tcW w:w="953" w:type="dxa"/>
            <w:vMerge/>
            <w:tcBorders>
              <w:bottom w:val="single" w:sz="2" w:space="0" w:color="auto"/>
              <w:right w:val="single" w:sz="2" w:space="0" w:color="auto"/>
            </w:tcBorders>
            <w:vAlign w:val="center"/>
          </w:tcPr>
          <w:p w:rsidR="00C223F5" w:rsidRDefault="00C223F5" w:rsidP="00900720">
            <w:pPr>
              <w:tabs>
                <w:tab w:val="left" w:pos="2552"/>
                <w:tab w:val="left" w:pos="5387"/>
              </w:tabs>
              <w:jc w:val="center"/>
              <w:rPr>
                <w:szCs w:val="21"/>
                <w:highlight w:val="yellow"/>
              </w:rPr>
            </w:pP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jc w:val="center"/>
              <w:rPr>
                <w:szCs w:val="21"/>
              </w:rPr>
            </w:pPr>
            <w:r>
              <w:rPr>
                <w:szCs w:val="21"/>
              </w:rPr>
              <w:t>pH</w:t>
            </w:r>
            <w:r>
              <w:rPr>
                <w:szCs w:val="21"/>
              </w:rPr>
              <w:t>值</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7.75</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0.5</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8.02</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0.68</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8.16</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0.77</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t>6.5-8.5</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jc w:val="center"/>
              <w:rPr>
                <w:szCs w:val="21"/>
              </w:rPr>
            </w:pPr>
            <w:r>
              <w:rPr>
                <w:szCs w:val="21"/>
              </w:rPr>
              <w:t>耗氧量</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1.68</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0.56</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1.72</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0.57</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1.56</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0.52</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3.0</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widowControl/>
              <w:ind w:firstLine="105"/>
              <w:rPr>
                <w:b w:val="0"/>
                <w:szCs w:val="21"/>
              </w:rPr>
            </w:pPr>
            <w:r>
              <w:rPr>
                <w:b w:val="0"/>
                <w:szCs w:val="21"/>
              </w:rPr>
              <w:t>总大肠菌群</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2ND</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0.67</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2ND</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0.67</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2ND</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0.67</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3.0</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ind w:firstLineChars="50" w:firstLine="105"/>
              <w:rPr>
                <w:b w:val="0"/>
                <w:szCs w:val="21"/>
              </w:rPr>
            </w:pPr>
            <w:r>
              <w:rPr>
                <w:b w:val="0"/>
                <w:szCs w:val="21"/>
              </w:rPr>
              <w:t>氨氮</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0.645</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1.29</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0.035</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0.07</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0.042</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0.084</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0.5</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jc w:val="center"/>
              <w:rPr>
                <w:szCs w:val="21"/>
              </w:rPr>
            </w:pPr>
            <w:r>
              <w:rPr>
                <w:szCs w:val="21"/>
              </w:rPr>
              <w:t>氟化物</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0.28</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0.28</w:t>
            </w:r>
          </w:p>
        </w:tc>
        <w:tc>
          <w:tcPr>
            <w:tcW w:w="1497" w:type="dxa"/>
            <w:tcBorders>
              <w:top w:val="single" w:sz="2" w:space="0" w:color="auto"/>
              <w:bottom w:val="single" w:sz="2" w:space="0" w:color="auto"/>
            </w:tcBorders>
            <w:vAlign w:val="center"/>
          </w:tcPr>
          <w:p w:rsidR="00C223F5" w:rsidRDefault="005860D5" w:rsidP="00900720">
            <w:pPr>
              <w:pStyle w:val="Default"/>
              <w:jc w:val="center"/>
              <w:rPr>
                <w:rFonts w:ascii="Times New Roman" w:cs="Times New Roman"/>
                <w:color w:val="auto"/>
                <w:sz w:val="21"/>
                <w:szCs w:val="21"/>
              </w:rPr>
            </w:pPr>
            <w:r>
              <w:rPr>
                <w:rFonts w:ascii="Times New Roman" w:cs="Times New Roman"/>
                <w:color w:val="auto"/>
                <w:sz w:val="21"/>
                <w:szCs w:val="21"/>
              </w:rPr>
              <w:t>0.38</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0.38</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0.34</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0.34</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1.0</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jc w:val="center"/>
              <w:rPr>
                <w:szCs w:val="21"/>
              </w:rPr>
            </w:pPr>
            <w:r>
              <w:rPr>
                <w:szCs w:val="21"/>
              </w:rPr>
              <w:t>亚硝酸盐氮</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0.003ND</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0.003</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0.003ND</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0.003</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0.003ND</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0.003</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1.00</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widowControl/>
              <w:ind w:firstLine="105"/>
              <w:rPr>
                <w:b w:val="0"/>
                <w:szCs w:val="21"/>
              </w:rPr>
            </w:pPr>
            <w:r>
              <w:rPr>
                <w:b w:val="0"/>
                <w:szCs w:val="21"/>
              </w:rPr>
              <w:t>六价铬</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0.004ND</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0.08</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0.004ND</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0.08</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0.004ND</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0.08</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0.05</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widowControl/>
              <w:ind w:firstLine="105"/>
              <w:rPr>
                <w:b w:val="0"/>
                <w:szCs w:val="21"/>
              </w:rPr>
            </w:pPr>
            <w:r>
              <w:rPr>
                <w:b w:val="0"/>
                <w:szCs w:val="21"/>
              </w:rPr>
              <w:t>挥发酚</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0.0010</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0.5</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0.0006</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0.3</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0.0014</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0.7</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0.002</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widowControl/>
              <w:ind w:firstLine="105"/>
              <w:rPr>
                <w:b w:val="0"/>
                <w:szCs w:val="21"/>
              </w:rPr>
            </w:pPr>
            <w:r>
              <w:rPr>
                <w:b w:val="0"/>
                <w:szCs w:val="21"/>
              </w:rPr>
              <w:t>汞</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bCs/>
                <w:szCs w:val="21"/>
              </w:rPr>
              <w:t>4.0×10</w:t>
            </w:r>
            <w:r>
              <w:rPr>
                <w:bCs/>
                <w:szCs w:val="21"/>
                <w:vertAlign w:val="superscript"/>
              </w:rPr>
              <w:t>-5</w:t>
            </w:r>
            <w:r>
              <w:rPr>
                <w:bCs/>
                <w:szCs w:val="21"/>
              </w:rPr>
              <w:t>ND</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0.04</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bCs/>
                <w:szCs w:val="21"/>
              </w:rPr>
              <w:t>4.0×10</w:t>
            </w:r>
            <w:r>
              <w:rPr>
                <w:bCs/>
                <w:szCs w:val="21"/>
                <w:vertAlign w:val="superscript"/>
              </w:rPr>
              <w:t>-5</w:t>
            </w:r>
            <w:r>
              <w:rPr>
                <w:bCs/>
                <w:szCs w:val="21"/>
              </w:rPr>
              <w:t>ND</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0.04</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bCs/>
                <w:szCs w:val="21"/>
              </w:rPr>
              <w:t>4.0×10</w:t>
            </w:r>
            <w:r>
              <w:rPr>
                <w:bCs/>
                <w:szCs w:val="21"/>
                <w:vertAlign w:val="superscript"/>
              </w:rPr>
              <w:t>-5</w:t>
            </w:r>
            <w:r>
              <w:rPr>
                <w:bCs/>
                <w:szCs w:val="21"/>
              </w:rPr>
              <w:t>ND</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0.04</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0.001</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widowControl/>
              <w:ind w:firstLine="105"/>
              <w:rPr>
                <w:b w:val="0"/>
                <w:szCs w:val="21"/>
              </w:rPr>
            </w:pPr>
            <w:r>
              <w:rPr>
                <w:b w:val="0"/>
                <w:szCs w:val="21"/>
              </w:rPr>
              <w:t>砷</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bCs/>
                <w:szCs w:val="21"/>
              </w:rPr>
              <w:t>3.0×10</w:t>
            </w:r>
            <w:r>
              <w:rPr>
                <w:bCs/>
                <w:szCs w:val="21"/>
                <w:vertAlign w:val="superscript"/>
              </w:rPr>
              <w:t>-4</w:t>
            </w:r>
            <w:r>
              <w:rPr>
                <w:bCs/>
                <w:szCs w:val="21"/>
              </w:rPr>
              <w:t>ND</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0.03</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bCs/>
                <w:szCs w:val="21"/>
              </w:rPr>
              <w:t>3.0×10</w:t>
            </w:r>
            <w:r>
              <w:rPr>
                <w:bCs/>
                <w:szCs w:val="21"/>
                <w:vertAlign w:val="superscript"/>
              </w:rPr>
              <w:t>-4</w:t>
            </w:r>
            <w:r>
              <w:rPr>
                <w:bCs/>
                <w:szCs w:val="21"/>
              </w:rPr>
              <w:t>ND</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0.03</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bCs/>
                <w:szCs w:val="21"/>
              </w:rPr>
              <w:t>3.0×10</w:t>
            </w:r>
            <w:r>
              <w:rPr>
                <w:bCs/>
                <w:szCs w:val="21"/>
                <w:vertAlign w:val="superscript"/>
              </w:rPr>
              <w:t>-4</w:t>
            </w:r>
            <w:r>
              <w:rPr>
                <w:bCs/>
                <w:szCs w:val="21"/>
              </w:rPr>
              <w:t>ND</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0.03</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0.01</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widowControl/>
              <w:ind w:firstLine="105"/>
              <w:rPr>
                <w:b w:val="0"/>
                <w:szCs w:val="21"/>
              </w:rPr>
            </w:pPr>
            <w:r>
              <w:rPr>
                <w:b w:val="0"/>
                <w:szCs w:val="21"/>
              </w:rPr>
              <w:t>铁</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0.03ND</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0.1</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0.03ND</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0.1</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0.03ND</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0.1</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0.3</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widowControl/>
              <w:ind w:firstLine="105"/>
              <w:rPr>
                <w:b w:val="0"/>
                <w:szCs w:val="21"/>
              </w:rPr>
            </w:pPr>
            <w:r>
              <w:rPr>
                <w:b w:val="0"/>
                <w:szCs w:val="21"/>
              </w:rPr>
              <w:t>锰</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0.01ND</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0.1</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0.01ND</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0.1</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0.01ND</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0.1</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0.1</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widowControl/>
              <w:ind w:firstLine="105"/>
              <w:rPr>
                <w:b w:val="0"/>
                <w:szCs w:val="21"/>
              </w:rPr>
            </w:pPr>
            <w:r>
              <w:rPr>
                <w:b w:val="0"/>
                <w:szCs w:val="21"/>
              </w:rPr>
              <w:t>镉</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0.001ND</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0.2</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0.001ND</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0.2</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0.001ND</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0.2</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0.005</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jc w:val="center"/>
              <w:rPr>
                <w:szCs w:val="21"/>
              </w:rPr>
            </w:pPr>
            <w:r>
              <w:rPr>
                <w:szCs w:val="21"/>
              </w:rPr>
              <w:t>溶解性总固体</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rFonts w:hint="eastAsia"/>
                <w:szCs w:val="21"/>
              </w:rPr>
              <w:t>967</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0.967</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671</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0.671</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rFonts w:hint="eastAsia"/>
                <w:szCs w:val="21"/>
              </w:rPr>
              <w:t>978</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0.978</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1000</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widowControl/>
              <w:ind w:firstLine="105"/>
              <w:rPr>
                <w:b w:val="0"/>
                <w:szCs w:val="21"/>
              </w:rPr>
            </w:pPr>
            <w:r>
              <w:rPr>
                <w:b w:val="0"/>
                <w:szCs w:val="21"/>
              </w:rPr>
              <w:t>钾</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0.90</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0.66</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1.96</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t>/</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widowControl/>
              <w:ind w:firstLine="105"/>
              <w:rPr>
                <w:b w:val="0"/>
                <w:szCs w:val="21"/>
              </w:rPr>
            </w:pPr>
            <w:r>
              <w:rPr>
                <w:b w:val="0"/>
                <w:szCs w:val="21"/>
              </w:rPr>
              <w:t>钠</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92.94</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0.464</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111.9</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0.559</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103.3</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0.516</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200</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widowControl/>
              <w:ind w:firstLine="105"/>
              <w:rPr>
                <w:b w:val="0"/>
                <w:szCs w:val="21"/>
              </w:rPr>
            </w:pPr>
            <w:r>
              <w:rPr>
                <w:b w:val="0"/>
                <w:szCs w:val="21"/>
              </w:rPr>
              <w:t>钙</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84.23</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31.69</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71.56</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t>/</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widowControl/>
              <w:ind w:firstLine="105"/>
              <w:rPr>
                <w:b w:val="0"/>
                <w:szCs w:val="21"/>
              </w:rPr>
            </w:pPr>
            <w:r>
              <w:rPr>
                <w:b w:val="0"/>
                <w:bCs w:val="0"/>
                <w:szCs w:val="21"/>
              </w:rPr>
              <w:t>镁</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16.021</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14.679</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13.152</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t>/</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jc w:val="center"/>
              <w:rPr>
                <w:szCs w:val="21"/>
              </w:rPr>
            </w:pPr>
            <w:r>
              <w:rPr>
                <w:szCs w:val="21"/>
              </w:rPr>
              <w:t>硝酸盐氮</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0.08ND</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0.004</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2.44</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0.122</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2.10</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0.105</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20</w:t>
            </w:r>
          </w:p>
        </w:tc>
      </w:tr>
      <w:tr w:rsidR="00C223F5">
        <w:trPr>
          <w:trHeight w:val="75"/>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widowControl/>
              <w:ind w:firstLine="105"/>
              <w:rPr>
                <w:b w:val="0"/>
                <w:szCs w:val="21"/>
              </w:rPr>
            </w:pPr>
            <w:r>
              <w:rPr>
                <w:b w:val="0"/>
                <w:szCs w:val="21"/>
              </w:rPr>
              <w:t>碳酸根</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0</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0</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0</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t>/</w:t>
            </w:r>
          </w:p>
        </w:tc>
      </w:tr>
      <w:tr w:rsidR="00C223F5">
        <w:trPr>
          <w:trHeight w:val="272"/>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pStyle w:val="a8"/>
              <w:ind w:firstLineChars="50" w:firstLine="105"/>
              <w:rPr>
                <w:b w:val="0"/>
                <w:szCs w:val="21"/>
              </w:rPr>
            </w:pPr>
            <w:r>
              <w:rPr>
                <w:b w:val="0"/>
                <w:szCs w:val="21"/>
              </w:rPr>
              <w:t>重碳酸根</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245</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328</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289</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szCs w:val="21"/>
              </w:rPr>
              <w:t>/</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t>/</w:t>
            </w:r>
          </w:p>
        </w:tc>
      </w:tr>
      <w:tr w:rsidR="00C223F5">
        <w:trPr>
          <w:trHeight w:val="276"/>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jc w:val="center"/>
              <w:rPr>
                <w:szCs w:val="21"/>
              </w:rPr>
            </w:pPr>
            <w:r>
              <w:rPr>
                <w:szCs w:val="21"/>
              </w:rPr>
              <w:t>硫酸盐</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46</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0.184</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28</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0.112</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37</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0.148</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250</w:t>
            </w:r>
          </w:p>
        </w:tc>
      </w:tr>
      <w:tr w:rsidR="00C223F5">
        <w:trPr>
          <w:trHeight w:val="276"/>
          <w:jc w:val="center"/>
        </w:trPr>
        <w:tc>
          <w:tcPr>
            <w:tcW w:w="1532" w:type="dxa"/>
            <w:tcBorders>
              <w:top w:val="single" w:sz="2" w:space="0" w:color="auto"/>
              <w:left w:val="single" w:sz="2" w:space="0" w:color="auto"/>
              <w:bottom w:val="single" w:sz="2" w:space="0" w:color="auto"/>
            </w:tcBorders>
            <w:vAlign w:val="center"/>
          </w:tcPr>
          <w:p w:rsidR="00C223F5" w:rsidRDefault="005860D5" w:rsidP="00900720">
            <w:pPr>
              <w:jc w:val="center"/>
              <w:rPr>
                <w:szCs w:val="21"/>
              </w:rPr>
            </w:pPr>
            <w:r>
              <w:rPr>
                <w:szCs w:val="21"/>
              </w:rPr>
              <w:t>氯化物</w:t>
            </w:r>
          </w:p>
        </w:tc>
        <w:tc>
          <w:tcPr>
            <w:tcW w:w="1509" w:type="dxa"/>
            <w:tcBorders>
              <w:top w:val="single" w:sz="2" w:space="0" w:color="auto"/>
              <w:bottom w:val="single" w:sz="2" w:space="0" w:color="auto"/>
            </w:tcBorders>
            <w:vAlign w:val="center"/>
          </w:tcPr>
          <w:p w:rsidR="00C223F5" w:rsidRDefault="005860D5" w:rsidP="00900720">
            <w:pPr>
              <w:jc w:val="center"/>
              <w:rPr>
                <w:szCs w:val="21"/>
              </w:rPr>
            </w:pPr>
            <w:r>
              <w:rPr>
                <w:szCs w:val="21"/>
              </w:rPr>
              <w:t>146</w:t>
            </w:r>
          </w:p>
        </w:tc>
        <w:tc>
          <w:tcPr>
            <w:tcW w:w="541"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0.584</w:t>
            </w:r>
          </w:p>
        </w:tc>
        <w:tc>
          <w:tcPr>
            <w:tcW w:w="1497" w:type="dxa"/>
            <w:tcBorders>
              <w:top w:val="single" w:sz="2" w:space="0" w:color="auto"/>
              <w:bottom w:val="single" w:sz="2" w:space="0" w:color="auto"/>
            </w:tcBorders>
            <w:vAlign w:val="center"/>
          </w:tcPr>
          <w:p w:rsidR="00C223F5" w:rsidRDefault="005860D5" w:rsidP="00900720">
            <w:pPr>
              <w:jc w:val="center"/>
              <w:rPr>
                <w:szCs w:val="21"/>
              </w:rPr>
            </w:pPr>
            <w:r>
              <w:rPr>
                <w:szCs w:val="21"/>
              </w:rPr>
              <w:t>44.3</w:t>
            </w:r>
          </w:p>
        </w:tc>
        <w:tc>
          <w:tcPr>
            <w:tcW w:w="577"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0.177</w:t>
            </w:r>
          </w:p>
        </w:tc>
        <w:tc>
          <w:tcPr>
            <w:tcW w:w="1466" w:type="dxa"/>
            <w:tcBorders>
              <w:top w:val="single" w:sz="2" w:space="0" w:color="auto"/>
              <w:bottom w:val="single" w:sz="2" w:space="0" w:color="auto"/>
            </w:tcBorders>
            <w:vAlign w:val="center"/>
          </w:tcPr>
          <w:p w:rsidR="00C223F5" w:rsidRDefault="005860D5" w:rsidP="00900720">
            <w:pPr>
              <w:jc w:val="center"/>
              <w:rPr>
                <w:szCs w:val="21"/>
              </w:rPr>
            </w:pPr>
            <w:r>
              <w:rPr>
                <w:szCs w:val="21"/>
              </w:rPr>
              <w:t>158</w:t>
            </w:r>
          </w:p>
        </w:tc>
        <w:tc>
          <w:tcPr>
            <w:tcW w:w="580" w:type="dxa"/>
            <w:tcBorders>
              <w:top w:val="single" w:sz="2" w:space="0" w:color="auto"/>
              <w:bottom w:val="single" w:sz="2" w:space="0" w:color="auto"/>
            </w:tcBorders>
            <w:vAlign w:val="center"/>
          </w:tcPr>
          <w:p w:rsidR="00C223F5" w:rsidRDefault="005860D5" w:rsidP="00900720">
            <w:pPr>
              <w:tabs>
                <w:tab w:val="left" w:pos="2552"/>
                <w:tab w:val="left" w:pos="5387"/>
              </w:tabs>
              <w:jc w:val="center"/>
              <w:rPr>
                <w:szCs w:val="21"/>
              </w:rPr>
            </w:pPr>
            <w:r>
              <w:rPr>
                <w:rFonts w:hint="eastAsia"/>
                <w:szCs w:val="21"/>
              </w:rPr>
              <w:t>0.632</w:t>
            </w:r>
          </w:p>
        </w:tc>
        <w:tc>
          <w:tcPr>
            <w:tcW w:w="953" w:type="dxa"/>
            <w:tcBorders>
              <w:top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sym w:font="UniversalMath1 BT" w:char="00A3"/>
            </w:r>
            <w:r>
              <w:rPr>
                <w:szCs w:val="21"/>
              </w:rPr>
              <w:t>250</w:t>
            </w:r>
          </w:p>
        </w:tc>
      </w:tr>
      <w:tr w:rsidR="00C223F5">
        <w:trPr>
          <w:trHeight w:val="75"/>
          <w:jc w:val="center"/>
        </w:trPr>
        <w:tc>
          <w:tcPr>
            <w:tcW w:w="1532" w:type="dxa"/>
            <w:tcBorders>
              <w:top w:val="single" w:sz="2" w:space="0" w:color="auto"/>
              <w:left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t>备注</w:t>
            </w:r>
          </w:p>
        </w:tc>
        <w:tc>
          <w:tcPr>
            <w:tcW w:w="7123" w:type="dxa"/>
            <w:gridSpan w:val="7"/>
            <w:tcBorders>
              <w:top w:val="single" w:sz="2" w:space="0" w:color="auto"/>
              <w:left w:val="single" w:sz="2" w:space="0" w:color="auto"/>
              <w:bottom w:val="single" w:sz="2" w:space="0" w:color="auto"/>
              <w:right w:val="single" w:sz="2" w:space="0" w:color="auto"/>
            </w:tcBorders>
            <w:vAlign w:val="center"/>
          </w:tcPr>
          <w:p w:rsidR="00C223F5" w:rsidRDefault="005860D5" w:rsidP="00900720">
            <w:pPr>
              <w:tabs>
                <w:tab w:val="left" w:pos="2552"/>
                <w:tab w:val="left" w:pos="5387"/>
              </w:tabs>
              <w:jc w:val="center"/>
              <w:rPr>
                <w:szCs w:val="21"/>
              </w:rPr>
            </w:pPr>
            <w:r>
              <w:rPr>
                <w:szCs w:val="21"/>
              </w:rPr>
              <w:t>除</w:t>
            </w:r>
            <w:r>
              <w:rPr>
                <w:szCs w:val="21"/>
              </w:rPr>
              <w:t>pH</w:t>
            </w:r>
            <w:r>
              <w:rPr>
                <w:szCs w:val="21"/>
              </w:rPr>
              <w:t>，总大肠菌群个</w:t>
            </w:r>
            <w:r>
              <w:rPr>
                <w:szCs w:val="21"/>
              </w:rPr>
              <w:t>/L</w:t>
            </w:r>
            <w:r>
              <w:rPr>
                <w:szCs w:val="21"/>
              </w:rPr>
              <w:t>，其余项目单位均为</w:t>
            </w:r>
            <w:r>
              <w:rPr>
                <w:szCs w:val="21"/>
              </w:rPr>
              <w:t>mg/L</w:t>
            </w:r>
            <w:r>
              <w:rPr>
                <w:szCs w:val="21"/>
              </w:rPr>
              <w:t>，</w:t>
            </w:r>
            <w:r>
              <w:rPr>
                <w:szCs w:val="21"/>
              </w:rPr>
              <w:t>ND</w:t>
            </w:r>
            <w:r>
              <w:rPr>
                <w:szCs w:val="21"/>
              </w:rPr>
              <w:t>表示未检出</w:t>
            </w:r>
          </w:p>
        </w:tc>
      </w:tr>
    </w:tbl>
    <w:p w:rsidR="001664D0" w:rsidRDefault="001664D0" w:rsidP="001664D0">
      <w:pPr>
        <w:spacing w:line="360" w:lineRule="auto"/>
        <w:ind w:firstLineChars="200" w:firstLine="480"/>
        <w:rPr>
          <w:sz w:val="24"/>
        </w:rPr>
      </w:pPr>
      <w:bookmarkStart w:id="322" w:name="_Toc533604319"/>
      <w:bookmarkStart w:id="323" w:name="_Toc485719484"/>
      <w:bookmarkStart w:id="324" w:name="_Toc533604739"/>
      <w:r>
        <w:rPr>
          <w:sz w:val="24"/>
        </w:rPr>
        <w:t>由表</w:t>
      </w:r>
      <w:r>
        <w:rPr>
          <w:sz w:val="24"/>
        </w:rPr>
        <w:t>3.</w:t>
      </w:r>
      <w:r>
        <w:rPr>
          <w:rFonts w:hint="eastAsia"/>
          <w:sz w:val="24"/>
        </w:rPr>
        <w:t>3</w:t>
      </w:r>
      <w:r>
        <w:rPr>
          <w:sz w:val="24"/>
        </w:rPr>
        <w:t>.1-</w:t>
      </w:r>
      <w:r>
        <w:rPr>
          <w:rFonts w:hint="eastAsia"/>
          <w:sz w:val="24"/>
        </w:rPr>
        <w:t>2</w:t>
      </w:r>
      <w:r>
        <w:rPr>
          <w:sz w:val="24"/>
        </w:rPr>
        <w:t>可以看出，</w:t>
      </w:r>
      <w:r>
        <w:rPr>
          <w:rFonts w:hint="eastAsia"/>
          <w:sz w:val="24"/>
        </w:rPr>
        <w:t>地下水水质监测点中施阳台村水井氨氮指标超过</w:t>
      </w:r>
      <w:r>
        <w:rPr>
          <w:sz w:val="24"/>
        </w:rPr>
        <w:t>《地下水质量标准》（</w:t>
      </w:r>
      <w:r>
        <w:rPr>
          <w:sz w:val="24"/>
        </w:rPr>
        <w:t>GB/T14848-</w:t>
      </w:r>
      <w:r>
        <w:rPr>
          <w:rFonts w:hint="eastAsia"/>
          <w:sz w:val="24"/>
        </w:rPr>
        <w:t>2017</w:t>
      </w:r>
      <w:r>
        <w:rPr>
          <w:sz w:val="24"/>
        </w:rPr>
        <w:t>）</w:t>
      </w:r>
      <w:r>
        <w:rPr>
          <w:rFonts w:ascii="宋体" w:hAnsi="宋体" w:cs="宋体" w:hint="eastAsia"/>
          <w:sz w:val="24"/>
        </w:rPr>
        <w:t>Ⅲ</w:t>
      </w:r>
      <w:r>
        <w:rPr>
          <w:sz w:val="24"/>
        </w:rPr>
        <w:t>类标准</w:t>
      </w:r>
      <w:r>
        <w:rPr>
          <w:rFonts w:hint="eastAsia"/>
          <w:sz w:val="24"/>
        </w:rPr>
        <w:t>，现场踏勘发现该水井位于居民菜地中，氨氮超标与农民施肥有关。</w:t>
      </w:r>
      <w:r>
        <w:rPr>
          <w:sz w:val="24"/>
        </w:rPr>
        <w:t>监测结果中</w:t>
      </w:r>
      <w:r>
        <w:rPr>
          <w:rFonts w:hint="eastAsia"/>
          <w:sz w:val="24"/>
        </w:rPr>
        <w:t>地下水水质</w:t>
      </w:r>
      <w:r>
        <w:rPr>
          <w:sz w:val="24"/>
        </w:rPr>
        <w:t>阴阳离子</w:t>
      </w:r>
      <w:r>
        <w:rPr>
          <w:rFonts w:hint="eastAsia"/>
          <w:sz w:val="24"/>
        </w:rPr>
        <w:t>基本</w:t>
      </w:r>
      <w:r>
        <w:rPr>
          <w:sz w:val="24"/>
        </w:rPr>
        <w:t>平衡</w:t>
      </w:r>
      <w:r>
        <w:rPr>
          <w:rFonts w:hint="eastAsia"/>
          <w:sz w:val="24"/>
        </w:rPr>
        <w:t>。</w:t>
      </w:r>
    </w:p>
    <w:p w:rsidR="00C223F5" w:rsidRDefault="005860D5" w:rsidP="001E5F8B">
      <w:pPr>
        <w:pStyle w:val="3"/>
        <w:numPr>
          <w:ilvl w:val="0"/>
          <w:numId w:val="0"/>
        </w:numPr>
        <w:spacing w:before="0" w:after="0" w:line="360" w:lineRule="auto"/>
        <w:ind w:left="170"/>
        <w:rPr>
          <w:rFonts w:eastAsia="宋体"/>
          <w:b/>
          <w:bCs w:val="0"/>
          <w:sz w:val="28"/>
          <w:szCs w:val="28"/>
        </w:rPr>
      </w:pPr>
      <w:bookmarkStart w:id="325" w:name="_Toc16785283"/>
      <w:r>
        <w:rPr>
          <w:rFonts w:eastAsia="宋体"/>
          <w:b/>
          <w:bCs w:val="0"/>
          <w:sz w:val="28"/>
          <w:szCs w:val="28"/>
        </w:rPr>
        <w:t>3.</w:t>
      </w:r>
      <w:r>
        <w:rPr>
          <w:rFonts w:eastAsia="宋体" w:hint="eastAsia"/>
          <w:b/>
          <w:bCs w:val="0"/>
          <w:sz w:val="28"/>
          <w:szCs w:val="28"/>
        </w:rPr>
        <w:t>3</w:t>
      </w:r>
      <w:r>
        <w:rPr>
          <w:rFonts w:eastAsia="宋体"/>
          <w:b/>
          <w:bCs w:val="0"/>
          <w:sz w:val="28"/>
          <w:szCs w:val="28"/>
        </w:rPr>
        <w:t>.2</w:t>
      </w:r>
      <w:r>
        <w:rPr>
          <w:rFonts w:eastAsia="宋体"/>
          <w:b/>
          <w:bCs w:val="0"/>
          <w:sz w:val="28"/>
          <w:szCs w:val="28"/>
        </w:rPr>
        <w:t>地表水环境质量现状</w:t>
      </w:r>
      <w:bookmarkEnd w:id="322"/>
      <w:bookmarkEnd w:id="323"/>
      <w:bookmarkEnd w:id="324"/>
      <w:bookmarkEnd w:id="325"/>
    </w:p>
    <w:p w:rsidR="00C223F5" w:rsidRDefault="005860D5">
      <w:pPr>
        <w:spacing w:line="360" w:lineRule="auto"/>
        <w:ind w:firstLineChars="200" w:firstLine="480"/>
        <w:rPr>
          <w:b/>
          <w:sz w:val="24"/>
        </w:rPr>
      </w:pPr>
      <w:r>
        <w:rPr>
          <w:rFonts w:hint="eastAsia"/>
          <w:sz w:val="24"/>
        </w:rPr>
        <w:t>陕西精益达安全环保技术服务有限公司</w:t>
      </w:r>
      <w:r>
        <w:rPr>
          <w:bCs/>
          <w:sz w:val="24"/>
        </w:rPr>
        <w:t>于</w:t>
      </w:r>
      <w:r>
        <w:rPr>
          <w:rFonts w:eastAsia="黑体"/>
          <w:sz w:val="24"/>
        </w:rPr>
        <w:t>201</w:t>
      </w:r>
      <w:r>
        <w:rPr>
          <w:rFonts w:eastAsia="黑体" w:hint="eastAsia"/>
          <w:sz w:val="24"/>
        </w:rPr>
        <w:t>9</w:t>
      </w:r>
      <w:r>
        <w:rPr>
          <w:sz w:val="24"/>
        </w:rPr>
        <w:t>年</w:t>
      </w:r>
      <w:r>
        <w:rPr>
          <w:rFonts w:hint="eastAsia"/>
          <w:sz w:val="24"/>
        </w:rPr>
        <w:t>1</w:t>
      </w:r>
      <w:r>
        <w:rPr>
          <w:sz w:val="24"/>
        </w:rPr>
        <w:t>月</w:t>
      </w:r>
      <w:r>
        <w:rPr>
          <w:rFonts w:hint="eastAsia"/>
          <w:sz w:val="24"/>
        </w:rPr>
        <w:t>14</w:t>
      </w:r>
      <w:r>
        <w:rPr>
          <w:sz w:val="24"/>
        </w:rPr>
        <w:t>日～</w:t>
      </w:r>
      <w:r>
        <w:rPr>
          <w:rFonts w:hint="eastAsia"/>
          <w:sz w:val="24"/>
        </w:rPr>
        <w:t>16</w:t>
      </w:r>
      <w:r>
        <w:rPr>
          <w:sz w:val="24"/>
        </w:rPr>
        <w:t>日对评价范围内地表水进行了监测。</w:t>
      </w:r>
    </w:p>
    <w:p w:rsidR="00C223F5" w:rsidRDefault="005860D5">
      <w:pPr>
        <w:tabs>
          <w:tab w:val="left" w:pos="2552"/>
          <w:tab w:val="left" w:pos="5387"/>
        </w:tabs>
        <w:spacing w:line="360" w:lineRule="auto"/>
        <w:ind w:firstLineChars="200" w:firstLine="480"/>
        <w:rPr>
          <w:sz w:val="24"/>
        </w:rPr>
      </w:pPr>
      <w:r>
        <w:rPr>
          <w:sz w:val="24"/>
        </w:rPr>
        <w:t>（</w:t>
      </w:r>
      <w:r>
        <w:rPr>
          <w:sz w:val="24"/>
        </w:rPr>
        <w:t>1</w:t>
      </w:r>
      <w:r>
        <w:rPr>
          <w:sz w:val="24"/>
        </w:rPr>
        <w:t>）监测断面的设置</w:t>
      </w:r>
    </w:p>
    <w:p w:rsidR="00C223F5" w:rsidRDefault="005860D5">
      <w:pPr>
        <w:tabs>
          <w:tab w:val="left" w:pos="2552"/>
          <w:tab w:val="left" w:pos="5387"/>
        </w:tabs>
        <w:spacing w:line="360" w:lineRule="auto"/>
        <w:ind w:firstLineChars="200" w:firstLine="480"/>
        <w:rPr>
          <w:sz w:val="24"/>
        </w:rPr>
      </w:pPr>
      <w:r>
        <w:rPr>
          <w:sz w:val="24"/>
        </w:rPr>
        <w:t>在</w:t>
      </w:r>
      <w:r>
        <w:rPr>
          <w:rFonts w:hAnsi="宋体" w:hint="eastAsia"/>
          <w:sz w:val="24"/>
        </w:rPr>
        <w:t>蚂蚁河设置</w:t>
      </w:r>
      <w:r>
        <w:rPr>
          <w:rFonts w:hint="eastAsia"/>
          <w:sz w:val="24"/>
        </w:rPr>
        <w:t>2</w:t>
      </w:r>
      <w:r>
        <w:rPr>
          <w:rFonts w:hAnsi="宋体"/>
          <w:sz w:val="24"/>
        </w:rPr>
        <w:t>个地表水监测断面</w:t>
      </w:r>
      <w:r>
        <w:rPr>
          <w:rFonts w:hAnsi="宋体" w:hint="eastAsia"/>
          <w:sz w:val="24"/>
        </w:rPr>
        <w:t>，大理河设置</w:t>
      </w:r>
      <w:r>
        <w:rPr>
          <w:rFonts w:hAnsi="宋体" w:hint="eastAsia"/>
          <w:sz w:val="24"/>
        </w:rPr>
        <w:t>1</w:t>
      </w:r>
      <w:r>
        <w:rPr>
          <w:rFonts w:hAnsi="宋体" w:hint="eastAsia"/>
          <w:sz w:val="24"/>
        </w:rPr>
        <w:t>个</w:t>
      </w:r>
      <w:r>
        <w:rPr>
          <w:rFonts w:hAnsi="宋体"/>
          <w:sz w:val="24"/>
        </w:rPr>
        <w:t>地表水监测断面</w:t>
      </w:r>
      <w:r>
        <w:rPr>
          <w:sz w:val="24"/>
        </w:rPr>
        <w:t>，具体位置见图</w:t>
      </w:r>
      <w:r>
        <w:rPr>
          <w:sz w:val="24"/>
        </w:rPr>
        <w:t>3.</w:t>
      </w:r>
      <w:r>
        <w:rPr>
          <w:rFonts w:hint="eastAsia"/>
          <w:sz w:val="24"/>
        </w:rPr>
        <w:t>3</w:t>
      </w:r>
      <w:r>
        <w:rPr>
          <w:sz w:val="24"/>
        </w:rPr>
        <w:t>.1-1</w:t>
      </w:r>
      <w:r>
        <w:rPr>
          <w:sz w:val="24"/>
        </w:rPr>
        <w:t>。</w:t>
      </w:r>
    </w:p>
    <w:p w:rsidR="00C223F5" w:rsidRDefault="005860D5">
      <w:pPr>
        <w:tabs>
          <w:tab w:val="left" w:pos="2552"/>
          <w:tab w:val="left" w:pos="5387"/>
        </w:tabs>
        <w:spacing w:line="360" w:lineRule="auto"/>
        <w:ind w:firstLineChars="200" w:firstLine="480"/>
        <w:rPr>
          <w:sz w:val="24"/>
        </w:rPr>
      </w:pPr>
      <w:r>
        <w:rPr>
          <w:sz w:val="24"/>
        </w:rPr>
        <w:t>（</w:t>
      </w:r>
      <w:r>
        <w:rPr>
          <w:sz w:val="24"/>
        </w:rPr>
        <w:t>2</w:t>
      </w:r>
      <w:r>
        <w:rPr>
          <w:sz w:val="24"/>
        </w:rPr>
        <w:t>）监测项目及频率</w:t>
      </w:r>
    </w:p>
    <w:p w:rsidR="00C223F5" w:rsidRDefault="005860D5">
      <w:pPr>
        <w:spacing w:line="360" w:lineRule="auto"/>
        <w:ind w:firstLineChars="200" w:firstLine="480"/>
        <w:rPr>
          <w:sz w:val="24"/>
        </w:rPr>
      </w:pPr>
      <w:r>
        <w:rPr>
          <w:sz w:val="24"/>
        </w:rPr>
        <w:t>水质监测项目为：</w:t>
      </w:r>
      <w:r>
        <w:rPr>
          <w:rFonts w:hint="eastAsia"/>
          <w:sz w:val="24"/>
        </w:rPr>
        <w:t>pH</w:t>
      </w:r>
      <w:r>
        <w:rPr>
          <w:rFonts w:hint="eastAsia"/>
          <w:sz w:val="24"/>
        </w:rPr>
        <w:t>、总悬浮物、化学需氧量、石油类、总铁、总锰、总汞、总镉、总铬、六价铬、总铅、总砷、氟化物、</w:t>
      </w:r>
      <w:r>
        <w:rPr>
          <w:sz w:val="24"/>
        </w:rPr>
        <w:t>五日生化需氧量</w:t>
      </w:r>
      <w:r>
        <w:rPr>
          <w:rFonts w:hAnsi="宋体"/>
          <w:sz w:val="24"/>
        </w:rPr>
        <w:t>、</w:t>
      </w:r>
      <w:r>
        <w:rPr>
          <w:sz w:val="24"/>
        </w:rPr>
        <w:t>溶解氧</w:t>
      </w:r>
      <w:r>
        <w:rPr>
          <w:rFonts w:hAnsi="宋体"/>
          <w:sz w:val="24"/>
        </w:rPr>
        <w:t>、</w:t>
      </w:r>
      <w:r>
        <w:rPr>
          <w:sz w:val="24"/>
        </w:rPr>
        <w:t>氨氮</w:t>
      </w:r>
      <w:r>
        <w:rPr>
          <w:rFonts w:hAnsi="宋体"/>
          <w:sz w:val="24"/>
        </w:rPr>
        <w:t>、</w:t>
      </w:r>
      <w:r>
        <w:rPr>
          <w:rFonts w:hAnsi="宋体" w:hint="eastAsia"/>
          <w:sz w:val="24"/>
        </w:rPr>
        <w:t>硫</w:t>
      </w:r>
      <w:r>
        <w:rPr>
          <w:rFonts w:hAnsi="宋体"/>
          <w:sz w:val="24"/>
        </w:rPr>
        <w:t>化物、</w:t>
      </w:r>
      <w:r>
        <w:rPr>
          <w:sz w:val="24"/>
        </w:rPr>
        <w:t>挥发酚</w:t>
      </w:r>
      <w:r>
        <w:rPr>
          <w:rFonts w:hAnsi="宋体"/>
          <w:sz w:val="24"/>
        </w:rPr>
        <w:t>及水温</w:t>
      </w:r>
      <w:r>
        <w:rPr>
          <w:rFonts w:hint="eastAsia"/>
          <w:sz w:val="24"/>
        </w:rPr>
        <w:t>；</w:t>
      </w:r>
      <w:r>
        <w:rPr>
          <w:sz w:val="24"/>
        </w:rPr>
        <w:t>同时给出相应的水文参数（河宽、水深），流速，流量。</w:t>
      </w:r>
    </w:p>
    <w:p w:rsidR="00C223F5" w:rsidRDefault="005860D5">
      <w:pPr>
        <w:tabs>
          <w:tab w:val="left" w:pos="2552"/>
          <w:tab w:val="left" w:pos="5387"/>
        </w:tabs>
        <w:spacing w:line="360" w:lineRule="auto"/>
        <w:ind w:firstLineChars="200" w:firstLine="480"/>
        <w:rPr>
          <w:sz w:val="24"/>
        </w:rPr>
      </w:pPr>
      <w:r>
        <w:rPr>
          <w:sz w:val="24"/>
        </w:rPr>
        <w:lastRenderedPageBreak/>
        <w:t>监测频率：一期</w:t>
      </w:r>
      <w:r>
        <w:rPr>
          <w:rFonts w:hint="eastAsia"/>
          <w:sz w:val="24"/>
        </w:rPr>
        <w:t>3</w:t>
      </w:r>
      <w:r>
        <w:rPr>
          <w:sz w:val="24"/>
        </w:rPr>
        <w:t>天，每天</w:t>
      </w:r>
      <w:r>
        <w:rPr>
          <w:sz w:val="24"/>
        </w:rPr>
        <w:t>1</w:t>
      </w:r>
      <w:r>
        <w:rPr>
          <w:sz w:val="24"/>
        </w:rPr>
        <w:t>次。</w:t>
      </w:r>
    </w:p>
    <w:p w:rsidR="00C223F5" w:rsidRDefault="005860D5">
      <w:pPr>
        <w:tabs>
          <w:tab w:val="left" w:pos="2552"/>
          <w:tab w:val="left" w:pos="5387"/>
        </w:tabs>
        <w:spacing w:line="360" w:lineRule="auto"/>
        <w:ind w:firstLineChars="200" w:firstLine="480"/>
        <w:rPr>
          <w:sz w:val="24"/>
        </w:rPr>
      </w:pPr>
      <w:r>
        <w:rPr>
          <w:sz w:val="24"/>
        </w:rPr>
        <w:t>（</w:t>
      </w:r>
      <w:r>
        <w:rPr>
          <w:sz w:val="24"/>
        </w:rPr>
        <w:t>3</w:t>
      </w:r>
      <w:r>
        <w:rPr>
          <w:sz w:val="24"/>
        </w:rPr>
        <w:t>）监测结果</w:t>
      </w:r>
    </w:p>
    <w:p w:rsidR="00C223F5" w:rsidRDefault="005860D5" w:rsidP="004656C0">
      <w:pPr>
        <w:spacing w:line="360" w:lineRule="auto"/>
        <w:ind w:firstLineChars="200" w:firstLine="480"/>
        <w:rPr>
          <w:sz w:val="24"/>
        </w:rPr>
      </w:pPr>
      <w:r>
        <w:rPr>
          <w:sz w:val="24"/>
        </w:rPr>
        <w:t>地表水环境现状监测结果见表</w:t>
      </w:r>
      <w:r>
        <w:rPr>
          <w:sz w:val="24"/>
        </w:rPr>
        <w:t>3.</w:t>
      </w:r>
      <w:r>
        <w:rPr>
          <w:rFonts w:hint="eastAsia"/>
          <w:sz w:val="24"/>
        </w:rPr>
        <w:t>3</w:t>
      </w:r>
      <w:r>
        <w:rPr>
          <w:sz w:val="24"/>
        </w:rPr>
        <w:t>.2-1</w:t>
      </w:r>
      <w:r>
        <w:rPr>
          <w:sz w:val="24"/>
        </w:rPr>
        <w:t>。</w:t>
      </w:r>
    </w:p>
    <w:p w:rsidR="005778BE" w:rsidRDefault="005778BE" w:rsidP="005778BE">
      <w:pPr>
        <w:spacing w:line="360" w:lineRule="auto"/>
        <w:ind w:firstLineChars="200" w:firstLine="480"/>
        <w:rPr>
          <w:sz w:val="24"/>
        </w:rPr>
      </w:pPr>
      <w:r>
        <w:rPr>
          <w:sz w:val="24"/>
        </w:rPr>
        <w:t>由表</w:t>
      </w:r>
      <w:r>
        <w:rPr>
          <w:sz w:val="24"/>
        </w:rPr>
        <w:t>3.</w:t>
      </w:r>
      <w:r>
        <w:rPr>
          <w:rFonts w:hint="eastAsia"/>
          <w:sz w:val="24"/>
        </w:rPr>
        <w:t>3</w:t>
      </w:r>
      <w:r>
        <w:rPr>
          <w:sz w:val="24"/>
        </w:rPr>
        <w:t>.2-1</w:t>
      </w:r>
      <w:r>
        <w:rPr>
          <w:sz w:val="24"/>
        </w:rPr>
        <w:t>的数据可以看出，</w:t>
      </w:r>
      <w:r>
        <w:rPr>
          <w:rFonts w:hint="eastAsia"/>
          <w:sz w:val="24"/>
        </w:rPr>
        <w:t>地表水</w:t>
      </w:r>
      <w:r>
        <w:rPr>
          <w:sz w:val="24"/>
        </w:rPr>
        <w:t>监测时段内监测指标均满足《地表水环境质量标准》（</w:t>
      </w:r>
      <w:r>
        <w:rPr>
          <w:sz w:val="24"/>
        </w:rPr>
        <w:t>GB3838-2002</w:t>
      </w:r>
      <w:r>
        <w:rPr>
          <w:sz w:val="24"/>
        </w:rPr>
        <w:t>）中的</w:t>
      </w:r>
      <w:r>
        <w:rPr>
          <w:rFonts w:ascii="宋体" w:hAnsi="宋体" w:cs="宋体" w:hint="eastAsia"/>
          <w:sz w:val="24"/>
        </w:rPr>
        <w:t>Ⅲ</w:t>
      </w:r>
      <w:r>
        <w:rPr>
          <w:sz w:val="24"/>
        </w:rPr>
        <w:t>类标准</w:t>
      </w:r>
      <w:r>
        <w:rPr>
          <w:rFonts w:hint="eastAsia"/>
          <w:sz w:val="24"/>
        </w:rPr>
        <w:t>。</w:t>
      </w:r>
    </w:p>
    <w:p w:rsidR="005778BE" w:rsidRDefault="005778BE" w:rsidP="005778BE">
      <w:pPr>
        <w:pStyle w:val="3"/>
        <w:numPr>
          <w:ilvl w:val="0"/>
          <w:numId w:val="0"/>
        </w:numPr>
        <w:spacing w:before="0" w:after="0" w:line="360" w:lineRule="auto"/>
        <w:ind w:left="170"/>
        <w:rPr>
          <w:rFonts w:eastAsia="宋体"/>
          <w:b/>
          <w:bCs w:val="0"/>
          <w:sz w:val="28"/>
          <w:szCs w:val="28"/>
        </w:rPr>
      </w:pPr>
      <w:bookmarkStart w:id="326" w:name="_Toc533604740"/>
      <w:bookmarkStart w:id="327" w:name="_Toc533604320"/>
      <w:bookmarkStart w:id="328" w:name="_Toc16785284"/>
      <w:r>
        <w:rPr>
          <w:rFonts w:eastAsia="宋体"/>
          <w:b/>
          <w:bCs w:val="0"/>
          <w:sz w:val="28"/>
          <w:szCs w:val="28"/>
        </w:rPr>
        <w:t>3.</w:t>
      </w:r>
      <w:r>
        <w:rPr>
          <w:rFonts w:eastAsia="宋体" w:hint="eastAsia"/>
          <w:b/>
          <w:bCs w:val="0"/>
          <w:sz w:val="28"/>
          <w:szCs w:val="28"/>
        </w:rPr>
        <w:t>3</w:t>
      </w:r>
      <w:r>
        <w:rPr>
          <w:rFonts w:eastAsia="宋体"/>
          <w:b/>
          <w:bCs w:val="0"/>
          <w:sz w:val="28"/>
          <w:szCs w:val="28"/>
        </w:rPr>
        <w:t>.3</w:t>
      </w:r>
      <w:r>
        <w:rPr>
          <w:rFonts w:eastAsia="宋体"/>
          <w:b/>
          <w:bCs w:val="0"/>
          <w:sz w:val="28"/>
          <w:szCs w:val="28"/>
        </w:rPr>
        <w:t>环境空气质量现状</w:t>
      </w:r>
      <w:bookmarkEnd w:id="326"/>
      <w:bookmarkEnd w:id="327"/>
      <w:bookmarkEnd w:id="328"/>
    </w:p>
    <w:p w:rsidR="005778BE" w:rsidRDefault="005778BE" w:rsidP="005778BE">
      <w:pPr>
        <w:spacing w:line="360" w:lineRule="auto"/>
        <w:ind w:firstLineChars="200" w:firstLine="480"/>
        <w:rPr>
          <w:sz w:val="24"/>
        </w:rPr>
      </w:pPr>
      <w:r>
        <w:rPr>
          <w:rFonts w:hint="eastAsia"/>
          <w:sz w:val="24"/>
        </w:rPr>
        <w:t>根据</w:t>
      </w:r>
      <w:r>
        <w:rPr>
          <w:sz w:val="24"/>
        </w:rPr>
        <w:t>陕西省</w:t>
      </w:r>
      <w:r>
        <w:rPr>
          <w:rFonts w:hint="eastAsia"/>
          <w:sz w:val="24"/>
        </w:rPr>
        <w:t>生态环境厅办公室</w:t>
      </w:r>
      <w:r>
        <w:rPr>
          <w:sz w:val="24"/>
        </w:rPr>
        <w:t>201</w:t>
      </w:r>
      <w:r>
        <w:rPr>
          <w:rFonts w:hint="eastAsia"/>
          <w:sz w:val="24"/>
        </w:rPr>
        <w:t>9</w:t>
      </w:r>
      <w:r>
        <w:rPr>
          <w:sz w:val="24"/>
        </w:rPr>
        <w:t>年</w:t>
      </w:r>
      <w:r>
        <w:rPr>
          <w:rFonts w:hint="eastAsia"/>
          <w:sz w:val="24"/>
        </w:rPr>
        <w:t>1</w:t>
      </w:r>
      <w:r>
        <w:rPr>
          <w:sz w:val="24"/>
        </w:rPr>
        <w:t>月</w:t>
      </w:r>
      <w:r>
        <w:rPr>
          <w:rFonts w:hint="eastAsia"/>
          <w:sz w:val="24"/>
        </w:rPr>
        <w:t>11</w:t>
      </w:r>
      <w:r>
        <w:rPr>
          <w:sz w:val="24"/>
        </w:rPr>
        <w:t>日公布的《</w:t>
      </w:r>
      <w:r>
        <w:rPr>
          <w:rFonts w:hint="eastAsia"/>
          <w:sz w:val="24"/>
        </w:rPr>
        <w:t>2</w:t>
      </w:r>
      <w:r>
        <w:rPr>
          <w:sz w:val="24"/>
        </w:rPr>
        <w:t>01</w:t>
      </w:r>
      <w:r>
        <w:rPr>
          <w:rFonts w:hint="eastAsia"/>
          <w:sz w:val="24"/>
        </w:rPr>
        <w:t>8</w:t>
      </w:r>
      <w:r>
        <w:rPr>
          <w:sz w:val="24"/>
        </w:rPr>
        <w:t>年</w:t>
      </w:r>
      <w:r>
        <w:rPr>
          <w:sz w:val="24"/>
        </w:rPr>
        <w:t>12</w:t>
      </w:r>
      <w:r>
        <w:rPr>
          <w:sz w:val="24"/>
        </w:rPr>
        <w:t>月</w:t>
      </w:r>
      <w:r>
        <w:rPr>
          <w:rFonts w:hint="eastAsia"/>
          <w:sz w:val="24"/>
        </w:rPr>
        <w:t>及</w:t>
      </w:r>
      <w:r>
        <w:rPr>
          <w:rFonts w:hint="eastAsia"/>
          <w:sz w:val="24"/>
        </w:rPr>
        <w:t>1</w:t>
      </w:r>
      <w:r>
        <w:rPr>
          <w:sz w:val="24"/>
        </w:rPr>
        <w:t>～</w:t>
      </w:r>
      <w:r>
        <w:rPr>
          <w:sz w:val="24"/>
        </w:rPr>
        <w:t>12</w:t>
      </w:r>
      <w:r>
        <w:rPr>
          <w:sz w:val="24"/>
        </w:rPr>
        <w:t>月全省</w:t>
      </w:r>
      <w:r>
        <w:rPr>
          <w:rFonts w:hint="eastAsia"/>
          <w:sz w:val="24"/>
        </w:rPr>
        <w:t>环境</w:t>
      </w:r>
      <w:r>
        <w:rPr>
          <w:sz w:val="24"/>
        </w:rPr>
        <w:t>空气质量</w:t>
      </w:r>
      <w:r>
        <w:rPr>
          <w:rFonts w:hint="eastAsia"/>
          <w:sz w:val="24"/>
        </w:rPr>
        <w:t>状况</w:t>
      </w:r>
      <w:r>
        <w:rPr>
          <w:sz w:val="24"/>
        </w:rPr>
        <w:t>》</w:t>
      </w:r>
      <w:r>
        <w:rPr>
          <w:rFonts w:hint="eastAsia"/>
          <w:sz w:val="24"/>
        </w:rPr>
        <w:t>，采取榆林市横山区</w:t>
      </w:r>
      <w:r>
        <w:rPr>
          <w:sz w:val="24"/>
        </w:rPr>
        <w:t>201</w:t>
      </w:r>
      <w:r>
        <w:rPr>
          <w:rFonts w:hint="eastAsia"/>
          <w:sz w:val="24"/>
        </w:rPr>
        <w:t>8</w:t>
      </w:r>
      <w:r>
        <w:rPr>
          <w:sz w:val="24"/>
        </w:rPr>
        <w:t>年</w:t>
      </w:r>
      <w:r>
        <w:rPr>
          <w:sz w:val="24"/>
        </w:rPr>
        <w:t>1</w:t>
      </w:r>
      <w:r>
        <w:rPr>
          <w:sz w:val="24"/>
        </w:rPr>
        <w:t>～</w:t>
      </w:r>
      <w:r>
        <w:rPr>
          <w:sz w:val="24"/>
        </w:rPr>
        <w:t>12</w:t>
      </w:r>
      <w:r>
        <w:rPr>
          <w:sz w:val="24"/>
        </w:rPr>
        <w:t>月</w:t>
      </w:r>
      <w:r>
        <w:rPr>
          <w:rFonts w:hint="eastAsia"/>
          <w:sz w:val="24"/>
        </w:rPr>
        <w:t>空气</w:t>
      </w:r>
      <w:r>
        <w:rPr>
          <w:sz w:val="24"/>
        </w:rPr>
        <w:t>质量</w:t>
      </w:r>
      <w:r>
        <w:rPr>
          <w:rFonts w:hint="eastAsia"/>
          <w:sz w:val="24"/>
        </w:rPr>
        <w:t>状况</w:t>
      </w:r>
      <w:r>
        <w:rPr>
          <w:sz w:val="24"/>
        </w:rPr>
        <w:t>统计数据</w:t>
      </w:r>
      <w:r>
        <w:rPr>
          <w:rFonts w:hint="eastAsia"/>
          <w:sz w:val="24"/>
        </w:rPr>
        <w:t>，</w:t>
      </w:r>
      <w:r>
        <w:rPr>
          <w:sz w:val="24"/>
        </w:rPr>
        <w:t>见表</w:t>
      </w:r>
      <w:r>
        <w:rPr>
          <w:sz w:val="24"/>
        </w:rPr>
        <w:t>3.</w:t>
      </w:r>
      <w:r>
        <w:rPr>
          <w:rFonts w:hint="eastAsia"/>
          <w:sz w:val="24"/>
        </w:rPr>
        <w:t>3</w:t>
      </w:r>
      <w:r>
        <w:rPr>
          <w:sz w:val="24"/>
        </w:rPr>
        <w:t>.3-1</w:t>
      </w:r>
      <w:r>
        <w:rPr>
          <w:rFonts w:hint="eastAsia"/>
          <w:sz w:val="24"/>
        </w:rPr>
        <w:t>。</w:t>
      </w:r>
    </w:p>
    <w:p w:rsidR="005778BE" w:rsidRDefault="005778BE" w:rsidP="005778BE">
      <w:pPr>
        <w:jc w:val="center"/>
        <w:rPr>
          <w:b/>
          <w:sz w:val="24"/>
        </w:rPr>
      </w:pPr>
      <w:r>
        <w:rPr>
          <w:rFonts w:hint="eastAsia"/>
          <w:b/>
          <w:sz w:val="24"/>
        </w:rPr>
        <w:t>表</w:t>
      </w:r>
      <w:r>
        <w:rPr>
          <w:b/>
          <w:sz w:val="24"/>
        </w:rPr>
        <w:t>3.</w:t>
      </w:r>
      <w:r>
        <w:rPr>
          <w:rFonts w:hint="eastAsia"/>
          <w:b/>
          <w:sz w:val="24"/>
        </w:rPr>
        <w:t>3</w:t>
      </w:r>
      <w:r>
        <w:rPr>
          <w:b/>
          <w:sz w:val="24"/>
        </w:rPr>
        <w:t xml:space="preserve">.3-1    </w:t>
      </w:r>
      <w:r>
        <w:rPr>
          <w:rFonts w:hint="eastAsia"/>
          <w:b/>
          <w:sz w:val="24"/>
        </w:rPr>
        <w:t>榆林市横山区</w:t>
      </w:r>
      <w:r>
        <w:rPr>
          <w:b/>
          <w:sz w:val="24"/>
        </w:rPr>
        <w:t>201</w:t>
      </w:r>
      <w:r>
        <w:rPr>
          <w:rFonts w:hint="eastAsia"/>
          <w:b/>
          <w:sz w:val="24"/>
        </w:rPr>
        <w:t>8</w:t>
      </w:r>
      <w:r>
        <w:rPr>
          <w:b/>
          <w:sz w:val="24"/>
        </w:rPr>
        <w:t>年</w:t>
      </w:r>
      <w:r>
        <w:rPr>
          <w:b/>
          <w:sz w:val="24"/>
        </w:rPr>
        <w:t>1</w:t>
      </w:r>
      <w:r>
        <w:rPr>
          <w:b/>
          <w:sz w:val="24"/>
        </w:rPr>
        <w:t>～</w:t>
      </w:r>
      <w:r>
        <w:rPr>
          <w:b/>
          <w:sz w:val="24"/>
        </w:rPr>
        <w:t>12</w:t>
      </w:r>
      <w:r>
        <w:rPr>
          <w:b/>
          <w:sz w:val="24"/>
        </w:rPr>
        <w:t>月空气质量现状</w:t>
      </w:r>
      <w:r>
        <w:rPr>
          <w:rFonts w:hint="eastAsia"/>
          <w:b/>
          <w:sz w:val="24"/>
        </w:rPr>
        <w:t>统计</w:t>
      </w:r>
      <w:r>
        <w:rPr>
          <w:b/>
          <w:sz w:val="24"/>
        </w:rPr>
        <w:t>结果</w:t>
      </w:r>
    </w:p>
    <w:tbl>
      <w:tblPr>
        <w:tblW w:w="9078"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Look w:val="04A0" w:firstRow="1" w:lastRow="0" w:firstColumn="1" w:lastColumn="0" w:noHBand="0" w:noVBand="1"/>
      </w:tblPr>
      <w:tblGrid>
        <w:gridCol w:w="1132"/>
        <w:gridCol w:w="1960"/>
        <w:gridCol w:w="1025"/>
        <w:gridCol w:w="1559"/>
        <w:gridCol w:w="1276"/>
        <w:gridCol w:w="1134"/>
        <w:gridCol w:w="992"/>
      </w:tblGrid>
      <w:tr w:rsidR="005778BE" w:rsidTr="003D13FE">
        <w:trPr>
          <w:trHeight w:val="300"/>
          <w:jc w:val="center"/>
        </w:trPr>
        <w:tc>
          <w:tcPr>
            <w:tcW w:w="1132" w:type="dxa"/>
            <w:vMerge w:val="restart"/>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评价因子</w:t>
            </w:r>
          </w:p>
        </w:tc>
        <w:tc>
          <w:tcPr>
            <w:tcW w:w="1960" w:type="dxa"/>
            <w:vMerge w:val="restart"/>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平均时段</w:t>
            </w:r>
          </w:p>
        </w:tc>
        <w:tc>
          <w:tcPr>
            <w:tcW w:w="1025" w:type="dxa"/>
            <w:vMerge w:val="restart"/>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百分位</w:t>
            </w:r>
          </w:p>
        </w:tc>
        <w:tc>
          <w:tcPr>
            <w:tcW w:w="1559" w:type="dxa"/>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现状浓度</w:t>
            </w:r>
          </w:p>
        </w:tc>
        <w:tc>
          <w:tcPr>
            <w:tcW w:w="1276" w:type="dxa"/>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标准限值</w:t>
            </w:r>
          </w:p>
        </w:tc>
        <w:tc>
          <w:tcPr>
            <w:tcW w:w="1134" w:type="dxa"/>
            <w:vMerge w:val="restart"/>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占标率</w:t>
            </w:r>
            <w:r>
              <w:rPr>
                <w:color w:val="000000"/>
                <w:kern w:val="0"/>
                <w:szCs w:val="21"/>
              </w:rPr>
              <w:t>/%</w:t>
            </w:r>
          </w:p>
        </w:tc>
        <w:tc>
          <w:tcPr>
            <w:tcW w:w="992" w:type="dxa"/>
            <w:vMerge w:val="restart"/>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达标</w:t>
            </w:r>
          </w:p>
          <w:p w:rsidR="005778BE" w:rsidRDefault="005778BE" w:rsidP="003D13FE">
            <w:pPr>
              <w:widowControl/>
              <w:jc w:val="center"/>
              <w:rPr>
                <w:color w:val="000000"/>
                <w:kern w:val="0"/>
                <w:szCs w:val="21"/>
              </w:rPr>
            </w:pPr>
            <w:r>
              <w:rPr>
                <w:rFonts w:hAnsi="宋体"/>
                <w:color w:val="000000"/>
                <w:kern w:val="0"/>
                <w:szCs w:val="21"/>
              </w:rPr>
              <w:t>情况</w:t>
            </w:r>
          </w:p>
        </w:tc>
      </w:tr>
      <w:tr w:rsidR="005778BE" w:rsidTr="003D13FE">
        <w:trPr>
          <w:trHeight w:val="300"/>
          <w:jc w:val="center"/>
        </w:trPr>
        <w:tc>
          <w:tcPr>
            <w:tcW w:w="1132" w:type="dxa"/>
            <w:vMerge/>
            <w:vAlign w:val="center"/>
          </w:tcPr>
          <w:p w:rsidR="005778BE" w:rsidRDefault="005778BE" w:rsidP="003D13FE">
            <w:pPr>
              <w:widowControl/>
              <w:jc w:val="left"/>
              <w:rPr>
                <w:color w:val="000000"/>
                <w:kern w:val="0"/>
                <w:szCs w:val="21"/>
              </w:rPr>
            </w:pPr>
          </w:p>
        </w:tc>
        <w:tc>
          <w:tcPr>
            <w:tcW w:w="1960" w:type="dxa"/>
            <w:vMerge/>
            <w:vAlign w:val="center"/>
          </w:tcPr>
          <w:p w:rsidR="005778BE" w:rsidRDefault="005778BE" w:rsidP="003D13FE">
            <w:pPr>
              <w:widowControl/>
              <w:jc w:val="left"/>
              <w:rPr>
                <w:color w:val="000000"/>
                <w:kern w:val="0"/>
                <w:szCs w:val="21"/>
              </w:rPr>
            </w:pPr>
          </w:p>
        </w:tc>
        <w:tc>
          <w:tcPr>
            <w:tcW w:w="1025" w:type="dxa"/>
            <w:vMerge/>
            <w:vAlign w:val="center"/>
          </w:tcPr>
          <w:p w:rsidR="005778BE" w:rsidRDefault="005778BE" w:rsidP="003D13FE">
            <w:pPr>
              <w:widowControl/>
              <w:jc w:val="left"/>
              <w:rPr>
                <w:color w:val="000000"/>
                <w:kern w:val="0"/>
                <w:szCs w:val="21"/>
              </w:rPr>
            </w:pPr>
          </w:p>
        </w:tc>
        <w:tc>
          <w:tcPr>
            <w:tcW w:w="1559" w:type="dxa"/>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w:t>
            </w:r>
            <w:proofErr w:type="spellStart"/>
            <w:r>
              <w:rPr>
                <w:color w:val="000000"/>
                <w:kern w:val="0"/>
                <w:szCs w:val="21"/>
              </w:rPr>
              <w:t>μg</w:t>
            </w:r>
            <w:proofErr w:type="spellEnd"/>
            <w:r>
              <w:rPr>
                <w:color w:val="000000"/>
                <w:kern w:val="0"/>
                <w:szCs w:val="21"/>
              </w:rPr>
              <w:t>/m</w:t>
            </w:r>
            <w:r>
              <w:rPr>
                <w:color w:val="000000"/>
                <w:kern w:val="0"/>
                <w:szCs w:val="21"/>
                <w:vertAlign w:val="superscript"/>
              </w:rPr>
              <w:t>3</w:t>
            </w:r>
            <w:r>
              <w:rPr>
                <w:rFonts w:hAnsi="宋体"/>
                <w:color w:val="000000"/>
                <w:kern w:val="0"/>
                <w:szCs w:val="21"/>
              </w:rPr>
              <w:t>）</w:t>
            </w:r>
          </w:p>
        </w:tc>
        <w:tc>
          <w:tcPr>
            <w:tcW w:w="1276" w:type="dxa"/>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w:t>
            </w:r>
            <w:proofErr w:type="spellStart"/>
            <w:r>
              <w:rPr>
                <w:color w:val="000000"/>
                <w:kern w:val="0"/>
                <w:szCs w:val="21"/>
              </w:rPr>
              <w:t>μg</w:t>
            </w:r>
            <w:proofErr w:type="spellEnd"/>
            <w:r>
              <w:rPr>
                <w:color w:val="000000"/>
                <w:kern w:val="0"/>
                <w:szCs w:val="21"/>
              </w:rPr>
              <w:t>/m</w:t>
            </w:r>
            <w:r>
              <w:rPr>
                <w:color w:val="000000"/>
                <w:kern w:val="0"/>
                <w:szCs w:val="21"/>
                <w:vertAlign w:val="superscript"/>
              </w:rPr>
              <w:t>3</w:t>
            </w:r>
            <w:r>
              <w:rPr>
                <w:rFonts w:hAnsi="宋体"/>
                <w:color w:val="000000"/>
                <w:kern w:val="0"/>
                <w:szCs w:val="21"/>
              </w:rPr>
              <w:t>）</w:t>
            </w:r>
          </w:p>
        </w:tc>
        <w:tc>
          <w:tcPr>
            <w:tcW w:w="1134" w:type="dxa"/>
            <w:vMerge/>
            <w:vAlign w:val="center"/>
          </w:tcPr>
          <w:p w:rsidR="005778BE" w:rsidRDefault="005778BE" w:rsidP="003D13FE">
            <w:pPr>
              <w:widowControl/>
              <w:jc w:val="left"/>
              <w:rPr>
                <w:color w:val="000000"/>
                <w:kern w:val="0"/>
                <w:szCs w:val="21"/>
              </w:rPr>
            </w:pPr>
          </w:p>
        </w:tc>
        <w:tc>
          <w:tcPr>
            <w:tcW w:w="992" w:type="dxa"/>
            <w:vMerge/>
            <w:vAlign w:val="center"/>
          </w:tcPr>
          <w:p w:rsidR="005778BE" w:rsidRDefault="005778BE" w:rsidP="003D13FE">
            <w:pPr>
              <w:widowControl/>
              <w:jc w:val="left"/>
              <w:rPr>
                <w:color w:val="000000"/>
                <w:kern w:val="0"/>
                <w:szCs w:val="21"/>
              </w:rPr>
            </w:pPr>
          </w:p>
        </w:tc>
      </w:tr>
      <w:tr w:rsidR="005778BE" w:rsidTr="003D13FE">
        <w:trPr>
          <w:trHeight w:val="300"/>
          <w:jc w:val="center"/>
        </w:trPr>
        <w:tc>
          <w:tcPr>
            <w:tcW w:w="1132"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PM</w:t>
            </w:r>
            <w:r>
              <w:rPr>
                <w:color w:val="000000"/>
                <w:kern w:val="0"/>
                <w:szCs w:val="21"/>
                <w:vertAlign w:val="subscript"/>
              </w:rPr>
              <w:t>10</w:t>
            </w:r>
          </w:p>
        </w:tc>
        <w:tc>
          <w:tcPr>
            <w:tcW w:w="1960" w:type="dxa"/>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年平均浓度</w:t>
            </w:r>
          </w:p>
        </w:tc>
        <w:tc>
          <w:tcPr>
            <w:tcW w:w="1025"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w:t>
            </w:r>
          </w:p>
        </w:tc>
        <w:tc>
          <w:tcPr>
            <w:tcW w:w="1559" w:type="dxa"/>
            <w:shd w:val="clear" w:color="000000" w:fill="FFFFFF"/>
            <w:vAlign w:val="center"/>
          </w:tcPr>
          <w:p w:rsidR="005778BE" w:rsidRDefault="005778BE" w:rsidP="003D13FE">
            <w:pPr>
              <w:widowControl/>
              <w:jc w:val="center"/>
              <w:rPr>
                <w:color w:val="000000"/>
                <w:kern w:val="0"/>
                <w:szCs w:val="21"/>
              </w:rPr>
            </w:pPr>
            <w:r>
              <w:rPr>
                <w:rFonts w:hint="eastAsia"/>
                <w:color w:val="000000"/>
                <w:kern w:val="0"/>
                <w:szCs w:val="21"/>
              </w:rPr>
              <w:t>64</w:t>
            </w:r>
          </w:p>
        </w:tc>
        <w:tc>
          <w:tcPr>
            <w:tcW w:w="1276"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70</w:t>
            </w:r>
          </w:p>
        </w:tc>
        <w:tc>
          <w:tcPr>
            <w:tcW w:w="1134" w:type="dxa"/>
            <w:shd w:val="clear" w:color="000000" w:fill="FFFFFF"/>
            <w:vAlign w:val="center"/>
          </w:tcPr>
          <w:p w:rsidR="005778BE" w:rsidRDefault="005778BE" w:rsidP="003D13FE">
            <w:pPr>
              <w:widowControl/>
              <w:jc w:val="center"/>
              <w:rPr>
                <w:color w:val="000000"/>
                <w:kern w:val="0"/>
                <w:szCs w:val="21"/>
              </w:rPr>
            </w:pPr>
            <w:r>
              <w:rPr>
                <w:rFonts w:hint="eastAsia"/>
                <w:color w:val="000000"/>
                <w:kern w:val="0"/>
                <w:szCs w:val="21"/>
              </w:rPr>
              <w:t>91.4</w:t>
            </w:r>
          </w:p>
        </w:tc>
        <w:tc>
          <w:tcPr>
            <w:tcW w:w="992"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达标</w:t>
            </w:r>
          </w:p>
        </w:tc>
      </w:tr>
      <w:tr w:rsidR="005778BE" w:rsidTr="003D13FE">
        <w:trPr>
          <w:trHeight w:val="300"/>
          <w:jc w:val="center"/>
        </w:trPr>
        <w:tc>
          <w:tcPr>
            <w:tcW w:w="1132"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PM</w:t>
            </w:r>
            <w:r>
              <w:rPr>
                <w:color w:val="000000"/>
                <w:kern w:val="0"/>
                <w:szCs w:val="21"/>
                <w:vertAlign w:val="subscript"/>
              </w:rPr>
              <w:t>2.5</w:t>
            </w:r>
          </w:p>
        </w:tc>
        <w:tc>
          <w:tcPr>
            <w:tcW w:w="1960" w:type="dxa"/>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年平均浓度</w:t>
            </w:r>
          </w:p>
        </w:tc>
        <w:tc>
          <w:tcPr>
            <w:tcW w:w="1025"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w:t>
            </w:r>
          </w:p>
        </w:tc>
        <w:tc>
          <w:tcPr>
            <w:tcW w:w="1559" w:type="dxa"/>
            <w:shd w:val="clear" w:color="000000" w:fill="FFFFFF"/>
            <w:vAlign w:val="center"/>
          </w:tcPr>
          <w:p w:rsidR="005778BE" w:rsidRDefault="005778BE" w:rsidP="003D13FE">
            <w:pPr>
              <w:widowControl/>
              <w:jc w:val="center"/>
              <w:rPr>
                <w:color w:val="000000"/>
                <w:kern w:val="0"/>
                <w:szCs w:val="21"/>
              </w:rPr>
            </w:pPr>
            <w:r>
              <w:rPr>
                <w:rFonts w:hint="eastAsia"/>
                <w:color w:val="000000"/>
                <w:kern w:val="0"/>
                <w:szCs w:val="21"/>
              </w:rPr>
              <w:t>37</w:t>
            </w:r>
          </w:p>
        </w:tc>
        <w:tc>
          <w:tcPr>
            <w:tcW w:w="1276"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35</w:t>
            </w:r>
          </w:p>
        </w:tc>
        <w:tc>
          <w:tcPr>
            <w:tcW w:w="1134" w:type="dxa"/>
            <w:shd w:val="clear" w:color="000000" w:fill="FFFFFF"/>
            <w:vAlign w:val="center"/>
          </w:tcPr>
          <w:p w:rsidR="005778BE" w:rsidRDefault="005778BE" w:rsidP="003D13FE">
            <w:pPr>
              <w:widowControl/>
              <w:jc w:val="center"/>
              <w:rPr>
                <w:color w:val="000000"/>
                <w:kern w:val="0"/>
                <w:szCs w:val="21"/>
              </w:rPr>
            </w:pPr>
            <w:r>
              <w:rPr>
                <w:rFonts w:hint="eastAsia"/>
                <w:color w:val="000000"/>
                <w:kern w:val="0"/>
                <w:szCs w:val="21"/>
              </w:rPr>
              <w:t>106</w:t>
            </w:r>
          </w:p>
        </w:tc>
        <w:tc>
          <w:tcPr>
            <w:tcW w:w="992"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超标</w:t>
            </w:r>
          </w:p>
        </w:tc>
      </w:tr>
      <w:tr w:rsidR="005778BE" w:rsidTr="003D13FE">
        <w:trPr>
          <w:trHeight w:val="300"/>
          <w:jc w:val="center"/>
        </w:trPr>
        <w:tc>
          <w:tcPr>
            <w:tcW w:w="1132"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SO</w:t>
            </w:r>
            <w:r>
              <w:rPr>
                <w:color w:val="000000"/>
                <w:kern w:val="0"/>
                <w:szCs w:val="21"/>
                <w:vertAlign w:val="subscript"/>
              </w:rPr>
              <w:t>2</w:t>
            </w:r>
          </w:p>
        </w:tc>
        <w:tc>
          <w:tcPr>
            <w:tcW w:w="1960" w:type="dxa"/>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年平均浓度</w:t>
            </w:r>
          </w:p>
        </w:tc>
        <w:tc>
          <w:tcPr>
            <w:tcW w:w="1025"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w:t>
            </w:r>
          </w:p>
        </w:tc>
        <w:tc>
          <w:tcPr>
            <w:tcW w:w="1559" w:type="dxa"/>
            <w:shd w:val="clear" w:color="000000" w:fill="FFFFFF"/>
            <w:vAlign w:val="center"/>
          </w:tcPr>
          <w:p w:rsidR="005778BE" w:rsidRDefault="005778BE" w:rsidP="003D13FE">
            <w:pPr>
              <w:widowControl/>
              <w:jc w:val="center"/>
              <w:rPr>
                <w:color w:val="000000"/>
                <w:kern w:val="0"/>
                <w:szCs w:val="21"/>
              </w:rPr>
            </w:pPr>
            <w:r>
              <w:rPr>
                <w:rFonts w:hint="eastAsia"/>
                <w:color w:val="000000"/>
                <w:kern w:val="0"/>
                <w:szCs w:val="21"/>
              </w:rPr>
              <w:t>54</w:t>
            </w:r>
          </w:p>
        </w:tc>
        <w:tc>
          <w:tcPr>
            <w:tcW w:w="1276"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60</w:t>
            </w:r>
          </w:p>
        </w:tc>
        <w:tc>
          <w:tcPr>
            <w:tcW w:w="1134" w:type="dxa"/>
            <w:shd w:val="clear" w:color="000000" w:fill="FFFFFF"/>
            <w:vAlign w:val="center"/>
          </w:tcPr>
          <w:p w:rsidR="005778BE" w:rsidRDefault="005778BE" w:rsidP="003D13FE">
            <w:pPr>
              <w:widowControl/>
              <w:jc w:val="center"/>
              <w:rPr>
                <w:color w:val="000000"/>
                <w:kern w:val="0"/>
                <w:szCs w:val="21"/>
              </w:rPr>
            </w:pPr>
            <w:r>
              <w:rPr>
                <w:rFonts w:hint="eastAsia"/>
                <w:color w:val="000000"/>
                <w:kern w:val="0"/>
                <w:szCs w:val="21"/>
              </w:rPr>
              <w:t>90</w:t>
            </w:r>
          </w:p>
        </w:tc>
        <w:tc>
          <w:tcPr>
            <w:tcW w:w="992"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达标</w:t>
            </w:r>
          </w:p>
        </w:tc>
      </w:tr>
      <w:tr w:rsidR="005778BE" w:rsidTr="003D13FE">
        <w:trPr>
          <w:trHeight w:val="300"/>
          <w:jc w:val="center"/>
        </w:trPr>
        <w:tc>
          <w:tcPr>
            <w:tcW w:w="1132"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NO</w:t>
            </w:r>
            <w:r>
              <w:rPr>
                <w:color w:val="000000"/>
                <w:kern w:val="0"/>
                <w:szCs w:val="21"/>
                <w:vertAlign w:val="subscript"/>
              </w:rPr>
              <w:t>2</w:t>
            </w:r>
          </w:p>
        </w:tc>
        <w:tc>
          <w:tcPr>
            <w:tcW w:w="1960" w:type="dxa"/>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年平均浓度</w:t>
            </w:r>
          </w:p>
        </w:tc>
        <w:tc>
          <w:tcPr>
            <w:tcW w:w="1025"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w:t>
            </w:r>
          </w:p>
        </w:tc>
        <w:tc>
          <w:tcPr>
            <w:tcW w:w="1559" w:type="dxa"/>
            <w:shd w:val="clear" w:color="000000" w:fill="FFFFFF"/>
            <w:vAlign w:val="center"/>
          </w:tcPr>
          <w:p w:rsidR="005778BE" w:rsidRDefault="005778BE" w:rsidP="003D13FE">
            <w:pPr>
              <w:widowControl/>
              <w:jc w:val="center"/>
              <w:rPr>
                <w:color w:val="000000"/>
                <w:kern w:val="0"/>
                <w:szCs w:val="21"/>
              </w:rPr>
            </w:pPr>
            <w:r>
              <w:rPr>
                <w:rFonts w:hint="eastAsia"/>
                <w:color w:val="000000"/>
                <w:kern w:val="0"/>
                <w:szCs w:val="21"/>
              </w:rPr>
              <w:t>24</w:t>
            </w:r>
          </w:p>
        </w:tc>
        <w:tc>
          <w:tcPr>
            <w:tcW w:w="1276"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40</w:t>
            </w:r>
          </w:p>
        </w:tc>
        <w:tc>
          <w:tcPr>
            <w:tcW w:w="1134" w:type="dxa"/>
            <w:shd w:val="clear" w:color="000000" w:fill="FFFFFF"/>
            <w:vAlign w:val="center"/>
          </w:tcPr>
          <w:p w:rsidR="005778BE" w:rsidRDefault="005778BE" w:rsidP="003D13FE">
            <w:pPr>
              <w:widowControl/>
              <w:jc w:val="center"/>
              <w:rPr>
                <w:color w:val="000000"/>
                <w:kern w:val="0"/>
                <w:szCs w:val="21"/>
              </w:rPr>
            </w:pPr>
            <w:r>
              <w:rPr>
                <w:rFonts w:hint="eastAsia"/>
                <w:color w:val="000000"/>
                <w:kern w:val="0"/>
                <w:szCs w:val="21"/>
              </w:rPr>
              <w:t>60</w:t>
            </w:r>
          </w:p>
        </w:tc>
        <w:tc>
          <w:tcPr>
            <w:tcW w:w="992"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达标</w:t>
            </w:r>
          </w:p>
        </w:tc>
      </w:tr>
      <w:tr w:rsidR="005778BE" w:rsidTr="003D13FE">
        <w:trPr>
          <w:trHeight w:val="300"/>
          <w:jc w:val="center"/>
        </w:trPr>
        <w:tc>
          <w:tcPr>
            <w:tcW w:w="1132"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CO</w:t>
            </w:r>
          </w:p>
        </w:tc>
        <w:tc>
          <w:tcPr>
            <w:tcW w:w="1960" w:type="dxa"/>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第</w:t>
            </w:r>
            <w:r>
              <w:rPr>
                <w:color w:val="000000"/>
                <w:kern w:val="0"/>
                <w:szCs w:val="21"/>
              </w:rPr>
              <w:t>95</w:t>
            </w:r>
            <w:r>
              <w:rPr>
                <w:rFonts w:hAnsi="宋体"/>
                <w:color w:val="000000"/>
                <w:kern w:val="0"/>
                <w:szCs w:val="21"/>
              </w:rPr>
              <w:t>百分位浓度</w:t>
            </w:r>
          </w:p>
        </w:tc>
        <w:tc>
          <w:tcPr>
            <w:tcW w:w="1025"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w:t>
            </w:r>
          </w:p>
        </w:tc>
        <w:tc>
          <w:tcPr>
            <w:tcW w:w="1559" w:type="dxa"/>
            <w:shd w:val="clear" w:color="000000" w:fill="FFFFFF"/>
            <w:vAlign w:val="center"/>
          </w:tcPr>
          <w:p w:rsidR="005778BE" w:rsidRDefault="005778BE" w:rsidP="003D13FE">
            <w:pPr>
              <w:widowControl/>
              <w:jc w:val="center"/>
              <w:rPr>
                <w:color w:val="000000"/>
                <w:kern w:val="0"/>
                <w:szCs w:val="21"/>
              </w:rPr>
            </w:pPr>
            <w:r>
              <w:rPr>
                <w:rFonts w:hint="eastAsia"/>
                <w:color w:val="000000"/>
                <w:kern w:val="0"/>
                <w:szCs w:val="21"/>
              </w:rPr>
              <w:t>2600</w:t>
            </w:r>
          </w:p>
        </w:tc>
        <w:tc>
          <w:tcPr>
            <w:tcW w:w="1276"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4000</w:t>
            </w:r>
          </w:p>
        </w:tc>
        <w:tc>
          <w:tcPr>
            <w:tcW w:w="1134" w:type="dxa"/>
            <w:shd w:val="clear" w:color="000000" w:fill="FFFFFF"/>
            <w:vAlign w:val="center"/>
          </w:tcPr>
          <w:p w:rsidR="005778BE" w:rsidRDefault="005778BE" w:rsidP="003D13FE">
            <w:pPr>
              <w:widowControl/>
              <w:jc w:val="center"/>
              <w:rPr>
                <w:color w:val="000000"/>
                <w:kern w:val="0"/>
                <w:szCs w:val="21"/>
              </w:rPr>
            </w:pPr>
            <w:r>
              <w:rPr>
                <w:rFonts w:hint="eastAsia"/>
                <w:color w:val="000000"/>
                <w:kern w:val="0"/>
                <w:szCs w:val="21"/>
              </w:rPr>
              <w:t>65</w:t>
            </w:r>
          </w:p>
        </w:tc>
        <w:tc>
          <w:tcPr>
            <w:tcW w:w="992"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达标</w:t>
            </w:r>
          </w:p>
        </w:tc>
      </w:tr>
      <w:tr w:rsidR="005778BE" w:rsidTr="003D13FE">
        <w:trPr>
          <w:trHeight w:val="300"/>
          <w:jc w:val="center"/>
        </w:trPr>
        <w:tc>
          <w:tcPr>
            <w:tcW w:w="1132"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O</w:t>
            </w:r>
            <w:r>
              <w:rPr>
                <w:color w:val="000000"/>
                <w:kern w:val="0"/>
                <w:szCs w:val="21"/>
                <w:vertAlign w:val="subscript"/>
              </w:rPr>
              <w:t>3</w:t>
            </w:r>
          </w:p>
        </w:tc>
        <w:tc>
          <w:tcPr>
            <w:tcW w:w="1960" w:type="dxa"/>
            <w:shd w:val="clear" w:color="000000" w:fill="FFFFFF"/>
            <w:vAlign w:val="center"/>
          </w:tcPr>
          <w:p w:rsidR="005778BE" w:rsidRDefault="005778BE" w:rsidP="003D13FE">
            <w:pPr>
              <w:widowControl/>
              <w:jc w:val="center"/>
              <w:rPr>
                <w:color w:val="000000"/>
                <w:kern w:val="0"/>
                <w:szCs w:val="21"/>
              </w:rPr>
            </w:pPr>
            <w:r>
              <w:rPr>
                <w:rFonts w:hAnsi="宋体"/>
                <w:color w:val="000000"/>
                <w:kern w:val="0"/>
                <w:szCs w:val="21"/>
              </w:rPr>
              <w:t>第</w:t>
            </w:r>
            <w:r>
              <w:rPr>
                <w:color w:val="000000"/>
                <w:kern w:val="0"/>
                <w:szCs w:val="21"/>
              </w:rPr>
              <w:t>90</w:t>
            </w:r>
            <w:r>
              <w:rPr>
                <w:rFonts w:hAnsi="宋体"/>
                <w:color w:val="000000"/>
                <w:kern w:val="0"/>
                <w:szCs w:val="21"/>
              </w:rPr>
              <w:t>百分位浓度</w:t>
            </w:r>
          </w:p>
        </w:tc>
        <w:tc>
          <w:tcPr>
            <w:tcW w:w="1025"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w:t>
            </w:r>
          </w:p>
        </w:tc>
        <w:tc>
          <w:tcPr>
            <w:tcW w:w="1559" w:type="dxa"/>
            <w:shd w:val="clear" w:color="000000" w:fill="FFFFFF"/>
            <w:vAlign w:val="center"/>
          </w:tcPr>
          <w:p w:rsidR="005778BE" w:rsidRDefault="005778BE" w:rsidP="003D13FE">
            <w:pPr>
              <w:widowControl/>
              <w:jc w:val="center"/>
              <w:rPr>
                <w:color w:val="000000"/>
                <w:kern w:val="0"/>
                <w:szCs w:val="21"/>
              </w:rPr>
            </w:pPr>
            <w:r>
              <w:rPr>
                <w:rFonts w:hint="eastAsia"/>
                <w:color w:val="000000"/>
                <w:kern w:val="0"/>
                <w:szCs w:val="21"/>
              </w:rPr>
              <w:t>162</w:t>
            </w:r>
          </w:p>
        </w:tc>
        <w:tc>
          <w:tcPr>
            <w:tcW w:w="1276"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160</w:t>
            </w:r>
          </w:p>
        </w:tc>
        <w:tc>
          <w:tcPr>
            <w:tcW w:w="1134" w:type="dxa"/>
            <w:shd w:val="clear" w:color="000000" w:fill="FFFFFF"/>
            <w:vAlign w:val="center"/>
          </w:tcPr>
          <w:p w:rsidR="005778BE" w:rsidRDefault="005778BE" w:rsidP="003D13FE">
            <w:pPr>
              <w:widowControl/>
              <w:jc w:val="center"/>
              <w:rPr>
                <w:color w:val="000000"/>
                <w:kern w:val="0"/>
                <w:szCs w:val="21"/>
              </w:rPr>
            </w:pPr>
            <w:r>
              <w:rPr>
                <w:rFonts w:hint="eastAsia"/>
                <w:color w:val="000000"/>
                <w:kern w:val="0"/>
                <w:szCs w:val="21"/>
              </w:rPr>
              <w:t>101</w:t>
            </w:r>
          </w:p>
        </w:tc>
        <w:tc>
          <w:tcPr>
            <w:tcW w:w="992" w:type="dxa"/>
            <w:shd w:val="clear" w:color="000000" w:fill="FFFFFF"/>
            <w:vAlign w:val="center"/>
          </w:tcPr>
          <w:p w:rsidR="005778BE" w:rsidRDefault="005778BE" w:rsidP="003D13FE">
            <w:pPr>
              <w:widowControl/>
              <w:jc w:val="center"/>
              <w:rPr>
                <w:color w:val="000000"/>
                <w:kern w:val="0"/>
                <w:szCs w:val="21"/>
              </w:rPr>
            </w:pPr>
            <w:r>
              <w:rPr>
                <w:color w:val="000000"/>
                <w:kern w:val="0"/>
                <w:szCs w:val="21"/>
              </w:rPr>
              <w:t>超标</w:t>
            </w:r>
          </w:p>
        </w:tc>
      </w:tr>
    </w:tbl>
    <w:p w:rsidR="005778BE" w:rsidRDefault="005778BE" w:rsidP="004656C0">
      <w:pPr>
        <w:spacing w:line="360" w:lineRule="auto"/>
        <w:ind w:firstLineChars="200" w:firstLine="480"/>
        <w:rPr>
          <w:color w:val="000000"/>
          <w:sz w:val="24"/>
        </w:rPr>
      </w:pPr>
      <w:r>
        <w:rPr>
          <w:rFonts w:hint="eastAsia"/>
          <w:color w:val="000000"/>
          <w:sz w:val="24"/>
        </w:rPr>
        <w:t>由表</w:t>
      </w:r>
      <w:r>
        <w:rPr>
          <w:color w:val="000000"/>
          <w:sz w:val="24"/>
        </w:rPr>
        <w:t>3.</w:t>
      </w:r>
      <w:r>
        <w:rPr>
          <w:rFonts w:hint="eastAsia"/>
          <w:color w:val="000000"/>
          <w:sz w:val="24"/>
        </w:rPr>
        <w:t>3</w:t>
      </w:r>
      <w:r>
        <w:rPr>
          <w:color w:val="000000"/>
          <w:sz w:val="24"/>
        </w:rPr>
        <w:t>.3-1</w:t>
      </w:r>
      <w:r>
        <w:rPr>
          <w:color w:val="000000"/>
          <w:sz w:val="24"/>
        </w:rPr>
        <w:t>可</w:t>
      </w:r>
      <w:r>
        <w:rPr>
          <w:rFonts w:hint="eastAsia"/>
          <w:color w:val="000000"/>
          <w:sz w:val="24"/>
        </w:rPr>
        <w:t>知</w:t>
      </w:r>
      <w:r>
        <w:rPr>
          <w:color w:val="000000"/>
          <w:sz w:val="24"/>
        </w:rPr>
        <w:t>，</w:t>
      </w:r>
      <w:r>
        <w:rPr>
          <w:rFonts w:hint="eastAsia"/>
          <w:color w:val="000000"/>
          <w:sz w:val="24"/>
        </w:rPr>
        <w:t>区域</w:t>
      </w:r>
      <w:r>
        <w:rPr>
          <w:color w:val="000000"/>
          <w:sz w:val="24"/>
        </w:rPr>
        <w:t>PM</w:t>
      </w:r>
      <w:r>
        <w:rPr>
          <w:color w:val="000000"/>
          <w:sz w:val="24"/>
          <w:vertAlign w:val="subscript"/>
        </w:rPr>
        <w:t>10</w:t>
      </w:r>
      <w:r>
        <w:rPr>
          <w:color w:val="000000"/>
          <w:sz w:val="24"/>
        </w:rPr>
        <w:t>、</w:t>
      </w:r>
      <w:r>
        <w:rPr>
          <w:color w:val="000000"/>
          <w:sz w:val="24"/>
        </w:rPr>
        <w:t>SO</w:t>
      </w:r>
      <w:r>
        <w:rPr>
          <w:color w:val="000000"/>
          <w:sz w:val="24"/>
          <w:vertAlign w:val="subscript"/>
        </w:rPr>
        <w:t>2</w:t>
      </w:r>
      <w:r>
        <w:rPr>
          <w:color w:val="000000"/>
          <w:sz w:val="24"/>
        </w:rPr>
        <w:t>和</w:t>
      </w:r>
      <w:r>
        <w:rPr>
          <w:color w:val="000000"/>
          <w:sz w:val="24"/>
        </w:rPr>
        <w:t>NO</w:t>
      </w:r>
      <w:r>
        <w:rPr>
          <w:color w:val="000000"/>
          <w:sz w:val="24"/>
          <w:vertAlign w:val="subscript"/>
        </w:rPr>
        <w:t>2</w:t>
      </w:r>
      <w:r>
        <w:rPr>
          <w:rFonts w:hint="eastAsia"/>
          <w:color w:val="000000"/>
          <w:sz w:val="24"/>
        </w:rPr>
        <w:t>的年均浓度</w:t>
      </w:r>
      <w:r>
        <w:rPr>
          <w:color w:val="000000"/>
          <w:sz w:val="24"/>
        </w:rPr>
        <w:t>符合</w:t>
      </w:r>
      <w:r>
        <w:rPr>
          <w:color w:val="000000"/>
          <w:sz w:val="24"/>
        </w:rPr>
        <w:t>GB3095</w:t>
      </w:r>
      <w:r>
        <w:rPr>
          <w:color w:val="000000"/>
          <w:sz w:val="24"/>
        </w:rPr>
        <w:t>－</w:t>
      </w:r>
      <w:r>
        <w:rPr>
          <w:color w:val="000000"/>
          <w:sz w:val="24"/>
        </w:rPr>
        <w:t>2012</w:t>
      </w:r>
      <w:r>
        <w:rPr>
          <w:color w:val="000000"/>
          <w:sz w:val="24"/>
        </w:rPr>
        <w:t>《环境空气质量标准》中的二级标准要求，</w:t>
      </w:r>
      <w:r>
        <w:rPr>
          <w:color w:val="000000"/>
          <w:sz w:val="24"/>
        </w:rPr>
        <w:t>PM</w:t>
      </w:r>
      <w:r>
        <w:rPr>
          <w:color w:val="000000"/>
          <w:sz w:val="24"/>
          <w:vertAlign w:val="subscript"/>
        </w:rPr>
        <w:t>2.5</w:t>
      </w:r>
      <w:r>
        <w:rPr>
          <w:rFonts w:hint="eastAsia"/>
          <w:color w:val="000000"/>
          <w:sz w:val="24"/>
        </w:rPr>
        <w:t>的年均浓度存在超标；</w:t>
      </w:r>
      <w:r>
        <w:rPr>
          <w:color w:val="000000"/>
          <w:sz w:val="24"/>
        </w:rPr>
        <w:t>CO</w:t>
      </w:r>
      <w:r>
        <w:rPr>
          <w:rFonts w:hAnsi="宋体"/>
          <w:color w:val="000000"/>
          <w:kern w:val="0"/>
          <w:sz w:val="24"/>
        </w:rPr>
        <w:t>第</w:t>
      </w:r>
      <w:r>
        <w:rPr>
          <w:color w:val="000000"/>
          <w:kern w:val="0"/>
          <w:sz w:val="24"/>
        </w:rPr>
        <w:t>95</w:t>
      </w:r>
      <w:r>
        <w:rPr>
          <w:rFonts w:hAnsi="宋体"/>
          <w:color w:val="000000"/>
          <w:kern w:val="0"/>
          <w:sz w:val="24"/>
        </w:rPr>
        <w:t>百分位浓度</w:t>
      </w:r>
      <w:r>
        <w:rPr>
          <w:color w:val="000000"/>
          <w:sz w:val="24"/>
        </w:rPr>
        <w:t>符合</w:t>
      </w:r>
      <w:r>
        <w:rPr>
          <w:color w:val="000000"/>
          <w:sz w:val="24"/>
        </w:rPr>
        <w:t>GB3095</w:t>
      </w:r>
      <w:r>
        <w:rPr>
          <w:color w:val="000000"/>
          <w:sz w:val="24"/>
        </w:rPr>
        <w:t>－</w:t>
      </w:r>
      <w:r>
        <w:rPr>
          <w:color w:val="000000"/>
          <w:sz w:val="24"/>
        </w:rPr>
        <w:t>2012</w:t>
      </w:r>
      <w:r>
        <w:rPr>
          <w:color w:val="000000"/>
          <w:sz w:val="24"/>
        </w:rPr>
        <w:t>《环境空气质量标准》中的二级标准要求，</w:t>
      </w:r>
      <w:r>
        <w:rPr>
          <w:color w:val="000000"/>
          <w:sz w:val="24"/>
        </w:rPr>
        <w:t>O</w:t>
      </w:r>
      <w:r>
        <w:rPr>
          <w:color w:val="000000"/>
          <w:sz w:val="24"/>
          <w:vertAlign w:val="subscript"/>
        </w:rPr>
        <w:t>3</w:t>
      </w:r>
      <w:r>
        <w:rPr>
          <w:rFonts w:hAnsi="宋体"/>
          <w:color w:val="000000"/>
          <w:kern w:val="0"/>
          <w:sz w:val="24"/>
        </w:rPr>
        <w:t>第</w:t>
      </w:r>
      <w:r>
        <w:rPr>
          <w:color w:val="000000"/>
          <w:kern w:val="0"/>
          <w:sz w:val="24"/>
        </w:rPr>
        <w:t>90</w:t>
      </w:r>
      <w:r>
        <w:rPr>
          <w:rFonts w:hAnsi="宋体"/>
          <w:color w:val="000000"/>
          <w:kern w:val="0"/>
          <w:sz w:val="24"/>
        </w:rPr>
        <w:t>百分位浓度</w:t>
      </w:r>
      <w:r>
        <w:rPr>
          <w:color w:val="000000"/>
          <w:sz w:val="24"/>
        </w:rPr>
        <w:t>超出二级标准要求。</w:t>
      </w:r>
    </w:p>
    <w:p w:rsidR="005778BE" w:rsidRDefault="005778BE" w:rsidP="005778BE">
      <w:pPr>
        <w:pStyle w:val="3"/>
        <w:numPr>
          <w:ilvl w:val="0"/>
          <w:numId w:val="0"/>
        </w:numPr>
        <w:spacing w:before="0" w:after="0" w:line="360" w:lineRule="auto"/>
        <w:ind w:left="170"/>
        <w:rPr>
          <w:rFonts w:eastAsia="宋体"/>
          <w:b/>
          <w:bCs w:val="0"/>
          <w:sz w:val="28"/>
          <w:szCs w:val="28"/>
        </w:rPr>
      </w:pPr>
      <w:bookmarkStart w:id="329" w:name="_Toc16785285"/>
      <w:r>
        <w:rPr>
          <w:rFonts w:eastAsia="宋体"/>
          <w:b/>
          <w:bCs w:val="0"/>
          <w:sz w:val="28"/>
          <w:szCs w:val="28"/>
        </w:rPr>
        <w:t>3.</w:t>
      </w:r>
      <w:r>
        <w:rPr>
          <w:rFonts w:eastAsia="宋体" w:hint="eastAsia"/>
          <w:b/>
          <w:bCs w:val="0"/>
          <w:sz w:val="28"/>
          <w:szCs w:val="28"/>
        </w:rPr>
        <w:t>3</w:t>
      </w:r>
      <w:r>
        <w:rPr>
          <w:rFonts w:eastAsia="宋体"/>
          <w:b/>
          <w:bCs w:val="0"/>
          <w:sz w:val="28"/>
          <w:szCs w:val="28"/>
        </w:rPr>
        <w:t>.4</w:t>
      </w:r>
      <w:r>
        <w:rPr>
          <w:rFonts w:eastAsia="宋体"/>
          <w:b/>
          <w:bCs w:val="0"/>
          <w:sz w:val="28"/>
          <w:szCs w:val="28"/>
        </w:rPr>
        <w:t>声环境质量现状</w:t>
      </w:r>
      <w:bookmarkEnd w:id="329"/>
    </w:p>
    <w:p w:rsidR="005778BE" w:rsidRDefault="005778BE" w:rsidP="005778BE">
      <w:pPr>
        <w:spacing w:line="360" w:lineRule="auto"/>
        <w:ind w:firstLineChars="200" w:firstLine="480"/>
        <w:rPr>
          <w:b/>
          <w:sz w:val="24"/>
        </w:rPr>
      </w:pPr>
      <w:r>
        <w:rPr>
          <w:rFonts w:hint="eastAsia"/>
          <w:sz w:val="24"/>
        </w:rPr>
        <w:t>陕西精益达安全环保技术服务有限公司</w:t>
      </w:r>
      <w:r>
        <w:rPr>
          <w:bCs/>
          <w:sz w:val="24"/>
        </w:rPr>
        <w:t>于</w:t>
      </w:r>
      <w:r>
        <w:rPr>
          <w:rFonts w:eastAsia="黑体"/>
          <w:sz w:val="24"/>
        </w:rPr>
        <w:t>201</w:t>
      </w:r>
      <w:r>
        <w:rPr>
          <w:rFonts w:eastAsia="黑体" w:hint="eastAsia"/>
          <w:sz w:val="24"/>
        </w:rPr>
        <w:t>9</w:t>
      </w:r>
      <w:r>
        <w:rPr>
          <w:sz w:val="24"/>
        </w:rPr>
        <w:t>年</w:t>
      </w:r>
      <w:r>
        <w:rPr>
          <w:rFonts w:hint="eastAsia"/>
          <w:sz w:val="24"/>
        </w:rPr>
        <w:t>1</w:t>
      </w:r>
      <w:r>
        <w:rPr>
          <w:sz w:val="24"/>
        </w:rPr>
        <w:t>月</w:t>
      </w:r>
      <w:r>
        <w:rPr>
          <w:rFonts w:hint="eastAsia"/>
          <w:sz w:val="24"/>
        </w:rPr>
        <w:t>15</w:t>
      </w:r>
      <w:r>
        <w:rPr>
          <w:rFonts w:hint="eastAsia"/>
          <w:sz w:val="24"/>
        </w:rPr>
        <w:t>日</w:t>
      </w:r>
      <w:r>
        <w:rPr>
          <w:sz w:val="24"/>
        </w:rPr>
        <w:t>日对评价区声环境质量进行了监测。</w:t>
      </w:r>
    </w:p>
    <w:p w:rsidR="005778BE" w:rsidRDefault="005778BE" w:rsidP="005778BE">
      <w:pPr>
        <w:tabs>
          <w:tab w:val="left" w:pos="2552"/>
          <w:tab w:val="left" w:pos="5387"/>
        </w:tabs>
        <w:spacing w:line="360" w:lineRule="auto"/>
        <w:ind w:firstLineChars="200" w:firstLine="480"/>
        <w:rPr>
          <w:sz w:val="24"/>
        </w:rPr>
      </w:pPr>
      <w:r>
        <w:rPr>
          <w:sz w:val="24"/>
        </w:rPr>
        <w:t>（</w:t>
      </w:r>
      <w:r>
        <w:rPr>
          <w:sz w:val="24"/>
        </w:rPr>
        <w:t>1</w:t>
      </w:r>
      <w:r>
        <w:rPr>
          <w:sz w:val="24"/>
        </w:rPr>
        <w:t>）监测点的设置</w:t>
      </w:r>
    </w:p>
    <w:p w:rsidR="005778BE" w:rsidRDefault="005778BE" w:rsidP="005778BE">
      <w:pPr>
        <w:tabs>
          <w:tab w:val="left" w:pos="60"/>
        </w:tabs>
        <w:spacing w:line="360" w:lineRule="auto"/>
        <w:ind w:firstLineChars="200" w:firstLine="480"/>
        <w:rPr>
          <w:sz w:val="24"/>
        </w:rPr>
      </w:pPr>
      <w:r>
        <w:rPr>
          <w:rFonts w:hint="eastAsia"/>
          <w:sz w:val="24"/>
        </w:rPr>
        <w:t>工业场地四周厂界共布置</w:t>
      </w:r>
      <w:r>
        <w:rPr>
          <w:rFonts w:hint="eastAsia"/>
          <w:sz w:val="24"/>
        </w:rPr>
        <w:t>4</w:t>
      </w:r>
      <w:r>
        <w:rPr>
          <w:rFonts w:hint="eastAsia"/>
          <w:sz w:val="24"/>
        </w:rPr>
        <w:t>个监测点，声敏感点念枣坪村设置</w:t>
      </w:r>
      <w:r>
        <w:rPr>
          <w:rFonts w:hint="eastAsia"/>
          <w:sz w:val="24"/>
        </w:rPr>
        <w:t>1</w:t>
      </w:r>
      <w:r>
        <w:rPr>
          <w:rFonts w:hint="eastAsia"/>
          <w:sz w:val="24"/>
        </w:rPr>
        <w:t>个监测点</w:t>
      </w:r>
      <w:r>
        <w:rPr>
          <w:sz w:val="24"/>
        </w:rPr>
        <w:t>，具体位置见图</w:t>
      </w:r>
      <w:r>
        <w:rPr>
          <w:sz w:val="24"/>
        </w:rPr>
        <w:t>3.</w:t>
      </w:r>
      <w:r>
        <w:rPr>
          <w:rFonts w:hint="eastAsia"/>
          <w:sz w:val="24"/>
        </w:rPr>
        <w:t>3</w:t>
      </w:r>
      <w:r>
        <w:rPr>
          <w:sz w:val="24"/>
        </w:rPr>
        <w:t>.1-1</w:t>
      </w:r>
      <w:r>
        <w:rPr>
          <w:sz w:val="24"/>
        </w:rPr>
        <w:t>。</w:t>
      </w:r>
    </w:p>
    <w:p w:rsidR="005778BE" w:rsidRPr="005778BE" w:rsidRDefault="005778BE" w:rsidP="004656C0">
      <w:pPr>
        <w:spacing w:line="360" w:lineRule="auto"/>
        <w:ind w:firstLineChars="200" w:firstLine="480"/>
        <w:rPr>
          <w:sz w:val="24"/>
        </w:rPr>
      </w:pPr>
    </w:p>
    <w:p w:rsidR="00C223F5" w:rsidRDefault="00C223F5">
      <w:pPr>
        <w:spacing w:line="360" w:lineRule="auto"/>
        <w:ind w:firstLineChars="200" w:firstLine="480"/>
        <w:rPr>
          <w:color w:val="FF0000"/>
          <w:sz w:val="24"/>
        </w:rPr>
        <w:sectPr w:rsidR="00C223F5">
          <w:pgSz w:w="11907" w:h="16840"/>
          <w:pgMar w:top="1440" w:right="1701" w:bottom="1440" w:left="1701" w:header="851" w:footer="992" w:gutter="0"/>
          <w:cols w:space="425"/>
          <w:docGrid w:linePitch="312"/>
        </w:sectPr>
      </w:pPr>
    </w:p>
    <w:p w:rsidR="00C223F5" w:rsidRDefault="005860D5">
      <w:pPr>
        <w:ind w:firstLineChars="200" w:firstLine="482"/>
        <w:jc w:val="center"/>
        <w:rPr>
          <w:b/>
          <w:sz w:val="24"/>
        </w:rPr>
      </w:pPr>
      <w:r>
        <w:rPr>
          <w:b/>
          <w:sz w:val="24"/>
        </w:rPr>
        <w:lastRenderedPageBreak/>
        <w:t>表</w:t>
      </w:r>
      <w:r>
        <w:rPr>
          <w:b/>
          <w:sz w:val="24"/>
        </w:rPr>
        <w:t>3.</w:t>
      </w:r>
      <w:r>
        <w:rPr>
          <w:rFonts w:hint="eastAsia"/>
          <w:b/>
          <w:sz w:val="24"/>
        </w:rPr>
        <w:t>3</w:t>
      </w:r>
      <w:r>
        <w:rPr>
          <w:b/>
          <w:sz w:val="24"/>
        </w:rPr>
        <w:t xml:space="preserve">.2-1   </w:t>
      </w:r>
      <w:r>
        <w:rPr>
          <w:b/>
          <w:sz w:val="24"/>
        </w:rPr>
        <w:t>地表水环境现状监测结果统计表</w:t>
      </w:r>
    </w:p>
    <w:tbl>
      <w:tblPr>
        <w:tblW w:w="14344"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310"/>
        <w:gridCol w:w="1116"/>
        <w:gridCol w:w="1210"/>
        <w:gridCol w:w="1092"/>
        <w:gridCol w:w="560"/>
        <w:gridCol w:w="1150"/>
        <w:gridCol w:w="1161"/>
        <w:gridCol w:w="1177"/>
        <w:gridCol w:w="590"/>
        <w:gridCol w:w="1119"/>
        <w:gridCol w:w="1196"/>
        <w:gridCol w:w="1080"/>
        <w:gridCol w:w="632"/>
        <w:gridCol w:w="951"/>
      </w:tblGrid>
      <w:tr w:rsidR="00C223F5">
        <w:trPr>
          <w:cantSplit/>
          <w:trHeight w:val="75"/>
          <w:jc w:val="center"/>
        </w:trPr>
        <w:tc>
          <w:tcPr>
            <w:tcW w:w="1310"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C223F5" w:rsidRDefault="005860D5">
            <w:pPr>
              <w:jc w:val="center"/>
              <w:rPr>
                <w:rFonts w:eastAsiaTheme="minorEastAsia"/>
                <w:szCs w:val="21"/>
              </w:rPr>
            </w:pPr>
            <w:r>
              <w:rPr>
                <w:rFonts w:eastAsiaTheme="minorEastAsia"/>
                <w:szCs w:val="21"/>
              </w:rPr>
              <w:t>监测断面</w:t>
            </w:r>
          </w:p>
          <w:p w:rsidR="00C223F5" w:rsidRDefault="00C223F5">
            <w:pPr>
              <w:jc w:val="center"/>
              <w:rPr>
                <w:rFonts w:eastAsiaTheme="minorEastAsia"/>
                <w:szCs w:val="21"/>
              </w:rPr>
            </w:pPr>
          </w:p>
          <w:p w:rsidR="00C223F5" w:rsidRDefault="005860D5">
            <w:pPr>
              <w:jc w:val="center"/>
              <w:rPr>
                <w:rFonts w:eastAsiaTheme="minorEastAsia"/>
                <w:szCs w:val="21"/>
              </w:rPr>
            </w:pPr>
            <w:r>
              <w:rPr>
                <w:rFonts w:eastAsiaTheme="minorEastAsia"/>
                <w:szCs w:val="21"/>
              </w:rPr>
              <w:t>项目</w:t>
            </w:r>
          </w:p>
        </w:tc>
        <w:tc>
          <w:tcPr>
            <w:tcW w:w="3978" w:type="dxa"/>
            <w:gridSpan w:val="4"/>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szCs w:val="21"/>
              </w:rPr>
            </w:pPr>
            <w:r>
              <w:rPr>
                <w:szCs w:val="21"/>
              </w:rPr>
              <w:t>1#</w:t>
            </w:r>
            <w:r>
              <w:rPr>
                <w:szCs w:val="21"/>
              </w:rPr>
              <w:t>工业场地排污口上游</w:t>
            </w:r>
            <w:r>
              <w:rPr>
                <w:szCs w:val="21"/>
              </w:rPr>
              <w:t>500m</w:t>
            </w:r>
          </w:p>
        </w:tc>
        <w:tc>
          <w:tcPr>
            <w:tcW w:w="4078" w:type="dxa"/>
            <w:gridSpan w:val="4"/>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szCs w:val="21"/>
              </w:rPr>
            </w:pPr>
            <w:r>
              <w:rPr>
                <w:szCs w:val="21"/>
              </w:rPr>
              <w:t>2#</w:t>
            </w:r>
            <w:r>
              <w:rPr>
                <w:szCs w:val="21"/>
              </w:rPr>
              <w:t>蚂蚁河入大理河处上游</w:t>
            </w:r>
            <w:r>
              <w:rPr>
                <w:szCs w:val="21"/>
              </w:rPr>
              <w:t>200m</w:t>
            </w:r>
          </w:p>
        </w:tc>
        <w:tc>
          <w:tcPr>
            <w:tcW w:w="4027" w:type="dxa"/>
            <w:gridSpan w:val="4"/>
            <w:tcBorders>
              <w:top w:val="single" w:sz="4" w:space="0" w:color="auto"/>
              <w:left w:val="single" w:sz="4" w:space="0" w:color="auto"/>
              <w:bottom w:val="single" w:sz="4" w:space="0" w:color="auto"/>
              <w:right w:val="single" w:sz="4" w:space="0" w:color="auto"/>
            </w:tcBorders>
            <w:vAlign w:val="center"/>
          </w:tcPr>
          <w:p w:rsidR="00C223F5" w:rsidRPr="004A6DE1" w:rsidRDefault="005860D5" w:rsidP="004A6DE1">
            <w:pPr>
              <w:jc w:val="center"/>
              <w:rPr>
                <w:rFonts w:eastAsiaTheme="minorEastAsia"/>
                <w:color w:val="FF0000"/>
                <w:szCs w:val="21"/>
              </w:rPr>
            </w:pPr>
            <w:r w:rsidRPr="004A6DE1">
              <w:rPr>
                <w:color w:val="FF0000"/>
                <w:szCs w:val="21"/>
              </w:rPr>
              <w:t>3#</w:t>
            </w:r>
            <w:r w:rsidRPr="004A6DE1">
              <w:rPr>
                <w:color w:val="FF0000"/>
                <w:szCs w:val="21"/>
              </w:rPr>
              <w:t>大理河</w:t>
            </w:r>
            <w:r w:rsidR="004A6DE1" w:rsidRPr="004A6DE1">
              <w:rPr>
                <w:rFonts w:hint="eastAsia"/>
                <w:color w:val="FF0000"/>
                <w:szCs w:val="21"/>
              </w:rPr>
              <w:t>下</w:t>
            </w:r>
            <w:r w:rsidRPr="004A6DE1">
              <w:rPr>
                <w:color w:val="FF0000"/>
                <w:szCs w:val="21"/>
              </w:rPr>
              <w:t>游</w:t>
            </w:r>
            <w:r w:rsidRPr="004A6DE1">
              <w:rPr>
                <w:color w:val="FF0000"/>
                <w:szCs w:val="21"/>
              </w:rPr>
              <w:t>300m</w:t>
            </w:r>
            <w:r w:rsidRPr="004A6DE1">
              <w:rPr>
                <w:color w:val="FF0000"/>
                <w:szCs w:val="21"/>
              </w:rPr>
              <w:t>（蚂蚁河汇入口）</w:t>
            </w:r>
          </w:p>
        </w:tc>
        <w:tc>
          <w:tcPr>
            <w:tcW w:w="951" w:type="dxa"/>
            <w:vMerge w:val="restart"/>
            <w:tcBorders>
              <w:top w:val="single" w:sz="4" w:space="0" w:color="auto"/>
              <w:left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GB3838</w:t>
            </w:r>
          </w:p>
          <w:p w:rsidR="00C223F5" w:rsidRDefault="005860D5">
            <w:pPr>
              <w:jc w:val="center"/>
              <w:rPr>
                <w:rFonts w:eastAsiaTheme="minorEastAsia"/>
                <w:szCs w:val="21"/>
              </w:rPr>
            </w:pPr>
            <w:r>
              <w:rPr>
                <w:rFonts w:eastAsiaTheme="minorEastAsia"/>
                <w:szCs w:val="21"/>
              </w:rPr>
              <w:t>-2002</w:t>
            </w:r>
          </w:p>
          <w:p w:rsidR="00C223F5" w:rsidRDefault="005860D5">
            <w:pPr>
              <w:jc w:val="center"/>
              <w:rPr>
                <w:rFonts w:eastAsiaTheme="minorEastAsia"/>
                <w:szCs w:val="21"/>
              </w:rPr>
            </w:pPr>
            <w:r>
              <w:rPr>
                <w:rFonts w:eastAsiaTheme="minorEastAsia" w:hAnsiTheme="minorEastAsia"/>
                <w:szCs w:val="21"/>
              </w:rPr>
              <w:t>Ⅲ</w:t>
            </w:r>
            <w:r>
              <w:rPr>
                <w:rFonts w:eastAsiaTheme="minorEastAsia"/>
                <w:szCs w:val="21"/>
              </w:rPr>
              <w:t>类标准</w:t>
            </w:r>
          </w:p>
        </w:tc>
      </w:tr>
      <w:tr w:rsidR="00C223F5">
        <w:trPr>
          <w:cantSplit/>
          <w:trHeight w:val="283"/>
          <w:jc w:val="center"/>
        </w:trPr>
        <w:tc>
          <w:tcPr>
            <w:tcW w:w="1310" w:type="dxa"/>
            <w:vMerge/>
            <w:tcBorders>
              <w:top w:val="single" w:sz="4" w:space="0" w:color="auto"/>
              <w:left w:val="single" w:sz="4" w:space="0" w:color="auto"/>
              <w:bottom w:val="single" w:sz="4" w:space="0" w:color="auto"/>
              <w:right w:val="single" w:sz="4" w:space="0" w:color="auto"/>
            </w:tcBorders>
            <w:vAlign w:val="center"/>
          </w:tcPr>
          <w:p w:rsidR="00C223F5" w:rsidRDefault="00C223F5">
            <w:pPr>
              <w:jc w:val="center"/>
              <w:rPr>
                <w:rFonts w:eastAsiaTheme="minorEastAsia"/>
                <w:szCs w:val="21"/>
              </w:rPr>
            </w:pP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1</w:t>
            </w:r>
            <w:r>
              <w:rPr>
                <w:rFonts w:eastAsiaTheme="minorEastAsia"/>
                <w:szCs w:val="21"/>
              </w:rPr>
              <w:t>月</w:t>
            </w:r>
            <w:r>
              <w:rPr>
                <w:rFonts w:eastAsiaTheme="minorEastAsia"/>
                <w:szCs w:val="21"/>
              </w:rPr>
              <w:t>14</w:t>
            </w:r>
            <w:r>
              <w:rPr>
                <w:rFonts w:eastAsiaTheme="minorEastAsia"/>
                <w:szCs w:val="21"/>
              </w:rPr>
              <w:t>日</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1</w:t>
            </w:r>
            <w:r>
              <w:rPr>
                <w:rFonts w:eastAsiaTheme="minorEastAsia"/>
                <w:szCs w:val="21"/>
              </w:rPr>
              <w:t>月</w:t>
            </w:r>
            <w:r>
              <w:rPr>
                <w:rFonts w:eastAsiaTheme="minorEastAsia"/>
                <w:szCs w:val="21"/>
              </w:rPr>
              <w:t>15</w:t>
            </w:r>
            <w:r>
              <w:rPr>
                <w:rFonts w:eastAsiaTheme="minorEastAsia"/>
                <w:szCs w:val="21"/>
              </w:rPr>
              <w:t>日</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1</w:t>
            </w:r>
            <w:r>
              <w:rPr>
                <w:rFonts w:eastAsiaTheme="minorEastAsia"/>
                <w:szCs w:val="21"/>
              </w:rPr>
              <w:t>月</w:t>
            </w:r>
            <w:r>
              <w:rPr>
                <w:rFonts w:eastAsiaTheme="minorEastAsia"/>
                <w:szCs w:val="21"/>
              </w:rPr>
              <w:t>16</w:t>
            </w:r>
            <w:r>
              <w:rPr>
                <w:rFonts w:eastAsiaTheme="minorEastAsia"/>
                <w:szCs w:val="21"/>
              </w:rPr>
              <w:t>日</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超标倍数</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1</w:t>
            </w:r>
            <w:r>
              <w:rPr>
                <w:rFonts w:eastAsiaTheme="minorEastAsia"/>
                <w:szCs w:val="21"/>
              </w:rPr>
              <w:t>月</w:t>
            </w:r>
            <w:r>
              <w:rPr>
                <w:rFonts w:eastAsiaTheme="minorEastAsia"/>
                <w:szCs w:val="21"/>
              </w:rPr>
              <w:t>14</w:t>
            </w:r>
            <w:r>
              <w:rPr>
                <w:rFonts w:eastAsiaTheme="minorEastAsia"/>
                <w:szCs w:val="21"/>
              </w:rPr>
              <w:t>日</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1</w:t>
            </w:r>
            <w:r>
              <w:rPr>
                <w:rFonts w:eastAsiaTheme="minorEastAsia"/>
                <w:szCs w:val="21"/>
              </w:rPr>
              <w:t>月</w:t>
            </w:r>
            <w:r>
              <w:rPr>
                <w:rFonts w:eastAsiaTheme="minorEastAsia"/>
                <w:szCs w:val="21"/>
              </w:rPr>
              <w:t>15</w:t>
            </w:r>
            <w:r>
              <w:rPr>
                <w:rFonts w:eastAsiaTheme="minorEastAsia"/>
                <w:szCs w:val="21"/>
              </w:rPr>
              <w:t>日</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1</w:t>
            </w:r>
            <w:r>
              <w:rPr>
                <w:rFonts w:eastAsiaTheme="minorEastAsia"/>
                <w:szCs w:val="21"/>
              </w:rPr>
              <w:t>月</w:t>
            </w:r>
            <w:r>
              <w:rPr>
                <w:rFonts w:eastAsiaTheme="minorEastAsia"/>
                <w:szCs w:val="21"/>
              </w:rPr>
              <w:t>16</w:t>
            </w:r>
            <w:r>
              <w:rPr>
                <w:rFonts w:eastAsiaTheme="minorEastAsia"/>
                <w:szCs w:val="21"/>
              </w:rPr>
              <w:t>日</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超标倍数</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1</w:t>
            </w:r>
            <w:r>
              <w:rPr>
                <w:rFonts w:eastAsiaTheme="minorEastAsia"/>
                <w:szCs w:val="21"/>
              </w:rPr>
              <w:t>月</w:t>
            </w:r>
            <w:r>
              <w:rPr>
                <w:rFonts w:eastAsiaTheme="minorEastAsia"/>
                <w:szCs w:val="21"/>
              </w:rPr>
              <w:t>14</w:t>
            </w:r>
            <w:r>
              <w:rPr>
                <w:rFonts w:eastAsiaTheme="minorEastAsia"/>
                <w:szCs w:val="21"/>
              </w:rPr>
              <w:t>日</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1</w:t>
            </w:r>
            <w:r>
              <w:rPr>
                <w:rFonts w:eastAsiaTheme="minorEastAsia"/>
                <w:szCs w:val="21"/>
              </w:rPr>
              <w:t>月</w:t>
            </w:r>
            <w:r>
              <w:rPr>
                <w:rFonts w:eastAsiaTheme="minorEastAsia"/>
                <w:szCs w:val="21"/>
              </w:rPr>
              <w:t>15</w:t>
            </w:r>
            <w:r>
              <w:rPr>
                <w:rFonts w:eastAsiaTheme="minorEastAsia"/>
                <w:szCs w:val="21"/>
              </w:rPr>
              <w:t>日</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1</w:t>
            </w:r>
            <w:r>
              <w:rPr>
                <w:rFonts w:eastAsiaTheme="minorEastAsia"/>
                <w:szCs w:val="21"/>
              </w:rPr>
              <w:t>月</w:t>
            </w:r>
            <w:r>
              <w:rPr>
                <w:rFonts w:eastAsiaTheme="minorEastAsia"/>
                <w:szCs w:val="21"/>
              </w:rPr>
              <w:t>16</w:t>
            </w:r>
            <w:r>
              <w:rPr>
                <w:rFonts w:eastAsiaTheme="minorEastAsia"/>
                <w:szCs w:val="21"/>
              </w:rPr>
              <w:t>日</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超标倍数</w:t>
            </w:r>
          </w:p>
        </w:tc>
        <w:tc>
          <w:tcPr>
            <w:tcW w:w="951" w:type="dxa"/>
            <w:vMerge/>
            <w:tcBorders>
              <w:left w:val="single" w:sz="4" w:space="0" w:color="auto"/>
              <w:bottom w:val="single" w:sz="4" w:space="0" w:color="auto"/>
              <w:right w:val="single" w:sz="4" w:space="0" w:color="auto"/>
            </w:tcBorders>
            <w:vAlign w:val="center"/>
          </w:tcPr>
          <w:p w:rsidR="00C223F5" w:rsidRDefault="00C223F5">
            <w:pPr>
              <w:jc w:val="center"/>
              <w:rPr>
                <w:rFonts w:eastAsiaTheme="minorEastAsia"/>
                <w:szCs w:val="21"/>
              </w:rPr>
            </w:pPr>
          </w:p>
        </w:tc>
      </w:tr>
      <w:tr w:rsidR="00C223F5">
        <w:trPr>
          <w:cantSplit/>
          <w:trHeight w:val="283"/>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pH</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8.35</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8.12</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8.16</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8.15</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8.07</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8.21</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8.08</w:t>
            </w:r>
          </w:p>
        </w:tc>
        <w:tc>
          <w:tcPr>
            <w:tcW w:w="1196" w:type="dxa"/>
            <w:tcBorders>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8.13</w:t>
            </w:r>
          </w:p>
        </w:tc>
        <w:tc>
          <w:tcPr>
            <w:tcW w:w="1080" w:type="dxa"/>
            <w:tcBorders>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8.10</w:t>
            </w:r>
          </w:p>
        </w:tc>
        <w:tc>
          <w:tcPr>
            <w:tcW w:w="632" w:type="dxa"/>
            <w:tcBorders>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6</w:t>
            </w:r>
            <w:r>
              <w:rPr>
                <w:rFonts w:eastAsiaTheme="minorEastAsia"/>
                <w:szCs w:val="21"/>
              </w:rPr>
              <w:t>～</w:t>
            </w:r>
            <w:r>
              <w:rPr>
                <w:rFonts w:eastAsiaTheme="minorEastAsia"/>
                <w:szCs w:val="21"/>
              </w:rPr>
              <w:t>9</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化学需氧量</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rFonts w:eastAsiaTheme="minorEastAsia"/>
                <w:szCs w:val="21"/>
              </w:rPr>
            </w:pPr>
            <w:r>
              <w:rPr>
                <w:rFonts w:eastAsiaTheme="minorEastAsia" w:hint="eastAsia"/>
                <w:szCs w:val="21"/>
              </w:rPr>
              <w:t>19</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rFonts w:eastAsiaTheme="minorEastAsia"/>
                <w:szCs w:val="21"/>
              </w:rPr>
            </w:pPr>
            <w:r>
              <w:rPr>
                <w:rFonts w:eastAsiaTheme="minorEastAsia" w:hint="eastAsia"/>
                <w:szCs w:val="21"/>
              </w:rPr>
              <w:t>15</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rFonts w:eastAsiaTheme="minorEastAsia"/>
                <w:szCs w:val="21"/>
              </w:rPr>
            </w:pPr>
            <w:r>
              <w:rPr>
                <w:rFonts w:eastAsiaTheme="minorEastAsia" w:hint="eastAsia"/>
                <w:szCs w:val="21"/>
              </w:rPr>
              <w:t>17</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rFonts w:eastAsiaTheme="minorEastAsia"/>
                <w:szCs w:val="21"/>
              </w:rPr>
            </w:pPr>
            <w:r>
              <w:rPr>
                <w:rFonts w:eastAsiaTheme="minorEastAsia" w:hint="eastAsia"/>
                <w:szCs w:val="21"/>
              </w:rPr>
              <w:t>14</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rFonts w:eastAsiaTheme="minorEastAsia"/>
                <w:szCs w:val="21"/>
              </w:rPr>
            </w:pPr>
            <w:r>
              <w:rPr>
                <w:rFonts w:eastAsiaTheme="minorEastAsia" w:hint="eastAsia"/>
                <w:szCs w:val="21"/>
              </w:rPr>
              <w:t>11</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rFonts w:eastAsiaTheme="minorEastAsia"/>
                <w:szCs w:val="21"/>
              </w:rPr>
            </w:pPr>
            <w:r>
              <w:rPr>
                <w:rFonts w:eastAsiaTheme="minorEastAsia" w:hint="eastAsia"/>
                <w:szCs w:val="21"/>
              </w:rPr>
              <w:t>12</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rFonts w:eastAsiaTheme="minorEastAsia"/>
                <w:szCs w:val="21"/>
              </w:rPr>
            </w:pPr>
            <w:r>
              <w:rPr>
                <w:rFonts w:eastAsiaTheme="minorEastAsia" w:hint="eastAsia"/>
                <w:szCs w:val="21"/>
              </w:rPr>
              <w:t>15</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rFonts w:eastAsiaTheme="minorEastAsia"/>
                <w:szCs w:val="21"/>
              </w:rPr>
            </w:pPr>
            <w:r>
              <w:rPr>
                <w:rFonts w:eastAsiaTheme="minorEastAsia" w:hint="eastAsia"/>
                <w:szCs w:val="21"/>
              </w:rPr>
              <w:t>18</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rFonts w:eastAsiaTheme="minorEastAsia"/>
                <w:szCs w:val="21"/>
              </w:rPr>
            </w:pPr>
            <w:r>
              <w:rPr>
                <w:rFonts w:eastAsiaTheme="minorEastAsia" w:hint="eastAsia"/>
                <w:szCs w:val="21"/>
              </w:rPr>
              <w:t>17</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sym w:font="UniversalMath1 BT" w:char="00A3"/>
            </w:r>
            <w:r>
              <w:rPr>
                <w:rFonts w:eastAsiaTheme="minorEastAsia"/>
                <w:szCs w:val="21"/>
              </w:rPr>
              <w:t>20</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溶解氧</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7.1</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6.7</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7.0</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6.6</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6.4</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6.7</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6.9</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7.0</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6.4</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xl48"/>
              <w:widowControl w:val="0"/>
              <w:pBdr>
                <w:bottom w:val="none" w:sz="0" w:space="0" w:color="auto"/>
                <w:right w:val="none" w:sz="0" w:space="0" w:color="auto"/>
              </w:pBdr>
              <w:spacing w:before="0" w:beforeAutospacing="0" w:after="0" w:afterAutospacing="0"/>
              <w:rPr>
                <w:rFonts w:ascii="Times New Roman" w:eastAsiaTheme="minorEastAsia" w:hAnsi="Times New Roman"/>
              </w:rPr>
            </w:pPr>
            <w:r>
              <w:rPr>
                <w:rFonts w:ascii="Times New Roman" w:eastAsiaTheme="minorEastAsia" w:hAnsi="Times New Roman"/>
              </w:rPr>
              <w:t>≥5</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生化需氧量</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4.0</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3.7</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3.9</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3.4</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3.5</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3.3</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3.7</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3.9</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3.6</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sym w:font="UniversalMath1 BT" w:char="00A3"/>
            </w:r>
            <w:r>
              <w:rPr>
                <w:rFonts w:eastAsiaTheme="minorEastAsia"/>
                <w:szCs w:val="21"/>
              </w:rPr>
              <w:t>4</w:t>
            </w:r>
          </w:p>
        </w:tc>
      </w:tr>
      <w:tr w:rsidR="00C223F5">
        <w:trPr>
          <w:cantSplit/>
          <w:trHeight w:val="141"/>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氨氮</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0.125</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0.133</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0.149</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0.032</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0.042</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0.037</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0.028</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0.030</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0.032</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sym w:font="UniversalMath1 BT" w:char="00A3"/>
            </w:r>
            <w:r>
              <w:rPr>
                <w:rFonts w:eastAsiaTheme="minorEastAsia"/>
                <w:szCs w:val="21"/>
              </w:rPr>
              <w:t>1.0</w:t>
            </w:r>
          </w:p>
        </w:tc>
      </w:tr>
      <w:tr w:rsidR="00C223F5">
        <w:trPr>
          <w:cantSplit/>
          <w:trHeight w:val="141"/>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挥发酚</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rFonts w:hint="eastAsia"/>
                <w:bCs/>
                <w:szCs w:val="21"/>
              </w:rPr>
              <w:t>0.0003ND</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rFonts w:hint="eastAsia"/>
                <w:bCs/>
                <w:szCs w:val="21"/>
              </w:rPr>
              <w:t>0.0003ND</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rFonts w:hint="eastAsia"/>
                <w:bCs/>
                <w:szCs w:val="21"/>
              </w:rPr>
              <w:t>0.0003ND</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rFonts w:hint="eastAsia"/>
                <w:bCs/>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rFonts w:hint="eastAsia"/>
                <w:bCs/>
                <w:szCs w:val="21"/>
              </w:rPr>
              <w:t>0.0003ND</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rFonts w:hint="eastAsia"/>
                <w:bCs/>
                <w:szCs w:val="21"/>
              </w:rPr>
              <w:t>0.0003ND</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rFonts w:hint="eastAsia"/>
                <w:bCs/>
                <w:szCs w:val="21"/>
              </w:rPr>
              <w:t>0.0003ND</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rFonts w:hint="eastAsia"/>
                <w:bCs/>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rFonts w:hint="eastAsia"/>
                <w:bCs/>
                <w:szCs w:val="21"/>
              </w:rPr>
              <w:t>0.0003ND</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rFonts w:hint="eastAsia"/>
                <w:bCs/>
                <w:szCs w:val="21"/>
              </w:rPr>
              <w:t>0.0003ND</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rFonts w:hint="eastAsia"/>
                <w:bCs/>
                <w:szCs w:val="21"/>
              </w:rPr>
              <w:t>0.0003ND</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rFonts w:hint="eastAsia"/>
                <w:bCs/>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sym w:font="UniversalMath1 BT" w:char="00A3"/>
            </w:r>
            <w:r>
              <w:rPr>
                <w:bCs/>
                <w:szCs w:val="21"/>
              </w:rPr>
              <w:t>0.005</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汞</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4.0×10</w:t>
            </w:r>
            <w:r>
              <w:rPr>
                <w:bCs/>
                <w:szCs w:val="21"/>
                <w:vertAlign w:val="superscript"/>
              </w:rPr>
              <w:t>-5</w:t>
            </w:r>
            <w:r>
              <w:rPr>
                <w:bCs/>
                <w:szCs w:val="21"/>
              </w:rPr>
              <w:t>ND</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4.0×10</w:t>
            </w:r>
            <w:r>
              <w:rPr>
                <w:bCs/>
                <w:szCs w:val="21"/>
                <w:vertAlign w:val="superscript"/>
              </w:rPr>
              <w:t>-5</w:t>
            </w:r>
            <w:r>
              <w:rPr>
                <w:bCs/>
                <w:szCs w:val="21"/>
              </w:rPr>
              <w:t>ND</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4.0×10</w:t>
            </w:r>
            <w:r>
              <w:rPr>
                <w:bCs/>
                <w:szCs w:val="21"/>
                <w:vertAlign w:val="superscript"/>
              </w:rPr>
              <w:t>-5</w:t>
            </w:r>
            <w:r>
              <w:rPr>
                <w:bCs/>
                <w:szCs w:val="21"/>
              </w:rPr>
              <w:t>ND</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4.0×10</w:t>
            </w:r>
            <w:r>
              <w:rPr>
                <w:bCs/>
                <w:szCs w:val="21"/>
                <w:vertAlign w:val="superscript"/>
              </w:rPr>
              <w:t>-5</w:t>
            </w:r>
            <w:r>
              <w:rPr>
                <w:bCs/>
                <w:szCs w:val="21"/>
              </w:rPr>
              <w:t>ND</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4.0×10</w:t>
            </w:r>
            <w:r>
              <w:rPr>
                <w:bCs/>
                <w:szCs w:val="21"/>
                <w:vertAlign w:val="superscript"/>
              </w:rPr>
              <w:t>-5</w:t>
            </w:r>
            <w:r>
              <w:rPr>
                <w:bCs/>
                <w:szCs w:val="21"/>
              </w:rPr>
              <w:t>ND</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4.0×10</w:t>
            </w:r>
            <w:r>
              <w:rPr>
                <w:bCs/>
                <w:szCs w:val="21"/>
                <w:vertAlign w:val="superscript"/>
              </w:rPr>
              <w:t>-5</w:t>
            </w:r>
            <w:r>
              <w:rPr>
                <w:bCs/>
                <w:szCs w:val="21"/>
              </w:rPr>
              <w:t>ND</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4.0×10</w:t>
            </w:r>
            <w:r>
              <w:rPr>
                <w:bCs/>
                <w:szCs w:val="21"/>
                <w:vertAlign w:val="superscript"/>
              </w:rPr>
              <w:t>-5</w:t>
            </w:r>
            <w:r>
              <w:rPr>
                <w:bCs/>
                <w:szCs w:val="21"/>
              </w:rPr>
              <w:t>ND</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4.0×10</w:t>
            </w:r>
            <w:r>
              <w:rPr>
                <w:bCs/>
                <w:szCs w:val="21"/>
                <w:vertAlign w:val="superscript"/>
              </w:rPr>
              <w:t>-5</w:t>
            </w:r>
            <w:r>
              <w:rPr>
                <w:bCs/>
                <w:szCs w:val="21"/>
              </w:rPr>
              <w:t>ND</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4.0×10</w:t>
            </w:r>
            <w:r>
              <w:rPr>
                <w:bCs/>
                <w:szCs w:val="21"/>
                <w:vertAlign w:val="superscript"/>
              </w:rPr>
              <w:t>-5</w:t>
            </w:r>
            <w:r>
              <w:rPr>
                <w:bCs/>
                <w:szCs w:val="21"/>
              </w:rPr>
              <w:t>ND</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sym w:font="UniversalMath1 BT" w:char="00A3"/>
            </w:r>
            <w:r>
              <w:rPr>
                <w:rFonts w:eastAsiaTheme="minorEastAsia"/>
                <w:szCs w:val="21"/>
              </w:rPr>
              <w:t>0.0001</w:t>
            </w:r>
          </w:p>
        </w:tc>
      </w:tr>
      <w:tr w:rsidR="00C223F5">
        <w:trPr>
          <w:cantSplit/>
          <w:trHeight w:val="141"/>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highlight w:val="yellow"/>
              </w:rPr>
            </w:pPr>
            <w:r>
              <w:rPr>
                <w:rFonts w:eastAsiaTheme="minorEastAsia"/>
                <w:szCs w:val="21"/>
              </w:rPr>
              <w:t>砷</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3.0×10</w:t>
            </w:r>
            <w:r>
              <w:rPr>
                <w:bCs/>
                <w:szCs w:val="21"/>
                <w:vertAlign w:val="superscript"/>
              </w:rPr>
              <w:t>-4</w:t>
            </w:r>
            <w:r>
              <w:rPr>
                <w:bCs/>
                <w:szCs w:val="21"/>
              </w:rPr>
              <w:t>ND</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3.0×10</w:t>
            </w:r>
            <w:r>
              <w:rPr>
                <w:bCs/>
                <w:szCs w:val="21"/>
                <w:vertAlign w:val="superscript"/>
              </w:rPr>
              <w:t>-4</w:t>
            </w:r>
            <w:r>
              <w:rPr>
                <w:bCs/>
                <w:szCs w:val="21"/>
              </w:rPr>
              <w:t>ND</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3.0×10</w:t>
            </w:r>
            <w:r>
              <w:rPr>
                <w:bCs/>
                <w:szCs w:val="21"/>
                <w:vertAlign w:val="superscript"/>
              </w:rPr>
              <w:t>-4</w:t>
            </w:r>
            <w:r>
              <w:rPr>
                <w:bCs/>
                <w:szCs w:val="21"/>
              </w:rPr>
              <w:t>ND</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3.0×10</w:t>
            </w:r>
            <w:r>
              <w:rPr>
                <w:bCs/>
                <w:szCs w:val="21"/>
                <w:vertAlign w:val="superscript"/>
              </w:rPr>
              <w:t>-4</w:t>
            </w:r>
            <w:r>
              <w:rPr>
                <w:bCs/>
                <w:szCs w:val="21"/>
              </w:rPr>
              <w:t>ND</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3.0×10</w:t>
            </w:r>
            <w:r>
              <w:rPr>
                <w:bCs/>
                <w:szCs w:val="21"/>
                <w:vertAlign w:val="superscript"/>
              </w:rPr>
              <w:t>-4</w:t>
            </w:r>
            <w:r>
              <w:rPr>
                <w:bCs/>
                <w:szCs w:val="21"/>
              </w:rPr>
              <w:t>ND</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3.0×10</w:t>
            </w:r>
            <w:r>
              <w:rPr>
                <w:bCs/>
                <w:szCs w:val="21"/>
                <w:vertAlign w:val="superscript"/>
              </w:rPr>
              <w:t>-4</w:t>
            </w:r>
            <w:r>
              <w:rPr>
                <w:bCs/>
                <w:szCs w:val="21"/>
              </w:rPr>
              <w:t>ND</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3.0×10</w:t>
            </w:r>
            <w:r>
              <w:rPr>
                <w:bCs/>
                <w:szCs w:val="21"/>
                <w:vertAlign w:val="superscript"/>
              </w:rPr>
              <w:t>-4</w:t>
            </w:r>
            <w:r>
              <w:rPr>
                <w:bCs/>
                <w:szCs w:val="21"/>
              </w:rPr>
              <w:t>ND</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3.0×10</w:t>
            </w:r>
            <w:r>
              <w:rPr>
                <w:bCs/>
                <w:szCs w:val="21"/>
                <w:vertAlign w:val="superscript"/>
              </w:rPr>
              <w:t>-4</w:t>
            </w:r>
            <w:r>
              <w:rPr>
                <w:bCs/>
                <w:szCs w:val="21"/>
              </w:rPr>
              <w:t>ND</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3.0×10</w:t>
            </w:r>
            <w:r>
              <w:rPr>
                <w:bCs/>
                <w:szCs w:val="21"/>
                <w:vertAlign w:val="superscript"/>
              </w:rPr>
              <w:t>-4</w:t>
            </w:r>
            <w:r>
              <w:rPr>
                <w:bCs/>
                <w:szCs w:val="21"/>
              </w:rPr>
              <w:t>ND</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highlight w:val="yellow"/>
              </w:rPr>
            </w:pPr>
            <w:r>
              <w:rPr>
                <w:rFonts w:eastAsiaTheme="minorEastAsia"/>
                <w:szCs w:val="21"/>
              </w:rPr>
              <w:sym w:font="UniversalMath1 BT" w:char="00A3"/>
            </w:r>
            <w:r>
              <w:rPr>
                <w:rFonts w:eastAsiaTheme="minorEastAsia"/>
                <w:szCs w:val="21"/>
              </w:rPr>
              <w:t>0.05</w:t>
            </w:r>
          </w:p>
        </w:tc>
      </w:tr>
      <w:tr w:rsidR="00C223F5">
        <w:trPr>
          <w:cantSplit/>
          <w:trHeight w:val="271"/>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六价铬</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0.004ND</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0.004ND</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0.004ND</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0.004ND</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0.004ND</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0.004ND</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0.004ND</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0.004ND</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0.004ND</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sym w:font="UniversalMath1 BT" w:char="00A3"/>
            </w:r>
            <w:r>
              <w:rPr>
                <w:rFonts w:eastAsiaTheme="minorEastAsia"/>
                <w:szCs w:val="21"/>
              </w:rPr>
              <w:t>0.05</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氟化物</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0.40</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0.40</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0.40</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0.45</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0.34</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0.37</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0.37</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0.43</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0.42</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sym w:font="UniversalMath1 BT" w:char="00A3"/>
            </w:r>
            <w:r>
              <w:rPr>
                <w:rFonts w:eastAsiaTheme="minorEastAsia"/>
                <w:szCs w:val="21"/>
              </w:rPr>
              <w:t>1.0</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8"/>
              <w:spacing w:line="0" w:lineRule="atLeast"/>
              <w:rPr>
                <w:szCs w:val="21"/>
              </w:rPr>
            </w:pPr>
            <w:r>
              <w:rPr>
                <w:szCs w:val="21"/>
              </w:rPr>
              <w:t>总铁</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0.09</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0.12</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0.11</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0.05</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0.06</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0.04</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0.06</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0.06</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0.08</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sym w:font="UniversalMath1 BT" w:char="00A3"/>
            </w:r>
            <w:r>
              <w:rPr>
                <w:rFonts w:eastAsiaTheme="minorEastAsia"/>
                <w:szCs w:val="21"/>
              </w:rPr>
              <w:t>0.3</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8"/>
              <w:spacing w:line="0" w:lineRule="atLeast"/>
              <w:rPr>
                <w:szCs w:val="21"/>
              </w:rPr>
            </w:pPr>
            <w:r>
              <w:rPr>
                <w:szCs w:val="21"/>
              </w:rPr>
              <w:t>总锰</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0.01ND</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0.01ND</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0.01ND</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0.01ND</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0.01ND</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0.01ND</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0.01ND</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0.01ND</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0.01ND</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sym w:font="UniversalMath1 BT" w:char="00A3"/>
            </w:r>
            <w:r>
              <w:rPr>
                <w:rFonts w:eastAsiaTheme="minorEastAsia"/>
                <w:szCs w:val="21"/>
              </w:rPr>
              <w:t>0.1</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8"/>
              <w:spacing w:line="0" w:lineRule="atLeast"/>
              <w:rPr>
                <w:szCs w:val="21"/>
              </w:rPr>
            </w:pPr>
            <w:r>
              <w:rPr>
                <w:szCs w:val="21"/>
              </w:rPr>
              <w:t>总镉</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0.001ND</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0.001ND</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0.001ND</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0.001ND</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0.001ND</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0.001ND</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0.001ND</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0.001ND</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0.001ND</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sym w:font="UniversalMath1 BT" w:char="00A3"/>
            </w:r>
            <w:r>
              <w:rPr>
                <w:rFonts w:eastAsiaTheme="minorEastAsia"/>
                <w:szCs w:val="21"/>
              </w:rPr>
              <w:t>0.005</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0" w:lineRule="atLeast"/>
              <w:jc w:val="center"/>
              <w:rPr>
                <w:szCs w:val="21"/>
              </w:rPr>
            </w:pPr>
            <w:r>
              <w:rPr>
                <w:rFonts w:hAnsi="宋体"/>
                <w:bCs/>
                <w:szCs w:val="21"/>
              </w:rPr>
              <w:t>总铅</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w:t>
            </w:r>
            <w:r>
              <w:rPr>
                <w:rFonts w:hint="eastAsia"/>
                <w:bCs/>
                <w:szCs w:val="21"/>
              </w:rPr>
              <w:t>1</w:t>
            </w:r>
            <w:r>
              <w:rPr>
                <w:bCs/>
                <w:szCs w:val="21"/>
              </w:rPr>
              <w:t>ND</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w:t>
            </w:r>
            <w:r>
              <w:rPr>
                <w:rFonts w:hint="eastAsia"/>
                <w:bCs/>
                <w:szCs w:val="21"/>
              </w:rPr>
              <w:t>1</w:t>
            </w:r>
            <w:r>
              <w:rPr>
                <w:bCs/>
                <w:szCs w:val="21"/>
              </w:rPr>
              <w:t>ND</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w:t>
            </w:r>
            <w:r>
              <w:rPr>
                <w:rFonts w:hint="eastAsia"/>
                <w:bCs/>
                <w:szCs w:val="21"/>
              </w:rPr>
              <w:t>1</w:t>
            </w:r>
            <w:r>
              <w:rPr>
                <w:bCs/>
                <w:szCs w:val="21"/>
              </w:rPr>
              <w:t>ND</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w:t>
            </w:r>
            <w:r>
              <w:rPr>
                <w:rFonts w:hint="eastAsia"/>
                <w:bCs/>
                <w:szCs w:val="21"/>
              </w:rPr>
              <w:t>1</w:t>
            </w:r>
            <w:r>
              <w:rPr>
                <w:bCs/>
                <w:szCs w:val="21"/>
              </w:rPr>
              <w:t>ND</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w:t>
            </w:r>
            <w:r>
              <w:rPr>
                <w:rFonts w:hint="eastAsia"/>
                <w:bCs/>
                <w:szCs w:val="21"/>
              </w:rPr>
              <w:t>1</w:t>
            </w:r>
            <w:r>
              <w:rPr>
                <w:bCs/>
                <w:szCs w:val="21"/>
              </w:rPr>
              <w:t>ND</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w:t>
            </w:r>
            <w:r>
              <w:rPr>
                <w:rFonts w:hint="eastAsia"/>
                <w:bCs/>
                <w:szCs w:val="21"/>
              </w:rPr>
              <w:t>1</w:t>
            </w:r>
            <w:r>
              <w:rPr>
                <w:bCs/>
                <w:szCs w:val="21"/>
              </w:rPr>
              <w:t>ND</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w:t>
            </w:r>
            <w:r>
              <w:rPr>
                <w:rFonts w:hint="eastAsia"/>
                <w:bCs/>
                <w:szCs w:val="21"/>
              </w:rPr>
              <w:t>1</w:t>
            </w:r>
            <w:r>
              <w:rPr>
                <w:bCs/>
                <w:szCs w:val="21"/>
              </w:rPr>
              <w:t>ND</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w:t>
            </w:r>
            <w:r>
              <w:rPr>
                <w:rFonts w:hint="eastAsia"/>
                <w:bCs/>
                <w:szCs w:val="21"/>
              </w:rPr>
              <w:t>1</w:t>
            </w:r>
            <w:r>
              <w:rPr>
                <w:bCs/>
                <w:szCs w:val="21"/>
              </w:rPr>
              <w:t>ND</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w:t>
            </w:r>
            <w:r>
              <w:rPr>
                <w:rFonts w:hint="eastAsia"/>
                <w:bCs/>
                <w:szCs w:val="21"/>
              </w:rPr>
              <w:t>1</w:t>
            </w:r>
            <w:r>
              <w:rPr>
                <w:bCs/>
                <w:szCs w:val="21"/>
              </w:rPr>
              <w:t>ND</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sym w:font="UniversalMath1 BT" w:char="00A3"/>
            </w:r>
            <w:r>
              <w:rPr>
                <w:rFonts w:eastAsiaTheme="minorEastAsia"/>
                <w:szCs w:val="21"/>
              </w:rPr>
              <w:t>0.05</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8"/>
              <w:spacing w:line="240" w:lineRule="exact"/>
              <w:ind w:firstLineChars="50" w:firstLine="105"/>
              <w:rPr>
                <w:szCs w:val="21"/>
              </w:rPr>
            </w:pPr>
            <w:r>
              <w:rPr>
                <w:rFonts w:hAnsi="宋体"/>
                <w:szCs w:val="21"/>
              </w:rPr>
              <w:t>总铬</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0.032</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0.042</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0.043</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0.041</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0.047</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0.047</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0.039</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0.040</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0.042</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bCs/>
                <w:szCs w:val="21"/>
              </w:rPr>
            </w:pPr>
            <w:r>
              <w:rPr>
                <w:rFonts w:eastAsiaTheme="minorEastAsia"/>
                <w:bCs/>
                <w:szCs w:val="21"/>
              </w:rPr>
              <w:t>悬浮物</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20</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15</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22</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17</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20</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19</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18</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16</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21</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r>
      <w:tr w:rsidR="00C223F5">
        <w:trPr>
          <w:cantSplit/>
          <w:trHeight w:val="271"/>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硫化物</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0.005ND</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0.005ND</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0.005ND</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0.005ND</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0.005ND</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0.005ND</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0.005ND</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0.005ND</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bCs/>
                <w:szCs w:val="21"/>
              </w:rPr>
            </w:pPr>
            <w:r>
              <w:rPr>
                <w:bCs/>
                <w:szCs w:val="21"/>
              </w:rPr>
              <w:t>0.005ND</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sym w:font="UniversalMath1 BT" w:char="00A3"/>
            </w:r>
            <w:r>
              <w:rPr>
                <w:rFonts w:eastAsiaTheme="minorEastAsia"/>
                <w:szCs w:val="21"/>
              </w:rPr>
              <w:t>0.2</w:t>
            </w:r>
          </w:p>
        </w:tc>
      </w:tr>
      <w:tr w:rsidR="00C223F5">
        <w:trPr>
          <w:cantSplit/>
          <w:trHeight w:val="271"/>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石油类</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szCs w:val="21"/>
              </w:rPr>
            </w:pPr>
            <w:r>
              <w:rPr>
                <w:rFonts w:hint="eastAsia"/>
                <w:szCs w:val="21"/>
              </w:rPr>
              <w:t>0.02</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szCs w:val="21"/>
              </w:rPr>
            </w:pPr>
            <w:r>
              <w:rPr>
                <w:rFonts w:hint="eastAsia"/>
                <w:szCs w:val="21"/>
              </w:rPr>
              <w:t>0.02</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0.03</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szCs w:val="21"/>
              </w:rPr>
            </w:pPr>
            <w:r>
              <w:rPr>
                <w:rFonts w:hint="eastAsia"/>
                <w:szCs w:val="21"/>
              </w:rPr>
              <w:t>0.03</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szCs w:val="21"/>
              </w:rPr>
            </w:pPr>
            <w:r>
              <w:rPr>
                <w:rFonts w:hint="eastAsia"/>
                <w:szCs w:val="21"/>
              </w:rPr>
              <w:t>0.03</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0.02</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0.02</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0.02</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0.02</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hint="eastAsia"/>
                <w:szCs w:val="21"/>
              </w:rPr>
              <w:t>0</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sym w:font="UniversalMath1 BT" w:char="00A3"/>
            </w:r>
            <w:r>
              <w:rPr>
                <w:rFonts w:eastAsiaTheme="minorEastAsia"/>
                <w:szCs w:val="21"/>
              </w:rPr>
              <w:t>0.05</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水温（</w:t>
            </w:r>
            <w:r>
              <w:rPr>
                <w:rFonts w:eastAsiaTheme="minorEastAsia" w:hAnsiTheme="minorEastAsia"/>
                <w:szCs w:val="21"/>
              </w:rPr>
              <w:t>℃</w:t>
            </w:r>
            <w:r>
              <w:rPr>
                <w:rFonts w:eastAsiaTheme="minorEastAsia"/>
                <w:szCs w:val="21"/>
              </w:rPr>
              <w:t>）</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szCs w:val="21"/>
              </w:rPr>
            </w:pPr>
            <w:r>
              <w:rPr>
                <w:szCs w:val="21"/>
              </w:rPr>
              <w:t>3</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szCs w:val="21"/>
              </w:rPr>
            </w:pPr>
            <w:r>
              <w:rPr>
                <w:szCs w:val="21"/>
              </w:rPr>
              <w:t>3</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szCs w:val="21"/>
              </w:rPr>
            </w:pPr>
            <w:r>
              <w:rPr>
                <w:szCs w:val="21"/>
              </w:rPr>
              <w:t>3</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szCs w:val="21"/>
              </w:rPr>
            </w:pPr>
            <w:r>
              <w:rPr>
                <w:szCs w:val="21"/>
              </w:rPr>
              <w:t>3</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szCs w:val="21"/>
              </w:rPr>
            </w:pPr>
            <w:r>
              <w:rPr>
                <w:szCs w:val="21"/>
              </w:rPr>
              <w:t>3</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szCs w:val="21"/>
              </w:rPr>
            </w:pPr>
            <w:r>
              <w:rPr>
                <w:szCs w:val="21"/>
              </w:rPr>
              <w:t>4</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szCs w:val="21"/>
              </w:rPr>
            </w:pPr>
            <w:r>
              <w:rPr>
                <w:szCs w:val="21"/>
              </w:rPr>
              <w:t>4</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szCs w:val="21"/>
              </w:rPr>
            </w:pPr>
            <w:r>
              <w:rPr>
                <w:szCs w:val="21"/>
              </w:rPr>
              <w:t>4</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spacing w:line="240" w:lineRule="exact"/>
              <w:jc w:val="center"/>
              <w:rPr>
                <w:szCs w:val="21"/>
              </w:rPr>
            </w:pPr>
            <w:r>
              <w:rPr>
                <w:szCs w:val="21"/>
              </w:rPr>
              <w:t>3</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8"/>
              <w:rPr>
                <w:rFonts w:eastAsiaTheme="minorEastAsia"/>
                <w:b w:val="0"/>
                <w:bCs w:val="0"/>
                <w:szCs w:val="21"/>
              </w:rPr>
            </w:pPr>
            <w:r>
              <w:rPr>
                <w:rFonts w:eastAsiaTheme="minorEastAsia"/>
                <w:b w:val="0"/>
                <w:bCs w:val="0"/>
                <w:szCs w:val="21"/>
              </w:rPr>
              <w:t>河宽</w:t>
            </w:r>
            <w:r>
              <w:rPr>
                <w:rFonts w:eastAsiaTheme="minorEastAsia"/>
                <w:b w:val="0"/>
                <w:szCs w:val="21"/>
              </w:rPr>
              <w:t>（</w:t>
            </w:r>
            <w:r>
              <w:rPr>
                <w:rFonts w:eastAsiaTheme="minorEastAsia"/>
                <w:b w:val="0"/>
                <w:szCs w:val="21"/>
              </w:rPr>
              <w:t>m</w:t>
            </w:r>
            <w:r>
              <w:rPr>
                <w:rFonts w:eastAsiaTheme="minorEastAsia"/>
                <w:b w:val="0"/>
                <w:szCs w:val="21"/>
              </w:rPr>
              <w:t>）</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10</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10</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10</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10</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10</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10</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22</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22</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22</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8"/>
              <w:rPr>
                <w:rFonts w:eastAsiaTheme="minorEastAsia"/>
                <w:b w:val="0"/>
                <w:bCs w:val="0"/>
                <w:szCs w:val="21"/>
              </w:rPr>
            </w:pPr>
            <w:r>
              <w:rPr>
                <w:rFonts w:eastAsiaTheme="minorEastAsia"/>
                <w:b w:val="0"/>
                <w:bCs w:val="0"/>
                <w:szCs w:val="21"/>
              </w:rPr>
              <w:t>水深</w:t>
            </w:r>
            <w:r>
              <w:rPr>
                <w:rFonts w:eastAsiaTheme="minorEastAsia"/>
                <w:b w:val="0"/>
                <w:szCs w:val="21"/>
              </w:rPr>
              <w:t>（</w:t>
            </w:r>
            <w:r>
              <w:rPr>
                <w:rFonts w:eastAsiaTheme="minorEastAsia"/>
                <w:b w:val="0"/>
                <w:szCs w:val="21"/>
              </w:rPr>
              <w:t>m</w:t>
            </w:r>
            <w:r>
              <w:rPr>
                <w:rFonts w:eastAsiaTheme="minorEastAsia"/>
                <w:b w:val="0"/>
                <w:szCs w:val="21"/>
              </w:rPr>
              <w:t>）</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0.4</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0.4</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0.4</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0.5</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0.5</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0.5</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0.5</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0.5</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0.5</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8"/>
              <w:rPr>
                <w:rFonts w:eastAsiaTheme="minorEastAsia"/>
                <w:b w:val="0"/>
                <w:bCs w:val="0"/>
                <w:szCs w:val="21"/>
              </w:rPr>
            </w:pPr>
            <w:r>
              <w:rPr>
                <w:rFonts w:eastAsiaTheme="minorEastAsia"/>
                <w:b w:val="0"/>
                <w:bCs w:val="0"/>
                <w:szCs w:val="21"/>
              </w:rPr>
              <w:t>流速</w:t>
            </w:r>
            <w:r>
              <w:rPr>
                <w:rFonts w:eastAsiaTheme="minorEastAsia"/>
                <w:b w:val="0"/>
                <w:szCs w:val="21"/>
              </w:rPr>
              <w:t>（</w:t>
            </w:r>
            <w:r>
              <w:rPr>
                <w:rFonts w:eastAsiaTheme="minorEastAsia"/>
                <w:b w:val="0"/>
                <w:szCs w:val="21"/>
              </w:rPr>
              <w:t>m/s</w:t>
            </w:r>
            <w:r>
              <w:rPr>
                <w:rFonts w:eastAsiaTheme="minorEastAsia"/>
                <w:b w:val="0"/>
                <w:szCs w:val="21"/>
              </w:rPr>
              <w:t>）</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szCs w:val="21"/>
              </w:rPr>
              <w:t>2.14</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szCs w:val="21"/>
              </w:rPr>
              <w:t>2.13</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szCs w:val="21"/>
              </w:rPr>
              <w:t>2.14</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szCs w:val="21"/>
              </w:rPr>
              <w:t>2.17</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szCs w:val="21"/>
              </w:rPr>
              <w:t>2.18</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szCs w:val="21"/>
              </w:rPr>
              <w:t>2.16</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2.07</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2.08</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2.09</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r>
      <w:tr w:rsidR="00C223F5">
        <w:trPr>
          <w:cantSplit/>
          <w:trHeight w:val="254"/>
          <w:jc w:val="center"/>
        </w:trPr>
        <w:tc>
          <w:tcPr>
            <w:tcW w:w="131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8"/>
              <w:rPr>
                <w:rFonts w:eastAsiaTheme="minorEastAsia"/>
                <w:b w:val="0"/>
                <w:bCs w:val="0"/>
                <w:szCs w:val="21"/>
              </w:rPr>
            </w:pPr>
            <w:r>
              <w:rPr>
                <w:rFonts w:eastAsiaTheme="minorEastAsia"/>
                <w:b w:val="0"/>
                <w:bCs w:val="0"/>
                <w:szCs w:val="21"/>
              </w:rPr>
              <w:t>流量</w:t>
            </w:r>
            <w:r>
              <w:rPr>
                <w:rFonts w:eastAsiaTheme="minorEastAsia"/>
                <w:b w:val="0"/>
                <w:szCs w:val="21"/>
              </w:rPr>
              <w:t>（</w:t>
            </w:r>
            <w:r>
              <w:rPr>
                <w:rFonts w:eastAsiaTheme="minorEastAsia"/>
                <w:b w:val="0"/>
                <w:szCs w:val="21"/>
              </w:rPr>
              <w:t>m</w:t>
            </w:r>
            <w:r>
              <w:rPr>
                <w:rFonts w:eastAsiaTheme="minorEastAsia"/>
                <w:b w:val="0"/>
                <w:szCs w:val="21"/>
                <w:vertAlign w:val="superscript"/>
              </w:rPr>
              <w:t>3</w:t>
            </w:r>
            <w:r>
              <w:rPr>
                <w:rFonts w:eastAsiaTheme="minorEastAsia"/>
                <w:b w:val="0"/>
                <w:szCs w:val="21"/>
              </w:rPr>
              <w:t>/s</w:t>
            </w:r>
            <w:r>
              <w:rPr>
                <w:rFonts w:eastAsiaTheme="minorEastAsia"/>
                <w:b w:val="0"/>
                <w:szCs w:val="21"/>
              </w:rPr>
              <w:t>）</w:t>
            </w:r>
          </w:p>
        </w:tc>
        <w:tc>
          <w:tcPr>
            <w:tcW w:w="1116"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szCs w:val="21"/>
              </w:rPr>
              <w:t>8.56</w:t>
            </w:r>
          </w:p>
        </w:tc>
        <w:tc>
          <w:tcPr>
            <w:tcW w:w="121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szCs w:val="21"/>
              </w:rPr>
              <w:t>8.52</w:t>
            </w:r>
          </w:p>
        </w:tc>
        <w:tc>
          <w:tcPr>
            <w:tcW w:w="109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szCs w:val="21"/>
              </w:rPr>
              <w:t>8.56</w:t>
            </w:r>
          </w:p>
        </w:tc>
        <w:tc>
          <w:tcPr>
            <w:tcW w:w="56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10.85</w:t>
            </w:r>
          </w:p>
        </w:tc>
        <w:tc>
          <w:tcPr>
            <w:tcW w:w="116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10.9</w:t>
            </w:r>
          </w:p>
        </w:tc>
        <w:tc>
          <w:tcPr>
            <w:tcW w:w="1177"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10.8</w:t>
            </w:r>
          </w:p>
        </w:tc>
        <w:tc>
          <w:tcPr>
            <w:tcW w:w="59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1119"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22.77</w:t>
            </w:r>
          </w:p>
        </w:tc>
        <w:tc>
          <w:tcPr>
            <w:tcW w:w="1196"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22.88</w:t>
            </w:r>
          </w:p>
        </w:tc>
        <w:tc>
          <w:tcPr>
            <w:tcW w:w="1080"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bCs/>
                <w:szCs w:val="21"/>
              </w:rPr>
            </w:pPr>
            <w:r>
              <w:rPr>
                <w:bCs/>
                <w:szCs w:val="21"/>
              </w:rPr>
              <w:t>22.99</w:t>
            </w:r>
          </w:p>
        </w:tc>
        <w:tc>
          <w:tcPr>
            <w:tcW w:w="632"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c>
          <w:tcPr>
            <w:tcW w:w="951" w:type="dxa"/>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w:t>
            </w:r>
          </w:p>
        </w:tc>
      </w:tr>
      <w:tr w:rsidR="00C223F5">
        <w:trPr>
          <w:cantSplit/>
          <w:trHeight w:val="271"/>
          <w:jc w:val="center"/>
        </w:trPr>
        <w:tc>
          <w:tcPr>
            <w:tcW w:w="14344" w:type="dxa"/>
            <w:gridSpan w:val="14"/>
            <w:tcBorders>
              <w:top w:val="single" w:sz="4" w:space="0" w:color="auto"/>
              <w:left w:val="single" w:sz="4" w:space="0" w:color="auto"/>
              <w:bottom w:val="single" w:sz="4" w:space="0" w:color="auto"/>
              <w:right w:val="single" w:sz="4" w:space="0" w:color="auto"/>
            </w:tcBorders>
            <w:vAlign w:val="center"/>
          </w:tcPr>
          <w:p w:rsidR="00C223F5" w:rsidRDefault="005860D5">
            <w:pPr>
              <w:jc w:val="center"/>
              <w:rPr>
                <w:rFonts w:eastAsiaTheme="minorEastAsia"/>
                <w:szCs w:val="21"/>
              </w:rPr>
            </w:pPr>
            <w:r>
              <w:rPr>
                <w:rFonts w:eastAsiaTheme="minorEastAsia"/>
                <w:szCs w:val="21"/>
              </w:rPr>
              <w:t>单位：</w:t>
            </w:r>
            <w:r>
              <w:rPr>
                <w:rFonts w:eastAsiaTheme="minorEastAsia"/>
                <w:szCs w:val="21"/>
              </w:rPr>
              <w:t>pH</w:t>
            </w:r>
            <w:r>
              <w:rPr>
                <w:rFonts w:eastAsiaTheme="minorEastAsia"/>
                <w:szCs w:val="21"/>
              </w:rPr>
              <w:t>无量纲，其余均为</w:t>
            </w:r>
            <w:r>
              <w:rPr>
                <w:rFonts w:eastAsiaTheme="minorEastAsia"/>
                <w:szCs w:val="21"/>
              </w:rPr>
              <w:t>mg/L</w:t>
            </w:r>
            <w:r>
              <w:rPr>
                <w:rFonts w:eastAsiaTheme="minorEastAsia"/>
                <w:szCs w:val="21"/>
              </w:rPr>
              <w:t>，未检出用最低检出限</w:t>
            </w:r>
            <w:r>
              <w:rPr>
                <w:rFonts w:eastAsiaTheme="minorEastAsia"/>
                <w:szCs w:val="21"/>
              </w:rPr>
              <w:t>ND</w:t>
            </w:r>
            <w:r>
              <w:rPr>
                <w:rFonts w:eastAsiaTheme="minorEastAsia"/>
                <w:szCs w:val="21"/>
              </w:rPr>
              <w:t>表示。</w:t>
            </w:r>
          </w:p>
        </w:tc>
      </w:tr>
    </w:tbl>
    <w:p w:rsidR="00C223F5" w:rsidRDefault="00C223F5">
      <w:pPr>
        <w:spacing w:line="360" w:lineRule="auto"/>
        <w:ind w:firstLineChars="200" w:firstLine="480"/>
        <w:rPr>
          <w:color w:val="FF0000"/>
          <w:sz w:val="24"/>
        </w:rPr>
        <w:sectPr w:rsidR="00C223F5">
          <w:pgSz w:w="16840" w:h="11907" w:orient="landscape"/>
          <w:pgMar w:top="1701" w:right="1440" w:bottom="1701" w:left="1440" w:header="851" w:footer="992" w:gutter="0"/>
          <w:cols w:space="425"/>
          <w:docGrid w:linePitch="312"/>
        </w:sectPr>
      </w:pPr>
      <w:bookmarkStart w:id="330" w:name="_Toc485719485"/>
    </w:p>
    <w:bookmarkEnd w:id="330"/>
    <w:p w:rsidR="00C223F5" w:rsidRDefault="005860D5">
      <w:pPr>
        <w:tabs>
          <w:tab w:val="left" w:pos="2552"/>
          <w:tab w:val="left" w:pos="5387"/>
        </w:tabs>
        <w:spacing w:line="360" w:lineRule="auto"/>
        <w:ind w:firstLineChars="200" w:firstLine="480"/>
        <w:rPr>
          <w:sz w:val="24"/>
        </w:rPr>
      </w:pPr>
      <w:r>
        <w:rPr>
          <w:sz w:val="24"/>
        </w:rPr>
        <w:lastRenderedPageBreak/>
        <w:t>（</w:t>
      </w:r>
      <w:r>
        <w:rPr>
          <w:sz w:val="24"/>
        </w:rPr>
        <w:t>2</w:t>
      </w:r>
      <w:r>
        <w:rPr>
          <w:sz w:val="24"/>
        </w:rPr>
        <w:t>）监测项目、频率及方法</w:t>
      </w:r>
    </w:p>
    <w:p w:rsidR="00C223F5" w:rsidRDefault="005860D5">
      <w:pPr>
        <w:spacing w:line="360" w:lineRule="auto"/>
        <w:ind w:firstLineChars="200" w:firstLine="480"/>
        <w:rPr>
          <w:sz w:val="24"/>
        </w:rPr>
      </w:pPr>
      <w:r>
        <w:rPr>
          <w:sz w:val="24"/>
        </w:rPr>
        <w:t>监测项目：监测其等效声级。</w:t>
      </w:r>
    </w:p>
    <w:p w:rsidR="00C223F5" w:rsidRDefault="005860D5">
      <w:pPr>
        <w:tabs>
          <w:tab w:val="left" w:pos="2552"/>
          <w:tab w:val="left" w:pos="5387"/>
        </w:tabs>
        <w:spacing w:line="360" w:lineRule="auto"/>
        <w:ind w:firstLineChars="200" w:firstLine="480"/>
        <w:rPr>
          <w:sz w:val="24"/>
        </w:rPr>
      </w:pPr>
      <w:r>
        <w:rPr>
          <w:sz w:val="24"/>
        </w:rPr>
        <w:t>监测频率：一期</w:t>
      </w:r>
      <w:r>
        <w:rPr>
          <w:rFonts w:hint="eastAsia"/>
          <w:sz w:val="24"/>
        </w:rPr>
        <w:t>1</w:t>
      </w:r>
      <w:r>
        <w:rPr>
          <w:sz w:val="24"/>
        </w:rPr>
        <w:t>天，昼间、夜间各</w:t>
      </w:r>
      <w:r>
        <w:rPr>
          <w:sz w:val="24"/>
        </w:rPr>
        <w:t>1</w:t>
      </w:r>
      <w:r>
        <w:rPr>
          <w:sz w:val="24"/>
        </w:rPr>
        <w:t>次。</w:t>
      </w:r>
    </w:p>
    <w:p w:rsidR="00C223F5" w:rsidRDefault="005860D5">
      <w:pPr>
        <w:tabs>
          <w:tab w:val="left" w:pos="2552"/>
          <w:tab w:val="left" w:pos="5387"/>
        </w:tabs>
        <w:spacing w:line="360" w:lineRule="auto"/>
        <w:ind w:firstLineChars="200" w:firstLine="480"/>
        <w:rPr>
          <w:sz w:val="24"/>
        </w:rPr>
      </w:pPr>
      <w:r>
        <w:rPr>
          <w:sz w:val="24"/>
        </w:rPr>
        <w:t>监测方法：依据《声环境质量标准》中有关规定进行</w:t>
      </w:r>
    </w:p>
    <w:p w:rsidR="00C223F5" w:rsidRDefault="005860D5">
      <w:pPr>
        <w:tabs>
          <w:tab w:val="left" w:pos="2552"/>
          <w:tab w:val="left" w:pos="5387"/>
        </w:tabs>
        <w:spacing w:line="360" w:lineRule="auto"/>
        <w:ind w:firstLineChars="200" w:firstLine="480"/>
        <w:rPr>
          <w:sz w:val="24"/>
        </w:rPr>
      </w:pPr>
      <w:r>
        <w:rPr>
          <w:sz w:val="24"/>
        </w:rPr>
        <w:t>（</w:t>
      </w:r>
      <w:r>
        <w:rPr>
          <w:sz w:val="24"/>
        </w:rPr>
        <w:t>3</w:t>
      </w:r>
      <w:r>
        <w:rPr>
          <w:sz w:val="24"/>
        </w:rPr>
        <w:t>）监测结果</w:t>
      </w:r>
    </w:p>
    <w:p w:rsidR="00C223F5" w:rsidRDefault="005860D5">
      <w:pPr>
        <w:tabs>
          <w:tab w:val="left" w:pos="2552"/>
          <w:tab w:val="left" w:pos="5387"/>
        </w:tabs>
        <w:spacing w:line="360" w:lineRule="auto"/>
        <w:ind w:firstLineChars="200" w:firstLine="480"/>
        <w:rPr>
          <w:sz w:val="24"/>
        </w:rPr>
      </w:pPr>
      <w:r>
        <w:rPr>
          <w:sz w:val="24"/>
        </w:rPr>
        <w:t>监测结果见表</w:t>
      </w:r>
      <w:r>
        <w:rPr>
          <w:sz w:val="24"/>
        </w:rPr>
        <w:t>3.</w:t>
      </w:r>
      <w:r>
        <w:rPr>
          <w:rFonts w:hint="eastAsia"/>
          <w:sz w:val="24"/>
        </w:rPr>
        <w:t>3</w:t>
      </w:r>
      <w:r>
        <w:rPr>
          <w:sz w:val="24"/>
        </w:rPr>
        <w:t>.4-1</w:t>
      </w:r>
      <w:r>
        <w:rPr>
          <w:sz w:val="24"/>
        </w:rPr>
        <w:t>。</w:t>
      </w:r>
    </w:p>
    <w:p w:rsidR="00C223F5" w:rsidRDefault="005860D5">
      <w:pPr>
        <w:jc w:val="center"/>
        <w:rPr>
          <w:b/>
          <w:sz w:val="24"/>
        </w:rPr>
      </w:pPr>
      <w:r>
        <w:rPr>
          <w:b/>
          <w:sz w:val="24"/>
        </w:rPr>
        <w:t>表</w:t>
      </w:r>
      <w:r>
        <w:rPr>
          <w:b/>
          <w:sz w:val="24"/>
        </w:rPr>
        <w:t>3.</w:t>
      </w:r>
      <w:r>
        <w:rPr>
          <w:rFonts w:hint="eastAsia"/>
          <w:b/>
          <w:sz w:val="24"/>
        </w:rPr>
        <w:t>3</w:t>
      </w:r>
      <w:r>
        <w:rPr>
          <w:b/>
          <w:sz w:val="24"/>
        </w:rPr>
        <w:t xml:space="preserve">.4-1   </w:t>
      </w:r>
      <w:r>
        <w:rPr>
          <w:b/>
          <w:sz w:val="24"/>
        </w:rPr>
        <w:t>环境噪声现状监测结果</w:t>
      </w:r>
      <w:r>
        <w:rPr>
          <w:rFonts w:hint="eastAsia"/>
          <w:b/>
          <w:sz w:val="24"/>
        </w:rPr>
        <w:t xml:space="preserve">  </w:t>
      </w:r>
      <w:r>
        <w:rPr>
          <w:rFonts w:hint="eastAsia"/>
          <w:b/>
          <w:sz w:val="24"/>
        </w:rPr>
        <w:t>单位：</w:t>
      </w:r>
      <w:r>
        <w:rPr>
          <w:b/>
          <w:sz w:val="24"/>
        </w:rPr>
        <w:t>dB(A)</w:t>
      </w:r>
    </w:p>
    <w:tbl>
      <w:tblPr>
        <w:tblW w:w="7928" w:type="dxa"/>
        <w:jc w:val="center"/>
        <w:tblLayout w:type="fixed"/>
        <w:tblCellMar>
          <w:left w:w="6" w:type="dxa"/>
          <w:right w:w="6" w:type="dxa"/>
        </w:tblCellMar>
        <w:tblLook w:val="04A0" w:firstRow="1" w:lastRow="0" w:firstColumn="1" w:lastColumn="0" w:noHBand="0" w:noVBand="1"/>
      </w:tblPr>
      <w:tblGrid>
        <w:gridCol w:w="616"/>
        <w:gridCol w:w="2061"/>
        <w:gridCol w:w="2599"/>
        <w:gridCol w:w="2652"/>
      </w:tblGrid>
      <w:tr w:rsidR="00C223F5">
        <w:trPr>
          <w:trHeight w:val="70"/>
          <w:jc w:val="center"/>
        </w:trPr>
        <w:tc>
          <w:tcPr>
            <w:tcW w:w="616" w:type="dxa"/>
            <w:vMerge w:val="restart"/>
            <w:tcBorders>
              <w:top w:val="single" w:sz="4" w:space="0" w:color="auto"/>
              <w:left w:val="single" w:sz="4" w:space="0" w:color="auto"/>
              <w:right w:val="single" w:sz="4" w:space="0" w:color="auto"/>
            </w:tcBorders>
            <w:vAlign w:val="center"/>
          </w:tcPr>
          <w:p w:rsidR="00C223F5" w:rsidRDefault="005860D5" w:rsidP="005778BE">
            <w:pPr>
              <w:spacing w:line="320" w:lineRule="exact"/>
              <w:jc w:val="center"/>
              <w:rPr>
                <w:kern w:val="0"/>
                <w:szCs w:val="21"/>
              </w:rPr>
            </w:pPr>
            <w:r>
              <w:rPr>
                <w:kern w:val="0"/>
                <w:szCs w:val="21"/>
              </w:rPr>
              <w:t>编号</w:t>
            </w:r>
          </w:p>
        </w:tc>
        <w:tc>
          <w:tcPr>
            <w:tcW w:w="2061" w:type="dxa"/>
            <w:vMerge w:val="restart"/>
            <w:tcBorders>
              <w:top w:val="single" w:sz="4" w:space="0" w:color="auto"/>
              <w:left w:val="single" w:sz="4" w:space="0" w:color="auto"/>
              <w:right w:val="single" w:sz="4" w:space="0" w:color="auto"/>
            </w:tcBorders>
            <w:vAlign w:val="center"/>
          </w:tcPr>
          <w:p w:rsidR="00C223F5" w:rsidRDefault="005860D5" w:rsidP="005778BE">
            <w:pPr>
              <w:spacing w:line="320" w:lineRule="exact"/>
              <w:jc w:val="center"/>
              <w:rPr>
                <w:kern w:val="0"/>
                <w:szCs w:val="21"/>
              </w:rPr>
            </w:pPr>
            <w:r>
              <w:rPr>
                <w:kern w:val="0"/>
                <w:szCs w:val="21"/>
              </w:rPr>
              <w:t>监测点位置</w:t>
            </w:r>
          </w:p>
        </w:tc>
        <w:tc>
          <w:tcPr>
            <w:tcW w:w="5251" w:type="dxa"/>
            <w:gridSpan w:val="2"/>
            <w:tcBorders>
              <w:top w:val="single" w:sz="4" w:space="0" w:color="auto"/>
              <w:left w:val="single" w:sz="4" w:space="0" w:color="auto"/>
              <w:right w:val="single" w:sz="4" w:space="0" w:color="auto"/>
            </w:tcBorders>
            <w:vAlign w:val="center"/>
          </w:tcPr>
          <w:p w:rsidR="00C223F5" w:rsidRDefault="005860D5" w:rsidP="005778BE">
            <w:pPr>
              <w:spacing w:line="320" w:lineRule="exact"/>
              <w:jc w:val="center"/>
              <w:rPr>
                <w:kern w:val="0"/>
                <w:szCs w:val="21"/>
              </w:rPr>
            </w:pPr>
            <w:r>
              <w:rPr>
                <w:szCs w:val="21"/>
              </w:rPr>
              <w:t>监测时间</w:t>
            </w:r>
          </w:p>
        </w:tc>
      </w:tr>
      <w:tr w:rsidR="00C223F5">
        <w:trPr>
          <w:trHeight w:val="270"/>
          <w:jc w:val="center"/>
        </w:trPr>
        <w:tc>
          <w:tcPr>
            <w:tcW w:w="616" w:type="dxa"/>
            <w:vMerge/>
            <w:tcBorders>
              <w:left w:val="single" w:sz="4" w:space="0" w:color="auto"/>
              <w:right w:val="single" w:sz="4" w:space="0" w:color="auto"/>
            </w:tcBorders>
            <w:vAlign w:val="center"/>
          </w:tcPr>
          <w:p w:rsidR="00C223F5" w:rsidRDefault="00C223F5" w:rsidP="005778BE">
            <w:pPr>
              <w:spacing w:line="320" w:lineRule="exact"/>
              <w:jc w:val="center"/>
              <w:rPr>
                <w:kern w:val="0"/>
                <w:szCs w:val="21"/>
              </w:rPr>
            </w:pPr>
          </w:p>
        </w:tc>
        <w:tc>
          <w:tcPr>
            <w:tcW w:w="2061" w:type="dxa"/>
            <w:vMerge/>
            <w:tcBorders>
              <w:left w:val="single" w:sz="4" w:space="0" w:color="auto"/>
              <w:right w:val="single" w:sz="4" w:space="0" w:color="auto"/>
            </w:tcBorders>
            <w:vAlign w:val="center"/>
          </w:tcPr>
          <w:p w:rsidR="00C223F5" w:rsidRDefault="00C223F5" w:rsidP="005778BE">
            <w:pPr>
              <w:spacing w:line="320" w:lineRule="exact"/>
              <w:jc w:val="center"/>
              <w:rPr>
                <w:kern w:val="0"/>
                <w:szCs w:val="21"/>
              </w:rPr>
            </w:pPr>
          </w:p>
        </w:tc>
        <w:tc>
          <w:tcPr>
            <w:tcW w:w="5251" w:type="dxa"/>
            <w:gridSpan w:val="2"/>
            <w:tcBorders>
              <w:top w:val="single" w:sz="4" w:space="0" w:color="auto"/>
              <w:left w:val="single" w:sz="4" w:space="0" w:color="auto"/>
              <w:bottom w:val="single" w:sz="4" w:space="0" w:color="auto"/>
              <w:right w:val="single" w:sz="4" w:space="0" w:color="auto"/>
            </w:tcBorders>
            <w:vAlign w:val="center"/>
          </w:tcPr>
          <w:p w:rsidR="00C223F5" w:rsidRDefault="005860D5" w:rsidP="005778BE">
            <w:pPr>
              <w:spacing w:line="320" w:lineRule="exact"/>
              <w:jc w:val="center"/>
              <w:rPr>
                <w:kern w:val="0"/>
                <w:szCs w:val="21"/>
              </w:rPr>
            </w:pPr>
            <w:r>
              <w:rPr>
                <w:kern w:val="0"/>
                <w:szCs w:val="21"/>
              </w:rPr>
              <w:t>2019.1.15</w:t>
            </w:r>
          </w:p>
        </w:tc>
      </w:tr>
      <w:tr w:rsidR="00C223F5">
        <w:trPr>
          <w:trHeight w:val="270"/>
          <w:jc w:val="center"/>
        </w:trPr>
        <w:tc>
          <w:tcPr>
            <w:tcW w:w="616" w:type="dxa"/>
            <w:vMerge/>
            <w:tcBorders>
              <w:left w:val="single" w:sz="4" w:space="0" w:color="auto"/>
              <w:bottom w:val="single" w:sz="4" w:space="0" w:color="auto"/>
              <w:right w:val="single" w:sz="4" w:space="0" w:color="auto"/>
            </w:tcBorders>
            <w:vAlign w:val="center"/>
          </w:tcPr>
          <w:p w:rsidR="00C223F5" w:rsidRDefault="00C223F5" w:rsidP="005778BE">
            <w:pPr>
              <w:spacing w:line="320" w:lineRule="exact"/>
              <w:jc w:val="center"/>
              <w:rPr>
                <w:kern w:val="0"/>
                <w:szCs w:val="21"/>
              </w:rPr>
            </w:pPr>
          </w:p>
        </w:tc>
        <w:tc>
          <w:tcPr>
            <w:tcW w:w="2061" w:type="dxa"/>
            <w:vMerge/>
            <w:tcBorders>
              <w:left w:val="single" w:sz="4" w:space="0" w:color="auto"/>
              <w:bottom w:val="single" w:sz="4" w:space="0" w:color="auto"/>
              <w:right w:val="single" w:sz="4" w:space="0" w:color="auto"/>
            </w:tcBorders>
            <w:vAlign w:val="center"/>
          </w:tcPr>
          <w:p w:rsidR="00C223F5" w:rsidRDefault="00C223F5" w:rsidP="005778BE">
            <w:pPr>
              <w:spacing w:line="320" w:lineRule="exact"/>
              <w:jc w:val="center"/>
              <w:rPr>
                <w:kern w:val="0"/>
                <w:szCs w:val="21"/>
              </w:rPr>
            </w:pPr>
          </w:p>
        </w:tc>
        <w:tc>
          <w:tcPr>
            <w:tcW w:w="2599" w:type="dxa"/>
            <w:tcBorders>
              <w:top w:val="single" w:sz="4" w:space="0" w:color="auto"/>
              <w:left w:val="single" w:sz="4" w:space="0" w:color="auto"/>
              <w:bottom w:val="single" w:sz="4" w:space="0" w:color="auto"/>
              <w:right w:val="single" w:sz="4" w:space="0" w:color="auto"/>
            </w:tcBorders>
            <w:vAlign w:val="center"/>
          </w:tcPr>
          <w:p w:rsidR="00C223F5" w:rsidRDefault="005860D5" w:rsidP="005778BE">
            <w:pPr>
              <w:spacing w:line="320" w:lineRule="exact"/>
              <w:jc w:val="center"/>
              <w:rPr>
                <w:kern w:val="0"/>
                <w:szCs w:val="21"/>
              </w:rPr>
            </w:pPr>
            <w:r>
              <w:rPr>
                <w:kern w:val="0"/>
                <w:szCs w:val="21"/>
              </w:rPr>
              <w:t>昼间</w:t>
            </w:r>
          </w:p>
        </w:tc>
        <w:tc>
          <w:tcPr>
            <w:tcW w:w="2652" w:type="dxa"/>
            <w:tcBorders>
              <w:top w:val="single" w:sz="4" w:space="0" w:color="auto"/>
              <w:left w:val="nil"/>
              <w:bottom w:val="single" w:sz="4" w:space="0" w:color="auto"/>
              <w:right w:val="single" w:sz="4" w:space="0" w:color="auto"/>
            </w:tcBorders>
            <w:vAlign w:val="center"/>
          </w:tcPr>
          <w:p w:rsidR="00C223F5" w:rsidRDefault="005860D5" w:rsidP="005778BE">
            <w:pPr>
              <w:spacing w:line="320" w:lineRule="exact"/>
              <w:jc w:val="center"/>
              <w:rPr>
                <w:kern w:val="0"/>
                <w:szCs w:val="21"/>
              </w:rPr>
            </w:pPr>
            <w:r>
              <w:rPr>
                <w:kern w:val="0"/>
                <w:szCs w:val="21"/>
              </w:rPr>
              <w:t>夜间</w:t>
            </w:r>
          </w:p>
        </w:tc>
      </w:tr>
      <w:tr w:rsidR="001B3C0C">
        <w:trPr>
          <w:trHeight w:val="270"/>
          <w:jc w:val="center"/>
        </w:trPr>
        <w:tc>
          <w:tcPr>
            <w:tcW w:w="616" w:type="dxa"/>
            <w:tcBorders>
              <w:top w:val="nil"/>
              <w:left w:val="single" w:sz="4" w:space="0" w:color="auto"/>
              <w:bottom w:val="single" w:sz="4" w:space="0" w:color="auto"/>
              <w:right w:val="single" w:sz="4" w:space="0" w:color="auto"/>
            </w:tcBorders>
            <w:vAlign w:val="center"/>
          </w:tcPr>
          <w:p w:rsidR="001B3C0C" w:rsidRDefault="001B3C0C" w:rsidP="005778BE">
            <w:pPr>
              <w:spacing w:line="320" w:lineRule="exact"/>
              <w:jc w:val="center"/>
              <w:rPr>
                <w:kern w:val="0"/>
                <w:szCs w:val="21"/>
              </w:rPr>
            </w:pPr>
            <w:r>
              <w:rPr>
                <w:kern w:val="0"/>
                <w:szCs w:val="21"/>
              </w:rPr>
              <w:t>1</w:t>
            </w:r>
          </w:p>
        </w:tc>
        <w:tc>
          <w:tcPr>
            <w:tcW w:w="2061"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kern w:val="0"/>
                <w:szCs w:val="21"/>
              </w:rPr>
            </w:pPr>
            <w:r>
              <w:rPr>
                <w:kern w:val="0"/>
                <w:szCs w:val="21"/>
              </w:rPr>
              <w:t>工业场地东厂界</w:t>
            </w:r>
          </w:p>
        </w:tc>
        <w:tc>
          <w:tcPr>
            <w:tcW w:w="2599"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color w:val="FF0000"/>
                <w:szCs w:val="21"/>
              </w:rPr>
            </w:pPr>
            <w:r>
              <w:rPr>
                <w:rFonts w:hint="eastAsia"/>
                <w:color w:val="FF0000"/>
                <w:szCs w:val="21"/>
              </w:rPr>
              <w:t>44</w:t>
            </w:r>
          </w:p>
        </w:tc>
        <w:tc>
          <w:tcPr>
            <w:tcW w:w="2652"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color w:val="FF0000"/>
                <w:szCs w:val="21"/>
              </w:rPr>
            </w:pPr>
            <w:r>
              <w:rPr>
                <w:rFonts w:hint="eastAsia"/>
                <w:color w:val="FF0000"/>
                <w:szCs w:val="21"/>
              </w:rPr>
              <w:t>39</w:t>
            </w:r>
          </w:p>
        </w:tc>
      </w:tr>
      <w:tr w:rsidR="001B3C0C">
        <w:trPr>
          <w:trHeight w:val="270"/>
          <w:jc w:val="center"/>
        </w:trPr>
        <w:tc>
          <w:tcPr>
            <w:tcW w:w="616" w:type="dxa"/>
            <w:tcBorders>
              <w:top w:val="nil"/>
              <w:left w:val="single" w:sz="4" w:space="0" w:color="auto"/>
              <w:bottom w:val="single" w:sz="4" w:space="0" w:color="auto"/>
              <w:right w:val="single" w:sz="4" w:space="0" w:color="auto"/>
            </w:tcBorders>
            <w:vAlign w:val="center"/>
          </w:tcPr>
          <w:p w:rsidR="001B3C0C" w:rsidRDefault="001B3C0C" w:rsidP="005778BE">
            <w:pPr>
              <w:spacing w:line="320" w:lineRule="exact"/>
              <w:jc w:val="center"/>
              <w:rPr>
                <w:kern w:val="0"/>
                <w:szCs w:val="21"/>
              </w:rPr>
            </w:pPr>
            <w:r>
              <w:rPr>
                <w:kern w:val="0"/>
                <w:szCs w:val="21"/>
              </w:rPr>
              <w:t>2</w:t>
            </w:r>
          </w:p>
        </w:tc>
        <w:tc>
          <w:tcPr>
            <w:tcW w:w="2061"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kern w:val="0"/>
                <w:szCs w:val="21"/>
              </w:rPr>
            </w:pPr>
            <w:r>
              <w:rPr>
                <w:kern w:val="0"/>
                <w:szCs w:val="21"/>
              </w:rPr>
              <w:t>工业场地西厂界</w:t>
            </w:r>
          </w:p>
        </w:tc>
        <w:tc>
          <w:tcPr>
            <w:tcW w:w="2599"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color w:val="FF0000"/>
                <w:szCs w:val="21"/>
              </w:rPr>
            </w:pPr>
            <w:r>
              <w:rPr>
                <w:color w:val="FF0000"/>
                <w:szCs w:val="21"/>
              </w:rPr>
              <w:t>44</w:t>
            </w:r>
          </w:p>
        </w:tc>
        <w:tc>
          <w:tcPr>
            <w:tcW w:w="2652"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color w:val="FF0000"/>
                <w:szCs w:val="21"/>
              </w:rPr>
            </w:pPr>
            <w:r>
              <w:rPr>
                <w:rFonts w:hint="eastAsia"/>
                <w:color w:val="FF0000"/>
                <w:szCs w:val="21"/>
              </w:rPr>
              <w:t>40</w:t>
            </w:r>
          </w:p>
        </w:tc>
      </w:tr>
      <w:tr w:rsidR="001B3C0C">
        <w:trPr>
          <w:trHeight w:val="270"/>
          <w:jc w:val="center"/>
        </w:trPr>
        <w:tc>
          <w:tcPr>
            <w:tcW w:w="616" w:type="dxa"/>
            <w:tcBorders>
              <w:top w:val="nil"/>
              <w:left w:val="single" w:sz="4" w:space="0" w:color="auto"/>
              <w:bottom w:val="single" w:sz="4" w:space="0" w:color="auto"/>
              <w:right w:val="single" w:sz="4" w:space="0" w:color="auto"/>
            </w:tcBorders>
            <w:vAlign w:val="center"/>
          </w:tcPr>
          <w:p w:rsidR="001B3C0C" w:rsidRDefault="001B3C0C" w:rsidP="005778BE">
            <w:pPr>
              <w:spacing w:line="320" w:lineRule="exact"/>
              <w:jc w:val="center"/>
              <w:rPr>
                <w:kern w:val="0"/>
                <w:szCs w:val="21"/>
              </w:rPr>
            </w:pPr>
            <w:r>
              <w:rPr>
                <w:kern w:val="0"/>
                <w:szCs w:val="21"/>
              </w:rPr>
              <w:t>3</w:t>
            </w:r>
          </w:p>
        </w:tc>
        <w:tc>
          <w:tcPr>
            <w:tcW w:w="2061"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kern w:val="0"/>
                <w:szCs w:val="21"/>
              </w:rPr>
            </w:pPr>
            <w:r>
              <w:rPr>
                <w:kern w:val="0"/>
                <w:szCs w:val="21"/>
              </w:rPr>
              <w:t>工业场地南厂界</w:t>
            </w:r>
          </w:p>
        </w:tc>
        <w:tc>
          <w:tcPr>
            <w:tcW w:w="2599"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color w:val="FF0000"/>
                <w:szCs w:val="21"/>
              </w:rPr>
            </w:pPr>
            <w:r>
              <w:rPr>
                <w:color w:val="FF0000"/>
                <w:szCs w:val="21"/>
              </w:rPr>
              <w:t>45</w:t>
            </w:r>
          </w:p>
        </w:tc>
        <w:tc>
          <w:tcPr>
            <w:tcW w:w="2652"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color w:val="FF0000"/>
                <w:szCs w:val="21"/>
              </w:rPr>
            </w:pPr>
            <w:r>
              <w:rPr>
                <w:color w:val="FF0000"/>
                <w:szCs w:val="21"/>
              </w:rPr>
              <w:t>4</w:t>
            </w:r>
            <w:r>
              <w:rPr>
                <w:rFonts w:hint="eastAsia"/>
                <w:color w:val="FF0000"/>
                <w:szCs w:val="21"/>
              </w:rPr>
              <w:t>2</w:t>
            </w:r>
          </w:p>
        </w:tc>
      </w:tr>
      <w:tr w:rsidR="001B3C0C">
        <w:trPr>
          <w:trHeight w:val="270"/>
          <w:jc w:val="center"/>
        </w:trPr>
        <w:tc>
          <w:tcPr>
            <w:tcW w:w="616" w:type="dxa"/>
            <w:tcBorders>
              <w:top w:val="nil"/>
              <w:left w:val="single" w:sz="4" w:space="0" w:color="auto"/>
              <w:bottom w:val="single" w:sz="4" w:space="0" w:color="auto"/>
              <w:right w:val="single" w:sz="4" w:space="0" w:color="auto"/>
            </w:tcBorders>
            <w:vAlign w:val="center"/>
          </w:tcPr>
          <w:p w:rsidR="001B3C0C" w:rsidRDefault="001B3C0C" w:rsidP="005778BE">
            <w:pPr>
              <w:spacing w:line="320" w:lineRule="exact"/>
              <w:jc w:val="center"/>
              <w:rPr>
                <w:kern w:val="0"/>
                <w:szCs w:val="21"/>
              </w:rPr>
            </w:pPr>
            <w:r>
              <w:rPr>
                <w:kern w:val="0"/>
                <w:szCs w:val="21"/>
              </w:rPr>
              <w:t>4</w:t>
            </w:r>
          </w:p>
        </w:tc>
        <w:tc>
          <w:tcPr>
            <w:tcW w:w="2061"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kern w:val="0"/>
                <w:szCs w:val="21"/>
              </w:rPr>
            </w:pPr>
            <w:r>
              <w:rPr>
                <w:kern w:val="0"/>
                <w:szCs w:val="21"/>
              </w:rPr>
              <w:t>工业场地北厂界</w:t>
            </w:r>
          </w:p>
        </w:tc>
        <w:tc>
          <w:tcPr>
            <w:tcW w:w="2599"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color w:val="FF0000"/>
                <w:szCs w:val="21"/>
              </w:rPr>
            </w:pPr>
            <w:r>
              <w:rPr>
                <w:color w:val="FF0000"/>
                <w:szCs w:val="21"/>
              </w:rPr>
              <w:t>43</w:t>
            </w:r>
          </w:p>
        </w:tc>
        <w:tc>
          <w:tcPr>
            <w:tcW w:w="2652"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color w:val="FF0000"/>
                <w:szCs w:val="21"/>
              </w:rPr>
            </w:pPr>
            <w:r>
              <w:rPr>
                <w:color w:val="FF0000"/>
                <w:szCs w:val="21"/>
              </w:rPr>
              <w:t>3</w:t>
            </w:r>
            <w:r>
              <w:rPr>
                <w:rFonts w:hint="eastAsia"/>
                <w:color w:val="FF0000"/>
                <w:szCs w:val="21"/>
              </w:rPr>
              <w:t>9</w:t>
            </w:r>
          </w:p>
        </w:tc>
      </w:tr>
      <w:tr w:rsidR="001B3C0C">
        <w:trPr>
          <w:trHeight w:val="270"/>
          <w:jc w:val="center"/>
        </w:trPr>
        <w:tc>
          <w:tcPr>
            <w:tcW w:w="616" w:type="dxa"/>
            <w:tcBorders>
              <w:top w:val="nil"/>
              <w:left w:val="single" w:sz="4" w:space="0" w:color="auto"/>
              <w:bottom w:val="single" w:sz="4" w:space="0" w:color="auto"/>
              <w:right w:val="single" w:sz="4" w:space="0" w:color="auto"/>
            </w:tcBorders>
            <w:vAlign w:val="center"/>
          </w:tcPr>
          <w:p w:rsidR="001B3C0C" w:rsidRDefault="001B3C0C" w:rsidP="005778BE">
            <w:pPr>
              <w:spacing w:line="320" w:lineRule="exact"/>
              <w:jc w:val="center"/>
              <w:rPr>
                <w:kern w:val="0"/>
                <w:szCs w:val="21"/>
              </w:rPr>
            </w:pPr>
            <w:r>
              <w:rPr>
                <w:kern w:val="0"/>
                <w:szCs w:val="21"/>
              </w:rPr>
              <w:t>5</w:t>
            </w:r>
          </w:p>
        </w:tc>
        <w:tc>
          <w:tcPr>
            <w:tcW w:w="2061"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kern w:val="0"/>
                <w:szCs w:val="21"/>
              </w:rPr>
            </w:pPr>
            <w:r>
              <w:rPr>
                <w:szCs w:val="21"/>
              </w:rPr>
              <w:t>念枣坪村</w:t>
            </w:r>
          </w:p>
        </w:tc>
        <w:tc>
          <w:tcPr>
            <w:tcW w:w="2599"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color w:val="FF0000"/>
                <w:szCs w:val="21"/>
              </w:rPr>
            </w:pPr>
            <w:r>
              <w:rPr>
                <w:color w:val="FF0000"/>
                <w:szCs w:val="21"/>
              </w:rPr>
              <w:t>4</w:t>
            </w:r>
            <w:r>
              <w:rPr>
                <w:rFonts w:hint="eastAsia"/>
                <w:color w:val="FF0000"/>
                <w:szCs w:val="21"/>
              </w:rPr>
              <w:t>5</w:t>
            </w:r>
          </w:p>
        </w:tc>
        <w:tc>
          <w:tcPr>
            <w:tcW w:w="2652" w:type="dxa"/>
            <w:tcBorders>
              <w:top w:val="nil"/>
              <w:left w:val="nil"/>
              <w:bottom w:val="single" w:sz="4" w:space="0" w:color="auto"/>
              <w:right w:val="single" w:sz="4" w:space="0" w:color="auto"/>
            </w:tcBorders>
            <w:vAlign w:val="center"/>
          </w:tcPr>
          <w:p w:rsidR="001B3C0C" w:rsidRDefault="001B3C0C" w:rsidP="005778BE">
            <w:pPr>
              <w:spacing w:line="320" w:lineRule="exact"/>
              <w:jc w:val="center"/>
              <w:rPr>
                <w:color w:val="FF0000"/>
                <w:szCs w:val="21"/>
              </w:rPr>
            </w:pPr>
            <w:r>
              <w:rPr>
                <w:color w:val="FF0000"/>
                <w:szCs w:val="21"/>
              </w:rPr>
              <w:t>40</w:t>
            </w:r>
          </w:p>
        </w:tc>
      </w:tr>
      <w:tr w:rsidR="00C223F5">
        <w:trPr>
          <w:trHeight w:val="270"/>
          <w:jc w:val="center"/>
        </w:trPr>
        <w:tc>
          <w:tcPr>
            <w:tcW w:w="7928" w:type="dxa"/>
            <w:gridSpan w:val="4"/>
            <w:tcBorders>
              <w:top w:val="single" w:sz="4" w:space="0" w:color="auto"/>
              <w:left w:val="single" w:sz="4" w:space="0" w:color="auto"/>
              <w:bottom w:val="single" w:sz="4" w:space="0" w:color="auto"/>
              <w:right w:val="single" w:sz="4" w:space="0" w:color="auto"/>
            </w:tcBorders>
            <w:vAlign w:val="center"/>
          </w:tcPr>
          <w:p w:rsidR="00C223F5" w:rsidRDefault="005860D5" w:rsidP="005778BE">
            <w:pPr>
              <w:spacing w:line="320" w:lineRule="exact"/>
              <w:jc w:val="center"/>
              <w:rPr>
                <w:kern w:val="0"/>
                <w:szCs w:val="21"/>
              </w:rPr>
            </w:pPr>
            <w:r>
              <w:rPr>
                <w:kern w:val="0"/>
                <w:szCs w:val="21"/>
              </w:rPr>
              <w:t>备注：</w:t>
            </w:r>
            <w:r>
              <w:rPr>
                <w:szCs w:val="21"/>
              </w:rPr>
              <w:t>GB3096-2008  2</w:t>
            </w:r>
            <w:r>
              <w:rPr>
                <w:szCs w:val="21"/>
              </w:rPr>
              <w:t>类标准</w:t>
            </w:r>
            <w:r>
              <w:rPr>
                <w:szCs w:val="21"/>
              </w:rPr>
              <w:t xml:space="preserve">  </w:t>
            </w:r>
            <w:r>
              <w:rPr>
                <w:kern w:val="0"/>
                <w:szCs w:val="21"/>
              </w:rPr>
              <w:t>昼间</w:t>
            </w:r>
            <w:r>
              <w:rPr>
                <w:kern w:val="0"/>
                <w:szCs w:val="21"/>
              </w:rPr>
              <w:t xml:space="preserve">60  </w:t>
            </w:r>
            <w:r>
              <w:rPr>
                <w:kern w:val="0"/>
                <w:szCs w:val="21"/>
              </w:rPr>
              <w:t>夜间</w:t>
            </w:r>
            <w:r>
              <w:rPr>
                <w:kern w:val="0"/>
                <w:szCs w:val="21"/>
              </w:rPr>
              <w:t>50</w:t>
            </w:r>
          </w:p>
        </w:tc>
      </w:tr>
    </w:tbl>
    <w:p w:rsidR="00D4583D" w:rsidRDefault="005860D5" w:rsidP="00D4583D">
      <w:pPr>
        <w:tabs>
          <w:tab w:val="left" w:pos="2552"/>
          <w:tab w:val="left" w:pos="5387"/>
        </w:tabs>
        <w:spacing w:line="360" w:lineRule="auto"/>
        <w:ind w:firstLineChars="200" w:firstLine="480"/>
        <w:rPr>
          <w:sz w:val="24"/>
        </w:rPr>
      </w:pPr>
      <w:r>
        <w:rPr>
          <w:sz w:val="24"/>
        </w:rPr>
        <w:t>由表</w:t>
      </w:r>
      <w:r>
        <w:rPr>
          <w:sz w:val="24"/>
        </w:rPr>
        <w:t>3.</w:t>
      </w:r>
      <w:r>
        <w:rPr>
          <w:rFonts w:hint="eastAsia"/>
          <w:sz w:val="24"/>
        </w:rPr>
        <w:t>3</w:t>
      </w:r>
      <w:r>
        <w:rPr>
          <w:sz w:val="24"/>
        </w:rPr>
        <w:t>.4-1</w:t>
      </w:r>
      <w:r>
        <w:rPr>
          <w:sz w:val="24"/>
        </w:rPr>
        <w:t>可以看出，矿井工业场地各厂界</w:t>
      </w:r>
      <w:r>
        <w:rPr>
          <w:rFonts w:hint="eastAsia"/>
          <w:sz w:val="24"/>
        </w:rPr>
        <w:t>及声敏感点</w:t>
      </w:r>
      <w:r>
        <w:rPr>
          <w:sz w:val="24"/>
        </w:rPr>
        <w:t>现状噪声值</w:t>
      </w:r>
      <w:r>
        <w:rPr>
          <w:rFonts w:hint="eastAsia"/>
          <w:sz w:val="24"/>
        </w:rPr>
        <w:t>处</w:t>
      </w:r>
      <w:r>
        <w:rPr>
          <w:sz w:val="24"/>
        </w:rPr>
        <w:t>均满足《声环境质量标准》（</w:t>
      </w:r>
      <w:r>
        <w:rPr>
          <w:sz w:val="24"/>
        </w:rPr>
        <w:t>GB3096-2008</w:t>
      </w:r>
      <w:r>
        <w:rPr>
          <w:sz w:val="24"/>
        </w:rPr>
        <w:t>）</w:t>
      </w:r>
      <w:r>
        <w:rPr>
          <w:rFonts w:hint="eastAsia"/>
          <w:sz w:val="24"/>
        </w:rPr>
        <w:t>2</w:t>
      </w:r>
      <w:r>
        <w:rPr>
          <w:sz w:val="24"/>
        </w:rPr>
        <w:t>类标准，表明评价区声环境质量现状良好。</w:t>
      </w:r>
    </w:p>
    <w:p w:rsidR="00C223F5" w:rsidRPr="00D4583D" w:rsidRDefault="005860D5" w:rsidP="004835BD">
      <w:pPr>
        <w:pStyle w:val="3"/>
        <w:numPr>
          <w:ilvl w:val="0"/>
          <w:numId w:val="0"/>
        </w:numPr>
        <w:spacing w:before="0" w:after="0" w:line="360" w:lineRule="auto"/>
        <w:ind w:left="170"/>
        <w:rPr>
          <w:rFonts w:eastAsia="宋体"/>
          <w:b/>
          <w:bCs w:val="0"/>
          <w:sz w:val="28"/>
          <w:szCs w:val="28"/>
        </w:rPr>
      </w:pPr>
      <w:bookmarkStart w:id="331" w:name="_Toc16785286"/>
      <w:r w:rsidRPr="00D4583D">
        <w:rPr>
          <w:rFonts w:eastAsia="宋体"/>
          <w:b/>
          <w:bCs w:val="0"/>
          <w:sz w:val="28"/>
          <w:szCs w:val="28"/>
        </w:rPr>
        <w:t>3.</w:t>
      </w:r>
      <w:r w:rsidRPr="00D4583D">
        <w:rPr>
          <w:rFonts w:eastAsia="宋体" w:hint="eastAsia"/>
          <w:b/>
          <w:bCs w:val="0"/>
          <w:sz w:val="28"/>
          <w:szCs w:val="28"/>
        </w:rPr>
        <w:t>3</w:t>
      </w:r>
      <w:r w:rsidRPr="00D4583D">
        <w:rPr>
          <w:rFonts w:eastAsia="宋体"/>
          <w:b/>
          <w:bCs w:val="0"/>
          <w:sz w:val="28"/>
          <w:szCs w:val="28"/>
        </w:rPr>
        <w:t>.5</w:t>
      </w:r>
      <w:r w:rsidRPr="00D4583D">
        <w:rPr>
          <w:rFonts w:eastAsia="宋体"/>
          <w:b/>
          <w:bCs w:val="0"/>
          <w:sz w:val="28"/>
          <w:szCs w:val="28"/>
        </w:rPr>
        <w:t>土壤环境质量现状</w:t>
      </w:r>
      <w:bookmarkEnd w:id="331"/>
    </w:p>
    <w:p w:rsidR="00C223F5" w:rsidRPr="00925B84" w:rsidRDefault="005860D5">
      <w:pPr>
        <w:spacing w:line="360" w:lineRule="auto"/>
        <w:ind w:firstLineChars="200" w:firstLine="480"/>
        <w:rPr>
          <w:bCs/>
          <w:sz w:val="24"/>
        </w:rPr>
      </w:pPr>
      <w:r>
        <w:rPr>
          <w:rFonts w:hint="eastAsia"/>
          <w:sz w:val="24"/>
        </w:rPr>
        <w:t>陕西精益达安全环保技术服务有限公司</w:t>
      </w:r>
      <w:r>
        <w:rPr>
          <w:sz w:val="24"/>
        </w:rPr>
        <w:t>于</w:t>
      </w:r>
      <w:r>
        <w:rPr>
          <w:sz w:val="24"/>
        </w:rPr>
        <w:t>201</w:t>
      </w:r>
      <w:r>
        <w:rPr>
          <w:rFonts w:hint="eastAsia"/>
          <w:sz w:val="24"/>
        </w:rPr>
        <w:t>9</w:t>
      </w:r>
      <w:r>
        <w:rPr>
          <w:sz w:val="24"/>
        </w:rPr>
        <w:t>年</w:t>
      </w:r>
      <w:r>
        <w:rPr>
          <w:rFonts w:hint="eastAsia"/>
          <w:sz w:val="24"/>
        </w:rPr>
        <w:t>2</w:t>
      </w:r>
      <w:r>
        <w:rPr>
          <w:sz w:val="24"/>
        </w:rPr>
        <w:t>月</w:t>
      </w:r>
      <w:r>
        <w:rPr>
          <w:rFonts w:hint="eastAsia"/>
          <w:sz w:val="24"/>
        </w:rPr>
        <w:t>15</w:t>
      </w:r>
      <w:r>
        <w:rPr>
          <w:sz w:val="24"/>
        </w:rPr>
        <w:t>日对本</w:t>
      </w:r>
      <w:r>
        <w:rPr>
          <w:bCs/>
          <w:color w:val="000000"/>
          <w:sz w:val="24"/>
        </w:rPr>
        <w:t>项目工业场地</w:t>
      </w:r>
      <w:r>
        <w:rPr>
          <w:rFonts w:hint="eastAsia"/>
          <w:bCs/>
          <w:color w:val="000000"/>
          <w:sz w:val="24"/>
        </w:rPr>
        <w:t>扩建区</w:t>
      </w:r>
      <w:r w:rsidRPr="00925B84">
        <w:rPr>
          <w:bCs/>
          <w:sz w:val="24"/>
        </w:rPr>
        <w:t>土壤环境质量进行了现场监测</w:t>
      </w:r>
      <w:r w:rsidRPr="00925B84">
        <w:rPr>
          <w:rFonts w:hint="eastAsia"/>
          <w:bCs/>
          <w:sz w:val="24"/>
        </w:rPr>
        <w:t>；</w:t>
      </w:r>
      <w:r w:rsidRPr="00925B84">
        <w:rPr>
          <w:rFonts w:hint="eastAsia"/>
          <w:bCs/>
          <w:sz w:val="24"/>
        </w:rPr>
        <w:t>2019</w:t>
      </w:r>
      <w:r w:rsidRPr="00925B84">
        <w:rPr>
          <w:rFonts w:hint="eastAsia"/>
          <w:bCs/>
          <w:sz w:val="24"/>
        </w:rPr>
        <w:t>年</w:t>
      </w:r>
      <w:r w:rsidRPr="00925B84">
        <w:rPr>
          <w:rFonts w:hint="eastAsia"/>
          <w:bCs/>
          <w:sz w:val="24"/>
        </w:rPr>
        <w:t>7</w:t>
      </w:r>
      <w:r w:rsidRPr="00925B84">
        <w:rPr>
          <w:rFonts w:hint="eastAsia"/>
          <w:bCs/>
          <w:sz w:val="24"/>
        </w:rPr>
        <w:t>月</w:t>
      </w:r>
      <w:r w:rsidRPr="00925B84">
        <w:rPr>
          <w:rFonts w:hint="eastAsia"/>
          <w:bCs/>
          <w:sz w:val="24"/>
        </w:rPr>
        <w:t>1</w:t>
      </w:r>
      <w:r w:rsidR="001E3ADB" w:rsidRPr="00925B84">
        <w:rPr>
          <w:rFonts w:hint="eastAsia"/>
          <w:bCs/>
          <w:sz w:val="24"/>
        </w:rPr>
        <w:t>3</w:t>
      </w:r>
      <w:r w:rsidRPr="00925B84">
        <w:rPr>
          <w:rFonts w:hint="eastAsia"/>
          <w:bCs/>
          <w:sz w:val="24"/>
        </w:rPr>
        <w:t>日对项目工业场地及井田范围内土壤环境质量进行了补充监测</w:t>
      </w:r>
      <w:r w:rsidRPr="00925B84">
        <w:rPr>
          <w:bCs/>
          <w:sz w:val="24"/>
        </w:rPr>
        <w:t>。</w:t>
      </w:r>
    </w:p>
    <w:p w:rsidR="00C223F5" w:rsidRPr="00925B84" w:rsidRDefault="005860D5">
      <w:pPr>
        <w:tabs>
          <w:tab w:val="left" w:pos="2552"/>
          <w:tab w:val="left" w:pos="5387"/>
        </w:tabs>
        <w:adjustRightInd w:val="0"/>
        <w:spacing w:line="360" w:lineRule="auto"/>
        <w:ind w:firstLineChars="200" w:firstLine="480"/>
        <w:rPr>
          <w:sz w:val="24"/>
        </w:rPr>
      </w:pPr>
      <w:r w:rsidRPr="00925B84">
        <w:rPr>
          <w:sz w:val="24"/>
        </w:rPr>
        <w:t>（</w:t>
      </w:r>
      <w:r w:rsidRPr="00925B84">
        <w:rPr>
          <w:sz w:val="24"/>
        </w:rPr>
        <w:t>1</w:t>
      </w:r>
      <w:r w:rsidRPr="00925B84">
        <w:rPr>
          <w:sz w:val="24"/>
        </w:rPr>
        <w:t>）监测点的设置</w:t>
      </w:r>
    </w:p>
    <w:p w:rsidR="00C223F5" w:rsidRPr="00925B84" w:rsidRDefault="005860D5">
      <w:pPr>
        <w:tabs>
          <w:tab w:val="left" w:pos="60"/>
        </w:tabs>
        <w:adjustRightInd w:val="0"/>
        <w:spacing w:line="360" w:lineRule="auto"/>
        <w:ind w:firstLineChars="200" w:firstLine="480"/>
        <w:rPr>
          <w:sz w:val="24"/>
        </w:rPr>
      </w:pPr>
      <w:r w:rsidRPr="00925B84">
        <w:rPr>
          <w:sz w:val="24"/>
        </w:rPr>
        <w:t>监测布点：</w:t>
      </w:r>
      <w:r w:rsidRPr="00925B84">
        <w:rPr>
          <w:rFonts w:hint="eastAsia"/>
          <w:sz w:val="24"/>
        </w:rPr>
        <w:t>工业场地共布设</w:t>
      </w:r>
      <w:r w:rsidRPr="00925B84">
        <w:rPr>
          <w:rFonts w:hint="eastAsia"/>
          <w:sz w:val="24"/>
        </w:rPr>
        <w:t>4</w:t>
      </w:r>
      <w:r w:rsidRPr="00925B84">
        <w:rPr>
          <w:rFonts w:hint="eastAsia"/>
          <w:sz w:val="24"/>
        </w:rPr>
        <w:t>个点，其中</w:t>
      </w:r>
      <w:r w:rsidRPr="00925B84">
        <w:rPr>
          <w:rFonts w:hint="eastAsia"/>
          <w:sz w:val="24"/>
        </w:rPr>
        <w:t>1</w:t>
      </w:r>
      <w:r w:rsidRPr="00925B84">
        <w:rPr>
          <w:rFonts w:hint="eastAsia"/>
          <w:sz w:val="24"/>
        </w:rPr>
        <w:t>个表层样点，</w:t>
      </w:r>
      <w:r w:rsidRPr="00925B84">
        <w:rPr>
          <w:rFonts w:hint="eastAsia"/>
          <w:sz w:val="24"/>
        </w:rPr>
        <w:t>3</w:t>
      </w:r>
      <w:r w:rsidRPr="00925B84">
        <w:rPr>
          <w:rFonts w:hint="eastAsia"/>
          <w:sz w:val="24"/>
        </w:rPr>
        <w:t>个柱状样点；井田内（除工业场地）共布设</w:t>
      </w:r>
      <w:r w:rsidRPr="00925B84">
        <w:rPr>
          <w:rFonts w:hint="eastAsia"/>
          <w:sz w:val="24"/>
        </w:rPr>
        <w:t>3</w:t>
      </w:r>
      <w:r w:rsidRPr="00925B84">
        <w:rPr>
          <w:rFonts w:hint="eastAsia"/>
          <w:sz w:val="24"/>
        </w:rPr>
        <w:t>个点，其中开采区内</w:t>
      </w:r>
      <w:r w:rsidRPr="00925B84">
        <w:rPr>
          <w:rFonts w:hint="eastAsia"/>
          <w:sz w:val="24"/>
        </w:rPr>
        <w:t>1</w:t>
      </w:r>
      <w:r w:rsidRPr="00925B84">
        <w:rPr>
          <w:rFonts w:hint="eastAsia"/>
          <w:sz w:val="24"/>
        </w:rPr>
        <w:t>个表层样点，开采区外</w:t>
      </w:r>
      <w:r w:rsidRPr="00925B84">
        <w:rPr>
          <w:rFonts w:hint="eastAsia"/>
          <w:sz w:val="24"/>
        </w:rPr>
        <w:t>2</w:t>
      </w:r>
      <w:r w:rsidRPr="00925B84">
        <w:rPr>
          <w:rFonts w:hint="eastAsia"/>
          <w:sz w:val="24"/>
        </w:rPr>
        <w:t>个表层样点。</w:t>
      </w:r>
      <w:r w:rsidRPr="00925B84">
        <w:rPr>
          <w:sz w:val="24"/>
        </w:rPr>
        <w:t>监测点</w:t>
      </w:r>
      <w:r w:rsidRPr="00925B84">
        <w:rPr>
          <w:rFonts w:hint="eastAsia"/>
          <w:sz w:val="24"/>
        </w:rPr>
        <w:t>信息及</w:t>
      </w:r>
      <w:r w:rsidRPr="00925B84">
        <w:rPr>
          <w:sz w:val="24"/>
        </w:rPr>
        <w:t>位置见</w:t>
      </w:r>
      <w:r w:rsidRPr="00925B84">
        <w:rPr>
          <w:rFonts w:hint="eastAsia"/>
          <w:sz w:val="24"/>
        </w:rPr>
        <w:t>表</w:t>
      </w:r>
      <w:r w:rsidRPr="00925B84">
        <w:rPr>
          <w:rFonts w:hint="eastAsia"/>
          <w:sz w:val="24"/>
        </w:rPr>
        <w:t>3.3.5-1</w:t>
      </w:r>
      <w:r w:rsidRPr="00925B84">
        <w:rPr>
          <w:rFonts w:hint="eastAsia"/>
          <w:sz w:val="24"/>
        </w:rPr>
        <w:t>和</w:t>
      </w:r>
      <w:r w:rsidRPr="00925B84">
        <w:rPr>
          <w:sz w:val="24"/>
        </w:rPr>
        <w:t>图</w:t>
      </w:r>
      <w:r w:rsidRPr="00925B84">
        <w:rPr>
          <w:sz w:val="24"/>
        </w:rPr>
        <w:t>3.</w:t>
      </w:r>
      <w:r w:rsidRPr="00925B84">
        <w:rPr>
          <w:rFonts w:hint="eastAsia"/>
          <w:sz w:val="24"/>
        </w:rPr>
        <w:t>3</w:t>
      </w:r>
      <w:r w:rsidRPr="00925B84">
        <w:rPr>
          <w:sz w:val="24"/>
        </w:rPr>
        <w:t>.</w:t>
      </w:r>
      <w:r w:rsidRPr="00925B84">
        <w:rPr>
          <w:rFonts w:hint="eastAsia"/>
          <w:sz w:val="24"/>
        </w:rPr>
        <w:t>5-</w:t>
      </w:r>
      <w:r w:rsidR="00A14182" w:rsidRPr="00925B84">
        <w:rPr>
          <w:rFonts w:hint="eastAsia"/>
          <w:sz w:val="24"/>
        </w:rPr>
        <w:t>1</w:t>
      </w:r>
      <w:r w:rsidRPr="00925B84">
        <w:rPr>
          <w:sz w:val="24"/>
        </w:rPr>
        <w:t>。</w:t>
      </w:r>
    </w:p>
    <w:p w:rsidR="00C223F5" w:rsidRDefault="005860D5">
      <w:pPr>
        <w:tabs>
          <w:tab w:val="left" w:pos="2552"/>
          <w:tab w:val="left" w:pos="5387"/>
        </w:tabs>
        <w:adjustRightInd w:val="0"/>
        <w:spacing w:line="360" w:lineRule="auto"/>
        <w:ind w:firstLineChars="200" w:firstLine="480"/>
        <w:rPr>
          <w:color w:val="000000"/>
          <w:sz w:val="24"/>
        </w:rPr>
      </w:pPr>
      <w:r>
        <w:rPr>
          <w:color w:val="000000"/>
          <w:sz w:val="24"/>
        </w:rPr>
        <w:t>（</w:t>
      </w:r>
      <w:r>
        <w:rPr>
          <w:color w:val="000000"/>
          <w:sz w:val="24"/>
        </w:rPr>
        <w:t>2</w:t>
      </w:r>
      <w:r>
        <w:rPr>
          <w:color w:val="000000"/>
          <w:sz w:val="24"/>
        </w:rPr>
        <w:t>）监测项目、频率及方法</w:t>
      </w:r>
    </w:p>
    <w:p w:rsidR="005778BE" w:rsidRDefault="005778BE" w:rsidP="005778BE">
      <w:pPr>
        <w:spacing w:line="360" w:lineRule="auto"/>
        <w:ind w:firstLine="480"/>
        <w:rPr>
          <w:color w:val="000000"/>
          <w:sz w:val="24"/>
        </w:rPr>
      </w:pPr>
      <w:r>
        <w:rPr>
          <w:color w:val="000000"/>
          <w:sz w:val="24"/>
        </w:rPr>
        <w:t>监测项目：</w:t>
      </w:r>
      <w:r>
        <w:rPr>
          <w:rFonts w:hint="eastAsia"/>
          <w:color w:val="000000"/>
          <w:sz w:val="24"/>
        </w:rPr>
        <w:t>各监测点具体见表</w:t>
      </w:r>
      <w:r>
        <w:rPr>
          <w:rFonts w:hint="eastAsia"/>
          <w:color w:val="000000"/>
          <w:sz w:val="24"/>
        </w:rPr>
        <w:t>3.3.5-1</w:t>
      </w:r>
      <w:r>
        <w:rPr>
          <w:color w:val="000000"/>
          <w:sz w:val="24"/>
        </w:rPr>
        <w:t>。</w:t>
      </w:r>
      <w:r>
        <w:rPr>
          <w:rFonts w:hAnsi="宋体" w:hint="eastAsia"/>
          <w:sz w:val="24"/>
        </w:rPr>
        <w:t>《土壤环境质量建设用地土壤污染风险管控标准（试行）》（</w:t>
      </w:r>
      <w:r>
        <w:rPr>
          <w:rFonts w:hAnsi="宋体" w:hint="eastAsia"/>
          <w:sz w:val="24"/>
        </w:rPr>
        <w:t>GB36600</w:t>
      </w:r>
      <w:r>
        <w:rPr>
          <w:rFonts w:hAnsi="宋体" w:hint="eastAsia"/>
          <w:sz w:val="24"/>
        </w:rPr>
        <w:t>—</w:t>
      </w:r>
      <w:r>
        <w:rPr>
          <w:rFonts w:hAnsi="宋体" w:hint="eastAsia"/>
          <w:sz w:val="24"/>
        </w:rPr>
        <w:t>2018</w:t>
      </w:r>
      <w:r>
        <w:rPr>
          <w:rFonts w:hAnsi="宋体" w:hint="eastAsia"/>
          <w:sz w:val="24"/>
        </w:rPr>
        <w:t>）中</w:t>
      </w:r>
      <w:r>
        <w:rPr>
          <w:rFonts w:hAnsi="宋体"/>
          <w:sz w:val="24"/>
        </w:rPr>
        <w:t>规定的</w:t>
      </w:r>
      <w:r>
        <w:rPr>
          <w:rFonts w:hAnsi="宋体" w:hint="eastAsia"/>
          <w:sz w:val="24"/>
        </w:rPr>
        <w:t>45</w:t>
      </w:r>
      <w:r>
        <w:rPr>
          <w:rFonts w:hAnsi="宋体" w:hint="eastAsia"/>
          <w:sz w:val="24"/>
        </w:rPr>
        <w:t>项</w:t>
      </w:r>
      <w:r>
        <w:rPr>
          <w:rFonts w:hAnsi="宋体"/>
          <w:sz w:val="24"/>
        </w:rPr>
        <w:t>常规因子，</w:t>
      </w:r>
      <w:r>
        <w:rPr>
          <w:rFonts w:hAnsi="宋体" w:hint="eastAsia"/>
          <w:sz w:val="24"/>
        </w:rPr>
        <w:t>砷、镉、铬（六价）、铜、铅、汞、镍、四氯化碳、氯仿、氯甲烷、</w:t>
      </w:r>
      <w:r>
        <w:rPr>
          <w:rFonts w:hAnsi="宋体" w:hint="eastAsia"/>
          <w:sz w:val="24"/>
        </w:rPr>
        <w:t>1,1-</w:t>
      </w:r>
      <w:r>
        <w:rPr>
          <w:rFonts w:hAnsi="宋体" w:hint="eastAsia"/>
          <w:sz w:val="24"/>
        </w:rPr>
        <w:t>二氯乙烷、</w:t>
      </w:r>
      <w:r>
        <w:rPr>
          <w:rFonts w:hAnsi="宋体" w:hint="eastAsia"/>
          <w:sz w:val="24"/>
        </w:rPr>
        <w:t>1,2-</w:t>
      </w:r>
      <w:r>
        <w:rPr>
          <w:rFonts w:hAnsi="宋体" w:hint="eastAsia"/>
          <w:sz w:val="24"/>
        </w:rPr>
        <w:t>二氯乙烷、</w:t>
      </w:r>
      <w:r>
        <w:rPr>
          <w:rFonts w:hAnsi="宋体" w:hint="eastAsia"/>
          <w:sz w:val="24"/>
        </w:rPr>
        <w:t>1,1-</w:t>
      </w:r>
      <w:r>
        <w:rPr>
          <w:rFonts w:hAnsi="宋体" w:hint="eastAsia"/>
          <w:sz w:val="24"/>
        </w:rPr>
        <w:t>二氯乙烯、顺</w:t>
      </w:r>
      <w:r>
        <w:rPr>
          <w:rFonts w:hAnsi="宋体" w:hint="eastAsia"/>
          <w:sz w:val="24"/>
        </w:rPr>
        <w:t>-1,2-</w:t>
      </w:r>
      <w:r>
        <w:rPr>
          <w:rFonts w:hAnsi="宋体" w:hint="eastAsia"/>
          <w:sz w:val="24"/>
        </w:rPr>
        <w:t>二氯乙烯、反</w:t>
      </w:r>
      <w:r>
        <w:rPr>
          <w:rFonts w:hAnsi="宋体" w:hint="eastAsia"/>
          <w:sz w:val="24"/>
        </w:rPr>
        <w:t>-1,2-</w:t>
      </w:r>
      <w:r>
        <w:rPr>
          <w:rFonts w:hAnsi="宋体" w:hint="eastAsia"/>
          <w:sz w:val="24"/>
        </w:rPr>
        <w:t>二氯乙烯、二氯甲烷、</w:t>
      </w:r>
      <w:r>
        <w:rPr>
          <w:rFonts w:hAnsi="宋体" w:hint="eastAsia"/>
          <w:sz w:val="24"/>
        </w:rPr>
        <w:t>1,2-</w:t>
      </w:r>
      <w:r>
        <w:rPr>
          <w:rFonts w:hAnsi="宋体" w:hint="eastAsia"/>
          <w:sz w:val="24"/>
        </w:rPr>
        <w:t>二氯丙烷、</w:t>
      </w:r>
      <w:r>
        <w:rPr>
          <w:rFonts w:hAnsi="宋体" w:hint="eastAsia"/>
          <w:sz w:val="24"/>
        </w:rPr>
        <w:t>1,1,1,2-</w:t>
      </w:r>
      <w:r>
        <w:rPr>
          <w:rFonts w:hAnsi="宋体" w:hint="eastAsia"/>
          <w:sz w:val="24"/>
        </w:rPr>
        <w:t>四氯乙烷、</w:t>
      </w:r>
      <w:r>
        <w:rPr>
          <w:rFonts w:hAnsi="宋体" w:hint="eastAsia"/>
          <w:sz w:val="24"/>
        </w:rPr>
        <w:t>1,1,2,2-</w:t>
      </w:r>
      <w:r>
        <w:rPr>
          <w:rFonts w:hAnsi="宋体" w:hint="eastAsia"/>
          <w:sz w:val="24"/>
        </w:rPr>
        <w:t>四氯乙烷、四氯乙烯、</w:t>
      </w:r>
      <w:r>
        <w:rPr>
          <w:rFonts w:hAnsi="宋体" w:hint="eastAsia"/>
          <w:sz w:val="24"/>
        </w:rPr>
        <w:t>1,1,1-</w:t>
      </w:r>
      <w:r>
        <w:rPr>
          <w:rFonts w:hAnsi="宋体" w:hint="eastAsia"/>
          <w:sz w:val="24"/>
        </w:rPr>
        <w:t>三氯乙烷、</w:t>
      </w:r>
      <w:r>
        <w:rPr>
          <w:rFonts w:hAnsi="宋体" w:hint="eastAsia"/>
          <w:sz w:val="24"/>
        </w:rPr>
        <w:t>1,1,2-</w:t>
      </w:r>
      <w:r>
        <w:rPr>
          <w:rFonts w:hAnsi="宋体" w:hint="eastAsia"/>
          <w:sz w:val="24"/>
        </w:rPr>
        <w:t>三氯乙烷、三氯乙烯、</w:t>
      </w:r>
      <w:r>
        <w:rPr>
          <w:rFonts w:hAnsi="宋体" w:hint="eastAsia"/>
          <w:sz w:val="24"/>
        </w:rPr>
        <w:t>1,2,3-</w:t>
      </w:r>
      <w:r>
        <w:rPr>
          <w:rFonts w:hAnsi="宋体" w:hint="eastAsia"/>
          <w:sz w:val="24"/>
        </w:rPr>
        <w:t>三氯丙烷、氯乙烯、苯、氯苯、</w:t>
      </w:r>
      <w:r>
        <w:rPr>
          <w:rFonts w:hAnsi="宋体" w:hint="eastAsia"/>
          <w:sz w:val="24"/>
        </w:rPr>
        <w:t>1,2-</w:t>
      </w:r>
      <w:r>
        <w:rPr>
          <w:rFonts w:hAnsi="宋体" w:hint="eastAsia"/>
          <w:sz w:val="24"/>
        </w:rPr>
        <w:t>二氯苯、</w:t>
      </w:r>
      <w:r>
        <w:rPr>
          <w:rFonts w:hAnsi="宋体" w:hint="eastAsia"/>
          <w:sz w:val="24"/>
        </w:rPr>
        <w:t>1,4-</w:t>
      </w:r>
      <w:r>
        <w:rPr>
          <w:rFonts w:hAnsi="宋体" w:hint="eastAsia"/>
          <w:sz w:val="24"/>
        </w:rPr>
        <w:t>二氯苯、乙苯、苯乙烯、</w:t>
      </w:r>
      <w:r>
        <w:rPr>
          <w:rFonts w:hAnsi="宋体" w:hint="eastAsia"/>
          <w:sz w:val="24"/>
        </w:rPr>
        <w:lastRenderedPageBreak/>
        <w:t>甲苯、间二甲苯</w:t>
      </w:r>
      <w:r>
        <w:rPr>
          <w:rFonts w:hAnsi="宋体" w:hint="eastAsia"/>
          <w:sz w:val="24"/>
        </w:rPr>
        <w:t>+</w:t>
      </w:r>
      <w:r>
        <w:rPr>
          <w:rFonts w:hAnsi="宋体" w:hint="eastAsia"/>
          <w:sz w:val="24"/>
        </w:rPr>
        <w:t>对二甲苯、邻二甲苯、硝基苯、苯胺、</w:t>
      </w:r>
      <w:r>
        <w:rPr>
          <w:rFonts w:hAnsi="宋体" w:hint="eastAsia"/>
          <w:sz w:val="24"/>
        </w:rPr>
        <w:t>2-</w:t>
      </w:r>
      <w:r>
        <w:rPr>
          <w:rFonts w:hAnsi="宋体" w:hint="eastAsia"/>
          <w:sz w:val="24"/>
        </w:rPr>
        <w:t>氯酚、苯并</w:t>
      </w:r>
      <w:r>
        <w:rPr>
          <w:rFonts w:hAnsi="宋体" w:hint="eastAsia"/>
          <w:sz w:val="24"/>
        </w:rPr>
        <w:t>[a]</w:t>
      </w:r>
      <w:r>
        <w:rPr>
          <w:rFonts w:hAnsi="宋体" w:hint="eastAsia"/>
          <w:sz w:val="24"/>
        </w:rPr>
        <w:t>蒽、苯并</w:t>
      </w:r>
      <w:r>
        <w:rPr>
          <w:rFonts w:hAnsi="宋体" w:hint="eastAsia"/>
          <w:sz w:val="24"/>
        </w:rPr>
        <w:t>[a]</w:t>
      </w:r>
      <w:r>
        <w:rPr>
          <w:rFonts w:hAnsi="宋体" w:hint="eastAsia"/>
          <w:sz w:val="24"/>
        </w:rPr>
        <w:t>芘、苯并</w:t>
      </w:r>
      <w:r>
        <w:rPr>
          <w:rFonts w:hAnsi="宋体" w:hint="eastAsia"/>
          <w:sz w:val="24"/>
        </w:rPr>
        <w:t>[b]</w:t>
      </w:r>
      <w:r>
        <w:rPr>
          <w:rFonts w:hAnsi="宋体" w:hint="eastAsia"/>
          <w:sz w:val="24"/>
        </w:rPr>
        <w:t>荧蒽、苯并</w:t>
      </w:r>
      <w:r>
        <w:rPr>
          <w:rFonts w:hAnsi="宋体" w:hint="eastAsia"/>
          <w:sz w:val="24"/>
        </w:rPr>
        <w:t>[k]</w:t>
      </w:r>
      <w:r>
        <w:rPr>
          <w:rFonts w:hAnsi="宋体" w:hint="eastAsia"/>
          <w:sz w:val="24"/>
        </w:rPr>
        <w:t>荧蒽、二苯并</w:t>
      </w:r>
      <w:r>
        <w:rPr>
          <w:rFonts w:hAnsi="宋体" w:hint="eastAsia"/>
          <w:sz w:val="24"/>
        </w:rPr>
        <w:t>[</w:t>
      </w:r>
      <w:proofErr w:type="spellStart"/>
      <w:r>
        <w:rPr>
          <w:rFonts w:hAnsi="宋体" w:hint="eastAsia"/>
          <w:sz w:val="24"/>
        </w:rPr>
        <w:t>a,h</w:t>
      </w:r>
      <w:proofErr w:type="spellEnd"/>
      <w:r>
        <w:rPr>
          <w:rFonts w:hAnsi="宋体" w:hint="eastAsia"/>
          <w:sz w:val="24"/>
        </w:rPr>
        <w:t>]</w:t>
      </w:r>
      <w:r>
        <w:rPr>
          <w:rFonts w:hAnsi="宋体" w:hint="eastAsia"/>
          <w:sz w:val="24"/>
        </w:rPr>
        <w:t>蒽、茚并</w:t>
      </w:r>
      <w:r>
        <w:rPr>
          <w:rFonts w:hAnsi="宋体" w:hint="eastAsia"/>
          <w:sz w:val="24"/>
        </w:rPr>
        <w:t xml:space="preserve"> [1,2,3-cd]</w:t>
      </w:r>
      <w:r>
        <w:rPr>
          <w:rFonts w:hAnsi="宋体" w:hint="eastAsia"/>
          <w:sz w:val="24"/>
        </w:rPr>
        <w:t>芘、萘。</w:t>
      </w:r>
      <w:r>
        <w:rPr>
          <w:color w:val="000000"/>
          <w:sz w:val="24"/>
        </w:rPr>
        <w:t>监测方法依据国家有关规定进行。</w:t>
      </w:r>
    </w:p>
    <w:p w:rsidR="005778BE" w:rsidRDefault="005778BE" w:rsidP="005778BE">
      <w:pPr>
        <w:spacing w:line="360" w:lineRule="auto"/>
        <w:ind w:firstLine="480"/>
        <w:rPr>
          <w:color w:val="000000"/>
          <w:sz w:val="24"/>
        </w:rPr>
      </w:pPr>
      <w:r>
        <w:rPr>
          <w:color w:val="000000"/>
          <w:sz w:val="24"/>
        </w:rPr>
        <w:t>监测时间及频率：</w:t>
      </w:r>
      <w:r>
        <w:rPr>
          <w:color w:val="000000"/>
          <w:sz w:val="24"/>
        </w:rPr>
        <w:t>201</w:t>
      </w:r>
      <w:r>
        <w:rPr>
          <w:rFonts w:hint="eastAsia"/>
          <w:color w:val="000000"/>
          <w:sz w:val="24"/>
        </w:rPr>
        <w:t>9</w:t>
      </w:r>
      <w:r>
        <w:rPr>
          <w:color w:val="000000"/>
          <w:sz w:val="24"/>
        </w:rPr>
        <w:t>年</w:t>
      </w:r>
      <w:r>
        <w:rPr>
          <w:rFonts w:hint="eastAsia"/>
          <w:color w:val="000000"/>
          <w:sz w:val="24"/>
        </w:rPr>
        <w:t>4</w:t>
      </w:r>
      <w:r>
        <w:rPr>
          <w:color w:val="000000"/>
          <w:sz w:val="24"/>
        </w:rPr>
        <w:t>月</w:t>
      </w:r>
      <w:r>
        <w:rPr>
          <w:rFonts w:hint="eastAsia"/>
          <w:color w:val="000000"/>
          <w:sz w:val="24"/>
        </w:rPr>
        <w:t>15</w:t>
      </w:r>
      <w:r>
        <w:rPr>
          <w:color w:val="000000"/>
          <w:sz w:val="24"/>
        </w:rPr>
        <w:t>日，</w:t>
      </w:r>
      <w:r>
        <w:rPr>
          <w:color w:val="000000"/>
          <w:sz w:val="24"/>
        </w:rPr>
        <w:t>1</w:t>
      </w:r>
      <w:r>
        <w:rPr>
          <w:color w:val="000000"/>
          <w:sz w:val="24"/>
        </w:rPr>
        <w:t>次</w:t>
      </w:r>
      <w:r>
        <w:rPr>
          <w:rFonts w:hint="eastAsia"/>
          <w:color w:val="000000"/>
          <w:sz w:val="24"/>
        </w:rPr>
        <w:t>；</w:t>
      </w:r>
      <w:r w:rsidRPr="001E3ADB">
        <w:rPr>
          <w:rFonts w:hint="eastAsia"/>
          <w:color w:val="000000"/>
          <w:sz w:val="24"/>
        </w:rPr>
        <w:t>2019</w:t>
      </w:r>
      <w:r w:rsidRPr="001E3ADB">
        <w:rPr>
          <w:rFonts w:hint="eastAsia"/>
          <w:color w:val="000000"/>
          <w:sz w:val="24"/>
        </w:rPr>
        <w:t>年</w:t>
      </w:r>
      <w:r w:rsidRPr="001E3ADB">
        <w:rPr>
          <w:rFonts w:hint="eastAsia"/>
          <w:color w:val="000000"/>
          <w:sz w:val="24"/>
        </w:rPr>
        <w:t>7</w:t>
      </w:r>
      <w:r w:rsidRPr="001E3ADB">
        <w:rPr>
          <w:rFonts w:hint="eastAsia"/>
          <w:color w:val="000000"/>
          <w:sz w:val="24"/>
        </w:rPr>
        <w:t>月</w:t>
      </w:r>
      <w:r w:rsidRPr="001E3ADB">
        <w:rPr>
          <w:rFonts w:hint="eastAsia"/>
          <w:color w:val="000000"/>
          <w:sz w:val="24"/>
        </w:rPr>
        <w:t>13</w:t>
      </w:r>
      <w:r w:rsidRPr="001E3ADB">
        <w:rPr>
          <w:rFonts w:hint="eastAsia"/>
          <w:color w:val="000000"/>
          <w:sz w:val="24"/>
        </w:rPr>
        <w:t>日，</w:t>
      </w:r>
      <w:r w:rsidRPr="001E3ADB">
        <w:rPr>
          <w:rFonts w:hint="eastAsia"/>
          <w:color w:val="000000"/>
          <w:sz w:val="24"/>
        </w:rPr>
        <w:t>1</w:t>
      </w:r>
      <w:r w:rsidRPr="001E3ADB">
        <w:rPr>
          <w:rFonts w:hint="eastAsia"/>
          <w:color w:val="000000"/>
          <w:sz w:val="24"/>
        </w:rPr>
        <w:t>次</w:t>
      </w:r>
      <w:r w:rsidRPr="001E3ADB">
        <w:rPr>
          <w:color w:val="000000"/>
          <w:sz w:val="24"/>
        </w:rPr>
        <w:t>。</w:t>
      </w:r>
    </w:p>
    <w:p w:rsidR="00C223F5" w:rsidRDefault="005860D5">
      <w:pPr>
        <w:widowControl/>
        <w:jc w:val="center"/>
        <w:rPr>
          <w:color w:val="000000"/>
          <w:sz w:val="24"/>
        </w:rPr>
      </w:pPr>
      <w:r>
        <w:rPr>
          <w:rFonts w:hint="eastAsia"/>
          <w:b/>
          <w:color w:val="000000"/>
          <w:sz w:val="24"/>
        </w:rPr>
        <w:t>表</w:t>
      </w:r>
      <w:r>
        <w:rPr>
          <w:rFonts w:hint="eastAsia"/>
          <w:b/>
          <w:color w:val="000000"/>
          <w:sz w:val="24"/>
        </w:rPr>
        <w:t xml:space="preserve">3.3.5-1  </w:t>
      </w:r>
      <w:r>
        <w:rPr>
          <w:rFonts w:hint="eastAsia"/>
          <w:b/>
          <w:color w:val="000000"/>
          <w:sz w:val="24"/>
        </w:rPr>
        <w:t>监测点位及监测因子情况表</w:t>
      </w:r>
    </w:p>
    <w:tbl>
      <w:tblPr>
        <w:tblW w:w="9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099"/>
        <w:gridCol w:w="977"/>
        <w:gridCol w:w="512"/>
        <w:gridCol w:w="4051"/>
        <w:gridCol w:w="749"/>
        <w:gridCol w:w="1377"/>
      </w:tblGrid>
      <w:tr w:rsidR="00C223F5">
        <w:trPr>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C223F5" w:rsidRDefault="005860D5" w:rsidP="005778BE">
            <w:pPr>
              <w:widowControl/>
              <w:spacing w:line="320" w:lineRule="exact"/>
              <w:jc w:val="center"/>
              <w:rPr>
                <w:szCs w:val="21"/>
              </w:rPr>
            </w:pPr>
            <w:r>
              <w:rPr>
                <w:rFonts w:hint="eastAsia"/>
                <w:szCs w:val="21"/>
              </w:rPr>
              <w:t>序号</w:t>
            </w:r>
          </w:p>
        </w:tc>
        <w:tc>
          <w:tcPr>
            <w:tcW w:w="1099" w:type="dxa"/>
            <w:tcBorders>
              <w:top w:val="single" w:sz="4" w:space="0" w:color="000000"/>
              <w:left w:val="single" w:sz="4" w:space="0" w:color="000000"/>
              <w:bottom w:val="single" w:sz="4" w:space="0" w:color="000000"/>
              <w:right w:val="single" w:sz="4" w:space="0" w:color="000000"/>
            </w:tcBorders>
            <w:vAlign w:val="center"/>
          </w:tcPr>
          <w:p w:rsidR="00C223F5" w:rsidRDefault="005860D5" w:rsidP="005778BE">
            <w:pPr>
              <w:widowControl/>
              <w:spacing w:line="320" w:lineRule="exact"/>
              <w:jc w:val="center"/>
              <w:rPr>
                <w:szCs w:val="21"/>
              </w:rPr>
            </w:pPr>
            <w:r>
              <w:rPr>
                <w:rFonts w:hint="eastAsia"/>
                <w:szCs w:val="21"/>
              </w:rPr>
              <w:t>位置</w:t>
            </w:r>
          </w:p>
        </w:tc>
        <w:tc>
          <w:tcPr>
            <w:tcW w:w="977" w:type="dxa"/>
            <w:tcBorders>
              <w:top w:val="single" w:sz="4" w:space="0" w:color="000000"/>
              <w:left w:val="single" w:sz="4" w:space="0" w:color="000000"/>
              <w:bottom w:val="single" w:sz="4" w:space="0" w:color="000000"/>
              <w:right w:val="single" w:sz="4" w:space="0" w:color="auto"/>
            </w:tcBorders>
            <w:vAlign w:val="center"/>
          </w:tcPr>
          <w:p w:rsidR="00C223F5" w:rsidRDefault="005860D5" w:rsidP="005778BE">
            <w:pPr>
              <w:widowControl/>
              <w:spacing w:line="320" w:lineRule="exact"/>
              <w:jc w:val="center"/>
              <w:rPr>
                <w:szCs w:val="21"/>
              </w:rPr>
            </w:pPr>
            <w:r>
              <w:rPr>
                <w:rFonts w:hint="eastAsia"/>
                <w:szCs w:val="21"/>
              </w:rPr>
              <w:t>监测样</w:t>
            </w:r>
          </w:p>
        </w:tc>
        <w:tc>
          <w:tcPr>
            <w:tcW w:w="512" w:type="dxa"/>
            <w:tcBorders>
              <w:top w:val="single" w:sz="4" w:space="0" w:color="000000"/>
              <w:left w:val="single" w:sz="4" w:space="0" w:color="auto"/>
              <w:bottom w:val="single" w:sz="4" w:space="0" w:color="000000"/>
              <w:right w:val="single" w:sz="4" w:space="0" w:color="auto"/>
            </w:tcBorders>
            <w:vAlign w:val="center"/>
          </w:tcPr>
          <w:p w:rsidR="00C223F5" w:rsidRDefault="005860D5" w:rsidP="005778BE">
            <w:pPr>
              <w:widowControl/>
              <w:spacing w:line="320" w:lineRule="exact"/>
              <w:jc w:val="center"/>
              <w:rPr>
                <w:szCs w:val="21"/>
              </w:rPr>
            </w:pPr>
            <w:r>
              <w:rPr>
                <w:rFonts w:hint="eastAsia"/>
                <w:szCs w:val="21"/>
              </w:rPr>
              <w:t>编号</w:t>
            </w:r>
          </w:p>
        </w:tc>
        <w:tc>
          <w:tcPr>
            <w:tcW w:w="4051" w:type="dxa"/>
            <w:tcBorders>
              <w:top w:val="single" w:sz="4" w:space="0" w:color="000000"/>
              <w:left w:val="single" w:sz="4" w:space="0" w:color="auto"/>
              <w:bottom w:val="single" w:sz="4" w:space="0" w:color="000000"/>
              <w:right w:val="single" w:sz="4" w:space="0" w:color="auto"/>
            </w:tcBorders>
            <w:vAlign w:val="center"/>
          </w:tcPr>
          <w:p w:rsidR="00C223F5" w:rsidRDefault="005860D5" w:rsidP="005778BE">
            <w:pPr>
              <w:widowControl/>
              <w:spacing w:line="320" w:lineRule="exact"/>
              <w:jc w:val="center"/>
              <w:rPr>
                <w:szCs w:val="21"/>
              </w:rPr>
            </w:pPr>
            <w:r>
              <w:rPr>
                <w:rFonts w:hint="eastAsia"/>
                <w:szCs w:val="21"/>
              </w:rPr>
              <w:t>监测项目</w:t>
            </w:r>
          </w:p>
        </w:tc>
        <w:tc>
          <w:tcPr>
            <w:tcW w:w="749" w:type="dxa"/>
            <w:tcBorders>
              <w:top w:val="single" w:sz="4" w:space="0" w:color="000000"/>
              <w:left w:val="single" w:sz="4" w:space="0" w:color="auto"/>
              <w:bottom w:val="single" w:sz="4" w:space="0" w:color="000000"/>
              <w:right w:val="single" w:sz="4" w:space="0" w:color="auto"/>
            </w:tcBorders>
            <w:vAlign w:val="center"/>
          </w:tcPr>
          <w:p w:rsidR="00C223F5" w:rsidRDefault="005860D5" w:rsidP="005778BE">
            <w:pPr>
              <w:widowControl/>
              <w:spacing w:line="320" w:lineRule="exact"/>
              <w:jc w:val="center"/>
              <w:rPr>
                <w:szCs w:val="21"/>
              </w:rPr>
            </w:pPr>
            <w:r>
              <w:rPr>
                <w:rFonts w:hint="eastAsia"/>
                <w:szCs w:val="21"/>
              </w:rPr>
              <w:t>功能</w:t>
            </w:r>
          </w:p>
        </w:tc>
        <w:tc>
          <w:tcPr>
            <w:tcW w:w="1377" w:type="dxa"/>
            <w:tcBorders>
              <w:top w:val="single" w:sz="4" w:space="0" w:color="000000"/>
              <w:left w:val="single" w:sz="4" w:space="0" w:color="auto"/>
              <w:bottom w:val="single" w:sz="4" w:space="0" w:color="000000"/>
              <w:right w:val="single" w:sz="4" w:space="0" w:color="000000"/>
            </w:tcBorders>
            <w:vAlign w:val="center"/>
          </w:tcPr>
          <w:p w:rsidR="00C223F5" w:rsidRDefault="005860D5" w:rsidP="005778BE">
            <w:pPr>
              <w:spacing w:line="320" w:lineRule="exact"/>
              <w:jc w:val="center"/>
              <w:rPr>
                <w:szCs w:val="21"/>
              </w:rPr>
            </w:pPr>
            <w:r>
              <w:rPr>
                <w:rFonts w:hint="eastAsia"/>
                <w:szCs w:val="21"/>
              </w:rPr>
              <w:t>备注</w:t>
            </w:r>
          </w:p>
        </w:tc>
      </w:tr>
      <w:tr w:rsidR="00E008A1" w:rsidTr="00E008A1">
        <w:trPr>
          <w:trHeight w:val="541"/>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E008A1" w:rsidRDefault="00E008A1" w:rsidP="005778BE">
            <w:pPr>
              <w:widowControl/>
              <w:spacing w:line="320" w:lineRule="exact"/>
              <w:jc w:val="center"/>
              <w:rPr>
                <w:szCs w:val="21"/>
              </w:rPr>
            </w:pPr>
            <w:r>
              <w:rPr>
                <w:szCs w:val="21"/>
              </w:rPr>
              <w:t>1</w:t>
            </w:r>
          </w:p>
        </w:tc>
        <w:tc>
          <w:tcPr>
            <w:tcW w:w="1099" w:type="dxa"/>
            <w:vMerge w:val="restart"/>
            <w:tcBorders>
              <w:top w:val="single" w:sz="4" w:space="0" w:color="000000"/>
              <w:left w:val="single" w:sz="4" w:space="0" w:color="000000"/>
              <w:bottom w:val="single" w:sz="4" w:space="0" w:color="000000"/>
              <w:right w:val="single" w:sz="4" w:space="0" w:color="000000"/>
            </w:tcBorders>
            <w:vAlign w:val="center"/>
          </w:tcPr>
          <w:p w:rsidR="00E008A1" w:rsidRDefault="00E008A1" w:rsidP="005778BE">
            <w:pPr>
              <w:spacing w:line="320" w:lineRule="exact"/>
              <w:jc w:val="center"/>
              <w:rPr>
                <w:szCs w:val="21"/>
              </w:rPr>
            </w:pPr>
            <w:r>
              <w:rPr>
                <w:rFonts w:hint="eastAsia"/>
                <w:szCs w:val="21"/>
              </w:rPr>
              <w:t>工业场地</w:t>
            </w:r>
          </w:p>
        </w:tc>
        <w:tc>
          <w:tcPr>
            <w:tcW w:w="977" w:type="dxa"/>
            <w:tcBorders>
              <w:top w:val="single" w:sz="4" w:space="0" w:color="000000"/>
              <w:left w:val="single" w:sz="4" w:space="0" w:color="000000"/>
              <w:bottom w:val="single" w:sz="4" w:space="0" w:color="000000"/>
              <w:right w:val="single" w:sz="4" w:space="0" w:color="auto"/>
            </w:tcBorders>
            <w:vAlign w:val="center"/>
          </w:tcPr>
          <w:p w:rsidR="00E008A1" w:rsidRDefault="00E008A1" w:rsidP="005778BE">
            <w:pPr>
              <w:spacing w:line="320" w:lineRule="exact"/>
              <w:jc w:val="center"/>
              <w:rPr>
                <w:szCs w:val="21"/>
              </w:rPr>
            </w:pPr>
            <w:r>
              <w:rPr>
                <w:rFonts w:hint="eastAsia"/>
                <w:szCs w:val="21"/>
              </w:rPr>
              <w:t>柱状样</w:t>
            </w:r>
          </w:p>
        </w:tc>
        <w:tc>
          <w:tcPr>
            <w:tcW w:w="512" w:type="dxa"/>
            <w:tcBorders>
              <w:top w:val="single" w:sz="4" w:space="0" w:color="000000"/>
              <w:left w:val="single" w:sz="4" w:space="0" w:color="auto"/>
              <w:bottom w:val="single" w:sz="4" w:space="0" w:color="000000"/>
              <w:right w:val="single" w:sz="4" w:space="0" w:color="auto"/>
            </w:tcBorders>
            <w:vAlign w:val="center"/>
          </w:tcPr>
          <w:p w:rsidR="00E008A1" w:rsidRDefault="00E008A1" w:rsidP="005778BE">
            <w:pPr>
              <w:spacing w:line="320" w:lineRule="exact"/>
              <w:jc w:val="center"/>
              <w:rPr>
                <w:szCs w:val="21"/>
              </w:rPr>
            </w:pPr>
            <w:r>
              <w:rPr>
                <w:rFonts w:hint="eastAsia"/>
                <w:szCs w:val="21"/>
              </w:rPr>
              <w:t>Z1</w:t>
            </w:r>
          </w:p>
        </w:tc>
        <w:tc>
          <w:tcPr>
            <w:tcW w:w="4051" w:type="dxa"/>
            <w:vMerge w:val="restart"/>
            <w:tcBorders>
              <w:top w:val="single" w:sz="4" w:space="0" w:color="000000"/>
              <w:left w:val="single" w:sz="4" w:space="0" w:color="auto"/>
              <w:bottom w:val="single" w:sz="4" w:space="0" w:color="000000"/>
              <w:right w:val="single" w:sz="4" w:space="0" w:color="auto"/>
            </w:tcBorders>
            <w:vAlign w:val="center"/>
          </w:tcPr>
          <w:p w:rsidR="00E008A1" w:rsidRDefault="00E008A1" w:rsidP="005778BE">
            <w:pPr>
              <w:spacing w:line="320" w:lineRule="exact"/>
              <w:jc w:val="center"/>
              <w:rPr>
                <w:szCs w:val="21"/>
              </w:rPr>
            </w:pPr>
            <w:r>
              <w:rPr>
                <w:rFonts w:hint="eastAsia"/>
                <w:szCs w:val="21"/>
              </w:rPr>
              <w:t>0.2m</w:t>
            </w:r>
            <w:r>
              <w:rPr>
                <w:rFonts w:hint="eastAsia"/>
                <w:szCs w:val="21"/>
              </w:rPr>
              <w:t>、</w:t>
            </w:r>
            <w:r>
              <w:rPr>
                <w:rFonts w:hint="eastAsia"/>
                <w:szCs w:val="21"/>
              </w:rPr>
              <w:t>1m</w:t>
            </w:r>
            <w:r>
              <w:rPr>
                <w:rFonts w:hint="eastAsia"/>
                <w:szCs w:val="21"/>
              </w:rPr>
              <w:t>、</w:t>
            </w:r>
            <w:r>
              <w:rPr>
                <w:rFonts w:hint="eastAsia"/>
                <w:szCs w:val="21"/>
              </w:rPr>
              <w:t>2m</w:t>
            </w:r>
            <w:r>
              <w:rPr>
                <w:rFonts w:hint="eastAsia"/>
                <w:szCs w:val="21"/>
              </w:rPr>
              <w:t>分别取样，</w:t>
            </w:r>
            <w:r w:rsidR="00F80450" w:rsidRPr="00F80450">
              <w:rPr>
                <w:rFonts w:hint="eastAsia"/>
                <w:color w:val="000000"/>
                <w:szCs w:val="21"/>
              </w:rPr>
              <w:t>pH</w:t>
            </w:r>
            <w:r w:rsidR="00F80450" w:rsidRPr="00F80450">
              <w:rPr>
                <w:rFonts w:hint="eastAsia"/>
                <w:color w:val="000000"/>
                <w:szCs w:val="21"/>
              </w:rPr>
              <w:t>、砷、镉、六价铬、铜、铅、汞、镍、石油烃</w:t>
            </w:r>
          </w:p>
        </w:tc>
        <w:tc>
          <w:tcPr>
            <w:tcW w:w="749" w:type="dxa"/>
            <w:vMerge w:val="restart"/>
            <w:tcBorders>
              <w:top w:val="single" w:sz="4" w:space="0" w:color="000000"/>
              <w:left w:val="single" w:sz="4" w:space="0" w:color="auto"/>
              <w:bottom w:val="single" w:sz="4" w:space="0" w:color="000000"/>
              <w:right w:val="single" w:sz="4" w:space="0" w:color="auto"/>
            </w:tcBorders>
            <w:vAlign w:val="center"/>
          </w:tcPr>
          <w:p w:rsidR="00E008A1" w:rsidRDefault="00E008A1" w:rsidP="005778BE">
            <w:pPr>
              <w:widowControl/>
              <w:spacing w:line="320" w:lineRule="exact"/>
              <w:jc w:val="center"/>
              <w:rPr>
                <w:szCs w:val="21"/>
              </w:rPr>
            </w:pPr>
            <w:r>
              <w:rPr>
                <w:rFonts w:hint="eastAsia"/>
                <w:szCs w:val="21"/>
              </w:rPr>
              <w:t>背景</w:t>
            </w:r>
          </w:p>
          <w:p w:rsidR="00E008A1" w:rsidRDefault="00E008A1" w:rsidP="005778BE">
            <w:pPr>
              <w:spacing w:line="320" w:lineRule="exact"/>
              <w:jc w:val="center"/>
              <w:rPr>
                <w:szCs w:val="21"/>
              </w:rPr>
            </w:pPr>
            <w:r>
              <w:rPr>
                <w:rFonts w:hint="eastAsia"/>
                <w:szCs w:val="21"/>
              </w:rPr>
              <w:t>监测点</w:t>
            </w:r>
          </w:p>
        </w:tc>
        <w:tc>
          <w:tcPr>
            <w:tcW w:w="1377" w:type="dxa"/>
            <w:vMerge w:val="restart"/>
            <w:tcBorders>
              <w:top w:val="single" w:sz="4" w:space="0" w:color="000000"/>
              <w:left w:val="single" w:sz="4" w:space="0" w:color="auto"/>
              <w:bottom w:val="single" w:sz="4" w:space="0" w:color="000000"/>
              <w:right w:val="single" w:sz="4" w:space="0" w:color="000000"/>
            </w:tcBorders>
            <w:vAlign w:val="center"/>
          </w:tcPr>
          <w:p w:rsidR="00E008A1" w:rsidRDefault="00E008A1" w:rsidP="005778BE">
            <w:pPr>
              <w:spacing w:line="320" w:lineRule="exact"/>
              <w:jc w:val="center"/>
              <w:rPr>
                <w:szCs w:val="21"/>
              </w:rPr>
            </w:pPr>
            <w:r>
              <w:rPr>
                <w:rFonts w:hint="eastAsia"/>
                <w:szCs w:val="21"/>
              </w:rPr>
              <w:t>拟扩大占地范围内建设用地（现有场地东侧区）</w:t>
            </w:r>
          </w:p>
        </w:tc>
      </w:tr>
      <w:tr w:rsidR="00E008A1">
        <w:trPr>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E008A1" w:rsidRDefault="00E008A1" w:rsidP="005778BE">
            <w:pPr>
              <w:widowControl/>
              <w:spacing w:line="320" w:lineRule="exact"/>
              <w:jc w:val="center"/>
              <w:rPr>
                <w:szCs w:val="21"/>
              </w:rPr>
            </w:pPr>
            <w:r>
              <w:rPr>
                <w:szCs w:val="21"/>
              </w:rPr>
              <w:t>2</w:t>
            </w:r>
          </w:p>
        </w:tc>
        <w:tc>
          <w:tcPr>
            <w:tcW w:w="1099" w:type="dxa"/>
            <w:vMerge/>
            <w:tcBorders>
              <w:left w:val="single" w:sz="4" w:space="0" w:color="000000"/>
              <w:right w:val="single" w:sz="4" w:space="0" w:color="000000"/>
            </w:tcBorders>
            <w:vAlign w:val="center"/>
          </w:tcPr>
          <w:p w:rsidR="00E008A1" w:rsidRDefault="00E008A1" w:rsidP="005778BE">
            <w:pPr>
              <w:spacing w:line="320" w:lineRule="exact"/>
              <w:jc w:val="center"/>
              <w:rPr>
                <w:szCs w:val="21"/>
              </w:rPr>
            </w:pPr>
          </w:p>
        </w:tc>
        <w:tc>
          <w:tcPr>
            <w:tcW w:w="977" w:type="dxa"/>
            <w:tcBorders>
              <w:top w:val="single" w:sz="4" w:space="0" w:color="000000"/>
              <w:left w:val="single" w:sz="4" w:space="0" w:color="000000"/>
              <w:bottom w:val="single" w:sz="4" w:space="0" w:color="auto"/>
              <w:right w:val="single" w:sz="4" w:space="0" w:color="auto"/>
            </w:tcBorders>
            <w:vAlign w:val="center"/>
          </w:tcPr>
          <w:p w:rsidR="00E008A1" w:rsidRDefault="00E008A1" w:rsidP="005778BE">
            <w:pPr>
              <w:widowControl/>
              <w:spacing w:line="320" w:lineRule="exact"/>
              <w:jc w:val="center"/>
              <w:rPr>
                <w:szCs w:val="21"/>
              </w:rPr>
            </w:pPr>
            <w:r>
              <w:rPr>
                <w:rFonts w:hint="eastAsia"/>
                <w:szCs w:val="21"/>
              </w:rPr>
              <w:t>柱状样</w:t>
            </w:r>
          </w:p>
        </w:tc>
        <w:tc>
          <w:tcPr>
            <w:tcW w:w="512" w:type="dxa"/>
            <w:tcBorders>
              <w:left w:val="single" w:sz="4" w:space="0" w:color="auto"/>
              <w:bottom w:val="single" w:sz="4" w:space="0" w:color="auto"/>
              <w:right w:val="single" w:sz="4" w:space="0" w:color="auto"/>
            </w:tcBorders>
            <w:vAlign w:val="center"/>
          </w:tcPr>
          <w:p w:rsidR="00E008A1" w:rsidRDefault="00E008A1" w:rsidP="005778BE">
            <w:pPr>
              <w:spacing w:line="320" w:lineRule="exact"/>
              <w:jc w:val="center"/>
              <w:rPr>
                <w:szCs w:val="21"/>
              </w:rPr>
            </w:pPr>
            <w:r>
              <w:rPr>
                <w:rFonts w:hint="eastAsia"/>
                <w:szCs w:val="21"/>
              </w:rPr>
              <w:t>Z2</w:t>
            </w:r>
          </w:p>
        </w:tc>
        <w:tc>
          <w:tcPr>
            <w:tcW w:w="4051" w:type="dxa"/>
            <w:vMerge/>
            <w:tcBorders>
              <w:left w:val="single" w:sz="4" w:space="0" w:color="auto"/>
              <w:bottom w:val="single" w:sz="4" w:space="0" w:color="auto"/>
              <w:right w:val="single" w:sz="4" w:space="0" w:color="auto"/>
            </w:tcBorders>
            <w:vAlign w:val="center"/>
          </w:tcPr>
          <w:p w:rsidR="00E008A1" w:rsidRDefault="00E008A1" w:rsidP="005778BE">
            <w:pPr>
              <w:spacing w:line="320" w:lineRule="exact"/>
              <w:jc w:val="center"/>
              <w:rPr>
                <w:szCs w:val="21"/>
              </w:rPr>
            </w:pPr>
          </w:p>
        </w:tc>
        <w:tc>
          <w:tcPr>
            <w:tcW w:w="749" w:type="dxa"/>
            <w:vMerge/>
            <w:tcBorders>
              <w:left w:val="single" w:sz="4" w:space="0" w:color="auto"/>
              <w:right w:val="single" w:sz="4" w:space="0" w:color="auto"/>
            </w:tcBorders>
            <w:vAlign w:val="center"/>
          </w:tcPr>
          <w:p w:rsidR="00E008A1" w:rsidRDefault="00E008A1" w:rsidP="005778BE">
            <w:pPr>
              <w:widowControl/>
              <w:spacing w:line="320" w:lineRule="exact"/>
              <w:jc w:val="center"/>
              <w:rPr>
                <w:szCs w:val="21"/>
              </w:rPr>
            </w:pPr>
          </w:p>
        </w:tc>
        <w:tc>
          <w:tcPr>
            <w:tcW w:w="1377" w:type="dxa"/>
            <w:vMerge/>
            <w:tcBorders>
              <w:left w:val="single" w:sz="4" w:space="0" w:color="auto"/>
              <w:right w:val="single" w:sz="4" w:space="0" w:color="000000"/>
            </w:tcBorders>
            <w:vAlign w:val="center"/>
          </w:tcPr>
          <w:p w:rsidR="00E008A1" w:rsidRDefault="00E008A1" w:rsidP="005778BE">
            <w:pPr>
              <w:widowControl/>
              <w:spacing w:line="320" w:lineRule="exact"/>
              <w:jc w:val="center"/>
              <w:rPr>
                <w:szCs w:val="21"/>
              </w:rPr>
            </w:pPr>
          </w:p>
        </w:tc>
      </w:tr>
      <w:tr w:rsidR="00E008A1">
        <w:trPr>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E008A1" w:rsidRDefault="00E008A1" w:rsidP="005778BE">
            <w:pPr>
              <w:widowControl/>
              <w:spacing w:line="320" w:lineRule="exact"/>
              <w:jc w:val="center"/>
              <w:rPr>
                <w:szCs w:val="21"/>
              </w:rPr>
            </w:pPr>
            <w:r>
              <w:rPr>
                <w:rFonts w:hint="eastAsia"/>
                <w:szCs w:val="21"/>
              </w:rPr>
              <w:t>3</w:t>
            </w:r>
          </w:p>
        </w:tc>
        <w:tc>
          <w:tcPr>
            <w:tcW w:w="1099" w:type="dxa"/>
            <w:vMerge w:val="restart"/>
            <w:tcBorders>
              <w:top w:val="single" w:sz="4" w:space="0" w:color="auto"/>
              <w:left w:val="single" w:sz="4" w:space="0" w:color="000000"/>
              <w:right w:val="single" w:sz="4" w:space="0" w:color="000000"/>
            </w:tcBorders>
            <w:vAlign w:val="center"/>
          </w:tcPr>
          <w:p w:rsidR="00E008A1" w:rsidRDefault="00E008A1" w:rsidP="005778BE">
            <w:pPr>
              <w:spacing w:line="320" w:lineRule="exact"/>
              <w:jc w:val="center"/>
              <w:rPr>
                <w:bCs/>
                <w:color w:val="000000"/>
                <w:szCs w:val="21"/>
              </w:rPr>
            </w:pPr>
            <w:r>
              <w:rPr>
                <w:rFonts w:hint="eastAsia"/>
                <w:color w:val="000000"/>
                <w:szCs w:val="21"/>
              </w:rPr>
              <w:t>原有机修房与绞车房附近</w:t>
            </w:r>
          </w:p>
        </w:tc>
        <w:tc>
          <w:tcPr>
            <w:tcW w:w="977" w:type="dxa"/>
            <w:tcBorders>
              <w:top w:val="single" w:sz="4" w:space="0" w:color="auto"/>
              <w:left w:val="single" w:sz="4" w:space="0" w:color="000000"/>
              <w:bottom w:val="single" w:sz="4" w:space="0" w:color="000000"/>
              <w:right w:val="single" w:sz="4" w:space="0" w:color="auto"/>
            </w:tcBorders>
            <w:vAlign w:val="center"/>
          </w:tcPr>
          <w:p w:rsidR="00E008A1" w:rsidRDefault="00E008A1" w:rsidP="005778BE">
            <w:pPr>
              <w:widowControl/>
              <w:spacing w:line="320" w:lineRule="exact"/>
              <w:jc w:val="center"/>
              <w:rPr>
                <w:color w:val="000000"/>
                <w:szCs w:val="21"/>
              </w:rPr>
            </w:pPr>
            <w:r>
              <w:rPr>
                <w:rFonts w:hint="eastAsia"/>
                <w:color w:val="000000"/>
                <w:szCs w:val="21"/>
              </w:rPr>
              <w:t>柱状样</w:t>
            </w:r>
          </w:p>
        </w:tc>
        <w:tc>
          <w:tcPr>
            <w:tcW w:w="512" w:type="dxa"/>
            <w:tcBorders>
              <w:top w:val="single" w:sz="4" w:space="0" w:color="auto"/>
              <w:left w:val="single" w:sz="4" w:space="0" w:color="auto"/>
              <w:right w:val="single" w:sz="4" w:space="0" w:color="auto"/>
            </w:tcBorders>
            <w:vAlign w:val="center"/>
          </w:tcPr>
          <w:p w:rsidR="00E008A1" w:rsidRDefault="00E008A1" w:rsidP="005778BE">
            <w:pPr>
              <w:spacing w:line="320" w:lineRule="exact"/>
              <w:jc w:val="center"/>
              <w:rPr>
                <w:szCs w:val="21"/>
              </w:rPr>
            </w:pPr>
            <w:r>
              <w:rPr>
                <w:rFonts w:hint="eastAsia"/>
                <w:szCs w:val="21"/>
              </w:rPr>
              <w:t>Z3</w:t>
            </w:r>
          </w:p>
        </w:tc>
        <w:tc>
          <w:tcPr>
            <w:tcW w:w="4051" w:type="dxa"/>
            <w:tcBorders>
              <w:top w:val="single" w:sz="4" w:space="0" w:color="auto"/>
              <w:left w:val="single" w:sz="4" w:space="0" w:color="auto"/>
              <w:right w:val="single" w:sz="4" w:space="0" w:color="auto"/>
            </w:tcBorders>
            <w:vAlign w:val="center"/>
          </w:tcPr>
          <w:p w:rsidR="00E008A1" w:rsidRDefault="00E008A1" w:rsidP="005778BE">
            <w:pPr>
              <w:spacing w:line="320" w:lineRule="exact"/>
              <w:jc w:val="center"/>
              <w:rPr>
                <w:color w:val="000000"/>
                <w:szCs w:val="21"/>
              </w:rPr>
            </w:pPr>
            <w:r>
              <w:rPr>
                <w:rFonts w:hint="eastAsia"/>
                <w:szCs w:val="21"/>
              </w:rPr>
              <w:t>0.2m</w:t>
            </w:r>
            <w:r>
              <w:rPr>
                <w:rFonts w:hint="eastAsia"/>
                <w:szCs w:val="21"/>
              </w:rPr>
              <w:t>、</w:t>
            </w:r>
            <w:r>
              <w:rPr>
                <w:rFonts w:hint="eastAsia"/>
                <w:szCs w:val="21"/>
              </w:rPr>
              <w:t>1m</w:t>
            </w:r>
            <w:r>
              <w:rPr>
                <w:rFonts w:hint="eastAsia"/>
                <w:szCs w:val="21"/>
              </w:rPr>
              <w:t>、</w:t>
            </w:r>
            <w:r>
              <w:rPr>
                <w:rFonts w:hint="eastAsia"/>
                <w:szCs w:val="21"/>
              </w:rPr>
              <w:t>2m</w:t>
            </w:r>
            <w:r>
              <w:rPr>
                <w:rFonts w:hint="eastAsia"/>
                <w:szCs w:val="21"/>
              </w:rPr>
              <w:t>分别取样，</w:t>
            </w:r>
            <w:r w:rsidR="00F80450" w:rsidRPr="00F80450">
              <w:rPr>
                <w:rFonts w:hint="eastAsia"/>
                <w:color w:val="000000"/>
                <w:szCs w:val="21"/>
              </w:rPr>
              <w:t>pH</w:t>
            </w:r>
            <w:r w:rsidR="00F80450" w:rsidRPr="00F80450">
              <w:rPr>
                <w:rFonts w:hint="eastAsia"/>
                <w:color w:val="000000"/>
                <w:szCs w:val="21"/>
              </w:rPr>
              <w:t>、砷、镉、六价铬、铜、铅、汞、镍、石油烃</w:t>
            </w:r>
          </w:p>
        </w:tc>
        <w:tc>
          <w:tcPr>
            <w:tcW w:w="749" w:type="dxa"/>
            <w:vMerge w:val="restart"/>
            <w:tcBorders>
              <w:top w:val="single" w:sz="4" w:space="0" w:color="000000"/>
              <w:left w:val="single" w:sz="4" w:space="0" w:color="auto"/>
              <w:right w:val="single" w:sz="4" w:space="0" w:color="auto"/>
            </w:tcBorders>
            <w:vAlign w:val="center"/>
          </w:tcPr>
          <w:p w:rsidR="00E008A1" w:rsidRDefault="00E008A1" w:rsidP="005778BE">
            <w:pPr>
              <w:widowControl/>
              <w:spacing w:line="320" w:lineRule="exact"/>
              <w:jc w:val="center"/>
              <w:rPr>
                <w:szCs w:val="21"/>
              </w:rPr>
            </w:pPr>
            <w:r>
              <w:rPr>
                <w:rFonts w:hint="eastAsia"/>
                <w:szCs w:val="21"/>
              </w:rPr>
              <w:t>污染监测点</w:t>
            </w:r>
          </w:p>
        </w:tc>
        <w:tc>
          <w:tcPr>
            <w:tcW w:w="1377" w:type="dxa"/>
            <w:vMerge w:val="restart"/>
            <w:tcBorders>
              <w:top w:val="single" w:sz="4" w:space="0" w:color="000000"/>
              <w:left w:val="single" w:sz="4" w:space="0" w:color="auto"/>
              <w:right w:val="single" w:sz="4" w:space="0" w:color="000000"/>
            </w:tcBorders>
            <w:vAlign w:val="center"/>
          </w:tcPr>
          <w:p w:rsidR="00E008A1" w:rsidRDefault="00E008A1" w:rsidP="005778BE">
            <w:pPr>
              <w:widowControl/>
              <w:spacing w:line="320" w:lineRule="exact"/>
              <w:jc w:val="center"/>
              <w:rPr>
                <w:szCs w:val="21"/>
              </w:rPr>
            </w:pPr>
            <w:r>
              <w:rPr>
                <w:rFonts w:hint="eastAsia"/>
                <w:szCs w:val="21"/>
              </w:rPr>
              <w:t>现有</w:t>
            </w:r>
          </w:p>
          <w:p w:rsidR="00E008A1" w:rsidRDefault="00E008A1" w:rsidP="005778BE">
            <w:pPr>
              <w:widowControl/>
              <w:spacing w:line="320" w:lineRule="exact"/>
              <w:jc w:val="center"/>
              <w:rPr>
                <w:szCs w:val="21"/>
              </w:rPr>
            </w:pPr>
            <w:r>
              <w:rPr>
                <w:rFonts w:hint="eastAsia"/>
                <w:szCs w:val="21"/>
              </w:rPr>
              <w:t>建设用地</w:t>
            </w:r>
          </w:p>
        </w:tc>
      </w:tr>
      <w:tr w:rsidR="00E008A1" w:rsidTr="00E008A1">
        <w:trPr>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E008A1" w:rsidRDefault="00E008A1" w:rsidP="005778BE">
            <w:pPr>
              <w:widowControl/>
              <w:spacing w:line="320" w:lineRule="exact"/>
              <w:jc w:val="center"/>
              <w:rPr>
                <w:szCs w:val="21"/>
              </w:rPr>
            </w:pPr>
            <w:r>
              <w:rPr>
                <w:rFonts w:hint="eastAsia"/>
                <w:szCs w:val="21"/>
              </w:rPr>
              <w:t>4</w:t>
            </w:r>
          </w:p>
        </w:tc>
        <w:tc>
          <w:tcPr>
            <w:tcW w:w="1099" w:type="dxa"/>
            <w:vMerge/>
            <w:tcBorders>
              <w:left w:val="single" w:sz="4" w:space="0" w:color="000000"/>
              <w:right w:val="single" w:sz="4" w:space="0" w:color="000000"/>
            </w:tcBorders>
            <w:vAlign w:val="center"/>
          </w:tcPr>
          <w:p w:rsidR="00E008A1" w:rsidRDefault="00E008A1" w:rsidP="005778BE">
            <w:pPr>
              <w:spacing w:line="320" w:lineRule="exact"/>
              <w:jc w:val="center"/>
              <w:rPr>
                <w:color w:val="000000"/>
                <w:szCs w:val="21"/>
              </w:rPr>
            </w:pPr>
          </w:p>
        </w:tc>
        <w:tc>
          <w:tcPr>
            <w:tcW w:w="977" w:type="dxa"/>
            <w:tcBorders>
              <w:top w:val="single" w:sz="4" w:space="0" w:color="auto"/>
              <w:left w:val="single" w:sz="4" w:space="0" w:color="000000"/>
              <w:bottom w:val="single" w:sz="4" w:space="0" w:color="000000"/>
              <w:right w:val="single" w:sz="4" w:space="0" w:color="auto"/>
            </w:tcBorders>
            <w:vAlign w:val="center"/>
          </w:tcPr>
          <w:p w:rsidR="00E008A1" w:rsidRDefault="00E008A1" w:rsidP="005778BE">
            <w:pPr>
              <w:widowControl/>
              <w:spacing w:line="320" w:lineRule="exact"/>
              <w:jc w:val="center"/>
              <w:rPr>
                <w:szCs w:val="21"/>
              </w:rPr>
            </w:pPr>
            <w:r>
              <w:rPr>
                <w:rFonts w:hint="eastAsia"/>
                <w:szCs w:val="21"/>
              </w:rPr>
              <w:t>表层样</w:t>
            </w:r>
          </w:p>
        </w:tc>
        <w:tc>
          <w:tcPr>
            <w:tcW w:w="512" w:type="dxa"/>
            <w:tcBorders>
              <w:top w:val="single" w:sz="4" w:space="0" w:color="auto"/>
              <w:left w:val="single" w:sz="4" w:space="0" w:color="auto"/>
              <w:right w:val="single" w:sz="4" w:space="0" w:color="auto"/>
            </w:tcBorders>
            <w:vAlign w:val="center"/>
          </w:tcPr>
          <w:p w:rsidR="00E008A1" w:rsidRDefault="00E008A1" w:rsidP="005778BE">
            <w:pPr>
              <w:widowControl/>
              <w:spacing w:line="320" w:lineRule="exact"/>
              <w:jc w:val="center"/>
              <w:rPr>
                <w:szCs w:val="21"/>
              </w:rPr>
            </w:pPr>
            <w:r>
              <w:rPr>
                <w:rFonts w:hint="eastAsia"/>
                <w:szCs w:val="21"/>
              </w:rPr>
              <w:t>B0</w:t>
            </w:r>
          </w:p>
        </w:tc>
        <w:tc>
          <w:tcPr>
            <w:tcW w:w="4051" w:type="dxa"/>
            <w:tcBorders>
              <w:top w:val="single" w:sz="4" w:space="0" w:color="auto"/>
              <w:left w:val="single" w:sz="4" w:space="0" w:color="auto"/>
              <w:right w:val="single" w:sz="4" w:space="0" w:color="auto"/>
            </w:tcBorders>
            <w:vAlign w:val="center"/>
          </w:tcPr>
          <w:p w:rsidR="00E008A1" w:rsidRDefault="00E008A1" w:rsidP="005778BE">
            <w:pPr>
              <w:widowControl/>
              <w:spacing w:line="320" w:lineRule="exact"/>
              <w:jc w:val="center"/>
              <w:rPr>
                <w:szCs w:val="21"/>
              </w:rPr>
            </w:pPr>
            <w:r>
              <w:rPr>
                <w:rFonts w:hint="eastAsia"/>
                <w:szCs w:val="21"/>
              </w:rPr>
              <w:t>0.2m</w:t>
            </w:r>
            <w:r>
              <w:rPr>
                <w:rFonts w:hint="eastAsia"/>
                <w:szCs w:val="21"/>
              </w:rPr>
              <w:t>取样，</w:t>
            </w:r>
            <w:r>
              <w:rPr>
                <w:rFonts w:hint="eastAsia"/>
                <w:color w:val="000000"/>
                <w:szCs w:val="21"/>
              </w:rPr>
              <w:t>建设用地基本项目</w:t>
            </w:r>
            <w:r>
              <w:rPr>
                <w:rFonts w:hint="eastAsia"/>
                <w:color w:val="000000"/>
                <w:szCs w:val="21"/>
              </w:rPr>
              <w:t>45</w:t>
            </w:r>
            <w:r>
              <w:rPr>
                <w:rFonts w:hint="eastAsia"/>
                <w:color w:val="000000"/>
                <w:szCs w:val="21"/>
              </w:rPr>
              <w:t>项</w:t>
            </w:r>
          </w:p>
        </w:tc>
        <w:tc>
          <w:tcPr>
            <w:tcW w:w="749" w:type="dxa"/>
            <w:vMerge/>
            <w:tcBorders>
              <w:left w:val="single" w:sz="4" w:space="0" w:color="auto"/>
              <w:right w:val="single" w:sz="4" w:space="0" w:color="auto"/>
            </w:tcBorders>
            <w:vAlign w:val="center"/>
          </w:tcPr>
          <w:p w:rsidR="00E008A1" w:rsidRDefault="00E008A1" w:rsidP="005778BE">
            <w:pPr>
              <w:widowControl/>
              <w:spacing w:line="320" w:lineRule="exact"/>
              <w:jc w:val="center"/>
              <w:rPr>
                <w:szCs w:val="21"/>
              </w:rPr>
            </w:pPr>
          </w:p>
        </w:tc>
        <w:tc>
          <w:tcPr>
            <w:tcW w:w="1377" w:type="dxa"/>
            <w:vMerge/>
            <w:tcBorders>
              <w:left w:val="single" w:sz="4" w:space="0" w:color="auto"/>
              <w:right w:val="single" w:sz="4" w:space="0" w:color="000000"/>
            </w:tcBorders>
            <w:vAlign w:val="center"/>
          </w:tcPr>
          <w:p w:rsidR="00E008A1" w:rsidRDefault="00E008A1" w:rsidP="005778BE">
            <w:pPr>
              <w:widowControl/>
              <w:spacing w:line="320" w:lineRule="exact"/>
              <w:jc w:val="center"/>
              <w:rPr>
                <w:szCs w:val="21"/>
              </w:rPr>
            </w:pPr>
          </w:p>
        </w:tc>
      </w:tr>
      <w:tr w:rsidR="00E008A1">
        <w:trPr>
          <w:trHeight w:val="7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E008A1" w:rsidRDefault="00E008A1" w:rsidP="005778BE">
            <w:pPr>
              <w:widowControl/>
              <w:spacing w:line="320" w:lineRule="exact"/>
              <w:jc w:val="center"/>
              <w:rPr>
                <w:szCs w:val="21"/>
              </w:rPr>
            </w:pPr>
            <w:r>
              <w:rPr>
                <w:rFonts w:hint="eastAsia"/>
                <w:szCs w:val="21"/>
              </w:rPr>
              <w:t>5</w:t>
            </w:r>
          </w:p>
        </w:tc>
        <w:tc>
          <w:tcPr>
            <w:tcW w:w="1099" w:type="dxa"/>
            <w:tcBorders>
              <w:top w:val="single" w:sz="4" w:space="0" w:color="000000"/>
              <w:left w:val="single" w:sz="4" w:space="0" w:color="000000"/>
              <w:bottom w:val="single" w:sz="4" w:space="0" w:color="000000"/>
              <w:right w:val="single" w:sz="4" w:space="0" w:color="000000"/>
            </w:tcBorders>
            <w:vAlign w:val="center"/>
          </w:tcPr>
          <w:p w:rsidR="00E008A1" w:rsidRDefault="00E008A1" w:rsidP="005778BE">
            <w:pPr>
              <w:widowControl/>
              <w:spacing w:line="320" w:lineRule="exact"/>
              <w:jc w:val="center"/>
              <w:rPr>
                <w:bCs/>
                <w:szCs w:val="21"/>
              </w:rPr>
            </w:pPr>
            <w:r>
              <w:rPr>
                <w:rFonts w:hint="eastAsia"/>
                <w:bCs/>
                <w:szCs w:val="21"/>
              </w:rPr>
              <w:t>采区内</w:t>
            </w:r>
          </w:p>
        </w:tc>
        <w:tc>
          <w:tcPr>
            <w:tcW w:w="977" w:type="dxa"/>
            <w:tcBorders>
              <w:top w:val="single" w:sz="4" w:space="0" w:color="000000"/>
              <w:left w:val="single" w:sz="4" w:space="0" w:color="000000"/>
              <w:bottom w:val="single" w:sz="4" w:space="0" w:color="000000"/>
              <w:right w:val="single" w:sz="4" w:space="0" w:color="auto"/>
            </w:tcBorders>
            <w:vAlign w:val="center"/>
          </w:tcPr>
          <w:p w:rsidR="00E008A1" w:rsidRDefault="00E008A1" w:rsidP="005778BE">
            <w:pPr>
              <w:widowControl/>
              <w:spacing w:line="320" w:lineRule="exact"/>
              <w:jc w:val="center"/>
              <w:rPr>
                <w:szCs w:val="21"/>
              </w:rPr>
            </w:pPr>
            <w:r>
              <w:rPr>
                <w:rFonts w:hint="eastAsia"/>
                <w:szCs w:val="21"/>
              </w:rPr>
              <w:t>表层样</w:t>
            </w:r>
          </w:p>
        </w:tc>
        <w:tc>
          <w:tcPr>
            <w:tcW w:w="512" w:type="dxa"/>
            <w:tcBorders>
              <w:top w:val="single" w:sz="4" w:space="0" w:color="000000"/>
              <w:left w:val="single" w:sz="4" w:space="0" w:color="auto"/>
              <w:right w:val="single" w:sz="4" w:space="0" w:color="auto"/>
            </w:tcBorders>
            <w:vAlign w:val="center"/>
          </w:tcPr>
          <w:p w:rsidR="00E008A1" w:rsidRDefault="00E008A1" w:rsidP="005778BE">
            <w:pPr>
              <w:widowControl/>
              <w:spacing w:line="320" w:lineRule="exact"/>
              <w:jc w:val="center"/>
              <w:rPr>
                <w:szCs w:val="21"/>
              </w:rPr>
            </w:pPr>
            <w:r>
              <w:rPr>
                <w:rFonts w:hint="eastAsia"/>
                <w:szCs w:val="21"/>
              </w:rPr>
              <w:t>B1</w:t>
            </w:r>
          </w:p>
        </w:tc>
        <w:tc>
          <w:tcPr>
            <w:tcW w:w="4051" w:type="dxa"/>
            <w:tcBorders>
              <w:top w:val="single" w:sz="4" w:space="0" w:color="000000"/>
              <w:left w:val="single" w:sz="4" w:space="0" w:color="auto"/>
              <w:right w:val="single" w:sz="4" w:space="0" w:color="auto"/>
            </w:tcBorders>
            <w:vAlign w:val="center"/>
          </w:tcPr>
          <w:p w:rsidR="00E008A1" w:rsidRDefault="00E008A1" w:rsidP="005778BE">
            <w:pPr>
              <w:widowControl/>
              <w:spacing w:line="320" w:lineRule="exact"/>
              <w:jc w:val="center"/>
              <w:rPr>
                <w:szCs w:val="21"/>
              </w:rPr>
            </w:pPr>
            <w:r>
              <w:rPr>
                <w:rFonts w:hint="eastAsia"/>
                <w:szCs w:val="21"/>
              </w:rPr>
              <w:t>0.2m</w:t>
            </w:r>
            <w:r>
              <w:rPr>
                <w:rFonts w:hint="eastAsia"/>
                <w:szCs w:val="21"/>
              </w:rPr>
              <w:t>取样，</w:t>
            </w:r>
            <w:r w:rsidR="00F80450" w:rsidRPr="00BB2DB4">
              <w:rPr>
                <w:szCs w:val="21"/>
              </w:rPr>
              <w:t>pH</w:t>
            </w:r>
            <w:r w:rsidR="00F80450" w:rsidRPr="00BB2DB4">
              <w:rPr>
                <w:rFonts w:hint="eastAsia"/>
                <w:szCs w:val="21"/>
              </w:rPr>
              <w:t>、阳离子交换量、氧化还原电位、饱和导水率、全盐量、氟，</w:t>
            </w:r>
            <w:r w:rsidR="00F80450">
              <w:rPr>
                <w:rFonts w:hint="eastAsia"/>
                <w:szCs w:val="21"/>
              </w:rPr>
              <w:t>以及</w:t>
            </w:r>
            <w:r w:rsidR="00F80450" w:rsidRPr="004B1304">
              <w:rPr>
                <w:rFonts w:hint="eastAsia"/>
                <w:szCs w:val="21"/>
              </w:rPr>
              <w:t>砷、镉、铬、铜、铅、汞、镍、锌</w:t>
            </w:r>
          </w:p>
        </w:tc>
        <w:tc>
          <w:tcPr>
            <w:tcW w:w="749" w:type="dxa"/>
            <w:vMerge w:val="restart"/>
            <w:tcBorders>
              <w:top w:val="single" w:sz="4" w:space="0" w:color="000000"/>
              <w:left w:val="single" w:sz="4" w:space="0" w:color="auto"/>
              <w:right w:val="single" w:sz="4" w:space="0" w:color="auto"/>
            </w:tcBorders>
            <w:vAlign w:val="center"/>
          </w:tcPr>
          <w:p w:rsidR="00E008A1" w:rsidRDefault="00E008A1" w:rsidP="005778BE">
            <w:pPr>
              <w:widowControl/>
              <w:spacing w:line="320" w:lineRule="exact"/>
              <w:jc w:val="center"/>
              <w:rPr>
                <w:szCs w:val="21"/>
              </w:rPr>
            </w:pPr>
            <w:r>
              <w:rPr>
                <w:rFonts w:hint="eastAsia"/>
                <w:szCs w:val="21"/>
              </w:rPr>
              <w:t>背景</w:t>
            </w:r>
          </w:p>
          <w:p w:rsidR="00E008A1" w:rsidRDefault="00E008A1" w:rsidP="005778BE">
            <w:pPr>
              <w:widowControl/>
              <w:spacing w:line="320" w:lineRule="exact"/>
              <w:jc w:val="center"/>
              <w:rPr>
                <w:szCs w:val="21"/>
              </w:rPr>
            </w:pPr>
            <w:r>
              <w:rPr>
                <w:rFonts w:hint="eastAsia"/>
                <w:szCs w:val="21"/>
              </w:rPr>
              <w:t>监测点</w:t>
            </w:r>
          </w:p>
        </w:tc>
        <w:tc>
          <w:tcPr>
            <w:tcW w:w="1377" w:type="dxa"/>
            <w:vMerge w:val="restart"/>
            <w:tcBorders>
              <w:top w:val="single" w:sz="4" w:space="0" w:color="000000"/>
              <w:left w:val="single" w:sz="4" w:space="0" w:color="auto"/>
              <w:right w:val="single" w:sz="4" w:space="0" w:color="000000"/>
            </w:tcBorders>
            <w:vAlign w:val="center"/>
          </w:tcPr>
          <w:p w:rsidR="00E008A1" w:rsidRDefault="00E008A1" w:rsidP="005778BE">
            <w:pPr>
              <w:spacing w:line="320" w:lineRule="exact"/>
              <w:jc w:val="center"/>
              <w:rPr>
                <w:szCs w:val="21"/>
              </w:rPr>
            </w:pPr>
            <w:r>
              <w:rPr>
                <w:rFonts w:hint="eastAsia"/>
                <w:szCs w:val="21"/>
              </w:rPr>
              <w:t>占地范围外及生态调查范围内耕地</w:t>
            </w:r>
          </w:p>
        </w:tc>
      </w:tr>
      <w:tr w:rsidR="00F80450">
        <w:trPr>
          <w:trHeight w:val="7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F80450" w:rsidRDefault="00F80450" w:rsidP="005778BE">
            <w:pPr>
              <w:widowControl/>
              <w:spacing w:line="320" w:lineRule="exact"/>
              <w:jc w:val="center"/>
              <w:rPr>
                <w:szCs w:val="21"/>
              </w:rPr>
            </w:pPr>
            <w:r>
              <w:rPr>
                <w:rFonts w:hint="eastAsia"/>
                <w:szCs w:val="21"/>
              </w:rPr>
              <w:t>6</w:t>
            </w:r>
          </w:p>
        </w:tc>
        <w:tc>
          <w:tcPr>
            <w:tcW w:w="1099" w:type="dxa"/>
            <w:tcBorders>
              <w:top w:val="single" w:sz="4" w:space="0" w:color="000000"/>
              <w:left w:val="single" w:sz="4" w:space="0" w:color="000000"/>
              <w:bottom w:val="single" w:sz="4" w:space="0" w:color="000000"/>
              <w:right w:val="single" w:sz="4" w:space="0" w:color="000000"/>
            </w:tcBorders>
            <w:vAlign w:val="center"/>
          </w:tcPr>
          <w:p w:rsidR="00F80450" w:rsidRDefault="00F80450" w:rsidP="005778BE">
            <w:pPr>
              <w:widowControl/>
              <w:spacing w:line="320" w:lineRule="exact"/>
              <w:jc w:val="center"/>
              <w:rPr>
                <w:bCs/>
                <w:szCs w:val="21"/>
              </w:rPr>
            </w:pPr>
            <w:r>
              <w:rPr>
                <w:rFonts w:hint="eastAsia"/>
                <w:bCs/>
                <w:szCs w:val="21"/>
              </w:rPr>
              <w:t>采区外</w:t>
            </w:r>
          </w:p>
        </w:tc>
        <w:tc>
          <w:tcPr>
            <w:tcW w:w="977" w:type="dxa"/>
            <w:tcBorders>
              <w:top w:val="single" w:sz="4" w:space="0" w:color="000000"/>
              <w:left w:val="single" w:sz="4" w:space="0" w:color="000000"/>
              <w:bottom w:val="single" w:sz="4" w:space="0" w:color="000000"/>
              <w:right w:val="single" w:sz="4" w:space="0" w:color="auto"/>
            </w:tcBorders>
            <w:vAlign w:val="center"/>
          </w:tcPr>
          <w:p w:rsidR="00F80450" w:rsidRDefault="00F80450" w:rsidP="005778BE">
            <w:pPr>
              <w:widowControl/>
              <w:spacing w:line="320" w:lineRule="exact"/>
              <w:jc w:val="center"/>
              <w:rPr>
                <w:szCs w:val="21"/>
              </w:rPr>
            </w:pPr>
            <w:r>
              <w:rPr>
                <w:rFonts w:hint="eastAsia"/>
                <w:szCs w:val="21"/>
              </w:rPr>
              <w:t>表层样</w:t>
            </w:r>
          </w:p>
        </w:tc>
        <w:tc>
          <w:tcPr>
            <w:tcW w:w="512" w:type="dxa"/>
            <w:tcBorders>
              <w:left w:val="single" w:sz="4" w:space="0" w:color="auto"/>
              <w:right w:val="single" w:sz="4" w:space="0" w:color="auto"/>
            </w:tcBorders>
            <w:vAlign w:val="center"/>
          </w:tcPr>
          <w:p w:rsidR="00F80450" w:rsidRDefault="00F80450" w:rsidP="005778BE">
            <w:pPr>
              <w:spacing w:line="320" w:lineRule="exact"/>
              <w:jc w:val="center"/>
              <w:rPr>
                <w:szCs w:val="21"/>
              </w:rPr>
            </w:pPr>
            <w:r>
              <w:rPr>
                <w:rFonts w:hint="eastAsia"/>
                <w:szCs w:val="21"/>
              </w:rPr>
              <w:t>B2</w:t>
            </w:r>
          </w:p>
        </w:tc>
        <w:tc>
          <w:tcPr>
            <w:tcW w:w="4051" w:type="dxa"/>
            <w:vMerge w:val="restart"/>
            <w:tcBorders>
              <w:left w:val="single" w:sz="4" w:space="0" w:color="auto"/>
              <w:right w:val="single" w:sz="4" w:space="0" w:color="auto"/>
            </w:tcBorders>
            <w:vAlign w:val="center"/>
          </w:tcPr>
          <w:p w:rsidR="00F80450" w:rsidRDefault="00F80450" w:rsidP="005778BE">
            <w:pPr>
              <w:spacing w:line="320" w:lineRule="exact"/>
              <w:jc w:val="center"/>
              <w:rPr>
                <w:szCs w:val="21"/>
              </w:rPr>
            </w:pPr>
            <w:r>
              <w:rPr>
                <w:rFonts w:hint="eastAsia"/>
                <w:szCs w:val="21"/>
              </w:rPr>
              <w:t>0.2m</w:t>
            </w:r>
            <w:r>
              <w:rPr>
                <w:rFonts w:hint="eastAsia"/>
                <w:szCs w:val="21"/>
              </w:rPr>
              <w:t>取样，</w:t>
            </w:r>
            <w:r w:rsidRPr="00BB2DB4">
              <w:rPr>
                <w:szCs w:val="21"/>
              </w:rPr>
              <w:t>pH</w:t>
            </w:r>
            <w:r w:rsidRPr="00BB2DB4">
              <w:rPr>
                <w:rFonts w:hint="eastAsia"/>
                <w:szCs w:val="21"/>
              </w:rPr>
              <w:t>、全盐量</w:t>
            </w:r>
            <w:r>
              <w:rPr>
                <w:rFonts w:hint="eastAsia"/>
                <w:szCs w:val="21"/>
              </w:rPr>
              <w:t>、</w:t>
            </w:r>
            <w:r w:rsidRPr="004B1304">
              <w:rPr>
                <w:rFonts w:hint="eastAsia"/>
                <w:szCs w:val="21"/>
              </w:rPr>
              <w:t>砷、镉、铬、铜、铅、汞、镍、锌</w:t>
            </w:r>
          </w:p>
        </w:tc>
        <w:tc>
          <w:tcPr>
            <w:tcW w:w="749" w:type="dxa"/>
            <w:vMerge/>
            <w:tcBorders>
              <w:left w:val="single" w:sz="4" w:space="0" w:color="auto"/>
              <w:right w:val="single" w:sz="4" w:space="0" w:color="auto"/>
            </w:tcBorders>
            <w:vAlign w:val="center"/>
          </w:tcPr>
          <w:p w:rsidR="00F80450" w:rsidRDefault="00F80450" w:rsidP="005778BE">
            <w:pPr>
              <w:widowControl/>
              <w:spacing w:line="320" w:lineRule="exact"/>
              <w:jc w:val="center"/>
              <w:rPr>
                <w:szCs w:val="21"/>
              </w:rPr>
            </w:pPr>
          </w:p>
        </w:tc>
        <w:tc>
          <w:tcPr>
            <w:tcW w:w="1377" w:type="dxa"/>
            <w:vMerge/>
            <w:tcBorders>
              <w:left w:val="single" w:sz="4" w:space="0" w:color="auto"/>
              <w:right w:val="single" w:sz="4" w:space="0" w:color="000000"/>
            </w:tcBorders>
            <w:vAlign w:val="center"/>
          </w:tcPr>
          <w:p w:rsidR="00F80450" w:rsidRDefault="00F80450" w:rsidP="005778BE">
            <w:pPr>
              <w:widowControl/>
              <w:spacing w:line="320" w:lineRule="exact"/>
              <w:jc w:val="center"/>
              <w:rPr>
                <w:szCs w:val="21"/>
              </w:rPr>
            </w:pPr>
          </w:p>
        </w:tc>
      </w:tr>
      <w:tr w:rsidR="00F80450">
        <w:trPr>
          <w:trHeight w:val="7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F80450" w:rsidRDefault="00F80450" w:rsidP="005778BE">
            <w:pPr>
              <w:widowControl/>
              <w:spacing w:line="320" w:lineRule="exact"/>
              <w:jc w:val="center"/>
              <w:rPr>
                <w:szCs w:val="21"/>
              </w:rPr>
            </w:pPr>
            <w:r>
              <w:rPr>
                <w:rFonts w:hint="eastAsia"/>
                <w:szCs w:val="21"/>
              </w:rPr>
              <w:t>7</w:t>
            </w:r>
          </w:p>
        </w:tc>
        <w:tc>
          <w:tcPr>
            <w:tcW w:w="1099" w:type="dxa"/>
            <w:tcBorders>
              <w:top w:val="single" w:sz="4" w:space="0" w:color="000000"/>
              <w:left w:val="single" w:sz="4" w:space="0" w:color="000000"/>
              <w:bottom w:val="single" w:sz="4" w:space="0" w:color="000000"/>
              <w:right w:val="single" w:sz="4" w:space="0" w:color="000000"/>
            </w:tcBorders>
            <w:vAlign w:val="center"/>
          </w:tcPr>
          <w:p w:rsidR="00F80450" w:rsidRDefault="00F80450" w:rsidP="005778BE">
            <w:pPr>
              <w:widowControl/>
              <w:spacing w:line="320" w:lineRule="exact"/>
              <w:jc w:val="center"/>
              <w:rPr>
                <w:bCs/>
                <w:szCs w:val="21"/>
              </w:rPr>
            </w:pPr>
            <w:r>
              <w:rPr>
                <w:rFonts w:hint="eastAsia"/>
                <w:bCs/>
                <w:szCs w:val="21"/>
              </w:rPr>
              <w:t>采区外</w:t>
            </w:r>
          </w:p>
        </w:tc>
        <w:tc>
          <w:tcPr>
            <w:tcW w:w="977" w:type="dxa"/>
            <w:tcBorders>
              <w:top w:val="single" w:sz="4" w:space="0" w:color="000000"/>
              <w:left w:val="single" w:sz="4" w:space="0" w:color="000000"/>
              <w:bottom w:val="single" w:sz="4" w:space="0" w:color="000000"/>
              <w:right w:val="single" w:sz="4" w:space="0" w:color="auto"/>
            </w:tcBorders>
            <w:vAlign w:val="center"/>
          </w:tcPr>
          <w:p w:rsidR="00F80450" w:rsidRDefault="00F80450" w:rsidP="005778BE">
            <w:pPr>
              <w:widowControl/>
              <w:spacing w:line="320" w:lineRule="exact"/>
              <w:jc w:val="center"/>
              <w:rPr>
                <w:szCs w:val="21"/>
              </w:rPr>
            </w:pPr>
            <w:r>
              <w:rPr>
                <w:rFonts w:hint="eastAsia"/>
                <w:szCs w:val="21"/>
              </w:rPr>
              <w:t>表层样</w:t>
            </w:r>
          </w:p>
        </w:tc>
        <w:tc>
          <w:tcPr>
            <w:tcW w:w="512" w:type="dxa"/>
            <w:tcBorders>
              <w:left w:val="single" w:sz="4" w:space="0" w:color="auto"/>
              <w:right w:val="single" w:sz="4" w:space="0" w:color="auto"/>
            </w:tcBorders>
            <w:vAlign w:val="center"/>
          </w:tcPr>
          <w:p w:rsidR="00F80450" w:rsidRDefault="00F80450" w:rsidP="005778BE">
            <w:pPr>
              <w:spacing w:line="320" w:lineRule="exact"/>
              <w:jc w:val="center"/>
              <w:rPr>
                <w:szCs w:val="21"/>
              </w:rPr>
            </w:pPr>
            <w:r>
              <w:rPr>
                <w:rFonts w:hint="eastAsia"/>
                <w:szCs w:val="21"/>
              </w:rPr>
              <w:t>B3</w:t>
            </w:r>
          </w:p>
        </w:tc>
        <w:tc>
          <w:tcPr>
            <w:tcW w:w="4051" w:type="dxa"/>
            <w:vMerge/>
            <w:tcBorders>
              <w:left w:val="single" w:sz="4" w:space="0" w:color="auto"/>
              <w:right w:val="single" w:sz="4" w:space="0" w:color="auto"/>
            </w:tcBorders>
            <w:vAlign w:val="center"/>
          </w:tcPr>
          <w:p w:rsidR="00F80450" w:rsidRDefault="00F80450" w:rsidP="005778BE">
            <w:pPr>
              <w:spacing w:line="320" w:lineRule="exact"/>
              <w:jc w:val="center"/>
              <w:rPr>
                <w:szCs w:val="21"/>
              </w:rPr>
            </w:pPr>
          </w:p>
        </w:tc>
        <w:tc>
          <w:tcPr>
            <w:tcW w:w="749" w:type="dxa"/>
            <w:vMerge/>
            <w:tcBorders>
              <w:left w:val="single" w:sz="4" w:space="0" w:color="auto"/>
              <w:right w:val="single" w:sz="4" w:space="0" w:color="auto"/>
            </w:tcBorders>
            <w:vAlign w:val="center"/>
          </w:tcPr>
          <w:p w:rsidR="00F80450" w:rsidRDefault="00F80450" w:rsidP="005778BE">
            <w:pPr>
              <w:widowControl/>
              <w:spacing w:line="320" w:lineRule="exact"/>
              <w:jc w:val="center"/>
              <w:rPr>
                <w:szCs w:val="21"/>
              </w:rPr>
            </w:pPr>
          </w:p>
        </w:tc>
        <w:tc>
          <w:tcPr>
            <w:tcW w:w="1377" w:type="dxa"/>
            <w:vMerge/>
            <w:tcBorders>
              <w:left w:val="single" w:sz="4" w:space="0" w:color="auto"/>
              <w:right w:val="single" w:sz="4" w:space="0" w:color="000000"/>
            </w:tcBorders>
            <w:vAlign w:val="center"/>
          </w:tcPr>
          <w:p w:rsidR="00F80450" w:rsidRDefault="00F80450" w:rsidP="005778BE">
            <w:pPr>
              <w:widowControl/>
              <w:spacing w:line="320" w:lineRule="exact"/>
              <w:jc w:val="center"/>
              <w:rPr>
                <w:szCs w:val="21"/>
              </w:rPr>
            </w:pPr>
          </w:p>
        </w:tc>
      </w:tr>
    </w:tbl>
    <w:p w:rsidR="00C223F5" w:rsidRDefault="005860D5">
      <w:pPr>
        <w:tabs>
          <w:tab w:val="left" w:pos="2552"/>
          <w:tab w:val="left" w:pos="5387"/>
        </w:tabs>
        <w:adjustRightInd w:val="0"/>
        <w:spacing w:line="360" w:lineRule="auto"/>
        <w:ind w:firstLineChars="200" w:firstLine="480"/>
        <w:rPr>
          <w:color w:val="000000"/>
          <w:sz w:val="24"/>
        </w:rPr>
      </w:pPr>
      <w:r>
        <w:rPr>
          <w:color w:val="000000"/>
          <w:sz w:val="24"/>
        </w:rPr>
        <w:t>（</w:t>
      </w:r>
      <w:r>
        <w:rPr>
          <w:color w:val="000000"/>
          <w:sz w:val="24"/>
        </w:rPr>
        <w:t>3</w:t>
      </w:r>
      <w:r>
        <w:rPr>
          <w:color w:val="000000"/>
          <w:sz w:val="24"/>
        </w:rPr>
        <w:t>）监测结果</w:t>
      </w:r>
    </w:p>
    <w:p w:rsidR="00C223F5" w:rsidRDefault="005860D5">
      <w:pPr>
        <w:tabs>
          <w:tab w:val="left" w:pos="2552"/>
          <w:tab w:val="left" w:pos="5387"/>
        </w:tabs>
        <w:adjustRightInd w:val="0"/>
        <w:spacing w:line="360" w:lineRule="auto"/>
        <w:ind w:firstLineChars="200" w:firstLine="480"/>
        <w:rPr>
          <w:color w:val="000000"/>
          <w:sz w:val="24"/>
        </w:rPr>
      </w:pPr>
      <w:r>
        <w:rPr>
          <w:rFonts w:hint="eastAsia"/>
          <w:color w:val="000000"/>
          <w:sz w:val="24"/>
        </w:rPr>
        <w:t>土壤环境监测</w:t>
      </w:r>
      <w:r>
        <w:rPr>
          <w:color w:val="000000"/>
          <w:sz w:val="24"/>
        </w:rPr>
        <w:t>结果见表</w:t>
      </w:r>
      <w:r>
        <w:rPr>
          <w:color w:val="000000"/>
          <w:sz w:val="24"/>
        </w:rPr>
        <w:t>3.</w:t>
      </w:r>
      <w:r>
        <w:rPr>
          <w:rFonts w:hint="eastAsia"/>
          <w:color w:val="000000"/>
          <w:sz w:val="24"/>
        </w:rPr>
        <w:t>3</w:t>
      </w:r>
      <w:r>
        <w:rPr>
          <w:color w:val="000000"/>
          <w:sz w:val="24"/>
        </w:rPr>
        <w:t>.5-</w:t>
      </w:r>
      <w:r>
        <w:rPr>
          <w:rFonts w:hint="eastAsia"/>
          <w:color w:val="000000"/>
          <w:sz w:val="24"/>
        </w:rPr>
        <w:t>2</w:t>
      </w:r>
      <w:r>
        <w:rPr>
          <w:rFonts w:hint="eastAsia"/>
          <w:color w:val="000000"/>
          <w:sz w:val="24"/>
        </w:rPr>
        <w:t>和表</w:t>
      </w:r>
      <w:r>
        <w:rPr>
          <w:rFonts w:hint="eastAsia"/>
          <w:color w:val="000000"/>
          <w:sz w:val="24"/>
        </w:rPr>
        <w:t>3.3.5-3</w:t>
      </w:r>
      <w:r>
        <w:rPr>
          <w:color w:val="000000"/>
          <w:sz w:val="24"/>
        </w:rPr>
        <w:t>。</w:t>
      </w:r>
    </w:p>
    <w:p w:rsidR="005778BE" w:rsidRDefault="005778BE">
      <w:pPr>
        <w:tabs>
          <w:tab w:val="left" w:pos="2552"/>
          <w:tab w:val="left" w:pos="5387"/>
        </w:tabs>
        <w:adjustRightInd w:val="0"/>
        <w:spacing w:line="360" w:lineRule="auto"/>
        <w:ind w:firstLineChars="200" w:firstLine="480"/>
        <w:rPr>
          <w:sz w:val="24"/>
        </w:rPr>
      </w:pPr>
      <w:r>
        <w:rPr>
          <w:color w:val="000000"/>
          <w:sz w:val="24"/>
        </w:rPr>
        <w:t>从监测结果可以看出</w:t>
      </w:r>
      <w:r w:rsidRPr="00925B84">
        <w:rPr>
          <w:sz w:val="24"/>
        </w:rPr>
        <w:t>，工业场地</w:t>
      </w:r>
      <w:r w:rsidRPr="00925B84">
        <w:rPr>
          <w:rFonts w:hint="eastAsia"/>
          <w:sz w:val="24"/>
        </w:rPr>
        <w:t>及扩建区土壤表层样、柱状样的各监测项目</w:t>
      </w:r>
      <w:r w:rsidRPr="00925B84">
        <w:rPr>
          <w:sz w:val="24"/>
        </w:rPr>
        <w:t>监测值满足《建设用地土壤污染风险管控标准》（试行）（</w:t>
      </w:r>
      <w:r w:rsidRPr="00925B84">
        <w:rPr>
          <w:sz w:val="24"/>
        </w:rPr>
        <w:t>GB36600-2018</w:t>
      </w:r>
      <w:r w:rsidRPr="00925B84">
        <w:rPr>
          <w:sz w:val="24"/>
        </w:rPr>
        <w:t>）第二类用地筛选值标准</w:t>
      </w:r>
      <w:r w:rsidRPr="00925B84">
        <w:rPr>
          <w:rFonts w:hint="eastAsia"/>
          <w:sz w:val="24"/>
        </w:rPr>
        <w:t>；采煤区监测点各项指标满足</w:t>
      </w:r>
      <w:r w:rsidRPr="00925B84">
        <w:rPr>
          <w:sz w:val="24"/>
        </w:rPr>
        <w:t>《农用地土壤污染风险管控标准》（试行）（</w:t>
      </w:r>
      <w:r w:rsidRPr="00925B84">
        <w:rPr>
          <w:sz w:val="24"/>
        </w:rPr>
        <w:t>GB15618-2018</w:t>
      </w:r>
      <w:r w:rsidRPr="00925B84">
        <w:rPr>
          <w:sz w:val="24"/>
        </w:rPr>
        <w:t>）筛选值标准，土壤环境质量良好</w:t>
      </w:r>
      <w:r w:rsidRPr="00925B84">
        <w:rPr>
          <w:rFonts w:hint="eastAsia"/>
          <w:sz w:val="24"/>
        </w:rPr>
        <w:t>；不存在土壤盐化、酸化、碱化的状况</w:t>
      </w:r>
      <w:r>
        <w:rPr>
          <w:rFonts w:hint="eastAsia"/>
          <w:sz w:val="24"/>
        </w:rPr>
        <w:t>。</w:t>
      </w:r>
    </w:p>
    <w:p w:rsidR="005778BE" w:rsidRDefault="005778BE">
      <w:pPr>
        <w:tabs>
          <w:tab w:val="left" w:pos="2552"/>
          <w:tab w:val="left" w:pos="5387"/>
        </w:tabs>
        <w:adjustRightInd w:val="0"/>
        <w:spacing w:line="360" w:lineRule="auto"/>
        <w:ind w:firstLineChars="200" w:firstLine="480"/>
        <w:rPr>
          <w:sz w:val="24"/>
        </w:rPr>
      </w:pPr>
    </w:p>
    <w:p w:rsidR="005778BE" w:rsidRDefault="005778BE">
      <w:pPr>
        <w:tabs>
          <w:tab w:val="left" w:pos="2552"/>
          <w:tab w:val="left" w:pos="5387"/>
        </w:tabs>
        <w:adjustRightInd w:val="0"/>
        <w:spacing w:line="360" w:lineRule="auto"/>
        <w:ind w:firstLineChars="200" w:firstLine="480"/>
        <w:rPr>
          <w:sz w:val="24"/>
        </w:rPr>
      </w:pPr>
    </w:p>
    <w:p w:rsidR="005778BE" w:rsidRDefault="005778BE">
      <w:pPr>
        <w:tabs>
          <w:tab w:val="left" w:pos="2552"/>
          <w:tab w:val="left" w:pos="5387"/>
        </w:tabs>
        <w:adjustRightInd w:val="0"/>
        <w:spacing w:line="360" w:lineRule="auto"/>
        <w:ind w:firstLineChars="200" w:firstLine="480"/>
        <w:rPr>
          <w:sz w:val="24"/>
        </w:rPr>
      </w:pPr>
    </w:p>
    <w:p w:rsidR="005778BE" w:rsidRDefault="005778BE">
      <w:pPr>
        <w:tabs>
          <w:tab w:val="left" w:pos="2552"/>
          <w:tab w:val="left" w:pos="5387"/>
        </w:tabs>
        <w:adjustRightInd w:val="0"/>
        <w:spacing w:line="360" w:lineRule="auto"/>
        <w:ind w:firstLineChars="200" w:firstLine="480"/>
        <w:rPr>
          <w:sz w:val="24"/>
        </w:rPr>
      </w:pPr>
    </w:p>
    <w:p w:rsidR="005778BE" w:rsidRDefault="005778BE">
      <w:pPr>
        <w:tabs>
          <w:tab w:val="left" w:pos="2552"/>
          <w:tab w:val="left" w:pos="5387"/>
        </w:tabs>
        <w:adjustRightInd w:val="0"/>
        <w:spacing w:line="360" w:lineRule="auto"/>
        <w:ind w:firstLineChars="200" w:firstLine="480"/>
        <w:rPr>
          <w:sz w:val="24"/>
        </w:rPr>
      </w:pPr>
    </w:p>
    <w:p w:rsidR="005778BE" w:rsidRDefault="005778BE">
      <w:pPr>
        <w:tabs>
          <w:tab w:val="left" w:pos="2552"/>
          <w:tab w:val="left" w:pos="5387"/>
        </w:tabs>
        <w:adjustRightInd w:val="0"/>
        <w:spacing w:line="360" w:lineRule="auto"/>
        <w:ind w:firstLineChars="200" w:firstLine="480"/>
        <w:rPr>
          <w:sz w:val="24"/>
        </w:rPr>
      </w:pPr>
    </w:p>
    <w:p w:rsidR="005778BE" w:rsidRDefault="005778BE">
      <w:pPr>
        <w:tabs>
          <w:tab w:val="left" w:pos="2552"/>
          <w:tab w:val="left" w:pos="5387"/>
        </w:tabs>
        <w:adjustRightInd w:val="0"/>
        <w:spacing w:line="360" w:lineRule="auto"/>
        <w:ind w:firstLineChars="200" w:firstLine="480"/>
        <w:rPr>
          <w:sz w:val="24"/>
        </w:rPr>
      </w:pPr>
    </w:p>
    <w:p w:rsidR="005778BE" w:rsidRDefault="005778BE">
      <w:pPr>
        <w:tabs>
          <w:tab w:val="left" w:pos="2552"/>
          <w:tab w:val="left" w:pos="5387"/>
        </w:tabs>
        <w:adjustRightInd w:val="0"/>
        <w:spacing w:line="360" w:lineRule="auto"/>
        <w:ind w:firstLineChars="200" w:firstLine="480"/>
        <w:rPr>
          <w:sz w:val="24"/>
        </w:rPr>
      </w:pPr>
    </w:p>
    <w:p w:rsidR="005778BE" w:rsidRDefault="005778BE">
      <w:pPr>
        <w:tabs>
          <w:tab w:val="left" w:pos="2552"/>
          <w:tab w:val="left" w:pos="5387"/>
        </w:tabs>
        <w:adjustRightInd w:val="0"/>
        <w:spacing w:line="360" w:lineRule="auto"/>
        <w:ind w:firstLineChars="200" w:firstLine="480"/>
        <w:rPr>
          <w:color w:val="000000"/>
          <w:sz w:val="24"/>
        </w:rPr>
      </w:pPr>
    </w:p>
    <w:p w:rsidR="00C223F5" w:rsidRDefault="005860D5">
      <w:pPr>
        <w:tabs>
          <w:tab w:val="left" w:pos="2552"/>
          <w:tab w:val="left" w:pos="5387"/>
        </w:tabs>
        <w:adjustRightInd w:val="0"/>
        <w:jc w:val="center"/>
        <w:rPr>
          <w:b/>
          <w:color w:val="000000"/>
          <w:sz w:val="24"/>
        </w:rPr>
      </w:pPr>
      <w:r>
        <w:rPr>
          <w:b/>
          <w:color w:val="000000"/>
          <w:sz w:val="24"/>
        </w:rPr>
        <w:lastRenderedPageBreak/>
        <w:t>表</w:t>
      </w:r>
      <w:r>
        <w:rPr>
          <w:b/>
          <w:color w:val="000000"/>
          <w:sz w:val="24"/>
        </w:rPr>
        <w:t>3.</w:t>
      </w:r>
      <w:r>
        <w:rPr>
          <w:rFonts w:hint="eastAsia"/>
          <w:b/>
          <w:color w:val="000000"/>
          <w:sz w:val="24"/>
        </w:rPr>
        <w:t>3</w:t>
      </w:r>
      <w:r>
        <w:rPr>
          <w:b/>
          <w:color w:val="000000"/>
          <w:sz w:val="24"/>
        </w:rPr>
        <w:t>.5-</w:t>
      </w:r>
      <w:r>
        <w:rPr>
          <w:rFonts w:hint="eastAsia"/>
          <w:b/>
          <w:color w:val="000000"/>
          <w:sz w:val="24"/>
        </w:rPr>
        <w:t>2</w:t>
      </w:r>
      <w:r>
        <w:rPr>
          <w:b/>
          <w:color w:val="000000"/>
          <w:sz w:val="24"/>
        </w:rPr>
        <w:t xml:space="preserve">    </w:t>
      </w:r>
      <w:r>
        <w:rPr>
          <w:b/>
          <w:color w:val="000000"/>
          <w:sz w:val="24"/>
        </w:rPr>
        <w:t>评价区土壤环境质量现状</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588"/>
        <w:gridCol w:w="408"/>
        <w:gridCol w:w="1405"/>
        <w:gridCol w:w="514"/>
        <w:gridCol w:w="1849"/>
        <w:gridCol w:w="432"/>
        <w:gridCol w:w="1476"/>
        <w:gridCol w:w="508"/>
        <w:gridCol w:w="1829"/>
      </w:tblGrid>
      <w:tr w:rsidR="00C223F5">
        <w:trPr>
          <w:cantSplit/>
          <w:trHeight w:hRule="exact" w:val="355"/>
          <w:jc w:val="center"/>
        </w:trPr>
        <w:tc>
          <w:tcPr>
            <w:tcW w:w="588" w:type="dxa"/>
            <w:vMerge w:val="restart"/>
            <w:tcBorders>
              <w:top w:val="single" w:sz="4" w:space="0" w:color="auto"/>
              <w:left w:val="single" w:sz="4" w:space="0" w:color="auto"/>
            </w:tcBorders>
            <w:vAlign w:val="center"/>
          </w:tcPr>
          <w:p w:rsidR="00C223F5" w:rsidRDefault="005860D5" w:rsidP="005778BE">
            <w:pPr>
              <w:spacing w:line="300" w:lineRule="exact"/>
              <w:contextualSpacing/>
              <w:jc w:val="center"/>
              <w:rPr>
                <w:rFonts w:hAnsi="宋体"/>
                <w:snapToGrid w:val="0"/>
                <w:szCs w:val="21"/>
              </w:rPr>
            </w:pPr>
            <w:r>
              <w:rPr>
                <w:rFonts w:hAnsi="宋体" w:hint="eastAsia"/>
                <w:snapToGrid w:val="0"/>
                <w:szCs w:val="21"/>
              </w:rPr>
              <w:t>监测位置</w:t>
            </w:r>
          </w:p>
        </w:tc>
        <w:tc>
          <w:tcPr>
            <w:tcW w:w="8421" w:type="dxa"/>
            <w:gridSpan w:val="8"/>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snapToGrid w:val="0"/>
                <w:szCs w:val="21"/>
              </w:rPr>
            </w:pPr>
            <w:r>
              <w:rPr>
                <w:rFonts w:hAnsi="宋体" w:hint="eastAsia"/>
                <w:snapToGrid w:val="0"/>
                <w:szCs w:val="21"/>
              </w:rPr>
              <w:t>B0</w:t>
            </w:r>
            <w:r>
              <w:rPr>
                <w:rFonts w:hAnsi="宋体" w:hint="eastAsia"/>
                <w:snapToGrid w:val="0"/>
                <w:szCs w:val="21"/>
              </w:rPr>
              <w:t>（表层样）</w:t>
            </w:r>
          </w:p>
        </w:tc>
      </w:tr>
      <w:tr w:rsidR="00C223F5" w:rsidTr="004656C0">
        <w:trPr>
          <w:cantSplit/>
          <w:trHeight w:val="1192"/>
          <w:jc w:val="center"/>
        </w:trPr>
        <w:tc>
          <w:tcPr>
            <w:tcW w:w="588" w:type="dxa"/>
            <w:vMerge/>
            <w:tcBorders>
              <w:left w:val="single" w:sz="4" w:space="0" w:color="auto"/>
              <w:bottom w:val="single" w:sz="4" w:space="0" w:color="auto"/>
            </w:tcBorders>
            <w:vAlign w:val="center"/>
          </w:tcPr>
          <w:p w:rsidR="00C223F5" w:rsidRDefault="00C223F5" w:rsidP="005778BE">
            <w:pPr>
              <w:spacing w:line="300" w:lineRule="exact"/>
              <w:contextualSpacing/>
              <w:jc w:val="center"/>
              <w:rPr>
                <w:rFonts w:hAnsi="宋体"/>
                <w:snapToGrid w:val="0"/>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snapToGrid w:val="0"/>
                <w:szCs w:val="21"/>
              </w:rPr>
            </w:pPr>
            <w:r>
              <w:rPr>
                <w:rFonts w:hAnsi="宋体" w:hint="eastAsia"/>
                <w:snapToGrid w:val="0"/>
                <w:szCs w:val="21"/>
              </w:rPr>
              <w:t>序号</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snapToGrid w:val="0"/>
                <w:szCs w:val="21"/>
              </w:rPr>
            </w:pPr>
            <w:r>
              <w:rPr>
                <w:rFonts w:hAnsi="宋体"/>
                <w:snapToGrid w:val="0"/>
                <w:szCs w:val="21"/>
              </w:rPr>
              <w:t>项目</w:t>
            </w:r>
          </w:p>
        </w:tc>
        <w:tc>
          <w:tcPr>
            <w:tcW w:w="514" w:type="dxa"/>
            <w:tcBorders>
              <w:left w:val="single" w:sz="4" w:space="0" w:color="auto"/>
            </w:tcBorders>
            <w:vAlign w:val="center"/>
          </w:tcPr>
          <w:p w:rsidR="00C223F5" w:rsidRDefault="005860D5" w:rsidP="005778BE">
            <w:pPr>
              <w:spacing w:line="300" w:lineRule="exact"/>
              <w:contextualSpacing/>
              <w:jc w:val="center"/>
              <w:rPr>
                <w:rFonts w:hAnsi="宋体"/>
                <w:szCs w:val="21"/>
              </w:rPr>
            </w:pPr>
            <w:r>
              <w:rPr>
                <w:rFonts w:hAnsi="宋体"/>
                <w:szCs w:val="21"/>
              </w:rPr>
              <w:t>检测</w:t>
            </w:r>
          </w:p>
          <w:p w:rsidR="00C223F5" w:rsidRDefault="005860D5" w:rsidP="005778BE">
            <w:pPr>
              <w:spacing w:line="300" w:lineRule="exact"/>
              <w:contextualSpacing/>
              <w:jc w:val="center"/>
              <w:rPr>
                <w:szCs w:val="21"/>
              </w:rPr>
            </w:pPr>
            <w:r>
              <w:rPr>
                <w:rFonts w:hAnsi="宋体"/>
                <w:szCs w:val="21"/>
              </w:rPr>
              <w:t>结果</w:t>
            </w:r>
          </w:p>
        </w:tc>
        <w:tc>
          <w:tcPr>
            <w:tcW w:w="1849" w:type="dxa"/>
            <w:tcBorders>
              <w:left w:val="single" w:sz="4" w:space="0" w:color="auto"/>
            </w:tcBorders>
            <w:vAlign w:val="center"/>
          </w:tcPr>
          <w:p w:rsidR="00C223F5" w:rsidRDefault="005860D5" w:rsidP="005778BE">
            <w:pPr>
              <w:spacing w:line="300" w:lineRule="exact"/>
              <w:contextualSpacing/>
              <w:jc w:val="center"/>
              <w:rPr>
                <w:rFonts w:hAnsi="宋体"/>
                <w:snapToGrid w:val="0"/>
                <w:sz w:val="18"/>
                <w:szCs w:val="18"/>
              </w:rPr>
            </w:pPr>
            <w:r>
              <w:rPr>
                <w:rFonts w:hAnsi="宋体"/>
                <w:snapToGrid w:val="0"/>
                <w:sz w:val="18"/>
                <w:szCs w:val="18"/>
              </w:rPr>
              <w:t>《建设用地土壤污染风险管控标准》</w:t>
            </w:r>
            <w:r>
              <w:rPr>
                <w:rFonts w:hAnsi="宋体" w:hint="eastAsia"/>
                <w:b/>
                <w:color w:val="000000"/>
                <w:kern w:val="0"/>
                <w:sz w:val="18"/>
                <w:szCs w:val="18"/>
              </w:rPr>
              <w:t>第二类建设用地</w:t>
            </w:r>
            <w:r>
              <w:rPr>
                <w:rFonts w:hAnsi="宋体"/>
                <w:b/>
                <w:color w:val="000000"/>
                <w:kern w:val="0"/>
                <w:sz w:val="18"/>
                <w:szCs w:val="18"/>
              </w:rPr>
              <w:t>筛选值</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rFonts w:hAnsi="宋体"/>
                <w:szCs w:val="21"/>
              </w:rPr>
            </w:pPr>
            <w:r>
              <w:rPr>
                <w:rFonts w:hAnsi="宋体" w:hint="eastAsia"/>
                <w:snapToGrid w:val="0"/>
                <w:szCs w:val="21"/>
              </w:rPr>
              <w:t>序号</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szCs w:val="21"/>
              </w:rPr>
              <w:t>项目</w:t>
            </w:r>
          </w:p>
        </w:tc>
        <w:tc>
          <w:tcPr>
            <w:tcW w:w="508" w:type="dxa"/>
            <w:tcBorders>
              <w:left w:val="single" w:sz="4" w:space="0" w:color="auto"/>
            </w:tcBorders>
            <w:vAlign w:val="center"/>
          </w:tcPr>
          <w:p w:rsidR="00C223F5" w:rsidRDefault="005860D5" w:rsidP="005778BE">
            <w:pPr>
              <w:spacing w:line="300" w:lineRule="exact"/>
              <w:contextualSpacing/>
              <w:jc w:val="center"/>
              <w:rPr>
                <w:rFonts w:hAnsi="宋体"/>
                <w:szCs w:val="21"/>
              </w:rPr>
            </w:pPr>
            <w:r>
              <w:rPr>
                <w:rFonts w:hAnsi="宋体"/>
                <w:szCs w:val="21"/>
              </w:rPr>
              <w:t>检测</w:t>
            </w:r>
          </w:p>
          <w:p w:rsidR="00C223F5" w:rsidRDefault="005860D5" w:rsidP="005778BE">
            <w:pPr>
              <w:spacing w:line="300" w:lineRule="exact"/>
              <w:contextualSpacing/>
              <w:jc w:val="center"/>
              <w:rPr>
                <w:szCs w:val="21"/>
              </w:rPr>
            </w:pPr>
            <w:r>
              <w:rPr>
                <w:rFonts w:hAnsi="宋体"/>
                <w:szCs w:val="21"/>
              </w:rPr>
              <w:t>结果</w:t>
            </w:r>
          </w:p>
        </w:tc>
        <w:tc>
          <w:tcPr>
            <w:tcW w:w="1829" w:type="dxa"/>
            <w:tcBorders>
              <w:left w:val="single" w:sz="4" w:space="0" w:color="auto"/>
            </w:tcBorders>
            <w:vAlign w:val="center"/>
          </w:tcPr>
          <w:p w:rsidR="00C223F5" w:rsidRDefault="005860D5" w:rsidP="005778BE">
            <w:pPr>
              <w:spacing w:line="300" w:lineRule="exact"/>
              <w:contextualSpacing/>
              <w:jc w:val="center"/>
              <w:rPr>
                <w:rFonts w:hAnsi="宋体"/>
                <w:snapToGrid w:val="0"/>
                <w:szCs w:val="21"/>
              </w:rPr>
            </w:pPr>
            <w:r>
              <w:rPr>
                <w:rFonts w:hAnsi="宋体"/>
                <w:snapToGrid w:val="0"/>
                <w:sz w:val="18"/>
                <w:szCs w:val="18"/>
              </w:rPr>
              <w:t>《建设用地土壤污染风险管控标准》</w:t>
            </w:r>
            <w:r>
              <w:rPr>
                <w:rFonts w:hAnsi="宋体" w:hint="eastAsia"/>
                <w:b/>
                <w:color w:val="000000"/>
                <w:kern w:val="0"/>
                <w:sz w:val="18"/>
                <w:szCs w:val="18"/>
              </w:rPr>
              <w:t>第二类建设用地</w:t>
            </w:r>
            <w:r>
              <w:rPr>
                <w:rFonts w:hAnsi="宋体"/>
                <w:b/>
                <w:color w:val="000000"/>
                <w:kern w:val="0"/>
                <w:sz w:val="18"/>
                <w:szCs w:val="18"/>
              </w:rPr>
              <w:t>筛选值</w:t>
            </w:r>
          </w:p>
        </w:tc>
      </w:tr>
      <w:tr w:rsidR="00C223F5" w:rsidTr="007A58F6">
        <w:trPr>
          <w:cantSplit/>
          <w:trHeight w:hRule="exact" w:val="309"/>
          <w:jc w:val="center"/>
        </w:trPr>
        <w:tc>
          <w:tcPr>
            <w:tcW w:w="588" w:type="dxa"/>
            <w:vMerge w:val="restart"/>
            <w:tcBorders>
              <w:top w:val="single" w:sz="4" w:space="0" w:color="auto"/>
              <w:left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工业场地扩建区</w:t>
            </w: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1</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snapToGrid w:val="0"/>
                <w:szCs w:val="21"/>
              </w:rPr>
            </w:pPr>
            <w:r>
              <w:rPr>
                <w:rFonts w:hAnsi="宋体"/>
                <w:kern w:val="1"/>
                <w:szCs w:val="21"/>
              </w:rPr>
              <w:t>汞</w:t>
            </w:r>
            <w:r>
              <w:rPr>
                <w:szCs w:val="21"/>
              </w:rPr>
              <w:t>*</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38</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24</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kern w:val="1"/>
                <w:szCs w:val="21"/>
              </w:rPr>
              <w:t>铜</w:t>
            </w:r>
            <w:r>
              <w:rPr>
                <w:szCs w:val="21"/>
              </w:rPr>
              <w:t>*</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14.4</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18000</w:t>
            </w:r>
          </w:p>
        </w:tc>
      </w:tr>
      <w:tr w:rsidR="00C223F5" w:rsidTr="007A58F6">
        <w:trPr>
          <w:cantSplit/>
          <w:trHeight w:hRule="exact" w:val="285"/>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2</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Ansi="宋体"/>
                <w:kern w:val="1"/>
                <w:szCs w:val="21"/>
              </w:rPr>
              <w:t>铅</w:t>
            </w:r>
            <w:r>
              <w:rPr>
                <w:szCs w:val="21"/>
              </w:rPr>
              <w:t>*</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9.74</w:t>
            </w:r>
          </w:p>
        </w:tc>
        <w:tc>
          <w:tcPr>
            <w:tcW w:w="1849" w:type="dxa"/>
            <w:tcBorders>
              <w:left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800</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25</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kern w:val="1"/>
                <w:szCs w:val="21"/>
              </w:rPr>
              <w:t>镉</w:t>
            </w:r>
            <w:r>
              <w:rPr>
                <w:szCs w:val="21"/>
              </w:rPr>
              <w:t>*</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0.08</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65</w:t>
            </w:r>
          </w:p>
        </w:tc>
      </w:tr>
      <w:tr w:rsidR="00C223F5">
        <w:trPr>
          <w:cantSplit/>
          <w:trHeight w:val="283"/>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3</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Ansi="宋体"/>
                <w:kern w:val="1"/>
                <w:szCs w:val="21"/>
              </w:rPr>
              <w:t>氯仿</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0.9</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szCs w:val="21"/>
              </w:rPr>
            </w:pPr>
            <w:r>
              <w:rPr>
                <w:rFonts w:hint="eastAsia"/>
                <w:szCs w:val="21"/>
              </w:rPr>
              <w:t>26</w:t>
            </w:r>
          </w:p>
        </w:tc>
        <w:tc>
          <w:tcPr>
            <w:tcW w:w="1476" w:type="dxa"/>
            <w:tcBorders>
              <w:left w:val="single" w:sz="4" w:space="0" w:color="auto"/>
            </w:tcBorders>
            <w:vAlign w:val="center"/>
          </w:tcPr>
          <w:p w:rsidR="00C223F5" w:rsidRDefault="005860D5" w:rsidP="005778BE">
            <w:pPr>
              <w:spacing w:line="300" w:lineRule="exact"/>
              <w:contextualSpacing/>
              <w:jc w:val="center"/>
              <w:rPr>
                <w:spacing w:val="-8"/>
                <w:kern w:val="21"/>
                <w:szCs w:val="21"/>
              </w:rPr>
            </w:pPr>
            <w:r>
              <w:rPr>
                <w:spacing w:val="-8"/>
                <w:kern w:val="21"/>
                <w:szCs w:val="21"/>
              </w:rPr>
              <w:t>1,1-</w:t>
            </w:r>
            <w:r>
              <w:rPr>
                <w:spacing w:val="-8"/>
                <w:kern w:val="21"/>
                <w:szCs w:val="21"/>
              </w:rPr>
              <w:t>二氯乙烷</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9</w:t>
            </w:r>
          </w:p>
        </w:tc>
      </w:tr>
      <w:tr w:rsidR="00C223F5">
        <w:trPr>
          <w:cantSplit/>
          <w:trHeight w:val="297"/>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4</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spacing w:val="-8"/>
                <w:kern w:val="21"/>
                <w:szCs w:val="21"/>
              </w:rPr>
            </w:pPr>
            <w:r>
              <w:rPr>
                <w:spacing w:val="-8"/>
                <w:kern w:val="21"/>
                <w:szCs w:val="21"/>
              </w:rPr>
              <w:t>1,1-</w:t>
            </w:r>
            <w:r>
              <w:rPr>
                <w:spacing w:val="-8"/>
                <w:kern w:val="21"/>
                <w:szCs w:val="21"/>
              </w:rPr>
              <w:t>二氯乙烯</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66</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rFonts w:hAnsi="宋体"/>
                <w:szCs w:val="21"/>
              </w:rPr>
            </w:pPr>
            <w:r>
              <w:rPr>
                <w:rFonts w:hAnsi="宋体" w:hint="eastAsia"/>
                <w:szCs w:val="21"/>
              </w:rPr>
              <w:t>27</w:t>
            </w:r>
          </w:p>
        </w:tc>
        <w:tc>
          <w:tcPr>
            <w:tcW w:w="1476" w:type="dxa"/>
            <w:tcBorders>
              <w:left w:val="single" w:sz="4" w:space="0" w:color="auto"/>
            </w:tcBorders>
            <w:vAlign w:val="center"/>
          </w:tcPr>
          <w:p w:rsidR="00C223F5" w:rsidRDefault="005860D5" w:rsidP="005778BE">
            <w:pPr>
              <w:spacing w:line="300" w:lineRule="exact"/>
              <w:contextualSpacing/>
              <w:jc w:val="center"/>
              <w:rPr>
                <w:spacing w:val="-8"/>
                <w:kern w:val="21"/>
                <w:szCs w:val="21"/>
              </w:rPr>
            </w:pPr>
            <w:r>
              <w:rPr>
                <w:spacing w:val="-8"/>
                <w:kern w:val="21"/>
                <w:szCs w:val="21"/>
              </w:rPr>
              <w:t>反</w:t>
            </w:r>
            <w:r>
              <w:rPr>
                <w:spacing w:val="-8"/>
                <w:kern w:val="21"/>
                <w:szCs w:val="21"/>
              </w:rPr>
              <w:t>-1,2-</w:t>
            </w:r>
            <w:r>
              <w:rPr>
                <w:spacing w:val="-8"/>
                <w:kern w:val="21"/>
                <w:szCs w:val="21"/>
              </w:rPr>
              <w:t>二氯乙烯</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54</w:t>
            </w:r>
          </w:p>
        </w:tc>
      </w:tr>
      <w:tr w:rsidR="00C223F5">
        <w:trPr>
          <w:cantSplit/>
          <w:trHeight w:val="311"/>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5</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spacing w:val="-8"/>
                <w:kern w:val="21"/>
                <w:szCs w:val="21"/>
              </w:rPr>
            </w:pPr>
            <w:r>
              <w:rPr>
                <w:spacing w:val="-8"/>
                <w:kern w:val="21"/>
                <w:szCs w:val="21"/>
              </w:rPr>
              <w:t>1,2-</w:t>
            </w:r>
            <w:r>
              <w:rPr>
                <w:spacing w:val="-8"/>
                <w:kern w:val="21"/>
                <w:szCs w:val="21"/>
              </w:rPr>
              <w:t>二氯丙烷</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5</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szCs w:val="21"/>
              </w:rPr>
            </w:pPr>
            <w:r>
              <w:rPr>
                <w:rFonts w:hint="eastAsia"/>
                <w:szCs w:val="21"/>
              </w:rPr>
              <w:t>28</w:t>
            </w:r>
          </w:p>
        </w:tc>
        <w:tc>
          <w:tcPr>
            <w:tcW w:w="1476" w:type="dxa"/>
            <w:tcBorders>
              <w:left w:val="single" w:sz="4" w:space="0" w:color="auto"/>
            </w:tcBorders>
            <w:vAlign w:val="center"/>
          </w:tcPr>
          <w:p w:rsidR="00C223F5" w:rsidRDefault="005860D5" w:rsidP="005778BE">
            <w:pPr>
              <w:spacing w:line="300" w:lineRule="exact"/>
              <w:contextualSpacing/>
              <w:jc w:val="center"/>
              <w:rPr>
                <w:spacing w:val="-8"/>
                <w:kern w:val="21"/>
                <w:szCs w:val="21"/>
              </w:rPr>
            </w:pPr>
            <w:r>
              <w:rPr>
                <w:spacing w:val="-8"/>
                <w:kern w:val="21"/>
                <w:szCs w:val="21"/>
              </w:rPr>
              <w:t>1,1,2,2-</w:t>
            </w:r>
            <w:r>
              <w:rPr>
                <w:spacing w:val="-8"/>
                <w:kern w:val="21"/>
                <w:szCs w:val="21"/>
              </w:rPr>
              <w:t>四氯乙烷</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6.8</w:t>
            </w:r>
          </w:p>
        </w:tc>
      </w:tr>
      <w:tr w:rsidR="00C223F5">
        <w:trPr>
          <w:cantSplit/>
          <w:trHeight w:val="269"/>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6</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spacing w:val="-8"/>
                <w:kern w:val="21"/>
                <w:szCs w:val="21"/>
              </w:rPr>
            </w:pPr>
            <w:r>
              <w:rPr>
                <w:spacing w:val="-8"/>
                <w:kern w:val="21"/>
                <w:szCs w:val="21"/>
              </w:rPr>
              <w:t>1,1,1-</w:t>
            </w:r>
            <w:r>
              <w:rPr>
                <w:spacing w:val="-8"/>
                <w:kern w:val="21"/>
                <w:szCs w:val="21"/>
              </w:rPr>
              <w:t>三氯乙烷</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840</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rFonts w:hAnsi="宋体"/>
                <w:szCs w:val="21"/>
              </w:rPr>
            </w:pPr>
            <w:r>
              <w:rPr>
                <w:rFonts w:hAnsi="宋体" w:hint="eastAsia"/>
                <w:szCs w:val="21"/>
              </w:rPr>
              <w:t>29</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szCs w:val="21"/>
              </w:rPr>
              <w:t>三氯乙烯</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2.8</w:t>
            </w:r>
          </w:p>
        </w:tc>
      </w:tr>
      <w:tr w:rsidR="00C223F5">
        <w:trPr>
          <w:cantSplit/>
          <w:trHeight w:val="311"/>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7</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Ansi="宋体"/>
                <w:kern w:val="1"/>
                <w:szCs w:val="21"/>
              </w:rPr>
              <w:t>氯乙烯</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0.43</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rFonts w:hAnsi="宋体"/>
                <w:szCs w:val="21"/>
              </w:rPr>
            </w:pPr>
            <w:r>
              <w:rPr>
                <w:rFonts w:hAnsi="宋体" w:hint="eastAsia"/>
                <w:szCs w:val="21"/>
              </w:rPr>
              <w:t>30</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szCs w:val="21"/>
              </w:rPr>
              <w:t>氯苯</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270</w:t>
            </w:r>
          </w:p>
        </w:tc>
      </w:tr>
      <w:tr w:rsidR="00C223F5">
        <w:trPr>
          <w:cantSplit/>
          <w:trHeight w:val="296"/>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8</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kern w:val="1"/>
                <w:szCs w:val="21"/>
              </w:rPr>
              <w:t>1,4-</w:t>
            </w:r>
            <w:r>
              <w:rPr>
                <w:rFonts w:hAnsi="宋体"/>
                <w:kern w:val="1"/>
                <w:szCs w:val="21"/>
              </w:rPr>
              <w:t>二氯苯</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20</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rFonts w:hAnsi="宋体"/>
                <w:szCs w:val="21"/>
              </w:rPr>
            </w:pPr>
            <w:r>
              <w:rPr>
                <w:rFonts w:hAnsi="宋体" w:hint="eastAsia"/>
                <w:szCs w:val="21"/>
              </w:rPr>
              <w:t>31</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szCs w:val="21"/>
              </w:rPr>
              <w:t>苯乙烯</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1290</w:t>
            </w:r>
          </w:p>
        </w:tc>
      </w:tr>
      <w:tr w:rsidR="00C223F5">
        <w:trPr>
          <w:cantSplit/>
          <w:trHeight w:val="283"/>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9</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Ansi="宋体"/>
                <w:kern w:val="1"/>
                <w:szCs w:val="21"/>
              </w:rPr>
              <w:t>间二甲苯</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570</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rFonts w:hAnsi="宋体"/>
                <w:szCs w:val="21"/>
              </w:rPr>
            </w:pPr>
            <w:r>
              <w:rPr>
                <w:rFonts w:hAnsi="宋体" w:hint="eastAsia"/>
                <w:szCs w:val="21"/>
              </w:rPr>
              <w:t>32</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szCs w:val="21"/>
              </w:rPr>
              <w:t>邻二甲苯</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640</w:t>
            </w:r>
          </w:p>
        </w:tc>
      </w:tr>
      <w:tr w:rsidR="00C223F5">
        <w:trPr>
          <w:cantSplit/>
          <w:trHeight w:val="282"/>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10</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Ansi="宋体"/>
                <w:kern w:val="1"/>
                <w:szCs w:val="21"/>
              </w:rPr>
              <w:t>苯胺</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260</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rFonts w:hAnsi="宋体"/>
                <w:szCs w:val="21"/>
              </w:rPr>
            </w:pPr>
            <w:r>
              <w:rPr>
                <w:rFonts w:hAnsi="宋体" w:hint="eastAsia"/>
                <w:szCs w:val="21"/>
              </w:rPr>
              <w:t>33</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szCs w:val="21"/>
              </w:rPr>
              <w:t>苯并</w:t>
            </w:r>
            <w:r>
              <w:rPr>
                <w:szCs w:val="21"/>
              </w:rPr>
              <w:t>[a]</w:t>
            </w:r>
            <w:r>
              <w:rPr>
                <w:rFonts w:hAnsi="宋体"/>
                <w:szCs w:val="21"/>
              </w:rPr>
              <w:t>蒽</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15</w:t>
            </w:r>
          </w:p>
        </w:tc>
      </w:tr>
      <w:tr w:rsidR="00C223F5">
        <w:trPr>
          <w:cantSplit/>
          <w:trHeight w:val="311"/>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11</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Ansi="宋体"/>
                <w:kern w:val="1"/>
                <w:szCs w:val="21"/>
              </w:rPr>
              <w:t>苯并</w:t>
            </w:r>
            <w:r>
              <w:rPr>
                <w:kern w:val="1"/>
                <w:szCs w:val="21"/>
              </w:rPr>
              <w:t>[b]</w:t>
            </w:r>
            <w:r>
              <w:rPr>
                <w:rFonts w:hAnsi="宋体"/>
                <w:kern w:val="1"/>
                <w:szCs w:val="21"/>
              </w:rPr>
              <w:t>荧蒽</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kern w:val="1"/>
                <w:szCs w:val="21"/>
              </w:rPr>
            </w:pPr>
            <w:r>
              <w:rPr>
                <w:rFonts w:hint="eastAsia"/>
                <w:kern w:val="1"/>
                <w:szCs w:val="21"/>
              </w:rPr>
              <w:t>15</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rFonts w:hAnsi="宋体"/>
                <w:szCs w:val="21"/>
              </w:rPr>
            </w:pPr>
            <w:r>
              <w:rPr>
                <w:rFonts w:hAnsi="宋体" w:hint="eastAsia"/>
                <w:szCs w:val="21"/>
              </w:rPr>
              <w:t>34</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szCs w:val="21"/>
              </w:rPr>
              <w:t>二苯并</w:t>
            </w:r>
            <w:r>
              <w:rPr>
                <w:szCs w:val="21"/>
              </w:rPr>
              <w:t>[</w:t>
            </w:r>
            <w:proofErr w:type="spellStart"/>
            <w:r>
              <w:rPr>
                <w:szCs w:val="21"/>
              </w:rPr>
              <w:t>a,h</w:t>
            </w:r>
            <w:proofErr w:type="spellEnd"/>
            <w:r>
              <w:rPr>
                <w:szCs w:val="21"/>
              </w:rPr>
              <w:t>]</w:t>
            </w:r>
            <w:r>
              <w:rPr>
                <w:rFonts w:hAnsi="宋体"/>
                <w:szCs w:val="21"/>
              </w:rPr>
              <w:t>蒽</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1.5</w:t>
            </w:r>
          </w:p>
        </w:tc>
      </w:tr>
      <w:tr w:rsidR="00C223F5">
        <w:trPr>
          <w:cantSplit/>
          <w:trHeight w:val="311"/>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12</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Ansi="宋体"/>
                <w:kern w:val="1"/>
                <w:szCs w:val="21"/>
              </w:rPr>
              <w:t>萘</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70</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szCs w:val="21"/>
              </w:rPr>
            </w:pPr>
            <w:r>
              <w:rPr>
                <w:rFonts w:hint="eastAsia"/>
                <w:szCs w:val="21"/>
              </w:rPr>
              <w:t>35</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kern w:val="1"/>
                <w:szCs w:val="21"/>
              </w:rPr>
              <w:t>镍</w:t>
            </w:r>
            <w:r>
              <w:rPr>
                <w:szCs w:val="21"/>
              </w:rPr>
              <w:t>*</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21.8</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900</w:t>
            </w:r>
          </w:p>
        </w:tc>
      </w:tr>
      <w:tr w:rsidR="00C223F5">
        <w:trPr>
          <w:cantSplit/>
          <w:trHeight w:val="311"/>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13</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szCs w:val="21"/>
              </w:rPr>
            </w:pPr>
            <w:r>
              <w:rPr>
                <w:rFonts w:hAnsi="宋体"/>
                <w:kern w:val="1"/>
                <w:szCs w:val="21"/>
              </w:rPr>
              <w:t>砷</w:t>
            </w:r>
            <w:r>
              <w:rPr>
                <w:szCs w:val="21"/>
              </w:rPr>
              <w:t>*</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10.2</w:t>
            </w:r>
          </w:p>
        </w:tc>
        <w:tc>
          <w:tcPr>
            <w:tcW w:w="184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60</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szCs w:val="21"/>
              </w:rPr>
            </w:pPr>
            <w:r>
              <w:rPr>
                <w:rFonts w:hint="eastAsia"/>
                <w:szCs w:val="21"/>
              </w:rPr>
              <w:t>36</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szCs w:val="21"/>
              </w:rPr>
              <w:t>四氯化碳</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2.8</w:t>
            </w:r>
          </w:p>
        </w:tc>
      </w:tr>
      <w:tr w:rsidR="00C223F5">
        <w:trPr>
          <w:cantSplit/>
          <w:trHeight w:val="340"/>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14</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Ansi="宋体"/>
                <w:kern w:val="1"/>
                <w:szCs w:val="21"/>
              </w:rPr>
              <w:t>六价铬</w:t>
            </w:r>
            <w:r>
              <w:rPr>
                <w:szCs w:val="21"/>
              </w:rPr>
              <w:t>*</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5.7</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szCs w:val="21"/>
              </w:rPr>
            </w:pPr>
            <w:r>
              <w:rPr>
                <w:rFonts w:hint="eastAsia"/>
                <w:szCs w:val="21"/>
              </w:rPr>
              <w:t>37</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1,2-</w:t>
            </w:r>
            <w:r>
              <w:rPr>
                <w:rFonts w:hAnsi="宋体"/>
                <w:szCs w:val="21"/>
              </w:rPr>
              <w:t>二氯乙烷</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5</w:t>
            </w:r>
          </w:p>
        </w:tc>
      </w:tr>
      <w:tr w:rsidR="00C223F5">
        <w:trPr>
          <w:cantSplit/>
          <w:trHeight w:val="284"/>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15</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Ansi="宋体"/>
                <w:kern w:val="1"/>
                <w:szCs w:val="21"/>
              </w:rPr>
              <w:t>氯甲烷</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37</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szCs w:val="21"/>
              </w:rPr>
            </w:pPr>
            <w:r>
              <w:rPr>
                <w:rFonts w:hint="eastAsia"/>
                <w:szCs w:val="21"/>
              </w:rPr>
              <w:t>38</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szCs w:val="21"/>
              </w:rPr>
              <w:t>二氯甲烷</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616</w:t>
            </w:r>
          </w:p>
        </w:tc>
      </w:tr>
      <w:tr w:rsidR="00C223F5">
        <w:trPr>
          <w:cantSplit/>
          <w:trHeight w:val="311"/>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16</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spacing w:val="-8"/>
                <w:kern w:val="21"/>
                <w:szCs w:val="21"/>
              </w:rPr>
            </w:pPr>
            <w:r>
              <w:rPr>
                <w:spacing w:val="-8"/>
                <w:kern w:val="21"/>
                <w:szCs w:val="21"/>
              </w:rPr>
              <w:t>顺</w:t>
            </w:r>
            <w:r>
              <w:rPr>
                <w:spacing w:val="-8"/>
                <w:kern w:val="21"/>
                <w:szCs w:val="21"/>
              </w:rPr>
              <w:t>-1,2-</w:t>
            </w:r>
            <w:r>
              <w:rPr>
                <w:spacing w:val="-8"/>
                <w:kern w:val="21"/>
                <w:szCs w:val="21"/>
              </w:rPr>
              <w:t>二氯乙烯</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596</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szCs w:val="21"/>
              </w:rPr>
            </w:pPr>
            <w:r>
              <w:rPr>
                <w:rFonts w:hint="eastAsia"/>
                <w:szCs w:val="21"/>
              </w:rPr>
              <w:t>39</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szCs w:val="21"/>
              </w:rPr>
              <w:t>四氯乙烯</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53</w:t>
            </w:r>
          </w:p>
        </w:tc>
      </w:tr>
      <w:tr w:rsidR="00C223F5">
        <w:trPr>
          <w:cantSplit/>
          <w:trHeight w:val="326"/>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17</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spacing w:val="-8"/>
                <w:kern w:val="21"/>
                <w:szCs w:val="21"/>
              </w:rPr>
            </w:pPr>
            <w:r>
              <w:rPr>
                <w:spacing w:val="-8"/>
                <w:kern w:val="21"/>
                <w:szCs w:val="21"/>
              </w:rPr>
              <w:t>1,1,1,2-</w:t>
            </w:r>
            <w:r>
              <w:rPr>
                <w:spacing w:val="-8"/>
                <w:kern w:val="21"/>
                <w:szCs w:val="21"/>
              </w:rPr>
              <w:t>四氯乙烷</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10</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szCs w:val="21"/>
              </w:rPr>
            </w:pPr>
            <w:r>
              <w:rPr>
                <w:rFonts w:hint="eastAsia"/>
                <w:szCs w:val="21"/>
              </w:rPr>
              <w:t>40</w:t>
            </w:r>
          </w:p>
        </w:tc>
        <w:tc>
          <w:tcPr>
            <w:tcW w:w="1476" w:type="dxa"/>
            <w:tcBorders>
              <w:left w:val="single" w:sz="4" w:space="0" w:color="auto"/>
            </w:tcBorders>
            <w:vAlign w:val="center"/>
          </w:tcPr>
          <w:p w:rsidR="00C223F5" w:rsidRDefault="005860D5" w:rsidP="005778BE">
            <w:pPr>
              <w:spacing w:line="300" w:lineRule="exact"/>
              <w:contextualSpacing/>
              <w:jc w:val="center"/>
              <w:rPr>
                <w:spacing w:val="-8"/>
                <w:kern w:val="21"/>
                <w:szCs w:val="21"/>
              </w:rPr>
            </w:pPr>
            <w:r>
              <w:rPr>
                <w:spacing w:val="-8"/>
                <w:kern w:val="21"/>
                <w:szCs w:val="21"/>
              </w:rPr>
              <w:t>1,2,3-</w:t>
            </w:r>
            <w:r>
              <w:rPr>
                <w:spacing w:val="-8"/>
                <w:kern w:val="21"/>
                <w:szCs w:val="21"/>
              </w:rPr>
              <w:t>三氯丙烷</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0.5</w:t>
            </w:r>
          </w:p>
        </w:tc>
      </w:tr>
      <w:tr w:rsidR="00C223F5">
        <w:trPr>
          <w:cantSplit/>
          <w:trHeight w:val="298"/>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18</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spacing w:val="-8"/>
                <w:kern w:val="21"/>
                <w:szCs w:val="21"/>
              </w:rPr>
            </w:pPr>
            <w:r>
              <w:rPr>
                <w:spacing w:val="-8"/>
                <w:kern w:val="21"/>
                <w:szCs w:val="21"/>
              </w:rPr>
              <w:t>1,1,2-</w:t>
            </w:r>
            <w:r>
              <w:rPr>
                <w:spacing w:val="-8"/>
                <w:kern w:val="21"/>
                <w:szCs w:val="21"/>
              </w:rPr>
              <w:t>三氯乙烷</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2.8</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szCs w:val="21"/>
              </w:rPr>
            </w:pPr>
            <w:r>
              <w:rPr>
                <w:rFonts w:hint="eastAsia"/>
                <w:szCs w:val="21"/>
              </w:rPr>
              <w:t>41</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1,2-</w:t>
            </w:r>
            <w:r>
              <w:rPr>
                <w:rFonts w:hAnsi="宋体"/>
                <w:szCs w:val="21"/>
              </w:rPr>
              <w:t>二氯苯</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560</w:t>
            </w:r>
          </w:p>
        </w:tc>
      </w:tr>
      <w:tr w:rsidR="00C223F5">
        <w:trPr>
          <w:cantSplit/>
          <w:trHeight w:val="312"/>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19</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Ansi="宋体"/>
                <w:kern w:val="1"/>
                <w:szCs w:val="21"/>
              </w:rPr>
              <w:t>苯</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4</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szCs w:val="21"/>
              </w:rPr>
            </w:pPr>
            <w:r>
              <w:rPr>
                <w:rFonts w:hint="eastAsia"/>
                <w:szCs w:val="21"/>
              </w:rPr>
              <w:t>42</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szCs w:val="21"/>
              </w:rPr>
              <w:t>甲苯</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1200</w:t>
            </w:r>
          </w:p>
        </w:tc>
      </w:tr>
      <w:tr w:rsidR="00C223F5">
        <w:trPr>
          <w:cantSplit/>
          <w:trHeight w:val="283"/>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20</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Ansi="宋体"/>
                <w:kern w:val="1"/>
                <w:szCs w:val="21"/>
              </w:rPr>
              <w:t>乙苯</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28</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szCs w:val="21"/>
              </w:rPr>
            </w:pPr>
            <w:r>
              <w:rPr>
                <w:rFonts w:hint="eastAsia"/>
                <w:szCs w:val="21"/>
              </w:rPr>
              <w:t>43</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szCs w:val="21"/>
              </w:rPr>
              <w:t>硝基苯</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76</w:t>
            </w:r>
          </w:p>
        </w:tc>
      </w:tr>
      <w:tr w:rsidR="00C223F5">
        <w:trPr>
          <w:cantSplit/>
          <w:trHeight w:val="283"/>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21</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Ansi="宋体"/>
                <w:kern w:val="1"/>
                <w:szCs w:val="21"/>
              </w:rPr>
              <w:t>对二甲苯</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570</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szCs w:val="21"/>
              </w:rPr>
            </w:pPr>
            <w:r>
              <w:rPr>
                <w:rFonts w:hint="eastAsia"/>
                <w:szCs w:val="21"/>
              </w:rPr>
              <w:t>44</w:t>
            </w:r>
          </w:p>
        </w:tc>
        <w:tc>
          <w:tcPr>
            <w:tcW w:w="1476" w:type="dxa"/>
            <w:tcBorders>
              <w:left w:val="single" w:sz="4" w:space="0" w:color="auto"/>
            </w:tcBorders>
            <w:vAlign w:val="center"/>
          </w:tcPr>
          <w:p w:rsidR="00C223F5" w:rsidRDefault="005860D5" w:rsidP="005778BE">
            <w:pPr>
              <w:spacing w:line="300" w:lineRule="exact"/>
              <w:contextualSpacing/>
              <w:jc w:val="center"/>
              <w:rPr>
                <w:szCs w:val="21"/>
              </w:rPr>
            </w:pPr>
            <w:r>
              <w:rPr>
                <w:rFonts w:hAnsi="宋体"/>
                <w:szCs w:val="21"/>
              </w:rPr>
              <w:t>苯并</w:t>
            </w:r>
            <w:r>
              <w:rPr>
                <w:szCs w:val="21"/>
              </w:rPr>
              <w:t>[a]</w:t>
            </w:r>
            <w:r>
              <w:rPr>
                <w:rFonts w:hAnsi="宋体"/>
                <w:szCs w:val="21"/>
              </w:rPr>
              <w:t>芘</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1.5</w:t>
            </w:r>
          </w:p>
        </w:tc>
      </w:tr>
      <w:tr w:rsidR="00C223F5">
        <w:trPr>
          <w:cantSplit/>
          <w:trHeight w:val="311"/>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22</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kern w:val="1"/>
                <w:szCs w:val="21"/>
              </w:rPr>
              <w:t>2-</w:t>
            </w:r>
            <w:r>
              <w:rPr>
                <w:rFonts w:hAnsi="宋体"/>
                <w:kern w:val="1"/>
                <w:szCs w:val="21"/>
              </w:rPr>
              <w:t>氯酚</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2256</w:t>
            </w:r>
          </w:p>
        </w:tc>
        <w:tc>
          <w:tcPr>
            <w:tcW w:w="432" w:type="dxa"/>
            <w:tcBorders>
              <w:left w:val="single" w:sz="4" w:space="0" w:color="auto"/>
              <w:right w:val="single" w:sz="4" w:space="0" w:color="auto"/>
            </w:tcBorders>
            <w:vAlign w:val="center"/>
          </w:tcPr>
          <w:p w:rsidR="00C223F5" w:rsidRDefault="005860D5" w:rsidP="005778BE">
            <w:pPr>
              <w:spacing w:line="300" w:lineRule="exact"/>
              <w:contextualSpacing/>
              <w:jc w:val="center"/>
              <w:rPr>
                <w:szCs w:val="21"/>
              </w:rPr>
            </w:pPr>
            <w:r>
              <w:rPr>
                <w:rFonts w:hint="eastAsia"/>
                <w:szCs w:val="21"/>
              </w:rPr>
              <w:t>45</w:t>
            </w:r>
          </w:p>
        </w:tc>
        <w:tc>
          <w:tcPr>
            <w:tcW w:w="1476" w:type="dxa"/>
            <w:tcBorders>
              <w:left w:val="single" w:sz="4" w:space="0" w:color="auto"/>
            </w:tcBorders>
            <w:vAlign w:val="center"/>
          </w:tcPr>
          <w:p w:rsidR="00C223F5" w:rsidRDefault="005860D5" w:rsidP="005778BE">
            <w:pPr>
              <w:spacing w:line="300" w:lineRule="exact"/>
              <w:contextualSpacing/>
              <w:jc w:val="center"/>
              <w:rPr>
                <w:spacing w:val="-8"/>
                <w:kern w:val="21"/>
                <w:szCs w:val="21"/>
              </w:rPr>
            </w:pPr>
            <w:r>
              <w:rPr>
                <w:spacing w:val="-8"/>
                <w:kern w:val="21"/>
                <w:szCs w:val="21"/>
              </w:rPr>
              <w:t>茚并</w:t>
            </w:r>
            <w:r>
              <w:rPr>
                <w:spacing w:val="-8"/>
                <w:kern w:val="21"/>
                <w:szCs w:val="21"/>
              </w:rPr>
              <w:t>[1,2,3-cd]</w:t>
            </w:r>
            <w:r>
              <w:rPr>
                <w:spacing w:val="-8"/>
                <w:kern w:val="21"/>
                <w:szCs w:val="21"/>
              </w:rPr>
              <w:t>芘</w:t>
            </w:r>
          </w:p>
        </w:tc>
        <w:tc>
          <w:tcPr>
            <w:tcW w:w="508"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2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15</w:t>
            </w:r>
          </w:p>
        </w:tc>
      </w:tr>
      <w:tr w:rsidR="00C223F5">
        <w:trPr>
          <w:cantSplit/>
          <w:trHeight w:val="311"/>
          <w:jc w:val="center"/>
        </w:trPr>
        <w:tc>
          <w:tcPr>
            <w:tcW w:w="588" w:type="dxa"/>
            <w:vMerge/>
            <w:tcBorders>
              <w:left w:val="single" w:sz="4" w:space="0" w:color="auto"/>
            </w:tcBorders>
            <w:vAlign w:val="center"/>
          </w:tcPr>
          <w:p w:rsidR="00C223F5" w:rsidRDefault="00C223F5" w:rsidP="005778BE">
            <w:pPr>
              <w:spacing w:line="300" w:lineRule="exact"/>
              <w:contextualSpacing/>
              <w:jc w:val="center"/>
              <w:rPr>
                <w:rFonts w:hAnsi="宋体"/>
                <w:kern w:val="1"/>
                <w:szCs w:val="21"/>
              </w:rPr>
            </w:pPr>
          </w:p>
        </w:tc>
        <w:tc>
          <w:tcPr>
            <w:tcW w:w="408"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rFonts w:hAnsi="宋体"/>
                <w:kern w:val="1"/>
                <w:szCs w:val="21"/>
              </w:rPr>
            </w:pPr>
            <w:r>
              <w:rPr>
                <w:rFonts w:hAnsi="宋体" w:hint="eastAsia"/>
                <w:kern w:val="1"/>
                <w:szCs w:val="21"/>
              </w:rPr>
              <w:t>23</w:t>
            </w:r>
          </w:p>
        </w:tc>
        <w:tc>
          <w:tcPr>
            <w:tcW w:w="1405" w:type="dxa"/>
            <w:tcBorders>
              <w:top w:val="single" w:sz="4" w:space="0" w:color="auto"/>
              <w:left w:val="single" w:sz="4" w:space="0" w:color="auto"/>
              <w:bottom w:val="single" w:sz="4" w:space="0" w:color="auto"/>
            </w:tcBorders>
            <w:vAlign w:val="center"/>
          </w:tcPr>
          <w:p w:rsidR="00C223F5" w:rsidRDefault="005860D5" w:rsidP="005778BE">
            <w:pPr>
              <w:spacing w:line="300" w:lineRule="exact"/>
              <w:contextualSpacing/>
              <w:jc w:val="center"/>
              <w:rPr>
                <w:kern w:val="1"/>
                <w:szCs w:val="21"/>
              </w:rPr>
            </w:pPr>
            <w:r>
              <w:rPr>
                <w:rFonts w:hAnsi="宋体"/>
                <w:kern w:val="1"/>
                <w:szCs w:val="21"/>
              </w:rPr>
              <w:t>苯并</w:t>
            </w:r>
            <w:r>
              <w:rPr>
                <w:kern w:val="1"/>
                <w:szCs w:val="21"/>
              </w:rPr>
              <w:t>[k]</w:t>
            </w:r>
            <w:r>
              <w:rPr>
                <w:rFonts w:hAnsi="宋体"/>
                <w:kern w:val="1"/>
                <w:szCs w:val="21"/>
              </w:rPr>
              <w:t>荧蒽</w:t>
            </w:r>
          </w:p>
        </w:tc>
        <w:tc>
          <w:tcPr>
            <w:tcW w:w="514" w:type="dxa"/>
            <w:tcBorders>
              <w:left w:val="single" w:sz="4" w:space="0" w:color="auto"/>
            </w:tcBorders>
            <w:vAlign w:val="center"/>
          </w:tcPr>
          <w:p w:rsidR="00C223F5" w:rsidRDefault="005860D5" w:rsidP="005778BE">
            <w:pPr>
              <w:spacing w:line="300" w:lineRule="exact"/>
              <w:contextualSpacing/>
              <w:jc w:val="center"/>
              <w:rPr>
                <w:szCs w:val="21"/>
              </w:rPr>
            </w:pPr>
            <w:r>
              <w:rPr>
                <w:szCs w:val="21"/>
              </w:rPr>
              <w:t>ND</w:t>
            </w:r>
          </w:p>
        </w:tc>
        <w:tc>
          <w:tcPr>
            <w:tcW w:w="1849" w:type="dxa"/>
            <w:tcBorders>
              <w:left w:val="single" w:sz="4" w:space="0" w:color="auto"/>
            </w:tcBorders>
            <w:vAlign w:val="center"/>
          </w:tcPr>
          <w:p w:rsidR="00C223F5" w:rsidRDefault="005860D5" w:rsidP="005778BE">
            <w:pPr>
              <w:spacing w:line="300" w:lineRule="exact"/>
              <w:contextualSpacing/>
              <w:jc w:val="center"/>
              <w:rPr>
                <w:szCs w:val="21"/>
              </w:rPr>
            </w:pPr>
            <w:r>
              <w:rPr>
                <w:rFonts w:hint="eastAsia"/>
                <w:szCs w:val="21"/>
              </w:rPr>
              <w:t>151</w:t>
            </w:r>
          </w:p>
        </w:tc>
        <w:tc>
          <w:tcPr>
            <w:tcW w:w="432" w:type="dxa"/>
            <w:tcBorders>
              <w:left w:val="single" w:sz="4" w:space="0" w:color="auto"/>
              <w:right w:val="single" w:sz="4" w:space="0" w:color="auto"/>
            </w:tcBorders>
            <w:vAlign w:val="center"/>
          </w:tcPr>
          <w:p w:rsidR="00C223F5" w:rsidRDefault="00C223F5" w:rsidP="005778BE">
            <w:pPr>
              <w:spacing w:line="300" w:lineRule="exact"/>
              <w:contextualSpacing/>
              <w:jc w:val="center"/>
              <w:rPr>
                <w:szCs w:val="21"/>
              </w:rPr>
            </w:pPr>
          </w:p>
        </w:tc>
        <w:tc>
          <w:tcPr>
            <w:tcW w:w="1476" w:type="dxa"/>
            <w:tcBorders>
              <w:left w:val="single" w:sz="4" w:space="0" w:color="auto"/>
            </w:tcBorders>
            <w:vAlign w:val="center"/>
          </w:tcPr>
          <w:p w:rsidR="00C223F5" w:rsidRDefault="00C223F5" w:rsidP="005778BE">
            <w:pPr>
              <w:spacing w:line="300" w:lineRule="exact"/>
              <w:contextualSpacing/>
              <w:jc w:val="center"/>
              <w:rPr>
                <w:spacing w:val="-8"/>
                <w:kern w:val="21"/>
                <w:szCs w:val="21"/>
              </w:rPr>
            </w:pPr>
          </w:p>
        </w:tc>
        <w:tc>
          <w:tcPr>
            <w:tcW w:w="508" w:type="dxa"/>
            <w:tcBorders>
              <w:left w:val="single" w:sz="4" w:space="0" w:color="auto"/>
            </w:tcBorders>
            <w:vAlign w:val="center"/>
          </w:tcPr>
          <w:p w:rsidR="00C223F5" w:rsidRDefault="00C223F5" w:rsidP="005778BE">
            <w:pPr>
              <w:spacing w:line="300" w:lineRule="exact"/>
              <w:contextualSpacing/>
              <w:jc w:val="center"/>
              <w:rPr>
                <w:szCs w:val="21"/>
              </w:rPr>
            </w:pPr>
          </w:p>
        </w:tc>
        <w:tc>
          <w:tcPr>
            <w:tcW w:w="1829" w:type="dxa"/>
            <w:tcBorders>
              <w:left w:val="single" w:sz="4" w:space="0" w:color="auto"/>
            </w:tcBorders>
            <w:vAlign w:val="center"/>
          </w:tcPr>
          <w:p w:rsidR="00C223F5" w:rsidRDefault="00C223F5" w:rsidP="005778BE">
            <w:pPr>
              <w:spacing w:line="300" w:lineRule="exact"/>
              <w:contextualSpacing/>
              <w:jc w:val="center"/>
              <w:rPr>
                <w:szCs w:val="21"/>
              </w:rPr>
            </w:pPr>
          </w:p>
        </w:tc>
      </w:tr>
      <w:tr w:rsidR="00C223F5">
        <w:trPr>
          <w:cantSplit/>
          <w:trHeight w:val="311"/>
          <w:jc w:val="center"/>
        </w:trPr>
        <w:tc>
          <w:tcPr>
            <w:tcW w:w="9009" w:type="dxa"/>
            <w:gridSpan w:val="9"/>
            <w:tcBorders>
              <w:left w:val="single" w:sz="4" w:space="0" w:color="auto"/>
            </w:tcBorders>
            <w:vAlign w:val="center"/>
          </w:tcPr>
          <w:p w:rsidR="00C223F5" w:rsidRDefault="005860D5" w:rsidP="005778BE">
            <w:pPr>
              <w:spacing w:line="300" w:lineRule="exact"/>
              <w:contextualSpacing/>
              <w:jc w:val="left"/>
              <w:rPr>
                <w:rFonts w:hAnsi="宋体"/>
                <w:snapToGrid w:val="0"/>
                <w:szCs w:val="21"/>
              </w:rPr>
            </w:pPr>
            <w:r>
              <w:rPr>
                <w:rFonts w:hAnsi="宋体"/>
                <w:szCs w:val="21"/>
              </w:rPr>
              <w:t>备注</w:t>
            </w:r>
            <w:r>
              <w:rPr>
                <w:rFonts w:hAnsi="宋体" w:hint="eastAsia"/>
                <w:szCs w:val="21"/>
              </w:rPr>
              <w:t>：</w:t>
            </w:r>
            <w:r>
              <w:rPr>
                <w:rFonts w:hAnsi="宋体" w:hint="eastAsia"/>
                <w:szCs w:val="21"/>
              </w:rPr>
              <w:t>1</w:t>
            </w:r>
            <w:r>
              <w:rPr>
                <w:rFonts w:hAnsi="宋体" w:hint="eastAsia"/>
                <w:szCs w:val="21"/>
              </w:rPr>
              <w:t>、选用第二类用地“筛选值”对标；</w:t>
            </w:r>
            <w:r>
              <w:rPr>
                <w:rFonts w:hAnsi="宋体" w:hint="eastAsia"/>
                <w:szCs w:val="21"/>
              </w:rPr>
              <w:t>2</w:t>
            </w:r>
            <w:r>
              <w:rPr>
                <w:rFonts w:hAnsi="宋体" w:hint="eastAsia"/>
                <w:szCs w:val="21"/>
              </w:rPr>
              <w:t>、</w:t>
            </w:r>
            <w:r>
              <w:rPr>
                <w:szCs w:val="21"/>
              </w:rPr>
              <w:t>单位</w:t>
            </w:r>
            <w:r>
              <w:rPr>
                <w:snapToGrid w:val="0"/>
                <w:szCs w:val="21"/>
              </w:rPr>
              <w:t>mg/kg</w:t>
            </w:r>
            <w:r>
              <w:rPr>
                <w:rFonts w:hAnsi="宋体"/>
                <w:snapToGrid w:val="0"/>
                <w:szCs w:val="21"/>
              </w:rPr>
              <w:t>，</w:t>
            </w:r>
            <w:r>
              <w:rPr>
                <w:snapToGrid w:val="0"/>
                <w:szCs w:val="21"/>
              </w:rPr>
              <w:t>pH</w:t>
            </w:r>
            <w:r>
              <w:rPr>
                <w:rFonts w:hAnsi="宋体"/>
                <w:snapToGrid w:val="0"/>
                <w:szCs w:val="21"/>
              </w:rPr>
              <w:t>除外</w:t>
            </w:r>
            <w:r>
              <w:rPr>
                <w:rFonts w:hAnsi="宋体" w:hint="eastAsia"/>
                <w:snapToGrid w:val="0"/>
                <w:szCs w:val="21"/>
              </w:rPr>
              <w:t>；</w:t>
            </w:r>
          </w:p>
          <w:p w:rsidR="00C223F5" w:rsidRDefault="005860D5" w:rsidP="005778BE">
            <w:pPr>
              <w:spacing w:line="300" w:lineRule="exact"/>
              <w:contextualSpacing/>
              <w:jc w:val="left"/>
              <w:rPr>
                <w:rFonts w:hAnsi="宋体"/>
                <w:snapToGrid w:val="0"/>
                <w:szCs w:val="21"/>
              </w:rPr>
            </w:pPr>
            <w:r>
              <w:rPr>
                <w:rFonts w:hAnsi="宋体" w:hint="eastAsia"/>
                <w:snapToGrid w:val="0"/>
                <w:szCs w:val="21"/>
              </w:rPr>
              <w:t xml:space="preserve">      3</w:t>
            </w:r>
            <w:r>
              <w:rPr>
                <w:rFonts w:hAnsi="宋体" w:hint="eastAsia"/>
                <w:snapToGrid w:val="0"/>
                <w:szCs w:val="21"/>
              </w:rPr>
              <w:t>、</w:t>
            </w:r>
            <w:r>
              <w:rPr>
                <w:szCs w:val="21"/>
              </w:rPr>
              <w:t>带</w:t>
            </w:r>
            <w:r>
              <w:rPr>
                <w:szCs w:val="21"/>
              </w:rPr>
              <w:t>“*”</w:t>
            </w:r>
            <w:r>
              <w:rPr>
                <w:szCs w:val="21"/>
              </w:rPr>
              <w:t>数据来自苏州宏宇环境检测有限公司检测报告，</w:t>
            </w:r>
            <w:r>
              <w:rPr>
                <w:szCs w:val="21"/>
              </w:rPr>
              <w:t>ND</w:t>
            </w:r>
            <w:r>
              <w:rPr>
                <w:szCs w:val="21"/>
              </w:rPr>
              <w:t>表示未检出。</w:t>
            </w:r>
          </w:p>
        </w:tc>
      </w:tr>
    </w:tbl>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5778BE" w:rsidRDefault="005778BE">
      <w:pPr>
        <w:tabs>
          <w:tab w:val="left" w:pos="2552"/>
          <w:tab w:val="left" w:pos="5387"/>
        </w:tabs>
        <w:adjustRightInd w:val="0"/>
        <w:ind w:firstLineChars="200" w:firstLine="482"/>
        <w:jc w:val="center"/>
        <w:rPr>
          <w:b/>
          <w:color w:val="000000"/>
          <w:sz w:val="24"/>
        </w:rPr>
      </w:pPr>
    </w:p>
    <w:p w:rsidR="00C223F5" w:rsidRPr="001514C6" w:rsidRDefault="005860D5">
      <w:pPr>
        <w:tabs>
          <w:tab w:val="left" w:pos="2552"/>
          <w:tab w:val="left" w:pos="5387"/>
        </w:tabs>
        <w:adjustRightInd w:val="0"/>
        <w:ind w:firstLineChars="200" w:firstLine="482"/>
        <w:jc w:val="center"/>
        <w:rPr>
          <w:b/>
          <w:color w:val="000000"/>
          <w:sz w:val="24"/>
        </w:rPr>
      </w:pPr>
      <w:r w:rsidRPr="001514C6">
        <w:rPr>
          <w:rFonts w:hint="eastAsia"/>
          <w:b/>
          <w:color w:val="000000"/>
          <w:sz w:val="24"/>
        </w:rPr>
        <w:lastRenderedPageBreak/>
        <w:t>表</w:t>
      </w:r>
      <w:r w:rsidRPr="001514C6">
        <w:rPr>
          <w:rFonts w:hint="eastAsia"/>
          <w:b/>
          <w:color w:val="000000"/>
          <w:sz w:val="24"/>
        </w:rPr>
        <w:t xml:space="preserve">3.3.5-3  </w:t>
      </w:r>
      <w:r w:rsidRPr="001514C6">
        <w:rPr>
          <w:rFonts w:hint="eastAsia"/>
          <w:b/>
          <w:color w:val="000000"/>
          <w:sz w:val="24"/>
        </w:rPr>
        <w:t>土壤监测结果</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72"/>
        <w:gridCol w:w="705"/>
        <w:gridCol w:w="851"/>
        <w:gridCol w:w="708"/>
        <w:gridCol w:w="709"/>
        <w:gridCol w:w="851"/>
        <w:gridCol w:w="708"/>
        <w:gridCol w:w="851"/>
        <w:gridCol w:w="710"/>
        <w:gridCol w:w="853"/>
        <w:gridCol w:w="1133"/>
      </w:tblGrid>
      <w:tr w:rsidR="00E008A1" w:rsidRPr="00B9263C" w:rsidTr="00B9263C">
        <w:trPr>
          <w:trHeight w:val="315"/>
          <w:jc w:val="center"/>
        </w:trPr>
        <w:tc>
          <w:tcPr>
            <w:tcW w:w="1472" w:type="dxa"/>
            <w:vMerge w:val="restart"/>
            <w:tcBorders>
              <w:tl2br w:val="single" w:sz="4" w:space="0" w:color="auto"/>
            </w:tcBorders>
            <w:shd w:val="clear" w:color="auto" w:fill="auto"/>
            <w:vAlign w:val="center"/>
          </w:tcPr>
          <w:p w:rsidR="00E008A1" w:rsidRPr="00B9263C" w:rsidRDefault="00E008A1" w:rsidP="00E008A1">
            <w:pPr>
              <w:widowControl/>
              <w:jc w:val="center"/>
              <w:rPr>
                <w:rFonts w:hAnsi="宋体"/>
                <w:b/>
                <w:color w:val="000000"/>
                <w:kern w:val="0"/>
                <w:szCs w:val="21"/>
              </w:rPr>
            </w:pPr>
            <w:r w:rsidRPr="00B9263C">
              <w:rPr>
                <w:rFonts w:hAnsi="宋体" w:hint="eastAsia"/>
                <w:b/>
                <w:color w:val="000000"/>
                <w:kern w:val="0"/>
                <w:szCs w:val="21"/>
              </w:rPr>
              <w:t xml:space="preserve">    </w:t>
            </w:r>
            <w:r w:rsidRPr="00B9263C">
              <w:rPr>
                <w:rFonts w:hAnsi="宋体" w:hint="eastAsia"/>
                <w:b/>
                <w:color w:val="000000"/>
                <w:kern w:val="0"/>
                <w:szCs w:val="21"/>
              </w:rPr>
              <w:t>监测位置</w:t>
            </w:r>
          </w:p>
          <w:p w:rsidR="00E008A1" w:rsidRDefault="00E008A1" w:rsidP="00E008A1">
            <w:pPr>
              <w:widowControl/>
              <w:jc w:val="center"/>
              <w:rPr>
                <w:rFonts w:hAnsi="宋体"/>
                <w:b/>
                <w:color w:val="000000"/>
                <w:kern w:val="0"/>
                <w:szCs w:val="21"/>
              </w:rPr>
            </w:pPr>
          </w:p>
          <w:p w:rsidR="00B9263C" w:rsidRDefault="00B9263C" w:rsidP="00E008A1">
            <w:pPr>
              <w:widowControl/>
              <w:jc w:val="center"/>
              <w:rPr>
                <w:rFonts w:hAnsi="宋体"/>
                <w:b/>
                <w:color w:val="000000"/>
                <w:kern w:val="0"/>
                <w:szCs w:val="21"/>
              </w:rPr>
            </w:pPr>
          </w:p>
          <w:p w:rsidR="00B9263C" w:rsidRPr="00B9263C" w:rsidRDefault="00B9263C" w:rsidP="00E008A1">
            <w:pPr>
              <w:widowControl/>
              <w:jc w:val="center"/>
              <w:rPr>
                <w:rFonts w:hAnsi="宋体"/>
                <w:b/>
                <w:color w:val="000000"/>
                <w:kern w:val="0"/>
                <w:szCs w:val="21"/>
              </w:rPr>
            </w:pPr>
          </w:p>
          <w:p w:rsidR="00E008A1" w:rsidRPr="00B9263C" w:rsidRDefault="00E008A1" w:rsidP="00E008A1">
            <w:pPr>
              <w:widowControl/>
              <w:jc w:val="left"/>
              <w:rPr>
                <w:b/>
                <w:color w:val="000000"/>
                <w:kern w:val="0"/>
                <w:szCs w:val="21"/>
              </w:rPr>
            </w:pPr>
            <w:r w:rsidRPr="00B9263C">
              <w:rPr>
                <w:rFonts w:hAnsi="宋体"/>
                <w:b/>
                <w:color w:val="000000"/>
                <w:kern w:val="0"/>
                <w:szCs w:val="21"/>
              </w:rPr>
              <w:t>监测因子</w:t>
            </w:r>
          </w:p>
        </w:tc>
        <w:tc>
          <w:tcPr>
            <w:tcW w:w="4532" w:type="dxa"/>
            <w:gridSpan w:val="6"/>
            <w:shd w:val="clear" w:color="auto" w:fill="auto"/>
            <w:vAlign w:val="center"/>
          </w:tcPr>
          <w:p w:rsidR="00E008A1" w:rsidRPr="00B9263C" w:rsidRDefault="00E008A1">
            <w:pPr>
              <w:widowControl/>
              <w:jc w:val="center"/>
              <w:rPr>
                <w:b/>
                <w:color w:val="000000"/>
                <w:kern w:val="0"/>
                <w:szCs w:val="21"/>
              </w:rPr>
            </w:pPr>
            <w:r w:rsidRPr="00B9263C">
              <w:rPr>
                <w:rFonts w:hAnsi="宋体"/>
                <w:b/>
                <w:color w:val="000000"/>
                <w:kern w:val="0"/>
                <w:szCs w:val="21"/>
              </w:rPr>
              <w:t>工业场地</w:t>
            </w:r>
          </w:p>
        </w:tc>
        <w:tc>
          <w:tcPr>
            <w:tcW w:w="2414" w:type="dxa"/>
            <w:gridSpan w:val="3"/>
          </w:tcPr>
          <w:p w:rsidR="00E008A1" w:rsidRPr="00B9263C" w:rsidRDefault="00E008A1">
            <w:pPr>
              <w:widowControl/>
              <w:jc w:val="center"/>
              <w:rPr>
                <w:rFonts w:hAnsi="宋体"/>
                <w:b/>
                <w:color w:val="000000"/>
                <w:kern w:val="0"/>
                <w:szCs w:val="21"/>
              </w:rPr>
            </w:pPr>
            <w:r w:rsidRPr="00B9263C">
              <w:rPr>
                <w:rFonts w:hAnsi="宋体" w:hint="eastAsia"/>
                <w:b/>
                <w:color w:val="000000"/>
                <w:kern w:val="0"/>
                <w:szCs w:val="21"/>
              </w:rPr>
              <w:t>原机修房附近</w:t>
            </w:r>
          </w:p>
        </w:tc>
        <w:tc>
          <w:tcPr>
            <w:tcW w:w="1133" w:type="dxa"/>
            <w:vMerge w:val="restart"/>
            <w:shd w:val="clear" w:color="auto" w:fill="auto"/>
            <w:vAlign w:val="center"/>
          </w:tcPr>
          <w:p w:rsidR="00B9263C" w:rsidRDefault="00E008A1">
            <w:pPr>
              <w:widowControl/>
              <w:jc w:val="center"/>
              <w:rPr>
                <w:rFonts w:hAnsi="宋体"/>
                <w:b/>
                <w:color w:val="000000"/>
                <w:kern w:val="0"/>
                <w:szCs w:val="21"/>
              </w:rPr>
            </w:pPr>
            <w:r w:rsidRPr="00B9263C">
              <w:rPr>
                <w:rFonts w:hAnsi="宋体"/>
                <w:b/>
                <w:color w:val="000000"/>
                <w:kern w:val="0"/>
                <w:szCs w:val="21"/>
              </w:rPr>
              <w:t>第二类</w:t>
            </w:r>
          </w:p>
          <w:p w:rsidR="00E008A1" w:rsidRPr="00B9263C" w:rsidRDefault="00E008A1">
            <w:pPr>
              <w:widowControl/>
              <w:jc w:val="center"/>
              <w:rPr>
                <w:b/>
                <w:color w:val="000000"/>
                <w:kern w:val="0"/>
                <w:szCs w:val="21"/>
              </w:rPr>
            </w:pPr>
            <w:r w:rsidRPr="00B9263C">
              <w:rPr>
                <w:rFonts w:hAnsi="宋体"/>
                <w:b/>
                <w:color w:val="000000"/>
                <w:kern w:val="0"/>
                <w:szCs w:val="21"/>
              </w:rPr>
              <w:t>建设用地</w:t>
            </w:r>
          </w:p>
          <w:p w:rsidR="00E008A1" w:rsidRPr="00B9263C" w:rsidRDefault="00E008A1">
            <w:pPr>
              <w:jc w:val="center"/>
              <w:rPr>
                <w:b/>
                <w:color w:val="000000"/>
                <w:kern w:val="0"/>
                <w:szCs w:val="21"/>
              </w:rPr>
            </w:pPr>
            <w:r w:rsidRPr="00B9263C">
              <w:rPr>
                <w:rFonts w:hAnsi="宋体"/>
                <w:b/>
                <w:color w:val="000000"/>
                <w:kern w:val="0"/>
                <w:szCs w:val="21"/>
              </w:rPr>
              <w:t>筛选值</w:t>
            </w:r>
          </w:p>
        </w:tc>
      </w:tr>
      <w:tr w:rsidR="00E008A1" w:rsidRPr="00B9263C" w:rsidTr="00B9263C">
        <w:trPr>
          <w:trHeight w:val="315"/>
          <w:jc w:val="center"/>
        </w:trPr>
        <w:tc>
          <w:tcPr>
            <w:tcW w:w="1472" w:type="dxa"/>
            <w:vMerge/>
            <w:shd w:val="clear" w:color="auto" w:fill="auto"/>
            <w:vAlign w:val="center"/>
          </w:tcPr>
          <w:p w:rsidR="00E008A1" w:rsidRPr="00B9263C" w:rsidRDefault="00E008A1">
            <w:pPr>
              <w:widowControl/>
              <w:jc w:val="center"/>
              <w:rPr>
                <w:rFonts w:hAnsi="宋体"/>
                <w:b/>
                <w:color w:val="000000"/>
                <w:kern w:val="0"/>
                <w:szCs w:val="21"/>
              </w:rPr>
            </w:pPr>
          </w:p>
        </w:tc>
        <w:tc>
          <w:tcPr>
            <w:tcW w:w="2264" w:type="dxa"/>
            <w:gridSpan w:val="3"/>
            <w:shd w:val="clear" w:color="auto" w:fill="auto"/>
            <w:vAlign w:val="center"/>
          </w:tcPr>
          <w:p w:rsidR="00E008A1" w:rsidRPr="00B9263C" w:rsidRDefault="00E008A1" w:rsidP="001E3ADB">
            <w:pPr>
              <w:widowControl/>
              <w:jc w:val="center"/>
              <w:rPr>
                <w:b/>
                <w:color w:val="000000"/>
                <w:kern w:val="0"/>
                <w:szCs w:val="21"/>
              </w:rPr>
            </w:pPr>
            <w:r w:rsidRPr="00B9263C">
              <w:rPr>
                <w:rFonts w:hint="eastAsia"/>
                <w:b/>
                <w:color w:val="000000"/>
                <w:kern w:val="0"/>
                <w:szCs w:val="21"/>
              </w:rPr>
              <w:t>Z</w:t>
            </w:r>
            <w:r w:rsidRPr="00B9263C">
              <w:rPr>
                <w:b/>
                <w:color w:val="000000"/>
                <w:kern w:val="0"/>
                <w:szCs w:val="21"/>
              </w:rPr>
              <w:t>1#</w:t>
            </w:r>
            <w:r w:rsidRPr="00B9263C">
              <w:rPr>
                <w:rFonts w:hint="eastAsia"/>
                <w:b/>
                <w:color w:val="000000"/>
                <w:kern w:val="0"/>
                <w:szCs w:val="21"/>
              </w:rPr>
              <w:t>（柱状样）</w:t>
            </w:r>
          </w:p>
          <w:p w:rsidR="001E3ADB" w:rsidRPr="00B9263C" w:rsidRDefault="001E3ADB" w:rsidP="001E3ADB">
            <w:pPr>
              <w:tabs>
                <w:tab w:val="left" w:pos="3360"/>
              </w:tabs>
              <w:jc w:val="center"/>
              <w:rPr>
                <w:bCs/>
                <w:szCs w:val="21"/>
              </w:rPr>
            </w:pPr>
            <w:r w:rsidRPr="00B9263C">
              <w:rPr>
                <w:bCs/>
                <w:szCs w:val="21"/>
              </w:rPr>
              <w:t>E1</w:t>
            </w:r>
            <w:r w:rsidRPr="00B9263C">
              <w:rPr>
                <w:rFonts w:hint="eastAsia"/>
                <w:bCs/>
                <w:szCs w:val="21"/>
              </w:rPr>
              <w:t>09</w:t>
            </w:r>
            <w:r w:rsidRPr="00B9263C">
              <w:rPr>
                <w:bCs/>
                <w:szCs w:val="21"/>
              </w:rPr>
              <w:t>°</w:t>
            </w:r>
            <w:r w:rsidRPr="00B9263C">
              <w:rPr>
                <w:rFonts w:hint="eastAsia"/>
                <w:bCs/>
                <w:szCs w:val="21"/>
              </w:rPr>
              <w:t>28</w:t>
            </w:r>
            <w:r w:rsidRPr="00B9263C">
              <w:rPr>
                <w:bCs/>
                <w:szCs w:val="21"/>
              </w:rPr>
              <w:t>′</w:t>
            </w:r>
            <w:r w:rsidRPr="00B9263C">
              <w:rPr>
                <w:rFonts w:hint="eastAsia"/>
                <w:bCs/>
                <w:szCs w:val="21"/>
              </w:rPr>
              <w:t>04.41</w:t>
            </w:r>
            <w:r w:rsidRPr="00B9263C">
              <w:rPr>
                <w:bCs/>
                <w:szCs w:val="21"/>
              </w:rPr>
              <w:t>″</w:t>
            </w:r>
          </w:p>
          <w:p w:rsidR="001E3ADB" w:rsidRPr="00B9263C" w:rsidRDefault="001E3ADB" w:rsidP="001E3ADB">
            <w:pPr>
              <w:widowControl/>
              <w:jc w:val="center"/>
              <w:rPr>
                <w:b/>
                <w:color w:val="000000"/>
                <w:kern w:val="0"/>
                <w:szCs w:val="21"/>
              </w:rPr>
            </w:pPr>
            <w:r w:rsidRPr="00B9263C">
              <w:rPr>
                <w:bCs/>
                <w:szCs w:val="21"/>
              </w:rPr>
              <w:t>N3</w:t>
            </w:r>
            <w:r w:rsidRPr="00B9263C">
              <w:rPr>
                <w:rFonts w:hint="eastAsia"/>
                <w:bCs/>
                <w:szCs w:val="21"/>
              </w:rPr>
              <w:t>7</w:t>
            </w:r>
            <w:r w:rsidRPr="00B9263C">
              <w:rPr>
                <w:bCs/>
                <w:szCs w:val="21"/>
              </w:rPr>
              <w:t>°</w:t>
            </w:r>
            <w:r w:rsidRPr="00B9263C">
              <w:rPr>
                <w:rFonts w:hint="eastAsia"/>
                <w:bCs/>
                <w:szCs w:val="21"/>
              </w:rPr>
              <w:t>33</w:t>
            </w:r>
            <w:r w:rsidRPr="00B9263C">
              <w:rPr>
                <w:bCs/>
                <w:szCs w:val="21"/>
              </w:rPr>
              <w:t>′</w:t>
            </w:r>
            <w:r w:rsidRPr="00B9263C">
              <w:rPr>
                <w:rFonts w:hint="eastAsia"/>
                <w:bCs/>
                <w:szCs w:val="21"/>
              </w:rPr>
              <w:t>42.84</w:t>
            </w:r>
            <w:r w:rsidRPr="00B9263C">
              <w:rPr>
                <w:bCs/>
                <w:szCs w:val="21"/>
              </w:rPr>
              <w:t>″</w:t>
            </w:r>
          </w:p>
        </w:tc>
        <w:tc>
          <w:tcPr>
            <w:tcW w:w="2268" w:type="dxa"/>
            <w:gridSpan w:val="3"/>
            <w:shd w:val="clear" w:color="auto" w:fill="auto"/>
            <w:vAlign w:val="center"/>
          </w:tcPr>
          <w:p w:rsidR="00E008A1" w:rsidRPr="00B9263C" w:rsidRDefault="00E008A1" w:rsidP="001E3ADB">
            <w:pPr>
              <w:widowControl/>
              <w:jc w:val="center"/>
              <w:rPr>
                <w:b/>
                <w:color w:val="000000"/>
                <w:kern w:val="0"/>
                <w:szCs w:val="21"/>
              </w:rPr>
            </w:pPr>
            <w:r w:rsidRPr="00B9263C">
              <w:rPr>
                <w:rFonts w:hint="eastAsia"/>
                <w:b/>
                <w:color w:val="000000"/>
                <w:kern w:val="0"/>
                <w:szCs w:val="21"/>
              </w:rPr>
              <w:t>Z</w:t>
            </w:r>
            <w:r w:rsidRPr="00B9263C">
              <w:rPr>
                <w:b/>
                <w:color w:val="000000"/>
                <w:kern w:val="0"/>
                <w:szCs w:val="21"/>
              </w:rPr>
              <w:t>2#</w:t>
            </w:r>
            <w:r w:rsidRPr="00B9263C">
              <w:rPr>
                <w:rFonts w:hint="eastAsia"/>
                <w:b/>
                <w:color w:val="000000"/>
                <w:kern w:val="0"/>
                <w:szCs w:val="21"/>
              </w:rPr>
              <w:t>（柱状样）</w:t>
            </w:r>
          </w:p>
          <w:p w:rsidR="001E3ADB" w:rsidRPr="00B9263C" w:rsidRDefault="001E3ADB" w:rsidP="001E3ADB">
            <w:pPr>
              <w:tabs>
                <w:tab w:val="left" w:pos="3360"/>
              </w:tabs>
              <w:jc w:val="center"/>
              <w:rPr>
                <w:bCs/>
                <w:szCs w:val="21"/>
              </w:rPr>
            </w:pPr>
            <w:r w:rsidRPr="00B9263C">
              <w:rPr>
                <w:bCs/>
                <w:szCs w:val="21"/>
              </w:rPr>
              <w:t>E1</w:t>
            </w:r>
            <w:r w:rsidRPr="00B9263C">
              <w:rPr>
                <w:rFonts w:hint="eastAsia"/>
                <w:bCs/>
                <w:szCs w:val="21"/>
              </w:rPr>
              <w:t>09</w:t>
            </w:r>
            <w:r w:rsidRPr="00B9263C">
              <w:rPr>
                <w:bCs/>
                <w:szCs w:val="21"/>
              </w:rPr>
              <w:t>°</w:t>
            </w:r>
            <w:r w:rsidRPr="00B9263C">
              <w:rPr>
                <w:rFonts w:hint="eastAsia"/>
                <w:bCs/>
                <w:szCs w:val="21"/>
              </w:rPr>
              <w:t>28</w:t>
            </w:r>
            <w:r w:rsidRPr="00B9263C">
              <w:rPr>
                <w:bCs/>
                <w:szCs w:val="21"/>
              </w:rPr>
              <w:t>′</w:t>
            </w:r>
            <w:r w:rsidRPr="00B9263C">
              <w:rPr>
                <w:rFonts w:hint="eastAsia"/>
                <w:bCs/>
                <w:szCs w:val="21"/>
              </w:rPr>
              <w:t>03.10</w:t>
            </w:r>
            <w:r w:rsidRPr="00B9263C">
              <w:rPr>
                <w:bCs/>
                <w:szCs w:val="21"/>
              </w:rPr>
              <w:t>″</w:t>
            </w:r>
          </w:p>
          <w:p w:rsidR="001E3ADB" w:rsidRPr="00B9263C" w:rsidRDefault="001E3ADB" w:rsidP="001E3ADB">
            <w:pPr>
              <w:widowControl/>
              <w:jc w:val="center"/>
              <w:rPr>
                <w:b/>
                <w:color w:val="000000"/>
                <w:kern w:val="0"/>
                <w:szCs w:val="21"/>
              </w:rPr>
            </w:pPr>
            <w:r w:rsidRPr="00B9263C">
              <w:rPr>
                <w:bCs/>
                <w:szCs w:val="21"/>
              </w:rPr>
              <w:t>N3</w:t>
            </w:r>
            <w:r w:rsidRPr="00B9263C">
              <w:rPr>
                <w:rFonts w:hint="eastAsia"/>
                <w:bCs/>
                <w:szCs w:val="21"/>
              </w:rPr>
              <w:t>7</w:t>
            </w:r>
            <w:r w:rsidRPr="00B9263C">
              <w:rPr>
                <w:bCs/>
                <w:szCs w:val="21"/>
              </w:rPr>
              <w:t>°</w:t>
            </w:r>
            <w:r w:rsidRPr="00B9263C">
              <w:rPr>
                <w:rFonts w:hint="eastAsia"/>
                <w:bCs/>
                <w:szCs w:val="21"/>
              </w:rPr>
              <w:t>33</w:t>
            </w:r>
            <w:r w:rsidRPr="00B9263C">
              <w:rPr>
                <w:bCs/>
                <w:szCs w:val="21"/>
              </w:rPr>
              <w:t>′</w:t>
            </w:r>
            <w:r w:rsidRPr="00B9263C">
              <w:rPr>
                <w:rFonts w:hint="eastAsia"/>
                <w:bCs/>
                <w:szCs w:val="21"/>
              </w:rPr>
              <w:t>40.22</w:t>
            </w:r>
          </w:p>
        </w:tc>
        <w:tc>
          <w:tcPr>
            <w:tcW w:w="2414" w:type="dxa"/>
            <w:gridSpan w:val="3"/>
          </w:tcPr>
          <w:p w:rsidR="00E008A1" w:rsidRPr="00B9263C" w:rsidRDefault="00E008A1" w:rsidP="001E3ADB">
            <w:pPr>
              <w:widowControl/>
              <w:jc w:val="center"/>
              <w:rPr>
                <w:b/>
                <w:color w:val="000000"/>
                <w:kern w:val="0"/>
                <w:szCs w:val="21"/>
              </w:rPr>
            </w:pPr>
            <w:r w:rsidRPr="00B9263C">
              <w:rPr>
                <w:rFonts w:hint="eastAsia"/>
                <w:b/>
                <w:color w:val="000000"/>
                <w:kern w:val="0"/>
                <w:szCs w:val="21"/>
              </w:rPr>
              <w:t>Z3</w:t>
            </w:r>
            <w:r w:rsidRPr="00B9263C">
              <w:rPr>
                <w:b/>
                <w:color w:val="000000"/>
                <w:kern w:val="0"/>
                <w:szCs w:val="21"/>
              </w:rPr>
              <w:t>#</w:t>
            </w:r>
            <w:r w:rsidRPr="00B9263C">
              <w:rPr>
                <w:rFonts w:hint="eastAsia"/>
                <w:b/>
                <w:color w:val="000000"/>
                <w:kern w:val="0"/>
                <w:szCs w:val="21"/>
              </w:rPr>
              <w:t>（柱状样）</w:t>
            </w:r>
          </w:p>
          <w:p w:rsidR="001E3ADB" w:rsidRPr="00B9263C" w:rsidRDefault="001E3ADB" w:rsidP="001E3ADB">
            <w:pPr>
              <w:tabs>
                <w:tab w:val="left" w:pos="3360"/>
              </w:tabs>
              <w:jc w:val="center"/>
              <w:rPr>
                <w:bCs/>
                <w:szCs w:val="21"/>
              </w:rPr>
            </w:pPr>
            <w:r w:rsidRPr="00B9263C">
              <w:rPr>
                <w:bCs/>
                <w:szCs w:val="21"/>
              </w:rPr>
              <w:t>E1</w:t>
            </w:r>
            <w:r w:rsidRPr="00B9263C">
              <w:rPr>
                <w:rFonts w:hint="eastAsia"/>
                <w:bCs/>
                <w:szCs w:val="21"/>
              </w:rPr>
              <w:t>09</w:t>
            </w:r>
            <w:r w:rsidRPr="00B9263C">
              <w:rPr>
                <w:bCs/>
                <w:szCs w:val="21"/>
              </w:rPr>
              <w:t>°</w:t>
            </w:r>
            <w:r w:rsidRPr="00B9263C">
              <w:rPr>
                <w:rFonts w:hint="eastAsia"/>
                <w:bCs/>
                <w:szCs w:val="21"/>
              </w:rPr>
              <w:t>27</w:t>
            </w:r>
            <w:r w:rsidRPr="00B9263C">
              <w:rPr>
                <w:bCs/>
                <w:szCs w:val="21"/>
              </w:rPr>
              <w:t>′</w:t>
            </w:r>
            <w:r w:rsidRPr="00B9263C">
              <w:rPr>
                <w:rFonts w:hint="eastAsia"/>
                <w:bCs/>
                <w:szCs w:val="21"/>
              </w:rPr>
              <w:t>52.49</w:t>
            </w:r>
            <w:r w:rsidRPr="00B9263C">
              <w:rPr>
                <w:bCs/>
                <w:szCs w:val="21"/>
              </w:rPr>
              <w:t>″</w:t>
            </w:r>
          </w:p>
          <w:p w:rsidR="001E3ADB" w:rsidRPr="00B9263C" w:rsidRDefault="001E3ADB" w:rsidP="001E3ADB">
            <w:pPr>
              <w:widowControl/>
              <w:jc w:val="center"/>
              <w:rPr>
                <w:rFonts w:hAnsi="宋体"/>
                <w:b/>
                <w:color w:val="000000"/>
                <w:kern w:val="0"/>
                <w:szCs w:val="21"/>
              </w:rPr>
            </w:pPr>
            <w:r w:rsidRPr="00B9263C">
              <w:rPr>
                <w:bCs/>
                <w:szCs w:val="21"/>
              </w:rPr>
              <w:t>N3</w:t>
            </w:r>
            <w:r w:rsidRPr="00B9263C">
              <w:rPr>
                <w:rFonts w:hint="eastAsia"/>
                <w:bCs/>
                <w:szCs w:val="21"/>
              </w:rPr>
              <w:t>7</w:t>
            </w:r>
            <w:r w:rsidRPr="00B9263C">
              <w:rPr>
                <w:bCs/>
                <w:szCs w:val="21"/>
              </w:rPr>
              <w:t>°</w:t>
            </w:r>
            <w:r w:rsidRPr="00B9263C">
              <w:rPr>
                <w:rFonts w:hint="eastAsia"/>
                <w:bCs/>
                <w:szCs w:val="21"/>
              </w:rPr>
              <w:t>33</w:t>
            </w:r>
            <w:r w:rsidRPr="00B9263C">
              <w:rPr>
                <w:bCs/>
                <w:szCs w:val="21"/>
              </w:rPr>
              <w:t>′</w:t>
            </w:r>
            <w:r w:rsidRPr="00B9263C">
              <w:rPr>
                <w:rFonts w:hint="eastAsia"/>
                <w:bCs/>
                <w:szCs w:val="21"/>
              </w:rPr>
              <w:t>42.78</w:t>
            </w:r>
            <w:r w:rsidRPr="00B9263C">
              <w:rPr>
                <w:bCs/>
                <w:szCs w:val="21"/>
              </w:rPr>
              <w:t>″</w:t>
            </w:r>
          </w:p>
        </w:tc>
        <w:tc>
          <w:tcPr>
            <w:tcW w:w="1133" w:type="dxa"/>
            <w:vMerge/>
            <w:shd w:val="clear" w:color="auto" w:fill="auto"/>
            <w:vAlign w:val="center"/>
          </w:tcPr>
          <w:p w:rsidR="00E008A1" w:rsidRPr="00B9263C" w:rsidRDefault="00E008A1">
            <w:pPr>
              <w:widowControl/>
              <w:jc w:val="center"/>
              <w:rPr>
                <w:rFonts w:hAnsi="宋体"/>
                <w:b/>
                <w:color w:val="000000"/>
                <w:kern w:val="0"/>
                <w:szCs w:val="21"/>
              </w:rPr>
            </w:pPr>
          </w:p>
        </w:tc>
      </w:tr>
      <w:tr w:rsidR="00B9263C" w:rsidRPr="00B9263C" w:rsidTr="00B9263C">
        <w:trPr>
          <w:trHeight w:val="315"/>
          <w:jc w:val="center"/>
        </w:trPr>
        <w:tc>
          <w:tcPr>
            <w:tcW w:w="1472" w:type="dxa"/>
            <w:vMerge/>
            <w:vAlign w:val="center"/>
          </w:tcPr>
          <w:p w:rsidR="00B9263C" w:rsidRPr="00B9263C" w:rsidRDefault="00B9263C">
            <w:pPr>
              <w:widowControl/>
              <w:jc w:val="center"/>
              <w:rPr>
                <w:b/>
                <w:color w:val="000000"/>
                <w:kern w:val="0"/>
                <w:szCs w:val="21"/>
              </w:rPr>
            </w:pPr>
          </w:p>
        </w:tc>
        <w:tc>
          <w:tcPr>
            <w:tcW w:w="705" w:type="dxa"/>
            <w:shd w:val="clear" w:color="auto" w:fill="auto"/>
            <w:vAlign w:val="center"/>
          </w:tcPr>
          <w:p w:rsidR="00B9263C" w:rsidRPr="00B9263C" w:rsidRDefault="00B9263C" w:rsidP="00AC61C0">
            <w:pPr>
              <w:tabs>
                <w:tab w:val="left" w:pos="3360"/>
              </w:tabs>
              <w:jc w:val="center"/>
              <w:rPr>
                <w:b/>
                <w:szCs w:val="21"/>
              </w:rPr>
            </w:pPr>
            <w:r w:rsidRPr="00B9263C">
              <w:rPr>
                <w:rFonts w:hint="eastAsia"/>
                <w:b/>
                <w:szCs w:val="21"/>
              </w:rPr>
              <w:t>0.5m</w:t>
            </w:r>
          </w:p>
          <w:p w:rsidR="00B9263C" w:rsidRPr="00B9263C" w:rsidRDefault="00B9263C" w:rsidP="00AC61C0">
            <w:pPr>
              <w:tabs>
                <w:tab w:val="left" w:pos="3360"/>
              </w:tabs>
              <w:jc w:val="center"/>
              <w:rPr>
                <w:b/>
                <w:szCs w:val="21"/>
              </w:rPr>
            </w:pPr>
            <w:r w:rsidRPr="00B9263C">
              <w:rPr>
                <w:rFonts w:hint="eastAsia"/>
                <w:b/>
                <w:szCs w:val="21"/>
              </w:rPr>
              <w:t>土样</w:t>
            </w:r>
          </w:p>
        </w:tc>
        <w:tc>
          <w:tcPr>
            <w:tcW w:w="851" w:type="dxa"/>
            <w:shd w:val="clear" w:color="auto" w:fill="auto"/>
            <w:vAlign w:val="center"/>
          </w:tcPr>
          <w:p w:rsidR="00B9263C" w:rsidRPr="00B9263C" w:rsidRDefault="00B9263C" w:rsidP="00AC61C0">
            <w:pPr>
              <w:tabs>
                <w:tab w:val="left" w:pos="3360"/>
              </w:tabs>
              <w:jc w:val="center"/>
              <w:rPr>
                <w:b/>
                <w:szCs w:val="21"/>
              </w:rPr>
            </w:pPr>
            <w:r w:rsidRPr="00B9263C">
              <w:rPr>
                <w:rFonts w:hint="eastAsia"/>
                <w:b/>
                <w:szCs w:val="21"/>
              </w:rPr>
              <w:t>1.4m</w:t>
            </w:r>
          </w:p>
          <w:p w:rsidR="00B9263C" w:rsidRPr="00B9263C" w:rsidRDefault="00B9263C" w:rsidP="00AC61C0">
            <w:pPr>
              <w:tabs>
                <w:tab w:val="left" w:pos="3360"/>
              </w:tabs>
              <w:jc w:val="center"/>
              <w:rPr>
                <w:b/>
                <w:szCs w:val="21"/>
              </w:rPr>
            </w:pPr>
            <w:r w:rsidRPr="00B9263C">
              <w:rPr>
                <w:rFonts w:hint="eastAsia"/>
                <w:b/>
                <w:szCs w:val="21"/>
              </w:rPr>
              <w:t>土样</w:t>
            </w:r>
          </w:p>
        </w:tc>
        <w:tc>
          <w:tcPr>
            <w:tcW w:w="708" w:type="dxa"/>
            <w:shd w:val="clear" w:color="auto" w:fill="auto"/>
            <w:vAlign w:val="center"/>
          </w:tcPr>
          <w:p w:rsidR="00B9263C" w:rsidRPr="00B9263C" w:rsidRDefault="00B9263C" w:rsidP="00AC61C0">
            <w:pPr>
              <w:tabs>
                <w:tab w:val="left" w:pos="3360"/>
              </w:tabs>
              <w:jc w:val="center"/>
              <w:rPr>
                <w:b/>
                <w:szCs w:val="21"/>
              </w:rPr>
            </w:pPr>
            <w:r w:rsidRPr="00B9263C">
              <w:rPr>
                <w:rFonts w:hint="eastAsia"/>
                <w:b/>
                <w:szCs w:val="21"/>
              </w:rPr>
              <w:t>2.0m</w:t>
            </w:r>
          </w:p>
          <w:p w:rsidR="00B9263C" w:rsidRPr="00B9263C" w:rsidRDefault="00B9263C" w:rsidP="00AC61C0">
            <w:pPr>
              <w:tabs>
                <w:tab w:val="left" w:pos="3360"/>
              </w:tabs>
              <w:jc w:val="center"/>
              <w:rPr>
                <w:b/>
                <w:szCs w:val="21"/>
              </w:rPr>
            </w:pPr>
            <w:r w:rsidRPr="00B9263C">
              <w:rPr>
                <w:rFonts w:hint="eastAsia"/>
                <w:b/>
                <w:szCs w:val="21"/>
              </w:rPr>
              <w:t>土样</w:t>
            </w:r>
          </w:p>
        </w:tc>
        <w:tc>
          <w:tcPr>
            <w:tcW w:w="709" w:type="dxa"/>
            <w:shd w:val="clear" w:color="auto" w:fill="auto"/>
            <w:vAlign w:val="center"/>
          </w:tcPr>
          <w:p w:rsidR="00B9263C" w:rsidRPr="00B9263C" w:rsidRDefault="00B9263C" w:rsidP="00AC61C0">
            <w:pPr>
              <w:tabs>
                <w:tab w:val="left" w:pos="3360"/>
              </w:tabs>
              <w:jc w:val="center"/>
              <w:rPr>
                <w:b/>
                <w:szCs w:val="21"/>
              </w:rPr>
            </w:pPr>
            <w:r w:rsidRPr="00B9263C">
              <w:rPr>
                <w:rFonts w:hint="eastAsia"/>
                <w:b/>
                <w:szCs w:val="21"/>
              </w:rPr>
              <w:t>0.4m</w:t>
            </w:r>
          </w:p>
          <w:p w:rsidR="00B9263C" w:rsidRPr="00B9263C" w:rsidRDefault="00B9263C" w:rsidP="00AC61C0">
            <w:pPr>
              <w:tabs>
                <w:tab w:val="left" w:pos="3360"/>
              </w:tabs>
              <w:jc w:val="center"/>
              <w:rPr>
                <w:b/>
                <w:szCs w:val="21"/>
              </w:rPr>
            </w:pPr>
            <w:r w:rsidRPr="00B9263C">
              <w:rPr>
                <w:rFonts w:hint="eastAsia"/>
                <w:b/>
                <w:szCs w:val="21"/>
              </w:rPr>
              <w:t>土样</w:t>
            </w:r>
          </w:p>
        </w:tc>
        <w:tc>
          <w:tcPr>
            <w:tcW w:w="851" w:type="dxa"/>
            <w:shd w:val="clear" w:color="auto" w:fill="auto"/>
            <w:vAlign w:val="center"/>
          </w:tcPr>
          <w:p w:rsidR="00B9263C" w:rsidRPr="00B9263C" w:rsidRDefault="00B9263C" w:rsidP="00AC61C0">
            <w:pPr>
              <w:tabs>
                <w:tab w:val="left" w:pos="3360"/>
              </w:tabs>
              <w:jc w:val="center"/>
              <w:rPr>
                <w:b/>
                <w:szCs w:val="21"/>
              </w:rPr>
            </w:pPr>
            <w:r w:rsidRPr="00B9263C">
              <w:rPr>
                <w:rFonts w:hint="eastAsia"/>
                <w:b/>
                <w:szCs w:val="21"/>
              </w:rPr>
              <w:t>1.2m</w:t>
            </w:r>
          </w:p>
          <w:p w:rsidR="00B9263C" w:rsidRPr="00B9263C" w:rsidRDefault="00B9263C" w:rsidP="00AC61C0">
            <w:pPr>
              <w:tabs>
                <w:tab w:val="left" w:pos="3360"/>
              </w:tabs>
              <w:jc w:val="center"/>
              <w:rPr>
                <w:b/>
                <w:szCs w:val="21"/>
              </w:rPr>
            </w:pPr>
            <w:r w:rsidRPr="00B9263C">
              <w:rPr>
                <w:rFonts w:hint="eastAsia"/>
                <w:b/>
                <w:szCs w:val="21"/>
              </w:rPr>
              <w:t>土样</w:t>
            </w:r>
          </w:p>
        </w:tc>
        <w:tc>
          <w:tcPr>
            <w:tcW w:w="708" w:type="dxa"/>
            <w:shd w:val="clear" w:color="auto" w:fill="auto"/>
            <w:vAlign w:val="center"/>
          </w:tcPr>
          <w:p w:rsidR="00B9263C" w:rsidRPr="00B9263C" w:rsidRDefault="00B9263C" w:rsidP="00AC61C0">
            <w:pPr>
              <w:tabs>
                <w:tab w:val="left" w:pos="3360"/>
              </w:tabs>
              <w:jc w:val="center"/>
              <w:rPr>
                <w:b/>
                <w:szCs w:val="21"/>
              </w:rPr>
            </w:pPr>
            <w:r w:rsidRPr="00B9263C">
              <w:rPr>
                <w:rFonts w:hint="eastAsia"/>
                <w:b/>
                <w:szCs w:val="21"/>
              </w:rPr>
              <w:t>1.8m</w:t>
            </w:r>
          </w:p>
          <w:p w:rsidR="00B9263C" w:rsidRPr="00B9263C" w:rsidRDefault="00B9263C" w:rsidP="00AC61C0">
            <w:pPr>
              <w:tabs>
                <w:tab w:val="left" w:pos="3360"/>
              </w:tabs>
              <w:jc w:val="center"/>
              <w:rPr>
                <w:b/>
                <w:szCs w:val="21"/>
              </w:rPr>
            </w:pPr>
            <w:r w:rsidRPr="00B9263C">
              <w:rPr>
                <w:rFonts w:hint="eastAsia"/>
                <w:b/>
                <w:szCs w:val="21"/>
              </w:rPr>
              <w:t>土样</w:t>
            </w:r>
          </w:p>
        </w:tc>
        <w:tc>
          <w:tcPr>
            <w:tcW w:w="851" w:type="dxa"/>
            <w:vAlign w:val="center"/>
          </w:tcPr>
          <w:p w:rsidR="00B9263C" w:rsidRPr="00B9263C" w:rsidRDefault="00B9263C" w:rsidP="00AC61C0">
            <w:pPr>
              <w:tabs>
                <w:tab w:val="left" w:pos="3360"/>
              </w:tabs>
              <w:jc w:val="center"/>
              <w:rPr>
                <w:b/>
                <w:szCs w:val="21"/>
              </w:rPr>
            </w:pPr>
            <w:r w:rsidRPr="00B9263C">
              <w:rPr>
                <w:rFonts w:hint="eastAsia"/>
                <w:b/>
                <w:szCs w:val="21"/>
              </w:rPr>
              <w:t>0.5m</w:t>
            </w:r>
          </w:p>
          <w:p w:rsidR="00B9263C" w:rsidRPr="00B9263C" w:rsidRDefault="00B9263C" w:rsidP="00AC61C0">
            <w:pPr>
              <w:tabs>
                <w:tab w:val="left" w:pos="3360"/>
              </w:tabs>
              <w:jc w:val="center"/>
              <w:rPr>
                <w:b/>
                <w:szCs w:val="21"/>
              </w:rPr>
            </w:pPr>
            <w:r w:rsidRPr="00B9263C">
              <w:rPr>
                <w:rFonts w:hint="eastAsia"/>
                <w:b/>
                <w:szCs w:val="21"/>
              </w:rPr>
              <w:t>土样</w:t>
            </w:r>
          </w:p>
        </w:tc>
        <w:tc>
          <w:tcPr>
            <w:tcW w:w="710" w:type="dxa"/>
            <w:vAlign w:val="center"/>
          </w:tcPr>
          <w:p w:rsidR="00B9263C" w:rsidRPr="00B9263C" w:rsidRDefault="00B9263C" w:rsidP="00AC61C0">
            <w:pPr>
              <w:tabs>
                <w:tab w:val="left" w:pos="3360"/>
              </w:tabs>
              <w:jc w:val="center"/>
              <w:rPr>
                <w:b/>
                <w:szCs w:val="21"/>
              </w:rPr>
            </w:pPr>
            <w:r w:rsidRPr="00B9263C">
              <w:rPr>
                <w:rFonts w:hint="eastAsia"/>
                <w:b/>
                <w:szCs w:val="21"/>
              </w:rPr>
              <w:t>1.5m</w:t>
            </w:r>
          </w:p>
          <w:p w:rsidR="00B9263C" w:rsidRPr="00B9263C" w:rsidRDefault="00B9263C" w:rsidP="00AC61C0">
            <w:pPr>
              <w:tabs>
                <w:tab w:val="left" w:pos="3360"/>
              </w:tabs>
              <w:jc w:val="center"/>
              <w:rPr>
                <w:b/>
                <w:szCs w:val="21"/>
              </w:rPr>
            </w:pPr>
            <w:r w:rsidRPr="00B9263C">
              <w:rPr>
                <w:rFonts w:hint="eastAsia"/>
                <w:b/>
                <w:szCs w:val="21"/>
              </w:rPr>
              <w:t>土样</w:t>
            </w:r>
          </w:p>
        </w:tc>
        <w:tc>
          <w:tcPr>
            <w:tcW w:w="853" w:type="dxa"/>
            <w:vAlign w:val="center"/>
          </w:tcPr>
          <w:p w:rsidR="00B9263C" w:rsidRPr="00B9263C" w:rsidRDefault="00B9263C" w:rsidP="00AC61C0">
            <w:pPr>
              <w:tabs>
                <w:tab w:val="left" w:pos="3360"/>
              </w:tabs>
              <w:jc w:val="center"/>
              <w:rPr>
                <w:b/>
                <w:szCs w:val="21"/>
              </w:rPr>
            </w:pPr>
            <w:r w:rsidRPr="00B9263C">
              <w:rPr>
                <w:rFonts w:hint="eastAsia"/>
                <w:b/>
                <w:szCs w:val="21"/>
              </w:rPr>
              <w:t>2.5m</w:t>
            </w:r>
          </w:p>
          <w:p w:rsidR="00B9263C" w:rsidRPr="00B9263C" w:rsidRDefault="00B9263C" w:rsidP="00AC61C0">
            <w:pPr>
              <w:tabs>
                <w:tab w:val="left" w:pos="3360"/>
              </w:tabs>
              <w:jc w:val="center"/>
              <w:rPr>
                <w:b/>
                <w:szCs w:val="21"/>
              </w:rPr>
            </w:pPr>
            <w:r w:rsidRPr="00B9263C">
              <w:rPr>
                <w:rFonts w:hint="eastAsia"/>
                <w:b/>
                <w:szCs w:val="21"/>
              </w:rPr>
              <w:t>土样</w:t>
            </w:r>
          </w:p>
        </w:tc>
        <w:tc>
          <w:tcPr>
            <w:tcW w:w="1133" w:type="dxa"/>
            <w:vMerge/>
            <w:shd w:val="clear" w:color="auto" w:fill="auto"/>
            <w:vAlign w:val="center"/>
          </w:tcPr>
          <w:p w:rsidR="00B9263C" w:rsidRPr="00B9263C" w:rsidRDefault="00B9263C">
            <w:pPr>
              <w:widowControl/>
              <w:jc w:val="center"/>
              <w:rPr>
                <w:b/>
                <w:color w:val="000000"/>
                <w:kern w:val="0"/>
                <w:szCs w:val="21"/>
              </w:rPr>
            </w:pPr>
          </w:p>
        </w:tc>
      </w:tr>
      <w:tr w:rsidR="00B9263C" w:rsidRPr="00B9263C" w:rsidTr="00B9263C">
        <w:trPr>
          <w:trHeight w:val="315"/>
          <w:jc w:val="center"/>
        </w:trPr>
        <w:tc>
          <w:tcPr>
            <w:tcW w:w="1472" w:type="dxa"/>
            <w:shd w:val="clear" w:color="auto" w:fill="auto"/>
            <w:vAlign w:val="center"/>
          </w:tcPr>
          <w:p w:rsidR="00B9263C" w:rsidRPr="00B9263C" w:rsidRDefault="00B9263C">
            <w:pPr>
              <w:widowControl/>
              <w:jc w:val="center"/>
              <w:rPr>
                <w:color w:val="000000"/>
                <w:kern w:val="0"/>
                <w:szCs w:val="21"/>
              </w:rPr>
            </w:pPr>
            <w:r w:rsidRPr="00B9263C">
              <w:rPr>
                <w:rFonts w:hint="eastAsia"/>
                <w:bCs/>
                <w:szCs w:val="21"/>
              </w:rPr>
              <w:t>pH</w:t>
            </w:r>
            <w:r w:rsidRPr="00B9263C">
              <w:rPr>
                <w:rFonts w:hint="eastAsia"/>
                <w:bCs/>
                <w:szCs w:val="21"/>
              </w:rPr>
              <w:t>值</w:t>
            </w:r>
          </w:p>
        </w:tc>
        <w:tc>
          <w:tcPr>
            <w:tcW w:w="705" w:type="dxa"/>
            <w:shd w:val="clear" w:color="auto" w:fill="auto"/>
            <w:vAlign w:val="center"/>
          </w:tcPr>
          <w:p w:rsidR="00B9263C" w:rsidRPr="00B9263C" w:rsidRDefault="00B9263C" w:rsidP="00DE787B">
            <w:pPr>
              <w:tabs>
                <w:tab w:val="left" w:pos="3360"/>
              </w:tabs>
              <w:jc w:val="center"/>
              <w:rPr>
                <w:bCs/>
                <w:szCs w:val="21"/>
              </w:rPr>
            </w:pPr>
            <w:r w:rsidRPr="006845E8">
              <w:rPr>
                <w:rFonts w:hint="eastAsia"/>
                <w:bCs/>
                <w:szCs w:val="21"/>
              </w:rPr>
              <w:t>8.</w:t>
            </w:r>
            <w:r w:rsidR="00DE787B">
              <w:rPr>
                <w:rFonts w:hint="eastAsia"/>
                <w:bCs/>
                <w:szCs w:val="21"/>
              </w:rPr>
              <w:t>4</w:t>
            </w:r>
          </w:p>
        </w:tc>
        <w:tc>
          <w:tcPr>
            <w:tcW w:w="851" w:type="dxa"/>
            <w:shd w:val="clear" w:color="auto" w:fill="auto"/>
            <w:vAlign w:val="center"/>
          </w:tcPr>
          <w:p w:rsidR="00B9263C" w:rsidRPr="00B9263C" w:rsidRDefault="00B9263C" w:rsidP="006845E8">
            <w:pPr>
              <w:tabs>
                <w:tab w:val="left" w:pos="3360"/>
              </w:tabs>
              <w:jc w:val="center"/>
              <w:rPr>
                <w:bCs/>
                <w:szCs w:val="21"/>
              </w:rPr>
            </w:pPr>
            <w:r w:rsidRPr="006845E8">
              <w:rPr>
                <w:rFonts w:hint="eastAsia"/>
                <w:bCs/>
                <w:szCs w:val="21"/>
              </w:rPr>
              <w:t>8.</w:t>
            </w:r>
            <w:r w:rsidR="006845E8">
              <w:rPr>
                <w:rFonts w:hint="eastAsia"/>
                <w:bCs/>
                <w:szCs w:val="21"/>
              </w:rPr>
              <w:t>4</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8.2</w:t>
            </w:r>
          </w:p>
        </w:tc>
        <w:tc>
          <w:tcPr>
            <w:tcW w:w="709" w:type="dxa"/>
            <w:shd w:val="clear" w:color="auto" w:fill="auto"/>
            <w:vAlign w:val="center"/>
          </w:tcPr>
          <w:p w:rsidR="00B9263C" w:rsidRPr="00B9263C" w:rsidRDefault="00B9263C" w:rsidP="006845E8">
            <w:pPr>
              <w:tabs>
                <w:tab w:val="left" w:pos="3360"/>
              </w:tabs>
              <w:jc w:val="center"/>
              <w:rPr>
                <w:bCs/>
                <w:szCs w:val="21"/>
              </w:rPr>
            </w:pPr>
            <w:r w:rsidRPr="006845E8">
              <w:rPr>
                <w:rFonts w:hint="eastAsia"/>
                <w:bCs/>
                <w:szCs w:val="21"/>
              </w:rPr>
              <w:t>8.</w:t>
            </w:r>
            <w:r w:rsidR="006845E8">
              <w:rPr>
                <w:rFonts w:hint="eastAsia"/>
                <w:bCs/>
                <w:szCs w:val="21"/>
              </w:rPr>
              <w:t>2</w:t>
            </w:r>
          </w:p>
        </w:tc>
        <w:tc>
          <w:tcPr>
            <w:tcW w:w="851" w:type="dxa"/>
            <w:shd w:val="clear" w:color="auto" w:fill="auto"/>
            <w:vAlign w:val="center"/>
          </w:tcPr>
          <w:p w:rsidR="00B9263C" w:rsidRPr="006845E8" w:rsidRDefault="00B9263C" w:rsidP="00DE787B">
            <w:pPr>
              <w:tabs>
                <w:tab w:val="left" w:pos="3360"/>
              </w:tabs>
              <w:jc w:val="center"/>
              <w:rPr>
                <w:bCs/>
                <w:szCs w:val="21"/>
              </w:rPr>
            </w:pPr>
            <w:r w:rsidRPr="006845E8">
              <w:rPr>
                <w:rFonts w:hint="eastAsia"/>
                <w:bCs/>
                <w:szCs w:val="21"/>
              </w:rPr>
              <w:t>8.</w:t>
            </w:r>
            <w:r w:rsidR="00DE787B">
              <w:rPr>
                <w:rFonts w:hint="eastAsia"/>
                <w:bCs/>
                <w:szCs w:val="21"/>
              </w:rPr>
              <w:t>2</w:t>
            </w:r>
          </w:p>
        </w:tc>
        <w:tc>
          <w:tcPr>
            <w:tcW w:w="708" w:type="dxa"/>
            <w:shd w:val="clear" w:color="auto" w:fill="auto"/>
            <w:vAlign w:val="center"/>
          </w:tcPr>
          <w:p w:rsidR="00B9263C" w:rsidRPr="006845E8" w:rsidRDefault="00B9263C" w:rsidP="00DE787B">
            <w:pPr>
              <w:tabs>
                <w:tab w:val="left" w:pos="3360"/>
              </w:tabs>
              <w:jc w:val="center"/>
              <w:rPr>
                <w:bCs/>
                <w:szCs w:val="21"/>
              </w:rPr>
            </w:pPr>
            <w:r w:rsidRPr="006845E8">
              <w:rPr>
                <w:rFonts w:hint="eastAsia"/>
                <w:bCs/>
                <w:szCs w:val="21"/>
              </w:rPr>
              <w:t>8.</w:t>
            </w:r>
            <w:r w:rsidR="00DE787B">
              <w:rPr>
                <w:rFonts w:hint="eastAsia"/>
                <w:bCs/>
                <w:szCs w:val="21"/>
              </w:rPr>
              <w:t>3</w:t>
            </w:r>
          </w:p>
        </w:tc>
        <w:tc>
          <w:tcPr>
            <w:tcW w:w="851" w:type="dxa"/>
            <w:vAlign w:val="center"/>
          </w:tcPr>
          <w:p w:rsidR="00B9263C" w:rsidRPr="00B9263C" w:rsidRDefault="00B9263C" w:rsidP="00AC61C0">
            <w:pPr>
              <w:tabs>
                <w:tab w:val="left" w:pos="3360"/>
              </w:tabs>
              <w:jc w:val="center"/>
              <w:rPr>
                <w:bCs/>
                <w:szCs w:val="21"/>
              </w:rPr>
            </w:pPr>
            <w:r w:rsidRPr="00B9263C">
              <w:rPr>
                <w:rFonts w:hint="eastAsia"/>
                <w:bCs/>
                <w:szCs w:val="21"/>
              </w:rPr>
              <w:t>7.9</w:t>
            </w:r>
          </w:p>
        </w:tc>
        <w:tc>
          <w:tcPr>
            <w:tcW w:w="710" w:type="dxa"/>
            <w:vAlign w:val="center"/>
          </w:tcPr>
          <w:p w:rsidR="00B9263C" w:rsidRPr="00B9263C" w:rsidRDefault="00B9263C" w:rsidP="00AC61C0">
            <w:pPr>
              <w:tabs>
                <w:tab w:val="left" w:pos="3360"/>
              </w:tabs>
              <w:jc w:val="center"/>
              <w:rPr>
                <w:bCs/>
                <w:szCs w:val="21"/>
              </w:rPr>
            </w:pPr>
            <w:r w:rsidRPr="00B9263C">
              <w:rPr>
                <w:rFonts w:hint="eastAsia"/>
                <w:bCs/>
                <w:szCs w:val="21"/>
              </w:rPr>
              <w:t>7.8</w:t>
            </w:r>
          </w:p>
        </w:tc>
        <w:tc>
          <w:tcPr>
            <w:tcW w:w="853" w:type="dxa"/>
            <w:vAlign w:val="center"/>
          </w:tcPr>
          <w:p w:rsidR="00B9263C" w:rsidRPr="00B9263C" w:rsidRDefault="00B9263C" w:rsidP="00AC61C0">
            <w:pPr>
              <w:tabs>
                <w:tab w:val="left" w:pos="3360"/>
              </w:tabs>
              <w:jc w:val="center"/>
              <w:rPr>
                <w:bCs/>
                <w:szCs w:val="21"/>
              </w:rPr>
            </w:pPr>
            <w:r w:rsidRPr="00B9263C">
              <w:rPr>
                <w:rFonts w:hint="eastAsia"/>
                <w:bCs/>
                <w:szCs w:val="21"/>
              </w:rPr>
              <w:t>8.3</w:t>
            </w:r>
          </w:p>
        </w:tc>
        <w:tc>
          <w:tcPr>
            <w:tcW w:w="1133" w:type="dxa"/>
            <w:shd w:val="clear" w:color="auto" w:fill="auto"/>
            <w:vAlign w:val="center"/>
          </w:tcPr>
          <w:p w:rsidR="00B9263C" w:rsidRPr="00B9263C" w:rsidRDefault="00CB20B3">
            <w:pPr>
              <w:widowControl/>
              <w:jc w:val="center"/>
              <w:rPr>
                <w:color w:val="000000"/>
                <w:kern w:val="0"/>
                <w:szCs w:val="21"/>
              </w:rPr>
            </w:pPr>
            <w:r>
              <w:rPr>
                <w:rFonts w:hint="eastAsia"/>
                <w:color w:val="000000"/>
                <w:kern w:val="0"/>
                <w:szCs w:val="21"/>
              </w:rPr>
              <w:t>/</w:t>
            </w:r>
          </w:p>
        </w:tc>
      </w:tr>
      <w:tr w:rsidR="00B9263C" w:rsidRPr="00B9263C" w:rsidTr="00B9263C">
        <w:trPr>
          <w:trHeight w:val="315"/>
          <w:jc w:val="center"/>
        </w:trPr>
        <w:tc>
          <w:tcPr>
            <w:tcW w:w="1472" w:type="dxa"/>
            <w:shd w:val="clear" w:color="auto" w:fill="auto"/>
            <w:vAlign w:val="center"/>
          </w:tcPr>
          <w:p w:rsidR="00B9263C" w:rsidRPr="00B9263C" w:rsidRDefault="00B9263C" w:rsidP="00AC61C0">
            <w:pPr>
              <w:widowControl/>
              <w:jc w:val="center"/>
              <w:rPr>
                <w:color w:val="000000"/>
                <w:kern w:val="0"/>
                <w:szCs w:val="21"/>
              </w:rPr>
            </w:pPr>
            <w:r w:rsidRPr="00B9263C">
              <w:rPr>
                <w:rFonts w:hAnsi="宋体"/>
                <w:color w:val="000000"/>
                <w:kern w:val="0"/>
                <w:szCs w:val="21"/>
              </w:rPr>
              <w:t>砷</w:t>
            </w:r>
          </w:p>
        </w:tc>
        <w:tc>
          <w:tcPr>
            <w:tcW w:w="705"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7.20</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6.55</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6.31</w:t>
            </w:r>
          </w:p>
        </w:tc>
        <w:tc>
          <w:tcPr>
            <w:tcW w:w="709"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8.10</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6.58</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9.44</w:t>
            </w:r>
          </w:p>
        </w:tc>
        <w:tc>
          <w:tcPr>
            <w:tcW w:w="851" w:type="dxa"/>
            <w:vAlign w:val="center"/>
          </w:tcPr>
          <w:p w:rsidR="00B9263C" w:rsidRPr="00B9263C" w:rsidRDefault="00B9263C" w:rsidP="00AC61C0">
            <w:pPr>
              <w:tabs>
                <w:tab w:val="left" w:pos="3360"/>
              </w:tabs>
              <w:jc w:val="center"/>
              <w:rPr>
                <w:bCs/>
                <w:szCs w:val="21"/>
              </w:rPr>
            </w:pPr>
            <w:r w:rsidRPr="00B9263C">
              <w:rPr>
                <w:rFonts w:hint="eastAsia"/>
                <w:bCs/>
                <w:szCs w:val="21"/>
              </w:rPr>
              <w:t>7.92</w:t>
            </w:r>
          </w:p>
        </w:tc>
        <w:tc>
          <w:tcPr>
            <w:tcW w:w="710" w:type="dxa"/>
            <w:vAlign w:val="center"/>
          </w:tcPr>
          <w:p w:rsidR="00B9263C" w:rsidRPr="00B9263C" w:rsidRDefault="00B9263C" w:rsidP="00AC61C0">
            <w:pPr>
              <w:tabs>
                <w:tab w:val="left" w:pos="3360"/>
              </w:tabs>
              <w:jc w:val="center"/>
              <w:rPr>
                <w:bCs/>
                <w:szCs w:val="21"/>
              </w:rPr>
            </w:pPr>
            <w:r w:rsidRPr="00B9263C">
              <w:rPr>
                <w:rFonts w:hint="eastAsia"/>
                <w:bCs/>
                <w:szCs w:val="21"/>
              </w:rPr>
              <w:t>8.00</w:t>
            </w:r>
          </w:p>
        </w:tc>
        <w:tc>
          <w:tcPr>
            <w:tcW w:w="853" w:type="dxa"/>
            <w:vAlign w:val="center"/>
          </w:tcPr>
          <w:p w:rsidR="00B9263C" w:rsidRPr="00B9263C" w:rsidRDefault="00B9263C" w:rsidP="00AC61C0">
            <w:pPr>
              <w:tabs>
                <w:tab w:val="left" w:pos="3360"/>
              </w:tabs>
              <w:jc w:val="center"/>
              <w:rPr>
                <w:bCs/>
                <w:szCs w:val="21"/>
              </w:rPr>
            </w:pPr>
            <w:r w:rsidRPr="00B9263C">
              <w:rPr>
                <w:rFonts w:hint="eastAsia"/>
                <w:bCs/>
                <w:szCs w:val="21"/>
              </w:rPr>
              <w:t>8.04</w:t>
            </w:r>
          </w:p>
        </w:tc>
        <w:tc>
          <w:tcPr>
            <w:tcW w:w="1133" w:type="dxa"/>
            <w:shd w:val="clear" w:color="auto" w:fill="auto"/>
            <w:vAlign w:val="center"/>
          </w:tcPr>
          <w:p w:rsidR="00B9263C" w:rsidRPr="00B9263C" w:rsidRDefault="00B9263C" w:rsidP="00AC61C0">
            <w:pPr>
              <w:widowControl/>
              <w:jc w:val="center"/>
              <w:rPr>
                <w:color w:val="000000"/>
                <w:kern w:val="0"/>
                <w:szCs w:val="21"/>
              </w:rPr>
            </w:pPr>
            <w:r w:rsidRPr="00B9263C">
              <w:rPr>
                <w:color w:val="000000"/>
                <w:kern w:val="0"/>
                <w:szCs w:val="21"/>
              </w:rPr>
              <w:t>60</w:t>
            </w:r>
          </w:p>
        </w:tc>
      </w:tr>
      <w:tr w:rsidR="00B9263C" w:rsidRPr="00B9263C" w:rsidTr="00B9263C">
        <w:trPr>
          <w:trHeight w:val="315"/>
          <w:jc w:val="center"/>
        </w:trPr>
        <w:tc>
          <w:tcPr>
            <w:tcW w:w="1472" w:type="dxa"/>
            <w:shd w:val="clear" w:color="auto" w:fill="auto"/>
            <w:vAlign w:val="center"/>
          </w:tcPr>
          <w:p w:rsidR="00B9263C" w:rsidRPr="00B9263C" w:rsidRDefault="00B9263C">
            <w:pPr>
              <w:widowControl/>
              <w:jc w:val="center"/>
              <w:rPr>
                <w:color w:val="000000"/>
                <w:kern w:val="0"/>
                <w:szCs w:val="21"/>
              </w:rPr>
            </w:pPr>
            <w:r w:rsidRPr="00B9263C">
              <w:rPr>
                <w:rFonts w:hAnsi="宋体"/>
                <w:color w:val="000000"/>
                <w:kern w:val="0"/>
                <w:szCs w:val="21"/>
              </w:rPr>
              <w:t>镉</w:t>
            </w:r>
          </w:p>
        </w:tc>
        <w:tc>
          <w:tcPr>
            <w:tcW w:w="705"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0.20</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0.18</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0.18</w:t>
            </w:r>
          </w:p>
        </w:tc>
        <w:tc>
          <w:tcPr>
            <w:tcW w:w="709"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0.18</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0.17</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0.17</w:t>
            </w:r>
          </w:p>
        </w:tc>
        <w:tc>
          <w:tcPr>
            <w:tcW w:w="851" w:type="dxa"/>
            <w:vAlign w:val="center"/>
          </w:tcPr>
          <w:p w:rsidR="00B9263C" w:rsidRPr="00B9263C" w:rsidRDefault="00B9263C" w:rsidP="00AC61C0">
            <w:pPr>
              <w:tabs>
                <w:tab w:val="left" w:pos="3360"/>
              </w:tabs>
              <w:jc w:val="center"/>
              <w:rPr>
                <w:bCs/>
                <w:szCs w:val="21"/>
              </w:rPr>
            </w:pPr>
            <w:r w:rsidRPr="00B9263C">
              <w:rPr>
                <w:rFonts w:hint="eastAsia"/>
                <w:bCs/>
                <w:szCs w:val="21"/>
              </w:rPr>
              <w:t>0.15</w:t>
            </w:r>
          </w:p>
        </w:tc>
        <w:tc>
          <w:tcPr>
            <w:tcW w:w="710" w:type="dxa"/>
            <w:vAlign w:val="center"/>
          </w:tcPr>
          <w:p w:rsidR="00B9263C" w:rsidRPr="00B9263C" w:rsidRDefault="00B9263C" w:rsidP="00AC61C0">
            <w:pPr>
              <w:tabs>
                <w:tab w:val="left" w:pos="3360"/>
              </w:tabs>
              <w:jc w:val="center"/>
              <w:rPr>
                <w:bCs/>
                <w:szCs w:val="21"/>
              </w:rPr>
            </w:pPr>
            <w:r w:rsidRPr="00B9263C">
              <w:rPr>
                <w:rFonts w:hint="eastAsia"/>
                <w:bCs/>
                <w:szCs w:val="21"/>
              </w:rPr>
              <w:t>0.16</w:t>
            </w:r>
          </w:p>
        </w:tc>
        <w:tc>
          <w:tcPr>
            <w:tcW w:w="853" w:type="dxa"/>
            <w:vAlign w:val="center"/>
          </w:tcPr>
          <w:p w:rsidR="00B9263C" w:rsidRPr="00B9263C" w:rsidRDefault="00B9263C" w:rsidP="00AC61C0">
            <w:pPr>
              <w:tabs>
                <w:tab w:val="left" w:pos="3360"/>
              </w:tabs>
              <w:jc w:val="center"/>
              <w:rPr>
                <w:bCs/>
                <w:szCs w:val="21"/>
              </w:rPr>
            </w:pPr>
            <w:r w:rsidRPr="00B9263C">
              <w:rPr>
                <w:rFonts w:hint="eastAsia"/>
                <w:bCs/>
                <w:szCs w:val="21"/>
              </w:rPr>
              <w:t>0.20</w:t>
            </w:r>
          </w:p>
        </w:tc>
        <w:tc>
          <w:tcPr>
            <w:tcW w:w="1133" w:type="dxa"/>
            <w:shd w:val="clear" w:color="auto" w:fill="auto"/>
            <w:vAlign w:val="center"/>
          </w:tcPr>
          <w:p w:rsidR="00B9263C" w:rsidRPr="00B9263C" w:rsidRDefault="00B9263C">
            <w:pPr>
              <w:widowControl/>
              <w:jc w:val="center"/>
              <w:rPr>
                <w:color w:val="000000"/>
                <w:kern w:val="0"/>
                <w:szCs w:val="21"/>
              </w:rPr>
            </w:pPr>
            <w:r w:rsidRPr="00B9263C">
              <w:rPr>
                <w:color w:val="000000"/>
                <w:kern w:val="0"/>
                <w:szCs w:val="21"/>
              </w:rPr>
              <w:t>65</w:t>
            </w:r>
          </w:p>
        </w:tc>
      </w:tr>
      <w:tr w:rsidR="00B9263C" w:rsidRPr="00B9263C" w:rsidTr="00B9263C">
        <w:trPr>
          <w:trHeight w:val="315"/>
          <w:jc w:val="center"/>
        </w:trPr>
        <w:tc>
          <w:tcPr>
            <w:tcW w:w="1472" w:type="dxa"/>
            <w:shd w:val="clear" w:color="auto" w:fill="auto"/>
            <w:vAlign w:val="center"/>
          </w:tcPr>
          <w:p w:rsidR="00B9263C" w:rsidRPr="00B9263C" w:rsidRDefault="00B9263C">
            <w:pPr>
              <w:widowControl/>
              <w:jc w:val="center"/>
              <w:rPr>
                <w:color w:val="000000"/>
                <w:kern w:val="0"/>
                <w:szCs w:val="21"/>
              </w:rPr>
            </w:pPr>
            <w:r w:rsidRPr="00B9263C">
              <w:rPr>
                <w:rFonts w:hAnsi="宋体"/>
                <w:color w:val="000000"/>
                <w:kern w:val="0"/>
                <w:szCs w:val="21"/>
              </w:rPr>
              <w:t>六价铬</w:t>
            </w:r>
          </w:p>
        </w:tc>
        <w:tc>
          <w:tcPr>
            <w:tcW w:w="705"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未检出</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未检出</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未检出</w:t>
            </w:r>
          </w:p>
        </w:tc>
        <w:tc>
          <w:tcPr>
            <w:tcW w:w="709"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未检出</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未检出</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未检出</w:t>
            </w:r>
          </w:p>
        </w:tc>
        <w:tc>
          <w:tcPr>
            <w:tcW w:w="851" w:type="dxa"/>
            <w:vAlign w:val="center"/>
          </w:tcPr>
          <w:p w:rsidR="00B9263C" w:rsidRPr="00B9263C" w:rsidRDefault="00B9263C" w:rsidP="00AC61C0">
            <w:pPr>
              <w:tabs>
                <w:tab w:val="left" w:pos="3360"/>
              </w:tabs>
              <w:jc w:val="center"/>
              <w:rPr>
                <w:bCs/>
                <w:szCs w:val="21"/>
              </w:rPr>
            </w:pPr>
            <w:r w:rsidRPr="00B9263C">
              <w:rPr>
                <w:rFonts w:hint="eastAsia"/>
                <w:bCs/>
                <w:szCs w:val="21"/>
              </w:rPr>
              <w:t>未检出</w:t>
            </w:r>
          </w:p>
        </w:tc>
        <w:tc>
          <w:tcPr>
            <w:tcW w:w="710" w:type="dxa"/>
            <w:vAlign w:val="center"/>
          </w:tcPr>
          <w:p w:rsidR="00B9263C" w:rsidRPr="00B9263C" w:rsidRDefault="00B9263C" w:rsidP="00AC61C0">
            <w:pPr>
              <w:tabs>
                <w:tab w:val="left" w:pos="3360"/>
              </w:tabs>
              <w:jc w:val="center"/>
              <w:rPr>
                <w:bCs/>
                <w:szCs w:val="21"/>
              </w:rPr>
            </w:pPr>
            <w:r w:rsidRPr="00B9263C">
              <w:rPr>
                <w:rFonts w:hint="eastAsia"/>
                <w:bCs/>
                <w:szCs w:val="21"/>
              </w:rPr>
              <w:t>未检出</w:t>
            </w:r>
          </w:p>
        </w:tc>
        <w:tc>
          <w:tcPr>
            <w:tcW w:w="853" w:type="dxa"/>
            <w:vAlign w:val="center"/>
          </w:tcPr>
          <w:p w:rsidR="00B9263C" w:rsidRPr="00B9263C" w:rsidRDefault="00B9263C" w:rsidP="00AC61C0">
            <w:pPr>
              <w:tabs>
                <w:tab w:val="left" w:pos="3360"/>
              </w:tabs>
              <w:jc w:val="center"/>
              <w:rPr>
                <w:bCs/>
                <w:szCs w:val="21"/>
              </w:rPr>
            </w:pPr>
            <w:r w:rsidRPr="00B9263C">
              <w:rPr>
                <w:rFonts w:hint="eastAsia"/>
                <w:bCs/>
                <w:szCs w:val="21"/>
              </w:rPr>
              <w:t>未检出</w:t>
            </w:r>
          </w:p>
        </w:tc>
        <w:tc>
          <w:tcPr>
            <w:tcW w:w="1133" w:type="dxa"/>
            <w:shd w:val="clear" w:color="auto" w:fill="auto"/>
            <w:vAlign w:val="center"/>
          </w:tcPr>
          <w:p w:rsidR="00B9263C" w:rsidRPr="00B9263C" w:rsidRDefault="00B9263C">
            <w:pPr>
              <w:widowControl/>
              <w:jc w:val="center"/>
              <w:rPr>
                <w:color w:val="000000"/>
                <w:kern w:val="0"/>
                <w:szCs w:val="21"/>
              </w:rPr>
            </w:pPr>
            <w:r w:rsidRPr="00B9263C">
              <w:rPr>
                <w:color w:val="000000"/>
                <w:kern w:val="0"/>
                <w:szCs w:val="21"/>
              </w:rPr>
              <w:t>5.7</w:t>
            </w:r>
          </w:p>
        </w:tc>
      </w:tr>
      <w:tr w:rsidR="00B9263C" w:rsidRPr="00B9263C" w:rsidTr="00B9263C">
        <w:trPr>
          <w:trHeight w:val="315"/>
          <w:jc w:val="center"/>
        </w:trPr>
        <w:tc>
          <w:tcPr>
            <w:tcW w:w="1472" w:type="dxa"/>
            <w:shd w:val="clear" w:color="auto" w:fill="auto"/>
            <w:vAlign w:val="center"/>
          </w:tcPr>
          <w:p w:rsidR="00B9263C" w:rsidRPr="00B9263C" w:rsidRDefault="00B9263C">
            <w:pPr>
              <w:widowControl/>
              <w:jc w:val="center"/>
              <w:rPr>
                <w:color w:val="000000"/>
                <w:kern w:val="0"/>
                <w:szCs w:val="21"/>
              </w:rPr>
            </w:pPr>
            <w:r w:rsidRPr="00B9263C">
              <w:rPr>
                <w:rFonts w:hAnsi="宋体"/>
                <w:color w:val="000000"/>
                <w:kern w:val="0"/>
                <w:szCs w:val="21"/>
              </w:rPr>
              <w:t>铜</w:t>
            </w:r>
          </w:p>
        </w:tc>
        <w:tc>
          <w:tcPr>
            <w:tcW w:w="705"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9</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13</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7</w:t>
            </w:r>
          </w:p>
        </w:tc>
        <w:tc>
          <w:tcPr>
            <w:tcW w:w="709"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11</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6</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8</w:t>
            </w:r>
          </w:p>
        </w:tc>
        <w:tc>
          <w:tcPr>
            <w:tcW w:w="851" w:type="dxa"/>
            <w:vAlign w:val="center"/>
          </w:tcPr>
          <w:p w:rsidR="00B9263C" w:rsidRPr="00B9263C" w:rsidRDefault="00B9263C" w:rsidP="00AC61C0">
            <w:pPr>
              <w:tabs>
                <w:tab w:val="left" w:pos="3360"/>
              </w:tabs>
              <w:jc w:val="center"/>
              <w:rPr>
                <w:bCs/>
                <w:szCs w:val="21"/>
              </w:rPr>
            </w:pPr>
            <w:r w:rsidRPr="00B9263C">
              <w:rPr>
                <w:rFonts w:hint="eastAsia"/>
                <w:bCs/>
                <w:szCs w:val="21"/>
              </w:rPr>
              <w:t>16</w:t>
            </w:r>
          </w:p>
        </w:tc>
        <w:tc>
          <w:tcPr>
            <w:tcW w:w="710" w:type="dxa"/>
            <w:vAlign w:val="center"/>
          </w:tcPr>
          <w:p w:rsidR="00B9263C" w:rsidRPr="00B9263C" w:rsidRDefault="00B9263C" w:rsidP="00AC61C0">
            <w:pPr>
              <w:tabs>
                <w:tab w:val="left" w:pos="3360"/>
              </w:tabs>
              <w:jc w:val="center"/>
              <w:rPr>
                <w:bCs/>
                <w:szCs w:val="21"/>
              </w:rPr>
            </w:pPr>
            <w:r w:rsidRPr="00B9263C">
              <w:rPr>
                <w:rFonts w:hint="eastAsia"/>
                <w:bCs/>
                <w:szCs w:val="21"/>
              </w:rPr>
              <w:t>14</w:t>
            </w:r>
          </w:p>
        </w:tc>
        <w:tc>
          <w:tcPr>
            <w:tcW w:w="853" w:type="dxa"/>
            <w:vAlign w:val="center"/>
          </w:tcPr>
          <w:p w:rsidR="00B9263C" w:rsidRPr="00B9263C" w:rsidRDefault="00B9263C" w:rsidP="00AC61C0">
            <w:pPr>
              <w:tabs>
                <w:tab w:val="left" w:pos="3360"/>
              </w:tabs>
              <w:jc w:val="center"/>
              <w:rPr>
                <w:bCs/>
                <w:szCs w:val="21"/>
              </w:rPr>
            </w:pPr>
            <w:r w:rsidRPr="00B9263C">
              <w:rPr>
                <w:rFonts w:hint="eastAsia"/>
                <w:bCs/>
                <w:szCs w:val="21"/>
              </w:rPr>
              <w:t>6</w:t>
            </w:r>
          </w:p>
        </w:tc>
        <w:tc>
          <w:tcPr>
            <w:tcW w:w="1133" w:type="dxa"/>
            <w:shd w:val="clear" w:color="auto" w:fill="auto"/>
            <w:vAlign w:val="center"/>
          </w:tcPr>
          <w:p w:rsidR="00B9263C" w:rsidRPr="00B9263C" w:rsidRDefault="00B9263C">
            <w:pPr>
              <w:widowControl/>
              <w:jc w:val="center"/>
              <w:rPr>
                <w:color w:val="000000"/>
                <w:kern w:val="0"/>
                <w:szCs w:val="21"/>
              </w:rPr>
            </w:pPr>
            <w:r w:rsidRPr="00B9263C">
              <w:rPr>
                <w:color w:val="000000"/>
                <w:kern w:val="0"/>
                <w:szCs w:val="21"/>
              </w:rPr>
              <w:t>18000</w:t>
            </w:r>
          </w:p>
        </w:tc>
      </w:tr>
      <w:tr w:rsidR="00B9263C" w:rsidRPr="00B9263C" w:rsidTr="00B9263C">
        <w:trPr>
          <w:trHeight w:val="315"/>
          <w:jc w:val="center"/>
        </w:trPr>
        <w:tc>
          <w:tcPr>
            <w:tcW w:w="1472" w:type="dxa"/>
            <w:shd w:val="clear" w:color="auto" w:fill="auto"/>
            <w:vAlign w:val="center"/>
          </w:tcPr>
          <w:p w:rsidR="00B9263C" w:rsidRPr="00B9263C" w:rsidRDefault="00B9263C">
            <w:pPr>
              <w:widowControl/>
              <w:jc w:val="center"/>
              <w:rPr>
                <w:color w:val="000000"/>
                <w:kern w:val="0"/>
                <w:szCs w:val="21"/>
              </w:rPr>
            </w:pPr>
            <w:r w:rsidRPr="00B9263C">
              <w:rPr>
                <w:rFonts w:hAnsi="宋体"/>
                <w:color w:val="000000"/>
                <w:kern w:val="0"/>
                <w:szCs w:val="21"/>
              </w:rPr>
              <w:t>铅</w:t>
            </w:r>
          </w:p>
        </w:tc>
        <w:tc>
          <w:tcPr>
            <w:tcW w:w="705"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36.4</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37.1</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32.3</w:t>
            </w:r>
          </w:p>
        </w:tc>
        <w:tc>
          <w:tcPr>
            <w:tcW w:w="709"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34.1</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30.5</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30.9</w:t>
            </w:r>
          </w:p>
        </w:tc>
        <w:tc>
          <w:tcPr>
            <w:tcW w:w="851" w:type="dxa"/>
            <w:vAlign w:val="center"/>
          </w:tcPr>
          <w:p w:rsidR="00B9263C" w:rsidRPr="00B9263C" w:rsidRDefault="00B9263C" w:rsidP="00AC61C0">
            <w:pPr>
              <w:tabs>
                <w:tab w:val="left" w:pos="3360"/>
              </w:tabs>
              <w:jc w:val="center"/>
              <w:rPr>
                <w:bCs/>
                <w:szCs w:val="21"/>
              </w:rPr>
            </w:pPr>
            <w:r w:rsidRPr="00B9263C">
              <w:rPr>
                <w:rFonts w:hint="eastAsia"/>
                <w:bCs/>
                <w:szCs w:val="21"/>
              </w:rPr>
              <w:t>27.4</w:t>
            </w:r>
          </w:p>
        </w:tc>
        <w:tc>
          <w:tcPr>
            <w:tcW w:w="710" w:type="dxa"/>
            <w:vAlign w:val="center"/>
          </w:tcPr>
          <w:p w:rsidR="00B9263C" w:rsidRPr="00B9263C" w:rsidRDefault="00B9263C" w:rsidP="00AC61C0">
            <w:pPr>
              <w:tabs>
                <w:tab w:val="left" w:pos="3360"/>
              </w:tabs>
              <w:jc w:val="center"/>
              <w:rPr>
                <w:bCs/>
                <w:szCs w:val="21"/>
              </w:rPr>
            </w:pPr>
            <w:r w:rsidRPr="00B9263C">
              <w:rPr>
                <w:rFonts w:hint="eastAsia"/>
                <w:bCs/>
                <w:szCs w:val="21"/>
              </w:rPr>
              <w:t>36.5</w:t>
            </w:r>
          </w:p>
        </w:tc>
        <w:tc>
          <w:tcPr>
            <w:tcW w:w="853" w:type="dxa"/>
            <w:vAlign w:val="center"/>
          </w:tcPr>
          <w:p w:rsidR="00B9263C" w:rsidRPr="00B9263C" w:rsidRDefault="00B9263C" w:rsidP="00AC61C0">
            <w:pPr>
              <w:tabs>
                <w:tab w:val="left" w:pos="3360"/>
              </w:tabs>
              <w:jc w:val="center"/>
              <w:rPr>
                <w:bCs/>
                <w:szCs w:val="21"/>
              </w:rPr>
            </w:pPr>
            <w:r w:rsidRPr="00B9263C">
              <w:rPr>
                <w:rFonts w:hint="eastAsia"/>
                <w:bCs/>
                <w:szCs w:val="21"/>
              </w:rPr>
              <w:t>42.2</w:t>
            </w:r>
          </w:p>
        </w:tc>
        <w:tc>
          <w:tcPr>
            <w:tcW w:w="1133" w:type="dxa"/>
            <w:shd w:val="clear" w:color="auto" w:fill="auto"/>
            <w:vAlign w:val="center"/>
          </w:tcPr>
          <w:p w:rsidR="00B9263C" w:rsidRPr="00B9263C" w:rsidRDefault="00B9263C">
            <w:pPr>
              <w:widowControl/>
              <w:jc w:val="center"/>
              <w:rPr>
                <w:color w:val="000000"/>
                <w:kern w:val="0"/>
                <w:szCs w:val="21"/>
              </w:rPr>
            </w:pPr>
            <w:r w:rsidRPr="00B9263C">
              <w:rPr>
                <w:color w:val="000000"/>
                <w:kern w:val="0"/>
                <w:szCs w:val="21"/>
              </w:rPr>
              <w:t>800</w:t>
            </w:r>
          </w:p>
        </w:tc>
      </w:tr>
      <w:tr w:rsidR="00B9263C" w:rsidRPr="00B9263C" w:rsidTr="00B9263C">
        <w:trPr>
          <w:trHeight w:val="315"/>
          <w:jc w:val="center"/>
        </w:trPr>
        <w:tc>
          <w:tcPr>
            <w:tcW w:w="1472" w:type="dxa"/>
            <w:shd w:val="clear" w:color="auto" w:fill="auto"/>
            <w:vAlign w:val="center"/>
          </w:tcPr>
          <w:p w:rsidR="00B9263C" w:rsidRPr="00B9263C" w:rsidRDefault="00B9263C">
            <w:pPr>
              <w:widowControl/>
              <w:jc w:val="center"/>
              <w:rPr>
                <w:color w:val="000000"/>
                <w:kern w:val="0"/>
                <w:szCs w:val="21"/>
              </w:rPr>
            </w:pPr>
            <w:r w:rsidRPr="00B9263C">
              <w:rPr>
                <w:rFonts w:hAnsi="宋体"/>
                <w:color w:val="000000"/>
                <w:kern w:val="0"/>
                <w:szCs w:val="21"/>
              </w:rPr>
              <w:t>汞</w:t>
            </w:r>
          </w:p>
        </w:tc>
        <w:tc>
          <w:tcPr>
            <w:tcW w:w="705"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0.041</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0.034</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0.032</w:t>
            </w:r>
          </w:p>
        </w:tc>
        <w:tc>
          <w:tcPr>
            <w:tcW w:w="709"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0.042</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0.036</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0.040</w:t>
            </w:r>
          </w:p>
        </w:tc>
        <w:tc>
          <w:tcPr>
            <w:tcW w:w="851" w:type="dxa"/>
            <w:vAlign w:val="center"/>
          </w:tcPr>
          <w:p w:rsidR="00B9263C" w:rsidRPr="00B9263C" w:rsidRDefault="00B9263C" w:rsidP="00AC61C0">
            <w:pPr>
              <w:tabs>
                <w:tab w:val="left" w:pos="3360"/>
              </w:tabs>
              <w:jc w:val="center"/>
              <w:rPr>
                <w:bCs/>
                <w:szCs w:val="21"/>
              </w:rPr>
            </w:pPr>
            <w:r w:rsidRPr="00B9263C">
              <w:rPr>
                <w:rFonts w:hint="eastAsia"/>
                <w:bCs/>
                <w:szCs w:val="21"/>
              </w:rPr>
              <w:t>0.041</w:t>
            </w:r>
          </w:p>
        </w:tc>
        <w:tc>
          <w:tcPr>
            <w:tcW w:w="710" w:type="dxa"/>
            <w:vAlign w:val="center"/>
          </w:tcPr>
          <w:p w:rsidR="00B9263C" w:rsidRPr="00B9263C" w:rsidRDefault="00B9263C" w:rsidP="00AC61C0">
            <w:pPr>
              <w:tabs>
                <w:tab w:val="left" w:pos="3360"/>
              </w:tabs>
              <w:jc w:val="center"/>
              <w:rPr>
                <w:bCs/>
                <w:szCs w:val="21"/>
              </w:rPr>
            </w:pPr>
            <w:r w:rsidRPr="00B9263C">
              <w:rPr>
                <w:rFonts w:hint="eastAsia"/>
                <w:bCs/>
                <w:szCs w:val="21"/>
              </w:rPr>
              <w:t>0.044</w:t>
            </w:r>
          </w:p>
        </w:tc>
        <w:tc>
          <w:tcPr>
            <w:tcW w:w="853" w:type="dxa"/>
            <w:vAlign w:val="center"/>
          </w:tcPr>
          <w:p w:rsidR="00B9263C" w:rsidRPr="00B9263C" w:rsidRDefault="00B9263C" w:rsidP="00AC61C0">
            <w:pPr>
              <w:tabs>
                <w:tab w:val="left" w:pos="3360"/>
              </w:tabs>
              <w:jc w:val="center"/>
              <w:rPr>
                <w:bCs/>
                <w:szCs w:val="21"/>
              </w:rPr>
            </w:pPr>
            <w:r w:rsidRPr="00B9263C">
              <w:rPr>
                <w:rFonts w:hint="eastAsia"/>
                <w:bCs/>
                <w:szCs w:val="21"/>
              </w:rPr>
              <w:t>0.040</w:t>
            </w:r>
          </w:p>
        </w:tc>
        <w:tc>
          <w:tcPr>
            <w:tcW w:w="1133" w:type="dxa"/>
            <w:shd w:val="clear" w:color="auto" w:fill="auto"/>
            <w:vAlign w:val="center"/>
          </w:tcPr>
          <w:p w:rsidR="00B9263C" w:rsidRPr="00B9263C" w:rsidRDefault="00B9263C">
            <w:pPr>
              <w:widowControl/>
              <w:jc w:val="center"/>
              <w:rPr>
                <w:color w:val="000000"/>
                <w:kern w:val="0"/>
                <w:szCs w:val="21"/>
              </w:rPr>
            </w:pPr>
            <w:r w:rsidRPr="00B9263C">
              <w:rPr>
                <w:color w:val="000000"/>
                <w:kern w:val="0"/>
                <w:szCs w:val="21"/>
              </w:rPr>
              <w:t>38</w:t>
            </w:r>
          </w:p>
        </w:tc>
      </w:tr>
      <w:tr w:rsidR="00B9263C" w:rsidRPr="00B9263C" w:rsidTr="00B9263C">
        <w:trPr>
          <w:trHeight w:val="315"/>
          <w:jc w:val="center"/>
        </w:trPr>
        <w:tc>
          <w:tcPr>
            <w:tcW w:w="1472" w:type="dxa"/>
            <w:shd w:val="clear" w:color="auto" w:fill="auto"/>
            <w:vAlign w:val="center"/>
          </w:tcPr>
          <w:p w:rsidR="00B9263C" w:rsidRPr="00B9263C" w:rsidRDefault="00B9263C">
            <w:pPr>
              <w:widowControl/>
              <w:jc w:val="center"/>
              <w:rPr>
                <w:color w:val="000000"/>
                <w:kern w:val="0"/>
                <w:szCs w:val="21"/>
              </w:rPr>
            </w:pPr>
            <w:r w:rsidRPr="00B9263C">
              <w:rPr>
                <w:rFonts w:hAnsi="宋体"/>
                <w:color w:val="000000"/>
                <w:kern w:val="0"/>
                <w:szCs w:val="21"/>
              </w:rPr>
              <w:t>镍</w:t>
            </w:r>
          </w:p>
        </w:tc>
        <w:tc>
          <w:tcPr>
            <w:tcW w:w="705"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43</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40</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40</w:t>
            </w:r>
          </w:p>
        </w:tc>
        <w:tc>
          <w:tcPr>
            <w:tcW w:w="709"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44</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48</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38</w:t>
            </w:r>
          </w:p>
        </w:tc>
        <w:tc>
          <w:tcPr>
            <w:tcW w:w="851" w:type="dxa"/>
            <w:vAlign w:val="center"/>
          </w:tcPr>
          <w:p w:rsidR="00B9263C" w:rsidRPr="00B9263C" w:rsidRDefault="00B9263C" w:rsidP="00AC61C0">
            <w:pPr>
              <w:tabs>
                <w:tab w:val="left" w:pos="3360"/>
              </w:tabs>
              <w:jc w:val="center"/>
              <w:rPr>
                <w:bCs/>
                <w:szCs w:val="21"/>
              </w:rPr>
            </w:pPr>
            <w:r w:rsidRPr="00B9263C">
              <w:rPr>
                <w:rFonts w:hint="eastAsia"/>
                <w:bCs/>
                <w:szCs w:val="21"/>
              </w:rPr>
              <w:t>35</w:t>
            </w:r>
          </w:p>
        </w:tc>
        <w:tc>
          <w:tcPr>
            <w:tcW w:w="710" w:type="dxa"/>
            <w:vAlign w:val="center"/>
          </w:tcPr>
          <w:p w:rsidR="00B9263C" w:rsidRPr="00B9263C" w:rsidRDefault="00B9263C" w:rsidP="00AC61C0">
            <w:pPr>
              <w:tabs>
                <w:tab w:val="left" w:pos="3360"/>
              </w:tabs>
              <w:jc w:val="center"/>
              <w:rPr>
                <w:bCs/>
                <w:szCs w:val="21"/>
              </w:rPr>
            </w:pPr>
            <w:r w:rsidRPr="00B9263C">
              <w:rPr>
                <w:rFonts w:hint="eastAsia"/>
                <w:bCs/>
                <w:szCs w:val="21"/>
              </w:rPr>
              <w:t>42</w:t>
            </w:r>
          </w:p>
        </w:tc>
        <w:tc>
          <w:tcPr>
            <w:tcW w:w="853" w:type="dxa"/>
            <w:vAlign w:val="center"/>
          </w:tcPr>
          <w:p w:rsidR="00B9263C" w:rsidRPr="00B9263C" w:rsidRDefault="00B9263C" w:rsidP="00AC61C0">
            <w:pPr>
              <w:tabs>
                <w:tab w:val="left" w:pos="3360"/>
              </w:tabs>
              <w:jc w:val="center"/>
              <w:rPr>
                <w:bCs/>
                <w:szCs w:val="21"/>
              </w:rPr>
            </w:pPr>
            <w:r w:rsidRPr="00B9263C">
              <w:rPr>
                <w:rFonts w:hint="eastAsia"/>
                <w:bCs/>
                <w:szCs w:val="21"/>
              </w:rPr>
              <w:t>47</w:t>
            </w:r>
          </w:p>
        </w:tc>
        <w:tc>
          <w:tcPr>
            <w:tcW w:w="1133" w:type="dxa"/>
            <w:shd w:val="clear" w:color="auto" w:fill="auto"/>
            <w:vAlign w:val="center"/>
          </w:tcPr>
          <w:p w:rsidR="00B9263C" w:rsidRPr="00B9263C" w:rsidRDefault="00B9263C">
            <w:pPr>
              <w:widowControl/>
              <w:jc w:val="center"/>
              <w:rPr>
                <w:color w:val="000000"/>
                <w:kern w:val="0"/>
                <w:szCs w:val="21"/>
              </w:rPr>
            </w:pPr>
            <w:r w:rsidRPr="00B9263C">
              <w:rPr>
                <w:color w:val="000000"/>
                <w:kern w:val="0"/>
                <w:szCs w:val="21"/>
              </w:rPr>
              <w:t>900</w:t>
            </w:r>
          </w:p>
        </w:tc>
      </w:tr>
      <w:tr w:rsidR="00B9263C" w:rsidRPr="00B9263C" w:rsidTr="00B9263C">
        <w:trPr>
          <w:trHeight w:val="315"/>
          <w:jc w:val="center"/>
        </w:trPr>
        <w:tc>
          <w:tcPr>
            <w:tcW w:w="1472" w:type="dxa"/>
            <w:shd w:val="clear" w:color="auto" w:fill="auto"/>
            <w:vAlign w:val="center"/>
          </w:tcPr>
          <w:p w:rsidR="00B9263C" w:rsidRPr="00B9263C" w:rsidRDefault="00B9263C">
            <w:pPr>
              <w:widowControl/>
              <w:jc w:val="center"/>
              <w:rPr>
                <w:color w:val="000000"/>
                <w:kern w:val="0"/>
                <w:szCs w:val="21"/>
              </w:rPr>
            </w:pPr>
            <w:r w:rsidRPr="00B9263C">
              <w:rPr>
                <w:rFonts w:hAnsi="宋体"/>
                <w:color w:val="000000"/>
                <w:kern w:val="0"/>
                <w:szCs w:val="21"/>
              </w:rPr>
              <w:t>石油烃</w:t>
            </w:r>
          </w:p>
        </w:tc>
        <w:tc>
          <w:tcPr>
            <w:tcW w:w="705"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22.5</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24.8</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20.0</w:t>
            </w:r>
          </w:p>
        </w:tc>
        <w:tc>
          <w:tcPr>
            <w:tcW w:w="709"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6.06</w:t>
            </w:r>
          </w:p>
        </w:tc>
        <w:tc>
          <w:tcPr>
            <w:tcW w:w="851"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16.5</w:t>
            </w:r>
          </w:p>
        </w:tc>
        <w:tc>
          <w:tcPr>
            <w:tcW w:w="708" w:type="dxa"/>
            <w:shd w:val="clear" w:color="auto" w:fill="auto"/>
            <w:vAlign w:val="center"/>
          </w:tcPr>
          <w:p w:rsidR="00B9263C" w:rsidRPr="00B9263C" w:rsidRDefault="00B9263C" w:rsidP="00AC61C0">
            <w:pPr>
              <w:tabs>
                <w:tab w:val="left" w:pos="3360"/>
              </w:tabs>
              <w:jc w:val="center"/>
              <w:rPr>
                <w:bCs/>
                <w:szCs w:val="21"/>
              </w:rPr>
            </w:pPr>
            <w:r w:rsidRPr="00B9263C">
              <w:rPr>
                <w:rFonts w:hint="eastAsia"/>
                <w:bCs/>
                <w:szCs w:val="21"/>
              </w:rPr>
              <w:t>13.0</w:t>
            </w:r>
          </w:p>
        </w:tc>
        <w:tc>
          <w:tcPr>
            <w:tcW w:w="851" w:type="dxa"/>
            <w:vAlign w:val="center"/>
          </w:tcPr>
          <w:p w:rsidR="00B9263C" w:rsidRPr="00B9263C" w:rsidRDefault="00B9263C" w:rsidP="00AC61C0">
            <w:pPr>
              <w:tabs>
                <w:tab w:val="left" w:pos="3360"/>
              </w:tabs>
              <w:jc w:val="center"/>
              <w:rPr>
                <w:bCs/>
                <w:szCs w:val="21"/>
              </w:rPr>
            </w:pPr>
            <w:r w:rsidRPr="00B9263C">
              <w:rPr>
                <w:rFonts w:hint="eastAsia"/>
                <w:bCs/>
                <w:szCs w:val="21"/>
              </w:rPr>
              <w:t>14.0</w:t>
            </w:r>
          </w:p>
        </w:tc>
        <w:tc>
          <w:tcPr>
            <w:tcW w:w="710" w:type="dxa"/>
            <w:vAlign w:val="center"/>
          </w:tcPr>
          <w:p w:rsidR="00B9263C" w:rsidRPr="00B9263C" w:rsidRDefault="00B9263C" w:rsidP="00AC61C0">
            <w:pPr>
              <w:tabs>
                <w:tab w:val="left" w:pos="3360"/>
              </w:tabs>
              <w:jc w:val="center"/>
              <w:rPr>
                <w:bCs/>
                <w:szCs w:val="21"/>
              </w:rPr>
            </w:pPr>
            <w:r w:rsidRPr="00B9263C">
              <w:rPr>
                <w:rFonts w:hint="eastAsia"/>
                <w:bCs/>
                <w:szCs w:val="21"/>
              </w:rPr>
              <w:t>19.2</w:t>
            </w:r>
          </w:p>
        </w:tc>
        <w:tc>
          <w:tcPr>
            <w:tcW w:w="853" w:type="dxa"/>
            <w:vAlign w:val="center"/>
          </w:tcPr>
          <w:p w:rsidR="00B9263C" w:rsidRPr="00B9263C" w:rsidRDefault="00B9263C" w:rsidP="00AC61C0">
            <w:pPr>
              <w:tabs>
                <w:tab w:val="left" w:pos="3360"/>
              </w:tabs>
              <w:jc w:val="center"/>
              <w:rPr>
                <w:bCs/>
                <w:szCs w:val="21"/>
              </w:rPr>
            </w:pPr>
            <w:r w:rsidRPr="00B9263C">
              <w:rPr>
                <w:rFonts w:hint="eastAsia"/>
                <w:bCs/>
                <w:szCs w:val="21"/>
              </w:rPr>
              <w:t>11.8</w:t>
            </w:r>
          </w:p>
        </w:tc>
        <w:tc>
          <w:tcPr>
            <w:tcW w:w="1133" w:type="dxa"/>
            <w:shd w:val="clear" w:color="auto" w:fill="auto"/>
            <w:vAlign w:val="center"/>
          </w:tcPr>
          <w:p w:rsidR="00B9263C" w:rsidRPr="00B9263C" w:rsidRDefault="00B9263C">
            <w:pPr>
              <w:widowControl/>
              <w:jc w:val="center"/>
              <w:rPr>
                <w:color w:val="000000"/>
                <w:kern w:val="0"/>
                <w:szCs w:val="21"/>
              </w:rPr>
            </w:pPr>
            <w:r w:rsidRPr="00B9263C">
              <w:rPr>
                <w:color w:val="000000"/>
                <w:kern w:val="0"/>
                <w:szCs w:val="21"/>
              </w:rPr>
              <w:t>4500</w:t>
            </w:r>
          </w:p>
        </w:tc>
      </w:tr>
      <w:tr w:rsidR="001E3ADB" w:rsidRPr="00B9263C" w:rsidTr="00B9263C">
        <w:trPr>
          <w:trHeight w:val="315"/>
          <w:jc w:val="center"/>
        </w:trPr>
        <w:tc>
          <w:tcPr>
            <w:tcW w:w="1472" w:type="dxa"/>
            <w:vMerge w:val="restart"/>
            <w:tcBorders>
              <w:tl2br w:val="single" w:sz="4" w:space="0" w:color="auto"/>
            </w:tcBorders>
            <w:shd w:val="clear" w:color="auto" w:fill="auto"/>
            <w:vAlign w:val="center"/>
          </w:tcPr>
          <w:p w:rsidR="001E3ADB" w:rsidRPr="00B9263C" w:rsidRDefault="001E3ADB" w:rsidP="00E008A1">
            <w:pPr>
              <w:widowControl/>
              <w:jc w:val="center"/>
              <w:rPr>
                <w:rFonts w:hAnsi="宋体"/>
                <w:b/>
                <w:color w:val="000000"/>
                <w:kern w:val="0"/>
                <w:szCs w:val="21"/>
              </w:rPr>
            </w:pPr>
            <w:r w:rsidRPr="00B9263C">
              <w:rPr>
                <w:rFonts w:hAnsi="宋体" w:hint="eastAsia"/>
                <w:b/>
                <w:color w:val="000000"/>
                <w:kern w:val="0"/>
                <w:szCs w:val="21"/>
              </w:rPr>
              <w:t xml:space="preserve">   </w:t>
            </w:r>
            <w:r w:rsidRPr="00B9263C">
              <w:rPr>
                <w:rFonts w:hAnsi="宋体" w:hint="eastAsia"/>
                <w:b/>
                <w:color w:val="000000"/>
                <w:kern w:val="0"/>
                <w:szCs w:val="21"/>
              </w:rPr>
              <w:t>监测位置</w:t>
            </w:r>
          </w:p>
          <w:p w:rsidR="001E3ADB" w:rsidRDefault="001E3ADB" w:rsidP="00E008A1">
            <w:pPr>
              <w:widowControl/>
              <w:jc w:val="center"/>
              <w:rPr>
                <w:rFonts w:hAnsi="宋体"/>
                <w:b/>
                <w:color w:val="000000"/>
                <w:kern w:val="0"/>
                <w:szCs w:val="21"/>
              </w:rPr>
            </w:pPr>
          </w:p>
          <w:p w:rsidR="00B9263C" w:rsidRDefault="00B9263C" w:rsidP="00E008A1">
            <w:pPr>
              <w:widowControl/>
              <w:jc w:val="center"/>
              <w:rPr>
                <w:rFonts w:hAnsi="宋体"/>
                <w:b/>
                <w:color w:val="000000"/>
                <w:kern w:val="0"/>
                <w:szCs w:val="21"/>
              </w:rPr>
            </w:pPr>
          </w:p>
          <w:p w:rsidR="00B9263C" w:rsidRPr="00B9263C" w:rsidRDefault="00B9263C" w:rsidP="00E008A1">
            <w:pPr>
              <w:widowControl/>
              <w:jc w:val="center"/>
              <w:rPr>
                <w:rFonts w:hAnsi="宋体"/>
                <w:b/>
                <w:color w:val="000000"/>
                <w:kern w:val="0"/>
                <w:szCs w:val="21"/>
              </w:rPr>
            </w:pPr>
          </w:p>
          <w:p w:rsidR="001E3ADB" w:rsidRPr="00B9263C" w:rsidRDefault="001E3ADB" w:rsidP="00E008A1">
            <w:pPr>
              <w:widowControl/>
              <w:jc w:val="left"/>
              <w:rPr>
                <w:b/>
                <w:color w:val="000000"/>
                <w:kern w:val="0"/>
                <w:szCs w:val="21"/>
              </w:rPr>
            </w:pPr>
            <w:r w:rsidRPr="00B9263C">
              <w:rPr>
                <w:rFonts w:hAnsi="宋体"/>
                <w:b/>
                <w:color w:val="000000"/>
                <w:kern w:val="0"/>
                <w:szCs w:val="21"/>
              </w:rPr>
              <w:t>监测因子</w:t>
            </w:r>
          </w:p>
        </w:tc>
        <w:tc>
          <w:tcPr>
            <w:tcW w:w="2264" w:type="dxa"/>
            <w:gridSpan w:val="3"/>
            <w:shd w:val="clear" w:color="auto" w:fill="auto"/>
            <w:vAlign w:val="center"/>
          </w:tcPr>
          <w:p w:rsidR="001E3ADB" w:rsidRPr="00B9263C" w:rsidRDefault="001E3ADB" w:rsidP="00F80450">
            <w:pPr>
              <w:jc w:val="center"/>
              <w:rPr>
                <w:b/>
                <w:color w:val="000000"/>
                <w:kern w:val="0"/>
                <w:szCs w:val="21"/>
              </w:rPr>
            </w:pPr>
            <w:r w:rsidRPr="00B9263C">
              <w:rPr>
                <w:rFonts w:hint="eastAsia"/>
                <w:b/>
                <w:color w:val="000000"/>
                <w:kern w:val="0"/>
                <w:szCs w:val="21"/>
              </w:rPr>
              <w:t>采区内</w:t>
            </w:r>
          </w:p>
        </w:tc>
        <w:tc>
          <w:tcPr>
            <w:tcW w:w="4682" w:type="dxa"/>
            <w:gridSpan w:val="6"/>
            <w:shd w:val="clear" w:color="auto" w:fill="auto"/>
            <w:vAlign w:val="center"/>
          </w:tcPr>
          <w:p w:rsidR="001E3ADB" w:rsidRPr="00B9263C" w:rsidRDefault="001E3ADB" w:rsidP="00F80450">
            <w:pPr>
              <w:widowControl/>
              <w:jc w:val="center"/>
              <w:rPr>
                <w:rFonts w:hAnsi="宋体"/>
                <w:b/>
                <w:color w:val="000000"/>
                <w:kern w:val="0"/>
                <w:szCs w:val="21"/>
              </w:rPr>
            </w:pPr>
            <w:r w:rsidRPr="00B9263C">
              <w:rPr>
                <w:rFonts w:hAnsi="宋体" w:hint="eastAsia"/>
                <w:b/>
                <w:color w:val="000000"/>
                <w:kern w:val="0"/>
                <w:szCs w:val="21"/>
              </w:rPr>
              <w:t>采区外</w:t>
            </w:r>
          </w:p>
        </w:tc>
        <w:tc>
          <w:tcPr>
            <w:tcW w:w="1133" w:type="dxa"/>
            <w:vMerge w:val="restart"/>
            <w:vAlign w:val="center"/>
          </w:tcPr>
          <w:p w:rsidR="001E3ADB" w:rsidRPr="00B9263C" w:rsidRDefault="001E3ADB">
            <w:pPr>
              <w:widowControl/>
              <w:jc w:val="center"/>
              <w:rPr>
                <w:b/>
                <w:color w:val="000000"/>
                <w:kern w:val="0"/>
                <w:szCs w:val="21"/>
              </w:rPr>
            </w:pPr>
            <w:r w:rsidRPr="00B9263C">
              <w:rPr>
                <w:rFonts w:hAnsi="宋体"/>
                <w:b/>
                <w:color w:val="000000"/>
                <w:kern w:val="0"/>
                <w:szCs w:val="21"/>
              </w:rPr>
              <w:t>农用地</w:t>
            </w:r>
          </w:p>
          <w:p w:rsidR="001E3ADB" w:rsidRPr="00B9263C" w:rsidRDefault="001E3ADB">
            <w:pPr>
              <w:jc w:val="center"/>
              <w:rPr>
                <w:b/>
                <w:color w:val="000000"/>
                <w:kern w:val="0"/>
                <w:szCs w:val="21"/>
              </w:rPr>
            </w:pPr>
            <w:r w:rsidRPr="00B9263C">
              <w:rPr>
                <w:rFonts w:hAnsi="宋体"/>
                <w:b/>
                <w:color w:val="000000"/>
                <w:kern w:val="0"/>
                <w:szCs w:val="21"/>
              </w:rPr>
              <w:t>筛选值</w:t>
            </w:r>
          </w:p>
        </w:tc>
      </w:tr>
      <w:tr w:rsidR="001E3ADB" w:rsidRPr="00B9263C" w:rsidTr="00B9263C">
        <w:trPr>
          <w:trHeight w:val="315"/>
          <w:jc w:val="center"/>
        </w:trPr>
        <w:tc>
          <w:tcPr>
            <w:tcW w:w="1472" w:type="dxa"/>
            <w:vMerge/>
            <w:shd w:val="clear" w:color="auto" w:fill="auto"/>
            <w:vAlign w:val="center"/>
          </w:tcPr>
          <w:p w:rsidR="001E3ADB" w:rsidRPr="00B9263C" w:rsidRDefault="001E3ADB">
            <w:pPr>
              <w:widowControl/>
              <w:jc w:val="center"/>
              <w:rPr>
                <w:rFonts w:hAnsi="宋体"/>
                <w:b/>
                <w:color w:val="000000"/>
                <w:kern w:val="0"/>
                <w:szCs w:val="21"/>
              </w:rPr>
            </w:pPr>
          </w:p>
        </w:tc>
        <w:tc>
          <w:tcPr>
            <w:tcW w:w="2264" w:type="dxa"/>
            <w:gridSpan w:val="3"/>
            <w:shd w:val="clear" w:color="auto" w:fill="auto"/>
            <w:vAlign w:val="center"/>
          </w:tcPr>
          <w:p w:rsidR="001E3ADB" w:rsidRPr="00B9263C" w:rsidRDefault="001E3ADB" w:rsidP="00B9263C">
            <w:pPr>
              <w:jc w:val="center"/>
              <w:rPr>
                <w:b/>
                <w:color w:val="000000"/>
                <w:kern w:val="0"/>
                <w:szCs w:val="21"/>
              </w:rPr>
            </w:pPr>
            <w:r w:rsidRPr="00B9263C">
              <w:rPr>
                <w:rFonts w:hint="eastAsia"/>
                <w:b/>
                <w:color w:val="000000"/>
                <w:kern w:val="0"/>
                <w:szCs w:val="21"/>
              </w:rPr>
              <w:t>B1</w:t>
            </w:r>
            <w:r w:rsidRPr="00B9263C">
              <w:rPr>
                <w:b/>
                <w:color w:val="000000"/>
                <w:kern w:val="0"/>
                <w:szCs w:val="21"/>
              </w:rPr>
              <w:t>#</w:t>
            </w:r>
            <w:r w:rsidRPr="00B9263C">
              <w:rPr>
                <w:rFonts w:hint="eastAsia"/>
                <w:b/>
                <w:color w:val="000000"/>
                <w:kern w:val="0"/>
                <w:szCs w:val="21"/>
              </w:rPr>
              <w:t>（表层样）</w:t>
            </w:r>
          </w:p>
          <w:p w:rsidR="00B9263C" w:rsidRPr="00B9263C" w:rsidRDefault="00B9263C" w:rsidP="00B9263C">
            <w:pPr>
              <w:tabs>
                <w:tab w:val="left" w:pos="3360"/>
              </w:tabs>
              <w:jc w:val="center"/>
              <w:rPr>
                <w:bCs/>
                <w:szCs w:val="21"/>
              </w:rPr>
            </w:pPr>
            <w:r w:rsidRPr="00B9263C">
              <w:rPr>
                <w:bCs/>
                <w:szCs w:val="21"/>
              </w:rPr>
              <w:t>E1</w:t>
            </w:r>
            <w:r w:rsidRPr="00B9263C">
              <w:rPr>
                <w:rFonts w:hint="eastAsia"/>
                <w:bCs/>
                <w:szCs w:val="21"/>
              </w:rPr>
              <w:t>09</w:t>
            </w:r>
            <w:r w:rsidRPr="00B9263C">
              <w:rPr>
                <w:bCs/>
                <w:szCs w:val="21"/>
              </w:rPr>
              <w:t>°</w:t>
            </w:r>
            <w:r w:rsidRPr="00B9263C">
              <w:rPr>
                <w:rFonts w:hint="eastAsia"/>
                <w:bCs/>
                <w:szCs w:val="21"/>
              </w:rPr>
              <w:t>27</w:t>
            </w:r>
            <w:r w:rsidRPr="00B9263C">
              <w:rPr>
                <w:bCs/>
                <w:szCs w:val="21"/>
              </w:rPr>
              <w:t>′</w:t>
            </w:r>
            <w:r w:rsidRPr="00B9263C">
              <w:rPr>
                <w:rFonts w:hint="eastAsia"/>
                <w:bCs/>
                <w:szCs w:val="21"/>
              </w:rPr>
              <w:t>20.84</w:t>
            </w:r>
            <w:r w:rsidRPr="00B9263C">
              <w:rPr>
                <w:bCs/>
                <w:szCs w:val="21"/>
              </w:rPr>
              <w:t>″</w:t>
            </w:r>
          </w:p>
          <w:p w:rsidR="00B9263C" w:rsidRPr="00B9263C" w:rsidRDefault="00B9263C" w:rsidP="00B9263C">
            <w:pPr>
              <w:jc w:val="center"/>
              <w:rPr>
                <w:b/>
                <w:color w:val="000000"/>
                <w:kern w:val="0"/>
                <w:szCs w:val="21"/>
              </w:rPr>
            </w:pPr>
            <w:r w:rsidRPr="00B9263C">
              <w:rPr>
                <w:bCs/>
                <w:szCs w:val="21"/>
              </w:rPr>
              <w:t>N3</w:t>
            </w:r>
            <w:r w:rsidRPr="00B9263C">
              <w:rPr>
                <w:rFonts w:hint="eastAsia"/>
                <w:bCs/>
                <w:szCs w:val="21"/>
              </w:rPr>
              <w:t>7</w:t>
            </w:r>
            <w:r w:rsidRPr="00B9263C">
              <w:rPr>
                <w:bCs/>
                <w:szCs w:val="21"/>
              </w:rPr>
              <w:t>°</w:t>
            </w:r>
            <w:r w:rsidRPr="00B9263C">
              <w:rPr>
                <w:rFonts w:hint="eastAsia"/>
                <w:bCs/>
                <w:szCs w:val="21"/>
              </w:rPr>
              <w:t>33</w:t>
            </w:r>
            <w:r w:rsidRPr="00B9263C">
              <w:rPr>
                <w:bCs/>
                <w:szCs w:val="21"/>
              </w:rPr>
              <w:t>′</w:t>
            </w:r>
            <w:r w:rsidRPr="00B9263C">
              <w:rPr>
                <w:rFonts w:hint="eastAsia"/>
                <w:bCs/>
                <w:szCs w:val="21"/>
              </w:rPr>
              <w:t>08.44</w:t>
            </w:r>
            <w:r w:rsidRPr="00B9263C">
              <w:rPr>
                <w:bCs/>
                <w:szCs w:val="21"/>
              </w:rPr>
              <w:t>″</w:t>
            </w:r>
          </w:p>
        </w:tc>
        <w:tc>
          <w:tcPr>
            <w:tcW w:w="2268" w:type="dxa"/>
            <w:gridSpan w:val="3"/>
            <w:shd w:val="clear" w:color="auto" w:fill="auto"/>
            <w:vAlign w:val="center"/>
          </w:tcPr>
          <w:p w:rsidR="001E3ADB" w:rsidRPr="00B9263C" w:rsidRDefault="001E3ADB" w:rsidP="00B9263C">
            <w:pPr>
              <w:jc w:val="center"/>
              <w:rPr>
                <w:b/>
                <w:color w:val="000000"/>
                <w:kern w:val="0"/>
                <w:szCs w:val="21"/>
              </w:rPr>
            </w:pPr>
            <w:r w:rsidRPr="00B9263C">
              <w:rPr>
                <w:rFonts w:hint="eastAsia"/>
                <w:b/>
                <w:color w:val="000000"/>
                <w:kern w:val="0"/>
                <w:szCs w:val="21"/>
              </w:rPr>
              <w:t>B2</w:t>
            </w:r>
            <w:r w:rsidRPr="00B9263C">
              <w:rPr>
                <w:b/>
                <w:color w:val="000000"/>
                <w:kern w:val="0"/>
                <w:szCs w:val="21"/>
              </w:rPr>
              <w:t>#</w:t>
            </w:r>
            <w:r w:rsidRPr="00B9263C">
              <w:rPr>
                <w:rFonts w:hint="eastAsia"/>
                <w:b/>
                <w:color w:val="000000"/>
                <w:kern w:val="0"/>
                <w:szCs w:val="21"/>
              </w:rPr>
              <w:t>（</w:t>
            </w:r>
            <w:r w:rsidR="00B9263C" w:rsidRPr="00B9263C">
              <w:rPr>
                <w:rFonts w:hint="eastAsia"/>
                <w:b/>
                <w:color w:val="000000"/>
                <w:kern w:val="0"/>
                <w:szCs w:val="21"/>
              </w:rPr>
              <w:t>场地东侧，</w:t>
            </w:r>
            <w:r w:rsidRPr="00B9263C">
              <w:rPr>
                <w:rFonts w:hint="eastAsia"/>
                <w:b/>
                <w:color w:val="000000"/>
                <w:kern w:val="0"/>
                <w:szCs w:val="21"/>
              </w:rPr>
              <w:t>表层样）</w:t>
            </w:r>
          </w:p>
          <w:p w:rsidR="00B9263C" w:rsidRPr="00B9263C" w:rsidRDefault="00B9263C" w:rsidP="00B9263C">
            <w:pPr>
              <w:tabs>
                <w:tab w:val="left" w:pos="3360"/>
              </w:tabs>
              <w:jc w:val="center"/>
              <w:rPr>
                <w:bCs/>
                <w:szCs w:val="21"/>
              </w:rPr>
            </w:pPr>
            <w:r w:rsidRPr="00B9263C">
              <w:rPr>
                <w:bCs/>
                <w:szCs w:val="21"/>
              </w:rPr>
              <w:t>E1</w:t>
            </w:r>
            <w:r w:rsidRPr="00B9263C">
              <w:rPr>
                <w:rFonts w:hint="eastAsia"/>
                <w:bCs/>
                <w:szCs w:val="21"/>
              </w:rPr>
              <w:t>09</w:t>
            </w:r>
            <w:r w:rsidRPr="00B9263C">
              <w:rPr>
                <w:bCs/>
                <w:szCs w:val="21"/>
              </w:rPr>
              <w:t>°</w:t>
            </w:r>
            <w:r w:rsidRPr="00B9263C">
              <w:rPr>
                <w:rFonts w:hint="eastAsia"/>
                <w:bCs/>
                <w:szCs w:val="21"/>
              </w:rPr>
              <w:t>28</w:t>
            </w:r>
            <w:r w:rsidRPr="00B9263C">
              <w:rPr>
                <w:bCs/>
                <w:szCs w:val="21"/>
              </w:rPr>
              <w:t>′</w:t>
            </w:r>
            <w:r w:rsidRPr="00B9263C">
              <w:rPr>
                <w:rFonts w:hint="eastAsia"/>
                <w:bCs/>
                <w:szCs w:val="21"/>
              </w:rPr>
              <w:t>07.58</w:t>
            </w:r>
            <w:r w:rsidRPr="00B9263C">
              <w:rPr>
                <w:bCs/>
                <w:szCs w:val="21"/>
              </w:rPr>
              <w:t>″</w:t>
            </w:r>
          </w:p>
          <w:p w:rsidR="00B9263C" w:rsidRPr="00B9263C" w:rsidRDefault="00B9263C" w:rsidP="00B9263C">
            <w:pPr>
              <w:jc w:val="center"/>
              <w:rPr>
                <w:b/>
                <w:color w:val="000000"/>
                <w:kern w:val="0"/>
                <w:szCs w:val="21"/>
              </w:rPr>
            </w:pPr>
            <w:r w:rsidRPr="00B9263C">
              <w:rPr>
                <w:bCs/>
                <w:szCs w:val="21"/>
              </w:rPr>
              <w:t>N3</w:t>
            </w:r>
            <w:r w:rsidRPr="00B9263C">
              <w:rPr>
                <w:rFonts w:hint="eastAsia"/>
                <w:bCs/>
                <w:szCs w:val="21"/>
              </w:rPr>
              <w:t>7</w:t>
            </w:r>
            <w:r w:rsidRPr="00B9263C">
              <w:rPr>
                <w:bCs/>
                <w:szCs w:val="21"/>
              </w:rPr>
              <w:t>°</w:t>
            </w:r>
            <w:r w:rsidRPr="00B9263C">
              <w:rPr>
                <w:rFonts w:hint="eastAsia"/>
                <w:bCs/>
                <w:szCs w:val="21"/>
              </w:rPr>
              <w:t>33</w:t>
            </w:r>
            <w:r w:rsidRPr="00B9263C">
              <w:rPr>
                <w:bCs/>
                <w:szCs w:val="21"/>
              </w:rPr>
              <w:t>′</w:t>
            </w:r>
            <w:r w:rsidRPr="00B9263C">
              <w:rPr>
                <w:rFonts w:hint="eastAsia"/>
                <w:bCs/>
                <w:szCs w:val="21"/>
              </w:rPr>
              <w:t>41.02</w:t>
            </w:r>
            <w:r w:rsidRPr="00B9263C">
              <w:rPr>
                <w:bCs/>
                <w:szCs w:val="21"/>
              </w:rPr>
              <w:t>″</w:t>
            </w:r>
          </w:p>
        </w:tc>
        <w:tc>
          <w:tcPr>
            <w:tcW w:w="2414" w:type="dxa"/>
            <w:gridSpan w:val="3"/>
            <w:vAlign w:val="center"/>
          </w:tcPr>
          <w:p w:rsidR="001E3ADB" w:rsidRPr="00B9263C" w:rsidRDefault="001E3ADB" w:rsidP="00B9263C">
            <w:pPr>
              <w:widowControl/>
              <w:jc w:val="center"/>
              <w:rPr>
                <w:b/>
                <w:color w:val="000000"/>
                <w:kern w:val="0"/>
                <w:szCs w:val="21"/>
              </w:rPr>
            </w:pPr>
            <w:r w:rsidRPr="00B9263C">
              <w:rPr>
                <w:rFonts w:hint="eastAsia"/>
                <w:b/>
                <w:color w:val="000000"/>
                <w:kern w:val="0"/>
                <w:szCs w:val="21"/>
              </w:rPr>
              <w:t>B3</w:t>
            </w:r>
            <w:r w:rsidRPr="00B9263C">
              <w:rPr>
                <w:b/>
                <w:color w:val="000000"/>
                <w:kern w:val="0"/>
                <w:szCs w:val="21"/>
              </w:rPr>
              <w:t>#</w:t>
            </w:r>
            <w:r w:rsidRPr="00B9263C">
              <w:rPr>
                <w:rFonts w:hint="eastAsia"/>
                <w:b/>
                <w:color w:val="000000"/>
                <w:kern w:val="0"/>
                <w:szCs w:val="21"/>
              </w:rPr>
              <w:t>（</w:t>
            </w:r>
            <w:r w:rsidR="00B9263C" w:rsidRPr="00B9263C">
              <w:rPr>
                <w:rFonts w:hint="eastAsia"/>
                <w:b/>
                <w:color w:val="000000"/>
                <w:kern w:val="0"/>
                <w:szCs w:val="21"/>
              </w:rPr>
              <w:t>大理河西岸，</w:t>
            </w:r>
            <w:r w:rsidRPr="00B9263C">
              <w:rPr>
                <w:rFonts w:hint="eastAsia"/>
                <w:b/>
                <w:color w:val="000000"/>
                <w:kern w:val="0"/>
                <w:szCs w:val="21"/>
              </w:rPr>
              <w:t>表层样）</w:t>
            </w:r>
          </w:p>
          <w:p w:rsidR="00B9263C" w:rsidRPr="00B9263C" w:rsidRDefault="00B9263C" w:rsidP="00B9263C">
            <w:pPr>
              <w:tabs>
                <w:tab w:val="left" w:pos="3360"/>
              </w:tabs>
              <w:jc w:val="center"/>
              <w:rPr>
                <w:bCs/>
                <w:szCs w:val="21"/>
              </w:rPr>
            </w:pPr>
            <w:r w:rsidRPr="00B9263C">
              <w:rPr>
                <w:bCs/>
                <w:szCs w:val="21"/>
              </w:rPr>
              <w:t>E1</w:t>
            </w:r>
            <w:r w:rsidRPr="00B9263C">
              <w:rPr>
                <w:rFonts w:hint="eastAsia"/>
                <w:bCs/>
                <w:szCs w:val="21"/>
              </w:rPr>
              <w:t>09</w:t>
            </w:r>
            <w:r w:rsidRPr="00B9263C">
              <w:rPr>
                <w:bCs/>
                <w:szCs w:val="21"/>
              </w:rPr>
              <w:t>°</w:t>
            </w:r>
            <w:r w:rsidRPr="00B9263C">
              <w:rPr>
                <w:rFonts w:hint="eastAsia"/>
                <w:bCs/>
                <w:szCs w:val="21"/>
              </w:rPr>
              <w:t>29</w:t>
            </w:r>
            <w:r w:rsidRPr="00B9263C">
              <w:rPr>
                <w:bCs/>
                <w:szCs w:val="21"/>
              </w:rPr>
              <w:t>′</w:t>
            </w:r>
            <w:r w:rsidRPr="00B9263C">
              <w:rPr>
                <w:rFonts w:hint="eastAsia"/>
                <w:bCs/>
                <w:szCs w:val="21"/>
              </w:rPr>
              <w:t>46.41</w:t>
            </w:r>
            <w:r w:rsidRPr="00B9263C">
              <w:rPr>
                <w:bCs/>
                <w:szCs w:val="21"/>
              </w:rPr>
              <w:t>″</w:t>
            </w:r>
          </w:p>
          <w:p w:rsidR="00B9263C" w:rsidRPr="00B9263C" w:rsidRDefault="00B9263C" w:rsidP="00B9263C">
            <w:pPr>
              <w:widowControl/>
              <w:jc w:val="center"/>
              <w:rPr>
                <w:rFonts w:hAnsi="宋体"/>
                <w:b/>
                <w:color w:val="000000"/>
                <w:kern w:val="0"/>
                <w:szCs w:val="21"/>
              </w:rPr>
            </w:pPr>
            <w:r w:rsidRPr="00B9263C">
              <w:rPr>
                <w:bCs/>
                <w:szCs w:val="21"/>
              </w:rPr>
              <w:t>N3</w:t>
            </w:r>
            <w:r w:rsidRPr="00B9263C">
              <w:rPr>
                <w:rFonts w:hint="eastAsia"/>
                <w:bCs/>
                <w:szCs w:val="21"/>
              </w:rPr>
              <w:t>7</w:t>
            </w:r>
            <w:r w:rsidRPr="00B9263C">
              <w:rPr>
                <w:bCs/>
                <w:szCs w:val="21"/>
              </w:rPr>
              <w:t>°</w:t>
            </w:r>
            <w:r w:rsidRPr="00B9263C">
              <w:rPr>
                <w:rFonts w:hint="eastAsia"/>
                <w:bCs/>
                <w:szCs w:val="21"/>
              </w:rPr>
              <w:t>33</w:t>
            </w:r>
            <w:r w:rsidRPr="00B9263C">
              <w:rPr>
                <w:bCs/>
                <w:szCs w:val="21"/>
              </w:rPr>
              <w:t>′</w:t>
            </w:r>
            <w:r w:rsidRPr="00B9263C">
              <w:rPr>
                <w:rFonts w:hint="eastAsia"/>
                <w:bCs/>
                <w:szCs w:val="21"/>
              </w:rPr>
              <w:t>05.47</w:t>
            </w:r>
            <w:r w:rsidRPr="00B9263C">
              <w:rPr>
                <w:bCs/>
                <w:szCs w:val="21"/>
              </w:rPr>
              <w:t>″</w:t>
            </w:r>
          </w:p>
        </w:tc>
        <w:tc>
          <w:tcPr>
            <w:tcW w:w="1133" w:type="dxa"/>
            <w:vMerge/>
            <w:vAlign w:val="center"/>
          </w:tcPr>
          <w:p w:rsidR="001E3ADB" w:rsidRPr="00B9263C" w:rsidRDefault="001E3ADB">
            <w:pPr>
              <w:widowControl/>
              <w:jc w:val="center"/>
              <w:rPr>
                <w:rFonts w:hAnsi="宋体"/>
                <w:b/>
                <w:color w:val="000000"/>
                <w:kern w:val="0"/>
                <w:szCs w:val="21"/>
              </w:rPr>
            </w:pPr>
          </w:p>
        </w:tc>
      </w:tr>
      <w:tr w:rsidR="001E3ADB" w:rsidRPr="00B9263C" w:rsidTr="00B9263C">
        <w:trPr>
          <w:trHeight w:val="315"/>
          <w:jc w:val="center"/>
        </w:trPr>
        <w:tc>
          <w:tcPr>
            <w:tcW w:w="1472" w:type="dxa"/>
            <w:vMerge/>
            <w:vAlign w:val="center"/>
          </w:tcPr>
          <w:p w:rsidR="001E3ADB" w:rsidRPr="00B9263C" w:rsidRDefault="001E3ADB">
            <w:pPr>
              <w:widowControl/>
              <w:jc w:val="center"/>
              <w:rPr>
                <w:b/>
                <w:color w:val="000000"/>
                <w:kern w:val="0"/>
                <w:szCs w:val="21"/>
              </w:rPr>
            </w:pPr>
          </w:p>
        </w:tc>
        <w:tc>
          <w:tcPr>
            <w:tcW w:w="2264" w:type="dxa"/>
            <w:gridSpan w:val="3"/>
            <w:shd w:val="clear" w:color="auto" w:fill="auto"/>
            <w:vAlign w:val="center"/>
          </w:tcPr>
          <w:p w:rsidR="001E3ADB" w:rsidRPr="00B9263C" w:rsidRDefault="001E3ADB" w:rsidP="00F80450">
            <w:pPr>
              <w:widowControl/>
              <w:jc w:val="center"/>
              <w:rPr>
                <w:b/>
                <w:color w:val="000000"/>
                <w:kern w:val="0"/>
                <w:szCs w:val="21"/>
              </w:rPr>
            </w:pPr>
            <w:r w:rsidRPr="00B9263C">
              <w:rPr>
                <w:b/>
                <w:color w:val="000000"/>
                <w:kern w:val="0"/>
                <w:szCs w:val="21"/>
              </w:rPr>
              <w:t>0.2m</w:t>
            </w:r>
          </w:p>
        </w:tc>
        <w:tc>
          <w:tcPr>
            <w:tcW w:w="2268" w:type="dxa"/>
            <w:gridSpan w:val="3"/>
            <w:shd w:val="clear" w:color="auto" w:fill="auto"/>
            <w:vAlign w:val="center"/>
          </w:tcPr>
          <w:p w:rsidR="001E3ADB" w:rsidRPr="00B9263C" w:rsidRDefault="001E3ADB" w:rsidP="00F80450">
            <w:pPr>
              <w:widowControl/>
              <w:jc w:val="center"/>
              <w:rPr>
                <w:b/>
                <w:color w:val="000000"/>
                <w:kern w:val="0"/>
                <w:szCs w:val="21"/>
              </w:rPr>
            </w:pPr>
            <w:r w:rsidRPr="00B9263C">
              <w:rPr>
                <w:b/>
                <w:color w:val="000000"/>
                <w:kern w:val="0"/>
                <w:szCs w:val="21"/>
              </w:rPr>
              <w:t>0.2m</w:t>
            </w:r>
          </w:p>
        </w:tc>
        <w:tc>
          <w:tcPr>
            <w:tcW w:w="2414" w:type="dxa"/>
            <w:gridSpan w:val="3"/>
            <w:vAlign w:val="center"/>
          </w:tcPr>
          <w:p w:rsidR="001E3ADB" w:rsidRPr="00B9263C" w:rsidRDefault="001E3ADB" w:rsidP="00F80450">
            <w:pPr>
              <w:widowControl/>
              <w:jc w:val="center"/>
              <w:rPr>
                <w:b/>
                <w:color w:val="000000"/>
                <w:kern w:val="0"/>
                <w:szCs w:val="21"/>
              </w:rPr>
            </w:pPr>
            <w:r w:rsidRPr="00B9263C">
              <w:rPr>
                <w:b/>
                <w:color w:val="000000"/>
                <w:kern w:val="0"/>
                <w:szCs w:val="21"/>
              </w:rPr>
              <w:t>0.2m</w:t>
            </w:r>
          </w:p>
        </w:tc>
        <w:tc>
          <w:tcPr>
            <w:tcW w:w="1133" w:type="dxa"/>
            <w:vMerge/>
            <w:vAlign w:val="center"/>
          </w:tcPr>
          <w:p w:rsidR="001E3ADB" w:rsidRPr="00B9263C" w:rsidRDefault="001E3ADB">
            <w:pPr>
              <w:widowControl/>
              <w:jc w:val="center"/>
              <w:rPr>
                <w:b/>
                <w:color w:val="000000"/>
                <w:kern w:val="0"/>
                <w:szCs w:val="21"/>
              </w:rPr>
            </w:pPr>
          </w:p>
        </w:tc>
      </w:tr>
      <w:tr w:rsidR="00B9263C" w:rsidRPr="00B9263C" w:rsidTr="00B9263C">
        <w:trPr>
          <w:trHeight w:val="315"/>
          <w:jc w:val="center"/>
        </w:trPr>
        <w:tc>
          <w:tcPr>
            <w:tcW w:w="1472" w:type="dxa"/>
            <w:shd w:val="clear" w:color="auto" w:fill="auto"/>
            <w:vAlign w:val="center"/>
          </w:tcPr>
          <w:p w:rsidR="00B9263C" w:rsidRPr="00B9263C" w:rsidRDefault="00B9263C" w:rsidP="00B9263C">
            <w:pPr>
              <w:widowControl/>
              <w:jc w:val="center"/>
              <w:rPr>
                <w:color w:val="000000"/>
                <w:kern w:val="0"/>
                <w:szCs w:val="21"/>
              </w:rPr>
            </w:pPr>
            <w:r w:rsidRPr="00B9263C">
              <w:rPr>
                <w:color w:val="000000"/>
                <w:kern w:val="0"/>
                <w:szCs w:val="21"/>
              </w:rPr>
              <w:t>pH</w:t>
            </w:r>
            <w:r w:rsidRPr="00B9263C">
              <w:rPr>
                <w:rFonts w:hAnsi="宋体"/>
                <w:color w:val="000000"/>
                <w:kern w:val="0"/>
                <w:szCs w:val="21"/>
              </w:rPr>
              <w:t>值</w:t>
            </w:r>
          </w:p>
        </w:tc>
        <w:tc>
          <w:tcPr>
            <w:tcW w:w="2264"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8.3</w:t>
            </w:r>
          </w:p>
        </w:tc>
        <w:tc>
          <w:tcPr>
            <w:tcW w:w="2268" w:type="dxa"/>
            <w:gridSpan w:val="3"/>
            <w:shd w:val="clear" w:color="auto" w:fill="auto"/>
            <w:vAlign w:val="center"/>
          </w:tcPr>
          <w:p w:rsidR="00B9263C" w:rsidRPr="00B9263C" w:rsidRDefault="00B9263C" w:rsidP="00DE787B">
            <w:pPr>
              <w:tabs>
                <w:tab w:val="left" w:pos="3360"/>
              </w:tabs>
              <w:jc w:val="center"/>
              <w:rPr>
                <w:bCs/>
                <w:szCs w:val="21"/>
              </w:rPr>
            </w:pPr>
            <w:r w:rsidRPr="006845E8">
              <w:rPr>
                <w:rFonts w:hint="eastAsia"/>
                <w:bCs/>
                <w:szCs w:val="21"/>
              </w:rPr>
              <w:t>8.</w:t>
            </w:r>
            <w:r w:rsidR="00DE787B">
              <w:rPr>
                <w:rFonts w:hint="eastAsia"/>
                <w:bCs/>
                <w:szCs w:val="21"/>
              </w:rPr>
              <w:t>1</w:t>
            </w:r>
          </w:p>
        </w:tc>
        <w:tc>
          <w:tcPr>
            <w:tcW w:w="2414" w:type="dxa"/>
            <w:gridSpan w:val="3"/>
            <w:vAlign w:val="center"/>
          </w:tcPr>
          <w:p w:rsidR="00B9263C" w:rsidRPr="00B9263C" w:rsidRDefault="00B9263C" w:rsidP="00B9263C">
            <w:pPr>
              <w:tabs>
                <w:tab w:val="left" w:pos="3360"/>
              </w:tabs>
              <w:jc w:val="center"/>
              <w:rPr>
                <w:bCs/>
                <w:szCs w:val="21"/>
              </w:rPr>
            </w:pPr>
            <w:r w:rsidRPr="00B9263C">
              <w:rPr>
                <w:rFonts w:hint="eastAsia"/>
                <w:bCs/>
                <w:szCs w:val="21"/>
              </w:rPr>
              <w:t>8.2</w:t>
            </w:r>
          </w:p>
        </w:tc>
        <w:tc>
          <w:tcPr>
            <w:tcW w:w="1133" w:type="dxa"/>
            <w:vAlign w:val="center"/>
          </w:tcPr>
          <w:p w:rsidR="00B9263C" w:rsidRPr="00B9263C" w:rsidRDefault="00B9263C" w:rsidP="00B9263C">
            <w:pPr>
              <w:widowControl/>
              <w:jc w:val="center"/>
              <w:rPr>
                <w:color w:val="000000"/>
                <w:kern w:val="0"/>
                <w:szCs w:val="21"/>
              </w:rPr>
            </w:pPr>
            <w:r w:rsidRPr="00B9263C">
              <w:rPr>
                <w:color w:val="000000"/>
                <w:kern w:val="0"/>
                <w:szCs w:val="21"/>
              </w:rPr>
              <w:t>pH&gt;7.5</w:t>
            </w:r>
          </w:p>
        </w:tc>
      </w:tr>
      <w:tr w:rsidR="00B9263C" w:rsidRPr="00B9263C" w:rsidTr="00B9263C">
        <w:trPr>
          <w:trHeight w:val="315"/>
          <w:jc w:val="center"/>
        </w:trPr>
        <w:tc>
          <w:tcPr>
            <w:tcW w:w="1472" w:type="dxa"/>
            <w:shd w:val="clear" w:color="auto" w:fill="auto"/>
            <w:vAlign w:val="center"/>
          </w:tcPr>
          <w:p w:rsidR="00B9263C" w:rsidRPr="00B9263C" w:rsidRDefault="00B9263C" w:rsidP="00B9263C">
            <w:pPr>
              <w:widowControl/>
              <w:jc w:val="center"/>
              <w:rPr>
                <w:color w:val="000000"/>
                <w:kern w:val="0"/>
                <w:szCs w:val="21"/>
              </w:rPr>
            </w:pPr>
            <w:r w:rsidRPr="00B9263C">
              <w:rPr>
                <w:rFonts w:hAnsi="宋体"/>
                <w:color w:val="000000"/>
                <w:kern w:val="0"/>
                <w:szCs w:val="21"/>
              </w:rPr>
              <w:t>砷</w:t>
            </w:r>
          </w:p>
        </w:tc>
        <w:tc>
          <w:tcPr>
            <w:tcW w:w="2264"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6.42</w:t>
            </w:r>
          </w:p>
        </w:tc>
        <w:tc>
          <w:tcPr>
            <w:tcW w:w="2268"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7.09</w:t>
            </w:r>
          </w:p>
        </w:tc>
        <w:tc>
          <w:tcPr>
            <w:tcW w:w="2414" w:type="dxa"/>
            <w:gridSpan w:val="3"/>
            <w:vAlign w:val="center"/>
          </w:tcPr>
          <w:p w:rsidR="00B9263C" w:rsidRPr="00B9263C" w:rsidRDefault="00B9263C" w:rsidP="00B9263C">
            <w:pPr>
              <w:tabs>
                <w:tab w:val="left" w:pos="3360"/>
              </w:tabs>
              <w:jc w:val="center"/>
              <w:rPr>
                <w:bCs/>
                <w:szCs w:val="21"/>
              </w:rPr>
            </w:pPr>
            <w:r w:rsidRPr="00B9263C">
              <w:rPr>
                <w:rFonts w:hint="eastAsia"/>
                <w:bCs/>
                <w:szCs w:val="21"/>
              </w:rPr>
              <w:t>10.4</w:t>
            </w:r>
          </w:p>
        </w:tc>
        <w:tc>
          <w:tcPr>
            <w:tcW w:w="1133" w:type="dxa"/>
            <w:vAlign w:val="center"/>
          </w:tcPr>
          <w:p w:rsidR="00B9263C" w:rsidRPr="00B9263C" w:rsidRDefault="00B9263C" w:rsidP="00B9263C">
            <w:pPr>
              <w:widowControl/>
              <w:jc w:val="center"/>
              <w:rPr>
                <w:color w:val="000000"/>
                <w:kern w:val="0"/>
                <w:szCs w:val="21"/>
              </w:rPr>
            </w:pPr>
            <w:r w:rsidRPr="00B9263C">
              <w:rPr>
                <w:color w:val="000000"/>
                <w:kern w:val="0"/>
                <w:szCs w:val="21"/>
              </w:rPr>
              <w:t>25</w:t>
            </w:r>
          </w:p>
        </w:tc>
      </w:tr>
      <w:tr w:rsidR="00B9263C" w:rsidRPr="00B9263C" w:rsidTr="00B9263C">
        <w:trPr>
          <w:trHeight w:val="315"/>
          <w:jc w:val="center"/>
        </w:trPr>
        <w:tc>
          <w:tcPr>
            <w:tcW w:w="1472" w:type="dxa"/>
            <w:shd w:val="clear" w:color="auto" w:fill="auto"/>
            <w:vAlign w:val="center"/>
          </w:tcPr>
          <w:p w:rsidR="00B9263C" w:rsidRPr="00B9263C" w:rsidRDefault="00B9263C" w:rsidP="00B9263C">
            <w:pPr>
              <w:widowControl/>
              <w:jc w:val="center"/>
              <w:rPr>
                <w:color w:val="000000"/>
                <w:kern w:val="0"/>
                <w:szCs w:val="21"/>
              </w:rPr>
            </w:pPr>
            <w:r w:rsidRPr="00B9263C">
              <w:rPr>
                <w:rFonts w:hAnsi="宋体"/>
                <w:color w:val="000000"/>
                <w:kern w:val="0"/>
                <w:szCs w:val="21"/>
              </w:rPr>
              <w:t>镉</w:t>
            </w:r>
          </w:p>
        </w:tc>
        <w:tc>
          <w:tcPr>
            <w:tcW w:w="2264" w:type="dxa"/>
            <w:gridSpan w:val="3"/>
            <w:shd w:val="clear" w:color="auto" w:fill="auto"/>
            <w:vAlign w:val="center"/>
          </w:tcPr>
          <w:p w:rsidR="00B9263C" w:rsidRPr="00B9263C" w:rsidRDefault="00B9263C" w:rsidP="00B9263C">
            <w:pPr>
              <w:jc w:val="center"/>
              <w:rPr>
                <w:bCs/>
                <w:szCs w:val="21"/>
              </w:rPr>
            </w:pPr>
            <w:r w:rsidRPr="00B9263C">
              <w:rPr>
                <w:rFonts w:hint="eastAsia"/>
                <w:bCs/>
                <w:szCs w:val="21"/>
              </w:rPr>
              <w:t>0.18</w:t>
            </w:r>
          </w:p>
        </w:tc>
        <w:tc>
          <w:tcPr>
            <w:tcW w:w="2268" w:type="dxa"/>
            <w:gridSpan w:val="3"/>
            <w:shd w:val="clear" w:color="auto" w:fill="auto"/>
            <w:vAlign w:val="center"/>
          </w:tcPr>
          <w:p w:rsidR="00B9263C" w:rsidRPr="00B9263C" w:rsidRDefault="00B9263C" w:rsidP="00B9263C">
            <w:pPr>
              <w:jc w:val="center"/>
              <w:rPr>
                <w:bCs/>
                <w:szCs w:val="21"/>
              </w:rPr>
            </w:pPr>
            <w:r w:rsidRPr="00B9263C">
              <w:rPr>
                <w:rFonts w:hint="eastAsia"/>
                <w:bCs/>
                <w:szCs w:val="21"/>
              </w:rPr>
              <w:t>0.18</w:t>
            </w:r>
          </w:p>
        </w:tc>
        <w:tc>
          <w:tcPr>
            <w:tcW w:w="2414" w:type="dxa"/>
            <w:gridSpan w:val="3"/>
            <w:vAlign w:val="center"/>
          </w:tcPr>
          <w:p w:rsidR="00B9263C" w:rsidRPr="00B9263C" w:rsidRDefault="00B9263C" w:rsidP="00B9263C">
            <w:pPr>
              <w:jc w:val="center"/>
              <w:rPr>
                <w:bCs/>
                <w:szCs w:val="21"/>
              </w:rPr>
            </w:pPr>
            <w:r w:rsidRPr="00B9263C">
              <w:rPr>
                <w:rFonts w:hint="eastAsia"/>
                <w:bCs/>
                <w:szCs w:val="21"/>
              </w:rPr>
              <w:t>0.16</w:t>
            </w:r>
          </w:p>
        </w:tc>
        <w:tc>
          <w:tcPr>
            <w:tcW w:w="1133" w:type="dxa"/>
            <w:vAlign w:val="center"/>
          </w:tcPr>
          <w:p w:rsidR="00B9263C" w:rsidRPr="00B9263C" w:rsidRDefault="00B9263C" w:rsidP="00B9263C">
            <w:pPr>
              <w:widowControl/>
              <w:jc w:val="center"/>
              <w:rPr>
                <w:color w:val="000000"/>
                <w:kern w:val="0"/>
                <w:szCs w:val="21"/>
              </w:rPr>
            </w:pPr>
            <w:r w:rsidRPr="00B9263C">
              <w:rPr>
                <w:color w:val="000000"/>
                <w:kern w:val="0"/>
                <w:szCs w:val="21"/>
              </w:rPr>
              <w:t>0.6</w:t>
            </w:r>
          </w:p>
        </w:tc>
      </w:tr>
      <w:tr w:rsidR="00B9263C" w:rsidRPr="00B9263C" w:rsidTr="00B9263C">
        <w:trPr>
          <w:trHeight w:val="315"/>
          <w:jc w:val="center"/>
        </w:trPr>
        <w:tc>
          <w:tcPr>
            <w:tcW w:w="1472" w:type="dxa"/>
            <w:shd w:val="clear" w:color="auto" w:fill="auto"/>
            <w:vAlign w:val="center"/>
          </w:tcPr>
          <w:p w:rsidR="00B9263C" w:rsidRPr="00B9263C" w:rsidRDefault="00B9263C" w:rsidP="00B9263C">
            <w:pPr>
              <w:widowControl/>
              <w:jc w:val="center"/>
              <w:rPr>
                <w:color w:val="000000"/>
                <w:kern w:val="0"/>
                <w:szCs w:val="21"/>
              </w:rPr>
            </w:pPr>
            <w:r w:rsidRPr="00B9263C">
              <w:rPr>
                <w:rFonts w:hAnsi="宋体"/>
                <w:color w:val="000000"/>
                <w:kern w:val="0"/>
                <w:szCs w:val="21"/>
              </w:rPr>
              <w:t>汞</w:t>
            </w:r>
          </w:p>
        </w:tc>
        <w:tc>
          <w:tcPr>
            <w:tcW w:w="2264" w:type="dxa"/>
            <w:gridSpan w:val="3"/>
            <w:shd w:val="clear" w:color="auto" w:fill="auto"/>
            <w:vAlign w:val="center"/>
          </w:tcPr>
          <w:p w:rsidR="00B9263C" w:rsidRPr="00B9263C" w:rsidRDefault="00B9263C" w:rsidP="00B9263C">
            <w:pPr>
              <w:jc w:val="center"/>
              <w:rPr>
                <w:bCs/>
                <w:szCs w:val="21"/>
              </w:rPr>
            </w:pPr>
            <w:r w:rsidRPr="00B9263C">
              <w:rPr>
                <w:rFonts w:hint="eastAsia"/>
                <w:bCs/>
                <w:szCs w:val="21"/>
              </w:rPr>
              <w:t>0.036</w:t>
            </w:r>
          </w:p>
        </w:tc>
        <w:tc>
          <w:tcPr>
            <w:tcW w:w="2268" w:type="dxa"/>
            <w:gridSpan w:val="3"/>
            <w:shd w:val="clear" w:color="auto" w:fill="auto"/>
            <w:vAlign w:val="center"/>
          </w:tcPr>
          <w:p w:rsidR="00B9263C" w:rsidRPr="00B9263C" w:rsidRDefault="00B9263C" w:rsidP="00B9263C">
            <w:pPr>
              <w:jc w:val="center"/>
              <w:rPr>
                <w:bCs/>
                <w:szCs w:val="21"/>
              </w:rPr>
            </w:pPr>
            <w:r w:rsidRPr="00B9263C">
              <w:rPr>
                <w:rFonts w:hint="eastAsia"/>
                <w:bCs/>
                <w:szCs w:val="21"/>
              </w:rPr>
              <w:t>0.037</w:t>
            </w:r>
          </w:p>
        </w:tc>
        <w:tc>
          <w:tcPr>
            <w:tcW w:w="2414" w:type="dxa"/>
            <w:gridSpan w:val="3"/>
            <w:vAlign w:val="center"/>
          </w:tcPr>
          <w:p w:rsidR="00B9263C" w:rsidRPr="00B9263C" w:rsidRDefault="00B9263C" w:rsidP="00B9263C">
            <w:pPr>
              <w:jc w:val="center"/>
              <w:rPr>
                <w:bCs/>
                <w:szCs w:val="21"/>
              </w:rPr>
            </w:pPr>
            <w:r w:rsidRPr="00B9263C">
              <w:rPr>
                <w:rFonts w:hint="eastAsia"/>
                <w:bCs/>
                <w:szCs w:val="21"/>
              </w:rPr>
              <w:t>0.054</w:t>
            </w:r>
          </w:p>
        </w:tc>
        <w:tc>
          <w:tcPr>
            <w:tcW w:w="1133" w:type="dxa"/>
            <w:vAlign w:val="center"/>
          </w:tcPr>
          <w:p w:rsidR="00B9263C" w:rsidRPr="00B9263C" w:rsidRDefault="00B9263C" w:rsidP="00B9263C">
            <w:pPr>
              <w:widowControl/>
              <w:jc w:val="center"/>
              <w:rPr>
                <w:color w:val="000000"/>
                <w:kern w:val="0"/>
                <w:szCs w:val="21"/>
              </w:rPr>
            </w:pPr>
            <w:r w:rsidRPr="00B9263C">
              <w:rPr>
                <w:color w:val="000000"/>
                <w:kern w:val="0"/>
                <w:szCs w:val="21"/>
              </w:rPr>
              <w:t>3.4</w:t>
            </w:r>
          </w:p>
        </w:tc>
      </w:tr>
      <w:tr w:rsidR="00B9263C" w:rsidRPr="00B9263C" w:rsidTr="00B9263C">
        <w:trPr>
          <w:trHeight w:val="315"/>
          <w:jc w:val="center"/>
        </w:trPr>
        <w:tc>
          <w:tcPr>
            <w:tcW w:w="1472" w:type="dxa"/>
            <w:shd w:val="clear" w:color="auto" w:fill="auto"/>
            <w:vAlign w:val="center"/>
          </w:tcPr>
          <w:p w:rsidR="00B9263C" w:rsidRPr="00B9263C" w:rsidRDefault="00B9263C" w:rsidP="00B9263C">
            <w:pPr>
              <w:widowControl/>
              <w:jc w:val="center"/>
              <w:rPr>
                <w:color w:val="000000"/>
                <w:kern w:val="0"/>
                <w:szCs w:val="21"/>
              </w:rPr>
            </w:pPr>
            <w:r w:rsidRPr="00B9263C">
              <w:rPr>
                <w:rFonts w:hAnsi="宋体"/>
                <w:color w:val="000000"/>
                <w:kern w:val="0"/>
                <w:szCs w:val="21"/>
              </w:rPr>
              <w:t>铅</w:t>
            </w:r>
          </w:p>
        </w:tc>
        <w:tc>
          <w:tcPr>
            <w:tcW w:w="2264" w:type="dxa"/>
            <w:gridSpan w:val="3"/>
            <w:shd w:val="clear" w:color="auto" w:fill="auto"/>
            <w:vAlign w:val="center"/>
          </w:tcPr>
          <w:p w:rsidR="00B9263C" w:rsidRPr="00B9263C" w:rsidRDefault="00B9263C" w:rsidP="00B9263C">
            <w:pPr>
              <w:jc w:val="center"/>
              <w:rPr>
                <w:bCs/>
                <w:szCs w:val="21"/>
              </w:rPr>
            </w:pPr>
            <w:r w:rsidRPr="00B9263C">
              <w:rPr>
                <w:rFonts w:hint="eastAsia"/>
                <w:bCs/>
                <w:szCs w:val="21"/>
              </w:rPr>
              <w:t>33.2</w:t>
            </w:r>
          </w:p>
        </w:tc>
        <w:tc>
          <w:tcPr>
            <w:tcW w:w="2268" w:type="dxa"/>
            <w:gridSpan w:val="3"/>
            <w:shd w:val="clear" w:color="auto" w:fill="auto"/>
            <w:vAlign w:val="center"/>
          </w:tcPr>
          <w:p w:rsidR="00B9263C" w:rsidRPr="00B9263C" w:rsidRDefault="00B9263C" w:rsidP="00B9263C">
            <w:pPr>
              <w:jc w:val="center"/>
              <w:rPr>
                <w:bCs/>
                <w:szCs w:val="21"/>
              </w:rPr>
            </w:pPr>
            <w:r w:rsidRPr="00B9263C">
              <w:rPr>
                <w:rFonts w:hint="eastAsia"/>
                <w:bCs/>
                <w:szCs w:val="21"/>
              </w:rPr>
              <w:t>29.5</w:t>
            </w:r>
          </w:p>
        </w:tc>
        <w:tc>
          <w:tcPr>
            <w:tcW w:w="2414" w:type="dxa"/>
            <w:gridSpan w:val="3"/>
            <w:vAlign w:val="center"/>
          </w:tcPr>
          <w:p w:rsidR="00B9263C" w:rsidRPr="00B9263C" w:rsidRDefault="00B9263C" w:rsidP="00B9263C">
            <w:pPr>
              <w:jc w:val="center"/>
              <w:rPr>
                <w:bCs/>
                <w:szCs w:val="21"/>
              </w:rPr>
            </w:pPr>
            <w:r w:rsidRPr="00B9263C">
              <w:rPr>
                <w:rFonts w:hint="eastAsia"/>
                <w:bCs/>
                <w:szCs w:val="21"/>
              </w:rPr>
              <w:t>32.4</w:t>
            </w:r>
          </w:p>
        </w:tc>
        <w:tc>
          <w:tcPr>
            <w:tcW w:w="1133" w:type="dxa"/>
            <w:vAlign w:val="center"/>
          </w:tcPr>
          <w:p w:rsidR="00B9263C" w:rsidRPr="00B9263C" w:rsidRDefault="00B9263C" w:rsidP="00B9263C">
            <w:pPr>
              <w:widowControl/>
              <w:jc w:val="center"/>
              <w:rPr>
                <w:color w:val="000000"/>
                <w:kern w:val="0"/>
                <w:szCs w:val="21"/>
              </w:rPr>
            </w:pPr>
            <w:r w:rsidRPr="00B9263C">
              <w:rPr>
                <w:color w:val="000000"/>
                <w:kern w:val="0"/>
                <w:szCs w:val="21"/>
              </w:rPr>
              <w:t>170</w:t>
            </w:r>
          </w:p>
        </w:tc>
      </w:tr>
      <w:tr w:rsidR="00B9263C" w:rsidRPr="00B9263C" w:rsidTr="00B9263C">
        <w:trPr>
          <w:trHeight w:val="315"/>
          <w:jc w:val="center"/>
        </w:trPr>
        <w:tc>
          <w:tcPr>
            <w:tcW w:w="1472" w:type="dxa"/>
            <w:shd w:val="clear" w:color="auto" w:fill="auto"/>
            <w:vAlign w:val="center"/>
          </w:tcPr>
          <w:p w:rsidR="00B9263C" w:rsidRPr="00B9263C" w:rsidRDefault="00B9263C" w:rsidP="00B9263C">
            <w:pPr>
              <w:widowControl/>
              <w:jc w:val="center"/>
              <w:rPr>
                <w:color w:val="000000"/>
                <w:kern w:val="0"/>
                <w:szCs w:val="21"/>
              </w:rPr>
            </w:pPr>
            <w:r w:rsidRPr="00B9263C">
              <w:rPr>
                <w:rFonts w:hAnsi="宋体"/>
                <w:color w:val="000000"/>
                <w:kern w:val="0"/>
                <w:szCs w:val="21"/>
              </w:rPr>
              <w:t>铜</w:t>
            </w:r>
          </w:p>
        </w:tc>
        <w:tc>
          <w:tcPr>
            <w:tcW w:w="2264"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17</w:t>
            </w:r>
          </w:p>
        </w:tc>
        <w:tc>
          <w:tcPr>
            <w:tcW w:w="2268"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13</w:t>
            </w:r>
          </w:p>
        </w:tc>
        <w:tc>
          <w:tcPr>
            <w:tcW w:w="2414" w:type="dxa"/>
            <w:gridSpan w:val="3"/>
            <w:vAlign w:val="center"/>
          </w:tcPr>
          <w:p w:rsidR="00B9263C" w:rsidRPr="00B9263C" w:rsidRDefault="00B9263C" w:rsidP="00B9263C">
            <w:pPr>
              <w:tabs>
                <w:tab w:val="left" w:pos="3360"/>
              </w:tabs>
              <w:jc w:val="center"/>
              <w:rPr>
                <w:bCs/>
                <w:szCs w:val="21"/>
              </w:rPr>
            </w:pPr>
            <w:r w:rsidRPr="00B9263C">
              <w:rPr>
                <w:rFonts w:hint="eastAsia"/>
                <w:bCs/>
                <w:szCs w:val="21"/>
              </w:rPr>
              <w:t>15</w:t>
            </w:r>
          </w:p>
        </w:tc>
        <w:tc>
          <w:tcPr>
            <w:tcW w:w="1133" w:type="dxa"/>
            <w:vAlign w:val="center"/>
          </w:tcPr>
          <w:p w:rsidR="00B9263C" w:rsidRPr="00B9263C" w:rsidRDefault="00B9263C" w:rsidP="00B9263C">
            <w:pPr>
              <w:widowControl/>
              <w:jc w:val="center"/>
              <w:rPr>
                <w:color w:val="000000"/>
                <w:kern w:val="0"/>
                <w:szCs w:val="21"/>
              </w:rPr>
            </w:pPr>
            <w:r w:rsidRPr="00B9263C">
              <w:rPr>
                <w:color w:val="000000"/>
                <w:kern w:val="0"/>
                <w:szCs w:val="21"/>
              </w:rPr>
              <w:t>100</w:t>
            </w:r>
          </w:p>
        </w:tc>
      </w:tr>
      <w:tr w:rsidR="00B9263C" w:rsidRPr="00B9263C" w:rsidTr="00B9263C">
        <w:trPr>
          <w:trHeight w:val="315"/>
          <w:jc w:val="center"/>
        </w:trPr>
        <w:tc>
          <w:tcPr>
            <w:tcW w:w="1472" w:type="dxa"/>
            <w:shd w:val="clear" w:color="auto" w:fill="auto"/>
            <w:vAlign w:val="center"/>
          </w:tcPr>
          <w:p w:rsidR="00B9263C" w:rsidRPr="00B9263C" w:rsidRDefault="00B9263C" w:rsidP="00B9263C">
            <w:pPr>
              <w:widowControl/>
              <w:jc w:val="center"/>
              <w:rPr>
                <w:color w:val="000000"/>
                <w:kern w:val="0"/>
                <w:szCs w:val="21"/>
              </w:rPr>
            </w:pPr>
            <w:r w:rsidRPr="00B9263C">
              <w:rPr>
                <w:rFonts w:hAnsi="宋体"/>
                <w:color w:val="000000"/>
                <w:kern w:val="0"/>
                <w:szCs w:val="21"/>
              </w:rPr>
              <w:t>镍</w:t>
            </w:r>
          </w:p>
        </w:tc>
        <w:tc>
          <w:tcPr>
            <w:tcW w:w="2264"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41</w:t>
            </w:r>
          </w:p>
        </w:tc>
        <w:tc>
          <w:tcPr>
            <w:tcW w:w="2268"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30</w:t>
            </w:r>
          </w:p>
        </w:tc>
        <w:tc>
          <w:tcPr>
            <w:tcW w:w="2414" w:type="dxa"/>
            <w:gridSpan w:val="3"/>
            <w:vAlign w:val="center"/>
          </w:tcPr>
          <w:p w:rsidR="00B9263C" w:rsidRPr="00B9263C" w:rsidRDefault="00B9263C" w:rsidP="00B9263C">
            <w:pPr>
              <w:tabs>
                <w:tab w:val="left" w:pos="3360"/>
              </w:tabs>
              <w:jc w:val="center"/>
              <w:rPr>
                <w:bCs/>
                <w:szCs w:val="21"/>
              </w:rPr>
            </w:pPr>
            <w:r w:rsidRPr="00B9263C">
              <w:rPr>
                <w:rFonts w:hint="eastAsia"/>
                <w:bCs/>
                <w:szCs w:val="21"/>
              </w:rPr>
              <w:t>36</w:t>
            </w:r>
          </w:p>
        </w:tc>
        <w:tc>
          <w:tcPr>
            <w:tcW w:w="1133" w:type="dxa"/>
            <w:vAlign w:val="center"/>
          </w:tcPr>
          <w:p w:rsidR="00B9263C" w:rsidRPr="00B9263C" w:rsidRDefault="00B9263C" w:rsidP="00B9263C">
            <w:pPr>
              <w:widowControl/>
              <w:jc w:val="center"/>
              <w:rPr>
                <w:color w:val="000000"/>
                <w:kern w:val="0"/>
                <w:szCs w:val="21"/>
              </w:rPr>
            </w:pPr>
            <w:r w:rsidRPr="00B9263C">
              <w:rPr>
                <w:color w:val="000000"/>
                <w:kern w:val="0"/>
                <w:szCs w:val="21"/>
              </w:rPr>
              <w:t>190</w:t>
            </w:r>
          </w:p>
        </w:tc>
      </w:tr>
      <w:tr w:rsidR="00B9263C" w:rsidRPr="00B9263C" w:rsidTr="00B9263C">
        <w:trPr>
          <w:trHeight w:val="315"/>
          <w:jc w:val="center"/>
        </w:trPr>
        <w:tc>
          <w:tcPr>
            <w:tcW w:w="1472" w:type="dxa"/>
            <w:shd w:val="clear" w:color="auto" w:fill="auto"/>
            <w:vAlign w:val="center"/>
          </w:tcPr>
          <w:p w:rsidR="00B9263C" w:rsidRPr="00B9263C" w:rsidRDefault="00B9263C" w:rsidP="00B9263C">
            <w:pPr>
              <w:widowControl/>
              <w:jc w:val="center"/>
              <w:rPr>
                <w:color w:val="000000"/>
                <w:kern w:val="0"/>
                <w:szCs w:val="21"/>
              </w:rPr>
            </w:pPr>
            <w:r w:rsidRPr="00B9263C">
              <w:rPr>
                <w:rFonts w:hAnsi="宋体"/>
                <w:color w:val="000000"/>
                <w:kern w:val="0"/>
                <w:szCs w:val="21"/>
              </w:rPr>
              <w:t>铬</w:t>
            </w:r>
          </w:p>
        </w:tc>
        <w:tc>
          <w:tcPr>
            <w:tcW w:w="2264"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60</w:t>
            </w:r>
          </w:p>
        </w:tc>
        <w:tc>
          <w:tcPr>
            <w:tcW w:w="2268"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64</w:t>
            </w:r>
          </w:p>
        </w:tc>
        <w:tc>
          <w:tcPr>
            <w:tcW w:w="2414" w:type="dxa"/>
            <w:gridSpan w:val="3"/>
            <w:vAlign w:val="center"/>
          </w:tcPr>
          <w:p w:rsidR="00B9263C" w:rsidRPr="00B9263C" w:rsidRDefault="00B9263C" w:rsidP="00B9263C">
            <w:pPr>
              <w:tabs>
                <w:tab w:val="left" w:pos="3360"/>
              </w:tabs>
              <w:jc w:val="center"/>
              <w:rPr>
                <w:bCs/>
                <w:szCs w:val="21"/>
              </w:rPr>
            </w:pPr>
            <w:r w:rsidRPr="00B9263C">
              <w:rPr>
                <w:rFonts w:hint="eastAsia"/>
                <w:bCs/>
                <w:szCs w:val="21"/>
              </w:rPr>
              <w:t>59</w:t>
            </w:r>
          </w:p>
        </w:tc>
        <w:tc>
          <w:tcPr>
            <w:tcW w:w="1133" w:type="dxa"/>
            <w:vAlign w:val="center"/>
          </w:tcPr>
          <w:p w:rsidR="00B9263C" w:rsidRPr="00B9263C" w:rsidRDefault="00B9263C" w:rsidP="00B9263C">
            <w:pPr>
              <w:widowControl/>
              <w:jc w:val="center"/>
              <w:rPr>
                <w:color w:val="000000"/>
                <w:kern w:val="0"/>
                <w:szCs w:val="21"/>
              </w:rPr>
            </w:pPr>
            <w:r w:rsidRPr="00B9263C">
              <w:rPr>
                <w:color w:val="000000"/>
                <w:kern w:val="0"/>
                <w:szCs w:val="21"/>
              </w:rPr>
              <w:t>250</w:t>
            </w:r>
          </w:p>
        </w:tc>
      </w:tr>
      <w:tr w:rsidR="00B9263C" w:rsidRPr="00B9263C" w:rsidTr="00B9263C">
        <w:trPr>
          <w:trHeight w:val="315"/>
          <w:jc w:val="center"/>
        </w:trPr>
        <w:tc>
          <w:tcPr>
            <w:tcW w:w="1472" w:type="dxa"/>
            <w:shd w:val="clear" w:color="auto" w:fill="auto"/>
            <w:vAlign w:val="center"/>
          </w:tcPr>
          <w:p w:rsidR="00B9263C" w:rsidRPr="00B9263C" w:rsidRDefault="00B9263C" w:rsidP="00B9263C">
            <w:pPr>
              <w:widowControl/>
              <w:jc w:val="center"/>
              <w:rPr>
                <w:color w:val="000000"/>
                <w:kern w:val="0"/>
                <w:szCs w:val="21"/>
              </w:rPr>
            </w:pPr>
            <w:r w:rsidRPr="00B9263C">
              <w:rPr>
                <w:rFonts w:hAnsi="宋体"/>
                <w:color w:val="000000"/>
                <w:kern w:val="0"/>
                <w:szCs w:val="21"/>
              </w:rPr>
              <w:t>锌</w:t>
            </w:r>
          </w:p>
        </w:tc>
        <w:tc>
          <w:tcPr>
            <w:tcW w:w="2264"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57.1</w:t>
            </w:r>
          </w:p>
        </w:tc>
        <w:tc>
          <w:tcPr>
            <w:tcW w:w="2268"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53.4</w:t>
            </w:r>
          </w:p>
        </w:tc>
        <w:tc>
          <w:tcPr>
            <w:tcW w:w="2414" w:type="dxa"/>
            <w:gridSpan w:val="3"/>
            <w:vAlign w:val="center"/>
          </w:tcPr>
          <w:p w:rsidR="00B9263C" w:rsidRPr="00B9263C" w:rsidRDefault="00B9263C" w:rsidP="00B9263C">
            <w:pPr>
              <w:tabs>
                <w:tab w:val="left" w:pos="3360"/>
              </w:tabs>
              <w:jc w:val="center"/>
              <w:rPr>
                <w:bCs/>
                <w:szCs w:val="21"/>
              </w:rPr>
            </w:pPr>
            <w:r w:rsidRPr="00B9263C">
              <w:rPr>
                <w:rFonts w:hint="eastAsia"/>
                <w:bCs/>
                <w:szCs w:val="21"/>
              </w:rPr>
              <w:t>60.2</w:t>
            </w:r>
          </w:p>
        </w:tc>
        <w:tc>
          <w:tcPr>
            <w:tcW w:w="1133" w:type="dxa"/>
            <w:vAlign w:val="center"/>
          </w:tcPr>
          <w:p w:rsidR="00B9263C" w:rsidRPr="00B9263C" w:rsidRDefault="00B9263C" w:rsidP="00B9263C">
            <w:pPr>
              <w:widowControl/>
              <w:jc w:val="center"/>
              <w:rPr>
                <w:color w:val="000000"/>
                <w:kern w:val="0"/>
                <w:szCs w:val="21"/>
              </w:rPr>
            </w:pPr>
            <w:r w:rsidRPr="00B9263C">
              <w:rPr>
                <w:color w:val="000000"/>
                <w:kern w:val="0"/>
                <w:szCs w:val="21"/>
              </w:rPr>
              <w:t>300</w:t>
            </w:r>
          </w:p>
        </w:tc>
      </w:tr>
      <w:tr w:rsidR="00B9263C" w:rsidRPr="00B9263C" w:rsidTr="00B9263C">
        <w:trPr>
          <w:trHeight w:val="315"/>
          <w:jc w:val="center"/>
        </w:trPr>
        <w:tc>
          <w:tcPr>
            <w:tcW w:w="1472" w:type="dxa"/>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阳离子交换量</w:t>
            </w:r>
          </w:p>
        </w:tc>
        <w:tc>
          <w:tcPr>
            <w:tcW w:w="2264"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6.0</w:t>
            </w:r>
          </w:p>
        </w:tc>
        <w:tc>
          <w:tcPr>
            <w:tcW w:w="2268" w:type="dxa"/>
            <w:gridSpan w:val="3"/>
            <w:shd w:val="clear" w:color="auto" w:fill="auto"/>
            <w:vAlign w:val="center"/>
          </w:tcPr>
          <w:p w:rsidR="00B9263C" w:rsidRPr="00B9263C" w:rsidRDefault="00B9263C" w:rsidP="00B9263C">
            <w:pPr>
              <w:tabs>
                <w:tab w:val="left" w:pos="3360"/>
              </w:tabs>
              <w:jc w:val="center"/>
              <w:rPr>
                <w:bCs/>
                <w:szCs w:val="21"/>
              </w:rPr>
            </w:pPr>
            <w:r>
              <w:rPr>
                <w:rFonts w:hint="eastAsia"/>
                <w:bCs/>
                <w:szCs w:val="21"/>
              </w:rPr>
              <w:t>/</w:t>
            </w:r>
          </w:p>
        </w:tc>
        <w:tc>
          <w:tcPr>
            <w:tcW w:w="2414" w:type="dxa"/>
            <w:gridSpan w:val="3"/>
            <w:vAlign w:val="center"/>
          </w:tcPr>
          <w:p w:rsidR="00B9263C" w:rsidRPr="00B9263C" w:rsidRDefault="00B9263C" w:rsidP="00B9263C">
            <w:pPr>
              <w:widowControl/>
              <w:jc w:val="center"/>
              <w:rPr>
                <w:color w:val="000000"/>
                <w:kern w:val="0"/>
                <w:szCs w:val="21"/>
              </w:rPr>
            </w:pPr>
            <w:r>
              <w:rPr>
                <w:rFonts w:hint="eastAsia"/>
                <w:color w:val="000000"/>
                <w:kern w:val="0"/>
                <w:szCs w:val="21"/>
              </w:rPr>
              <w:t>/</w:t>
            </w:r>
          </w:p>
        </w:tc>
        <w:tc>
          <w:tcPr>
            <w:tcW w:w="1133" w:type="dxa"/>
            <w:vAlign w:val="center"/>
          </w:tcPr>
          <w:p w:rsidR="00B9263C" w:rsidRPr="00B9263C" w:rsidRDefault="00CB20B3" w:rsidP="00B9263C">
            <w:pPr>
              <w:widowControl/>
              <w:jc w:val="center"/>
              <w:rPr>
                <w:color w:val="000000"/>
                <w:kern w:val="0"/>
                <w:szCs w:val="21"/>
              </w:rPr>
            </w:pPr>
            <w:r>
              <w:rPr>
                <w:rFonts w:hint="eastAsia"/>
                <w:color w:val="000000"/>
                <w:kern w:val="0"/>
                <w:szCs w:val="21"/>
              </w:rPr>
              <w:t>/</w:t>
            </w:r>
          </w:p>
        </w:tc>
      </w:tr>
      <w:tr w:rsidR="00DE787B" w:rsidRPr="00B9263C" w:rsidTr="00B9263C">
        <w:trPr>
          <w:trHeight w:val="315"/>
          <w:jc w:val="center"/>
        </w:trPr>
        <w:tc>
          <w:tcPr>
            <w:tcW w:w="1472" w:type="dxa"/>
            <w:shd w:val="clear" w:color="auto" w:fill="auto"/>
            <w:vAlign w:val="center"/>
          </w:tcPr>
          <w:p w:rsidR="00DE787B" w:rsidRPr="00B9263C" w:rsidRDefault="00DE787B" w:rsidP="00B9263C">
            <w:pPr>
              <w:tabs>
                <w:tab w:val="left" w:pos="3360"/>
              </w:tabs>
              <w:jc w:val="center"/>
              <w:rPr>
                <w:bCs/>
                <w:szCs w:val="21"/>
              </w:rPr>
            </w:pPr>
            <w:r>
              <w:rPr>
                <w:rFonts w:hint="eastAsia"/>
                <w:bCs/>
                <w:szCs w:val="21"/>
              </w:rPr>
              <w:t>氧化还原电位</w:t>
            </w:r>
          </w:p>
        </w:tc>
        <w:tc>
          <w:tcPr>
            <w:tcW w:w="2264" w:type="dxa"/>
            <w:gridSpan w:val="3"/>
            <w:shd w:val="clear" w:color="auto" w:fill="auto"/>
            <w:vAlign w:val="center"/>
          </w:tcPr>
          <w:p w:rsidR="00DE787B" w:rsidRPr="00B9263C" w:rsidRDefault="00DE787B" w:rsidP="00B9263C">
            <w:pPr>
              <w:tabs>
                <w:tab w:val="left" w:pos="3360"/>
              </w:tabs>
              <w:jc w:val="center"/>
              <w:rPr>
                <w:bCs/>
                <w:szCs w:val="21"/>
              </w:rPr>
            </w:pPr>
            <w:r>
              <w:rPr>
                <w:rFonts w:hint="eastAsia"/>
                <w:bCs/>
                <w:szCs w:val="21"/>
              </w:rPr>
              <w:t>282</w:t>
            </w:r>
          </w:p>
        </w:tc>
        <w:tc>
          <w:tcPr>
            <w:tcW w:w="2268" w:type="dxa"/>
            <w:gridSpan w:val="3"/>
            <w:shd w:val="clear" w:color="auto" w:fill="auto"/>
            <w:vAlign w:val="center"/>
          </w:tcPr>
          <w:p w:rsidR="00DE787B" w:rsidRPr="00B9263C" w:rsidRDefault="00DE787B" w:rsidP="00584B9F">
            <w:pPr>
              <w:tabs>
                <w:tab w:val="left" w:pos="3360"/>
              </w:tabs>
              <w:jc w:val="center"/>
              <w:rPr>
                <w:bCs/>
                <w:szCs w:val="21"/>
              </w:rPr>
            </w:pPr>
            <w:r>
              <w:rPr>
                <w:rFonts w:hint="eastAsia"/>
                <w:bCs/>
                <w:szCs w:val="21"/>
              </w:rPr>
              <w:t>/</w:t>
            </w:r>
          </w:p>
        </w:tc>
        <w:tc>
          <w:tcPr>
            <w:tcW w:w="2414" w:type="dxa"/>
            <w:gridSpan w:val="3"/>
            <w:vAlign w:val="center"/>
          </w:tcPr>
          <w:p w:rsidR="00DE787B" w:rsidRPr="00B9263C" w:rsidRDefault="00DE787B" w:rsidP="00584B9F">
            <w:pPr>
              <w:widowControl/>
              <w:jc w:val="center"/>
              <w:rPr>
                <w:color w:val="000000"/>
                <w:kern w:val="0"/>
                <w:szCs w:val="21"/>
              </w:rPr>
            </w:pPr>
            <w:r>
              <w:rPr>
                <w:rFonts w:hint="eastAsia"/>
                <w:color w:val="000000"/>
                <w:kern w:val="0"/>
                <w:szCs w:val="21"/>
              </w:rPr>
              <w:t>/</w:t>
            </w:r>
          </w:p>
        </w:tc>
        <w:tc>
          <w:tcPr>
            <w:tcW w:w="1133" w:type="dxa"/>
            <w:vAlign w:val="center"/>
          </w:tcPr>
          <w:p w:rsidR="00DE787B" w:rsidRPr="00B9263C" w:rsidRDefault="00DE787B" w:rsidP="00584B9F">
            <w:pPr>
              <w:widowControl/>
              <w:jc w:val="center"/>
              <w:rPr>
                <w:color w:val="000000"/>
                <w:kern w:val="0"/>
                <w:szCs w:val="21"/>
              </w:rPr>
            </w:pPr>
            <w:r>
              <w:rPr>
                <w:rFonts w:hint="eastAsia"/>
                <w:color w:val="000000"/>
                <w:kern w:val="0"/>
                <w:szCs w:val="21"/>
              </w:rPr>
              <w:t>/</w:t>
            </w:r>
          </w:p>
        </w:tc>
      </w:tr>
      <w:tr w:rsidR="00B9263C" w:rsidRPr="00B9263C" w:rsidTr="00B9263C">
        <w:trPr>
          <w:trHeight w:val="315"/>
          <w:jc w:val="center"/>
        </w:trPr>
        <w:tc>
          <w:tcPr>
            <w:tcW w:w="1472" w:type="dxa"/>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水溶性盐总量</w:t>
            </w:r>
          </w:p>
        </w:tc>
        <w:tc>
          <w:tcPr>
            <w:tcW w:w="2264"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0.2</w:t>
            </w:r>
          </w:p>
        </w:tc>
        <w:tc>
          <w:tcPr>
            <w:tcW w:w="2268"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0.1</w:t>
            </w:r>
          </w:p>
        </w:tc>
        <w:tc>
          <w:tcPr>
            <w:tcW w:w="2414" w:type="dxa"/>
            <w:gridSpan w:val="3"/>
            <w:vAlign w:val="center"/>
          </w:tcPr>
          <w:p w:rsidR="00B9263C" w:rsidRPr="00B9263C" w:rsidRDefault="00B9263C" w:rsidP="00B9263C">
            <w:pPr>
              <w:widowControl/>
              <w:jc w:val="center"/>
              <w:rPr>
                <w:color w:val="000000"/>
                <w:kern w:val="0"/>
                <w:szCs w:val="21"/>
              </w:rPr>
            </w:pPr>
            <w:r w:rsidRPr="00B9263C">
              <w:rPr>
                <w:rFonts w:hint="eastAsia"/>
                <w:bCs/>
                <w:szCs w:val="21"/>
              </w:rPr>
              <w:t>0.3</w:t>
            </w:r>
          </w:p>
        </w:tc>
        <w:tc>
          <w:tcPr>
            <w:tcW w:w="1133" w:type="dxa"/>
            <w:vAlign w:val="center"/>
          </w:tcPr>
          <w:p w:rsidR="00B9263C" w:rsidRPr="00B9263C" w:rsidRDefault="00CB20B3" w:rsidP="00B9263C">
            <w:pPr>
              <w:widowControl/>
              <w:jc w:val="center"/>
              <w:rPr>
                <w:color w:val="000000"/>
                <w:kern w:val="0"/>
                <w:szCs w:val="21"/>
              </w:rPr>
            </w:pPr>
            <w:r>
              <w:rPr>
                <w:rFonts w:hint="eastAsia"/>
                <w:color w:val="000000"/>
                <w:kern w:val="0"/>
                <w:szCs w:val="21"/>
              </w:rPr>
              <w:t>/</w:t>
            </w:r>
          </w:p>
        </w:tc>
      </w:tr>
      <w:tr w:rsidR="00B9263C" w:rsidRPr="00B9263C" w:rsidTr="00B9263C">
        <w:trPr>
          <w:trHeight w:val="70"/>
          <w:jc w:val="center"/>
        </w:trPr>
        <w:tc>
          <w:tcPr>
            <w:tcW w:w="1472" w:type="dxa"/>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氟化物</w:t>
            </w:r>
          </w:p>
        </w:tc>
        <w:tc>
          <w:tcPr>
            <w:tcW w:w="2264"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475</w:t>
            </w:r>
          </w:p>
        </w:tc>
        <w:tc>
          <w:tcPr>
            <w:tcW w:w="2268" w:type="dxa"/>
            <w:gridSpan w:val="3"/>
            <w:shd w:val="clear" w:color="auto" w:fill="auto"/>
            <w:vAlign w:val="center"/>
          </w:tcPr>
          <w:p w:rsidR="00B9263C" w:rsidRPr="00B9263C" w:rsidRDefault="00B9263C" w:rsidP="00B9263C">
            <w:pPr>
              <w:tabs>
                <w:tab w:val="left" w:pos="3360"/>
              </w:tabs>
              <w:jc w:val="center"/>
              <w:rPr>
                <w:bCs/>
                <w:szCs w:val="21"/>
              </w:rPr>
            </w:pPr>
            <w:r>
              <w:rPr>
                <w:rFonts w:hint="eastAsia"/>
                <w:bCs/>
                <w:szCs w:val="21"/>
              </w:rPr>
              <w:t>/</w:t>
            </w:r>
          </w:p>
        </w:tc>
        <w:tc>
          <w:tcPr>
            <w:tcW w:w="2414" w:type="dxa"/>
            <w:gridSpan w:val="3"/>
            <w:vAlign w:val="center"/>
          </w:tcPr>
          <w:p w:rsidR="00B9263C" w:rsidRPr="00B9263C" w:rsidRDefault="00B9263C" w:rsidP="00B9263C">
            <w:pPr>
              <w:widowControl/>
              <w:jc w:val="center"/>
              <w:rPr>
                <w:color w:val="000000"/>
                <w:kern w:val="0"/>
                <w:szCs w:val="21"/>
              </w:rPr>
            </w:pPr>
            <w:r>
              <w:rPr>
                <w:rFonts w:hint="eastAsia"/>
                <w:color w:val="000000"/>
                <w:kern w:val="0"/>
                <w:szCs w:val="21"/>
              </w:rPr>
              <w:t>/</w:t>
            </w:r>
          </w:p>
        </w:tc>
        <w:tc>
          <w:tcPr>
            <w:tcW w:w="1133" w:type="dxa"/>
            <w:vAlign w:val="center"/>
          </w:tcPr>
          <w:p w:rsidR="00B9263C" w:rsidRPr="00B9263C" w:rsidRDefault="00CB20B3" w:rsidP="00B9263C">
            <w:pPr>
              <w:widowControl/>
              <w:jc w:val="center"/>
              <w:rPr>
                <w:color w:val="000000"/>
                <w:kern w:val="0"/>
                <w:szCs w:val="21"/>
              </w:rPr>
            </w:pPr>
            <w:r>
              <w:rPr>
                <w:rFonts w:hint="eastAsia"/>
                <w:color w:val="000000"/>
                <w:kern w:val="0"/>
                <w:szCs w:val="21"/>
              </w:rPr>
              <w:t>/</w:t>
            </w:r>
          </w:p>
        </w:tc>
      </w:tr>
      <w:tr w:rsidR="00B9263C" w:rsidRPr="00B9263C" w:rsidTr="00B9263C">
        <w:trPr>
          <w:trHeight w:val="315"/>
          <w:jc w:val="center"/>
        </w:trPr>
        <w:tc>
          <w:tcPr>
            <w:tcW w:w="1472" w:type="dxa"/>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饱和导水率</w:t>
            </w:r>
          </w:p>
        </w:tc>
        <w:tc>
          <w:tcPr>
            <w:tcW w:w="2264" w:type="dxa"/>
            <w:gridSpan w:val="3"/>
            <w:shd w:val="clear" w:color="auto" w:fill="auto"/>
            <w:vAlign w:val="center"/>
          </w:tcPr>
          <w:p w:rsidR="00B9263C" w:rsidRPr="00B9263C" w:rsidRDefault="00B9263C" w:rsidP="00B9263C">
            <w:pPr>
              <w:tabs>
                <w:tab w:val="left" w:pos="3360"/>
              </w:tabs>
              <w:jc w:val="center"/>
              <w:rPr>
                <w:bCs/>
                <w:szCs w:val="21"/>
              </w:rPr>
            </w:pPr>
            <w:r w:rsidRPr="00B9263C">
              <w:rPr>
                <w:rFonts w:hint="eastAsia"/>
                <w:bCs/>
                <w:szCs w:val="21"/>
              </w:rPr>
              <w:t>0.13</w:t>
            </w:r>
          </w:p>
        </w:tc>
        <w:tc>
          <w:tcPr>
            <w:tcW w:w="2268" w:type="dxa"/>
            <w:gridSpan w:val="3"/>
            <w:shd w:val="clear" w:color="auto" w:fill="auto"/>
            <w:vAlign w:val="center"/>
          </w:tcPr>
          <w:p w:rsidR="00B9263C" w:rsidRPr="00B9263C" w:rsidRDefault="00B9263C" w:rsidP="00B9263C">
            <w:pPr>
              <w:tabs>
                <w:tab w:val="left" w:pos="3360"/>
              </w:tabs>
              <w:jc w:val="center"/>
              <w:rPr>
                <w:bCs/>
                <w:szCs w:val="21"/>
              </w:rPr>
            </w:pPr>
            <w:r>
              <w:rPr>
                <w:rFonts w:hint="eastAsia"/>
                <w:bCs/>
                <w:szCs w:val="21"/>
              </w:rPr>
              <w:t>/</w:t>
            </w:r>
          </w:p>
        </w:tc>
        <w:tc>
          <w:tcPr>
            <w:tcW w:w="2414" w:type="dxa"/>
            <w:gridSpan w:val="3"/>
            <w:vAlign w:val="center"/>
          </w:tcPr>
          <w:p w:rsidR="00B9263C" w:rsidRPr="00B9263C" w:rsidRDefault="00B9263C" w:rsidP="00B9263C">
            <w:pPr>
              <w:widowControl/>
              <w:jc w:val="center"/>
              <w:rPr>
                <w:color w:val="000000"/>
                <w:kern w:val="0"/>
                <w:szCs w:val="21"/>
              </w:rPr>
            </w:pPr>
            <w:r>
              <w:rPr>
                <w:rFonts w:hint="eastAsia"/>
                <w:color w:val="000000"/>
                <w:kern w:val="0"/>
                <w:szCs w:val="21"/>
              </w:rPr>
              <w:t>/</w:t>
            </w:r>
          </w:p>
        </w:tc>
        <w:tc>
          <w:tcPr>
            <w:tcW w:w="1133" w:type="dxa"/>
            <w:vAlign w:val="center"/>
          </w:tcPr>
          <w:p w:rsidR="00B9263C" w:rsidRPr="00B9263C" w:rsidRDefault="00CB20B3" w:rsidP="00B9263C">
            <w:pPr>
              <w:widowControl/>
              <w:jc w:val="center"/>
              <w:rPr>
                <w:color w:val="000000"/>
                <w:kern w:val="0"/>
                <w:szCs w:val="21"/>
              </w:rPr>
            </w:pPr>
            <w:r>
              <w:rPr>
                <w:rFonts w:hint="eastAsia"/>
                <w:color w:val="000000"/>
                <w:kern w:val="0"/>
                <w:szCs w:val="21"/>
              </w:rPr>
              <w:t>/</w:t>
            </w:r>
          </w:p>
        </w:tc>
      </w:tr>
      <w:tr w:rsidR="00B9263C" w:rsidRPr="00B9263C" w:rsidTr="00B9263C">
        <w:trPr>
          <w:trHeight w:val="315"/>
          <w:jc w:val="center"/>
        </w:trPr>
        <w:tc>
          <w:tcPr>
            <w:tcW w:w="9551" w:type="dxa"/>
            <w:gridSpan w:val="11"/>
            <w:shd w:val="clear" w:color="auto" w:fill="auto"/>
            <w:vAlign w:val="center"/>
          </w:tcPr>
          <w:p w:rsidR="00B9263C" w:rsidRPr="00B9263C" w:rsidRDefault="00B9263C" w:rsidP="00B9263C">
            <w:pPr>
              <w:contextualSpacing/>
              <w:jc w:val="left"/>
              <w:rPr>
                <w:color w:val="000000"/>
                <w:kern w:val="0"/>
                <w:szCs w:val="21"/>
              </w:rPr>
            </w:pPr>
            <w:r w:rsidRPr="00B9263C">
              <w:rPr>
                <w:rFonts w:hAnsi="宋体"/>
                <w:szCs w:val="21"/>
              </w:rPr>
              <w:t>备注</w:t>
            </w:r>
            <w:r w:rsidRPr="00B9263C">
              <w:rPr>
                <w:rFonts w:hAnsi="宋体" w:hint="eastAsia"/>
                <w:szCs w:val="21"/>
              </w:rPr>
              <w:t>：</w:t>
            </w:r>
            <w:r w:rsidRPr="00B9263C">
              <w:rPr>
                <w:rFonts w:hint="eastAsia"/>
                <w:bCs/>
                <w:szCs w:val="21"/>
              </w:rPr>
              <w:t>阳离子交换量单位</w:t>
            </w:r>
            <w:proofErr w:type="spellStart"/>
            <w:r w:rsidRPr="00B9263C">
              <w:rPr>
                <w:rFonts w:hint="eastAsia"/>
                <w:color w:val="000000"/>
                <w:kern w:val="0"/>
                <w:szCs w:val="21"/>
              </w:rPr>
              <w:t>cmol</w:t>
            </w:r>
            <w:proofErr w:type="spellEnd"/>
            <w:r w:rsidRPr="00B9263C">
              <w:rPr>
                <w:rFonts w:hint="eastAsia"/>
                <w:color w:val="000000"/>
                <w:kern w:val="0"/>
                <w:szCs w:val="21"/>
                <w:vertAlign w:val="superscript"/>
              </w:rPr>
              <w:t>+</w:t>
            </w:r>
            <w:r w:rsidRPr="00B9263C">
              <w:rPr>
                <w:rFonts w:hint="eastAsia"/>
                <w:color w:val="000000"/>
                <w:kern w:val="0"/>
                <w:szCs w:val="21"/>
              </w:rPr>
              <w:t>/kg</w:t>
            </w:r>
            <w:r w:rsidRPr="00B9263C">
              <w:rPr>
                <w:rFonts w:hint="eastAsia"/>
                <w:color w:val="000000"/>
                <w:kern w:val="0"/>
                <w:szCs w:val="21"/>
              </w:rPr>
              <w:t>，</w:t>
            </w:r>
            <w:r w:rsidRPr="00B9263C">
              <w:rPr>
                <w:rFonts w:hint="eastAsia"/>
                <w:bCs/>
                <w:szCs w:val="21"/>
              </w:rPr>
              <w:t>水溶性盐总量单位</w:t>
            </w:r>
            <w:r w:rsidRPr="00B9263C">
              <w:rPr>
                <w:rFonts w:hint="eastAsia"/>
                <w:szCs w:val="21"/>
              </w:rPr>
              <w:t>g/kg</w:t>
            </w:r>
            <w:r w:rsidRPr="00B9263C">
              <w:rPr>
                <w:rFonts w:hint="eastAsia"/>
                <w:szCs w:val="21"/>
              </w:rPr>
              <w:t>，</w:t>
            </w:r>
            <w:r w:rsidRPr="00B9263C">
              <w:rPr>
                <w:rFonts w:hint="eastAsia"/>
                <w:bCs/>
                <w:szCs w:val="21"/>
              </w:rPr>
              <w:t>饱和导水率单位</w:t>
            </w:r>
            <w:r w:rsidRPr="00B9263C">
              <w:rPr>
                <w:bCs/>
                <w:szCs w:val="21"/>
              </w:rPr>
              <w:t>mm/min</w:t>
            </w:r>
            <w:r w:rsidR="00DE787B">
              <w:rPr>
                <w:rFonts w:hint="eastAsia"/>
                <w:bCs/>
                <w:szCs w:val="21"/>
              </w:rPr>
              <w:t>，氧化还原电位单位</w:t>
            </w:r>
            <w:r w:rsidR="00DE787B">
              <w:rPr>
                <w:rFonts w:hint="eastAsia"/>
                <w:bCs/>
                <w:szCs w:val="21"/>
              </w:rPr>
              <w:t>mV</w:t>
            </w:r>
            <w:r w:rsidRPr="00B9263C">
              <w:rPr>
                <w:rFonts w:hint="eastAsia"/>
                <w:bCs/>
                <w:szCs w:val="21"/>
              </w:rPr>
              <w:t>；</w:t>
            </w:r>
            <w:r w:rsidRPr="00B9263C">
              <w:rPr>
                <w:rFonts w:hint="eastAsia"/>
                <w:szCs w:val="21"/>
              </w:rPr>
              <w:t>其他指标</w:t>
            </w:r>
            <w:r w:rsidRPr="00B9263C">
              <w:rPr>
                <w:szCs w:val="21"/>
              </w:rPr>
              <w:t>单位</w:t>
            </w:r>
            <w:r w:rsidRPr="00B9263C">
              <w:rPr>
                <w:snapToGrid w:val="0"/>
                <w:szCs w:val="21"/>
              </w:rPr>
              <w:t>mg/kg</w:t>
            </w:r>
            <w:r w:rsidRPr="00B9263C">
              <w:rPr>
                <w:rFonts w:hAnsi="宋体"/>
                <w:snapToGrid w:val="0"/>
                <w:szCs w:val="21"/>
              </w:rPr>
              <w:t>，</w:t>
            </w:r>
            <w:r w:rsidRPr="00B9263C">
              <w:rPr>
                <w:snapToGrid w:val="0"/>
                <w:szCs w:val="21"/>
              </w:rPr>
              <w:t>pH</w:t>
            </w:r>
            <w:r w:rsidRPr="00B9263C">
              <w:rPr>
                <w:rFonts w:hAnsi="宋体"/>
                <w:snapToGrid w:val="0"/>
                <w:szCs w:val="21"/>
              </w:rPr>
              <w:t>除外</w:t>
            </w:r>
          </w:p>
        </w:tc>
      </w:tr>
    </w:tbl>
    <w:p w:rsidR="007A58F6" w:rsidRDefault="004656C0" w:rsidP="004656C0">
      <w:pPr>
        <w:tabs>
          <w:tab w:val="left" w:pos="2552"/>
          <w:tab w:val="left" w:pos="5387"/>
        </w:tabs>
        <w:adjustRightInd w:val="0"/>
        <w:spacing w:line="360" w:lineRule="auto"/>
        <w:ind w:firstLineChars="200" w:firstLine="480"/>
        <w:rPr>
          <w:sz w:val="24"/>
        </w:rPr>
        <w:sectPr w:rsidR="007A58F6">
          <w:pgSz w:w="11907" w:h="16840"/>
          <w:pgMar w:top="1440" w:right="1701" w:bottom="1440" w:left="1701" w:header="851" w:footer="992" w:gutter="0"/>
          <w:cols w:space="425"/>
          <w:docGrid w:linePitch="312"/>
        </w:sectPr>
      </w:pPr>
      <w:r w:rsidRPr="00925B84">
        <w:rPr>
          <w:sz w:val="24"/>
        </w:rPr>
        <w:t>。</w:t>
      </w:r>
    </w:p>
    <w:p w:rsidR="004656C0" w:rsidRPr="00925B84" w:rsidRDefault="004656C0" w:rsidP="004656C0">
      <w:pPr>
        <w:tabs>
          <w:tab w:val="left" w:pos="2552"/>
          <w:tab w:val="left" w:pos="5387"/>
        </w:tabs>
        <w:adjustRightInd w:val="0"/>
        <w:spacing w:line="360" w:lineRule="auto"/>
        <w:ind w:firstLineChars="200" w:firstLine="480"/>
        <w:rPr>
          <w:sz w:val="24"/>
        </w:rPr>
      </w:pPr>
    </w:p>
    <w:p w:rsidR="00C223F5" w:rsidRPr="004656C0" w:rsidRDefault="00C223F5">
      <w:pPr>
        <w:tabs>
          <w:tab w:val="left" w:pos="2552"/>
          <w:tab w:val="left" w:pos="5387"/>
        </w:tabs>
        <w:adjustRightInd w:val="0"/>
        <w:spacing w:line="360" w:lineRule="auto"/>
        <w:ind w:firstLineChars="200" w:firstLine="480"/>
        <w:rPr>
          <w:color w:val="000000"/>
          <w:sz w:val="24"/>
        </w:rPr>
      </w:pPr>
    </w:p>
    <w:p w:rsidR="00C223F5" w:rsidRDefault="00C223F5">
      <w:pPr>
        <w:spacing w:line="360" w:lineRule="auto"/>
        <w:ind w:firstLineChars="200" w:firstLine="480"/>
        <w:rPr>
          <w:color w:val="FF0000"/>
          <w:sz w:val="24"/>
        </w:rPr>
        <w:sectPr w:rsidR="00C223F5">
          <w:pgSz w:w="11907" w:h="16840"/>
          <w:pgMar w:top="1440" w:right="1701" w:bottom="1440" w:left="1701" w:header="851" w:footer="992" w:gutter="0"/>
          <w:cols w:space="425"/>
          <w:docGrid w:linePitch="312"/>
        </w:sectPr>
      </w:pPr>
    </w:p>
    <w:p w:rsidR="00C223F5" w:rsidRDefault="005860D5" w:rsidP="004835BD">
      <w:pPr>
        <w:pStyle w:val="1"/>
        <w:numPr>
          <w:ilvl w:val="0"/>
          <w:numId w:val="0"/>
        </w:numPr>
        <w:spacing w:before="0" w:after="0" w:line="360" w:lineRule="auto"/>
      </w:pPr>
      <w:bookmarkStart w:id="332" w:name="_Toc488660695"/>
      <w:bookmarkStart w:id="333" w:name="_Toc533604322"/>
      <w:bookmarkStart w:id="334" w:name="_Toc533604742"/>
      <w:bookmarkStart w:id="335" w:name="_Toc16785287"/>
      <w:r>
        <w:rPr>
          <w:rFonts w:hint="eastAsia"/>
        </w:rPr>
        <w:lastRenderedPageBreak/>
        <w:t>4</w:t>
      </w:r>
      <w:r>
        <w:rPr>
          <w:rFonts w:hint="eastAsia"/>
        </w:rPr>
        <w:t>、环境影响预测与评价</w:t>
      </w:r>
      <w:bookmarkEnd w:id="332"/>
      <w:bookmarkEnd w:id="333"/>
      <w:bookmarkEnd w:id="334"/>
      <w:bookmarkEnd w:id="335"/>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336" w:name="_Toc533604323"/>
      <w:bookmarkStart w:id="337" w:name="_Toc533604743"/>
      <w:bookmarkStart w:id="338" w:name="_Toc16785288"/>
      <w:r>
        <w:rPr>
          <w:rFonts w:ascii="Times New Roman" w:eastAsia="宋体" w:hAnsi="Times New Roman" w:hint="eastAsia"/>
          <w:b/>
          <w:bCs w:val="0"/>
          <w:szCs w:val="30"/>
        </w:rPr>
        <w:t>4.1</w:t>
      </w:r>
      <w:r>
        <w:rPr>
          <w:rFonts w:ascii="Times New Roman" w:eastAsia="宋体" w:hAnsi="Times New Roman" w:hint="eastAsia"/>
          <w:b/>
          <w:bCs w:val="0"/>
          <w:szCs w:val="30"/>
        </w:rPr>
        <w:t>建设期环境影响分析</w:t>
      </w:r>
      <w:bookmarkEnd w:id="336"/>
      <w:bookmarkEnd w:id="337"/>
      <w:bookmarkEnd w:id="338"/>
    </w:p>
    <w:p w:rsidR="00C223F5" w:rsidRDefault="005860D5">
      <w:pPr>
        <w:spacing w:line="360" w:lineRule="auto"/>
        <w:ind w:firstLineChars="200" w:firstLine="480"/>
        <w:rPr>
          <w:sz w:val="24"/>
        </w:rPr>
      </w:pPr>
      <w:r>
        <w:rPr>
          <w:rFonts w:hint="eastAsia"/>
          <w:sz w:val="24"/>
        </w:rPr>
        <w:t>本次整合工程在原天云煤矿工业场地基础进行改扩建，</w:t>
      </w:r>
      <w:r w:rsidRPr="00763C06">
        <w:rPr>
          <w:rFonts w:hint="eastAsia"/>
          <w:color w:val="FF0000"/>
          <w:sz w:val="24"/>
        </w:rPr>
        <w:t>原场地内</w:t>
      </w:r>
      <w:r w:rsidR="00763C06" w:rsidRPr="00763C06">
        <w:rPr>
          <w:rFonts w:hint="eastAsia"/>
          <w:color w:val="FF0000"/>
          <w:sz w:val="24"/>
        </w:rPr>
        <w:t>除原有两个立井保留外，其他</w:t>
      </w:r>
      <w:r w:rsidRPr="00763C06">
        <w:rPr>
          <w:rFonts w:hint="eastAsia"/>
          <w:color w:val="FF0000"/>
          <w:sz w:val="24"/>
        </w:rPr>
        <w:t>建构筑物全部拆除，重新布置建设。</w:t>
      </w:r>
      <w:r>
        <w:rPr>
          <w:rFonts w:hint="eastAsia"/>
          <w:sz w:val="24"/>
        </w:rPr>
        <w:t>建设期工程内容包括主、副斜井及部分井巷工程，地面选煤厂、</w:t>
      </w:r>
      <w:r>
        <w:rPr>
          <w:sz w:val="24"/>
        </w:rPr>
        <w:t>设备中转材料库联合建筑</w:t>
      </w:r>
      <w:r>
        <w:rPr>
          <w:rFonts w:hint="eastAsia"/>
          <w:sz w:val="24"/>
        </w:rPr>
        <w:t>等辅助工程、乏风热泵机房等公用工程，水处理间等环保工程。</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339" w:name="_Toc488660697"/>
      <w:bookmarkStart w:id="340" w:name="_Toc533604744"/>
      <w:bookmarkStart w:id="341" w:name="_Toc533604324"/>
      <w:bookmarkStart w:id="342" w:name="_Toc16785289"/>
      <w:bookmarkStart w:id="343" w:name="_Toc488660696"/>
      <w:r>
        <w:rPr>
          <w:rFonts w:eastAsia="宋体" w:hint="eastAsia"/>
          <w:b/>
          <w:bCs w:val="0"/>
          <w:sz w:val="28"/>
          <w:szCs w:val="28"/>
        </w:rPr>
        <w:t>4.1.1</w:t>
      </w:r>
      <w:r>
        <w:rPr>
          <w:rFonts w:eastAsia="宋体" w:hint="eastAsia"/>
          <w:b/>
          <w:bCs w:val="0"/>
          <w:sz w:val="28"/>
          <w:szCs w:val="28"/>
        </w:rPr>
        <w:t>建设期生态环境影响分析</w:t>
      </w:r>
      <w:bookmarkEnd w:id="339"/>
      <w:r>
        <w:rPr>
          <w:rFonts w:eastAsia="宋体" w:hint="eastAsia"/>
          <w:b/>
          <w:bCs w:val="0"/>
          <w:sz w:val="28"/>
          <w:szCs w:val="28"/>
        </w:rPr>
        <w:t>与防治措施</w:t>
      </w:r>
      <w:bookmarkEnd w:id="340"/>
      <w:bookmarkEnd w:id="341"/>
      <w:bookmarkEnd w:id="342"/>
    </w:p>
    <w:p w:rsidR="00C223F5" w:rsidRDefault="005860D5">
      <w:pPr>
        <w:spacing w:line="360" w:lineRule="auto"/>
        <w:ind w:firstLineChars="200" w:firstLine="480"/>
        <w:rPr>
          <w:sz w:val="24"/>
        </w:rPr>
      </w:pPr>
      <w:r>
        <w:rPr>
          <w:rFonts w:hint="eastAsia"/>
          <w:sz w:val="24"/>
        </w:rPr>
        <w:t>项目建设期生态环境影响因素主要包括工业场地和道路的土地压占与开挖，土地压占与开挖会破坏地表植被，改变地表形态和生态景观，还将改变土地利用类型，造成土地利用结构和功能的变化，同时增加水土流失。</w:t>
      </w:r>
    </w:p>
    <w:p w:rsidR="00C223F5" w:rsidRPr="00927E76" w:rsidRDefault="005860D5">
      <w:pPr>
        <w:spacing w:line="360" w:lineRule="auto"/>
        <w:ind w:firstLineChars="200" w:firstLine="480"/>
        <w:rPr>
          <w:sz w:val="24"/>
        </w:rPr>
      </w:pPr>
      <w:r>
        <w:rPr>
          <w:rFonts w:hint="eastAsia"/>
          <w:sz w:val="24"/>
        </w:rPr>
        <w:t>本项目建设区</w:t>
      </w:r>
      <w:r>
        <w:rPr>
          <w:sz w:val="24"/>
        </w:rPr>
        <w:t>主要</w:t>
      </w:r>
      <w:r>
        <w:rPr>
          <w:rFonts w:hint="eastAsia"/>
          <w:sz w:val="24"/>
        </w:rPr>
        <w:t>由</w:t>
      </w:r>
      <w:r>
        <w:rPr>
          <w:sz w:val="24"/>
        </w:rPr>
        <w:t>工业场地、</w:t>
      </w:r>
      <w:r>
        <w:rPr>
          <w:rFonts w:hint="eastAsia"/>
          <w:sz w:val="24"/>
        </w:rPr>
        <w:t>炸药库</w:t>
      </w:r>
      <w:r>
        <w:rPr>
          <w:sz w:val="24"/>
        </w:rPr>
        <w:t>、场外道路、</w:t>
      </w:r>
      <w:r>
        <w:rPr>
          <w:rFonts w:hint="eastAsia"/>
          <w:sz w:val="24"/>
        </w:rPr>
        <w:t>输电通信线路</w:t>
      </w:r>
      <w:r>
        <w:rPr>
          <w:sz w:val="24"/>
        </w:rPr>
        <w:t>等</w:t>
      </w:r>
      <w:r>
        <w:rPr>
          <w:rFonts w:hint="eastAsia"/>
          <w:sz w:val="24"/>
        </w:rPr>
        <w:t>四</w:t>
      </w:r>
      <w:r>
        <w:rPr>
          <w:sz w:val="24"/>
        </w:rPr>
        <w:t>部分组成，工程总</w:t>
      </w:r>
      <w:r>
        <w:rPr>
          <w:rFonts w:hint="eastAsia"/>
          <w:sz w:val="24"/>
        </w:rPr>
        <w:t>永久</w:t>
      </w:r>
      <w:r>
        <w:rPr>
          <w:sz w:val="24"/>
        </w:rPr>
        <w:t>占</w:t>
      </w:r>
      <w:r w:rsidRPr="00927E76">
        <w:rPr>
          <w:sz w:val="24"/>
        </w:rPr>
        <w:t>地</w:t>
      </w:r>
      <w:r w:rsidRPr="00927E76">
        <w:rPr>
          <w:rFonts w:hint="eastAsia"/>
          <w:sz w:val="24"/>
        </w:rPr>
        <w:t>8.23</w:t>
      </w:r>
      <w:r w:rsidRPr="00927E76">
        <w:rPr>
          <w:sz w:val="24"/>
        </w:rPr>
        <w:t>hm</w:t>
      </w:r>
      <w:r w:rsidRPr="00927E76">
        <w:rPr>
          <w:sz w:val="24"/>
          <w:vertAlign w:val="superscript"/>
        </w:rPr>
        <w:t>2</w:t>
      </w:r>
      <w:r w:rsidRPr="00927E76">
        <w:rPr>
          <w:sz w:val="24"/>
        </w:rPr>
        <w:t>，临时占地</w:t>
      </w:r>
      <w:r w:rsidRPr="00927E76">
        <w:rPr>
          <w:rFonts w:hint="eastAsia"/>
          <w:sz w:val="24"/>
        </w:rPr>
        <w:t>3.28</w:t>
      </w:r>
      <w:r w:rsidRPr="00927E76">
        <w:rPr>
          <w:sz w:val="24"/>
        </w:rPr>
        <w:t>hm</w:t>
      </w:r>
      <w:r w:rsidRPr="00927E76">
        <w:rPr>
          <w:sz w:val="24"/>
          <w:vertAlign w:val="superscript"/>
        </w:rPr>
        <w:t>2</w:t>
      </w:r>
      <w:r w:rsidRPr="00927E76">
        <w:rPr>
          <w:sz w:val="24"/>
        </w:rPr>
        <w:t>。</w:t>
      </w:r>
    </w:p>
    <w:p w:rsidR="00C223F5" w:rsidRPr="00927E76" w:rsidRDefault="005860D5">
      <w:pPr>
        <w:spacing w:line="360" w:lineRule="auto"/>
        <w:ind w:firstLineChars="200" w:firstLine="480"/>
        <w:rPr>
          <w:sz w:val="24"/>
        </w:rPr>
      </w:pPr>
      <w:r w:rsidRPr="00927E76">
        <w:rPr>
          <w:sz w:val="24"/>
        </w:rPr>
        <w:t>（</w:t>
      </w:r>
      <w:r w:rsidRPr="00927E76">
        <w:rPr>
          <w:rFonts w:hint="eastAsia"/>
          <w:sz w:val="24"/>
        </w:rPr>
        <w:t>一</w:t>
      </w:r>
      <w:r w:rsidRPr="00927E76">
        <w:rPr>
          <w:sz w:val="24"/>
        </w:rPr>
        <w:t>）占地引起的生态环境影响分析</w:t>
      </w:r>
    </w:p>
    <w:p w:rsidR="00C223F5" w:rsidRPr="00927E76" w:rsidRDefault="005860D5">
      <w:pPr>
        <w:spacing w:line="360" w:lineRule="auto"/>
        <w:ind w:firstLineChars="200" w:firstLine="480"/>
        <w:rPr>
          <w:sz w:val="24"/>
        </w:rPr>
      </w:pPr>
      <w:r w:rsidRPr="00927E76">
        <w:rPr>
          <w:sz w:val="24"/>
        </w:rPr>
        <w:t>占地可分为施工占地和工程占地。施工占地基本上属临时占地，影响是短期的可以恢复的；工程占地影响是长期的，其中建、构筑物道路等占地是不能恢复的。</w:t>
      </w:r>
      <w:r w:rsidRPr="00927E76">
        <w:rPr>
          <w:rFonts w:hint="eastAsia"/>
          <w:sz w:val="24"/>
        </w:rPr>
        <w:t>天云</w:t>
      </w:r>
      <w:r w:rsidRPr="00927E76">
        <w:rPr>
          <w:sz w:val="24"/>
        </w:rPr>
        <w:t>煤矿总占地面积</w:t>
      </w:r>
      <w:r w:rsidRPr="00927E76">
        <w:rPr>
          <w:rFonts w:hint="eastAsia"/>
          <w:sz w:val="24"/>
        </w:rPr>
        <w:t>11.51</w:t>
      </w:r>
      <w:r w:rsidRPr="00927E76">
        <w:rPr>
          <w:sz w:val="24"/>
        </w:rPr>
        <w:t>hm</w:t>
      </w:r>
      <w:r w:rsidRPr="00927E76">
        <w:rPr>
          <w:sz w:val="24"/>
          <w:vertAlign w:val="superscript"/>
        </w:rPr>
        <w:t>2</w:t>
      </w:r>
      <w:r w:rsidRPr="00927E76">
        <w:rPr>
          <w:rFonts w:hint="eastAsia"/>
          <w:sz w:val="24"/>
        </w:rPr>
        <w:t>，工业场地新增永久占地面积</w:t>
      </w:r>
      <w:r w:rsidR="00543F1C" w:rsidRPr="00927E76">
        <w:rPr>
          <w:rFonts w:hint="eastAsia"/>
          <w:sz w:val="24"/>
        </w:rPr>
        <w:t>3.62</w:t>
      </w:r>
      <w:r w:rsidRPr="00927E76">
        <w:rPr>
          <w:sz w:val="24"/>
        </w:rPr>
        <w:t>hm</w:t>
      </w:r>
      <w:r w:rsidRPr="00927E76">
        <w:rPr>
          <w:sz w:val="24"/>
          <w:vertAlign w:val="superscript"/>
        </w:rPr>
        <w:t>2</w:t>
      </w:r>
      <w:r w:rsidRPr="00927E76">
        <w:rPr>
          <w:sz w:val="24"/>
        </w:rPr>
        <w:t>，占地类型主要为天然牧草地</w:t>
      </w:r>
      <w:r w:rsidRPr="00927E76">
        <w:rPr>
          <w:rFonts w:hint="eastAsia"/>
          <w:sz w:val="24"/>
        </w:rPr>
        <w:t>和</w:t>
      </w:r>
      <w:r w:rsidRPr="00927E76">
        <w:rPr>
          <w:sz w:val="24"/>
        </w:rPr>
        <w:t>灌林地。</w:t>
      </w:r>
    </w:p>
    <w:p w:rsidR="00C223F5" w:rsidRDefault="005860D5">
      <w:pPr>
        <w:spacing w:line="360" w:lineRule="auto"/>
        <w:ind w:firstLineChars="200" w:firstLine="480"/>
        <w:rPr>
          <w:color w:val="000000"/>
          <w:sz w:val="24"/>
        </w:rPr>
      </w:pPr>
      <w:r w:rsidRPr="00927E76">
        <w:rPr>
          <w:sz w:val="24"/>
        </w:rPr>
        <w:t>由于该项目场地</w:t>
      </w:r>
      <w:r w:rsidRPr="00927E76">
        <w:rPr>
          <w:rFonts w:hint="eastAsia"/>
          <w:sz w:val="24"/>
        </w:rPr>
        <w:t>在原有基础上改扩建，</w:t>
      </w:r>
      <w:r w:rsidRPr="00927E76">
        <w:rPr>
          <w:sz w:val="24"/>
        </w:rPr>
        <w:t>需要新建地面建筑及生产系统，施工中场地的开挖会对原有植被（乔木、灌木、农业植被、草丛等）造成破坏，对于永久性的工程占地不会再恢复，而临时性的施工占地，会随着工程的结束逐步恢复。所以施工中对能保留的植被应尽量保留，对不能保留的地段，施工后期或结束后，对能恢复的地段应及时恢复，尽</w:t>
      </w:r>
      <w:r>
        <w:rPr>
          <w:color w:val="000000"/>
          <w:sz w:val="24"/>
        </w:rPr>
        <w:t>量减少绿地面积的破坏和减少，同时对场地分片进行恢复，包括地面硬化及绿化，随着这些措施的逐渐显效，不利影响会趋于减弱。</w:t>
      </w:r>
    </w:p>
    <w:p w:rsidR="00C223F5" w:rsidRDefault="005860D5">
      <w:pPr>
        <w:spacing w:line="360" w:lineRule="auto"/>
        <w:ind w:firstLineChars="200" w:firstLine="480"/>
        <w:rPr>
          <w:color w:val="000000"/>
          <w:sz w:val="24"/>
        </w:rPr>
      </w:pPr>
      <w:r>
        <w:rPr>
          <w:color w:val="000000"/>
          <w:sz w:val="24"/>
        </w:rPr>
        <w:t>对于临时占地区域，施工结束后应及时进行生态恢复，原则上恢复为原有土地利用类型，旱地恢复为原有耕地类型，对于乔木林地、灌木林地、天然牧草地和其它草地，恢复时根据林地用地情况，采取灌草或乔灌草结合方式，乔木可选择小叶杨、旱柳，灌木选择沙柳、油蒿、柠条，草种可选择长芒草、狗尾草、苜蓿、沙蒿等。</w:t>
      </w:r>
    </w:p>
    <w:p w:rsidR="00C223F5" w:rsidRDefault="005860D5">
      <w:pPr>
        <w:spacing w:line="360" w:lineRule="auto"/>
        <w:ind w:firstLineChars="200" w:firstLine="480"/>
        <w:rPr>
          <w:color w:val="000000"/>
          <w:sz w:val="24"/>
        </w:rPr>
      </w:pPr>
      <w:r>
        <w:rPr>
          <w:color w:val="000000"/>
          <w:sz w:val="24"/>
        </w:rPr>
        <w:lastRenderedPageBreak/>
        <w:t>（</w:t>
      </w:r>
      <w:r>
        <w:rPr>
          <w:rFonts w:hint="eastAsia"/>
          <w:color w:val="000000"/>
          <w:sz w:val="24"/>
        </w:rPr>
        <w:t>二</w:t>
      </w:r>
      <w:r>
        <w:rPr>
          <w:color w:val="000000"/>
          <w:sz w:val="24"/>
        </w:rPr>
        <w:t>）水土流失引起的生态环境影响分析</w:t>
      </w:r>
    </w:p>
    <w:p w:rsidR="00C223F5" w:rsidRDefault="005860D5">
      <w:pPr>
        <w:spacing w:line="360" w:lineRule="auto"/>
        <w:ind w:firstLineChars="200" w:firstLine="480"/>
        <w:rPr>
          <w:color w:val="000000"/>
          <w:sz w:val="24"/>
        </w:rPr>
      </w:pPr>
      <w:r>
        <w:rPr>
          <w:color w:val="000000"/>
          <w:sz w:val="24"/>
        </w:rPr>
        <w:t>矿井建设期井巷掘进和各种专用堆存场地都需要大面积整平或处理，扰动原地貌植被，从而使原来地表结构及植被完全遭到破坏，将导致受影响的地表表土的抗蚀指数降低、抗蚀能力减弱，使局部地段产生水土流失现象，带来不利的生态环境影响。建设期排放的矸石、土渣等固体废弃物将占压土地，再塑了微地形，形成裸露的松散堆积物堆垫地貌，易造成水土流失。</w:t>
      </w:r>
    </w:p>
    <w:p w:rsidR="00C223F5" w:rsidRDefault="005860D5">
      <w:pPr>
        <w:topLinePunct/>
        <w:spacing w:line="360" w:lineRule="auto"/>
        <w:ind w:firstLineChars="200" w:firstLine="480"/>
        <w:rPr>
          <w:color w:val="000000"/>
          <w:sz w:val="24"/>
        </w:rPr>
      </w:pPr>
      <w:r>
        <w:rPr>
          <w:color w:val="000000"/>
          <w:sz w:val="24"/>
        </w:rPr>
        <w:t>若施工期处于雨季等不利气象条件下，大量土方堆置，经雨水冲刷也会加剧局部地段水土流失现象。</w:t>
      </w:r>
      <w:r>
        <w:rPr>
          <w:rFonts w:hint="eastAsia"/>
          <w:color w:val="000000"/>
          <w:sz w:val="24"/>
        </w:rPr>
        <w:t>经预测，本项目建设过程中</w:t>
      </w:r>
      <w:r>
        <w:rPr>
          <w:color w:val="000000"/>
          <w:sz w:val="24"/>
        </w:rPr>
        <w:t>水土流失总量为</w:t>
      </w:r>
      <w:r>
        <w:rPr>
          <w:color w:val="000000"/>
          <w:sz w:val="24"/>
        </w:rPr>
        <w:t>6894t</w:t>
      </w:r>
      <w:r>
        <w:rPr>
          <w:color w:val="000000"/>
          <w:sz w:val="24"/>
        </w:rPr>
        <w:t>，背景流失量为</w:t>
      </w:r>
      <w:r>
        <w:rPr>
          <w:color w:val="000000"/>
          <w:sz w:val="24"/>
        </w:rPr>
        <w:t>3811t</w:t>
      </w:r>
      <w:r>
        <w:rPr>
          <w:color w:val="000000"/>
          <w:sz w:val="24"/>
        </w:rPr>
        <w:t>，新增水土流失量为</w:t>
      </w:r>
      <w:r>
        <w:rPr>
          <w:color w:val="000000"/>
          <w:sz w:val="24"/>
        </w:rPr>
        <w:t>3083t</w:t>
      </w:r>
      <w:r>
        <w:rPr>
          <w:rFonts w:hint="eastAsia"/>
          <w:color w:val="000000"/>
          <w:sz w:val="24"/>
        </w:rPr>
        <w:t>；施工准备期</w:t>
      </w:r>
      <w:r>
        <w:rPr>
          <w:color w:val="000000"/>
          <w:sz w:val="24"/>
        </w:rPr>
        <w:t>水土流失量为</w:t>
      </w:r>
      <w:r>
        <w:rPr>
          <w:color w:val="000000"/>
          <w:sz w:val="24"/>
        </w:rPr>
        <w:t>1863t</w:t>
      </w:r>
      <w:r>
        <w:rPr>
          <w:color w:val="000000"/>
          <w:sz w:val="24"/>
        </w:rPr>
        <w:t>，</w:t>
      </w:r>
      <w:r>
        <w:rPr>
          <w:rFonts w:hint="eastAsia"/>
          <w:color w:val="000000"/>
          <w:sz w:val="24"/>
        </w:rPr>
        <w:t>施工期</w:t>
      </w:r>
      <w:r>
        <w:rPr>
          <w:color w:val="000000"/>
          <w:sz w:val="24"/>
        </w:rPr>
        <w:t>水土流失量为</w:t>
      </w:r>
      <w:r>
        <w:rPr>
          <w:color w:val="000000"/>
          <w:sz w:val="24"/>
        </w:rPr>
        <w:t>3305t</w:t>
      </w:r>
      <w:r>
        <w:rPr>
          <w:color w:val="000000"/>
          <w:sz w:val="24"/>
        </w:rPr>
        <w:t>，</w:t>
      </w:r>
      <w:r>
        <w:rPr>
          <w:rFonts w:hint="eastAsia"/>
          <w:color w:val="000000"/>
          <w:sz w:val="24"/>
        </w:rPr>
        <w:t>自然恢复期</w:t>
      </w:r>
      <w:r>
        <w:rPr>
          <w:color w:val="000000"/>
          <w:sz w:val="24"/>
        </w:rPr>
        <w:t>水土流失量为</w:t>
      </w:r>
      <w:r>
        <w:rPr>
          <w:color w:val="000000"/>
          <w:sz w:val="24"/>
        </w:rPr>
        <w:t>1726t</w:t>
      </w:r>
      <w:r>
        <w:rPr>
          <w:color w:val="000000"/>
          <w:sz w:val="24"/>
        </w:rPr>
        <w:t>。</w:t>
      </w:r>
    </w:p>
    <w:p w:rsidR="00C223F5" w:rsidRDefault="005860D5">
      <w:pPr>
        <w:spacing w:line="360" w:lineRule="auto"/>
        <w:ind w:firstLineChars="200" w:firstLine="480"/>
        <w:rPr>
          <w:color w:val="000000"/>
          <w:sz w:val="24"/>
        </w:rPr>
      </w:pPr>
      <w:bookmarkStart w:id="344" w:name="_Toc329250556"/>
      <w:bookmarkStart w:id="345" w:name="_Toc528160974"/>
      <w:bookmarkStart w:id="346" w:name="_Toc482020946"/>
      <w:bookmarkStart w:id="347" w:name="_Toc329090616"/>
      <w:bookmarkStart w:id="348" w:name="_Toc482606746"/>
      <w:r>
        <w:rPr>
          <w:rFonts w:hint="eastAsia"/>
          <w:color w:val="000000"/>
          <w:sz w:val="24"/>
        </w:rPr>
        <w:t>（三）建设期</w:t>
      </w:r>
      <w:r>
        <w:rPr>
          <w:color w:val="000000"/>
          <w:sz w:val="24"/>
        </w:rPr>
        <w:t>生态环境保护措施</w:t>
      </w:r>
      <w:bookmarkEnd w:id="344"/>
      <w:bookmarkEnd w:id="345"/>
      <w:bookmarkEnd w:id="346"/>
      <w:bookmarkEnd w:id="347"/>
      <w:bookmarkEnd w:id="348"/>
    </w:p>
    <w:p w:rsidR="00C223F5" w:rsidRDefault="005860D5">
      <w:pPr>
        <w:spacing w:line="360" w:lineRule="auto"/>
        <w:ind w:firstLineChars="200" w:firstLine="480"/>
        <w:rPr>
          <w:color w:val="000000"/>
          <w:sz w:val="24"/>
        </w:rPr>
      </w:pPr>
      <w:r>
        <w:rPr>
          <w:color w:val="000000"/>
          <w:sz w:val="24"/>
        </w:rPr>
        <w:t>（</w:t>
      </w:r>
      <w:r>
        <w:rPr>
          <w:color w:val="000000"/>
          <w:sz w:val="24"/>
        </w:rPr>
        <w:t>1</w:t>
      </w:r>
      <w:r>
        <w:rPr>
          <w:color w:val="000000"/>
          <w:sz w:val="24"/>
        </w:rPr>
        <w:t>）项目建设施工区域一定范围内的植被会遭到不同程度的破坏。为了补偿项目建设的植被损失，矿井在建设初期将绿化设计与工业场地美化相结合，选择适应本地区气候特点的耐干旱、防风能力强的树种，采用草灌乔植物相搭配的方式对工业场地、道路两侧等处进行绿化美化。</w:t>
      </w:r>
    </w:p>
    <w:p w:rsidR="00C223F5" w:rsidRDefault="005860D5">
      <w:pPr>
        <w:spacing w:line="360" w:lineRule="auto"/>
        <w:ind w:firstLineChars="200" w:firstLine="480"/>
        <w:rPr>
          <w:color w:val="000000"/>
          <w:sz w:val="24"/>
        </w:rPr>
      </w:pPr>
      <w:r>
        <w:rPr>
          <w:color w:val="000000"/>
          <w:sz w:val="24"/>
        </w:rPr>
        <w:t>（</w:t>
      </w:r>
      <w:r>
        <w:rPr>
          <w:color w:val="000000"/>
          <w:sz w:val="24"/>
        </w:rPr>
        <w:t>2</w:t>
      </w:r>
      <w:r>
        <w:rPr>
          <w:color w:val="000000"/>
          <w:sz w:val="24"/>
        </w:rPr>
        <w:t>）土壤与植被的保护与恢复措施</w:t>
      </w:r>
    </w:p>
    <w:p w:rsidR="00C223F5" w:rsidRDefault="005860D5">
      <w:pPr>
        <w:spacing w:line="360" w:lineRule="auto"/>
        <w:ind w:firstLineChars="200" w:firstLine="480"/>
        <w:rPr>
          <w:color w:val="000000"/>
          <w:sz w:val="24"/>
        </w:rPr>
      </w:pPr>
      <w:r>
        <w:rPr>
          <w:rFonts w:ascii="宋体" w:hAnsi="宋体" w:cs="宋体" w:hint="eastAsia"/>
          <w:color w:val="000000"/>
          <w:sz w:val="24"/>
        </w:rPr>
        <w:t>①</w:t>
      </w:r>
      <w:r>
        <w:rPr>
          <w:color w:val="000000"/>
          <w:sz w:val="24"/>
        </w:rPr>
        <w:t>项目施工过程中应加强管理，贯彻落实</w:t>
      </w:r>
      <w:r>
        <w:rPr>
          <w:color w:val="000000"/>
          <w:sz w:val="24"/>
        </w:rPr>
        <w:t>“</w:t>
      </w:r>
      <w:r>
        <w:rPr>
          <w:color w:val="000000"/>
          <w:sz w:val="24"/>
        </w:rPr>
        <w:t>尽量少占地、少破坏植被</w:t>
      </w:r>
      <w:r>
        <w:rPr>
          <w:color w:val="000000"/>
          <w:sz w:val="24"/>
        </w:rPr>
        <w:t>”</w:t>
      </w:r>
      <w:r>
        <w:rPr>
          <w:color w:val="000000"/>
          <w:sz w:val="24"/>
        </w:rPr>
        <w:t>的原则，将临时占地面积控制在最低限度。</w:t>
      </w:r>
    </w:p>
    <w:p w:rsidR="00C223F5" w:rsidRDefault="005860D5">
      <w:pPr>
        <w:spacing w:line="360" w:lineRule="auto"/>
        <w:ind w:firstLineChars="200" w:firstLine="480"/>
        <w:rPr>
          <w:color w:val="000000"/>
          <w:sz w:val="24"/>
        </w:rPr>
      </w:pPr>
      <w:r>
        <w:rPr>
          <w:rFonts w:ascii="宋体" w:hAnsi="宋体" w:cs="宋体" w:hint="eastAsia"/>
          <w:color w:val="000000"/>
          <w:sz w:val="24"/>
        </w:rPr>
        <w:t>②</w:t>
      </w:r>
      <w:r>
        <w:rPr>
          <w:color w:val="000000"/>
          <w:sz w:val="24"/>
        </w:rPr>
        <w:t>对于临时占地，竣工后要及时进行土地平整、耕翻疏松，恢复土地原有使用功能。妥善处理施工期产生的各类废物、生活垃圾等，不得随意弃置。施工结束后，要进行现场清理、采取恢复措施。</w:t>
      </w:r>
    </w:p>
    <w:p w:rsidR="00C223F5" w:rsidRDefault="005860D5">
      <w:pPr>
        <w:spacing w:line="360" w:lineRule="auto"/>
        <w:ind w:firstLineChars="200" w:firstLine="480"/>
        <w:rPr>
          <w:color w:val="000000"/>
          <w:sz w:val="24"/>
        </w:rPr>
      </w:pPr>
      <w:r>
        <w:rPr>
          <w:rFonts w:ascii="宋体" w:hAnsi="宋体" w:cs="宋体" w:hint="eastAsia"/>
          <w:color w:val="000000"/>
          <w:sz w:val="24"/>
        </w:rPr>
        <w:t>③</w:t>
      </w:r>
      <w:r>
        <w:rPr>
          <w:color w:val="000000"/>
          <w:sz w:val="24"/>
        </w:rPr>
        <w:t>工业场地生产、生活设施建设完成后，应根据工业场地布局对其周围进行绿化、美化。</w:t>
      </w:r>
    </w:p>
    <w:p w:rsidR="00C223F5" w:rsidRDefault="005860D5">
      <w:pPr>
        <w:spacing w:line="360" w:lineRule="auto"/>
        <w:ind w:firstLineChars="200" w:firstLine="480"/>
        <w:rPr>
          <w:color w:val="000000"/>
          <w:sz w:val="24"/>
        </w:rPr>
      </w:pPr>
      <w:r>
        <w:rPr>
          <w:color w:val="000000"/>
          <w:sz w:val="24"/>
        </w:rPr>
        <w:t>（</w:t>
      </w:r>
      <w:r>
        <w:rPr>
          <w:color w:val="000000"/>
          <w:sz w:val="24"/>
        </w:rPr>
        <w:t>3</w:t>
      </w:r>
      <w:r>
        <w:rPr>
          <w:color w:val="000000"/>
          <w:sz w:val="24"/>
        </w:rPr>
        <w:t>）水土流失的防治对策</w:t>
      </w:r>
    </w:p>
    <w:p w:rsidR="00C223F5" w:rsidRDefault="005860D5">
      <w:pPr>
        <w:spacing w:line="360" w:lineRule="auto"/>
        <w:ind w:firstLineChars="200" w:firstLine="480"/>
        <w:rPr>
          <w:color w:val="000000"/>
          <w:sz w:val="24"/>
        </w:rPr>
      </w:pPr>
      <w:r>
        <w:rPr>
          <w:rFonts w:ascii="宋体" w:hAnsi="宋体" w:cs="宋体" w:hint="eastAsia"/>
          <w:color w:val="000000"/>
          <w:sz w:val="24"/>
        </w:rPr>
        <w:t>①</w:t>
      </w:r>
      <w:r>
        <w:rPr>
          <w:color w:val="000000"/>
          <w:sz w:val="24"/>
        </w:rPr>
        <w:t>合理确定施工工序和时间，避免在大风、暴雨时施工，防止产生水土流失。</w:t>
      </w:r>
      <w:r>
        <w:rPr>
          <w:color w:val="000000"/>
          <w:sz w:val="24"/>
        </w:rPr>
        <w:t xml:space="preserve"> </w:t>
      </w:r>
    </w:p>
    <w:p w:rsidR="00C223F5" w:rsidRDefault="005860D5">
      <w:pPr>
        <w:spacing w:line="360" w:lineRule="auto"/>
        <w:ind w:firstLineChars="200" w:firstLine="480"/>
        <w:rPr>
          <w:color w:val="000000"/>
          <w:sz w:val="24"/>
        </w:rPr>
      </w:pPr>
      <w:r>
        <w:rPr>
          <w:rFonts w:ascii="宋体" w:hAnsi="宋体" w:cs="宋体" w:hint="eastAsia"/>
          <w:color w:val="000000"/>
          <w:sz w:val="24"/>
        </w:rPr>
        <w:t>②</w:t>
      </w:r>
      <w:r>
        <w:rPr>
          <w:color w:val="000000"/>
          <w:sz w:val="24"/>
        </w:rPr>
        <w:t>及时平整施工破坏区，并种植适宜的植物，以防止发生新的土壤侵蚀。</w:t>
      </w:r>
    </w:p>
    <w:p w:rsidR="00C223F5" w:rsidRDefault="005860D5">
      <w:pPr>
        <w:spacing w:line="360" w:lineRule="auto"/>
        <w:ind w:firstLineChars="200" w:firstLine="480"/>
        <w:rPr>
          <w:color w:val="000000"/>
          <w:sz w:val="24"/>
        </w:rPr>
      </w:pPr>
      <w:r>
        <w:rPr>
          <w:rFonts w:ascii="宋体" w:hAnsi="宋体" w:cs="宋体" w:hint="eastAsia"/>
          <w:color w:val="000000"/>
          <w:sz w:val="24"/>
        </w:rPr>
        <w:t>③</w:t>
      </w:r>
      <w:r>
        <w:rPr>
          <w:color w:val="000000"/>
          <w:sz w:val="24"/>
        </w:rPr>
        <w:t>工程过程中产生的废弃土石，不得任意裸露弃置。</w:t>
      </w:r>
    </w:p>
    <w:p w:rsidR="00C223F5" w:rsidRDefault="005860D5">
      <w:pPr>
        <w:spacing w:line="360" w:lineRule="auto"/>
        <w:ind w:firstLineChars="200" w:firstLine="480"/>
        <w:rPr>
          <w:color w:val="000000"/>
          <w:sz w:val="24"/>
        </w:rPr>
      </w:pPr>
      <w:r>
        <w:rPr>
          <w:rFonts w:ascii="宋体" w:hAnsi="宋体" w:cs="宋体" w:hint="eastAsia"/>
          <w:color w:val="000000"/>
          <w:sz w:val="24"/>
        </w:rPr>
        <w:t>④</w:t>
      </w:r>
      <w:r>
        <w:rPr>
          <w:color w:val="000000"/>
          <w:sz w:val="24"/>
        </w:rPr>
        <w:t>工程扰动的边坡等水蚀强烈的地段，应采取护坡、排水等相应的工程措施。</w:t>
      </w:r>
    </w:p>
    <w:p w:rsidR="00C223F5" w:rsidRDefault="005860D5">
      <w:pPr>
        <w:spacing w:line="360" w:lineRule="auto"/>
        <w:ind w:firstLineChars="200" w:firstLine="480"/>
        <w:rPr>
          <w:color w:val="000000"/>
          <w:sz w:val="24"/>
        </w:rPr>
      </w:pPr>
      <w:r>
        <w:rPr>
          <w:color w:val="000000"/>
          <w:sz w:val="24"/>
        </w:rPr>
        <w:t>（</w:t>
      </w:r>
      <w:r>
        <w:rPr>
          <w:color w:val="000000"/>
          <w:sz w:val="24"/>
        </w:rPr>
        <w:t>4</w:t>
      </w:r>
      <w:r>
        <w:rPr>
          <w:color w:val="000000"/>
          <w:sz w:val="24"/>
        </w:rPr>
        <w:t>）强化生态环境保护意识</w:t>
      </w:r>
    </w:p>
    <w:p w:rsidR="00C223F5" w:rsidRDefault="005860D5">
      <w:pPr>
        <w:spacing w:line="360" w:lineRule="auto"/>
        <w:ind w:firstLineChars="200" w:firstLine="480"/>
        <w:rPr>
          <w:color w:val="000000"/>
          <w:sz w:val="24"/>
        </w:rPr>
      </w:pPr>
      <w:r>
        <w:rPr>
          <w:rFonts w:ascii="宋体" w:hAnsi="宋体" w:cs="宋体" w:hint="eastAsia"/>
          <w:color w:val="000000"/>
          <w:sz w:val="24"/>
        </w:rPr>
        <w:t>①</w:t>
      </w:r>
      <w:r>
        <w:rPr>
          <w:color w:val="000000"/>
          <w:sz w:val="24"/>
        </w:rPr>
        <w:t>结合当地政府部门所制定的生态环境建设规划和水土保持规划，协助当地</w:t>
      </w:r>
      <w:r>
        <w:rPr>
          <w:color w:val="000000"/>
          <w:sz w:val="24"/>
        </w:rPr>
        <w:lastRenderedPageBreak/>
        <w:t>政府搞好矿区的生态环境建设工作。</w:t>
      </w:r>
    </w:p>
    <w:p w:rsidR="00C223F5" w:rsidRDefault="005860D5">
      <w:pPr>
        <w:spacing w:line="360" w:lineRule="auto"/>
        <w:ind w:firstLineChars="200" w:firstLine="480"/>
        <w:rPr>
          <w:color w:val="000000"/>
          <w:sz w:val="24"/>
        </w:rPr>
      </w:pPr>
      <w:r>
        <w:rPr>
          <w:rFonts w:ascii="宋体" w:hAnsi="宋体" w:cs="宋体" w:hint="eastAsia"/>
          <w:color w:val="000000"/>
          <w:sz w:val="24"/>
        </w:rPr>
        <w:t>②</w:t>
      </w:r>
      <w:r>
        <w:rPr>
          <w:color w:val="000000"/>
          <w:sz w:val="24"/>
        </w:rPr>
        <w:t>加强管理，制定并落实生态影响防护与恢复的监督管理措施。生态管理人员编制，建议纳入项目的环境管理机构，并落实生态管理人员的职能。</w:t>
      </w:r>
    </w:p>
    <w:p w:rsidR="00C223F5" w:rsidRDefault="005860D5">
      <w:pPr>
        <w:spacing w:line="360" w:lineRule="auto"/>
        <w:ind w:firstLineChars="200" w:firstLine="480"/>
        <w:rPr>
          <w:sz w:val="24"/>
        </w:rPr>
      </w:pPr>
      <w:r>
        <w:rPr>
          <w:color w:val="000000"/>
          <w:sz w:val="24"/>
        </w:rPr>
        <w:t>总之，建设期环境影响主要是扬尘和水土流失，建设单位应积极采取上述措施，将施工带来的不利影响减</w:t>
      </w:r>
      <w:r>
        <w:rPr>
          <w:sz w:val="24"/>
        </w:rPr>
        <w:t>小到最低程度。</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349" w:name="_Toc533604325"/>
      <w:bookmarkStart w:id="350" w:name="_Toc533604745"/>
      <w:bookmarkStart w:id="351" w:name="_Toc16785290"/>
      <w:r>
        <w:rPr>
          <w:rFonts w:eastAsia="宋体" w:hint="eastAsia"/>
          <w:b/>
          <w:bCs w:val="0"/>
          <w:sz w:val="28"/>
          <w:szCs w:val="28"/>
        </w:rPr>
        <w:t>4.1.2</w:t>
      </w:r>
      <w:r>
        <w:rPr>
          <w:rFonts w:eastAsia="宋体" w:hint="eastAsia"/>
          <w:b/>
          <w:bCs w:val="0"/>
          <w:sz w:val="28"/>
          <w:szCs w:val="28"/>
        </w:rPr>
        <w:t>建设期水环境影响分析与防治措施</w:t>
      </w:r>
      <w:bookmarkEnd w:id="349"/>
      <w:bookmarkEnd w:id="350"/>
      <w:bookmarkEnd w:id="351"/>
    </w:p>
    <w:p w:rsidR="00C223F5" w:rsidRDefault="005860D5" w:rsidP="004835BD">
      <w:pPr>
        <w:pStyle w:val="4"/>
        <w:spacing w:before="0" w:after="0" w:line="360" w:lineRule="auto"/>
        <w:ind w:firstLineChars="100" w:firstLine="240"/>
        <w:rPr>
          <w:szCs w:val="24"/>
        </w:rPr>
      </w:pPr>
      <w:r>
        <w:rPr>
          <w:rFonts w:hint="eastAsia"/>
          <w:szCs w:val="24"/>
        </w:rPr>
        <w:t>4.1.2.1</w:t>
      </w:r>
      <w:r>
        <w:rPr>
          <w:rFonts w:hint="eastAsia"/>
          <w:szCs w:val="24"/>
        </w:rPr>
        <w:t>地表水环境影响分析与防治措施</w:t>
      </w:r>
    </w:p>
    <w:p w:rsidR="00C223F5" w:rsidRDefault="005860D5">
      <w:pPr>
        <w:spacing w:line="360" w:lineRule="auto"/>
        <w:ind w:firstLine="480"/>
        <w:rPr>
          <w:sz w:val="24"/>
        </w:rPr>
      </w:pPr>
      <w:r>
        <w:rPr>
          <w:sz w:val="24"/>
        </w:rPr>
        <w:t>建设期地表水环境影响因素为施工人员生活污水、施工生产废水、井筒施工淋水</w:t>
      </w:r>
      <w:r>
        <w:rPr>
          <w:rFonts w:hint="eastAsia"/>
          <w:sz w:val="24"/>
        </w:rPr>
        <w:t>等</w:t>
      </w:r>
      <w:r>
        <w:rPr>
          <w:sz w:val="24"/>
        </w:rPr>
        <w:t>。施工人员生活污水中主要污染物为</w:t>
      </w:r>
      <w:r>
        <w:rPr>
          <w:sz w:val="24"/>
        </w:rPr>
        <w:t>COD</w:t>
      </w:r>
      <w:r>
        <w:rPr>
          <w:sz w:val="24"/>
        </w:rPr>
        <w:t>、</w:t>
      </w:r>
      <w:r>
        <w:rPr>
          <w:sz w:val="24"/>
        </w:rPr>
        <w:t>BOD</w:t>
      </w:r>
      <w:r>
        <w:rPr>
          <w:sz w:val="24"/>
        </w:rPr>
        <w:t>、石油类、氨氮等</w:t>
      </w:r>
      <w:r>
        <w:rPr>
          <w:rFonts w:hint="eastAsia"/>
          <w:sz w:val="24"/>
        </w:rPr>
        <w:t>；</w:t>
      </w:r>
      <w:r>
        <w:rPr>
          <w:sz w:val="24"/>
        </w:rPr>
        <w:t>施工生产废水包括砂石冲洗水、砼养护水、场地冲洗水以及机械设备运转的冷却水和洗涤水、</w:t>
      </w:r>
      <w:r>
        <w:rPr>
          <w:rFonts w:hint="eastAsia"/>
          <w:sz w:val="24"/>
        </w:rPr>
        <w:t>混凝土罐车</w:t>
      </w:r>
      <w:r>
        <w:rPr>
          <w:sz w:val="24"/>
        </w:rPr>
        <w:t>及输送系统冲洗废水，这部分废水主要污染物为</w:t>
      </w:r>
      <w:r>
        <w:rPr>
          <w:sz w:val="24"/>
        </w:rPr>
        <w:t>SS</w:t>
      </w:r>
      <w:r>
        <w:rPr>
          <w:sz w:val="24"/>
        </w:rPr>
        <w:t>，其次是石油类</w:t>
      </w:r>
      <w:r>
        <w:rPr>
          <w:rFonts w:hint="eastAsia"/>
          <w:sz w:val="24"/>
        </w:rPr>
        <w:t>；井筒施工时穿透的含水层会产生少量井下涌水，由于井筒穿透的主要为基岩裂隙含水层，该段岩性主要为砂岩和砂质泥岩，水质属于清洁水，</w:t>
      </w:r>
      <w:r>
        <w:rPr>
          <w:rFonts w:ascii="宋体" w:hAnsi="宋体"/>
          <w:sz w:val="24"/>
        </w:rPr>
        <w:t>主要污染物为悬浮的煤与岩的微粒</w:t>
      </w:r>
      <w:r>
        <w:rPr>
          <w:rFonts w:ascii="宋体" w:hAnsi="宋体" w:hint="eastAsia"/>
          <w:sz w:val="24"/>
        </w:rPr>
        <w:t>。</w:t>
      </w:r>
      <w:r>
        <w:rPr>
          <w:sz w:val="24"/>
        </w:rPr>
        <w:t>建设期污废水产生量较小。</w:t>
      </w:r>
    </w:p>
    <w:p w:rsidR="00C223F5" w:rsidRPr="008C2C4E" w:rsidRDefault="005860D5">
      <w:pPr>
        <w:spacing w:line="360" w:lineRule="auto"/>
        <w:ind w:firstLineChars="200" w:firstLine="480"/>
        <w:rPr>
          <w:color w:val="FF0000"/>
          <w:sz w:val="24"/>
        </w:rPr>
      </w:pPr>
      <w:r>
        <w:rPr>
          <w:sz w:val="24"/>
        </w:rPr>
        <w:t>本项目矿井建设的工期为</w:t>
      </w:r>
      <w:r>
        <w:rPr>
          <w:sz w:val="24"/>
        </w:rPr>
        <w:t>26.</w:t>
      </w:r>
      <w:r>
        <w:rPr>
          <w:rFonts w:hint="eastAsia"/>
          <w:sz w:val="24"/>
        </w:rPr>
        <w:t>4</w:t>
      </w:r>
      <w:r>
        <w:rPr>
          <w:sz w:val="24"/>
        </w:rPr>
        <w:t>个月，工程建设期对水环境产生影的响主要集中在工业场地的建设。施工高峰期间工业场地施工人员可能达到</w:t>
      </w:r>
      <w:r>
        <w:rPr>
          <w:sz w:val="24"/>
        </w:rPr>
        <w:t>200</w:t>
      </w:r>
      <w:r>
        <w:rPr>
          <w:sz w:val="24"/>
        </w:rPr>
        <w:t>多人，每人每天生活污水排放量以</w:t>
      </w:r>
      <w:r>
        <w:rPr>
          <w:sz w:val="24"/>
        </w:rPr>
        <w:t>90L</w:t>
      </w:r>
      <w:r>
        <w:rPr>
          <w:sz w:val="24"/>
        </w:rPr>
        <w:t>计，预计生活污水排放量约</w:t>
      </w:r>
      <w:r>
        <w:rPr>
          <w:sz w:val="24"/>
        </w:rPr>
        <w:t>18m</w:t>
      </w:r>
      <w:r>
        <w:rPr>
          <w:sz w:val="24"/>
          <w:vertAlign w:val="superscript"/>
        </w:rPr>
        <w:t>3</w:t>
      </w:r>
      <w:r>
        <w:rPr>
          <w:sz w:val="24"/>
        </w:rPr>
        <w:t>/d</w:t>
      </w:r>
      <w:r>
        <w:rPr>
          <w:sz w:val="24"/>
        </w:rPr>
        <w:t>；而施工废水和井下初期少量涌水由于主要是无机污染，在采取废水回收措施后，大多可用于施工过程。生活污水中的主要污染物是</w:t>
      </w:r>
      <w:r>
        <w:rPr>
          <w:sz w:val="24"/>
        </w:rPr>
        <w:t>SS</w:t>
      </w:r>
      <w:r>
        <w:rPr>
          <w:sz w:val="24"/>
        </w:rPr>
        <w:t>和</w:t>
      </w:r>
      <w:r>
        <w:rPr>
          <w:sz w:val="24"/>
        </w:rPr>
        <w:t>COD</w:t>
      </w:r>
      <w:r>
        <w:rPr>
          <w:sz w:val="24"/>
        </w:rPr>
        <w:t>，</w:t>
      </w:r>
      <w:r w:rsidRPr="008C2C4E">
        <w:rPr>
          <w:color w:val="FF0000"/>
          <w:sz w:val="24"/>
        </w:rPr>
        <w:t>环评要求</w:t>
      </w:r>
      <w:r w:rsidRPr="008C2C4E">
        <w:rPr>
          <w:rFonts w:hint="eastAsia"/>
          <w:color w:val="FF0000"/>
          <w:sz w:val="24"/>
        </w:rPr>
        <w:t>原工业场地内污水处理设施暂缓拆除，施工期利用原有污水处理设备处理施工期废水，处理后用于降尘、绿化洒水等</w:t>
      </w:r>
      <w:r w:rsidRPr="008C2C4E">
        <w:rPr>
          <w:color w:val="FF0000"/>
          <w:sz w:val="24"/>
        </w:rPr>
        <w:t>，不得排入地表水体。</w:t>
      </w:r>
    </w:p>
    <w:p w:rsidR="00C223F5" w:rsidRDefault="005860D5">
      <w:pPr>
        <w:spacing w:line="360" w:lineRule="auto"/>
        <w:ind w:firstLineChars="200" w:firstLine="480"/>
        <w:rPr>
          <w:sz w:val="24"/>
        </w:rPr>
      </w:pPr>
      <w:r>
        <w:rPr>
          <w:sz w:val="24"/>
        </w:rPr>
        <w:t>采取上述措施后，</w:t>
      </w:r>
      <w:r>
        <w:rPr>
          <w:rFonts w:hint="eastAsia"/>
          <w:sz w:val="24"/>
        </w:rPr>
        <w:t>建设</w:t>
      </w:r>
      <w:r>
        <w:rPr>
          <w:sz w:val="24"/>
        </w:rPr>
        <w:t>期对地表水体质量影响较小，而且是短期的。</w:t>
      </w:r>
    </w:p>
    <w:p w:rsidR="00C223F5" w:rsidRDefault="005860D5" w:rsidP="004835BD">
      <w:pPr>
        <w:pStyle w:val="4"/>
        <w:spacing w:before="0" w:after="0" w:line="360" w:lineRule="auto"/>
        <w:ind w:firstLineChars="100" w:firstLine="240"/>
        <w:rPr>
          <w:szCs w:val="24"/>
        </w:rPr>
      </w:pPr>
      <w:r>
        <w:rPr>
          <w:rFonts w:hint="eastAsia"/>
          <w:szCs w:val="24"/>
        </w:rPr>
        <w:t>4.1.2.2</w:t>
      </w:r>
      <w:r>
        <w:rPr>
          <w:rFonts w:hint="eastAsia"/>
          <w:szCs w:val="24"/>
        </w:rPr>
        <w:t>地下水环境影响分析与防治措施</w:t>
      </w:r>
    </w:p>
    <w:p w:rsidR="00C223F5" w:rsidRDefault="005860D5">
      <w:pPr>
        <w:spacing w:line="360" w:lineRule="auto"/>
        <w:ind w:firstLineChars="200" w:firstLine="480"/>
        <w:rPr>
          <w:sz w:val="24"/>
        </w:rPr>
      </w:pPr>
      <w:bookmarkStart w:id="352" w:name="_Toc3718"/>
      <w:bookmarkStart w:id="353" w:name="_Toc318229569"/>
      <w:r>
        <w:rPr>
          <w:rFonts w:hint="eastAsia"/>
          <w:sz w:val="24"/>
        </w:rPr>
        <w:t>建设期</w:t>
      </w:r>
      <w:r>
        <w:rPr>
          <w:sz w:val="24"/>
        </w:rPr>
        <w:t>对地下水的影响主要为井筒开挖和井巷掘进过程，井筒施工过程中将揭穿部分地下水含水层，对浅层地下水和深层地下水资源可能产生影响。</w:t>
      </w:r>
      <w:r>
        <w:rPr>
          <w:rFonts w:hint="eastAsia"/>
          <w:sz w:val="24"/>
          <w:szCs w:val="22"/>
        </w:rPr>
        <w:t>施工人员生活污水处置不当排放对地下水水质影响。</w:t>
      </w:r>
    </w:p>
    <w:p w:rsidR="00C223F5" w:rsidRDefault="005860D5">
      <w:pPr>
        <w:spacing w:line="360" w:lineRule="auto"/>
        <w:ind w:firstLineChars="200" w:firstLine="480"/>
        <w:rPr>
          <w:color w:val="000000"/>
          <w:sz w:val="24"/>
        </w:rPr>
      </w:pPr>
      <w:r>
        <w:rPr>
          <w:sz w:val="24"/>
        </w:rPr>
        <w:t>评价提出在井筒施工揭穿地下水含水层</w:t>
      </w:r>
      <w:r>
        <w:rPr>
          <w:rFonts w:hint="eastAsia"/>
          <w:bCs/>
          <w:sz w:val="24"/>
        </w:rPr>
        <w:t>时要及时封堵，封堵时</w:t>
      </w:r>
      <w:r>
        <w:rPr>
          <w:color w:val="000000"/>
          <w:sz w:val="24"/>
        </w:rPr>
        <w:t>使用隔水性能优良且毒性小的高标号水泥等材料进行封堵。井巷掘进过程的淋水等井下少量涌水要排入</w:t>
      </w:r>
      <w:r>
        <w:rPr>
          <w:rFonts w:hint="eastAsia"/>
          <w:color w:val="000000"/>
          <w:sz w:val="24"/>
        </w:rPr>
        <w:t>原有污水处理设施内</w:t>
      </w:r>
      <w:r>
        <w:rPr>
          <w:color w:val="000000"/>
          <w:sz w:val="24"/>
        </w:rPr>
        <w:t>，与其他施工废水一并处理后回用，不能排入地表水体</w:t>
      </w:r>
      <w:r>
        <w:rPr>
          <w:rFonts w:hint="eastAsia"/>
          <w:color w:val="000000"/>
          <w:sz w:val="24"/>
        </w:rPr>
        <w:t>；</w:t>
      </w:r>
      <w:r>
        <w:rPr>
          <w:sz w:val="24"/>
        </w:rPr>
        <w:t>沉淀下的固废应与建筑垃圾一起处理</w:t>
      </w:r>
      <w:r>
        <w:rPr>
          <w:rFonts w:hint="eastAsia"/>
          <w:sz w:val="24"/>
        </w:rPr>
        <w:t>。</w:t>
      </w:r>
      <w:r>
        <w:rPr>
          <w:color w:val="000000"/>
          <w:sz w:val="24"/>
        </w:rPr>
        <w:t>采取上述措施后，</w:t>
      </w:r>
      <w:r>
        <w:rPr>
          <w:rFonts w:hint="eastAsia"/>
          <w:color w:val="000000"/>
          <w:sz w:val="24"/>
        </w:rPr>
        <w:t>建设期</w:t>
      </w:r>
      <w:r>
        <w:rPr>
          <w:color w:val="000000"/>
          <w:sz w:val="24"/>
        </w:rPr>
        <w:t>对地</w:t>
      </w:r>
      <w:r>
        <w:rPr>
          <w:rFonts w:hint="eastAsia"/>
          <w:color w:val="000000"/>
          <w:sz w:val="24"/>
        </w:rPr>
        <w:t>下</w:t>
      </w:r>
      <w:r>
        <w:rPr>
          <w:color w:val="000000"/>
          <w:sz w:val="24"/>
        </w:rPr>
        <w:t>水</w:t>
      </w:r>
      <w:r>
        <w:rPr>
          <w:color w:val="000000"/>
          <w:sz w:val="24"/>
        </w:rPr>
        <w:lastRenderedPageBreak/>
        <w:t>体质量、以及地下水资源影响较小，而且是短期的。</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354" w:name="_Toc533604746"/>
      <w:bookmarkStart w:id="355" w:name="_Toc533604326"/>
      <w:bookmarkStart w:id="356" w:name="_Toc16785291"/>
      <w:bookmarkEnd w:id="343"/>
      <w:bookmarkEnd w:id="352"/>
      <w:bookmarkEnd w:id="353"/>
      <w:r>
        <w:rPr>
          <w:rFonts w:eastAsia="宋体" w:hint="eastAsia"/>
          <w:b/>
          <w:bCs w:val="0"/>
          <w:sz w:val="28"/>
          <w:szCs w:val="28"/>
        </w:rPr>
        <w:t>4.1.3</w:t>
      </w:r>
      <w:r>
        <w:rPr>
          <w:rFonts w:eastAsia="宋体" w:hint="eastAsia"/>
          <w:b/>
          <w:bCs w:val="0"/>
          <w:sz w:val="28"/>
          <w:szCs w:val="28"/>
        </w:rPr>
        <w:t>建设期大气环境影响分析与防治措施</w:t>
      </w:r>
      <w:bookmarkEnd w:id="354"/>
      <w:bookmarkEnd w:id="355"/>
      <w:bookmarkEnd w:id="356"/>
    </w:p>
    <w:p w:rsidR="00C223F5" w:rsidRDefault="005860D5" w:rsidP="004835BD">
      <w:pPr>
        <w:pStyle w:val="4"/>
        <w:spacing w:before="0" w:after="0" w:line="360" w:lineRule="auto"/>
        <w:ind w:firstLineChars="100" w:firstLine="240"/>
        <w:rPr>
          <w:szCs w:val="24"/>
        </w:rPr>
      </w:pPr>
      <w:bookmarkStart w:id="357" w:name="_Toc19395"/>
      <w:bookmarkStart w:id="358" w:name="_Toc6378"/>
      <w:bookmarkStart w:id="359" w:name="_Toc17258"/>
      <w:r>
        <w:rPr>
          <w:szCs w:val="24"/>
        </w:rPr>
        <w:t>4.1.</w:t>
      </w:r>
      <w:r>
        <w:rPr>
          <w:rFonts w:hint="eastAsia"/>
          <w:szCs w:val="24"/>
        </w:rPr>
        <w:t>3</w:t>
      </w:r>
      <w:r>
        <w:rPr>
          <w:szCs w:val="24"/>
        </w:rPr>
        <w:t>.1</w:t>
      </w:r>
      <w:r>
        <w:rPr>
          <w:szCs w:val="24"/>
        </w:rPr>
        <w:t>建设期环境空气影响</w:t>
      </w:r>
    </w:p>
    <w:bookmarkEnd w:id="357"/>
    <w:bookmarkEnd w:id="358"/>
    <w:bookmarkEnd w:id="359"/>
    <w:p w:rsidR="00C223F5" w:rsidRDefault="005860D5">
      <w:pPr>
        <w:tabs>
          <w:tab w:val="left" w:pos="1800"/>
        </w:tabs>
        <w:spacing w:line="360" w:lineRule="auto"/>
        <w:ind w:firstLineChars="200" w:firstLine="480"/>
        <w:rPr>
          <w:color w:val="000000"/>
          <w:sz w:val="24"/>
        </w:rPr>
      </w:pPr>
      <w:r>
        <w:rPr>
          <w:bCs/>
          <w:sz w:val="24"/>
        </w:rPr>
        <w:t>项目在施工过程中对大气环境的影响主要表现在：施工作业面和地面运输产生的扬尘；</w:t>
      </w:r>
      <w:r>
        <w:rPr>
          <w:sz w:val="24"/>
        </w:rPr>
        <w:t>土方挖掘、堆积清运建筑材料如水泥、石灰、砂子等装卸、堆方的扬尘；运输建筑材</w:t>
      </w:r>
      <w:r>
        <w:rPr>
          <w:color w:val="000000"/>
          <w:sz w:val="24"/>
        </w:rPr>
        <w:t>料、工程设备的汽车尾气；挖、铲、堆、捣、打桩等施工设备废气；施工过程中使用的锅炉和茶炉等排放的烟尘、</w:t>
      </w:r>
      <w:r>
        <w:rPr>
          <w:color w:val="000000"/>
          <w:sz w:val="24"/>
        </w:rPr>
        <w:t>SO</w:t>
      </w:r>
      <w:r>
        <w:rPr>
          <w:color w:val="000000"/>
          <w:sz w:val="24"/>
          <w:vertAlign w:val="subscript"/>
        </w:rPr>
        <w:t>2</w:t>
      </w:r>
      <w:r>
        <w:rPr>
          <w:color w:val="000000"/>
          <w:sz w:val="24"/>
        </w:rPr>
        <w:t>等。</w:t>
      </w:r>
    </w:p>
    <w:p w:rsidR="00C223F5" w:rsidRDefault="005860D5">
      <w:pPr>
        <w:spacing w:line="360" w:lineRule="auto"/>
        <w:ind w:firstLineChars="200" w:firstLine="480"/>
        <w:rPr>
          <w:color w:val="000000"/>
          <w:sz w:val="24"/>
        </w:rPr>
      </w:pPr>
      <w:r>
        <w:rPr>
          <w:color w:val="000000"/>
          <w:sz w:val="24"/>
        </w:rPr>
        <w:t>有关研究表明，施工工地的扬尘</w:t>
      </w:r>
      <w:r>
        <w:rPr>
          <w:color w:val="000000"/>
          <w:sz w:val="24"/>
        </w:rPr>
        <w:t>60</w:t>
      </w:r>
      <w:r>
        <w:rPr>
          <w:color w:val="000000"/>
          <w:sz w:val="24"/>
        </w:rPr>
        <w:t>％以上是施工交通运输引起的道路扬尘。道路扬尘量的大小与车速、车型、车流量、风速、道路表面积尘量等多种因素有关。一般情况下运输弃土车辆的道路扬尘量约</w:t>
      </w:r>
      <w:r>
        <w:rPr>
          <w:color w:val="000000"/>
          <w:sz w:val="24"/>
        </w:rPr>
        <w:t>1.37kg/km</w:t>
      </w:r>
      <w:r>
        <w:rPr>
          <w:color w:val="000000"/>
          <w:sz w:val="24"/>
        </w:rPr>
        <w:t>辆，运输车辆在挖土和弃土区现场的道路扬尘量分别为</w:t>
      </w:r>
      <w:r>
        <w:rPr>
          <w:color w:val="000000"/>
          <w:sz w:val="24"/>
        </w:rPr>
        <w:t>10.42kg/km</w:t>
      </w:r>
      <w:r>
        <w:rPr>
          <w:color w:val="000000"/>
          <w:sz w:val="24"/>
        </w:rPr>
        <w:t>辆和</w:t>
      </w:r>
      <w:r>
        <w:rPr>
          <w:color w:val="000000"/>
          <w:sz w:val="24"/>
        </w:rPr>
        <w:t>7.2kg/km</w:t>
      </w:r>
      <w:r>
        <w:rPr>
          <w:color w:val="000000"/>
          <w:sz w:val="24"/>
        </w:rPr>
        <w:t>辆。挖土区和弃土区的道路扬尘污染比弃土运输途经道路的扬尘污染严重。</w:t>
      </w:r>
    </w:p>
    <w:p w:rsidR="00C223F5" w:rsidRDefault="005860D5">
      <w:pPr>
        <w:spacing w:line="360" w:lineRule="auto"/>
        <w:ind w:firstLineChars="200" w:firstLine="480"/>
        <w:rPr>
          <w:color w:val="000000"/>
          <w:sz w:val="24"/>
        </w:rPr>
      </w:pPr>
      <w:r>
        <w:rPr>
          <w:color w:val="000000"/>
          <w:sz w:val="24"/>
        </w:rPr>
        <w:t>另外，施工粉尘的污染程度与风速、粉尘粒径、粉尘含水量和汽车行驶速度等因素有关，其中汽车行驶速度及风速两因素对粉尘的污染程度影响最大，汽车行驶速度及风速增大，产生的气尘量呈正比或级数增加，粉尘污染范围相应扩大。</w:t>
      </w:r>
    </w:p>
    <w:p w:rsidR="00C223F5" w:rsidRDefault="005860D5">
      <w:pPr>
        <w:spacing w:line="360" w:lineRule="auto"/>
        <w:ind w:firstLineChars="200" w:firstLine="480"/>
        <w:rPr>
          <w:color w:val="000000"/>
          <w:sz w:val="24"/>
        </w:rPr>
      </w:pPr>
      <w:r>
        <w:rPr>
          <w:color w:val="000000"/>
          <w:sz w:val="24"/>
        </w:rPr>
        <w:t>施工扬尘会造成局部地段降尘量增多，对施工现场周围的空气环境会产生一定的影响，本工程项目施工现场距离</w:t>
      </w:r>
      <w:r>
        <w:rPr>
          <w:rFonts w:hint="eastAsia"/>
          <w:color w:val="000000"/>
          <w:sz w:val="24"/>
        </w:rPr>
        <w:t>施阳台、念枣坪等</w:t>
      </w:r>
      <w:r>
        <w:rPr>
          <w:color w:val="000000"/>
          <w:sz w:val="24"/>
        </w:rPr>
        <w:t>居住点较</w:t>
      </w:r>
      <w:r>
        <w:rPr>
          <w:rFonts w:hint="eastAsia"/>
          <w:color w:val="000000"/>
          <w:sz w:val="24"/>
        </w:rPr>
        <w:t>近</w:t>
      </w:r>
      <w:r>
        <w:rPr>
          <w:color w:val="000000"/>
          <w:sz w:val="24"/>
        </w:rPr>
        <w:t>，同时与噪声的影响相似</w:t>
      </w:r>
      <w:r>
        <w:rPr>
          <w:rFonts w:hint="eastAsia"/>
          <w:color w:val="000000"/>
          <w:sz w:val="24"/>
        </w:rPr>
        <w:t>。由于建设期</w:t>
      </w:r>
      <w:r>
        <w:rPr>
          <w:color w:val="000000"/>
          <w:sz w:val="24"/>
        </w:rPr>
        <w:t>污染是局部的、短期的，工程完成之后这种影响就会消失，因此施工期的扬尘对环境影响较小，但在</w:t>
      </w:r>
      <w:r>
        <w:rPr>
          <w:rFonts w:hint="eastAsia"/>
          <w:color w:val="000000"/>
          <w:sz w:val="24"/>
        </w:rPr>
        <w:t>建设</w:t>
      </w:r>
      <w:r>
        <w:rPr>
          <w:color w:val="000000"/>
          <w:sz w:val="24"/>
        </w:rPr>
        <w:t>期仍应采取相应的措施减轻其对周围环境的影响。</w:t>
      </w:r>
    </w:p>
    <w:p w:rsidR="00C223F5" w:rsidRDefault="005860D5" w:rsidP="004835BD">
      <w:pPr>
        <w:pStyle w:val="4"/>
        <w:spacing w:before="0" w:after="0" w:line="360" w:lineRule="auto"/>
        <w:ind w:firstLineChars="100" w:firstLine="240"/>
        <w:rPr>
          <w:szCs w:val="24"/>
        </w:rPr>
      </w:pPr>
      <w:r>
        <w:rPr>
          <w:szCs w:val="24"/>
        </w:rPr>
        <w:t>4.1.</w:t>
      </w:r>
      <w:r>
        <w:rPr>
          <w:rFonts w:hint="eastAsia"/>
          <w:szCs w:val="24"/>
        </w:rPr>
        <w:t>3</w:t>
      </w:r>
      <w:r>
        <w:rPr>
          <w:szCs w:val="24"/>
        </w:rPr>
        <w:t>.2</w:t>
      </w:r>
      <w:r>
        <w:rPr>
          <w:szCs w:val="24"/>
        </w:rPr>
        <w:t>建设期环境空气污染防治措施</w:t>
      </w:r>
    </w:p>
    <w:p w:rsidR="00763C06" w:rsidRPr="005F1701" w:rsidRDefault="00763C06" w:rsidP="00763C06">
      <w:pPr>
        <w:tabs>
          <w:tab w:val="left" w:pos="2552"/>
          <w:tab w:val="left" w:pos="5387"/>
        </w:tabs>
        <w:spacing w:line="360" w:lineRule="auto"/>
        <w:ind w:firstLineChars="200" w:firstLine="480"/>
        <w:rPr>
          <w:color w:val="FF0000"/>
          <w:sz w:val="24"/>
        </w:rPr>
      </w:pPr>
      <w:r w:rsidRPr="005F1701">
        <w:rPr>
          <w:rFonts w:hint="eastAsia"/>
          <w:color w:val="FF0000"/>
          <w:sz w:val="24"/>
        </w:rPr>
        <w:t>为避免建设期扬尘对区域空气环境质量产生影响，评价要求施工单位在施工过程中产生的渣土、泥浆等废弃物要日产日清；需要暂存的渣土，应集中堆放并以密目网覆盖，禁止渣土外溢至围挡以外或露天存放。运输渣土、泥浆、砂石等散体材料的车辆，应有覆盖、密闭等措施，避免撒漏、扬尘污染。</w:t>
      </w:r>
    </w:p>
    <w:p w:rsidR="00763C06" w:rsidRPr="005F1701" w:rsidRDefault="00763C06" w:rsidP="00763C06">
      <w:pPr>
        <w:tabs>
          <w:tab w:val="left" w:pos="2552"/>
          <w:tab w:val="left" w:pos="5387"/>
        </w:tabs>
        <w:spacing w:line="360" w:lineRule="auto"/>
        <w:ind w:firstLineChars="200" w:firstLine="480"/>
        <w:rPr>
          <w:color w:val="FF0000"/>
          <w:sz w:val="24"/>
        </w:rPr>
      </w:pPr>
      <w:r w:rsidRPr="005F1701">
        <w:rPr>
          <w:rFonts w:hint="eastAsia"/>
          <w:color w:val="FF0000"/>
          <w:sz w:val="24"/>
        </w:rPr>
        <w:t>根据《防治城市扬尘污染技术规范》（</w:t>
      </w:r>
      <w:r w:rsidRPr="005F1701">
        <w:rPr>
          <w:rFonts w:hint="eastAsia"/>
          <w:color w:val="FF0000"/>
          <w:sz w:val="24"/>
        </w:rPr>
        <w:t>HJ/T393-2007</w:t>
      </w:r>
      <w:r w:rsidRPr="005F1701">
        <w:rPr>
          <w:rFonts w:hint="eastAsia"/>
          <w:color w:val="FF0000"/>
          <w:sz w:val="24"/>
        </w:rPr>
        <w:t>）、《中华人民共和国大气污染防治法》（</w:t>
      </w:r>
      <w:r w:rsidRPr="005F1701">
        <w:rPr>
          <w:rFonts w:hint="eastAsia"/>
          <w:color w:val="FF0000"/>
          <w:sz w:val="24"/>
        </w:rPr>
        <w:t>2016.1.1</w:t>
      </w:r>
      <w:r w:rsidRPr="005F1701">
        <w:rPr>
          <w:rFonts w:hint="eastAsia"/>
          <w:color w:val="FF0000"/>
          <w:sz w:val="24"/>
        </w:rPr>
        <w:t>实行）、《陕西省铁腕治霾打赢蓝天保卫战三年行动方案（</w:t>
      </w:r>
      <w:r w:rsidRPr="005F1701">
        <w:rPr>
          <w:rFonts w:hint="eastAsia"/>
          <w:color w:val="FF0000"/>
          <w:sz w:val="24"/>
        </w:rPr>
        <w:t>2018-2020</w:t>
      </w:r>
      <w:r w:rsidRPr="005F1701">
        <w:rPr>
          <w:rFonts w:hint="eastAsia"/>
          <w:color w:val="FF0000"/>
          <w:sz w:val="24"/>
        </w:rPr>
        <w:t>年）（修订版）》中关于施工工地扬尘的控制措施，环评要求建设单位采取以下</w:t>
      </w:r>
      <w:r w:rsidR="00C8779E">
        <w:rPr>
          <w:rFonts w:hint="eastAsia"/>
          <w:color w:val="FF0000"/>
          <w:sz w:val="24"/>
        </w:rPr>
        <w:t>环境空气污染防治措施</w:t>
      </w:r>
      <w:r w:rsidRPr="005F1701">
        <w:rPr>
          <w:rFonts w:hint="eastAsia"/>
          <w:color w:val="FF0000"/>
          <w:sz w:val="24"/>
        </w:rPr>
        <w:t>：</w:t>
      </w:r>
    </w:p>
    <w:p w:rsidR="00763C06" w:rsidRPr="005F1701" w:rsidRDefault="00763C06" w:rsidP="00763C06">
      <w:pPr>
        <w:tabs>
          <w:tab w:val="left" w:pos="2552"/>
          <w:tab w:val="left" w:pos="5387"/>
        </w:tabs>
        <w:spacing w:line="360" w:lineRule="auto"/>
        <w:ind w:firstLineChars="200" w:firstLine="480"/>
        <w:rPr>
          <w:color w:val="FF0000"/>
          <w:sz w:val="24"/>
        </w:rPr>
      </w:pPr>
      <w:r w:rsidRPr="005F1701">
        <w:rPr>
          <w:rFonts w:hint="eastAsia"/>
          <w:color w:val="FF0000"/>
          <w:sz w:val="24"/>
        </w:rPr>
        <w:t>（</w:t>
      </w:r>
      <w:r w:rsidRPr="005F1701">
        <w:rPr>
          <w:rFonts w:hint="eastAsia"/>
          <w:color w:val="FF0000"/>
          <w:sz w:val="24"/>
        </w:rPr>
        <w:t>1</w:t>
      </w:r>
      <w:r w:rsidRPr="005F1701">
        <w:rPr>
          <w:rFonts w:hint="eastAsia"/>
          <w:color w:val="FF0000"/>
          <w:sz w:val="24"/>
        </w:rPr>
        <w:t>）建设单位在施工前，应编制扬尘治理实施方案，将防治扬尘污染费用列</w:t>
      </w:r>
      <w:r w:rsidRPr="005F1701">
        <w:rPr>
          <w:rFonts w:hint="eastAsia"/>
          <w:color w:val="FF0000"/>
          <w:sz w:val="24"/>
        </w:rPr>
        <w:lastRenderedPageBreak/>
        <w:t>入工程造价；</w:t>
      </w:r>
    </w:p>
    <w:p w:rsidR="00763C06" w:rsidRPr="005F1701" w:rsidRDefault="00763C06" w:rsidP="00763C06">
      <w:pPr>
        <w:tabs>
          <w:tab w:val="left" w:pos="2552"/>
          <w:tab w:val="left" w:pos="5387"/>
        </w:tabs>
        <w:spacing w:line="360" w:lineRule="auto"/>
        <w:ind w:firstLineChars="200" w:firstLine="480"/>
        <w:rPr>
          <w:color w:val="FF0000"/>
          <w:sz w:val="24"/>
        </w:rPr>
      </w:pPr>
      <w:r w:rsidRPr="005F1701">
        <w:rPr>
          <w:rFonts w:hint="eastAsia"/>
          <w:color w:val="FF0000"/>
          <w:sz w:val="24"/>
        </w:rPr>
        <w:t>（</w:t>
      </w:r>
      <w:r w:rsidRPr="005F1701">
        <w:rPr>
          <w:rFonts w:hint="eastAsia"/>
          <w:color w:val="FF0000"/>
          <w:sz w:val="24"/>
        </w:rPr>
        <w:t>2</w:t>
      </w:r>
      <w:r w:rsidRPr="005F1701">
        <w:rPr>
          <w:rFonts w:hint="eastAsia"/>
          <w:color w:val="FF0000"/>
          <w:sz w:val="24"/>
        </w:rPr>
        <w:t>）建筑施工工地要做到工地周边围挡、物料堆放覆盖、土方开挖湿法作业、路面硬化、出入车辆清洗、渣土车辆密闭运输“六个百分之百”；</w:t>
      </w:r>
    </w:p>
    <w:p w:rsidR="00763C06" w:rsidRPr="00C8779E" w:rsidRDefault="00763C06" w:rsidP="00763C06">
      <w:pPr>
        <w:tabs>
          <w:tab w:val="left" w:pos="2552"/>
          <w:tab w:val="left" w:pos="5387"/>
        </w:tabs>
        <w:spacing w:line="360" w:lineRule="auto"/>
        <w:ind w:firstLineChars="200" w:firstLine="480"/>
        <w:rPr>
          <w:color w:val="FF0000"/>
          <w:sz w:val="24"/>
        </w:rPr>
      </w:pPr>
      <w:r w:rsidRPr="005F1701">
        <w:rPr>
          <w:rFonts w:hint="eastAsia"/>
          <w:color w:val="FF0000"/>
          <w:sz w:val="24"/>
        </w:rPr>
        <w:t>（</w:t>
      </w:r>
      <w:r w:rsidRPr="005F1701">
        <w:rPr>
          <w:rFonts w:hint="eastAsia"/>
          <w:color w:val="FF0000"/>
          <w:sz w:val="24"/>
        </w:rPr>
        <w:t>3</w:t>
      </w:r>
      <w:r w:rsidRPr="005F1701">
        <w:rPr>
          <w:rFonts w:hint="eastAsia"/>
          <w:color w:val="FF0000"/>
          <w:sz w:val="24"/>
        </w:rPr>
        <w:t>）施工工地</w:t>
      </w:r>
      <w:r w:rsidRPr="00C8779E">
        <w:rPr>
          <w:rFonts w:hint="eastAsia"/>
          <w:color w:val="FF0000"/>
          <w:sz w:val="24"/>
        </w:rPr>
        <w:t>内堆放的易产生扬尘污染物料，应当密闭存放或及时进行覆盖；工程脚手架外侧必须使用密目式安全网进行封闭；</w:t>
      </w:r>
    </w:p>
    <w:p w:rsidR="00763C06" w:rsidRPr="00C8779E" w:rsidRDefault="005F1701" w:rsidP="00763C06">
      <w:pPr>
        <w:tabs>
          <w:tab w:val="left" w:pos="2552"/>
          <w:tab w:val="left" w:pos="5387"/>
        </w:tabs>
        <w:spacing w:line="360" w:lineRule="auto"/>
        <w:ind w:firstLineChars="200" w:firstLine="480"/>
        <w:rPr>
          <w:color w:val="FF0000"/>
          <w:sz w:val="24"/>
        </w:rPr>
      </w:pPr>
      <w:r w:rsidRPr="00C8779E">
        <w:rPr>
          <w:rFonts w:hint="eastAsia"/>
          <w:color w:val="FF0000"/>
          <w:sz w:val="24"/>
        </w:rPr>
        <w:t>（</w:t>
      </w:r>
      <w:r w:rsidRPr="00C8779E">
        <w:rPr>
          <w:rFonts w:hint="eastAsia"/>
          <w:color w:val="FF0000"/>
          <w:sz w:val="24"/>
        </w:rPr>
        <w:t>4</w:t>
      </w:r>
      <w:r w:rsidRPr="00C8779E">
        <w:rPr>
          <w:rFonts w:hint="eastAsia"/>
          <w:color w:val="FF0000"/>
          <w:sz w:val="24"/>
        </w:rPr>
        <w:t>）</w:t>
      </w:r>
      <w:r w:rsidR="00763C06" w:rsidRPr="00C8779E">
        <w:rPr>
          <w:rFonts w:hint="eastAsia"/>
          <w:color w:val="FF0000"/>
          <w:sz w:val="24"/>
        </w:rPr>
        <w:t>工地内堆放砂石、土方及其他易产生扬尘物料的，采取覆盖防尘布或者防尘网、定期喷洒抑尘剂或者洒水等措施；出现四级以上大风天气时，禁止进行土方和拆除施工等易产生扬尘污染的施工作业，并应当采取防尘措施；</w:t>
      </w:r>
    </w:p>
    <w:p w:rsidR="00763C06" w:rsidRPr="00C8779E" w:rsidRDefault="005F1701" w:rsidP="00763C06">
      <w:pPr>
        <w:tabs>
          <w:tab w:val="left" w:pos="2552"/>
          <w:tab w:val="left" w:pos="5387"/>
        </w:tabs>
        <w:spacing w:line="360" w:lineRule="auto"/>
        <w:ind w:firstLineChars="200" w:firstLine="480"/>
        <w:rPr>
          <w:color w:val="FF0000"/>
          <w:sz w:val="24"/>
        </w:rPr>
      </w:pPr>
      <w:r w:rsidRPr="00C8779E">
        <w:rPr>
          <w:rFonts w:hint="eastAsia"/>
          <w:color w:val="FF0000"/>
          <w:sz w:val="24"/>
        </w:rPr>
        <w:t>（</w:t>
      </w:r>
      <w:r w:rsidRPr="00C8779E">
        <w:rPr>
          <w:rFonts w:hint="eastAsia"/>
          <w:color w:val="FF0000"/>
          <w:sz w:val="24"/>
        </w:rPr>
        <w:t>5</w:t>
      </w:r>
      <w:r w:rsidRPr="00C8779E">
        <w:rPr>
          <w:rFonts w:hint="eastAsia"/>
          <w:color w:val="FF0000"/>
          <w:sz w:val="24"/>
        </w:rPr>
        <w:t>）</w:t>
      </w:r>
      <w:r w:rsidR="00763C06" w:rsidRPr="00C8779E">
        <w:rPr>
          <w:rFonts w:hint="eastAsia"/>
          <w:color w:val="FF0000"/>
          <w:sz w:val="24"/>
        </w:rPr>
        <w:t>对闲置土地和裸露地面（道路）进行硬化或绿化或者覆盖防尘布或防尘网，无裸露黄土。对无人管理的堆土（建筑垃圾）进行彻底清理；</w:t>
      </w:r>
    </w:p>
    <w:p w:rsidR="00763C06" w:rsidRPr="00C8779E" w:rsidRDefault="005F1701" w:rsidP="00763C06">
      <w:pPr>
        <w:tabs>
          <w:tab w:val="left" w:pos="2552"/>
          <w:tab w:val="left" w:pos="5387"/>
        </w:tabs>
        <w:spacing w:line="360" w:lineRule="auto"/>
        <w:ind w:firstLineChars="200" w:firstLine="480"/>
        <w:rPr>
          <w:color w:val="FF0000"/>
          <w:sz w:val="24"/>
        </w:rPr>
      </w:pPr>
      <w:r w:rsidRPr="00C8779E">
        <w:rPr>
          <w:rFonts w:hint="eastAsia"/>
          <w:color w:val="FF0000"/>
          <w:sz w:val="24"/>
        </w:rPr>
        <w:t>（</w:t>
      </w:r>
      <w:r w:rsidRPr="00C8779E">
        <w:rPr>
          <w:rFonts w:hint="eastAsia"/>
          <w:color w:val="FF0000"/>
          <w:sz w:val="24"/>
        </w:rPr>
        <w:t>6</w:t>
      </w:r>
      <w:r w:rsidRPr="00C8779E">
        <w:rPr>
          <w:rFonts w:hint="eastAsia"/>
          <w:color w:val="FF0000"/>
          <w:sz w:val="24"/>
        </w:rPr>
        <w:t>）</w:t>
      </w:r>
      <w:r w:rsidR="00763C06" w:rsidRPr="00C8779E">
        <w:rPr>
          <w:rFonts w:hint="eastAsia"/>
          <w:color w:val="FF0000"/>
          <w:sz w:val="24"/>
        </w:rPr>
        <w:t>工地内的车行道路采取硬化或者铺设礁渣、砾石或其他功能相当的材料，并辅以洒水、喷洒抑尘剂等措施；</w:t>
      </w:r>
    </w:p>
    <w:p w:rsidR="00763C06" w:rsidRPr="00C8779E" w:rsidRDefault="005F1701" w:rsidP="00763C06">
      <w:pPr>
        <w:tabs>
          <w:tab w:val="left" w:pos="2552"/>
          <w:tab w:val="left" w:pos="5387"/>
        </w:tabs>
        <w:spacing w:line="360" w:lineRule="auto"/>
        <w:ind w:firstLineChars="200" w:firstLine="480"/>
        <w:rPr>
          <w:color w:val="FF0000"/>
          <w:sz w:val="24"/>
        </w:rPr>
      </w:pPr>
      <w:r w:rsidRPr="00C8779E">
        <w:rPr>
          <w:rFonts w:hint="eastAsia"/>
          <w:color w:val="FF0000"/>
          <w:sz w:val="24"/>
        </w:rPr>
        <w:t>（</w:t>
      </w:r>
      <w:r w:rsidRPr="00C8779E">
        <w:rPr>
          <w:rFonts w:hint="eastAsia"/>
          <w:color w:val="FF0000"/>
          <w:sz w:val="24"/>
        </w:rPr>
        <w:t>7</w:t>
      </w:r>
      <w:r w:rsidRPr="00C8779E">
        <w:rPr>
          <w:rFonts w:hint="eastAsia"/>
          <w:color w:val="FF0000"/>
          <w:sz w:val="24"/>
        </w:rPr>
        <w:t>）</w:t>
      </w:r>
      <w:r w:rsidR="00763C06" w:rsidRPr="00C8779E">
        <w:rPr>
          <w:rFonts w:hint="eastAsia"/>
          <w:color w:val="FF0000"/>
          <w:sz w:val="24"/>
        </w:rPr>
        <w:t>工地出入口内侧安装车辆冲洗设备，车辆冲洗干净后方可驶出；</w:t>
      </w:r>
    </w:p>
    <w:p w:rsidR="00763C06" w:rsidRPr="00C8779E" w:rsidRDefault="005F1701" w:rsidP="00763C06">
      <w:pPr>
        <w:tabs>
          <w:tab w:val="left" w:pos="2552"/>
          <w:tab w:val="left" w:pos="5387"/>
        </w:tabs>
        <w:spacing w:line="360" w:lineRule="auto"/>
        <w:ind w:firstLineChars="200" w:firstLine="480"/>
        <w:rPr>
          <w:color w:val="FF0000"/>
          <w:sz w:val="24"/>
        </w:rPr>
      </w:pPr>
      <w:r w:rsidRPr="00C8779E">
        <w:rPr>
          <w:rFonts w:hint="eastAsia"/>
          <w:color w:val="FF0000"/>
          <w:sz w:val="24"/>
        </w:rPr>
        <w:t>（</w:t>
      </w:r>
      <w:r w:rsidRPr="00C8779E">
        <w:rPr>
          <w:rFonts w:hint="eastAsia"/>
          <w:color w:val="FF0000"/>
          <w:sz w:val="24"/>
        </w:rPr>
        <w:t>8</w:t>
      </w:r>
      <w:r w:rsidRPr="00C8779E">
        <w:rPr>
          <w:rFonts w:hint="eastAsia"/>
          <w:color w:val="FF0000"/>
          <w:sz w:val="24"/>
        </w:rPr>
        <w:t>）</w:t>
      </w:r>
      <w:r w:rsidR="00C8779E" w:rsidRPr="00C8779E">
        <w:rPr>
          <w:color w:val="FF0000"/>
          <w:kern w:val="0"/>
          <w:sz w:val="24"/>
          <w:shd w:val="clear" w:color="auto" w:fill="FFFFFF"/>
        </w:rPr>
        <w:t>严格渣土运输车辆规范化管理，渣土运输车要密闭</w:t>
      </w:r>
      <w:r w:rsidR="00C8779E" w:rsidRPr="00C8779E">
        <w:rPr>
          <w:rFonts w:hint="eastAsia"/>
          <w:color w:val="FF0000"/>
          <w:kern w:val="0"/>
          <w:sz w:val="24"/>
          <w:shd w:val="clear" w:color="auto" w:fill="FFFFFF"/>
        </w:rPr>
        <w:t>；</w:t>
      </w:r>
    </w:p>
    <w:p w:rsidR="00763C06" w:rsidRPr="00C8779E" w:rsidRDefault="005F1701" w:rsidP="00763C06">
      <w:pPr>
        <w:tabs>
          <w:tab w:val="left" w:pos="2552"/>
          <w:tab w:val="left" w:pos="5387"/>
        </w:tabs>
        <w:spacing w:line="360" w:lineRule="auto"/>
        <w:ind w:firstLineChars="200" w:firstLine="480"/>
        <w:rPr>
          <w:color w:val="FF0000"/>
          <w:sz w:val="24"/>
        </w:rPr>
      </w:pPr>
      <w:r w:rsidRPr="00C8779E">
        <w:rPr>
          <w:rFonts w:hint="eastAsia"/>
          <w:color w:val="FF0000"/>
          <w:sz w:val="24"/>
        </w:rPr>
        <w:t>（</w:t>
      </w:r>
      <w:r w:rsidRPr="00C8779E">
        <w:rPr>
          <w:rFonts w:hint="eastAsia"/>
          <w:color w:val="FF0000"/>
          <w:sz w:val="24"/>
        </w:rPr>
        <w:t>9</w:t>
      </w:r>
      <w:r w:rsidRPr="00C8779E">
        <w:rPr>
          <w:rFonts w:hint="eastAsia"/>
          <w:color w:val="FF0000"/>
          <w:sz w:val="24"/>
        </w:rPr>
        <w:t>）</w:t>
      </w:r>
      <w:r w:rsidR="00763C06" w:rsidRPr="00C8779E">
        <w:rPr>
          <w:rFonts w:hint="eastAsia"/>
          <w:color w:val="FF0000"/>
          <w:sz w:val="24"/>
        </w:rPr>
        <w:t>出现重污染天气期间严禁施工，并做好施工场地的扬尘防治措施</w:t>
      </w:r>
      <w:r w:rsidR="00C8779E" w:rsidRPr="00C8779E">
        <w:rPr>
          <w:rFonts w:hint="eastAsia"/>
          <w:color w:val="FF0000"/>
          <w:sz w:val="24"/>
        </w:rPr>
        <w:t>；</w:t>
      </w:r>
    </w:p>
    <w:p w:rsidR="00C8779E" w:rsidRPr="00C8779E" w:rsidRDefault="00C8779E" w:rsidP="00C8779E">
      <w:pPr>
        <w:spacing w:line="360" w:lineRule="auto"/>
        <w:ind w:firstLineChars="200" w:firstLine="480"/>
        <w:rPr>
          <w:color w:val="FF0000"/>
          <w:sz w:val="24"/>
        </w:rPr>
      </w:pPr>
      <w:r w:rsidRPr="00C8779E">
        <w:rPr>
          <w:rFonts w:hAnsi="宋体"/>
          <w:color w:val="FF0000"/>
          <w:sz w:val="24"/>
        </w:rPr>
        <w:t>（</w:t>
      </w:r>
      <w:r w:rsidRPr="00C8779E">
        <w:rPr>
          <w:rFonts w:hint="eastAsia"/>
          <w:color w:val="FF0000"/>
          <w:sz w:val="24"/>
        </w:rPr>
        <w:t>10</w:t>
      </w:r>
      <w:r w:rsidRPr="00C8779E">
        <w:rPr>
          <w:rFonts w:hAnsi="宋体"/>
          <w:color w:val="FF0000"/>
          <w:sz w:val="24"/>
        </w:rPr>
        <w:t>）</w:t>
      </w:r>
      <w:r w:rsidRPr="00C8779E">
        <w:rPr>
          <w:color w:val="FF0000"/>
          <w:sz w:val="24"/>
        </w:rPr>
        <w:t>施工期采用的锅炉和茶炉应符合环保要求，并配备消烟除尘设备，使烟尘达标排放；加快工业场地供热设施（乏风热泵和电锅炉）的建设。</w:t>
      </w:r>
    </w:p>
    <w:p w:rsidR="00763C06" w:rsidRPr="005F1701" w:rsidRDefault="00763C06" w:rsidP="00763C06">
      <w:pPr>
        <w:tabs>
          <w:tab w:val="left" w:pos="2552"/>
          <w:tab w:val="left" w:pos="5387"/>
        </w:tabs>
        <w:spacing w:line="360" w:lineRule="auto"/>
        <w:ind w:firstLineChars="200" w:firstLine="480"/>
        <w:rPr>
          <w:color w:val="FF0000"/>
          <w:sz w:val="24"/>
        </w:rPr>
      </w:pPr>
      <w:r w:rsidRPr="00C8779E">
        <w:rPr>
          <w:rFonts w:hint="eastAsia"/>
          <w:color w:val="FF0000"/>
          <w:sz w:val="24"/>
        </w:rPr>
        <w:t>通过实施以上措施，施工建设产生的扬</w:t>
      </w:r>
      <w:r w:rsidRPr="005F1701">
        <w:rPr>
          <w:rFonts w:hint="eastAsia"/>
          <w:color w:val="FF0000"/>
          <w:sz w:val="24"/>
        </w:rPr>
        <w:t>尘可以达到《施工期厂界扬尘排放限值》（</w:t>
      </w:r>
      <w:r w:rsidRPr="005F1701">
        <w:rPr>
          <w:rFonts w:hint="eastAsia"/>
          <w:color w:val="FF0000"/>
          <w:sz w:val="24"/>
        </w:rPr>
        <w:t>DB61/1078-2017</w:t>
      </w:r>
      <w:r w:rsidRPr="005F1701">
        <w:rPr>
          <w:rFonts w:hint="eastAsia"/>
          <w:color w:val="FF0000"/>
          <w:sz w:val="24"/>
        </w:rPr>
        <w:t>）相关标准，对周围敏感点的影响较小。</w:t>
      </w:r>
    </w:p>
    <w:p w:rsidR="00C223F5" w:rsidRPr="00927E76" w:rsidRDefault="005860D5" w:rsidP="004835BD">
      <w:pPr>
        <w:pStyle w:val="3"/>
        <w:numPr>
          <w:ilvl w:val="0"/>
          <w:numId w:val="0"/>
        </w:numPr>
        <w:spacing w:before="0" w:after="0" w:line="360" w:lineRule="auto"/>
        <w:ind w:left="170"/>
        <w:rPr>
          <w:rFonts w:eastAsia="宋体"/>
          <w:b/>
          <w:bCs w:val="0"/>
          <w:sz w:val="28"/>
          <w:szCs w:val="28"/>
        </w:rPr>
      </w:pPr>
      <w:bookmarkStart w:id="360" w:name="_Toc533604747"/>
      <w:bookmarkStart w:id="361" w:name="_Toc533604327"/>
      <w:bookmarkStart w:id="362" w:name="_Toc16785292"/>
      <w:r w:rsidRPr="00927E76">
        <w:rPr>
          <w:rFonts w:eastAsia="宋体" w:hint="eastAsia"/>
          <w:b/>
          <w:bCs w:val="0"/>
          <w:sz w:val="28"/>
          <w:szCs w:val="28"/>
        </w:rPr>
        <w:t>4.1.4</w:t>
      </w:r>
      <w:r w:rsidRPr="00927E76">
        <w:rPr>
          <w:rFonts w:eastAsia="宋体" w:hint="eastAsia"/>
          <w:b/>
          <w:bCs w:val="0"/>
          <w:sz w:val="28"/>
          <w:szCs w:val="28"/>
        </w:rPr>
        <w:t>建设期声环境影响分析与防治措施</w:t>
      </w:r>
      <w:bookmarkEnd w:id="360"/>
      <w:bookmarkEnd w:id="361"/>
      <w:bookmarkEnd w:id="362"/>
    </w:p>
    <w:p w:rsidR="00C223F5" w:rsidRPr="00927E76" w:rsidRDefault="005860D5">
      <w:pPr>
        <w:spacing w:line="360" w:lineRule="auto"/>
        <w:ind w:firstLineChars="200" w:firstLine="480"/>
        <w:rPr>
          <w:sz w:val="24"/>
        </w:rPr>
      </w:pPr>
      <w:r w:rsidRPr="00927E76">
        <w:rPr>
          <w:sz w:val="24"/>
        </w:rPr>
        <w:t>（</w:t>
      </w:r>
      <w:r w:rsidRPr="00927E76">
        <w:rPr>
          <w:sz w:val="24"/>
        </w:rPr>
        <w:t>1</w:t>
      </w:r>
      <w:r w:rsidRPr="00927E76">
        <w:rPr>
          <w:sz w:val="24"/>
        </w:rPr>
        <w:t>）施工期噪声源分析</w:t>
      </w:r>
    </w:p>
    <w:p w:rsidR="00C223F5" w:rsidRPr="00927E76" w:rsidRDefault="005860D5">
      <w:pPr>
        <w:spacing w:line="360" w:lineRule="auto"/>
        <w:ind w:firstLineChars="200" w:firstLine="480"/>
        <w:rPr>
          <w:bCs/>
          <w:sz w:val="24"/>
        </w:rPr>
      </w:pPr>
      <w:r w:rsidRPr="00927E76">
        <w:rPr>
          <w:sz w:val="24"/>
        </w:rPr>
        <w:t>项目施工过程中，主要噪声源是地面工程施工中的施工机械、以重型卡车、拖拉机为主的运输车辆产生的交通噪声，以及为井筒与井巷施工服务的通风机和压风机。类比确定的主要噪声源源强见表</w:t>
      </w:r>
      <w:r w:rsidRPr="00927E76">
        <w:rPr>
          <w:sz w:val="24"/>
        </w:rPr>
        <w:t>2.3.2-</w:t>
      </w:r>
      <w:r w:rsidRPr="00927E76">
        <w:rPr>
          <w:rFonts w:hint="eastAsia"/>
          <w:sz w:val="24"/>
        </w:rPr>
        <w:t>1</w:t>
      </w:r>
      <w:r w:rsidRPr="00927E76">
        <w:rPr>
          <w:bCs/>
          <w:sz w:val="24"/>
        </w:rPr>
        <w:t>。</w:t>
      </w:r>
    </w:p>
    <w:p w:rsidR="00C223F5" w:rsidRPr="00927E76" w:rsidRDefault="005860D5">
      <w:pPr>
        <w:spacing w:line="360" w:lineRule="auto"/>
        <w:ind w:firstLineChars="200" w:firstLine="480"/>
        <w:rPr>
          <w:bCs/>
          <w:sz w:val="24"/>
        </w:rPr>
      </w:pPr>
      <w:r w:rsidRPr="00927E76">
        <w:rPr>
          <w:sz w:val="24"/>
        </w:rPr>
        <w:t>（</w:t>
      </w:r>
      <w:r w:rsidRPr="00927E76">
        <w:rPr>
          <w:sz w:val="24"/>
        </w:rPr>
        <w:t>2</w:t>
      </w:r>
      <w:r w:rsidRPr="00927E76">
        <w:rPr>
          <w:sz w:val="24"/>
        </w:rPr>
        <w:t>）施工期噪声预测结果及分析</w:t>
      </w:r>
    </w:p>
    <w:p w:rsidR="00C223F5" w:rsidRPr="00927E76" w:rsidRDefault="005860D5">
      <w:pPr>
        <w:spacing w:line="360" w:lineRule="auto"/>
        <w:ind w:firstLineChars="200" w:firstLine="480"/>
        <w:rPr>
          <w:bCs/>
          <w:sz w:val="24"/>
        </w:rPr>
      </w:pPr>
      <w:r w:rsidRPr="00927E76">
        <w:rPr>
          <w:bCs/>
          <w:sz w:val="24"/>
        </w:rPr>
        <w:t>施工阶段一般露天作业，无隔声与消减措施，噪声传播较远，对场地周围影响较大。各个声源单独作用的超标范围见表</w:t>
      </w:r>
      <w:r w:rsidRPr="00927E76">
        <w:rPr>
          <w:rFonts w:hint="eastAsia"/>
          <w:bCs/>
          <w:sz w:val="24"/>
        </w:rPr>
        <w:t>4.1.4</w:t>
      </w:r>
      <w:r w:rsidRPr="00927E76">
        <w:rPr>
          <w:bCs/>
          <w:sz w:val="24"/>
        </w:rPr>
        <w:t>-1</w:t>
      </w:r>
      <w:r w:rsidRPr="00927E76">
        <w:rPr>
          <w:bCs/>
          <w:sz w:val="24"/>
        </w:rPr>
        <w:t>。由于施工场地内施工机械数量波动较大，要准确预测施工场地各厂界噪声值较为困难，下面根据不同施工阶段的施工机械组合情况，分析给出不同阶段施工阶段噪声超标范围，见表</w:t>
      </w:r>
      <w:r w:rsidRPr="00927E76">
        <w:rPr>
          <w:bCs/>
          <w:sz w:val="24"/>
        </w:rPr>
        <w:t>4.1.</w:t>
      </w:r>
      <w:r w:rsidRPr="00927E76">
        <w:rPr>
          <w:rFonts w:hint="eastAsia"/>
          <w:bCs/>
          <w:sz w:val="24"/>
        </w:rPr>
        <w:t>4</w:t>
      </w:r>
      <w:r w:rsidRPr="00927E76">
        <w:rPr>
          <w:bCs/>
          <w:sz w:val="24"/>
        </w:rPr>
        <w:t>-2</w:t>
      </w:r>
      <w:r w:rsidRPr="00927E76">
        <w:rPr>
          <w:bCs/>
          <w:sz w:val="24"/>
        </w:rPr>
        <w:t>。</w:t>
      </w:r>
    </w:p>
    <w:p w:rsidR="00C223F5" w:rsidRPr="00927E76" w:rsidRDefault="005860D5">
      <w:pPr>
        <w:spacing w:line="360" w:lineRule="auto"/>
        <w:ind w:firstLineChars="200" w:firstLine="480"/>
        <w:rPr>
          <w:bCs/>
          <w:sz w:val="24"/>
        </w:rPr>
      </w:pPr>
      <w:r w:rsidRPr="00927E76">
        <w:rPr>
          <w:bCs/>
          <w:sz w:val="24"/>
        </w:rPr>
        <w:t>由表</w:t>
      </w:r>
      <w:r w:rsidRPr="00927E76">
        <w:rPr>
          <w:bCs/>
          <w:sz w:val="24"/>
        </w:rPr>
        <w:t>4.1.</w:t>
      </w:r>
      <w:r w:rsidRPr="00927E76">
        <w:rPr>
          <w:rFonts w:hint="eastAsia"/>
          <w:bCs/>
          <w:sz w:val="24"/>
        </w:rPr>
        <w:t>4</w:t>
      </w:r>
      <w:r w:rsidRPr="00927E76">
        <w:rPr>
          <w:bCs/>
          <w:sz w:val="24"/>
        </w:rPr>
        <w:t>-1</w:t>
      </w:r>
      <w:r w:rsidRPr="00927E76">
        <w:rPr>
          <w:bCs/>
          <w:sz w:val="24"/>
        </w:rPr>
        <w:t>和</w:t>
      </w:r>
      <w:r w:rsidRPr="00927E76">
        <w:rPr>
          <w:bCs/>
          <w:sz w:val="24"/>
        </w:rPr>
        <w:t>4.1.</w:t>
      </w:r>
      <w:r w:rsidRPr="00927E76">
        <w:rPr>
          <w:rFonts w:hint="eastAsia"/>
          <w:bCs/>
          <w:sz w:val="24"/>
        </w:rPr>
        <w:t>4</w:t>
      </w:r>
      <w:r w:rsidRPr="00927E76">
        <w:rPr>
          <w:bCs/>
          <w:sz w:val="24"/>
        </w:rPr>
        <w:t>-2</w:t>
      </w:r>
      <w:r w:rsidRPr="00927E76">
        <w:rPr>
          <w:bCs/>
          <w:sz w:val="24"/>
        </w:rPr>
        <w:t>可以看出，重型卡车、拖拉机等交通工具和电锯、打桩</w:t>
      </w:r>
      <w:r w:rsidRPr="00927E76">
        <w:rPr>
          <w:bCs/>
          <w:sz w:val="24"/>
        </w:rPr>
        <w:lastRenderedPageBreak/>
        <w:t>机、推土机等噪声影响较大，昼间影响最大范围是</w:t>
      </w:r>
      <w:r w:rsidRPr="00927E76">
        <w:rPr>
          <w:bCs/>
          <w:sz w:val="24"/>
        </w:rPr>
        <w:t>150m</w:t>
      </w:r>
      <w:r w:rsidRPr="00927E76">
        <w:rPr>
          <w:bCs/>
          <w:sz w:val="24"/>
        </w:rPr>
        <w:t>，夜间影响范围是</w:t>
      </w:r>
      <w:r w:rsidRPr="00927E76">
        <w:rPr>
          <w:bCs/>
          <w:sz w:val="24"/>
        </w:rPr>
        <w:t>377m</w:t>
      </w:r>
      <w:r w:rsidRPr="00927E76">
        <w:rPr>
          <w:bCs/>
          <w:sz w:val="24"/>
        </w:rPr>
        <w:t>。在所有施工过程中打桩阶段昼间影响范围最大，夜间必须禁止施工。</w:t>
      </w:r>
    </w:p>
    <w:p w:rsidR="00C223F5" w:rsidRPr="00927E76" w:rsidRDefault="005860D5">
      <w:pPr>
        <w:pStyle w:val="p0"/>
        <w:spacing w:line="360" w:lineRule="auto"/>
        <w:ind w:firstLineChars="200" w:firstLine="480"/>
        <w:rPr>
          <w:rFonts w:ascii="宋体" w:hAnsi="宋体"/>
          <w:bCs/>
          <w:kern w:val="2"/>
          <w:szCs w:val="24"/>
        </w:rPr>
      </w:pPr>
      <w:r w:rsidRPr="00927E76">
        <w:rPr>
          <w:rFonts w:hint="eastAsia"/>
          <w:bCs/>
        </w:rPr>
        <w:t>由于</w:t>
      </w:r>
      <w:r w:rsidRPr="00927E76">
        <w:rPr>
          <w:bCs/>
          <w:szCs w:val="24"/>
        </w:rPr>
        <w:t>工业场地周围</w:t>
      </w:r>
      <w:r w:rsidRPr="00927E76">
        <w:rPr>
          <w:rFonts w:hint="eastAsia"/>
          <w:bCs/>
        </w:rPr>
        <w:t>分布有施阳台村、念枣坪村部分居民，</w:t>
      </w:r>
      <w:r w:rsidRPr="00927E76">
        <w:rPr>
          <w:bCs/>
          <w:szCs w:val="24"/>
        </w:rPr>
        <w:t>建设期施工噪声将对居民的正常生活</w:t>
      </w:r>
      <w:r w:rsidRPr="00927E76">
        <w:rPr>
          <w:rFonts w:hint="eastAsia"/>
          <w:bCs/>
        </w:rPr>
        <w:t>产生一定影响</w:t>
      </w:r>
      <w:r w:rsidRPr="00927E76">
        <w:rPr>
          <w:bCs/>
          <w:szCs w:val="24"/>
        </w:rPr>
        <w:t>。</w:t>
      </w:r>
      <w:r w:rsidRPr="00927E76">
        <w:rPr>
          <w:rFonts w:hint="eastAsia"/>
        </w:rPr>
        <w:t>由于建设期噪声</w:t>
      </w:r>
      <w:r w:rsidRPr="00927E76">
        <w:rPr>
          <w:szCs w:val="24"/>
        </w:rPr>
        <w:t>污染是局部的、短期的，工程完成之后这种影响就会消失，</w:t>
      </w:r>
      <w:r w:rsidRPr="00927E76">
        <w:rPr>
          <w:bCs/>
          <w:szCs w:val="24"/>
        </w:rPr>
        <w:t>为将施工期的噪声影响减缩到尽可能低的程度，环评建议在采取以下措施：</w:t>
      </w:r>
    </w:p>
    <w:p w:rsidR="00C223F5" w:rsidRPr="00927E76" w:rsidRDefault="005860D5">
      <w:pPr>
        <w:spacing w:line="360" w:lineRule="auto"/>
        <w:ind w:firstLineChars="200" w:firstLine="480"/>
        <w:rPr>
          <w:sz w:val="24"/>
        </w:rPr>
      </w:pPr>
      <w:r w:rsidRPr="00927E76">
        <w:rPr>
          <w:rFonts w:ascii="宋体" w:hAnsi="宋体" w:cs="宋体" w:hint="eastAsia"/>
          <w:sz w:val="24"/>
        </w:rPr>
        <w:t>①</w:t>
      </w:r>
      <w:r w:rsidRPr="00927E76">
        <w:rPr>
          <w:sz w:val="24"/>
        </w:rPr>
        <w:t>尽量采用低噪声施工机械及施工方法；对设备定期维修、养护；对闲置不用的设备立即关闭；按规定操作机械设备，支架拆卸、装卸材料做到轻拿轻放。</w:t>
      </w:r>
    </w:p>
    <w:p w:rsidR="00C223F5" w:rsidRPr="00927E76" w:rsidRDefault="005860D5">
      <w:pPr>
        <w:spacing w:line="360" w:lineRule="auto"/>
        <w:ind w:firstLineChars="200" w:firstLine="480"/>
        <w:rPr>
          <w:b/>
          <w:sz w:val="24"/>
        </w:rPr>
      </w:pPr>
      <w:r w:rsidRPr="00927E76">
        <w:rPr>
          <w:rFonts w:ascii="宋体" w:hAnsi="宋体" w:cs="宋体" w:hint="eastAsia"/>
          <w:sz w:val="24"/>
        </w:rPr>
        <w:t>②</w:t>
      </w:r>
      <w:r w:rsidRPr="00927E76">
        <w:rPr>
          <w:sz w:val="24"/>
        </w:rPr>
        <w:t>合理安排施工时间，夜间禁止施工，运输车辆也安排在白天进出</w:t>
      </w:r>
      <w:r w:rsidRPr="00927E76">
        <w:rPr>
          <w:rFonts w:ascii="宋体" w:hAnsi="宋体"/>
          <w:bCs/>
          <w:sz w:val="24"/>
        </w:rPr>
        <w:t>，减轻对沿途居民的影响</w:t>
      </w:r>
      <w:r w:rsidRPr="00927E76">
        <w:rPr>
          <w:sz w:val="24"/>
        </w:rPr>
        <w:t>。</w:t>
      </w:r>
    </w:p>
    <w:p w:rsidR="00C223F5" w:rsidRPr="00927E76" w:rsidRDefault="005860D5">
      <w:pPr>
        <w:spacing w:line="360" w:lineRule="auto"/>
        <w:ind w:firstLineChars="200" w:firstLine="480"/>
        <w:rPr>
          <w:kern w:val="0"/>
          <w:sz w:val="24"/>
        </w:rPr>
      </w:pPr>
      <w:r w:rsidRPr="00927E76">
        <w:rPr>
          <w:rFonts w:ascii="宋体" w:hAnsi="宋体" w:cs="宋体" w:hint="eastAsia"/>
          <w:sz w:val="24"/>
        </w:rPr>
        <w:t>③</w:t>
      </w:r>
      <w:r w:rsidRPr="00927E76">
        <w:rPr>
          <w:sz w:val="24"/>
        </w:rPr>
        <w:t>强化施工期噪声环境管理，文明施工，合理布局施工现场；施工现场应执行《建筑施工场界环境噪声排放标准》（</w:t>
      </w:r>
      <w:r w:rsidRPr="00927E76">
        <w:rPr>
          <w:sz w:val="24"/>
        </w:rPr>
        <w:t>GB12523-2011</w:t>
      </w:r>
      <w:r w:rsidRPr="00927E76">
        <w:rPr>
          <w:sz w:val="24"/>
        </w:rPr>
        <w:t>）中的规定要求，由施工企业对施工现场的噪声值进行监测和记录，超过限值必须调整施工强度；在施工过程定期和不定期走访居民，征询附近居民的意见，取得周边居民谅解。</w:t>
      </w:r>
    </w:p>
    <w:p w:rsidR="00C223F5" w:rsidRPr="00927E76" w:rsidRDefault="005860D5">
      <w:pPr>
        <w:jc w:val="center"/>
        <w:rPr>
          <w:rFonts w:eastAsia="新宋体"/>
          <w:b/>
          <w:sz w:val="24"/>
        </w:rPr>
      </w:pPr>
      <w:r w:rsidRPr="00927E76">
        <w:rPr>
          <w:b/>
          <w:bCs/>
          <w:sz w:val="24"/>
        </w:rPr>
        <w:t>表</w:t>
      </w:r>
      <w:r w:rsidRPr="00927E76">
        <w:rPr>
          <w:b/>
          <w:bCs/>
          <w:sz w:val="24"/>
        </w:rPr>
        <w:t>4.1.</w:t>
      </w:r>
      <w:r w:rsidRPr="00927E76">
        <w:rPr>
          <w:rFonts w:hint="eastAsia"/>
          <w:b/>
          <w:bCs/>
          <w:sz w:val="24"/>
        </w:rPr>
        <w:t>4</w:t>
      </w:r>
      <w:r w:rsidRPr="00927E76">
        <w:rPr>
          <w:b/>
          <w:bCs/>
          <w:sz w:val="24"/>
        </w:rPr>
        <w:t xml:space="preserve">-1   </w:t>
      </w:r>
      <w:r w:rsidRPr="00927E76">
        <w:rPr>
          <w:b/>
          <w:bCs/>
          <w:sz w:val="24"/>
        </w:rPr>
        <w:t>施工噪声影响预测结果（一）</w:t>
      </w:r>
    </w:p>
    <w:tbl>
      <w:tblPr>
        <w:tblW w:w="8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8"/>
        <w:gridCol w:w="2148"/>
        <w:gridCol w:w="1452"/>
        <w:gridCol w:w="1080"/>
        <w:gridCol w:w="1080"/>
        <w:gridCol w:w="1080"/>
        <w:gridCol w:w="983"/>
      </w:tblGrid>
      <w:tr w:rsidR="00C223F5" w:rsidRPr="00927E76" w:rsidTr="00075F93">
        <w:trPr>
          <w:trHeight w:val="315"/>
          <w:jc w:val="center"/>
        </w:trPr>
        <w:tc>
          <w:tcPr>
            <w:tcW w:w="498" w:type="dxa"/>
            <w:vMerge w:val="restart"/>
            <w:vAlign w:val="center"/>
          </w:tcPr>
          <w:p w:rsidR="00C223F5" w:rsidRPr="00927E76" w:rsidRDefault="005860D5">
            <w:pPr>
              <w:spacing w:line="300" w:lineRule="exact"/>
              <w:jc w:val="center"/>
              <w:rPr>
                <w:szCs w:val="21"/>
              </w:rPr>
            </w:pPr>
            <w:r w:rsidRPr="00927E76">
              <w:rPr>
                <w:szCs w:val="21"/>
              </w:rPr>
              <w:t>序号</w:t>
            </w:r>
          </w:p>
        </w:tc>
        <w:tc>
          <w:tcPr>
            <w:tcW w:w="2148" w:type="dxa"/>
            <w:vMerge w:val="restart"/>
            <w:vAlign w:val="center"/>
          </w:tcPr>
          <w:p w:rsidR="00C223F5" w:rsidRPr="00927E76" w:rsidRDefault="005860D5">
            <w:pPr>
              <w:spacing w:line="300" w:lineRule="exact"/>
              <w:jc w:val="center"/>
              <w:rPr>
                <w:szCs w:val="21"/>
              </w:rPr>
            </w:pPr>
            <w:r w:rsidRPr="00927E76">
              <w:rPr>
                <w:szCs w:val="21"/>
              </w:rPr>
              <w:t>声源名称</w:t>
            </w:r>
          </w:p>
        </w:tc>
        <w:tc>
          <w:tcPr>
            <w:tcW w:w="1452" w:type="dxa"/>
            <w:vMerge w:val="restart"/>
            <w:vAlign w:val="center"/>
          </w:tcPr>
          <w:p w:rsidR="00C223F5" w:rsidRPr="00927E76" w:rsidRDefault="005860D5">
            <w:pPr>
              <w:spacing w:line="300" w:lineRule="exact"/>
              <w:jc w:val="center"/>
              <w:rPr>
                <w:szCs w:val="21"/>
              </w:rPr>
            </w:pPr>
            <w:r w:rsidRPr="00927E76">
              <w:rPr>
                <w:szCs w:val="21"/>
              </w:rPr>
              <w:t>最高噪声级</w:t>
            </w:r>
            <w:r w:rsidRPr="00927E76">
              <w:rPr>
                <w:szCs w:val="21"/>
              </w:rPr>
              <w:t>dB(A)</w:t>
            </w:r>
          </w:p>
        </w:tc>
        <w:tc>
          <w:tcPr>
            <w:tcW w:w="2160" w:type="dxa"/>
            <w:gridSpan w:val="2"/>
            <w:tcBorders>
              <w:bottom w:val="single" w:sz="4" w:space="0" w:color="auto"/>
            </w:tcBorders>
            <w:vAlign w:val="center"/>
          </w:tcPr>
          <w:p w:rsidR="00C223F5" w:rsidRPr="00927E76" w:rsidRDefault="005860D5">
            <w:pPr>
              <w:spacing w:line="300" w:lineRule="exact"/>
              <w:jc w:val="center"/>
              <w:rPr>
                <w:szCs w:val="21"/>
              </w:rPr>
            </w:pPr>
            <w:r w:rsidRPr="00927E76">
              <w:rPr>
                <w:szCs w:val="21"/>
              </w:rPr>
              <w:t>评价标准</w:t>
            </w:r>
            <w:r w:rsidRPr="00927E76">
              <w:rPr>
                <w:szCs w:val="21"/>
              </w:rPr>
              <w:t>dB(A)</w:t>
            </w:r>
          </w:p>
        </w:tc>
        <w:tc>
          <w:tcPr>
            <w:tcW w:w="2063" w:type="dxa"/>
            <w:gridSpan w:val="2"/>
            <w:tcBorders>
              <w:bottom w:val="single" w:sz="4" w:space="0" w:color="auto"/>
            </w:tcBorders>
            <w:vAlign w:val="center"/>
          </w:tcPr>
          <w:p w:rsidR="00C223F5" w:rsidRPr="00927E76" w:rsidRDefault="005860D5">
            <w:pPr>
              <w:spacing w:line="300" w:lineRule="exact"/>
              <w:jc w:val="center"/>
              <w:rPr>
                <w:szCs w:val="21"/>
              </w:rPr>
            </w:pPr>
            <w:r w:rsidRPr="00927E76">
              <w:rPr>
                <w:szCs w:val="21"/>
              </w:rPr>
              <w:t>最大超标范围（</w:t>
            </w:r>
            <w:r w:rsidRPr="00927E76">
              <w:rPr>
                <w:szCs w:val="21"/>
              </w:rPr>
              <w:t>m</w:t>
            </w:r>
            <w:r w:rsidRPr="00927E76">
              <w:rPr>
                <w:szCs w:val="21"/>
              </w:rPr>
              <w:t>）</w:t>
            </w:r>
          </w:p>
        </w:tc>
      </w:tr>
      <w:tr w:rsidR="00C223F5" w:rsidRPr="00927E76" w:rsidTr="00075F93">
        <w:trPr>
          <w:trHeight w:val="308"/>
          <w:jc w:val="center"/>
        </w:trPr>
        <w:tc>
          <w:tcPr>
            <w:tcW w:w="498" w:type="dxa"/>
            <w:vMerge/>
            <w:tcBorders>
              <w:bottom w:val="single" w:sz="4" w:space="0" w:color="auto"/>
            </w:tcBorders>
            <w:vAlign w:val="center"/>
          </w:tcPr>
          <w:p w:rsidR="00C223F5" w:rsidRPr="00927E76" w:rsidRDefault="00C223F5">
            <w:pPr>
              <w:spacing w:line="300" w:lineRule="exact"/>
              <w:jc w:val="center"/>
              <w:rPr>
                <w:szCs w:val="21"/>
              </w:rPr>
            </w:pPr>
          </w:p>
        </w:tc>
        <w:tc>
          <w:tcPr>
            <w:tcW w:w="2148" w:type="dxa"/>
            <w:vMerge/>
            <w:tcBorders>
              <w:bottom w:val="single" w:sz="4" w:space="0" w:color="auto"/>
            </w:tcBorders>
            <w:vAlign w:val="center"/>
          </w:tcPr>
          <w:p w:rsidR="00C223F5" w:rsidRPr="00927E76" w:rsidRDefault="00C223F5">
            <w:pPr>
              <w:spacing w:line="300" w:lineRule="exact"/>
              <w:jc w:val="center"/>
              <w:rPr>
                <w:szCs w:val="21"/>
              </w:rPr>
            </w:pPr>
          </w:p>
        </w:tc>
        <w:tc>
          <w:tcPr>
            <w:tcW w:w="1452" w:type="dxa"/>
            <w:vMerge/>
            <w:tcBorders>
              <w:bottom w:val="single" w:sz="4" w:space="0" w:color="auto"/>
            </w:tcBorders>
            <w:vAlign w:val="center"/>
          </w:tcPr>
          <w:p w:rsidR="00C223F5" w:rsidRPr="00927E76" w:rsidRDefault="00C223F5">
            <w:pPr>
              <w:spacing w:line="300" w:lineRule="exact"/>
              <w:jc w:val="center"/>
              <w:rPr>
                <w:szCs w:val="21"/>
              </w:rPr>
            </w:pPr>
          </w:p>
        </w:tc>
        <w:tc>
          <w:tcPr>
            <w:tcW w:w="1080" w:type="dxa"/>
            <w:tcBorders>
              <w:bottom w:val="single" w:sz="4" w:space="0" w:color="auto"/>
            </w:tcBorders>
            <w:vAlign w:val="center"/>
          </w:tcPr>
          <w:p w:rsidR="00C223F5" w:rsidRPr="00927E76" w:rsidRDefault="005860D5">
            <w:pPr>
              <w:spacing w:line="300" w:lineRule="exact"/>
              <w:jc w:val="center"/>
              <w:rPr>
                <w:szCs w:val="21"/>
              </w:rPr>
            </w:pPr>
            <w:r w:rsidRPr="00927E76">
              <w:rPr>
                <w:szCs w:val="21"/>
              </w:rPr>
              <w:t>昼间</w:t>
            </w:r>
          </w:p>
        </w:tc>
        <w:tc>
          <w:tcPr>
            <w:tcW w:w="1080" w:type="dxa"/>
            <w:tcBorders>
              <w:bottom w:val="single" w:sz="4" w:space="0" w:color="auto"/>
            </w:tcBorders>
            <w:vAlign w:val="center"/>
          </w:tcPr>
          <w:p w:rsidR="00C223F5" w:rsidRPr="00927E76" w:rsidRDefault="005860D5">
            <w:pPr>
              <w:spacing w:line="300" w:lineRule="exact"/>
              <w:jc w:val="center"/>
              <w:rPr>
                <w:szCs w:val="21"/>
              </w:rPr>
            </w:pPr>
            <w:r w:rsidRPr="00927E76">
              <w:rPr>
                <w:szCs w:val="21"/>
              </w:rPr>
              <w:t>夜间</w:t>
            </w:r>
          </w:p>
        </w:tc>
        <w:tc>
          <w:tcPr>
            <w:tcW w:w="1080" w:type="dxa"/>
            <w:tcBorders>
              <w:bottom w:val="single" w:sz="4" w:space="0" w:color="auto"/>
            </w:tcBorders>
            <w:vAlign w:val="center"/>
          </w:tcPr>
          <w:p w:rsidR="00C223F5" w:rsidRPr="00927E76" w:rsidRDefault="005860D5">
            <w:pPr>
              <w:spacing w:line="300" w:lineRule="exact"/>
              <w:jc w:val="center"/>
              <w:rPr>
                <w:szCs w:val="21"/>
              </w:rPr>
            </w:pPr>
            <w:r w:rsidRPr="00927E76">
              <w:rPr>
                <w:szCs w:val="21"/>
              </w:rPr>
              <w:t>昼间</w:t>
            </w:r>
          </w:p>
        </w:tc>
        <w:tc>
          <w:tcPr>
            <w:tcW w:w="983" w:type="dxa"/>
            <w:tcBorders>
              <w:bottom w:val="single" w:sz="4" w:space="0" w:color="auto"/>
            </w:tcBorders>
            <w:vAlign w:val="center"/>
          </w:tcPr>
          <w:p w:rsidR="00C223F5" w:rsidRPr="00927E76" w:rsidRDefault="005860D5">
            <w:pPr>
              <w:spacing w:line="300" w:lineRule="exact"/>
              <w:jc w:val="center"/>
              <w:rPr>
                <w:szCs w:val="21"/>
              </w:rPr>
            </w:pPr>
            <w:r w:rsidRPr="00927E76">
              <w:rPr>
                <w:szCs w:val="21"/>
              </w:rPr>
              <w:t>夜间</w:t>
            </w:r>
          </w:p>
        </w:tc>
      </w:tr>
      <w:tr w:rsidR="00C223F5" w:rsidRPr="00927E76" w:rsidTr="00075F93">
        <w:trPr>
          <w:jc w:val="center"/>
        </w:trPr>
        <w:tc>
          <w:tcPr>
            <w:tcW w:w="498" w:type="dxa"/>
            <w:vAlign w:val="center"/>
          </w:tcPr>
          <w:p w:rsidR="00C223F5" w:rsidRPr="00927E76" w:rsidRDefault="005860D5">
            <w:pPr>
              <w:spacing w:line="300" w:lineRule="exact"/>
              <w:jc w:val="center"/>
              <w:rPr>
                <w:szCs w:val="21"/>
              </w:rPr>
            </w:pPr>
            <w:r w:rsidRPr="00927E76">
              <w:rPr>
                <w:szCs w:val="21"/>
              </w:rPr>
              <w:t>1</w:t>
            </w:r>
          </w:p>
        </w:tc>
        <w:tc>
          <w:tcPr>
            <w:tcW w:w="2148" w:type="dxa"/>
            <w:vAlign w:val="center"/>
          </w:tcPr>
          <w:p w:rsidR="00C223F5" w:rsidRPr="00927E76" w:rsidRDefault="005860D5">
            <w:pPr>
              <w:spacing w:line="300" w:lineRule="exact"/>
              <w:jc w:val="center"/>
              <w:rPr>
                <w:szCs w:val="21"/>
              </w:rPr>
            </w:pPr>
            <w:r w:rsidRPr="00927E76">
              <w:rPr>
                <w:szCs w:val="21"/>
              </w:rPr>
              <w:t>推土机</w:t>
            </w:r>
          </w:p>
        </w:tc>
        <w:tc>
          <w:tcPr>
            <w:tcW w:w="1452" w:type="dxa"/>
            <w:vAlign w:val="center"/>
          </w:tcPr>
          <w:p w:rsidR="00C223F5" w:rsidRPr="00927E76" w:rsidRDefault="005860D5">
            <w:pPr>
              <w:spacing w:line="300" w:lineRule="exact"/>
              <w:jc w:val="center"/>
              <w:rPr>
                <w:szCs w:val="21"/>
              </w:rPr>
            </w:pPr>
            <w:r w:rsidRPr="00927E76">
              <w:rPr>
                <w:szCs w:val="21"/>
              </w:rPr>
              <w:t>83(15m)</w:t>
            </w:r>
          </w:p>
        </w:tc>
        <w:tc>
          <w:tcPr>
            <w:tcW w:w="1080" w:type="dxa"/>
            <w:vMerge w:val="restart"/>
            <w:vAlign w:val="center"/>
          </w:tcPr>
          <w:p w:rsidR="00C223F5" w:rsidRPr="00927E76" w:rsidRDefault="005860D5">
            <w:pPr>
              <w:spacing w:line="300" w:lineRule="exact"/>
              <w:jc w:val="center"/>
              <w:rPr>
                <w:szCs w:val="21"/>
              </w:rPr>
            </w:pPr>
            <w:r w:rsidRPr="00927E76">
              <w:rPr>
                <w:szCs w:val="21"/>
              </w:rPr>
              <w:t>70</w:t>
            </w:r>
          </w:p>
        </w:tc>
        <w:tc>
          <w:tcPr>
            <w:tcW w:w="1080" w:type="dxa"/>
            <w:vMerge w:val="restart"/>
            <w:vAlign w:val="center"/>
          </w:tcPr>
          <w:p w:rsidR="00C223F5" w:rsidRPr="00927E76" w:rsidRDefault="005860D5">
            <w:pPr>
              <w:spacing w:line="300" w:lineRule="exact"/>
              <w:jc w:val="center"/>
              <w:rPr>
                <w:szCs w:val="21"/>
              </w:rPr>
            </w:pPr>
            <w:r w:rsidRPr="00927E76">
              <w:rPr>
                <w:szCs w:val="21"/>
              </w:rPr>
              <w:t>55</w:t>
            </w:r>
          </w:p>
        </w:tc>
        <w:tc>
          <w:tcPr>
            <w:tcW w:w="1080" w:type="dxa"/>
            <w:vAlign w:val="center"/>
          </w:tcPr>
          <w:p w:rsidR="00C223F5" w:rsidRPr="00927E76" w:rsidRDefault="005860D5">
            <w:pPr>
              <w:spacing w:line="300" w:lineRule="exact"/>
              <w:jc w:val="center"/>
              <w:rPr>
                <w:szCs w:val="21"/>
              </w:rPr>
            </w:pPr>
            <w:r w:rsidRPr="00927E76">
              <w:rPr>
                <w:szCs w:val="21"/>
              </w:rPr>
              <w:t>38</w:t>
            </w:r>
          </w:p>
        </w:tc>
        <w:tc>
          <w:tcPr>
            <w:tcW w:w="983" w:type="dxa"/>
            <w:vAlign w:val="center"/>
          </w:tcPr>
          <w:p w:rsidR="00C223F5" w:rsidRPr="00927E76" w:rsidRDefault="005860D5">
            <w:pPr>
              <w:spacing w:line="300" w:lineRule="exact"/>
              <w:jc w:val="center"/>
              <w:rPr>
                <w:szCs w:val="21"/>
              </w:rPr>
            </w:pPr>
            <w:r w:rsidRPr="00927E76">
              <w:rPr>
                <w:szCs w:val="21"/>
              </w:rPr>
              <w:t>377</w:t>
            </w:r>
          </w:p>
        </w:tc>
      </w:tr>
      <w:tr w:rsidR="00C223F5" w:rsidRPr="00927E76" w:rsidTr="00075F93">
        <w:trPr>
          <w:jc w:val="center"/>
        </w:trPr>
        <w:tc>
          <w:tcPr>
            <w:tcW w:w="498" w:type="dxa"/>
            <w:vAlign w:val="center"/>
          </w:tcPr>
          <w:p w:rsidR="00C223F5" w:rsidRPr="00927E76" w:rsidRDefault="005860D5">
            <w:pPr>
              <w:spacing w:line="300" w:lineRule="exact"/>
              <w:jc w:val="center"/>
              <w:rPr>
                <w:szCs w:val="21"/>
              </w:rPr>
            </w:pPr>
            <w:r w:rsidRPr="00927E76">
              <w:rPr>
                <w:szCs w:val="21"/>
              </w:rPr>
              <w:t>2</w:t>
            </w:r>
          </w:p>
        </w:tc>
        <w:tc>
          <w:tcPr>
            <w:tcW w:w="2148" w:type="dxa"/>
            <w:vAlign w:val="center"/>
          </w:tcPr>
          <w:p w:rsidR="00C223F5" w:rsidRPr="00927E76" w:rsidRDefault="005860D5">
            <w:pPr>
              <w:spacing w:line="300" w:lineRule="exact"/>
              <w:jc w:val="center"/>
              <w:rPr>
                <w:szCs w:val="21"/>
              </w:rPr>
            </w:pPr>
            <w:r w:rsidRPr="00927E76">
              <w:rPr>
                <w:szCs w:val="21"/>
              </w:rPr>
              <w:t>挖掘机</w:t>
            </w:r>
          </w:p>
        </w:tc>
        <w:tc>
          <w:tcPr>
            <w:tcW w:w="1452" w:type="dxa"/>
            <w:vAlign w:val="center"/>
          </w:tcPr>
          <w:p w:rsidR="00C223F5" w:rsidRPr="00927E76" w:rsidRDefault="005860D5">
            <w:pPr>
              <w:spacing w:line="300" w:lineRule="exact"/>
              <w:jc w:val="center"/>
              <w:rPr>
                <w:szCs w:val="21"/>
              </w:rPr>
            </w:pPr>
            <w:r w:rsidRPr="00927E76">
              <w:rPr>
                <w:szCs w:val="21"/>
              </w:rPr>
              <w:t>77(15m)</w:t>
            </w:r>
          </w:p>
        </w:tc>
        <w:tc>
          <w:tcPr>
            <w:tcW w:w="1080" w:type="dxa"/>
            <w:vMerge/>
            <w:vAlign w:val="center"/>
          </w:tcPr>
          <w:p w:rsidR="00C223F5" w:rsidRPr="00927E76" w:rsidRDefault="00C223F5">
            <w:pPr>
              <w:spacing w:line="300" w:lineRule="exact"/>
              <w:jc w:val="center"/>
              <w:rPr>
                <w:szCs w:val="21"/>
              </w:rPr>
            </w:pPr>
          </w:p>
        </w:tc>
        <w:tc>
          <w:tcPr>
            <w:tcW w:w="1080" w:type="dxa"/>
            <w:vMerge/>
            <w:vAlign w:val="center"/>
          </w:tcPr>
          <w:p w:rsidR="00C223F5" w:rsidRPr="00927E76" w:rsidRDefault="00C223F5">
            <w:pPr>
              <w:spacing w:line="300" w:lineRule="exact"/>
              <w:jc w:val="center"/>
              <w:rPr>
                <w:szCs w:val="21"/>
              </w:rPr>
            </w:pPr>
          </w:p>
        </w:tc>
        <w:tc>
          <w:tcPr>
            <w:tcW w:w="1080" w:type="dxa"/>
            <w:vAlign w:val="center"/>
          </w:tcPr>
          <w:p w:rsidR="00C223F5" w:rsidRPr="00927E76" w:rsidRDefault="005860D5">
            <w:pPr>
              <w:spacing w:line="300" w:lineRule="exact"/>
              <w:jc w:val="center"/>
              <w:rPr>
                <w:szCs w:val="21"/>
              </w:rPr>
            </w:pPr>
            <w:r w:rsidRPr="00927E76">
              <w:rPr>
                <w:szCs w:val="21"/>
              </w:rPr>
              <w:t>19</w:t>
            </w:r>
          </w:p>
        </w:tc>
        <w:tc>
          <w:tcPr>
            <w:tcW w:w="983" w:type="dxa"/>
            <w:vAlign w:val="center"/>
          </w:tcPr>
          <w:p w:rsidR="00C223F5" w:rsidRPr="00927E76" w:rsidRDefault="005860D5">
            <w:pPr>
              <w:spacing w:line="300" w:lineRule="exact"/>
              <w:jc w:val="center"/>
              <w:rPr>
                <w:szCs w:val="21"/>
              </w:rPr>
            </w:pPr>
            <w:r w:rsidRPr="00927E76">
              <w:rPr>
                <w:szCs w:val="21"/>
              </w:rPr>
              <w:t>189</w:t>
            </w:r>
          </w:p>
        </w:tc>
      </w:tr>
      <w:tr w:rsidR="00C223F5" w:rsidRPr="00927E76" w:rsidTr="00075F93">
        <w:trPr>
          <w:jc w:val="center"/>
        </w:trPr>
        <w:tc>
          <w:tcPr>
            <w:tcW w:w="498" w:type="dxa"/>
            <w:vAlign w:val="center"/>
          </w:tcPr>
          <w:p w:rsidR="00C223F5" w:rsidRPr="00927E76" w:rsidRDefault="005860D5">
            <w:pPr>
              <w:spacing w:line="300" w:lineRule="exact"/>
              <w:jc w:val="center"/>
              <w:rPr>
                <w:szCs w:val="21"/>
              </w:rPr>
            </w:pPr>
            <w:r w:rsidRPr="00927E76">
              <w:rPr>
                <w:szCs w:val="21"/>
              </w:rPr>
              <w:t>3</w:t>
            </w:r>
          </w:p>
        </w:tc>
        <w:tc>
          <w:tcPr>
            <w:tcW w:w="2148" w:type="dxa"/>
            <w:vAlign w:val="center"/>
          </w:tcPr>
          <w:p w:rsidR="00C223F5" w:rsidRPr="00927E76" w:rsidRDefault="005860D5">
            <w:pPr>
              <w:spacing w:line="300" w:lineRule="exact"/>
              <w:jc w:val="center"/>
              <w:rPr>
                <w:szCs w:val="21"/>
              </w:rPr>
            </w:pPr>
            <w:r w:rsidRPr="00927E76">
              <w:rPr>
                <w:szCs w:val="21"/>
              </w:rPr>
              <w:t>混凝土搅拌机</w:t>
            </w:r>
          </w:p>
        </w:tc>
        <w:tc>
          <w:tcPr>
            <w:tcW w:w="1452" w:type="dxa"/>
            <w:vAlign w:val="center"/>
          </w:tcPr>
          <w:p w:rsidR="00C223F5" w:rsidRPr="00927E76" w:rsidRDefault="005860D5">
            <w:pPr>
              <w:spacing w:line="300" w:lineRule="exact"/>
              <w:jc w:val="center"/>
              <w:rPr>
                <w:szCs w:val="21"/>
              </w:rPr>
            </w:pPr>
            <w:r w:rsidRPr="00927E76">
              <w:rPr>
                <w:szCs w:val="21"/>
              </w:rPr>
              <w:t>89(1m)</w:t>
            </w:r>
          </w:p>
        </w:tc>
        <w:tc>
          <w:tcPr>
            <w:tcW w:w="1080" w:type="dxa"/>
            <w:vMerge/>
            <w:vAlign w:val="center"/>
          </w:tcPr>
          <w:p w:rsidR="00C223F5" w:rsidRPr="00927E76" w:rsidRDefault="00C223F5">
            <w:pPr>
              <w:spacing w:line="300" w:lineRule="exact"/>
              <w:jc w:val="center"/>
              <w:rPr>
                <w:szCs w:val="21"/>
              </w:rPr>
            </w:pPr>
          </w:p>
        </w:tc>
        <w:tc>
          <w:tcPr>
            <w:tcW w:w="1080" w:type="dxa"/>
            <w:vMerge/>
            <w:vAlign w:val="center"/>
          </w:tcPr>
          <w:p w:rsidR="00C223F5" w:rsidRPr="00927E76" w:rsidRDefault="00C223F5">
            <w:pPr>
              <w:spacing w:line="300" w:lineRule="exact"/>
              <w:jc w:val="center"/>
              <w:rPr>
                <w:szCs w:val="21"/>
              </w:rPr>
            </w:pPr>
          </w:p>
        </w:tc>
        <w:tc>
          <w:tcPr>
            <w:tcW w:w="1080" w:type="dxa"/>
            <w:vAlign w:val="center"/>
          </w:tcPr>
          <w:p w:rsidR="00C223F5" w:rsidRPr="00927E76" w:rsidRDefault="005860D5">
            <w:pPr>
              <w:spacing w:line="300" w:lineRule="exact"/>
              <w:jc w:val="center"/>
              <w:rPr>
                <w:szCs w:val="21"/>
              </w:rPr>
            </w:pPr>
            <w:r w:rsidRPr="00927E76">
              <w:rPr>
                <w:szCs w:val="21"/>
              </w:rPr>
              <w:t>9</w:t>
            </w:r>
          </w:p>
        </w:tc>
        <w:tc>
          <w:tcPr>
            <w:tcW w:w="983" w:type="dxa"/>
            <w:vAlign w:val="center"/>
          </w:tcPr>
          <w:p w:rsidR="00C223F5" w:rsidRPr="00927E76" w:rsidRDefault="005860D5">
            <w:pPr>
              <w:spacing w:line="300" w:lineRule="exact"/>
              <w:jc w:val="center"/>
              <w:rPr>
                <w:szCs w:val="21"/>
              </w:rPr>
            </w:pPr>
            <w:r w:rsidRPr="00927E76">
              <w:rPr>
                <w:szCs w:val="21"/>
              </w:rPr>
              <w:t>50</w:t>
            </w:r>
          </w:p>
        </w:tc>
      </w:tr>
      <w:tr w:rsidR="00C223F5" w:rsidRPr="00927E76" w:rsidTr="00075F93">
        <w:trPr>
          <w:jc w:val="center"/>
        </w:trPr>
        <w:tc>
          <w:tcPr>
            <w:tcW w:w="498" w:type="dxa"/>
            <w:vAlign w:val="center"/>
          </w:tcPr>
          <w:p w:rsidR="00C223F5" w:rsidRPr="00927E76" w:rsidRDefault="005860D5">
            <w:pPr>
              <w:spacing w:line="300" w:lineRule="exact"/>
              <w:jc w:val="center"/>
              <w:rPr>
                <w:szCs w:val="21"/>
              </w:rPr>
            </w:pPr>
            <w:r w:rsidRPr="00927E76">
              <w:rPr>
                <w:szCs w:val="21"/>
              </w:rPr>
              <w:t>4</w:t>
            </w:r>
          </w:p>
        </w:tc>
        <w:tc>
          <w:tcPr>
            <w:tcW w:w="2148" w:type="dxa"/>
            <w:vAlign w:val="center"/>
          </w:tcPr>
          <w:p w:rsidR="00C223F5" w:rsidRPr="00927E76" w:rsidRDefault="005860D5">
            <w:pPr>
              <w:spacing w:line="300" w:lineRule="exact"/>
              <w:jc w:val="center"/>
              <w:rPr>
                <w:szCs w:val="21"/>
              </w:rPr>
            </w:pPr>
            <w:r w:rsidRPr="00927E76">
              <w:rPr>
                <w:szCs w:val="21"/>
              </w:rPr>
              <w:t>打桩机</w:t>
            </w:r>
          </w:p>
        </w:tc>
        <w:tc>
          <w:tcPr>
            <w:tcW w:w="1452" w:type="dxa"/>
            <w:vAlign w:val="center"/>
          </w:tcPr>
          <w:p w:rsidR="00C223F5" w:rsidRPr="00927E76" w:rsidRDefault="005860D5">
            <w:pPr>
              <w:spacing w:line="300" w:lineRule="exact"/>
              <w:jc w:val="center"/>
              <w:rPr>
                <w:szCs w:val="21"/>
              </w:rPr>
            </w:pPr>
            <w:r w:rsidRPr="00927E76">
              <w:rPr>
                <w:szCs w:val="21"/>
              </w:rPr>
              <w:t>105(15m)</w:t>
            </w:r>
          </w:p>
        </w:tc>
        <w:tc>
          <w:tcPr>
            <w:tcW w:w="1080" w:type="dxa"/>
            <w:vMerge/>
            <w:vAlign w:val="center"/>
          </w:tcPr>
          <w:p w:rsidR="00C223F5" w:rsidRPr="00927E76" w:rsidRDefault="00C223F5">
            <w:pPr>
              <w:spacing w:line="300" w:lineRule="exact"/>
              <w:jc w:val="center"/>
              <w:rPr>
                <w:szCs w:val="21"/>
              </w:rPr>
            </w:pPr>
          </w:p>
        </w:tc>
        <w:tc>
          <w:tcPr>
            <w:tcW w:w="1080" w:type="dxa"/>
            <w:vMerge/>
            <w:vAlign w:val="center"/>
          </w:tcPr>
          <w:p w:rsidR="00C223F5" w:rsidRPr="00927E76" w:rsidRDefault="00C223F5">
            <w:pPr>
              <w:spacing w:line="300" w:lineRule="exact"/>
              <w:jc w:val="center"/>
              <w:rPr>
                <w:szCs w:val="21"/>
              </w:rPr>
            </w:pPr>
          </w:p>
        </w:tc>
        <w:tc>
          <w:tcPr>
            <w:tcW w:w="1080" w:type="dxa"/>
            <w:vAlign w:val="center"/>
          </w:tcPr>
          <w:p w:rsidR="00C223F5" w:rsidRPr="00927E76" w:rsidRDefault="005860D5">
            <w:pPr>
              <w:spacing w:line="300" w:lineRule="exact"/>
              <w:jc w:val="center"/>
              <w:rPr>
                <w:szCs w:val="21"/>
              </w:rPr>
            </w:pPr>
            <w:r w:rsidRPr="00927E76">
              <w:rPr>
                <w:szCs w:val="21"/>
              </w:rPr>
              <w:t>150</w:t>
            </w:r>
          </w:p>
        </w:tc>
        <w:tc>
          <w:tcPr>
            <w:tcW w:w="983" w:type="dxa"/>
            <w:vAlign w:val="center"/>
          </w:tcPr>
          <w:p w:rsidR="00C223F5" w:rsidRPr="00927E76" w:rsidRDefault="005860D5">
            <w:pPr>
              <w:spacing w:line="300" w:lineRule="exact"/>
              <w:jc w:val="center"/>
              <w:rPr>
                <w:szCs w:val="21"/>
              </w:rPr>
            </w:pPr>
            <w:r w:rsidRPr="00927E76">
              <w:rPr>
                <w:szCs w:val="21"/>
              </w:rPr>
              <w:t>/</w:t>
            </w:r>
          </w:p>
        </w:tc>
      </w:tr>
      <w:tr w:rsidR="00C223F5" w:rsidRPr="00927E76" w:rsidTr="00075F93">
        <w:trPr>
          <w:jc w:val="center"/>
        </w:trPr>
        <w:tc>
          <w:tcPr>
            <w:tcW w:w="498" w:type="dxa"/>
            <w:vAlign w:val="center"/>
          </w:tcPr>
          <w:p w:rsidR="00C223F5" w:rsidRPr="00927E76" w:rsidRDefault="005860D5">
            <w:pPr>
              <w:spacing w:line="300" w:lineRule="exact"/>
              <w:jc w:val="center"/>
              <w:rPr>
                <w:szCs w:val="21"/>
              </w:rPr>
            </w:pPr>
            <w:r w:rsidRPr="00927E76">
              <w:rPr>
                <w:szCs w:val="21"/>
              </w:rPr>
              <w:t>5</w:t>
            </w:r>
          </w:p>
        </w:tc>
        <w:tc>
          <w:tcPr>
            <w:tcW w:w="2148" w:type="dxa"/>
            <w:vAlign w:val="center"/>
          </w:tcPr>
          <w:p w:rsidR="00C223F5" w:rsidRPr="00927E76" w:rsidRDefault="005860D5">
            <w:pPr>
              <w:spacing w:line="300" w:lineRule="exact"/>
              <w:jc w:val="center"/>
              <w:rPr>
                <w:szCs w:val="21"/>
              </w:rPr>
            </w:pPr>
            <w:r w:rsidRPr="00927E76">
              <w:rPr>
                <w:szCs w:val="21"/>
              </w:rPr>
              <w:t>振捣机</w:t>
            </w:r>
          </w:p>
        </w:tc>
        <w:tc>
          <w:tcPr>
            <w:tcW w:w="1452" w:type="dxa"/>
            <w:vAlign w:val="center"/>
          </w:tcPr>
          <w:p w:rsidR="00C223F5" w:rsidRPr="00927E76" w:rsidRDefault="005860D5">
            <w:pPr>
              <w:spacing w:line="300" w:lineRule="exact"/>
              <w:jc w:val="center"/>
              <w:rPr>
                <w:szCs w:val="21"/>
              </w:rPr>
            </w:pPr>
            <w:r w:rsidRPr="00927E76">
              <w:rPr>
                <w:szCs w:val="21"/>
              </w:rPr>
              <w:t>93(1m)</w:t>
            </w:r>
          </w:p>
        </w:tc>
        <w:tc>
          <w:tcPr>
            <w:tcW w:w="1080" w:type="dxa"/>
            <w:vMerge/>
            <w:vAlign w:val="center"/>
          </w:tcPr>
          <w:p w:rsidR="00C223F5" w:rsidRPr="00927E76" w:rsidRDefault="00C223F5">
            <w:pPr>
              <w:spacing w:line="300" w:lineRule="exact"/>
              <w:jc w:val="center"/>
              <w:rPr>
                <w:szCs w:val="21"/>
              </w:rPr>
            </w:pPr>
          </w:p>
        </w:tc>
        <w:tc>
          <w:tcPr>
            <w:tcW w:w="1080" w:type="dxa"/>
            <w:vMerge/>
            <w:vAlign w:val="center"/>
          </w:tcPr>
          <w:p w:rsidR="00C223F5" w:rsidRPr="00927E76" w:rsidRDefault="00C223F5">
            <w:pPr>
              <w:spacing w:line="300" w:lineRule="exact"/>
              <w:jc w:val="center"/>
              <w:rPr>
                <w:szCs w:val="21"/>
              </w:rPr>
            </w:pPr>
          </w:p>
        </w:tc>
        <w:tc>
          <w:tcPr>
            <w:tcW w:w="1080" w:type="dxa"/>
            <w:vAlign w:val="center"/>
          </w:tcPr>
          <w:p w:rsidR="00C223F5" w:rsidRPr="00927E76" w:rsidRDefault="005860D5">
            <w:pPr>
              <w:spacing w:line="300" w:lineRule="exact"/>
              <w:jc w:val="center"/>
              <w:rPr>
                <w:szCs w:val="21"/>
              </w:rPr>
            </w:pPr>
            <w:r w:rsidRPr="00927E76">
              <w:rPr>
                <w:szCs w:val="21"/>
              </w:rPr>
              <w:t>14</w:t>
            </w:r>
          </w:p>
        </w:tc>
        <w:tc>
          <w:tcPr>
            <w:tcW w:w="983" w:type="dxa"/>
            <w:vAlign w:val="center"/>
          </w:tcPr>
          <w:p w:rsidR="00C223F5" w:rsidRPr="00927E76" w:rsidRDefault="005860D5">
            <w:pPr>
              <w:spacing w:line="300" w:lineRule="exact"/>
              <w:jc w:val="center"/>
              <w:rPr>
                <w:szCs w:val="21"/>
              </w:rPr>
            </w:pPr>
            <w:r w:rsidRPr="00927E76">
              <w:rPr>
                <w:szCs w:val="21"/>
              </w:rPr>
              <w:t>79</w:t>
            </w:r>
          </w:p>
        </w:tc>
      </w:tr>
      <w:tr w:rsidR="00C223F5" w:rsidRPr="00927E76" w:rsidTr="00075F93">
        <w:trPr>
          <w:jc w:val="center"/>
        </w:trPr>
        <w:tc>
          <w:tcPr>
            <w:tcW w:w="498" w:type="dxa"/>
            <w:vAlign w:val="center"/>
          </w:tcPr>
          <w:p w:rsidR="00C223F5" w:rsidRPr="00927E76" w:rsidRDefault="005860D5">
            <w:pPr>
              <w:spacing w:line="300" w:lineRule="exact"/>
              <w:jc w:val="center"/>
              <w:rPr>
                <w:szCs w:val="21"/>
              </w:rPr>
            </w:pPr>
            <w:r w:rsidRPr="00927E76">
              <w:rPr>
                <w:szCs w:val="21"/>
              </w:rPr>
              <w:t>6</w:t>
            </w:r>
          </w:p>
        </w:tc>
        <w:tc>
          <w:tcPr>
            <w:tcW w:w="2148" w:type="dxa"/>
            <w:vAlign w:val="center"/>
          </w:tcPr>
          <w:p w:rsidR="00C223F5" w:rsidRPr="00927E76" w:rsidRDefault="005860D5">
            <w:pPr>
              <w:spacing w:line="300" w:lineRule="exact"/>
              <w:jc w:val="center"/>
              <w:rPr>
                <w:szCs w:val="21"/>
              </w:rPr>
            </w:pPr>
            <w:r w:rsidRPr="00927E76">
              <w:rPr>
                <w:szCs w:val="21"/>
              </w:rPr>
              <w:t>电据</w:t>
            </w:r>
          </w:p>
        </w:tc>
        <w:tc>
          <w:tcPr>
            <w:tcW w:w="1452" w:type="dxa"/>
            <w:vAlign w:val="center"/>
          </w:tcPr>
          <w:p w:rsidR="00C223F5" w:rsidRPr="00927E76" w:rsidRDefault="005860D5">
            <w:pPr>
              <w:spacing w:line="300" w:lineRule="exact"/>
              <w:jc w:val="center"/>
              <w:rPr>
                <w:szCs w:val="21"/>
              </w:rPr>
            </w:pPr>
            <w:r w:rsidRPr="00927E76">
              <w:rPr>
                <w:szCs w:val="21"/>
              </w:rPr>
              <w:t>103(1m)</w:t>
            </w:r>
          </w:p>
        </w:tc>
        <w:tc>
          <w:tcPr>
            <w:tcW w:w="1080" w:type="dxa"/>
            <w:vMerge/>
            <w:vAlign w:val="center"/>
          </w:tcPr>
          <w:p w:rsidR="00C223F5" w:rsidRPr="00927E76" w:rsidRDefault="00C223F5">
            <w:pPr>
              <w:spacing w:line="300" w:lineRule="exact"/>
              <w:jc w:val="center"/>
              <w:rPr>
                <w:szCs w:val="21"/>
              </w:rPr>
            </w:pPr>
          </w:p>
        </w:tc>
        <w:tc>
          <w:tcPr>
            <w:tcW w:w="1080" w:type="dxa"/>
            <w:vMerge/>
            <w:vAlign w:val="center"/>
          </w:tcPr>
          <w:p w:rsidR="00C223F5" w:rsidRPr="00927E76" w:rsidRDefault="00C223F5">
            <w:pPr>
              <w:spacing w:line="300" w:lineRule="exact"/>
              <w:jc w:val="center"/>
              <w:rPr>
                <w:szCs w:val="21"/>
              </w:rPr>
            </w:pPr>
          </w:p>
        </w:tc>
        <w:tc>
          <w:tcPr>
            <w:tcW w:w="1080" w:type="dxa"/>
            <w:vAlign w:val="center"/>
          </w:tcPr>
          <w:p w:rsidR="00C223F5" w:rsidRPr="00927E76" w:rsidRDefault="005860D5">
            <w:pPr>
              <w:spacing w:line="300" w:lineRule="exact"/>
              <w:jc w:val="center"/>
              <w:rPr>
                <w:szCs w:val="21"/>
              </w:rPr>
            </w:pPr>
            <w:r w:rsidRPr="00927E76">
              <w:rPr>
                <w:szCs w:val="21"/>
              </w:rPr>
              <w:t>45</w:t>
            </w:r>
          </w:p>
        </w:tc>
        <w:tc>
          <w:tcPr>
            <w:tcW w:w="983" w:type="dxa"/>
            <w:vAlign w:val="center"/>
          </w:tcPr>
          <w:p w:rsidR="00C223F5" w:rsidRPr="00927E76" w:rsidRDefault="005860D5">
            <w:pPr>
              <w:spacing w:line="300" w:lineRule="exact"/>
              <w:jc w:val="center"/>
              <w:rPr>
                <w:szCs w:val="21"/>
              </w:rPr>
            </w:pPr>
            <w:r w:rsidRPr="00927E76">
              <w:rPr>
                <w:szCs w:val="21"/>
              </w:rPr>
              <w:t>251</w:t>
            </w:r>
          </w:p>
        </w:tc>
      </w:tr>
      <w:tr w:rsidR="00C223F5" w:rsidRPr="00927E76" w:rsidTr="00075F93">
        <w:trPr>
          <w:jc w:val="center"/>
        </w:trPr>
        <w:tc>
          <w:tcPr>
            <w:tcW w:w="498" w:type="dxa"/>
            <w:vAlign w:val="center"/>
          </w:tcPr>
          <w:p w:rsidR="00C223F5" w:rsidRPr="00927E76" w:rsidRDefault="005860D5">
            <w:pPr>
              <w:spacing w:line="300" w:lineRule="exact"/>
              <w:jc w:val="center"/>
              <w:rPr>
                <w:szCs w:val="21"/>
              </w:rPr>
            </w:pPr>
            <w:r w:rsidRPr="00927E76">
              <w:rPr>
                <w:szCs w:val="21"/>
              </w:rPr>
              <w:t>7</w:t>
            </w:r>
          </w:p>
        </w:tc>
        <w:tc>
          <w:tcPr>
            <w:tcW w:w="2148" w:type="dxa"/>
            <w:vAlign w:val="center"/>
          </w:tcPr>
          <w:p w:rsidR="00C223F5" w:rsidRPr="00927E76" w:rsidRDefault="005860D5">
            <w:pPr>
              <w:spacing w:line="300" w:lineRule="exact"/>
              <w:jc w:val="center"/>
              <w:rPr>
                <w:szCs w:val="21"/>
              </w:rPr>
            </w:pPr>
            <w:r w:rsidRPr="00927E76">
              <w:rPr>
                <w:szCs w:val="21"/>
              </w:rPr>
              <w:t>吊车</w:t>
            </w:r>
          </w:p>
        </w:tc>
        <w:tc>
          <w:tcPr>
            <w:tcW w:w="1452" w:type="dxa"/>
            <w:vAlign w:val="center"/>
          </w:tcPr>
          <w:p w:rsidR="00C223F5" w:rsidRPr="00927E76" w:rsidRDefault="005860D5">
            <w:pPr>
              <w:spacing w:line="300" w:lineRule="exact"/>
              <w:jc w:val="center"/>
              <w:rPr>
                <w:szCs w:val="21"/>
              </w:rPr>
            </w:pPr>
            <w:r w:rsidRPr="00927E76">
              <w:rPr>
                <w:szCs w:val="21"/>
              </w:rPr>
              <w:t>73(15m)</w:t>
            </w:r>
          </w:p>
        </w:tc>
        <w:tc>
          <w:tcPr>
            <w:tcW w:w="1080" w:type="dxa"/>
            <w:vMerge/>
            <w:vAlign w:val="center"/>
          </w:tcPr>
          <w:p w:rsidR="00C223F5" w:rsidRPr="00927E76" w:rsidRDefault="00C223F5">
            <w:pPr>
              <w:spacing w:line="300" w:lineRule="exact"/>
              <w:jc w:val="center"/>
              <w:rPr>
                <w:szCs w:val="21"/>
              </w:rPr>
            </w:pPr>
          </w:p>
        </w:tc>
        <w:tc>
          <w:tcPr>
            <w:tcW w:w="1080" w:type="dxa"/>
            <w:vMerge/>
            <w:vAlign w:val="center"/>
          </w:tcPr>
          <w:p w:rsidR="00C223F5" w:rsidRPr="00927E76" w:rsidRDefault="00C223F5">
            <w:pPr>
              <w:spacing w:line="300" w:lineRule="exact"/>
              <w:jc w:val="center"/>
              <w:rPr>
                <w:szCs w:val="21"/>
              </w:rPr>
            </w:pPr>
          </w:p>
        </w:tc>
        <w:tc>
          <w:tcPr>
            <w:tcW w:w="1080" w:type="dxa"/>
            <w:vAlign w:val="center"/>
          </w:tcPr>
          <w:p w:rsidR="00C223F5" w:rsidRPr="00927E76" w:rsidRDefault="005860D5">
            <w:pPr>
              <w:spacing w:line="300" w:lineRule="exact"/>
              <w:jc w:val="center"/>
              <w:rPr>
                <w:szCs w:val="21"/>
              </w:rPr>
            </w:pPr>
            <w:r w:rsidRPr="00927E76">
              <w:rPr>
                <w:szCs w:val="21"/>
              </w:rPr>
              <w:t>38</w:t>
            </w:r>
          </w:p>
        </w:tc>
        <w:tc>
          <w:tcPr>
            <w:tcW w:w="983" w:type="dxa"/>
            <w:vAlign w:val="center"/>
          </w:tcPr>
          <w:p w:rsidR="00C223F5" w:rsidRPr="00927E76" w:rsidRDefault="005860D5">
            <w:pPr>
              <w:spacing w:line="300" w:lineRule="exact"/>
              <w:jc w:val="center"/>
              <w:rPr>
                <w:szCs w:val="21"/>
              </w:rPr>
            </w:pPr>
            <w:r w:rsidRPr="00927E76">
              <w:rPr>
                <w:szCs w:val="21"/>
              </w:rPr>
              <w:t>119</w:t>
            </w:r>
          </w:p>
        </w:tc>
      </w:tr>
      <w:tr w:rsidR="00C223F5" w:rsidRPr="00927E76" w:rsidTr="00075F93">
        <w:trPr>
          <w:jc w:val="center"/>
        </w:trPr>
        <w:tc>
          <w:tcPr>
            <w:tcW w:w="498" w:type="dxa"/>
            <w:vAlign w:val="center"/>
          </w:tcPr>
          <w:p w:rsidR="00C223F5" w:rsidRPr="00927E76" w:rsidRDefault="005860D5">
            <w:pPr>
              <w:spacing w:line="300" w:lineRule="exact"/>
              <w:jc w:val="center"/>
              <w:rPr>
                <w:szCs w:val="21"/>
              </w:rPr>
            </w:pPr>
            <w:r w:rsidRPr="00927E76">
              <w:rPr>
                <w:szCs w:val="21"/>
              </w:rPr>
              <w:t>8</w:t>
            </w:r>
          </w:p>
        </w:tc>
        <w:tc>
          <w:tcPr>
            <w:tcW w:w="2148" w:type="dxa"/>
            <w:vAlign w:val="center"/>
          </w:tcPr>
          <w:p w:rsidR="00C223F5" w:rsidRPr="00927E76" w:rsidRDefault="005860D5">
            <w:pPr>
              <w:spacing w:line="300" w:lineRule="exact"/>
              <w:jc w:val="center"/>
              <w:rPr>
                <w:szCs w:val="21"/>
              </w:rPr>
            </w:pPr>
            <w:r w:rsidRPr="00927E76">
              <w:rPr>
                <w:szCs w:val="21"/>
              </w:rPr>
              <w:t>升降机</w:t>
            </w:r>
          </w:p>
        </w:tc>
        <w:tc>
          <w:tcPr>
            <w:tcW w:w="1452" w:type="dxa"/>
            <w:vAlign w:val="center"/>
          </w:tcPr>
          <w:p w:rsidR="00C223F5" w:rsidRPr="00927E76" w:rsidRDefault="005860D5">
            <w:pPr>
              <w:spacing w:line="300" w:lineRule="exact"/>
              <w:jc w:val="center"/>
              <w:rPr>
                <w:szCs w:val="21"/>
              </w:rPr>
            </w:pPr>
            <w:r w:rsidRPr="00927E76">
              <w:rPr>
                <w:szCs w:val="21"/>
              </w:rPr>
              <w:t>78(1m)</w:t>
            </w:r>
          </w:p>
        </w:tc>
        <w:tc>
          <w:tcPr>
            <w:tcW w:w="1080" w:type="dxa"/>
            <w:vMerge/>
            <w:vAlign w:val="center"/>
          </w:tcPr>
          <w:p w:rsidR="00C223F5" w:rsidRPr="00927E76" w:rsidRDefault="00C223F5">
            <w:pPr>
              <w:spacing w:line="300" w:lineRule="exact"/>
              <w:jc w:val="center"/>
              <w:rPr>
                <w:szCs w:val="21"/>
              </w:rPr>
            </w:pPr>
          </w:p>
        </w:tc>
        <w:tc>
          <w:tcPr>
            <w:tcW w:w="1080" w:type="dxa"/>
            <w:vMerge/>
            <w:vAlign w:val="center"/>
          </w:tcPr>
          <w:p w:rsidR="00C223F5" w:rsidRPr="00927E76" w:rsidRDefault="00C223F5">
            <w:pPr>
              <w:spacing w:line="300" w:lineRule="exact"/>
              <w:jc w:val="center"/>
              <w:rPr>
                <w:szCs w:val="21"/>
              </w:rPr>
            </w:pPr>
          </w:p>
        </w:tc>
        <w:tc>
          <w:tcPr>
            <w:tcW w:w="1080" w:type="dxa"/>
            <w:vAlign w:val="center"/>
          </w:tcPr>
          <w:p w:rsidR="00C223F5" w:rsidRPr="00927E76" w:rsidRDefault="005860D5">
            <w:pPr>
              <w:spacing w:line="300" w:lineRule="exact"/>
              <w:jc w:val="center"/>
              <w:rPr>
                <w:szCs w:val="21"/>
              </w:rPr>
            </w:pPr>
            <w:r w:rsidRPr="00927E76">
              <w:rPr>
                <w:szCs w:val="21"/>
              </w:rPr>
              <w:t>4</w:t>
            </w:r>
          </w:p>
        </w:tc>
        <w:tc>
          <w:tcPr>
            <w:tcW w:w="983" w:type="dxa"/>
            <w:vAlign w:val="center"/>
          </w:tcPr>
          <w:p w:rsidR="00C223F5" w:rsidRPr="00927E76" w:rsidRDefault="005860D5">
            <w:pPr>
              <w:spacing w:line="300" w:lineRule="exact"/>
              <w:jc w:val="center"/>
              <w:rPr>
                <w:szCs w:val="21"/>
              </w:rPr>
            </w:pPr>
            <w:r w:rsidRPr="00927E76">
              <w:rPr>
                <w:szCs w:val="21"/>
              </w:rPr>
              <w:t>14</w:t>
            </w:r>
          </w:p>
        </w:tc>
      </w:tr>
      <w:tr w:rsidR="00C223F5" w:rsidRPr="00927E76" w:rsidTr="00075F93">
        <w:trPr>
          <w:jc w:val="center"/>
        </w:trPr>
        <w:tc>
          <w:tcPr>
            <w:tcW w:w="498" w:type="dxa"/>
            <w:vAlign w:val="center"/>
          </w:tcPr>
          <w:p w:rsidR="00C223F5" w:rsidRPr="00927E76" w:rsidRDefault="005860D5">
            <w:pPr>
              <w:spacing w:line="300" w:lineRule="exact"/>
              <w:jc w:val="center"/>
              <w:rPr>
                <w:szCs w:val="21"/>
              </w:rPr>
            </w:pPr>
            <w:r w:rsidRPr="00927E76">
              <w:rPr>
                <w:szCs w:val="21"/>
              </w:rPr>
              <w:t>9</w:t>
            </w:r>
          </w:p>
        </w:tc>
        <w:tc>
          <w:tcPr>
            <w:tcW w:w="2148" w:type="dxa"/>
            <w:vAlign w:val="center"/>
          </w:tcPr>
          <w:p w:rsidR="00C223F5" w:rsidRPr="00927E76" w:rsidRDefault="005860D5">
            <w:pPr>
              <w:spacing w:line="300" w:lineRule="exact"/>
              <w:jc w:val="center"/>
              <w:rPr>
                <w:szCs w:val="21"/>
              </w:rPr>
            </w:pPr>
            <w:r w:rsidRPr="00927E76">
              <w:rPr>
                <w:szCs w:val="21"/>
              </w:rPr>
              <w:t>扇风机</w:t>
            </w:r>
          </w:p>
        </w:tc>
        <w:tc>
          <w:tcPr>
            <w:tcW w:w="1452" w:type="dxa"/>
            <w:vAlign w:val="center"/>
          </w:tcPr>
          <w:p w:rsidR="00C223F5" w:rsidRPr="00927E76" w:rsidRDefault="005860D5">
            <w:pPr>
              <w:spacing w:line="300" w:lineRule="exact"/>
              <w:jc w:val="center"/>
              <w:rPr>
                <w:szCs w:val="21"/>
              </w:rPr>
            </w:pPr>
            <w:r w:rsidRPr="00927E76">
              <w:rPr>
                <w:szCs w:val="21"/>
              </w:rPr>
              <w:t>92(1m)</w:t>
            </w:r>
          </w:p>
        </w:tc>
        <w:tc>
          <w:tcPr>
            <w:tcW w:w="1080" w:type="dxa"/>
            <w:vMerge/>
            <w:vAlign w:val="center"/>
          </w:tcPr>
          <w:p w:rsidR="00C223F5" w:rsidRPr="00927E76" w:rsidRDefault="00C223F5">
            <w:pPr>
              <w:spacing w:line="300" w:lineRule="exact"/>
              <w:jc w:val="center"/>
              <w:rPr>
                <w:szCs w:val="21"/>
              </w:rPr>
            </w:pPr>
          </w:p>
        </w:tc>
        <w:tc>
          <w:tcPr>
            <w:tcW w:w="1080" w:type="dxa"/>
            <w:vMerge/>
            <w:vAlign w:val="center"/>
          </w:tcPr>
          <w:p w:rsidR="00C223F5" w:rsidRPr="00927E76" w:rsidRDefault="00C223F5">
            <w:pPr>
              <w:spacing w:line="300" w:lineRule="exact"/>
              <w:jc w:val="center"/>
              <w:rPr>
                <w:szCs w:val="21"/>
              </w:rPr>
            </w:pPr>
          </w:p>
        </w:tc>
        <w:tc>
          <w:tcPr>
            <w:tcW w:w="1080" w:type="dxa"/>
            <w:vAlign w:val="center"/>
          </w:tcPr>
          <w:p w:rsidR="00C223F5" w:rsidRPr="00927E76" w:rsidRDefault="005860D5">
            <w:pPr>
              <w:spacing w:line="300" w:lineRule="exact"/>
              <w:jc w:val="center"/>
              <w:rPr>
                <w:szCs w:val="21"/>
              </w:rPr>
            </w:pPr>
            <w:r w:rsidRPr="00927E76">
              <w:rPr>
                <w:szCs w:val="21"/>
              </w:rPr>
              <w:t>7</w:t>
            </w:r>
          </w:p>
        </w:tc>
        <w:tc>
          <w:tcPr>
            <w:tcW w:w="983" w:type="dxa"/>
            <w:vAlign w:val="center"/>
          </w:tcPr>
          <w:p w:rsidR="00C223F5" w:rsidRPr="00927E76" w:rsidRDefault="005860D5">
            <w:pPr>
              <w:spacing w:line="300" w:lineRule="exact"/>
              <w:jc w:val="center"/>
              <w:rPr>
                <w:szCs w:val="21"/>
              </w:rPr>
            </w:pPr>
            <w:r w:rsidRPr="00927E76">
              <w:rPr>
                <w:szCs w:val="21"/>
              </w:rPr>
              <w:t>71</w:t>
            </w:r>
          </w:p>
        </w:tc>
      </w:tr>
      <w:tr w:rsidR="00C223F5" w:rsidRPr="00927E76" w:rsidTr="00075F93">
        <w:trPr>
          <w:jc w:val="center"/>
        </w:trPr>
        <w:tc>
          <w:tcPr>
            <w:tcW w:w="498" w:type="dxa"/>
            <w:vAlign w:val="center"/>
          </w:tcPr>
          <w:p w:rsidR="00C223F5" w:rsidRPr="00927E76" w:rsidRDefault="005860D5">
            <w:pPr>
              <w:spacing w:line="300" w:lineRule="exact"/>
              <w:jc w:val="center"/>
              <w:rPr>
                <w:szCs w:val="21"/>
              </w:rPr>
            </w:pPr>
            <w:r w:rsidRPr="00927E76">
              <w:rPr>
                <w:szCs w:val="21"/>
              </w:rPr>
              <w:t>10</w:t>
            </w:r>
          </w:p>
        </w:tc>
        <w:tc>
          <w:tcPr>
            <w:tcW w:w="2148" w:type="dxa"/>
            <w:vAlign w:val="center"/>
          </w:tcPr>
          <w:p w:rsidR="00C223F5" w:rsidRPr="00927E76" w:rsidRDefault="005860D5">
            <w:pPr>
              <w:spacing w:line="300" w:lineRule="exact"/>
              <w:jc w:val="center"/>
              <w:rPr>
                <w:szCs w:val="21"/>
              </w:rPr>
            </w:pPr>
            <w:r w:rsidRPr="00927E76">
              <w:rPr>
                <w:szCs w:val="21"/>
              </w:rPr>
              <w:t>压风机</w:t>
            </w:r>
          </w:p>
        </w:tc>
        <w:tc>
          <w:tcPr>
            <w:tcW w:w="1452" w:type="dxa"/>
            <w:vAlign w:val="center"/>
          </w:tcPr>
          <w:p w:rsidR="00C223F5" w:rsidRPr="00927E76" w:rsidRDefault="005860D5">
            <w:pPr>
              <w:spacing w:line="300" w:lineRule="exact"/>
              <w:jc w:val="center"/>
              <w:rPr>
                <w:szCs w:val="21"/>
              </w:rPr>
            </w:pPr>
            <w:r w:rsidRPr="00927E76">
              <w:rPr>
                <w:szCs w:val="21"/>
              </w:rPr>
              <w:t>95(1m)</w:t>
            </w:r>
          </w:p>
        </w:tc>
        <w:tc>
          <w:tcPr>
            <w:tcW w:w="1080" w:type="dxa"/>
            <w:vMerge/>
            <w:vAlign w:val="center"/>
          </w:tcPr>
          <w:p w:rsidR="00C223F5" w:rsidRPr="00927E76" w:rsidRDefault="00C223F5">
            <w:pPr>
              <w:spacing w:line="300" w:lineRule="exact"/>
              <w:jc w:val="center"/>
              <w:rPr>
                <w:szCs w:val="21"/>
              </w:rPr>
            </w:pPr>
          </w:p>
        </w:tc>
        <w:tc>
          <w:tcPr>
            <w:tcW w:w="1080" w:type="dxa"/>
            <w:vMerge/>
            <w:vAlign w:val="center"/>
          </w:tcPr>
          <w:p w:rsidR="00C223F5" w:rsidRPr="00927E76" w:rsidRDefault="00C223F5">
            <w:pPr>
              <w:spacing w:line="300" w:lineRule="exact"/>
              <w:jc w:val="center"/>
              <w:rPr>
                <w:szCs w:val="21"/>
              </w:rPr>
            </w:pPr>
          </w:p>
        </w:tc>
        <w:tc>
          <w:tcPr>
            <w:tcW w:w="1080" w:type="dxa"/>
            <w:vAlign w:val="center"/>
          </w:tcPr>
          <w:p w:rsidR="00C223F5" w:rsidRPr="00927E76" w:rsidRDefault="005860D5">
            <w:pPr>
              <w:spacing w:line="300" w:lineRule="exact"/>
              <w:jc w:val="center"/>
              <w:rPr>
                <w:szCs w:val="21"/>
              </w:rPr>
            </w:pPr>
            <w:r w:rsidRPr="00927E76">
              <w:rPr>
                <w:szCs w:val="21"/>
              </w:rPr>
              <w:t>10</w:t>
            </w:r>
          </w:p>
        </w:tc>
        <w:tc>
          <w:tcPr>
            <w:tcW w:w="983" w:type="dxa"/>
            <w:vAlign w:val="center"/>
          </w:tcPr>
          <w:p w:rsidR="00C223F5" w:rsidRPr="00927E76" w:rsidRDefault="005860D5">
            <w:pPr>
              <w:spacing w:line="300" w:lineRule="exact"/>
              <w:jc w:val="center"/>
              <w:rPr>
                <w:szCs w:val="21"/>
              </w:rPr>
            </w:pPr>
            <w:r w:rsidRPr="00927E76">
              <w:rPr>
                <w:szCs w:val="21"/>
              </w:rPr>
              <w:t>100</w:t>
            </w:r>
          </w:p>
        </w:tc>
      </w:tr>
      <w:tr w:rsidR="00C223F5" w:rsidRPr="00927E76" w:rsidTr="00075F93">
        <w:trPr>
          <w:jc w:val="center"/>
        </w:trPr>
        <w:tc>
          <w:tcPr>
            <w:tcW w:w="498" w:type="dxa"/>
            <w:vAlign w:val="center"/>
          </w:tcPr>
          <w:p w:rsidR="00C223F5" w:rsidRPr="00927E76" w:rsidRDefault="005860D5">
            <w:pPr>
              <w:spacing w:line="300" w:lineRule="exact"/>
              <w:jc w:val="center"/>
              <w:rPr>
                <w:szCs w:val="21"/>
              </w:rPr>
            </w:pPr>
            <w:r w:rsidRPr="00927E76">
              <w:rPr>
                <w:szCs w:val="21"/>
              </w:rPr>
              <w:t>11</w:t>
            </w:r>
          </w:p>
        </w:tc>
        <w:tc>
          <w:tcPr>
            <w:tcW w:w="2148" w:type="dxa"/>
            <w:vAlign w:val="center"/>
          </w:tcPr>
          <w:p w:rsidR="00C223F5" w:rsidRPr="00927E76" w:rsidRDefault="005860D5">
            <w:pPr>
              <w:spacing w:line="300" w:lineRule="exact"/>
              <w:jc w:val="center"/>
              <w:rPr>
                <w:szCs w:val="21"/>
              </w:rPr>
            </w:pPr>
            <w:r w:rsidRPr="00927E76">
              <w:rPr>
                <w:szCs w:val="21"/>
              </w:rPr>
              <w:t>重型卡车、拖拉机</w:t>
            </w:r>
          </w:p>
        </w:tc>
        <w:tc>
          <w:tcPr>
            <w:tcW w:w="1452" w:type="dxa"/>
            <w:vAlign w:val="center"/>
          </w:tcPr>
          <w:p w:rsidR="00C223F5" w:rsidRPr="00927E76" w:rsidRDefault="005860D5">
            <w:pPr>
              <w:spacing w:line="300" w:lineRule="exact"/>
              <w:jc w:val="center"/>
              <w:rPr>
                <w:szCs w:val="21"/>
              </w:rPr>
            </w:pPr>
            <w:r w:rsidRPr="00927E76">
              <w:rPr>
                <w:szCs w:val="21"/>
              </w:rPr>
              <w:t>85(7.5m)</w:t>
            </w:r>
          </w:p>
        </w:tc>
        <w:tc>
          <w:tcPr>
            <w:tcW w:w="1080" w:type="dxa"/>
            <w:vMerge/>
            <w:vAlign w:val="center"/>
          </w:tcPr>
          <w:p w:rsidR="00C223F5" w:rsidRPr="00927E76" w:rsidRDefault="00C223F5">
            <w:pPr>
              <w:spacing w:line="300" w:lineRule="exact"/>
              <w:jc w:val="center"/>
              <w:rPr>
                <w:szCs w:val="21"/>
              </w:rPr>
            </w:pPr>
          </w:p>
        </w:tc>
        <w:tc>
          <w:tcPr>
            <w:tcW w:w="1080" w:type="dxa"/>
            <w:vMerge/>
            <w:vAlign w:val="center"/>
          </w:tcPr>
          <w:p w:rsidR="00C223F5" w:rsidRPr="00927E76" w:rsidRDefault="00C223F5">
            <w:pPr>
              <w:spacing w:line="300" w:lineRule="exact"/>
              <w:jc w:val="center"/>
              <w:rPr>
                <w:szCs w:val="21"/>
              </w:rPr>
            </w:pPr>
          </w:p>
        </w:tc>
        <w:tc>
          <w:tcPr>
            <w:tcW w:w="1080" w:type="dxa"/>
            <w:vAlign w:val="center"/>
          </w:tcPr>
          <w:p w:rsidR="00C223F5" w:rsidRPr="00927E76" w:rsidRDefault="005860D5">
            <w:pPr>
              <w:spacing w:line="300" w:lineRule="exact"/>
              <w:jc w:val="center"/>
              <w:rPr>
                <w:szCs w:val="21"/>
              </w:rPr>
            </w:pPr>
            <w:r w:rsidRPr="00927E76">
              <w:rPr>
                <w:szCs w:val="21"/>
              </w:rPr>
              <w:t>42</w:t>
            </w:r>
          </w:p>
        </w:tc>
        <w:tc>
          <w:tcPr>
            <w:tcW w:w="983" w:type="dxa"/>
            <w:vAlign w:val="center"/>
          </w:tcPr>
          <w:p w:rsidR="00C223F5" w:rsidRPr="00927E76" w:rsidRDefault="005860D5">
            <w:pPr>
              <w:spacing w:line="300" w:lineRule="exact"/>
              <w:jc w:val="center"/>
              <w:rPr>
                <w:szCs w:val="21"/>
              </w:rPr>
            </w:pPr>
            <w:r w:rsidRPr="00927E76">
              <w:rPr>
                <w:szCs w:val="21"/>
              </w:rPr>
              <w:t>237</w:t>
            </w:r>
          </w:p>
        </w:tc>
      </w:tr>
      <w:tr w:rsidR="00C223F5" w:rsidRPr="00927E76" w:rsidTr="00075F93">
        <w:trPr>
          <w:jc w:val="center"/>
        </w:trPr>
        <w:tc>
          <w:tcPr>
            <w:tcW w:w="498" w:type="dxa"/>
            <w:vAlign w:val="center"/>
          </w:tcPr>
          <w:p w:rsidR="00C223F5" w:rsidRPr="00927E76" w:rsidRDefault="005860D5">
            <w:pPr>
              <w:spacing w:line="300" w:lineRule="exact"/>
              <w:jc w:val="center"/>
              <w:rPr>
                <w:szCs w:val="21"/>
              </w:rPr>
            </w:pPr>
            <w:r w:rsidRPr="00927E76">
              <w:rPr>
                <w:szCs w:val="21"/>
              </w:rPr>
              <w:t>12</w:t>
            </w:r>
          </w:p>
        </w:tc>
        <w:tc>
          <w:tcPr>
            <w:tcW w:w="2148" w:type="dxa"/>
            <w:vAlign w:val="center"/>
          </w:tcPr>
          <w:p w:rsidR="00C223F5" w:rsidRPr="00927E76" w:rsidRDefault="005860D5">
            <w:pPr>
              <w:spacing w:line="300" w:lineRule="exact"/>
              <w:jc w:val="center"/>
              <w:rPr>
                <w:szCs w:val="21"/>
              </w:rPr>
            </w:pPr>
            <w:r w:rsidRPr="00927E76">
              <w:t>装载机</w:t>
            </w:r>
          </w:p>
        </w:tc>
        <w:tc>
          <w:tcPr>
            <w:tcW w:w="1452" w:type="dxa"/>
            <w:vAlign w:val="center"/>
          </w:tcPr>
          <w:p w:rsidR="00C223F5" w:rsidRPr="00927E76" w:rsidRDefault="005860D5">
            <w:pPr>
              <w:spacing w:line="300" w:lineRule="exact"/>
              <w:jc w:val="center"/>
              <w:rPr>
                <w:szCs w:val="21"/>
              </w:rPr>
            </w:pPr>
            <w:r w:rsidRPr="00927E76">
              <w:rPr>
                <w:szCs w:val="21"/>
              </w:rPr>
              <w:t>85(3.0m)</w:t>
            </w:r>
          </w:p>
        </w:tc>
        <w:tc>
          <w:tcPr>
            <w:tcW w:w="1080" w:type="dxa"/>
            <w:vMerge/>
            <w:vAlign w:val="center"/>
          </w:tcPr>
          <w:p w:rsidR="00C223F5" w:rsidRPr="00927E76" w:rsidRDefault="00C223F5">
            <w:pPr>
              <w:spacing w:line="300" w:lineRule="exact"/>
              <w:jc w:val="center"/>
              <w:rPr>
                <w:szCs w:val="21"/>
              </w:rPr>
            </w:pPr>
          </w:p>
        </w:tc>
        <w:tc>
          <w:tcPr>
            <w:tcW w:w="1080" w:type="dxa"/>
            <w:vMerge/>
            <w:vAlign w:val="center"/>
          </w:tcPr>
          <w:p w:rsidR="00C223F5" w:rsidRPr="00927E76" w:rsidRDefault="00C223F5">
            <w:pPr>
              <w:spacing w:line="300" w:lineRule="exact"/>
              <w:jc w:val="center"/>
              <w:rPr>
                <w:szCs w:val="21"/>
              </w:rPr>
            </w:pPr>
          </w:p>
        </w:tc>
        <w:tc>
          <w:tcPr>
            <w:tcW w:w="1080" w:type="dxa"/>
            <w:vAlign w:val="center"/>
          </w:tcPr>
          <w:p w:rsidR="00C223F5" w:rsidRPr="00927E76" w:rsidRDefault="005860D5">
            <w:pPr>
              <w:spacing w:line="300" w:lineRule="exact"/>
              <w:jc w:val="center"/>
              <w:rPr>
                <w:szCs w:val="21"/>
              </w:rPr>
            </w:pPr>
            <w:r w:rsidRPr="00927E76">
              <w:rPr>
                <w:szCs w:val="21"/>
              </w:rPr>
              <w:t>17</w:t>
            </w:r>
          </w:p>
        </w:tc>
        <w:tc>
          <w:tcPr>
            <w:tcW w:w="983" w:type="dxa"/>
            <w:vAlign w:val="center"/>
          </w:tcPr>
          <w:p w:rsidR="00C223F5" w:rsidRPr="00927E76" w:rsidRDefault="005860D5">
            <w:pPr>
              <w:spacing w:line="300" w:lineRule="exact"/>
              <w:jc w:val="center"/>
              <w:rPr>
                <w:szCs w:val="21"/>
              </w:rPr>
            </w:pPr>
            <w:r w:rsidRPr="00927E76">
              <w:rPr>
                <w:szCs w:val="21"/>
              </w:rPr>
              <w:t>96</w:t>
            </w:r>
          </w:p>
        </w:tc>
      </w:tr>
    </w:tbl>
    <w:p w:rsidR="00C223F5" w:rsidRPr="00927E76" w:rsidRDefault="005860D5" w:rsidP="004835BD">
      <w:pPr>
        <w:spacing w:beforeLines="50" w:before="120"/>
        <w:jc w:val="center"/>
        <w:rPr>
          <w:b/>
          <w:bCs/>
          <w:sz w:val="24"/>
        </w:rPr>
      </w:pPr>
      <w:r w:rsidRPr="00927E76">
        <w:rPr>
          <w:b/>
          <w:bCs/>
          <w:sz w:val="24"/>
        </w:rPr>
        <w:t>表</w:t>
      </w:r>
      <w:r w:rsidRPr="00927E76">
        <w:rPr>
          <w:b/>
          <w:bCs/>
          <w:sz w:val="24"/>
        </w:rPr>
        <w:t>4.1.</w:t>
      </w:r>
      <w:r w:rsidRPr="00927E76">
        <w:rPr>
          <w:rFonts w:hint="eastAsia"/>
          <w:b/>
          <w:bCs/>
          <w:sz w:val="24"/>
        </w:rPr>
        <w:t>4</w:t>
      </w:r>
      <w:r w:rsidRPr="00927E76">
        <w:rPr>
          <w:b/>
          <w:bCs/>
          <w:sz w:val="24"/>
        </w:rPr>
        <w:t xml:space="preserve">-2  </w:t>
      </w:r>
      <w:r w:rsidRPr="00927E76">
        <w:rPr>
          <w:b/>
          <w:bCs/>
          <w:sz w:val="24"/>
        </w:rPr>
        <w:t>施工噪声影响预测结果（二）</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2393"/>
        <w:gridCol w:w="2124"/>
        <w:gridCol w:w="1298"/>
        <w:gridCol w:w="1592"/>
      </w:tblGrid>
      <w:tr w:rsidR="00C223F5" w:rsidRPr="00927E76">
        <w:trPr>
          <w:trHeight w:val="157"/>
          <w:jc w:val="center"/>
        </w:trPr>
        <w:tc>
          <w:tcPr>
            <w:tcW w:w="919" w:type="dxa"/>
            <w:vMerge w:val="restart"/>
            <w:vAlign w:val="center"/>
          </w:tcPr>
          <w:p w:rsidR="00C223F5" w:rsidRPr="00927E76" w:rsidRDefault="005860D5">
            <w:pPr>
              <w:spacing w:line="260" w:lineRule="exact"/>
              <w:jc w:val="center"/>
              <w:rPr>
                <w:szCs w:val="21"/>
              </w:rPr>
            </w:pPr>
            <w:r w:rsidRPr="00927E76">
              <w:rPr>
                <w:szCs w:val="21"/>
              </w:rPr>
              <w:t>序号</w:t>
            </w:r>
          </w:p>
        </w:tc>
        <w:tc>
          <w:tcPr>
            <w:tcW w:w="2393" w:type="dxa"/>
            <w:vMerge w:val="restart"/>
            <w:vAlign w:val="center"/>
          </w:tcPr>
          <w:p w:rsidR="00C223F5" w:rsidRPr="00927E76" w:rsidRDefault="005860D5">
            <w:pPr>
              <w:spacing w:line="260" w:lineRule="exact"/>
              <w:jc w:val="center"/>
              <w:rPr>
                <w:szCs w:val="21"/>
              </w:rPr>
            </w:pPr>
            <w:r w:rsidRPr="00927E76">
              <w:rPr>
                <w:szCs w:val="21"/>
              </w:rPr>
              <w:t>施工期</w:t>
            </w:r>
          </w:p>
        </w:tc>
        <w:tc>
          <w:tcPr>
            <w:tcW w:w="2124" w:type="dxa"/>
            <w:vMerge w:val="restart"/>
            <w:vAlign w:val="center"/>
          </w:tcPr>
          <w:p w:rsidR="00C223F5" w:rsidRPr="00927E76" w:rsidRDefault="005860D5">
            <w:pPr>
              <w:spacing w:line="260" w:lineRule="exact"/>
              <w:jc w:val="center"/>
              <w:rPr>
                <w:szCs w:val="21"/>
              </w:rPr>
            </w:pPr>
            <w:r w:rsidRPr="00927E76">
              <w:rPr>
                <w:szCs w:val="21"/>
              </w:rPr>
              <w:t>施工设备组合噪声叠加值最大值</w:t>
            </w:r>
            <w:r w:rsidRPr="00927E76">
              <w:rPr>
                <w:szCs w:val="21"/>
              </w:rPr>
              <w:t>dB(A)</w:t>
            </w:r>
          </w:p>
        </w:tc>
        <w:tc>
          <w:tcPr>
            <w:tcW w:w="2890" w:type="dxa"/>
            <w:gridSpan w:val="2"/>
            <w:vAlign w:val="center"/>
          </w:tcPr>
          <w:p w:rsidR="00C223F5" w:rsidRPr="00927E76" w:rsidRDefault="005860D5">
            <w:pPr>
              <w:spacing w:line="320" w:lineRule="exact"/>
              <w:jc w:val="center"/>
              <w:rPr>
                <w:szCs w:val="21"/>
              </w:rPr>
            </w:pPr>
            <w:r w:rsidRPr="00927E76">
              <w:rPr>
                <w:szCs w:val="21"/>
              </w:rPr>
              <w:t>影响半径（</w:t>
            </w:r>
            <w:r w:rsidRPr="00927E76">
              <w:rPr>
                <w:szCs w:val="21"/>
              </w:rPr>
              <w:t>m</w:t>
            </w:r>
            <w:r w:rsidRPr="00927E76">
              <w:rPr>
                <w:szCs w:val="21"/>
              </w:rPr>
              <w:t>）</w:t>
            </w:r>
          </w:p>
        </w:tc>
      </w:tr>
      <w:tr w:rsidR="00C223F5" w:rsidRPr="00927E76">
        <w:trPr>
          <w:trHeight w:val="133"/>
          <w:jc w:val="center"/>
        </w:trPr>
        <w:tc>
          <w:tcPr>
            <w:tcW w:w="919" w:type="dxa"/>
            <w:vMerge/>
            <w:vAlign w:val="center"/>
          </w:tcPr>
          <w:p w:rsidR="00C223F5" w:rsidRPr="00927E76" w:rsidRDefault="00C223F5">
            <w:pPr>
              <w:spacing w:line="260" w:lineRule="exact"/>
              <w:jc w:val="center"/>
              <w:rPr>
                <w:szCs w:val="21"/>
              </w:rPr>
            </w:pPr>
          </w:p>
        </w:tc>
        <w:tc>
          <w:tcPr>
            <w:tcW w:w="2393" w:type="dxa"/>
            <w:vMerge/>
            <w:vAlign w:val="center"/>
          </w:tcPr>
          <w:p w:rsidR="00C223F5" w:rsidRPr="00927E76" w:rsidRDefault="00C223F5">
            <w:pPr>
              <w:spacing w:line="260" w:lineRule="exact"/>
              <w:jc w:val="center"/>
              <w:rPr>
                <w:szCs w:val="21"/>
              </w:rPr>
            </w:pPr>
          </w:p>
        </w:tc>
        <w:tc>
          <w:tcPr>
            <w:tcW w:w="2124" w:type="dxa"/>
            <w:vMerge/>
            <w:vAlign w:val="center"/>
          </w:tcPr>
          <w:p w:rsidR="00C223F5" w:rsidRPr="00927E76" w:rsidRDefault="00C223F5">
            <w:pPr>
              <w:spacing w:line="260" w:lineRule="exact"/>
              <w:jc w:val="center"/>
              <w:rPr>
                <w:szCs w:val="21"/>
              </w:rPr>
            </w:pPr>
          </w:p>
        </w:tc>
        <w:tc>
          <w:tcPr>
            <w:tcW w:w="1298" w:type="dxa"/>
            <w:vAlign w:val="center"/>
          </w:tcPr>
          <w:p w:rsidR="00C223F5" w:rsidRPr="00927E76" w:rsidRDefault="005860D5">
            <w:pPr>
              <w:spacing w:line="320" w:lineRule="exact"/>
              <w:jc w:val="center"/>
              <w:rPr>
                <w:szCs w:val="21"/>
              </w:rPr>
            </w:pPr>
            <w:r w:rsidRPr="00927E76">
              <w:rPr>
                <w:szCs w:val="21"/>
              </w:rPr>
              <w:t>昼间</w:t>
            </w:r>
          </w:p>
        </w:tc>
        <w:tc>
          <w:tcPr>
            <w:tcW w:w="1592" w:type="dxa"/>
            <w:vAlign w:val="center"/>
          </w:tcPr>
          <w:p w:rsidR="00C223F5" w:rsidRPr="00927E76" w:rsidRDefault="005860D5">
            <w:pPr>
              <w:spacing w:line="320" w:lineRule="exact"/>
              <w:jc w:val="center"/>
              <w:rPr>
                <w:szCs w:val="21"/>
              </w:rPr>
            </w:pPr>
            <w:r w:rsidRPr="00927E76">
              <w:rPr>
                <w:szCs w:val="21"/>
              </w:rPr>
              <w:t>夜间</w:t>
            </w:r>
          </w:p>
        </w:tc>
      </w:tr>
      <w:tr w:rsidR="00C223F5" w:rsidRPr="00927E76">
        <w:trPr>
          <w:trHeight w:val="223"/>
          <w:jc w:val="center"/>
        </w:trPr>
        <w:tc>
          <w:tcPr>
            <w:tcW w:w="919" w:type="dxa"/>
            <w:vAlign w:val="center"/>
          </w:tcPr>
          <w:p w:rsidR="00C223F5" w:rsidRPr="00927E76" w:rsidRDefault="005860D5">
            <w:pPr>
              <w:spacing w:line="260" w:lineRule="exact"/>
              <w:jc w:val="center"/>
              <w:rPr>
                <w:szCs w:val="21"/>
              </w:rPr>
            </w:pPr>
            <w:r w:rsidRPr="00927E76">
              <w:rPr>
                <w:szCs w:val="21"/>
              </w:rPr>
              <w:t>1</w:t>
            </w:r>
          </w:p>
        </w:tc>
        <w:tc>
          <w:tcPr>
            <w:tcW w:w="2393" w:type="dxa"/>
            <w:vAlign w:val="center"/>
          </w:tcPr>
          <w:p w:rsidR="00C223F5" w:rsidRPr="00927E76" w:rsidRDefault="005860D5">
            <w:pPr>
              <w:spacing w:line="260" w:lineRule="exact"/>
              <w:jc w:val="center"/>
              <w:rPr>
                <w:szCs w:val="21"/>
              </w:rPr>
            </w:pPr>
            <w:r w:rsidRPr="00927E76">
              <w:rPr>
                <w:szCs w:val="21"/>
              </w:rPr>
              <w:t>地面设施打桩阶段</w:t>
            </w:r>
          </w:p>
        </w:tc>
        <w:tc>
          <w:tcPr>
            <w:tcW w:w="2124" w:type="dxa"/>
            <w:vAlign w:val="center"/>
          </w:tcPr>
          <w:p w:rsidR="00C223F5" w:rsidRPr="00927E76" w:rsidRDefault="005860D5">
            <w:pPr>
              <w:spacing w:line="260" w:lineRule="exact"/>
              <w:jc w:val="center"/>
              <w:rPr>
                <w:szCs w:val="21"/>
              </w:rPr>
            </w:pPr>
            <w:r w:rsidRPr="00927E76">
              <w:rPr>
                <w:szCs w:val="21"/>
              </w:rPr>
              <w:t>105</w:t>
            </w:r>
          </w:p>
        </w:tc>
        <w:tc>
          <w:tcPr>
            <w:tcW w:w="1298" w:type="dxa"/>
            <w:vAlign w:val="center"/>
          </w:tcPr>
          <w:p w:rsidR="00C223F5" w:rsidRPr="00927E76" w:rsidRDefault="005860D5">
            <w:pPr>
              <w:spacing w:line="320" w:lineRule="exact"/>
              <w:jc w:val="center"/>
              <w:rPr>
                <w:szCs w:val="21"/>
              </w:rPr>
            </w:pPr>
            <w:r w:rsidRPr="00927E76">
              <w:rPr>
                <w:szCs w:val="21"/>
              </w:rPr>
              <w:t>150</w:t>
            </w:r>
          </w:p>
        </w:tc>
        <w:tc>
          <w:tcPr>
            <w:tcW w:w="1592" w:type="dxa"/>
            <w:vAlign w:val="center"/>
          </w:tcPr>
          <w:p w:rsidR="00C223F5" w:rsidRPr="00927E76" w:rsidRDefault="005860D5">
            <w:pPr>
              <w:spacing w:line="320" w:lineRule="exact"/>
              <w:jc w:val="center"/>
              <w:rPr>
                <w:szCs w:val="21"/>
              </w:rPr>
            </w:pPr>
            <w:r w:rsidRPr="00927E76">
              <w:rPr>
                <w:szCs w:val="21"/>
              </w:rPr>
              <w:t>禁止施工</w:t>
            </w:r>
          </w:p>
        </w:tc>
      </w:tr>
      <w:tr w:rsidR="00C223F5" w:rsidRPr="00927E76">
        <w:trPr>
          <w:trHeight w:val="213"/>
          <w:jc w:val="center"/>
        </w:trPr>
        <w:tc>
          <w:tcPr>
            <w:tcW w:w="919" w:type="dxa"/>
            <w:vAlign w:val="center"/>
          </w:tcPr>
          <w:p w:rsidR="00C223F5" w:rsidRPr="00927E76" w:rsidRDefault="005860D5">
            <w:pPr>
              <w:spacing w:line="260" w:lineRule="exact"/>
              <w:jc w:val="center"/>
              <w:rPr>
                <w:szCs w:val="21"/>
              </w:rPr>
            </w:pPr>
            <w:r w:rsidRPr="00927E76">
              <w:rPr>
                <w:szCs w:val="21"/>
              </w:rPr>
              <w:t>2</w:t>
            </w:r>
          </w:p>
        </w:tc>
        <w:tc>
          <w:tcPr>
            <w:tcW w:w="2393" w:type="dxa"/>
            <w:vAlign w:val="center"/>
          </w:tcPr>
          <w:p w:rsidR="00C223F5" w:rsidRPr="00927E76" w:rsidRDefault="005860D5">
            <w:pPr>
              <w:spacing w:line="260" w:lineRule="exact"/>
              <w:jc w:val="center"/>
              <w:rPr>
                <w:szCs w:val="21"/>
              </w:rPr>
            </w:pPr>
            <w:r w:rsidRPr="00927E76">
              <w:rPr>
                <w:szCs w:val="21"/>
              </w:rPr>
              <w:t>地面设施地基施工阶段</w:t>
            </w:r>
          </w:p>
        </w:tc>
        <w:tc>
          <w:tcPr>
            <w:tcW w:w="2124" w:type="dxa"/>
            <w:vAlign w:val="center"/>
          </w:tcPr>
          <w:p w:rsidR="00C223F5" w:rsidRPr="00927E76" w:rsidRDefault="005860D5">
            <w:pPr>
              <w:spacing w:line="260" w:lineRule="exact"/>
              <w:jc w:val="center"/>
              <w:rPr>
                <w:szCs w:val="21"/>
              </w:rPr>
            </w:pPr>
            <w:r w:rsidRPr="00927E76">
              <w:rPr>
                <w:szCs w:val="21"/>
              </w:rPr>
              <w:t>83</w:t>
            </w:r>
          </w:p>
        </w:tc>
        <w:tc>
          <w:tcPr>
            <w:tcW w:w="1298" w:type="dxa"/>
            <w:vAlign w:val="center"/>
          </w:tcPr>
          <w:p w:rsidR="00C223F5" w:rsidRPr="00927E76" w:rsidRDefault="005860D5">
            <w:pPr>
              <w:spacing w:line="320" w:lineRule="exact"/>
              <w:jc w:val="center"/>
              <w:rPr>
                <w:szCs w:val="21"/>
              </w:rPr>
            </w:pPr>
            <w:r w:rsidRPr="00927E76">
              <w:rPr>
                <w:szCs w:val="21"/>
              </w:rPr>
              <w:t>38</w:t>
            </w:r>
          </w:p>
        </w:tc>
        <w:tc>
          <w:tcPr>
            <w:tcW w:w="1592" w:type="dxa"/>
            <w:vAlign w:val="center"/>
          </w:tcPr>
          <w:p w:rsidR="00C223F5" w:rsidRPr="00927E76" w:rsidRDefault="005860D5">
            <w:pPr>
              <w:spacing w:line="320" w:lineRule="exact"/>
              <w:jc w:val="center"/>
              <w:rPr>
                <w:szCs w:val="21"/>
              </w:rPr>
            </w:pPr>
            <w:r w:rsidRPr="00927E76">
              <w:rPr>
                <w:szCs w:val="21"/>
              </w:rPr>
              <w:t>377</w:t>
            </w:r>
          </w:p>
        </w:tc>
      </w:tr>
      <w:tr w:rsidR="00C223F5" w:rsidRPr="00927E76">
        <w:trPr>
          <w:trHeight w:val="190"/>
          <w:jc w:val="center"/>
        </w:trPr>
        <w:tc>
          <w:tcPr>
            <w:tcW w:w="919" w:type="dxa"/>
            <w:vAlign w:val="center"/>
          </w:tcPr>
          <w:p w:rsidR="00C223F5" w:rsidRPr="00927E76" w:rsidRDefault="005860D5">
            <w:pPr>
              <w:spacing w:line="260" w:lineRule="exact"/>
              <w:jc w:val="center"/>
              <w:rPr>
                <w:szCs w:val="21"/>
              </w:rPr>
            </w:pPr>
            <w:r w:rsidRPr="00927E76">
              <w:rPr>
                <w:szCs w:val="21"/>
              </w:rPr>
              <w:t>3</w:t>
            </w:r>
          </w:p>
        </w:tc>
        <w:tc>
          <w:tcPr>
            <w:tcW w:w="2393" w:type="dxa"/>
            <w:vAlign w:val="center"/>
          </w:tcPr>
          <w:p w:rsidR="00C223F5" w:rsidRPr="00927E76" w:rsidRDefault="005860D5">
            <w:pPr>
              <w:spacing w:line="260" w:lineRule="exact"/>
              <w:jc w:val="center"/>
              <w:rPr>
                <w:szCs w:val="21"/>
              </w:rPr>
            </w:pPr>
            <w:r w:rsidRPr="00927E76">
              <w:rPr>
                <w:szCs w:val="21"/>
              </w:rPr>
              <w:t>地面设施结构施工阶段</w:t>
            </w:r>
          </w:p>
        </w:tc>
        <w:tc>
          <w:tcPr>
            <w:tcW w:w="2124" w:type="dxa"/>
            <w:vAlign w:val="center"/>
          </w:tcPr>
          <w:p w:rsidR="00C223F5" w:rsidRPr="00927E76" w:rsidRDefault="005860D5">
            <w:pPr>
              <w:spacing w:line="260" w:lineRule="exact"/>
              <w:jc w:val="center"/>
              <w:rPr>
                <w:szCs w:val="21"/>
              </w:rPr>
            </w:pPr>
            <w:r w:rsidRPr="00927E76">
              <w:rPr>
                <w:szCs w:val="21"/>
              </w:rPr>
              <w:t>90</w:t>
            </w:r>
          </w:p>
        </w:tc>
        <w:tc>
          <w:tcPr>
            <w:tcW w:w="1298" w:type="dxa"/>
            <w:vAlign w:val="center"/>
          </w:tcPr>
          <w:p w:rsidR="00C223F5" w:rsidRPr="00927E76" w:rsidRDefault="005860D5">
            <w:pPr>
              <w:spacing w:line="320" w:lineRule="exact"/>
              <w:jc w:val="center"/>
              <w:rPr>
                <w:szCs w:val="21"/>
              </w:rPr>
            </w:pPr>
            <w:r w:rsidRPr="00927E76">
              <w:rPr>
                <w:szCs w:val="21"/>
              </w:rPr>
              <w:t>6</w:t>
            </w:r>
          </w:p>
        </w:tc>
        <w:tc>
          <w:tcPr>
            <w:tcW w:w="1592" w:type="dxa"/>
            <w:vAlign w:val="center"/>
          </w:tcPr>
          <w:p w:rsidR="00C223F5" w:rsidRPr="00927E76" w:rsidRDefault="005860D5">
            <w:pPr>
              <w:spacing w:line="320" w:lineRule="exact"/>
              <w:jc w:val="center"/>
              <w:rPr>
                <w:szCs w:val="21"/>
              </w:rPr>
            </w:pPr>
            <w:r w:rsidRPr="00927E76">
              <w:rPr>
                <w:szCs w:val="21"/>
              </w:rPr>
              <w:t>56</w:t>
            </w:r>
          </w:p>
        </w:tc>
      </w:tr>
    </w:tbl>
    <w:p w:rsidR="00C223F5" w:rsidRPr="00927E76" w:rsidRDefault="005860D5">
      <w:pPr>
        <w:pStyle w:val="3"/>
        <w:numPr>
          <w:ilvl w:val="0"/>
          <w:numId w:val="0"/>
        </w:numPr>
        <w:spacing w:before="0" w:after="0" w:line="360" w:lineRule="auto"/>
        <w:ind w:left="170"/>
        <w:rPr>
          <w:rFonts w:eastAsia="宋体"/>
          <w:b/>
          <w:bCs w:val="0"/>
          <w:sz w:val="28"/>
          <w:szCs w:val="28"/>
        </w:rPr>
      </w:pPr>
      <w:bookmarkStart w:id="363" w:name="_Toc533604748"/>
      <w:bookmarkStart w:id="364" w:name="_Toc533604328"/>
      <w:bookmarkStart w:id="365" w:name="_Toc16785293"/>
      <w:r w:rsidRPr="00927E76">
        <w:rPr>
          <w:rFonts w:eastAsia="宋体" w:hint="eastAsia"/>
          <w:b/>
          <w:bCs w:val="0"/>
          <w:sz w:val="28"/>
          <w:szCs w:val="28"/>
        </w:rPr>
        <w:lastRenderedPageBreak/>
        <w:t>4.1.5</w:t>
      </w:r>
      <w:r w:rsidRPr="00927E76">
        <w:rPr>
          <w:rFonts w:eastAsia="宋体" w:hint="eastAsia"/>
          <w:b/>
          <w:bCs w:val="0"/>
          <w:sz w:val="28"/>
          <w:szCs w:val="28"/>
        </w:rPr>
        <w:t>建设期固体废弃物影响分析与防治措施</w:t>
      </w:r>
      <w:bookmarkEnd w:id="363"/>
      <w:bookmarkEnd w:id="364"/>
      <w:bookmarkEnd w:id="365"/>
    </w:p>
    <w:p w:rsidR="00C223F5" w:rsidRPr="00927E76" w:rsidRDefault="005860D5">
      <w:pPr>
        <w:pStyle w:val="BG"/>
        <w:ind w:firstLine="480"/>
      </w:pPr>
      <w:r w:rsidRPr="00927E76">
        <w:t>矿井建设期固体废弃物主要为井筒掘进和场地建设产生的泥土、岩石及掘进矸石，其次为</w:t>
      </w:r>
      <w:r w:rsidRPr="00927E76">
        <w:rPr>
          <w:rFonts w:hint="eastAsia"/>
        </w:rPr>
        <w:t>原有设施拆除和</w:t>
      </w:r>
      <w:r w:rsidRPr="00927E76">
        <w:t>地面建筑施工中产生的建筑垃圾，施工人员生活垃圾等</w:t>
      </w:r>
      <w:r w:rsidR="008C2C4E">
        <w:rPr>
          <w:rFonts w:hint="eastAsia"/>
        </w:rPr>
        <w:t>；</w:t>
      </w:r>
      <w:r w:rsidR="008C2C4E" w:rsidRPr="008C2C4E">
        <w:rPr>
          <w:rFonts w:hint="eastAsia"/>
          <w:color w:val="FF0000"/>
        </w:rPr>
        <w:t>此外，施工过程中原有机械设备拆解过程中会产生废润滑油，厂房装修会有废油漆桶等危险废物产生。</w:t>
      </w:r>
    </w:p>
    <w:p w:rsidR="00C223F5" w:rsidRDefault="005860D5">
      <w:pPr>
        <w:pStyle w:val="BG"/>
        <w:ind w:firstLine="480"/>
        <w:rPr>
          <w:color w:val="000000"/>
        </w:rPr>
      </w:pPr>
      <w:r w:rsidRPr="00927E76">
        <w:t>本项目</w:t>
      </w:r>
      <w:r w:rsidRPr="00927E76">
        <w:rPr>
          <w:rFonts w:hint="eastAsia"/>
        </w:rPr>
        <w:t>建设期</w:t>
      </w:r>
      <w:r w:rsidRPr="00927E76">
        <w:t>挖填方总量</w:t>
      </w:r>
      <w:r w:rsidRPr="00927E76">
        <w:t>47.45</w:t>
      </w:r>
      <w:r w:rsidRPr="00927E76">
        <w:t>万</w:t>
      </w:r>
      <w:r w:rsidRPr="00927E76">
        <w:t>m</w:t>
      </w:r>
      <w:r w:rsidRPr="00927E76">
        <w:rPr>
          <w:vertAlign w:val="superscript"/>
        </w:rPr>
        <w:t>3</w:t>
      </w:r>
      <w:r w:rsidRPr="00927E76">
        <w:t>，挖方</w:t>
      </w:r>
      <w:r w:rsidRPr="00927E76">
        <w:t>39.03</w:t>
      </w:r>
      <w:r w:rsidRPr="00927E76">
        <w:t>万</w:t>
      </w:r>
      <w:r w:rsidRPr="00927E76">
        <w:t>m</w:t>
      </w:r>
      <w:r w:rsidRPr="00927E76">
        <w:rPr>
          <w:vertAlign w:val="superscript"/>
        </w:rPr>
        <w:t>3</w:t>
      </w:r>
      <w:r w:rsidRPr="00927E76">
        <w:t>，填方</w:t>
      </w:r>
      <w:r w:rsidRPr="00927E76">
        <w:t>8.42</w:t>
      </w:r>
      <w:r w:rsidRPr="00927E76">
        <w:t>万</w:t>
      </w:r>
      <w:r w:rsidRPr="00927E76">
        <w:t>m</w:t>
      </w:r>
      <w:r w:rsidRPr="00927E76">
        <w:rPr>
          <w:vertAlign w:val="superscript"/>
        </w:rPr>
        <w:t>3</w:t>
      </w:r>
      <w:r w:rsidRPr="00927E76">
        <w:rPr>
          <w:rFonts w:hint="eastAsia"/>
        </w:rPr>
        <w:t>；其中工业场地平整挖方</w:t>
      </w:r>
      <w:r w:rsidRPr="00927E76">
        <w:rPr>
          <w:rFonts w:hint="eastAsia"/>
        </w:rPr>
        <w:t>28.93</w:t>
      </w:r>
      <w:r w:rsidRPr="00927E76">
        <w:t>万</w:t>
      </w:r>
      <w:r w:rsidRPr="00927E76">
        <w:t>m</w:t>
      </w:r>
      <w:r w:rsidRPr="00927E76">
        <w:rPr>
          <w:vertAlign w:val="superscript"/>
        </w:rPr>
        <w:t>3</w:t>
      </w:r>
      <w:r w:rsidRPr="00927E76">
        <w:rPr>
          <w:rFonts w:hint="eastAsia"/>
        </w:rPr>
        <w:t>，回填</w:t>
      </w:r>
      <w:r w:rsidRPr="00927E76">
        <w:rPr>
          <w:rFonts w:hint="eastAsia"/>
        </w:rPr>
        <w:t>8.22</w:t>
      </w:r>
      <w:r w:rsidRPr="00927E76">
        <w:t>万</w:t>
      </w:r>
      <w:r w:rsidRPr="00927E76">
        <w:t>m</w:t>
      </w:r>
      <w:r w:rsidRPr="00927E76">
        <w:rPr>
          <w:vertAlign w:val="superscript"/>
        </w:rPr>
        <w:t>3</w:t>
      </w:r>
      <w:r w:rsidRPr="00927E76">
        <w:rPr>
          <w:rFonts w:hint="eastAsia"/>
        </w:rPr>
        <w:t>，剩余</w:t>
      </w:r>
      <w:r w:rsidRPr="00927E76">
        <w:rPr>
          <w:rFonts w:hint="eastAsia"/>
        </w:rPr>
        <w:t>20.71</w:t>
      </w:r>
      <w:r w:rsidRPr="00927E76">
        <w:t>万</w:t>
      </w:r>
      <w:r w:rsidRPr="00927E76">
        <w:t>m</w:t>
      </w:r>
      <w:r w:rsidRPr="00927E76">
        <w:rPr>
          <w:vertAlign w:val="superscript"/>
        </w:rPr>
        <w:t>3</w:t>
      </w:r>
      <w:r w:rsidRPr="00927E76">
        <w:rPr>
          <w:rFonts w:hint="eastAsia"/>
        </w:rPr>
        <w:t>用于紧邻工业场地的艾魏路改造工程；井巷</w:t>
      </w:r>
      <w:r>
        <w:rPr>
          <w:rFonts w:hint="eastAsia"/>
          <w:color w:val="000000"/>
        </w:rPr>
        <w:t>掘进矸石量</w:t>
      </w:r>
      <w:r>
        <w:rPr>
          <w:rFonts w:hint="eastAsia"/>
          <w:color w:val="000000"/>
        </w:rPr>
        <w:t>9.9</w:t>
      </w:r>
      <w:r>
        <w:rPr>
          <w:color w:val="000000"/>
        </w:rPr>
        <w:t>万</w:t>
      </w:r>
      <w:r>
        <w:rPr>
          <w:color w:val="000000"/>
        </w:rPr>
        <w:t>m</w:t>
      </w:r>
      <w:r>
        <w:rPr>
          <w:color w:val="000000"/>
          <w:vertAlign w:val="superscript"/>
        </w:rPr>
        <w:t>3</w:t>
      </w:r>
      <w:r>
        <w:rPr>
          <w:rFonts w:hint="eastAsia"/>
          <w:color w:val="000000"/>
        </w:rPr>
        <w:t>，用于艾魏路改造工程和子洲县马岔乡大堡岔兴盛砖厂。</w:t>
      </w:r>
    </w:p>
    <w:p w:rsidR="00C223F5" w:rsidRDefault="005860D5">
      <w:pPr>
        <w:pStyle w:val="BG"/>
        <w:ind w:firstLine="480"/>
        <w:rPr>
          <w:color w:val="000000"/>
        </w:rPr>
      </w:pPr>
      <w:r>
        <w:rPr>
          <w:rFonts w:hint="eastAsia"/>
          <w:color w:val="000000"/>
        </w:rPr>
        <w:t>艾魏路改造工程由陕西通远交通建筑有限公司负责改造的路段长</w:t>
      </w:r>
      <w:r>
        <w:rPr>
          <w:rFonts w:hint="eastAsia"/>
          <w:color w:val="000000"/>
        </w:rPr>
        <w:t>30</w:t>
      </w:r>
      <w:r>
        <w:rPr>
          <w:rFonts w:hint="eastAsia"/>
          <w:color w:val="000000"/>
        </w:rPr>
        <w:t>公里，建设时间</w:t>
      </w:r>
      <w:r>
        <w:rPr>
          <w:rFonts w:hint="eastAsia"/>
          <w:color w:val="000000"/>
        </w:rPr>
        <w:t>2018</w:t>
      </w:r>
      <w:r>
        <w:rPr>
          <w:rFonts w:hint="eastAsia"/>
          <w:color w:val="000000"/>
        </w:rPr>
        <w:t>年</w:t>
      </w:r>
      <w:r>
        <w:rPr>
          <w:rFonts w:hint="eastAsia"/>
          <w:color w:val="000000"/>
        </w:rPr>
        <w:t>10</w:t>
      </w:r>
      <w:r>
        <w:rPr>
          <w:rFonts w:hint="eastAsia"/>
          <w:color w:val="000000"/>
        </w:rPr>
        <w:t>月至</w:t>
      </w:r>
      <w:r>
        <w:rPr>
          <w:rFonts w:hint="eastAsia"/>
          <w:color w:val="000000"/>
        </w:rPr>
        <w:t>2020</w:t>
      </w:r>
      <w:r>
        <w:rPr>
          <w:rFonts w:hint="eastAsia"/>
          <w:color w:val="000000"/>
        </w:rPr>
        <w:t>年</w:t>
      </w:r>
      <w:r>
        <w:rPr>
          <w:color w:val="000000"/>
        </w:rPr>
        <w:t>6</w:t>
      </w:r>
      <w:r>
        <w:rPr>
          <w:rFonts w:hint="eastAsia"/>
          <w:color w:val="000000"/>
        </w:rPr>
        <w:t>月，本项目建设期弃渣运距不大于</w:t>
      </w:r>
      <w:r>
        <w:rPr>
          <w:rFonts w:hint="eastAsia"/>
          <w:color w:val="000000"/>
        </w:rPr>
        <w:t>10</w:t>
      </w:r>
      <w:r>
        <w:rPr>
          <w:rFonts w:hint="eastAsia"/>
          <w:color w:val="000000"/>
        </w:rPr>
        <w:t>公里，已与陕西通远交通建筑有限公司签订土方供应意向书。子洲县马岔乡大堡岔兴盛砖厂位于子洲县马岔乡大堡岔村，主要利用煤矸石、粘土原料生产空心砖，生产规模年产</w:t>
      </w:r>
      <w:r>
        <w:rPr>
          <w:rFonts w:hint="eastAsia"/>
          <w:color w:val="000000"/>
        </w:rPr>
        <w:t>2</w:t>
      </w:r>
      <w:r>
        <w:rPr>
          <w:color w:val="000000"/>
        </w:rPr>
        <w:t>000</w:t>
      </w:r>
      <w:r>
        <w:rPr>
          <w:rFonts w:hint="eastAsia"/>
          <w:color w:val="000000"/>
        </w:rPr>
        <w:t>万块空心砖，本项目建设期井巷掘进矸石、生产期洗选矸石综合利用于该砖厂的生产原料，已签订煤矸石利用协议意向书。</w:t>
      </w:r>
    </w:p>
    <w:p w:rsidR="00C223F5" w:rsidRDefault="005860D5">
      <w:pPr>
        <w:tabs>
          <w:tab w:val="left" w:pos="360"/>
          <w:tab w:val="left" w:pos="540"/>
        </w:tabs>
        <w:spacing w:line="360" w:lineRule="auto"/>
        <w:ind w:firstLineChars="200" w:firstLine="480"/>
        <w:rPr>
          <w:color w:val="000000"/>
          <w:sz w:val="24"/>
        </w:rPr>
      </w:pPr>
      <w:r>
        <w:rPr>
          <w:rFonts w:hint="eastAsia"/>
          <w:color w:val="000000"/>
          <w:sz w:val="24"/>
        </w:rPr>
        <w:t>此外，环评对</w:t>
      </w:r>
      <w:r>
        <w:rPr>
          <w:color w:val="000000"/>
          <w:sz w:val="24"/>
        </w:rPr>
        <w:t>建设中固体废弃物处置</w:t>
      </w:r>
      <w:r>
        <w:rPr>
          <w:rFonts w:hint="eastAsia"/>
          <w:color w:val="000000"/>
          <w:sz w:val="24"/>
        </w:rPr>
        <w:t>提出以下</w:t>
      </w:r>
      <w:r>
        <w:rPr>
          <w:color w:val="000000"/>
          <w:sz w:val="24"/>
        </w:rPr>
        <w:t>措施：</w:t>
      </w:r>
    </w:p>
    <w:p w:rsidR="00C223F5" w:rsidRDefault="005860D5">
      <w:pPr>
        <w:tabs>
          <w:tab w:val="left" w:pos="360"/>
          <w:tab w:val="left" w:pos="540"/>
        </w:tabs>
        <w:spacing w:line="360" w:lineRule="auto"/>
        <w:ind w:firstLineChars="200" w:firstLine="480"/>
        <w:rPr>
          <w:color w:val="000000"/>
          <w:sz w:val="24"/>
        </w:rPr>
      </w:pPr>
      <w:r>
        <w:rPr>
          <w:rFonts w:hint="eastAsia"/>
          <w:color w:val="000000"/>
          <w:sz w:val="24"/>
        </w:rPr>
        <w:t>①</w:t>
      </w:r>
      <w:r>
        <w:rPr>
          <w:color w:val="000000"/>
          <w:sz w:val="24"/>
        </w:rPr>
        <w:t>加强对施工现场的管理，减少垃圾、固废的长期堆存，定期清运至指定地点，土方临时堆场周边应设置拦挡设施，顶部采取土工布苫盖；</w:t>
      </w:r>
    </w:p>
    <w:p w:rsidR="00C223F5" w:rsidRDefault="005860D5">
      <w:pPr>
        <w:tabs>
          <w:tab w:val="left" w:pos="360"/>
          <w:tab w:val="left" w:pos="540"/>
        </w:tabs>
        <w:spacing w:line="360" w:lineRule="auto"/>
        <w:ind w:firstLineChars="200" w:firstLine="480"/>
        <w:rPr>
          <w:color w:val="000000"/>
          <w:sz w:val="24"/>
        </w:rPr>
      </w:pPr>
      <w:r>
        <w:rPr>
          <w:rFonts w:hint="eastAsia"/>
          <w:color w:val="000000"/>
          <w:sz w:val="24"/>
        </w:rPr>
        <w:t>②</w:t>
      </w:r>
      <w:r>
        <w:rPr>
          <w:color w:val="000000"/>
          <w:sz w:val="24"/>
        </w:rPr>
        <w:t>加强生活区生活垃圾的外运管理，集中收集后送</w:t>
      </w:r>
      <w:r>
        <w:rPr>
          <w:rFonts w:hint="eastAsia"/>
          <w:color w:val="000000"/>
          <w:sz w:val="24"/>
        </w:rPr>
        <w:t>市政</w:t>
      </w:r>
      <w:r>
        <w:rPr>
          <w:color w:val="000000"/>
          <w:sz w:val="24"/>
        </w:rPr>
        <w:t>垃圾填埋场统一处理，防止乱倒垃圾现象发生；</w:t>
      </w:r>
    </w:p>
    <w:p w:rsidR="008C2C4E" w:rsidRDefault="005860D5">
      <w:pPr>
        <w:tabs>
          <w:tab w:val="left" w:pos="360"/>
          <w:tab w:val="left" w:pos="540"/>
        </w:tabs>
        <w:spacing w:line="360" w:lineRule="auto"/>
        <w:ind w:firstLineChars="200" w:firstLine="480"/>
        <w:rPr>
          <w:sz w:val="24"/>
        </w:rPr>
      </w:pPr>
      <w:r>
        <w:rPr>
          <w:rFonts w:hint="eastAsia"/>
          <w:color w:val="000000"/>
          <w:sz w:val="24"/>
        </w:rPr>
        <w:t>③</w:t>
      </w:r>
      <w:r>
        <w:rPr>
          <w:color w:val="000000"/>
          <w:sz w:val="24"/>
        </w:rPr>
        <w:t>建</w:t>
      </w:r>
      <w:r>
        <w:rPr>
          <w:sz w:val="24"/>
        </w:rPr>
        <w:t>筑垃圾中废弃的砖、石、夯块等作为地基的填筑料，各类包装箱、纸有专人负责收集分类存放，统一运往废品站进行回收利用</w:t>
      </w:r>
      <w:r w:rsidR="008C2C4E">
        <w:rPr>
          <w:rFonts w:hint="eastAsia"/>
          <w:sz w:val="24"/>
        </w:rPr>
        <w:t>；</w:t>
      </w:r>
    </w:p>
    <w:p w:rsidR="00C223F5" w:rsidRPr="008C2C4E" w:rsidRDefault="008C2C4E">
      <w:pPr>
        <w:tabs>
          <w:tab w:val="left" w:pos="360"/>
          <w:tab w:val="left" w:pos="540"/>
        </w:tabs>
        <w:spacing w:line="360" w:lineRule="auto"/>
        <w:ind w:firstLineChars="200" w:firstLine="480"/>
        <w:rPr>
          <w:color w:val="FF0000"/>
          <w:sz w:val="24"/>
        </w:rPr>
      </w:pPr>
      <w:r w:rsidRPr="008C2C4E">
        <w:rPr>
          <w:color w:val="FF0000"/>
          <w:sz w:val="24"/>
        </w:rPr>
        <w:fldChar w:fldCharType="begin"/>
      </w:r>
      <w:r w:rsidRPr="008C2C4E">
        <w:rPr>
          <w:color w:val="FF0000"/>
          <w:sz w:val="24"/>
        </w:rPr>
        <w:instrText xml:space="preserve"> </w:instrText>
      </w:r>
      <w:r w:rsidRPr="008C2C4E">
        <w:rPr>
          <w:rFonts w:hint="eastAsia"/>
          <w:color w:val="FF0000"/>
          <w:sz w:val="24"/>
        </w:rPr>
        <w:instrText>= 4 \* GB3</w:instrText>
      </w:r>
      <w:r w:rsidRPr="008C2C4E">
        <w:rPr>
          <w:color w:val="FF0000"/>
          <w:sz w:val="24"/>
        </w:rPr>
        <w:instrText xml:space="preserve"> </w:instrText>
      </w:r>
      <w:r w:rsidRPr="008C2C4E">
        <w:rPr>
          <w:color w:val="FF0000"/>
          <w:sz w:val="24"/>
        </w:rPr>
        <w:fldChar w:fldCharType="separate"/>
      </w:r>
      <w:r w:rsidRPr="008C2C4E">
        <w:rPr>
          <w:rFonts w:hint="eastAsia"/>
          <w:noProof/>
          <w:color w:val="FF0000"/>
          <w:sz w:val="24"/>
        </w:rPr>
        <w:t>④</w:t>
      </w:r>
      <w:r w:rsidRPr="008C2C4E">
        <w:rPr>
          <w:color w:val="FF0000"/>
          <w:sz w:val="24"/>
        </w:rPr>
        <w:fldChar w:fldCharType="end"/>
      </w:r>
      <w:r>
        <w:rPr>
          <w:rFonts w:hint="eastAsia"/>
          <w:color w:val="FF0000"/>
          <w:sz w:val="24"/>
        </w:rPr>
        <w:t>废油漆桶交由供货商回收处理，机械拆解产生的废润滑油等交给有资质的单位处置</w:t>
      </w:r>
      <w:r w:rsidR="005860D5" w:rsidRPr="008C2C4E">
        <w:rPr>
          <w:color w:val="FF0000"/>
          <w:sz w:val="24"/>
        </w:rPr>
        <w:t>。</w:t>
      </w: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366" w:name="_Toc533604749"/>
      <w:bookmarkStart w:id="367" w:name="_Toc533604329"/>
      <w:bookmarkStart w:id="368" w:name="_Toc16785294"/>
      <w:r>
        <w:rPr>
          <w:rFonts w:ascii="Times New Roman" w:eastAsia="宋体" w:hAnsi="Times New Roman" w:hint="eastAsia"/>
          <w:b/>
          <w:bCs w:val="0"/>
          <w:szCs w:val="30"/>
        </w:rPr>
        <w:t>4.2</w:t>
      </w:r>
      <w:r>
        <w:rPr>
          <w:rFonts w:ascii="Times New Roman" w:eastAsia="宋体" w:hAnsi="Times New Roman" w:hint="eastAsia"/>
          <w:b/>
          <w:bCs w:val="0"/>
          <w:szCs w:val="30"/>
        </w:rPr>
        <w:t>运营期环境影响预测与评价</w:t>
      </w:r>
      <w:bookmarkEnd w:id="366"/>
      <w:bookmarkEnd w:id="367"/>
      <w:bookmarkEnd w:id="368"/>
    </w:p>
    <w:p w:rsidR="00C223F5" w:rsidRDefault="005860D5" w:rsidP="004835BD">
      <w:pPr>
        <w:pStyle w:val="3"/>
        <w:numPr>
          <w:ilvl w:val="0"/>
          <w:numId w:val="0"/>
        </w:numPr>
        <w:spacing w:before="0" w:after="0" w:line="360" w:lineRule="auto"/>
        <w:ind w:left="170"/>
        <w:rPr>
          <w:rFonts w:eastAsia="宋体"/>
          <w:b/>
          <w:bCs w:val="0"/>
          <w:sz w:val="28"/>
          <w:szCs w:val="28"/>
        </w:rPr>
      </w:pPr>
      <w:bookmarkStart w:id="369" w:name="_Toc533604330"/>
      <w:bookmarkStart w:id="370" w:name="_Toc533604750"/>
      <w:bookmarkStart w:id="371" w:name="_Toc474316576"/>
      <w:bookmarkStart w:id="372" w:name="_Toc488660699"/>
      <w:bookmarkStart w:id="373" w:name="_Toc16785295"/>
      <w:r>
        <w:rPr>
          <w:rFonts w:eastAsia="宋体" w:hint="eastAsia"/>
          <w:b/>
          <w:bCs w:val="0"/>
          <w:sz w:val="28"/>
          <w:szCs w:val="28"/>
        </w:rPr>
        <w:t>4.2.1</w:t>
      </w:r>
      <w:r>
        <w:rPr>
          <w:rFonts w:eastAsia="宋体" w:hint="eastAsia"/>
          <w:b/>
          <w:bCs w:val="0"/>
          <w:sz w:val="28"/>
          <w:szCs w:val="28"/>
        </w:rPr>
        <w:t>生态环境影响评价</w:t>
      </w:r>
      <w:bookmarkEnd w:id="369"/>
      <w:bookmarkEnd w:id="370"/>
      <w:bookmarkEnd w:id="371"/>
      <w:bookmarkEnd w:id="372"/>
      <w:bookmarkEnd w:id="373"/>
    </w:p>
    <w:p w:rsidR="00C223F5" w:rsidRDefault="005860D5" w:rsidP="004835BD">
      <w:pPr>
        <w:pStyle w:val="4"/>
        <w:spacing w:before="0" w:after="0" w:line="360" w:lineRule="auto"/>
        <w:ind w:firstLineChars="100" w:firstLine="240"/>
        <w:rPr>
          <w:szCs w:val="24"/>
        </w:rPr>
      </w:pPr>
      <w:r>
        <w:rPr>
          <w:rFonts w:hint="eastAsia"/>
          <w:szCs w:val="24"/>
        </w:rPr>
        <w:t>4.2.1.1</w:t>
      </w:r>
      <w:r>
        <w:rPr>
          <w:rFonts w:hint="eastAsia"/>
          <w:szCs w:val="24"/>
        </w:rPr>
        <w:t>地表沉陷预测</w:t>
      </w:r>
    </w:p>
    <w:p w:rsidR="00C223F5" w:rsidRDefault="005860D5" w:rsidP="00C006A7">
      <w:pPr>
        <w:spacing w:line="360" w:lineRule="auto"/>
        <w:ind w:firstLineChars="200" w:firstLine="482"/>
        <w:rPr>
          <w:b/>
          <w:sz w:val="24"/>
        </w:rPr>
      </w:pPr>
      <w:r>
        <w:rPr>
          <w:rFonts w:hint="eastAsia"/>
          <w:b/>
          <w:sz w:val="24"/>
        </w:rPr>
        <w:t>（一）井田开拓方式</w:t>
      </w:r>
    </w:p>
    <w:p w:rsidR="00C223F5" w:rsidRDefault="005860D5" w:rsidP="00A82F91">
      <w:pPr>
        <w:pStyle w:val="aff1"/>
        <w:spacing w:line="360" w:lineRule="auto"/>
        <w:ind w:left="0" w:firstLineChars="200" w:firstLine="480"/>
        <w:rPr>
          <w:rFonts w:hAnsi="宋体"/>
        </w:rPr>
      </w:pPr>
      <w:r>
        <w:rPr>
          <w:rFonts w:hint="eastAsia"/>
        </w:rPr>
        <w:lastRenderedPageBreak/>
        <w:t>天云煤矿含煤地层为</w:t>
      </w:r>
      <w:r>
        <w:t>三叠系上统瓦窑堡组</w:t>
      </w:r>
      <w:r>
        <w:rPr>
          <w:rFonts w:hint="eastAsia"/>
        </w:rPr>
        <w:t>，本次开采</w:t>
      </w:r>
      <w:r>
        <w:rPr>
          <w:kern w:val="0"/>
        </w:rPr>
        <w:t>4</w:t>
      </w:r>
      <w:r>
        <w:rPr>
          <w:kern w:val="0"/>
          <w:vertAlign w:val="superscript"/>
        </w:rPr>
        <w:t>-1</w:t>
      </w:r>
      <w:r>
        <w:rPr>
          <w:rFonts w:hAnsi="宋体"/>
          <w:kern w:val="0"/>
        </w:rPr>
        <w:t>、</w:t>
      </w:r>
      <w:r>
        <w:rPr>
          <w:kern w:val="0"/>
        </w:rPr>
        <w:t>4</w:t>
      </w:r>
      <w:r>
        <w:rPr>
          <w:kern w:val="0"/>
          <w:vertAlign w:val="superscript"/>
        </w:rPr>
        <w:t>-2</w:t>
      </w:r>
      <w:r>
        <w:rPr>
          <w:rFonts w:hAnsi="宋体"/>
          <w:kern w:val="0"/>
        </w:rPr>
        <w:t>煤层，</w:t>
      </w:r>
      <w:r>
        <w:rPr>
          <w:rFonts w:hAnsi="宋体" w:hint="eastAsia"/>
          <w:kern w:val="0"/>
        </w:rPr>
        <w:t>煤层平均厚度</w:t>
      </w:r>
      <w:r>
        <w:rPr>
          <w:rFonts w:hAnsi="宋体" w:hint="eastAsia"/>
          <w:kern w:val="0"/>
        </w:rPr>
        <w:t>1.84m</w:t>
      </w:r>
      <w:r>
        <w:rPr>
          <w:rFonts w:hAnsi="宋体" w:hint="eastAsia"/>
          <w:kern w:val="0"/>
        </w:rPr>
        <w:t>、</w:t>
      </w:r>
      <w:r>
        <w:rPr>
          <w:rFonts w:hAnsi="宋体" w:hint="eastAsia"/>
          <w:kern w:val="0"/>
        </w:rPr>
        <w:t>1.03m</w:t>
      </w:r>
      <w:r>
        <w:rPr>
          <w:rFonts w:hAnsi="宋体" w:hint="eastAsia"/>
          <w:kern w:val="0"/>
        </w:rPr>
        <w:t>，</w:t>
      </w:r>
      <w:r>
        <w:rPr>
          <w:rFonts w:hAnsi="宋体" w:hint="eastAsia"/>
        </w:rPr>
        <w:t>平均</w:t>
      </w:r>
      <w:r>
        <w:rPr>
          <w:lang w:val="en-GB"/>
        </w:rPr>
        <w:t>煤层</w:t>
      </w:r>
      <w:r>
        <w:rPr>
          <w:rFonts w:hAnsi="宋体"/>
        </w:rPr>
        <w:t>倾角</w:t>
      </w:r>
      <w:r>
        <w:rPr>
          <w:rFonts w:hAnsi="宋体" w:hint="eastAsia"/>
        </w:rPr>
        <w:t>1</w:t>
      </w:r>
      <w:r>
        <w:rPr>
          <w:rFonts w:hAnsi="宋体"/>
        </w:rPr>
        <w:t>°</w:t>
      </w:r>
      <w:r>
        <w:rPr>
          <w:lang w:val="en-GB"/>
        </w:rPr>
        <w:t>。</w:t>
      </w:r>
      <w:r>
        <w:t>矿井采用</w:t>
      </w:r>
      <w:r>
        <w:rPr>
          <w:rFonts w:hint="eastAsia"/>
        </w:rPr>
        <w:t>两斜两立联合开拓方式，</w:t>
      </w:r>
      <w:r>
        <w:rPr>
          <w:rFonts w:hAnsi="宋体" w:hint="eastAsia"/>
        </w:rPr>
        <w:t>长壁后退式一次采全高采煤方法，综采采煤工艺，全部垮落法管理顶板。</w:t>
      </w:r>
    </w:p>
    <w:p w:rsidR="00C223F5" w:rsidRDefault="005860D5" w:rsidP="00A82F91">
      <w:pPr>
        <w:adjustRightInd w:val="0"/>
        <w:snapToGrid w:val="0"/>
        <w:spacing w:line="360" w:lineRule="auto"/>
        <w:ind w:firstLineChars="200" w:firstLine="480"/>
        <w:rPr>
          <w:sz w:val="24"/>
        </w:rPr>
      </w:pPr>
      <w:r>
        <w:rPr>
          <w:rFonts w:hAnsi="宋体"/>
          <w:sz w:val="24"/>
        </w:rPr>
        <w:t>全井田共划分</w:t>
      </w:r>
      <w:r>
        <w:rPr>
          <w:sz w:val="24"/>
        </w:rPr>
        <w:t>7</w:t>
      </w:r>
      <w:r>
        <w:rPr>
          <w:rFonts w:hAnsi="宋体"/>
          <w:sz w:val="24"/>
        </w:rPr>
        <w:t>个盘区</w:t>
      </w:r>
      <w:r>
        <w:rPr>
          <w:rFonts w:hAnsi="宋体" w:hint="eastAsia"/>
          <w:sz w:val="24"/>
        </w:rPr>
        <w:t>，</w:t>
      </w:r>
      <w:r>
        <w:rPr>
          <w:sz w:val="24"/>
        </w:rPr>
        <w:t>4</w:t>
      </w:r>
      <w:r>
        <w:rPr>
          <w:sz w:val="24"/>
          <w:vertAlign w:val="superscript"/>
        </w:rPr>
        <w:t>-1</w:t>
      </w:r>
      <w:r>
        <w:rPr>
          <w:sz w:val="24"/>
        </w:rPr>
        <w:t>、</w:t>
      </w:r>
      <w:r>
        <w:rPr>
          <w:sz w:val="24"/>
        </w:rPr>
        <w:t>4</w:t>
      </w:r>
      <w:r>
        <w:rPr>
          <w:sz w:val="24"/>
          <w:vertAlign w:val="superscript"/>
        </w:rPr>
        <w:t>-2</w:t>
      </w:r>
      <w:r>
        <w:rPr>
          <w:sz w:val="24"/>
        </w:rPr>
        <w:t>煤划分为一个煤组</w:t>
      </w:r>
      <w:r>
        <w:rPr>
          <w:rFonts w:hint="eastAsia"/>
          <w:sz w:val="24"/>
        </w:rPr>
        <w:t>一个水平</w:t>
      </w:r>
      <w:r>
        <w:rPr>
          <w:sz w:val="24"/>
        </w:rPr>
        <w:t>联合开采</w:t>
      </w:r>
      <w:r>
        <w:rPr>
          <w:rFonts w:hAnsi="宋体"/>
          <w:sz w:val="24"/>
        </w:rPr>
        <w:t>。</w:t>
      </w:r>
      <w:r>
        <w:rPr>
          <w:sz w:val="24"/>
        </w:rPr>
        <w:t>煤层间采用下行开采顺序，盘区间采用前进式开采顺序，由靠近井底的盘区向井田边界推进，由近及远开采。矿井移交生产时先回采西部的一、二、三盘区</w:t>
      </w:r>
      <w:r>
        <w:rPr>
          <w:sz w:val="24"/>
        </w:rPr>
        <w:t>4</w:t>
      </w:r>
      <w:r>
        <w:rPr>
          <w:sz w:val="24"/>
          <w:vertAlign w:val="superscript"/>
        </w:rPr>
        <w:t>-1</w:t>
      </w:r>
      <w:r>
        <w:rPr>
          <w:sz w:val="24"/>
        </w:rPr>
        <w:t>煤中厚煤层，然后回采各盘区的薄煤层。</w:t>
      </w:r>
    </w:p>
    <w:p w:rsidR="00C223F5" w:rsidRDefault="005860D5" w:rsidP="00C006A7">
      <w:pPr>
        <w:spacing w:line="360" w:lineRule="auto"/>
        <w:ind w:firstLineChars="200" w:firstLine="482"/>
        <w:rPr>
          <w:b/>
          <w:sz w:val="24"/>
        </w:rPr>
      </w:pPr>
      <w:bookmarkStart w:id="374" w:name="_Toc216254976"/>
      <w:r>
        <w:rPr>
          <w:rFonts w:hint="eastAsia"/>
          <w:b/>
          <w:sz w:val="24"/>
        </w:rPr>
        <w:t>（二）保护煤柱留设</w:t>
      </w:r>
    </w:p>
    <w:p w:rsidR="00C223F5" w:rsidRDefault="005860D5" w:rsidP="00A82F91">
      <w:pPr>
        <w:spacing w:line="360" w:lineRule="auto"/>
        <w:ind w:firstLineChars="200" w:firstLine="480"/>
        <w:rPr>
          <w:rFonts w:hAnsi="宋体"/>
          <w:sz w:val="24"/>
        </w:rPr>
      </w:pPr>
      <w:r>
        <w:rPr>
          <w:rFonts w:hAnsi="宋体"/>
          <w:sz w:val="24"/>
        </w:rPr>
        <w:t>根据《煤炭工业矿井设计规范》</w:t>
      </w:r>
      <w:r>
        <w:rPr>
          <w:rFonts w:hAnsi="宋体"/>
          <w:sz w:val="24"/>
          <w:lang w:val="zh-CN"/>
        </w:rPr>
        <w:t>（</w:t>
      </w:r>
      <w:r>
        <w:rPr>
          <w:sz w:val="24"/>
          <w:lang w:val="zh-CN"/>
        </w:rPr>
        <w:t>GB 50215-2015</w:t>
      </w:r>
      <w:r>
        <w:rPr>
          <w:rFonts w:hAnsi="宋体"/>
          <w:sz w:val="24"/>
          <w:lang w:val="zh-CN"/>
        </w:rPr>
        <w:t>）</w:t>
      </w:r>
      <w:r>
        <w:rPr>
          <w:rFonts w:hAnsi="宋体"/>
          <w:sz w:val="24"/>
        </w:rPr>
        <w:t>、《建筑、水体、铁路及主要井巷煤柱留设与压煤开采规</w:t>
      </w:r>
      <w:r>
        <w:rPr>
          <w:rFonts w:hAnsi="宋体" w:hint="eastAsia"/>
          <w:sz w:val="24"/>
        </w:rPr>
        <w:t>范</w:t>
      </w:r>
      <w:r>
        <w:rPr>
          <w:rFonts w:hAnsi="宋体"/>
          <w:sz w:val="24"/>
        </w:rPr>
        <w:t>》和《煤矿安全规程》（</w:t>
      </w:r>
      <w:r>
        <w:rPr>
          <w:sz w:val="24"/>
        </w:rPr>
        <w:t>2016</w:t>
      </w:r>
      <w:r>
        <w:rPr>
          <w:rFonts w:hAnsi="宋体"/>
          <w:sz w:val="24"/>
        </w:rPr>
        <w:t>版）等有关规定，设计根据围岩情况和各类规程规定的参数分别进行计算煤柱尺寸，地面建筑物保安煤柱计算取最大值圈定。</w:t>
      </w:r>
    </w:p>
    <w:p w:rsidR="00C223F5" w:rsidRDefault="000F32AE" w:rsidP="00A82F91">
      <w:pPr>
        <w:spacing w:line="360" w:lineRule="auto"/>
        <w:ind w:firstLineChars="200" w:firstLine="480"/>
        <w:rPr>
          <w:sz w:val="24"/>
        </w:rPr>
      </w:pPr>
      <w:r>
        <w:rPr>
          <w:sz w:val="24"/>
        </w:rPr>
        <w:fldChar w:fldCharType="begin"/>
      </w:r>
      <w:r w:rsidR="005860D5">
        <w:rPr>
          <w:sz w:val="24"/>
        </w:rPr>
        <w:instrText xml:space="preserve"> = 1 \* GB3 </w:instrText>
      </w:r>
      <w:r>
        <w:rPr>
          <w:sz w:val="24"/>
        </w:rPr>
        <w:fldChar w:fldCharType="separate"/>
      </w:r>
      <w:r w:rsidR="005860D5">
        <w:rPr>
          <w:rFonts w:ascii="宋体" w:hAnsi="宋体" w:cs="宋体" w:hint="eastAsia"/>
          <w:sz w:val="24"/>
        </w:rPr>
        <w:t>①</w:t>
      </w:r>
      <w:r>
        <w:rPr>
          <w:sz w:val="24"/>
        </w:rPr>
        <w:fldChar w:fldCharType="end"/>
      </w:r>
      <w:r w:rsidR="005860D5">
        <w:rPr>
          <w:sz w:val="24"/>
        </w:rPr>
        <w:t>井田边界煤柱：</w:t>
      </w:r>
      <w:r w:rsidR="005860D5">
        <w:rPr>
          <w:rFonts w:hint="eastAsia"/>
          <w:sz w:val="24"/>
        </w:rPr>
        <w:t>井田境界煤柱在境界内</w:t>
      </w:r>
      <w:r w:rsidR="005860D5">
        <w:rPr>
          <w:sz w:val="24"/>
        </w:rPr>
        <w:t>留设</w:t>
      </w:r>
      <w:r w:rsidR="005860D5">
        <w:rPr>
          <w:sz w:val="24"/>
        </w:rPr>
        <w:t>20m</w:t>
      </w:r>
      <w:r w:rsidR="005860D5">
        <w:rPr>
          <w:sz w:val="24"/>
        </w:rPr>
        <w:t>煤柱。</w:t>
      </w:r>
    </w:p>
    <w:p w:rsidR="00C223F5" w:rsidRDefault="000F32AE" w:rsidP="00A82F91">
      <w:pPr>
        <w:spacing w:line="360" w:lineRule="auto"/>
        <w:ind w:firstLineChars="200" w:firstLine="480"/>
        <w:rPr>
          <w:sz w:val="24"/>
        </w:rPr>
      </w:pPr>
      <w:r>
        <w:rPr>
          <w:sz w:val="24"/>
        </w:rPr>
        <w:fldChar w:fldCharType="begin"/>
      </w:r>
      <w:r w:rsidR="005860D5">
        <w:rPr>
          <w:rFonts w:hint="eastAsia"/>
          <w:sz w:val="24"/>
        </w:rPr>
        <w:instrText>= 2 \* GB3</w:instrText>
      </w:r>
      <w:r>
        <w:rPr>
          <w:sz w:val="24"/>
        </w:rPr>
        <w:fldChar w:fldCharType="separate"/>
      </w:r>
      <w:r w:rsidR="005860D5">
        <w:rPr>
          <w:rFonts w:hint="eastAsia"/>
          <w:sz w:val="24"/>
        </w:rPr>
        <w:t>②</w:t>
      </w:r>
      <w:r>
        <w:rPr>
          <w:sz w:val="24"/>
        </w:rPr>
        <w:fldChar w:fldCharType="end"/>
      </w:r>
      <w:r w:rsidR="005860D5">
        <w:rPr>
          <w:rFonts w:hint="eastAsia"/>
          <w:sz w:val="24"/>
        </w:rPr>
        <w:t>大巷煤柱：</w:t>
      </w:r>
      <w:r w:rsidR="005860D5">
        <w:rPr>
          <w:sz w:val="24"/>
        </w:rPr>
        <w:t>主要大巷</w:t>
      </w:r>
      <w:r w:rsidR="005860D5">
        <w:rPr>
          <w:rFonts w:hint="eastAsia"/>
          <w:sz w:val="24"/>
        </w:rPr>
        <w:t>两侧煤柱宽度各为</w:t>
      </w:r>
      <w:r w:rsidR="005860D5">
        <w:rPr>
          <w:rFonts w:hint="eastAsia"/>
          <w:sz w:val="24"/>
        </w:rPr>
        <w:t>100m</w:t>
      </w:r>
      <w:r w:rsidR="005860D5">
        <w:rPr>
          <w:rFonts w:hint="eastAsia"/>
          <w:sz w:val="24"/>
        </w:rPr>
        <w:t>，三条大巷中心距</w:t>
      </w:r>
      <w:r w:rsidR="005860D5">
        <w:rPr>
          <w:rFonts w:hint="eastAsia"/>
          <w:sz w:val="24"/>
        </w:rPr>
        <w:t>40m</w:t>
      </w:r>
      <w:r w:rsidR="005860D5">
        <w:rPr>
          <w:rFonts w:hint="eastAsia"/>
          <w:sz w:val="24"/>
        </w:rPr>
        <w:t>。</w:t>
      </w:r>
    </w:p>
    <w:p w:rsidR="00C223F5" w:rsidRDefault="000F32AE" w:rsidP="00A82F91">
      <w:pPr>
        <w:snapToGrid w:val="0"/>
        <w:spacing w:line="360" w:lineRule="auto"/>
        <w:ind w:firstLineChars="200" w:firstLine="480"/>
        <w:rPr>
          <w:sz w:val="24"/>
        </w:rPr>
      </w:pPr>
      <w:r>
        <w:rPr>
          <w:sz w:val="24"/>
        </w:rPr>
        <w:fldChar w:fldCharType="begin"/>
      </w:r>
      <w:r w:rsidR="005860D5">
        <w:rPr>
          <w:sz w:val="24"/>
        </w:rPr>
        <w:instrText xml:space="preserve"> = 3 \* GB3 </w:instrText>
      </w:r>
      <w:r>
        <w:rPr>
          <w:sz w:val="24"/>
        </w:rPr>
        <w:fldChar w:fldCharType="separate"/>
      </w:r>
      <w:r w:rsidR="005860D5">
        <w:rPr>
          <w:rFonts w:ascii="宋体" w:hAnsi="宋体" w:cs="宋体" w:hint="eastAsia"/>
          <w:sz w:val="24"/>
        </w:rPr>
        <w:t>③</w:t>
      </w:r>
      <w:r>
        <w:rPr>
          <w:sz w:val="24"/>
        </w:rPr>
        <w:fldChar w:fldCharType="end"/>
      </w:r>
      <w:r w:rsidR="005860D5">
        <w:rPr>
          <w:rFonts w:hint="eastAsia"/>
          <w:sz w:val="24"/>
        </w:rPr>
        <w:t>工业场地及青银高速公路煤柱：矿井工业场地、井下大巷及青银高速公路联合蚂蚁河一同留设保护煤柱，高速保护等级为Ⅰ级，围护带宽度取</w:t>
      </w:r>
      <w:r w:rsidR="005860D5">
        <w:rPr>
          <w:rFonts w:hint="eastAsia"/>
          <w:sz w:val="24"/>
        </w:rPr>
        <w:t xml:space="preserve">20m, </w:t>
      </w:r>
      <w:r w:rsidR="005860D5">
        <w:rPr>
          <w:rFonts w:hint="eastAsia"/>
          <w:sz w:val="24"/>
        </w:rPr>
        <w:t>松散层移动角取</w:t>
      </w:r>
      <w:r w:rsidR="005860D5">
        <w:rPr>
          <w:rFonts w:hint="eastAsia"/>
          <w:sz w:val="24"/>
        </w:rPr>
        <w:t>45</w:t>
      </w:r>
      <w:r w:rsidR="005860D5">
        <w:rPr>
          <w:rFonts w:hint="eastAsia"/>
          <w:sz w:val="24"/>
        </w:rPr>
        <w:t>°，岩层移动角取</w:t>
      </w:r>
      <w:r w:rsidR="005860D5">
        <w:rPr>
          <w:rFonts w:hint="eastAsia"/>
          <w:sz w:val="24"/>
        </w:rPr>
        <w:t>70</w:t>
      </w:r>
      <w:r w:rsidR="005860D5">
        <w:rPr>
          <w:rFonts w:hint="eastAsia"/>
          <w:sz w:val="24"/>
        </w:rPr>
        <w:t>°，按照垂直剖面法计算高速公路一侧留设</w:t>
      </w:r>
      <w:r w:rsidR="005860D5">
        <w:rPr>
          <w:rFonts w:hint="eastAsia"/>
          <w:sz w:val="24"/>
        </w:rPr>
        <w:t>100m</w:t>
      </w:r>
      <w:r w:rsidR="005860D5">
        <w:rPr>
          <w:rFonts w:hint="eastAsia"/>
          <w:sz w:val="24"/>
        </w:rPr>
        <w:t>保护煤柱。</w:t>
      </w:r>
    </w:p>
    <w:p w:rsidR="00C223F5" w:rsidRDefault="000F32AE" w:rsidP="00A82F91">
      <w:pPr>
        <w:spacing w:line="360" w:lineRule="auto"/>
        <w:ind w:firstLineChars="200" w:firstLine="480"/>
        <w:rPr>
          <w:sz w:val="24"/>
        </w:rPr>
      </w:pPr>
      <w:r>
        <w:rPr>
          <w:sz w:val="24"/>
        </w:rPr>
        <w:fldChar w:fldCharType="begin"/>
      </w:r>
      <w:r w:rsidR="005860D5">
        <w:rPr>
          <w:rFonts w:hint="eastAsia"/>
          <w:sz w:val="24"/>
        </w:rPr>
        <w:instrText>= 4 \* GB3</w:instrText>
      </w:r>
      <w:r>
        <w:rPr>
          <w:sz w:val="24"/>
        </w:rPr>
        <w:fldChar w:fldCharType="separate"/>
      </w:r>
      <w:r w:rsidR="005860D5">
        <w:rPr>
          <w:rFonts w:hint="eastAsia"/>
          <w:sz w:val="24"/>
        </w:rPr>
        <w:t>④</w:t>
      </w:r>
      <w:r>
        <w:rPr>
          <w:sz w:val="24"/>
        </w:rPr>
        <w:fldChar w:fldCharType="end"/>
      </w:r>
      <w:r w:rsidR="005860D5">
        <w:rPr>
          <w:rFonts w:hint="eastAsia"/>
          <w:sz w:val="24"/>
        </w:rPr>
        <w:t>太（原）中（卫）银（川）铁路煤柱：保护等级为特级，设计一侧留设</w:t>
      </w:r>
      <w:r w:rsidR="005860D5">
        <w:rPr>
          <w:rFonts w:hint="eastAsia"/>
          <w:sz w:val="24"/>
        </w:rPr>
        <w:t>270m</w:t>
      </w:r>
      <w:r w:rsidR="005860D5">
        <w:rPr>
          <w:rFonts w:hint="eastAsia"/>
          <w:sz w:val="24"/>
        </w:rPr>
        <w:t>保护煤柱；两个隧道斜井，保护等级为Ⅱ级，设计一侧留设</w:t>
      </w:r>
      <w:r w:rsidR="005860D5">
        <w:rPr>
          <w:rFonts w:hint="eastAsia"/>
          <w:sz w:val="24"/>
        </w:rPr>
        <w:t>200m</w:t>
      </w:r>
      <w:r w:rsidR="005860D5">
        <w:rPr>
          <w:rFonts w:hint="eastAsia"/>
          <w:sz w:val="24"/>
        </w:rPr>
        <w:t>保护煤柱。</w:t>
      </w:r>
    </w:p>
    <w:p w:rsidR="00C223F5" w:rsidRDefault="000F32AE" w:rsidP="00A82F91">
      <w:pPr>
        <w:spacing w:line="360" w:lineRule="auto"/>
        <w:ind w:firstLineChars="200" w:firstLine="480"/>
        <w:rPr>
          <w:sz w:val="24"/>
        </w:rPr>
      </w:pPr>
      <w:r>
        <w:rPr>
          <w:sz w:val="24"/>
        </w:rPr>
        <w:fldChar w:fldCharType="begin"/>
      </w:r>
      <w:r w:rsidR="005860D5">
        <w:rPr>
          <w:rFonts w:hint="eastAsia"/>
          <w:sz w:val="24"/>
        </w:rPr>
        <w:instrText>= 5 \* GB3</w:instrText>
      </w:r>
      <w:r>
        <w:rPr>
          <w:sz w:val="24"/>
        </w:rPr>
        <w:fldChar w:fldCharType="separate"/>
      </w:r>
      <w:r w:rsidR="005860D5">
        <w:rPr>
          <w:rFonts w:hint="eastAsia"/>
          <w:sz w:val="24"/>
        </w:rPr>
        <w:t>⑤</w:t>
      </w:r>
      <w:r>
        <w:rPr>
          <w:sz w:val="24"/>
        </w:rPr>
        <w:fldChar w:fldCharType="end"/>
      </w:r>
      <w:r w:rsidR="005860D5">
        <w:rPr>
          <w:rFonts w:hint="eastAsia"/>
          <w:sz w:val="24"/>
        </w:rPr>
        <w:t>油井煤柱：护等级为Ⅱ级，围护带宽度取</w:t>
      </w:r>
      <w:r w:rsidR="005860D5">
        <w:rPr>
          <w:rFonts w:hint="eastAsia"/>
          <w:sz w:val="24"/>
        </w:rPr>
        <w:t>15m</w:t>
      </w:r>
      <w:r w:rsidR="005860D5">
        <w:rPr>
          <w:rFonts w:hint="eastAsia"/>
          <w:sz w:val="24"/>
        </w:rPr>
        <w:t>，松散层移动角取</w:t>
      </w:r>
      <w:r w:rsidR="005860D5">
        <w:rPr>
          <w:rFonts w:hint="eastAsia"/>
          <w:sz w:val="24"/>
        </w:rPr>
        <w:t>45</w:t>
      </w:r>
      <w:r w:rsidR="005860D5">
        <w:rPr>
          <w:rFonts w:hint="eastAsia"/>
          <w:sz w:val="24"/>
        </w:rPr>
        <w:t>°，岩层移动角取</w:t>
      </w:r>
      <w:r w:rsidR="005860D5">
        <w:rPr>
          <w:rFonts w:hint="eastAsia"/>
          <w:sz w:val="24"/>
        </w:rPr>
        <w:t>70</w:t>
      </w:r>
      <w:r w:rsidR="005860D5">
        <w:rPr>
          <w:rFonts w:hint="eastAsia"/>
          <w:sz w:val="24"/>
        </w:rPr>
        <w:t>°。</w:t>
      </w:r>
    </w:p>
    <w:p w:rsidR="00C223F5" w:rsidRPr="005654E5" w:rsidRDefault="000F32AE" w:rsidP="00A82F91">
      <w:pPr>
        <w:spacing w:line="360" w:lineRule="auto"/>
        <w:ind w:firstLineChars="200" w:firstLine="480"/>
        <w:rPr>
          <w:color w:val="FF0000"/>
          <w:sz w:val="24"/>
        </w:rPr>
      </w:pPr>
      <w:r w:rsidRPr="005654E5">
        <w:rPr>
          <w:rFonts w:hAnsi="宋体"/>
          <w:color w:val="FF0000"/>
          <w:sz w:val="24"/>
        </w:rPr>
        <w:fldChar w:fldCharType="begin"/>
      </w:r>
      <w:r w:rsidR="005860D5" w:rsidRPr="005654E5">
        <w:rPr>
          <w:rFonts w:hAnsi="宋体" w:hint="eastAsia"/>
          <w:color w:val="FF0000"/>
          <w:sz w:val="24"/>
        </w:rPr>
        <w:instrText>= 6 \* GB3</w:instrText>
      </w:r>
      <w:r w:rsidRPr="005654E5">
        <w:rPr>
          <w:rFonts w:hAnsi="宋体"/>
          <w:color w:val="FF0000"/>
          <w:sz w:val="24"/>
        </w:rPr>
        <w:fldChar w:fldCharType="separate"/>
      </w:r>
      <w:r w:rsidR="005860D5" w:rsidRPr="005654E5">
        <w:rPr>
          <w:rFonts w:hAnsi="宋体" w:hint="eastAsia"/>
          <w:color w:val="FF0000"/>
          <w:sz w:val="24"/>
        </w:rPr>
        <w:t>⑥</w:t>
      </w:r>
      <w:r w:rsidRPr="005654E5">
        <w:rPr>
          <w:rFonts w:hAnsi="宋体"/>
          <w:color w:val="FF0000"/>
          <w:sz w:val="24"/>
        </w:rPr>
        <w:fldChar w:fldCharType="end"/>
      </w:r>
      <w:r w:rsidR="005860D5" w:rsidRPr="005654E5">
        <w:rPr>
          <w:rFonts w:hAnsi="宋体" w:hint="eastAsia"/>
          <w:color w:val="FF0000"/>
          <w:sz w:val="24"/>
        </w:rPr>
        <w:t>村庄及</w:t>
      </w:r>
      <w:r w:rsidR="005654E5">
        <w:rPr>
          <w:rFonts w:hAnsi="宋体" w:hint="eastAsia"/>
          <w:color w:val="FF0000"/>
          <w:sz w:val="24"/>
        </w:rPr>
        <w:t>河流</w:t>
      </w:r>
      <w:r w:rsidR="005860D5" w:rsidRPr="005654E5">
        <w:rPr>
          <w:rFonts w:hAnsi="宋体" w:hint="eastAsia"/>
          <w:color w:val="FF0000"/>
          <w:sz w:val="24"/>
        </w:rPr>
        <w:t>煤柱：</w:t>
      </w:r>
      <w:r w:rsidR="005654E5" w:rsidRPr="005654E5">
        <w:rPr>
          <w:rFonts w:hint="eastAsia"/>
          <w:color w:val="FF0000"/>
          <w:sz w:val="24"/>
        </w:rPr>
        <w:t>蚂蚁河西段与青银高速公路上下重合，保护煤柱合并留设</w:t>
      </w:r>
      <w:r w:rsidR="005654E5" w:rsidRPr="005654E5">
        <w:rPr>
          <w:rFonts w:hint="eastAsia"/>
          <w:color w:val="FF0000"/>
          <w:sz w:val="24"/>
        </w:rPr>
        <w:t>100m</w:t>
      </w:r>
      <w:r w:rsidR="005654E5" w:rsidRPr="005654E5">
        <w:rPr>
          <w:rFonts w:hint="eastAsia"/>
          <w:color w:val="FF0000"/>
          <w:sz w:val="24"/>
        </w:rPr>
        <w:t>；大理河下游</w:t>
      </w:r>
      <w:r w:rsidR="00633ABA">
        <w:rPr>
          <w:rFonts w:hint="eastAsia"/>
          <w:color w:val="FF0000"/>
          <w:sz w:val="24"/>
        </w:rPr>
        <w:t>湿地</w:t>
      </w:r>
      <w:r w:rsidR="005654E5" w:rsidRPr="005654E5">
        <w:rPr>
          <w:rFonts w:hint="eastAsia"/>
          <w:color w:val="FF0000"/>
          <w:sz w:val="24"/>
        </w:rPr>
        <w:t>及村庄位于煤层不可采区域不需要留设保护煤柱，上游</w:t>
      </w:r>
      <w:r w:rsidR="00633ABA">
        <w:rPr>
          <w:rFonts w:hint="eastAsia"/>
          <w:color w:val="FF0000"/>
          <w:sz w:val="24"/>
        </w:rPr>
        <w:t>湿地</w:t>
      </w:r>
      <w:r w:rsidR="005654E5" w:rsidRPr="005654E5">
        <w:rPr>
          <w:rFonts w:hint="eastAsia"/>
          <w:color w:val="FF0000"/>
          <w:sz w:val="24"/>
        </w:rPr>
        <w:t>与两岸村庄合并留设保护煤柱，保护等级为Ⅲ级，围护带宽度取</w:t>
      </w:r>
      <w:r w:rsidR="005654E5" w:rsidRPr="005654E5">
        <w:rPr>
          <w:rFonts w:hint="eastAsia"/>
          <w:color w:val="FF0000"/>
          <w:sz w:val="24"/>
        </w:rPr>
        <w:t>10m</w:t>
      </w:r>
      <w:r w:rsidR="005654E5" w:rsidRPr="005654E5">
        <w:rPr>
          <w:rFonts w:hint="eastAsia"/>
          <w:color w:val="FF0000"/>
          <w:sz w:val="24"/>
        </w:rPr>
        <w:t>，松散层移动角取</w:t>
      </w:r>
      <w:r w:rsidR="005654E5" w:rsidRPr="005654E5">
        <w:rPr>
          <w:rFonts w:hint="eastAsia"/>
          <w:color w:val="FF0000"/>
          <w:sz w:val="24"/>
        </w:rPr>
        <w:t>45</w:t>
      </w:r>
      <w:r w:rsidR="005654E5" w:rsidRPr="005654E5">
        <w:rPr>
          <w:rFonts w:hint="eastAsia"/>
          <w:color w:val="FF0000"/>
          <w:sz w:val="24"/>
        </w:rPr>
        <w:t>°，岩层移动角取</w:t>
      </w:r>
      <w:r w:rsidR="005654E5" w:rsidRPr="005654E5">
        <w:rPr>
          <w:rFonts w:hint="eastAsia"/>
          <w:color w:val="FF0000"/>
          <w:sz w:val="24"/>
        </w:rPr>
        <w:t>70</w:t>
      </w:r>
      <w:r w:rsidR="005654E5" w:rsidRPr="005654E5">
        <w:rPr>
          <w:rFonts w:hint="eastAsia"/>
          <w:color w:val="FF0000"/>
          <w:sz w:val="24"/>
        </w:rPr>
        <w:t>°</w:t>
      </w:r>
      <w:r w:rsidR="005860D5" w:rsidRPr="005654E5">
        <w:rPr>
          <w:rFonts w:hint="eastAsia"/>
          <w:color w:val="FF0000"/>
          <w:sz w:val="24"/>
        </w:rPr>
        <w:t>。</w:t>
      </w:r>
    </w:p>
    <w:p w:rsidR="00C223F5" w:rsidRDefault="000F32AE" w:rsidP="00A82F91">
      <w:pPr>
        <w:spacing w:line="360" w:lineRule="auto"/>
        <w:ind w:firstLineChars="200" w:firstLine="480"/>
        <w:rPr>
          <w:sz w:val="24"/>
        </w:rPr>
      </w:pPr>
      <w:r>
        <w:rPr>
          <w:sz w:val="24"/>
        </w:rPr>
        <w:fldChar w:fldCharType="begin"/>
      </w:r>
      <w:r w:rsidR="005860D5">
        <w:rPr>
          <w:rFonts w:hint="eastAsia"/>
          <w:sz w:val="24"/>
        </w:rPr>
        <w:instrText>= 7 \* GB3</w:instrText>
      </w:r>
      <w:r>
        <w:rPr>
          <w:sz w:val="24"/>
        </w:rPr>
        <w:fldChar w:fldCharType="separate"/>
      </w:r>
      <w:r w:rsidR="005860D5">
        <w:rPr>
          <w:rFonts w:hint="eastAsia"/>
          <w:sz w:val="24"/>
        </w:rPr>
        <w:t>⑦</w:t>
      </w:r>
      <w:r>
        <w:rPr>
          <w:sz w:val="24"/>
        </w:rPr>
        <w:fldChar w:fldCharType="end"/>
      </w:r>
      <w:r w:rsidR="005860D5">
        <w:rPr>
          <w:rFonts w:hint="eastAsia"/>
          <w:sz w:val="24"/>
        </w:rPr>
        <w:t>750kV</w:t>
      </w:r>
      <w:r w:rsidR="005860D5">
        <w:rPr>
          <w:rFonts w:hint="eastAsia"/>
          <w:sz w:val="24"/>
        </w:rPr>
        <w:t>洛横一、二线高压线塔煤柱：塔基外留设</w:t>
      </w:r>
      <w:r w:rsidR="005860D5">
        <w:rPr>
          <w:rFonts w:hint="eastAsia"/>
          <w:sz w:val="24"/>
        </w:rPr>
        <w:t>140m</w:t>
      </w:r>
      <w:r w:rsidR="005860D5">
        <w:rPr>
          <w:rFonts w:hint="eastAsia"/>
          <w:sz w:val="24"/>
        </w:rPr>
        <w:t>保护煤柱。</w:t>
      </w:r>
    </w:p>
    <w:p w:rsidR="00C223F5" w:rsidRDefault="000F32AE" w:rsidP="00A82F91">
      <w:pPr>
        <w:spacing w:line="360" w:lineRule="auto"/>
        <w:ind w:firstLineChars="200" w:firstLine="480"/>
        <w:rPr>
          <w:sz w:val="24"/>
        </w:rPr>
      </w:pPr>
      <w:r>
        <w:rPr>
          <w:sz w:val="24"/>
        </w:rPr>
        <w:fldChar w:fldCharType="begin"/>
      </w:r>
      <w:r w:rsidR="005860D5">
        <w:rPr>
          <w:rFonts w:hint="eastAsia"/>
          <w:sz w:val="24"/>
        </w:rPr>
        <w:instrText>= 8 \* GB3</w:instrText>
      </w:r>
      <w:r>
        <w:rPr>
          <w:sz w:val="24"/>
        </w:rPr>
        <w:fldChar w:fldCharType="separate"/>
      </w:r>
      <w:r w:rsidR="005860D5">
        <w:rPr>
          <w:rFonts w:hint="eastAsia"/>
          <w:sz w:val="24"/>
        </w:rPr>
        <w:t>⑧</w:t>
      </w:r>
      <w:r>
        <w:rPr>
          <w:sz w:val="24"/>
        </w:rPr>
        <w:fldChar w:fldCharType="end"/>
      </w:r>
      <w:r w:rsidR="005860D5">
        <w:rPr>
          <w:color w:val="000000"/>
          <w:kern w:val="0"/>
          <w:sz w:val="24"/>
        </w:rPr>
        <w:t>九龙山庙</w:t>
      </w:r>
      <w:r w:rsidR="005860D5">
        <w:rPr>
          <w:rFonts w:hint="eastAsia"/>
          <w:color w:val="000000"/>
          <w:kern w:val="0"/>
          <w:sz w:val="24"/>
        </w:rPr>
        <w:t>保护煤柱：该文物保护单位外围留设</w:t>
      </w:r>
      <w:r w:rsidR="005860D5">
        <w:rPr>
          <w:rFonts w:hint="eastAsia"/>
          <w:color w:val="000000"/>
          <w:kern w:val="0"/>
          <w:sz w:val="24"/>
        </w:rPr>
        <w:t>120m</w:t>
      </w:r>
      <w:r w:rsidR="005860D5">
        <w:rPr>
          <w:rFonts w:hint="eastAsia"/>
          <w:color w:val="000000"/>
          <w:kern w:val="0"/>
          <w:sz w:val="24"/>
        </w:rPr>
        <w:t>保护煤柱。</w:t>
      </w:r>
    </w:p>
    <w:p w:rsidR="00C223F5" w:rsidRDefault="005860D5" w:rsidP="00A82F91">
      <w:pPr>
        <w:spacing w:line="360" w:lineRule="auto"/>
        <w:ind w:firstLineChars="200" w:firstLine="480"/>
        <w:rPr>
          <w:b/>
          <w:sz w:val="24"/>
        </w:rPr>
      </w:pPr>
      <w:r>
        <w:rPr>
          <w:sz w:val="24"/>
        </w:rPr>
        <w:t>井田开采保护煤柱留设情</w:t>
      </w:r>
      <w:r w:rsidRPr="00D92F67">
        <w:rPr>
          <w:color w:val="FF0000"/>
          <w:sz w:val="24"/>
        </w:rPr>
        <w:t>况</w:t>
      </w:r>
      <w:r w:rsidRPr="00D92F67">
        <w:rPr>
          <w:rFonts w:hint="eastAsia"/>
          <w:color w:val="FF0000"/>
          <w:sz w:val="24"/>
        </w:rPr>
        <w:t>图</w:t>
      </w:r>
      <w:r w:rsidRPr="00D92F67">
        <w:rPr>
          <w:rFonts w:hint="eastAsia"/>
          <w:color w:val="FF0000"/>
          <w:sz w:val="24"/>
        </w:rPr>
        <w:t>4.2.1-1</w:t>
      </w:r>
      <w:r>
        <w:rPr>
          <w:rFonts w:hint="eastAsia"/>
          <w:sz w:val="24"/>
        </w:rPr>
        <w:t>~</w:t>
      </w:r>
      <w:r>
        <w:rPr>
          <w:rFonts w:hint="eastAsia"/>
          <w:sz w:val="24"/>
        </w:rPr>
        <w:t>图</w:t>
      </w:r>
      <w:r>
        <w:rPr>
          <w:rFonts w:hint="eastAsia"/>
          <w:sz w:val="24"/>
        </w:rPr>
        <w:t>4.2.1-2</w:t>
      </w:r>
      <w:r>
        <w:rPr>
          <w:rFonts w:hint="eastAsia"/>
          <w:sz w:val="24"/>
        </w:rPr>
        <w:t>。</w:t>
      </w:r>
    </w:p>
    <w:p w:rsidR="00C223F5" w:rsidRDefault="005860D5" w:rsidP="00C006A7">
      <w:pPr>
        <w:spacing w:line="360" w:lineRule="auto"/>
        <w:ind w:firstLineChars="200" w:firstLine="482"/>
        <w:rPr>
          <w:b/>
          <w:sz w:val="24"/>
        </w:rPr>
      </w:pPr>
      <w:r>
        <w:rPr>
          <w:rFonts w:hint="eastAsia"/>
          <w:b/>
          <w:sz w:val="24"/>
        </w:rPr>
        <w:t>（三）</w:t>
      </w:r>
      <w:r>
        <w:rPr>
          <w:b/>
          <w:sz w:val="24"/>
        </w:rPr>
        <w:t>预测方法及模式</w:t>
      </w:r>
    </w:p>
    <w:p w:rsidR="00C223F5" w:rsidRDefault="005860D5" w:rsidP="00A82F91">
      <w:pPr>
        <w:spacing w:line="360" w:lineRule="auto"/>
        <w:ind w:firstLineChars="200" w:firstLine="480"/>
        <w:rPr>
          <w:sz w:val="24"/>
        </w:rPr>
      </w:pPr>
      <w:r>
        <w:rPr>
          <w:sz w:val="24"/>
        </w:rPr>
        <w:lastRenderedPageBreak/>
        <w:t>根据本井田的煤层赋存条件和井田开拓与井下开采方式等资料，本次预测采用国家煤炭局《建筑物、水体、铁路及主要井巷煤柱留设与压煤开采规</w:t>
      </w:r>
      <w:r>
        <w:rPr>
          <w:rFonts w:hint="eastAsia"/>
          <w:sz w:val="24"/>
        </w:rPr>
        <w:t>范</w:t>
      </w:r>
      <w:r>
        <w:rPr>
          <w:sz w:val="24"/>
        </w:rPr>
        <w:t>》中推荐的概率积分法最大值预测方法，模式为：</w:t>
      </w:r>
    </w:p>
    <w:bookmarkEnd w:id="374"/>
    <w:p w:rsidR="00C223F5" w:rsidRDefault="005860D5" w:rsidP="00A82F91">
      <w:pPr>
        <w:spacing w:line="360" w:lineRule="auto"/>
        <w:ind w:firstLineChars="200" w:firstLine="480"/>
        <w:rPr>
          <w:sz w:val="24"/>
        </w:rPr>
      </w:pPr>
      <w:r>
        <w:rPr>
          <w:sz w:val="24"/>
        </w:rPr>
        <w:t>最大下沉值：</w:t>
      </w:r>
      <w:r w:rsidR="00C223F5" w:rsidRPr="00C223F5">
        <w:rPr>
          <w:sz w:val="24"/>
        </w:rPr>
        <w:object w:dxaOrig="140" w:dyaOrig="380">
          <v:shape id="_x0000_i1027" type="#_x0000_t75" style="width:6.8pt;height:18.65pt" o:ole="">
            <v:imagedata r:id="rId38" o:title=""/>
          </v:shape>
          <o:OLEObject Type="Embed" ProgID="Equation.3" ShapeID="_x0000_i1027" DrawAspect="Content" ObjectID="_1629037138" r:id="rId39"/>
        </w:object>
      </w:r>
      <w:r w:rsidR="00C223F5" w:rsidRPr="00C223F5">
        <w:rPr>
          <w:sz w:val="24"/>
        </w:rPr>
        <w:object w:dxaOrig="2061" w:dyaOrig="360">
          <v:shape id="_x0000_i1028" type="#_x0000_t75" style="width:102.5pt;height:17.8pt" o:ole="">
            <v:imagedata r:id="rId40" o:title=""/>
          </v:shape>
          <o:OLEObject Type="Embed" ProgID="Equation.3" ShapeID="_x0000_i1028" DrawAspect="Content" ObjectID="_1629037139" r:id="rId41"/>
        </w:object>
      </w:r>
      <w:r>
        <w:rPr>
          <w:sz w:val="24"/>
        </w:rPr>
        <w:t>，</w:t>
      </w:r>
      <w:r w:rsidR="00C223F5" w:rsidRPr="00C223F5">
        <w:rPr>
          <w:sz w:val="24"/>
        </w:rPr>
        <w:object w:dxaOrig="420" w:dyaOrig="220">
          <v:shape id="_x0000_i1029" type="#_x0000_t75" style="width:21.2pt;height:11.85pt" o:ole="">
            <v:imagedata r:id="rId42" o:title=""/>
          </v:shape>
          <o:OLEObject Type="Embed" ProgID="Equation.3" ShapeID="_x0000_i1029" DrawAspect="Content" ObjectID="_1629037140" r:id="rId43"/>
        </w:object>
      </w:r>
      <w:r>
        <w:rPr>
          <w:sz w:val="24"/>
        </w:rPr>
        <w:t>；</w:t>
      </w:r>
    </w:p>
    <w:p w:rsidR="00C223F5" w:rsidRDefault="005860D5" w:rsidP="00A82F91">
      <w:pPr>
        <w:spacing w:line="360" w:lineRule="auto"/>
        <w:ind w:firstLineChars="200" w:firstLine="480"/>
        <w:rPr>
          <w:sz w:val="24"/>
        </w:rPr>
      </w:pPr>
      <w:r>
        <w:rPr>
          <w:sz w:val="24"/>
        </w:rPr>
        <w:t>最大倾斜值：</w:t>
      </w:r>
      <w:r w:rsidR="00C223F5" w:rsidRPr="00C223F5">
        <w:rPr>
          <w:sz w:val="24"/>
        </w:rPr>
        <w:object w:dxaOrig="1400" w:dyaOrig="360">
          <v:shape id="_x0000_i1030" type="#_x0000_t75" style="width:69.45pt;height:17.8pt" o:ole="">
            <v:imagedata r:id="rId44" o:title=""/>
          </v:shape>
          <o:OLEObject Type="Embed" ProgID="Equation.3" ShapeID="_x0000_i1030" DrawAspect="Content" ObjectID="_1629037141" r:id="rId45"/>
        </w:object>
      </w:r>
      <w:r>
        <w:rPr>
          <w:sz w:val="24"/>
        </w:rPr>
        <w:t>，</w:t>
      </w:r>
      <w:r>
        <w:rPr>
          <w:sz w:val="24"/>
        </w:rPr>
        <w:t xml:space="preserve">   </w:t>
      </w:r>
      <w:r w:rsidR="00C223F5" w:rsidRPr="00C223F5">
        <w:rPr>
          <w:sz w:val="24"/>
        </w:rPr>
        <w:object w:dxaOrig="700" w:dyaOrig="340">
          <v:shape id="_x0000_i1031" type="#_x0000_t75" style="width:34.75pt;height:17.8pt" o:ole="">
            <v:imagedata r:id="rId46" o:title=""/>
          </v:shape>
          <o:OLEObject Type="Embed" ProgID="Equation.3" ShapeID="_x0000_i1031" DrawAspect="Content" ObjectID="_1629037142" r:id="rId47"/>
        </w:object>
      </w:r>
      <w:r>
        <w:rPr>
          <w:sz w:val="24"/>
        </w:rPr>
        <w:t>；</w:t>
      </w:r>
    </w:p>
    <w:p w:rsidR="00C223F5" w:rsidRDefault="005860D5" w:rsidP="00A82F91">
      <w:pPr>
        <w:spacing w:line="360" w:lineRule="auto"/>
        <w:ind w:firstLineChars="200" w:firstLine="480"/>
        <w:rPr>
          <w:sz w:val="24"/>
        </w:rPr>
      </w:pPr>
      <w:r>
        <w:rPr>
          <w:sz w:val="24"/>
        </w:rPr>
        <w:t>最大曲率值：</w:t>
      </w:r>
      <w:r w:rsidR="00C223F5" w:rsidRPr="00C223F5">
        <w:rPr>
          <w:sz w:val="24"/>
        </w:rPr>
        <w:object w:dxaOrig="2041" w:dyaOrig="380">
          <v:shape id="_x0000_i1032" type="#_x0000_t75" style="width:101.65pt;height:18.65pt" o:ole="">
            <v:imagedata r:id="rId48" o:title=""/>
          </v:shape>
          <o:OLEObject Type="Embed" ProgID="Equation.3" ShapeID="_x0000_i1032" DrawAspect="Content" ObjectID="_1629037143" r:id="rId49"/>
        </w:object>
      </w:r>
      <w:r>
        <w:rPr>
          <w:sz w:val="24"/>
        </w:rPr>
        <w:t>，</w:t>
      </w:r>
      <w:r>
        <w:rPr>
          <w:sz w:val="24"/>
        </w:rPr>
        <w:t xml:space="preserve">   </w:t>
      </w:r>
      <w:r w:rsidR="00C223F5" w:rsidRPr="00C223F5">
        <w:rPr>
          <w:sz w:val="24"/>
        </w:rPr>
        <w:object w:dxaOrig="920" w:dyaOrig="360">
          <v:shape id="_x0000_i1033" type="#_x0000_t75" style="width:45.75pt;height:17.8pt" o:ole="">
            <v:imagedata r:id="rId50" o:title=""/>
          </v:shape>
          <o:OLEObject Type="Embed" ProgID="Equation.3" ShapeID="_x0000_i1033" DrawAspect="Content" ObjectID="_1629037144" r:id="rId51"/>
        </w:object>
      </w:r>
      <w:r>
        <w:rPr>
          <w:sz w:val="24"/>
        </w:rPr>
        <w:t>；</w:t>
      </w:r>
    </w:p>
    <w:p w:rsidR="00C223F5" w:rsidRDefault="005860D5" w:rsidP="00A82F91">
      <w:pPr>
        <w:spacing w:line="360" w:lineRule="auto"/>
        <w:ind w:firstLineChars="200" w:firstLine="480"/>
        <w:rPr>
          <w:sz w:val="24"/>
        </w:rPr>
      </w:pPr>
      <w:r>
        <w:rPr>
          <w:sz w:val="24"/>
        </w:rPr>
        <w:t>最大水平移动值：</w:t>
      </w:r>
      <w:r w:rsidR="00C223F5" w:rsidRPr="00C223F5">
        <w:rPr>
          <w:sz w:val="24"/>
        </w:rPr>
        <w:object w:dxaOrig="1540" w:dyaOrig="360">
          <v:shape id="_x0000_i1034" type="#_x0000_t75" style="width:77.1pt;height:17.8pt" o:ole="">
            <v:imagedata r:id="rId52" o:title=""/>
          </v:shape>
          <o:OLEObject Type="Embed" ProgID="Equation.3" ShapeID="_x0000_i1034" DrawAspect="Content" ObjectID="_1629037145" r:id="rId53"/>
        </w:object>
      </w:r>
      <w:r>
        <w:rPr>
          <w:sz w:val="24"/>
        </w:rPr>
        <w:t>，</w:t>
      </w:r>
      <w:r>
        <w:rPr>
          <w:sz w:val="24"/>
        </w:rPr>
        <w:t xml:space="preserve"> </w:t>
      </w:r>
      <w:r>
        <w:t>mm</w:t>
      </w:r>
      <w:r>
        <w:rPr>
          <w:sz w:val="24"/>
        </w:rPr>
        <w:t xml:space="preserve"> </w:t>
      </w:r>
      <w:r>
        <w:rPr>
          <w:sz w:val="24"/>
        </w:rPr>
        <w:t>；</w:t>
      </w:r>
    </w:p>
    <w:p w:rsidR="00C223F5" w:rsidRDefault="005860D5" w:rsidP="00A82F91">
      <w:pPr>
        <w:spacing w:line="360" w:lineRule="auto"/>
        <w:ind w:firstLineChars="200" w:firstLine="480"/>
        <w:rPr>
          <w:sz w:val="24"/>
        </w:rPr>
      </w:pPr>
      <w:r>
        <w:rPr>
          <w:sz w:val="24"/>
        </w:rPr>
        <w:t>最大水平变形值：</w:t>
      </w:r>
      <w:r w:rsidR="00C223F5" w:rsidRPr="00C223F5">
        <w:rPr>
          <w:sz w:val="24"/>
        </w:rPr>
        <w:object w:dxaOrig="2180" w:dyaOrig="360">
          <v:shape id="_x0000_i1035" type="#_x0000_t75" style="width:108.4pt;height:17.8pt" o:ole="">
            <v:imagedata r:id="rId54" o:title=""/>
          </v:shape>
          <o:OLEObject Type="Embed" ProgID="Equation.3" ShapeID="_x0000_i1035" DrawAspect="Content" ObjectID="_1629037146" r:id="rId55"/>
        </w:object>
      </w:r>
      <w:r>
        <w:rPr>
          <w:sz w:val="24"/>
        </w:rPr>
        <w:t>，</w:t>
      </w:r>
      <w:r w:rsidR="00C223F5" w:rsidRPr="00C223F5">
        <w:rPr>
          <w:sz w:val="24"/>
        </w:rPr>
        <w:object w:dxaOrig="420" w:dyaOrig="220">
          <v:shape id="_x0000_i1036" type="#_x0000_t75" style="width:21.2pt;height:11.85pt" o:ole="">
            <v:imagedata r:id="rId56" o:title=""/>
          </v:shape>
          <o:OLEObject Type="Embed" ProgID="Equation.3" ShapeID="_x0000_i1036" DrawAspect="Content" ObjectID="_1629037147" r:id="rId57"/>
        </w:object>
      </w:r>
      <w:r w:rsidR="00C223F5" w:rsidRPr="00C223F5">
        <w:rPr>
          <w:sz w:val="24"/>
        </w:rPr>
        <w:object w:dxaOrig="699" w:dyaOrig="340">
          <v:shape id="_x0000_i1037" type="#_x0000_t75" style="width:35.6pt;height:17.8pt" o:ole="">
            <v:imagedata r:id="rId58" o:title=""/>
          </v:shape>
          <o:OLEObject Type="Embed" ProgID="Equation.3" ShapeID="_x0000_i1037" DrawAspect="Content" ObjectID="_1629037148" r:id="rId59"/>
        </w:object>
      </w:r>
      <w:r>
        <w:rPr>
          <w:sz w:val="24"/>
        </w:rPr>
        <w:t>。</w:t>
      </w:r>
    </w:p>
    <w:p w:rsidR="00C223F5" w:rsidRDefault="005860D5" w:rsidP="00A82F91">
      <w:pPr>
        <w:spacing w:line="360" w:lineRule="auto"/>
        <w:ind w:firstLineChars="200" w:firstLine="480"/>
        <w:rPr>
          <w:sz w:val="24"/>
        </w:rPr>
      </w:pPr>
      <w:r>
        <w:rPr>
          <w:sz w:val="24"/>
        </w:rPr>
        <w:t>式中：</w:t>
      </w:r>
      <w:r>
        <w:rPr>
          <w:sz w:val="24"/>
        </w:rPr>
        <w:t xml:space="preserve">  </w:t>
      </w:r>
      <w:r w:rsidR="00C223F5" w:rsidRPr="00C223F5">
        <w:rPr>
          <w:sz w:val="24"/>
        </w:rPr>
        <w:object w:dxaOrig="320" w:dyaOrig="260">
          <v:shape id="_x0000_i1038" type="#_x0000_t75" style="width:15.25pt;height:12.7pt" o:ole="">
            <v:imagedata r:id="rId60" o:title=""/>
          </v:shape>
          <o:OLEObject Type="Embed" ProgID="Equation.3" ShapeID="_x0000_i1038" DrawAspect="Content" ObjectID="_1629037149" r:id="rId61"/>
        </w:object>
      </w:r>
      <w:r>
        <w:rPr>
          <w:sz w:val="24"/>
        </w:rPr>
        <w:t xml:space="preserve">― </w:t>
      </w:r>
      <w:r>
        <w:rPr>
          <w:sz w:val="24"/>
        </w:rPr>
        <w:t>煤层开采厚度，</w:t>
      </w:r>
      <w:r w:rsidR="00C223F5" w:rsidRPr="00C223F5">
        <w:rPr>
          <w:sz w:val="24"/>
        </w:rPr>
        <w:object w:dxaOrig="420" w:dyaOrig="220">
          <v:shape id="_x0000_i1039" type="#_x0000_t75" style="width:21.2pt;height:11.85pt" o:ole="">
            <v:imagedata r:id="rId56" o:title=""/>
          </v:shape>
          <o:OLEObject Type="Embed" ProgID="Equation.3" ShapeID="_x0000_i1039" DrawAspect="Content" ObjectID="_1629037150" r:id="rId62"/>
        </w:object>
      </w:r>
      <w:r>
        <w:rPr>
          <w:sz w:val="24"/>
        </w:rPr>
        <w:t>；</w:t>
      </w:r>
      <w:r w:rsidR="0042725A">
        <w:rPr>
          <w:rFonts w:hint="eastAsia"/>
          <w:sz w:val="24"/>
        </w:rPr>
        <w:t xml:space="preserve"> </w:t>
      </w:r>
      <w:r w:rsidR="0042725A">
        <w:rPr>
          <w:sz w:val="24"/>
        </w:rPr>
        <w:t xml:space="preserve">   </w:t>
      </w:r>
      <w:r w:rsidR="00C223F5" w:rsidRPr="00C223F5">
        <w:rPr>
          <w:sz w:val="24"/>
        </w:rPr>
        <w:object w:dxaOrig="220" w:dyaOrig="220">
          <v:shape id="_x0000_i1040" type="#_x0000_t75" style="width:11.85pt;height:11.85pt" o:ole="">
            <v:imagedata r:id="rId63" o:title=""/>
          </v:shape>
          <o:OLEObject Type="Embed" ProgID="Equation.3" ShapeID="_x0000_i1040" DrawAspect="Content" ObjectID="_1629037151" r:id="rId64"/>
        </w:object>
      </w:r>
      <w:r>
        <w:rPr>
          <w:sz w:val="24"/>
        </w:rPr>
        <w:t xml:space="preserve">― </w:t>
      </w:r>
      <w:r>
        <w:rPr>
          <w:sz w:val="24"/>
        </w:rPr>
        <w:t>煤层倾角</w:t>
      </w:r>
      <w:r>
        <w:rPr>
          <w:sz w:val="24"/>
        </w:rPr>
        <w:t>1°</w:t>
      </w:r>
      <w:r>
        <w:rPr>
          <w:sz w:val="24"/>
        </w:rPr>
        <w:t>；</w:t>
      </w:r>
    </w:p>
    <w:p w:rsidR="00C223F5" w:rsidRDefault="00C223F5" w:rsidP="00A82F91">
      <w:pPr>
        <w:spacing w:line="360" w:lineRule="auto"/>
        <w:ind w:firstLineChars="200" w:firstLine="480"/>
        <w:rPr>
          <w:sz w:val="24"/>
        </w:rPr>
      </w:pPr>
      <w:r w:rsidRPr="00C223F5">
        <w:rPr>
          <w:sz w:val="24"/>
        </w:rPr>
        <w:object w:dxaOrig="180" w:dyaOrig="340">
          <v:shape id="_x0000_i1041" type="#_x0000_t75" style="width:9.3pt;height:17.8pt" o:ole="">
            <v:imagedata r:id="rId65" o:title=""/>
          </v:shape>
          <o:OLEObject Type="Embed" ProgID="Equation.3" ShapeID="_x0000_i1041" DrawAspect="Content" ObjectID="_1629037152" r:id="rId66"/>
        </w:object>
      </w:r>
      <w:r w:rsidRPr="00C223F5">
        <w:rPr>
          <w:sz w:val="24"/>
        </w:rPr>
        <w:object w:dxaOrig="200" w:dyaOrig="260">
          <v:shape id="_x0000_i1042" type="#_x0000_t75" style="width:10.15pt;height:12.7pt" o:ole="">
            <v:imagedata r:id="rId67" o:title=""/>
          </v:shape>
          <o:OLEObject Type="Embed" ProgID="Equation.3" ShapeID="_x0000_i1042" DrawAspect="Content" ObjectID="_1629037153" r:id="rId68"/>
        </w:object>
      </w:r>
      <w:r w:rsidR="005860D5">
        <w:rPr>
          <w:sz w:val="24"/>
        </w:rPr>
        <w:t xml:space="preserve">― </w:t>
      </w:r>
      <w:r w:rsidR="005860D5">
        <w:rPr>
          <w:sz w:val="24"/>
        </w:rPr>
        <w:t>下沉系数；</w:t>
      </w:r>
      <w:r w:rsidR="0042725A">
        <w:rPr>
          <w:rFonts w:hint="eastAsia"/>
          <w:sz w:val="24"/>
        </w:rPr>
        <w:t xml:space="preserve"> </w:t>
      </w:r>
      <w:r w:rsidR="0042725A">
        <w:rPr>
          <w:sz w:val="24"/>
        </w:rPr>
        <w:t xml:space="preserve">      </w:t>
      </w:r>
      <w:r w:rsidRPr="00C223F5">
        <w:rPr>
          <w:sz w:val="24"/>
        </w:rPr>
        <w:object w:dxaOrig="200" w:dyaOrig="279">
          <v:shape id="_x0000_i1043" type="#_x0000_t75" style="width:10.15pt;height:14.4pt" o:ole="">
            <v:imagedata r:id="rId69" o:title=""/>
          </v:shape>
          <o:OLEObject Type="Embed" ProgID="Equation.3" ShapeID="_x0000_i1043" DrawAspect="Content" ObjectID="_1629037154" r:id="rId70"/>
        </w:object>
      </w:r>
      <w:r w:rsidR="005860D5">
        <w:rPr>
          <w:sz w:val="24"/>
        </w:rPr>
        <w:t xml:space="preserve">― </w:t>
      </w:r>
      <w:r w:rsidR="005860D5">
        <w:rPr>
          <w:sz w:val="24"/>
        </w:rPr>
        <w:t>水平移动系数；</w:t>
      </w:r>
    </w:p>
    <w:p w:rsidR="00C223F5" w:rsidRDefault="00C223F5" w:rsidP="0042725A">
      <w:pPr>
        <w:spacing w:line="360" w:lineRule="auto"/>
        <w:ind w:firstLineChars="300" w:firstLine="720"/>
        <w:rPr>
          <w:sz w:val="24"/>
        </w:rPr>
      </w:pPr>
      <w:r w:rsidRPr="00C223F5">
        <w:rPr>
          <w:sz w:val="24"/>
        </w:rPr>
        <w:object w:dxaOrig="180" w:dyaOrig="200">
          <v:shape id="_x0000_i1044" type="#_x0000_t75" style="width:9.3pt;height:10.15pt" o:ole="">
            <v:imagedata r:id="rId71" o:title=""/>
          </v:shape>
          <o:OLEObject Type="Embed" ProgID="Equation.3" ShapeID="_x0000_i1044" DrawAspect="Content" ObjectID="_1629037155" r:id="rId72"/>
        </w:object>
      </w:r>
      <w:r w:rsidR="005860D5">
        <w:rPr>
          <w:sz w:val="24"/>
        </w:rPr>
        <w:t xml:space="preserve">― </w:t>
      </w:r>
      <w:r w:rsidR="005860D5">
        <w:rPr>
          <w:sz w:val="24"/>
        </w:rPr>
        <w:t>主要影响半径，</w:t>
      </w:r>
      <w:r w:rsidRPr="00C223F5">
        <w:rPr>
          <w:sz w:val="24"/>
        </w:rPr>
        <w:object w:dxaOrig="260" w:dyaOrig="220">
          <v:shape id="_x0000_i1045" type="#_x0000_t75" style="width:12.7pt;height:11.85pt" o:ole="">
            <v:imagedata r:id="rId73" o:title=""/>
          </v:shape>
          <o:OLEObject Type="Embed" ProgID="Equation.3" ShapeID="_x0000_i1045" DrawAspect="Content" ObjectID="_1629037156" r:id="rId74"/>
        </w:object>
      </w:r>
      <w:r w:rsidR="005860D5">
        <w:rPr>
          <w:sz w:val="24"/>
        </w:rPr>
        <w:t>，</w:t>
      </w:r>
      <w:r w:rsidRPr="00C223F5">
        <w:rPr>
          <w:sz w:val="24"/>
        </w:rPr>
        <w:object w:dxaOrig="1080" w:dyaOrig="340">
          <v:shape id="_x0000_i1046" type="#_x0000_t75" style="width:54.2pt;height:17.8pt" o:ole="">
            <v:imagedata r:id="rId75" o:title=""/>
          </v:shape>
          <o:OLEObject Type="Embed" ProgID="Equation.3" ShapeID="_x0000_i1046" DrawAspect="Content" ObjectID="_1629037157" r:id="rId76"/>
        </w:object>
      </w:r>
      <w:r w:rsidR="005860D5">
        <w:rPr>
          <w:sz w:val="24"/>
        </w:rPr>
        <w:t>；</w:t>
      </w:r>
    </w:p>
    <w:p w:rsidR="00C223F5" w:rsidRDefault="00C223F5" w:rsidP="0042725A">
      <w:pPr>
        <w:spacing w:line="360" w:lineRule="auto"/>
        <w:ind w:firstLineChars="300" w:firstLine="720"/>
        <w:rPr>
          <w:sz w:val="24"/>
        </w:rPr>
      </w:pPr>
      <w:r w:rsidRPr="00C223F5">
        <w:rPr>
          <w:sz w:val="24"/>
        </w:rPr>
        <w:object w:dxaOrig="280" w:dyaOrig="260">
          <v:shape id="_x0000_i1047" type="#_x0000_t75" style="width:14.4pt;height:12.7pt" o:ole="">
            <v:imagedata r:id="rId77" o:title=""/>
          </v:shape>
          <o:OLEObject Type="Embed" ProgID="Equation.3" ShapeID="_x0000_i1047" DrawAspect="Content" ObjectID="_1629037158" r:id="rId78"/>
        </w:object>
      </w:r>
      <w:r w:rsidR="005860D5">
        <w:rPr>
          <w:sz w:val="24"/>
        </w:rPr>
        <w:t xml:space="preserve">― </w:t>
      </w:r>
      <w:r w:rsidR="005860D5">
        <w:rPr>
          <w:sz w:val="24"/>
        </w:rPr>
        <w:t>煤层埋深，</w:t>
      </w:r>
      <w:r w:rsidRPr="00C223F5">
        <w:rPr>
          <w:sz w:val="24"/>
        </w:rPr>
        <w:object w:dxaOrig="260" w:dyaOrig="220">
          <v:shape id="_x0000_i1048" type="#_x0000_t75" style="width:12.7pt;height:11.85pt" o:ole="">
            <v:imagedata r:id="rId79" o:title=""/>
          </v:shape>
          <o:OLEObject Type="Embed" ProgID="Equation.3" ShapeID="_x0000_i1048" DrawAspect="Content" ObjectID="_1629037159" r:id="rId80"/>
        </w:object>
      </w:r>
      <w:r w:rsidR="005860D5">
        <w:rPr>
          <w:sz w:val="24"/>
        </w:rPr>
        <w:t>。</w:t>
      </w:r>
    </w:p>
    <w:p w:rsidR="00C223F5" w:rsidRDefault="005860D5" w:rsidP="00C006A7">
      <w:pPr>
        <w:spacing w:line="360" w:lineRule="auto"/>
        <w:ind w:firstLineChars="200" w:firstLine="482"/>
        <w:rPr>
          <w:b/>
          <w:sz w:val="24"/>
        </w:rPr>
      </w:pPr>
      <w:bookmarkStart w:id="375" w:name="_Toc216254977"/>
      <w:r>
        <w:rPr>
          <w:rFonts w:hint="eastAsia"/>
          <w:b/>
          <w:sz w:val="24"/>
        </w:rPr>
        <w:t>（四）</w:t>
      </w:r>
      <w:r>
        <w:rPr>
          <w:b/>
          <w:sz w:val="24"/>
        </w:rPr>
        <w:t>有关系数的确定</w:t>
      </w:r>
      <w:bookmarkEnd w:id="375"/>
    </w:p>
    <w:p w:rsidR="00C223F5" w:rsidRDefault="005860D5" w:rsidP="00A82F91">
      <w:pPr>
        <w:spacing w:line="360" w:lineRule="auto"/>
        <w:ind w:firstLineChars="200" w:firstLine="480"/>
        <w:rPr>
          <w:sz w:val="24"/>
        </w:rPr>
      </w:pPr>
      <w:r>
        <w:rPr>
          <w:sz w:val="24"/>
        </w:rPr>
        <w:t>本次评价参数的选取，根据本井田煤层覆存特点、岩性、井田开拓方式及采煤方法，并参照与</w:t>
      </w:r>
      <w:r>
        <w:rPr>
          <w:rFonts w:hint="eastAsia"/>
          <w:sz w:val="24"/>
        </w:rPr>
        <w:t>天云煤矿</w:t>
      </w:r>
      <w:r>
        <w:rPr>
          <w:sz w:val="24"/>
        </w:rPr>
        <w:t>处于同一煤田</w:t>
      </w:r>
      <w:r>
        <w:rPr>
          <w:rFonts w:hint="eastAsia"/>
          <w:sz w:val="24"/>
        </w:rPr>
        <w:t>的榆横矿区南区规划选取的</w:t>
      </w:r>
      <w:r>
        <w:rPr>
          <w:sz w:val="24"/>
        </w:rPr>
        <w:t>地表沉陷参数，煤矿地表变形计算有关参数见表</w:t>
      </w:r>
      <w:r>
        <w:rPr>
          <w:sz w:val="24"/>
        </w:rPr>
        <w:t>4.2.1-</w:t>
      </w:r>
      <w:r>
        <w:rPr>
          <w:rFonts w:hint="eastAsia"/>
          <w:sz w:val="24"/>
        </w:rPr>
        <w:t>1~</w:t>
      </w:r>
      <w:r>
        <w:rPr>
          <w:sz w:val="24"/>
        </w:rPr>
        <w:t>表</w:t>
      </w:r>
      <w:r>
        <w:rPr>
          <w:sz w:val="24"/>
        </w:rPr>
        <w:t>4.2.1-</w:t>
      </w:r>
      <w:r>
        <w:rPr>
          <w:rFonts w:hint="eastAsia"/>
          <w:sz w:val="24"/>
        </w:rPr>
        <w:t>2</w:t>
      </w:r>
      <w:r>
        <w:rPr>
          <w:sz w:val="24"/>
        </w:rPr>
        <w:t>。</w:t>
      </w:r>
    </w:p>
    <w:p w:rsidR="00C223F5" w:rsidRDefault="005860D5" w:rsidP="00A82F91">
      <w:pPr>
        <w:jc w:val="center"/>
        <w:rPr>
          <w:rFonts w:hAnsi="宋体"/>
          <w:b/>
          <w:sz w:val="24"/>
        </w:rPr>
      </w:pPr>
      <w:r>
        <w:rPr>
          <w:rFonts w:hAnsi="宋体"/>
          <w:b/>
          <w:sz w:val="24"/>
        </w:rPr>
        <w:t>表</w:t>
      </w:r>
      <w:r>
        <w:rPr>
          <w:rFonts w:hAnsi="宋体" w:hint="eastAsia"/>
          <w:b/>
          <w:sz w:val="24"/>
        </w:rPr>
        <w:t xml:space="preserve">4.2.1-1   </w:t>
      </w:r>
      <w:r>
        <w:rPr>
          <w:rFonts w:hAnsi="宋体" w:hint="eastAsia"/>
          <w:b/>
          <w:sz w:val="24"/>
        </w:rPr>
        <w:t>天云煤矿地表变形有关参数的确定</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77"/>
        <w:gridCol w:w="1329"/>
        <w:gridCol w:w="888"/>
        <w:gridCol w:w="831"/>
        <w:gridCol w:w="1007"/>
        <w:gridCol w:w="776"/>
        <w:gridCol w:w="1101"/>
        <w:gridCol w:w="985"/>
      </w:tblGrid>
      <w:tr w:rsidR="00C223F5">
        <w:trPr>
          <w:trHeight w:val="163"/>
          <w:jc w:val="center"/>
        </w:trPr>
        <w:tc>
          <w:tcPr>
            <w:tcW w:w="1577" w:type="dxa"/>
            <w:vAlign w:val="center"/>
          </w:tcPr>
          <w:p w:rsidR="00C223F5" w:rsidRDefault="005860D5" w:rsidP="00A82F91">
            <w:pPr>
              <w:jc w:val="center"/>
              <w:rPr>
                <w:szCs w:val="21"/>
              </w:rPr>
            </w:pPr>
            <w:r>
              <w:rPr>
                <w:rFonts w:hAnsi="宋体"/>
                <w:szCs w:val="21"/>
              </w:rPr>
              <w:t>煤层</w:t>
            </w:r>
          </w:p>
        </w:tc>
        <w:tc>
          <w:tcPr>
            <w:tcW w:w="1329" w:type="dxa"/>
            <w:vAlign w:val="center"/>
          </w:tcPr>
          <w:p w:rsidR="00C223F5" w:rsidRDefault="005860D5" w:rsidP="00A82F91">
            <w:pPr>
              <w:jc w:val="center"/>
              <w:rPr>
                <w:szCs w:val="21"/>
              </w:rPr>
            </w:pPr>
            <w:r>
              <w:rPr>
                <w:rFonts w:hAnsi="宋体"/>
                <w:szCs w:val="21"/>
              </w:rPr>
              <w:t>可采类型</w:t>
            </w:r>
          </w:p>
        </w:tc>
        <w:tc>
          <w:tcPr>
            <w:tcW w:w="888" w:type="dxa"/>
            <w:vAlign w:val="center"/>
          </w:tcPr>
          <w:p w:rsidR="00C223F5" w:rsidRDefault="00C223F5" w:rsidP="00A82F91">
            <w:pPr>
              <w:jc w:val="center"/>
              <w:rPr>
                <w:szCs w:val="21"/>
              </w:rPr>
            </w:pPr>
            <w:r w:rsidRPr="00C223F5">
              <w:rPr>
                <w:position w:val="-10"/>
                <w:szCs w:val="21"/>
              </w:rPr>
              <w:object w:dxaOrig="200" w:dyaOrig="260">
                <v:shape id="_x0000_i1049" type="#_x0000_t75" style="width:10.15pt;height:12.7pt" o:ole="">
                  <v:imagedata r:id="rId67" o:title=""/>
                </v:shape>
                <o:OLEObject Type="Embed" ProgID="Equation.3" ShapeID="_x0000_i1049" DrawAspect="Content" ObjectID="_1629037160" r:id="rId81"/>
              </w:object>
            </w:r>
          </w:p>
        </w:tc>
        <w:tc>
          <w:tcPr>
            <w:tcW w:w="831" w:type="dxa"/>
            <w:vAlign w:val="center"/>
          </w:tcPr>
          <w:p w:rsidR="00C223F5" w:rsidRDefault="00C223F5" w:rsidP="00A82F91">
            <w:pPr>
              <w:jc w:val="center"/>
              <w:rPr>
                <w:szCs w:val="21"/>
              </w:rPr>
            </w:pPr>
            <w:r w:rsidRPr="00C223F5">
              <w:rPr>
                <w:position w:val="-6"/>
                <w:szCs w:val="21"/>
              </w:rPr>
              <w:object w:dxaOrig="220" w:dyaOrig="220">
                <v:shape id="_x0000_i1050" type="#_x0000_t75" style="width:11.85pt;height:11.85pt" o:ole="">
                  <v:imagedata r:id="rId63" o:title=""/>
                </v:shape>
                <o:OLEObject Type="Embed" ProgID="Equation.3" ShapeID="_x0000_i1050" DrawAspect="Content" ObjectID="_1629037161" r:id="rId82"/>
              </w:object>
            </w:r>
          </w:p>
        </w:tc>
        <w:tc>
          <w:tcPr>
            <w:tcW w:w="1007" w:type="dxa"/>
            <w:vAlign w:val="center"/>
          </w:tcPr>
          <w:p w:rsidR="00C223F5" w:rsidRDefault="00C223F5" w:rsidP="00A82F91">
            <w:pPr>
              <w:jc w:val="center"/>
              <w:rPr>
                <w:szCs w:val="21"/>
              </w:rPr>
            </w:pPr>
            <w:r w:rsidRPr="00C223F5">
              <w:rPr>
                <w:position w:val="-6"/>
                <w:szCs w:val="21"/>
              </w:rPr>
              <w:object w:dxaOrig="200" w:dyaOrig="279">
                <v:shape id="_x0000_i1051" type="#_x0000_t75" style="width:10.15pt;height:14.4pt" o:ole="">
                  <v:imagedata r:id="rId69" o:title=""/>
                </v:shape>
                <o:OLEObject Type="Embed" ProgID="Equation.3" ShapeID="_x0000_i1051" DrawAspect="Content" ObjectID="_1629037162" r:id="rId83"/>
              </w:object>
            </w:r>
          </w:p>
        </w:tc>
        <w:tc>
          <w:tcPr>
            <w:tcW w:w="776" w:type="dxa"/>
            <w:vAlign w:val="center"/>
          </w:tcPr>
          <w:p w:rsidR="00C223F5" w:rsidRDefault="00C223F5" w:rsidP="00A82F91">
            <w:pPr>
              <w:jc w:val="center"/>
              <w:rPr>
                <w:szCs w:val="21"/>
              </w:rPr>
            </w:pPr>
            <w:r w:rsidRPr="00C223F5">
              <w:rPr>
                <w:position w:val="-6"/>
                <w:szCs w:val="21"/>
              </w:rPr>
              <w:object w:dxaOrig="207" w:dyaOrig="290">
                <v:shape id="_x0000_i1052" type="#_x0000_t75" style="width:9.3pt;height:14.4pt" o:ole="">
                  <v:imagedata r:id="rId84" o:title=""/>
                </v:shape>
                <o:OLEObject Type="Embed" ProgID="Equation.3" ShapeID="_x0000_i1052" DrawAspect="Content" ObjectID="_1629037163" r:id="rId85"/>
              </w:object>
            </w:r>
          </w:p>
        </w:tc>
        <w:tc>
          <w:tcPr>
            <w:tcW w:w="1101" w:type="dxa"/>
            <w:vAlign w:val="center"/>
          </w:tcPr>
          <w:p w:rsidR="00C223F5" w:rsidRDefault="005860D5" w:rsidP="00A82F91">
            <w:pPr>
              <w:jc w:val="center"/>
              <w:rPr>
                <w:szCs w:val="21"/>
              </w:rPr>
            </w:pPr>
            <w:r>
              <w:rPr>
                <w:szCs w:val="21"/>
              </w:rPr>
              <w:t>δ</w:t>
            </w:r>
          </w:p>
        </w:tc>
        <w:tc>
          <w:tcPr>
            <w:tcW w:w="985" w:type="dxa"/>
            <w:vAlign w:val="center"/>
          </w:tcPr>
          <w:p w:rsidR="00C223F5" w:rsidRDefault="005860D5" w:rsidP="00A82F91">
            <w:pPr>
              <w:jc w:val="center"/>
              <w:rPr>
                <w:szCs w:val="21"/>
              </w:rPr>
            </w:pPr>
            <w:r>
              <w:rPr>
                <w:szCs w:val="21"/>
              </w:rPr>
              <w:t>D</w:t>
            </w:r>
          </w:p>
        </w:tc>
      </w:tr>
      <w:tr w:rsidR="00C223F5">
        <w:trPr>
          <w:trHeight w:val="146"/>
          <w:jc w:val="center"/>
        </w:trPr>
        <w:tc>
          <w:tcPr>
            <w:tcW w:w="1577" w:type="dxa"/>
            <w:vAlign w:val="center"/>
          </w:tcPr>
          <w:p w:rsidR="00C223F5" w:rsidRDefault="005860D5" w:rsidP="00A82F91">
            <w:pPr>
              <w:jc w:val="center"/>
              <w:rPr>
                <w:szCs w:val="21"/>
              </w:rPr>
            </w:pPr>
            <w:r>
              <w:rPr>
                <w:szCs w:val="21"/>
              </w:rPr>
              <w:t>4</w:t>
            </w:r>
            <w:r>
              <w:rPr>
                <w:szCs w:val="21"/>
                <w:vertAlign w:val="superscript"/>
              </w:rPr>
              <w:t>-1</w:t>
            </w:r>
            <w:r>
              <w:rPr>
                <w:rFonts w:hint="eastAsia"/>
                <w:szCs w:val="21"/>
              </w:rPr>
              <w:t>（</w:t>
            </w:r>
            <w:r>
              <w:rPr>
                <w:rFonts w:hAnsi="宋体"/>
                <w:szCs w:val="21"/>
              </w:rPr>
              <w:t>首采煤层）</w:t>
            </w:r>
          </w:p>
        </w:tc>
        <w:tc>
          <w:tcPr>
            <w:tcW w:w="1329" w:type="dxa"/>
            <w:shd w:val="clear" w:color="auto" w:fill="auto"/>
            <w:vAlign w:val="center"/>
          </w:tcPr>
          <w:p w:rsidR="00C223F5" w:rsidRDefault="005860D5" w:rsidP="00A82F91">
            <w:pPr>
              <w:jc w:val="center"/>
              <w:rPr>
                <w:szCs w:val="21"/>
              </w:rPr>
            </w:pPr>
            <w:r>
              <w:rPr>
                <w:rFonts w:hAnsi="宋体" w:hint="eastAsia"/>
                <w:szCs w:val="21"/>
              </w:rPr>
              <w:t>大部可采</w:t>
            </w:r>
          </w:p>
        </w:tc>
        <w:tc>
          <w:tcPr>
            <w:tcW w:w="888" w:type="dxa"/>
            <w:vAlign w:val="center"/>
          </w:tcPr>
          <w:p w:rsidR="00C223F5" w:rsidRDefault="005860D5" w:rsidP="00A82F91">
            <w:pPr>
              <w:jc w:val="center"/>
              <w:rPr>
                <w:szCs w:val="21"/>
              </w:rPr>
            </w:pPr>
            <w:r>
              <w:rPr>
                <w:szCs w:val="21"/>
              </w:rPr>
              <w:t>0.6</w:t>
            </w:r>
            <w:r>
              <w:rPr>
                <w:rFonts w:hint="eastAsia"/>
                <w:szCs w:val="21"/>
              </w:rPr>
              <w:t>5</w:t>
            </w:r>
          </w:p>
        </w:tc>
        <w:tc>
          <w:tcPr>
            <w:tcW w:w="831" w:type="dxa"/>
            <w:vMerge w:val="restart"/>
            <w:vAlign w:val="center"/>
          </w:tcPr>
          <w:p w:rsidR="00C223F5" w:rsidRDefault="005860D5" w:rsidP="00A82F91">
            <w:pPr>
              <w:jc w:val="center"/>
              <w:rPr>
                <w:szCs w:val="21"/>
              </w:rPr>
            </w:pPr>
            <w:r>
              <w:rPr>
                <w:szCs w:val="21"/>
              </w:rPr>
              <w:t>1º</w:t>
            </w:r>
          </w:p>
        </w:tc>
        <w:tc>
          <w:tcPr>
            <w:tcW w:w="1007" w:type="dxa"/>
            <w:vAlign w:val="center"/>
          </w:tcPr>
          <w:p w:rsidR="00C223F5" w:rsidRDefault="005860D5" w:rsidP="00A82F91">
            <w:pPr>
              <w:jc w:val="center"/>
              <w:rPr>
                <w:szCs w:val="21"/>
              </w:rPr>
            </w:pPr>
            <w:r>
              <w:rPr>
                <w:szCs w:val="21"/>
              </w:rPr>
              <w:t>0.3</w:t>
            </w:r>
          </w:p>
        </w:tc>
        <w:tc>
          <w:tcPr>
            <w:tcW w:w="776" w:type="dxa"/>
            <w:vAlign w:val="center"/>
          </w:tcPr>
          <w:p w:rsidR="00C223F5" w:rsidRDefault="005860D5" w:rsidP="00A82F91">
            <w:pPr>
              <w:jc w:val="center"/>
              <w:rPr>
                <w:szCs w:val="21"/>
              </w:rPr>
            </w:pPr>
            <w:r>
              <w:rPr>
                <w:szCs w:val="21"/>
              </w:rPr>
              <w:t>89.32°</w:t>
            </w:r>
          </w:p>
        </w:tc>
        <w:tc>
          <w:tcPr>
            <w:tcW w:w="1101" w:type="dxa"/>
            <w:vMerge w:val="restart"/>
            <w:vAlign w:val="center"/>
          </w:tcPr>
          <w:p w:rsidR="00C223F5" w:rsidRDefault="005860D5" w:rsidP="00A82F91">
            <w:pPr>
              <w:jc w:val="center"/>
              <w:rPr>
                <w:szCs w:val="21"/>
              </w:rPr>
            </w:pPr>
            <w:r>
              <w:rPr>
                <w:szCs w:val="21"/>
              </w:rPr>
              <w:t>70°- 75°</w:t>
            </w:r>
          </w:p>
        </w:tc>
        <w:tc>
          <w:tcPr>
            <w:tcW w:w="985" w:type="dxa"/>
            <w:vAlign w:val="center"/>
          </w:tcPr>
          <w:p w:rsidR="00C223F5" w:rsidRDefault="005860D5" w:rsidP="00A82F91">
            <w:pPr>
              <w:jc w:val="center"/>
              <w:rPr>
                <w:szCs w:val="21"/>
              </w:rPr>
            </w:pPr>
            <w:r>
              <w:rPr>
                <w:rFonts w:hint="eastAsia"/>
                <w:szCs w:val="21"/>
              </w:rPr>
              <w:t>1.35</w:t>
            </w:r>
          </w:p>
        </w:tc>
      </w:tr>
      <w:tr w:rsidR="00C223F5">
        <w:trPr>
          <w:trHeight w:val="156"/>
          <w:jc w:val="center"/>
        </w:trPr>
        <w:tc>
          <w:tcPr>
            <w:tcW w:w="1577" w:type="dxa"/>
            <w:vAlign w:val="center"/>
          </w:tcPr>
          <w:p w:rsidR="00C223F5" w:rsidRDefault="005860D5" w:rsidP="00A82F91">
            <w:pPr>
              <w:jc w:val="center"/>
              <w:rPr>
                <w:szCs w:val="21"/>
                <w:vertAlign w:val="superscript"/>
              </w:rPr>
            </w:pPr>
            <w:r>
              <w:rPr>
                <w:szCs w:val="21"/>
              </w:rPr>
              <w:t>4</w:t>
            </w:r>
            <w:r>
              <w:rPr>
                <w:szCs w:val="21"/>
                <w:vertAlign w:val="superscript"/>
              </w:rPr>
              <w:t>-2</w:t>
            </w:r>
          </w:p>
        </w:tc>
        <w:tc>
          <w:tcPr>
            <w:tcW w:w="1329" w:type="dxa"/>
            <w:shd w:val="clear" w:color="auto" w:fill="auto"/>
            <w:vAlign w:val="center"/>
          </w:tcPr>
          <w:p w:rsidR="00C223F5" w:rsidRDefault="005860D5" w:rsidP="00A82F91">
            <w:pPr>
              <w:jc w:val="center"/>
              <w:rPr>
                <w:szCs w:val="21"/>
              </w:rPr>
            </w:pPr>
            <w:r>
              <w:rPr>
                <w:rFonts w:hAnsi="宋体" w:hint="eastAsia"/>
                <w:szCs w:val="21"/>
              </w:rPr>
              <w:t>大部可采</w:t>
            </w:r>
          </w:p>
        </w:tc>
        <w:tc>
          <w:tcPr>
            <w:tcW w:w="888" w:type="dxa"/>
            <w:vAlign w:val="center"/>
          </w:tcPr>
          <w:p w:rsidR="00C223F5" w:rsidRDefault="005860D5" w:rsidP="00A82F91">
            <w:pPr>
              <w:jc w:val="center"/>
              <w:rPr>
                <w:szCs w:val="21"/>
              </w:rPr>
            </w:pPr>
            <w:r>
              <w:rPr>
                <w:szCs w:val="21"/>
              </w:rPr>
              <w:t>0.</w:t>
            </w:r>
            <w:r>
              <w:rPr>
                <w:rFonts w:hint="eastAsia"/>
                <w:szCs w:val="21"/>
              </w:rPr>
              <w:t>71</w:t>
            </w:r>
          </w:p>
        </w:tc>
        <w:tc>
          <w:tcPr>
            <w:tcW w:w="831" w:type="dxa"/>
            <w:vMerge/>
            <w:vAlign w:val="center"/>
          </w:tcPr>
          <w:p w:rsidR="00C223F5" w:rsidRDefault="00C223F5" w:rsidP="00A82F91">
            <w:pPr>
              <w:jc w:val="center"/>
              <w:rPr>
                <w:szCs w:val="21"/>
              </w:rPr>
            </w:pPr>
          </w:p>
        </w:tc>
        <w:tc>
          <w:tcPr>
            <w:tcW w:w="1007" w:type="dxa"/>
            <w:vAlign w:val="center"/>
          </w:tcPr>
          <w:p w:rsidR="00C223F5" w:rsidRDefault="005860D5" w:rsidP="00A82F91">
            <w:pPr>
              <w:jc w:val="center"/>
              <w:rPr>
                <w:szCs w:val="21"/>
              </w:rPr>
            </w:pPr>
            <w:r>
              <w:rPr>
                <w:szCs w:val="21"/>
              </w:rPr>
              <w:t>0.3</w:t>
            </w:r>
          </w:p>
        </w:tc>
        <w:tc>
          <w:tcPr>
            <w:tcW w:w="776" w:type="dxa"/>
            <w:vAlign w:val="center"/>
          </w:tcPr>
          <w:p w:rsidR="00C223F5" w:rsidRDefault="005860D5" w:rsidP="00A82F91">
            <w:pPr>
              <w:jc w:val="center"/>
              <w:rPr>
                <w:szCs w:val="21"/>
              </w:rPr>
            </w:pPr>
            <w:r>
              <w:rPr>
                <w:szCs w:val="21"/>
              </w:rPr>
              <w:t>89.32°</w:t>
            </w:r>
          </w:p>
        </w:tc>
        <w:tc>
          <w:tcPr>
            <w:tcW w:w="1101" w:type="dxa"/>
            <w:vMerge/>
            <w:vAlign w:val="center"/>
          </w:tcPr>
          <w:p w:rsidR="00C223F5" w:rsidRDefault="00C223F5" w:rsidP="00A82F91">
            <w:pPr>
              <w:jc w:val="center"/>
              <w:rPr>
                <w:szCs w:val="21"/>
              </w:rPr>
            </w:pPr>
          </w:p>
        </w:tc>
        <w:tc>
          <w:tcPr>
            <w:tcW w:w="985" w:type="dxa"/>
            <w:vAlign w:val="center"/>
          </w:tcPr>
          <w:p w:rsidR="00C223F5" w:rsidRDefault="005860D5" w:rsidP="00A82F91">
            <w:pPr>
              <w:jc w:val="center"/>
              <w:rPr>
                <w:szCs w:val="21"/>
              </w:rPr>
            </w:pPr>
            <w:r>
              <w:rPr>
                <w:rFonts w:hint="eastAsia"/>
                <w:szCs w:val="21"/>
              </w:rPr>
              <w:t>1.35</w:t>
            </w:r>
          </w:p>
        </w:tc>
      </w:tr>
    </w:tbl>
    <w:p w:rsidR="00C223F5" w:rsidRDefault="005860D5" w:rsidP="00A82F91">
      <w:pPr>
        <w:ind w:firstLineChars="100" w:firstLine="210"/>
        <w:rPr>
          <w:rFonts w:ascii="宋体" w:hAnsi="宋体"/>
          <w:szCs w:val="21"/>
        </w:rPr>
      </w:pPr>
      <w:r>
        <w:rPr>
          <w:rFonts w:ascii="宋体" w:hAnsi="宋体" w:hint="eastAsia"/>
          <w:szCs w:val="21"/>
        </w:rPr>
        <w:t>注：煤层埋深取平均值。</w:t>
      </w:r>
    </w:p>
    <w:p w:rsidR="00C223F5" w:rsidRDefault="00C223F5" w:rsidP="00A82F91">
      <w:pPr>
        <w:jc w:val="center"/>
        <w:rPr>
          <w:b/>
          <w:sz w:val="24"/>
        </w:rPr>
      </w:pPr>
    </w:p>
    <w:p w:rsidR="00C223F5" w:rsidRDefault="005860D5" w:rsidP="00A82F91">
      <w:pPr>
        <w:jc w:val="center"/>
        <w:rPr>
          <w:b/>
          <w:sz w:val="24"/>
        </w:rPr>
      </w:pPr>
      <w:r>
        <w:rPr>
          <w:b/>
          <w:sz w:val="24"/>
        </w:rPr>
        <w:t>表</w:t>
      </w:r>
      <w:r>
        <w:rPr>
          <w:rFonts w:hint="eastAsia"/>
          <w:b/>
          <w:sz w:val="24"/>
        </w:rPr>
        <w:t xml:space="preserve">4.2.1-2   </w:t>
      </w:r>
      <w:r>
        <w:rPr>
          <w:b/>
          <w:sz w:val="24"/>
        </w:rPr>
        <w:t>主要影响半径及开采影响范围</w:t>
      </w:r>
    </w:p>
    <w:tbl>
      <w:tblPr>
        <w:tblW w:w="84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10"/>
        <w:gridCol w:w="1475"/>
        <w:gridCol w:w="1646"/>
        <w:gridCol w:w="1392"/>
        <w:gridCol w:w="1169"/>
        <w:gridCol w:w="1188"/>
      </w:tblGrid>
      <w:tr w:rsidR="00C223F5" w:rsidTr="0042725A">
        <w:trPr>
          <w:trHeight w:val="100"/>
          <w:jc w:val="center"/>
        </w:trPr>
        <w:tc>
          <w:tcPr>
            <w:tcW w:w="1610" w:type="dxa"/>
            <w:vMerge w:val="restart"/>
            <w:vAlign w:val="center"/>
          </w:tcPr>
          <w:p w:rsidR="00C223F5" w:rsidRDefault="005860D5" w:rsidP="00A82F91">
            <w:pPr>
              <w:jc w:val="center"/>
              <w:rPr>
                <w:szCs w:val="21"/>
              </w:rPr>
            </w:pPr>
            <w:r>
              <w:rPr>
                <w:szCs w:val="21"/>
              </w:rPr>
              <w:t>煤层</w:t>
            </w:r>
          </w:p>
        </w:tc>
        <w:tc>
          <w:tcPr>
            <w:tcW w:w="1475" w:type="dxa"/>
            <w:vAlign w:val="center"/>
          </w:tcPr>
          <w:p w:rsidR="00C223F5" w:rsidRDefault="005860D5" w:rsidP="00A82F91">
            <w:pPr>
              <w:jc w:val="center"/>
              <w:rPr>
                <w:szCs w:val="21"/>
              </w:rPr>
            </w:pPr>
            <w:r>
              <w:rPr>
                <w:szCs w:val="21"/>
              </w:rPr>
              <w:t>煤层埋深</w:t>
            </w:r>
          </w:p>
          <w:p w:rsidR="00C223F5" w:rsidRDefault="005860D5" w:rsidP="00A82F91">
            <w:pPr>
              <w:jc w:val="center"/>
              <w:rPr>
                <w:szCs w:val="21"/>
              </w:rPr>
            </w:pPr>
            <w:r>
              <w:rPr>
                <w:szCs w:val="21"/>
              </w:rPr>
              <w:t>(m)</w:t>
            </w:r>
          </w:p>
        </w:tc>
        <w:tc>
          <w:tcPr>
            <w:tcW w:w="1646" w:type="dxa"/>
            <w:vAlign w:val="center"/>
          </w:tcPr>
          <w:p w:rsidR="00C223F5" w:rsidRDefault="005860D5" w:rsidP="00A82F91">
            <w:pPr>
              <w:jc w:val="center"/>
              <w:rPr>
                <w:szCs w:val="21"/>
              </w:rPr>
            </w:pPr>
            <w:r>
              <w:rPr>
                <w:szCs w:val="21"/>
              </w:rPr>
              <w:t>主要影响角正切</w:t>
            </w:r>
          </w:p>
          <w:p w:rsidR="00C223F5" w:rsidRDefault="00C223F5" w:rsidP="00A82F91">
            <w:pPr>
              <w:jc w:val="center"/>
              <w:rPr>
                <w:szCs w:val="21"/>
              </w:rPr>
            </w:pPr>
            <w:r w:rsidRPr="00C223F5">
              <w:rPr>
                <w:position w:val="-10"/>
                <w:szCs w:val="21"/>
              </w:rPr>
              <w:object w:dxaOrig="431" w:dyaOrig="329">
                <v:shape id="_x0000_i1053" type="#_x0000_t75" style="width:21.2pt;height:15.25pt" o:ole="">
                  <v:imagedata r:id="rId86" o:title=""/>
                </v:shape>
                <o:OLEObject Type="Embed" ProgID="Equation.3" ShapeID="_x0000_i1053" DrawAspect="Content" ObjectID="_1629037164" r:id="rId87"/>
              </w:object>
            </w:r>
          </w:p>
        </w:tc>
        <w:tc>
          <w:tcPr>
            <w:tcW w:w="1392" w:type="dxa"/>
            <w:vAlign w:val="center"/>
          </w:tcPr>
          <w:p w:rsidR="00C223F5" w:rsidRDefault="005860D5" w:rsidP="00A82F91">
            <w:pPr>
              <w:jc w:val="center"/>
              <w:rPr>
                <w:szCs w:val="21"/>
              </w:rPr>
            </w:pPr>
            <w:r>
              <w:rPr>
                <w:szCs w:val="21"/>
              </w:rPr>
              <w:t>主要影响半径</w:t>
            </w:r>
          </w:p>
          <w:p w:rsidR="00C223F5" w:rsidRDefault="00C223F5" w:rsidP="00A82F91">
            <w:pPr>
              <w:jc w:val="center"/>
              <w:rPr>
                <w:szCs w:val="21"/>
              </w:rPr>
            </w:pPr>
            <w:r w:rsidRPr="00C223F5">
              <w:rPr>
                <w:position w:val="-4"/>
                <w:szCs w:val="21"/>
              </w:rPr>
              <w:object w:dxaOrig="180" w:dyaOrig="200">
                <v:shape id="_x0000_i1054" type="#_x0000_t75" style="width:11.85pt;height:10.15pt" o:ole="">
                  <v:imagedata r:id="rId71" o:title=""/>
                </v:shape>
                <o:OLEObject Type="Embed" ProgID="Equation.3" ShapeID="_x0000_i1054" DrawAspect="Content" ObjectID="_1629037165" r:id="rId88"/>
              </w:object>
            </w:r>
            <w:r w:rsidR="005860D5">
              <w:rPr>
                <w:szCs w:val="21"/>
              </w:rPr>
              <w:t>（</w:t>
            </w:r>
            <w:r w:rsidR="005860D5">
              <w:rPr>
                <w:szCs w:val="21"/>
              </w:rPr>
              <w:t>m</w:t>
            </w:r>
            <w:r w:rsidR="005860D5">
              <w:rPr>
                <w:szCs w:val="21"/>
              </w:rPr>
              <w:t>）</w:t>
            </w:r>
          </w:p>
        </w:tc>
        <w:tc>
          <w:tcPr>
            <w:tcW w:w="1169" w:type="dxa"/>
            <w:vAlign w:val="center"/>
          </w:tcPr>
          <w:p w:rsidR="00C223F5" w:rsidRDefault="005860D5" w:rsidP="00A82F91">
            <w:pPr>
              <w:jc w:val="center"/>
              <w:rPr>
                <w:szCs w:val="21"/>
              </w:rPr>
            </w:pPr>
            <w:r>
              <w:rPr>
                <w:szCs w:val="21"/>
              </w:rPr>
              <w:t>拐点移动距</w:t>
            </w:r>
          </w:p>
          <w:p w:rsidR="00C223F5" w:rsidRDefault="00C223F5" w:rsidP="00A82F91">
            <w:pPr>
              <w:jc w:val="center"/>
              <w:rPr>
                <w:szCs w:val="21"/>
              </w:rPr>
            </w:pPr>
            <w:r w:rsidRPr="00C223F5">
              <w:rPr>
                <w:position w:val="-6"/>
                <w:szCs w:val="21"/>
              </w:rPr>
              <w:object w:dxaOrig="228" w:dyaOrig="290">
                <v:shape id="_x0000_i1055" type="#_x0000_t75" style="width:12.7pt;height:14.4pt" o:ole="">
                  <v:imagedata r:id="rId89" o:title=""/>
                </v:shape>
                <o:OLEObject Type="Embed" ProgID="Equation.3" ShapeID="_x0000_i1055" DrawAspect="Content" ObjectID="_1629037166" r:id="rId90"/>
              </w:object>
            </w:r>
            <w:r w:rsidR="005860D5">
              <w:rPr>
                <w:szCs w:val="21"/>
              </w:rPr>
              <w:t>（</w:t>
            </w:r>
            <w:r w:rsidR="005860D5">
              <w:rPr>
                <w:szCs w:val="21"/>
              </w:rPr>
              <w:t>m</w:t>
            </w:r>
            <w:r w:rsidR="005860D5">
              <w:rPr>
                <w:szCs w:val="21"/>
              </w:rPr>
              <w:t>）</w:t>
            </w:r>
          </w:p>
        </w:tc>
        <w:tc>
          <w:tcPr>
            <w:tcW w:w="1188" w:type="dxa"/>
            <w:vAlign w:val="center"/>
          </w:tcPr>
          <w:p w:rsidR="00C223F5" w:rsidRDefault="005860D5" w:rsidP="00A82F91">
            <w:pPr>
              <w:pStyle w:val="xl48"/>
              <w:widowControl w:val="0"/>
              <w:pBdr>
                <w:bottom w:val="none" w:sz="0" w:space="0" w:color="auto"/>
                <w:right w:val="none" w:sz="0" w:space="0" w:color="auto"/>
              </w:pBdr>
              <w:spacing w:before="0" w:beforeAutospacing="0" w:after="0" w:afterAutospacing="0"/>
              <w:rPr>
                <w:rFonts w:ascii="Times New Roman" w:hAnsi="Times New Roman"/>
                <w:kern w:val="2"/>
              </w:rPr>
            </w:pPr>
            <w:r>
              <w:rPr>
                <w:rFonts w:ascii="Times New Roman" w:hAnsi="Times New Roman"/>
                <w:kern w:val="2"/>
              </w:rPr>
              <w:t>沉陷影响</w:t>
            </w:r>
          </w:p>
          <w:p w:rsidR="00C223F5" w:rsidRDefault="005860D5" w:rsidP="00A82F91">
            <w:pPr>
              <w:pStyle w:val="xl48"/>
              <w:widowControl w:val="0"/>
              <w:pBdr>
                <w:bottom w:val="none" w:sz="0" w:space="0" w:color="auto"/>
                <w:right w:val="none" w:sz="0" w:space="0" w:color="auto"/>
              </w:pBdr>
              <w:spacing w:before="0" w:beforeAutospacing="0" w:after="0" w:afterAutospacing="0"/>
              <w:rPr>
                <w:rFonts w:ascii="Times New Roman" w:hAnsi="Times New Roman"/>
                <w:kern w:val="2"/>
              </w:rPr>
            </w:pPr>
            <w:r>
              <w:rPr>
                <w:rFonts w:ascii="Times New Roman" w:hAnsi="Times New Roman"/>
                <w:kern w:val="2"/>
              </w:rPr>
              <w:t>范围</w:t>
            </w:r>
            <w:r>
              <w:rPr>
                <w:rFonts w:ascii="Times New Roman" w:hAnsi="Times New Roman"/>
              </w:rPr>
              <w:t>(m)</w:t>
            </w:r>
          </w:p>
        </w:tc>
      </w:tr>
      <w:tr w:rsidR="00C223F5" w:rsidTr="0042725A">
        <w:trPr>
          <w:trHeight w:val="222"/>
          <w:jc w:val="center"/>
        </w:trPr>
        <w:tc>
          <w:tcPr>
            <w:tcW w:w="1610" w:type="dxa"/>
            <w:vMerge/>
            <w:vAlign w:val="center"/>
          </w:tcPr>
          <w:p w:rsidR="00C223F5" w:rsidRDefault="00C223F5" w:rsidP="00A82F91">
            <w:pPr>
              <w:jc w:val="center"/>
              <w:rPr>
                <w:szCs w:val="21"/>
              </w:rPr>
            </w:pPr>
          </w:p>
        </w:tc>
        <w:tc>
          <w:tcPr>
            <w:tcW w:w="6870" w:type="dxa"/>
            <w:gridSpan w:val="5"/>
            <w:vAlign w:val="center"/>
          </w:tcPr>
          <w:p w:rsidR="00C223F5" w:rsidRDefault="005860D5" w:rsidP="00A82F91">
            <w:pPr>
              <w:jc w:val="center"/>
            </w:pPr>
            <w:r>
              <w:rPr>
                <w:szCs w:val="21"/>
              </w:rPr>
              <w:t>最小～最大</w:t>
            </w:r>
          </w:p>
        </w:tc>
      </w:tr>
      <w:tr w:rsidR="00C223F5">
        <w:trPr>
          <w:trHeight w:val="266"/>
          <w:jc w:val="center"/>
        </w:trPr>
        <w:tc>
          <w:tcPr>
            <w:tcW w:w="1610" w:type="dxa"/>
            <w:vAlign w:val="center"/>
          </w:tcPr>
          <w:p w:rsidR="00C223F5" w:rsidRDefault="005860D5" w:rsidP="00A82F91">
            <w:pPr>
              <w:jc w:val="center"/>
              <w:rPr>
                <w:szCs w:val="21"/>
              </w:rPr>
            </w:pPr>
            <w:r>
              <w:rPr>
                <w:szCs w:val="21"/>
              </w:rPr>
              <w:t>4</w:t>
            </w:r>
            <w:r>
              <w:rPr>
                <w:szCs w:val="21"/>
                <w:vertAlign w:val="superscript"/>
              </w:rPr>
              <w:t>-1</w:t>
            </w:r>
            <w:r>
              <w:rPr>
                <w:szCs w:val="21"/>
              </w:rPr>
              <w:t>（首采煤层）</w:t>
            </w:r>
          </w:p>
        </w:tc>
        <w:tc>
          <w:tcPr>
            <w:tcW w:w="1475" w:type="dxa"/>
            <w:vAlign w:val="center"/>
          </w:tcPr>
          <w:p w:rsidR="00C223F5" w:rsidRDefault="005860D5" w:rsidP="00A82F91">
            <w:pPr>
              <w:overflowPunct w:val="0"/>
              <w:jc w:val="center"/>
              <w:rPr>
                <w:szCs w:val="21"/>
              </w:rPr>
            </w:pPr>
            <w:r>
              <w:rPr>
                <w:szCs w:val="21"/>
              </w:rPr>
              <w:t>87.56~568.72</w:t>
            </w:r>
          </w:p>
        </w:tc>
        <w:tc>
          <w:tcPr>
            <w:tcW w:w="1646" w:type="dxa"/>
            <w:vAlign w:val="center"/>
          </w:tcPr>
          <w:p w:rsidR="00C223F5" w:rsidRDefault="005860D5" w:rsidP="00A82F91">
            <w:pPr>
              <w:jc w:val="center"/>
              <w:rPr>
                <w:szCs w:val="21"/>
              </w:rPr>
            </w:pPr>
            <w:r>
              <w:rPr>
                <w:szCs w:val="21"/>
              </w:rPr>
              <w:t>1.62~3.16</w:t>
            </w:r>
          </w:p>
        </w:tc>
        <w:tc>
          <w:tcPr>
            <w:tcW w:w="1392" w:type="dxa"/>
            <w:vAlign w:val="center"/>
          </w:tcPr>
          <w:p w:rsidR="00C223F5" w:rsidRDefault="005860D5" w:rsidP="00A82F91">
            <w:pPr>
              <w:jc w:val="center"/>
              <w:rPr>
                <w:szCs w:val="21"/>
              </w:rPr>
            </w:pPr>
            <w:r>
              <w:rPr>
                <w:szCs w:val="21"/>
              </w:rPr>
              <w:t>53.92~180.1</w:t>
            </w:r>
          </w:p>
        </w:tc>
        <w:tc>
          <w:tcPr>
            <w:tcW w:w="1169" w:type="dxa"/>
            <w:vAlign w:val="center"/>
          </w:tcPr>
          <w:p w:rsidR="00C223F5" w:rsidRDefault="005860D5" w:rsidP="00A82F91">
            <w:pPr>
              <w:jc w:val="center"/>
              <w:rPr>
                <w:szCs w:val="21"/>
              </w:rPr>
            </w:pPr>
            <w:r>
              <w:rPr>
                <w:szCs w:val="21"/>
              </w:rPr>
              <w:t>15.76~102.37</w:t>
            </w:r>
          </w:p>
        </w:tc>
        <w:tc>
          <w:tcPr>
            <w:tcW w:w="1188" w:type="dxa"/>
            <w:vAlign w:val="center"/>
          </w:tcPr>
          <w:p w:rsidR="00C223F5" w:rsidRDefault="005860D5" w:rsidP="00A82F91">
            <w:pPr>
              <w:jc w:val="center"/>
              <w:rPr>
                <w:szCs w:val="21"/>
              </w:rPr>
            </w:pPr>
            <w:r>
              <w:rPr>
                <w:szCs w:val="21"/>
              </w:rPr>
              <w:t>38.16~77.73</w:t>
            </w:r>
          </w:p>
        </w:tc>
      </w:tr>
      <w:tr w:rsidR="00C223F5">
        <w:trPr>
          <w:trHeight w:val="266"/>
          <w:jc w:val="center"/>
        </w:trPr>
        <w:tc>
          <w:tcPr>
            <w:tcW w:w="1610" w:type="dxa"/>
            <w:vAlign w:val="center"/>
          </w:tcPr>
          <w:p w:rsidR="00C223F5" w:rsidRDefault="005860D5" w:rsidP="00A82F91">
            <w:pPr>
              <w:jc w:val="center"/>
              <w:rPr>
                <w:szCs w:val="21"/>
                <w:vertAlign w:val="superscript"/>
              </w:rPr>
            </w:pPr>
            <w:r>
              <w:rPr>
                <w:szCs w:val="21"/>
              </w:rPr>
              <w:t>4</w:t>
            </w:r>
            <w:r>
              <w:rPr>
                <w:szCs w:val="21"/>
                <w:vertAlign w:val="superscript"/>
              </w:rPr>
              <w:t>-2</w:t>
            </w:r>
          </w:p>
        </w:tc>
        <w:tc>
          <w:tcPr>
            <w:tcW w:w="1475" w:type="dxa"/>
            <w:vAlign w:val="center"/>
          </w:tcPr>
          <w:p w:rsidR="00C223F5" w:rsidRDefault="005860D5" w:rsidP="00A82F91">
            <w:pPr>
              <w:widowControl/>
              <w:jc w:val="center"/>
              <w:rPr>
                <w:kern w:val="0"/>
                <w:szCs w:val="21"/>
              </w:rPr>
            </w:pPr>
            <w:r>
              <w:rPr>
                <w:szCs w:val="21"/>
              </w:rPr>
              <w:t>97.41~589.21</w:t>
            </w:r>
          </w:p>
        </w:tc>
        <w:tc>
          <w:tcPr>
            <w:tcW w:w="1646" w:type="dxa"/>
            <w:vAlign w:val="center"/>
          </w:tcPr>
          <w:p w:rsidR="00C223F5" w:rsidRDefault="005860D5" w:rsidP="00A82F91">
            <w:pPr>
              <w:jc w:val="center"/>
              <w:rPr>
                <w:szCs w:val="21"/>
              </w:rPr>
            </w:pPr>
            <w:r>
              <w:rPr>
                <w:szCs w:val="21"/>
              </w:rPr>
              <w:t>1.66~3.22</w:t>
            </w:r>
          </w:p>
        </w:tc>
        <w:tc>
          <w:tcPr>
            <w:tcW w:w="1392" w:type="dxa"/>
            <w:vAlign w:val="center"/>
          </w:tcPr>
          <w:p w:rsidR="00C223F5" w:rsidRDefault="005860D5" w:rsidP="00A82F91">
            <w:pPr>
              <w:jc w:val="center"/>
              <w:rPr>
                <w:szCs w:val="21"/>
              </w:rPr>
            </w:pPr>
            <w:r>
              <w:rPr>
                <w:szCs w:val="21"/>
              </w:rPr>
              <w:t>58.84~182.80</w:t>
            </w:r>
          </w:p>
        </w:tc>
        <w:tc>
          <w:tcPr>
            <w:tcW w:w="1169" w:type="dxa"/>
            <w:vAlign w:val="center"/>
          </w:tcPr>
          <w:p w:rsidR="00C223F5" w:rsidRDefault="005860D5" w:rsidP="00A82F91">
            <w:pPr>
              <w:jc w:val="center"/>
              <w:rPr>
                <w:szCs w:val="21"/>
              </w:rPr>
            </w:pPr>
            <w:r>
              <w:rPr>
                <w:szCs w:val="21"/>
              </w:rPr>
              <w:t>17.53~106.05</w:t>
            </w:r>
          </w:p>
        </w:tc>
        <w:tc>
          <w:tcPr>
            <w:tcW w:w="1188" w:type="dxa"/>
            <w:vAlign w:val="center"/>
          </w:tcPr>
          <w:p w:rsidR="00C223F5" w:rsidRDefault="005860D5" w:rsidP="00A82F91">
            <w:pPr>
              <w:jc w:val="center"/>
              <w:rPr>
                <w:szCs w:val="21"/>
              </w:rPr>
            </w:pPr>
            <w:r>
              <w:rPr>
                <w:szCs w:val="21"/>
              </w:rPr>
              <w:t>41.31~76.75</w:t>
            </w:r>
          </w:p>
        </w:tc>
      </w:tr>
    </w:tbl>
    <w:p w:rsidR="00C223F5" w:rsidRDefault="005860D5" w:rsidP="00A82F91">
      <w:pPr>
        <w:spacing w:line="360" w:lineRule="auto"/>
        <w:ind w:firstLineChars="200" w:firstLine="482"/>
        <w:rPr>
          <w:b/>
          <w:sz w:val="24"/>
        </w:rPr>
      </w:pPr>
      <w:r>
        <w:rPr>
          <w:rFonts w:hint="eastAsia"/>
          <w:b/>
          <w:sz w:val="24"/>
        </w:rPr>
        <w:t>（五）</w:t>
      </w:r>
      <w:r>
        <w:rPr>
          <w:b/>
          <w:sz w:val="24"/>
        </w:rPr>
        <w:t>预测结果</w:t>
      </w:r>
    </w:p>
    <w:p w:rsidR="00C223F5" w:rsidRDefault="005860D5" w:rsidP="00A82F91">
      <w:pPr>
        <w:spacing w:line="360" w:lineRule="auto"/>
        <w:ind w:firstLineChars="200" w:firstLine="480"/>
        <w:rPr>
          <w:sz w:val="24"/>
        </w:rPr>
      </w:pPr>
      <w:r>
        <w:rPr>
          <w:sz w:val="24"/>
        </w:rPr>
        <w:t>（</w:t>
      </w:r>
      <w:r>
        <w:rPr>
          <w:sz w:val="24"/>
        </w:rPr>
        <w:t>1</w:t>
      </w:r>
      <w:r>
        <w:rPr>
          <w:sz w:val="24"/>
        </w:rPr>
        <w:t>）地表沉陷预测结果</w:t>
      </w:r>
    </w:p>
    <w:p w:rsidR="00C223F5" w:rsidRDefault="005860D5" w:rsidP="00A82F91">
      <w:pPr>
        <w:spacing w:line="360" w:lineRule="auto"/>
        <w:ind w:firstLineChars="200" w:firstLine="480"/>
        <w:rPr>
          <w:color w:val="FF0000"/>
          <w:sz w:val="24"/>
        </w:rPr>
      </w:pPr>
      <w:r>
        <w:rPr>
          <w:sz w:val="24"/>
        </w:rPr>
        <w:t>结合矿井开拓方式、煤层赋存特征，应用选定模式，预测全井田开采后地表移动与变形结果见下表</w:t>
      </w:r>
      <w:r>
        <w:rPr>
          <w:rFonts w:hint="eastAsia"/>
          <w:sz w:val="24"/>
        </w:rPr>
        <w:t>4.2.1-3</w:t>
      </w:r>
      <w:r>
        <w:rPr>
          <w:sz w:val="24"/>
        </w:rPr>
        <w:t>，</w:t>
      </w:r>
      <w:r w:rsidR="00DD6B31" w:rsidRPr="00DD6B31">
        <w:rPr>
          <w:rFonts w:hint="eastAsia"/>
          <w:color w:val="FF0000"/>
          <w:sz w:val="24"/>
        </w:rPr>
        <w:t>首采区（一盘区</w:t>
      </w:r>
      <w:r w:rsidR="00DD6B31" w:rsidRPr="00DD6B31">
        <w:rPr>
          <w:rFonts w:hint="eastAsia"/>
          <w:color w:val="FF0000"/>
          <w:sz w:val="24"/>
        </w:rPr>
        <w:t>4</w:t>
      </w:r>
      <w:r w:rsidR="00DD6B31" w:rsidRPr="00DD6B31">
        <w:rPr>
          <w:rFonts w:hint="eastAsia"/>
          <w:color w:val="FF0000"/>
          <w:sz w:val="24"/>
          <w:vertAlign w:val="superscript"/>
        </w:rPr>
        <w:t>-1</w:t>
      </w:r>
      <w:r w:rsidR="00DD6B31" w:rsidRPr="00DD6B31">
        <w:rPr>
          <w:rFonts w:hint="eastAsia"/>
          <w:color w:val="FF0000"/>
          <w:sz w:val="24"/>
        </w:rPr>
        <w:t>煤）</w:t>
      </w:r>
      <w:r w:rsidR="00DD6B31" w:rsidRPr="00DD6B31">
        <w:rPr>
          <w:color w:val="FF0000"/>
          <w:sz w:val="24"/>
        </w:rPr>
        <w:t>开采地表沉陷等值线图见</w:t>
      </w:r>
      <w:r w:rsidR="00DD6B31" w:rsidRPr="00DD6B31">
        <w:rPr>
          <w:color w:val="FF0000"/>
          <w:sz w:val="24"/>
        </w:rPr>
        <w:lastRenderedPageBreak/>
        <w:t>图</w:t>
      </w:r>
      <w:r w:rsidR="00DD6B31" w:rsidRPr="00DD6B31">
        <w:rPr>
          <w:rFonts w:hint="eastAsia"/>
          <w:color w:val="FF0000"/>
          <w:sz w:val="24"/>
        </w:rPr>
        <w:t>4.2.1-3</w:t>
      </w:r>
      <w:r w:rsidR="00DD6B31" w:rsidRPr="00DD6B31">
        <w:rPr>
          <w:rFonts w:hint="eastAsia"/>
          <w:color w:val="FF0000"/>
          <w:sz w:val="24"/>
        </w:rPr>
        <w:t>，</w:t>
      </w:r>
      <w:r w:rsidRPr="00DD6B31">
        <w:rPr>
          <w:color w:val="FF0000"/>
          <w:sz w:val="24"/>
        </w:rPr>
        <w:t>全井田开采地表沉陷等值线图见图</w:t>
      </w:r>
      <w:r w:rsidRPr="00DD6B31">
        <w:rPr>
          <w:rFonts w:hint="eastAsia"/>
          <w:color w:val="FF0000"/>
          <w:sz w:val="24"/>
        </w:rPr>
        <w:t>4.2.1-</w:t>
      </w:r>
      <w:r w:rsidR="00DD6B31" w:rsidRPr="00DD6B31">
        <w:rPr>
          <w:rFonts w:hint="eastAsia"/>
          <w:color w:val="FF0000"/>
          <w:sz w:val="24"/>
        </w:rPr>
        <w:t>4</w:t>
      </w:r>
      <w:r w:rsidRPr="00DD6B31">
        <w:rPr>
          <w:color w:val="FF0000"/>
          <w:sz w:val="24"/>
        </w:rPr>
        <w:t>。</w:t>
      </w:r>
    </w:p>
    <w:p w:rsidR="00C223F5" w:rsidRDefault="005860D5" w:rsidP="00A82F91">
      <w:pPr>
        <w:jc w:val="center"/>
        <w:rPr>
          <w:b/>
          <w:sz w:val="24"/>
        </w:rPr>
      </w:pPr>
      <w:r>
        <w:rPr>
          <w:b/>
          <w:sz w:val="24"/>
        </w:rPr>
        <w:t>表</w:t>
      </w:r>
      <w:r>
        <w:rPr>
          <w:rFonts w:hint="eastAsia"/>
          <w:b/>
          <w:sz w:val="24"/>
        </w:rPr>
        <w:t xml:space="preserve">4.2.1-3   </w:t>
      </w:r>
      <w:r>
        <w:rPr>
          <w:b/>
          <w:sz w:val="24"/>
        </w:rPr>
        <w:t>开采后地表移动与变形预测结果</w:t>
      </w:r>
    </w:p>
    <w:tbl>
      <w:tblPr>
        <w:tblW w:w="849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24"/>
        <w:gridCol w:w="962"/>
        <w:gridCol w:w="1501"/>
        <w:gridCol w:w="1297"/>
        <w:gridCol w:w="1247"/>
        <w:gridCol w:w="1495"/>
        <w:gridCol w:w="1171"/>
      </w:tblGrid>
      <w:tr w:rsidR="00C223F5">
        <w:trPr>
          <w:trHeight w:val="520"/>
          <w:jc w:val="center"/>
        </w:trPr>
        <w:tc>
          <w:tcPr>
            <w:tcW w:w="824" w:type="dxa"/>
            <w:vMerge w:val="restart"/>
            <w:tcMar>
              <w:left w:w="57" w:type="dxa"/>
              <w:right w:w="57" w:type="dxa"/>
            </w:tcMar>
            <w:vAlign w:val="center"/>
          </w:tcPr>
          <w:p w:rsidR="00C223F5" w:rsidRDefault="005860D5" w:rsidP="00A82F91">
            <w:pPr>
              <w:spacing w:line="260" w:lineRule="exact"/>
              <w:jc w:val="center"/>
              <w:rPr>
                <w:szCs w:val="21"/>
              </w:rPr>
            </w:pPr>
            <w:r>
              <w:rPr>
                <w:szCs w:val="21"/>
              </w:rPr>
              <w:t>可采</w:t>
            </w:r>
          </w:p>
          <w:p w:rsidR="00C223F5" w:rsidRDefault="005860D5" w:rsidP="00A82F91">
            <w:pPr>
              <w:spacing w:line="260" w:lineRule="exact"/>
              <w:jc w:val="center"/>
              <w:rPr>
                <w:szCs w:val="21"/>
              </w:rPr>
            </w:pPr>
            <w:r>
              <w:rPr>
                <w:szCs w:val="21"/>
              </w:rPr>
              <w:t>煤层</w:t>
            </w:r>
          </w:p>
        </w:tc>
        <w:tc>
          <w:tcPr>
            <w:tcW w:w="962" w:type="dxa"/>
            <w:tcMar>
              <w:left w:w="57" w:type="dxa"/>
              <w:right w:w="57" w:type="dxa"/>
            </w:tcMar>
            <w:vAlign w:val="center"/>
          </w:tcPr>
          <w:p w:rsidR="00C223F5" w:rsidRDefault="005860D5" w:rsidP="00A82F91">
            <w:pPr>
              <w:spacing w:line="260" w:lineRule="exact"/>
              <w:jc w:val="center"/>
              <w:rPr>
                <w:szCs w:val="21"/>
              </w:rPr>
            </w:pPr>
            <w:r>
              <w:rPr>
                <w:szCs w:val="21"/>
              </w:rPr>
              <w:t>煤层厚度</w:t>
            </w:r>
          </w:p>
          <w:p w:rsidR="00C223F5" w:rsidRDefault="005860D5" w:rsidP="00A82F91">
            <w:pPr>
              <w:spacing w:line="260" w:lineRule="exact"/>
              <w:jc w:val="center"/>
              <w:rPr>
                <w:szCs w:val="21"/>
              </w:rPr>
            </w:pPr>
            <w:r>
              <w:rPr>
                <w:szCs w:val="21"/>
              </w:rPr>
              <w:t>（</w:t>
            </w:r>
            <w:r w:rsidR="00C223F5" w:rsidRPr="00C223F5">
              <w:rPr>
                <w:position w:val="-6"/>
                <w:szCs w:val="21"/>
              </w:rPr>
              <w:object w:dxaOrig="260" w:dyaOrig="220">
                <v:shape id="_x0000_i1056" type="#_x0000_t75" style="width:12.7pt;height:11.85pt" o:ole="">
                  <v:imagedata r:id="rId91" o:title=""/>
                </v:shape>
                <o:OLEObject Type="Embed" ProgID="Equation.3" ShapeID="_x0000_i1056" DrawAspect="Content" ObjectID="_1629037167" r:id="rId92"/>
              </w:object>
            </w:r>
            <w:r>
              <w:rPr>
                <w:szCs w:val="21"/>
              </w:rPr>
              <w:t>）</w:t>
            </w:r>
          </w:p>
        </w:tc>
        <w:tc>
          <w:tcPr>
            <w:tcW w:w="1501" w:type="dxa"/>
            <w:tcMar>
              <w:left w:w="57" w:type="dxa"/>
              <w:right w:w="57" w:type="dxa"/>
            </w:tcMar>
            <w:vAlign w:val="center"/>
          </w:tcPr>
          <w:p w:rsidR="00C223F5" w:rsidRDefault="005860D5" w:rsidP="00A82F91">
            <w:pPr>
              <w:spacing w:line="260" w:lineRule="exact"/>
              <w:jc w:val="center"/>
              <w:rPr>
                <w:i/>
                <w:iCs/>
                <w:szCs w:val="21"/>
                <w:vertAlign w:val="subscript"/>
              </w:rPr>
            </w:pPr>
            <w:proofErr w:type="spellStart"/>
            <w:r>
              <w:rPr>
                <w:i/>
                <w:iCs/>
                <w:szCs w:val="21"/>
              </w:rPr>
              <w:t>W</w:t>
            </w:r>
            <w:r>
              <w:rPr>
                <w:i/>
                <w:iCs/>
                <w:szCs w:val="21"/>
                <w:vertAlign w:val="subscript"/>
              </w:rPr>
              <w:t>max</w:t>
            </w:r>
            <w:proofErr w:type="spellEnd"/>
          </w:p>
          <w:p w:rsidR="00C223F5" w:rsidRDefault="005860D5" w:rsidP="00A82F91">
            <w:pPr>
              <w:spacing w:line="260" w:lineRule="exact"/>
              <w:jc w:val="center"/>
              <w:rPr>
                <w:i/>
                <w:iCs/>
                <w:szCs w:val="21"/>
                <w:vertAlign w:val="subscript"/>
              </w:rPr>
            </w:pPr>
            <w:r>
              <w:rPr>
                <w:szCs w:val="21"/>
              </w:rPr>
              <w:t>（</w:t>
            </w:r>
            <w:r w:rsidR="00C223F5" w:rsidRPr="00C223F5">
              <w:rPr>
                <w:position w:val="-6"/>
                <w:szCs w:val="21"/>
              </w:rPr>
              <w:object w:dxaOrig="420" w:dyaOrig="220">
                <v:shape id="_x0000_i1057" type="#_x0000_t75" style="width:21.2pt;height:11.85pt" o:ole="">
                  <v:imagedata r:id="rId93" o:title=""/>
                </v:shape>
                <o:OLEObject Type="Embed" ProgID="Equation.3" ShapeID="_x0000_i1057" DrawAspect="Content" ObjectID="_1629037168" r:id="rId94"/>
              </w:object>
            </w:r>
            <w:r>
              <w:rPr>
                <w:szCs w:val="21"/>
              </w:rPr>
              <w:t>）</w:t>
            </w:r>
          </w:p>
        </w:tc>
        <w:tc>
          <w:tcPr>
            <w:tcW w:w="1297" w:type="dxa"/>
            <w:tcMar>
              <w:left w:w="57" w:type="dxa"/>
              <w:right w:w="57" w:type="dxa"/>
            </w:tcMar>
            <w:vAlign w:val="center"/>
          </w:tcPr>
          <w:p w:rsidR="00C223F5" w:rsidRDefault="005860D5" w:rsidP="00A82F91">
            <w:pPr>
              <w:spacing w:line="260" w:lineRule="exact"/>
              <w:jc w:val="center"/>
              <w:rPr>
                <w:i/>
                <w:iCs/>
                <w:szCs w:val="21"/>
                <w:vertAlign w:val="subscript"/>
              </w:rPr>
            </w:pPr>
            <w:r>
              <w:rPr>
                <w:i/>
                <w:iCs/>
                <w:szCs w:val="21"/>
              </w:rPr>
              <w:t>I</w:t>
            </w:r>
            <w:r>
              <w:rPr>
                <w:i/>
                <w:iCs/>
                <w:szCs w:val="21"/>
                <w:vertAlign w:val="subscript"/>
              </w:rPr>
              <w:t>max</w:t>
            </w:r>
          </w:p>
          <w:p w:rsidR="00C223F5" w:rsidRDefault="005860D5" w:rsidP="00A82F91">
            <w:pPr>
              <w:spacing w:line="260" w:lineRule="exact"/>
              <w:jc w:val="center"/>
              <w:rPr>
                <w:i/>
                <w:iCs/>
                <w:szCs w:val="21"/>
              </w:rPr>
            </w:pPr>
            <w:r>
              <w:rPr>
                <w:szCs w:val="21"/>
              </w:rPr>
              <w:t>（</w:t>
            </w:r>
            <w:r w:rsidR="00C223F5" w:rsidRPr="00C223F5">
              <w:rPr>
                <w:position w:val="-6"/>
                <w:szCs w:val="21"/>
              </w:rPr>
              <w:object w:dxaOrig="420" w:dyaOrig="220">
                <v:shape id="_x0000_i1058" type="#_x0000_t75" style="width:21.2pt;height:11.85pt" o:ole="">
                  <v:imagedata r:id="rId95" o:title=""/>
                </v:shape>
                <o:OLEObject Type="Embed" ProgID="Equation.3" ShapeID="_x0000_i1058" DrawAspect="Content" ObjectID="_1629037169" r:id="rId96"/>
              </w:object>
            </w:r>
            <w:r>
              <w:rPr>
                <w:szCs w:val="21"/>
              </w:rPr>
              <w:t>/</w:t>
            </w:r>
            <w:r w:rsidR="00C223F5" w:rsidRPr="00C223F5">
              <w:rPr>
                <w:position w:val="-6"/>
                <w:szCs w:val="21"/>
              </w:rPr>
              <w:object w:dxaOrig="260" w:dyaOrig="220">
                <v:shape id="_x0000_i1059" type="#_x0000_t75" style="width:12.7pt;height:11.85pt" o:ole="">
                  <v:imagedata r:id="rId97" o:title=""/>
                </v:shape>
                <o:OLEObject Type="Embed" ProgID="Equation.3" ShapeID="_x0000_i1059" DrawAspect="Content" ObjectID="_1629037170" r:id="rId98"/>
              </w:object>
            </w:r>
            <w:r>
              <w:rPr>
                <w:szCs w:val="21"/>
              </w:rPr>
              <w:t>）</w:t>
            </w:r>
          </w:p>
        </w:tc>
        <w:tc>
          <w:tcPr>
            <w:tcW w:w="1247" w:type="dxa"/>
            <w:tcMar>
              <w:left w:w="57" w:type="dxa"/>
              <w:right w:w="57" w:type="dxa"/>
            </w:tcMar>
            <w:vAlign w:val="center"/>
          </w:tcPr>
          <w:p w:rsidR="00C223F5" w:rsidRDefault="00C223F5" w:rsidP="00A82F91">
            <w:pPr>
              <w:spacing w:line="260" w:lineRule="exact"/>
              <w:jc w:val="center"/>
              <w:rPr>
                <w:szCs w:val="21"/>
                <w:vertAlign w:val="subscript"/>
              </w:rPr>
            </w:pPr>
            <w:r w:rsidRPr="00C223F5">
              <w:rPr>
                <w:position w:val="-10"/>
                <w:szCs w:val="21"/>
              </w:rPr>
              <w:object w:dxaOrig="180" w:dyaOrig="340">
                <v:shape id="_x0000_i1060" type="#_x0000_t75" style="width:9.3pt;height:17.8pt" o:ole="">
                  <v:imagedata r:id="rId65" o:title=""/>
                </v:shape>
                <o:OLEObject Type="Embed" ProgID="Equation.3" ShapeID="_x0000_i1060" DrawAspect="Content" ObjectID="_1629037171" r:id="rId99"/>
              </w:object>
            </w:r>
            <w:proofErr w:type="spellStart"/>
            <w:r w:rsidR="005860D5">
              <w:rPr>
                <w:szCs w:val="21"/>
              </w:rPr>
              <w:t>K</w:t>
            </w:r>
            <w:r w:rsidR="005860D5">
              <w:rPr>
                <w:szCs w:val="21"/>
                <w:vertAlign w:val="subscript"/>
              </w:rPr>
              <w:t>max</w:t>
            </w:r>
            <w:proofErr w:type="spellEnd"/>
          </w:p>
          <w:p w:rsidR="00C223F5" w:rsidRDefault="005860D5" w:rsidP="00A82F91">
            <w:pPr>
              <w:spacing w:line="260" w:lineRule="exact"/>
              <w:jc w:val="center"/>
              <w:rPr>
                <w:szCs w:val="21"/>
              </w:rPr>
            </w:pPr>
            <w:r>
              <w:rPr>
                <w:szCs w:val="21"/>
              </w:rPr>
              <w:t>（</w:t>
            </w:r>
            <w:r>
              <w:rPr>
                <w:szCs w:val="21"/>
              </w:rPr>
              <w:t>10</w:t>
            </w:r>
            <w:r>
              <w:rPr>
                <w:szCs w:val="21"/>
                <w:vertAlign w:val="superscript"/>
              </w:rPr>
              <w:t>-3</w:t>
            </w:r>
            <w:r>
              <w:rPr>
                <w:szCs w:val="21"/>
              </w:rPr>
              <w:t>/</w:t>
            </w:r>
            <w:r w:rsidR="00C223F5" w:rsidRPr="00C223F5">
              <w:rPr>
                <w:position w:val="-6"/>
                <w:szCs w:val="21"/>
              </w:rPr>
              <w:object w:dxaOrig="420" w:dyaOrig="220">
                <v:shape id="_x0000_i1061" type="#_x0000_t75" style="width:21.2pt;height:11.85pt" o:ole="">
                  <v:imagedata r:id="rId93" o:title=""/>
                </v:shape>
                <o:OLEObject Type="Embed" ProgID="Equation.3" ShapeID="_x0000_i1061" DrawAspect="Content" ObjectID="_1629037172" r:id="rId100"/>
              </w:object>
            </w:r>
            <w:r>
              <w:rPr>
                <w:szCs w:val="21"/>
              </w:rPr>
              <w:t>）</w:t>
            </w:r>
          </w:p>
        </w:tc>
        <w:tc>
          <w:tcPr>
            <w:tcW w:w="1495" w:type="dxa"/>
            <w:tcMar>
              <w:left w:w="57" w:type="dxa"/>
              <w:right w:w="57" w:type="dxa"/>
            </w:tcMar>
            <w:vAlign w:val="center"/>
          </w:tcPr>
          <w:p w:rsidR="00C223F5" w:rsidRDefault="005860D5" w:rsidP="00A82F91">
            <w:pPr>
              <w:spacing w:line="260" w:lineRule="exact"/>
              <w:jc w:val="center"/>
              <w:rPr>
                <w:szCs w:val="21"/>
                <w:vertAlign w:val="subscript"/>
              </w:rPr>
            </w:pPr>
            <w:proofErr w:type="spellStart"/>
            <w:r>
              <w:rPr>
                <w:szCs w:val="21"/>
              </w:rPr>
              <w:t>U</w:t>
            </w:r>
            <w:r>
              <w:rPr>
                <w:szCs w:val="21"/>
                <w:vertAlign w:val="subscript"/>
              </w:rPr>
              <w:t>max</w:t>
            </w:r>
            <w:proofErr w:type="spellEnd"/>
          </w:p>
          <w:p w:rsidR="00C223F5" w:rsidRDefault="005860D5" w:rsidP="00A82F91">
            <w:pPr>
              <w:spacing w:line="260" w:lineRule="exact"/>
              <w:jc w:val="center"/>
              <w:rPr>
                <w:szCs w:val="21"/>
              </w:rPr>
            </w:pPr>
            <w:r>
              <w:rPr>
                <w:szCs w:val="21"/>
              </w:rPr>
              <w:t>（</w:t>
            </w:r>
            <w:r w:rsidR="00C223F5" w:rsidRPr="00C223F5">
              <w:rPr>
                <w:position w:val="-6"/>
                <w:szCs w:val="21"/>
              </w:rPr>
              <w:object w:dxaOrig="420" w:dyaOrig="220">
                <v:shape id="_x0000_i1062" type="#_x0000_t75" style="width:21.2pt;height:11.85pt" o:ole="">
                  <v:imagedata r:id="rId93" o:title=""/>
                </v:shape>
                <o:OLEObject Type="Embed" ProgID="Equation.3" ShapeID="_x0000_i1062" DrawAspect="Content" ObjectID="_1629037173" r:id="rId101"/>
              </w:object>
            </w:r>
            <w:r>
              <w:rPr>
                <w:szCs w:val="21"/>
              </w:rPr>
              <w:t>）</w:t>
            </w:r>
          </w:p>
        </w:tc>
        <w:tc>
          <w:tcPr>
            <w:tcW w:w="1171" w:type="dxa"/>
            <w:tcMar>
              <w:left w:w="57" w:type="dxa"/>
              <w:right w:w="57" w:type="dxa"/>
            </w:tcMar>
            <w:vAlign w:val="center"/>
          </w:tcPr>
          <w:p w:rsidR="00C223F5" w:rsidRDefault="005860D5" w:rsidP="00A82F91">
            <w:pPr>
              <w:spacing w:line="260" w:lineRule="exact"/>
              <w:jc w:val="center"/>
              <w:rPr>
                <w:szCs w:val="21"/>
                <w:vertAlign w:val="subscript"/>
              </w:rPr>
            </w:pPr>
            <w:proofErr w:type="spellStart"/>
            <w:r>
              <w:rPr>
                <w:szCs w:val="21"/>
              </w:rPr>
              <w:t>ε</w:t>
            </w:r>
            <w:r>
              <w:rPr>
                <w:szCs w:val="21"/>
                <w:vertAlign w:val="subscript"/>
              </w:rPr>
              <w:t>max</w:t>
            </w:r>
            <w:proofErr w:type="spellEnd"/>
          </w:p>
          <w:p w:rsidR="00C223F5" w:rsidRDefault="005860D5" w:rsidP="00A82F91">
            <w:pPr>
              <w:spacing w:line="260" w:lineRule="exact"/>
              <w:jc w:val="center"/>
              <w:rPr>
                <w:szCs w:val="21"/>
              </w:rPr>
            </w:pPr>
            <w:r>
              <w:rPr>
                <w:szCs w:val="21"/>
              </w:rPr>
              <w:t>（</w:t>
            </w:r>
            <w:r w:rsidR="00C223F5" w:rsidRPr="00C223F5">
              <w:rPr>
                <w:position w:val="-6"/>
                <w:szCs w:val="21"/>
              </w:rPr>
              <w:object w:dxaOrig="420" w:dyaOrig="220">
                <v:shape id="_x0000_i1063" type="#_x0000_t75" style="width:21.2pt;height:11.85pt" o:ole="">
                  <v:imagedata r:id="rId95" o:title=""/>
                </v:shape>
                <o:OLEObject Type="Embed" ProgID="Equation.3" ShapeID="_x0000_i1063" DrawAspect="Content" ObjectID="_1629037174" r:id="rId102"/>
              </w:object>
            </w:r>
            <w:r>
              <w:rPr>
                <w:szCs w:val="21"/>
              </w:rPr>
              <w:t>/</w:t>
            </w:r>
            <w:r w:rsidR="00C223F5" w:rsidRPr="00C223F5">
              <w:rPr>
                <w:position w:val="-6"/>
                <w:szCs w:val="21"/>
              </w:rPr>
              <w:object w:dxaOrig="260" w:dyaOrig="220">
                <v:shape id="_x0000_i1064" type="#_x0000_t75" style="width:12.7pt;height:11.85pt" o:ole="">
                  <v:imagedata r:id="rId97" o:title=""/>
                </v:shape>
                <o:OLEObject Type="Embed" ProgID="Equation.3" ShapeID="_x0000_i1064" DrawAspect="Content" ObjectID="_1629037175" r:id="rId103"/>
              </w:object>
            </w:r>
            <w:r>
              <w:rPr>
                <w:szCs w:val="21"/>
              </w:rPr>
              <w:t>）</w:t>
            </w:r>
          </w:p>
        </w:tc>
      </w:tr>
      <w:tr w:rsidR="00C223F5">
        <w:trPr>
          <w:trHeight w:val="520"/>
          <w:jc w:val="center"/>
        </w:trPr>
        <w:tc>
          <w:tcPr>
            <w:tcW w:w="824" w:type="dxa"/>
            <w:vMerge/>
            <w:tcMar>
              <w:left w:w="57" w:type="dxa"/>
              <w:right w:w="57" w:type="dxa"/>
            </w:tcMar>
            <w:vAlign w:val="center"/>
          </w:tcPr>
          <w:p w:rsidR="00C223F5" w:rsidRDefault="00C223F5" w:rsidP="00A82F91">
            <w:pPr>
              <w:spacing w:line="260" w:lineRule="exact"/>
              <w:jc w:val="center"/>
              <w:rPr>
                <w:szCs w:val="21"/>
              </w:rPr>
            </w:pPr>
          </w:p>
        </w:tc>
        <w:tc>
          <w:tcPr>
            <w:tcW w:w="7673" w:type="dxa"/>
            <w:gridSpan w:val="6"/>
            <w:tcMar>
              <w:left w:w="57" w:type="dxa"/>
              <w:right w:w="57" w:type="dxa"/>
            </w:tcMar>
            <w:vAlign w:val="center"/>
          </w:tcPr>
          <w:p w:rsidR="00C223F5" w:rsidRDefault="005860D5" w:rsidP="00A82F91">
            <w:pPr>
              <w:jc w:val="center"/>
              <w:rPr>
                <w:szCs w:val="21"/>
                <w:u w:val="single"/>
              </w:rPr>
            </w:pPr>
            <w:r>
              <w:rPr>
                <w:szCs w:val="21"/>
                <w:u w:val="single"/>
              </w:rPr>
              <w:t>最小～最大</w:t>
            </w:r>
          </w:p>
          <w:p w:rsidR="00C223F5" w:rsidRDefault="005860D5" w:rsidP="00A82F91">
            <w:pPr>
              <w:spacing w:line="260" w:lineRule="exact"/>
              <w:jc w:val="center"/>
              <w:rPr>
                <w:szCs w:val="21"/>
              </w:rPr>
            </w:pPr>
            <w:r>
              <w:rPr>
                <w:szCs w:val="21"/>
              </w:rPr>
              <w:t>平均</w:t>
            </w:r>
          </w:p>
        </w:tc>
      </w:tr>
      <w:tr w:rsidR="00C223F5">
        <w:trPr>
          <w:trHeight w:val="379"/>
          <w:jc w:val="center"/>
        </w:trPr>
        <w:tc>
          <w:tcPr>
            <w:tcW w:w="824" w:type="dxa"/>
            <w:tcMar>
              <w:left w:w="57" w:type="dxa"/>
              <w:right w:w="57" w:type="dxa"/>
            </w:tcMar>
            <w:vAlign w:val="center"/>
          </w:tcPr>
          <w:p w:rsidR="00C223F5" w:rsidRDefault="005860D5" w:rsidP="00A82F91">
            <w:pPr>
              <w:jc w:val="center"/>
              <w:rPr>
                <w:szCs w:val="21"/>
              </w:rPr>
            </w:pPr>
            <w:r>
              <w:rPr>
                <w:szCs w:val="21"/>
              </w:rPr>
              <w:t>4</w:t>
            </w:r>
            <w:r>
              <w:rPr>
                <w:szCs w:val="21"/>
                <w:vertAlign w:val="superscript"/>
              </w:rPr>
              <w:t>-1</w:t>
            </w:r>
          </w:p>
        </w:tc>
        <w:tc>
          <w:tcPr>
            <w:tcW w:w="962" w:type="dxa"/>
            <w:tcMar>
              <w:left w:w="57" w:type="dxa"/>
              <w:right w:w="57" w:type="dxa"/>
            </w:tcMar>
            <w:vAlign w:val="center"/>
          </w:tcPr>
          <w:p w:rsidR="00C223F5" w:rsidRDefault="005860D5" w:rsidP="00A82F91">
            <w:pPr>
              <w:overflowPunct w:val="0"/>
              <w:jc w:val="center"/>
              <w:rPr>
                <w:szCs w:val="21"/>
                <w:u w:val="single"/>
              </w:rPr>
            </w:pPr>
            <w:r>
              <w:rPr>
                <w:rFonts w:hint="eastAsia"/>
                <w:szCs w:val="21"/>
                <w:u w:val="single"/>
              </w:rPr>
              <w:t>0.8~2.9</w:t>
            </w:r>
          </w:p>
          <w:p w:rsidR="00C223F5" w:rsidRDefault="005860D5" w:rsidP="00A82F91">
            <w:pPr>
              <w:overflowPunct w:val="0"/>
              <w:jc w:val="center"/>
              <w:rPr>
                <w:szCs w:val="21"/>
              </w:rPr>
            </w:pPr>
            <w:r>
              <w:rPr>
                <w:rFonts w:hint="eastAsia"/>
                <w:szCs w:val="21"/>
              </w:rPr>
              <w:t>1.84</w:t>
            </w:r>
          </w:p>
        </w:tc>
        <w:tc>
          <w:tcPr>
            <w:tcW w:w="1501" w:type="dxa"/>
            <w:tcMar>
              <w:left w:w="57" w:type="dxa"/>
              <w:right w:w="57" w:type="dxa"/>
            </w:tcMar>
            <w:vAlign w:val="center"/>
          </w:tcPr>
          <w:p w:rsidR="00C223F5" w:rsidRDefault="005860D5" w:rsidP="00A82F91">
            <w:pPr>
              <w:jc w:val="center"/>
              <w:rPr>
                <w:szCs w:val="21"/>
                <w:u w:val="single"/>
              </w:rPr>
            </w:pPr>
            <w:r>
              <w:rPr>
                <w:rFonts w:hint="eastAsia"/>
                <w:szCs w:val="21"/>
                <w:u w:val="single"/>
              </w:rPr>
              <w:t>519.92~1884.71</w:t>
            </w:r>
          </w:p>
          <w:p w:rsidR="00C223F5" w:rsidRDefault="005860D5" w:rsidP="00A82F91">
            <w:pPr>
              <w:jc w:val="center"/>
              <w:rPr>
                <w:szCs w:val="21"/>
              </w:rPr>
            </w:pPr>
            <w:r>
              <w:rPr>
                <w:rFonts w:hint="eastAsia"/>
                <w:szCs w:val="21"/>
              </w:rPr>
              <w:t>1195.82</w:t>
            </w:r>
          </w:p>
        </w:tc>
        <w:tc>
          <w:tcPr>
            <w:tcW w:w="1297" w:type="dxa"/>
            <w:tcMar>
              <w:left w:w="57" w:type="dxa"/>
              <w:right w:w="57" w:type="dxa"/>
            </w:tcMar>
            <w:vAlign w:val="center"/>
          </w:tcPr>
          <w:p w:rsidR="00C223F5" w:rsidRDefault="005860D5" w:rsidP="00A82F91">
            <w:pPr>
              <w:jc w:val="center"/>
              <w:rPr>
                <w:szCs w:val="21"/>
                <w:u w:val="single"/>
              </w:rPr>
            </w:pPr>
            <w:r>
              <w:rPr>
                <w:rFonts w:hint="eastAsia"/>
                <w:szCs w:val="21"/>
                <w:u w:val="single"/>
              </w:rPr>
              <w:t>9.64~10.66</w:t>
            </w:r>
          </w:p>
          <w:p w:rsidR="00C223F5" w:rsidRDefault="005860D5" w:rsidP="00A82F91">
            <w:pPr>
              <w:jc w:val="center"/>
              <w:rPr>
                <w:szCs w:val="21"/>
              </w:rPr>
            </w:pPr>
            <w:r>
              <w:rPr>
                <w:rFonts w:hint="eastAsia"/>
                <w:szCs w:val="21"/>
              </w:rPr>
              <w:t>10.47</w:t>
            </w:r>
          </w:p>
        </w:tc>
        <w:tc>
          <w:tcPr>
            <w:tcW w:w="1247" w:type="dxa"/>
            <w:tcMar>
              <w:left w:w="57" w:type="dxa"/>
              <w:right w:w="57" w:type="dxa"/>
            </w:tcMar>
            <w:vAlign w:val="center"/>
          </w:tcPr>
          <w:p w:rsidR="00C223F5" w:rsidRDefault="005860D5" w:rsidP="00A82F91">
            <w:pPr>
              <w:jc w:val="center"/>
              <w:rPr>
                <w:szCs w:val="21"/>
                <w:u w:val="single"/>
              </w:rPr>
            </w:pPr>
            <w:r>
              <w:rPr>
                <w:rFonts w:hint="eastAsia"/>
                <w:szCs w:val="21"/>
                <w:u w:val="single"/>
              </w:rPr>
              <w:t>0.09~0.27</w:t>
            </w:r>
          </w:p>
          <w:p w:rsidR="00C223F5" w:rsidRDefault="005860D5" w:rsidP="00A82F91">
            <w:pPr>
              <w:jc w:val="center"/>
              <w:rPr>
                <w:szCs w:val="21"/>
              </w:rPr>
            </w:pPr>
            <w:r>
              <w:rPr>
                <w:rFonts w:hint="eastAsia"/>
                <w:szCs w:val="21"/>
              </w:rPr>
              <w:t>0.14</w:t>
            </w:r>
          </w:p>
        </w:tc>
        <w:tc>
          <w:tcPr>
            <w:tcW w:w="1495" w:type="dxa"/>
            <w:tcMar>
              <w:left w:w="57" w:type="dxa"/>
              <w:right w:w="57" w:type="dxa"/>
            </w:tcMar>
            <w:vAlign w:val="center"/>
          </w:tcPr>
          <w:p w:rsidR="00C223F5" w:rsidRDefault="005860D5" w:rsidP="00A82F91">
            <w:pPr>
              <w:jc w:val="center"/>
              <w:rPr>
                <w:szCs w:val="21"/>
                <w:u w:val="single"/>
              </w:rPr>
            </w:pPr>
            <w:r>
              <w:rPr>
                <w:rFonts w:hint="eastAsia"/>
                <w:szCs w:val="21"/>
                <w:u w:val="single"/>
              </w:rPr>
              <w:t>155.98~565.41</w:t>
            </w:r>
          </w:p>
          <w:p w:rsidR="00C223F5" w:rsidRDefault="005860D5" w:rsidP="00A82F91">
            <w:pPr>
              <w:jc w:val="center"/>
              <w:rPr>
                <w:szCs w:val="21"/>
              </w:rPr>
            </w:pPr>
            <w:r>
              <w:rPr>
                <w:rFonts w:hint="eastAsia"/>
                <w:szCs w:val="21"/>
              </w:rPr>
              <w:t>358.75</w:t>
            </w:r>
          </w:p>
        </w:tc>
        <w:tc>
          <w:tcPr>
            <w:tcW w:w="1171" w:type="dxa"/>
            <w:tcMar>
              <w:left w:w="57" w:type="dxa"/>
              <w:right w:w="57" w:type="dxa"/>
            </w:tcMar>
            <w:vAlign w:val="center"/>
          </w:tcPr>
          <w:p w:rsidR="00C223F5" w:rsidRDefault="005860D5" w:rsidP="00A82F91">
            <w:pPr>
              <w:jc w:val="center"/>
              <w:rPr>
                <w:szCs w:val="21"/>
                <w:u w:val="single"/>
              </w:rPr>
            </w:pPr>
            <w:r>
              <w:rPr>
                <w:rFonts w:hint="eastAsia"/>
                <w:szCs w:val="21"/>
                <w:u w:val="single"/>
              </w:rPr>
              <w:t>4.40~4.86</w:t>
            </w:r>
          </w:p>
          <w:p w:rsidR="00C223F5" w:rsidRDefault="005860D5" w:rsidP="00A82F91">
            <w:pPr>
              <w:jc w:val="center"/>
              <w:rPr>
                <w:szCs w:val="21"/>
              </w:rPr>
            </w:pPr>
            <w:r>
              <w:rPr>
                <w:rFonts w:hint="eastAsia"/>
                <w:szCs w:val="21"/>
              </w:rPr>
              <w:t>4.77</w:t>
            </w:r>
          </w:p>
        </w:tc>
      </w:tr>
      <w:tr w:rsidR="00C223F5">
        <w:trPr>
          <w:trHeight w:val="379"/>
          <w:jc w:val="center"/>
        </w:trPr>
        <w:tc>
          <w:tcPr>
            <w:tcW w:w="824" w:type="dxa"/>
            <w:tcMar>
              <w:left w:w="57" w:type="dxa"/>
              <w:right w:w="57" w:type="dxa"/>
            </w:tcMar>
            <w:vAlign w:val="center"/>
          </w:tcPr>
          <w:p w:rsidR="00C223F5" w:rsidRDefault="005860D5" w:rsidP="00A82F91">
            <w:pPr>
              <w:jc w:val="center"/>
              <w:rPr>
                <w:szCs w:val="21"/>
                <w:vertAlign w:val="superscript"/>
              </w:rPr>
            </w:pPr>
            <w:r>
              <w:rPr>
                <w:szCs w:val="21"/>
              </w:rPr>
              <w:t>4</w:t>
            </w:r>
            <w:r>
              <w:rPr>
                <w:szCs w:val="21"/>
                <w:vertAlign w:val="superscript"/>
              </w:rPr>
              <w:t>-2</w:t>
            </w:r>
          </w:p>
        </w:tc>
        <w:tc>
          <w:tcPr>
            <w:tcW w:w="962" w:type="dxa"/>
            <w:tcMar>
              <w:left w:w="57" w:type="dxa"/>
              <w:right w:w="57" w:type="dxa"/>
            </w:tcMar>
            <w:vAlign w:val="center"/>
          </w:tcPr>
          <w:p w:rsidR="00C223F5" w:rsidRDefault="005860D5" w:rsidP="00A82F91">
            <w:pPr>
              <w:widowControl/>
              <w:jc w:val="center"/>
              <w:rPr>
                <w:kern w:val="0"/>
                <w:szCs w:val="21"/>
                <w:u w:val="single"/>
              </w:rPr>
            </w:pPr>
            <w:r>
              <w:rPr>
                <w:rFonts w:hint="eastAsia"/>
                <w:kern w:val="0"/>
                <w:szCs w:val="21"/>
                <w:u w:val="single"/>
              </w:rPr>
              <w:t>0.8~1.71</w:t>
            </w:r>
          </w:p>
          <w:p w:rsidR="00C223F5" w:rsidRDefault="005860D5" w:rsidP="00A82F91">
            <w:pPr>
              <w:widowControl/>
              <w:jc w:val="center"/>
              <w:rPr>
                <w:kern w:val="0"/>
                <w:szCs w:val="21"/>
              </w:rPr>
            </w:pPr>
            <w:r>
              <w:rPr>
                <w:rFonts w:hint="eastAsia"/>
                <w:kern w:val="0"/>
                <w:szCs w:val="21"/>
              </w:rPr>
              <w:t>1.03</w:t>
            </w:r>
          </w:p>
        </w:tc>
        <w:tc>
          <w:tcPr>
            <w:tcW w:w="1501" w:type="dxa"/>
            <w:tcMar>
              <w:left w:w="57" w:type="dxa"/>
              <w:right w:w="57" w:type="dxa"/>
            </w:tcMar>
            <w:vAlign w:val="center"/>
          </w:tcPr>
          <w:p w:rsidR="00C223F5" w:rsidRDefault="005860D5" w:rsidP="00A82F91">
            <w:pPr>
              <w:jc w:val="center"/>
              <w:rPr>
                <w:szCs w:val="21"/>
                <w:u w:val="single"/>
              </w:rPr>
            </w:pPr>
            <w:r>
              <w:rPr>
                <w:rFonts w:hint="eastAsia"/>
                <w:szCs w:val="21"/>
                <w:u w:val="single"/>
              </w:rPr>
              <w:t>567.91~1213.92</w:t>
            </w:r>
          </w:p>
          <w:p w:rsidR="00C223F5" w:rsidRDefault="005860D5" w:rsidP="00A82F91">
            <w:pPr>
              <w:jc w:val="center"/>
              <w:rPr>
                <w:szCs w:val="21"/>
              </w:rPr>
            </w:pPr>
            <w:r>
              <w:rPr>
                <w:rFonts w:hint="eastAsia"/>
                <w:szCs w:val="21"/>
              </w:rPr>
              <w:t>731.19</w:t>
            </w:r>
          </w:p>
        </w:tc>
        <w:tc>
          <w:tcPr>
            <w:tcW w:w="1297" w:type="dxa"/>
            <w:tcMar>
              <w:left w:w="57" w:type="dxa"/>
              <w:right w:w="57" w:type="dxa"/>
            </w:tcMar>
            <w:vAlign w:val="center"/>
          </w:tcPr>
          <w:p w:rsidR="00C223F5" w:rsidRDefault="005860D5" w:rsidP="00A82F91">
            <w:pPr>
              <w:jc w:val="center"/>
              <w:rPr>
                <w:szCs w:val="21"/>
                <w:u w:val="single"/>
              </w:rPr>
            </w:pPr>
            <w:r>
              <w:rPr>
                <w:rFonts w:hint="eastAsia"/>
                <w:szCs w:val="21"/>
                <w:u w:val="single"/>
              </w:rPr>
              <w:t>6.33~9.65</w:t>
            </w:r>
          </w:p>
          <w:p w:rsidR="00C223F5" w:rsidRDefault="005860D5" w:rsidP="00A82F91">
            <w:pPr>
              <w:jc w:val="center"/>
              <w:rPr>
                <w:szCs w:val="21"/>
              </w:rPr>
            </w:pPr>
            <w:r>
              <w:rPr>
                <w:rFonts w:hint="eastAsia"/>
                <w:szCs w:val="21"/>
              </w:rPr>
              <w:t>6.64</w:t>
            </w:r>
          </w:p>
        </w:tc>
        <w:tc>
          <w:tcPr>
            <w:tcW w:w="1247" w:type="dxa"/>
            <w:tcMar>
              <w:left w:w="57" w:type="dxa"/>
              <w:right w:w="57" w:type="dxa"/>
            </w:tcMar>
            <w:vAlign w:val="center"/>
          </w:tcPr>
          <w:p w:rsidR="00C223F5" w:rsidRDefault="005860D5" w:rsidP="00A82F91">
            <w:pPr>
              <w:jc w:val="center"/>
              <w:rPr>
                <w:szCs w:val="21"/>
                <w:u w:val="single"/>
              </w:rPr>
            </w:pPr>
            <w:r>
              <w:rPr>
                <w:rFonts w:hint="eastAsia"/>
                <w:szCs w:val="21"/>
                <w:u w:val="single"/>
              </w:rPr>
              <w:t>0.06~0.25</w:t>
            </w:r>
          </w:p>
          <w:p w:rsidR="00C223F5" w:rsidRDefault="005860D5" w:rsidP="00A82F91">
            <w:pPr>
              <w:jc w:val="center"/>
              <w:rPr>
                <w:szCs w:val="21"/>
              </w:rPr>
            </w:pPr>
            <w:r>
              <w:rPr>
                <w:rFonts w:hint="eastAsia"/>
                <w:szCs w:val="21"/>
              </w:rPr>
              <w:t>0.08</w:t>
            </w:r>
          </w:p>
        </w:tc>
        <w:tc>
          <w:tcPr>
            <w:tcW w:w="1495" w:type="dxa"/>
            <w:tcMar>
              <w:left w:w="57" w:type="dxa"/>
              <w:right w:w="57" w:type="dxa"/>
            </w:tcMar>
            <w:vAlign w:val="center"/>
          </w:tcPr>
          <w:p w:rsidR="00C223F5" w:rsidRDefault="005860D5" w:rsidP="00A82F91">
            <w:pPr>
              <w:jc w:val="center"/>
              <w:rPr>
                <w:szCs w:val="21"/>
                <w:u w:val="single"/>
              </w:rPr>
            </w:pPr>
            <w:r>
              <w:rPr>
                <w:rFonts w:hint="eastAsia"/>
                <w:szCs w:val="21"/>
                <w:u w:val="single"/>
              </w:rPr>
              <w:t>170.37~364.17</w:t>
            </w:r>
          </w:p>
          <w:p w:rsidR="00C223F5" w:rsidRDefault="005860D5" w:rsidP="00A82F91">
            <w:pPr>
              <w:jc w:val="center"/>
              <w:rPr>
                <w:szCs w:val="21"/>
              </w:rPr>
            </w:pPr>
            <w:r>
              <w:rPr>
                <w:rFonts w:hint="eastAsia"/>
                <w:szCs w:val="21"/>
              </w:rPr>
              <w:t>219.36</w:t>
            </w:r>
          </w:p>
        </w:tc>
        <w:tc>
          <w:tcPr>
            <w:tcW w:w="1171" w:type="dxa"/>
            <w:tcMar>
              <w:left w:w="57" w:type="dxa"/>
              <w:right w:w="57" w:type="dxa"/>
            </w:tcMar>
            <w:vAlign w:val="center"/>
          </w:tcPr>
          <w:p w:rsidR="00C223F5" w:rsidRDefault="005860D5" w:rsidP="00A82F91">
            <w:pPr>
              <w:jc w:val="center"/>
              <w:rPr>
                <w:szCs w:val="21"/>
                <w:u w:val="single"/>
              </w:rPr>
            </w:pPr>
            <w:r>
              <w:rPr>
                <w:rFonts w:hint="eastAsia"/>
                <w:szCs w:val="21"/>
                <w:u w:val="single"/>
              </w:rPr>
              <w:t>2.89~4.40</w:t>
            </w:r>
          </w:p>
          <w:p w:rsidR="00C223F5" w:rsidRDefault="005860D5" w:rsidP="00A82F91">
            <w:pPr>
              <w:jc w:val="center"/>
              <w:rPr>
                <w:szCs w:val="21"/>
              </w:rPr>
            </w:pPr>
            <w:r>
              <w:rPr>
                <w:rFonts w:hint="eastAsia"/>
                <w:szCs w:val="21"/>
              </w:rPr>
              <w:t>3.03</w:t>
            </w:r>
          </w:p>
        </w:tc>
      </w:tr>
      <w:tr w:rsidR="00A04F50">
        <w:trPr>
          <w:trHeight w:val="379"/>
          <w:jc w:val="center"/>
        </w:trPr>
        <w:tc>
          <w:tcPr>
            <w:tcW w:w="824" w:type="dxa"/>
            <w:tcMar>
              <w:left w:w="57" w:type="dxa"/>
              <w:right w:w="57" w:type="dxa"/>
            </w:tcMar>
            <w:vAlign w:val="center"/>
          </w:tcPr>
          <w:p w:rsidR="00A04F50" w:rsidRDefault="00A04F50" w:rsidP="00A82F91">
            <w:pPr>
              <w:jc w:val="center"/>
              <w:rPr>
                <w:szCs w:val="21"/>
              </w:rPr>
            </w:pPr>
            <w:r>
              <w:rPr>
                <w:rFonts w:hint="eastAsia"/>
                <w:color w:val="FF0000"/>
                <w:szCs w:val="21"/>
              </w:rPr>
              <w:t>一盘区</w:t>
            </w:r>
            <w:r>
              <w:rPr>
                <w:rFonts w:hint="eastAsia"/>
                <w:color w:val="FF0000"/>
                <w:szCs w:val="21"/>
              </w:rPr>
              <w:t>4</w:t>
            </w:r>
            <w:r w:rsidRPr="00A04F50">
              <w:rPr>
                <w:rFonts w:hint="eastAsia"/>
                <w:color w:val="FF0000"/>
                <w:szCs w:val="21"/>
                <w:vertAlign w:val="superscript"/>
              </w:rPr>
              <w:t>-1</w:t>
            </w:r>
            <w:r>
              <w:rPr>
                <w:rFonts w:hint="eastAsia"/>
                <w:color w:val="FF0000"/>
                <w:szCs w:val="21"/>
              </w:rPr>
              <w:t>煤</w:t>
            </w:r>
          </w:p>
        </w:tc>
        <w:tc>
          <w:tcPr>
            <w:tcW w:w="962" w:type="dxa"/>
            <w:tcMar>
              <w:left w:w="57" w:type="dxa"/>
              <w:right w:w="57" w:type="dxa"/>
            </w:tcMar>
            <w:vAlign w:val="center"/>
          </w:tcPr>
          <w:p w:rsidR="00A04F50" w:rsidRPr="0082539D" w:rsidRDefault="00685093" w:rsidP="00A82F91">
            <w:pPr>
              <w:widowControl/>
              <w:jc w:val="center"/>
              <w:rPr>
                <w:color w:val="FF0000"/>
                <w:kern w:val="0"/>
                <w:szCs w:val="21"/>
              </w:rPr>
            </w:pPr>
            <w:r w:rsidRPr="0082539D">
              <w:rPr>
                <w:rFonts w:hint="eastAsia"/>
                <w:color w:val="FF0000"/>
                <w:kern w:val="0"/>
                <w:szCs w:val="21"/>
              </w:rPr>
              <w:t>2.05-2.57</w:t>
            </w:r>
          </w:p>
        </w:tc>
        <w:tc>
          <w:tcPr>
            <w:tcW w:w="1501" w:type="dxa"/>
            <w:tcMar>
              <w:left w:w="57" w:type="dxa"/>
              <w:right w:w="57" w:type="dxa"/>
            </w:tcMar>
            <w:vAlign w:val="center"/>
          </w:tcPr>
          <w:p w:rsidR="00A04F50" w:rsidRPr="0082539D" w:rsidRDefault="0082539D" w:rsidP="00A82F91">
            <w:pPr>
              <w:jc w:val="center"/>
              <w:rPr>
                <w:color w:val="FF0000"/>
                <w:szCs w:val="21"/>
              </w:rPr>
            </w:pPr>
            <w:r w:rsidRPr="0082539D">
              <w:rPr>
                <w:rFonts w:hint="eastAsia"/>
                <w:color w:val="FF0000"/>
                <w:szCs w:val="21"/>
              </w:rPr>
              <w:t>1332.3-1670.25</w:t>
            </w:r>
          </w:p>
        </w:tc>
        <w:tc>
          <w:tcPr>
            <w:tcW w:w="1297" w:type="dxa"/>
            <w:tcMar>
              <w:left w:w="57" w:type="dxa"/>
              <w:right w:w="57" w:type="dxa"/>
            </w:tcMar>
            <w:vAlign w:val="center"/>
          </w:tcPr>
          <w:p w:rsidR="00A04F50" w:rsidRPr="0082539D" w:rsidRDefault="0082539D" w:rsidP="0082539D">
            <w:pPr>
              <w:jc w:val="center"/>
              <w:rPr>
                <w:color w:val="FF0000"/>
                <w:szCs w:val="21"/>
              </w:rPr>
            </w:pPr>
            <w:r w:rsidRPr="0082539D">
              <w:rPr>
                <w:rFonts w:hint="eastAsia"/>
                <w:color w:val="FF0000"/>
                <w:szCs w:val="21"/>
              </w:rPr>
              <w:t>9.55-10.10</w:t>
            </w:r>
          </w:p>
        </w:tc>
        <w:tc>
          <w:tcPr>
            <w:tcW w:w="1247" w:type="dxa"/>
            <w:tcMar>
              <w:left w:w="57" w:type="dxa"/>
              <w:right w:w="57" w:type="dxa"/>
            </w:tcMar>
            <w:vAlign w:val="center"/>
          </w:tcPr>
          <w:p w:rsidR="00A04F50" w:rsidRPr="0082539D" w:rsidRDefault="0082539D" w:rsidP="00A82F91">
            <w:pPr>
              <w:jc w:val="center"/>
              <w:rPr>
                <w:color w:val="FF0000"/>
                <w:szCs w:val="21"/>
              </w:rPr>
            </w:pPr>
            <w:r w:rsidRPr="0082539D">
              <w:rPr>
                <w:rFonts w:hint="eastAsia"/>
                <w:color w:val="FF0000"/>
                <w:szCs w:val="21"/>
              </w:rPr>
              <w:t>0.10-0.21</w:t>
            </w:r>
          </w:p>
        </w:tc>
        <w:tc>
          <w:tcPr>
            <w:tcW w:w="1495" w:type="dxa"/>
            <w:tcMar>
              <w:left w:w="57" w:type="dxa"/>
              <w:right w:w="57" w:type="dxa"/>
            </w:tcMar>
            <w:vAlign w:val="center"/>
          </w:tcPr>
          <w:p w:rsidR="00A04F50" w:rsidRPr="0082539D" w:rsidRDefault="0082539D" w:rsidP="00A82F91">
            <w:pPr>
              <w:jc w:val="center"/>
              <w:rPr>
                <w:color w:val="FF0000"/>
                <w:szCs w:val="21"/>
              </w:rPr>
            </w:pPr>
            <w:r w:rsidRPr="0082539D">
              <w:rPr>
                <w:rFonts w:hint="eastAsia"/>
                <w:color w:val="FF0000"/>
                <w:szCs w:val="21"/>
              </w:rPr>
              <w:t>399.69-501.07</w:t>
            </w:r>
          </w:p>
        </w:tc>
        <w:tc>
          <w:tcPr>
            <w:tcW w:w="1171" w:type="dxa"/>
            <w:tcMar>
              <w:left w:w="57" w:type="dxa"/>
              <w:right w:w="57" w:type="dxa"/>
            </w:tcMar>
            <w:vAlign w:val="center"/>
          </w:tcPr>
          <w:p w:rsidR="00A04F50" w:rsidRPr="0082539D" w:rsidRDefault="0082539D" w:rsidP="0082539D">
            <w:pPr>
              <w:jc w:val="center"/>
              <w:rPr>
                <w:color w:val="FF0000"/>
                <w:szCs w:val="21"/>
              </w:rPr>
            </w:pPr>
            <w:r w:rsidRPr="0082539D">
              <w:rPr>
                <w:rFonts w:hint="eastAsia"/>
                <w:color w:val="FF0000"/>
                <w:szCs w:val="21"/>
              </w:rPr>
              <w:t>4.36-4.79</w:t>
            </w:r>
          </w:p>
        </w:tc>
      </w:tr>
      <w:tr w:rsidR="00A04F50">
        <w:trPr>
          <w:trHeight w:val="379"/>
          <w:jc w:val="center"/>
        </w:trPr>
        <w:tc>
          <w:tcPr>
            <w:tcW w:w="1786" w:type="dxa"/>
            <w:gridSpan w:val="2"/>
            <w:tcMar>
              <w:left w:w="57" w:type="dxa"/>
              <w:right w:w="57" w:type="dxa"/>
            </w:tcMar>
            <w:vAlign w:val="center"/>
          </w:tcPr>
          <w:p w:rsidR="00A04F50" w:rsidRDefault="00A04F50" w:rsidP="004835BD">
            <w:pPr>
              <w:spacing w:line="240" w:lineRule="exact"/>
              <w:jc w:val="center"/>
              <w:rPr>
                <w:color w:val="FF0000"/>
                <w:szCs w:val="21"/>
              </w:rPr>
            </w:pPr>
            <w:r>
              <w:rPr>
                <w:rFonts w:hint="eastAsia"/>
                <w:szCs w:val="21"/>
              </w:rPr>
              <w:t>全井田</w:t>
            </w:r>
          </w:p>
        </w:tc>
        <w:tc>
          <w:tcPr>
            <w:tcW w:w="1501" w:type="dxa"/>
            <w:tcMar>
              <w:left w:w="57" w:type="dxa"/>
              <w:right w:w="57" w:type="dxa"/>
            </w:tcMar>
            <w:vAlign w:val="center"/>
          </w:tcPr>
          <w:p w:rsidR="00A04F50" w:rsidRDefault="00A04F50" w:rsidP="004835BD">
            <w:pPr>
              <w:adjustRightInd w:val="0"/>
              <w:snapToGrid w:val="0"/>
              <w:spacing w:line="240" w:lineRule="exact"/>
              <w:jc w:val="center"/>
              <w:rPr>
                <w:szCs w:val="21"/>
              </w:rPr>
            </w:pPr>
            <w:r>
              <w:rPr>
                <w:rFonts w:hint="eastAsia"/>
                <w:szCs w:val="21"/>
              </w:rPr>
              <w:t>2550.85</w:t>
            </w:r>
          </w:p>
        </w:tc>
        <w:tc>
          <w:tcPr>
            <w:tcW w:w="1297" w:type="dxa"/>
            <w:tcMar>
              <w:left w:w="57" w:type="dxa"/>
              <w:right w:w="57" w:type="dxa"/>
            </w:tcMar>
            <w:vAlign w:val="center"/>
          </w:tcPr>
          <w:p w:rsidR="00A04F50" w:rsidRDefault="00A04F50" w:rsidP="004835BD">
            <w:pPr>
              <w:jc w:val="center"/>
              <w:rPr>
                <w:szCs w:val="21"/>
              </w:rPr>
            </w:pPr>
            <w:r>
              <w:rPr>
                <w:rFonts w:hint="eastAsia"/>
                <w:szCs w:val="21"/>
              </w:rPr>
              <w:t>9.97</w:t>
            </w:r>
          </w:p>
        </w:tc>
        <w:tc>
          <w:tcPr>
            <w:tcW w:w="1247" w:type="dxa"/>
            <w:tcMar>
              <w:left w:w="57" w:type="dxa"/>
              <w:right w:w="57" w:type="dxa"/>
            </w:tcMar>
            <w:vAlign w:val="center"/>
          </w:tcPr>
          <w:p w:rsidR="00A04F50" w:rsidRDefault="00A04F50" w:rsidP="004835BD">
            <w:pPr>
              <w:jc w:val="center"/>
              <w:rPr>
                <w:szCs w:val="21"/>
              </w:rPr>
            </w:pPr>
            <w:r>
              <w:rPr>
                <w:rFonts w:hint="eastAsia"/>
                <w:szCs w:val="21"/>
              </w:rPr>
              <w:t>0.12</w:t>
            </w:r>
          </w:p>
        </w:tc>
        <w:tc>
          <w:tcPr>
            <w:tcW w:w="1495" w:type="dxa"/>
            <w:tcMar>
              <w:left w:w="57" w:type="dxa"/>
              <w:right w:w="57" w:type="dxa"/>
            </w:tcMar>
            <w:vAlign w:val="center"/>
          </w:tcPr>
          <w:p w:rsidR="00A04F50" w:rsidRDefault="00A04F50" w:rsidP="004835BD">
            <w:pPr>
              <w:jc w:val="center"/>
              <w:rPr>
                <w:szCs w:val="21"/>
              </w:rPr>
            </w:pPr>
            <w:r>
              <w:rPr>
                <w:rFonts w:hint="eastAsia"/>
                <w:szCs w:val="21"/>
              </w:rPr>
              <w:t>271.9</w:t>
            </w:r>
          </w:p>
        </w:tc>
        <w:tc>
          <w:tcPr>
            <w:tcW w:w="1171" w:type="dxa"/>
            <w:tcMar>
              <w:left w:w="57" w:type="dxa"/>
              <w:right w:w="57" w:type="dxa"/>
            </w:tcMar>
            <w:vAlign w:val="center"/>
          </w:tcPr>
          <w:p w:rsidR="00A04F50" w:rsidRDefault="00A04F50" w:rsidP="004835BD">
            <w:pPr>
              <w:jc w:val="center"/>
              <w:rPr>
                <w:szCs w:val="21"/>
              </w:rPr>
            </w:pPr>
            <w:r>
              <w:rPr>
                <w:rFonts w:hint="eastAsia"/>
                <w:szCs w:val="21"/>
              </w:rPr>
              <w:t>4.79</w:t>
            </w:r>
          </w:p>
        </w:tc>
      </w:tr>
    </w:tbl>
    <w:p w:rsidR="00C223F5" w:rsidRDefault="005860D5" w:rsidP="00A82F91">
      <w:pPr>
        <w:spacing w:line="360" w:lineRule="auto"/>
        <w:ind w:firstLineChars="200" w:firstLine="480"/>
        <w:rPr>
          <w:sz w:val="24"/>
        </w:rPr>
      </w:pPr>
      <w:r>
        <w:rPr>
          <w:sz w:val="24"/>
        </w:rPr>
        <w:t>由表</w:t>
      </w:r>
      <w:r>
        <w:rPr>
          <w:rFonts w:hint="eastAsia"/>
          <w:sz w:val="24"/>
        </w:rPr>
        <w:t>4.2.1-3</w:t>
      </w:r>
      <w:r>
        <w:rPr>
          <w:rFonts w:hint="eastAsia"/>
          <w:sz w:val="24"/>
        </w:rPr>
        <w:t>和图</w:t>
      </w:r>
      <w:r>
        <w:rPr>
          <w:rFonts w:hint="eastAsia"/>
          <w:sz w:val="24"/>
        </w:rPr>
        <w:t>4.2.1-</w:t>
      </w:r>
      <w:r w:rsidR="0069526E">
        <w:rPr>
          <w:rFonts w:hint="eastAsia"/>
          <w:sz w:val="24"/>
        </w:rPr>
        <w:t>4</w:t>
      </w:r>
      <w:r>
        <w:rPr>
          <w:sz w:val="24"/>
        </w:rPr>
        <w:t>可</w:t>
      </w:r>
      <w:r>
        <w:rPr>
          <w:rFonts w:hint="eastAsia"/>
          <w:sz w:val="24"/>
        </w:rPr>
        <w:t>知</w:t>
      </w:r>
      <w:r>
        <w:rPr>
          <w:sz w:val="24"/>
        </w:rPr>
        <w:t>：全井田开采后地表最大下沉值出现在井田</w:t>
      </w:r>
      <w:r>
        <w:rPr>
          <w:rFonts w:hint="eastAsia"/>
          <w:sz w:val="24"/>
        </w:rPr>
        <w:t>中西部两层煤重叠开采区</w:t>
      </w:r>
      <w:r>
        <w:rPr>
          <w:sz w:val="24"/>
        </w:rPr>
        <w:t>，沉陷值约为</w:t>
      </w:r>
      <w:r>
        <w:rPr>
          <w:rFonts w:hint="eastAsia"/>
          <w:sz w:val="24"/>
        </w:rPr>
        <w:t>2.55</w:t>
      </w:r>
      <w:r>
        <w:rPr>
          <w:sz w:val="24"/>
        </w:rPr>
        <w:t>m</w:t>
      </w:r>
      <w:r>
        <w:rPr>
          <w:sz w:val="24"/>
        </w:rPr>
        <w:t>，最大倾斜值为</w:t>
      </w:r>
      <w:r>
        <w:rPr>
          <w:rFonts w:hint="eastAsia"/>
          <w:sz w:val="24"/>
        </w:rPr>
        <w:t>9.97</w:t>
      </w:r>
      <w:r>
        <w:rPr>
          <w:sz w:val="24"/>
        </w:rPr>
        <w:t>mm/m</w:t>
      </w:r>
      <w:r>
        <w:rPr>
          <w:sz w:val="24"/>
        </w:rPr>
        <w:t>，最大曲率值为</w:t>
      </w:r>
      <w:r>
        <w:rPr>
          <w:rFonts w:hint="eastAsia"/>
          <w:sz w:val="24"/>
        </w:rPr>
        <w:t>0.12</w:t>
      </w:r>
      <w:r>
        <w:rPr>
          <w:sz w:val="24"/>
        </w:rPr>
        <w:t>×10</w:t>
      </w:r>
      <w:r>
        <w:rPr>
          <w:sz w:val="24"/>
          <w:vertAlign w:val="superscript"/>
        </w:rPr>
        <w:t>-3</w:t>
      </w:r>
      <w:r>
        <w:rPr>
          <w:sz w:val="24"/>
        </w:rPr>
        <w:t>/m</w:t>
      </w:r>
      <w:r>
        <w:rPr>
          <w:sz w:val="24"/>
        </w:rPr>
        <w:t>，最大水平移动值为</w:t>
      </w:r>
      <w:r>
        <w:rPr>
          <w:rFonts w:hint="eastAsia"/>
          <w:sz w:val="24"/>
        </w:rPr>
        <w:t>271.9</w:t>
      </w:r>
      <w:r>
        <w:rPr>
          <w:sz w:val="24"/>
        </w:rPr>
        <w:t>mm</w:t>
      </w:r>
      <w:r>
        <w:rPr>
          <w:sz w:val="24"/>
        </w:rPr>
        <w:t>，最大水平变形值为</w:t>
      </w:r>
      <w:r>
        <w:rPr>
          <w:rFonts w:hint="eastAsia"/>
          <w:sz w:val="24"/>
        </w:rPr>
        <w:t>4.79</w:t>
      </w:r>
      <w:r>
        <w:rPr>
          <w:sz w:val="24"/>
        </w:rPr>
        <w:t>mm/m</w:t>
      </w:r>
      <w:r>
        <w:rPr>
          <w:sz w:val="24"/>
        </w:rPr>
        <w:t>。</w:t>
      </w:r>
      <w:r>
        <w:rPr>
          <w:rFonts w:hint="eastAsia"/>
          <w:sz w:val="24"/>
        </w:rPr>
        <w:t>全井田开采结束后</w:t>
      </w:r>
      <w:r>
        <w:rPr>
          <w:sz w:val="24"/>
        </w:rPr>
        <w:t>地表沉陷面积</w:t>
      </w:r>
      <w:r>
        <w:rPr>
          <w:rFonts w:hint="eastAsia"/>
          <w:sz w:val="24"/>
        </w:rPr>
        <w:t>39.45</w:t>
      </w:r>
      <w:r>
        <w:rPr>
          <w:sz w:val="24"/>
        </w:rPr>
        <w:t>km</w:t>
      </w:r>
      <w:r>
        <w:rPr>
          <w:sz w:val="24"/>
          <w:vertAlign w:val="superscript"/>
        </w:rPr>
        <w:t>2</w:t>
      </w:r>
      <w:r>
        <w:rPr>
          <w:sz w:val="24"/>
        </w:rPr>
        <w:t>。根据井田的地质特征及已确定的参数，本矿井地表沉陷影响范围最大一般在</w:t>
      </w:r>
      <w:r>
        <w:rPr>
          <w:rFonts w:hint="eastAsia"/>
          <w:sz w:val="24"/>
        </w:rPr>
        <w:t>开采区</w:t>
      </w:r>
      <w:r>
        <w:rPr>
          <w:sz w:val="24"/>
        </w:rPr>
        <w:t>边界外侧</w:t>
      </w:r>
      <w:r>
        <w:rPr>
          <w:rFonts w:hint="eastAsia"/>
          <w:sz w:val="24"/>
        </w:rPr>
        <w:t>38.16~77.73</w:t>
      </w:r>
      <w:r>
        <w:rPr>
          <w:sz w:val="24"/>
        </w:rPr>
        <w:t>m</w:t>
      </w:r>
      <w:r>
        <w:rPr>
          <w:sz w:val="24"/>
        </w:rPr>
        <w:t>范围内。</w:t>
      </w:r>
    </w:p>
    <w:p w:rsidR="00C223F5" w:rsidRDefault="005860D5" w:rsidP="00A82F91">
      <w:pPr>
        <w:adjustRightInd w:val="0"/>
        <w:snapToGrid w:val="0"/>
        <w:spacing w:line="360" w:lineRule="auto"/>
        <w:ind w:firstLineChars="200" w:firstLine="480"/>
        <w:rPr>
          <w:sz w:val="24"/>
          <w:szCs w:val="26"/>
        </w:rPr>
      </w:pPr>
      <w:r>
        <w:rPr>
          <w:sz w:val="24"/>
          <w:szCs w:val="26"/>
        </w:rPr>
        <w:t>（</w:t>
      </w:r>
      <w:r>
        <w:rPr>
          <w:sz w:val="24"/>
          <w:szCs w:val="26"/>
        </w:rPr>
        <w:t>2</w:t>
      </w:r>
      <w:r>
        <w:rPr>
          <w:sz w:val="24"/>
          <w:szCs w:val="26"/>
        </w:rPr>
        <w:t>）地表最大下沉速度</w:t>
      </w:r>
    </w:p>
    <w:p w:rsidR="00C223F5" w:rsidRDefault="005860D5" w:rsidP="00A82F91">
      <w:pPr>
        <w:adjustRightInd w:val="0"/>
        <w:snapToGrid w:val="0"/>
        <w:spacing w:line="360" w:lineRule="auto"/>
        <w:ind w:firstLineChars="200" w:firstLine="480"/>
        <w:jc w:val="center"/>
        <w:rPr>
          <w:sz w:val="24"/>
          <w:szCs w:val="26"/>
        </w:rPr>
      </w:pPr>
      <w:r>
        <w:rPr>
          <w:noProof/>
          <w:sz w:val="24"/>
          <w:szCs w:val="26"/>
        </w:rPr>
        <w:drawing>
          <wp:inline distT="0" distB="0" distL="0" distR="0">
            <wp:extent cx="981075" cy="390525"/>
            <wp:effectExtent l="0" t="0" r="0" b="0"/>
            <wp:docPr id="16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7"/>
                    <pic:cNvPicPr>
                      <a:picLocks noChangeAspect="1" noChangeArrowheads="1"/>
                    </pic:cNvPicPr>
                  </pic:nvPicPr>
                  <pic:blipFill>
                    <a:blip r:embed="rId104" cstate="print"/>
                    <a:srcRect/>
                    <a:stretch>
                      <a:fillRect/>
                    </a:stretch>
                  </pic:blipFill>
                  <pic:spPr>
                    <a:xfrm>
                      <a:off x="0" y="0"/>
                      <a:ext cx="981075" cy="390525"/>
                    </a:xfrm>
                    <a:prstGeom prst="rect">
                      <a:avLst/>
                    </a:prstGeom>
                    <a:noFill/>
                    <a:ln w="9525">
                      <a:noFill/>
                      <a:miter lim="800000"/>
                      <a:headEnd/>
                      <a:tailEnd/>
                    </a:ln>
                  </pic:spPr>
                </pic:pic>
              </a:graphicData>
            </a:graphic>
          </wp:inline>
        </w:drawing>
      </w:r>
    </w:p>
    <w:p w:rsidR="00C223F5" w:rsidRDefault="005860D5" w:rsidP="00A82F91">
      <w:pPr>
        <w:adjustRightInd w:val="0"/>
        <w:snapToGrid w:val="0"/>
        <w:spacing w:line="360" w:lineRule="auto"/>
        <w:ind w:firstLineChars="200" w:firstLine="480"/>
        <w:rPr>
          <w:sz w:val="24"/>
        </w:rPr>
      </w:pPr>
      <w:r>
        <w:rPr>
          <w:sz w:val="24"/>
        </w:rPr>
        <w:t>式中：</w:t>
      </w:r>
      <w:r>
        <w:rPr>
          <w:sz w:val="24"/>
        </w:rPr>
        <w:t>W</w:t>
      </w:r>
      <w:r>
        <w:rPr>
          <w:sz w:val="24"/>
          <w:vertAlign w:val="subscript"/>
        </w:rPr>
        <w:t>CM</w:t>
      </w:r>
      <w:r>
        <w:rPr>
          <w:sz w:val="24"/>
        </w:rPr>
        <w:t>——</w:t>
      </w:r>
      <w:r>
        <w:rPr>
          <w:sz w:val="24"/>
        </w:rPr>
        <w:t>最大下沉值（</w:t>
      </w:r>
      <w:r>
        <w:rPr>
          <w:sz w:val="24"/>
        </w:rPr>
        <w:t>mm</w:t>
      </w:r>
      <w:r>
        <w:rPr>
          <w:sz w:val="24"/>
        </w:rPr>
        <w:t>）（</w:t>
      </w:r>
      <w:r>
        <w:rPr>
          <w:rFonts w:hint="eastAsia"/>
          <w:sz w:val="24"/>
        </w:rPr>
        <w:t>2550.85</w:t>
      </w:r>
      <w:r>
        <w:rPr>
          <w:sz w:val="24"/>
        </w:rPr>
        <w:t>）；</w:t>
      </w:r>
      <w:r>
        <w:rPr>
          <w:sz w:val="24"/>
        </w:rPr>
        <w:t xml:space="preserve"> K——</w:t>
      </w:r>
      <w:r>
        <w:rPr>
          <w:sz w:val="24"/>
        </w:rPr>
        <w:t>系数（</w:t>
      </w:r>
      <w:r>
        <w:rPr>
          <w:sz w:val="24"/>
        </w:rPr>
        <w:t>1.8</w:t>
      </w:r>
      <w:r>
        <w:rPr>
          <w:sz w:val="24"/>
        </w:rPr>
        <w:t>）；</w:t>
      </w:r>
    </w:p>
    <w:p w:rsidR="00C223F5" w:rsidRDefault="005860D5" w:rsidP="00A82F91">
      <w:pPr>
        <w:adjustRightInd w:val="0"/>
        <w:snapToGrid w:val="0"/>
        <w:spacing w:line="360" w:lineRule="auto"/>
        <w:ind w:firstLineChars="550" w:firstLine="1320"/>
        <w:rPr>
          <w:sz w:val="24"/>
        </w:rPr>
      </w:pPr>
      <w:r>
        <w:rPr>
          <w:sz w:val="24"/>
        </w:rPr>
        <w:t>C——</w:t>
      </w:r>
      <w:r>
        <w:rPr>
          <w:sz w:val="24"/>
        </w:rPr>
        <w:t>工作面推进速度（</w:t>
      </w:r>
      <w:r>
        <w:rPr>
          <w:sz w:val="24"/>
        </w:rPr>
        <w:t>m/d</w:t>
      </w:r>
      <w:r>
        <w:rPr>
          <w:sz w:val="24"/>
        </w:rPr>
        <w:t>）（</w:t>
      </w:r>
      <w:r>
        <w:rPr>
          <w:rFonts w:hint="eastAsia"/>
          <w:sz w:val="24"/>
        </w:rPr>
        <w:t>3.6</w:t>
      </w:r>
      <w:r>
        <w:rPr>
          <w:sz w:val="24"/>
        </w:rPr>
        <w:t>）；</w:t>
      </w:r>
      <w:r>
        <w:rPr>
          <w:sz w:val="24"/>
        </w:rPr>
        <w:t>H——</w:t>
      </w:r>
      <w:r>
        <w:rPr>
          <w:sz w:val="24"/>
        </w:rPr>
        <w:t>平均开采深度（</w:t>
      </w:r>
      <w:r>
        <w:rPr>
          <w:sz w:val="24"/>
        </w:rPr>
        <w:t>m</w:t>
      </w:r>
      <w:r>
        <w:rPr>
          <w:sz w:val="24"/>
        </w:rPr>
        <w:t>）（</w:t>
      </w:r>
      <w:r>
        <w:rPr>
          <w:rFonts w:hint="eastAsia"/>
          <w:sz w:val="24"/>
        </w:rPr>
        <w:t>358</w:t>
      </w:r>
      <w:r>
        <w:rPr>
          <w:sz w:val="24"/>
        </w:rPr>
        <w:t>）。</w:t>
      </w:r>
    </w:p>
    <w:p w:rsidR="00C223F5" w:rsidRDefault="005860D5" w:rsidP="00A82F91">
      <w:pPr>
        <w:adjustRightInd w:val="0"/>
        <w:snapToGrid w:val="0"/>
        <w:spacing w:line="360" w:lineRule="auto"/>
        <w:ind w:firstLineChars="200" w:firstLine="480"/>
        <w:rPr>
          <w:sz w:val="24"/>
        </w:rPr>
      </w:pPr>
      <w:r>
        <w:rPr>
          <w:sz w:val="24"/>
        </w:rPr>
        <w:t>经计算，</w:t>
      </w:r>
      <w:r>
        <w:rPr>
          <w:rFonts w:hint="eastAsia"/>
          <w:sz w:val="24"/>
        </w:rPr>
        <w:t>全井田各煤层开采后，</w:t>
      </w:r>
      <w:r>
        <w:rPr>
          <w:sz w:val="24"/>
        </w:rPr>
        <w:t>地表下沉最大速度为</w:t>
      </w:r>
      <w:r>
        <w:rPr>
          <w:rFonts w:hint="eastAsia"/>
          <w:sz w:val="24"/>
        </w:rPr>
        <w:t>46.17</w:t>
      </w:r>
      <w:r>
        <w:rPr>
          <w:sz w:val="24"/>
        </w:rPr>
        <w:t>mm/d</w:t>
      </w:r>
      <w:r>
        <w:rPr>
          <w:sz w:val="24"/>
        </w:rPr>
        <w:t>。</w:t>
      </w:r>
    </w:p>
    <w:p w:rsidR="00C223F5" w:rsidRDefault="005860D5" w:rsidP="00A82F91">
      <w:pPr>
        <w:spacing w:line="360" w:lineRule="auto"/>
        <w:ind w:firstLineChars="200" w:firstLine="480"/>
        <w:rPr>
          <w:sz w:val="24"/>
        </w:rPr>
      </w:pPr>
      <w:bookmarkStart w:id="376" w:name="_Toc477197246"/>
      <w:r>
        <w:rPr>
          <w:sz w:val="24"/>
        </w:rPr>
        <w:t>（</w:t>
      </w:r>
      <w:r>
        <w:rPr>
          <w:sz w:val="24"/>
        </w:rPr>
        <w:t>3</w:t>
      </w:r>
      <w:r>
        <w:rPr>
          <w:sz w:val="24"/>
        </w:rPr>
        <w:t>）地表移动变形时间</w:t>
      </w:r>
      <w:bookmarkEnd w:id="376"/>
    </w:p>
    <w:p w:rsidR="00C223F5" w:rsidRDefault="005860D5" w:rsidP="00A82F91">
      <w:pPr>
        <w:spacing w:line="360" w:lineRule="auto"/>
        <w:ind w:firstLineChars="200" w:firstLine="480"/>
        <w:rPr>
          <w:sz w:val="24"/>
        </w:rPr>
      </w:pPr>
      <w:r>
        <w:rPr>
          <w:sz w:val="24"/>
        </w:rPr>
        <w:t>地表上受开采影响的地点，从下沉开始至结束（重新稳定）有一个时间过程，这一过程与工作面开采速度，回采深度及开采厚度等一系列因素有关。《三下采煤规程》推荐在无资料的情况下采用的估算公式为：</w:t>
      </w:r>
      <w:r>
        <w:rPr>
          <w:sz w:val="24"/>
        </w:rPr>
        <w:t>T=2.5×H</w:t>
      </w:r>
      <w:r>
        <w:rPr>
          <w:sz w:val="24"/>
          <w:vertAlign w:val="subscript"/>
        </w:rPr>
        <w:t>0</w:t>
      </w:r>
      <w:r>
        <w:rPr>
          <w:sz w:val="24"/>
        </w:rPr>
        <w:t>（式中：</w:t>
      </w:r>
      <w:r>
        <w:rPr>
          <w:sz w:val="24"/>
        </w:rPr>
        <w:t>T</w:t>
      </w:r>
      <w:r>
        <w:rPr>
          <w:sz w:val="24"/>
        </w:rPr>
        <w:t>为地表移动持续时间（</w:t>
      </w:r>
      <w:r>
        <w:rPr>
          <w:sz w:val="24"/>
        </w:rPr>
        <w:t>d</w:t>
      </w:r>
      <w:r>
        <w:rPr>
          <w:sz w:val="24"/>
        </w:rPr>
        <w:t>），</w:t>
      </w:r>
      <w:r>
        <w:rPr>
          <w:sz w:val="24"/>
        </w:rPr>
        <w:t>H</w:t>
      </w:r>
      <w:r>
        <w:rPr>
          <w:sz w:val="24"/>
          <w:vertAlign w:val="subscript"/>
        </w:rPr>
        <w:t>0</w:t>
      </w:r>
      <w:r>
        <w:rPr>
          <w:sz w:val="24"/>
        </w:rPr>
        <w:t>为煤层采深），通过综合计算求得煤层开采后地表移动延续的时间一般约</w:t>
      </w:r>
      <w:r>
        <w:rPr>
          <w:rFonts w:hint="eastAsia"/>
          <w:sz w:val="24"/>
        </w:rPr>
        <w:t>218~1472d</w:t>
      </w:r>
      <w:r>
        <w:rPr>
          <w:sz w:val="24"/>
        </w:rPr>
        <w:t>。</w:t>
      </w:r>
    </w:p>
    <w:p w:rsidR="00C223F5" w:rsidRDefault="005860D5" w:rsidP="00A82F91">
      <w:pPr>
        <w:spacing w:line="360" w:lineRule="auto"/>
        <w:ind w:firstLineChars="200" w:firstLine="482"/>
        <w:rPr>
          <w:b/>
          <w:sz w:val="24"/>
        </w:rPr>
      </w:pPr>
      <w:bookmarkStart w:id="377" w:name="_Toc216254979"/>
      <w:r>
        <w:rPr>
          <w:rFonts w:hint="eastAsia"/>
          <w:b/>
          <w:sz w:val="24"/>
        </w:rPr>
        <w:t>（六）</w:t>
      </w:r>
      <w:r>
        <w:rPr>
          <w:b/>
          <w:sz w:val="24"/>
        </w:rPr>
        <w:t>地表沉陷对环境影响分析评价</w:t>
      </w:r>
      <w:bookmarkEnd w:id="377"/>
    </w:p>
    <w:p w:rsidR="00C223F5" w:rsidRDefault="005860D5" w:rsidP="00A82F91">
      <w:pPr>
        <w:pStyle w:val="aff1"/>
        <w:tabs>
          <w:tab w:val="clear" w:pos="5781"/>
        </w:tabs>
        <w:spacing w:line="360" w:lineRule="auto"/>
        <w:ind w:left="0" w:firstLineChars="200" w:firstLine="480"/>
        <w:rPr>
          <w:bCs/>
          <w:szCs w:val="24"/>
        </w:rPr>
      </w:pPr>
      <w:r>
        <w:rPr>
          <w:bCs/>
          <w:szCs w:val="24"/>
        </w:rPr>
        <w:t>（</w:t>
      </w:r>
      <w:r>
        <w:rPr>
          <w:bCs/>
          <w:szCs w:val="24"/>
        </w:rPr>
        <w:t>1</w:t>
      </w:r>
      <w:r>
        <w:rPr>
          <w:bCs/>
          <w:szCs w:val="24"/>
        </w:rPr>
        <w:t>）采煤对</w:t>
      </w:r>
      <w:r>
        <w:rPr>
          <w:rFonts w:hint="eastAsia"/>
          <w:bCs/>
          <w:szCs w:val="24"/>
        </w:rPr>
        <w:t>地形、地貌</w:t>
      </w:r>
      <w:r>
        <w:rPr>
          <w:bCs/>
          <w:szCs w:val="24"/>
        </w:rPr>
        <w:t>的影响分析</w:t>
      </w:r>
    </w:p>
    <w:p w:rsidR="00C76C6F" w:rsidRDefault="005860D5" w:rsidP="00A82F91">
      <w:pPr>
        <w:adjustRightInd w:val="0"/>
        <w:snapToGrid w:val="0"/>
        <w:spacing w:line="360" w:lineRule="auto"/>
        <w:ind w:firstLineChars="200" w:firstLine="480"/>
        <w:rPr>
          <w:sz w:val="24"/>
        </w:rPr>
      </w:pPr>
      <w:r>
        <w:rPr>
          <w:rFonts w:hAnsi="宋体"/>
          <w:sz w:val="24"/>
          <w:lang w:val="zh-CN"/>
        </w:rPr>
        <w:t>井田</w:t>
      </w:r>
      <w:r>
        <w:rPr>
          <w:rFonts w:hAnsi="宋体"/>
          <w:sz w:val="24"/>
        </w:rPr>
        <w:t>位于</w:t>
      </w:r>
      <w:r>
        <w:rPr>
          <w:rFonts w:hAnsi="宋体"/>
          <w:bCs/>
          <w:sz w:val="24"/>
        </w:rPr>
        <w:t>陕北黄土高原中部，属黄土高原地貌景观</w:t>
      </w:r>
      <w:r>
        <w:rPr>
          <w:rFonts w:hAnsi="宋体" w:hint="eastAsia"/>
          <w:bCs/>
          <w:sz w:val="24"/>
        </w:rPr>
        <w:t>，</w:t>
      </w:r>
      <w:r>
        <w:rPr>
          <w:rFonts w:hAnsi="宋体"/>
          <w:bCs/>
          <w:sz w:val="24"/>
        </w:rPr>
        <w:t>区内沟谷纵横，</w:t>
      </w:r>
      <w:r>
        <w:rPr>
          <w:sz w:val="24"/>
        </w:rPr>
        <w:t>地表基本被第四系所覆盖。由地表沉陷预测结果可知，煤层开采后，地表出现不同程度的下沉，最大下沉值约为</w:t>
      </w:r>
      <w:r>
        <w:rPr>
          <w:rFonts w:hint="eastAsia"/>
          <w:sz w:val="24"/>
        </w:rPr>
        <w:t>2.55</w:t>
      </w:r>
      <w:r>
        <w:rPr>
          <w:sz w:val="24"/>
        </w:rPr>
        <w:t>m</w:t>
      </w:r>
      <w:r>
        <w:rPr>
          <w:sz w:val="24"/>
        </w:rPr>
        <w:t>，地表将出现与采空区位置基本相同而略大于采区</w:t>
      </w:r>
      <w:r>
        <w:rPr>
          <w:sz w:val="24"/>
        </w:rPr>
        <w:lastRenderedPageBreak/>
        <w:t>面积的沉陷区</w:t>
      </w:r>
      <w:r w:rsidR="00C76C6F">
        <w:rPr>
          <w:rFonts w:hint="eastAsia"/>
          <w:sz w:val="24"/>
        </w:rPr>
        <w:t>；</w:t>
      </w:r>
      <w:r w:rsidR="00C76C6F" w:rsidRPr="00C76C6F">
        <w:rPr>
          <w:color w:val="FF0000"/>
          <w:sz w:val="24"/>
        </w:rPr>
        <w:t>在沉陷区边界会出现一些下沉台阶，并出现一些较大的地表裂缝。</w:t>
      </w:r>
    </w:p>
    <w:p w:rsidR="00C76C6F" w:rsidRPr="00C76C6F" w:rsidRDefault="00C76C6F" w:rsidP="00C76C6F">
      <w:pPr>
        <w:pStyle w:val="BG"/>
        <w:ind w:firstLine="480"/>
        <w:rPr>
          <w:color w:val="FF0000"/>
        </w:rPr>
      </w:pPr>
      <w:r w:rsidRPr="00C76C6F">
        <w:rPr>
          <w:color w:val="FF0000"/>
        </w:rPr>
        <w:t>本井田开采地表沉陷变形的特点主要表现在以下几个方面：</w:t>
      </w:r>
    </w:p>
    <w:p w:rsidR="00C76C6F" w:rsidRPr="00C76C6F" w:rsidRDefault="00C76C6F" w:rsidP="00C76C6F">
      <w:pPr>
        <w:pStyle w:val="BG"/>
        <w:ind w:firstLine="480"/>
        <w:rPr>
          <w:color w:val="FF0000"/>
        </w:rPr>
      </w:pPr>
      <w:r>
        <w:rPr>
          <w:color w:val="FF0000"/>
        </w:rPr>
        <w:fldChar w:fldCharType="begin"/>
      </w:r>
      <w:r>
        <w:rPr>
          <w:color w:val="FF0000"/>
        </w:rPr>
        <w:instrText xml:space="preserve"> </w:instrText>
      </w:r>
      <w:r>
        <w:rPr>
          <w:rFonts w:hint="eastAsia"/>
          <w:color w:val="FF0000"/>
        </w:rPr>
        <w:instrText>= 1 \* GB3</w:instrText>
      </w:r>
      <w:r>
        <w:rPr>
          <w:color w:val="FF0000"/>
        </w:rPr>
        <w:instrText xml:space="preserve"> </w:instrText>
      </w:r>
      <w:r>
        <w:rPr>
          <w:color w:val="FF0000"/>
        </w:rPr>
        <w:fldChar w:fldCharType="separate"/>
      </w:r>
      <w:r>
        <w:rPr>
          <w:rFonts w:hint="eastAsia"/>
          <w:noProof/>
          <w:color w:val="FF0000"/>
        </w:rPr>
        <w:t>①</w:t>
      </w:r>
      <w:r>
        <w:rPr>
          <w:color w:val="FF0000"/>
        </w:rPr>
        <w:fldChar w:fldCharType="end"/>
      </w:r>
      <w:r w:rsidRPr="00C76C6F">
        <w:rPr>
          <w:color w:val="FF0000"/>
          <w:szCs w:val="22"/>
        </w:rPr>
        <w:t>地表下沉是逐步形成的，要经历较长的时间</w:t>
      </w:r>
      <w:r w:rsidRPr="00C76C6F">
        <w:rPr>
          <w:color w:val="FF0000"/>
        </w:rPr>
        <w:t>；</w:t>
      </w:r>
    </w:p>
    <w:p w:rsidR="00C76C6F" w:rsidRPr="00C76C6F" w:rsidRDefault="00C76C6F" w:rsidP="00C76C6F">
      <w:pPr>
        <w:pStyle w:val="BG"/>
        <w:ind w:firstLine="480"/>
        <w:rPr>
          <w:color w:val="FF0000"/>
        </w:rPr>
      </w:pPr>
      <w:r>
        <w:rPr>
          <w:color w:val="FF0000"/>
        </w:rPr>
        <w:fldChar w:fldCharType="begin"/>
      </w:r>
      <w:r>
        <w:rPr>
          <w:color w:val="FF0000"/>
        </w:rPr>
        <w:instrText xml:space="preserve"> </w:instrText>
      </w:r>
      <w:r>
        <w:rPr>
          <w:rFonts w:hint="eastAsia"/>
          <w:color w:val="FF0000"/>
        </w:rPr>
        <w:instrText>= 2 \* GB3</w:instrText>
      </w:r>
      <w:r>
        <w:rPr>
          <w:color w:val="FF0000"/>
        </w:rPr>
        <w:instrText xml:space="preserve"> </w:instrText>
      </w:r>
      <w:r>
        <w:rPr>
          <w:color w:val="FF0000"/>
        </w:rPr>
        <w:fldChar w:fldCharType="separate"/>
      </w:r>
      <w:r>
        <w:rPr>
          <w:rFonts w:hint="eastAsia"/>
          <w:noProof/>
          <w:color w:val="FF0000"/>
        </w:rPr>
        <w:t>②</w:t>
      </w:r>
      <w:r>
        <w:rPr>
          <w:color w:val="FF0000"/>
        </w:rPr>
        <w:fldChar w:fldCharType="end"/>
      </w:r>
      <w:r w:rsidRPr="00C76C6F">
        <w:rPr>
          <w:color w:val="FF0000"/>
        </w:rPr>
        <w:t>开采下沉造成地形坡度永久变化只发生在采空区边界上方，且坡度变化较小；</w:t>
      </w:r>
    </w:p>
    <w:p w:rsidR="00C76C6F" w:rsidRPr="00C76C6F" w:rsidRDefault="00C76C6F" w:rsidP="00C76C6F">
      <w:pPr>
        <w:pStyle w:val="BG"/>
        <w:ind w:firstLine="480"/>
        <w:rPr>
          <w:color w:val="FF0000"/>
        </w:rPr>
      </w:pPr>
      <w:r>
        <w:rPr>
          <w:color w:val="FF0000"/>
        </w:rPr>
        <w:fldChar w:fldCharType="begin"/>
      </w:r>
      <w:r>
        <w:rPr>
          <w:color w:val="FF0000"/>
        </w:rPr>
        <w:instrText xml:space="preserve"> </w:instrText>
      </w:r>
      <w:r>
        <w:rPr>
          <w:rFonts w:hint="eastAsia"/>
          <w:color w:val="FF0000"/>
        </w:rPr>
        <w:instrText>= 3 \* GB3</w:instrText>
      </w:r>
      <w:r>
        <w:rPr>
          <w:color w:val="FF0000"/>
        </w:rPr>
        <w:instrText xml:space="preserve"> </w:instrText>
      </w:r>
      <w:r>
        <w:rPr>
          <w:color w:val="FF0000"/>
        </w:rPr>
        <w:fldChar w:fldCharType="separate"/>
      </w:r>
      <w:r>
        <w:rPr>
          <w:rFonts w:hint="eastAsia"/>
          <w:noProof/>
          <w:color w:val="FF0000"/>
        </w:rPr>
        <w:t>③</w:t>
      </w:r>
      <w:r>
        <w:rPr>
          <w:color w:val="FF0000"/>
        </w:rPr>
        <w:fldChar w:fldCharType="end"/>
      </w:r>
      <w:r w:rsidRPr="00C76C6F">
        <w:rPr>
          <w:color w:val="FF0000"/>
        </w:rPr>
        <w:t>井田内最大高差</w:t>
      </w:r>
      <w:r w:rsidRPr="00C76C6F">
        <w:rPr>
          <w:rFonts w:hint="eastAsia"/>
          <w:color w:val="FF0000"/>
        </w:rPr>
        <w:t>461</w:t>
      </w:r>
      <w:r w:rsidRPr="00C76C6F">
        <w:rPr>
          <w:color w:val="FF0000"/>
        </w:rPr>
        <w:t>m</w:t>
      </w:r>
      <w:r w:rsidRPr="00C76C6F">
        <w:rPr>
          <w:color w:val="FF0000"/>
        </w:rPr>
        <w:t>，一般高差</w:t>
      </w:r>
      <w:r w:rsidRPr="00C76C6F">
        <w:rPr>
          <w:color w:val="FF0000"/>
        </w:rPr>
        <w:t>200m</w:t>
      </w:r>
      <w:r w:rsidRPr="00C76C6F">
        <w:rPr>
          <w:color w:val="FF0000"/>
        </w:rPr>
        <w:t>左右，地表最大沉陷值约为</w:t>
      </w:r>
      <w:r w:rsidRPr="00C76C6F">
        <w:rPr>
          <w:rFonts w:hint="eastAsia"/>
          <w:color w:val="FF0000"/>
        </w:rPr>
        <w:t>2.55</w:t>
      </w:r>
      <w:r w:rsidRPr="00C76C6F">
        <w:rPr>
          <w:color w:val="FF0000"/>
        </w:rPr>
        <w:t>m</w:t>
      </w:r>
      <w:r w:rsidRPr="00C76C6F">
        <w:rPr>
          <w:color w:val="FF0000"/>
        </w:rPr>
        <w:t>，且各沉陷区均与谷坡相连，因此，煤层开采后地面不会形成积水区；</w:t>
      </w:r>
    </w:p>
    <w:p w:rsidR="00C76C6F" w:rsidRPr="00C76C6F" w:rsidRDefault="00C76C6F" w:rsidP="00C76C6F">
      <w:pPr>
        <w:pStyle w:val="BG"/>
        <w:ind w:firstLine="480"/>
        <w:rPr>
          <w:color w:val="FF0000"/>
        </w:rPr>
      </w:pPr>
      <w:r>
        <w:rPr>
          <w:color w:val="FF0000"/>
        </w:rPr>
        <w:fldChar w:fldCharType="begin"/>
      </w:r>
      <w:r>
        <w:rPr>
          <w:color w:val="FF0000"/>
        </w:rPr>
        <w:instrText xml:space="preserve"> </w:instrText>
      </w:r>
      <w:r>
        <w:rPr>
          <w:rFonts w:hint="eastAsia"/>
          <w:color w:val="FF0000"/>
        </w:rPr>
        <w:instrText>= 4 \* GB3</w:instrText>
      </w:r>
      <w:r>
        <w:rPr>
          <w:color w:val="FF0000"/>
        </w:rPr>
        <w:instrText xml:space="preserve"> </w:instrText>
      </w:r>
      <w:r>
        <w:rPr>
          <w:color w:val="FF0000"/>
        </w:rPr>
        <w:fldChar w:fldCharType="separate"/>
      </w:r>
      <w:r>
        <w:rPr>
          <w:rFonts w:hint="eastAsia"/>
          <w:noProof/>
          <w:color w:val="FF0000"/>
        </w:rPr>
        <w:t>④</w:t>
      </w:r>
      <w:r>
        <w:rPr>
          <w:color w:val="FF0000"/>
        </w:rPr>
        <w:fldChar w:fldCharType="end"/>
      </w:r>
      <w:r w:rsidRPr="00C76C6F">
        <w:rPr>
          <w:color w:val="FF0000"/>
        </w:rPr>
        <w:t>煤炭开采相邻工作面间及停采线、采区边界裂缝破坏了原始地貌的完整性，造成与周围自然景观的不相协调，对生态景观有一定的负面影响；</w:t>
      </w:r>
    </w:p>
    <w:p w:rsidR="00C76C6F" w:rsidRPr="00C76C6F" w:rsidRDefault="00C76C6F" w:rsidP="00C76C6F">
      <w:pPr>
        <w:pStyle w:val="BG"/>
        <w:ind w:firstLine="480"/>
        <w:rPr>
          <w:color w:val="FF0000"/>
        </w:rPr>
      </w:pPr>
      <w:r>
        <w:rPr>
          <w:color w:val="FF0000"/>
        </w:rPr>
        <w:fldChar w:fldCharType="begin"/>
      </w:r>
      <w:r>
        <w:rPr>
          <w:color w:val="FF0000"/>
        </w:rPr>
        <w:instrText xml:space="preserve"> </w:instrText>
      </w:r>
      <w:r>
        <w:rPr>
          <w:rFonts w:hint="eastAsia"/>
          <w:color w:val="FF0000"/>
        </w:rPr>
        <w:instrText>= 5 \* GB3</w:instrText>
      </w:r>
      <w:r>
        <w:rPr>
          <w:color w:val="FF0000"/>
        </w:rPr>
        <w:instrText xml:space="preserve"> </w:instrText>
      </w:r>
      <w:r>
        <w:rPr>
          <w:color w:val="FF0000"/>
        </w:rPr>
        <w:fldChar w:fldCharType="separate"/>
      </w:r>
      <w:r>
        <w:rPr>
          <w:rFonts w:hint="eastAsia"/>
          <w:noProof/>
          <w:color w:val="FF0000"/>
        </w:rPr>
        <w:t>⑤</w:t>
      </w:r>
      <w:r>
        <w:rPr>
          <w:color w:val="FF0000"/>
        </w:rPr>
        <w:fldChar w:fldCharType="end"/>
      </w:r>
      <w:r w:rsidRPr="00C76C6F">
        <w:rPr>
          <w:color w:val="FF0000"/>
        </w:rPr>
        <w:t>地表沉陷发生在黄土谷坡区时，可能导致滑坡等地质灾害，对黄土谷坡区自然植被产生严重影响，也会对该区地形地貌和自然景观产生较大影响；地表沉陷发生在梁面和阶地区时，对地表地形地貌影响相对较轻；</w:t>
      </w:r>
    </w:p>
    <w:p w:rsidR="00C76C6F" w:rsidRPr="00C76C6F" w:rsidRDefault="00C76C6F" w:rsidP="00C76C6F">
      <w:pPr>
        <w:pStyle w:val="BG"/>
        <w:ind w:firstLine="480"/>
        <w:rPr>
          <w:color w:val="FF0000"/>
        </w:rPr>
      </w:pPr>
      <w:r w:rsidRPr="00C76C6F">
        <w:rPr>
          <w:color w:val="FF0000"/>
        </w:rPr>
        <w:t>总体看，矿井开采对地表形态和地形标高会产生一定的影响，但对井田区域总体地貌类型影响不大。</w:t>
      </w:r>
    </w:p>
    <w:p w:rsidR="00C223F5" w:rsidRDefault="005860D5" w:rsidP="00A82F91">
      <w:pPr>
        <w:spacing w:line="360" w:lineRule="auto"/>
        <w:ind w:firstLineChars="200" w:firstLine="480"/>
        <w:rPr>
          <w:sz w:val="24"/>
        </w:rPr>
      </w:pPr>
      <w:r>
        <w:rPr>
          <w:sz w:val="24"/>
        </w:rPr>
        <w:t>（</w:t>
      </w:r>
      <w:r>
        <w:rPr>
          <w:sz w:val="24"/>
        </w:rPr>
        <w:t>2</w:t>
      </w:r>
      <w:r>
        <w:rPr>
          <w:sz w:val="24"/>
        </w:rPr>
        <w:t>）采煤地表沉陷对村庄</w:t>
      </w:r>
      <w:r>
        <w:rPr>
          <w:rFonts w:hint="eastAsia"/>
          <w:sz w:val="24"/>
        </w:rPr>
        <w:t>等建构筑物</w:t>
      </w:r>
      <w:r>
        <w:rPr>
          <w:sz w:val="24"/>
        </w:rPr>
        <w:t>影响评价</w:t>
      </w:r>
    </w:p>
    <w:p w:rsidR="00C223F5" w:rsidRDefault="005860D5" w:rsidP="00A82F91">
      <w:pPr>
        <w:spacing w:line="360" w:lineRule="auto"/>
        <w:ind w:firstLineChars="200" w:firstLine="480"/>
        <w:rPr>
          <w:sz w:val="24"/>
        </w:rPr>
      </w:pPr>
      <w:r>
        <w:rPr>
          <w:sz w:val="24"/>
        </w:rPr>
        <w:t>我国《建筑物、水体、铁路及主要井巷煤柱留设与压煤开采</w:t>
      </w:r>
      <w:r>
        <w:rPr>
          <w:rFonts w:hint="eastAsia"/>
          <w:sz w:val="24"/>
        </w:rPr>
        <w:t>规范</w:t>
      </w:r>
      <w:r>
        <w:rPr>
          <w:sz w:val="24"/>
        </w:rPr>
        <w:t>》中制定了砖混结构的建筑物破坏（保护）等级标准，见表</w:t>
      </w:r>
      <w:r>
        <w:rPr>
          <w:sz w:val="24"/>
        </w:rPr>
        <w:t>4.2.1-4</w:t>
      </w:r>
      <w:r>
        <w:rPr>
          <w:sz w:val="24"/>
        </w:rPr>
        <w:t>。</w:t>
      </w:r>
    </w:p>
    <w:p w:rsidR="00C223F5" w:rsidRDefault="005860D5" w:rsidP="00A82F91">
      <w:pPr>
        <w:spacing w:line="360" w:lineRule="auto"/>
        <w:ind w:firstLineChars="200" w:firstLine="500"/>
        <w:rPr>
          <w:spacing w:val="5"/>
          <w:sz w:val="24"/>
        </w:rPr>
      </w:pPr>
      <w:r>
        <w:rPr>
          <w:rFonts w:hint="eastAsia"/>
          <w:spacing w:val="5"/>
          <w:sz w:val="24"/>
        </w:rPr>
        <w:t>井田内</w:t>
      </w:r>
      <w:r>
        <w:rPr>
          <w:spacing w:val="5"/>
          <w:sz w:val="24"/>
        </w:rPr>
        <w:t>分布</w:t>
      </w:r>
      <w:r>
        <w:rPr>
          <w:rFonts w:hint="eastAsia"/>
          <w:sz w:val="24"/>
        </w:rPr>
        <w:t>有</w:t>
      </w:r>
      <w:r>
        <w:rPr>
          <w:rFonts w:hint="eastAsia"/>
          <w:sz w:val="24"/>
        </w:rPr>
        <w:t>8</w:t>
      </w:r>
      <w:r>
        <w:rPr>
          <w:sz w:val="24"/>
        </w:rPr>
        <w:t>个</w:t>
      </w:r>
      <w:r>
        <w:rPr>
          <w:rFonts w:hint="eastAsia"/>
          <w:sz w:val="24"/>
        </w:rPr>
        <w:t>行政村</w:t>
      </w:r>
      <w:r>
        <w:rPr>
          <w:rFonts w:hint="eastAsia"/>
          <w:sz w:val="24"/>
        </w:rPr>
        <w:t>33</w:t>
      </w:r>
      <w:r>
        <w:rPr>
          <w:rFonts w:hint="eastAsia"/>
          <w:sz w:val="24"/>
        </w:rPr>
        <w:t>个居民点</w:t>
      </w:r>
      <w:r>
        <w:rPr>
          <w:sz w:val="24"/>
        </w:rPr>
        <w:t>，</w:t>
      </w:r>
      <w:r>
        <w:rPr>
          <w:rFonts w:hint="eastAsia"/>
          <w:sz w:val="24"/>
        </w:rPr>
        <w:t>即</w:t>
      </w:r>
      <w:r>
        <w:rPr>
          <w:sz w:val="24"/>
        </w:rPr>
        <w:t>王家峁</w:t>
      </w:r>
      <w:r>
        <w:rPr>
          <w:rFonts w:hint="eastAsia"/>
          <w:sz w:val="24"/>
        </w:rPr>
        <w:t>村、</w:t>
      </w:r>
      <w:r>
        <w:rPr>
          <w:sz w:val="24"/>
        </w:rPr>
        <w:t>麻地沟</w:t>
      </w:r>
      <w:r>
        <w:rPr>
          <w:rFonts w:hint="eastAsia"/>
          <w:sz w:val="24"/>
        </w:rPr>
        <w:t>村、</w:t>
      </w:r>
      <w:r>
        <w:rPr>
          <w:sz w:val="24"/>
        </w:rPr>
        <w:t>瓦窑渠村</w:t>
      </w:r>
      <w:r>
        <w:rPr>
          <w:rFonts w:hint="eastAsia"/>
          <w:sz w:val="24"/>
        </w:rPr>
        <w:t>、</w:t>
      </w:r>
      <w:r>
        <w:rPr>
          <w:sz w:val="24"/>
        </w:rPr>
        <w:t>清水沟村</w:t>
      </w:r>
      <w:r>
        <w:rPr>
          <w:rFonts w:hint="eastAsia"/>
          <w:sz w:val="24"/>
        </w:rPr>
        <w:t>、石仁坪、</w:t>
      </w:r>
      <w:r>
        <w:rPr>
          <w:sz w:val="24"/>
        </w:rPr>
        <w:t>拓家峁</w:t>
      </w:r>
      <w:r>
        <w:rPr>
          <w:rFonts w:hint="eastAsia"/>
          <w:sz w:val="24"/>
        </w:rPr>
        <w:t>村、</w:t>
      </w:r>
      <w:r>
        <w:rPr>
          <w:sz w:val="24"/>
        </w:rPr>
        <w:t>枣坪村</w:t>
      </w:r>
      <w:r>
        <w:rPr>
          <w:rFonts w:hint="eastAsia"/>
          <w:sz w:val="24"/>
        </w:rPr>
        <w:t>、杨家楼村，其中</w:t>
      </w:r>
      <w:r>
        <w:rPr>
          <w:rFonts w:hAnsi="宋体" w:hint="eastAsia"/>
          <w:sz w:val="24"/>
        </w:rPr>
        <w:t>项目开采区内分布</w:t>
      </w:r>
      <w:r>
        <w:rPr>
          <w:rFonts w:hAnsi="宋体" w:hint="eastAsia"/>
          <w:sz w:val="24"/>
        </w:rPr>
        <w:t>13</w:t>
      </w:r>
      <w:r>
        <w:rPr>
          <w:rFonts w:hAnsi="宋体" w:hint="eastAsia"/>
          <w:sz w:val="24"/>
        </w:rPr>
        <w:t>个</w:t>
      </w:r>
      <w:r>
        <w:rPr>
          <w:rFonts w:hint="eastAsia"/>
          <w:sz w:val="24"/>
        </w:rPr>
        <w:t>居民点</w:t>
      </w:r>
      <w:r>
        <w:rPr>
          <w:rFonts w:hAnsi="宋体" w:hint="eastAsia"/>
          <w:sz w:val="24"/>
        </w:rPr>
        <w:t>，开采区外分布</w:t>
      </w:r>
      <w:r>
        <w:rPr>
          <w:rFonts w:hAnsi="宋体" w:hint="eastAsia"/>
          <w:sz w:val="24"/>
        </w:rPr>
        <w:t>20</w:t>
      </w:r>
      <w:r>
        <w:rPr>
          <w:rFonts w:hAnsi="宋体" w:hint="eastAsia"/>
          <w:sz w:val="24"/>
        </w:rPr>
        <w:t>个</w:t>
      </w:r>
      <w:r>
        <w:rPr>
          <w:rFonts w:hint="eastAsia"/>
          <w:sz w:val="24"/>
        </w:rPr>
        <w:t>居民点</w:t>
      </w:r>
      <w:r>
        <w:rPr>
          <w:rFonts w:hAnsi="宋体" w:hint="eastAsia"/>
          <w:sz w:val="24"/>
        </w:rPr>
        <w:t>。</w:t>
      </w:r>
      <w:r>
        <w:rPr>
          <w:rFonts w:hint="eastAsia"/>
          <w:spacing w:val="5"/>
          <w:sz w:val="24"/>
        </w:rPr>
        <w:t>根据前表</w:t>
      </w:r>
      <w:r>
        <w:rPr>
          <w:rFonts w:hint="eastAsia"/>
          <w:spacing w:val="5"/>
          <w:sz w:val="24"/>
        </w:rPr>
        <w:t>4.2.1-3</w:t>
      </w:r>
      <w:r>
        <w:rPr>
          <w:rFonts w:hint="eastAsia"/>
          <w:spacing w:val="5"/>
          <w:sz w:val="24"/>
        </w:rPr>
        <w:t>预测可知，全井田开采后地面建构筑物损坏等级均未高于</w:t>
      </w:r>
      <w:r w:rsidR="000F32AE">
        <w:rPr>
          <w:spacing w:val="5"/>
          <w:sz w:val="24"/>
        </w:rPr>
        <w:fldChar w:fldCharType="begin"/>
      </w:r>
      <w:r>
        <w:rPr>
          <w:rFonts w:hint="eastAsia"/>
          <w:spacing w:val="5"/>
          <w:sz w:val="24"/>
        </w:rPr>
        <w:instrText>= 3 \* ROMAN</w:instrText>
      </w:r>
      <w:r w:rsidR="000F32AE">
        <w:rPr>
          <w:spacing w:val="5"/>
          <w:sz w:val="24"/>
        </w:rPr>
        <w:fldChar w:fldCharType="separate"/>
      </w:r>
      <w:r>
        <w:rPr>
          <w:spacing w:val="5"/>
          <w:sz w:val="24"/>
        </w:rPr>
        <w:t>III</w:t>
      </w:r>
      <w:r w:rsidR="000F32AE">
        <w:rPr>
          <w:spacing w:val="5"/>
          <w:sz w:val="24"/>
        </w:rPr>
        <w:fldChar w:fldCharType="end"/>
      </w:r>
      <w:r>
        <w:rPr>
          <w:rFonts w:hint="eastAsia"/>
          <w:spacing w:val="5"/>
          <w:sz w:val="24"/>
        </w:rPr>
        <w:t>级，属于轻微、轻中度损坏。</w:t>
      </w:r>
    </w:p>
    <w:p w:rsidR="00C223F5" w:rsidRDefault="005860D5" w:rsidP="00A82F91">
      <w:pPr>
        <w:pStyle w:val="affff2"/>
        <w:spacing w:before="0" w:afterLines="0"/>
        <w:rPr>
          <w:sz w:val="24"/>
        </w:rPr>
      </w:pPr>
      <w:r>
        <w:rPr>
          <w:sz w:val="24"/>
        </w:rPr>
        <w:t>表</w:t>
      </w:r>
      <w:r>
        <w:rPr>
          <w:sz w:val="24"/>
        </w:rPr>
        <w:t xml:space="preserve">4.2.1-4 </w:t>
      </w:r>
      <w:r>
        <w:rPr>
          <w:sz w:val="24"/>
        </w:rPr>
        <w:t>砖混结构建筑物损坏等级</w:t>
      </w:r>
    </w:p>
    <w:tbl>
      <w:tblPr>
        <w:tblW w:w="841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7" w:type="dxa"/>
          <w:left w:w="227" w:type="dxa"/>
          <w:bottom w:w="57" w:type="dxa"/>
          <w:right w:w="227" w:type="dxa"/>
        </w:tblCellMar>
        <w:tblLook w:val="04A0" w:firstRow="1" w:lastRow="0" w:firstColumn="1" w:lastColumn="0" w:noHBand="0" w:noVBand="1"/>
      </w:tblPr>
      <w:tblGrid>
        <w:gridCol w:w="1218"/>
        <w:gridCol w:w="1439"/>
        <w:gridCol w:w="1439"/>
        <w:gridCol w:w="1440"/>
        <w:gridCol w:w="1439"/>
        <w:gridCol w:w="1439"/>
      </w:tblGrid>
      <w:tr w:rsidR="00C223F5">
        <w:trPr>
          <w:trHeight w:val="141"/>
          <w:jc w:val="center"/>
        </w:trPr>
        <w:tc>
          <w:tcPr>
            <w:tcW w:w="1218" w:type="dxa"/>
            <w:vMerge w:val="restart"/>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损坏等级</w:t>
            </w:r>
          </w:p>
        </w:tc>
        <w:tc>
          <w:tcPr>
            <w:tcW w:w="4318" w:type="dxa"/>
            <w:gridSpan w:val="3"/>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地表变形值</w:t>
            </w:r>
          </w:p>
        </w:tc>
        <w:tc>
          <w:tcPr>
            <w:tcW w:w="1439" w:type="dxa"/>
            <w:vMerge w:val="restart"/>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损坏分类</w:t>
            </w:r>
          </w:p>
        </w:tc>
        <w:tc>
          <w:tcPr>
            <w:tcW w:w="1439" w:type="dxa"/>
            <w:vMerge w:val="restart"/>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结构处理</w:t>
            </w:r>
          </w:p>
        </w:tc>
      </w:tr>
      <w:tr w:rsidR="00C223F5" w:rsidTr="0042725A">
        <w:trPr>
          <w:trHeight w:val="245"/>
          <w:jc w:val="center"/>
        </w:trPr>
        <w:tc>
          <w:tcPr>
            <w:tcW w:w="1218" w:type="dxa"/>
            <w:vMerge/>
            <w:vAlign w:val="center"/>
          </w:tcPr>
          <w:p w:rsidR="00C223F5" w:rsidRDefault="00C223F5" w:rsidP="0042725A">
            <w:pPr>
              <w:pStyle w:val="affffff7"/>
              <w:spacing w:line="240" w:lineRule="exact"/>
              <w:rPr>
                <w:sz w:val="21"/>
                <w:szCs w:val="21"/>
              </w:rPr>
            </w:pP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水平变形</w:t>
            </w:r>
            <w:r>
              <w:rPr>
                <w:sz w:val="21"/>
                <w:szCs w:val="21"/>
              </w:rPr>
              <w:t>e</w:t>
            </w:r>
          </w:p>
          <w:p w:rsidR="00C223F5" w:rsidRDefault="005860D5" w:rsidP="0042725A">
            <w:pPr>
              <w:pStyle w:val="affffff7"/>
              <w:spacing w:line="240" w:lineRule="exact"/>
              <w:rPr>
                <w:sz w:val="21"/>
                <w:szCs w:val="21"/>
              </w:rPr>
            </w:pPr>
            <w:r>
              <w:rPr>
                <w:sz w:val="21"/>
                <w:szCs w:val="21"/>
              </w:rPr>
              <w:t>(mm/m)</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曲率</w:t>
            </w:r>
            <w:r>
              <w:rPr>
                <w:sz w:val="21"/>
                <w:szCs w:val="21"/>
              </w:rPr>
              <w:t>K</w:t>
            </w:r>
          </w:p>
          <w:p w:rsidR="00C223F5" w:rsidRDefault="005860D5" w:rsidP="0042725A">
            <w:pPr>
              <w:pStyle w:val="affffff7"/>
              <w:spacing w:line="240" w:lineRule="exact"/>
              <w:rPr>
                <w:sz w:val="21"/>
                <w:szCs w:val="21"/>
              </w:rPr>
            </w:pPr>
            <w:r>
              <w:rPr>
                <w:sz w:val="21"/>
                <w:szCs w:val="21"/>
              </w:rPr>
              <w:t>(10</w:t>
            </w:r>
            <w:r>
              <w:rPr>
                <w:sz w:val="21"/>
                <w:szCs w:val="21"/>
                <w:vertAlign w:val="superscript"/>
              </w:rPr>
              <w:t>-3</w:t>
            </w:r>
            <w:r>
              <w:rPr>
                <w:sz w:val="21"/>
                <w:szCs w:val="21"/>
              </w:rPr>
              <w:t>/m)</w:t>
            </w:r>
          </w:p>
        </w:tc>
        <w:tc>
          <w:tcPr>
            <w:tcW w:w="1440"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倾斜</w:t>
            </w:r>
            <w:proofErr w:type="spellStart"/>
            <w:r>
              <w:rPr>
                <w:sz w:val="21"/>
                <w:szCs w:val="21"/>
              </w:rPr>
              <w:t>i</w:t>
            </w:r>
            <w:proofErr w:type="spellEnd"/>
          </w:p>
          <w:p w:rsidR="00C223F5" w:rsidRDefault="005860D5" w:rsidP="0042725A">
            <w:pPr>
              <w:pStyle w:val="affffff7"/>
              <w:spacing w:line="240" w:lineRule="exact"/>
              <w:rPr>
                <w:sz w:val="21"/>
                <w:szCs w:val="21"/>
              </w:rPr>
            </w:pPr>
            <w:r>
              <w:rPr>
                <w:sz w:val="21"/>
                <w:szCs w:val="21"/>
              </w:rPr>
              <w:t>(mm/m)</w:t>
            </w:r>
          </w:p>
        </w:tc>
        <w:tc>
          <w:tcPr>
            <w:tcW w:w="1439" w:type="dxa"/>
            <w:vMerge/>
            <w:vAlign w:val="center"/>
          </w:tcPr>
          <w:p w:rsidR="00C223F5" w:rsidRDefault="00C223F5" w:rsidP="0042725A">
            <w:pPr>
              <w:pStyle w:val="affffff7"/>
              <w:spacing w:line="240" w:lineRule="exact"/>
              <w:rPr>
                <w:sz w:val="21"/>
                <w:szCs w:val="21"/>
              </w:rPr>
            </w:pPr>
          </w:p>
        </w:tc>
        <w:tc>
          <w:tcPr>
            <w:tcW w:w="1439" w:type="dxa"/>
            <w:vMerge/>
            <w:vAlign w:val="center"/>
          </w:tcPr>
          <w:p w:rsidR="00C223F5" w:rsidRDefault="00C223F5" w:rsidP="0042725A">
            <w:pPr>
              <w:pStyle w:val="affffff7"/>
              <w:spacing w:line="240" w:lineRule="exact"/>
              <w:rPr>
                <w:sz w:val="21"/>
                <w:szCs w:val="21"/>
              </w:rPr>
            </w:pPr>
          </w:p>
        </w:tc>
      </w:tr>
      <w:tr w:rsidR="00C223F5">
        <w:trPr>
          <w:trHeight w:hRule="exact" w:val="340"/>
          <w:jc w:val="center"/>
        </w:trPr>
        <w:tc>
          <w:tcPr>
            <w:tcW w:w="1218" w:type="dxa"/>
            <w:vMerge w:val="restart"/>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I</w:t>
            </w:r>
          </w:p>
        </w:tc>
        <w:tc>
          <w:tcPr>
            <w:tcW w:w="1439" w:type="dxa"/>
            <w:vMerge w:val="restart"/>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≤2.0</w:t>
            </w:r>
          </w:p>
        </w:tc>
        <w:tc>
          <w:tcPr>
            <w:tcW w:w="1439" w:type="dxa"/>
            <w:vMerge w:val="restart"/>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≤0.2</w:t>
            </w:r>
          </w:p>
        </w:tc>
        <w:tc>
          <w:tcPr>
            <w:tcW w:w="1440" w:type="dxa"/>
            <w:vMerge w:val="restart"/>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≤3.0</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极轻微损坏</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不修</w:t>
            </w:r>
          </w:p>
        </w:tc>
      </w:tr>
      <w:tr w:rsidR="00C223F5">
        <w:trPr>
          <w:trHeight w:hRule="exact" w:val="340"/>
          <w:jc w:val="center"/>
        </w:trPr>
        <w:tc>
          <w:tcPr>
            <w:tcW w:w="1218" w:type="dxa"/>
            <w:vMerge/>
            <w:tcMar>
              <w:top w:w="12" w:type="dxa"/>
              <w:left w:w="12" w:type="dxa"/>
              <w:bottom w:w="0" w:type="dxa"/>
              <w:right w:w="12" w:type="dxa"/>
            </w:tcMar>
            <w:vAlign w:val="center"/>
          </w:tcPr>
          <w:p w:rsidR="00C223F5" w:rsidRDefault="00C223F5" w:rsidP="0042725A">
            <w:pPr>
              <w:pStyle w:val="affffff7"/>
              <w:spacing w:line="240" w:lineRule="exact"/>
              <w:rPr>
                <w:sz w:val="21"/>
                <w:szCs w:val="21"/>
              </w:rPr>
            </w:pPr>
          </w:p>
        </w:tc>
        <w:tc>
          <w:tcPr>
            <w:tcW w:w="1439" w:type="dxa"/>
            <w:vMerge/>
            <w:tcMar>
              <w:top w:w="12" w:type="dxa"/>
              <w:left w:w="12" w:type="dxa"/>
              <w:bottom w:w="0" w:type="dxa"/>
              <w:right w:w="12" w:type="dxa"/>
            </w:tcMar>
            <w:vAlign w:val="center"/>
          </w:tcPr>
          <w:p w:rsidR="00C223F5" w:rsidRDefault="00C223F5" w:rsidP="0042725A">
            <w:pPr>
              <w:pStyle w:val="affffff7"/>
              <w:spacing w:line="240" w:lineRule="exact"/>
              <w:rPr>
                <w:sz w:val="21"/>
                <w:szCs w:val="21"/>
              </w:rPr>
            </w:pPr>
          </w:p>
        </w:tc>
        <w:tc>
          <w:tcPr>
            <w:tcW w:w="1439" w:type="dxa"/>
            <w:vMerge/>
            <w:tcMar>
              <w:top w:w="12" w:type="dxa"/>
              <w:left w:w="12" w:type="dxa"/>
              <w:bottom w:w="0" w:type="dxa"/>
              <w:right w:w="12" w:type="dxa"/>
            </w:tcMar>
            <w:vAlign w:val="center"/>
          </w:tcPr>
          <w:p w:rsidR="00C223F5" w:rsidRDefault="00C223F5" w:rsidP="0042725A">
            <w:pPr>
              <w:pStyle w:val="affffff7"/>
              <w:spacing w:line="240" w:lineRule="exact"/>
              <w:rPr>
                <w:sz w:val="21"/>
                <w:szCs w:val="21"/>
              </w:rPr>
            </w:pPr>
          </w:p>
        </w:tc>
        <w:tc>
          <w:tcPr>
            <w:tcW w:w="1440" w:type="dxa"/>
            <w:vMerge/>
            <w:tcMar>
              <w:top w:w="12" w:type="dxa"/>
              <w:left w:w="12" w:type="dxa"/>
              <w:bottom w:w="0" w:type="dxa"/>
              <w:right w:w="12" w:type="dxa"/>
            </w:tcMar>
            <w:vAlign w:val="center"/>
          </w:tcPr>
          <w:p w:rsidR="00C223F5" w:rsidRDefault="00C223F5" w:rsidP="0042725A">
            <w:pPr>
              <w:pStyle w:val="affffff7"/>
              <w:spacing w:line="240" w:lineRule="exact"/>
              <w:rPr>
                <w:sz w:val="21"/>
                <w:szCs w:val="21"/>
              </w:rPr>
            </w:pP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轻微损坏</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简单维修</w:t>
            </w:r>
          </w:p>
        </w:tc>
      </w:tr>
      <w:tr w:rsidR="00C223F5">
        <w:trPr>
          <w:trHeight w:hRule="exact" w:val="340"/>
          <w:jc w:val="center"/>
        </w:trPr>
        <w:tc>
          <w:tcPr>
            <w:tcW w:w="1218"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II</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≤4.0</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≤0.4</w:t>
            </w:r>
          </w:p>
        </w:tc>
        <w:tc>
          <w:tcPr>
            <w:tcW w:w="1440"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≤6.0</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轻度损坏</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小修</w:t>
            </w:r>
          </w:p>
        </w:tc>
      </w:tr>
      <w:tr w:rsidR="00C223F5" w:rsidTr="0042725A">
        <w:trPr>
          <w:trHeight w:hRule="exact" w:val="268"/>
          <w:jc w:val="center"/>
        </w:trPr>
        <w:tc>
          <w:tcPr>
            <w:tcW w:w="1218"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III</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≤6.0</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≤0.6</w:t>
            </w:r>
          </w:p>
        </w:tc>
        <w:tc>
          <w:tcPr>
            <w:tcW w:w="1440"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≤10.0</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中度损坏</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中修</w:t>
            </w:r>
          </w:p>
        </w:tc>
      </w:tr>
      <w:tr w:rsidR="00C223F5" w:rsidTr="0042725A">
        <w:trPr>
          <w:trHeight w:hRule="exact" w:val="286"/>
          <w:jc w:val="center"/>
        </w:trPr>
        <w:tc>
          <w:tcPr>
            <w:tcW w:w="1218" w:type="dxa"/>
            <w:vMerge w:val="restart"/>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IV</w:t>
            </w:r>
          </w:p>
        </w:tc>
        <w:tc>
          <w:tcPr>
            <w:tcW w:w="1439" w:type="dxa"/>
            <w:vMerge w:val="restart"/>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w:t>
            </w:r>
            <w:r>
              <w:rPr>
                <w:sz w:val="21"/>
                <w:szCs w:val="21"/>
              </w:rPr>
              <w:t>6.0</w:t>
            </w:r>
          </w:p>
        </w:tc>
        <w:tc>
          <w:tcPr>
            <w:tcW w:w="1439" w:type="dxa"/>
            <w:vMerge w:val="restart"/>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w:t>
            </w:r>
            <w:r>
              <w:rPr>
                <w:sz w:val="21"/>
                <w:szCs w:val="21"/>
              </w:rPr>
              <w:t>0.6</w:t>
            </w:r>
          </w:p>
        </w:tc>
        <w:tc>
          <w:tcPr>
            <w:tcW w:w="1440" w:type="dxa"/>
            <w:vMerge w:val="restart"/>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w:t>
            </w:r>
            <w:r>
              <w:rPr>
                <w:sz w:val="21"/>
                <w:szCs w:val="21"/>
              </w:rPr>
              <w:t>10.0</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严重损坏</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大修</w:t>
            </w:r>
          </w:p>
        </w:tc>
      </w:tr>
      <w:tr w:rsidR="00C223F5">
        <w:trPr>
          <w:trHeight w:hRule="exact" w:val="340"/>
          <w:jc w:val="center"/>
        </w:trPr>
        <w:tc>
          <w:tcPr>
            <w:tcW w:w="1218" w:type="dxa"/>
            <w:vMerge/>
            <w:tcMar>
              <w:top w:w="12" w:type="dxa"/>
              <w:left w:w="12" w:type="dxa"/>
              <w:bottom w:w="0" w:type="dxa"/>
              <w:right w:w="12" w:type="dxa"/>
            </w:tcMar>
            <w:vAlign w:val="center"/>
          </w:tcPr>
          <w:p w:rsidR="00C223F5" w:rsidRDefault="00C223F5" w:rsidP="0042725A">
            <w:pPr>
              <w:pStyle w:val="affffff7"/>
              <w:spacing w:line="240" w:lineRule="exact"/>
              <w:rPr>
                <w:sz w:val="21"/>
                <w:szCs w:val="21"/>
              </w:rPr>
            </w:pPr>
          </w:p>
        </w:tc>
        <w:tc>
          <w:tcPr>
            <w:tcW w:w="1439" w:type="dxa"/>
            <w:vMerge/>
            <w:tcMar>
              <w:top w:w="12" w:type="dxa"/>
              <w:left w:w="12" w:type="dxa"/>
              <w:bottom w:w="0" w:type="dxa"/>
              <w:right w:w="12" w:type="dxa"/>
            </w:tcMar>
            <w:vAlign w:val="center"/>
          </w:tcPr>
          <w:p w:rsidR="00C223F5" w:rsidRDefault="00C223F5" w:rsidP="0042725A">
            <w:pPr>
              <w:pStyle w:val="affffff7"/>
              <w:spacing w:line="240" w:lineRule="exact"/>
              <w:rPr>
                <w:sz w:val="21"/>
                <w:szCs w:val="21"/>
              </w:rPr>
            </w:pPr>
          </w:p>
        </w:tc>
        <w:tc>
          <w:tcPr>
            <w:tcW w:w="1439" w:type="dxa"/>
            <w:vMerge/>
            <w:tcMar>
              <w:top w:w="12" w:type="dxa"/>
              <w:left w:w="12" w:type="dxa"/>
              <w:bottom w:w="0" w:type="dxa"/>
              <w:right w:w="12" w:type="dxa"/>
            </w:tcMar>
            <w:vAlign w:val="center"/>
          </w:tcPr>
          <w:p w:rsidR="00C223F5" w:rsidRDefault="00C223F5" w:rsidP="0042725A">
            <w:pPr>
              <w:pStyle w:val="affffff7"/>
              <w:spacing w:line="240" w:lineRule="exact"/>
              <w:rPr>
                <w:sz w:val="21"/>
                <w:szCs w:val="21"/>
              </w:rPr>
            </w:pPr>
          </w:p>
        </w:tc>
        <w:tc>
          <w:tcPr>
            <w:tcW w:w="1440" w:type="dxa"/>
            <w:vMerge/>
            <w:tcMar>
              <w:top w:w="12" w:type="dxa"/>
              <w:left w:w="12" w:type="dxa"/>
              <w:bottom w:w="0" w:type="dxa"/>
              <w:right w:w="12" w:type="dxa"/>
            </w:tcMar>
            <w:vAlign w:val="center"/>
          </w:tcPr>
          <w:p w:rsidR="00C223F5" w:rsidRDefault="00C223F5" w:rsidP="0042725A">
            <w:pPr>
              <w:pStyle w:val="affffff7"/>
              <w:spacing w:line="240" w:lineRule="exact"/>
              <w:rPr>
                <w:sz w:val="21"/>
                <w:szCs w:val="21"/>
              </w:rPr>
            </w:pP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极度严重损坏</w:t>
            </w:r>
          </w:p>
        </w:tc>
        <w:tc>
          <w:tcPr>
            <w:tcW w:w="1439" w:type="dxa"/>
            <w:tcMar>
              <w:top w:w="12" w:type="dxa"/>
              <w:left w:w="12" w:type="dxa"/>
              <w:bottom w:w="0" w:type="dxa"/>
              <w:right w:w="12" w:type="dxa"/>
            </w:tcMar>
            <w:vAlign w:val="center"/>
          </w:tcPr>
          <w:p w:rsidR="00C223F5" w:rsidRDefault="005860D5" w:rsidP="0042725A">
            <w:pPr>
              <w:pStyle w:val="affffff7"/>
              <w:spacing w:line="240" w:lineRule="exact"/>
              <w:rPr>
                <w:sz w:val="21"/>
                <w:szCs w:val="21"/>
              </w:rPr>
            </w:pPr>
            <w:r>
              <w:rPr>
                <w:sz w:val="21"/>
                <w:szCs w:val="21"/>
              </w:rPr>
              <w:t>拆建</w:t>
            </w:r>
          </w:p>
        </w:tc>
      </w:tr>
    </w:tbl>
    <w:p w:rsidR="00C223F5" w:rsidRDefault="005860D5" w:rsidP="00A82F91">
      <w:pPr>
        <w:spacing w:line="360" w:lineRule="auto"/>
        <w:ind w:firstLineChars="200" w:firstLine="480"/>
        <w:rPr>
          <w:color w:val="FF0000"/>
          <w:sz w:val="24"/>
        </w:rPr>
      </w:pPr>
      <w:r>
        <w:rPr>
          <w:rFonts w:hint="eastAsia"/>
          <w:color w:val="000000"/>
          <w:sz w:val="24"/>
        </w:rPr>
        <w:t>设计对整合区开采范围</w:t>
      </w:r>
      <w:r>
        <w:rPr>
          <w:rFonts w:hint="eastAsia"/>
          <w:sz w:val="24"/>
        </w:rPr>
        <w:t>内的村庄、油井脱水站等工业企业均</w:t>
      </w:r>
      <w:r>
        <w:rPr>
          <w:sz w:val="24"/>
        </w:rPr>
        <w:t>留保护煤柱</w:t>
      </w:r>
      <w:r>
        <w:rPr>
          <w:rFonts w:hint="eastAsia"/>
          <w:sz w:val="24"/>
        </w:rPr>
        <w:t>，因此上述地表建构筑物基本</w:t>
      </w:r>
      <w:r>
        <w:rPr>
          <w:sz w:val="24"/>
        </w:rPr>
        <w:t>不受开采影响。</w:t>
      </w:r>
      <w:r>
        <w:rPr>
          <w:rFonts w:hint="eastAsia"/>
          <w:sz w:val="24"/>
        </w:rPr>
        <w:t>环评要求矿方在后续设计和</w:t>
      </w:r>
      <w:r>
        <w:rPr>
          <w:sz w:val="24"/>
        </w:rPr>
        <w:t>生产过程</w:t>
      </w:r>
      <w:r>
        <w:rPr>
          <w:rFonts w:hint="eastAsia"/>
          <w:sz w:val="24"/>
        </w:rPr>
        <w:t>中</w:t>
      </w:r>
      <w:r>
        <w:rPr>
          <w:rFonts w:hint="eastAsia"/>
          <w:sz w:val="24"/>
        </w:rPr>
        <w:lastRenderedPageBreak/>
        <w:t>加强对居民等建筑物的观测，并根据实际情况进一步对保护煤柱的宽度进行校核，确保建筑物不受地表沉陷影响</w:t>
      </w:r>
      <w:r>
        <w:rPr>
          <w:sz w:val="24"/>
        </w:rPr>
        <w:t>。</w:t>
      </w:r>
    </w:p>
    <w:p w:rsidR="00C223F5" w:rsidRDefault="005860D5" w:rsidP="00A82F91">
      <w:pPr>
        <w:pStyle w:val="aff1"/>
        <w:tabs>
          <w:tab w:val="clear" w:pos="5781"/>
        </w:tabs>
        <w:spacing w:line="360" w:lineRule="auto"/>
        <w:ind w:left="0" w:firstLineChars="200" w:firstLine="480"/>
        <w:rPr>
          <w:bCs/>
          <w:szCs w:val="24"/>
        </w:rPr>
      </w:pPr>
      <w:r>
        <w:rPr>
          <w:bCs/>
          <w:szCs w:val="24"/>
        </w:rPr>
        <w:t>（</w:t>
      </w:r>
      <w:r>
        <w:rPr>
          <w:rFonts w:hint="eastAsia"/>
          <w:bCs/>
          <w:szCs w:val="24"/>
        </w:rPr>
        <w:t>3</w:t>
      </w:r>
      <w:r>
        <w:rPr>
          <w:bCs/>
          <w:szCs w:val="24"/>
        </w:rPr>
        <w:t>）采煤地表沉陷对</w:t>
      </w:r>
      <w:r>
        <w:rPr>
          <w:szCs w:val="24"/>
        </w:rPr>
        <w:t>土地资源</w:t>
      </w:r>
      <w:r>
        <w:rPr>
          <w:bCs/>
          <w:szCs w:val="24"/>
        </w:rPr>
        <w:t>影响评价</w:t>
      </w:r>
    </w:p>
    <w:p w:rsidR="0042725A" w:rsidRDefault="005860D5" w:rsidP="0042725A">
      <w:pPr>
        <w:spacing w:line="360" w:lineRule="auto"/>
        <w:ind w:firstLineChars="200" w:firstLine="480"/>
        <w:rPr>
          <w:sz w:val="24"/>
          <w:szCs w:val="22"/>
        </w:rPr>
      </w:pPr>
      <w:r>
        <w:rPr>
          <w:sz w:val="24"/>
          <w:szCs w:val="22"/>
        </w:rPr>
        <w:t>结合井田开采煤层赋存地质特点、采煤地表移动变形特征、国土资源部土地复垦编制规程（井工煤矿）土地损毁程度分级参考标准，评价将评价区地表土地损害程度划分为轻度影响区、中度影响区、严重影响区</w:t>
      </w:r>
      <w:r>
        <w:rPr>
          <w:rFonts w:hint="eastAsia"/>
          <w:sz w:val="24"/>
          <w:szCs w:val="22"/>
        </w:rPr>
        <w:t>三</w:t>
      </w:r>
      <w:r>
        <w:rPr>
          <w:sz w:val="24"/>
          <w:szCs w:val="22"/>
        </w:rPr>
        <w:t>种类型（分级标准见表</w:t>
      </w:r>
      <w:r>
        <w:rPr>
          <w:rFonts w:hint="eastAsia"/>
          <w:sz w:val="24"/>
          <w:szCs w:val="22"/>
        </w:rPr>
        <w:t>4.2.1-5</w:t>
      </w:r>
      <w:r>
        <w:rPr>
          <w:sz w:val="24"/>
          <w:szCs w:val="22"/>
        </w:rPr>
        <w:t>）。</w:t>
      </w:r>
    </w:p>
    <w:p w:rsidR="00F07B16" w:rsidRPr="0042725A" w:rsidRDefault="00F07B16" w:rsidP="0042725A">
      <w:pPr>
        <w:spacing w:line="360" w:lineRule="auto"/>
        <w:ind w:firstLineChars="200" w:firstLine="480"/>
        <w:rPr>
          <w:bCs/>
          <w:sz w:val="24"/>
        </w:rPr>
      </w:pPr>
      <w:r w:rsidRPr="0042725A">
        <w:rPr>
          <w:rFonts w:hint="eastAsia"/>
          <w:bCs/>
          <w:sz w:val="24"/>
        </w:rPr>
        <w:t>全井田开采结束时</w:t>
      </w:r>
      <w:r w:rsidRPr="0042725A">
        <w:rPr>
          <w:bCs/>
          <w:sz w:val="24"/>
        </w:rPr>
        <w:t>沉陷区土地损害程度见</w:t>
      </w:r>
      <w:r w:rsidRPr="0042725A">
        <w:rPr>
          <w:rFonts w:hint="eastAsia"/>
          <w:bCs/>
          <w:sz w:val="24"/>
        </w:rPr>
        <w:t>表</w:t>
      </w:r>
      <w:r w:rsidRPr="0042725A">
        <w:rPr>
          <w:rFonts w:hint="eastAsia"/>
          <w:bCs/>
          <w:sz w:val="24"/>
        </w:rPr>
        <w:t>4.2.1-6</w:t>
      </w:r>
      <w:r w:rsidRPr="0042725A">
        <w:rPr>
          <w:bCs/>
          <w:sz w:val="24"/>
        </w:rPr>
        <w:t>图</w:t>
      </w:r>
      <w:r w:rsidRPr="0042725A">
        <w:rPr>
          <w:rFonts w:hint="eastAsia"/>
          <w:bCs/>
          <w:sz w:val="24"/>
        </w:rPr>
        <w:t>4.2.1-</w:t>
      </w:r>
      <w:r w:rsidR="005D6C9F" w:rsidRPr="0042725A">
        <w:rPr>
          <w:rFonts w:hint="eastAsia"/>
          <w:bCs/>
          <w:sz w:val="24"/>
        </w:rPr>
        <w:t>5</w:t>
      </w:r>
      <w:r w:rsidRPr="0042725A">
        <w:rPr>
          <w:rFonts w:hint="eastAsia"/>
          <w:bCs/>
          <w:sz w:val="24"/>
        </w:rPr>
        <w:t>，形成沉陷面积</w:t>
      </w:r>
      <w:r w:rsidRPr="0042725A">
        <w:rPr>
          <w:rFonts w:hint="eastAsia"/>
          <w:bCs/>
          <w:sz w:val="24"/>
        </w:rPr>
        <w:t>39.45</w:t>
      </w:r>
      <w:r w:rsidRPr="0042725A">
        <w:rPr>
          <w:bCs/>
          <w:sz w:val="24"/>
        </w:rPr>
        <w:t>km</w:t>
      </w:r>
      <w:r w:rsidRPr="0042725A">
        <w:rPr>
          <w:bCs/>
          <w:sz w:val="24"/>
          <w:vertAlign w:val="superscript"/>
        </w:rPr>
        <w:t>2</w:t>
      </w:r>
      <w:r w:rsidRPr="0042725A">
        <w:rPr>
          <w:bCs/>
          <w:sz w:val="24"/>
        </w:rPr>
        <w:t>，沉陷区土地损害程度</w:t>
      </w:r>
      <w:r w:rsidRPr="0042725A">
        <w:rPr>
          <w:rFonts w:hint="eastAsia"/>
          <w:bCs/>
          <w:sz w:val="24"/>
        </w:rPr>
        <w:t>包括轻度和中度，以</w:t>
      </w:r>
      <w:r w:rsidRPr="0042725A">
        <w:rPr>
          <w:bCs/>
          <w:sz w:val="24"/>
        </w:rPr>
        <w:t>轻度损害</w:t>
      </w:r>
      <w:r w:rsidRPr="0042725A">
        <w:rPr>
          <w:rFonts w:hint="eastAsia"/>
          <w:bCs/>
          <w:sz w:val="24"/>
        </w:rPr>
        <w:t>为主，损害的土地利用类型以耕地和天然牧草地为主</w:t>
      </w:r>
      <w:r w:rsidRPr="0042725A">
        <w:rPr>
          <w:bCs/>
          <w:sz w:val="24"/>
        </w:rPr>
        <w:t>。</w:t>
      </w:r>
    </w:p>
    <w:p w:rsidR="00C223F5" w:rsidRDefault="005860D5" w:rsidP="00A82F91">
      <w:pPr>
        <w:snapToGrid w:val="0"/>
        <w:jc w:val="center"/>
        <w:rPr>
          <w:b/>
          <w:bCs/>
          <w:snapToGrid w:val="0"/>
          <w:kern w:val="32"/>
          <w:sz w:val="24"/>
        </w:rPr>
      </w:pPr>
      <w:r>
        <w:rPr>
          <w:b/>
          <w:bCs/>
          <w:snapToGrid w:val="0"/>
          <w:kern w:val="32"/>
          <w:sz w:val="24"/>
        </w:rPr>
        <w:t>表</w:t>
      </w:r>
      <w:r>
        <w:rPr>
          <w:b/>
          <w:bCs/>
          <w:snapToGrid w:val="0"/>
          <w:kern w:val="32"/>
          <w:sz w:val="24"/>
        </w:rPr>
        <w:t>4.2.1-</w:t>
      </w:r>
      <w:r>
        <w:rPr>
          <w:rFonts w:hint="eastAsia"/>
          <w:b/>
          <w:bCs/>
          <w:snapToGrid w:val="0"/>
          <w:kern w:val="32"/>
          <w:sz w:val="24"/>
        </w:rPr>
        <w:t>5</w:t>
      </w:r>
      <w:r>
        <w:rPr>
          <w:b/>
          <w:bCs/>
          <w:snapToGrid w:val="0"/>
          <w:kern w:val="32"/>
          <w:sz w:val="24"/>
        </w:rPr>
        <w:t>土地资源损害程度分级标准</w:t>
      </w:r>
    </w:p>
    <w:tbl>
      <w:tblPr>
        <w:tblW w:w="86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20"/>
        <w:gridCol w:w="1426"/>
        <w:gridCol w:w="1410"/>
        <w:gridCol w:w="1606"/>
        <w:gridCol w:w="1365"/>
        <w:gridCol w:w="1625"/>
      </w:tblGrid>
      <w:tr w:rsidR="00C223F5" w:rsidTr="000E55DC">
        <w:trPr>
          <w:trHeight w:val="546"/>
          <w:jc w:val="center"/>
        </w:trPr>
        <w:tc>
          <w:tcPr>
            <w:tcW w:w="1220" w:type="dxa"/>
            <w:vAlign w:val="center"/>
          </w:tcPr>
          <w:p w:rsidR="00C223F5" w:rsidRDefault="005860D5" w:rsidP="00A82F91">
            <w:pPr>
              <w:pStyle w:val="affffff7"/>
              <w:spacing w:line="320" w:lineRule="exact"/>
              <w:rPr>
                <w:color w:val="auto"/>
                <w:sz w:val="21"/>
                <w:szCs w:val="21"/>
              </w:rPr>
            </w:pPr>
            <w:r>
              <w:rPr>
                <w:color w:val="auto"/>
                <w:sz w:val="21"/>
                <w:szCs w:val="21"/>
              </w:rPr>
              <w:t>土地利用</w:t>
            </w:r>
          </w:p>
          <w:p w:rsidR="00C223F5" w:rsidRDefault="005860D5" w:rsidP="00A82F91">
            <w:pPr>
              <w:pStyle w:val="affffff7"/>
              <w:spacing w:line="320" w:lineRule="exact"/>
              <w:rPr>
                <w:color w:val="auto"/>
                <w:sz w:val="21"/>
                <w:szCs w:val="21"/>
              </w:rPr>
            </w:pPr>
            <w:r>
              <w:rPr>
                <w:color w:val="auto"/>
                <w:sz w:val="21"/>
                <w:szCs w:val="21"/>
              </w:rPr>
              <w:t>类型</w:t>
            </w:r>
          </w:p>
        </w:tc>
        <w:tc>
          <w:tcPr>
            <w:tcW w:w="1426" w:type="dxa"/>
            <w:vAlign w:val="center"/>
          </w:tcPr>
          <w:p w:rsidR="00C223F5" w:rsidRDefault="005860D5" w:rsidP="00A82F91">
            <w:pPr>
              <w:pStyle w:val="affffff7"/>
              <w:spacing w:line="320" w:lineRule="exact"/>
              <w:rPr>
                <w:color w:val="auto"/>
                <w:sz w:val="21"/>
                <w:szCs w:val="21"/>
              </w:rPr>
            </w:pPr>
            <w:r>
              <w:rPr>
                <w:color w:val="auto"/>
                <w:sz w:val="21"/>
                <w:szCs w:val="21"/>
              </w:rPr>
              <w:t>损害程度</w:t>
            </w:r>
          </w:p>
        </w:tc>
        <w:tc>
          <w:tcPr>
            <w:tcW w:w="1410" w:type="dxa"/>
            <w:vAlign w:val="center"/>
          </w:tcPr>
          <w:p w:rsidR="00C223F5" w:rsidRDefault="005860D5" w:rsidP="00A82F91">
            <w:pPr>
              <w:pStyle w:val="affffff7"/>
              <w:spacing w:line="320" w:lineRule="exact"/>
              <w:rPr>
                <w:color w:val="auto"/>
                <w:sz w:val="21"/>
                <w:szCs w:val="21"/>
              </w:rPr>
            </w:pPr>
            <w:r>
              <w:rPr>
                <w:color w:val="auto"/>
                <w:sz w:val="21"/>
                <w:szCs w:val="21"/>
              </w:rPr>
              <w:t>水平变形（</w:t>
            </w:r>
            <w:r>
              <w:rPr>
                <w:color w:val="auto"/>
                <w:sz w:val="21"/>
                <w:szCs w:val="21"/>
              </w:rPr>
              <w:t>mm/m</w:t>
            </w:r>
            <w:r>
              <w:rPr>
                <w:color w:val="auto"/>
                <w:sz w:val="21"/>
                <w:szCs w:val="21"/>
              </w:rPr>
              <w:t>）</w:t>
            </w:r>
          </w:p>
        </w:tc>
        <w:tc>
          <w:tcPr>
            <w:tcW w:w="1606" w:type="dxa"/>
            <w:vAlign w:val="center"/>
          </w:tcPr>
          <w:p w:rsidR="00C223F5" w:rsidRDefault="005860D5" w:rsidP="00A82F91">
            <w:pPr>
              <w:pStyle w:val="affffff7"/>
              <w:spacing w:line="320" w:lineRule="exact"/>
              <w:rPr>
                <w:color w:val="auto"/>
                <w:sz w:val="21"/>
                <w:szCs w:val="21"/>
              </w:rPr>
            </w:pPr>
            <w:r>
              <w:rPr>
                <w:color w:val="auto"/>
                <w:sz w:val="21"/>
                <w:szCs w:val="21"/>
              </w:rPr>
              <w:t>附加倾斜</w:t>
            </w:r>
          </w:p>
          <w:p w:rsidR="00C223F5" w:rsidRDefault="005860D5" w:rsidP="00A82F91">
            <w:pPr>
              <w:pStyle w:val="affffff7"/>
              <w:spacing w:line="320" w:lineRule="exact"/>
              <w:rPr>
                <w:color w:val="auto"/>
                <w:sz w:val="21"/>
                <w:szCs w:val="21"/>
              </w:rPr>
            </w:pPr>
            <w:r>
              <w:rPr>
                <w:color w:val="auto"/>
                <w:sz w:val="21"/>
                <w:szCs w:val="21"/>
              </w:rPr>
              <w:t>（</w:t>
            </w:r>
            <w:r>
              <w:rPr>
                <w:color w:val="auto"/>
                <w:sz w:val="21"/>
                <w:szCs w:val="21"/>
              </w:rPr>
              <w:t>mm/m</w:t>
            </w:r>
            <w:r>
              <w:rPr>
                <w:color w:val="auto"/>
                <w:sz w:val="21"/>
                <w:szCs w:val="21"/>
              </w:rPr>
              <w:t>）</w:t>
            </w:r>
          </w:p>
        </w:tc>
        <w:tc>
          <w:tcPr>
            <w:tcW w:w="1365" w:type="dxa"/>
            <w:vAlign w:val="center"/>
          </w:tcPr>
          <w:p w:rsidR="00C223F5" w:rsidRDefault="005860D5" w:rsidP="00A82F91">
            <w:pPr>
              <w:pStyle w:val="affffff7"/>
              <w:spacing w:line="320" w:lineRule="exact"/>
              <w:rPr>
                <w:color w:val="auto"/>
                <w:sz w:val="21"/>
                <w:szCs w:val="21"/>
              </w:rPr>
            </w:pPr>
            <w:r>
              <w:rPr>
                <w:color w:val="auto"/>
                <w:sz w:val="21"/>
                <w:szCs w:val="21"/>
              </w:rPr>
              <w:t>下沉</w:t>
            </w:r>
          </w:p>
          <w:p w:rsidR="00C223F5" w:rsidRDefault="005860D5" w:rsidP="00A82F91">
            <w:pPr>
              <w:pStyle w:val="affffff7"/>
              <w:spacing w:line="320" w:lineRule="exact"/>
              <w:rPr>
                <w:color w:val="auto"/>
                <w:sz w:val="21"/>
                <w:szCs w:val="21"/>
              </w:rPr>
            </w:pPr>
            <w:r>
              <w:rPr>
                <w:color w:val="auto"/>
                <w:sz w:val="21"/>
                <w:szCs w:val="21"/>
              </w:rPr>
              <w:t>（</w:t>
            </w:r>
            <w:r>
              <w:rPr>
                <w:color w:val="auto"/>
                <w:sz w:val="21"/>
                <w:szCs w:val="21"/>
              </w:rPr>
              <w:t>m</w:t>
            </w:r>
            <w:r>
              <w:rPr>
                <w:color w:val="auto"/>
                <w:sz w:val="21"/>
                <w:szCs w:val="21"/>
              </w:rPr>
              <w:t>）</w:t>
            </w:r>
          </w:p>
        </w:tc>
        <w:tc>
          <w:tcPr>
            <w:tcW w:w="1625" w:type="dxa"/>
            <w:vAlign w:val="center"/>
          </w:tcPr>
          <w:p w:rsidR="00C223F5" w:rsidRDefault="005860D5" w:rsidP="00A82F91">
            <w:pPr>
              <w:pStyle w:val="affffff7"/>
              <w:spacing w:line="320" w:lineRule="exact"/>
              <w:rPr>
                <w:color w:val="auto"/>
                <w:sz w:val="21"/>
                <w:szCs w:val="21"/>
              </w:rPr>
            </w:pPr>
            <w:r>
              <w:rPr>
                <w:color w:val="auto"/>
                <w:sz w:val="21"/>
                <w:szCs w:val="21"/>
              </w:rPr>
              <w:t>沉陷后潜水位</w:t>
            </w:r>
          </w:p>
          <w:p w:rsidR="00C223F5" w:rsidRDefault="005860D5" w:rsidP="00A82F91">
            <w:pPr>
              <w:pStyle w:val="affffff7"/>
              <w:spacing w:line="320" w:lineRule="exact"/>
              <w:rPr>
                <w:color w:val="auto"/>
                <w:sz w:val="21"/>
                <w:szCs w:val="21"/>
              </w:rPr>
            </w:pPr>
            <w:r>
              <w:rPr>
                <w:color w:val="auto"/>
                <w:sz w:val="21"/>
                <w:szCs w:val="21"/>
              </w:rPr>
              <w:t>埋深（</w:t>
            </w:r>
            <w:r>
              <w:rPr>
                <w:color w:val="auto"/>
                <w:sz w:val="21"/>
                <w:szCs w:val="21"/>
              </w:rPr>
              <w:t>m</w:t>
            </w:r>
            <w:r>
              <w:rPr>
                <w:color w:val="auto"/>
                <w:sz w:val="21"/>
                <w:szCs w:val="21"/>
              </w:rPr>
              <w:t>）</w:t>
            </w:r>
          </w:p>
        </w:tc>
      </w:tr>
      <w:tr w:rsidR="00C223F5" w:rsidTr="000E55DC">
        <w:trPr>
          <w:trHeight w:val="20"/>
          <w:jc w:val="center"/>
        </w:trPr>
        <w:tc>
          <w:tcPr>
            <w:tcW w:w="1220" w:type="dxa"/>
            <w:vMerge w:val="restart"/>
            <w:vAlign w:val="center"/>
          </w:tcPr>
          <w:p w:rsidR="00C223F5" w:rsidRDefault="005860D5" w:rsidP="00A82F91">
            <w:pPr>
              <w:pStyle w:val="affffff7"/>
              <w:spacing w:line="320" w:lineRule="exact"/>
              <w:rPr>
                <w:sz w:val="21"/>
                <w:szCs w:val="21"/>
              </w:rPr>
            </w:pPr>
            <w:r>
              <w:rPr>
                <w:sz w:val="21"/>
                <w:szCs w:val="21"/>
              </w:rPr>
              <w:t>水浇地</w:t>
            </w:r>
          </w:p>
        </w:tc>
        <w:tc>
          <w:tcPr>
            <w:tcW w:w="1426" w:type="dxa"/>
            <w:vAlign w:val="center"/>
          </w:tcPr>
          <w:p w:rsidR="00C223F5" w:rsidRDefault="005860D5" w:rsidP="00A82F91">
            <w:pPr>
              <w:pStyle w:val="affffff7"/>
              <w:spacing w:line="320" w:lineRule="exact"/>
              <w:rPr>
                <w:sz w:val="21"/>
                <w:szCs w:val="21"/>
              </w:rPr>
            </w:pPr>
            <w:r>
              <w:rPr>
                <w:sz w:val="21"/>
                <w:szCs w:val="21"/>
              </w:rPr>
              <w:t>轻度</w:t>
            </w:r>
          </w:p>
        </w:tc>
        <w:tc>
          <w:tcPr>
            <w:tcW w:w="1410" w:type="dxa"/>
            <w:vAlign w:val="center"/>
          </w:tcPr>
          <w:p w:rsidR="00C223F5" w:rsidRDefault="005860D5" w:rsidP="00A82F91">
            <w:pPr>
              <w:pStyle w:val="affffff7"/>
              <w:spacing w:line="320" w:lineRule="exact"/>
              <w:rPr>
                <w:sz w:val="21"/>
                <w:szCs w:val="21"/>
              </w:rPr>
            </w:pPr>
            <w:r>
              <w:rPr>
                <w:sz w:val="21"/>
                <w:szCs w:val="21"/>
              </w:rPr>
              <w:t>≤4.0</w:t>
            </w:r>
          </w:p>
        </w:tc>
        <w:tc>
          <w:tcPr>
            <w:tcW w:w="1606" w:type="dxa"/>
            <w:vAlign w:val="center"/>
          </w:tcPr>
          <w:p w:rsidR="00C223F5" w:rsidRDefault="005860D5" w:rsidP="00A82F91">
            <w:pPr>
              <w:pStyle w:val="affffff7"/>
              <w:spacing w:line="320" w:lineRule="exact"/>
              <w:rPr>
                <w:sz w:val="21"/>
                <w:szCs w:val="21"/>
              </w:rPr>
            </w:pPr>
            <w:r>
              <w:rPr>
                <w:sz w:val="21"/>
                <w:szCs w:val="21"/>
              </w:rPr>
              <w:t>≤6.0</w:t>
            </w:r>
          </w:p>
        </w:tc>
        <w:tc>
          <w:tcPr>
            <w:tcW w:w="1365" w:type="dxa"/>
            <w:vAlign w:val="center"/>
          </w:tcPr>
          <w:p w:rsidR="00C223F5" w:rsidRDefault="005860D5" w:rsidP="00A82F91">
            <w:pPr>
              <w:pStyle w:val="affffff7"/>
              <w:spacing w:line="320" w:lineRule="exact"/>
              <w:rPr>
                <w:sz w:val="21"/>
                <w:szCs w:val="21"/>
              </w:rPr>
            </w:pPr>
            <w:r>
              <w:rPr>
                <w:sz w:val="21"/>
                <w:szCs w:val="21"/>
              </w:rPr>
              <w:t>≤1.5</w:t>
            </w:r>
          </w:p>
        </w:tc>
        <w:tc>
          <w:tcPr>
            <w:tcW w:w="1625" w:type="dxa"/>
            <w:vAlign w:val="center"/>
          </w:tcPr>
          <w:p w:rsidR="00C223F5" w:rsidRDefault="005860D5" w:rsidP="00A82F91">
            <w:pPr>
              <w:pStyle w:val="affffff7"/>
              <w:spacing w:line="320" w:lineRule="exact"/>
              <w:rPr>
                <w:sz w:val="21"/>
                <w:szCs w:val="21"/>
              </w:rPr>
            </w:pPr>
            <w:r>
              <w:rPr>
                <w:sz w:val="21"/>
                <w:szCs w:val="21"/>
              </w:rPr>
              <w:t>≥1.5</w:t>
            </w:r>
          </w:p>
        </w:tc>
      </w:tr>
      <w:tr w:rsidR="00C223F5" w:rsidTr="000E55DC">
        <w:trPr>
          <w:trHeight w:val="20"/>
          <w:jc w:val="center"/>
        </w:trPr>
        <w:tc>
          <w:tcPr>
            <w:tcW w:w="1220" w:type="dxa"/>
            <w:vMerge/>
            <w:vAlign w:val="center"/>
          </w:tcPr>
          <w:p w:rsidR="00C223F5" w:rsidRDefault="00C223F5" w:rsidP="00A82F91">
            <w:pPr>
              <w:pStyle w:val="affffff7"/>
              <w:spacing w:line="320" w:lineRule="exact"/>
              <w:rPr>
                <w:sz w:val="21"/>
                <w:szCs w:val="21"/>
              </w:rPr>
            </w:pPr>
          </w:p>
        </w:tc>
        <w:tc>
          <w:tcPr>
            <w:tcW w:w="1426" w:type="dxa"/>
            <w:vAlign w:val="center"/>
          </w:tcPr>
          <w:p w:rsidR="00C223F5" w:rsidRDefault="005860D5" w:rsidP="00A82F91">
            <w:pPr>
              <w:pStyle w:val="affffff7"/>
              <w:spacing w:line="320" w:lineRule="exact"/>
              <w:rPr>
                <w:sz w:val="21"/>
                <w:szCs w:val="21"/>
              </w:rPr>
            </w:pPr>
            <w:r>
              <w:rPr>
                <w:sz w:val="21"/>
                <w:szCs w:val="21"/>
              </w:rPr>
              <w:t>中度</w:t>
            </w:r>
          </w:p>
        </w:tc>
        <w:tc>
          <w:tcPr>
            <w:tcW w:w="1410" w:type="dxa"/>
            <w:vAlign w:val="center"/>
          </w:tcPr>
          <w:p w:rsidR="00C223F5" w:rsidRDefault="005860D5" w:rsidP="00A82F91">
            <w:pPr>
              <w:pStyle w:val="affffff7"/>
              <w:spacing w:line="320" w:lineRule="exact"/>
              <w:rPr>
                <w:sz w:val="21"/>
                <w:szCs w:val="21"/>
              </w:rPr>
            </w:pPr>
            <w:r>
              <w:rPr>
                <w:sz w:val="21"/>
                <w:szCs w:val="21"/>
              </w:rPr>
              <w:t>4.0</w:t>
            </w:r>
            <w:r>
              <w:rPr>
                <w:sz w:val="21"/>
                <w:szCs w:val="21"/>
              </w:rPr>
              <w:t>～</w:t>
            </w:r>
            <w:r>
              <w:rPr>
                <w:sz w:val="21"/>
                <w:szCs w:val="21"/>
              </w:rPr>
              <w:t>8.0</w:t>
            </w:r>
          </w:p>
        </w:tc>
        <w:tc>
          <w:tcPr>
            <w:tcW w:w="1606" w:type="dxa"/>
            <w:vAlign w:val="center"/>
          </w:tcPr>
          <w:p w:rsidR="00C223F5" w:rsidRDefault="005860D5" w:rsidP="00A82F91">
            <w:pPr>
              <w:pStyle w:val="affffff7"/>
              <w:spacing w:line="320" w:lineRule="exact"/>
              <w:rPr>
                <w:sz w:val="21"/>
                <w:szCs w:val="21"/>
              </w:rPr>
            </w:pPr>
            <w:r>
              <w:rPr>
                <w:sz w:val="21"/>
                <w:szCs w:val="21"/>
              </w:rPr>
              <w:t>6.0</w:t>
            </w:r>
            <w:r>
              <w:rPr>
                <w:sz w:val="21"/>
                <w:szCs w:val="21"/>
              </w:rPr>
              <w:t>～</w:t>
            </w:r>
            <w:r>
              <w:rPr>
                <w:sz w:val="21"/>
                <w:szCs w:val="21"/>
              </w:rPr>
              <w:t>12.0</w:t>
            </w:r>
          </w:p>
        </w:tc>
        <w:tc>
          <w:tcPr>
            <w:tcW w:w="1365" w:type="dxa"/>
            <w:vAlign w:val="center"/>
          </w:tcPr>
          <w:p w:rsidR="00C223F5" w:rsidRDefault="005860D5" w:rsidP="00A82F91">
            <w:pPr>
              <w:pStyle w:val="affffff7"/>
              <w:spacing w:line="320" w:lineRule="exact"/>
              <w:rPr>
                <w:sz w:val="21"/>
                <w:szCs w:val="21"/>
              </w:rPr>
            </w:pPr>
            <w:r>
              <w:rPr>
                <w:sz w:val="21"/>
                <w:szCs w:val="21"/>
              </w:rPr>
              <w:t>1.5</w:t>
            </w:r>
            <w:r>
              <w:rPr>
                <w:sz w:val="21"/>
                <w:szCs w:val="21"/>
              </w:rPr>
              <w:t>～</w:t>
            </w:r>
            <w:r>
              <w:rPr>
                <w:sz w:val="21"/>
                <w:szCs w:val="21"/>
              </w:rPr>
              <w:t>3.0</w:t>
            </w:r>
          </w:p>
        </w:tc>
        <w:tc>
          <w:tcPr>
            <w:tcW w:w="1625" w:type="dxa"/>
            <w:vAlign w:val="center"/>
          </w:tcPr>
          <w:p w:rsidR="00C223F5" w:rsidRDefault="005860D5" w:rsidP="00A82F91">
            <w:pPr>
              <w:pStyle w:val="affffff7"/>
              <w:spacing w:line="320" w:lineRule="exact"/>
              <w:rPr>
                <w:sz w:val="21"/>
                <w:szCs w:val="21"/>
              </w:rPr>
            </w:pPr>
            <w:r>
              <w:rPr>
                <w:sz w:val="21"/>
                <w:szCs w:val="21"/>
              </w:rPr>
              <w:t>0.5</w:t>
            </w:r>
            <w:r>
              <w:rPr>
                <w:sz w:val="21"/>
                <w:szCs w:val="21"/>
              </w:rPr>
              <w:t>～</w:t>
            </w:r>
            <w:r>
              <w:rPr>
                <w:sz w:val="21"/>
                <w:szCs w:val="21"/>
              </w:rPr>
              <w:t>1.5</w:t>
            </w:r>
          </w:p>
        </w:tc>
      </w:tr>
      <w:tr w:rsidR="00C223F5" w:rsidTr="000E55DC">
        <w:trPr>
          <w:trHeight w:val="20"/>
          <w:jc w:val="center"/>
        </w:trPr>
        <w:tc>
          <w:tcPr>
            <w:tcW w:w="1220" w:type="dxa"/>
            <w:vMerge/>
            <w:vAlign w:val="center"/>
          </w:tcPr>
          <w:p w:rsidR="00C223F5" w:rsidRDefault="00C223F5" w:rsidP="00A82F91">
            <w:pPr>
              <w:pStyle w:val="affffff7"/>
              <w:spacing w:line="320" w:lineRule="exact"/>
              <w:rPr>
                <w:sz w:val="21"/>
                <w:szCs w:val="21"/>
              </w:rPr>
            </w:pPr>
          </w:p>
        </w:tc>
        <w:tc>
          <w:tcPr>
            <w:tcW w:w="1426" w:type="dxa"/>
            <w:vAlign w:val="center"/>
          </w:tcPr>
          <w:p w:rsidR="00C223F5" w:rsidRDefault="005860D5" w:rsidP="00A82F91">
            <w:pPr>
              <w:pStyle w:val="affffff7"/>
              <w:spacing w:line="320" w:lineRule="exact"/>
              <w:rPr>
                <w:sz w:val="21"/>
                <w:szCs w:val="21"/>
              </w:rPr>
            </w:pPr>
            <w:r>
              <w:rPr>
                <w:sz w:val="21"/>
                <w:szCs w:val="21"/>
              </w:rPr>
              <w:t>重度</w:t>
            </w:r>
          </w:p>
        </w:tc>
        <w:tc>
          <w:tcPr>
            <w:tcW w:w="1410" w:type="dxa"/>
            <w:vAlign w:val="center"/>
          </w:tcPr>
          <w:p w:rsidR="00C223F5" w:rsidRDefault="005860D5" w:rsidP="00A82F91">
            <w:pPr>
              <w:pStyle w:val="affffff7"/>
              <w:spacing w:line="320" w:lineRule="exact"/>
              <w:rPr>
                <w:sz w:val="21"/>
                <w:szCs w:val="21"/>
              </w:rPr>
            </w:pPr>
            <w:r>
              <w:rPr>
                <w:sz w:val="21"/>
                <w:szCs w:val="21"/>
              </w:rPr>
              <w:t>＞</w:t>
            </w:r>
            <w:r>
              <w:rPr>
                <w:sz w:val="21"/>
                <w:szCs w:val="21"/>
              </w:rPr>
              <w:t>8.0</w:t>
            </w:r>
          </w:p>
        </w:tc>
        <w:tc>
          <w:tcPr>
            <w:tcW w:w="1606" w:type="dxa"/>
            <w:vAlign w:val="center"/>
          </w:tcPr>
          <w:p w:rsidR="00C223F5" w:rsidRDefault="005860D5" w:rsidP="00A82F91">
            <w:pPr>
              <w:pStyle w:val="affffff7"/>
              <w:spacing w:line="320" w:lineRule="exact"/>
              <w:rPr>
                <w:sz w:val="21"/>
                <w:szCs w:val="21"/>
              </w:rPr>
            </w:pPr>
            <w:r>
              <w:rPr>
                <w:sz w:val="21"/>
                <w:szCs w:val="21"/>
              </w:rPr>
              <w:t>＞</w:t>
            </w:r>
            <w:r>
              <w:rPr>
                <w:sz w:val="21"/>
                <w:szCs w:val="21"/>
              </w:rPr>
              <w:t>12.0</w:t>
            </w:r>
          </w:p>
        </w:tc>
        <w:tc>
          <w:tcPr>
            <w:tcW w:w="1365" w:type="dxa"/>
            <w:vAlign w:val="center"/>
          </w:tcPr>
          <w:p w:rsidR="00C223F5" w:rsidRDefault="005860D5" w:rsidP="00A82F91">
            <w:pPr>
              <w:pStyle w:val="affffff7"/>
              <w:spacing w:line="320" w:lineRule="exact"/>
              <w:rPr>
                <w:sz w:val="21"/>
                <w:szCs w:val="21"/>
              </w:rPr>
            </w:pPr>
            <w:r>
              <w:rPr>
                <w:sz w:val="21"/>
                <w:szCs w:val="21"/>
              </w:rPr>
              <w:t>＞</w:t>
            </w:r>
            <w:r>
              <w:rPr>
                <w:sz w:val="21"/>
                <w:szCs w:val="21"/>
              </w:rPr>
              <w:t>3.0</w:t>
            </w:r>
          </w:p>
        </w:tc>
        <w:tc>
          <w:tcPr>
            <w:tcW w:w="1625" w:type="dxa"/>
            <w:vAlign w:val="center"/>
          </w:tcPr>
          <w:p w:rsidR="00C223F5" w:rsidRDefault="005860D5" w:rsidP="00A82F91">
            <w:pPr>
              <w:pStyle w:val="affffff7"/>
              <w:spacing w:line="320" w:lineRule="exact"/>
              <w:rPr>
                <w:sz w:val="21"/>
                <w:szCs w:val="21"/>
              </w:rPr>
            </w:pPr>
            <w:r>
              <w:rPr>
                <w:sz w:val="21"/>
                <w:szCs w:val="21"/>
              </w:rPr>
              <w:t>&lt;0.5</w:t>
            </w:r>
          </w:p>
        </w:tc>
      </w:tr>
      <w:tr w:rsidR="00C223F5" w:rsidTr="000E55DC">
        <w:trPr>
          <w:trHeight w:val="20"/>
          <w:jc w:val="center"/>
        </w:trPr>
        <w:tc>
          <w:tcPr>
            <w:tcW w:w="1220" w:type="dxa"/>
            <w:vMerge w:val="restart"/>
            <w:vAlign w:val="center"/>
          </w:tcPr>
          <w:p w:rsidR="00C223F5" w:rsidRDefault="005860D5" w:rsidP="00A82F91">
            <w:pPr>
              <w:pStyle w:val="affffff7"/>
              <w:spacing w:line="320" w:lineRule="exact"/>
              <w:rPr>
                <w:sz w:val="21"/>
                <w:szCs w:val="21"/>
              </w:rPr>
            </w:pPr>
            <w:r>
              <w:rPr>
                <w:sz w:val="21"/>
                <w:szCs w:val="21"/>
              </w:rPr>
              <w:t>旱地</w:t>
            </w:r>
          </w:p>
        </w:tc>
        <w:tc>
          <w:tcPr>
            <w:tcW w:w="1426" w:type="dxa"/>
            <w:vAlign w:val="center"/>
          </w:tcPr>
          <w:p w:rsidR="00C223F5" w:rsidRDefault="005860D5" w:rsidP="00A82F91">
            <w:pPr>
              <w:pStyle w:val="affffff7"/>
              <w:spacing w:line="320" w:lineRule="exact"/>
              <w:rPr>
                <w:sz w:val="21"/>
                <w:szCs w:val="21"/>
              </w:rPr>
            </w:pPr>
            <w:r>
              <w:rPr>
                <w:sz w:val="21"/>
                <w:szCs w:val="21"/>
              </w:rPr>
              <w:t>轻度</w:t>
            </w:r>
          </w:p>
        </w:tc>
        <w:tc>
          <w:tcPr>
            <w:tcW w:w="1410" w:type="dxa"/>
            <w:vAlign w:val="center"/>
          </w:tcPr>
          <w:p w:rsidR="00C223F5" w:rsidRDefault="005860D5" w:rsidP="00A82F91">
            <w:pPr>
              <w:pStyle w:val="affffff7"/>
              <w:spacing w:line="320" w:lineRule="exact"/>
              <w:rPr>
                <w:sz w:val="21"/>
                <w:szCs w:val="21"/>
              </w:rPr>
            </w:pPr>
            <w:r>
              <w:rPr>
                <w:sz w:val="21"/>
                <w:szCs w:val="21"/>
              </w:rPr>
              <w:t>≤8.0</w:t>
            </w:r>
          </w:p>
        </w:tc>
        <w:tc>
          <w:tcPr>
            <w:tcW w:w="1606" w:type="dxa"/>
            <w:vAlign w:val="center"/>
          </w:tcPr>
          <w:p w:rsidR="00C223F5" w:rsidRDefault="005860D5" w:rsidP="00A82F91">
            <w:pPr>
              <w:pStyle w:val="affffff7"/>
              <w:spacing w:line="320" w:lineRule="exact"/>
              <w:rPr>
                <w:sz w:val="21"/>
                <w:szCs w:val="21"/>
              </w:rPr>
            </w:pPr>
            <w:r>
              <w:rPr>
                <w:sz w:val="21"/>
                <w:szCs w:val="21"/>
              </w:rPr>
              <w:t>≤20.0</w:t>
            </w:r>
          </w:p>
        </w:tc>
        <w:tc>
          <w:tcPr>
            <w:tcW w:w="1365" w:type="dxa"/>
            <w:vAlign w:val="center"/>
          </w:tcPr>
          <w:p w:rsidR="00C223F5" w:rsidRDefault="005860D5" w:rsidP="00A82F91">
            <w:pPr>
              <w:pStyle w:val="affffff7"/>
              <w:spacing w:line="320" w:lineRule="exact"/>
              <w:rPr>
                <w:sz w:val="21"/>
                <w:szCs w:val="21"/>
              </w:rPr>
            </w:pPr>
            <w:r>
              <w:rPr>
                <w:sz w:val="21"/>
                <w:szCs w:val="21"/>
              </w:rPr>
              <w:t>≤2.0</w:t>
            </w:r>
          </w:p>
        </w:tc>
        <w:tc>
          <w:tcPr>
            <w:tcW w:w="1625" w:type="dxa"/>
            <w:vAlign w:val="center"/>
          </w:tcPr>
          <w:p w:rsidR="00C223F5" w:rsidRDefault="005860D5" w:rsidP="00A82F91">
            <w:pPr>
              <w:pStyle w:val="affffff7"/>
              <w:spacing w:line="320" w:lineRule="exact"/>
              <w:rPr>
                <w:sz w:val="21"/>
                <w:szCs w:val="21"/>
              </w:rPr>
            </w:pPr>
            <w:r>
              <w:rPr>
                <w:sz w:val="21"/>
                <w:szCs w:val="21"/>
              </w:rPr>
              <w:t>≥1.5</w:t>
            </w:r>
          </w:p>
        </w:tc>
      </w:tr>
      <w:tr w:rsidR="00C223F5" w:rsidTr="000E55DC">
        <w:trPr>
          <w:trHeight w:val="20"/>
          <w:jc w:val="center"/>
        </w:trPr>
        <w:tc>
          <w:tcPr>
            <w:tcW w:w="1220" w:type="dxa"/>
            <w:vMerge/>
            <w:vAlign w:val="center"/>
          </w:tcPr>
          <w:p w:rsidR="00C223F5" w:rsidRDefault="00C223F5" w:rsidP="00A82F91">
            <w:pPr>
              <w:pStyle w:val="affffff7"/>
              <w:spacing w:line="320" w:lineRule="exact"/>
              <w:rPr>
                <w:sz w:val="21"/>
                <w:szCs w:val="21"/>
              </w:rPr>
            </w:pPr>
          </w:p>
        </w:tc>
        <w:tc>
          <w:tcPr>
            <w:tcW w:w="1426" w:type="dxa"/>
            <w:vAlign w:val="center"/>
          </w:tcPr>
          <w:p w:rsidR="00C223F5" w:rsidRDefault="005860D5" w:rsidP="00A82F91">
            <w:pPr>
              <w:pStyle w:val="affffff7"/>
              <w:spacing w:line="320" w:lineRule="exact"/>
              <w:rPr>
                <w:sz w:val="21"/>
                <w:szCs w:val="21"/>
              </w:rPr>
            </w:pPr>
            <w:r>
              <w:rPr>
                <w:sz w:val="21"/>
                <w:szCs w:val="21"/>
              </w:rPr>
              <w:t>中度</w:t>
            </w:r>
          </w:p>
        </w:tc>
        <w:tc>
          <w:tcPr>
            <w:tcW w:w="1410" w:type="dxa"/>
            <w:vAlign w:val="center"/>
          </w:tcPr>
          <w:p w:rsidR="00C223F5" w:rsidRDefault="005860D5" w:rsidP="00A82F91">
            <w:pPr>
              <w:pStyle w:val="affffff7"/>
              <w:spacing w:line="320" w:lineRule="exact"/>
              <w:rPr>
                <w:sz w:val="21"/>
                <w:szCs w:val="21"/>
              </w:rPr>
            </w:pPr>
            <w:r>
              <w:rPr>
                <w:sz w:val="21"/>
                <w:szCs w:val="21"/>
              </w:rPr>
              <w:t>8.0</w:t>
            </w:r>
            <w:r>
              <w:rPr>
                <w:sz w:val="21"/>
                <w:szCs w:val="21"/>
              </w:rPr>
              <w:t>～</w:t>
            </w:r>
            <w:r>
              <w:rPr>
                <w:sz w:val="21"/>
                <w:szCs w:val="21"/>
              </w:rPr>
              <w:t>16.0</w:t>
            </w:r>
          </w:p>
        </w:tc>
        <w:tc>
          <w:tcPr>
            <w:tcW w:w="1606" w:type="dxa"/>
            <w:vAlign w:val="center"/>
          </w:tcPr>
          <w:p w:rsidR="00C223F5" w:rsidRDefault="005860D5" w:rsidP="00A82F91">
            <w:pPr>
              <w:pStyle w:val="affffff7"/>
              <w:spacing w:line="320" w:lineRule="exact"/>
              <w:rPr>
                <w:sz w:val="21"/>
                <w:szCs w:val="21"/>
              </w:rPr>
            </w:pPr>
            <w:r>
              <w:rPr>
                <w:sz w:val="21"/>
                <w:szCs w:val="21"/>
              </w:rPr>
              <w:t>20.0</w:t>
            </w:r>
            <w:r>
              <w:rPr>
                <w:sz w:val="21"/>
                <w:szCs w:val="21"/>
              </w:rPr>
              <w:t>～</w:t>
            </w:r>
            <w:r>
              <w:rPr>
                <w:sz w:val="21"/>
                <w:szCs w:val="21"/>
              </w:rPr>
              <w:t>40.0</w:t>
            </w:r>
          </w:p>
        </w:tc>
        <w:tc>
          <w:tcPr>
            <w:tcW w:w="1365" w:type="dxa"/>
            <w:vAlign w:val="center"/>
          </w:tcPr>
          <w:p w:rsidR="00C223F5" w:rsidRDefault="005860D5" w:rsidP="00A82F91">
            <w:pPr>
              <w:pStyle w:val="affffff7"/>
              <w:spacing w:line="320" w:lineRule="exact"/>
              <w:rPr>
                <w:sz w:val="21"/>
                <w:szCs w:val="21"/>
              </w:rPr>
            </w:pPr>
            <w:r>
              <w:rPr>
                <w:sz w:val="21"/>
                <w:szCs w:val="21"/>
              </w:rPr>
              <w:t>2.0</w:t>
            </w:r>
            <w:r>
              <w:rPr>
                <w:sz w:val="21"/>
                <w:szCs w:val="21"/>
              </w:rPr>
              <w:t>～</w:t>
            </w:r>
            <w:r>
              <w:rPr>
                <w:sz w:val="21"/>
                <w:szCs w:val="21"/>
              </w:rPr>
              <w:t>5.0</w:t>
            </w:r>
          </w:p>
        </w:tc>
        <w:tc>
          <w:tcPr>
            <w:tcW w:w="1625" w:type="dxa"/>
            <w:vAlign w:val="center"/>
          </w:tcPr>
          <w:p w:rsidR="00C223F5" w:rsidRDefault="005860D5" w:rsidP="00A82F91">
            <w:pPr>
              <w:pStyle w:val="affffff7"/>
              <w:spacing w:line="320" w:lineRule="exact"/>
              <w:rPr>
                <w:sz w:val="21"/>
                <w:szCs w:val="21"/>
              </w:rPr>
            </w:pPr>
            <w:r>
              <w:rPr>
                <w:sz w:val="21"/>
                <w:szCs w:val="21"/>
              </w:rPr>
              <w:t>0.5</w:t>
            </w:r>
            <w:r>
              <w:rPr>
                <w:sz w:val="21"/>
                <w:szCs w:val="21"/>
              </w:rPr>
              <w:t>～</w:t>
            </w:r>
            <w:r>
              <w:rPr>
                <w:sz w:val="21"/>
                <w:szCs w:val="21"/>
              </w:rPr>
              <w:t>1.5</w:t>
            </w:r>
          </w:p>
        </w:tc>
      </w:tr>
      <w:tr w:rsidR="00C223F5" w:rsidTr="000E55DC">
        <w:trPr>
          <w:trHeight w:val="20"/>
          <w:jc w:val="center"/>
        </w:trPr>
        <w:tc>
          <w:tcPr>
            <w:tcW w:w="1220" w:type="dxa"/>
            <w:vMerge/>
            <w:vAlign w:val="center"/>
          </w:tcPr>
          <w:p w:rsidR="00C223F5" w:rsidRDefault="00C223F5" w:rsidP="00A82F91">
            <w:pPr>
              <w:pStyle w:val="affffff7"/>
              <w:spacing w:line="320" w:lineRule="exact"/>
              <w:rPr>
                <w:sz w:val="21"/>
                <w:szCs w:val="21"/>
              </w:rPr>
            </w:pPr>
          </w:p>
        </w:tc>
        <w:tc>
          <w:tcPr>
            <w:tcW w:w="1426" w:type="dxa"/>
            <w:vAlign w:val="center"/>
          </w:tcPr>
          <w:p w:rsidR="00C223F5" w:rsidRDefault="005860D5" w:rsidP="00A82F91">
            <w:pPr>
              <w:pStyle w:val="affffff7"/>
              <w:spacing w:line="320" w:lineRule="exact"/>
              <w:rPr>
                <w:sz w:val="21"/>
                <w:szCs w:val="21"/>
              </w:rPr>
            </w:pPr>
            <w:r>
              <w:rPr>
                <w:sz w:val="21"/>
                <w:szCs w:val="21"/>
              </w:rPr>
              <w:t>重度</w:t>
            </w:r>
          </w:p>
        </w:tc>
        <w:tc>
          <w:tcPr>
            <w:tcW w:w="1410" w:type="dxa"/>
            <w:vAlign w:val="center"/>
          </w:tcPr>
          <w:p w:rsidR="00C223F5" w:rsidRDefault="005860D5" w:rsidP="00A82F91">
            <w:pPr>
              <w:pStyle w:val="affffff7"/>
              <w:spacing w:line="320" w:lineRule="exact"/>
              <w:rPr>
                <w:sz w:val="21"/>
                <w:szCs w:val="21"/>
              </w:rPr>
            </w:pPr>
            <w:r>
              <w:rPr>
                <w:sz w:val="21"/>
                <w:szCs w:val="21"/>
              </w:rPr>
              <w:t>＞</w:t>
            </w:r>
            <w:r>
              <w:rPr>
                <w:sz w:val="21"/>
                <w:szCs w:val="21"/>
              </w:rPr>
              <w:t>16.0</w:t>
            </w:r>
          </w:p>
        </w:tc>
        <w:tc>
          <w:tcPr>
            <w:tcW w:w="1606" w:type="dxa"/>
            <w:vAlign w:val="center"/>
          </w:tcPr>
          <w:p w:rsidR="00C223F5" w:rsidRDefault="005860D5" w:rsidP="00A82F91">
            <w:pPr>
              <w:pStyle w:val="affffff7"/>
              <w:spacing w:line="320" w:lineRule="exact"/>
              <w:rPr>
                <w:sz w:val="21"/>
                <w:szCs w:val="21"/>
              </w:rPr>
            </w:pPr>
            <w:r>
              <w:rPr>
                <w:sz w:val="21"/>
                <w:szCs w:val="21"/>
              </w:rPr>
              <w:t>＞</w:t>
            </w:r>
            <w:r>
              <w:rPr>
                <w:sz w:val="21"/>
                <w:szCs w:val="21"/>
              </w:rPr>
              <w:t>40.0</w:t>
            </w:r>
          </w:p>
        </w:tc>
        <w:tc>
          <w:tcPr>
            <w:tcW w:w="1365" w:type="dxa"/>
            <w:vAlign w:val="center"/>
          </w:tcPr>
          <w:p w:rsidR="00C223F5" w:rsidRDefault="005860D5" w:rsidP="00A82F91">
            <w:pPr>
              <w:pStyle w:val="affffff7"/>
              <w:spacing w:line="320" w:lineRule="exact"/>
              <w:rPr>
                <w:sz w:val="21"/>
                <w:szCs w:val="21"/>
              </w:rPr>
            </w:pPr>
            <w:r>
              <w:rPr>
                <w:sz w:val="21"/>
                <w:szCs w:val="21"/>
              </w:rPr>
              <w:t>＞</w:t>
            </w:r>
            <w:r>
              <w:rPr>
                <w:sz w:val="21"/>
                <w:szCs w:val="21"/>
              </w:rPr>
              <w:t>5.0</w:t>
            </w:r>
          </w:p>
        </w:tc>
        <w:tc>
          <w:tcPr>
            <w:tcW w:w="1625" w:type="dxa"/>
            <w:vAlign w:val="center"/>
          </w:tcPr>
          <w:p w:rsidR="00C223F5" w:rsidRDefault="005860D5" w:rsidP="00A82F91">
            <w:pPr>
              <w:pStyle w:val="affffff7"/>
              <w:spacing w:line="320" w:lineRule="exact"/>
              <w:rPr>
                <w:sz w:val="21"/>
                <w:szCs w:val="21"/>
              </w:rPr>
            </w:pPr>
            <w:r>
              <w:rPr>
                <w:sz w:val="21"/>
                <w:szCs w:val="21"/>
              </w:rPr>
              <w:t>&lt;0.5</w:t>
            </w:r>
          </w:p>
        </w:tc>
      </w:tr>
      <w:tr w:rsidR="00C223F5" w:rsidTr="000E55DC">
        <w:trPr>
          <w:trHeight w:val="20"/>
          <w:jc w:val="center"/>
        </w:trPr>
        <w:tc>
          <w:tcPr>
            <w:tcW w:w="1220" w:type="dxa"/>
            <w:vMerge w:val="restart"/>
            <w:vAlign w:val="center"/>
          </w:tcPr>
          <w:p w:rsidR="00C223F5" w:rsidRDefault="005860D5" w:rsidP="00A82F91">
            <w:pPr>
              <w:pStyle w:val="affffff7"/>
              <w:spacing w:line="320" w:lineRule="exact"/>
              <w:rPr>
                <w:sz w:val="21"/>
                <w:szCs w:val="21"/>
              </w:rPr>
            </w:pPr>
            <w:r>
              <w:rPr>
                <w:sz w:val="21"/>
                <w:szCs w:val="21"/>
              </w:rPr>
              <w:t>林地、草地</w:t>
            </w:r>
          </w:p>
        </w:tc>
        <w:tc>
          <w:tcPr>
            <w:tcW w:w="1426" w:type="dxa"/>
            <w:vAlign w:val="center"/>
          </w:tcPr>
          <w:p w:rsidR="00C223F5" w:rsidRDefault="005860D5" w:rsidP="00A82F91">
            <w:pPr>
              <w:pStyle w:val="affffff7"/>
              <w:spacing w:line="320" w:lineRule="exact"/>
              <w:rPr>
                <w:sz w:val="21"/>
                <w:szCs w:val="21"/>
              </w:rPr>
            </w:pPr>
            <w:r>
              <w:rPr>
                <w:sz w:val="21"/>
                <w:szCs w:val="21"/>
              </w:rPr>
              <w:t>轻度</w:t>
            </w:r>
          </w:p>
        </w:tc>
        <w:tc>
          <w:tcPr>
            <w:tcW w:w="1410" w:type="dxa"/>
            <w:vAlign w:val="center"/>
          </w:tcPr>
          <w:p w:rsidR="00C223F5" w:rsidRDefault="005860D5" w:rsidP="00A82F91">
            <w:pPr>
              <w:pStyle w:val="affffff7"/>
              <w:spacing w:line="320" w:lineRule="exact"/>
              <w:rPr>
                <w:sz w:val="21"/>
                <w:szCs w:val="21"/>
              </w:rPr>
            </w:pPr>
            <w:r>
              <w:rPr>
                <w:sz w:val="21"/>
                <w:szCs w:val="21"/>
              </w:rPr>
              <w:t>≤10.0</w:t>
            </w:r>
          </w:p>
        </w:tc>
        <w:tc>
          <w:tcPr>
            <w:tcW w:w="1606" w:type="dxa"/>
            <w:vAlign w:val="center"/>
          </w:tcPr>
          <w:p w:rsidR="00C223F5" w:rsidRDefault="005860D5" w:rsidP="00A82F91">
            <w:pPr>
              <w:pStyle w:val="affffff7"/>
              <w:spacing w:line="320" w:lineRule="exact"/>
              <w:rPr>
                <w:sz w:val="21"/>
                <w:szCs w:val="21"/>
              </w:rPr>
            </w:pPr>
            <w:r>
              <w:rPr>
                <w:sz w:val="21"/>
                <w:szCs w:val="21"/>
              </w:rPr>
              <w:t>≤20.0</w:t>
            </w:r>
          </w:p>
        </w:tc>
        <w:tc>
          <w:tcPr>
            <w:tcW w:w="1365" w:type="dxa"/>
            <w:vAlign w:val="center"/>
          </w:tcPr>
          <w:p w:rsidR="00C223F5" w:rsidRDefault="005860D5" w:rsidP="00A82F91">
            <w:pPr>
              <w:pStyle w:val="affffff7"/>
              <w:spacing w:line="320" w:lineRule="exact"/>
              <w:rPr>
                <w:sz w:val="21"/>
                <w:szCs w:val="21"/>
              </w:rPr>
            </w:pPr>
            <w:r>
              <w:rPr>
                <w:sz w:val="21"/>
                <w:szCs w:val="21"/>
              </w:rPr>
              <w:t>≤2.0</w:t>
            </w:r>
          </w:p>
        </w:tc>
        <w:tc>
          <w:tcPr>
            <w:tcW w:w="1625" w:type="dxa"/>
            <w:vAlign w:val="center"/>
          </w:tcPr>
          <w:p w:rsidR="00C223F5" w:rsidRDefault="005860D5" w:rsidP="00A82F91">
            <w:pPr>
              <w:pStyle w:val="affffff7"/>
              <w:spacing w:line="320" w:lineRule="exact"/>
              <w:rPr>
                <w:sz w:val="21"/>
                <w:szCs w:val="21"/>
              </w:rPr>
            </w:pPr>
            <w:r>
              <w:rPr>
                <w:sz w:val="21"/>
                <w:szCs w:val="21"/>
              </w:rPr>
              <w:t>≥1.0</w:t>
            </w:r>
          </w:p>
        </w:tc>
      </w:tr>
      <w:tr w:rsidR="00C223F5" w:rsidTr="000E55DC">
        <w:trPr>
          <w:trHeight w:val="20"/>
          <w:jc w:val="center"/>
        </w:trPr>
        <w:tc>
          <w:tcPr>
            <w:tcW w:w="1220" w:type="dxa"/>
            <w:vMerge/>
            <w:vAlign w:val="center"/>
          </w:tcPr>
          <w:p w:rsidR="00C223F5" w:rsidRDefault="00C223F5" w:rsidP="00A82F91">
            <w:pPr>
              <w:pStyle w:val="affffff7"/>
              <w:spacing w:line="320" w:lineRule="exact"/>
              <w:rPr>
                <w:sz w:val="21"/>
                <w:szCs w:val="21"/>
              </w:rPr>
            </w:pPr>
          </w:p>
        </w:tc>
        <w:tc>
          <w:tcPr>
            <w:tcW w:w="1426" w:type="dxa"/>
            <w:vAlign w:val="center"/>
          </w:tcPr>
          <w:p w:rsidR="00C223F5" w:rsidRDefault="005860D5" w:rsidP="00A82F91">
            <w:pPr>
              <w:pStyle w:val="affffff7"/>
              <w:spacing w:line="320" w:lineRule="exact"/>
              <w:rPr>
                <w:sz w:val="21"/>
                <w:szCs w:val="21"/>
              </w:rPr>
            </w:pPr>
            <w:r>
              <w:rPr>
                <w:sz w:val="21"/>
                <w:szCs w:val="21"/>
              </w:rPr>
              <w:t>中度</w:t>
            </w:r>
          </w:p>
        </w:tc>
        <w:tc>
          <w:tcPr>
            <w:tcW w:w="1410" w:type="dxa"/>
            <w:vAlign w:val="center"/>
          </w:tcPr>
          <w:p w:rsidR="00C223F5" w:rsidRDefault="005860D5" w:rsidP="00A82F91">
            <w:pPr>
              <w:pStyle w:val="affffff7"/>
              <w:spacing w:line="320" w:lineRule="exact"/>
              <w:rPr>
                <w:sz w:val="21"/>
                <w:szCs w:val="21"/>
              </w:rPr>
            </w:pPr>
            <w:r>
              <w:rPr>
                <w:sz w:val="21"/>
                <w:szCs w:val="21"/>
              </w:rPr>
              <w:t>10.0</w:t>
            </w:r>
            <w:r>
              <w:rPr>
                <w:sz w:val="21"/>
                <w:szCs w:val="21"/>
              </w:rPr>
              <w:t>～</w:t>
            </w:r>
            <w:r>
              <w:rPr>
                <w:sz w:val="21"/>
                <w:szCs w:val="21"/>
              </w:rPr>
              <w:t>20.0</w:t>
            </w:r>
          </w:p>
        </w:tc>
        <w:tc>
          <w:tcPr>
            <w:tcW w:w="1606" w:type="dxa"/>
            <w:vAlign w:val="center"/>
          </w:tcPr>
          <w:p w:rsidR="00C223F5" w:rsidRDefault="005860D5" w:rsidP="00A82F91">
            <w:pPr>
              <w:pStyle w:val="affffff7"/>
              <w:spacing w:line="320" w:lineRule="exact"/>
              <w:rPr>
                <w:sz w:val="21"/>
                <w:szCs w:val="21"/>
              </w:rPr>
            </w:pPr>
            <w:r>
              <w:rPr>
                <w:sz w:val="21"/>
                <w:szCs w:val="21"/>
              </w:rPr>
              <w:t>20.0</w:t>
            </w:r>
            <w:r>
              <w:rPr>
                <w:sz w:val="21"/>
                <w:szCs w:val="21"/>
              </w:rPr>
              <w:t>～</w:t>
            </w:r>
            <w:r>
              <w:rPr>
                <w:sz w:val="21"/>
                <w:szCs w:val="21"/>
              </w:rPr>
              <w:t>50.0</w:t>
            </w:r>
          </w:p>
        </w:tc>
        <w:tc>
          <w:tcPr>
            <w:tcW w:w="1365" w:type="dxa"/>
            <w:vAlign w:val="center"/>
          </w:tcPr>
          <w:p w:rsidR="00C223F5" w:rsidRDefault="005860D5" w:rsidP="00A82F91">
            <w:pPr>
              <w:pStyle w:val="affffff7"/>
              <w:spacing w:line="320" w:lineRule="exact"/>
              <w:rPr>
                <w:sz w:val="21"/>
                <w:szCs w:val="21"/>
              </w:rPr>
            </w:pPr>
            <w:r>
              <w:rPr>
                <w:sz w:val="21"/>
                <w:szCs w:val="21"/>
              </w:rPr>
              <w:t>2.0</w:t>
            </w:r>
            <w:r>
              <w:rPr>
                <w:sz w:val="21"/>
                <w:szCs w:val="21"/>
              </w:rPr>
              <w:t>～</w:t>
            </w:r>
            <w:r>
              <w:rPr>
                <w:sz w:val="21"/>
                <w:szCs w:val="21"/>
              </w:rPr>
              <w:t>6.0</w:t>
            </w:r>
          </w:p>
        </w:tc>
        <w:tc>
          <w:tcPr>
            <w:tcW w:w="1625" w:type="dxa"/>
            <w:vAlign w:val="center"/>
          </w:tcPr>
          <w:p w:rsidR="00C223F5" w:rsidRDefault="005860D5" w:rsidP="00A82F91">
            <w:pPr>
              <w:pStyle w:val="affffff7"/>
              <w:spacing w:line="320" w:lineRule="exact"/>
              <w:rPr>
                <w:sz w:val="21"/>
                <w:szCs w:val="21"/>
              </w:rPr>
            </w:pPr>
            <w:r>
              <w:rPr>
                <w:sz w:val="21"/>
                <w:szCs w:val="21"/>
              </w:rPr>
              <w:t>0.3</w:t>
            </w:r>
            <w:r>
              <w:rPr>
                <w:sz w:val="21"/>
                <w:szCs w:val="21"/>
              </w:rPr>
              <w:t>～</w:t>
            </w:r>
            <w:r>
              <w:rPr>
                <w:sz w:val="21"/>
                <w:szCs w:val="21"/>
              </w:rPr>
              <w:t>1.0</w:t>
            </w:r>
          </w:p>
        </w:tc>
      </w:tr>
      <w:tr w:rsidR="00C223F5" w:rsidTr="000E55DC">
        <w:trPr>
          <w:trHeight w:val="20"/>
          <w:jc w:val="center"/>
        </w:trPr>
        <w:tc>
          <w:tcPr>
            <w:tcW w:w="1220" w:type="dxa"/>
            <w:vMerge/>
            <w:vAlign w:val="center"/>
          </w:tcPr>
          <w:p w:rsidR="00C223F5" w:rsidRDefault="00C223F5" w:rsidP="00A82F91">
            <w:pPr>
              <w:pStyle w:val="affffff7"/>
              <w:spacing w:line="320" w:lineRule="exact"/>
              <w:rPr>
                <w:sz w:val="21"/>
                <w:szCs w:val="21"/>
              </w:rPr>
            </w:pPr>
          </w:p>
        </w:tc>
        <w:tc>
          <w:tcPr>
            <w:tcW w:w="1426" w:type="dxa"/>
            <w:vAlign w:val="center"/>
          </w:tcPr>
          <w:p w:rsidR="00C223F5" w:rsidRDefault="005860D5" w:rsidP="00A82F91">
            <w:pPr>
              <w:pStyle w:val="affffff7"/>
              <w:spacing w:line="320" w:lineRule="exact"/>
              <w:rPr>
                <w:sz w:val="21"/>
                <w:szCs w:val="21"/>
              </w:rPr>
            </w:pPr>
            <w:r>
              <w:rPr>
                <w:sz w:val="21"/>
                <w:szCs w:val="21"/>
              </w:rPr>
              <w:t>重度</w:t>
            </w:r>
          </w:p>
        </w:tc>
        <w:tc>
          <w:tcPr>
            <w:tcW w:w="1410" w:type="dxa"/>
            <w:vAlign w:val="center"/>
          </w:tcPr>
          <w:p w:rsidR="00C223F5" w:rsidRDefault="005860D5" w:rsidP="00A82F91">
            <w:pPr>
              <w:pStyle w:val="affffff7"/>
              <w:spacing w:line="320" w:lineRule="exact"/>
              <w:rPr>
                <w:sz w:val="21"/>
                <w:szCs w:val="21"/>
              </w:rPr>
            </w:pPr>
            <w:r>
              <w:rPr>
                <w:sz w:val="21"/>
                <w:szCs w:val="21"/>
              </w:rPr>
              <w:t>＞</w:t>
            </w:r>
            <w:r>
              <w:rPr>
                <w:sz w:val="21"/>
                <w:szCs w:val="21"/>
              </w:rPr>
              <w:t>20.0</w:t>
            </w:r>
          </w:p>
        </w:tc>
        <w:tc>
          <w:tcPr>
            <w:tcW w:w="1606" w:type="dxa"/>
            <w:vAlign w:val="center"/>
          </w:tcPr>
          <w:p w:rsidR="00C223F5" w:rsidRDefault="005860D5" w:rsidP="00A82F91">
            <w:pPr>
              <w:pStyle w:val="affffff7"/>
              <w:spacing w:line="320" w:lineRule="exact"/>
              <w:rPr>
                <w:sz w:val="21"/>
                <w:szCs w:val="21"/>
              </w:rPr>
            </w:pPr>
            <w:r>
              <w:rPr>
                <w:sz w:val="21"/>
                <w:szCs w:val="21"/>
              </w:rPr>
              <w:t>＞</w:t>
            </w:r>
            <w:r>
              <w:rPr>
                <w:sz w:val="21"/>
                <w:szCs w:val="21"/>
              </w:rPr>
              <w:t>50.0</w:t>
            </w:r>
          </w:p>
        </w:tc>
        <w:tc>
          <w:tcPr>
            <w:tcW w:w="1365" w:type="dxa"/>
            <w:vAlign w:val="center"/>
          </w:tcPr>
          <w:p w:rsidR="00C223F5" w:rsidRDefault="005860D5" w:rsidP="00A82F91">
            <w:pPr>
              <w:pStyle w:val="affffff7"/>
              <w:spacing w:line="320" w:lineRule="exact"/>
              <w:rPr>
                <w:sz w:val="21"/>
                <w:szCs w:val="21"/>
              </w:rPr>
            </w:pPr>
            <w:r>
              <w:rPr>
                <w:sz w:val="21"/>
                <w:szCs w:val="21"/>
              </w:rPr>
              <w:t>＞</w:t>
            </w:r>
            <w:r>
              <w:rPr>
                <w:sz w:val="21"/>
                <w:szCs w:val="21"/>
              </w:rPr>
              <w:t>6.0</w:t>
            </w:r>
          </w:p>
        </w:tc>
        <w:tc>
          <w:tcPr>
            <w:tcW w:w="1625" w:type="dxa"/>
            <w:vAlign w:val="center"/>
          </w:tcPr>
          <w:p w:rsidR="00C223F5" w:rsidRDefault="005860D5" w:rsidP="00A82F91">
            <w:pPr>
              <w:pStyle w:val="affffff7"/>
              <w:spacing w:line="320" w:lineRule="exact"/>
              <w:rPr>
                <w:sz w:val="21"/>
                <w:szCs w:val="21"/>
              </w:rPr>
            </w:pPr>
            <w:r>
              <w:rPr>
                <w:sz w:val="21"/>
                <w:szCs w:val="21"/>
              </w:rPr>
              <w:t>&lt;0.3</w:t>
            </w:r>
          </w:p>
        </w:tc>
      </w:tr>
    </w:tbl>
    <w:p w:rsidR="00C223F5" w:rsidRDefault="005860D5" w:rsidP="00A82F91">
      <w:pPr>
        <w:snapToGrid w:val="0"/>
        <w:ind w:firstLine="480"/>
        <w:jc w:val="left"/>
        <w:rPr>
          <w:color w:val="000000"/>
          <w:kern w:val="32"/>
        </w:rPr>
      </w:pPr>
      <w:r>
        <w:rPr>
          <w:color w:val="000000"/>
          <w:kern w:val="32"/>
        </w:rPr>
        <w:t>注：任何一个指标达到相应标准即认为土地损害达到该损害程度。</w:t>
      </w:r>
    </w:p>
    <w:p w:rsidR="00C223F5" w:rsidRDefault="005860D5" w:rsidP="004835BD">
      <w:pPr>
        <w:spacing w:beforeLines="50" w:before="120"/>
        <w:jc w:val="center"/>
        <w:rPr>
          <w:b/>
          <w:sz w:val="24"/>
        </w:rPr>
      </w:pPr>
      <w:r>
        <w:rPr>
          <w:b/>
          <w:sz w:val="24"/>
        </w:rPr>
        <w:t>表</w:t>
      </w:r>
      <w:r>
        <w:rPr>
          <w:b/>
          <w:sz w:val="24"/>
        </w:rPr>
        <w:t>4.2.1-</w:t>
      </w:r>
      <w:r>
        <w:rPr>
          <w:rFonts w:hint="eastAsia"/>
          <w:b/>
          <w:sz w:val="24"/>
        </w:rPr>
        <w:t>6</w:t>
      </w:r>
      <w:r>
        <w:rPr>
          <w:b/>
          <w:sz w:val="24"/>
        </w:rPr>
        <w:t xml:space="preserve">   </w:t>
      </w:r>
      <w:r>
        <w:rPr>
          <w:b/>
          <w:sz w:val="24"/>
        </w:rPr>
        <w:t>全井田沉陷影响土地利用类型面积统计表</w:t>
      </w:r>
    </w:p>
    <w:tbl>
      <w:tblPr>
        <w:tblW w:w="85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84"/>
        <w:gridCol w:w="1609"/>
        <w:gridCol w:w="1705"/>
        <w:gridCol w:w="1764"/>
        <w:gridCol w:w="1499"/>
      </w:tblGrid>
      <w:tr w:rsidR="00C223F5">
        <w:trPr>
          <w:trHeight w:val="285"/>
          <w:jc w:val="center"/>
        </w:trPr>
        <w:tc>
          <w:tcPr>
            <w:tcW w:w="3593" w:type="dxa"/>
            <w:gridSpan w:val="2"/>
            <w:vMerge w:val="restart"/>
            <w:tcBorders>
              <w:tl2br w:val="single" w:sz="4" w:space="0" w:color="auto"/>
            </w:tcBorders>
            <w:vAlign w:val="center"/>
          </w:tcPr>
          <w:p w:rsidR="00C223F5" w:rsidRDefault="00F07B16" w:rsidP="00A82F91">
            <w:pPr>
              <w:widowControl/>
              <w:rPr>
                <w:rFonts w:eastAsiaTheme="minorEastAsia"/>
                <w:kern w:val="0"/>
                <w:szCs w:val="21"/>
              </w:rPr>
            </w:pPr>
            <w:r>
              <w:rPr>
                <w:rFonts w:eastAsiaTheme="minorEastAsia" w:hAnsiTheme="minorEastAsia" w:hint="eastAsia"/>
                <w:kern w:val="0"/>
                <w:szCs w:val="21"/>
              </w:rPr>
              <w:t xml:space="preserve">                       </w:t>
            </w:r>
            <w:r w:rsidR="005860D5">
              <w:rPr>
                <w:rFonts w:eastAsiaTheme="minorEastAsia" w:hAnsiTheme="minorEastAsia"/>
                <w:kern w:val="0"/>
                <w:szCs w:val="21"/>
              </w:rPr>
              <w:t>损害程度</w:t>
            </w:r>
          </w:p>
          <w:p w:rsidR="00C223F5" w:rsidRDefault="005860D5" w:rsidP="00A82F91">
            <w:pPr>
              <w:widowControl/>
              <w:rPr>
                <w:rFonts w:eastAsiaTheme="minorEastAsia"/>
                <w:kern w:val="0"/>
                <w:szCs w:val="21"/>
              </w:rPr>
            </w:pPr>
            <w:r>
              <w:rPr>
                <w:rFonts w:eastAsiaTheme="minorEastAsia" w:hAnsiTheme="minorEastAsia"/>
                <w:kern w:val="0"/>
                <w:szCs w:val="21"/>
              </w:rPr>
              <w:t>影响类型</w:t>
            </w:r>
          </w:p>
        </w:tc>
        <w:tc>
          <w:tcPr>
            <w:tcW w:w="4968" w:type="dxa"/>
            <w:gridSpan w:val="3"/>
            <w:tcBorders>
              <w:bottom w:val="single" w:sz="8" w:space="0" w:color="auto"/>
            </w:tcBorders>
            <w:vAlign w:val="center"/>
          </w:tcPr>
          <w:p w:rsidR="00C223F5" w:rsidRDefault="005860D5" w:rsidP="00A82F91">
            <w:pPr>
              <w:widowControl/>
              <w:jc w:val="center"/>
              <w:rPr>
                <w:rFonts w:eastAsiaTheme="minorEastAsia" w:hAnsiTheme="minorEastAsia"/>
                <w:kern w:val="0"/>
                <w:szCs w:val="21"/>
              </w:rPr>
            </w:pPr>
            <w:r>
              <w:rPr>
                <w:rFonts w:eastAsiaTheme="minorEastAsia" w:hAnsiTheme="minorEastAsia"/>
                <w:kern w:val="0"/>
                <w:szCs w:val="21"/>
              </w:rPr>
              <w:t>全井田</w:t>
            </w:r>
          </w:p>
        </w:tc>
      </w:tr>
      <w:tr w:rsidR="00C223F5">
        <w:trPr>
          <w:trHeight w:val="285"/>
          <w:jc w:val="center"/>
        </w:trPr>
        <w:tc>
          <w:tcPr>
            <w:tcW w:w="3593" w:type="dxa"/>
            <w:gridSpan w:val="2"/>
            <w:vMerge/>
            <w:vAlign w:val="center"/>
          </w:tcPr>
          <w:p w:rsidR="00C223F5" w:rsidRDefault="00C223F5" w:rsidP="00A82F91">
            <w:pPr>
              <w:widowControl/>
              <w:jc w:val="center"/>
              <w:rPr>
                <w:rFonts w:eastAsiaTheme="minorEastAsia"/>
                <w:kern w:val="0"/>
                <w:szCs w:val="21"/>
              </w:rPr>
            </w:pPr>
          </w:p>
        </w:tc>
        <w:tc>
          <w:tcPr>
            <w:tcW w:w="1705" w:type="dxa"/>
            <w:vAlign w:val="center"/>
          </w:tcPr>
          <w:p w:rsidR="00C223F5" w:rsidRDefault="005860D5" w:rsidP="00A82F91">
            <w:pPr>
              <w:widowControl/>
              <w:jc w:val="center"/>
              <w:rPr>
                <w:rFonts w:eastAsiaTheme="minorEastAsia"/>
                <w:kern w:val="0"/>
                <w:szCs w:val="21"/>
              </w:rPr>
            </w:pPr>
            <w:r>
              <w:rPr>
                <w:rFonts w:eastAsiaTheme="minorEastAsia" w:hAnsiTheme="minorEastAsia"/>
                <w:kern w:val="0"/>
                <w:szCs w:val="21"/>
              </w:rPr>
              <w:t>轻度影响区</w:t>
            </w:r>
          </w:p>
        </w:tc>
        <w:tc>
          <w:tcPr>
            <w:tcW w:w="1764" w:type="dxa"/>
            <w:vAlign w:val="center"/>
          </w:tcPr>
          <w:p w:rsidR="00C223F5" w:rsidRDefault="005860D5" w:rsidP="00A82F91">
            <w:pPr>
              <w:widowControl/>
              <w:jc w:val="center"/>
              <w:rPr>
                <w:rFonts w:eastAsiaTheme="minorEastAsia"/>
                <w:kern w:val="0"/>
                <w:szCs w:val="21"/>
              </w:rPr>
            </w:pPr>
            <w:r>
              <w:rPr>
                <w:rFonts w:eastAsiaTheme="minorEastAsia" w:hAnsiTheme="minorEastAsia"/>
                <w:kern w:val="0"/>
                <w:szCs w:val="21"/>
              </w:rPr>
              <w:t>中度影响区</w:t>
            </w:r>
          </w:p>
        </w:tc>
        <w:tc>
          <w:tcPr>
            <w:tcW w:w="1499" w:type="dxa"/>
            <w:vAlign w:val="center"/>
          </w:tcPr>
          <w:p w:rsidR="00C223F5" w:rsidRDefault="005860D5" w:rsidP="00A82F91">
            <w:pPr>
              <w:widowControl/>
              <w:jc w:val="center"/>
              <w:rPr>
                <w:rFonts w:eastAsiaTheme="minorEastAsia" w:hAnsiTheme="minorEastAsia"/>
                <w:kern w:val="0"/>
                <w:szCs w:val="21"/>
              </w:rPr>
            </w:pPr>
            <w:r>
              <w:rPr>
                <w:rFonts w:eastAsiaTheme="minorEastAsia" w:hAnsiTheme="minorEastAsia" w:hint="eastAsia"/>
                <w:kern w:val="0"/>
                <w:szCs w:val="21"/>
              </w:rPr>
              <w:t>合计</w:t>
            </w:r>
          </w:p>
        </w:tc>
      </w:tr>
      <w:tr w:rsidR="00C223F5">
        <w:trPr>
          <w:trHeight w:val="60"/>
          <w:jc w:val="center"/>
        </w:trPr>
        <w:tc>
          <w:tcPr>
            <w:tcW w:w="1984" w:type="dxa"/>
            <w:vMerge w:val="restart"/>
            <w:vAlign w:val="center"/>
          </w:tcPr>
          <w:p w:rsidR="00C223F5" w:rsidRDefault="005860D5" w:rsidP="00A82F91">
            <w:pPr>
              <w:widowControl/>
              <w:jc w:val="center"/>
              <w:rPr>
                <w:rFonts w:eastAsiaTheme="minorEastAsia"/>
                <w:kern w:val="0"/>
                <w:szCs w:val="21"/>
              </w:rPr>
            </w:pPr>
            <w:r>
              <w:rPr>
                <w:rFonts w:eastAsiaTheme="minorEastAsia" w:hAnsiTheme="minorEastAsia"/>
                <w:kern w:val="0"/>
                <w:szCs w:val="21"/>
              </w:rPr>
              <w:t>土地类型（</w:t>
            </w:r>
            <w:r>
              <w:rPr>
                <w:rFonts w:eastAsiaTheme="minorEastAsia"/>
                <w:kern w:val="0"/>
                <w:szCs w:val="21"/>
              </w:rPr>
              <w:t>km</w:t>
            </w:r>
            <w:r>
              <w:rPr>
                <w:rFonts w:eastAsiaTheme="minorEastAsia"/>
                <w:kern w:val="0"/>
                <w:szCs w:val="21"/>
                <w:vertAlign w:val="superscript"/>
              </w:rPr>
              <w:t>2</w:t>
            </w:r>
            <w:r>
              <w:rPr>
                <w:rFonts w:eastAsiaTheme="minorEastAsia" w:hAnsiTheme="minorEastAsia"/>
                <w:kern w:val="0"/>
                <w:szCs w:val="21"/>
              </w:rPr>
              <w:t>）</w:t>
            </w:r>
          </w:p>
        </w:tc>
        <w:tc>
          <w:tcPr>
            <w:tcW w:w="1609" w:type="dxa"/>
            <w:vAlign w:val="center"/>
          </w:tcPr>
          <w:p w:rsidR="00C223F5" w:rsidRDefault="005860D5" w:rsidP="00A82F91">
            <w:pPr>
              <w:jc w:val="center"/>
              <w:rPr>
                <w:rFonts w:eastAsiaTheme="minorEastAsia"/>
                <w:szCs w:val="21"/>
              </w:rPr>
            </w:pPr>
            <w:r>
              <w:rPr>
                <w:rFonts w:eastAsiaTheme="minorEastAsia" w:hAnsiTheme="minorEastAsia"/>
                <w:szCs w:val="21"/>
              </w:rPr>
              <w:t>基本农田</w:t>
            </w:r>
          </w:p>
        </w:tc>
        <w:tc>
          <w:tcPr>
            <w:tcW w:w="1705" w:type="dxa"/>
            <w:vAlign w:val="center"/>
          </w:tcPr>
          <w:p w:rsidR="00C223F5" w:rsidRDefault="005860D5" w:rsidP="00A82F91">
            <w:pPr>
              <w:jc w:val="center"/>
              <w:rPr>
                <w:rFonts w:eastAsiaTheme="minorEastAsia"/>
                <w:szCs w:val="21"/>
              </w:rPr>
            </w:pPr>
            <w:r>
              <w:rPr>
                <w:rFonts w:eastAsiaTheme="minorEastAsia"/>
                <w:szCs w:val="21"/>
              </w:rPr>
              <w:t>10.47</w:t>
            </w:r>
          </w:p>
        </w:tc>
        <w:tc>
          <w:tcPr>
            <w:tcW w:w="1764" w:type="dxa"/>
            <w:vAlign w:val="center"/>
          </w:tcPr>
          <w:p w:rsidR="00C223F5" w:rsidRDefault="005860D5" w:rsidP="00A82F91">
            <w:pPr>
              <w:widowControl/>
              <w:jc w:val="center"/>
              <w:rPr>
                <w:rFonts w:eastAsiaTheme="minorEastAsia"/>
                <w:kern w:val="0"/>
                <w:szCs w:val="21"/>
              </w:rPr>
            </w:pPr>
            <w:r>
              <w:rPr>
                <w:rFonts w:eastAsiaTheme="minorEastAsia"/>
                <w:kern w:val="0"/>
                <w:szCs w:val="21"/>
              </w:rPr>
              <w:t>0.09</w:t>
            </w:r>
          </w:p>
        </w:tc>
        <w:tc>
          <w:tcPr>
            <w:tcW w:w="1499" w:type="dxa"/>
            <w:vAlign w:val="center"/>
          </w:tcPr>
          <w:p w:rsidR="00C223F5" w:rsidRDefault="005860D5" w:rsidP="00A82F91">
            <w:pPr>
              <w:widowControl/>
              <w:jc w:val="center"/>
              <w:rPr>
                <w:rFonts w:eastAsiaTheme="minorEastAsia"/>
                <w:kern w:val="0"/>
                <w:szCs w:val="21"/>
              </w:rPr>
            </w:pPr>
            <w:r>
              <w:rPr>
                <w:rFonts w:eastAsiaTheme="minorEastAsia" w:hint="eastAsia"/>
                <w:kern w:val="0"/>
                <w:szCs w:val="21"/>
              </w:rPr>
              <w:t>10.56</w:t>
            </w:r>
          </w:p>
        </w:tc>
      </w:tr>
      <w:tr w:rsidR="00C223F5">
        <w:trPr>
          <w:trHeight w:val="285"/>
          <w:jc w:val="center"/>
        </w:trPr>
        <w:tc>
          <w:tcPr>
            <w:tcW w:w="1984" w:type="dxa"/>
            <w:vMerge/>
            <w:vAlign w:val="center"/>
          </w:tcPr>
          <w:p w:rsidR="00C223F5" w:rsidRDefault="00C223F5" w:rsidP="00A82F91">
            <w:pPr>
              <w:widowControl/>
              <w:jc w:val="center"/>
              <w:rPr>
                <w:rFonts w:eastAsiaTheme="minorEastAsia"/>
                <w:kern w:val="0"/>
                <w:szCs w:val="21"/>
              </w:rPr>
            </w:pPr>
          </w:p>
        </w:tc>
        <w:tc>
          <w:tcPr>
            <w:tcW w:w="1609" w:type="dxa"/>
            <w:vAlign w:val="center"/>
          </w:tcPr>
          <w:p w:rsidR="00C223F5" w:rsidRDefault="005860D5" w:rsidP="00A82F91">
            <w:pPr>
              <w:jc w:val="center"/>
              <w:rPr>
                <w:rFonts w:eastAsiaTheme="minorEastAsia"/>
                <w:szCs w:val="21"/>
              </w:rPr>
            </w:pPr>
            <w:r>
              <w:rPr>
                <w:rFonts w:eastAsiaTheme="minorEastAsia" w:hAnsiTheme="minorEastAsia"/>
                <w:szCs w:val="21"/>
              </w:rPr>
              <w:t>水浇地</w:t>
            </w:r>
          </w:p>
        </w:tc>
        <w:tc>
          <w:tcPr>
            <w:tcW w:w="1705" w:type="dxa"/>
            <w:vAlign w:val="center"/>
          </w:tcPr>
          <w:p w:rsidR="00C223F5" w:rsidRDefault="005860D5" w:rsidP="00A82F91">
            <w:pPr>
              <w:jc w:val="center"/>
              <w:rPr>
                <w:rFonts w:eastAsiaTheme="minorEastAsia"/>
                <w:szCs w:val="21"/>
              </w:rPr>
            </w:pPr>
            <w:r>
              <w:rPr>
                <w:rFonts w:eastAsiaTheme="minorEastAsia"/>
                <w:szCs w:val="21"/>
              </w:rPr>
              <w:t>0.49</w:t>
            </w:r>
          </w:p>
        </w:tc>
        <w:tc>
          <w:tcPr>
            <w:tcW w:w="1764" w:type="dxa"/>
            <w:vAlign w:val="center"/>
          </w:tcPr>
          <w:p w:rsidR="00C223F5" w:rsidRDefault="005860D5" w:rsidP="00A82F91">
            <w:pPr>
              <w:widowControl/>
              <w:jc w:val="center"/>
              <w:rPr>
                <w:rFonts w:eastAsiaTheme="minorEastAsia"/>
                <w:kern w:val="0"/>
                <w:szCs w:val="21"/>
              </w:rPr>
            </w:pPr>
            <w:r>
              <w:rPr>
                <w:rFonts w:eastAsiaTheme="minorEastAsia"/>
                <w:kern w:val="0"/>
                <w:szCs w:val="21"/>
              </w:rPr>
              <w:t>0</w:t>
            </w:r>
          </w:p>
        </w:tc>
        <w:tc>
          <w:tcPr>
            <w:tcW w:w="1499" w:type="dxa"/>
            <w:vAlign w:val="center"/>
          </w:tcPr>
          <w:p w:rsidR="00C223F5" w:rsidRDefault="005860D5" w:rsidP="00A82F91">
            <w:pPr>
              <w:widowControl/>
              <w:jc w:val="center"/>
              <w:rPr>
                <w:rFonts w:eastAsiaTheme="minorEastAsia"/>
                <w:kern w:val="0"/>
                <w:szCs w:val="21"/>
              </w:rPr>
            </w:pPr>
            <w:r>
              <w:rPr>
                <w:rFonts w:eastAsiaTheme="minorEastAsia" w:hint="eastAsia"/>
                <w:kern w:val="0"/>
                <w:szCs w:val="21"/>
              </w:rPr>
              <w:t>0.49</w:t>
            </w:r>
          </w:p>
        </w:tc>
      </w:tr>
      <w:tr w:rsidR="00C223F5">
        <w:trPr>
          <w:trHeight w:val="285"/>
          <w:jc w:val="center"/>
        </w:trPr>
        <w:tc>
          <w:tcPr>
            <w:tcW w:w="1984" w:type="dxa"/>
            <w:vMerge/>
            <w:vAlign w:val="center"/>
          </w:tcPr>
          <w:p w:rsidR="00C223F5" w:rsidRDefault="00C223F5" w:rsidP="00A82F91">
            <w:pPr>
              <w:widowControl/>
              <w:jc w:val="center"/>
              <w:rPr>
                <w:rFonts w:eastAsiaTheme="minorEastAsia"/>
                <w:kern w:val="0"/>
                <w:szCs w:val="21"/>
              </w:rPr>
            </w:pPr>
          </w:p>
        </w:tc>
        <w:tc>
          <w:tcPr>
            <w:tcW w:w="1609" w:type="dxa"/>
            <w:vAlign w:val="center"/>
          </w:tcPr>
          <w:p w:rsidR="00C223F5" w:rsidRDefault="005860D5" w:rsidP="00A82F91">
            <w:pPr>
              <w:jc w:val="center"/>
              <w:rPr>
                <w:rFonts w:eastAsiaTheme="minorEastAsia"/>
                <w:szCs w:val="21"/>
              </w:rPr>
            </w:pPr>
            <w:r>
              <w:rPr>
                <w:rFonts w:eastAsiaTheme="minorEastAsia" w:hAnsiTheme="minorEastAsia" w:hint="eastAsia"/>
                <w:szCs w:val="21"/>
              </w:rPr>
              <w:t>旱地</w:t>
            </w:r>
          </w:p>
        </w:tc>
        <w:tc>
          <w:tcPr>
            <w:tcW w:w="1705" w:type="dxa"/>
            <w:vAlign w:val="center"/>
          </w:tcPr>
          <w:p w:rsidR="00C223F5" w:rsidRDefault="005860D5" w:rsidP="00A82F91">
            <w:pPr>
              <w:jc w:val="center"/>
              <w:rPr>
                <w:rFonts w:eastAsiaTheme="minorEastAsia"/>
                <w:szCs w:val="21"/>
              </w:rPr>
            </w:pPr>
            <w:r>
              <w:rPr>
                <w:rFonts w:eastAsiaTheme="minorEastAsia"/>
                <w:szCs w:val="21"/>
              </w:rPr>
              <w:t>1.67</w:t>
            </w:r>
          </w:p>
        </w:tc>
        <w:tc>
          <w:tcPr>
            <w:tcW w:w="1764" w:type="dxa"/>
            <w:vAlign w:val="center"/>
          </w:tcPr>
          <w:p w:rsidR="00C223F5" w:rsidRDefault="005860D5" w:rsidP="00A82F91">
            <w:pPr>
              <w:widowControl/>
              <w:jc w:val="center"/>
              <w:rPr>
                <w:rFonts w:eastAsiaTheme="minorEastAsia"/>
                <w:kern w:val="0"/>
                <w:szCs w:val="21"/>
              </w:rPr>
            </w:pPr>
            <w:r>
              <w:rPr>
                <w:rFonts w:eastAsiaTheme="minorEastAsia"/>
                <w:kern w:val="0"/>
                <w:szCs w:val="21"/>
              </w:rPr>
              <w:t>0</w:t>
            </w:r>
          </w:p>
        </w:tc>
        <w:tc>
          <w:tcPr>
            <w:tcW w:w="1499" w:type="dxa"/>
            <w:vAlign w:val="center"/>
          </w:tcPr>
          <w:p w:rsidR="00C223F5" w:rsidRDefault="005860D5" w:rsidP="00A82F91">
            <w:pPr>
              <w:widowControl/>
              <w:jc w:val="center"/>
              <w:rPr>
                <w:rFonts w:eastAsiaTheme="minorEastAsia"/>
                <w:kern w:val="0"/>
                <w:szCs w:val="21"/>
              </w:rPr>
            </w:pPr>
            <w:r>
              <w:rPr>
                <w:rFonts w:eastAsiaTheme="minorEastAsia" w:hint="eastAsia"/>
                <w:kern w:val="0"/>
                <w:szCs w:val="21"/>
              </w:rPr>
              <w:t>1.67</w:t>
            </w:r>
          </w:p>
        </w:tc>
      </w:tr>
      <w:tr w:rsidR="00C223F5">
        <w:trPr>
          <w:trHeight w:val="60"/>
          <w:jc w:val="center"/>
        </w:trPr>
        <w:tc>
          <w:tcPr>
            <w:tcW w:w="1984" w:type="dxa"/>
            <w:vMerge/>
            <w:vAlign w:val="center"/>
          </w:tcPr>
          <w:p w:rsidR="00C223F5" w:rsidRDefault="00C223F5" w:rsidP="00A82F91">
            <w:pPr>
              <w:widowControl/>
              <w:jc w:val="center"/>
              <w:rPr>
                <w:rFonts w:eastAsiaTheme="minorEastAsia"/>
                <w:kern w:val="0"/>
                <w:szCs w:val="21"/>
              </w:rPr>
            </w:pPr>
          </w:p>
        </w:tc>
        <w:tc>
          <w:tcPr>
            <w:tcW w:w="1609" w:type="dxa"/>
            <w:vAlign w:val="center"/>
          </w:tcPr>
          <w:p w:rsidR="00C223F5" w:rsidRDefault="005860D5" w:rsidP="00A82F91">
            <w:pPr>
              <w:jc w:val="center"/>
              <w:rPr>
                <w:rFonts w:eastAsiaTheme="minorEastAsia"/>
                <w:szCs w:val="21"/>
              </w:rPr>
            </w:pPr>
            <w:r>
              <w:rPr>
                <w:rFonts w:eastAsiaTheme="minorEastAsia" w:hAnsiTheme="minorEastAsia"/>
                <w:szCs w:val="21"/>
              </w:rPr>
              <w:t>乔木林地</w:t>
            </w:r>
          </w:p>
        </w:tc>
        <w:tc>
          <w:tcPr>
            <w:tcW w:w="1705" w:type="dxa"/>
            <w:vAlign w:val="center"/>
          </w:tcPr>
          <w:p w:rsidR="00C223F5" w:rsidRDefault="005860D5" w:rsidP="00A82F91">
            <w:pPr>
              <w:jc w:val="center"/>
              <w:rPr>
                <w:rFonts w:eastAsiaTheme="minorEastAsia"/>
                <w:szCs w:val="21"/>
              </w:rPr>
            </w:pPr>
            <w:r>
              <w:rPr>
                <w:rFonts w:eastAsiaTheme="minorEastAsia"/>
                <w:szCs w:val="21"/>
              </w:rPr>
              <w:t>8.85</w:t>
            </w:r>
          </w:p>
        </w:tc>
        <w:tc>
          <w:tcPr>
            <w:tcW w:w="1764" w:type="dxa"/>
            <w:vAlign w:val="center"/>
          </w:tcPr>
          <w:p w:rsidR="00C223F5" w:rsidRDefault="005860D5" w:rsidP="00A82F91">
            <w:pPr>
              <w:widowControl/>
              <w:jc w:val="center"/>
              <w:rPr>
                <w:rFonts w:eastAsiaTheme="minorEastAsia"/>
                <w:kern w:val="0"/>
                <w:szCs w:val="21"/>
              </w:rPr>
            </w:pPr>
            <w:r>
              <w:rPr>
                <w:rFonts w:eastAsiaTheme="minorEastAsia"/>
                <w:kern w:val="0"/>
                <w:szCs w:val="21"/>
              </w:rPr>
              <w:t>0.08</w:t>
            </w:r>
          </w:p>
        </w:tc>
        <w:tc>
          <w:tcPr>
            <w:tcW w:w="1499" w:type="dxa"/>
            <w:vAlign w:val="center"/>
          </w:tcPr>
          <w:p w:rsidR="00C223F5" w:rsidRDefault="005860D5" w:rsidP="00A82F91">
            <w:pPr>
              <w:widowControl/>
              <w:jc w:val="center"/>
              <w:rPr>
                <w:rFonts w:eastAsiaTheme="minorEastAsia"/>
                <w:kern w:val="0"/>
                <w:szCs w:val="21"/>
              </w:rPr>
            </w:pPr>
            <w:r>
              <w:rPr>
                <w:rFonts w:eastAsiaTheme="minorEastAsia" w:hint="eastAsia"/>
                <w:kern w:val="0"/>
                <w:szCs w:val="21"/>
              </w:rPr>
              <w:t>8.93</w:t>
            </w:r>
          </w:p>
        </w:tc>
      </w:tr>
      <w:tr w:rsidR="00C223F5">
        <w:trPr>
          <w:trHeight w:val="197"/>
          <w:jc w:val="center"/>
        </w:trPr>
        <w:tc>
          <w:tcPr>
            <w:tcW w:w="1984" w:type="dxa"/>
            <w:vMerge/>
            <w:vAlign w:val="center"/>
          </w:tcPr>
          <w:p w:rsidR="00C223F5" w:rsidRDefault="00C223F5" w:rsidP="00A82F91">
            <w:pPr>
              <w:widowControl/>
              <w:jc w:val="center"/>
              <w:rPr>
                <w:rFonts w:eastAsiaTheme="minorEastAsia"/>
                <w:kern w:val="0"/>
                <w:szCs w:val="21"/>
              </w:rPr>
            </w:pPr>
          </w:p>
        </w:tc>
        <w:tc>
          <w:tcPr>
            <w:tcW w:w="1609" w:type="dxa"/>
            <w:vAlign w:val="center"/>
          </w:tcPr>
          <w:p w:rsidR="00C223F5" w:rsidRDefault="005860D5" w:rsidP="00A82F91">
            <w:pPr>
              <w:jc w:val="center"/>
              <w:rPr>
                <w:rFonts w:eastAsiaTheme="minorEastAsia"/>
                <w:szCs w:val="21"/>
              </w:rPr>
            </w:pPr>
            <w:r>
              <w:rPr>
                <w:rFonts w:eastAsiaTheme="minorEastAsia" w:hAnsiTheme="minorEastAsia"/>
                <w:szCs w:val="21"/>
              </w:rPr>
              <w:t>灌木</w:t>
            </w:r>
          </w:p>
        </w:tc>
        <w:tc>
          <w:tcPr>
            <w:tcW w:w="1705" w:type="dxa"/>
            <w:vAlign w:val="center"/>
          </w:tcPr>
          <w:p w:rsidR="00C223F5" w:rsidRDefault="005860D5" w:rsidP="00A82F91">
            <w:pPr>
              <w:jc w:val="center"/>
              <w:rPr>
                <w:rFonts w:eastAsiaTheme="minorEastAsia"/>
                <w:szCs w:val="21"/>
              </w:rPr>
            </w:pPr>
            <w:r>
              <w:rPr>
                <w:rFonts w:eastAsiaTheme="minorEastAsia"/>
                <w:szCs w:val="21"/>
              </w:rPr>
              <w:t>4.80</w:t>
            </w:r>
          </w:p>
        </w:tc>
        <w:tc>
          <w:tcPr>
            <w:tcW w:w="1764" w:type="dxa"/>
            <w:vAlign w:val="center"/>
          </w:tcPr>
          <w:p w:rsidR="00C223F5" w:rsidRDefault="005860D5" w:rsidP="00A82F91">
            <w:pPr>
              <w:widowControl/>
              <w:jc w:val="center"/>
              <w:rPr>
                <w:rFonts w:eastAsiaTheme="minorEastAsia"/>
                <w:kern w:val="0"/>
                <w:szCs w:val="21"/>
              </w:rPr>
            </w:pPr>
            <w:r>
              <w:rPr>
                <w:rFonts w:eastAsiaTheme="minorEastAsia"/>
                <w:kern w:val="0"/>
                <w:szCs w:val="21"/>
              </w:rPr>
              <w:t>0</w:t>
            </w:r>
          </w:p>
        </w:tc>
        <w:tc>
          <w:tcPr>
            <w:tcW w:w="1499" w:type="dxa"/>
            <w:vAlign w:val="center"/>
          </w:tcPr>
          <w:p w:rsidR="00C223F5" w:rsidRDefault="005860D5" w:rsidP="00A82F91">
            <w:pPr>
              <w:widowControl/>
              <w:jc w:val="center"/>
              <w:rPr>
                <w:rFonts w:eastAsiaTheme="minorEastAsia"/>
                <w:kern w:val="0"/>
                <w:szCs w:val="21"/>
              </w:rPr>
            </w:pPr>
            <w:r>
              <w:rPr>
                <w:rFonts w:eastAsiaTheme="minorEastAsia" w:hint="eastAsia"/>
                <w:kern w:val="0"/>
                <w:szCs w:val="21"/>
              </w:rPr>
              <w:t>4.8</w:t>
            </w:r>
          </w:p>
        </w:tc>
      </w:tr>
      <w:tr w:rsidR="00C223F5">
        <w:trPr>
          <w:trHeight w:val="60"/>
          <w:jc w:val="center"/>
        </w:trPr>
        <w:tc>
          <w:tcPr>
            <w:tcW w:w="1984" w:type="dxa"/>
            <w:vMerge/>
            <w:vAlign w:val="center"/>
          </w:tcPr>
          <w:p w:rsidR="00C223F5" w:rsidRDefault="00C223F5" w:rsidP="00A82F91">
            <w:pPr>
              <w:widowControl/>
              <w:jc w:val="center"/>
              <w:rPr>
                <w:rFonts w:eastAsiaTheme="minorEastAsia"/>
                <w:kern w:val="0"/>
                <w:szCs w:val="21"/>
              </w:rPr>
            </w:pPr>
          </w:p>
        </w:tc>
        <w:tc>
          <w:tcPr>
            <w:tcW w:w="1609" w:type="dxa"/>
            <w:vAlign w:val="center"/>
          </w:tcPr>
          <w:p w:rsidR="00C223F5" w:rsidRDefault="005860D5" w:rsidP="00A82F91">
            <w:pPr>
              <w:jc w:val="center"/>
              <w:rPr>
                <w:rFonts w:eastAsiaTheme="minorEastAsia"/>
                <w:szCs w:val="21"/>
              </w:rPr>
            </w:pPr>
            <w:r>
              <w:rPr>
                <w:rFonts w:eastAsiaTheme="minorEastAsia" w:hAnsiTheme="minorEastAsia"/>
                <w:szCs w:val="21"/>
              </w:rPr>
              <w:t>天然牧草</w:t>
            </w:r>
          </w:p>
        </w:tc>
        <w:tc>
          <w:tcPr>
            <w:tcW w:w="1705" w:type="dxa"/>
            <w:vAlign w:val="center"/>
          </w:tcPr>
          <w:p w:rsidR="00C223F5" w:rsidRDefault="005860D5" w:rsidP="00A82F91">
            <w:pPr>
              <w:jc w:val="center"/>
              <w:rPr>
                <w:rFonts w:eastAsiaTheme="minorEastAsia"/>
                <w:szCs w:val="21"/>
              </w:rPr>
            </w:pPr>
            <w:r>
              <w:rPr>
                <w:rFonts w:eastAsiaTheme="minorEastAsia"/>
                <w:szCs w:val="21"/>
              </w:rPr>
              <w:t>12.05</w:t>
            </w:r>
          </w:p>
        </w:tc>
        <w:tc>
          <w:tcPr>
            <w:tcW w:w="1764" w:type="dxa"/>
            <w:vAlign w:val="center"/>
          </w:tcPr>
          <w:p w:rsidR="00C223F5" w:rsidRDefault="005860D5" w:rsidP="00A82F91">
            <w:pPr>
              <w:widowControl/>
              <w:jc w:val="center"/>
              <w:rPr>
                <w:rFonts w:eastAsiaTheme="minorEastAsia"/>
                <w:kern w:val="0"/>
                <w:szCs w:val="21"/>
              </w:rPr>
            </w:pPr>
            <w:r>
              <w:rPr>
                <w:rFonts w:eastAsiaTheme="minorEastAsia"/>
                <w:kern w:val="0"/>
                <w:szCs w:val="21"/>
              </w:rPr>
              <w:t>0.14</w:t>
            </w:r>
          </w:p>
        </w:tc>
        <w:tc>
          <w:tcPr>
            <w:tcW w:w="1499" w:type="dxa"/>
            <w:vAlign w:val="center"/>
          </w:tcPr>
          <w:p w:rsidR="00C223F5" w:rsidRDefault="005860D5" w:rsidP="00A82F91">
            <w:pPr>
              <w:widowControl/>
              <w:jc w:val="center"/>
              <w:rPr>
                <w:rFonts w:eastAsiaTheme="minorEastAsia"/>
                <w:kern w:val="0"/>
                <w:szCs w:val="21"/>
              </w:rPr>
            </w:pPr>
            <w:r>
              <w:rPr>
                <w:rFonts w:eastAsiaTheme="minorEastAsia" w:hint="eastAsia"/>
                <w:kern w:val="0"/>
                <w:szCs w:val="21"/>
              </w:rPr>
              <w:t>12.19</w:t>
            </w:r>
          </w:p>
        </w:tc>
      </w:tr>
      <w:tr w:rsidR="00C223F5">
        <w:trPr>
          <w:trHeight w:val="285"/>
          <w:jc w:val="center"/>
        </w:trPr>
        <w:tc>
          <w:tcPr>
            <w:tcW w:w="1984" w:type="dxa"/>
            <w:vMerge/>
            <w:vAlign w:val="center"/>
          </w:tcPr>
          <w:p w:rsidR="00C223F5" w:rsidRDefault="00C223F5" w:rsidP="00A82F91">
            <w:pPr>
              <w:widowControl/>
              <w:jc w:val="center"/>
              <w:rPr>
                <w:rFonts w:eastAsiaTheme="minorEastAsia"/>
                <w:kern w:val="0"/>
                <w:szCs w:val="21"/>
              </w:rPr>
            </w:pPr>
          </w:p>
        </w:tc>
        <w:tc>
          <w:tcPr>
            <w:tcW w:w="1609" w:type="dxa"/>
            <w:vAlign w:val="center"/>
          </w:tcPr>
          <w:p w:rsidR="00C223F5" w:rsidRDefault="005860D5" w:rsidP="00A82F91">
            <w:pPr>
              <w:jc w:val="center"/>
              <w:rPr>
                <w:rFonts w:eastAsiaTheme="minorEastAsia"/>
                <w:szCs w:val="21"/>
              </w:rPr>
            </w:pPr>
            <w:r>
              <w:rPr>
                <w:rFonts w:eastAsiaTheme="minorEastAsia" w:hAnsiTheme="minorEastAsia"/>
                <w:szCs w:val="21"/>
              </w:rPr>
              <w:t>农村住宅</w:t>
            </w:r>
          </w:p>
        </w:tc>
        <w:tc>
          <w:tcPr>
            <w:tcW w:w="1705" w:type="dxa"/>
            <w:vAlign w:val="center"/>
          </w:tcPr>
          <w:p w:rsidR="00C223F5" w:rsidRDefault="005860D5" w:rsidP="00A82F91">
            <w:pPr>
              <w:jc w:val="center"/>
              <w:rPr>
                <w:rFonts w:eastAsiaTheme="minorEastAsia"/>
                <w:szCs w:val="21"/>
              </w:rPr>
            </w:pPr>
            <w:r>
              <w:rPr>
                <w:rFonts w:eastAsiaTheme="minorEastAsia"/>
                <w:szCs w:val="21"/>
              </w:rPr>
              <w:t>0.16</w:t>
            </w:r>
          </w:p>
        </w:tc>
        <w:tc>
          <w:tcPr>
            <w:tcW w:w="1764" w:type="dxa"/>
            <w:vAlign w:val="center"/>
          </w:tcPr>
          <w:p w:rsidR="00C223F5" w:rsidRDefault="005860D5" w:rsidP="00A82F91">
            <w:pPr>
              <w:widowControl/>
              <w:jc w:val="center"/>
              <w:rPr>
                <w:rFonts w:eastAsiaTheme="minorEastAsia"/>
                <w:kern w:val="0"/>
                <w:szCs w:val="21"/>
              </w:rPr>
            </w:pPr>
            <w:r>
              <w:rPr>
                <w:rFonts w:eastAsiaTheme="minorEastAsia"/>
                <w:kern w:val="0"/>
                <w:szCs w:val="21"/>
              </w:rPr>
              <w:t>0</w:t>
            </w:r>
          </w:p>
        </w:tc>
        <w:tc>
          <w:tcPr>
            <w:tcW w:w="1499" w:type="dxa"/>
            <w:vAlign w:val="center"/>
          </w:tcPr>
          <w:p w:rsidR="00C223F5" w:rsidRDefault="005860D5" w:rsidP="00A82F91">
            <w:pPr>
              <w:widowControl/>
              <w:jc w:val="center"/>
              <w:rPr>
                <w:rFonts w:eastAsiaTheme="minorEastAsia"/>
                <w:kern w:val="0"/>
                <w:szCs w:val="21"/>
              </w:rPr>
            </w:pPr>
            <w:r>
              <w:rPr>
                <w:rFonts w:eastAsiaTheme="minorEastAsia" w:hint="eastAsia"/>
                <w:kern w:val="0"/>
                <w:szCs w:val="21"/>
              </w:rPr>
              <w:t>0.16</w:t>
            </w:r>
          </w:p>
        </w:tc>
      </w:tr>
      <w:tr w:rsidR="00C223F5">
        <w:trPr>
          <w:trHeight w:val="285"/>
          <w:jc w:val="center"/>
        </w:trPr>
        <w:tc>
          <w:tcPr>
            <w:tcW w:w="1984" w:type="dxa"/>
            <w:vMerge/>
            <w:vAlign w:val="center"/>
          </w:tcPr>
          <w:p w:rsidR="00C223F5" w:rsidRDefault="00C223F5" w:rsidP="00A82F91">
            <w:pPr>
              <w:widowControl/>
              <w:jc w:val="center"/>
              <w:rPr>
                <w:rFonts w:eastAsiaTheme="minorEastAsia"/>
                <w:kern w:val="0"/>
                <w:szCs w:val="21"/>
              </w:rPr>
            </w:pPr>
          </w:p>
        </w:tc>
        <w:tc>
          <w:tcPr>
            <w:tcW w:w="1609" w:type="dxa"/>
            <w:vAlign w:val="center"/>
          </w:tcPr>
          <w:p w:rsidR="00C223F5" w:rsidRDefault="005860D5" w:rsidP="00A82F91">
            <w:pPr>
              <w:jc w:val="center"/>
              <w:rPr>
                <w:rFonts w:eastAsiaTheme="minorEastAsia"/>
                <w:szCs w:val="21"/>
              </w:rPr>
            </w:pPr>
            <w:r>
              <w:rPr>
                <w:rFonts w:eastAsiaTheme="minorEastAsia" w:hAnsiTheme="minorEastAsia"/>
                <w:szCs w:val="21"/>
              </w:rPr>
              <w:t>河流水面</w:t>
            </w:r>
          </w:p>
        </w:tc>
        <w:tc>
          <w:tcPr>
            <w:tcW w:w="1705" w:type="dxa"/>
            <w:vAlign w:val="center"/>
          </w:tcPr>
          <w:p w:rsidR="00C223F5" w:rsidRDefault="005860D5" w:rsidP="00A82F91">
            <w:pPr>
              <w:jc w:val="center"/>
              <w:rPr>
                <w:rFonts w:eastAsiaTheme="minorEastAsia"/>
                <w:szCs w:val="21"/>
              </w:rPr>
            </w:pPr>
            <w:r>
              <w:rPr>
                <w:rFonts w:eastAsiaTheme="minorEastAsia"/>
                <w:szCs w:val="21"/>
              </w:rPr>
              <w:t>0.29</w:t>
            </w:r>
          </w:p>
        </w:tc>
        <w:tc>
          <w:tcPr>
            <w:tcW w:w="1764" w:type="dxa"/>
            <w:vAlign w:val="center"/>
          </w:tcPr>
          <w:p w:rsidR="00C223F5" w:rsidRDefault="005860D5" w:rsidP="00A82F91">
            <w:pPr>
              <w:widowControl/>
              <w:jc w:val="center"/>
              <w:rPr>
                <w:rFonts w:eastAsiaTheme="minorEastAsia"/>
                <w:kern w:val="0"/>
                <w:szCs w:val="21"/>
              </w:rPr>
            </w:pPr>
            <w:r>
              <w:rPr>
                <w:rFonts w:eastAsiaTheme="minorEastAsia"/>
                <w:kern w:val="0"/>
                <w:szCs w:val="21"/>
              </w:rPr>
              <w:t>0</w:t>
            </w:r>
          </w:p>
        </w:tc>
        <w:tc>
          <w:tcPr>
            <w:tcW w:w="1499" w:type="dxa"/>
            <w:vAlign w:val="center"/>
          </w:tcPr>
          <w:p w:rsidR="00C223F5" w:rsidRDefault="005860D5" w:rsidP="00A82F91">
            <w:pPr>
              <w:widowControl/>
              <w:jc w:val="center"/>
              <w:rPr>
                <w:rFonts w:eastAsiaTheme="minorEastAsia"/>
                <w:kern w:val="0"/>
                <w:szCs w:val="21"/>
              </w:rPr>
            </w:pPr>
            <w:r>
              <w:rPr>
                <w:rFonts w:eastAsiaTheme="minorEastAsia" w:hint="eastAsia"/>
                <w:kern w:val="0"/>
                <w:szCs w:val="21"/>
              </w:rPr>
              <w:t>0.29</w:t>
            </w:r>
          </w:p>
        </w:tc>
      </w:tr>
      <w:tr w:rsidR="00C223F5">
        <w:trPr>
          <w:trHeight w:val="60"/>
          <w:jc w:val="center"/>
        </w:trPr>
        <w:tc>
          <w:tcPr>
            <w:tcW w:w="1984" w:type="dxa"/>
            <w:vMerge/>
            <w:vAlign w:val="center"/>
          </w:tcPr>
          <w:p w:rsidR="00C223F5" w:rsidRDefault="00C223F5" w:rsidP="00A82F91">
            <w:pPr>
              <w:widowControl/>
              <w:jc w:val="center"/>
              <w:rPr>
                <w:rFonts w:eastAsiaTheme="minorEastAsia"/>
                <w:kern w:val="0"/>
                <w:szCs w:val="21"/>
              </w:rPr>
            </w:pPr>
          </w:p>
        </w:tc>
        <w:tc>
          <w:tcPr>
            <w:tcW w:w="1609" w:type="dxa"/>
            <w:vAlign w:val="center"/>
          </w:tcPr>
          <w:p w:rsidR="00C223F5" w:rsidRDefault="005860D5" w:rsidP="00A82F91">
            <w:pPr>
              <w:jc w:val="center"/>
              <w:rPr>
                <w:rFonts w:eastAsiaTheme="minorEastAsia"/>
                <w:szCs w:val="21"/>
              </w:rPr>
            </w:pPr>
            <w:r>
              <w:rPr>
                <w:rFonts w:eastAsiaTheme="minorEastAsia" w:hAnsiTheme="minorEastAsia"/>
                <w:szCs w:val="21"/>
              </w:rPr>
              <w:t>坑塘水面</w:t>
            </w:r>
          </w:p>
        </w:tc>
        <w:tc>
          <w:tcPr>
            <w:tcW w:w="1705" w:type="dxa"/>
            <w:vAlign w:val="center"/>
          </w:tcPr>
          <w:p w:rsidR="00C223F5" w:rsidRDefault="005860D5" w:rsidP="00A82F91">
            <w:pPr>
              <w:jc w:val="center"/>
              <w:rPr>
                <w:rFonts w:eastAsiaTheme="minorEastAsia"/>
                <w:szCs w:val="21"/>
              </w:rPr>
            </w:pPr>
            <w:r>
              <w:rPr>
                <w:rFonts w:eastAsiaTheme="minorEastAsia"/>
                <w:szCs w:val="21"/>
              </w:rPr>
              <w:t>0.03</w:t>
            </w:r>
          </w:p>
        </w:tc>
        <w:tc>
          <w:tcPr>
            <w:tcW w:w="1764" w:type="dxa"/>
            <w:vAlign w:val="center"/>
          </w:tcPr>
          <w:p w:rsidR="00C223F5" w:rsidRDefault="005860D5" w:rsidP="00A82F91">
            <w:pPr>
              <w:widowControl/>
              <w:jc w:val="center"/>
              <w:rPr>
                <w:rFonts w:eastAsiaTheme="minorEastAsia"/>
                <w:kern w:val="0"/>
                <w:szCs w:val="21"/>
              </w:rPr>
            </w:pPr>
            <w:r>
              <w:rPr>
                <w:rFonts w:eastAsiaTheme="minorEastAsia"/>
                <w:kern w:val="0"/>
                <w:szCs w:val="21"/>
              </w:rPr>
              <w:t>0</w:t>
            </w:r>
          </w:p>
        </w:tc>
        <w:tc>
          <w:tcPr>
            <w:tcW w:w="1499" w:type="dxa"/>
            <w:vAlign w:val="center"/>
          </w:tcPr>
          <w:p w:rsidR="00C223F5" w:rsidRDefault="005860D5" w:rsidP="00A82F91">
            <w:pPr>
              <w:widowControl/>
              <w:jc w:val="center"/>
              <w:rPr>
                <w:rFonts w:eastAsiaTheme="minorEastAsia"/>
                <w:kern w:val="0"/>
                <w:szCs w:val="21"/>
              </w:rPr>
            </w:pPr>
            <w:r>
              <w:rPr>
                <w:rFonts w:eastAsiaTheme="minorEastAsia" w:hint="eastAsia"/>
                <w:kern w:val="0"/>
                <w:szCs w:val="21"/>
              </w:rPr>
              <w:t>0.03</w:t>
            </w:r>
          </w:p>
        </w:tc>
      </w:tr>
      <w:tr w:rsidR="00C223F5">
        <w:trPr>
          <w:trHeight w:val="60"/>
          <w:jc w:val="center"/>
        </w:trPr>
        <w:tc>
          <w:tcPr>
            <w:tcW w:w="1984" w:type="dxa"/>
            <w:vMerge/>
            <w:vAlign w:val="center"/>
          </w:tcPr>
          <w:p w:rsidR="00C223F5" w:rsidRDefault="00C223F5" w:rsidP="00A82F91">
            <w:pPr>
              <w:widowControl/>
              <w:jc w:val="center"/>
              <w:rPr>
                <w:rFonts w:eastAsiaTheme="minorEastAsia"/>
                <w:kern w:val="0"/>
                <w:szCs w:val="21"/>
              </w:rPr>
            </w:pPr>
          </w:p>
        </w:tc>
        <w:tc>
          <w:tcPr>
            <w:tcW w:w="1609" w:type="dxa"/>
            <w:vAlign w:val="center"/>
          </w:tcPr>
          <w:p w:rsidR="00C223F5" w:rsidRDefault="005860D5" w:rsidP="00A82F91">
            <w:pPr>
              <w:jc w:val="center"/>
              <w:rPr>
                <w:rFonts w:eastAsiaTheme="minorEastAsia"/>
                <w:szCs w:val="21"/>
              </w:rPr>
            </w:pPr>
            <w:r>
              <w:rPr>
                <w:rFonts w:eastAsiaTheme="minorEastAsia" w:hAnsiTheme="minorEastAsia"/>
                <w:szCs w:val="21"/>
              </w:rPr>
              <w:t>内陆滩涂</w:t>
            </w:r>
          </w:p>
        </w:tc>
        <w:tc>
          <w:tcPr>
            <w:tcW w:w="1705" w:type="dxa"/>
            <w:vAlign w:val="center"/>
          </w:tcPr>
          <w:p w:rsidR="00C223F5" w:rsidRDefault="005860D5" w:rsidP="00A82F91">
            <w:pPr>
              <w:jc w:val="center"/>
              <w:rPr>
                <w:rFonts w:eastAsiaTheme="minorEastAsia"/>
                <w:szCs w:val="21"/>
              </w:rPr>
            </w:pPr>
            <w:r>
              <w:rPr>
                <w:rFonts w:eastAsiaTheme="minorEastAsia"/>
                <w:szCs w:val="21"/>
              </w:rPr>
              <w:t>0.09</w:t>
            </w:r>
          </w:p>
        </w:tc>
        <w:tc>
          <w:tcPr>
            <w:tcW w:w="1764" w:type="dxa"/>
            <w:vAlign w:val="center"/>
          </w:tcPr>
          <w:p w:rsidR="00C223F5" w:rsidRDefault="005860D5" w:rsidP="00A82F91">
            <w:pPr>
              <w:widowControl/>
              <w:jc w:val="center"/>
              <w:rPr>
                <w:rFonts w:eastAsiaTheme="minorEastAsia"/>
                <w:kern w:val="0"/>
                <w:szCs w:val="21"/>
              </w:rPr>
            </w:pPr>
            <w:r>
              <w:rPr>
                <w:rFonts w:eastAsiaTheme="minorEastAsia"/>
                <w:kern w:val="0"/>
                <w:szCs w:val="21"/>
              </w:rPr>
              <w:t>0</w:t>
            </w:r>
          </w:p>
        </w:tc>
        <w:tc>
          <w:tcPr>
            <w:tcW w:w="1499" w:type="dxa"/>
            <w:vAlign w:val="center"/>
          </w:tcPr>
          <w:p w:rsidR="00C223F5" w:rsidRDefault="005860D5" w:rsidP="00A82F91">
            <w:pPr>
              <w:widowControl/>
              <w:jc w:val="center"/>
              <w:rPr>
                <w:rFonts w:eastAsiaTheme="minorEastAsia"/>
                <w:kern w:val="0"/>
                <w:szCs w:val="21"/>
              </w:rPr>
            </w:pPr>
            <w:r>
              <w:rPr>
                <w:rFonts w:eastAsiaTheme="minorEastAsia" w:hint="eastAsia"/>
                <w:kern w:val="0"/>
                <w:szCs w:val="21"/>
              </w:rPr>
              <w:t>0.09</w:t>
            </w:r>
          </w:p>
        </w:tc>
      </w:tr>
      <w:tr w:rsidR="00C223F5">
        <w:trPr>
          <w:trHeight w:val="60"/>
          <w:jc w:val="center"/>
        </w:trPr>
        <w:tc>
          <w:tcPr>
            <w:tcW w:w="1984" w:type="dxa"/>
            <w:vMerge/>
            <w:vAlign w:val="center"/>
          </w:tcPr>
          <w:p w:rsidR="00C223F5" w:rsidRDefault="00C223F5" w:rsidP="00A82F91">
            <w:pPr>
              <w:widowControl/>
              <w:jc w:val="center"/>
              <w:rPr>
                <w:rFonts w:eastAsiaTheme="minorEastAsia"/>
                <w:kern w:val="0"/>
                <w:szCs w:val="21"/>
              </w:rPr>
            </w:pPr>
          </w:p>
        </w:tc>
        <w:tc>
          <w:tcPr>
            <w:tcW w:w="1609" w:type="dxa"/>
            <w:vAlign w:val="center"/>
          </w:tcPr>
          <w:p w:rsidR="00C223F5" w:rsidRDefault="005860D5" w:rsidP="00A82F91">
            <w:pPr>
              <w:jc w:val="center"/>
              <w:rPr>
                <w:rFonts w:eastAsiaTheme="minorEastAsia"/>
                <w:szCs w:val="21"/>
              </w:rPr>
            </w:pPr>
            <w:r>
              <w:rPr>
                <w:rFonts w:eastAsiaTheme="minorEastAsia" w:hAnsiTheme="minorEastAsia"/>
                <w:szCs w:val="21"/>
              </w:rPr>
              <w:t>裸土地</w:t>
            </w:r>
          </w:p>
        </w:tc>
        <w:tc>
          <w:tcPr>
            <w:tcW w:w="1705" w:type="dxa"/>
            <w:vAlign w:val="center"/>
          </w:tcPr>
          <w:p w:rsidR="00C223F5" w:rsidRDefault="005860D5" w:rsidP="00A82F91">
            <w:pPr>
              <w:jc w:val="center"/>
              <w:rPr>
                <w:rFonts w:eastAsiaTheme="minorEastAsia"/>
                <w:szCs w:val="21"/>
              </w:rPr>
            </w:pPr>
            <w:r>
              <w:rPr>
                <w:rFonts w:eastAsiaTheme="minorEastAsia"/>
                <w:szCs w:val="21"/>
              </w:rPr>
              <w:t>0.24</w:t>
            </w:r>
          </w:p>
        </w:tc>
        <w:tc>
          <w:tcPr>
            <w:tcW w:w="1764" w:type="dxa"/>
            <w:vAlign w:val="center"/>
          </w:tcPr>
          <w:p w:rsidR="00C223F5" w:rsidRDefault="005860D5" w:rsidP="00A82F91">
            <w:pPr>
              <w:widowControl/>
              <w:jc w:val="center"/>
              <w:rPr>
                <w:rFonts w:eastAsiaTheme="minorEastAsia"/>
                <w:kern w:val="0"/>
                <w:szCs w:val="21"/>
              </w:rPr>
            </w:pPr>
            <w:r>
              <w:rPr>
                <w:rFonts w:eastAsiaTheme="minorEastAsia"/>
                <w:kern w:val="0"/>
                <w:szCs w:val="21"/>
              </w:rPr>
              <w:t>0</w:t>
            </w:r>
          </w:p>
        </w:tc>
        <w:tc>
          <w:tcPr>
            <w:tcW w:w="1499" w:type="dxa"/>
            <w:vAlign w:val="center"/>
          </w:tcPr>
          <w:p w:rsidR="00C223F5" w:rsidRDefault="005860D5" w:rsidP="00A82F91">
            <w:pPr>
              <w:widowControl/>
              <w:jc w:val="center"/>
              <w:rPr>
                <w:rFonts w:eastAsiaTheme="minorEastAsia"/>
                <w:kern w:val="0"/>
                <w:szCs w:val="21"/>
              </w:rPr>
            </w:pPr>
            <w:r>
              <w:rPr>
                <w:rFonts w:eastAsiaTheme="minorEastAsia" w:hint="eastAsia"/>
                <w:kern w:val="0"/>
                <w:szCs w:val="21"/>
              </w:rPr>
              <w:t>0.24</w:t>
            </w:r>
          </w:p>
        </w:tc>
      </w:tr>
      <w:tr w:rsidR="00C223F5">
        <w:trPr>
          <w:trHeight w:val="285"/>
          <w:jc w:val="center"/>
        </w:trPr>
        <w:tc>
          <w:tcPr>
            <w:tcW w:w="3593" w:type="dxa"/>
            <w:gridSpan w:val="2"/>
            <w:vAlign w:val="center"/>
          </w:tcPr>
          <w:p w:rsidR="00C223F5" w:rsidRDefault="005860D5" w:rsidP="00A82F91">
            <w:pPr>
              <w:widowControl/>
              <w:jc w:val="center"/>
              <w:rPr>
                <w:rFonts w:eastAsiaTheme="minorEastAsia"/>
                <w:kern w:val="0"/>
                <w:szCs w:val="21"/>
              </w:rPr>
            </w:pPr>
            <w:r>
              <w:rPr>
                <w:rFonts w:eastAsiaTheme="minorEastAsia" w:hAnsiTheme="minorEastAsia"/>
                <w:kern w:val="0"/>
                <w:szCs w:val="21"/>
              </w:rPr>
              <w:t>合计</w:t>
            </w:r>
          </w:p>
        </w:tc>
        <w:tc>
          <w:tcPr>
            <w:tcW w:w="1705" w:type="dxa"/>
            <w:vAlign w:val="center"/>
          </w:tcPr>
          <w:p w:rsidR="00C223F5" w:rsidRDefault="000F32AE" w:rsidP="00A82F91">
            <w:pPr>
              <w:widowControl/>
              <w:jc w:val="center"/>
              <w:rPr>
                <w:rFonts w:eastAsiaTheme="minorEastAsia"/>
                <w:kern w:val="0"/>
                <w:szCs w:val="21"/>
              </w:rPr>
            </w:pPr>
            <w:r>
              <w:rPr>
                <w:rFonts w:eastAsiaTheme="minorEastAsia"/>
                <w:kern w:val="0"/>
                <w:szCs w:val="21"/>
              </w:rPr>
              <w:fldChar w:fldCharType="begin"/>
            </w:r>
            <w:r w:rsidR="005860D5">
              <w:rPr>
                <w:rFonts w:eastAsiaTheme="minorEastAsia"/>
                <w:kern w:val="0"/>
                <w:szCs w:val="21"/>
              </w:rPr>
              <w:instrText xml:space="preserve"> =SUM(ABOVE) </w:instrText>
            </w:r>
            <w:r>
              <w:rPr>
                <w:rFonts w:eastAsiaTheme="minorEastAsia"/>
                <w:kern w:val="0"/>
                <w:szCs w:val="21"/>
              </w:rPr>
              <w:fldChar w:fldCharType="separate"/>
            </w:r>
            <w:r w:rsidR="005860D5">
              <w:rPr>
                <w:rFonts w:eastAsiaTheme="minorEastAsia"/>
                <w:kern w:val="0"/>
                <w:szCs w:val="21"/>
              </w:rPr>
              <w:t>39.14</w:t>
            </w:r>
            <w:r>
              <w:rPr>
                <w:rFonts w:eastAsiaTheme="minorEastAsia"/>
                <w:kern w:val="0"/>
                <w:szCs w:val="21"/>
              </w:rPr>
              <w:fldChar w:fldCharType="end"/>
            </w:r>
          </w:p>
        </w:tc>
        <w:tc>
          <w:tcPr>
            <w:tcW w:w="1764" w:type="dxa"/>
            <w:vAlign w:val="center"/>
          </w:tcPr>
          <w:p w:rsidR="00C223F5" w:rsidRDefault="000F32AE" w:rsidP="00A82F91">
            <w:pPr>
              <w:jc w:val="center"/>
              <w:rPr>
                <w:rFonts w:eastAsiaTheme="minorEastAsia"/>
                <w:szCs w:val="21"/>
              </w:rPr>
            </w:pPr>
            <w:r>
              <w:rPr>
                <w:rFonts w:eastAsiaTheme="minorEastAsia"/>
                <w:szCs w:val="21"/>
              </w:rPr>
              <w:fldChar w:fldCharType="begin"/>
            </w:r>
            <w:r w:rsidR="005860D5">
              <w:rPr>
                <w:rFonts w:eastAsiaTheme="minorEastAsia"/>
                <w:szCs w:val="21"/>
              </w:rPr>
              <w:instrText xml:space="preserve"> =SUM(ABOVE) </w:instrText>
            </w:r>
            <w:r>
              <w:rPr>
                <w:rFonts w:eastAsiaTheme="minorEastAsia"/>
                <w:szCs w:val="21"/>
              </w:rPr>
              <w:fldChar w:fldCharType="separate"/>
            </w:r>
            <w:r w:rsidR="005860D5">
              <w:rPr>
                <w:rFonts w:eastAsiaTheme="minorEastAsia"/>
                <w:szCs w:val="21"/>
              </w:rPr>
              <w:t>0.31</w:t>
            </w:r>
            <w:r>
              <w:rPr>
                <w:rFonts w:eastAsiaTheme="minorEastAsia"/>
                <w:szCs w:val="21"/>
              </w:rPr>
              <w:fldChar w:fldCharType="end"/>
            </w:r>
          </w:p>
        </w:tc>
        <w:tc>
          <w:tcPr>
            <w:tcW w:w="1499" w:type="dxa"/>
            <w:vAlign w:val="center"/>
          </w:tcPr>
          <w:p w:rsidR="00C223F5" w:rsidRDefault="005860D5" w:rsidP="00A82F91">
            <w:pPr>
              <w:jc w:val="center"/>
              <w:rPr>
                <w:rFonts w:eastAsiaTheme="minorEastAsia"/>
                <w:szCs w:val="21"/>
              </w:rPr>
            </w:pPr>
            <w:r>
              <w:rPr>
                <w:rFonts w:eastAsiaTheme="minorEastAsia" w:hint="eastAsia"/>
                <w:szCs w:val="21"/>
              </w:rPr>
              <w:t>39.45</w:t>
            </w:r>
          </w:p>
        </w:tc>
      </w:tr>
    </w:tbl>
    <w:p w:rsidR="005D6C9F" w:rsidRDefault="005D6C9F" w:rsidP="004835BD">
      <w:pPr>
        <w:pStyle w:val="aff1"/>
        <w:tabs>
          <w:tab w:val="clear" w:pos="5781"/>
        </w:tabs>
        <w:spacing w:beforeLines="50" w:before="120" w:line="360" w:lineRule="auto"/>
        <w:ind w:left="0" w:firstLineChars="200" w:firstLine="480"/>
        <w:rPr>
          <w:bCs/>
          <w:szCs w:val="24"/>
        </w:rPr>
      </w:pPr>
      <w:r>
        <w:rPr>
          <w:rFonts w:hint="eastAsia"/>
          <w:bCs/>
          <w:szCs w:val="24"/>
        </w:rPr>
        <w:t>（</w:t>
      </w:r>
      <w:r>
        <w:rPr>
          <w:rFonts w:hint="eastAsia"/>
          <w:bCs/>
          <w:szCs w:val="24"/>
        </w:rPr>
        <w:t>4</w:t>
      </w:r>
      <w:r>
        <w:rPr>
          <w:rFonts w:hint="eastAsia"/>
          <w:bCs/>
          <w:szCs w:val="24"/>
        </w:rPr>
        <w:t>）</w:t>
      </w:r>
      <w:r>
        <w:rPr>
          <w:bCs/>
          <w:szCs w:val="24"/>
        </w:rPr>
        <w:t>采煤地表沉陷对地表植被的影响分析</w:t>
      </w:r>
    </w:p>
    <w:p w:rsidR="005D6C9F" w:rsidRDefault="00855FBF" w:rsidP="005D6C9F">
      <w:pPr>
        <w:pStyle w:val="BG"/>
        <w:ind w:firstLine="480"/>
      </w:pPr>
      <w:r>
        <w:lastRenderedPageBreak/>
        <w:fldChar w:fldCharType="begin"/>
      </w:r>
      <w:r>
        <w:instrText>= 1 \* GB3</w:instrText>
      </w:r>
      <w:r>
        <w:fldChar w:fldCharType="separate"/>
      </w:r>
      <w:r w:rsidR="005D6C9F">
        <w:rPr>
          <w:rFonts w:hint="eastAsia"/>
        </w:rPr>
        <w:t>①</w:t>
      </w:r>
      <w:r>
        <w:fldChar w:fldCharType="end"/>
      </w:r>
      <w:r w:rsidR="005D6C9F">
        <w:t>耕地</w:t>
      </w:r>
    </w:p>
    <w:p w:rsidR="00C223F5" w:rsidRDefault="005860D5" w:rsidP="00A82F91">
      <w:pPr>
        <w:tabs>
          <w:tab w:val="left" w:pos="360"/>
          <w:tab w:val="left" w:pos="540"/>
        </w:tabs>
        <w:spacing w:line="360" w:lineRule="auto"/>
        <w:ind w:firstLineChars="200" w:firstLine="480"/>
        <w:rPr>
          <w:sz w:val="24"/>
        </w:rPr>
      </w:pPr>
      <w:r>
        <w:rPr>
          <w:sz w:val="24"/>
        </w:rPr>
        <w:t>采煤地表变形移动对农业植被的影响主要表现在地表裂缝导致土壤保水保墒能力下降，从而造成农业植被生产力下降，根据矿井开拓方案及采煤地表沉陷预测结果，</w:t>
      </w:r>
      <w:r>
        <w:rPr>
          <w:rFonts w:hint="eastAsia"/>
          <w:sz w:val="24"/>
        </w:rPr>
        <w:t>全井田</w:t>
      </w:r>
      <w:r>
        <w:rPr>
          <w:sz w:val="24"/>
        </w:rPr>
        <w:t>开采结束</w:t>
      </w:r>
      <w:r>
        <w:rPr>
          <w:rFonts w:hint="eastAsia"/>
          <w:sz w:val="24"/>
        </w:rPr>
        <w:t>后</w:t>
      </w:r>
      <w:r>
        <w:rPr>
          <w:sz w:val="24"/>
        </w:rPr>
        <w:t>沉陷损害耕地面积</w:t>
      </w:r>
      <w:r>
        <w:rPr>
          <w:rFonts w:hint="eastAsia"/>
          <w:sz w:val="24"/>
        </w:rPr>
        <w:t>12.72</w:t>
      </w:r>
      <w:r>
        <w:rPr>
          <w:sz w:val="24"/>
        </w:rPr>
        <w:t>km</w:t>
      </w:r>
      <w:r>
        <w:rPr>
          <w:sz w:val="24"/>
          <w:vertAlign w:val="superscript"/>
        </w:rPr>
        <w:t>2</w:t>
      </w:r>
      <w:r>
        <w:rPr>
          <w:sz w:val="24"/>
        </w:rPr>
        <w:t>，其中</w:t>
      </w:r>
      <w:r>
        <w:rPr>
          <w:rFonts w:hint="eastAsia"/>
          <w:sz w:val="24"/>
        </w:rPr>
        <w:t>轻度区</w:t>
      </w:r>
      <w:r>
        <w:rPr>
          <w:rFonts w:hint="eastAsia"/>
          <w:sz w:val="24"/>
        </w:rPr>
        <w:t>12.63</w:t>
      </w:r>
      <w:r>
        <w:rPr>
          <w:sz w:val="24"/>
        </w:rPr>
        <w:t>km</w:t>
      </w:r>
      <w:r>
        <w:rPr>
          <w:sz w:val="24"/>
          <w:vertAlign w:val="superscript"/>
        </w:rPr>
        <w:t>2</w:t>
      </w:r>
      <w:r>
        <w:rPr>
          <w:rFonts w:hint="eastAsia"/>
          <w:sz w:val="24"/>
        </w:rPr>
        <w:t>、中度区</w:t>
      </w:r>
      <w:r>
        <w:rPr>
          <w:rFonts w:hint="eastAsia"/>
          <w:sz w:val="24"/>
        </w:rPr>
        <w:t>0.09</w:t>
      </w:r>
      <w:r>
        <w:rPr>
          <w:sz w:val="24"/>
        </w:rPr>
        <w:t xml:space="preserve"> km</w:t>
      </w:r>
      <w:r>
        <w:rPr>
          <w:sz w:val="24"/>
          <w:vertAlign w:val="superscript"/>
        </w:rPr>
        <w:t>2</w:t>
      </w:r>
      <w:r>
        <w:rPr>
          <w:sz w:val="24"/>
        </w:rPr>
        <w:t>（详见图</w:t>
      </w:r>
      <w:r>
        <w:rPr>
          <w:rFonts w:hint="eastAsia"/>
          <w:sz w:val="24"/>
        </w:rPr>
        <w:t>4.2.1-4</w:t>
      </w:r>
      <w:r>
        <w:rPr>
          <w:sz w:val="24"/>
        </w:rPr>
        <w:t>）。见表</w:t>
      </w:r>
      <w:r>
        <w:rPr>
          <w:rFonts w:hint="eastAsia"/>
          <w:sz w:val="24"/>
        </w:rPr>
        <w:t>4.2.1-7</w:t>
      </w:r>
      <w:r>
        <w:rPr>
          <w:sz w:val="24"/>
        </w:rPr>
        <w:t>。</w:t>
      </w:r>
    </w:p>
    <w:p w:rsidR="00C223F5" w:rsidRDefault="005860D5" w:rsidP="00A82F91">
      <w:pPr>
        <w:adjustRightInd w:val="0"/>
        <w:snapToGrid w:val="0"/>
        <w:jc w:val="center"/>
        <w:rPr>
          <w:b/>
          <w:bCs/>
          <w:sz w:val="24"/>
          <w:szCs w:val="22"/>
        </w:rPr>
      </w:pPr>
      <w:r>
        <w:rPr>
          <w:b/>
          <w:bCs/>
          <w:sz w:val="24"/>
          <w:szCs w:val="22"/>
        </w:rPr>
        <w:t>表</w:t>
      </w:r>
      <w:r>
        <w:rPr>
          <w:rFonts w:hint="eastAsia"/>
          <w:b/>
          <w:bCs/>
          <w:sz w:val="24"/>
          <w:szCs w:val="22"/>
        </w:rPr>
        <w:t>4.2.1-7</w:t>
      </w:r>
      <w:r>
        <w:rPr>
          <w:b/>
          <w:bCs/>
          <w:sz w:val="24"/>
          <w:szCs w:val="22"/>
        </w:rPr>
        <w:t xml:space="preserve">   </w:t>
      </w:r>
      <w:r>
        <w:rPr>
          <w:b/>
          <w:bCs/>
          <w:sz w:val="24"/>
          <w:szCs w:val="22"/>
        </w:rPr>
        <w:t>井田煤炭开采沉陷区耕地损害面积统计表单位：</w:t>
      </w:r>
      <w:r>
        <w:rPr>
          <w:b/>
          <w:bCs/>
          <w:sz w:val="24"/>
          <w:szCs w:val="22"/>
        </w:rPr>
        <w:t>km</w:t>
      </w:r>
      <w:r>
        <w:rPr>
          <w:b/>
          <w:bCs/>
          <w:sz w:val="24"/>
          <w:szCs w:val="22"/>
          <w:vertAlign w:val="superscript"/>
        </w:rPr>
        <w:t>2</w:t>
      </w: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27"/>
        <w:gridCol w:w="998"/>
        <w:gridCol w:w="986"/>
        <w:gridCol w:w="1057"/>
        <w:gridCol w:w="709"/>
        <w:gridCol w:w="709"/>
        <w:gridCol w:w="711"/>
      </w:tblGrid>
      <w:tr w:rsidR="00C223F5">
        <w:trPr>
          <w:trHeight w:val="70"/>
          <w:jc w:val="center"/>
        </w:trPr>
        <w:tc>
          <w:tcPr>
            <w:tcW w:w="2927" w:type="dxa"/>
            <w:vMerge w:val="restart"/>
            <w:tcBorders>
              <w:tl2br w:val="single" w:sz="4" w:space="0" w:color="auto"/>
            </w:tcBorders>
            <w:vAlign w:val="center"/>
          </w:tcPr>
          <w:p w:rsidR="00C223F5" w:rsidRDefault="005860D5" w:rsidP="00A82F91">
            <w:pPr>
              <w:autoSpaceDN w:val="0"/>
              <w:jc w:val="right"/>
              <w:textAlignment w:val="center"/>
            </w:pPr>
            <w:r>
              <w:t>损害程度</w:t>
            </w:r>
          </w:p>
          <w:p w:rsidR="00C223F5" w:rsidRDefault="005860D5" w:rsidP="00A82F91">
            <w:pPr>
              <w:autoSpaceDN w:val="0"/>
              <w:textAlignment w:val="center"/>
            </w:pPr>
            <w:r>
              <w:t>采区及影响时间</w:t>
            </w:r>
          </w:p>
        </w:tc>
        <w:tc>
          <w:tcPr>
            <w:tcW w:w="3041" w:type="dxa"/>
            <w:gridSpan w:val="3"/>
            <w:vAlign w:val="center"/>
          </w:tcPr>
          <w:p w:rsidR="00C223F5" w:rsidRDefault="005860D5" w:rsidP="00A82F91">
            <w:pPr>
              <w:autoSpaceDN w:val="0"/>
              <w:jc w:val="center"/>
              <w:textAlignment w:val="center"/>
            </w:pPr>
            <w:r>
              <w:t>全部耕地</w:t>
            </w:r>
          </w:p>
        </w:tc>
        <w:tc>
          <w:tcPr>
            <w:tcW w:w="2129" w:type="dxa"/>
            <w:gridSpan w:val="3"/>
            <w:vAlign w:val="center"/>
          </w:tcPr>
          <w:p w:rsidR="00C223F5" w:rsidRDefault="005860D5" w:rsidP="00A82F91">
            <w:pPr>
              <w:autoSpaceDN w:val="0"/>
              <w:jc w:val="center"/>
              <w:textAlignment w:val="center"/>
            </w:pPr>
            <w:r>
              <w:t>其中：基本农田</w:t>
            </w:r>
          </w:p>
        </w:tc>
      </w:tr>
      <w:tr w:rsidR="00C223F5">
        <w:trPr>
          <w:trHeight w:val="294"/>
          <w:jc w:val="center"/>
        </w:trPr>
        <w:tc>
          <w:tcPr>
            <w:tcW w:w="2927" w:type="dxa"/>
            <w:vMerge/>
            <w:vAlign w:val="center"/>
          </w:tcPr>
          <w:p w:rsidR="00C223F5" w:rsidRDefault="00C223F5" w:rsidP="00A82F91">
            <w:pPr>
              <w:autoSpaceDN w:val="0"/>
              <w:jc w:val="right"/>
              <w:textAlignment w:val="center"/>
            </w:pPr>
          </w:p>
        </w:tc>
        <w:tc>
          <w:tcPr>
            <w:tcW w:w="998" w:type="dxa"/>
            <w:vAlign w:val="center"/>
          </w:tcPr>
          <w:p w:rsidR="00C223F5" w:rsidRDefault="005860D5" w:rsidP="00A82F91">
            <w:pPr>
              <w:autoSpaceDN w:val="0"/>
              <w:jc w:val="center"/>
              <w:textAlignment w:val="center"/>
            </w:pPr>
            <w:r>
              <w:t>轻度</w:t>
            </w:r>
          </w:p>
        </w:tc>
        <w:tc>
          <w:tcPr>
            <w:tcW w:w="986" w:type="dxa"/>
            <w:vAlign w:val="center"/>
          </w:tcPr>
          <w:p w:rsidR="00C223F5" w:rsidRDefault="005860D5" w:rsidP="00A82F91">
            <w:pPr>
              <w:autoSpaceDN w:val="0"/>
              <w:jc w:val="center"/>
              <w:textAlignment w:val="center"/>
            </w:pPr>
            <w:r>
              <w:t>中度</w:t>
            </w:r>
          </w:p>
        </w:tc>
        <w:tc>
          <w:tcPr>
            <w:tcW w:w="1057" w:type="dxa"/>
            <w:vAlign w:val="center"/>
          </w:tcPr>
          <w:p w:rsidR="00C223F5" w:rsidRDefault="005860D5" w:rsidP="00A82F91">
            <w:pPr>
              <w:autoSpaceDN w:val="0"/>
              <w:jc w:val="center"/>
              <w:textAlignment w:val="center"/>
            </w:pPr>
            <w:r>
              <w:t>小计</w:t>
            </w:r>
          </w:p>
        </w:tc>
        <w:tc>
          <w:tcPr>
            <w:tcW w:w="709" w:type="dxa"/>
            <w:vAlign w:val="center"/>
          </w:tcPr>
          <w:p w:rsidR="00C223F5" w:rsidRDefault="005860D5" w:rsidP="00A82F91">
            <w:pPr>
              <w:autoSpaceDN w:val="0"/>
              <w:jc w:val="center"/>
              <w:textAlignment w:val="center"/>
            </w:pPr>
            <w:r>
              <w:t>轻度</w:t>
            </w:r>
          </w:p>
        </w:tc>
        <w:tc>
          <w:tcPr>
            <w:tcW w:w="709" w:type="dxa"/>
            <w:vAlign w:val="center"/>
          </w:tcPr>
          <w:p w:rsidR="00C223F5" w:rsidRDefault="005860D5" w:rsidP="00A82F91">
            <w:pPr>
              <w:autoSpaceDN w:val="0"/>
              <w:jc w:val="center"/>
              <w:textAlignment w:val="center"/>
            </w:pPr>
            <w:r>
              <w:t>中度</w:t>
            </w:r>
          </w:p>
        </w:tc>
        <w:tc>
          <w:tcPr>
            <w:tcW w:w="711" w:type="dxa"/>
            <w:vAlign w:val="center"/>
          </w:tcPr>
          <w:p w:rsidR="00C223F5" w:rsidRDefault="005860D5" w:rsidP="00A82F91">
            <w:pPr>
              <w:autoSpaceDN w:val="0"/>
              <w:jc w:val="center"/>
              <w:textAlignment w:val="center"/>
            </w:pPr>
            <w:r>
              <w:t>小计</w:t>
            </w:r>
          </w:p>
        </w:tc>
      </w:tr>
      <w:tr w:rsidR="00C223F5">
        <w:trPr>
          <w:jc w:val="center"/>
        </w:trPr>
        <w:tc>
          <w:tcPr>
            <w:tcW w:w="2927" w:type="dxa"/>
            <w:vAlign w:val="center"/>
          </w:tcPr>
          <w:p w:rsidR="00C223F5" w:rsidRDefault="005860D5" w:rsidP="00A82F91">
            <w:pPr>
              <w:jc w:val="center"/>
            </w:pPr>
            <w:r>
              <w:rPr>
                <w:rFonts w:hint="eastAsia"/>
              </w:rPr>
              <w:t>全井田</w:t>
            </w:r>
            <w:r>
              <w:t>开采结束</w:t>
            </w:r>
          </w:p>
        </w:tc>
        <w:tc>
          <w:tcPr>
            <w:tcW w:w="998" w:type="dxa"/>
            <w:vAlign w:val="center"/>
          </w:tcPr>
          <w:p w:rsidR="00C223F5" w:rsidRDefault="005860D5" w:rsidP="00A82F91">
            <w:pPr>
              <w:autoSpaceDN w:val="0"/>
              <w:jc w:val="center"/>
              <w:textAlignment w:val="center"/>
            </w:pPr>
            <w:r>
              <w:rPr>
                <w:rFonts w:hint="eastAsia"/>
              </w:rPr>
              <w:t>12.63</w:t>
            </w:r>
          </w:p>
        </w:tc>
        <w:tc>
          <w:tcPr>
            <w:tcW w:w="986" w:type="dxa"/>
            <w:vAlign w:val="center"/>
          </w:tcPr>
          <w:p w:rsidR="00C223F5" w:rsidRDefault="005860D5" w:rsidP="00A82F91">
            <w:pPr>
              <w:autoSpaceDN w:val="0"/>
              <w:jc w:val="center"/>
              <w:textAlignment w:val="center"/>
            </w:pPr>
            <w:r>
              <w:rPr>
                <w:rFonts w:hint="eastAsia"/>
              </w:rPr>
              <w:t>0.09</w:t>
            </w:r>
          </w:p>
        </w:tc>
        <w:tc>
          <w:tcPr>
            <w:tcW w:w="1057" w:type="dxa"/>
            <w:vAlign w:val="center"/>
          </w:tcPr>
          <w:p w:rsidR="00C223F5" w:rsidRDefault="005860D5" w:rsidP="00A82F91">
            <w:pPr>
              <w:jc w:val="center"/>
            </w:pPr>
            <w:r>
              <w:rPr>
                <w:rFonts w:hint="eastAsia"/>
              </w:rPr>
              <w:t>12.72</w:t>
            </w:r>
          </w:p>
        </w:tc>
        <w:tc>
          <w:tcPr>
            <w:tcW w:w="709" w:type="dxa"/>
            <w:vAlign w:val="center"/>
          </w:tcPr>
          <w:p w:rsidR="00C223F5" w:rsidRDefault="005860D5" w:rsidP="00A82F91">
            <w:pPr>
              <w:jc w:val="center"/>
            </w:pPr>
            <w:r>
              <w:rPr>
                <w:rFonts w:hint="eastAsia"/>
              </w:rPr>
              <w:t>10.47</w:t>
            </w:r>
          </w:p>
        </w:tc>
        <w:tc>
          <w:tcPr>
            <w:tcW w:w="709" w:type="dxa"/>
            <w:vAlign w:val="center"/>
          </w:tcPr>
          <w:p w:rsidR="00C223F5" w:rsidRDefault="005860D5" w:rsidP="00A82F91">
            <w:pPr>
              <w:jc w:val="center"/>
            </w:pPr>
            <w:r>
              <w:rPr>
                <w:rFonts w:hint="eastAsia"/>
              </w:rPr>
              <w:t>0.09</w:t>
            </w:r>
          </w:p>
        </w:tc>
        <w:tc>
          <w:tcPr>
            <w:tcW w:w="711" w:type="dxa"/>
            <w:vAlign w:val="center"/>
          </w:tcPr>
          <w:p w:rsidR="00C223F5" w:rsidRDefault="005860D5" w:rsidP="00A82F91">
            <w:pPr>
              <w:jc w:val="center"/>
            </w:pPr>
            <w:r>
              <w:rPr>
                <w:rFonts w:hint="eastAsia"/>
              </w:rPr>
              <w:t>10.56</w:t>
            </w:r>
          </w:p>
        </w:tc>
      </w:tr>
    </w:tbl>
    <w:p w:rsidR="00C223F5" w:rsidRDefault="005860D5" w:rsidP="00A82F91">
      <w:pPr>
        <w:pStyle w:val="BG"/>
        <w:ind w:firstLine="480"/>
      </w:pPr>
      <w:r>
        <w:t>参考国土资源部土地复垦编制规程，结合评价区实际情况，按轻度区耕地农作物减产</w:t>
      </w:r>
      <w:r>
        <w:t>20%</w:t>
      </w:r>
      <w:r>
        <w:t>、中度区耕地农作物减产</w:t>
      </w:r>
      <w:r>
        <w:t>60%</w:t>
      </w:r>
      <w:r>
        <w:t>，影响期</w:t>
      </w:r>
      <w:r>
        <w:rPr>
          <w:rFonts w:hint="eastAsia"/>
        </w:rPr>
        <w:t>3</w:t>
      </w:r>
      <w:r>
        <w:t>年预测采煤地表沉陷对农业植被产量影响情况，预测结果见表</w:t>
      </w:r>
      <w:r>
        <w:rPr>
          <w:rFonts w:hint="eastAsia"/>
        </w:rPr>
        <w:t>4.2.1-8</w:t>
      </w:r>
      <w:r>
        <w:t>。</w:t>
      </w:r>
    </w:p>
    <w:p w:rsidR="00C223F5" w:rsidRDefault="005860D5" w:rsidP="00A82F91">
      <w:pPr>
        <w:jc w:val="center"/>
        <w:rPr>
          <w:b/>
          <w:sz w:val="24"/>
          <w:lang w:val="de-DE"/>
        </w:rPr>
      </w:pPr>
      <w:r>
        <w:rPr>
          <w:b/>
          <w:sz w:val="24"/>
          <w:lang w:val="de-DE"/>
        </w:rPr>
        <w:t>表</w:t>
      </w:r>
      <w:r>
        <w:rPr>
          <w:rFonts w:hint="eastAsia"/>
          <w:b/>
          <w:sz w:val="24"/>
          <w:lang w:val="de-DE"/>
        </w:rPr>
        <w:t>4.2.1-8</w:t>
      </w:r>
      <w:r>
        <w:rPr>
          <w:b/>
          <w:sz w:val="24"/>
          <w:lang w:val="de-DE"/>
        </w:rPr>
        <w:t xml:space="preserve">    </w:t>
      </w:r>
      <w:r>
        <w:rPr>
          <w:b/>
          <w:sz w:val="24"/>
          <w:lang w:val="de-DE"/>
        </w:rPr>
        <w:t>沉陷对农业植被的影响</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621"/>
        <w:gridCol w:w="983"/>
        <w:gridCol w:w="1506"/>
        <w:gridCol w:w="2239"/>
        <w:gridCol w:w="2198"/>
      </w:tblGrid>
      <w:tr w:rsidR="00C223F5" w:rsidRPr="00CF2B22">
        <w:trPr>
          <w:cantSplit/>
          <w:trHeight w:val="235"/>
          <w:jc w:val="center"/>
        </w:trPr>
        <w:tc>
          <w:tcPr>
            <w:tcW w:w="4110" w:type="dxa"/>
            <w:gridSpan w:val="3"/>
            <w:tcBorders>
              <w:tl2br w:val="single" w:sz="4" w:space="0" w:color="auto"/>
            </w:tcBorders>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color w:val="FF0000"/>
              </w:rPr>
              <w:t>影响程度</w:t>
            </w:r>
          </w:p>
          <w:p w:rsidR="00C223F5" w:rsidRPr="00CF2B22" w:rsidRDefault="005860D5" w:rsidP="00A82F91">
            <w:pPr>
              <w:pStyle w:val="affff1"/>
              <w:spacing w:line="240" w:lineRule="auto"/>
              <w:rPr>
                <w:rFonts w:eastAsiaTheme="minorEastAsia"/>
                <w:color w:val="FF0000"/>
              </w:rPr>
            </w:pPr>
            <w:r w:rsidRPr="00CF2B22">
              <w:rPr>
                <w:rFonts w:eastAsiaTheme="minorEastAsia" w:hAnsiTheme="minorEastAsia"/>
                <w:color w:val="FF0000"/>
              </w:rPr>
              <w:t>评价项目</w:t>
            </w:r>
          </w:p>
        </w:tc>
        <w:tc>
          <w:tcPr>
            <w:tcW w:w="2239"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color w:val="FF0000"/>
              </w:rPr>
              <w:t>轻度破坏</w:t>
            </w:r>
          </w:p>
        </w:tc>
        <w:tc>
          <w:tcPr>
            <w:tcW w:w="2198"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color w:val="FF0000"/>
              </w:rPr>
              <w:t>中度破坏</w:t>
            </w:r>
          </w:p>
        </w:tc>
      </w:tr>
      <w:tr w:rsidR="00C223F5" w:rsidRPr="00CF2B22">
        <w:trPr>
          <w:cantSplit/>
          <w:trHeight w:val="42"/>
          <w:jc w:val="center"/>
        </w:trPr>
        <w:tc>
          <w:tcPr>
            <w:tcW w:w="1621"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color w:val="FF0000"/>
              </w:rPr>
              <w:t>基本农田</w:t>
            </w:r>
          </w:p>
        </w:tc>
        <w:tc>
          <w:tcPr>
            <w:tcW w:w="983"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color w:val="FF0000"/>
              </w:rPr>
              <w:t>全井田</w:t>
            </w:r>
          </w:p>
        </w:tc>
        <w:tc>
          <w:tcPr>
            <w:tcW w:w="1506"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km</w:t>
            </w:r>
            <w:r w:rsidRPr="00CF2B22">
              <w:rPr>
                <w:rFonts w:eastAsiaTheme="minorEastAsia"/>
                <w:color w:val="FF0000"/>
                <w:vertAlign w:val="superscript"/>
              </w:rPr>
              <w:t>2</w:t>
            </w:r>
          </w:p>
        </w:tc>
        <w:tc>
          <w:tcPr>
            <w:tcW w:w="2239"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10.47</w:t>
            </w:r>
          </w:p>
        </w:tc>
        <w:tc>
          <w:tcPr>
            <w:tcW w:w="2198"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0.09</w:t>
            </w:r>
          </w:p>
        </w:tc>
      </w:tr>
      <w:tr w:rsidR="00C223F5" w:rsidRPr="00CF2B22">
        <w:trPr>
          <w:cantSplit/>
          <w:trHeight w:val="20"/>
          <w:jc w:val="center"/>
        </w:trPr>
        <w:tc>
          <w:tcPr>
            <w:tcW w:w="1621"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hint="eastAsia"/>
                <w:color w:val="FF0000"/>
              </w:rPr>
              <w:t>水浇地、</w:t>
            </w:r>
            <w:r w:rsidRPr="00CF2B22">
              <w:rPr>
                <w:rFonts w:eastAsiaTheme="minorEastAsia" w:hAnsiTheme="minorEastAsia"/>
                <w:color w:val="FF0000"/>
              </w:rPr>
              <w:t>旱地</w:t>
            </w:r>
          </w:p>
        </w:tc>
        <w:tc>
          <w:tcPr>
            <w:tcW w:w="983"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color w:val="FF0000"/>
              </w:rPr>
              <w:t>全井田</w:t>
            </w:r>
          </w:p>
        </w:tc>
        <w:tc>
          <w:tcPr>
            <w:tcW w:w="1506"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km</w:t>
            </w:r>
            <w:r w:rsidRPr="00CF2B22">
              <w:rPr>
                <w:rFonts w:eastAsiaTheme="minorEastAsia"/>
                <w:color w:val="FF0000"/>
                <w:vertAlign w:val="superscript"/>
              </w:rPr>
              <w:t>2</w:t>
            </w:r>
          </w:p>
        </w:tc>
        <w:tc>
          <w:tcPr>
            <w:tcW w:w="2239"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int="eastAsia"/>
                <w:color w:val="FF0000"/>
              </w:rPr>
              <w:t>2.16</w:t>
            </w:r>
          </w:p>
        </w:tc>
        <w:tc>
          <w:tcPr>
            <w:tcW w:w="2198"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int="eastAsia"/>
                <w:color w:val="FF0000"/>
              </w:rPr>
              <w:t>0</w:t>
            </w:r>
          </w:p>
        </w:tc>
      </w:tr>
      <w:tr w:rsidR="00C223F5" w:rsidRPr="00CF2B22">
        <w:trPr>
          <w:cantSplit/>
          <w:trHeight w:val="20"/>
          <w:jc w:val="center"/>
        </w:trPr>
        <w:tc>
          <w:tcPr>
            <w:tcW w:w="2604" w:type="dxa"/>
            <w:gridSpan w:val="2"/>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color w:val="FF0000"/>
              </w:rPr>
              <w:t>小计</w:t>
            </w:r>
          </w:p>
        </w:tc>
        <w:tc>
          <w:tcPr>
            <w:tcW w:w="1506"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km</w:t>
            </w:r>
            <w:r w:rsidRPr="00CF2B22">
              <w:rPr>
                <w:rFonts w:eastAsiaTheme="minorEastAsia"/>
                <w:color w:val="FF0000"/>
                <w:vertAlign w:val="superscript"/>
              </w:rPr>
              <w:t>2</w:t>
            </w:r>
          </w:p>
        </w:tc>
        <w:tc>
          <w:tcPr>
            <w:tcW w:w="2239"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int="eastAsia"/>
                <w:color w:val="FF0000"/>
              </w:rPr>
              <w:t>12.63</w:t>
            </w:r>
          </w:p>
        </w:tc>
        <w:tc>
          <w:tcPr>
            <w:tcW w:w="2198"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int="eastAsia"/>
                <w:color w:val="FF0000"/>
              </w:rPr>
              <w:t>0.09</w:t>
            </w:r>
          </w:p>
        </w:tc>
      </w:tr>
      <w:tr w:rsidR="00C223F5" w:rsidRPr="00CF2B22">
        <w:trPr>
          <w:cantSplit/>
          <w:trHeight w:val="20"/>
          <w:jc w:val="center"/>
        </w:trPr>
        <w:tc>
          <w:tcPr>
            <w:tcW w:w="2604" w:type="dxa"/>
            <w:gridSpan w:val="2"/>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color w:val="FF0000"/>
              </w:rPr>
              <w:t>受影响前土地生产力</w:t>
            </w:r>
          </w:p>
        </w:tc>
        <w:tc>
          <w:tcPr>
            <w:tcW w:w="1506"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t/km</w:t>
            </w:r>
            <w:r w:rsidRPr="00CF2B22">
              <w:rPr>
                <w:rFonts w:eastAsiaTheme="minorEastAsia"/>
                <w:color w:val="FF0000"/>
                <w:vertAlign w:val="superscript"/>
              </w:rPr>
              <w:t>2</w:t>
            </w:r>
          </w:p>
        </w:tc>
        <w:tc>
          <w:tcPr>
            <w:tcW w:w="4437" w:type="dxa"/>
            <w:gridSpan w:val="2"/>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328.3</w:t>
            </w:r>
          </w:p>
        </w:tc>
      </w:tr>
      <w:tr w:rsidR="00C223F5" w:rsidRPr="00CF2B22">
        <w:trPr>
          <w:cantSplit/>
          <w:trHeight w:val="20"/>
          <w:jc w:val="center"/>
        </w:trPr>
        <w:tc>
          <w:tcPr>
            <w:tcW w:w="2604" w:type="dxa"/>
            <w:gridSpan w:val="2"/>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color w:val="FF0000"/>
              </w:rPr>
              <w:t>影响程度</w:t>
            </w:r>
          </w:p>
        </w:tc>
        <w:tc>
          <w:tcPr>
            <w:tcW w:w="1506"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w:t>
            </w:r>
          </w:p>
        </w:tc>
        <w:tc>
          <w:tcPr>
            <w:tcW w:w="2239"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-20</w:t>
            </w:r>
          </w:p>
        </w:tc>
        <w:tc>
          <w:tcPr>
            <w:tcW w:w="2198"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-60</w:t>
            </w:r>
          </w:p>
        </w:tc>
      </w:tr>
      <w:tr w:rsidR="00C223F5" w:rsidRPr="00CF2B22">
        <w:trPr>
          <w:cantSplit/>
          <w:trHeight w:val="20"/>
          <w:jc w:val="center"/>
        </w:trPr>
        <w:tc>
          <w:tcPr>
            <w:tcW w:w="2604" w:type="dxa"/>
            <w:gridSpan w:val="2"/>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color w:val="FF0000"/>
              </w:rPr>
              <w:t>粮食减产</w:t>
            </w:r>
          </w:p>
        </w:tc>
        <w:tc>
          <w:tcPr>
            <w:tcW w:w="1506"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t</w:t>
            </w:r>
            <w:r w:rsidRPr="00CF2B22">
              <w:rPr>
                <w:rFonts w:eastAsiaTheme="minorEastAsia" w:hAnsiTheme="minorEastAsia"/>
                <w:color w:val="FF0000"/>
              </w:rPr>
              <w:t>（</w:t>
            </w:r>
            <w:r w:rsidRPr="00CF2B22">
              <w:rPr>
                <w:rFonts w:eastAsiaTheme="minorEastAsia"/>
                <w:color w:val="FF0000"/>
              </w:rPr>
              <w:t>3</w:t>
            </w:r>
            <w:r w:rsidRPr="00CF2B22">
              <w:rPr>
                <w:rFonts w:eastAsiaTheme="minorEastAsia" w:hAnsiTheme="minorEastAsia"/>
                <w:color w:val="FF0000"/>
              </w:rPr>
              <w:t>年影响期）</w:t>
            </w:r>
          </w:p>
        </w:tc>
        <w:tc>
          <w:tcPr>
            <w:tcW w:w="2239" w:type="dxa"/>
            <w:vAlign w:val="center"/>
          </w:tcPr>
          <w:p w:rsidR="00C223F5" w:rsidRPr="00CF2B22" w:rsidRDefault="005860D5" w:rsidP="00A82F91">
            <w:pPr>
              <w:jc w:val="center"/>
              <w:rPr>
                <w:rFonts w:eastAsiaTheme="minorEastAsia"/>
                <w:color w:val="FF0000"/>
                <w:kern w:val="0"/>
                <w:szCs w:val="21"/>
              </w:rPr>
            </w:pPr>
            <w:r w:rsidRPr="00CF2B22">
              <w:rPr>
                <w:rFonts w:eastAsiaTheme="minorEastAsia" w:hint="eastAsia"/>
                <w:color w:val="FF0000"/>
                <w:kern w:val="0"/>
                <w:szCs w:val="21"/>
              </w:rPr>
              <w:t>2487.86</w:t>
            </w:r>
          </w:p>
        </w:tc>
        <w:tc>
          <w:tcPr>
            <w:tcW w:w="2198" w:type="dxa"/>
            <w:vAlign w:val="center"/>
          </w:tcPr>
          <w:p w:rsidR="00C223F5" w:rsidRPr="00CF2B22" w:rsidRDefault="005860D5" w:rsidP="00A82F91">
            <w:pPr>
              <w:jc w:val="center"/>
              <w:rPr>
                <w:rFonts w:eastAsiaTheme="minorEastAsia"/>
                <w:color w:val="FF0000"/>
                <w:kern w:val="0"/>
                <w:szCs w:val="21"/>
              </w:rPr>
            </w:pPr>
            <w:r w:rsidRPr="00CF2B22">
              <w:rPr>
                <w:rFonts w:eastAsiaTheme="minorEastAsia" w:hint="eastAsia"/>
                <w:color w:val="FF0000"/>
                <w:kern w:val="0"/>
                <w:szCs w:val="21"/>
              </w:rPr>
              <w:t>53.18</w:t>
            </w:r>
          </w:p>
        </w:tc>
      </w:tr>
      <w:tr w:rsidR="00C223F5" w:rsidRPr="00CF2B22">
        <w:trPr>
          <w:cantSplit/>
          <w:trHeight w:val="20"/>
          <w:jc w:val="center"/>
        </w:trPr>
        <w:tc>
          <w:tcPr>
            <w:tcW w:w="2604" w:type="dxa"/>
            <w:gridSpan w:val="2"/>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2016</w:t>
            </w:r>
            <w:r w:rsidRPr="00CF2B22">
              <w:rPr>
                <w:rFonts w:eastAsiaTheme="minorEastAsia" w:hAnsiTheme="minorEastAsia"/>
                <w:color w:val="FF0000"/>
              </w:rPr>
              <w:t>年榆林市粮食总产量</w:t>
            </w:r>
          </w:p>
        </w:tc>
        <w:tc>
          <w:tcPr>
            <w:tcW w:w="1506"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color w:val="FF0000"/>
              </w:rPr>
              <w:t>万</w:t>
            </w:r>
            <w:r w:rsidRPr="00CF2B22">
              <w:rPr>
                <w:rFonts w:eastAsiaTheme="minorEastAsia"/>
                <w:color w:val="FF0000"/>
              </w:rPr>
              <w:t>t</w:t>
            </w:r>
          </w:p>
        </w:tc>
        <w:tc>
          <w:tcPr>
            <w:tcW w:w="4437" w:type="dxa"/>
            <w:gridSpan w:val="2"/>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160.08</w:t>
            </w:r>
          </w:p>
        </w:tc>
      </w:tr>
      <w:tr w:rsidR="00C223F5" w:rsidRPr="00CF2B22">
        <w:trPr>
          <w:cantSplit/>
          <w:trHeight w:val="20"/>
          <w:jc w:val="center"/>
        </w:trPr>
        <w:tc>
          <w:tcPr>
            <w:tcW w:w="2604" w:type="dxa"/>
            <w:gridSpan w:val="2"/>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color w:val="FF0000"/>
              </w:rPr>
              <w:t>粮食减产占县总产量比例</w:t>
            </w:r>
          </w:p>
        </w:tc>
        <w:tc>
          <w:tcPr>
            <w:tcW w:w="1506" w:type="dxa"/>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color w:val="FF0000"/>
              </w:rPr>
              <w:t>%</w:t>
            </w:r>
          </w:p>
        </w:tc>
        <w:tc>
          <w:tcPr>
            <w:tcW w:w="2239" w:type="dxa"/>
            <w:vAlign w:val="center"/>
          </w:tcPr>
          <w:p w:rsidR="00C223F5" w:rsidRPr="00CF2B22" w:rsidRDefault="005860D5" w:rsidP="00A82F91">
            <w:pPr>
              <w:jc w:val="center"/>
              <w:rPr>
                <w:rFonts w:eastAsiaTheme="minorEastAsia"/>
                <w:color w:val="FF0000"/>
                <w:szCs w:val="21"/>
              </w:rPr>
            </w:pPr>
            <w:r w:rsidRPr="00CF2B22">
              <w:rPr>
                <w:rFonts w:eastAsiaTheme="minorEastAsia" w:hint="eastAsia"/>
                <w:color w:val="FF0000"/>
                <w:szCs w:val="21"/>
              </w:rPr>
              <w:t>0.155</w:t>
            </w:r>
          </w:p>
        </w:tc>
        <w:tc>
          <w:tcPr>
            <w:tcW w:w="2198" w:type="dxa"/>
            <w:vAlign w:val="center"/>
          </w:tcPr>
          <w:p w:rsidR="00C223F5" w:rsidRPr="00CF2B22" w:rsidRDefault="005860D5" w:rsidP="00A82F91">
            <w:pPr>
              <w:jc w:val="center"/>
              <w:rPr>
                <w:rFonts w:eastAsiaTheme="minorEastAsia"/>
                <w:color w:val="FF0000"/>
                <w:szCs w:val="21"/>
              </w:rPr>
            </w:pPr>
            <w:r w:rsidRPr="00CF2B22">
              <w:rPr>
                <w:rFonts w:eastAsiaTheme="minorEastAsia" w:hint="eastAsia"/>
                <w:color w:val="FF0000"/>
                <w:szCs w:val="21"/>
              </w:rPr>
              <w:t>0.003</w:t>
            </w:r>
          </w:p>
        </w:tc>
      </w:tr>
      <w:tr w:rsidR="00C223F5" w:rsidRPr="00CF2B22">
        <w:trPr>
          <w:cantSplit/>
          <w:trHeight w:val="20"/>
          <w:jc w:val="center"/>
        </w:trPr>
        <w:tc>
          <w:tcPr>
            <w:tcW w:w="2604" w:type="dxa"/>
            <w:gridSpan w:val="2"/>
            <w:vAlign w:val="center"/>
          </w:tcPr>
          <w:p w:rsidR="00C223F5" w:rsidRPr="00CF2B22" w:rsidRDefault="005860D5" w:rsidP="00A82F91">
            <w:pPr>
              <w:pStyle w:val="affff1"/>
              <w:spacing w:line="240" w:lineRule="auto"/>
              <w:jc w:val="center"/>
              <w:rPr>
                <w:rFonts w:eastAsiaTheme="minorEastAsia"/>
                <w:color w:val="FF0000"/>
              </w:rPr>
            </w:pPr>
            <w:r w:rsidRPr="00CF2B22">
              <w:rPr>
                <w:rFonts w:eastAsiaTheme="minorEastAsia" w:hAnsiTheme="minorEastAsia"/>
                <w:color w:val="FF0000"/>
              </w:rPr>
              <w:t>备注</w:t>
            </w:r>
          </w:p>
        </w:tc>
        <w:tc>
          <w:tcPr>
            <w:tcW w:w="5943" w:type="dxa"/>
            <w:gridSpan w:val="3"/>
            <w:vAlign w:val="center"/>
          </w:tcPr>
          <w:p w:rsidR="00C223F5" w:rsidRPr="00CF2B22" w:rsidRDefault="005860D5" w:rsidP="00A82F91">
            <w:pPr>
              <w:pStyle w:val="affff1"/>
              <w:spacing w:line="240" w:lineRule="auto"/>
              <w:jc w:val="both"/>
              <w:rPr>
                <w:rFonts w:eastAsiaTheme="minorEastAsia"/>
                <w:color w:val="FF0000"/>
              </w:rPr>
            </w:pPr>
            <w:r w:rsidRPr="00CF2B22">
              <w:rPr>
                <w:rFonts w:eastAsiaTheme="minorEastAsia" w:hAnsiTheme="minorEastAsia"/>
                <w:color w:val="FF0000"/>
              </w:rPr>
              <w:t>沉陷区土地破坏是</w:t>
            </w:r>
            <w:r w:rsidRPr="00CF2B22">
              <w:rPr>
                <w:rFonts w:eastAsiaTheme="minorEastAsia"/>
                <w:color w:val="FF0000"/>
              </w:rPr>
              <w:t>“</w:t>
            </w:r>
            <w:r w:rsidRPr="00CF2B22">
              <w:rPr>
                <w:rFonts w:eastAsiaTheme="minorEastAsia" w:hAnsiTheme="minorEastAsia"/>
                <w:color w:val="FF0000"/>
              </w:rPr>
              <w:t>边破坏、便恢复、边利用</w:t>
            </w:r>
            <w:r w:rsidRPr="00CF2B22">
              <w:rPr>
                <w:rFonts w:eastAsiaTheme="minorEastAsia"/>
                <w:color w:val="FF0000"/>
              </w:rPr>
              <w:t>”</w:t>
            </w:r>
            <w:r w:rsidRPr="00CF2B22">
              <w:rPr>
                <w:rFonts w:eastAsiaTheme="minorEastAsia" w:hAnsiTheme="minorEastAsia"/>
                <w:color w:val="FF0000"/>
              </w:rPr>
              <w:t>的一个过程，沉陷不稳定面积是按</w:t>
            </w:r>
            <w:r w:rsidRPr="00CF2B22">
              <w:rPr>
                <w:rFonts w:eastAsiaTheme="minorEastAsia"/>
                <w:color w:val="FF0000"/>
              </w:rPr>
              <w:t>3</w:t>
            </w:r>
            <w:r w:rsidRPr="00CF2B22">
              <w:rPr>
                <w:rFonts w:eastAsiaTheme="minorEastAsia" w:hAnsiTheme="minorEastAsia"/>
                <w:color w:val="FF0000"/>
              </w:rPr>
              <w:t>年恢复期进行估算，沉陷稳定后，土地使用价值基本能得到恢复。</w:t>
            </w:r>
          </w:p>
        </w:tc>
      </w:tr>
    </w:tbl>
    <w:p w:rsidR="00C223F5" w:rsidRDefault="005860D5" w:rsidP="00A82F91">
      <w:pPr>
        <w:spacing w:line="360" w:lineRule="auto"/>
        <w:ind w:firstLineChars="200" w:firstLine="480"/>
        <w:rPr>
          <w:rFonts w:ascii="宋体" w:hAnsi="宋体"/>
          <w:sz w:val="24"/>
        </w:rPr>
      </w:pPr>
      <w:r>
        <w:rPr>
          <w:sz w:val="24"/>
        </w:rPr>
        <w:t>从表可以看出，</w:t>
      </w:r>
      <w:r>
        <w:rPr>
          <w:rFonts w:hint="eastAsia"/>
          <w:sz w:val="24"/>
        </w:rPr>
        <w:t>全井田开采后导致评价区粮食减产总计</w:t>
      </w:r>
      <w:r>
        <w:rPr>
          <w:rFonts w:hint="eastAsia"/>
          <w:sz w:val="24"/>
        </w:rPr>
        <w:t>2541.04t</w:t>
      </w:r>
      <w:r>
        <w:rPr>
          <w:rFonts w:hint="eastAsia"/>
          <w:sz w:val="24"/>
        </w:rPr>
        <w:t>（粮食产量按榆林平均产量</w:t>
      </w:r>
      <w:r>
        <w:rPr>
          <w:rFonts w:hint="eastAsia"/>
          <w:sz w:val="24"/>
        </w:rPr>
        <w:t>328.3t/km</w:t>
      </w:r>
      <w:r>
        <w:rPr>
          <w:rFonts w:hint="eastAsia"/>
          <w:sz w:val="24"/>
          <w:vertAlign w:val="superscript"/>
        </w:rPr>
        <w:t>2</w:t>
      </w:r>
      <w:r>
        <w:rPr>
          <w:sz w:val="24"/>
        </w:rPr>
        <w:t>计</w:t>
      </w:r>
      <w:r>
        <w:rPr>
          <w:rFonts w:hint="eastAsia"/>
          <w:sz w:val="24"/>
        </w:rPr>
        <w:t>），</w:t>
      </w:r>
      <w:r>
        <w:rPr>
          <w:rFonts w:hint="eastAsia"/>
          <w:bCs/>
          <w:sz w:val="24"/>
        </w:rPr>
        <w:t>占县</w:t>
      </w:r>
      <w:r>
        <w:rPr>
          <w:bCs/>
          <w:sz w:val="24"/>
        </w:rPr>
        <w:t>粮食年产量的</w:t>
      </w:r>
      <w:r>
        <w:rPr>
          <w:rFonts w:hint="eastAsia"/>
          <w:bCs/>
          <w:sz w:val="24"/>
        </w:rPr>
        <w:t>0.158</w:t>
      </w:r>
      <w:r>
        <w:rPr>
          <w:bCs/>
          <w:sz w:val="24"/>
        </w:rPr>
        <w:t>%</w:t>
      </w:r>
      <w:r>
        <w:rPr>
          <w:bCs/>
          <w:sz w:val="24"/>
        </w:rPr>
        <w:t>，</w:t>
      </w:r>
      <w:r>
        <w:rPr>
          <w:rFonts w:hint="eastAsia"/>
          <w:bCs/>
          <w:sz w:val="24"/>
        </w:rPr>
        <w:t>随着</w:t>
      </w:r>
      <w:r>
        <w:rPr>
          <w:bCs/>
          <w:sz w:val="24"/>
        </w:rPr>
        <w:t>采煤过程中及时治理受损耕地，</w:t>
      </w:r>
      <w:r>
        <w:rPr>
          <w:sz w:val="24"/>
        </w:rPr>
        <w:t>预测矿井采煤对区域农业生产力的影响会小于假定情景的影响</w:t>
      </w:r>
      <w:r>
        <w:rPr>
          <w:bCs/>
          <w:sz w:val="24"/>
        </w:rPr>
        <w:t>。</w:t>
      </w:r>
    </w:p>
    <w:p w:rsidR="00C223F5" w:rsidRDefault="005860D5" w:rsidP="00A82F91">
      <w:pPr>
        <w:spacing w:line="360" w:lineRule="auto"/>
        <w:ind w:firstLineChars="200" w:firstLine="480"/>
        <w:rPr>
          <w:sz w:val="24"/>
          <w:szCs w:val="22"/>
        </w:rPr>
      </w:pPr>
      <w:r>
        <w:rPr>
          <w:rFonts w:hint="eastAsia"/>
          <w:sz w:val="24"/>
        </w:rPr>
        <w:t>井田内基本农田在河流阶地两岸分布，总占地面积</w:t>
      </w:r>
      <w:r>
        <w:rPr>
          <w:rFonts w:hint="eastAsia"/>
          <w:sz w:val="24"/>
        </w:rPr>
        <w:t>16.16km</w:t>
      </w:r>
      <w:r>
        <w:rPr>
          <w:rFonts w:hint="eastAsia"/>
          <w:sz w:val="24"/>
          <w:vertAlign w:val="superscript"/>
        </w:rPr>
        <w:t>2</w:t>
      </w:r>
      <w:r w:rsidR="00CF2B22">
        <w:rPr>
          <w:rFonts w:hint="eastAsia"/>
          <w:sz w:val="24"/>
        </w:rPr>
        <w:t>；</w:t>
      </w:r>
      <w:r>
        <w:rPr>
          <w:rFonts w:hint="eastAsia"/>
          <w:sz w:val="24"/>
        </w:rPr>
        <w:t>根据</w:t>
      </w:r>
      <w:r>
        <w:rPr>
          <w:sz w:val="24"/>
          <w:szCs w:val="22"/>
        </w:rPr>
        <w:t>土地资源受损害</w:t>
      </w:r>
      <w:r>
        <w:rPr>
          <w:rFonts w:hint="eastAsia"/>
          <w:sz w:val="24"/>
          <w:szCs w:val="22"/>
        </w:rPr>
        <w:t>程度统计，</w:t>
      </w:r>
      <w:r w:rsidR="00CF2B22" w:rsidRPr="00CF2B22">
        <w:rPr>
          <w:rFonts w:hint="eastAsia"/>
          <w:color w:val="FF0000"/>
          <w:sz w:val="24"/>
          <w:szCs w:val="22"/>
        </w:rPr>
        <w:t>评价范围内受影响的基本农田</w:t>
      </w:r>
      <w:r w:rsidR="00CF2B22">
        <w:rPr>
          <w:rFonts w:hint="eastAsia"/>
          <w:color w:val="FF0000"/>
          <w:sz w:val="24"/>
          <w:szCs w:val="22"/>
        </w:rPr>
        <w:t>占</w:t>
      </w:r>
      <w:r w:rsidR="00CF2B22">
        <w:rPr>
          <w:rFonts w:hint="eastAsia"/>
          <w:color w:val="FF0000"/>
          <w:sz w:val="24"/>
          <w:szCs w:val="22"/>
        </w:rPr>
        <w:t>65.35%</w:t>
      </w:r>
      <w:r w:rsidR="00CF2B22">
        <w:rPr>
          <w:rFonts w:hint="eastAsia"/>
          <w:color w:val="FF0000"/>
          <w:sz w:val="24"/>
          <w:szCs w:val="22"/>
        </w:rPr>
        <w:t>，</w:t>
      </w:r>
      <w:r w:rsidRPr="00CF2B22">
        <w:rPr>
          <w:rFonts w:hint="eastAsia"/>
          <w:color w:val="FF0000"/>
          <w:sz w:val="24"/>
          <w:szCs w:val="22"/>
        </w:rPr>
        <w:t>主要以轻度损害为主，</w:t>
      </w:r>
      <w:r>
        <w:rPr>
          <w:rFonts w:hint="eastAsia"/>
          <w:sz w:val="24"/>
          <w:szCs w:val="22"/>
        </w:rPr>
        <w:t>矿井采煤过程中及时采取措施治理基本农田，随着地表沉陷稳定后，采煤对其影响逐渐消失。</w:t>
      </w:r>
    </w:p>
    <w:p w:rsidR="00C223F5" w:rsidRDefault="000F32AE" w:rsidP="00C006A7">
      <w:pPr>
        <w:tabs>
          <w:tab w:val="left" w:pos="360"/>
          <w:tab w:val="left" w:pos="540"/>
        </w:tabs>
        <w:spacing w:line="360" w:lineRule="auto"/>
        <w:ind w:firstLineChars="200" w:firstLine="480"/>
        <w:rPr>
          <w:sz w:val="24"/>
        </w:rPr>
      </w:pPr>
      <w:r>
        <w:rPr>
          <w:sz w:val="24"/>
        </w:rPr>
        <w:fldChar w:fldCharType="begin"/>
      </w:r>
      <w:r w:rsidR="005860D5">
        <w:rPr>
          <w:rFonts w:hint="eastAsia"/>
          <w:sz w:val="24"/>
        </w:rPr>
        <w:instrText>= 2 \* GB3</w:instrText>
      </w:r>
      <w:r>
        <w:rPr>
          <w:sz w:val="24"/>
        </w:rPr>
        <w:fldChar w:fldCharType="separate"/>
      </w:r>
      <w:r w:rsidR="005860D5">
        <w:rPr>
          <w:rFonts w:hint="eastAsia"/>
          <w:sz w:val="24"/>
        </w:rPr>
        <w:t>②</w:t>
      </w:r>
      <w:r>
        <w:rPr>
          <w:sz w:val="24"/>
        </w:rPr>
        <w:fldChar w:fldCharType="end"/>
      </w:r>
      <w:r w:rsidR="005860D5">
        <w:rPr>
          <w:rFonts w:hint="eastAsia"/>
          <w:sz w:val="24"/>
        </w:rPr>
        <w:t>灌林地</w:t>
      </w:r>
    </w:p>
    <w:p w:rsidR="00C223F5" w:rsidRDefault="005860D5" w:rsidP="00A82F91">
      <w:pPr>
        <w:tabs>
          <w:tab w:val="left" w:pos="360"/>
          <w:tab w:val="left" w:pos="540"/>
        </w:tabs>
        <w:spacing w:line="360" w:lineRule="auto"/>
        <w:ind w:firstLineChars="200" w:firstLine="480"/>
        <w:rPr>
          <w:color w:val="FF0000"/>
          <w:sz w:val="24"/>
        </w:rPr>
      </w:pPr>
      <w:r>
        <w:rPr>
          <w:sz w:val="24"/>
        </w:rPr>
        <w:t>根据采煤地表沉陷预测结果，</w:t>
      </w:r>
      <w:r>
        <w:rPr>
          <w:rFonts w:hint="eastAsia"/>
          <w:sz w:val="24"/>
        </w:rPr>
        <w:t>全井田</w:t>
      </w:r>
      <w:r>
        <w:rPr>
          <w:sz w:val="24"/>
        </w:rPr>
        <w:t>开采结束后有</w:t>
      </w:r>
      <w:r>
        <w:rPr>
          <w:rFonts w:hint="eastAsia"/>
          <w:sz w:val="24"/>
        </w:rPr>
        <w:t>13.73</w:t>
      </w:r>
      <w:r>
        <w:rPr>
          <w:sz w:val="24"/>
        </w:rPr>
        <w:t>km</w:t>
      </w:r>
      <w:r>
        <w:rPr>
          <w:sz w:val="24"/>
          <w:vertAlign w:val="superscript"/>
        </w:rPr>
        <w:t>2</w:t>
      </w:r>
      <w:r>
        <w:rPr>
          <w:sz w:val="24"/>
        </w:rPr>
        <w:t>的</w:t>
      </w:r>
      <w:r>
        <w:rPr>
          <w:rFonts w:hint="eastAsia"/>
          <w:sz w:val="24"/>
        </w:rPr>
        <w:t>灌木</w:t>
      </w:r>
      <w:r>
        <w:rPr>
          <w:sz w:val="24"/>
        </w:rPr>
        <w:t>林地植被受到采煤影响。</w:t>
      </w:r>
      <w:r>
        <w:rPr>
          <w:rFonts w:hint="eastAsia"/>
          <w:sz w:val="24"/>
        </w:rPr>
        <w:t>评价区</w:t>
      </w:r>
      <w:r>
        <w:rPr>
          <w:sz w:val="24"/>
        </w:rPr>
        <w:t>乔木林地以人工刺槐林</w:t>
      </w:r>
      <w:r>
        <w:rPr>
          <w:rFonts w:hint="eastAsia"/>
          <w:sz w:val="24"/>
        </w:rPr>
        <w:t>、</w:t>
      </w:r>
      <w:r>
        <w:rPr>
          <w:sz w:val="24"/>
        </w:rPr>
        <w:t>侧柏、旱柳</w:t>
      </w:r>
      <w:r>
        <w:rPr>
          <w:rFonts w:hint="eastAsia"/>
          <w:sz w:val="24"/>
        </w:rPr>
        <w:t>等</w:t>
      </w:r>
      <w:r>
        <w:rPr>
          <w:sz w:val="24"/>
        </w:rPr>
        <w:t>为主，</w:t>
      </w:r>
      <w:r>
        <w:rPr>
          <w:rFonts w:hint="eastAsia"/>
          <w:sz w:val="24"/>
        </w:rPr>
        <w:t>类比</w:t>
      </w:r>
      <w:r>
        <w:rPr>
          <w:sz w:val="24"/>
        </w:rPr>
        <w:t>调查平</w:t>
      </w:r>
      <w:r>
        <w:rPr>
          <w:sz w:val="24"/>
        </w:rPr>
        <w:lastRenderedPageBreak/>
        <w:t>均生物量为</w:t>
      </w:r>
      <w:r>
        <w:rPr>
          <w:sz w:val="24"/>
        </w:rPr>
        <w:t>2845.1g/m</w:t>
      </w:r>
      <w:r>
        <w:rPr>
          <w:sz w:val="24"/>
          <w:vertAlign w:val="superscript"/>
        </w:rPr>
        <w:t>2</w:t>
      </w:r>
      <w:r>
        <w:rPr>
          <w:sz w:val="24"/>
        </w:rPr>
        <w:t>，评价区乔木林地面积共</w:t>
      </w:r>
      <w:r>
        <w:rPr>
          <w:rFonts w:hint="eastAsia"/>
          <w:sz w:val="24"/>
        </w:rPr>
        <w:t>22.06</w:t>
      </w:r>
      <w:r>
        <w:rPr>
          <w:sz w:val="24"/>
        </w:rPr>
        <w:t>km</w:t>
      </w:r>
      <w:r>
        <w:rPr>
          <w:sz w:val="24"/>
          <w:vertAlign w:val="superscript"/>
        </w:rPr>
        <w:t>2</w:t>
      </w:r>
      <w:r>
        <w:rPr>
          <w:sz w:val="24"/>
        </w:rPr>
        <w:t>，总生物量为</w:t>
      </w:r>
      <w:r>
        <w:rPr>
          <w:rFonts w:hint="eastAsia"/>
          <w:sz w:val="24"/>
        </w:rPr>
        <w:t>62762.9</w:t>
      </w:r>
      <w:r>
        <w:rPr>
          <w:sz w:val="24"/>
        </w:rPr>
        <w:t>t</w:t>
      </w:r>
      <w:r>
        <w:rPr>
          <w:sz w:val="24"/>
        </w:rPr>
        <w:t>；灌木从以荆条、</w:t>
      </w:r>
      <w:r>
        <w:rPr>
          <w:rFonts w:hint="eastAsia"/>
          <w:sz w:val="24"/>
        </w:rPr>
        <w:t>沙柳</w:t>
      </w:r>
      <w:r>
        <w:rPr>
          <w:sz w:val="24"/>
        </w:rPr>
        <w:t>灌草丛为主，平均生物量为</w:t>
      </w:r>
      <w:r>
        <w:rPr>
          <w:sz w:val="24"/>
        </w:rPr>
        <w:t>1673.4g/m</w:t>
      </w:r>
      <w:r>
        <w:rPr>
          <w:sz w:val="24"/>
          <w:vertAlign w:val="superscript"/>
        </w:rPr>
        <w:t>2</w:t>
      </w:r>
      <w:r>
        <w:rPr>
          <w:sz w:val="24"/>
        </w:rPr>
        <w:t>，评价区有灌木林地面积共</w:t>
      </w:r>
      <w:r>
        <w:rPr>
          <w:rFonts w:hint="eastAsia"/>
          <w:sz w:val="24"/>
        </w:rPr>
        <w:t>10.0</w:t>
      </w:r>
      <w:r>
        <w:rPr>
          <w:sz w:val="24"/>
        </w:rPr>
        <w:t>km</w:t>
      </w:r>
      <w:r>
        <w:rPr>
          <w:sz w:val="24"/>
          <w:vertAlign w:val="superscript"/>
        </w:rPr>
        <w:t>2</w:t>
      </w:r>
      <w:r>
        <w:rPr>
          <w:sz w:val="24"/>
        </w:rPr>
        <w:t>，总生物量为</w:t>
      </w:r>
      <w:r>
        <w:rPr>
          <w:rFonts w:hint="eastAsia"/>
          <w:sz w:val="24"/>
        </w:rPr>
        <w:t>16734</w:t>
      </w:r>
      <w:r>
        <w:rPr>
          <w:sz w:val="24"/>
        </w:rPr>
        <w:t>t</w:t>
      </w:r>
      <w:r>
        <w:rPr>
          <w:sz w:val="24"/>
        </w:rPr>
        <w:t>。参考国土资源部土地复垦编制规程，结合评价区实际情况，按轻度区</w:t>
      </w:r>
      <w:r>
        <w:rPr>
          <w:rFonts w:hint="eastAsia"/>
          <w:sz w:val="24"/>
        </w:rPr>
        <w:t>灌</w:t>
      </w:r>
      <w:r>
        <w:rPr>
          <w:sz w:val="24"/>
        </w:rPr>
        <w:t>林地生物量减产</w:t>
      </w:r>
      <w:r>
        <w:rPr>
          <w:sz w:val="24"/>
        </w:rPr>
        <w:t>20%</w:t>
      </w:r>
      <w:r>
        <w:rPr>
          <w:sz w:val="24"/>
        </w:rPr>
        <w:t>、中度区</w:t>
      </w:r>
      <w:r>
        <w:rPr>
          <w:rFonts w:hint="eastAsia"/>
          <w:sz w:val="24"/>
        </w:rPr>
        <w:t>灌</w:t>
      </w:r>
      <w:r>
        <w:rPr>
          <w:sz w:val="24"/>
        </w:rPr>
        <w:t>林地生物量减产</w:t>
      </w:r>
      <w:r>
        <w:rPr>
          <w:sz w:val="24"/>
        </w:rPr>
        <w:t>60%</w:t>
      </w:r>
      <w:r>
        <w:rPr>
          <w:sz w:val="24"/>
        </w:rPr>
        <w:t>，影响期</w:t>
      </w:r>
      <w:r>
        <w:rPr>
          <w:rFonts w:hint="eastAsia"/>
          <w:sz w:val="24"/>
        </w:rPr>
        <w:t>3</w:t>
      </w:r>
      <w:r>
        <w:rPr>
          <w:sz w:val="24"/>
        </w:rPr>
        <w:t>年预测，开采</w:t>
      </w:r>
      <w:r>
        <w:rPr>
          <w:rFonts w:hint="eastAsia"/>
          <w:sz w:val="24"/>
        </w:rPr>
        <w:t>39</w:t>
      </w:r>
      <w:r>
        <w:rPr>
          <w:sz w:val="24"/>
        </w:rPr>
        <w:t>a</w:t>
      </w:r>
      <w:r>
        <w:rPr>
          <w:sz w:val="24"/>
        </w:rPr>
        <w:t>因采煤会导致</w:t>
      </w:r>
      <w:r>
        <w:rPr>
          <w:rFonts w:hint="eastAsia"/>
          <w:sz w:val="24"/>
        </w:rPr>
        <w:t>灌</w:t>
      </w:r>
      <w:r>
        <w:rPr>
          <w:sz w:val="24"/>
        </w:rPr>
        <w:t>林地生物量减少</w:t>
      </w:r>
      <w:r>
        <w:rPr>
          <w:rFonts w:hint="eastAsia"/>
          <w:sz w:val="24"/>
        </w:rPr>
        <w:t>20336.56</w:t>
      </w:r>
      <w:r>
        <w:rPr>
          <w:sz w:val="24"/>
        </w:rPr>
        <w:t>t</w:t>
      </w:r>
      <w:r>
        <w:rPr>
          <w:sz w:val="24"/>
        </w:rPr>
        <w:t>，平均每年</w:t>
      </w:r>
      <w:r>
        <w:rPr>
          <w:rFonts w:hint="eastAsia"/>
          <w:sz w:val="24"/>
        </w:rPr>
        <w:t>521.45</w:t>
      </w:r>
      <w:r>
        <w:rPr>
          <w:sz w:val="24"/>
        </w:rPr>
        <w:t>t</w:t>
      </w:r>
      <w:r>
        <w:rPr>
          <w:sz w:val="24"/>
        </w:rPr>
        <w:t>，</w:t>
      </w:r>
      <w:r>
        <w:rPr>
          <w:rFonts w:hint="eastAsia"/>
          <w:sz w:val="24"/>
        </w:rPr>
        <w:t>占评价区灌林地总生物量的</w:t>
      </w:r>
      <w:r>
        <w:rPr>
          <w:rFonts w:hint="eastAsia"/>
          <w:sz w:val="24"/>
        </w:rPr>
        <w:t>0.66%</w:t>
      </w:r>
      <w:r>
        <w:rPr>
          <w:rFonts w:hint="eastAsia"/>
          <w:sz w:val="24"/>
        </w:rPr>
        <w:t>，</w:t>
      </w:r>
      <w:r>
        <w:rPr>
          <w:sz w:val="24"/>
        </w:rPr>
        <w:t>矿井开采期造成的</w:t>
      </w:r>
      <w:r>
        <w:rPr>
          <w:rFonts w:hint="eastAsia"/>
          <w:sz w:val="24"/>
        </w:rPr>
        <w:t>灌</w:t>
      </w:r>
      <w:r>
        <w:rPr>
          <w:sz w:val="24"/>
        </w:rPr>
        <w:t>林地损害对评价区植被生产力影响较小。采煤地表沉陷对</w:t>
      </w:r>
      <w:r>
        <w:rPr>
          <w:rFonts w:hint="eastAsia"/>
          <w:sz w:val="24"/>
        </w:rPr>
        <w:t>灌</w:t>
      </w:r>
      <w:r>
        <w:rPr>
          <w:sz w:val="24"/>
        </w:rPr>
        <w:t>林地生物量影响情况见表</w:t>
      </w:r>
      <w:r>
        <w:rPr>
          <w:rFonts w:hint="eastAsia"/>
          <w:sz w:val="24"/>
        </w:rPr>
        <w:t>4.2.1-9</w:t>
      </w:r>
      <w:r>
        <w:rPr>
          <w:sz w:val="24"/>
        </w:rPr>
        <w:t>。</w:t>
      </w:r>
    </w:p>
    <w:p w:rsidR="00C223F5" w:rsidRDefault="005860D5" w:rsidP="00A82F91">
      <w:pPr>
        <w:adjustRightInd w:val="0"/>
        <w:snapToGrid w:val="0"/>
        <w:jc w:val="center"/>
        <w:rPr>
          <w:b/>
          <w:sz w:val="24"/>
          <w:szCs w:val="22"/>
        </w:rPr>
      </w:pPr>
      <w:r>
        <w:rPr>
          <w:b/>
          <w:sz w:val="24"/>
          <w:szCs w:val="22"/>
        </w:rPr>
        <w:t>表</w:t>
      </w:r>
      <w:r>
        <w:rPr>
          <w:rFonts w:hint="eastAsia"/>
          <w:b/>
          <w:sz w:val="24"/>
          <w:szCs w:val="22"/>
        </w:rPr>
        <w:t>4.2.1-9</w:t>
      </w:r>
      <w:r>
        <w:rPr>
          <w:b/>
          <w:sz w:val="24"/>
          <w:szCs w:val="22"/>
        </w:rPr>
        <w:t xml:space="preserve">   </w:t>
      </w:r>
      <w:r>
        <w:rPr>
          <w:b/>
          <w:sz w:val="24"/>
          <w:szCs w:val="22"/>
        </w:rPr>
        <w:t>沉陷对</w:t>
      </w:r>
      <w:r>
        <w:rPr>
          <w:rFonts w:hint="eastAsia"/>
          <w:b/>
          <w:sz w:val="24"/>
          <w:szCs w:val="22"/>
        </w:rPr>
        <w:t>灌</w:t>
      </w:r>
      <w:r>
        <w:rPr>
          <w:b/>
          <w:sz w:val="24"/>
          <w:szCs w:val="22"/>
        </w:rPr>
        <w:t>林地生产力的影响</w:t>
      </w:r>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86"/>
        <w:gridCol w:w="1039"/>
        <w:gridCol w:w="921"/>
        <w:gridCol w:w="915"/>
        <w:gridCol w:w="764"/>
        <w:gridCol w:w="1117"/>
        <w:gridCol w:w="837"/>
        <w:gridCol w:w="1050"/>
      </w:tblGrid>
      <w:tr w:rsidR="00C223F5">
        <w:trPr>
          <w:trHeight w:val="302"/>
          <w:jc w:val="center"/>
        </w:trPr>
        <w:tc>
          <w:tcPr>
            <w:tcW w:w="2825" w:type="dxa"/>
            <w:gridSpan w:val="2"/>
            <w:vMerge w:val="restart"/>
            <w:tcBorders>
              <w:tl2br w:val="single" w:sz="4" w:space="0" w:color="auto"/>
            </w:tcBorders>
            <w:vAlign w:val="center"/>
          </w:tcPr>
          <w:p w:rsidR="00C223F5" w:rsidRDefault="005860D5" w:rsidP="00A82F91">
            <w:pPr>
              <w:autoSpaceDN w:val="0"/>
              <w:spacing w:line="320" w:lineRule="exact"/>
              <w:jc w:val="right"/>
              <w:textAlignment w:val="center"/>
            </w:pPr>
            <w:r>
              <w:t>损害程度</w:t>
            </w:r>
          </w:p>
          <w:p w:rsidR="00C223F5" w:rsidRDefault="005860D5" w:rsidP="00A82F91">
            <w:pPr>
              <w:autoSpaceDN w:val="0"/>
              <w:spacing w:line="320" w:lineRule="exact"/>
              <w:textAlignment w:val="center"/>
            </w:pPr>
            <w:r>
              <w:t>采区及影响时间</w:t>
            </w:r>
          </w:p>
        </w:tc>
        <w:tc>
          <w:tcPr>
            <w:tcW w:w="2600" w:type="dxa"/>
            <w:gridSpan w:val="3"/>
            <w:vAlign w:val="center"/>
          </w:tcPr>
          <w:p w:rsidR="00C223F5" w:rsidRDefault="005860D5" w:rsidP="00A82F91">
            <w:pPr>
              <w:autoSpaceDN w:val="0"/>
              <w:spacing w:line="320" w:lineRule="exact"/>
              <w:jc w:val="center"/>
              <w:textAlignment w:val="center"/>
            </w:pPr>
            <w:r>
              <w:rPr>
                <w:rFonts w:hint="eastAsia"/>
                <w:szCs w:val="21"/>
              </w:rPr>
              <w:t>灌</w:t>
            </w:r>
            <w:r>
              <w:rPr>
                <w:szCs w:val="21"/>
              </w:rPr>
              <w:t>林地，</w:t>
            </w:r>
            <w:r>
              <w:rPr>
                <w:szCs w:val="21"/>
              </w:rPr>
              <w:t>km</w:t>
            </w:r>
            <w:r>
              <w:rPr>
                <w:szCs w:val="21"/>
                <w:vertAlign w:val="superscript"/>
              </w:rPr>
              <w:t>2</w:t>
            </w:r>
          </w:p>
        </w:tc>
        <w:tc>
          <w:tcPr>
            <w:tcW w:w="3004" w:type="dxa"/>
            <w:gridSpan w:val="3"/>
            <w:vAlign w:val="center"/>
          </w:tcPr>
          <w:p w:rsidR="00C223F5" w:rsidRDefault="005860D5" w:rsidP="00A82F91">
            <w:pPr>
              <w:autoSpaceDN w:val="0"/>
              <w:spacing w:line="320" w:lineRule="exact"/>
              <w:jc w:val="center"/>
              <w:textAlignment w:val="center"/>
            </w:pPr>
            <w:r>
              <w:rPr>
                <w:rFonts w:hint="eastAsia"/>
                <w:szCs w:val="21"/>
              </w:rPr>
              <w:t>灌</w:t>
            </w:r>
            <w:r>
              <w:rPr>
                <w:szCs w:val="21"/>
              </w:rPr>
              <w:t>林地减产，</w:t>
            </w:r>
            <w:r>
              <w:rPr>
                <w:szCs w:val="21"/>
              </w:rPr>
              <w:t>t</w:t>
            </w:r>
          </w:p>
        </w:tc>
      </w:tr>
      <w:tr w:rsidR="00C223F5">
        <w:trPr>
          <w:trHeight w:val="294"/>
          <w:jc w:val="center"/>
        </w:trPr>
        <w:tc>
          <w:tcPr>
            <w:tcW w:w="2825" w:type="dxa"/>
            <w:gridSpan w:val="2"/>
            <w:vMerge/>
            <w:vAlign w:val="center"/>
          </w:tcPr>
          <w:p w:rsidR="00C223F5" w:rsidRDefault="00C223F5" w:rsidP="00A82F91">
            <w:pPr>
              <w:autoSpaceDN w:val="0"/>
              <w:spacing w:line="320" w:lineRule="exact"/>
              <w:jc w:val="right"/>
              <w:textAlignment w:val="center"/>
            </w:pPr>
          </w:p>
        </w:tc>
        <w:tc>
          <w:tcPr>
            <w:tcW w:w="921" w:type="dxa"/>
            <w:vAlign w:val="center"/>
          </w:tcPr>
          <w:p w:rsidR="00C223F5" w:rsidRDefault="005860D5" w:rsidP="00A82F91">
            <w:pPr>
              <w:autoSpaceDN w:val="0"/>
              <w:spacing w:line="320" w:lineRule="exact"/>
              <w:jc w:val="center"/>
              <w:textAlignment w:val="center"/>
            </w:pPr>
            <w:r>
              <w:t>轻度</w:t>
            </w:r>
          </w:p>
        </w:tc>
        <w:tc>
          <w:tcPr>
            <w:tcW w:w="915" w:type="dxa"/>
            <w:vAlign w:val="center"/>
          </w:tcPr>
          <w:p w:rsidR="00C223F5" w:rsidRDefault="005860D5" w:rsidP="00A82F91">
            <w:pPr>
              <w:autoSpaceDN w:val="0"/>
              <w:spacing w:line="320" w:lineRule="exact"/>
              <w:jc w:val="center"/>
              <w:textAlignment w:val="center"/>
            </w:pPr>
            <w:r>
              <w:t>中度</w:t>
            </w:r>
          </w:p>
        </w:tc>
        <w:tc>
          <w:tcPr>
            <w:tcW w:w="764" w:type="dxa"/>
            <w:vAlign w:val="center"/>
          </w:tcPr>
          <w:p w:rsidR="00C223F5" w:rsidRDefault="005860D5" w:rsidP="00A82F91">
            <w:pPr>
              <w:autoSpaceDN w:val="0"/>
              <w:spacing w:line="320" w:lineRule="exact"/>
              <w:jc w:val="center"/>
              <w:textAlignment w:val="center"/>
            </w:pPr>
            <w:r>
              <w:t>小计</w:t>
            </w:r>
          </w:p>
        </w:tc>
        <w:tc>
          <w:tcPr>
            <w:tcW w:w="1117" w:type="dxa"/>
            <w:vAlign w:val="center"/>
          </w:tcPr>
          <w:p w:rsidR="00C223F5" w:rsidRDefault="005860D5" w:rsidP="00A82F91">
            <w:pPr>
              <w:autoSpaceDN w:val="0"/>
              <w:spacing w:line="320" w:lineRule="exact"/>
              <w:jc w:val="center"/>
              <w:textAlignment w:val="center"/>
            </w:pPr>
            <w:r>
              <w:t>轻度</w:t>
            </w:r>
          </w:p>
        </w:tc>
        <w:tc>
          <w:tcPr>
            <w:tcW w:w="837" w:type="dxa"/>
            <w:vAlign w:val="center"/>
          </w:tcPr>
          <w:p w:rsidR="00C223F5" w:rsidRDefault="005860D5" w:rsidP="00A82F91">
            <w:pPr>
              <w:autoSpaceDN w:val="0"/>
              <w:spacing w:line="320" w:lineRule="exact"/>
              <w:jc w:val="center"/>
              <w:textAlignment w:val="center"/>
            </w:pPr>
            <w:r>
              <w:t>中度</w:t>
            </w:r>
          </w:p>
        </w:tc>
        <w:tc>
          <w:tcPr>
            <w:tcW w:w="1050" w:type="dxa"/>
            <w:vAlign w:val="center"/>
          </w:tcPr>
          <w:p w:rsidR="00C223F5" w:rsidRDefault="005860D5" w:rsidP="00A82F91">
            <w:pPr>
              <w:autoSpaceDN w:val="0"/>
              <w:spacing w:line="320" w:lineRule="exact"/>
              <w:jc w:val="center"/>
              <w:textAlignment w:val="center"/>
            </w:pPr>
            <w:r>
              <w:t>小计</w:t>
            </w:r>
          </w:p>
        </w:tc>
      </w:tr>
      <w:tr w:rsidR="00C223F5">
        <w:trPr>
          <w:trHeight w:val="20"/>
          <w:jc w:val="center"/>
        </w:trPr>
        <w:tc>
          <w:tcPr>
            <w:tcW w:w="1786" w:type="dxa"/>
            <w:vAlign w:val="center"/>
          </w:tcPr>
          <w:p w:rsidR="00C223F5" w:rsidRDefault="005860D5" w:rsidP="00A82F91">
            <w:pPr>
              <w:spacing w:line="320" w:lineRule="exact"/>
              <w:jc w:val="center"/>
            </w:pPr>
            <w:r>
              <w:rPr>
                <w:rFonts w:hint="eastAsia"/>
              </w:rPr>
              <w:t>全井田</w:t>
            </w:r>
            <w:r>
              <w:t>开采结束</w:t>
            </w:r>
          </w:p>
        </w:tc>
        <w:tc>
          <w:tcPr>
            <w:tcW w:w="1039" w:type="dxa"/>
            <w:vAlign w:val="center"/>
          </w:tcPr>
          <w:p w:rsidR="00C223F5" w:rsidRDefault="005860D5" w:rsidP="00A82F91">
            <w:pPr>
              <w:spacing w:line="320" w:lineRule="exact"/>
              <w:jc w:val="center"/>
            </w:pPr>
            <w:r>
              <w:t>0~</w:t>
            </w:r>
            <w:r>
              <w:rPr>
                <w:rFonts w:hint="eastAsia"/>
              </w:rPr>
              <w:t>39</w:t>
            </w:r>
            <w:r>
              <w:t>a</w:t>
            </w:r>
          </w:p>
        </w:tc>
        <w:tc>
          <w:tcPr>
            <w:tcW w:w="921" w:type="dxa"/>
            <w:vAlign w:val="center"/>
          </w:tcPr>
          <w:p w:rsidR="00C223F5" w:rsidRDefault="005860D5" w:rsidP="00A82F91">
            <w:pPr>
              <w:spacing w:line="320" w:lineRule="exact"/>
              <w:jc w:val="center"/>
            </w:pPr>
            <w:r>
              <w:rPr>
                <w:rFonts w:hint="eastAsia"/>
              </w:rPr>
              <w:t>13.65</w:t>
            </w:r>
          </w:p>
        </w:tc>
        <w:tc>
          <w:tcPr>
            <w:tcW w:w="915" w:type="dxa"/>
            <w:vAlign w:val="center"/>
          </w:tcPr>
          <w:p w:rsidR="00C223F5" w:rsidRDefault="005860D5" w:rsidP="00A82F91">
            <w:pPr>
              <w:spacing w:line="320" w:lineRule="exact"/>
              <w:jc w:val="center"/>
            </w:pPr>
            <w:r>
              <w:rPr>
                <w:rFonts w:hint="eastAsia"/>
              </w:rPr>
              <w:t>0.08</w:t>
            </w:r>
          </w:p>
        </w:tc>
        <w:tc>
          <w:tcPr>
            <w:tcW w:w="764" w:type="dxa"/>
            <w:vAlign w:val="center"/>
          </w:tcPr>
          <w:p w:rsidR="00C223F5" w:rsidRDefault="005860D5" w:rsidP="00A82F91">
            <w:pPr>
              <w:spacing w:line="320" w:lineRule="exact"/>
              <w:jc w:val="center"/>
            </w:pPr>
            <w:r>
              <w:rPr>
                <w:rFonts w:hint="eastAsia"/>
              </w:rPr>
              <w:t>13.73</w:t>
            </w:r>
          </w:p>
        </w:tc>
        <w:tc>
          <w:tcPr>
            <w:tcW w:w="1117" w:type="dxa"/>
            <w:vAlign w:val="center"/>
          </w:tcPr>
          <w:p w:rsidR="00C223F5" w:rsidRDefault="005860D5" w:rsidP="00A82F91">
            <w:pPr>
              <w:spacing w:line="320" w:lineRule="exact"/>
              <w:jc w:val="center"/>
            </w:pPr>
            <w:r>
              <w:rPr>
                <w:rFonts w:hint="eastAsia"/>
              </w:rPr>
              <w:t>19926.87</w:t>
            </w:r>
          </w:p>
        </w:tc>
        <w:tc>
          <w:tcPr>
            <w:tcW w:w="837" w:type="dxa"/>
            <w:vAlign w:val="center"/>
          </w:tcPr>
          <w:p w:rsidR="00C223F5" w:rsidRDefault="005860D5" w:rsidP="00A82F91">
            <w:pPr>
              <w:spacing w:line="320" w:lineRule="exact"/>
              <w:jc w:val="center"/>
            </w:pPr>
            <w:r>
              <w:rPr>
                <w:rFonts w:hint="eastAsia"/>
              </w:rPr>
              <w:t>409.69</w:t>
            </w:r>
          </w:p>
        </w:tc>
        <w:tc>
          <w:tcPr>
            <w:tcW w:w="1050" w:type="dxa"/>
            <w:vAlign w:val="center"/>
          </w:tcPr>
          <w:p w:rsidR="00C223F5" w:rsidRDefault="005860D5" w:rsidP="00A82F91">
            <w:pPr>
              <w:spacing w:line="320" w:lineRule="exact"/>
              <w:jc w:val="center"/>
            </w:pPr>
            <w:r>
              <w:rPr>
                <w:rFonts w:hint="eastAsia"/>
              </w:rPr>
              <w:t>20336.56</w:t>
            </w:r>
          </w:p>
        </w:tc>
      </w:tr>
    </w:tbl>
    <w:p w:rsidR="00C223F5" w:rsidRDefault="000F32AE" w:rsidP="00A82F91">
      <w:pPr>
        <w:pStyle w:val="BG"/>
        <w:ind w:firstLine="480"/>
      </w:pPr>
      <w:r>
        <w:fldChar w:fldCharType="begin"/>
      </w:r>
      <w:r w:rsidR="005860D5">
        <w:rPr>
          <w:rFonts w:hint="eastAsia"/>
        </w:rPr>
        <w:instrText>= 3 \* GB3</w:instrText>
      </w:r>
      <w:r>
        <w:fldChar w:fldCharType="separate"/>
      </w:r>
      <w:r w:rsidR="005860D5">
        <w:rPr>
          <w:rFonts w:hint="eastAsia"/>
        </w:rPr>
        <w:t>③</w:t>
      </w:r>
      <w:r>
        <w:fldChar w:fldCharType="end"/>
      </w:r>
      <w:r w:rsidR="005860D5">
        <w:t>草地</w:t>
      </w:r>
    </w:p>
    <w:p w:rsidR="00C223F5" w:rsidRDefault="005860D5" w:rsidP="00C006A7">
      <w:pPr>
        <w:pStyle w:val="BG"/>
        <w:ind w:firstLine="480"/>
      </w:pPr>
      <w:r>
        <w:t>根据采煤地表沉陷预测结果，</w:t>
      </w:r>
      <w:r>
        <w:rPr>
          <w:rFonts w:hint="eastAsia"/>
        </w:rPr>
        <w:t>全井田开采结束后</w:t>
      </w:r>
      <w:r>
        <w:t>有</w:t>
      </w:r>
      <w:r>
        <w:rPr>
          <w:rFonts w:hint="eastAsia"/>
        </w:rPr>
        <w:t>12.19</w:t>
      </w:r>
      <w:r>
        <w:t>km</w:t>
      </w:r>
      <w:r>
        <w:rPr>
          <w:vertAlign w:val="superscript"/>
        </w:rPr>
        <w:t>2</w:t>
      </w:r>
      <w:r>
        <w:t>的草地受到采煤影响</w:t>
      </w:r>
      <w:r>
        <w:rPr>
          <w:rFonts w:hint="eastAsia"/>
        </w:rPr>
        <w:t>，以轻度损坏为主</w:t>
      </w:r>
      <w:r>
        <w:t>。因受井下采动影响，会使土壤结构变松，涵水抗蚀性降低，水土与肥料流失，导致植被生产环境恶化，在一定时期会影响草地的正常生长。经过</w:t>
      </w:r>
      <w:r>
        <w:t>1</w:t>
      </w:r>
      <w:r>
        <w:t>～</w:t>
      </w:r>
      <w:r>
        <w:t>2</w:t>
      </w:r>
      <w:r>
        <w:t>个植物生长季节，就能自然恢复到原来的生长程度，因此沉陷对</w:t>
      </w:r>
      <w:r>
        <w:rPr>
          <w:rFonts w:hint="eastAsia"/>
        </w:rPr>
        <w:t>草地</w:t>
      </w:r>
      <w:r>
        <w:t>植被的影响不大。</w:t>
      </w:r>
    </w:p>
    <w:p w:rsidR="00C223F5" w:rsidRDefault="005860D5" w:rsidP="00C006A7">
      <w:pPr>
        <w:pStyle w:val="aff1"/>
        <w:tabs>
          <w:tab w:val="clear" w:pos="5781"/>
        </w:tabs>
        <w:spacing w:line="360" w:lineRule="auto"/>
        <w:ind w:left="0" w:firstLineChars="200" w:firstLine="480"/>
        <w:rPr>
          <w:bCs/>
          <w:szCs w:val="24"/>
        </w:rPr>
      </w:pPr>
      <w:r>
        <w:rPr>
          <w:bCs/>
          <w:szCs w:val="24"/>
        </w:rPr>
        <w:t>（</w:t>
      </w:r>
      <w:r>
        <w:rPr>
          <w:rFonts w:hint="eastAsia"/>
          <w:bCs/>
          <w:szCs w:val="24"/>
        </w:rPr>
        <w:t>5</w:t>
      </w:r>
      <w:r>
        <w:rPr>
          <w:bCs/>
          <w:szCs w:val="24"/>
        </w:rPr>
        <w:t>）地表沉陷对电力和通讯设施的影响</w:t>
      </w:r>
    </w:p>
    <w:p w:rsidR="00C223F5" w:rsidRPr="00927E76" w:rsidRDefault="005860D5" w:rsidP="00C006A7">
      <w:pPr>
        <w:widowControl/>
        <w:spacing w:line="360" w:lineRule="auto"/>
        <w:ind w:firstLineChars="200" w:firstLine="480"/>
        <w:rPr>
          <w:sz w:val="24"/>
        </w:rPr>
      </w:pPr>
      <w:r>
        <w:rPr>
          <w:sz w:val="24"/>
        </w:rPr>
        <w:t>受地表沉陷影响的电力设施</w:t>
      </w:r>
      <w:r>
        <w:rPr>
          <w:rFonts w:hint="eastAsia"/>
          <w:sz w:val="24"/>
        </w:rPr>
        <w:t>有</w:t>
      </w:r>
      <w:r>
        <w:rPr>
          <w:rFonts w:hint="eastAsia"/>
          <w:sz w:val="24"/>
        </w:rPr>
        <w:t>750kV</w:t>
      </w:r>
      <w:r>
        <w:rPr>
          <w:rFonts w:hint="eastAsia"/>
          <w:sz w:val="24"/>
        </w:rPr>
        <w:t>洛横线高压塔基、</w:t>
      </w:r>
      <w:r>
        <w:rPr>
          <w:sz w:val="24"/>
        </w:rPr>
        <w:t>矿井输电线路</w:t>
      </w:r>
      <w:r>
        <w:rPr>
          <w:rFonts w:hint="eastAsia"/>
          <w:sz w:val="24"/>
        </w:rPr>
        <w:t>、</w:t>
      </w:r>
      <w:r>
        <w:rPr>
          <w:sz w:val="24"/>
        </w:rPr>
        <w:t>乡村间农用输电线路</w:t>
      </w:r>
      <w:r>
        <w:rPr>
          <w:rFonts w:hint="eastAsia"/>
          <w:sz w:val="24"/>
        </w:rPr>
        <w:t>；</w:t>
      </w:r>
      <w:r>
        <w:rPr>
          <w:sz w:val="24"/>
        </w:rPr>
        <w:t>地表沉陷影响的通讯设施主要是通往各自然村的电话线路。</w:t>
      </w:r>
      <w:r>
        <w:rPr>
          <w:rFonts w:hint="eastAsia"/>
          <w:sz w:val="24"/>
        </w:rPr>
        <w:t>输电</w:t>
      </w:r>
      <w:r>
        <w:rPr>
          <w:sz w:val="24"/>
        </w:rPr>
        <w:t>电杆受沉陷影响会发生倾斜、水平移动或下沉，杆距因此将发生变化</w:t>
      </w:r>
      <w:r>
        <w:rPr>
          <w:rFonts w:hint="eastAsia"/>
          <w:sz w:val="24"/>
        </w:rPr>
        <w:t>；</w:t>
      </w:r>
      <w:r>
        <w:rPr>
          <w:sz w:val="24"/>
        </w:rPr>
        <w:t>这种杆距变化将增大或减小电线的驰度，使电线过紧或过松，严重时可能拉断电线，或者减小与地表的距离，低于允许安全高度</w:t>
      </w:r>
      <w:r>
        <w:rPr>
          <w:rFonts w:hint="eastAsia"/>
          <w:sz w:val="24"/>
        </w:rPr>
        <w:t>，环评要求</w:t>
      </w:r>
      <w:r>
        <w:rPr>
          <w:sz w:val="24"/>
        </w:rPr>
        <w:t>采取采前加固或采后纠偏等</w:t>
      </w:r>
      <w:r w:rsidRPr="00927E76">
        <w:rPr>
          <w:sz w:val="24"/>
        </w:rPr>
        <w:t>防护措施。</w:t>
      </w:r>
      <w:r w:rsidRPr="00927E76">
        <w:rPr>
          <w:rFonts w:hint="eastAsia"/>
          <w:sz w:val="24"/>
        </w:rPr>
        <w:t>同时，设计已对</w:t>
      </w:r>
      <w:r w:rsidRPr="00927E76">
        <w:rPr>
          <w:rFonts w:hint="eastAsia"/>
          <w:sz w:val="24"/>
        </w:rPr>
        <w:t>750kV</w:t>
      </w:r>
      <w:r w:rsidRPr="00927E76">
        <w:rPr>
          <w:rFonts w:hint="eastAsia"/>
          <w:sz w:val="24"/>
        </w:rPr>
        <w:t>高等级输电线塔基留设保护煤柱，按规范计算留设</w:t>
      </w:r>
      <w:r w:rsidRPr="00927E76">
        <w:rPr>
          <w:rFonts w:hint="eastAsia"/>
          <w:sz w:val="24"/>
        </w:rPr>
        <w:t>140m</w:t>
      </w:r>
      <w:r w:rsidRPr="00927E76">
        <w:rPr>
          <w:rFonts w:hint="eastAsia"/>
          <w:sz w:val="24"/>
        </w:rPr>
        <w:t>。</w:t>
      </w:r>
    </w:p>
    <w:p w:rsidR="00C223F5" w:rsidRPr="00927E76" w:rsidRDefault="005860D5" w:rsidP="00C006A7">
      <w:pPr>
        <w:spacing w:line="360" w:lineRule="auto"/>
        <w:ind w:firstLineChars="200" w:firstLine="480"/>
        <w:rPr>
          <w:sz w:val="24"/>
        </w:rPr>
      </w:pPr>
      <w:r w:rsidRPr="00927E76">
        <w:rPr>
          <w:bCs/>
          <w:sz w:val="24"/>
        </w:rPr>
        <w:t>（</w:t>
      </w:r>
      <w:r w:rsidRPr="00927E76">
        <w:rPr>
          <w:rFonts w:hint="eastAsia"/>
          <w:bCs/>
          <w:sz w:val="24"/>
        </w:rPr>
        <w:t>6</w:t>
      </w:r>
      <w:r w:rsidRPr="00927E76">
        <w:rPr>
          <w:bCs/>
          <w:sz w:val="24"/>
        </w:rPr>
        <w:t>）</w:t>
      </w:r>
      <w:r w:rsidRPr="00927E76">
        <w:rPr>
          <w:sz w:val="24"/>
        </w:rPr>
        <w:t>地表沉陷对井田内铁路、公路的影响</w:t>
      </w:r>
    </w:p>
    <w:p w:rsidR="00C223F5" w:rsidRDefault="005860D5" w:rsidP="00C006A7">
      <w:pPr>
        <w:spacing w:line="360" w:lineRule="auto"/>
        <w:ind w:firstLineChars="200" w:firstLine="480"/>
        <w:rPr>
          <w:sz w:val="24"/>
        </w:rPr>
      </w:pPr>
      <w:r w:rsidRPr="00927E76">
        <w:rPr>
          <w:sz w:val="24"/>
        </w:rPr>
        <w:t>整合区内有</w:t>
      </w:r>
      <w:r w:rsidRPr="00927E76">
        <w:rPr>
          <w:rFonts w:hint="eastAsia"/>
          <w:sz w:val="24"/>
        </w:rPr>
        <w:t>青银高速（</w:t>
      </w:r>
      <w:r w:rsidRPr="00927E76">
        <w:rPr>
          <w:rFonts w:hint="eastAsia"/>
          <w:sz w:val="24"/>
        </w:rPr>
        <w:t>G20</w:t>
      </w:r>
      <w:r w:rsidRPr="00927E76">
        <w:rPr>
          <w:rFonts w:hint="eastAsia"/>
          <w:sz w:val="24"/>
        </w:rPr>
        <w:t>）自井田北部西北</w:t>
      </w:r>
      <w:r w:rsidRPr="00927E76">
        <w:rPr>
          <w:rFonts w:hint="eastAsia"/>
          <w:sz w:val="24"/>
        </w:rPr>
        <w:t>-</w:t>
      </w:r>
      <w:r w:rsidRPr="00927E76">
        <w:rPr>
          <w:rFonts w:hint="eastAsia"/>
          <w:sz w:val="24"/>
        </w:rPr>
        <w:t>东南方向贯穿，井田内长度约</w:t>
      </w:r>
      <w:r w:rsidRPr="00927E76">
        <w:rPr>
          <w:rFonts w:hint="eastAsia"/>
          <w:sz w:val="24"/>
        </w:rPr>
        <w:t>9.8km</w:t>
      </w:r>
      <w:r w:rsidRPr="00927E76">
        <w:rPr>
          <w:rFonts w:hint="eastAsia"/>
          <w:sz w:val="24"/>
        </w:rPr>
        <w:t>，设计对青银高速一侧留设</w:t>
      </w:r>
      <w:r w:rsidRPr="00927E76">
        <w:rPr>
          <w:rFonts w:hint="eastAsia"/>
          <w:sz w:val="24"/>
        </w:rPr>
        <w:t>100m</w:t>
      </w:r>
      <w:r w:rsidRPr="00927E76">
        <w:rPr>
          <w:rFonts w:hint="eastAsia"/>
          <w:sz w:val="24"/>
        </w:rPr>
        <w:t>保护煤柱；</w:t>
      </w:r>
      <w:r w:rsidRPr="00927E76">
        <w:rPr>
          <w:sz w:val="24"/>
        </w:rPr>
        <w:t>G307</w:t>
      </w:r>
      <w:r w:rsidRPr="00927E76">
        <w:rPr>
          <w:rFonts w:hint="eastAsia"/>
          <w:sz w:val="24"/>
        </w:rPr>
        <w:t>国道自井田东部西南</w:t>
      </w:r>
      <w:r w:rsidRPr="00927E76">
        <w:rPr>
          <w:rFonts w:hint="eastAsia"/>
          <w:sz w:val="24"/>
        </w:rPr>
        <w:t>-</w:t>
      </w:r>
      <w:r w:rsidRPr="00927E76">
        <w:rPr>
          <w:rFonts w:hint="eastAsia"/>
          <w:sz w:val="24"/>
        </w:rPr>
        <w:t>东北方向贯穿，长约</w:t>
      </w:r>
      <w:r w:rsidRPr="00927E76">
        <w:rPr>
          <w:rFonts w:hint="eastAsia"/>
          <w:sz w:val="24"/>
        </w:rPr>
        <w:t>8.5km</w:t>
      </w:r>
      <w:r w:rsidRPr="00927E76">
        <w:rPr>
          <w:rFonts w:hint="eastAsia"/>
          <w:sz w:val="24"/>
        </w:rPr>
        <w:t>，</w:t>
      </w:r>
      <w:r w:rsidRPr="00690A42">
        <w:rPr>
          <w:rFonts w:hint="eastAsia"/>
          <w:color w:val="FF0000"/>
          <w:sz w:val="24"/>
        </w:rPr>
        <w:t>与大理河</w:t>
      </w:r>
      <w:r w:rsidR="008348FE">
        <w:rPr>
          <w:rFonts w:hint="eastAsia"/>
          <w:color w:val="FF0000"/>
          <w:sz w:val="24"/>
        </w:rPr>
        <w:t>湿地</w:t>
      </w:r>
      <w:r w:rsidRPr="00690A42">
        <w:rPr>
          <w:rFonts w:hint="eastAsia"/>
          <w:color w:val="FF0000"/>
          <w:sz w:val="24"/>
        </w:rPr>
        <w:t>合并留设保护煤柱</w:t>
      </w:r>
      <w:r w:rsidRPr="00927E76">
        <w:rPr>
          <w:rFonts w:hint="eastAsia"/>
          <w:sz w:val="24"/>
        </w:rPr>
        <w:t>，围护带宽度取</w:t>
      </w:r>
      <w:r w:rsidRPr="00927E76">
        <w:rPr>
          <w:rFonts w:hint="eastAsia"/>
          <w:sz w:val="24"/>
        </w:rPr>
        <w:t>10m</w:t>
      </w:r>
      <w:r w:rsidRPr="00927E76">
        <w:rPr>
          <w:rFonts w:hint="eastAsia"/>
          <w:sz w:val="24"/>
        </w:rPr>
        <w:t>；太（原）中（卫）银（川）铁路自井田中部东西方向贯穿，井田内长约</w:t>
      </w:r>
      <w:r w:rsidRPr="00927E76">
        <w:rPr>
          <w:rFonts w:hint="eastAsia"/>
          <w:sz w:val="24"/>
        </w:rPr>
        <w:t>7.6km</w:t>
      </w:r>
      <w:r w:rsidRPr="00927E76">
        <w:rPr>
          <w:rFonts w:hint="eastAsia"/>
          <w:sz w:val="24"/>
        </w:rPr>
        <w:t>，设计铁路单侧留设</w:t>
      </w:r>
      <w:r w:rsidRPr="00927E76">
        <w:rPr>
          <w:rFonts w:hint="eastAsia"/>
          <w:sz w:val="24"/>
        </w:rPr>
        <w:t>270m</w:t>
      </w:r>
      <w:r w:rsidRPr="00927E76">
        <w:rPr>
          <w:rFonts w:hint="eastAsia"/>
          <w:sz w:val="24"/>
        </w:rPr>
        <w:t>保护煤柱，对两个隧道斜</w:t>
      </w:r>
      <w:r>
        <w:rPr>
          <w:rFonts w:hint="eastAsia"/>
          <w:sz w:val="24"/>
        </w:rPr>
        <w:t>井单侧留设</w:t>
      </w:r>
      <w:r>
        <w:rPr>
          <w:rFonts w:hint="eastAsia"/>
          <w:sz w:val="24"/>
        </w:rPr>
        <w:t>200m</w:t>
      </w:r>
      <w:r>
        <w:rPr>
          <w:rFonts w:hint="eastAsia"/>
          <w:sz w:val="24"/>
        </w:rPr>
        <w:t>保护煤柱。经预</w:t>
      </w:r>
      <w:r>
        <w:rPr>
          <w:rFonts w:hint="eastAsia"/>
          <w:sz w:val="24"/>
        </w:rPr>
        <w:lastRenderedPageBreak/>
        <w:t>测井田内高速公路、国道及铁路均在沉陷影响区以外，基本</w:t>
      </w:r>
      <w:r>
        <w:rPr>
          <w:sz w:val="24"/>
        </w:rPr>
        <w:t>不受采煤影响。</w:t>
      </w:r>
    </w:p>
    <w:p w:rsidR="00C223F5" w:rsidRDefault="005860D5" w:rsidP="00C006A7">
      <w:pPr>
        <w:spacing w:line="360" w:lineRule="auto"/>
        <w:ind w:firstLineChars="200" w:firstLine="480"/>
        <w:rPr>
          <w:sz w:val="24"/>
        </w:rPr>
      </w:pPr>
      <w:r>
        <w:rPr>
          <w:rFonts w:hint="eastAsia"/>
          <w:sz w:val="24"/>
        </w:rPr>
        <w:t>井田内乡道及其它低等级道路由于沉陷</w:t>
      </w:r>
      <w:r>
        <w:rPr>
          <w:sz w:val="24"/>
        </w:rPr>
        <w:t>地表被拉伸变形，形成有规律近乎平行的大小和长短不等的地表裂缝。应采取</w:t>
      </w:r>
      <w:r>
        <w:rPr>
          <w:sz w:val="24"/>
        </w:rPr>
        <w:t>“</w:t>
      </w:r>
      <w:r>
        <w:rPr>
          <w:sz w:val="24"/>
        </w:rPr>
        <w:t>采后修复、维护和重修相结合</w:t>
      </w:r>
      <w:r>
        <w:rPr>
          <w:sz w:val="24"/>
        </w:rPr>
        <w:t>”</w:t>
      </w:r>
      <w:r>
        <w:rPr>
          <w:sz w:val="24"/>
        </w:rPr>
        <w:t>的综合防治措施加以治理。</w:t>
      </w:r>
    </w:p>
    <w:p w:rsidR="00C223F5" w:rsidRDefault="005860D5" w:rsidP="00C006A7">
      <w:pPr>
        <w:pStyle w:val="aff1"/>
        <w:tabs>
          <w:tab w:val="clear" w:pos="5781"/>
        </w:tabs>
        <w:spacing w:line="360" w:lineRule="auto"/>
        <w:ind w:left="0" w:firstLineChars="200" w:firstLine="480"/>
        <w:rPr>
          <w:szCs w:val="24"/>
        </w:rPr>
      </w:pPr>
      <w:r>
        <w:rPr>
          <w:bCs/>
        </w:rPr>
        <w:t>（</w:t>
      </w:r>
      <w:r>
        <w:rPr>
          <w:rFonts w:hint="eastAsia"/>
          <w:bCs/>
        </w:rPr>
        <w:t>7</w:t>
      </w:r>
      <w:r>
        <w:rPr>
          <w:bCs/>
        </w:rPr>
        <w:t>）</w:t>
      </w:r>
      <w:r>
        <w:t>地表沉陷对井田内</w:t>
      </w:r>
      <w:r>
        <w:rPr>
          <w:rFonts w:hint="eastAsia"/>
        </w:rPr>
        <w:t>地表水体</w:t>
      </w:r>
      <w:r>
        <w:t>的影响</w:t>
      </w:r>
    </w:p>
    <w:p w:rsidR="00C223F5" w:rsidRDefault="005860D5" w:rsidP="00C006A7">
      <w:pPr>
        <w:pStyle w:val="aff1"/>
        <w:tabs>
          <w:tab w:val="clear" w:pos="5781"/>
        </w:tabs>
        <w:spacing w:line="360" w:lineRule="auto"/>
        <w:ind w:left="0" w:firstLineChars="200" w:firstLine="480"/>
      </w:pPr>
      <w:r>
        <w:rPr>
          <w:szCs w:val="24"/>
        </w:rPr>
        <w:t>井田</w:t>
      </w:r>
      <w:r>
        <w:rPr>
          <w:rFonts w:hint="eastAsia"/>
          <w:szCs w:val="24"/>
        </w:rPr>
        <w:t>北部有蚂蚁河自西向东</w:t>
      </w:r>
      <w:r>
        <w:rPr>
          <w:szCs w:val="24"/>
        </w:rPr>
        <w:t>流过，</w:t>
      </w:r>
      <w:r>
        <w:rPr>
          <w:rFonts w:hint="eastAsia"/>
          <w:szCs w:val="24"/>
        </w:rPr>
        <w:t>河流流向与青银高速走向基本一致，与高速公路一同留设保护煤柱；</w:t>
      </w:r>
      <w:r w:rsidRPr="00690A42">
        <w:rPr>
          <w:rFonts w:hint="eastAsia"/>
          <w:color w:val="FF0000"/>
        </w:rPr>
        <w:t>大理河下游及村庄位于煤层不可采区域不需要留设保护煤柱，上游</w:t>
      </w:r>
      <w:r w:rsidR="008348FE">
        <w:rPr>
          <w:rFonts w:hint="eastAsia"/>
          <w:color w:val="FF0000"/>
        </w:rPr>
        <w:t>湿地</w:t>
      </w:r>
      <w:r w:rsidRPr="00690A42">
        <w:rPr>
          <w:rFonts w:hint="eastAsia"/>
          <w:color w:val="FF0000"/>
        </w:rPr>
        <w:t>与两岸村庄合并留设保护煤柱，</w:t>
      </w:r>
      <w:r>
        <w:rPr>
          <w:rFonts w:hint="eastAsia"/>
        </w:rPr>
        <w:t>保护等级为Ⅲ级，围护带宽度取</w:t>
      </w:r>
      <w:r>
        <w:rPr>
          <w:rFonts w:hint="eastAsia"/>
        </w:rPr>
        <w:t>10m</w:t>
      </w:r>
      <w:r>
        <w:rPr>
          <w:rFonts w:hint="eastAsia"/>
        </w:rPr>
        <w:t>，松散层移动角取</w:t>
      </w:r>
      <w:r>
        <w:rPr>
          <w:rFonts w:hint="eastAsia"/>
        </w:rPr>
        <w:t>45</w:t>
      </w:r>
      <w:r>
        <w:rPr>
          <w:rFonts w:hint="eastAsia"/>
        </w:rPr>
        <w:t>°，岩层移动角取</w:t>
      </w:r>
      <w:r>
        <w:rPr>
          <w:rFonts w:hint="eastAsia"/>
        </w:rPr>
        <w:t>70</w:t>
      </w:r>
      <w:r>
        <w:rPr>
          <w:rFonts w:hint="eastAsia"/>
        </w:rPr>
        <w:t>°，同时煤柱留设时一并考虑了</w:t>
      </w:r>
      <w:r>
        <w:rPr>
          <w:rFonts w:hint="eastAsia"/>
        </w:rPr>
        <w:t>G307</w:t>
      </w:r>
      <w:r>
        <w:rPr>
          <w:rFonts w:hint="eastAsia"/>
        </w:rPr>
        <w:t>国道和大理河湿地范围</w:t>
      </w:r>
      <w:r w:rsidR="00690A42">
        <w:rPr>
          <w:rFonts w:hint="eastAsia"/>
        </w:rPr>
        <w:t>，</w:t>
      </w:r>
      <w:r w:rsidR="00690A42" w:rsidRPr="00690A42">
        <w:rPr>
          <w:rFonts w:hint="eastAsia"/>
          <w:color w:val="FF0000"/>
        </w:rPr>
        <w:t>湿地边界距离开采区边界最近距离约</w:t>
      </w:r>
      <w:r w:rsidR="00690A42" w:rsidRPr="00690A42">
        <w:rPr>
          <w:rFonts w:hint="eastAsia"/>
          <w:color w:val="FF0000"/>
        </w:rPr>
        <w:t>90m</w:t>
      </w:r>
      <w:r w:rsidRPr="00690A42">
        <w:rPr>
          <w:rFonts w:hint="eastAsia"/>
          <w:color w:val="FF0000"/>
        </w:rPr>
        <w:t>；</w:t>
      </w:r>
      <w:r>
        <w:rPr>
          <w:rFonts w:hint="eastAsia"/>
        </w:rPr>
        <w:t>在井田开采区内有两处农灌用水库，分别为六盘区南边界处石湾镇梁坪水库，井田西部七盘区北侧麻地沟水库，两处水库均与村庄和油井合并留设保护煤柱。</w:t>
      </w:r>
    </w:p>
    <w:p w:rsidR="00C223F5" w:rsidRDefault="005860D5" w:rsidP="00C006A7">
      <w:pPr>
        <w:pStyle w:val="aff1"/>
        <w:tabs>
          <w:tab w:val="clear" w:pos="5781"/>
        </w:tabs>
        <w:spacing w:line="360" w:lineRule="auto"/>
        <w:ind w:left="0" w:firstLineChars="200" w:firstLine="480"/>
        <w:rPr>
          <w:szCs w:val="24"/>
        </w:rPr>
      </w:pPr>
      <w:r>
        <w:rPr>
          <w:szCs w:val="24"/>
        </w:rPr>
        <w:t>在采取环评及设计要求的措施前提下，地表沉陷对评价区内地表水体影响</w:t>
      </w:r>
      <w:r>
        <w:rPr>
          <w:rFonts w:hint="eastAsia"/>
          <w:szCs w:val="24"/>
        </w:rPr>
        <w:t>小，但</w:t>
      </w:r>
      <w:r>
        <w:rPr>
          <w:szCs w:val="24"/>
        </w:rPr>
        <w:t>在采掘过程中</w:t>
      </w:r>
      <w:r>
        <w:rPr>
          <w:rFonts w:hint="eastAsia"/>
          <w:szCs w:val="24"/>
        </w:rPr>
        <w:t>还</w:t>
      </w:r>
      <w:r>
        <w:rPr>
          <w:szCs w:val="24"/>
        </w:rPr>
        <w:t>应加强</w:t>
      </w:r>
      <w:r>
        <w:rPr>
          <w:rFonts w:hint="eastAsia"/>
          <w:szCs w:val="24"/>
        </w:rPr>
        <w:t>对</w:t>
      </w:r>
      <w:r>
        <w:rPr>
          <w:szCs w:val="24"/>
        </w:rPr>
        <w:t>沟谷</w:t>
      </w:r>
      <w:r>
        <w:rPr>
          <w:rFonts w:hint="eastAsia"/>
          <w:szCs w:val="24"/>
        </w:rPr>
        <w:t>附近和水库坝体的沉陷观测</w:t>
      </w:r>
      <w:r>
        <w:rPr>
          <w:szCs w:val="24"/>
        </w:rPr>
        <w:t>。</w:t>
      </w:r>
    </w:p>
    <w:p w:rsidR="00C223F5" w:rsidRDefault="005860D5" w:rsidP="00C006A7">
      <w:pPr>
        <w:spacing w:line="360" w:lineRule="auto"/>
        <w:ind w:firstLineChars="200" w:firstLine="480"/>
        <w:rPr>
          <w:sz w:val="24"/>
        </w:rPr>
      </w:pPr>
      <w:r>
        <w:rPr>
          <w:sz w:val="24"/>
        </w:rPr>
        <w:t>（</w:t>
      </w:r>
      <w:r>
        <w:rPr>
          <w:rFonts w:hint="eastAsia"/>
          <w:sz w:val="24"/>
        </w:rPr>
        <w:t>8</w:t>
      </w:r>
      <w:r>
        <w:rPr>
          <w:sz w:val="24"/>
        </w:rPr>
        <w:t>）地表沉陷对</w:t>
      </w:r>
      <w:r>
        <w:rPr>
          <w:rFonts w:hint="eastAsia"/>
          <w:sz w:val="24"/>
        </w:rPr>
        <w:t>延长石油油气井</w:t>
      </w:r>
      <w:r>
        <w:rPr>
          <w:sz w:val="24"/>
        </w:rPr>
        <w:t>设施的影响</w:t>
      </w:r>
    </w:p>
    <w:p w:rsidR="00C223F5" w:rsidRDefault="005860D5" w:rsidP="00C006A7">
      <w:pPr>
        <w:spacing w:line="360" w:lineRule="auto"/>
        <w:ind w:firstLineChars="200" w:firstLine="480"/>
        <w:rPr>
          <w:sz w:val="24"/>
        </w:rPr>
      </w:pPr>
      <w:r>
        <w:rPr>
          <w:sz w:val="24"/>
        </w:rPr>
        <w:t>据现场调查，</w:t>
      </w:r>
      <w:r>
        <w:rPr>
          <w:rFonts w:hint="eastAsia"/>
          <w:sz w:val="24"/>
        </w:rPr>
        <w:t>评价范围内零星分布</w:t>
      </w:r>
      <w:r>
        <w:rPr>
          <w:sz w:val="24"/>
        </w:rPr>
        <w:t>有</w:t>
      </w:r>
      <w:r>
        <w:rPr>
          <w:rFonts w:hint="eastAsia"/>
          <w:sz w:val="24"/>
        </w:rPr>
        <w:t>72</w:t>
      </w:r>
      <w:r>
        <w:rPr>
          <w:rFonts w:hint="eastAsia"/>
          <w:sz w:val="24"/>
        </w:rPr>
        <w:t>处油气井井场，</w:t>
      </w:r>
      <w:r>
        <w:rPr>
          <w:sz w:val="24"/>
        </w:rPr>
        <w:t>其中</w:t>
      </w:r>
      <w:r>
        <w:rPr>
          <w:rFonts w:hint="eastAsia"/>
          <w:sz w:val="24"/>
        </w:rPr>
        <w:t>正在生产使用的</w:t>
      </w:r>
      <w:r>
        <w:rPr>
          <w:sz w:val="24"/>
        </w:rPr>
        <w:t>有</w:t>
      </w:r>
      <w:r>
        <w:rPr>
          <w:rFonts w:hint="eastAsia"/>
          <w:sz w:val="24"/>
        </w:rPr>
        <w:t>55</w:t>
      </w:r>
      <w:r>
        <w:rPr>
          <w:rFonts w:hint="eastAsia"/>
          <w:sz w:val="24"/>
        </w:rPr>
        <w:t>处；同时，在井田二盘区西南角建有中石油</w:t>
      </w:r>
      <w:r>
        <w:rPr>
          <w:sz w:val="24"/>
        </w:rPr>
        <w:t>后麻地沟二大队部脱水站</w:t>
      </w:r>
      <w:r>
        <w:rPr>
          <w:rFonts w:hint="eastAsia"/>
          <w:sz w:val="24"/>
        </w:rPr>
        <w:t>，三盘区西北角建有延长石油</w:t>
      </w:r>
      <w:r>
        <w:rPr>
          <w:sz w:val="24"/>
        </w:rPr>
        <w:t>后麻地</w:t>
      </w:r>
      <w:r>
        <w:rPr>
          <w:rFonts w:hint="eastAsia"/>
          <w:sz w:val="24"/>
        </w:rPr>
        <w:t>采注二站。井田内油井由油罐车采集石油，油井之间不铺设集中收集输油管线，</w:t>
      </w:r>
      <w:r>
        <w:rPr>
          <w:sz w:val="24"/>
        </w:rPr>
        <w:t>设计</w:t>
      </w:r>
      <w:r>
        <w:rPr>
          <w:rFonts w:hint="eastAsia"/>
          <w:sz w:val="24"/>
        </w:rPr>
        <w:t>对采区内油井</w:t>
      </w:r>
      <w:r>
        <w:rPr>
          <w:sz w:val="24"/>
        </w:rPr>
        <w:t>留设保护煤柱</w:t>
      </w:r>
      <w:r>
        <w:rPr>
          <w:rFonts w:hint="eastAsia"/>
          <w:sz w:val="24"/>
        </w:rPr>
        <w:t>。设计</w:t>
      </w:r>
      <w:r>
        <w:rPr>
          <w:rFonts w:hAnsi="宋体" w:hint="eastAsia"/>
          <w:snapToGrid w:val="0"/>
          <w:sz w:val="24"/>
        </w:rPr>
        <w:t>根据</w:t>
      </w:r>
      <w:r>
        <w:rPr>
          <w:rFonts w:hAnsi="宋体"/>
          <w:snapToGrid w:val="0"/>
          <w:sz w:val="24"/>
        </w:rPr>
        <w:t>《建筑物、水体、铁路及主要井巷煤柱留设与压煤开采</w:t>
      </w:r>
      <w:r>
        <w:rPr>
          <w:rFonts w:hAnsi="宋体" w:hint="eastAsia"/>
          <w:snapToGrid w:val="0"/>
          <w:sz w:val="24"/>
        </w:rPr>
        <w:t>规范</w:t>
      </w:r>
      <w:r>
        <w:rPr>
          <w:rFonts w:hAnsi="宋体"/>
          <w:snapToGrid w:val="0"/>
          <w:sz w:val="24"/>
        </w:rPr>
        <w:t>》的规定</w:t>
      </w:r>
      <w:r>
        <w:rPr>
          <w:rFonts w:hAnsi="宋体" w:hint="eastAsia"/>
          <w:snapToGrid w:val="0"/>
          <w:sz w:val="24"/>
        </w:rPr>
        <w:t>，</w:t>
      </w:r>
      <w:r>
        <w:rPr>
          <w:rFonts w:hint="eastAsia"/>
          <w:sz w:val="24"/>
        </w:rPr>
        <w:t>井田内油井保护等级为Ⅱ级，围护带宽度取</w:t>
      </w:r>
      <w:r>
        <w:rPr>
          <w:rFonts w:hint="eastAsia"/>
          <w:sz w:val="24"/>
        </w:rPr>
        <w:t>15m</w:t>
      </w:r>
      <w:r>
        <w:rPr>
          <w:rFonts w:hint="eastAsia"/>
          <w:sz w:val="24"/>
        </w:rPr>
        <w:t>，松散层移动角取</w:t>
      </w:r>
      <w:r>
        <w:rPr>
          <w:rFonts w:hint="eastAsia"/>
          <w:sz w:val="24"/>
        </w:rPr>
        <w:t>45</w:t>
      </w:r>
      <w:r>
        <w:rPr>
          <w:rFonts w:hint="eastAsia"/>
          <w:sz w:val="24"/>
        </w:rPr>
        <w:t>°，岩层移动角取</w:t>
      </w:r>
      <w:r>
        <w:rPr>
          <w:rFonts w:hint="eastAsia"/>
          <w:sz w:val="24"/>
        </w:rPr>
        <w:t>70</w:t>
      </w:r>
      <w:r>
        <w:rPr>
          <w:rFonts w:hint="eastAsia"/>
          <w:sz w:val="24"/>
        </w:rPr>
        <w:t>°，油井</w:t>
      </w:r>
      <w:r>
        <w:rPr>
          <w:sz w:val="24"/>
        </w:rPr>
        <w:t>留设</w:t>
      </w:r>
      <w:r>
        <w:rPr>
          <w:rFonts w:hint="eastAsia"/>
          <w:sz w:val="24"/>
        </w:rPr>
        <w:t>半径为</w:t>
      </w:r>
      <w:r>
        <w:rPr>
          <w:rFonts w:hint="eastAsia"/>
          <w:sz w:val="24"/>
        </w:rPr>
        <w:t>118m~330</w:t>
      </w:r>
      <w:r>
        <w:rPr>
          <w:sz w:val="24"/>
        </w:rPr>
        <w:t>m</w:t>
      </w:r>
      <w:r>
        <w:rPr>
          <w:sz w:val="24"/>
        </w:rPr>
        <w:t>的保护煤柱</w:t>
      </w:r>
      <w:r>
        <w:rPr>
          <w:rFonts w:hint="eastAsia"/>
          <w:sz w:val="24"/>
        </w:rPr>
        <w:t>，采注站等建筑物留设</w:t>
      </w:r>
      <w:r>
        <w:rPr>
          <w:rFonts w:hint="eastAsia"/>
          <w:sz w:val="24"/>
        </w:rPr>
        <w:t>118m</w:t>
      </w:r>
      <w:r>
        <w:rPr>
          <w:rFonts w:hint="eastAsia"/>
          <w:sz w:val="24"/>
        </w:rPr>
        <w:t>保护煤柱</w:t>
      </w:r>
      <w:r>
        <w:rPr>
          <w:sz w:val="24"/>
        </w:rPr>
        <w:t>。</w:t>
      </w:r>
      <w:r>
        <w:rPr>
          <w:rFonts w:hint="eastAsia"/>
          <w:sz w:val="24"/>
        </w:rPr>
        <w:t>采取</w:t>
      </w:r>
      <w:r>
        <w:rPr>
          <w:sz w:val="24"/>
        </w:rPr>
        <w:t>设计提出的煤柱保护措施后，</w:t>
      </w:r>
      <w:r>
        <w:rPr>
          <w:rFonts w:hint="eastAsia"/>
          <w:sz w:val="24"/>
        </w:rPr>
        <w:t>油井井场及采注脱水站等</w:t>
      </w:r>
      <w:r>
        <w:rPr>
          <w:sz w:val="24"/>
        </w:rPr>
        <w:t>不受采煤沉陷影响。</w:t>
      </w:r>
    </w:p>
    <w:p w:rsidR="00C223F5" w:rsidRDefault="005860D5" w:rsidP="00C006A7">
      <w:pPr>
        <w:adjustRightInd w:val="0"/>
        <w:snapToGrid w:val="0"/>
        <w:spacing w:line="360" w:lineRule="auto"/>
        <w:ind w:firstLineChars="200" w:firstLine="480"/>
        <w:textAlignment w:val="center"/>
        <w:rPr>
          <w:sz w:val="24"/>
        </w:rPr>
      </w:pPr>
      <w:r>
        <w:rPr>
          <w:rFonts w:hint="eastAsia"/>
          <w:sz w:val="24"/>
        </w:rPr>
        <w:t>横山县天云煤矿有限公司</w:t>
      </w:r>
      <w:r>
        <w:rPr>
          <w:sz w:val="24"/>
        </w:rPr>
        <w:t>已经</w:t>
      </w:r>
      <w:r>
        <w:rPr>
          <w:rFonts w:hint="eastAsia"/>
          <w:sz w:val="24"/>
        </w:rPr>
        <w:t>与延长石油集团横山采油厂签订</w:t>
      </w:r>
      <w:r>
        <w:rPr>
          <w:sz w:val="24"/>
        </w:rPr>
        <w:t>了</w:t>
      </w:r>
      <w:r>
        <w:rPr>
          <w:rFonts w:hint="eastAsia"/>
          <w:sz w:val="24"/>
        </w:rPr>
        <w:t>资源开采互保协议</w:t>
      </w:r>
      <w:r>
        <w:rPr>
          <w:sz w:val="24"/>
        </w:rPr>
        <w:t>，</w:t>
      </w:r>
      <w:r>
        <w:rPr>
          <w:rFonts w:hint="eastAsia"/>
          <w:sz w:val="24"/>
        </w:rPr>
        <w:t>建设单位按设计规范对石油、天然气钻井井筒预留足够的保安煤柱，确保油气井生产安全。环评</w:t>
      </w:r>
      <w:r>
        <w:rPr>
          <w:sz w:val="24"/>
        </w:rPr>
        <w:t>要求</w:t>
      </w:r>
      <w:r>
        <w:rPr>
          <w:rFonts w:hint="eastAsia"/>
          <w:sz w:val="24"/>
        </w:rPr>
        <w:t>建设单位开采中应加强巡查和监测，对开采区内油气井采取</w:t>
      </w:r>
      <w:r>
        <w:rPr>
          <w:sz w:val="24"/>
        </w:rPr>
        <w:t>相应治理措施</w:t>
      </w:r>
      <w:r>
        <w:rPr>
          <w:rFonts w:hint="eastAsia"/>
          <w:sz w:val="24"/>
        </w:rPr>
        <w:t>。</w:t>
      </w:r>
    </w:p>
    <w:p w:rsidR="00C223F5" w:rsidRDefault="005860D5" w:rsidP="00C006A7">
      <w:pPr>
        <w:spacing w:line="360" w:lineRule="auto"/>
        <w:ind w:firstLineChars="200" w:firstLine="480"/>
        <w:rPr>
          <w:bCs/>
          <w:color w:val="000000"/>
          <w:sz w:val="24"/>
        </w:rPr>
      </w:pPr>
      <w:r>
        <w:rPr>
          <w:bCs/>
          <w:sz w:val="24"/>
        </w:rPr>
        <w:t>（</w:t>
      </w:r>
      <w:r>
        <w:rPr>
          <w:rFonts w:hint="eastAsia"/>
          <w:bCs/>
          <w:sz w:val="24"/>
        </w:rPr>
        <w:t>9</w:t>
      </w:r>
      <w:r>
        <w:rPr>
          <w:bCs/>
          <w:sz w:val="24"/>
        </w:rPr>
        <w:t>）地表沉陷对民用</w:t>
      </w:r>
      <w:r>
        <w:rPr>
          <w:bCs/>
          <w:color w:val="000000"/>
          <w:sz w:val="24"/>
        </w:rPr>
        <w:t>井水的影响分析</w:t>
      </w:r>
    </w:p>
    <w:p w:rsidR="00C223F5" w:rsidRPr="00927E76" w:rsidRDefault="005860D5" w:rsidP="00C006A7">
      <w:pPr>
        <w:spacing w:line="360" w:lineRule="auto"/>
        <w:ind w:firstLine="200"/>
        <w:rPr>
          <w:sz w:val="24"/>
        </w:rPr>
      </w:pPr>
      <w:r>
        <w:rPr>
          <w:color w:val="000000"/>
          <w:sz w:val="24"/>
        </w:rPr>
        <w:t>井田</w:t>
      </w:r>
      <w:r>
        <w:rPr>
          <w:rFonts w:hint="eastAsia"/>
          <w:color w:val="000000"/>
          <w:sz w:val="24"/>
        </w:rPr>
        <w:t>内沿蚂蚁河、大理河分布有</w:t>
      </w:r>
      <w:r>
        <w:rPr>
          <w:rFonts w:hint="eastAsia"/>
          <w:sz w:val="24"/>
        </w:rPr>
        <w:t>8</w:t>
      </w:r>
      <w:r>
        <w:rPr>
          <w:sz w:val="24"/>
        </w:rPr>
        <w:t>个</w:t>
      </w:r>
      <w:r>
        <w:rPr>
          <w:rFonts w:hint="eastAsia"/>
          <w:sz w:val="24"/>
        </w:rPr>
        <w:t>行政村</w:t>
      </w:r>
      <w:r>
        <w:rPr>
          <w:rFonts w:hint="eastAsia"/>
          <w:sz w:val="24"/>
        </w:rPr>
        <w:t>33</w:t>
      </w:r>
      <w:r>
        <w:rPr>
          <w:rFonts w:hint="eastAsia"/>
          <w:sz w:val="24"/>
        </w:rPr>
        <w:t>个居民点</w:t>
      </w:r>
      <w:r>
        <w:rPr>
          <w:sz w:val="24"/>
        </w:rPr>
        <w:t>，</w:t>
      </w:r>
      <w:r>
        <w:rPr>
          <w:rFonts w:hint="eastAsia"/>
          <w:sz w:val="24"/>
        </w:rPr>
        <w:t>其中</w:t>
      </w:r>
      <w:r>
        <w:rPr>
          <w:rFonts w:hAnsi="宋体" w:hint="eastAsia"/>
          <w:sz w:val="24"/>
        </w:rPr>
        <w:t>项目开采区内分布</w:t>
      </w:r>
      <w:r>
        <w:rPr>
          <w:rFonts w:hAnsi="宋体" w:hint="eastAsia"/>
          <w:sz w:val="24"/>
        </w:rPr>
        <w:t>13</w:t>
      </w:r>
      <w:r>
        <w:rPr>
          <w:rFonts w:hAnsi="宋体" w:hint="eastAsia"/>
          <w:sz w:val="24"/>
        </w:rPr>
        <w:t>个</w:t>
      </w:r>
      <w:r>
        <w:rPr>
          <w:rFonts w:hint="eastAsia"/>
          <w:sz w:val="24"/>
        </w:rPr>
        <w:t>居民点</w:t>
      </w:r>
      <w:r>
        <w:rPr>
          <w:rFonts w:hAnsi="宋体" w:hint="eastAsia"/>
          <w:sz w:val="24"/>
        </w:rPr>
        <w:t>，开采区外分布</w:t>
      </w:r>
      <w:r>
        <w:rPr>
          <w:rFonts w:hAnsi="宋体" w:hint="eastAsia"/>
          <w:sz w:val="24"/>
        </w:rPr>
        <w:t>20</w:t>
      </w:r>
      <w:r>
        <w:rPr>
          <w:rFonts w:hAnsi="宋体" w:hint="eastAsia"/>
          <w:sz w:val="24"/>
        </w:rPr>
        <w:t>个</w:t>
      </w:r>
      <w:r>
        <w:rPr>
          <w:rFonts w:hint="eastAsia"/>
          <w:sz w:val="24"/>
        </w:rPr>
        <w:t>居民点</w:t>
      </w:r>
      <w:r>
        <w:rPr>
          <w:rFonts w:hAnsi="宋体" w:hint="eastAsia"/>
          <w:sz w:val="24"/>
        </w:rPr>
        <w:t>。</w:t>
      </w:r>
      <w:r w:rsidR="00077536" w:rsidRPr="00E134B5">
        <w:rPr>
          <w:color w:val="FF0000"/>
          <w:sz w:val="24"/>
        </w:rPr>
        <w:t>井田</w:t>
      </w:r>
      <w:r w:rsidR="00077536" w:rsidRPr="00E134B5">
        <w:rPr>
          <w:rFonts w:hint="eastAsia"/>
          <w:color w:val="FF0000"/>
          <w:sz w:val="24"/>
        </w:rPr>
        <w:t>内蚂蚁河及大理河沿线居民</w:t>
      </w:r>
      <w:r w:rsidR="00077536" w:rsidRPr="00E134B5">
        <w:rPr>
          <w:rFonts w:hAnsi="宋体" w:hint="eastAsia"/>
          <w:color w:val="FF0000"/>
          <w:sz w:val="24"/>
        </w:rPr>
        <w:t>饮</w:t>
      </w:r>
      <w:r w:rsidR="00077536" w:rsidRPr="00E134B5">
        <w:rPr>
          <w:rFonts w:hAnsi="宋体" w:hint="eastAsia"/>
          <w:color w:val="FF0000"/>
          <w:sz w:val="24"/>
        </w:rPr>
        <w:lastRenderedPageBreak/>
        <w:t>用水</w:t>
      </w:r>
      <w:r w:rsidR="00077536">
        <w:rPr>
          <w:rFonts w:hAnsi="宋体" w:hint="eastAsia"/>
          <w:color w:val="FF0000"/>
          <w:sz w:val="24"/>
        </w:rPr>
        <w:t>为</w:t>
      </w:r>
      <w:r w:rsidR="00077536" w:rsidRPr="00E134B5">
        <w:rPr>
          <w:rFonts w:hAnsi="宋体" w:hint="eastAsia"/>
          <w:color w:val="FF0000"/>
          <w:sz w:val="24"/>
        </w:rPr>
        <w:t>政府水利局农饮办的饮水工程提供</w:t>
      </w:r>
      <w:r w:rsidR="00077536">
        <w:rPr>
          <w:rFonts w:hAnsi="宋体" w:hint="eastAsia"/>
          <w:color w:val="FF0000"/>
          <w:sz w:val="24"/>
        </w:rPr>
        <w:t>的</w:t>
      </w:r>
      <w:r w:rsidR="00077536" w:rsidRPr="00E134B5">
        <w:rPr>
          <w:rFonts w:hAnsi="宋体" w:hint="eastAsia"/>
          <w:color w:val="FF0000"/>
          <w:sz w:val="24"/>
        </w:rPr>
        <w:t>自来水</w:t>
      </w:r>
      <w:r w:rsidR="00077536">
        <w:rPr>
          <w:rFonts w:hAnsi="宋体" w:hint="eastAsia"/>
          <w:color w:val="FF0000"/>
          <w:sz w:val="24"/>
        </w:rPr>
        <w:t>（水源不在项目评价区范围内）；</w:t>
      </w:r>
      <w:r w:rsidR="00077536" w:rsidRPr="00E134B5">
        <w:rPr>
          <w:rFonts w:hAnsi="宋体" w:hint="eastAsia"/>
          <w:color w:val="FF0000"/>
          <w:sz w:val="24"/>
        </w:rPr>
        <w:t>井田西南部分散</w:t>
      </w:r>
      <w:r w:rsidR="00077536" w:rsidRPr="00E134B5">
        <w:rPr>
          <w:rFonts w:hint="eastAsia"/>
          <w:color w:val="FF0000"/>
          <w:sz w:val="24"/>
        </w:rPr>
        <w:t>居民</w:t>
      </w:r>
      <w:r w:rsidR="00077536">
        <w:rPr>
          <w:rFonts w:hint="eastAsia"/>
          <w:color w:val="FF0000"/>
          <w:sz w:val="24"/>
        </w:rPr>
        <w:t>（藏家沟村、牛肚塌村、后麻地沟村）</w:t>
      </w:r>
      <w:r w:rsidR="00077536" w:rsidRPr="00E134B5">
        <w:rPr>
          <w:rFonts w:hint="eastAsia"/>
          <w:color w:val="FF0000"/>
          <w:sz w:val="24"/>
        </w:rPr>
        <w:t>用水主要为</w:t>
      </w:r>
      <w:r w:rsidR="00077536" w:rsidRPr="003526FF">
        <w:rPr>
          <w:rFonts w:hint="eastAsia"/>
          <w:color w:val="FF0000"/>
          <w:sz w:val="24"/>
        </w:rPr>
        <w:t>泉水（来自第四系及风化基岩</w:t>
      </w:r>
      <w:r w:rsidR="00296181">
        <w:rPr>
          <w:rFonts w:hint="eastAsia"/>
          <w:color w:val="FF0000"/>
          <w:sz w:val="24"/>
        </w:rPr>
        <w:t>潜水</w:t>
      </w:r>
      <w:r w:rsidR="00077536" w:rsidRPr="003526FF">
        <w:rPr>
          <w:rFonts w:hint="eastAsia"/>
          <w:color w:val="FF0000"/>
          <w:sz w:val="24"/>
        </w:rPr>
        <w:t>含水层）</w:t>
      </w:r>
      <w:r w:rsidR="00077536">
        <w:rPr>
          <w:rFonts w:hint="eastAsia"/>
          <w:color w:val="FF0000"/>
          <w:sz w:val="24"/>
        </w:rPr>
        <w:t>；</w:t>
      </w:r>
      <w:r w:rsidR="00077536" w:rsidRPr="003526FF">
        <w:rPr>
          <w:rFonts w:hint="eastAsia"/>
          <w:color w:val="FF0000"/>
          <w:sz w:val="24"/>
        </w:rPr>
        <w:t>河流两岸分散水井主要用于农田灌溉，</w:t>
      </w:r>
      <w:r w:rsidR="00077536" w:rsidRPr="003526FF">
        <w:rPr>
          <w:rFonts w:hAnsi="宋体"/>
          <w:color w:val="FF0000"/>
          <w:sz w:val="24"/>
        </w:rPr>
        <w:t>取水层位主要为第四系全新统</w:t>
      </w:r>
      <w:r w:rsidR="00077536" w:rsidRPr="00296181">
        <w:rPr>
          <w:rFonts w:hAnsi="宋体"/>
          <w:color w:val="FF0000"/>
          <w:sz w:val="24"/>
        </w:rPr>
        <w:t>冲洪积层孔隙潜水含水层</w:t>
      </w:r>
      <w:r w:rsidR="00077536" w:rsidRPr="00296181">
        <w:rPr>
          <w:rFonts w:hAnsi="宋体" w:hint="eastAsia"/>
          <w:color w:val="FF0000"/>
          <w:sz w:val="24"/>
        </w:rPr>
        <w:t>和三叠系</w:t>
      </w:r>
      <w:r w:rsidR="00077536" w:rsidRPr="00296181">
        <w:rPr>
          <w:rFonts w:hAnsi="宋体"/>
          <w:color w:val="FF0000"/>
          <w:sz w:val="24"/>
        </w:rPr>
        <w:t>风化基岩裂隙潜水含水层。</w:t>
      </w:r>
      <w:r w:rsidR="00077536" w:rsidRPr="00296181">
        <w:rPr>
          <w:rFonts w:hAnsi="宋体" w:hint="eastAsia"/>
          <w:color w:val="FF0000"/>
          <w:sz w:val="24"/>
        </w:rPr>
        <w:t>根据预测，</w:t>
      </w:r>
      <w:r w:rsidRPr="00296181">
        <w:rPr>
          <w:rFonts w:hAnsi="宋体"/>
          <w:color w:val="FF0000"/>
          <w:sz w:val="24"/>
        </w:rPr>
        <w:t>煤层开采形成的导水裂隙带一般情况下不会导通</w:t>
      </w:r>
      <w:r w:rsidRPr="00296181">
        <w:rPr>
          <w:rFonts w:hAnsi="宋体" w:hint="eastAsia"/>
          <w:color w:val="FF0000"/>
          <w:sz w:val="24"/>
        </w:rPr>
        <w:t>瓦窑堡组基岩孔隙裂隙</w:t>
      </w:r>
      <w:r w:rsidR="00077536" w:rsidRPr="00296181">
        <w:rPr>
          <w:rFonts w:hAnsi="宋体" w:hint="eastAsia"/>
          <w:color w:val="FF0000"/>
          <w:sz w:val="24"/>
        </w:rPr>
        <w:t>承压</w:t>
      </w:r>
      <w:r w:rsidRPr="00296181">
        <w:rPr>
          <w:rFonts w:hAnsi="宋体"/>
          <w:color w:val="FF0000"/>
          <w:sz w:val="24"/>
        </w:rPr>
        <w:t>含水层</w:t>
      </w:r>
      <w:r w:rsidR="00077536" w:rsidRPr="00296181">
        <w:rPr>
          <w:rFonts w:hAnsi="宋体" w:hint="eastAsia"/>
          <w:color w:val="FF0000"/>
          <w:sz w:val="24"/>
        </w:rPr>
        <w:t>，同时由于基岩中泥岩相对隔水层、</w:t>
      </w:r>
      <w:r w:rsidR="00077536" w:rsidRPr="00296181">
        <w:rPr>
          <w:rFonts w:hAnsi="宋体"/>
          <w:color w:val="FF0000"/>
          <w:sz w:val="24"/>
        </w:rPr>
        <w:t>保德组红土</w:t>
      </w:r>
      <w:r w:rsidR="00077536" w:rsidRPr="00296181">
        <w:rPr>
          <w:rFonts w:hAnsi="宋体" w:hint="eastAsia"/>
          <w:color w:val="FF0000"/>
          <w:sz w:val="24"/>
        </w:rPr>
        <w:t>等隔水层，采煤一般不会导通基岩上覆潜水含水层</w:t>
      </w:r>
      <w:r w:rsidRPr="00296181">
        <w:rPr>
          <w:rFonts w:hAnsi="宋体"/>
          <w:color w:val="FF0000"/>
          <w:sz w:val="24"/>
        </w:rPr>
        <w:t>，</w:t>
      </w:r>
      <w:r w:rsidRPr="00296181">
        <w:rPr>
          <w:color w:val="FF0000"/>
          <w:sz w:val="24"/>
        </w:rPr>
        <w:t>对井田内外的</w:t>
      </w:r>
      <w:r w:rsidR="00077536" w:rsidRPr="00296181">
        <w:rPr>
          <w:rFonts w:hint="eastAsia"/>
          <w:color w:val="FF0000"/>
          <w:sz w:val="24"/>
        </w:rPr>
        <w:t>水</w:t>
      </w:r>
      <w:r w:rsidRPr="00296181">
        <w:rPr>
          <w:color w:val="FF0000"/>
          <w:sz w:val="24"/>
        </w:rPr>
        <w:t>井产生影响较小。</w:t>
      </w:r>
      <w:r w:rsidR="00077536" w:rsidRPr="00296181">
        <w:rPr>
          <w:rFonts w:hint="eastAsia"/>
          <w:color w:val="FF0000"/>
          <w:sz w:val="24"/>
        </w:rPr>
        <w:t>此外，分散水井与居民点及河流沿岸距离较近，一般在保护</w:t>
      </w:r>
      <w:r w:rsidRPr="00296181">
        <w:rPr>
          <w:color w:val="FF0000"/>
          <w:sz w:val="24"/>
        </w:rPr>
        <w:t>煤柱</w:t>
      </w:r>
      <w:r w:rsidR="00077536" w:rsidRPr="00296181">
        <w:rPr>
          <w:rFonts w:hint="eastAsia"/>
          <w:color w:val="FF0000"/>
          <w:sz w:val="24"/>
        </w:rPr>
        <w:t>范围内</w:t>
      </w:r>
      <w:r w:rsidRPr="00296181">
        <w:rPr>
          <w:color w:val="FF0000"/>
          <w:sz w:val="24"/>
        </w:rPr>
        <w:t>，因此采煤沉陷对井田内的</w:t>
      </w:r>
      <w:r w:rsidR="00077536" w:rsidRPr="00296181">
        <w:rPr>
          <w:rFonts w:hint="eastAsia"/>
          <w:color w:val="FF0000"/>
          <w:sz w:val="24"/>
        </w:rPr>
        <w:t>水</w:t>
      </w:r>
      <w:r w:rsidRPr="00296181">
        <w:rPr>
          <w:color w:val="FF0000"/>
          <w:sz w:val="24"/>
        </w:rPr>
        <w:t>井</w:t>
      </w:r>
      <w:r w:rsidR="00077536" w:rsidRPr="00296181">
        <w:rPr>
          <w:rFonts w:hint="eastAsia"/>
          <w:color w:val="FF0000"/>
          <w:sz w:val="24"/>
        </w:rPr>
        <w:t>结构</w:t>
      </w:r>
      <w:r w:rsidRPr="00296181">
        <w:rPr>
          <w:color w:val="FF0000"/>
          <w:sz w:val="24"/>
        </w:rPr>
        <w:t>产生的影响较小</w:t>
      </w:r>
      <w:r w:rsidRPr="00296181">
        <w:rPr>
          <w:sz w:val="24"/>
        </w:rPr>
        <w:t>。</w:t>
      </w:r>
    </w:p>
    <w:p w:rsidR="0042725A" w:rsidRDefault="005860D5" w:rsidP="00C006A7">
      <w:pPr>
        <w:spacing w:line="360" w:lineRule="auto"/>
        <w:ind w:firstLine="200"/>
        <w:rPr>
          <w:sz w:val="24"/>
        </w:rPr>
      </w:pPr>
      <w:r w:rsidRPr="00927E76">
        <w:rPr>
          <w:rFonts w:hint="eastAsia"/>
          <w:sz w:val="24"/>
        </w:rPr>
        <w:t>（</w:t>
      </w:r>
      <w:r w:rsidRPr="00927E76">
        <w:rPr>
          <w:rFonts w:hint="eastAsia"/>
          <w:sz w:val="24"/>
        </w:rPr>
        <w:t>10</w:t>
      </w:r>
      <w:r w:rsidRPr="00927E76">
        <w:rPr>
          <w:rFonts w:hint="eastAsia"/>
          <w:sz w:val="24"/>
        </w:rPr>
        <w:t>）地表沉陷对大理河湿地的影响分析</w:t>
      </w:r>
    </w:p>
    <w:p w:rsidR="00C223F5" w:rsidRPr="00927E76" w:rsidRDefault="005860D5" w:rsidP="0042725A">
      <w:pPr>
        <w:spacing w:line="360" w:lineRule="auto"/>
        <w:ind w:firstLineChars="200" w:firstLine="480"/>
        <w:rPr>
          <w:sz w:val="24"/>
        </w:rPr>
      </w:pPr>
      <w:r w:rsidRPr="00927E76">
        <w:rPr>
          <w:rFonts w:hint="eastAsia"/>
          <w:sz w:val="24"/>
        </w:rPr>
        <w:t>榆林大理河重要湿地位于项目井田东部，重要湿地与天云煤矿重叠的面积约</w:t>
      </w:r>
      <w:r w:rsidRPr="00927E76">
        <w:rPr>
          <w:rFonts w:hint="eastAsia"/>
          <w:sz w:val="24"/>
        </w:rPr>
        <w:t>2.84km</w:t>
      </w:r>
      <w:r w:rsidRPr="00927E76">
        <w:rPr>
          <w:rFonts w:hint="eastAsia"/>
          <w:sz w:val="24"/>
          <w:vertAlign w:val="superscript"/>
        </w:rPr>
        <w:t>2</w:t>
      </w:r>
      <w:r w:rsidRPr="00927E76">
        <w:rPr>
          <w:rFonts w:hint="eastAsia"/>
          <w:sz w:val="24"/>
        </w:rPr>
        <w:t>，湿地边界与采区边界最近距离约</w:t>
      </w:r>
      <w:r w:rsidRPr="00927E76">
        <w:rPr>
          <w:rFonts w:hint="eastAsia"/>
          <w:sz w:val="24"/>
        </w:rPr>
        <w:t>90m</w:t>
      </w:r>
      <w:r w:rsidRPr="00927E76">
        <w:rPr>
          <w:rFonts w:hint="eastAsia"/>
          <w:sz w:val="24"/>
        </w:rPr>
        <w:t>。</w:t>
      </w:r>
      <w:r w:rsidRPr="00927E76">
        <w:rPr>
          <w:sz w:val="24"/>
        </w:rPr>
        <w:t>井田采煤地表沉陷预测结果表明，地表沉陷影响范围在</w:t>
      </w:r>
      <w:r w:rsidRPr="00927E76">
        <w:rPr>
          <w:rFonts w:hint="eastAsia"/>
          <w:sz w:val="24"/>
        </w:rPr>
        <w:t>开采区</w:t>
      </w:r>
      <w:r w:rsidRPr="00927E76">
        <w:rPr>
          <w:sz w:val="24"/>
        </w:rPr>
        <w:t>边界外侧</w:t>
      </w:r>
      <w:r w:rsidRPr="00927E76">
        <w:rPr>
          <w:rFonts w:hint="eastAsia"/>
          <w:sz w:val="24"/>
        </w:rPr>
        <w:t>38.16~77.73</w:t>
      </w:r>
      <w:r w:rsidRPr="00927E76">
        <w:rPr>
          <w:sz w:val="24"/>
        </w:rPr>
        <w:t>m</w:t>
      </w:r>
      <w:r w:rsidRPr="00927E76">
        <w:rPr>
          <w:sz w:val="24"/>
        </w:rPr>
        <w:t>内</w:t>
      </w:r>
      <w:r w:rsidRPr="00927E76">
        <w:rPr>
          <w:rFonts w:hint="eastAsia"/>
          <w:sz w:val="24"/>
        </w:rPr>
        <w:t>，榆林大理河重要湿地位于采煤沉陷区外，与采煤沉陷区</w:t>
      </w:r>
      <w:r w:rsidRPr="00927E76">
        <w:rPr>
          <w:sz w:val="24"/>
        </w:rPr>
        <w:t>不重合</w:t>
      </w:r>
      <w:r w:rsidRPr="00927E76">
        <w:rPr>
          <w:rFonts w:hint="eastAsia"/>
          <w:sz w:val="24"/>
        </w:rPr>
        <w:t>，采煤最大沉陷亦不会改变大理河流域地表水汇流方向；同时根据地下水章节预测结果分析（</w:t>
      </w:r>
      <w:r w:rsidRPr="00927E76">
        <w:rPr>
          <w:rFonts w:hint="eastAsia"/>
          <w:sz w:val="24"/>
        </w:rPr>
        <w:t>4.2.2.7</w:t>
      </w:r>
      <w:r w:rsidRPr="00927E76">
        <w:rPr>
          <w:rFonts w:hint="eastAsia"/>
          <w:sz w:val="24"/>
        </w:rPr>
        <w:t>章节），</w:t>
      </w:r>
      <w:r w:rsidRPr="00927E76">
        <w:rPr>
          <w:sz w:val="24"/>
        </w:rPr>
        <w:t>采煤地表</w:t>
      </w:r>
      <w:r w:rsidRPr="00927E76">
        <w:rPr>
          <w:rFonts w:hint="eastAsia"/>
          <w:sz w:val="24"/>
        </w:rPr>
        <w:t>沉陷</w:t>
      </w:r>
      <w:r w:rsidRPr="00927E76">
        <w:rPr>
          <w:sz w:val="24"/>
        </w:rPr>
        <w:t>对</w:t>
      </w:r>
      <w:r w:rsidRPr="00927E76">
        <w:rPr>
          <w:rFonts w:hint="eastAsia"/>
          <w:sz w:val="24"/>
        </w:rPr>
        <w:t>榆林大理河重要湿地</w:t>
      </w:r>
      <w:r w:rsidRPr="00927E76">
        <w:rPr>
          <w:sz w:val="24"/>
        </w:rPr>
        <w:t>影响</w:t>
      </w:r>
      <w:r w:rsidRPr="00927E76">
        <w:rPr>
          <w:rFonts w:hint="eastAsia"/>
          <w:sz w:val="24"/>
        </w:rPr>
        <w:t>较小</w:t>
      </w:r>
      <w:r w:rsidRPr="00927E76">
        <w:rPr>
          <w:sz w:val="24"/>
        </w:rPr>
        <w:t>。</w:t>
      </w:r>
    </w:p>
    <w:p w:rsidR="00C223F5" w:rsidRDefault="005860D5" w:rsidP="00C006A7">
      <w:pPr>
        <w:spacing w:line="360" w:lineRule="auto"/>
        <w:ind w:firstLineChars="200" w:firstLine="480"/>
        <w:rPr>
          <w:bCs/>
          <w:sz w:val="24"/>
        </w:rPr>
      </w:pPr>
      <w:r w:rsidRPr="00927E76">
        <w:rPr>
          <w:rFonts w:hint="eastAsia"/>
          <w:sz w:val="24"/>
        </w:rPr>
        <w:t>（</w:t>
      </w:r>
      <w:r w:rsidRPr="00927E76">
        <w:rPr>
          <w:rFonts w:hint="eastAsia"/>
          <w:sz w:val="24"/>
        </w:rPr>
        <w:t>11</w:t>
      </w:r>
      <w:r w:rsidRPr="00927E76">
        <w:rPr>
          <w:rFonts w:hint="eastAsia"/>
          <w:sz w:val="24"/>
        </w:rPr>
        <w:t>）</w:t>
      </w:r>
      <w:r w:rsidRPr="00927E76">
        <w:rPr>
          <w:bCs/>
          <w:sz w:val="24"/>
        </w:rPr>
        <w:t>地表沉陷对水土流失</w:t>
      </w:r>
      <w:r>
        <w:rPr>
          <w:bCs/>
          <w:sz w:val="24"/>
        </w:rPr>
        <w:t>的影响</w:t>
      </w:r>
    </w:p>
    <w:p w:rsidR="00C223F5" w:rsidRDefault="005860D5" w:rsidP="00C006A7">
      <w:pPr>
        <w:spacing w:line="360" w:lineRule="auto"/>
        <w:ind w:firstLineChars="200" w:firstLine="480"/>
        <w:rPr>
          <w:sz w:val="24"/>
        </w:rPr>
      </w:pPr>
      <w:r>
        <w:rPr>
          <w:sz w:val="24"/>
        </w:rPr>
        <w:t>本区域水土流失</w:t>
      </w:r>
      <w:r>
        <w:rPr>
          <w:rFonts w:hint="eastAsia"/>
          <w:sz w:val="24"/>
        </w:rPr>
        <w:t>较</w:t>
      </w:r>
      <w:r>
        <w:rPr>
          <w:sz w:val="24"/>
        </w:rPr>
        <w:t>严重，加之井田的地下开采和随之产生的地表沉陷，使地表黄土沙层变松、产生裂缝，甚至在个别区域产生滑坡、陡坡坍塌，增加了水土流失程度，特别是在汛期受降雨的影响，水土流失的程度会大大增加，因此，应采取相应的措施加以防治。</w:t>
      </w:r>
    </w:p>
    <w:p w:rsidR="00C223F5" w:rsidRDefault="005860D5" w:rsidP="004835BD">
      <w:pPr>
        <w:pStyle w:val="4"/>
        <w:spacing w:before="0" w:after="0" w:line="360" w:lineRule="auto"/>
        <w:ind w:firstLineChars="100" w:firstLine="240"/>
        <w:rPr>
          <w:szCs w:val="24"/>
        </w:rPr>
      </w:pPr>
      <w:r>
        <w:rPr>
          <w:rFonts w:hint="eastAsia"/>
          <w:szCs w:val="24"/>
        </w:rPr>
        <w:t>4.2.1.2</w:t>
      </w:r>
      <w:r>
        <w:rPr>
          <w:rFonts w:hint="eastAsia"/>
          <w:szCs w:val="24"/>
        </w:rPr>
        <w:t>生态影响评价</w:t>
      </w:r>
    </w:p>
    <w:p w:rsidR="00C223F5" w:rsidRDefault="005860D5" w:rsidP="00C006A7">
      <w:pPr>
        <w:tabs>
          <w:tab w:val="left" w:pos="2552"/>
          <w:tab w:val="left" w:pos="5387"/>
        </w:tabs>
        <w:spacing w:line="360" w:lineRule="auto"/>
        <w:ind w:firstLineChars="200" w:firstLine="480"/>
        <w:rPr>
          <w:sz w:val="24"/>
        </w:rPr>
      </w:pPr>
      <w:r>
        <w:rPr>
          <w:sz w:val="24"/>
        </w:rPr>
        <w:t>煤矿在开发过程中，不可避免地会影响当地的生态环境，造成植被破坏、地表沉陷、水土流失、地下水位下降、生物资源破坏等诸多生态问题，相应煤炭资源的开发也会带动当地社会经济的发展，促进产业结构的优化等。</w:t>
      </w:r>
    </w:p>
    <w:p w:rsidR="00C223F5" w:rsidRDefault="005860D5" w:rsidP="00C006A7">
      <w:pPr>
        <w:spacing w:line="360" w:lineRule="auto"/>
        <w:ind w:firstLineChars="200" w:firstLine="482"/>
        <w:rPr>
          <w:b/>
          <w:sz w:val="24"/>
        </w:rPr>
      </w:pPr>
      <w:r>
        <w:rPr>
          <w:rFonts w:hint="eastAsia"/>
          <w:b/>
          <w:sz w:val="24"/>
        </w:rPr>
        <w:t>（一）</w:t>
      </w:r>
      <w:r>
        <w:rPr>
          <w:b/>
          <w:sz w:val="24"/>
        </w:rPr>
        <w:t>对自然景观的影响分析</w:t>
      </w:r>
    </w:p>
    <w:p w:rsidR="00C223F5" w:rsidRDefault="005860D5" w:rsidP="00C006A7">
      <w:pPr>
        <w:tabs>
          <w:tab w:val="left" w:pos="2552"/>
          <w:tab w:val="left" w:pos="5387"/>
        </w:tabs>
        <w:spacing w:line="360" w:lineRule="auto"/>
        <w:ind w:firstLineChars="200" w:firstLine="480"/>
        <w:rPr>
          <w:sz w:val="24"/>
        </w:rPr>
      </w:pPr>
      <w:r>
        <w:rPr>
          <w:sz w:val="24"/>
        </w:rPr>
        <w:t>本项目工业场地等基础设施的建设将会在很大程度上改变项目直接实施区域内原有的自然景观。矿井场地的开挖和压占，必然对原有地表形态、植被等产生直接的破坏；工程开挖，造成边坡的挖填、取土、弃土，形成裸露的边坡、取土坑等一些人为的劣质景观，造成与周围景观的不协调；挖损产生的废弃岩土直接</w:t>
      </w:r>
      <w:r>
        <w:rPr>
          <w:sz w:val="24"/>
        </w:rPr>
        <w:lastRenderedPageBreak/>
        <w:t>堆置于原地貌上，将对施工区域内的自然景观造成一定破坏；对土地的永久占用，使原有的自然景观类型变为工业广场和附属设施。但随着工程施工的结束，填方完成后，废弃岩土将会得到妥善处置，工业场地及道路两侧进行绿化，实施防治水土流失的措施，将促进该地区景观生态系统向良性方向发展。</w:t>
      </w:r>
      <w:bookmarkStart w:id="378" w:name="_Toc216254981"/>
    </w:p>
    <w:bookmarkEnd w:id="378"/>
    <w:p w:rsidR="00C223F5" w:rsidRDefault="005860D5" w:rsidP="00C006A7">
      <w:pPr>
        <w:spacing w:line="360" w:lineRule="auto"/>
        <w:ind w:firstLineChars="200" w:firstLine="482"/>
        <w:rPr>
          <w:b/>
          <w:sz w:val="24"/>
        </w:rPr>
      </w:pPr>
      <w:r>
        <w:rPr>
          <w:b/>
          <w:sz w:val="24"/>
        </w:rPr>
        <w:t>（</w:t>
      </w:r>
      <w:r>
        <w:rPr>
          <w:rFonts w:hint="eastAsia"/>
          <w:b/>
          <w:sz w:val="24"/>
        </w:rPr>
        <w:t>二</w:t>
      </w:r>
      <w:r>
        <w:rPr>
          <w:b/>
          <w:sz w:val="24"/>
        </w:rPr>
        <w:t>）对植被的影响分析</w:t>
      </w:r>
    </w:p>
    <w:p w:rsidR="00C223F5" w:rsidRDefault="005860D5" w:rsidP="00C006A7">
      <w:pPr>
        <w:pStyle w:val="BG"/>
        <w:ind w:firstLine="480"/>
      </w:pPr>
      <w:r>
        <w:t>施工活动过程中要进行清除植被、开挖地表和地面建设，造成直接施工区域内地表植被的完全破坏，施工区域一定范围的植被也会遭到不同程度的破坏。施工运输、施工机械、人员践踏、临时占地等也将会使施工区及周围植被受到不同程度的影响。</w:t>
      </w:r>
    </w:p>
    <w:p w:rsidR="00C223F5" w:rsidRDefault="005860D5" w:rsidP="00C006A7">
      <w:pPr>
        <w:pStyle w:val="BG"/>
        <w:ind w:firstLine="480"/>
      </w:pPr>
      <w:r>
        <w:t>煤层开采后，在沉陷区边缘，由于地表裂缝、沉陷阶地的影响，使地表土质疏松，涵养水能力降低，局部地段植被受损，影响植被生长，在乔木生长的地方会造成树木倒伏、倾斜的现象；在边坡地段，由于植物自然定居、生长困难，被破坏的多年生植物需要较长的时间才能够自然恢复，一些一年生的植物来年雨季即可恢复；评价区内有多种野生植物，这些植物均为广布种和常见种，项目建设会使原有植被遭到局部损失，但不会使评价区植物群落的种类组成发生变化，也不会造成某一植物种的消失。</w:t>
      </w:r>
    </w:p>
    <w:p w:rsidR="00C223F5" w:rsidRDefault="005860D5" w:rsidP="00C006A7">
      <w:pPr>
        <w:spacing w:line="360" w:lineRule="auto"/>
        <w:ind w:firstLineChars="200" w:firstLine="480"/>
        <w:rPr>
          <w:sz w:val="24"/>
        </w:rPr>
      </w:pPr>
      <w:r>
        <w:rPr>
          <w:sz w:val="24"/>
        </w:rPr>
        <w:t>矿井生产运营产生的煤尘、粉尘、废气以及运输车辆行驶时激起的尘土等，将使周边特别是沿运输线两边的农田和林草地受到一定影响，运行期煤炭转运、储运、生产过程中的煤尘采用喷雾洒水、集尘除尘措施治理后排放，预测对大气环境质量影响小。</w:t>
      </w:r>
    </w:p>
    <w:p w:rsidR="00C223F5" w:rsidRDefault="005860D5" w:rsidP="00C006A7">
      <w:pPr>
        <w:spacing w:line="360" w:lineRule="auto"/>
        <w:ind w:firstLineChars="200" w:firstLine="482"/>
        <w:rPr>
          <w:sz w:val="24"/>
        </w:rPr>
      </w:pPr>
      <w:bookmarkStart w:id="379" w:name="_Toc216254982"/>
      <w:r>
        <w:rPr>
          <w:b/>
          <w:sz w:val="24"/>
        </w:rPr>
        <w:t>（</w:t>
      </w:r>
      <w:r>
        <w:rPr>
          <w:rFonts w:hint="eastAsia"/>
          <w:b/>
          <w:sz w:val="24"/>
        </w:rPr>
        <w:t>三</w:t>
      </w:r>
      <w:r>
        <w:rPr>
          <w:b/>
          <w:sz w:val="24"/>
        </w:rPr>
        <w:t>）对野生动物的影响分析</w:t>
      </w:r>
    </w:p>
    <w:p w:rsidR="00C223F5" w:rsidRDefault="005860D5" w:rsidP="00C006A7">
      <w:pPr>
        <w:spacing w:line="360" w:lineRule="auto"/>
        <w:ind w:firstLineChars="200" w:firstLine="480"/>
        <w:rPr>
          <w:sz w:val="24"/>
        </w:rPr>
      </w:pPr>
      <w:r>
        <w:rPr>
          <w:sz w:val="24"/>
        </w:rPr>
        <w:t>由于项目施工范围小，局限于工业场地征地范围及周围区域，此处属于已有场地，野生动物很少；同时运行期人为活动也主要集中于地下，对动物活动区域人为干扰较少，因此，项目建设不会使评价区野生动物物种数量发生变化，其种群数量也不会受到大的影响。</w:t>
      </w:r>
    </w:p>
    <w:p w:rsidR="00C223F5" w:rsidRDefault="005860D5" w:rsidP="00C006A7">
      <w:pPr>
        <w:spacing w:line="360" w:lineRule="auto"/>
        <w:ind w:firstLineChars="200" w:firstLine="482"/>
        <w:rPr>
          <w:b/>
          <w:sz w:val="24"/>
        </w:rPr>
      </w:pPr>
      <w:r>
        <w:rPr>
          <w:b/>
          <w:sz w:val="24"/>
        </w:rPr>
        <w:t>（</w:t>
      </w:r>
      <w:r>
        <w:rPr>
          <w:rFonts w:hint="eastAsia"/>
          <w:b/>
          <w:sz w:val="24"/>
        </w:rPr>
        <w:t>四</w:t>
      </w:r>
      <w:r>
        <w:rPr>
          <w:b/>
          <w:sz w:val="24"/>
        </w:rPr>
        <w:t>）对土壤侵蚀及水土流失的影响分析</w:t>
      </w:r>
    </w:p>
    <w:p w:rsidR="00C223F5" w:rsidRDefault="005860D5" w:rsidP="00C006A7">
      <w:pPr>
        <w:spacing w:line="360" w:lineRule="auto"/>
        <w:ind w:firstLineChars="200" w:firstLine="480"/>
        <w:rPr>
          <w:sz w:val="24"/>
        </w:rPr>
      </w:pPr>
      <w:r>
        <w:rPr>
          <w:sz w:val="24"/>
        </w:rPr>
        <w:t>项目建设新增土壤侵蚀主要发生在基础设施建设期。建设期场地开挖、设施新建等活动造成施工区域内地表破坏，新增一定量的土壤侵蚀。此外临时性占地，也将不可避免地破坏自然植被和扰动原来相对稳定的地表，使土壤变得疏松，产生一定面积的裸露地面，造成新的水土流失。施工过程中产生的弃渣也将导致新</w:t>
      </w:r>
      <w:r>
        <w:rPr>
          <w:sz w:val="24"/>
        </w:rPr>
        <w:lastRenderedPageBreak/>
        <w:t>的水土流失；井下开采活动造成地表沉陷，岩层和土体扰动将使土壤结构、组成及理化性质等发生变化，进而影响土壤的侵蚀状况。</w:t>
      </w:r>
    </w:p>
    <w:p w:rsidR="00C223F5" w:rsidRDefault="005860D5" w:rsidP="00C006A7">
      <w:pPr>
        <w:spacing w:line="360" w:lineRule="auto"/>
        <w:ind w:firstLineChars="200" w:firstLine="482"/>
        <w:rPr>
          <w:b/>
          <w:sz w:val="24"/>
        </w:rPr>
      </w:pPr>
      <w:r>
        <w:rPr>
          <w:b/>
          <w:sz w:val="24"/>
        </w:rPr>
        <w:t>（</w:t>
      </w:r>
      <w:r>
        <w:rPr>
          <w:rFonts w:hint="eastAsia"/>
          <w:b/>
          <w:sz w:val="24"/>
        </w:rPr>
        <w:t>五</w:t>
      </w:r>
      <w:r>
        <w:rPr>
          <w:b/>
          <w:sz w:val="24"/>
        </w:rPr>
        <w:t>）对土壤理化性状的影响分析</w:t>
      </w:r>
    </w:p>
    <w:p w:rsidR="00C223F5" w:rsidRDefault="005860D5" w:rsidP="00C006A7">
      <w:pPr>
        <w:spacing w:line="360" w:lineRule="auto"/>
        <w:ind w:firstLineChars="200" w:firstLine="480"/>
        <w:rPr>
          <w:sz w:val="24"/>
        </w:rPr>
      </w:pPr>
      <w:r>
        <w:rPr>
          <w:sz w:val="24"/>
        </w:rPr>
        <w:t>本区地表林草、草地等具有水保功能的植被被侵占、破坏后，地表裸露，即使没被冲刷，表土的湿度变幅增加，土壤理化性质劣化。其中最明显的变化是有机质分解作用加强，使土壤内有机质含量降低，不利于重新栽培其它植被。另外，由于施工破坏和机械挖运，使土壤富集过程受阻，影响生物与土壤间的物质交换。</w:t>
      </w:r>
      <w:bookmarkStart w:id="380" w:name="_Toc216254983"/>
      <w:bookmarkEnd w:id="379"/>
    </w:p>
    <w:p w:rsidR="00C223F5" w:rsidRDefault="005860D5" w:rsidP="00C006A7">
      <w:pPr>
        <w:spacing w:line="360" w:lineRule="auto"/>
        <w:ind w:firstLineChars="200" w:firstLine="482"/>
        <w:rPr>
          <w:b/>
          <w:sz w:val="24"/>
        </w:rPr>
      </w:pPr>
      <w:r>
        <w:rPr>
          <w:b/>
          <w:sz w:val="24"/>
        </w:rPr>
        <w:t>（</w:t>
      </w:r>
      <w:r>
        <w:rPr>
          <w:rFonts w:hint="eastAsia"/>
          <w:b/>
          <w:sz w:val="24"/>
        </w:rPr>
        <w:t>六</w:t>
      </w:r>
      <w:r>
        <w:rPr>
          <w:b/>
          <w:sz w:val="24"/>
        </w:rPr>
        <w:t>）对土地利用的影响分析</w:t>
      </w:r>
    </w:p>
    <w:p w:rsidR="00C223F5" w:rsidRDefault="005860D5" w:rsidP="00C006A7">
      <w:pPr>
        <w:spacing w:line="360" w:lineRule="auto"/>
        <w:ind w:firstLineChars="200" w:firstLine="480"/>
        <w:rPr>
          <w:sz w:val="24"/>
        </w:rPr>
      </w:pPr>
      <w:r>
        <w:rPr>
          <w:sz w:val="24"/>
        </w:rPr>
        <w:t>本整合项目实施区内主要为</w:t>
      </w:r>
      <w:r>
        <w:rPr>
          <w:rFonts w:hint="eastAsia"/>
          <w:sz w:val="24"/>
        </w:rPr>
        <w:t>旱地、天然牧草地和乔木林地</w:t>
      </w:r>
      <w:r>
        <w:rPr>
          <w:sz w:val="24"/>
        </w:rPr>
        <w:t>，项目建设对当地土地利用的影响主要是井巷开挖、道路建设、工业场地和辅助系统等工程用地，这些设施对土地的占用基本是永久性的（</w:t>
      </w:r>
      <w:r>
        <w:rPr>
          <w:rFonts w:hint="eastAsia"/>
          <w:sz w:val="24"/>
        </w:rPr>
        <w:t>新增</w:t>
      </w:r>
      <w:r>
        <w:rPr>
          <w:sz w:val="24"/>
        </w:rPr>
        <w:t>永久性占地</w:t>
      </w:r>
      <w:r>
        <w:rPr>
          <w:rFonts w:hint="eastAsia"/>
          <w:sz w:val="24"/>
        </w:rPr>
        <w:t>3.</w:t>
      </w:r>
      <w:r w:rsidR="00543F1C">
        <w:rPr>
          <w:rFonts w:hint="eastAsia"/>
          <w:sz w:val="24"/>
        </w:rPr>
        <w:t>62</w:t>
      </w:r>
      <w:r>
        <w:rPr>
          <w:sz w:val="24"/>
        </w:rPr>
        <w:t>hm</w:t>
      </w:r>
      <w:r>
        <w:rPr>
          <w:sz w:val="24"/>
          <w:vertAlign w:val="superscript"/>
        </w:rPr>
        <w:t>2</w:t>
      </w:r>
      <w:r>
        <w:rPr>
          <w:sz w:val="24"/>
        </w:rPr>
        <w:t>），这些永久占地将会使原来的</w:t>
      </w:r>
      <w:r>
        <w:rPr>
          <w:rFonts w:hint="eastAsia"/>
          <w:sz w:val="24"/>
        </w:rPr>
        <w:t>旱地</w:t>
      </w:r>
      <w:r>
        <w:rPr>
          <w:sz w:val="24"/>
        </w:rPr>
        <w:t>、草地等变为工业用地、道路用地等类型，由于建设用地仅占井田总面积的</w:t>
      </w:r>
      <w:r>
        <w:rPr>
          <w:rFonts w:hint="eastAsia"/>
          <w:sz w:val="24"/>
        </w:rPr>
        <w:t>1.17</w:t>
      </w:r>
      <w:r>
        <w:rPr>
          <w:sz w:val="24"/>
        </w:rPr>
        <w:t>%</w:t>
      </w:r>
      <w:r>
        <w:rPr>
          <w:sz w:val="24"/>
        </w:rPr>
        <w:t>，因此永久性占地不会对该区的土地利用产生大的影响。同时，临时占地在施工结束后，一般</w:t>
      </w:r>
      <w:r>
        <w:rPr>
          <w:sz w:val="24"/>
        </w:rPr>
        <w:t>2~3</w:t>
      </w:r>
      <w:r>
        <w:rPr>
          <w:sz w:val="24"/>
        </w:rPr>
        <w:t>年（对于草灌地）内基本可恢复原有的土地利用功能。</w:t>
      </w:r>
    </w:p>
    <w:p w:rsidR="00C223F5" w:rsidRDefault="005860D5" w:rsidP="00C006A7">
      <w:pPr>
        <w:spacing w:line="360" w:lineRule="auto"/>
        <w:ind w:firstLineChars="200" w:firstLine="480"/>
        <w:rPr>
          <w:sz w:val="24"/>
        </w:rPr>
      </w:pPr>
      <w:r>
        <w:rPr>
          <w:sz w:val="24"/>
        </w:rPr>
        <w:t>采区地表沉陷边缘裂缝和沉陷阶地，在其形成后的</w:t>
      </w:r>
      <w:r>
        <w:rPr>
          <w:sz w:val="24"/>
        </w:rPr>
        <w:t>1</w:t>
      </w:r>
      <w:r>
        <w:rPr>
          <w:sz w:val="24"/>
        </w:rPr>
        <w:t>～</w:t>
      </w:r>
      <w:r>
        <w:rPr>
          <w:sz w:val="24"/>
        </w:rPr>
        <w:t>2</w:t>
      </w:r>
      <w:r>
        <w:rPr>
          <w:sz w:val="24"/>
        </w:rPr>
        <w:t>个耕作季节内可使农作物和林木的生长受到影响，在采取土地复垦措施后，在下一个耕作季节可基本恢复土地使用功能，来年可达到原有状态。</w:t>
      </w:r>
    </w:p>
    <w:p w:rsidR="00C223F5" w:rsidRDefault="005860D5" w:rsidP="00C006A7">
      <w:pPr>
        <w:spacing w:line="360" w:lineRule="auto"/>
        <w:ind w:firstLineChars="200" w:firstLine="482"/>
        <w:rPr>
          <w:b/>
          <w:sz w:val="24"/>
        </w:rPr>
      </w:pPr>
      <w:r>
        <w:rPr>
          <w:b/>
          <w:sz w:val="24"/>
        </w:rPr>
        <w:t>（</w:t>
      </w:r>
      <w:r>
        <w:rPr>
          <w:rFonts w:hint="eastAsia"/>
          <w:b/>
          <w:sz w:val="24"/>
        </w:rPr>
        <w:t>七</w:t>
      </w:r>
      <w:r>
        <w:rPr>
          <w:b/>
          <w:sz w:val="24"/>
        </w:rPr>
        <w:t>）社会经济和生态环境相关影响综合评价</w:t>
      </w:r>
    </w:p>
    <w:p w:rsidR="00C223F5" w:rsidRDefault="005860D5" w:rsidP="00C006A7">
      <w:pPr>
        <w:spacing w:line="360" w:lineRule="auto"/>
        <w:ind w:firstLineChars="200" w:firstLine="480"/>
        <w:rPr>
          <w:sz w:val="24"/>
        </w:rPr>
      </w:pPr>
      <w:r>
        <w:rPr>
          <w:sz w:val="24"/>
        </w:rPr>
        <w:t>评价区内是一个主要以自然土地资源和煤炭资源为经济动力的资源依赖型生态经济系统，煤炭资源正处于开发阶段，农业生态系统是该区域生态经济系统的主体。</w:t>
      </w:r>
    </w:p>
    <w:p w:rsidR="00C223F5" w:rsidRDefault="005860D5" w:rsidP="00C006A7">
      <w:pPr>
        <w:spacing w:line="360" w:lineRule="auto"/>
        <w:ind w:firstLineChars="200" w:firstLine="480"/>
        <w:rPr>
          <w:sz w:val="24"/>
        </w:rPr>
      </w:pPr>
      <w:r>
        <w:rPr>
          <w:sz w:val="24"/>
        </w:rPr>
        <w:t>（</w:t>
      </w:r>
      <w:r>
        <w:rPr>
          <w:sz w:val="24"/>
        </w:rPr>
        <w:t>1</w:t>
      </w:r>
      <w:r>
        <w:rPr>
          <w:sz w:val="24"/>
        </w:rPr>
        <w:t>）农业生产结构的演变趋势</w:t>
      </w:r>
    </w:p>
    <w:p w:rsidR="00C223F5" w:rsidRDefault="005860D5" w:rsidP="00C006A7">
      <w:pPr>
        <w:spacing w:line="360" w:lineRule="auto"/>
        <w:ind w:firstLineChars="200" w:firstLine="480"/>
        <w:rPr>
          <w:sz w:val="24"/>
        </w:rPr>
      </w:pPr>
      <w:r>
        <w:rPr>
          <w:sz w:val="24"/>
        </w:rPr>
        <w:t>首先，矿井开发建设及其相关产业的发展对劳动力的需求，为当地剩余劳动力创造了就业的机会。目前的农业生产者（农民）中的一部分会转变为工业生产者或半工半农型的生产者。根据该矿的建设规模，可提供部分农民劳动就业机会，生产者性质的转变，逐渐促使农业生态结构的转变。</w:t>
      </w:r>
    </w:p>
    <w:p w:rsidR="00C223F5" w:rsidRDefault="005860D5" w:rsidP="00C006A7">
      <w:pPr>
        <w:spacing w:line="360" w:lineRule="auto"/>
        <w:ind w:firstLineChars="200" w:firstLine="480"/>
        <w:rPr>
          <w:sz w:val="24"/>
        </w:rPr>
      </w:pPr>
      <w:r>
        <w:rPr>
          <w:sz w:val="24"/>
        </w:rPr>
        <w:t>（</w:t>
      </w:r>
      <w:r>
        <w:rPr>
          <w:sz w:val="24"/>
        </w:rPr>
        <w:t>2</w:t>
      </w:r>
      <w:r>
        <w:rPr>
          <w:sz w:val="24"/>
        </w:rPr>
        <w:t>）产业结构的变化和发展</w:t>
      </w:r>
    </w:p>
    <w:p w:rsidR="00C223F5" w:rsidRDefault="005860D5" w:rsidP="00C006A7">
      <w:pPr>
        <w:spacing w:line="360" w:lineRule="auto"/>
        <w:ind w:firstLineChars="200" w:firstLine="480"/>
        <w:rPr>
          <w:sz w:val="24"/>
        </w:rPr>
      </w:pPr>
      <w:r>
        <w:rPr>
          <w:sz w:val="24"/>
        </w:rPr>
        <w:t>煤矿的开发也会促进和带动当地乡镇企业的发展。先是与矿井建设有关的一些行业，如机修、建材、农副产品加工等的建立与发展；然后随着区域经济水平</w:t>
      </w:r>
      <w:r>
        <w:rPr>
          <w:sz w:val="24"/>
        </w:rPr>
        <w:lastRenderedPageBreak/>
        <w:t>的提高，必然会带动其它领域的乡镇企业或矿井本身劳动服务业的发展。</w:t>
      </w:r>
    </w:p>
    <w:p w:rsidR="00C223F5" w:rsidRPr="00927E76" w:rsidRDefault="005860D5" w:rsidP="00C006A7">
      <w:pPr>
        <w:spacing w:line="360" w:lineRule="auto"/>
        <w:ind w:firstLineChars="200" w:firstLine="480"/>
        <w:rPr>
          <w:sz w:val="24"/>
        </w:rPr>
      </w:pPr>
      <w:r>
        <w:rPr>
          <w:sz w:val="24"/>
        </w:rPr>
        <w:t>这样，矿井</w:t>
      </w:r>
      <w:r w:rsidRPr="00927E76">
        <w:rPr>
          <w:sz w:val="24"/>
        </w:rPr>
        <w:t>周围的整个生态环境、生产体系、社会组织结构也能够承受矿井建设所带来的生态压力，并逐步达到人与环境协调相处的境界。在此基础上，本区的生产能力、生活水平、医疗保健、社会福利、教育水平、环境质量等综合社会发展水平也会得到较大的提高。</w:t>
      </w:r>
    </w:p>
    <w:p w:rsidR="00C223F5" w:rsidRPr="00927E76" w:rsidRDefault="005860D5" w:rsidP="004835BD">
      <w:pPr>
        <w:pStyle w:val="3"/>
        <w:numPr>
          <w:ilvl w:val="0"/>
          <w:numId w:val="0"/>
        </w:numPr>
        <w:spacing w:before="0" w:after="0" w:line="360" w:lineRule="auto"/>
        <w:ind w:left="170"/>
        <w:rPr>
          <w:rFonts w:eastAsia="宋体"/>
          <w:b/>
          <w:bCs w:val="0"/>
          <w:sz w:val="28"/>
          <w:szCs w:val="28"/>
        </w:rPr>
      </w:pPr>
      <w:bookmarkStart w:id="381" w:name="_Toc533604751"/>
      <w:bookmarkStart w:id="382" w:name="_Toc533604331"/>
      <w:bookmarkStart w:id="383" w:name="_Toc16785296"/>
      <w:bookmarkEnd w:id="380"/>
      <w:r w:rsidRPr="00927E76">
        <w:rPr>
          <w:rFonts w:eastAsia="宋体" w:hint="eastAsia"/>
          <w:b/>
          <w:bCs w:val="0"/>
          <w:sz w:val="28"/>
          <w:szCs w:val="28"/>
        </w:rPr>
        <w:t>4.2.2</w:t>
      </w:r>
      <w:r w:rsidRPr="00927E76">
        <w:rPr>
          <w:rFonts w:eastAsia="宋体" w:hint="eastAsia"/>
          <w:b/>
          <w:bCs w:val="0"/>
          <w:sz w:val="28"/>
          <w:szCs w:val="28"/>
        </w:rPr>
        <w:t>地下水环境影响评价</w:t>
      </w:r>
      <w:bookmarkEnd w:id="381"/>
      <w:bookmarkEnd w:id="382"/>
      <w:bookmarkEnd w:id="383"/>
    </w:p>
    <w:p w:rsidR="00C223F5" w:rsidRPr="00927E76" w:rsidRDefault="005860D5" w:rsidP="004835BD">
      <w:pPr>
        <w:pStyle w:val="4"/>
        <w:spacing w:before="0" w:after="0" w:line="360" w:lineRule="auto"/>
        <w:ind w:firstLineChars="100" w:firstLine="240"/>
        <w:rPr>
          <w:szCs w:val="24"/>
        </w:rPr>
      </w:pPr>
      <w:bookmarkStart w:id="384" w:name="_Toc318229555"/>
      <w:bookmarkStart w:id="385" w:name="_Toc24401"/>
      <w:r w:rsidRPr="00927E76">
        <w:rPr>
          <w:rFonts w:hint="eastAsia"/>
          <w:szCs w:val="24"/>
        </w:rPr>
        <w:t>4.2.2.1</w:t>
      </w:r>
      <w:r w:rsidRPr="00927E76">
        <w:rPr>
          <w:szCs w:val="24"/>
        </w:rPr>
        <w:t>评价工作等级</w:t>
      </w:r>
      <w:bookmarkEnd w:id="384"/>
      <w:bookmarkEnd w:id="385"/>
    </w:p>
    <w:p w:rsidR="00C223F5" w:rsidRPr="00927E76" w:rsidRDefault="005860D5">
      <w:pPr>
        <w:spacing w:line="360" w:lineRule="auto"/>
        <w:ind w:firstLineChars="200" w:firstLine="480"/>
        <w:rPr>
          <w:sz w:val="24"/>
        </w:rPr>
      </w:pPr>
      <w:r w:rsidRPr="00927E76">
        <w:rPr>
          <w:rFonts w:hint="eastAsia"/>
          <w:sz w:val="24"/>
        </w:rPr>
        <w:t>本项目场地区仅包括工业场地，</w:t>
      </w:r>
      <w:r w:rsidRPr="00927E76">
        <w:rPr>
          <w:sz w:val="24"/>
        </w:rPr>
        <w:t>根据《环境影响评价技术导则地下水环境》（</w:t>
      </w:r>
      <w:r w:rsidRPr="00927E76">
        <w:rPr>
          <w:sz w:val="24"/>
        </w:rPr>
        <w:t>HJ610-201</w:t>
      </w:r>
      <w:r w:rsidRPr="00927E76">
        <w:rPr>
          <w:rFonts w:hint="eastAsia"/>
          <w:sz w:val="24"/>
        </w:rPr>
        <w:t>6</w:t>
      </w:r>
      <w:r w:rsidRPr="00927E76">
        <w:rPr>
          <w:sz w:val="24"/>
        </w:rPr>
        <w:t>）</w:t>
      </w:r>
      <w:r w:rsidRPr="00927E76">
        <w:rPr>
          <w:rFonts w:hint="eastAsia"/>
          <w:sz w:val="24"/>
        </w:rPr>
        <w:t>中关于建设项目行业分类情况</w:t>
      </w:r>
      <w:r w:rsidRPr="00927E76">
        <w:rPr>
          <w:sz w:val="24"/>
        </w:rPr>
        <w:t>，</w:t>
      </w:r>
      <w:r w:rsidRPr="00927E76">
        <w:rPr>
          <w:rFonts w:hint="eastAsia"/>
          <w:sz w:val="24"/>
        </w:rPr>
        <w:t>工业场地为Ⅲ类项目。</w:t>
      </w:r>
    </w:p>
    <w:p w:rsidR="00C223F5" w:rsidRPr="00927E76" w:rsidRDefault="005860D5">
      <w:pPr>
        <w:pStyle w:val="36"/>
        <w:ind w:firstLineChars="200" w:firstLine="480"/>
      </w:pPr>
      <w:r w:rsidRPr="00927E76">
        <w:rPr>
          <w:rFonts w:hint="eastAsia"/>
        </w:rPr>
        <w:t>评价区蚂蚁河沿岸有</w:t>
      </w:r>
      <w:r w:rsidR="0019420B" w:rsidRPr="0019420B">
        <w:rPr>
          <w:rFonts w:hint="eastAsia"/>
          <w:color w:val="FF0000"/>
        </w:rPr>
        <w:t>灌溉用</w:t>
      </w:r>
      <w:r w:rsidR="0019420B">
        <w:rPr>
          <w:rFonts w:hint="eastAsia"/>
        </w:rPr>
        <w:t>分</w:t>
      </w:r>
      <w:r w:rsidRPr="00927E76">
        <w:rPr>
          <w:rFonts w:hint="eastAsia"/>
        </w:rPr>
        <w:t>散取水水井，因此地下水环境敏感程度均为“较敏感”，</w:t>
      </w:r>
      <w:r w:rsidRPr="00927E76">
        <w:t>判定</w:t>
      </w:r>
      <w:r w:rsidRPr="00927E76">
        <w:rPr>
          <w:rFonts w:hint="eastAsia"/>
        </w:rPr>
        <w:t>工业场地区</w:t>
      </w:r>
      <w:r w:rsidRPr="00927E76">
        <w:t>地下水环境影响评价工作等级为</w:t>
      </w:r>
      <w:r w:rsidRPr="00927E76">
        <w:t>”</w:t>
      </w:r>
      <w:r w:rsidRPr="00927E76">
        <w:rPr>
          <w:rFonts w:hint="eastAsia"/>
        </w:rPr>
        <w:t>三</w:t>
      </w:r>
      <w:r w:rsidRPr="00927E76">
        <w:t>级</w:t>
      </w:r>
      <w:r w:rsidRPr="00927E76">
        <w:t>”</w:t>
      </w:r>
      <w:r w:rsidRPr="00927E76">
        <w:t>，</w:t>
      </w:r>
      <w:r w:rsidRPr="00927E76">
        <w:rPr>
          <w:rFonts w:hint="eastAsia"/>
        </w:rPr>
        <w:t>划分情况见表</w:t>
      </w:r>
      <w:r w:rsidRPr="00927E76">
        <w:rPr>
          <w:rFonts w:hint="eastAsia"/>
        </w:rPr>
        <w:t>4.2.2-1</w:t>
      </w:r>
      <w:r w:rsidRPr="00927E76">
        <w:rPr>
          <w:rFonts w:hint="eastAsia"/>
        </w:rPr>
        <w:t>。</w:t>
      </w:r>
    </w:p>
    <w:p w:rsidR="00C223F5" w:rsidRPr="00927E76" w:rsidRDefault="005860D5">
      <w:pPr>
        <w:adjustRightInd w:val="0"/>
        <w:snapToGrid w:val="0"/>
        <w:jc w:val="center"/>
        <w:rPr>
          <w:rFonts w:hAnsi="宋体"/>
          <w:b/>
          <w:snapToGrid w:val="0"/>
          <w:sz w:val="24"/>
        </w:rPr>
      </w:pPr>
      <w:r w:rsidRPr="00927E76">
        <w:rPr>
          <w:b/>
          <w:sz w:val="24"/>
        </w:rPr>
        <w:t>表</w:t>
      </w:r>
      <w:r w:rsidRPr="00927E76">
        <w:rPr>
          <w:rFonts w:hint="eastAsia"/>
          <w:b/>
          <w:sz w:val="24"/>
        </w:rPr>
        <w:t xml:space="preserve">4.2.2-1   </w:t>
      </w:r>
      <w:r w:rsidRPr="00927E76">
        <w:rPr>
          <w:rFonts w:hAnsi="宋体"/>
          <w:b/>
          <w:bCs/>
          <w:snapToGrid w:val="0"/>
          <w:sz w:val="24"/>
        </w:rPr>
        <w:t>厂</w:t>
      </w:r>
      <w:r w:rsidRPr="00927E76">
        <w:rPr>
          <w:rFonts w:hAnsi="宋体"/>
          <w:b/>
          <w:snapToGrid w:val="0"/>
          <w:sz w:val="24"/>
        </w:rPr>
        <w:t>址区地下水环境影响评价工作等级划分</w:t>
      </w:r>
    </w:p>
    <w:tbl>
      <w:tblPr>
        <w:tblW w:w="8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7"/>
        <w:gridCol w:w="1334"/>
        <w:gridCol w:w="2831"/>
        <w:gridCol w:w="2026"/>
      </w:tblGrid>
      <w:tr w:rsidR="00C223F5" w:rsidRPr="00927E76">
        <w:trPr>
          <w:trHeight w:hRule="exact" w:val="425"/>
        </w:trPr>
        <w:tc>
          <w:tcPr>
            <w:tcW w:w="2717" w:type="dxa"/>
            <w:vAlign w:val="center"/>
          </w:tcPr>
          <w:p w:rsidR="00C223F5" w:rsidRPr="00927E76" w:rsidRDefault="005860D5">
            <w:pPr>
              <w:adjustRightInd w:val="0"/>
              <w:snapToGrid w:val="0"/>
              <w:jc w:val="center"/>
              <w:rPr>
                <w:snapToGrid w:val="0"/>
                <w:kern w:val="0"/>
                <w:szCs w:val="21"/>
              </w:rPr>
            </w:pPr>
            <w:r w:rsidRPr="00927E76">
              <w:rPr>
                <w:snapToGrid w:val="0"/>
                <w:kern w:val="0"/>
                <w:szCs w:val="21"/>
              </w:rPr>
              <w:t>项目场地</w:t>
            </w:r>
          </w:p>
        </w:tc>
        <w:tc>
          <w:tcPr>
            <w:tcW w:w="1334" w:type="dxa"/>
            <w:vAlign w:val="center"/>
          </w:tcPr>
          <w:p w:rsidR="00C223F5" w:rsidRPr="00927E76" w:rsidRDefault="005860D5">
            <w:pPr>
              <w:adjustRightInd w:val="0"/>
              <w:snapToGrid w:val="0"/>
              <w:jc w:val="center"/>
              <w:rPr>
                <w:snapToGrid w:val="0"/>
                <w:kern w:val="0"/>
                <w:szCs w:val="21"/>
              </w:rPr>
            </w:pPr>
            <w:r w:rsidRPr="00927E76">
              <w:rPr>
                <w:snapToGrid w:val="0"/>
                <w:kern w:val="0"/>
                <w:szCs w:val="21"/>
              </w:rPr>
              <w:t>项目类别</w:t>
            </w:r>
          </w:p>
        </w:tc>
        <w:tc>
          <w:tcPr>
            <w:tcW w:w="2831" w:type="dxa"/>
            <w:vAlign w:val="center"/>
          </w:tcPr>
          <w:p w:rsidR="00C223F5" w:rsidRPr="00927E76" w:rsidRDefault="005860D5">
            <w:pPr>
              <w:adjustRightInd w:val="0"/>
              <w:snapToGrid w:val="0"/>
              <w:jc w:val="center"/>
              <w:rPr>
                <w:snapToGrid w:val="0"/>
                <w:kern w:val="0"/>
                <w:szCs w:val="21"/>
              </w:rPr>
            </w:pPr>
            <w:r w:rsidRPr="00927E76">
              <w:rPr>
                <w:snapToGrid w:val="0"/>
                <w:kern w:val="0"/>
                <w:szCs w:val="21"/>
              </w:rPr>
              <w:t>环境敏感程度</w:t>
            </w:r>
          </w:p>
        </w:tc>
        <w:tc>
          <w:tcPr>
            <w:tcW w:w="2026" w:type="dxa"/>
            <w:vAlign w:val="center"/>
          </w:tcPr>
          <w:p w:rsidR="00C223F5" w:rsidRPr="00927E76" w:rsidRDefault="005860D5">
            <w:pPr>
              <w:adjustRightInd w:val="0"/>
              <w:snapToGrid w:val="0"/>
              <w:jc w:val="center"/>
              <w:rPr>
                <w:snapToGrid w:val="0"/>
                <w:kern w:val="0"/>
                <w:szCs w:val="21"/>
              </w:rPr>
            </w:pPr>
            <w:r w:rsidRPr="00927E76">
              <w:rPr>
                <w:snapToGrid w:val="0"/>
                <w:kern w:val="0"/>
                <w:szCs w:val="21"/>
              </w:rPr>
              <w:t>等级判定</w:t>
            </w:r>
          </w:p>
        </w:tc>
      </w:tr>
      <w:tr w:rsidR="00C223F5" w:rsidRPr="00927E76">
        <w:trPr>
          <w:trHeight w:hRule="exact" w:val="425"/>
        </w:trPr>
        <w:tc>
          <w:tcPr>
            <w:tcW w:w="2717" w:type="dxa"/>
            <w:vAlign w:val="center"/>
          </w:tcPr>
          <w:p w:rsidR="00C223F5" w:rsidRPr="00927E76" w:rsidRDefault="005860D5">
            <w:pPr>
              <w:adjustRightInd w:val="0"/>
              <w:snapToGrid w:val="0"/>
              <w:jc w:val="center"/>
              <w:rPr>
                <w:snapToGrid w:val="0"/>
                <w:kern w:val="0"/>
                <w:szCs w:val="21"/>
              </w:rPr>
            </w:pPr>
            <w:r w:rsidRPr="00927E76">
              <w:rPr>
                <w:snapToGrid w:val="0"/>
                <w:kern w:val="0"/>
                <w:szCs w:val="21"/>
              </w:rPr>
              <w:t>工业场地区</w:t>
            </w:r>
          </w:p>
        </w:tc>
        <w:tc>
          <w:tcPr>
            <w:tcW w:w="1334" w:type="dxa"/>
            <w:vAlign w:val="center"/>
          </w:tcPr>
          <w:p w:rsidR="00C223F5" w:rsidRPr="00927E76" w:rsidRDefault="005860D5">
            <w:pPr>
              <w:adjustRightInd w:val="0"/>
              <w:snapToGrid w:val="0"/>
              <w:jc w:val="center"/>
              <w:rPr>
                <w:snapToGrid w:val="0"/>
                <w:kern w:val="0"/>
                <w:szCs w:val="21"/>
              </w:rPr>
            </w:pPr>
            <w:r w:rsidRPr="00927E76">
              <w:rPr>
                <w:snapToGrid w:val="0"/>
                <w:kern w:val="0"/>
              </w:rPr>
              <w:t>Ⅲ</w:t>
            </w:r>
            <w:r w:rsidRPr="00927E76">
              <w:rPr>
                <w:snapToGrid w:val="0"/>
                <w:kern w:val="0"/>
              </w:rPr>
              <w:t>类</w:t>
            </w:r>
          </w:p>
        </w:tc>
        <w:tc>
          <w:tcPr>
            <w:tcW w:w="2831" w:type="dxa"/>
            <w:vAlign w:val="center"/>
          </w:tcPr>
          <w:p w:rsidR="00C223F5" w:rsidRPr="00927E76" w:rsidRDefault="005860D5">
            <w:pPr>
              <w:adjustRightInd w:val="0"/>
              <w:snapToGrid w:val="0"/>
              <w:jc w:val="center"/>
              <w:rPr>
                <w:snapToGrid w:val="0"/>
                <w:kern w:val="0"/>
                <w:szCs w:val="21"/>
              </w:rPr>
            </w:pPr>
            <w:r w:rsidRPr="00927E76">
              <w:rPr>
                <w:rFonts w:hint="eastAsia"/>
                <w:snapToGrid w:val="0"/>
                <w:kern w:val="0"/>
                <w:szCs w:val="21"/>
              </w:rPr>
              <w:t>较</w:t>
            </w:r>
            <w:r w:rsidRPr="00927E76">
              <w:rPr>
                <w:snapToGrid w:val="0"/>
                <w:kern w:val="0"/>
                <w:szCs w:val="21"/>
              </w:rPr>
              <w:t>敏感</w:t>
            </w:r>
          </w:p>
        </w:tc>
        <w:tc>
          <w:tcPr>
            <w:tcW w:w="2026" w:type="dxa"/>
            <w:vAlign w:val="center"/>
          </w:tcPr>
          <w:p w:rsidR="00C223F5" w:rsidRPr="00927E76" w:rsidRDefault="005860D5">
            <w:pPr>
              <w:adjustRightInd w:val="0"/>
              <w:snapToGrid w:val="0"/>
              <w:jc w:val="center"/>
              <w:rPr>
                <w:snapToGrid w:val="0"/>
                <w:kern w:val="0"/>
                <w:szCs w:val="21"/>
              </w:rPr>
            </w:pPr>
            <w:r w:rsidRPr="00927E76">
              <w:rPr>
                <w:snapToGrid w:val="0"/>
                <w:kern w:val="0"/>
                <w:szCs w:val="21"/>
              </w:rPr>
              <w:t>三级</w:t>
            </w:r>
          </w:p>
        </w:tc>
      </w:tr>
    </w:tbl>
    <w:p w:rsidR="00C223F5" w:rsidRPr="00927E76" w:rsidRDefault="005860D5">
      <w:pPr>
        <w:pStyle w:val="4"/>
        <w:spacing w:before="0" w:after="0" w:line="360" w:lineRule="auto"/>
        <w:ind w:firstLineChars="100" w:firstLine="240"/>
        <w:rPr>
          <w:szCs w:val="24"/>
        </w:rPr>
      </w:pPr>
      <w:r w:rsidRPr="00927E76">
        <w:rPr>
          <w:rFonts w:hint="eastAsia"/>
          <w:szCs w:val="24"/>
        </w:rPr>
        <w:t>4.2.2.2</w:t>
      </w:r>
      <w:r w:rsidRPr="00927E76">
        <w:rPr>
          <w:szCs w:val="24"/>
        </w:rPr>
        <w:t>评价范围</w:t>
      </w:r>
      <w:r w:rsidRPr="00927E76">
        <w:rPr>
          <w:rFonts w:hint="eastAsia"/>
          <w:szCs w:val="24"/>
        </w:rPr>
        <w:t>及保护目标</w:t>
      </w:r>
    </w:p>
    <w:p w:rsidR="00C223F5" w:rsidRPr="00927E76" w:rsidRDefault="005860D5" w:rsidP="00C006A7">
      <w:pPr>
        <w:spacing w:line="360" w:lineRule="auto"/>
        <w:ind w:firstLineChars="200" w:firstLine="480"/>
        <w:rPr>
          <w:sz w:val="24"/>
        </w:rPr>
      </w:pPr>
      <w:bookmarkStart w:id="386" w:name="_Toc1731"/>
      <w:bookmarkStart w:id="387" w:name="_Toc318229556"/>
      <w:r w:rsidRPr="00927E76">
        <w:rPr>
          <w:rFonts w:hint="eastAsia"/>
          <w:sz w:val="24"/>
        </w:rPr>
        <w:t>（一）地下水评价范围</w:t>
      </w:r>
    </w:p>
    <w:p w:rsidR="00C223F5" w:rsidRPr="00927E76" w:rsidRDefault="005860D5" w:rsidP="00C006A7">
      <w:pPr>
        <w:spacing w:line="360" w:lineRule="auto"/>
        <w:ind w:firstLineChars="200" w:firstLine="480"/>
        <w:rPr>
          <w:sz w:val="24"/>
        </w:rPr>
      </w:pPr>
      <w:r w:rsidRPr="00927E76">
        <w:rPr>
          <w:rFonts w:hint="eastAsia"/>
          <w:sz w:val="24"/>
        </w:rPr>
        <w:t>本次地下水</w:t>
      </w:r>
      <w:r w:rsidR="0019420B" w:rsidRPr="0019420B">
        <w:rPr>
          <w:rFonts w:hint="eastAsia"/>
          <w:color w:val="FF0000"/>
          <w:sz w:val="24"/>
        </w:rPr>
        <w:t>水质</w:t>
      </w:r>
      <w:r w:rsidRPr="0019420B">
        <w:rPr>
          <w:rFonts w:hint="eastAsia"/>
          <w:color w:val="FF0000"/>
          <w:sz w:val="24"/>
        </w:rPr>
        <w:t>评价范围是通过自定义法确定的，确定的依据是根据工业场地区区四周的水文边界确定的，</w:t>
      </w:r>
      <w:r w:rsidRPr="00927E76">
        <w:rPr>
          <w:rFonts w:hint="eastAsia"/>
          <w:sz w:val="24"/>
        </w:rPr>
        <w:t>评价范围南部以蚂蚁河为界，东部以蚂蚁河支沟为界，西部和北部以场地外的梁峁为界，确定后的评价范围面积为</w:t>
      </w:r>
      <w:r w:rsidRPr="00927E76">
        <w:rPr>
          <w:rFonts w:hint="eastAsia"/>
          <w:sz w:val="24"/>
        </w:rPr>
        <w:t>0.39km</w:t>
      </w:r>
      <w:r w:rsidRPr="00927E76">
        <w:rPr>
          <w:rFonts w:hint="eastAsia"/>
          <w:sz w:val="24"/>
          <w:vertAlign w:val="superscript"/>
        </w:rPr>
        <w:t>2</w:t>
      </w:r>
      <w:r w:rsidRPr="00927E76">
        <w:rPr>
          <w:rFonts w:hint="eastAsia"/>
          <w:sz w:val="24"/>
        </w:rPr>
        <w:t>。</w:t>
      </w:r>
    </w:p>
    <w:p w:rsidR="00C223F5" w:rsidRPr="00927E76" w:rsidRDefault="005860D5" w:rsidP="00C006A7">
      <w:pPr>
        <w:spacing w:line="360" w:lineRule="auto"/>
        <w:ind w:firstLineChars="200" w:firstLine="480"/>
        <w:rPr>
          <w:sz w:val="24"/>
        </w:rPr>
      </w:pPr>
      <w:r w:rsidRPr="00927E76">
        <w:rPr>
          <w:rFonts w:hint="eastAsia"/>
          <w:sz w:val="24"/>
        </w:rPr>
        <w:t>（二）地下水调查范围</w:t>
      </w:r>
    </w:p>
    <w:p w:rsidR="00C223F5" w:rsidRPr="0019420B" w:rsidRDefault="005860D5" w:rsidP="00C006A7">
      <w:pPr>
        <w:adjustRightInd w:val="0"/>
        <w:snapToGrid w:val="0"/>
        <w:spacing w:line="360" w:lineRule="auto"/>
        <w:ind w:firstLine="482"/>
        <w:rPr>
          <w:color w:val="FF0000"/>
          <w:sz w:val="24"/>
          <w:lang w:val="de-DE"/>
        </w:rPr>
      </w:pPr>
      <w:r w:rsidRPr="0019420B">
        <w:rPr>
          <w:rFonts w:hint="eastAsia"/>
          <w:color w:val="FF0000"/>
          <w:sz w:val="24"/>
          <w:lang w:val="de-DE"/>
        </w:rPr>
        <w:t>针对矿井采煤对地下水环境的影响特征</w:t>
      </w:r>
      <w:r w:rsidRPr="0019420B">
        <w:rPr>
          <w:rFonts w:hint="eastAsia"/>
          <w:color w:val="FF0000"/>
          <w:sz w:val="24"/>
        </w:rPr>
        <w:t>，</w:t>
      </w:r>
      <w:r w:rsidR="0019420B">
        <w:rPr>
          <w:rFonts w:hint="eastAsia"/>
          <w:color w:val="FF0000"/>
          <w:sz w:val="24"/>
        </w:rPr>
        <w:t>考虑到采煤对地下水水位影响，</w:t>
      </w:r>
      <w:r w:rsidRPr="0019420B">
        <w:rPr>
          <w:rFonts w:hint="eastAsia"/>
          <w:color w:val="FF0000"/>
          <w:sz w:val="24"/>
        </w:rPr>
        <w:t>确定井田边界外扩</w:t>
      </w:r>
      <w:r w:rsidRPr="0019420B">
        <w:rPr>
          <w:rFonts w:hint="eastAsia"/>
          <w:color w:val="FF0000"/>
          <w:sz w:val="24"/>
        </w:rPr>
        <w:t>500m</w:t>
      </w:r>
      <w:r w:rsidRPr="0019420B">
        <w:rPr>
          <w:rFonts w:hint="eastAsia"/>
          <w:color w:val="FF0000"/>
          <w:sz w:val="24"/>
        </w:rPr>
        <w:t>的区域作为地下水环境调查范围，面积约</w:t>
      </w:r>
      <w:r w:rsidRPr="0019420B">
        <w:rPr>
          <w:rFonts w:hint="eastAsia"/>
          <w:color w:val="FF0000"/>
          <w:sz w:val="24"/>
        </w:rPr>
        <w:t>87.</w:t>
      </w:r>
      <w:r w:rsidRPr="0019420B">
        <w:rPr>
          <w:color w:val="FF0000"/>
          <w:sz w:val="24"/>
        </w:rPr>
        <w:t>72km</w:t>
      </w:r>
      <w:r w:rsidRPr="0019420B">
        <w:rPr>
          <w:color w:val="FF0000"/>
          <w:sz w:val="24"/>
          <w:vertAlign w:val="superscript"/>
        </w:rPr>
        <w:t>2</w:t>
      </w:r>
      <w:r w:rsidRPr="0019420B">
        <w:rPr>
          <w:color w:val="FF0000"/>
          <w:kern w:val="0"/>
          <w:sz w:val="24"/>
        </w:rPr>
        <w:t>。</w:t>
      </w:r>
      <w:r w:rsidR="0019420B">
        <w:rPr>
          <w:rFonts w:hint="eastAsia"/>
          <w:color w:val="FF0000"/>
          <w:kern w:val="0"/>
          <w:sz w:val="24"/>
        </w:rPr>
        <w:t>地下水调查外扩距离在采煤沉陷影响距离和地下水水位影响半径范围内。</w:t>
      </w:r>
    </w:p>
    <w:p w:rsidR="00C223F5" w:rsidRPr="00927E76" w:rsidRDefault="005860D5" w:rsidP="00C006A7">
      <w:pPr>
        <w:spacing w:line="360" w:lineRule="auto"/>
        <w:ind w:firstLineChars="200" w:firstLine="480"/>
        <w:rPr>
          <w:sz w:val="24"/>
        </w:rPr>
      </w:pPr>
      <w:r w:rsidRPr="00927E76">
        <w:rPr>
          <w:rFonts w:hint="eastAsia"/>
          <w:sz w:val="24"/>
        </w:rPr>
        <w:t>（三）地下水保护目标</w:t>
      </w:r>
    </w:p>
    <w:p w:rsidR="00C223F5" w:rsidRPr="00014A3C" w:rsidRDefault="005860D5" w:rsidP="00C006A7">
      <w:pPr>
        <w:spacing w:line="360" w:lineRule="auto"/>
        <w:ind w:firstLineChars="200" w:firstLine="480"/>
        <w:rPr>
          <w:color w:val="FF0000"/>
          <w:sz w:val="24"/>
          <w:highlight w:val="yellow"/>
          <w:lang w:val="de-DE"/>
        </w:rPr>
      </w:pPr>
      <w:r w:rsidRPr="00014A3C">
        <w:rPr>
          <w:color w:val="FF0000"/>
          <w:sz w:val="24"/>
        </w:rPr>
        <w:t>地下水保护目标为</w:t>
      </w:r>
      <w:r w:rsidRPr="00014A3C">
        <w:rPr>
          <w:rFonts w:hint="eastAsia"/>
          <w:color w:val="FF0000"/>
          <w:sz w:val="24"/>
        </w:rPr>
        <w:t>地下水调查</w:t>
      </w:r>
      <w:r w:rsidRPr="00014A3C">
        <w:rPr>
          <w:color w:val="FF0000"/>
          <w:sz w:val="24"/>
        </w:rPr>
        <w:t>范围内</w:t>
      </w:r>
      <w:r w:rsidRPr="00014A3C">
        <w:rPr>
          <w:rFonts w:hint="eastAsia"/>
          <w:color w:val="FF0000"/>
          <w:sz w:val="24"/>
        </w:rPr>
        <w:t>潜水含水层（第四系、风化基岩裂隙）</w:t>
      </w:r>
      <w:r w:rsidRPr="00014A3C">
        <w:rPr>
          <w:color w:val="FF0000"/>
          <w:sz w:val="24"/>
          <w:lang w:val="de-DE"/>
        </w:rPr>
        <w:t>。</w:t>
      </w:r>
    </w:p>
    <w:p w:rsidR="00C223F5" w:rsidRPr="00927E76" w:rsidRDefault="005860D5" w:rsidP="004835BD">
      <w:pPr>
        <w:pStyle w:val="4"/>
        <w:spacing w:before="0" w:after="0" w:line="360" w:lineRule="auto"/>
        <w:ind w:firstLineChars="100" w:firstLine="240"/>
        <w:rPr>
          <w:szCs w:val="24"/>
        </w:rPr>
      </w:pPr>
      <w:r w:rsidRPr="00927E76">
        <w:rPr>
          <w:rFonts w:hint="eastAsia"/>
          <w:szCs w:val="24"/>
        </w:rPr>
        <w:t>4.2.2.3</w:t>
      </w:r>
      <w:r w:rsidRPr="00927E76">
        <w:rPr>
          <w:rFonts w:hint="eastAsia"/>
          <w:szCs w:val="24"/>
        </w:rPr>
        <w:t>场地区对地下水水质的影响预测</w:t>
      </w:r>
    </w:p>
    <w:p w:rsidR="00C223F5" w:rsidRPr="00927E76" w:rsidRDefault="005860D5" w:rsidP="00C006A7">
      <w:pPr>
        <w:spacing w:line="360" w:lineRule="auto"/>
        <w:ind w:firstLineChars="200" w:firstLine="482"/>
        <w:rPr>
          <w:b/>
          <w:sz w:val="24"/>
        </w:rPr>
      </w:pPr>
      <w:r w:rsidRPr="00927E76">
        <w:rPr>
          <w:rFonts w:hint="eastAsia"/>
          <w:b/>
          <w:sz w:val="24"/>
        </w:rPr>
        <w:t>（一）</w:t>
      </w:r>
      <w:r w:rsidRPr="00927E76">
        <w:rPr>
          <w:b/>
          <w:sz w:val="24"/>
        </w:rPr>
        <w:t>地下水影响因素及污染源识别</w:t>
      </w:r>
    </w:p>
    <w:p w:rsidR="00C223F5" w:rsidRPr="00927E76" w:rsidRDefault="005860D5" w:rsidP="00C006A7">
      <w:pPr>
        <w:pStyle w:val="36"/>
        <w:ind w:firstLineChars="200" w:firstLine="482"/>
        <w:rPr>
          <w:b/>
          <w:bCs/>
        </w:rPr>
      </w:pPr>
      <w:r w:rsidRPr="00927E76">
        <w:rPr>
          <w:b/>
          <w:bCs/>
        </w:rPr>
        <w:t>（</w:t>
      </w:r>
      <w:r w:rsidRPr="00927E76">
        <w:rPr>
          <w:rFonts w:hint="eastAsia"/>
          <w:b/>
          <w:bCs/>
        </w:rPr>
        <w:t>1</w:t>
      </w:r>
      <w:r w:rsidRPr="00927E76">
        <w:rPr>
          <w:b/>
          <w:bCs/>
        </w:rPr>
        <w:t>）地下水影响因素</w:t>
      </w:r>
    </w:p>
    <w:p w:rsidR="00C223F5" w:rsidRPr="00927E76" w:rsidRDefault="005860D5" w:rsidP="00C006A7">
      <w:pPr>
        <w:pStyle w:val="36"/>
        <w:rPr>
          <w:bCs/>
        </w:rPr>
      </w:pPr>
      <w:r w:rsidRPr="00927E76">
        <w:rPr>
          <w:bCs/>
          <w:lang w:val="de-DE"/>
        </w:rPr>
        <w:t>运行期</w:t>
      </w:r>
      <w:r w:rsidRPr="00927E76">
        <w:rPr>
          <w:bCs/>
        </w:rPr>
        <w:t>项目工业场地区</w:t>
      </w:r>
      <w:r w:rsidRPr="00927E76">
        <w:rPr>
          <w:bCs/>
          <w:lang w:val="de-DE"/>
        </w:rPr>
        <w:t>对地下水环境的影响因素主要为工业场地内的</w:t>
      </w:r>
      <w:r w:rsidRPr="00927E76">
        <w:rPr>
          <w:bCs/>
        </w:rPr>
        <w:t>生活污</w:t>
      </w:r>
      <w:r w:rsidRPr="00927E76">
        <w:rPr>
          <w:bCs/>
        </w:rPr>
        <w:lastRenderedPageBreak/>
        <w:t>水</w:t>
      </w:r>
      <w:r w:rsidRPr="00927E76">
        <w:rPr>
          <w:rFonts w:hint="eastAsia"/>
          <w:bCs/>
        </w:rPr>
        <w:t>和矿井排水等污废水</w:t>
      </w:r>
      <w:r w:rsidRPr="00927E76">
        <w:rPr>
          <w:bCs/>
        </w:rPr>
        <w:t>，污废水的下渗可能会造成地下水环境的污染</w:t>
      </w:r>
      <w:r w:rsidRPr="00927E76">
        <w:rPr>
          <w:rFonts w:hint="eastAsia"/>
          <w:bCs/>
        </w:rPr>
        <w:t>。</w:t>
      </w:r>
    </w:p>
    <w:p w:rsidR="00C223F5" w:rsidRPr="00927E76" w:rsidRDefault="005860D5" w:rsidP="00C006A7">
      <w:pPr>
        <w:pStyle w:val="36"/>
        <w:ind w:firstLine="542"/>
        <w:rPr>
          <w:b/>
          <w:bCs/>
        </w:rPr>
      </w:pPr>
      <w:r w:rsidRPr="00927E76">
        <w:rPr>
          <w:b/>
          <w:bCs/>
        </w:rPr>
        <w:t>（</w:t>
      </w:r>
      <w:r w:rsidRPr="00927E76">
        <w:rPr>
          <w:rFonts w:hint="eastAsia"/>
          <w:b/>
          <w:bCs/>
        </w:rPr>
        <w:t>2</w:t>
      </w:r>
      <w:r w:rsidRPr="00927E76">
        <w:rPr>
          <w:b/>
          <w:bCs/>
        </w:rPr>
        <w:t>）地下水污染途径识别</w:t>
      </w:r>
    </w:p>
    <w:p w:rsidR="00C223F5" w:rsidRPr="00927E76" w:rsidRDefault="005860D5" w:rsidP="00C006A7">
      <w:pPr>
        <w:pStyle w:val="aff1"/>
        <w:tabs>
          <w:tab w:val="clear" w:pos="5781"/>
        </w:tabs>
        <w:spacing w:line="360" w:lineRule="auto"/>
        <w:ind w:left="0" w:firstLineChars="200" w:firstLine="480"/>
        <w:rPr>
          <w:szCs w:val="24"/>
        </w:rPr>
      </w:pPr>
      <w:r w:rsidRPr="00927E76">
        <w:rPr>
          <w:bCs/>
        </w:rPr>
        <w:t>根据前述分析，</w:t>
      </w:r>
      <w:r w:rsidRPr="00927E76">
        <w:rPr>
          <w:bCs/>
          <w:lang w:val="de-DE"/>
        </w:rPr>
        <w:t>运行期</w:t>
      </w:r>
      <w:r w:rsidRPr="00927E76">
        <w:rPr>
          <w:bCs/>
        </w:rPr>
        <w:t>项目污废水下渗可能会造成地下水环境的污染。</w:t>
      </w:r>
      <w:r w:rsidRPr="00927E76">
        <w:rPr>
          <w:rFonts w:hint="eastAsia"/>
          <w:szCs w:val="24"/>
        </w:rPr>
        <w:t>井下排水经排水泵排至矿井水处理站，经处理达标后部分回用于井下洒水、黄泥灌浆补充水及</w:t>
      </w:r>
      <w:r w:rsidRPr="00C807E8">
        <w:rPr>
          <w:rFonts w:hint="eastAsia"/>
          <w:color w:val="FF0000"/>
          <w:szCs w:val="24"/>
        </w:rPr>
        <w:t>地面生产用水</w:t>
      </w:r>
      <w:r w:rsidRPr="00927E76">
        <w:rPr>
          <w:rFonts w:hint="eastAsia"/>
          <w:szCs w:val="24"/>
        </w:rPr>
        <w:t>，其余达标排至蚂蚁河。生活污水</w:t>
      </w:r>
      <w:r w:rsidRPr="00927E76">
        <w:rPr>
          <w:rFonts w:hint="eastAsia"/>
        </w:rPr>
        <w:t>经污水管网汇集后送</w:t>
      </w:r>
      <w:r w:rsidRPr="00927E76">
        <w:rPr>
          <w:rFonts w:hint="eastAsia"/>
          <w:szCs w:val="24"/>
        </w:rPr>
        <w:t>生活污水</w:t>
      </w:r>
      <w:r w:rsidRPr="00927E76">
        <w:rPr>
          <w:rFonts w:hint="eastAsia"/>
        </w:rPr>
        <w:t>处理站，经处理后全部回用于选煤厂补充水、绿化洒水及地面降尘洒水等，不外排</w:t>
      </w:r>
      <w:r w:rsidRPr="00927E76">
        <w:rPr>
          <w:rFonts w:hint="eastAsia"/>
          <w:szCs w:val="24"/>
        </w:rPr>
        <w:t>。</w:t>
      </w:r>
      <w:r w:rsidRPr="00927E76">
        <w:rPr>
          <w:rFonts w:hint="eastAsia"/>
          <w:bCs/>
        </w:rPr>
        <w:t>污废水得到妥善处置，未散排，</w:t>
      </w:r>
      <w:r w:rsidRPr="00927E76">
        <w:rPr>
          <w:bCs/>
        </w:rPr>
        <w:t>因此项目实施一般不会对地下水造成污染。</w:t>
      </w:r>
    </w:p>
    <w:p w:rsidR="00C223F5" w:rsidRPr="00927E76" w:rsidRDefault="005860D5" w:rsidP="00C006A7">
      <w:pPr>
        <w:pStyle w:val="36"/>
        <w:rPr>
          <w:bCs/>
          <w:lang w:val="de-DE"/>
        </w:rPr>
      </w:pPr>
      <w:r w:rsidRPr="00927E76">
        <w:rPr>
          <w:bCs/>
          <w:lang w:val="de-DE"/>
        </w:rPr>
        <w:t>地下水污染途径主要为项目运行期生活污水</w:t>
      </w:r>
      <w:r w:rsidRPr="00927E76">
        <w:rPr>
          <w:rFonts w:hint="eastAsia"/>
          <w:bCs/>
          <w:lang w:val="de-DE"/>
        </w:rPr>
        <w:t>和井下排水</w:t>
      </w:r>
      <w:r w:rsidRPr="00927E76">
        <w:rPr>
          <w:bCs/>
          <w:lang w:val="de-DE"/>
        </w:rPr>
        <w:t>在集、储</w:t>
      </w:r>
      <w:r w:rsidRPr="00927E76">
        <w:rPr>
          <w:rFonts w:hint="eastAsia"/>
          <w:bCs/>
          <w:lang w:val="de-DE"/>
        </w:rPr>
        <w:t>和处理</w:t>
      </w:r>
      <w:r w:rsidRPr="00927E76">
        <w:rPr>
          <w:bCs/>
          <w:lang w:val="de-DE"/>
        </w:rPr>
        <w:t>过程中产生渗漏，渗漏的污废水下渗进入地下水。</w:t>
      </w:r>
    </w:p>
    <w:p w:rsidR="00C223F5" w:rsidRPr="00927E76" w:rsidRDefault="005860D5" w:rsidP="00C006A7">
      <w:pPr>
        <w:spacing w:line="360" w:lineRule="auto"/>
        <w:ind w:firstLineChars="200" w:firstLine="482"/>
        <w:rPr>
          <w:b/>
          <w:sz w:val="24"/>
        </w:rPr>
      </w:pPr>
      <w:r w:rsidRPr="00927E76">
        <w:rPr>
          <w:rFonts w:hint="eastAsia"/>
          <w:b/>
          <w:sz w:val="24"/>
        </w:rPr>
        <w:t>（二）正常状况地下水环境影响预测</w:t>
      </w:r>
    </w:p>
    <w:p w:rsidR="00C223F5" w:rsidRPr="00927E76" w:rsidRDefault="005860D5" w:rsidP="00C006A7">
      <w:pPr>
        <w:pStyle w:val="36"/>
        <w:adjustRightInd w:val="0"/>
        <w:snapToGrid w:val="0"/>
        <w:ind w:firstLineChars="200" w:firstLine="480"/>
        <w:rPr>
          <w:bCs/>
        </w:rPr>
      </w:pPr>
      <w:r w:rsidRPr="00927E76">
        <w:rPr>
          <w:bCs/>
        </w:rPr>
        <w:t>根据分析，项目运行期产生的生活污水经处理后全部回用，不外排</w:t>
      </w:r>
      <w:r w:rsidRPr="00927E76">
        <w:rPr>
          <w:rFonts w:hint="eastAsia"/>
          <w:bCs/>
        </w:rPr>
        <w:t>，井下排水经处理后部分回用，部分外排，不散排</w:t>
      </w:r>
      <w:r w:rsidRPr="00927E76">
        <w:rPr>
          <w:bCs/>
        </w:rPr>
        <w:t>；且污废水在集贮过程中，污废水集、贮及处理构筑物（如调节池等）均按要求采取了防渗措施，可有效防止污废水的下渗；污废水输送管道采用</w:t>
      </w:r>
      <w:r w:rsidRPr="00927E76">
        <w:rPr>
          <w:bCs/>
        </w:rPr>
        <w:t>HDPE</w:t>
      </w:r>
      <w:r w:rsidRPr="00927E76">
        <w:rPr>
          <w:bCs/>
        </w:rPr>
        <w:t>双壁波纹塑料排水管，可有效杜绝连接处污废水的跑、冒、滴、漏现象的发生；因此正常状况下污染废水基本不会发生渗漏，对地下水影响较小。</w:t>
      </w:r>
      <w:r w:rsidRPr="00927E76">
        <w:rPr>
          <w:bCs/>
        </w:rPr>
        <w:t xml:space="preserve"> </w:t>
      </w:r>
    </w:p>
    <w:p w:rsidR="00C223F5" w:rsidRPr="00927E76" w:rsidRDefault="005860D5" w:rsidP="00C006A7">
      <w:pPr>
        <w:spacing w:line="360" w:lineRule="auto"/>
        <w:ind w:firstLineChars="200" w:firstLine="482"/>
        <w:rPr>
          <w:b/>
          <w:sz w:val="24"/>
        </w:rPr>
      </w:pPr>
      <w:r w:rsidRPr="00927E76">
        <w:rPr>
          <w:rFonts w:hint="eastAsia"/>
          <w:b/>
          <w:sz w:val="24"/>
        </w:rPr>
        <w:t>（三）非正常状况地下水环境影响预测</w:t>
      </w:r>
    </w:p>
    <w:p w:rsidR="00C223F5" w:rsidRPr="00927E76" w:rsidRDefault="005860D5" w:rsidP="00C006A7">
      <w:pPr>
        <w:pStyle w:val="36"/>
        <w:rPr>
          <w:bCs/>
        </w:rPr>
      </w:pPr>
      <w:r w:rsidRPr="00927E76">
        <w:rPr>
          <w:rFonts w:hint="eastAsia"/>
          <w:bCs/>
        </w:rPr>
        <w:t>井下排水</w:t>
      </w:r>
      <w:r w:rsidRPr="00927E76">
        <w:rPr>
          <w:bCs/>
        </w:rPr>
        <w:t>主要受采煤产生的煤屑污染，水质成分简单；生活污水主要污染物为</w:t>
      </w:r>
      <w:r w:rsidRPr="00927E76">
        <w:rPr>
          <w:bCs/>
        </w:rPr>
        <w:t>SS</w:t>
      </w:r>
      <w:r w:rsidRPr="00927E76">
        <w:rPr>
          <w:bCs/>
        </w:rPr>
        <w:t>、</w:t>
      </w:r>
      <w:r w:rsidRPr="00927E76">
        <w:rPr>
          <w:bCs/>
        </w:rPr>
        <w:t>COD</w:t>
      </w:r>
      <w:r w:rsidRPr="00927E76">
        <w:rPr>
          <w:bCs/>
        </w:rPr>
        <w:t>、</w:t>
      </w:r>
      <w:r w:rsidRPr="00927E76">
        <w:rPr>
          <w:bCs/>
        </w:rPr>
        <w:t>BOD</w:t>
      </w:r>
      <w:r w:rsidRPr="00927E76">
        <w:rPr>
          <w:bCs/>
          <w:vertAlign w:val="subscript"/>
        </w:rPr>
        <w:t>5</w:t>
      </w:r>
      <w:r w:rsidRPr="00927E76">
        <w:rPr>
          <w:bCs/>
        </w:rPr>
        <w:t>、</w:t>
      </w:r>
      <w:r w:rsidRPr="00927E76">
        <w:rPr>
          <w:bCs/>
        </w:rPr>
        <w:t>NH</w:t>
      </w:r>
      <w:r w:rsidRPr="00927E76">
        <w:rPr>
          <w:bCs/>
          <w:vertAlign w:val="subscript"/>
        </w:rPr>
        <w:t>3</w:t>
      </w:r>
      <w:r w:rsidRPr="00927E76">
        <w:rPr>
          <w:bCs/>
        </w:rPr>
        <w:t>-N</w:t>
      </w:r>
      <w:r w:rsidRPr="00927E76">
        <w:rPr>
          <w:bCs/>
        </w:rPr>
        <w:t>等，水质相对较差，本次评价重点预测生活污水。</w:t>
      </w:r>
    </w:p>
    <w:p w:rsidR="00C223F5" w:rsidRPr="00927E76" w:rsidRDefault="005860D5" w:rsidP="00C006A7">
      <w:pPr>
        <w:pStyle w:val="36"/>
        <w:rPr>
          <w:bCs/>
        </w:rPr>
      </w:pPr>
      <w:r w:rsidRPr="00927E76">
        <w:rPr>
          <w:bCs/>
        </w:rPr>
        <w:t>生活污水处理站为生活污水的集</w:t>
      </w:r>
      <w:r w:rsidRPr="00927E76">
        <w:rPr>
          <w:rFonts w:hint="eastAsia"/>
          <w:bCs/>
        </w:rPr>
        <w:t>、</w:t>
      </w:r>
      <w:r w:rsidRPr="00927E76">
        <w:rPr>
          <w:bCs/>
        </w:rPr>
        <w:t>储和处理构筑物，生活污水进入生活污水处理站后会进入污水调节池内，调节池为地埋式钢筋混凝土结构，本次将生活污水调节池做为预测对象。</w:t>
      </w:r>
    </w:p>
    <w:p w:rsidR="00C223F5" w:rsidRPr="00927E76" w:rsidRDefault="005860D5" w:rsidP="00C006A7">
      <w:pPr>
        <w:pStyle w:val="36"/>
        <w:rPr>
          <w:bCs/>
        </w:rPr>
      </w:pPr>
      <w:r w:rsidRPr="00927E76">
        <w:rPr>
          <w:bCs/>
        </w:rPr>
        <w:t>（</w:t>
      </w:r>
      <w:r w:rsidRPr="00927E76">
        <w:rPr>
          <w:bCs/>
        </w:rPr>
        <w:t>1</w:t>
      </w:r>
      <w:r w:rsidRPr="00927E76">
        <w:rPr>
          <w:bCs/>
        </w:rPr>
        <w:t>）地下水预测模型概化</w:t>
      </w:r>
    </w:p>
    <w:p w:rsidR="00C223F5" w:rsidRPr="00927E76" w:rsidRDefault="005860D5" w:rsidP="00C006A7">
      <w:pPr>
        <w:pStyle w:val="36"/>
        <w:adjustRightInd w:val="0"/>
        <w:snapToGrid w:val="0"/>
        <w:rPr>
          <w:b/>
          <w:bCs/>
        </w:rPr>
      </w:pPr>
      <w:r w:rsidRPr="00927E76">
        <w:rPr>
          <w:bCs/>
        </w:rPr>
        <w:t>工业场地区地下水评价工作等级为三级，评价区水文地质条件相对简单，采用解析法进行预测，预测对象为生活污水调节池，可将其排放形式概化为点源；生活污水在非正常状况下发生渗漏后，</w:t>
      </w:r>
      <w:r w:rsidRPr="00927E76">
        <w:t>考虑到地下水水质的跟踪监测，确定生活污水渗漏持续时间为</w:t>
      </w:r>
      <w:r w:rsidRPr="00927E76">
        <w:t>120d</w:t>
      </w:r>
      <w:r w:rsidRPr="00927E76">
        <w:t>，</w:t>
      </w:r>
      <w:r w:rsidRPr="00927E76">
        <w:rPr>
          <w:bCs/>
        </w:rPr>
        <w:t>将生活污水的渗漏规律可概化为非连续恒定排放，</w:t>
      </w:r>
      <w:r w:rsidRPr="00927E76">
        <w:rPr>
          <w:lang w:val="de-DE"/>
        </w:rPr>
        <w:t>本次采用软件进行预测非连续恒定排放模式。</w:t>
      </w:r>
    </w:p>
    <w:p w:rsidR="00C223F5" w:rsidRPr="00927E76" w:rsidRDefault="005860D5" w:rsidP="00C006A7">
      <w:pPr>
        <w:pStyle w:val="36"/>
        <w:adjustRightInd w:val="0"/>
        <w:snapToGrid w:val="0"/>
        <w:rPr>
          <w:bCs/>
        </w:rPr>
      </w:pPr>
      <w:r w:rsidRPr="00927E76">
        <w:rPr>
          <w:bCs/>
        </w:rPr>
        <w:t>（</w:t>
      </w:r>
      <w:r w:rsidRPr="00927E76">
        <w:rPr>
          <w:bCs/>
        </w:rPr>
        <w:t>2</w:t>
      </w:r>
      <w:r w:rsidRPr="00927E76">
        <w:rPr>
          <w:bCs/>
        </w:rPr>
        <w:t>）预测情景</w:t>
      </w:r>
    </w:p>
    <w:p w:rsidR="00C223F5" w:rsidRPr="00927E76" w:rsidRDefault="005860D5" w:rsidP="00C006A7">
      <w:pPr>
        <w:pStyle w:val="36"/>
        <w:adjustRightInd w:val="0"/>
        <w:snapToGrid w:val="0"/>
        <w:rPr>
          <w:bCs/>
        </w:rPr>
      </w:pPr>
      <w:r w:rsidRPr="00927E76">
        <w:lastRenderedPageBreak/>
        <w:t>本项目所预测的非正常状况是指</w:t>
      </w:r>
      <w:r w:rsidRPr="00927E76">
        <w:rPr>
          <w:bCs/>
        </w:rPr>
        <w:t>调节池的</w:t>
      </w:r>
      <w:r w:rsidRPr="00927E76">
        <w:rPr>
          <w:bCs/>
          <w:lang w:val="de-DE"/>
        </w:rPr>
        <w:t>的混凝土基础层的防渗措施因腐蚀、老化等原因防渗效果达不到防渗技术要求时，生活污水通过混凝土基础层发生一定量的渗漏，</w:t>
      </w:r>
      <w:r w:rsidRPr="00927E76">
        <w:rPr>
          <w:bCs/>
        </w:rPr>
        <w:t>按照最不利情况考虑，生活污水渗漏后直接进入第四系潜水含水层。</w:t>
      </w:r>
    </w:p>
    <w:p w:rsidR="00C223F5" w:rsidRPr="00927E76" w:rsidRDefault="005860D5" w:rsidP="00C006A7">
      <w:pPr>
        <w:pStyle w:val="36"/>
        <w:adjustRightInd w:val="0"/>
        <w:snapToGrid w:val="0"/>
        <w:rPr>
          <w:bCs/>
        </w:rPr>
      </w:pPr>
      <w:r w:rsidRPr="00927E76">
        <w:rPr>
          <w:bCs/>
        </w:rPr>
        <w:t>（</w:t>
      </w:r>
      <w:r w:rsidRPr="00927E76">
        <w:rPr>
          <w:bCs/>
        </w:rPr>
        <w:t>3</w:t>
      </w:r>
      <w:r w:rsidRPr="00927E76">
        <w:rPr>
          <w:bCs/>
        </w:rPr>
        <w:t>）预测因子</w:t>
      </w:r>
    </w:p>
    <w:p w:rsidR="00C223F5" w:rsidRPr="00927E76" w:rsidRDefault="005860D5" w:rsidP="00C006A7">
      <w:pPr>
        <w:pStyle w:val="36"/>
        <w:adjustRightInd w:val="0"/>
        <w:snapToGrid w:val="0"/>
        <w:rPr>
          <w:bCs/>
        </w:rPr>
      </w:pPr>
      <w:r w:rsidRPr="00927E76">
        <w:rPr>
          <w:bCs/>
        </w:rPr>
        <w:t>进入生活污水处理站的污废水主要为生活污水，主要污染物为</w:t>
      </w:r>
      <w:r w:rsidRPr="00927E76">
        <w:rPr>
          <w:bCs/>
        </w:rPr>
        <w:t>SS</w:t>
      </w:r>
      <w:r w:rsidRPr="00927E76">
        <w:rPr>
          <w:bCs/>
        </w:rPr>
        <w:t>、</w:t>
      </w:r>
      <w:r w:rsidRPr="00927E76">
        <w:rPr>
          <w:bCs/>
        </w:rPr>
        <w:t>COD</w:t>
      </w:r>
      <w:r w:rsidRPr="00927E76">
        <w:rPr>
          <w:bCs/>
        </w:rPr>
        <w:t>、</w:t>
      </w:r>
      <w:r w:rsidRPr="00927E76">
        <w:rPr>
          <w:bCs/>
        </w:rPr>
        <w:t>BOD</w:t>
      </w:r>
      <w:r w:rsidRPr="00927E76">
        <w:rPr>
          <w:bCs/>
          <w:vertAlign w:val="subscript"/>
        </w:rPr>
        <w:t>5</w:t>
      </w:r>
      <w:r w:rsidRPr="00927E76">
        <w:rPr>
          <w:bCs/>
        </w:rPr>
        <w:t>、</w:t>
      </w:r>
      <w:r w:rsidRPr="00927E76">
        <w:rPr>
          <w:bCs/>
        </w:rPr>
        <w:t>NH</w:t>
      </w:r>
      <w:r w:rsidRPr="00927E76">
        <w:rPr>
          <w:bCs/>
          <w:vertAlign w:val="subscript"/>
        </w:rPr>
        <w:t>3</w:t>
      </w:r>
      <w:r w:rsidRPr="00927E76">
        <w:rPr>
          <w:bCs/>
        </w:rPr>
        <w:t>-N</w:t>
      </w:r>
      <w:r w:rsidRPr="00927E76">
        <w:rPr>
          <w:bCs/>
        </w:rPr>
        <w:t>等，本次将生活污水中的</w:t>
      </w:r>
      <w:r w:rsidRPr="00927E76">
        <w:rPr>
          <w:bCs/>
        </w:rPr>
        <w:t>HN</w:t>
      </w:r>
      <w:r w:rsidRPr="00927E76">
        <w:rPr>
          <w:bCs/>
          <w:vertAlign w:val="subscript"/>
        </w:rPr>
        <w:t>3</w:t>
      </w:r>
      <w:r w:rsidRPr="00927E76">
        <w:rPr>
          <w:bCs/>
        </w:rPr>
        <w:t>-N</w:t>
      </w:r>
      <w:r w:rsidRPr="00927E76">
        <w:rPr>
          <w:bCs/>
        </w:rPr>
        <w:t>作为预测因子。</w:t>
      </w:r>
    </w:p>
    <w:p w:rsidR="00C223F5" w:rsidRPr="00927E76" w:rsidRDefault="005860D5" w:rsidP="00C006A7">
      <w:pPr>
        <w:pStyle w:val="36"/>
        <w:adjustRightInd w:val="0"/>
        <w:snapToGrid w:val="0"/>
        <w:ind w:firstLineChars="200" w:firstLine="480"/>
        <w:rPr>
          <w:bCs/>
        </w:rPr>
      </w:pPr>
      <w:r w:rsidRPr="00927E76">
        <w:rPr>
          <w:bCs/>
        </w:rPr>
        <w:t>（</w:t>
      </w:r>
      <w:r w:rsidRPr="00927E76">
        <w:rPr>
          <w:bCs/>
        </w:rPr>
        <w:t>4</w:t>
      </w:r>
      <w:r w:rsidRPr="00927E76">
        <w:rPr>
          <w:bCs/>
        </w:rPr>
        <w:t>）预测源强</w:t>
      </w:r>
    </w:p>
    <w:p w:rsidR="00C223F5" w:rsidRPr="00927E76" w:rsidRDefault="005860D5" w:rsidP="00C006A7">
      <w:pPr>
        <w:spacing w:line="360" w:lineRule="auto"/>
        <w:ind w:firstLineChars="200" w:firstLine="480"/>
        <w:rPr>
          <w:sz w:val="24"/>
        </w:rPr>
      </w:pPr>
      <w:r w:rsidRPr="00927E76">
        <w:rPr>
          <w:sz w:val="24"/>
        </w:rPr>
        <w:t>根据工程分析，确定生活污水中的</w:t>
      </w:r>
      <w:r w:rsidRPr="00927E76">
        <w:rPr>
          <w:bCs/>
          <w:sz w:val="24"/>
        </w:rPr>
        <w:t>NH</w:t>
      </w:r>
      <w:r w:rsidRPr="00927E76">
        <w:rPr>
          <w:bCs/>
          <w:sz w:val="24"/>
          <w:vertAlign w:val="subscript"/>
        </w:rPr>
        <w:t>3</w:t>
      </w:r>
      <w:r w:rsidRPr="00927E76">
        <w:rPr>
          <w:bCs/>
          <w:sz w:val="24"/>
        </w:rPr>
        <w:t>-N</w:t>
      </w:r>
      <w:r w:rsidRPr="00927E76">
        <w:rPr>
          <w:bCs/>
          <w:sz w:val="24"/>
        </w:rPr>
        <w:t>浓度为</w:t>
      </w:r>
      <w:r w:rsidRPr="00927E76">
        <w:rPr>
          <w:rFonts w:hint="eastAsia"/>
          <w:sz w:val="24"/>
        </w:rPr>
        <w:t>4.21</w:t>
      </w:r>
      <w:r w:rsidRPr="00927E76">
        <w:rPr>
          <w:sz w:val="24"/>
        </w:rPr>
        <w:t>mg/L</w:t>
      </w:r>
      <w:r w:rsidRPr="00927E76">
        <w:rPr>
          <w:sz w:val="24"/>
        </w:rPr>
        <w:t>，《地下水质量标准》（</w:t>
      </w:r>
      <w:r w:rsidRPr="00927E76">
        <w:rPr>
          <w:sz w:val="24"/>
        </w:rPr>
        <w:t>GB/T14848-2017</w:t>
      </w:r>
      <w:r w:rsidRPr="00927E76">
        <w:rPr>
          <w:sz w:val="24"/>
        </w:rPr>
        <w:t>）中</w:t>
      </w:r>
      <w:r w:rsidRPr="00927E76">
        <w:rPr>
          <w:bCs/>
          <w:sz w:val="24"/>
        </w:rPr>
        <w:t>NH</w:t>
      </w:r>
      <w:r w:rsidRPr="00927E76">
        <w:rPr>
          <w:bCs/>
          <w:sz w:val="24"/>
          <w:vertAlign w:val="subscript"/>
        </w:rPr>
        <w:t>3</w:t>
      </w:r>
      <w:r w:rsidRPr="00927E76">
        <w:rPr>
          <w:bCs/>
          <w:sz w:val="24"/>
        </w:rPr>
        <w:t>-N</w:t>
      </w:r>
      <w:r w:rsidRPr="00927E76">
        <w:rPr>
          <w:bCs/>
          <w:sz w:val="24"/>
        </w:rPr>
        <w:t>的</w:t>
      </w:r>
      <w:r w:rsidRPr="00927E76">
        <w:rPr>
          <w:sz w:val="24"/>
        </w:rPr>
        <w:t>Ⅲ</w:t>
      </w:r>
      <w:r w:rsidRPr="00927E76">
        <w:rPr>
          <w:sz w:val="24"/>
        </w:rPr>
        <w:t>类水质标准为</w:t>
      </w:r>
      <w:r w:rsidRPr="00927E76">
        <w:rPr>
          <w:sz w:val="24"/>
        </w:rPr>
        <w:t>0.5mg/L</w:t>
      </w:r>
      <w:r w:rsidRPr="00927E76">
        <w:rPr>
          <w:rFonts w:hint="eastAsia"/>
          <w:sz w:val="24"/>
        </w:rPr>
        <w:t>，检出限为</w:t>
      </w:r>
      <w:r w:rsidRPr="00927E76">
        <w:rPr>
          <w:rFonts w:hint="eastAsia"/>
          <w:sz w:val="24"/>
        </w:rPr>
        <w:t>0.02</w:t>
      </w:r>
      <w:r w:rsidRPr="00927E76">
        <w:rPr>
          <w:sz w:val="24"/>
        </w:rPr>
        <w:t xml:space="preserve"> mg/L</w:t>
      </w:r>
      <w:r w:rsidRPr="00927E76">
        <w:rPr>
          <w:sz w:val="24"/>
        </w:rPr>
        <w:t>。</w:t>
      </w:r>
      <w:r w:rsidRPr="00927E76">
        <w:rPr>
          <w:sz w:val="24"/>
        </w:rPr>
        <w:t xml:space="preserve"> </w:t>
      </w:r>
    </w:p>
    <w:p w:rsidR="00C223F5" w:rsidRPr="00927E76" w:rsidRDefault="005860D5" w:rsidP="00C006A7">
      <w:pPr>
        <w:spacing w:line="360" w:lineRule="auto"/>
        <w:ind w:firstLineChars="200" w:firstLine="480"/>
        <w:rPr>
          <w:sz w:val="24"/>
        </w:rPr>
      </w:pPr>
      <w:r w:rsidRPr="00927E76">
        <w:rPr>
          <w:sz w:val="24"/>
        </w:rPr>
        <w:t>调节池的尺寸为</w:t>
      </w:r>
      <w:r w:rsidRPr="00927E76">
        <w:rPr>
          <w:sz w:val="24"/>
        </w:rPr>
        <w:t>6.</w:t>
      </w:r>
      <w:r w:rsidRPr="00927E76">
        <w:rPr>
          <w:rFonts w:hint="eastAsia"/>
          <w:sz w:val="24"/>
        </w:rPr>
        <w:t>5</w:t>
      </w:r>
      <w:r w:rsidRPr="00927E76">
        <w:rPr>
          <w:sz w:val="24"/>
        </w:rPr>
        <w:t>m×</w:t>
      </w:r>
      <w:r w:rsidRPr="00927E76">
        <w:rPr>
          <w:rFonts w:hint="eastAsia"/>
          <w:sz w:val="24"/>
        </w:rPr>
        <w:t>6</w:t>
      </w:r>
      <w:r w:rsidRPr="00927E76">
        <w:rPr>
          <w:sz w:val="24"/>
        </w:rPr>
        <w:t>.0m×5.</w:t>
      </w:r>
      <w:r w:rsidRPr="00927E76">
        <w:rPr>
          <w:rFonts w:hint="eastAsia"/>
          <w:sz w:val="24"/>
        </w:rPr>
        <w:t>5</w:t>
      </w:r>
      <w:r w:rsidRPr="00927E76">
        <w:rPr>
          <w:sz w:val="24"/>
        </w:rPr>
        <w:t>m</w:t>
      </w:r>
      <w:r w:rsidRPr="00927E76">
        <w:rPr>
          <w:sz w:val="24"/>
        </w:rPr>
        <w:t>。按照《给水排水构筑物工程施工和验收规范》（</w:t>
      </w:r>
      <w:r w:rsidRPr="00927E76">
        <w:rPr>
          <w:sz w:val="24"/>
        </w:rPr>
        <w:t>GB50141</w:t>
      </w:r>
      <w:r w:rsidRPr="00927E76">
        <w:rPr>
          <w:sz w:val="24"/>
        </w:rPr>
        <w:t>），水池的渗漏量应按池壁和池底的浸湿面积计算。正常状况下，混凝土结构水池的渗水量不得超过</w:t>
      </w:r>
      <w:r w:rsidRPr="00927E76">
        <w:rPr>
          <w:sz w:val="24"/>
        </w:rPr>
        <w:t>2L/</w:t>
      </w:r>
      <w:r w:rsidRPr="00927E76">
        <w:rPr>
          <w:sz w:val="24"/>
        </w:rPr>
        <w:t>（</w:t>
      </w:r>
      <w:r w:rsidRPr="00927E76">
        <w:rPr>
          <w:sz w:val="24"/>
        </w:rPr>
        <w:t>m</w:t>
      </w:r>
      <w:r w:rsidRPr="00E813C9">
        <w:rPr>
          <w:sz w:val="24"/>
          <w:vertAlign w:val="superscript"/>
        </w:rPr>
        <w:t>2</w:t>
      </w:r>
      <w:r w:rsidRPr="00927E76">
        <w:rPr>
          <w:sz w:val="24"/>
        </w:rPr>
        <w:t>•d</w:t>
      </w:r>
      <w:r w:rsidRPr="00927E76">
        <w:rPr>
          <w:sz w:val="24"/>
        </w:rPr>
        <w:t>），调节池的浸湿面积按</w:t>
      </w:r>
      <w:r w:rsidRPr="00927E76">
        <w:rPr>
          <w:rFonts w:hint="eastAsia"/>
          <w:sz w:val="24"/>
        </w:rPr>
        <w:t>151.5</w:t>
      </w:r>
      <w:r w:rsidRPr="00927E76">
        <w:rPr>
          <w:sz w:val="24"/>
        </w:rPr>
        <w:t>m</w:t>
      </w:r>
      <w:r w:rsidRPr="00927E76">
        <w:rPr>
          <w:sz w:val="24"/>
          <w:vertAlign w:val="superscript"/>
        </w:rPr>
        <w:t>2</w:t>
      </w:r>
      <w:r w:rsidRPr="00927E76">
        <w:rPr>
          <w:sz w:val="24"/>
        </w:rPr>
        <w:t>计（有效水深取</w:t>
      </w:r>
      <w:r w:rsidRPr="00927E76">
        <w:rPr>
          <w:rFonts w:hint="eastAsia"/>
          <w:sz w:val="24"/>
        </w:rPr>
        <w:t>4.5</w:t>
      </w:r>
      <w:r w:rsidRPr="00927E76">
        <w:rPr>
          <w:sz w:val="24"/>
        </w:rPr>
        <w:t>m</w:t>
      </w:r>
      <w:r w:rsidRPr="00927E76">
        <w:rPr>
          <w:sz w:val="24"/>
        </w:rPr>
        <w:t>），则正常状况下，滤液的允许渗漏量为</w:t>
      </w:r>
      <w:r w:rsidRPr="00927E76">
        <w:rPr>
          <w:rFonts w:hint="eastAsia"/>
          <w:sz w:val="24"/>
        </w:rPr>
        <w:t>0.303</w:t>
      </w:r>
      <w:r w:rsidRPr="00927E76">
        <w:rPr>
          <w:sz w:val="24"/>
        </w:rPr>
        <w:t>m</w:t>
      </w:r>
      <w:r w:rsidRPr="00927E76">
        <w:rPr>
          <w:sz w:val="24"/>
          <w:vertAlign w:val="superscript"/>
        </w:rPr>
        <w:t>3</w:t>
      </w:r>
      <w:r w:rsidRPr="00927E76">
        <w:rPr>
          <w:sz w:val="24"/>
        </w:rPr>
        <w:t>/d</w:t>
      </w:r>
      <w:r w:rsidRPr="00927E76">
        <w:rPr>
          <w:sz w:val="24"/>
        </w:rPr>
        <w:t>，非正常状况下的渗漏量取正常状况下渗漏量的</w:t>
      </w:r>
      <w:r w:rsidRPr="00927E76">
        <w:rPr>
          <w:sz w:val="24"/>
        </w:rPr>
        <w:t>10</w:t>
      </w:r>
      <w:r w:rsidRPr="00927E76">
        <w:rPr>
          <w:sz w:val="24"/>
        </w:rPr>
        <w:t>倍，渗漏量为</w:t>
      </w:r>
      <w:r w:rsidRPr="00927E76">
        <w:rPr>
          <w:rFonts w:hint="eastAsia"/>
          <w:sz w:val="24"/>
        </w:rPr>
        <w:t>3.03</w:t>
      </w:r>
      <w:r w:rsidRPr="00927E76">
        <w:rPr>
          <w:sz w:val="24"/>
        </w:rPr>
        <w:t>m</w:t>
      </w:r>
      <w:r w:rsidRPr="00927E76">
        <w:rPr>
          <w:sz w:val="24"/>
          <w:vertAlign w:val="superscript"/>
        </w:rPr>
        <w:t>3</w:t>
      </w:r>
      <w:r w:rsidRPr="00927E76">
        <w:rPr>
          <w:sz w:val="24"/>
        </w:rPr>
        <w:t>/d</w:t>
      </w:r>
      <w:r w:rsidRPr="00927E76">
        <w:rPr>
          <w:sz w:val="24"/>
        </w:rPr>
        <w:t>。</w:t>
      </w:r>
    </w:p>
    <w:p w:rsidR="00C223F5" w:rsidRPr="00927E76" w:rsidRDefault="005860D5" w:rsidP="00C006A7">
      <w:pPr>
        <w:spacing w:line="360" w:lineRule="auto"/>
        <w:ind w:firstLineChars="200" w:firstLine="480"/>
        <w:rPr>
          <w:sz w:val="24"/>
        </w:rPr>
      </w:pPr>
      <w:r w:rsidRPr="00927E76">
        <w:rPr>
          <w:sz w:val="24"/>
        </w:rPr>
        <w:t>根据地下水跟踪监测井的监测频次，将污染物泄漏时间定为</w:t>
      </w:r>
      <w:r w:rsidRPr="00927E76">
        <w:rPr>
          <w:sz w:val="24"/>
        </w:rPr>
        <w:t>120d</w:t>
      </w:r>
      <w:r w:rsidRPr="00927E76">
        <w:rPr>
          <w:sz w:val="24"/>
        </w:rPr>
        <w:t>。</w:t>
      </w:r>
    </w:p>
    <w:p w:rsidR="00C223F5" w:rsidRPr="00927E76" w:rsidRDefault="005860D5" w:rsidP="00C006A7">
      <w:pPr>
        <w:pStyle w:val="36"/>
        <w:adjustRightInd w:val="0"/>
        <w:snapToGrid w:val="0"/>
        <w:ind w:firstLineChars="200" w:firstLine="480"/>
        <w:rPr>
          <w:bCs/>
        </w:rPr>
      </w:pPr>
      <w:r w:rsidRPr="00927E76">
        <w:rPr>
          <w:bCs/>
        </w:rPr>
        <w:t>（</w:t>
      </w:r>
      <w:r w:rsidRPr="00927E76">
        <w:rPr>
          <w:bCs/>
        </w:rPr>
        <w:t>5</w:t>
      </w:r>
      <w:r w:rsidRPr="00927E76">
        <w:rPr>
          <w:bCs/>
        </w:rPr>
        <w:t>）预测时段</w:t>
      </w:r>
    </w:p>
    <w:p w:rsidR="00C223F5" w:rsidRPr="00927E76" w:rsidRDefault="005860D5" w:rsidP="00C006A7">
      <w:pPr>
        <w:pStyle w:val="36"/>
        <w:adjustRightInd w:val="0"/>
        <w:snapToGrid w:val="0"/>
        <w:ind w:firstLineChars="200" w:firstLine="480"/>
        <w:rPr>
          <w:bCs/>
        </w:rPr>
      </w:pPr>
      <w:r w:rsidRPr="00927E76">
        <w:rPr>
          <w:bCs/>
        </w:rPr>
        <w:t>根据导则预测时段的要求，本次确定的预测时段分别为渗漏发生后的</w:t>
      </w:r>
      <w:r w:rsidRPr="00927E76">
        <w:rPr>
          <w:bCs/>
        </w:rPr>
        <w:t>100d</w:t>
      </w:r>
      <w:r w:rsidRPr="00927E76">
        <w:rPr>
          <w:bCs/>
        </w:rPr>
        <w:t>和</w:t>
      </w:r>
      <w:r w:rsidRPr="00927E76">
        <w:rPr>
          <w:bCs/>
        </w:rPr>
        <w:t>1000d</w:t>
      </w:r>
      <w:r w:rsidRPr="00927E76">
        <w:rPr>
          <w:bCs/>
        </w:rPr>
        <w:t>。</w:t>
      </w:r>
    </w:p>
    <w:p w:rsidR="00C223F5" w:rsidRPr="00927E76" w:rsidRDefault="005860D5" w:rsidP="00C006A7">
      <w:pPr>
        <w:pStyle w:val="36"/>
        <w:adjustRightInd w:val="0"/>
        <w:snapToGrid w:val="0"/>
        <w:rPr>
          <w:bCs/>
        </w:rPr>
      </w:pPr>
      <w:r w:rsidRPr="00927E76">
        <w:rPr>
          <w:bCs/>
        </w:rPr>
        <w:t>（</w:t>
      </w:r>
      <w:r w:rsidRPr="00927E76">
        <w:rPr>
          <w:bCs/>
        </w:rPr>
        <w:t>6</w:t>
      </w:r>
      <w:r w:rsidRPr="00927E76">
        <w:rPr>
          <w:bCs/>
        </w:rPr>
        <w:t>）预测参数</w:t>
      </w:r>
    </w:p>
    <w:p w:rsidR="00C223F5" w:rsidRPr="00927E76" w:rsidRDefault="005860D5" w:rsidP="00C006A7">
      <w:pPr>
        <w:pStyle w:val="36"/>
        <w:adjustRightInd w:val="0"/>
        <w:snapToGrid w:val="0"/>
        <w:rPr>
          <w:bCs/>
        </w:rPr>
      </w:pPr>
      <w:r w:rsidRPr="00927E76">
        <w:rPr>
          <w:bCs/>
        </w:rPr>
        <w:t>计算模式中各参数值见表</w:t>
      </w:r>
      <w:r w:rsidRPr="00927E76">
        <w:rPr>
          <w:bCs/>
        </w:rPr>
        <w:t>4.3.2-2</w:t>
      </w:r>
      <w:r w:rsidRPr="00927E76">
        <w:rPr>
          <w:bCs/>
        </w:rPr>
        <w:t>。</w:t>
      </w:r>
    </w:p>
    <w:p w:rsidR="00C223F5" w:rsidRPr="00927E76" w:rsidRDefault="005860D5" w:rsidP="00C006A7">
      <w:pPr>
        <w:pStyle w:val="36"/>
        <w:adjustRightInd w:val="0"/>
        <w:snapToGrid w:val="0"/>
        <w:spacing w:line="240" w:lineRule="auto"/>
        <w:ind w:firstLine="542"/>
        <w:jc w:val="center"/>
        <w:rPr>
          <w:b/>
          <w:bCs/>
        </w:rPr>
      </w:pPr>
      <w:r w:rsidRPr="00927E76">
        <w:rPr>
          <w:b/>
          <w:bCs/>
        </w:rPr>
        <w:t>表</w:t>
      </w:r>
      <w:r w:rsidRPr="00927E76">
        <w:rPr>
          <w:b/>
          <w:bCs/>
        </w:rPr>
        <w:t>4.</w:t>
      </w:r>
      <w:r w:rsidRPr="00927E76">
        <w:rPr>
          <w:rFonts w:hint="eastAsia"/>
          <w:b/>
          <w:bCs/>
        </w:rPr>
        <w:t>2</w:t>
      </w:r>
      <w:r w:rsidRPr="00927E76">
        <w:rPr>
          <w:b/>
          <w:bCs/>
        </w:rPr>
        <w:t xml:space="preserve">.2-2  </w:t>
      </w:r>
      <w:r w:rsidRPr="00927E76">
        <w:rPr>
          <w:b/>
          <w:bCs/>
        </w:rPr>
        <w:t>水质预测各参数取值表</w:t>
      </w:r>
    </w:p>
    <w:tbl>
      <w:tblPr>
        <w:tblW w:w="8721" w:type="dxa"/>
        <w:jc w:val="center"/>
        <w:tblLayout w:type="fixed"/>
        <w:tblLook w:val="04A0" w:firstRow="1" w:lastRow="0" w:firstColumn="1" w:lastColumn="0" w:noHBand="0" w:noVBand="1"/>
      </w:tblPr>
      <w:tblGrid>
        <w:gridCol w:w="966"/>
        <w:gridCol w:w="1169"/>
        <w:gridCol w:w="1336"/>
        <w:gridCol w:w="1336"/>
        <w:gridCol w:w="1336"/>
        <w:gridCol w:w="1343"/>
        <w:gridCol w:w="1235"/>
      </w:tblGrid>
      <w:tr w:rsidR="00C223F5" w:rsidRPr="00927E76">
        <w:trPr>
          <w:trHeight w:val="284"/>
          <w:jc w:val="center"/>
        </w:trPr>
        <w:tc>
          <w:tcPr>
            <w:tcW w:w="966" w:type="dxa"/>
            <w:tcBorders>
              <w:top w:val="single" w:sz="4" w:space="0" w:color="auto"/>
              <w:left w:val="single" w:sz="4" w:space="0" w:color="auto"/>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sz w:val="21"/>
                <w:szCs w:val="21"/>
              </w:rPr>
            </w:pPr>
            <w:r w:rsidRPr="00927E76">
              <w:rPr>
                <w:bCs/>
                <w:sz w:val="21"/>
                <w:szCs w:val="21"/>
              </w:rPr>
              <w:t>参数</w:t>
            </w:r>
          </w:p>
        </w:tc>
        <w:tc>
          <w:tcPr>
            <w:tcW w:w="1169" w:type="dxa"/>
            <w:tcBorders>
              <w:top w:val="single" w:sz="4" w:space="0" w:color="auto"/>
              <w:left w:val="nil"/>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i/>
                <w:iCs/>
                <w:sz w:val="21"/>
                <w:szCs w:val="21"/>
              </w:rPr>
            </w:pPr>
            <w:r w:rsidRPr="00927E76">
              <w:rPr>
                <w:bCs/>
                <w:i/>
                <w:iCs/>
                <w:sz w:val="21"/>
                <w:szCs w:val="21"/>
              </w:rPr>
              <w:t>n</w:t>
            </w:r>
            <w:r w:rsidRPr="00927E76">
              <w:rPr>
                <w:bCs/>
                <w:i/>
                <w:iCs/>
                <w:sz w:val="21"/>
                <w:szCs w:val="21"/>
                <w:vertAlign w:val="subscript"/>
              </w:rPr>
              <w:t>e</w:t>
            </w:r>
          </w:p>
        </w:tc>
        <w:tc>
          <w:tcPr>
            <w:tcW w:w="1336" w:type="dxa"/>
            <w:tcBorders>
              <w:top w:val="single" w:sz="4" w:space="0" w:color="auto"/>
              <w:left w:val="nil"/>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i/>
                <w:iCs/>
                <w:sz w:val="21"/>
                <w:szCs w:val="21"/>
              </w:rPr>
            </w:pPr>
            <w:r w:rsidRPr="00927E76">
              <w:rPr>
                <w:bCs/>
                <w:i/>
                <w:iCs/>
                <w:sz w:val="21"/>
                <w:szCs w:val="21"/>
              </w:rPr>
              <w:t>I</w:t>
            </w:r>
          </w:p>
        </w:tc>
        <w:tc>
          <w:tcPr>
            <w:tcW w:w="1336" w:type="dxa"/>
            <w:tcBorders>
              <w:top w:val="single" w:sz="4" w:space="0" w:color="auto"/>
              <w:left w:val="nil"/>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sz w:val="21"/>
                <w:szCs w:val="21"/>
              </w:rPr>
            </w:pPr>
            <w:r w:rsidRPr="00927E76">
              <w:rPr>
                <w:bCs/>
                <w:i/>
                <w:iCs/>
                <w:sz w:val="21"/>
                <w:szCs w:val="21"/>
              </w:rPr>
              <w:t>K</w:t>
            </w:r>
            <w:r w:rsidRPr="00927E76">
              <w:rPr>
                <w:bCs/>
                <w:sz w:val="21"/>
                <w:szCs w:val="21"/>
              </w:rPr>
              <w:t>(m/d)</w:t>
            </w:r>
          </w:p>
        </w:tc>
        <w:tc>
          <w:tcPr>
            <w:tcW w:w="1336" w:type="dxa"/>
            <w:tcBorders>
              <w:top w:val="single" w:sz="4" w:space="0" w:color="auto"/>
              <w:left w:val="nil"/>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sz w:val="21"/>
                <w:szCs w:val="21"/>
              </w:rPr>
            </w:pPr>
            <w:r w:rsidRPr="00927E76">
              <w:rPr>
                <w:bCs/>
                <w:i/>
                <w:iCs/>
                <w:sz w:val="21"/>
                <w:szCs w:val="21"/>
              </w:rPr>
              <w:t>u</w:t>
            </w:r>
            <w:r w:rsidRPr="00927E76">
              <w:rPr>
                <w:bCs/>
                <w:sz w:val="21"/>
                <w:szCs w:val="21"/>
              </w:rPr>
              <w:t>(m/d)</w:t>
            </w:r>
          </w:p>
        </w:tc>
        <w:tc>
          <w:tcPr>
            <w:tcW w:w="1343" w:type="dxa"/>
            <w:tcBorders>
              <w:top w:val="single" w:sz="4" w:space="0" w:color="auto"/>
              <w:left w:val="nil"/>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sz w:val="21"/>
                <w:szCs w:val="21"/>
              </w:rPr>
            </w:pPr>
            <w:r w:rsidRPr="00927E76">
              <w:rPr>
                <w:bCs/>
                <w:i/>
                <w:iCs/>
                <w:sz w:val="21"/>
                <w:szCs w:val="21"/>
              </w:rPr>
              <w:t>D</w:t>
            </w:r>
            <w:r w:rsidRPr="00927E76">
              <w:rPr>
                <w:bCs/>
                <w:i/>
                <w:iCs/>
                <w:sz w:val="21"/>
                <w:szCs w:val="21"/>
                <w:vertAlign w:val="subscript"/>
              </w:rPr>
              <w:t>L</w:t>
            </w:r>
            <w:r w:rsidRPr="00927E76">
              <w:rPr>
                <w:bCs/>
                <w:sz w:val="21"/>
                <w:szCs w:val="21"/>
              </w:rPr>
              <w:t>(m</w:t>
            </w:r>
            <w:r w:rsidRPr="00927E76">
              <w:rPr>
                <w:bCs/>
                <w:sz w:val="21"/>
                <w:szCs w:val="21"/>
                <w:vertAlign w:val="superscript"/>
              </w:rPr>
              <w:t>2</w:t>
            </w:r>
            <w:r w:rsidRPr="00927E76">
              <w:rPr>
                <w:bCs/>
                <w:sz w:val="21"/>
                <w:szCs w:val="21"/>
              </w:rPr>
              <w:t>/d)</w:t>
            </w:r>
          </w:p>
        </w:tc>
        <w:tc>
          <w:tcPr>
            <w:tcW w:w="1235" w:type="dxa"/>
            <w:tcBorders>
              <w:top w:val="single" w:sz="4" w:space="0" w:color="auto"/>
              <w:left w:val="nil"/>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sz w:val="21"/>
                <w:szCs w:val="21"/>
              </w:rPr>
            </w:pPr>
            <w:r w:rsidRPr="00927E76">
              <w:rPr>
                <w:bCs/>
                <w:i/>
                <w:iCs/>
                <w:sz w:val="21"/>
                <w:szCs w:val="21"/>
              </w:rPr>
              <w:t>D</w:t>
            </w:r>
            <w:r w:rsidRPr="00927E76">
              <w:rPr>
                <w:bCs/>
                <w:i/>
                <w:iCs/>
                <w:sz w:val="21"/>
                <w:szCs w:val="21"/>
                <w:vertAlign w:val="subscript"/>
              </w:rPr>
              <w:t>T</w:t>
            </w:r>
            <w:r w:rsidRPr="00927E76">
              <w:rPr>
                <w:bCs/>
                <w:sz w:val="21"/>
                <w:szCs w:val="21"/>
              </w:rPr>
              <w:t>(m</w:t>
            </w:r>
            <w:r w:rsidRPr="00927E76">
              <w:rPr>
                <w:bCs/>
                <w:sz w:val="21"/>
                <w:szCs w:val="21"/>
                <w:vertAlign w:val="superscript"/>
              </w:rPr>
              <w:t>2</w:t>
            </w:r>
            <w:r w:rsidRPr="00927E76">
              <w:rPr>
                <w:bCs/>
                <w:sz w:val="21"/>
                <w:szCs w:val="21"/>
              </w:rPr>
              <w:t>/d)</w:t>
            </w:r>
          </w:p>
        </w:tc>
      </w:tr>
      <w:tr w:rsidR="00C223F5" w:rsidRPr="00927E76">
        <w:trPr>
          <w:trHeight w:val="284"/>
          <w:jc w:val="center"/>
        </w:trPr>
        <w:tc>
          <w:tcPr>
            <w:tcW w:w="966" w:type="dxa"/>
            <w:tcBorders>
              <w:top w:val="single" w:sz="4" w:space="0" w:color="auto"/>
              <w:left w:val="single" w:sz="4" w:space="0" w:color="auto"/>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sz w:val="21"/>
                <w:szCs w:val="21"/>
              </w:rPr>
            </w:pPr>
            <w:r w:rsidRPr="00927E76">
              <w:rPr>
                <w:bCs/>
                <w:sz w:val="21"/>
                <w:szCs w:val="21"/>
              </w:rPr>
              <w:t>数值</w:t>
            </w:r>
          </w:p>
        </w:tc>
        <w:tc>
          <w:tcPr>
            <w:tcW w:w="1169" w:type="dxa"/>
            <w:tcBorders>
              <w:top w:val="single" w:sz="4" w:space="0" w:color="auto"/>
              <w:left w:val="nil"/>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sz w:val="21"/>
                <w:szCs w:val="21"/>
              </w:rPr>
            </w:pPr>
            <w:r w:rsidRPr="00927E76">
              <w:rPr>
                <w:rFonts w:hint="eastAsia"/>
                <w:bCs/>
                <w:sz w:val="21"/>
                <w:szCs w:val="21"/>
              </w:rPr>
              <w:t>0.3</w:t>
            </w:r>
          </w:p>
        </w:tc>
        <w:tc>
          <w:tcPr>
            <w:tcW w:w="1336" w:type="dxa"/>
            <w:tcBorders>
              <w:top w:val="single" w:sz="4" w:space="0" w:color="auto"/>
              <w:left w:val="nil"/>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sz w:val="21"/>
                <w:szCs w:val="21"/>
              </w:rPr>
            </w:pPr>
            <w:r w:rsidRPr="00927E76">
              <w:rPr>
                <w:bCs/>
                <w:sz w:val="21"/>
                <w:szCs w:val="21"/>
              </w:rPr>
              <w:t>0.0</w:t>
            </w:r>
            <w:r w:rsidRPr="00927E76">
              <w:rPr>
                <w:rFonts w:hint="eastAsia"/>
                <w:bCs/>
                <w:sz w:val="21"/>
                <w:szCs w:val="21"/>
              </w:rPr>
              <w:t>0</w:t>
            </w:r>
            <w:r w:rsidRPr="00927E76">
              <w:rPr>
                <w:bCs/>
                <w:sz w:val="21"/>
                <w:szCs w:val="21"/>
              </w:rPr>
              <w:t>15</w:t>
            </w:r>
          </w:p>
        </w:tc>
        <w:tc>
          <w:tcPr>
            <w:tcW w:w="1336" w:type="dxa"/>
            <w:tcBorders>
              <w:top w:val="single" w:sz="4" w:space="0" w:color="auto"/>
              <w:left w:val="nil"/>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sz w:val="21"/>
                <w:szCs w:val="21"/>
              </w:rPr>
            </w:pPr>
            <w:r w:rsidRPr="00927E76">
              <w:rPr>
                <w:rFonts w:hint="eastAsia"/>
                <w:bCs/>
                <w:sz w:val="21"/>
                <w:szCs w:val="21"/>
              </w:rPr>
              <w:t>25</w:t>
            </w:r>
          </w:p>
        </w:tc>
        <w:tc>
          <w:tcPr>
            <w:tcW w:w="1336" w:type="dxa"/>
            <w:tcBorders>
              <w:top w:val="single" w:sz="4" w:space="0" w:color="auto"/>
              <w:left w:val="nil"/>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sz w:val="21"/>
                <w:szCs w:val="21"/>
              </w:rPr>
            </w:pPr>
            <w:r w:rsidRPr="00927E76">
              <w:rPr>
                <w:rFonts w:hint="eastAsia"/>
                <w:bCs/>
                <w:sz w:val="21"/>
                <w:szCs w:val="21"/>
              </w:rPr>
              <w:t>0.125</w:t>
            </w:r>
          </w:p>
        </w:tc>
        <w:tc>
          <w:tcPr>
            <w:tcW w:w="1343" w:type="dxa"/>
            <w:tcBorders>
              <w:top w:val="single" w:sz="4" w:space="0" w:color="auto"/>
              <w:left w:val="nil"/>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sz w:val="21"/>
                <w:szCs w:val="21"/>
              </w:rPr>
            </w:pPr>
            <w:r w:rsidRPr="00927E76">
              <w:rPr>
                <w:rFonts w:hint="eastAsia"/>
                <w:bCs/>
                <w:sz w:val="21"/>
                <w:szCs w:val="21"/>
              </w:rPr>
              <w:t>1.25</w:t>
            </w:r>
          </w:p>
        </w:tc>
        <w:tc>
          <w:tcPr>
            <w:tcW w:w="1235" w:type="dxa"/>
            <w:tcBorders>
              <w:top w:val="single" w:sz="4" w:space="0" w:color="auto"/>
              <w:left w:val="nil"/>
              <w:bottom w:val="single" w:sz="4" w:space="0" w:color="auto"/>
              <w:right w:val="single" w:sz="4" w:space="0" w:color="auto"/>
            </w:tcBorders>
            <w:vAlign w:val="center"/>
          </w:tcPr>
          <w:p w:rsidR="00C223F5" w:rsidRPr="00927E76" w:rsidRDefault="005860D5" w:rsidP="00C006A7">
            <w:pPr>
              <w:pStyle w:val="36"/>
              <w:adjustRightInd w:val="0"/>
              <w:snapToGrid w:val="0"/>
              <w:spacing w:line="240" w:lineRule="auto"/>
              <w:ind w:firstLineChars="0" w:firstLine="0"/>
              <w:jc w:val="center"/>
              <w:rPr>
                <w:bCs/>
                <w:sz w:val="21"/>
                <w:szCs w:val="21"/>
              </w:rPr>
            </w:pPr>
            <w:r w:rsidRPr="00927E76">
              <w:rPr>
                <w:rFonts w:hint="eastAsia"/>
                <w:bCs/>
                <w:sz w:val="21"/>
                <w:szCs w:val="21"/>
              </w:rPr>
              <w:t>0.25</w:t>
            </w:r>
          </w:p>
        </w:tc>
      </w:tr>
    </w:tbl>
    <w:p w:rsidR="00C223F5" w:rsidRPr="00927E76" w:rsidRDefault="005860D5" w:rsidP="00C006A7">
      <w:pPr>
        <w:pStyle w:val="36"/>
        <w:adjustRightInd w:val="0"/>
        <w:snapToGrid w:val="0"/>
        <w:spacing w:beforeLines="50" w:before="120"/>
        <w:ind w:firstLine="542"/>
        <w:rPr>
          <w:b/>
          <w:bCs/>
        </w:rPr>
      </w:pPr>
      <w:r w:rsidRPr="00927E76">
        <w:rPr>
          <w:b/>
          <w:bCs/>
        </w:rPr>
        <w:t>（</w:t>
      </w:r>
      <w:r w:rsidRPr="00927E76">
        <w:rPr>
          <w:b/>
          <w:bCs/>
        </w:rPr>
        <w:t>7</w:t>
      </w:r>
      <w:r w:rsidRPr="00927E76">
        <w:rPr>
          <w:b/>
          <w:bCs/>
        </w:rPr>
        <w:t>）预测结果</w:t>
      </w:r>
    </w:p>
    <w:p w:rsidR="00C223F5" w:rsidRPr="00927E76" w:rsidRDefault="005860D5" w:rsidP="00C006A7">
      <w:pPr>
        <w:spacing w:line="360" w:lineRule="auto"/>
        <w:ind w:firstLine="480"/>
        <w:rPr>
          <w:sz w:val="24"/>
        </w:rPr>
      </w:pPr>
      <w:r w:rsidRPr="00927E76">
        <w:rPr>
          <w:bCs/>
          <w:sz w:val="24"/>
        </w:rPr>
        <w:t>根据预测结果，各预测时段污染物浓度分布情况见图</w:t>
      </w:r>
      <w:r w:rsidRPr="00927E76">
        <w:rPr>
          <w:bCs/>
          <w:sz w:val="24"/>
        </w:rPr>
        <w:t>4.</w:t>
      </w:r>
      <w:r w:rsidRPr="00927E76">
        <w:rPr>
          <w:rFonts w:hint="eastAsia"/>
          <w:bCs/>
          <w:sz w:val="24"/>
        </w:rPr>
        <w:t>2</w:t>
      </w:r>
      <w:r w:rsidRPr="00927E76">
        <w:rPr>
          <w:bCs/>
          <w:sz w:val="24"/>
        </w:rPr>
        <w:t>.2-1</w:t>
      </w:r>
      <w:r w:rsidRPr="00927E76">
        <w:rPr>
          <w:bCs/>
          <w:sz w:val="24"/>
        </w:rPr>
        <w:t>，</w:t>
      </w:r>
      <w:r w:rsidRPr="00927E76">
        <w:rPr>
          <w:sz w:val="24"/>
        </w:rPr>
        <w:t>各预测时段污染物影响情况见表</w:t>
      </w:r>
      <w:r w:rsidRPr="00927E76">
        <w:rPr>
          <w:sz w:val="24"/>
        </w:rPr>
        <w:t>4.</w:t>
      </w:r>
      <w:r w:rsidRPr="00927E76">
        <w:rPr>
          <w:rFonts w:hint="eastAsia"/>
          <w:sz w:val="24"/>
        </w:rPr>
        <w:t>2</w:t>
      </w:r>
      <w:r w:rsidRPr="00927E76">
        <w:rPr>
          <w:sz w:val="24"/>
        </w:rPr>
        <w:t>.2-3</w:t>
      </w:r>
      <w:r w:rsidRPr="00927E76">
        <w:rPr>
          <w:sz w:val="24"/>
        </w:rPr>
        <w:t>。</w:t>
      </w:r>
    </w:p>
    <w:p w:rsidR="00C223F5" w:rsidRPr="00927E76" w:rsidRDefault="005860D5" w:rsidP="00C006A7">
      <w:pPr>
        <w:ind w:firstLine="482"/>
        <w:jc w:val="center"/>
        <w:rPr>
          <w:b/>
          <w:bCs/>
          <w:sz w:val="24"/>
        </w:rPr>
      </w:pPr>
      <w:r w:rsidRPr="00927E76">
        <w:rPr>
          <w:b/>
          <w:sz w:val="24"/>
        </w:rPr>
        <w:t>表</w:t>
      </w:r>
      <w:r w:rsidRPr="00927E76">
        <w:rPr>
          <w:b/>
          <w:sz w:val="24"/>
        </w:rPr>
        <w:t>4.</w:t>
      </w:r>
      <w:r w:rsidRPr="00927E76">
        <w:rPr>
          <w:rFonts w:hint="eastAsia"/>
          <w:b/>
          <w:sz w:val="24"/>
        </w:rPr>
        <w:t>2</w:t>
      </w:r>
      <w:r w:rsidRPr="00927E76">
        <w:rPr>
          <w:b/>
          <w:sz w:val="24"/>
        </w:rPr>
        <w:t xml:space="preserve">.2-3  </w:t>
      </w:r>
      <w:r w:rsidRPr="00927E76">
        <w:rPr>
          <w:b/>
          <w:bCs/>
          <w:sz w:val="24"/>
        </w:rPr>
        <w:t>各预测时段污染物影响情况</w:t>
      </w:r>
    </w:p>
    <w:tbl>
      <w:tblP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1067"/>
        <w:gridCol w:w="3390"/>
        <w:gridCol w:w="1175"/>
        <w:gridCol w:w="1366"/>
      </w:tblGrid>
      <w:tr w:rsidR="00C223F5" w:rsidRPr="00927E76">
        <w:trPr>
          <w:trHeight w:val="284"/>
          <w:tblHeader/>
          <w:jc w:val="center"/>
        </w:trPr>
        <w:tc>
          <w:tcPr>
            <w:tcW w:w="1538" w:type="dxa"/>
            <w:vAlign w:val="center"/>
          </w:tcPr>
          <w:p w:rsidR="00C223F5" w:rsidRPr="00927E76" w:rsidRDefault="005860D5" w:rsidP="00C006A7">
            <w:pPr>
              <w:jc w:val="center"/>
              <w:rPr>
                <w:szCs w:val="21"/>
              </w:rPr>
            </w:pPr>
            <w:r w:rsidRPr="00927E76">
              <w:rPr>
                <w:szCs w:val="21"/>
              </w:rPr>
              <w:t>预测对象</w:t>
            </w:r>
          </w:p>
        </w:tc>
        <w:tc>
          <w:tcPr>
            <w:tcW w:w="1067" w:type="dxa"/>
            <w:vAlign w:val="center"/>
          </w:tcPr>
          <w:p w:rsidR="00C223F5" w:rsidRPr="00927E76" w:rsidRDefault="005860D5" w:rsidP="00C006A7">
            <w:pPr>
              <w:rPr>
                <w:szCs w:val="21"/>
              </w:rPr>
            </w:pPr>
            <w:r w:rsidRPr="00927E76">
              <w:rPr>
                <w:szCs w:val="21"/>
              </w:rPr>
              <w:t>污染物</w:t>
            </w:r>
          </w:p>
        </w:tc>
        <w:tc>
          <w:tcPr>
            <w:tcW w:w="3390" w:type="dxa"/>
            <w:vAlign w:val="center"/>
          </w:tcPr>
          <w:p w:rsidR="00C223F5" w:rsidRPr="00927E76" w:rsidRDefault="005860D5" w:rsidP="00C006A7">
            <w:pPr>
              <w:jc w:val="center"/>
              <w:rPr>
                <w:szCs w:val="21"/>
              </w:rPr>
            </w:pPr>
            <w:r w:rsidRPr="00927E76">
              <w:rPr>
                <w:szCs w:val="21"/>
              </w:rPr>
              <w:t>运移时间</w:t>
            </w:r>
          </w:p>
        </w:tc>
        <w:tc>
          <w:tcPr>
            <w:tcW w:w="1175" w:type="dxa"/>
            <w:vAlign w:val="center"/>
          </w:tcPr>
          <w:p w:rsidR="00C223F5" w:rsidRPr="00927E76" w:rsidRDefault="005860D5" w:rsidP="00C006A7">
            <w:pPr>
              <w:jc w:val="center"/>
              <w:rPr>
                <w:b/>
                <w:szCs w:val="21"/>
              </w:rPr>
            </w:pPr>
            <w:r w:rsidRPr="00927E76">
              <w:rPr>
                <w:b/>
                <w:szCs w:val="21"/>
              </w:rPr>
              <w:t>100</w:t>
            </w:r>
            <w:r w:rsidRPr="00927E76">
              <w:rPr>
                <w:szCs w:val="21"/>
              </w:rPr>
              <w:t>d</w:t>
            </w:r>
          </w:p>
        </w:tc>
        <w:tc>
          <w:tcPr>
            <w:tcW w:w="1366" w:type="dxa"/>
            <w:vAlign w:val="center"/>
          </w:tcPr>
          <w:p w:rsidR="00C223F5" w:rsidRPr="00927E76" w:rsidRDefault="005860D5" w:rsidP="00C006A7">
            <w:pPr>
              <w:jc w:val="center"/>
              <w:rPr>
                <w:b/>
                <w:szCs w:val="21"/>
              </w:rPr>
            </w:pPr>
            <w:r w:rsidRPr="00927E76">
              <w:rPr>
                <w:b/>
                <w:szCs w:val="21"/>
              </w:rPr>
              <w:t>1000</w:t>
            </w:r>
            <w:r w:rsidRPr="00927E76">
              <w:rPr>
                <w:szCs w:val="21"/>
              </w:rPr>
              <w:t>d</w:t>
            </w:r>
          </w:p>
        </w:tc>
      </w:tr>
      <w:tr w:rsidR="00C223F5" w:rsidRPr="00927E76">
        <w:trPr>
          <w:trHeight w:val="284"/>
          <w:jc w:val="center"/>
        </w:trPr>
        <w:tc>
          <w:tcPr>
            <w:tcW w:w="1538" w:type="dxa"/>
            <w:vMerge w:val="restart"/>
            <w:vAlign w:val="center"/>
          </w:tcPr>
          <w:p w:rsidR="00C223F5" w:rsidRPr="00927E76" w:rsidRDefault="005860D5" w:rsidP="00C006A7">
            <w:pPr>
              <w:jc w:val="center"/>
              <w:rPr>
                <w:szCs w:val="21"/>
              </w:rPr>
            </w:pPr>
            <w:r w:rsidRPr="00927E76">
              <w:rPr>
                <w:bCs/>
                <w:szCs w:val="21"/>
              </w:rPr>
              <w:t>调节池</w:t>
            </w:r>
          </w:p>
        </w:tc>
        <w:tc>
          <w:tcPr>
            <w:tcW w:w="1067" w:type="dxa"/>
            <w:vMerge w:val="restart"/>
            <w:vAlign w:val="center"/>
          </w:tcPr>
          <w:p w:rsidR="00C223F5" w:rsidRPr="00927E76" w:rsidRDefault="005860D5" w:rsidP="00C006A7">
            <w:pPr>
              <w:ind w:firstLineChars="50" w:firstLine="105"/>
              <w:rPr>
                <w:szCs w:val="21"/>
              </w:rPr>
            </w:pPr>
            <w:r w:rsidRPr="00927E76">
              <w:rPr>
                <w:szCs w:val="21"/>
              </w:rPr>
              <w:t>NH</w:t>
            </w:r>
            <w:r w:rsidRPr="00927E76">
              <w:rPr>
                <w:szCs w:val="21"/>
                <w:vertAlign w:val="subscript"/>
              </w:rPr>
              <w:t>3</w:t>
            </w:r>
            <w:r w:rsidRPr="00927E76">
              <w:rPr>
                <w:szCs w:val="21"/>
              </w:rPr>
              <w:t>-N</w:t>
            </w:r>
          </w:p>
        </w:tc>
        <w:tc>
          <w:tcPr>
            <w:tcW w:w="3390" w:type="dxa"/>
            <w:vAlign w:val="center"/>
          </w:tcPr>
          <w:p w:rsidR="00C223F5" w:rsidRPr="00927E76" w:rsidRDefault="005860D5" w:rsidP="00C006A7">
            <w:pPr>
              <w:jc w:val="center"/>
              <w:rPr>
                <w:szCs w:val="21"/>
              </w:rPr>
            </w:pPr>
            <w:r w:rsidRPr="00927E76">
              <w:rPr>
                <w:szCs w:val="21"/>
              </w:rPr>
              <w:t>最远运移距离</w:t>
            </w:r>
          </w:p>
        </w:tc>
        <w:tc>
          <w:tcPr>
            <w:tcW w:w="1175" w:type="dxa"/>
            <w:vAlign w:val="center"/>
          </w:tcPr>
          <w:p w:rsidR="00C223F5" w:rsidRPr="00927E76" w:rsidRDefault="005860D5" w:rsidP="00C006A7">
            <w:pPr>
              <w:jc w:val="center"/>
              <w:rPr>
                <w:szCs w:val="21"/>
              </w:rPr>
            </w:pPr>
            <w:r w:rsidRPr="00927E76">
              <w:rPr>
                <w:rFonts w:hint="eastAsia"/>
                <w:szCs w:val="21"/>
              </w:rPr>
              <w:t>68</w:t>
            </w:r>
            <w:r w:rsidRPr="00927E76">
              <w:rPr>
                <w:szCs w:val="21"/>
              </w:rPr>
              <w:t>m</w:t>
            </w:r>
          </w:p>
        </w:tc>
        <w:tc>
          <w:tcPr>
            <w:tcW w:w="1366" w:type="dxa"/>
            <w:vAlign w:val="center"/>
          </w:tcPr>
          <w:p w:rsidR="00C223F5" w:rsidRPr="00927E76" w:rsidRDefault="005860D5" w:rsidP="00C006A7">
            <w:pPr>
              <w:jc w:val="center"/>
              <w:rPr>
                <w:szCs w:val="21"/>
              </w:rPr>
            </w:pPr>
            <w:r w:rsidRPr="00927E76">
              <w:rPr>
                <w:rFonts w:hint="eastAsia"/>
                <w:szCs w:val="21"/>
              </w:rPr>
              <w:t>237</w:t>
            </w:r>
            <w:r w:rsidRPr="00927E76">
              <w:rPr>
                <w:szCs w:val="21"/>
              </w:rPr>
              <w:t>m</w:t>
            </w:r>
          </w:p>
        </w:tc>
      </w:tr>
      <w:tr w:rsidR="00C223F5" w:rsidRPr="00927E76">
        <w:trPr>
          <w:trHeight w:val="284"/>
          <w:jc w:val="center"/>
        </w:trPr>
        <w:tc>
          <w:tcPr>
            <w:tcW w:w="1538" w:type="dxa"/>
            <w:vMerge/>
            <w:vAlign w:val="center"/>
          </w:tcPr>
          <w:p w:rsidR="00C223F5" w:rsidRPr="00927E76" w:rsidRDefault="00C223F5" w:rsidP="00C006A7">
            <w:pPr>
              <w:jc w:val="center"/>
              <w:rPr>
                <w:szCs w:val="21"/>
              </w:rPr>
            </w:pPr>
          </w:p>
        </w:tc>
        <w:tc>
          <w:tcPr>
            <w:tcW w:w="1067" w:type="dxa"/>
            <w:vMerge/>
            <w:vAlign w:val="center"/>
          </w:tcPr>
          <w:p w:rsidR="00C223F5" w:rsidRPr="00927E76" w:rsidRDefault="00C223F5" w:rsidP="00C006A7">
            <w:pPr>
              <w:jc w:val="center"/>
              <w:rPr>
                <w:szCs w:val="21"/>
              </w:rPr>
            </w:pPr>
          </w:p>
        </w:tc>
        <w:tc>
          <w:tcPr>
            <w:tcW w:w="3390" w:type="dxa"/>
            <w:vAlign w:val="center"/>
          </w:tcPr>
          <w:p w:rsidR="00C223F5" w:rsidRPr="00927E76" w:rsidRDefault="005860D5" w:rsidP="00C006A7">
            <w:pPr>
              <w:jc w:val="center"/>
              <w:rPr>
                <w:szCs w:val="21"/>
              </w:rPr>
            </w:pPr>
            <w:r w:rsidRPr="00927E76">
              <w:rPr>
                <w:szCs w:val="21"/>
              </w:rPr>
              <w:t>超标范围面积（浓度</w:t>
            </w:r>
            <w:r w:rsidRPr="00927E76">
              <w:rPr>
                <w:szCs w:val="21"/>
              </w:rPr>
              <w:t>≥0.5mg/L</w:t>
            </w:r>
            <w:r w:rsidRPr="00927E76">
              <w:rPr>
                <w:szCs w:val="21"/>
              </w:rPr>
              <w:t>）</w:t>
            </w:r>
          </w:p>
        </w:tc>
        <w:tc>
          <w:tcPr>
            <w:tcW w:w="1175" w:type="dxa"/>
            <w:vAlign w:val="center"/>
          </w:tcPr>
          <w:p w:rsidR="00C223F5" w:rsidRPr="00927E76" w:rsidRDefault="005860D5" w:rsidP="00C006A7">
            <w:pPr>
              <w:jc w:val="center"/>
              <w:rPr>
                <w:szCs w:val="21"/>
              </w:rPr>
            </w:pPr>
            <w:r w:rsidRPr="00927E76">
              <w:rPr>
                <w:rFonts w:hint="eastAsia"/>
                <w:szCs w:val="21"/>
              </w:rPr>
              <w:t>446</w:t>
            </w:r>
            <w:r w:rsidRPr="00927E76">
              <w:rPr>
                <w:szCs w:val="21"/>
              </w:rPr>
              <w:t>m</w:t>
            </w:r>
            <w:r w:rsidRPr="00927E76">
              <w:rPr>
                <w:szCs w:val="21"/>
                <w:vertAlign w:val="superscript"/>
              </w:rPr>
              <w:t>2</w:t>
            </w:r>
          </w:p>
        </w:tc>
        <w:tc>
          <w:tcPr>
            <w:tcW w:w="1366" w:type="dxa"/>
            <w:vAlign w:val="center"/>
          </w:tcPr>
          <w:p w:rsidR="00C223F5" w:rsidRPr="00927E76" w:rsidRDefault="005860D5" w:rsidP="00C006A7">
            <w:pPr>
              <w:jc w:val="center"/>
              <w:rPr>
                <w:szCs w:val="21"/>
              </w:rPr>
            </w:pPr>
            <w:r w:rsidRPr="00927E76">
              <w:rPr>
                <w:rFonts w:hint="eastAsia"/>
                <w:szCs w:val="21"/>
              </w:rPr>
              <w:t>0</w:t>
            </w:r>
            <w:r w:rsidRPr="00927E76">
              <w:rPr>
                <w:szCs w:val="21"/>
              </w:rPr>
              <w:t>m</w:t>
            </w:r>
            <w:r w:rsidRPr="00927E76">
              <w:rPr>
                <w:szCs w:val="21"/>
                <w:vertAlign w:val="superscript"/>
              </w:rPr>
              <w:t>2</w:t>
            </w:r>
          </w:p>
        </w:tc>
      </w:tr>
      <w:tr w:rsidR="00C223F5" w:rsidRPr="00927E76">
        <w:trPr>
          <w:trHeight w:val="284"/>
          <w:jc w:val="center"/>
        </w:trPr>
        <w:tc>
          <w:tcPr>
            <w:tcW w:w="1538" w:type="dxa"/>
            <w:vMerge/>
            <w:vAlign w:val="center"/>
          </w:tcPr>
          <w:p w:rsidR="00C223F5" w:rsidRPr="00927E76" w:rsidRDefault="00C223F5" w:rsidP="00C006A7">
            <w:pPr>
              <w:jc w:val="center"/>
              <w:rPr>
                <w:szCs w:val="21"/>
              </w:rPr>
            </w:pPr>
          </w:p>
        </w:tc>
        <w:tc>
          <w:tcPr>
            <w:tcW w:w="1067" w:type="dxa"/>
            <w:vMerge/>
            <w:vAlign w:val="center"/>
          </w:tcPr>
          <w:p w:rsidR="00C223F5" w:rsidRPr="00927E76" w:rsidRDefault="00C223F5" w:rsidP="00C006A7">
            <w:pPr>
              <w:jc w:val="center"/>
              <w:rPr>
                <w:szCs w:val="21"/>
              </w:rPr>
            </w:pPr>
          </w:p>
        </w:tc>
        <w:tc>
          <w:tcPr>
            <w:tcW w:w="3390" w:type="dxa"/>
            <w:vAlign w:val="center"/>
          </w:tcPr>
          <w:p w:rsidR="00C223F5" w:rsidRPr="00927E76" w:rsidRDefault="005860D5" w:rsidP="00C006A7">
            <w:pPr>
              <w:jc w:val="center"/>
              <w:rPr>
                <w:szCs w:val="21"/>
              </w:rPr>
            </w:pPr>
            <w:r w:rsidRPr="00927E76">
              <w:rPr>
                <w:szCs w:val="21"/>
              </w:rPr>
              <w:t>影响范围面积（浓度</w:t>
            </w:r>
            <w:r w:rsidRPr="00927E76">
              <w:rPr>
                <w:szCs w:val="21"/>
              </w:rPr>
              <w:t>≥0.02mg/L</w:t>
            </w:r>
            <w:r w:rsidRPr="00927E76">
              <w:rPr>
                <w:szCs w:val="21"/>
              </w:rPr>
              <w:t>）</w:t>
            </w:r>
          </w:p>
        </w:tc>
        <w:tc>
          <w:tcPr>
            <w:tcW w:w="1175" w:type="dxa"/>
            <w:vAlign w:val="center"/>
          </w:tcPr>
          <w:p w:rsidR="00C223F5" w:rsidRPr="00927E76" w:rsidRDefault="005860D5" w:rsidP="00C006A7">
            <w:pPr>
              <w:jc w:val="center"/>
              <w:rPr>
                <w:szCs w:val="21"/>
              </w:rPr>
            </w:pPr>
            <w:r w:rsidRPr="00927E76">
              <w:rPr>
                <w:rFonts w:hint="eastAsia"/>
                <w:szCs w:val="21"/>
              </w:rPr>
              <w:t>3949</w:t>
            </w:r>
            <w:r w:rsidRPr="00927E76">
              <w:rPr>
                <w:szCs w:val="21"/>
              </w:rPr>
              <w:t>m</w:t>
            </w:r>
            <w:r w:rsidRPr="00927E76">
              <w:rPr>
                <w:szCs w:val="21"/>
                <w:vertAlign w:val="superscript"/>
              </w:rPr>
              <w:t>2</w:t>
            </w:r>
          </w:p>
        </w:tc>
        <w:tc>
          <w:tcPr>
            <w:tcW w:w="1366" w:type="dxa"/>
            <w:vAlign w:val="center"/>
          </w:tcPr>
          <w:p w:rsidR="00C223F5" w:rsidRPr="00927E76" w:rsidRDefault="005860D5" w:rsidP="00C006A7">
            <w:pPr>
              <w:jc w:val="center"/>
              <w:rPr>
                <w:szCs w:val="21"/>
              </w:rPr>
            </w:pPr>
            <w:r w:rsidRPr="00927E76">
              <w:rPr>
                <w:rFonts w:hint="eastAsia"/>
                <w:szCs w:val="21"/>
              </w:rPr>
              <w:t>13230</w:t>
            </w:r>
            <w:r w:rsidRPr="00927E76">
              <w:rPr>
                <w:szCs w:val="21"/>
              </w:rPr>
              <w:t>m</w:t>
            </w:r>
            <w:r w:rsidRPr="00927E76">
              <w:rPr>
                <w:szCs w:val="21"/>
                <w:vertAlign w:val="superscript"/>
              </w:rPr>
              <w:t>2</w:t>
            </w:r>
          </w:p>
        </w:tc>
      </w:tr>
    </w:tbl>
    <w:p w:rsidR="00C223F5" w:rsidRPr="00927E76" w:rsidRDefault="005860D5" w:rsidP="00C006A7">
      <w:pPr>
        <w:pStyle w:val="36"/>
        <w:spacing w:beforeLines="50" w:before="120"/>
        <w:rPr>
          <w:bCs/>
        </w:rPr>
      </w:pPr>
      <w:r w:rsidRPr="00927E76">
        <w:rPr>
          <w:bCs/>
        </w:rPr>
        <w:t>根据预测，在非正常状况下，通过地下水跟踪监测，生活污水会在一定时间</w:t>
      </w:r>
      <w:r w:rsidRPr="00927E76">
        <w:rPr>
          <w:bCs/>
        </w:rPr>
        <w:lastRenderedPageBreak/>
        <w:t>内进入地下含水层之后，</w:t>
      </w:r>
      <w:r w:rsidRPr="00927E76">
        <w:rPr>
          <w:bCs/>
        </w:rPr>
        <w:t>NH</w:t>
      </w:r>
      <w:r w:rsidRPr="00927E76">
        <w:rPr>
          <w:bCs/>
          <w:vertAlign w:val="subscript"/>
        </w:rPr>
        <w:t>3</w:t>
      </w:r>
      <w:r w:rsidRPr="00927E76">
        <w:rPr>
          <w:bCs/>
        </w:rPr>
        <w:t>-N</w:t>
      </w:r>
      <w:r w:rsidRPr="00927E76">
        <w:rPr>
          <w:bCs/>
        </w:rPr>
        <w:t>污染羽将不断向下游扩散，</w:t>
      </w:r>
      <w:r w:rsidRPr="00927E76">
        <w:rPr>
          <w:rFonts w:hint="eastAsia"/>
          <w:bCs/>
        </w:rPr>
        <w:t>在</w:t>
      </w:r>
      <w:r w:rsidRPr="00927E76">
        <w:rPr>
          <w:rFonts w:hint="eastAsia"/>
          <w:bCs/>
        </w:rPr>
        <w:t>100d</w:t>
      </w:r>
      <w:r w:rsidRPr="00927E76">
        <w:rPr>
          <w:rFonts w:hint="eastAsia"/>
          <w:bCs/>
        </w:rPr>
        <w:t>时，</w:t>
      </w:r>
      <w:r w:rsidRPr="00927E76">
        <w:rPr>
          <w:bCs/>
        </w:rPr>
        <w:t>NH</w:t>
      </w:r>
      <w:r w:rsidRPr="00927E76">
        <w:rPr>
          <w:bCs/>
          <w:vertAlign w:val="subscript"/>
        </w:rPr>
        <w:t>3</w:t>
      </w:r>
      <w:r w:rsidRPr="00927E76">
        <w:rPr>
          <w:bCs/>
        </w:rPr>
        <w:t>-N</w:t>
      </w:r>
      <w:r w:rsidRPr="00927E76">
        <w:rPr>
          <w:rFonts w:hint="eastAsia"/>
          <w:bCs/>
        </w:rPr>
        <w:t>仅在场界内</w:t>
      </w:r>
      <w:r w:rsidRPr="00927E76">
        <w:rPr>
          <w:bCs/>
        </w:rPr>
        <w:t>造成小范围的超标</w:t>
      </w:r>
      <w:r w:rsidRPr="00927E76">
        <w:rPr>
          <w:rFonts w:hint="eastAsia"/>
          <w:bCs/>
        </w:rPr>
        <w:t>，</w:t>
      </w:r>
      <w:r w:rsidRPr="00927E76">
        <w:rPr>
          <w:rFonts w:hint="eastAsia"/>
          <w:bCs/>
        </w:rPr>
        <w:t>1000d</w:t>
      </w:r>
      <w:r w:rsidRPr="00927E76">
        <w:rPr>
          <w:rFonts w:hint="eastAsia"/>
          <w:bCs/>
        </w:rPr>
        <w:t>时</w:t>
      </w:r>
      <w:r w:rsidRPr="00927E76">
        <w:rPr>
          <w:bCs/>
        </w:rPr>
        <w:t>污染羽</w:t>
      </w:r>
      <w:r w:rsidRPr="00927E76">
        <w:rPr>
          <w:rFonts w:hint="eastAsia"/>
          <w:bCs/>
        </w:rPr>
        <w:t>浓度满足水质要求，因此项目实施可后水质可以满足评价标准的要求</w:t>
      </w:r>
      <w:r w:rsidRPr="00927E76">
        <w:rPr>
          <w:bCs/>
        </w:rPr>
        <w:t>。</w:t>
      </w:r>
    </w:p>
    <w:p w:rsidR="00C223F5" w:rsidRPr="00927E76" w:rsidRDefault="005860D5" w:rsidP="00C006A7">
      <w:pPr>
        <w:pStyle w:val="36"/>
        <w:rPr>
          <w:bCs/>
        </w:rPr>
      </w:pPr>
      <w:r w:rsidRPr="00927E76">
        <w:rPr>
          <w:bCs/>
        </w:rPr>
        <w:t>环评要求矿井在运行过程中应加强工业场地集、储与处理构筑物的维护，确保防渗措施达到防渗等级要求</w:t>
      </w:r>
      <w:r w:rsidRPr="00927E76">
        <w:rPr>
          <w:rFonts w:hint="eastAsia"/>
          <w:bCs/>
        </w:rPr>
        <w:t>；一旦发现防渗措施因腐蚀、老化等原因失效，应立即采取措施对失效区域进行治理达到防渗等要求。</w:t>
      </w:r>
      <w:r w:rsidRPr="00927E76">
        <w:rPr>
          <w:bCs/>
        </w:rPr>
        <w:t>另外矿井在运行期应加强地下水水质的跟踪监测，确保在非正常状况下污废水渗漏能够被及时发现，确保污废水渗漏不会对地下水造成大的影响。</w:t>
      </w:r>
    </w:p>
    <w:bookmarkEnd w:id="386"/>
    <w:bookmarkEnd w:id="387"/>
    <w:p w:rsidR="00C223F5" w:rsidRPr="00927E76" w:rsidRDefault="005860D5" w:rsidP="004835BD">
      <w:pPr>
        <w:pStyle w:val="4"/>
        <w:spacing w:before="0" w:after="0" w:line="360" w:lineRule="auto"/>
        <w:ind w:firstLineChars="100" w:firstLine="240"/>
        <w:rPr>
          <w:szCs w:val="24"/>
        </w:rPr>
      </w:pPr>
      <w:r w:rsidRPr="00927E76">
        <w:rPr>
          <w:rFonts w:hint="eastAsia"/>
          <w:szCs w:val="24"/>
        </w:rPr>
        <w:t>4.2.2.4</w:t>
      </w:r>
      <w:r w:rsidRPr="00927E76">
        <w:rPr>
          <w:rFonts w:hint="eastAsia"/>
          <w:szCs w:val="24"/>
        </w:rPr>
        <w:t>采煤对地下水含（隔）水层的影响预测</w:t>
      </w:r>
    </w:p>
    <w:p w:rsidR="00C223F5" w:rsidRPr="00927E76" w:rsidRDefault="005860D5" w:rsidP="00C006A7">
      <w:pPr>
        <w:spacing w:line="360" w:lineRule="auto"/>
        <w:ind w:firstLineChars="200" w:firstLine="482"/>
        <w:rPr>
          <w:b/>
          <w:sz w:val="24"/>
        </w:rPr>
      </w:pPr>
      <w:r w:rsidRPr="00927E76">
        <w:rPr>
          <w:rFonts w:hint="eastAsia"/>
          <w:b/>
          <w:sz w:val="24"/>
        </w:rPr>
        <w:t>（一）采煤冒落带、导水裂缝带及保护层高度预测</w:t>
      </w:r>
    </w:p>
    <w:p w:rsidR="00C223F5" w:rsidRPr="00927E76" w:rsidRDefault="005860D5">
      <w:pPr>
        <w:pStyle w:val="aff1"/>
        <w:spacing w:line="360" w:lineRule="auto"/>
        <w:ind w:left="0" w:firstLineChars="200" w:firstLine="480"/>
      </w:pPr>
      <w:r w:rsidRPr="00927E76">
        <w:rPr>
          <w:rFonts w:hint="eastAsia"/>
        </w:rPr>
        <w:t>本次开采</w:t>
      </w:r>
      <w:r w:rsidRPr="00927E76">
        <w:rPr>
          <w:kern w:val="0"/>
        </w:rPr>
        <w:t>4</w:t>
      </w:r>
      <w:r w:rsidRPr="00927E76">
        <w:rPr>
          <w:kern w:val="0"/>
          <w:vertAlign w:val="superscript"/>
        </w:rPr>
        <w:t>-1</w:t>
      </w:r>
      <w:r w:rsidRPr="00927E76">
        <w:rPr>
          <w:rFonts w:hAnsi="宋体"/>
          <w:kern w:val="0"/>
        </w:rPr>
        <w:t>、</w:t>
      </w:r>
      <w:r w:rsidRPr="00927E76">
        <w:rPr>
          <w:kern w:val="0"/>
        </w:rPr>
        <w:t>4</w:t>
      </w:r>
      <w:r w:rsidRPr="00927E76">
        <w:rPr>
          <w:kern w:val="0"/>
          <w:vertAlign w:val="superscript"/>
        </w:rPr>
        <w:t>-2</w:t>
      </w:r>
      <w:r w:rsidRPr="00927E76">
        <w:rPr>
          <w:rFonts w:hAnsi="宋体"/>
          <w:kern w:val="0"/>
        </w:rPr>
        <w:t>煤层，</w:t>
      </w:r>
      <w:r w:rsidRPr="00927E76">
        <w:rPr>
          <w:rFonts w:hAnsi="宋体" w:hint="eastAsia"/>
          <w:kern w:val="0"/>
        </w:rPr>
        <w:t>均采用</w:t>
      </w:r>
      <w:r w:rsidRPr="00927E76">
        <w:rPr>
          <w:rFonts w:hAnsi="宋体" w:hint="eastAsia"/>
        </w:rPr>
        <w:t>长壁后退式一次采全高采煤方法，综采采煤工艺，全部垮落法管理顶板。</w:t>
      </w:r>
      <w:r w:rsidRPr="00927E76">
        <w:t>井工矿煤层开采产生的冒落带、导水裂隙带高度预测模式选用《煤矿床水文地质、工程地质及环境地质勘查评价标准》（</w:t>
      </w:r>
      <w:r w:rsidRPr="00927E76">
        <w:t>MT/T 1091-2008</w:t>
      </w:r>
      <w:r w:rsidRPr="00927E76">
        <w:t>）中推荐的公式，保护层高度预测选用《建筑物、水体、铁路及主要井巷煤柱留设与压煤开采规</w:t>
      </w:r>
      <w:r w:rsidRPr="00927E76">
        <w:rPr>
          <w:rFonts w:hint="eastAsia"/>
        </w:rPr>
        <w:t>范</w:t>
      </w:r>
      <w:r w:rsidRPr="00927E76">
        <w:t>》中推荐的模式进行。</w:t>
      </w:r>
    </w:p>
    <w:p w:rsidR="00C223F5" w:rsidRPr="00927E76" w:rsidRDefault="005860D5">
      <w:pPr>
        <w:spacing w:line="360" w:lineRule="auto"/>
        <w:ind w:firstLineChars="200" w:firstLine="482"/>
        <w:rPr>
          <w:b/>
          <w:sz w:val="24"/>
          <w:szCs w:val="22"/>
        </w:rPr>
      </w:pPr>
      <w:r w:rsidRPr="00927E76">
        <w:rPr>
          <w:b/>
          <w:sz w:val="24"/>
          <w:szCs w:val="22"/>
        </w:rPr>
        <w:t>（</w:t>
      </w:r>
      <w:r w:rsidRPr="00927E76">
        <w:rPr>
          <w:rFonts w:hint="eastAsia"/>
          <w:b/>
          <w:sz w:val="24"/>
          <w:szCs w:val="22"/>
        </w:rPr>
        <w:t>1</w:t>
      </w:r>
      <w:r w:rsidRPr="00927E76">
        <w:rPr>
          <w:b/>
          <w:sz w:val="24"/>
          <w:szCs w:val="22"/>
        </w:rPr>
        <w:t>）垮落带</w:t>
      </w:r>
      <w:r w:rsidRPr="00927E76">
        <w:rPr>
          <w:rFonts w:hint="eastAsia"/>
          <w:b/>
          <w:sz w:val="24"/>
          <w:szCs w:val="22"/>
        </w:rPr>
        <w:t>（</w:t>
      </w:r>
      <w:proofErr w:type="spellStart"/>
      <w:r w:rsidRPr="00927E76">
        <w:rPr>
          <w:i/>
          <w:sz w:val="24"/>
          <w:szCs w:val="22"/>
        </w:rPr>
        <w:t>H</w:t>
      </w:r>
      <w:r w:rsidRPr="00927E76">
        <w:rPr>
          <w:i/>
          <w:sz w:val="24"/>
          <w:szCs w:val="22"/>
          <w:vertAlign w:val="subscript"/>
        </w:rPr>
        <w:t>c</w:t>
      </w:r>
      <w:proofErr w:type="spellEnd"/>
      <w:r w:rsidRPr="00927E76">
        <w:rPr>
          <w:rFonts w:hint="eastAsia"/>
          <w:b/>
          <w:sz w:val="24"/>
          <w:szCs w:val="22"/>
        </w:rPr>
        <w:t>）</w:t>
      </w:r>
    </w:p>
    <w:p w:rsidR="00C223F5" w:rsidRPr="00927E76" w:rsidRDefault="005860D5">
      <w:pPr>
        <w:spacing w:line="360" w:lineRule="auto"/>
        <w:ind w:firstLineChars="200" w:firstLine="480"/>
        <w:rPr>
          <w:sz w:val="24"/>
          <w:szCs w:val="22"/>
        </w:rPr>
      </w:pPr>
      <w:proofErr w:type="spellStart"/>
      <w:r w:rsidRPr="00927E76">
        <w:rPr>
          <w:i/>
          <w:sz w:val="24"/>
          <w:szCs w:val="22"/>
        </w:rPr>
        <w:t>H</w:t>
      </w:r>
      <w:r w:rsidRPr="00927E76">
        <w:rPr>
          <w:i/>
          <w:sz w:val="24"/>
          <w:szCs w:val="22"/>
          <w:vertAlign w:val="subscript"/>
        </w:rPr>
        <w:t>c</w:t>
      </w:r>
      <w:proofErr w:type="spellEnd"/>
      <w:r w:rsidRPr="00927E76">
        <w:rPr>
          <w:i/>
          <w:sz w:val="24"/>
          <w:szCs w:val="22"/>
        </w:rPr>
        <w:t>=</w:t>
      </w:r>
      <w:r w:rsidRPr="00927E76">
        <w:rPr>
          <w:rFonts w:hint="eastAsia"/>
          <w:i/>
          <w:sz w:val="24"/>
          <w:szCs w:val="22"/>
        </w:rPr>
        <w:t>3.5</w:t>
      </w:r>
      <w:r w:rsidRPr="00927E76">
        <w:rPr>
          <w:i/>
          <w:sz w:val="24"/>
          <w:szCs w:val="22"/>
        </w:rPr>
        <w:t>M</w:t>
      </w:r>
      <w:r w:rsidRPr="00927E76">
        <w:rPr>
          <w:i/>
          <w:sz w:val="24"/>
          <w:szCs w:val="22"/>
        </w:rPr>
        <w:t>，</w:t>
      </w:r>
      <w:r w:rsidRPr="00927E76">
        <w:rPr>
          <w:rFonts w:hint="eastAsia"/>
          <w:sz w:val="24"/>
          <w:szCs w:val="22"/>
        </w:rPr>
        <w:t>（</w:t>
      </w:r>
      <w:r w:rsidRPr="00927E76">
        <w:rPr>
          <w:sz w:val="24"/>
          <w:szCs w:val="22"/>
        </w:rPr>
        <w:t>m</w:t>
      </w:r>
      <w:r w:rsidRPr="00927E76">
        <w:rPr>
          <w:rFonts w:hint="eastAsia"/>
          <w:sz w:val="24"/>
          <w:szCs w:val="22"/>
        </w:rPr>
        <w:t>）或；</w:t>
      </w:r>
      <w:proofErr w:type="spellStart"/>
      <w:r w:rsidRPr="00927E76">
        <w:rPr>
          <w:i/>
          <w:sz w:val="24"/>
          <w:szCs w:val="22"/>
        </w:rPr>
        <w:t>H</w:t>
      </w:r>
      <w:r w:rsidRPr="00927E76">
        <w:rPr>
          <w:rFonts w:hint="eastAsia"/>
          <w:i/>
          <w:sz w:val="24"/>
          <w:szCs w:val="22"/>
          <w:vertAlign w:val="subscript"/>
        </w:rPr>
        <w:t>k</w:t>
      </w:r>
      <w:proofErr w:type="spellEnd"/>
      <w:r w:rsidRPr="00927E76">
        <w:rPr>
          <w:i/>
          <w:sz w:val="24"/>
          <w:szCs w:val="22"/>
        </w:rPr>
        <w:t>=</w:t>
      </w:r>
      <m:oMath>
        <m:f>
          <m:fPr>
            <m:ctrlPr>
              <w:rPr>
                <w:rFonts w:ascii="Cambria Math" w:hAnsi="Cambria Math"/>
                <w:sz w:val="24"/>
                <w:szCs w:val="22"/>
              </w:rPr>
            </m:ctrlPr>
          </m:fPr>
          <m:num>
            <m:r>
              <m:rPr>
                <m:sty m:val="p"/>
              </m:rPr>
              <w:rPr>
                <w:rFonts w:ascii="Cambria Math"/>
                <w:sz w:val="24"/>
                <w:szCs w:val="22"/>
              </w:rPr>
              <m:t>100</m:t>
            </m:r>
            <m:nary>
              <m:naryPr>
                <m:chr m:val="∑"/>
                <m:limLoc m:val="undOvr"/>
                <m:subHide m:val="1"/>
                <m:supHide m:val="1"/>
                <m:ctrlPr>
                  <w:rPr>
                    <w:rFonts w:ascii="Cambria Math" w:hAnsi="Cambria Math"/>
                    <w:sz w:val="24"/>
                    <w:szCs w:val="22"/>
                  </w:rPr>
                </m:ctrlPr>
              </m:naryPr>
              <m:sub/>
              <m:sup/>
              <m:e>
                <m:r>
                  <w:rPr>
                    <w:rFonts w:ascii="Cambria Math" w:hAnsi="Cambria Math"/>
                    <w:sz w:val="24"/>
                    <w:szCs w:val="22"/>
                  </w:rPr>
                  <m:t>M</m:t>
                </m:r>
              </m:e>
            </m:nary>
          </m:num>
          <m:den>
            <m:r>
              <m:rPr>
                <m:sty m:val="p"/>
              </m:rPr>
              <w:rPr>
                <w:rFonts w:ascii="Cambria Math"/>
                <w:sz w:val="24"/>
                <w:szCs w:val="22"/>
              </w:rPr>
              <m:t>4.7</m:t>
            </m:r>
            <m:nary>
              <m:naryPr>
                <m:chr m:val="∑"/>
                <m:limLoc m:val="undOvr"/>
                <m:subHide m:val="1"/>
                <m:supHide m:val="1"/>
                <m:ctrlPr>
                  <w:rPr>
                    <w:rFonts w:ascii="Cambria Math" w:hAnsi="Cambria Math"/>
                    <w:sz w:val="24"/>
                    <w:szCs w:val="22"/>
                  </w:rPr>
                </m:ctrlPr>
              </m:naryPr>
              <m:sub/>
              <m:sup/>
              <m:e>
                <m:r>
                  <w:rPr>
                    <w:rFonts w:ascii="Cambria Math"/>
                    <w:sz w:val="24"/>
                    <w:szCs w:val="22"/>
                  </w:rPr>
                  <m:t>M</m:t>
                </m:r>
              </m:e>
            </m:nary>
            <m:r>
              <m:rPr>
                <m:sty m:val="p"/>
              </m:rPr>
              <w:rPr>
                <w:rFonts w:ascii="Cambria Math"/>
                <w:sz w:val="24"/>
                <w:szCs w:val="22"/>
              </w:rPr>
              <m:t>+19</m:t>
            </m:r>
          </m:den>
        </m:f>
        <m:r>
          <m:rPr>
            <m:sty m:val="p"/>
          </m:rPr>
          <w:rPr>
            <w:rFonts w:ascii="Cambria Math"/>
            <w:sz w:val="24"/>
            <w:szCs w:val="22"/>
          </w:rPr>
          <m:t>+</m:t>
        </m:r>
        <m:r>
          <m:rPr>
            <m:sty m:val="p"/>
          </m:rPr>
          <w:rPr>
            <w:rFonts w:ascii="Cambria Math"/>
          </w:rPr>
          <m:t>2.2</m:t>
        </m:r>
      </m:oMath>
      <w:r w:rsidRPr="00927E76">
        <w:rPr>
          <w:i/>
          <w:sz w:val="24"/>
          <w:szCs w:val="22"/>
        </w:rPr>
        <w:t>，</w:t>
      </w:r>
      <w:r w:rsidRPr="00927E76">
        <w:rPr>
          <w:sz w:val="24"/>
          <w:szCs w:val="22"/>
        </w:rPr>
        <w:t>（</w:t>
      </w:r>
      <w:r w:rsidRPr="00927E76">
        <w:rPr>
          <w:sz w:val="24"/>
          <w:szCs w:val="22"/>
        </w:rPr>
        <w:t>m</w:t>
      </w:r>
      <w:r w:rsidRPr="00927E76">
        <w:rPr>
          <w:sz w:val="24"/>
          <w:szCs w:val="22"/>
        </w:rPr>
        <w:t>）式中：</w:t>
      </w:r>
      <w:r w:rsidRPr="00927E76">
        <w:rPr>
          <w:i/>
          <w:sz w:val="24"/>
          <w:szCs w:val="22"/>
        </w:rPr>
        <w:t xml:space="preserve"> M</w:t>
      </w:r>
      <w:r w:rsidRPr="00927E76">
        <w:rPr>
          <w:sz w:val="24"/>
          <w:szCs w:val="22"/>
        </w:rPr>
        <w:t>—</w:t>
      </w:r>
      <w:r w:rsidRPr="00927E76">
        <w:rPr>
          <w:sz w:val="24"/>
          <w:szCs w:val="22"/>
        </w:rPr>
        <w:t>累计厚度（</w:t>
      </w:r>
      <w:r w:rsidRPr="00927E76">
        <w:rPr>
          <w:sz w:val="24"/>
          <w:szCs w:val="22"/>
        </w:rPr>
        <w:t>m</w:t>
      </w:r>
      <w:r w:rsidRPr="00927E76">
        <w:rPr>
          <w:sz w:val="24"/>
          <w:szCs w:val="22"/>
        </w:rPr>
        <w:t>）。</w:t>
      </w:r>
    </w:p>
    <w:p w:rsidR="00C223F5" w:rsidRPr="00927E76" w:rsidRDefault="005860D5">
      <w:pPr>
        <w:spacing w:line="360" w:lineRule="auto"/>
        <w:ind w:firstLineChars="200" w:firstLine="482"/>
        <w:rPr>
          <w:b/>
          <w:sz w:val="24"/>
          <w:szCs w:val="22"/>
        </w:rPr>
      </w:pPr>
      <w:r w:rsidRPr="00927E76">
        <w:rPr>
          <w:b/>
          <w:sz w:val="24"/>
          <w:szCs w:val="22"/>
        </w:rPr>
        <w:t>（</w:t>
      </w:r>
      <w:r w:rsidRPr="00927E76">
        <w:rPr>
          <w:rFonts w:hint="eastAsia"/>
          <w:b/>
          <w:sz w:val="24"/>
          <w:szCs w:val="22"/>
        </w:rPr>
        <w:t>2</w:t>
      </w:r>
      <w:r w:rsidRPr="00927E76">
        <w:rPr>
          <w:b/>
          <w:sz w:val="24"/>
          <w:szCs w:val="22"/>
        </w:rPr>
        <w:t>）导水裂隙带</w:t>
      </w:r>
      <w:r w:rsidRPr="00927E76">
        <w:rPr>
          <w:rFonts w:hint="eastAsia"/>
          <w:b/>
          <w:sz w:val="24"/>
          <w:szCs w:val="22"/>
        </w:rPr>
        <w:t>（</w:t>
      </w:r>
      <w:r w:rsidRPr="00927E76">
        <w:rPr>
          <w:i/>
          <w:sz w:val="24"/>
          <w:szCs w:val="22"/>
        </w:rPr>
        <w:t>H</w:t>
      </w:r>
      <w:r w:rsidRPr="00927E76">
        <w:rPr>
          <w:i/>
          <w:sz w:val="24"/>
          <w:szCs w:val="22"/>
          <w:vertAlign w:val="subscript"/>
        </w:rPr>
        <w:t>f</w:t>
      </w:r>
      <w:r w:rsidRPr="00927E76">
        <w:rPr>
          <w:rFonts w:hint="eastAsia"/>
          <w:b/>
          <w:sz w:val="24"/>
          <w:szCs w:val="22"/>
        </w:rPr>
        <w:t>）</w:t>
      </w:r>
    </w:p>
    <w:p w:rsidR="00C223F5" w:rsidRPr="00927E76" w:rsidRDefault="005860D5">
      <w:pPr>
        <w:spacing w:line="360" w:lineRule="auto"/>
        <w:ind w:firstLineChars="200" w:firstLine="480"/>
        <w:rPr>
          <w:sz w:val="24"/>
          <w:szCs w:val="22"/>
        </w:rPr>
      </w:pPr>
      <w:r w:rsidRPr="00927E76">
        <w:rPr>
          <w:i/>
          <w:sz w:val="24"/>
          <w:szCs w:val="22"/>
        </w:rPr>
        <w:t>H</w:t>
      </w:r>
      <w:r w:rsidRPr="00927E76">
        <w:rPr>
          <w:i/>
          <w:sz w:val="24"/>
          <w:szCs w:val="22"/>
          <w:vertAlign w:val="subscript"/>
        </w:rPr>
        <w:t>f</w:t>
      </w:r>
      <w:r w:rsidRPr="00927E76">
        <w:rPr>
          <w:i/>
          <w:sz w:val="24"/>
          <w:szCs w:val="22"/>
        </w:rPr>
        <w:t>=</w:t>
      </w:r>
      <m:oMath>
        <m:f>
          <m:fPr>
            <m:ctrlPr>
              <w:rPr>
                <w:rFonts w:ascii="Cambria Math" w:hAnsi="Cambria Math"/>
                <w:sz w:val="24"/>
                <w:szCs w:val="22"/>
              </w:rPr>
            </m:ctrlPr>
          </m:fPr>
          <m:num>
            <m:r>
              <m:rPr>
                <m:sty m:val="p"/>
              </m:rPr>
              <w:rPr>
                <w:rFonts w:ascii="Cambria Math"/>
                <w:sz w:val="24"/>
                <w:szCs w:val="22"/>
              </w:rPr>
              <m:t>100</m:t>
            </m:r>
            <m:nary>
              <m:naryPr>
                <m:chr m:val="∑"/>
                <m:limLoc m:val="undOvr"/>
                <m:subHide m:val="1"/>
                <m:supHide m:val="1"/>
                <m:ctrlPr>
                  <w:rPr>
                    <w:rFonts w:ascii="Cambria Math" w:hAnsi="Cambria Math"/>
                    <w:sz w:val="24"/>
                    <w:szCs w:val="22"/>
                  </w:rPr>
                </m:ctrlPr>
              </m:naryPr>
              <m:sub/>
              <m:sup/>
              <m:e>
                <m:r>
                  <w:rPr>
                    <w:rFonts w:ascii="Cambria Math" w:hAnsi="Cambria Math"/>
                    <w:sz w:val="24"/>
                    <w:szCs w:val="22"/>
                  </w:rPr>
                  <m:t>M</m:t>
                </m:r>
              </m:e>
            </m:nary>
          </m:num>
          <m:den>
            <m:r>
              <m:rPr>
                <m:sty m:val="p"/>
              </m:rPr>
              <w:rPr>
                <w:rFonts w:ascii="Cambria Math"/>
                <w:sz w:val="24"/>
                <w:szCs w:val="22"/>
              </w:rPr>
              <m:t>1.6</m:t>
            </m:r>
            <m:nary>
              <m:naryPr>
                <m:chr m:val="∑"/>
                <m:limLoc m:val="undOvr"/>
                <m:subHide m:val="1"/>
                <m:supHide m:val="1"/>
                <m:ctrlPr>
                  <w:rPr>
                    <w:rFonts w:ascii="Cambria Math" w:hAnsi="Cambria Math"/>
                    <w:sz w:val="24"/>
                    <w:szCs w:val="22"/>
                  </w:rPr>
                </m:ctrlPr>
              </m:naryPr>
              <m:sub/>
              <m:sup/>
              <m:e>
                <m:r>
                  <w:rPr>
                    <w:rFonts w:ascii="Cambria Math" w:hAnsi="Cambria Math"/>
                    <w:sz w:val="24"/>
                    <w:szCs w:val="22"/>
                  </w:rPr>
                  <m:t>M</m:t>
                </m:r>
              </m:e>
            </m:nary>
            <m:r>
              <m:rPr>
                <m:sty m:val="p"/>
              </m:rPr>
              <w:rPr>
                <w:rFonts w:ascii="Cambria Math"/>
                <w:sz w:val="24"/>
                <w:szCs w:val="22"/>
              </w:rPr>
              <m:t>+3.6</m:t>
            </m:r>
          </m:den>
        </m:f>
        <m:r>
          <m:rPr>
            <m:sty m:val="p"/>
          </m:rPr>
          <w:rPr>
            <w:rFonts w:ascii="Cambria Math"/>
            <w:sz w:val="24"/>
            <w:szCs w:val="22"/>
          </w:rPr>
          <m:t>+</m:t>
        </m:r>
        <m:r>
          <m:rPr>
            <m:sty m:val="p"/>
          </m:rPr>
          <w:rPr>
            <w:rFonts w:ascii="Cambria Math" w:hAnsi="Cambria Math"/>
          </w:rPr>
          <m:t>5.6</m:t>
        </m:r>
      </m:oMath>
      <w:r w:rsidRPr="00927E76">
        <w:rPr>
          <w:sz w:val="24"/>
          <w:szCs w:val="22"/>
        </w:rPr>
        <w:t>，（</w:t>
      </w:r>
      <w:r w:rsidRPr="00927E76">
        <w:rPr>
          <w:sz w:val="24"/>
          <w:szCs w:val="22"/>
        </w:rPr>
        <w:t>m</w:t>
      </w:r>
      <w:r w:rsidRPr="00927E76">
        <w:rPr>
          <w:sz w:val="24"/>
          <w:szCs w:val="22"/>
        </w:rPr>
        <w:t>）</w:t>
      </w:r>
      <w:r w:rsidRPr="00927E76">
        <w:rPr>
          <w:rFonts w:hint="eastAsia"/>
          <w:sz w:val="24"/>
          <w:szCs w:val="22"/>
        </w:rPr>
        <w:t>或</w:t>
      </w:r>
      <w:r w:rsidRPr="00927E76">
        <w:rPr>
          <w:i/>
          <w:sz w:val="24"/>
          <w:szCs w:val="22"/>
        </w:rPr>
        <w:t>H</w:t>
      </w:r>
      <w:r w:rsidRPr="00927E76">
        <w:rPr>
          <w:i/>
          <w:sz w:val="24"/>
          <w:szCs w:val="22"/>
          <w:vertAlign w:val="subscript"/>
        </w:rPr>
        <w:t>f</w:t>
      </w:r>
      <w:r w:rsidRPr="00927E76">
        <w:rPr>
          <w:i/>
          <w:sz w:val="24"/>
          <w:szCs w:val="22"/>
        </w:rPr>
        <w:t>=</w:t>
      </w:r>
      <w:r w:rsidRPr="00927E76">
        <w:rPr>
          <w:rFonts w:hint="eastAsia"/>
          <w:sz w:val="24"/>
          <w:szCs w:val="22"/>
        </w:rPr>
        <w:t>20</w:t>
      </w:r>
      <m:oMath>
        <m:rad>
          <m:radPr>
            <m:degHide m:val="1"/>
            <m:ctrlPr>
              <w:rPr>
                <w:rFonts w:ascii="Cambria Math" w:hAnsi="Cambria Math"/>
                <w:sz w:val="24"/>
                <w:szCs w:val="22"/>
              </w:rPr>
            </m:ctrlPr>
          </m:radPr>
          <m:deg/>
          <m:e>
            <m:nary>
              <m:naryPr>
                <m:chr m:val="∑"/>
                <m:limLoc m:val="undOvr"/>
                <m:subHide m:val="1"/>
                <m:supHide m:val="1"/>
                <m:ctrlPr>
                  <w:rPr>
                    <w:rFonts w:ascii="Cambria Math" w:hAnsi="Cambria Math"/>
                    <w:i/>
                    <w:sz w:val="24"/>
                    <w:szCs w:val="22"/>
                  </w:rPr>
                </m:ctrlPr>
              </m:naryPr>
              <m:sub/>
              <m:sup/>
              <m:e>
                <m:r>
                  <w:rPr>
                    <w:rFonts w:ascii="Cambria Math" w:hAnsi="Cambria Math"/>
                    <w:sz w:val="24"/>
                    <w:szCs w:val="22"/>
                  </w:rPr>
                  <m:t>M</m:t>
                </m:r>
              </m:e>
            </m:nary>
          </m:e>
        </m:rad>
      </m:oMath>
      <w:r w:rsidRPr="00927E76">
        <w:rPr>
          <w:i/>
          <w:sz w:val="24"/>
          <w:szCs w:val="22"/>
        </w:rPr>
        <w:t xml:space="preserve"> +</w:t>
      </w:r>
      <w:r w:rsidRPr="00927E76">
        <w:rPr>
          <w:rFonts w:hint="eastAsia"/>
          <w:sz w:val="24"/>
          <w:szCs w:val="22"/>
        </w:rPr>
        <w:t>10</w:t>
      </w:r>
      <w:r w:rsidRPr="00927E76">
        <w:rPr>
          <w:sz w:val="24"/>
          <w:szCs w:val="22"/>
        </w:rPr>
        <w:t>，（</w:t>
      </w:r>
      <w:r w:rsidRPr="00927E76">
        <w:rPr>
          <w:sz w:val="24"/>
          <w:szCs w:val="22"/>
        </w:rPr>
        <w:t>m</w:t>
      </w:r>
      <w:r w:rsidRPr="00927E76">
        <w:rPr>
          <w:sz w:val="24"/>
          <w:szCs w:val="22"/>
        </w:rPr>
        <w:t>）；式中：</w:t>
      </w:r>
      <w:r w:rsidRPr="00927E76">
        <w:rPr>
          <w:i/>
          <w:sz w:val="24"/>
          <w:szCs w:val="22"/>
        </w:rPr>
        <w:t>M</w:t>
      </w:r>
      <w:r w:rsidRPr="00927E76">
        <w:rPr>
          <w:sz w:val="24"/>
          <w:szCs w:val="22"/>
        </w:rPr>
        <w:t>—</w:t>
      </w:r>
      <w:r w:rsidRPr="00927E76">
        <w:rPr>
          <w:sz w:val="24"/>
          <w:szCs w:val="22"/>
        </w:rPr>
        <w:t>累计采厚（</w:t>
      </w:r>
      <w:r w:rsidRPr="00927E76">
        <w:rPr>
          <w:sz w:val="24"/>
          <w:szCs w:val="22"/>
        </w:rPr>
        <w:t>m</w:t>
      </w:r>
      <w:r w:rsidRPr="00927E76">
        <w:rPr>
          <w:sz w:val="24"/>
          <w:szCs w:val="22"/>
        </w:rPr>
        <w:t>）；</w:t>
      </w:r>
      <w:r w:rsidRPr="00927E76">
        <w:rPr>
          <w:i/>
          <w:sz w:val="24"/>
          <w:szCs w:val="22"/>
        </w:rPr>
        <w:t>n</w:t>
      </w:r>
      <w:r w:rsidRPr="00927E76">
        <w:rPr>
          <w:sz w:val="24"/>
          <w:szCs w:val="22"/>
        </w:rPr>
        <w:t>—</w:t>
      </w:r>
      <w:r w:rsidRPr="00927E76">
        <w:rPr>
          <w:sz w:val="24"/>
          <w:szCs w:val="22"/>
        </w:rPr>
        <w:t>煤层分层数。</w:t>
      </w:r>
    </w:p>
    <w:p w:rsidR="00C223F5" w:rsidRDefault="005860D5">
      <w:pPr>
        <w:spacing w:line="360" w:lineRule="auto"/>
        <w:ind w:firstLineChars="200" w:firstLine="482"/>
        <w:rPr>
          <w:b/>
          <w:sz w:val="24"/>
          <w:szCs w:val="22"/>
        </w:rPr>
      </w:pPr>
      <w:r>
        <w:rPr>
          <w:b/>
          <w:sz w:val="24"/>
          <w:szCs w:val="22"/>
        </w:rPr>
        <w:t>（</w:t>
      </w:r>
      <w:r>
        <w:rPr>
          <w:rFonts w:hint="eastAsia"/>
          <w:b/>
          <w:sz w:val="24"/>
          <w:szCs w:val="22"/>
        </w:rPr>
        <w:t>3</w:t>
      </w:r>
      <w:r>
        <w:rPr>
          <w:b/>
          <w:sz w:val="24"/>
          <w:szCs w:val="22"/>
        </w:rPr>
        <w:t>）保护层</w:t>
      </w:r>
      <w:r>
        <w:rPr>
          <w:rFonts w:hint="eastAsia"/>
          <w:b/>
          <w:sz w:val="24"/>
          <w:szCs w:val="22"/>
        </w:rPr>
        <w:t>高度（</w:t>
      </w:r>
      <w:r>
        <w:rPr>
          <w:i/>
          <w:sz w:val="24"/>
          <w:szCs w:val="22"/>
        </w:rPr>
        <w:t>H</w:t>
      </w:r>
      <w:r>
        <w:rPr>
          <w:i/>
          <w:sz w:val="24"/>
          <w:szCs w:val="22"/>
          <w:vertAlign w:val="subscript"/>
        </w:rPr>
        <w:t>b</w:t>
      </w:r>
      <w:r>
        <w:rPr>
          <w:rFonts w:hint="eastAsia"/>
          <w:b/>
          <w:sz w:val="24"/>
          <w:szCs w:val="22"/>
        </w:rPr>
        <w:t>）</w:t>
      </w:r>
    </w:p>
    <w:p w:rsidR="00C223F5" w:rsidRDefault="005860D5">
      <w:pPr>
        <w:spacing w:line="360" w:lineRule="auto"/>
        <w:ind w:firstLineChars="200" w:firstLine="480"/>
        <w:rPr>
          <w:sz w:val="24"/>
          <w:szCs w:val="22"/>
        </w:rPr>
      </w:pPr>
      <w:r>
        <w:rPr>
          <w:i/>
          <w:sz w:val="24"/>
          <w:szCs w:val="22"/>
        </w:rPr>
        <w:t>H</w:t>
      </w:r>
      <w:r>
        <w:rPr>
          <w:i/>
          <w:sz w:val="24"/>
          <w:szCs w:val="22"/>
          <w:vertAlign w:val="subscript"/>
        </w:rPr>
        <w:t>b</w:t>
      </w:r>
      <w:r>
        <w:rPr>
          <w:i/>
          <w:sz w:val="24"/>
          <w:szCs w:val="22"/>
        </w:rPr>
        <w:t>=</w:t>
      </w:r>
      <w:r>
        <w:rPr>
          <w:rFonts w:hint="eastAsia"/>
          <w:sz w:val="24"/>
          <w:szCs w:val="22"/>
        </w:rPr>
        <w:t>3</w:t>
      </w:r>
      <w:r>
        <w:rPr>
          <w:sz w:val="24"/>
          <w:szCs w:val="22"/>
        </w:rPr>
        <w:t>(</w:t>
      </w:r>
      <w:r>
        <w:rPr>
          <w:i/>
          <w:sz w:val="24"/>
          <w:szCs w:val="22"/>
        </w:rPr>
        <w:t>ΣM/n</w:t>
      </w:r>
      <w:r>
        <w:rPr>
          <w:sz w:val="24"/>
          <w:szCs w:val="22"/>
        </w:rPr>
        <w:t>)</w:t>
      </w:r>
      <w:r>
        <w:rPr>
          <w:sz w:val="24"/>
          <w:szCs w:val="22"/>
        </w:rPr>
        <w:t>，</w:t>
      </w:r>
      <w:r>
        <w:rPr>
          <w:rFonts w:hint="eastAsia"/>
          <w:sz w:val="24"/>
          <w:szCs w:val="22"/>
        </w:rPr>
        <w:t>（</w:t>
      </w:r>
      <w:r>
        <w:rPr>
          <w:sz w:val="24"/>
          <w:szCs w:val="22"/>
        </w:rPr>
        <w:t>m</w:t>
      </w:r>
      <w:r>
        <w:rPr>
          <w:rFonts w:hint="eastAsia"/>
          <w:sz w:val="24"/>
          <w:szCs w:val="22"/>
        </w:rPr>
        <w:t>）；</w:t>
      </w:r>
      <w:r>
        <w:rPr>
          <w:sz w:val="24"/>
          <w:szCs w:val="22"/>
        </w:rPr>
        <w:t>式中：</w:t>
      </w:r>
      <w:r>
        <w:rPr>
          <w:i/>
          <w:sz w:val="24"/>
          <w:szCs w:val="22"/>
        </w:rPr>
        <w:t>ΣM</w:t>
      </w:r>
      <w:r>
        <w:rPr>
          <w:sz w:val="24"/>
          <w:szCs w:val="22"/>
        </w:rPr>
        <w:t>—</w:t>
      </w:r>
      <w:r>
        <w:rPr>
          <w:sz w:val="24"/>
          <w:szCs w:val="22"/>
        </w:rPr>
        <w:t>累计采厚（</w:t>
      </w:r>
      <w:r>
        <w:rPr>
          <w:sz w:val="24"/>
          <w:szCs w:val="22"/>
        </w:rPr>
        <w:t>m</w:t>
      </w:r>
      <w:r>
        <w:rPr>
          <w:sz w:val="24"/>
          <w:szCs w:val="22"/>
        </w:rPr>
        <w:t>）；</w:t>
      </w:r>
      <w:r>
        <w:rPr>
          <w:i/>
          <w:sz w:val="24"/>
          <w:szCs w:val="22"/>
        </w:rPr>
        <w:t>n</w:t>
      </w:r>
      <w:r>
        <w:rPr>
          <w:sz w:val="24"/>
          <w:szCs w:val="22"/>
        </w:rPr>
        <w:t>—</w:t>
      </w:r>
      <w:r>
        <w:rPr>
          <w:sz w:val="24"/>
          <w:szCs w:val="22"/>
        </w:rPr>
        <w:t>分层层数</w:t>
      </w:r>
      <w:r>
        <w:rPr>
          <w:rFonts w:hint="eastAsia"/>
          <w:sz w:val="24"/>
          <w:szCs w:val="22"/>
        </w:rPr>
        <w:t>。</w:t>
      </w:r>
    </w:p>
    <w:p w:rsidR="00C223F5" w:rsidRDefault="005860D5">
      <w:pPr>
        <w:spacing w:line="360" w:lineRule="auto"/>
        <w:ind w:firstLineChars="200" w:firstLine="482"/>
        <w:rPr>
          <w:b/>
          <w:sz w:val="24"/>
          <w:szCs w:val="22"/>
        </w:rPr>
      </w:pPr>
      <w:r>
        <w:rPr>
          <w:b/>
          <w:sz w:val="24"/>
          <w:szCs w:val="22"/>
        </w:rPr>
        <w:t>（</w:t>
      </w:r>
      <w:r>
        <w:rPr>
          <w:rFonts w:hint="eastAsia"/>
          <w:b/>
          <w:sz w:val="24"/>
          <w:szCs w:val="22"/>
        </w:rPr>
        <w:t>4</w:t>
      </w:r>
      <w:r>
        <w:rPr>
          <w:b/>
          <w:sz w:val="24"/>
          <w:szCs w:val="22"/>
        </w:rPr>
        <w:t>）防水煤岩柱高度</w:t>
      </w:r>
      <w:r>
        <w:rPr>
          <w:rFonts w:hint="eastAsia"/>
          <w:b/>
          <w:sz w:val="24"/>
          <w:szCs w:val="22"/>
        </w:rPr>
        <w:t>（</w:t>
      </w:r>
      <w:proofErr w:type="spellStart"/>
      <w:r>
        <w:rPr>
          <w:i/>
          <w:sz w:val="24"/>
          <w:szCs w:val="22"/>
        </w:rPr>
        <w:t>H</w:t>
      </w:r>
      <w:r>
        <w:rPr>
          <w:i/>
          <w:sz w:val="24"/>
          <w:szCs w:val="22"/>
          <w:vertAlign w:val="subscript"/>
        </w:rPr>
        <w:t>sh</w:t>
      </w:r>
      <w:proofErr w:type="spellEnd"/>
      <w:r>
        <w:rPr>
          <w:rFonts w:hint="eastAsia"/>
          <w:b/>
          <w:sz w:val="24"/>
          <w:szCs w:val="22"/>
        </w:rPr>
        <w:t>）</w:t>
      </w:r>
    </w:p>
    <w:p w:rsidR="00C223F5" w:rsidRDefault="005860D5">
      <w:pPr>
        <w:spacing w:line="360" w:lineRule="auto"/>
        <w:ind w:firstLineChars="200" w:firstLine="480"/>
        <w:jc w:val="left"/>
        <w:rPr>
          <w:sz w:val="24"/>
          <w:szCs w:val="22"/>
        </w:rPr>
      </w:pPr>
      <w:proofErr w:type="spellStart"/>
      <w:r>
        <w:rPr>
          <w:i/>
          <w:sz w:val="24"/>
          <w:szCs w:val="22"/>
        </w:rPr>
        <w:t>H</w:t>
      </w:r>
      <w:r>
        <w:rPr>
          <w:i/>
          <w:sz w:val="24"/>
          <w:szCs w:val="22"/>
          <w:vertAlign w:val="subscript"/>
        </w:rPr>
        <w:t>sh</w:t>
      </w:r>
      <w:proofErr w:type="spellEnd"/>
      <w:r>
        <w:rPr>
          <w:i/>
          <w:sz w:val="24"/>
          <w:szCs w:val="22"/>
        </w:rPr>
        <w:t>＝</w:t>
      </w:r>
      <w:proofErr w:type="spellStart"/>
      <w:r>
        <w:rPr>
          <w:i/>
          <w:sz w:val="24"/>
          <w:szCs w:val="22"/>
        </w:rPr>
        <w:t>H</w:t>
      </w:r>
      <w:r>
        <w:rPr>
          <w:rFonts w:hint="eastAsia"/>
          <w:i/>
          <w:sz w:val="24"/>
          <w:szCs w:val="22"/>
          <w:vertAlign w:val="subscript"/>
        </w:rPr>
        <w:t>f</w:t>
      </w:r>
      <w:r>
        <w:rPr>
          <w:i/>
          <w:sz w:val="24"/>
          <w:szCs w:val="22"/>
        </w:rPr>
        <w:t>+H</w:t>
      </w:r>
      <w:proofErr w:type="spellEnd"/>
      <w:r>
        <w:rPr>
          <w:i/>
          <w:sz w:val="24"/>
          <w:szCs w:val="22"/>
          <w:vertAlign w:val="subscript"/>
        </w:rPr>
        <w:t xml:space="preserve"> b</w:t>
      </w:r>
      <w:r>
        <w:rPr>
          <w:rFonts w:hint="eastAsia"/>
          <w:i/>
          <w:sz w:val="24"/>
          <w:szCs w:val="22"/>
        </w:rPr>
        <w:t>，（</w:t>
      </w:r>
      <w:r>
        <w:rPr>
          <w:rFonts w:hint="eastAsia"/>
          <w:i/>
          <w:sz w:val="24"/>
          <w:szCs w:val="22"/>
        </w:rPr>
        <w:t>m</w:t>
      </w:r>
      <w:r>
        <w:rPr>
          <w:rFonts w:hint="eastAsia"/>
          <w:i/>
          <w:sz w:val="24"/>
          <w:szCs w:val="22"/>
        </w:rPr>
        <w:t>）</w:t>
      </w:r>
      <w:r>
        <w:rPr>
          <w:rFonts w:hint="eastAsia"/>
          <w:sz w:val="24"/>
          <w:szCs w:val="22"/>
        </w:rPr>
        <w:t>；</w:t>
      </w:r>
      <w:r>
        <w:rPr>
          <w:sz w:val="24"/>
          <w:szCs w:val="22"/>
        </w:rPr>
        <w:t>式中：</w:t>
      </w:r>
      <w:r>
        <w:rPr>
          <w:i/>
          <w:sz w:val="24"/>
          <w:szCs w:val="22"/>
        </w:rPr>
        <w:t>H</w:t>
      </w:r>
      <w:r>
        <w:rPr>
          <w:rFonts w:hint="eastAsia"/>
          <w:i/>
          <w:sz w:val="24"/>
          <w:szCs w:val="22"/>
          <w:vertAlign w:val="subscript"/>
        </w:rPr>
        <w:t>f</w:t>
      </w:r>
      <w:r>
        <w:rPr>
          <w:sz w:val="24"/>
          <w:szCs w:val="22"/>
        </w:rPr>
        <w:t>—</w:t>
      </w:r>
      <w:r>
        <w:rPr>
          <w:sz w:val="24"/>
          <w:szCs w:val="22"/>
        </w:rPr>
        <w:t>导水裂隙带高度（</w:t>
      </w:r>
      <w:r>
        <w:rPr>
          <w:sz w:val="24"/>
          <w:szCs w:val="22"/>
        </w:rPr>
        <w:t>m</w:t>
      </w:r>
      <w:r>
        <w:rPr>
          <w:sz w:val="24"/>
          <w:szCs w:val="22"/>
        </w:rPr>
        <w:t>）；</w:t>
      </w:r>
      <w:r>
        <w:rPr>
          <w:i/>
          <w:sz w:val="24"/>
          <w:szCs w:val="22"/>
        </w:rPr>
        <w:t>H</w:t>
      </w:r>
      <w:r>
        <w:rPr>
          <w:i/>
          <w:sz w:val="24"/>
          <w:szCs w:val="22"/>
          <w:vertAlign w:val="subscript"/>
        </w:rPr>
        <w:t>b</w:t>
      </w:r>
      <w:r>
        <w:rPr>
          <w:sz w:val="24"/>
          <w:szCs w:val="22"/>
        </w:rPr>
        <w:t>—</w:t>
      </w:r>
      <w:r>
        <w:rPr>
          <w:sz w:val="24"/>
          <w:szCs w:val="22"/>
        </w:rPr>
        <w:t>保护层高度（</w:t>
      </w:r>
      <w:r>
        <w:rPr>
          <w:sz w:val="24"/>
          <w:szCs w:val="22"/>
        </w:rPr>
        <w:t>m</w:t>
      </w:r>
      <w:r>
        <w:rPr>
          <w:sz w:val="24"/>
          <w:szCs w:val="22"/>
        </w:rPr>
        <w:t>）；</w:t>
      </w:r>
    </w:p>
    <w:p w:rsidR="00C223F5" w:rsidRDefault="005860D5">
      <w:pPr>
        <w:spacing w:line="360" w:lineRule="auto"/>
        <w:ind w:firstLineChars="200" w:firstLine="480"/>
        <w:rPr>
          <w:sz w:val="24"/>
        </w:rPr>
      </w:pPr>
      <w:r>
        <w:rPr>
          <w:sz w:val="24"/>
        </w:rPr>
        <w:t>预测结果见表</w:t>
      </w:r>
      <w:r>
        <w:rPr>
          <w:rFonts w:hint="eastAsia"/>
          <w:sz w:val="24"/>
        </w:rPr>
        <w:t>4.2.2-4</w:t>
      </w:r>
      <w:r>
        <w:rPr>
          <w:sz w:val="24"/>
        </w:rPr>
        <w:t>。</w:t>
      </w:r>
    </w:p>
    <w:p w:rsidR="00C223F5" w:rsidRDefault="005860D5">
      <w:pPr>
        <w:tabs>
          <w:tab w:val="left" w:pos="2552"/>
          <w:tab w:val="left" w:pos="5387"/>
        </w:tabs>
        <w:spacing w:line="360" w:lineRule="auto"/>
        <w:ind w:firstLineChars="200" w:firstLine="480"/>
        <w:rPr>
          <w:sz w:val="24"/>
        </w:rPr>
      </w:pPr>
      <w:r>
        <w:rPr>
          <w:rFonts w:hint="eastAsia"/>
          <w:sz w:val="24"/>
        </w:rPr>
        <w:t>第</w:t>
      </w:r>
      <w:r>
        <w:rPr>
          <w:rFonts w:hint="eastAsia"/>
          <w:sz w:val="24"/>
        </w:rPr>
        <w:t>2-2'</w:t>
      </w:r>
      <w:r>
        <w:rPr>
          <w:rFonts w:hint="eastAsia"/>
          <w:sz w:val="24"/>
        </w:rPr>
        <w:t>号勘探线剖面、</w:t>
      </w:r>
      <w:r>
        <w:rPr>
          <w:rFonts w:hint="eastAsia"/>
          <w:sz w:val="24"/>
        </w:rPr>
        <w:t>4-4'</w:t>
      </w:r>
      <w:r>
        <w:rPr>
          <w:rFonts w:hint="eastAsia"/>
          <w:sz w:val="24"/>
        </w:rPr>
        <w:t>号</w:t>
      </w:r>
      <w:r w:rsidR="001746B7">
        <w:rPr>
          <w:rFonts w:hint="eastAsia"/>
          <w:sz w:val="24"/>
        </w:rPr>
        <w:t>、</w:t>
      </w:r>
      <w:r w:rsidR="001746B7">
        <w:rPr>
          <w:rFonts w:hint="eastAsia"/>
          <w:sz w:val="24"/>
        </w:rPr>
        <w:t>5-5'</w:t>
      </w:r>
      <w:r w:rsidR="001746B7">
        <w:rPr>
          <w:rFonts w:hint="eastAsia"/>
          <w:sz w:val="24"/>
        </w:rPr>
        <w:t>号</w:t>
      </w:r>
      <w:r>
        <w:rPr>
          <w:rFonts w:hint="eastAsia"/>
          <w:sz w:val="24"/>
        </w:rPr>
        <w:t>工程地质剖面（</w:t>
      </w:r>
      <w:r>
        <w:rPr>
          <w:sz w:val="24"/>
        </w:rPr>
        <w:t>剖面</w:t>
      </w:r>
      <w:r>
        <w:rPr>
          <w:rFonts w:hint="eastAsia"/>
          <w:sz w:val="24"/>
        </w:rPr>
        <w:t>位置见图</w:t>
      </w:r>
      <w:r>
        <w:rPr>
          <w:rFonts w:hint="eastAsia"/>
          <w:sz w:val="24"/>
        </w:rPr>
        <w:t>3.1.6-1</w:t>
      </w:r>
      <w:r>
        <w:rPr>
          <w:rFonts w:hint="eastAsia"/>
          <w:sz w:val="24"/>
        </w:rPr>
        <w:t>）中</w:t>
      </w:r>
      <w:r>
        <w:rPr>
          <w:sz w:val="24"/>
        </w:rPr>
        <w:t>各煤层开采后产生的导水裂缝高度、防水煤柱高度见图</w:t>
      </w:r>
      <w:r>
        <w:rPr>
          <w:rFonts w:hint="eastAsia"/>
          <w:sz w:val="24"/>
        </w:rPr>
        <w:t>4.2.2-1</w:t>
      </w:r>
      <w:r>
        <w:rPr>
          <w:rFonts w:hint="eastAsia"/>
          <w:sz w:val="24"/>
        </w:rPr>
        <w:t>、</w:t>
      </w:r>
      <w:r>
        <w:rPr>
          <w:rFonts w:hint="eastAsia"/>
          <w:sz w:val="24"/>
        </w:rPr>
        <w:t>4.2.2-2</w:t>
      </w:r>
      <w:r>
        <w:rPr>
          <w:rFonts w:hint="eastAsia"/>
          <w:sz w:val="24"/>
        </w:rPr>
        <w:t>、</w:t>
      </w:r>
      <w:r>
        <w:rPr>
          <w:rFonts w:hint="eastAsia"/>
          <w:sz w:val="24"/>
        </w:rPr>
        <w:t>4.2.2-3</w:t>
      </w:r>
      <w:r>
        <w:rPr>
          <w:rFonts w:hint="eastAsia"/>
          <w:sz w:val="24"/>
        </w:rPr>
        <w:t>。</w:t>
      </w:r>
    </w:p>
    <w:p w:rsidR="0019420B" w:rsidRDefault="0019420B">
      <w:pPr>
        <w:pStyle w:val="aff1"/>
        <w:tabs>
          <w:tab w:val="clear" w:pos="5781"/>
        </w:tabs>
        <w:spacing w:line="240" w:lineRule="auto"/>
        <w:ind w:left="0" w:firstLine="0"/>
        <w:jc w:val="center"/>
        <w:rPr>
          <w:b/>
          <w:szCs w:val="24"/>
        </w:rPr>
      </w:pPr>
    </w:p>
    <w:p w:rsidR="0019420B" w:rsidRDefault="0019420B">
      <w:pPr>
        <w:pStyle w:val="aff1"/>
        <w:tabs>
          <w:tab w:val="clear" w:pos="5781"/>
        </w:tabs>
        <w:spacing w:line="240" w:lineRule="auto"/>
        <w:ind w:left="0" w:firstLine="0"/>
        <w:jc w:val="center"/>
        <w:rPr>
          <w:b/>
          <w:szCs w:val="24"/>
        </w:rPr>
      </w:pPr>
    </w:p>
    <w:p w:rsidR="0019420B" w:rsidRDefault="0019420B">
      <w:pPr>
        <w:pStyle w:val="aff1"/>
        <w:tabs>
          <w:tab w:val="clear" w:pos="5781"/>
        </w:tabs>
        <w:spacing w:line="240" w:lineRule="auto"/>
        <w:ind w:left="0" w:firstLine="0"/>
        <w:jc w:val="center"/>
        <w:rPr>
          <w:b/>
          <w:szCs w:val="24"/>
        </w:rPr>
      </w:pPr>
    </w:p>
    <w:p w:rsidR="00C223F5" w:rsidRDefault="005860D5">
      <w:pPr>
        <w:pStyle w:val="aff1"/>
        <w:tabs>
          <w:tab w:val="clear" w:pos="5781"/>
        </w:tabs>
        <w:spacing w:line="240" w:lineRule="auto"/>
        <w:ind w:left="0" w:firstLine="0"/>
        <w:jc w:val="center"/>
        <w:rPr>
          <w:b/>
          <w:szCs w:val="24"/>
        </w:rPr>
      </w:pPr>
      <w:r>
        <w:rPr>
          <w:b/>
          <w:szCs w:val="24"/>
        </w:rPr>
        <w:lastRenderedPageBreak/>
        <w:t>表</w:t>
      </w:r>
      <w:r>
        <w:rPr>
          <w:rFonts w:hint="eastAsia"/>
          <w:b/>
          <w:szCs w:val="24"/>
        </w:rPr>
        <w:t xml:space="preserve">4.2.2-4   </w:t>
      </w:r>
      <w:r>
        <w:rPr>
          <w:b/>
          <w:szCs w:val="24"/>
        </w:rPr>
        <w:t>井田开采后导水裂隙、垮落带、保护层和防水煤柱预测结果表</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995"/>
        <w:gridCol w:w="1642"/>
        <w:gridCol w:w="1455"/>
        <w:gridCol w:w="1367"/>
        <w:gridCol w:w="1414"/>
        <w:gridCol w:w="1831"/>
      </w:tblGrid>
      <w:tr w:rsidR="00C223F5">
        <w:trPr>
          <w:trHeight w:val="357"/>
          <w:jc w:val="center"/>
        </w:trPr>
        <w:tc>
          <w:tcPr>
            <w:tcW w:w="995" w:type="dxa"/>
            <w:vMerge w:val="restart"/>
            <w:vAlign w:val="center"/>
          </w:tcPr>
          <w:p w:rsidR="00C223F5" w:rsidRDefault="005860D5">
            <w:pPr>
              <w:jc w:val="center"/>
              <w:rPr>
                <w:szCs w:val="18"/>
              </w:rPr>
            </w:pPr>
            <w:r>
              <w:rPr>
                <w:szCs w:val="18"/>
              </w:rPr>
              <w:t>煤层</w:t>
            </w:r>
          </w:p>
        </w:tc>
        <w:tc>
          <w:tcPr>
            <w:tcW w:w="1642" w:type="dxa"/>
            <w:vAlign w:val="center"/>
          </w:tcPr>
          <w:p w:rsidR="00C223F5" w:rsidRDefault="005860D5">
            <w:pPr>
              <w:jc w:val="center"/>
              <w:rPr>
                <w:szCs w:val="18"/>
              </w:rPr>
            </w:pPr>
            <w:r>
              <w:rPr>
                <w:szCs w:val="18"/>
              </w:rPr>
              <w:t>开采</w:t>
            </w:r>
            <w:r>
              <w:rPr>
                <w:rFonts w:hint="eastAsia"/>
                <w:szCs w:val="18"/>
              </w:rPr>
              <w:t>煤层</w:t>
            </w:r>
            <w:r>
              <w:rPr>
                <w:szCs w:val="18"/>
              </w:rPr>
              <w:t>厚度</w:t>
            </w:r>
            <w:r>
              <w:rPr>
                <w:rFonts w:hint="eastAsia"/>
                <w:szCs w:val="18"/>
              </w:rPr>
              <w:t>(</w:t>
            </w:r>
            <w:r>
              <w:rPr>
                <w:szCs w:val="18"/>
              </w:rPr>
              <w:t>m</w:t>
            </w:r>
            <w:r>
              <w:rPr>
                <w:rFonts w:hint="eastAsia"/>
                <w:szCs w:val="18"/>
              </w:rPr>
              <w:t>)</w:t>
            </w:r>
          </w:p>
        </w:tc>
        <w:tc>
          <w:tcPr>
            <w:tcW w:w="1455" w:type="dxa"/>
            <w:vAlign w:val="center"/>
          </w:tcPr>
          <w:p w:rsidR="00C223F5" w:rsidRDefault="005860D5">
            <w:pPr>
              <w:jc w:val="center"/>
              <w:rPr>
                <w:szCs w:val="18"/>
              </w:rPr>
            </w:pPr>
            <w:r>
              <w:rPr>
                <w:szCs w:val="18"/>
              </w:rPr>
              <w:t>导水裂隙带</w:t>
            </w:r>
            <w:r>
              <w:rPr>
                <w:rFonts w:hint="eastAsia"/>
                <w:szCs w:val="18"/>
              </w:rPr>
              <w:t>(</w:t>
            </w:r>
            <w:r>
              <w:rPr>
                <w:szCs w:val="18"/>
              </w:rPr>
              <w:t>m</w:t>
            </w:r>
            <w:r>
              <w:rPr>
                <w:rFonts w:hint="eastAsia"/>
                <w:szCs w:val="18"/>
              </w:rPr>
              <w:t>)</w:t>
            </w:r>
          </w:p>
        </w:tc>
        <w:tc>
          <w:tcPr>
            <w:tcW w:w="1367" w:type="dxa"/>
            <w:vAlign w:val="center"/>
          </w:tcPr>
          <w:p w:rsidR="00C223F5" w:rsidRDefault="005860D5">
            <w:pPr>
              <w:jc w:val="center"/>
              <w:rPr>
                <w:szCs w:val="18"/>
              </w:rPr>
            </w:pPr>
            <w:r>
              <w:rPr>
                <w:kern w:val="0"/>
                <w:szCs w:val="21"/>
              </w:rPr>
              <w:t>垮落带高度</w:t>
            </w:r>
            <w:r>
              <w:rPr>
                <w:rFonts w:hint="eastAsia"/>
                <w:szCs w:val="18"/>
              </w:rPr>
              <w:t>(</w:t>
            </w:r>
            <w:r>
              <w:rPr>
                <w:szCs w:val="18"/>
              </w:rPr>
              <w:t>m</w:t>
            </w:r>
            <w:r>
              <w:rPr>
                <w:rFonts w:hint="eastAsia"/>
                <w:szCs w:val="18"/>
              </w:rPr>
              <w:t>)</w:t>
            </w:r>
          </w:p>
        </w:tc>
        <w:tc>
          <w:tcPr>
            <w:tcW w:w="1414" w:type="dxa"/>
            <w:vAlign w:val="center"/>
          </w:tcPr>
          <w:p w:rsidR="00C223F5" w:rsidRDefault="005860D5">
            <w:pPr>
              <w:jc w:val="center"/>
              <w:rPr>
                <w:szCs w:val="18"/>
              </w:rPr>
            </w:pPr>
            <w:r>
              <w:rPr>
                <w:kern w:val="0"/>
                <w:szCs w:val="21"/>
              </w:rPr>
              <w:t>保护层厚度</w:t>
            </w:r>
            <w:r>
              <w:rPr>
                <w:rFonts w:hint="eastAsia"/>
                <w:szCs w:val="18"/>
              </w:rPr>
              <w:t>(</w:t>
            </w:r>
            <w:r>
              <w:rPr>
                <w:szCs w:val="18"/>
              </w:rPr>
              <w:t>m</w:t>
            </w:r>
            <w:r>
              <w:rPr>
                <w:rFonts w:hint="eastAsia"/>
                <w:szCs w:val="18"/>
              </w:rPr>
              <w:t>)</w:t>
            </w:r>
          </w:p>
        </w:tc>
        <w:tc>
          <w:tcPr>
            <w:tcW w:w="1831" w:type="dxa"/>
            <w:vAlign w:val="center"/>
          </w:tcPr>
          <w:p w:rsidR="00C223F5" w:rsidRDefault="005860D5">
            <w:pPr>
              <w:jc w:val="center"/>
              <w:rPr>
                <w:szCs w:val="18"/>
              </w:rPr>
            </w:pPr>
            <w:r>
              <w:rPr>
                <w:szCs w:val="18"/>
              </w:rPr>
              <w:t>防水煤岩柱</w:t>
            </w:r>
            <w:r>
              <w:rPr>
                <w:kern w:val="0"/>
                <w:szCs w:val="21"/>
              </w:rPr>
              <w:t>高度</w:t>
            </w:r>
            <w:r>
              <w:rPr>
                <w:rFonts w:hint="eastAsia"/>
                <w:szCs w:val="18"/>
              </w:rPr>
              <w:t>(</w:t>
            </w:r>
            <w:r>
              <w:rPr>
                <w:szCs w:val="18"/>
              </w:rPr>
              <w:t>m</w:t>
            </w:r>
            <w:r>
              <w:rPr>
                <w:rFonts w:hint="eastAsia"/>
                <w:szCs w:val="18"/>
              </w:rPr>
              <w:t>)</w:t>
            </w:r>
          </w:p>
        </w:tc>
      </w:tr>
      <w:tr w:rsidR="00C223F5">
        <w:trPr>
          <w:trHeight w:val="70"/>
          <w:jc w:val="center"/>
        </w:trPr>
        <w:tc>
          <w:tcPr>
            <w:tcW w:w="995" w:type="dxa"/>
            <w:vMerge/>
            <w:vAlign w:val="center"/>
          </w:tcPr>
          <w:p w:rsidR="00C223F5" w:rsidRDefault="00C223F5">
            <w:pPr>
              <w:jc w:val="center"/>
              <w:rPr>
                <w:szCs w:val="18"/>
              </w:rPr>
            </w:pPr>
          </w:p>
        </w:tc>
        <w:tc>
          <w:tcPr>
            <w:tcW w:w="7709" w:type="dxa"/>
            <w:gridSpan w:val="5"/>
            <w:vAlign w:val="center"/>
          </w:tcPr>
          <w:p w:rsidR="00C223F5" w:rsidRDefault="005860D5">
            <w:pPr>
              <w:jc w:val="center"/>
              <w:rPr>
                <w:szCs w:val="21"/>
                <w:u w:val="single"/>
              </w:rPr>
            </w:pPr>
            <w:r>
              <w:rPr>
                <w:szCs w:val="21"/>
                <w:u w:val="single"/>
              </w:rPr>
              <w:t>最小</w:t>
            </w:r>
            <w:r>
              <w:rPr>
                <w:szCs w:val="21"/>
                <w:u w:val="single"/>
              </w:rPr>
              <w:t>-</w:t>
            </w:r>
            <w:r>
              <w:rPr>
                <w:szCs w:val="21"/>
                <w:u w:val="single"/>
              </w:rPr>
              <w:t>最大</w:t>
            </w:r>
          </w:p>
          <w:p w:rsidR="00C223F5" w:rsidRDefault="005860D5">
            <w:pPr>
              <w:jc w:val="center"/>
              <w:rPr>
                <w:szCs w:val="18"/>
              </w:rPr>
            </w:pPr>
            <w:r>
              <w:rPr>
                <w:szCs w:val="21"/>
              </w:rPr>
              <w:t>平均值</w:t>
            </w:r>
          </w:p>
        </w:tc>
      </w:tr>
      <w:tr w:rsidR="00C223F5">
        <w:trPr>
          <w:trHeight w:val="70"/>
          <w:jc w:val="center"/>
        </w:trPr>
        <w:tc>
          <w:tcPr>
            <w:tcW w:w="995" w:type="dxa"/>
            <w:vAlign w:val="center"/>
          </w:tcPr>
          <w:p w:rsidR="00C223F5" w:rsidRDefault="005860D5">
            <w:pPr>
              <w:spacing w:line="400" w:lineRule="exact"/>
              <w:jc w:val="center"/>
              <w:rPr>
                <w:szCs w:val="21"/>
              </w:rPr>
            </w:pPr>
            <w:r>
              <w:rPr>
                <w:rFonts w:hint="eastAsia"/>
                <w:szCs w:val="21"/>
              </w:rPr>
              <w:t>4</w:t>
            </w:r>
            <w:r>
              <w:rPr>
                <w:rFonts w:hint="eastAsia"/>
                <w:szCs w:val="21"/>
                <w:vertAlign w:val="superscript"/>
              </w:rPr>
              <w:t>-1</w:t>
            </w:r>
          </w:p>
        </w:tc>
        <w:tc>
          <w:tcPr>
            <w:tcW w:w="1642" w:type="dxa"/>
            <w:vAlign w:val="center"/>
          </w:tcPr>
          <w:p w:rsidR="00C223F5" w:rsidRDefault="005860D5">
            <w:pPr>
              <w:overflowPunct w:val="0"/>
              <w:jc w:val="center"/>
              <w:rPr>
                <w:szCs w:val="21"/>
                <w:u w:val="single"/>
              </w:rPr>
            </w:pPr>
            <w:r>
              <w:rPr>
                <w:rFonts w:hint="eastAsia"/>
                <w:szCs w:val="21"/>
                <w:u w:val="single"/>
              </w:rPr>
              <w:t>0.8~2.9</w:t>
            </w:r>
          </w:p>
          <w:p w:rsidR="00C223F5" w:rsidRDefault="005860D5">
            <w:pPr>
              <w:overflowPunct w:val="0"/>
              <w:jc w:val="center"/>
              <w:rPr>
                <w:szCs w:val="21"/>
              </w:rPr>
            </w:pPr>
            <w:r>
              <w:rPr>
                <w:rFonts w:hint="eastAsia"/>
                <w:szCs w:val="21"/>
              </w:rPr>
              <w:t>1.84</w:t>
            </w:r>
          </w:p>
        </w:tc>
        <w:tc>
          <w:tcPr>
            <w:tcW w:w="1455" w:type="dxa"/>
            <w:vAlign w:val="center"/>
          </w:tcPr>
          <w:p w:rsidR="00C223F5" w:rsidRDefault="005860D5">
            <w:pPr>
              <w:jc w:val="center"/>
              <w:rPr>
                <w:szCs w:val="21"/>
                <w:u w:val="single"/>
              </w:rPr>
            </w:pPr>
            <w:r>
              <w:rPr>
                <w:rFonts w:hint="eastAsia"/>
                <w:szCs w:val="21"/>
                <w:u w:val="single"/>
              </w:rPr>
              <w:t>27.89-44.06</w:t>
            </w:r>
          </w:p>
          <w:p w:rsidR="00C223F5" w:rsidRDefault="005860D5">
            <w:pPr>
              <w:jc w:val="center"/>
              <w:rPr>
                <w:rFonts w:ascii="宋体" w:hAnsi="宋体" w:cs="宋体"/>
                <w:sz w:val="24"/>
              </w:rPr>
            </w:pPr>
            <w:r>
              <w:rPr>
                <w:rFonts w:hint="eastAsia"/>
                <w:szCs w:val="21"/>
              </w:rPr>
              <w:t>37.13</w:t>
            </w:r>
          </w:p>
        </w:tc>
        <w:tc>
          <w:tcPr>
            <w:tcW w:w="1367" w:type="dxa"/>
            <w:vAlign w:val="center"/>
          </w:tcPr>
          <w:p w:rsidR="00C223F5" w:rsidRDefault="005860D5">
            <w:pPr>
              <w:jc w:val="center"/>
              <w:rPr>
                <w:szCs w:val="21"/>
                <w:u w:val="single"/>
              </w:rPr>
            </w:pPr>
            <w:r>
              <w:rPr>
                <w:rFonts w:hint="eastAsia"/>
                <w:szCs w:val="21"/>
                <w:u w:val="single"/>
              </w:rPr>
              <w:t>5.71-11.09</w:t>
            </w:r>
          </w:p>
          <w:p w:rsidR="00C223F5" w:rsidRDefault="005860D5">
            <w:pPr>
              <w:jc w:val="center"/>
              <w:rPr>
                <w:rFonts w:ascii="宋体" w:hAnsi="宋体" w:cs="宋体"/>
                <w:sz w:val="24"/>
              </w:rPr>
            </w:pPr>
            <w:r>
              <w:rPr>
                <w:rFonts w:hint="eastAsia"/>
                <w:szCs w:val="21"/>
              </w:rPr>
              <w:t>8.86</w:t>
            </w:r>
          </w:p>
        </w:tc>
        <w:tc>
          <w:tcPr>
            <w:tcW w:w="1414" w:type="dxa"/>
            <w:vAlign w:val="center"/>
          </w:tcPr>
          <w:p w:rsidR="00C223F5" w:rsidRDefault="005860D5">
            <w:pPr>
              <w:jc w:val="center"/>
              <w:rPr>
                <w:szCs w:val="21"/>
                <w:u w:val="single"/>
              </w:rPr>
            </w:pPr>
            <w:r>
              <w:rPr>
                <w:rFonts w:hint="eastAsia"/>
                <w:szCs w:val="21"/>
                <w:u w:val="single"/>
              </w:rPr>
              <w:t>2.4-8.7</w:t>
            </w:r>
          </w:p>
          <w:p w:rsidR="00C223F5" w:rsidRDefault="005860D5">
            <w:pPr>
              <w:jc w:val="center"/>
              <w:rPr>
                <w:rFonts w:ascii="宋体" w:hAnsi="宋体" w:cs="宋体"/>
                <w:sz w:val="24"/>
              </w:rPr>
            </w:pPr>
            <w:r>
              <w:rPr>
                <w:rFonts w:hint="eastAsia"/>
                <w:szCs w:val="21"/>
              </w:rPr>
              <w:t>5.52</w:t>
            </w:r>
          </w:p>
        </w:tc>
        <w:tc>
          <w:tcPr>
            <w:tcW w:w="1831" w:type="dxa"/>
            <w:vAlign w:val="center"/>
          </w:tcPr>
          <w:p w:rsidR="00C223F5" w:rsidRDefault="005860D5">
            <w:pPr>
              <w:jc w:val="center"/>
              <w:rPr>
                <w:szCs w:val="21"/>
                <w:u w:val="single"/>
              </w:rPr>
            </w:pPr>
            <w:r>
              <w:rPr>
                <w:rFonts w:hint="eastAsia"/>
                <w:szCs w:val="21"/>
                <w:u w:val="single"/>
              </w:rPr>
              <w:t>30.29-52.76</w:t>
            </w:r>
          </w:p>
          <w:p w:rsidR="00C223F5" w:rsidRDefault="005860D5">
            <w:pPr>
              <w:jc w:val="center"/>
              <w:rPr>
                <w:rFonts w:ascii="宋体" w:hAnsi="宋体" w:cs="宋体"/>
                <w:sz w:val="24"/>
              </w:rPr>
            </w:pPr>
            <w:r>
              <w:rPr>
                <w:rFonts w:hint="eastAsia"/>
                <w:szCs w:val="21"/>
              </w:rPr>
              <w:t>42.65</w:t>
            </w:r>
          </w:p>
        </w:tc>
      </w:tr>
      <w:tr w:rsidR="00C223F5">
        <w:trPr>
          <w:trHeight w:val="70"/>
          <w:jc w:val="center"/>
        </w:trPr>
        <w:tc>
          <w:tcPr>
            <w:tcW w:w="995" w:type="dxa"/>
            <w:vAlign w:val="center"/>
          </w:tcPr>
          <w:p w:rsidR="00C223F5" w:rsidRDefault="005860D5">
            <w:pPr>
              <w:spacing w:line="400" w:lineRule="exact"/>
              <w:jc w:val="center"/>
              <w:rPr>
                <w:szCs w:val="21"/>
                <w:vertAlign w:val="superscript"/>
              </w:rPr>
            </w:pPr>
            <w:r>
              <w:rPr>
                <w:rFonts w:hint="eastAsia"/>
                <w:szCs w:val="21"/>
              </w:rPr>
              <w:t>4</w:t>
            </w:r>
            <w:r>
              <w:rPr>
                <w:rFonts w:hint="eastAsia"/>
                <w:szCs w:val="21"/>
                <w:vertAlign w:val="superscript"/>
              </w:rPr>
              <w:t>-2</w:t>
            </w:r>
          </w:p>
        </w:tc>
        <w:tc>
          <w:tcPr>
            <w:tcW w:w="1642" w:type="dxa"/>
            <w:vAlign w:val="center"/>
          </w:tcPr>
          <w:p w:rsidR="00C223F5" w:rsidRDefault="005860D5">
            <w:pPr>
              <w:widowControl/>
              <w:jc w:val="center"/>
              <w:rPr>
                <w:kern w:val="0"/>
                <w:szCs w:val="21"/>
                <w:u w:val="single"/>
              </w:rPr>
            </w:pPr>
            <w:r>
              <w:rPr>
                <w:rFonts w:hint="eastAsia"/>
                <w:kern w:val="0"/>
                <w:szCs w:val="21"/>
                <w:u w:val="single"/>
              </w:rPr>
              <w:t>0.8~1.71</w:t>
            </w:r>
          </w:p>
          <w:p w:rsidR="00C223F5" w:rsidRDefault="005860D5">
            <w:pPr>
              <w:widowControl/>
              <w:jc w:val="center"/>
              <w:rPr>
                <w:kern w:val="0"/>
                <w:szCs w:val="21"/>
              </w:rPr>
            </w:pPr>
            <w:r>
              <w:rPr>
                <w:rFonts w:hint="eastAsia"/>
                <w:kern w:val="0"/>
                <w:szCs w:val="21"/>
              </w:rPr>
              <w:t>1.03</w:t>
            </w:r>
          </w:p>
        </w:tc>
        <w:tc>
          <w:tcPr>
            <w:tcW w:w="1455" w:type="dxa"/>
            <w:vAlign w:val="center"/>
          </w:tcPr>
          <w:p w:rsidR="00C223F5" w:rsidRDefault="005860D5">
            <w:pPr>
              <w:jc w:val="center"/>
              <w:rPr>
                <w:szCs w:val="21"/>
                <w:u w:val="single"/>
              </w:rPr>
            </w:pPr>
            <w:r>
              <w:rPr>
                <w:rFonts w:hint="eastAsia"/>
                <w:szCs w:val="21"/>
                <w:u w:val="single"/>
              </w:rPr>
              <w:t>27.89-36.15</w:t>
            </w:r>
          </w:p>
          <w:p w:rsidR="00C223F5" w:rsidRDefault="005860D5">
            <w:pPr>
              <w:jc w:val="center"/>
              <w:rPr>
                <w:rFonts w:ascii="宋体" w:hAnsi="宋体" w:cs="宋体"/>
                <w:sz w:val="24"/>
              </w:rPr>
            </w:pPr>
            <w:r>
              <w:rPr>
                <w:rFonts w:hint="eastAsia"/>
                <w:szCs w:val="21"/>
              </w:rPr>
              <w:t>30.30</w:t>
            </w:r>
          </w:p>
        </w:tc>
        <w:tc>
          <w:tcPr>
            <w:tcW w:w="1367" w:type="dxa"/>
            <w:vAlign w:val="center"/>
          </w:tcPr>
          <w:p w:rsidR="00C223F5" w:rsidRDefault="005860D5">
            <w:pPr>
              <w:jc w:val="center"/>
              <w:rPr>
                <w:szCs w:val="21"/>
                <w:u w:val="single"/>
              </w:rPr>
            </w:pPr>
            <w:r>
              <w:rPr>
                <w:rFonts w:hint="eastAsia"/>
                <w:szCs w:val="21"/>
                <w:u w:val="single"/>
              </w:rPr>
              <w:t>5.71-8.52</w:t>
            </w:r>
          </w:p>
          <w:p w:rsidR="00C223F5" w:rsidRDefault="005860D5">
            <w:pPr>
              <w:jc w:val="center"/>
              <w:rPr>
                <w:rFonts w:ascii="宋体" w:hAnsi="宋体" w:cs="宋体"/>
                <w:sz w:val="24"/>
              </w:rPr>
            </w:pPr>
            <w:r>
              <w:rPr>
                <w:rFonts w:hint="eastAsia"/>
                <w:szCs w:val="21"/>
              </w:rPr>
              <w:t>6.52</w:t>
            </w:r>
          </w:p>
        </w:tc>
        <w:tc>
          <w:tcPr>
            <w:tcW w:w="1414" w:type="dxa"/>
            <w:vAlign w:val="center"/>
          </w:tcPr>
          <w:p w:rsidR="00C223F5" w:rsidRDefault="005860D5">
            <w:pPr>
              <w:jc w:val="center"/>
              <w:rPr>
                <w:szCs w:val="21"/>
                <w:u w:val="single"/>
              </w:rPr>
            </w:pPr>
            <w:r>
              <w:rPr>
                <w:rFonts w:hint="eastAsia"/>
                <w:szCs w:val="21"/>
                <w:u w:val="single"/>
              </w:rPr>
              <w:t>2.4-5.13</w:t>
            </w:r>
          </w:p>
          <w:p w:rsidR="00C223F5" w:rsidRDefault="005860D5">
            <w:pPr>
              <w:jc w:val="center"/>
              <w:rPr>
                <w:rFonts w:ascii="宋体" w:hAnsi="宋体" w:cs="宋体"/>
                <w:sz w:val="24"/>
              </w:rPr>
            </w:pPr>
            <w:r>
              <w:rPr>
                <w:rFonts w:hint="eastAsia"/>
                <w:szCs w:val="21"/>
              </w:rPr>
              <w:t>3.09</w:t>
            </w:r>
          </w:p>
        </w:tc>
        <w:tc>
          <w:tcPr>
            <w:tcW w:w="1831" w:type="dxa"/>
            <w:vAlign w:val="center"/>
          </w:tcPr>
          <w:p w:rsidR="00C223F5" w:rsidRDefault="005860D5">
            <w:pPr>
              <w:jc w:val="center"/>
              <w:rPr>
                <w:szCs w:val="21"/>
                <w:u w:val="single"/>
              </w:rPr>
            </w:pPr>
            <w:r>
              <w:rPr>
                <w:rFonts w:hint="eastAsia"/>
                <w:szCs w:val="21"/>
                <w:u w:val="single"/>
              </w:rPr>
              <w:t>30.29-41.28</w:t>
            </w:r>
          </w:p>
          <w:p w:rsidR="00C223F5" w:rsidRDefault="005860D5">
            <w:pPr>
              <w:jc w:val="center"/>
              <w:rPr>
                <w:rFonts w:ascii="宋体" w:hAnsi="宋体" w:cs="宋体"/>
                <w:sz w:val="24"/>
              </w:rPr>
            </w:pPr>
            <w:r>
              <w:rPr>
                <w:rFonts w:hint="eastAsia"/>
                <w:szCs w:val="21"/>
              </w:rPr>
              <w:t>33.39</w:t>
            </w:r>
          </w:p>
        </w:tc>
      </w:tr>
    </w:tbl>
    <w:p w:rsidR="00C223F5" w:rsidRDefault="005860D5">
      <w:pPr>
        <w:spacing w:line="360" w:lineRule="auto"/>
        <w:ind w:firstLineChars="200" w:firstLine="482"/>
        <w:rPr>
          <w:b/>
          <w:sz w:val="24"/>
        </w:rPr>
      </w:pPr>
      <w:r>
        <w:rPr>
          <w:b/>
          <w:sz w:val="24"/>
        </w:rPr>
        <w:t>（</w:t>
      </w:r>
      <w:r>
        <w:rPr>
          <w:rFonts w:hint="eastAsia"/>
          <w:b/>
          <w:sz w:val="24"/>
        </w:rPr>
        <w:t>二</w:t>
      </w:r>
      <w:r>
        <w:rPr>
          <w:b/>
          <w:sz w:val="24"/>
        </w:rPr>
        <w:t>）开采</w:t>
      </w:r>
      <w:r>
        <w:rPr>
          <w:rFonts w:hint="eastAsia"/>
          <w:b/>
          <w:sz w:val="24"/>
        </w:rPr>
        <w:t>对</w:t>
      </w:r>
      <w:r>
        <w:rPr>
          <w:b/>
          <w:sz w:val="24"/>
        </w:rPr>
        <w:t>含（隔）水层的影响分析</w:t>
      </w:r>
    </w:p>
    <w:p w:rsidR="00C223F5" w:rsidRDefault="005860D5">
      <w:pPr>
        <w:pStyle w:val="aff1"/>
        <w:spacing w:line="360" w:lineRule="auto"/>
        <w:ind w:left="0" w:firstLineChars="200" w:firstLine="480"/>
        <w:rPr>
          <w:rFonts w:hAnsi="宋体"/>
          <w:szCs w:val="24"/>
        </w:rPr>
      </w:pPr>
      <w:r>
        <w:rPr>
          <w:szCs w:val="24"/>
        </w:rPr>
        <w:t>三叠系上统瓦窑堡组为井田内含煤地层</w:t>
      </w:r>
      <w:r>
        <w:rPr>
          <w:rFonts w:hint="eastAsia"/>
          <w:szCs w:val="24"/>
        </w:rPr>
        <w:t>，</w:t>
      </w:r>
      <w:r>
        <w:rPr>
          <w:szCs w:val="24"/>
        </w:rPr>
        <w:t>三叠系上统瓦窑堡组基岩孔隙裂隙承压水是矿床的直接充水含水层，对矿床充</w:t>
      </w:r>
      <w:r>
        <w:rPr>
          <w:rFonts w:hAnsi="宋体"/>
          <w:szCs w:val="24"/>
        </w:rPr>
        <w:t>水有直接的影响。</w:t>
      </w:r>
    </w:p>
    <w:p w:rsidR="00C223F5" w:rsidRPr="00927E76" w:rsidRDefault="005860D5">
      <w:pPr>
        <w:pStyle w:val="aff1"/>
        <w:spacing w:line="360" w:lineRule="auto"/>
        <w:ind w:left="0" w:firstLineChars="200" w:firstLine="480"/>
        <w:rPr>
          <w:szCs w:val="24"/>
        </w:rPr>
      </w:pPr>
      <w:r>
        <w:rPr>
          <w:szCs w:val="24"/>
        </w:rPr>
        <w:t>由表</w:t>
      </w:r>
      <w:r>
        <w:rPr>
          <w:rFonts w:hint="eastAsia"/>
          <w:szCs w:val="24"/>
        </w:rPr>
        <w:t>4.2.2-4</w:t>
      </w:r>
      <w:r>
        <w:rPr>
          <w:szCs w:val="24"/>
        </w:rPr>
        <w:t>可知，</w:t>
      </w:r>
      <w:r>
        <w:rPr>
          <w:rFonts w:hint="eastAsia"/>
          <w:szCs w:val="24"/>
        </w:rPr>
        <w:t>4</w:t>
      </w:r>
      <w:r w:rsidRPr="00927E76">
        <w:rPr>
          <w:rFonts w:hint="eastAsia"/>
          <w:szCs w:val="24"/>
          <w:vertAlign w:val="superscript"/>
        </w:rPr>
        <w:t>-1</w:t>
      </w:r>
      <w:r w:rsidRPr="00927E76">
        <w:rPr>
          <w:rFonts w:hint="eastAsia"/>
          <w:szCs w:val="24"/>
        </w:rPr>
        <w:t>、</w:t>
      </w:r>
      <w:r w:rsidRPr="00927E76">
        <w:rPr>
          <w:rFonts w:hint="eastAsia"/>
          <w:szCs w:val="24"/>
        </w:rPr>
        <w:t>4</w:t>
      </w:r>
      <w:r w:rsidRPr="00927E76">
        <w:rPr>
          <w:rFonts w:hint="eastAsia"/>
          <w:szCs w:val="24"/>
          <w:vertAlign w:val="superscript"/>
        </w:rPr>
        <w:t>-2</w:t>
      </w:r>
      <w:r w:rsidRPr="00927E76">
        <w:rPr>
          <w:rFonts w:hint="eastAsia"/>
          <w:kern w:val="28"/>
          <w:szCs w:val="24"/>
        </w:rPr>
        <w:t>煤开采</w:t>
      </w:r>
      <w:r w:rsidRPr="00927E76">
        <w:rPr>
          <w:szCs w:val="24"/>
        </w:rPr>
        <w:t>导水裂隙带最大高度</w:t>
      </w:r>
      <w:r w:rsidRPr="00927E76">
        <w:rPr>
          <w:rFonts w:hint="eastAsia"/>
          <w:szCs w:val="24"/>
        </w:rPr>
        <w:t>分别为</w:t>
      </w:r>
      <w:r w:rsidRPr="00927E76">
        <w:rPr>
          <w:rFonts w:hint="eastAsia"/>
          <w:szCs w:val="24"/>
        </w:rPr>
        <w:t>44.06</w:t>
      </w:r>
      <w:r w:rsidRPr="00927E76">
        <w:rPr>
          <w:szCs w:val="24"/>
        </w:rPr>
        <w:t>m</w:t>
      </w:r>
      <w:r w:rsidRPr="00927E76">
        <w:rPr>
          <w:rFonts w:hint="eastAsia"/>
          <w:szCs w:val="24"/>
        </w:rPr>
        <w:t>、</w:t>
      </w:r>
      <w:r w:rsidRPr="00927E76">
        <w:rPr>
          <w:rFonts w:hint="eastAsia"/>
          <w:szCs w:val="24"/>
        </w:rPr>
        <w:t>36.15</w:t>
      </w:r>
      <w:r w:rsidRPr="00927E76">
        <w:rPr>
          <w:szCs w:val="24"/>
        </w:rPr>
        <w:t>m</w:t>
      </w:r>
      <w:r w:rsidRPr="00927E76">
        <w:rPr>
          <w:rFonts w:hint="eastAsia"/>
          <w:szCs w:val="24"/>
        </w:rPr>
        <w:t>，最大防水煤岩柱高度分别为</w:t>
      </w:r>
      <w:r w:rsidRPr="00927E76">
        <w:rPr>
          <w:rFonts w:hint="eastAsia"/>
          <w:szCs w:val="24"/>
        </w:rPr>
        <w:t>52.76m</w:t>
      </w:r>
      <w:r w:rsidRPr="00927E76">
        <w:rPr>
          <w:rFonts w:hint="eastAsia"/>
          <w:szCs w:val="24"/>
        </w:rPr>
        <w:t>、</w:t>
      </w:r>
      <w:r w:rsidRPr="00927E76">
        <w:rPr>
          <w:rFonts w:hint="eastAsia"/>
          <w:szCs w:val="24"/>
        </w:rPr>
        <w:t>41.28m</w:t>
      </w:r>
      <w:r w:rsidRPr="00927E76">
        <w:rPr>
          <w:rFonts w:hint="eastAsia"/>
          <w:szCs w:val="24"/>
        </w:rPr>
        <w:t>。根据地质勘探资料，</w:t>
      </w:r>
      <w:r w:rsidRPr="00927E76">
        <w:rPr>
          <w:rFonts w:hint="eastAsia"/>
          <w:szCs w:val="24"/>
        </w:rPr>
        <w:t>4</w:t>
      </w:r>
      <w:r w:rsidRPr="00927E76">
        <w:rPr>
          <w:rFonts w:hint="eastAsia"/>
          <w:szCs w:val="24"/>
          <w:vertAlign w:val="superscript"/>
        </w:rPr>
        <w:t>-1</w:t>
      </w:r>
      <w:r w:rsidRPr="00927E76">
        <w:rPr>
          <w:rFonts w:hint="eastAsia"/>
          <w:szCs w:val="24"/>
        </w:rPr>
        <w:t>号与</w:t>
      </w:r>
      <w:r w:rsidRPr="00927E76">
        <w:rPr>
          <w:rFonts w:hint="eastAsia"/>
          <w:szCs w:val="24"/>
        </w:rPr>
        <w:t>4</w:t>
      </w:r>
      <w:r w:rsidRPr="00927E76">
        <w:rPr>
          <w:rFonts w:hint="eastAsia"/>
          <w:szCs w:val="24"/>
          <w:vertAlign w:val="superscript"/>
        </w:rPr>
        <w:t>-2</w:t>
      </w:r>
      <w:r w:rsidRPr="00927E76">
        <w:rPr>
          <w:rFonts w:hint="eastAsia"/>
          <w:szCs w:val="24"/>
        </w:rPr>
        <w:t>号</w:t>
      </w:r>
      <w:r w:rsidRPr="00927E76">
        <w:rPr>
          <w:szCs w:val="24"/>
        </w:rPr>
        <w:t>煤层间距</w:t>
      </w:r>
      <w:r w:rsidRPr="00927E76">
        <w:rPr>
          <w:szCs w:val="24"/>
        </w:rPr>
        <w:t>2.86~26.86m</w:t>
      </w:r>
      <w:r w:rsidRPr="00927E76">
        <w:rPr>
          <w:rFonts w:hint="eastAsia"/>
          <w:szCs w:val="24"/>
        </w:rPr>
        <w:t>，平均</w:t>
      </w:r>
      <w:r w:rsidRPr="00927E76">
        <w:rPr>
          <w:rFonts w:hint="eastAsia"/>
          <w:szCs w:val="24"/>
        </w:rPr>
        <w:t>10.73m</w:t>
      </w:r>
      <w:r w:rsidRPr="00927E76">
        <w:rPr>
          <w:rFonts w:hint="eastAsia"/>
          <w:szCs w:val="24"/>
        </w:rPr>
        <w:t>，</w:t>
      </w:r>
      <w:r w:rsidRPr="00927E76">
        <w:rPr>
          <w:szCs w:val="24"/>
        </w:rPr>
        <w:t>因此</w:t>
      </w:r>
      <w:r w:rsidRPr="00927E76">
        <w:rPr>
          <w:rFonts w:hint="eastAsia"/>
        </w:rPr>
        <w:t>4</w:t>
      </w:r>
      <w:r w:rsidRPr="00927E76">
        <w:rPr>
          <w:szCs w:val="24"/>
          <w:vertAlign w:val="superscript"/>
        </w:rPr>
        <w:t>-1</w:t>
      </w:r>
      <w:r w:rsidRPr="00927E76">
        <w:rPr>
          <w:szCs w:val="24"/>
        </w:rPr>
        <w:t>煤和</w:t>
      </w:r>
      <w:r w:rsidRPr="00927E76">
        <w:rPr>
          <w:rFonts w:hint="eastAsia"/>
        </w:rPr>
        <w:t>4</w:t>
      </w:r>
      <w:r w:rsidRPr="00927E76">
        <w:rPr>
          <w:szCs w:val="24"/>
          <w:vertAlign w:val="superscript"/>
        </w:rPr>
        <w:t>-2</w:t>
      </w:r>
      <w:r w:rsidRPr="00927E76">
        <w:rPr>
          <w:szCs w:val="24"/>
        </w:rPr>
        <w:t>煤的导水裂隙带会相互贯通。</w:t>
      </w:r>
    </w:p>
    <w:p w:rsidR="00C223F5" w:rsidRDefault="005860D5">
      <w:pPr>
        <w:spacing w:line="360" w:lineRule="auto"/>
        <w:ind w:firstLineChars="200" w:firstLine="480"/>
        <w:rPr>
          <w:color w:val="000000"/>
          <w:spacing w:val="-2"/>
          <w:sz w:val="24"/>
        </w:rPr>
      </w:pPr>
      <w:r w:rsidRPr="00927E76">
        <w:rPr>
          <w:sz w:val="24"/>
        </w:rPr>
        <w:t>由图</w:t>
      </w:r>
      <w:r w:rsidRPr="00927E76">
        <w:rPr>
          <w:rFonts w:hint="eastAsia"/>
          <w:sz w:val="24"/>
        </w:rPr>
        <w:t>4.2.2-1~4.2.2-3</w:t>
      </w:r>
      <w:r w:rsidRPr="00927E76">
        <w:rPr>
          <w:sz w:val="24"/>
        </w:rPr>
        <w:t>可知，</w:t>
      </w:r>
      <w:r w:rsidRPr="00927E76">
        <w:rPr>
          <w:rFonts w:ascii="宋体" w:hAnsi="宋体"/>
          <w:sz w:val="24"/>
        </w:rPr>
        <w:t>采煤时导水裂隙带在</w:t>
      </w:r>
      <w:r w:rsidRPr="00927E76">
        <w:rPr>
          <w:rFonts w:ascii="宋体" w:hAnsi="宋体" w:hint="eastAsia"/>
          <w:sz w:val="24"/>
        </w:rPr>
        <w:t>瓦窑堡组</w:t>
      </w:r>
      <w:r w:rsidRPr="00927E76">
        <w:rPr>
          <w:rFonts w:ascii="宋体" w:hAnsi="宋体"/>
          <w:sz w:val="24"/>
        </w:rPr>
        <w:t>正常基岩里发育</w:t>
      </w:r>
      <w:r w:rsidRPr="00927E76">
        <w:rPr>
          <w:rFonts w:ascii="宋体" w:hAnsi="宋体" w:hint="eastAsia"/>
          <w:sz w:val="24"/>
        </w:rPr>
        <w:t>，</w:t>
      </w:r>
      <w:r w:rsidRPr="00927E76">
        <w:rPr>
          <w:rFonts w:hint="eastAsia"/>
          <w:sz w:val="24"/>
        </w:rPr>
        <w:t>由于</w:t>
      </w:r>
      <w:r w:rsidRPr="00927E76">
        <w:rPr>
          <w:rFonts w:hint="eastAsia"/>
          <w:sz w:val="24"/>
        </w:rPr>
        <w:t>4</w:t>
      </w:r>
      <w:r w:rsidRPr="00927E76">
        <w:rPr>
          <w:rFonts w:hint="eastAsia"/>
          <w:sz w:val="24"/>
        </w:rPr>
        <w:t>号煤上部</w:t>
      </w:r>
      <w:r w:rsidRPr="00927E76">
        <w:rPr>
          <w:rFonts w:eastAsiaTheme="minorEastAsia" w:hAnsiTheme="minorEastAsia"/>
          <w:sz w:val="24"/>
        </w:rPr>
        <w:t>瓦窑堡组第五段</w:t>
      </w:r>
      <w:r w:rsidRPr="00927E76">
        <w:rPr>
          <w:rFonts w:eastAsiaTheme="minorEastAsia" w:hAnsiTheme="minorEastAsia" w:hint="eastAsia"/>
          <w:sz w:val="24"/>
        </w:rPr>
        <w:t>正常基</w:t>
      </w:r>
      <w:r>
        <w:rPr>
          <w:rFonts w:eastAsiaTheme="minorEastAsia" w:hAnsiTheme="minorEastAsia" w:hint="eastAsia"/>
          <w:sz w:val="24"/>
        </w:rPr>
        <w:t>岩</w:t>
      </w:r>
      <w:r>
        <w:rPr>
          <w:rFonts w:eastAsiaTheme="minorEastAsia" w:hAnsiTheme="minorEastAsia"/>
          <w:sz w:val="24"/>
        </w:rPr>
        <w:t>厚度</w:t>
      </w:r>
      <w:r>
        <w:rPr>
          <w:rFonts w:eastAsiaTheme="minorEastAsia"/>
          <w:sz w:val="24"/>
        </w:rPr>
        <w:t>84.76</w:t>
      </w:r>
      <w:r>
        <w:rPr>
          <w:rFonts w:eastAsiaTheme="minorEastAsia" w:hAnsiTheme="minorEastAsia"/>
          <w:sz w:val="24"/>
        </w:rPr>
        <w:t>～</w:t>
      </w:r>
      <w:r w:rsidRPr="00F20509">
        <w:rPr>
          <w:rFonts w:eastAsiaTheme="minorEastAsia" w:hAnsiTheme="minorEastAsia"/>
          <w:sz w:val="24"/>
        </w:rPr>
        <w:t>320.71m</w:t>
      </w:r>
      <w:r>
        <w:rPr>
          <w:rFonts w:eastAsiaTheme="minorEastAsia" w:hAnsiTheme="minorEastAsia"/>
          <w:sz w:val="24"/>
        </w:rPr>
        <w:t>，平均</w:t>
      </w:r>
      <w:r w:rsidRPr="00F20509">
        <w:rPr>
          <w:rFonts w:eastAsiaTheme="minorEastAsia" w:hAnsiTheme="minorEastAsia"/>
          <w:sz w:val="24"/>
        </w:rPr>
        <w:t>205.20m</w:t>
      </w:r>
      <w:r w:rsidRPr="00F20509">
        <w:rPr>
          <w:rFonts w:eastAsiaTheme="minorEastAsia" w:hAnsiTheme="minorEastAsia" w:hint="eastAsia"/>
          <w:sz w:val="24"/>
        </w:rPr>
        <w:t>，</w:t>
      </w:r>
      <w:r w:rsidR="00F20509" w:rsidRPr="00F20509">
        <w:rPr>
          <w:rFonts w:eastAsiaTheme="minorEastAsia" w:hAnsiTheme="minorEastAsia"/>
          <w:color w:val="FF0000"/>
          <w:sz w:val="24"/>
        </w:rPr>
        <w:t>正常基岩中的泥岩和粉砂岩具有一定的隔水性能</w:t>
      </w:r>
      <w:r w:rsidR="00F20509" w:rsidRPr="00F20509">
        <w:rPr>
          <w:rFonts w:eastAsiaTheme="minorEastAsia" w:hAnsiTheme="minorEastAsia" w:hint="eastAsia"/>
          <w:color w:val="FF0000"/>
          <w:sz w:val="24"/>
        </w:rPr>
        <w:t>，</w:t>
      </w:r>
      <w:r w:rsidRPr="00F20509">
        <w:rPr>
          <w:rFonts w:eastAsiaTheme="minorEastAsia" w:hAnsiTheme="minorEastAsia" w:hint="eastAsia"/>
          <w:sz w:val="24"/>
        </w:rPr>
        <w:t>因此</w:t>
      </w:r>
      <w:r>
        <w:rPr>
          <w:rFonts w:eastAsiaTheme="minorEastAsia" w:hint="eastAsia"/>
          <w:sz w:val="24"/>
        </w:rPr>
        <w:t>导水裂隙不会</w:t>
      </w:r>
      <w:r>
        <w:rPr>
          <w:color w:val="000000"/>
          <w:sz w:val="24"/>
        </w:rPr>
        <w:t>导通</w:t>
      </w:r>
      <w:r>
        <w:rPr>
          <w:rFonts w:hint="eastAsia"/>
          <w:color w:val="000000"/>
          <w:sz w:val="24"/>
        </w:rPr>
        <w:t>瓦窑堡组基岩孔隙裂隙</w:t>
      </w:r>
      <w:r>
        <w:rPr>
          <w:color w:val="000000"/>
          <w:sz w:val="24"/>
        </w:rPr>
        <w:t>含水层；</w:t>
      </w:r>
      <w:r>
        <w:rPr>
          <w:rFonts w:hint="eastAsia"/>
          <w:color w:val="000000"/>
          <w:sz w:val="24"/>
        </w:rPr>
        <w:t>同时，</w:t>
      </w:r>
      <w:r>
        <w:rPr>
          <w:rFonts w:eastAsiaTheme="minorEastAsia" w:hAnsiTheme="minorEastAsia"/>
          <w:sz w:val="24"/>
        </w:rPr>
        <w:t>瓦窑堡组</w:t>
      </w:r>
      <w:r>
        <w:rPr>
          <w:rFonts w:hint="eastAsia"/>
          <w:color w:val="000000"/>
          <w:sz w:val="24"/>
        </w:rPr>
        <w:t>上部有</w:t>
      </w:r>
      <w:r>
        <w:rPr>
          <w:rFonts w:hAnsi="宋体"/>
          <w:sz w:val="24"/>
        </w:rPr>
        <w:t>侏罗系下统富县组</w:t>
      </w:r>
      <w:r>
        <w:rPr>
          <w:rFonts w:hAnsi="宋体" w:hint="eastAsia"/>
          <w:sz w:val="24"/>
        </w:rPr>
        <w:t>和</w:t>
      </w:r>
      <w:r>
        <w:rPr>
          <w:rFonts w:hAnsi="宋体"/>
          <w:sz w:val="24"/>
        </w:rPr>
        <w:t>新近系上新统保德组红土</w:t>
      </w:r>
      <w:r>
        <w:rPr>
          <w:rFonts w:hAnsi="宋体" w:hint="eastAsia"/>
          <w:sz w:val="24"/>
        </w:rPr>
        <w:t>等相对隔水层，</w:t>
      </w:r>
      <w:r w:rsidRPr="00E813C9">
        <w:rPr>
          <w:color w:val="FF0000"/>
          <w:sz w:val="24"/>
        </w:rPr>
        <w:t>因此采煤对</w:t>
      </w:r>
      <w:r w:rsidR="00E813C9">
        <w:rPr>
          <w:rFonts w:hint="eastAsia"/>
          <w:color w:val="FF0000"/>
          <w:sz w:val="24"/>
        </w:rPr>
        <w:t>评价区有分散供水意义的</w:t>
      </w:r>
      <w:r w:rsidRPr="00E813C9">
        <w:rPr>
          <w:color w:val="FF0000"/>
          <w:sz w:val="24"/>
        </w:rPr>
        <w:t>第四系潜水</w:t>
      </w:r>
      <w:r w:rsidR="00E813C9" w:rsidRPr="00E813C9">
        <w:rPr>
          <w:rFonts w:hint="eastAsia"/>
          <w:color w:val="FF0000"/>
          <w:sz w:val="24"/>
        </w:rPr>
        <w:t>和风化基岩潜水</w:t>
      </w:r>
      <w:r w:rsidRPr="00E813C9">
        <w:rPr>
          <w:color w:val="FF0000"/>
          <w:sz w:val="24"/>
        </w:rPr>
        <w:t>含水层影响较小。</w:t>
      </w:r>
      <w:r>
        <w:rPr>
          <w:color w:val="000000"/>
          <w:spacing w:val="-2"/>
          <w:sz w:val="24"/>
        </w:rPr>
        <w:t>采煤对含（隔）水层的影响具体见表</w:t>
      </w:r>
      <w:r>
        <w:rPr>
          <w:color w:val="000000"/>
          <w:spacing w:val="-2"/>
          <w:sz w:val="24"/>
        </w:rPr>
        <w:t>4.2.2-</w:t>
      </w:r>
      <w:r>
        <w:rPr>
          <w:rFonts w:hint="eastAsia"/>
          <w:color w:val="000000"/>
          <w:spacing w:val="-2"/>
          <w:sz w:val="24"/>
        </w:rPr>
        <w:t>5</w:t>
      </w:r>
      <w:r>
        <w:rPr>
          <w:rFonts w:hint="eastAsia"/>
          <w:color w:val="000000"/>
          <w:spacing w:val="-2"/>
          <w:sz w:val="24"/>
        </w:rPr>
        <w:t>和图</w:t>
      </w:r>
      <w:r>
        <w:rPr>
          <w:rFonts w:hint="eastAsia"/>
          <w:color w:val="000000"/>
          <w:spacing w:val="-2"/>
          <w:sz w:val="24"/>
        </w:rPr>
        <w:t>4.2.2-4</w:t>
      </w:r>
      <w:r>
        <w:rPr>
          <w:color w:val="000000"/>
          <w:spacing w:val="-2"/>
          <w:sz w:val="24"/>
        </w:rPr>
        <w:t>。</w:t>
      </w:r>
    </w:p>
    <w:p w:rsidR="00C223F5" w:rsidRDefault="005860D5">
      <w:pPr>
        <w:jc w:val="center"/>
        <w:rPr>
          <w:b/>
          <w:sz w:val="24"/>
        </w:rPr>
      </w:pPr>
      <w:r>
        <w:rPr>
          <w:b/>
          <w:sz w:val="24"/>
        </w:rPr>
        <w:t>表</w:t>
      </w:r>
      <w:r>
        <w:rPr>
          <w:rFonts w:hint="eastAsia"/>
          <w:b/>
          <w:sz w:val="24"/>
        </w:rPr>
        <w:t xml:space="preserve">4.2.2-5   </w:t>
      </w:r>
      <w:r>
        <w:rPr>
          <w:b/>
          <w:sz w:val="24"/>
        </w:rPr>
        <w:t>采煤对含（隔）水层的影响情况表</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731"/>
        <w:gridCol w:w="1862"/>
        <w:gridCol w:w="2036"/>
        <w:gridCol w:w="737"/>
        <w:gridCol w:w="1461"/>
        <w:gridCol w:w="2404"/>
      </w:tblGrid>
      <w:tr w:rsidR="00C223F5">
        <w:trPr>
          <w:trHeight w:val="311"/>
          <w:jc w:val="center"/>
        </w:trPr>
        <w:tc>
          <w:tcPr>
            <w:tcW w:w="2593" w:type="dxa"/>
            <w:gridSpan w:val="2"/>
            <w:vAlign w:val="center"/>
          </w:tcPr>
          <w:p w:rsidR="00C223F5" w:rsidRDefault="005860D5">
            <w:pPr>
              <w:adjustRightInd w:val="0"/>
              <w:snapToGrid w:val="0"/>
              <w:jc w:val="center"/>
            </w:pPr>
            <w:r>
              <w:t>含隔水层</w:t>
            </w:r>
          </w:p>
        </w:tc>
        <w:tc>
          <w:tcPr>
            <w:tcW w:w="2036" w:type="dxa"/>
            <w:vAlign w:val="center"/>
          </w:tcPr>
          <w:p w:rsidR="00C223F5" w:rsidRDefault="005860D5">
            <w:pPr>
              <w:adjustRightInd w:val="0"/>
              <w:snapToGrid w:val="0"/>
              <w:jc w:val="center"/>
            </w:pPr>
            <w:r>
              <w:t>含隔水层及其岩性</w:t>
            </w:r>
          </w:p>
        </w:tc>
        <w:tc>
          <w:tcPr>
            <w:tcW w:w="737" w:type="dxa"/>
            <w:vAlign w:val="center"/>
          </w:tcPr>
          <w:p w:rsidR="00C223F5" w:rsidRDefault="005860D5">
            <w:pPr>
              <w:adjustRightInd w:val="0"/>
              <w:snapToGrid w:val="0"/>
              <w:jc w:val="center"/>
            </w:pPr>
            <w:r>
              <w:t>富水性</w:t>
            </w:r>
          </w:p>
        </w:tc>
        <w:tc>
          <w:tcPr>
            <w:tcW w:w="1461" w:type="dxa"/>
            <w:vAlign w:val="center"/>
          </w:tcPr>
          <w:p w:rsidR="00C223F5" w:rsidRDefault="005860D5">
            <w:pPr>
              <w:pStyle w:val="0905"/>
              <w:spacing w:line="240" w:lineRule="auto"/>
              <w:ind w:firstLineChars="0" w:firstLine="0"/>
              <w:jc w:val="center"/>
              <w:rPr>
                <w:rFonts w:hAnsi="Times New Roman"/>
                <w:sz w:val="21"/>
                <w:szCs w:val="24"/>
              </w:rPr>
            </w:pPr>
            <w:r>
              <w:rPr>
                <w:rFonts w:hAnsi="Times New Roman"/>
                <w:sz w:val="21"/>
                <w:szCs w:val="24"/>
              </w:rPr>
              <w:t>厚度</w:t>
            </w:r>
          </w:p>
        </w:tc>
        <w:tc>
          <w:tcPr>
            <w:tcW w:w="2404" w:type="dxa"/>
            <w:vAlign w:val="center"/>
          </w:tcPr>
          <w:p w:rsidR="00C223F5" w:rsidRDefault="005860D5">
            <w:pPr>
              <w:adjustRightInd w:val="0"/>
              <w:snapToGrid w:val="0"/>
              <w:jc w:val="center"/>
            </w:pPr>
            <w:r>
              <w:t>受开采影响分析</w:t>
            </w:r>
          </w:p>
        </w:tc>
      </w:tr>
      <w:tr w:rsidR="00C223F5">
        <w:trPr>
          <w:trHeight w:val="355"/>
          <w:jc w:val="center"/>
        </w:trPr>
        <w:tc>
          <w:tcPr>
            <w:tcW w:w="731" w:type="dxa"/>
            <w:vAlign w:val="center"/>
          </w:tcPr>
          <w:p w:rsidR="00C223F5" w:rsidRDefault="005860D5">
            <w:pPr>
              <w:adjustRightInd w:val="0"/>
              <w:snapToGrid w:val="0"/>
              <w:jc w:val="center"/>
              <w:rPr>
                <w:szCs w:val="21"/>
              </w:rPr>
            </w:pPr>
            <w:r>
              <w:rPr>
                <w:szCs w:val="21"/>
              </w:rPr>
              <w:t>第四系</w:t>
            </w:r>
          </w:p>
        </w:tc>
        <w:tc>
          <w:tcPr>
            <w:tcW w:w="1862" w:type="dxa"/>
            <w:vAlign w:val="center"/>
          </w:tcPr>
          <w:p w:rsidR="00C223F5" w:rsidRDefault="005860D5">
            <w:pPr>
              <w:adjustRightInd w:val="0"/>
              <w:snapToGrid w:val="0"/>
              <w:jc w:val="center"/>
            </w:pPr>
            <w:r>
              <w:t>全新统冲、洪积层孔隙潜水含水层</w:t>
            </w:r>
          </w:p>
        </w:tc>
        <w:tc>
          <w:tcPr>
            <w:tcW w:w="2036" w:type="dxa"/>
            <w:vAlign w:val="center"/>
          </w:tcPr>
          <w:p w:rsidR="00C223F5" w:rsidRDefault="005860D5">
            <w:pPr>
              <w:adjustRightInd w:val="0"/>
              <w:snapToGrid w:val="0"/>
              <w:jc w:val="center"/>
            </w:pPr>
            <w:r>
              <w:t>粉质粘土、砂质粉土</w:t>
            </w:r>
          </w:p>
        </w:tc>
        <w:tc>
          <w:tcPr>
            <w:tcW w:w="737" w:type="dxa"/>
            <w:vAlign w:val="center"/>
          </w:tcPr>
          <w:p w:rsidR="00C223F5" w:rsidRDefault="005860D5">
            <w:pPr>
              <w:adjustRightInd w:val="0"/>
              <w:snapToGrid w:val="0"/>
              <w:jc w:val="center"/>
            </w:pPr>
            <w:r>
              <w:t>弱</w:t>
            </w:r>
          </w:p>
        </w:tc>
        <w:tc>
          <w:tcPr>
            <w:tcW w:w="1461" w:type="dxa"/>
            <w:vAlign w:val="center"/>
          </w:tcPr>
          <w:p w:rsidR="00C223F5" w:rsidRDefault="005860D5">
            <w:pPr>
              <w:adjustRightInd w:val="0"/>
              <w:snapToGrid w:val="0"/>
              <w:jc w:val="center"/>
            </w:pPr>
            <w:r>
              <w:t>1.40</w:t>
            </w:r>
            <w:r>
              <w:rPr>
                <w:rFonts w:hint="eastAsia"/>
              </w:rPr>
              <w:t>~</w:t>
            </w:r>
            <w:r>
              <w:t>10.28m</w:t>
            </w:r>
          </w:p>
        </w:tc>
        <w:tc>
          <w:tcPr>
            <w:tcW w:w="2404" w:type="dxa"/>
            <w:tcMar>
              <w:left w:w="108" w:type="dxa"/>
              <w:right w:w="108" w:type="dxa"/>
            </w:tcMar>
            <w:vAlign w:val="center"/>
          </w:tcPr>
          <w:p w:rsidR="00C223F5" w:rsidRDefault="005860D5">
            <w:pPr>
              <w:adjustRightInd w:val="0"/>
              <w:snapToGrid w:val="0"/>
              <w:jc w:val="center"/>
            </w:pPr>
            <w:r>
              <w:t>导水裂隙未导入该含水层，受采煤影响较小</w:t>
            </w:r>
          </w:p>
        </w:tc>
      </w:tr>
      <w:tr w:rsidR="00C223F5">
        <w:trPr>
          <w:trHeight w:val="355"/>
          <w:jc w:val="center"/>
        </w:trPr>
        <w:tc>
          <w:tcPr>
            <w:tcW w:w="731" w:type="dxa"/>
            <w:vAlign w:val="center"/>
          </w:tcPr>
          <w:p w:rsidR="00C223F5" w:rsidRDefault="005860D5">
            <w:pPr>
              <w:adjustRightInd w:val="0"/>
              <w:snapToGrid w:val="0"/>
              <w:jc w:val="center"/>
            </w:pPr>
            <w:r>
              <w:t>第四系</w:t>
            </w:r>
          </w:p>
        </w:tc>
        <w:tc>
          <w:tcPr>
            <w:tcW w:w="1862" w:type="dxa"/>
            <w:vAlign w:val="center"/>
          </w:tcPr>
          <w:p w:rsidR="00C223F5" w:rsidRDefault="005860D5">
            <w:pPr>
              <w:adjustRightInd w:val="0"/>
              <w:snapToGrid w:val="0"/>
              <w:jc w:val="center"/>
            </w:pPr>
            <w:r>
              <w:t>黄土孔隙裂隙潜水含水层</w:t>
            </w:r>
          </w:p>
        </w:tc>
        <w:tc>
          <w:tcPr>
            <w:tcW w:w="2036" w:type="dxa"/>
            <w:vAlign w:val="center"/>
          </w:tcPr>
          <w:p w:rsidR="00C223F5" w:rsidRDefault="005860D5">
            <w:pPr>
              <w:adjustRightInd w:val="0"/>
              <w:snapToGrid w:val="0"/>
              <w:jc w:val="center"/>
            </w:pPr>
            <w:r>
              <w:t>粉质黄土</w:t>
            </w:r>
          </w:p>
        </w:tc>
        <w:tc>
          <w:tcPr>
            <w:tcW w:w="737" w:type="dxa"/>
            <w:vAlign w:val="center"/>
          </w:tcPr>
          <w:p w:rsidR="00C223F5" w:rsidRDefault="005860D5">
            <w:pPr>
              <w:adjustRightInd w:val="0"/>
              <w:snapToGrid w:val="0"/>
              <w:jc w:val="center"/>
            </w:pPr>
            <w:r>
              <w:t>弱</w:t>
            </w:r>
          </w:p>
        </w:tc>
        <w:tc>
          <w:tcPr>
            <w:tcW w:w="1461" w:type="dxa"/>
            <w:vAlign w:val="center"/>
          </w:tcPr>
          <w:p w:rsidR="00C223F5" w:rsidRDefault="005860D5">
            <w:pPr>
              <w:adjustRightInd w:val="0"/>
              <w:snapToGrid w:val="0"/>
              <w:jc w:val="center"/>
            </w:pPr>
            <w:r>
              <w:t>1.80</w:t>
            </w:r>
            <w:r>
              <w:rPr>
                <w:rFonts w:hint="eastAsia"/>
              </w:rPr>
              <w:t>~</w:t>
            </w:r>
            <w:r>
              <w:t>321.19m</w:t>
            </w:r>
          </w:p>
        </w:tc>
        <w:tc>
          <w:tcPr>
            <w:tcW w:w="2404" w:type="dxa"/>
            <w:tcMar>
              <w:left w:w="108" w:type="dxa"/>
              <w:right w:w="108" w:type="dxa"/>
            </w:tcMar>
            <w:vAlign w:val="center"/>
          </w:tcPr>
          <w:p w:rsidR="00C223F5" w:rsidRDefault="005860D5">
            <w:pPr>
              <w:adjustRightInd w:val="0"/>
              <w:snapToGrid w:val="0"/>
              <w:jc w:val="center"/>
            </w:pPr>
            <w:r>
              <w:t>导水裂隙未导入该含水层，受采煤影响较小</w:t>
            </w:r>
          </w:p>
        </w:tc>
      </w:tr>
      <w:tr w:rsidR="00C223F5">
        <w:trPr>
          <w:trHeight w:val="355"/>
          <w:jc w:val="center"/>
        </w:trPr>
        <w:tc>
          <w:tcPr>
            <w:tcW w:w="731" w:type="dxa"/>
            <w:vAlign w:val="center"/>
          </w:tcPr>
          <w:p w:rsidR="00C223F5" w:rsidRDefault="005860D5">
            <w:pPr>
              <w:adjustRightInd w:val="0"/>
              <w:snapToGrid w:val="0"/>
              <w:jc w:val="center"/>
            </w:pPr>
            <w:r>
              <w:t>新近系</w:t>
            </w:r>
          </w:p>
        </w:tc>
        <w:tc>
          <w:tcPr>
            <w:tcW w:w="1862" w:type="dxa"/>
            <w:vAlign w:val="center"/>
          </w:tcPr>
          <w:p w:rsidR="00C223F5" w:rsidRDefault="005860D5">
            <w:pPr>
              <w:adjustRightInd w:val="0"/>
              <w:snapToGrid w:val="0"/>
              <w:jc w:val="center"/>
            </w:pPr>
            <w:r>
              <w:t>上新统保德组红土隔水层</w:t>
            </w:r>
          </w:p>
        </w:tc>
        <w:tc>
          <w:tcPr>
            <w:tcW w:w="2036" w:type="dxa"/>
            <w:vAlign w:val="center"/>
          </w:tcPr>
          <w:p w:rsidR="00C223F5" w:rsidRDefault="005860D5">
            <w:pPr>
              <w:adjustRightInd w:val="0"/>
              <w:snapToGrid w:val="0"/>
              <w:jc w:val="center"/>
            </w:pPr>
            <w:r>
              <w:t>棕红色粘土、亚粘土</w:t>
            </w:r>
          </w:p>
        </w:tc>
        <w:tc>
          <w:tcPr>
            <w:tcW w:w="737" w:type="dxa"/>
            <w:vAlign w:val="center"/>
          </w:tcPr>
          <w:p w:rsidR="00C223F5" w:rsidRDefault="005860D5">
            <w:pPr>
              <w:adjustRightInd w:val="0"/>
              <w:snapToGrid w:val="0"/>
              <w:jc w:val="center"/>
            </w:pPr>
            <w:r>
              <w:t>弱</w:t>
            </w:r>
          </w:p>
        </w:tc>
        <w:tc>
          <w:tcPr>
            <w:tcW w:w="1461" w:type="dxa"/>
            <w:vAlign w:val="center"/>
          </w:tcPr>
          <w:p w:rsidR="00C223F5" w:rsidRDefault="005860D5">
            <w:pPr>
              <w:adjustRightInd w:val="0"/>
              <w:snapToGrid w:val="0"/>
              <w:jc w:val="center"/>
            </w:pPr>
            <w:r>
              <w:t>0</w:t>
            </w:r>
            <w:r>
              <w:rPr>
                <w:rFonts w:hint="eastAsia"/>
              </w:rPr>
              <w:t>~</w:t>
            </w:r>
            <w:r>
              <w:t>140.70m</w:t>
            </w:r>
          </w:p>
        </w:tc>
        <w:tc>
          <w:tcPr>
            <w:tcW w:w="2404" w:type="dxa"/>
            <w:tcMar>
              <w:left w:w="108" w:type="dxa"/>
              <w:right w:w="108" w:type="dxa"/>
            </w:tcMar>
            <w:vAlign w:val="center"/>
          </w:tcPr>
          <w:p w:rsidR="00C223F5" w:rsidRDefault="005860D5">
            <w:pPr>
              <w:adjustRightInd w:val="0"/>
              <w:snapToGrid w:val="0"/>
              <w:jc w:val="center"/>
            </w:pPr>
            <w:r>
              <w:rPr>
                <w:rFonts w:hint="eastAsia"/>
              </w:rPr>
              <w:t>导</w:t>
            </w:r>
            <w:r>
              <w:t>水裂隙未导入该</w:t>
            </w:r>
            <w:r>
              <w:rPr>
                <w:rFonts w:hint="eastAsia"/>
              </w:rPr>
              <w:t>隔水</w:t>
            </w:r>
            <w:r>
              <w:t>层，受采煤影响较小</w:t>
            </w:r>
          </w:p>
        </w:tc>
      </w:tr>
      <w:tr w:rsidR="00C223F5">
        <w:trPr>
          <w:trHeight w:val="355"/>
          <w:jc w:val="center"/>
        </w:trPr>
        <w:tc>
          <w:tcPr>
            <w:tcW w:w="731" w:type="dxa"/>
            <w:vAlign w:val="center"/>
          </w:tcPr>
          <w:p w:rsidR="00C223F5" w:rsidRDefault="005860D5">
            <w:pPr>
              <w:adjustRightInd w:val="0"/>
              <w:snapToGrid w:val="0"/>
              <w:jc w:val="center"/>
            </w:pPr>
            <w:r>
              <w:t>侏罗系</w:t>
            </w:r>
          </w:p>
        </w:tc>
        <w:tc>
          <w:tcPr>
            <w:tcW w:w="1862" w:type="dxa"/>
            <w:vAlign w:val="center"/>
          </w:tcPr>
          <w:p w:rsidR="00C223F5" w:rsidRDefault="005860D5">
            <w:pPr>
              <w:adjustRightInd w:val="0"/>
              <w:snapToGrid w:val="0"/>
              <w:jc w:val="center"/>
            </w:pPr>
            <w:r>
              <w:t>风化基岩裂隙潜水含水层</w:t>
            </w:r>
          </w:p>
        </w:tc>
        <w:tc>
          <w:tcPr>
            <w:tcW w:w="2036" w:type="dxa"/>
            <w:vAlign w:val="center"/>
          </w:tcPr>
          <w:p w:rsidR="00C223F5" w:rsidRDefault="005860D5">
            <w:pPr>
              <w:adjustRightInd w:val="0"/>
              <w:snapToGrid w:val="0"/>
              <w:jc w:val="center"/>
            </w:pPr>
            <w:r>
              <w:rPr>
                <w:rFonts w:hint="eastAsia"/>
              </w:rPr>
              <w:t>灰黄色、黄绿色、紫杂色泥岩、粉砂岩</w:t>
            </w:r>
          </w:p>
        </w:tc>
        <w:tc>
          <w:tcPr>
            <w:tcW w:w="737" w:type="dxa"/>
            <w:vAlign w:val="center"/>
          </w:tcPr>
          <w:p w:rsidR="00C223F5" w:rsidRDefault="005860D5">
            <w:pPr>
              <w:adjustRightInd w:val="0"/>
              <w:snapToGrid w:val="0"/>
              <w:jc w:val="center"/>
            </w:pPr>
            <w:r>
              <w:t>弱</w:t>
            </w:r>
          </w:p>
        </w:tc>
        <w:tc>
          <w:tcPr>
            <w:tcW w:w="1461" w:type="dxa"/>
            <w:vAlign w:val="center"/>
          </w:tcPr>
          <w:p w:rsidR="00C223F5" w:rsidRDefault="005860D5">
            <w:pPr>
              <w:adjustRightInd w:val="0"/>
              <w:snapToGrid w:val="0"/>
              <w:jc w:val="center"/>
            </w:pPr>
            <w:r>
              <w:t>5.00</w:t>
            </w:r>
            <w:r>
              <w:rPr>
                <w:rFonts w:hint="eastAsia"/>
              </w:rPr>
              <w:t>~</w:t>
            </w:r>
            <w:r>
              <w:t>41.70m</w:t>
            </w:r>
          </w:p>
        </w:tc>
        <w:tc>
          <w:tcPr>
            <w:tcW w:w="2404" w:type="dxa"/>
            <w:tcMar>
              <w:left w:w="108" w:type="dxa"/>
              <w:right w:w="108" w:type="dxa"/>
            </w:tcMar>
            <w:vAlign w:val="center"/>
          </w:tcPr>
          <w:p w:rsidR="00C223F5" w:rsidRDefault="005860D5">
            <w:pPr>
              <w:adjustRightInd w:val="0"/>
              <w:snapToGrid w:val="0"/>
              <w:jc w:val="center"/>
            </w:pPr>
            <w:r>
              <w:t>导水裂隙未导入该含水层，受采煤影响较小</w:t>
            </w:r>
          </w:p>
        </w:tc>
      </w:tr>
      <w:tr w:rsidR="00C223F5">
        <w:trPr>
          <w:trHeight w:val="355"/>
          <w:jc w:val="center"/>
        </w:trPr>
        <w:tc>
          <w:tcPr>
            <w:tcW w:w="731" w:type="dxa"/>
            <w:vAlign w:val="center"/>
          </w:tcPr>
          <w:p w:rsidR="00C223F5" w:rsidRDefault="005860D5">
            <w:pPr>
              <w:adjustRightInd w:val="0"/>
              <w:snapToGrid w:val="0"/>
              <w:jc w:val="center"/>
            </w:pPr>
            <w:r>
              <w:t>侏罗系</w:t>
            </w:r>
          </w:p>
        </w:tc>
        <w:tc>
          <w:tcPr>
            <w:tcW w:w="1862" w:type="dxa"/>
            <w:vAlign w:val="center"/>
          </w:tcPr>
          <w:p w:rsidR="00C223F5" w:rsidRDefault="005860D5">
            <w:pPr>
              <w:adjustRightInd w:val="0"/>
              <w:snapToGrid w:val="0"/>
              <w:jc w:val="center"/>
            </w:pPr>
            <w:r>
              <w:t>中统延安组裂隙</w:t>
            </w:r>
          </w:p>
          <w:p w:rsidR="00C223F5" w:rsidRDefault="005860D5">
            <w:pPr>
              <w:adjustRightInd w:val="0"/>
              <w:snapToGrid w:val="0"/>
              <w:jc w:val="center"/>
            </w:pPr>
            <w:r>
              <w:t>承压含水层</w:t>
            </w:r>
          </w:p>
        </w:tc>
        <w:tc>
          <w:tcPr>
            <w:tcW w:w="2036" w:type="dxa"/>
            <w:vAlign w:val="center"/>
          </w:tcPr>
          <w:p w:rsidR="00C223F5" w:rsidRDefault="005860D5">
            <w:pPr>
              <w:adjustRightInd w:val="0"/>
              <w:snapToGrid w:val="0"/>
              <w:jc w:val="center"/>
            </w:pPr>
            <w:r>
              <w:t>中细粒砂岩与砂质泥岩、炭质泥岩互层</w:t>
            </w:r>
          </w:p>
        </w:tc>
        <w:tc>
          <w:tcPr>
            <w:tcW w:w="737" w:type="dxa"/>
            <w:vAlign w:val="center"/>
          </w:tcPr>
          <w:p w:rsidR="00C223F5" w:rsidRDefault="005860D5">
            <w:pPr>
              <w:adjustRightInd w:val="0"/>
              <w:snapToGrid w:val="0"/>
              <w:jc w:val="center"/>
            </w:pPr>
            <w:r>
              <w:t>弱</w:t>
            </w:r>
          </w:p>
        </w:tc>
        <w:tc>
          <w:tcPr>
            <w:tcW w:w="1461" w:type="dxa"/>
            <w:vAlign w:val="center"/>
          </w:tcPr>
          <w:p w:rsidR="00C223F5" w:rsidRDefault="005860D5">
            <w:pPr>
              <w:adjustRightInd w:val="0"/>
              <w:snapToGrid w:val="0"/>
              <w:jc w:val="center"/>
            </w:pPr>
            <w:r>
              <w:t>0</w:t>
            </w:r>
            <w:r>
              <w:rPr>
                <w:rFonts w:hint="eastAsia"/>
              </w:rPr>
              <w:t>~</w:t>
            </w:r>
            <w:r>
              <w:t>132.24m</w:t>
            </w:r>
          </w:p>
        </w:tc>
        <w:tc>
          <w:tcPr>
            <w:tcW w:w="2404" w:type="dxa"/>
            <w:tcMar>
              <w:left w:w="108" w:type="dxa"/>
              <w:right w:w="108" w:type="dxa"/>
            </w:tcMar>
            <w:vAlign w:val="center"/>
          </w:tcPr>
          <w:p w:rsidR="00C223F5" w:rsidRDefault="005860D5">
            <w:pPr>
              <w:adjustRightInd w:val="0"/>
              <w:snapToGrid w:val="0"/>
              <w:jc w:val="center"/>
              <w:rPr>
                <w:rFonts w:hAnsi="宋体"/>
              </w:rPr>
            </w:pPr>
            <w:r>
              <w:rPr>
                <w:rFonts w:hint="eastAsia"/>
              </w:rPr>
              <w:t>导</w:t>
            </w:r>
            <w:r>
              <w:t>水裂隙未导入该</w:t>
            </w:r>
            <w:r>
              <w:rPr>
                <w:rFonts w:hint="eastAsia"/>
              </w:rPr>
              <w:t>含水</w:t>
            </w:r>
            <w:r>
              <w:t>层，受采煤影响较小</w:t>
            </w:r>
          </w:p>
        </w:tc>
      </w:tr>
      <w:tr w:rsidR="00C223F5">
        <w:trPr>
          <w:trHeight w:val="355"/>
          <w:jc w:val="center"/>
        </w:trPr>
        <w:tc>
          <w:tcPr>
            <w:tcW w:w="731" w:type="dxa"/>
            <w:vAlign w:val="center"/>
          </w:tcPr>
          <w:p w:rsidR="00C223F5" w:rsidRDefault="005860D5">
            <w:pPr>
              <w:adjustRightInd w:val="0"/>
              <w:snapToGrid w:val="0"/>
              <w:jc w:val="center"/>
            </w:pPr>
            <w:r>
              <w:t>侏罗系</w:t>
            </w:r>
          </w:p>
        </w:tc>
        <w:tc>
          <w:tcPr>
            <w:tcW w:w="1862" w:type="dxa"/>
            <w:vAlign w:val="center"/>
          </w:tcPr>
          <w:p w:rsidR="00C223F5" w:rsidRDefault="005860D5">
            <w:pPr>
              <w:pStyle w:val="aff1"/>
              <w:spacing w:line="360" w:lineRule="auto"/>
              <w:ind w:left="0" w:firstLine="0"/>
              <w:rPr>
                <w:sz w:val="21"/>
                <w:szCs w:val="24"/>
              </w:rPr>
            </w:pPr>
            <w:r>
              <w:rPr>
                <w:sz w:val="21"/>
                <w:szCs w:val="24"/>
              </w:rPr>
              <w:t>下统富县组隔水层</w:t>
            </w:r>
          </w:p>
        </w:tc>
        <w:tc>
          <w:tcPr>
            <w:tcW w:w="2036" w:type="dxa"/>
            <w:vAlign w:val="center"/>
          </w:tcPr>
          <w:p w:rsidR="00C223F5" w:rsidRDefault="005860D5">
            <w:pPr>
              <w:adjustRightInd w:val="0"/>
              <w:snapToGrid w:val="0"/>
              <w:jc w:val="center"/>
            </w:pPr>
            <w:r>
              <w:t>紫杂色、灰绿色泥岩和粉砂岩</w:t>
            </w:r>
          </w:p>
        </w:tc>
        <w:tc>
          <w:tcPr>
            <w:tcW w:w="737" w:type="dxa"/>
            <w:vAlign w:val="center"/>
          </w:tcPr>
          <w:p w:rsidR="00C223F5" w:rsidRDefault="005860D5">
            <w:pPr>
              <w:adjustRightInd w:val="0"/>
              <w:snapToGrid w:val="0"/>
              <w:jc w:val="center"/>
            </w:pPr>
            <w:r>
              <w:t>弱</w:t>
            </w:r>
          </w:p>
        </w:tc>
        <w:tc>
          <w:tcPr>
            <w:tcW w:w="1461" w:type="dxa"/>
            <w:vAlign w:val="center"/>
          </w:tcPr>
          <w:p w:rsidR="00C223F5" w:rsidRDefault="005860D5">
            <w:pPr>
              <w:adjustRightInd w:val="0"/>
              <w:snapToGrid w:val="0"/>
              <w:jc w:val="center"/>
            </w:pPr>
            <w:r>
              <w:t>0</w:t>
            </w:r>
            <w:r>
              <w:rPr>
                <w:rFonts w:hint="eastAsia"/>
              </w:rPr>
              <w:t>~</w:t>
            </w:r>
            <w:r>
              <w:t>13.33m</w:t>
            </w:r>
          </w:p>
        </w:tc>
        <w:tc>
          <w:tcPr>
            <w:tcW w:w="2404" w:type="dxa"/>
            <w:tcMar>
              <w:left w:w="108" w:type="dxa"/>
              <w:right w:w="108" w:type="dxa"/>
            </w:tcMar>
            <w:vAlign w:val="center"/>
          </w:tcPr>
          <w:p w:rsidR="00C223F5" w:rsidRDefault="005860D5">
            <w:pPr>
              <w:adjustRightInd w:val="0"/>
              <w:snapToGrid w:val="0"/>
              <w:jc w:val="center"/>
            </w:pPr>
            <w:r>
              <w:rPr>
                <w:rFonts w:hint="eastAsia"/>
              </w:rPr>
              <w:t>导</w:t>
            </w:r>
            <w:r>
              <w:t>水裂隙未导入该</w:t>
            </w:r>
            <w:r>
              <w:rPr>
                <w:rFonts w:hint="eastAsia"/>
              </w:rPr>
              <w:t>隔水</w:t>
            </w:r>
            <w:r>
              <w:t>层，受采煤影响较小</w:t>
            </w:r>
          </w:p>
        </w:tc>
      </w:tr>
      <w:tr w:rsidR="00C223F5">
        <w:trPr>
          <w:trHeight w:val="355"/>
          <w:jc w:val="center"/>
        </w:trPr>
        <w:tc>
          <w:tcPr>
            <w:tcW w:w="731" w:type="dxa"/>
            <w:vAlign w:val="center"/>
          </w:tcPr>
          <w:p w:rsidR="00C223F5" w:rsidRDefault="005860D5">
            <w:pPr>
              <w:adjustRightInd w:val="0"/>
              <w:snapToGrid w:val="0"/>
              <w:jc w:val="center"/>
            </w:pPr>
            <w:r>
              <w:t>三叠系</w:t>
            </w:r>
          </w:p>
        </w:tc>
        <w:tc>
          <w:tcPr>
            <w:tcW w:w="1862" w:type="dxa"/>
            <w:vAlign w:val="center"/>
          </w:tcPr>
          <w:p w:rsidR="00C223F5" w:rsidRDefault="005860D5">
            <w:pPr>
              <w:adjustRightInd w:val="0"/>
              <w:snapToGrid w:val="0"/>
              <w:jc w:val="center"/>
            </w:pPr>
            <w:r>
              <w:t>基岩中的泥岩</w:t>
            </w:r>
            <w:r>
              <w:rPr>
                <w:rFonts w:hint="eastAsia"/>
              </w:rPr>
              <w:t>和</w:t>
            </w:r>
            <w:r>
              <w:t>油页岩隔水层</w:t>
            </w:r>
          </w:p>
        </w:tc>
        <w:tc>
          <w:tcPr>
            <w:tcW w:w="2036" w:type="dxa"/>
            <w:vAlign w:val="center"/>
          </w:tcPr>
          <w:p w:rsidR="00C223F5" w:rsidRDefault="005860D5">
            <w:pPr>
              <w:adjustRightInd w:val="0"/>
              <w:snapToGrid w:val="0"/>
              <w:jc w:val="center"/>
            </w:pPr>
            <w:r>
              <w:rPr>
                <w:rFonts w:hint="eastAsia"/>
              </w:rPr>
              <w:t>基本全区分布，岩性致密，裂隙不发育</w:t>
            </w:r>
          </w:p>
        </w:tc>
        <w:tc>
          <w:tcPr>
            <w:tcW w:w="737" w:type="dxa"/>
            <w:vAlign w:val="center"/>
          </w:tcPr>
          <w:p w:rsidR="00C223F5" w:rsidRDefault="005860D5">
            <w:pPr>
              <w:adjustRightInd w:val="0"/>
              <w:snapToGrid w:val="0"/>
              <w:jc w:val="center"/>
            </w:pPr>
            <w:r>
              <w:t>弱</w:t>
            </w:r>
          </w:p>
        </w:tc>
        <w:tc>
          <w:tcPr>
            <w:tcW w:w="1461" w:type="dxa"/>
            <w:vAlign w:val="center"/>
          </w:tcPr>
          <w:p w:rsidR="00C223F5" w:rsidRDefault="005860D5">
            <w:pPr>
              <w:adjustRightInd w:val="0"/>
              <w:snapToGrid w:val="0"/>
              <w:jc w:val="center"/>
            </w:pPr>
            <w:r>
              <w:t>0</w:t>
            </w:r>
            <w:r>
              <w:rPr>
                <w:rFonts w:hint="eastAsia"/>
              </w:rPr>
              <w:t>~</w:t>
            </w:r>
            <w:r>
              <w:t>10.95m</w:t>
            </w:r>
          </w:p>
        </w:tc>
        <w:tc>
          <w:tcPr>
            <w:tcW w:w="2404" w:type="dxa"/>
            <w:tcMar>
              <w:left w:w="108" w:type="dxa"/>
              <w:right w:w="108" w:type="dxa"/>
            </w:tcMar>
            <w:vAlign w:val="center"/>
          </w:tcPr>
          <w:p w:rsidR="00C223F5" w:rsidRDefault="005860D5">
            <w:pPr>
              <w:adjustRightInd w:val="0"/>
              <w:snapToGrid w:val="0"/>
              <w:jc w:val="center"/>
            </w:pPr>
            <w:r>
              <w:rPr>
                <w:rFonts w:hint="eastAsia"/>
              </w:rPr>
              <w:t>导</w:t>
            </w:r>
            <w:r>
              <w:t>水裂隙未</w:t>
            </w:r>
            <w:r>
              <w:rPr>
                <w:rFonts w:hint="eastAsia"/>
              </w:rPr>
              <w:t>穿透</w:t>
            </w:r>
            <w:r>
              <w:t>该</w:t>
            </w:r>
            <w:r>
              <w:rPr>
                <w:rFonts w:hint="eastAsia"/>
              </w:rPr>
              <w:t>隔水</w:t>
            </w:r>
            <w:r>
              <w:t>层，受采煤影响较小</w:t>
            </w:r>
          </w:p>
        </w:tc>
      </w:tr>
      <w:tr w:rsidR="00C223F5">
        <w:trPr>
          <w:trHeight w:val="509"/>
          <w:jc w:val="center"/>
        </w:trPr>
        <w:tc>
          <w:tcPr>
            <w:tcW w:w="731" w:type="dxa"/>
            <w:vAlign w:val="center"/>
          </w:tcPr>
          <w:p w:rsidR="00C223F5" w:rsidRDefault="005860D5">
            <w:pPr>
              <w:adjustRightInd w:val="0"/>
              <w:snapToGrid w:val="0"/>
              <w:jc w:val="center"/>
              <w:rPr>
                <w:rFonts w:hAnsi="宋体"/>
              </w:rPr>
            </w:pPr>
            <w:r>
              <w:rPr>
                <w:rFonts w:hAnsi="宋体"/>
              </w:rPr>
              <w:t>三叠系</w:t>
            </w:r>
          </w:p>
        </w:tc>
        <w:tc>
          <w:tcPr>
            <w:tcW w:w="1862" w:type="dxa"/>
            <w:vAlign w:val="center"/>
          </w:tcPr>
          <w:p w:rsidR="00C223F5" w:rsidRDefault="005860D5">
            <w:pPr>
              <w:adjustRightInd w:val="0"/>
              <w:snapToGrid w:val="0"/>
              <w:jc w:val="center"/>
              <w:rPr>
                <w:rFonts w:hAnsi="宋体"/>
              </w:rPr>
            </w:pPr>
            <w:r>
              <w:rPr>
                <w:rFonts w:hAnsi="宋体"/>
              </w:rPr>
              <w:t>上统瓦窑堡组基岩孔隙裂隙承压水</w:t>
            </w:r>
          </w:p>
        </w:tc>
        <w:tc>
          <w:tcPr>
            <w:tcW w:w="2036" w:type="dxa"/>
            <w:vAlign w:val="center"/>
          </w:tcPr>
          <w:p w:rsidR="00C223F5" w:rsidRDefault="005860D5">
            <w:pPr>
              <w:adjustRightInd w:val="0"/>
              <w:snapToGrid w:val="0"/>
              <w:jc w:val="center"/>
              <w:rPr>
                <w:rFonts w:hAnsi="宋体"/>
              </w:rPr>
            </w:pPr>
            <w:r>
              <w:rPr>
                <w:rFonts w:hAnsi="宋体"/>
              </w:rPr>
              <w:t>中、细粒砂岩，局部粗粒砂岩，泥质胶结或硅质胶结</w:t>
            </w:r>
          </w:p>
        </w:tc>
        <w:tc>
          <w:tcPr>
            <w:tcW w:w="737" w:type="dxa"/>
            <w:vAlign w:val="center"/>
          </w:tcPr>
          <w:p w:rsidR="00C223F5" w:rsidRDefault="005860D5">
            <w:pPr>
              <w:adjustRightInd w:val="0"/>
              <w:snapToGrid w:val="0"/>
              <w:jc w:val="center"/>
              <w:rPr>
                <w:rFonts w:hAnsi="宋体"/>
              </w:rPr>
            </w:pPr>
            <w:r>
              <w:rPr>
                <w:rFonts w:hAnsi="宋体"/>
              </w:rPr>
              <w:t>弱</w:t>
            </w:r>
          </w:p>
        </w:tc>
        <w:tc>
          <w:tcPr>
            <w:tcW w:w="1461" w:type="dxa"/>
            <w:vAlign w:val="center"/>
          </w:tcPr>
          <w:p w:rsidR="00C223F5" w:rsidRDefault="005860D5">
            <w:pPr>
              <w:adjustRightInd w:val="0"/>
              <w:snapToGrid w:val="0"/>
              <w:jc w:val="center"/>
              <w:rPr>
                <w:rFonts w:hAnsi="宋体"/>
              </w:rPr>
            </w:pPr>
            <w:r>
              <w:rPr>
                <w:rFonts w:hAnsi="宋体"/>
              </w:rPr>
              <w:t>111.43</w:t>
            </w:r>
            <w:r>
              <w:rPr>
                <w:rFonts w:hAnsi="宋体" w:hint="eastAsia"/>
              </w:rPr>
              <w:t>~</w:t>
            </w:r>
            <w:r>
              <w:rPr>
                <w:rFonts w:hAnsi="宋体"/>
              </w:rPr>
              <w:t>154.41m</w:t>
            </w:r>
          </w:p>
        </w:tc>
        <w:tc>
          <w:tcPr>
            <w:tcW w:w="2404" w:type="dxa"/>
            <w:tcMar>
              <w:left w:w="108" w:type="dxa"/>
              <w:right w:w="108" w:type="dxa"/>
            </w:tcMar>
            <w:vAlign w:val="center"/>
          </w:tcPr>
          <w:p w:rsidR="00C223F5" w:rsidRDefault="005860D5">
            <w:pPr>
              <w:adjustRightInd w:val="0"/>
              <w:snapToGrid w:val="0"/>
              <w:jc w:val="center"/>
              <w:rPr>
                <w:rFonts w:hAnsi="宋体"/>
              </w:rPr>
            </w:pPr>
            <w:r>
              <w:rPr>
                <w:rFonts w:hAnsi="宋体"/>
              </w:rPr>
              <w:t>受采煤导水裂缝直接影响，矿井直接充水含水层</w:t>
            </w:r>
            <w:r>
              <w:rPr>
                <w:rFonts w:hAnsi="宋体" w:hint="eastAsia"/>
              </w:rPr>
              <w:t>；但未穿透该含水层</w:t>
            </w:r>
          </w:p>
        </w:tc>
      </w:tr>
    </w:tbl>
    <w:p w:rsidR="00C223F5" w:rsidRPr="00927E76" w:rsidRDefault="005860D5">
      <w:pPr>
        <w:jc w:val="center"/>
      </w:pPr>
      <w:r w:rsidRPr="00927E76">
        <w:rPr>
          <w:noProof/>
        </w:rPr>
        <w:lastRenderedPageBreak/>
        <w:drawing>
          <wp:inline distT="0" distB="0" distL="0" distR="0">
            <wp:extent cx="3371850" cy="7296150"/>
            <wp:effectExtent l="19050" t="0" r="0" b="0"/>
            <wp:docPr id="97" name="图片 97" descr="C:\Users\lenovo\Desktop\图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lenovo\Desktop\图4.2.jpg"/>
                    <pic:cNvPicPr>
                      <a:picLocks noChangeAspect="1" noChangeArrowheads="1"/>
                    </pic:cNvPicPr>
                  </pic:nvPicPr>
                  <pic:blipFill>
                    <a:blip r:embed="rId105" cstate="print"/>
                    <a:srcRect l="19048" r="18519" b="4489"/>
                    <a:stretch>
                      <a:fillRect/>
                    </a:stretch>
                  </pic:blipFill>
                  <pic:spPr>
                    <a:xfrm>
                      <a:off x="0" y="0"/>
                      <a:ext cx="3371850" cy="7296150"/>
                    </a:xfrm>
                    <a:prstGeom prst="rect">
                      <a:avLst/>
                    </a:prstGeom>
                    <a:noFill/>
                    <a:ln w="9525">
                      <a:noFill/>
                      <a:miter lim="800000"/>
                      <a:headEnd/>
                      <a:tailEnd/>
                    </a:ln>
                  </pic:spPr>
                </pic:pic>
              </a:graphicData>
            </a:graphic>
          </wp:inline>
        </w:drawing>
      </w:r>
    </w:p>
    <w:p w:rsidR="00C223F5" w:rsidRPr="00927E76" w:rsidRDefault="005860D5">
      <w:pPr>
        <w:jc w:val="center"/>
        <w:rPr>
          <w:b/>
          <w:sz w:val="24"/>
        </w:rPr>
      </w:pPr>
      <w:r w:rsidRPr="00927E76">
        <w:rPr>
          <w:rFonts w:hint="eastAsia"/>
          <w:b/>
          <w:sz w:val="24"/>
        </w:rPr>
        <w:t>图</w:t>
      </w:r>
      <w:r w:rsidRPr="00927E76">
        <w:rPr>
          <w:rFonts w:hint="eastAsia"/>
          <w:b/>
          <w:sz w:val="24"/>
        </w:rPr>
        <w:t xml:space="preserve">4.2.2-4   </w:t>
      </w:r>
      <w:r w:rsidRPr="00927E76">
        <w:rPr>
          <w:rFonts w:hint="eastAsia"/>
          <w:b/>
          <w:sz w:val="24"/>
        </w:rPr>
        <w:t>导水裂隙带最大发育高度示意图</w:t>
      </w:r>
    </w:p>
    <w:p w:rsidR="00C223F5" w:rsidRDefault="005860D5" w:rsidP="004835BD">
      <w:pPr>
        <w:pStyle w:val="4"/>
        <w:spacing w:beforeLines="50" w:before="120" w:after="0" w:line="360" w:lineRule="auto"/>
        <w:ind w:firstLineChars="100" w:firstLine="240"/>
        <w:rPr>
          <w:szCs w:val="24"/>
        </w:rPr>
      </w:pPr>
      <w:r w:rsidRPr="00927E76">
        <w:rPr>
          <w:rFonts w:hint="eastAsia"/>
          <w:szCs w:val="24"/>
        </w:rPr>
        <w:t>4.2.2.5</w:t>
      </w:r>
      <w:r w:rsidRPr="00927E76">
        <w:rPr>
          <w:rFonts w:hint="eastAsia"/>
          <w:szCs w:val="24"/>
        </w:rPr>
        <w:t>采煤对地下水的影响预</w:t>
      </w:r>
      <w:r>
        <w:rPr>
          <w:rFonts w:hint="eastAsia"/>
          <w:szCs w:val="24"/>
        </w:rPr>
        <w:t>测</w:t>
      </w:r>
    </w:p>
    <w:p w:rsidR="00C223F5" w:rsidRDefault="005860D5">
      <w:pPr>
        <w:pStyle w:val="BG"/>
        <w:ind w:firstLine="480"/>
      </w:pPr>
      <w:r>
        <w:rPr>
          <w:rFonts w:hint="eastAsia"/>
        </w:rPr>
        <w:t>（</w:t>
      </w:r>
      <w:r>
        <w:rPr>
          <w:rFonts w:hint="eastAsia"/>
        </w:rPr>
        <w:t>1</w:t>
      </w:r>
      <w:r>
        <w:rPr>
          <w:rFonts w:hint="eastAsia"/>
        </w:rPr>
        <w:t>）采煤对地下水资源的影响</w:t>
      </w:r>
    </w:p>
    <w:p w:rsidR="00C223F5" w:rsidRDefault="005860D5">
      <w:pPr>
        <w:pStyle w:val="hb1"/>
        <w:spacing w:line="384" w:lineRule="auto"/>
        <w:ind w:firstLine="480"/>
        <w:rPr>
          <w:rFonts w:cs="Times New Roman"/>
          <w:szCs w:val="24"/>
        </w:rPr>
      </w:pPr>
      <w:r>
        <w:rPr>
          <w:rFonts w:cs="Times New Roman"/>
        </w:rPr>
        <w:t>煤炭开采对地下水资源的影响主要表现在煤层开采后由于顶板的冒落，使采空区上覆含水层遭到破坏，原来储存于含水层中的水在短时间内疏干而造成地下</w:t>
      </w:r>
      <w:r>
        <w:rPr>
          <w:rFonts w:cs="Times New Roman"/>
        </w:rPr>
        <w:lastRenderedPageBreak/>
        <w:t>水资源的损失。</w:t>
      </w:r>
      <w:r>
        <w:rPr>
          <w:rFonts w:cs="Times New Roman" w:hint="eastAsia"/>
        </w:rPr>
        <w:t>天云</w:t>
      </w:r>
      <w:r>
        <w:rPr>
          <w:rFonts w:cs="Times New Roman"/>
        </w:rPr>
        <w:t>矿井正常涌水量</w:t>
      </w:r>
      <w:r>
        <w:rPr>
          <w:rFonts w:cs="Times New Roman" w:hint="eastAsia"/>
        </w:rPr>
        <w:t>80</w:t>
      </w:r>
      <w:r>
        <w:rPr>
          <w:rFonts w:cs="Times New Roman"/>
        </w:rPr>
        <w:t>m</w:t>
      </w:r>
      <w:r>
        <w:rPr>
          <w:rFonts w:cs="Times New Roman"/>
          <w:vertAlign w:val="superscript"/>
        </w:rPr>
        <w:t>3</w:t>
      </w:r>
      <w:r>
        <w:rPr>
          <w:rFonts w:cs="Times New Roman"/>
        </w:rPr>
        <w:t>/h</w:t>
      </w:r>
      <w:r>
        <w:rPr>
          <w:rFonts w:cs="Times New Roman" w:hint="eastAsia"/>
        </w:rPr>
        <w:t>（含灌浆析出水）</w:t>
      </w:r>
      <w:r>
        <w:rPr>
          <w:rFonts w:cs="Times New Roman"/>
          <w:szCs w:val="24"/>
        </w:rPr>
        <w:t>，年损失地下水资源量为</w:t>
      </w:r>
      <w:r>
        <w:rPr>
          <w:rFonts w:cs="Times New Roman" w:hint="eastAsia"/>
          <w:szCs w:val="24"/>
        </w:rPr>
        <w:t>69.73</w:t>
      </w:r>
      <w:r>
        <w:rPr>
          <w:rFonts w:cs="Times New Roman" w:hint="eastAsia"/>
          <w:szCs w:val="24"/>
        </w:rPr>
        <w:t>万</w:t>
      </w:r>
      <w:r>
        <w:rPr>
          <w:rFonts w:cs="Times New Roman"/>
        </w:rPr>
        <w:t xml:space="preserve"> m</w:t>
      </w:r>
      <w:r>
        <w:rPr>
          <w:rFonts w:cs="Times New Roman"/>
          <w:vertAlign w:val="superscript"/>
        </w:rPr>
        <w:t>3</w:t>
      </w:r>
      <w:r>
        <w:rPr>
          <w:rFonts w:cs="Times New Roman"/>
        </w:rPr>
        <w:t>/a</w:t>
      </w:r>
      <w:r>
        <w:rPr>
          <w:rFonts w:cs="Times New Roman" w:hint="eastAsia"/>
        </w:rPr>
        <w:t>，</w:t>
      </w:r>
      <w:r>
        <w:rPr>
          <w:rFonts w:cs="Times New Roman"/>
          <w:szCs w:val="24"/>
        </w:rPr>
        <w:t>主要来自煤系地层含水层，但矿井涌水经处理达标后回用，</w:t>
      </w:r>
      <w:r>
        <w:rPr>
          <w:rFonts w:cs="Times New Roman"/>
        </w:rPr>
        <w:t>矿井涌水得到了资源化利用，从另一角度看，矿井生产采用处理后的矿井水，</w:t>
      </w:r>
      <w:r>
        <w:rPr>
          <w:rFonts w:cs="Times New Roman" w:hint="eastAsia"/>
        </w:rPr>
        <w:t>从而</w:t>
      </w:r>
      <w:r>
        <w:rPr>
          <w:rFonts w:cs="Times New Roman"/>
        </w:rPr>
        <w:t>减少了矿井开采对浅</w:t>
      </w:r>
      <w:r>
        <w:rPr>
          <w:rFonts w:cs="Times New Roman"/>
          <w:szCs w:val="24"/>
        </w:rPr>
        <w:t>层含水层取水量。</w:t>
      </w:r>
    </w:p>
    <w:p w:rsidR="00C223F5" w:rsidRDefault="005860D5">
      <w:pPr>
        <w:pStyle w:val="BG"/>
        <w:ind w:firstLine="480"/>
      </w:pPr>
      <w:r>
        <w:rPr>
          <w:rFonts w:hint="eastAsia"/>
        </w:rPr>
        <w:t>（</w:t>
      </w:r>
      <w:r>
        <w:rPr>
          <w:rFonts w:hint="eastAsia"/>
        </w:rPr>
        <w:t>2</w:t>
      </w:r>
      <w:r>
        <w:rPr>
          <w:rFonts w:hint="eastAsia"/>
        </w:rPr>
        <w:t>）采煤对地下水水位的影响</w:t>
      </w:r>
    </w:p>
    <w:p w:rsidR="00C223F5" w:rsidRDefault="000F32AE">
      <w:pPr>
        <w:spacing w:line="360" w:lineRule="auto"/>
        <w:ind w:firstLineChars="200" w:firstLine="480"/>
        <w:rPr>
          <w:sz w:val="24"/>
        </w:rPr>
      </w:pPr>
      <w:r>
        <w:rPr>
          <w:sz w:val="24"/>
        </w:rPr>
        <w:fldChar w:fldCharType="begin"/>
      </w:r>
      <w:r w:rsidR="005860D5">
        <w:rPr>
          <w:rFonts w:hint="eastAsia"/>
          <w:sz w:val="24"/>
        </w:rPr>
        <w:instrText>= 1 \* GB3</w:instrText>
      </w:r>
      <w:r>
        <w:rPr>
          <w:sz w:val="24"/>
        </w:rPr>
        <w:fldChar w:fldCharType="separate"/>
      </w:r>
      <w:r w:rsidR="005860D5">
        <w:rPr>
          <w:rFonts w:hint="eastAsia"/>
          <w:sz w:val="24"/>
        </w:rPr>
        <w:t>①</w:t>
      </w:r>
      <w:r>
        <w:rPr>
          <w:sz w:val="24"/>
        </w:rPr>
        <w:fldChar w:fldCharType="end"/>
      </w:r>
      <w:r w:rsidR="005860D5">
        <w:rPr>
          <w:sz w:val="24"/>
        </w:rPr>
        <w:t>采煤对瓦窑堡组含水层地下水位的影响预测</w:t>
      </w:r>
    </w:p>
    <w:p w:rsidR="00C223F5" w:rsidRDefault="005860D5">
      <w:pPr>
        <w:pStyle w:val="CM2"/>
        <w:adjustRightInd/>
        <w:spacing w:line="360" w:lineRule="auto"/>
        <w:ind w:firstLineChars="200" w:firstLine="480"/>
        <w:jc w:val="both"/>
      </w:pPr>
      <w:r>
        <w:t>按经验公式来估算其影响半径：</w:t>
      </w:r>
    </w:p>
    <w:bookmarkStart w:id="388" w:name="_Toc518464733"/>
    <w:p w:rsidR="00C223F5" w:rsidRDefault="00C223F5">
      <w:pPr>
        <w:pStyle w:val="CM51"/>
        <w:adjustRightInd/>
        <w:spacing w:after="0" w:line="360" w:lineRule="auto"/>
        <w:ind w:firstLineChars="200" w:firstLine="480"/>
        <w:jc w:val="both"/>
      </w:pPr>
      <w:r w:rsidRPr="00C223F5">
        <w:rPr>
          <w:position w:val="-6"/>
        </w:rPr>
        <w:object w:dxaOrig="1239" w:dyaOrig="340">
          <v:shape id="_x0000_i1065" type="#_x0000_t75" style="width:61.85pt;height:17.8pt" o:ole="">
            <v:imagedata r:id="rId106" o:title=""/>
          </v:shape>
          <o:OLEObject Type="Embed" ProgID="Equation.3" ShapeID="_x0000_i1065" DrawAspect="Content" ObjectID="_1629037176" r:id="rId107"/>
        </w:object>
      </w:r>
      <w:r w:rsidR="005860D5">
        <w:t xml:space="preserve">                  </w:t>
      </w:r>
      <w:r w:rsidR="005860D5">
        <w:t>（</w:t>
      </w:r>
      <w:r w:rsidR="005860D5">
        <w:t>1</w:t>
      </w:r>
      <w:r w:rsidR="005860D5">
        <w:t>）</w:t>
      </w:r>
      <w:bookmarkEnd w:id="388"/>
    </w:p>
    <w:p w:rsidR="00C223F5" w:rsidRDefault="005860D5">
      <w:pPr>
        <w:spacing w:line="360" w:lineRule="auto"/>
        <w:ind w:firstLineChars="200" w:firstLine="480"/>
        <w:rPr>
          <w:sz w:val="24"/>
        </w:rPr>
      </w:pPr>
      <w:r>
        <w:rPr>
          <w:sz w:val="24"/>
        </w:rPr>
        <w:t>式中：</w:t>
      </w:r>
      <w:r>
        <w:rPr>
          <w:sz w:val="24"/>
        </w:rPr>
        <w:t>R-</w:t>
      </w:r>
      <w:r>
        <w:rPr>
          <w:sz w:val="24"/>
        </w:rPr>
        <w:t>影响半径，</w:t>
      </w:r>
      <w:r>
        <w:rPr>
          <w:sz w:val="24"/>
        </w:rPr>
        <w:t>m</w:t>
      </w:r>
      <w:r>
        <w:rPr>
          <w:sz w:val="24"/>
        </w:rPr>
        <w:t>；</w:t>
      </w:r>
      <w:r>
        <w:rPr>
          <w:sz w:val="24"/>
        </w:rPr>
        <w:t>K-</w:t>
      </w:r>
      <w:r>
        <w:rPr>
          <w:sz w:val="24"/>
        </w:rPr>
        <w:t>渗透系数，</w:t>
      </w:r>
      <w:r>
        <w:rPr>
          <w:sz w:val="24"/>
        </w:rPr>
        <w:t>m/d</w:t>
      </w:r>
      <w:r>
        <w:rPr>
          <w:sz w:val="24"/>
        </w:rPr>
        <w:t>；</w:t>
      </w:r>
      <w:r>
        <w:rPr>
          <w:sz w:val="24"/>
        </w:rPr>
        <w:t>S-</w:t>
      </w:r>
      <w:r>
        <w:rPr>
          <w:sz w:val="24"/>
        </w:rPr>
        <w:t>水位降深，</w:t>
      </w:r>
      <w:r>
        <w:rPr>
          <w:sz w:val="24"/>
        </w:rPr>
        <w:t>m</w:t>
      </w:r>
      <w:r>
        <w:rPr>
          <w:sz w:val="24"/>
        </w:rPr>
        <w:t>；。</w:t>
      </w:r>
    </w:p>
    <w:p w:rsidR="00C223F5" w:rsidRDefault="00C223F5">
      <w:pPr>
        <w:tabs>
          <w:tab w:val="left" w:pos="0"/>
        </w:tabs>
        <w:spacing w:line="360" w:lineRule="auto"/>
        <w:ind w:firstLineChars="200" w:firstLine="480"/>
        <w:rPr>
          <w:sz w:val="24"/>
        </w:rPr>
      </w:pPr>
      <w:r w:rsidRPr="00C223F5">
        <w:rPr>
          <w:position w:val="-24"/>
          <w:sz w:val="24"/>
        </w:rPr>
        <w:object w:dxaOrig="880" w:dyaOrig="620">
          <v:shape id="_x0000_i1066" type="#_x0000_t75" style="width:42.35pt;height:29.65pt" o:ole="">
            <v:imagedata r:id="rId108" o:title=""/>
          </v:shape>
          <o:OLEObject Type="Embed" ProgID="Equation.3" ShapeID="_x0000_i1066" DrawAspect="Content" ObjectID="_1629037177" r:id="rId109"/>
        </w:object>
      </w:r>
      <w:r w:rsidR="005860D5">
        <w:rPr>
          <w:sz w:val="24"/>
        </w:rPr>
        <w:t xml:space="preserve">                       </w:t>
      </w:r>
      <w:r w:rsidR="005860D5">
        <w:rPr>
          <w:sz w:val="24"/>
        </w:rPr>
        <w:t>（</w:t>
      </w:r>
      <w:r w:rsidR="005860D5">
        <w:rPr>
          <w:sz w:val="24"/>
        </w:rPr>
        <w:t>2</w:t>
      </w:r>
      <w:r w:rsidR="005860D5">
        <w:rPr>
          <w:sz w:val="24"/>
        </w:rPr>
        <w:t>）</w:t>
      </w:r>
    </w:p>
    <w:p w:rsidR="00C223F5" w:rsidRDefault="005860D5">
      <w:pPr>
        <w:tabs>
          <w:tab w:val="left" w:pos="0"/>
        </w:tabs>
        <w:spacing w:line="360" w:lineRule="auto"/>
        <w:ind w:firstLineChars="200" w:firstLine="480"/>
        <w:rPr>
          <w:sz w:val="24"/>
        </w:rPr>
      </w:pPr>
      <w:r>
        <w:rPr>
          <w:sz w:val="24"/>
        </w:rPr>
        <w:t>式中：</w:t>
      </w:r>
      <w:r>
        <w:rPr>
          <w:sz w:val="24"/>
        </w:rPr>
        <w:t>r</w:t>
      </w:r>
      <w:r>
        <w:rPr>
          <w:sz w:val="24"/>
          <w:vertAlign w:val="subscript"/>
        </w:rPr>
        <w:t>0</w:t>
      </w:r>
      <w:r>
        <w:rPr>
          <w:sz w:val="24"/>
        </w:rPr>
        <w:t>-</w:t>
      </w:r>
      <w:r>
        <w:rPr>
          <w:sz w:val="24"/>
        </w:rPr>
        <w:t>引用半径，</w:t>
      </w:r>
      <w:r>
        <w:rPr>
          <w:sz w:val="24"/>
        </w:rPr>
        <w:t>m</w:t>
      </w:r>
      <w:r>
        <w:rPr>
          <w:sz w:val="24"/>
        </w:rPr>
        <w:t>；</w:t>
      </w:r>
      <w:r>
        <w:rPr>
          <w:sz w:val="24"/>
        </w:rPr>
        <w:t xml:space="preserve">         P-</w:t>
      </w:r>
      <w:r>
        <w:rPr>
          <w:sz w:val="24"/>
        </w:rPr>
        <w:t>多边形矿坑周长，</w:t>
      </w:r>
      <w:r>
        <w:rPr>
          <w:sz w:val="24"/>
        </w:rPr>
        <w:t>m</w:t>
      </w:r>
      <w:r>
        <w:rPr>
          <w:sz w:val="24"/>
        </w:rPr>
        <w:t>。</w:t>
      </w:r>
    </w:p>
    <w:p w:rsidR="00C223F5" w:rsidRDefault="00C223F5">
      <w:pPr>
        <w:tabs>
          <w:tab w:val="left" w:pos="0"/>
        </w:tabs>
        <w:spacing w:line="360" w:lineRule="auto"/>
        <w:ind w:firstLineChars="200" w:firstLine="480"/>
        <w:rPr>
          <w:sz w:val="24"/>
        </w:rPr>
      </w:pPr>
      <w:r w:rsidRPr="00C223F5">
        <w:rPr>
          <w:position w:val="-18"/>
          <w:sz w:val="24"/>
        </w:rPr>
        <w:object w:dxaOrig="1399" w:dyaOrig="420">
          <v:shape id="_x0000_i1067" type="#_x0000_t75" style="width:49.15pt;height:15.25pt" o:ole="">
            <v:imagedata r:id="rId110" o:title=""/>
          </v:shape>
          <o:OLEObject Type="Embed" ProgID="Equation.3" ShapeID="_x0000_i1067" DrawAspect="Content" ObjectID="_1629037178" r:id="rId111"/>
        </w:object>
      </w:r>
      <w:r w:rsidR="005860D5">
        <w:rPr>
          <w:sz w:val="24"/>
        </w:rPr>
        <w:t xml:space="preserve">                       </w:t>
      </w:r>
      <w:r w:rsidR="005860D5">
        <w:rPr>
          <w:sz w:val="24"/>
        </w:rPr>
        <w:t>（</w:t>
      </w:r>
      <w:r w:rsidR="005860D5">
        <w:rPr>
          <w:sz w:val="24"/>
        </w:rPr>
        <w:t>3</w:t>
      </w:r>
      <w:r w:rsidR="005860D5">
        <w:rPr>
          <w:sz w:val="24"/>
        </w:rPr>
        <w:t>）</w:t>
      </w:r>
    </w:p>
    <w:p w:rsidR="00C223F5" w:rsidRDefault="005860D5">
      <w:pPr>
        <w:tabs>
          <w:tab w:val="left" w:pos="0"/>
        </w:tabs>
        <w:spacing w:line="360" w:lineRule="auto"/>
        <w:ind w:firstLineChars="200" w:firstLine="480"/>
        <w:rPr>
          <w:sz w:val="24"/>
        </w:rPr>
      </w:pPr>
      <w:r>
        <w:rPr>
          <w:sz w:val="24"/>
        </w:rPr>
        <w:t>式中：</w:t>
      </w:r>
      <w:r>
        <w:rPr>
          <w:sz w:val="24"/>
        </w:rPr>
        <w:t>R</w:t>
      </w:r>
      <w:r>
        <w:rPr>
          <w:sz w:val="24"/>
          <w:vertAlign w:val="subscript"/>
        </w:rPr>
        <w:t>0</w:t>
      </w:r>
      <w:r>
        <w:rPr>
          <w:sz w:val="24"/>
        </w:rPr>
        <w:t>-</w:t>
      </w:r>
      <w:r>
        <w:rPr>
          <w:sz w:val="24"/>
        </w:rPr>
        <w:t>引用影响半径，</w:t>
      </w:r>
      <w:r>
        <w:rPr>
          <w:sz w:val="24"/>
        </w:rPr>
        <w:t>m</w:t>
      </w:r>
      <w:r>
        <w:rPr>
          <w:sz w:val="24"/>
        </w:rPr>
        <w:t>。</w:t>
      </w:r>
    </w:p>
    <w:p w:rsidR="00C223F5" w:rsidRDefault="005860D5">
      <w:pPr>
        <w:spacing w:line="360" w:lineRule="auto"/>
        <w:ind w:firstLineChars="200" w:firstLine="480"/>
        <w:rPr>
          <w:sz w:val="24"/>
        </w:rPr>
      </w:pPr>
      <w:r>
        <w:rPr>
          <w:rFonts w:hAnsi="宋体"/>
          <w:sz w:val="24"/>
        </w:rPr>
        <w:t>本井田</w:t>
      </w:r>
      <w:r>
        <w:rPr>
          <w:rFonts w:hAnsi="宋体" w:hint="eastAsia"/>
          <w:sz w:val="24"/>
        </w:rPr>
        <w:t>4</w:t>
      </w:r>
      <w:r>
        <w:rPr>
          <w:rFonts w:hAnsi="宋体" w:hint="eastAsia"/>
          <w:sz w:val="24"/>
          <w:vertAlign w:val="superscript"/>
        </w:rPr>
        <w:t>-1</w:t>
      </w:r>
      <w:r>
        <w:rPr>
          <w:rFonts w:hAnsi="宋体" w:hint="eastAsia"/>
          <w:sz w:val="24"/>
        </w:rPr>
        <w:t>、</w:t>
      </w:r>
      <w:r>
        <w:rPr>
          <w:rFonts w:hAnsi="宋体" w:hint="eastAsia"/>
          <w:sz w:val="24"/>
        </w:rPr>
        <w:t>4</w:t>
      </w:r>
      <w:r>
        <w:rPr>
          <w:rFonts w:hAnsi="宋体" w:hint="eastAsia"/>
          <w:sz w:val="24"/>
          <w:vertAlign w:val="superscript"/>
        </w:rPr>
        <w:t>-2</w:t>
      </w:r>
      <w:r>
        <w:rPr>
          <w:rFonts w:hAnsi="宋体"/>
          <w:sz w:val="24"/>
        </w:rPr>
        <w:t>煤</w:t>
      </w:r>
      <w:r>
        <w:rPr>
          <w:rFonts w:hAnsi="宋体" w:hint="eastAsia"/>
          <w:sz w:val="24"/>
        </w:rPr>
        <w:t>层</w:t>
      </w:r>
      <w:r>
        <w:rPr>
          <w:rFonts w:hint="eastAsia"/>
          <w:sz w:val="24"/>
        </w:rPr>
        <w:t>之间间距较近，两层煤导水裂隙带贯通</w:t>
      </w:r>
      <w:r>
        <w:rPr>
          <w:snapToGrid w:val="0"/>
          <w:kern w:val="0"/>
          <w:sz w:val="24"/>
        </w:rPr>
        <w:t>，</w:t>
      </w:r>
      <w:r>
        <w:rPr>
          <w:sz w:val="24"/>
        </w:rPr>
        <w:t>上统瓦窑堡组裂隙承压</w:t>
      </w:r>
      <w:r>
        <w:rPr>
          <w:rFonts w:hAnsi="宋体"/>
          <w:bCs/>
          <w:sz w:val="24"/>
        </w:rPr>
        <w:t>含水层</w:t>
      </w:r>
      <w:r>
        <w:rPr>
          <w:rFonts w:hAnsi="宋体" w:hint="eastAsia"/>
          <w:bCs/>
          <w:sz w:val="24"/>
        </w:rPr>
        <w:t>的</w:t>
      </w:r>
      <w:r>
        <w:rPr>
          <w:rFonts w:hAnsi="宋体"/>
          <w:sz w:val="24"/>
        </w:rPr>
        <w:t>地下水会沿导水裂缝带泄漏于井下，并以井下排水的方式排往地面，该岩层内的地下水位明显下降，水位最大可降至</w:t>
      </w:r>
      <w:r>
        <w:rPr>
          <w:rFonts w:hAnsi="宋体" w:hint="eastAsia"/>
          <w:sz w:val="24"/>
        </w:rPr>
        <w:t>4</w:t>
      </w:r>
      <w:r>
        <w:rPr>
          <w:rFonts w:hAnsi="宋体" w:hint="eastAsia"/>
          <w:sz w:val="24"/>
          <w:vertAlign w:val="superscript"/>
        </w:rPr>
        <w:t>-2</w:t>
      </w:r>
      <w:r>
        <w:rPr>
          <w:rFonts w:hAnsi="宋体" w:hint="eastAsia"/>
          <w:sz w:val="24"/>
        </w:rPr>
        <w:t>煤层底板</w:t>
      </w:r>
      <w:r>
        <w:rPr>
          <w:rFonts w:hAnsi="宋体"/>
          <w:sz w:val="24"/>
        </w:rPr>
        <w:t>。</w:t>
      </w:r>
      <w:r>
        <w:rPr>
          <w:rFonts w:hAnsi="宋体" w:hint="eastAsia"/>
          <w:sz w:val="24"/>
        </w:rPr>
        <w:t>地下水水位影响情况</w:t>
      </w:r>
      <w:r>
        <w:rPr>
          <w:sz w:val="24"/>
        </w:rPr>
        <w:t>见表</w:t>
      </w:r>
      <w:r>
        <w:rPr>
          <w:sz w:val="24"/>
        </w:rPr>
        <w:t>4.2.2-</w:t>
      </w:r>
      <w:r>
        <w:rPr>
          <w:rFonts w:hint="eastAsia"/>
          <w:sz w:val="24"/>
        </w:rPr>
        <w:t>7</w:t>
      </w:r>
      <w:r>
        <w:rPr>
          <w:sz w:val="24"/>
        </w:rPr>
        <w:t>。</w:t>
      </w:r>
    </w:p>
    <w:p w:rsidR="00C223F5" w:rsidRDefault="005860D5">
      <w:pPr>
        <w:jc w:val="center"/>
        <w:rPr>
          <w:b/>
          <w:sz w:val="24"/>
        </w:rPr>
      </w:pPr>
      <w:r>
        <w:rPr>
          <w:b/>
          <w:sz w:val="24"/>
        </w:rPr>
        <w:t>表</w:t>
      </w:r>
      <w:r>
        <w:rPr>
          <w:b/>
          <w:bCs/>
          <w:sz w:val="24"/>
        </w:rPr>
        <w:t>4.2.2-</w:t>
      </w:r>
      <w:r>
        <w:rPr>
          <w:rFonts w:hint="eastAsia"/>
          <w:b/>
          <w:bCs/>
          <w:sz w:val="24"/>
        </w:rPr>
        <w:t>7</w:t>
      </w:r>
      <w:r>
        <w:rPr>
          <w:b/>
          <w:sz w:val="24"/>
        </w:rPr>
        <w:t>煤层开采影响地下水水位范围</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364"/>
        <w:gridCol w:w="1755"/>
        <w:gridCol w:w="1559"/>
        <w:gridCol w:w="1169"/>
        <w:gridCol w:w="1507"/>
      </w:tblGrid>
      <w:tr w:rsidR="00C223F5" w:rsidRPr="00927E76">
        <w:trPr>
          <w:trHeight w:hRule="exact" w:val="409"/>
          <w:jc w:val="center"/>
        </w:trPr>
        <w:tc>
          <w:tcPr>
            <w:tcW w:w="1367" w:type="dxa"/>
            <w:vAlign w:val="center"/>
          </w:tcPr>
          <w:p w:rsidR="00C223F5" w:rsidRPr="00927E76" w:rsidRDefault="005860D5">
            <w:pPr>
              <w:pStyle w:val="afffffffff4"/>
              <w:spacing w:line="240" w:lineRule="auto"/>
              <w:rPr>
                <w:rFonts w:ascii="Times New Roman" w:hAnsi="Times New Roman"/>
              </w:rPr>
            </w:pPr>
            <w:r w:rsidRPr="00927E76">
              <w:rPr>
                <w:rFonts w:ascii="Times New Roman" w:hAnsi="Times New Roman"/>
              </w:rPr>
              <w:t>K(m/d)</w:t>
            </w:r>
          </w:p>
        </w:tc>
        <w:tc>
          <w:tcPr>
            <w:tcW w:w="1364" w:type="dxa"/>
            <w:vAlign w:val="center"/>
          </w:tcPr>
          <w:p w:rsidR="00C223F5" w:rsidRPr="00927E76" w:rsidRDefault="005860D5">
            <w:pPr>
              <w:pStyle w:val="afffffffff4"/>
              <w:spacing w:line="240" w:lineRule="auto"/>
              <w:rPr>
                <w:rFonts w:ascii="Times New Roman" w:hAnsi="Times New Roman"/>
              </w:rPr>
            </w:pPr>
            <w:r w:rsidRPr="00927E76">
              <w:rPr>
                <w:rFonts w:ascii="Times New Roman" w:hAnsi="Times New Roman"/>
              </w:rPr>
              <w:t>S(m)</w:t>
            </w:r>
          </w:p>
        </w:tc>
        <w:tc>
          <w:tcPr>
            <w:tcW w:w="1755" w:type="dxa"/>
            <w:vAlign w:val="center"/>
          </w:tcPr>
          <w:p w:rsidR="00C223F5" w:rsidRPr="00927E76" w:rsidRDefault="005860D5">
            <w:pPr>
              <w:pStyle w:val="afffffffff4"/>
              <w:spacing w:line="240" w:lineRule="auto"/>
              <w:rPr>
                <w:rFonts w:ascii="Times New Roman" w:hAnsi="Times New Roman"/>
              </w:rPr>
            </w:pPr>
            <w:r w:rsidRPr="00927E76">
              <w:rPr>
                <w:rFonts w:ascii="Times New Roman" w:hAnsi="Times New Roman"/>
              </w:rPr>
              <w:t>R(m)</w:t>
            </w:r>
          </w:p>
        </w:tc>
        <w:tc>
          <w:tcPr>
            <w:tcW w:w="1559" w:type="dxa"/>
            <w:vAlign w:val="center"/>
          </w:tcPr>
          <w:p w:rsidR="00C223F5" w:rsidRPr="00927E76" w:rsidRDefault="005860D5">
            <w:pPr>
              <w:pStyle w:val="afffffffff4"/>
              <w:spacing w:line="240" w:lineRule="auto"/>
              <w:rPr>
                <w:rFonts w:ascii="Times New Roman" w:hAnsi="Times New Roman"/>
              </w:rPr>
            </w:pPr>
            <w:r w:rsidRPr="00927E76">
              <w:rPr>
                <w:rFonts w:ascii="Times New Roman" w:hAnsi="Times New Roman"/>
              </w:rPr>
              <w:t>P</w:t>
            </w:r>
            <w:r w:rsidRPr="00927E76">
              <w:rPr>
                <w:rFonts w:ascii="Times New Roman" w:hAnsi="Times New Roman"/>
              </w:rPr>
              <w:t>（</w:t>
            </w:r>
            <w:r w:rsidRPr="00927E76">
              <w:rPr>
                <w:rFonts w:ascii="Times New Roman" w:hAnsi="Times New Roman"/>
              </w:rPr>
              <w:t>m</w:t>
            </w:r>
            <w:r w:rsidRPr="00927E76">
              <w:rPr>
                <w:rFonts w:ascii="Times New Roman" w:hAnsi="Times New Roman"/>
              </w:rPr>
              <w:t>）</w:t>
            </w:r>
          </w:p>
        </w:tc>
        <w:tc>
          <w:tcPr>
            <w:tcW w:w="1169" w:type="dxa"/>
            <w:vAlign w:val="center"/>
          </w:tcPr>
          <w:p w:rsidR="00C223F5" w:rsidRPr="00927E76" w:rsidRDefault="005860D5">
            <w:pPr>
              <w:pStyle w:val="afffffffff4"/>
              <w:spacing w:line="240" w:lineRule="auto"/>
              <w:rPr>
                <w:rFonts w:ascii="Times New Roman" w:hAnsi="Times New Roman"/>
              </w:rPr>
            </w:pPr>
            <w:r w:rsidRPr="00927E76">
              <w:rPr>
                <w:rFonts w:ascii="Times New Roman" w:hAnsi="Times New Roman"/>
              </w:rPr>
              <w:t>r</w:t>
            </w:r>
            <w:r w:rsidRPr="00927E76">
              <w:rPr>
                <w:rFonts w:ascii="Times New Roman" w:hAnsi="Times New Roman"/>
                <w:vertAlign w:val="subscript"/>
              </w:rPr>
              <w:t>0</w:t>
            </w:r>
            <w:r w:rsidRPr="00927E76">
              <w:rPr>
                <w:rFonts w:ascii="Times New Roman" w:hAnsi="Times New Roman"/>
              </w:rPr>
              <w:t>(m)</w:t>
            </w:r>
          </w:p>
        </w:tc>
        <w:tc>
          <w:tcPr>
            <w:tcW w:w="1507" w:type="dxa"/>
            <w:vAlign w:val="center"/>
          </w:tcPr>
          <w:p w:rsidR="00C223F5" w:rsidRPr="00927E76" w:rsidRDefault="005860D5">
            <w:pPr>
              <w:pStyle w:val="afffffffff4"/>
              <w:spacing w:line="240" w:lineRule="auto"/>
              <w:rPr>
                <w:rFonts w:ascii="Times New Roman" w:hAnsi="Times New Roman"/>
              </w:rPr>
            </w:pPr>
            <w:r w:rsidRPr="00927E76">
              <w:rPr>
                <w:rFonts w:ascii="Times New Roman" w:hAnsi="Times New Roman"/>
              </w:rPr>
              <w:t>R</w:t>
            </w:r>
            <w:r w:rsidRPr="00927E76">
              <w:rPr>
                <w:rFonts w:ascii="Times New Roman" w:hAnsi="Times New Roman"/>
                <w:vertAlign w:val="subscript"/>
              </w:rPr>
              <w:t>0</w:t>
            </w:r>
            <w:r w:rsidRPr="00927E76">
              <w:rPr>
                <w:rFonts w:ascii="Times New Roman" w:hAnsi="Times New Roman"/>
              </w:rPr>
              <w:t>(m)</w:t>
            </w:r>
          </w:p>
        </w:tc>
      </w:tr>
      <w:tr w:rsidR="00C223F5" w:rsidRPr="00927E76">
        <w:trPr>
          <w:trHeight w:val="264"/>
          <w:jc w:val="center"/>
        </w:trPr>
        <w:tc>
          <w:tcPr>
            <w:tcW w:w="1367" w:type="dxa"/>
            <w:vAlign w:val="center"/>
          </w:tcPr>
          <w:p w:rsidR="00C223F5" w:rsidRPr="00927E76" w:rsidRDefault="005860D5">
            <w:pPr>
              <w:pStyle w:val="afffffffff4"/>
              <w:spacing w:line="240" w:lineRule="auto"/>
              <w:rPr>
                <w:rFonts w:ascii="Times New Roman" w:hAnsi="Times New Roman"/>
              </w:rPr>
            </w:pPr>
            <w:r w:rsidRPr="00927E76">
              <w:rPr>
                <w:rFonts w:ascii="Times New Roman" w:hAnsi="Times New Roman"/>
                <w:szCs w:val="24"/>
              </w:rPr>
              <w:t>0.001745</w:t>
            </w:r>
          </w:p>
        </w:tc>
        <w:tc>
          <w:tcPr>
            <w:tcW w:w="1364" w:type="dxa"/>
            <w:vAlign w:val="center"/>
          </w:tcPr>
          <w:p w:rsidR="00C223F5" w:rsidRPr="00927E76" w:rsidRDefault="005860D5">
            <w:pPr>
              <w:pStyle w:val="afffffffff4"/>
              <w:spacing w:line="240" w:lineRule="auto"/>
              <w:rPr>
                <w:rFonts w:ascii="Times New Roman" w:hAnsi="Times New Roman"/>
              </w:rPr>
            </w:pPr>
            <w:r w:rsidRPr="00927E76">
              <w:rPr>
                <w:rFonts w:ascii="Times New Roman" w:hAnsi="Times New Roman"/>
              </w:rPr>
              <w:t>84</w:t>
            </w:r>
          </w:p>
        </w:tc>
        <w:tc>
          <w:tcPr>
            <w:tcW w:w="1755" w:type="dxa"/>
            <w:vAlign w:val="center"/>
          </w:tcPr>
          <w:p w:rsidR="00C223F5" w:rsidRPr="00927E76" w:rsidRDefault="005860D5">
            <w:pPr>
              <w:pStyle w:val="afffffffff4"/>
              <w:spacing w:line="240" w:lineRule="auto"/>
              <w:rPr>
                <w:rFonts w:ascii="Times New Roman" w:hAnsi="Times New Roman"/>
              </w:rPr>
            </w:pPr>
            <w:r w:rsidRPr="00927E76">
              <w:rPr>
                <w:rFonts w:ascii="Times New Roman" w:hAnsi="Times New Roman"/>
              </w:rPr>
              <w:t>35.09</w:t>
            </w:r>
          </w:p>
        </w:tc>
        <w:tc>
          <w:tcPr>
            <w:tcW w:w="1559" w:type="dxa"/>
            <w:vAlign w:val="center"/>
          </w:tcPr>
          <w:p w:rsidR="00C223F5" w:rsidRPr="00927E76" w:rsidRDefault="005860D5">
            <w:pPr>
              <w:pStyle w:val="afffffffff4"/>
              <w:spacing w:line="240" w:lineRule="auto"/>
              <w:rPr>
                <w:rFonts w:ascii="Times New Roman" w:hAnsi="Times New Roman"/>
              </w:rPr>
            </w:pPr>
            <w:r w:rsidRPr="00927E76">
              <w:rPr>
                <w:rFonts w:ascii="Times New Roman" w:hAnsi="Times New Roman"/>
              </w:rPr>
              <w:t>25519</w:t>
            </w:r>
          </w:p>
        </w:tc>
        <w:tc>
          <w:tcPr>
            <w:tcW w:w="1169" w:type="dxa"/>
            <w:vAlign w:val="center"/>
          </w:tcPr>
          <w:p w:rsidR="00C223F5" w:rsidRPr="00927E76" w:rsidRDefault="005860D5">
            <w:pPr>
              <w:pStyle w:val="afffffffff4"/>
              <w:spacing w:line="240" w:lineRule="auto"/>
              <w:rPr>
                <w:rFonts w:ascii="Times New Roman" w:hAnsi="Times New Roman"/>
              </w:rPr>
            </w:pPr>
            <w:r w:rsidRPr="00927E76">
              <w:rPr>
                <w:rFonts w:ascii="Times New Roman" w:hAnsi="Times New Roman"/>
              </w:rPr>
              <w:t>4061</w:t>
            </w:r>
          </w:p>
        </w:tc>
        <w:tc>
          <w:tcPr>
            <w:tcW w:w="1507" w:type="dxa"/>
            <w:vAlign w:val="center"/>
          </w:tcPr>
          <w:p w:rsidR="00C223F5" w:rsidRPr="00927E76" w:rsidRDefault="005860D5">
            <w:pPr>
              <w:pStyle w:val="afffffffff4"/>
              <w:spacing w:line="240" w:lineRule="auto"/>
              <w:rPr>
                <w:rFonts w:ascii="Times New Roman" w:hAnsi="Times New Roman"/>
              </w:rPr>
            </w:pPr>
            <w:r w:rsidRPr="00927E76">
              <w:rPr>
                <w:rFonts w:ascii="Times New Roman" w:hAnsi="Times New Roman"/>
              </w:rPr>
              <w:t>4096.09</w:t>
            </w:r>
          </w:p>
        </w:tc>
      </w:tr>
    </w:tbl>
    <w:p w:rsidR="00C223F5" w:rsidRDefault="000F32AE">
      <w:pPr>
        <w:spacing w:line="360" w:lineRule="auto"/>
        <w:ind w:firstLineChars="200" w:firstLine="480"/>
        <w:rPr>
          <w:sz w:val="24"/>
        </w:rPr>
      </w:pPr>
      <w:r>
        <w:rPr>
          <w:sz w:val="24"/>
        </w:rPr>
        <w:fldChar w:fldCharType="begin"/>
      </w:r>
      <w:r w:rsidR="005860D5">
        <w:rPr>
          <w:rFonts w:hint="eastAsia"/>
          <w:sz w:val="24"/>
        </w:rPr>
        <w:instrText>= 2 \* GB3</w:instrText>
      </w:r>
      <w:r>
        <w:rPr>
          <w:sz w:val="24"/>
        </w:rPr>
        <w:fldChar w:fldCharType="separate"/>
      </w:r>
      <w:r w:rsidR="005860D5">
        <w:rPr>
          <w:rFonts w:hint="eastAsia"/>
          <w:sz w:val="24"/>
        </w:rPr>
        <w:t>②</w:t>
      </w:r>
      <w:r>
        <w:rPr>
          <w:sz w:val="24"/>
        </w:rPr>
        <w:fldChar w:fldCharType="end"/>
      </w:r>
      <w:r w:rsidR="005860D5">
        <w:rPr>
          <w:rFonts w:hint="eastAsia"/>
          <w:sz w:val="24"/>
        </w:rPr>
        <w:t>采煤对第四系地下水位的影响分析</w:t>
      </w:r>
    </w:p>
    <w:p w:rsidR="00C223F5" w:rsidRDefault="005860D5">
      <w:pPr>
        <w:spacing w:line="360" w:lineRule="auto"/>
        <w:ind w:firstLineChars="200" w:firstLine="480"/>
        <w:rPr>
          <w:sz w:val="24"/>
        </w:rPr>
      </w:pPr>
      <w:r>
        <w:rPr>
          <w:sz w:val="24"/>
        </w:rPr>
        <w:t>采煤导水裂隙会完全破坏煤层上部三叠系上统瓦窑堡组基岩，导水裂隙会导入</w:t>
      </w:r>
      <w:r>
        <w:rPr>
          <w:rFonts w:hint="eastAsia"/>
          <w:sz w:val="24"/>
        </w:rPr>
        <w:t>瓦窑堡组基岩孔隙裂隙</w:t>
      </w:r>
      <w:r>
        <w:rPr>
          <w:sz w:val="24"/>
        </w:rPr>
        <w:t>含水层，但不会导通该含水层</w:t>
      </w:r>
      <w:r>
        <w:rPr>
          <w:rFonts w:hint="eastAsia"/>
          <w:sz w:val="24"/>
        </w:rPr>
        <w:t>，因此</w:t>
      </w:r>
      <w:r>
        <w:rPr>
          <w:sz w:val="24"/>
        </w:rPr>
        <w:t>采煤导水裂隙不会导入</w:t>
      </w:r>
      <w:r>
        <w:rPr>
          <w:rFonts w:hAnsi="宋体"/>
          <w:sz w:val="24"/>
        </w:rPr>
        <w:t>侏罗系下统富县组</w:t>
      </w:r>
      <w:r>
        <w:rPr>
          <w:rFonts w:hAnsi="宋体" w:hint="eastAsia"/>
          <w:sz w:val="24"/>
        </w:rPr>
        <w:t>和</w:t>
      </w:r>
      <w:r>
        <w:rPr>
          <w:rFonts w:hAnsi="宋体"/>
          <w:sz w:val="24"/>
        </w:rPr>
        <w:t>新近系上新统保德组红土</w:t>
      </w:r>
      <w:r>
        <w:rPr>
          <w:sz w:val="24"/>
        </w:rPr>
        <w:t>，采煤对第四系潜水含水层影响较小</w:t>
      </w:r>
      <w:r>
        <w:rPr>
          <w:rFonts w:hint="eastAsia"/>
          <w:sz w:val="24"/>
        </w:rPr>
        <w:t>。</w:t>
      </w:r>
    </w:p>
    <w:p w:rsidR="00C223F5" w:rsidRDefault="005860D5">
      <w:pPr>
        <w:spacing w:line="360" w:lineRule="auto"/>
        <w:ind w:firstLineChars="200" w:firstLine="480"/>
        <w:rPr>
          <w:sz w:val="24"/>
        </w:rPr>
      </w:pPr>
      <w:r>
        <w:rPr>
          <w:rFonts w:hint="eastAsia"/>
          <w:sz w:val="24"/>
        </w:rPr>
        <w:t>由于受矿井采煤导水裂缝的影响，</w:t>
      </w:r>
      <w:r>
        <w:rPr>
          <w:sz w:val="24"/>
        </w:rPr>
        <w:t>瓦窑堡组</w:t>
      </w:r>
      <w:r>
        <w:rPr>
          <w:rFonts w:hint="eastAsia"/>
          <w:sz w:val="24"/>
        </w:rPr>
        <w:t>地下水水位最大可降至煤层底板，原有水力平衡关系受到破坏，第四系潜水会通过</w:t>
      </w:r>
      <w:r>
        <w:rPr>
          <w:rFonts w:hAnsi="宋体"/>
          <w:sz w:val="24"/>
        </w:rPr>
        <w:t>富县组</w:t>
      </w:r>
      <w:r>
        <w:rPr>
          <w:snapToGrid w:val="0"/>
          <w:kern w:val="0"/>
          <w:sz w:val="24"/>
        </w:rPr>
        <w:t>和</w:t>
      </w:r>
      <w:r>
        <w:rPr>
          <w:sz w:val="24"/>
        </w:rPr>
        <w:t>保德组红土相对隔水层</w:t>
      </w:r>
      <w:r>
        <w:rPr>
          <w:rFonts w:hint="eastAsia"/>
          <w:sz w:val="24"/>
        </w:rPr>
        <w:t>越流补给煤系含水层，因此第四系水位会受到采煤的影响，但是由于</w:t>
      </w:r>
      <w:r>
        <w:rPr>
          <w:rFonts w:hAnsi="宋体"/>
          <w:sz w:val="24"/>
        </w:rPr>
        <w:t>富县组</w:t>
      </w:r>
      <w:r>
        <w:rPr>
          <w:snapToGrid w:val="0"/>
          <w:kern w:val="0"/>
          <w:sz w:val="24"/>
        </w:rPr>
        <w:t>和</w:t>
      </w:r>
      <w:r>
        <w:rPr>
          <w:sz w:val="24"/>
        </w:rPr>
        <w:t>保德组红土相对隔水层</w:t>
      </w:r>
      <w:r>
        <w:rPr>
          <w:rFonts w:hint="eastAsia"/>
          <w:sz w:val="24"/>
        </w:rPr>
        <w:t>未受采煤导水裂缝的破坏，因此第四系水位不会受到大的影</w:t>
      </w:r>
      <w:r>
        <w:rPr>
          <w:rFonts w:hint="eastAsia"/>
          <w:sz w:val="24"/>
        </w:rPr>
        <w:lastRenderedPageBreak/>
        <w:t>响。</w:t>
      </w:r>
    </w:p>
    <w:p w:rsidR="00C223F5" w:rsidRDefault="005860D5" w:rsidP="004835BD">
      <w:pPr>
        <w:pStyle w:val="4"/>
        <w:spacing w:before="0" w:after="0" w:line="360" w:lineRule="auto"/>
        <w:ind w:firstLineChars="100" w:firstLine="240"/>
        <w:rPr>
          <w:szCs w:val="24"/>
        </w:rPr>
      </w:pPr>
      <w:r>
        <w:rPr>
          <w:rFonts w:hint="eastAsia"/>
          <w:szCs w:val="24"/>
        </w:rPr>
        <w:t>4.2.2.6</w:t>
      </w:r>
      <w:r>
        <w:rPr>
          <w:rFonts w:hint="eastAsia"/>
          <w:szCs w:val="24"/>
        </w:rPr>
        <w:t>采煤对居民用水的影响</w:t>
      </w:r>
    </w:p>
    <w:p w:rsidR="00C223F5" w:rsidRPr="00F20509" w:rsidRDefault="005860D5">
      <w:pPr>
        <w:spacing w:line="360" w:lineRule="auto"/>
        <w:ind w:firstLineChars="200" w:firstLine="480"/>
        <w:rPr>
          <w:color w:val="FF0000"/>
          <w:sz w:val="24"/>
        </w:rPr>
      </w:pPr>
      <w:r>
        <w:rPr>
          <w:sz w:val="24"/>
        </w:rPr>
        <w:t>根据现场踏勘、走访及相关资料收集，评价区无民用集中</w:t>
      </w:r>
      <w:r>
        <w:rPr>
          <w:rFonts w:hint="eastAsia"/>
          <w:sz w:val="24"/>
        </w:rPr>
        <w:t>式用水</w:t>
      </w:r>
      <w:r>
        <w:rPr>
          <w:sz w:val="24"/>
        </w:rPr>
        <w:t>水源井和工业用水水源井。</w:t>
      </w:r>
      <w:r>
        <w:rPr>
          <w:rFonts w:eastAsia="汉鼎简书宋" w:hint="eastAsia"/>
          <w:sz w:val="24"/>
        </w:rPr>
        <w:t>矿井涉及的居民供水对象主要为蚂蚁河和大理河周边居民点</w:t>
      </w:r>
      <w:r w:rsidRPr="00F20509">
        <w:rPr>
          <w:rFonts w:eastAsia="汉鼎简书宋" w:hint="eastAsia"/>
          <w:color w:val="FF0000"/>
          <w:sz w:val="24"/>
        </w:rPr>
        <w:t>，评价范围内</w:t>
      </w:r>
      <w:r w:rsidR="00F20509" w:rsidRPr="00E134B5">
        <w:rPr>
          <w:rFonts w:hint="eastAsia"/>
          <w:color w:val="FF0000"/>
          <w:sz w:val="24"/>
        </w:rPr>
        <w:t>蚂蚁河及大理河沿线居民</w:t>
      </w:r>
      <w:r w:rsidR="00F20509" w:rsidRPr="00E134B5">
        <w:rPr>
          <w:rFonts w:hAnsi="宋体" w:hint="eastAsia"/>
          <w:color w:val="FF0000"/>
          <w:sz w:val="24"/>
        </w:rPr>
        <w:t>饮用水</w:t>
      </w:r>
      <w:r w:rsidR="00F20509">
        <w:rPr>
          <w:rFonts w:hAnsi="宋体" w:hint="eastAsia"/>
          <w:color w:val="FF0000"/>
          <w:sz w:val="24"/>
        </w:rPr>
        <w:t>为</w:t>
      </w:r>
      <w:r w:rsidR="00F20509" w:rsidRPr="00E134B5">
        <w:rPr>
          <w:rFonts w:hAnsi="宋体" w:hint="eastAsia"/>
          <w:color w:val="FF0000"/>
          <w:sz w:val="24"/>
        </w:rPr>
        <w:t>政府水利局农饮办的饮水工程提供</w:t>
      </w:r>
      <w:r w:rsidR="00F20509">
        <w:rPr>
          <w:rFonts w:hAnsi="宋体" w:hint="eastAsia"/>
          <w:color w:val="FF0000"/>
          <w:sz w:val="24"/>
        </w:rPr>
        <w:t>的</w:t>
      </w:r>
      <w:r w:rsidR="00F20509" w:rsidRPr="00E134B5">
        <w:rPr>
          <w:rFonts w:hAnsi="宋体" w:hint="eastAsia"/>
          <w:color w:val="FF0000"/>
          <w:sz w:val="24"/>
        </w:rPr>
        <w:t>自来水</w:t>
      </w:r>
      <w:r w:rsidR="00F20509">
        <w:rPr>
          <w:rFonts w:hAnsi="宋体" w:hint="eastAsia"/>
          <w:color w:val="FF0000"/>
          <w:sz w:val="24"/>
        </w:rPr>
        <w:t>（水源不在项目评价区范围内）；</w:t>
      </w:r>
      <w:r w:rsidR="00F20509" w:rsidRPr="00E134B5">
        <w:rPr>
          <w:rFonts w:hAnsi="宋体" w:hint="eastAsia"/>
          <w:color w:val="FF0000"/>
          <w:sz w:val="24"/>
        </w:rPr>
        <w:t>井田西南部分散</w:t>
      </w:r>
      <w:r w:rsidR="00F20509" w:rsidRPr="00E134B5">
        <w:rPr>
          <w:rFonts w:hint="eastAsia"/>
          <w:color w:val="FF0000"/>
          <w:sz w:val="24"/>
        </w:rPr>
        <w:t>居民</w:t>
      </w:r>
      <w:r w:rsidR="00F20509">
        <w:rPr>
          <w:rFonts w:hint="eastAsia"/>
          <w:color w:val="FF0000"/>
          <w:sz w:val="24"/>
        </w:rPr>
        <w:t>（藏家沟村、牛肚塌村、后麻地沟村）</w:t>
      </w:r>
      <w:r w:rsidR="00F20509" w:rsidRPr="00E134B5">
        <w:rPr>
          <w:rFonts w:hint="eastAsia"/>
          <w:color w:val="FF0000"/>
          <w:sz w:val="24"/>
        </w:rPr>
        <w:t>用水主要为</w:t>
      </w:r>
      <w:r w:rsidR="00F20509" w:rsidRPr="003526FF">
        <w:rPr>
          <w:rFonts w:hint="eastAsia"/>
          <w:color w:val="FF0000"/>
          <w:sz w:val="24"/>
        </w:rPr>
        <w:t>泉水（来自第四系及风化基岩</w:t>
      </w:r>
      <w:r w:rsidR="00F20509">
        <w:rPr>
          <w:rFonts w:hint="eastAsia"/>
          <w:color w:val="FF0000"/>
          <w:sz w:val="24"/>
        </w:rPr>
        <w:t>潜水</w:t>
      </w:r>
      <w:r w:rsidR="00F20509" w:rsidRPr="003526FF">
        <w:rPr>
          <w:rFonts w:hint="eastAsia"/>
          <w:color w:val="FF0000"/>
          <w:sz w:val="24"/>
        </w:rPr>
        <w:t>含水层）</w:t>
      </w:r>
      <w:r w:rsidR="00F20509">
        <w:rPr>
          <w:rFonts w:hint="eastAsia"/>
          <w:color w:val="FF0000"/>
          <w:sz w:val="24"/>
        </w:rPr>
        <w:t>；</w:t>
      </w:r>
      <w:r w:rsidR="00F20509" w:rsidRPr="003526FF">
        <w:rPr>
          <w:rFonts w:hint="eastAsia"/>
          <w:color w:val="FF0000"/>
          <w:sz w:val="24"/>
        </w:rPr>
        <w:t>河流两岸分散水井主要用于农田灌溉，</w:t>
      </w:r>
      <w:r w:rsidR="00F20509" w:rsidRPr="003526FF">
        <w:rPr>
          <w:rFonts w:hAnsi="宋体"/>
          <w:color w:val="FF0000"/>
          <w:sz w:val="24"/>
        </w:rPr>
        <w:t>取水层位主要为第四系全新统</w:t>
      </w:r>
      <w:r w:rsidR="00F20509" w:rsidRPr="00296181">
        <w:rPr>
          <w:rFonts w:hAnsi="宋体"/>
          <w:color w:val="FF0000"/>
          <w:sz w:val="24"/>
        </w:rPr>
        <w:t>冲洪积</w:t>
      </w:r>
      <w:r w:rsidR="00F20509" w:rsidRPr="00F20509">
        <w:rPr>
          <w:rFonts w:hAnsi="宋体"/>
          <w:color w:val="FF0000"/>
          <w:sz w:val="24"/>
        </w:rPr>
        <w:t>层孔隙潜水含水层</w:t>
      </w:r>
      <w:r w:rsidR="00F20509" w:rsidRPr="00F20509">
        <w:rPr>
          <w:rFonts w:hAnsi="宋体" w:hint="eastAsia"/>
          <w:color w:val="FF0000"/>
          <w:sz w:val="24"/>
        </w:rPr>
        <w:t>和三叠系</w:t>
      </w:r>
      <w:r w:rsidR="00F20509" w:rsidRPr="00F20509">
        <w:rPr>
          <w:rFonts w:hAnsi="宋体"/>
          <w:color w:val="FF0000"/>
          <w:sz w:val="24"/>
        </w:rPr>
        <w:t>风化基岩裂隙潜水含水层</w:t>
      </w:r>
      <w:r w:rsidR="00F20509" w:rsidRPr="00F20509">
        <w:rPr>
          <w:rFonts w:hAnsi="宋体" w:hint="eastAsia"/>
          <w:color w:val="FF0000"/>
          <w:sz w:val="24"/>
        </w:rPr>
        <w:t>，</w:t>
      </w:r>
      <w:r w:rsidRPr="00F20509">
        <w:rPr>
          <w:color w:val="FF0000"/>
          <w:sz w:val="24"/>
        </w:rPr>
        <w:t>根据前述导水裂隙高度预测，采煤导水裂隙未导通至</w:t>
      </w:r>
      <w:r w:rsidRPr="00F20509">
        <w:rPr>
          <w:rFonts w:hint="eastAsia"/>
          <w:color w:val="FF0000"/>
          <w:sz w:val="24"/>
        </w:rPr>
        <w:t>风化基岩带</w:t>
      </w:r>
      <w:r w:rsidRPr="00F20509">
        <w:rPr>
          <w:color w:val="FF0000"/>
          <w:sz w:val="24"/>
        </w:rPr>
        <w:t>，因此采煤</w:t>
      </w:r>
      <w:r w:rsidR="00F20509" w:rsidRPr="00F20509">
        <w:rPr>
          <w:rFonts w:hint="eastAsia"/>
          <w:color w:val="FF0000"/>
          <w:sz w:val="24"/>
        </w:rPr>
        <w:t>一般</w:t>
      </w:r>
      <w:r w:rsidRPr="00F20509">
        <w:rPr>
          <w:color w:val="FF0000"/>
          <w:sz w:val="24"/>
        </w:rPr>
        <w:t>不会对</w:t>
      </w:r>
      <w:r w:rsidR="00F20509" w:rsidRPr="00F20509">
        <w:rPr>
          <w:rFonts w:hint="eastAsia"/>
          <w:color w:val="FF0000"/>
          <w:sz w:val="24"/>
        </w:rPr>
        <w:t>分散</w:t>
      </w:r>
      <w:r w:rsidRPr="00F20509">
        <w:rPr>
          <w:color w:val="FF0000"/>
          <w:sz w:val="24"/>
        </w:rPr>
        <w:t>水井的水量造成大的影响。综上所述，采煤对</w:t>
      </w:r>
      <w:r w:rsidR="00F20509" w:rsidRPr="00F20509">
        <w:rPr>
          <w:rFonts w:hint="eastAsia"/>
          <w:color w:val="FF0000"/>
          <w:sz w:val="24"/>
        </w:rPr>
        <w:t>分散灌溉用</w:t>
      </w:r>
      <w:r w:rsidRPr="00F20509">
        <w:rPr>
          <w:color w:val="FF0000"/>
          <w:sz w:val="24"/>
        </w:rPr>
        <w:t>水井影响较小。</w:t>
      </w:r>
    </w:p>
    <w:p w:rsidR="00C223F5" w:rsidRPr="00F20509" w:rsidRDefault="005860D5">
      <w:pPr>
        <w:pStyle w:val="hb1"/>
        <w:ind w:firstLine="480"/>
        <w:rPr>
          <w:color w:val="FF0000"/>
        </w:rPr>
      </w:pPr>
      <w:r w:rsidRPr="00F20509">
        <w:rPr>
          <w:color w:val="FF0000"/>
        </w:rPr>
        <w:t>环评要求矿方对</w:t>
      </w:r>
      <w:r w:rsidR="00F20509" w:rsidRPr="00F20509">
        <w:rPr>
          <w:rFonts w:hint="eastAsia"/>
          <w:color w:val="FF0000"/>
        </w:rPr>
        <w:t>分散</w:t>
      </w:r>
      <w:r w:rsidRPr="00F20509">
        <w:rPr>
          <w:color w:val="FF0000"/>
        </w:rPr>
        <w:t>水井的水位和水量进行跟踪观测，一旦发现由于采煤引起</w:t>
      </w:r>
      <w:r w:rsidR="00F20509" w:rsidRPr="00F20509">
        <w:rPr>
          <w:rFonts w:hint="eastAsia"/>
          <w:color w:val="FF0000"/>
        </w:rPr>
        <w:t>水井水量减少等情况</w:t>
      </w:r>
      <w:r w:rsidRPr="00F20509">
        <w:rPr>
          <w:color w:val="FF0000"/>
        </w:rPr>
        <w:t>，应立即采取供水应急预案，供水应急预案具体见</w:t>
      </w:r>
      <w:r w:rsidRPr="00F20509">
        <w:rPr>
          <w:color w:val="FF0000"/>
        </w:rPr>
        <w:t>5.2.2</w:t>
      </w:r>
      <w:r w:rsidRPr="00F20509">
        <w:rPr>
          <w:color w:val="FF0000"/>
        </w:rPr>
        <w:t>节。</w:t>
      </w:r>
    </w:p>
    <w:p w:rsidR="00C223F5" w:rsidRPr="00927E76" w:rsidRDefault="005860D5" w:rsidP="004835BD">
      <w:pPr>
        <w:pStyle w:val="4"/>
        <w:spacing w:before="0" w:after="0" w:line="360" w:lineRule="auto"/>
        <w:ind w:firstLineChars="100" w:firstLine="240"/>
        <w:rPr>
          <w:szCs w:val="24"/>
        </w:rPr>
      </w:pPr>
      <w:r w:rsidRPr="00927E76">
        <w:rPr>
          <w:rFonts w:hint="eastAsia"/>
          <w:szCs w:val="24"/>
        </w:rPr>
        <w:t>4.2.2.7</w:t>
      </w:r>
      <w:r w:rsidRPr="00927E76">
        <w:rPr>
          <w:rFonts w:hint="eastAsia"/>
          <w:szCs w:val="24"/>
        </w:rPr>
        <w:t>采煤对大理河湿地的影响</w:t>
      </w:r>
    </w:p>
    <w:p w:rsidR="00C223F5" w:rsidRPr="00927E76" w:rsidRDefault="005860D5">
      <w:pPr>
        <w:pStyle w:val="hp"/>
        <w:ind w:firstLine="480"/>
      </w:pPr>
      <w:r w:rsidRPr="00927E76">
        <w:rPr>
          <w:rFonts w:hint="eastAsia"/>
        </w:rPr>
        <w:t>榆林大理河湿地位于项目井田东部，井田内河流长约</w:t>
      </w:r>
      <w:r w:rsidRPr="00927E76">
        <w:rPr>
          <w:rFonts w:hint="eastAsia"/>
        </w:rPr>
        <w:t>9.7km</w:t>
      </w:r>
      <w:r w:rsidRPr="00927E76">
        <w:rPr>
          <w:rFonts w:hint="eastAsia"/>
        </w:rPr>
        <w:t>，大理河湿地保护区边界最近距采区边界约</w:t>
      </w:r>
      <w:r w:rsidRPr="00927E76">
        <w:rPr>
          <w:rFonts w:hint="eastAsia"/>
        </w:rPr>
        <w:t>90m</w:t>
      </w:r>
      <w:r w:rsidRPr="00927E76">
        <w:rPr>
          <w:rFonts w:hint="eastAsia"/>
        </w:rPr>
        <w:t>，重要湿地与天云煤矿重叠的面积约</w:t>
      </w:r>
      <w:r w:rsidRPr="00927E76">
        <w:rPr>
          <w:rFonts w:hint="eastAsia"/>
        </w:rPr>
        <w:t>2.84km</w:t>
      </w:r>
      <w:r w:rsidRPr="00927E76">
        <w:rPr>
          <w:rFonts w:hint="eastAsia"/>
          <w:vertAlign w:val="superscript"/>
        </w:rPr>
        <w:t>2</w:t>
      </w:r>
      <w:r w:rsidRPr="00927E76">
        <w:rPr>
          <w:rFonts w:hint="eastAsia"/>
        </w:rPr>
        <w:t>。</w:t>
      </w:r>
    </w:p>
    <w:p w:rsidR="00C223F5" w:rsidRPr="002A18AE" w:rsidRDefault="005860D5">
      <w:pPr>
        <w:spacing w:line="360" w:lineRule="auto"/>
        <w:ind w:firstLine="480"/>
        <w:rPr>
          <w:color w:val="FF0000"/>
          <w:sz w:val="24"/>
        </w:rPr>
      </w:pPr>
      <w:r w:rsidRPr="00927E76">
        <w:rPr>
          <w:rFonts w:hint="eastAsia"/>
          <w:sz w:val="24"/>
        </w:rPr>
        <w:t>矿井</w:t>
      </w:r>
      <w:r w:rsidRPr="00927E76">
        <w:rPr>
          <w:sz w:val="24"/>
        </w:rPr>
        <w:t>采煤对湿地的影响为水量和水质两个方面。</w:t>
      </w:r>
      <w:r w:rsidRPr="00B45BF3">
        <w:rPr>
          <w:rFonts w:hint="eastAsia"/>
          <w:color w:val="FF0000"/>
          <w:sz w:val="24"/>
        </w:rPr>
        <w:t>大理河湿地主要为河流湿地生态环境，</w:t>
      </w:r>
      <w:r w:rsidR="00B45BF3" w:rsidRPr="00B45BF3">
        <w:rPr>
          <w:rFonts w:hAnsi="宋体" w:hint="eastAsia"/>
          <w:color w:val="FF0000"/>
          <w:sz w:val="24"/>
        </w:rPr>
        <w:t>主要包括河滩，洪泛河谷和季节性泛洪草地区域，受地形和气候影响较大，</w:t>
      </w:r>
      <w:r w:rsidRPr="00B45BF3">
        <w:rPr>
          <w:rFonts w:hint="eastAsia"/>
          <w:color w:val="FF0000"/>
          <w:sz w:val="24"/>
        </w:rPr>
        <w:t>区域地表水除接受大气降水补给外，另一补给来源是地下潜水补给。</w:t>
      </w:r>
      <w:r w:rsidRPr="00927E76">
        <w:rPr>
          <w:rFonts w:hint="eastAsia"/>
          <w:sz w:val="24"/>
        </w:rPr>
        <w:t>本项目开采正常涌水量为</w:t>
      </w:r>
      <w:r w:rsidRPr="00927E76">
        <w:rPr>
          <w:rFonts w:hint="eastAsia"/>
          <w:sz w:val="24"/>
        </w:rPr>
        <w:t>80m</w:t>
      </w:r>
      <w:r w:rsidRPr="00927E76">
        <w:rPr>
          <w:rFonts w:hint="eastAsia"/>
          <w:sz w:val="24"/>
          <w:vertAlign w:val="superscript"/>
        </w:rPr>
        <w:t>3</w:t>
      </w:r>
      <w:r w:rsidRPr="00927E76">
        <w:rPr>
          <w:rFonts w:hint="eastAsia"/>
          <w:sz w:val="24"/>
        </w:rPr>
        <w:t>/h</w:t>
      </w:r>
      <w:r w:rsidRPr="00927E76">
        <w:rPr>
          <w:rFonts w:hint="eastAsia"/>
          <w:sz w:val="24"/>
        </w:rPr>
        <w:t>（即</w:t>
      </w:r>
      <w:r w:rsidRPr="00927E76">
        <w:rPr>
          <w:rFonts w:hint="eastAsia"/>
          <w:sz w:val="24"/>
        </w:rPr>
        <w:t>69.73</w:t>
      </w:r>
      <w:r w:rsidRPr="00927E76">
        <w:rPr>
          <w:rFonts w:hint="eastAsia"/>
          <w:sz w:val="24"/>
        </w:rPr>
        <w:t>万</w:t>
      </w:r>
      <w:r w:rsidRPr="00927E76">
        <w:rPr>
          <w:rFonts w:hint="eastAsia"/>
          <w:sz w:val="24"/>
        </w:rPr>
        <w:t>m</w:t>
      </w:r>
      <w:r w:rsidRPr="00927E76">
        <w:rPr>
          <w:rFonts w:hint="eastAsia"/>
          <w:sz w:val="24"/>
          <w:vertAlign w:val="superscript"/>
        </w:rPr>
        <w:t>3</w:t>
      </w:r>
      <w:r w:rsidRPr="00927E76">
        <w:rPr>
          <w:rFonts w:hint="eastAsia"/>
          <w:sz w:val="24"/>
        </w:rPr>
        <w:t>/a</w:t>
      </w:r>
      <w:r w:rsidRPr="00927E76">
        <w:rPr>
          <w:rFonts w:hint="eastAsia"/>
          <w:sz w:val="24"/>
        </w:rPr>
        <w:t>），按最不利情况考虑，即采煤导通潜水含水层，采煤引起浅层地下水最大流失量为</w:t>
      </w:r>
      <w:r w:rsidRPr="00927E76">
        <w:rPr>
          <w:rFonts w:hint="eastAsia"/>
          <w:sz w:val="24"/>
        </w:rPr>
        <w:t>69.73</w:t>
      </w:r>
      <w:r w:rsidRPr="00927E76">
        <w:rPr>
          <w:sz w:val="24"/>
        </w:rPr>
        <w:t>万</w:t>
      </w:r>
      <w:r w:rsidRPr="00927E76">
        <w:rPr>
          <w:sz w:val="24"/>
        </w:rPr>
        <w:t>m</w:t>
      </w:r>
      <w:r w:rsidRPr="00927E76">
        <w:rPr>
          <w:sz w:val="24"/>
          <w:vertAlign w:val="superscript"/>
        </w:rPr>
        <w:t>3</w:t>
      </w:r>
      <w:r w:rsidRPr="00927E76">
        <w:rPr>
          <w:sz w:val="24"/>
        </w:rPr>
        <w:t>/a</w:t>
      </w:r>
      <w:r w:rsidRPr="00927E76">
        <w:rPr>
          <w:rFonts w:hint="eastAsia"/>
          <w:sz w:val="24"/>
        </w:rPr>
        <w:t>，占大理河湿地流域水资源量的</w:t>
      </w:r>
      <w:r w:rsidRPr="00927E76">
        <w:rPr>
          <w:rFonts w:hint="eastAsia"/>
          <w:sz w:val="24"/>
        </w:rPr>
        <w:t>2.46</w:t>
      </w:r>
      <w:r w:rsidRPr="00927E76">
        <w:rPr>
          <w:sz w:val="24"/>
        </w:rPr>
        <w:t>%</w:t>
      </w:r>
      <w:r w:rsidR="00B45BF3">
        <w:rPr>
          <w:rFonts w:hint="eastAsia"/>
          <w:sz w:val="24"/>
        </w:rPr>
        <w:t>；</w:t>
      </w:r>
      <w:r w:rsidR="00B45BF3" w:rsidRPr="00B45BF3">
        <w:rPr>
          <w:rFonts w:hint="eastAsia"/>
          <w:color w:val="FF0000"/>
          <w:sz w:val="24"/>
        </w:rPr>
        <w:t>根据采煤沉陷影响范围的预测结果，留设保护煤柱后，大理河湿地不在</w:t>
      </w:r>
      <w:r w:rsidR="004E069B">
        <w:rPr>
          <w:rFonts w:hint="eastAsia"/>
          <w:color w:val="FF0000"/>
          <w:sz w:val="24"/>
        </w:rPr>
        <w:t>采煤</w:t>
      </w:r>
      <w:r w:rsidR="00B45BF3" w:rsidRPr="00B45BF3">
        <w:rPr>
          <w:rFonts w:hint="eastAsia"/>
          <w:color w:val="FF0000"/>
          <w:sz w:val="24"/>
        </w:rPr>
        <w:t>沉陷影响范围内，</w:t>
      </w:r>
      <w:r w:rsidR="004E069B" w:rsidRPr="0059502B">
        <w:rPr>
          <w:rFonts w:hAnsi="宋体" w:hint="eastAsia"/>
          <w:color w:val="FF0000"/>
          <w:sz w:val="24"/>
        </w:rPr>
        <w:t>采煤一般不会改变</w:t>
      </w:r>
      <w:r w:rsidR="004E069B">
        <w:rPr>
          <w:rFonts w:hAnsi="宋体" w:hint="eastAsia"/>
          <w:color w:val="FF0000"/>
          <w:sz w:val="24"/>
        </w:rPr>
        <w:t>该</w:t>
      </w:r>
      <w:r w:rsidR="004E069B" w:rsidRPr="002A18AE">
        <w:rPr>
          <w:rFonts w:hAnsi="宋体" w:hint="eastAsia"/>
          <w:color w:val="FF0000"/>
          <w:sz w:val="24"/>
        </w:rPr>
        <w:t>区域地表径流方向；</w:t>
      </w:r>
      <w:r w:rsidRPr="002A18AE">
        <w:rPr>
          <w:rFonts w:hint="eastAsia"/>
          <w:color w:val="FF0000"/>
          <w:sz w:val="24"/>
        </w:rPr>
        <w:t>由图</w:t>
      </w:r>
      <w:r w:rsidRPr="002A18AE">
        <w:rPr>
          <w:rFonts w:hint="eastAsia"/>
          <w:color w:val="FF0000"/>
          <w:sz w:val="24"/>
        </w:rPr>
        <w:t>4.2.2-4</w:t>
      </w:r>
      <w:r w:rsidRPr="002A18AE">
        <w:rPr>
          <w:rFonts w:hint="eastAsia"/>
          <w:color w:val="FF0000"/>
          <w:sz w:val="24"/>
        </w:rPr>
        <w:t>可知，项目采煤不会贯穿煤系地层</w:t>
      </w:r>
      <w:r w:rsidRPr="002A18AE">
        <w:rPr>
          <w:color w:val="FF0000"/>
          <w:sz w:val="24"/>
        </w:rPr>
        <w:t>三叠系上统瓦窑堡组</w:t>
      </w:r>
      <w:r w:rsidRPr="002A18AE">
        <w:rPr>
          <w:rFonts w:hint="eastAsia"/>
          <w:color w:val="FF0000"/>
          <w:sz w:val="24"/>
        </w:rPr>
        <w:t>，同时三叠系上覆有泥岩</w:t>
      </w:r>
      <w:r w:rsidR="004E069B" w:rsidRPr="002A18AE">
        <w:rPr>
          <w:rFonts w:hint="eastAsia"/>
          <w:color w:val="FF0000"/>
          <w:sz w:val="24"/>
        </w:rPr>
        <w:t>及保德组红土等</w:t>
      </w:r>
      <w:r w:rsidRPr="002A18AE">
        <w:rPr>
          <w:rFonts w:hint="eastAsia"/>
          <w:color w:val="FF0000"/>
          <w:sz w:val="24"/>
        </w:rPr>
        <w:t>隔水层，因此</w:t>
      </w:r>
      <w:r w:rsidR="002A18AE" w:rsidRPr="002A18AE">
        <w:rPr>
          <w:rFonts w:hint="eastAsia"/>
          <w:color w:val="FF0000"/>
          <w:sz w:val="24"/>
        </w:rPr>
        <w:t>矿井涌水中</w:t>
      </w:r>
      <w:r w:rsidRPr="002A18AE">
        <w:rPr>
          <w:rFonts w:hint="eastAsia"/>
          <w:color w:val="FF0000"/>
          <w:sz w:val="24"/>
        </w:rPr>
        <w:t>浅层地下水流失量</w:t>
      </w:r>
      <w:r w:rsidR="002A18AE" w:rsidRPr="002A18AE">
        <w:rPr>
          <w:rFonts w:hint="eastAsia"/>
          <w:color w:val="FF0000"/>
          <w:sz w:val="24"/>
        </w:rPr>
        <w:t>所</w:t>
      </w:r>
      <w:r w:rsidRPr="002A18AE">
        <w:rPr>
          <w:rFonts w:hint="eastAsia"/>
          <w:color w:val="FF0000"/>
          <w:sz w:val="24"/>
        </w:rPr>
        <w:t>占比例较小，采煤对大理河水资源量影响较小。</w:t>
      </w:r>
    </w:p>
    <w:p w:rsidR="00C223F5" w:rsidRPr="00927E76" w:rsidRDefault="005860D5">
      <w:pPr>
        <w:spacing w:line="360" w:lineRule="auto"/>
        <w:ind w:firstLine="480"/>
        <w:rPr>
          <w:sz w:val="24"/>
        </w:rPr>
      </w:pPr>
      <w:r w:rsidRPr="00927E76">
        <w:rPr>
          <w:rFonts w:hint="eastAsia"/>
          <w:sz w:val="24"/>
        </w:rPr>
        <w:t>此外，</w:t>
      </w:r>
      <w:r w:rsidRPr="00927E76">
        <w:rPr>
          <w:sz w:val="24"/>
        </w:rPr>
        <w:t>采煤对湿地水质的影响主要表现在工业场地区</w:t>
      </w:r>
      <w:r w:rsidRPr="00927E76">
        <w:rPr>
          <w:rFonts w:hint="eastAsia"/>
          <w:sz w:val="24"/>
        </w:rPr>
        <w:t>排水及</w:t>
      </w:r>
      <w:r w:rsidRPr="00927E76">
        <w:rPr>
          <w:sz w:val="24"/>
        </w:rPr>
        <w:t>污废水的跑、冒、滴、漏下渗对</w:t>
      </w:r>
      <w:r w:rsidRPr="00927E76">
        <w:rPr>
          <w:rFonts w:hint="eastAsia"/>
          <w:sz w:val="24"/>
        </w:rPr>
        <w:t>地表水及</w:t>
      </w:r>
      <w:r w:rsidRPr="00927E76">
        <w:rPr>
          <w:sz w:val="24"/>
        </w:rPr>
        <w:t>地下水水质产生影响。</w:t>
      </w:r>
      <w:r w:rsidRPr="00927E76">
        <w:rPr>
          <w:rFonts w:hint="eastAsia"/>
          <w:sz w:val="24"/>
        </w:rPr>
        <w:t>根据前述预测，工业场地区的污废水渗漏扩散范围小，不会扩散到大理河</w:t>
      </w:r>
      <w:r w:rsidRPr="00927E76">
        <w:rPr>
          <w:sz w:val="24"/>
        </w:rPr>
        <w:t>重要湿地</w:t>
      </w:r>
      <w:r w:rsidRPr="00927E76">
        <w:rPr>
          <w:rFonts w:hint="eastAsia"/>
          <w:sz w:val="24"/>
        </w:rPr>
        <w:t>内；现状监测项目纳污河流蚂蚁河的排污口处及汇入大理河断面的水质满足地表水</w:t>
      </w:r>
      <w:r w:rsidR="000F32AE" w:rsidRPr="00927E76">
        <w:rPr>
          <w:sz w:val="24"/>
        </w:rPr>
        <w:fldChar w:fldCharType="begin"/>
      </w:r>
      <w:r w:rsidRPr="00927E76">
        <w:rPr>
          <w:rFonts w:hint="eastAsia"/>
          <w:sz w:val="24"/>
        </w:rPr>
        <w:instrText>= 3 \* ROMAN</w:instrText>
      </w:r>
      <w:r w:rsidR="000F32AE" w:rsidRPr="00927E76">
        <w:rPr>
          <w:sz w:val="24"/>
        </w:rPr>
        <w:fldChar w:fldCharType="separate"/>
      </w:r>
      <w:r w:rsidRPr="00927E76">
        <w:rPr>
          <w:sz w:val="24"/>
        </w:rPr>
        <w:t>III</w:t>
      </w:r>
      <w:r w:rsidR="000F32AE" w:rsidRPr="00927E76">
        <w:rPr>
          <w:sz w:val="24"/>
        </w:rPr>
        <w:fldChar w:fldCharType="end"/>
      </w:r>
      <w:r w:rsidRPr="00927E76">
        <w:rPr>
          <w:rFonts w:hint="eastAsia"/>
          <w:sz w:val="24"/>
        </w:rPr>
        <w:t>类水质要求，现状排水未对</w:t>
      </w:r>
      <w:r w:rsidRPr="00927E76">
        <w:rPr>
          <w:rFonts w:hint="eastAsia"/>
          <w:sz w:val="24"/>
        </w:rPr>
        <w:lastRenderedPageBreak/>
        <w:t>大理河水质造成影响。</w:t>
      </w:r>
      <w:r w:rsidR="004E069B" w:rsidRPr="00362E72">
        <w:rPr>
          <w:rFonts w:hAnsi="宋体" w:hint="eastAsia"/>
          <w:sz w:val="24"/>
        </w:rPr>
        <w:t>综上分析，在采取保护措施后，采煤对重要湿地影响较小。</w:t>
      </w:r>
    </w:p>
    <w:p w:rsidR="00C223F5" w:rsidRPr="00927E76" w:rsidRDefault="005860D5" w:rsidP="004835BD">
      <w:pPr>
        <w:pStyle w:val="4"/>
        <w:spacing w:before="0" w:after="0" w:line="360" w:lineRule="auto"/>
        <w:ind w:firstLineChars="100" w:firstLine="240"/>
        <w:rPr>
          <w:szCs w:val="24"/>
        </w:rPr>
      </w:pPr>
      <w:r w:rsidRPr="00927E76">
        <w:rPr>
          <w:rFonts w:hint="eastAsia"/>
          <w:szCs w:val="24"/>
        </w:rPr>
        <w:t>4.2.2.</w:t>
      </w:r>
      <w:r w:rsidR="000562EB" w:rsidRPr="00927E76">
        <w:rPr>
          <w:rFonts w:hint="eastAsia"/>
          <w:szCs w:val="24"/>
        </w:rPr>
        <w:t>8</w:t>
      </w:r>
      <w:r w:rsidRPr="00927E76">
        <w:rPr>
          <w:szCs w:val="24"/>
        </w:rPr>
        <w:t>采煤对地表植被的影响</w:t>
      </w:r>
    </w:p>
    <w:p w:rsidR="00C223F5" w:rsidRDefault="005860D5">
      <w:pPr>
        <w:spacing w:line="360" w:lineRule="auto"/>
        <w:ind w:firstLineChars="200" w:firstLine="480"/>
        <w:rPr>
          <w:sz w:val="24"/>
          <w:szCs w:val="22"/>
        </w:rPr>
      </w:pPr>
      <w:r>
        <w:rPr>
          <w:rFonts w:hint="eastAsia"/>
          <w:sz w:val="24"/>
        </w:rPr>
        <w:t>评价区地表</w:t>
      </w:r>
      <w:r>
        <w:rPr>
          <w:sz w:val="24"/>
        </w:rPr>
        <w:t>植被类型以</w:t>
      </w:r>
      <w:r>
        <w:rPr>
          <w:rFonts w:hint="eastAsia"/>
          <w:sz w:val="24"/>
        </w:rPr>
        <w:t>耕地、天然牧草地、乔木灌木林</w:t>
      </w:r>
      <w:r>
        <w:rPr>
          <w:sz w:val="24"/>
        </w:rPr>
        <w:t>为主</w:t>
      </w:r>
      <w:r>
        <w:rPr>
          <w:rFonts w:hint="eastAsia"/>
          <w:sz w:val="24"/>
        </w:rPr>
        <w:t>，</w:t>
      </w:r>
      <w:r>
        <w:rPr>
          <w:sz w:val="24"/>
        </w:rPr>
        <w:t>井田煤层开采后直接影响的含水层为</w:t>
      </w:r>
      <w:r>
        <w:rPr>
          <w:rFonts w:hint="eastAsia"/>
          <w:sz w:val="24"/>
          <w:szCs w:val="22"/>
        </w:rPr>
        <w:t>煤系地层含水层</w:t>
      </w:r>
      <w:r>
        <w:rPr>
          <w:rFonts w:hint="eastAsia"/>
          <w:sz w:val="24"/>
        </w:rPr>
        <w:t>，</w:t>
      </w:r>
      <w:r>
        <w:rPr>
          <w:sz w:val="24"/>
        </w:rPr>
        <w:t>由于煤层开采形成的导水裂隙带高度</w:t>
      </w:r>
      <w:r>
        <w:rPr>
          <w:rFonts w:hint="eastAsia"/>
          <w:sz w:val="24"/>
        </w:rPr>
        <w:t>一般</w:t>
      </w:r>
      <w:r>
        <w:rPr>
          <w:sz w:val="24"/>
        </w:rPr>
        <w:t>不会</w:t>
      </w:r>
      <w:r>
        <w:rPr>
          <w:rFonts w:hint="eastAsia"/>
          <w:sz w:val="24"/>
        </w:rPr>
        <w:t>导通保德组隔水层</w:t>
      </w:r>
      <w:r>
        <w:rPr>
          <w:sz w:val="24"/>
        </w:rPr>
        <w:t>进入第四系地层，对第四系黄土含水层</w:t>
      </w:r>
      <w:r>
        <w:rPr>
          <w:rFonts w:hint="eastAsia"/>
          <w:sz w:val="24"/>
        </w:rPr>
        <w:t>（本区植被涵养水层）</w:t>
      </w:r>
      <w:r>
        <w:rPr>
          <w:sz w:val="24"/>
        </w:rPr>
        <w:t>影响轻微</w:t>
      </w:r>
      <w:r>
        <w:rPr>
          <w:rFonts w:hint="eastAsia"/>
          <w:sz w:val="24"/>
        </w:rPr>
        <w:t>。</w:t>
      </w:r>
    </w:p>
    <w:p w:rsidR="00C223F5" w:rsidRDefault="005860D5">
      <w:pPr>
        <w:spacing w:line="360" w:lineRule="auto"/>
        <w:ind w:firstLineChars="200" w:firstLine="480"/>
        <w:textAlignment w:val="baseline"/>
        <w:rPr>
          <w:sz w:val="24"/>
        </w:rPr>
      </w:pPr>
      <w:r>
        <w:rPr>
          <w:sz w:val="24"/>
        </w:rPr>
        <w:t>（</w:t>
      </w:r>
      <w:r>
        <w:rPr>
          <w:sz w:val="24"/>
        </w:rPr>
        <w:t>1</w:t>
      </w:r>
      <w:r>
        <w:rPr>
          <w:sz w:val="24"/>
        </w:rPr>
        <w:t>）落叶阔叶林</w:t>
      </w:r>
    </w:p>
    <w:p w:rsidR="00C223F5" w:rsidRDefault="005860D5">
      <w:pPr>
        <w:spacing w:line="360" w:lineRule="auto"/>
        <w:ind w:firstLineChars="200" w:firstLine="480"/>
        <w:textAlignment w:val="baseline"/>
        <w:rPr>
          <w:sz w:val="24"/>
        </w:rPr>
      </w:pPr>
      <w:r>
        <w:rPr>
          <w:sz w:val="24"/>
        </w:rPr>
        <w:t>井田内落叶阔叶林植被类型主要为刺槐，根据《渭北黄土高原主要造林树种根系分布特征的研究》，该区刺槐根系分布最深</w:t>
      </w:r>
      <w:r>
        <w:rPr>
          <w:sz w:val="24"/>
        </w:rPr>
        <w:t>120cm</w:t>
      </w:r>
      <w:r>
        <w:rPr>
          <w:sz w:val="24"/>
        </w:rPr>
        <w:t>，且分布相对均匀。生长水源主要为大气降水和土壤水。根据采煤浅层地下水的预测结果，采煤对第四系含水层影响微小</w:t>
      </w:r>
      <w:r>
        <w:rPr>
          <w:bCs/>
          <w:sz w:val="24"/>
        </w:rPr>
        <w:t>，</w:t>
      </w:r>
      <w:r>
        <w:rPr>
          <w:sz w:val="24"/>
        </w:rPr>
        <w:t>考虑到采煤地表下沉因素后，采煤地下水流场变化不会对井田内落叶阔叶林产生大的影响。</w:t>
      </w:r>
    </w:p>
    <w:p w:rsidR="00C223F5" w:rsidRDefault="005860D5">
      <w:pPr>
        <w:spacing w:line="360" w:lineRule="auto"/>
        <w:ind w:firstLineChars="200" w:firstLine="480"/>
        <w:textAlignment w:val="baseline"/>
        <w:rPr>
          <w:sz w:val="24"/>
        </w:rPr>
      </w:pPr>
      <w:r>
        <w:rPr>
          <w:sz w:val="24"/>
        </w:rPr>
        <w:t>（</w:t>
      </w:r>
      <w:r>
        <w:rPr>
          <w:sz w:val="24"/>
        </w:rPr>
        <w:t>2</w:t>
      </w:r>
      <w:r>
        <w:rPr>
          <w:sz w:val="24"/>
        </w:rPr>
        <w:t>）</w:t>
      </w:r>
      <w:r>
        <w:rPr>
          <w:rFonts w:hint="eastAsia"/>
          <w:sz w:val="24"/>
        </w:rPr>
        <w:t>水浇地、</w:t>
      </w:r>
      <w:r>
        <w:rPr>
          <w:sz w:val="24"/>
        </w:rPr>
        <w:t>旱地</w:t>
      </w:r>
    </w:p>
    <w:p w:rsidR="00C223F5" w:rsidRDefault="005860D5">
      <w:pPr>
        <w:spacing w:line="360" w:lineRule="auto"/>
        <w:ind w:firstLineChars="200" w:firstLine="480"/>
        <w:textAlignment w:val="baseline"/>
        <w:rPr>
          <w:sz w:val="24"/>
        </w:rPr>
      </w:pPr>
      <w:r>
        <w:rPr>
          <w:rFonts w:hint="eastAsia"/>
          <w:sz w:val="24"/>
        </w:rPr>
        <w:t>评价区水浇地集中分布在大理河沿岸，除靠大气降水补给外，沿河阶地有灌溉井用于取水浇地；</w:t>
      </w:r>
      <w:r>
        <w:rPr>
          <w:sz w:val="24"/>
        </w:rPr>
        <w:t>旱地的农业植被涵养层水分主要靠大气降水补给。因此，采煤地下水流场变化基本不会对其产生影响。</w:t>
      </w:r>
    </w:p>
    <w:p w:rsidR="00C223F5" w:rsidRDefault="005860D5">
      <w:pPr>
        <w:spacing w:line="360" w:lineRule="auto"/>
        <w:ind w:firstLineChars="200" w:firstLine="480"/>
        <w:textAlignment w:val="baseline"/>
        <w:rPr>
          <w:sz w:val="24"/>
        </w:rPr>
      </w:pPr>
      <w:r>
        <w:rPr>
          <w:sz w:val="24"/>
        </w:rPr>
        <w:t>（</w:t>
      </w:r>
      <w:r>
        <w:rPr>
          <w:sz w:val="24"/>
        </w:rPr>
        <w:t>3</w:t>
      </w:r>
      <w:r>
        <w:rPr>
          <w:sz w:val="24"/>
        </w:rPr>
        <w:t>）草丛、灌丛</w:t>
      </w:r>
    </w:p>
    <w:p w:rsidR="00C223F5" w:rsidRDefault="005860D5">
      <w:pPr>
        <w:spacing w:line="360" w:lineRule="auto"/>
        <w:ind w:firstLineChars="200" w:firstLine="480"/>
        <w:textAlignment w:val="baseline"/>
        <w:rPr>
          <w:sz w:val="24"/>
        </w:rPr>
      </w:pPr>
      <w:r>
        <w:rPr>
          <w:sz w:val="24"/>
        </w:rPr>
        <w:t>据前预测，采煤对第四系含水层影响微小，草丛、灌丛涵养层水分主要靠大气降水补给，井田内灌草主要为</w:t>
      </w:r>
      <w:r>
        <w:rPr>
          <w:rFonts w:hint="eastAsia"/>
          <w:spacing w:val="-6"/>
          <w:sz w:val="24"/>
        </w:rPr>
        <w:t>黄蔷薇、柠条、黄刺玫、沙棘、酸枣、杠柳、狼牙刺等</w:t>
      </w:r>
      <w:r>
        <w:rPr>
          <w:sz w:val="24"/>
        </w:rPr>
        <w:t>，与地下水水位埋深关系不密切，采煤地下水流场变化对采区周边灌丛、草丛植被的影响不大。</w:t>
      </w:r>
    </w:p>
    <w:p w:rsidR="00C223F5" w:rsidRDefault="005860D5">
      <w:pPr>
        <w:spacing w:line="360" w:lineRule="auto"/>
        <w:ind w:firstLineChars="200" w:firstLine="480"/>
        <w:textAlignment w:val="baseline"/>
        <w:rPr>
          <w:sz w:val="24"/>
        </w:rPr>
      </w:pPr>
      <w:r>
        <w:rPr>
          <w:rFonts w:hint="eastAsia"/>
          <w:sz w:val="24"/>
        </w:rPr>
        <w:t>此外，</w:t>
      </w:r>
      <w:r>
        <w:rPr>
          <w:sz w:val="24"/>
        </w:rPr>
        <w:t>根据项目周边已生产矿井开采区植被生长情况来看，采空区</w:t>
      </w:r>
      <w:r>
        <w:rPr>
          <w:rFonts w:hint="eastAsia"/>
          <w:sz w:val="24"/>
        </w:rPr>
        <w:t>地表</w:t>
      </w:r>
      <w:r>
        <w:rPr>
          <w:sz w:val="24"/>
        </w:rPr>
        <w:t>及周边植被均未发生枯死现象，且植被生长良好。综上可知，项目实施</w:t>
      </w:r>
      <w:r>
        <w:rPr>
          <w:rFonts w:hint="eastAsia"/>
          <w:sz w:val="24"/>
        </w:rPr>
        <w:t>采煤地下水疏干</w:t>
      </w:r>
      <w:r>
        <w:rPr>
          <w:sz w:val="24"/>
        </w:rPr>
        <w:t>不会对本区植被生长水源产生明显影响。</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389" w:name="_Toc533604752"/>
      <w:bookmarkStart w:id="390" w:name="_Toc533604332"/>
      <w:bookmarkStart w:id="391" w:name="_Toc16785297"/>
      <w:r>
        <w:rPr>
          <w:rFonts w:eastAsia="宋体" w:hint="eastAsia"/>
          <w:b/>
          <w:bCs w:val="0"/>
          <w:sz w:val="28"/>
          <w:szCs w:val="28"/>
        </w:rPr>
        <w:t>4.2.3</w:t>
      </w:r>
      <w:r>
        <w:rPr>
          <w:rFonts w:eastAsia="宋体" w:hint="eastAsia"/>
          <w:b/>
          <w:bCs w:val="0"/>
          <w:sz w:val="28"/>
          <w:szCs w:val="28"/>
        </w:rPr>
        <w:t>地表水环境影响评价</w:t>
      </w:r>
      <w:bookmarkEnd w:id="389"/>
      <w:bookmarkEnd w:id="390"/>
      <w:bookmarkEnd w:id="391"/>
    </w:p>
    <w:p w:rsidR="00C223F5" w:rsidRDefault="005860D5" w:rsidP="004835BD">
      <w:pPr>
        <w:pStyle w:val="4"/>
        <w:spacing w:before="0" w:after="0" w:line="360" w:lineRule="auto"/>
        <w:ind w:firstLineChars="100" w:firstLine="240"/>
        <w:rPr>
          <w:szCs w:val="24"/>
        </w:rPr>
      </w:pPr>
      <w:r>
        <w:rPr>
          <w:rFonts w:hint="eastAsia"/>
          <w:szCs w:val="24"/>
        </w:rPr>
        <w:t>4.2.3.1</w:t>
      </w:r>
      <w:r>
        <w:rPr>
          <w:szCs w:val="24"/>
        </w:rPr>
        <w:t>评价工作等级</w:t>
      </w:r>
    </w:p>
    <w:p w:rsidR="00C223F5" w:rsidRDefault="005860D5">
      <w:pPr>
        <w:spacing w:line="360" w:lineRule="auto"/>
        <w:ind w:firstLineChars="200" w:firstLine="480"/>
        <w:rPr>
          <w:sz w:val="24"/>
        </w:rPr>
      </w:pPr>
      <w:r>
        <w:rPr>
          <w:sz w:val="24"/>
        </w:rPr>
        <w:t>根据《环境影响评价技术导则</w:t>
      </w:r>
      <w:r>
        <w:rPr>
          <w:rFonts w:hint="eastAsia"/>
          <w:sz w:val="24"/>
        </w:rPr>
        <w:t>-</w:t>
      </w:r>
      <w:r>
        <w:rPr>
          <w:sz w:val="24"/>
        </w:rPr>
        <w:t>地</w:t>
      </w:r>
      <w:r>
        <w:rPr>
          <w:rFonts w:hint="eastAsia"/>
          <w:sz w:val="24"/>
        </w:rPr>
        <w:t>表</w:t>
      </w:r>
      <w:r>
        <w:rPr>
          <w:sz w:val="24"/>
        </w:rPr>
        <w:t>水环境》（</w:t>
      </w:r>
      <w:r>
        <w:rPr>
          <w:sz w:val="24"/>
        </w:rPr>
        <w:t>HJ</w:t>
      </w:r>
      <w:r>
        <w:rPr>
          <w:rFonts w:hint="eastAsia"/>
          <w:sz w:val="24"/>
        </w:rPr>
        <w:t>2.3-2018</w:t>
      </w:r>
      <w:r>
        <w:rPr>
          <w:sz w:val="24"/>
        </w:rPr>
        <w:t>）</w:t>
      </w:r>
      <w:r>
        <w:rPr>
          <w:rFonts w:hint="eastAsia"/>
          <w:sz w:val="24"/>
        </w:rPr>
        <w:t>中关于建设项目地表水环境影响因素识别，本项目矿井水处理后部分外排，属于水污染影响型建设项目。</w:t>
      </w:r>
    </w:p>
    <w:p w:rsidR="00C223F5" w:rsidRDefault="005860D5">
      <w:pPr>
        <w:spacing w:line="360" w:lineRule="auto"/>
        <w:ind w:firstLineChars="200" w:firstLine="480"/>
        <w:rPr>
          <w:sz w:val="24"/>
        </w:rPr>
      </w:pPr>
      <w:r>
        <w:rPr>
          <w:rFonts w:hint="eastAsia"/>
          <w:sz w:val="24"/>
        </w:rPr>
        <w:t>由于项目依托现有排放口，且对外环境未新增排放污染物的直接排放建设项</w:t>
      </w:r>
      <w:r>
        <w:rPr>
          <w:rFonts w:hint="eastAsia"/>
          <w:sz w:val="24"/>
        </w:rPr>
        <w:lastRenderedPageBreak/>
        <w:t>目，评价等级参照间接排放，定为三级</w:t>
      </w:r>
      <w:r>
        <w:rPr>
          <w:rFonts w:hint="eastAsia"/>
          <w:sz w:val="24"/>
        </w:rPr>
        <w:t>B</w:t>
      </w:r>
      <w:r>
        <w:rPr>
          <w:rFonts w:hint="eastAsia"/>
          <w:sz w:val="24"/>
        </w:rPr>
        <w:t>。</w:t>
      </w:r>
    </w:p>
    <w:p w:rsidR="00C223F5" w:rsidRDefault="005860D5" w:rsidP="004835BD">
      <w:pPr>
        <w:pStyle w:val="4"/>
        <w:spacing w:before="0" w:after="0" w:line="360" w:lineRule="auto"/>
        <w:ind w:firstLineChars="100" w:firstLine="240"/>
        <w:rPr>
          <w:szCs w:val="24"/>
        </w:rPr>
      </w:pPr>
      <w:r>
        <w:rPr>
          <w:rFonts w:hint="eastAsia"/>
          <w:szCs w:val="24"/>
        </w:rPr>
        <w:t>4.2.3.2</w:t>
      </w:r>
      <w:r>
        <w:rPr>
          <w:szCs w:val="24"/>
        </w:rPr>
        <w:t>污废水的产生环节和产生量</w:t>
      </w:r>
    </w:p>
    <w:p w:rsidR="00C223F5" w:rsidRDefault="005860D5" w:rsidP="00C006A7">
      <w:pPr>
        <w:spacing w:line="360" w:lineRule="auto"/>
        <w:ind w:firstLineChars="200" w:firstLine="482"/>
        <w:rPr>
          <w:b/>
          <w:sz w:val="24"/>
        </w:rPr>
      </w:pPr>
      <w:r>
        <w:rPr>
          <w:rFonts w:hint="eastAsia"/>
          <w:b/>
          <w:sz w:val="24"/>
        </w:rPr>
        <w:t>（一）</w:t>
      </w:r>
      <w:r>
        <w:rPr>
          <w:b/>
          <w:sz w:val="24"/>
        </w:rPr>
        <w:t>井下排水</w:t>
      </w:r>
    </w:p>
    <w:p w:rsidR="00C223F5" w:rsidRPr="00927E76" w:rsidRDefault="005860D5" w:rsidP="00AC61C0">
      <w:pPr>
        <w:pStyle w:val="BG"/>
        <w:ind w:firstLine="480"/>
        <w:rPr>
          <w:rFonts w:eastAsiaTheme="minorEastAsia" w:hAnsiTheme="minorEastAsia"/>
        </w:rPr>
      </w:pPr>
      <w:r>
        <w:rPr>
          <w:rFonts w:hint="eastAsia"/>
        </w:rPr>
        <w:t>考虑黄泥灌浆析出水，矿井正常涌水量为</w:t>
      </w:r>
      <w:r>
        <w:rPr>
          <w:rFonts w:hint="eastAsia"/>
        </w:rPr>
        <w:t>80m</w:t>
      </w:r>
      <w:r>
        <w:rPr>
          <w:rFonts w:hint="eastAsia"/>
          <w:vertAlign w:val="superscript"/>
        </w:rPr>
        <w:t>3</w:t>
      </w:r>
      <w:r>
        <w:rPr>
          <w:rFonts w:hint="eastAsia"/>
        </w:rPr>
        <w:t>/h</w:t>
      </w:r>
      <w:r>
        <w:rPr>
          <w:rFonts w:hint="eastAsia"/>
        </w:rPr>
        <w:t>，最大涌水量为</w:t>
      </w:r>
      <w:r>
        <w:rPr>
          <w:rFonts w:hint="eastAsia"/>
        </w:rPr>
        <w:t>100 m</w:t>
      </w:r>
      <w:r>
        <w:rPr>
          <w:rFonts w:hint="eastAsia"/>
          <w:vertAlign w:val="superscript"/>
        </w:rPr>
        <w:t>3</w:t>
      </w:r>
      <w:r>
        <w:rPr>
          <w:rFonts w:hint="eastAsia"/>
        </w:rPr>
        <w:t>/h</w:t>
      </w:r>
      <w:r>
        <w:rPr>
          <w:rFonts w:hint="eastAsia"/>
        </w:rPr>
        <w:t>，</w:t>
      </w:r>
      <w:r>
        <w:t>主要污染物为</w:t>
      </w:r>
      <w:r>
        <w:t>SS</w:t>
      </w:r>
      <w:r>
        <w:t>、</w:t>
      </w:r>
      <w:r>
        <w:t>COD</w:t>
      </w:r>
      <w:r w:rsidRPr="00927E76">
        <w:t>和石油类</w:t>
      </w:r>
      <w:r w:rsidRPr="00927E76">
        <w:rPr>
          <w:rFonts w:hint="eastAsia"/>
        </w:rPr>
        <w:t>。井下排水经排水泵排至矿井水处理站，</w:t>
      </w:r>
      <w:r w:rsidRPr="00927E76">
        <w:t>采用</w:t>
      </w:r>
      <w:r w:rsidRPr="00927E76">
        <w:rPr>
          <w:rFonts w:eastAsiaTheme="minorEastAsia" w:hAnsiTheme="minorEastAsia"/>
        </w:rPr>
        <w:t>混凝、沉淀、</w:t>
      </w:r>
      <w:r w:rsidRPr="00927E76">
        <w:rPr>
          <w:rFonts w:eastAsiaTheme="minorEastAsia" w:hAnsiTheme="minorEastAsia" w:hint="eastAsia"/>
        </w:rPr>
        <w:t>气浮、</w:t>
      </w:r>
      <w:r w:rsidRPr="00927E76">
        <w:rPr>
          <w:rFonts w:eastAsiaTheme="minorEastAsia" w:hAnsiTheme="minorEastAsia"/>
        </w:rPr>
        <w:t>过滤</w:t>
      </w:r>
      <w:r w:rsidRPr="00927E76">
        <w:rPr>
          <w:rFonts w:eastAsiaTheme="minorEastAsia" w:hAnsiTheme="minorEastAsia" w:hint="eastAsia"/>
        </w:rPr>
        <w:t>消毒</w:t>
      </w:r>
      <w:r w:rsidRPr="00927E76">
        <w:rPr>
          <w:rFonts w:eastAsiaTheme="minorEastAsia" w:hAnsiTheme="minorEastAsia"/>
        </w:rPr>
        <w:t>处理工艺</w:t>
      </w:r>
      <w:r w:rsidRPr="00927E76">
        <w:rPr>
          <w:rFonts w:eastAsiaTheme="minorEastAsia" w:hAnsiTheme="minorEastAsia" w:hint="eastAsia"/>
        </w:rPr>
        <w:t>，处理后</w:t>
      </w:r>
      <w:r w:rsidRPr="00927E76">
        <w:rPr>
          <w:rFonts w:hint="eastAsia"/>
        </w:rPr>
        <w:t>部分回用于井下洒水、黄泥灌浆补充水及</w:t>
      </w:r>
      <w:r w:rsidRPr="00C807E8">
        <w:rPr>
          <w:rFonts w:hint="eastAsia"/>
          <w:color w:val="FF0000"/>
        </w:rPr>
        <w:t>地面生产用水</w:t>
      </w:r>
      <w:r w:rsidRPr="00927E76">
        <w:rPr>
          <w:rFonts w:hint="eastAsia"/>
        </w:rPr>
        <w:t>，其余（采暖期</w:t>
      </w:r>
      <w:r w:rsidR="008650B4">
        <w:rPr>
          <w:rFonts w:hint="eastAsia"/>
          <w:color w:val="FF0000"/>
        </w:rPr>
        <w:t>387.7</w:t>
      </w:r>
      <w:r w:rsidRPr="00927E76">
        <w:t>m</w:t>
      </w:r>
      <w:r w:rsidRPr="00927E76">
        <w:rPr>
          <w:vertAlign w:val="superscript"/>
        </w:rPr>
        <w:t>3</w:t>
      </w:r>
      <w:r w:rsidRPr="00927E76">
        <w:t>/d</w:t>
      </w:r>
      <w:r w:rsidRPr="00927E76">
        <w:rPr>
          <w:rFonts w:hint="eastAsia"/>
        </w:rPr>
        <w:t>，非采暖期</w:t>
      </w:r>
      <w:r w:rsidR="008650B4">
        <w:rPr>
          <w:rFonts w:hint="eastAsia"/>
          <w:color w:val="FF0000"/>
        </w:rPr>
        <w:t>553</w:t>
      </w:r>
      <w:r w:rsidRPr="00927E76">
        <w:t>m</w:t>
      </w:r>
      <w:r w:rsidRPr="00927E76">
        <w:rPr>
          <w:vertAlign w:val="superscript"/>
        </w:rPr>
        <w:t>3</w:t>
      </w:r>
      <w:r w:rsidRPr="00927E76">
        <w:t>/d</w:t>
      </w:r>
      <w:r w:rsidRPr="00927E76">
        <w:rPr>
          <w:rFonts w:hint="eastAsia"/>
        </w:rPr>
        <w:t>）达标排至蚂蚁河</w:t>
      </w:r>
      <w:r w:rsidRPr="00927E76">
        <w:rPr>
          <w:rFonts w:eastAsiaTheme="minorEastAsia" w:hAnsiTheme="minorEastAsia" w:hint="eastAsia"/>
        </w:rPr>
        <w:t>。</w:t>
      </w:r>
    </w:p>
    <w:p w:rsidR="00C223F5" w:rsidRPr="00927E76" w:rsidRDefault="005860D5" w:rsidP="00C006A7">
      <w:pPr>
        <w:spacing w:line="360" w:lineRule="auto"/>
        <w:ind w:firstLineChars="200" w:firstLine="482"/>
        <w:rPr>
          <w:b/>
          <w:sz w:val="24"/>
        </w:rPr>
      </w:pPr>
      <w:r w:rsidRPr="00927E76">
        <w:rPr>
          <w:rFonts w:hint="eastAsia"/>
          <w:b/>
          <w:sz w:val="24"/>
        </w:rPr>
        <w:t>（二）</w:t>
      </w:r>
      <w:r w:rsidRPr="00927E76">
        <w:rPr>
          <w:b/>
          <w:sz w:val="24"/>
        </w:rPr>
        <w:t>生活污水</w:t>
      </w:r>
    </w:p>
    <w:p w:rsidR="00C223F5" w:rsidRPr="00927E76" w:rsidRDefault="005860D5" w:rsidP="00AC61C0">
      <w:pPr>
        <w:pStyle w:val="BG"/>
        <w:ind w:firstLine="480"/>
      </w:pPr>
      <w:r w:rsidRPr="00927E76">
        <w:rPr>
          <w:rFonts w:hint="eastAsia"/>
        </w:rPr>
        <w:t>工业场地生活、生产废水最大产生量为</w:t>
      </w:r>
      <w:r w:rsidRPr="00927E76">
        <w:rPr>
          <w:rFonts w:hint="eastAsia"/>
          <w:szCs w:val="22"/>
        </w:rPr>
        <w:t>350.8</w:t>
      </w:r>
      <w:r w:rsidRPr="00927E76">
        <w:t>m</w:t>
      </w:r>
      <w:r w:rsidRPr="00927E76">
        <w:rPr>
          <w:vertAlign w:val="superscript"/>
        </w:rPr>
        <w:t>3</w:t>
      </w:r>
      <w:r w:rsidRPr="00927E76">
        <w:t>/d</w:t>
      </w:r>
      <w:r w:rsidRPr="00927E76">
        <w:rPr>
          <w:rFonts w:hint="eastAsia"/>
        </w:rPr>
        <w:t>，</w:t>
      </w:r>
      <w:r w:rsidRPr="00927E76">
        <w:t>主要来源于浴池、食堂以及</w:t>
      </w:r>
      <w:r w:rsidRPr="00927E76">
        <w:rPr>
          <w:rFonts w:hint="eastAsia"/>
        </w:rPr>
        <w:t>洗衣排水</w:t>
      </w:r>
      <w:r w:rsidRPr="00927E76">
        <w:t>等，主要污染物为</w:t>
      </w:r>
      <w:r w:rsidRPr="00927E76">
        <w:rPr>
          <w:rFonts w:hint="eastAsia"/>
        </w:rPr>
        <w:t>SS</w:t>
      </w:r>
      <w:r w:rsidRPr="00927E76">
        <w:t>、</w:t>
      </w:r>
      <w:r w:rsidRPr="00927E76">
        <w:t>COD</w:t>
      </w:r>
      <w:r w:rsidRPr="00927E76">
        <w:t>、</w:t>
      </w:r>
      <w:r w:rsidRPr="00927E76">
        <w:t>BOD</w:t>
      </w:r>
      <w:r w:rsidRPr="00927E76">
        <w:rPr>
          <w:vertAlign w:val="subscript"/>
        </w:rPr>
        <w:t>5</w:t>
      </w:r>
      <w:r w:rsidRPr="00927E76">
        <w:t>和氨氮</w:t>
      </w:r>
      <w:r w:rsidRPr="00927E76">
        <w:rPr>
          <w:rFonts w:hint="eastAsia"/>
        </w:rPr>
        <w:t>，经污水管网汇集后送生活污水处理站，</w:t>
      </w:r>
      <w:r w:rsidRPr="00927E76">
        <w:rPr>
          <w:rFonts w:hAnsi="宋体"/>
        </w:rPr>
        <w:t>采用</w:t>
      </w:r>
      <w:r w:rsidRPr="00927E76">
        <w:t>A</w:t>
      </w:r>
      <w:r w:rsidRPr="00927E76">
        <w:rPr>
          <w:vertAlign w:val="superscript"/>
        </w:rPr>
        <w:t>2</w:t>
      </w:r>
      <w:r w:rsidRPr="00927E76">
        <w:t>/O</w:t>
      </w:r>
      <w:r w:rsidRPr="00927E76">
        <w:rPr>
          <w:rFonts w:hAnsi="宋体"/>
        </w:rPr>
        <w:t>二级生化</w:t>
      </w:r>
      <w:r w:rsidRPr="00927E76">
        <w:t>+</w:t>
      </w:r>
      <w:r w:rsidRPr="00927E76">
        <w:rPr>
          <w:rFonts w:hAnsi="宋体"/>
        </w:rPr>
        <w:t>深度处理工艺</w:t>
      </w:r>
      <w:r w:rsidRPr="00927E76">
        <w:t>，</w:t>
      </w:r>
      <w:r w:rsidRPr="00927E76">
        <w:rPr>
          <w:rFonts w:hint="eastAsia"/>
        </w:rPr>
        <w:t>全部</w:t>
      </w:r>
      <w:r w:rsidRPr="00927E76">
        <w:t>回用于选煤厂补充水、绿化洒水及地面降尘洒水等，不外排。</w:t>
      </w:r>
    </w:p>
    <w:p w:rsidR="00C223F5" w:rsidRPr="00927E76" w:rsidRDefault="005860D5">
      <w:pPr>
        <w:spacing w:line="360" w:lineRule="auto"/>
        <w:ind w:firstLineChars="200" w:firstLine="480"/>
        <w:rPr>
          <w:sz w:val="24"/>
        </w:rPr>
      </w:pPr>
      <w:r w:rsidRPr="00927E76">
        <w:rPr>
          <w:rFonts w:hint="eastAsia"/>
          <w:sz w:val="24"/>
        </w:rPr>
        <w:t>项目废水类别、污染物及污染治理设施信息见表</w:t>
      </w:r>
      <w:r w:rsidRPr="00927E76">
        <w:rPr>
          <w:rFonts w:hint="eastAsia"/>
          <w:sz w:val="24"/>
        </w:rPr>
        <w:t>4.2.3-1</w:t>
      </w:r>
      <w:r w:rsidRPr="00927E76">
        <w:rPr>
          <w:rFonts w:hint="eastAsia"/>
          <w:sz w:val="24"/>
        </w:rPr>
        <w:t>。</w:t>
      </w:r>
    </w:p>
    <w:p w:rsidR="00C223F5" w:rsidRPr="00927E76" w:rsidRDefault="005860D5">
      <w:pPr>
        <w:jc w:val="center"/>
        <w:rPr>
          <w:b/>
          <w:sz w:val="24"/>
        </w:rPr>
      </w:pPr>
      <w:r w:rsidRPr="00927E76">
        <w:rPr>
          <w:rFonts w:hint="eastAsia"/>
          <w:b/>
          <w:sz w:val="24"/>
        </w:rPr>
        <w:t>表</w:t>
      </w:r>
      <w:r w:rsidRPr="00927E76">
        <w:rPr>
          <w:rFonts w:hint="eastAsia"/>
          <w:b/>
          <w:sz w:val="24"/>
        </w:rPr>
        <w:t xml:space="preserve">4.2.3-1   </w:t>
      </w:r>
      <w:r w:rsidRPr="00927E76">
        <w:rPr>
          <w:rFonts w:hint="eastAsia"/>
          <w:b/>
          <w:sz w:val="24"/>
        </w:rPr>
        <w:t>废水类别、污染物及污染治理设施信息表</w:t>
      </w:r>
    </w:p>
    <w:tbl>
      <w:tblPr>
        <w:tblStyle w:val="afffe"/>
        <w:tblW w:w="9100" w:type="dxa"/>
        <w:jc w:val="center"/>
        <w:tblLayout w:type="fixed"/>
        <w:tblCellMar>
          <w:left w:w="17" w:type="dxa"/>
          <w:right w:w="17" w:type="dxa"/>
        </w:tblCellMar>
        <w:tblLook w:val="04A0" w:firstRow="1" w:lastRow="0" w:firstColumn="1" w:lastColumn="0" w:noHBand="0" w:noVBand="1"/>
      </w:tblPr>
      <w:tblGrid>
        <w:gridCol w:w="260"/>
        <w:gridCol w:w="574"/>
        <w:gridCol w:w="675"/>
        <w:gridCol w:w="723"/>
        <w:gridCol w:w="459"/>
        <w:gridCol w:w="886"/>
        <w:gridCol w:w="937"/>
        <w:gridCol w:w="972"/>
        <w:gridCol w:w="880"/>
        <w:gridCol w:w="1126"/>
        <w:gridCol w:w="1608"/>
      </w:tblGrid>
      <w:tr w:rsidR="00C223F5" w:rsidRPr="00927E76">
        <w:trPr>
          <w:jc w:val="center"/>
        </w:trPr>
        <w:tc>
          <w:tcPr>
            <w:tcW w:w="260" w:type="dxa"/>
            <w:vMerge w:val="restart"/>
            <w:vAlign w:val="center"/>
          </w:tcPr>
          <w:p w:rsidR="00C223F5" w:rsidRPr="00927E76" w:rsidRDefault="005860D5">
            <w:pPr>
              <w:jc w:val="center"/>
              <w:rPr>
                <w:sz w:val="18"/>
                <w:szCs w:val="18"/>
              </w:rPr>
            </w:pPr>
            <w:r w:rsidRPr="00927E76">
              <w:rPr>
                <w:rFonts w:hint="eastAsia"/>
                <w:sz w:val="18"/>
                <w:szCs w:val="18"/>
              </w:rPr>
              <w:t>序号</w:t>
            </w:r>
          </w:p>
        </w:tc>
        <w:tc>
          <w:tcPr>
            <w:tcW w:w="574" w:type="dxa"/>
            <w:vMerge w:val="restart"/>
            <w:vAlign w:val="center"/>
          </w:tcPr>
          <w:p w:rsidR="00C223F5" w:rsidRPr="00927E76" w:rsidRDefault="005860D5">
            <w:pPr>
              <w:jc w:val="center"/>
              <w:rPr>
                <w:sz w:val="18"/>
                <w:szCs w:val="18"/>
              </w:rPr>
            </w:pPr>
            <w:r w:rsidRPr="00927E76">
              <w:rPr>
                <w:rFonts w:hint="eastAsia"/>
                <w:sz w:val="18"/>
                <w:szCs w:val="18"/>
              </w:rPr>
              <w:t>废水</w:t>
            </w:r>
          </w:p>
          <w:p w:rsidR="00C223F5" w:rsidRPr="00927E76" w:rsidRDefault="005860D5">
            <w:pPr>
              <w:jc w:val="center"/>
              <w:rPr>
                <w:sz w:val="18"/>
                <w:szCs w:val="18"/>
              </w:rPr>
            </w:pPr>
            <w:r w:rsidRPr="00927E76">
              <w:rPr>
                <w:rFonts w:hint="eastAsia"/>
                <w:sz w:val="18"/>
                <w:szCs w:val="18"/>
              </w:rPr>
              <w:t>类别</w:t>
            </w:r>
          </w:p>
        </w:tc>
        <w:tc>
          <w:tcPr>
            <w:tcW w:w="675" w:type="dxa"/>
            <w:vMerge w:val="restart"/>
            <w:vAlign w:val="center"/>
          </w:tcPr>
          <w:p w:rsidR="00C223F5" w:rsidRPr="00927E76" w:rsidRDefault="005860D5">
            <w:pPr>
              <w:jc w:val="center"/>
              <w:rPr>
                <w:sz w:val="18"/>
                <w:szCs w:val="18"/>
              </w:rPr>
            </w:pPr>
            <w:r w:rsidRPr="00927E76">
              <w:rPr>
                <w:rFonts w:hint="eastAsia"/>
                <w:sz w:val="18"/>
                <w:szCs w:val="18"/>
              </w:rPr>
              <w:t>污染物种类</w:t>
            </w:r>
          </w:p>
        </w:tc>
        <w:tc>
          <w:tcPr>
            <w:tcW w:w="723" w:type="dxa"/>
            <w:vMerge w:val="restart"/>
            <w:vAlign w:val="center"/>
          </w:tcPr>
          <w:p w:rsidR="00C223F5" w:rsidRPr="00927E76" w:rsidRDefault="005860D5">
            <w:pPr>
              <w:jc w:val="center"/>
              <w:rPr>
                <w:sz w:val="18"/>
                <w:szCs w:val="18"/>
              </w:rPr>
            </w:pPr>
            <w:r w:rsidRPr="00927E76">
              <w:rPr>
                <w:rFonts w:hint="eastAsia"/>
                <w:sz w:val="18"/>
                <w:szCs w:val="18"/>
              </w:rPr>
              <w:t>排放</w:t>
            </w:r>
          </w:p>
          <w:p w:rsidR="00C223F5" w:rsidRPr="00927E76" w:rsidRDefault="005860D5">
            <w:pPr>
              <w:jc w:val="center"/>
              <w:rPr>
                <w:sz w:val="18"/>
                <w:szCs w:val="18"/>
              </w:rPr>
            </w:pPr>
            <w:r w:rsidRPr="00927E76">
              <w:rPr>
                <w:rFonts w:hint="eastAsia"/>
                <w:sz w:val="18"/>
                <w:szCs w:val="18"/>
              </w:rPr>
              <w:t>去向</w:t>
            </w:r>
          </w:p>
        </w:tc>
        <w:tc>
          <w:tcPr>
            <w:tcW w:w="459" w:type="dxa"/>
            <w:vMerge w:val="restart"/>
            <w:vAlign w:val="center"/>
          </w:tcPr>
          <w:p w:rsidR="00C223F5" w:rsidRPr="00927E76" w:rsidRDefault="005860D5">
            <w:pPr>
              <w:jc w:val="center"/>
              <w:rPr>
                <w:sz w:val="18"/>
                <w:szCs w:val="18"/>
              </w:rPr>
            </w:pPr>
            <w:r w:rsidRPr="00927E76">
              <w:rPr>
                <w:rFonts w:hint="eastAsia"/>
                <w:sz w:val="18"/>
                <w:szCs w:val="18"/>
              </w:rPr>
              <w:t>排放</w:t>
            </w:r>
          </w:p>
          <w:p w:rsidR="00C223F5" w:rsidRPr="00927E76" w:rsidRDefault="005860D5">
            <w:pPr>
              <w:jc w:val="center"/>
              <w:rPr>
                <w:sz w:val="18"/>
                <w:szCs w:val="18"/>
              </w:rPr>
            </w:pPr>
            <w:r w:rsidRPr="00927E76">
              <w:rPr>
                <w:rFonts w:hint="eastAsia"/>
                <w:sz w:val="18"/>
                <w:szCs w:val="18"/>
              </w:rPr>
              <w:t>规律</w:t>
            </w:r>
          </w:p>
        </w:tc>
        <w:tc>
          <w:tcPr>
            <w:tcW w:w="2795" w:type="dxa"/>
            <w:gridSpan w:val="3"/>
            <w:vAlign w:val="center"/>
          </w:tcPr>
          <w:p w:rsidR="00C223F5" w:rsidRPr="00927E76" w:rsidRDefault="005860D5">
            <w:pPr>
              <w:jc w:val="center"/>
              <w:rPr>
                <w:sz w:val="18"/>
                <w:szCs w:val="18"/>
              </w:rPr>
            </w:pPr>
            <w:r w:rsidRPr="00927E76">
              <w:rPr>
                <w:rFonts w:hint="eastAsia"/>
                <w:sz w:val="18"/>
                <w:szCs w:val="18"/>
              </w:rPr>
              <w:t>污染治理设施</w:t>
            </w:r>
          </w:p>
        </w:tc>
        <w:tc>
          <w:tcPr>
            <w:tcW w:w="880" w:type="dxa"/>
            <w:vMerge w:val="restart"/>
            <w:vAlign w:val="center"/>
          </w:tcPr>
          <w:p w:rsidR="00C223F5" w:rsidRPr="00927E76" w:rsidRDefault="005860D5">
            <w:pPr>
              <w:jc w:val="center"/>
              <w:rPr>
                <w:sz w:val="18"/>
                <w:szCs w:val="18"/>
              </w:rPr>
            </w:pPr>
            <w:r w:rsidRPr="00927E76">
              <w:rPr>
                <w:rFonts w:hint="eastAsia"/>
                <w:sz w:val="18"/>
                <w:szCs w:val="18"/>
              </w:rPr>
              <w:t>排放口</w:t>
            </w:r>
          </w:p>
          <w:p w:rsidR="00C223F5" w:rsidRPr="00927E76" w:rsidRDefault="005860D5">
            <w:pPr>
              <w:jc w:val="center"/>
              <w:rPr>
                <w:sz w:val="18"/>
                <w:szCs w:val="18"/>
              </w:rPr>
            </w:pPr>
            <w:r w:rsidRPr="00927E76">
              <w:rPr>
                <w:rFonts w:hint="eastAsia"/>
                <w:sz w:val="18"/>
                <w:szCs w:val="18"/>
              </w:rPr>
              <w:t>编号</w:t>
            </w:r>
          </w:p>
        </w:tc>
        <w:tc>
          <w:tcPr>
            <w:tcW w:w="1126" w:type="dxa"/>
            <w:vMerge w:val="restart"/>
            <w:vAlign w:val="center"/>
          </w:tcPr>
          <w:p w:rsidR="00C223F5" w:rsidRPr="00927E76" w:rsidRDefault="005860D5">
            <w:pPr>
              <w:jc w:val="center"/>
              <w:rPr>
                <w:sz w:val="18"/>
                <w:szCs w:val="18"/>
              </w:rPr>
            </w:pPr>
            <w:r w:rsidRPr="00927E76">
              <w:rPr>
                <w:rFonts w:hint="eastAsia"/>
                <w:sz w:val="18"/>
                <w:szCs w:val="18"/>
              </w:rPr>
              <w:t>排放口设置</w:t>
            </w:r>
          </w:p>
          <w:p w:rsidR="00C223F5" w:rsidRPr="00927E76" w:rsidRDefault="005860D5">
            <w:pPr>
              <w:jc w:val="center"/>
              <w:rPr>
                <w:sz w:val="18"/>
                <w:szCs w:val="18"/>
              </w:rPr>
            </w:pPr>
            <w:r w:rsidRPr="00927E76">
              <w:rPr>
                <w:rFonts w:hint="eastAsia"/>
                <w:sz w:val="18"/>
                <w:szCs w:val="18"/>
              </w:rPr>
              <w:t>是否符合要求</w:t>
            </w:r>
          </w:p>
        </w:tc>
        <w:tc>
          <w:tcPr>
            <w:tcW w:w="1608" w:type="dxa"/>
            <w:vMerge w:val="restart"/>
            <w:vAlign w:val="center"/>
          </w:tcPr>
          <w:p w:rsidR="00C223F5" w:rsidRPr="00927E76" w:rsidRDefault="005860D5">
            <w:pPr>
              <w:jc w:val="center"/>
              <w:rPr>
                <w:sz w:val="18"/>
                <w:szCs w:val="18"/>
              </w:rPr>
            </w:pPr>
            <w:r w:rsidRPr="00927E76">
              <w:rPr>
                <w:rFonts w:hint="eastAsia"/>
                <w:sz w:val="18"/>
                <w:szCs w:val="18"/>
              </w:rPr>
              <w:t>排放口类型</w:t>
            </w:r>
          </w:p>
        </w:tc>
      </w:tr>
      <w:tr w:rsidR="00C223F5" w:rsidRPr="00927E76">
        <w:trPr>
          <w:jc w:val="center"/>
        </w:trPr>
        <w:tc>
          <w:tcPr>
            <w:tcW w:w="260" w:type="dxa"/>
            <w:vMerge/>
            <w:vAlign w:val="center"/>
          </w:tcPr>
          <w:p w:rsidR="00C223F5" w:rsidRPr="00927E76" w:rsidRDefault="00C223F5">
            <w:pPr>
              <w:jc w:val="center"/>
              <w:rPr>
                <w:sz w:val="18"/>
                <w:szCs w:val="18"/>
              </w:rPr>
            </w:pPr>
          </w:p>
        </w:tc>
        <w:tc>
          <w:tcPr>
            <w:tcW w:w="574" w:type="dxa"/>
            <w:vMerge/>
            <w:vAlign w:val="center"/>
          </w:tcPr>
          <w:p w:rsidR="00C223F5" w:rsidRPr="00927E76" w:rsidRDefault="00C223F5">
            <w:pPr>
              <w:jc w:val="center"/>
              <w:rPr>
                <w:sz w:val="18"/>
                <w:szCs w:val="18"/>
              </w:rPr>
            </w:pPr>
          </w:p>
        </w:tc>
        <w:tc>
          <w:tcPr>
            <w:tcW w:w="675" w:type="dxa"/>
            <w:vMerge/>
            <w:vAlign w:val="center"/>
          </w:tcPr>
          <w:p w:rsidR="00C223F5" w:rsidRPr="00927E76" w:rsidRDefault="00C223F5">
            <w:pPr>
              <w:jc w:val="center"/>
              <w:rPr>
                <w:sz w:val="18"/>
                <w:szCs w:val="18"/>
              </w:rPr>
            </w:pPr>
          </w:p>
        </w:tc>
        <w:tc>
          <w:tcPr>
            <w:tcW w:w="723" w:type="dxa"/>
            <w:vMerge/>
            <w:vAlign w:val="center"/>
          </w:tcPr>
          <w:p w:rsidR="00C223F5" w:rsidRPr="00927E76" w:rsidRDefault="00C223F5">
            <w:pPr>
              <w:jc w:val="center"/>
              <w:rPr>
                <w:sz w:val="18"/>
                <w:szCs w:val="18"/>
              </w:rPr>
            </w:pPr>
          </w:p>
        </w:tc>
        <w:tc>
          <w:tcPr>
            <w:tcW w:w="459" w:type="dxa"/>
            <w:vMerge/>
            <w:vAlign w:val="center"/>
          </w:tcPr>
          <w:p w:rsidR="00C223F5" w:rsidRPr="00927E76" w:rsidRDefault="00C223F5">
            <w:pPr>
              <w:jc w:val="center"/>
              <w:rPr>
                <w:sz w:val="18"/>
                <w:szCs w:val="18"/>
              </w:rPr>
            </w:pPr>
          </w:p>
        </w:tc>
        <w:tc>
          <w:tcPr>
            <w:tcW w:w="886" w:type="dxa"/>
            <w:vAlign w:val="center"/>
          </w:tcPr>
          <w:p w:rsidR="00C223F5" w:rsidRPr="00927E76" w:rsidRDefault="005860D5">
            <w:pPr>
              <w:jc w:val="center"/>
              <w:rPr>
                <w:sz w:val="18"/>
                <w:szCs w:val="18"/>
              </w:rPr>
            </w:pPr>
            <w:r w:rsidRPr="00927E76">
              <w:rPr>
                <w:rFonts w:hint="eastAsia"/>
                <w:sz w:val="18"/>
                <w:szCs w:val="18"/>
              </w:rPr>
              <w:t>污染治理</w:t>
            </w:r>
          </w:p>
          <w:p w:rsidR="00C223F5" w:rsidRPr="00927E76" w:rsidRDefault="005860D5">
            <w:pPr>
              <w:jc w:val="center"/>
              <w:rPr>
                <w:sz w:val="18"/>
                <w:szCs w:val="18"/>
              </w:rPr>
            </w:pPr>
            <w:r w:rsidRPr="00927E76">
              <w:rPr>
                <w:rFonts w:hint="eastAsia"/>
                <w:sz w:val="18"/>
                <w:szCs w:val="18"/>
              </w:rPr>
              <w:t>设施编号</w:t>
            </w:r>
          </w:p>
        </w:tc>
        <w:tc>
          <w:tcPr>
            <w:tcW w:w="937" w:type="dxa"/>
            <w:vAlign w:val="center"/>
          </w:tcPr>
          <w:p w:rsidR="00C223F5" w:rsidRPr="00927E76" w:rsidRDefault="005860D5">
            <w:pPr>
              <w:jc w:val="center"/>
              <w:rPr>
                <w:sz w:val="18"/>
                <w:szCs w:val="18"/>
              </w:rPr>
            </w:pPr>
            <w:r w:rsidRPr="00927E76">
              <w:rPr>
                <w:rFonts w:hint="eastAsia"/>
                <w:sz w:val="18"/>
                <w:szCs w:val="18"/>
              </w:rPr>
              <w:t>污染治理</w:t>
            </w:r>
          </w:p>
          <w:p w:rsidR="00C223F5" w:rsidRPr="00927E76" w:rsidRDefault="005860D5">
            <w:pPr>
              <w:jc w:val="center"/>
              <w:rPr>
                <w:sz w:val="18"/>
                <w:szCs w:val="18"/>
              </w:rPr>
            </w:pPr>
            <w:r w:rsidRPr="00927E76">
              <w:rPr>
                <w:rFonts w:hint="eastAsia"/>
                <w:sz w:val="18"/>
                <w:szCs w:val="18"/>
              </w:rPr>
              <w:t>设施名称</w:t>
            </w:r>
          </w:p>
        </w:tc>
        <w:tc>
          <w:tcPr>
            <w:tcW w:w="972" w:type="dxa"/>
            <w:vAlign w:val="center"/>
          </w:tcPr>
          <w:p w:rsidR="00C223F5" w:rsidRPr="00927E76" w:rsidRDefault="005860D5">
            <w:pPr>
              <w:jc w:val="center"/>
              <w:rPr>
                <w:sz w:val="18"/>
                <w:szCs w:val="18"/>
              </w:rPr>
            </w:pPr>
            <w:r w:rsidRPr="00927E76">
              <w:rPr>
                <w:rFonts w:hint="eastAsia"/>
                <w:sz w:val="18"/>
                <w:szCs w:val="18"/>
              </w:rPr>
              <w:t>污染治理</w:t>
            </w:r>
          </w:p>
          <w:p w:rsidR="00C223F5" w:rsidRPr="00927E76" w:rsidRDefault="005860D5">
            <w:pPr>
              <w:jc w:val="center"/>
              <w:rPr>
                <w:sz w:val="18"/>
                <w:szCs w:val="18"/>
              </w:rPr>
            </w:pPr>
            <w:r w:rsidRPr="00927E76">
              <w:rPr>
                <w:rFonts w:hint="eastAsia"/>
                <w:sz w:val="18"/>
                <w:szCs w:val="18"/>
              </w:rPr>
              <w:t>设施工艺</w:t>
            </w:r>
          </w:p>
        </w:tc>
        <w:tc>
          <w:tcPr>
            <w:tcW w:w="880" w:type="dxa"/>
            <w:vMerge/>
            <w:vAlign w:val="center"/>
          </w:tcPr>
          <w:p w:rsidR="00C223F5" w:rsidRPr="00927E76" w:rsidRDefault="00C223F5">
            <w:pPr>
              <w:jc w:val="center"/>
              <w:rPr>
                <w:sz w:val="18"/>
                <w:szCs w:val="18"/>
              </w:rPr>
            </w:pPr>
          </w:p>
        </w:tc>
        <w:tc>
          <w:tcPr>
            <w:tcW w:w="1126" w:type="dxa"/>
            <w:vMerge/>
            <w:vAlign w:val="center"/>
          </w:tcPr>
          <w:p w:rsidR="00C223F5" w:rsidRPr="00927E76" w:rsidRDefault="00C223F5">
            <w:pPr>
              <w:jc w:val="center"/>
              <w:rPr>
                <w:sz w:val="18"/>
                <w:szCs w:val="18"/>
              </w:rPr>
            </w:pPr>
          </w:p>
        </w:tc>
        <w:tc>
          <w:tcPr>
            <w:tcW w:w="1608" w:type="dxa"/>
            <w:vMerge/>
            <w:vAlign w:val="center"/>
          </w:tcPr>
          <w:p w:rsidR="00C223F5" w:rsidRPr="00927E76" w:rsidRDefault="00C223F5">
            <w:pPr>
              <w:jc w:val="center"/>
              <w:rPr>
                <w:sz w:val="18"/>
                <w:szCs w:val="18"/>
              </w:rPr>
            </w:pPr>
          </w:p>
        </w:tc>
      </w:tr>
      <w:tr w:rsidR="00C223F5" w:rsidRPr="00927E76">
        <w:trPr>
          <w:trHeight w:val="363"/>
          <w:jc w:val="center"/>
        </w:trPr>
        <w:tc>
          <w:tcPr>
            <w:tcW w:w="260" w:type="dxa"/>
            <w:vMerge w:val="restart"/>
            <w:vAlign w:val="center"/>
          </w:tcPr>
          <w:p w:rsidR="00C223F5" w:rsidRPr="00927E76" w:rsidRDefault="005860D5">
            <w:pPr>
              <w:jc w:val="center"/>
              <w:rPr>
                <w:sz w:val="18"/>
                <w:szCs w:val="18"/>
              </w:rPr>
            </w:pPr>
            <w:r w:rsidRPr="00927E76">
              <w:rPr>
                <w:rFonts w:hint="eastAsia"/>
                <w:sz w:val="18"/>
                <w:szCs w:val="18"/>
              </w:rPr>
              <w:t>1</w:t>
            </w:r>
          </w:p>
        </w:tc>
        <w:tc>
          <w:tcPr>
            <w:tcW w:w="574" w:type="dxa"/>
            <w:vMerge w:val="restart"/>
            <w:vAlign w:val="center"/>
          </w:tcPr>
          <w:p w:rsidR="00C223F5" w:rsidRPr="00927E76" w:rsidRDefault="005860D5">
            <w:pPr>
              <w:jc w:val="center"/>
              <w:rPr>
                <w:sz w:val="18"/>
                <w:szCs w:val="18"/>
              </w:rPr>
            </w:pPr>
            <w:r w:rsidRPr="00927E76">
              <w:rPr>
                <w:rFonts w:hint="eastAsia"/>
                <w:sz w:val="18"/>
                <w:szCs w:val="18"/>
              </w:rPr>
              <w:t>矿井</w:t>
            </w:r>
          </w:p>
          <w:p w:rsidR="00C223F5" w:rsidRPr="00927E76" w:rsidRDefault="005860D5">
            <w:pPr>
              <w:jc w:val="center"/>
              <w:rPr>
                <w:sz w:val="18"/>
                <w:szCs w:val="18"/>
              </w:rPr>
            </w:pPr>
            <w:r w:rsidRPr="00927E76">
              <w:rPr>
                <w:rFonts w:hint="eastAsia"/>
                <w:sz w:val="18"/>
                <w:szCs w:val="18"/>
              </w:rPr>
              <w:t>涌水</w:t>
            </w:r>
          </w:p>
        </w:tc>
        <w:tc>
          <w:tcPr>
            <w:tcW w:w="675" w:type="dxa"/>
            <w:vAlign w:val="center"/>
          </w:tcPr>
          <w:p w:rsidR="00C223F5" w:rsidRPr="00927E76" w:rsidRDefault="005860D5">
            <w:pPr>
              <w:jc w:val="center"/>
              <w:rPr>
                <w:sz w:val="18"/>
                <w:szCs w:val="18"/>
              </w:rPr>
            </w:pPr>
            <w:r w:rsidRPr="00927E76">
              <w:rPr>
                <w:rFonts w:hint="eastAsia"/>
                <w:sz w:val="18"/>
                <w:szCs w:val="18"/>
              </w:rPr>
              <w:t>COD</w:t>
            </w:r>
          </w:p>
        </w:tc>
        <w:tc>
          <w:tcPr>
            <w:tcW w:w="723" w:type="dxa"/>
            <w:vMerge w:val="restart"/>
            <w:vAlign w:val="center"/>
          </w:tcPr>
          <w:p w:rsidR="00C223F5" w:rsidRPr="00927E76" w:rsidRDefault="005860D5">
            <w:pPr>
              <w:jc w:val="center"/>
              <w:rPr>
                <w:sz w:val="18"/>
                <w:szCs w:val="18"/>
              </w:rPr>
            </w:pPr>
            <w:r w:rsidRPr="00927E76">
              <w:rPr>
                <w:rFonts w:hint="eastAsia"/>
                <w:sz w:val="18"/>
                <w:szCs w:val="18"/>
              </w:rPr>
              <w:t>排至</w:t>
            </w:r>
          </w:p>
          <w:p w:rsidR="00C223F5" w:rsidRPr="00927E76" w:rsidRDefault="005860D5">
            <w:pPr>
              <w:jc w:val="center"/>
              <w:rPr>
                <w:sz w:val="18"/>
                <w:szCs w:val="18"/>
              </w:rPr>
            </w:pPr>
            <w:r w:rsidRPr="00927E76">
              <w:rPr>
                <w:rFonts w:hint="eastAsia"/>
                <w:sz w:val="18"/>
                <w:szCs w:val="18"/>
              </w:rPr>
              <w:t>蚂蚁河</w:t>
            </w:r>
          </w:p>
        </w:tc>
        <w:tc>
          <w:tcPr>
            <w:tcW w:w="459" w:type="dxa"/>
            <w:vMerge w:val="restart"/>
            <w:vAlign w:val="center"/>
          </w:tcPr>
          <w:p w:rsidR="00C223F5" w:rsidRPr="00927E76" w:rsidRDefault="005860D5">
            <w:pPr>
              <w:jc w:val="center"/>
              <w:rPr>
                <w:sz w:val="18"/>
                <w:szCs w:val="18"/>
              </w:rPr>
            </w:pPr>
            <w:r w:rsidRPr="00927E76">
              <w:rPr>
                <w:rFonts w:hint="eastAsia"/>
                <w:sz w:val="18"/>
                <w:szCs w:val="18"/>
              </w:rPr>
              <w:t>连续</w:t>
            </w:r>
          </w:p>
          <w:p w:rsidR="00C223F5" w:rsidRPr="00927E76" w:rsidRDefault="005860D5">
            <w:pPr>
              <w:jc w:val="center"/>
              <w:rPr>
                <w:sz w:val="18"/>
                <w:szCs w:val="18"/>
              </w:rPr>
            </w:pPr>
            <w:r w:rsidRPr="00927E76">
              <w:rPr>
                <w:rFonts w:hint="eastAsia"/>
                <w:sz w:val="18"/>
                <w:szCs w:val="18"/>
              </w:rPr>
              <w:t>排放</w:t>
            </w:r>
          </w:p>
        </w:tc>
        <w:tc>
          <w:tcPr>
            <w:tcW w:w="886" w:type="dxa"/>
            <w:vMerge w:val="restart"/>
            <w:vAlign w:val="center"/>
          </w:tcPr>
          <w:p w:rsidR="00C223F5" w:rsidRPr="00927E76" w:rsidRDefault="005860D5">
            <w:pPr>
              <w:jc w:val="center"/>
              <w:rPr>
                <w:sz w:val="18"/>
                <w:szCs w:val="18"/>
              </w:rPr>
            </w:pPr>
            <w:r w:rsidRPr="00927E76">
              <w:rPr>
                <w:rFonts w:hint="eastAsia"/>
                <w:sz w:val="18"/>
                <w:szCs w:val="18"/>
              </w:rPr>
              <w:t>TW001</w:t>
            </w:r>
          </w:p>
        </w:tc>
        <w:tc>
          <w:tcPr>
            <w:tcW w:w="937" w:type="dxa"/>
            <w:vMerge w:val="restart"/>
            <w:vAlign w:val="center"/>
          </w:tcPr>
          <w:p w:rsidR="00C223F5" w:rsidRPr="00927E76" w:rsidRDefault="005860D5">
            <w:pPr>
              <w:jc w:val="center"/>
              <w:rPr>
                <w:sz w:val="18"/>
                <w:szCs w:val="18"/>
              </w:rPr>
            </w:pPr>
            <w:r w:rsidRPr="00927E76">
              <w:rPr>
                <w:rFonts w:hint="eastAsia"/>
                <w:sz w:val="18"/>
                <w:szCs w:val="18"/>
              </w:rPr>
              <w:t>矿井水</w:t>
            </w:r>
          </w:p>
          <w:p w:rsidR="00C223F5" w:rsidRPr="00927E76" w:rsidRDefault="005860D5">
            <w:pPr>
              <w:jc w:val="center"/>
              <w:rPr>
                <w:sz w:val="18"/>
                <w:szCs w:val="18"/>
              </w:rPr>
            </w:pPr>
            <w:r w:rsidRPr="00927E76">
              <w:rPr>
                <w:rFonts w:hint="eastAsia"/>
                <w:sz w:val="18"/>
                <w:szCs w:val="18"/>
              </w:rPr>
              <w:t>处理站</w:t>
            </w:r>
          </w:p>
        </w:tc>
        <w:tc>
          <w:tcPr>
            <w:tcW w:w="972" w:type="dxa"/>
            <w:vMerge w:val="restart"/>
            <w:vAlign w:val="center"/>
          </w:tcPr>
          <w:p w:rsidR="00C223F5" w:rsidRPr="00927E76" w:rsidRDefault="005860D5">
            <w:pPr>
              <w:jc w:val="center"/>
              <w:rPr>
                <w:sz w:val="18"/>
                <w:szCs w:val="18"/>
              </w:rPr>
            </w:pPr>
            <w:r w:rsidRPr="00927E76">
              <w:rPr>
                <w:rFonts w:hint="eastAsia"/>
                <w:sz w:val="18"/>
                <w:szCs w:val="18"/>
              </w:rPr>
              <w:t>混凝、沉淀、气浮、过滤消毒</w:t>
            </w:r>
          </w:p>
        </w:tc>
        <w:tc>
          <w:tcPr>
            <w:tcW w:w="880" w:type="dxa"/>
            <w:vMerge w:val="restart"/>
            <w:vAlign w:val="center"/>
          </w:tcPr>
          <w:p w:rsidR="00C223F5" w:rsidRPr="00927E76" w:rsidRDefault="005860D5">
            <w:pPr>
              <w:jc w:val="center"/>
              <w:rPr>
                <w:sz w:val="18"/>
                <w:szCs w:val="18"/>
              </w:rPr>
            </w:pPr>
            <w:r w:rsidRPr="00927E76">
              <w:rPr>
                <w:rFonts w:hint="eastAsia"/>
                <w:sz w:val="18"/>
                <w:szCs w:val="18"/>
              </w:rPr>
              <w:t>DW001</w:t>
            </w:r>
          </w:p>
          <w:p w:rsidR="00C223F5" w:rsidRPr="00927E76" w:rsidRDefault="005860D5">
            <w:pPr>
              <w:jc w:val="center"/>
              <w:rPr>
                <w:sz w:val="18"/>
                <w:szCs w:val="18"/>
              </w:rPr>
            </w:pPr>
            <w:r w:rsidRPr="00927E76">
              <w:rPr>
                <w:rFonts w:hint="eastAsia"/>
                <w:sz w:val="18"/>
                <w:szCs w:val="18"/>
              </w:rPr>
              <w:t>横政水函</w:t>
            </w:r>
            <w:r w:rsidRPr="00927E76">
              <w:rPr>
                <w:rFonts w:hint="eastAsia"/>
                <w:sz w:val="18"/>
                <w:szCs w:val="18"/>
              </w:rPr>
              <w:t>[2018]104</w:t>
            </w:r>
            <w:r w:rsidRPr="00927E76">
              <w:rPr>
                <w:rFonts w:hint="eastAsia"/>
                <w:sz w:val="18"/>
                <w:szCs w:val="18"/>
              </w:rPr>
              <w:t>号</w:t>
            </w:r>
          </w:p>
        </w:tc>
        <w:tc>
          <w:tcPr>
            <w:tcW w:w="1126" w:type="dxa"/>
            <w:vMerge w:val="restart"/>
            <w:vAlign w:val="center"/>
          </w:tcPr>
          <w:p w:rsidR="00C223F5" w:rsidRPr="00927E76" w:rsidRDefault="005860D5">
            <w:pPr>
              <w:jc w:val="center"/>
            </w:pPr>
            <w:r w:rsidRPr="00927E76">
              <w:sym w:font="Wingdings 2" w:char="0052"/>
            </w:r>
            <w:r w:rsidRPr="00927E76">
              <w:rPr>
                <w:rFonts w:hint="eastAsia"/>
              </w:rPr>
              <w:t>是</w:t>
            </w:r>
          </w:p>
          <w:p w:rsidR="00C223F5" w:rsidRPr="00927E76" w:rsidRDefault="005860D5">
            <w:pPr>
              <w:jc w:val="center"/>
              <w:rPr>
                <w:sz w:val="18"/>
                <w:szCs w:val="18"/>
              </w:rPr>
            </w:pPr>
            <w:r w:rsidRPr="00927E76">
              <w:t>□</w:t>
            </w:r>
            <w:r w:rsidRPr="00927E76">
              <w:rPr>
                <w:rFonts w:hint="eastAsia"/>
              </w:rPr>
              <w:t xml:space="preserve"> </w:t>
            </w:r>
            <w:r w:rsidRPr="00927E76">
              <w:rPr>
                <w:rFonts w:hint="eastAsia"/>
              </w:rPr>
              <w:t>否</w:t>
            </w:r>
          </w:p>
        </w:tc>
        <w:tc>
          <w:tcPr>
            <w:tcW w:w="1608" w:type="dxa"/>
            <w:vMerge w:val="restart"/>
            <w:vAlign w:val="center"/>
          </w:tcPr>
          <w:p w:rsidR="00C223F5" w:rsidRPr="00927E76" w:rsidRDefault="005860D5">
            <w:pPr>
              <w:rPr>
                <w:sz w:val="18"/>
                <w:szCs w:val="18"/>
              </w:rPr>
            </w:pPr>
            <w:r w:rsidRPr="00927E76">
              <w:sym w:font="Wingdings 2" w:char="0052"/>
            </w:r>
            <w:r w:rsidRPr="00927E76">
              <w:rPr>
                <w:rFonts w:hint="eastAsia"/>
                <w:sz w:val="18"/>
                <w:szCs w:val="18"/>
              </w:rPr>
              <w:t>企业总排</w:t>
            </w:r>
          </w:p>
          <w:p w:rsidR="00C223F5" w:rsidRPr="00927E76" w:rsidRDefault="005860D5">
            <w:pPr>
              <w:rPr>
                <w:sz w:val="18"/>
                <w:szCs w:val="18"/>
              </w:rPr>
            </w:pPr>
            <w:r w:rsidRPr="00927E76">
              <w:t>□</w:t>
            </w:r>
            <w:r w:rsidRPr="00927E76">
              <w:rPr>
                <w:rFonts w:hint="eastAsia"/>
                <w:sz w:val="18"/>
                <w:szCs w:val="18"/>
              </w:rPr>
              <w:t>雨水排放</w:t>
            </w:r>
          </w:p>
          <w:p w:rsidR="00C223F5" w:rsidRPr="00927E76" w:rsidRDefault="005860D5">
            <w:pPr>
              <w:rPr>
                <w:sz w:val="18"/>
                <w:szCs w:val="18"/>
              </w:rPr>
            </w:pPr>
            <w:r w:rsidRPr="00927E76">
              <w:t>□</w:t>
            </w:r>
            <w:r w:rsidRPr="00927E76">
              <w:rPr>
                <w:rFonts w:hint="eastAsia"/>
                <w:sz w:val="18"/>
                <w:szCs w:val="18"/>
              </w:rPr>
              <w:t>清净下水排放</w:t>
            </w:r>
          </w:p>
          <w:p w:rsidR="00C223F5" w:rsidRPr="00927E76" w:rsidRDefault="005860D5">
            <w:pPr>
              <w:rPr>
                <w:sz w:val="18"/>
                <w:szCs w:val="18"/>
              </w:rPr>
            </w:pPr>
            <w:r w:rsidRPr="00927E76">
              <w:t>□</w:t>
            </w:r>
            <w:r w:rsidRPr="00927E76">
              <w:rPr>
                <w:rFonts w:hint="eastAsia"/>
                <w:sz w:val="18"/>
                <w:szCs w:val="18"/>
              </w:rPr>
              <w:t>温排水排放</w:t>
            </w:r>
          </w:p>
          <w:p w:rsidR="00C223F5" w:rsidRPr="00927E76" w:rsidRDefault="005860D5">
            <w:pPr>
              <w:rPr>
                <w:sz w:val="18"/>
                <w:szCs w:val="18"/>
              </w:rPr>
            </w:pPr>
            <w:r w:rsidRPr="00927E76">
              <w:t>□</w:t>
            </w:r>
            <w:r w:rsidRPr="00927E76">
              <w:rPr>
                <w:rFonts w:hint="eastAsia"/>
                <w:sz w:val="18"/>
                <w:szCs w:val="18"/>
              </w:rPr>
              <w:t>车间或车间处理设施排放</w:t>
            </w:r>
          </w:p>
        </w:tc>
      </w:tr>
      <w:tr w:rsidR="00C223F5" w:rsidRPr="00927E76">
        <w:trPr>
          <w:jc w:val="center"/>
        </w:trPr>
        <w:tc>
          <w:tcPr>
            <w:tcW w:w="260" w:type="dxa"/>
            <w:vMerge/>
            <w:vAlign w:val="center"/>
          </w:tcPr>
          <w:p w:rsidR="00C223F5" w:rsidRPr="00927E76" w:rsidRDefault="00C223F5">
            <w:pPr>
              <w:jc w:val="center"/>
              <w:rPr>
                <w:sz w:val="18"/>
                <w:szCs w:val="18"/>
              </w:rPr>
            </w:pPr>
          </w:p>
        </w:tc>
        <w:tc>
          <w:tcPr>
            <w:tcW w:w="574" w:type="dxa"/>
            <w:vMerge/>
            <w:vAlign w:val="center"/>
          </w:tcPr>
          <w:p w:rsidR="00C223F5" w:rsidRPr="00927E76" w:rsidRDefault="00C223F5">
            <w:pPr>
              <w:jc w:val="center"/>
              <w:rPr>
                <w:sz w:val="18"/>
                <w:szCs w:val="18"/>
              </w:rPr>
            </w:pPr>
          </w:p>
        </w:tc>
        <w:tc>
          <w:tcPr>
            <w:tcW w:w="675" w:type="dxa"/>
            <w:vAlign w:val="center"/>
          </w:tcPr>
          <w:p w:rsidR="00C223F5" w:rsidRPr="00927E76" w:rsidRDefault="005860D5">
            <w:pPr>
              <w:jc w:val="center"/>
              <w:rPr>
                <w:sz w:val="18"/>
                <w:szCs w:val="18"/>
              </w:rPr>
            </w:pPr>
            <w:r w:rsidRPr="00927E76">
              <w:rPr>
                <w:rFonts w:hint="eastAsia"/>
                <w:sz w:val="18"/>
                <w:szCs w:val="18"/>
              </w:rPr>
              <w:t>NH</w:t>
            </w:r>
            <w:r w:rsidRPr="00927E76">
              <w:rPr>
                <w:rFonts w:hint="eastAsia"/>
                <w:sz w:val="18"/>
                <w:szCs w:val="18"/>
                <w:vertAlign w:val="subscript"/>
              </w:rPr>
              <w:t>3</w:t>
            </w:r>
          </w:p>
        </w:tc>
        <w:tc>
          <w:tcPr>
            <w:tcW w:w="723" w:type="dxa"/>
            <w:vMerge/>
            <w:vAlign w:val="center"/>
          </w:tcPr>
          <w:p w:rsidR="00C223F5" w:rsidRPr="00927E76" w:rsidRDefault="00C223F5">
            <w:pPr>
              <w:jc w:val="center"/>
              <w:rPr>
                <w:sz w:val="18"/>
                <w:szCs w:val="18"/>
              </w:rPr>
            </w:pPr>
          </w:p>
        </w:tc>
        <w:tc>
          <w:tcPr>
            <w:tcW w:w="459" w:type="dxa"/>
            <w:vMerge/>
            <w:vAlign w:val="center"/>
          </w:tcPr>
          <w:p w:rsidR="00C223F5" w:rsidRPr="00927E76" w:rsidRDefault="00C223F5">
            <w:pPr>
              <w:jc w:val="center"/>
              <w:rPr>
                <w:sz w:val="18"/>
                <w:szCs w:val="18"/>
              </w:rPr>
            </w:pPr>
          </w:p>
        </w:tc>
        <w:tc>
          <w:tcPr>
            <w:tcW w:w="886" w:type="dxa"/>
            <w:vMerge/>
            <w:vAlign w:val="center"/>
          </w:tcPr>
          <w:p w:rsidR="00C223F5" w:rsidRPr="00927E76" w:rsidRDefault="00C223F5">
            <w:pPr>
              <w:jc w:val="center"/>
              <w:rPr>
                <w:sz w:val="18"/>
                <w:szCs w:val="18"/>
              </w:rPr>
            </w:pPr>
          </w:p>
        </w:tc>
        <w:tc>
          <w:tcPr>
            <w:tcW w:w="937" w:type="dxa"/>
            <w:vMerge/>
            <w:vAlign w:val="center"/>
          </w:tcPr>
          <w:p w:rsidR="00C223F5" w:rsidRPr="00927E76" w:rsidRDefault="00C223F5">
            <w:pPr>
              <w:jc w:val="center"/>
              <w:rPr>
                <w:sz w:val="18"/>
                <w:szCs w:val="18"/>
              </w:rPr>
            </w:pPr>
          </w:p>
        </w:tc>
        <w:tc>
          <w:tcPr>
            <w:tcW w:w="972" w:type="dxa"/>
            <w:vMerge/>
            <w:vAlign w:val="center"/>
          </w:tcPr>
          <w:p w:rsidR="00C223F5" w:rsidRPr="00927E76" w:rsidRDefault="00C223F5">
            <w:pPr>
              <w:jc w:val="center"/>
              <w:rPr>
                <w:sz w:val="18"/>
                <w:szCs w:val="18"/>
              </w:rPr>
            </w:pPr>
          </w:p>
        </w:tc>
        <w:tc>
          <w:tcPr>
            <w:tcW w:w="880" w:type="dxa"/>
            <w:vMerge/>
            <w:vAlign w:val="center"/>
          </w:tcPr>
          <w:p w:rsidR="00C223F5" w:rsidRPr="00927E76" w:rsidRDefault="00C223F5">
            <w:pPr>
              <w:jc w:val="center"/>
              <w:rPr>
                <w:sz w:val="18"/>
                <w:szCs w:val="18"/>
              </w:rPr>
            </w:pPr>
          </w:p>
        </w:tc>
        <w:tc>
          <w:tcPr>
            <w:tcW w:w="1126" w:type="dxa"/>
            <w:vMerge/>
            <w:vAlign w:val="center"/>
          </w:tcPr>
          <w:p w:rsidR="00C223F5" w:rsidRPr="00927E76" w:rsidRDefault="00C223F5">
            <w:pPr>
              <w:jc w:val="center"/>
              <w:rPr>
                <w:sz w:val="18"/>
                <w:szCs w:val="18"/>
              </w:rPr>
            </w:pPr>
          </w:p>
        </w:tc>
        <w:tc>
          <w:tcPr>
            <w:tcW w:w="1608" w:type="dxa"/>
            <w:vMerge/>
            <w:vAlign w:val="center"/>
          </w:tcPr>
          <w:p w:rsidR="00C223F5" w:rsidRPr="00927E76" w:rsidRDefault="00C223F5">
            <w:pPr>
              <w:jc w:val="center"/>
              <w:rPr>
                <w:sz w:val="18"/>
                <w:szCs w:val="18"/>
              </w:rPr>
            </w:pPr>
          </w:p>
        </w:tc>
      </w:tr>
      <w:tr w:rsidR="00C223F5" w:rsidRPr="00927E76">
        <w:trPr>
          <w:trHeight w:val="345"/>
          <w:jc w:val="center"/>
        </w:trPr>
        <w:tc>
          <w:tcPr>
            <w:tcW w:w="260" w:type="dxa"/>
            <w:vMerge w:val="restart"/>
            <w:vAlign w:val="center"/>
          </w:tcPr>
          <w:p w:rsidR="00C223F5" w:rsidRPr="00927E76" w:rsidRDefault="005860D5">
            <w:pPr>
              <w:jc w:val="center"/>
              <w:rPr>
                <w:sz w:val="18"/>
                <w:szCs w:val="18"/>
              </w:rPr>
            </w:pPr>
            <w:r w:rsidRPr="00927E76">
              <w:rPr>
                <w:rFonts w:hint="eastAsia"/>
                <w:sz w:val="18"/>
                <w:szCs w:val="18"/>
              </w:rPr>
              <w:t>2</w:t>
            </w:r>
          </w:p>
        </w:tc>
        <w:tc>
          <w:tcPr>
            <w:tcW w:w="574" w:type="dxa"/>
            <w:vMerge w:val="restart"/>
            <w:vAlign w:val="center"/>
          </w:tcPr>
          <w:p w:rsidR="00C223F5" w:rsidRPr="00927E76" w:rsidRDefault="005860D5">
            <w:pPr>
              <w:jc w:val="center"/>
              <w:rPr>
                <w:sz w:val="18"/>
                <w:szCs w:val="18"/>
              </w:rPr>
            </w:pPr>
            <w:r w:rsidRPr="00927E76">
              <w:rPr>
                <w:rFonts w:hint="eastAsia"/>
                <w:sz w:val="18"/>
                <w:szCs w:val="18"/>
              </w:rPr>
              <w:t>生活</w:t>
            </w:r>
          </w:p>
          <w:p w:rsidR="00C223F5" w:rsidRPr="00927E76" w:rsidRDefault="005860D5">
            <w:pPr>
              <w:jc w:val="center"/>
              <w:rPr>
                <w:sz w:val="18"/>
                <w:szCs w:val="18"/>
              </w:rPr>
            </w:pPr>
            <w:r w:rsidRPr="00927E76">
              <w:rPr>
                <w:rFonts w:hint="eastAsia"/>
                <w:sz w:val="18"/>
                <w:szCs w:val="18"/>
              </w:rPr>
              <w:t>污水</w:t>
            </w:r>
          </w:p>
        </w:tc>
        <w:tc>
          <w:tcPr>
            <w:tcW w:w="675" w:type="dxa"/>
            <w:vAlign w:val="center"/>
          </w:tcPr>
          <w:p w:rsidR="00C223F5" w:rsidRPr="00927E76" w:rsidRDefault="005860D5">
            <w:pPr>
              <w:jc w:val="center"/>
              <w:rPr>
                <w:sz w:val="18"/>
                <w:szCs w:val="18"/>
              </w:rPr>
            </w:pPr>
            <w:r w:rsidRPr="00927E76">
              <w:rPr>
                <w:rFonts w:hint="eastAsia"/>
                <w:sz w:val="18"/>
                <w:szCs w:val="18"/>
              </w:rPr>
              <w:t>COD</w:t>
            </w:r>
          </w:p>
        </w:tc>
        <w:tc>
          <w:tcPr>
            <w:tcW w:w="723" w:type="dxa"/>
            <w:vMerge w:val="restart"/>
            <w:vAlign w:val="center"/>
          </w:tcPr>
          <w:p w:rsidR="00C223F5" w:rsidRPr="00927E76" w:rsidRDefault="005860D5">
            <w:pPr>
              <w:jc w:val="center"/>
              <w:rPr>
                <w:sz w:val="18"/>
                <w:szCs w:val="18"/>
              </w:rPr>
            </w:pPr>
            <w:r w:rsidRPr="00927E76">
              <w:rPr>
                <w:rFonts w:hint="eastAsia"/>
                <w:sz w:val="18"/>
                <w:szCs w:val="18"/>
              </w:rPr>
              <w:t>不外排</w:t>
            </w:r>
          </w:p>
        </w:tc>
        <w:tc>
          <w:tcPr>
            <w:tcW w:w="459" w:type="dxa"/>
            <w:vMerge w:val="restart"/>
            <w:vAlign w:val="center"/>
          </w:tcPr>
          <w:p w:rsidR="00C223F5" w:rsidRPr="00927E76" w:rsidRDefault="005860D5">
            <w:pPr>
              <w:jc w:val="center"/>
              <w:rPr>
                <w:sz w:val="18"/>
                <w:szCs w:val="18"/>
              </w:rPr>
            </w:pPr>
            <w:r w:rsidRPr="00927E76">
              <w:rPr>
                <w:rFonts w:hint="eastAsia"/>
                <w:sz w:val="18"/>
                <w:szCs w:val="18"/>
              </w:rPr>
              <w:t>/</w:t>
            </w:r>
          </w:p>
        </w:tc>
        <w:tc>
          <w:tcPr>
            <w:tcW w:w="886" w:type="dxa"/>
            <w:vMerge w:val="restart"/>
            <w:vAlign w:val="center"/>
          </w:tcPr>
          <w:p w:rsidR="00C223F5" w:rsidRPr="00927E76" w:rsidRDefault="005860D5">
            <w:pPr>
              <w:jc w:val="center"/>
              <w:rPr>
                <w:sz w:val="18"/>
                <w:szCs w:val="18"/>
              </w:rPr>
            </w:pPr>
            <w:r w:rsidRPr="00927E76">
              <w:rPr>
                <w:rFonts w:hint="eastAsia"/>
                <w:sz w:val="18"/>
                <w:szCs w:val="18"/>
              </w:rPr>
              <w:t>TW002</w:t>
            </w:r>
          </w:p>
        </w:tc>
        <w:tc>
          <w:tcPr>
            <w:tcW w:w="937" w:type="dxa"/>
            <w:vMerge w:val="restart"/>
            <w:vAlign w:val="center"/>
          </w:tcPr>
          <w:p w:rsidR="00C223F5" w:rsidRPr="00927E76" w:rsidRDefault="005860D5">
            <w:pPr>
              <w:jc w:val="center"/>
              <w:rPr>
                <w:sz w:val="18"/>
                <w:szCs w:val="18"/>
              </w:rPr>
            </w:pPr>
            <w:r w:rsidRPr="00927E76">
              <w:rPr>
                <w:rFonts w:hint="eastAsia"/>
                <w:sz w:val="18"/>
                <w:szCs w:val="18"/>
              </w:rPr>
              <w:t>生活污水处理站</w:t>
            </w:r>
          </w:p>
        </w:tc>
        <w:tc>
          <w:tcPr>
            <w:tcW w:w="972" w:type="dxa"/>
            <w:vMerge w:val="restart"/>
            <w:vAlign w:val="center"/>
          </w:tcPr>
          <w:p w:rsidR="00C223F5" w:rsidRPr="00927E76" w:rsidRDefault="005860D5">
            <w:pPr>
              <w:jc w:val="center"/>
              <w:rPr>
                <w:sz w:val="18"/>
                <w:szCs w:val="18"/>
              </w:rPr>
            </w:pPr>
            <w:r w:rsidRPr="00927E76">
              <w:rPr>
                <w:rFonts w:hint="eastAsia"/>
                <w:sz w:val="18"/>
                <w:szCs w:val="18"/>
              </w:rPr>
              <w:t>A2/O</w:t>
            </w:r>
            <w:r w:rsidRPr="00927E76">
              <w:rPr>
                <w:rFonts w:hint="eastAsia"/>
                <w:sz w:val="18"/>
                <w:szCs w:val="18"/>
              </w:rPr>
              <w:t>二级生化</w:t>
            </w:r>
            <w:r w:rsidRPr="00927E76">
              <w:rPr>
                <w:rFonts w:hint="eastAsia"/>
                <w:sz w:val="18"/>
                <w:szCs w:val="18"/>
              </w:rPr>
              <w:t>+</w:t>
            </w:r>
            <w:r w:rsidRPr="00927E76">
              <w:rPr>
                <w:rFonts w:hint="eastAsia"/>
                <w:sz w:val="18"/>
                <w:szCs w:val="18"/>
              </w:rPr>
              <w:t>深度处理</w:t>
            </w:r>
          </w:p>
        </w:tc>
        <w:tc>
          <w:tcPr>
            <w:tcW w:w="880" w:type="dxa"/>
            <w:vMerge w:val="restart"/>
            <w:vAlign w:val="center"/>
          </w:tcPr>
          <w:p w:rsidR="00C223F5" w:rsidRPr="00927E76" w:rsidRDefault="005860D5">
            <w:pPr>
              <w:jc w:val="center"/>
              <w:rPr>
                <w:sz w:val="18"/>
                <w:szCs w:val="18"/>
              </w:rPr>
            </w:pPr>
            <w:r w:rsidRPr="00927E76">
              <w:rPr>
                <w:rFonts w:hint="eastAsia"/>
                <w:sz w:val="18"/>
                <w:szCs w:val="18"/>
              </w:rPr>
              <w:t>/</w:t>
            </w:r>
          </w:p>
        </w:tc>
        <w:tc>
          <w:tcPr>
            <w:tcW w:w="1126" w:type="dxa"/>
            <w:vMerge w:val="restart"/>
            <w:vAlign w:val="center"/>
          </w:tcPr>
          <w:p w:rsidR="00C223F5" w:rsidRPr="00927E76" w:rsidRDefault="005860D5">
            <w:pPr>
              <w:jc w:val="center"/>
              <w:rPr>
                <w:sz w:val="18"/>
                <w:szCs w:val="18"/>
              </w:rPr>
            </w:pPr>
            <w:r w:rsidRPr="00927E76">
              <w:rPr>
                <w:rFonts w:ascii="宋体" w:hAnsi="宋体" w:hint="eastAsia"/>
                <w:sz w:val="18"/>
                <w:szCs w:val="18"/>
              </w:rPr>
              <w:t>/</w:t>
            </w:r>
          </w:p>
        </w:tc>
        <w:tc>
          <w:tcPr>
            <w:tcW w:w="1608" w:type="dxa"/>
            <w:vMerge w:val="restart"/>
            <w:vAlign w:val="center"/>
          </w:tcPr>
          <w:p w:rsidR="00C223F5" w:rsidRPr="00927E76" w:rsidRDefault="005860D5">
            <w:pPr>
              <w:jc w:val="center"/>
              <w:rPr>
                <w:sz w:val="18"/>
                <w:szCs w:val="18"/>
              </w:rPr>
            </w:pPr>
            <w:r w:rsidRPr="00927E76">
              <w:rPr>
                <w:rFonts w:ascii="宋体" w:hAnsi="宋体" w:hint="eastAsia"/>
                <w:sz w:val="18"/>
                <w:szCs w:val="18"/>
              </w:rPr>
              <w:t>/</w:t>
            </w:r>
          </w:p>
        </w:tc>
      </w:tr>
      <w:tr w:rsidR="00C223F5" w:rsidRPr="00927E76">
        <w:trPr>
          <w:trHeight w:val="70"/>
          <w:jc w:val="center"/>
        </w:trPr>
        <w:tc>
          <w:tcPr>
            <w:tcW w:w="260" w:type="dxa"/>
            <w:vMerge/>
            <w:vAlign w:val="center"/>
          </w:tcPr>
          <w:p w:rsidR="00C223F5" w:rsidRPr="00927E76" w:rsidRDefault="00C223F5">
            <w:pPr>
              <w:jc w:val="center"/>
              <w:rPr>
                <w:sz w:val="18"/>
                <w:szCs w:val="18"/>
              </w:rPr>
            </w:pPr>
          </w:p>
        </w:tc>
        <w:tc>
          <w:tcPr>
            <w:tcW w:w="574" w:type="dxa"/>
            <w:vMerge/>
            <w:vAlign w:val="center"/>
          </w:tcPr>
          <w:p w:rsidR="00C223F5" w:rsidRPr="00927E76" w:rsidRDefault="00C223F5">
            <w:pPr>
              <w:jc w:val="center"/>
              <w:rPr>
                <w:sz w:val="18"/>
                <w:szCs w:val="18"/>
              </w:rPr>
            </w:pPr>
          </w:p>
        </w:tc>
        <w:tc>
          <w:tcPr>
            <w:tcW w:w="675" w:type="dxa"/>
            <w:vAlign w:val="center"/>
          </w:tcPr>
          <w:p w:rsidR="00C223F5" w:rsidRPr="00927E76" w:rsidRDefault="005860D5">
            <w:pPr>
              <w:jc w:val="center"/>
              <w:rPr>
                <w:sz w:val="18"/>
                <w:szCs w:val="18"/>
              </w:rPr>
            </w:pPr>
            <w:r w:rsidRPr="00927E76">
              <w:rPr>
                <w:rFonts w:hint="eastAsia"/>
                <w:sz w:val="18"/>
                <w:szCs w:val="18"/>
              </w:rPr>
              <w:t>NH</w:t>
            </w:r>
            <w:r w:rsidRPr="00927E76">
              <w:rPr>
                <w:rFonts w:hint="eastAsia"/>
                <w:sz w:val="18"/>
                <w:szCs w:val="18"/>
                <w:vertAlign w:val="subscript"/>
              </w:rPr>
              <w:t>3</w:t>
            </w:r>
          </w:p>
        </w:tc>
        <w:tc>
          <w:tcPr>
            <w:tcW w:w="723" w:type="dxa"/>
            <w:vMerge/>
            <w:vAlign w:val="center"/>
          </w:tcPr>
          <w:p w:rsidR="00C223F5" w:rsidRPr="00927E76" w:rsidRDefault="00C223F5">
            <w:pPr>
              <w:jc w:val="center"/>
              <w:rPr>
                <w:sz w:val="18"/>
                <w:szCs w:val="18"/>
              </w:rPr>
            </w:pPr>
          </w:p>
        </w:tc>
        <w:tc>
          <w:tcPr>
            <w:tcW w:w="459" w:type="dxa"/>
            <w:vMerge/>
            <w:vAlign w:val="center"/>
          </w:tcPr>
          <w:p w:rsidR="00C223F5" w:rsidRPr="00927E76" w:rsidRDefault="00C223F5">
            <w:pPr>
              <w:jc w:val="center"/>
              <w:rPr>
                <w:sz w:val="18"/>
                <w:szCs w:val="18"/>
              </w:rPr>
            </w:pPr>
          </w:p>
        </w:tc>
        <w:tc>
          <w:tcPr>
            <w:tcW w:w="886" w:type="dxa"/>
            <w:vMerge/>
            <w:vAlign w:val="center"/>
          </w:tcPr>
          <w:p w:rsidR="00C223F5" w:rsidRPr="00927E76" w:rsidRDefault="00C223F5">
            <w:pPr>
              <w:jc w:val="center"/>
              <w:rPr>
                <w:sz w:val="18"/>
                <w:szCs w:val="18"/>
              </w:rPr>
            </w:pPr>
          </w:p>
        </w:tc>
        <w:tc>
          <w:tcPr>
            <w:tcW w:w="937" w:type="dxa"/>
            <w:vMerge/>
            <w:vAlign w:val="center"/>
          </w:tcPr>
          <w:p w:rsidR="00C223F5" w:rsidRPr="00927E76" w:rsidRDefault="00C223F5">
            <w:pPr>
              <w:jc w:val="center"/>
              <w:rPr>
                <w:sz w:val="18"/>
                <w:szCs w:val="18"/>
              </w:rPr>
            </w:pPr>
          </w:p>
        </w:tc>
        <w:tc>
          <w:tcPr>
            <w:tcW w:w="972" w:type="dxa"/>
            <w:vMerge/>
            <w:vAlign w:val="center"/>
          </w:tcPr>
          <w:p w:rsidR="00C223F5" w:rsidRPr="00927E76" w:rsidRDefault="00C223F5">
            <w:pPr>
              <w:jc w:val="center"/>
              <w:rPr>
                <w:sz w:val="18"/>
                <w:szCs w:val="18"/>
              </w:rPr>
            </w:pPr>
          </w:p>
        </w:tc>
        <w:tc>
          <w:tcPr>
            <w:tcW w:w="880" w:type="dxa"/>
            <w:vMerge/>
            <w:vAlign w:val="center"/>
          </w:tcPr>
          <w:p w:rsidR="00C223F5" w:rsidRPr="00927E76" w:rsidRDefault="00C223F5">
            <w:pPr>
              <w:jc w:val="center"/>
              <w:rPr>
                <w:sz w:val="18"/>
                <w:szCs w:val="18"/>
              </w:rPr>
            </w:pPr>
          </w:p>
        </w:tc>
        <w:tc>
          <w:tcPr>
            <w:tcW w:w="1126" w:type="dxa"/>
            <w:vMerge/>
            <w:vAlign w:val="center"/>
          </w:tcPr>
          <w:p w:rsidR="00C223F5" w:rsidRPr="00927E76" w:rsidRDefault="00C223F5">
            <w:pPr>
              <w:jc w:val="center"/>
              <w:rPr>
                <w:rFonts w:ascii="宋体" w:hAnsi="宋体"/>
                <w:sz w:val="18"/>
                <w:szCs w:val="18"/>
              </w:rPr>
            </w:pPr>
          </w:p>
        </w:tc>
        <w:tc>
          <w:tcPr>
            <w:tcW w:w="1608" w:type="dxa"/>
            <w:vMerge/>
            <w:vAlign w:val="center"/>
          </w:tcPr>
          <w:p w:rsidR="00C223F5" w:rsidRPr="00927E76" w:rsidRDefault="00C223F5">
            <w:pPr>
              <w:jc w:val="center"/>
              <w:rPr>
                <w:sz w:val="18"/>
                <w:szCs w:val="18"/>
              </w:rPr>
            </w:pPr>
          </w:p>
        </w:tc>
      </w:tr>
    </w:tbl>
    <w:p w:rsidR="00C223F5" w:rsidRPr="00927E76" w:rsidRDefault="005860D5" w:rsidP="004835BD">
      <w:pPr>
        <w:pStyle w:val="4"/>
        <w:spacing w:beforeLines="100" w:before="240" w:after="0" w:line="360" w:lineRule="auto"/>
        <w:ind w:firstLineChars="100" w:firstLine="240"/>
        <w:rPr>
          <w:szCs w:val="24"/>
        </w:rPr>
      </w:pPr>
      <w:r w:rsidRPr="00927E76">
        <w:rPr>
          <w:rFonts w:hint="eastAsia"/>
          <w:szCs w:val="24"/>
        </w:rPr>
        <w:t>4.2.3.3</w:t>
      </w:r>
      <w:r w:rsidRPr="00927E76">
        <w:rPr>
          <w:rFonts w:hint="eastAsia"/>
          <w:szCs w:val="24"/>
        </w:rPr>
        <w:t>废水排放情况及影响分析</w:t>
      </w:r>
    </w:p>
    <w:p w:rsidR="00C223F5" w:rsidRPr="00927E76" w:rsidRDefault="005860D5" w:rsidP="00C006A7">
      <w:pPr>
        <w:spacing w:line="360" w:lineRule="auto"/>
        <w:ind w:firstLineChars="200" w:firstLine="482"/>
        <w:rPr>
          <w:b/>
          <w:sz w:val="24"/>
        </w:rPr>
      </w:pPr>
      <w:r w:rsidRPr="00927E76">
        <w:rPr>
          <w:b/>
          <w:sz w:val="24"/>
        </w:rPr>
        <w:t>（</w:t>
      </w:r>
      <w:r w:rsidRPr="00927E76">
        <w:rPr>
          <w:rFonts w:hint="eastAsia"/>
          <w:b/>
          <w:sz w:val="24"/>
        </w:rPr>
        <w:t>一</w:t>
      </w:r>
      <w:r w:rsidRPr="00927E76">
        <w:rPr>
          <w:b/>
          <w:sz w:val="24"/>
        </w:rPr>
        <w:t>）</w:t>
      </w:r>
      <w:r w:rsidRPr="00927E76">
        <w:rPr>
          <w:rFonts w:hint="eastAsia"/>
          <w:b/>
          <w:sz w:val="24"/>
        </w:rPr>
        <w:t>排污口</w:t>
      </w:r>
      <w:r w:rsidRPr="00927E76">
        <w:rPr>
          <w:b/>
          <w:sz w:val="24"/>
        </w:rPr>
        <w:t>分析</w:t>
      </w:r>
    </w:p>
    <w:p w:rsidR="00C223F5" w:rsidRPr="00927E76" w:rsidRDefault="005860D5">
      <w:pPr>
        <w:spacing w:line="360" w:lineRule="auto"/>
        <w:ind w:firstLineChars="200" w:firstLine="480"/>
        <w:rPr>
          <w:sz w:val="24"/>
        </w:rPr>
      </w:pPr>
      <w:r w:rsidRPr="00927E76">
        <w:rPr>
          <w:rFonts w:hint="eastAsia"/>
          <w:sz w:val="24"/>
        </w:rPr>
        <w:t>根据《横山县天云煤矿有限公司煤矿资源整合项目入河排污口设置论证报告》及入河排污口设置批复（横政水函</w:t>
      </w:r>
      <w:r w:rsidRPr="00927E76">
        <w:rPr>
          <w:rFonts w:hint="eastAsia"/>
          <w:sz w:val="24"/>
        </w:rPr>
        <w:t>[2018]104</w:t>
      </w:r>
      <w:r w:rsidRPr="00927E76">
        <w:rPr>
          <w:rFonts w:hint="eastAsia"/>
          <w:sz w:val="24"/>
        </w:rPr>
        <w:t>号），原天云煤矿入河排污口设置在榆林市横山区魏家楼镇施阳台村蚂蚁河左岸（经度</w:t>
      </w:r>
      <w:r w:rsidRPr="00927E76">
        <w:rPr>
          <w:sz w:val="24"/>
        </w:rPr>
        <w:t>109°2</w:t>
      </w:r>
      <w:r w:rsidRPr="00927E76">
        <w:rPr>
          <w:rFonts w:hint="eastAsia"/>
          <w:sz w:val="24"/>
        </w:rPr>
        <w:t>7</w:t>
      </w:r>
      <w:r w:rsidRPr="00927E76">
        <w:rPr>
          <w:sz w:val="24"/>
        </w:rPr>
        <w:t>′</w:t>
      </w:r>
      <w:r w:rsidRPr="00927E76">
        <w:rPr>
          <w:rFonts w:hint="eastAsia"/>
          <w:sz w:val="24"/>
        </w:rPr>
        <w:t>34</w:t>
      </w:r>
      <w:r w:rsidRPr="00927E76">
        <w:rPr>
          <w:sz w:val="24"/>
        </w:rPr>
        <w:t>″</w:t>
      </w:r>
      <w:r w:rsidRPr="00927E76">
        <w:rPr>
          <w:rFonts w:hint="eastAsia"/>
          <w:sz w:val="24"/>
        </w:rPr>
        <w:t>、纬度</w:t>
      </w:r>
      <w:r w:rsidRPr="00927E76">
        <w:rPr>
          <w:rFonts w:hint="eastAsia"/>
          <w:sz w:val="24"/>
        </w:rPr>
        <w:t>37</w:t>
      </w:r>
      <w:r w:rsidRPr="00927E76">
        <w:rPr>
          <w:sz w:val="24"/>
        </w:rPr>
        <w:t>°</w:t>
      </w:r>
      <w:r w:rsidRPr="00927E76">
        <w:rPr>
          <w:rFonts w:hint="eastAsia"/>
          <w:sz w:val="24"/>
        </w:rPr>
        <w:t>33</w:t>
      </w:r>
      <w:r w:rsidRPr="00927E76">
        <w:rPr>
          <w:sz w:val="24"/>
        </w:rPr>
        <w:t>′</w:t>
      </w:r>
      <w:r w:rsidRPr="00927E76">
        <w:rPr>
          <w:rFonts w:hint="eastAsia"/>
          <w:sz w:val="24"/>
        </w:rPr>
        <w:t>38</w:t>
      </w:r>
      <w:r w:rsidRPr="00927E76">
        <w:rPr>
          <w:sz w:val="24"/>
        </w:rPr>
        <w:t>″</w:t>
      </w:r>
      <w:r w:rsidRPr="00927E76">
        <w:rPr>
          <w:rFonts w:hint="eastAsia"/>
          <w:sz w:val="24"/>
        </w:rPr>
        <w:t>），原天云煤矿矿井排水处理达标后</w:t>
      </w:r>
      <w:r>
        <w:rPr>
          <w:rFonts w:hint="eastAsia"/>
          <w:sz w:val="24"/>
        </w:rPr>
        <w:t>部分回用，多余部分由管道自污水处理站跨过厂区排至蚂蚁河；排污口</w:t>
      </w:r>
      <w:r w:rsidRPr="00927E76">
        <w:rPr>
          <w:rFonts w:hint="eastAsia"/>
          <w:sz w:val="24"/>
        </w:rPr>
        <w:t>类型为工业废水入河排污口，排放方式为连续排放。</w:t>
      </w:r>
    </w:p>
    <w:p w:rsidR="00C223F5" w:rsidRPr="00927E76" w:rsidRDefault="005860D5">
      <w:pPr>
        <w:spacing w:line="360" w:lineRule="auto"/>
        <w:ind w:firstLineChars="200" w:firstLine="480"/>
        <w:rPr>
          <w:sz w:val="24"/>
        </w:rPr>
      </w:pPr>
      <w:r w:rsidRPr="00927E76">
        <w:rPr>
          <w:rFonts w:hint="eastAsia"/>
          <w:sz w:val="24"/>
        </w:rPr>
        <w:t>整合前后废水排放口基本情况表见表</w:t>
      </w:r>
      <w:r w:rsidRPr="00927E76">
        <w:rPr>
          <w:rFonts w:hint="eastAsia"/>
          <w:sz w:val="24"/>
        </w:rPr>
        <w:t>4.2.3-2</w:t>
      </w:r>
      <w:r w:rsidRPr="00927E76">
        <w:rPr>
          <w:rFonts w:hint="eastAsia"/>
          <w:sz w:val="24"/>
        </w:rPr>
        <w:t>。</w:t>
      </w:r>
    </w:p>
    <w:p w:rsidR="00C223F5" w:rsidRPr="00927E76" w:rsidRDefault="00C223F5">
      <w:pPr>
        <w:spacing w:line="360" w:lineRule="auto"/>
        <w:ind w:firstLineChars="200" w:firstLine="480"/>
        <w:rPr>
          <w:sz w:val="24"/>
        </w:rPr>
      </w:pPr>
    </w:p>
    <w:p w:rsidR="00C223F5" w:rsidRPr="00927E76" w:rsidRDefault="005860D5">
      <w:pPr>
        <w:jc w:val="center"/>
        <w:rPr>
          <w:b/>
          <w:sz w:val="24"/>
        </w:rPr>
      </w:pPr>
      <w:r w:rsidRPr="00927E76">
        <w:rPr>
          <w:rFonts w:hint="eastAsia"/>
          <w:b/>
          <w:sz w:val="24"/>
        </w:rPr>
        <w:t>表</w:t>
      </w:r>
      <w:r w:rsidRPr="00927E76">
        <w:rPr>
          <w:rFonts w:hint="eastAsia"/>
          <w:b/>
          <w:sz w:val="24"/>
        </w:rPr>
        <w:t xml:space="preserve">4.2.3-2   </w:t>
      </w:r>
      <w:r w:rsidRPr="00927E76">
        <w:rPr>
          <w:rFonts w:hint="eastAsia"/>
          <w:b/>
          <w:sz w:val="24"/>
        </w:rPr>
        <w:t>整合前后废水直接排放口基本情况表</w:t>
      </w:r>
    </w:p>
    <w:tbl>
      <w:tblPr>
        <w:tblStyle w:val="afffe"/>
        <w:tblW w:w="9184" w:type="dxa"/>
        <w:jc w:val="center"/>
        <w:tblLayout w:type="fixed"/>
        <w:tblCellMar>
          <w:left w:w="17" w:type="dxa"/>
          <w:right w:w="17" w:type="dxa"/>
        </w:tblCellMar>
        <w:tblLook w:val="04A0" w:firstRow="1" w:lastRow="0" w:firstColumn="1" w:lastColumn="0" w:noHBand="0" w:noVBand="1"/>
      </w:tblPr>
      <w:tblGrid>
        <w:gridCol w:w="285"/>
        <w:gridCol w:w="784"/>
        <w:gridCol w:w="1007"/>
        <w:gridCol w:w="949"/>
        <w:gridCol w:w="717"/>
        <w:gridCol w:w="529"/>
        <w:gridCol w:w="483"/>
        <w:gridCol w:w="617"/>
        <w:gridCol w:w="718"/>
        <w:gridCol w:w="781"/>
        <w:gridCol w:w="851"/>
        <w:gridCol w:w="761"/>
        <w:gridCol w:w="702"/>
      </w:tblGrid>
      <w:tr w:rsidR="00C223F5" w:rsidRPr="00927E76">
        <w:trPr>
          <w:jc w:val="center"/>
        </w:trPr>
        <w:tc>
          <w:tcPr>
            <w:tcW w:w="285" w:type="dxa"/>
            <w:vMerge w:val="restart"/>
            <w:vAlign w:val="center"/>
          </w:tcPr>
          <w:p w:rsidR="00C223F5" w:rsidRPr="00927E76" w:rsidRDefault="005860D5">
            <w:pPr>
              <w:jc w:val="center"/>
              <w:rPr>
                <w:sz w:val="18"/>
                <w:szCs w:val="18"/>
              </w:rPr>
            </w:pPr>
            <w:r w:rsidRPr="00927E76">
              <w:rPr>
                <w:rFonts w:hint="eastAsia"/>
                <w:sz w:val="18"/>
                <w:szCs w:val="18"/>
              </w:rPr>
              <w:t>序号</w:t>
            </w:r>
          </w:p>
        </w:tc>
        <w:tc>
          <w:tcPr>
            <w:tcW w:w="784" w:type="dxa"/>
            <w:vMerge w:val="restart"/>
            <w:vAlign w:val="center"/>
          </w:tcPr>
          <w:p w:rsidR="00C223F5" w:rsidRPr="00927E76" w:rsidRDefault="005860D5">
            <w:pPr>
              <w:jc w:val="center"/>
              <w:rPr>
                <w:sz w:val="18"/>
                <w:szCs w:val="18"/>
              </w:rPr>
            </w:pPr>
            <w:r w:rsidRPr="00927E76">
              <w:rPr>
                <w:rFonts w:hint="eastAsia"/>
                <w:sz w:val="18"/>
                <w:szCs w:val="18"/>
              </w:rPr>
              <w:t>排放口</w:t>
            </w:r>
          </w:p>
          <w:p w:rsidR="00C223F5" w:rsidRPr="00927E76" w:rsidRDefault="005860D5">
            <w:pPr>
              <w:jc w:val="center"/>
              <w:rPr>
                <w:sz w:val="18"/>
                <w:szCs w:val="18"/>
              </w:rPr>
            </w:pPr>
            <w:r w:rsidRPr="00927E76">
              <w:rPr>
                <w:rFonts w:hint="eastAsia"/>
                <w:sz w:val="18"/>
                <w:szCs w:val="18"/>
              </w:rPr>
              <w:t>编号</w:t>
            </w:r>
          </w:p>
        </w:tc>
        <w:tc>
          <w:tcPr>
            <w:tcW w:w="1956" w:type="dxa"/>
            <w:gridSpan w:val="2"/>
            <w:vAlign w:val="center"/>
          </w:tcPr>
          <w:p w:rsidR="00C223F5" w:rsidRPr="00927E76" w:rsidRDefault="005860D5">
            <w:pPr>
              <w:jc w:val="center"/>
              <w:rPr>
                <w:sz w:val="18"/>
                <w:szCs w:val="18"/>
              </w:rPr>
            </w:pPr>
            <w:r w:rsidRPr="00927E76">
              <w:rPr>
                <w:rFonts w:hint="eastAsia"/>
                <w:sz w:val="18"/>
                <w:szCs w:val="18"/>
              </w:rPr>
              <w:t>排放口地理坐标</w:t>
            </w:r>
          </w:p>
        </w:tc>
        <w:tc>
          <w:tcPr>
            <w:tcW w:w="717" w:type="dxa"/>
            <w:vMerge w:val="restart"/>
            <w:vAlign w:val="center"/>
          </w:tcPr>
          <w:p w:rsidR="00C223F5" w:rsidRPr="00927E76" w:rsidRDefault="005860D5">
            <w:pPr>
              <w:jc w:val="center"/>
              <w:rPr>
                <w:sz w:val="18"/>
                <w:szCs w:val="18"/>
              </w:rPr>
            </w:pPr>
            <w:r w:rsidRPr="00927E76">
              <w:rPr>
                <w:rFonts w:hint="eastAsia"/>
                <w:sz w:val="18"/>
                <w:szCs w:val="18"/>
              </w:rPr>
              <w:t>废水</w:t>
            </w:r>
          </w:p>
          <w:p w:rsidR="00C223F5" w:rsidRPr="00927E76" w:rsidRDefault="005860D5">
            <w:pPr>
              <w:jc w:val="center"/>
              <w:rPr>
                <w:sz w:val="18"/>
                <w:szCs w:val="18"/>
              </w:rPr>
            </w:pPr>
            <w:r w:rsidRPr="00927E76">
              <w:rPr>
                <w:rFonts w:hint="eastAsia"/>
                <w:sz w:val="18"/>
                <w:szCs w:val="18"/>
              </w:rPr>
              <w:t>排放量</w:t>
            </w:r>
          </w:p>
          <w:p w:rsidR="00C223F5" w:rsidRPr="00927E76" w:rsidRDefault="005860D5">
            <w:pPr>
              <w:jc w:val="center"/>
              <w:rPr>
                <w:sz w:val="18"/>
                <w:szCs w:val="18"/>
              </w:rPr>
            </w:pPr>
            <w:r w:rsidRPr="00927E76">
              <w:rPr>
                <w:rFonts w:hint="eastAsia"/>
                <w:sz w:val="18"/>
                <w:szCs w:val="18"/>
              </w:rPr>
              <w:t>（万</w:t>
            </w:r>
            <w:r w:rsidRPr="00927E76">
              <w:rPr>
                <w:rFonts w:hint="eastAsia"/>
                <w:sz w:val="18"/>
                <w:szCs w:val="18"/>
              </w:rPr>
              <w:t>t/a</w:t>
            </w:r>
            <w:r w:rsidRPr="00927E76">
              <w:rPr>
                <w:rFonts w:hint="eastAsia"/>
                <w:sz w:val="18"/>
                <w:szCs w:val="18"/>
              </w:rPr>
              <w:t>）</w:t>
            </w:r>
          </w:p>
        </w:tc>
        <w:tc>
          <w:tcPr>
            <w:tcW w:w="529" w:type="dxa"/>
            <w:vMerge w:val="restart"/>
            <w:vAlign w:val="center"/>
          </w:tcPr>
          <w:p w:rsidR="00C223F5" w:rsidRPr="00927E76" w:rsidRDefault="005860D5">
            <w:pPr>
              <w:jc w:val="center"/>
              <w:rPr>
                <w:sz w:val="18"/>
                <w:szCs w:val="18"/>
              </w:rPr>
            </w:pPr>
            <w:r w:rsidRPr="00927E76">
              <w:rPr>
                <w:rFonts w:hint="eastAsia"/>
                <w:sz w:val="18"/>
                <w:szCs w:val="18"/>
              </w:rPr>
              <w:t>排放</w:t>
            </w:r>
          </w:p>
          <w:p w:rsidR="00C223F5" w:rsidRPr="00927E76" w:rsidRDefault="005860D5">
            <w:pPr>
              <w:jc w:val="center"/>
              <w:rPr>
                <w:sz w:val="18"/>
                <w:szCs w:val="18"/>
              </w:rPr>
            </w:pPr>
            <w:r w:rsidRPr="00927E76">
              <w:rPr>
                <w:rFonts w:hint="eastAsia"/>
                <w:sz w:val="18"/>
                <w:szCs w:val="18"/>
              </w:rPr>
              <w:t>去向</w:t>
            </w:r>
          </w:p>
        </w:tc>
        <w:tc>
          <w:tcPr>
            <w:tcW w:w="483" w:type="dxa"/>
            <w:vMerge w:val="restart"/>
            <w:vAlign w:val="center"/>
          </w:tcPr>
          <w:p w:rsidR="00C223F5" w:rsidRPr="00927E76" w:rsidRDefault="005860D5">
            <w:pPr>
              <w:jc w:val="center"/>
              <w:rPr>
                <w:sz w:val="18"/>
                <w:szCs w:val="18"/>
              </w:rPr>
            </w:pPr>
            <w:r w:rsidRPr="00927E76">
              <w:rPr>
                <w:rFonts w:hint="eastAsia"/>
                <w:sz w:val="18"/>
                <w:szCs w:val="18"/>
              </w:rPr>
              <w:t>排放</w:t>
            </w:r>
          </w:p>
          <w:p w:rsidR="00C223F5" w:rsidRPr="00927E76" w:rsidRDefault="005860D5">
            <w:pPr>
              <w:jc w:val="center"/>
              <w:rPr>
                <w:sz w:val="18"/>
                <w:szCs w:val="18"/>
              </w:rPr>
            </w:pPr>
            <w:r w:rsidRPr="00927E76">
              <w:rPr>
                <w:rFonts w:hint="eastAsia"/>
                <w:sz w:val="18"/>
                <w:szCs w:val="18"/>
              </w:rPr>
              <w:t>规律</w:t>
            </w:r>
          </w:p>
        </w:tc>
        <w:tc>
          <w:tcPr>
            <w:tcW w:w="617" w:type="dxa"/>
            <w:vMerge w:val="restart"/>
            <w:vAlign w:val="center"/>
          </w:tcPr>
          <w:p w:rsidR="00C223F5" w:rsidRPr="00927E76" w:rsidRDefault="005860D5">
            <w:pPr>
              <w:jc w:val="center"/>
              <w:rPr>
                <w:sz w:val="18"/>
                <w:szCs w:val="18"/>
              </w:rPr>
            </w:pPr>
            <w:r w:rsidRPr="00927E76">
              <w:rPr>
                <w:rFonts w:hint="eastAsia"/>
                <w:sz w:val="18"/>
                <w:szCs w:val="18"/>
              </w:rPr>
              <w:t>间歇排放时段</w:t>
            </w:r>
          </w:p>
        </w:tc>
        <w:tc>
          <w:tcPr>
            <w:tcW w:w="1499" w:type="dxa"/>
            <w:gridSpan w:val="2"/>
            <w:vAlign w:val="center"/>
          </w:tcPr>
          <w:p w:rsidR="00C223F5" w:rsidRPr="00927E76" w:rsidRDefault="005860D5">
            <w:pPr>
              <w:jc w:val="center"/>
              <w:rPr>
                <w:sz w:val="18"/>
                <w:szCs w:val="18"/>
              </w:rPr>
            </w:pPr>
            <w:r w:rsidRPr="00927E76">
              <w:rPr>
                <w:rFonts w:hint="eastAsia"/>
                <w:sz w:val="18"/>
                <w:szCs w:val="18"/>
              </w:rPr>
              <w:t>受纳自然水体信息</w:t>
            </w:r>
          </w:p>
        </w:tc>
        <w:tc>
          <w:tcPr>
            <w:tcW w:w="1612" w:type="dxa"/>
            <w:gridSpan w:val="2"/>
            <w:vAlign w:val="center"/>
          </w:tcPr>
          <w:p w:rsidR="00C223F5" w:rsidRPr="00927E76" w:rsidRDefault="005860D5">
            <w:pPr>
              <w:jc w:val="center"/>
              <w:rPr>
                <w:sz w:val="18"/>
                <w:szCs w:val="18"/>
              </w:rPr>
            </w:pPr>
            <w:r w:rsidRPr="00927E76">
              <w:rPr>
                <w:rFonts w:hint="eastAsia"/>
                <w:sz w:val="18"/>
                <w:szCs w:val="18"/>
              </w:rPr>
              <w:t>汇入受纳自然水体处地理坐标</w:t>
            </w:r>
          </w:p>
        </w:tc>
        <w:tc>
          <w:tcPr>
            <w:tcW w:w="702" w:type="dxa"/>
            <w:vMerge w:val="restart"/>
            <w:vAlign w:val="center"/>
          </w:tcPr>
          <w:p w:rsidR="00C223F5" w:rsidRPr="00927E76" w:rsidRDefault="005860D5">
            <w:pPr>
              <w:jc w:val="center"/>
              <w:rPr>
                <w:sz w:val="18"/>
                <w:szCs w:val="18"/>
              </w:rPr>
            </w:pPr>
            <w:r w:rsidRPr="00927E76">
              <w:rPr>
                <w:rFonts w:hint="eastAsia"/>
                <w:sz w:val="18"/>
                <w:szCs w:val="18"/>
              </w:rPr>
              <w:t>备注</w:t>
            </w:r>
          </w:p>
        </w:tc>
      </w:tr>
      <w:tr w:rsidR="00C223F5" w:rsidRPr="00927E76">
        <w:trPr>
          <w:jc w:val="center"/>
        </w:trPr>
        <w:tc>
          <w:tcPr>
            <w:tcW w:w="285" w:type="dxa"/>
            <w:vMerge/>
            <w:vAlign w:val="center"/>
          </w:tcPr>
          <w:p w:rsidR="00C223F5" w:rsidRPr="00927E76" w:rsidRDefault="00C223F5">
            <w:pPr>
              <w:jc w:val="center"/>
              <w:rPr>
                <w:sz w:val="18"/>
                <w:szCs w:val="18"/>
              </w:rPr>
            </w:pPr>
          </w:p>
        </w:tc>
        <w:tc>
          <w:tcPr>
            <w:tcW w:w="784" w:type="dxa"/>
            <w:vMerge/>
            <w:vAlign w:val="center"/>
          </w:tcPr>
          <w:p w:rsidR="00C223F5" w:rsidRPr="00927E76" w:rsidRDefault="00C223F5">
            <w:pPr>
              <w:jc w:val="center"/>
              <w:rPr>
                <w:sz w:val="18"/>
                <w:szCs w:val="18"/>
              </w:rPr>
            </w:pPr>
          </w:p>
        </w:tc>
        <w:tc>
          <w:tcPr>
            <w:tcW w:w="1007" w:type="dxa"/>
            <w:vAlign w:val="center"/>
          </w:tcPr>
          <w:p w:rsidR="00C223F5" w:rsidRPr="00927E76" w:rsidRDefault="005860D5">
            <w:pPr>
              <w:jc w:val="center"/>
              <w:rPr>
                <w:sz w:val="18"/>
                <w:szCs w:val="18"/>
              </w:rPr>
            </w:pPr>
            <w:r w:rsidRPr="00927E76">
              <w:rPr>
                <w:rFonts w:hint="eastAsia"/>
                <w:sz w:val="18"/>
                <w:szCs w:val="18"/>
              </w:rPr>
              <w:t>经度</w:t>
            </w:r>
          </w:p>
        </w:tc>
        <w:tc>
          <w:tcPr>
            <w:tcW w:w="949" w:type="dxa"/>
            <w:vAlign w:val="center"/>
          </w:tcPr>
          <w:p w:rsidR="00C223F5" w:rsidRPr="00927E76" w:rsidRDefault="005860D5">
            <w:pPr>
              <w:jc w:val="center"/>
              <w:rPr>
                <w:sz w:val="18"/>
                <w:szCs w:val="18"/>
              </w:rPr>
            </w:pPr>
            <w:r w:rsidRPr="00927E76">
              <w:rPr>
                <w:rFonts w:hint="eastAsia"/>
                <w:sz w:val="18"/>
                <w:szCs w:val="18"/>
              </w:rPr>
              <w:t>纬度</w:t>
            </w:r>
          </w:p>
        </w:tc>
        <w:tc>
          <w:tcPr>
            <w:tcW w:w="717" w:type="dxa"/>
            <w:vMerge/>
            <w:vAlign w:val="center"/>
          </w:tcPr>
          <w:p w:rsidR="00C223F5" w:rsidRPr="00927E76" w:rsidRDefault="00C223F5">
            <w:pPr>
              <w:jc w:val="center"/>
              <w:rPr>
                <w:sz w:val="18"/>
                <w:szCs w:val="18"/>
              </w:rPr>
            </w:pPr>
          </w:p>
        </w:tc>
        <w:tc>
          <w:tcPr>
            <w:tcW w:w="529" w:type="dxa"/>
            <w:vMerge/>
            <w:vAlign w:val="center"/>
          </w:tcPr>
          <w:p w:rsidR="00C223F5" w:rsidRPr="00927E76" w:rsidRDefault="00C223F5">
            <w:pPr>
              <w:jc w:val="center"/>
              <w:rPr>
                <w:sz w:val="18"/>
                <w:szCs w:val="18"/>
              </w:rPr>
            </w:pPr>
          </w:p>
        </w:tc>
        <w:tc>
          <w:tcPr>
            <w:tcW w:w="483" w:type="dxa"/>
            <w:vMerge/>
            <w:vAlign w:val="center"/>
          </w:tcPr>
          <w:p w:rsidR="00C223F5" w:rsidRPr="00927E76" w:rsidRDefault="00C223F5">
            <w:pPr>
              <w:jc w:val="center"/>
              <w:rPr>
                <w:sz w:val="18"/>
                <w:szCs w:val="18"/>
              </w:rPr>
            </w:pPr>
          </w:p>
        </w:tc>
        <w:tc>
          <w:tcPr>
            <w:tcW w:w="617" w:type="dxa"/>
            <w:vMerge/>
            <w:vAlign w:val="center"/>
          </w:tcPr>
          <w:p w:rsidR="00C223F5" w:rsidRPr="00927E76" w:rsidRDefault="00C223F5">
            <w:pPr>
              <w:jc w:val="center"/>
              <w:rPr>
                <w:sz w:val="18"/>
                <w:szCs w:val="18"/>
              </w:rPr>
            </w:pPr>
          </w:p>
        </w:tc>
        <w:tc>
          <w:tcPr>
            <w:tcW w:w="718" w:type="dxa"/>
            <w:vAlign w:val="center"/>
          </w:tcPr>
          <w:p w:rsidR="00C223F5" w:rsidRPr="00927E76" w:rsidRDefault="005860D5">
            <w:pPr>
              <w:jc w:val="center"/>
              <w:rPr>
                <w:sz w:val="18"/>
                <w:szCs w:val="18"/>
              </w:rPr>
            </w:pPr>
            <w:r w:rsidRPr="00927E76">
              <w:rPr>
                <w:rFonts w:hint="eastAsia"/>
                <w:sz w:val="18"/>
                <w:szCs w:val="18"/>
              </w:rPr>
              <w:t>名称</w:t>
            </w:r>
          </w:p>
        </w:tc>
        <w:tc>
          <w:tcPr>
            <w:tcW w:w="781" w:type="dxa"/>
            <w:vAlign w:val="center"/>
          </w:tcPr>
          <w:p w:rsidR="00C223F5" w:rsidRPr="00927E76" w:rsidRDefault="005860D5">
            <w:pPr>
              <w:jc w:val="center"/>
              <w:rPr>
                <w:sz w:val="18"/>
                <w:szCs w:val="18"/>
              </w:rPr>
            </w:pPr>
            <w:r w:rsidRPr="00927E76">
              <w:rPr>
                <w:rFonts w:hint="eastAsia"/>
                <w:sz w:val="18"/>
                <w:szCs w:val="18"/>
              </w:rPr>
              <w:t>受纳水体功能目标</w:t>
            </w:r>
          </w:p>
        </w:tc>
        <w:tc>
          <w:tcPr>
            <w:tcW w:w="851" w:type="dxa"/>
            <w:vAlign w:val="center"/>
          </w:tcPr>
          <w:p w:rsidR="00C223F5" w:rsidRPr="00927E76" w:rsidRDefault="005860D5">
            <w:pPr>
              <w:jc w:val="center"/>
              <w:rPr>
                <w:sz w:val="18"/>
                <w:szCs w:val="18"/>
              </w:rPr>
            </w:pPr>
            <w:r w:rsidRPr="00927E76">
              <w:rPr>
                <w:rFonts w:hint="eastAsia"/>
                <w:sz w:val="18"/>
                <w:szCs w:val="18"/>
              </w:rPr>
              <w:t>经度</w:t>
            </w:r>
          </w:p>
        </w:tc>
        <w:tc>
          <w:tcPr>
            <w:tcW w:w="761" w:type="dxa"/>
            <w:vAlign w:val="center"/>
          </w:tcPr>
          <w:p w:rsidR="00C223F5" w:rsidRPr="00927E76" w:rsidRDefault="005860D5">
            <w:pPr>
              <w:jc w:val="center"/>
              <w:rPr>
                <w:sz w:val="18"/>
                <w:szCs w:val="18"/>
              </w:rPr>
            </w:pPr>
            <w:r w:rsidRPr="00927E76">
              <w:rPr>
                <w:rFonts w:hint="eastAsia"/>
                <w:sz w:val="18"/>
                <w:szCs w:val="18"/>
              </w:rPr>
              <w:t>纬度</w:t>
            </w:r>
          </w:p>
        </w:tc>
        <w:tc>
          <w:tcPr>
            <w:tcW w:w="702" w:type="dxa"/>
            <w:vMerge/>
            <w:vAlign w:val="center"/>
          </w:tcPr>
          <w:p w:rsidR="00C223F5" w:rsidRPr="00927E76" w:rsidRDefault="00C223F5">
            <w:pPr>
              <w:jc w:val="center"/>
              <w:rPr>
                <w:sz w:val="18"/>
                <w:szCs w:val="18"/>
              </w:rPr>
            </w:pPr>
          </w:p>
        </w:tc>
      </w:tr>
      <w:tr w:rsidR="00C223F5" w:rsidRPr="00927E76">
        <w:trPr>
          <w:jc w:val="center"/>
        </w:trPr>
        <w:tc>
          <w:tcPr>
            <w:tcW w:w="285" w:type="dxa"/>
            <w:vAlign w:val="center"/>
          </w:tcPr>
          <w:p w:rsidR="00C223F5" w:rsidRPr="00927E76" w:rsidRDefault="005860D5">
            <w:pPr>
              <w:jc w:val="center"/>
              <w:rPr>
                <w:sz w:val="18"/>
                <w:szCs w:val="18"/>
              </w:rPr>
            </w:pPr>
            <w:r w:rsidRPr="00927E76">
              <w:rPr>
                <w:rFonts w:hint="eastAsia"/>
                <w:sz w:val="18"/>
                <w:szCs w:val="18"/>
              </w:rPr>
              <w:t>1</w:t>
            </w:r>
          </w:p>
        </w:tc>
        <w:tc>
          <w:tcPr>
            <w:tcW w:w="784" w:type="dxa"/>
            <w:vMerge w:val="restart"/>
            <w:vAlign w:val="center"/>
          </w:tcPr>
          <w:p w:rsidR="00C223F5" w:rsidRPr="00927E76" w:rsidRDefault="005860D5">
            <w:pPr>
              <w:jc w:val="center"/>
              <w:rPr>
                <w:sz w:val="18"/>
                <w:szCs w:val="18"/>
              </w:rPr>
            </w:pPr>
            <w:r w:rsidRPr="00927E76">
              <w:rPr>
                <w:rFonts w:hint="eastAsia"/>
                <w:sz w:val="18"/>
                <w:szCs w:val="18"/>
              </w:rPr>
              <w:t>DW001</w:t>
            </w:r>
            <w:r w:rsidRPr="00927E76">
              <w:rPr>
                <w:rFonts w:hint="eastAsia"/>
                <w:sz w:val="18"/>
                <w:szCs w:val="18"/>
              </w:rPr>
              <w:t>横政水函</w:t>
            </w:r>
            <w:r w:rsidRPr="00927E76">
              <w:rPr>
                <w:rFonts w:hint="eastAsia"/>
                <w:sz w:val="18"/>
                <w:szCs w:val="18"/>
              </w:rPr>
              <w:t>[2018]104</w:t>
            </w:r>
            <w:r w:rsidRPr="00927E76">
              <w:rPr>
                <w:rFonts w:hint="eastAsia"/>
                <w:sz w:val="18"/>
                <w:szCs w:val="18"/>
              </w:rPr>
              <w:t>号</w:t>
            </w:r>
          </w:p>
        </w:tc>
        <w:tc>
          <w:tcPr>
            <w:tcW w:w="1007" w:type="dxa"/>
            <w:vAlign w:val="center"/>
          </w:tcPr>
          <w:p w:rsidR="00C223F5" w:rsidRPr="00927E76" w:rsidRDefault="005860D5">
            <w:pPr>
              <w:jc w:val="center"/>
              <w:rPr>
                <w:sz w:val="18"/>
                <w:szCs w:val="18"/>
              </w:rPr>
            </w:pPr>
            <w:r w:rsidRPr="00927E76">
              <w:rPr>
                <w:sz w:val="18"/>
                <w:szCs w:val="18"/>
              </w:rPr>
              <w:t>109°2</w:t>
            </w:r>
            <w:r w:rsidRPr="00927E76">
              <w:rPr>
                <w:rFonts w:hint="eastAsia"/>
                <w:sz w:val="18"/>
                <w:szCs w:val="18"/>
              </w:rPr>
              <w:t>7</w:t>
            </w:r>
            <w:r w:rsidRPr="00927E76">
              <w:rPr>
                <w:sz w:val="18"/>
                <w:szCs w:val="18"/>
              </w:rPr>
              <w:t>′</w:t>
            </w:r>
            <w:r w:rsidRPr="00927E76">
              <w:rPr>
                <w:rFonts w:hint="eastAsia"/>
                <w:sz w:val="18"/>
                <w:szCs w:val="18"/>
              </w:rPr>
              <w:t>34</w:t>
            </w:r>
            <w:r w:rsidRPr="00927E76">
              <w:rPr>
                <w:sz w:val="18"/>
                <w:szCs w:val="18"/>
              </w:rPr>
              <w:t>″</w:t>
            </w:r>
          </w:p>
        </w:tc>
        <w:tc>
          <w:tcPr>
            <w:tcW w:w="949" w:type="dxa"/>
            <w:vAlign w:val="center"/>
          </w:tcPr>
          <w:p w:rsidR="00C223F5" w:rsidRPr="00927E76" w:rsidRDefault="005860D5">
            <w:pPr>
              <w:jc w:val="center"/>
              <w:rPr>
                <w:sz w:val="18"/>
                <w:szCs w:val="18"/>
              </w:rPr>
            </w:pPr>
            <w:r w:rsidRPr="00927E76">
              <w:rPr>
                <w:rFonts w:hint="eastAsia"/>
                <w:sz w:val="18"/>
                <w:szCs w:val="18"/>
              </w:rPr>
              <w:t>37</w:t>
            </w:r>
            <w:r w:rsidRPr="00927E76">
              <w:rPr>
                <w:sz w:val="18"/>
                <w:szCs w:val="18"/>
              </w:rPr>
              <w:t>°</w:t>
            </w:r>
            <w:r w:rsidRPr="00927E76">
              <w:rPr>
                <w:rFonts w:hint="eastAsia"/>
                <w:sz w:val="18"/>
                <w:szCs w:val="18"/>
              </w:rPr>
              <w:t>33</w:t>
            </w:r>
            <w:r w:rsidRPr="00927E76">
              <w:rPr>
                <w:sz w:val="18"/>
                <w:szCs w:val="18"/>
              </w:rPr>
              <w:t>′</w:t>
            </w:r>
            <w:r w:rsidRPr="00927E76">
              <w:rPr>
                <w:rFonts w:hint="eastAsia"/>
                <w:sz w:val="18"/>
                <w:szCs w:val="18"/>
              </w:rPr>
              <w:t>38</w:t>
            </w:r>
            <w:r w:rsidRPr="00927E76">
              <w:rPr>
                <w:sz w:val="18"/>
                <w:szCs w:val="18"/>
              </w:rPr>
              <w:t>″</w:t>
            </w:r>
          </w:p>
        </w:tc>
        <w:tc>
          <w:tcPr>
            <w:tcW w:w="717" w:type="dxa"/>
            <w:vAlign w:val="center"/>
          </w:tcPr>
          <w:p w:rsidR="00C223F5" w:rsidRPr="00B75B2C" w:rsidRDefault="005860D5">
            <w:pPr>
              <w:jc w:val="center"/>
              <w:rPr>
                <w:rFonts w:hAnsi="宋体"/>
                <w:sz w:val="18"/>
                <w:szCs w:val="18"/>
              </w:rPr>
            </w:pPr>
            <w:r w:rsidRPr="00B75B2C">
              <w:rPr>
                <w:rFonts w:hint="eastAsia"/>
                <w:sz w:val="18"/>
                <w:szCs w:val="18"/>
              </w:rPr>
              <w:t>26.87</w:t>
            </w:r>
          </w:p>
        </w:tc>
        <w:tc>
          <w:tcPr>
            <w:tcW w:w="529" w:type="dxa"/>
            <w:vAlign w:val="center"/>
          </w:tcPr>
          <w:p w:rsidR="00C223F5" w:rsidRPr="00927E76" w:rsidRDefault="005860D5">
            <w:pPr>
              <w:jc w:val="center"/>
              <w:rPr>
                <w:sz w:val="18"/>
                <w:szCs w:val="18"/>
              </w:rPr>
            </w:pPr>
            <w:r w:rsidRPr="00927E76">
              <w:rPr>
                <w:rFonts w:hint="eastAsia"/>
                <w:sz w:val="18"/>
                <w:szCs w:val="18"/>
              </w:rPr>
              <w:t>自然</w:t>
            </w:r>
          </w:p>
          <w:p w:rsidR="00C223F5" w:rsidRPr="00927E76" w:rsidRDefault="005860D5">
            <w:pPr>
              <w:jc w:val="center"/>
              <w:rPr>
                <w:sz w:val="18"/>
                <w:szCs w:val="18"/>
              </w:rPr>
            </w:pPr>
            <w:r w:rsidRPr="00927E76">
              <w:rPr>
                <w:rFonts w:hint="eastAsia"/>
                <w:sz w:val="18"/>
                <w:szCs w:val="18"/>
              </w:rPr>
              <w:t>水体</w:t>
            </w:r>
          </w:p>
        </w:tc>
        <w:tc>
          <w:tcPr>
            <w:tcW w:w="483" w:type="dxa"/>
            <w:vAlign w:val="center"/>
          </w:tcPr>
          <w:p w:rsidR="00C223F5" w:rsidRPr="00927E76" w:rsidRDefault="005860D5">
            <w:pPr>
              <w:jc w:val="center"/>
              <w:rPr>
                <w:sz w:val="18"/>
                <w:szCs w:val="18"/>
              </w:rPr>
            </w:pPr>
            <w:r w:rsidRPr="00927E76">
              <w:rPr>
                <w:rFonts w:hint="eastAsia"/>
                <w:sz w:val="18"/>
                <w:szCs w:val="18"/>
              </w:rPr>
              <w:t>连续</w:t>
            </w:r>
          </w:p>
        </w:tc>
        <w:tc>
          <w:tcPr>
            <w:tcW w:w="617" w:type="dxa"/>
            <w:vAlign w:val="center"/>
          </w:tcPr>
          <w:p w:rsidR="00C223F5" w:rsidRPr="00927E76" w:rsidRDefault="005860D5">
            <w:pPr>
              <w:jc w:val="center"/>
              <w:rPr>
                <w:sz w:val="18"/>
                <w:szCs w:val="18"/>
              </w:rPr>
            </w:pPr>
            <w:r w:rsidRPr="00927E76">
              <w:rPr>
                <w:rFonts w:hint="eastAsia"/>
                <w:sz w:val="18"/>
                <w:szCs w:val="18"/>
              </w:rPr>
              <w:t>/</w:t>
            </w:r>
          </w:p>
        </w:tc>
        <w:tc>
          <w:tcPr>
            <w:tcW w:w="718" w:type="dxa"/>
            <w:vAlign w:val="center"/>
          </w:tcPr>
          <w:p w:rsidR="00C223F5" w:rsidRPr="00927E76" w:rsidRDefault="005860D5">
            <w:pPr>
              <w:jc w:val="center"/>
              <w:rPr>
                <w:sz w:val="18"/>
                <w:szCs w:val="18"/>
              </w:rPr>
            </w:pPr>
            <w:r w:rsidRPr="00927E76">
              <w:rPr>
                <w:rFonts w:hint="eastAsia"/>
                <w:sz w:val="18"/>
                <w:szCs w:val="18"/>
              </w:rPr>
              <w:t>蚂蚁河</w:t>
            </w:r>
          </w:p>
        </w:tc>
        <w:tc>
          <w:tcPr>
            <w:tcW w:w="781" w:type="dxa"/>
            <w:vAlign w:val="center"/>
          </w:tcPr>
          <w:p w:rsidR="00C223F5" w:rsidRPr="00927E76" w:rsidRDefault="000F32AE">
            <w:pPr>
              <w:jc w:val="center"/>
              <w:rPr>
                <w:sz w:val="18"/>
                <w:szCs w:val="18"/>
              </w:rPr>
            </w:pPr>
            <w:r w:rsidRPr="00927E76">
              <w:rPr>
                <w:sz w:val="18"/>
                <w:szCs w:val="18"/>
              </w:rPr>
              <w:fldChar w:fldCharType="begin"/>
            </w:r>
            <w:r w:rsidR="005860D5" w:rsidRPr="00927E76">
              <w:rPr>
                <w:rFonts w:hint="eastAsia"/>
                <w:sz w:val="18"/>
                <w:szCs w:val="18"/>
              </w:rPr>
              <w:instrText>= 3 \* ROMAN</w:instrText>
            </w:r>
            <w:r w:rsidRPr="00927E76">
              <w:rPr>
                <w:sz w:val="18"/>
                <w:szCs w:val="18"/>
              </w:rPr>
              <w:fldChar w:fldCharType="separate"/>
            </w:r>
            <w:r w:rsidR="005860D5" w:rsidRPr="00927E76">
              <w:rPr>
                <w:sz w:val="18"/>
                <w:szCs w:val="18"/>
              </w:rPr>
              <w:t>III</w:t>
            </w:r>
            <w:r w:rsidRPr="00927E76">
              <w:rPr>
                <w:sz w:val="18"/>
                <w:szCs w:val="18"/>
              </w:rPr>
              <w:fldChar w:fldCharType="end"/>
            </w:r>
          </w:p>
        </w:tc>
        <w:tc>
          <w:tcPr>
            <w:tcW w:w="851" w:type="dxa"/>
            <w:vAlign w:val="center"/>
          </w:tcPr>
          <w:p w:rsidR="00C223F5" w:rsidRPr="00927E76" w:rsidRDefault="005860D5">
            <w:pPr>
              <w:jc w:val="center"/>
              <w:rPr>
                <w:sz w:val="18"/>
                <w:szCs w:val="18"/>
              </w:rPr>
            </w:pPr>
            <w:r w:rsidRPr="00927E76">
              <w:rPr>
                <w:sz w:val="18"/>
                <w:szCs w:val="18"/>
              </w:rPr>
              <w:t>109°2</w:t>
            </w:r>
            <w:r w:rsidRPr="00927E76">
              <w:rPr>
                <w:rFonts w:hint="eastAsia"/>
                <w:sz w:val="18"/>
                <w:szCs w:val="18"/>
              </w:rPr>
              <w:t>7</w:t>
            </w:r>
            <w:r w:rsidRPr="00927E76">
              <w:rPr>
                <w:sz w:val="18"/>
                <w:szCs w:val="18"/>
              </w:rPr>
              <w:t>′</w:t>
            </w:r>
            <w:r w:rsidRPr="00927E76">
              <w:rPr>
                <w:rFonts w:hint="eastAsia"/>
                <w:sz w:val="18"/>
                <w:szCs w:val="18"/>
              </w:rPr>
              <w:t>34</w:t>
            </w:r>
            <w:r w:rsidRPr="00927E76">
              <w:rPr>
                <w:sz w:val="18"/>
                <w:szCs w:val="18"/>
              </w:rPr>
              <w:t>″</w:t>
            </w:r>
          </w:p>
        </w:tc>
        <w:tc>
          <w:tcPr>
            <w:tcW w:w="761" w:type="dxa"/>
            <w:vAlign w:val="center"/>
          </w:tcPr>
          <w:p w:rsidR="00C223F5" w:rsidRPr="00927E76" w:rsidRDefault="005860D5">
            <w:pPr>
              <w:jc w:val="center"/>
              <w:rPr>
                <w:sz w:val="18"/>
                <w:szCs w:val="18"/>
              </w:rPr>
            </w:pPr>
            <w:r w:rsidRPr="00927E76">
              <w:rPr>
                <w:rFonts w:hint="eastAsia"/>
                <w:sz w:val="18"/>
                <w:szCs w:val="18"/>
              </w:rPr>
              <w:t>37</w:t>
            </w:r>
            <w:r w:rsidRPr="00927E76">
              <w:rPr>
                <w:sz w:val="18"/>
                <w:szCs w:val="18"/>
              </w:rPr>
              <w:t>°</w:t>
            </w:r>
            <w:r w:rsidRPr="00927E76">
              <w:rPr>
                <w:rFonts w:hint="eastAsia"/>
                <w:sz w:val="18"/>
                <w:szCs w:val="18"/>
              </w:rPr>
              <w:t>33</w:t>
            </w:r>
            <w:r w:rsidRPr="00927E76">
              <w:rPr>
                <w:sz w:val="18"/>
                <w:szCs w:val="18"/>
              </w:rPr>
              <w:t>′</w:t>
            </w:r>
            <w:r w:rsidRPr="00927E76">
              <w:rPr>
                <w:rFonts w:hint="eastAsia"/>
                <w:sz w:val="18"/>
                <w:szCs w:val="18"/>
              </w:rPr>
              <w:t>38</w:t>
            </w:r>
            <w:r w:rsidRPr="00927E76">
              <w:rPr>
                <w:sz w:val="18"/>
                <w:szCs w:val="18"/>
              </w:rPr>
              <w:t>″</w:t>
            </w:r>
          </w:p>
        </w:tc>
        <w:tc>
          <w:tcPr>
            <w:tcW w:w="702" w:type="dxa"/>
            <w:vAlign w:val="center"/>
          </w:tcPr>
          <w:p w:rsidR="00C223F5" w:rsidRPr="00927E76" w:rsidRDefault="005860D5">
            <w:pPr>
              <w:jc w:val="center"/>
              <w:rPr>
                <w:sz w:val="18"/>
                <w:szCs w:val="18"/>
              </w:rPr>
            </w:pPr>
            <w:r w:rsidRPr="00927E76">
              <w:rPr>
                <w:rFonts w:hint="eastAsia"/>
                <w:sz w:val="18"/>
                <w:szCs w:val="18"/>
              </w:rPr>
              <w:t>原天云煤矿</w:t>
            </w:r>
          </w:p>
        </w:tc>
      </w:tr>
      <w:tr w:rsidR="00C223F5" w:rsidRPr="00927E76">
        <w:trPr>
          <w:jc w:val="center"/>
        </w:trPr>
        <w:tc>
          <w:tcPr>
            <w:tcW w:w="285" w:type="dxa"/>
            <w:vAlign w:val="center"/>
          </w:tcPr>
          <w:p w:rsidR="00C223F5" w:rsidRPr="00927E76" w:rsidRDefault="005860D5">
            <w:pPr>
              <w:jc w:val="center"/>
              <w:rPr>
                <w:sz w:val="18"/>
                <w:szCs w:val="18"/>
              </w:rPr>
            </w:pPr>
            <w:r w:rsidRPr="00927E76">
              <w:rPr>
                <w:rFonts w:hint="eastAsia"/>
                <w:sz w:val="18"/>
                <w:szCs w:val="18"/>
              </w:rPr>
              <w:t>2</w:t>
            </w:r>
          </w:p>
        </w:tc>
        <w:tc>
          <w:tcPr>
            <w:tcW w:w="784" w:type="dxa"/>
            <w:vMerge/>
            <w:vAlign w:val="center"/>
          </w:tcPr>
          <w:p w:rsidR="00C223F5" w:rsidRPr="00927E76" w:rsidRDefault="00C223F5">
            <w:pPr>
              <w:jc w:val="center"/>
              <w:rPr>
                <w:sz w:val="18"/>
                <w:szCs w:val="18"/>
              </w:rPr>
            </w:pPr>
          </w:p>
        </w:tc>
        <w:tc>
          <w:tcPr>
            <w:tcW w:w="1007" w:type="dxa"/>
            <w:vAlign w:val="center"/>
          </w:tcPr>
          <w:p w:rsidR="00C223F5" w:rsidRPr="00927E76" w:rsidRDefault="005860D5">
            <w:pPr>
              <w:jc w:val="center"/>
              <w:rPr>
                <w:sz w:val="18"/>
                <w:szCs w:val="18"/>
              </w:rPr>
            </w:pPr>
            <w:r w:rsidRPr="00927E76">
              <w:rPr>
                <w:sz w:val="18"/>
                <w:szCs w:val="18"/>
              </w:rPr>
              <w:t>109°2</w:t>
            </w:r>
            <w:r w:rsidRPr="00927E76">
              <w:rPr>
                <w:rFonts w:hint="eastAsia"/>
                <w:sz w:val="18"/>
                <w:szCs w:val="18"/>
              </w:rPr>
              <w:t>7</w:t>
            </w:r>
            <w:r w:rsidRPr="00927E76">
              <w:rPr>
                <w:sz w:val="18"/>
                <w:szCs w:val="18"/>
              </w:rPr>
              <w:t>′</w:t>
            </w:r>
            <w:r w:rsidRPr="00927E76">
              <w:rPr>
                <w:rFonts w:hint="eastAsia"/>
                <w:sz w:val="18"/>
                <w:szCs w:val="18"/>
              </w:rPr>
              <w:t>34</w:t>
            </w:r>
            <w:r w:rsidRPr="00927E76">
              <w:rPr>
                <w:sz w:val="18"/>
                <w:szCs w:val="18"/>
              </w:rPr>
              <w:t>″</w:t>
            </w:r>
          </w:p>
        </w:tc>
        <w:tc>
          <w:tcPr>
            <w:tcW w:w="949" w:type="dxa"/>
            <w:vAlign w:val="center"/>
          </w:tcPr>
          <w:p w:rsidR="00C223F5" w:rsidRPr="00927E76" w:rsidRDefault="005860D5">
            <w:pPr>
              <w:jc w:val="center"/>
              <w:rPr>
                <w:sz w:val="18"/>
                <w:szCs w:val="18"/>
              </w:rPr>
            </w:pPr>
            <w:r w:rsidRPr="00927E76">
              <w:rPr>
                <w:rFonts w:hint="eastAsia"/>
                <w:sz w:val="18"/>
                <w:szCs w:val="18"/>
              </w:rPr>
              <w:t>37</w:t>
            </w:r>
            <w:r w:rsidRPr="00927E76">
              <w:rPr>
                <w:sz w:val="18"/>
                <w:szCs w:val="18"/>
              </w:rPr>
              <w:t>°</w:t>
            </w:r>
            <w:r w:rsidRPr="00927E76">
              <w:rPr>
                <w:rFonts w:hint="eastAsia"/>
                <w:sz w:val="18"/>
                <w:szCs w:val="18"/>
              </w:rPr>
              <w:t>33</w:t>
            </w:r>
            <w:r w:rsidRPr="00927E76">
              <w:rPr>
                <w:sz w:val="18"/>
                <w:szCs w:val="18"/>
              </w:rPr>
              <w:t>′</w:t>
            </w:r>
            <w:r w:rsidRPr="00927E76">
              <w:rPr>
                <w:rFonts w:hint="eastAsia"/>
                <w:sz w:val="18"/>
                <w:szCs w:val="18"/>
              </w:rPr>
              <w:t>38</w:t>
            </w:r>
            <w:r w:rsidRPr="00927E76">
              <w:rPr>
                <w:sz w:val="18"/>
                <w:szCs w:val="18"/>
              </w:rPr>
              <w:t>″</w:t>
            </w:r>
          </w:p>
        </w:tc>
        <w:tc>
          <w:tcPr>
            <w:tcW w:w="717" w:type="dxa"/>
            <w:vAlign w:val="center"/>
          </w:tcPr>
          <w:p w:rsidR="00C223F5" w:rsidRPr="00B75B2C" w:rsidRDefault="00B75B2C">
            <w:pPr>
              <w:jc w:val="center"/>
              <w:rPr>
                <w:sz w:val="18"/>
                <w:szCs w:val="18"/>
              </w:rPr>
            </w:pPr>
            <w:r w:rsidRPr="00B75B2C">
              <w:rPr>
                <w:rFonts w:hint="eastAsia"/>
                <w:color w:val="FF0000"/>
                <w:sz w:val="18"/>
                <w:szCs w:val="18"/>
              </w:rPr>
              <w:t>22.49</w:t>
            </w:r>
          </w:p>
        </w:tc>
        <w:tc>
          <w:tcPr>
            <w:tcW w:w="529" w:type="dxa"/>
            <w:vAlign w:val="center"/>
          </w:tcPr>
          <w:p w:rsidR="00C223F5" w:rsidRPr="00927E76" w:rsidRDefault="005860D5">
            <w:pPr>
              <w:jc w:val="center"/>
              <w:rPr>
                <w:sz w:val="18"/>
                <w:szCs w:val="18"/>
              </w:rPr>
            </w:pPr>
            <w:r w:rsidRPr="00927E76">
              <w:rPr>
                <w:rFonts w:hint="eastAsia"/>
                <w:sz w:val="18"/>
                <w:szCs w:val="18"/>
              </w:rPr>
              <w:t>自然</w:t>
            </w:r>
          </w:p>
          <w:p w:rsidR="00C223F5" w:rsidRPr="00927E76" w:rsidRDefault="005860D5">
            <w:pPr>
              <w:jc w:val="center"/>
              <w:rPr>
                <w:sz w:val="18"/>
                <w:szCs w:val="18"/>
              </w:rPr>
            </w:pPr>
            <w:r w:rsidRPr="00927E76">
              <w:rPr>
                <w:rFonts w:hint="eastAsia"/>
                <w:sz w:val="18"/>
                <w:szCs w:val="18"/>
              </w:rPr>
              <w:t>水体</w:t>
            </w:r>
          </w:p>
        </w:tc>
        <w:tc>
          <w:tcPr>
            <w:tcW w:w="483" w:type="dxa"/>
            <w:vAlign w:val="center"/>
          </w:tcPr>
          <w:p w:rsidR="00C223F5" w:rsidRPr="00927E76" w:rsidRDefault="005860D5">
            <w:pPr>
              <w:jc w:val="center"/>
              <w:rPr>
                <w:sz w:val="18"/>
                <w:szCs w:val="18"/>
              </w:rPr>
            </w:pPr>
            <w:r w:rsidRPr="00927E76">
              <w:rPr>
                <w:rFonts w:hint="eastAsia"/>
                <w:sz w:val="18"/>
                <w:szCs w:val="18"/>
              </w:rPr>
              <w:t>连续</w:t>
            </w:r>
          </w:p>
        </w:tc>
        <w:tc>
          <w:tcPr>
            <w:tcW w:w="617" w:type="dxa"/>
            <w:vAlign w:val="center"/>
          </w:tcPr>
          <w:p w:rsidR="00C223F5" w:rsidRPr="00927E76" w:rsidRDefault="005860D5">
            <w:pPr>
              <w:jc w:val="center"/>
              <w:rPr>
                <w:sz w:val="18"/>
                <w:szCs w:val="18"/>
              </w:rPr>
            </w:pPr>
            <w:r w:rsidRPr="00927E76">
              <w:rPr>
                <w:rFonts w:hint="eastAsia"/>
                <w:sz w:val="18"/>
                <w:szCs w:val="18"/>
              </w:rPr>
              <w:t>/</w:t>
            </w:r>
          </w:p>
        </w:tc>
        <w:tc>
          <w:tcPr>
            <w:tcW w:w="718" w:type="dxa"/>
            <w:vAlign w:val="center"/>
          </w:tcPr>
          <w:p w:rsidR="00C223F5" w:rsidRPr="00927E76" w:rsidRDefault="005860D5">
            <w:pPr>
              <w:jc w:val="center"/>
              <w:rPr>
                <w:sz w:val="18"/>
                <w:szCs w:val="18"/>
              </w:rPr>
            </w:pPr>
            <w:r w:rsidRPr="00927E76">
              <w:rPr>
                <w:rFonts w:hint="eastAsia"/>
                <w:sz w:val="18"/>
                <w:szCs w:val="18"/>
              </w:rPr>
              <w:t>蚂蚁河</w:t>
            </w:r>
          </w:p>
        </w:tc>
        <w:tc>
          <w:tcPr>
            <w:tcW w:w="781" w:type="dxa"/>
            <w:vAlign w:val="center"/>
          </w:tcPr>
          <w:p w:rsidR="00C223F5" w:rsidRPr="00927E76" w:rsidRDefault="000F32AE">
            <w:pPr>
              <w:jc w:val="center"/>
              <w:rPr>
                <w:sz w:val="18"/>
                <w:szCs w:val="18"/>
              </w:rPr>
            </w:pPr>
            <w:r w:rsidRPr="00927E76">
              <w:rPr>
                <w:sz w:val="18"/>
                <w:szCs w:val="18"/>
              </w:rPr>
              <w:fldChar w:fldCharType="begin"/>
            </w:r>
            <w:r w:rsidR="005860D5" w:rsidRPr="00927E76">
              <w:rPr>
                <w:rFonts w:hint="eastAsia"/>
                <w:sz w:val="18"/>
                <w:szCs w:val="18"/>
              </w:rPr>
              <w:instrText>= 3 \* ROMAN</w:instrText>
            </w:r>
            <w:r w:rsidRPr="00927E76">
              <w:rPr>
                <w:sz w:val="18"/>
                <w:szCs w:val="18"/>
              </w:rPr>
              <w:fldChar w:fldCharType="separate"/>
            </w:r>
            <w:r w:rsidR="005860D5" w:rsidRPr="00927E76">
              <w:rPr>
                <w:sz w:val="18"/>
                <w:szCs w:val="18"/>
              </w:rPr>
              <w:t>III</w:t>
            </w:r>
            <w:r w:rsidRPr="00927E76">
              <w:rPr>
                <w:sz w:val="18"/>
                <w:szCs w:val="18"/>
              </w:rPr>
              <w:fldChar w:fldCharType="end"/>
            </w:r>
          </w:p>
        </w:tc>
        <w:tc>
          <w:tcPr>
            <w:tcW w:w="851" w:type="dxa"/>
            <w:vAlign w:val="center"/>
          </w:tcPr>
          <w:p w:rsidR="00C223F5" w:rsidRPr="00927E76" w:rsidRDefault="005860D5">
            <w:pPr>
              <w:jc w:val="center"/>
              <w:rPr>
                <w:sz w:val="18"/>
                <w:szCs w:val="18"/>
              </w:rPr>
            </w:pPr>
            <w:r w:rsidRPr="00927E76">
              <w:rPr>
                <w:sz w:val="18"/>
                <w:szCs w:val="18"/>
              </w:rPr>
              <w:t>109°2</w:t>
            </w:r>
            <w:r w:rsidRPr="00927E76">
              <w:rPr>
                <w:rFonts w:hint="eastAsia"/>
                <w:sz w:val="18"/>
                <w:szCs w:val="18"/>
              </w:rPr>
              <w:t>7</w:t>
            </w:r>
            <w:r w:rsidRPr="00927E76">
              <w:rPr>
                <w:sz w:val="18"/>
                <w:szCs w:val="18"/>
              </w:rPr>
              <w:t>′</w:t>
            </w:r>
            <w:r w:rsidRPr="00927E76">
              <w:rPr>
                <w:rFonts w:hint="eastAsia"/>
                <w:sz w:val="18"/>
                <w:szCs w:val="18"/>
              </w:rPr>
              <w:t>34</w:t>
            </w:r>
            <w:r w:rsidRPr="00927E76">
              <w:rPr>
                <w:sz w:val="18"/>
                <w:szCs w:val="18"/>
              </w:rPr>
              <w:t>″</w:t>
            </w:r>
          </w:p>
        </w:tc>
        <w:tc>
          <w:tcPr>
            <w:tcW w:w="761" w:type="dxa"/>
            <w:vAlign w:val="center"/>
          </w:tcPr>
          <w:p w:rsidR="00C223F5" w:rsidRPr="00927E76" w:rsidRDefault="005860D5">
            <w:pPr>
              <w:jc w:val="center"/>
              <w:rPr>
                <w:sz w:val="18"/>
                <w:szCs w:val="18"/>
              </w:rPr>
            </w:pPr>
            <w:r w:rsidRPr="00927E76">
              <w:rPr>
                <w:rFonts w:hint="eastAsia"/>
                <w:sz w:val="18"/>
                <w:szCs w:val="18"/>
              </w:rPr>
              <w:t>37</w:t>
            </w:r>
            <w:r w:rsidRPr="00927E76">
              <w:rPr>
                <w:sz w:val="18"/>
                <w:szCs w:val="18"/>
              </w:rPr>
              <w:t>°</w:t>
            </w:r>
            <w:r w:rsidRPr="00927E76">
              <w:rPr>
                <w:rFonts w:hint="eastAsia"/>
                <w:sz w:val="18"/>
                <w:szCs w:val="18"/>
              </w:rPr>
              <w:t>33</w:t>
            </w:r>
            <w:r w:rsidRPr="00927E76">
              <w:rPr>
                <w:sz w:val="18"/>
                <w:szCs w:val="18"/>
              </w:rPr>
              <w:t>′</w:t>
            </w:r>
            <w:r w:rsidRPr="00927E76">
              <w:rPr>
                <w:rFonts w:hint="eastAsia"/>
                <w:sz w:val="18"/>
                <w:szCs w:val="18"/>
              </w:rPr>
              <w:t>38</w:t>
            </w:r>
            <w:r w:rsidRPr="00927E76">
              <w:rPr>
                <w:sz w:val="18"/>
                <w:szCs w:val="18"/>
              </w:rPr>
              <w:t>″</w:t>
            </w:r>
          </w:p>
        </w:tc>
        <w:tc>
          <w:tcPr>
            <w:tcW w:w="702" w:type="dxa"/>
            <w:vAlign w:val="center"/>
          </w:tcPr>
          <w:p w:rsidR="00C223F5" w:rsidRPr="00927E76" w:rsidRDefault="005860D5">
            <w:pPr>
              <w:jc w:val="center"/>
              <w:rPr>
                <w:sz w:val="18"/>
                <w:szCs w:val="18"/>
              </w:rPr>
            </w:pPr>
            <w:r w:rsidRPr="00927E76">
              <w:rPr>
                <w:rFonts w:hint="eastAsia"/>
                <w:sz w:val="18"/>
                <w:szCs w:val="18"/>
              </w:rPr>
              <w:t>本次</w:t>
            </w:r>
          </w:p>
          <w:p w:rsidR="00C223F5" w:rsidRPr="00927E76" w:rsidRDefault="005860D5">
            <w:pPr>
              <w:jc w:val="center"/>
              <w:rPr>
                <w:sz w:val="18"/>
                <w:szCs w:val="18"/>
              </w:rPr>
            </w:pPr>
            <w:r w:rsidRPr="00927E76">
              <w:rPr>
                <w:rFonts w:hint="eastAsia"/>
                <w:sz w:val="18"/>
                <w:szCs w:val="18"/>
              </w:rPr>
              <w:t>整合</w:t>
            </w:r>
          </w:p>
        </w:tc>
      </w:tr>
    </w:tbl>
    <w:p w:rsidR="00C223F5" w:rsidRPr="00927E76" w:rsidRDefault="005860D5">
      <w:pPr>
        <w:spacing w:line="360" w:lineRule="auto"/>
        <w:ind w:firstLineChars="200" w:firstLine="482"/>
        <w:rPr>
          <w:b/>
          <w:sz w:val="24"/>
        </w:rPr>
      </w:pPr>
      <w:r w:rsidRPr="00927E76">
        <w:rPr>
          <w:b/>
          <w:sz w:val="24"/>
        </w:rPr>
        <w:t>（</w:t>
      </w:r>
      <w:r w:rsidRPr="00927E76">
        <w:rPr>
          <w:rFonts w:hint="eastAsia"/>
          <w:b/>
          <w:sz w:val="24"/>
        </w:rPr>
        <w:t>二</w:t>
      </w:r>
      <w:r w:rsidRPr="00927E76">
        <w:rPr>
          <w:b/>
          <w:sz w:val="24"/>
        </w:rPr>
        <w:t>）</w:t>
      </w:r>
      <w:r w:rsidRPr="00927E76">
        <w:rPr>
          <w:rFonts w:hint="eastAsia"/>
          <w:b/>
          <w:sz w:val="24"/>
        </w:rPr>
        <w:t>整合前后</w:t>
      </w:r>
      <w:r w:rsidRPr="00927E76">
        <w:rPr>
          <w:b/>
          <w:sz w:val="24"/>
        </w:rPr>
        <w:t>污废水水质</w:t>
      </w:r>
    </w:p>
    <w:p w:rsidR="00C223F5" w:rsidRPr="00927E76" w:rsidRDefault="005860D5">
      <w:pPr>
        <w:spacing w:line="360" w:lineRule="auto"/>
        <w:ind w:firstLineChars="200" w:firstLine="480"/>
        <w:rPr>
          <w:sz w:val="24"/>
        </w:rPr>
      </w:pPr>
      <w:r w:rsidRPr="00927E76">
        <w:rPr>
          <w:rFonts w:hint="eastAsia"/>
          <w:sz w:val="24"/>
        </w:rPr>
        <w:t>根据《横山县天云煤矿有限公司煤矿资源整合项目入河排污口设置论证报告》以及《横山县天云煤矿有限公司煤矿资源整合项目竣工环境保护验收调查报告》（陕环咨（验）字</w:t>
      </w:r>
      <w:r w:rsidRPr="00927E76">
        <w:rPr>
          <w:rFonts w:hint="eastAsia"/>
          <w:sz w:val="24"/>
        </w:rPr>
        <w:t>[2016]</w:t>
      </w:r>
      <w:r w:rsidRPr="00927E76">
        <w:rPr>
          <w:rFonts w:hint="eastAsia"/>
          <w:sz w:val="24"/>
        </w:rPr>
        <w:t>第</w:t>
      </w:r>
      <w:r w:rsidRPr="00927E76">
        <w:rPr>
          <w:rFonts w:hint="eastAsia"/>
          <w:sz w:val="24"/>
        </w:rPr>
        <w:t>040</w:t>
      </w:r>
      <w:r w:rsidRPr="00927E76">
        <w:rPr>
          <w:rFonts w:hint="eastAsia"/>
          <w:sz w:val="24"/>
        </w:rPr>
        <w:t>号），原天云煤矿工业场地生活污水经处理后全部回用，不外排；矿井正常涌水量</w:t>
      </w:r>
      <w:r w:rsidRPr="00927E76">
        <w:rPr>
          <w:rFonts w:hint="eastAsia"/>
          <w:sz w:val="24"/>
        </w:rPr>
        <w:t>1078m</w:t>
      </w:r>
      <w:r w:rsidRPr="00927E76">
        <w:rPr>
          <w:rFonts w:hint="eastAsia"/>
          <w:sz w:val="24"/>
          <w:vertAlign w:val="superscript"/>
        </w:rPr>
        <w:t>3</w:t>
      </w:r>
      <w:r w:rsidRPr="00927E76">
        <w:rPr>
          <w:rFonts w:hint="eastAsia"/>
          <w:sz w:val="24"/>
        </w:rPr>
        <w:t>/d</w:t>
      </w:r>
      <w:r w:rsidRPr="00927E76">
        <w:rPr>
          <w:rFonts w:hint="eastAsia"/>
          <w:sz w:val="24"/>
        </w:rPr>
        <w:t>，扣除处理过程损耗及矿井自用水量，剩余</w:t>
      </w:r>
      <w:r w:rsidRPr="00927E76">
        <w:rPr>
          <w:rFonts w:hint="eastAsia"/>
          <w:sz w:val="24"/>
        </w:rPr>
        <w:t>700m</w:t>
      </w:r>
      <w:r w:rsidRPr="00927E76">
        <w:rPr>
          <w:rFonts w:hint="eastAsia"/>
          <w:sz w:val="24"/>
          <w:vertAlign w:val="superscript"/>
        </w:rPr>
        <w:t>3</w:t>
      </w:r>
      <w:r w:rsidRPr="00927E76">
        <w:rPr>
          <w:rFonts w:hint="eastAsia"/>
          <w:sz w:val="24"/>
        </w:rPr>
        <w:t>/d</w:t>
      </w:r>
      <w:r w:rsidRPr="00927E76">
        <w:rPr>
          <w:rFonts w:hint="eastAsia"/>
          <w:sz w:val="24"/>
        </w:rPr>
        <w:t>排至蚂蚁河，排放化学需氧量</w:t>
      </w:r>
      <w:r w:rsidRPr="00927E76">
        <w:rPr>
          <w:rFonts w:hint="eastAsia"/>
          <w:sz w:val="24"/>
        </w:rPr>
        <w:t>11.28t/a</w:t>
      </w:r>
      <w:r w:rsidRPr="00927E76">
        <w:rPr>
          <w:rFonts w:hint="eastAsia"/>
          <w:sz w:val="24"/>
        </w:rPr>
        <w:t>，</w:t>
      </w:r>
      <w:r w:rsidRPr="00B75B2C">
        <w:rPr>
          <w:rFonts w:hint="eastAsia"/>
          <w:color w:val="FF0000"/>
          <w:sz w:val="24"/>
        </w:rPr>
        <w:t>氨氮</w:t>
      </w:r>
      <w:r w:rsidRPr="00B75B2C">
        <w:rPr>
          <w:rFonts w:hint="eastAsia"/>
          <w:color w:val="FF0000"/>
          <w:sz w:val="24"/>
        </w:rPr>
        <w:t>0.</w:t>
      </w:r>
      <w:r w:rsidR="00B75B2C" w:rsidRPr="00B75B2C">
        <w:rPr>
          <w:color w:val="FF0000"/>
          <w:sz w:val="24"/>
        </w:rPr>
        <w:t>14</w:t>
      </w:r>
      <w:r w:rsidRPr="00B75B2C">
        <w:rPr>
          <w:rFonts w:hint="eastAsia"/>
          <w:color w:val="FF0000"/>
          <w:sz w:val="24"/>
        </w:rPr>
        <w:t>t/a</w:t>
      </w:r>
      <w:r w:rsidRPr="00B75B2C">
        <w:rPr>
          <w:rFonts w:hint="eastAsia"/>
          <w:color w:val="FF0000"/>
          <w:sz w:val="24"/>
        </w:rPr>
        <w:t>。</w:t>
      </w:r>
    </w:p>
    <w:p w:rsidR="00C223F5" w:rsidRPr="00927E76" w:rsidRDefault="005860D5">
      <w:pPr>
        <w:spacing w:line="360" w:lineRule="auto"/>
        <w:ind w:firstLineChars="200" w:firstLine="480"/>
        <w:rPr>
          <w:sz w:val="24"/>
        </w:rPr>
      </w:pPr>
      <w:r w:rsidRPr="00927E76">
        <w:rPr>
          <w:rFonts w:hint="eastAsia"/>
          <w:sz w:val="24"/>
        </w:rPr>
        <w:t>本次整合工程在原天云煤矿工业场地新建矿井水处理站和生活污水处理站，污废水处理工艺的去除效率较原工艺未降低。矿井污废水排放情况见表</w:t>
      </w:r>
      <w:r w:rsidRPr="00927E76">
        <w:rPr>
          <w:rFonts w:hint="eastAsia"/>
          <w:sz w:val="24"/>
        </w:rPr>
        <w:t>4.2.3-3</w:t>
      </w:r>
      <w:r w:rsidRPr="00927E76">
        <w:rPr>
          <w:rFonts w:hint="eastAsia"/>
          <w:sz w:val="24"/>
        </w:rPr>
        <w:t>，废水排放执行标准见表</w:t>
      </w:r>
      <w:r w:rsidRPr="00927E76">
        <w:rPr>
          <w:rFonts w:hint="eastAsia"/>
          <w:sz w:val="24"/>
        </w:rPr>
        <w:t>4.2.3-4</w:t>
      </w:r>
      <w:r w:rsidRPr="00927E76">
        <w:rPr>
          <w:rFonts w:hint="eastAsia"/>
          <w:sz w:val="24"/>
        </w:rPr>
        <w:t>，废水污染物排放信息见表</w:t>
      </w:r>
      <w:r w:rsidRPr="00927E76">
        <w:rPr>
          <w:rFonts w:hint="eastAsia"/>
          <w:sz w:val="24"/>
        </w:rPr>
        <w:t>4.2.3-5</w:t>
      </w:r>
      <w:r w:rsidRPr="00927E76">
        <w:rPr>
          <w:rFonts w:hint="eastAsia"/>
          <w:sz w:val="24"/>
        </w:rPr>
        <w:t>。</w:t>
      </w:r>
    </w:p>
    <w:p w:rsidR="00C223F5" w:rsidRPr="00927E76" w:rsidRDefault="005860D5">
      <w:pPr>
        <w:jc w:val="center"/>
        <w:rPr>
          <w:b/>
          <w:sz w:val="24"/>
          <w:szCs w:val="21"/>
        </w:rPr>
      </w:pPr>
      <w:r w:rsidRPr="00927E76">
        <w:rPr>
          <w:b/>
          <w:sz w:val="24"/>
          <w:szCs w:val="21"/>
        </w:rPr>
        <w:t>表</w:t>
      </w:r>
      <w:r w:rsidRPr="00927E76">
        <w:rPr>
          <w:b/>
          <w:sz w:val="24"/>
          <w:szCs w:val="21"/>
        </w:rPr>
        <w:t>4.2.3-</w:t>
      </w:r>
      <w:r w:rsidRPr="00927E76">
        <w:rPr>
          <w:rFonts w:hint="eastAsia"/>
          <w:b/>
          <w:sz w:val="24"/>
          <w:szCs w:val="21"/>
        </w:rPr>
        <w:t>3</w:t>
      </w:r>
      <w:r w:rsidRPr="00927E76">
        <w:rPr>
          <w:b/>
          <w:sz w:val="24"/>
          <w:szCs w:val="21"/>
        </w:rPr>
        <w:t xml:space="preserve">   </w:t>
      </w:r>
      <w:r w:rsidRPr="00927E76">
        <w:rPr>
          <w:b/>
          <w:sz w:val="24"/>
          <w:szCs w:val="21"/>
        </w:rPr>
        <w:t>矿井</w:t>
      </w:r>
      <w:r w:rsidRPr="00927E76">
        <w:rPr>
          <w:rFonts w:hint="eastAsia"/>
          <w:b/>
          <w:sz w:val="24"/>
          <w:szCs w:val="21"/>
        </w:rPr>
        <w:t>整合前后</w:t>
      </w:r>
      <w:r w:rsidRPr="00927E76">
        <w:rPr>
          <w:b/>
          <w:sz w:val="24"/>
          <w:szCs w:val="21"/>
        </w:rPr>
        <w:t>污废水排放情况表</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1004"/>
        <w:gridCol w:w="1231"/>
        <w:gridCol w:w="1015"/>
        <w:gridCol w:w="1008"/>
        <w:gridCol w:w="2865"/>
        <w:gridCol w:w="842"/>
        <w:gridCol w:w="822"/>
      </w:tblGrid>
      <w:tr w:rsidR="00C223F5" w:rsidRPr="00927E76">
        <w:trPr>
          <w:jc w:val="center"/>
        </w:trPr>
        <w:tc>
          <w:tcPr>
            <w:tcW w:w="1004" w:type="dxa"/>
            <w:vMerge w:val="restart"/>
            <w:vAlign w:val="center"/>
          </w:tcPr>
          <w:p w:rsidR="00C223F5" w:rsidRPr="00927E76" w:rsidRDefault="005860D5">
            <w:pPr>
              <w:jc w:val="center"/>
              <w:rPr>
                <w:szCs w:val="21"/>
              </w:rPr>
            </w:pPr>
            <w:r w:rsidRPr="00927E76">
              <w:rPr>
                <w:szCs w:val="21"/>
              </w:rPr>
              <w:t>废水</w:t>
            </w:r>
          </w:p>
          <w:p w:rsidR="00C223F5" w:rsidRPr="00927E76" w:rsidRDefault="005860D5">
            <w:pPr>
              <w:jc w:val="center"/>
              <w:rPr>
                <w:szCs w:val="21"/>
              </w:rPr>
            </w:pPr>
            <w:r w:rsidRPr="00927E76">
              <w:rPr>
                <w:szCs w:val="21"/>
              </w:rPr>
              <w:t>类别</w:t>
            </w:r>
          </w:p>
        </w:tc>
        <w:tc>
          <w:tcPr>
            <w:tcW w:w="1231" w:type="dxa"/>
            <w:vMerge w:val="restart"/>
            <w:tcMar>
              <w:left w:w="0" w:type="dxa"/>
              <w:right w:w="0" w:type="dxa"/>
            </w:tcMar>
            <w:vAlign w:val="center"/>
          </w:tcPr>
          <w:p w:rsidR="00C223F5" w:rsidRPr="00927E76" w:rsidRDefault="005860D5">
            <w:pPr>
              <w:jc w:val="center"/>
              <w:rPr>
                <w:szCs w:val="21"/>
              </w:rPr>
            </w:pPr>
            <w:r w:rsidRPr="00927E76">
              <w:rPr>
                <w:szCs w:val="21"/>
              </w:rPr>
              <w:t>工程情况</w:t>
            </w:r>
          </w:p>
        </w:tc>
        <w:tc>
          <w:tcPr>
            <w:tcW w:w="2023" w:type="dxa"/>
            <w:gridSpan w:val="2"/>
            <w:tcMar>
              <w:left w:w="0" w:type="dxa"/>
              <w:right w:w="0" w:type="dxa"/>
            </w:tcMar>
            <w:vAlign w:val="center"/>
          </w:tcPr>
          <w:p w:rsidR="00C223F5" w:rsidRPr="00927E76" w:rsidRDefault="005860D5">
            <w:pPr>
              <w:jc w:val="center"/>
              <w:rPr>
                <w:szCs w:val="21"/>
              </w:rPr>
            </w:pPr>
            <w:r w:rsidRPr="00927E76">
              <w:rPr>
                <w:szCs w:val="21"/>
              </w:rPr>
              <w:t>排水量</w:t>
            </w:r>
          </w:p>
        </w:tc>
        <w:tc>
          <w:tcPr>
            <w:tcW w:w="2865" w:type="dxa"/>
            <w:vMerge w:val="restart"/>
            <w:tcMar>
              <w:left w:w="0" w:type="dxa"/>
              <w:right w:w="0" w:type="dxa"/>
            </w:tcMar>
            <w:vAlign w:val="center"/>
          </w:tcPr>
          <w:p w:rsidR="00C223F5" w:rsidRPr="00927E76" w:rsidRDefault="005860D5">
            <w:pPr>
              <w:jc w:val="center"/>
              <w:rPr>
                <w:szCs w:val="21"/>
              </w:rPr>
            </w:pPr>
            <w:r w:rsidRPr="00927E76">
              <w:rPr>
                <w:szCs w:val="21"/>
              </w:rPr>
              <w:t>污染治理设施工艺</w:t>
            </w:r>
          </w:p>
        </w:tc>
        <w:tc>
          <w:tcPr>
            <w:tcW w:w="1664" w:type="dxa"/>
            <w:gridSpan w:val="2"/>
            <w:tcMar>
              <w:left w:w="0" w:type="dxa"/>
              <w:right w:w="0" w:type="dxa"/>
            </w:tcMar>
            <w:vAlign w:val="center"/>
          </w:tcPr>
          <w:p w:rsidR="00C223F5" w:rsidRPr="00927E76" w:rsidRDefault="005860D5">
            <w:pPr>
              <w:jc w:val="center"/>
              <w:rPr>
                <w:szCs w:val="21"/>
              </w:rPr>
            </w:pPr>
            <w:r w:rsidRPr="00927E76">
              <w:rPr>
                <w:rFonts w:hint="eastAsia"/>
                <w:szCs w:val="21"/>
              </w:rPr>
              <w:t>排放浓度</w:t>
            </w:r>
            <w:r w:rsidRPr="00927E76">
              <w:rPr>
                <w:szCs w:val="21"/>
              </w:rPr>
              <w:t>（</w:t>
            </w:r>
            <w:r w:rsidRPr="00927E76">
              <w:rPr>
                <w:szCs w:val="21"/>
              </w:rPr>
              <w:t>mg/L</w:t>
            </w:r>
            <w:r w:rsidRPr="00927E76">
              <w:rPr>
                <w:szCs w:val="21"/>
              </w:rPr>
              <w:t>）</w:t>
            </w:r>
          </w:p>
        </w:tc>
      </w:tr>
      <w:tr w:rsidR="00C223F5" w:rsidRPr="00927E76">
        <w:trPr>
          <w:jc w:val="center"/>
        </w:trPr>
        <w:tc>
          <w:tcPr>
            <w:tcW w:w="1004" w:type="dxa"/>
            <w:vMerge/>
            <w:vAlign w:val="center"/>
          </w:tcPr>
          <w:p w:rsidR="00C223F5" w:rsidRPr="00927E76" w:rsidRDefault="00C223F5">
            <w:pPr>
              <w:jc w:val="center"/>
              <w:rPr>
                <w:szCs w:val="21"/>
              </w:rPr>
            </w:pPr>
          </w:p>
        </w:tc>
        <w:tc>
          <w:tcPr>
            <w:tcW w:w="1231" w:type="dxa"/>
            <w:vMerge/>
            <w:tcMar>
              <w:left w:w="0" w:type="dxa"/>
              <w:right w:w="0" w:type="dxa"/>
            </w:tcMar>
            <w:vAlign w:val="center"/>
          </w:tcPr>
          <w:p w:rsidR="00C223F5" w:rsidRPr="00927E76" w:rsidRDefault="00C223F5">
            <w:pPr>
              <w:jc w:val="center"/>
              <w:rPr>
                <w:szCs w:val="21"/>
              </w:rPr>
            </w:pPr>
          </w:p>
        </w:tc>
        <w:tc>
          <w:tcPr>
            <w:tcW w:w="1015" w:type="dxa"/>
            <w:tcMar>
              <w:left w:w="0" w:type="dxa"/>
              <w:right w:w="0" w:type="dxa"/>
            </w:tcMar>
            <w:vAlign w:val="center"/>
          </w:tcPr>
          <w:p w:rsidR="00C223F5" w:rsidRPr="00927E76" w:rsidRDefault="005860D5">
            <w:pPr>
              <w:jc w:val="center"/>
              <w:rPr>
                <w:szCs w:val="21"/>
              </w:rPr>
            </w:pPr>
            <w:r w:rsidRPr="00927E76">
              <w:rPr>
                <w:szCs w:val="21"/>
              </w:rPr>
              <w:t>m</w:t>
            </w:r>
            <w:r w:rsidRPr="00927E76">
              <w:rPr>
                <w:szCs w:val="21"/>
                <w:vertAlign w:val="superscript"/>
              </w:rPr>
              <w:t>3</w:t>
            </w:r>
            <w:r w:rsidRPr="00927E76">
              <w:rPr>
                <w:szCs w:val="21"/>
              </w:rPr>
              <w:t>/d</w:t>
            </w:r>
          </w:p>
        </w:tc>
        <w:tc>
          <w:tcPr>
            <w:tcW w:w="1008" w:type="dxa"/>
            <w:tcMar>
              <w:left w:w="0" w:type="dxa"/>
              <w:right w:w="0" w:type="dxa"/>
            </w:tcMar>
            <w:vAlign w:val="center"/>
          </w:tcPr>
          <w:p w:rsidR="00C223F5" w:rsidRPr="00927E76" w:rsidRDefault="005860D5">
            <w:pPr>
              <w:jc w:val="center"/>
              <w:rPr>
                <w:szCs w:val="21"/>
              </w:rPr>
            </w:pPr>
            <w:r w:rsidRPr="00927E76">
              <w:rPr>
                <w:rFonts w:hint="eastAsia"/>
                <w:szCs w:val="21"/>
              </w:rPr>
              <w:t>万</w:t>
            </w:r>
            <w:r w:rsidRPr="00927E76">
              <w:rPr>
                <w:rFonts w:hint="eastAsia"/>
                <w:szCs w:val="21"/>
              </w:rPr>
              <w:t>t/a</w:t>
            </w:r>
          </w:p>
        </w:tc>
        <w:tc>
          <w:tcPr>
            <w:tcW w:w="2865" w:type="dxa"/>
            <w:vMerge/>
            <w:tcMar>
              <w:left w:w="0" w:type="dxa"/>
              <w:right w:w="0" w:type="dxa"/>
            </w:tcMar>
            <w:vAlign w:val="center"/>
          </w:tcPr>
          <w:p w:rsidR="00C223F5" w:rsidRPr="00927E76" w:rsidRDefault="00C223F5">
            <w:pPr>
              <w:jc w:val="center"/>
              <w:rPr>
                <w:szCs w:val="21"/>
              </w:rPr>
            </w:pPr>
          </w:p>
        </w:tc>
        <w:tc>
          <w:tcPr>
            <w:tcW w:w="842" w:type="dxa"/>
            <w:tcMar>
              <w:left w:w="0" w:type="dxa"/>
              <w:right w:w="0" w:type="dxa"/>
            </w:tcMar>
            <w:vAlign w:val="center"/>
          </w:tcPr>
          <w:p w:rsidR="00C223F5" w:rsidRPr="00927E76" w:rsidRDefault="005860D5">
            <w:pPr>
              <w:jc w:val="center"/>
              <w:rPr>
                <w:szCs w:val="21"/>
              </w:rPr>
            </w:pPr>
            <w:r w:rsidRPr="00927E76">
              <w:rPr>
                <w:szCs w:val="21"/>
              </w:rPr>
              <w:t>COD</w:t>
            </w:r>
          </w:p>
        </w:tc>
        <w:tc>
          <w:tcPr>
            <w:tcW w:w="822" w:type="dxa"/>
            <w:tcMar>
              <w:left w:w="0" w:type="dxa"/>
              <w:right w:w="0" w:type="dxa"/>
            </w:tcMar>
            <w:vAlign w:val="center"/>
          </w:tcPr>
          <w:p w:rsidR="00C223F5" w:rsidRPr="00927E76" w:rsidRDefault="005860D5">
            <w:pPr>
              <w:jc w:val="center"/>
              <w:rPr>
                <w:szCs w:val="21"/>
              </w:rPr>
            </w:pPr>
            <w:r w:rsidRPr="00927E76">
              <w:rPr>
                <w:szCs w:val="21"/>
              </w:rPr>
              <w:t>氨氮</w:t>
            </w:r>
          </w:p>
        </w:tc>
      </w:tr>
      <w:tr w:rsidR="00C223F5" w:rsidRPr="00927E76">
        <w:trPr>
          <w:trHeight w:val="366"/>
          <w:jc w:val="center"/>
        </w:trPr>
        <w:tc>
          <w:tcPr>
            <w:tcW w:w="1004" w:type="dxa"/>
            <w:vMerge w:val="restart"/>
            <w:vAlign w:val="center"/>
          </w:tcPr>
          <w:p w:rsidR="00C223F5" w:rsidRPr="00927E76" w:rsidRDefault="005860D5">
            <w:pPr>
              <w:jc w:val="center"/>
              <w:rPr>
                <w:szCs w:val="21"/>
              </w:rPr>
            </w:pPr>
            <w:r w:rsidRPr="00927E76">
              <w:rPr>
                <w:szCs w:val="21"/>
              </w:rPr>
              <w:t>井下</w:t>
            </w:r>
          </w:p>
          <w:p w:rsidR="00C223F5" w:rsidRPr="00927E76" w:rsidRDefault="005860D5">
            <w:pPr>
              <w:jc w:val="center"/>
              <w:rPr>
                <w:szCs w:val="21"/>
              </w:rPr>
            </w:pPr>
            <w:r w:rsidRPr="00927E76">
              <w:rPr>
                <w:szCs w:val="21"/>
              </w:rPr>
              <w:t>排水</w:t>
            </w:r>
          </w:p>
        </w:tc>
        <w:tc>
          <w:tcPr>
            <w:tcW w:w="1231" w:type="dxa"/>
            <w:tcMar>
              <w:left w:w="0" w:type="dxa"/>
              <w:right w:w="0" w:type="dxa"/>
            </w:tcMar>
            <w:vAlign w:val="center"/>
          </w:tcPr>
          <w:p w:rsidR="00C223F5" w:rsidRPr="00927E76" w:rsidRDefault="005860D5">
            <w:pPr>
              <w:jc w:val="center"/>
              <w:rPr>
                <w:szCs w:val="21"/>
              </w:rPr>
            </w:pPr>
            <w:r w:rsidRPr="00927E76">
              <w:rPr>
                <w:szCs w:val="21"/>
              </w:rPr>
              <w:t>原天云煤矿</w:t>
            </w:r>
          </w:p>
        </w:tc>
        <w:tc>
          <w:tcPr>
            <w:tcW w:w="1015" w:type="dxa"/>
            <w:tcMar>
              <w:left w:w="0" w:type="dxa"/>
              <w:right w:w="0" w:type="dxa"/>
            </w:tcMar>
            <w:vAlign w:val="center"/>
          </w:tcPr>
          <w:p w:rsidR="00C223F5" w:rsidRPr="00927E76" w:rsidRDefault="005860D5">
            <w:pPr>
              <w:jc w:val="center"/>
              <w:rPr>
                <w:szCs w:val="21"/>
              </w:rPr>
            </w:pPr>
            <w:r w:rsidRPr="00927E76">
              <w:rPr>
                <w:szCs w:val="21"/>
              </w:rPr>
              <w:t>700</w:t>
            </w:r>
          </w:p>
        </w:tc>
        <w:tc>
          <w:tcPr>
            <w:tcW w:w="1008" w:type="dxa"/>
            <w:tcMar>
              <w:left w:w="0" w:type="dxa"/>
              <w:right w:w="0" w:type="dxa"/>
            </w:tcMar>
            <w:vAlign w:val="center"/>
          </w:tcPr>
          <w:p w:rsidR="00C223F5" w:rsidRPr="00927E76" w:rsidRDefault="005860D5">
            <w:pPr>
              <w:jc w:val="center"/>
              <w:rPr>
                <w:rFonts w:hAnsi="宋体"/>
                <w:szCs w:val="21"/>
              </w:rPr>
            </w:pPr>
            <w:r w:rsidRPr="00927E76">
              <w:rPr>
                <w:rFonts w:hint="eastAsia"/>
                <w:szCs w:val="21"/>
              </w:rPr>
              <w:t>26.87</w:t>
            </w:r>
          </w:p>
        </w:tc>
        <w:tc>
          <w:tcPr>
            <w:tcW w:w="2865" w:type="dxa"/>
            <w:tcMar>
              <w:left w:w="0" w:type="dxa"/>
              <w:right w:w="0" w:type="dxa"/>
            </w:tcMar>
            <w:vAlign w:val="center"/>
          </w:tcPr>
          <w:p w:rsidR="00C223F5" w:rsidRPr="00927E76" w:rsidRDefault="005860D5">
            <w:pPr>
              <w:jc w:val="center"/>
              <w:rPr>
                <w:szCs w:val="21"/>
              </w:rPr>
            </w:pPr>
            <w:r w:rsidRPr="00927E76">
              <w:rPr>
                <w:rFonts w:hAnsi="宋体"/>
                <w:szCs w:val="21"/>
              </w:rPr>
              <w:t>混凝沉淀法，三级沉淀处理</w:t>
            </w:r>
          </w:p>
        </w:tc>
        <w:tc>
          <w:tcPr>
            <w:tcW w:w="842" w:type="dxa"/>
            <w:tcMar>
              <w:left w:w="0" w:type="dxa"/>
              <w:right w:w="0" w:type="dxa"/>
            </w:tcMar>
            <w:vAlign w:val="center"/>
          </w:tcPr>
          <w:p w:rsidR="00C223F5" w:rsidRPr="00927E76" w:rsidRDefault="005860D5">
            <w:pPr>
              <w:jc w:val="center"/>
              <w:rPr>
                <w:szCs w:val="21"/>
              </w:rPr>
            </w:pPr>
            <w:r w:rsidRPr="00927E76">
              <w:rPr>
                <w:rFonts w:hint="eastAsia"/>
                <w:szCs w:val="21"/>
              </w:rPr>
              <w:t>42</w:t>
            </w:r>
          </w:p>
        </w:tc>
        <w:tc>
          <w:tcPr>
            <w:tcW w:w="822" w:type="dxa"/>
            <w:tcMar>
              <w:left w:w="0" w:type="dxa"/>
              <w:right w:w="0" w:type="dxa"/>
            </w:tcMar>
            <w:vAlign w:val="center"/>
          </w:tcPr>
          <w:p w:rsidR="00C223F5" w:rsidRPr="00B75B2C" w:rsidRDefault="00B75B2C">
            <w:pPr>
              <w:jc w:val="center"/>
              <w:rPr>
                <w:color w:val="FF0000"/>
                <w:szCs w:val="21"/>
              </w:rPr>
            </w:pPr>
            <w:r w:rsidRPr="00B75B2C">
              <w:rPr>
                <w:rFonts w:hint="eastAsia"/>
                <w:color w:val="FF0000"/>
                <w:szCs w:val="21"/>
              </w:rPr>
              <w:t>0.52</w:t>
            </w:r>
          </w:p>
        </w:tc>
      </w:tr>
      <w:tr w:rsidR="00C223F5" w:rsidRPr="00927E76">
        <w:trPr>
          <w:trHeight w:val="325"/>
          <w:jc w:val="center"/>
        </w:trPr>
        <w:tc>
          <w:tcPr>
            <w:tcW w:w="1004" w:type="dxa"/>
            <w:vMerge/>
            <w:vAlign w:val="center"/>
          </w:tcPr>
          <w:p w:rsidR="00C223F5" w:rsidRPr="00927E76" w:rsidRDefault="00C223F5">
            <w:pPr>
              <w:jc w:val="center"/>
              <w:rPr>
                <w:szCs w:val="21"/>
              </w:rPr>
            </w:pPr>
          </w:p>
        </w:tc>
        <w:tc>
          <w:tcPr>
            <w:tcW w:w="1231" w:type="dxa"/>
            <w:tcMar>
              <w:left w:w="0" w:type="dxa"/>
              <w:right w:w="0" w:type="dxa"/>
            </w:tcMar>
            <w:vAlign w:val="center"/>
          </w:tcPr>
          <w:p w:rsidR="00C223F5" w:rsidRPr="00927E76" w:rsidRDefault="005860D5">
            <w:pPr>
              <w:jc w:val="center"/>
              <w:rPr>
                <w:szCs w:val="21"/>
              </w:rPr>
            </w:pPr>
            <w:r w:rsidRPr="00927E76">
              <w:rPr>
                <w:szCs w:val="21"/>
              </w:rPr>
              <w:t>本次整合</w:t>
            </w:r>
          </w:p>
        </w:tc>
        <w:tc>
          <w:tcPr>
            <w:tcW w:w="1015" w:type="dxa"/>
            <w:tcMar>
              <w:left w:w="0" w:type="dxa"/>
              <w:right w:w="0" w:type="dxa"/>
            </w:tcMar>
            <w:vAlign w:val="center"/>
          </w:tcPr>
          <w:p w:rsidR="00C223F5" w:rsidRPr="008650B4" w:rsidRDefault="002B20F9">
            <w:pPr>
              <w:jc w:val="center"/>
              <w:rPr>
                <w:color w:val="FF0000"/>
                <w:szCs w:val="21"/>
              </w:rPr>
            </w:pPr>
            <w:r>
              <w:rPr>
                <w:rFonts w:hint="eastAsia"/>
                <w:color w:val="FF0000"/>
                <w:szCs w:val="21"/>
              </w:rPr>
              <w:t>387.7/</w:t>
            </w:r>
            <w:r w:rsidR="008650B4">
              <w:rPr>
                <w:rFonts w:hint="eastAsia"/>
                <w:color w:val="FF0000"/>
                <w:szCs w:val="21"/>
              </w:rPr>
              <w:t>553</w:t>
            </w:r>
          </w:p>
        </w:tc>
        <w:tc>
          <w:tcPr>
            <w:tcW w:w="1008" w:type="dxa"/>
            <w:tcMar>
              <w:left w:w="0" w:type="dxa"/>
              <w:right w:w="0" w:type="dxa"/>
            </w:tcMar>
            <w:vAlign w:val="center"/>
          </w:tcPr>
          <w:p w:rsidR="00C223F5" w:rsidRPr="008650B4" w:rsidRDefault="008650B4">
            <w:pPr>
              <w:jc w:val="center"/>
              <w:rPr>
                <w:color w:val="FF0000"/>
                <w:szCs w:val="21"/>
              </w:rPr>
            </w:pPr>
            <w:r>
              <w:rPr>
                <w:rFonts w:hint="eastAsia"/>
                <w:color w:val="FF0000"/>
                <w:szCs w:val="21"/>
              </w:rPr>
              <w:t>22.49</w:t>
            </w:r>
          </w:p>
        </w:tc>
        <w:tc>
          <w:tcPr>
            <w:tcW w:w="2865" w:type="dxa"/>
            <w:tcMar>
              <w:left w:w="0" w:type="dxa"/>
              <w:right w:w="0" w:type="dxa"/>
            </w:tcMar>
            <w:vAlign w:val="center"/>
          </w:tcPr>
          <w:p w:rsidR="00C223F5" w:rsidRPr="00927E76" w:rsidRDefault="005860D5">
            <w:pPr>
              <w:jc w:val="center"/>
              <w:rPr>
                <w:szCs w:val="21"/>
              </w:rPr>
            </w:pPr>
            <w:r w:rsidRPr="00927E76">
              <w:rPr>
                <w:szCs w:val="21"/>
              </w:rPr>
              <w:t>混凝、沉淀、气浮、过滤消毒</w:t>
            </w:r>
          </w:p>
        </w:tc>
        <w:tc>
          <w:tcPr>
            <w:tcW w:w="842" w:type="dxa"/>
            <w:tcMar>
              <w:left w:w="0" w:type="dxa"/>
              <w:right w:w="0" w:type="dxa"/>
            </w:tcMar>
            <w:vAlign w:val="center"/>
          </w:tcPr>
          <w:p w:rsidR="00C223F5" w:rsidRPr="00927E76" w:rsidRDefault="005860D5">
            <w:pPr>
              <w:jc w:val="center"/>
              <w:rPr>
                <w:szCs w:val="21"/>
              </w:rPr>
            </w:pPr>
            <w:r w:rsidRPr="00927E76">
              <w:rPr>
                <w:rFonts w:hint="eastAsia"/>
                <w:szCs w:val="21"/>
              </w:rPr>
              <w:t>16.5</w:t>
            </w:r>
          </w:p>
        </w:tc>
        <w:tc>
          <w:tcPr>
            <w:tcW w:w="822" w:type="dxa"/>
            <w:tcMar>
              <w:left w:w="0" w:type="dxa"/>
              <w:right w:w="0" w:type="dxa"/>
            </w:tcMar>
            <w:vAlign w:val="center"/>
          </w:tcPr>
          <w:p w:rsidR="00C223F5" w:rsidRPr="00B75B2C" w:rsidRDefault="005860D5">
            <w:pPr>
              <w:jc w:val="center"/>
              <w:rPr>
                <w:color w:val="FF0000"/>
                <w:szCs w:val="21"/>
              </w:rPr>
            </w:pPr>
            <w:r w:rsidRPr="00B75B2C">
              <w:rPr>
                <w:rFonts w:hint="eastAsia"/>
                <w:color w:val="FF0000"/>
                <w:szCs w:val="21"/>
              </w:rPr>
              <w:t>0.52</w:t>
            </w:r>
          </w:p>
        </w:tc>
      </w:tr>
      <w:tr w:rsidR="00C223F5" w:rsidRPr="00927E76">
        <w:trPr>
          <w:trHeight w:val="327"/>
          <w:jc w:val="center"/>
        </w:trPr>
        <w:tc>
          <w:tcPr>
            <w:tcW w:w="1004" w:type="dxa"/>
            <w:vMerge w:val="restart"/>
            <w:vAlign w:val="center"/>
          </w:tcPr>
          <w:p w:rsidR="00C223F5" w:rsidRPr="00927E76" w:rsidRDefault="005860D5">
            <w:pPr>
              <w:jc w:val="center"/>
              <w:rPr>
                <w:szCs w:val="21"/>
              </w:rPr>
            </w:pPr>
            <w:r w:rsidRPr="00927E76">
              <w:rPr>
                <w:szCs w:val="21"/>
              </w:rPr>
              <w:t>生活</w:t>
            </w:r>
          </w:p>
          <w:p w:rsidR="00C223F5" w:rsidRPr="00927E76" w:rsidRDefault="005860D5">
            <w:pPr>
              <w:jc w:val="center"/>
              <w:rPr>
                <w:szCs w:val="21"/>
              </w:rPr>
            </w:pPr>
            <w:r w:rsidRPr="00927E76">
              <w:rPr>
                <w:szCs w:val="21"/>
              </w:rPr>
              <w:t>污水</w:t>
            </w:r>
          </w:p>
        </w:tc>
        <w:tc>
          <w:tcPr>
            <w:tcW w:w="1231" w:type="dxa"/>
            <w:tcMar>
              <w:left w:w="0" w:type="dxa"/>
              <w:right w:w="0" w:type="dxa"/>
            </w:tcMar>
            <w:vAlign w:val="center"/>
          </w:tcPr>
          <w:p w:rsidR="00C223F5" w:rsidRPr="00927E76" w:rsidRDefault="005860D5">
            <w:pPr>
              <w:jc w:val="center"/>
              <w:rPr>
                <w:szCs w:val="21"/>
              </w:rPr>
            </w:pPr>
            <w:r w:rsidRPr="00927E76">
              <w:rPr>
                <w:szCs w:val="21"/>
              </w:rPr>
              <w:t>原天云煤矿</w:t>
            </w:r>
          </w:p>
        </w:tc>
        <w:tc>
          <w:tcPr>
            <w:tcW w:w="1015" w:type="dxa"/>
            <w:tcMar>
              <w:left w:w="0" w:type="dxa"/>
              <w:right w:w="0" w:type="dxa"/>
            </w:tcMar>
            <w:vAlign w:val="center"/>
          </w:tcPr>
          <w:p w:rsidR="00C223F5" w:rsidRPr="00927E76" w:rsidRDefault="005860D5">
            <w:pPr>
              <w:jc w:val="center"/>
              <w:rPr>
                <w:szCs w:val="21"/>
              </w:rPr>
            </w:pPr>
            <w:r w:rsidRPr="00927E76">
              <w:rPr>
                <w:szCs w:val="21"/>
              </w:rPr>
              <w:t>0</w:t>
            </w:r>
          </w:p>
        </w:tc>
        <w:tc>
          <w:tcPr>
            <w:tcW w:w="1008" w:type="dxa"/>
            <w:tcMar>
              <w:left w:w="0" w:type="dxa"/>
              <w:right w:w="0" w:type="dxa"/>
            </w:tcMar>
            <w:vAlign w:val="center"/>
          </w:tcPr>
          <w:p w:rsidR="00C223F5" w:rsidRPr="00927E76" w:rsidRDefault="005860D5">
            <w:pPr>
              <w:jc w:val="center"/>
              <w:rPr>
                <w:szCs w:val="21"/>
              </w:rPr>
            </w:pPr>
            <w:r w:rsidRPr="00927E76">
              <w:rPr>
                <w:rFonts w:hint="eastAsia"/>
                <w:szCs w:val="21"/>
              </w:rPr>
              <w:t>0</w:t>
            </w:r>
          </w:p>
        </w:tc>
        <w:tc>
          <w:tcPr>
            <w:tcW w:w="2865" w:type="dxa"/>
            <w:tcMar>
              <w:left w:w="0" w:type="dxa"/>
              <w:right w:w="0" w:type="dxa"/>
            </w:tcMar>
            <w:vAlign w:val="center"/>
          </w:tcPr>
          <w:p w:rsidR="00C223F5" w:rsidRPr="00927E76" w:rsidRDefault="005860D5">
            <w:pPr>
              <w:jc w:val="center"/>
              <w:rPr>
                <w:szCs w:val="21"/>
              </w:rPr>
            </w:pPr>
            <w:r w:rsidRPr="00927E76">
              <w:rPr>
                <w:szCs w:val="21"/>
              </w:rPr>
              <w:t>PW-W</w:t>
            </w:r>
            <w:r w:rsidRPr="00927E76">
              <w:rPr>
                <w:rFonts w:hAnsi="宋体"/>
                <w:szCs w:val="21"/>
              </w:rPr>
              <w:t>膜分离式活性污泥法，二级生化处理</w:t>
            </w:r>
          </w:p>
        </w:tc>
        <w:tc>
          <w:tcPr>
            <w:tcW w:w="842" w:type="dxa"/>
            <w:tcMar>
              <w:left w:w="0" w:type="dxa"/>
              <w:right w:w="0" w:type="dxa"/>
            </w:tcMar>
            <w:vAlign w:val="center"/>
          </w:tcPr>
          <w:p w:rsidR="00C223F5" w:rsidRPr="00927E76" w:rsidRDefault="005860D5">
            <w:pPr>
              <w:jc w:val="center"/>
              <w:rPr>
                <w:szCs w:val="21"/>
              </w:rPr>
            </w:pPr>
            <w:r w:rsidRPr="00927E76">
              <w:rPr>
                <w:rFonts w:hint="eastAsia"/>
                <w:szCs w:val="21"/>
              </w:rPr>
              <w:t>41</w:t>
            </w:r>
          </w:p>
        </w:tc>
        <w:tc>
          <w:tcPr>
            <w:tcW w:w="822" w:type="dxa"/>
            <w:tcMar>
              <w:left w:w="0" w:type="dxa"/>
              <w:right w:w="0" w:type="dxa"/>
            </w:tcMar>
            <w:vAlign w:val="center"/>
          </w:tcPr>
          <w:p w:rsidR="00C223F5" w:rsidRPr="00927E76" w:rsidRDefault="005860D5">
            <w:pPr>
              <w:jc w:val="center"/>
              <w:rPr>
                <w:szCs w:val="21"/>
              </w:rPr>
            </w:pPr>
            <w:r w:rsidRPr="00927E76">
              <w:rPr>
                <w:rFonts w:hint="eastAsia"/>
                <w:szCs w:val="21"/>
              </w:rPr>
              <w:t>0.032</w:t>
            </w:r>
          </w:p>
        </w:tc>
      </w:tr>
      <w:tr w:rsidR="00C223F5" w:rsidRPr="00927E76">
        <w:trPr>
          <w:trHeight w:val="381"/>
          <w:jc w:val="center"/>
        </w:trPr>
        <w:tc>
          <w:tcPr>
            <w:tcW w:w="1004" w:type="dxa"/>
            <w:vMerge/>
            <w:vAlign w:val="center"/>
          </w:tcPr>
          <w:p w:rsidR="00C223F5" w:rsidRPr="00927E76" w:rsidRDefault="00C223F5">
            <w:pPr>
              <w:jc w:val="center"/>
              <w:rPr>
                <w:szCs w:val="21"/>
              </w:rPr>
            </w:pPr>
          </w:p>
        </w:tc>
        <w:tc>
          <w:tcPr>
            <w:tcW w:w="1231" w:type="dxa"/>
            <w:tcMar>
              <w:left w:w="0" w:type="dxa"/>
              <w:right w:w="0" w:type="dxa"/>
            </w:tcMar>
            <w:vAlign w:val="center"/>
          </w:tcPr>
          <w:p w:rsidR="00C223F5" w:rsidRPr="00927E76" w:rsidRDefault="005860D5">
            <w:pPr>
              <w:jc w:val="center"/>
              <w:rPr>
                <w:szCs w:val="21"/>
              </w:rPr>
            </w:pPr>
            <w:r w:rsidRPr="00927E76">
              <w:rPr>
                <w:szCs w:val="21"/>
              </w:rPr>
              <w:t>本次整合</w:t>
            </w:r>
          </w:p>
        </w:tc>
        <w:tc>
          <w:tcPr>
            <w:tcW w:w="1015" w:type="dxa"/>
            <w:tcMar>
              <w:left w:w="0" w:type="dxa"/>
              <w:right w:w="0" w:type="dxa"/>
            </w:tcMar>
            <w:vAlign w:val="center"/>
          </w:tcPr>
          <w:p w:rsidR="00C223F5" w:rsidRPr="00927E76" w:rsidRDefault="005860D5">
            <w:pPr>
              <w:jc w:val="center"/>
              <w:rPr>
                <w:szCs w:val="21"/>
              </w:rPr>
            </w:pPr>
            <w:r w:rsidRPr="00927E76">
              <w:rPr>
                <w:szCs w:val="21"/>
              </w:rPr>
              <w:t>0</w:t>
            </w:r>
          </w:p>
        </w:tc>
        <w:tc>
          <w:tcPr>
            <w:tcW w:w="1008" w:type="dxa"/>
            <w:tcMar>
              <w:left w:w="0" w:type="dxa"/>
              <w:right w:w="0" w:type="dxa"/>
            </w:tcMar>
            <w:vAlign w:val="center"/>
          </w:tcPr>
          <w:p w:rsidR="00C223F5" w:rsidRPr="00927E76" w:rsidRDefault="005860D5">
            <w:pPr>
              <w:jc w:val="center"/>
              <w:rPr>
                <w:szCs w:val="21"/>
              </w:rPr>
            </w:pPr>
            <w:r w:rsidRPr="00927E76">
              <w:rPr>
                <w:rFonts w:hint="eastAsia"/>
                <w:szCs w:val="21"/>
              </w:rPr>
              <w:t>0</w:t>
            </w:r>
          </w:p>
        </w:tc>
        <w:tc>
          <w:tcPr>
            <w:tcW w:w="2865" w:type="dxa"/>
            <w:tcMar>
              <w:left w:w="0" w:type="dxa"/>
              <w:right w:w="0" w:type="dxa"/>
            </w:tcMar>
            <w:vAlign w:val="center"/>
          </w:tcPr>
          <w:p w:rsidR="00C223F5" w:rsidRPr="00927E76" w:rsidRDefault="005860D5">
            <w:pPr>
              <w:jc w:val="center"/>
              <w:rPr>
                <w:szCs w:val="21"/>
              </w:rPr>
            </w:pPr>
            <w:r w:rsidRPr="00927E76">
              <w:rPr>
                <w:szCs w:val="21"/>
              </w:rPr>
              <w:t>A2/O</w:t>
            </w:r>
            <w:r w:rsidRPr="00927E76">
              <w:rPr>
                <w:szCs w:val="21"/>
              </w:rPr>
              <w:t>二级生化</w:t>
            </w:r>
            <w:r w:rsidRPr="00927E76">
              <w:rPr>
                <w:szCs w:val="21"/>
              </w:rPr>
              <w:t>+</w:t>
            </w:r>
            <w:r w:rsidRPr="00927E76">
              <w:rPr>
                <w:szCs w:val="21"/>
              </w:rPr>
              <w:t>深度处理</w:t>
            </w:r>
          </w:p>
        </w:tc>
        <w:tc>
          <w:tcPr>
            <w:tcW w:w="842" w:type="dxa"/>
            <w:tcMar>
              <w:left w:w="0" w:type="dxa"/>
              <w:right w:w="0" w:type="dxa"/>
            </w:tcMar>
            <w:vAlign w:val="center"/>
          </w:tcPr>
          <w:p w:rsidR="00C223F5" w:rsidRPr="00927E76" w:rsidRDefault="005860D5">
            <w:pPr>
              <w:jc w:val="center"/>
              <w:rPr>
                <w:szCs w:val="21"/>
              </w:rPr>
            </w:pPr>
            <w:r w:rsidRPr="00927E76">
              <w:rPr>
                <w:rFonts w:hint="eastAsia"/>
                <w:szCs w:val="21"/>
              </w:rPr>
              <w:t>29</w:t>
            </w:r>
          </w:p>
        </w:tc>
        <w:tc>
          <w:tcPr>
            <w:tcW w:w="822" w:type="dxa"/>
            <w:tcMar>
              <w:left w:w="0" w:type="dxa"/>
              <w:right w:w="0" w:type="dxa"/>
            </w:tcMar>
            <w:vAlign w:val="center"/>
          </w:tcPr>
          <w:p w:rsidR="00C223F5" w:rsidRPr="00927E76" w:rsidRDefault="005860D5">
            <w:pPr>
              <w:jc w:val="center"/>
              <w:rPr>
                <w:szCs w:val="21"/>
              </w:rPr>
            </w:pPr>
            <w:r w:rsidRPr="00927E76">
              <w:rPr>
                <w:rFonts w:hint="eastAsia"/>
                <w:szCs w:val="21"/>
              </w:rPr>
              <w:t>0.032</w:t>
            </w:r>
          </w:p>
        </w:tc>
      </w:tr>
    </w:tbl>
    <w:p w:rsidR="00C223F5" w:rsidRPr="00927E76" w:rsidRDefault="00C223F5">
      <w:pPr>
        <w:jc w:val="center"/>
        <w:rPr>
          <w:b/>
        </w:rPr>
      </w:pPr>
    </w:p>
    <w:p w:rsidR="00C223F5" w:rsidRPr="00927E76" w:rsidRDefault="005860D5">
      <w:pPr>
        <w:jc w:val="center"/>
        <w:rPr>
          <w:b/>
          <w:sz w:val="24"/>
        </w:rPr>
      </w:pPr>
      <w:r w:rsidRPr="00927E76">
        <w:rPr>
          <w:rFonts w:hint="eastAsia"/>
          <w:b/>
          <w:sz w:val="24"/>
        </w:rPr>
        <w:t>表</w:t>
      </w:r>
      <w:r w:rsidRPr="00927E76">
        <w:rPr>
          <w:rFonts w:hint="eastAsia"/>
          <w:b/>
          <w:sz w:val="24"/>
        </w:rPr>
        <w:t xml:space="preserve">4.2.3-4   </w:t>
      </w:r>
      <w:r w:rsidRPr="00927E76">
        <w:rPr>
          <w:rFonts w:hint="eastAsia"/>
          <w:b/>
          <w:sz w:val="24"/>
        </w:rPr>
        <w:t>废水污染物排放执行标准表</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81"/>
        <w:gridCol w:w="1353"/>
        <w:gridCol w:w="4465"/>
        <w:gridCol w:w="1693"/>
      </w:tblGrid>
      <w:tr w:rsidR="00C223F5" w:rsidRPr="00927E76">
        <w:trPr>
          <w:jc w:val="center"/>
        </w:trPr>
        <w:tc>
          <w:tcPr>
            <w:tcW w:w="426" w:type="dxa"/>
            <w:vMerge w:val="restart"/>
            <w:vAlign w:val="center"/>
          </w:tcPr>
          <w:p w:rsidR="00C223F5" w:rsidRPr="00927E76" w:rsidRDefault="005860D5">
            <w:pPr>
              <w:jc w:val="center"/>
              <w:rPr>
                <w:szCs w:val="21"/>
              </w:rPr>
            </w:pPr>
            <w:r w:rsidRPr="00927E76">
              <w:rPr>
                <w:rFonts w:hint="eastAsia"/>
                <w:szCs w:val="21"/>
              </w:rPr>
              <w:t>序号</w:t>
            </w:r>
          </w:p>
        </w:tc>
        <w:tc>
          <w:tcPr>
            <w:tcW w:w="881" w:type="dxa"/>
            <w:vMerge w:val="restart"/>
            <w:vAlign w:val="center"/>
          </w:tcPr>
          <w:p w:rsidR="00C223F5" w:rsidRPr="00927E76" w:rsidRDefault="005860D5">
            <w:pPr>
              <w:jc w:val="center"/>
              <w:rPr>
                <w:szCs w:val="21"/>
              </w:rPr>
            </w:pPr>
            <w:r w:rsidRPr="00927E76">
              <w:rPr>
                <w:rFonts w:hint="eastAsia"/>
                <w:szCs w:val="21"/>
              </w:rPr>
              <w:t>排放口</w:t>
            </w:r>
          </w:p>
          <w:p w:rsidR="00C223F5" w:rsidRPr="00927E76" w:rsidRDefault="005860D5">
            <w:pPr>
              <w:jc w:val="center"/>
              <w:rPr>
                <w:szCs w:val="21"/>
              </w:rPr>
            </w:pPr>
            <w:r w:rsidRPr="00927E76">
              <w:rPr>
                <w:rFonts w:hint="eastAsia"/>
                <w:szCs w:val="21"/>
              </w:rPr>
              <w:t>编号</w:t>
            </w:r>
          </w:p>
        </w:tc>
        <w:tc>
          <w:tcPr>
            <w:tcW w:w="1353" w:type="dxa"/>
            <w:vMerge w:val="restart"/>
            <w:vAlign w:val="center"/>
          </w:tcPr>
          <w:p w:rsidR="00C223F5" w:rsidRPr="00927E76" w:rsidRDefault="005860D5">
            <w:pPr>
              <w:jc w:val="center"/>
              <w:rPr>
                <w:szCs w:val="21"/>
              </w:rPr>
            </w:pPr>
            <w:r w:rsidRPr="00927E76">
              <w:rPr>
                <w:rFonts w:hint="eastAsia"/>
                <w:szCs w:val="21"/>
              </w:rPr>
              <w:t>污染物种类</w:t>
            </w:r>
          </w:p>
        </w:tc>
        <w:tc>
          <w:tcPr>
            <w:tcW w:w="6158" w:type="dxa"/>
            <w:gridSpan w:val="2"/>
            <w:vAlign w:val="center"/>
          </w:tcPr>
          <w:p w:rsidR="00C223F5" w:rsidRPr="00927E76" w:rsidRDefault="005860D5">
            <w:pPr>
              <w:jc w:val="center"/>
              <w:rPr>
                <w:szCs w:val="21"/>
              </w:rPr>
            </w:pPr>
            <w:r w:rsidRPr="00927E76">
              <w:rPr>
                <w:rFonts w:hint="eastAsia"/>
                <w:szCs w:val="21"/>
              </w:rPr>
              <w:t>国家或地方污染物排放标准及其他按规定商定的排放协议</w:t>
            </w:r>
          </w:p>
        </w:tc>
      </w:tr>
      <w:tr w:rsidR="00C223F5" w:rsidRPr="00927E76">
        <w:trPr>
          <w:jc w:val="center"/>
        </w:trPr>
        <w:tc>
          <w:tcPr>
            <w:tcW w:w="426" w:type="dxa"/>
            <w:vMerge/>
            <w:vAlign w:val="center"/>
          </w:tcPr>
          <w:p w:rsidR="00C223F5" w:rsidRPr="00927E76" w:rsidRDefault="00C223F5">
            <w:pPr>
              <w:jc w:val="center"/>
              <w:rPr>
                <w:szCs w:val="21"/>
              </w:rPr>
            </w:pPr>
          </w:p>
        </w:tc>
        <w:tc>
          <w:tcPr>
            <w:tcW w:w="881" w:type="dxa"/>
            <w:vMerge/>
            <w:vAlign w:val="center"/>
          </w:tcPr>
          <w:p w:rsidR="00C223F5" w:rsidRPr="00927E76" w:rsidRDefault="00C223F5">
            <w:pPr>
              <w:jc w:val="center"/>
              <w:rPr>
                <w:szCs w:val="21"/>
              </w:rPr>
            </w:pPr>
          </w:p>
        </w:tc>
        <w:tc>
          <w:tcPr>
            <w:tcW w:w="1353" w:type="dxa"/>
            <w:vMerge/>
            <w:vAlign w:val="center"/>
          </w:tcPr>
          <w:p w:rsidR="00C223F5" w:rsidRPr="00927E76" w:rsidRDefault="00C223F5">
            <w:pPr>
              <w:jc w:val="center"/>
              <w:rPr>
                <w:szCs w:val="21"/>
              </w:rPr>
            </w:pPr>
          </w:p>
        </w:tc>
        <w:tc>
          <w:tcPr>
            <w:tcW w:w="4465" w:type="dxa"/>
            <w:vAlign w:val="center"/>
          </w:tcPr>
          <w:p w:rsidR="00C223F5" w:rsidRPr="00927E76" w:rsidRDefault="005860D5">
            <w:pPr>
              <w:jc w:val="center"/>
              <w:rPr>
                <w:szCs w:val="21"/>
              </w:rPr>
            </w:pPr>
            <w:r w:rsidRPr="00927E76">
              <w:rPr>
                <w:rFonts w:hint="eastAsia"/>
                <w:szCs w:val="21"/>
              </w:rPr>
              <w:t>名</w:t>
            </w:r>
            <w:r w:rsidRPr="00927E76">
              <w:rPr>
                <w:rFonts w:hint="eastAsia"/>
                <w:szCs w:val="21"/>
              </w:rPr>
              <w:t xml:space="preserve"> </w:t>
            </w:r>
            <w:r w:rsidRPr="00927E76">
              <w:rPr>
                <w:rFonts w:hint="eastAsia"/>
                <w:szCs w:val="21"/>
              </w:rPr>
              <w:t>称</w:t>
            </w:r>
          </w:p>
        </w:tc>
        <w:tc>
          <w:tcPr>
            <w:tcW w:w="1693" w:type="dxa"/>
            <w:vAlign w:val="center"/>
          </w:tcPr>
          <w:p w:rsidR="00C223F5" w:rsidRPr="00927E76" w:rsidRDefault="005860D5" w:rsidP="00AC61C0">
            <w:pPr>
              <w:jc w:val="center"/>
              <w:rPr>
                <w:szCs w:val="21"/>
              </w:rPr>
            </w:pPr>
            <w:r w:rsidRPr="00927E76">
              <w:rPr>
                <w:rFonts w:hint="eastAsia"/>
                <w:szCs w:val="21"/>
              </w:rPr>
              <w:t>浓度限值</w:t>
            </w:r>
            <w:r w:rsidRPr="00927E76">
              <w:rPr>
                <w:rFonts w:hint="eastAsia"/>
                <w:szCs w:val="21"/>
              </w:rPr>
              <w:t>/mg/L</w:t>
            </w:r>
          </w:p>
        </w:tc>
      </w:tr>
      <w:tr w:rsidR="00C223F5" w:rsidRPr="00927E76">
        <w:trPr>
          <w:trHeight w:val="353"/>
          <w:jc w:val="center"/>
        </w:trPr>
        <w:tc>
          <w:tcPr>
            <w:tcW w:w="426" w:type="dxa"/>
            <w:vMerge w:val="restart"/>
            <w:vAlign w:val="center"/>
          </w:tcPr>
          <w:p w:rsidR="00C223F5" w:rsidRPr="00927E76" w:rsidRDefault="005860D5">
            <w:pPr>
              <w:jc w:val="center"/>
              <w:rPr>
                <w:szCs w:val="21"/>
              </w:rPr>
            </w:pPr>
            <w:r w:rsidRPr="00927E76">
              <w:rPr>
                <w:rFonts w:hint="eastAsia"/>
                <w:szCs w:val="21"/>
              </w:rPr>
              <w:t>1</w:t>
            </w:r>
          </w:p>
        </w:tc>
        <w:tc>
          <w:tcPr>
            <w:tcW w:w="881" w:type="dxa"/>
            <w:vMerge w:val="restart"/>
            <w:vAlign w:val="center"/>
          </w:tcPr>
          <w:p w:rsidR="00C223F5" w:rsidRPr="00927E76" w:rsidRDefault="005860D5">
            <w:pPr>
              <w:jc w:val="center"/>
              <w:rPr>
                <w:szCs w:val="21"/>
              </w:rPr>
            </w:pPr>
            <w:r w:rsidRPr="00927E76">
              <w:rPr>
                <w:rFonts w:hint="eastAsia"/>
                <w:szCs w:val="21"/>
              </w:rPr>
              <w:t>DW001</w:t>
            </w:r>
          </w:p>
        </w:tc>
        <w:tc>
          <w:tcPr>
            <w:tcW w:w="1353" w:type="dxa"/>
            <w:vAlign w:val="center"/>
          </w:tcPr>
          <w:p w:rsidR="00C223F5" w:rsidRPr="00927E76" w:rsidRDefault="005860D5">
            <w:pPr>
              <w:jc w:val="center"/>
              <w:rPr>
                <w:szCs w:val="21"/>
              </w:rPr>
            </w:pPr>
            <w:r w:rsidRPr="00927E76">
              <w:rPr>
                <w:rFonts w:hint="eastAsia"/>
                <w:szCs w:val="21"/>
              </w:rPr>
              <w:t>COD</w:t>
            </w:r>
          </w:p>
        </w:tc>
        <w:tc>
          <w:tcPr>
            <w:tcW w:w="4465" w:type="dxa"/>
            <w:vMerge w:val="restart"/>
            <w:vAlign w:val="center"/>
          </w:tcPr>
          <w:p w:rsidR="00C223F5" w:rsidRPr="00927E76" w:rsidRDefault="005860D5">
            <w:pPr>
              <w:jc w:val="center"/>
              <w:rPr>
                <w:szCs w:val="21"/>
              </w:rPr>
            </w:pPr>
            <w:r w:rsidRPr="00927E76">
              <w:rPr>
                <w:rFonts w:hint="eastAsia"/>
                <w:szCs w:val="21"/>
              </w:rPr>
              <w:t>矿井水执行</w:t>
            </w:r>
            <w:r w:rsidRPr="00927E76">
              <w:rPr>
                <w:szCs w:val="21"/>
              </w:rPr>
              <w:t>《煤炭工业污染物排放标准》（</w:t>
            </w:r>
            <w:r w:rsidRPr="00927E76">
              <w:rPr>
                <w:szCs w:val="21"/>
              </w:rPr>
              <w:t>GB20426-2006</w:t>
            </w:r>
            <w:r w:rsidRPr="00927E76">
              <w:rPr>
                <w:szCs w:val="21"/>
              </w:rPr>
              <w:t>）及</w:t>
            </w:r>
            <w:r w:rsidRPr="00927E76">
              <w:rPr>
                <w:rFonts w:hint="eastAsia"/>
                <w:szCs w:val="21"/>
              </w:rPr>
              <w:t>《陕西省黄河流域污水综合排放标准》（</w:t>
            </w:r>
            <w:r w:rsidRPr="00927E76">
              <w:rPr>
                <w:rFonts w:hint="eastAsia"/>
                <w:szCs w:val="21"/>
              </w:rPr>
              <w:t>DB61/224-2018</w:t>
            </w:r>
            <w:r w:rsidRPr="00927E76">
              <w:rPr>
                <w:rFonts w:hint="eastAsia"/>
                <w:szCs w:val="21"/>
              </w:rPr>
              <w:t>）中表</w:t>
            </w:r>
            <w:r w:rsidRPr="00927E76">
              <w:rPr>
                <w:rFonts w:hint="eastAsia"/>
                <w:szCs w:val="21"/>
              </w:rPr>
              <w:t>2</w:t>
            </w:r>
            <w:r w:rsidRPr="00927E76">
              <w:rPr>
                <w:rFonts w:hint="eastAsia"/>
                <w:szCs w:val="21"/>
              </w:rPr>
              <w:t>限值</w:t>
            </w:r>
          </w:p>
        </w:tc>
        <w:tc>
          <w:tcPr>
            <w:tcW w:w="1693" w:type="dxa"/>
            <w:vAlign w:val="center"/>
          </w:tcPr>
          <w:p w:rsidR="00C223F5" w:rsidRPr="00927E76" w:rsidRDefault="005860D5">
            <w:pPr>
              <w:jc w:val="center"/>
              <w:rPr>
                <w:szCs w:val="21"/>
              </w:rPr>
            </w:pPr>
            <w:r w:rsidRPr="00927E76">
              <w:rPr>
                <w:rFonts w:hint="eastAsia"/>
                <w:szCs w:val="21"/>
              </w:rPr>
              <w:t>50</w:t>
            </w:r>
          </w:p>
        </w:tc>
      </w:tr>
      <w:tr w:rsidR="00C223F5" w:rsidRPr="00927E76">
        <w:trPr>
          <w:jc w:val="center"/>
        </w:trPr>
        <w:tc>
          <w:tcPr>
            <w:tcW w:w="426" w:type="dxa"/>
            <w:vMerge/>
            <w:vAlign w:val="center"/>
          </w:tcPr>
          <w:p w:rsidR="00C223F5" w:rsidRPr="00927E76" w:rsidRDefault="00C223F5">
            <w:pPr>
              <w:jc w:val="center"/>
              <w:rPr>
                <w:szCs w:val="21"/>
              </w:rPr>
            </w:pPr>
          </w:p>
        </w:tc>
        <w:tc>
          <w:tcPr>
            <w:tcW w:w="881" w:type="dxa"/>
            <w:vMerge/>
            <w:vAlign w:val="center"/>
          </w:tcPr>
          <w:p w:rsidR="00C223F5" w:rsidRPr="00927E76" w:rsidRDefault="00C223F5">
            <w:pPr>
              <w:jc w:val="center"/>
              <w:rPr>
                <w:szCs w:val="21"/>
              </w:rPr>
            </w:pPr>
          </w:p>
        </w:tc>
        <w:tc>
          <w:tcPr>
            <w:tcW w:w="1353" w:type="dxa"/>
            <w:vAlign w:val="center"/>
          </w:tcPr>
          <w:p w:rsidR="00C223F5" w:rsidRPr="00927E76" w:rsidRDefault="005860D5">
            <w:pPr>
              <w:jc w:val="center"/>
              <w:rPr>
                <w:szCs w:val="21"/>
              </w:rPr>
            </w:pPr>
            <w:r w:rsidRPr="00927E76">
              <w:rPr>
                <w:rFonts w:hint="eastAsia"/>
                <w:szCs w:val="21"/>
              </w:rPr>
              <w:t>NH</w:t>
            </w:r>
            <w:r w:rsidRPr="00927E76">
              <w:rPr>
                <w:rFonts w:hint="eastAsia"/>
                <w:szCs w:val="21"/>
                <w:vertAlign w:val="subscript"/>
              </w:rPr>
              <w:t>3</w:t>
            </w:r>
          </w:p>
        </w:tc>
        <w:tc>
          <w:tcPr>
            <w:tcW w:w="4465" w:type="dxa"/>
            <w:vMerge/>
            <w:vAlign w:val="center"/>
          </w:tcPr>
          <w:p w:rsidR="00C223F5" w:rsidRPr="00927E76" w:rsidRDefault="00C223F5">
            <w:pPr>
              <w:jc w:val="center"/>
              <w:rPr>
                <w:szCs w:val="21"/>
              </w:rPr>
            </w:pPr>
          </w:p>
        </w:tc>
        <w:tc>
          <w:tcPr>
            <w:tcW w:w="1693" w:type="dxa"/>
            <w:vAlign w:val="center"/>
          </w:tcPr>
          <w:p w:rsidR="00C223F5" w:rsidRPr="00927E76" w:rsidRDefault="005860D5">
            <w:pPr>
              <w:jc w:val="center"/>
              <w:rPr>
                <w:szCs w:val="21"/>
              </w:rPr>
            </w:pPr>
            <w:r w:rsidRPr="00927E76">
              <w:rPr>
                <w:rFonts w:hint="eastAsia"/>
                <w:szCs w:val="21"/>
              </w:rPr>
              <w:t>8</w:t>
            </w:r>
          </w:p>
        </w:tc>
      </w:tr>
    </w:tbl>
    <w:p w:rsidR="00C223F5" w:rsidRPr="00927E76" w:rsidRDefault="00C223F5">
      <w:pPr>
        <w:jc w:val="center"/>
        <w:rPr>
          <w:b/>
        </w:rPr>
      </w:pPr>
    </w:p>
    <w:p w:rsidR="00C223F5" w:rsidRPr="00927E76" w:rsidRDefault="005860D5">
      <w:pPr>
        <w:jc w:val="center"/>
        <w:rPr>
          <w:b/>
          <w:sz w:val="24"/>
        </w:rPr>
      </w:pPr>
      <w:r w:rsidRPr="00927E76">
        <w:rPr>
          <w:rFonts w:hint="eastAsia"/>
          <w:b/>
          <w:sz w:val="24"/>
        </w:rPr>
        <w:t>表</w:t>
      </w:r>
      <w:r w:rsidRPr="00927E76">
        <w:rPr>
          <w:rFonts w:hint="eastAsia"/>
          <w:b/>
          <w:sz w:val="24"/>
        </w:rPr>
        <w:t xml:space="preserve">4.2.3-5   </w:t>
      </w:r>
      <w:r w:rsidRPr="00927E76">
        <w:rPr>
          <w:rFonts w:hint="eastAsia"/>
          <w:b/>
          <w:sz w:val="24"/>
        </w:rPr>
        <w:t>废水污染物排放信息表</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371"/>
        <w:gridCol w:w="1356"/>
        <w:gridCol w:w="1828"/>
        <w:gridCol w:w="2095"/>
        <w:gridCol w:w="1537"/>
      </w:tblGrid>
      <w:tr w:rsidR="00C223F5" w:rsidRPr="00927E76">
        <w:trPr>
          <w:jc w:val="center"/>
        </w:trPr>
        <w:tc>
          <w:tcPr>
            <w:tcW w:w="534" w:type="dxa"/>
            <w:vAlign w:val="center"/>
          </w:tcPr>
          <w:p w:rsidR="00C223F5" w:rsidRPr="00927E76" w:rsidRDefault="005860D5">
            <w:pPr>
              <w:jc w:val="center"/>
              <w:rPr>
                <w:szCs w:val="21"/>
              </w:rPr>
            </w:pPr>
            <w:r w:rsidRPr="00927E76">
              <w:rPr>
                <w:rFonts w:hint="eastAsia"/>
                <w:szCs w:val="21"/>
              </w:rPr>
              <w:t>序号</w:t>
            </w:r>
          </w:p>
        </w:tc>
        <w:tc>
          <w:tcPr>
            <w:tcW w:w="1371" w:type="dxa"/>
            <w:vAlign w:val="center"/>
          </w:tcPr>
          <w:p w:rsidR="00C223F5" w:rsidRPr="00927E76" w:rsidRDefault="005860D5">
            <w:pPr>
              <w:jc w:val="center"/>
              <w:rPr>
                <w:szCs w:val="21"/>
              </w:rPr>
            </w:pPr>
            <w:r w:rsidRPr="00927E76">
              <w:rPr>
                <w:rFonts w:hint="eastAsia"/>
                <w:szCs w:val="21"/>
              </w:rPr>
              <w:t>排放口编号</w:t>
            </w:r>
          </w:p>
        </w:tc>
        <w:tc>
          <w:tcPr>
            <w:tcW w:w="1356" w:type="dxa"/>
            <w:vAlign w:val="center"/>
          </w:tcPr>
          <w:p w:rsidR="00C223F5" w:rsidRPr="00927E76" w:rsidRDefault="005860D5">
            <w:pPr>
              <w:jc w:val="center"/>
              <w:rPr>
                <w:szCs w:val="21"/>
              </w:rPr>
            </w:pPr>
            <w:r w:rsidRPr="00927E76">
              <w:rPr>
                <w:rFonts w:hint="eastAsia"/>
                <w:szCs w:val="21"/>
              </w:rPr>
              <w:t>污染物种类</w:t>
            </w:r>
          </w:p>
        </w:tc>
        <w:tc>
          <w:tcPr>
            <w:tcW w:w="1828" w:type="dxa"/>
            <w:vAlign w:val="center"/>
          </w:tcPr>
          <w:p w:rsidR="00C223F5" w:rsidRPr="00927E76" w:rsidRDefault="005860D5">
            <w:pPr>
              <w:jc w:val="center"/>
              <w:rPr>
                <w:szCs w:val="21"/>
              </w:rPr>
            </w:pPr>
            <w:r w:rsidRPr="00927E76">
              <w:rPr>
                <w:rFonts w:hint="eastAsia"/>
                <w:szCs w:val="21"/>
              </w:rPr>
              <w:t>排放浓度</w:t>
            </w:r>
            <w:r w:rsidRPr="00927E76">
              <w:rPr>
                <w:rFonts w:hint="eastAsia"/>
                <w:szCs w:val="21"/>
              </w:rPr>
              <w:t>/</w:t>
            </w:r>
            <w:r w:rsidRPr="00927E76">
              <w:rPr>
                <w:rFonts w:hint="eastAsia"/>
                <w:szCs w:val="21"/>
              </w:rPr>
              <w:t>（</w:t>
            </w:r>
            <w:r w:rsidRPr="00927E76">
              <w:rPr>
                <w:rFonts w:hint="eastAsia"/>
                <w:szCs w:val="21"/>
              </w:rPr>
              <w:t>mg/L</w:t>
            </w:r>
            <w:r w:rsidRPr="00927E76">
              <w:rPr>
                <w:rFonts w:hint="eastAsia"/>
                <w:szCs w:val="21"/>
              </w:rPr>
              <w:t>）</w:t>
            </w:r>
          </w:p>
        </w:tc>
        <w:tc>
          <w:tcPr>
            <w:tcW w:w="2095" w:type="dxa"/>
            <w:vAlign w:val="center"/>
          </w:tcPr>
          <w:p w:rsidR="00C223F5" w:rsidRPr="00927E76" w:rsidRDefault="005860D5">
            <w:pPr>
              <w:jc w:val="center"/>
              <w:rPr>
                <w:szCs w:val="21"/>
              </w:rPr>
            </w:pPr>
            <w:r w:rsidRPr="00927E76">
              <w:rPr>
                <w:rFonts w:hint="eastAsia"/>
                <w:szCs w:val="21"/>
              </w:rPr>
              <w:t>日排放量</w:t>
            </w:r>
            <w:r w:rsidRPr="00927E76">
              <w:rPr>
                <w:rFonts w:hint="eastAsia"/>
                <w:szCs w:val="21"/>
              </w:rPr>
              <w:t>/</w:t>
            </w:r>
            <w:r w:rsidRPr="00927E76">
              <w:rPr>
                <w:rFonts w:hint="eastAsia"/>
                <w:szCs w:val="21"/>
              </w:rPr>
              <w:t>（</w:t>
            </w:r>
            <w:r w:rsidRPr="00927E76">
              <w:rPr>
                <w:rFonts w:hint="eastAsia"/>
                <w:szCs w:val="21"/>
              </w:rPr>
              <w:t>m</w:t>
            </w:r>
            <w:r w:rsidRPr="00927E76">
              <w:rPr>
                <w:rFonts w:hint="eastAsia"/>
                <w:szCs w:val="21"/>
                <w:vertAlign w:val="superscript"/>
              </w:rPr>
              <w:t>3</w:t>
            </w:r>
            <w:r w:rsidRPr="00927E76">
              <w:rPr>
                <w:rFonts w:hint="eastAsia"/>
                <w:szCs w:val="21"/>
              </w:rPr>
              <w:t>/d</w:t>
            </w:r>
            <w:r w:rsidRPr="00927E76">
              <w:rPr>
                <w:rFonts w:hint="eastAsia"/>
                <w:szCs w:val="21"/>
              </w:rPr>
              <w:t>）</w:t>
            </w:r>
          </w:p>
        </w:tc>
        <w:tc>
          <w:tcPr>
            <w:tcW w:w="1537" w:type="dxa"/>
            <w:vAlign w:val="center"/>
          </w:tcPr>
          <w:p w:rsidR="00C223F5" w:rsidRPr="00927E76" w:rsidRDefault="005860D5">
            <w:pPr>
              <w:jc w:val="center"/>
              <w:rPr>
                <w:szCs w:val="21"/>
              </w:rPr>
            </w:pPr>
            <w:r w:rsidRPr="00927E76">
              <w:rPr>
                <w:rFonts w:hint="eastAsia"/>
                <w:szCs w:val="21"/>
              </w:rPr>
              <w:t>年排放量</w:t>
            </w:r>
            <w:r w:rsidRPr="00927E76">
              <w:rPr>
                <w:rFonts w:hint="eastAsia"/>
                <w:szCs w:val="21"/>
              </w:rPr>
              <w:t>/</w:t>
            </w:r>
            <w:r w:rsidRPr="00927E76">
              <w:rPr>
                <w:rFonts w:hint="eastAsia"/>
                <w:szCs w:val="21"/>
              </w:rPr>
              <w:t>（</w:t>
            </w:r>
            <w:r w:rsidRPr="00927E76">
              <w:rPr>
                <w:rFonts w:hint="eastAsia"/>
                <w:szCs w:val="21"/>
              </w:rPr>
              <w:t>t/a</w:t>
            </w:r>
            <w:r w:rsidRPr="00927E76">
              <w:rPr>
                <w:rFonts w:hint="eastAsia"/>
                <w:szCs w:val="21"/>
              </w:rPr>
              <w:t>）</w:t>
            </w:r>
          </w:p>
        </w:tc>
      </w:tr>
      <w:tr w:rsidR="00C223F5" w:rsidRPr="00927E76">
        <w:trPr>
          <w:jc w:val="center"/>
        </w:trPr>
        <w:tc>
          <w:tcPr>
            <w:tcW w:w="534" w:type="dxa"/>
            <w:vMerge w:val="restart"/>
            <w:vAlign w:val="center"/>
          </w:tcPr>
          <w:p w:rsidR="00C223F5" w:rsidRPr="00927E76" w:rsidRDefault="005860D5">
            <w:pPr>
              <w:jc w:val="center"/>
              <w:rPr>
                <w:szCs w:val="21"/>
              </w:rPr>
            </w:pPr>
            <w:r w:rsidRPr="00927E76">
              <w:rPr>
                <w:rFonts w:hint="eastAsia"/>
                <w:szCs w:val="21"/>
              </w:rPr>
              <w:t>1</w:t>
            </w:r>
          </w:p>
        </w:tc>
        <w:tc>
          <w:tcPr>
            <w:tcW w:w="1371" w:type="dxa"/>
            <w:vMerge w:val="restart"/>
            <w:vAlign w:val="center"/>
          </w:tcPr>
          <w:p w:rsidR="00C223F5" w:rsidRPr="00927E76" w:rsidRDefault="005860D5">
            <w:pPr>
              <w:jc w:val="center"/>
              <w:rPr>
                <w:szCs w:val="21"/>
              </w:rPr>
            </w:pPr>
            <w:r w:rsidRPr="00927E76">
              <w:rPr>
                <w:rFonts w:hint="eastAsia"/>
                <w:szCs w:val="21"/>
              </w:rPr>
              <w:t>DW001</w:t>
            </w:r>
          </w:p>
        </w:tc>
        <w:tc>
          <w:tcPr>
            <w:tcW w:w="1356" w:type="dxa"/>
            <w:vAlign w:val="center"/>
          </w:tcPr>
          <w:p w:rsidR="00C223F5" w:rsidRPr="00927E76" w:rsidRDefault="005860D5">
            <w:pPr>
              <w:jc w:val="center"/>
              <w:rPr>
                <w:szCs w:val="21"/>
              </w:rPr>
            </w:pPr>
            <w:r w:rsidRPr="00927E76">
              <w:rPr>
                <w:rFonts w:hint="eastAsia"/>
                <w:szCs w:val="21"/>
              </w:rPr>
              <w:t>COD</w:t>
            </w:r>
          </w:p>
        </w:tc>
        <w:tc>
          <w:tcPr>
            <w:tcW w:w="1828" w:type="dxa"/>
            <w:vAlign w:val="center"/>
          </w:tcPr>
          <w:p w:rsidR="00C223F5" w:rsidRPr="00927E76" w:rsidRDefault="005860D5">
            <w:pPr>
              <w:jc w:val="center"/>
              <w:rPr>
                <w:szCs w:val="21"/>
              </w:rPr>
            </w:pPr>
            <w:r w:rsidRPr="00927E76">
              <w:rPr>
                <w:rFonts w:hint="eastAsia"/>
                <w:szCs w:val="21"/>
              </w:rPr>
              <w:t>16.5</w:t>
            </w:r>
          </w:p>
        </w:tc>
        <w:tc>
          <w:tcPr>
            <w:tcW w:w="2095" w:type="dxa"/>
            <w:vMerge w:val="restart"/>
            <w:vAlign w:val="center"/>
          </w:tcPr>
          <w:p w:rsidR="00C223F5" w:rsidRPr="00927E76" w:rsidRDefault="005860D5">
            <w:pPr>
              <w:jc w:val="center"/>
              <w:rPr>
                <w:szCs w:val="21"/>
                <w:vertAlign w:val="superscript"/>
              </w:rPr>
            </w:pPr>
            <w:r w:rsidRPr="00927E76">
              <w:rPr>
                <w:rFonts w:hint="eastAsia"/>
                <w:szCs w:val="21"/>
              </w:rPr>
              <w:t>采暖期</w:t>
            </w:r>
            <w:r w:rsidR="002B20F9">
              <w:rPr>
                <w:rFonts w:hint="eastAsia"/>
                <w:color w:val="FF0000"/>
              </w:rPr>
              <w:t>387.7</w:t>
            </w:r>
          </w:p>
          <w:p w:rsidR="00C223F5" w:rsidRPr="00927E76" w:rsidRDefault="005860D5" w:rsidP="002B20F9">
            <w:pPr>
              <w:jc w:val="center"/>
              <w:rPr>
                <w:szCs w:val="21"/>
              </w:rPr>
            </w:pPr>
            <w:r w:rsidRPr="00927E76">
              <w:rPr>
                <w:rFonts w:hint="eastAsia"/>
                <w:szCs w:val="21"/>
              </w:rPr>
              <w:t>非采暖期</w:t>
            </w:r>
            <w:r w:rsidR="002B20F9">
              <w:rPr>
                <w:rFonts w:hint="eastAsia"/>
                <w:color w:val="FF0000"/>
              </w:rPr>
              <w:t>553</w:t>
            </w:r>
          </w:p>
        </w:tc>
        <w:tc>
          <w:tcPr>
            <w:tcW w:w="1537" w:type="dxa"/>
            <w:vAlign w:val="center"/>
          </w:tcPr>
          <w:p w:rsidR="00C223F5" w:rsidRPr="002B20F9" w:rsidRDefault="002B20F9">
            <w:pPr>
              <w:jc w:val="center"/>
              <w:rPr>
                <w:color w:val="FF0000"/>
                <w:szCs w:val="21"/>
              </w:rPr>
            </w:pPr>
            <w:r>
              <w:rPr>
                <w:rFonts w:hint="eastAsia"/>
                <w:color w:val="FF0000"/>
                <w:szCs w:val="21"/>
              </w:rPr>
              <w:t>3.71</w:t>
            </w:r>
          </w:p>
        </w:tc>
      </w:tr>
      <w:tr w:rsidR="00C223F5" w:rsidRPr="00927E76">
        <w:trPr>
          <w:jc w:val="center"/>
        </w:trPr>
        <w:tc>
          <w:tcPr>
            <w:tcW w:w="534" w:type="dxa"/>
            <w:vMerge/>
            <w:vAlign w:val="center"/>
          </w:tcPr>
          <w:p w:rsidR="00C223F5" w:rsidRPr="00927E76" w:rsidRDefault="00C223F5">
            <w:pPr>
              <w:jc w:val="center"/>
              <w:rPr>
                <w:szCs w:val="21"/>
              </w:rPr>
            </w:pPr>
          </w:p>
        </w:tc>
        <w:tc>
          <w:tcPr>
            <w:tcW w:w="1371" w:type="dxa"/>
            <w:vMerge/>
            <w:vAlign w:val="center"/>
          </w:tcPr>
          <w:p w:rsidR="00C223F5" w:rsidRPr="00927E76" w:rsidRDefault="00C223F5">
            <w:pPr>
              <w:jc w:val="center"/>
              <w:rPr>
                <w:szCs w:val="21"/>
              </w:rPr>
            </w:pPr>
          </w:p>
        </w:tc>
        <w:tc>
          <w:tcPr>
            <w:tcW w:w="1356" w:type="dxa"/>
            <w:vAlign w:val="center"/>
          </w:tcPr>
          <w:p w:rsidR="00C223F5" w:rsidRPr="00927E76" w:rsidRDefault="005860D5">
            <w:pPr>
              <w:jc w:val="center"/>
              <w:rPr>
                <w:szCs w:val="21"/>
              </w:rPr>
            </w:pPr>
            <w:r w:rsidRPr="00927E76">
              <w:rPr>
                <w:rFonts w:hint="eastAsia"/>
                <w:szCs w:val="21"/>
              </w:rPr>
              <w:t>NH</w:t>
            </w:r>
            <w:r w:rsidRPr="00927E76">
              <w:rPr>
                <w:rFonts w:hint="eastAsia"/>
                <w:szCs w:val="21"/>
                <w:vertAlign w:val="subscript"/>
              </w:rPr>
              <w:t>3</w:t>
            </w:r>
          </w:p>
        </w:tc>
        <w:tc>
          <w:tcPr>
            <w:tcW w:w="1828" w:type="dxa"/>
            <w:vAlign w:val="center"/>
          </w:tcPr>
          <w:p w:rsidR="00C223F5" w:rsidRPr="00927E76" w:rsidRDefault="005860D5">
            <w:pPr>
              <w:jc w:val="center"/>
              <w:rPr>
                <w:szCs w:val="21"/>
              </w:rPr>
            </w:pPr>
            <w:r w:rsidRPr="00927E76">
              <w:rPr>
                <w:rFonts w:hint="eastAsia"/>
                <w:szCs w:val="21"/>
              </w:rPr>
              <w:t>0.52</w:t>
            </w:r>
          </w:p>
        </w:tc>
        <w:tc>
          <w:tcPr>
            <w:tcW w:w="2095" w:type="dxa"/>
            <w:vMerge/>
            <w:vAlign w:val="center"/>
          </w:tcPr>
          <w:p w:rsidR="00C223F5" w:rsidRPr="00927E76" w:rsidRDefault="00C223F5">
            <w:pPr>
              <w:jc w:val="center"/>
              <w:rPr>
                <w:szCs w:val="21"/>
              </w:rPr>
            </w:pPr>
          </w:p>
        </w:tc>
        <w:tc>
          <w:tcPr>
            <w:tcW w:w="1537" w:type="dxa"/>
            <w:vAlign w:val="center"/>
          </w:tcPr>
          <w:p w:rsidR="00C223F5" w:rsidRPr="002B20F9" w:rsidRDefault="002B20F9">
            <w:pPr>
              <w:jc w:val="center"/>
              <w:rPr>
                <w:color w:val="FF0000"/>
                <w:szCs w:val="21"/>
              </w:rPr>
            </w:pPr>
            <w:r>
              <w:rPr>
                <w:rFonts w:hint="eastAsia"/>
                <w:color w:val="FF0000"/>
                <w:szCs w:val="21"/>
              </w:rPr>
              <w:t>0.12</w:t>
            </w:r>
          </w:p>
        </w:tc>
      </w:tr>
    </w:tbl>
    <w:p w:rsidR="00C223F5" w:rsidRPr="00927E76" w:rsidRDefault="005860D5">
      <w:pPr>
        <w:spacing w:line="360" w:lineRule="auto"/>
        <w:ind w:firstLineChars="200" w:firstLine="482"/>
        <w:rPr>
          <w:b/>
          <w:sz w:val="24"/>
        </w:rPr>
      </w:pPr>
      <w:r w:rsidRPr="00927E76">
        <w:rPr>
          <w:b/>
          <w:sz w:val="24"/>
        </w:rPr>
        <w:t>（</w:t>
      </w:r>
      <w:r w:rsidRPr="00927E76">
        <w:rPr>
          <w:rFonts w:hint="eastAsia"/>
          <w:b/>
          <w:sz w:val="24"/>
        </w:rPr>
        <w:t>三</w:t>
      </w:r>
      <w:r w:rsidRPr="00927E76">
        <w:rPr>
          <w:b/>
          <w:sz w:val="24"/>
        </w:rPr>
        <w:t>）污废水</w:t>
      </w:r>
      <w:r w:rsidRPr="00927E76">
        <w:rPr>
          <w:rFonts w:hint="eastAsia"/>
          <w:b/>
          <w:sz w:val="24"/>
        </w:rPr>
        <w:t>排放影响分析</w:t>
      </w:r>
    </w:p>
    <w:p w:rsidR="00C223F5" w:rsidRPr="00927E76" w:rsidRDefault="005860D5">
      <w:pPr>
        <w:spacing w:line="360" w:lineRule="auto"/>
        <w:ind w:firstLineChars="200" w:firstLine="480"/>
        <w:rPr>
          <w:sz w:val="24"/>
        </w:rPr>
      </w:pPr>
      <w:r w:rsidRPr="00927E76">
        <w:rPr>
          <w:rFonts w:hint="eastAsia"/>
          <w:sz w:val="24"/>
        </w:rPr>
        <w:t>根据《横山县天云煤矿有限公司煤矿资源整合项目入河排污口设置论证报告》</w:t>
      </w:r>
      <w:r w:rsidRPr="00927E76">
        <w:rPr>
          <w:rFonts w:hint="eastAsia"/>
          <w:sz w:val="24"/>
        </w:rPr>
        <w:lastRenderedPageBreak/>
        <w:t>及本次地表水现状监测，原天云煤矿目前正常生产，矿井水约</w:t>
      </w:r>
      <w:r w:rsidRPr="00927E76">
        <w:rPr>
          <w:rFonts w:hint="eastAsia"/>
          <w:sz w:val="24"/>
        </w:rPr>
        <w:t>700m</w:t>
      </w:r>
      <w:r w:rsidRPr="00927E76">
        <w:rPr>
          <w:rFonts w:hint="eastAsia"/>
          <w:sz w:val="24"/>
          <w:vertAlign w:val="superscript"/>
        </w:rPr>
        <w:t>3</w:t>
      </w:r>
      <w:r w:rsidRPr="00927E76">
        <w:rPr>
          <w:rFonts w:hint="eastAsia"/>
          <w:sz w:val="24"/>
        </w:rPr>
        <w:t>/d</w:t>
      </w:r>
      <w:r w:rsidRPr="00927E76">
        <w:rPr>
          <w:rFonts w:hint="eastAsia"/>
          <w:sz w:val="24"/>
        </w:rPr>
        <w:t>排至蚂蚁河，据实测原天云煤矿入河排污口下游及汇入大理河处的水质满足《地表水环境质量标准》三类标准，符合下游大理河绥德保留区水功能区目标要求。</w:t>
      </w:r>
    </w:p>
    <w:p w:rsidR="00C223F5" w:rsidRPr="00927E76" w:rsidRDefault="005860D5">
      <w:pPr>
        <w:spacing w:line="360" w:lineRule="auto"/>
        <w:ind w:firstLineChars="200" w:firstLine="480"/>
        <w:rPr>
          <w:sz w:val="24"/>
        </w:rPr>
      </w:pPr>
      <w:r w:rsidRPr="00927E76">
        <w:rPr>
          <w:rFonts w:hint="eastAsia"/>
          <w:sz w:val="24"/>
        </w:rPr>
        <w:t>蚂蚁河于魏家楼镇附近汇入大理河绥德保留区，且入河排污口距离入大理河口约</w:t>
      </w:r>
      <w:r w:rsidRPr="00927E76">
        <w:rPr>
          <w:rFonts w:hint="eastAsia"/>
          <w:sz w:val="24"/>
        </w:rPr>
        <w:t>7km</w:t>
      </w:r>
      <w:r w:rsidRPr="00927E76">
        <w:rPr>
          <w:rFonts w:hint="eastAsia"/>
          <w:sz w:val="24"/>
        </w:rPr>
        <w:t>。因蚂蚁河为山区河道，且</w:t>
      </w:r>
      <w:r w:rsidRPr="00927E76">
        <w:rPr>
          <w:rFonts w:hint="eastAsia"/>
          <w:sz w:val="24"/>
        </w:rPr>
        <w:t>COD</w:t>
      </w:r>
      <w:r w:rsidRPr="00927E76">
        <w:rPr>
          <w:rFonts w:hint="eastAsia"/>
          <w:sz w:val="24"/>
        </w:rPr>
        <w:t>、氨氮浓度均不大，排污口论证报告认为蚂蚁河入河排污口至入大理河口区间主要污染物浓度保持不变。</w:t>
      </w:r>
    </w:p>
    <w:p w:rsidR="00C223F5" w:rsidRDefault="005860D5">
      <w:pPr>
        <w:spacing w:line="360" w:lineRule="auto"/>
        <w:ind w:firstLineChars="200" w:firstLine="480"/>
        <w:rPr>
          <w:sz w:val="24"/>
        </w:rPr>
      </w:pPr>
      <w:r w:rsidRPr="00927E76">
        <w:rPr>
          <w:rFonts w:hint="eastAsia"/>
          <w:sz w:val="24"/>
        </w:rPr>
        <w:t>同时，排污口论证报告认为，在上游来水不会突然恶</w:t>
      </w:r>
      <w:r>
        <w:rPr>
          <w:rFonts w:hint="eastAsia"/>
          <w:sz w:val="24"/>
        </w:rPr>
        <w:t>化的前提下，当原天云煤矿保持稳定的废污水处理工艺和效率时，评价范围内水域水质仍能达到水质目标要求，不会改变大理河绥德保留区的水功能区使用功能。</w:t>
      </w:r>
    </w:p>
    <w:p w:rsidR="00C223F5" w:rsidRDefault="005860D5">
      <w:pPr>
        <w:spacing w:line="360" w:lineRule="auto"/>
        <w:ind w:firstLineChars="200" w:firstLine="480"/>
        <w:rPr>
          <w:sz w:val="24"/>
        </w:rPr>
      </w:pPr>
      <w:r>
        <w:rPr>
          <w:rFonts w:hint="eastAsia"/>
          <w:sz w:val="24"/>
        </w:rPr>
        <w:t>本次整合工程新建矿井水处理站，处理工艺为混凝、沉淀、气浮、过滤消毒，出水水质浓度优于原处理工艺出水水质，且排水量仅为原天云煤矿排水量的</w:t>
      </w:r>
      <w:r w:rsidR="00157FAF">
        <w:rPr>
          <w:rFonts w:hint="eastAsia"/>
          <w:color w:val="FF0000"/>
          <w:sz w:val="24"/>
        </w:rPr>
        <w:t>83.7</w:t>
      </w:r>
      <w:r>
        <w:rPr>
          <w:rFonts w:hint="eastAsia"/>
          <w:sz w:val="24"/>
        </w:rPr>
        <w:t>%</w:t>
      </w:r>
      <w:r>
        <w:rPr>
          <w:rFonts w:hint="eastAsia"/>
          <w:sz w:val="24"/>
        </w:rPr>
        <w:t>。本次评价认为整合项目矿井水入河后，地表水体蚂蚁河的水质满足《地表水环境质量标准》三类标准，且满足下游大理河绥德保留区水质目标要求。</w:t>
      </w:r>
    </w:p>
    <w:p w:rsidR="00AC61C0" w:rsidRDefault="00AC61C0" w:rsidP="004835BD">
      <w:pPr>
        <w:pStyle w:val="4"/>
        <w:spacing w:before="0" w:after="0" w:line="360" w:lineRule="auto"/>
        <w:ind w:firstLineChars="100" w:firstLine="240"/>
        <w:rPr>
          <w:szCs w:val="24"/>
        </w:rPr>
      </w:pPr>
      <w:r>
        <w:rPr>
          <w:rFonts w:hint="eastAsia"/>
          <w:szCs w:val="24"/>
        </w:rPr>
        <w:t>4.2.3.4</w:t>
      </w:r>
      <w:r>
        <w:rPr>
          <w:rFonts w:hint="eastAsia"/>
          <w:szCs w:val="24"/>
        </w:rPr>
        <w:t>地表水环境自查表</w:t>
      </w:r>
    </w:p>
    <w:p w:rsidR="00AC61C0" w:rsidRPr="00AC61C0" w:rsidRDefault="00AC61C0" w:rsidP="00AC61C0">
      <w:pPr>
        <w:spacing w:line="360" w:lineRule="auto"/>
        <w:ind w:firstLineChars="200" w:firstLine="480"/>
        <w:rPr>
          <w:sz w:val="24"/>
        </w:rPr>
      </w:pPr>
      <w:r>
        <w:rPr>
          <w:rFonts w:hint="eastAsia"/>
          <w:sz w:val="24"/>
        </w:rPr>
        <w:t>项目地表水环境自查表见表</w:t>
      </w:r>
      <w:r>
        <w:rPr>
          <w:rFonts w:hint="eastAsia"/>
          <w:sz w:val="24"/>
        </w:rPr>
        <w:t>H.1</w:t>
      </w:r>
      <w:r>
        <w:rPr>
          <w:rFonts w:hint="eastAsia"/>
          <w:sz w:val="24"/>
        </w:rPr>
        <w:t>。</w:t>
      </w:r>
    </w:p>
    <w:p w:rsidR="00AC61C0" w:rsidRDefault="00AC61C0" w:rsidP="004835BD">
      <w:pPr>
        <w:pStyle w:val="3"/>
        <w:numPr>
          <w:ilvl w:val="0"/>
          <w:numId w:val="0"/>
        </w:numPr>
        <w:spacing w:before="0" w:after="0" w:line="360" w:lineRule="auto"/>
        <w:ind w:left="170"/>
        <w:rPr>
          <w:rFonts w:eastAsia="宋体"/>
          <w:b/>
          <w:bCs w:val="0"/>
          <w:sz w:val="28"/>
          <w:szCs w:val="28"/>
        </w:rPr>
      </w:pPr>
      <w:bookmarkStart w:id="392" w:name="_Toc533604753"/>
      <w:bookmarkStart w:id="393" w:name="_Toc493246110"/>
      <w:bookmarkStart w:id="394" w:name="_Toc533604333"/>
      <w:bookmarkStart w:id="395" w:name="_Toc16785298"/>
      <w:r>
        <w:rPr>
          <w:rFonts w:eastAsia="宋体" w:hint="eastAsia"/>
          <w:b/>
          <w:bCs w:val="0"/>
          <w:sz w:val="28"/>
          <w:szCs w:val="28"/>
        </w:rPr>
        <w:t>4.2.4</w:t>
      </w:r>
      <w:r>
        <w:rPr>
          <w:rFonts w:eastAsia="宋体" w:hint="eastAsia"/>
          <w:b/>
          <w:bCs w:val="0"/>
          <w:sz w:val="28"/>
          <w:szCs w:val="28"/>
        </w:rPr>
        <w:t>大气环境影响预测与评价</w:t>
      </w:r>
      <w:bookmarkEnd w:id="392"/>
      <w:bookmarkEnd w:id="393"/>
      <w:bookmarkEnd w:id="394"/>
      <w:bookmarkEnd w:id="395"/>
    </w:p>
    <w:p w:rsidR="00AC61C0" w:rsidRDefault="00AC61C0" w:rsidP="00AC61C0">
      <w:pPr>
        <w:spacing w:line="360" w:lineRule="auto"/>
        <w:ind w:firstLineChars="200" w:firstLine="480"/>
        <w:rPr>
          <w:sz w:val="24"/>
        </w:rPr>
      </w:pPr>
      <w:r>
        <w:rPr>
          <w:rFonts w:hint="eastAsia"/>
          <w:sz w:val="24"/>
        </w:rPr>
        <w:t>矿井开采对大气环境</w:t>
      </w:r>
      <w:r>
        <w:rPr>
          <w:sz w:val="24"/>
        </w:rPr>
        <w:t>的</w:t>
      </w:r>
      <w:r>
        <w:rPr>
          <w:rFonts w:hint="eastAsia"/>
          <w:sz w:val="24"/>
        </w:rPr>
        <w:t>影响因素</w:t>
      </w:r>
      <w:r>
        <w:rPr>
          <w:sz w:val="24"/>
        </w:rPr>
        <w:t>主要</w:t>
      </w:r>
      <w:r>
        <w:rPr>
          <w:rFonts w:hint="eastAsia"/>
          <w:sz w:val="24"/>
        </w:rPr>
        <w:t>包括</w:t>
      </w:r>
      <w:r>
        <w:rPr>
          <w:sz w:val="24"/>
        </w:rPr>
        <w:t>工业场地</w:t>
      </w:r>
      <w:r>
        <w:rPr>
          <w:rFonts w:hint="eastAsia"/>
          <w:sz w:val="24"/>
        </w:rPr>
        <w:t>地面生产、储煤系统产生的煤尘、</w:t>
      </w:r>
      <w:r>
        <w:rPr>
          <w:rFonts w:hint="eastAsia"/>
          <w:bCs/>
          <w:sz w:val="24"/>
        </w:rPr>
        <w:t>道路运输产生的扬</w:t>
      </w:r>
      <w:r>
        <w:rPr>
          <w:bCs/>
          <w:sz w:val="24"/>
        </w:rPr>
        <w:t>尘</w:t>
      </w:r>
      <w:r>
        <w:rPr>
          <w:rFonts w:hint="eastAsia"/>
          <w:bCs/>
          <w:sz w:val="24"/>
        </w:rPr>
        <w:t>污染</w:t>
      </w:r>
      <w:r>
        <w:rPr>
          <w:sz w:val="24"/>
        </w:rPr>
        <w:t>。</w:t>
      </w:r>
    </w:p>
    <w:p w:rsidR="00AC61C0" w:rsidRDefault="00AC61C0" w:rsidP="004835BD">
      <w:pPr>
        <w:pStyle w:val="4"/>
        <w:spacing w:before="0" w:after="0" w:line="360" w:lineRule="auto"/>
        <w:ind w:firstLineChars="100" w:firstLine="240"/>
        <w:rPr>
          <w:szCs w:val="24"/>
        </w:rPr>
      </w:pPr>
      <w:r>
        <w:rPr>
          <w:szCs w:val="24"/>
        </w:rPr>
        <w:t>4.2.4.1</w:t>
      </w:r>
      <w:r>
        <w:rPr>
          <w:rFonts w:hint="eastAsia"/>
          <w:szCs w:val="24"/>
        </w:rPr>
        <w:t>储运及生产系统煤尘影响分析</w:t>
      </w:r>
    </w:p>
    <w:p w:rsidR="00AC61C0" w:rsidRDefault="00AC61C0" w:rsidP="00AC61C0">
      <w:pPr>
        <w:spacing w:line="360" w:lineRule="auto"/>
        <w:ind w:firstLineChars="200" w:firstLine="480"/>
        <w:rPr>
          <w:sz w:val="24"/>
        </w:rPr>
      </w:pPr>
      <w:r>
        <w:rPr>
          <w:rFonts w:hint="eastAsia"/>
          <w:sz w:val="24"/>
        </w:rPr>
        <w:t>根据</w:t>
      </w:r>
      <w:r>
        <w:rPr>
          <w:sz w:val="24"/>
        </w:rPr>
        <w:t>项目特点，本项目</w:t>
      </w:r>
      <w:r>
        <w:rPr>
          <w:rFonts w:hint="eastAsia"/>
          <w:sz w:val="24"/>
        </w:rPr>
        <w:t>大气污染因子为颗粒物（</w:t>
      </w:r>
      <w:r>
        <w:rPr>
          <w:rFonts w:hint="eastAsia"/>
          <w:sz w:val="24"/>
        </w:rPr>
        <w:t>TSP</w:t>
      </w:r>
      <w:r>
        <w:rPr>
          <w:rFonts w:hint="eastAsia"/>
          <w:sz w:val="24"/>
        </w:rPr>
        <w:t>），采用《环境影响评价技术导则大气环境》（</w:t>
      </w:r>
      <w:r>
        <w:rPr>
          <w:rFonts w:hint="eastAsia"/>
          <w:sz w:val="24"/>
        </w:rPr>
        <w:t>HJ2.2-2018</w:t>
      </w:r>
      <w:r>
        <w:rPr>
          <w:rFonts w:hint="eastAsia"/>
          <w:sz w:val="24"/>
        </w:rPr>
        <w:t>）</w:t>
      </w:r>
      <w:r>
        <w:rPr>
          <w:sz w:val="24"/>
        </w:rPr>
        <w:t>推荐的</w:t>
      </w:r>
      <w:r>
        <w:rPr>
          <w:rFonts w:hint="eastAsia"/>
          <w:sz w:val="24"/>
        </w:rPr>
        <w:t>A</w:t>
      </w:r>
      <w:r>
        <w:rPr>
          <w:sz w:val="24"/>
        </w:rPr>
        <w:t>ERSCREEN</w:t>
      </w:r>
      <w:r>
        <w:rPr>
          <w:rFonts w:hint="eastAsia"/>
          <w:sz w:val="24"/>
        </w:rPr>
        <w:t>模型</w:t>
      </w:r>
      <w:r>
        <w:rPr>
          <w:sz w:val="24"/>
        </w:rPr>
        <w:t>进行估算。</w:t>
      </w:r>
      <w:r>
        <w:rPr>
          <w:rFonts w:hint="eastAsia"/>
          <w:sz w:val="24"/>
        </w:rPr>
        <w:t>估算模型</w:t>
      </w:r>
      <w:r>
        <w:rPr>
          <w:sz w:val="24"/>
        </w:rPr>
        <w:t>参数表见表</w:t>
      </w:r>
      <w:r>
        <w:rPr>
          <w:rFonts w:hint="eastAsia"/>
          <w:sz w:val="24"/>
        </w:rPr>
        <w:t>4.2.4-1</w:t>
      </w:r>
      <w:r>
        <w:rPr>
          <w:rFonts w:hint="eastAsia"/>
          <w:sz w:val="24"/>
        </w:rPr>
        <w:t>、</w:t>
      </w:r>
      <w:r>
        <w:rPr>
          <w:rFonts w:hint="eastAsia"/>
          <w:sz w:val="24"/>
        </w:rPr>
        <w:t>4.2.4-2</w:t>
      </w:r>
      <w:r>
        <w:rPr>
          <w:rFonts w:hint="eastAsia"/>
          <w:sz w:val="24"/>
        </w:rPr>
        <w:t>。估算结果见表</w:t>
      </w:r>
      <w:r>
        <w:rPr>
          <w:rFonts w:hint="eastAsia"/>
          <w:sz w:val="24"/>
        </w:rPr>
        <w:t>4.2.4-3</w:t>
      </w:r>
      <w:r>
        <w:rPr>
          <w:rFonts w:hint="eastAsia"/>
          <w:sz w:val="24"/>
        </w:rPr>
        <w:t>及图</w:t>
      </w:r>
      <w:r>
        <w:rPr>
          <w:rFonts w:hint="eastAsia"/>
          <w:sz w:val="24"/>
        </w:rPr>
        <w:t>4.2.4-1</w:t>
      </w:r>
      <w:r>
        <w:rPr>
          <w:rFonts w:hint="eastAsia"/>
          <w:sz w:val="24"/>
        </w:rPr>
        <w:t>。</w:t>
      </w:r>
    </w:p>
    <w:p w:rsidR="00AC61C0" w:rsidRDefault="00AC61C0" w:rsidP="00AC61C0">
      <w:pPr>
        <w:jc w:val="center"/>
        <w:rPr>
          <w:b/>
          <w:sz w:val="24"/>
        </w:rPr>
      </w:pPr>
      <w:r>
        <w:rPr>
          <w:rFonts w:hint="eastAsia"/>
          <w:b/>
          <w:sz w:val="24"/>
        </w:rPr>
        <w:t>表</w:t>
      </w:r>
      <w:r>
        <w:rPr>
          <w:rFonts w:hint="eastAsia"/>
          <w:b/>
          <w:sz w:val="24"/>
        </w:rPr>
        <w:t>4</w:t>
      </w:r>
      <w:r>
        <w:rPr>
          <w:b/>
          <w:sz w:val="24"/>
        </w:rPr>
        <w:t>.2.4-</w:t>
      </w:r>
      <w:r>
        <w:rPr>
          <w:rFonts w:hint="eastAsia"/>
          <w:b/>
          <w:sz w:val="24"/>
        </w:rPr>
        <w:t>1</w:t>
      </w:r>
      <w:r>
        <w:rPr>
          <w:rFonts w:hint="eastAsia"/>
          <w:b/>
          <w:sz w:val="24"/>
        </w:rPr>
        <w:t>项目</w:t>
      </w:r>
      <w:r>
        <w:rPr>
          <w:b/>
          <w:sz w:val="24"/>
        </w:rPr>
        <w:t>估算模型参数表</w:t>
      </w:r>
    </w:p>
    <w:tbl>
      <w:tblPr>
        <w:tblW w:w="8456"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Look w:val="04A0" w:firstRow="1" w:lastRow="0" w:firstColumn="1" w:lastColumn="0" w:noHBand="0" w:noVBand="1"/>
      </w:tblPr>
      <w:tblGrid>
        <w:gridCol w:w="1960"/>
        <w:gridCol w:w="2620"/>
        <w:gridCol w:w="3876"/>
      </w:tblGrid>
      <w:tr w:rsidR="00AC61C0" w:rsidTr="00AC61C0">
        <w:trPr>
          <w:trHeight w:val="75"/>
          <w:jc w:val="center"/>
        </w:trPr>
        <w:tc>
          <w:tcPr>
            <w:tcW w:w="4580" w:type="dxa"/>
            <w:gridSpan w:val="2"/>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参数</w:t>
            </w:r>
          </w:p>
        </w:tc>
        <w:tc>
          <w:tcPr>
            <w:tcW w:w="3876" w:type="dxa"/>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取值</w:t>
            </w:r>
          </w:p>
        </w:tc>
      </w:tr>
      <w:tr w:rsidR="00AC61C0" w:rsidTr="00AC61C0">
        <w:trPr>
          <w:trHeight w:val="65"/>
          <w:jc w:val="center"/>
        </w:trPr>
        <w:tc>
          <w:tcPr>
            <w:tcW w:w="1960" w:type="dxa"/>
            <w:vMerge w:val="restart"/>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城市</w:t>
            </w:r>
            <w:r>
              <w:rPr>
                <w:color w:val="000000"/>
                <w:kern w:val="0"/>
                <w:sz w:val="18"/>
                <w:szCs w:val="18"/>
              </w:rPr>
              <w:t>/</w:t>
            </w:r>
            <w:r>
              <w:rPr>
                <w:rFonts w:ascii="宋体" w:hAnsi="宋体" w:cs="宋体" w:hint="eastAsia"/>
                <w:color w:val="000000"/>
                <w:kern w:val="0"/>
                <w:sz w:val="18"/>
                <w:szCs w:val="18"/>
              </w:rPr>
              <w:t>农村选项</w:t>
            </w:r>
          </w:p>
        </w:tc>
        <w:tc>
          <w:tcPr>
            <w:tcW w:w="2620" w:type="dxa"/>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城市</w:t>
            </w:r>
            <w:r>
              <w:rPr>
                <w:color w:val="000000"/>
                <w:kern w:val="0"/>
                <w:sz w:val="18"/>
                <w:szCs w:val="18"/>
              </w:rPr>
              <w:t>/</w:t>
            </w:r>
            <w:r>
              <w:rPr>
                <w:rFonts w:ascii="宋体" w:hAnsi="宋体" w:cs="宋体" w:hint="eastAsia"/>
                <w:color w:val="000000"/>
                <w:kern w:val="0"/>
                <w:sz w:val="18"/>
                <w:szCs w:val="18"/>
              </w:rPr>
              <w:t>农村</w:t>
            </w:r>
          </w:p>
        </w:tc>
        <w:tc>
          <w:tcPr>
            <w:tcW w:w="3876" w:type="dxa"/>
            <w:shd w:val="clear" w:color="000000" w:fill="FFFFFF"/>
            <w:vAlign w:val="center"/>
          </w:tcPr>
          <w:p w:rsidR="00AC61C0" w:rsidRDefault="00AC61C0" w:rsidP="00AC61C0">
            <w:pPr>
              <w:widowControl/>
              <w:jc w:val="center"/>
              <w:rPr>
                <w:color w:val="000000"/>
                <w:kern w:val="0"/>
                <w:sz w:val="18"/>
                <w:szCs w:val="18"/>
              </w:rPr>
            </w:pPr>
            <w:r>
              <w:rPr>
                <w:rFonts w:hint="eastAsia"/>
                <w:color w:val="000000"/>
                <w:kern w:val="0"/>
                <w:sz w:val="18"/>
                <w:szCs w:val="18"/>
              </w:rPr>
              <w:t>农村</w:t>
            </w:r>
          </w:p>
        </w:tc>
      </w:tr>
      <w:tr w:rsidR="00AC61C0" w:rsidTr="00AC61C0">
        <w:trPr>
          <w:trHeight w:val="65"/>
          <w:jc w:val="center"/>
        </w:trPr>
        <w:tc>
          <w:tcPr>
            <w:tcW w:w="1960" w:type="dxa"/>
            <w:vMerge/>
            <w:vAlign w:val="center"/>
          </w:tcPr>
          <w:p w:rsidR="00AC61C0" w:rsidRDefault="00AC61C0" w:rsidP="00AC61C0">
            <w:pPr>
              <w:widowControl/>
              <w:jc w:val="left"/>
              <w:rPr>
                <w:rFonts w:ascii="宋体" w:hAnsi="宋体" w:cs="宋体"/>
                <w:color w:val="000000"/>
                <w:kern w:val="0"/>
                <w:sz w:val="18"/>
                <w:szCs w:val="18"/>
              </w:rPr>
            </w:pPr>
          </w:p>
        </w:tc>
        <w:tc>
          <w:tcPr>
            <w:tcW w:w="2620" w:type="dxa"/>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人口数（城市选项时）</w:t>
            </w:r>
          </w:p>
        </w:tc>
        <w:tc>
          <w:tcPr>
            <w:tcW w:w="3876" w:type="dxa"/>
            <w:shd w:val="clear" w:color="000000" w:fill="FFFFFF"/>
            <w:vAlign w:val="center"/>
          </w:tcPr>
          <w:p w:rsidR="00AC61C0" w:rsidRDefault="00AC61C0" w:rsidP="00AC61C0">
            <w:pPr>
              <w:widowControl/>
              <w:jc w:val="center"/>
              <w:rPr>
                <w:color w:val="000000"/>
                <w:kern w:val="0"/>
                <w:sz w:val="18"/>
                <w:szCs w:val="18"/>
              </w:rPr>
            </w:pPr>
            <w:r>
              <w:rPr>
                <w:rFonts w:hint="eastAsia"/>
                <w:color w:val="000000"/>
                <w:kern w:val="0"/>
                <w:sz w:val="18"/>
                <w:szCs w:val="18"/>
              </w:rPr>
              <w:t>/</w:t>
            </w:r>
          </w:p>
        </w:tc>
      </w:tr>
      <w:tr w:rsidR="00AC61C0" w:rsidTr="00AC61C0">
        <w:trPr>
          <w:trHeight w:val="65"/>
          <w:jc w:val="center"/>
        </w:trPr>
        <w:tc>
          <w:tcPr>
            <w:tcW w:w="4580" w:type="dxa"/>
            <w:gridSpan w:val="2"/>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最高环境温度</w:t>
            </w:r>
            <w:r>
              <w:rPr>
                <w:color w:val="000000"/>
                <w:kern w:val="0"/>
                <w:sz w:val="18"/>
                <w:szCs w:val="18"/>
              </w:rPr>
              <w:t>/</w:t>
            </w:r>
            <w:r>
              <w:rPr>
                <w:rFonts w:ascii="宋体" w:hAnsi="宋体" w:cs="宋体" w:hint="eastAsia"/>
                <w:color w:val="000000"/>
                <w:kern w:val="0"/>
                <w:sz w:val="18"/>
                <w:szCs w:val="18"/>
              </w:rPr>
              <w:t>℃</w:t>
            </w:r>
          </w:p>
        </w:tc>
        <w:tc>
          <w:tcPr>
            <w:tcW w:w="3876" w:type="dxa"/>
            <w:shd w:val="clear" w:color="000000" w:fill="FFFFFF"/>
            <w:vAlign w:val="center"/>
          </w:tcPr>
          <w:p w:rsidR="00AC61C0" w:rsidRDefault="00AC61C0" w:rsidP="00AC61C0">
            <w:pPr>
              <w:widowControl/>
              <w:jc w:val="center"/>
              <w:rPr>
                <w:color w:val="000000"/>
                <w:kern w:val="0"/>
                <w:sz w:val="18"/>
                <w:szCs w:val="18"/>
              </w:rPr>
            </w:pPr>
            <w:r>
              <w:rPr>
                <w:rFonts w:hint="eastAsia"/>
                <w:color w:val="000000"/>
                <w:kern w:val="0"/>
                <w:sz w:val="18"/>
                <w:szCs w:val="18"/>
              </w:rPr>
              <w:t>38.9</w:t>
            </w:r>
          </w:p>
        </w:tc>
      </w:tr>
      <w:tr w:rsidR="00AC61C0" w:rsidTr="00AC61C0">
        <w:trPr>
          <w:trHeight w:val="65"/>
          <w:jc w:val="center"/>
        </w:trPr>
        <w:tc>
          <w:tcPr>
            <w:tcW w:w="4580" w:type="dxa"/>
            <w:gridSpan w:val="2"/>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最低环境温度</w:t>
            </w:r>
            <w:r>
              <w:rPr>
                <w:color w:val="000000"/>
                <w:kern w:val="0"/>
                <w:sz w:val="18"/>
                <w:szCs w:val="18"/>
              </w:rPr>
              <w:t>/</w:t>
            </w:r>
            <w:r>
              <w:rPr>
                <w:rFonts w:ascii="宋体" w:hAnsi="宋体" w:cs="宋体" w:hint="eastAsia"/>
                <w:color w:val="000000"/>
                <w:kern w:val="0"/>
                <w:sz w:val="18"/>
                <w:szCs w:val="18"/>
              </w:rPr>
              <w:t>℃</w:t>
            </w:r>
          </w:p>
        </w:tc>
        <w:tc>
          <w:tcPr>
            <w:tcW w:w="3876" w:type="dxa"/>
            <w:shd w:val="clear" w:color="000000" w:fill="FFFFFF"/>
            <w:vAlign w:val="center"/>
          </w:tcPr>
          <w:p w:rsidR="00AC61C0" w:rsidRDefault="00AC61C0" w:rsidP="00AC61C0">
            <w:pPr>
              <w:widowControl/>
              <w:jc w:val="center"/>
              <w:rPr>
                <w:color w:val="000000"/>
                <w:kern w:val="0"/>
                <w:sz w:val="18"/>
                <w:szCs w:val="18"/>
              </w:rPr>
            </w:pPr>
            <w:r>
              <w:rPr>
                <w:rFonts w:hint="eastAsia"/>
                <w:color w:val="000000"/>
                <w:kern w:val="0"/>
                <w:sz w:val="18"/>
                <w:szCs w:val="18"/>
              </w:rPr>
              <w:t>-</w:t>
            </w:r>
            <w:r>
              <w:rPr>
                <w:color w:val="000000"/>
                <w:kern w:val="0"/>
                <w:sz w:val="18"/>
                <w:szCs w:val="18"/>
              </w:rPr>
              <w:t>29</w:t>
            </w:r>
          </w:p>
        </w:tc>
      </w:tr>
      <w:tr w:rsidR="00AC61C0" w:rsidTr="00AC61C0">
        <w:trPr>
          <w:trHeight w:val="65"/>
          <w:jc w:val="center"/>
        </w:trPr>
        <w:tc>
          <w:tcPr>
            <w:tcW w:w="4580" w:type="dxa"/>
            <w:gridSpan w:val="2"/>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土地利用类型</w:t>
            </w:r>
          </w:p>
        </w:tc>
        <w:tc>
          <w:tcPr>
            <w:tcW w:w="3876" w:type="dxa"/>
            <w:shd w:val="clear" w:color="000000" w:fill="FFFFFF"/>
            <w:vAlign w:val="center"/>
          </w:tcPr>
          <w:p w:rsidR="00AC61C0" w:rsidRDefault="00AC61C0" w:rsidP="00AC61C0">
            <w:pPr>
              <w:widowControl/>
              <w:jc w:val="center"/>
              <w:rPr>
                <w:color w:val="000000"/>
                <w:kern w:val="0"/>
                <w:sz w:val="18"/>
                <w:szCs w:val="18"/>
              </w:rPr>
            </w:pPr>
            <w:r>
              <w:rPr>
                <w:rFonts w:hint="eastAsia"/>
                <w:color w:val="000000"/>
                <w:kern w:val="0"/>
                <w:sz w:val="18"/>
                <w:szCs w:val="18"/>
              </w:rPr>
              <w:t>落叶林</w:t>
            </w:r>
          </w:p>
        </w:tc>
      </w:tr>
      <w:tr w:rsidR="00AC61C0" w:rsidTr="00AC61C0">
        <w:trPr>
          <w:trHeight w:val="65"/>
          <w:jc w:val="center"/>
        </w:trPr>
        <w:tc>
          <w:tcPr>
            <w:tcW w:w="4580" w:type="dxa"/>
            <w:gridSpan w:val="2"/>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区域湿度条件</w:t>
            </w:r>
          </w:p>
        </w:tc>
        <w:tc>
          <w:tcPr>
            <w:tcW w:w="3876" w:type="dxa"/>
            <w:shd w:val="clear" w:color="000000" w:fill="FFFFFF"/>
            <w:vAlign w:val="center"/>
          </w:tcPr>
          <w:p w:rsidR="00AC61C0" w:rsidRDefault="00AC61C0" w:rsidP="00AC61C0">
            <w:pPr>
              <w:widowControl/>
              <w:jc w:val="center"/>
              <w:rPr>
                <w:color w:val="000000"/>
                <w:kern w:val="0"/>
                <w:sz w:val="18"/>
                <w:szCs w:val="18"/>
              </w:rPr>
            </w:pPr>
            <w:r>
              <w:rPr>
                <w:rFonts w:hint="eastAsia"/>
                <w:color w:val="000000"/>
                <w:kern w:val="0"/>
                <w:sz w:val="18"/>
                <w:szCs w:val="18"/>
              </w:rPr>
              <w:t>半干旱</w:t>
            </w:r>
            <w:r>
              <w:rPr>
                <w:color w:val="000000"/>
                <w:kern w:val="0"/>
                <w:sz w:val="18"/>
                <w:szCs w:val="18"/>
              </w:rPr>
              <w:t>气候</w:t>
            </w:r>
          </w:p>
        </w:tc>
      </w:tr>
      <w:tr w:rsidR="00AC61C0" w:rsidTr="00AC61C0">
        <w:trPr>
          <w:trHeight w:val="300"/>
          <w:jc w:val="center"/>
        </w:trPr>
        <w:tc>
          <w:tcPr>
            <w:tcW w:w="1960" w:type="dxa"/>
            <w:vMerge w:val="restart"/>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是否考虑地形</w:t>
            </w:r>
          </w:p>
        </w:tc>
        <w:tc>
          <w:tcPr>
            <w:tcW w:w="2620" w:type="dxa"/>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考虑地形</w:t>
            </w:r>
          </w:p>
        </w:tc>
        <w:tc>
          <w:tcPr>
            <w:tcW w:w="3876" w:type="dxa"/>
            <w:shd w:val="clear" w:color="000000" w:fill="FFFFFF"/>
            <w:vAlign w:val="center"/>
          </w:tcPr>
          <w:p w:rsidR="00AC61C0" w:rsidRDefault="00AC61C0" w:rsidP="00AC61C0">
            <w:pPr>
              <w:widowControl/>
              <w:jc w:val="center"/>
              <w:rPr>
                <w:color w:val="000000"/>
                <w:kern w:val="0"/>
                <w:sz w:val="18"/>
                <w:szCs w:val="18"/>
              </w:rPr>
            </w:pPr>
            <w:r>
              <w:rPr>
                <w:sz w:val="20"/>
                <w:szCs w:val="20"/>
              </w:rPr>
              <w:sym w:font="Wingdings 2" w:char="0052"/>
            </w:r>
            <w:r>
              <w:rPr>
                <w:rFonts w:hint="eastAsia"/>
                <w:sz w:val="20"/>
                <w:szCs w:val="20"/>
              </w:rPr>
              <w:t>是</w:t>
            </w:r>
            <w:r>
              <w:rPr>
                <w:rFonts w:hint="eastAsia"/>
                <w:sz w:val="20"/>
                <w:szCs w:val="20"/>
              </w:rPr>
              <w:t xml:space="preserve">    </w:t>
            </w:r>
            <w:r>
              <w:rPr>
                <w:color w:val="000000"/>
                <w:kern w:val="0"/>
                <w:sz w:val="18"/>
                <w:szCs w:val="18"/>
              </w:rPr>
              <w:t>□</w:t>
            </w:r>
            <w:r>
              <w:rPr>
                <w:rFonts w:hint="eastAsia"/>
                <w:color w:val="000000"/>
                <w:kern w:val="0"/>
                <w:sz w:val="18"/>
                <w:szCs w:val="18"/>
              </w:rPr>
              <w:t>否</w:t>
            </w:r>
          </w:p>
        </w:tc>
      </w:tr>
      <w:tr w:rsidR="00AC61C0" w:rsidTr="00157FAF">
        <w:trPr>
          <w:trHeight w:val="180"/>
          <w:jc w:val="center"/>
        </w:trPr>
        <w:tc>
          <w:tcPr>
            <w:tcW w:w="1960" w:type="dxa"/>
            <w:vMerge/>
            <w:shd w:val="clear" w:color="000000" w:fill="FFFFFF"/>
            <w:vAlign w:val="center"/>
          </w:tcPr>
          <w:p w:rsidR="00AC61C0" w:rsidRDefault="00AC61C0" w:rsidP="00AC61C0">
            <w:pPr>
              <w:widowControl/>
              <w:jc w:val="center"/>
              <w:rPr>
                <w:rFonts w:ascii="宋体" w:hAnsi="宋体" w:cs="宋体"/>
                <w:color w:val="000000"/>
                <w:kern w:val="0"/>
                <w:sz w:val="18"/>
                <w:szCs w:val="18"/>
              </w:rPr>
            </w:pPr>
          </w:p>
        </w:tc>
        <w:tc>
          <w:tcPr>
            <w:tcW w:w="2620" w:type="dxa"/>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地形数据分辨率</w:t>
            </w:r>
          </w:p>
        </w:tc>
        <w:tc>
          <w:tcPr>
            <w:tcW w:w="3876" w:type="dxa"/>
            <w:shd w:val="clear" w:color="000000" w:fill="FFFFFF"/>
            <w:vAlign w:val="center"/>
          </w:tcPr>
          <w:p w:rsidR="00AC61C0" w:rsidRDefault="00AC61C0" w:rsidP="00AC61C0">
            <w:pPr>
              <w:widowControl/>
              <w:jc w:val="center"/>
              <w:rPr>
                <w:color w:val="000000"/>
                <w:kern w:val="0"/>
                <w:sz w:val="18"/>
                <w:szCs w:val="18"/>
              </w:rPr>
            </w:pPr>
            <w:r>
              <w:rPr>
                <w:rFonts w:hint="eastAsia"/>
                <w:color w:val="000000"/>
                <w:kern w:val="0"/>
                <w:sz w:val="18"/>
                <w:szCs w:val="18"/>
              </w:rPr>
              <w:t>9</w:t>
            </w:r>
            <w:r>
              <w:rPr>
                <w:color w:val="000000"/>
                <w:kern w:val="0"/>
                <w:sz w:val="18"/>
                <w:szCs w:val="18"/>
              </w:rPr>
              <w:t>0m</w:t>
            </w:r>
          </w:p>
        </w:tc>
      </w:tr>
      <w:tr w:rsidR="00AC61C0" w:rsidTr="00157FAF">
        <w:trPr>
          <w:trHeight w:val="70"/>
          <w:jc w:val="center"/>
        </w:trPr>
        <w:tc>
          <w:tcPr>
            <w:tcW w:w="1960" w:type="dxa"/>
            <w:vMerge w:val="restart"/>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是否考虑海岸线熏烟</w:t>
            </w:r>
          </w:p>
        </w:tc>
        <w:tc>
          <w:tcPr>
            <w:tcW w:w="2620" w:type="dxa"/>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考虑岸线熏烟</w:t>
            </w:r>
          </w:p>
        </w:tc>
        <w:tc>
          <w:tcPr>
            <w:tcW w:w="3876" w:type="dxa"/>
            <w:shd w:val="clear" w:color="000000" w:fill="FFFFFF"/>
            <w:vAlign w:val="center"/>
          </w:tcPr>
          <w:p w:rsidR="00AC61C0" w:rsidRDefault="00AC61C0" w:rsidP="00AC61C0">
            <w:pPr>
              <w:widowControl/>
              <w:jc w:val="center"/>
              <w:rPr>
                <w:color w:val="000000"/>
                <w:kern w:val="0"/>
                <w:sz w:val="18"/>
                <w:szCs w:val="18"/>
              </w:rPr>
            </w:pPr>
            <w:r>
              <w:rPr>
                <w:color w:val="000000"/>
                <w:kern w:val="0"/>
                <w:sz w:val="18"/>
                <w:szCs w:val="18"/>
              </w:rPr>
              <w:t>□</w:t>
            </w:r>
            <w:r>
              <w:rPr>
                <w:rFonts w:hint="eastAsia"/>
                <w:sz w:val="20"/>
                <w:szCs w:val="20"/>
              </w:rPr>
              <w:t>是</w:t>
            </w:r>
            <w:r>
              <w:rPr>
                <w:rFonts w:hint="eastAsia"/>
                <w:sz w:val="20"/>
                <w:szCs w:val="20"/>
              </w:rPr>
              <w:t xml:space="preserve">    </w:t>
            </w:r>
            <w:r>
              <w:rPr>
                <w:sz w:val="20"/>
                <w:szCs w:val="20"/>
              </w:rPr>
              <w:sym w:font="Wingdings 2" w:char="0052"/>
            </w:r>
            <w:r>
              <w:rPr>
                <w:rFonts w:hint="eastAsia"/>
                <w:color w:val="000000"/>
                <w:kern w:val="0"/>
                <w:sz w:val="18"/>
                <w:szCs w:val="18"/>
              </w:rPr>
              <w:t>否</w:t>
            </w:r>
          </w:p>
        </w:tc>
      </w:tr>
      <w:tr w:rsidR="00AC61C0" w:rsidTr="00AC61C0">
        <w:trPr>
          <w:trHeight w:val="300"/>
          <w:jc w:val="center"/>
        </w:trPr>
        <w:tc>
          <w:tcPr>
            <w:tcW w:w="1960" w:type="dxa"/>
            <w:vMerge/>
            <w:vAlign w:val="center"/>
          </w:tcPr>
          <w:p w:rsidR="00AC61C0" w:rsidRDefault="00AC61C0" w:rsidP="00AC61C0">
            <w:pPr>
              <w:widowControl/>
              <w:jc w:val="left"/>
              <w:rPr>
                <w:rFonts w:ascii="宋体" w:hAnsi="宋体" w:cs="宋体"/>
                <w:color w:val="000000"/>
                <w:kern w:val="0"/>
                <w:sz w:val="18"/>
                <w:szCs w:val="18"/>
              </w:rPr>
            </w:pPr>
          </w:p>
        </w:tc>
        <w:tc>
          <w:tcPr>
            <w:tcW w:w="2620" w:type="dxa"/>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海岸线距离</w:t>
            </w:r>
            <w:r>
              <w:rPr>
                <w:color w:val="000000"/>
                <w:kern w:val="0"/>
                <w:sz w:val="18"/>
                <w:szCs w:val="18"/>
              </w:rPr>
              <w:t>/m</w:t>
            </w:r>
          </w:p>
        </w:tc>
        <w:tc>
          <w:tcPr>
            <w:tcW w:w="3876" w:type="dxa"/>
            <w:shd w:val="clear" w:color="000000" w:fill="FFFFFF"/>
            <w:vAlign w:val="center"/>
          </w:tcPr>
          <w:p w:rsidR="00AC61C0" w:rsidRDefault="00AC61C0" w:rsidP="00AC61C0">
            <w:pPr>
              <w:widowControl/>
              <w:jc w:val="center"/>
              <w:rPr>
                <w:color w:val="000000"/>
                <w:kern w:val="0"/>
                <w:sz w:val="18"/>
                <w:szCs w:val="18"/>
              </w:rPr>
            </w:pPr>
            <w:r>
              <w:rPr>
                <w:rFonts w:hint="eastAsia"/>
                <w:color w:val="000000"/>
                <w:kern w:val="0"/>
                <w:sz w:val="18"/>
                <w:szCs w:val="18"/>
              </w:rPr>
              <w:t>/</w:t>
            </w:r>
          </w:p>
        </w:tc>
      </w:tr>
      <w:tr w:rsidR="00AC61C0" w:rsidTr="00AC61C0">
        <w:trPr>
          <w:trHeight w:val="300"/>
          <w:jc w:val="center"/>
        </w:trPr>
        <w:tc>
          <w:tcPr>
            <w:tcW w:w="1960" w:type="dxa"/>
            <w:vMerge/>
            <w:vAlign w:val="center"/>
          </w:tcPr>
          <w:p w:rsidR="00AC61C0" w:rsidRDefault="00AC61C0" w:rsidP="00AC61C0">
            <w:pPr>
              <w:widowControl/>
              <w:jc w:val="left"/>
              <w:rPr>
                <w:rFonts w:ascii="宋体" w:hAnsi="宋体" w:cs="宋体"/>
                <w:color w:val="000000"/>
                <w:kern w:val="0"/>
                <w:sz w:val="18"/>
                <w:szCs w:val="18"/>
              </w:rPr>
            </w:pPr>
          </w:p>
        </w:tc>
        <w:tc>
          <w:tcPr>
            <w:tcW w:w="2620" w:type="dxa"/>
            <w:shd w:val="clear" w:color="000000" w:fill="FFFFFF"/>
            <w:vAlign w:val="center"/>
          </w:tcPr>
          <w:p w:rsidR="00AC61C0" w:rsidRDefault="00AC61C0" w:rsidP="00AC61C0">
            <w:pPr>
              <w:widowControl/>
              <w:jc w:val="center"/>
              <w:rPr>
                <w:rFonts w:ascii="宋体" w:hAnsi="宋体" w:cs="宋体"/>
                <w:color w:val="000000"/>
                <w:kern w:val="0"/>
                <w:sz w:val="18"/>
                <w:szCs w:val="18"/>
              </w:rPr>
            </w:pPr>
            <w:r>
              <w:rPr>
                <w:rFonts w:ascii="宋体" w:hAnsi="宋体" w:cs="宋体" w:hint="eastAsia"/>
                <w:color w:val="000000"/>
                <w:kern w:val="0"/>
                <w:sz w:val="18"/>
                <w:szCs w:val="18"/>
              </w:rPr>
              <w:t>海岸线方向</w:t>
            </w:r>
            <w:r>
              <w:rPr>
                <w:color w:val="000000"/>
                <w:kern w:val="0"/>
                <w:sz w:val="18"/>
                <w:szCs w:val="18"/>
              </w:rPr>
              <w:t>/°</w:t>
            </w:r>
          </w:p>
        </w:tc>
        <w:tc>
          <w:tcPr>
            <w:tcW w:w="3876" w:type="dxa"/>
            <w:shd w:val="clear" w:color="000000" w:fill="FFFFFF"/>
            <w:vAlign w:val="center"/>
          </w:tcPr>
          <w:p w:rsidR="00AC61C0" w:rsidRDefault="00AC61C0" w:rsidP="00AC61C0">
            <w:pPr>
              <w:widowControl/>
              <w:jc w:val="center"/>
              <w:rPr>
                <w:color w:val="000000"/>
                <w:kern w:val="0"/>
                <w:sz w:val="18"/>
                <w:szCs w:val="18"/>
              </w:rPr>
            </w:pPr>
            <w:r>
              <w:rPr>
                <w:rFonts w:hint="eastAsia"/>
                <w:color w:val="000000"/>
                <w:kern w:val="0"/>
                <w:sz w:val="18"/>
                <w:szCs w:val="18"/>
              </w:rPr>
              <w:t>/</w:t>
            </w:r>
          </w:p>
        </w:tc>
      </w:tr>
    </w:tbl>
    <w:p w:rsidR="00AC61C0" w:rsidRDefault="00AC61C0">
      <w:pPr>
        <w:spacing w:line="360" w:lineRule="auto"/>
        <w:ind w:firstLineChars="200" w:firstLine="480"/>
        <w:rPr>
          <w:sz w:val="24"/>
        </w:rPr>
        <w:sectPr w:rsidR="00AC61C0">
          <w:headerReference w:type="even" r:id="rId112"/>
          <w:headerReference w:type="default" r:id="rId113"/>
          <w:footerReference w:type="even" r:id="rId114"/>
          <w:footerReference w:type="default" r:id="rId115"/>
          <w:headerReference w:type="first" r:id="rId116"/>
          <w:pgSz w:w="11907" w:h="16840"/>
          <w:pgMar w:top="1440" w:right="1701" w:bottom="1440" w:left="1701" w:header="851" w:footer="992" w:gutter="0"/>
          <w:cols w:space="425"/>
          <w:docGrid w:linePitch="312"/>
        </w:sectPr>
      </w:pPr>
    </w:p>
    <w:p w:rsidR="00AC61C0" w:rsidRPr="00864BAF" w:rsidRDefault="00AC61C0" w:rsidP="00AC61C0">
      <w:pPr>
        <w:adjustRightInd w:val="0"/>
        <w:snapToGrid w:val="0"/>
        <w:spacing w:line="500" w:lineRule="exact"/>
        <w:jc w:val="center"/>
        <w:rPr>
          <w:rFonts w:hAnsi="宋体"/>
          <w:sz w:val="24"/>
        </w:rPr>
      </w:pPr>
      <w:r>
        <w:rPr>
          <w:rFonts w:hint="eastAsia"/>
          <w:b/>
          <w:bCs/>
          <w:sz w:val="24"/>
        </w:rPr>
        <w:lastRenderedPageBreak/>
        <w:t>表</w:t>
      </w:r>
      <w:r>
        <w:rPr>
          <w:rFonts w:hint="eastAsia"/>
          <w:b/>
          <w:bCs/>
          <w:sz w:val="24"/>
        </w:rPr>
        <w:t xml:space="preserve">H.1 </w:t>
      </w:r>
      <w:r>
        <w:rPr>
          <w:b/>
          <w:bCs/>
          <w:sz w:val="24"/>
        </w:rPr>
        <w:t>地表水环境影响评价自查表</w:t>
      </w:r>
    </w:p>
    <w:tbl>
      <w:tblPr>
        <w:tblW w:w="100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0"/>
        <w:gridCol w:w="1421"/>
        <w:gridCol w:w="1366"/>
        <w:gridCol w:w="417"/>
        <w:gridCol w:w="495"/>
        <w:gridCol w:w="600"/>
        <w:gridCol w:w="901"/>
        <w:gridCol w:w="532"/>
        <w:gridCol w:w="458"/>
        <w:gridCol w:w="1881"/>
        <w:gridCol w:w="1405"/>
      </w:tblGrid>
      <w:tr w:rsidR="00AC61C0" w:rsidRPr="00AC61C0" w:rsidTr="00AC61C0">
        <w:trPr>
          <w:trHeight w:val="454"/>
          <w:jc w:val="center"/>
        </w:trPr>
        <w:tc>
          <w:tcPr>
            <w:tcW w:w="1951" w:type="dxa"/>
            <w:gridSpan w:val="2"/>
            <w:shd w:val="clear" w:color="auto" w:fill="auto"/>
            <w:vAlign w:val="center"/>
          </w:tcPr>
          <w:p w:rsidR="00AC61C0" w:rsidRPr="00AC61C0" w:rsidRDefault="00AC61C0" w:rsidP="00AC61C0">
            <w:pPr>
              <w:pStyle w:val="aff1"/>
              <w:spacing w:line="240" w:lineRule="auto"/>
              <w:ind w:left="0" w:firstLine="0"/>
              <w:jc w:val="left"/>
              <w:rPr>
                <w:sz w:val="18"/>
                <w:szCs w:val="18"/>
              </w:rPr>
            </w:pPr>
            <w:r w:rsidRPr="00AC61C0">
              <w:rPr>
                <w:sz w:val="18"/>
                <w:szCs w:val="18"/>
              </w:rPr>
              <w:t>工作内容</w:t>
            </w:r>
          </w:p>
        </w:tc>
        <w:tc>
          <w:tcPr>
            <w:tcW w:w="8055" w:type="dxa"/>
            <w:gridSpan w:val="9"/>
            <w:shd w:val="clear" w:color="auto" w:fill="auto"/>
            <w:vAlign w:val="center"/>
          </w:tcPr>
          <w:p w:rsidR="00AC61C0" w:rsidRPr="00AC61C0" w:rsidRDefault="00AC61C0" w:rsidP="00AC61C0">
            <w:pPr>
              <w:pStyle w:val="aff1"/>
              <w:spacing w:line="240" w:lineRule="auto"/>
              <w:ind w:left="0" w:firstLine="0"/>
              <w:jc w:val="center"/>
              <w:rPr>
                <w:sz w:val="18"/>
                <w:szCs w:val="18"/>
              </w:rPr>
            </w:pPr>
            <w:r w:rsidRPr="00AC61C0">
              <w:rPr>
                <w:sz w:val="18"/>
                <w:szCs w:val="18"/>
              </w:rPr>
              <w:t>自查项目</w:t>
            </w:r>
          </w:p>
        </w:tc>
      </w:tr>
      <w:tr w:rsidR="00AC61C0" w:rsidRPr="00AC61C0" w:rsidTr="00AC61C0">
        <w:trPr>
          <w:trHeight w:val="454"/>
          <w:jc w:val="center"/>
        </w:trPr>
        <w:tc>
          <w:tcPr>
            <w:tcW w:w="530" w:type="dxa"/>
            <w:vMerge w:val="restart"/>
            <w:shd w:val="clear" w:color="auto" w:fill="auto"/>
            <w:vAlign w:val="center"/>
          </w:tcPr>
          <w:p w:rsidR="00AC61C0" w:rsidRPr="00AC61C0" w:rsidRDefault="00AC61C0" w:rsidP="00AC61C0">
            <w:pPr>
              <w:pStyle w:val="aff1"/>
              <w:spacing w:line="240" w:lineRule="auto"/>
              <w:ind w:left="0" w:firstLine="0"/>
              <w:jc w:val="center"/>
              <w:rPr>
                <w:sz w:val="18"/>
                <w:szCs w:val="18"/>
              </w:rPr>
            </w:pPr>
            <w:r w:rsidRPr="00AC61C0">
              <w:rPr>
                <w:sz w:val="18"/>
                <w:szCs w:val="18"/>
              </w:rPr>
              <w:t>影</w:t>
            </w:r>
          </w:p>
          <w:p w:rsidR="00AC61C0" w:rsidRPr="00AC61C0" w:rsidRDefault="00AC61C0" w:rsidP="00AC61C0">
            <w:pPr>
              <w:pStyle w:val="aff1"/>
              <w:spacing w:line="240" w:lineRule="auto"/>
              <w:ind w:left="0" w:firstLine="0"/>
              <w:jc w:val="center"/>
              <w:rPr>
                <w:sz w:val="18"/>
                <w:szCs w:val="18"/>
              </w:rPr>
            </w:pPr>
            <w:r w:rsidRPr="00AC61C0">
              <w:rPr>
                <w:sz w:val="18"/>
                <w:szCs w:val="18"/>
              </w:rPr>
              <w:t>响</w:t>
            </w:r>
          </w:p>
          <w:p w:rsidR="00AC61C0" w:rsidRPr="00AC61C0" w:rsidRDefault="00AC61C0" w:rsidP="00AC61C0">
            <w:pPr>
              <w:pStyle w:val="aff1"/>
              <w:spacing w:line="240" w:lineRule="auto"/>
              <w:ind w:left="0" w:firstLine="0"/>
              <w:jc w:val="center"/>
              <w:rPr>
                <w:sz w:val="18"/>
                <w:szCs w:val="18"/>
              </w:rPr>
            </w:pPr>
            <w:r w:rsidRPr="00AC61C0">
              <w:rPr>
                <w:sz w:val="18"/>
                <w:szCs w:val="18"/>
              </w:rPr>
              <w:t>识</w:t>
            </w:r>
          </w:p>
          <w:p w:rsidR="00AC61C0" w:rsidRPr="00AC61C0" w:rsidRDefault="00AC61C0" w:rsidP="00AC61C0">
            <w:pPr>
              <w:pStyle w:val="aff1"/>
              <w:spacing w:line="240" w:lineRule="auto"/>
              <w:ind w:left="0" w:firstLine="0"/>
              <w:jc w:val="center"/>
              <w:rPr>
                <w:sz w:val="18"/>
                <w:szCs w:val="18"/>
              </w:rPr>
            </w:pPr>
            <w:r w:rsidRPr="00AC61C0">
              <w:rPr>
                <w:sz w:val="18"/>
                <w:szCs w:val="18"/>
              </w:rPr>
              <w:t>别</w:t>
            </w:r>
          </w:p>
        </w:tc>
        <w:tc>
          <w:tcPr>
            <w:tcW w:w="1421" w:type="dxa"/>
            <w:shd w:val="clear" w:color="auto" w:fill="auto"/>
            <w:vAlign w:val="center"/>
          </w:tcPr>
          <w:p w:rsidR="00AC61C0" w:rsidRPr="00AC61C0" w:rsidRDefault="00AC61C0" w:rsidP="00AC61C0">
            <w:pPr>
              <w:pStyle w:val="aff1"/>
              <w:spacing w:line="240" w:lineRule="auto"/>
              <w:ind w:left="0" w:firstLine="0"/>
              <w:jc w:val="left"/>
              <w:rPr>
                <w:sz w:val="18"/>
                <w:szCs w:val="18"/>
              </w:rPr>
            </w:pPr>
            <w:r w:rsidRPr="00AC61C0">
              <w:rPr>
                <w:sz w:val="18"/>
                <w:szCs w:val="18"/>
              </w:rPr>
              <w:t>影响类型</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水污染影响型</w:t>
            </w:r>
            <w:r w:rsidRPr="00AC61C0">
              <w:rPr>
                <w:sz w:val="18"/>
                <w:szCs w:val="18"/>
              </w:rPr>
              <w:sym w:font="Wingdings 2" w:char="0052"/>
            </w:r>
            <w:r w:rsidRPr="00AC61C0">
              <w:rPr>
                <w:sz w:val="18"/>
                <w:szCs w:val="18"/>
              </w:rPr>
              <w:t>；水文要素影响型</w:t>
            </w:r>
            <w:r w:rsidRPr="00AC61C0">
              <w:rPr>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pacing w:line="240" w:lineRule="auto"/>
              <w:ind w:left="0" w:firstLine="0"/>
              <w:jc w:val="left"/>
              <w:rPr>
                <w:sz w:val="18"/>
                <w:szCs w:val="18"/>
              </w:rPr>
            </w:pPr>
            <w:r w:rsidRPr="00AC61C0">
              <w:rPr>
                <w:sz w:val="18"/>
                <w:szCs w:val="18"/>
              </w:rPr>
              <w:t>水环境保护目标</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饮用水水源保护区</w:t>
            </w:r>
            <w:r w:rsidRPr="00AC61C0">
              <w:rPr>
                <w:sz w:val="18"/>
                <w:szCs w:val="18"/>
              </w:rPr>
              <w:t>□</w:t>
            </w:r>
            <w:r w:rsidRPr="00AC61C0">
              <w:rPr>
                <w:sz w:val="18"/>
                <w:szCs w:val="18"/>
              </w:rPr>
              <w:t>；饮用水取水口</w:t>
            </w:r>
            <w:r w:rsidRPr="00AC61C0">
              <w:rPr>
                <w:sz w:val="18"/>
                <w:szCs w:val="18"/>
              </w:rPr>
              <w:t>□</w:t>
            </w:r>
            <w:r w:rsidRPr="00AC61C0">
              <w:rPr>
                <w:sz w:val="18"/>
                <w:szCs w:val="18"/>
              </w:rPr>
              <w:t>；涉水的自然保护区</w:t>
            </w:r>
            <w:r w:rsidRPr="00AC61C0">
              <w:rPr>
                <w:sz w:val="18"/>
                <w:szCs w:val="18"/>
              </w:rPr>
              <w:t>□</w:t>
            </w:r>
            <w:r w:rsidRPr="00AC61C0">
              <w:rPr>
                <w:sz w:val="18"/>
                <w:szCs w:val="18"/>
              </w:rPr>
              <w:t>；重要湿地</w:t>
            </w:r>
            <w:r w:rsidRPr="00AC61C0">
              <w:rPr>
                <w:sz w:val="18"/>
                <w:szCs w:val="18"/>
              </w:rPr>
              <w:t>□</w:t>
            </w:r>
            <w:r w:rsidRPr="00AC61C0">
              <w:rPr>
                <w:sz w:val="18"/>
                <w:szCs w:val="18"/>
              </w:rPr>
              <w:t>；重点保护与珍稀水生生物的栖息地</w:t>
            </w:r>
            <w:r w:rsidRPr="00AC61C0">
              <w:rPr>
                <w:sz w:val="18"/>
                <w:szCs w:val="18"/>
              </w:rPr>
              <w:t>□</w:t>
            </w:r>
            <w:r w:rsidRPr="00AC61C0">
              <w:rPr>
                <w:sz w:val="18"/>
                <w:szCs w:val="18"/>
              </w:rPr>
              <w:t>；重要水生生物的自然产卵场及索饵场、越冬场和洄游通道、天然渔场等渔业水体</w:t>
            </w:r>
            <w:r w:rsidRPr="00AC61C0">
              <w:rPr>
                <w:sz w:val="18"/>
                <w:szCs w:val="18"/>
              </w:rPr>
              <w:t>□</w:t>
            </w:r>
            <w:r w:rsidRPr="00AC61C0">
              <w:rPr>
                <w:sz w:val="18"/>
                <w:szCs w:val="18"/>
              </w:rPr>
              <w:t>；涉水的风景名胜区</w:t>
            </w:r>
            <w:r w:rsidRPr="00AC61C0">
              <w:rPr>
                <w:sz w:val="18"/>
                <w:szCs w:val="18"/>
              </w:rPr>
              <w:t>□</w:t>
            </w:r>
            <w:r w:rsidRPr="00AC61C0">
              <w:rPr>
                <w:sz w:val="18"/>
                <w:szCs w:val="18"/>
              </w:rPr>
              <w:t>；其他</w:t>
            </w:r>
            <w:r w:rsidRPr="00AC61C0">
              <w:rPr>
                <w:sz w:val="18"/>
                <w:szCs w:val="18"/>
              </w:rPr>
              <w:sym w:font="Wingdings 2" w:char="0052"/>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pacing w:line="240" w:lineRule="auto"/>
              <w:ind w:left="0" w:firstLine="0"/>
              <w:jc w:val="center"/>
              <w:rPr>
                <w:sz w:val="18"/>
                <w:szCs w:val="18"/>
              </w:rPr>
            </w:pPr>
          </w:p>
        </w:tc>
        <w:tc>
          <w:tcPr>
            <w:tcW w:w="1421" w:type="dxa"/>
            <w:vMerge w:val="restart"/>
            <w:shd w:val="clear" w:color="auto" w:fill="auto"/>
            <w:vAlign w:val="center"/>
          </w:tcPr>
          <w:p w:rsidR="00AC61C0" w:rsidRPr="00AC61C0" w:rsidRDefault="00AC61C0" w:rsidP="00AC61C0">
            <w:pPr>
              <w:pStyle w:val="aff1"/>
              <w:spacing w:line="240" w:lineRule="auto"/>
              <w:ind w:left="0" w:firstLine="0"/>
              <w:jc w:val="left"/>
              <w:rPr>
                <w:sz w:val="18"/>
                <w:szCs w:val="18"/>
              </w:rPr>
            </w:pPr>
            <w:r w:rsidRPr="00AC61C0">
              <w:rPr>
                <w:sz w:val="18"/>
                <w:szCs w:val="18"/>
              </w:rPr>
              <w:t>影响途径</w:t>
            </w:r>
          </w:p>
        </w:tc>
        <w:tc>
          <w:tcPr>
            <w:tcW w:w="3779" w:type="dxa"/>
            <w:gridSpan w:val="5"/>
            <w:shd w:val="clear" w:color="auto" w:fill="auto"/>
            <w:vAlign w:val="center"/>
          </w:tcPr>
          <w:p w:rsidR="00AC61C0" w:rsidRPr="00AC61C0" w:rsidRDefault="00AC61C0" w:rsidP="00AC61C0">
            <w:pPr>
              <w:pStyle w:val="aff1"/>
              <w:spacing w:line="240" w:lineRule="auto"/>
              <w:ind w:left="0" w:firstLine="0"/>
              <w:jc w:val="left"/>
              <w:rPr>
                <w:sz w:val="18"/>
                <w:szCs w:val="18"/>
              </w:rPr>
            </w:pPr>
            <w:r w:rsidRPr="00AC61C0">
              <w:rPr>
                <w:sz w:val="18"/>
                <w:szCs w:val="18"/>
              </w:rPr>
              <w:t>水污染影响型</w:t>
            </w:r>
          </w:p>
        </w:tc>
        <w:tc>
          <w:tcPr>
            <w:tcW w:w="4276" w:type="dxa"/>
            <w:gridSpan w:val="4"/>
            <w:shd w:val="clear" w:color="auto" w:fill="auto"/>
            <w:vAlign w:val="center"/>
          </w:tcPr>
          <w:p w:rsidR="00AC61C0" w:rsidRPr="00AC61C0" w:rsidRDefault="00AC61C0" w:rsidP="00AC61C0">
            <w:pPr>
              <w:pStyle w:val="aff1"/>
              <w:spacing w:line="240" w:lineRule="auto"/>
              <w:ind w:left="0" w:firstLine="0"/>
              <w:jc w:val="left"/>
              <w:rPr>
                <w:sz w:val="18"/>
                <w:szCs w:val="18"/>
              </w:rPr>
            </w:pPr>
            <w:r w:rsidRPr="00AC61C0">
              <w:rPr>
                <w:sz w:val="18"/>
                <w:szCs w:val="18"/>
              </w:rPr>
              <w:t>水文要素影响型</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pacing w:line="240" w:lineRule="auto"/>
              <w:ind w:left="0" w:firstLine="0"/>
              <w:jc w:val="center"/>
              <w:rPr>
                <w:sz w:val="18"/>
                <w:szCs w:val="18"/>
              </w:rPr>
            </w:pPr>
          </w:p>
        </w:tc>
        <w:tc>
          <w:tcPr>
            <w:tcW w:w="1421" w:type="dxa"/>
            <w:vMerge/>
            <w:shd w:val="clear" w:color="auto" w:fill="auto"/>
            <w:vAlign w:val="center"/>
          </w:tcPr>
          <w:p w:rsidR="00AC61C0" w:rsidRPr="00AC61C0" w:rsidRDefault="00AC61C0" w:rsidP="00AC61C0">
            <w:pPr>
              <w:pStyle w:val="aff1"/>
              <w:spacing w:line="240" w:lineRule="auto"/>
              <w:ind w:left="0" w:firstLine="0"/>
              <w:jc w:val="left"/>
              <w:rPr>
                <w:sz w:val="18"/>
                <w:szCs w:val="18"/>
              </w:rPr>
            </w:pPr>
          </w:p>
        </w:tc>
        <w:tc>
          <w:tcPr>
            <w:tcW w:w="3779" w:type="dxa"/>
            <w:gridSpan w:val="5"/>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直接排放</w:t>
            </w:r>
            <w:r w:rsidRPr="00AC61C0">
              <w:rPr>
                <w:sz w:val="18"/>
                <w:szCs w:val="18"/>
              </w:rPr>
              <w:t>□</w:t>
            </w:r>
            <w:r w:rsidRPr="00AC61C0">
              <w:rPr>
                <w:sz w:val="18"/>
                <w:szCs w:val="18"/>
              </w:rPr>
              <w:t>；间接排放</w:t>
            </w:r>
            <w:r w:rsidRPr="00AC61C0">
              <w:rPr>
                <w:sz w:val="18"/>
                <w:szCs w:val="18"/>
              </w:rPr>
              <w:sym w:font="Wingdings 2" w:char="0052"/>
            </w:r>
            <w:r w:rsidRPr="00AC61C0">
              <w:rPr>
                <w:sz w:val="18"/>
                <w:szCs w:val="18"/>
              </w:rPr>
              <w:t>；其他</w:t>
            </w:r>
            <w:r w:rsidRPr="00AC61C0">
              <w:rPr>
                <w:sz w:val="18"/>
                <w:szCs w:val="18"/>
              </w:rPr>
              <w:t>□</w:t>
            </w:r>
          </w:p>
        </w:tc>
        <w:tc>
          <w:tcPr>
            <w:tcW w:w="4276" w:type="dxa"/>
            <w:gridSpan w:val="4"/>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水温</w:t>
            </w:r>
            <w:r w:rsidRPr="00AC61C0">
              <w:rPr>
                <w:sz w:val="18"/>
                <w:szCs w:val="18"/>
              </w:rPr>
              <w:t>□</w:t>
            </w:r>
            <w:r w:rsidRPr="00AC61C0">
              <w:rPr>
                <w:sz w:val="18"/>
                <w:szCs w:val="18"/>
              </w:rPr>
              <w:t>；径流</w:t>
            </w:r>
            <w:r w:rsidRPr="00AC61C0">
              <w:rPr>
                <w:sz w:val="18"/>
                <w:szCs w:val="18"/>
              </w:rPr>
              <w:t>□</w:t>
            </w:r>
            <w:r w:rsidRPr="00AC61C0">
              <w:rPr>
                <w:sz w:val="18"/>
                <w:szCs w:val="18"/>
              </w:rPr>
              <w:t>；水域面积</w:t>
            </w:r>
            <w:r w:rsidRPr="00AC61C0">
              <w:rPr>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pacing w:line="240" w:lineRule="auto"/>
              <w:ind w:left="0" w:firstLine="0"/>
              <w:jc w:val="left"/>
              <w:rPr>
                <w:sz w:val="18"/>
                <w:szCs w:val="18"/>
              </w:rPr>
            </w:pPr>
            <w:r w:rsidRPr="00AC61C0">
              <w:rPr>
                <w:sz w:val="18"/>
                <w:szCs w:val="18"/>
              </w:rPr>
              <w:t>影响因子</w:t>
            </w:r>
          </w:p>
        </w:tc>
        <w:tc>
          <w:tcPr>
            <w:tcW w:w="3779" w:type="dxa"/>
            <w:gridSpan w:val="5"/>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持久性污染物</w:t>
            </w:r>
            <w:r w:rsidRPr="00AC61C0">
              <w:rPr>
                <w:sz w:val="18"/>
                <w:szCs w:val="18"/>
              </w:rPr>
              <w:t>□</w:t>
            </w:r>
            <w:r w:rsidRPr="00AC61C0">
              <w:rPr>
                <w:sz w:val="18"/>
                <w:szCs w:val="18"/>
              </w:rPr>
              <w:t>；有毒有害污染物</w:t>
            </w:r>
            <w:r w:rsidRPr="00AC61C0">
              <w:rPr>
                <w:sz w:val="18"/>
                <w:szCs w:val="18"/>
              </w:rPr>
              <w:t>□</w:t>
            </w:r>
            <w:r w:rsidRPr="00AC61C0">
              <w:rPr>
                <w:sz w:val="18"/>
                <w:szCs w:val="18"/>
              </w:rPr>
              <w:t>；非持久性污染物</w:t>
            </w:r>
            <w:r w:rsidRPr="00AC61C0">
              <w:rPr>
                <w:sz w:val="18"/>
                <w:szCs w:val="18"/>
              </w:rPr>
              <w:sym w:font="Wingdings 2" w:char="0052"/>
            </w:r>
            <w:r w:rsidRPr="00AC61C0">
              <w:rPr>
                <w:sz w:val="18"/>
                <w:szCs w:val="18"/>
              </w:rPr>
              <w:t>；</w:t>
            </w:r>
            <w:r w:rsidRPr="00AC61C0">
              <w:rPr>
                <w:sz w:val="18"/>
                <w:szCs w:val="18"/>
              </w:rPr>
              <w:t>pH</w:t>
            </w:r>
            <w:r w:rsidRPr="00AC61C0">
              <w:rPr>
                <w:sz w:val="18"/>
                <w:szCs w:val="18"/>
              </w:rPr>
              <w:t>值</w:t>
            </w:r>
            <w:r w:rsidRPr="00AC61C0">
              <w:rPr>
                <w:sz w:val="18"/>
                <w:szCs w:val="18"/>
              </w:rPr>
              <w:t>□</w:t>
            </w:r>
            <w:r w:rsidRPr="00AC61C0">
              <w:rPr>
                <w:sz w:val="18"/>
                <w:szCs w:val="18"/>
              </w:rPr>
              <w:t>；热污染</w:t>
            </w:r>
            <w:r w:rsidRPr="00AC61C0">
              <w:rPr>
                <w:sz w:val="18"/>
                <w:szCs w:val="18"/>
              </w:rPr>
              <w:t>□</w:t>
            </w:r>
            <w:r w:rsidRPr="00AC61C0">
              <w:rPr>
                <w:sz w:val="18"/>
                <w:szCs w:val="18"/>
              </w:rPr>
              <w:t>；富营养化</w:t>
            </w:r>
            <w:r w:rsidRPr="00AC61C0">
              <w:rPr>
                <w:sz w:val="18"/>
                <w:szCs w:val="18"/>
              </w:rPr>
              <w:t>□</w:t>
            </w:r>
            <w:r w:rsidRPr="00AC61C0">
              <w:rPr>
                <w:sz w:val="18"/>
                <w:szCs w:val="18"/>
              </w:rPr>
              <w:t>；其他</w:t>
            </w:r>
            <w:r w:rsidRPr="00AC61C0">
              <w:rPr>
                <w:sz w:val="18"/>
                <w:szCs w:val="18"/>
              </w:rPr>
              <w:t>□</w:t>
            </w:r>
          </w:p>
        </w:tc>
        <w:tc>
          <w:tcPr>
            <w:tcW w:w="4276" w:type="dxa"/>
            <w:gridSpan w:val="4"/>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水温</w:t>
            </w:r>
            <w:r w:rsidRPr="00AC61C0">
              <w:rPr>
                <w:sz w:val="18"/>
                <w:szCs w:val="18"/>
              </w:rPr>
              <w:t>□</w:t>
            </w:r>
            <w:r w:rsidRPr="00AC61C0">
              <w:rPr>
                <w:sz w:val="18"/>
                <w:szCs w:val="18"/>
              </w:rPr>
              <w:t>；水位（水深）</w:t>
            </w:r>
            <w:r w:rsidRPr="00AC61C0">
              <w:rPr>
                <w:sz w:val="18"/>
                <w:szCs w:val="18"/>
              </w:rPr>
              <w:t>□</w:t>
            </w:r>
            <w:r w:rsidRPr="00AC61C0">
              <w:rPr>
                <w:sz w:val="18"/>
                <w:szCs w:val="18"/>
              </w:rPr>
              <w:t>；流速</w:t>
            </w:r>
            <w:r w:rsidRPr="00AC61C0">
              <w:rPr>
                <w:sz w:val="18"/>
                <w:szCs w:val="18"/>
              </w:rPr>
              <w:t>□</w:t>
            </w:r>
            <w:r w:rsidRPr="00AC61C0">
              <w:rPr>
                <w:sz w:val="18"/>
                <w:szCs w:val="18"/>
              </w:rPr>
              <w:t>；流量</w:t>
            </w:r>
            <w:r w:rsidRPr="00AC61C0">
              <w:rPr>
                <w:sz w:val="18"/>
                <w:szCs w:val="18"/>
              </w:rPr>
              <w:t>□</w:t>
            </w:r>
            <w:r w:rsidRPr="00AC61C0">
              <w:rPr>
                <w:sz w:val="18"/>
                <w:szCs w:val="18"/>
              </w:rPr>
              <w:t>；其他</w:t>
            </w:r>
            <w:r w:rsidRPr="00AC61C0">
              <w:rPr>
                <w:sz w:val="18"/>
                <w:szCs w:val="18"/>
              </w:rPr>
              <w:t>□</w:t>
            </w:r>
          </w:p>
        </w:tc>
      </w:tr>
      <w:tr w:rsidR="00AC61C0" w:rsidRPr="00AC61C0" w:rsidTr="00AC61C0">
        <w:trPr>
          <w:trHeight w:val="454"/>
          <w:jc w:val="center"/>
        </w:trPr>
        <w:tc>
          <w:tcPr>
            <w:tcW w:w="1951" w:type="dxa"/>
            <w:gridSpan w:val="2"/>
            <w:vMerge w:val="restart"/>
            <w:shd w:val="clear" w:color="auto" w:fill="auto"/>
            <w:vAlign w:val="center"/>
          </w:tcPr>
          <w:p w:rsidR="00AC61C0" w:rsidRPr="00AC61C0" w:rsidRDefault="00AC61C0" w:rsidP="00AC61C0">
            <w:pPr>
              <w:pStyle w:val="aff1"/>
              <w:spacing w:line="240" w:lineRule="auto"/>
              <w:ind w:left="0" w:firstLine="0"/>
              <w:jc w:val="left"/>
              <w:rPr>
                <w:sz w:val="18"/>
                <w:szCs w:val="18"/>
              </w:rPr>
            </w:pPr>
            <w:r w:rsidRPr="00AC61C0">
              <w:rPr>
                <w:sz w:val="18"/>
                <w:szCs w:val="18"/>
              </w:rPr>
              <w:t>评价等级</w:t>
            </w:r>
          </w:p>
        </w:tc>
        <w:tc>
          <w:tcPr>
            <w:tcW w:w="3779" w:type="dxa"/>
            <w:gridSpan w:val="5"/>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水污染影响型</w:t>
            </w:r>
          </w:p>
        </w:tc>
        <w:tc>
          <w:tcPr>
            <w:tcW w:w="4276" w:type="dxa"/>
            <w:gridSpan w:val="4"/>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水文要素影响型</w:t>
            </w:r>
          </w:p>
        </w:tc>
      </w:tr>
      <w:tr w:rsidR="00AC61C0" w:rsidRPr="00AC61C0" w:rsidTr="00AC61C0">
        <w:trPr>
          <w:trHeight w:val="454"/>
          <w:jc w:val="center"/>
        </w:trPr>
        <w:tc>
          <w:tcPr>
            <w:tcW w:w="1951" w:type="dxa"/>
            <w:gridSpan w:val="2"/>
            <w:vMerge/>
            <w:shd w:val="clear" w:color="auto" w:fill="auto"/>
            <w:vAlign w:val="center"/>
          </w:tcPr>
          <w:p w:rsidR="00AC61C0" w:rsidRPr="00AC61C0" w:rsidRDefault="00AC61C0" w:rsidP="00AC61C0">
            <w:pPr>
              <w:pStyle w:val="aff1"/>
              <w:spacing w:line="240" w:lineRule="auto"/>
              <w:ind w:left="0" w:firstLine="0"/>
              <w:jc w:val="left"/>
              <w:rPr>
                <w:sz w:val="18"/>
                <w:szCs w:val="18"/>
              </w:rPr>
            </w:pPr>
          </w:p>
        </w:tc>
        <w:tc>
          <w:tcPr>
            <w:tcW w:w="3779" w:type="dxa"/>
            <w:gridSpan w:val="5"/>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一级</w:t>
            </w:r>
            <w:r w:rsidRPr="00AC61C0">
              <w:rPr>
                <w:sz w:val="18"/>
                <w:szCs w:val="18"/>
              </w:rPr>
              <w:t>□</w:t>
            </w:r>
            <w:r w:rsidRPr="00AC61C0">
              <w:rPr>
                <w:sz w:val="18"/>
                <w:szCs w:val="18"/>
              </w:rPr>
              <w:t>；二级</w:t>
            </w:r>
            <w:r w:rsidRPr="00AC61C0">
              <w:rPr>
                <w:sz w:val="18"/>
                <w:szCs w:val="18"/>
              </w:rPr>
              <w:t>□</w:t>
            </w:r>
            <w:r w:rsidRPr="00AC61C0">
              <w:rPr>
                <w:sz w:val="18"/>
                <w:szCs w:val="18"/>
              </w:rPr>
              <w:t>；三级</w:t>
            </w:r>
            <w:r w:rsidRPr="00AC61C0">
              <w:rPr>
                <w:sz w:val="18"/>
                <w:szCs w:val="18"/>
              </w:rPr>
              <w:t>A□</w:t>
            </w:r>
            <w:r w:rsidRPr="00AC61C0">
              <w:rPr>
                <w:sz w:val="18"/>
                <w:szCs w:val="18"/>
              </w:rPr>
              <w:t>；三级</w:t>
            </w:r>
            <w:r w:rsidRPr="00AC61C0">
              <w:rPr>
                <w:sz w:val="18"/>
                <w:szCs w:val="18"/>
              </w:rPr>
              <w:t>B</w:t>
            </w:r>
            <w:r w:rsidRPr="00AC61C0">
              <w:rPr>
                <w:sz w:val="18"/>
                <w:szCs w:val="18"/>
              </w:rPr>
              <w:sym w:font="Wingdings 2" w:char="0052"/>
            </w:r>
          </w:p>
        </w:tc>
        <w:tc>
          <w:tcPr>
            <w:tcW w:w="4276" w:type="dxa"/>
            <w:gridSpan w:val="4"/>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一级</w:t>
            </w:r>
            <w:r w:rsidRPr="00AC61C0">
              <w:rPr>
                <w:sz w:val="18"/>
                <w:szCs w:val="18"/>
              </w:rPr>
              <w:t>□</w:t>
            </w:r>
            <w:r w:rsidRPr="00AC61C0">
              <w:rPr>
                <w:sz w:val="18"/>
                <w:szCs w:val="18"/>
              </w:rPr>
              <w:t>；二级</w:t>
            </w:r>
            <w:r w:rsidRPr="00AC61C0">
              <w:rPr>
                <w:sz w:val="18"/>
                <w:szCs w:val="18"/>
              </w:rPr>
              <w:t>□</w:t>
            </w:r>
            <w:r w:rsidRPr="00AC61C0">
              <w:rPr>
                <w:sz w:val="18"/>
                <w:szCs w:val="18"/>
              </w:rPr>
              <w:t>；三级</w:t>
            </w:r>
            <w:r w:rsidRPr="00AC61C0">
              <w:rPr>
                <w:sz w:val="18"/>
                <w:szCs w:val="18"/>
              </w:rPr>
              <w:t>□</w:t>
            </w:r>
          </w:p>
        </w:tc>
      </w:tr>
      <w:tr w:rsidR="00AC61C0" w:rsidRPr="00AC61C0" w:rsidTr="00AC61C0">
        <w:trPr>
          <w:trHeight w:val="454"/>
          <w:jc w:val="center"/>
        </w:trPr>
        <w:tc>
          <w:tcPr>
            <w:tcW w:w="530" w:type="dxa"/>
            <w:vMerge w:val="restart"/>
            <w:shd w:val="clear" w:color="auto" w:fill="auto"/>
            <w:vAlign w:val="center"/>
          </w:tcPr>
          <w:p w:rsidR="00AC61C0" w:rsidRPr="00AC61C0" w:rsidRDefault="00AC61C0" w:rsidP="00AC61C0">
            <w:pPr>
              <w:pStyle w:val="aff1"/>
              <w:spacing w:line="240" w:lineRule="auto"/>
              <w:ind w:left="0" w:firstLine="0"/>
              <w:jc w:val="center"/>
              <w:rPr>
                <w:sz w:val="18"/>
                <w:szCs w:val="18"/>
              </w:rPr>
            </w:pPr>
            <w:r w:rsidRPr="00AC61C0">
              <w:rPr>
                <w:sz w:val="18"/>
                <w:szCs w:val="18"/>
              </w:rPr>
              <w:t>现</w:t>
            </w:r>
          </w:p>
          <w:p w:rsidR="00AC61C0" w:rsidRPr="00AC61C0" w:rsidRDefault="00AC61C0" w:rsidP="00AC61C0">
            <w:pPr>
              <w:pStyle w:val="aff1"/>
              <w:spacing w:line="240" w:lineRule="auto"/>
              <w:ind w:left="0" w:firstLine="0"/>
              <w:jc w:val="center"/>
              <w:rPr>
                <w:sz w:val="18"/>
                <w:szCs w:val="18"/>
              </w:rPr>
            </w:pPr>
            <w:r w:rsidRPr="00AC61C0">
              <w:rPr>
                <w:sz w:val="18"/>
                <w:szCs w:val="18"/>
              </w:rPr>
              <w:t>状</w:t>
            </w:r>
          </w:p>
          <w:p w:rsidR="00AC61C0" w:rsidRPr="00AC61C0" w:rsidRDefault="00AC61C0" w:rsidP="00AC61C0">
            <w:pPr>
              <w:pStyle w:val="aff1"/>
              <w:spacing w:line="240" w:lineRule="auto"/>
              <w:ind w:left="0" w:firstLine="0"/>
              <w:jc w:val="center"/>
              <w:rPr>
                <w:sz w:val="18"/>
                <w:szCs w:val="18"/>
              </w:rPr>
            </w:pPr>
            <w:r w:rsidRPr="00AC61C0">
              <w:rPr>
                <w:sz w:val="18"/>
                <w:szCs w:val="18"/>
              </w:rPr>
              <w:t>调</w:t>
            </w:r>
          </w:p>
          <w:p w:rsidR="00AC61C0" w:rsidRPr="00AC61C0" w:rsidRDefault="00AC61C0" w:rsidP="00AC61C0">
            <w:pPr>
              <w:pStyle w:val="aff1"/>
              <w:spacing w:line="240" w:lineRule="auto"/>
              <w:ind w:left="0" w:firstLine="0"/>
              <w:jc w:val="center"/>
              <w:rPr>
                <w:sz w:val="18"/>
                <w:szCs w:val="18"/>
              </w:rPr>
            </w:pPr>
            <w:r w:rsidRPr="00AC61C0">
              <w:rPr>
                <w:sz w:val="18"/>
                <w:szCs w:val="18"/>
              </w:rPr>
              <w:t>查</w:t>
            </w:r>
          </w:p>
        </w:tc>
        <w:tc>
          <w:tcPr>
            <w:tcW w:w="1421" w:type="dxa"/>
            <w:vMerge w:val="restart"/>
            <w:shd w:val="clear" w:color="auto" w:fill="auto"/>
            <w:vAlign w:val="center"/>
          </w:tcPr>
          <w:p w:rsidR="00AC61C0" w:rsidRPr="00AC61C0" w:rsidRDefault="00AC61C0" w:rsidP="00AC61C0">
            <w:pPr>
              <w:pStyle w:val="aff1"/>
              <w:spacing w:line="240" w:lineRule="auto"/>
              <w:ind w:left="0" w:firstLine="0"/>
              <w:jc w:val="left"/>
              <w:rPr>
                <w:sz w:val="18"/>
                <w:szCs w:val="18"/>
              </w:rPr>
            </w:pPr>
            <w:r w:rsidRPr="00AC61C0">
              <w:rPr>
                <w:sz w:val="18"/>
                <w:szCs w:val="18"/>
              </w:rPr>
              <w:t>区域污染源</w:t>
            </w:r>
          </w:p>
        </w:tc>
        <w:tc>
          <w:tcPr>
            <w:tcW w:w="3779" w:type="dxa"/>
            <w:gridSpan w:val="5"/>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调查项目</w:t>
            </w:r>
          </w:p>
        </w:tc>
        <w:tc>
          <w:tcPr>
            <w:tcW w:w="4276" w:type="dxa"/>
            <w:gridSpan w:val="4"/>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数据来源</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p>
        </w:tc>
        <w:tc>
          <w:tcPr>
            <w:tcW w:w="1783" w:type="dxa"/>
            <w:gridSpan w:val="2"/>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已建</w:t>
            </w:r>
            <w:r w:rsidRPr="00AC61C0">
              <w:rPr>
                <w:sz w:val="18"/>
                <w:szCs w:val="18"/>
              </w:rPr>
              <w:t>□</w:t>
            </w:r>
            <w:r w:rsidRPr="00AC61C0">
              <w:rPr>
                <w:sz w:val="18"/>
                <w:szCs w:val="18"/>
              </w:rPr>
              <w:t>；在建</w:t>
            </w:r>
            <w:r w:rsidRPr="00AC61C0">
              <w:rPr>
                <w:sz w:val="18"/>
                <w:szCs w:val="18"/>
              </w:rPr>
              <w:t>□</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拟建</w:t>
            </w:r>
            <w:r w:rsidRPr="00AC61C0">
              <w:rPr>
                <w:sz w:val="18"/>
                <w:szCs w:val="18"/>
              </w:rPr>
              <w:t>□</w:t>
            </w:r>
            <w:r w:rsidRPr="00AC61C0">
              <w:rPr>
                <w:sz w:val="18"/>
                <w:szCs w:val="18"/>
              </w:rPr>
              <w:t>；其他</w:t>
            </w:r>
            <w:r w:rsidRPr="00AC61C0">
              <w:rPr>
                <w:sz w:val="18"/>
                <w:szCs w:val="18"/>
              </w:rPr>
              <w:t>□</w:t>
            </w:r>
          </w:p>
        </w:tc>
        <w:tc>
          <w:tcPr>
            <w:tcW w:w="1996" w:type="dxa"/>
            <w:gridSpan w:val="3"/>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拟替代的污染源</w:t>
            </w:r>
            <w:r w:rsidRPr="00AC61C0">
              <w:rPr>
                <w:sz w:val="18"/>
                <w:szCs w:val="18"/>
              </w:rPr>
              <w:t>□</w:t>
            </w:r>
          </w:p>
        </w:tc>
        <w:tc>
          <w:tcPr>
            <w:tcW w:w="4276" w:type="dxa"/>
            <w:gridSpan w:val="4"/>
            <w:shd w:val="clear" w:color="auto" w:fill="auto"/>
            <w:vAlign w:val="center"/>
          </w:tcPr>
          <w:p w:rsidR="00AC61C0" w:rsidRDefault="00AC61C0" w:rsidP="00AC61C0">
            <w:pPr>
              <w:pStyle w:val="aff1"/>
              <w:snapToGrid w:val="0"/>
              <w:spacing w:line="240" w:lineRule="auto"/>
              <w:ind w:left="0" w:firstLine="0"/>
              <w:jc w:val="left"/>
              <w:rPr>
                <w:sz w:val="18"/>
                <w:szCs w:val="18"/>
              </w:rPr>
            </w:pPr>
            <w:r w:rsidRPr="00AC61C0">
              <w:rPr>
                <w:sz w:val="18"/>
                <w:szCs w:val="18"/>
              </w:rPr>
              <w:t>排污许可证</w:t>
            </w:r>
            <w:r w:rsidRPr="00AC61C0">
              <w:rPr>
                <w:sz w:val="18"/>
                <w:szCs w:val="18"/>
              </w:rPr>
              <w:sym w:font="Wingdings 2" w:char="0052"/>
            </w:r>
            <w:r w:rsidRPr="00AC61C0">
              <w:rPr>
                <w:sz w:val="18"/>
                <w:szCs w:val="18"/>
              </w:rPr>
              <w:t>；环评</w:t>
            </w:r>
            <w:r w:rsidRPr="00AC61C0">
              <w:rPr>
                <w:sz w:val="18"/>
                <w:szCs w:val="18"/>
              </w:rPr>
              <w:t>□</w:t>
            </w:r>
            <w:r w:rsidRPr="00AC61C0">
              <w:rPr>
                <w:sz w:val="18"/>
                <w:szCs w:val="18"/>
              </w:rPr>
              <w:t>；环保验收</w:t>
            </w:r>
            <w:r w:rsidRPr="00AC61C0">
              <w:rPr>
                <w:sz w:val="18"/>
                <w:szCs w:val="18"/>
              </w:rPr>
              <w:sym w:font="Wingdings 2" w:char="0052"/>
            </w:r>
            <w:r w:rsidRPr="00AC61C0">
              <w:rPr>
                <w:sz w:val="18"/>
                <w:szCs w:val="18"/>
              </w:rPr>
              <w:t>；既有实测</w:t>
            </w:r>
            <w:r w:rsidRPr="00AC61C0">
              <w:rPr>
                <w:sz w:val="18"/>
                <w:szCs w:val="18"/>
              </w:rPr>
              <w:t>□</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现场监测</w:t>
            </w:r>
            <w:r w:rsidRPr="00AC61C0">
              <w:rPr>
                <w:sz w:val="18"/>
                <w:szCs w:val="18"/>
              </w:rPr>
              <w:t>□</w:t>
            </w:r>
            <w:r w:rsidRPr="00AC61C0">
              <w:rPr>
                <w:sz w:val="18"/>
                <w:szCs w:val="18"/>
              </w:rPr>
              <w:t>；入河排放口数据</w:t>
            </w:r>
            <w:r w:rsidRPr="00AC61C0">
              <w:rPr>
                <w:sz w:val="18"/>
                <w:szCs w:val="18"/>
              </w:rPr>
              <w:t>□</w:t>
            </w:r>
            <w:r w:rsidRPr="00AC61C0">
              <w:rPr>
                <w:sz w:val="18"/>
                <w:szCs w:val="18"/>
              </w:rPr>
              <w:t>；其他</w:t>
            </w:r>
            <w:r w:rsidRPr="00AC61C0">
              <w:rPr>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pacing w:line="240" w:lineRule="auto"/>
              <w:ind w:left="0" w:firstLine="0"/>
              <w:jc w:val="center"/>
              <w:rPr>
                <w:sz w:val="18"/>
                <w:szCs w:val="18"/>
              </w:rPr>
            </w:pPr>
          </w:p>
        </w:tc>
        <w:tc>
          <w:tcPr>
            <w:tcW w:w="1421" w:type="dxa"/>
            <w:vMerge w:val="restart"/>
            <w:shd w:val="clear" w:color="auto" w:fill="auto"/>
            <w:vAlign w:val="center"/>
          </w:tcPr>
          <w:p w:rsidR="00AC61C0" w:rsidRPr="00AC61C0" w:rsidRDefault="00AC61C0" w:rsidP="00AC61C0">
            <w:pPr>
              <w:pStyle w:val="aff1"/>
              <w:spacing w:line="240" w:lineRule="auto"/>
              <w:ind w:left="0" w:firstLine="0"/>
              <w:jc w:val="left"/>
              <w:rPr>
                <w:sz w:val="18"/>
                <w:szCs w:val="18"/>
              </w:rPr>
            </w:pPr>
            <w:r w:rsidRPr="00AC61C0">
              <w:rPr>
                <w:sz w:val="18"/>
                <w:szCs w:val="18"/>
              </w:rPr>
              <w:t>受影响水体水环境质量</w:t>
            </w:r>
          </w:p>
        </w:tc>
        <w:tc>
          <w:tcPr>
            <w:tcW w:w="3779" w:type="dxa"/>
            <w:gridSpan w:val="5"/>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调查时期</w:t>
            </w:r>
          </w:p>
        </w:tc>
        <w:tc>
          <w:tcPr>
            <w:tcW w:w="4276" w:type="dxa"/>
            <w:gridSpan w:val="4"/>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数据来源</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p>
        </w:tc>
        <w:tc>
          <w:tcPr>
            <w:tcW w:w="3779" w:type="dxa"/>
            <w:gridSpan w:val="5"/>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丰水期</w:t>
            </w:r>
            <w:r w:rsidRPr="00AC61C0">
              <w:rPr>
                <w:sz w:val="18"/>
                <w:szCs w:val="18"/>
              </w:rPr>
              <w:t>□</w:t>
            </w:r>
            <w:r w:rsidRPr="00AC61C0">
              <w:rPr>
                <w:sz w:val="18"/>
                <w:szCs w:val="18"/>
              </w:rPr>
              <w:t>；平水期</w:t>
            </w:r>
            <w:r w:rsidRPr="00AC61C0">
              <w:rPr>
                <w:sz w:val="18"/>
                <w:szCs w:val="18"/>
              </w:rPr>
              <w:t>□</w:t>
            </w:r>
            <w:r w:rsidRPr="00AC61C0">
              <w:rPr>
                <w:sz w:val="18"/>
                <w:szCs w:val="18"/>
              </w:rPr>
              <w:t>；枯水期</w:t>
            </w:r>
            <w:r w:rsidRPr="00AC61C0">
              <w:rPr>
                <w:sz w:val="18"/>
                <w:szCs w:val="18"/>
              </w:rPr>
              <w:sym w:font="Wingdings 2" w:char="0052"/>
            </w:r>
            <w:r w:rsidRPr="00AC61C0">
              <w:rPr>
                <w:sz w:val="18"/>
                <w:szCs w:val="18"/>
              </w:rPr>
              <w:t>；冰封期</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春季</w:t>
            </w:r>
            <w:r w:rsidRPr="00AC61C0">
              <w:rPr>
                <w:sz w:val="18"/>
                <w:szCs w:val="18"/>
              </w:rPr>
              <w:t>□</w:t>
            </w:r>
            <w:r w:rsidRPr="00AC61C0">
              <w:rPr>
                <w:sz w:val="18"/>
                <w:szCs w:val="18"/>
              </w:rPr>
              <w:t>；夏季</w:t>
            </w:r>
            <w:r w:rsidRPr="00AC61C0">
              <w:rPr>
                <w:sz w:val="18"/>
                <w:szCs w:val="18"/>
              </w:rPr>
              <w:t>□</w:t>
            </w:r>
            <w:r w:rsidRPr="00AC61C0">
              <w:rPr>
                <w:sz w:val="18"/>
                <w:szCs w:val="18"/>
              </w:rPr>
              <w:t>；秋季</w:t>
            </w:r>
            <w:r w:rsidRPr="00AC61C0">
              <w:rPr>
                <w:sz w:val="18"/>
                <w:szCs w:val="18"/>
              </w:rPr>
              <w:t>□</w:t>
            </w:r>
            <w:r w:rsidRPr="00AC61C0">
              <w:rPr>
                <w:sz w:val="18"/>
                <w:szCs w:val="18"/>
              </w:rPr>
              <w:t>；冬季</w:t>
            </w:r>
            <w:r w:rsidRPr="00AC61C0">
              <w:rPr>
                <w:sz w:val="18"/>
                <w:szCs w:val="18"/>
              </w:rPr>
              <w:t>□</w:t>
            </w:r>
          </w:p>
        </w:tc>
        <w:tc>
          <w:tcPr>
            <w:tcW w:w="4276" w:type="dxa"/>
            <w:gridSpan w:val="4"/>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生态环境保护主管部门</w:t>
            </w:r>
            <w:r w:rsidRPr="00AC61C0">
              <w:rPr>
                <w:sz w:val="18"/>
                <w:szCs w:val="18"/>
              </w:rPr>
              <w:t>□</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补充监测</w:t>
            </w:r>
            <w:r w:rsidRPr="00AC61C0">
              <w:rPr>
                <w:sz w:val="18"/>
                <w:szCs w:val="18"/>
              </w:rPr>
              <w:sym w:font="Wingdings 2" w:char="0052"/>
            </w:r>
            <w:r w:rsidRPr="00AC61C0">
              <w:rPr>
                <w:sz w:val="18"/>
                <w:szCs w:val="18"/>
              </w:rPr>
              <w:t>；其他</w:t>
            </w:r>
            <w:r w:rsidRPr="00AC61C0">
              <w:rPr>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区域水资源开发利用状况</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未开发</w:t>
            </w:r>
            <w:r w:rsidRPr="00AC61C0">
              <w:rPr>
                <w:sz w:val="18"/>
                <w:szCs w:val="18"/>
              </w:rPr>
              <w:t>□</w:t>
            </w:r>
            <w:r w:rsidRPr="00AC61C0">
              <w:rPr>
                <w:sz w:val="18"/>
                <w:szCs w:val="18"/>
              </w:rPr>
              <w:t>；开发量</w:t>
            </w:r>
            <w:r w:rsidRPr="00AC61C0">
              <w:rPr>
                <w:sz w:val="18"/>
                <w:szCs w:val="18"/>
              </w:rPr>
              <w:t>40%</w:t>
            </w:r>
            <w:r w:rsidRPr="00AC61C0">
              <w:rPr>
                <w:sz w:val="18"/>
                <w:szCs w:val="18"/>
              </w:rPr>
              <w:t>以下</w:t>
            </w:r>
            <w:r w:rsidRPr="00AC61C0">
              <w:rPr>
                <w:sz w:val="18"/>
                <w:szCs w:val="18"/>
              </w:rPr>
              <w:sym w:font="Wingdings 2" w:char="0052"/>
            </w:r>
            <w:r w:rsidRPr="00AC61C0">
              <w:rPr>
                <w:sz w:val="18"/>
                <w:szCs w:val="18"/>
              </w:rPr>
              <w:t>；开发量</w:t>
            </w:r>
            <w:r w:rsidRPr="00AC61C0">
              <w:rPr>
                <w:sz w:val="18"/>
                <w:szCs w:val="18"/>
              </w:rPr>
              <w:t>40%</w:t>
            </w:r>
            <w:r w:rsidRPr="00AC61C0">
              <w:rPr>
                <w:sz w:val="18"/>
                <w:szCs w:val="18"/>
              </w:rPr>
              <w:t>以上</w:t>
            </w:r>
            <w:r w:rsidRPr="00AC61C0">
              <w:rPr>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val="restart"/>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水文情势调查</w:t>
            </w:r>
          </w:p>
        </w:tc>
        <w:tc>
          <w:tcPr>
            <w:tcW w:w="3779" w:type="dxa"/>
            <w:gridSpan w:val="5"/>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调查时期</w:t>
            </w:r>
          </w:p>
        </w:tc>
        <w:tc>
          <w:tcPr>
            <w:tcW w:w="4276" w:type="dxa"/>
            <w:gridSpan w:val="4"/>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数据来源</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p>
        </w:tc>
        <w:tc>
          <w:tcPr>
            <w:tcW w:w="3779" w:type="dxa"/>
            <w:gridSpan w:val="5"/>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丰水期</w:t>
            </w:r>
            <w:r w:rsidRPr="00AC61C0">
              <w:rPr>
                <w:sz w:val="18"/>
                <w:szCs w:val="18"/>
              </w:rPr>
              <w:t>□</w:t>
            </w:r>
            <w:r w:rsidRPr="00AC61C0">
              <w:rPr>
                <w:sz w:val="18"/>
                <w:szCs w:val="18"/>
              </w:rPr>
              <w:t>；平水期</w:t>
            </w:r>
            <w:r w:rsidRPr="00AC61C0">
              <w:rPr>
                <w:sz w:val="18"/>
                <w:szCs w:val="18"/>
              </w:rPr>
              <w:t>□</w:t>
            </w:r>
            <w:r w:rsidRPr="00AC61C0">
              <w:rPr>
                <w:sz w:val="18"/>
                <w:szCs w:val="18"/>
              </w:rPr>
              <w:t>；枯水期</w:t>
            </w:r>
            <w:r w:rsidRPr="00AC61C0">
              <w:rPr>
                <w:sz w:val="18"/>
                <w:szCs w:val="18"/>
              </w:rPr>
              <w:sym w:font="Wingdings 2" w:char="0052"/>
            </w:r>
            <w:r w:rsidRPr="00AC61C0">
              <w:rPr>
                <w:sz w:val="18"/>
                <w:szCs w:val="18"/>
              </w:rPr>
              <w:t>；冰封期</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春季</w:t>
            </w:r>
            <w:r w:rsidRPr="00AC61C0">
              <w:rPr>
                <w:sz w:val="18"/>
                <w:szCs w:val="18"/>
              </w:rPr>
              <w:t>□</w:t>
            </w:r>
            <w:r w:rsidRPr="00AC61C0">
              <w:rPr>
                <w:sz w:val="18"/>
                <w:szCs w:val="18"/>
              </w:rPr>
              <w:t>；夏季</w:t>
            </w:r>
            <w:r w:rsidRPr="00AC61C0">
              <w:rPr>
                <w:sz w:val="18"/>
                <w:szCs w:val="18"/>
              </w:rPr>
              <w:t>□</w:t>
            </w:r>
            <w:r w:rsidRPr="00AC61C0">
              <w:rPr>
                <w:sz w:val="18"/>
                <w:szCs w:val="18"/>
              </w:rPr>
              <w:t>；秋季</w:t>
            </w:r>
            <w:r w:rsidRPr="00AC61C0">
              <w:rPr>
                <w:sz w:val="18"/>
                <w:szCs w:val="18"/>
              </w:rPr>
              <w:t>□</w:t>
            </w:r>
            <w:r w:rsidRPr="00AC61C0">
              <w:rPr>
                <w:sz w:val="18"/>
                <w:szCs w:val="18"/>
              </w:rPr>
              <w:t>；冬季</w:t>
            </w:r>
            <w:r w:rsidRPr="00AC61C0">
              <w:rPr>
                <w:sz w:val="18"/>
                <w:szCs w:val="18"/>
              </w:rPr>
              <w:t>□</w:t>
            </w:r>
          </w:p>
        </w:tc>
        <w:tc>
          <w:tcPr>
            <w:tcW w:w="4276" w:type="dxa"/>
            <w:gridSpan w:val="4"/>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水行政主管部门</w:t>
            </w:r>
            <w:r w:rsidRPr="00AC61C0">
              <w:rPr>
                <w:sz w:val="18"/>
                <w:szCs w:val="18"/>
              </w:rPr>
              <w:t>□</w:t>
            </w:r>
            <w:r w:rsidRPr="00AC61C0">
              <w:rPr>
                <w:sz w:val="18"/>
                <w:szCs w:val="18"/>
              </w:rPr>
              <w:t>；补充监测</w:t>
            </w:r>
            <w:r w:rsidRPr="00AC61C0">
              <w:rPr>
                <w:sz w:val="18"/>
                <w:szCs w:val="18"/>
              </w:rPr>
              <w:sym w:font="Wingdings 2" w:char="0052"/>
            </w:r>
            <w:r w:rsidRPr="00AC61C0">
              <w:rPr>
                <w:sz w:val="18"/>
                <w:szCs w:val="18"/>
              </w:rPr>
              <w:t>；其他</w:t>
            </w:r>
            <w:r w:rsidRPr="00AC61C0">
              <w:rPr>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val="restart"/>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补充监测</w:t>
            </w:r>
          </w:p>
        </w:tc>
        <w:tc>
          <w:tcPr>
            <w:tcW w:w="3779" w:type="dxa"/>
            <w:gridSpan w:val="5"/>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监测时期</w:t>
            </w:r>
          </w:p>
        </w:tc>
        <w:tc>
          <w:tcPr>
            <w:tcW w:w="2871" w:type="dxa"/>
            <w:gridSpan w:val="3"/>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监测因子</w:t>
            </w:r>
          </w:p>
        </w:tc>
        <w:tc>
          <w:tcPr>
            <w:tcW w:w="1405"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监测断面或点位</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p>
        </w:tc>
        <w:tc>
          <w:tcPr>
            <w:tcW w:w="3779" w:type="dxa"/>
            <w:gridSpan w:val="5"/>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丰水期</w:t>
            </w:r>
            <w:r w:rsidRPr="00AC61C0">
              <w:rPr>
                <w:sz w:val="18"/>
                <w:szCs w:val="18"/>
              </w:rPr>
              <w:t>□</w:t>
            </w:r>
            <w:r w:rsidRPr="00AC61C0">
              <w:rPr>
                <w:sz w:val="18"/>
                <w:szCs w:val="18"/>
              </w:rPr>
              <w:t>；平水期</w:t>
            </w:r>
            <w:r w:rsidRPr="00AC61C0">
              <w:rPr>
                <w:sz w:val="18"/>
                <w:szCs w:val="18"/>
              </w:rPr>
              <w:t>□</w:t>
            </w:r>
            <w:r w:rsidRPr="00AC61C0">
              <w:rPr>
                <w:sz w:val="18"/>
                <w:szCs w:val="18"/>
              </w:rPr>
              <w:t>；枯水期</w:t>
            </w:r>
            <w:r w:rsidRPr="00AC61C0">
              <w:rPr>
                <w:sz w:val="18"/>
                <w:szCs w:val="18"/>
              </w:rPr>
              <w:sym w:font="Wingdings 2" w:char="0052"/>
            </w:r>
            <w:r w:rsidRPr="00AC61C0">
              <w:rPr>
                <w:sz w:val="18"/>
                <w:szCs w:val="18"/>
              </w:rPr>
              <w:t>；冰封期</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春季</w:t>
            </w:r>
            <w:r w:rsidRPr="00AC61C0">
              <w:rPr>
                <w:sz w:val="18"/>
                <w:szCs w:val="18"/>
              </w:rPr>
              <w:t>□</w:t>
            </w:r>
            <w:r w:rsidRPr="00AC61C0">
              <w:rPr>
                <w:sz w:val="18"/>
                <w:szCs w:val="18"/>
              </w:rPr>
              <w:t>；夏季</w:t>
            </w:r>
            <w:r w:rsidRPr="00AC61C0">
              <w:rPr>
                <w:sz w:val="18"/>
                <w:szCs w:val="18"/>
              </w:rPr>
              <w:t>□</w:t>
            </w:r>
            <w:r w:rsidRPr="00AC61C0">
              <w:rPr>
                <w:sz w:val="18"/>
                <w:szCs w:val="18"/>
              </w:rPr>
              <w:t>；秋季</w:t>
            </w:r>
            <w:r w:rsidRPr="00AC61C0">
              <w:rPr>
                <w:sz w:val="18"/>
                <w:szCs w:val="18"/>
              </w:rPr>
              <w:t>□</w:t>
            </w:r>
            <w:r w:rsidRPr="00AC61C0">
              <w:rPr>
                <w:sz w:val="18"/>
                <w:szCs w:val="18"/>
              </w:rPr>
              <w:t>；冬季</w:t>
            </w:r>
            <w:r w:rsidRPr="00AC61C0">
              <w:rPr>
                <w:sz w:val="18"/>
                <w:szCs w:val="18"/>
              </w:rPr>
              <w:t>□</w:t>
            </w:r>
          </w:p>
        </w:tc>
        <w:tc>
          <w:tcPr>
            <w:tcW w:w="2871" w:type="dxa"/>
            <w:gridSpan w:val="3"/>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w:t>
            </w:r>
            <w:r w:rsidRPr="00AC61C0">
              <w:rPr>
                <w:rFonts w:hint="eastAsia"/>
                <w:sz w:val="18"/>
                <w:szCs w:val="18"/>
              </w:rPr>
              <w:t>pH</w:t>
            </w:r>
            <w:r w:rsidRPr="00AC61C0">
              <w:rPr>
                <w:rFonts w:hint="eastAsia"/>
                <w:sz w:val="18"/>
                <w:szCs w:val="18"/>
              </w:rPr>
              <w:t>、总悬浮物、化学需氧量、石油类、总铁、总锰、总汞、总镉、总铬、六价铬、总铅、总砷、氟化物、五日生化需氧量、溶解氧、氨氮、硫化物、挥发酚</w:t>
            </w:r>
            <w:r w:rsidRPr="00AC61C0">
              <w:rPr>
                <w:sz w:val="18"/>
                <w:szCs w:val="18"/>
              </w:rPr>
              <w:t>）</w:t>
            </w:r>
          </w:p>
        </w:tc>
        <w:tc>
          <w:tcPr>
            <w:tcW w:w="1405"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监测断面或点位个数（</w:t>
            </w:r>
            <w:r w:rsidRPr="00AC61C0">
              <w:rPr>
                <w:rFonts w:hint="eastAsia"/>
                <w:sz w:val="18"/>
                <w:szCs w:val="18"/>
              </w:rPr>
              <w:t>3</w:t>
            </w:r>
            <w:r w:rsidRPr="00AC61C0">
              <w:rPr>
                <w:sz w:val="18"/>
                <w:szCs w:val="18"/>
              </w:rPr>
              <w:t>）个</w:t>
            </w:r>
          </w:p>
        </w:tc>
      </w:tr>
      <w:tr w:rsidR="00AC61C0" w:rsidRPr="00AC61C0" w:rsidTr="00AC61C0">
        <w:trPr>
          <w:trHeight w:val="454"/>
          <w:jc w:val="center"/>
        </w:trPr>
        <w:tc>
          <w:tcPr>
            <w:tcW w:w="530" w:type="dxa"/>
            <w:vMerge w:val="restart"/>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r w:rsidRPr="00AC61C0">
              <w:rPr>
                <w:sz w:val="18"/>
                <w:szCs w:val="18"/>
              </w:rPr>
              <w:t>现</w:t>
            </w:r>
          </w:p>
          <w:p w:rsidR="00AC61C0" w:rsidRPr="00AC61C0" w:rsidRDefault="00AC61C0" w:rsidP="00AC61C0">
            <w:pPr>
              <w:pStyle w:val="aff1"/>
              <w:snapToGrid w:val="0"/>
              <w:spacing w:line="240" w:lineRule="auto"/>
              <w:ind w:left="0" w:firstLine="0"/>
              <w:jc w:val="center"/>
              <w:rPr>
                <w:sz w:val="18"/>
                <w:szCs w:val="18"/>
              </w:rPr>
            </w:pPr>
            <w:r w:rsidRPr="00AC61C0">
              <w:rPr>
                <w:sz w:val="18"/>
                <w:szCs w:val="18"/>
              </w:rPr>
              <w:t>状</w:t>
            </w:r>
          </w:p>
          <w:p w:rsidR="00AC61C0" w:rsidRPr="00AC61C0" w:rsidRDefault="00AC61C0" w:rsidP="00AC61C0">
            <w:pPr>
              <w:pStyle w:val="aff1"/>
              <w:snapToGrid w:val="0"/>
              <w:spacing w:line="240" w:lineRule="auto"/>
              <w:ind w:left="0" w:firstLine="0"/>
              <w:jc w:val="center"/>
              <w:rPr>
                <w:sz w:val="18"/>
                <w:szCs w:val="18"/>
              </w:rPr>
            </w:pPr>
            <w:r w:rsidRPr="00AC61C0">
              <w:rPr>
                <w:sz w:val="18"/>
                <w:szCs w:val="18"/>
              </w:rPr>
              <w:t>评</w:t>
            </w:r>
          </w:p>
          <w:p w:rsidR="00AC61C0" w:rsidRPr="00AC61C0" w:rsidRDefault="00AC61C0" w:rsidP="00AC61C0">
            <w:pPr>
              <w:pStyle w:val="aff1"/>
              <w:snapToGrid w:val="0"/>
              <w:spacing w:line="240" w:lineRule="auto"/>
              <w:ind w:left="0" w:firstLine="0"/>
              <w:jc w:val="center"/>
              <w:rPr>
                <w:sz w:val="18"/>
                <w:szCs w:val="18"/>
              </w:rPr>
            </w:pPr>
            <w:r w:rsidRPr="00AC61C0">
              <w:rPr>
                <w:sz w:val="18"/>
                <w:szCs w:val="18"/>
              </w:rPr>
              <w:t>价</w:t>
            </w: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评价范围</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河流：长度（</w:t>
            </w:r>
            <w:r w:rsidRPr="00AC61C0">
              <w:rPr>
                <w:rFonts w:hint="eastAsia"/>
                <w:sz w:val="18"/>
                <w:szCs w:val="18"/>
              </w:rPr>
              <w:t>7</w:t>
            </w:r>
            <w:r w:rsidRPr="00AC61C0">
              <w:rPr>
                <w:sz w:val="18"/>
                <w:szCs w:val="18"/>
              </w:rPr>
              <w:t>）</w:t>
            </w:r>
            <w:r w:rsidRPr="00AC61C0">
              <w:rPr>
                <w:sz w:val="18"/>
                <w:szCs w:val="18"/>
              </w:rPr>
              <w:t>km</w:t>
            </w:r>
            <w:r w:rsidRPr="00AC61C0">
              <w:rPr>
                <w:sz w:val="18"/>
                <w:szCs w:val="18"/>
              </w:rPr>
              <w:t>；湖库、河口及近岸海域：面积（）</w:t>
            </w:r>
            <w:r w:rsidRPr="00AC61C0">
              <w:rPr>
                <w:sz w:val="18"/>
                <w:szCs w:val="18"/>
              </w:rPr>
              <w:t>km</w:t>
            </w:r>
            <w:r w:rsidRPr="00AC61C0">
              <w:rPr>
                <w:sz w:val="18"/>
                <w:szCs w:val="18"/>
                <w:vertAlign w:val="superscript"/>
              </w:rPr>
              <w:t>2</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评价因子</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pacing w:val="-2"/>
                <w:sz w:val="18"/>
                <w:szCs w:val="18"/>
              </w:rPr>
            </w:pPr>
            <w:r w:rsidRPr="00AC61C0">
              <w:rPr>
                <w:spacing w:val="-2"/>
                <w:sz w:val="18"/>
                <w:szCs w:val="18"/>
              </w:rPr>
              <w:t>（</w:t>
            </w:r>
            <w:r w:rsidRPr="00AC61C0">
              <w:rPr>
                <w:rFonts w:hint="eastAsia"/>
                <w:spacing w:val="-2"/>
                <w:sz w:val="18"/>
                <w:szCs w:val="18"/>
              </w:rPr>
              <w:t>pH</w:t>
            </w:r>
            <w:r w:rsidRPr="00AC61C0">
              <w:rPr>
                <w:rFonts w:hint="eastAsia"/>
                <w:spacing w:val="-2"/>
                <w:sz w:val="18"/>
                <w:szCs w:val="18"/>
              </w:rPr>
              <w:t>、总悬浮物、化学需氧量、石油类、总铁、总锰、总汞、总镉、总铬、六价铬、总铅、总砷、氟化物、五日生化需氧量、溶解氧、氨氮、硫化物、挥发酚</w:t>
            </w:r>
            <w:r w:rsidRPr="00AC61C0">
              <w:rPr>
                <w:spacing w:val="-2"/>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评价标准</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河流、湖库、河口：</w:t>
            </w:r>
            <w:r w:rsidRPr="00AC61C0">
              <w:rPr>
                <w:rFonts w:hAnsi="宋体" w:cs="宋体" w:hint="eastAsia"/>
                <w:sz w:val="18"/>
                <w:szCs w:val="18"/>
              </w:rPr>
              <w:t>Ⅰ</w:t>
            </w:r>
            <w:r w:rsidRPr="00AC61C0">
              <w:rPr>
                <w:sz w:val="18"/>
                <w:szCs w:val="18"/>
              </w:rPr>
              <w:t>类</w:t>
            </w:r>
            <w:r w:rsidRPr="00AC61C0">
              <w:rPr>
                <w:sz w:val="18"/>
                <w:szCs w:val="18"/>
              </w:rPr>
              <w:t>□</w:t>
            </w:r>
            <w:r w:rsidRPr="00AC61C0">
              <w:rPr>
                <w:sz w:val="18"/>
                <w:szCs w:val="18"/>
              </w:rPr>
              <w:t>；</w:t>
            </w:r>
            <w:r w:rsidRPr="00AC61C0">
              <w:rPr>
                <w:rFonts w:hAnsi="宋体" w:cs="宋体" w:hint="eastAsia"/>
                <w:sz w:val="18"/>
                <w:szCs w:val="18"/>
              </w:rPr>
              <w:t>Ⅱ</w:t>
            </w:r>
            <w:r w:rsidRPr="00AC61C0">
              <w:rPr>
                <w:sz w:val="18"/>
                <w:szCs w:val="18"/>
              </w:rPr>
              <w:t>类</w:t>
            </w:r>
            <w:r w:rsidRPr="00AC61C0">
              <w:rPr>
                <w:sz w:val="18"/>
                <w:szCs w:val="18"/>
              </w:rPr>
              <w:t>□</w:t>
            </w:r>
            <w:r w:rsidRPr="00AC61C0">
              <w:rPr>
                <w:sz w:val="18"/>
                <w:szCs w:val="18"/>
              </w:rPr>
              <w:t>；</w:t>
            </w:r>
            <w:r w:rsidRPr="00AC61C0">
              <w:rPr>
                <w:rFonts w:hAnsi="宋体" w:cs="宋体" w:hint="eastAsia"/>
                <w:sz w:val="18"/>
                <w:szCs w:val="18"/>
              </w:rPr>
              <w:t>Ⅲ</w:t>
            </w:r>
            <w:r w:rsidRPr="00AC61C0">
              <w:rPr>
                <w:sz w:val="18"/>
                <w:szCs w:val="18"/>
              </w:rPr>
              <w:t>类</w:t>
            </w:r>
            <w:r w:rsidRPr="00AC61C0">
              <w:rPr>
                <w:sz w:val="18"/>
                <w:szCs w:val="18"/>
              </w:rPr>
              <w:sym w:font="Wingdings 2" w:char="0052"/>
            </w:r>
            <w:r w:rsidRPr="00AC61C0">
              <w:rPr>
                <w:sz w:val="18"/>
                <w:szCs w:val="18"/>
              </w:rPr>
              <w:t>；</w:t>
            </w:r>
            <w:r w:rsidRPr="00AC61C0">
              <w:rPr>
                <w:rFonts w:hAnsi="宋体" w:cs="宋体" w:hint="eastAsia"/>
                <w:sz w:val="18"/>
                <w:szCs w:val="18"/>
              </w:rPr>
              <w:t>Ⅳ</w:t>
            </w:r>
            <w:r w:rsidRPr="00AC61C0">
              <w:rPr>
                <w:sz w:val="18"/>
                <w:szCs w:val="18"/>
              </w:rPr>
              <w:t>类</w:t>
            </w:r>
            <w:r w:rsidRPr="00AC61C0">
              <w:rPr>
                <w:sz w:val="18"/>
                <w:szCs w:val="18"/>
              </w:rPr>
              <w:t>□</w:t>
            </w:r>
            <w:r w:rsidRPr="00AC61C0">
              <w:rPr>
                <w:sz w:val="18"/>
                <w:szCs w:val="18"/>
              </w:rPr>
              <w:t>；</w:t>
            </w:r>
            <w:r w:rsidRPr="00AC61C0">
              <w:rPr>
                <w:rFonts w:hAnsi="宋体" w:cs="宋体" w:hint="eastAsia"/>
                <w:sz w:val="18"/>
                <w:szCs w:val="18"/>
              </w:rPr>
              <w:t>Ⅴ</w:t>
            </w:r>
            <w:r w:rsidRPr="00AC61C0">
              <w:rPr>
                <w:sz w:val="18"/>
                <w:szCs w:val="18"/>
              </w:rPr>
              <w:t>类</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近岸海域：第一类</w:t>
            </w:r>
            <w:r w:rsidRPr="00AC61C0">
              <w:rPr>
                <w:sz w:val="18"/>
                <w:szCs w:val="18"/>
              </w:rPr>
              <w:t>□</w:t>
            </w:r>
            <w:r w:rsidRPr="00AC61C0">
              <w:rPr>
                <w:sz w:val="18"/>
                <w:szCs w:val="18"/>
              </w:rPr>
              <w:t>；第二类</w:t>
            </w:r>
            <w:r w:rsidRPr="00AC61C0">
              <w:rPr>
                <w:sz w:val="18"/>
                <w:szCs w:val="18"/>
              </w:rPr>
              <w:t>□</w:t>
            </w:r>
            <w:r w:rsidRPr="00AC61C0">
              <w:rPr>
                <w:sz w:val="18"/>
                <w:szCs w:val="18"/>
              </w:rPr>
              <w:t>；第三类</w:t>
            </w:r>
            <w:r w:rsidRPr="00AC61C0">
              <w:rPr>
                <w:sz w:val="18"/>
                <w:szCs w:val="18"/>
              </w:rPr>
              <w:t>□</w:t>
            </w:r>
            <w:r w:rsidRPr="00AC61C0">
              <w:rPr>
                <w:sz w:val="18"/>
                <w:szCs w:val="18"/>
              </w:rPr>
              <w:t>；第四类</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规划年评价标准（</w:t>
            </w:r>
            <w:r w:rsidRPr="00AC61C0">
              <w:rPr>
                <w:sz w:val="18"/>
                <w:szCs w:val="18"/>
              </w:rPr>
              <w:t xml:space="preserve"> </w:t>
            </w:r>
            <w:r w:rsidRPr="00AC61C0">
              <w:rPr>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评价时期</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丰水期</w:t>
            </w:r>
            <w:r w:rsidRPr="00AC61C0">
              <w:rPr>
                <w:sz w:val="18"/>
                <w:szCs w:val="18"/>
              </w:rPr>
              <w:t>□</w:t>
            </w:r>
            <w:r w:rsidRPr="00AC61C0">
              <w:rPr>
                <w:sz w:val="18"/>
                <w:szCs w:val="18"/>
              </w:rPr>
              <w:t>；平水期</w:t>
            </w:r>
            <w:r w:rsidRPr="00AC61C0">
              <w:rPr>
                <w:sz w:val="18"/>
                <w:szCs w:val="18"/>
              </w:rPr>
              <w:t>□</w:t>
            </w:r>
            <w:r w:rsidRPr="00AC61C0">
              <w:rPr>
                <w:sz w:val="18"/>
                <w:szCs w:val="18"/>
              </w:rPr>
              <w:t>；枯水期</w:t>
            </w:r>
            <w:r w:rsidRPr="00AC61C0">
              <w:rPr>
                <w:sz w:val="18"/>
                <w:szCs w:val="18"/>
              </w:rPr>
              <w:sym w:font="Wingdings 2" w:char="0052"/>
            </w:r>
            <w:r w:rsidRPr="00AC61C0">
              <w:rPr>
                <w:sz w:val="18"/>
                <w:szCs w:val="18"/>
              </w:rPr>
              <w:t>；冰封期</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春季</w:t>
            </w:r>
            <w:r w:rsidRPr="00AC61C0">
              <w:rPr>
                <w:sz w:val="18"/>
                <w:szCs w:val="18"/>
              </w:rPr>
              <w:t>□</w:t>
            </w:r>
            <w:r w:rsidRPr="00AC61C0">
              <w:rPr>
                <w:sz w:val="18"/>
                <w:szCs w:val="18"/>
              </w:rPr>
              <w:t>；夏季</w:t>
            </w:r>
            <w:r w:rsidRPr="00AC61C0">
              <w:rPr>
                <w:sz w:val="18"/>
                <w:szCs w:val="18"/>
              </w:rPr>
              <w:t>□</w:t>
            </w:r>
            <w:r w:rsidRPr="00AC61C0">
              <w:rPr>
                <w:sz w:val="18"/>
                <w:szCs w:val="18"/>
              </w:rPr>
              <w:t>；秋季</w:t>
            </w:r>
            <w:r w:rsidRPr="00AC61C0">
              <w:rPr>
                <w:sz w:val="18"/>
                <w:szCs w:val="18"/>
              </w:rPr>
              <w:t>□</w:t>
            </w:r>
            <w:r w:rsidRPr="00AC61C0">
              <w:rPr>
                <w:sz w:val="18"/>
                <w:szCs w:val="18"/>
              </w:rPr>
              <w:t>；冬季</w:t>
            </w:r>
            <w:r w:rsidRPr="00AC61C0">
              <w:rPr>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评价结论</w:t>
            </w:r>
          </w:p>
        </w:tc>
        <w:tc>
          <w:tcPr>
            <w:tcW w:w="6650" w:type="dxa"/>
            <w:gridSpan w:val="8"/>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水环境功能区或水功能区、近岸海域环境功能区水质达标状况</w:t>
            </w:r>
            <w:r w:rsidRPr="00AC61C0">
              <w:rPr>
                <w:sz w:val="18"/>
                <w:szCs w:val="18"/>
              </w:rPr>
              <w:t>□</w:t>
            </w:r>
            <w:r w:rsidRPr="00AC61C0">
              <w:rPr>
                <w:sz w:val="18"/>
                <w:szCs w:val="18"/>
              </w:rPr>
              <w:t>：达标</w:t>
            </w:r>
            <w:r w:rsidRPr="00AC61C0">
              <w:rPr>
                <w:sz w:val="18"/>
                <w:szCs w:val="18"/>
              </w:rPr>
              <w:sym w:font="Wingdings 2" w:char="0052"/>
            </w:r>
            <w:r w:rsidRPr="00AC61C0">
              <w:rPr>
                <w:sz w:val="18"/>
                <w:szCs w:val="18"/>
              </w:rPr>
              <w:t>；不达标</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水环境控制单元或断面水质达标状况</w:t>
            </w:r>
            <w:r w:rsidRPr="00AC61C0">
              <w:rPr>
                <w:sz w:val="18"/>
                <w:szCs w:val="18"/>
              </w:rPr>
              <w:t>□</w:t>
            </w:r>
            <w:r w:rsidRPr="00AC61C0">
              <w:rPr>
                <w:sz w:val="18"/>
                <w:szCs w:val="18"/>
              </w:rPr>
              <w:t>：达标</w:t>
            </w:r>
            <w:r w:rsidRPr="00AC61C0">
              <w:rPr>
                <w:sz w:val="18"/>
                <w:szCs w:val="18"/>
              </w:rPr>
              <w:sym w:font="Wingdings 2" w:char="0052"/>
            </w:r>
            <w:r w:rsidRPr="00AC61C0">
              <w:rPr>
                <w:sz w:val="18"/>
                <w:szCs w:val="18"/>
              </w:rPr>
              <w:t>；不达标</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水环境保护目标质量状况</w:t>
            </w:r>
            <w:r w:rsidRPr="00AC61C0">
              <w:rPr>
                <w:sz w:val="18"/>
                <w:szCs w:val="18"/>
              </w:rPr>
              <w:t>□</w:t>
            </w:r>
            <w:r w:rsidRPr="00AC61C0">
              <w:rPr>
                <w:sz w:val="18"/>
                <w:szCs w:val="18"/>
              </w:rPr>
              <w:t>：达标</w:t>
            </w:r>
            <w:r w:rsidRPr="00AC61C0">
              <w:rPr>
                <w:sz w:val="18"/>
                <w:szCs w:val="18"/>
              </w:rPr>
              <w:sym w:font="Wingdings 2" w:char="0052"/>
            </w:r>
            <w:r w:rsidRPr="00AC61C0">
              <w:rPr>
                <w:sz w:val="18"/>
                <w:szCs w:val="18"/>
              </w:rPr>
              <w:t>；不达标</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对照断面、控制断面等代表性断面的水质状况</w:t>
            </w:r>
            <w:r w:rsidRPr="00AC61C0">
              <w:rPr>
                <w:sz w:val="18"/>
                <w:szCs w:val="18"/>
              </w:rPr>
              <w:t>□</w:t>
            </w:r>
            <w:r w:rsidRPr="00AC61C0">
              <w:rPr>
                <w:sz w:val="18"/>
                <w:szCs w:val="18"/>
              </w:rPr>
              <w:t>：达标</w:t>
            </w:r>
            <w:r w:rsidRPr="00AC61C0">
              <w:rPr>
                <w:sz w:val="18"/>
                <w:szCs w:val="18"/>
              </w:rPr>
              <w:sym w:font="Wingdings 2" w:char="0052"/>
            </w:r>
            <w:r w:rsidRPr="00AC61C0">
              <w:rPr>
                <w:sz w:val="18"/>
                <w:szCs w:val="18"/>
              </w:rPr>
              <w:t>；不达标</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底泥污染评价</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水资源与开发利用程度及其水文情势评价</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水环境质量回顾评价</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流域（区域）水资源（包括水能资源）与开发利用总体状况、生态流量管理要求与现状满足程度、建设项目占用水域空间的水流状况与河湖演变状况</w:t>
            </w:r>
            <w:r w:rsidRPr="00AC61C0">
              <w:rPr>
                <w:sz w:val="18"/>
                <w:szCs w:val="18"/>
              </w:rPr>
              <w:t>□</w:t>
            </w:r>
          </w:p>
        </w:tc>
        <w:tc>
          <w:tcPr>
            <w:tcW w:w="1405"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达标区</w:t>
            </w:r>
            <w:r w:rsidRPr="00AC61C0">
              <w:rPr>
                <w:sz w:val="18"/>
                <w:szCs w:val="18"/>
              </w:rPr>
              <w:sym w:font="Wingdings 2" w:char="0052"/>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不达标区</w:t>
            </w:r>
            <w:r w:rsidRPr="00AC61C0">
              <w:rPr>
                <w:sz w:val="18"/>
                <w:szCs w:val="18"/>
              </w:rPr>
              <w:t>□</w:t>
            </w:r>
          </w:p>
        </w:tc>
      </w:tr>
      <w:tr w:rsidR="00AC61C0" w:rsidRPr="00AC61C0" w:rsidTr="00AC61C0">
        <w:trPr>
          <w:trHeight w:val="381"/>
          <w:jc w:val="center"/>
        </w:trPr>
        <w:tc>
          <w:tcPr>
            <w:tcW w:w="530" w:type="dxa"/>
            <w:vMerge w:val="restart"/>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r w:rsidRPr="00AC61C0">
              <w:rPr>
                <w:sz w:val="18"/>
                <w:szCs w:val="18"/>
              </w:rPr>
              <w:lastRenderedPageBreak/>
              <w:t>影</w:t>
            </w:r>
          </w:p>
          <w:p w:rsidR="00AC61C0" w:rsidRPr="00AC61C0" w:rsidRDefault="00AC61C0" w:rsidP="00AC61C0">
            <w:pPr>
              <w:pStyle w:val="aff1"/>
              <w:snapToGrid w:val="0"/>
              <w:spacing w:line="240" w:lineRule="auto"/>
              <w:ind w:left="0" w:firstLine="0"/>
              <w:jc w:val="center"/>
              <w:rPr>
                <w:sz w:val="18"/>
                <w:szCs w:val="18"/>
              </w:rPr>
            </w:pPr>
            <w:r w:rsidRPr="00AC61C0">
              <w:rPr>
                <w:sz w:val="18"/>
                <w:szCs w:val="18"/>
              </w:rPr>
              <w:t>响</w:t>
            </w:r>
          </w:p>
          <w:p w:rsidR="00AC61C0" w:rsidRPr="00AC61C0" w:rsidRDefault="00AC61C0" w:rsidP="00AC61C0">
            <w:pPr>
              <w:pStyle w:val="aff1"/>
              <w:snapToGrid w:val="0"/>
              <w:spacing w:line="240" w:lineRule="auto"/>
              <w:ind w:left="0" w:firstLine="0"/>
              <w:jc w:val="center"/>
              <w:rPr>
                <w:sz w:val="18"/>
                <w:szCs w:val="18"/>
              </w:rPr>
            </w:pPr>
            <w:r w:rsidRPr="00AC61C0">
              <w:rPr>
                <w:sz w:val="18"/>
                <w:szCs w:val="18"/>
              </w:rPr>
              <w:t>预</w:t>
            </w:r>
          </w:p>
          <w:p w:rsidR="00AC61C0" w:rsidRPr="00AC61C0" w:rsidRDefault="00AC61C0" w:rsidP="00AC61C0">
            <w:pPr>
              <w:pStyle w:val="aff1"/>
              <w:snapToGrid w:val="0"/>
              <w:spacing w:line="240" w:lineRule="auto"/>
              <w:ind w:left="0" w:firstLine="0"/>
              <w:jc w:val="center"/>
              <w:rPr>
                <w:sz w:val="18"/>
                <w:szCs w:val="18"/>
              </w:rPr>
            </w:pPr>
            <w:r w:rsidRPr="00AC61C0">
              <w:rPr>
                <w:sz w:val="18"/>
                <w:szCs w:val="18"/>
              </w:rPr>
              <w:t>测</w:t>
            </w: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预测范围</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河流：长度（）</w:t>
            </w:r>
            <w:r w:rsidRPr="00AC61C0">
              <w:rPr>
                <w:sz w:val="18"/>
                <w:szCs w:val="18"/>
              </w:rPr>
              <w:t>km</w:t>
            </w:r>
            <w:r w:rsidRPr="00AC61C0">
              <w:rPr>
                <w:sz w:val="18"/>
                <w:szCs w:val="18"/>
              </w:rPr>
              <w:t>；湖库、河口及近岸海域：面积（）</w:t>
            </w:r>
            <w:r w:rsidRPr="00AC61C0">
              <w:rPr>
                <w:sz w:val="18"/>
                <w:szCs w:val="18"/>
              </w:rPr>
              <w:t>km</w:t>
            </w:r>
            <w:r w:rsidRPr="00AC61C0">
              <w:rPr>
                <w:sz w:val="18"/>
                <w:szCs w:val="18"/>
                <w:vertAlign w:val="superscript"/>
              </w:rPr>
              <w:t>2</w:t>
            </w:r>
          </w:p>
        </w:tc>
      </w:tr>
      <w:tr w:rsidR="00AC61C0" w:rsidRPr="00AC61C0" w:rsidTr="00AC61C0">
        <w:trPr>
          <w:trHeight w:val="353"/>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预测因子</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预测时期</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丰水期</w:t>
            </w:r>
            <w:r w:rsidRPr="00AC61C0">
              <w:rPr>
                <w:sz w:val="18"/>
                <w:szCs w:val="18"/>
              </w:rPr>
              <w:t>□</w:t>
            </w:r>
            <w:r w:rsidRPr="00AC61C0">
              <w:rPr>
                <w:sz w:val="18"/>
                <w:szCs w:val="18"/>
              </w:rPr>
              <w:t>；平水期</w:t>
            </w:r>
            <w:r w:rsidRPr="00AC61C0">
              <w:rPr>
                <w:sz w:val="18"/>
                <w:szCs w:val="18"/>
              </w:rPr>
              <w:t>□</w:t>
            </w:r>
            <w:r w:rsidRPr="00AC61C0">
              <w:rPr>
                <w:sz w:val="18"/>
                <w:szCs w:val="18"/>
              </w:rPr>
              <w:t>；枯水期</w:t>
            </w:r>
            <w:r w:rsidRPr="00AC61C0">
              <w:rPr>
                <w:sz w:val="18"/>
                <w:szCs w:val="18"/>
              </w:rPr>
              <w:t>□</w:t>
            </w:r>
            <w:r w:rsidRPr="00AC61C0">
              <w:rPr>
                <w:sz w:val="18"/>
                <w:szCs w:val="18"/>
              </w:rPr>
              <w:t>；冰封期</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春季</w:t>
            </w:r>
            <w:r w:rsidRPr="00AC61C0">
              <w:rPr>
                <w:sz w:val="18"/>
                <w:szCs w:val="18"/>
              </w:rPr>
              <w:t>□</w:t>
            </w:r>
            <w:r w:rsidRPr="00AC61C0">
              <w:rPr>
                <w:sz w:val="18"/>
                <w:szCs w:val="18"/>
              </w:rPr>
              <w:t>；夏季</w:t>
            </w:r>
            <w:r w:rsidRPr="00AC61C0">
              <w:rPr>
                <w:sz w:val="18"/>
                <w:szCs w:val="18"/>
              </w:rPr>
              <w:t>□</w:t>
            </w:r>
            <w:r w:rsidRPr="00AC61C0">
              <w:rPr>
                <w:sz w:val="18"/>
                <w:szCs w:val="18"/>
              </w:rPr>
              <w:t>；秋季</w:t>
            </w:r>
            <w:r w:rsidRPr="00AC61C0">
              <w:rPr>
                <w:sz w:val="18"/>
                <w:szCs w:val="18"/>
              </w:rPr>
              <w:t>□</w:t>
            </w:r>
            <w:r w:rsidRPr="00AC61C0">
              <w:rPr>
                <w:sz w:val="18"/>
                <w:szCs w:val="18"/>
              </w:rPr>
              <w:t>；冬季</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设计水文条件</w:t>
            </w:r>
            <w:r w:rsidRPr="00AC61C0">
              <w:rPr>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预测情景</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建设期</w:t>
            </w:r>
            <w:r w:rsidRPr="00AC61C0">
              <w:rPr>
                <w:sz w:val="18"/>
                <w:szCs w:val="18"/>
              </w:rPr>
              <w:t>□</w:t>
            </w:r>
            <w:r w:rsidRPr="00AC61C0">
              <w:rPr>
                <w:sz w:val="18"/>
                <w:szCs w:val="18"/>
              </w:rPr>
              <w:t>；生产运行期</w:t>
            </w:r>
            <w:r w:rsidRPr="00AC61C0">
              <w:rPr>
                <w:sz w:val="18"/>
                <w:szCs w:val="18"/>
              </w:rPr>
              <w:t>□</w:t>
            </w:r>
            <w:r w:rsidRPr="00AC61C0">
              <w:rPr>
                <w:sz w:val="18"/>
                <w:szCs w:val="18"/>
              </w:rPr>
              <w:t>；服务期满后</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正常工况</w:t>
            </w:r>
            <w:r w:rsidRPr="00AC61C0">
              <w:rPr>
                <w:sz w:val="18"/>
                <w:szCs w:val="18"/>
              </w:rPr>
              <w:t>□</w:t>
            </w:r>
            <w:r w:rsidRPr="00AC61C0">
              <w:rPr>
                <w:sz w:val="18"/>
                <w:szCs w:val="18"/>
              </w:rPr>
              <w:t>；非正常工况</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污染控制和减缓措施方案</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区（流）域环境质量改善目标要求情景</w:t>
            </w:r>
            <w:r w:rsidRPr="00AC61C0">
              <w:rPr>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预测方法</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数值解</w:t>
            </w:r>
            <w:r w:rsidRPr="00AC61C0">
              <w:rPr>
                <w:sz w:val="18"/>
                <w:szCs w:val="18"/>
              </w:rPr>
              <w:t>□</w:t>
            </w:r>
            <w:r w:rsidRPr="00AC61C0">
              <w:rPr>
                <w:sz w:val="18"/>
                <w:szCs w:val="18"/>
              </w:rPr>
              <w:t>：解析解</w:t>
            </w:r>
            <w:r w:rsidRPr="00AC61C0">
              <w:rPr>
                <w:sz w:val="18"/>
                <w:szCs w:val="18"/>
              </w:rPr>
              <w:t>□</w:t>
            </w:r>
            <w:r w:rsidRPr="00AC61C0">
              <w:rPr>
                <w:sz w:val="18"/>
                <w:szCs w:val="18"/>
              </w:rPr>
              <w:t>；其他</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导则推荐模式</w:t>
            </w:r>
            <w:r w:rsidRPr="00AC61C0">
              <w:rPr>
                <w:sz w:val="18"/>
                <w:szCs w:val="18"/>
              </w:rPr>
              <w:t>□</w:t>
            </w:r>
            <w:r w:rsidRPr="00AC61C0">
              <w:rPr>
                <w:sz w:val="18"/>
                <w:szCs w:val="18"/>
              </w:rPr>
              <w:t>：其他</w:t>
            </w:r>
            <w:r w:rsidRPr="00AC61C0">
              <w:rPr>
                <w:sz w:val="18"/>
                <w:szCs w:val="18"/>
              </w:rPr>
              <w:t>□</w:t>
            </w:r>
          </w:p>
        </w:tc>
      </w:tr>
      <w:tr w:rsidR="00AC61C0" w:rsidRPr="00AC61C0" w:rsidTr="00AC61C0">
        <w:trPr>
          <w:trHeight w:val="454"/>
          <w:jc w:val="center"/>
        </w:trPr>
        <w:tc>
          <w:tcPr>
            <w:tcW w:w="530" w:type="dxa"/>
            <w:vMerge w:val="restart"/>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r w:rsidRPr="00AC61C0">
              <w:rPr>
                <w:sz w:val="18"/>
                <w:szCs w:val="18"/>
              </w:rPr>
              <w:t>影</w:t>
            </w:r>
          </w:p>
          <w:p w:rsidR="00AC61C0" w:rsidRPr="00AC61C0" w:rsidRDefault="00AC61C0" w:rsidP="00AC61C0">
            <w:pPr>
              <w:pStyle w:val="aff1"/>
              <w:snapToGrid w:val="0"/>
              <w:spacing w:line="240" w:lineRule="auto"/>
              <w:ind w:left="0" w:firstLine="0"/>
              <w:jc w:val="center"/>
              <w:rPr>
                <w:sz w:val="18"/>
                <w:szCs w:val="18"/>
              </w:rPr>
            </w:pPr>
            <w:r w:rsidRPr="00AC61C0">
              <w:rPr>
                <w:sz w:val="18"/>
                <w:szCs w:val="18"/>
              </w:rPr>
              <w:t>响</w:t>
            </w:r>
          </w:p>
          <w:p w:rsidR="00AC61C0" w:rsidRPr="00AC61C0" w:rsidRDefault="00AC61C0" w:rsidP="00AC61C0">
            <w:pPr>
              <w:pStyle w:val="aff1"/>
              <w:snapToGrid w:val="0"/>
              <w:spacing w:line="240" w:lineRule="auto"/>
              <w:ind w:left="0" w:firstLine="0"/>
              <w:jc w:val="center"/>
              <w:rPr>
                <w:sz w:val="18"/>
                <w:szCs w:val="18"/>
              </w:rPr>
            </w:pPr>
            <w:r w:rsidRPr="00AC61C0">
              <w:rPr>
                <w:sz w:val="18"/>
                <w:szCs w:val="18"/>
              </w:rPr>
              <w:t>评</w:t>
            </w:r>
          </w:p>
          <w:p w:rsidR="00AC61C0" w:rsidRPr="00AC61C0" w:rsidRDefault="00AC61C0" w:rsidP="00AC61C0">
            <w:pPr>
              <w:pStyle w:val="aff1"/>
              <w:snapToGrid w:val="0"/>
              <w:spacing w:line="240" w:lineRule="auto"/>
              <w:ind w:left="0" w:firstLine="0"/>
              <w:jc w:val="center"/>
              <w:rPr>
                <w:sz w:val="18"/>
                <w:szCs w:val="18"/>
              </w:rPr>
            </w:pPr>
            <w:r w:rsidRPr="00AC61C0">
              <w:rPr>
                <w:sz w:val="18"/>
                <w:szCs w:val="18"/>
              </w:rPr>
              <w:t>价</w:t>
            </w: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水污染控制和水环境影响减缓措</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施有效性评价</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区（流）域水环境质量改善目标</w:t>
            </w:r>
            <w:r w:rsidRPr="00AC61C0">
              <w:rPr>
                <w:sz w:val="18"/>
                <w:szCs w:val="18"/>
              </w:rPr>
              <w:sym w:font="Wingdings 2" w:char="0052"/>
            </w:r>
            <w:r w:rsidRPr="00AC61C0">
              <w:rPr>
                <w:sz w:val="18"/>
                <w:szCs w:val="18"/>
              </w:rPr>
              <w:t>；替代削减源</w:t>
            </w:r>
            <w:r w:rsidRPr="00AC61C0">
              <w:rPr>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水环境影响评价</w:t>
            </w:r>
          </w:p>
        </w:tc>
        <w:tc>
          <w:tcPr>
            <w:tcW w:w="8055" w:type="dxa"/>
            <w:gridSpan w:val="9"/>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排放口混合区外满足水环境管理要求</w:t>
            </w:r>
            <w:r w:rsidRPr="00AC61C0">
              <w:rPr>
                <w:sz w:val="18"/>
                <w:szCs w:val="18"/>
              </w:rPr>
              <w:sym w:font="Wingdings 2" w:char="0052"/>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水环境功能区或水功能区、近岸海域环境功能区水质达标</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满足水环境保护目标水域水环境质量要求</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水环境控制单元或断面水质达标</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满足重点水污染物排放总量控制指标要求，重点行业建设项目，主要污染物排放满足等量或减量替代要求</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满足区（流）域水环境质量改善目标要求</w:t>
            </w:r>
            <w:r w:rsidRPr="00AC61C0">
              <w:rPr>
                <w:sz w:val="18"/>
                <w:szCs w:val="18"/>
              </w:rPr>
              <w:sym w:font="Wingdings 2" w:char="0052"/>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水文要素影响型建设项目同时应包括水文情势变化评价、主要水文特征值影响评价、生态流量符合性评价</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对于新设或调整入河（湖库、近岸海域）排放口的建设项目，应包括排放口设置的环境合理性评价</w:t>
            </w:r>
            <w:r w:rsidRPr="00AC61C0">
              <w:rPr>
                <w:sz w:val="18"/>
                <w:szCs w:val="18"/>
              </w:rPr>
              <w:t>□</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满足生态保护红线、水环境质量底线、资源利用上线和环境准入清单管理要求</w:t>
            </w:r>
            <w:r w:rsidRPr="00AC61C0">
              <w:rPr>
                <w:sz w:val="18"/>
                <w:szCs w:val="18"/>
              </w:rPr>
              <w:sym w:font="Wingdings 2" w:char="0052"/>
            </w:r>
          </w:p>
        </w:tc>
      </w:tr>
      <w:tr w:rsidR="00AC61C0" w:rsidRPr="00AC61C0" w:rsidTr="00AC61C0">
        <w:trPr>
          <w:trHeight w:val="317"/>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val="restart"/>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污染源排放量</w:t>
            </w:r>
          </w:p>
          <w:p w:rsidR="00AC61C0" w:rsidRPr="00AC61C0" w:rsidRDefault="00AC61C0" w:rsidP="00AC61C0">
            <w:pPr>
              <w:pStyle w:val="aff1"/>
              <w:snapToGrid w:val="0"/>
              <w:spacing w:line="240" w:lineRule="auto"/>
              <w:ind w:left="0" w:firstLine="0"/>
              <w:jc w:val="left"/>
              <w:rPr>
                <w:sz w:val="18"/>
                <w:szCs w:val="18"/>
              </w:rPr>
            </w:pPr>
            <w:r w:rsidRPr="00AC61C0">
              <w:rPr>
                <w:sz w:val="18"/>
                <w:szCs w:val="18"/>
              </w:rPr>
              <w:t>核算</w:t>
            </w:r>
          </w:p>
        </w:tc>
        <w:tc>
          <w:tcPr>
            <w:tcW w:w="2278" w:type="dxa"/>
            <w:gridSpan w:val="3"/>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污染物名称</w:t>
            </w:r>
          </w:p>
        </w:tc>
        <w:tc>
          <w:tcPr>
            <w:tcW w:w="2491" w:type="dxa"/>
            <w:gridSpan w:val="4"/>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排放量</w:t>
            </w:r>
            <w:r w:rsidRPr="00AC61C0">
              <w:rPr>
                <w:sz w:val="18"/>
                <w:szCs w:val="18"/>
              </w:rPr>
              <w:t>/</w:t>
            </w:r>
            <w:r w:rsidRPr="00AC61C0">
              <w:rPr>
                <w:sz w:val="18"/>
                <w:szCs w:val="18"/>
              </w:rPr>
              <w:t>（</w:t>
            </w:r>
            <w:r w:rsidRPr="00AC61C0">
              <w:rPr>
                <w:sz w:val="18"/>
                <w:szCs w:val="18"/>
              </w:rPr>
              <w:t>t/a</w:t>
            </w:r>
            <w:r w:rsidRPr="00AC61C0">
              <w:rPr>
                <w:sz w:val="18"/>
                <w:szCs w:val="18"/>
              </w:rPr>
              <w:t>）</w:t>
            </w:r>
          </w:p>
        </w:tc>
        <w:tc>
          <w:tcPr>
            <w:tcW w:w="3286" w:type="dxa"/>
            <w:gridSpan w:val="2"/>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排放浓度</w:t>
            </w:r>
            <w:r w:rsidRPr="00AC61C0">
              <w:rPr>
                <w:sz w:val="18"/>
                <w:szCs w:val="18"/>
              </w:rPr>
              <w:t>/</w:t>
            </w:r>
            <w:r w:rsidRPr="00AC61C0">
              <w:rPr>
                <w:sz w:val="18"/>
                <w:szCs w:val="18"/>
              </w:rPr>
              <w:t>（</w:t>
            </w:r>
            <w:r w:rsidRPr="00AC61C0">
              <w:rPr>
                <w:sz w:val="18"/>
                <w:szCs w:val="18"/>
              </w:rPr>
              <w:t>mg/L</w:t>
            </w:r>
            <w:r w:rsidRPr="00AC61C0">
              <w:rPr>
                <w:sz w:val="18"/>
                <w:szCs w:val="18"/>
              </w:rPr>
              <w:t>）</w:t>
            </w:r>
          </w:p>
        </w:tc>
      </w:tr>
      <w:tr w:rsidR="00AC61C0" w:rsidRPr="00AC61C0" w:rsidTr="00AC61C0">
        <w:trPr>
          <w:trHeight w:val="281"/>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p>
        </w:tc>
        <w:tc>
          <w:tcPr>
            <w:tcW w:w="2278" w:type="dxa"/>
            <w:gridSpan w:val="3"/>
            <w:shd w:val="clear" w:color="auto" w:fill="auto"/>
            <w:vAlign w:val="center"/>
          </w:tcPr>
          <w:p w:rsidR="00AC61C0" w:rsidRPr="00AC61C0" w:rsidRDefault="00AC61C0" w:rsidP="00AC61C0">
            <w:pPr>
              <w:snapToGrid w:val="0"/>
              <w:jc w:val="left"/>
              <w:rPr>
                <w:sz w:val="18"/>
                <w:szCs w:val="18"/>
              </w:rPr>
            </w:pPr>
            <w:r w:rsidRPr="00AC61C0">
              <w:rPr>
                <w:sz w:val="18"/>
                <w:szCs w:val="18"/>
              </w:rPr>
              <w:t>（</w:t>
            </w:r>
            <w:proofErr w:type="spellStart"/>
            <w:r w:rsidRPr="00AC61C0">
              <w:rPr>
                <w:bCs/>
                <w:color w:val="000000"/>
                <w:sz w:val="18"/>
                <w:szCs w:val="18"/>
              </w:rPr>
              <w:t>COD</w:t>
            </w:r>
            <w:r w:rsidRPr="00AC61C0">
              <w:rPr>
                <w:bCs/>
                <w:color w:val="000000"/>
                <w:sz w:val="18"/>
                <w:szCs w:val="18"/>
                <w:vertAlign w:val="subscript"/>
              </w:rPr>
              <w:t>C</w:t>
            </w:r>
            <w:r w:rsidRPr="00AC61C0">
              <w:rPr>
                <w:bCs/>
                <w:color w:val="000000"/>
                <w:sz w:val="18"/>
                <w:szCs w:val="18"/>
              </w:rPr>
              <w:t>r</w:t>
            </w:r>
            <w:proofErr w:type="spellEnd"/>
            <w:r w:rsidRPr="00AC61C0">
              <w:rPr>
                <w:sz w:val="18"/>
                <w:szCs w:val="18"/>
              </w:rPr>
              <w:t>）</w:t>
            </w:r>
          </w:p>
        </w:tc>
        <w:tc>
          <w:tcPr>
            <w:tcW w:w="2491" w:type="dxa"/>
            <w:gridSpan w:val="4"/>
            <w:shd w:val="clear" w:color="auto" w:fill="auto"/>
            <w:vAlign w:val="center"/>
          </w:tcPr>
          <w:p w:rsidR="00AC61C0" w:rsidRPr="00AC61C0" w:rsidRDefault="00AC61C0" w:rsidP="0092518F">
            <w:pPr>
              <w:snapToGrid w:val="0"/>
              <w:jc w:val="left"/>
              <w:rPr>
                <w:sz w:val="18"/>
                <w:szCs w:val="18"/>
              </w:rPr>
            </w:pPr>
            <w:r w:rsidRPr="00AC61C0">
              <w:rPr>
                <w:sz w:val="18"/>
                <w:szCs w:val="18"/>
              </w:rPr>
              <w:t>（</w:t>
            </w:r>
            <w:r w:rsidR="0092518F">
              <w:rPr>
                <w:rFonts w:hint="eastAsia"/>
                <w:color w:val="FF0000"/>
                <w:sz w:val="18"/>
                <w:szCs w:val="18"/>
              </w:rPr>
              <w:t>3.71</w:t>
            </w:r>
            <w:r w:rsidRPr="00AC61C0">
              <w:rPr>
                <w:color w:val="000000"/>
                <w:sz w:val="18"/>
                <w:szCs w:val="18"/>
              </w:rPr>
              <w:t>t/a</w:t>
            </w:r>
            <w:r w:rsidRPr="00AC61C0">
              <w:rPr>
                <w:sz w:val="18"/>
                <w:szCs w:val="18"/>
              </w:rPr>
              <w:t>）</w:t>
            </w:r>
          </w:p>
        </w:tc>
        <w:tc>
          <w:tcPr>
            <w:tcW w:w="3286" w:type="dxa"/>
            <w:gridSpan w:val="2"/>
            <w:shd w:val="clear" w:color="auto" w:fill="auto"/>
            <w:vAlign w:val="center"/>
          </w:tcPr>
          <w:p w:rsidR="00AC61C0" w:rsidRPr="00AC61C0" w:rsidRDefault="00AC61C0" w:rsidP="00AC61C0">
            <w:pPr>
              <w:snapToGrid w:val="0"/>
              <w:jc w:val="left"/>
              <w:rPr>
                <w:sz w:val="18"/>
                <w:szCs w:val="18"/>
              </w:rPr>
            </w:pPr>
            <w:r w:rsidRPr="00AC61C0">
              <w:rPr>
                <w:sz w:val="18"/>
                <w:szCs w:val="18"/>
              </w:rPr>
              <w:t>（</w:t>
            </w:r>
            <w:r w:rsidRPr="00AC61C0">
              <w:rPr>
                <w:rFonts w:hint="eastAsia"/>
                <w:sz w:val="18"/>
                <w:szCs w:val="18"/>
              </w:rPr>
              <w:t>16.5</w:t>
            </w:r>
            <w:r w:rsidRPr="00AC61C0">
              <w:rPr>
                <w:sz w:val="18"/>
                <w:szCs w:val="18"/>
              </w:rPr>
              <w:t>）</w:t>
            </w:r>
            <w:r w:rsidRPr="00AC61C0">
              <w:rPr>
                <w:sz w:val="18"/>
                <w:szCs w:val="18"/>
              </w:rPr>
              <w:t xml:space="preserve">  </w:t>
            </w:r>
          </w:p>
        </w:tc>
      </w:tr>
      <w:tr w:rsidR="00AC61C0" w:rsidRPr="00AC61C0" w:rsidTr="00AC61C0">
        <w:trPr>
          <w:trHeight w:val="271"/>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p>
        </w:tc>
        <w:tc>
          <w:tcPr>
            <w:tcW w:w="2278" w:type="dxa"/>
            <w:gridSpan w:val="3"/>
            <w:shd w:val="clear" w:color="auto" w:fill="auto"/>
            <w:vAlign w:val="center"/>
          </w:tcPr>
          <w:p w:rsidR="00AC61C0" w:rsidRPr="00AC61C0" w:rsidRDefault="00AC61C0" w:rsidP="00AC61C0">
            <w:pPr>
              <w:snapToGrid w:val="0"/>
              <w:jc w:val="left"/>
              <w:rPr>
                <w:sz w:val="18"/>
                <w:szCs w:val="18"/>
              </w:rPr>
            </w:pPr>
            <w:r w:rsidRPr="00AC61C0">
              <w:rPr>
                <w:sz w:val="18"/>
                <w:szCs w:val="18"/>
              </w:rPr>
              <w:t>（</w:t>
            </w:r>
            <w:r w:rsidRPr="00AC61C0">
              <w:rPr>
                <w:bCs/>
                <w:color w:val="000000"/>
                <w:sz w:val="18"/>
                <w:szCs w:val="18"/>
              </w:rPr>
              <w:t>NH</w:t>
            </w:r>
            <w:r w:rsidRPr="00AC61C0">
              <w:rPr>
                <w:bCs/>
                <w:color w:val="000000"/>
                <w:sz w:val="18"/>
                <w:szCs w:val="18"/>
                <w:vertAlign w:val="subscript"/>
              </w:rPr>
              <w:t>3</w:t>
            </w:r>
            <w:r w:rsidRPr="00AC61C0">
              <w:rPr>
                <w:bCs/>
                <w:color w:val="000000"/>
                <w:sz w:val="18"/>
                <w:szCs w:val="18"/>
              </w:rPr>
              <w:t>-N</w:t>
            </w:r>
            <w:r w:rsidRPr="00AC61C0">
              <w:rPr>
                <w:sz w:val="18"/>
                <w:szCs w:val="18"/>
              </w:rPr>
              <w:t>）</w:t>
            </w:r>
          </w:p>
        </w:tc>
        <w:tc>
          <w:tcPr>
            <w:tcW w:w="2491" w:type="dxa"/>
            <w:gridSpan w:val="4"/>
            <w:shd w:val="clear" w:color="auto" w:fill="auto"/>
            <w:vAlign w:val="center"/>
          </w:tcPr>
          <w:p w:rsidR="00AC61C0" w:rsidRPr="00AC61C0" w:rsidRDefault="00AC61C0" w:rsidP="0092518F">
            <w:pPr>
              <w:snapToGrid w:val="0"/>
              <w:jc w:val="left"/>
              <w:rPr>
                <w:sz w:val="18"/>
                <w:szCs w:val="18"/>
              </w:rPr>
            </w:pPr>
            <w:r w:rsidRPr="00AC61C0">
              <w:rPr>
                <w:sz w:val="18"/>
                <w:szCs w:val="18"/>
              </w:rPr>
              <w:t>（</w:t>
            </w:r>
            <w:r w:rsidR="0092518F">
              <w:rPr>
                <w:rFonts w:hint="eastAsia"/>
                <w:color w:val="FF0000"/>
                <w:sz w:val="18"/>
                <w:szCs w:val="18"/>
              </w:rPr>
              <w:t>0.12</w:t>
            </w:r>
            <w:r w:rsidRPr="00AC61C0">
              <w:rPr>
                <w:color w:val="000000"/>
                <w:sz w:val="18"/>
                <w:szCs w:val="18"/>
              </w:rPr>
              <w:t>t/a</w:t>
            </w:r>
            <w:r w:rsidRPr="00AC61C0">
              <w:rPr>
                <w:sz w:val="18"/>
                <w:szCs w:val="18"/>
              </w:rPr>
              <w:t>）</w:t>
            </w:r>
          </w:p>
        </w:tc>
        <w:tc>
          <w:tcPr>
            <w:tcW w:w="3286" w:type="dxa"/>
            <w:gridSpan w:val="2"/>
            <w:shd w:val="clear" w:color="auto" w:fill="auto"/>
            <w:vAlign w:val="center"/>
          </w:tcPr>
          <w:p w:rsidR="00AC61C0" w:rsidRPr="00AC61C0" w:rsidRDefault="00AC61C0" w:rsidP="00AC61C0">
            <w:pPr>
              <w:snapToGrid w:val="0"/>
              <w:jc w:val="left"/>
              <w:rPr>
                <w:sz w:val="18"/>
                <w:szCs w:val="18"/>
              </w:rPr>
            </w:pPr>
            <w:r w:rsidRPr="00AC61C0">
              <w:rPr>
                <w:sz w:val="18"/>
                <w:szCs w:val="18"/>
              </w:rPr>
              <w:t>（</w:t>
            </w:r>
            <w:r w:rsidRPr="00AC61C0">
              <w:rPr>
                <w:rFonts w:hint="eastAsia"/>
                <w:sz w:val="18"/>
                <w:szCs w:val="18"/>
              </w:rPr>
              <w:t>0.52</w:t>
            </w:r>
            <w:r w:rsidRPr="00AC61C0">
              <w:rPr>
                <w:sz w:val="18"/>
                <w:szCs w:val="18"/>
              </w:rPr>
              <w:t>）</w:t>
            </w:r>
            <w:r w:rsidRPr="00AC61C0">
              <w:rPr>
                <w:sz w:val="18"/>
                <w:szCs w:val="18"/>
              </w:rPr>
              <w:t xml:space="preserve">  </w:t>
            </w:r>
          </w:p>
        </w:tc>
      </w:tr>
      <w:tr w:rsidR="00AC61C0" w:rsidRPr="00AC61C0" w:rsidTr="00AC61C0">
        <w:trPr>
          <w:trHeight w:val="356"/>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val="restart"/>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替代源排放情况</w:t>
            </w:r>
          </w:p>
        </w:tc>
        <w:tc>
          <w:tcPr>
            <w:tcW w:w="1366"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污染源名称</w:t>
            </w:r>
            <w:r w:rsidRPr="00AC61C0">
              <w:rPr>
                <w:sz w:val="18"/>
                <w:szCs w:val="18"/>
              </w:rPr>
              <w:t xml:space="preserve"> </w:t>
            </w:r>
          </w:p>
        </w:tc>
        <w:tc>
          <w:tcPr>
            <w:tcW w:w="1512" w:type="dxa"/>
            <w:gridSpan w:val="3"/>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排污许可证编号</w:t>
            </w:r>
          </w:p>
        </w:tc>
        <w:tc>
          <w:tcPr>
            <w:tcW w:w="1433" w:type="dxa"/>
            <w:gridSpan w:val="2"/>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污染物名称</w:t>
            </w:r>
            <w:r w:rsidRPr="00AC61C0">
              <w:rPr>
                <w:sz w:val="18"/>
                <w:szCs w:val="18"/>
              </w:rPr>
              <w:t xml:space="preserve">  </w:t>
            </w:r>
          </w:p>
        </w:tc>
        <w:tc>
          <w:tcPr>
            <w:tcW w:w="2339" w:type="dxa"/>
            <w:gridSpan w:val="2"/>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排放量</w:t>
            </w:r>
            <w:r w:rsidRPr="00AC61C0">
              <w:rPr>
                <w:sz w:val="18"/>
                <w:szCs w:val="18"/>
              </w:rPr>
              <w:t>/</w:t>
            </w:r>
            <w:r w:rsidRPr="00AC61C0">
              <w:rPr>
                <w:sz w:val="18"/>
                <w:szCs w:val="18"/>
              </w:rPr>
              <w:t>（</w:t>
            </w:r>
            <w:r w:rsidRPr="00AC61C0">
              <w:rPr>
                <w:sz w:val="18"/>
                <w:szCs w:val="18"/>
              </w:rPr>
              <w:t>t/a</w:t>
            </w:r>
            <w:r w:rsidRPr="00AC61C0">
              <w:rPr>
                <w:sz w:val="18"/>
                <w:szCs w:val="18"/>
              </w:rPr>
              <w:t>）</w:t>
            </w:r>
            <w:r w:rsidRPr="00AC61C0">
              <w:rPr>
                <w:sz w:val="18"/>
                <w:szCs w:val="18"/>
              </w:rPr>
              <w:t xml:space="preserve"> </w:t>
            </w:r>
          </w:p>
        </w:tc>
        <w:tc>
          <w:tcPr>
            <w:tcW w:w="1405"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排放浓度</w:t>
            </w:r>
            <w:r w:rsidRPr="00AC61C0">
              <w:rPr>
                <w:sz w:val="18"/>
                <w:szCs w:val="18"/>
              </w:rPr>
              <w:t>/</w:t>
            </w:r>
            <w:r w:rsidRPr="00AC61C0">
              <w:rPr>
                <w:sz w:val="18"/>
                <w:szCs w:val="18"/>
              </w:rPr>
              <w:t>（</w:t>
            </w:r>
            <w:r w:rsidRPr="00AC61C0">
              <w:rPr>
                <w:sz w:val="18"/>
                <w:szCs w:val="18"/>
              </w:rPr>
              <w:t>mg/L</w:t>
            </w:r>
            <w:r w:rsidRPr="00AC61C0">
              <w:rPr>
                <w:sz w:val="18"/>
                <w:szCs w:val="18"/>
              </w:rPr>
              <w:t>）</w:t>
            </w:r>
          </w:p>
        </w:tc>
      </w:tr>
      <w:tr w:rsidR="00AC61C0" w:rsidRPr="00AC61C0" w:rsidTr="00AC61C0">
        <w:trPr>
          <w:trHeight w:val="381"/>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p>
        </w:tc>
        <w:tc>
          <w:tcPr>
            <w:tcW w:w="1366" w:type="dxa"/>
            <w:shd w:val="clear" w:color="auto" w:fill="auto"/>
            <w:vAlign w:val="center"/>
          </w:tcPr>
          <w:p w:rsidR="00AC61C0" w:rsidRPr="00AC61C0" w:rsidRDefault="00AC61C0" w:rsidP="00AC61C0">
            <w:pPr>
              <w:snapToGrid w:val="0"/>
              <w:jc w:val="left"/>
              <w:rPr>
                <w:sz w:val="18"/>
                <w:szCs w:val="18"/>
              </w:rPr>
            </w:pPr>
            <w:r w:rsidRPr="00AC61C0">
              <w:rPr>
                <w:sz w:val="18"/>
                <w:szCs w:val="18"/>
              </w:rPr>
              <w:t>（</w:t>
            </w:r>
            <w:r w:rsidRPr="00AC61C0">
              <w:rPr>
                <w:sz w:val="18"/>
                <w:szCs w:val="18"/>
              </w:rPr>
              <w:t xml:space="preserve"> </w:t>
            </w:r>
            <w:r w:rsidRPr="00AC61C0">
              <w:rPr>
                <w:sz w:val="18"/>
                <w:szCs w:val="18"/>
              </w:rPr>
              <w:t>）</w:t>
            </w:r>
            <w:r w:rsidRPr="00AC61C0">
              <w:rPr>
                <w:sz w:val="18"/>
                <w:szCs w:val="18"/>
              </w:rPr>
              <w:t xml:space="preserve">  </w:t>
            </w:r>
          </w:p>
        </w:tc>
        <w:tc>
          <w:tcPr>
            <w:tcW w:w="1512" w:type="dxa"/>
            <w:gridSpan w:val="3"/>
            <w:shd w:val="clear" w:color="auto" w:fill="auto"/>
            <w:vAlign w:val="center"/>
          </w:tcPr>
          <w:p w:rsidR="00AC61C0" w:rsidRPr="00AC61C0" w:rsidRDefault="00AC61C0" w:rsidP="00AC61C0">
            <w:pPr>
              <w:snapToGrid w:val="0"/>
              <w:jc w:val="left"/>
              <w:rPr>
                <w:sz w:val="18"/>
                <w:szCs w:val="18"/>
              </w:rPr>
            </w:pPr>
            <w:r w:rsidRPr="00AC61C0">
              <w:rPr>
                <w:sz w:val="18"/>
                <w:szCs w:val="18"/>
              </w:rPr>
              <w:t>（</w:t>
            </w:r>
            <w:r w:rsidRPr="00AC61C0">
              <w:rPr>
                <w:sz w:val="18"/>
                <w:szCs w:val="18"/>
              </w:rPr>
              <w:t xml:space="preserve"> </w:t>
            </w:r>
            <w:r w:rsidRPr="00AC61C0">
              <w:rPr>
                <w:sz w:val="18"/>
                <w:szCs w:val="18"/>
              </w:rPr>
              <w:t>）</w:t>
            </w:r>
            <w:r w:rsidRPr="00AC61C0">
              <w:rPr>
                <w:sz w:val="18"/>
                <w:szCs w:val="18"/>
              </w:rPr>
              <w:t xml:space="preserve">  </w:t>
            </w:r>
          </w:p>
        </w:tc>
        <w:tc>
          <w:tcPr>
            <w:tcW w:w="1433" w:type="dxa"/>
            <w:gridSpan w:val="2"/>
            <w:shd w:val="clear" w:color="auto" w:fill="auto"/>
            <w:vAlign w:val="center"/>
          </w:tcPr>
          <w:p w:rsidR="00AC61C0" w:rsidRPr="00AC61C0" w:rsidRDefault="00AC61C0" w:rsidP="00AC61C0">
            <w:pPr>
              <w:snapToGrid w:val="0"/>
              <w:jc w:val="left"/>
              <w:rPr>
                <w:sz w:val="18"/>
                <w:szCs w:val="18"/>
              </w:rPr>
            </w:pPr>
            <w:r w:rsidRPr="00AC61C0">
              <w:rPr>
                <w:sz w:val="18"/>
                <w:szCs w:val="18"/>
              </w:rPr>
              <w:t>（</w:t>
            </w:r>
            <w:r w:rsidRPr="00AC61C0">
              <w:rPr>
                <w:sz w:val="18"/>
                <w:szCs w:val="18"/>
              </w:rPr>
              <w:t xml:space="preserve"> </w:t>
            </w:r>
            <w:r w:rsidRPr="00AC61C0">
              <w:rPr>
                <w:sz w:val="18"/>
                <w:szCs w:val="18"/>
              </w:rPr>
              <w:t>）</w:t>
            </w:r>
            <w:r w:rsidRPr="00AC61C0">
              <w:rPr>
                <w:sz w:val="18"/>
                <w:szCs w:val="18"/>
              </w:rPr>
              <w:t xml:space="preserve">  </w:t>
            </w:r>
          </w:p>
        </w:tc>
        <w:tc>
          <w:tcPr>
            <w:tcW w:w="2339" w:type="dxa"/>
            <w:gridSpan w:val="2"/>
            <w:shd w:val="clear" w:color="auto" w:fill="auto"/>
            <w:vAlign w:val="center"/>
          </w:tcPr>
          <w:p w:rsidR="00AC61C0" w:rsidRPr="00AC61C0" w:rsidRDefault="00AC61C0" w:rsidP="00AC61C0">
            <w:pPr>
              <w:snapToGrid w:val="0"/>
              <w:jc w:val="left"/>
              <w:rPr>
                <w:sz w:val="18"/>
                <w:szCs w:val="18"/>
              </w:rPr>
            </w:pPr>
            <w:r w:rsidRPr="00AC61C0">
              <w:rPr>
                <w:sz w:val="18"/>
                <w:szCs w:val="18"/>
              </w:rPr>
              <w:t>（</w:t>
            </w:r>
            <w:r w:rsidRPr="00AC61C0">
              <w:rPr>
                <w:sz w:val="18"/>
                <w:szCs w:val="18"/>
              </w:rPr>
              <w:t xml:space="preserve"> </w:t>
            </w:r>
            <w:r w:rsidRPr="00AC61C0">
              <w:rPr>
                <w:sz w:val="18"/>
                <w:szCs w:val="18"/>
              </w:rPr>
              <w:t>）</w:t>
            </w:r>
            <w:r w:rsidRPr="00AC61C0">
              <w:rPr>
                <w:sz w:val="18"/>
                <w:szCs w:val="18"/>
              </w:rPr>
              <w:t xml:space="preserve">  </w:t>
            </w:r>
          </w:p>
        </w:tc>
        <w:tc>
          <w:tcPr>
            <w:tcW w:w="1405" w:type="dxa"/>
            <w:shd w:val="clear" w:color="auto" w:fill="auto"/>
            <w:vAlign w:val="center"/>
          </w:tcPr>
          <w:p w:rsidR="00AC61C0" w:rsidRPr="00AC61C0" w:rsidRDefault="00AC61C0" w:rsidP="00AC61C0">
            <w:pPr>
              <w:snapToGrid w:val="0"/>
              <w:jc w:val="left"/>
              <w:rPr>
                <w:sz w:val="18"/>
                <w:szCs w:val="18"/>
              </w:rPr>
            </w:pPr>
            <w:r w:rsidRPr="00AC61C0">
              <w:rPr>
                <w:sz w:val="18"/>
                <w:szCs w:val="18"/>
              </w:rPr>
              <w:t>（</w:t>
            </w:r>
            <w:r w:rsidRPr="00AC61C0">
              <w:rPr>
                <w:sz w:val="18"/>
                <w:szCs w:val="18"/>
              </w:rPr>
              <w:t xml:space="preserve"> </w:t>
            </w:r>
            <w:r w:rsidRPr="00AC61C0">
              <w:rPr>
                <w:sz w:val="18"/>
                <w:szCs w:val="18"/>
              </w:rPr>
              <w:t>）</w:t>
            </w:r>
            <w:r w:rsidRPr="00AC61C0">
              <w:rPr>
                <w:sz w:val="18"/>
                <w:szCs w:val="18"/>
              </w:rPr>
              <w:t xml:space="preserve">  </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生态流量确定</w:t>
            </w:r>
          </w:p>
        </w:tc>
        <w:tc>
          <w:tcPr>
            <w:tcW w:w="8055" w:type="dxa"/>
            <w:gridSpan w:val="9"/>
            <w:shd w:val="clear" w:color="auto" w:fill="auto"/>
            <w:vAlign w:val="center"/>
          </w:tcPr>
          <w:p w:rsidR="00AC61C0" w:rsidRPr="00AC61C0" w:rsidRDefault="00AC61C0" w:rsidP="00AC61C0">
            <w:pPr>
              <w:snapToGrid w:val="0"/>
              <w:jc w:val="left"/>
              <w:rPr>
                <w:sz w:val="18"/>
                <w:szCs w:val="18"/>
              </w:rPr>
            </w:pPr>
            <w:r w:rsidRPr="00AC61C0">
              <w:rPr>
                <w:sz w:val="18"/>
                <w:szCs w:val="18"/>
              </w:rPr>
              <w:t>生态流量：一般水期（</w:t>
            </w:r>
            <w:r w:rsidRPr="00AC61C0">
              <w:rPr>
                <w:sz w:val="18"/>
                <w:szCs w:val="18"/>
              </w:rPr>
              <w:t xml:space="preserve"> </w:t>
            </w:r>
            <w:r w:rsidRPr="00AC61C0">
              <w:rPr>
                <w:sz w:val="18"/>
                <w:szCs w:val="18"/>
              </w:rPr>
              <w:t>）</w:t>
            </w:r>
            <w:r w:rsidRPr="00AC61C0">
              <w:rPr>
                <w:sz w:val="18"/>
                <w:szCs w:val="18"/>
              </w:rPr>
              <w:t>m</w:t>
            </w:r>
            <w:r w:rsidRPr="00AC61C0">
              <w:rPr>
                <w:sz w:val="18"/>
                <w:szCs w:val="18"/>
                <w:vertAlign w:val="superscript"/>
              </w:rPr>
              <w:t>3</w:t>
            </w:r>
            <w:r w:rsidRPr="00AC61C0">
              <w:rPr>
                <w:sz w:val="18"/>
                <w:szCs w:val="18"/>
              </w:rPr>
              <w:t>/s</w:t>
            </w:r>
            <w:r w:rsidRPr="00AC61C0">
              <w:rPr>
                <w:sz w:val="18"/>
                <w:szCs w:val="18"/>
              </w:rPr>
              <w:t>；鱼类繁殖期（</w:t>
            </w:r>
            <w:r w:rsidRPr="00AC61C0">
              <w:rPr>
                <w:sz w:val="18"/>
                <w:szCs w:val="18"/>
              </w:rPr>
              <w:t xml:space="preserve"> </w:t>
            </w:r>
            <w:r w:rsidRPr="00AC61C0">
              <w:rPr>
                <w:sz w:val="18"/>
                <w:szCs w:val="18"/>
              </w:rPr>
              <w:t>）</w:t>
            </w:r>
            <w:r w:rsidRPr="00AC61C0">
              <w:rPr>
                <w:sz w:val="18"/>
                <w:szCs w:val="18"/>
              </w:rPr>
              <w:t>m</w:t>
            </w:r>
            <w:r w:rsidRPr="00AC61C0">
              <w:rPr>
                <w:sz w:val="18"/>
                <w:szCs w:val="18"/>
                <w:vertAlign w:val="superscript"/>
              </w:rPr>
              <w:t>3</w:t>
            </w:r>
            <w:r w:rsidRPr="00AC61C0">
              <w:rPr>
                <w:sz w:val="18"/>
                <w:szCs w:val="18"/>
              </w:rPr>
              <w:t>/s</w:t>
            </w:r>
            <w:r w:rsidRPr="00AC61C0">
              <w:rPr>
                <w:sz w:val="18"/>
                <w:szCs w:val="18"/>
              </w:rPr>
              <w:t>；其他（</w:t>
            </w:r>
            <w:r w:rsidRPr="00AC61C0">
              <w:rPr>
                <w:sz w:val="18"/>
                <w:szCs w:val="18"/>
              </w:rPr>
              <w:t xml:space="preserve"> </w:t>
            </w:r>
            <w:r w:rsidRPr="00AC61C0">
              <w:rPr>
                <w:sz w:val="18"/>
                <w:szCs w:val="18"/>
              </w:rPr>
              <w:t>）</w:t>
            </w:r>
            <w:r w:rsidRPr="00AC61C0">
              <w:rPr>
                <w:sz w:val="18"/>
                <w:szCs w:val="18"/>
              </w:rPr>
              <w:t>m</w:t>
            </w:r>
            <w:r w:rsidRPr="00AC61C0">
              <w:rPr>
                <w:sz w:val="18"/>
                <w:szCs w:val="18"/>
                <w:vertAlign w:val="superscript"/>
              </w:rPr>
              <w:t>3</w:t>
            </w:r>
            <w:r w:rsidRPr="00AC61C0">
              <w:rPr>
                <w:sz w:val="18"/>
                <w:szCs w:val="18"/>
              </w:rPr>
              <w:t>/s</w:t>
            </w:r>
          </w:p>
          <w:p w:rsidR="00AC61C0" w:rsidRPr="00AC61C0" w:rsidRDefault="00AC61C0" w:rsidP="00AC61C0">
            <w:pPr>
              <w:snapToGrid w:val="0"/>
              <w:jc w:val="left"/>
              <w:rPr>
                <w:sz w:val="18"/>
                <w:szCs w:val="18"/>
              </w:rPr>
            </w:pPr>
            <w:r w:rsidRPr="00AC61C0">
              <w:rPr>
                <w:sz w:val="18"/>
                <w:szCs w:val="18"/>
              </w:rPr>
              <w:t>生态水位：一般水期（</w:t>
            </w:r>
            <w:r w:rsidRPr="00AC61C0">
              <w:rPr>
                <w:sz w:val="18"/>
                <w:szCs w:val="18"/>
              </w:rPr>
              <w:t xml:space="preserve"> </w:t>
            </w:r>
            <w:r w:rsidRPr="00AC61C0">
              <w:rPr>
                <w:sz w:val="18"/>
                <w:szCs w:val="18"/>
              </w:rPr>
              <w:t>）</w:t>
            </w:r>
            <w:r w:rsidRPr="00AC61C0">
              <w:rPr>
                <w:sz w:val="18"/>
                <w:szCs w:val="18"/>
              </w:rPr>
              <w:t>m</w:t>
            </w:r>
            <w:r w:rsidRPr="00AC61C0">
              <w:rPr>
                <w:sz w:val="18"/>
                <w:szCs w:val="18"/>
              </w:rPr>
              <w:t>；鱼类繁殖期（</w:t>
            </w:r>
            <w:r w:rsidRPr="00AC61C0">
              <w:rPr>
                <w:sz w:val="18"/>
                <w:szCs w:val="18"/>
              </w:rPr>
              <w:t xml:space="preserve"> </w:t>
            </w:r>
            <w:r w:rsidRPr="00AC61C0">
              <w:rPr>
                <w:sz w:val="18"/>
                <w:szCs w:val="18"/>
              </w:rPr>
              <w:t>）</w:t>
            </w:r>
            <w:r w:rsidRPr="00AC61C0">
              <w:rPr>
                <w:sz w:val="18"/>
                <w:szCs w:val="18"/>
              </w:rPr>
              <w:t>m</w:t>
            </w:r>
            <w:r w:rsidRPr="00AC61C0">
              <w:rPr>
                <w:sz w:val="18"/>
                <w:szCs w:val="18"/>
              </w:rPr>
              <w:t>；其他（</w:t>
            </w:r>
            <w:r w:rsidRPr="00AC61C0">
              <w:rPr>
                <w:sz w:val="18"/>
                <w:szCs w:val="18"/>
              </w:rPr>
              <w:t xml:space="preserve"> </w:t>
            </w:r>
            <w:r w:rsidRPr="00AC61C0">
              <w:rPr>
                <w:sz w:val="18"/>
                <w:szCs w:val="18"/>
              </w:rPr>
              <w:t>）</w:t>
            </w:r>
            <w:r w:rsidRPr="00AC61C0">
              <w:rPr>
                <w:sz w:val="18"/>
                <w:szCs w:val="18"/>
              </w:rPr>
              <w:t>m</w:t>
            </w:r>
          </w:p>
        </w:tc>
      </w:tr>
      <w:tr w:rsidR="00AC61C0" w:rsidRPr="00AC61C0" w:rsidTr="00AC61C0">
        <w:trPr>
          <w:trHeight w:val="454"/>
          <w:jc w:val="center"/>
        </w:trPr>
        <w:tc>
          <w:tcPr>
            <w:tcW w:w="530" w:type="dxa"/>
            <w:vMerge w:val="restart"/>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r w:rsidRPr="00AC61C0">
              <w:rPr>
                <w:sz w:val="18"/>
                <w:szCs w:val="18"/>
              </w:rPr>
              <w:t>防</w:t>
            </w:r>
          </w:p>
          <w:p w:rsidR="00AC61C0" w:rsidRPr="00AC61C0" w:rsidRDefault="00AC61C0" w:rsidP="00AC61C0">
            <w:pPr>
              <w:pStyle w:val="aff1"/>
              <w:snapToGrid w:val="0"/>
              <w:spacing w:line="240" w:lineRule="auto"/>
              <w:ind w:left="0" w:firstLine="0"/>
              <w:jc w:val="center"/>
              <w:rPr>
                <w:sz w:val="18"/>
                <w:szCs w:val="18"/>
              </w:rPr>
            </w:pPr>
            <w:r w:rsidRPr="00AC61C0">
              <w:rPr>
                <w:sz w:val="18"/>
                <w:szCs w:val="18"/>
              </w:rPr>
              <w:t>治</w:t>
            </w:r>
          </w:p>
          <w:p w:rsidR="00AC61C0" w:rsidRPr="00AC61C0" w:rsidRDefault="00AC61C0" w:rsidP="00AC61C0">
            <w:pPr>
              <w:pStyle w:val="aff1"/>
              <w:snapToGrid w:val="0"/>
              <w:spacing w:line="240" w:lineRule="auto"/>
              <w:ind w:left="0" w:firstLine="0"/>
              <w:jc w:val="center"/>
              <w:rPr>
                <w:sz w:val="18"/>
                <w:szCs w:val="18"/>
              </w:rPr>
            </w:pPr>
            <w:r w:rsidRPr="00AC61C0">
              <w:rPr>
                <w:sz w:val="18"/>
                <w:szCs w:val="18"/>
              </w:rPr>
              <w:t>措</w:t>
            </w:r>
          </w:p>
          <w:p w:rsidR="00AC61C0" w:rsidRPr="00AC61C0" w:rsidRDefault="00AC61C0" w:rsidP="00AC61C0">
            <w:pPr>
              <w:pStyle w:val="aff1"/>
              <w:snapToGrid w:val="0"/>
              <w:spacing w:line="240" w:lineRule="auto"/>
              <w:ind w:left="0" w:firstLine="0"/>
              <w:jc w:val="center"/>
              <w:rPr>
                <w:sz w:val="18"/>
                <w:szCs w:val="18"/>
              </w:rPr>
            </w:pPr>
            <w:r w:rsidRPr="00AC61C0">
              <w:rPr>
                <w:sz w:val="18"/>
                <w:szCs w:val="18"/>
              </w:rPr>
              <w:t>施</w:t>
            </w: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环保措施</w:t>
            </w:r>
          </w:p>
        </w:tc>
        <w:tc>
          <w:tcPr>
            <w:tcW w:w="8055" w:type="dxa"/>
            <w:gridSpan w:val="9"/>
            <w:shd w:val="clear" w:color="auto" w:fill="auto"/>
            <w:vAlign w:val="center"/>
          </w:tcPr>
          <w:p w:rsidR="00AC61C0" w:rsidRPr="00AC61C0" w:rsidRDefault="00AC61C0" w:rsidP="00AC61C0">
            <w:pPr>
              <w:snapToGrid w:val="0"/>
              <w:jc w:val="left"/>
              <w:rPr>
                <w:sz w:val="18"/>
                <w:szCs w:val="18"/>
              </w:rPr>
            </w:pPr>
            <w:r w:rsidRPr="00AC61C0">
              <w:rPr>
                <w:sz w:val="18"/>
                <w:szCs w:val="18"/>
              </w:rPr>
              <w:t>污水处理设施</w:t>
            </w:r>
            <w:r w:rsidRPr="00AC61C0">
              <w:rPr>
                <w:sz w:val="18"/>
                <w:szCs w:val="18"/>
              </w:rPr>
              <w:sym w:font="Wingdings 2" w:char="0052"/>
            </w:r>
            <w:r w:rsidRPr="00AC61C0">
              <w:rPr>
                <w:sz w:val="18"/>
                <w:szCs w:val="18"/>
              </w:rPr>
              <w:t>；水文减缓设施</w:t>
            </w:r>
            <w:r w:rsidRPr="00AC61C0">
              <w:rPr>
                <w:sz w:val="18"/>
                <w:szCs w:val="18"/>
              </w:rPr>
              <w:t>□</w:t>
            </w:r>
            <w:r w:rsidRPr="00AC61C0">
              <w:rPr>
                <w:sz w:val="18"/>
                <w:szCs w:val="18"/>
              </w:rPr>
              <w:t>；生态流量保障设施</w:t>
            </w:r>
            <w:r w:rsidRPr="00AC61C0">
              <w:rPr>
                <w:sz w:val="18"/>
                <w:szCs w:val="18"/>
              </w:rPr>
              <w:t>□</w:t>
            </w:r>
            <w:r w:rsidRPr="00AC61C0">
              <w:rPr>
                <w:sz w:val="18"/>
                <w:szCs w:val="18"/>
              </w:rPr>
              <w:t>；区域削减</w:t>
            </w:r>
            <w:r w:rsidRPr="00AC61C0">
              <w:rPr>
                <w:sz w:val="18"/>
                <w:szCs w:val="18"/>
              </w:rPr>
              <w:t>□</w:t>
            </w:r>
            <w:r w:rsidRPr="00AC61C0">
              <w:rPr>
                <w:sz w:val="18"/>
                <w:szCs w:val="18"/>
              </w:rPr>
              <w:t>；依托其他工程措施</w:t>
            </w:r>
            <w:r w:rsidRPr="00AC61C0">
              <w:rPr>
                <w:sz w:val="18"/>
                <w:szCs w:val="18"/>
              </w:rPr>
              <w:t>□</w:t>
            </w:r>
            <w:r w:rsidRPr="00AC61C0">
              <w:rPr>
                <w:sz w:val="18"/>
                <w:szCs w:val="18"/>
              </w:rPr>
              <w:t>；其他</w:t>
            </w:r>
            <w:r w:rsidRPr="00AC61C0">
              <w:rPr>
                <w:sz w:val="18"/>
                <w:szCs w:val="18"/>
              </w:rPr>
              <w:t>□</w:t>
            </w:r>
          </w:p>
        </w:tc>
      </w:tr>
      <w:tr w:rsidR="00AC61C0" w:rsidRPr="00AC61C0" w:rsidTr="00AC61C0">
        <w:trPr>
          <w:trHeight w:val="275"/>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val="restart"/>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监测计划</w:t>
            </w:r>
          </w:p>
        </w:tc>
        <w:tc>
          <w:tcPr>
            <w:tcW w:w="2278" w:type="dxa"/>
            <w:gridSpan w:val="3"/>
            <w:shd w:val="clear" w:color="auto" w:fill="auto"/>
            <w:vAlign w:val="center"/>
          </w:tcPr>
          <w:p w:rsidR="00AC61C0" w:rsidRPr="00AC61C0" w:rsidRDefault="00AC61C0" w:rsidP="00AC61C0">
            <w:pPr>
              <w:snapToGrid w:val="0"/>
              <w:jc w:val="left"/>
              <w:rPr>
                <w:sz w:val="18"/>
                <w:szCs w:val="18"/>
              </w:rPr>
            </w:pPr>
          </w:p>
        </w:tc>
        <w:tc>
          <w:tcPr>
            <w:tcW w:w="2491" w:type="dxa"/>
            <w:gridSpan w:val="4"/>
            <w:shd w:val="clear" w:color="auto" w:fill="auto"/>
            <w:vAlign w:val="center"/>
          </w:tcPr>
          <w:p w:rsidR="00AC61C0" w:rsidRPr="00AC61C0" w:rsidRDefault="00AC61C0" w:rsidP="00AC61C0">
            <w:pPr>
              <w:snapToGrid w:val="0"/>
              <w:jc w:val="left"/>
              <w:rPr>
                <w:sz w:val="18"/>
                <w:szCs w:val="18"/>
              </w:rPr>
            </w:pPr>
            <w:r w:rsidRPr="00AC61C0">
              <w:rPr>
                <w:sz w:val="18"/>
                <w:szCs w:val="18"/>
              </w:rPr>
              <w:t>环境质量</w:t>
            </w:r>
          </w:p>
        </w:tc>
        <w:tc>
          <w:tcPr>
            <w:tcW w:w="3286" w:type="dxa"/>
            <w:gridSpan w:val="2"/>
            <w:shd w:val="clear" w:color="auto" w:fill="auto"/>
            <w:vAlign w:val="center"/>
          </w:tcPr>
          <w:p w:rsidR="00AC61C0" w:rsidRPr="00AC61C0" w:rsidRDefault="00AC61C0" w:rsidP="00AC61C0">
            <w:pPr>
              <w:snapToGrid w:val="0"/>
              <w:jc w:val="left"/>
              <w:rPr>
                <w:sz w:val="18"/>
                <w:szCs w:val="18"/>
              </w:rPr>
            </w:pPr>
            <w:r w:rsidRPr="00AC61C0">
              <w:rPr>
                <w:sz w:val="18"/>
                <w:szCs w:val="18"/>
              </w:rPr>
              <w:t>污染源</w:t>
            </w:r>
          </w:p>
        </w:tc>
      </w:tr>
      <w:tr w:rsidR="00AC61C0" w:rsidRPr="00AC61C0" w:rsidTr="00AC61C0">
        <w:trPr>
          <w:trHeight w:val="381"/>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p>
        </w:tc>
        <w:tc>
          <w:tcPr>
            <w:tcW w:w="2278" w:type="dxa"/>
            <w:gridSpan w:val="3"/>
            <w:shd w:val="clear" w:color="auto" w:fill="auto"/>
            <w:vAlign w:val="center"/>
          </w:tcPr>
          <w:p w:rsidR="00AC61C0" w:rsidRPr="00AC61C0" w:rsidRDefault="00AC61C0" w:rsidP="00AC61C0">
            <w:pPr>
              <w:snapToGrid w:val="0"/>
              <w:jc w:val="left"/>
              <w:rPr>
                <w:sz w:val="18"/>
                <w:szCs w:val="18"/>
              </w:rPr>
            </w:pPr>
            <w:r w:rsidRPr="00AC61C0">
              <w:rPr>
                <w:sz w:val="18"/>
                <w:szCs w:val="18"/>
              </w:rPr>
              <w:t>监测方式</w:t>
            </w:r>
          </w:p>
        </w:tc>
        <w:tc>
          <w:tcPr>
            <w:tcW w:w="2491" w:type="dxa"/>
            <w:gridSpan w:val="4"/>
            <w:shd w:val="clear" w:color="auto" w:fill="auto"/>
            <w:vAlign w:val="center"/>
          </w:tcPr>
          <w:p w:rsidR="00AC61C0" w:rsidRPr="00AC61C0" w:rsidRDefault="00AC61C0" w:rsidP="00AC61C0">
            <w:pPr>
              <w:snapToGrid w:val="0"/>
              <w:jc w:val="left"/>
              <w:rPr>
                <w:sz w:val="18"/>
                <w:szCs w:val="18"/>
              </w:rPr>
            </w:pPr>
            <w:r w:rsidRPr="00AC61C0">
              <w:rPr>
                <w:sz w:val="18"/>
                <w:szCs w:val="18"/>
              </w:rPr>
              <w:t>手动</w:t>
            </w:r>
            <w:r w:rsidRPr="00AC61C0">
              <w:rPr>
                <w:sz w:val="18"/>
                <w:szCs w:val="18"/>
              </w:rPr>
              <w:t>□</w:t>
            </w:r>
            <w:r w:rsidRPr="00AC61C0">
              <w:rPr>
                <w:sz w:val="18"/>
                <w:szCs w:val="18"/>
              </w:rPr>
              <w:t>；自动</w:t>
            </w:r>
            <w:r w:rsidRPr="00AC61C0">
              <w:rPr>
                <w:sz w:val="18"/>
                <w:szCs w:val="18"/>
              </w:rPr>
              <w:t>□</w:t>
            </w:r>
            <w:r w:rsidRPr="00AC61C0">
              <w:rPr>
                <w:sz w:val="18"/>
                <w:szCs w:val="18"/>
              </w:rPr>
              <w:t>；无监测</w:t>
            </w:r>
            <w:r w:rsidRPr="00AC61C0">
              <w:rPr>
                <w:sz w:val="18"/>
                <w:szCs w:val="18"/>
              </w:rPr>
              <w:sym w:font="Wingdings 2" w:char="0052"/>
            </w:r>
          </w:p>
        </w:tc>
        <w:tc>
          <w:tcPr>
            <w:tcW w:w="3286" w:type="dxa"/>
            <w:gridSpan w:val="2"/>
            <w:shd w:val="clear" w:color="auto" w:fill="auto"/>
            <w:vAlign w:val="center"/>
          </w:tcPr>
          <w:p w:rsidR="00AC61C0" w:rsidRPr="00AC61C0" w:rsidRDefault="00AC61C0" w:rsidP="00AC61C0">
            <w:pPr>
              <w:snapToGrid w:val="0"/>
              <w:jc w:val="left"/>
              <w:rPr>
                <w:sz w:val="18"/>
                <w:szCs w:val="18"/>
              </w:rPr>
            </w:pPr>
            <w:r w:rsidRPr="00AC61C0">
              <w:rPr>
                <w:sz w:val="18"/>
                <w:szCs w:val="18"/>
              </w:rPr>
              <w:t>手动</w:t>
            </w:r>
            <w:r w:rsidRPr="00AC61C0">
              <w:rPr>
                <w:sz w:val="18"/>
                <w:szCs w:val="18"/>
              </w:rPr>
              <w:sym w:font="Wingdings 2" w:char="0052"/>
            </w:r>
            <w:r w:rsidRPr="00AC61C0">
              <w:rPr>
                <w:sz w:val="18"/>
                <w:szCs w:val="18"/>
              </w:rPr>
              <w:t>；自动</w:t>
            </w:r>
            <w:r w:rsidRPr="00AC61C0">
              <w:rPr>
                <w:sz w:val="18"/>
                <w:szCs w:val="18"/>
              </w:rPr>
              <w:sym w:font="Wingdings 2" w:char="0052"/>
            </w:r>
            <w:r w:rsidRPr="00AC61C0">
              <w:rPr>
                <w:sz w:val="18"/>
                <w:szCs w:val="18"/>
              </w:rPr>
              <w:t>；无监测</w:t>
            </w:r>
            <w:r w:rsidRPr="00AC61C0">
              <w:rPr>
                <w:sz w:val="18"/>
                <w:szCs w:val="18"/>
              </w:rPr>
              <w:t>□</w:t>
            </w:r>
          </w:p>
        </w:tc>
      </w:tr>
      <w:tr w:rsidR="00AC61C0" w:rsidRPr="00AC61C0" w:rsidTr="00AC61C0">
        <w:trPr>
          <w:trHeight w:val="311"/>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p>
        </w:tc>
        <w:tc>
          <w:tcPr>
            <w:tcW w:w="2278" w:type="dxa"/>
            <w:gridSpan w:val="3"/>
            <w:shd w:val="clear" w:color="auto" w:fill="auto"/>
            <w:vAlign w:val="center"/>
          </w:tcPr>
          <w:p w:rsidR="00AC61C0" w:rsidRPr="00AC61C0" w:rsidRDefault="00AC61C0" w:rsidP="00AC61C0">
            <w:pPr>
              <w:snapToGrid w:val="0"/>
              <w:jc w:val="left"/>
              <w:rPr>
                <w:sz w:val="18"/>
                <w:szCs w:val="18"/>
              </w:rPr>
            </w:pPr>
            <w:r w:rsidRPr="00AC61C0">
              <w:rPr>
                <w:sz w:val="18"/>
                <w:szCs w:val="18"/>
              </w:rPr>
              <w:t>监测点位</w:t>
            </w:r>
          </w:p>
        </w:tc>
        <w:tc>
          <w:tcPr>
            <w:tcW w:w="2491" w:type="dxa"/>
            <w:gridSpan w:val="4"/>
            <w:shd w:val="clear" w:color="auto" w:fill="auto"/>
            <w:vAlign w:val="center"/>
          </w:tcPr>
          <w:p w:rsidR="00AC61C0" w:rsidRPr="00AC61C0" w:rsidRDefault="00AC61C0" w:rsidP="00AC61C0">
            <w:pPr>
              <w:snapToGrid w:val="0"/>
              <w:jc w:val="left"/>
              <w:rPr>
                <w:sz w:val="18"/>
                <w:szCs w:val="18"/>
              </w:rPr>
            </w:pPr>
            <w:r w:rsidRPr="00AC61C0">
              <w:rPr>
                <w:sz w:val="18"/>
                <w:szCs w:val="18"/>
              </w:rPr>
              <w:t>（</w:t>
            </w:r>
            <w:r w:rsidRPr="00AC61C0">
              <w:rPr>
                <w:sz w:val="18"/>
                <w:szCs w:val="18"/>
              </w:rPr>
              <w:t xml:space="preserve"> </w:t>
            </w:r>
            <w:r w:rsidRPr="00AC61C0">
              <w:rPr>
                <w:sz w:val="18"/>
                <w:szCs w:val="18"/>
              </w:rPr>
              <w:t>）</w:t>
            </w:r>
          </w:p>
        </w:tc>
        <w:tc>
          <w:tcPr>
            <w:tcW w:w="3286" w:type="dxa"/>
            <w:gridSpan w:val="2"/>
            <w:shd w:val="clear" w:color="auto" w:fill="auto"/>
            <w:vAlign w:val="center"/>
          </w:tcPr>
          <w:p w:rsidR="00AC61C0" w:rsidRPr="00AC61C0" w:rsidRDefault="00AC61C0" w:rsidP="00AC61C0">
            <w:pPr>
              <w:snapToGrid w:val="0"/>
              <w:jc w:val="left"/>
              <w:rPr>
                <w:sz w:val="18"/>
                <w:szCs w:val="18"/>
              </w:rPr>
            </w:pPr>
            <w:r w:rsidRPr="00AC61C0">
              <w:rPr>
                <w:sz w:val="18"/>
                <w:szCs w:val="18"/>
              </w:rPr>
              <w:t>（</w:t>
            </w:r>
            <w:r w:rsidRPr="00AC61C0">
              <w:rPr>
                <w:rFonts w:hint="eastAsia"/>
                <w:sz w:val="18"/>
                <w:szCs w:val="18"/>
              </w:rPr>
              <w:t>处理设施进出口</w:t>
            </w:r>
            <w:r w:rsidRPr="00AC61C0">
              <w:rPr>
                <w:sz w:val="18"/>
                <w:szCs w:val="18"/>
              </w:rPr>
              <w:t>）</w:t>
            </w:r>
          </w:p>
        </w:tc>
      </w:tr>
      <w:tr w:rsidR="00AC61C0" w:rsidRPr="00AC61C0" w:rsidTr="00AC61C0">
        <w:trPr>
          <w:trHeight w:val="45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vMerge/>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p>
        </w:tc>
        <w:tc>
          <w:tcPr>
            <w:tcW w:w="2278" w:type="dxa"/>
            <w:gridSpan w:val="3"/>
            <w:shd w:val="clear" w:color="auto" w:fill="auto"/>
            <w:vAlign w:val="center"/>
          </w:tcPr>
          <w:p w:rsidR="00AC61C0" w:rsidRPr="00AC61C0" w:rsidRDefault="00AC61C0" w:rsidP="00AC61C0">
            <w:pPr>
              <w:snapToGrid w:val="0"/>
              <w:jc w:val="left"/>
              <w:rPr>
                <w:sz w:val="18"/>
                <w:szCs w:val="18"/>
              </w:rPr>
            </w:pPr>
            <w:r w:rsidRPr="00AC61C0">
              <w:rPr>
                <w:sz w:val="18"/>
                <w:szCs w:val="18"/>
              </w:rPr>
              <w:t>监测因子</w:t>
            </w:r>
          </w:p>
        </w:tc>
        <w:tc>
          <w:tcPr>
            <w:tcW w:w="2491" w:type="dxa"/>
            <w:gridSpan w:val="4"/>
            <w:shd w:val="clear" w:color="auto" w:fill="auto"/>
            <w:vAlign w:val="center"/>
          </w:tcPr>
          <w:p w:rsidR="00AC61C0" w:rsidRPr="00AC61C0" w:rsidRDefault="00AC61C0" w:rsidP="00AC61C0">
            <w:pPr>
              <w:snapToGrid w:val="0"/>
              <w:jc w:val="left"/>
              <w:rPr>
                <w:sz w:val="18"/>
                <w:szCs w:val="18"/>
              </w:rPr>
            </w:pPr>
            <w:r w:rsidRPr="00AC61C0">
              <w:rPr>
                <w:sz w:val="18"/>
                <w:szCs w:val="18"/>
              </w:rPr>
              <w:t>（</w:t>
            </w:r>
            <w:r w:rsidRPr="00AC61C0">
              <w:rPr>
                <w:sz w:val="18"/>
                <w:szCs w:val="18"/>
              </w:rPr>
              <w:t xml:space="preserve"> </w:t>
            </w:r>
            <w:r w:rsidRPr="00AC61C0">
              <w:rPr>
                <w:sz w:val="18"/>
                <w:szCs w:val="18"/>
              </w:rPr>
              <w:t>）</w:t>
            </w:r>
          </w:p>
        </w:tc>
        <w:tc>
          <w:tcPr>
            <w:tcW w:w="3286" w:type="dxa"/>
            <w:gridSpan w:val="2"/>
            <w:shd w:val="clear" w:color="auto" w:fill="auto"/>
            <w:vAlign w:val="center"/>
          </w:tcPr>
          <w:p w:rsidR="00AC61C0" w:rsidRPr="00AC61C0" w:rsidRDefault="00AC61C0" w:rsidP="00AC61C0">
            <w:pPr>
              <w:snapToGrid w:val="0"/>
              <w:jc w:val="left"/>
              <w:rPr>
                <w:sz w:val="18"/>
                <w:szCs w:val="18"/>
              </w:rPr>
            </w:pPr>
            <w:r w:rsidRPr="00AC61C0">
              <w:rPr>
                <w:sz w:val="18"/>
                <w:szCs w:val="18"/>
              </w:rPr>
              <w:t>（</w:t>
            </w:r>
            <w:r w:rsidRPr="00AC61C0">
              <w:rPr>
                <w:rFonts w:hint="eastAsia"/>
                <w:sz w:val="18"/>
                <w:szCs w:val="18"/>
              </w:rPr>
              <w:t>水温、流量、</w:t>
            </w:r>
            <w:r w:rsidRPr="00AC61C0">
              <w:rPr>
                <w:sz w:val="18"/>
                <w:szCs w:val="18"/>
              </w:rPr>
              <w:t>PH</w:t>
            </w:r>
            <w:r w:rsidRPr="00AC61C0">
              <w:rPr>
                <w:rFonts w:hint="eastAsia"/>
                <w:sz w:val="18"/>
                <w:szCs w:val="18"/>
              </w:rPr>
              <w:t>值、</w:t>
            </w:r>
            <w:r w:rsidRPr="00AC61C0">
              <w:rPr>
                <w:sz w:val="18"/>
                <w:szCs w:val="18"/>
              </w:rPr>
              <w:t>COD</w:t>
            </w:r>
            <w:r w:rsidRPr="00AC61C0">
              <w:rPr>
                <w:rFonts w:hint="eastAsia"/>
                <w:sz w:val="18"/>
                <w:szCs w:val="18"/>
              </w:rPr>
              <w:t>、氨氮、</w:t>
            </w:r>
            <w:r w:rsidRPr="00AC61C0">
              <w:rPr>
                <w:sz w:val="18"/>
                <w:szCs w:val="18"/>
              </w:rPr>
              <w:t>BOD</w:t>
            </w:r>
            <w:r w:rsidRPr="00AC61C0">
              <w:rPr>
                <w:sz w:val="18"/>
                <w:szCs w:val="18"/>
                <w:vertAlign w:val="subscript"/>
              </w:rPr>
              <w:t>5</w:t>
            </w:r>
            <w:r w:rsidRPr="00AC61C0">
              <w:rPr>
                <w:rFonts w:hint="eastAsia"/>
                <w:sz w:val="18"/>
                <w:szCs w:val="18"/>
              </w:rPr>
              <w:t>、</w:t>
            </w:r>
            <w:r w:rsidRPr="00AC61C0">
              <w:rPr>
                <w:sz w:val="18"/>
                <w:szCs w:val="18"/>
              </w:rPr>
              <w:t>SS</w:t>
            </w:r>
            <w:r w:rsidRPr="00AC61C0">
              <w:rPr>
                <w:rFonts w:hint="eastAsia"/>
                <w:sz w:val="18"/>
                <w:szCs w:val="18"/>
              </w:rPr>
              <w:t>等</w:t>
            </w:r>
            <w:r w:rsidRPr="00AC61C0">
              <w:rPr>
                <w:sz w:val="18"/>
                <w:szCs w:val="18"/>
              </w:rPr>
              <w:t>）</w:t>
            </w:r>
          </w:p>
        </w:tc>
      </w:tr>
      <w:tr w:rsidR="00AC61C0" w:rsidRPr="00AC61C0" w:rsidTr="00AC61C0">
        <w:trPr>
          <w:trHeight w:val="274"/>
          <w:jc w:val="center"/>
        </w:trPr>
        <w:tc>
          <w:tcPr>
            <w:tcW w:w="530" w:type="dxa"/>
            <w:vMerge/>
            <w:shd w:val="clear" w:color="auto" w:fill="auto"/>
            <w:vAlign w:val="center"/>
          </w:tcPr>
          <w:p w:rsidR="00AC61C0" w:rsidRPr="00AC61C0" w:rsidRDefault="00AC61C0" w:rsidP="00AC61C0">
            <w:pPr>
              <w:pStyle w:val="aff1"/>
              <w:snapToGrid w:val="0"/>
              <w:spacing w:line="240" w:lineRule="auto"/>
              <w:ind w:left="0" w:firstLine="0"/>
              <w:jc w:val="center"/>
              <w:rPr>
                <w:sz w:val="18"/>
                <w:szCs w:val="18"/>
              </w:rPr>
            </w:pPr>
          </w:p>
        </w:tc>
        <w:tc>
          <w:tcPr>
            <w:tcW w:w="1421" w:type="dxa"/>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污染物排放清单</w:t>
            </w:r>
          </w:p>
        </w:tc>
        <w:tc>
          <w:tcPr>
            <w:tcW w:w="8055" w:type="dxa"/>
            <w:gridSpan w:val="9"/>
            <w:shd w:val="clear" w:color="auto" w:fill="auto"/>
            <w:vAlign w:val="center"/>
          </w:tcPr>
          <w:p w:rsidR="00AC61C0" w:rsidRPr="00AC61C0" w:rsidRDefault="00AC61C0" w:rsidP="00AC61C0">
            <w:pPr>
              <w:snapToGrid w:val="0"/>
              <w:jc w:val="left"/>
              <w:rPr>
                <w:sz w:val="18"/>
                <w:szCs w:val="18"/>
              </w:rPr>
            </w:pPr>
            <w:r w:rsidRPr="00AC61C0">
              <w:rPr>
                <w:sz w:val="18"/>
                <w:szCs w:val="18"/>
              </w:rPr>
              <w:sym w:font="Wingdings 2" w:char="0052"/>
            </w:r>
          </w:p>
        </w:tc>
      </w:tr>
      <w:tr w:rsidR="00AC61C0" w:rsidRPr="00AC61C0" w:rsidTr="00AC61C0">
        <w:trPr>
          <w:trHeight w:val="70"/>
          <w:jc w:val="center"/>
        </w:trPr>
        <w:tc>
          <w:tcPr>
            <w:tcW w:w="1951" w:type="dxa"/>
            <w:gridSpan w:val="2"/>
            <w:shd w:val="clear" w:color="auto" w:fill="auto"/>
            <w:vAlign w:val="center"/>
          </w:tcPr>
          <w:p w:rsidR="00AC61C0" w:rsidRPr="00AC61C0" w:rsidRDefault="00AC61C0" w:rsidP="00AC61C0">
            <w:pPr>
              <w:pStyle w:val="aff1"/>
              <w:snapToGrid w:val="0"/>
              <w:spacing w:line="240" w:lineRule="auto"/>
              <w:ind w:left="0" w:firstLine="0"/>
              <w:jc w:val="left"/>
              <w:rPr>
                <w:sz w:val="18"/>
                <w:szCs w:val="18"/>
              </w:rPr>
            </w:pPr>
            <w:r w:rsidRPr="00AC61C0">
              <w:rPr>
                <w:sz w:val="18"/>
                <w:szCs w:val="18"/>
              </w:rPr>
              <w:t>评价结论</w:t>
            </w:r>
          </w:p>
        </w:tc>
        <w:tc>
          <w:tcPr>
            <w:tcW w:w="8055" w:type="dxa"/>
            <w:gridSpan w:val="9"/>
            <w:shd w:val="clear" w:color="auto" w:fill="auto"/>
            <w:vAlign w:val="center"/>
          </w:tcPr>
          <w:p w:rsidR="00AC61C0" w:rsidRPr="00AC61C0" w:rsidRDefault="00AC61C0" w:rsidP="00AC61C0">
            <w:pPr>
              <w:snapToGrid w:val="0"/>
              <w:jc w:val="left"/>
              <w:rPr>
                <w:sz w:val="18"/>
                <w:szCs w:val="18"/>
              </w:rPr>
            </w:pPr>
            <w:r w:rsidRPr="00AC61C0">
              <w:rPr>
                <w:sz w:val="18"/>
                <w:szCs w:val="18"/>
              </w:rPr>
              <w:t>可以接受</w:t>
            </w:r>
            <w:r w:rsidRPr="00AC61C0">
              <w:rPr>
                <w:sz w:val="18"/>
                <w:szCs w:val="18"/>
              </w:rPr>
              <w:sym w:font="Wingdings 2" w:char="0052"/>
            </w:r>
            <w:r w:rsidRPr="00AC61C0">
              <w:rPr>
                <w:sz w:val="18"/>
                <w:szCs w:val="18"/>
              </w:rPr>
              <w:t>；不可以接受</w:t>
            </w:r>
            <w:r w:rsidRPr="00AC61C0">
              <w:rPr>
                <w:sz w:val="18"/>
                <w:szCs w:val="18"/>
              </w:rPr>
              <w:t>□</w:t>
            </w:r>
          </w:p>
        </w:tc>
      </w:tr>
      <w:tr w:rsidR="00AC61C0" w:rsidRPr="00AC61C0" w:rsidTr="00AC61C0">
        <w:trPr>
          <w:trHeight w:val="238"/>
          <w:jc w:val="center"/>
        </w:trPr>
        <w:tc>
          <w:tcPr>
            <w:tcW w:w="10006" w:type="dxa"/>
            <w:gridSpan w:val="11"/>
            <w:shd w:val="clear" w:color="auto" w:fill="auto"/>
            <w:vAlign w:val="center"/>
          </w:tcPr>
          <w:p w:rsidR="00AC61C0" w:rsidRPr="00AC61C0" w:rsidRDefault="00AC61C0" w:rsidP="00AC61C0">
            <w:pPr>
              <w:snapToGrid w:val="0"/>
              <w:jc w:val="left"/>
              <w:rPr>
                <w:sz w:val="18"/>
                <w:szCs w:val="18"/>
              </w:rPr>
            </w:pPr>
            <w:r w:rsidRPr="00AC61C0">
              <w:rPr>
                <w:sz w:val="18"/>
                <w:szCs w:val="18"/>
              </w:rPr>
              <w:t>注：</w:t>
            </w:r>
            <w:r w:rsidRPr="00AC61C0">
              <w:rPr>
                <w:sz w:val="18"/>
                <w:szCs w:val="18"/>
              </w:rPr>
              <w:t>“□”</w:t>
            </w:r>
            <w:r w:rsidRPr="00AC61C0">
              <w:rPr>
                <w:sz w:val="18"/>
                <w:szCs w:val="18"/>
              </w:rPr>
              <w:t>为勾选项，可</w:t>
            </w:r>
            <w:r w:rsidRPr="00AC61C0">
              <w:rPr>
                <w:sz w:val="18"/>
                <w:szCs w:val="18"/>
              </w:rPr>
              <w:t>√</w:t>
            </w:r>
            <w:r w:rsidRPr="00AC61C0">
              <w:rPr>
                <w:sz w:val="18"/>
                <w:szCs w:val="18"/>
              </w:rPr>
              <w:t>；</w:t>
            </w:r>
            <w:r w:rsidRPr="00AC61C0">
              <w:rPr>
                <w:sz w:val="18"/>
                <w:szCs w:val="18"/>
              </w:rPr>
              <w:t>“</w:t>
            </w:r>
            <w:r w:rsidRPr="00AC61C0">
              <w:rPr>
                <w:sz w:val="18"/>
                <w:szCs w:val="18"/>
              </w:rPr>
              <w:t>（</w:t>
            </w:r>
            <w:r w:rsidRPr="00AC61C0">
              <w:rPr>
                <w:sz w:val="18"/>
                <w:szCs w:val="18"/>
              </w:rPr>
              <w:t xml:space="preserve"> </w:t>
            </w:r>
            <w:r w:rsidRPr="00AC61C0">
              <w:rPr>
                <w:sz w:val="18"/>
                <w:szCs w:val="18"/>
              </w:rPr>
              <w:t>）</w:t>
            </w:r>
            <w:r w:rsidRPr="00AC61C0">
              <w:rPr>
                <w:sz w:val="18"/>
                <w:szCs w:val="18"/>
              </w:rPr>
              <w:t>”</w:t>
            </w:r>
            <w:r w:rsidRPr="00AC61C0">
              <w:rPr>
                <w:sz w:val="18"/>
                <w:szCs w:val="18"/>
              </w:rPr>
              <w:t>为内容填写项；</w:t>
            </w:r>
            <w:r w:rsidRPr="00AC61C0">
              <w:rPr>
                <w:sz w:val="18"/>
                <w:szCs w:val="18"/>
              </w:rPr>
              <w:t>“</w:t>
            </w:r>
            <w:r w:rsidRPr="00AC61C0">
              <w:rPr>
                <w:sz w:val="18"/>
                <w:szCs w:val="18"/>
              </w:rPr>
              <w:t>备注</w:t>
            </w:r>
            <w:r w:rsidRPr="00AC61C0">
              <w:rPr>
                <w:sz w:val="18"/>
                <w:szCs w:val="18"/>
              </w:rPr>
              <w:t>”</w:t>
            </w:r>
            <w:r w:rsidRPr="00AC61C0">
              <w:rPr>
                <w:sz w:val="18"/>
                <w:szCs w:val="18"/>
              </w:rPr>
              <w:t>为其他补充内容。</w:t>
            </w:r>
          </w:p>
        </w:tc>
      </w:tr>
    </w:tbl>
    <w:p w:rsidR="00C223F5" w:rsidRDefault="00C223F5">
      <w:pPr>
        <w:spacing w:line="360" w:lineRule="auto"/>
        <w:ind w:firstLine="480"/>
        <w:rPr>
          <w:sz w:val="24"/>
        </w:rPr>
      </w:pPr>
    </w:p>
    <w:p w:rsidR="00AC61C0" w:rsidRDefault="00AC61C0">
      <w:pPr>
        <w:spacing w:line="360" w:lineRule="auto"/>
        <w:ind w:firstLine="480"/>
        <w:rPr>
          <w:sz w:val="24"/>
        </w:rPr>
      </w:pPr>
    </w:p>
    <w:p w:rsidR="00AC61C0" w:rsidRDefault="00AC61C0">
      <w:pPr>
        <w:spacing w:line="360" w:lineRule="auto"/>
        <w:ind w:firstLine="480"/>
        <w:rPr>
          <w:sz w:val="24"/>
        </w:rPr>
      </w:pPr>
    </w:p>
    <w:p w:rsidR="00AC61C0" w:rsidRDefault="00AC61C0">
      <w:pPr>
        <w:spacing w:line="360" w:lineRule="auto"/>
        <w:ind w:firstLine="480"/>
        <w:rPr>
          <w:sz w:val="24"/>
        </w:rPr>
      </w:pPr>
    </w:p>
    <w:p w:rsidR="00AC61C0" w:rsidRDefault="00AC61C0">
      <w:pPr>
        <w:spacing w:line="360" w:lineRule="auto"/>
        <w:ind w:firstLine="480"/>
        <w:rPr>
          <w:sz w:val="24"/>
        </w:rPr>
      </w:pPr>
    </w:p>
    <w:p w:rsidR="00AC61C0" w:rsidRDefault="00AC61C0">
      <w:pPr>
        <w:spacing w:line="360" w:lineRule="auto"/>
        <w:ind w:firstLine="480"/>
        <w:rPr>
          <w:sz w:val="24"/>
        </w:rPr>
      </w:pPr>
    </w:p>
    <w:p w:rsidR="00AC61C0" w:rsidRDefault="00AC61C0">
      <w:pPr>
        <w:spacing w:line="360" w:lineRule="auto"/>
        <w:ind w:firstLine="480"/>
        <w:rPr>
          <w:sz w:val="24"/>
        </w:rPr>
      </w:pPr>
    </w:p>
    <w:p w:rsidR="00C223F5" w:rsidRDefault="005860D5">
      <w:pPr>
        <w:jc w:val="center"/>
        <w:rPr>
          <w:b/>
          <w:sz w:val="24"/>
        </w:rPr>
      </w:pPr>
      <w:r>
        <w:rPr>
          <w:rFonts w:hint="eastAsia"/>
          <w:b/>
          <w:sz w:val="24"/>
        </w:rPr>
        <w:lastRenderedPageBreak/>
        <w:t>表</w:t>
      </w:r>
      <w:r>
        <w:rPr>
          <w:b/>
          <w:sz w:val="24"/>
        </w:rPr>
        <w:t>4.2.4-</w:t>
      </w:r>
      <w:r>
        <w:rPr>
          <w:rFonts w:hint="eastAsia"/>
          <w:b/>
          <w:sz w:val="24"/>
        </w:rPr>
        <w:t>2</w:t>
      </w:r>
      <w:r>
        <w:rPr>
          <w:rFonts w:hint="eastAsia"/>
          <w:b/>
          <w:sz w:val="24"/>
        </w:rPr>
        <w:t>项目面源</w:t>
      </w:r>
      <w:r>
        <w:rPr>
          <w:b/>
          <w:sz w:val="24"/>
        </w:rPr>
        <w:t>参数表</w:t>
      </w:r>
    </w:p>
    <w:tbl>
      <w:tblPr>
        <w:tblW w:w="8465"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11" w:type="dxa"/>
          <w:right w:w="11" w:type="dxa"/>
        </w:tblCellMar>
        <w:tblLook w:val="04A0" w:firstRow="1" w:lastRow="0" w:firstColumn="1" w:lastColumn="0" w:noHBand="0" w:noVBand="1"/>
      </w:tblPr>
      <w:tblGrid>
        <w:gridCol w:w="936"/>
        <w:gridCol w:w="601"/>
        <w:gridCol w:w="519"/>
        <w:gridCol w:w="716"/>
        <w:gridCol w:w="659"/>
        <w:gridCol w:w="692"/>
        <w:gridCol w:w="843"/>
        <w:gridCol w:w="723"/>
        <w:gridCol w:w="807"/>
        <w:gridCol w:w="732"/>
        <w:gridCol w:w="1237"/>
      </w:tblGrid>
      <w:tr w:rsidR="00C223F5">
        <w:trPr>
          <w:trHeight w:val="535"/>
          <w:jc w:val="center"/>
        </w:trPr>
        <w:tc>
          <w:tcPr>
            <w:tcW w:w="936" w:type="dxa"/>
            <w:vMerge w:val="restart"/>
            <w:shd w:val="clear" w:color="000000" w:fill="FFFFFF"/>
            <w:vAlign w:val="center"/>
          </w:tcPr>
          <w:p w:rsidR="00C223F5" w:rsidRDefault="005860D5">
            <w:pPr>
              <w:widowControl/>
              <w:jc w:val="center"/>
              <w:rPr>
                <w:kern w:val="0"/>
                <w:szCs w:val="21"/>
              </w:rPr>
            </w:pPr>
            <w:r>
              <w:rPr>
                <w:kern w:val="0"/>
                <w:szCs w:val="21"/>
              </w:rPr>
              <w:t>名称</w:t>
            </w:r>
          </w:p>
        </w:tc>
        <w:tc>
          <w:tcPr>
            <w:tcW w:w="1120" w:type="dxa"/>
            <w:gridSpan w:val="2"/>
            <w:shd w:val="clear" w:color="000000" w:fill="FFFFFF"/>
            <w:vAlign w:val="center"/>
          </w:tcPr>
          <w:p w:rsidR="00C223F5" w:rsidRDefault="005860D5">
            <w:pPr>
              <w:widowControl/>
              <w:jc w:val="center"/>
              <w:rPr>
                <w:kern w:val="0"/>
                <w:szCs w:val="21"/>
              </w:rPr>
            </w:pPr>
            <w:r>
              <w:rPr>
                <w:kern w:val="0"/>
                <w:szCs w:val="21"/>
              </w:rPr>
              <w:t>面源</w:t>
            </w:r>
            <w:r>
              <w:rPr>
                <w:rFonts w:hint="eastAsia"/>
                <w:kern w:val="0"/>
                <w:szCs w:val="21"/>
              </w:rPr>
              <w:t>起点</w:t>
            </w:r>
          </w:p>
          <w:p w:rsidR="00C223F5" w:rsidRDefault="005860D5">
            <w:pPr>
              <w:widowControl/>
              <w:jc w:val="center"/>
              <w:rPr>
                <w:kern w:val="0"/>
                <w:szCs w:val="21"/>
              </w:rPr>
            </w:pPr>
            <w:r>
              <w:rPr>
                <w:kern w:val="0"/>
                <w:szCs w:val="21"/>
              </w:rPr>
              <w:t>坐标</w:t>
            </w:r>
            <w:r>
              <w:rPr>
                <w:kern w:val="0"/>
                <w:szCs w:val="21"/>
              </w:rPr>
              <w:t>/m</w:t>
            </w:r>
          </w:p>
        </w:tc>
        <w:tc>
          <w:tcPr>
            <w:tcW w:w="716" w:type="dxa"/>
            <w:vMerge w:val="restart"/>
            <w:shd w:val="clear" w:color="000000" w:fill="FFFFFF"/>
            <w:vAlign w:val="center"/>
          </w:tcPr>
          <w:p w:rsidR="00C223F5" w:rsidRDefault="005860D5">
            <w:pPr>
              <w:widowControl/>
              <w:jc w:val="center"/>
              <w:rPr>
                <w:kern w:val="0"/>
                <w:szCs w:val="21"/>
              </w:rPr>
            </w:pPr>
            <w:r>
              <w:rPr>
                <w:rFonts w:hint="eastAsia"/>
                <w:kern w:val="0"/>
                <w:szCs w:val="21"/>
              </w:rPr>
              <w:t>面源</w:t>
            </w:r>
          </w:p>
          <w:p w:rsidR="00C223F5" w:rsidRDefault="005860D5">
            <w:pPr>
              <w:widowControl/>
              <w:jc w:val="center"/>
              <w:rPr>
                <w:kern w:val="0"/>
                <w:szCs w:val="21"/>
              </w:rPr>
            </w:pPr>
            <w:r>
              <w:rPr>
                <w:rFonts w:hint="eastAsia"/>
                <w:kern w:val="0"/>
                <w:szCs w:val="21"/>
              </w:rPr>
              <w:t>海拔</w:t>
            </w:r>
          </w:p>
          <w:p w:rsidR="00C223F5" w:rsidRDefault="005860D5">
            <w:pPr>
              <w:widowControl/>
              <w:jc w:val="center"/>
              <w:rPr>
                <w:kern w:val="0"/>
                <w:szCs w:val="21"/>
              </w:rPr>
            </w:pPr>
            <w:r>
              <w:rPr>
                <w:rFonts w:hint="eastAsia"/>
                <w:kern w:val="0"/>
                <w:szCs w:val="21"/>
              </w:rPr>
              <w:t>高度</w:t>
            </w:r>
            <w:r>
              <w:rPr>
                <w:kern w:val="0"/>
                <w:szCs w:val="21"/>
              </w:rPr>
              <w:t>/m</w:t>
            </w:r>
          </w:p>
        </w:tc>
        <w:tc>
          <w:tcPr>
            <w:tcW w:w="659" w:type="dxa"/>
            <w:vMerge w:val="restart"/>
            <w:shd w:val="clear" w:color="000000" w:fill="FFFFFF"/>
            <w:vAlign w:val="center"/>
          </w:tcPr>
          <w:p w:rsidR="00C223F5" w:rsidRDefault="005860D5">
            <w:pPr>
              <w:widowControl/>
              <w:jc w:val="center"/>
              <w:rPr>
                <w:kern w:val="0"/>
                <w:szCs w:val="21"/>
              </w:rPr>
            </w:pPr>
            <w:r>
              <w:rPr>
                <w:kern w:val="0"/>
                <w:szCs w:val="21"/>
              </w:rPr>
              <w:t>面源</w:t>
            </w:r>
          </w:p>
          <w:p w:rsidR="00C223F5" w:rsidRDefault="005860D5">
            <w:pPr>
              <w:widowControl/>
              <w:jc w:val="center"/>
              <w:rPr>
                <w:kern w:val="0"/>
                <w:szCs w:val="21"/>
              </w:rPr>
            </w:pPr>
            <w:r>
              <w:rPr>
                <w:rFonts w:hint="eastAsia"/>
                <w:kern w:val="0"/>
                <w:szCs w:val="21"/>
              </w:rPr>
              <w:t>长</w:t>
            </w:r>
            <w:r>
              <w:rPr>
                <w:kern w:val="0"/>
                <w:szCs w:val="21"/>
              </w:rPr>
              <w:t>度</w:t>
            </w:r>
            <w:r>
              <w:rPr>
                <w:kern w:val="0"/>
                <w:szCs w:val="21"/>
              </w:rPr>
              <w:t>/m</w:t>
            </w:r>
          </w:p>
        </w:tc>
        <w:tc>
          <w:tcPr>
            <w:tcW w:w="692" w:type="dxa"/>
            <w:vMerge w:val="restart"/>
            <w:shd w:val="clear" w:color="000000" w:fill="FFFFFF"/>
            <w:vAlign w:val="center"/>
          </w:tcPr>
          <w:p w:rsidR="00C223F5" w:rsidRDefault="005860D5">
            <w:pPr>
              <w:widowControl/>
              <w:jc w:val="center"/>
              <w:rPr>
                <w:kern w:val="0"/>
                <w:szCs w:val="21"/>
              </w:rPr>
            </w:pPr>
            <w:r>
              <w:rPr>
                <w:rFonts w:hint="eastAsia"/>
                <w:kern w:val="0"/>
                <w:szCs w:val="21"/>
              </w:rPr>
              <w:t>面源</w:t>
            </w:r>
          </w:p>
          <w:p w:rsidR="00C223F5" w:rsidRDefault="005860D5">
            <w:pPr>
              <w:widowControl/>
              <w:jc w:val="center"/>
              <w:rPr>
                <w:kern w:val="0"/>
                <w:szCs w:val="21"/>
              </w:rPr>
            </w:pPr>
            <w:r>
              <w:rPr>
                <w:rFonts w:hint="eastAsia"/>
                <w:kern w:val="0"/>
                <w:szCs w:val="21"/>
              </w:rPr>
              <w:t>宽</w:t>
            </w:r>
            <w:r>
              <w:rPr>
                <w:kern w:val="0"/>
                <w:szCs w:val="21"/>
              </w:rPr>
              <w:t>度</w:t>
            </w:r>
          </w:p>
          <w:p w:rsidR="00C223F5" w:rsidRDefault="005860D5">
            <w:pPr>
              <w:widowControl/>
              <w:jc w:val="center"/>
              <w:rPr>
                <w:kern w:val="0"/>
                <w:szCs w:val="21"/>
              </w:rPr>
            </w:pPr>
            <w:r>
              <w:rPr>
                <w:kern w:val="0"/>
                <w:szCs w:val="21"/>
              </w:rPr>
              <w:t>/m</w:t>
            </w:r>
          </w:p>
        </w:tc>
        <w:tc>
          <w:tcPr>
            <w:tcW w:w="843" w:type="dxa"/>
            <w:vMerge w:val="restart"/>
            <w:shd w:val="clear" w:color="000000" w:fill="FFFFFF"/>
            <w:vAlign w:val="center"/>
          </w:tcPr>
          <w:p w:rsidR="00C223F5" w:rsidRDefault="005860D5">
            <w:pPr>
              <w:widowControl/>
              <w:jc w:val="center"/>
              <w:rPr>
                <w:kern w:val="0"/>
                <w:szCs w:val="21"/>
              </w:rPr>
            </w:pPr>
            <w:r>
              <w:rPr>
                <w:rFonts w:hint="eastAsia"/>
                <w:kern w:val="0"/>
                <w:szCs w:val="21"/>
              </w:rPr>
              <w:t>与正北向夹角</w:t>
            </w:r>
            <w:r>
              <w:rPr>
                <w:rFonts w:hint="eastAsia"/>
                <w:kern w:val="0"/>
                <w:szCs w:val="21"/>
              </w:rPr>
              <w:t>/</w:t>
            </w:r>
            <w:r>
              <w:rPr>
                <w:rFonts w:hint="eastAsia"/>
                <w:kern w:val="0"/>
                <w:szCs w:val="21"/>
              </w:rPr>
              <w:t>°</w:t>
            </w:r>
          </w:p>
        </w:tc>
        <w:tc>
          <w:tcPr>
            <w:tcW w:w="723" w:type="dxa"/>
            <w:vMerge w:val="restart"/>
            <w:shd w:val="clear" w:color="000000" w:fill="FFFFFF"/>
            <w:vAlign w:val="center"/>
          </w:tcPr>
          <w:p w:rsidR="00C223F5" w:rsidRDefault="005860D5">
            <w:pPr>
              <w:widowControl/>
              <w:jc w:val="center"/>
              <w:rPr>
                <w:kern w:val="0"/>
                <w:szCs w:val="21"/>
              </w:rPr>
            </w:pPr>
            <w:r>
              <w:rPr>
                <w:rFonts w:hint="eastAsia"/>
                <w:kern w:val="0"/>
                <w:szCs w:val="21"/>
              </w:rPr>
              <w:t>面源有效排放高度</w:t>
            </w:r>
            <w:r>
              <w:rPr>
                <w:rFonts w:hint="eastAsia"/>
                <w:kern w:val="0"/>
                <w:szCs w:val="21"/>
              </w:rPr>
              <w:t>/m</w:t>
            </w:r>
          </w:p>
        </w:tc>
        <w:tc>
          <w:tcPr>
            <w:tcW w:w="807" w:type="dxa"/>
            <w:vMerge w:val="restart"/>
            <w:shd w:val="clear" w:color="000000" w:fill="FFFFFF"/>
            <w:vAlign w:val="center"/>
          </w:tcPr>
          <w:p w:rsidR="00C223F5" w:rsidRDefault="005860D5">
            <w:pPr>
              <w:widowControl/>
              <w:jc w:val="center"/>
              <w:rPr>
                <w:kern w:val="0"/>
                <w:szCs w:val="21"/>
              </w:rPr>
            </w:pPr>
            <w:r>
              <w:rPr>
                <w:kern w:val="0"/>
                <w:szCs w:val="21"/>
              </w:rPr>
              <w:t>年排放小时数</w:t>
            </w:r>
            <w:r>
              <w:rPr>
                <w:kern w:val="0"/>
                <w:szCs w:val="21"/>
              </w:rPr>
              <w:t>/h</w:t>
            </w:r>
          </w:p>
        </w:tc>
        <w:tc>
          <w:tcPr>
            <w:tcW w:w="732" w:type="dxa"/>
            <w:vMerge w:val="restart"/>
            <w:shd w:val="clear" w:color="000000" w:fill="FFFFFF"/>
            <w:vAlign w:val="center"/>
          </w:tcPr>
          <w:p w:rsidR="00C223F5" w:rsidRDefault="005860D5">
            <w:pPr>
              <w:widowControl/>
              <w:jc w:val="center"/>
              <w:rPr>
                <w:kern w:val="0"/>
                <w:szCs w:val="21"/>
              </w:rPr>
            </w:pPr>
            <w:r>
              <w:rPr>
                <w:kern w:val="0"/>
                <w:szCs w:val="21"/>
              </w:rPr>
              <w:t>排放</w:t>
            </w:r>
          </w:p>
          <w:p w:rsidR="00C223F5" w:rsidRDefault="005860D5">
            <w:pPr>
              <w:widowControl/>
              <w:jc w:val="center"/>
              <w:rPr>
                <w:kern w:val="0"/>
                <w:szCs w:val="21"/>
              </w:rPr>
            </w:pPr>
            <w:r>
              <w:rPr>
                <w:kern w:val="0"/>
                <w:szCs w:val="21"/>
              </w:rPr>
              <w:t>工况</w:t>
            </w:r>
          </w:p>
        </w:tc>
        <w:tc>
          <w:tcPr>
            <w:tcW w:w="1237" w:type="dxa"/>
            <w:shd w:val="clear" w:color="000000" w:fill="FFFFFF"/>
            <w:vAlign w:val="center"/>
          </w:tcPr>
          <w:p w:rsidR="00C223F5" w:rsidRDefault="005860D5">
            <w:pPr>
              <w:widowControl/>
              <w:jc w:val="center"/>
              <w:rPr>
                <w:kern w:val="0"/>
                <w:szCs w:val="21"/>
              </w:rPr>
            </w:pPr>
            <w:r>
              <w:rPr>
                <w:kern w:val="0"/>
                <w:szCs w:val="21"/>
              </w:rPr>
              <w:t>污染物排放</w:t>
            </w:r>
          </w:p>
          <w:p w:rsidR="00C223F5" w:rsidRDefault="005860D5">
            <w:pPr>
              <w:widowControl/>
              <w:jc w:val="center"/>
              <w:rPr>
                <w:kern w:val="0"/>
                <w:szCs w:val="21"/>
              </w:rPr>
            </w:pPr>
            <w:r>
              <w:rPr>
                <w:kern w:val="0"/>
                <w:szCs w:val="21"/>
              </w:rPr>
              <w:t>速率</w:t>
            </w:r>
            <w:r>
              <w:rPr>
                <w:kern w:val="0"/>
                <w:szCs w:val="21"/>
              </w:rPr>
              <w:t>/(t/a)</w:t>
            </w:r>
          </w:p>
        </w:tc>
      </w:tr>
      <w:tr w:rsidR="00C223F5">
        <w:trPr>
          <w:trHeight w:val="245"/>
          <w:jc w:val="center"/>
        </w:trPr>
        <w:tc>
          <w:tcPr>
            <w:tcW w:w="936" w:type="dxa"/>
            <w:vMerge/>
            <w:vAlign w:val="center"/>
          </w:tcPr>
          <w:p w:rsidR="00C223F5" w:rsidRDefault="00C223F5">
            <w:pPr>
              <w:widowControl/>
              <w:jc w:val="center"/>
              <w:rPr>
                <w:kern w:val="0"/>
                <w:szCs w:val="21"/>
              </w:rPr>
            </w:pPr>
          </w:p>
        </w:tc>
        <w:tc>
          <w:tcPr>
            <w:tcW w:w="601" w:type="dxa"/>
            <w:shd w:val="clear" w:color="000000" w:fill="FFFFFF"/>
            <w:vAlign w:val="center"/>
          </w:tcPr>
          <w:p w:rsidR="00C223F5" w:rsidRDefault="005860D5">
            <w:pPr>
              <w:widowControl/>
              <w:jc w:val="center"/>
              <w:rPr>
                <w:i/>
                <w:iCs/>
                <w:kern w:val="0"/>
                <w:szCs w:val="21"/>
              </w:rPr>
            </w:pPr>
            <w:r>
              <w:rPr>
                <w:i/>
                <w:iCs/>
                <w:kern w:val="0"/>
                <w:szCs w:val="21"/>
              </w:rPr>
              <w:t>X</w:t>
            </w:r>
          </w:p>
        </w:tc>
        <w:tc>
          <w:tcPr>
            <w:tcW w:w="519" w:type="dxa"/>
            <w:shd w:val="clear" w:color="000000" w:fill="FFFFFF"/>
            <w:vAlign w:val="center"/>
          </w:tcPr>
          <w:p w:rsidR="00C223F5" w:rsidRDefault="005860D5">
            <w:pPr>
              <w:widowControl/>
              <w:jc w:val="center"/>
              <w:rPr>
                <w:i/>
                <w:iCs/>
                <w:kern w:val="0"/>
                <w:szCs w:val="21"/>
              </w:rPr>
            </w:pPr>
            <w:r>
              <w:rPr>
                <w:i/>
                <w:iCs/>
                <w:kern w:val="0"/>
                <w:szCs w:val="21"/>
              </w:rPr>
              <w:t>Y</w:t>
            </w:r>
          </w:p>
        </w:tc>
        <w:tc>
          <w:tcPr>
            <w:tcW w:w="716" w:type="dxa"/>
            <w:vMerge/>
            <w:vAlign w:val="center"/>
          </w:tcPr>
          <w:p w:rsidR="00C223F5" w:rsidRDefault="00C223F5">
            <w:pPr>
              <w:widowControl/>
              <w:jc w:val="center"/>
              <w:rPr>
                <w:kern w:val="0"/>
                <w:szCs w:val="21"/>
              </w:rPr>
            </w:pPr>
          </w:p>
        </w:tc>
        <w:tc>
          <w:tcPr>
            <w:tcW w:w="659" w:type="dxa"/>
            <w:vMerge/>
            <w:vAlign w:val="center"/>
          </w:tcPr>
          <w:p w:rsidR="00C223F5" w:rsidRDefault="00C223F5">
            <w:pPr>
              <w:widowControl/>
              <w:jc w:val="center"/>
              <w:rPr>
                <w:kern w:val="0"/>
                <w:szCs w:val="21"/>
              </w:rPr>
            </w:pPr>
          </w:p>
        </w:tc>
        <w:tc>
          <w:tcPr>
            <w:tcW w:w="692" w:type="dxa"/>
            <w:vMerge/>
            <w:vAlign w:val="center"/>
          </w:tcPr>
          <w:p w:rsidR="00C223F5" w:rsidRDefault="00C223F5">
            <w:pPr>
              <w:widowControl/>
              <w:jc w:val="center"/>
              <w:rPr>
                <w:kern w:val="0"/>
                <w:szCs w:val="21"/>
              </w:rPr>
            </w:pPr>
          </w:p>
        </w:tc>
        <w:tc>
          <w:tcPr>
            <w:tcW w:w="843" w:type="dxa"/>
            <w:vMerge/>
            <w:vAlign w:val="center"/>
          </w:tcPr>
          <w:p w:rsidR="00C223F5" w:rsidRDefault="00C223F5">
            <w:pPr>
              <w:widowControl/>
              <w:jc w:val="center"/>
              <w:rPr>
                <w:kern w:val="0"/>
                <w:szCs w:val="21"/>
              </w:rPr>
            </w:pPr>
          </w:p>
        </w:tc>
        <w:tc>
          <w:tcPr>
            <w:tcW w:w="723" w:type="dxa"/>
            <w:vMerge/>
            <w:vAlign w:val="center"/>
          </w:tcPr>
          <w:p w:rsidR="00C223F5" w:rsidRDefault="00C223F5">
            <w:pPr>
              <w:widowControl/>
              <w:jc w:val="center"/>
              <w:rPr>
                <w:kern w:val="0"/>
                <w:szCs w:val="21"/>
              </w:rPr>
            </w:pPr>
          </w:p>
        </w:tc>
        <w:tc>
          <w:tcPr>
            <w:tcW w:w="807" w:type="dxa"/>
            <w:vMerge/>
            <w:vAlign w:val="center"/>
          </w:tcPr>
          <w:p w:rsidR="00C223F5" w:rsidRDefault="00C223F5">
            <w:pPr>
              <w:widowControl/>
              <w:jc w:val="center"/>
              <w:rPr>
                <w:kern w:val="0"/>
                <w:szCs w:val="21"/>
              </w:rPr>
            </w:pPr>
          </w:p>
        </w:tc>
        <w:tc>
          <w:tcPr>
            <w:tcW w:w="732" w:type="dxa"/>
            <w:vMerge/>
            <w:vAlign w:val="center"/>
          </w:tcPr>
          <w:p w:rsidR="00C223F5" w:rsidRDefault="00C223F5">
            <w:pPr>
              <w:widowControl/>
              <w:jc w:val="center"/>
              <w:rPr>
                <w:kern w:val="0"/>
                <w:szCs w:val="21"/>
              </w:rPr>
            </w:pPr>
          </w:p>
        </w:tc>
        <w:tc>
          <w:tcPr>
            <w:tcW w:w="1237" w:type="dxa"/>
            <w:shd w:val="clear" w:color="000000" w:fill="FFFFFF"/>
            <w:vAlign w:val="center"/>
          </w:tcPr>
          <w:p w:rsidR="00C223F5" w:rsidRDefault="005860D5">
            <w:pPr>
              <w:widowControl/>
              <w:jc w:val="center"/>
              <w:rPr>
                <w:kern w:val="0"/>
                <w:szCs w:val="21"/>
              </w:rPr>
            </w:pPr>
            <w:r>
              <w:rPr>
                <w:kern w:val="0"/>
                <w:szCs w:val="21"/>
              </w:rPr>
              <w:t>TSP</w:t>
            </w:r>
          </w:p>
        </w:tc>
      </w:tr>
      <w:tr w:rsidR="00C223F5">
        <w:trPr>
          <w:trHeight w:val="245"/>
          <w:jc w:val="center"/>
        </w:trPr>
        <w:tc>
          <w:tcPr>
            <w:tcW w:w="936" w:type="dxa"/>
            <w:vAlign w:val="center"/>
          </w:tcPr>
          <w:p w:rsidR="00C223F5" w:rsidRDefault="005860D5">
            <w:pPr>
              <w:widowControl/>
              <w:jc w:val="center"/>
              <w:rPr>
                <w:color w:val="000000"/>
                <w:szCs w:val="21"/>
              </w:rPr>
            </w:pPr>
            <w:r>
              <w:rPr>
                <w:rFonts w:hint="eastAsia"/>
                <w:color w:val="000000"/>
                <w:szCs w:val="21"/>
              </w:rPr>
              <w:t>主厂房</w:t>
            </w:r>
          </w:p>
          <w:p w:rsidR="00C223F5" w:rsidRDefault="005860D5">
            <w:pPr>
              <w:widowControl/>
              <w:jc w:val="center"/>
              <w:rPr>
                <w:kern w:val="0"/>
                <w:szCs w:val="21"/>
              </w:rPr>
            </w:pPr>
            <w:r>
              <w:rPr>
                <w:rFonts w:hint="eastAsia"/>
                <w:color w:val="000000"/>
                <w:szCs w:val="21"/>
              </w:rPr>
              <w:t>筛分</w:t>
            </w:r>
            <w:r>
              <w:rPr>
                <w:color w:val="000000"/>
                <w:szCs w:val="21"/>
              </w:rPr>
              <w:t>车间</w:t>
            </w:r>
          </w:p>
        </w:tc>
        <w:tc>
          <w:tcPr>
            <w:tcW w:w="601" w:type="dxa"/>
            <w:shd w:val="clear" w:color="000000" w:fill="FFFFFF"/>
            <w:vAlign w:val="center"/>
          </w:tcPr>
          <w:p w:rsidR="00C223F5" w:rsidRDefault="005860D5">
            <w:pPr>
              <w:widowControl/>
              <w:jc w:val="center"/>
              <w:rPr>
                <w:iCs/>
                <w:kern w:val="0"/>
                <w:szCs w:val="21"/>
              </w:rPr>
            </w:pPr>
            <w:r>
              <w:rPr>
                <w:rFonts w:hint="eastAsia"/>
                <w:iCs/>
                <w:kern w:val="0"/>
                <w:szCs w:val="21"/>
              </w:rPr>
              <w:t>0</w:t>
            </w:r>
          </w:p>
        </w:tc>
        <w:tc>
          <w:tcPr>
            <w:tcW w:w="519" w:type="dxa"/>
            <w:shd w:val="clear" w:color="000000" w:fill="FFFFFF"/>
            <w:vAlign w:val="center"/>
          </w:tcPr>
          <w:p w:rsidR="00C223F5" w:rsidRDefault="005860D5">
            <w:pPr>
              <w:widowControl/>
              <w:jc w:val="center"/>
              <w:rPr>
                <w:iCs/>
                <w:kern w:val="0"/>
                <w:szCs w:val="21"/>
              </w:rPr>
            </w:pPr>
            <w:r>
              <w:rPr>
                <w:rFonts w:hint="eastAsia"/>
                <w:iCs/>
                <w:kern w:val="0"/>
                <w:szCs w:val="21"/>
              </w:rPr>
              <w:t>0</w:t>
            </w:r>
          </w:p>
        </w:tc>
        <w:tc>
          <w:tcPr>
            <w:tcW w:w="716" w:type="dxa"/>
            <w:vAlign w:val="center"/>
          </w:tcPr>
          <w:p w:rsidR="00C223F5" w:rsidRDefault="005860D5">
            <w:pPr>
              <w:widowControl/>
              <w:jc w:val="center"/>
              <w:rPr>
                <w:kern w:val="0"/>
                <w:szCs w:val="21"/>
              </w:rPr>
            </w:pPr>
            <w:r>
              <w:rPr>
                <w:rFonts w:hint="eastAsia"/>
                <w:kern w:val="0"/>
                <w:szCs w:val="21"/>
              </w:rPr>
              <w:t>1063.8</w:t>
            </w:r>
          </w:p>
        </w:tc>
        <w:tc>
          <w:tcPr>
            <w:tcW w:w="659" w:type="dxa"/>
            <w:vAlign w:val="center"/>
          </w:tcPr>
          <w:p w:rsidR="00C223F5" w:rsidRDefault="005860D5">
            <w:pPr>
              <w:widowControl/>
              <w:jc w:val="center"/>
              <w:rPr>
                <w:kern w:val="0"/>
                <w:szCs w:val="21"/>
              </w:rPr>
            </w:pPr>
            <w:r>
              <w:rPr>
                <w:rFonts w:hint="eastAsia"/>
                <w:kern w:val="0"/>
                <w:szCs w:val="21"/>
              </w:rPr>
              <w:t>45</w:t>
            </w:r>
          </w:p>
        </w:tc>
        <w:tc>
          <w:tcPr>
            <w:tcW w:w="692" w:type="dxa"/>
            <w:vAlign w:val="center"/>
          </w:tcPr>
          <w:p w:rsidR="00C223F5" w:rsidRDefault="005860D5">
            <w:pPr>
              <w:widowControl/>
              <w:jc w:val="center"/>
              <w:rPr>
                <w:kern w:val="0"/>
                <w:szCs w:val="21"/>
              </w:rPr>
            </w:pPr>
            <w:r>
              <w:rPr>
                <w:rFonts w:hint="eastAsia"/>
                <w:kern w:val="0"/>
                <w:szCs w:val="21"/>
              </w:rPr>
              <w:t>32</w:t>
            </w:r>
          </w:p>
        </w:tc>
        <w:tc>
          <w:tcPr>
            <w:tcW w:w="843" w:type="dxa"/>
            <w:vAlign w:val="center"/>
          </w:tcPr>
          <w:p w:rsidR="00C223F5" w:rsidRDefault="005860D5">
            <w:pPr>
              <w:widowControl/>
              <w:jc w:val="center"/>
              <w:rPr>
                <w:kern w:val="0"/>
                <w:szCs w:val="21"/>
              </w:rPr>
            </w:pPr>
            <w:r>
              <w:rPr>
                <w:rFonts w:hint="eastAsia"/>
                <w:kern w:val="0"/>
                <w:szCs w:val="21"/>
              </w:rPr>
              <w:t>0</w:t>
            </w:r>
          </w:p>
        </w:tc>
        <w:tc>
          <w:tcPr>
            <w:tcW w:w="723" w:type="dxa"/>
            <w:vAlign w:val="center"/>
          </w:tcPr>
          <w:p w:rsidR="00C223F5" w:rsidRDefault="005860D5">
            <w:pPr>
              <w:widowControl/>
              <w:jc w:val="center"/>
              <w:rPr>
                <w:kern w:val="0"/>
                <w:szCs w:val="21"/>
              </w:rPr>
            </w:pPr>
            <w:r>
              <w:rPr>
                <w:rFonts w:hint="eastAsia"/>
                <w:kern w:val="0"/>
                <w:szCs w:val="21"/>
              </w:rPr>
              <w:t>17</w:t>
            </w:r>
          </w:p>
        </w:tc>
        <w:tc>
          <w:tcPr>
            <w:tcW w:w="807" w:type="dxa"/>
            <w:vAlign w:val="center"/>
          </w:tcPr>
          <w:p w:rsidR="00C223F5" w:rsidRDefault="005860D5">
            <w:pPr>
              <w:widowControl/>
              <w:jc w:val="center"/>
              <w:rPr>
                <w:kern w:val="0"/>
                <w:szCs w:val="21"/>
              </w:rPr>
            </w:pPr>
            <w:r>
              <w:rPr>
                <w:kern w:val="0"/>
                <w:szCs w:val="21"/>
              </w:rPr>
              <w:t>5280</w:t>
            </w:r>
          </w:p>
        </w:tc>
        <w:tc>
          <w:tcPr>
            <w:tcW w:w="732" w:type="dxa"/>
            <w:vAlign w:val="center"/>
          </w:tcPr>
          <w:p w:rsidR="00C223F5" w:rsidRDefault="005860D5">
            <w:pPr>
              <w:widowControl/>
              <w:jc w:val="center"/>
              <w:rPr>
                <w:kern w:val="0"/>
                <w:szCs w:val="21"/>
              </w:rPr>
            </w:pPr>
            <w:r>
              <w:rPr>
                <w:kern w:val="0"/>
                <w:szCs w:val="21"/>
              </w:rPr>
              <w:t>正常</w:t>
            </w:r>
          </w:p>
        </w:tc>
        <w:tc>
          <w:tcPr>
            <w:tcW w:w="1237" w:type="dxa"/>
            <w:shd w:val="clear" w:color="000000" w:fill="FFFFFF"/>
            <w:vAlign w:val="center"/>
          </w:tcPr>
          <w:p w:rsidR="00C223F5" w:rsidRDefault="005860D5">
            <w:pPr>
              <w:widowControl/>
              <w:jc w:val="center"/>
              <w:rPr>
                <w:kern w:val="0"/>
                <w:szCs w:val="21"/>
              </w:rPr>
            </w:pPr>
            <w:r>
              <w:rPr>
                <w:rFonts w:hint="eastAsia"/>
                <w:kern w:val="0"/>
                <w:szCs w:val="21"/>
              </w:rPr>
              <w:t>0.063</w:t>
            </w:r>
          </w:p>
        </w:tc>
      </w:tr>
    </w:tbl>
    <w:p w:rsidR="00C223F5" w:rsidRDefault="005860D5" w:rsidP="004835BD">
      <w:pPr>
        <w:widowControl/>
        <w:spacing w:afterLines="50" w:after="120"/>
        <w:rPr>
          <w:color w:val="000000"/>
        </w:rPr>
      </w:pPr>
      <w:r>
        <w:rPr>
          <w:rFonts w:hint="eastAsia"/>
          <w:color w:val="000000"/>
        </w:rPr>
        <w:t>备注</w:t>
      </w:r>
      <w:r>
        <w:rPr>
          <w:color w:val="000000"/>
        </w:rPr>
        <w:t>：</w:t>
      </w:r>
      <w:r>
        <w:rPr>
          <w:rFonts w:hint="eastAsia"/>
          <w:color w:val="000000"/>
        </w:rPr>
        <w:t>筛分车间</w:t>
      </w:r>
      <w:r>
        <w:rPr>
          <w:color w:val="000000"/>
        </w:rPr>
        <w:t>源强按最大负荷计算；</w:t>
      </w:r>
      <w:r>
        <w:rPr>
          <w:rFonts w:hint="eastAsia"/>
          <w:color w:val="000000"/>
        </w:rPr>
        <w:t>设定</w:t>
      </w:r>
      <w:r>
        <w:rPr>
          <w:rFonts w:hint="eastAsia"/>
          <w:color w:val="000000"/>
          <w:szCs w:val="21"/>
        </w:rPr>
        <w:t>主厂房左下角</w:t>
      </w:r>
      <w:r>
        <w:rPr>
          <w:color w:val="000000"/>
        </w:rPr>
        <w:t>为</w:t>
      </w:r>
      <w:r>
        <w:rPr>
          <w:rFonts w:hint="eastAsia"/>
          <w:color w:val="000000"/>
        </w:rPr>
        <w:t>（</w:t>
      </w:r>
      <w:r>
        <w:rPr>
          <w:color w:val="000000"/>
        </w:rPr>
        <w:t>0</w:t>
      </w:r>
      <w:r>
        <w:rPr>
          <w:color w:val="000000"/>
        </w:rPr>
        <w:t>，</w:t>
      </w:r>
      <w:r>
        <w:rPr>
          <w:color w:val="000000"/>
        </w:rPr>
        <w:t>0</w:t>
      </w:r>
      <w:r>
        <w:rPr>
          <w:color w:val="000000"/>
        </w:rPr>
        <w:t>）点</w:t>
      </w:r>
      <w:r>
        <w:rPr>
          <w:rFonts w:hint="eastAsia"/>
          <w:color w:val="000000"/>
        </w:rPr>
        <w:t>，对应经纬度坐标为（东经</w:t>
      </w:r>
      <w:r>
        <w:rPr>
          <w:rFonts w:hint="eastAsia"/>
          <w:color w:val="000000"/>
        </w:rPr>
        <w:t>109.46148</w:t>
      </w:r>
      <w:r>
        <w:rPr>
          <w:rFonts w:hint="eastAsia"/>
          <w:color w:val="000000"/>
        </w:rPr>
        <w:t>，北纬</w:t>
      </w:r>
      <w:r>
        <w:rPr>
          <w:rFonts w:hint="eastAsia"/>
          <w:color w:val="000000"/>
        </w:rPr>
        <w:t>37.56039</w:t>
      </w:r>
      <w:r>
        <w:rPr>
          <w:rFonts w:hint="eastAsia"/>
          <w:color w:val="000000"/>
        </w:rPr>
        <w:t>）。</w:t>
      </w:r>
    </w:p>
    <w:p w:rsidR="00C223F5" w:rsidRDefault="005860D5">
      <w:pPr>
        <w:jc w:val="center"/>
        <w:rPr>
          <w:b/>
          <w:sz w:val="24"/>
        </w:rPr>
      </w:pPr>
      <w:r>
        <w:rPr>
          <w:rFonts w:hint="eastAsia"/>
          <w:b/>
          <w:sz w:val="24"/>
        </w:rPr>
        <w:t>表</w:t>
      </w:r>
      <w:r>
        <w:rPr>
          <w:b/>
          <w:sz w:val="24"/>
        </w:rPr>
        <w:t>4.2.4-</w:t>
      </w:r>
      <w:r>
        <w:rPr>
          <w:rFonts w:hint="eastAsia"/>
          <w:b/>
          <w:sz w:val="24"/>
        </w:rPr>
        <w:t xml:space="preserve">3 </w:t>
      </w:r>
      <w:r>
        <w:rPr>
          <w:rFonts w:hint="eastAsia"/>
          <w:b/>
          <w:sz w:val="24"/>
        </w:rPr>
        <w:t>大气污染物估算模型计算结果表</w:t>
      </w:r>
    </w:p>
    <w:tbl>
      <w:tblPr>
        <w:tblW w:w="8442"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Look w:val="04A0" w:firstRow="1" w:lastRow="0" w:firstColumn="1" w:lastColumn="0" w:noHBand="0" w:noVBand="1"/>
      </w:tblPr>
      <w:tblGrid>
        <w:gridCol w:w="3668"/>
        <w:gridCol w:w="2575"/>
        <w:gridCol w:w="2199"/>
      </w:tblGrid>
      <w:tr w:rsidR="00C223F5">
        <w:trPr>
          <w:trHeight w:val="75"/>
          <w:jc w:val="center"/>
        </w:trPr>
        <w:tc>
          <w:tcPr>
            <w:tcW w:w="3668" w:type="dxa"/>
            <w:vMerge w:val="restart"/>
            <w:shd w:val="clear" w:color="000000" w:fill="FFFFFF"/>
            <w:vAlign w:val="center"/>
          </w:tcPr>
          <w:p w:rsidR="00C223F5" w:rsidRDefault="005860D5">
            <w:pPr>
              <w:jc w:val="center"/>
              <w:rPr>
                <w:kern w:val="0"/>
                <w:szCs w:val="21"/>
              </w:rPr>
            </w:pPr>
            <w:r>
              <w:rPr>
                <w:kern w:val="0"/>
                <w:szCs w:val="21"/>
              </w:rPr>
              <w:t>下风向距离</w:t>
            </w:r>
            <w:r>
              <w:rPr>
                <w:kern w:val="0"/>
                <w:szCs w:val="21"/>
              </w:rPr>
              <w:t>/m</w:t>
            </w:r>
          </w:p>
        </w:tc>
        <w:tc>
          <w:tcPr>
            <w:tcW w:w="4774" w:type="dxa"/>
            <w:gridSpan w:val="2"/>
            <w:tcBorders>
              <w:left w:val="single" w:sz="4" w:space="0" w:color="auto"/>
            </w:tcBorders>
            <w:shd w:val="clear" w:color="000000" w:fill="FFFFFF"/>
            <w:vAlign w:val="center"/>
          </w:tcPr>
          <w:p w:rsidR="00C223F5" w:rsidRDefault="005860D5">
            <w:pPr>
              <w:widowControl/>
              <w:jc w:val="center"/>
              <w:rPr>
                <w:kern w:val="0"/>
                <w:szCs w:val="21"/>
              </w:rPr>
            </w:pPr>
            <w:r>
              <w:rPr>
                <w:rFonts w:hint="eastAsia"/>
                <w:color w:val="000000"/>
                <w:szCs w:val="21"/>
              </w:rPr>
              <w:t>主厂房筛分</w:t>
            </w:r>
            <w:r>
              <w:rPr>
                <w:color w:val="000000"/>
                <w:szCs w:val="21"/>
              </w:rPr>
              <w:t>车间</w:t>
            </w:r>
          </w:p>
        </w:tc>
      </w:tr>
      <w:tr w:rsidR="00C223F5">
        <w:trPr>
          <w:trHeight w:val="65"/>
          <w:jc w:val="center"/>
        </w:trPr>
        <w:tc>
          <w:tcPr>
            <w:tcW w:w="3668" w:type="dxa"/>
            <w:vMerge/>
            <w:shd w:val="clear" w:color="000000" w:fill="FFFFFF"/>
            <w:vAlign w:val="center"/>
          </w:tcPr>
          <w:p w:rsidR="00C223F5" w:rsidRDefault="00C223F5">
            <w:pPr>
              <w:widowControl/>
              <w:jc w:val="center"/>
              <w:rPr>
                <w:kern w:val="0"/>
                <w:szCs w:val="21"/>
              </w:rPr>
            </w:pPr>
          </w:p>
        </w:tc>
        <w:tc>
          <w:tcPr>
            <w:tcW w:w="4774" w:type="dxa"/>
            <w:gridSpan w:val="2"/>
            <w:tcBorders>
              <w:left w:val="single" w:sz="4" w:space="0" w:color="auto"/>
            </w:tcBorders>
            <w:shd w:val="clear" w:color="000000" w:fill="FFFFFF"/>
            <w:vAlign w:val="center"/>
          </w:tcPr>
          <w:p w:rsidR="00C223F5" w:rsidRDefault="005860D5">
            <w:pPr>
              <w:widowControl/>
              <w:jc w:val="center"/>
              <w:rPr>
                <w:kern w:val="0"/>
                <w:szCs w:val="21"/>
              </w:rPr>
            </w:pPr>
            <w:r>
              <w:rPr>
                <w:kern w:val="0"/>
                <w:szCs w:val="21"/>
              </w:rPr>
              <w:t>TSP</w:t>
            </w:r>
          </w:p>
        </w:tc>
      </w:tr>
      <w:tr w:rsidR="00C223F5">
        <w:trPr>
          <w:trHeight w:val="65"/>
          <w:jc w:val="center"/>
        </w:trPr>
        <w:tc>
          <w:tcPr>
            <w:tcW w:w="3668" w:type="dxa"/>
            <w:vMerge/>
            <w:vAlign w:val="center"/>
          </w:tcPr>
          <w:p w:rsidR="00C223F5" w:rsidRDefault="00C223F5">
            <w:pPr>
              <w:widowControl/>
              <w:jc w:val="center"/>
              <w:rPr>
                <w:kern w:val="0"/>
                <w:szCs w:val="21"/>
              </w:rPr>
            </w:pPr>
          </w:p>
        </w:tc>
        <w:tc>
          <w:tcPr>
            <w:tcW w:w="2575" w:type="dxa"/>
            <w:shd w:val="clear" w:color="000000" w:fill="FFFFFF"/>
            <w:vAlign w:val="center"/>
          </w:tcPr>
          <w:p w:rsidR="00C223F5" w:rsidRDefault="005860D5">
            <w:pPr>
              <w:widowControl/>
              <w:jc w:val="center"/>
              <w:rPr>
                <w:kern w:val="0"/>
                <w:szCs w:val="21"/>
              </w:rPr>
            </w:pPr>
            <w:r>
              <w:rPr>
                <w:kern w:val="0"/>
                <w:szCs w:val="21"/>
              </w:rPr>
              <w:t>预测质量浓度</w:t>
            </w:r>
            <w:r>
              <w:rPr>
                <w:kern w:val="0"/>
                <w:szCs w:val="21"/>
              </w:rPr>
              <w:t>/</w:t>
            </w:r>
            <w:r>
              <w:rPr>
                <w:kern w:val="0"/>
                <w:szCs w:val="21"/>
              </w:rPr>
              <w:t>（</w:t>
            </w:r>
            <w:proofErr w:type="spellStart"/>
            <w:r>
              <w:rPr>
                <w:kern w:val="0"/>
                <w:szCs w:val="21"/>
              </w:rPr>
              <w:t>μg</w:t>
            </w:r>
            <w:proofErr w:type="spellEnd"/>
            <w:r>
              <w:rPr>
                <w:kern w:val="0"/>
                <w:szCs w:val="21"/>
              </w:rPr>
              <w:t>/m</w:t>
            </w:r>
            <w:r>
              <w:rPr>
                <w:kern w:val="0"/>
                <w:szCs w:val="21"/>
                <w:vertAlign w:val="superscript"/>
              </w:rPr>
              <w:t>3</w:t>
            </w:r>
            <w:r>
              <w:rPr>
                <w:kern w:val="0"/>
                <w:szCs w:val="21"/>
              </w:rPr>
              <w:t>）</w:t>
            </w:r>
          </w:p>
        </w:tc>
        <w:tc>
          <w:tcPr>
            <w:tcW w:w="2199" w:type="dxa"/>
            <w:tcBorders>
              <w:right w:val="single" w:sz="4" w:space="0" w:color="auto"/>
            </w:tcBorders>
            <w:shd w:val="clear" w:color="000000" w:fill="FFFFFF"/>
            <w:vAlign w:val="center"/>
          </w:tcPr>
          <w:p w:rsidR="00C223F5" w:rsidRDefault="005860D5">
            <w:pPr>
              <w:widowControl/>
              <w:jc w:val="center"/>
              <w:rPr>
                <w:kern w:val="0"/>
                <w:szCs w:val="21"/>
              </w:rPr>
            </w:pPr>
            <w:r>
              <w:rPr>
                <w:kern w:val="0"/>
                <w:szCs w:val="21"/>
              </w:rPr>
              <w:t>占标率</w:t>
            </w:r>
            <w:r>
              <w:rPr>
                <w:kern w:val="0"/>
                <w:szCs w:val="21"/>
              </w:rPr>
              <w:t>/%</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10</w:t>
            </w:r>
          </w:p>
        </w:tc>
        <w:tc>
          <w:tcPr>
            <w:tcW w:w="2575" w:type="dxa"/>
            <w:shd w:val="clear" w:color="000000" w:fill="FFFFFF"/>
            <w:vAlign w:val="center"/>
          </w:tcPr>
          <w:p w:rsidR="00C223F5" w:rsidRDefault="005860D5">
            <w:pPr>
              <w:widowControl/>
              <w:jc w:val="center"/>
              <w:rPr>
                <w:kern w:val="0"/>
                <w:szCs w:val="21"/>
              </w:rPr>
            </w:pPr>
            <w:r>
              <w:rPr>
                <w:kern w:val="0"/>
                <w:szCs w:val="21"/>
              </w:rPr>
              <w:t>1</w:t>
            </w:r>
            <w:r>
              <w:rPr>
                <w:rFonts w:hint="eastAsia"/>
                <w:kern w:val="0"/>
                <w:szCs w:val="21"/>
              </w:rPr>
              <w:t>.</w:t>
            </w:r>
            <w:r>
              <w:rPr>
                <w:kern w:val="0"/>
                <w:szCs w:val="21"/>
              </w:rPr>
              <w:t>706</w:t>
            </w:r>
          </w:p>
        </w:tc>
        <w:tc>
          <w:tcPr>
            <w:tcW w:w="2199" w:type="dxa"/>
            <w:shd w:val="clear" w:color="000000" w:fill="FFFFFF"/>
            <w:vAlign w:val="center"/>
          </w:tcPr>
          <w:p w:rsidR="00C223F5" w:rsidRDefault="005860D5">
            <w:pPr>
              <w:widowControl/>
              <w:jc w:val="center"/>
              <w:rPr>
                <w:kern w:val="0"/>
                <w:szCs w:val="21"/>
              </w:rPr>
            </w:pPr>
            <w:r>
              <w:rPr>
                <w:kern w:val="0"/>
                <w:szCs w:val="21"/>
              </w:rPr>
              <w:t>0.19</w:t>
            </w:r>
          </w:p>
        </w:tc>
      </w:tr>
      <w:tr w:rsidR="00C223F5">
        <w:trPr>
          <w:trHeight w:val="65"/>
          <w:jc w:val="center"/>
        </w:trPr>
        <w:tc>
          <w:tcPr>
            <w:tcW w:w="3668" w:type="dxa"/>
            <w:shd w:val="clear" w:color="000000" w:fill="FFFFFF"/>
            <w:vAlign w:val="center"/>
          </w:tcPr>
          <w:p w:rsidR="00C223F5" w:rsidRDefault="005860D5">
            <w:pPr>
              <w:widowControl/>
              <w:jc w:val="center"/>
              <w:rPr>
                <w:b/>
                <w:i/>
                <w:kern w:val="0"/>
                <w:szCs w:val="21"/>
              </w:rPr>
            </w:pPr>
            <w:r>
              <w:rPr>
                <w:rFonts w:hint="eastAsia"/>
                <w:b/>
                <w:i/>
                <w:kern w:val="0"/>
                <w:szCs w:val="21"/>
              </w:rPr>
              <w:t>36</w:t>
            </w:r>
          </w:p>
        </w:tc>
        <w:tc>
          <w:tcPr>
            <w:tcW w:w="2575" w:type="dxa"/>
            <w:shd w:val="clear" w:color="000000" w:fill="FFFFFF"/>
            <w:vAlign w:val="center"/>
          </w:tcPr>
          <w:p w:rsidR="00C223F5" w:rsidRDefault="005860D5">
            <w:pPr>
              <w:widowControl/>
              <w:jc w:val="center"/>
              <w:rPr>
                <w:b/>
                <w:i/>
                <w:kern w:val="0"/>
                <w:szCs w:val="21"/>
              </w:rPr>
            </w:pPr>
            <w:r>
              <w:rPr>
                <w:b/>
                <w:i/>
                <w:kern w:val="0"/>
                <w:szCs w:val="21"/>
              </w:rPr>
              <w:t>2</w:t>
            </w:r>
            <w:r>
              <w:rPr>
                <w:rFonts w:hint="eastAsia"/>
                <w:b/>
                <w:i/>
                <w:kern w:val="0"/>
                <w:szCs w:val="21"/>
              </w:rPr>
              <w:t>.</w:t>
            </w:r>
            <w:r>
              <w:rPr>
                <w:b/>
                <w:i/>
                <w:kern w:val="0"/>
                <w:szCs w:val="21"/>
              </w:rPr>
              <w:t>687</w:t>
            </w:r>
          </w:p>
        </w:tc>
        <w:tc>
          <w:tcPr>
            <w:tcW w:w="2199" w:type="dxa"/>
            <w:shd w:val="clear" w:color="000000" w:fill="FFFFFF"/>
            <w:vAlign w:val="center"/>
          </w:tcPr>
          <w:p w:rsidR="00C223F5" w:rsidRDefault="005860D5">
            <w:pPr>
              <w:widowControl/>
              <w:jc w:val="center"/>
              <w:rPr>
                <w:b/>
                <w:i/>
                <w:kern w:val="0"/>
                <w:szCs w:val="21"/>
              </w:rPr>
            </w:pPr>
            <w:r>
              <w:rPr>
                <w:b/>
                <w:i/>
                <w:kern w:val="0"/>
                <w:szCs w:val="21"/>
              </w:rPr>
              <w:t>0.30</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100</w:t>
            </w:r>
          </w:p>
        </w:tc>
        <w:tc>
          <w:tcPr>
            <w:tcW w:w="2575" w:type="dxa"/>
            <w:shd w:val="clear" w:color="000000" w:fill="FFFFFF"/>
            <w:vAlign w:val="center"/>
          </w:tcPr>
          <w:p w:rsidR="00C223F5" w:rsidRDefault="005860D5">
            <w:pPr>
              <w:widowControl/>
              <w:jc w:val="center"/>
              <w:rPr>
                <w:kern w:val="0"/>
                <w:szCs w:val="21"/>
              </w:rPr>
            </w:pPr>
            <w:r>
              <w:rPr>
                <w:kern w:val="0"/>
                <w:szCs w:val="21"/>
              </w:rPr>
              <w:t>1</w:t>
            </w:r>
            <w:r>
              <w:rPr>
                <w:rFonts w:hint="eastAsia"/>
                <w:kern w:val="0"/>
                <w:szCs w:val="21"/>
              </w:rPr>
              <w:t>.</w:t>
            </w:r>
            <w:r>
              <w:rPr>
                <w:kern w:val="0"/>
                <w:szCs w:val="21"/>
              </w:rPr>
              <w:t>194</w:t>
            </w:r>
          </w:p>
        </w:tc>
        <w:tc>
          <w:tcPr>
            <w:tcW w:w="2199" w:type="dxa"/>
            <w:shd w:val="clear" w:color="000000" w:fill="FFFFFF"/>
            <w:vAlign w:val="center"/>
          </w:tcPr>
          <w:p w:rsidR="00C223F5" w:rsidRDefault="005860D5">
            <w:pPr>
              <w:widowControl/>
              <w:jc w:val="center"/>
              <w:rPr>
                <w:kern w:val="0"/>
                <w:szCs w:val="21"/>
              </w:rPr>
            </w:pPr>
            <w:r>
              <w:rPr>
                <w:kern w:val="0"/>
                <w:szCs w:val="21"/>
              </w:rPr>
              <w:t>0.13</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200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955</w:t>
            </w:r>
          </w:p>
        </w:tc>
        <w:tc>
          <w:tcPr>
            <w:tcW w:w="2199" w:type="dxa"/>
            <w:shd w:val="clear" w:color="000000" w:fill="FFFFFF"/>
            <w:vAlign w:val="center"/>
          </w:tcPr>
          <w:p w:rsidR="00C223F5" w:rsidRDefault="005860D5">
            <w:pPr>
              <w:widowControl/>
              <w:jc w:val="center"/>
              <w:rPr>
                <w:kern w:val="0"/>
                <w:szCs w:val="21"/>
              </w:rPr>
            </w:pPr>
            <w:r>
              <w:rPr>
                <w:kern w:val="0"/>
                <w:szCs w:val="21"/>
              </w:rPr>
              <w:t>0.11</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300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758</w:t>
            </w:r>
          </w:p>
        </w:tc>
        <w:tc>
          <w:tcPr>
            <w:tcW w:w="2199" w:type="dxa"/>
            <w:shd w:val="clear" w:color="000000" w:fill="FFFFFF"/>
            <w:vAlign w:val="center"/>
          </w:tcPr>
          <w:p w:rsidR="00C223F5" w:rsidRDefault="005860D5">
            <w:pPr>
              <w:widowControl/>
              <w:jc w:val="center"/>
              <w:rPr>
                <w:kern w:val="0"/>
                <w:szCs w:val="21"/>
              </w:rPr>
            </w:pPr>
            <w:r>
              <w:rPr>
                <w:kern w:val="0"/>
                <w:szCs w:val="21"/>
              </w:rPr>
              <w:t>0.08</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400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611</w:t>
            </w:r>
          </w:p>
        </w:tc>
        <w:tc>
          <w:tcPr>
            <w:tcW w:w="2199" w:type="dxa"/>
            <w:shd w:val="clear" w:color="000000" w:fill="FFFFFF"/>
            <w:vAlign w:val="center"/>
          </w:tcPr>
          <w:p w:rsidR="00C223F5" w:rsidRDefault="005860D5">
            <w:pPr>
              <w:widowControl/>
              <w:jc w:val="center"/>
              <w:rPr>
                <w:kern w:val="0"/>
                <w:szCs w:val="21"/>
              </w:rPr>
            </w:pPr>
            <w:r>
              <w:rPr>
                <w:kern w:val="0"/>
                <w:szCs w:val="21"/>
              </w:rPr>
              <w:t>0.07</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500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503</w:t>
            </w:r>
          </w:p>
        </w:tc>
        <w:tc>
          <w:tcPr>
            <w:tcW w:w="2199" w:type="dxa"/>
            <w:shd w:val="clear" w:color="000000" w:fill="FFFFFF"/>
            <w:vAlign w:val="center"/>
          </w:tcPr>
          <w:p w:rsidR="00C223F5" w:rsidRDefault="005860D5">
            <w:pPr>
              <w:widowControl/>
              <w:jc w:val="center"/>
              <w:rPr>
                <w:kern w:val="0"/>
                <w:szCs w:val="21"/>
              </w:rPr>
            </w:pPr>
            <w:r>
              <w:rPr>
                <w:kern w:val="0"/>
                <w:szCs w:val="21"/>
              </w:rPr>
              <w:t>0.06</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600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456</w:t>
            </w:r>
          </w:p>
        </w:tc>
        <w:tc>
          <w:tcPr>
            <w:tcW w:w="2199" w:type="dxa"/>
            <w:shd w:val="clear" w:color="000000" w:fill="FFFFFF"/>
            <w:vAlign w:val="center"/>
          </w:tcPr>
          <w:p w:rsidR="00C223F5" w:rsidRDefault="005860D5">
            <w:pPr>
              <w:widowControl/>
              <w:jc w:val="center"/>
              <w:rPr>
                <w:kern w:val="0"/>
                <w:szCs w:val="21"/>
              </w:rPr>
            </w:pPr>
            <w:r>
              <w:rPr>
                <w:kern w:val="0"/>
                <w:szCs w:val="21"/>
              </w:rPr>
              <w:t>0.05</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700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428</w:t>
            </w:r>
          </w:p>
        </w:tc>
        <w:tc>
          <w:tcPr>
            <w:tcW w:w="2199" w:type="dxa"/>
            <w:shd w:val="clear" w:color="000000" w:fill="FFFFFF"/>
            <w:vAlign w:val="center"/>
          </w:tcPr>
          <w:p w:rsidR="00C223F5" w:rsidRDefault="005860D5">
            <w:pPr>
              <w:widowControl/>
              <w:jc w:val="center"/>
              <w:rPr>
                <w:kern w:val="0"/>
                <w:szCs w:val="21"/>
              </w:rPr>
            </w:pPr>
            <w:r>
              <w:rPr>
                <w:kern w:val="0"/>
                <w:szCs w:val="21"/>
              </w:rPr>
              <w:t>0.05</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800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403</w:t>
            </w:r>
          </w:p>
        </w:tc>
        <w:tc>
          <w:tcPr>
            <w:tcW w:w="2199" w:type="dxa"/>
            <w:shd w:val="clear" w:color="000000" w:fill="FFFFFF"/>
            <w:vAlign w:val="center"/>
          </w:tcPr>
          <w:p w:rsidR="00C223F5" w:rsidRDefault="005860D5">
            <w:pPr>
              <w:widowControl/>
              <w:jc w:val="center"/>
              <w:rPr>
                <w:kern w:val="0"/>
                <w:szCs w:val="21"/>
              </w:rPr>
            </w:pPr>
            <w:r>
              <w:rPr>
                <w:kern w:val="0"/>
                <w:szCs w:val="21"/>
              </w:rPr>
              <w:t>0.04</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900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382</w:t>
            </w:r>
          </w:p>
        </w:tc>
        <w:tc>
          <w:tcPr>
            <w:tcW w:w="2199" w:type="dxa"/>
            <w:shd w:val="clear" w:color="000000" w:fill="FFFFFF"/>
            <w:vAlign w:val="center"/>
          </w:tcPr>
          <w:p w:rsidR="00C223F5" w:rsidRDefault="005860D5">
            <w:pPr>
              <w:widowControl/>
              <w:jc w:val="center"/>
              <w:rPr>
                <w:kern w:val="0"/>
                <w:szCs w:val="21"/>
              </w:rPr>
            </w:pPr>
            <w:r>
              <w:rPr>
                <w:kern w:val="0"/>
                <w:szCs w:val="21"/>
              </w:rPr>
              <w:t>0.04</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1000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362</w:t>
            </w:r>
          </w:p>
        </w:tc>
        <w:tc>
          <w:tcPr>
            <w:tcW w:w="2199" w:type="dxa"/>
            <w:shd w:val="clear" w:color="000000" w:fill="FFFFFF"/>
            <w:vAlign w:val="center"/>
          </w:tcPr>
          <w:p w:rsidR="00C223F5" w:rsidRDefault="005860D5">
            <w:pPr>
              <w:widowControl/>
              <w:jc w:val="center"/>
              <w:rPr>
                <w:kern w:val="0"/>
                <w:szCs w:val="21"/>
              </w:rPr>
            </w:pPr>
            <w:r>
              <w:rPr>
                <w:kern w:val="0"/>
                <w:szCs w:val="21"/>
              </w:rPr>
              <w:t>0.04</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1100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343</w:t>
            </w:r>
          </w:p>
        </w:tc>
        <w:tc>
          <w:tcPr>
            <w:tcW w:w="2199" w:type="dxa"/>
            <w:shd w:val="clear" w:color="000000" w:fill="FFFFFF"/>
            <w:vAlign w:val="center"/>
          </w:tcPr>
          <w:p w:rsidR="00C223F5" w:rsidRDefault="005860D5">
            <w:pPr>
              <w:widowControl/>
              <w:jc w:val="center"/>
              <w:rPr>
                <w:kern w:val="0"/>
                <w:szCs w:val="21"/>
              </w:rPr>
            </w:pPr>
            <w:r>
              <w:rPr>
                <w:kern w:val="0"/>
                <w:szCs w:val="21"/>
              </w:rPr>
              <w:t>0.04</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1200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326</w:t>
            </w:r>
          </w:p>
        </w:tc>
        <w:tc>
          <w:tcPr>
            <w:tcW w:w="2199" w:type="dxa"/>
            <w:shd w:val="clear" w:color="000000" w:fill="FFFFFF"/>
            <w:vAlign w:val="center"/>
          </w:tcPr>
          <w:p w:rsidR="00C223F5" w:rsidRDefault="005860D5">
            <w:pPr>
              <w:widowControl/>
              <w:jc w:val="center"/>
              <w:rPr>
                <w:kern w:val="0"/>
                <w:szCs w:val="21"/>
              </w:rPr>
            </w:pPr>
            <w:r>
              <w:rPr>
                <w:kern w:val="0"/>
                <w:szCs w:val="21"/>
              </w:rPr>
              <w:t>0.04</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1300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31</w:t>
            </w:r>
          </w:p>
        </w:tc>
        <w:tc>
          <w:tcPr>
            <w:tcW w:w="2199" w:type="dxa"/>
            <w:shd w:val="clear" w:color="000000" w:fill="FFFFFF"/>
            <w:vAlign w:val="center"/>
          </w:tcPr>
          <w:p w:rsidR="00C223F5" w:rsidRDefault="005860D5">
            <w:pPr>
              <w:widowControl/>
              <w:jc w:val="center"/>
              <w:rPr>
                <w:kern w:val="0"/>
                <w:szCs w:val="21"/>
              </w:rPr>
            </w:pPr>
            <w:r>
              <w:rPr>
                <w:kern w:val="0"/>
                <w:szCs w:val="21"/>
              </w:rPr>
              <w:t>0.03</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1400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296</w:t>
            </w:r>
          </w:p>
        </w:tc>
        <w:tc>
          <w:tcPr>
            <w:tcW w:w="2199" w:type="dxa"/>
            <w:shd w:val="clear" w:color="000000" w:fill="FFFFFF"/>
            <w:vAlign w:val="center"/>
          </w:tcPr>
          <w:p w:rsidR="00C223F5" w:rsidRDefault="005860D5">
            <w:pPr>
              <w:widowControl/>
              <w:jc w:val="center"/>
              <w:rPr>
                <w:kern w:val="0"/>
                <w:szCs w:val="21"/>
              </w:rPr>
            </w:pPr>
            <w:r>
              <w:rPr>
                <w:kern w:val="0"/>
                <w:szCs w:val="21"/>
              </w:rPr>
              <w:t>0.03</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1500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282</w:t>
            </w:r>
          </w:p>
        </w:tc>
        <w:tc>
          <w:tcPr>
            <w:tcW w:w="2199" w:type="dxa"/>
            <w:shd w:val="clear" w:color="000000" w:fill="FFFFFF"/>
            <w:vAlign w:val="center"/>
          </w:tcPr>
          <w:p w:rsidR="00C223F5" w:rsidRDefault="005860D5">
            <w:pPr>
              <w:widowControl/>
              <w:jc w:val="center"/>
              <w:rPr>
                <w:kern w:val="0"/>
                <w:szCs w:val="21"/>
              </w:rPr>
            </w:pPr>
            <w:r>
              <w:rPr>
                <w:kern w:val="0"/>
                <w:szCs w:val="21"/>
              </w:rPr>
              <w:t>0.03</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1600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27</w:t>
            </w:r>
          </w:p>
        </w:tc>
        <w:tc>
          <w:tcPr>
            <w:tcW w:w="2199" w:type="dxa"/>
            <w:shd w:val="clear" w:color="000000" w:fill="FFFFFF"/>
            <w:vAlign w:val="center"/>
          </w:tcPr>
          <w:p w:rsidR="00C223F5" w:rsidRDefault="005860D5">
            <w:pPr>
              <w:widowControl/>
              <w:jc w:val="center"/>
              <w:rPr>
                <w:kern w:val="0"/>
                <w:szCs w:val="21"/>
              </w:rPr>
            </w:pPr>
            <w:r>
              <w:rPr>
                <w:kern w:val="0"/>
                <w:szCs w:val="21"/>
              </w:rPr>
              <w:t>0.03</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1700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258</w:t>
            </w:r>
          </w:p>
        </w:tc>
        <w:tc>
          <w:tcPr>
            <w:tcW w:w="2199" w:type="dxa"/>
            <w:shd w:val="clear" w:color="000000" w:fill="FFFFFF"/>
            <w:vAlign w:val="center"/>
          </w:tcPr>
          <w:p w:rsidR="00C223F5" w:rsidRDefault="005860D5">
            <w:pPr>
              <w:widowControl/>
              <w:jc w:val="center"/>
              <w:rPr>
                <w:kern w:val="0"/>
                <w:szCs w:val="21"/>
              </w:rPr>
            </w:pPr>
            <w:r>
              <w:rPr>
                <w:kern w:val="0"/>
                <w:szCs w:val="21"/>
              </w:rPr>
              <w:t>0.03</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1800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248</w:t>
            </w:r>
          </w:p>
        </w:tc>
        <w:tc>
          <w:tcPr>
            <w:tcW w:w="2199" w:type="dxa"/>
            <w:shd w:val="clear" w:color="000000" w:fill="FFFFFF"/>
            <w:vAlign w:val="center"/>
          </w:tcPr>
          <w:p w:rsidR="00C223F5" w:rsidRDefault="005860D5">
            <w:pPr>
              <w:widowControl/>
              <w:jc w:val="center"/>
              <w:rPr>
                <w:kern w:val="0"/>
                <w:szCs w:val="21"/>
              </w:rPr>
            </w:pPr>
            <w:r>
              <w:rPr>
                <w:kern w:val="0"/>
                <w:szCs w:val="21"/>
              </w:rPr>
              <w:t>0.03</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1900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239</w:t>
            </w:r>
          </w:p>
        </w:tc>
        <w:tc>
          <w:tcPr>
            <w:tcW w:w="2199" w:type="dxa"/>
            <w:shd w:val="clear" w:color="000000" w:fill="FFFFFF"/>
            <w:vAlign w:val="center"/>
          </w:tcPr>
          <w:p w:rsidR="00C223F5" w:rsidRDefault="005860D5">
            <w:pPr>
              <w:widowControl/>
              <w:jc w:val="center"/>
              <w:rPr>
                <w:kern w:val="0"/>
                <w:szCs w:val="21"/>
              </w:rPr>
            </w:pPr>
            <w:r>
              <w:rPr>
                <w:kern w:val="0"/>
                <w:szCs w:val="21"/>
              </w:rPr>
              <w:t>0.03</w:t>
            </w:r>
          </w:p>
        </w:tc>
      </w:tr>
      <w:tr w:rsidR="00C223F5">
        <w:trPr>
          <w:trHeight w:val="65"/>
          <w:jc w:val="center"/>
        </w:trPr>
        <w:tc>
          <w:tcPr>
            <w:tcW w:w="3668" w:type="dxa"/>
            <w:shd w:val="clear" w:color="000000" w:fill="FFFFFF"/>
            <w:vAlign w:val="center"/>
          </w:tcPr>
          <w:p w:rsidR="00C223F5" w:rsidRDefault="005860D5">
            <w:pPr>
              <w:widowControl/>
              <w:jc w:val="center"/>
              <w:rPr>
                <w:kern w:val="0"/>
                <w:szCs w:val="21"/>
              </w:rPr>
            </w:pPr>
            <w:r>
              <w:rPr>
                <w:kern w:val="0"/>
                <w:szCs w:val="21"/>
              </w:rPr>
              <w:t>2000</w:t>
            </w:r>
          </w:p>
        </w:tc>
        <w:tc>
          <w:tcPr>
            <w:tcW w:w="2575" w:type="dxa"/>
            <w:shd w:val="clear" w:color="000000" w:fill="FFFFFF"/>
            <w:vAlign w:val="center"/>
          </w:tcPr>
          <w:p w:rsidR="00C223F5" w:rsidRDefault="005860D5">
            <w:pPr>
              <w:widowControl/>
              <w:jc w:val="center"/>
              <w:rPr>
                <w:kern w:val="0"/>
                <w:szCs w:val="21"/>
              </w:rPr>
            </w:pPr>
            <w:r>
              <w:rPr>
                <w:kern w:val="0"/>
                <w:szCs w:val="21"/>
              </w:rPr>
              <w:t>0</w:t>
            </w:r>
            <w:r>
              <w:rPr>
                <w:rFonts w:hint="eastAsia"/>
                <w:kern w:val="0"/>
                <w:szCs w:val="21"/>
              </w:rPr>
              <w:t>.</w:t>
            </w:r>
            <w:r>
              <w:rPr>
                <w:kern w:val="0"/>
                <w:szCs w:val="21"/>
              </w:rPr>
              <w:t>23</w:t>
            </w:r>
          </w:p>
        </w:tc>
        <w:tc>
          <w:tcPr>
            <w:tcW w:w="2199" w:type="dxa"/>
            <w:shd w:val="clear" w:color="000000" w:fill="FFFFFF"/>
            <w:vAlign w:val="center"/>
          </w:tcPr>
          <w:p w:rsidR="00C223F5" w:rsidRDefault="005860D5">
            <w:pPr>
              <w:widowControl/>
              <w:jc w:val="center"/>
              <w:rPr>
                <w:kern w:val="0"/>
                <w:szCs w:val="21"/>
              </w:rPr>
            </w:pPr>
            <w:r>
              <w:rPr>
                <w:kern w:val="0"/>
                <w:szCs w:val="21"/>
              </w:rPr>
              <w:t>0.03</w:t>
            </w:r>
          </w:p>
        </w:tc>
      </w:tr>
      <w:tr w:rsidR="00C223F5">
        <w:trPr>
          <w:trHeight w:val="377"/>
          <w:jc w:val="center"/>
        </w:trPr>
        <w:tc>
          <w:tcPr>
            <w:tcW w:w="3668" w:type="dxa"/>
            <w:shd w:val="clear" w:color="000000" w:fill="FFFFFF"/>
            <w:vAlign w:val="center"/>
          </w:tcPr>
          <w:p w:rsidR="00C223F5" w:rsidRDefault="005860D5">
            <w:pPr>
              <w:widowControl/>
              <w:jc w:val="center"/>
              <w:rPr>
                <w:kern w:val="0"/>
                <w:szCs w:val="21"/>
              </w:rPr>
            </w:pPr>
            <w:r>
              <w:rPr>
                <w:rFonts w:ascii="宋体" w:hAnsi="宋体" w:cs="宋体" w:hint="eastAsia"/>
                <w:color w:val="000000"/>
                <w:kern w:val="0"/>
                <w:szCs w:val="21"/>
              </w:rPr>
              <w:t>下风向最大质量浓度及占标率</w:t>
            </w:r>
            <w:r>
              <w:rPr>
                <w:color w:val="000000"/>
                <w:kern w:val="0"/>
                <w:szCs w:val="21"/>
              </w:rPr>
              <w:t>/%</w:t>
            </w:r>
          </w:p>
        </w:tc>
        <w:tc>
          <w:tcPr>
            <w:tcW w:w="2575" w:type="dxa"/>
            <w:tcBorders>
              <w:left w:val="single" w:sz="4" w:space="0" w:color="auto"/>
              <w:right w:val="single" w:sz="4" w:space="0" w:color="auto"/>
            </w:tcBorders>
            <w:shd w:val="clear" w:color="000000" w:fill="FFFFFF"/>
            <w:vAlign w:val="center"/>
          </w:tcPr>
          <w:p w:rsidR="00C223F5" w:rsidRDefault="005860D5">
            <w:pPr>
              <w:widowControl/>
              <w:jc w:val="center"/>
              <w:rPr>
                <w:b/>
                <w:i/>
                <w:kern w:val="0"/>
                <w:szCs w:val="21"/>
              </w:rPr>
            </w:pPr>
            <w:r>
              <w:rPr>
                <w:b/>
                <w:i/>
                <w:kern w:val="0"/>
                <w:szCs w:val="21"/>
              </w:rPr>
              <w:t>2</w:t>
            </w:r>
            <w:r>
              <w:rPr>
                <w:rFonts w:hint="eastAsia"/>
                <w:b/>
                <w:i/>
                <w:kern w:val="0"/>
                <w:szCs w:val="21"/>
              </w:rPr>
              <w:t>.</w:t>
            </w:r>
            <w:r>
              <w:rPr>
                <w:b/>
                <w:i/>
                <w:kern w:val="0"/>
                <w:szCs w:val="21"/>
              </w:rPr>
              <w:t>687</w:t>
            </w:r>
          </w:p>
        </w:tc>
        <w:tc>
          <w:tcPr>
            <w:tcW w:w="2199" w:type="dxa"/>
            <w:tcBorders>
              <w:left w:val="single" w:sz="4" w:space="0" w:color="auto"/>
            </w:tcBorders>
            <w:shd w:val="clear" w:color="000000" w:fill="FFFFFF"/>
            <w:vAlign w:val="center"/>
          </w:tcPr>
          <w:p w:rsidR="00C223F5" w:rsidRDefault="005860D5">
            <w:pPr>
              <w:widowControl/>
              <w:jc w:val="center"/>
              <w:rPr>
                <w:b/>
                <w:i/>
                <w:kern w:val="0"/>
                <w:szCs w:val="21"/>
              </w:rPr>
            </w:pPr>
            <w:r>
              <w:rPr>
                <w:b/>
                <w:i/>
                <w:kern w:val="0"/>
                <w:szCs w:val="21"/>
              </w:rPr>
              <w:t>0.30</w:t>
            </w:r>
          </w:p>
        </w:tc>
      </w:tr>
      <w:tr w:rsidR="00C223F5">
        <w:trPr>
          <w:trHeight w:val="377"/>
          <w:jc w:val="center"/>
        </w:trPr>
        <w:tc>
          <w:tcPr>
            <w:tcW w:w="3668" w:type="dxa"/>
            <w:shd w:val="clear" w:color="000000" w:fill="FFFFFF"/>
            <w:vAlign w:val="center"/>
          </w:tcPr>
          <w:p w:rsidR="00C223F5" w:rsidRDefault="005860D5">
            <w:pPr>
              <w:widowControl/>
              <w:jc w:val="center"/>
              <w:rPr>
                <w:kern w:val="0"/>
                <w:szCs w:val="21"/>
              </w:rPr>
            </w:pPr>
            <w:r>
              <w:rPr>
                <w:kern w:val="0"/>
                <w:szCs w:val="21"/>
              </w:rPr>
              <w:t>最大落地浓度出现距离</w:t>
            </w:r>
            <w:r>
              <w:rPr>
                <w:kern w:val="0"/>
                <w:szCs w:val="21"/>
              </w:rPr>
              <w:t>m</w:t>
            </w:r>
          </w:p>
        </w:tc>
        <w:tc>
          <w:tcPr>
            <w:tcW w:w="2575" w:type="dxa"/>
            <w:tcBorders>
              <w:left w:val="single" w:sz="4" w:space="0" w:color="auto"/>
              <w:right w:val="single" w:sz="4" w:space="0" w:color="auto"/>
            </w:tcBorders>
            <w:shd w:val="clear" w:color="000000" w:fill="FFFFFF"/>
            <w:vAlign w:val="center"/>
          </w:tcPr>
          <w:p w:rsidR="00C223F5" w:rsidRDefault="005860D5">
            <w:pPr>
              <w:widowControl/>
              <w:jc w:val="center"/>
              <w:rPr>
                <w:kern w:val="0"/>
                <w:szCs w:val="21"/>
              </w:rPr>
            </w:pPr>
            <w:r>
              <w:rPr>
                <w:rFonts w:hint="eastAsia"/>
                <w:kern w:val="0"/>
                <w:szCs w:val="21"/>
              </w:rPr>
              <w:t>36</w:t>
            </w:r>
          </w:p>
        </w:tc>
        <w:tc>
          <w:tcPr>
            <w:tcW w:w="2199" w:type="dxa"/>
            <w:tcBorders>
              <w:left w:val="single" w:sz="4" w:space="0" w:color="auto"/>
            </w:tcBorders>
            <w:shd w:val="clear" w:color="000000" w:fill="FFFFFF"/>
            <w:vAlign w:val="center"/>
          </w:tcPr>
          <w:p w:rsidR="00C223F5" w:rsidRDefault="005860D5">
            <w:pPr>
              <w:widowControl/>
              <w:jc w:val="center"/>
              <w:rPr>
                <w:kern w:val="0"/>
                <w:szCs w:val="21"/>
              </w:rPr>
            </w:pPr>
            <w:r>
              <w:rPr>
                <w:kern w:val="0"/>
                <w:szCs w:val="21"/>
              </w:rPr>
              <w:t>/</w:t>
            </w:r>
          </w:p>
        </w:tc>
      </w:tr>
    </w:tbl>
    <w:p w:rsidR="00C223F5" w:rsidRDefault="005860D5">
      <w:pPr>
        <w:spacing w:line="360" w:lineRule="auto"/>
        <w:jc w:val="center"/>
      </w:pPr>
      <w:r>
        <w:rPr>
          <w:noProof/>
        </w:rPr>
        <w:drawing>
          <wp:inline distT="0" distB="0" distL="0" distR="0">
            <wp:extent cx="5448300" cy="2228850"/>
            <wp:effectExtent l="19050" t="0" r="0" b="0"/>
            <wp:docPr id="149" name="图片 149" descr="D:\2019年工作\天云煤矿整合环评\天云煤矿\过程文件\EIAProA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D:\2019年工作\天云煤矿整合环评\天云煤矿\过程文件\EIAProA2018.jpg"/>
                    <pic:cNvPicPr>
                      <a:picLocks noChangeAspect="1" noChangeArrowheads="1"/>
                    </pic:cNvPicPr>
                  </pic:nvPicPr>
                  <pic:blipFill>
                    <a:blip r:embed="rId117"/>
                    <a:srcRect l="4586" t="2993" b="62586"/>
                    <a:stretch>
                      <a:fillRect/>
                    </a:stretch>
                  </pic:blipFill>
                  <pic:spPr>
                    <a:xfrm>
                      <a:off x="0" y="0"/>
                      <a:ext cx="5458228" cy="2232911"/>
                    </a:xfrm>
                    <a:prstGeom prst="rect">
                      <a:avLst/>
                    </a:prstGeom>
                    <a:noFill/>
                    <a:ln w="9525">
                      <a:noFill/>
                      <a:miter lim="800000"/>
                      <a:headEnd/>
                      <a:tailEnd/>
                    </a:ln>
                  </pic:spPr>
                </pic:pic>
              </a:graphicData>
            </a:graphic>
          </wp:inline>
        </w:drawing>
      </w:r>
    </w:p>
    <w:p w:rsidR="00C223F5" w:rsidRDefault="005860D5">
      <w:pPr>
        <w:spacing w:line="360" w:lineRule="auto"/>
        <w:jc w:val="center"/>
        <w:rPr>
          <w:b/>
          <w:sz w:val="24"/>
        </w:rPr>
      </w:pPr>
      <w:r>
        <w:rPr>
          <w:rFonts w:hint="eastAsia"/>
          <w:b/>
          <w:sz w:val="24"/>
        </w:rPr>
        <w:t>图</w:t>
      </w:r>
      <w:r w:rsidR="00DD5F2C">
        <w:rPr>
          <w:rFonts w:hint="eastAsia"/>
          <w:b/>
          <w:sz w:val="24"/>
        </w:rPr>
        <w:t>4.2.4</w:t>
      </w:r>
      <w:r>
        <w:rPr>
          <w:rFonts w:hint="eastAsia"/>
          <w:b/>
          <w:sz w:val="24"/>
        </w:rPr>
        <w:t>-1  TSP</w:t>
      </w:r>
      <w:r>
        <w:rPr>
          <w:rFonts w:hint="eastAsia"/>
          <w:b/>
          <w:sz w:val="24"/>
        </w:rPr>
        <w:t>浓度占标率随距离变化曲线图</w:t>
      </w:r>
    </w:p>
    <w:p w:rsidR="00C223F5" w:rsidRDefault="005860D5">
      <w:pPr>
        <w:spacing w:line="360" w:lineRule="auto"/>
        <w:ind w:firstLineChars="200" w:firstLine="480"/>
        <w:rPr>
          <w:rFonts w:hAnsi="宋体"/>
          <w:sz w:val="24"/>
        </w:rPr>
      </w:pPr>
      <w:r>
        <w:rPr>
          <w:rFonts w:hAnsi="宋体" w:hint="eastAsia"/>
          <w:sz w:val="24"/>
        </w:rPr>
        <w:lastRenderedPageBreak/>
        <w:t>由估算结果可见，矿井粉尘排放最大落地浓度为</w:t>
      </w:r>
      <w:r>
        <w:rPr>
          <w:rFonts w:hAnsi="宋体"/>
          <w:sz w:val="24"/>
        </w:rPr>
        <w:t>2</w:t>
      </w:r>
      <w:r>
        <w:rPr>
          <w:rFonts w:hAnsi="宋体" w:hint="eastAsia"/>
          <w:sz w:val="24"/>
        </w:rPr>
        <w:t>.</w:t>
      </w:r>
      <w:r>
        <w:rPr>
          <w:rFonts w:hAnsi="宋体"/>
          <w:sz w:val="24"/>
        </w:rPr>
        <w:t>687</w:t>
      </w:r>
      <w:r>
        <w:rPr>
          <w:kern w:val="0"/>
          <w:sz w:val="24"/>
        </w:rPr>
        <w:t>μg/m</w:t>
      </w:r>
      <w:r>
        <w:rPr>
          <w:kern w:val="0"/>
          <w:sz w:val="24"/>
          <w:vertAlign w:val="superscript"/>
        </w:rPr>
        <w:t>3</w:t>
      </w:r>
      <w:r>
        <w:rPr>
          <w:rFonts w:hAnsi="宋体" w:hint="eastAsia"/>
          <w:sz w:val="24"/>
        </w:rPr>
        <w:t>，占</w:t>
      </w:r>
      <w:r>
        <w:rPr>
          <w:rFonts w:hint="eastAsia"/>
          <w:sz w:val="24"/>
        </w:rPr>
        <w:t>《环境空气质量标准》（</w:t>
      </w:r>
      <w:r>
        <w:rPr>
          <w:rFonts w:hint="eastAsia"/>
          <w:sz w:val="24"/>
        </w:rPr>
        <w:t>GB3095-2012</w:t>
      </w:r>
      <w:r>
        <w:rPr>
          <w:rFonts w:hint="eastAsia"/>
          <w:sz w:val="24"/>
        </w:rPr>
        <w:t>）二级标准</w:t>
      </w:r>
      <w:r>
        <w:rPr>
          <w:rFonts w:hAnsi="宋体" w:hint="eastAsia"/>
          <w:sz w:val="24"/>
        </w:rPr>
        <w:t>0.30%</w:t>
      </w:r>
      <w:r>
        <w:rPr>
          <w:rFonts w:hAnsi="宋体" w:hint="eastAsia"/>
          <w:sz w:val="24"/>
        </w:rPr>
        <w:t>，最大落地浓度距离为</w:t>
      </w:r>
      <w:r>
        <w:rPr>
          <w:rFonts w:hAnsi="宋体" w:hint="eastAsia"/>
          <w:sz w:val="24"/>
        </w:rPr>
        <w:t>36m</w:t>
      </w:r>
      <w:r>
        <w:rPr>
          <w:rFonts w:hAnsi="宋体" w:hint="eastAsia"/>
          <w:sz w:val="24"/>
        </w:rPr>
        <w:t>。</w:t>
      </w:r>
    </w:p>
    <w:p w:rsidR="00C223F5" w:rsidRDefault="005860D5">
      <w:pPr>
        <w:spacing w:line="360" w:lineRule="auto"/>
        <w:ind w:firstLineChars="200" w:firstLine="480"/>
        <w:rPr>
          <w:color w:val="000000"/>
        </w:rPr>
      </w:pPr>
      <w:r>
        <w:rPr>
          <w:color w:val="000000"/>
          <w:sz w:val="24"/>
        </w:rPr>
        <w:t>本项目地面煤流系统采用全封闭输煤栈桥，原煤及产品煤、矸石采用筒仓处理</w:t>
      </w:r>
      <w:r>
        <w:rPr>
          <w:rFonts w:hint="eastAsia"/>
          <w:color w:val="000000"/>
          <w:sz w:val="24"/>
        </w:rPr>
        <w:t>；</w:t>
      </w:r>
      <w:r>
        <w:rPr>
          <w:rFonts w:eastAsiaTheme="minorEastAsia" w:hAnsiTheme="minorEastAsia" w:hint="eastAsia"/>
          <w:sz w:val="24"/>
        </w:rPr>
        <w:t>主要产尘点设集尘罩，原煤仓上下转载点、筛分破碎车间振动筛上下转载点、产品仓上下转载点等设干雾喷头；</w:t>
      </w:r>
      <w:r>
        <w:rPr>
          <w:color w:val="000000"/>
          <w:sz w:val="24"/>
        </w:rPr>
        <w:t>筛分设备全部设置在主厂房内，</w:t>
      </w:r>
      <w:r>
        <w:rPr>
          <w:rFonts w:hint="eastAsia"/>
          <w:color w:val="000000"/>
          <w:sz w:val="24"/>
        </w:rPr>
        <w:t>安装</w:t>
      </w:r>
      <w:r>
        <w:rPr>
          <w:rFonts w:eastAsiaTheme="minorEastAsia" w:hAnsiTheme="minorEastAsia" w:hint="eastAsia"/>
          <w:sz w:val="24"/>
        </w:rPr>
        <w:t>微米级干雾抑尘装置</w:t>
      </w:r>
      <w:r>
        <w:rPr>
          <w:color w:val="000000"/>
          <w:sz w:val="24"/>
        </w:rPr>
        <w:t>，在输煤栈桥内设置喷雾洒水装置。</w:t>
      </w:r>
      <w:r>
        <w:rPr>
          <w:rFonts w:hAnsi="宋体" w:hint="eastAsia"/>
          <w:sz w:val="24"/>
        </w:rPr>
        <w:t>在矿井储煤和洗选系统封闭，增设喷雾抑尘措施后，工业场地厂界</w:t>
      </w:r>
      <w:r>
        <w:rPr>
          <w:rFonts w:hAnsi="宋体"/>
          <w:sz w:val="24"/>
        </w:rPr>
        <w:t>无组织粉尘排放达到《煤炭工业污染物排放标</w:t>
      </w:r>
      <w:r>
        <w:rPr>
          <w:rFonts w:hAnsi="宋体"/>
          <w:kern w:val="0"/>
          <w:sz w:val="24"/>
        </w:rPr>
        <w:t>准》（</w:t>
      </w:r>
      <w:r>
        <w:rPr>
          <w:kern w:val="0"/>
          <w:sz w:val="24"/>
        </w:rPr>
        <w:t>GB20426-2006</w:t>
      </w:r>
      <w:r>
        <w:rPr>
          <w:rFonts w:hAnsi="宋体"/>
          <w:kern w:val="0"/>
          <w:sz w:val="24"/>
        </w:rPr>
        <w:t>）有关颗粒物无组织排放标准的规定</w:t>
      </w:r>
      <w:r>
        <w:rPr>
          <w:rFonts w:hAnsi="宋体" w:hint="eastAsia"/>
          <w:kern w:val="0"/>
          <w:sz w:val="24"/>
        </w:rPr>
        <w:t>，矿井生产粉尘排放对环境空气影响较小。</w:t>
      </w:r>
    </w:p>
    <w:p w:rsidR="00C223F5" w:rsidRDefault="005860D5" w:rsidP="004835BD">
      <w:pPr>
        <w:pStyle w:val="4"/>
        <w:spacing w:before="0" w:after="0" w:line="360" w:lineRule="auto"/>
        <w:ind w:firstLineChars="100" w:firstLine="240"/>
        <w:rPr>
          <w:szCs w:val="24"/>
        </w:rPr>
      </w:pPr>
      <w:r>
        <w:rPr>
          <w:szCs w:val="24"/>
        </w:rPr>
        <w:t>4.2.4.</w:t>
      </w:r>
      <w:r>
        <w:rPr>
          <w:rFonts w:hint="eastAsia"/>
          <w:szCs w:val="24"/>
        </w:rPr>
        <w:t>2</w:t>
      </w:r>
      <w:r>
        <w:rPr>
          <w:szCs w:val="24"/>
        </w:rPr>
        <w:t>运输扬尘对环境空气影响预测分析</w:t>
      </w:r>
    </w:p>
    <w:p w:rsidR="00C223F5" w:rsidRDefault="005860D5">
      <w:pPr>
        <w:spacing w:line="360" w:lineRule="auto"/>
        <w:ind w:firstLineChars="200" w:firstLine="480"/>
        <w:rPr>
          <w:sz w:val="24"/>
        </w:rPr>
      </w:pPr>
      <w:r>
        <w:rPr>
          <w:rFonts w:hint="eastAsia"/>
          <w:color w:val="000000"/>
          <w:sz w:val="24"/>
        </w:rPr>
        <w:t>天云</w:t>
      </w:r>
      <w:r>
        <w:rPr>
          <w:color w:val="000000"/>
          <w:sz w:val="24"/>
        </w:rPr>
        <w:t>煤矿产品煤通过汽车外运，汽车运输时由于碾压卷带产生的扬尘对进场道路两侧一定范围会造成污染。扬尘量的大小与车流量、车速、车型、道路状况、气候条件等均有关系。根据榆神矿区矿井运输公路的调查，扬尘浓度随距离增加而衰减，主要影响</w:t>
      </w:r>
      <w:r>
        <w:rPr>
          <w:sz w:val="24"/>
        </w:rPr>
        <w:t>范围在公路两侧</w:t>
      </w:r>
      <w:r>
        <w:rPr>
          <w:sz w:val="24"/>
        </w:rPr>
        <w:t>50m</w:t>
      </w:r>
      <w:r>
        <w:rPr>
          <w:sz w:val="24"/>
        </w:rPr>
        <w:t>范围内。根据道路洒水拟尘试验结果，道路每天洒水</w:t>
      </w:r>
      <w:r>
        <w:rPr>
          <w:sz w:val="24"/>
        </w:rPr>
        <w:t>4</w:t>
      </w:r>
      <w:r>
        <w:rPr>
          <w:sz w:val="24"/>
        </w:rPr>
        <w:t>～</w:t>
      </w:r>
      <w:r>
        <w:rPr>
          <w:sz w:val="24"/>
        </w:rPr>
        <w:t>5</w:t>
      </w:r>
      <w:r>
        <w:rPr>
          <w:sz w:val="24"/>
        </w:rPr>
        <w:t>次，可使扬尘减少</w:t>
      </w:r>
      <w:r>
        <w:rPr>
          <w:sz w:val="24"/>
        </w:rPr>
        <w:t>70</w:t>
      </w:r>
      <w:r>
        <w:rPr>
          <w:sz w:val="24"/>
        </w:rPr>
        <w:t>％左右，并且扬尘造成的污染距离可缩小至</w:t>
      </w:r>
      <w:r>
        <w:rPr>
          <w:sz w:val="24"/>
        </w:rPr>
        <w:t>20</w:t>
      </w:r>
      <w:r>
        <w:rPr>
          <w:sz w:val="24"/>
        </w:rPr>
        <w:t>～</w:t>
      </w:r>
      <w:r>
        <w:rPr>
          <w:sz w:val="24"/>
        </w:rPr>
        <w:t>50m</w:t>
      </w:r>
      <w:r>
        <w:rPr>
          <w:sz w:val="24"/>
        </w:rPr>
        <w:t>范围内。环评建议对运输路面进行定期洒水降尘及清扫，及时修缮损坏道路，运煤车辆应限速限载，加盖篷布，尽量减少扬尘污染</w:t>
      </w:r>
      <w:r w:rsidR="00B0292C">
        <w:rPr>
          <w:rFonts w:hint="eastAsia"/>
          <w:sz w:val="24"/>
        </w:rPr>
        <w:t>；</w:t>
      </w:r>
      <w:r w:rsidR="00B0292C" w:rsidRPr="00B0292C">
        <w:rPr>
          <w:rFonts w:hint="eastAsia"/>
          <w:color w:val="FF0000"/>
          <w:sz w:val="24"/>
        </w:rPr>
        <w:t>同时在厂区出口设置洗车台</w:t>
      </w:r>
      <w:r w:rsidRPr="00B0292C">
        <w:rPr>
          <w:color w:val="FF0000"/>
          <w:sz w:val="24"/>
        </w:rPr>
        <w:t>。</w:t>
      </w:r>
      <w:r>
        <w:rPr>
          <w:rFonts w:hint="eastAsia"/>
          <w:sz w:val="24"/>
        </w:rPr>
        <w:t>天云</w:t>
      </w:r>
      <w:r>
        <w:rPr>
          <w:sz w:val="24"/>
        </w:rPr>
        <w:t>煤矿进场公路两侧</w:t>
      </w:r>
      <w:r>
        <w:rPr>
          <w:rFonts w:hint="eastAsia"/>
          <w:sz w:val="24"/>
        </w:rPr>
        <w:t>有刘石畔组、念枣坪组、施阳台组等</w:t>
      </w:r>
      <w:r>
        <w:rPr>
          <w:sz w:val="24"/>
        </w:rPr>
        <w:t>居民点，环评建议运输路面进行定期洒水降尘及清扫，运煤车辆应限速限载，加盖篷布，外运道路两边种植防尘林带，并进行道路洒水抑尘、道路及时修缮等尽量减少扬尘污染。</w:t>
      </w:r>
    </w:p>
    <w:p w:rsidR="00AC61C0" w:rsidRDefault="00AC61C0" w:rsidP="004835BD">
      <w:pPr>
        <w:pStyle w:val="4"/>
        <w:spacing w:before="0" w:after="0" w:line="360" w:lineRule="auto"/>
        <w:ind w:firstLineChars="100" w:firstLine="240"/>
        <w:rPr>
          <w:szCs w:val="24"/>
        </w:rPr>
      </w:pPr>
      <w:r>
        <w:rPr>
          <w:szCs w:val="24"/>
        </w:rPr>
        <w:t>4.2.4.</w:t>
      </w:r>
      <w:r>
        <w:rPr>
          <w:rFonts w:hint="eastAsia"/>
          <w:szCs w:val="24"/>
        </w:rPr>
        <w:t>3</w:t>
      </w:r>
      <w:r>
        <w:rPr>
          <w:rFonts w:hint="eastAsia"/>
          <w:szCs w:val="24"/>
        </w:rPr>
        <w:t>项目</w:t>
      </w:r>
      <w:r>
        <w:rPr>
          <w:szCs w:val="24"/>
        </w:rPr>
        <w:t>环境空气</w:t>
      </w:r>
      <w:r>
        <w:rPr>
          <w:rFonts w:hint="eastAsia"/>
          <w:szCs w:val="24"/>
        </w:rPr>
        <w:t>自查表</w:t>
      </w:r>
    </w:p>
    <w:p w:rsidR="00AC61C0" w:rsidRPr="00AC61C0" w:rsidRDefault="00AC61C0" w:rsidP="00AC61C0">
      <w:pPr>
        <w:spacing w:line="360" w:lineRule="auto"/>
        <w:ind w:firstLineChars="200" w:firstLine="480"/>
        <w:rPr>
          <w:sz w:val="24"/>
        </w:rPr>
      </w:pPr>
      <w:r>
        <w:rPr>
          <w:rFonts w:hint="eastAsia"/>
          <w:sz w:val="24"/>
        </w:rPr>
        <w:t>项目环境空气自查表见表</w:t>
      </w:r>
      <w:r w:rsidR="00A7553A">
        <w:rPr>
          <w:rFonts w:hint="eastAsia"/>
          <w:sz w:val="24"/>
        </w:rPr>
        <w:t>E</w:t>
      </w:r>
      <w:r>
        <w:rPr>
          <w:rFonts w:hint="eastAsia"/>
          <w:sz w:val="24"/>
        </w:rPr>
        <w:t>.1</w:t>
      </w:r>
      <w:r>
        <w:rPr>
          <w:rFonts w:hint="eastAsia"/>
          <w:sz w:val="24"/>
        </w:rPr>
        <w:t>。</w:t>
      </w:r>
    </w:p>
    <w:p w:rsidR="00AC61C0" w:rsidRPr="00A7553A" w:rsidRDefault="00AC61C0">
      <w:pPr>
        <w:spacing w:line="360" w:lineRule="auto"/>
        <w:ind w:firstLineChars="200" w:firstLine="480"/>
        <w:rPr>
          <w:color w:val="000000"/>
          <w:sz w:val="24"/>
        </w:rPr>
        <w:sectPr w:rsidR="00AC61C0" w:rsidRPr="00A7553A">
          <w:pgSz w:w="11907" w:h="16840"/>
          <w:pgMar w:top="1440" w:right="1701" w:bottom="1440" w:left="1701" w:header="851" w:footer="992" w:gutter="0"/>
          <w:cols w:space="425"/>
          <w:docGrid w:linePitch="312"/>
        </w:sectPr>
      </w:pPr>
    </w:p>
    <w:p w:rsidR="00A7553A" w:rsidRDefault="00A7553A" w:rsidP="00A7553A">
      <w:pPr>
        <w:autoSpaceDE w:val="0"/>
        <w:autoSpaceDN w:val="0"/>
        <w:adjustRightInd w:val="0"/>
        <w:snapToGrid w:val="0"/>
        <w:jc w:val="center"/>
        <w:rPr>
          <w:rFonts w:ascii="黑体" w:eastAsia="黑体" w:hAnsi="黑体"/>
          <w:sz w:val="24"/>
        </w:rPr>
      </w:pPr>
      <w:r>
        <w:rPr>
          <w:rFonts w:ascii="黑体" w:eastAsia="黑体" w:hAnsi="黑体" w:cs="黑体" w:hint="eastAsia"/>
          <w:color w:val="000000"/>
          <w:kern w:val="0"/>
          <w:sz w:val="24"/>
        </w:rPr>
        <w:lastRenderedPageBreak/>
        <w:t>表</w:t>
      </w:r>
      <w:r>
        <w:rPr>
          <w:rFonts w:ascii="黑体" w:eastAsia="黑体" w:hAnsi="黑体" w:hint="eastAsia"/>
          <w:color w:val="000000"/>
          <w:kern w:val="0"/>
          <w:sz w:val="24"/>
        </w:rPr>
        <w:t xml:space="preserve">E.1  </w:t>
      </w:r>
      <w:r>
        <w:rPr>
          <w:rFonts w:ascii="黑体" w:eastAsia="黑体" w:hAnsi="黑体" w:cs="黑体" w:hint="eastAsia"/>
          <w:color w:val="000000"/>
          <w:kern w:val="0"/>
          <w:sz w:val="24"/>
        </w:rPr>
        <w:t>建设项目大气环境影响评价自查表</w:t>
      </w:r>
    </w:p>
    <w:tbl>
      <w:tblPr>
        <w:tblW w:w="99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85"/>
        <w:gridCol w:w="2272"/>
        <w:gridCol w:w="787"/>
        <w:gridCol w:w="75"/>
        <w:gridCol w:w="406"/>
        <w:gridCol w:w="219"/>
        <w:gridCol w:w="191"/>
        <w:gridCol w:w="438"/>
        <w:gridCol w:w="88"/>
        <w:gridCol w:w="465"/>
        <w:gridCol w:w="151"/>
        <w:gridCol w:w="29"/>
        <w:gridCol w:w="34"/>
        <w:gridCol w:w="94"/>
        <w:gridCol w:w="86"/>
        <w:gridCol w:w="509"/>
        <w:gridCol w:w="68"/>
        <w:gridCol w:w="496"/>
        <w:gridCol w:w="127"/>
        <w:gridCol w:w="160"/>
        <w:gridCol w:w="49"/>
        <w:gridCol w:w="242"/>
        <w:gridCol w:w="778"/>
        <w:gridCol w:w="746"/>
        <w:gridCol w:w="8"/>
      </w:tblGrid>
      <w:tr w:rsidR="00A7553A" w:rsidTr="006C228A">
        <w:trPr>
          <w:trHeight w:val="95"/>
          <w:jc w:val="center"/>
        </w:trPr>
        <w:tc>
          <w:tcPr>
            <w:tcW w:w="1385"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工作内容</w:t>
            </w:r>
          </w:p>
        </w:tc>
        <w:tc>
          <w:tcPr>
            <w:tcW w:w="8518" w:type="dxa"/>
            <w:gridSpan w:val="24"/>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自查项目</w:t>
            </w:r>
          </w:p>
        </w:tc>
      </w:tr>
      <w:tr w:rsidR="00A7553A" w:rsidTr="006C228A">
        <w:trPr>
          <w:trHeight w:val="236"/>
          <w:jc w:val="center"/>
        </w:trPr>
        <w:tc>
          <w:tcPr>
            <w:tcW w:w="1385" w:type="dxa"/>
            <w:vMerge w:val="restart"/>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评价等级与范围</w:t>
            </w: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评价等级</w:t>
            </w:r>
          </w:p>
        </w:tc>
        <w:tc>
          <w:tcPr>
            <w:tcW w:w="2116" w:type="dxa"/>
            <w:gridSpan w:val="6"/>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一级</w:t>
            </w:r>
            <w:r>
              <w:rPr>
                <w:color w:val="000000"/>
                <w:kern w:val="0"/>
                <w:sz w:val="18"/>
                <w:szCs w:val="18"/>
              </w:rPr>
              <w:t>□</w:t>
            </w:r>
          </w:p>
        </w:tc>
        <w:tc>
          <w:tcPr>
            <w:tcW w:w="2020" w:type="dxa"/>
            <w:gridSpan w:val="10"/>
            <w:vAlign w:val="center"/>
          </w:tcPr>
          <w:p w:rsidR="00A7553A" w:rsidRDefault="00A7553A" w:rsidP="00A7553A">
            <w:pPr>
              <w:autoSpaceDE w:val="0"/>
              <w:autoSpaceDN w:val="0"/>
              <w:adjustRightInd w:val="0"/>
              <w:spacing w:line="300" w:lineRule="exact"/>
              <w:jc w:val="center"/>
              <w:rPr>
                <w:b/>
                <w:color w:val="000000"/>
                <w:kern w:val="0"/>
                <w:sz w:val="18"/>
                <w:szCs w:val="18"/>
              </w:rPr>
            </w:pPr>
            <w:r>
              <w:rPr>
                <w:color w:val="000000"/>
                <w:kern w:val="0"/>
                <w:sz w:val="18"/>
                <w:szCs w:val="18"/>
              </w:rPr>
              <w:t>二级</w:t>
            </w:r>
            <w:r>
              <w:rPr>
                <w:color w:val="000000"/>
                <w:kern w:val="0"/>
                <w:sz w:val="18"/>
                <w:szCs w:val="18"/>
              </w:rPr>
              <w:t>□</w:t>
            </w:r>
          </w:p>
        </w:tc>
        <w:tc>
          <w:tcPr>
            <w:tcW w:w="2110" w:type="dxa"/>
            <w:gridSpan w:val="7"/>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三级</w:t>
            </w:r>
            <w:r w:rsidRPr="00A87CF7">
              <w:rPr>
                <w:color w:val="000000"/>
                <w:kern w:val="0"/>
                <w:szCs w:val="21"/>
              </w:rPr>
              <w:sym w:font="Wingdings 2" w:char="F052"/>
            </w:r>
          </w:p>
        </w:tc>
      </w:tr>
      <w:tr w:rsidR="00A7553A" w:rsidTr="006C228A">
        <w:trPr>
          <w:trHeight w:val="101"/>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评价范围</w:t>
            </w:r>
          </w:p>
        </w:tc>
        <w:tc>
          <w:tcPr>
            <w:tcW w:w="2116" w:type="dxa"/>
            <w:gridSpan w:val="6"/>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边长</w:t>
            </w:r>
            <w:r>
              <w:rPr>
                <w:color w:val="000000"/>
                <w:kern w:val="0"/>
                <w:sz w:val="18"/>
                <w:szCs w:val="18"/>
              </w:rPr>
              <w:t>=50km□</w:t>
            </w:r>
          </w:p>
        </w:tc>
        <w:tc>
          <w:tcPr>
            <w:tcW w:w="2020" w:type="dxa"/>
            <w:gridSpan w:val="10"/>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边长</w:t>
            </w:r>
            <w:r>
              <w:rPr>
                <w:color w:val="000000"/>
                <w:kern w:val="0"/>
                <w:sz w:val="18"/>
                <w:szCs w:val="18"/>
              </w:rPr>
              <w:t>5</w:t>
            </w:r>
            <w:r>
              <w:rPr>
                <w:color w:val="000000"/>
                <w:kern w:val="0"/>
                <w:sz w:val="18"/>
                <w:szCs w:val="18"/>
              </w:rPr>
              <w:t>～</w:t>
            </w:r>
            <w:r>
              <w:rPr>
                <w:color w:val="000000"/>
                <w:kern w:val="0"/>
                <w:sz w:val="18"/>
                <w:szCs w:val="18"/>
              </w:rPr>
              <w:t>50km□</w:t>
            </w:r>
          </w:p>
        </w:tc>
        <w:tc>
          <w:tcPr>
            <w:tcW w:w="2110" w:type="dxa"/>
            <w:gridSpan w:val="7"/>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边长</w:t>
            </w:r>
            <w:r>
              <w:rPr>
                <w:color w:val="000000"/>
                <w:kern w:val="0"/>
                <w:sz w:val="18"/>
                <w:szCs w:val="18"/>
              </w:rPr>
              <w:t>=5 km□</w:t>
            </w:r>
          </w:p>
        </w:tc>
      </w:tr>
      <w:tr w:rsidR="00A7553A" w:rsidTr="006C228A">
        <w:trPr>
          <w:trHeight w:val="268"/>
          <w:jc w:val="center"/>
        </w:trPr>
        <w:tc>
          <w:tcPr>
            <w:tcW w:w="1385" w:type="dxa"/>
            <w:vMerge w:val="restart"/>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评价因子</w:t>
            </w: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SO2 +NOx</w:t>
            </w:r>
            <w:r>
              <w:rPr>
                <w:color w:val="000000"/>
                <w:kern w:val="0"/>
                <w:sz w:val="18"/>
                <w:szCs w:val="18"/>
              </w:rPr>
              <w:t>排放量</w:t>
            </w:r>
          </w:p>
        </w:tc>
        <w:tc>
          <w:tcPr>
            <w:tcW w:w="2116" w:type="dxa"/>
            <w:gridSpan w:val="6"/>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hint="eastAsia"/>
                <w:color w:val="000000"/>
                <w:kern w:val="0"/>
                <w:sz w:val="18"/>
                <w:szCs w:val="18"/>
              </w:rPr>
              <w:t>/</w:t>
            </w:r>
          </w:p>
        </w:tc>
        <w:tc>
          <w:tcPr>
            <w:tcW w:w="2020" w:type="dxa"/>
            <w:gridSpan w:val="10"/>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hint="eastAsia"/>
                <w:color w:val="000000"/>
                <w:kern w:val="0"/>
                <w:sz w:val="18"/>
                <w:szCs w:val="18"/>
              </w:rPr>
              <w:t>/</w:t>
            </w:r>
          </w:p>
        </w:tc>
        <w:tc>
          <w:tcPr>
            <w:tcW w:w="2110" w:type="dxa"/>
            <w:gridSpan w:val="7"/>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hint="eastAsia"/>
                <w:color w:val="000000"/>
                <w:kern w:val="0"/>
                <w:sz w:val="18"/>
                <w:szCs w:val="18"/>
              </w:rPr>
              <w:t>/</w:t>
            </w:r>
          </w:p>
        </w:tc>
      </w:tr>
      <w:tr w:rsidR="00A7553A" w:rsidTr="006C228A">
        <w:trPr>
          <w:trHeight w:val="239"/>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评价因子</w:t>
            </w:r>
          </w:p>
        </w:tc>
        <w:tc>
          <w:tcPr>
            <w:tcW w:w="2883" w:type="dxa"/>
            <w:gridSpan w:val="11"/>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基</w:t>
            </w:r>
            <w:r w:rsidRPr="00EB0910">
              <w:rPr>
                <w:color w:val="000000"/>
                <w:kern w:val="0"/>
                <w:sz w:val="18"/>
                <w:szCs w:val="18"/>
              </w:rPr>
              <w:t>本污染物</w:t>
            </w:r>
            <w:r w:rsidRPr="00EB0910">
              <w:rPr>
                <w:color w:val="000000"/>
                <w:kern w:val="0"/>
                <w:sz w:val="18"/>
                <w:szCs w:val="18"/>
              </w:rPr>
              <w:t>(SO</w:t>
            </w:r>
            <w:r w:rsidRPr="00EB0910">
              <w:rPr>
                <w:color w:val="000000"/>
                <w:kern w:val="0"/>
                <w:sz w:val="18"/>
                <w:szCs w:val="18"/>
                <w:vertAlign w:val="subscript"/>
              </w:rPr>
              <w:t>2</w:t>
            </w:r>
            <w:r w:rsidRPr="00EB0910">
              <w:rPr>
                <w:color w:val="000000"/>
                <w:kern w:val="0"/>
                <w:sz w:val="18"/>
                <w:szCs w:val="18"/>
              </w:rPr>
              <w:t>、</w:t>
            </w:r>
            <w:r w:rsidRPr="00EB0910">
              <w:rPr>
                <w:color w:val="000000"/>
                <w:kern w:val="0"/>
                <w:sz w:val="18"/>
                <w:szCs w:val="18"/>
              </w:rPr>
              <w:t>NO</w:t>
            </w:r>
            <w:r w:rsidRPr="00EB0910">
              <w:rPr>
                <w:color w:val="000000"/>
                <w:kern w:val="0"/>
                <w:sz w:val="18"/>
                <w:szCs w:val="18"/>
                <w:vertAlign w:val="subscript"/>
              </w:rPr>
              <w:t>2</w:t>
            </w:r>
            <w:r w:rsidRPr="00EB0910">
              <w:rPr>
                <w:color w:val="000000"/>
                <w:kern w:val="0"/>
                <w:sz w:val="18"/>
                <w:szCs w:val="18"/>
              </w:rPr>
              <w:t>、</w:t>
            </w:r>
            <w:r w:rsidRPr="00EB0910">
              <w:rPr>
                <w:color w:val="000000"/>
                <w:kern w:val="0"/>
                <w:sz w:val="18"/>
                <w:szCs w:val="18"/>
              </w:rPr>
              <w:t>PM</w:t>
            </w:r>
            <w:r w:rsidRPr="00EB0910">
              <w:rPr>
                <w:color w:val="000000"/>
                <w:kern w:val="0"/>
                <w:sz w:val="18"/>
                <w:szCs w:val="18"/>
                <w:vertAlign w:val="subscript"/>
              </w:rPr>
              <w:t>10</w:t>
            </w:r>
            <w:r w:rsidRPr="00EB0910">
              <w:rPr>
                <w:color w:val="000000"/>
                <w:kern w:val="0"/>
                <w:sz w:val="18"/>
                <w:szCs w:val="18"/>
              </w:rPr>
              <w:t>、</w:t>
            </w:r>
            <w:r w:rsidRPr="00EB0910">
              <w:rPr>
                <w:color w:val="000000"/>
                <w:kern w:val="0"/>
                <w:sz w:val="18"/>
                <w:szCs w:val="18"/>
              </w:rPr>
              <w:t>PM</w:t>
            </w:r>
            <w:r w:rsidRPr="00EB0910">
              <w:rPr>
                <w:color w:val="000000"/>
                <w:kern w:val="0"/>
                <w:sz w:val="18"/>
                <w:szCs w:val="18"/>
                <w:vertAlign w:val="subscript"/>
              </w:rPr>
              <w:t>2.5</w:t>
            </w:r>
            <w:r w:rsidRPr="00EB0910">
              <w:rPr>
                <w:color w:val="000000"/>
                <w:kern w:val="0"/>
                <w:sz w:val="18"/>
                <w:szCs w:val="18"/>
              </w:rPr>
              <w:t>、</w:t>
            </w:r>
            <w:r w:rsidRPr="00EB0910">
              <w:rPr>
                <w:color w:val="000000"/>
                <w:kern w:val="0"/>
                <w:sz w:val="18"/>
                <w:szCs w:val="18"/>
              </w:rPr>
              <w:t>CO</w:t>
            </w:r>
            <w:r w:rsidRPr="00EB0910">
              <w:rPr>
                <w:color w:val="000000"/>
                <w:kern w:val="0"/>
                <w:sz w:val="18"/>
                <w:szCs w:val="18"/>
              </w:rPr>
              <w:t>、</w:t>
            </w:r>
            <w:r w:rsidRPr="00EB0910">
              <w:rPr>
                <w:color w:val="000000"/>
                <w:kern w:val="0"/>
                <w:sz w:val="18"/>
                <w:szCs w:val="18"/>
              </w:rPr>
              <w:t>O</w:t>
            </w:r>
            <w:r w:rsidRPr="00EB0910">
              <w:rPr>
                <w:color w:val="000000"/>
                <w:kern w:val="0"/>
                <w:sz w:val="18"/>
                <w:szCs w:val="18"/>
                <w:vertAlign w:val="subscript"/>
              </w:rPr>
              <w:t>3</w:t>
            </w:r>
            <w:r w:rsidRPr="00EB0910">
              <w:rPr>
                <w:color w:val="000000"/>
                <w:kern w:val="0"/>
                <w:sz w:val="18"/>
                <w:szCs w:val="18"/>
              </w:rPr>
              <w:t>)</w:t>
            </w:r>
            <w:r w:rsidRPr="00EB0910">
              <w:rPr>
                <w:color w:val="000000"/>
                <w:kern w:val="0"/>
                <w:sz w:val="18"/>
                <w:szCs w:val="18"/>
              </w:rPr>
              <w:t>其他污染物</w:t>
            </w:r>
            <w:r w:rsidRPr="00EB0910">
              <w:rPr>
                <w:color w:val="000000"/>
                <w:kern w:val="0"/>
                <w:sz w:val="18"/>
                <w:szCs w:val="18"/>
              </w:rPr>
              <w:t>()</w:t>
            </w:r>
          </w:p>
        </w:tc>
        <w:tc>
          <w:tcPr>
            <w:tcW w:w="3363" w:type="dxa"/>
            <w:gridSpan w:val="12"/>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包括二次</w:t>
            </w:r>
            <w:r>
              <w:rPr>
                <w:color w:val="000000"/>
                <w:kern w:val="0"/>
                <w:sz w:val="18"/>
                <w:szCs w:val="18"/>
              </w:rPr>
              <w:t>PM2.5□</w:t>
            </w:r>
          </w:p>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不包括二次</w:t>
            </w:r>
            <w:r>
              <w:rPr>
                <w:color w:val="000000"/>
                <w:kern w:val="0"/>
                <w:sz w:val="18"/>
                <w:szCs w:val="18"/>
              </w:rPr>
              <w:t>PM2.5</w:t>
            </w:r>
            <w:r w:rsidRPr="00A87CF7">
              <w:rPr>
                <w:color w:val="000000"/>
                <w:kern w:val="0"/>
                <w:szCs w:val="21"/>
              </w:rPr>
              <w:sym w:font="Wingdings 2" w:char="F052"/>
            </w:r>
          </w:p>
        </w:tc>
      </w:tr>
      <w:tr w:rsidR="00A7553A" w:rsidTr="006C228A">
        <w:trPr>
          <w:trHeight w:val="101"/>
          <w:jc w:val="center"/>
        </w:trPr>
        <w:tc>
          <w:tcPr>
            <w:tcW w:w="1385"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评价标准</w:t>
            </w: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评价标准</w:t>
            </w:r>
          </w:p>
        </w:tc>
        <w:tc>
          <w:tcPr>
            <w:tcW w:w="1487" w:type="dxa"/>
            <w:gridSpan w:val="4"/>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国家标准</w:t>
            </w:r>
            <w:r w:rsidRPr="00A87CF7">
              <w:rPr>
                <w:color w:val="000000"/>
                <w:kern w:val="0"/>
                <w:szCs w:val="21"/>
              </w:rPr>
              <w:sym w:font="Wingdings 2" w:char="F052"/>
            </w:r>
          </w:p>
        </w:tc>
        <w:tc>
          <w:tcPr>
            <w:tcW w:w="1396" w:type="dxa"/>
            <w:gridSpan w:val="7"/>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地方标准</w:t>
            </w:r>
            <w:r>
              <w:rPr>
                <w:color w:val="000000"/>
                <w:kern w:val="0"/>
                <w:sz w:val="18"/>
                <w:szCs w:val="18"/>
              </w:rPr>
              <w:t>□</w:t>
            </w:r>
          </w:p>
        </w:tc>
        <w:tc>
          <w:tcPr>
            <w:tcW w:w="1540" w:type="dxa"/>
            <w:gridSpan w:val="7"/>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附录</w:t>
            </w:r>
            <w:r>
              <w:rPr>
                <w:color w:val="000000"/>
                <w:kern w:val="0"/>
                <w:sz w:val="18"/>
                <w:szCs w:val="18"/>
              </w:rPr>
              <w:t>D □</w:t>
            </w:r>
          </w:p>
        </w:tc>
        <w:tc>
          <w:tcPr>
            <w:tcW w:w="1823" w:type="dxa"/>
            <w:gridSpan w:val="5"/>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其他标准</w:t>
            </w:r>
            <w:r>
              <w:rPr>
                <w:color w:val="000000"/>
                <w:kern w:val="0"/>
                <w:sz w:val="18"/>
                <w:szCs w:val="18"/>
              </w:rPr>
              <w:t>□</w:t>
            </w:r>
          </w:p>
        </w:tc>
      </w:tr>
      <w:tr w:rsidR="00A7553A" w:rsidTr="006C228A">
        <w:trPr>
          <w:trHeight w:val="381"/>
          <w:jc w:val="center"/>
        </w:trPr>
        <w:tc>
          <w:tcPr>
            <w:tcW w:w="1385" w:type="dxa"/>
            <w:vMerge w:val="restart"/>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现状评价</w:t>
            </w: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环境功能区</w:t>
            </w:r>
          </w:p>
        </w:tc>
        <w:tc>
          <w:tcPr>
            <w:tcW w:w="2116" w:type="dxa"/>
            <w:gridSpan w:val="6"/>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一类区</w:t>
            </w:r>
            <w:r>
              <w:rPr>
                <w:color w:val="000000"/>
                <w:kern w:val="0"/>
                <w:sz w:val="18"/>
                <w:szCs w:val="18"/>
              </w:rPr>
              <w:t>□</w:t>
            </w:r>
          </w:p>
        </w:tc>
        <w:tc>
          <w:tcPr>
            <w:tcW w:w="2020" w:type="dxa"/>
            <w:gridSpan w:val="10"/>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二类区</w:t>
            </w:r>
            <w:r w:rsidRPr="00A87CF7">
              <w:rPr>
                <w:color w:val="000000"/>
                <w:kern w:val="0"/>
                <w:szCs w:val="21"/>
              </w:rPr>
              <w:sym w:font="Wingdings 2" w:char="F052"/>
            </w:r>
          </w:p>
        </w:tc>
        <w:tc>
          <w:tcPr>
            <w:tcW w:w="2110" w:type="dxa"/>
            <w:gridSpan w:val="7"/>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一类区和二类区</w:t>
            </w:r>
            <w:r>
              <w:rPr>
                <w:color w:val="000000"/>
                <w:kern w:val="0"/>
                <w:sz w:val="18"/>
                <w:szCs w:val="18"/>
              </w:rPr>
              <w:t>□</w:t>
            </w:r>
          </w:p>
        </w:tc>
      </w:tr>
      <w:tr w:rsidR="00A7553A" w:rsidTr="006C228A">
        <w:trPr>
          <w:trHeight w:val="95"/>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评价基准年</w:t>
            </w:r>
          </w:p>
        </w:tc>
        <w:tc>
          <w:tcPr>
            <w:tcW w:w="6246" w:type="dxa"/>
            <w:gridSpan w:val="23"/>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w:t>
            </w:r>
            <w:r>
              <w:rPr>
                <w:rFonts w:hint="eastAsia"/>
                <w:color w:val="000000"/>
                <w:kern w:val="0"/>
                <w:sz w:val="18"/>
                <w:szCs w:val="18"/>
              </w:rPr>
              <w:t>2018</w:t>
            </w:r>
            <w:r>
              <w:rPr>
                <w:color w:val="000000"/>
                <w:kern w:val="0"/>
                <w:sz w:val="18"/>
                <w:szCs w:val="18"/>
              </w:rPr>
              <w:t>）年</w:t>
            </w:r>
          </w:p>
        </w:tc>
      </w:tr>
      <w:tr w:rsidR="00A7553A" w:rsidTr="006C228A">
        <w:trPr>
          <w:trHeight w:val="232"/>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环境空气质量现状调查数据来源</w:t>
            </w:r>
          </w:p>
        </w:tc>
        <w:tc>
          <w:tcPr>
            <w:tcW w:w="2116" w:type="dxa"/>
            <w:gridSpan w:val="6"/>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长期例行监测数据</w:t>
            </w:r>
            <w:r>
              <w:rPr>
                <w:color w:val="000000"/>
                <w:kern w:val="0"/>
                <w:sz w:val="18"/>
                <w:szCs w:val="18"/>
              </w:rPr>
              <w:t>□</w:t>
            </w:r>
          </w:p>
        </w:tc>
        <w:tc>
          <w:tcPr>
            <w:tcW w:w="2020" w:type="dxa"/>
            <w:gridSpan w:val="10"/>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主管部门发布的数据</w:t>
            </w:r>
            <w:r w:rsidRPr="00A87CF7">
              <w:rPr>
                <w:color w:val="000000"/>
                <w:kern w:val="0"/>
                <w:szCs w:val="21"/>
              </w:rPr>
              <w:sym w:font="Wingdings 2" w:char="F052"/>
            </w:r>
          </w:p>
        </w:tc>
        <w:tc>
          <w:tcPr>
            <w:tcW w:w="2110" w:type="dxa"/>
            <w:gridSpan w:val="7"/>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现状补充监测</w:t>
            </w:r>
            <w:r>
              <w:rPr>
                <w:color w:val="000000"/>
                <w:kern w:val="0"/>
                <w:sz w:val="18"/>
                <w:szCs w:val="18"/>
              </w:rPr>
              <w:t>□</w:t>
            </w:r>
          </w:p>
        </w:tc>
      </w:tr>
      <w:tr w:rsidR="00A7553A" w:rsidTr="006C228A">
        <w:trPr>
          <w:trHeight w:val="95"/>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现状评价</w:t>
            </w:r>
          </w:p>
        </w:tc>
        <w:tc>
          <w:tcPr>
            <w:tcW w:w="2977" w:type="dxa"/>
            <w:gridSpan w:val="12"/>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达标区</w:t>
            </w:r>
            <w:r>
              <w:rPr>
                <w:color w:val="000000"/>
                <w:kern w:val="0"/>
                <w:sz w:val="18"/>
                <w:szCs w:val="18"/>
              </w:rPr>
              <w:t>□</w:t>
            </w:r>
          </w:p>
        </w:tc>
        <w:tc>
          <w:tcPr>
            <w:tcW w:w="3269" w:type="dxa"/>
            <w:gridSpan w:val="11"/>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不达标区</w:t>
            </w:r>
            <w:r w:rsidRPr="00A87CF7">
              <w:rPr>
                <w:color w:val="000000"/>
                <w:kern w:val="0"/>
                <w:szCs w:val="21"/>
              </w:rPr>
              <w:sym w:font="Wingdings 2" w:char="F052"/>
            </w:r>
          </w:p>
        </w:tc>
      </w:tr>
      <w:tr w:rsidR="00A7553A" w:rsidTr="006C228A">
        <w:trPr>
          <w:gridAfter w:val="1"/>
          <w:wAfter w:w="8" w:type="dxa"/>
          <w:trHeight w:val="369"/>
          <w:jc w:val="center"/>
        </w:trPr>
        <w:tc>
          <w:tcPr>
            <w:tcW w:w="1385"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污染源调查</w:t>
            </w: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调查内容</w:t>
            </w:r>
          </w:p>
        </w:tc>
        <w:tc>
          <w:tcPr>
            <w:tcW w:w="1678" w:type="dxa"/>
            <w:gridSpan w:val="5"/>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本项目正常排放源</w:t>
            </w:r>
            <w:r w:rsidRPr="00A87CF7">
              <w:rPr>
                <w:color w:val="000000"/>
                <w:kern w:val="0"/>
                <w:szCs w:val="21"/>
              </w:rPr>
              <w:sym w:font="Wingdings 2" w:char="F052"/>
            </w:r>
          </w:p>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本项目非正常排放源</w:t>
            </w:r>
            <w:r>
              <w:rPr>
                <w:color w:val="000000"/>
                <w:kern w:val="0"/>
                <w:sz w:val="18"/>
                <w:szCs w:val="18"/>
              </w:rPr>
              <w:t>□</w:t>
            </w:r>
          </w:p>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现有污染源</w:t>
            </w:r>
            <w:r>
              <w:rPr>
                <w:color w:val="000000"/>
                <w:kern w:val="0"/>
                <w:sz w:val="18"/>
                <w:szCs w:val="18"/>
              </w:rPr>
              <w:t>□</w:t>
            </w:r>
          </w:p>
        </w:tc>
        <w:tc>
          <w:tcPr>
            <w:tcW w:w="1299" w:type="dxa"/>
            <w:gridSpan w:val="7"/>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拟替代的污染源</w:t>
            </w:r>
            <w:r>
              <w:rPr>
                <w:color w:val="000000"/>
                <w:kern w:val="0"/>
                <w:sz w:val="18"/>
                <w:szCs w:val="18"/>
              </w:rPr>
              <w:t>□</w:t>
            </w:r>
          </w:p>
        </w:tc>
        <w:tc>
          <w:tcPr>
            <w:tcW w:w="1737" w:type="dxa"/>
            <w:gridSpan w:val="8"/>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其他在建、拟建项目污染源</w:t>
            </w:r>
            <w:r>
              <w:rPr>
                <w:color w:val="000000"/>
                <w:kern w:val="0"/>
                <w:sz w:val="18"/>
                <w:szCs w:val="18"/>
              </w:rPr>
              <w:t>□</w:t>
            </w:r>
          </w:p>
        </w:tc>
        <w:tc>
          <w:tcPr>
            <w:tcW w:w="1524" w:type="dxa"/>
            <w:gridSpan w:val="2"/>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区域污染源</w:t>
            </w:r>
            <w:r>
              <w:rPr>
                <w:color w:val="000000"/>
                <w:kern w:val="0"/>
                <w:sz w:val="18"/>
                <w:szCs w:val="18"/>
              </w:rPr>
              <w:t>□</w:t>
            </w:r>
          </w:p>
        </w:tc>
      </w:tr>
      <w:tr w:rsidR="00A7553A" w:rsidTr="006C228A">
        <w:trPr>
          <w:trHeight w:val="913"/>
          <w:jc w:val="center"/>
        </w:trPr>
        <w:tc>
          <w:tcPr>
            <w:tcW w:w="1385" w:type="dxa"/>
            <w:vMerge w:val="restart"/>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大气环境影响预测与评价</w:t>
            </w: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预测</w:t>
            </w:r>
          </w:p>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模型</w:t>
            </w:r>
          </w:p>
        </w:tc>
        <w:tc>
          <w:tcPr>
            <w:tcW w:w="862" w:type="dxa"/>
            <w:gridSpan w:val="2"/>
            <w:vAlign w:val="center"/>
          </w:tcPr>
          <w:p w:rsidR="00A7553A" w:rsidRDefault="00A7553A" w:rsidP="00A7553A">
            <w:pPr>
              <w:autoSpaceDE w:val="0"/>
              <w:autoSpaceDN w:val="0"/>
              <w:adjustRightInd w:val="0"/>
              <w:spacing w:line="300" w:lineRule="exact"/>
              <w:jc w:val="center"/>
              <w:rPr>
                <w:color w:val="000000"/>
                <w:kern w:val="0"/>
                <w:sz w:val="13"/>
                <w:szCs w:val="18"/>
              </w:rPr>
            </w:pPr>
            <w:r>
              <w:rPr>
                <w:color w:val="000000"/>
                <w:kern w:val="0"/>
                <w:sz w:val="13"/>
                <w:szCs w:val="18"/>
              </w:rPr>
              <w:t>AERMOD □</w:t>
            </w:r>
          </w:p>
        </w:tc>
        <w:tc>
          <w:tcPr>
            <w:tcW w:w="816" w:type="dxa"/>
            <w:gridSpan w:val="3"/>
            <w:vAlign w:val="center"/>
          </w:tcPr>
          <w:p w:rsidR="00A7553A" w:rsidRDefault="00A7553A" w:rsidP="00A7553A">
            <w:pPr>
              <w:autoSpaceDE w:val="0"/>
              <w:autoSpaceDN w:val="0"/>
              <w:adjustRightInd w:val="0"/>
              <w:spacing w:line="300" w:lineRule="exact"/>
              <w:jc w:val="center"/>
              <w:rPr>
                <w:color w:val="000000"/>
                <w:kern w:val="0"/>
                <w:sz w:val="13"/>
                <w:szCs w:val="18"/>
              </w:rPr>
            </w:pPr>
            <w:r>
              <w:rPr>
                <w:color w:val="000000"/>
                <w:kern w:val="0"/>
                <w:sz w:val="13"/>
                <w:szCs w:val="18"/>
              </w:rPr>
              <w:t>ADMS □</w:t>
            </w:r>
          </w:p>
        </w:tc>
        <w:tc>
          <w:tcPr>
            <w:tcW w:w="991" w:type="dxa"/>
            <w:gridSpan w:val="3"/>
            <w:vAlign w:val="center"/>
          </w:tcPr>
          <w:p w:rsidR="00A7553A" w:rsidRDefault="00A7553A" w:rsidP="00A7553A">
            <w:pPr>
              <w:autoSpaceDE w:val="0"/>
              <w:autoSpaceDN w:val="0"/>
              <w:adjustRightInd w:val="0"/>
              <w:spacing w:line="300" w:lineRule="exact"/>
              <w:jc w:val="center"/>
              <w:rPr>
                <w:color w:val="000000"/>
                <w:kern w:val="0"/>
                <w:sz w:val="13"/>
                <w:szCs w:val="18"/>
              </w:rPr>
            </w:pPr>
            <w:r>
              <w:rPr>
                <w:color w:val="000000"/>
                <w:kern w:val="0"/>
                <w:sz w:val="13"/>
                <w:szCs w:val="18"/>
              </w:rPr>
              <w:t>AUSTAL</w:t>
            </w:r>
          </w:p>
          <w:p w:rsidR="00A7553A" w:rsidRDefault="00A7553A" w:rsidP="00A7553A">
            <w:pPr>
              <w:autoSpaceDE w:val="0"/>
              <w:autoSpaceDN w:val="0"/>
              <w:adjustRightInd w:val="0"/>
              <w:spacing w:line="300" w:lineRule="exact"/>
              <w:jc w:val="center"/>
              <w:rPr>
                <w:color w:val="000000"/>
                <w:kern w:val="0"/>
                <w:sz w:val="13"/>
                <w:szCs w:val="18"/>
              </w:rPr>
            </w:pPr>
            <w:r>
              <w:rPr>
                <w:color w:val="000000"/>
                <w:kern w:val="0"/>
                <w:sz w:val="13"/>
                <w:szCs w:val="18"/>
              </w:rPr>
              <w:t>2000 □</w:t>
            </w:r>
          </w:p>
        </w:tc>
        <w:tc>
          <w:tcPr>
            <w:tcW w:w="903" w:type="dxa"/>
            <w:gridSpan w:val="6"/>
            <w:vAlign w:val="center"/>
          </w:tcPr>
          <w:p w:rsidR="00A7553A" w:rsidRDefault="00A7553A" w:rsidP="00A7553A">
            <w:pPr>
              <w:autoSpaceDE w:val="0"/>
              <w:autoSpaceDN w:val="0"/>
              <w:adjustRightInd w:val="0"/>
              <w:spacing w:line="300" w:lineRule="exact"/>
              <w:jc w:val="center"/>
              <w:rPr>
                <w:color w:val="000000"/>
                <w:kern w:val="0"/>
                <w:sz w:val="13"/>
                <w:szCs w:val="18"/>
              </w:rPr>
            </w:pPr>
            <w:r>
              <w:rPr>
                <w:color w:val="000000"/>
                <w:kern w:val="0"/>
                <w:sz w:val="13"/>
                <w:szCs w:val="18"/>
              </w:rPr>
              <w:t>EDMS/</w:t>
            </w:r>
          </w:p>
          <w:p w:rsidR="00A7553A" w:rsidRDefault="00A7553A" w:rsidP="00A7553A">
            <w:pPr>
              <w:autoSpaceDE w:val="0"/>
              <w:autoSpaceDN w:val="0"/>
              <w:adjustRightInd w:val="0"/>
              <w:spacing w:line="300" w:lineRule="exact"/>
              <w:jc w:val="center"/>
              <w:rPr>
                <w:color w:val="000000"/>
                <w:kern w:val="0"/>
                <w:sz w:val="13"/>
                <w:szCs w:val="18"/>
              </w:rPr>
            </w:pPr>
            <w:r>
              <w:rPr>
                <w:color w:val="000000"/>
                <w:kern w:val="0"/>
                <w:sz w:val="13"/>
                <w:szCs w:val="18"/>
              </w:rPr>
              <w:t>AEDT □</w:t>
            </w:r>
          </w:p>
        </w:tc>
        <w:tc>
          <w:tcPr>
            <w:tcW w:w="900" w:type="dxa"/>
            <w:gridSpan w:val="5"/>
            <w:vAlign w:val="center"/>
          </w:tcPr>
          <w:p w:rsidR="00A7553A" w:rsidRDefault="00A7553A" w:rsidP="00A7553A">
            <w:pPr>
              <w:autoSpaceDE w:val="0"/>
              <w:autoSpaceDN w:val="0"/>
              <w:adjustRightInd w:val="0"/>
              <w:spacing w:line="300" w:lineRule="exact"/>
              <w:jc w:val="center"/>
              <w:rPr>
                <w:color w:val="000000"/>
                <w:kern w:val="0"/>
                <w:sz w:val="13"/>
                <w:szCs w:val="18"/>
              </w:rPr>
            </w:pPr>
            <w:r>
              <w:rPr>
                <w:color w:val="000000"/>
                <w:kern w:val="0"/>
                <w:sz w:val="13"/>
                <w:szCs w:val="18"/>
              </w:rPr>
              <w:t>CALPUFF □</w:t>
            </w:r>
          </w:p>
        </w:tc>
        <w:tc>
          <w:tcPr>
            <w:tcW w:w="1020" w:type="dxa"/>
            <w:gridSpan w:val="2"/>
            <w:vAlign w:val="center"/>
          </w:tcPr>
          <w:p w:rsidR="00A7553A" w:rsidRDefault="00A7553A" w:rsidP="00A7553A">
            <w:pPr>
              <w:autoSpaceDE w:val="0"/>
              <w:autoSpaceDN w:val="0"/>
              <w:adjustRightInd w:val="0"/>
              <w:spacing w:line="300" w:lineRule="exact"/>
              <w:jc w:val="center"/>
              <w:rPr>
                <w:color w:val="000000"/>
                <w:kern w:val="0"/>
                <w:sz w:val="13"/>
                <w:szCs w:val="18"/>
              </w:rPr>
            </w:pPr>
            <w:r>
              <w:rPr>
                <w:color w:val="000000"/>
                <w:kern w:val="0"/>
                <w:sz w:val="13"/>
                <w:szCs w:val="18"/>
              </w:rPr>
              <w:t>网格模型</w:t>
            </w:r>
            <w:r>
              <w:rPr>
                <w:color w:val="000000"/>
                <w:kern w:val="0"/>
                <w:sz w:val="13"/>
                <w:szCs w:val="18"/>
              </w:rPr>
              <w:t>□</w:t>
            </w:r>
          </w:p>
        </w:tc>
        <w:tc>
          <w:tcPr>
            <w:tcW w:w="754" w:type="dxa"/>
            <w:gridSpan w:val="2"/>
            <w:vAlign w:val="center"/>
          </w:tcPr>
          <w:p w:rsidR="00A7553A" w:rsidRDefault="00A7553A" w:rsidP="00A7553A">
            <w:pPr>
              <w:autoSpaceDE w:val="0"/>
              <w:autoSpaceDN w:val="0"/>
              <w:adjustRightInd w:val="0"/>
              <w:spacing w:line="300" w:lineRule="exact"/>
              <w:jc w:val="center"/>
              <w:rPr>
                <w:color w:val="000000"/>
                <w:kern w:val="0"/>
                <w:sz w:val="13"/>
                <w:szCs w:val="18"/>
              </w:rPr>
            </w:pPr>
            <w:r>
              <w:rPr>
                <w:color w:val="000000"/>
                <w:kern w:val="0"/>
                <w:sz w:val="13"/>
                <w:szCs w:val="18"/>
              </w:rPr>
              <w:t>其他</w:t>
            </w:r>
            <w:r>
              <w:rPr>
                <w:color w:val="000000"/>
                <w:kern w:val="0"/>
                <w:sz w:val="13"/>
                <w:szCs w:val="18"/>
              </w:rPr>
              <w:t>□</w:t>
            </w:r>
          </w:p>
        </w:tc>
      </w:tr>
      <w:tr w:rsidR="00A7553A" w:rsidTr="006C228A">
        <w:trPr>
          <w:trHeight w:val="101"/>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预测</w:t>
            </w:r>
          </w:p>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范围</w:t>
            </w:r>
          </w:p>
        </w:tc>
        <w:tc>
          <w:tcPr>
            <w:tcW w:w="1268" w:type="dxa"/>
            <w:gridSpan w:val="3"/>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边长</w:t>
            </w:r>
            <w:r>
              <w:rPr>
                <w:color w:val="000000"/>
                <w:kern w:val="0"/>
                <w:sz w:val="18"/>
                <w:szCs w:val="18"/>
              </w:rPr>
              <w:t>≥50km□</w:t>
            </w:r>
          </w:p>
        </w:tc>
        <w:tc>
          <w:tcPr>
            <w:tcW w:w="2372" w:type="dxa"/>
            <w:gridSpan w:val="12"/>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边长</w:t>
            </w:r>
            <w:r>
              <w:rPr>
                <w:color w:val="000000"/>
                <w:kern w:val="0"/>
                <w:sz w:val="18"/>
                <w:szCs w:val="18"/>
              </w:rPr>
              <w:t>5</w:t>
            </w:r>
            <w:r>
              <w:rPr>
                <w:color w:val="000000"/>
                <w:kern w:val="0"/>
                <w:sz w:val="18"/>
                <w:szCs w:val="18"/>
              </w:rPr>
              <w:t>～</w:t>
            </w:r>
            <w:r>
              <w:rPr>
                <w:color w:val="000000"/>
                <w:kern w:val="0"/>
                <w:sz w:val="18"/>
                <w:szCs w:val="18"/>
              </w:rPr>
              <w:t>50km □</w:t>
            </w:r>
          </w:p>
        </w:tc>
        <w:tc>
          <w:tcPr>
            <w:tcW w:w="2606" w:type="dxa"/>
            <w:gridSpan w:val="8"/>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边长</w:t>
            </w:r>
            <w:r>
              <w:rPr>
                <w:color w:val="000000"/>
                <w:kern w:val="0"/>
                <w:sz w:val="18"/>
                <w:szCs w:val="18"/>
              </w:rPr>
              <w:t>= 5 km □</w:t>
            </w:r>
          </w:p>
        </w:tc>
      </w:tr>
      <w:tr w:rsidR="00A7553A" w:rsidTr="006C228A">
        <w:trPr>
          <w:trHeight w:val="637"/>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预测因子</w:t>
            </w:r>
          </w:p>
        </w:tc>
        <w:tc>
          <w:tcPr>
            <w:tcW w:w="2820" w:type="dxa"/>
            <w:gridSpan w:val="9"/>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预测因子</w:t>
            </w:r>
            <w:r>
              <w:rPr>
                <w:color w:val="000000"/>
                <w:kern w:val="0"/>
                <w:sz w:val="18"/>
                <w:szCs w:val="18"/>
              </w:rPr>
              <w:t>( )</w:t>
            </w:r>
          </w:p>
        </w:tc>
        <w:tc>
          <w:tcPr>
            <w:tcW w:w="3426" w:type="dxa"/>
            <w:gridSpan w:val="14"/>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包括二次</w:t>
            </w:r>
            <w:r>
              <w:rPr>
                <w:color w:val="000000"/>
                <w:kern w:val="0"/>
                <w:sz w:val="18"/>
                <w:szCs w:val="18"/>
              </w:rPr>
              <w:t>PM2.5 □</w:t>
            </w:r>
          </w:p>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不包括二次</w:t>
            </w:r>
            <w:r>
              <w:rPr>
                <w:color w:val="000000"/>
                <w:kern w:val="0"/>
                <w:sz w:val="18"/>
                <w:szCs w:val="18"/>
              </w:rPr>
              <w:t>PM2.5 □</w:t>
            </w:r>
          </w:p>
        </w:tc>
      </w:tr>
      <w:tr w:rsidR="00A7553A" w:rsidTr="006C228A">
        <w:trPr>
          <w:trHeight w:val="231"/>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正常排放短期浓度贡献值</w:t>
            </w:r>
          </w:p>
        </w:tc>
        <w:tc>
          <w:tcPr>
            <w:tcW w:w="2820" w:type="dxa"/>
            <w:gridSpan w:val="9"/>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ascii="Cambria Math" w:hAnsi="Cambria Math" w:cs="Cambria Math"/>
                <w:color w:val="000000"/>
                <w:kern w:val="0"/>
                <w:sz w:val="18"/>
                <w:szCs w:val="18"/>
              </w:rPr>
              <w:t>𝐶</w:t>
            </w:r>
            <w:r>
              <w:rPr>
                <w:color w:val="000000"/>
                <w:kern w:val="0"/>
                <w:sz w:val="13"/>
                <w:szCs w:val="13"/>
              </w:rPr>
              <w:t>本项目</w:t>
            </w:r>
            <w:r>
              <w:rPr>
                <w:color w:val="000000"/>
                <w:kern w:val="0"/>
                <w:sz w:val="18"/>
                <w:szCs w:val="18"/>
              </w:rPr>
              <w:t>最大占标率</w:t>
            </w:r>
            <w:r>
              <w:rPr>
                <w:color w:val="000000"/>
                <w:kern w:val="0"/>
                <w:sz w:val="18"/>
                <w:szCs w:val="18"/>
              </w:rPr>
              <w:t>≤100%</w:t>
            </w:r>
            <w:r>
              <w:rPr>
                <w:rFonts w:hint="eastAsia"/>
                <w:color w:val="000000"/>
                <w:kern w:val="0"/>
                <w:sz w:val="18"/>
                <w:szCs w:val="18"/>
              </w:rPr>
              <w:t xml:space="preserve"> </w:t>
            </w:r>
            <w:r>
              <w:rPr>
                <w:color w:val="000000"/>
                <w:kern w:val="0"/>
                <w:sz w:val="18"/>
                <w:szCs w:val="18"/>
              </w:rPr>
              <w:t>□</w:t>
            </w:r>
          </w:p>
        </w:tc>
        <w:tc>
          <w:tcPr>
            <w:tcW w:w="3426" w:type="dxa"/>
            <w:gridSpan w:val="14"/>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ascii="Cambria Math" w:hAnsi="Cambria Math" w:cs="Cambria Math"/>
                <w:color w:val="000000"/>
                <w:kern w:val="0"/>
                <w:sz w:val="18"/>
                <w:szCs w:val="18"/>
              </w:rPr>
              <w:t>𝐶</w:t>
            </w:r>
            <w:r>
              <w:rPr>
                <w:color w:val="000000"/>
                <w:kern w:val="0"/>
                <w:sz w:val="13"/>
                <w:szCs w:val="13"/>
              </w:rPr>
              <w:t>本项目</w:t>
            </w:r>
            <w:r>
              <w:rPr>
                <w:color w:val="000000"/>
                <w:kern w:val="0"/>
                <w:sz w:val="18"/>
                <w:szCs w:val="18"/>
              </w:rPr>
              <w:t>最大占标率＞</w:t>
            </w:r>
            <w:r>
              <w:rPr>
                <w:color w:val="000000"/>
                <w:kern w:val="0"/>
                <w:sz w:val="18"/>
                <w:szCs w:val="18"/>
              </w:rPr>
              <w:t>100% □</w:t>
            </w:r>
          </w:p>
        </w:tc>
      </w:tr>
      <w:tr w:rsidR="00A7553A" w:rsidTr="006C228A">
        <w:trPr>
          <w:trHeight w:val="294"/>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Merge w:val="restart"/>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正常排放年均浓度贡献值</w:t>
            </w:r>
          </w:p>
        </w:tc>
        <w:tc>
          <w:tcPr>
            <w:tcW w:w="787"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一类区</w:t>
            </w:r>
          </w:p>
        </w:tc>
        <w:tc>
          <w:tcPr>
            <w:tcW w:w="2033" w:type="dxa"/>
            <w:gridSpan w:val="8"/>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ascii="Cambria Math" w:hAnsi="Cambria Math" w:cs="Cambria Math"/>
                <w:color w:val="000000"/>
                <w:kern w:val="0"/>
                <w:sz w:val="18"/>
                <w:szCs w:val="18"/>
              </w:rPr>
              <w:t>𝐶</w:t>
            </w:r>
            <w:r>
              <w:rPr>
                <w:color w:val="000000"/>
                <w:kern w:val="0"/>
                <w:sz w:val="13"/>
                <w:szCs w:val="13"/>
              </w:rPr>
              <w:t>本项目</w:t>
            </w:r>
            <w:r>
              <w:rPr>
                <w:color w:val="000000"/>
                <w:kern w:val="0"/>
                <w:sz w:val="18"/>
                <w:szCs w:val="18"/>
              </w:rPr>
              <w:t>最大占标率</w:t>
            </w:r>
            <w:r>
              <w:rPr>
                <w:color w:val="000000"/>
                <w:kern w:val="0"/>
                <w:sz w:val="18"/>
                <w:szCs w:val="18"/>
              </w:rPr>
              <w:t>≤10%□</w:t>
            </w:r>
          </w:p>
        </w:tc>
        <w:tc>
          <w:tcPr>
            <w:tcW w:w="3426" w:type="dxa"/>
            <w:gridSpan w:val="14"/>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ascii="Cambria Math" w:hAnsi="Cambria Math" w:cs="Cambria Math"/>
                <w:color w:val="000000"/>
                <w:kern w:val="0"/>
                <w:sz w:val="18"/>
                <w:szCs w:val="18"/>
              </w:rPr>
              <w:t>𝐶</w:t>
            </w:r>
            <w:r>
              <w:rPr>
                <w:color w:val="000000"/>
                <w:kern w:val="0"/>
                <w:sz w:val="13"/>
                <w:szCs w:val="13"/>
              </w:rPr>
              <w:t>本项目</w:t>
            </w:r>
            <w:r>
              <w:rPr>
                <w:color w:val="000000"/>
                <w:kern w:val="0"/>
                <w:sz w:val="18"/>
                <w:szCs w:val="18"/>
              </w:rPr>
              <w:t>最大标率＞</w:t>
            </w:r>
            <w:r>
              <w:rPr>
                <w:color w:val="000000"/>
                <w:kern w:val="0"/>
                <w:sz w:val="18"/>
                <w:szCs w:val="18"/>
              </w:rPr>
              <w:t>10% □</w:t>
            </w:r>
          </w:p>
        </w:tc>
      </w:tr>
      <w:tr w:rsidR="00A7553A" w:rsidTr="006C228A">
        <w:trPr>
          <w:trHeight w:val="124"/>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787"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二类区</w:t>
            </w:r>
          </w:p>
        </w:tc>
        <w:tc>
          <w:tcPr>
            <w:tcW w:w="2033" w:type="dxa"/>
            <w:gridSpan w:val="8"/>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ascii="Cambria Math" w:hAnsi="Cambria Math" w:cs="Cambria Math"/>
                <w:color w:val="000000"/>
                <w:kern w:val="0"/>
                <w:sz w:val="18"/>
                <w:szCs w:val="18"/>
              </w:rPr>
              <w:t>𝐶</w:t>
            </w:r>
            <w:r>
              <w:rPr>
                <w:color w:val="000000"/>
                <w:kern w:val="0"/>
                <w:sz w:val="13"/>
                <w:szCs w:val="13"/>
              </w:rPr>
              <w:t>本项目</w:t>
            </w:r>
            <w:r>
              <w:rPr>
                <w:color w:val="000000"/>
                <w:kern w:val="0"/>
                <w:sz w:val="18"/>
                <w:szCs w:val="18"/>
              </w:rPr>
              <w:t>最大占标率</w:t>
            </w:r>
            <w:r>
              <w:rPr>
                <w:color w:val="000000"/>
                <w:kern w:val="0"/>
                <w:sz w:val="18"/>
                <w:szCs w:val="18"/>
              </w:rPr>
              <w:t>≤30%□</w:t>
            </w:r>
          </w:p>
        </w:tc>
        <w:tc>
          <w:tcPr>
            <w:tcW w:w="3426" w:type="dxa"/>
            <w:gridSpan w:val="14"/>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ascii="Cambria Math" w:hAnsi="Cambria Math" w:cs="Cambria Math"/>
                <w:color w:val="000000"/>
                <w:kern w:val="0"/>
                <w:sz w:val="18"/>
                <w:szCs w:val="18"/>
              </w:rPr>
              <w:t>𝐶</w:t>
            </w:r>
            <w:r>
              <w:rPr>
                <w:color w:val="000000"/>
                <w:kern w:val="0"/>
                <w:sz w:val="13"/>
                <w:szCs w:val="13"/>
              </w:rPr>
              <w:t>本项目</w:t>
            </w:r>
            <w:r>
              <w:rPr>
                <w:color w:val="000000"/>
                <w:kern w:val="0"/>
                <w:sz w:val="18"/>
                <w:szCs w:val="18"/>
              </w:rPr>
              <w:t>最大标率＞</w:t>
            </w:r>
            <w:r>
              <w:rPr>
                <w:color w:val="000000"/>
                <w:kern w:val="0"/>
                <w:sz w:val="18"/>
                <w:szCs w:val="18"/>
              </w:rPr>
              <w:t>30% □</w:t>
            </w:r>
          </w:p>
        </w:tc>
      </w:tr>
      <w:tr w:rsidR="00A7553A" w:rsidTr="006C228A">
        <w:trPr>
          <w:trHeight w:val="238"/>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非正常排放</w:t>
            </w:r>
            <w:r>
              <w:rPr>
                <w:color w:val="000000"/>
                <w:kern w:val="0"/>
                <w:sz w:val="18"/>
                <w:szCs w:val="18"/>
              </w:rPr>
              <w:t>1h</w:t>
            </w:r>
            <w:r>
              <w:rPr>
                <w:color w:val="000000"/>
                <w:kern w:val="0"/>
                <w:sz w:val="18"/>
                <w:szCs w:val="18"/>
              </w:rPr>
              <w:t>浓度贡献值</w:t>
            </w:r>
          </w:p>
        </w:tc>
        <w:tc>
          <w:tcPr>
            <w:tcW w:w="1268" w:type="dxa"/>
            <w:gridSpan w:val="3"/>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非正常持续时长（）</w:t>
            </w:r>
            <w:r>
              <w:rPr>
                <w:color w:val="000000"/>
                <w:kern w:val="0"/>
                <w:sz w:val="18"/>
                <w:szCs w:val="18"/>
              </w:rPr>
              <w:t>h</w:t>
            </w:r>
          </w:p>
        </w:tc>
        <w:tc>
          <w:tcPr>
            <w:tcW w:w="2372" w:type="dxa"/>
            <w:gridSpan w:val="12"/>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ascii="Cambria Math" w:hAnsi="Cambria Math" w:cs="Cambria Math"/>
                <w:color w:val="000000"/>
                <w:kern w:val="0"/>
                <w:sz w:val="18"/>
                <w:szCs w:val="18"/>
              </w:rPr>
              <w:t>𝐶</w:t>
            </w:r>
            <w:r>
              <w:rPr>
                <w:color w:val="000000"/>
                <w:kern w:val="0"/>
                <w:sz w:val="13"/>
                <w:szCs w:val="13"/>
              </w:rPr>
              <w:t>非正常</w:t>
            </w:r>
            <w:r>
              <w:rPr>
                <w:color w:val="000000"/>
                <w:kern w:val="0"/>
                <w:sz w:val="18"/>
                <w:szCs w:val="18"/>
              </w:rPr>
              <w:t>占标率</w:t>
            </w:r>
            <w:r>
              <w:rPr>
                <w:color w:val="000000"/>
                <w:kern w:val="0"/>
                <w:sz w:val="18"/>
                <w:szCs w:val="18"/>
              </w:rPr>
              <w:t>≤100% □</w:t>
            </w:r>
          </w:p>
        </w:tc>
        <w:tc>
          <w:tcPr>
            <w:tcW w:w="2606" w:type="dxa"/>
            <w:gridSpan w:val="8"/>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ascii="Cambria Math" w:hAnsi="Cambria Math" w:cs="Cambria Math"/>
                <w:color w:val="000000"/>
                <w:kern w:val="0"/>
                <w:sz w:val="18"/>
                <w:szCs w:val="18"/>
              </w:rPr>
              <w:t>𝐶</w:t>
            </w:r>
            <w:r>
              <w:rPr>
                <w:color w:val="000000"/>
                <w:kern w:val="0"/>
                <w:sz w:val="13"/>
                <w:szCs w:val="13"/>
              </w:rPr>
              <w:t>非正常</w:t>
            </w:r>
            <w:r>
              <w:rPr>
                <w:color w:val="000000"/>
                <w:kern w:val="0"/>
                <w:sz w:val="18"/>
                <w:szCs w:val="18"/>
              </w:rPr>
              <w:t>占标率＞</w:t>
            </w:r>
            <w:r>
              <w:rPr>
                <w:color w:val="000000"/>
                <w:kern w:val="0"/>
                <w:sz w:val="18"/>
                <w:szCs w:val="18"/>
              </w:rPr>
              <w:t>100%□</w:t>
            </w:r>
          </w:p>
        </w:tc>
      </w:tr>
      <w:tr w:rsidR="00A7553A" w:rsidTr="006C228A">
        <w:trPr>
          <w:trHeight w:val="231"/>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保证率日平均浓度和年平均浓度叠加值</w:t>
            </w:r>
          </w:p>
        </w:tc>
        <w:tc>
          <w:tcPr>
            <w:tcW w:w="2849" w:type="dxa"/>
            <w:gridSpan w:val="10"/>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ascii="Cambria Math" w:hAnsi="Cambria Math" w:cs="Cambria Math"/>
                <w:color w:val="000000"/>
                <w:kern w:val="0"/>
                <w:sz w:val="18"/>
                <w:szCs w:val="18"/>
              </w:rPr>
              <w:t>𝐶</w:t>
            </w:r>
            <w:r>
              <w:rPr>
                <w:color w:val="000000"/>
                <w:kern w:val="0"/>
                <w:sz w:val="13"/>
                <w:szCs w:val="13"/>
              </w:rPr>
              <w:t>叠加</w:t>
            </w:r>
            <w:r>
              <w:rPr>
                <w:color w:val="000000"/>
                <w:kern w:val="0"/>
                <w:sz w:val="18"/>
                <w:szCs w:val="18"/>
              </w:rPr>
              <w:t>达标</w:t>
            </w:r>
            <w:r>
              <w:rPr>
                <w:color w:val="000000"/>
                <w:kern w:val="0"/>
                <w:sz w:val="18"/>
                <w:szCs w:val="18"/>
              </w:rPr>
              <w:t>□</w:t>
            </w:r>
          </w:p>
        </w:tc>
        <w:tc>
          <w:tcPr>
            <w:tcW w:w="3397" w:type="dxa"/>
            <w:gridSpan w:val="13"/>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ascii="Cambria Math" w:hAnsi="Cambria Math" w:cs="Cambria Math"/>
                <w:color w:val="000000"/>
                <w:kern w:val="0"/>
                <w:sz w:val="18"/>
                <w:szCs w:val="18"/>
              </w:rPr>
              <w:t>𝐶</w:t>
            </w:r>
            <w:r>
              <w:rPr>
                <w:color w:val="000000"/>
                <w:kern w:val="0"/>
                <w:sz w:val="13"/>
                <w:szCs w:val="13"/>
              </w:rPr>
              <w:t>叠加</w:t>
            </w:r>
            <w:r>
              <w:rPr>
                <w:color w:val="000000"/>
                <w:kern w:val="0"/>
                <w:sz w:val="18"/>
                <w:szCs w:val="18"/>
              </w:rPr>
              <w:t>不达标</w:t>
            </w:r>
            <w:r>
              <w:rPr>
                <w:color w:val="000000"/>
                <w:kern w:val="0"/>
                <w:sz w:val="18"/>
                <w:szCs w:val="18"/>
              </w:rPr>
              <w:t>□</w:t>
            </w:r>
          </w:p>
        </w:tc>
      </w:tr>
      <w:tr w:rsidR="00A7553A" w:rsidTr="006C228A">
        <w:trPr>
          <w:trHeight w:val="231"/>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区域环境质量的整体变化情况</w:t>
            </w:r>
          </w:p>
        </w:tc>
        <w:tc>
          <w:tcPr>
            <w:tcW w:w="2849" w:type="dxa"/>
            <w:gridSpan w:val="10"/>
            <w:vAlign w:val="center"/>
          </w:tcPr>
          <w:p w:rsidR="00A7553A" w:rsidRDefault="00A7553A" w:rsidP="00A7553A">
            <w:pPr>
              <w:autoSpaceDE w:val="0"/>
              <w:autoSpaceDN w:val="0"/>
              <w:adjustRightInd w:val="0"/>
              <w:spacing w:line="300" w:lineRule="exact"/>
              <w:jc w:val="center"/>
              <w:rPr>
                <w:color w:val="000000"/>
                <w:kern w:val="0"/>
                <w:sz w:val="18"/>
                <w:szCs w:val="18"/>
              </w:rPr>
            </w:pPr>
            <w:r>
              <w:rPr>
                <w:i/>
                <w:iCs/>
                <w:color w:val="000000"/>
                <w:kern w:val="0"/>
                <w:sz w:val="18"/>
                <w:szCs w:val="18"/>
              </w:rPr>
              <w:t xml:space="preserve">k </w:t>
            </w:r>
            <w:r>
              <w:rPr>
                <w:color w:val="000000"/>
                <w:kern w:val="0"/>
                <w:sz w:val="18"/>
                <w:szCs w:val="18"/>
              </w:rPr>
              <w:t>≤-20% □</w:t>
            </w:r>
          </w:p>
        </w:tc>
        <w:tc>
          <w:tcPr>
            <w:tcW w:w="3397" w:type="dxa"/>
            <w:gridSpan w:val="13"/>
            <w:vAlign w:val="center"/>
          </w:tcPr>
          <w:p w:rsidR="00A7553A" w:rsidRDefault="00A7553A" w:rsidP="00A7553A">
            <w:pPr>
              <w:autoSpaceDE w:val="0"/>
              <w:autoSpaceDN w:val="0"/>
              <w:adjustRightInd w:val="0"/>
              <w:spacing w:line="300" w:lineRule="exact"/>
              <w:jc w:val="center"/>
              <w:rPr>
                <w:color w:val="000000"/>
                <w:kern w:val="0"/>
                <w:sz w:val="18"/>
                <w:szCs w:val="18"/>
              </w:rPr>
            </w:pPr>
            <w:r>
              <w:rPr>
                <w:i/>
                <w:iCs/>
                <w:color w:val="000000"/>
                <w:kern w:val="0"/>
                <w:sz w:val="18"/>
                <w:szCs w:val="18"/>
              </w:rPr>
              <w:t xml:space="preserve">k </w:t>
            </w:r>
            <w:r>
              <w:rPr>
                <w:color w:val="000000"/>
                <w:kern w:val="0"/>
                <w:sz w:val="18"/>
                <w:szCs w:val="18"/>
              </w:rPr>
              <w:t>＞</w:t>
            </w:r>
            <w:r>
              <w:rPr>
                <w:color w:val="000000"/>
                <w:kern w:val="0"/>
                <w:sz w:val="18"/>
                <w:szCs w:val="18"/>
              </w:rPr>
              <w:t>-20% □</w:t>
            </w:r>
          </w:p>
        </w:tc>
      </w:tr>
      <w:tr w:rsidR="00A7553A" w:rsidTr="006C228A">
        <w:trPr>
          <w:trHeight w:val="305"/>
          <w:jc w:val="center"/>
        </w:trPr>
        <w:tc>
          <w:tcPr>
            <w:tcW w:w="1385" w:type="dxa"/>
            <w:vMerge w:val="restart"/>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环境监测计划</w:t>
            </w: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污染源监测</w:t>
            </w:r>
          </w:p>
        </w:tc>
        <w:tc>
          <w:tcPr>
            <w:tcW w:w="2204" w:type="dxa"/>
            <w:gridSpan w:val="7"/>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监测因子：（</w:t>
            </w:r>
            <w:r>
              <w:rPr>
                <w:rFonts w:hint="eastAsia"/>
                <w:color w:val="000000"/>
                <w:kern w:val="0"/>
                <w:sz w:val="18"/>
                <w:szCs w:val="18"/>
              </w:rPr>
              <w:t>TSP</w:t>
            </w:r>
            <w:r>
              <w:rPr>
                <w:color w:val="000000"/>
                <w:kern w:val="0"/>
                <w:sz w:val="18"/>
                <w:szCs w:val="18"/>
              </w:rPr>
              <w:t>）</w:t>
            </w:r>
          </w:p>
        </w:tc>
        <w:tc>
          <w:tcPr>
            <w:tcW w:w="2059" w:type="dxa"/>
            <w:gridSpan w:val="10"/>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有组织废气监测</w:t>
            </w:r>
            <w:r>
              <w:rPr>
                <w:color w:val="000000"/>
                <w:kern w:val="0"/>
                <w:sz w:val="18"/>
                <w:szCs w:val="18"/>
              </w:rPr>
              <w:t>□</w:t>
            </w:r>
          </w:p>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无组织废气监测</w:t>
            </w:r>
            <w:r w:rsidRPr="00A87CF7">
              <w:rPr>
                <w:color w:val="000000"/>
                <w:kern w:val="0"/>
                <w:szCs w:val="21"/>
              </w:rPr>
              <w:sym w:font="Wingdings 2" w:char="F052"/>
            </w:r>
          </w:p>
        </w:tc>
        <w:tc>
          <w:tcPr>
            <w:tcW w:w="1983" w:type="dxa"/>
            <w:gridSpan w:val="6"/>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无监测</w:t>
            </w:r>
            <w:r>
              <w:rPr>
                <w:color w:val="000000"/>
                <w:kern w:val="0"/>
                <w:sz w:val="18"/>
                <w:szCs w:val="18"/>
              </w:rPr>
              <w:t>□</w:t>
            </w:r>
          </w:p>
        </w:tc>
      </w:tr>
      <w:tr w:rsidR="00A7553A" w:rsidTr="006C228A">
        <w:trPr>
          <w:trHeight w:val="95"/>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环境质量监测</w:t>
            </w:r>
          </w:p>
        </w:tc>
        <w:tc>
          <w:tcPr>
            <w:tcW w:w="2204" w:type="dxa"/>
            <w:gridSpan w:val="7"/>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监测因子：（</w:t>
            </w:r>
            <w:r>
              <w:rPr>
                <w:rFonts w:hint="eastAsia"/>
                <w:color w:val="000000"/>
                <w:kern w:val="0"/>
                <w:sz w:val="18"/>
                <w:szCs w:val="18"/>
              </w:rPr>
              <w:t>/</w:t>
            </w:r>
            <w:r>
              <w:rPr>
                <w:color w:val="000000"/>
                <w:kern w:val="0"/>
                <w:sz w:val="18"/>
                <w:szCs w:val="18"/>
              </w:rPr>
              <w:t>）</w:t>
            </w:r>
          </w:p>
        </w:tc>
        <w:tc>
          <w:tcPr>
            <w:tcW w:w="2059" w:type="dxa"/>
            <w:gridSpan w:val="10"/>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监测点位数（</w:t>
            </w:r>
            <w:r>
              <w:rPr>
                <w:rFonts w:hint="eastAsia"/>
                <w:color w:val="000000"/>
                <w:kern w:val="0"/>
                <w:sz w:val="18"/>
                <w:szCs w:val="18"/>
              </w:rPr>
              <w:t>/</w:t>
            </w:r>
            <w:r>
              <w:rPr>
                <w:color w:val="000000"/>
                <w:kern w:val="0"/>
                <w:sz w:val="18"/>
                <w:szCs w:val="18"/>
              </w:rPr>
              <w:t>）</w:t>
            </w:r>
          </w:p>
        </w:tc>
        <w:tc>
          <w:tcPr>
            <w:tcW w:w="1983" w:type="dxa"/>
            <w:gridSpan w:val="6"/>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无监测</w:t>
            </w:r>
            <w:r w:rsidRPr="00A87CF7">
              <w:rPr>
                <w:color w:val="000000"/>
                <w:kern w:val="0"/>
                <w:szCs w:val="21"/>
              </w:rPr>
              <w:sym w:font="Wingdings 2" w:char="F052"/>
            </w:r>
          </w:p>
        </w:tc>
      </w:tr>
      <w:tr w:rsidR="00A7553A" w:rsidTr="006C228A">
        <w:trPr>
          <w:trHeight w:val="275"/>
          <w:jc w:val="center"/>
        </w:trPr>
        <w:tc>
          <w:tcPr>
            <w:tcW w:w="1385" w:type="dxa"/>
            <w:vMerge w:val="restart"/>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评价结论</w:t>
            </w: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环境影响</w:t>
            </w:r>
          </w:p>
        </w:tc>
        <w:tc>
          <w:tcPr>
            <w:tcW w:w="6246" w:type="dxa"/>
            <w:gridSpan w:val="23"/>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可以接受</w:t>
            </w:r>
            <w:r w:rsidRPr="00A87CF7">
              <w:rPr>
                <w:color w:val="000000"/>
                <w:kern w:val="0"/>
                <w:szCs w:val="21"/>
              </w:rPr>
              <w:sym w:font="Wingdings 2" w:char="F052"/>
            </w:r>
            <w:r>
              <w:rPr>
                <w:rFonts w:hint="eastAsia"/>
                <w:color w:val="000000"/>
                <w:kern w:val="0"/>
                <w:sz w:val="18"/>
                <w:szCs w:val="18"/>
              </w:rPr>
              <w:t xml:space="preserve">   </w:t>
            </w:r>
            <w:r>
              <w:rPr>
                <w:color w:val="000000"/>
                <w:kern w:val="0"/>
                <w:sz w:val="18"/>
                <w:szCs w:val="18"/>
              </w:rPr>
              <w:t>不可以接受</w:t>
            </w:r>
            <w:r>
              <w:rPr>
                <w:color w:val="000000"/>
                <w:kern w:val="0"/>
                <w:sz w:val="18"/>
                <w:szCs w:val="18"/>
              </w:rPr>
              <w:t>□</w:t>
            </w:r>
          </w:p>
        </w:tc>
      </w:tr>
      <w:tr w:rsidR="00A7553A" w:rsidTr="006C228A">
        <w:trPr>
          <w:trHeight w:val="101"/>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大气环境防护距离</w:t>
            </w:r>
          </w:p>
        </w:tc>
        <w:tc>
          <w:tcPr>
            <w:tcW w:w="6246" w:type="dxa"/>
            <w:gridSpan w:val="23"/>
            <w:vAlign w:val="center"/>
          </w:tcPr>
          <w:p w:rsidR="00A7553A" w:rsidRDefault="00A7553A" w:rsidP="00A7553A">
            <w:pPr>
              <w:autoSpaceDE w:val="0"/>
              <w:autoSpaceDN w:val="0"/>
              <w:adjustRightInd w:val="0"/>
              <w:spacing w:line="300" w:lineRule="exact"/>
              <w:jc w:val="center"/>
              <w:rPr>
                <w:color w:val="000000"/>
                <w:kern w:val="0"/>
                <w:sz w:val="18"/>
                <w:szCs w:val="18"/>
              </w:rPr>
            </w:pPr>
            <w:r>
              <w:rPr>
                <w:rFonts w:hint="eastAsia"/>
                <w:color w:val="000000"/>
                <w:kern w:val="0"/>
                <w:sz w:val="18"/>
                <w:szCs w:val="18"/>
              </w:rPr>
              <w:t>/</w:t>
            </w:r>
          </w:p>
        </w:tc>
      </w:tr>
      <w:tr w:rsidR="00A7553A" w:rsidTr="006C228A">
        <w:trPr>
          <w:trHeight w:val="101"/>
          <w:jc w:val="center"/>
        </w:trPr>
        <w:tc>
          <w:tcPr>
            <w:tcW w:w="1385" w:type="dxa"/>
            <w:vMerge/>
            <w:vAlign w:val="center"/>
          </w:tcPr>
          <w:p w:rsidR="00A7553A" w:rsidRDefault="00A7553A" w:rsidP="00A7553A">
            <w:pPr>
              <w:autoSpaceDE w:val="0"/>
              <w:autoSpaceDN w:val="0"/>
              <w:adjustRightInd w:val="0"/>
              <w:spacing w:line="300" w:lineRule="exact"/>
              <w:jc w:val="center"/>
              <w:rPr>
                <w:color w:val="000000"/>
                <w:kern w:val="0"/>
                <w:sz w:val="18"/>
                <w:szCs w:val="18"/>
              </w:rPr>
            </w:pPr>
          </w:p>
        </w:tc>
        <w:tc>
          <w:tcPr>
            <w:tcW w:w="2272" w:type="dxa"/>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污染源年排放量</w:t>
            </w:r>
          </w:p>
        </w:tc>
        <w:tc>
          <w:tcPr>
            <w:tcW w:w="1678" w:type="dxa"/>
            <w:gridSpan w:val="5"/>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SO</w:t>
            </w:r>
            <w:r>
              <w:rPr>
                <w:color w:val="000000"/>
                <w:kern w:val="0"/>
                <w:sz w:val="18"/>
                <w:szCs w:val="18"/>
                <w:vertAlign w:val="subscript"/>
              </w:rPr>
              <w:t>2</w:t>
            </w:r>
            <w:r>
              <w:rPr>
                <w:color w:val="000000"/>
                <w:kern w:val="0"/>
                <w:sz w:val="18"/>
                <w:szCs w:val="18"/>
              </w:rPr>
              <w:t>:</w:t>
            </w:r>
            <w:r>
              <w:rPr>
                <w:color w:val="000000"/>
                <w:kern w:val="0"/>
                <w:sz w:val="18"/>
                <w:szCs w:val="18"/>
              </w:rPr>
              <w:t>（</w:t>
            </w:r>
            <w:r>
              <w:rPr>
                <w:rFonts w:hint="eastAsia"/>
                <w:color w:val="000000"/>
                <w:kern w:val="0"/>
                <w:sz w:val="18"/>
                <w:szCs w:val="18"/>
              </w:rPr>
              <w:t>0</w:t>
            </w:r>
            <w:r>
              <w:rPr>
                <w:color w:val="000000"/>
                <w:kern w:val="0"/>
                <w:sz w:val="18"/>
                <w:szCs w:val="18"/>
              </w:rPr>
              <w:t>）</w:t>
            </w:r>
            <w:r>
              <w:rPr>
                <w:color w:val="000000"/>
                <w:kern w:val="0"/>
                <w:sz w:val="18"/>
                <w:szCs w:val="18"/>
              </w:rPr>
              <w:t>t/a</w:t>
            </w:r>
          </w:p>
        </w:tc>
        <w:tc>
          <w:tcPr>
            <w:tcW w:w="1385" w:type="dxa"/>
            <w:gridSpan w:val="8"/>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NOx:</w:t>
            </w:r>
            <w:r>
              <w:rPr>
                <w:color w:val="000000"/>
                <w:kern w:val="0"/>
                <w:sz w:val="18"/>
                <w:szCs w:val="18"/>
              </w:rPr>
              <w:t>（</w:t>
            </w:r>
            <w:r>
              <w:rPr>
                <w:rFonts w:hint="eastAsia"/>
                <w:color w:val="000000"/>
                <w:kern w:val="0"/>
                <w:sz w:val="18"/>
                <w:szCs w:val="18"/>
              </w:rPr>
              <w:t>0</w:t>
            </w:r>
            <w:r>
              <w:rPr>
                <w:color w:val="000000"/>
                <w:kern w:val="0"/>
                <w:sz w:val="18"/>
                <w:szCs w:val="18"/>
              </w:rPr>
              <w:t>）</w:t>
            </w:r>
            <w:r>
              <w:rPr>
                <w:color w:val="000000"/>
                <w:kern w:val="0"/>
                <w:sz w:val="18"/>
                <w:szCs w:val="18"/>
              </w:rPr>
              <w:t>t/a</w:t>
            </w:r>
          </w:p>
        </w:tc>
        <w:tc>
          <w:tcPr>
            <w:tcW w:w="1651" w:type="dxa"/>
            <w:gridSpan w:val="7"/>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颗粒物</w:t>
            </w:r>
            <w:r>
              <w:rPr>
                <w:color w:val="000000"/>
                <w:kern w:val="0"/>
                <w:sz w:val="18"/>
                <w:szCs w:val="18"/>
              </w:rPr>
              <w:t>:</w:t>
            </w:r>
            <w:r>
              <w:rPr>
                <w:color w:val="000000"/>
                <w:kern w:val="0"/>
                <w:sz w:val="18"/>
                <w:szCs w:val="18"/>
              </w:rPr>
              <w:t>（</w:t>
            </w:r>
            <w:r>
              <w:rPr>
                <w:rFonts w:hint="eastAsia"/>
                <w:color w:val="000000"/>
                <w:kern w:val="0"/>
                <w:sz w:val="18"/>
                <w:szCs w:val="18"/>
              </w:rPr>
              <w:t>0.063</w:t>
            </w:r>
            <w:r>
              <w:rPr>
                <w:color w:val="000000"/>
                <w:kern w:val="0"/>
                <w:sz w:val="18"/>
                <w:szCs w:val="18"/>
              </w:rPr>
              <w:t>）</w:t>
            </w:r>
            <w:r>
              <w:rPr>
                <w:color w:val="000000"/>
                <w:kern w:val="0"/>
                <w:sz w:val="18"/>
                <w:szCs w:val="18"/>
              </w:rPr>
              <w:t>t/a</w:t>
            </w:r>
          </w:p>
        </w:tc>
        <w:tc>
          <w:tcPr>
            <w:tcW w:w="1532" w:type="dxa"/>
            <w:gridSpan w:val="3"/>
            <w:vAlign w:val="center"/>
          </w:tcPr>
          <w:p w:rsidR="00A7553A" w:rsidRDefault="00A7553A" w:rsidP="00A7553A">
            <w:pPr>
              <w:autoSpaceDE w:val="0"/>
              <w:autoSpaceDN w:val="0"/>
              <w:adjustRightInd w:val="0"/>
              <w:spacing w:line="300" w:lineRule="exact"/>
              <w:jc w:val="center"/>
              <w:rPr>
                <w:color w:val="000000"/>
                <w:kern w:val="0"/>
                <w:sz w:val="18"/>
                <w:szCs w:val="18"/>
              </w:rPr>
            </w:pPr>
            <w:r>
              <w:rPr>
                <w:color w:val="000000"/>
                <w:kern w:val="0"/>
                <w:sz w:val="18"/>
                <w:szCs w:val="18"/>
              </w:rPr>
              <w:t>VOCs:</w:t>
            </w:r>
            <w:r>
              <w:rPr>
                <w:color w:val="000000"/>
                <w:kern w:val="0"/>
                <w:sz w:val="18"/>
                <w:szCs w:val="18"/>
              </w:rPr>
              <w:t>（</w:t>
            </w:r>
            <w:r>
              <w:rPr>
                <w:rFonts w:hint="eastAsia"/>
                <w:color w:val="000000"/>
                <w:kern w:val="0"/>
                <w:sz w:val="18"/>
                <w:szCs w:val="18"/>
              </w:rPr>
              <w:t>0</w:t>
            </w:r>
            <w:r>
              <w:rPr>
                <w:color w:val="000000"/>
                <w:kern w:val="0"/>
                <w:sz w:val="18"/>
                <w:szCs w:val="18"/>
              </w:rPr>
              <w:t>）</w:t>
            </w:r>
            <w:r>
              <w:rPr>
                <w:color w:val="000000"/>
                <w:kern w:val="0"/>
                <w:sz w:val="18"/>
                <w:szCs w:val="18"/>
              </w:rPr>
              <w:t>t/a</w:t>
            </w:r>
          </w:p>
        </w:tc>
      </w:tr>
      <w:tr w:rsidR="00A7553A" w:rsidTr="006C228A">
        <w:trPr>
          <w:trHeight w:val="101"/>
          <w:jc w:val="center"/>
        </w:trPr>
        <w:tc>
          <w:tcPr>
            <w:tcW w:w="9903" w:type="dxa"/>
            <w:gridSpan w:val="25"/>
            <w:vAlign w:val="center"/>
          </w:tcPr>
          <w:p w:rsidR="00A7553A" w:rsidRDefault="00A7553A" w:rsidP="00A7553A">
            <w:pPr>
              <w:autoSpaceDE w:val="0"/>
              <w:autoSpaceDN w:val="0"/>
              <w:adjustRightInd w:val="0"/>
              <w:spacing w:line="300" w:lineRule="exact"/>
              <w:rPr>
                <w:color w:val="000000"/>
                <w:kern w:val="0"/>
                <w:sz w:val="18"/>
                <w:szCs w:val="18"/>
              </w:rPr>
            </w:pPr>
            <w:r>
              <w:rPr>
                <w:color w:val="000000"/>
                <w:kern w:val="0"/>
                <w:sz w:val="18"/>
                <w:szCs w:val="18"/>
              </w:rPr>
              <w:t>注：</w:t>
            </w:r>
            <w:r>
              <w:rPr>
                <w:color w:val="000000"/>
                <w:kern w:val="0"/>
                <w:sz w:val="18"/>
                <w:szCs w:val="18"/>
              </w:rPr>
              <w:t>“□”</w:t>
            </w:r>
            <w:r>
              <w:rPr>
                <w:color w:val="000000"/>
                <w:kern w:val="0"/>
                <w:sz w:val="18"/>
                <w:szCs w:val="18"/>
              </w:rPr>
              <w:t>为勾选项，填</w:t>
            </w:r>
            <w:r>
              <w:rPr>
                <w:color w:val="000000"/>
                <w:kern w:val="0"/>
                <w:sz w:val="18"/>
                <w:szCs w:val="18"/>
              </w:rPr>
              <w:t>“√”</w:t>
            </w:r>
            <w:r>
              <w:rPr>
                <w:color w:val="000000"/>
                <w:kern w:val="0"/>
                <w:sz w:val="18"/>
                <w:szCs w:val="18"/>
              </w:rPr>
              <w:t>；</w:t>
            </w:r>
            <w:r>
              <w:rPr>
                <w:color w:val="000000"/>
                <w:kern w:val="0"/>
                <w:sz w:val="18"/>
                <w:szCs w:val="18"/>
              </w:rPr>
              <w:t>“</w:t>
            </w:r>
            <w:r>
              <w:rPr>
                <w:color w:val="000000"/>
                <w:kern w:val="0"/>
                <w:sz w:val="18"/>
                <w:szCs w:val="18"/>
              </w:rPr>
              <w:t>（）</w:t>
            </w:r>
            <w:r>
              <w:rPr>
                <w:color w:val="000000"/>
                <w:kern w:val="0"/>
                <w:sz w:val="18"/>
                <w:szCs w:val="18"/>
              </w:rPr>
              <w:t xml:space="preserve">” </w:t>
            </w:r>
            <w:r>
              <w:rPr>
                <w:color w:val="000000"/>
                <w:kern w:val="0"/>
                <w:sz w:val="18"/>
                <w:szCs w:val="18"/>
              </w:rPr>
              <w:t>为内容填写项</w:t>
            </w:r>
          </w:p>
        </w:tc>
      </w:tr>
    </w:tbl>
    <w:p w:rsidR="00AC61C0" w:rsidRPr="00A7553A" w:rsidRDefault="00AC61C0">
      <w:pPr>
        <w:spacing w:line="360" w:lineRule="auto"/>
        <w:ind w:firstLineChars="200" w:firstLine="480"/>
        <w:rPr>
          <w:color w:val="000000"/>
          <w:sz w:val="24"/>
        </w:rPr>
      </w:pPr>
    </w:p>
    <w:p w:rsidR="00C223F5" w:rsidRPr="00927E76" w:rsidRDefault="005860D5" w:rsidP="004835BD">
      <w:pPr>
        <w:pStyle w:val="3"/>
        <w:numPr>
          <w:ilvl w:val="0"/>
          <w:numId w:val="0"/>
        </w:numPr>
        <w:spacing w:before="0" w:after="0" w:line="360" w:lineRule="auto"/>
        <w:ind w:left="170"/>
        <w:rPr>
          <w:rFonts w:eastAsia="宋体"/>
          <w:b/>
          <w:bCs w:val="0"/>
          <w:sz w:val="28"/>
          <w:szCs w:val="28"/>
        </w:rPr>
      </w:pPr>
      <w:bookmarkStart w:id="396" w:name="_Toc533604334"/>
      <w:bookmarkStart w:id="397" w:name="_Toc533604754"/>
      <w:bookmarkStart w:id="398" w:name="_Toc493246111"/>
      <w:bookmarkStart w:id="399" w:name="_Toc16785299"/>
      <w:r w:rsidRPr="00927E76">
        <w:rPr>
          <w:rFonts w:eastAsia="宋体" w:hint="eastAsia"/>
          <w:b/>
          <w:bCs w:val="0"/>
          <w:sz w:val="28"/>
          <w:szCs w:val="28"/>
        </w:rPr>
        <w:lastRenderedPageBreak/>
        <w:t>4.2.5</w:t>
      </w:r>
      <w:r w:rsidRPr="00927E76">
        <w:rPr>
          <w:rFonts w:eastAsia="宋体" w:hint="eastAsia"/>
          <w:b/>
          <w:bCs w:val="0"/>
          <w:sz w:val="28"/>
          <w:szCs w:val="28"/>
        </w:rPr>
        <w:t>噪声环境影响预测与评价</w:t>
      </w:r>
      <w:bookmarkEnd w:id="396"/>
      <w:bookmarkEnd w:id="397"/>
      <w:bookmarkEnd w:id="398"/>
      <w:bookmarkEnd w:id="399"/>
    </w:p>
    <w:p w:rsidR="00C223F5" w:rsidRPr="00927E76" w:rsidRDefault="005860D5" w:rsidP="004835BD">
      <w:pPr>
        <w:pStyle w:val="4"/>
        <w:spacing w:before="0" w:after="0" w:line="360" w:lineRule="auto"/>
        <w:ind w:firstLineChars="100" w:firstLine="240"/>
        <w:rPr>
          <w:szCs w:val="24"/>
        </w:rPr>
      </w:pPr>
      <w:bookmarkStart w:id="400" w:name="_Toc488660712"/>
      <w:bookmarkStart w:id="401" w:name="_Toc474316602"/>
      <w:r w:rsidRPr="00927E76">
        <w:rPr>
          <w:rFonts w:hint="eastAsia"/>
          <w:szCs w:val="24"/>
        </w:rPr>
        <w:t>4.2.5.1</w:t>
      </w:r>
      <w:r w:rsidRPr="00927E76">
        <w:rPr>
          <w:rFonts w:hint="eastAsia"/>
          <w:szCs w:val="24"/>
        </w:rPr>
        <w:t>声环境影响预测点</w:t>
      </w:r>
      <w:bookmarkEnd w:id="400"/>
      <w:bookmarkEnd w:id="401"/>
    </w:p>
    <w:p w:rsidR="00C223F5" w:rsidRPr="00927E76" w:rsidRDefault="007F4D48">
      <w:pPr>
        <w:spacing w:line="360" w:lineRule="auto"/>
        <w:ind w:firstLineChars="200" w:firstLine="480"/>
        <w:rPr>
          <w:sz w:val="24"/>
        </w:rPr>
      </w:pPr>
      <w:r>
        <w:rPr>
          <w:sz w:val="24"/>
        </w:rPr>
        <w:t>根据项目工程分析及项目声环境评价范围内声环境保护目标分布情况，工业场地</w:t>
      </w:r>
      <w:r>
        <w:rPr>
          <w:rFonts w:hint="eastAsia"/>
          <w:sz w:val="24"/>
        </w:rPr>
        <w:t>周围敏感点有王家峁村（</w:t>
      </w:r>
      <w:r>
        <w:rPr>
          <w:rFonts w:hint="eastAsia"/>
          <w:color w:val="FF0000"/>
          <w:sz w:val="24"/>
        </w:rPr>
        <w:t>念枣坪</w:t>
      </w:r>
      <w:r>
        <w:rPr>
          <w:rFonts w:hint="eastAsia"/>
          <w:sz w:val="24"/>
        </w:rPr>
        <w:t>组、施阳台组）和施阳台小学</w:t>
      </w:r>
      <w:r>
        <w:rPr>
          <w:sz w:val="24"/>
        </w:rPr>
        <w:t>，本次评价的预测点主要为工业场地厂界</w:t>
      </w:r>
      <w:r>
        <w:rPr>
          <w:rFonts w:hint="eastAsia"/>
          <w:sz w:val="24"/>
        </w:rPr>
        <w:t>和敏感点噪声；运煤道路两侧分布有王家峁村（</w:t>
      </w:r>
      <w:r>
        <w:rPr>
          <w:rFonts w:hint="eastAsia"/>
          <w:color w:val="FF0000"/>
          <w:sz w:val="24"/>
        </w:rPr>
        <w:t>念枣坪组</w:t>
      </w:r>
      <w:r>
        <w:rPr>
          <w:rFonts w:hint="eastAsia"/>
          <w:sz w:val="24"/>
        </w:rPr>
        <w:t>、刘石畔组）</w:t>
      </w:r>
      <w:r>
        <w:rPr>
          <w:rFonts w:hint="eastAsia"/>
          <w:color w:val="FF0000"/>
          <w:sz w:val="24"/>
        </w:rPr>
        <w:t>和拓家峁村（拓家阳组、新窑台组和拓家峁组）</w:t>
      </w:r>
      <w:r>
        <w:rPr>
          <w:rFonts w:hint="eastAsia"/>
          <w:sz w:val="24"/>
        </w:rPr>
        <w:t>居民点，需预测运煤车辆噪声对周边环境的影响</w:t>
      </w:r>
      <w:r w:rsidR="005860D5" w:rsidRPr="00927E76">
        <w:rPr>
          <w:rFonts w:hint="eastAsia"/>
          <w:sz w:val="24"/>
        </w:rPr>
        <w:t>。</w:t>
      </w:r>
    </w:p>
    <w:p w:rsidR="00C223F5" w:rsidRPr="00927E76" w:rsidRDefault="005860D5" w:rsidP="004835BD">
      <w:pPr>
        <w:pStyle w:val="4"/>
        <w:spacing w:before="0" w:after="0" w:line="360" w:lineRule="auto"/>
        <w:ind w:firstLineChars="100" w:firstLine="240"/>
        <w:rPr>
          <w:szCs w:val="24"/>
        </w:rPr>
      </w:pPr>
      <w:bookmarkStart w:id="402" w:name="_Toc488660713"/>
      <w:bookmarkStart w:id="403" w:name="_Toc474316603"/>
      <w:r w:rsidRPr="00927E76">
        <w:rPr>
          <w:rFonts w:hint="eastAsia"/>
          <w:szCs w:val="24"/>
        </w:rPr>
        <w:t>4.2.5.2</w:t>
      </w:r>
      <w:r w:rsidRPr="00927E76">
        <w:rPr>
          <w:rFonts w:hint="eastAsia"/>
          <w:szCs w:val="24"/>
        </w:rPr>
        <w:t>主要</w:t>
      </w:r>
      <w:r w:rsidRPr="00927E76">
        <w:rPr>
          <w:szCs w:val="24"/>
        </w:rPr>
        <w:t>噪声源分析</w:t>
      </w:r>
      <w:bookmarkEnd w:id="402"/>
      <w:bookmarkEnd w:id="403"/>
      <w:r w:rsidRPr="00927E76">
        <w:rPr>
          <w:rFonts w:hint="eastAsia"/>
          <w:szCs w:val="24"/>
        </w:rPr>
        <w:t>及预测方式</w:t>
      </w:r>
    </w:p>
    <w:p w:rsidR="00C223F5" w:rsidRPr="00927E76" w:rsidRDefault="005860D5">
      <w:pPr>
        <w:spacing w:line="360" w:lineRule="auto"/>
        <w:ind w:firstLineChars="200" w:firstLine="480"/>
        <w:rPr>
          <w:kern w:val="0"/>
          <w:sz w:val="24"/>
        </w:rPr>
      </w:pPr>
      <w:r w:rsidRPr="00927E76">
        <w:rPr>
          <w:bCs/>
          <w:sz w:val="24"/>
        </w:rPr>
        <w:t>工业场地内的噪声源主要来自矿井</w:t>
      </w:r>
      <w:r w:rsidRPr="00927E76">
        <w:rPr>
          <w:rFonts w:hint="eastAsia"/>
          <w:bCs/>
          <w:sz w:val="24"/>
        </w:rPr>
        <w:t>驱动机房</w:t>
      </w:r>
      <w:r w:rsidRPr="00927E76">
        <w:rPr>
          <w:bCs/>
          <w:sz w:val="24"/>
        </w:rPr>
        <w:t>、</w:t>
      </w:r>
      <w:r w:rsidRPr="00927E76">
        <w:rPr>
          <w:rFonts w:hint="eastAsia"/>
          <w:bCs/>
          <w:sz w:val="24"/>
        </w:rPr>
        <w:t>筛破车间、主厂房、乏风热泵机房、</w:t>
      </w:r>
      <w:r w:rsidRPr="00927E76">
        <w:rPr>
          <w:bCs/>
          <w:sz w:val="24"/>
        </w:rPr>
        <w:t>通风机房、</w:t>
      </w:r>
      <w:r w:rsidRPr="00927E76">
        <w:rPr>
          <w:rFonts w:hint="eastAsia"/>
          <w:bCs/>
          <w:sz w:val="24"/>
        </w:rPr>
        <w:t>压缩空气站</w:t>
      </w:r>
      <w:r w:rsidRPr="00927E76">
        <w:rPr>
          <w:bCs/>
          <w:sz w:val="24"/>
        </w:rPr>
        <w:t>、</w:t>
      </w:r>
      <w:r w:rsidRPr="00927E76">
        <w:rPr>
          <w:rFonts w:hint="eastAsia"/>
          <w:bCs/>
          <w:sz w:val="24"/>
        </w:rPr>
        <w:t>灌浆站和输煤栈桥</w:t>
      </w:r>
      <w:r w:rsidRPr="00927E76">
        <w:rPr>
          <w:bCs/>
          <w:sz w:val="24"/>
        </w:rPr>
        <w:t>等</w:t>
      </w:r>
      <w:r w:rsidRPr="00927E76">
        <w:rPr>
          <w:kern w:val="0"/>
          <w:sz w:val="24"/>
        </w:rPr>
        <w:t>。</w:t>
      </w:r>
    </w:p>
    <w:p w:rsidR="00C223F5" w:rsidRPr="00927E76" w:rsidRDefault="005860D5">
      <w:pPr>
        <w:spacing w:line="360" w:lineRule="auto"/>
        <w:ind w:firstLine="480"/>
        <w:rPr>
          <w:spacing w:val="-4"/>
          <w:kern w:val="0"/>
          <w:sz w:val="24"/>
        </w:rPr>
      </w:pPr>
      <w:r w:rsidRPr="00927E76">
        <w:rPr>
          <w:kern w:val="0"/>
          <w:sz w:val="24"/>
        </w:rPr>
        <w:t>根据项目产噪设备类型、数量及其与场地边界、敏感目标的相对位置关系，借助</w:t>
      </w:r>
      <w:proofErr w:type="spellStart"/>
      <w:r w:rsidRPr="00927E76">
        <w:rPr>
          <w:kern w:val="0"/>
          <w:sz w:val="24"/>
        </w:rPr>
        <w:t>Cadna</w:t>
      </w:r>
      <w:proofErr w:type="spellEnd"/>
      <w:r w:rsidRPr="00927E76">
        <w:rPr>
          <w:kern w:val="0"/>
          <w:sz w:val="24"/>
        </w:rPr>
        <w:t>/A</w:t>
      </w:r>
      <w:r w:rsidRPr="00927E76">
        <w:rPr>
          <w:kern w:val="0"/>
          <w:sz w:val="24"/>
        </w:rPr>
        <w:t>噪声预测软件，综合考虑建筑物遮挡、绕射、空气吸收衰减、距离衰减等各项因素，对本项目工业场地进行预测。</w:t>
      </w:r>
      <w:proofErr w:type="spellStart"/>
      <w:r w:rsidRPr="00927E76">
        <w:rPr>
          <w:kern w:val="0"/>
          <w:sz w:val="24"/>
        </w:rPr>
        <w:t>Cadna</w:t>
      </w:r>
      <w:proofErr w:type="spellEnd"/>
      <w:r w:rsidRPr="00927E76">
        <w:rPr>
          <w:kern w:val="0"/>
          <w:sz w:val="24"/>
        </w:rPr>
        <w:t>/A</w:t>
      </w:r>
      <w:r w:rsidRPr="00927E76">
        <w:rPr>
          <w:kern w:val="0"/>
          <w:sz w:val="24"/>
        </w:rPr>
        <w:t>噪声预测软件等效采用</w:t>
      </w:r>
      <w:r w:rsidRPr="00927E76">
        <w:rPr>
          <w:kern w:val="0"/>
          <w:sz w:val="24"/>
        </w:rPr>
        <w:t>HJ2.4-2009</w:t>
      </w:r>
      <w:r w:rsidRPr="00927E76">
        <w:rPr>
          <w:kern w:val="0"/>
          <w:sz w:val="24"/>
        </w:rPr>
        <w:t>《环境影响评价技术导则声环境》中</w:t>
      </w:r>
      <w:r w:rsidRPr="00927E76">
        <w:rPr>
          <w:kern w:val="0"/>
          <w:sz w:val="24"/>
        </w:rPr>
        <w:t>8.3</w:t>
      </w:r>
      <w:r w:rsidRPr="00927E76">
        <w:rPr>
          <w:kern w:val="0"/>
          <w:sz w:val="24"/>
        </w:rPr>
        <w:t>及附录</w:t>
      </w:r>
      <w:r w:rsidRPr="00927E76">
        <w:rPr>
          <w:kern w:val="0"/>
          <w:sz w:val="24"/>
        </w:rPr>
        <w:t>A</w:t>
      </w:r>
      <w:r w:rsidRPr="00927E76">
        <w:rPr>
          <w:kern w:val="0"/>
          <w:sz w:val="24"/>
        </w:rPr>
        <w:t>部分所列的计算模式，包括基本公式，点、线、平面、立面声源的几何发散衰减，空气吸收、地面效应、屏障引起的衰减等各种因素。</w:t>
      </w:r>
      <w:r w:rsidRPr="00927E76">
        <w:rPr>
          <w:spacing w:val="-4"/>
          <w:kern w:val="0"/>
          <w:sz w:val="24"/>
        </w:rPr>
        <w:t>噪声预测源强输入清单见表</w:t>
      </w:r>
      <w:r w:rsidRPr="00927E76">
        <w:rPr>
          <w:rFonts w:hint="eastAsia"/>
          <w:spacing w:val="-4"/>
          <w:kern w:val="0"/>
          <w:sz w:val="24"/>
        </w:rPr>
        <w:t>4.2.5-1</w:t>
      </w:r>
      <w:r w:rsidRPr="00927E76">
        <w:rPr>
          <w:spacing w:val="-4"/>
          <w:kern w:val="0"/>
          <w:sz w:val="24"/>
        </w:rPr>
        <w:t>。</w:t>
      </w:r>
      <w:r w:rsidRPr="00927E76">
        <w:rPr>
          <w:rFonts w:hint="eastAsia"/>
          <w:spacing w:val="-4"/>
          <w:kern w:val="0"/>
          <w:sz w:val="24"/>
        </w:rPr>
        <w:t>噪声源及</w:t>
      </w:r>
      <w:r w:rsidRPr="00927E76">
        <w:rPr>
          <w:spacing w:val="-4"/>
          <w:kern w:val="0"/>
          <w:sz w:val="24"/>
        </w:rPr>
        <w:t>中心原点坐标相对</w:t>
      </w:r>
      <w:r w:rsidRPr="00927E76">
        <w:rPr>
          <w:rFonts w:hint="eastAsia"/>
          <w:spacing w:val="-4"/>
          <w:kern w:val="0"/>
          <w:sz w:val="24"/>
        </w:rPr>
        <w:t>位置</w:t>
      </w:r>
      <w:r w:rsidRPr="00927E76">
        <w:rPr>
          <w:spacing w:val="-4"/>
          <w:kern w:val="0"/>
          <w:sz w:val="24"/>
        </w:rPr>
        <w:t>见图</w:t>
      </w:r>
      <w:r w:rsidRPr="00927E76">
        <w:rPr>
          <w:rFonts w:hint="eastAsia"/>
          <w:spacing w:val="-4"/>
          <w:kern w:val="0"/>
          <w:sz w:val="24"/>
        </w:rPr>
        <w:t>2.3.2-5</w:t>
      </w:r>
      <w:r w:rsidRPr="00927E76">
        <w:rPr>
          <w:rFonts w:hint="eastAsia"/>
          <w:spacing w:val="-4"/>
          <w:kern w:val="0"/>
          <w:sz w:val="24"/>
        </w:rPr>
        <w:t>。</w:t>
      </w:r>
    </w:p>
    <w:p w:rsidR="00C223F5" w:rsidRPr="00927E76" w:rsidRDefault="005860D5" w:rsidP="004835BD">
      <w:pPr>
        <w:pStyle w:val="4"/>
        <w:spacing w:before="0" w:after="0" w:line="360" w:lineRule="auto"/>
        <w:ind w:firstLineChars="100" w:firstLine="240"/>
        <w:rPr>
          <w:szCs w:val="24"/>
        </w:rPr>
      </w:pPr>
      <w:bookmarkStart w:id="404" w:name="_Toc474316604"/>
      <w:bookmarkStart w:id="405" w:name="_Toc488660714"/>
      <w:r w:rsidRPr="00927E76">
        <w:rPr>
          <w:rFonts w:hint="eastAsia"/>
          <w:szCs w:val="24"/>
        </w:rPr>
        <w:t>4.2.5.3</w:t>
      </w:r>
      <w:r w:rsidRPr="00927E76">
        <w:rPr>
          <w:rFonts w:hint="eastAsia"/>
          <w:szCs w:val="24"/>
        </w:rPr>
        <w:t>影响声波传播参数分析</w:t>
      </w:r>
      <w:bookmarkEnd w:id="404"/>
      <w:bookmarkEnd w:id="405"/>
    </w:p>
    <w:p w:rsidR="00C223F5" w:rsidRPr="00927E76" w:rsidRDefault="005860D5">
      <w:pPr>
        <w:spacing w:line="360" w:lineRule="auto"/>
        <w:ind w:firstLine="480"/>
        <w:rPr>
          <w:sz w:val="24"/>
        </w:rPr>
      </w:pPr>
      <w:r w:rsidRPr="00927E76">
        <w:rPr>
          <w:sz w:val="24"/>
        </w:rPr>
        <w:t>（</w:t>
      </w:r>
      <w:r w:rsidRPr="00927E76">
        <w:rPr>
          <w:sz w:val="24"/>
        </w:rPr>
        <w:t>1</w:t>
      </w:r>
      <w:r w:rsidRPr="00927E76">
        <w:rPr>
          <w:sz w:val="24"/>
        </w:rPr>
        <w:t>）</w:t>
      </w:r>
      <w:r w:rsidRPr="00927E76">
        <w:rPr>
          <w:rFonts w:hint="eastAsia"/>
          <w:sz w:val="24"/>
        </w:rPr>
        <w:t>气象参数：本项目工业场地所处区域的年平均风速为</w:t>
      </w:r>
      <w:r w:rsidRPr="00927E76">
        <w:rPr>
          <w:rFonts w:hint="eastAsia"/>
          <w:sz w:val="24"/>
        </w:rPr>
        <w:t>2.5m/s</w:t>
      </w:r>
      <w:r w:rsidRPr="00927E76">
        <w:rPr>
          <w:rFonts w:hint="eastAsia"/>
          <w:sz w:val="24"/>
        </w:rPr>
        <w:t>，主导风向为西北风，年平均气温</w:t>
      </w:r>
      <w:r w:rsidRPr="00927E76">
        <w:rPr>
          <w:rFonts w:hint="eastAsia"/>
          <w:sz w:val="24"/>
        </w:rPr>
        <w:t>8.</w:t>
      </w:r>
      <w:r w:rsidRPr="00927E76">
        <w:rPr>
          <w:sz w:val="24"/>
        </w:rPr>
        <w:t>6℃</w:t>
      </w:r>
      <w:r w:rsidRPr="00927E76">
        <w:rPr>
          <w:rFonts w:hint="eastAsia"/>
          <w:sz w:val="24"/>
        </w:rPr>
        <w:t>，年平均相对湿度</w:t>
      </w:r>
      <w:r w:rsidRPr="00927E76">
        <w:rPr>
          <w:rFonts w:hint="eastAsia"/>
          <w:sz w:val="24"/>
        </w:rPr>
        <w:t>56%</w:t>
      </w:r>
      <w:r w:rsidRPr="00927E76">
        <w:rPr>
          <w:rFonts w:hint="eastAsia"/>
          <w:sz w:val="24"/>
        </w:rPr>
        <w:t>。</w:t>
      </w:r>
    </w:p>
    <w:p w:rsidR="00C223F5" w:rsidRPr="00927E76" w:rsidRDefault="005860D5">
      <w:pPr>
        <w:spacing w:line="360" w:lineRule="auto"/>
        <w:ind w:firstLine="480"/>
        <w:rPr>
          <w:sz w:val="24"/>
        </w:rPr>
      </w:pPr>
      <w:r w:rsidRPr="00927E76">
        <w:rPr>
          <w:rFonts w:hint="eastAsia"/>
          <w:sz w:val="24"/>
        </w:rPr>
        <w:t>（</w:t>
      </w:r>
      <w:r w:rsidRPr="00927E76">
        <w:rPr>
          <w:rFonts w:hint="eastAsia"/>
          <w:sz w:val="24"/>
        </w:rPr>
        <w:t>2</w:t>
      </w:r>
      <w:r w:rsidRPr="00927E76">
        <w:rPr>
          <w:rFonts w:hint="eastAsia"/>
          <w:sz w:val="24"/>
        </w:rPr>
        <w:t>）</w:t>
      </w:r>
      <w:r w:rsidRPr="00927E76">
        <w:rPr>
          <w:sz w:val="24"/>
        </w:rPr>
        <w:t>预测点信息：预测点主要为工业场地厂界四周的代表点</w:t>
      </w:r>
      <w:r w:rsidRPr="00927E76">
        <w:rPr>
          <w:rFonts w:hint="eastAsia"/>
          <w:sz w:val="24"/>
        </w:rPr>
        <w:t>和敏感点</w:t>
      </w:r>
      <w:r w:rsidRPr="00927E76">
        <w:rPr>
          <w:sz w:val="24"/>
        </w:rPr>
        <w:t>，详见表</w:t>
      </w:r>
      <w:r w:rsidRPr="00927E76">
        <w:rPr>
          <w:rFonts w:hint="eastAsia"/>
          <w:spacing w:val="-4"/>
          <w:kern w:val="0"/>
          <w:sz w:val="24"/>
        </w:rPr>
        <w:t>4.2.5-2</w:t>
      </w:r>
      <w:r w:rsidRPr="00927E76">
        <w:rPr>
          <w:sz w:val="24"/>
        </w:rPr>
        <w:t>。</w:t>
      </w:r>
    </w:p>
    <w:p w:rsidR="00C223F5" w:rsidRDefault="005860D5">
      <w:pPr>
        <w:jc w:val="center"/>
        <w:rPr>
          <w:b/>
          <w:bCs/>
          <w:kern w:val="0"/>
          <w:sz w:val="24"/>
        </w:rPr>
      </w:pPr>
      <w:r w:rsidRPr="00927E76">
        <w:rPr>
          <w:b/>
          <w:bCs/>
          <w:kern w:val="0"/>
          <w:sz w:val="24"/>
        </w:rPr>
        <w:t>表</w:t>
      </w:r>
      <w:r w:rsidRPr="00927E76">
        <w:rPr>
          <w:rFonts w:hint="eastAsia"/>
          <w:b/>
          <w:bCs/>
          <w:kern w:val="0"/>
          <w:sz w:val="24"/>
        </w:rPr>
        <w:t xml:space="preserve">4.2.5-2  </w:t>
      </w:r>
      <w:r w:rsidRPr="00927E76">
        <w:rPr>
          <w:b/>
          <w:bCs/>
          <w:kern w:val="0"/>
          <w:sz w:val="24"/>
        </w:rPr>
        <w:t>工业场地预测点主要信息汇总表</w:t>
      </w:r>
    </w:p>
    <w:tbl>
      <w:tblPr>
        <w:tblW w:w="903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641"/>
        <w:gridCol w:w="1559"/>
        <w:gridCol w:w="993"/>
        <w:gridCol w:w="992"/>
        <w:gridCol w:w="1417"/>
        <w:gridCol w:w="851"/>
        <w:gridCol w:w="850"/>
        <w:gridCol w:w="733"/>
      </w:tblGrid>
      <w:tr w:rsidR="007F4D48" w:rsidTr="004835BD">
        <w:trPr>
          <w:trHeight w:val="285"/>
          <w:jc w:val="center"/>
        </w:trPr>
        <w:tc>
          <w:tcPr>
            <w:tcW w:w="1641" w:type="dxa"/>
            <w:vMerge w:val="restart"/>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预测点类型</w:t>
            </w:r>
          </w:p>
        </w:tc>
        <w:tc>
          <w:tcPr>
            <w:tcW w:w="1559" w:type="dxa"/>
            <w:vMerge w:val="restart"/>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预测点名称</w:t>
            </w:r>
          </w:p>
        </w:tc>
        <w:tc>
          <w:tcPr>
            <w:tcW w:w="1985" w:type="dxa"/>
            <w:gridSpan w:val="2"/>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标准限值</w:t>
            </w:r>
            <w:r>
              <w:rPr>
                <w:kern w:val="0"/>
                <w:szCs w:val="21"/>
              </w:rPr>
              <w:t>(dBA)</w:t>
            </w:r>
          </w:p>
        </w:tc>
        <w:tc>
          <w:tcPr>
            <w:tcW w:w="1417" w:type="dxa"/>
            <w:vMerge w:val="restart"/>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相对地面高度</w:t>
            </w:r>
            <w:r>
              <w:rPr>
                <w:kern w:val="0"/>
                <w:szCs w:val="21"/>
              </w:rPr>
              <w:t>(m)</w:t>
            </w:r>
          </w:p>
        </w:tc>
        <w:tc>
          <w:tcPr>
            <w:tcW w:w="2434" w:type="dxa"/>
            <w:gridSpan w:val="3"/>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坐标位置</w:t>
            </w:r>
          </w:p>
        </w:tc>
      </w:tr>
      <w:tr w:rsidR="007F4D48" w:rsidTr="004835BD">
        <w:trPr>
          <w:trHeight w:val="354"/>
          <w:jc w:val="center"/>
        </w:trPr>
        <w:tc>
          <w:tcPr>
            <w:tcW w:w="1641" w:type="dxa"/>
            <w:vMerge/>
            <w:vAlign w:val="center"/>
          </w:tcPr>
          <w:p w:rsidR="007F4D48" w:rsidRDefault="007F4D48" w:rsidP="004835BD">
            <w:pPr>
              <w:adjustRightInd w:val="0"/>
              <w:snapToGrid w:val="0"/>
              <w:spacing w:line="240" w:lineRule="atLeast"/>
              <w:rPr>
                <w:kern w:val="0"/>
                <w:szCs w:val="21"/>
              </w:rPr>
            </w:pPr>
          </w:p>
        </w:tc>
        <w:tc>
          <w:tcPr>
            <w:tcW w:w="1559" w:type="dxa"/>
            <w:vMerge/>
            <w:vAlign w:val="center"/>
          </w:tcPr>
          <w:p w:rsidR="007F4D48" w:rsidRDefault="007F4D48" w:rsidP="004835BD">
            <w:pPr>
              <w:adjustRightInd w:val="0"/>
              <w:snapToGrid w:val="0"/>
              <w:spacing w:line="240" w:lineRule="atLeast"/>
              <w:rPr>
                <w:kern w:val="0"/>
                <w:szCs w:val="21"/>
              </w:rPr>
            </w:pPr>
          </w:p>
        </w:tc>
        <w:tc>
          <w:tcPr>
            <w:tcW w:w="993"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昼间</w:t>
            </w:r>
          </w:p>
        </w:tc>
        <w:tc>
          <w:tcPr>
            <w:tcW w:w="992"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夜间</w:t>
            </w:r>
          </w:p>
        </w:tc>
        <w:tc>
          <w:tcPr>
            <w:tcW w:w="1417" w:type="dxa"/>
            <w:vMerge/>
            <w:vAlign w:val="center"/>
          </w:tcPr>
          <w:p w:rsidR="007F4D48" w:rsidRDefault="007F4D48" w:rsidP="004835BD">
            <w:pPr>
              <w:autoSpaceDN w:val="0"/>
              <w:adjustRightInd w:val="0"/>
              <w:snapToGrid w:val="0"/>
              <w:spacing w:line="240" w:lineRule="atLeast"/>
              <w:jc w:val="center"/>
              <w:textAlignment w:val="center"/>
              <w:rPr>
                <w:kern w:val="0"/>
                <w:szCs w:val="21"/>
              </w:rPr>
            </w:pPr>
          </w:p>
        </w:tc>
        <w:tc>
          <w:tcPr>
            <w:tcW w:w="851"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X(m)</w:t>
            </w:r>
          </w:p>
        </w:tc>
        <w:tc>
          <w:tcPr>
            <w:tcW w:w="850"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Y(m)</w:t>
            </w:r>
          </w:p>
        </w:tc>
        <w:tc>
          <w:tcPr>
            <w:tcW w:w="733"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Z(m)</w:t>
            </w:r>
          </w:p>
        </w:tc>
      </w:tr>
      <w:tr w:rsidR="007F4D48" w:rsidTr="004835BD">
        <w:trPr>
          <w:trHeight w:val="285"/>
          <w:jc w:val="center"/>
        </w:trPr>
        <w:tc>
          <w:tcPr>
            <w:tcW w:w="1641" w:type="dxa"/>
            <w:vMerge w:val="restart"/>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厂界代表点</w:t>
            </w:r>
          </w:p>
        </w:tc>
        <w:tc>
          <w:tcPr>
            <w:tcW w:w="1559" w:type="dxa"/>
            <w:vAlign w:val="center"/>
          </w:tcPr>
          <w:p w:rsidR="007F4D48" w:rsidRDefault="007F4D48" w:rsidP="004835BD">
            <w:pPr>
              <w:autoSpaceDN w:val="0"/>
              <w:adjustRightInd w:val="0"/>
              <w:snapToGrid w:val="0"/>
              <w:spacing w:line="240" w:lineRule="atLeast"/>
              <w:jc w:val="center"/>
              <w:textAlignment w:val="center"/>
              <w:rPr>
                <w:kern w:val="0"/>
                <w:szCs w:val="21"/>
              </w:rPr>
            </w:pPr>
            <w:r>
              <w:rPr>
                <w:rFonts w:hint="eastAsia"/>
                <w:kern w:val="0"/>
                <w:szCs w:val="21"/>
              </w:rPr>
              <w:t>东</w:t>
            </w:r>
            <w:r>
              <w:rPr>
                <w:kern w:val="0"/>
                <w:szCs w:val="21"/>
              </w:rPr>
              <w:t>厂界</w:t>
            </w:r>
          </w:p>
        </w:tc>
        <w:tc>
          <w:tcPr>
            <w:tcW w:w="993"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60</w:t>
            </w:r>
          </w:p>
        </w:tc>
        <w:tc>
          <w:tcPr>
            <w:tcW w:w="992"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50</w:t>
            </w:r>
          </w:p>
        </w:tc>
        <w:tc>
          <w:tcPr>
            <w:tcW w:w="1417"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1.2</w:t>
            </w:r>
          </w:p>
        </w:tc>
        <w:tc>
          <w:tcPr>
            <w:tcW w:w="851" w:type="dxa"/>
            <w:vAlign w:val="center"/>
          </w:tcPr>
          <w:p w:rsidR="007F4D48" w:rsidRDefault="007F4D48" w:rsidP="004835BD">
            <w:pPr>
              <w:autoSpaceDN w:val="0"/>
              <w:adjustRightInd w:val="0"/>
              <w:snapToGrid w:val="0"/>
              <w:spacing w:line="240" w:lineRule="atLeast"/>
              <w:jc w:val="center"/>
              <w:textAlignment w:val="center"/>
              <w:rPr>
                <w:kern w:val="0"/>
                <w:szCs w:val="21"/>
              </w:rPr>
            </w:pPr>
            <w:r>
              <w:rPr>
                <w:rFonts w:hint="eastAsia"/>
                <w:kern w:val="0"/>
                <w:szCs w:val="21"/>
              </w:rPr>
              <w:t>390.96</w:t>
            </w:r>
          </w:p>
        </w:tc>
        <w:tc>
          <w:tcPr>
            <w:tcW w:w="850" w:type="dxa"/>
            <w:vAlign w:val="center"/>
          </w:tcPr>
          <w:p w:rsidR="007F4D48" w:rsidRDefault="007F4D48" w:rsidP="004835BD">
            <w:pPr>
              <w:autoSpaceDN w:val="0"/>
              <w:adjustRightInd w:val="0"/>
              <w:snapToGrid w:val="0"/>
              <w:spacing w:line="240" w:lineRule="atLeast"/>
              <w:jc w:val="center"/>
              <w:textAlignment w:val="center"/>
              <w:rPr>
                <w:kern w:val="0"/>
                <w:szCs w:val="21"/>
              </w:rPr>
            </w:pPr>
            <w:r>
              <w:rPr>
                <w:rFonts w:hint="eastAsia"/>
                <w:kern w:val="0"/>
                <w:szCs w:val="21"/>
              </w:rPr>
              <w:t>-41.66</w:t>
            </w:r>
          </w:p>
        </w:tc>
        <w:tc>
          <w:tcPr>
            <w:tcW w:w="733"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1.2</w:t>
            </w:r>
          </w:p>
        </w:tc>
      </w:tr>
      <w:tr w:rsidR="007F4D48" w:rsidTr="004835BD">
        <w:trPr>
          <w:trHeight w:val="285"/>
          <w:jc w:val="center"/>
        </w:trPr>
        <w:tc>
          <w:tcPr>
            <w:tcW w:w="1641" w:type="dxa"/>
            <w:vMerge/>
            <w:vAlign w:val="center"/>
          </w:tcPr>
          <w:p w:rsidR="007F4D48" w:rsidRDefault="007F4D48" w:rsidP="004835BD">
            <w:pPr>
              <w:autoSpaceDN w:val="0"/>
              <w:adjustRightInd w:val="0"/>
              <w:snapToGrid w:val="0"/>
              <w:spacing w:line="240" w:lineRule="atLeast"/>
              <w:jc w:val="center"/>
              <w:textAlignment w:val="center"/>
              <w:rPr>
                <w:kern w:val="0"/>
                <w:szCs w:val="21"/>
              </w:rPr>
            </w:pPr>
          </w:p>
        </w:tc>
        <w:tc>
          <w:tcPr>
            <w:tcW w:w="1559"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南厂界</w:t>
            </w:r>
          </w:p>
        </w:tc>
        <w:tc>
          <w:tcPr>
            <w:tcW w:w="993"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60</w:t>
            </w:r>
          </w:p>
        </w:tc>
        <w:tc>
          <w:tcPr>
            <w:tcW w:w="992"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50</w:t>
            </w:r>
          </w:p>
        </w:tc>
        <w:tc>
          <w:tcPr>
            <w:tcW w:w="1417"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1.2</w:t>
            </w:r>
          </w:p>
        </w:tc>
        <w:tc>
          <w:tcPr>
            <w:tcW w:w="851" w:type="dxa"/>
            <w:vAlign w:val="center"/>
          </w:tcPr>
          <w:p w:rsidR="007F4D48" w:rsidRDefault="007F4D48" w:rsidP="004835BD">
            <w:pPr>
              <w:autoSpaceDN w:val="0"/>
              <w:adjustRightInd w:val="0"/>
              <w:snapToGrid w:val="0"/>
              <w:spacing w:line="240" w:lineRule="atLeast"/>
              <w:jc w:val="center"/>
              <w:textAlignment w:val="center"/>
              <w:rPr>
                <w:kern w:val="0"/>
                <w:szCs w:val="21"/>
              </w:rPr>
            </w:pPr>
            <w:r>
              <w:rPr>
                <w:rFonts w:hint="eastAsia"/>
                <w:kern w:val="0"/>
                <w:szCs w:val="21"/>
              </w:rPr>
              <w:t>308.14</w:t>
            </w:r>
          </w:p>
        </w:tc>
        <w:tc>
          <w:tcPr>
            <w:tcW w:w="850" w:type="dxa"/>
            <w:vAlign w:val="center"/>
          </w:tcPr>
          <w:p w:rsidR="007F4D48" w:rsidRDefault="007F4D48" w:rsidP="004835BD">
            <w:pPr>
              <w:autoSpaceDN w:val="0"/>
              <w:adjustRightInd w:val="0"/>
              <w:snapToGrid w:val="0"/>
              <w:spacing w:line="240" w:lineRule="atLeast"/>
              <w:jc w:val="center"/>
              <w:textAlignment w:val="center"/>
              <w:rPr>
                <w:kern w:val="0"/>
                <w:szCs w:val="21"/>
              </w:rPr>
            </w:pPr>
            <w:r>
              <w:rPr>
                <w:rFonts w:hint="eastAsia"/>
                <w:kern w:val="0"/>
                <w:szCs w:val="21"/>
              </w:rPr>
              <w:t>-61.06</w:t>
            </w:r>
          </w:p>
        </w:tc>
        <w:tc>
          <w:tcPr>
            <w:tcW w:w="733"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1.2</w:t>
            </w:r>
          </w:p>
        </w:tc>
      </w:tr>
      <w:tr w:rsidR="007F4D48" w:rsidTr="004835BD">
        <w:trPr>
          <w:trHeight w:val="285"/>
          <w:jc w:val="center"/>
        </w:trPr>
        <w:tc>
          <w:tcPr>
            <w:tcW w:w="1641" w:type="dxa"/>
            <w:vMerge/>
            <w:vAlign w:val="center"/>
          </w:tcPr>
          <w:p w:rsidR="007F4D48" w:rsidRDefault="007F4D48" w:rsidP="004835BD">
            <w:pPr>
              <w:autoSpaceDN w:val="0"/>
              <w:adjustRightInd w:val="0"/>
              <w:snapToGrid w:val="0"/>
              <w:spacing w:line="240" w:lineRule="atLeast"/>
              <w:jc w:val="center"/>
              <w:textAlignment w:val="center"/>
              <w:rPr>
                <w:kern w:val="0"/>
                <w:szCs w:val="21"/>
              </w:rPr>
            </w:pPr>
          </w:p>
        </w:tc>
        <w:tc>
          <w:tcPr>
            <w:tcW w:w="1559"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西厂界</w:t>
            </w:r>
          </w:p>
        </w:tc>
        <w:tc>
          <w:tcPr>
            <w:tcW w:w="993"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60</w:t>
            </w:r>
          </w:p>
        </w:tc>
        <w:tc>
          <w:tcPr>
            <w:tcW w:w="992"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50</w:t>
            </w:r>
          </w:p>
        </w:tc>
        <w:tc>
          <w:tcPr>
            <w:tcW w:w="1417"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1.2</w:t>
            </w:r>
          </w:p>
        </w:tc>
        <w:tc>
          <w:tcPr>
            <w:tcW w:w="851" w:type="dxa"/>
            <w:vAlign w:val="center"/>
          </w:tcPr>
          <w:p w:rsidR="007F4D48" w:rsidRDefault="007F4D48" w:rsidP="004835BD">
            <w:pPr>
              <w:autoSpaceDN w:val="0"/>
              <w:adjustRightInd w:val="0"/>
              <w:snapToGrid w:val="0"/>
              <w:spacing w:line="240" w:lineRule="atLeast"/>
              <w:jc w:val="center"/>
              <w:textAlignment w:val="center"/>
              <w:rPr>
                <w:kern w:val="0"/>
                <w:szCs w:val="21"/>
              </w:rPr>
            </w:pPr>
            <w:r>
              <w:rPr>
                <w:rFonts w:hint="eastAsia"/>
                <w:kern w:val="0"/>
                <w:szCs w:val="21"/>
              </w:rPr>
              <w:t>10.09</w:t>
            </w:r>
          </w:p>
        </w:tc>
        <w:tc>
          <w:tcPr>
            <w:tcW w:w="850" w:type="dxa"/>
            <w:vAlign w:val="center"/>
          </w:tcPr>
          <w:p w:rsidR="007F4D48" w:rsidRDefault="007F4D48" w:rsidP="004835BD">
            <w:pPr>
              <w:autoSpaceDN w:val="0"/>
              <w:adjustRightInd w:val="0"/>
              <w:snapToGrid w:val="0"/>
              <w:spacing w:line="240" w:lineRule="atLeast"/>
              <w:jc w:val="center"/>
              <w:textAlignment w:val="center"/>
              <w:rPr>
                <w:kern w:val="0"/>
                <w:szCs w:val="21"/>
              </w:rPr>
            </w:pPr>
            <w:r>
              <w:rPr>
                <w:rFonts w:hint="eastAsia"/>
                <w:kern w:val="0"/>
                <w:szCs w:val="21"/>
              </w:rPr>
              <w:t>33.03</w:t>
            </w:r>
          </w:p>
        </w:tc>
        <w:tc>
          <w:tcPr>
            <w:tcW w:w="733"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1.2</w:t>
            </w:r>
          </w:p>
        </w:tc>
      </w:tr>
      <w:tr w:rsidR="007F4D48" w:rsidTr="004835BD">
        <w:trPr>
          <w:trHeight w:val="285"/>
          <w:jc w:val="center"/>
        </w:trPr>
        <w:tc>
          <w:tcPr>
            <w:tcW w:w="1641" w:type="dxa"/>
            <w:vMerge/>
            <w:vAlign w:val="center"/>
          </w:tcPr>
          <w:p w:rsidR="007F4D48" w:rsidRDefault="007F4D48" w:rsidP="004835BD">
            <w:pPr>
              <w:autoSpaceDN w:val="0"/>
              <w:adjustRightInd w:val="0"/>
              <w:snapToGrid w:val="0"/>
              <w:spacing w:line="240" w:lineRule="atLeast"/>
              <w:jc w:val="center"/>
              <w:textAlignment w:val="center"/>
              <w:rPr>
                <w:kern w:val="0"/>
                <w:szCs w:val="21"/>
              </w:rPr>
            </w:pPr>
          </w:p>
        </w:tc>
        <w:tc>
          <w:tcPr>
            <w:tcW w:w="1559" w:type="dxa"/>
            <w:vAlign w:val="center"/>
          </w:tcPr>
          <w:p w:rsidR="007F4D48" w:rsidRDefault="007F4D48" w:rsidP="004835BD">
            <w:pPr>
              <w:autoSpaceDN w:val="0"/>
              <w:adjustRightInd w:val="0"/>
              <w:snapToGrid w:val="0"/>
              <w:spacing w:line="240" w:lineRule="atLeast"/>
              <w:jc w:val="center"/>
              <w:textAlignment w:val="center"/>
              <w:rPr>
                <w:kern w:val="0"/>
                <w:szCs w:val="21"/>
              </w:rPr>
            </w:pPr>
            <w:r>
              <w:rPr>
                <w:rFonts w:hint="eastAsia"/>
                <w:kern w:val="0"/>
                <w:szCs w:val="21"/>
              </w:rPr>
              <w:t>北</w:t>
            </w:r>
            <w:r>
              <w:rPr>
                <w:kern w:val="0"/>
                <w:szCs w:val="21"/>
              </w:rPr>
              <w:t>厂界</w:t>
            </w:r>
          </w:p>
        </w:tc>
        <w:tc>
          <w:tcPr>
            <w:tcW w:w="993"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60</w:t>
            </w:r>
          </w:p>
        </w:tc>
        <w:tc>
          <w:tcPr>
            <w:tcW w:w="992"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50</w:t>
            </w:r>
          </w:p>
        </w:tc>
        <w:tc>
          <w:tcPr>
            <w:tcW w:w="1417"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1.2</w:t>
            </w:r>
          </w:p>
        </w:tc>
        <w:tc>
          <w:tcPr>
            <w:tcW w:w="851" w:type="dxa"/>
            <w:vAlign w:val="center"/>
          </w:tcPr>
          <w:p w:rsidR="007F4D48" w:rsidRDefault="007F4D48" w:rsidP="004835BD">
            <w:pPr>
              <w:autoSpaceDN w:val="0"/>
              <w:adjustRightInd w:val="0"/>
              <w:snapToGrid w:val="0"/>
              <w:spacing w:line="240" w:lineRule="atLeast"/>
              <w:jc w:val="center"/>
              <w:textAlignment w:val="center"/>
              <w:rPr>
                <w:kern w:val="0"/>
                <w:szCs w:val="21"/>
              </w:rPr>
            </w:pPr>
            <w:r>
              <w:rPr>
                <w:rFonts w:hint="eastAsia"/>
                <w:kern w:val="0"/>
                <w:szCs w:val="21"/>
              </w:rPr>
              <w:t>169.86</w:t>
            </w:r>
          </w:p>
        </w:tc>
        <w:tc>
          <w:tcPr>
            <w:tcW w:w="850" w:type="dxa"/>
            <w:vAlign w:val="center"/>
          </w:tcPr>
          <w:p w:rsidR="007F4D48" w:rsidRDefault="007F4D48" w:rsidP="004835BD">
            <w:pPr>
              <w:autoSpaceDN w:val="0"/>
              <w:adjustRightInd w:val="0"/>
              <w:snapToGrid w:val="0"/>
              <w:spacing w:line="240" w:lineRule="atLeast"/>
              <w:jc w:val="center"/>
              <w:textAlignment w:val="center"/>
              <w:rPr>
                <w:kern w:val="0"/>
                <w:szCs w:val="21"/>
              </w:rPr>
            </w:pPr>
            <w:r>
              <w:rPr>
                <w:rFonts w:hint="eastAsia"/>
                <w:kern w:val="0"/>
                <w:szCs w:val="21"/>
              </w:rPr>
              <w:t>82.58</w:t>
            </w:r>
          </w:p>
        </w:tc>
        <w:tc>
          <w:tcPr>
            <w:tcW w:w="733"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1.2</w:t>
            </w:r>
          </w:p>
        </w:tc>
      </w:tr>
      <w:tr w:rsidR="007F4D48" w:rsidTr="004835BD">
        <w:trPr>
          <w:trHeight w:val="285"/>
          <w:jc w:val="center"/>
        </w:trPr>
        <w:tc>
          <w:tcPr>
            <w:tcW w:w="1641" w:type="dxa"/>
            <w:vMerge w:val="restart"/>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厂外敏感点</w:t>
            </w:r>
          </w:p>
        </w:tc>
        <w:tc>
          <w:tcPr>
            <w:tcW w:w="1559" w:type="dxa"/>
            <w:vAlign w:val="center"/>
          </w:tcPr>
          <w:p w:rsidR="007F4D48" w:rsidRDefault="007F4D48" w:rsidP="004835BD">
            <w:pPr>
              <w:spacing w:line="260" w:lineRule="exact"/>
              <w:jc w:val="center"/>
              <w:rPr>
                <w:kern w:val="0"/>
                <w:szCs w:val="21"/>
              </w:rPr>
            </w:pPr>
            <w:r>
              <w:rPr>
                <w:rFonts w:hAnsi="宋体"/>
                <w:color w:val="FF0000"/>
                <w:szCs w:val="21"/>
              </w:rPr>
              <w:t>念枣坪</w:t>
            </w:r>
            <w:r>
              <w:rPr>
                <w:rFonts w:hAnsi="宋体" w:hint="eastAsia"/>
                <w:color w:val="FF0000"/>
                <w:szCs w:val="21"/>
              </w:rPr>
              <w:t>组</w:t>
            </w:r>
          </w:p>
        </w:tc>
        <w:tc>
          <w:tcPr>
            <w:tcW w:w="993"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60</w:t>
            </w:r>
          </w:p>
        </w:tc>
        <w:tc>
          <w:tcPr>
            <w:tcW w:w="992"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50</w:t>
            </w:r>
          </w:p>
        </w:tc>
        <w:tc>
          <w:tcPr>
            <w:tcW w:w="1417"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1.2</w:t>
            </w:r>
          </w:p>
        </w:tc>
        <w:tc>
          <w:tcPr>
            <w:tcW w:w="851" w:type="dxa"/>
            <w:vAlign w:val="center"/>
          </w:tcPr>
          <w:p w:rsidR="007F4D48" w:rsidRDefault="007F4D48" w:rsidP="004835BD">
            <w:pPr>
              <w:autoSpaceDN w:val="0"/>
              <w:adjustRightInd w:val="0"/>
              <w:snapToGrid w:val="0"/>
              <w:spacing w:line="240" w:lineRule="atLeast"/>
              <w:jc w:val="center"/>
              <w:textAlignment w:val="center"/>
              <w:rPr>
                <w:kern w:val="0"/>
                <w:szCs w:val="21"/>
              </w:rPr>
            </w:pPr>
            <w:r>
              <w:rPr>
                <w:rFonts w:hint="eastAsia"/>
                <w:kern w:val="0"/>
                <w:szCs w:val="21"/>
              </w:rPr>
              <w:t>432.34</w:t>
            </w:r>
          </w:p>
        </w:tc>
        <w:tc>
          <w:tcPr>
            <w:tcW w:w="850" w:type="dxa"/>
            <w:vAlign w:val="center"/>
          </w:tcPr>
          <w:p w:rsidR="007F4D48" w:rsidRDefault="007F4D48" w:rsidP="004835BD">
            <w:pPr>
              <w:autoSpaceDN w:val="0"/>
              <w:adjustRightInd w:val="0"/>
              <w:snapToGrid w:val="0"/>
              <w:spacing w:line="240" w:lineRule="atLeast"/>
              <w:jc w:val="center"/>
              <w:textAlignment w:val="center"/>
              <w:rPr>
                <w:kern w:val="0"/>
                <w:szCs w:val="21"/>
              </w:rPr>
            </w:pPr>
            <w:r>
              <w:rPr>
                <w:rFonts w:hint="eastAsia"/>
                <w:kern w:val="0"/>
                <w:szCs w:val="21"/>
              </w:rPr>
              <w:t>-54.75</w:t>
            </w:r>
          </w:p>
        </w:tc>
        <w:tc>
          <w:tcPr>
            <w:tcW w:w="733" w:type="dxa"/>
            <w:vAlign w:val="center"/>
          </w:tcPr>
          <w:p w:rsidR="007F4D48" w:rsidRDefault="007F4D48" w:rsidP="004835BD">
            <w:pPr>
              <w:autoSpaceDN w:val="0"/>
              <w:adjustRightInd w:val="0"/>
              <w:snapToGrid w:val="0"/>
              <w:spacing w:line="240" w:lineRule="atLeast"/>
              <w:jc w:val="center"/>
              <w:textAlignment w:val="center"/>
              <w:rPr>
                <w:kern w:val="0"/>
                <w:szCs w:val="21"/>
              </w:rPr>
            </w:pPr>
            <w:r>
              <w:rPr>
                <w:kern w:val="0"/>
                <w:szCs w:val="21"/>
              </w:rPr>
              <w:t>1.2</w:t>
            </w:r>
          </w:p>
        </w:tc>
      </w:tr>
      <w:tr w:rsidR="007F4D48" w:rsidTr="004835BD">
        <w:trPr>
          <w:trHeight w:val="285"/>
          <w:jc w:val="center"/>
        </w:trPr>
        <w:tc>
          <w:tcPr>
            <w:tcW w:w="1641" w:type="dxa"/>
            <w:vMerge/>
            <w:vAlign w:val="center"/>
          </w:tcPr>
          <w:p w:rsidR="007F4D48" w:rsidRDefault="007F4D48" w:rsidP="004835BD">
            <w:pPr>
              <w:autoSpaceDN w:val="0"/>
              <w:adjustRightInd w:val="0"/>
              <w:snapToGrid w:val="0"/>
              <w:spacing w:line="240" w:lineRule="atLeast"/>
              <w:jc w:val="center"/>
              <w:textAlignment w:val="center"/>
              <w:rPr>
                <w:kern w:val="0"/>
                <w:szCs w:val="21"/>
              </w:rPr>
            </w:pPr>
          </w:p>
        </w:tc>
        <w:tc>
          <w:tcPr>
            <w:tcW w:w="1559" w:type="dxa"/>
            <w:vAlign w:val="center"/>
          </w:tcPr>
          <w:p w:rsidR="007F4D48" w:rsidRDefault="007F4D48" w:rsidP="004835BD">
            <w:pPr>
              <w:spacing w:line="260" w:lineRule="exact"/>
              <w:jc w:val="center"/>
              <w:rPr>
                <w:kern w:val="0"/>
                <w:szCs w:val="21"/>
              </w:rPr>
            </w:pPr>
            <w:r>
              <w:rPr>
                <w:rFonts w:hAnsi="宋体"/>
                <w:color w:val="FF0000"/>
                <w:szCs w:val="21"/>
              </w:rPr>
              <w:t>施阳台</w:t>
            </w:r>
            <w:r>
              <w:rPr>
                <w:rFonts w:hAnsi="宋体" w:hint="eastAsia"/>
                <w:color w:val="FF0000"/>
                <w:szCs w:val="21"/>
              </w:rPr>
              <w:t>组</w:t>
            </w:r>
          </w:p>
        </w:tc>
        <w:tc>
          <w:tcPr>
            <w:tcW w:w="993" w:type="dxa"/>
            <w:vAlign w:val="center"/>
          </w:tcPr>
          <w:p w:rsidR="007F4D48" w:rsidRDefault="007F4D48" w:rsidP="004835BD">
            <w:pPr>
              <w:autoSpaceDN w:val="0"/>
              <w:adjustRightInd w:val="0"/>
              <w:snapToGrid w:val="0"/>
              <w:spacing w:line="240" w:lineRule="atLeast"/>
              <w:jc w:val="center"/>
              <w:textAlignment w:val="center"/>
              <w:rPr>
                <w:color w:val="FF0000"/>
                <w:kern w:val="0"/>
                <w:szCs w:val="21"/>
              </w:rPr>
            </w:pPr>
            <w:r>
              <w:rPr>
                <w:color w:val="FF0000"/>
                <w:kern w:val="0"/>
                <w:szCs w:val="21"/>
              </w:rPr>
              <w:t>60</w:t>
            </w:r>
          </w:p>
        </w:tc>
        <w:tc>
          <w:tcPr>
            <w:tcW w:w="992" w:type="dxa"/>
            <w:vAlign w:val="center"/>
          </w:tcPr>
          <w:p w:rsidR="007F4D48" w:rsidRDefault="007F4D48" w:rsidP="004835BD">
            <w:pPr>
              <w:autoSpaceDN w:val="0"/>
              <w:adjustRightInd w:val="0"/>
              <w:snapToGrid w:val="0"/>
              <w:spacing w:line="240" w:lineRule="atLeast"/>
              <w:jc w:val="center"/>
              <w:textAlignment w:val="center"/>
              <w:rPr>
                <w:color w:val="FF0000"/>
                <w:kern w:val="0"/>
                <w:szCs w:val="21"/>
              </w:rPr>
            </w:pPr>
            <w:r>
              <w:rPr>
                <w:color w:val="FF0000"/>
                <w:kern w:val="0"/>
                <w:szCs w:val="21"/>
              </w:rPr>
              <w:t>50</w:t>
            </w:r>
          </w:p>
        </w:tc>
        <w:tc>
          <w:tcPr>
            <w:tcW w:w="1417" w:type="dxa"/>
            <w:vAlign w:val="center"/>
          </w:tcPr>
          <w:p w:rsidR="007F4D48" w:rsidRDefault="007F4D48" w:rsidP="004835BD">
            <w:pPr>
              <w:autoSpaceDN w:val="0"/>
              <w:adjustRightInd w:val="0"/>
              <w:snapToGrid w:val="0"/>
              <w:spacing w:line="240" w:lineRule="atLeast"/>
              <w:jc w:val="center"/>
              <w:textAlignment w:val="center"/>
              <w:rPr>
                <w:color w:val="FF0000"/>
                <w:kern w:val="0"/>
                <w:szCs w:val="21"/>
              </w:rPr>
            </w:pPr>
            <w:r>
              <w:rPr>
                <w:color w:val="FF0000"/>
                <w:kern w:val="0"/>
                <w:szCs w:val="21"/>
              </w:rPr>
              <w:t>1.2</w:t>
            </w:r>
          </w:p>
        </w:tc>
        <w:tc>
          <w:tcPr>
            <w:tcW w:w="851" w:type="dxa"/>
            <w:vAlign w:val="center"/>
          </w:tcPr>
          <w:p w:rsidR="007F4D48" w:rsidRDefault="007F4D48" w:rsidP="004835BD">
            <w:pPr>
              <w:autoSpaceDN w:val="0"/>
              <w:adjustRightInd w:val="0"/>
              <w:snapToGrid w:val="0"/>
              <w:spacing w:line="240" w:lineRule="atLeast"/>
              <w:jc w:val="center"/>
              <w:textAlignment w:val="center"/>
              <w:rPr>
                <w:color w:val="FF0000"/>
                <w:kern w:val="0"/>
                <w:szCs w:val="21"/>
              </w:rPr>
            </w:pPr>
            <w:r>
              <w:rPr>
                <w:rFonts w:hint="eastAsia"/>
                <w:color w:val="FF0000"/>
                <w:kern w:val="0"/>
                <w:szCs w:val="21"/>
              </w:rPr>
              <w:t>4.09</w:t>
            </w:r>
          </w:p>
        </w:tc>
        <w:tc>
          <w:tcPr>
            <w:tcW w:w="850" w:type="dxa"/>
            <w:vAlign w:val="center"/>
          </w:tcPr>
          <w:p w:rsidR="007F4D48" w:rsidRDefault="007F4D48" w:rsidP="004835BD">
            <w:pPr>
              <w:autoSpaceDN w:val="0"/>
              <w:adjustRightInd w:val="0"/>
              <w:snapToGrid w:val="0"/>
              <w:spacing w:line="240" w:lineRule="atLeast"/>
              <w:jc w:val="center"/>
              <w:textAlignment w:val="center"/>
              <w:rPr>
                <w:color w:val="FF0000"/>
                <w:kern w:val="0"/>
                <w:szCs w:val="21"/>
              </w:rPr>
            </w:pPr>
            <w:r>
              <w:rPr>
                <w:rFonts w:hint="eastAsia"/>
                <w:color w:val="FF0000"/>
                <w:kern w:val="0"/>
                <w:szCs w:val="21"/>
              </w:rPr>
              <w:t>33.03</w:t>
            </w:r>
          </w:p>
        </w:tc>
        <w:tc>
          <w:tcPr>
            <w:tcW w:w="733" w:type="dxa"/>
            <w:vAlign w:val="center"/>
          </w:tcPr>
          <w:p w:rsidR="007F4D48" w:rsidRDefault="007F4D48" w:rsidP="004835BD">
            <w:pPr>
              <w:autoSpaceDN w:val="0"/>
              <w:adjustRightInd w:val="0"/>
              <w:snapToGrid w:val="0"/>
              <w:spacing w:line="240" w:lineRule="atLeast"/>
              <w:jc w:val="center"/>
              <w:textAlignment w:val="center"/>
              <w:rPr>
                <w:color w:val="FF0000"/>
                <w:kern w:val="0"/>
                <w:szCs w:val="21"/>
              </w:rPr>
            </w:pPr>
            <w:r>
              <w:rPr>
                <w:color w:val="FF0000"/>
                <w:kern w:val="0"/>
                <w:szCs w:val="21"/>
              </w:rPr>
              <w:t>1.2</w:t>
            </w:r>
          </w:p>
        </w:tc>
      </w:tr>
      <w:tr w:rsidR="007F4D48" w:rsidTr="004835BD">
        <w:trPr>
          <w:trHeight w:val="285"/>
          <w:jc w:val="center"/>
        </w:trPr>
        <w:tc>
          <w:tcPr>
            <w:tcW w:w="1641" w:type="dxa"/>
            <w:vMerge/>
            <w:vAlign w:val="center"/>
          </w:tcPr>
          <w:p w:rsidR="007F4D48" w:rsidRDefault="007F4D48" w:rsidP="004835BD">
            <w:pPr>
              <w:autoSpaceDN w:val="0"/>
              <w:adjustRightInd w:val="0"/>
              <w:snapToGrid w:val="0"/>
              <w:spacing w:line="240" w:lineRule="atLeast"/>
              <w:jc w:val="center"/>
              <w:textAlignment w:val="center"/>
              <w:rPr>
                <w:kern w:val="0"/>
                <w:szCs w:val="21"/>
              </w:rPr>
            </w:pPr>
          </w:p>
        </w:tc>
        <w:tc>
          <w:tcPr>
            <w:tcW w:w="1559" w:type="dxa"/>
            <w:vAlign w:val="center"/>
          </w:tcPr>
          <w:p w:rsidR="007F4D48" w:rsidRDefault="007F4D48" w:rsidP="004835BD">
            <w:pPr>
              <w:spacing w:line="260" w:lineRule="exact"/>
              <w:jc w:val="center"/>
              <w:rPr>
                <w:rFonts w:hAnsi="宋体"/>
                <w:color w:val="FF0000"/>
                <w:szCs w:val="21"/>
              </w:rPr>
            </w:pPr>
            <w:r>
              <w:rPr>
                <w:rFonts w:hAnsi="宋体" w:hint="eastAsia"/>
                <w:color w:val="FF0000"/>
                <w:szCs w:val="21"/>
              </w:rPr>
              <w:t>施阳台小学</w:t>
            </w:r>
          </w:p>
        </w:tc>
        <w:tc>
          <w:tcPr>
            <w:tcW w:w="993" w:type="dxa"/>
            <w:vAlign w:val="center"/>
          </w:tcPr>
          <w:p w:rsidR="007F4D48" w:rsidRDefault="007F4D48" w:rsidP="004835BD">
            <w:pPr>
              <w:autoSpaceDN w:val="0"/>
              <w:adjustRightInd w:val="0"/>
              <w:snapToGrid w:val="0"/>
              <w:spacing w:line="240" w:lineRule="atLeast"/>
              <w:jc w:val="center"/>
              <w:textAlignment w:val="center"/>
              <w:rPr>
                <w:color w:val="FF0000"/>
                <w:kern w:val="0"/>
                <w:szCs w:val="21"/>
              </w:rPr>
            </w:pPr>
            <w:r>
              <w:rPr>
                <w:color w:val="FF0000"/>
                <w:kern w:val="0"/>
                <w:szCs w:val="21"/>
              </w:rPr>
              <w:t>60</w:t>
            </w:r>
          </w:p>
        </w:tc>
        <w:tc>
          <w:tcPr>
            <w:tcW w:w="992" w:type="dxa"/>
            <w:vAlign w:val="center"/>
          </w:tcPr>
          <w:p w:rsidR="007F4D48" w:rsidRDefault="007F4D48" w:rsidP="004835BD">
            <w:pPr>
              <w:autoSpaceDN w:val="0"/>
              <w:adjustRightInd w:val="0"/>
              <w:snapToGrid w:val="0"/>
              <w:spacing w:line="240" w:lineRule="atLeast"/>
              <w:jc w:val="center"/>
              <w:textAlignment w:val="center"/>
              <w:rPr>
                <w:color w:val="FF0000"/>
                <w:kern w:val="0"/>
                <w:szCs w:val="21"/>
              </w:rPr>
            </w:pPr>
            <w:r>
              <w:rPr>
                <w:color w:val="FF0000"/>
                <w:kern w:val="0"/>
                <w:szCs w:val="21"/>
              </w:rPr>
              <w:t>50</w:t>
            </w:r>
          </w:p>
        </w:tc>
        <w:tc>
          <w:tcPr>
            <w:tcW w:w="1417" w:type="dxa"/>
            <w:vAlign w:val="center"/>
          </w:tcPr>
          <w:p w:rsidR="007F4D48" w:rsidRDefault="007F4D48" w:rsidP="004835BD">
            <w:pPr>
              <w:autoSpaceDN w:val="0"/>
              <w:adjustRightInd w:val="0"/>
              <w:snapToGrid w:val="0"/>
              <w:spacing w:line="240" w:lineRule="atLeast"/>
              <w:jc w:val="center"/>
              <w:textAlignment w:val="center"/>
              <w:rPr>
                <w:color w:val="FF0000"/>
                <w:kern w:val="0"/>
                <w:szCs w:val="21"/>
              </w:rPr>
            </w:pPr>
            <w:r>
              <w:rPr>
                <w:color w:val="FF0000"/>
                <w:kern w:val="0"/>
                <w:szCs w:val="21"/>
              </w:rPr>
              <w:t>1.2</w:t>
            </w:r>
          </w:p>
        </w:tc>
        <w:tc>
          <w:tcPr>
            <w:tcW w:w="851" w:type="dxa"/>
            <w:vAlign w:val="center"/>
          </w:tcPr>
          <w:p w:rsidR="007F4D48" w:rsidRDefault="007F4D48" w:rsidP="004835BD">
            <w:pPr>
              <w:autoSpaceDN w:val="0"/>
              <w:adjustRightInd w:val="0"/>
              <w:snapToGrid w:val="0"/>
              <w:spacing w:line="240" w:lineRule="atLeast"/>
              <w:jc w:val="center"/>
              <w:textAlignment w:val="center"/>
              <w:rPr>
                <w:color w:val="FF0000"/>
                <w:kern w:val="0"/>
                <w:szCs w:val="21"/>
              </w:rPr>
            </w:pPr>
            <w:r>
              <w:rPr>
                <w:rFonts w:hint="eastAsia"/>
                <w:color w:val="FF0000"/>
                <w:kern w:val="0"/>
                <w:szCs w:val="21"/>
              </w:rPr>
              <w:t>-48.77</w:t>
            </w:r>
          </w:p>
        </w:tc>
        <w:tc>
          <w:tcPr>
            <w:tcW w:w="850" w:type="dxa"/>
            <w:vAlign w:val="center"/>
          </w:tcPr>
          <w:p w:rsidR="007F4D48" w:rsidRDefault="007F4D48" w:rsidP="004835BD">
            <w:pPr>
              <w:autoSpaceDN w:val="0"/>
              <w:adjustRightInd w:val="0"/>
              <w:snapToGrid w:val="0"/>
              <w:spacing w:line="240" w:lineRule="atLeast"/>
              <w:jc w:val="center"/>
              <w:textAlignment w:val="center"/>
              <w:rPr>
                <w:color w:val="FF0000"/>
                <w:kern w:val="0"/>
                <w:szCs w:val="21"/>
              </w:rPr>
            </w:pPr>
            <w:r>
              <w:rPr>
                <w:rFonts w:hint="eastAsia"/>
                <w:color w:val="FF0000"/>
                <w:kern w:val="0"/>
                <w:szCs w:val="21"/>
              </w:rPr>
              <w:t>57.02</w:t>
            </w:r>
          </w:p>
        </w:tc>
        <w:tc>
          <w:tcPr>
            <w:tcW w:w="733" w:type="dxa"/>
            <w:vAlign w:val="center"/>
          </w:tcPr>
          <w:p w:rsidR="007F4D48" w:rsidRDefault="007F4D48" w:rsidP="004835BD">
            <w:pPr>
              <w:autoSpaceDN w:val="0"/>
              <w:adjustRightInd w:val="0"/>
              <w:snapToGrid w:val="0"/>
              <w:spacing w:line="240" w:lineRule="atLeast"/>
              <w:jc w:val="center"/>
              <w:textAlignment w:val="center"/>
              <w:rPr>
                <w:color w:val="FF0000"/>
                <w:kern w:val="0"/>
                <w:szCs w:val="21"/>
              </w:rPr>
            </w:pPr>
            <w:r>
              <w:rPr>
                <w:color w:val="FF0000"/>
                <w:kern w:val="0"/>
                <w:szCs w:val="21"/>
              </w:rPr>
              <w:t>1.2</w:t>
            </w:r>
          </w:p>
        </w:tc>
      </w:tr>
    </w:tbl>
    <w:p w:rsidR="00C223F5" w:rsidRPr="00927E76" w:rsidRDefault="005860D5" w:rsidP="004835BD">
      <w:pPr>
        <w:spacing w:afterLines="50" w:after="120"/>
        <w:rPr>
          <w:spacing w:val="-4"/>
          <w:kern w:val="0"/>
          <w:sz w:val="24"/>
        </w:rPr>
      </w:pPr>
      <w:r w:rsidRPr="00927E76">
        <w:rPr>
          <w:kern w:val="0"/>
          <w:szCs w:val="21"/>
        </w:rPr>
        <w:t>注：坐标原点（</w:t>
      </w:r>
      <w:r w:rsidRPr="00927E76">
        <w:rPr>
          <w:kern w:val="0"/>
          <w:szCs w:val="21"/>
        </w:rPr>
        <w:t>0</w:t>
      </w:r>
      <w:r w:rsidRPr="00927E76">
        <w:rPr>
          <w:kern w:val="0"/>
          <w:szCs w:val="21"/>
        </w:rPr>
        <w:t>，</w:t>
      </w:r>
      <w:r w:rsidRPr="00927E76">
        <w:rPr>
          <w:kern w:val="0"/>
          <w:szCs w:val="21"/>
        </w:rPr>
        <w:t>0</w:t>
      </w:r>
      <w:r w:rsidRPr="00927E76">
        <w:rPr>
          <w:kern w:val="0"/>
          <w:szCs w:val="21"/>
        </w:rPr>
        <w:t>）详见</w:t>
      </w:r>
      <w:r w:rsidRPr="00927E76">
        <w:rPr>
          <w:kern w:val="0"/>
        </w:rPr>
        <w:t>图</w:t>
      </w:r>
      <w:r w:rsidRPr="00927E76">
        <w:rPr>
          <w:rFonts w:hint="eastAsia"/>
          <w:kern w:val="0"/>
        </w:rPr>
        <w:t>2.3.2-5</w:t>
      </w:r>
      <w:r w:rsidRPr="00927E76">
        <w:rPr>
          <w:kern w:val="0"/>
          <w:szCs w:val="21"/>
        </w:rPr>
        <w:t>中的坐标网格。</w:t>
      </w:r>
    </w:p>
    <w:p w:rsidR="00C223F5" w:rsidRPr="00927E76" w:rsidRDefault="00C223F5">
      <w:pPr>
        <w:spacing w:line="360" w:lineRule="auto"/>
        <w:ind w:firstLine="480"/>
        <w:rPr>
          <w:spacing w:val="-4"/>
          <w:kern w:val="0"/>
          <w:sz w:val="24"/>
        </w:rPr>
        <w:sectPr w:rsidR="00C223F5" w:rsidRPr="00927E76">
          <w:pgSz w:w="11907" w:h="16840"/>
          <w:pgMar w:top="1440" w:right="1701" w:bottom="1440" w:left="1701" w:header="851" w:footer="992" w:gutter="0"/>
          <w:cols w:space="425"/>
          <w:docGrid w:linePitch="312"/>
        </w:sectPr>
      </w:pPr>
    </w:p>
    <w:p w:rsidR="00C223F5" w:rsidRPr="00927E76" w:rsidRDefault="005860D5">
      <w:pPr>
        <w:jc w:val="center"/>
        <w:rPr>
          <w:b/>
          <w:sz w:val="24"/>
          <w:szCs w:val="22"/>
        </w:rPr>
      </w:pPr>
      <w:r w:rsidRPr="00927E76">
        <w:rPr>
          <w:b/>
          <w:sz w:val="24"/>
        </w:rPr>
        <w:lastRenderedPageBreak/>
        <w:t>表</w:t>
      </w:r>
      <w:r w:rsidRPr="00927E76">
        <w:rPr>
          <w:rFonts w:hint="eastAsia"/>
          <w:b/>
          <w:sz w:val="24"/>
        </w:rPr>
        <w:t xml:space="preserve">4.2.5-1   </w:t>
      </w:r>
      <w:r w:rsidRPr="00927E76">
        <w:rPr>
          <w:b/>
          <w:sz w:val="24"/>
        </w:rPr>
        <w:t>工业场地噪声预测源强输入清单</w:t>
      </w: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682"/>
        <w:gridCol w:w="306"/>
        <w:gridCol w:w="2157"/>
        <w:gridCol w:w="1583"/>
        <w:gridCol w:w="716"/>
        <w:gridCol w:w="783"/>
        <w:gridCol w:w="767"/>
        <w:gridCol w:w="703"/>
        <w:gridCol w:w="647"/>
        <w:gridCol w:w="1915"/>
        <w:gridCol w:w="1401"/>
        <w:gridCol w:w="2322"/>
      </w:tblGrid>
      <w:tr w:rsidR="00C223F5" w:rsidRPr="00927E76">
        <w:trPr>
          <w:cantSplit/>
          <w:trHeight w:val="70"/>
          <w:jc w:val="center"/>
        </w:trPr>
        <w:tc>
          <w:tcPr>
            <w:tcW w:w="682" w:type="dxa"/>
            <w:vMerge w:val="restart"/>
            <w:vAlign w:val="center"/>
          </w:tcPr>
          <w:p w:rsidR="00C223F5" w:rsidRPr="00927E76" w:rsidRDefault="005860D5">
            <w:pPr>
              <w:jc w:val="center"/>
              <w:rPr>
                <w:szCs w:val="21"/>
              </w:rPr>
            </w:pPr>
            <w:r w:rsidRPr="00927E76">
              <w:rPr>
                <w:rFonts w:hint="eastAsia"/>
                <w:szCs w:val="21"/>
              </w:rPr>
              <w:t>场地</w:t>
            </w:r>
          </w:p>
        </w:tc>
        <w:tc>
          <w:tcPr>
            <w:tcW w:w="306" w:type="dxa"/>
            <w:vMerge w:val="restart"/>
            <w:tcMar>
              <w:left w:w="0" w:type="dxa"/>
              <w:right w:w="0" w:type="dxa"/>
            </w:tcMar>
            <w:vAlign w:val="center"/>
          </w:tcPr>
          <w:p w:rsidR="00C223F5" w:rsidRPr="00927E76" w:rsidRDefault="005860D5">
            <w:pPr>
              <w:jc w:val="center"/>
              <w:rPr>
                <w:szCs w:val="21"/>
              </w:rPr>
            </w:pPr>
            <w:r w:rsidRPr="00927E76">
              <w:rPr>
                <w:szCs w:val="21"/>
              </w:rPr>
              <w:t>序</w:t>
            </w:r>
          </w:p>
          <w:p w:rsidR="00C223F5" w:rsidRPr="00927E76" w:rsidRDefault="005860D5">
            <w:pPr>
              <w:jc w:val="center"/>
              <w:rPr>
                <w:szCs w:val="21"/>
              </w:rPr>
            </w:pPr>
            <w:r w:rsidRPr="00927E76">
              <w:rPr>
                <w:szCs w:val="21"/>
              </w:rPr>
              <w:t>号</w:t>
            </w:r>
          </w:p>
        </w:tc>
        <w:tc>
          <w:tcPr>
            <w:tcW w:w="2157" w:type="dxa"/>
            <w:vMerge w:val="restart"/>
            <w:vAlign w:val="center"/>
          </w:tcPr>
          <w:p w:rsidR="00C223F5" w:rsidRPr="00927E76" w:rsidRDefault="005860D5">
            <w:pPr>
              <w:jc w:val="center"/>
              <w:rPr>
                <w:szCs w:val="21"/>
              </w:rPr>
            </w:pPr>
            <w:r w:rsidRPr="00927E76">
              <w:rPr>
                <w:rFonts w:hint="eastAsia"/>
                <w:szCs w:val="21"/>
              </w:rPr>
              <w:t>所处位置</w:t>
            </w:r>
          </w:p>
        </w:tc>
        <w:tc>
          <w:tcPr>
            <w:tcW w:w="1583" w:type="dxa"/>
            <w:vMerge w:val="restart"/>
            <w:tcMar>
              <w:left w:w="0" w:type="dxa"/>
              <w:right w:w="0" w:type="dxa"/>
            </w:tcMar>
            <w:vAlign w:val="center"/>
          </w:tcPr>
          <w:p w:rsidR="00C223F5" w:rsidRPr="00927E76" w:rsidRDefault="005860D5">
            <w:pPr>
              <w:jc w:val="center"/>
              <w:rPr>
                <w:szCs w:val="21"/>
              </w:rPr>
            </w:pPr>
            <w:r w:rsidRPr="00927E76">
              <w:rPr>
                <w:rFonts w:hint="eastAsia"/>
                <w:szCs w:val="21"/>
              </w:rPr>
              <w:t>主要产噪设备</w:t>
            </w:r>
          </w:p>
        </w:tc>
        <w:tc>
          <w:tcPr>
            <w:tcW w:w="1499" w:type="dxa"/>
            <w:gridSpan w:val="2"/>
            <w:vAlign w:val="center"/>
          </w:tcPr>
          <w:p w:rsidR="00C223F5" w:rsidRPr="00927E76" w:rsidRDefault="005860D5">
            <w:pPr>
              <w:jc w:val="center"/>
              <w:rPr>
                <w:szCs w:val="21"/>
              </w:rPr>
            </w:pPr>
            <w:r w:rsidRPr="00927E76">
              <w:rPr>
                <w:szCs w:val="21"/>
              </w:rPr>
              <w:t>声压级</w:t>
            </w:r>
            <w:r w:rsidRPr="00927E76">
              <w:rPr>
                <w:szCs w:val="21"/>
              </w:rPr>
              <w:t>dB(A)</w:t>
            </w:r>
          </w:p>
        </w:tc>
        <w:tc>
          <w:tcPr>
            <w:tcW w:w="767" w:type="dxa"/>
            <w:vMerge w:val="restart"/>
            <w:tcMar>
              <w:left w:w="0" w:type="dxa"/>
              <w:right w:w="0" w:type="dxa"/>
            </w:tcMar>
            <w:vAlign w:val="center"/>
          </w:tcPr>
          <w:p w:rsidR="00C223F5" w:rsidRPr="00927E76" w:rsidRDefault="005860D5">
            <w:pPr>
              <w:jc w:val="center"/>
              <w:rPr>
                <w:szCs w:val="21"/>
              </w:rPr>
            </w:pPr>
            <w:r w:rsidRPr="00927E76">
              <w:rPr>
                <w:szCs w:val="21"/>
              </w:rPr>
              <w:t>声源</w:t>
            </w:r>
          </w:p>
          <w:p w:rsidR="00C223F5" w:rsidRPr="00927E76" w:rsidRDefault="005860D5">
            <w:pPr>
              <w:jc w:val="center"/>
              <w:rPr>
                <w:szCs w:val="21"/>
              </w:rPr>
            </w:pPr>
            <w:r w:rsidRPr="00927E76">
              <w:rPr>
                <w:szCs w:val="21"/>
              </w:rPr>
              <w:t>种类</w:t>
            </w:r>
          </w:p>
        </w:tc>
        <w:tc>
          <w:tcPr>
            <w:tcW w:w="703" w:type="dxa"/>
            <w:vMerge w:val="restart"/>
            <w:vAlign w:val="center"/>
          </w:tcPr>
          <w:p w:rsidR="00C223F5" w:rsidRPr="00927E76" w:rsidRDefault="005860D5">
            <w:pPr>
              <w:jc w:val="center"/>
              <w:rPr>
                <w:szCs w:val="21"/>
              </w:rPr>
            </w:pPr>
            <w:r w:rsidRPr="00927E76">
              <w:rPr>
                <w:szCs w:val="21"/>
              </w:rPr>
              <w:t>发声</w:t>
            </w:r>
          </w:p>
          <w:p w:rsidR="00C223F5" w:rsidRPr="00927E76" w:rsidRDefault="005860D5">
            <w:pPr>
              <w:jc w:val="center"/>
              <w:rPr>
                <w:szCs w:val="21"/>
              </w:rPr>
            </w:pPr>
            <w:r w:rsidRPr="00927E76">
              <w:rPr>
                <w:szCs w:val="21"/>
              </w:rPr>
              <w:t>特点</w:t>
            </w:r>
          </w:p>
        </w:tc>
        <w:tc>
          <w:tcPr>
            <w:tcW w:w="647" w:type="dxa"/>
            <w:vMerge w:val="restart"/>
            <w:vAlign w:val="center"/>
          </w:tcPr>
          <w:p w:rsidR="00C223F5" w:rsidRPr="00927E76" w:rsidRDefault="005860D5">
            <w:pPr>
              <w:jc w:val="center"/>
              <w:rPr>
                <w:szCs w:val="21"/>
              </w:rPr>
            </w:pPr>
            <w:r w:rsidRPr="00927E76">
              <w:rPr>
                <w:szCs w:val="21"/>
              </w:rPr>
              <w:t>运行</w:t>
            </w:r>
          </w:p>
          <w:p w:rsidR="00C223F5" w:rsidRPr="00927E76" w:rsidRDefault="005860D5">
            <w:pPr>
              <w:jc w:val="center"/>
              <w:rPr>
                <w:szCs w:val="21"/>
              </w:rPr>
            </w:pPr>
            <w:r w:rsidRPr="00927E76">
              <w:rPr>
                <w:szCs w:val="21"/>
              </w:rPr>
              <w:t>设备</w:t>
            </w:r>
          </w:p>
          <w:p w:rsidR="00C223F5" w:rsidRPr="00927E76" w:rsidRDefault="005860D5">
            <w:pPr>
              <w:jc w:val="center"/>
              <w:rPr>
                <w:szCs w:val="21"/>
              </w:rPr>
            </w:pPr>
            <w:r w:rsidRPr="00927E76">
              <w:rPr>
                <w:szCs w:val="21"/>
              </w:rPr>
              <w:t>数量</w:t>
            </w:r>
          </w:p>
        </w:tc>
        <w:tc>
          <w:tcPr>
            <w:tcW w:w="3316" w:type="dxa"/>
            <w:gridSpan w:val="2"/>
            <w:vAlign w:val="center"/>
          </w:tcPr>
          <w:p w:rsidR="00C223F5" w:rsidRPr="00927E76" w:rsidRDefault="005860D5">
            <w:pPr>
              <w:jc w:val="center"/>
              <w:rPr>
                <w:szCs w:val="21"/>
              </w:rPr>
            </w:pPr>
            <w:r w:rsidRPr="00927E76">
              <w:rPr>
                <w:szCs w:val="21"/>
              </w:rPr>
              <w:t>厂房坐标</w:t>
            </w:r>
          </w:p>
        </w:tc>
        <w:tc>
          <w:tcPr>
            <w:tcW w:w="2322" w:type="dxa"/>
            <w:vMerge w:val="restart"/>
            <w:vAlign w:val="center"/>
          </w:tcPr>
          <w:p w:rsidR="00C223F5" w:rsidRPr="00927E76" w:rsidRDefault="005860D5">
            <w:pPr>
              <w:jc w:val="center"/>
              <w:rPr>
                <w:szCs w:val="21"/>
              </w:rPr>
            </w:pPr>
            <w:r w:rsidRPr="00927E76">
              <w:rPr>
                <w:szCs w:val="21"/>
              </w:rPr>
              <w:t>厂房情况</w:t>
            </w:r>
          </w:p>
        </w:tc>
      </w:tr>
      <w:tr w:rsidR="00C223F5" w:rsidRPr="00927E76">
        <w:trPr>
          <w:cantSplit/>
          <w:trHeight w:val="70"/>
          <w:jc w:val="center"/>
        </w:trPr>
        <w:tc>
          <w:tcPr>
            <w:tcW w:w="682" w:type="dxa"/>
            <w:vMerge/>
            <w:vAlign w:val="center"/>
          </w:tcPr>
          <w:p w:rsidR="00C223F5" w:rsidRPr="00927E76" w:rsidRDefault="00C223F5">
            <w:pPr>
              <w:jc w:val="center"/>
              <w:rPr>
                <w:szCs w:val="21"/>
              </w:rPr>
            </w:pPr>
          </w:p>
        </w:tc>
        <w:tc>
          <w:tcPr>
            <w:tcW w:w="306" w:type="dxa"/>
            <w:vMerge/>
            <w:tcMar>
              <w:left w:w="0" w:type="dxa"/>
              <w:right w:w="0" w:type="dxa"/>
            </w:tcMar>
            <w:vAlign w:val="center"/>
          </w:tcPr>
          <w:p w:rsidR="00C223F5" w:rsidRPr="00927E76" w:rsidRDefault="00C223F5">
            <w:pPr>
              <w:jc w:val="center"/>
              <w:rPr>
                <w:szCs w:val="21"/>
              </w:rPr>
            </w:pPr>
          </w:p>
        </w:tc>
        <w:tc>
          <w:tcPr>
            <w:tcW w:w="2157" w:type="dxa"/>
            <w:vMerge/>
            <w:tcMar>
              <w:left w:w="0" w:type="dxa"/>
              <w:right w:w="0" w:type="dxa"/>
            </w:tcMar>
            <w:vAlign w:val="center"/>
          </w:tcPr>
          <w:p w:rsidR="00C223F5" w:rsidRPr="00927E76" w:rsidRDefault="00C223F5">
            <w:pPr>
              <w:jc w:val="center"/>
              <w:rPr>
                <w:szCs w:val="21"/>
              </w:rPr>
            </w:pPr>
          </w:p>
        </w:tc>
        <w:tc>
          <w:tcPr>
            <w:tcW w:w="1583" w:type="dxa"/>
            <w:vMerge/>
            <w:tcMar>
              <w:left w:w="0" w:type="dxa"/>
              <w:right w:w="0" w:type="dxa"/>
            </w:tcMar>
            <w:vAlign w:val="center"/>
          </w:tcPr>
          <w:p w:rsidR="00C223F5" w:rsidRPr="00927E76" w:rsidRDefault="00C223F5">
            <w:pPr>
              <w:jc w:val="center"/>
              <w:rPr>
                <w:szCs w:val="21"/>
              </w:rPr>
            </w:pPr>
          </w:p>
        </w:tc>
        <w:tc>
          <w:tcPr>
            <w:tcW w:w="716" w:type="dxa"/>
            <w:tcMar>
              <w:left w:w="0" w:type="dxa"/>
              <w:right w:w="0" w:type="dxa"/>
            </w:tcMar>
            <w:vAlign w:val="center"/>
          </w:tcPr>
          <w:p w:rsidR="00C223F5" w:rsidRPr="00927E76" w:rsidRDefault="005860D5">
            <w:pPr>
              <w:jc w:val="center"/>
              <w:rPr>
                <w:szCs w:val="21"/>
              </w:rPr>
            </w:pPr>
            <w:r w:rsidRPr="00927E76">
              <w:rPr>
                <w:rFonts w:hint="eastAsia"/>
                <w:szCs w:val="21"/>
              </w:rPr>
              <w:t>防治前</w:t>
            </w:r>
          </w:p>
        </w:tc>
        <w:tc>
          <w:tcPr>
            <w:tcW w:w="783" w:type="dxa"/>
            <w:tcMar>
              <w:left w:w="0" w:type="dxa"/>
              <w:right w:w="0" w:type="dxa"/>
            </w:tcMar>
            <w:vAlign w:val="center"/>
          </w:tcPr>
          <w:p w:rsidR="00C223F5" w:rsidRPr="00927E76" w:rsidRDefault="005860D5">
            <w:pPr>
              <w:jc w:val="center"/>
              <w:rPr>
                <w:szCs w:val="21"/>
              </w:rPr>
            </w:pPr>
            <w:r w:rsidRPr="00927E76">
              <w:rPr>
                <w:rFonts w:hint="eastAsia"/>
                <w:szCs w:val="21"/>
              </w:rPr>
              <w:t>治理后</w:t>
            </w:r>
          </w:p>
        </w:tc>
        <w:tc>
          <w:tcPr>
            <w:tcW w:w="767" w:type="dxa"/>
            <w:vMerge/>
            <w:tcMar>
              <w:left w:w="0" w:type="dxa"/>
              <w:right w:w="0" w:type="dxa"/>
            </w:tcMar>
            <w:vAlign w:val="center"/>
          </w:tcPr>
          <w:p w:rsidR="00C223F5" w:rsidRPr="00927E76" w:rsidRDefault="00C223F5">
            <w:pPr>
              <w:jc w:val="center"/>
              <w:rPr>
                <w:szCs w:val="21"/>
              </w:rPr>
            </w:pPr>
          </w:p>
        </w:tc>
        <w:tc>
          <w:tcPr>
            <w:tcW w:w="703" w:type="dxa"/>
            <w:vMerge/>
            <w:tcMar>
              <w:left w:w="0" w:type="dxa"/>
              <w:right w:w="0" w:type="dxa"/>
            </w:tcMar>
            <w:vAlign w:val="center"/>
          </w:tcPr>
          <w:p w:rsidR="00C223F5" w:rsidRPr="00927E76" w:rsidRDefault="00C223F5">
            <w:pPr>
              <w:jc w:val="center"/>
              <w:rPr>
                <w:szCs w:val="21"/>
              </w:rPr>
            </w:pPr>
          </w:p>
        </w:tc>
        <w:tc>
          <w:tcPr>
            <w:tcW w:w="647" w:type="dxa"/>
            <w:vMerge/>
            <w:tcMar>
              <w:left w:w="0" w:type="dxa"/>
              <w:right w:w="0" w:type="dxa"/>
            </w:tcMar>
            <w:vAlign w:val="center"/>
          </w:tcPr>
          <w:p w:rsidR="00C223F5" w:rsidRPr="00927E76" w:rsidRDefault="00C223F5">
            <w:pPr>
              <w:jc w:val="center"/>
              <w:rPr>
                <w:szCs w:val="21"/>
              </w:rPr>
            </w:pPr>
          </w:p>
        </w:tc>
        <w:tc>
          <w:tcPr>
            <w:tcW w:w="1915" w:type="dxa"/>
            <w:vAlign w:val="center"/>
          </w:tcPr>
          <w:p w:rsidR="00C223F5" w:rsidRPr="00927E76" w:rsidRDefault="005860D5">
            <w:pPr>
              <w:jc w:val="center"/>
              <w:rPr>
                <w:snapToGrid w:val="0"/>
                <w:szCs w:val="21"/>
              </w:rPr>
            </w:pPr>
            <w:r w:rsidRPr="00927E76">
              <w:rPr>
                <w:snapToGrid w:val="0"/>
                <w:szCs w:val="21"/>
              </w:rPr>
              <w:t>左下</w:t>
            </w:r>
            <w:r w:rsidRPr="00927E76">
              <w:rPr>
                <w:snapToGrid w:val="0"/>
                <w:szCs w:val="21"/>
              </w:rPr>
              <w:t>/</w:t>
            </w:r>
            <w:r w:rsidRPr="00927E76">
              <w:rPr>
                <w:snapToGrid w:val="0"/>
                <w:szCs w:val="21"/>
              </w:rPr>
              <w:t>右上</w:t>
            </w:r>
          </w:p>
          <w:p w:rsidR="00C223F5" w:rsidRPr="00927E76" w:rsidRDefault="005860D5">
            <w:pPr>
              <w:jc w:val="center"/>
              <w:rPr>
                <w:szCs w:val="21"/>
              </w:rPr>
            </w:pPr>
            <w:r w:rsidRPr="00927E76">
              <w:rPr>
                <w:snapToGrid w:val="0"/>
                <w:szCs w:val="21"/>
              </w:rPr>
              <w:t>（</w:t>
            </w:r>
            <w:r w:rsidRPr="00927E76">
              <w:rPr>
                <w:snapToGrid w:val="0"/>
                <w:szCs w:val="21"/>
              </w:rPr>
              <w:t>X</w:t>
            </w:r>
            <w:r w:rsidRPr="00927E76">
              <w:rPr>
                <w:snapToGrid w:val="0"/>
                <w:szCs w:val="21"/>
              </w:rPr>
              <w:t>，</w:t>
            </w:r>
            <w:r w:rsidRPr="00927E76">
              <w:rPr>
                <w:snapToGrid w:val="0"/>
                <w:szCs w:val="21"/>
              </w:rPr>
              <w:t>Y</w:t>
            </w:r>
            <w:r w:rsidRPr="00927E76">
              <w:rPr>
                <w:snapToGrid w:val="0"/>
                <w:szCs w:val="21"/>
              </w:rPr>
              <w:t>）</w:t>
            </w:r>
          </w:p>
        </w:tc>
        <w:tc>
          <w:tcPr>
            <w:tcW w:w="1401" w:type="dxa"/>
            <w:tcMar>
              <w:left w:w="0" w:type="dxa"/>
              <w:right w:w="0" w:type="dxa"/>
            </w:tcMar>
            <w:vAlign w:val="center"/>
          </w:tcPr>
          <w:p w:rsidR="00C223F5" w:rsidRPr="00927E76" w:rsidRDefault="005860D5">
            <w:pPr>
              <w:jc w:val="center"/>
              <w:rPr>
                <w:szCs w:val="21"/>
              </w:rPr>
            </w:pPr>
            <w:r w:rsidRPr="00927E76">
              <w:rPr>
                <w:rFonts w:hint="eastAsia"/>
                <w:szCs w:val="21"/>
              </w:rPr>
              <w:t>厂房高度</w:t>
            </w:r>
          </w:p>
          <w:p w:rsidR="00C223F5" w:rsidRPr="00927E76" w:rsidRDefault="005860D5">
            <w:pPr>
              <w:jc w:val="center"/>
              <w:rPr>
                <w:szCs w:val="21"/>
              </w:rPr>
            </w:pPr>
            <w:r w:rsidRPr="00927E76">
              <w:rPr>
                <w:rFonts w:hint="eastAsia"/>
                <w:szCs w:val="21"/>
              </w:rPr>
              <w:t>（</w:t>
            </w:r>
            <w:r w:rsidRPr="00927E76">
              <w:rPr>
                <w:rFonts w:hint="eastAsia"/>
                <w:szCs w:val="21"/>
              </w:rPr>
              <w:t>m</w:t>
            </w:r>
            <w:r w:rsidRPr="00927E76">
              <w:rPr>
                <w:rFonts w:hint="eastAsia"/>
                <w:szCs w:val="21"/>
              </w:rPr>
              <w:t>）</w:t>
            </w:r>
          </w:p>
        </w:tc>
        <w:tc>
          <w:tcPr>
            <w:tcW w:w="2322" w:type="dxa"/>
            <w:vMerge/>
            <w:vAlign w:val="center"/>
          </w:tcPr>
          <w:p w:rsidR="00C223F5" w:rsidRPr="00927E76" w:rsidRDefault="00C223F5">
            <w:pPr>
              <w:jc w:val="center"/>
              <w:rPr>
                <w:szCs w:val="21"/>
              </w:rPr>
            </w:pPr>
          </w:p>
        </w:tc>
      </w:tr>
      <w:tr w:rsidR="00C223F5" w:rsidRPr="00927E76">
        <w:trPr>
          <w:cantSplit/>
          <w:trHeight w:val="70"/>
          <w:jc w:val="center"/>
        </w:trPr>
        <w:tc>
          <w:tcPr>
            <w:tcW w:w="682" w:type="dxa"/>
            <w:vMerge w:val="restart"/>
            <w:vAlign w:val="center"/>
          </w:tcPr>
          <w:p w:rsidR="00C223F5" w:rsidRPr="00927E76" w:rsidRDefault="005860D5">
            <w:pPr>
              <w:jc w:val="center"/>
              <w:rPr>
                <w:szCs w:val="21"/>
              </w:rPr>
            </w:pPr>
            <w:bookmarkStart w:id="406" w:name="_Hlk342294535"/>
            <w:r w:rsidRPr="00927E76">
              <w:rPr>
                <w:rFonts w:hint="eastAsia"/>
                <w:szCs w:val="21"/>
              </w:rPr>
              <w:t>工业场地</w:t>
            </w:r>
          </w:p>
        </w:tc>
        <w:tc>
          <w:tcPr>
            <w:tcW w:w="306" w:type="dxa"/>
            <w:tcMar>
              <w:left w:w="0" w:type="dxa"/>
              <w:right w:w="0" w:type="dxa"/>
            </w:tcMar>
            <w:vAlign w:val="center"/>
          </w:tcPr>
          <w:p w:rsidR="00C223F5" w:rsidRPr="00927E76" w:rsidRDefault="005860D5">
            <w:pPr>
              <w:jc w:val="center"/>
              <w:rPr>
                <w:szCs w:val="21"/>
              </w:rPr>
            </w:pPr>
            <w:r w:rsidRPr="00927E76">
              <w:rPr>
                <w:rFonts w:hint="eastAsia"/>
                <w:szCs w:val="21"/>
              </w:rPr>
              <w:t>1</w:t>
            </w:r>
          </w:p>
        </w:tc>
        <w:tc>
          <w:tcPr>
            <w:tcW w:w="2157" w:type="dxa"/>
            <w:tcMar>
              <w:left w:w="0" w:type="dxa"/>
              <w:right w:w="0" w:type="dxa"/>
            </w:tcMar>
            <w:vAlign w:val="center"/>
          </w:tcPr>
          <w:p w:rsidR="00C223F5" w:rsidRPr="00927E76" w:rsidRDefault="005860D5">
            <w:pPr>
              <w:jc w:val="center"/>
              <w:rPr>
                <w:szCs w:val="21"/>
              </w:rPr>
            </w:pPr>
            <w:r w:rsidRPr="00927E76">
              <w:rPr>
                <w:rFonts w:hint="eastAsia"/>
                <w:bCs/>
                <w:spacing w:val="-4"/>
                <w:szCs w:val="21"/>
              </w:rPr>
              <w:t>驱动机房</w:t>
            </w:r>
          </w:p>
        </w:tc>
        <w:tc>
          <w:tcPr>
            <w:tcW w:w="1583" w:type="dxa"/>
            <w:tcMar>
              <w:left w:w="0" w:type="dxa"/>
              <w:right w:w="0" w:type="dxa"/>
            </w:tcMar>
            <w:vAlign w:val="center"/>
          </w:tcPr>
          <w:p w:rsidR="00C223F5" w:rsidRPr="00927E76" w:rsidRDefault="005860D5">
            <w:pPr>
              <w:jc w:val="center"/>
              <w:rPr>
                <w:szCs w:val="21"/>
              </w:rPr>
            </w:pPr>
            <w:r w:rsidRPr="00927E76">
              <w:rPr>
                <w:rFonts w:hint="eastAsia"/>
                <w:szCs w:val="21"/>
              </w:rPr>
              <w:t>驱动</w:t>
            </w:r>
            <w:r w:rsidRPr="00927E76">
              <w:rPr>
                <w:szCs w:val="21"/>
              </w:rPr>
              <w:t>机</w:t>
            </w:r>
          </w:p>
        </w:tc>
        <w:tc>
          <w:tcPr>
            <w:tcW w:w="716" w:type="dxa"/>
            <w:tcMar>
              <w:left w:w="0" w:type="dxa"/>
              <w:right w:w="0" w:type="dxa"/>
            </w:tcMar>
            <w:vAlign w:val="center"/>
          </w:tcPr>
          <w:p w:rsidR="00C223F5" w:rsidRPr="00927E76" w:rsidRDefault="005860D5">
            <w:pPr>
              <w:jc w:val="center"/>
              <w:rPr>
                <w:snapToGrid w:val="0"/>
                <w:szCs w:val="21"/>
              </w:rPr>
            </w:pPr>
            <w:r w:rsidRPr="00927E76">
              <w:rPr>
                <w:rFonts w:hint="eastAsia"/>
                <w:szCs w:val="21"/>
              </w:rPr>
              <w:t>95.0</w:t>
            </w:r>
          </w:p>
        </w:tc>
        <w:tc>
          <w:tcPr>
            <w:tcW w:w="783" w:type="dxa"/>
            <w:tcMar>
              <w:left w:w="0" w:type="dxa"/>
              <w:right w:w="0" w:type="dxa"/>
            </w:tcMar>
            <w:vAlign w:val="center"/>
          </w:tcPr>
          <w:p w:rsidR="00C223F5" w:rsidRPr="00927E76" w:rsidRDefault="005860D5">
            <w:pPr>
              <w:jc w:val="center"/>
              <w:rPr>
                <w:szCs w:val="21"/>
              </w:rPr>
            </w:pPr>
            <w:r w:rsidRPr="00927E76">
              <w:rPr>
                <w:rFonts w:hint="eastAsia"/>
                <w:szCs w:val="21"/>
              </w:rPr>
              <w:t>70.0</w:t>
            </w:r>
          </w:p>
        </w:tc>
        <w:tc>
          <w:tcPr>
            <w:tcW w:w="767" w:type="dxa"/>
            <w:tcMar>
              <w:left w:w="0" w:type="dxa"/>
              <w:right w:w="0" w:type="dxa"/>
            </w:tcMar>
            <w:vAlign w:val="center"/>
          </w:tcPr>
          <w:p w:rsidR="00C223F5" w:rsidRPr="00927E76" w:rsidRDefault="005860D5">
            <w:pPr>
              <w:jc w:val="center"/>
              <w:rPr>
                <w:szCs w:val="21"/>
              </w:rPr>
            </w:pPr>
            <w:r w:rsidRPr="00927E76">
              <w:rPr>
                <w:szCs w:val="21"/>
              </w:rPr>
              <w:t>立面源</w:t>
            </w:r>
          </w:p>
        </w:tc>
        <w:tc>
          <w:tcPr>
            <w:tcW w:w="703" w:type="dxa"/>
            <w:tcMar>
              <w:left w:w="0" w:type="dxa"/>
              <w:right w:w="0" w:type="dxa"/>
            </w:tcMar>
            <w:vAlign w:val="center"/>
          </w:tcPr>
          <w:p w:rsidR="00C223F5" w:rsidRPr="00927E76" w:rsidRDefault="005860D5">
            <w:pPr>
              <w:jc w:val="center"/>
              <w:rPr>
                <w:szCs w:val="21"/>
              </w:rPr>
            </w:pPr>
            <w:r w:rsidRPr="00927E76">
              <w:rPr>
                <w:rFonts w:hint="eastAsia"/>
                <w:szCs w:val="21"/>
              </w:rPr>
              <w:t>连续</w:t>
            </w:r>
          </w:p>
        </w:tc>
        <w:tc>
          <w:tcPr>
            <w:tcW w:w="647" w:type="dxa"/>
            <w:tcMar>
              <w:left w:w="0" w:type="dxa"/>
              <w:right w:w="0" w:type="dxa"/>
            </w:tcMar>
            <w:vAlign w:val="center"/>
          </w:tcPr>
          <w:p w:rsidR="00C223F5" w:rsidRPr="00927E76" w:rsidRDefault="005860D5">
            <w:pPr>
              <w:jc w:val="center"/>
              <w:rPr>
                <w:szCs w:val="21"/>
              </w:rPr>
            </w:pPr>
            <w:r w:rsidRPr="00927E76">
              <w:rPr>
                <w:rFonts w:hint="eastAsia"/>
                <w:szCs w:val="21"/>
              </w:rPr>
              <w:t>1</w:t>
            </w:r>
            <w:r w:rsidRPr="00927E76">
              <w:rPr>
                <w:rFonts w:hint="eastAsia"/>
                <w:szCs w:val="21"/>
              </w:rPr>
              <w:t>套</w:t>
            </w:r>
          </w:p>
        </w:tc>
        <w:tc>
          <w:tcPr>
            <w:tcW w:w="1915" w:type="dxa"/>
            <w:vAlign w:val="center"/>
          </w:tcPr>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rPr>
              <w:t>71.73</w:t>
            </w:r>
            <w:r w:rsidRPr="00927E76">
              <w:rPr>
                <w:snapToGrid w:val="0"/>
                <w:szCs w:val="21"/>
              </w:rPr>
              <w:t>,Y</w:t>
            </w:r>
            <w:r w:rsidRPr="00927E76">
              <w:rPr>
                <w:rFonts w:hint="eastAsia"/>
                <w:snapToGrid w:val="0"/>
                <w:szCs w:val="21"/>
              </w:rPr>
              <w:t>5.56</w:t>
            </w:r>
            <w:r w:rsidRPr="00927E76">
              <w:rPr>
                <w:snapToGrid w:val="0"/>
                <w:szCs w:val="21"/>
              </w:rPr>
              <w:t>)/</w:t>
            </w:r>
          </w:p>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86.62</w:t>
            </w:r>
            <w:r w:rsidRPr="00927E76">
              <w:rPr>
                <w:snapToGrid w:val="0"/>
                <w:szCs w:val="21"/>
              </w:rPr>
              <w:t>,Y</w:t>
            </w:r>
            <w:r w:rsidRPr="00927E76">
              <w:rPr>
                <w:rFonts w:hint="eastAsia"/>
                <w:snapToGrid w:val="0"/>
                <w:szCs w:val="21"/>
              </w:rPr>
              <w:t>-15.42</w:t>
            </w:r>
            <w:r w:rsidRPr="00927E76">
              <w:rPr>
                <w:snapToGrid w:val="0"/>
                <w:szCs w:val="21"/>
              </w:rPr>
              <w:t>)</w:t>
            </w:r>
          </w:p>
        </w:tc>
        <w:tc>
          <w:tcPr>
            <w:tcW w:w="1401" w:type="dxa"/>
            <w:tcMar>
              <w:left w:w="0" w:type="dxa"/>
              <w:right w:w="0" w:type="dxa"/>
            </w:tcMar>
            <w:vAlign w:val="center"/>
          </w:tcPr>
          <w:p w:rsidR="00C223F5" w:rsidRPr="00927E76" w:rsidRDefault="005860D5">
            <w:pPr>
              <w:jc w:val="center"/>
              <w:rPr>
                <w:szCs w:val="21"/>
              </w:rPr>
            </w:pPr>
            <w:r w:rsidRPr="00927E76">
              <w:rPr>
                <w:rFonts w:hint="eastAsia"/>
                <w:szCs w:val="21"/>
              </w:rPr>
              <w:t>11.4</w:t>
            </w:r>
          </w:p>
        </w:tc>
        <w:tc>
          <w:tcPr>
            <w:tcW w:w="2322" w:type="dxa"/>
            <w:vAlign w:val="center"/>
          </w:tcPr>
          <w:p w:rsidR="00C223F5" w:rsidRPr="00927E76" w:rsidRDefault="005860D5">
            <w:pPr>
              <w:jc w:val="center"/>
              <w:rPr>
                <w:snapToGrid w:val="0"/>
                <w:szCs w:val="21"/>
              </w:rPr>
            </w:pPr>
            <w:r w:rsidRPr="00927E76">
              <w:rPr>
                <w:snapToGrid w:val="0"/>
                <w:szCs w:val="21"/>
              </w:rPr>
              <w:t>长</w:t>
            </w:r>
            <w:r w:rsidRPr="00927E76">
              <w:rPr>
                <w:snapToGrid w:val="0"/>
                <w:szCs w:val="21"/>
              </w:rPr>
              <w:t>×</w:t>
            </w:r>
            <w:r w:rsidRPr="00927E76">
              <w:rPr>
                <w:snapToGrid w:val="0"/>
                <w:szCs w:val="21"/>
              </w:rPr>
              <w:t>宽</w:t>
            </w:r>
            <w:r w:rsidRPr="00927E76">
              <w:rPr>
                <w:snapToGrid w:val="0"/>
                <w:szCs w:val="21"/>
              </w:rPr>
              <w:t>×</w:t>
            </w:r>
            <w:r w:rsidRPr="00927E76">
              <w:rPr>
                <w:snapToGrid w:val="0"/>
                <w:szCs w:val="21"/>
              </w:rPr>
              <w:t>高</w:t>
            </w:r>
            <w:r w:rsidRPr="00927E76">
              <w:rPr>
                <w:snapToGrid w:val="0"/>
                <w:szCs w:val="21"/>
              </w:rPr>
              <w:t>=</w:t>
            </w:r>
            <w:r w:rsidRPr="00927E76">
              <w:rPr>
                <w:rFonts w:hint="eastAsia"/>
                <w:snapToGrid w:val="0"/>
                <w:szCs w:val="21"/>
              </w:rPr>
              <w:t>19.5</w:t>
            </w:r>
            <w:r w:rsidRPr="00927E76">
              <w:rPr>
                <w:snapToGrid w:val="0"/>
                <w:szCs w:val="21"/>
              </w:rPr>
              <w:t>×</w:t>
            </w:r>
            <w:r w:rsidRPr="00927E76">
              <w:rPr>
                <w:rFonts w:hint="eastAsia"/>
                <w:snapToGrid w:val="0"/>
                <w:szCs w:val="21"/>
              </w:rPr>
              <w:t>12</w:t>
            </w:r>
            <w:r w:rsidRPr="00927E76">
              <w:rPr>
                <w:snapToGrid w:val="0"/>
                <w:szCs w:val="21"/>
              </w:rPr>
              <w:t>×</w:t>
            </w:r>
            <w:r w:rsidRPr="00927E76">
              <w:rPr>
                <w:rFonts w:hint="eastAsia"/>
                <w:snapToGrid w:val="0"/>
                <w:szCs w:val="21"/>
              </w:rPr>
              <w:t>11.4</w:t>
            </w:r>
            <w:r w:rsidRPr="00927E76">
              <w:rPr>
                <w:snapToGrid w:val="0"/>
                <w:szCs w:val="21"/>
              </w:rPr>
              <w:t>m</w:t>
            </w:r>
            <w:r w:rsidRPr="00927E76">
              <w:rPr>
                <w:rFonts w:hint="eastAsia"/>
                <w:snapToGrid w:val="0"/>
                <w:szCs w:val="21"/>
              </w:rPr>
              <w:t>，</w:t>
            </w:r>
          </w:p>
          <w:p w:rsidR="00C223F5" w:rsidRPr="00927E76" w:rsidRDefault="005860D5">
            <w:pPr>
              <w:jc w:val="center"/>
              <w:rPr>
                <w:snapToGrid w:val="0"/>
                <w:szCs w:val="21"/>
              </w:rPr>
            </w:pPr>
            <w:r w:rsidRPr="00927E76">
              <w:rPr>
                <w:rFonts w:cs="Arial" w:hint="eastAsia"/>
                <w:szCs w:val="21"/>
              </w:rPr>
              <w:t>钢筋混凝土框架</w:t>
            </w:r>
          </w:p>
        </w:tc>
      </w:tr>
      <w:tr w:rsidR="00C223F5" w:rsidRPr="00927E76">
        <w:trPr>
          <w:cantSplit/>
          <w:trHeight w:val="70"/>
          <w:jc w:val="center"/>
        </w:trPr>
        <w:tc>
          <w:tcPr>
            <w:tcW w:w="682" w:type="dxa"/>
            <w:vMerge/>
            <w:vAlign w:val="center"/>
          </w:tcPr>
          <w:p w:rsidR="00C223F5" w:rsidRPr="00927E76" w:rsidRDefault="00C223F5">
            <w:pPr>
              <w:jc w:val="center"/>
              <w:rPr>
                <w:szCs w:val="21"/>
              </w:rPr>
            </w:pPr>
          </w:p>
        </w:tc>
        <w:tc>
          <w:tcPr>
            <w:tcW w:w="306" w:type="dxa"/>
            <w:tcMar>
              <w:left w:w="0" w:type="dxa"/>
              <w:right w:w="0" w:type="dxa"/>
            </w:tcMar>
            <w:vAlign w:val="center"/>
          </w:tcPr>
          <w:p w:rsidR="00C223F5" w:rsidRPr="00927E76" w:rsidRDefault="005860D5">
            <w:pPr>
              <w:jc w:val="center"/>
              <w:rPr>
                <w:szCs w:val="21"/>
              </w:rPr>
            </w:pPr>
            <w:r w:rsidRPr="00927E76">
              <w:rPr>
                <w:rFonts w:hint="eastAsia"/>
                <w:szCs w:val="21"/>
              </w:rPr>
              <w:t>2</w:t>
            </w:r>
          </w:p>
        </w:tc>
        <w:tc>
          <w:tcPr>
            <w:tcW w:w="2157" w:type="dxa"/>
            <w:tcMar>
              <w:left w:w="0" w:type="dxa"/>
              <w:right w:w="0" w:type="dxa"/>
            </w:tcMar>
            <w:vAlign w:val="center"/>
          </w:tcPr>
          <w:p w:rsidR="00C223F5" w:rsidRPr="00927E76" w:rsidRDefault="005860D5">
            <w:pPr>
              <w:jc w:val="center"/>
              <w:rPr>
                <w:szCs w:val="21"/>
              </w:rPr>
            </w:pPr>
            <w:r w:rsidRPr="00927E76">
              <w:rPr>
                <w:rFonts w:hint="eastAsia"/>
              </w:rPr>
              <w:t>筛破车间</w:t>
            </w:r>
          </w:p>
        </w:tc>
        <w:tc>
          <w:tcPr>
            <w:tcW w:w="1583" w:type="dxa"/>
            <w:tcMar>
              <w:left w:w="0" w:type="dxa"/>
              <w:right w:w="0" w:type="dxa"/>
            </w:tcMar>
            <w:vAlign w:val="center"/>
          </w:tcPr>
          <w:p w:rsidR="00C223F5" w:rsidRPr="00927E76" w:rsidRDefault="005860D5">
            <w:pPr>
              <w:jc w:val="center"/>
              <w:rPr>
                <w:szCs w:val="21"/>
              </w:rPr>
            </w:pPr>
            <w:r w:rsidRPr="00927E76">
              <w:rPr>
                <w:rFonts w:hint="eastAsia"/>
                <w:szCs w:val="21"/>
              </w:rPr>
              <w:t>分级筛、破碎机</w:t>
            </w:r>
          </w:p>
        </w:tc>
        <w:tc>
          <w:tcPr>
            <w:tcW w:w="716" w:type="dxa"/>
            <w:tcMar>
              <w:left w:w="0" w:type="dxa"/>
              <w:right w:w="0" w:type="dxa"/>
            </w:tcMar>
            <w:vAlign w:val="center"/>
          </w:tcPr>
          <w:p w:rsidR="00C223F5" w:rsidRPr="00927E76" w:rsidRDefault="005860D5">
            <w:pPr>
              <w:jc w:val="center"/>
              <w:rPr>
                <w:snapToGrid w:val="0"/>
                <w:szCs w:val="21"/>
              </w:rPr>
            </w:pPr>
            <w:r w:rsidRPr="00927E76">
              <w:rPr>
                <w:rFonts w:hint="eastAsia"/>
              </w:rPr>
              <w:t>98.0</w:t>
            </w:r>
          </w:p>
        </w:tc>
        <w:tc>
          <w:tcPr>
            <w:tcW w:w="783" w:type="dxa"/>
            <w:tcMar>
              <w:left w:w="0" w:type="dxa"/>
              <w:right w:w="0" w:type="dxa"/>
            </w:tcMar>
            <w:vAlign w:val="center"/>
          </w:tcPr>
          <w:p w:rsidR="00C223F5" w:rsidRPr="00927E76" w:rsidRDefault="005860D5">
            <w:pPr>
              <w:jc w:val="center"/>
              <w:rPr>
                <w:szCs w:val="21"/>
              </w:rPr>
            </w:pPr>
            <w:r w:rsidRPr="00927E76">
              <w:rPr>
                <w:rFonts w:hint="eastAsia"/>
              </w:rPr>
              <w:t>78.0</w:t>
            </w:r>
          </w:p>
        </w:tc>
        <w:tc>
          <w:tcPr>
            <w:tcW w:w="767" w:type="dxa"/>
            <w:tcMar>
              <w:left w:w="0" w:type="dxa"/>
              <w:right w:w="0" w:type="dxa"/>
            </w:tcMar>
            <w:vAlign w:val="center"/>
          </w:tcPr>
          <w:p w:rsidR="00C223F5" w:rsidRPr="00927E76" w:rsidRDefault="005860D5">
            <w:pPr>
              <w:jc w:val="center"/>
              <w:rPr>
                <w:szCs w:val="21"/>
              </w:rPr>
            </w:pPr>
            <w:r w:rsidRPr="00927E76">
              <w:rPr>
                <w:szCs w:val="21"/>
              </w:rPr>
              <w:t>立面源</w:t>
            </w:r>
          </w:p>
        </w:tc>
        <w:tc>
          <w:tcPr>
            <w:tcW w:w="703" w:type="dxa"/>
            <w:tcMar>
              <w:left w:w="0" w:type="dxa"/>
              <w:right w:w="0" w:type="dxa"/>
            </w:tcMar>
            <w:vAlign w:val="center"/>
          </w:tcPr>
          <w:p w:rsidR="00C223F5" w:rsidRPr="00927E76" w:rsidRDefault="005860D5">
            <w:pPr>
              <w:jc w:val="center"/>
              <w:rPr>
                <w:szCs w:val="21"/>
              </w:rPr>
            </w:pPr>
            <w:r w:rsidRPr="00927E76">
              <w:rPr>
                <w:rFonts w:hint="eastAsia"/>
                <w:szCs w:val="21"/>
              </w:rPr>
              <w:t>连续</w:t>
            </w:r>
          </w:p>
        </w:tc>
        <w:tc>
          <w:tcPr>
            <w:tcW w:w="647" w:type="dxa"/>
            <w:tcMar>
              <w:left w:w="0" w:type="dxa"/>
              <w:right w:w="0" w:type="dxa"/>
            </w:tcMar>
            <w:vAlign w:val="center"/>
          </w:tcPr>
          <w:p w:rsidR="00C223F5" w:rsidRPr="00927E76" w:rsidRDefault="005860D5">
            <w:pPr>
              <w:jc w:val="center"/>
              <w:rPr>
                <w:szCs w:val="21"/>
              </w:rPr>
            </w:pPr>
            <w:r w:rsidRPr="00927E76">
              <w:rPr>
                <w:rFonts w:hint="eastAsia"/>
                <w:szCs w:val="21"/>
              </w:rPr>
              <w:t>1</w:t>
            </w:r>
            <w:r w:rsidRPr="00927E76">
              <w:rPr>
                <w:rFonts w:hint="eastAsia"/>
                <w:szCs w:val="21"/>
              </w:rPr>
              <w:t>套</w:t>
            </w:r>
          </w:p>
        </w:tc>
        <w:tc>
          <w:tcPr>
            <w:tcW w:w="1915" w:type="dxa"/>
            <w:vAlign w:val="center"/>
          </w:tcPr>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326.25</w:t>
            </w:r>
            <w:r w:rsidRPr="00927E76">
              <w:rPr>
                <w:snapToGrid w:val="0"/>
                <w:szCs w:val="21"/>
              </w:rPr>
              <w:t>,Y</w:t>
            </w:r>
            <w:r w:rsidRPr="00927E76">
              <w:rPr>
                <w:rFonts w:hint="eastAsia"/>
                <w:snapToGrid w:val="0"/>
                <w:szCs w:val="21"/>
              </w:rPr>
              <w:t>-18.26</w:t>
            </w:r>
            <w:r w:rsidRPr="00927E76">
              <w:rPr>
                <w:snapToGrid w:val="0"/>
                <w:szCs w:val="21"/>
              </w:rPr>
              <w:t>)/</w:t>
            </w:r>
          </w:p>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322.92</w:t>
            </w:r>
            <w:r w:rsidRPr="00927E76">
              <w:rPr>
                <w:snapToGrid w:val="0"/>
                <w:szCs w:val="21"/>
              </w:rPr>
              <w:t>,Y</w:t>
            </w:r>
            <w:r w:rsidRPr="00927E76">
              <w:rPr>
                <w:rFonts w:hint="eastAsia"/>
                <w:snapToGrid w:val="0"/>
                <w:szCs w:val="21"/>
              </w:rPr>
              <w:t>-51.12</w:t>
            </w:r>
            <w:r w:rsidRPr="00927E76">
              <w:rPr>
                <w:snapToGrid w:val="0"/>
                <w:szCs w:val="21"/>
              </w:rPr>
              <w:t>)</w:t>
            </w:r>
          </w:p>
        </w:tc>
        <w:tc>
          <w:tcPr>
            <w:tcW w:w="1401" w:type="dxa"/>
            <w:tcMar>
              <w:left w:w="0" w:type="dxa"/>
              <w:right w:w="0" w:type="dxa"/>
            </w:tcMar>
            <w:vAlign w:val="center"/>
          </w:tcPr>
          <w:p w:rsidR="00C223F5" w:rsidRPr="00927E76" w:rsidRDefault="005860D5">
            <w:pPr>
              <w:jc w:val="center"/>
              <w:rPr>
                <w:szCs w:val="21"/>
              </w:rPr>
            </w:pPr>
            <w:r w:rsidRPr="00927E76">
              <w:rPr>
                <w:rFonts w:hint="eastAsia"/>
                <w:szCs w:val="21"/>
              </w:rPr>
              <w:t>34.5</w:t>
            </w:r>
          </w:p>
        </w:tc>
        <w:tc>
          <w:tcPr>
            <w:tcW w:w="2322" w:type="dxa"/>
            <w:vAlign w:val="center"/>
          </w:tcPr>
          <w:p w:rsidR="00C223F5" w:rsidRPr="00927E76" w:rsidRDefault="005860D5">
            <w:pPr>
              <w:jc w:val="center"/>
              <w:rPr>
                <w:snapToGrid w:val="0"/>
                <w:szCs w:val="21"/>
              </w:rPr>
            </w:pPr>
            <w:r w:rsidRPr="00927E76">
              <w:rPr>
                <w:snapToGrid w:val="0"/>
                <w:szCs w:val="21"/>
              </w:rPr>
              <w:t>长</w:t>
            </w:r>
            <w:r w:rsidRPr="00927E76">
              <w:rPr>
                <w:snapToGrid w:val="0"/>
                <w:szCs w:val="21"/>
              </w:rPr>
              <w:t>×</w:t>
            </w:r>
            <w:r w:rsidRPr="00927E76">
              <w:rPr>
                <w:snapToGrid w:val="0"/>
                <w:szCs w:val="21"/>
              </w:rPr>
              <w:t>宽</w:t>
            </w:r>
            <w:r w:rsidRPr="00927E76">
              <w:rPr>
                <w:snapToGrid w:val="0"/>
                <w:szCs w:val="21"/>
              </w:rPr>
              <w:t>×</w:t>
            </w:r>
            <w:r w:rsidRPr="00927E76">
              <w:rPr>
                <w:snapToGrid w:val="0"/>
                <w:szCs w:val="21"/>
              </w:rPr>
              <w:t>高</w:t>
            </w:r>
            <w:r w:rsidRPr="00927E76">
              <w:rPr>
                <w:snapToGrid w:val="0"/>
                <w:szCs w:val="21"/>
              </w:rPr>
              <w:t>=</w:t>
            </w:r>
            <w:r w:rsidRPr="00927E76">
              <w:rPr>
                <w:rFonts w:hint="eastAsia"/>
                <w:snapToGrid w:val="0"/>
                <w:szCs w:val="21"/>
              </w:rPr>
              <w:t>32</w:t>
            </w:r>
            <w:r w:rsidRPr="00927E76">
              <w:rPr>
                <w:snapToGrid w:val="0"/>
                <w:szCs w:val="21"/>
              </w:rPr>
              <w:t>×</w:t>
            </w:r>
            <w:r w:rsidRPr="00927E76">
              <w:rPr>
                <w:rFonts w:hint="eastAsia"/>
                <w:snapToGrid w:val="0"/>
                <w:szCs w:val="21"/>
              </w:rPr>
              <w:t>7</w:t>
            </w:r>
            <w:r w:rsidRPr="00927E76">
              <w:rPr>
                <w:snapToGrid w:val="0"/>
                <w:szCs w:val="21"/>
              </w:rPr>
              <w:t>×</w:t>
            </w:r>
            <w:r w:rsidRPr="00927E76">
              <w:rPr>
                <w:rFonts w:hint="eastAsia"/>
                <w:snapToGrid w:val="0"/>
                <w:szCs w:val="21"/>
              </w:rPr>
              <w:t>34.5</w:t>
            </w:r>
            <w:r w:rsidRPr="00927E76">
              <w:rPr>
                <w:snapToGrid w:val="0"/>
                <w:szCs w:val="21"/>
              </w:rPr>
              <w:t>m</w:t>
            </w:r>
            <w:r w:rsidRPr="00927E76">
              <w:rPr>
                <w:rFonts w:hint="eastAsia"/>
                <w:snapToGrid w:val="0"/>
                <w:szCs w:val="21"/>
              </w:rPr>
              <w:t>，</w:t>
            </w:r>
          </w:p>
          <w:p w:rsidR="00C223F5" w:rsidRPr="00927E76" w:rsidRDefault="005860D5">
            <w:pPr>
              <w:jc w:val="center"/>
              <w:rPr>
                <w:snapToGrid w:val="0"/>
                <w:szCs w:val="21"/>
              </w:rPr>
            </w:pPr>
            <w:r w:rsidRPr="00927E76">
              <w:rPr>
                <w:rFonts w:cs="Arial" w:hint="eastAsia"/>
                <w:szCs w:val="21"/>
              </w:rPr>
              <w:t>钢筋砼框架</w:t>
            </w:r>
          </w:p>
        </w:tc>
      </w:tr>
      <w:tr w:rsidR="00C223F5" w:rsidRPr="00927E76">
        <w:trPr>
          <w:cantSplit/>
          <w:trHeight w:val="345"/>
          <w:jc w:val="center"/>
        </w:trPr>
        <w:tc>
          <w:tcPr>
            <w:tcW w:w="682" w:type="dxa"/>
            <w:vMerge/>
            <w:vAlign w:val="center"/>
          </w:tcPr>
          <w:p w:rsidR="00C223F5" w:rsidRPr="00927E76" w:rsidRDefault="00C223F5">
            <w:pPr>
              <w:jc w:val="center"/>
              <w:rPr>
                <w:szCs w:val="21"/>
              </w:rPr>
            </w:pPr>
          </w:p>
        </w:tc>
        <w:tc>
          <w:tcPr>
            <w:tcW w:w="306" w:type="dxa"/>
            <w:tcMar>
              <w:left w:w="0" w:type="dxa"/>
              <w:right w:w="0" w:type="dxa"/>
            </w:tcMar>
            <w:vAlign w:val="center"/>
          </w:tcPr>
          <w:p w:rsidR="00C223F5" w:rsidRPr="00927E76" w:rsidRDefault="005860D5">
            <w:pPr>
              <w:jc w:val="center"/>
              <w:rPr>
                <w:szCs w:val="21"/>
              </w:rPr>
            </w:pPr>
            <w:r w:rsidRPr="00927E76">
              <w:rPr>
                <w:rFonts w:hint="eastAsia"/>
                <w:szCs w:val="21"/>
              </w:rPr>
              <w:t>3</w:t>
            </w:r>
          </w:p>
        </w:tc>
        <w:tc>
          <w:tcPr>
            <w:tcW w:w="2157" w:type="dxa"/>
            <w:tcMar>
              <w:left w:w="0" w:type="dxa"/>
              <w:right w:w="0" w:type="dxa"/>
            </w:tcMar>
            <w:vAlign w:val="center"/>
          </w:tcPr>
          <w:p w:rsidR="00C223F5" w:rsidRPr="00927E76" w:rsidRDefault="005860D5">
            <w:pPr>
              <w:jc w:val="center"/>
              <w:rPr>
                <w:szCs w:val="21"/>
              </w:rPr>
            </w:pPr>
            <w:r w:rsidRPr="00927E76">
              <w:rPr>
                <w:rFonts w:hint="eastAsia"/>
              </w:rPr>
              <w:t>主厂房</w:t>
            </w:r>
          </w:p>
        </w:tc>
        <w:tc>
          <w:tcPr>
            <w:tcW w:w="1583" w:type="dxa"/>
            <w:tcMar>
              <w:left w:w="0" w:type="dxa"/>
              <w:right w:w="0" w:type="dxa"/>
            </w:tcMar>
            <w:vAlign w:val="center"/>
          </w:tcPr>
          <w:p w:rsidR="00C223F5" w:rsidRPr="00927E76" w:rsidRDefault="005860D5">
            <w:pPr>
              <w:jc w:val="center"/>
              <w:rPr>
                <w:szCs w:val="21"/>
              </w:rPr>
            </w:pPr>
            <w:r w:rsidRPr="00927E76">
              <w:rPr>
                <w:rFonts w:hint="eastAsia"/>
                <w:szCs w:val="21"/>
              </w:rPr>
              <w:t>分选机、脱介脱</w:t>
            </w:r>
          </w:p>
          <w:p w:rsidR="00C223F5" w:rsidRPr="00927E76" w:rsidRDefault="005860D5">
            <w:pPr>
              <w:jc w:val="center"/>
              <w:rPr>
                <w:szCs w:val="21"/>
              </w:rPr>
            </w:pPr>
            <w:r w:rsidRPr="00927E76">
              <w:rPr>
                <w:rFonts w:hint="eastAsia"/>
                <w:szCs w:val="21"/>
              </w:rPr>
              <w:t>泥筛、离心机等</w:t>
            </w:r>
          </w:p>
        </w:tc>
        <w:tc>
          <w:tcPr>
            <w:tcW w:w="716" w:type="dxa"/>
            <w:tcMar>
              <w:left w:w="0" w:type="dxa"/>
              <w:right w:w="0" w:type="dxa"/>
            </w:tcMar>
            <w:vAlign w:val="center"/>
          </w:tcPr>
          <w:p w:rsidR="00C223F5" w:rsidRPr="00927E76" w:rsidRDefault="005860D5">
            <w:pPr>
              <w:jc w:val="center"/>
              <w:rPr>
                <w:snapToGrid w:val="0"/>
                <w:szCs w:val="21"/>
              </w:rPr>
            </w:pPr>
            <w:r w:rsidRPr="00927E76">
              <w:rPr>
                <w:rFonts w:hint="eastAsia"/>
              </w:rPr>
              <w:t>98.0</w:t>
            </w:r>
          </w:p>
        </w:tc>
        <w:tc>
          <w:tcPr>
            <w:tcW w:w="783" w:type="dxa"/>
            <w:tcMar>
              <w:left w:w="0" w:type="dxa"/>
              <w:right w:w="0" w:type="dxa"/>
            </w:tcMar>
            <w:vAlign w:val="center"/>
          </w:tcPr>
          <w:p w:rsidR="00C223F5" w:rsidRPr="00927E76" w:rsidRDefault="005860D5">
            <w:pPr>
              <w:jc w:val="center"/>
              <w:rPr>
                <w:szCs w:val="21"/>
              </w:rPr>
            </w:pPr>
            <w:r w:rsidRPr="00927E76">
              <w:rPr>
                <w:rFonts w:hint="eastAsia"/>
              </w:rPr>
              <w:t>78.0</w:t>
            </w:r>
          </w:p>
        </w:tc>
        <w:tc>
          <w:tcPr>
            <w:tcW w:w="767" w:type="dxa"/>
            <w:tcMar>
              <w:left w:w="0" w:type="dxa"/>
              <w:right w:w="0" w:type="dxa"/>
            </w:tcMar>
            <w:vAlign w:val="center"/>
          </w:tcPr>
          <w:p w:rsidR="00C223F5" w:rsidRPr="00927E76" w:rsidRDefault="005860D5">
            <w:pPr>
              <w:jc w:val="center"/>
              <w:rPr>
                <w:szCs w:val="21"/>
              </w:rPr>
            </w:pPr>
            <w:r w:rsidRPr="00927E76">
              <w:rPr>
                <w:szCs w:val="21"/>
              </w:rPr>
              <w:t>立面源</w:t>
            </w:r>
          </w:p>
        </w:tc>
        <w:tc>
          <w:tcPr>
            <w:tcW w:w="703" w:type="dxa"/>
            <w:tcMar>
              <w:left w:w="0" w:type="dxa"/>
              <w:right w:w="0" w:type="dxa"/>
            </w:tcMar>
            <w:vAlign w:val="center"/>
          </w:tcPr>
          <w:p w:rsidR="00C223F5" w:rsidRPr="00927E76" w:rsidRDefault="005860D5">
            <w:pPr>
              <w:jc w:val="center"/>
              <w:rPr>
                <w:szCs w:val="21"/>
              </w:rPr>
            </w:pPr>
            <w:r w:rsidRPr="00927E76">
              <w:rPr>
                <w:rFonts w:hint="eastAsia"/>
                <w:szCs w:val="21"/>
              </w:rPr>
              <w:t>连续</w:t>
            </w:r>
          </w:p>
        </w:tc>
        <w:tc>
          <w:tcPr>
            <w:tcW w:w="647" w:type="dxa"/>
            <w:tcMar>
              <w:left w:w="0" w:type="dxa"/>
              <w:right w:w="0" w:type="dxa"/>
            </w:tcMar>
            <w:vAlign w:val="center"/>
          </w:tcPr>
          <w:p w:rsidR="00C223F5" w:rsidRPr="00927E76" w:rsidRDefault="005860D5">
            <w:pPr>
              <w:jc w:val="center"/>
              <w:rPr>
                <w:szCs w:val="21"/>
              </w:rPr>
            </w:pPr>
            <w:r w:rsidRPr="00927E76">
              <w:rPr>
                <w:rFonts w:hint="eastAsia"/>
                <w:szCs w:val="21"/>
              </w:rPr>
              <w:t>1</w:t>
            </w:r>
            <w:r w:rsidRPr="00927E76">
              <w:rPr>
                <w:rFonts w:hint="eastAsia"/>
                <w:szCs w:val="21"/>
              </w:rPr>
              <w:t>套</w:t>
            </w:r>
          </w:p>
        </w:tc>
        <w:tc>
          <w:tcPr>
            <w:tcW w:w="1915" w:type="dxa"/>
            <w:vAlign w:val="center"/>
          </w:tcPr>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332.62</w:t>
            </w:r>
            <w:r w:rsidRPr="00927E76">
              <w:rPr>
                <w:snapToGrid w:val="0"/>
                <w:szCs w:val="21"/>
              </w:rPr>
              <w:t>,Y</w:t>
            </w:r>
            <w:r w:rsidRPr="00927E76">
              <w:rPr>
                <w:rFonts w:hint="eastAsia"/>
                <w:snapToGrid w:val="0"/>
                <w:szCs w:val="21"/>
              </w:rPr>
              <w:t>-20.68</w:t>
            </w:r>
            <w:r w:rsidRPr="00927E76">
              <w:rPr>
                <w:snapToGrid w:val="0"/>
                <w:szCs w:val="21"/>
              </w:rPr>
              <w:t>)/</w:t>
            </w:r>
          </w:p>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358.63</w:t>
            </w:r>
            <w:r w:rsidRPr="00927E76">
              <w:rPr>
                <w:snapToGrid w:val="0"/>
                <w:szCs w:val="21"/>
              </w:rPr>
              <w:t>,Y</w:t>
            </w:r>
            <w:r w:rsidRPr="00927E76">
              <w:rPr>
                <w:rFonts w:hint="eastAsia"/>
                <w:snapToGrid w:val="0"/>
                <w:szCs w:val="21"/>
              </w:rPr>
              <w:t>-63.39</w:t>
            </w:r>
            <w:r w:rsidRPr="00927E76">
              <w:rPr>
                <w:snapToGrid w:val="0"/>
                <w:szCs w:val="21"/>
              </w:rPr>
              <w:t>)</w:t>
            </w:r>
          </w:p>
        </w:tc>
        <w:tc>
          <w:tcPr>
            <w:tcW w:w="1401" w:type="dxa"/>
            <w:tcMar>
              <w:left w:w="0" w:type="dxa"/>
              <w:right w:w="0" w:type="dxa"/>
            </w:tcMar>
            <w:vAlign w:val="center"/>
          </w:tcPr>
          <w:p w:rsidR="00C223F5" w:rsidRPr="00927E76" w:rsidRDefault="005860D5">
            <w:pPr>
              <w:jc w:val="center"/>
              <w:rPr>
                <w:szCs w:val="21"/>
              </w:rPr>
            </w:pPr>
            <w:r w:rsidRPr="00927E76">
              <w:rPr>
                <w:rFonts w:hint="eastAsia"/>
                <w:szCs w:val="21"/>
              </w:rPr>
              <w:t>24</w:t>
            </w:r>
          </w:p>
        </w:tc>
        <w:tc>
          <w:tcPr>
            <w:tcW w:w="2322" w:type="dxa"/>
            <w:vAlign w:val="center"/>
          </w:tcPr>
          <w:p w:rsidR="00C223F5" w:rsidRPr="00927E76" w:rsidRDefault="005860D5">
            <w:pPr>
              <w:jc w:val="center"/>
              <w:rPr>
                <w:snapToGrid w:val="0"/>
                <w:szCs w:val="21"/>
              </w:rPr>
            </w:pPr>
            <w:r w:rsidRPr="00927E76">
              <w:rPr>
                <w:snapToGrid w:val="0"/>
                <w:szCs w:val="21"/>
              </w:rPr>
              <w:t>长</w:t>
            </w:r>
            <w:r w:rsidRPr="00927E76">
              <w:rPr>
                <w:snapToGrid w:val="0"/>
                <w:szCs w:val="21"/>
              </w:rPr>
              <w:t>×</w:t>
            </w:r>
            <w:r w:rsidRPr="00927E76">
              <w:rPr>
                <w:snapToGrid w:val="0"/>
                <w:szCs w:val="21"/>
              </w:rPr>
              <w:t>宽</w:t>
            </w:r>
            <w:r w:rsidRPr="00927E76">
              <w:rPr>
                <w:snapToGrid w:val="0"/>
                <w:szCs w:val="21"/>
              </w:rPr>
              <w:t>×</w:t>
            </w:r>
            <w:r w:rsidRPr="00927E76">
              <w:rPr>
                <w:snapToGrid w:val="0"/>
                <w:szCs w:val="21"/>
              </w:rPr>
              <w:t>高</w:t>
            </w:r>
            <w:r w:rsidRPr="00927E76">
              <w:rPr>
                <w:snapToGrid w:val="0"/>
                <w:szCs w:val="21"/>
              </w:rPr>
              <w:t>=</w:t>
            </w:r>
            <w:r w:rsidRPr="00927E76">
              <w:rPr>
                <w:rFonts w:hint="eastAsia"/>
                <w:snapToGrid w:val="0"/>
                <w:szCs w:val="21"/>
              </w:rPr>
              <w:t>38</w:t>
            </w:r>
            <w:r w:rsidRPr="00927E76">
              <w:rPr>
                <w:snapToGrid w:val="0"/>
                <w:szCs w:val="21"/>
              </w:rPr>
              <w:t>×</w:t>
            </w:r>
            <w:r w:rsidRPr="00927E76">
              <w:rPr>
                <w:rFonts w:hint="eastAsia"/>
                <w:snapToGrid w:val="0"/>
                <w:szCs w:val="21"/>
              </w:rPr>
              <w:t>32</w:t>
            </w:r>
            <w:r w:rsidRPr="00927E76">
              <w:rPr>
                <w:snapToGrid w:val="0"/>
                <w:szCs w:val="21"/>
              </w:rPr>
              <w:t>×</w:t>
            </w:r>
            <w:r w:rsidRPr="00927E76">
              <w:rPr>
                <w:rFonts w:hint="eastAsia"/>
                <w:snapToGrid w:val="0"/>
                <w:szCs w:val="21"/>
              </w:rPr>
              <w:t>24</w:t>
            </w:r>
            <w:r w:rsidRPr="00927E76">
              <w:rPr>
                <w:snapToGrid w:val="0"/>
                <w:szCs w:val="21"/>
              </w:rPr>
              <w:t>m</w:t>
            </w:r>
            <w:r w:rsidRPr="00927E76">
              <w:rPr>
                <w:rFonts w:hint="eastAsia"/>
                <w:snapToGrid w:val="0"/>
                <w:szCs w:val="21"/>
              </w:rPr>
              <w:t>，</w:t>
            </w:r>
          </w:p>
          <w:p w:rsidR="00C223F5" w:rsidRPr="00927E76" w:rsidRDefault="005860D5">
            <w:pPr>
              <w:jc w:val="center"/>
              <w:rPr>
                <w:snapToGrid w:val="0"/>
                <w:szCs w:val="21"/>
              </w:rPr>
            </w:pPr>
            <w:r w:rsidRPr="00927E76">
              <w:rPr>
                <w:rFonts w:cs="Arial" w:hint="eastAsia"/>
                <w:szCs w:val="21"/>
              </w:rPr>
              <w:t>钢筋砼框架</w:t>
            </w:r>
          </w:p>
        </w:tc>
      </w:tr>
      <w:tr w:rsidR="00C223F5" w:rsidRPr="00927E76">
        <w:trPr>
          <w:cantSplit/>
          <w:trHeight w:val="345"/>
          <w:jc w:val="center"/>
        </w:trPr>
        <w:tc>
          <w:tcPr>
            <w:tcW w:w="682" w:type="dxa"/>
            <w:vMerge/>
            <w:vAlign w:val="center"/>
          </w:tcPr>
          <w:p w:rsidR="00C223F5" w:rsidRPr="00927E76" w:rsidRDefault="00C223F5">
            <w:pPr>
              <w:jc w:val="center"/>
              <w:rPr>
                <w:szCs w:val="21"/>
              </w:rPr>
            </w:pPr>
          </w:p>
        </w:tc>
        <w:tc>
          <w:tcPr>
            <w:tcW w:w="306" w:type="dxa"/>
            <w:tcMar>
              <w:left w:w="0" w:type="dxa"/>
              <w:right w:w="0" w:type="dxa"/>
            </w:tcMar>
            <w:vAlign w:val="center"/>
          </w:tcPr>
          <w:p w:rsidR="00C223F5" w:rsidRPr="00927E76" w:rsidRDefault="005860D5">
            <w:pPr>
              <w:jc w:val="center"/>
              <w:rPr>
                <w:szCs w:val="21"/>
              </w:rPr>
            </w:pPr>
            <w:r w:rsidRPr="00927E76">
              <w:rPr>
                <w:rFonts w:hint="eastAsia"/>
                <w:szCs w:val="21"/>
              </w:rPr>
              <w:t>4</w:t>
            </w:r>
          </w:p>
        </w:tc>
        <w:tc>
          <w:tcPr>
            <w:tcW w:w="2157" w:type="dxa"/>
            <w:tcMar>
              <w:left w:w="0" w:type="dxa"/>
              <w:right w:w="0" w:type="dxa"/>
            </w:tcMar>
            <w:vAlign w:val="center"/>
          </w:tcPr>
          <w:p w:rsidR="00C223F5" w:rsidRPr="00927E76" w:rsidRDefault="005860D5">
            <w:pPr>
              <w:jc w:val="center"/>
              <w:rPr>
                <w:szCs w:val="21"/>
              </w:rPr>
            </w:pPr>
            <w:r w:rsidRPr="00927E76">
              <w:rPr>
                <w:rFonts w:hint="eastAsia"/>
              </w:rPr>
              <w:t>乏风热泵机房</w:t>
            </w:r>
          </w:p>
        </w:tc>
        <w:tc>
          <w:tcPr>
            <w:tcW w:w="1583" w:type="dxa"/>
            <w:tcMar>
              <w:left w:w="0" w:type="dxa"/>
              <w:right w:w="0" w:type="dxa"/>
            </w:tcMar>
            <w:vAlign w:val="center"/>
          </w:tcPr>
          <w:p w:rsidR="00C223F5" w:rsidRPr="00927E76" w:rsidRDefault="005860D5">
            <w:pPr>
              <w:jc w:val="center"/>
              <w:rPr>
                <w:szCs w:val="21"/>
              </w:rPr>
            </w:pPr>
            <w:r w:rsidRPr="00927E76">
              <w:rPr>
                <w:rFonts w:hint="eastAsia"/>
                <w:szCs w:val="21"/>
              </w:rPr>
              <w:t>热泵机组</w:t>
            </w:r>
          </w:p>
        </w:tc>
        <w:tc>
          <w:tcPr>
            <w:tcW w:w="716" w:type="dxa"/>
            <w:tcMar>
              <w:left w:w="0" w:type="dxa"/>
              <w:right w:w="0" w:type="dxa"/>
            </w:tcMar>
            <w:vAlign w:val="center"/>
          </w:tcPr>
          <w:p w:rsidR="00C223F5" w:rsidRPr="00927E76" w:rsidRDefault="005860D5">
            <w:pPr>
              <w:jc w:val="center"/>
              <w:rPr>
                <w:snapToGrid w:val="0"/>
                <w:szCs w:val="21"/>
              </w:rPr>
            </w:pPr>
            <w:r w:rsidRPr="00927E76">
              <w:rPr>
                <w:rFonts w:hint="eastAsia"/>
              </w:rPr>
              <w:t>85.0</w:t>
            </w:r>
          </w:p>
        </w:tc>
        <w:tc>
          <w:tcPr>
            <w:tcW w:w="783" w:type="dxa"/>
            <w:tcMar>
              <w:left w:w="0" w:type="dxa"/>
              <w:right w:w="0" w:type="dxa"/>
            </w:tcMar>
            <w:vAlign w:val="center"/>
          </w:tcPr>
          <w:p w:rsidR="00C223F5" w:rsidRPr="00927E76" w:rsidRDefault="005860D5">
            <w:pPr>
              <w:jc w:val="center"/>
              <w:rPr>
                <w:szCs w:val="21"/>
              </w:rPr>
            </w:pPr>
            <w:r w:rsidRPr="00927E76">
              <w:rPr>
                <w:rFonts w:hint="eastAsia"/>
              </w:rPr>
              <w:t>65.0</w:t>
            </w:r>
          </w:p>
        </w:tc>
        <w:tc>
          <w:tcPr>
            <w:tcW w:w="767" w:type="dxa"/>
            <w:tcMar>
              <w:left w:w="0" w:type="dxa"/>
              <w:right w:w="0" w:type="dxa"/>
            </w:tcMar>
            <w:vAlign w:val="center"/>
          </w:tcPr>
          <w:p w:rsidR="00C223F5" w:rsidRPr="00927E76" w:rsidRDefault="005860D5">
            <w:pPr>
              <w:jc w:val="center"/>
              <w:rPr>
                <w:szCs w:val="21"/>
              </w:rPr>
            </w:pPr>
            <w:r w:rsidRPr="00927E76">
              <w:rPr>
                <w:szCs w:val="21"/>
              </w:rPr>
              <w:t>立面源</w:t>
            </w:r>
          </w:p>
        </w:tc>
        <w:tc>
          <w:tcPr>
            <w:tcW w:w="703" w:type="dxa"/>
            <w:tcMar>
              <w:left w:w="0" w:type="dxa"/>
              <w:right w:w="0" w:type="dxa"/>
            </w:tcMar>
            <w:vAlign w:val="center"/>
          </w:tcPr>
          <w:p w:rsidR="00C223F5" w:rsidRPr="00927E76" w:rsidRDefault="005860D5">
            <w:pPr>
              <w:jc w:val="center"/>
              <w:rPr>
                <w:szCs w:val="21"/>
              </w:rPr>
            </w:pPr>
            <w:r w:rsidRPr="00927E76">
              <w:rPr>
                <w:rFonts w:hint="eastAsia"/>
                <w:szCs w:val="21"/>
              </w:rPr>
              <w:t>连续</w:t>
            </w:r>
          </w:p>
        </w:tc>
        <w:tc>
          <w:tcPr>
            <w:tcW w:w="647" w:type="dxa"/>
            <w:tcMar>
              <w:left w:w="0" w:type="dxa"/>
              <w:right w:w="0" w:type="dxa"/>
            </w:tcMar>
            <w:vAlign w:val="center"/>
          </w:tcPr>
          <w:p w:rsidR="00C223F5" w:rsidRPr="00927E76" w:rsidRDefault="005860D5">
            <w:pPr>
              <w:jc w:val="center"/>
              <w:rPr>
                <w:szCs w:val="21"/>
              </w:rPr>
            </w:pPr>
            <w:r w:rsidRPr="00927E76">
              <w:rPr>
                <w:rFonts w:hint="eastAsia"/>
                <w:szCs w:val="21"/>
              </w:rPr>
              <w:t>7</w:t>
            </w:r>
            <w:r w:rsidRPr="00927E76">
              <w:rPr>
                <w:rFonts w:hint="eastAsia"/>
                <w:szCs w:val="21"/>
              </w:rPr>
              <w:t>台</w:t>
            </w:r>
          </w:p>
        </w:tc>
        <w:tc>
          <w:tcPr>
            <w:tcW w:w="1915" w:type="dxa"/>
            <w:vAlign w:val="center"/>
          </w:tcPr>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225.18</w:t>
            </w:r>
            <w:r w:rsidRPr="00927E76">
              <w:rPr>
                <w:snapToGrid w:val="0"/>
                <w:szCs w:val="21"/>
              </w:rPr>
              <w:t>,Y</w:t>
            </w:r>
            <w:r w:rsidRPr="00927E76">
              <w:rPr>
                <w:rFonts w:hint="eastAsia"/>
                <w:snapToGrid w:val="0"/>
                <w:szCs w:val="21"/>
              </w:rPr>
              <w:t>-29.16</w:t>
            </w:r>
            <w:r w:rsidRPr="00927E76">
              <w:rPr>
                <w:snapToGrid w:val="0"/>
                <w:szCs w:val="21"/>
              </w:rPr>
              <w:t>)/</w:t>
            </w:r>
          </w:p>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261.62</w:t>
            </w:r>
            <w:r w:rsidRPr="00927E76">
              <w:rPr>
                <w:snapToGrid w:val="0"/>
                <w:szCs w:val="21"/>
              </w:rPr>
              <w:t>,Y</w:t>
            </w:r>
            <w:r w:rsidRPr="00927E76">
              <w:rPr>
                <w:rFonts w:hint="eastAsia"/>
                <w:snapToGrid w:val="0"/>
                <w:szCs w:val="21"/>
              </w:rPr>
              <w:t>-19.51</w:t>
            </w:r>
            <w:r w:rsidRPr="00927E76">
              <w:rPr>
                <w:snapToGrid w:val="0"/>
                <w:szCs w:val="21"/>
              </w:rPr>
              <w:t>)</w:t>
            </w:r>
          </w:p>
        </w:tc>
        <w:tc>
          <w:tcPr>
            <w:tcW w:w="1401" w:type="dxa"/>
            <w:tcMar>
              <w:left w:w="0" w:type="dxa"/>
              <w:right w:w="0" w:type="dxa"/>
            </w:tcMar>
            <w:vAlign w:val="center"/>
          </w:tcPr>
          <w:p w:rsidR="00C223F5" w:rsidRPr="00927E76" w:rsidRDefault="005860D5">
            <w:pPr>
              <w:jc w:val="center"/>
              <w:rPr>
                <w:szCs w:val="21"/>
              </w:rPr>
            </w:pPr>
            <w:r w:rsidRPr="00927E76">
              <w:rPr>
                <w:rFonts w:hint="eastAsia"/>
                <w:szCs w:val="21"/>
              </w:rPr>
              <w:t>14.8</w:t>
            </w:r>
          </w:p>
        </w:tc>
        <w:tc>
          <w:tcPr>
            <w:tcW w:w="2322" w:type="dxa"/>
            <w:vAlign w:val="center"/>
          </w:tcPr>
          <w:p w:rsidR="00C223F5" w:rsidRPr="00927E76" w:rsidRDefault="005860D5">
            <w:pPr>
              <w:jc w:val="center"/>
              <w:rPr>
                <w:snapToGrid w:val="0"/>
                <w:szCs w:val="21"/>
              </w:rPr>
            </w:pPr>
            <w:r w:rsidRPr="00927E76">
              <w:rPr>
                <w:snapToGrid w:val="0"/>
                <w:szCs w:val="21"/>
              </w:rPr>
              <w:t>长</w:t>
            </w:r>
            <w:r w:rsidRPr="00927E76">
              <w:rPr>
                <w:snapToGrid w:val="0"/>
                <w:szCs w:val="21"/>
              </w:rPr>
              <w:t>×</w:t>
            </w:r>
            <w:r w:rsidRPr="00927E76">
              <w:rPr>
                <w:snapToGrid w:val="0"/>
                <w:szCs w:val="21"/>
              </w:rPr>
              <w:t>宽</w:t>
            </w:r>
            <w:r w:rsidRPr="00927E76">
              <w:rPr>
                <w:snapToGrid w:val="0"/>
                <w:szCs w:val="21"/>
              </w:rPr>
              <w:t>×</w:t>
            </w:r>
            <w:r w:rsidRPr="00927E76">
              <w:rPr>
                <w:snapToGrid w:val="0"/>
                <w:szCs w:val="21"/>
              </w:rPr>
              <w:t>高</w:t>
            </w:r>
            <w:r w:rsidRPr="00927E76">
              <w:rPr>
                <w:snapToGrid w:val="0"/>
                <w:szCs w:val="21"/>
              </w:rPr>
              <w:t>=</w:t>
            </w:r>
            <w:r w:rsidRPr="00927E76">
              <w:rPr>
                <w:rFonts w:hint="eastAsia"/>
                <w:snapToGrid w:val="0"/>
                <w:szCs w:val="21"/>
              </w:rPr>
              <w:t>33</w:t>
            </w:r>
            <w:r w:rsidRPr="00927E76">
              <w:rPr>
                <w:snapToGrid w:val="0"/>
                <w:szCs w:val="21"/>
              </w:rPr>
              <w:t>×</w:t>
            </w:r>
            <w:r w:rsidRPr="00927E76">
              <w:rPr>
                <w:rFonts w:hint="eastAsia"/>
                <w:snapToGrid w:val="0"/>
                <w:szCs w:val="21"/>
              </w:rPr>
              <w:t>11</w:t>
            </w:r>
            <w:r w:rsidRPr="00927E76">
              <w:rPr>
                <w:snapToGrid w:val="0"/>
                <w:szCs w:val="21"/>
              </w:rPr>
              <w:t>×</w:t>
            </w:r>
            <w:r w:rsidRPr="00927E76">
              <w:rPr>
                <w:rFonts w:hint="eastAsia"/>
                <w:snapToGrid w:val="0"/>
                <w:szCs w:val="21"/>
              </w:rPr>
              <w:t>14.8</w:t>
            </w:r>
            <w:r w:rsidRPr="00927E76">
              <w:rPr>
                <w:snapToGrid w:val="0"/>
                <w:szCs w:val="21"/>
              </w:rPr>
              <w:t>m</w:t>
            </w:r>
            <w:r w:rsidRPr="00927E76">
              <w:rPr>
                <w:rFonts w:hint="eastAsia"/>
                <w:snapToGrid w:val="0"/>
                <w:szCs w:val="21"/>
              </w:rPr>
              <w:t>，</w:t>
            </w:r>
          </w:p>
          <w:p w:rsidR="00C223F5" w:rsidRPr="00927E76" w:rsidRDefault="005860D5">
            <w:pPr>
              <w:jc w:val="center"/>
              <w:rPr>
                <w:snapToGrid w:val="0"/>
                <w:szCs w:val="21"/>
              </w:rPr>
            </w:pPr>
            <w:r w:rsidRPr="00927E76">
              <w:rPr>
                <w:rFonts w:cs="Arial" w:hint="eastAsia"/>
                <w:szCs w:val="21"/>
              </w:rPr>
              <w:t>钢筋混凝土框架</w:t>
            </w:r>
          </w:p>
        </w:tc>
      </w:tr>
      <w:tr w:rsidR="00C223F5" w:rsidRPr="00927E76">
        <w:trPr>
          <w:cantSplit/>
          <w:trHeight w:val="345"/>
          <w:jc w:val="center"/>
        </w:trPr>
        <w:tc>
          <w:tcPr>
            <w:tcW w:w="682" w:type="dxa"/>
            <w:vMerge/>
            <w:vAlign w:val="center"/>
          </w:tcPr>
          <w:p w:rsidR="00C223F5" w:rsidRPr="00927E76" w:rsidRDefault="00C223F5">
            <w:pPr>
              <w:jc w:val="center"/>
              <w:rPr>
                <w:szCs w:val="21"/>
              </w:rPr>
            </w:pPr>
          </w:p>
        </w:tc>
        <w:tc>
          <w:tcPr>
            <w:tcW w:w="306" w:type="dxa"/>
            <w:tcMar>
              <w:left w:w="0" w:type="dxa"/>
              <w:right w:w="0" w:type="dxa"/>
            </w:tcMar>
            <w:vAlign w:val="center"/>
          </w:tcPr>
          <w:p w:rsidR="00C223F5" w:rsidRPr="00927E76" w:rsidRDefault="005860D5">
            <w:pPr>
              <w:jc w:val="center"/>
              <w:rPr>
                <w:szCs w:val="21"/>
              </w:rPr>
            </w:pPr>
            <w:r w:rsidRPr="00927E76">
              <w:rPr>
                <w:rFonts w:hint="eastAsia"/>
                <w:szCs w:val="21"/>
              </w:rPr>
              <w:t>5</w:t>
            </w:r>
          </w:p>
        </w:tc>
        <w:tc>
          <w:tcPr>
            <w:tcW w:w="2157" w:type="dxa"/>
            <w:tcMar>
              <w:left w:w="0" w:type="dxa"/>
              <w:right w:w="0" w:type="dxa"/>
            </w:tcMar>
            <w:vAlign w:val="center"/>
          </w:tcPr>
          <w:p w:rsidR="00C223F5" w:rsidRPr="00927E76" w:rsidRDefault="005860D5">
            <w:pPr>
              <w:jc w:val="center"/>
              <w:rPr>
                <w:szCs w:val="21"/>
              </w:rPr>
            </w:pPr>
            <w:r w:rsidRPr="00927E76">
              <w:t>通风机房</w:t>
            </w:r>
          </w:p>
        </w:tc>
        <w:tc>
          <w:tcPr>
            <w:tcW w:w="1583" w:type="dxa"/>
            <w:tcMar>
              <w:left w:w="0" w:type="dxa"/>
              <w:right w:w="0" w:type="dxa"/>
            </w:tcMar>
            <w:vAlign w:val="center"/>
          </w:tcPr>
          <w:p w:rsidR="00C223F5" w:rsidRPr="00927E76" w:rsidRDefault="005860D5">
            <w:pPr>
              <w:jc w:val="center"/>
              <w:rPr>
                <w:szCs w:val="21"/>
              </w:rPr>
            </w:pPr>
            <w:r w:rsidRPr="00927E76">
              <w:t>通风机</w:t>
            </w:r>
          </w:p>
        </w:tc>
        <w:tc>
          <w:tcPr>
            <w:tcW w:w="716" w:type="dxa"/>
            <w:tcMar>
              <w:left w:w="0" w:type="dxa"/>
              <w:right w:w="0" w:type="dxa"/>
            </w:tcMar>
            <w:vAlign w:val="center"/>
          </w:tcPr>
          <w:p w:rsidR="00C223F5" w:rsidRPr="00927E76" w:rsidRDefault="005860D5">
            <w:pPr>
              <w:jc w:val="center"/>
              <w:rPr>
                <w:snapToGrid w:val="0"/>
                <w:szCs w:val="21"/>
              </w:rPr>
            </w:pPr>
            <w:r w:rsidRPr="00927E76">
              <w:t>10</w:t>
            </w:r>
            <w:r w:rsidRPr="00927E76">
              <w:rPr>
                <w:rFonts w:hint="eastAsia"/>
              </w:rPr>
              <w:t>0.0</w:t>
            </w:r>
          </w:p>
        </w:tc>
        <w:tc>
          <w:tcPr>
            <w:tcW w:w="783" w:type="dxa"/>
            <w:tcMar>
              <w:left w:w="0" w:type="dxa"/>
              <w:right w:w="0" w:type="dxa"/>
            </w:tcMar>
            <w:vAlign w:val="center"/>
          </w:tcPr>
          <w:p w:rsidR="00C223F5" w:rsidRPr="00927E76" w:rsidRDefault="005860D5">
            <w:pPr>
              <w:jc w:val="center"/>
              <w:rPr>
                <w:szCs w:val="21"/>
              </w:rPr>
            </w:pPr>
            <w:r w:rsidRPr="00927E76">
              <w:t>7</w:t>
            </w:r>
            <w:r w:rsidRPr="00927E76">
              <w:rPr>
                <w:rFonts w:hint="eastAsia"/>
              </w:rPr>
              <w:t>0</w:t>
            </w:r>
            <w:r w:rsidRPr="00927E76">
              <w:t>.0</w:t>
            </w:r>
          </w:p>
        </w:tc>
        <w:tc>
          <w:tcPr>
            <w:tcW w:w="767" w:type="dxa"/>
            <w:tcMar>
              <w:left w:w="0" w:type="dxa"/>
              <w:right w:w="0" w:type="dxa"/>
            </w:tcMar>
            <w:vAlign w:val="center"/>
          </w:tcPr>
          <w:p w:rsidR="00C223F5" w:rsidRPr="00927E76" w:rsidRDefault="005860D5">
            <w:pPr>
              <w:jc w:val="center"/>
              <w:rPr>
                <w:szCs w:val="21"/>
              </w:rPr>
            </w:pPr>
            <w:r w:rsidRPr="00927E76">
              <w:rPr>
                <w:szCs w:val="21"/>
              </w:rPr>
              <w:t>立面源</w:t>
            </w:r>
          </w:p>
        </w:tc>
        <w:tc>
          <w:tcPr>
            <w:tcW w:w="703" w:type="dxa"/>
            <w:tcMar>
              <w:left w:w="0" w:type="dxa"/>
              <w:right w:w="0" w:type="dxa"/>
            </w:tcMar>
            <w:vAlign w:val="center"/>
          </w:tcPr>
          <w:p w:rsidR="00C223F5" w:rsidRPr="00927E76" w:rsidRDefault="005860D5">
            <w:pPr>
              <w:jc w:val="center"/>
              <w:rPr>
                <w:szCs w:val="21"/>
              </w:rPr>
            </w:pPr>
            <w:r w:rsidRPr="00927E76">
              <w:rPr>
                <w:rFonts w:hint="eastAsia"/>
                <w:szCs w:val="21"/>
              </w:rPr>
              <w:t>连续</w:t>
            </w:r>
          </w:p>
        </w:tc>
        <w:tc>
          <w:tcPr>
            <w:tcW w:w="647" w:type="dxa"/>
            <w:tcMar>
              <w:left w:w="0" w:type="dxa"/>
              <w:right w:w="0" w:type="dxa"/>
            </w:tcMar>
            <w:vAlign w:val="center"/>
          </w:tcPr>
          <w:p w:rsidR="00C223F5" w:rsidRPr="00927E76" w:rsidRDefault="005860D5">
            <w:pPr>
              <w:jc w:val="center"/>
              <w:rPr>
                <w:szCs w:val="21"/>
              </w:rPr>
            </w:pPr>
            <w:r w:rsidRPr="00927E76">
              <w:rPr>
                <w:rFonts w:hint="eastAsia"/>
                <w:szCs w:val="21"/>
              </w:rPr>
              <w:t>1</w:t>
            </w:r>
            <w:r w:rsidRPr="00927E76">
              <w:rPr>
                <w:rFonts w:hint="eastAsia"/>
                <w:szCs w:val="21"/>
              </w:rPr>
              <w:t>台</w:t>
            </w:r>
          </w:p>
        </w:tc>
        <w:tc>
          <w:tcPr>
            <w:tcW w:w="1915" w:type="dxa"/>
            <w:vAlign w:val="center"/>
          </w:tcPr>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156.95</w:t>
            </w:r>
            <w:r w:rsidRPr="00927E76">
              <w:rPr>
                <w:snapToGrid w:val="0"/>
                <w:szCs w:val="21"/>
              </w:rPr>
              <w:t>,Y</w:t>
            </w:r>
            <w:r w:rsidRPr="00927E76">
              <w:rPr>
                <w:rFonts w:hint="eastAsia"/>
                <w:snapToGrid w:val="0"/>
                <w:szCs w:val="21"/>
              </w:rPr>
              <w:t>4.29</w:t>
            </w:r>
            <w:r w:rsidRPr="00927E76">
              <w:rPr>
                <w:snapToGrid w:val="0"/>
                <w:szCs w:val="21"/>
              </w:rPr>
              <w:t>)/</w:t>
            </w:r>
          </w:p>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165.47</w:t>
            </w:r>
            <w:r w:rsidRPr="00927E76">
              <w:rPr>
                <w:snapToGrid w:val="0"/>
                <w:szCs w:val="21"/>
              </w:rPr>
              <w:t>,Y</w:t>
            </w:r>
            <w:r w:rsidRPr="00927E76">
              <w:rPr>
                <w:rFonts w:hint="eastAsia"/>
                <w:snapToGrid w:val="0"/>
                <w:szCs w:val="21"/>
              </w:rPr>
              <w:t>-13.98</w:t>
            </w:r>
            <w:r w:rsidRPr="00927E76">
              <w:rPr>
                <w:snapToGrid w:val="0"/>
                <w:szCs w:val="21"/>
              </w:rPr>
              <w:t>)</w:t>
            </w:r>
          </w:p>
        </w:tc>
        <w:tc>
          <w:tcPr>
            <w:tcW w:w="1401" w:type="dxa"/>
            <w:tcMar>
              <w:left w:w="0" w:type="dxa"/>
              <w:right w:w="0" w:type="dxa"/>
            </w:tcMar>
            <w:vAlign w:val="center"/>
          </w:tcPr>
          <w:p w:rsidR="00C223F5" w:rsidRPr="00927E76" w:rsidRDefault="005860D5">
            <w:pPr>
              <w:jc w:val="center"/>
              <w:rPr>
                <w:szCs w:val="21"/>
              </w:rPr>
            </w:pPr>
            <w:r w:rsidRPr="00927E76">
              <w:rPr>
                <w:rFonts w:hint="eastAsia"/>
                <w:szCs w:val="21"/>
              </w:rPr>
              <w:t>10.2</w:t>
            </w:r>
          </w:p>
        </w:tc>
        <w:tc>
          <w:tcPr>
            <w:tcW w:w="2322" w:type="dxa"/>
            <w:vAlign w:val="center"/>
          </w:tcPr>
          <w:p w:rsidR="00C223F5" w:rsidRPr="00927E76" w:rsidRDefault="005860D5">
            <w:pPr>
              <w:jc w:val="center"/>
              <w:rPr>
                <w:snapToGrid w:val="0"/>
                <w:szCs w:val="21"/>
              </w:rPr>
            </w:pPr>
            <w:r w:rsidRPr="00927E76">
              <w:rPr>
                <w:snapToGrid w:val="0"/>
                <w:spacing w:val="-4"/>
                <w:szCs w:val="21"/>
              </w:rPr>
              <w:t>长</w:t>
            </w:r>
            <w:r w:rsidRPr="00927E76">
              <w:rPr>
                <w:snapToGrid w:val="0"/>
                <w:spacing w:val="-4"/>
                <w:szCs w:val="21"/>
              </w:rPr>
              <w:t>×</w:t>
            </w:r>
            <w:r w:rsidRPr="00927E76">
              <w:rPr>
                <w:snapToGrid w:val="0"/>
                <w:spacing w:val="-4"/>
                <w:szCs w:val="21"/>
              </w:rPr>
              <w:t>宽</w:t>
            </w:r>
            <w:r w:rsidRPr="00927E76">
              <w:rPr>
                <w:snapToGrid w:val="0"/>
                <w:spacing w:val="-4"/>
                <w:szCs w:val="21"/>
              </w:rPr>
              <w:t>×</w:t>
            </w:r>
            <w:r w:rsidRPr="00927E76">
              <w:rPr>
                <w:snapToGrid w:val="0"/>
                <w:spacing w:val="-4"/>
                <w:szCs w:val="21"/>
              </w:rPr>
              <w:t>高</w:t>
            </w:r>
            <w:r w:rsidRPr="00927E76">
              <w:rPr>
                <w:snapToGrid w:val="0"/>
                <w:spacing w:val="-4"/>
                <w:szCs w:val="21"/>
              </w:rPr>
              <w:t>=</w:t>
            </w:r>
            <w:r w:rsidRPr="00927E76">
              <w:rPr>
                <w:rFonts w:hint="eastAsia"/>
                <w:snapToGrid w:val="0"/>
                <w:spacing w:val="-4"/>
                <w:szCs w:val="21"/>
              </w:rPr>
              <w:t>14.5</w:t>
            </w:r>
            <w:r w:rsidRPr="00927E76">
              <w:rPr>
                <w:snapToGrid w:val="0"/>
                <w:spacing w:val="-4"/>
                <w:szCs w:val="21"/>
              </w:rPr>
              <w:t>×</w:t>
            </w:r>
            <w:r w:rsidRPr="00927E76">
              <w:rPr>
                <w:rFonts w:hint="eastAsia"/>
                <w:snapToGrid w:val="0"/>
                <w:spacing w:val="-4"/>
                <w:szCs w:val="21"/>
              </w:rPr>
              <w:t>5</w:t>
            </w:r>
            <w:r w:rsidRPr="00927E76">
              <w:rPr>
                <w:snapToGrid w:val="0"/>
                <w:spacing w:val="-4"/>
                <w:szCs w:val="21"/>
              </w:rPr>
              <w:t>×</w:t>
            </w:r>
            <w:r w:rsidRPr="00927E76">
              <w:rPr>
                <w:rFonts w:hint="eastAsia"/>
                <w:snapToGrid w:val="0"/>
                <w:spacing w:val="-4"/>
                <w:szCs w:val="21"/>
              </w:rPr>
              <w:t>10.2</w:t>
            </w:r>
            <w:r w:rsidRPr="00927E76">
              <w:rPr>
                <w:snapToGrid w:val="0"/>
                <w:spacing w:val="-4"/>
                <w:szCs w:val="21"/>
              </w:rPr>
              <w:t>m</w:t>
            </w:r>
            <w:r w:rsidRPr="00927E76">
              <w:rPr>
                <w:rFonts w:hint="eastAsia"/>
                <w:snapToGrid w:val="0"/>
                <w:szCs w:val="21"/>
              </w:rPr>
              <w:t>,</w:t>
            </w:r>
          </w:p>
          <w:p w:rsidR="00C223F5" w:rsidRPr="00927E76" w:rsidRDefault="005860D5">
            <w:pPr>
              <w:jc w:val="center"/>
              <w:rPr>
                <w:rFonts w:cs="Arial"/>
                <w:bCs/>
                <w:szCs w:val="21"/>
              </w:rPr>
            </w:pPr>
            <w:r w:rsidRPr="00927E76">
              <w:rPr>
                <w:rFonts w:cs="Arial" w:hint="eastAsia"/>
                <w:szCs w:val="21"/>
              </w:rPr>
              <w:t>钢筋混凝土框架</w:t>
            </w:r>
          </w:p>
        </w:tc>
      </w:tr>
      <w:tr w:rsidR="00C223F5" w:rsidRPr="00927E76">
        <w:trPr>
          <w:cantSplit/>
          <w:trHeight w:val="345"/>
          <w:jc w:val="center"/>
        </w:trPr>
        <w:tc>
          <w:tcPr>
            <w:tcW w:w="682" w:type="dxa"/>
            <w:vMerge/>
            <w:vAlign w:val="center"/>
          </w:tcPr>
          <w:p w:rsidR="00C223F5" w:rsidRPr="00927E76" w:rsidRDefault="00C223F5">
            <w:pPr>
              <w:jc w:val="center"/>
              <w:rPr>
                <w:szCs w:val="21"/>
              </w:rPr>
            </w:pPr>
          </w:p>
        </w:tc>
        <w:tc>
          <w:tcPr>
            <w:tcW w:w="306" w:type="dxa"/>
            <w:tcMar>
              <w:left w:w="0" w:type="dxa"/>
              <w:right w:w="0" w:type="dxa"/>
            </w:tcMar>
            <w:vAlign w:val="center"/>
          </w:tcPr>
          <w:p w:rsidR="00C223F5" w:rsidRPr="00927E76" w:rsidRDefault="005860D5">
            <w:pPr>
              <w:jc w:val="center"/>
              <w:rPr>
                <w:szCs w:val="21"/>
              </w:rPr>
            </w:pPr>
            <w:r w:rsidRPr="00927E76">
              <w:rPr>
                <w:rFonts w:hint="eastAsia"/>
                <w:szCs w:val="21"/>
              </w:rPr>
              <w:t>6</w:t>
            </w:r>
          </w:p>
        </w:tc>
        <w:tc>
          <w:tcPr>
            <w:tcW w:w="2157" w:type="dxa"/>
            <w:tcMar>
              <w:left w:w="0" w:type="dxa"/>
              <w:right w:w="0" w:type="dxa"/>
            </w:tcMar>
            <w:vAlign w:val="center"/>
          </w:tcPr>
          <w:p w:rsidR="00C223F5" w:rsidRPr="00927E76" w:rsidRDefault="005860D5">
            <w:pPr>
              <w:jc w:val="center"/>
              <w:rPr>
                <w:szCs w:val="21"/>
              </w:rPr>
            </w:pPr>
            <w:r w:rsidRPr="00927E76">
              <w:rPr>
                <w:rFonts w:hint="eastAsia"/>
              </w:rPr>
              <w:t>压缩空气站</w:t>
            </w:r>
          </w:p>
        </w:tc>
        <w:tc>
          <w:tcPr>
            <w:tcW w:w="1583" w:type="dxa"/>
            <w:tcMar>
              <w:left w:w="0" w:type="dxa"/>
              <w:right w:w="0" w:type="dxa"/>
            </w:tcMar>
            <w:vAlign w:val="center"/>
          </w:tcPr>
          <w:p w:rsidR="00C223F5" w:rsidRPr="00927E76" w:rsidRDefault="005860D5">
            <w:pPr>
              <w:jc w:val="center"/>
              <w:rPr>
                <w:szCs w:val="21"/>
              </w:rPr>
            </w:pPr>
            <w:r w:rsidRPr="00927E76">
              <w:t>空气压缩机</w:t>
            </w:r>
          </w:p>
        </w:tc>
        <w:tc>
          <w:tcPr>
            <w:tcW w:w="716" w:type="dxa"/>
            <w:tcMar>
              <w:left w:w="0" w:type="dxa"/>
              <w:right w:w="0" w:type="dxa"/>
            </w:tcMar>
            <w:vAlign w:val="center"/>
          </w:tcPr>
          <w:p w:rsidR="00C223F5" w:rsidRPr="00927E76" w:rsidRDefault="005860D5">
            <w:pPr>
              <w:jc w:val="center"/>
              <w:rPr>
                <w:snapToGrid w:val="0"/>
                <w:szCs w:val="21"/>
              </w:rPr>
            </w:pPr>
            <w:r w:rsidRPr="00927E76">
              <w:rPr>
                <w:rFonts w:hint="eastAsia"/>
              </w:rPr>
              <w:t>95.0</w:t>
            </w:r>
          </w:p>
        </w:tc>
        <w:tc>
          <w:tcPr>
            <w:tcW w:w="783" w:type="dxa"/>
            <w:tcMar>
              <w:left w:w="0" w:type="dxa"/>
              <w:right w:w="0" w:type="dxa"/>
            </w:tcMar>
            <w:vAlign w:val="center"/>
          </w:tcPr>
          <w:p w:rsidR="00C223F5" w:rsidRPr="00927E76" w:rsidRDefault="005860D5">
            <w:pPr>
              <w:jc w:val="center"/>
              <w:rPr>
                <w:szCs w:val="21"/>
              </w:rPr>
            </w:pPr>
            <w:r w:rsidRPr="00927E76">
              <w:rPr>
                <w:rFonts w:hint="eastAsia"/>
              </w:rPr>
              <w:t>75.0</w:t>
            </w:r>
          </w:p>
        </w:tc>
        <w:tc>
          <w:tcPr>
            <w:tcW w:w="767" w:type="dxa"/>
            <w:tcMar>
              <w:left w:w="0" w:type="dxa"/>
              <w:right w:w="0" w:type="dxa"/>
            </w:tcMar>
            <w:vAlign w:val="center"/>
          </w:tcPr>
          <w:p w:rsidR="00C223F5" w:rsidRPr="00927E76" w:rsidRDefault="005860D5">
            <w:pPr>
              <w:jc w:val="center"/>
              <w:rPr>
                <w:szCs w:val="21"/>
              </w:rPr>
            </w:pPr>
            <w:r w:rsidRPr="00927E76">
              <w:rPr>
                <w:szCs w:val="21"/>
              </w:rPr>
              <w:t>立面源</w:t>
            </w:r>
          </w:p>
        </w:tc>
        <w:tc>
          <w:tcPr>
            <w:tcW w:w="703" w:type="dxa"/>
            <w:tcMar>
              <w:left w:w="0" w:type="dxa"/>
              <w:right w:w="0" w:type="dxa"/>
            </w:tcMar>
            <w:vAlign w:val="center"/>
          </w:tcPr>
          <w:p w:rsidR="00C223F5" w:rsidRPr="00927E76" w:rsidRDefault="005860D5">
            <w:pPr>
              <w:jc w:val="center"/>
              <w:rPr>
                <w:szCs w:val="21"/>
              </w:rPr>
            </w:pPr>
            <w:r w:rsidRPr="00927E76">
              <w:rPr>
                <w:rFonts w:hint="eastAsia"/>
                <w:szCs w:val="21"/>
              </w:rPr>
              <w:t>连续</w:t>
            </w:r>
          </w:p>
        </w:tc>
        <w:tc>
          <w:tcPr>
            <w:tcW w:w="647" w:type="dxa"/>
            <w:tcMar>
              <w:left w:w="0" w:type="dxa"/>
              <w:right w:w="0" w:type="dxa"/>
            </w:tcMar>
            <w:vAlign w:val="center"/>
          </w:tcPr>
          <w:p w:rsidR="00C223F5" w:rsidRPr="00927E76" w:rsidRDefault="005860D5">
            <w:pPr>
              <w:jc w:val="center"/>
              <w:rPr>
                <w:szCs w:val="21"/>
              </w:rPr>
            </w:pPr>
            <w:r w:rsidRPr="00927E76">
              <w:rPr>
                <w:rFonts w:hint="eastAsia"/>
                <w:szCs w:val="21"/>
              </w:rPr>
              <w:t>3</w:t>
            </w:r>
            <w:r w:rsidRPr="00927E76">
              <w:rPr>
                <w:rFonts w:hint="eastAsia"/>
                <w:szCs w:val="21"/>
              </w:rPr>
              <w:t>台</w:t>
            </w:r>
          </w:p>
        </w:tc>
        <w:tc>
          <w:tcPr>
            <w:tcW w:w="1915" w:type="dxa"/>
            <w:vAlign w:val="center"/>
          </w:tcPr>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165.26</w:t>
            </w:r>
            <w:r w:rsidRPr="00927E76">
              <w:rPr>
                <w:snapToGrid w:val="0"/>
                <w:szCs w:val="21"/>
              </w:rPr>
              <w:t>,Y</w:t>
            </w:r>
            <w:r w:rsidRPr="00927E76">
              <w:rPr>
                <w:rFonts w:hint="eastAsia"/>
                <w:snapToGrid w:val="0"/>
                <w:szCs w:val="21"/>
              </w:rPr>
              <w:t>68.25</w:t>
            </w:r>
            <w:r w:rsidRPr="00927E76">
              <w:rPr>
                <w:snapToGrid w:val="0"/>
                <w:szCs w:val="21"/>
              </w:rPr>
              <w:t>)/</w:t>
            </w:r>
          </w:p>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181.90</w:t>
            </w:r>
            <w:r w:rsidRPr="00927E76">
              <w:rPr>
                <w:snapToGrid w:val="0"/>
                <w:szCs w:val="21"/>
              </w:rPr>
              <w:t>,Y</w:t>
            </w:r>
            <w:r w:rsidRPr="00927E76">
              <w:rPr>
                <w:rFonts w:hint="eastAsia"/>
                <w:snapToGrid w:val="0"/>
                <w:szCs w:val="21"/>
              </w:rPr>
              <w:t>55.12</w:t>
            </w:r>
            <w:r w:rsidRPr="00927E76">
              <w:rPr>
                <w:snapToGrid w:val="0"/>
                <w:szCs w:val="21"/>
              </w:rPr>
              <w:t>)</w:t>
            </w:r>
          </w:p>
        </w:tc>
        <w:tc>
          <w:tcPr>
            <w:tcW w:w="1401" w:type="dxa"/>
            <w:tcMar>
              <w:left w:w="0" w:type="dxa"/>
              <w:right w:w="0" w:type="dxa"/>
            </w:tcMar>
            <w:vAlign w:val="center"/>
          </w:tcPr>
          <w:p w:rsidR="00C223F5" w:rsidRPr="00927E76" w:rsidRDefault="005860D5">
            <w:pPr>
              <w:jc w:val="center"/>
              <w:rPr>
                <w:szCs w:val="21"/>
              </w:rPr>
            </w:pPr>
            <w:r w:rsidRPr="00927E76">
              <w:rPr>
                <w:rFonts w:hint="eastAsia"/>
                <w:szCs w:val="21"/>
              </w:rPr>
              <w:t>7.2</w:t>
            </w:r>
          </w:p>
        </w:tc>
        <w:tc>
          <w:tcPr>
            <w:tcW w:w="2322" w:type="dxa"/>
            <w:vAlign w:val="center"/>
          </w:tcPr>
          <w:p w:rsidR="00C223F5" w:rsidRPr="00927E76" w:rsidRDefault="005860D5">
            <w:pPr>
              <w:jc w:val="center"/>
              <w:rPr>
                <w:snapToGrid w:val="0"/>
                <w:szCs w:val="21"/>
              </w:rPr>
            </w:pPr>
            <w:r w:rsidRPr="00927E76">
              <w:rPr>
                <w:snapToGrid w:val="0"/>
                <w:szCs w:val="21"/>
              </w:rPr>
              <w:t>长</w:t>
            </w:r>
            <w:r w:rsidRPr="00927E76">
              <w:rPr>
                <w:snapToGrid w:val="0"/>
                <w:szCs w:val="21"/>
              </w:rPr>
              <w:t>×</w:t>
            </w:r>
            <w:r w:rsidRPr="00927E76">
              <w:rPr>
                <w:snapToGrid w:val="0"/>
                <w:szCs w:val="21"/>
              </w:rPr>
              <w:t>宽</w:t>
            </w:r>
            <w:r w:rsidRPr="00927E76">
              <w:rPr>
                <w:snapToGrid w:val="0"/>
                <w:szCs w:val="21"/>
              </w:rPr>
              <w:t>×</w:t>
            </w:r>
            <w:r w:rsidRPr="00927E76">
              <w:rPr>
                <w:snapToGrid w:val="0"/>
                <w:szCs w:val="21"/>
              </w:rPr>
              <w:t>高</w:t>
            </w:r>
            <w:r w:rsidRPr="00927E76">
              <w:rPr>
                <w:snapToGrid w:val="0"/>
                <w:szCs w:val="21"/>
              </w:rPr>
              <w:t>=</w:t>
            </w:r>
            <w:r w:rsidRPr="00927E76">
              <w:rPr>
                <w:rFonts w:hint="eastAsia"/>
                <w:snapToGrid w:val="0"/>
                <w:szCs w:val="21"/>
              </w:rPr>
              <w:t>20</w:t>
            </w:r>
            <w:r w:rsidRPr="00927E76">
              <w:rPr>
                <w:snapToGrid w:val="0"/>
                <w:szCs w:val="21"/>
              </w:rPr>
              <w:t>×</w:t>
            </w:r>
            <w:r w:rsidRPr="00927E76">
              <w:rPr>
                <w:rFonts w:hint="eastAsia"/>
                <w:snapToGrid w:val="0"/>
                <w:szCs w:val="21"/>
              </w:rPr>
              <w:t>7</w:t>
            </w:r>
            <w:r w:rsidRPr="00927E76">
              <w:rPr>
                <w:snapToGrid w:val="0"/>
                <w:szCs w:val="21"/>
              </w:rPr>
              <w:t>×</w:t>
            </w:r>
            <w:r w:rsidRPr="00927E76">
              <w:rPr>
                <w:rFonts w:hint="eastAsia"/>
                <w:snapToGrid w:val="0"/>
                <w:szCs w:val="21"/>
              </w:rPr>
              <w:t>7.2</w:t>
            </w:r>
            <w:r w:rsidRPr="00927E76">
              <w:rPr>
                <w:snapToGrid w:val="0"/>
                <w:szCs w:val="21"/>
              </w:rPr>
              <w:t>m</w:t>
            </w:r>
            <w:r w:rsidRPr="00927E76">
              <w:rPr>
                <w:rFonts w:hint="eastAsia"/>
                <w:snapToGrid w:val="0"/>
                <w:szCs w:val="21"/>
              </w:rPr>
              <w:t>，</w:t>
            </w:r>
          </w:p>
          <w:p w:rsidR="00C223F5" w:rsidRPr="00927E76" w:rsidRDefault="005860D5">
            <w:pPr>
              <w:jc w:val="center"/>
              <w:rPr>
                <w:snapToGrid w:val="0"/>
                <w:szCs w:val="21"/>
              </w:rPr>
            </w:pPr>
            <w:r w:rsidRPr="00927E76">
              <w:rPr>
                <w:rFonts w:cs="Arial" w:hint="eastAsia"/>
                <w:szCs w:val="21"/>
              </w:rPr>
              <w:t>钢筋混凝土框架</w:t>
            </w:r>
          </w:p>
        </w:tc>
      </w:tr>
      <w:tr w:rsidR="00C223F5" w:rsidRPr="00927E76">
        <w:trPr>
          <w:cantSplit/>
          <w:trHeight w:val="70"/>
          <w:jc w:val="center"/>
        </w:trPr>
        <w:tc>
          <w:tcPr>
            <w:tcW w:w="682" w:type="dxa"/>
            <w:vMerge/>
            <w:vAlign w:val="center"/>
          </w:tcPr>
          <w:p w:rsidR="00C223F5" w:rsidRPr="00927E76" w:rsidRDefault="00C223F5">
            <w:pPr>
              <w:jc w:val="center"/>
              <w:rPr>
                <w:szCs w:val="21"/>
              </w:rPr>
            </w:pPr>
          </w:p>
        </w:tc>
        <w:tc>
          <w:tcPr>
            <w:tcW w:w="306" w:type="dxa"/>
            <w:tcMar>
              <w:left w:w="0" w:type="dxa"/>
              <w:right w:w="0" w:type="dxa"/>
            </w:tcMar>
            <w:vAlign w:val="center"/>
          </w:tcPr>
          <w:p w:rsidR="00C223F5" w:rsidRPr="00927E76" w:rsidRDefault="005860D5">
            <w:pPr>
              <w:jc w:val="center"/>
              <w:rPr>
                <w:szCs w:val="21"/>
              </w:rPr>
            </w:pPr>
            <w:r w:rsidRPr="00927E76">
              <w:rPr>
                <w:rFonts w:hint="eastAsia"/>
                <w:szCs w:val="21"/>
              </w:rPr>
              <w:t>7</w:t>
            </w:r>
          </w:p>
        </w:tc>
        <w:tc>
          <w:tcPr>
            <w:tcW w:w="2157" w:type="dxa"/>
            <w:tcMar>
              <w:left w:w="0" w:type="dxa"/>
              <w:right w:w="0" w:type="dxa"/>
            </w:tcMar>
            <w:vAlign w:val="center"/>
          </w:tcPr>
          <w:p w:rsidR="00C223F5" w:rsidRPr="00927E76" w:rsidRDefault="005860D5">
            <w:pPr>
              <w:jc w:val="center"/>
              <w:rPr>
                <w:szCs w:val="21"/>
              </w:rPr>
            </w:pPr>
            <w:r w:rsidRPr="00927E76">
              <w:rPr>
                <w:rFonts w:hint="eastAsia"/>
              </w:rPr>
              <w:t>灌浆站</w:t>
            </w:r>
          </w:p>
        </w:tc>
        <w:tc>
          <w:tcPr>
            <w:tcW w:w="1583" w:type="dxa"/>
            <w:tcMar>
              <w:left w:w="0" w:type="dxa"/>
              <w:right w:w="0" w:type="dxa"/>
            </w:tcMar>
            <w:vAlign w:val="center"/>
          </w:tcPr>
          <w:p w:rsidR="00C223F5" w:rsidRPr="00927E76" w:rsidRDefault="005860D5">
            <w:pPr>
              <w:jc w:val="center"/>
              <w:rPr>
                <w:szCs w:val="21"/>
              </w:rPr>
            </w:pPr>
            <w:r w:rsidRPr="00927E76">
              <w:rPr>
                <w:rFonts w:hint="eastAsia"/>
              </w:rPr>
              <w:t>黄泥泵</w:t>
            </w:r>
          </w:p>
        </w:tc>
        <w:tc>
          <w:tcPr>
            <w:tcW w:w="716" w:type="dxa"/>
            <w:tcMar>
              <w:left w:w="0" w:type="dxa"/>
              <w:right w:w="0" w:type="dxa"/>
            </w:tcMar>
            <w:vAlign w:val="center"/>
          </w:tcPr>
          <w:p w:rsidR="00C223F5" w:rsidRPr="00927E76" w:rsidRDefault="005860D5">
            <w:pPr>
              <w:jc w:val="center"/>
              <w:rPr>
                <w:snapToGrid w:val="0"/>
                <w:szCs w:val="21"/>
              </w:rPr>
            </w:pPr>
            <w:r w:rsidRPr="00927E76">
              <w:rPr>
                <w:rFonts w:hint="eastAsia"/>
              </w:rPr>
              <w:t>85.0</w:t>
            </w:r>
          </w:p>
        </w:tc>
        <w:tc>
          <w:tcPr>
            <w:tcW w:w="783" w:type="dxa"/>
            <w:tcMar>
              <w:left w:w="0" w:type="dxa"/>
              <w:right w:w="0" w:type="dxa"/>
            </w:tcMar>
            <w:vAlign w:val="center"/>
          </w:tcPr>
          <w:p w:rsidR="00C223F5" w:rsidRPr="00927E76" w:rsidRDefault="005860D5">
            <w:pPr>
              <w:jc w:val="center"/>
              <w:rPr>
                <w:szCs w:val="21"/>
              </w:rPr>
            </w:pPr>
            <w:r w:rsidRPr="00927E76">
              <w:rPr>
                <w:rFonts w:hint="eastAsia"/>
              </w:rPr>
              <w:t>65.0</w:t>
            </w:r>
          </w:p>
        </w:tc>
        <w:tc>
          <w:tcPr>
            <w:tcW w:w="767" w:type="dxa"/>
            <w:tcMar>
              <w:left w:w="0" w:type="dxa"/>
              <w:right w:w="0" w:type="dxa"/>
            </w:tcMar>
            <w:vAlign w:val="center"/>
          </w:tcPr>
          <w:p w:rsidR="00C223F5" w:rsidRPr="00927E76" w:rsidRDefault="005860D5">
            <w:pPr>
              <w:jc w:val="center"/>
              <w:rPr>
                <w:szCs w:val="21"/>
              </w:rPr>
            </w:pPr>
            <w:r w:rsidRPr="00927E76">
              <w:rPr>
                <w:szCs w:val="21"/>
              </w:rPr>
              <w:t>立面源</w:t>
            </w:r>
          </w:p>
        </w:tc>
        <w:tc>
          <w:tcPr>
            <w:tcW w:w="703" w:type="dxa"/>
            <w:tcMar>
              <w:left w:w="0" w:type="dxa"/>
              <w:right w:w="0" w:type="dxa"/>
            </w:tcMar>
            <w:vAlign w:val="center"/>
          </w:tcPr>
          <w:p w:rsidR="00C223F5" w:rsidRPr="00927E76" w:rsidRDefault="005860D5">
            <w:pPr>
              <w:jc w:val="center"/>
              <w:rPr>
                <w:szCs w:val="21"/>
              </w:rPr>
            </w:pPr>
            <w:r w:rsidRPr="00927E76">
              <w:rPr>
                <w:rFonts w:hint="eastAsia"/>
                <w:szCs w:val="21"/>
              </w:rPr>
              <w:t>连续</w:t>
            </w:r>
          </w:p>
        </w:tc>
        <w:tc>
          <w:tcPr>
            <w:tcW w:w="647" w:type="dxa"/>
            <w:tcMar>
              <w:left w:w="0" w:type="dxa"/>
              <w:right w:w="0" w:type="dxa"/>
            </w:tcMar>
            <w:vAlign w:val="center"/>
          </w:tcPr>
          <w:p w:rsidR="00C223F5" w:rsidRPr="00927E76" w:rsidRDefault="005860D5">
            <w:pPr>
              <w:jc w:val="center"/>
              <w:rPr>
                <w:szCs w:val="21"/>
              </w:rPr>
            </w:pPr>
            <w:r w:rsidRPr="00927E76">
              <w:rPr>
                <w:rFonts w:hint="eastAsia"/>
                <w:szCs w:val="21"/>
              </w:rPr>
              <w:t>1</w:t>
            </w:r>
            <w:r w:rsidRPr="00927E76">
              <w:rPr>
                <w:rFonts w:hint="eastAsia"/>
                <w:szCs w:val="21"/>
              </w:rPr>
              <w:t>套</w:t>
            </w:r>
          </w:p>
        </w:tc>
        <w:tc>
          <w:tcPr>
            <w:tcW w:w="1915" w:type="dxa"/>
            <w:vAlign w:val="center"/>
          </w:tcPr>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152.48</w:t>
            </w:r>
            <w:r w:rsidRPr="00927E76">
              <w:rPr>
                <w:snapToGrid w:val="0"/>
                <w:szCs w:val="21"/>
              </w:rPr>
              <w:t>,Y</w:t>
            </w:r>
            <w:r w:rsidRPr="00927E76">
              <w:rPr>
                <w:rFonts w:hint="eastAsia"/>
                <w:snapToGrid w:val="0"/>
                <w:szCs w:val="21"/>
              </w:rPr>
              <w:t>-22.92</w:t>
            </w:r>
            <w:r w:rsidRPr="00927E76">
              <w:rPr>
                <w:snapToGrid w:val="0"/>
                <w:szCs w:val="21"/>
              </w:rPr>
              <w:t>)/</w:t>
            </w:r>
          </w:p>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164.56</w:t>
            </w:r>
            <w:r w:rsidRPr="00927E76">
              <w:rPr>
                <w:snapToGrid w:val="0"/>
                <w:szCs w:val="21"/>
              </w:rPr>
              <w:t>,Y</w:t>
            </w:r>
            <w:r w:rsidRPr="00927E76">
              <w:rPr>
                <w:rFonts w:hint="eastAsia"/>
                <w:snapToGrid w:val="0"/>
                <w:szCs w:val="21"/>
              </w:rPr>
              <w:t>-37.86</w:t>
            </w:r>
            <w:r w:rsidRPr="00927E76">
              <w:rPr>
                <w:snapToGrid w:val="0"/>
                <w:szCs w:val="21"/>
              </w:rPr>
              <w:t>)</w:t>
            </w:r>
          </w:p>
        </w:tc>
        <w:tc>
          <w:tcPr>
            <w:tcW w:w="1401" w:type="dxa"/>
            <w:tcMar>
              <w:left w:w="0" w:type="dxa"/>
              <w:right w:w="0" w:type="dxa"/>
            </w:tcMar>
            <w:vAlign w:val="center"/>
          </w:tcPr>
          <w:p w:rsidR="00C223F5" w:rsidRPr="00927E76" w:rsidRDefault="005860D5">
            <w:pPr>
              <w:jc w:val="center"/>
              <w:rPr>
                <w:szCs w:val="21"/>
              </w:rPr>
            </w:pPr>
            <w:r w:rsidRPr="00927E76">
              <w:rPr>
                <w:rFonts w:hint="eastAsia"/>
                <w:szCs w:val="21"/>
              </w:rPr>
              <w:t>5.4</w:t>
            </w:r>
          </w:p>
        </w:tc>
        <w:tc>
          <w:tcPr>
            <w:tcW w:w="2322" w:type="dxa"/>
            <w:vAlign w:val="center"/>
          </w:tcPr>
          <w:p w:rsidR="00C223F5" w:rsidRPr="00927E76" w:rsidRDefault="005860D5">
            <w:pPr>
              <w:jc w:val="center"/>
              <w:rPr>
                <w:snapToGrid w:val="0"/>
                <w:szCs w:val="21"/>
              </w:rPr>
            </w:pPr>
            <w:r w:rsidRPr="00927E76">
              <w:rPr>
                <w:snapToGrid w:val="0"/>
                <w:szCs w:val="21"/>
              </w:rPr>
              <w:t>长</w:t>
            </w:r>
            <w:r w:rsidRPr="00927E76">
              <w:rPr>
                <w:snapToGrid w:val="0"/>
                <w:szCs w:val="21"/>
              </w:rPr>
              <w:t>×</w:t>
            </w:r>
            <w:r w:rsidRPr="00927E76">
              <w:rPr>
                <w:snapToGrid w:val="0"/>
                <w:szCs w:val="21"/>
              </w:rPr>
              <w:t>宽</w:t>
            </w:r>
            <w:r w:rsidRPr="00927E76">
              <w:rPr>
                <w:snapToGrid w:val="0"/>
                <w:szCs w:val="21"/>
              </w:rPr>
              <w:t>×</w:t>
            </w:r>
            <w:r w:rsidRPr="00927E76">
              <w:rPr>
                <w:snapToGrid w:val="0"/>
                <w:szCs w:val="21"/>
              </w:rPr>
              <w:t>高</w:t>
            </w:r>
            <w:r w:rsidRPr="00927E76">
              <w:rPr>
                <w:snapToGrid w:val="0"/>
                <w:szCs w:val="21"/>
              </w:rPr>
              <w:t>=</w:t>
            </w:r>
            <w:r w:rsidRPr="00927E76">
              <w:rPr>
                <w:rFonts w:hint="eastAsia"/>
                <w:snapToGrid w:val="0"/>
                <w:szCs w:val="21"/>
              </w:rPr>
              <w:t>15</w:t>
            </w:r>
            <w:r w:rsidRPr="00927E76">
              <w:rPr>
                <w:snapToGrid w:val="0"/>
                <w:szCs w:val="21"/>
              </w:rPr>
              <w:t>×</w:t>
            </w:r>
            <w:r w:rsidRPr="00927E76">
              <w:rPr>
                <w:rFonts w:hint="eastAsia"/>
                <w:snapToGrid w:val="0"/>
                <w:szCs w:val="21"/>
              </w:rPr>
              <w:t>12</w:t>
            </w:r>
            <w:r w:rsidRPr="00927E76">
              <w:rPr>
                <w:snapToGrid w:val="0"/>
                <w:szCs w:val="21"/>
              </w:rPr>
              <w:t>×</w:t>
            </w:r>
            <w:r w:rsidRPr="00927E76">
              <w:rPr>
                <w:rFonts w:hint="eastAsia"/>
                <w:snapToGrid w:val="0"/>
                <w:szCs w:val="21"/>
              </w:rPr>
              <w:t>5.4</w:t>
            </w:r>
            <w:r w:rsidRPr="00927E76">
              <w:rPr>
                <w:snapToGrid w:val="0"/>
                <w:szCs w:val="21"/>
              </w:rPr>
              <w:t>m</w:t>
            </w:r>
            <w:r w:rsidRPr="00927E76">
              <w:rPr>
                <w:rFonts w:hint="eastAsia"/>
                <w:snapToGrid w:val="0"/>
                <w:szCs w:val="21"/>
              </w:rPr>
              <w:t>，</w:t>
            </w:r>
          </w:p>
          <w:p w:rsidR="00C223F5" w:rsidRPr="00927E76" w:rsidRDefault="005860D5">
            <w:pPr>
              <w:jc w:val="center"/>
              <w:rPr>
                <w:snapToGrid w:val="0"/>
                <w:szCs w:val="21"/>
              </w:rPr>
            </w:pPr>
            <w:r w:rsidRPr="00927E76">
              <w:rPr>
                <w:rFonts w:cs="Arial" w:hint="eastAsia"/>
                <w:szCs w:val="21"/>
              </w:rPr>
              <w:t>钢筋混凝土框排架</w:t>
            </w:r>
          </w:p>
        </w:tc>
      </w:tr>
      <w:tr w:rsidR="00C223F5" w:rsidRPr="00927E76">
        <w:trPr>
          <w:cantSplit/>
          <w:trHeight w:val="70"/>
          <w:jc w:val="center"/>
        </w:trPr>
        <w:tc>
          <w:tcPr>
            <w:tcW w:w="682" w:type="dxa"/>
            <w:vMerge/>
            <w:vAlign w:val="center"/>
          </w:tcPr>
          <w:p w:rsidR="00C223F5" w:rsidRPr="00927E76" w:rsidRDefault="00C223F5">
            <w:pPr>
              <w:jc w:val="center"/>
              <w:rPr>
                <w:szCs w:val="21"/>
              </w:rPr>
            </w:pPr>
          </w:p>
        </w:tc>
        <w:tc>
          <w:tcPr>
            <w:tcW w:w="306" w:type="dxa"/>
            <w:vMerge w:val="restart"/>
            <w:tcMar>
              <w:left w:w="0" w:type="dxa"/>
              <w:right w:w="0" w:type="dxa"/>
            </w:tcMar>
            <w:vAlign w:val="center"/>
          </w:tcPr>
          <w:p w:rsidR="00C223F5" w:rsidRPr="00927E76" w:rsidRDefault="005860D5">
            <w:pPr>
              <w:jc w:val="center"/>
              <w:rPr>
                <w:szCs w:val="21"/>
              </w:rPr>
            </w:pPr>
            <w:r w:rsidRPr="00927E76">
              <w:rPr>
                <w:rFonts w:hint="eastAsia"/>
                <w:szCs w:val="21"/>
              </w:rPr>
              <w:t>8</w:t>
            </w:r>
          </w:p>
        </w:tc>
        <w:tc>
          <w:tcPr>
            <w:tcW w:w="2157" w:type="dxa"/>
            <w:tcMar>
              <w:left w:w="0" w:type="dxa"/>
              <w:right w:w="0" w:type="dxa"/>
            </w:tcMar>
            <w:vAlign w:val="center"/>
          </w:tcPr>
          <w:p w:rsidR="00C223F5" w:rsidRPr="00927E76" w:rsidRDefault="005860D5">
            <w:pPr>
              <w:jc w:val="center"/>
              <w:rPr>
                <w:szCs w:val="21"/>
              </w:rPr>
            </w:pPr>
            <w:r w:rsidRPr="00927E76">
              <w:rPr>
                <w:rFonts w:hint="eastAsia"/>
              </w:rPr>
              <w:t>驱动机房至原煤仓</w:t>
            </w:r>
          </w:p>
        </w:tc>
        <w:tc>
          <w:tcPr>
            <w:tcW w:w="1583" w:type="dxa"/>
            <w:vMerge w:val="restart"/>
            <w:tcMar>
              <w:left w:w="0" w:type="dxa"/>
              <w:right w:w="0" w:type="dxa"/>
            </w:tcMar>
            <w:vAlign w:val="center"/>
          </w:tcPr>
          <w:p w:rsidR="00C223F5" w:rsidRPr="00927E76" w:rsidRDefault="005860D5">
            <w:pPr>
              <w:jc w:val="center"/>
              <w:rPr>
                <w:spacing w:val="-6"/>
              </w:rPr>
            </w:pPr>
            <w:r w:rsidRPr="00927E76">
              <w:rPr>
                <w:spacing w:val="-6"/>
              </w:rPr>
              <w:t>带式输送机</w:t>
            </w:r>
          </w:p>
          <w:p w:rsidR="00C223F5" w:rsidRPr="00927E76" w:rsidRDefault="005860D5">
            <w:pPr>
              <w:jc w:val="center"/>
              <w:rPr>
                <w:szCs w:val="21"/>
              </w:rPr>
            </w:pPr>
            <w:r w:rsidRPr="00927E76">
              <w:rPr>
                <w:spacing w:val="-6"/>
              </w:rPr>
              <w:t>驱动设备</w:t>
            </w:r>
          </w:p>
        </w:tc>
        <w:tc>
          <w:tcPr>
            <w:tcW w:w="716" w:type="dxa"/>
            <w:vMerge w:val="restart"/>
            <w:tcMar>
              <w:left w:w="0" w:type="dxa"/>
              <w:right w:w="0" w:type="dxa"/>
            </w:tcMar>
            <w:vAlign w:val="center"/>
          </w:tcPr>
          <w:p w:rsidR="00C223F5" w:rsidRPr="00927E76" w:rsidRDefault="005860D5">
            <w:pPr>
              <w:jc w:val="center"/>
              <w:rPr>
                <w:snapToGrid w:val="0"/>
                <w:szCs w:val="21"/>
              </w:rPr>
            </w:pPr>
            <w:r w:rsidRPr="00927E76">
              <w:rPr>
                <w:rFonts w:hint="eastAsia"/>
              </w:rPr>
              <w:t>80.0</w:t>
            </w:r>
          </w:p>
        </w:tc>
        <w:tc>
          <w:tcPr>
            <w:tcW w:w="783" w:type="dxa"/>
            <w:vMerge w:val="restart"/>
            <w:tcMar>
              <w:left w:w="0" w:type="dxa"/>
              <w:right w:w="0" w:type="dxa"/>
            </w:tcMar>
            <w:vAlign w:val="center"/>
          </w:tcPr>
          <w:p w:rsidR="00C223F5" w:rsidRPr="00927E76" w:rsidRDefault="005860D5">
            <w:pPr>
              <w:jc w:val="center"/>
              <w:rPr>
                <w:szCs w:val="21"/>
              </w:rPr>
            </w:pPr>
            <w:r w:rsidRPr="00927E76">
              <w:rPr>
                <w:rFonts w:hint="eastAsia"/>
              </w:rPr>
              <w:t>65.0</w:t>
            </w:r>
          </w:p>
        </w:tc>
        <w:tc>
          <w:tcPr>
            <w:tcW w:w="767" w:type="dxa"/>
            <w:tcMar>
              <w:left w:w="0" w:type="dxa"/>
              <w:right w:w="0" w:type="dxa"/>
            </w:tcMar>
            <w:vAlign w:val="center"/>
          </w:tcPr>
          <w:p w:rsidR="00C223F5" w:rsidRPr="00927E76" w:rsidRDefault="005860D5">
            <w:pPr>
              <w:jc w:val="center"/>
              <w:rPr>
                <w:szCs w:val="21"/>
              </w:rPr>
            </w:pPr>
            <w:r w:rsidRPr="00927E76">
              <w:rPr>
                <w:rFonts w:hint="eastAsia"/>
                <w:szCs w:val="21"/>
              </w:rPr>
              <w:t>线源</w:t>
            </w:r>
          </w:p>
        </w:tc>
        <w:tc>
          <w:tcPr>
            <w:tcW w:w="703" w:type="dxa"/>
            <w:tcMar>
              <w:left w:w="0" w:type="dxa"/>
              <w:right w:w="0" w:type="dxa"/>
            </w:tcMar>
            <w:vAlign w:val="center"/>
          </w:tcPr>
          <w:p w:rsidR="00C223F5" w:rsidRPr="00927E76" w:rsidRDefault="005860D5">
            <w:pPr>
              <w:jc w:val="center"/>
              <w:rPr>
                <w:szCs w:val="21"/>
              </w:rPr>
            </w:pPr>
            <w:r w:rsidRPr="00927E76">
              <w:rPr>
                <w:rFonts w:hint="eastAsia"/>
                <w:szCs w:val="21"/>
              </w:rPr>
              <w:t>连续</w:t>
            </w:r>
          </w:p>
        </w:tc>
        <w:tc>
          <w:tcPr>
            <w:tcW w:w="647" w:type="dxa"/>
            <w:tcMar>
              <w:left w:w="0" w:type="dxa"/>
              <w:right w:w="0" w:type="dxa"/>
            </w:tcMar>
            <w:vAlign w:val="center"/>
          </w:tcPr>
          <w:p w:rsidR="00C223F5" w:rsidRPr="00927E76" w:rsidRDefault="005860D5">
            <w:pPr>
              <w:jc w:val="center"/>
              <w:rPr>
                <w:szCs w:val="21"/>
              </w:rPr>
            </w:pPr>
            <w:r w:rsidRPr="00927E76">
              <w:rPr>
                <w:rFonts w:hint="eastAsia"/>
                <w:snapToGrid w:val="0"/>
                <w:szCs w:val="21"/>
              </w:rPr>
              <w:t>1</w:t>
            </w:r>
            <w:r w:rsidRPr="00927E76">
              <w:rPr>
                <w:rFonts w:hint="eastAsia"/>
                <w:snapToGrid w:val="0"/>
                <w:szCs w:val="21"/>
              </w:rPr>
              <w:t>套</w:t>
            </w:r>
          </w:p>
        </w:tc>
        <w:tc>
          <w:tcPr>
            <w:tcW w:w="3316" w:type="dxa"/>
            <w:gridSpan w:val="2"/>
            <w:vAlign w:val="center"/>
          </w:tcPr>
          <w:p w:rsidR="00C223F5" w:rsidRPr="00927E76" w:rsidRDefault="005860D5">
            <w:pPr>
              <w:adjustRightInd w:val="0"/>
              <w:snapToGrid w:val="0"/>
              <w:jc w:val="center"/>
              <w:rPr>
                <w:szCs w:val="21"/>
              </w:rPr>
            </w:pPr>
            <w:r w:rsidRPr="00927E76">
              <w:rPr>
                <w:snapToGrid w:val="0"/>
                <w:szCs w:val="21"/>
              </w:rPr>
              <w:t>(X</w:t>
            </w:r>
            <w:r w:rsidRPr="00927E76">
              <w:rPr>
                <w:rFonts w:hint="eastAsia"/>
                <w:snapToGrid w:val="0"/>
                <w:szCs w:val="21"/>
              </w:rPr>
              <w:t>89.31</w:t>
            </w:r>
            <w:r w:rsidRPr="00927E76">
              <w:rPr>
                <w:snapToGrid w:val="0"/>
                <w:szCs w:val="21"/>
              </w:rPr>
              <w:t>,Y</w:t>
            </w:r>
            <w:r w:rsidRPr="00927E76">
              <w:rPr>
                <w:rFonts w:hint="eastAsia"/>
                <w:snapToGrid w:val="0"/>
                <w:szCs w:val="21"/>
              </w:rPr>
              <w:t>-6.85</w:t>
            </w:r>
            <w:r w:rsidRPr="00927E76">
              <w:rPr>
                <w:snapToGrid w:val="0"/>
                <w:szCs w:val="21"/>
              </w:rPr>
              <w:t>)</w:t>
            </w:r>
            <w:r w:rsidRPr="00927E76">
              <w:rPr>
                <w:rFonts w:hint="eastAsia"/>
                <w:snapToGrid w:val="0"/>
                <w:szCs w:val="21"/>
              </w:rPr>
              <w:t>-</w:t>
            </w:r>
            <w:r w:rsidRPr="00927E76">
              <w:rPr>
                <w:snapToGrid w:val="0"/>
                <w:szCs w:val="21"/>
              </w:rPr>
              <w:t>(X</w:t>
            </w:r>
            <w:r w:rsidRPr="00927E76">
              <w:rPr>
                <w:rFonts w:hint="eastAsia"/>
                <w:snapToGrid w:val="0"/>
                <w:szCs w:val="21"/>
              </w:rPr>
              <w:t>192.72</w:t>
            </w:r>
            <w:r w:rsidRPr="00927E76">
              <w:rPr>
                <w:snapToGrid w:val="0"/>
                <w:szCs w:val="21"/>
              </w:rPr>
              <w:t>,Y</w:t>
            </w:r>
            <w:r w:rsidRPr="00927E76">
              <w:rPr>
                <w:rFonts w:hint="eastAsia"/>
                <w:snapToGrid w:val="0"/>
                <w:szCs w:val="21"/>
              </w:rPr>
              <w:t>-29.92</w:t>
            </w:r>
            <w:r w:rsidRPr="00927E76">
              <w:rPr>
                <w:snapToGrid w:val="0"/>
                <w:szCs w:val="21"/>
              </w:rPr>
              <w:t>)</w:t>
            </w:r>
          </w:p>
        </w:tc>
        <w:tc>
          <w:tcPr>
            <w:tcW w:w="2322" w:type="dxa"/>
            <w:vAlign w:val="center"/>
          </w:tcPr>
          <w:p w:rsidR="00C223F5" w:rsidRPr="00927E76" w:rsidRDefault="005860D5">
            <w:pPr>
              <w:jc w:val="center"/>
              <w:rPr>
                <w:snapToGrid w:val="0"/>
                <w:szCs w:val="21"/>
              </w:rPr>
            </w:pPr>
            <w:r w:rsidRPr="00927E76">
              <w:rPr>
                <w:rFonts w:hint="eastAsia"/>
                <w:snapToGrid w:val="0"/>
                <w:szCs w:val="21"/>
              </w:rPr>
              <w:t>斜</w:t>
            </w:r>
            <w:r w:rsidRPr="00927E76">
              <w:rPr>
                <w:snapToGrid w:val="0"/>
                <w:szCs w:val="21"/>
              </w:rPr>
              <w:t>长</w:t>
            </w:r>
            <w:r w:rsidRPr="00927E76">
              <w:rPr>
                <w:rFonts w:hint="eastAsia"/>
                <w:snapToGrid w:val="0"/>
                <w:szCs w:val="21"/>
              </w:rPr>
              <w:t>107m</w:t>
            </w:r>
            <w:r w:rsidRPr="00927E76">
              <w:rPr>
                <w:rFonts w:hint="eastAsia"/>
                <w:snapToGrid w:val="0"/>
                <w:szCs w:val="21"/>
              </w:rPr>
              <w:t>，</w:t>
            </w:r>
            <w:r w:rsidRPr="00927E76">
              <w:rPr>
                <w:rFonts w:cs="Arial" w:hint="eastAsia"/>
                <w:szCs w:val="21"/>
              </w:rPr>
              <w:t>钢筋砼框架</w:t>
            </w:r>
          </w:p>
        </w:tc>
      </w:tr>
      <w:tr w:rsidR="00C223F5" w:rsidRPr="00927E76">
        <w:trPr>
          <w:cantSplit/>
          <w:trHeight w:val="70"/>
          <w:jc w:val="center"/>
        </w:trPr>
        <w:tc>
          <w:tcPr>
            <w:tcW w:w="682" w:type="dxa"/>
            <w:vMerge/>
            <w:vAlign w:val="center"/>
          </w:tcPr>
          <w:p w:rsidR="00C223F5" w:rsidRPr="00927E76" w:rsidRDefault="00C223F5">
            <w:pPr>
              <w:jc w:val="center"/>
              <w:rPr>
                <w:szCs w:val="21"/>
              </w:rPr>
            </w:pPr>
          </w:p>
        </w:tc>
        <w:tc>
          <w:tcPr>
            <w:tcW w:w="306" w:type="dxa"/>
            <w:vMerge/>
            <w:tcMar>
              <w:left w:w="0" w:type="dxa"/>
              <w:right w:w="0" w:type="dxa"/>
            </w:tcMar>
            <w:vAlign w:val="center"/>
          </w:tcPr>
          <w:p w:rsidR="00C223F5" w:rsidRPr="00927E76" w:rsidRDefault="00C223F5">
            <w:pPr>
              <w:jc w:val="center"/>
              <w:rPr>
                <w:szCs w:val="21"/>
              </w:rPr>
            </w:pPr>
          </w:p>
        </w:tc>
        <w:tc>
          <w:tcPr>
            <w:tcW w:w="2157" w:type="dxa"/>
            <w:tcMar>
              <w:left w:w="0" w:type="dxa"/>
              <w:right w:w="0" w:type="dxa"/>
            </w:tcMar>
            <w:vAlign w:val="center"/>
          </w:tcPr>
          <w:p w:rsidR="00C223F5" w:rsidRPr="00927E76" w:rsidRDefault="005860D5">
            <w:pPr>
              <w:pStyle w:val="afffff9"/>
              <w:spacing w:line="240" w:lineRule="auto"/>
              <w:ind w:firstLineChars="0" w:firstLine="0"/>
              <w:jc w:val="center"/>
              <w:rPr>
                <w:sz w:val="21"/>
                <w:szCs w:val="21"/>
              </w:rPr>
            </w:pPr>
            <w:r w:rsidRPr="00927E76">
              <w:rPr>
                <w:rFonts w:hint="eastAsia"/>
                <w:sz w:val="21"/>
                <w:szCs w:val="21"/>
              </w:rPr>
              <w:t>原煤仓至筛破车间</w:t>
            </w:r>
          </w:p>
        </w:tc>
        <w:tc>
          <w:tcPr>
            <w:tcW w:w="1583" w:type="dxa"/>
            <w:vMerge/>
            <w:tcMar>
              <w:left w:w="0" w:type="dxa"/>
              <w:right w:w="0" w:type="dxa"/>
            </w:tcMar>
            <w:vAlign w:val="center"/>
          </w:tcPr>
          <w:p w:rsidR="00C223F5" w:rsidRPr="00927E76" w:rsidRDefault="00C223F5">
            <w:pPr>
              <w:jc w:val="center"/>
              <w:rPr>
                <w:spacing w:val="-6"/>
                <w:szCs w:val="21"/>
              </w:rPr>
            </w:pPr>
          </w:p>
        </w:tc>
        <w:tc>
          <w:tcPr>
            <w:tcW w:w="716" w:type="dxa"/>
            <w:vMerge/>
            <w:tcMar>
              <w:left w:w="0" w:type="dxa"/>
              <w:right w:w="0" w:type="dxa"/>
            </w:tcMar>
            <w:vAlign w:val="center"/>
          </w:tcPr>
          <w:p w:rsidR="00C223F5" w:rsidRPr="00927E76" w:rsidRDefault="00C223F5">
            <w:pPr>
              <w:adjustRightInd w:val="0"/>
              <w:snapToGrid w:val="0"/>
              <w:jc w:val="center"/>
              <w:rPr>
                <w:snapToGrid w:val="0"/>
                <w:szCs w:val="21"/>
              </w:rPr>
            </w:pPr>
          </w:p>
        </w:tc>
        <w:tc>
          <w:tcPr>
            <w:tcW w:w="783" w:type="dxa"/>
            <w:vMerge/>
            <w:tcMar>
              <w:left w:w="0" w:type="dxa"/>
              <w:right w:w="0" w:type="dxa"/>
            </w:tcMar>
            <w:vAlign w:val="center"/>
          </w:tcPr>
          <w:p w:rsidR="00C223F5" w:rsidRPr="00927E76" w:rsidRDefault="00C223F5">
            <w:pPr>
              <w:adjustRightInd w:val="0"/>
              <w:snapToGrid w:val="0"/>
              <w:jc w:val="center"/>
              <w:rPr>
                <w:szCs w:val="21"/>
              </w:rPr>
            </w:pPr>
          </w:p>
        </w:tc>
        <w:tc>
          <w:tcPr>
            <w:tcW w:w="767" w:type="dxa"/>
            <w:tcMar>
              <w:left w:w="0" w:type="dxa"/>
              <w:right w:w="0" w:type="dxa"/>
            </w:tcMar>
            <w:vAlign w:val="center"/>
          </w:tcPr>
          <w:p w:rsidR="00C223F5" w:rsidRPr="00927E76" w:rsidRDefault="005860D5">
            <w:pPr>
              <w:jc w:val="center"/>
              <w:rPr>
                <w:szCs w:val="21"/>
              </w:rPr>
            </w:pPr>
            <w:r w:rsidRPr="00927E76">
              <w:rPr>
                <w:rFonts w:hint="eastAsia"/>
                <w:szCs w:val="21"/>
              </w:rPr>
              <w:t>线源</w:t>
            </w:r>
          </w:p>
        </w:tc>
        <w:tc>
          <w:tcPr>
            <w:tcW w:w="703" w:type="dxa"/>
            <w:tcMar>
              <w:left w:w="0" w:type="dxa"/>
              <w:right w:w="0" w:type="dxa"/>
            </w:tcMar>
            <w:vAlign w:val="center"/>
          </w:tcPr>
          <w:p w:rsidR="00C223F5" w:rsidRPr="00927E76" w:rsidRDefault="005860D5">
            <w:pPr>
              <w:jc w:val="center"/>
              <w:rPr>
                <w:szCs w:val="21"/>
              </w:rPr>
            </w:pPr>
            <w:r w:rsidRPr="00927E76">
              <w:rPr>
                <w:rFonts w:hint="eastAsia"/>
                <w:szCs w:val="21"/>
              </w:rPr>
              <w:t>连续</w:t>
            </w:r>
          </w:p>
        </w:tc>
        <w:tc>
          <w:tcPr>
            <w:tcW w:w="647" w:type="dxa"/>
            <w:tcMar>
              <w:left w:w="0" w:type="dxa"/>
              <w:right w:w="0" w:type="dxa"/>
            </w:tcMar>
            <w:vAlign w:val="center"/>
          </w:tcPr>
          <w:p w:rsidR="00C223F5" w:rsidRPr="00927E76" w:rsidRDefault="005860D5">
            <w:pPr>
              <w:jc w:val="center"/>
              <w:rPr>
                <w:szCs w:val="21"/>
              </w:rPr>
            </w:pPr>
            <w:r w:rsidRPr="00927E76">
              <w:rPr>
                <w:rFonts w:hint="eastAsia"/>
                <w:snapToGrid w:val="0"/>
                <w:szCs w:val="21"/>
              </w:rPr>
              <w:t>1</w:t>
            </w:r>
            <w:r w:rsidRPr="00927E76">
              <w:rPr>
                <w:rFonts w:hint="eastAsia"/>
                <w:snapToGrid w:val="0"/>
                <w:szCs w:val="21"/>
              </w:rPr>
              <w:t>套</w:t>
            </w:r>
          </w:p>
        </w:tc>
        <w:tc>
          <w:tcPr>
            <w:tcW w:w="3316" w:type="dxa"/>
            <w:gridSpan w:val="2"/>
            <w:vAlign w:val="center"/>
          </w:tcPr>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210.53</w:t>
            </w:r>
            <w:r w:rsidRPr="00927E76">
              <w:rPr>
                <w:snapToGrid w:val="0"/>
                <w:szCs w:val="21"/>
              </w:rPr>
              <w:t>,Y</w:t>
            </w:r>
            <w:r w:rsidRPr="00927E76">
              <w:rPr>
                <w:rFonts w:hint="eastAsia"/>
                <w:snapToGrid w:val="0"/>
                <w:szCs w:val="21"/>
              </w:rPr>
              <w:t>-32.55</w:t>
            </w:r>
            <w:r w:rsidRPr="00927E76">
              <w:rPr>
                <w:snapToGrid w:val="0"/>
                <w:szCs w:val="21"/>
              </w:rPr>
              <w:t>)</w:t>
            </w:r>
            <w:r w:rsidRPr="00927E76">
              <w:rPr>
                <w:rFonts w:hint="eastAsia"/>
                <w:snapToGrid w:val="0"/>
                <w:szCs w:val="21"/>
              </w:rPr>
              <w:t>-</w:t>
            </w:r>
            <w:r w:rsidRPr="00927E76">
              <w:rPr>
                <w:snapToGrid w:val="0"/>
                <w:szCs w:val="21"/>
              </w:rPr>
              <w:t>(X</w:t>
            </w:r>
            <w:r w:rsidRPr="00927E76">
              <w:rPr>
                <w:rFonts w:hint="eastAsia"/>
                <w:snapToGrid w:val="0"/>
                <w:szCs w:val="21"/>
              </w:rPr>
              <w:t>316.78</w:t>
            </w:r>
            <w:r w:rsidRPr="00927E76">
              <w:rPr>
                <w:snapToGrid w:val="0"/>
                <w:szCs w:val="21"/>
              </w:rPr>
              <w:t>,Y</w:t>
            </w:r>
            <w:r w:rsidRPr="00927E76">
              <w:rPr>
                <w:rFonts w:hint="eastAsia"/>
                <w:snapToGrid w:val="0"/>
                <w:szCs w:val="21"/>
              </w:rPr>
              <w:t>-46.11</w:t>
            </w:r>
            <w:r w:rsidRPr="00927E76">
              <w:rPr>
                <w:snapToGrid w:val="0"/>
                <w:szCs w:val="21"/>
              </w:rPr>
              <w:t>)</w:t>
            </w:r>
          </w:p>
        </w:tc>
        <w:tc>
          <w:tcPr>
            <w:tcW w:w="2322" w:type="dxa"/>
            <w:vAlign w:val="center"/>
          </w:tcPr>
          <w:p w:rsidR="00C223F5" w:rsidRPr="00927E76" w:rsidRDefault="005860D5">
            <w:pPr>
              <w:jc w:val="center"/>
              <w:rPr>
                <w:snapToGrid w:val="0"/>
                <w:szCs w:val="21"/>
              </w:rPr>
            </w:pPr>
            <w:r w:rsidRPr="00927E76">
              <w:rPr>
                <w:rFonts w:hint="eastAsia"/>
                <w:snapToGrid w:val="0"/>
                <w:szCs w:val="21"/>
              </w:rPr>
              <w:t>斜</w:t>
            </w:r>
            <w:r w:rsidRPr="00927E76">
              <w:rPr>
                <w:snapToGrid w:val="0"/>
                <w:szCs w:val="21"/>
              </w:rPr>
              <w:t>长</w:t>
            </w:r>
            <w:r w:rsidRPr="00927E76">
              <w:rPr>
                <w:rFonts w:hint="eastAsia"/>
                <w:snapToGrid w:val="0"/>
                <w:szCs w:val="21"/>
              </w:rPr>
              <w:t>112m</w:t>
            </w:r>
            <w:r w:rsidRPr="00927E76">
              <w:rPr>
                <w:rFonts w:hint="eastAsia"/>
                <w:snapToGrid w:val="0"/>
                <w:szCs w:val="21"/>
              </w:rPr>
              <w:t>，</w:t>
            </w:r>
            <w:r w:rsidRPr="00927E76">
              <w:rPr>
                <w:rFonts w:cs="Arial" w:hint="eastAsia"/>
                <w:szCs w:val="21"/>
              </w:rPr>
              <w:t>钢筋砼框架</w:t>
            </w:r>
          </w:p>
        </w:tc>
      </w:tr>
      <w:tr w:rsidR="00C223F5" w:rsidRPr="00927E76">
        <w:trPr>
          <w:cantSplit/>
          <w:trHeight w:val="111"/>
          <w:jc w:val="center"/>
        </w:trPr>
        <w:tc>
          <w:tcPr>
            <w:tcW w:w="682" w:type="dxa"/>
            <w:vMerge/>
            <w:vAlign w:val="center"/>
          </w:tcPr>
          <w:p w:rsidR="00C223F5" w:rsidRPr="00927E76" w:rsidRDefault="00C223F5">
            <w:pPr>
              <w:jc w:val="center"/>
              <w:rPr>
                <w:szCs w:val="21"/>
              </w:rPr>
            </w:pPr>
          </w:p>
        </w:tc>
        <w:tc>
          <w:tcPr>
            <w:tcW w:w="306" w:type="dxa"/>
            <w:vMerge/>
            <w:tcMar>
              <w:left w:w="0" w:type="dxa"/>
              <w:right w:w="0" w:type="dxa"/>
            </w:tcMar>
            <w:vAlign w:val="center"/>
          </w:tcPr>
          <w:p w:rsidR="00C223F5" w:rsidRPr="00927E76" w:rsidRDefault="00C223F5">
            <w:pPr>
              <w:jc w:val="center"/>
              <w:rPr>
                <w:szCs w:val="21"/>
              </w:rPr>
            </w:pPr>
          </w:p>
        </w:tc>
        <w:tc>
          <w:tcPr>
            <w:tcW w:w="2157" w:type="dxa"/>
            <w:tcMar>
              <w:left w:w="0" w:type="dxa"/>
              <w:right w:w="0" w:type="dxa"/>
            </w:tcMar>
            <w:vAlign w:val="center"/>
          </w:tcPr>
          <w:p w:rsidR="00C223F5" w:rsidRPr="00927E76" w:rsidRDefault="005860D5">
            <w:pPr>
              <w:pStyle w:val="afffff9"/>
              <w:spacing w:line="240" w:lineRule="auto"/>
              <w:ind w:firstLineChars="0" w:firstLine="0"/>
              <w:jc w:val="center"/>
              <w:rPr>
                <w:sz w:val="21"/>
                <w:szCs w:val="21"/>
              </w:rPr>
            </w:pPr>
            <w:r w:rsidRPr="00927E76">
              <w:rPr>
                <w:rFonts w:hint="eastAsia"/>
                <w:sz w:val="21"/>
                <w:szCs w:val="21"/>
              </w:rPr>
              <w:t>主厂房至煤泥卸载点</w:t>
            </w:r>
          </w:p>
        </w:tc>
        <w:tc>
          <w:tcPr>
            <w:tcW w:w="1583" w:type="dxa"/>
            <w:vMerge/>
            <w:tcMar>
              <w:left w:w="0" w:type="dxa"/>
              <w:right w:w="0" w:type="dxa"/>
            </w:tcMar>
            <w:vAlign w:val="center"/>
          </w:tcPr>
          <w:p w:rsidR="00C223F5" w:rsidRPr="00927E76" w:rsidRDefault="00C223F5">
            <w:pPr>
              <w:jc w:val="center"/>
              <w:rPr>
                <w:szCs w:val="21"/>
              </w:rPr>
            </w:pPr>
          </w:p>
        </w:tc>
        <w:tc>
          <w:tcPr>
            <w:tcW w:w="716" w:type="dxa"/>
            <w:vMerge/>
            <w:tcMar>
              <w:left w:w="0" w:type="dxa"/>
              <w:right w:w="0" w:type="dxa"/>
            </w:tcMar>
            <w:vAlign w:val="center"/>
          </w:tcPr>
          <w:p w:rsidR="00C223F5" w:rsidRPr="00927E76" w:rsidRDefault="00C223F5">
            <w:pPr>
              <w:adjustRightInd w:val="0"/>
              <w:snapToGrid w:val="0"/>
              <w:jc w:val="center"/>
              <w:rPr>
                <w:snapToGrid w:val="0"/>
                <w:szCs w:val="21"/>
              </w:rPr>
            </w:pPr>
          </w:p>
        </w:tc>
        <w:tc>
          <w:tcPr>
            <w:tcW w:w="783" w:type="dxa"/>
            <w:vMerge/>
            <w:tcMar>
              <w:left w:w="0" w:type="dxa"/>
              <w:right w:w="0" w:type="dxa"/>
            </w:tcMar>
            <w:vAlign w:val="center"/>
          </w:tcPr>
          <w:p w:rsidR="00C223F5" w:rsidRPr="00927E76" w:rsidRDefault="00C223F5">
            <w:pPr>
              <w:adjustRightInd w:val="0"/>
              <w:snapToGrid w:val="0"/>
              <w:jc w:val="center"/>
              <w:rPr>
                <w:szCs w:val="21"/>
              </w:rPr>
            </w:pPr>
          </w:p>
        </w:tc>
        <w:tc>
          <w:tcPr>
            <w:tcW w:w="767" w:type="dxa"/>
            <w:tcMar>
              <w:left w:w="0" w:type="dxa"/>
              <w:right w:w="0" w:type="dxa"/>
            </w:tcMar>
            <w:vAlign w:val="center"/>
          </w:tcPr>
          <w:p w:rsidR="00C223F5" w:rsidRPr="00927E76" w:rsidRDefault="005860D5">
            <w:pPr>
              <w:jc w:val="center"/>
              <w:rPr>
                <w:szCs w:val="21"/>
              </w:rPr>
            </w:pPr>
            <w:r w:rsidRPr="00927E76">
              <w:rPr>
                <w:rFonts w:hint="eastAsia"/>
                <w:szCs w:val="21"/>
              </w:rPr>
              <w:t>线源</w:t>
            </w:r>
          </w:p>
        </w:tc>
        <w:tc>
          <w:tcPr>
            <w:tcW w:w="703" w:type="dxa"/>
            <w:tcMar>
              <w:left w:w="0" w:type="dxa"/>
              <w:right w:w="0" w:type="dxa"/>
            </w:tcMar>
            <w:vAlign w:val="center"/>
          </w:tcPr>
          <w:p w:rsidR="00C223F5" w:rsidRPr="00927E76" w:rsidRDefault="005860D5">
            <w:pPr>
              <w:jc w:val="center"/>
              <w:rPr>
                <w:szCs w:val="21"/>
              </w:rPr>
            </w:pPr>
            <w:r w:rsidRPr="00927E76">
              <w:rPr>
                <w:rFonts w:hint="eastAsia"/>
                <w:szCs w:val="21"/>
              </w:rPr>
              <w:t>连续</w:t>
            </w:r>
          </w:p>
        </w:tc>
        <w:tc>
          <w:tcPr>
            <w:tcW w:w="647" w:type="dxa"/>
            <w:tcMar>
              <w:left w:w="0" w:type="dxa"/>
              <w:right w:w="0" w:type="dxa"/>
            </w:tcMar>
            <w:vAlign w:val="center"/>
          </w:tcPr>
          <w:p w:rsidR="00C223F5" w:rsidRPr="00927E76" w:rsidRDefault="005860D5">
            <w:pPr>
              <w:jc w:val="center"/>
              <w:rPr>
                <w:szCs w:val="21"/>
              </w:rPr>
            </w:pPr>
            <w:r w:rsidRPr="00927E76">
              <w:rPr>
                <w:rFonts w:hint="eastAsia"/>
                <w:snapToGrid w:val="0"/>
                <w:szCs w:val="21"/>
              </w:rPr>
              <w:t>1</w:t>
            </w:r>
            <w:r w:rsidRPr="00927E76">
              <w:rPr>
                <w:rFonts w:hint="eastAsia"/>
                <w:snapToGrid w:val="0"/>
                <w:szCs w:val="21"/>
              </w:rPr>
              <w:t>套</w:t>
            </w:r>
          </w:p>
        </w:tc>
        <w:tc>
          <w:tcPr>
            <w:tcW w:w="3316" w:type="dxa"/>
            <w:gridSpan w:val="2"/>
            <w:vAlign w:val="center"/>
          </w:tcPr>
          <w:p w:rsidR="00C223F5" w:rsidRPr="00927E76" w:rsidRDefault="005860D5">
            <w:pPr>
              <w:adjustRightInd w:val="0"/>
              <w:snapToGrid w:val="0"/>
              <w:jc w:val="center"/>
              <w:rPr>
                <w:szCs w:val="21"/>
              </w:rPr>
            </w:pPr>
            <w:r w:rsidRPr="00927E76">
              <w:rPr>
                <w:snapToGrid w:val="0"/>
                <w:szCs w:val="21"/>
              </w:rPr>
              <w:t>(X</w:t>
            </w:r>
            <w:r w:rsidRPr="00927E76">
              <w:rPr>
                <w:rFonts w:hint="eastAsia"/>
                <w:snapToGrid w:val="0"/>
                <w:szCs w:val="21"/>
              </w:rPr>
              <w:t>334.39</w:t>
            </w:r>
            <w:r w:rsidRPr="00927E76">
              <w:rPr>
                <w:snapToGrid w:val="0"/>
                <w:szCs w:val="21"/>
              </w:rPr>
              <w:t>,Y</w:t>
            </w:r>
            <w:r w:rsidRPr="00927E76">
              <w:rPr>
                <w:rFonts w:hint="eastAsia"/>
                <w:snapToGrid w:val="0"/>
                <w:szCs w:val="21"/>
              </w:rPr>
              <w:t>-21.11</w:t>
            </w:r>
            <w:r w:rsidRPr="00927E76">
              <w:rPr>
                <w:snapToGrid w:val="0"/>
                <w:szCs w:val="21"/>
              </w:rPr>
              <w:t>)</w:t>
            </w:r>
            <w:r w:rsidRPr="00927E76">
              <w:rPr>
                <w:rFonts w:hint="eastAsia"/>
                <w:snapToGrid w:val="0"/>
                <w:szCs w:val="21"/>
              </w:rPr>
              <w:t>-</w:t>
            </w:r>
            <w:r w:rsidRPr="00927E76">
              <w:rPr>
                <w:snapToGrid w:val="0"/>
                <w:szCs w:val="21"/>
              </w:rPr>
              <w:t>(X</w:t>
            </w:r>
            <w:r w:rsidRPr="00927E76">
              <w:rPr>
                <w:rFonts w:hint="eastAsia"/>
                <w:snapToGrid w:val="0"/>
                <w:szCs w:val="21"/>
              </w:rPr>
              <w:t>337.42</w:t>
            </w:r>
            <w:r w:rsidRPr="00927E76">
              <w:rPr>
                <w:snapToGrid w:val="0"/>
                <w:szCs w:val="21"/>
              </w:rPr>
              <w:t>,Y</w:t>
            </w:r>
            <w:r w:rsidRPr="00927E76">
              <w:rPr>
                <w:rFonts w:hint="eastAsia"/>
                <w:snapToGrid w:val="0"/>
                <w:szCs w:val="21"/>
              </w:rPr>
              <w:t>-11.91</w:t>
            </w:r>
            <w:r w:rsidRPr="00927E76">
              <w:rPr>
                <w:snapToGrid w:val="0"/>
                <w:szCs w:val="21"/>
              </w:rPr>
              <w:t>)</w:t>
            </w:r>
          </w:p>
        </w:tc>
        <w:tc>
          <w:tcPr>
            <w:tcW w:w="2322" w:type="dxa"/>
            <w:vAlign w:val="center"/>
          </w:tcPr>
          <w:p w:rsidR="00C223F5" w:rsidRPr="00927E76" w:rsidRDefault="005860D5">
            <w:pPr>
              <w:jc w:val="center"/>
              <w:rPr>
                <w:snapToGrid w:val="0"/>
                <w:szCs w:val="21"/>
              </w:rPr>
            </w:pPr>
            <w:r w:rsidRPr="00927E76">
              <w:rPr>
                <w:rFonts w:hint="eastAsia"/>
                <w:snapToGrid w:val="0"/>
                <w:szCs w:val="21"/>
              </w:rPr>
              <w:t>斜</w:t>
            </w:r>
            <w:r w:rsidRPr="00927E76">
              <w:rPr>
                <w:snapToGrid w:val="0"/>
                <w:szCs w:val="21"/>
              </w:rPr>
              <w:t>长</w:t>
            </w:r>
            <w:r w:rsidRPr="00927E76">
              <w:rPr>
                <w:rFonts w:hint="eastAsia"/>
                <w:snapToGrid w:val="0"/>
                <w:szCs w:val="21"/>
              </w:rPr>
              <w:t>17m</w:t>
            </w:r>
            <w:r w:rsidRPr="00927E76">
              <w:rPr>
                <w:rFonts w:hint="eastAsia"/>
                <w:snapToGrid w:val="0"/>
                <w:szCs w:val="21"/>
              </w:rPr>
              <w:t>，</w:t>
            </w:r>
            <w:r w:rsidRPr="00927E76">
              <w:rPr>
                <w:rFonts w:cs="Arial" w:hint="eastAsia"/>
                <w:szCs w:val="21"/>
              </w:rPr>
              <w:t>钢筋砼框架</w:t>
            </w:r>
          </w:p>
        </w:tc>
      </w:tr>
      <w:tr w:rsidR="00C223F5" w:rsidRPr="00927E76">
        <w:trPr>
          <w:cantSplit/>
          <w:trHeight w:val="70"/>
          <w:jc w:val="center"/>
        </w:trPr>
        <w:tc>
          <w:tcPr>
            <w:tcW w:w="682" w:type="dxa"/>
            <w:vMerge/>
            <w:vAlign w:val="center"/>
          </w:tcPr>
          <w:p w:rsidR="00C223F5" w:rsidRPr="00927E76" w:rsidRDefault="00C223F5">
            <w:pPr>
              <w:jc w:val="center"/>
              <w:rPr>
                <w:szCs w:val="21"/>
              </w:rPr>
            </w:pPr>
          </w:p>
        </w:tc>
        <w:tc>
          <w:tcPr>
            <w:tcW w:w="306" w:type="dxa"/>
            <w:vMerge/>
            <w:tcMar>
              <w:left w:w="0" w:type="dxa"/>
              <w:right w:w="0" w:type="dxa"/>
            </w:tcMar>
            <w:vAlign w:val="center"/>
          </w:tcPr>
          <w:p w:rsidR="00C223F5" w:rsidRPr="00927E76" w:rsidRDefault="00C223F5">
            <w:pPr>
              <w:jc w:val="center"/>
              <w:rPr>
                <w:szCs w:val="21"/>
              </w:rPr>
            </w:pPr>
          </w:p>
        </w:tc>
        <w:tc>
          <w:tcPr>
            <w:tcW w:w="2157" w:type="dxa"/>
            <w:tcMar>
              <w:left w:w="0" w:type="dxa"/>
              <w:right w:w="0" w:type="dxa"/>
            </w:tcMar>
            <w:vAlign w:val="center"/>
          </w:tcPr>
          <w:p w:rsidR="00C223F5" w:rsidRPr="00927E76" w:rsidRDefault="005860D5">
            <w:pPr>
              <w:pStyle w:val="afffff9"/>
              <w:spacing w:line="240" w:lineRule="auto"/>
              <w:ind w:firstLineChars="0" w:firstLine="0"/>
              <w:jc w:val="center"/>
              <w:rPr>
                <w:sz w:val="21"/>
                <w:szCs w:val="21"/>
              </w:rPr>
            </w:pPr>
            <w:r w:rsidRPr="00927E76">
              <w:rPr>
                <w:rFonts w:hint="eastAsia"/>
                <w:sz w:val="21"/>
                <w:szCs w:val="21"/>
              </w:rPr>
              <w:t>主厂房至中煤仓</w:t>
            </w:r>
          </w:p>
        </w:tc>
        <w:tc>
          <w:tcPr>
            <w:tcW w:w="1583" w:type="dxa"/>
            <w:vMerge/>
            <w:tcMar>
              <w:left w:w="0" w:type="dxa"/>
              <w:right w:w="0" w:type="dxa"/>
            </w:tcMar>
            <w:vAlign w:val="center"/>
          </w:tcPr>
          <w:p w:rsidR="00C223F5" w:rsidRPr="00927E76" w:rsidRDefault="00C223F5">
            <w:pPr>
              <w:jc w:val="center"/>
              <w:rPr>
                <w:szCs w:val="21"/>
              </w:rPr>
            </w:pPr>
          </w:p>
        </w:tc>
        <w:tc>
          <w:tcPr>
            <w:tcW w:w="716" w:type="dxa"/>
            <w:vMerge/>
            <w:tcMar>
              <w:left w:w="0" w:type="dxa"/>
              <w:right w:w="0" w:type="dxa"/>
            </w:tcMar>
            <w:vAlign w:val="center"/>
          </w:tcPr>
          <w:p w:rsidR="00C223F5" w:rsidRPr="00927E76" w:rsidRDefault="00C223F5">
            <w:pPr>
              <w:adjustRightInd w:val="0"/>
              <w:snapToGrid w:val="0"/>
              <w:jc w:val="center"/>
              <w:rPr>
                <w:snapToGrid w:val="0"/>
                <w:szCs w:val="21"/>
              </w:rPr>
            </w:pPr>
          </w:p>
        </w:tc>
        <w:tc>
          <w:tcPr>
            <w:tcW w:w="783" w:type="dxa"/>
            <w:vMerge/>
            <w:tcMar>
              <w:left w:w="0" w:type="dxa"/>
              <w:right w:w="0" w:type="dxa"/>
            </w:tcMar>
            <w:vAlign w:val="center"/>
          </w:tcPr>
          <w:p w:rsidR="00C223F5" w:rsidRPr="00927E76" w:rsidRDefault="00C223F5">
            <w:pPr>
              <w:adjustRightInd w:val="0"/>
              <w:snapToGrid w:val="0"/>
              <w:jc w:val="center"/>
              <w:rPr>
                <w:szCs w:val="21"/>
              </w:rPr>
            </w:pPr>
          </w:p>
        </w:tc>
        <w:tc>
          <w:tcPr>
            <w:tcW w:w="767" w:type="dxa"/>
            <w:tcMar>
              <w:left w:w="0" w:type="dxa"/>
              <w:right w:w="0" w:type="dxa"/>
            </w:tcMar>
            <w:vAlign w:val="center"/>
          </w:tcPr>
          <w:p w:rsidR="00C223F5" w:rsidRPr="00927E76" w:rsidRDefault="005860D5">
            <w:pPr>
              <w:jc w:val="center"/>
              <w:rPr>
                <w:szCs w:val="21"/>
              </w:rPr>
            </w:pPr>
            <w:r w:rsidRPr="00927E76">
              <w:rPr>
                <w:rFonts w:hint="eastAsia"/>
                <w:szCs w:val="21"/>
              </w:rPr>
              <w:t>线源</w:t>
            </w:r>
          </w:p>
        </w:tc>
        <w:tc>
          <w:tcPr>
            <w:tcW w:w="703" w:type="dxa"/>
            <w:tcMar>
              <w:left w:w="0" w:type="dxa"/>
              <w:right w:w="0" w:type="dxa"/>
            </w:tcMar>
            <w:vAlign w:val="center"/>
          </w:tcPr>
          <w:p w:rsidR="00C223F5" w:rsidRPr="00927E76" w:rsidRDefault="005860D5">
            <w:pPr>
              <w:jc w:val="center"/>
              <w:rPr>
                <w:szCs w:val="21"/>
              </w:rPr>
            </w:pPr>
            <w:r w:rsidRPr="00927E76">
              <w:rPr>
                <w:rFonts w:hint="eastAsia"/>
                <w:szCs w:val="21"/>
              </w:rPr>
              <w:t>连续</w:t>
            </w:r>
          </w:p>
        </w:tc>
        <w:tc>
          <w:tcPr>
            <w:tcW w:w="647" w:type="dxa"/>
            <w:tcMar>
              <w:left w:w="0" w:type="dxa"/>
              <w:right w:w="0" w:type="dxa"/>
            </w:tcMar>
            <w:vAlign w:val="center"/>
          </w:tcPr>
          <w:p w:rsidR="00C223F5" w:rsidRPr="00927E76" w:rsidRDefault="005860D5">
            <w:pPr>
              <w:jc w:val="center"/>
              <w:rPr>
                <w:szCs w:val="21"/>
              </w:rPr>
            </w:pPr>
            <w:r w:rsidRPr="00927E76">
              <w:rPr>
                <w:rFonts w:hint="eastAsia"/>
                <w:snapToGrid w:val="0"/>
                <w:szCs w:val="21"/>
              </w:rPr>
              <w:t>3</w:t>
            </w:r>
            <w:r w:rsidRPr="00927E76">
              <w:rPr>
                <w:rFonts w:hint="eastAsia"/>
                <w:snapToGrid w:val="0"/>
                <w:szCs w:val="21"/>
              </w:rPr>
              <w:t>套</w:t>
            </w:r>
          </w:p>
        </w:tc>
        <w:tc>
          <w:tcPr>
            <w:tcW w:w="3316" w:type="dxa"/>
            <w:gridSpan w:val="2"/>
            <w:vAlign w:val="center"/>
          </w:tcPr>
          <w:p w:rsidR="00C223F5" w:rsidRPr="00927E76" w:rsidRDefault="005860D5">
            <w:pPr>
              <w:adjustRightInd w:val="0"/>
              <w:snapToGrid w:val="0"/>
              <w:jc w:val="center"/>
              <w:rPr>
                <w:snapToGrid w:val="0"/>
                <w:szCs w:val="21"/>
              </w:rPr>
            </w:pPr>
            <w:r w:rsidRPr="00927E76">
              <w:rPr>
                <w:snapToGrid w:val="0"/>
                <w:szCs w:val="21"/>
              </w:rPr>
              <w:t>(X</w:t>
            </w:r>
            <w:r w:rsidRPr="00927E76">
              <w:rPr>
                <w:rFonts w:hint="eastAsia"/>
                <w:snapToGrid w:val="0"/>
                <w:szCs w:val="21"/>
              </w:rPr>
              <w:t>353.66</w:t>
            </w:r>
            <w:r w:rsidRPr="00927E76">
              <w:rPr>
                <w:snapToGrid w:val="0"/>
                <w:szCs w:val="21"/>
              </w:rPr>
              <w:t>,Y</w:t>
            </w:r>
            <w:r w:rsidRPr="00927E76">
              <w:rPr>
                <w:rFonts w:hint="eastAsia"/>
                <w:snapToGrid w:val="0"/>
                <w:szCs w:val="21"/>
              </w:rPr>
              <w:t>-27.94</w:t>
            </w:r>
            <w:r w:rsidRPr="00927E76">
              <w:rPr>
                <w:snapToGrid w:val="0"/>
                <w:szCs w:val="21"/>
              </w:rPr>
              <w:t>)</w:t>
            </w:r>
            <w:r w:rsidRPr="00927E76">
              <w:rPr>
                <w:rFonts w:hint="eastAsia"/>
                <w:snapToGrid w:val="0"/>
                <w:szCs w:val="21"/>
              </w:rPr>
              <w:t>-</w:t>
            </w:r>
            <w:r w:rsidRPr="00927E76">
              <w:rPr>
                <w:snapToGrid w:val="0"/>
                <w:szCs w:val="21"/>
              </w:rPr>
              <w:t>(X</w:t>
            </w:r>
            <w:r w:rsidRPr="00927E76">
              <w:rPr>
                <w:rFonts w:hint="eastAsia"/>
                <w:snapToGrid w:val="0"/>
                <w:szCs w:val="21"/>
              </w:rPr>
              <w:t>385.03</w:t>
            </w:r>
            <w:r w:rsidRPr="00927E76">
              <w:rPr>
                <w:snapToGrid w:val="0"/>
                <w:szCs w:val="21"/>
              </w:rPr>
              <w:t>,Y</w:t>
            </w:r>
            <w:r w:rsidRPr="00927E76">
              <w:rPr>
                <w:rFonts w:hint="eastAsia"/>
                <w:snapToGrid w:val="0"/>
                <w:szCs w:val="21"/>
              </w:rPr>
              <w:t>63.27</w:t>
            </w:r>
            <w:r w:rsidRPr="00927E76">
              <w:rPr>
                <w:snapToGrid w:val="0"/>
                <w:szCs w:val="21"/>
              </w:rPr>
              <w:t>)</w:t>
            </w:r>
          </w:p>
        </w:tc>
        <w:tc>
          <w:tcPr>
            <w:tcW w:w="2322" w:type="dxa"/>
            <w:vAlign w:val="center"/>
          </w:tcPr>
          <w:p w:rsidR="00C223F5" w:rsidRPr="00927E76" w:rsidRDefault="005860D5">
            <w:pPr>
              <w:jc w:val="center"/>
              <w:rPr>
                <w:snapToGrid w:val="0"/>
                <w:szCs w:val="21"/>
              </w:rPr>
            </w:pPr>
            <w:r w:rsidRPr="00927E76">
              <w:rPr>
                <w:rFonts w:hint="eastAsia"/>
                <w:snapToGrid w:val="0"/>
                <w:szCs w:val="21"/>
              </w:rPr>
              <w:t>斜</w:t>
            </w:r>
            <w:r w:rsidRPr="00927E76">
              <w:rPr>
                <w:snapToGrid w:val="0"/>
                <w:szCs w:val="21"/>
              </w:rPr>
              <w:t>长</w:t>
            </w:r>
            <w:r w:rsidRPr="00927E76">
              <w:rPr>
                <w:rFonts w:hint="eastAsia"/>
                <w:snapToGrid w:val="0"/>
                <w:szCs w:val="21"/>
              </w:rPr>
              <w:t>93m</w:t>
            </w:r>
            <w:r w:rsidRPr="00927E76">
              <w:rPr>
                <w:rFonts w:hint="eastAsia"/>
                <w:snapToGrid w:val="0"/>
                <w:szCs w:val="21"/>
              </w:rPr>
              <w:t>，</w:t>
            </w:r>
            <w:r w:rsidRPr="00927E76">
              <w:rPr>
                <w:rFonts w:cs="Arial" w:hint="eastAsia"/>
                <w:szCs w:val="21"/>
              </w:rPr>
              <w:t>钢筋砼框架</w:t>
            </w:r>
          </w:p>
        </w:tc>
      </w:tr>
      <w:bookmarkEnd w:id="406"/>
    </w:tbl>
    <w:p w:rsidR="00C223F5" w:rsidRPr="00927E76" w:rsidRDefault="00C223F5">
      <w:pPr>
        <w:spacing w:line="360" w:lineRule="auto"/>
        <w:ind w:firstLine="480"/>
        <w:rPr>
          <w:spacing w:val="-4"/>
          <w:kern w:val="0"/>
          <w:sz w:val="24"/>
        </w:rPr>
        <w:sectPr w:rsidR="00C223F5" w:rsidRPr="00927E76">
          <w:pgSz w:w="16840" w:h="11907" w:orient="landscape"/>
          <w:pgMar w:top="1701" w:right="1440" w:bottom="1701" w:left="1440" w:header="851" w:footer="992" w:gutter="0"/>
          <w:cols w:space="425"/>
          <w:docGrid w:linePitch="312"/>
        </w:sectPr>
      </w:pPr>
    </w:p>
    <w:p w:rsidR="00A7553A" w:rsidRPr="00927E76" w:rsidRDefault="00A7553A" w:rsidP="00C006A7">
      <w:pPr>
        <w:spacing w:line="360" w:lineRule="auto"/>
        <w:ind w:firstLineChars="200" w:firstLine="480"/>
        <w:rPr>
          <w:sz w:val="24"/>
        </w:rPr>
      </w:pPr>
      <w:r w:rsidRPr="00927E76">
        <w:rPr>
          <w:sz w:val="24"/>
        </w:rPr>
        <w:lastRenderedPageBreak/>
        <w:t>（</w:t>
      </w:r>
      <w:r w:rsidRPr="00927E76">
        <w:rPr>
          <w:rFonts w:hint="eastAsia"/>
          <w:sz w:val="24"/>
        </w:rPr>
        <w:t>3</w:t>
      </w:r>
      <w:r w:rsidRPr="00927E76">
        <w:rPr>
          <w:sz w:val="24"/>
        </w:rPr>
        <w:t>）主要影响的声源与预测点间障碍物</w:t>
      </w:r>
    </w:p>
    <w:p w:rsidR="00A7553A" w:rsidRPr="00927E76" w:rsidRDefault="00A7553A" w:rsidP="00A7553A">
      <w:pPr>
        <w:spacing w:line="360" w:lineRule="auto"/>
        <w:ind w:firstLine="200"/>
        <w:rPr>
          <w:sz w:val="24"/>
        </w:rPr>
      </w:pPr>
      <w:r w:rsidRPr="00927E76">
        <w:rPr>
          <w:sz w:val="24"/>
        </w:rPr>
        <w:t>评价中考虑建筑物阻隔、吸声，按照《环境影响评价技术导则声环境》（</w:t>
      </w:r>
      <w:r w:rsidRPr="00927E76">
        <w:rPr>
          <w:sz w:val="24"/>
        </w:rPr>
        <w:t>HJ2.4-2009</w:t>
      </w:r>
      <w:r w:rsidRPr="00927E76">
        <w:rPr>
          <w:sz w:val="24"/>
        </w:rPr>
        <w:t>）给出的计算模式参与噪声等值线计算，考虑</w:t>
      </w:r>
      <w:r w:rsidRPr="00927E76">
        <w:rPr>
          <w:rFonts w:hint="eastAsia"/>
          <w:sz w:val="24"/>
        </w:rPr>
        <w:t>设计及环评提出的防噪措施和工业场地</w:t>
      </w:r>
      <w:r w:rsidRPr="00927E76">
        <w:rPr>
          <w:sz w:val="24"/>
        </w:rPr>
        <w:t>各厂界</w:t>
      </w:r>
      <w:r w:rsidRPr="00927E76">
        <w:rPr>
          <w:sz w:val="24"/>
        </w:rPr>
        <w:t>2.</w:t>
      </w:r>
      <w:r w:rsidRPr="00927E76">
        <w:rPr>
          <w:rFonts w:hint="eastAsia"/>
          <w:sz w:val="24"/>
        </w:rPr>
        <w:t>5</w:t>
      </w:r>
      <w:r w:rsidRPr="00927E76">
        <w:rPr>
          <w:sz w:val="24"/>
        </w:rPr>
        <w:t>m</w:t>
      </w:r>
      <w:r w:rsidRPr="00927E76">
        <w:rPr>
          <w:sz w:val="24"/>
        </w:rPr>
        <w:t>高围墙</w:t>
      </w:r>
      <w:r w:rsidRPr="00927E76">
        <w:rPr>
          <w:rFonts w:hint="eastAsia"/>
          <w:sz w:val="24"/>
        </w:rPr>
        <w:t>（隔声量大于</w:t>
      </w:r>
      <w:r w:rsidRPr="00927E76">
        <w:rPr>
          <w:rFonts w:hint="eastAsia"/>
          <w:sz w:val="24"/>
        </w:rPr>
        <w:t>15dB(A)</w:t>
      </w:r>
      <w:r w:rsidRPr="00927E76">
        <w:rPr>
          <w:rFonts w:hint="eastAsia"/>
          <w:sz w:val="24"/>
        </w:rPr>
        <w:t>）、工业场地北厂界紧邻的高差约</w:t>
      </w:r>
      <w:r w:rsidRPr="00927E76">
        <w:rPr>
          <w:rFonts w:hint="eastAsia"/>
          <w:sz w:val="24"/>
        </w:rPr>
        <w:t>10m</w:t>
      </w:r>
      <w:r w:rsidRPr="00927E76">
        <w:rPr>
          <w:rFonts w:hint="eastAsia"/>
          <w:sz w:val="24"/>
        </w:rPr>
        <w:t>的山体的</w:t>
      </w:r>
      <w:r w:rsidRPr="00927E76">
        <w:rPr>
          <w:sz w:val="24"/>
        </w:rPr>
        <w:t>隔声作用</w:t>
      </w:r>
      <w:r w:rsidRPr="00927E76">
        <w:rPr>
          <w:rFonts w:hint="eastAsia"/>
          <w:sz w:val="24"/>
        </w:rPr>
        <w:t>，</w:t>
      </w:r>
      <w:r w:rsidRPr="00927E76">
        <w:rPr>
          <w:sz w:val="24"/>
        </w:rPr>
        <w:t>从传播途径减少厂外噪声影响。</w:t>
      </w:r>
    </w:p>
    <w:p w:rsidR="00A7553A" w:rsidRPr="00927E76" w:rsidRDefault="00A7553A" w:rsidP="00A7553A">
      <w:pPr>
        <w:spacing w:line="360" w:lineRule="auto"/>
        <w:ind w:firstLineChars="200" w:firstLine="480"/>
        <w:rPr>
          <w:sz w:val="24"/>
        </w:rPr>
      </w:pPr>
      <w:r w:rsidRPr="00927E76">
        <w:rPr>
          <w:sz w:val="24"/>
        </w:rPr>
        <w:t>（</w:t>
      </w:r>
      <w:r w:rsidRPr="00927E76">
        <w:rPr>
          <w:rFonts w:hint="eastAsia"/>
          <w:sz w:val="24"/>
        </w:rPr>
        <w:t>4</w:t>
      </w:r>
      <w:r w:rsidRPr="00927E76">
        <w:rPr>
          <w:sz w:val="24"/>
        </w:rPr>
        <w:t>）主要影响的声源与预测点间土地利用情况</w:t>
      </w:r>
    </w:p>
    <w:p w:rsidR="00A7553A" w:rsidRPr="00927E76" w:rsidRDefault="00A7553A" w:rsidP="00A7553A">
      <w:pPr>
        <w:spacing w:line="360" w:lineRule="auto"/>
        <w:ind w:firstLine="200"/>
        <w:rPr>
          <w:sz w:val="24"/>
        </w:rPr>
      </w:pPr>
      <w:r w:rsidRPr="00927E76">
        <w:rPr>
          <w:rFonts w:hint="eastAsia"/>
          <w:sz w:val="24"/>
        </w:rPr>
        <w:t>声源与厂界之间主要为水泥硬地场、绿化设施和厂界。</w:t>
      </w:r>
    </w:p>
    <w:p w:rsidR="00A7553A" w:rsidRPr="00927E76" w:rsidRDefault="00A7553A" w:rsidP="004835BD">
      <w:pPr>
        <w:pStyle w:val="4"/>
        <w:spacing w:before="0" w:after="0" w:line="360" w:lineRule="auto"/>
        <w:ind w:firstLineChars="100" w:firstLine="240"/>
        <w:rPr>
          <w:szCs w:val="24"/>
        </w:rPr>
      </w:pPr>
      <w:bookmarkStart w:id="407" w:name="_Toc474316608"/>
      <w:bookmarkStart w:id="408" w:name="_Toc488660718"/>
      <w:r w:rsidRPr="00927E76">
        <w:rPr>
          <w:rFonts w:hint="eastAsia"/>
          <w:szCs w:val="24"/>
        </w:rPr>
        <w:t>4.2.5.4</w:t>
      </w:r>
      <w:r w:rsidRPr="00927E76">
        <w:rPr>
          <w:rFonts w:hint="eastAsia"/>
          <w:szCs w:val="24"/>
        </w:rPr>
        <w:t>预测结果及分析</w:t>
      </w:r>
      <w:bookmarkEnd w:id="407"/>
      <w:bookmarkEnd w:id="408"/>
    </w:p>
    <w:p w:rsidR="00A7553A" w:rsidRPr="00927E76" w:rsidRDefault="00A7553A" w:rsidP="00A7553A">
      <w:pPr>
        <w:spacing w:line="360" w:lineRule="auto"/>
        <w:ind w:firstLineChars="200" w:firstLine="480"/>
        <w:rPr>
          <w:sz w:val="24"/>
        </w:rPr>
      </w:pPr>
      <w:r w:rsidRPr="00927E76">
        <w:rPr>
          <w:rFonts w:hint="eastAsia"/>
          <w:sz w:val="24"/>
        </w:rPr>
        <w:t>（</w:t>
      </w:r>
      <w:r w:rsidRPr="00927E76">
        <w:rPr>
          <w:rFonts w:hint="eastAsia"/>
          <w:sz w:val="24"/>
        </w:rPr>
        <w:t>1</w:t>
      </w:r>
      <w:r w:rsidRPr="00927E76">
        <w:rPr>
          <w:rFonts w:hint="eastAsia"/>
          <w:sz w:val="24"/>
        </w:rPr>
        <w:t>）工业场地噪声</w:t>
      </w:r>
      <w:r w:rsidRPr="00927E76">
        <w:rPr>
          <w:sz w:val="24"/>
        </w:rPr>
        <w:t>预测结果</w:t>
      </w:r>
    </w:p>
    <w:p w:rsidR="00A7553A" w:rsidRPr="00927E76" w:rsidRDefault="00A7553A" w:rsidP="00A7553A">
      <w:pPr>
        <w:adjustRightInd w:val="0"/>
        <w:snapToGrid w:val="0"/>
        <w:spacing w:line="360" w:lineRule="auto"/>
        <w:ind w:firstLineChars="200" w:firstLine="480"/>
        <w:rPr>
          <w:sz w:val="24"/>
          <w:szCs w:val="22"/>
        </w:rPr>
      </w:pPr>
      <w:r w:rsidRPr="00927E76">
        <w:rPr>
          <w:rFonts w:hint="eastAsia"/>
          <w:sz w:val="24"/>
          <w:szCs w:val="22"/>
        </w:rPr>
        <w:t>本项目工业场地主要噪声源在采取防噪措施的情况下，对厂界最大贡献值及敏感点预测值见表</w:t>
      </w:r>
      <w:r w:rsidRPr="00927E76">
        <w:rPr>
          <w:rFonts w:hint="eastAsia"/>
          <w:sz w:val="24"/>
          <w:szCs w:val="22"/>
        </w:rPr>
        <w:t>4.2.5-3</w:t>
      </w:r>
      <w:r w:rsidRPr="00927E76">
        <w:rPr>
          <w:rFonts w:hint="eastAsia"/>
          <w:sz w:val="24"/>
          <w:szCs w:val="22"/>
        </w:rPr>
        <w:t>，昼夜噪声等值线分布情况见图</w:t>
      </w:r>
      <w:r w:rsidRPr="00927E76">
        <w:rPr>
          <w:rFonts w:hint="eastAsia"/>
          <w:sz w:val="24"/>
          <w:szCs w:val="22"/>
        </w:rPr>
        <w:t>4.2.5-1</w:t>
      </w:r>
      <w:r w:rsidRPr="00927E76">
        <w:rPr>
          <w:rFonts w:hint="eastAsia"/>
          <w:sz w:val="24"/>
          <w:szCs w:val="22"/>
        </w:rPr>
        <w:t>。</w:t>
      </w:r>
    </w:p>
    <w:p w:rsidR="007F4D48" w:rsidRPr="00855FBF" w:rsidRDefault="007F4D48" w:rsidP="007F4D48">
      <w:pPr>
        <w:adjustRightInd w:val="0"/>
        <w:snapToGrid w:val="0"/>
        <w:jc w:val="center"/>
        <w:rPr>
          <w:b/>
          <w:sz w:val="40"/>
          <w:szCs w:val="28"/>
        </w:rPr>
      </w:pPr>
      <w:r w:rsidRPr="00855FBF">
        <w:rPr>
          <w:b/>
          <w:sz w:val="24"/>
          <w:szCs w:val="32"/>
        </w:rPr>
        <w:t>表</w:t>
      </w:r>
      <w:r w:rsidRPr="00855FBF">
        <w:rPr>
          <w:rFonts w:hint="eastAsia"/>
          <w:b/>
          <w:sz w:val="24"/>
          <w:szCs w:val="32"/>
        </w:rPr>
        <w:t xml:space="preserve">4.2.5-3   </w:t>
      </w:r>
      <w:r w:rsidRPr="00855FBF">
        <w:rPr>
          <w:b/>
          <w:sz w:val="24"/>
          <w:szCs w:val="32"/>
        </w:rPr>
        <w:t>工业场地厂界噪声贡献值</w:t>
      </w:r>
      <w:r w:rsidRPr="00855FBF">
        <w:rPr>
          <w:b/>
          <w:szCs w:val="21"/>
        </w:rPr>
        <w:t>单位：</w:t>
      </w:r>
      <w:r w:rsidRPr="00855FBF">
        <w:rPr>
          <w:b/>
          <w:szCs w:val="21"/>
        </w:rPr>
        <w:t>dB</w:t>
      </w:r>
      <w:r w:rsidRPr="00855FBF">
        <w:rPr>
          <w:rFonts w:hint="eastAsia"/>
          <w:b/>
          <w:szCs w:val="21"/>
        </w:rPr>
        <w:t>(</w:t>
      </w:r>
      <w:r w:rsidRPr="00855FBF">
        <w:rPr>
          <w:b/>
          <w:szCs w:val="21"/>
        </w:rPr>
        <w:t>A</w:t>
      </w:r>
      <w:r w:rsidRPr="00855FBF">
        <w:rPr>
          <w:rFonts w:hint="eastAsia"/>
          <w:b/>
          <w:szCs w:val="21"/>
        </w:rPr>
        <w:t>)</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27"/>
        <w:gridCol w:w="1860"/>
        <w:gridCol w:w="782"/>
        <w:gridCol w:w="782"/>
        <w:gridCol w:w="782"/>
        <w:gridCol w:w="782"/>
        <w:gridCol w:w="782"/>
        <w:gridCol w:w="782"/>
        <w:gridCol w:w="782"/>
      </w:tblGrid>
      <w:tr w:rsidR="007F4D48" w:rsidTr="004835BD">
        <w:trPr>
          <w:trHeight w:val="561"/>
          <w:jc w:val="center"/>
        </w:trPr>
        <w:tc>
          <w:tcPr>
            <w:tcW w:w="3087" w:type="dxa"/>
            <w:gridSpan w:val="2"/>
            <w:tcBorders>
              <w:tl2br w:val="single" w:sz="4" w:space="0" w:color="auto"/>
            </w:tcBorders>
            <w:vAlign w:val="center"/>
          </w:tcPr>
          <w:p w:rsidR="007F4D48" w:rsidRDefault="007F4D48" w:rsidP="004835BD">
            <w:pPr>
              <w:adjustRightInd w:val="0"/>
              <w:snapToGrid w:val="0"/>
              <w:jc w:val="center"/>
              <w:rPr>
                <w:szCs w:val="21"/>
              </w:rPr>
            </w:pPr>
            <w:r>
              <w:rPr>
                <w:rFonts w:hint="eastAsia"/>
                <w:szCs w:val="21"/>
              </w:rPr>
              <w:t xml:space="preserve">                 </w:t>
            </w:r>
            <w:r>
              <w:rPr>
                <w:rFonts w:hint="eastAsia"/>
                <w:szCs w:val="21"/>
              </w:rPr>
              <w:t>项目</w:t>
            </w:r>
          </w:p>
          <w:p w:rsidR="007F4D48" w:rsidRDefault="007F4D48" w:rsidP="004835BD">
            <w:pPr>
              <w:adjustRightInd w:val="0"/>
              <w:snapToGrid w:val="0"/>
              <w:jc w:val="left"/>
              <w:rPr>
                <w:szCs w:val="21"/>
              </w:rPr>
            </w:pPr>
            <w:r>
              <w:rPr>
                <w:rFonts w:hint="eastAsia"/>
                <w:szCs w:val="21"/>
              </w:rPr>
              <w:t xml:space="preserve">  </w:t>
            </w:r>
            <w:r>
              <w:rPr>
                <w:rFonts w:hint="eastAsia"/>
                <w:szCs w:val="21"/>
              </w:rPr>
              <w:t>预测结果</w:t>
            </w:r>
          </w:p>
        </w:tc>
        <w:tc>
          <w:tcPr>
            <w:tcW w:w="782" w:type="dxa"/>
            <w:vAlign w:val="center"/>
          </w:tcPr>
          <w:p w:rsidR="007F4D48" w:rsidRDefault="007F4D48" w:rsidP="004835BD">
            <w:pPr>
              <w:adjustRightInd w:val="0"/>
              <w:snapToGrid w:val="0"/>
              <w:jc w:val="center"/>
              <w:rPr>
                <w:szCs w:val="21"/>
              </w:rPr>
            </w:pPr>
            <w:r>
              <w:rPr>
                <w:rFonts w:hint="eastAsia"/>
                <w:szCs w:val="21"/>
              </w:rPr>
              <w:t>东厂界</w:t>
            </w:r>
          </w:p>
        </w:tc>
        <w:tc>
          <w:tcPr>
            <w:tcW w:w="782" w:type="dxa"/>
            <w:vAlign w:val="center"/>
          </w:tcPr>
          <w:p w:rsidR="007F4D48" w:rsidRDefault="007F4D48" w:rsidP="004835BD">
            <w:pPr>
              <w:adjustRightInd w:val="0"/>
              <w:snapToGrid w:val="0"/>
              <w:jc w:val="center"/>
              <w:rPr>
                <w:szCs w:val="21"/>
              </w:rPr>
            </w:pPr>
            <w:r>
              <w:rPr>
                <w:rFonts w:hint="eastAsia"/>
                <w:szCs w:val="21"/>
              </w:rPr>
              <w:t>南厂界</w:t>
            </w:r>
          </w:p>
        </w:tc>
        <w:tc>
          <w:tcPr>
            <w:tcW w:w="782" w:type="dxa"/>
            <w:vAlign w:val="center"/>
          </w:tcPr>
          <w:p w:rsidR="007F4D48" w:rsidRDefault="007F4D48" w:rsidP="004835BD">
            <w:pPr>
              <w:adjustRightInd w:val="0"/>
              <w:snapToGrid w:val="0"/>
              <w:jc w:val="center"/>
              <w:rPr>
                <w:szCs w:val="21"/>
              </w:rPr>
            </w:pPr>
            <w:r>
              <w:rPr>
                <w:rFonts w:hint="eastAsia"/>
                <w:szCs w:val="21"/>
              </w:rPr>
              <w:t>西厂界</w:t>
            </w:r>
          </w:p>
        </w:tc>
        <w:tc>
          <w:tcPr>
            <w:tcW w:w="782" w:type="dxa"/>
            <w:vAlign w:val="center"/>
          </w:tcPr>
          <w:p w:rsidR="007F4D48" w:rsidRDefault="007F4D48" w:rsidP="004835BD">
            <w:pPr>
              <w:adjustRightInd w:val="0"/>
              <w:snapToGrid w:val="0"/>
              <w:jc w:val="center"/>
              <w:rPr>
                <w:szCs w:val="21"/>
              </w:rPr>
            </w:pPr>
            <w:r>
              <w:rPr>
                <w:rFonts w:hint="eastAsia"/>
                <w:szCs w:val="21"/>
              </w:rPr>
              <w:t>北厂界</w:t>
            </w:r>
          </w:p>
        </w:tc>
        <w:tc>
          <w:tcPr>
            <w:tcW w:w="782" w:type="dxa"/>
            <w:vAlign w:val="center"/>
          </w:tcPr>
          <w:p w:rsidR="007F4D48" w:rsidRDefault="007F4D48" w:rsidP="004835BD">
            <w:pPr>
              <w:adjustRightInd w:val="0"/>
              <w:snapToGrid w:val="0"/>
              <w:jc w:val="center"/>
              <w:rPr>
                <w:szCs w:val="21"/>
              </w:rPr>
            </w:pPr>
            <w:r>
              <w:rPr>
                <w:rFonts w:hint="eastAsia"/>
                <w:color w:val="FF0000"/>
                <w:szCs w:val="21"/>
              </w:rPr>
              <w:t>念枣坪村</w:t>
            </w:r>
          </w:p>
        </w:tc>
        <w:tc>
          <w:tcPr>
            <w:tcW w:w="782" w:type="dxa"/>
            <w:vAlign w:val="center"/>
          </w:tcPr>
          <w:p w:rsidR="007F4D48" w:rsidRDefault="007F4D48" w:rsidP="004835BD">
            <w:pPr>
              <w:adjustRightInd w:val="0"/>
              <w:snapToGrid w:val="0"/>
              <w:jc w:val="center"/>
              <w:rPr>
                <w:color w:val="FF0000"/>
                <w:szCs w:val="21"/>
              </w:rPr>
            </w:pPr>
            <w:r>
              <w:rPr>
                <w:rFonts w:hAnsi="宋体"/>
                <w:color w:val="FF0000"/>
                <w:szCs w:val="21"/>
              </w:rPr>
              <w:t>施阳台</w:t>
            </w:r>
            <w:r>
              <w:rPr>
                <w:rFonts w:hAnsi="宋体" w:hint="eastAsia"/>
                <w:color w:val="FF0000"/>
                <w:szCs w:val="21"/>
              </w:rPr>
              <w:t>组</w:t>
            </w:r>
          </w:p>
        </w:tc>
        <w:tc>
          <w:tcPr>
            <w:tcW w:w="782" w:type="dxa"/>
            <w:vAlign w:val="center"/>
          </w:tcPr>
          <w:p w:rsidR="007F4D48" w:rsidRDefault="007F4D48" w:rsidP="004835BD">
            <w:pPr>
              <w:adjustRightInd w:val="0"/>
              <w:snapToGrid w:val="0"/>
              <w:jc w:val="center"/>
              <w:rPr>
                <w:color w:val="FF0000"/>
                <w:szCs w:val="21"/>
              </w:rPr>
            </w:pPr>
            <w:r>
              <w:rPr>
                <w:rFonts w:hAnsi="宋体" w:hint="eastAsia"/>
                <w:color w:val="FF0000"/>
                <w:szCs w:val="21"/>
              </w:rPr>
              <w:t>施阳台小学</w:t>
            </w:r>
          </w:p>
        </w:tc>
      </w:tr>
      <w:tr w:rsidR="007F4D48" w:rsidTr="004835BD">
        <w:trPr>
          <w:trHeight w:val="258"/>
          <w:jc w:val="center"/>
        </w:trPr>
        <w:tc>
          <w:tcPr>
            <w:tcW w:w="1227" w:type="dxa"/>
            <w:vMerge w:val="restart"/>
            <w:vAlign w:val="center"/>
          </w:tcPr>
          <w:p w:rsidR="007F4D48" w:rsidRDefault="007F4D48" w:rsidP="004835BD">
            <w:pPr>
              <w:adjustRightInd w:val="0"/>
              <w:snapToGrid w:val="0"/>
              <w:jc w:val="center"/>
              <w:rPr>
                <w:szCs w:val="21"/>
              </w:rPr>
            </w:pPr>
            <w:r>
              <w:rPr>
                <w:szCs w:val="21"/>
              </w:rPr>
              <w:t>贡献值</w:t>
            </w:r>
          </w:p>
        </w:tc>
        <w:tc>
          <w:tcPr>
            <w:tcW w:w="1860" w:type="dxa"/>
            <w:vAlign w:val="center"/>
          </w:tcPr>
          <w:p w:rsidR="007F4D48" w:rsidRDefault="007F4D48" w:rsidP="004835BD">
            <w:pPr>
              <w:adjustRightInd w:val="0"/>
              <w:snapToGrid w:val="0"/>
              <w:jc w:val="center"/>
              <w:rPr>
                <w:szCs w:val="21"/>
              </w:rPr>
            </w:pPr>
            <w:r>
              <w:rPr>
                <w:szCs w:val="21"/>
              </w:rPr>
              <w:t>昼间最大</w:t>
            </w:r>
          </w:p>
        </w:tc>
        <w:tc>
          <w:tcPr>
            <w:tcW w:w="782" w:type="dxa"/>
            <w:vAlign w:val="center"/>
          </w:tcPr>
          <w:p w:rsidR="007F4D48" w:rsidRDefault="007F4D48" w:rsidP="004835BD">
            <w:pPr>
              <w:adjustRightInd w:val="0"/>
              <w:snapToGrid w:val="0"/>
              <w:jc w:val="center"/>
              <w:rPr>
                <w:szCs w:val="21"/>
              </w:rPr>
            </w:pPr>
            <w:r>
              <w:rPr>
                <w:rFonts w:hint="eastAsia"/>
                <w:szCs w:val="21"/>
              </w:rPr>
              <w:t>46</w:t>
            </w:r>
          </w:p>
        </w:tc>
        <w:tc>
          <w:tcPr>
            <w:tcW w:w="782" w:type="dxa"/>
            <w:vAlign w:val="center"/>
          </w:tcPr>
          <w:p w:rsidR="007F4D48" w:rsidRDefault="007F4D48" w:rsidP="004835BD">
            <w:pPr>
              <w:adjustRightInd w:val="0"/>
              <w:snapToGrid w:val="0"/>
              <w:jc w:val="center"/>
              <w:rPr>
                <w:szCs w:val="21"/>
              </w:rPr>
            </w:pPr>
            <w:r>
              <w:rPr>
                <w:rFonts w:hint="eastAsia"/>
                <w:szCs w:val="21"/>
              </w:rPr>
              <w:t>46</w:t>
            </w:r>
          </w:p>
        </w:tc>
        <w:tc>
          <w:tcPr>
            <w:tcW w:w="782" w:type="dxa"/>
            <w:vAlign w:val="center"/>
          </w:tcPr>
          <w:p w:rsidR="007F4D48" w:rsidRDefault="007F4D48" w:rsidP="004835BD">
            <w:pPr>
              <w:adjustRightInd w:val="0"/>
              <w:snapToGrid w:val="0"/>
              <w:jc w:val="center"/>
              <w:rPr>
                <w:szCs w:val="21"/>
              </w:rPr>
            </w:pPr>
            <w:r>
              <w:rPr>
                <w:rFonts w:hint="eastAsia"/>
                <w:szCs w:val="21"/>
              </w:rPr>
              <w:t>31</w:t>
            </w:r>
          </w:p>
        </w:tc>
        <w:tc>
          <w:tcPr>
            <w:tcW w:w="782" w:type="dxa"/>
            <w:vAlign w:val="center"/>
          </w:tcPr>
          <w:p w:rsidR="007F4D48" w:rsidRDefault="007F4D48" w:rsidP="004835BD">
            <w:pPr>
              <w:adjustRightInd w:val="0"/>
              <w:snapToGrid w:val="0"/>
              <w:jc w:val="center"/>
              <w:rPr>
                <w:szCs w:val="21"/>
              </w:rPr>
            </w:pPr>
            <w:r>
              <w:rPr>
                <w:rFonts w:hint="eastAsia"/>
                <w:szCs w:val="21"/>
              </w:rPr>
              <w:t>43</w:t>
            </w:r>
          </w:p>
        </w:tc>
        <w:tc>
          <w:tcPr>
            <w:tcW w:w="782" w:type="dxa"/>
            <w:vAlign w:val="center"/>
          </w:tcPr>
          <w:p w:rsidR="007F4D48" w:rsidRDefault="007F4D48" w:rsidP="004835BD">
            <w:pPr>
              <w:adjustRightInd w:val="0"/>
              <w:snapToGrid w:val="0"/>
              <w:jc w:val="center"/>
              <w:rPr>
                <w:szCs w:val="21"/>
              </w:rPr>
            </w:pPr>
            <w:r>
              <w:rPr>
                <w:rFonts w:hint="eastAsia"/>
                <w:szCs w:val="21"/>
              </w:rPr>
              <w:t>42</w:t>
            </w:r>
          </w:p>
        </w:tc>
        <w:tc>
          <w:tcPr>
            <w:tcW w:w="782" w:type="dxa"/>
            <w:vAlign w:val="center"/>
          </w:tcPr>
          <w:p w:rsidR="007F4D48" w:rsidRDefault="00525F44" w:rsidP="004835BD">
            <w:pPr>
              <w:adjustRightInd w:val="0"/>
              <w:snapToGrid w:val="0"/>
              <w:jc w:val="center"/>
              <w:rPr>
                <w:color w:val="FF0000"/>
                <w:szCs w:val="21"/>
              </w:rPr>
            </w:pPr>
            <w:r>
              <w:rPr>
                <w:rFonts w:hint="eastAsia"/>
                <w:color w:val="FF0000"/>
                <w:szCs w:val="21"/>
              </w:rPr>
              <w:t>3</w:t>
            </w:r>
            <w:r>
              <w:rPr>
                <w:color w:val="FF0000"/>
                <w:szCs w:val="21"/>
              </w:rPr>
              <w:t>3</w:t>
            </w:r>
          </w:p>
        </w:tc>
        <w:tc>
          <w:tcPr>
            <w:tcW w:w="782" w:type="dxa"/>
            <w:vAlign w:val="center"/>
          </w:tcPr>
          <w:p w:rsidR="007F4D48" w:rsidRDefault="00525F44" w:rsidP="004835BD">
            <w:pPr>
              <w:adjustRightInd w:val="0"/>
              <w:snapToGrid w:val="0"/>
              <w:jc w:val="center"/>
              <w:rPr>
                <w:color w:val="FF0000"/>
                <w:szCs w:val="21"/>
              </w:rPr>
            </w:pPr>
            <w:r>
              <w:rPr>
                <w:rFonts w:hint="eastAsia"/>
                <w:color w:val="FF0000"/>
                <w:szCs w:val="21"/>
              </w:rPr>
              <w:t>3</w:t>
            </w:r>
            <w:r>
              <w:rPr>
                <w:color w:val="FF0000"/>
                <w:szCs w:val="21"/>
              </w:rPr>
              <w:t>2</w:t>
            </w:r>
          </w:p>
        </w:tc>
      </w:tr>
      <w:tr w:rsidR="007F4D48" w:rsidTr="004835BD">
        <w:trPr>
          <w:trHeight w:val="263"/>
          <w:jc w:val="center"/>
        </w:trPr>
        <w:tc>
          <w:tcPr>
            <w:tcW w:w="1227" w:type="dxa"/>
            <w:vMerge/>
            <w:vAlign w:val="center"/>
          </w:tcPr>
          <w:p w:rsidR="007F4D48" w:rsidRDefault="007F4D48" w:rsidP="004835BD">
            <w:pPr>
              <w:adjustRightInd w:val="0"/>
              <w:snapToGrid w:val="0"/>
              <w:jc w:val="center"/>
              <w:rPr>
                <w:szCs w:val="21"/>
              </w:rPr>
            </w:pPr>
          </w:p>
        </w:tc>
        <w:tc>
          <w:tcPr>
            <w:tcW w:w="1860" w:type="dxa"/>
            <w:vAlign w:val="center"/>
          </w:tcPr>
          <w:p w:rsidR="007F4D48" w:rsidRDefault="007F4D48" w:rsidP="004835BD">
            <w:pPr>
              <w:adjustRightInd w:val="0"/>
              <w:snapToGrid w:val="0"/>
              <w:jc w:val="center"/>
              <w:rPr>
                <w:szCs w:val="21"/>
              </w:rPr>
            </w:pPr>
            <w:r>
              <w:rPr>
                <w:szCs w:val="21"/>
              </w:rPr>
              <w:t>夜间最大</w:t>
            </w:r>
          </w:p>
        </w:tc>
        <w:tc>
          <w:tcPr>
            <w:tcW w:w="782" w:type="dxa"/>
            <w:vAlign w:val="center"/>
          </w:tcPr>
          <w:p w:rsidR="007F4D48" w:rsidRDefault="007F4D48" w:rsidP="004835BD">
            <w:pPr>
              <w:adjustRightInd w:val="0"/>
              <w:snapToGrid w:val="0"/>
              <w:jc w:val="center"/>
              <w:rPr>
                <w:szCs w:val="21"/>
              </w:rPr>
            </w:pPr>
            <w:r>
              <w:rPr>
                <w:rFonts w:hint="eastAsia"/>
                <w:szCs w:val="21"/>
              </w:rPr>
              <w:t>46</w:t>
            </w:r>
          </w:p>
        </w:tc>
        <w:tc>
          <w:tcPr>
            <w:tcW w:w="782" w:type="dxa"/>
            <w:vAlign w:val="center"/>
          </w:tcPr>
          <w:p w:rsidR="007F4D48" w:rsidRDefault="007F4D48" w:rsidP="004835BD">
            <w:pPr>
              <w:adjustRightInd w:val="0"/>
              <w:snapToGrid w:val="0"/>
              <w:jc w:val="center"/>
              <w:rPr>
                <w:szCs w:val="21"/>
              </w:rPr>
            </w:pPr>
            <w:r>
              <w:rPr>
                <w:rFonts w:hint="eastAsia"/>
                <w:szCs w:val="21"/>
              </w:rPr>
              <w:t>46</w:t>
            </w:r>
          </w:p>
        </w:tc>
        <w:tc>
          <w:tcPr>
            <w:tcW w:w="782" w:type="dxa"/>
            <w:vAlign w:val="center"/>
          </w:tcPr>
          <w:p w:rsidR="007F4D48" w:rsidRDefault="007F4D48" w:rsidP="004835BD">
            <w:pPr>
              <w:adjustRightInd w:val="0"/>
              <w:snapToGrid w:val="0"/>
              <w:jc w:val="center"/>
              <w:rPr>
                <w:szCs w:val="21"/>
              </w:rPr>
            </w:pPr>
            <w:r>
              <w:rPr>
                <w:rFonts w:hint="eastAsia"/>
                <w:szCs w:val="21"/>
              </w:rPr>
              <w:t>31</w:t>
            </w:r>
          </w:p>
        </w:tc>
        <w:tc>
          <w:tcPr>
            <w:tcW w:w="782" w:type="dxa"/>
            <w:vAlign w:val="center"/>
          </w:tcPr>
          <w:p w:rsidR="007F4D48" w:rsidRDefault="007F4D48" w:rsidP="004835BD">
            <w:pPr>
              <w:adjustRightInd w:val="0"/>
              <w:snapToGrid w:val="0"/>
              <w:jc w:val="center"/>
              <w:rPr>
                <w:szCs w:val="21"/>
              </w:rPr>
            </w:pPr>
            <w:r>
              <w:rPr>
                <w:rFonts w:hint="eastAsia"/>
                <w:szCs w:val="21"/>
              </w:rPr>
              <w:t>43</w:t>
            </w:r>
          </w:p>
        </w:tc>
        <w:tc>
          <w:tcPr>
            <w:tcW w:w="782" w:type="dxa"/>
            <w:vAlign w:val="center"/>
          </w:tcPr>
          <w:p w:rsidR="007F4D48" w:rsidRDefault="007F4D48" w:rsidP="004835BD">
            <w:pPr>
              <w:adjustRightInd w:val="0"/>
              <w:snapToGrid w:val="0"/>
              <w:jc w:val="center"/>
              <w:rPr>
                <w:szCs w:val="21"/>
              </w:rPr>
            </w:pPr>
            <w:r>
              <w:rPr>
                <w:rFonts w:hint="eastAsia"/>
                <w:szCs w:val="21"/>
              </w:rPr>
              <w:t>42</w:t>
            </w:r>
          </w:p>
        </w:tc>
        <w:tc>
          <w:tcPr>
            <w:tcW w:w="782" w:type="dxa"/>
            <w:vAlign w:val="center"/>
          </w:tcPr>
          <w:p w:rsidR="007F4D48" w:rsidRDefault="00525F44" w:rsidP="004835BD">
            <w:pPr>
              <w:adjustRightInd w:val="0"/>
              <w:snapToGrid w:val="0"/>
              <w:jc w:val="center"/>
              <w:rPr>
                <w:color w:val="FF0000"/>
                <w:szCs w:val="21"/>
              </w:rPr>
            </w:pPr>
            <w:r>
              <w:rPr>
                <w:rFonts w:hint="eastAsia"/>
                <w:color w:val="FF0000"/>
                <w:szCs w:val="21"/>
              </w:rPr>
              <w:t>3</w:t>
            </w:r>
            <w:r>
              <w:rPr>
                <w:color w:val="FF0000"/>
                <w:szCs w:val="21"/>
              </w:rPr>
              <w:t>3</w:t>
            </w:r>
          </w:p>
        </w:tc>
        <w:tc>
          <w:tcPr>
            <w:tcW w:w="782" w:type="dxa"/>
            <w:vAlign w:val="center"/>
          </w:tcPr>
          <w:p w:rsidR="007F4D48" w:rsidRDefault="00525F44" w:rsidP="004835BD">
            <w:pPr>
              <w:adjustRightInd w:val="0"/>
              <w:snapToGrid w:val="0"/>
              <w:jc w:val="center"/>
              <w:rPr>
                <w:color w:val="FF0000"/>
                <w:szCs w:val="21"/>
              </w:rPr>
            </w:pPr>
            <w:r>
              <w:rPr>
                <w:rFonts w:hint="eastAsia"/>
                <w:color w:val="FF0000"/>
                <w:szCs w:val="21"/>
              </w:rPr>
              <w:t>3</w:t>
            </w:r>
            <w:r>
              <w:rPr>
                <w:color w:val="FF0000"/>
                <w:szCs w:val="21"/>
              </w:rPr>
              <w:t>2</w:t>
            </w:r>
          </w:p>
        </w:tc>
      </w:tr>
      <w:tr w:rsidR="007F4D48" w:rsidTr="004835BD">
        <w:trPr>
          <w:trHeight w:val="263"/>
          <w:jc w:val="center"/>
        </w:trPr>
        <w:tc>
          <w:tcPr>
            <w:tcW w:w="1227" w:type="dxa"/>
            <w:vMerge w:val="restart"/>
            <w:vAlign w:val="center"/>
          </w:tcPr>
          <w:p w:rsidR="007F4D48" w:rsidRDefault="007F4D48" w:rsidP="004835BD">
            <w:pPr>
              <w:adjustRightInd w:val="0"/>
              <w:snapToGrid w:val="0"/>
              <w:jc w:val="center"/>
              <w:rPr>
                <w:szCs w:val="21"/>
              </w:rPr>
            </w:pPr>
            <w:r>
              <w:rPr>
                <w:rFonts w:hint="eastAsia"/>
                <w:szCs w:val="21"/>
              </w:rPr>
              <w:t>现状监测</w:t>
            </w:r>
          </w:p>
          <w:p w:rsidR="007F4D48" w:rsidRDefault="007F4D48" w:rsidP="004835BD">
            <w:pPr>
              <w:adjustRightInd w:val="0"/>
              <w:snapToGrid w:val="0"/>
              <w:jc w:val="center"/>
              <w:rPr>
                <w:szCs w:val="21"/>
              </w:rPr>
            </w:pPr>
            <w:r>
              <w:rPr>
                <w:rFonts w:hint="eastAsia"/>
                <w:szCs w:val="21"/>
              </w:rPr>
              <w:t>结果</w:t>
            </w:r>
          </w:p>
        </w:tc>
        <w:tc>
          <w:tcPr>
            <w:tcW w:w="1860" w:type="dxa"/>
            <w:vAlign w:val="center"/>
          </w:tcPr>
          <w:p w:rsidR="007F4D48" w:rsidRDefault="007F4D48" w:rsidP="004835BD">
            <w:pPr>
              <w:adjustRightInd w:val="0"/>
              <w:snapToGrid w:val="0"/>
              <w:jc w:val="center"/>
              <w:rPr>
                <w:szCs w:val="21"/>
              </w:rPr>
            </w:pPr>
            <w:r>
              <w:rPr>
                <w:rFonts w:hint="eastAsia"/>
                <w:szCs w:val="21"/>
              </w:rPr>
              <w:t>昼间</w:t>
            </w:r>
          </w:p>
        </w:tc>
        <w:tc>
          <w:tcPr>
            <w:tcW w:w="782" w:type="dxa"/>
            <w:vAlign w:val="center"/>
          </w:tcPr>
          <w:p w:rsidR="007F4D48" w:rsidRDefault="007F4D48" w:rsidP="004835BD">
            <w:pPr>
              <w:adjustRightInd w:val="0"/>
              <w:snapToGrid w:val="0"/>
              <w:jc w:val="center"/>
              <w:rPr>
                <w:szCs w:val="21"/>
              </w:rPr>
            </w:pPr>
            <w:r>
              <w:rPr>
                <w:rFonts w:hint="eastAsia"/>
                <w:szCs w:val="21"/>
              </w:rPr>
              <w:t>44</w:t>
            </w:r>
          </w:p>
        </w:tc>
        <w:tc>
          <w:tcPr>
            <w:tcW w:w="782" w:type="dxa"/>
            <w:vAlign w:val="center"/>
          </w:tcPr>
          <w:p w:rsidR="007F4D48" w:rsidRDefault="007F4D48" w:rsidP="004835BD">
            <w:pPr>
              <w:adjustRightInd w:val="0"/>
              <w:snapToGrid w:val="0"/>
              <w:jc w:val="center"/>
              <w:rPr>
                <w:szCs w:val="21"/>
              </w:rPr>
            </w:pPr>
            <w:r>
              <w:rPr>
                <w:rFonts w:hint="eastAsia"/>
                <w:szCs w:val="21"/>
              </w:rPr>
              <w:t>46</w:t>
            </w:r>
          </w:p>
        </w:tc>
        <w:tc>
          <w:tcPr>
            <w:tcW w:w="782" w:type="dxa"/>
            <w:vAlign w:val="center"/>
          </w:tcPr>
          <w:p w:rsidR="007F4D48" w:rsidRDefault="007F4D48" w:rsidP="004835BD">
            <w:pPr>
              <w:adjustRightInd w:val="0"/>
              <w:snapToGrid w:val="0"/>
              <w:jc w:val="center"/>
              <w:rPr>
                <w:szCs w:val="21"/>
              </w:rPr>
            </w:pPr>
            <w:r>
              <w:rPr>
                <w:rFonts w:hint="eastAsia"/>
                <w:szCs w:val="21"/>
              </w:rPr>
              <w:t>44</w:t>
            </w:r>
          </w:p>
        </w:tc>
        <w:tc>
          <w:tcPr>
            <w:tcW w:w="782" w:type="dxa"/>
            <w:vAlign w:val="center"/>
          </w:tcPr>
          <w:p w:rsidR="007F4D48" w:rsidRDefault="007F4D48" w:rsidP="004835BD">
            <w:pPr>
              <w:adjustRightInd w:val="0"/>
              <w:snapToGrid w:val="0"/>
              <w:jc w:val="center"/>
              <w:rPr>
                <w:szCs w:val="21"/>
              </w:rPr>
            </w:pPr>
            <w:r>
              <w:rPr>
                <w:rFonts w:hint="eastAsia"/>
                <w:szCs w:val="21"/>
              </w:rPr>
              <w:t>43</w:t>
            </w:r>
          </w:p>
        </w:tc>
        <w:tc>
          <w:tcPr>
            <w:tcW w:w="782" w:type="dxa"/>
            <w:vAlign w:val="center"/>
          </w:tcPr>
          <w:p w:rsidR="007F4D48" w:rsidRDefault="007F4D48" w:rsidP="004835BD">
            <w:pPr>
              <w:adjustRightInd w:val="0"/>
              <w:snapToGrid w:val="0"/>
              <w:jc w:val="center"/>
              <w:rPr>
                <w:szCs w:val="21"/>
              </w:rPr>
            </w:pPr>
            <w:r>
              <w:rPr>
                <w:rFonts w:hint="eastAsia"/>
                <w:szCs w:val="21"/>
              </w:rPr>
              <w:t>45</w:t>
            </w:r>
          </w:p>
        </w:tc>
        <w:tc>
          <w:tcPr>
            <w:tcW w:w="782" w:type="dxa"/>
            <w:vAlign w:val="center"/>
          </w:tcPr>
          <w:p w:rsidR="007F4D48" w:rsidRDefault="007F4D48" w:rsidP="004835BD">
            <w:pPr>
              <w:adjustRightInd w:val="0"/>
              <w:snapToGrid w:val="0"/>
              <w:jc w:val="center"/>
              <w:rPr>
                <w:color w:val="FF0000"/>
                <w:szCs w:val="21"/>
              </w:rPr>
            </w:pPr>
            <w:r>
              <w:rPr>
                <w:rFonts w:hint="eastAsia"/>
                <w:color w:val="FF0000"/>
                <w:szCs w:val="21"/>
              </w:rPr>
              <w:t>44*</w:t>
            </w:r>
          </w:p>
        </w:tc>
        <w:tc>
          <w:tcPr>
            <w:tcW w:w="782" w:type="dxa"/>
            <w:vAlign w:val="center"/>
          </w:tcPr>
          <w:p w:rsidR="007F4D48" w:rsidRDefault="007F4D48" w:rsidP="004835BD">
            <w:pPr>
              <w:adjustRightInd w:val="0"/>
              <w:snapToGrid w:val="0"/>
              <w:jc w:val="center"/>
              <w:rPr>
                <w:color w:val="FF0000"/>
                <w:szCs w:val="21"/>
              </w:rPr>
            </w:pPr>
            <w:r>
              <w:rPr>
                <w:rFonts w:hint="eastAsia"/>
                <w:color w:val="FF0000"/>
                <w:szCs w:val="21"/>
              </w:rPr>
              <w:t>44*</w:t>
            </w:r>
          </w:p>
        </w:tc>
      </w:tr>
      <w:tr w:rsidR="007F4D48" w:rsidTr="004835BD">
        <w:trPr>
          <w:trHeight w:val="263"/>
          <w:jc w:val="center"/>
        </w:trPr>
        <w:tc>
          <w:tcPr>
            <w:tcW w:w="1227" w:type="dxa"/>
            <w:vMerge/>
            <w:vAlign w:val="center"/>
          </w:tcPr>
          <w:p w:rsidR="007F4D48" w:rsidRDefault="007F4D48" w:rsidP="004835BD">
            <w:pPr>
              <w:adjustRightInd w:val="0"/>
              <w:snapToGrid w:val="0"/>
              <w:jc w:val="center"/>
              <w:rPr>
                <w:szCs w:val="21"/>
              </w:rPr>
            </w:pPr>
          </w:p>
        </w:tc>
        <w:tc>
          <w:tcPr>
            <w:tcW w:w="1860" w:type="dxa"/>
            <w:vAlign w:val="center"/>
          </w:tcPr>
          <w:p w:rsidR="007F4D48" w:rsidRDefault="007F4D48" w:rsidP="004835BD">
            <w:pPr>
              <w:adjustRightInd w:val="0"/>
              <w:snapToGrid w:val="0"/>
              <w:jc w:val="center"/>
              <w:rPr>
                <w:szCs w:val="21"/>
              </w:rPr>
            </w:pPr>
            <w:r>
              <w:rPr>
                <w:rFonts w:hint="eastAsia"/>
                <w:szCs w:val="21"/>
              </w:rPr>
              <w:t>夜间</w:t>
            </w:r>
          </w:p>
        </w:tc>
        <w:tc>
          <w:tcPr>
            <w:tcW w:w="782" w:type="dxa"/>
            <w:vAlign w:val="center"/>
          </w:tcPr>
          <w:p w:rsidR="007F4D48" w:rsidRDefault="007F4D48" w:rsidP="004835BD">
            <w:pPr>
              <w:adjustRightInd w:val="0"/>
              <w:snapToGrid w:val="0"/>
              <w:jc w:val="center"/>
              <w:rPr>
                <w:szCs w:val="21"/>
              </w:rPr>
            </w:pPr>
            <w:r>
              <w:rPr>
                <w:rFonts w:hint="eastAsia"/>
                <w:szCs w:val="21"/>
              </w:rPr>
              <w:t>39</w:t>
            </w:r>
          </w:p>
        </w:tc>
        <w:tc>
          <w:tcPr>
            <w:tcW w:w="782" w:type="dxa"/>
            <w:vAlign w:val="center"/>
          </w:tcPr>
          <w:p w:rsidR="007F4D48" w:rsidRDefault="007F4D48" w:rsidP="004835BD">
            <w:pPr>
              <w:adjustRightInd w:val="0"/>
              <w:snapToGrid w:val="0"/>
              <w:jc w:val="center"/>
              <w:rPr>
                <w:szCs w:val="21"/>
              </w:rPr>
            </w:pPr>
            <w:r>
              <w:rPr>
                <w:rFonts w:hint="eastAsia"/>
                <w:szCs w:val="21"/>
              </w:rPr>
              <w:t>42</w:t>
            </w:r>
          </w:p>
        </w:tc>
        <w:tc>
          <w:tcPr>
            <w:tcW w:w="782" w:type="dxa"/>
            <w:vAlign w:val="center"/>
          </w:tcPr>
          <w:p w:rsidR="007F4D48" w:rsidRDefault="007F4D48" w:rsidP="004835BD">
            <w:pPr>
              <w:adjustRightInd w:val="0"/>
              <w:snapToGrid w:val="0"/>
              <w:jc w:val="center"/>
              <w:rPr>
                <w:szCs w:val="21"/>
              </w:rPr>
            </w:pPr>
            <w:r>
              <w:rPr>
                <w:rFonts w:hint="eastAsia"/>
                <w:szCs w:val="21"/>
              </w:rPr>
              <w:t>40</w:t>
            </w:r>
          </w:p>
        </w:tc>
        <w:tc>
          <w:tcPr>
            <w:tcW w:w="782" w:type="dxa"/>
            <w:vAlign w:val="center"/>
          </w:tcPr>
          <w:p w:rsidR="007F4D48" w:rsidRDefault="007F4D48" w:rsidP="004835BD">
            <w:pPr>
              <w:adjustRightInd w:val="0"/>
              <w:snapToGrid w:val="0"/>
              <w:jc w:val="center"/>
              <w:rPr>
                <w:szCs w:val="21"/>
              </w:rPr>
            </w:pPr>
            <w:r>
              <w:rPr>
                <w:rFonts w:hint="eastAsia"/>
                <w:szCs w:val="21"/>
              </w:rPr>
              <w:t>39</w:t>
            </w:r>
          </w:p>
        </w:tc>
        <w:tc>
          <w:tcPr>
            <w:tcW w:w="782" w:type="dxa"/>
            <w:vAlign w:val="center"/>
          </w:tcPr>
          <w:p w:rsidR="007F4D48" w:rsidRDefault="007F4D48" w:rsidP="004835BD">
            <w:pPr>
              <w:adjustRightInd w:val="0"/>
              <w:snapToGrid w:val="0"/>
              <w:jc w:val="center"/>
              <w:rPr>
                <w:szCs w:val="21"/>
              </w:rPr>
            </w:pPr>
            <w:r>
              <w:rPr>
                <w:rFonts w:hint="eastAsia"/>
                <w:szCs w:val="21"/>
              </w:rPr>
              <w:t>40</w:t>
            </w:r>
          </w:p>
        </w:tc>
        <w:tc>
          <w:tcPr>
            <w:tcW w:w="782" w:type="dxa"/>
            <w:vAlign w:val="center"/>
          </w:tcPr>
          <w:p w:rsidR="007F4D48" w:rsidRDefault="007F4D48" w:rsidP="004835BD">
            <w:pPr>
              <w:adjustRightInd w:val="0"/>
              <w:snapToGrid w:val="0"/>
              <w:jc w:val="center"/>
              <w:rPr>
                <w:color w:val="FF0000"/>
                <w:szCs w:val="21"/>
              </w:rPr>
            </w:pPr>
            <w:r>
              <w:rPr>
                <w:rFonts w:hint="eastAsia"/>
                <w:color w:val="FF0000"/>
                <w:szCs w:val="21"/>
              </w:rPr>
              <w:t>40*</w:t>
            </w:r>
          </w:p>
        </w:tc>
        <w:tc>
          <w:tcPr>
            <w:tcW w:w="782" w:type="dxa"/>
            <w:vAlign w:val="center"/>
          </w:tcPr>
          <w:p w:rsidR="007F4D48" w:rsidRDefault="007F4D48" w:rsidP="004835BD">
            <w:pPr>
              <w:adjustRightInd w:val="0"/>
              <w:snapToGrid w:val="0"/>
              <w:jc w:val="center"/>
              <w:rPr>
                <w:color w:val="FF0000"/>
                <w:szCs w:val="21"/>
              </w:rPr>
            </w:pPr>
            <w:r>
              <w:rPr>
                <w:rFonts w:hint="eastAsia"/>
                <w:color w:val="FF0000"/>
                <w:szCs w:val="21"/>
              </w:rPr>
              <w:t>40*</w:t>
            </w:r>
          </w:p>
        </w:tc>
      </w:tr>
      <w:tr w:rsidR="007F4D48" w:rsidTr="004835BD">
        <w:trPr>
          <w:trHeight w:val="263"/>
          <w:jc w:val="center"/>
        </w:trPr>
        <w:tc>
          <w:tcPr>
            <w:tcW w:w="1227" w:type="dxa"/>
            <w:vMerge w:val="restart"/>
            <w:vAlign w:val="center"/>
          </w:tcPr>
          <w:p w:rsidR="007F4D48" w:rsidRDefault="007F4D48" w:rsidP="004835BD">
            <w:pPr>
              <w:adjustRightInd w:val="0"/>
              <w:snapToGrid w:val="0"/>
              <w:jc w:val="center"/>
              <w:rPr>
                <w:szCs w:val="21"/>
              </w:rPr>
            </w:pPr>
            <w:r>
              <w:rPr>
                <w:rFonts w:hint="eastAsia"/>
                <w:szCs w:val="21"/>
              </w:rPr>
              <w:t>预测值</w:t>
            </w:r>
          </w:p>
        </w:tc>
        <w:tc>
          <w:tcPr>
            <w:tcW w:w="1860" w:type="dxa"/>
            <w:vAlign w:val="center"/>
          </w:tcPr>
          <w:p w:rsidR="007F4D48" w:rsidRDefault="007F4D48" w:rsidP="004835BD">
            <w:pPr>
              <w:adjustRightInd w:val="0"/>
              <w:snapToGrid w:val="0"/>
              <w:jc w:val="center"/>
              <w:rPr>
                <w:szCs w:val="21"/>
              </w:rPr>
            </w:pPr>
            <w:r>
              <w:rPr>
                <w:rFonts w:hint="eastAsia"/>
                <w:szCs w:val="21"/>
              </w:rPr>
              <w:t>昼间</w:t>
            </w:r>
          </w:p>
        </w:tc>
        <w:tc>
          <w:tcPr>
            <w:tcW w:w="782" w:type="dxa"/>
            <w:vAlign w:val="center"/>
          </w:tcPr>
          <w:p w:rsidR="007F4D48" w:rsidRDefault="007F4D48" w:rsidP="004835BD">
            <w:pPr>
              <w:adjustRightInd w:val="0"/>
              <w:snapToGrid w:val="0"/>
              <w:jc w:val="center"/>
              <w:rPr>
                <w:szCs w:val="21"/>
              </w:rPr>
            </w:pPr>
            <w:r>
              <w:rPr>
                <w:rFonts w:hint="eastAsia"/>
                <w:szCs w:val="21"/>
              </w:rPr>
              <w:t>/</w:t>
            </w:r>
          </w:p>
        </w:tc>
        <w:tc>
          <w:tcPr>
            <w:tcW w:w="782" w:type="dxa"/>
            <w:vAlign w:val="center"/>
          </w:tcPr>
          <w:p w:rsidR="007F4D48" w:rsidRDefault="007F4D48" w:rsidP="004835BD">
            <w:pPr>
              <w:adjustRightInd w:val="0"/>
              <w:snapToGrid w:val="0"/>
              <w:jc w:val="center"/>
              <w:rPr>
                <w:szCs w:val="21"/>
              </w:rPr>
            </w:pPr>
            <w:r>
              <w:rPr>
                <w:rFonts w:hint="eastAsia"/>
                <w:szCs w:val="21"/>
              </w:rPr>
              <w:t>/</w:t>
            </w:r>
          </w:p>
        </w:tc>
        <w:tc>
          <w:tcPr>
            <w:tcW w:w="782" w:type="dxa"/>
            <w:vAlign w:val="center"/>
          </w:tcPr>
          <w:p w:rsidR="007F4D48" w:rsidRDefault="007F4D48" w:rsidP="004835BD">
            <w:pPr>
              <w:adjustRightInd w:val="0"/>
              <w:snapToGrid w:val="0"/>
              <w:jc w:val="center"/>
              <w:rPr>
                <w:color w:val="FF0000"/>
                <w:szCs w:val="21"/>
              </w:rPr>
            </w:pPr>
            <w:r>
              <w:rPr>
                <w:rFonts w:hint="eastAsia"/>
                <w:color w:val="FF0000"/>
                <w:szCs w:val="21"/>
              </w:rPr>
              <w:t>/</w:t>
            </w:r>
          </w:p>
        </w:tc>
        <w:tc>
          <w:tcPr>
            <w:tcW w:w="782" w:type="dxa"/>
            <w:vAlign w:val="center"/>
          </w:tcPr>
          <w:p w:rsidR="007F4D48" w:rsidRDefault="007F4D48" w:rsidP="004835BD">
            <w:pPr>
              <w:adjustRightInd w:val="0"/>
              <w:snapToGrid w:val="0"/>
              <w:jc w:val="center"/>
              <w:rPr>
                <w:szCs w:val="21"/>
              </w:rPr>
            </w:pPr>
            <w:r>
              <w:rPr>
                <w:rFonts w:hint="eastAsia"/>
                <w:szCs w:val="21"/>
              </w:rPr>
              <w:t>/</w:t>
            </w:r>
          </w:p>
        </w:tc>
        <w:tc>
          <w:tcPr>
            <w:tcW w:w="782" w:type="dxa"/>
            <w:vAlign w:val="center"/>
          </w:tcPr>
          <w:p w:rsidR="007F4D48" w:rsidRDefault="007F4D48" w:rsidP="004835BD">
            <w:pPr>
              <w:adjustRightInd w:val="0"/>
              <w:snapToGrid w:val="0"/>
              <w:jc w:val="center"/>
              <w:rPr>
                <w:szCs w:val="21"/>
              </w:rPr>
            </w:pPr>
            <w:r>
              <w:rPr>
                <w:rFonts w:hint="eastAsia"/>
                <w:szCs w:val="21"/>
              </w:rPr>
              <w:t>4</w:t>
            </w:r>
            <w:r w:rsidR="00855FBF">
              <w:rPr>
                <w:szCs w:val="21"/>
              </w:rPr>
              <w:t>6.8</w:t>
            </w:r>
          </w:p>
        </w:tc>
        <w:tc>
          <w:tcPr>
            <w:tcW w:w="782" w:type="dxa"/>
            <w:vAlign w:val="center"/>
          </w:tcPr>
          <w:p w:rsidR="007F4D48" w:rsidRDefault="00855FBF" w:rsidP="004835BD">
            <w:pPr>
              <w:adjustRightInd w:val="0"/>
              <w:snapToGrid w:val="0"/>
              <w:jc w:val="center"/>
              <w:rPr>
                <w:color w:val="FF0000"/>
                <w:szCs w:val="21"/>
              </w:rPr>
            </w:pPr>
            <w:r>
              <w:rPr>
                <w:rFonts w:hint="eastAsia"/>
                <w:color w:val="FF0000"/>
                <w:szCs w:val="21"/>
              </w:rPr>
              <w:t>4</w:t>
            </w:r>
            <w:r>
              <w:rPr>
                <w:color w:val="FF0000"/>
                <w:szCs w:val="21"/>
              </w:rPr>
              <w:t>4.4</w:t>
            </w:r>
          </w:p>
        </w:tc>
        <w:tc>
          <w:tcPr>
            <w:tcW w:w="782" w:type="dxa"/>
            <w:vAlign w:val="center"/>
          </w:tcPr>
          <w:p w:rsidR="007F4D48" w:rsidRDefault="00855FBF" w:rsidP="004835BD">
            <w:pPr>
              <w:adjustRightInd w:val="0"/>
              <w:snapToGrid w:val="0"/>
              <w:jc w:val="center"/>
              <w:rPr>
                <w:color w:val="FF0000"/>
                <w:szCs w:val="21"/>
              </w:rPr>
            </w:pPr>
            <w:r>
              <w:rPr>
                <w:rFonts w:hint="eastAsia"/>
                <w:color w:val="FF0000"/>
                <w:szCs w:val="21"/>
              </w:rPr>
              <w:t>4</w:t>
            </w:r>
            <w:r>
              <w:rPr>
                <w:color w:val="FF0000"/>
                <w:szCs w:val="21"/>
              </w:rPr>
              <w:t>4.3</w:t>
            </w:r>
          </w:p>
        </w:tc>
      </w:tr>
      <w:tr w:rsidR="007F4D48" w:rsidTr="004835BD">
        <w:trPr>
          <w:trHeight w:val="263"/>
          <w:jc w:val="center"/>
        </w:trPr>
        <w:tc>
          <w:tcPr>
            <w:tcW w:w="1227" w:type="dxa"/>
            <w:vMerge/>
            <w:vAlign w:val="center"/>
          </w:tcPr>
          <w:p w:rsidR="007F4D48" w:rsidRDefault="007F4D48" w:rsidP="004835BD">
            <w:pPr>
              <w:adjustRightInd w:val="0"/>
              <w:snapToGrid w:val="0"/>
              <w:jc w:val="center"/>
              <w:rPr>
                <w:szCs w:val="21"/>
              </w:rPr>
            </w:pPr>
          </w:p>
        </w:tc>
        <w:tc>
          <w:tcPr>
            <w:tcW w:w="1860" w:type="dxa"/>
            <w:vAlign w:val="center"/>
          </w:tcPr>
          <w:p w:rsidR="007F4D48" w:rsidRDefault="007F4D48" w:rsidP="004835BD">
            <w:pPr>
              <w:adjustRightInd w:val="0"/>
              <w:snapToGrid w:val="0"/>
              <w:jc w:val="center"/>
              <w:rPr>
                <w:szCs w:val="21"/>
              </w:rPr>
            </w:pPr>
            <w:r>
              <w:rPr>
                <w:rFonts w:hint="eastAsia"/>
                <w:szCs w:val="21"/>
              </w:rPr>
              <w:t>夜间</w:t>
            </w:r>
          </w:p>
        </w:tc>
        <w:tc>
          <w:tcPr>
            <w:tcW w:w="782" w:type="dxa"/>
            <w:vAlign w:val="center"/>
          </w:tcPr>
          <w:p w:rsidR="007F4D48" w:rsidRDefault="007F4D48" w:rsidP="004835BD">
            <w:pPr>
              <w:adjustRightInd w:val="0"/>
              <w:snapToGrid w:val="0"/>
              <w:jc w:val="center"/>
              <w:rPr>
                <w:szCs w:val="21"/>
              </w:rPr>
            </w:pPr>
            <w:r>
              <w:rPr>
                <w:rFonts w:hint="eastAsia"/>
                <w:szCs w:val="21"/>
              </w:rPr>
              <w:t>/</w:t>
            </w:r>
          </w:p>
        </w:tc>
        <w:tc>
          <w:tcPr>
            <w:tcW w:w="782" w:type="dxa"/>
            <w:vAlign w:val="center"/>
          </w:tcPr>
          <w:p w:rsidR="007F4D48" w:rsidRDefault="007F4D48" w:rsidP="004835BD">
            <w:pPr>
              <w:adjustRightInd w:val="0"/>
              <w:snapToGrid w:val="0"/>
              <w:jc w:val="center"/>
              <w:rPr>
                <w:szCs w:val="21"/>
              </w:rPr>
            </w:pPr>
            <w:r>
              <w:rPr>
                <w:rFonts w:hint="eastAsia"/>
                <w:szCs w:val="21"/>
              </w:rPr>
              <w:t>/</w:t>
            </w:r>
          </w:p>
        </w:tc>
        <w:tc>
          <w:tcPr>
            <w:tcW w:w="782" w:type="dxa"/>
            <w:vAlign w:val="center"/>
          </w:tcPr>
          <w:p w:rsidR="007F4D48" w:rsidRDefault="007F4D48" w:rsidP="004835BD">
            <w:pPr>
              <w:adjustRightInd w:val="0"/>
              <w:snapToGrid w:val="0"/>
              <w:jc w:val="center"/>
              <w:rPr>
                <w:color w:val="FF0000"/>
                <w:szCs w:val="21"/>
              </w:rPr>
            </w:pPr>
            <w:r>
              <w:rPr>
                <w:rFonts w:hint="eastAsia"/>
                <w:color w:val="FF0000"/>
                <w:szCs w:val="21"/>
              </w:rPr>
              <w:t>/</w:t>
            </w:r>
          </w:p>
        </w:tc>
        <w:tc>
          <w:tcPr>
            <w:tcW w:w="782" w:type="dxa"/>
            <w:vAlign w:val="center"/>
          </w:tcPr>
          <w:p w:rsidR="007F4D48" w:rsidRDefault="007F4D48" w:rsidP="004835BD">
            <w:pPr>
              <w:adjustRightInd w:val="0"/>
              <w:snapToGrid w:val="0"/>
              <w:jc w:val="center"/>
              <w:rPr>
                <w:szCs w:val="21"/>
              </w:rPr>
            </w:pPr>
            <w:r>
              <w:rPr>
                <w:rFonts w:hint="eastAsia"/>
                <w:szCs w:val="21"/>
              </w:rPr>
              <w:t>/</w:t>
            </w:r>
          </w:p>
        </w:tc>
        <w:tc>
          <w:tcPr>
            <w:tcW w:w="782" w:type="dxa"/>
            <w:vAlign w:val="center"/>
          </w:tcPr>
          <w:p w:rsidR="007F4D48" w:rsidRDefault="00855FBF" w:rsidP="004835BD">
            <w:pPr>
              <w:adjustRightInd w:val="0"/>
              <w:snapToGrid w:val="0"/>
              <w:jc w:val="center"/>
              <w:rPr>
                <w:szCs w:val="21"/>
              </w:rPr>
            </w:pPr>
            <w:r>
              <w:rPr>
                <w:szCs w:val="21"/>
              </w:rPr>
              <w:t>44.1</w:t>
            </w:r>
          </w:p>
        </w:tc>
        <w:tc>
          <w:tcPr>
            <w:tcW w:w="782" w:type="dxa"/>
            <w:vAlign w:val="center"/>
          </w:tcPr>
          <w:p w:rsidR="007F4D48" w:rsidRDefault="00855FBF" w:rsidP="004835BD">
            <w:pPr>
              <w:adjustRightInd w:val="0"/>
              <w:snapToGrid w:val="0"/>
              <w:jc w:val="center"/>
              <w:rPr>
                <w:color w:val="FF0000"/>
                <w:szCs w:val="21"/>
              </w:rPr>
            </w:pPr>
            <w:r>
              <w:rPr>
                <w:rFonts w:hint="eastAsia"/>
                <w:color w:val="FF0000"/>
                <w:szCs w:val="21"/>
              </w:rPr>
              <w:t>4</w:t>
            </w:r>
            <w:r>
              <w:rPr>
                <w:color w:val="FF0000"/>
                <w:szCs w:val="21"/>
              </w:rPr>
              <w:t>0.8</w:t>
            </w:r>
          </w:p>
        </w:tc>
        <w:tc>
          <w:tcPr>
            <w:tcW w:w="782" w:type="dxa"/>
            <w:vAlign w:val="center"/>
          </w:tcPr>
          <w:p w:rsidR="007F4D48" w:rsidRDefault="00855FBF" w:rsidP="004835BD">
            <w:pPr>
              <w:adjustRightInd w:val="0"/>
              <w:snapToGrid w:val="0"/>
              <w:jc w:val="center"/>
              <w:rPr>
                <w:color w:val="FF0000"/>
                <w:szCs w:val="21"/>
              </w:rPr>
            </w:pPr>
            <w:r>
              <w:rPr>
                <w:rFonts w:hint="eastAsia"/>
                <w:color w:val="FF0000"/>
                <w:szCs w:val="21"/>
              </w:rPr>
              <w:t>4</w:t>
            </w:r>
            <w:r>
              <w:rPr>
                <w:color w:val="FF0000"/>
                <w:szCs w:val="21"/>
              </w:rPr>
              <w:t>0.6</w:t>
            </w:r>
          </w:p>
        </w:tc>
      </w:tr>
      <w:tr w:rsidR="007F4D48" w:rsidTr="004835BD">
        <w:trPr>
          <w:trHeight w:val="265"/>
          <w:jc w:val="center"/>
        </w:trPr>
        <w:tc>
          <w:tcPr>
            <w:tcW w:w="3087" w:type="dxa"/>
            <w:gridSpan w:val="2"/>
            <w:vAlign w:val="center"/>
          </w:tcPr>
          <w:p w:rsidR="007F4D48" w:rsidRDefault="007F4D48" w:rsidP="004835BD">
            <w:pPr>
              <w:adjustRightInd w:val="0"/>
              <w:snapToGrid w:val="0"/>
              <w:jc w:val="center"/>
              <w:rPr>
                <w:szCs w:val="21"/>
              </w:rPr>
            </w:pPr>
            <w:r>
              <w:rPr>
                <w:szCs w:val="21"/>
              </w:rPr>
              <w:t>GB</w:t>
            </w:r>
            <w:r>
              <w:rPr>
                <w:rFonts w:hint="eastAsia"/>
                <w:szCs w:val="21"/>
              </w:rPr>
              <w:t>12348</w:t>
            </w:r>
            <w:r>
              <w:rPr>
                <w:szCs w:val="21"/>
              </w:rPr>
              <w:t>-2008</w:t>
            </w:r>
            <w:r>
              <w:rPr>
                <w:rFonts w:eastAsia="新宋体"/>
                <w:szCs w:val="21"/>
              </w:rPr>
              <w:t xml:space="preserve">  2</w:t>
            </w:r>
            <w:r>
              <w:rPr>
                <w:rFonts w:eastAsia="新宋体"/>
                <w:szCs w:val="21"/>
              </w:rPr>
              <w:t>类标准</w:t>
            </w:r>
          </w:p>
        </w:tc>
        <w:tc>
          <w:tcPr>
            <w:tcW w:w="5474" w:type="dxa"/>
            <w:gridSpan w:val="7"/>
          </w:tcPr>
          <w:p w:rsidR="007F4D48" w:rsidRDefault="007F4D48" w:rsidP="004835BD">
            <w:pPr>
              <w:adjustRightInd w:val="0"/>
              <w:snapToGrid w:val="0"/>
              <w:jc w:val="center"/>
              <w:rPr>
                <w:szCs w:val="21"/>
              </w:rPr>
            </w:pPr>
            <w:r>
              <w:rPr>
                <w:szCs w:val="21"/>
              </w:rPr>
              <w:t>昼间</w:t>
            </w:r>
            <w:r>
              <w:rPr>
                <w:szCs w:val="21"/>
              </w:rPr>
              <w:t>60dB(A)</w:t>
            </w:r>
            <w:r>
              <w:rPr>
                <w:szCs w:val="21"/>
              </w:rPr>
              <w:t>、夜间</w:t>
            </w:r>
            <w:r>
              <w:rPr>
                <w:szCs w:val="21"/>
              </w:rPr>
              <w:t>50dB(A)</w:t>
            </w:r>
          </w:p>
        </w:tc>
      </w:tr>
      <w:tr w:rsidR="007F4D48" w:rsidTr="004835BD">
        <w:trPr>
          <w:trHeight w:val="265"/>
          <w:jc w:val="center"/>
        </w:trPr>
        <w:tc>
          <w:tcPr>
            <w:tcW w:w="8561" w:type="dxa"/>
            <w:gridSpan w:val="9"/>
            <w:vAlign w:val="center"/>
          </w:tcPr>
          <w:p w:rsidR="007F4D48" w:rsidRDefault="007F4D48" w:rsidP="004835BD">
            <w:pPr>
              <w:adjustRightInd w:val="0"/>
              <w:snapToGrid w:val="0"/>
              <w:jc w:val="center"/>
              <w:rPr>
                <w:szCs w:val="21"/>
              </w:rPr>
            </w:pPr>
            <w:r>
              <w:rPr>
                <w:rFonts w:hint="eastAsia"/>
                <w:color w:val="FF0000"/>
                <w:szCs w:val="21"/>
              </w:rPr>
              <w:t>*</w:t>
            </w:r>
            <w:r>
              <w:rPr>
                <w:rFonts w:hint="eastAsia"/>
                <w:color w:val="FF0000"/>
                <w:szCs w:val="21"/>
              </w:rPr>
              <w:t>施阳台组和施阳台小学离西厂界较近，噪声背景值采用西厂界噪声现状监测结果</w:t>
            </w:r>
          </w:p>
        </w:tc>
      </w:tr>
    </w:tbl>
    <w:p w:rsidR="007F4D48" w:rsidRDefault="007F4D48" w:rsidP="007F4D48">
      <w:pPr>
        <w:spacing w:line="360" w:lineRule="auto"/>
        <w:ind w:firstLineChars="200" w:firstLine="480"/>
        <w:rPr>
          <w:sz w:val="24"/>
          <w:szCs w:val="22"/>
        </w:rPr>
      </w:pPr>
      <w:r>
        <w:rPr>
          <w:sz w:val="24"/>
          <w:szCs w:val="22"/>
        </w:rPr>
        <w:t>由表</w:t>
      </w:r>
      <w:r>
        <w:rPr>
          <w:sz w:val="24"/>
          <w:szCs w:val="22"/>
        </w:rPr>
        <w:t>9.5.2-5</w:t>
      </w:r>
      <w:r>
        <w:rPr>
          <w:sz w:val="24"/>
          <w:szCs w:val="22"/>
        </w:rPr>
        <w:t>知，采取防噪措施后，</w:t>
      </w:r>
      <w:r>
        <w:rPr>
          <w:rFonts w:hint="eastAsia"/>
          <w:sz w:val="24"/>
          <w:szCs w:val="22"/>
        </w:rPr>
        <w:t>工业场地所有厂界昼夜噪声最大贡献值均满足</w:t>
      </w:r>
      <w:r>
        <w:rPr>
          <w:sz w:val="24"/>
          <w:szCs w:val="22"/>
        </w:rPr>
        <w:t>GB12348-2008</w:t>
      </w:r>
      <w:r>
        <w:rPr>
          <w:sz w:val="24"/>
          <w:szCs w:val="22"/>
        </w:rPr>
        <w:t>中</w:t>
      </w:r>
      <w:r>
        <w:rPr>
          <w:sz w:val="24"/>
          <w:szCs w:val="22"/>
        </w:rPr>
        <w:t>2</w:t>
      </w:r>
      <w:r>
        <w:rPr>
          <w:sz w:val="24"/>
          <w:szCs w:val="22"/>
        </w:rPr>
        <w:t>类区昼</w:t>
      </w:r>
      <w:r>
        <w:rPr>
          <w:rFonts w:hint="eastAsia"/>
          <w:sz w:val="24"/>
          <w:szCs w:val="22"/>
        </w:rPr>
        <w:t>夜</w:t>
      </w:r>
      <w:r>
        <w:rPr>
          <w:sz w:val="24"/>
          <w:szCs w:val="22"/>
        </w:rPr>
        <w:t>间标准限值要求</w:t>
      </w:r>
      <w:r>
        <w:rPr>
          <w:rFonts w:hint="eastAsia"/>
          <w:sz w:val="24"/>
          <w:szCs w:val="22"/>
        </w:rPr>
        <w:t>；</w:t>
      </w:r>
      <w:r>
        <w:rPr>
          <w:rFonts w:hint="eastAsia"/>
          <w:color w:val="FF0000"/>
          <w:sz w:val="24"/>
          <w:szCs w:val="22"/>
        </w:rPr>
        <w:t>念枣坪村、施阳台组和施阳台小学</w:t>
      </w:r>
      <w:r>
        <w:rPr>
          <w:rFonts w:hint="eastAsia"/>
          <w:sz w:val="24"/>
          <w:szCs w:val="22"/>
        </w:rPr>
        <w:t>昼夜间噪声预测</w:t>
      </w:r>
      <w:r>
        <w:rPr>
          <w:sz w:val="24"/>
          <w:szCs w:val="22"/>
        </w:rPr>
        <w:t>值均满足《声环境质量标准》（</w:t>
      </w:r>
      <w:r>
        <w:rPr>
          <w:sz w:val="24"/>
          <w:szCs w:val="22"/>
        </w:rPr>
        <w:t>GB3096-2008</w:t>
      </w:r>
      <w:r>
        <w:rPr>
          <w:sz w:val="24"/>
          <w:szCs w:val="22"/>
        </w:rPr>
        <w:t>）</w:t>
      </w:r>
      <w:r>
        <w:rPr>
          <w:sz w:val="24"/>
          <w:szCs w:val="22"/>
        </w:rPr>
        <w:t>2</w:t>
      </w:r>
      <w:r>
        <w:rPr>
          <w:sz w:val="24"/>
          <w:szCs w:val="22"/>
        </w:rPr>
        <w:t>类区标准要求，</w:t>
      </w:r>
      <w:r>
        <w:rPr>
          <w:rFonts w:hint="eastAsia"/>
          <w:color w:val="FF0000"/>
          <w:sz w:val="24"/>
          <w:szCs w:val="22"/>
        </w:rPr>
        <w:t>各敏感点</w:t>
      </w:r>
      <w:r>
        <w:rPr>
          <w:sz w:val="24"/>
          <w:szCs w:val="22"/>
        </w:rPr>
        <w:t>昼间</w:t>
      </w:r>
      <w:r>
        <w:rPr>
          <w:rFonts w:hint="eastAsia"/>
          <w:sz w:val="24"/>
          <w:szCs w:val="22"/>
        </w:rPr>
        <w:t>、夜间</w:t>
      </w:r>
      <w:r>
        <w:rPr>
          <w:sz w:val="24"/>
          <w:szCs w:val="22"/>
        </w:rPr>
        <w:t>噪声</w:t>
      </w:r>
      <w:r>
        <w:rPr>
          <w:rFonts w:hint="eastAsia"/>
          <w:color w:val="FF0000"/>
          <w:sz w:val="24"/>
          <w:szCs w:val="22"/>
        </w:rPr>
        <w:t>最大</w:t>
      </w:r>
      <w:r>
        <w:rPr>
          <w:rFonts w:hint="eastAsia"/>
          <w:sz w:val="24"/>
          <w:szCs w:val="22"/>
        </w:rPr>
        <w:t>增量分别为</w:t>
      </w:r>
      <w:r>
        <w:rPr>
          <w:rFonts w:hint="eastAsia"/>
          <w:color w:val="FF0000"/>
          <w:sz w:val="24"/>
          <w:szCs w:val="22"/>
        </w:rPr>
        <w:t>2</w:t>
      </w:r>
      <w:r>
        <w:rPr>
          <w:color w:val="FF0000"/>
          <w:sz w:val="24"/>
          <w:szCs w:val="22"/>
        </w:rPr>
        <w:t>dB</w:t>
      </w:r>
      <w:r>
        <w:rPr>
          <w:rFonts w:hint="eastAsia"/>
          <w:color w:val="FF0000"/>
          <w:sz w:val="24"/>
          <w:szCs w:val="22"/>
        </w:rPr>
        <w:t>(</w:t>
      </w:r>
      <w:r>
        <w:rPr>
          <w:color w:val="FF0000"/>
          <w:sz w:val="24"/>
          <w:szCs w:val="22"/>
        </w:rPr>
        <w:t>A</w:t>
      </w:r>
      <w:r>
        <w:rPr>
          <w:rFonts w:hint="eastAsia"/>
          <w:color w:val="FF0000"/>
          <w:sz w:val="24"/>
          <w:szCs w:val="22"/>
        </w:rPr>
        <w:t>)</w:t>
      </w:r>
      <w:r>
        <w:rPr>
          <w:rFonts w:hint="eastAsia"/>
          <w:color w:val="FF0000"/>
          <w:sz w:val="24"/>
          <w:szCs w:val="22"/>
        </w:rPr>
        <w:t>、</w:t>
      </w:r>
      <w:r>
        <w:rPr>
          <w:rFonts w:hint="eastAsia"/>
          <w:color w:val="FF0000"/>
          <w:sz w:val="24"/>
          <w:szCs w:val="22"/>
        </w:rPr>
        <w:t>4</w:t>
      </w:r>
      <w:r>
        <w:rPr>
          <w:color w:val="FF0000"/>
          <w:sz w:val="24"/>
          <w:szCs w:val="22"/>
        </w:rPr>
        <w:t>dB</w:t>
      </w:r>
      <w:r>
        <w:rPr>
          <w:rFonts w:hint="eastAsia"/>
          <w:color w:val="FF0000"/>
          <w:sz w:val="24"/>
          <w:szCs w:val="22"/>
        </w:rPr>
        <w:t>(</w:t>
      </w:r>
      <w:r>
        <w:rPr>
          <w:color w:val="FF0000"/>
          <w:sz w:val="24"/>
          <w:szCs w:val="22"/>
        </w:rPr>
        <w:t>A</w:t>
      </w:r>
      <w:r>
        <w:rPr>
          <w:rFonts w:hint="eastAsia"/>
          <w:color w:val="FF0000"/>
          <w:sz w:val="24"/>
          <w:szCs w:val="22"/>
        </w:rPr>
        <w:t>)</w:t>
      </w:r>
      <w:r>
        <w:rPr>
          <w:sz w:val="24"/>
          <w:szCs w:val="22"/>
        </w:rPr>
        <w:t>。</w:t>
      </w:r>
    </w:p>
    <w:p w:rsidR="007F4D48" w:rsidRDefault="007F4D48" w:rsidP="007F4D48">
      <w:pPr>
        <w:spacing w:line="360" w:lineRule="auto"/>
        <w:ind w:firstLineChars="200" w:firstLine="480"/>
        <w:rPr>
          <w:sz w:val="24"/>
        </w:rPr>
      </w:pPr>
      <w:r>
        <w:rPr>
          <w:rFonts w:hint="eastAsia"/>
          <w:sz w:val="24"/>
        </w:rPr>
        <w:t>（</w:t>
      </w:r>
      <w:r>
        <w:rPr>
          <w:rFonts w:hint="eastAsia"/>
          <w:sz w:val="24"/>
        </w:rPr>
        <w:t>2</w:t>
      </w:r>
      <w:r>
        <w:rPr>
          <w:rFonts w:hint="eastAsia"/>
          <w:sz w:val="24"/>
        </w:rPr>
        <w:t>）场外运输道路噪声预测及评价</w:t>
      </w:r>
    </w:p>
    <w:p w:rsidR="007F4D48" w:rsidRDefault="007F4D48" w:rsidP="007F4D48">
      <w:pPr>
        <w:pStyle w:val="hb1"/>
        <w:ind w:firstLine="480"/>
      </w:pPr>
      <w:r>
        <w:rPr>
          <w:rFonts w:hint="eastAsia"/>
        </w:rPr>
        <w:t>本项</w:t>
      </w:r>
      <w:r>
        <w:t>目</w:t>
      </w:r>
      <w:r>
        <w:rPr>
          <w:rFonts w:hint="eastAsia"/>
        </w:rPr>
        <w:t>场外道路为</w:t>
      </w:r>
      <w:r>
        <w:rPr>
          <w:rFonts w:hint="eastAsia"/>
          <w:color w:val="FF0000"/>
        </w:rPr>
        <w:t>运煤</w:t>
      </w:r>
      <w:r>
        <w:t>道路</w:t>
      </w:r>
      <w:r>
        <w:rPr>
          <w:rFonts w:hint="eastAsia"/>
        </w:rPr>
        <w:t>和炸药库道路。</w:t>
      </w:r>
      <w:r>
        <w:rPr>
          <w:rFonts w:hint="eastAsia"/>
          <w:color w:val="FF0000"/>
        </w:rPr>
        <w:t>前者依托现有县道，其两侧</w:t>
      </w:r>
      <w:r>
        <w:rPr>
          <w:rFonts w:hint="eastAsia"/>
          <w:color w:val="FF0000"/>
        </w:rPr>
        <w:t>3~20m</w:t>
      </w:r>
      <w:r>
        <w:rPr>
          <w:rFonts w:hint="eastAsia"/>
          <w:color w:val="FF0000"/>
        </w:rPr>
        <w:t>内分布有念枣坪组、刘石畔组、新窑台组和拓家峁组居民点，北侧</w:t>
      </w:r>
      <w:r>
        <w:rPr>
          <w:rFonts w:hint="eastAsia"/>
          <w:color w:val="FF0000"/>
        </w:rPr>
        <w:t>60m</w:t>
      </w:r>
      <w:r>
        <w:rPr>
          <w:rFonts w:hint="eastAsia"/>
          <w:color w:val="FF0000"/>
        </w:rPr>
        <w:t>分布有拓家阳组居民点，其中新窑台组和拓家峁组位于青银高速北侧</w:t>
      </w:r>
      <w:r>
        <w:rPr>
          <w:rFonts w:hint="eastAsia"/>
          <w:color w:val="FF0000"/>
        </w:rPr>
        <w:t>35m</w:t>
      </w:r>
      <w:r>
        <w:rPr>
          <w:rFonts w:hint="eastAsia"/>
          <w:color w:val="FF0000"/>
        </w:rPr>
        <w:t>范围内；</w:t>
      </w:r>
      <w:r>
        <w:rPr>
          <w:rFonts w:hint="eastAsia"/>
        </w:rPr>
        <w:t>后者两侧无敏感点分布</w:t>
      </w:r>
      <w:r>
        <w:rPr>
          <w:rFonts w:hint="eastAsia"/>
          <w:color w:val="FF0000"/>
        </w:rPr>
        <w:t>。</w:t>
      </w:r>
      <w:r>
        <w:rPr>
          <w:rFonts w:hint="eastAsia"/>
        </w:rPr>
        <w:t>本次主要预测运煤道路的噪声影响。</w:t>
      </w:r>
    </w:p>
    <w:p w:rsidR="007F4D48" w:rsidRDefault="007F4D48" w:rsidP="007F4D48">
      <w:pPr>
        <w:pStyle w:val="hb1"/>
        <w:ind w:firstLine="480"/>
        <w:rPr>
          <w:color w:val="FF0000"/>
        </w:rPr>
      </w:pPr>
      <w:r>
        <w:rPr>
          <w:rFonts w:hint="eastAsia"/>
        </w:rPr>
        <w:t>根据设计文件，天云煤矿整合后矿井生产能力为</w:t>
      </w:r>
      <w:r>
        <w:rPr>
          <w:rFonts w:hint="eastAsia"/>
        </w:rPr>
        <w:t>0.90</w:t>
      </w:r>
      <w:r>
        <w:t>Mt/a</w:t>
      </w:r>
      <w:r>
        <w:t>，</w:t>
      </w:r>
      <w:r>
        <w:rPr>
          <w:rFonts w:hint="eastAsia"/>
        </w:rPr>
        <w:t>运煤道路日运煤量</w:t>
      </w:r>
      <w:r>
        <w:rPr>
          <w:rFonts w:hint="eastAsia"/>
        </w:rPr>
        <w:t>2074.85t</w:t>
      </w:r>
      <w:r>
        <w:rPr>
          <w:rFonts w:hint="eastAsia"/>
        </w:rPr>
        <w:t>，依托社会车辆运输。根据类比调查，运煤车型选择载重</w:t>
      </w:r>
      <w:r>
        <w:rPr>
          <w:rFonts w:hint="eastAsia"/>
        </w:rPr>
        <w:t>30t/</w:t>
      </w:r>
      <w:r>
        <w:rPr>
          <w:rFonts w:hint="eastAsia"/>
        </w:rPr>
        <w:t>辆，每日工</w:t>
      </w:r>
      <w:r>
        <w:rPr>
          <w:rFonts w:hint="eastAsia"/>
        </w:rPr>
        <w:lastRenderedPageBreak/>
        <w:t>作时间按</w:t>
      </w:r>
      <w:r>
        <w:rPr>
          <w:rFonts w:hint="eastAsia"/>
        </w:rPr>
        <w:t xml:space="preserve"> 16h </w:t>
      </w:r>
      <w:r>
        <w:rPr>
          <w:rFonts w:hint="eastAsia"/>
        </w:rPr>
        <w:t>计（</w:t>
      </w:r>
      <w:r>
        <w:rPr>
          <w:rFonts w:hint="eastAsia"/>
        </w:rPr>
        <w:t>6:00~22:00</w:t>
      </w:r>
      <w:r>
        <w:rPr>
          <w:rFonts w:hint="eastAsia"/>
        </w:rPr>
        <w:t>），估算出本项目运煤车流量约为</w:t>
      </w:r>
      <w:r>
        <w:rPr>
          <w:rFonts w:hint="eastAsia"/>
        </w:rPr>
        <w:t>9</w:t>
      </w:r>
      <w:r>
        <w:rPr>
          <w:rFonts w:hint="eastAsia"/>
        </w:rPr>
        <w:t>辆</w:t>
      </w:r>
      <w:r>
        <w:rPr>
          <w:rFonts w:hint="eastAsia"/>
        </w:rPr>
        <w:t>/h</w:t>
      </w:r>
      <w:r>
        <w:rPr>
          <w:rFonts w:hint="eastAsia"/>
        </w:rPr>
        <w:t>（按车辆来回计）。根据相关类比调查（见表</w:t>
      </w:r>
      <w:r>
        <w:rPr>
          <w:rFonts w:hint="eastAsia"/>
        </w:rPr>
        <w:t>4.2.5-4</w:t>
      </w:r>
      <w:r>
        <w:rPr>
          <w:rFonts w:hint="eastAsia"/>
        </w:rPr>
        <w:t>），昼间车流量</w:t>
      </w:r>
      <w:r>
        <w:rPr>
          <w:rFonts w:hint="eastAsia"/>
        </w:rPr>
        <w:t>40</w:t>
      </w:r>
      <w:r>
        <w:rPr>
          <w:rFonts w:hint="eastAsia"/>
        </w:rPr>
        <w:t>辆</w:t>
      </w:r>
      <w:r>
        <w:rPr>
          <w:rFonts w:hint="eastAsia"/>
        </w:rPr>
        <w:t>/h</w:t>
      </w:r>
      <w:r>
        <w:rPr>
          <w:rFonts w:hint="eastAsia"/>
        </w:rPr>
        <w:t>（</w:t>
      </w:r>
      <w:r>
        <w:rPr>
          <w:rFonts w:hint="eastAsia"/>
        </w:rPr>
        <w:t>13</w:t>
      </w:r>
      <w:r>
        <w:rPr>
          <w:rFonts w:hint="eastAsia"/>
        </w:rPr>
        <w:t>辆</w:t>
      </w:r>
      <w:r>
        <w:rPr>
          <w:rFonts w:hint="eastAsia"/>
        </w:rPr>
        <w:t>/h</w:t>
      </w:r>
      <w:r>
        <w:rPr>
          <w:rFonts w:hint="eastAsia"/>
        </w:rPr>
        <w:t>）时道路两侧</w:t>
      </w:r>
      <w:r>
        <w:rPr>
          <w:rFonts w:hint="eastAsia"/>
        </w:rPr>
        <w:t xml:space="preserve"> 30m</w:t>
      </w:r>
      <w:r>
        <w:rPr>
          <w:rFonts w:hint="eastAsia"/>
        </w:rPr>
        <w:t>（约</w:t>
      </w:r>
      <w:r>
        <w:rPr>
          <w:rFonts w:hint="eastAsia"/>
        </w:rPr>
        <w:t>10m</w:t>
      </w:r>
      <w:r>
        <w:rPr>
          <w:rFonts w:hint="eastAsia"/>
        </w:rPr>
        <w:t>）外噪声</w:t>
      </w:r>
      <w:r>
        <w:rPr>
          <w:rFonts w:hint="eastAsia"/>
          <w:color w:val="FF0000"/>
        </w:rPr>
        <w:t>达到</w:t>
      </w:r>
      <w:r>
        <w:rPr>
          <w:rFonts w:hint="eastAsia"/>
          <w:color w:val="FF0000"/>
        </w:rPr>
        <w:t>2</w:t>
      </w:r>
      <w:r>
        <w:rPr>
          <w:rFonts w:hint="eastAsia"/>
          <w:color w:val="FF0000"/>
        </w:rPr>
        <w:t>类标准，车流量</w:t>
      </w:r>
      <w:r>
        <w:rPr>
          <w:rFonts w:hint="eastAsia"/>
        </w:rPr>
        <w:t>13</w:t>
      </w:r>
      <w:r>
        <w:rPr>
          <w:rFonts w:hint="eastAsia"/>
        </w:rPr>
        <w:t>辆</w:t>
      </w:r>
      <w:r>
        <w:rPr>
          <w:rFonts w:hint="eastAsia"/>
        </w:rPr>
        <w:t>/h</w:t>
      </w:r>
      <w:r>
        <w:rPr>
          <w:rFonts w:hint="eastAsia"/>
        </w:rPr>
        <w:t>时</w:t>
      </w:r>
      <w:r>
        <w:rPr>
          <w:rFonts w:hint="eastAsia"/>
          <w:color w:val="FF0000"/>
        </w:rPr>
        <w:t>10m</w:t>
      </w:r>
      <w:r>
        <w:rPr>
          <w:rFonts w:hint="eastAsia"/>
          <w:color w:val="FF0000"/>
        </w:rPr>
        <w:t>处能达到</w:t>
      </w:r>
      <w:r>
        <w:rPr>
          <w:rFonts w:hint="eastAsia"/>
          <w:color w:val="FF0000"/>
        </w:rPr>
        <w:t>4a</w:t>
      </w:r>
      <w:r>
        <w:rPr>
          <w:rFonts w:hint="eastAsia"/>
          <w:color w:val="FF0000"/>
        </w:rPr>
        <w:t>类标准</w:t>
      </w:r>
      <w:r>
        <w:rPr>
          <w:rFonts w:hint="eastAsia"/>
        </w:rPr>
        <w:t>。</w:t>
      </w:r>
    </w:p>
    <w:p w:rsidR="00C223F5" w:rsidRPr="007F4D48" w:rsidRDefault="007F4D48" w:rsidP="007F4D48">
      <w:pPr>
        <w:adjustRightInd w:val="0"/>
        <w:snapToGrid w:val="0"/>
        <w:spacing w:line="360" w:lineRule="auto"/>
        <w:ind w:firstLineChars="200" w:firstLine="480"/>
        <w:rPr>
          <w:sz w:val="24"/>
        </w:rPr>
      </w:pPr>
      <w:r w:rsidRPr="007F4D48">
        <w:rPr>
          <w:rFonts w:hint="eastAsia"/>
          <w:color w:val="FF0000"/>
          <w:sz w:val="24"/>
        </w:rPr>
        <w:t>本项目新增车流量（</w:t>
      </w:r>
      <w:r w:rsidRPr="007F4D48">
        <w:rPr>
          <w:rFonts w:hint="eastAsia"/>
          <w:sz w:val="24"/>
        </w:rPr>
        <w:t>9</w:t>
      </w:r>
      <w:r w:rsidRPr="007F4D48">
        <w:rPr>
          <w:rFonts w:hint="eastAsia"/>
          <w:sz w:val="24"/>
        </w:rPr>
        <w:t>辆</w:t>
      </w:r>
      <w:r w:rsidRPr="007F4D48">
        <w:rPr>
          <w:rFonts w:hint="eastAsia"/>
          <w:sz w:val="24"/>
        </w:rPr>
        <w:t>/h</w:t>
      </w:r>
      <w:r w:rsidRPr="007F4D48">
        <w:rPr>
          <w:rFonts w:hint="eastAsia"/>
          <w:color w:val="FF0000"/>
          <w:sz w:val="24"/>
        </w:rPr>
        <w:t>）较类比车流量（</w:t>
      </w:r>
      <w:r w:rsidRPr="007F4D48">
        <w:rPr>
          <w:rFonts w:hint="eastAsia"/>
          <w:sz w:val="24"/>
        </w:rPr>
        <w:t>13</w:t>
      </w:r>
      <w:r w:rsidRPr="007F4D48">
        <w:rPr>
          <w:rFonts w:hint="eastAsia"/>
          <w:sz w:val="24"/>
        </w:rPr>
        <w:t>辆</w:t>
      </w:r>
      <w:r w:rsidRPr="007F4D48">
        <w:rPr>
          <w:rFonts w:hint="eastAsia"/>
          <w:sz w:val="24"/>
        </w:rPr>
        <w:t>/h</w:t>
      </w:r>
      <w:r w:rsidRPr="007F4D48">
        <w:rPr>
          <w:rFonts w:hint="eastAsia"/>
          <w:color w:val="FF0000"/>
          <w:sz w:val="24"/>
        </w:rPr>
        <w:t>）少，对进场道路两侧</w:t>
      </w:r>
      <w:r w:rsidRPr="007F4D48">
        <w:rPr>
          <w:rFonts w:hint="eastAsia"/>
          <w:color w:val="FF0000"/>
          <w:sz w:val="24"/>
        </w:rPr>
        <w:t>15m~60m</w:t>
      </w:r>
      <w:r w:rsidRPr="007F4D48">
        <w:rPr>
          <w:rFonts w:hint="eastAsia"/>
          <w:color w:val="FF0000"/>
          <w:sz w:val="24"/>
        </w:rPr>
        <w:t>范围内的刘石畔组、拓家阳组和新窑台组噪声贡献值满足</w:t>
      </w:r>
      <w:r w:rsidRPr="007F4D48">
        <w:rPr>
          <w:rFonts w:hint="eastAsia"/>
          <w:color w:val="FF0000"/>
          <w:sz w:val="24"/>
        </w:rPr>
        <w:t>2</w:t>
      </w:r>
      <w:r w:rsidRPr="007F4D48">
        <w:rPr>
          <w:rFonts w:hint="eastAsia"/>
          <w:color w:val="FF0000"/>
          <w:sz w:val="24"/>
        </w:rPr>
        <w:t>类标准，对距离运煤道路</w:t>
      </w:r>
      <w:r w:rsidRPr="007F4D48">
        <w:rPr>
          <w:rFonts w:hint="eastAsia"/>
          <w:color w:val="FF0000"/>
          <w:sz w:val="24"/>
        </w:rPr>
        <w:t>3m</w:t>
      </w:r>
      <w:r w:rsidRPr="007F4D48">
        <w:rPr>
          <w:rFonts w:hint="eastAsia"/>
          <w:color w:val="FF0000"/>
          <w:sz w:val="24"/>
        </w:rPr>
        <w:t>的拓家峁组噪声贡献值满足</w:t>
      </w:r>
      <w:r w:rsidRPr="007F4D48">
        <w:rPr>
          <w:rFonts w:hint="eastAsia"/>
          <w:color w:val="FF0000"/>
          <w:sz w:val="24"/>
        </w:rPr>
        <w:t>4a</w:t>
      </w:r>
      <w:r w:rsidRPr="007F4D48">
        <w:rPr>
          <w:rFonts w:hint="eastAsia"/>
          <w:color w:val="FF0000"/>
          <w:sz w:val="24"/>
        </w:rPr>
        <w:t>类标准，对运煤道路北侧</w:t>
      </w:r>
      <w:r w:rsidRPr="007F4D48">
        <w:rPr>
          <w:rFonts w:hint="eastAsia"/>
          <w:color w:val="FF0000"/>
          <w:sz w:val="24"/>
        </w:rPr>
        <w:t>3m</w:t>
      </w:r>
      <w:r w:rsidRPr="007F4D48">
        <w:rPr>
          <w:rFonts w:hint="eastAsia"/>
          <w:color w:val="FF0000"/>
          <w:sz w:val="24"/>
        </w:rPr>
        <w:t>处的念枣坪组会产生一定的影响。</w:t>
      </w:r>
      <w:r w:rsidRPr="007F4D48">
        <w:rPr>
          <w:rFonts w:hint="eastAsia"/>
          <w:sz w:val="24"/>
        </w:rPr>
        <w:t>为防止运输噪声扰民，</w:t>
      </w:r>
      <w:r w:rsidRPr="007F4D48">
        <w:rPr>
          <w:rFonts w:hint="eastAsia"/>
          <w:color w:val="FF0000"/>
          <w:sz w:val="24"/>
        </w:rPr>
        <w:t>运输车辆需控制车速，减少鸣笛，建设单位</w:t>
      </w:r>
      <w:r w:rsidRPr="007F4D48">
        <w:rPr>
          <w:rFonts w:hint="eastAsia"/>
          <w:sz w:val="24"/>
        </w:rPr>
        <w:t>应在路边植树绿化降噪</w:t>
      </w:r>
      <w:r w:rsidRPr="00B0292C">
        <w:rPr>
          <w:rFonts w:hint="eastAsia"/>
          <w:color w:val="FF0000"/>
          <w:sz w:val="24"/>
        </w:rPr>
        <w:t>，</w:t>
      </w:r>
      <w:r w:rsidR="00B0292C" w:rsidRPr="00B0292C">
        <w:rPr>
          <w:rFonts w:hint="eastAsia"/>
          <w:color w:val="FF0000"/>
          <w:sz w:val="24"/>
        </w:rPr>
        <w:t>沿线设禁止鸣笛警示牌，</w:t>
      </w:r>
      <w:r w:rsidRPr="00B0292C">
        <w:rPr>
          <w:rFonts w:hint="eastAsia"/>
          <w:color w:val="FF0000"/>
          <w:sz w:val="24"/>
        </w:rPr>
        <w:t>并在必要时采取加装隔声门窗等措施，使念枣坪组、刘石畔组和拓家阳组</w:t>
      </w:r>
      <w:r w:rsidRPr="007F4D48">
        <w:rPr>
          <w:rFonts w:hint="eastAsia"/>
          <w:color w:val="FF0000"/>
          <w:sz w:val="24"/>
        </w:rPr>
        <w:t>声环境质量满足《声环境质量标准》</w:t>
      </w:r>
      <w:r w:rsidRPr="007F4D48">
        <w:rPr>
          <w:rFonts w:hint="eastAsia"/>
          <w:color w:val="FF0000"/>
          <w:sz w:val="24"/>
        </w:rPr>
        <w:t>2</w:t>
      </w:r>
      <w:r w:rsidRPr="007F4D48">
        <w:rPr>
          <w:rFonts w:hint="eastAsia"/>
          <w:color w:val="FF0000"/>
          <w:sz w:val="24"/>
        </w:rPr>
        <w:t>类标准，新窑台组和拓家峁组声环境质量满足《声环境质量标准》</w:t>
      </w:r>
      <w:r w:rsidRPr="007F4D48">
        <w:rPr>
          <w:rFonts w:hint="eastAsia"/>
          <w:color w:val="FF0000"/>
          <w:sz w:val="24"/>
        </w:rPr>
        <w:t>4a</w:t>
      </w:r>
      <w:r w:rsidRPr="007F4D48">
        <w:rPr>
          <w:rFonts w:hint="eastAsia"/>
          <w:color w:val="FF0000"/>
          <w:sz w:val="24"/>
        </w:rPr>
        <w:t>类标准要求</w:t>
      </w:r>
      <w:r w:rsidR="005860D5" w:rsidRPr="007F4D48">
        <w:rPr>
          <w:rFonts w:hint="eastAsia"/>
          <w:sz w:val="24"/>
        </w:rPr>
        <w:t>。</w:t>
      </w:r>
    </w:p>
    <w:p w:rsidR="00C223F5" w:rsidRPr="00927E76" w:rsidRDefault="005860D5">
      <w:pPr>
        <w:adjustRightInd w:val="0"/>
        <w:snapToGrid w:val="0"/>
        <w:ind w:firstLineChars="200" w:firstLine="482"/>
        <w:jc w:val="center"/>
        <w:rPr>
          <w:b/>
          <w:sz w:val="40"/>
          <w:szCs w:val="28"/>
        </w:rPr>
      </w:pPr>
      <w:r w:rsidRPr="00927E76">
        <w:rPr>
          <w:b/>
          <w:sz w:val="24"/>
          <w:szCs w:val="32"/>
        </w:rPr>
        <w:t>表</w:t>
      </w:r>
      <w:r w:rsidRPr="00927E76">
        <w:rPr>
          <w:rFonts w:hint="eastAsia"/>
          <w:b/>
          <w:sz w:val="24"/>
          <w:szCs w:val="32"/>
        </w:rPr>
        <w:t>4.2.5-4</w:t>
      </w:r>
      <w:r w:rsidRPr="00927E76">
        <w:rPr>
          <w:rFonts w:hint="eastAsia"/>
          <w:b/>
          <w:sz w:val="24"/>
          <w:szCs w:val="32"/>
        </w:rPr>
        <w:t>交通噪声类比调查数据</w:t>
      </w:r>
      <w:r w:rsidRPr="00927E76">
        <w:rPr>
          <w:b/>
          <w:szCs w:val="21"/>
        </w:rPr>
        <w:t>单位：</w:t>
      </w:r>
      <w:r w:rsidRPr="00927E76">
        <w:rPr>
          <w:b/>
          <w:szCs w:val="21"/>
        </w:rPr>
        <w:t>dB</w:t>
      </w:r>
      <w:r w:rsidRPr="00927E76">
        <w:rPr>
          <w:b/>
          <w:szCs w:val="21"/>
        </w:rPr>
        <w:t>（</w:t>
      </w:r>
      <w:r w:rsidRPr="00927E76">
        <w:rPr>
          <w:b/>
          <w:szCs w:val="21"/>
        </w:rPr>
        <w:t>A</w:t>
      </w:r>
      <w:r w:rsidRPr="00927E76">
        <w:rPr>
          <w:b/>
          <w:szCs w:val="21"/>
        </w:rPr>
        <w:t>）</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60"/>
        <w:gridCol w:w="901"/>
        <w:gridCol w:w="1291"/>
        <w:gridCol w:w="1292"/>
        <w:gridCol w:w="1292"/>
        <w:gridCol w:w="1293"/>
        <w:gridCol w:w="1292"/>
      </w:tblGrid>
      <w:tr w:rsidR="00C223F5" w:rsidRPr="00927E76">
        <w:trPr>
          <w:trHeight w:val="342"/>
          <w:jc w:val="center"/>
        </w:trPr>
        <w:tc>
          <w:tcPr>
            <w:tcW w:w="1360" w:type="dxa"/>
            <w:vMerge w:val="restart"/>
            <w:vAlign w:val="center"/>
          </w:tcPr>
          <w:p w:rsidR="00C223F5" w:rsidRPr="00927E76" w:rsidRDefault="005860D5">
            <w:pPr>
              <w:pStyle w:val="hb1"/>
              <w:spacing w:line="240" w:lineRule="auto"/>
              <w:ind w:firstLineChars="50" w:firstLine="105"/>
              <w:jc w:val="center"/>
              <w:rPr>
                <w:rFonts w:cs="Times New Roman"/>
                <w:sz w:val="21"/>
                <w:szCs w:val="21"/>
              </w:rPr>
            </w:pPr>
            <w:r w:rsidRPr="00927E76">
              <w:rPr>
                <w:rFonts w:cs="Times New Roman"/>
                <w:sz w:val="21"/>
                <w:szCs w:val="21"/>
              </w:rPr>
              <w:t>地点</w:t>
            </w:r>
          </w:p>
        </w:tc>
        <w:tc>
          <w:tcPr>
            <w:tcW w:w="901" w:type="dxa"/>
            <w:vMerge w:val="restart"/>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时段</w:t>
            </w:r>
          </w:p>
        </w:tc>
        <w:tc>
          <w:tcPr>
            <w:tcW w:w="3875" w:type="dxa"/>
            <w:gridSpan w:val="3"/>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距路沿距离（</w:t>
            </w:r>
            <w:r w:rsidRPr="00927E76">
              <w:rPr>
                <w:rFonts w:cs="Times New Roman"/>
                <w:sz w:val="21"/>
                <w:szCs w:val="21"/>
              </w:rPr>
              <w:t>m</w:t>
            </w:r>
            <w:r w:rsidRPr="00927E76">
              <w:rPr>
                <w:rFonts w:cs="Times New Roman"/>
                <w:sz w:val="21"/>
                <w:szCs w:val="21"/>
              </w:rPr>
              <w:t>）</w:t>
            </w:r>
          </w:p>
        </w:tc>
        <w:tc>
          <w:tcPr>
            <w:tcW w:w="1293" w:type="dxa"/>
            <w:vMerge w:val="restart"/>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车流量</w:t>
            </w:r>
          </w:p>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辆</w:t>
            </w:r>
            <w:r w:rsidRPr="00927E76">
              <w:rPr>
                <w:rFonts w:cs="Times New Roman"/>
                <w:sz w:val="21"/>
                <w:szCs w:val="21"/>
              </w:rPr>
              <w:t>/h</w:t>
            </w:r>
          </w:p>
        </w:tc>
        <w:tc>
          <w:tcPr>
            <w:tcW w:w="1292" w:type="dxa"/>
            <w:vMerge w:val="restart"/>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车流量</w:t>
            </w:r>
          </w:p>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辆</w:t>
            </w:r>
            <w:r w:rsidRPr="00927E76">
              <w:rPr>
                <w:rFonts w:cs="Times New Roman"/>
                <w:sz w:val="21"/>
                <w:szCs w:val="21"/>
              </w:rPr>
              <w:t>/</w:t>
            </w:r>
            <w:r w:rsidRPr="00927E76">
              <w:rPr>
                <w:rFonts w:cs="Times New Roman" w:hint="eastAsia"/>
                <w:sz w:val="21"/>
                <w:szCs w:val="21"/>
              </w:rPr>
              <w:t>d</w:t>
            </w:r>
          </w:p>
        </w:tc>
      </w:tr>
      <w:tr w:rsidR="00C223F5" w:rsidRPr="00927E76">
        <w:trPr>
          <w:jc w:val="center"/>
        </w:trPr>
        <w:tc>
          <w:tcPr>
            <w:tcW w:w="1360" w:type="dxa"/>
            <w:vMerge/>
            <w:vAlign w:val="center"/>
          </w:tcPr>
          <w:p w:rsidR="00C223F5" w:rsidRPr="00927E76" w:rsidRDefault="00C223F5">
            <w:pPr>
              <w:pStyle w:val="hb1"/>
              <w:spacing w:line="240" w:lineRule="auto"/>
              <w:ind w:firstLineChars="0" w:firstLine="0"/>
              <w:jc w:val="center"/>
              <w:rPr>
                <w:rFonts w:cs="Times New Roman"/>
                <w:sz w:val="21"/>
                <w:szCs w:val="21"/>
              </w:rPr>
            </w:pPr>
          </w:p>
        </w:tc>
        <w:tc>
          <w:tcPr>
            <w:tcW w:w="901" w:type="dxa"/>
            <w:vMerge/>
            <w:vAlign w:val="center"/>
          </w:tcPr>
          <w:p w:rsidR="00C223F5" w:rsidRPr="00927E76" w:rsidRDefault="00C223F5">
            <w:pPr>
              <w:pStyle w:val="hb1"/>
              <w:spacing w:line="240" w:lineRule="auto"/>
              <w:ind w:firstLineChars="0" w:firstLine="0"/>
              <w:jc w:val="center"/>
              <w:rPr>
                <w:rFonts w:cs="Times New Roman"/>
                <w:sz w:val="21"/>
                <w:szCs w:val="21"/>
              </w:rPr>
            </w:pPr>
          </w:p>
        </w:tc>
        <w:tc>
          <w:tcPr>
            <w:tcW w:w="1291"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L50</w:t>
            </w:r>
          </w:p>
        </w:tc>
        <w:tc>
          <w:tcPr>
            <w:tcW w:w="1292"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L30</w:t>
            </w:r>
          </w:p>
        </w:tc>
        <w:tc>
          <w:tcPr>
            <w:tcW w:w="1292"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L10</w:t>
            </w:r>
          </w:p>
        </w:tc>
        <w:tc>
          <w:tcPr>
            <w:tcW w:w="1293" w:type="dxa"/>
            <w:vMerge/>
            <w:vAlign w:val="center"/>
          </w:tcPr>
          <w:p w:rsidR="00C223F5" w:rsidRPr="00927E76" w:rsidRDefault="00C223F5">
            <w:pPr>
              <w:pStyle w:val="hb1"/>
              <w:spacing w:line="240" w:lineRule="auto"/>
              <w:ind w:firstLineChars="0" w:firstLine="0"/>
              <w:jc w:val="center"/>
              <w:rPr>
                <w:rFonts w:cs="Times New Roman"/>
                <w:sz w:val="21"/>
                <w:szCs w:val="21"/>
              </w:rPr>
            </w:pPr>
          </w:p>
        </w:tc>
        <w:tc>
          <w:tcPr>
            <w:tcW w:w="1292" w:type="dxa"/>
            <w:vMerge/>
            <w:vAlign w:val="center"/>
          </w:tcPr>
          <w:p w:rsidR="00C223F5" w:rsidRPr="00927E76" w:rsidRDefault="00C223F5">
            <w:pPr>
              <w:pStyle w:val="hb1"/>
              <w:spacing w:line="240" w:lineRule="auto"/>
              <w:ind w:firstLineChars="0" w:firstLine="0"/>
              <w:jc w:val="center"/>
              <w:rPr>
                <w:rFonts w:cs="Times New Roman"/>
                <w:sz w:val="21"/>
                <w:szCs w:val="21"/>
              </w:rPr>
            </w:pPr>
          </w:p>
        </w:tc>
      </w:tr>
      <w:tr w:rsidR="00C223F5" w:rsidRPr="00927E76">
        <w:trPr>
          <w:jc w:val="center"/>
        </w:trPr>
        <w:tc>
          <w:tcPr>
            <w:tcW w:w="1360" w:type="dxa"/>
            <w:vMerge w:val="restart"/>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进场道路</w:t>
            </w:r>
          </w:p>
        </w:tc>
        <w:tc>
          <w:tcPr>
            <w:tcW w:w="901"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昼间</w:t>
            </w:r>
          </w:p>
        </w:tc>
        <w:tc>
          <w:tcPr>
            <w:tcW w:w="1291"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52</w:t>
            </w:r>
          </w:p>
        </w:tc>
        <w:tc>
          <w:tcPr>
            <w:tcW w:w="1292"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59</w:t>
            </w:r>
          </w:p>
        </w:tc>
        <w:tc>
          <w:tcPr>
            <w:tcW w:w="1292"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75</w:t>
            </w:r>
          </w:p>
        </w:tc>
        <w:tc>
          <w:tcPr>
            <w:tcW w:w="1293"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40</w:t>
            </w:r>
          </w:p>
        </w:tc>
        <w:tc>
          <w:tcPr>
            <w:tcW w:w="1292"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480</w:t>
            </w:r>
          </w:p>
        </w:tc>
      </w:tr>
      <w:tr w:rsidR="00C223F5" w:rsidRPr="00927E76">
        <w:trPr>
          <w:jc w:val="center"/>
        </w:trPr>
        <w:tc>
          <w:tcPr>
            <w:tcW w:w="1360" w:type="dxa"/>
            <w:vMerge/>
            <w:vAlign w:val="center"/>
          </w:tcPr>
          <w:p w:rsidR="00C223F5" w:rsidRPr="00927E76" w:rsidRDefault="00C223F5">
            <w:pPr>
              <w:pStyle w:val="hb1"/>
              <w:spacing w:line="240" w:lineRule="auto"/>
              <w:ind w:firstLineChars="0" w:firstLine="0"/>
              <w:jc w:val="center"/>
              <w:rPr>
                <w:rFonts w:cs="Times New Roman"/>
                <w:sz w:val="21"/>
                <w:szCs w:val="21"/>
              </w:rPr>
            </w:pPr>
          </w:p>
        </w:tc>
        <w:tc>
          <w:tcPr>
            <w:tcW w:w="901"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夜间</w:t>
            </w:r>
          </w:p>
        </w:tc>
        <w:tc>
          <w:tcPr>
            <w:tcW w:w="1291"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45</w:t>
            </w:r>
          </w:p>
        </w:tc>
        <w:tc>
          <w:tcPr>
            <w:tcW w:w="1292"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49</w:t>
            </w:r>
          </w:p>
        </w:tc>
        <w:tc>
          <w:tcPr>
            <w:tcW w:w="1292"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62</w:t>
            </w:r>
          </w:p>
        </w:tc>
        <w:tc>
          <w:tcPr>
            <w:tcW w:w="1293"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13</w:t>
            </w:r>
          </w:p>
        </w:tc>
        <w:tc>
          <w:tcPr>
            <w:tcW w:w="1292" w:type="dxa"/>
            <w:vAlign w:val="center"/>
          </w:tcPr>
          <w:p w:rsidR="00C223F5" w:rsidRPr="00927E76" w:rsidRDefault="005860D5">
            <w:pPr>
              <w:pStyle w:val="hb1"/>
              <w:spacing w:line="240" w:lineRule="auto"/>
              <w:ind w:firstLineChars="0" w:firstLine="0"/>
              <w:jc w:val="center"/>
              <w:rPr>
                <w:rFonts w:cs="Times New Roman"/>
                <w:sz w:val="21"/>
                <w:szCs w:val="21"/>
              </w:rPr>
            </w:pPr>
            <w:r w:rsidRPr="00927E76">
              <w:rPr>
                <w:rFonts w:cs="Times New Roman"/>
                <w:sz w:val="21"/>
                <w:szCs w:val="21"/>
              </w:rPr>
              <w:t>156</w:t>
            </w:r>
          </w:p>
        </w:tc>
      </w:tr>
    </w:tbl>
    <w:p w:rsidR="00C223F5" w:rsidRPr="00927E76" w:rsidRDefault="00C223F5">
      <w:pPr>
        <w:pStyle w:val="hb1"/>
        <w:spacing w:line="240" w:lineRule="auto"/>
        <w:ind w:firstLine="480"/>
      </w:pPr>
    </w:p>
    <w:p w:rsidR="00C223F5" w:rsidRPr="00927E76" w:rsidRDefault="005860D5" w:rsidP="004835BD">
      <w:pPr>
        <w:pStyle w:val="3"/>
        <w:numPr>
          <w:ilvl w:val="0"/>
          <w:numId w:val="0"/>
        </w:numPr>
        <w:spacing w:before="0" w:after="0" w:line="360" w:lineRule="auto"/>
        <w:ind w:left="170"/>
        <w:rPr>
          <w:rFonts w:eastAsia="宋体"/>
          <w:b/>
          <w:bCs w:val="0"/>
          <w:sz w:val="28"/>
          <w:szCs w:val="28"/>
        </w:rPr>
      </w:pPr>
      <w:bookmarkStart w:id="409" w:name="_Toc533604755"/>
      <w:bookmarkStart w:id="410" w:name="_Toc533604335"/>
      <w:bookmarkStart w:id="411" w:name="_Toc493246112"/>
      <w:bookmarkStart w:id="412" w:name="_Toc16785300"/>
      <w:r w:rsidRPr="00927E76">
        <w:rPr>
          <w:rFonts w:eastAsia="宋体" w:hint="eastAsia"/>
          <w:b/>
          <w:bCs w:val="0"/>
          <w:sz w:val="28"/>
          <w:szCs w:val="28"/>
        </w:rPr>
        <w:t>4.2.6</w:t>
      </w:r>
      <w:r w:rsidRPr="00927E76">
        <w:rPr>
          <w:rFonts w:eastAsia="宋体" w:hint="eastAsia"/>
          <w:b/>
          <w:bCs w:val="0"/>
          <w:sz w:val="28"/>
          <w:szCs w:val="28"/>
        </w:rPr>
        <w:t>固体废物环境影响预测与评价</w:t>
      </w:r>
      <w:bookmarkEnd w:id="409"/>
      <w:bookmarkEnd w:id="410"/>
      <w:bookmarkEnd w:id="411"/>
      <w:bookmarkEnd w:id="412"/>
    </w:p>
    <w:p w:rsidR="00C223F5" w:rsidRPr="00927E76" w:rsidRDefault="005860D5" w:rsidP="004835BD">
      <w:pPr>
        <w:pStyle w:val="4"/>
        <w:spacing w:before="0" w:after="0" w:line="360" w:lineRule="auto"/>
        <w:ind w:firstLineChars="100" w:firstLine="240"/>
        <w:rPr>
          <w:szCs w:val="24"/>
        </w:rPr>
      </w:pPr>
      <w:bookmarkStart w:id="413" w:name="_Toc488660720"/>
      <w:r w:rsidRPr="00927E76">
        <w:rPr>
          <w:szCs w:val="24"/>
        </w:rPr>
        <w:t>4.2.6.1</w:t>
      </w:r>
      <w:r w:rsidRPr="00927E76">
        <w:rPr>
          <w:szCs w:val="24"/>
        </w:rPr>
        <w:t>运营期固体废物的来源</w:t>
      </w:r>
      <w:bookmarkEnd w:id="413"/>
    </w:p>
    <w:p w:rsidR="00C223F5" w:rsidRPr="00927E76" w:rsidRDefault="005860D5">
      <w:pPr>
        <w:spacing w:line="360" w:lineRule="auto"/>
        <w:ind w:firstLineChars="200" w:firstLine="480"/>
        <w:rPr>
          <w:rFonts w:eastAsia="新宋体"/>
          <w:sz w:val="24"/>
        </w:rPr>
      </w:pPr>
      <w:r w:rsidRPr="00927E76">
        <w:rPr>
          <w:rFonts w:eastAsia="新宋体"/>
          <w:sz w:val="24"/>
        </w:rPr>
        <w:t>煤矿生产过程中产生的主要固体废弃物有</w:t>
      </w:r>
      <w:r w:rsidRPr="00927E76">
        <w:rPr>
          <w:rFonts w:hint="eastAsia"/>
          <w:sz w:val="24"/>
        </w:rPr>
        <w:t>煤矸石</w:t>
      </w:r>
      <w:r w:rsidRPr="00927E76">
        <w:rPr>
          <w:sz w:val="24"/>
        </w:rPr>
        <w:t>、</w:t>
      </w:r>
      <w:r w:rsidRPr="00927E76">
        <w:rPr>
          <w:rFonts w:eastAsia="新宋体"/>
          <w:sz w:val="24"/>
        </w:rPr>
        <w:t>生活垃圾、污泥及煤泥、废机油等，具体见表</w:t>
      </w:r>
      <w:r w:rsidRPr="00927E76">
        <w:rPr>
          <w:rFonts w:eastAsia="新宋体"/>
          <w:sz w:val="24"/>
        </w:rPr>
        <w:t>2.3.2-4</w:t>
      </w:r>
      <w:r w:rsidRPr="00927E76">
        <w:rPr>
          <w:rFonts w:eastAsia="新宋体"/>
          <w:sz w:val="24"/>
        </w:rPr>
        <w:t>。</w:t>
      </w:r>
    </w:p>
    <w:p w:rsidR="00C223F5" w:rsidRPr="00927E76" w:rsidRDefault="005860D5" w:rsidP="004835BD">
      <w:pPr>
        <w:pStyle w:val="4"/>
        <w:spacing w:before="0" w:after="0" w:line="360" w:lineRule="auto"/>
        <w:ind w:firstLineChars="100" w:firstLine="240"/>
        <w:rPr>
          <w:szCs w:val="24"/>
        </w:rPr>
      </w:pPr>
      <w:bookmarkStart w:id="414" w:name="_Toc488660721"/>
      <w:r w:rsidRPr="00927E76">
        <w:rPr>
          <w:szCs w:val="24"/>
        </w:rPr>
        <w:t>4.2.6.2</w:t>
      </w:r>
      <w:r w:rsidRPr="00927E76">
        <w:rPr>
          <w:szCs w:val="24"/>
        </w:rPr>
        <w:t>固体废物对环境的影响分析</w:t>
      </w:r>
      <w:bookmarkEnd w:id="414"/>
    </w:p>
    <w:p w:rsidR="00C223F5" w:rsidRPr="00927E76" w:rsidRDefault="005860D5" w:rsidP="00C006A7">
      <w:pPr>
        <w:spacing w:line="360" w:lineRule="auto"/>
        <w:ind w:firstLineChars="200" w:firstLine="482"/>
        <w:rPr>
          <w:b/>
          <w:bCs/>
          <w:sz w:val="24"/>
        </w:rPr>
      </w:pPr>
      <w:r w:rsidRPr="00927E76">
        <w:rPr>
          <w:rFonts w:hint="eastAsia"/>
          <w:b/>
          <w:bCs/>
          <w:sz w:val="24"/>
        </w:rPr>
        <w:t>（一）煤矸石对环境的影响分析</w:t>
      </w:r>
    </w:p>
    <w:p w:rsidR="00C223F5" w:rsidRPr="00B0292C" w:rsidRDefault="005860D5" w:rsidP="00A7553A">
      <w:pPr>
        <w:pStyle w:val="hb1"/>
        <w:ind w:firstLine="480"/>
        <w:rPr>
          <w:rFonts w:cs="Times New Roman"/>
          <w:color w:val="FF0000"/>
        </w:rPr>
      </w:pPr>
      <w:r w:rsidRPr="00927E76">
        <w:rPr>
          <w:rFonts w:cs="Times New Roman"/>
          <w:bCs w:val="0"/>
        </w:rPr>
        <w:t>本项目不设排矸场，</w:t>
      </w:r>
      <w:r w:rsidRPr="00927E76">
        <w:rPr>
          <w:rFonts w:cs="Times New Roman" w:hint="eastAsia"/>
          <w:bCs w:val="0"/>
        </w:rPr>
        <w:t>井下掘进矸石</w:t>
      </w:r>
      <w:r w:rsidR="00DF7CF7" w:rsidRPr="00927E76">
        <w:rPr>
          <w:rFonts w:cs="Times New Roman" w:hint="eastAsia"/>
          <w:bCs w:val="0"/>
        </w:rPr>
        <w:t>不出井</w:t>
      </w:r>
      <w:r w:rsidRPr="00927E76">
        <w:rPr>
          <w:rFonts w:cs="Times New Roman" w:hint="eastAsia"/>
          <w:bCs w:val="0"/>
        </w:rPr>
        <w:t>，</w:t>
      </w:r>
      <w:r w:rsidRPr="00927E76">
        <w:rPr>
          <w:rFonts w:cs="Times New Roman"/>
          <w:bCs w:val="0"/>
        </w:rPr>
        <w:t>洗选矸石</w:t>
      </w:r>
      <w:r w:rsidRPr="00927E76">
        <w:rPr>
          <w:rFonts w:cs="Times New Roman" w:hint="eastAsia"/>
          <w:bCs w:val="0"/>
        </w:rPr>
        <w:t>优先</w:t>
      </w:r>
      <w:r w:rsidRPr="00927E76">
        <w:rPr>
          <w:rFonts w:cs="Times New Roman"/>
          <w:bCs w:val="0"/>
        </w:rPr>
        <w:t>运往</w:t>
      </w:r>
      <w:r w:rsidRPr="00927E76">
        <w:rPr>
          <w:rFonts w:hAnsi="宋体" w:hint="eastAsia"/>
        </w:rPr>
        <w:t>子洲县马岔乡大堡岔兴盛砖厂和大堡岔红旗空心砖厂</w:t>
      </w:r>
      <w:r w:rsidRPr="00927E76">
        <w:rPr>
          <w:rFonts w:cs="Times New Roman" w:hint="eastAsia"/>
          <w:bCs w:val="0"/>
        </w:rPr>
        <w:t>综合利用，部分外售给</w:t>
      </w:r>
      <w:r w:rsidR="00BF393E" w:rsidRPr="00927E76">
        <w:rPr>
          <w:rFonts w:cs="Times New Roman" w:hint="eastAsia"/>
          <w:bCs w:val="0"/>
        </w:rPr>
        <w:t>圣拓（陕西）矿业有限公司作为</w:t>
      </w:r>
      <w:r w:rsidRPr="00927E76">
        <w:rPr>
          <w:rFonts w:cs="Times New Roman" w:hint="eastAsia"/>
          <w:bCs w:val="0"/>
        </w:rPr>
        <w:t>充填</w:t>
      </w:r>
      <w:r w:rsidR="00BF393E" w:rsidRPr="00927E76">
        <w:rPr>
          <w:rFonts w:cs="Times New Roman" w:hint="eastAsia"/>
          <w:bCs w:val="0"/>
        </w:rPr>
        <w:t>原料</w:t>
      </w:r>
      <w:r w:rsidRPr="00927E76">
        <w:rPr>
          <w:rFonts w:cs="Times New Roman" w:hint="eastAsia"/>
          <w:bCs w:val="0"/>
        </w:rPr>
        <w:t>，</w:t>
      </w:r>
      <w:r w:rsidR="00BF393E" w:rsidRPr="00927E76">
        <w:rPr>
          <w:rFonts w:cs="Times New Roman" w:hint="eastAsia"/>
          <w:bCs w:val="0"/>
        </w:rPr>
        <w:t>利用不畅时</w:t>
      </w:r>
      <w:r w:rsidRPr="00927E76">
        <w:rPr>
          <w:rFonts w:cs="Times New Roman" w:hint="eastAsia"/>
          <w:bCs w:val="0"/>
        </w:rPr>
        <w:t>由无轨胶轮车经副斜井回填井下废弃巷道，</w:t>
      </w:r>
      <w:r w:rsidRPr="00927E76">
        <w:rPr>
          <w:rFonts w:cs="Times New Roman"/>
        </w:rPr>
        <w:t>工业场地内设置有</w:t>
      </w:r>
      <w:r w:rsidRPr="00927E76">
        <w:rPr>
          <w:rFonts w:cs="Times New Roman" w:hint="eastAsia"/>
        </w:rPr>
        <w:t>1</w:t>
      </w:r>
      <w:r w:rsidRPr="00927E76">
        <w:rPr>
          <w:rFonts w:cs="Times New Roman"/>
        </w:rPr>
        <w:t>个矸石方仓，容量</w:t>
      </w:r>
      <w:r w:rsidRPr="00927E76">
        <w:rPr>
          <w:rFonts w:cs="Times New Roman"/>
        </w:rPr>
        <w:t>2500t</w:t>
      </w:r>
      <w:r w:rsidR="00B0292C" w:rsidRPr="00B0292C">
        <w:rPr>
          <w:rFonts w:cs="Times New Roman" w:hint="eastAsia"/>
          <w:color w:val="FF0000"/>
        </w:rPr>
        <w:t>（满足矿井正常生产</w:t>
      </w:r>
      <w:r w:rsidR="00B0292C" w:rsidRPr="00B0292C">
        <w:rPr>
          <w:rFonts w:cs="Times New Roman" w:hint="eastAsia"/>
          <w:color w:val="FF0000"/>
        </w:rPr>
        <w:t>3~5</w:t>
      </w:r>
      <w:r w:rsidR="00B0292C" w:rsidRPr="00B0292C">
        <w:rPr>
          <w:rFonts w:cs="Times New Roman" w:hint="eastAsia"/>
          <w:color w:val="FF0000"/>
        </w:rPr>
        <w:t>天矸石暂存量）</w:t>
      </w:r>
      <w:r w:rsidRPr="00B0292C">
        <w:rPr>
          <w:rFonts w:cs="Times New Roman"/>
          <w:color w:val="FF0000"/>
        </w:rPr>
        <w:t>。</w:t>
      </w:r>
    </w:p>
    <w:p w:rsidR="00C223F5" w:rsidRPr="00927E76" w:rsidRDefault="005860D5" w:rsidP="00A7553A">
      <w:pPr>
        <w:adjustRightInd w:val="0"/>
        <w:spacing w:line="360" w:lineRule="auto"/>
        <w:ind w:firstLineChars="200" w:firstLine="480"/>
        <w:textAlignment w:val="baseline"/>
        <w:rPr>
          <w:bCs/>
          <w:kern w:val="44"/>
          <w:sz w:val="24"/>
        </w:rPr>
      </w:pPr>
      <w:r w:rsidRPr="00927E76">
        <w:rPr>
          <w:bCs/>
          <w:kern w:val="44"/>
          <w:sz w:val="24"/>
        </w:rPr>
        <w:t>在采取环评及设计要求措施前提下，</w:t>
      </w:r>
      <w:r w:rsidRPr="00927E76">
        <w:rPr>
          <w:rFonts w:hint="eastAsia"/>
          <w:bCs/>
          <w:kern w:val="44"/>
          <w:sz w:val="24"/>
        </w:rPr>
        <w:t>煤</w:t>
      </w:r>
      <w:r w:rsidRPr="00927E76">
        <w:rPr>
          <w:bCs/>
          <w:kern w:val="44"/>
          <w:sz w:val="24"/>
        </w:rPr>
        <w:t>矸石对环境影响轻微。</w:t>
      </w:r>
    </w:p>
    <w:p w:rsidR="00C223F5" w:rsidRPr="00927E76" w:rsidRDefault="005860D5" w:rsidP="00C006A7">
      <w:pPr>
        <w:spacing w:line="360" w:lineRule="auto"/>
        <w:ind w:firstLineChars="200" w:firstLine="482"/>
        <w:rPr>
          <w:b/>
          <w:bCs/>
          <w:sz w:val="24"/>
        </w:rPr>
      </w:pPr>
      <w:r w:rsidRPr="00927E76">
        <w:rPr>
          <w:b/>
          <w:bCs/>
          <w:sz w:val="24"/>
        </w:rPr>
        <w:t>（二）其它固体废弃物</w:t>
      </w:r>
      <w:r w:rsidRPr="00927E76">
        <w:rPr>
          <w:rFonts w:hint="eastAsia"/>
          <w:b/>
          <w:bCs/>
          <w:sz w:val="24"/>
        </w:rPr>
        <w:t>对环境的影响分析</w:t>
      </w:r>
    </w:p>
    <w:p w:rsidR="00C223F5" w:rsidRDefault="005860D5" w:rsidP="00A7553A">
      <w:pPr>
        <w:snapToGrid w:val="0"/>
        <w:spacing w:line="360" w:lineRule="auto"/>
        <w:ind w:firstLineChars="200" w:firstLine="480"/>
        <w:contextualSpacing/>
        <w:rPr>
          <w:sz w:val="24"/>
        </w:rPr>
      </w:pPr>
      <w:r w:rsidRPr="00927E76">
        <w:rPr>
          <w:sz w:val="24"/>
        </w:rPr>
        <w:lastRenderedPageBreak/>
        <w:t>本项目的生活垃圾以废纸、塑料等为主，其次为有机质等。垃圾的随意堆放首先是造成感观污染，其次是其中的有机质容易变质、腐烂，析出污水，招致蚊蝇，从而导致污染空气，传染</w:t>
      </w:r>
      <w:r>
        <w:rPr>
          <w:sz w:val="24"/>
        </w:rPr>
        <w:t>疾病，影响环境卫生。</w:t>
      </w:r>
      <w:r>
        <w:rPr>
          <w:rFonts w:hint="eastAsia"/>
          <w:sz w:val="24"/>
        </w:rPr>
        <w:t>在工业场地内定点设置垃圾箱，生活垃圾</w:t>
      </w:r>
      <w:r>
        <w:rPr>
          <w:sz w:val="24"/>
        </w:rPr>
        <w:t>集中</w:t>
      </w:r>
      <w:r>
        <w:rPr>
          <w:rFonts w:hint="eastAsia"/>
          <w:sz w:val="24"/>
        </w:rPr>
        <w:t>收集后</w:t>
      </w:r>
      <w:r>
        <w:rPr>
          <w:sz w:val="24"/>
        </w:rPr>
        <w:t>由当地环卫部门统一处理</w:t>
      </w:r>
      <w:r>
        <w:rPr>
          <w:rFonts w:hint="eastAsia"/>
          <w:sz w:val="24"/>
        </w:rPr>
        <w:t>，生活垃圾对环境影响较小。</w:t>
      </w:r>
    </w:p>
    <w:p w:rsidR="00C223F5" w:rsidRDefault="005860D5">
      <w:pPr>
        <w:spacing w:line="360" w:lineRule="auto"/>
        <w:ind w:firstLineChars="200" w:firstLine="480"/>
        <w:rPr>
          <w:sz w:val="24"/>
        </w:rPr>
      </w:pPr>
      <w:r>
        <w:rPr>
          <w:rFonts w:hint="eastAsia"/>
          <w:sz w:val="24"/>
        </w:rPr>
        <w:t>矿井水处理站产生的煤泥经压滤后掺入产品煤中外售；</w:t>
      </w:r>
      <w:r>
        <w:rPr>
          <w:sz w:val="24"/>
        </w:rPr>
        <w:t>生活污水处理站</w:t>
      </w:r>
      <w:r>
        <w:rPr>
          <w:rFonts w:hint="eastAsia"/>
          <w:sz w:val="24"/>
        </w:rPr>
        <w:t>产生的</w:t>
      </w:r>
      <w:r>
        <w:rPr>
          <w:sz w:val="24"/>
        </w:rPr>
        <w:t>污泥</w:t>
      </w:r>
      <w:r>
        <w:rPr>
          <w:rFonts w:hint="eastAsia"/>
          <w:sz w:val="24"/>
        </w:rPr>
        <w:t>经</w:t>
      </w:r>
      <w:r>
        <w:rPr>
          <w:sz w:val="24"/>
        </w:rPr>
        <w:t>脱水后全部交由当地环卫部门统一处理</w:t>
      </w:r>
      <w:r>
        <w:rPr>
          <w:rFonts w:hint="eastAsia"/>
          <w:sz w:val="24"/>
        </w:rPr>
        <w:t>，污泥和煤泥对环境影响较小。</w:t>
      </w:r>
    </w:p>
    <w:p w:rsidR="00C223F5" w:rsidRDefault="005860D5">
      <w:pPr>
        <w:pStyle w:val="hb1"/>
        <w:ind w:firstLine="480"/>
      </w:pPr>
      <w:r>
        <w:t>矿井</w:t>
      </w:r>
      <w:r>
        <w:rPr>
          <w:rFonts w:hint="eastAsia"/>
        </w:rPr>
        <w:t>工业场地设</w:t>
      </w:r>
      <w:r>
        <w:rPr>
          <w:rFonts w:ascii="宋体" w:hAnsi="宋体" w:hint="eastAsia"/>
        </w:rPr>
        <w:t>设备中转、材料库联合建筑</w:t>
      </w:r>
      <w:r w:rsidR="00EC2BEA">
        <w:rPr>
          <w:rFonts w:ascii="宋体" w:hAnsi="宋体" w:hint="eastAsia"/>
        </w:rPr>
        <w:t>、</w:t>
      </w:r>
      <w:r>
        <w:rPr>
          <w:rFonts w:ascii="宋体" w:hAnsi="宋体" w:hint="eastAsia"/>
        </w:rPr>
        <w:t>油脂库</w:t>
      </w:r>
      <w:r>
        <w:rPr>
          <w:rFonts w:hint="eastAsia"/>
        </w:rPr>
        <w:t>，</w:t>
      </w:r>
      <w:r>
        <w:t>工业场地一般情况下</w:t>
      </w:r>
      <w:r>
        <w:rPr>
          <w:rFonts w:hint="eastAsia"/>
        </w:rPr>
        <w:t>会产生少量</w:t>
      </w:r>
      <w:r>
        <w:t>废机油、油抹布、废油桶等</w:t>
      </w:r>
      <w:r>
        <w:rPr>
          <w:rFonts w:hint="eastAsia"/>
        </w:rPr>
        <w:t>危险废物，产生的</w:t>
      </w:r>
      <w:r>
        <w:t>危险废物全部交由有资质的单位进行处置。</w:t>
      </w:r>
      <w:r w:rsidRPr="00EC2BEA">
        <w:rPr>
          <w:rFonts w:cs="Times New Roman"/>
          <w:color w:val="FF0000"/>
        </w:rPr>
        <w:t>环评要求工业场地内</w:t>
      </w:r>
      <w:r w:rsidR="00EC2BEA" w:rsidRPr="00EC2BEA">
        <w:rPr>
          <w:rFonts w:cs="Times New Roman" w:hint="eastAsia"/>
          <w:color w:val="FF0000"/>
        </w:rPr>
        <w:t>的油脂库分隔共建危废暂存间一处，</w:t>
      </w:r>
      <w:r>
        <w:rPr>
          <w:rFonts w:cs="Times New Roman"/>
        </w:rPr>
        <w:t>并采取有效的防渗措施，</w:t>
      </w:r>
      <w:r w:rsidR="00EC2BEA">
        <w:rPr>
          <w:rFonts w:cs="Times New Roman" w:hint="eastAsia"/>
        </w:rPr>
        <w:t>设</w:t>
      </w:r>
      <w:r w:rsidR="00EC2BEA" w:rsidRPr="00EC2BEA">
        <w:rPr>
          <w:rFonts w:cs="Times New Roman" w:hint="eastAsia"/>
          <w:color w:val="FF0000"/>
        </w:rPr>
        <w:t>置围堰</w:t>
      </w:r>
      <w:r w:rsidR="00EC2BEA" w:rsidRPr="00EC2BEA">
        <w:rPr>
          <w:rFonts w:cs="Times New Roman"/>
          <w:color w:val="FF0000"/>
        </w:rPr>
        <w:t>、导流槽和事故收集池</w:t>
      </w:r>
      <w:r w:rsidR="00EC2BEA" w:rsidRPr="00EC2BEA">
        <w:rPr>
          <w:rFonts w:cs="Times New Roman" w:hint="eastAsia"/>
          <w:color w:val="FF0000"/>
        </w:rPr>
        <w:t>，</w:t>
      </w:r>
      <w:r>
        <w:rPr>
          <w:rFonts w:hint="eastAsia"/>
        </w:rPr>
        <w:t>贮存场所</w:t>
      </w:r>
      <w:r>
        <w:t>应按《危险废物贮存污染控制标准》（</w:t>
      </w:r>
      <w:r>
        <w:t>GB 18597-2001</w:t>
      </w:r>
      <w:r>
        <w:t>）要求收集暂存，交有资质的单位处置。</w:t>
      </w:r>
    </w:p>
    <w:p w:rsidR="00C223F5" w:rsidRPr="00927E76" w:rsidRDefault="005860D5">
      <w:pPr>
        <w:spacing w:line="360" w:lineRule="auto"/>
        <w:ind w:firstLineChars="200" w:firstLine="480"/>
        <w:rPr>
          <w:sz w:val="24"/>
        </w:rPr>
      </w:pPr>
      <w:r>
        <w:rPr>
          <w:rFonts w:hint="eastAsia"/>
          <w:sz w:val="24"/>
        </w:rPr>
        <w:t>综上所述，采</w:t>
      </w:r>
      <w:r w:rsidRPr="00927E76">
        <w:rPr>
          <w:rFonts w:hint="eastAsia"/>
          <w:sz w:val="24"/>
        </w:rPr>
        <w:t>取以上处置措施后，本项目生产过程中产生的各种固体废物可以得到妥善处理或处置，周围环境影响较小。</w:t>
      </w:r>
    </w:p>
    <w:p w:rsidR="00C223F5" w:rsidRPr="00927E76" w:rsidRDefault="005860D5" w:rsidP="004835BD">
      <w:pPr>
        <w:pStyle w:val="3"/>
        <w:numPr>
          <w:ilvl w:val="0"/>
          <w:numId w:val="0"/>
        </w:numPr>
        <w:spacing w:before="0" w:after="0" w:line="360" w:lineRule="auto"/>
        <w:ind w:left="170"/>
        <w:rPr>
          <w:rFonts w:eastAsia="宋体"/>
          <w:b/>
          <w:bCs w:val="0"/>
          <w:sz w:val="28"/>
          <w:szCs w:val="28"/>
        </w:rPr>
      </w:pPr>
      <w:bookmarkStart w:id="415" w:name="_Toc16785301"/>
      <w:r w:rsidRPr="00927E76">
        <w:rPr>
          <w:rFonts w:eastAsia="宋体" w:hint="eastAsia"/>
          <w:b/>
          <w:bCs w:val="0"/>
          <w:sz w:val="28"/>
          <w:szCs w:val="28"/>
        </w:rPr>
        <w:t>4.2.7</w:t>
      </w:r>
      <w:r w:rsidRPr="00927E76">
        <w:rPr>
          <w:rFonts w:eastAsia="宋体"/>
          <w:b/>
          <w:bCs w:val="0"/>
          <w:sz w:val="28"/>
          <w:szCs w:val="28"/>
        </w:rPr>
        <w:t>土壤环境影响分析</w:t>
      </w:r>
      <w:bookmarkEnd w:id="415"/>
    </w:p>
    <w:p w:rsidR="00C223F5" w:rsidRDefault="005860D5">
      <w:pPr>
        <w:tabs>
          <w:tab w:val="left" w:pos="2552"/>
          <w:tab w:val="left" w:pos="5387"/>
        </w:tabs>
        <w:spacing w:line="360" w:lineRule="auto"/>
        <w:ind w:firstLineChars="200" w:firstLine="480"/>
        <w:rPr>
          <w:sz w:val="24"/>
        </w:rPr>
      </w:pPr>
      <w:r w:rsidRPr="00927E76">
        <w:rPr>
          <w:rFonts w:hint="eastAsia"/>
          <w:sz w:val="24"/>
        </w:rPr>
        <w:t>本</w:t>
      </w:r>
      <w:r w:rsidRPr="00927E76">
        <w:rPr>
          <w:sz w:val="24"/>
        </w:rPr>
        <w:t>项目</w:t>
      </w:r>
      <w:r w:rsidRPr="00927E76">
        <w:rPr>
          <w:rFonts w:hint="eastAsia"/>
          <w:sz w:val="24"/>
        </w:rPr>
        <w:t>生产对土壤环境的影响包括污染影响型和生态影响型两类。其中污染影响型主要为工业场地内污废水及矿物质油等的泄露对土壤环境影响，生态影响型主要为采煤沉陷可能造成的盐化影响。</w:t>
      </w:r>
      <w:r w:rsidR="00286D90">
        <w:rPr>
          <w:rFonts w:hint="eastAsia"/>
          <w:sz w:val="24"/>
        </w:rPr>
        <w:t>本项目土壤环境影响类型与影响途径见表</w:t>
      </w:r>
      <w:r w:rsidR="00286D90">
        <w:rPr>
          <w:rFonts w:hint="eastAsia"/>
          <w:sz w:val="24"/>
        </w:rPr>
        <w:t>4.2.7-1</w:t>
      </w:r>
      <w:r w:rsidR="00286D90">
        <w:rPr>
          <w:rFonts w:hint="eastAsia"/>
          <w:sz w:val="24"/>
        </w:rPr>
        <w:t>。</w:t>
      </w:r>
    </w:p>
    <w:p w:rsidR="00286D90" w:rsidRPr="00286D90" w:rsidRDefault="00286D90" w:rsidP="00286D90">
      <w:pPr>
        <w:tabs>
          <w:tab w:val="left" w:pos="2552"/>
          <w:tab w:val="left" w:pos="5387"/>
        </w:tabs>
        <w:jc w:val="center"/>
        <w:rPr>
          <w:b/>
          <w:sz w:val="24"/>
        </w:rPr>
      </w:pPr>
      <w:r w:rsidRPr="00286D90">
        <w:rPr>
          <w:rFonts w:hint="eastAsia"/>
          <w:b/>
          <w:sz w:val="24"/>
        </w:rPr>
        <w:t>表</w:t>
      </w:r>
      <w:r w:rsidRPr="00286D90">
        <w:rPr>
          <w:rFonts w:hint="eastAsia"/>
          <w:b/>
          <w:sz w:val="24"/>
        </w:rPr>
        <w:t xml:space="preserve">4.2.7-1   </w:t>
      </w:r>
      <w:r w:rsidRPr="00286D90">
        <w:rPr>
          <w:rFonts w:hint="eastAsia"/>
          <w:b/>
          <w:sz w:val="24"/>
        </w:rPr>
        <w:t>项目土壤环境影响类型与影响途径表</w:t>
      </w:r>
    </w:p>
    <w:tbl>
      <w:tblPr>
        <w:tblStyle w:val="afffe"/>
        <w:tblW w:w="9206" w:type="dxa"/>
        <w:jc w:val="center"/>
        <w:tblLook w:val="04A0" w:firstRow="1" w:lastRow="0" w:firstColumn="1" w:lastColumn="0" w:noHBand="0" w:noVBand="1"/>
      </w:tblPr>
      <w:tblGrid>
        <w:gridCol w:w="969"/>
        <w:gridCol w:w="1124"/>
        <w:gridCol w:w="1134"/>
        <w:gridCol w:w="1134"/>
        <w:gridCol w:w="969"/>
        <w:gridCol w:w="969"/>
        <w:gridCol w:w="969"/>
        <w:gridCol w:w="969"/>
        <w:gridCol w:w="969"/>
      </w:tblGrid>
      <w:tr w:rsidR="00286D90" w:rsidRPr="00286D90" w:rsidTr="00286D90">
        <w:trPr>
          <w:jc w:val="center"/>
        </w:trPr>
        <w:tc>
          <w:tcPr>
            <w:tcW w:w="969" w:type="dxa"/>
            <w:vMerge w:val="restart"/>
            <w:vAlign w:val="center"/>
          </w:tcPr>
          <w:p w:rsidR="00286D90" w:rsidRDefault="00286D90" w:rsidP="00286D90">
            <w:pPr>
              <w:tabs>
                <w:tab w:val="left" w:pos="2552"/>
                <w:tab w:val="left" w:pos="5387"/>
              </w:tabs>
              <w:jc w:val="center"/>
              <w:rPr>
                <w:szCs w:val="21"/>
              </w:rPr>
            </w:pPr>
            <w:r w:rsidRPr="00286D90">
              <w:rPr>
                <w:rFonts w:hint="eastAsia"/>
                <w:szCs w:val="21"/>
              </w:rPr>
              <w:t>不同</w:t>
            </w:r>
          </w:p>
          <w:p w:rsidR="00286D90" w:rsidRPr="00286D90" w:rsidRDefault="00286D90" w:rsidP="00286D90">
            <w:pPr>
              <w:tabs>
                <w:tab w:val="left" w:pos="2552"/>
                <w:tab w:val="left" w:pos="5387"/>
              </w:tabs>
              <w:jc w:val="center"/>
              <w:rPr>
                <w:szCs w:val="21"/>
              </w:rPr>
            </w:pPr>
            <w:r w:rsidRPr="00286D90">
              <w:rPr>
                <w:rFonts w:hint="eastAsia"/>
                <w:szCs w:val="21"/>
              </w:rPr>
              <w:t>时段</w:t>
            </w:r>
          </w:p>
        </w:tc>
        <w:tc>
          <w:tcPr>
            <w:tcW w:w="4361" w:type="dxa"/>
            <w:gridSpan w:val="4"/>
            <w:vAlign w:val="center"/>
          </w:tcPr>
          <w:p w:rsidR="00286D90" w:rsidRPr="00286D90" w:rsidRDefault="00286D90" w:rsidP="00286D90">
            <w:pPr>
              <w:tabs>
                <w:tab w:val="left" w:pos="2552"/>
                <w:tab w:val="left" w:pos="5387"/>
              </w:tabs>
              <w:jc w:val="center"/>
              <w:rPr>
                <w:szCs w:val="21"/>
              </w:rPr>
            </w:pPr>
            <w:r w:rsidRPr="00286D90">
              <w:rPr>
                <w:rFonts w:hint="eastAsia"/>
                <w:szCs w:val="21"/>
              </w:rPr>
              <w:t>污染影响型</w:t>
            </w:r>
          </w:p>
        </w:tc>
        <w:tc>
          <w:tcPr>
            <w:tcW w:w="3876" w:type="dxa"/>
            <w:gridSpan w:val="4"/>
            <w:vAlign w:val="center"/>
          </w:tcPr>
          <w:p w:rsidR="00286D90" w:rsidRPr="00286D90" w:rsidRDefault="00286D90" w:rsidP="00286D90">
            <w:pPr>
              <w:tabs>
                <w:tab w:val="left" w:pos="2552"/>
                <w:tab w:val="left" w:pos="5387"/>
              </w:tabs>
              <w:jc w:val="center"/>
              <w:rPr>
                <w:szCs w:val="21"/>
              </w:rPr>
            </w:pPr>
            <w:r w:rsidRPr="00286D90">
              <w:rPr>
                <w:rFonts w:hint="eastAsia"/>
                <w:szCs w:val="21"/>
              </w:rPr>
              <w:t>生态影响型</w:t>
            </w:r>
          </w:p>
        </w:tc>
      </w:tr>
      <w:tr w:rsidR="00286D90" w:rsidRPr="00286D90" w:rsidTr="00286D90">
        <w:trPr>
          <w:jc w:val="center"/>
        </w:trPr>
        <w:tc>
          <w:tcPr>
            <w:tcW w:w="969" w:type="dxa"/>
            <w:vMerge/>
            <w:vAlign w:val="center"/>
          </w:tcPr>
          <w:p w:rsidR="00286D90" w:rsidRPr="00286D90" w:rsidRDefault="00286D90" w:rsidP="00286D90">
            <w:pPr>
              <w:tabs>
                <w:tab w:val="left" w:pos="2552"/>
                <w:tab w:val="left" w:pos="5387"/>
              </w:tabs>
              <w:jc w:val="center"/>
              <w:rPr>
                <w:szCs w:val="21"/>
              </w:rPr>
            </w:pPr>
          </w:p>
        </w:tc>
        <w:tc>
          <w:tcPr>
            <w:tcW w:w="1124" w:type="dxa"/>
            <w:vAlign w:val="center"/>
          </w:tcPr>
          <w:p w:rsidR="00286D90" w:rsidRPr="00286D90" w:rsidRDefault="00286D90" w:rsidP="00286D90">
            <w:pPr>
              <w:tabs>
                <w:tab w:val="left" w:pos="2552"/>
                <w:tab w:val="left" w:pos="5387"/>
              </w:tabs>
              <w:jc w:val="center"/>
              <w:rPr>
                <w:szCs w:val="21"/>
              </w:rPr>
            </w:pPr>
            <w:r w:rsidRPr="00286D90">
              <w:rPr>
                <w:rFonts w:hint="eastAsia"/>
                <w:szCs w:val="21"/>
              </w:rPr>
              <w:t>大气沉降</w:t>
            </w:r>
          </w:p>
        </w:tc>
        <w:tc>
          <w:tcPr>
            <w:tcW w:w="1134" w:type="dxa"/>
            <w:vAlign w:val="center"/>
          </w:tcPr>
          <w:p w:rsidR="00286D90" w:rsidRPr="00286D90" w:rsidRDefault="00286D90" w:rsidP="00286D90">
            <w:pPr>
              <w:tabs>
                <w:tab w:val="left" w:pos="2552"/>
                <w:tab w:val="left" w:pos="5387"/>
              </w:tabs>
              <w:jc w:val="center"/>
              <w:rPr>
                <w:szCs w:val="21"/>
              </w:rPr>
            </w:pPr>
            <w:r w:rsidRPr="00286D90">
              <w:rPr>
                <w:rFonts w:hint="eastAsia"/>
                <w:szCs w:val="21"/>
              </w:rPr>
              <w:t>地面漫流</w:t>
            </w:r>
          </w:p>
        </w:tc>
        <w:tc>
          <w:tcPr>
            <w:tcW w:w="1134" w:type="dxa"/>
            <w:vAlign w:val="center"/>
          </w:tcPr>
          <w:p w:rsidR="00286D90" w:rsidRPr="00286D90" w:rsidRDefault="00286D90" w:rsidP="00286D90">
            <w:pPr>
              <w:tabs>
                <w:tab w:val="left" w:pos="2552"/>
                <w:tab w:val="left" w:pos="5387"/>
              </w:tabs>
              <w:jc w:val="center"/>
              <w:rPr>
                <w:szCs w:val="21"/>
              </w:rPr>
            </w:pPr>
            <w:r w:rsidRPr="00286D90">
              <w:rPr>
                <w:rFonts w:hint="eastAsia"/>
                <w:szCs w:val="21"/>
              </w:rPr>
              <w:t>垂直入渗</w:t>
            </w:r>
          </w:p>
        </w:tc>
        <w:tc>
          <w:tcPr>
            <w:tcW w:w="969" w:type="dxa"/>
            <w:vAlign w:val="center"/>
          </w:tcPr>
          <w:p w:rsidR="00286D90" w:rsidRPr="00286D90" w:rsidRDefault="00286D90" w:rsidP="00286D90">
            <w:pPr>
              <w:tabs>
                <w:tab w:val="left" w:pos="2552"/>
                <w:tab w:val="left" w:pos="5387"/>
              </w:tabs>
              <w:jc w:val="center"/>
              <w:rPr>
                <w:szCs w:val="21"/>
              </w:rPr>
            </w:pPr>
            <w:r w:rsidRPr="00286D90">
              <w:rPr>
                <w:rFonts w:hint="eastAsia"/>
                <w:szCs w:val="21"/>
              </w:rPr>
              <w:t>其他</w:t>
            </w:r>
          </w:p>
        </w:tc>
        <w:tc>
          <w:tcPr>
            <w:tcW w:w="969" w:type="dxa"/>
            <w:vAlign w:val="center"/>
          </w:tcPr>
          <w:p w:rsidR="00286D90" w:rsidRPr="00286D90" w:rsidRDefault="00286D90" w:rsidP="00286D90">
            <w:pPr>
              <w:tabs>
                <w:tab w:val="left" w:pos="2552"/>
                <w:tab w:val="left" w:pos="5387"/>
              </w:tabs>
              <w:jc w:val="center"/>
              <w:rPr>
                <w:szCs w:val="21"/>
              </w:rPr>
            </w:pPr>
            <w:r w:rsidRPr="00286D90">
              <w:rPr>
                <w:rFonts w:hint="eastAsia"/>
                <w:szCs w:val="21"/>
              </w:rPr>
              <w:t>盐化</w:t>
            </w:r>
          </w:p>
        </w:tc>
        <w:tc>
          <w:tcPr>
            <w:tcW w:w="969" w:type="dxa"/>
            <w:vAlign w:val="center"/>
          </w:tcPr>
          <w:p w:rsidR="00286D90" w:rsidRPr="00286D90" w:rsidRDefault="00286D90" w:rsidP="00286D90">
            <w:pPr>
              <w:tabs>
                <w:tab w:val="left" w:pos="2552"/>
                <w:tab w:val="left" w:pos="5387"/>
              </w:tabs>
              <w:jc w:val="center"/>
              <w:rPr>
                <w:szCs w:val="21"/>
              </w:rPr>
            </w:pPr>
            <w:r w:rsidRPr="00286D90">
              <w:rPr>
                <w:rFonts w:hint="eastAsia"/>
                <w:szCs w:val="21"/>
              </w:rPr>
              <w:t>碱化</w:t>
            </w:r>
          </w:p>
        </w:tc>
        <w:tc>
          <w:tcPr>
            <w:tcW w:w="969" w:type="dxa"/>
            <w:vAlign w:val="center"/>
          </w:tcPr>
          <w:p w:rsidR="00286D90" w:rsidRPr="00286D90" w:rsidRDefault="00286D90" w:rsidP="00286D90">
            <w:pPr>
              <w:tabs>
                <w:tab w:val="left" w:pos="2552"/>
                <w:tab w:val="left" w:pos="5387"/>
              </w:tabs>
              <w:jc w:val="center"/>
              <w:rPr>
                <w:szCs w:val="21"/>
              </w:rPr>
            </w:pPr>
            <w:r w:rsidRPr="00286D90">
              <w:rPr>
                <w:rFonts w:hint="eastAsia"/>
                <w:szCs w:val="21"/>
              </w:rPr>
              <w:t>酸化</w:t>
            </w:r>
          </w:p>
        </w:tc>
        <w:tc>
          <w:tcPr>
            <w:tcW w:w="969" w:type="dxa"/>
            <w:vAlign w:val="center"/>
          </w:tcPr>
          <w:p w:rsidR="00286D90" w:rsidRPr="00286D90" w:rsidRDefault="00286D90" w:rsidP="00286D90">
            <w:pPr>
              <w:tabs>
                <w:tab w:val="left" w:pos="2552"/>
                <w:tab w:val="left" w:pos="5387"/>
              </w:tabs>
              <w:jc w:val="center"/>
              <w:rPr>
                <w:szCs w:val="21"/>
              </w:rPr>
            </w:pPr>
            <w:r w:rsidRPr="00286D90">
              <w:rPr>
                <w:rFonts w:hint="eastAsia"/>
                <w:szCs w:val="21"/>
              </w:rPr>
              <w:t>其他</w:t>
            </w:r>
          </w:p>
        </w:tc>
      </w:tr>
      <w:tr w:rsidR="00286D90" w:rsidRPr="00286D90" w:rsidTr="00286D90">
        <w:trPr>
          <w:jc w:val="center"/>
        </w:trPr>
        <w:tc>
          <w:tcPr>
            <w:tcW w:w="969" w:type="dxa"/>
            <w:vAlign w:val="center"/>
          </w:tcPr>
          <w:p w:rsidR="00286D90" w:rsidRPr="00286D90" w:rsidRDefault="00286D90" w:rsidP="00286D90">
            <w:pPr>
              <w:tabs>
                <w:tab w:val="left" w:pos="2552"/>
                <w:tab w:val="left" w:pos="5387"/>
              </w:tabs>
              <w:jc w:val="center"/>
              <w:rPr>
                <w:szCs w:val="21"/>
              </w:rPr>
            </w:pPr>
            <w:r w:rsidRPr="00286D90">
              <w:rPr>
                <w:rFonts w:hint="eastAsia"/>
                <w:szCs w:val="21"/>
              </w:rPr>
              <w:t>建设期</w:t>
            </w:r>
          </w:p>
        </w:tc>
        <w:tc>
          <w:tcPr>
            <w:tcW w:w="1124" w:type="dxa"/>
            <w:vAlign w:val="center"/>
          </w:tcPr>
          <w:p w:rsidR="00286D90" w:rsidRPr="00286D90" w:rsidRDefault="00286D90" w:rsidP="00286D90">
            <w:pPr>
              <w:tabs>
                <w:tab w:val="left" w:pos="2552"/>
                <w:tab w:val="left" w:pos="5387"/>
              </w:tabs>
              <w:jc w:val="center"/>
              <w:rPr>
                <w:szCs w:val="21"/>
              </w:rPr>
            </w:pPr>
          </w:p>
        </w:tc>
        <w:tc>
          <w:tcPr>
            <w:tcW w:w="1134" w:type="dxa"/>
            <w:vAlign w:val="center"/>
          </w:tcPr>
          <w:p w:rsidR="00286D90" w:rsidRPr="00286D90" w:rsidRDefault="00286D90" w:rsidP="00286D90">
            <w:pPr>
              <w:tabs>
                <w:tab w:val="left" w:pos="2552"/>
                <w:tab w:val="left" w:pos="5387"/>
              </w:tabs>
              <w:jc w:val="center"/>
              <w:rPr>
                <w:szCs w:val="21"/>
              </w:rPr>
            </w:pPr>
          </w:p>
        </w:tc>
        <w:tc>
          <w:tcPr>
            <w:tcW w:w="1134" w:type="dxa"/>
            <w:vAlign w:val="center"/>
          </w:tcPr>
          <w:p w:rsidR="00286D90" w:rsidRPr="00286D90" w:rsidRDefault="00286D90" w:rsidP="00286D90">
            <w:pPr>
              <w:tabs>
                <w:tab w:val="left" w:pos="2552"/>
                <w:tab w:val="left" w:pos="5387"/>
              </w:tabs>
              <w:jc w:val="center"/>
              <w:rPr>
                <w:szCs w:val="21"/>
              </w:rPr>
            </w:pPr>
          </w:p>
        </w:tc>
        <w:tc>
          <w:tcPr>
            <w:tcW w:w="969" w:type="dxa"/>
            <w:vAlign w:val="center"/>
          </w:tcPr>
          <w:p w:rsidR="00286D90" w:rsidRPr="00286D90" w:rsidRDefault="00286D90" w:rsidP="00286D90">
            <w:pPr>
              <w:tabs>
                <w:tab w:val="left" w:pos="2552"/>
                <w:tab w:val="left" w:pos="5387"/>
              </w:tabs>
              <w:jc w:val="center"/>
              <w:rPr>
                <w:szCs w:val="21"/>
              </w:rPr>
            </w:pPr>
            <w:r>
              <w:rPr>
                <w:rFonts w:hint="eastAsia"/>
                <w:szCs w:val="21"/>
              </w:rPr>
              <w:t>√</w:t>
            </w:r>
          </w:p>
        </w:tc>
        <w:tc>
          <w:tcPr>
            <w:tcW w:w="969" w:type="dxa"/>
            <w:vAlign w:val="center"/>
          </w:tcPr>
          <w:p w:rsidR="00286D90" w:rsidRPr="00286D90" w:rsidRDefault="00286D90" w:rsidP="00286D90">
            <w:pPr>
              <w:tabs>
                <w:tab w:val="left" w:pos="2552"/>
                <w:tab w:val="left" w:pos="5387"/>
              </w:tabs>
              <w:jc w:val="center"/>
              <w:rPr>
                <w:szCs w:val="21"/>
              </w:rPr>
            </w:pPr>
          </w:p>
        </w:tc>
        <w:tc>
          <w:tcPr>
            <w:tcW w:w="969" w:type="dxa"/>
            <w:vAlign w:val="center"/>
          </w:tcPr>
          <w:p w:rsidR="00286D90" w:rsidRPr="00286D90" w:rsidRDefault="00286D90" w:rsidP="00286D90">
            <w:pPr>
              <w:tabs>
                <w:tab w:val="left" w:pos="2552"/>
                <w:tab w:val="left" w:pos="5387"/>
              </w:tabs>
              <w:jc w:val="center"/>
              <w:rPr>
                <w:szCs w:val="21"/>
              </w:rPr>
            </w:pPr>
          </w:p>
        </w:tc>
        <w:tc>
          <w:tcPr>
            <w:tcW w:w="969" w:type="dxa"/>
            <w:vAlign w:val="center"/>
          </w:tcPr>
          <w:p w:rsidR="00286D90" w:rsidRPr="00286D90" w:rsidRDefault="00286D90" w:rsidP="00286D90">
            <w:pPr>
              <w:tabs>
                <w:tab w:val="left" w:pos="2552"/>
                <w:tab w:val="left" w:pos="5387"/>
              </w:tabs>
              <w:jc w:val="center"/>
              <w:rPr>
                <w:szCs w:val="21"/>
              </w:rPr>
            </w:pPr>
          </w:p>
        </w:tc>
        <w:tc>
          <w:tcPr>
            <w:tcW w:w="969" w:type="dxa"/>
            <w:vAlign w:val="center"/>
          </w:tcPr>
          <w:p w:rsidR="00286D90" w:rsidRPr="00286D90" w:rsidRDefault="00286D90" w:rsidP="00286D90">
            <w:pPr>
              <w:tabs>
                <w:tab w:val="left" w:pos="2552"/>
                <w:tab w:val="left" w:pos="5387"/>
              </w:tabs>
              <w:jc w:val="center"/>
              <w:rPr>
                <w:szCs w:val="21"/>
              </w:rPr>
            </w:pPr>
            <w:r>
              <w:rPr>
                <w:rFonts w:hint="eastAsia"/>
                <w:szCs w:val="21"/>
              </w:rPr>
              <w:t>√</w:t>
            </w:r>
          </w:p>
        </w:tc>
      </w:tr>
      <w:tr w:rsidR="00286D90" w:rsidRPr="00286D90" w:rsidTr="00286D90">
        <w:trPr>
          <w:jc w:val="center"/>
        </w:trPr>
        <w:tc>
          <w:tcPr>
            <w:tcW w:w="969" w:type="dxa"/>
            <w:vAlign w:val="center"/>
          </w:tcPr>
          <w:p w:rsidR="00286D90" w:rsidRPr="00286D90" w:rsidRDefault="00286D90" w:rsidP="00286D90">
            <w:pPr>
              <w:tabs>
                <w:tab w:val="left" w:pos="2552"/>
                <w:tab w:val="left" w:pos="5387"/>
              </w:tabs>
              <w:jc w:val="center"/>
              <w:rPr>
                <w:szCs w:val="21"/>
              </w:rPr>
            </w:pPr>
            <w:r w:rsidRPr="00286D90">
              <w:rPr>
                <w:rFonts w:hint="eastAsia"/>
                <w:szCs w:val="21"/>
              </w:rPr>
              <w:t>运营期</w:t>
            </w:r>
          </w:p>
        </w:tc>
        <w:tc>
          <w:tcPr>
            <w:tcW w:w="1124" w:type="dxa"/>
            <w:vAlign w:val="center"/>
          </w:tcPr>
          <w:p w:rsidR="00286D90" w:rsidRPr="00286D90" w:rsidRDefault="00286D90" w:rsidP="00286D90">
            <w:pPr>
              <w:tabs>
                <w:tab w:val="left" w:pos="2552"/>
                <w:tab w:val="left" w:pos="5387"/>
              </w:tabs>
              <w:jc w:val="center"/>
              <w:rPr>
                <w:szCs w:val="21"/>
              </w:rPr>
            </w:pPr>
          </w:p>
        </w:tc>
        <w:tc>
          <w:tcPr>
            <w:tcW w:w="1134" w:type="dxa"/>
            <w:vAlign w:val="center"/>
          </w:tcPr>
          <w:p w:rsidR="00286D90" w:rsidRPr="00286D90" w:rsidRDefault="00286D90" w:rsidP="00286D90">
            <w:pPr>
              <w:tabs>
                <w:tab w:val="left" w:pos="2552"/>
                <w:tab w:val="left" w:pos="5387"/>
              </w:tabs>
              <w:jc w:val="center"/>
              <w:rPr>
                <w:szCs w:val="21"/>
              </w:rPr>
            </w:pPr>
          </w:p>
        </w:tc>
        <w:tc>
          <w:tcPr>
            <w:tcW w:w="1134" w:type="dxa"/>
            <w:vAlign w:val="center"/>
          </w:tcPr>
          <w:p w:rsidR="00286D90" w:rsidRPr="00286D90" w:rsidRDefault="00286D90" w:rsidP="00286D90">
            <w:pPr>
              <w:tabs>
                <w:tab w:val="left" w:pos="2552"/>
                <w:tab w:val="left" w:pos="5387"/>
              </w:tabs>
              <w:jc w:val="center"/>
              <w:rPr>
                <w:szCs w:val="21"/>
              </w:rPr>
            </w:pPr>
            <w:r>
              <w:rPr>
                <w:rFonts w:hint="eastAsia"/>
                <w:szCs w:val="21"/>
              </w:rPr>
              <w:t>√</w:t>
            </w:r>
          </w:p>
        </w:tc>
        <w:tc>
          <w:tcPr>
            <w:tcW w:w="969" w:type="dxa"/>
            <w:vAlign w:val="center"/>
          </w:tcPr>
          <w:p w:rsidR="00286D90" w:rsidRPr="00286D90" w:rsidRDefault="00286D90" w:rsidP="00286D90">
            <w:pPr>
              <w:tabs>
                <w:tab w:val="left" w:pos="2552"/>
                <w:tab w:val="left" w:pos="5387"/>
              </w:tabs>
              <w:jc w:val="center"/>
              <w:rPr>
                <w:szCs w:val="21"/>
              </w:rPr>
            </w:pPr>
          </w:p>
        </w:tc>
        <w:tc>
          <w:tcPr>
            <w:tcW w:w="969" w:type="dxa"/>
            <w:vAlign w:val="center"/>
          </w:tcPr>
          <w:p w:rsidR="00286D90" w:rsidRPr="00286D90" w:rsidRDefault="00286D90" w:rsidP="00286D90">
            <w:pPr>
              <w:tabs>
                <w:tab w:val="left" w:pos="2552"/>
                <w:tab w:val="left" w:pos="5387"/>
              </w:tabs>
              <w:jc w:val="center"/>
              <w:rPr>
                <w:szCs w:val="21"/>
              </w:rPr>
            </w:pPr>
          </w:p>
        </w:tc>
        <w:tc>
          <w:tcPr>
            <w:tcW w:w="969" w:type="dxa"/>
            <w:vAlign w:val="center"/>
          </w:tcPr>
          <w:p w:rsidR="00286D90" w:rsidRPr="00286D90" w:rsidRDefault="00286D90" w:rsidP="00286D90">
            <w:pPr>
              <w:tabs>
                <w:tab w:val="left" w:pos="2552"/>
                <w:tab w:val="left" w:pos="5387"/>
              </w:tabs>
              <w:jc w:val="center"/>
              <w:rPr>
                <w:szCs w:val="21"/>
              </w:rPr>
            </w:pPr>
          </w:p>
        </w:tc>
        <w:tc>
          <w:tcPr>
            <w:tcW w:w="969" w:type="dxa"/>
            <w:vAlign w:val="center"/>
          </w:tcPr>
          <w:p w:rsidR="00286D90" w:rsidRPr="00286D90" w:rsidRDefault="00286D90" w:rsidP="00286D90">
            <w:pPr>
              <w:tabs>
                <w:tab w:val="left" w:pos="2552"/>
                <w:tab w:val="left" w:pos="5387"/>
              </w:tabs>
              <w:jc w:val="center"/>
              <w:rPr>
                <w:szCs w:val="21"/>
              </w:rPr>
            </w:pPr>
          </w:p>
        </w:tc>
        <w:tc>
          <w:tcPr>
            <w:tcW w:w="969" w:type="dxa"/>
            <w:vAlign w:val="center"/>
          </w:tcPr>
          <w:p w:rsidR="00286D90" w:rsidRPr="00286D90" w:rsidRDefault="00286D90" w:rsidP="00286D90">
            <w:pPr>
              <w:tabs>
                <w:tab w:val="left" w:pos="2552"/>
                <w:tab w:val="left" w:pos="5387"/>
              </w:tabs>
              <w:jc w:val="center"/>
              <w:rPr>
                <w:szCs w:val="21"/>
              </w:rPr>
            </w:pPr>
            <w:r>
              <w:rPr>
                <w:rFonts w:hint="eastAsia"/>
                <w:szCs w:val="21"/>
              </w:rPr>
              <w:t>√</w:t>
            </w:r>
          </w:p>
        </w:tc>
      </w:tr>
      <w:tr w:rsidR="00286D90" w:rsidRPr="00286D90" w:rsidTr="00286D90">
        <w:trPr>
          <w:jc w:val="center"/>
        </w:trPr>
        <w:tc>
          <w:tcPr>
            <w:tcW w:w="969" w:type="dxa"/>
            <w:vAlign w:val="center"/>
          </w:tcPr>
          <w:p w:rsidR="00286D90" w:rsidRPr="00286D90" w:rsidRDefault="00286D90" w:rsidP="00286D90">
            <w:pPr>
              <w:tabs>
                <w:tab w:val="left" w:pos="2552"/>
                <w:tab w:val="left" w:pos="5387"/>
              </w:tabs>
              <w:jc w:val="center"/>
              <w:rPr>
                <w:szCs w:val="21"/>
              </w:rPr>
            </w:pPr>
            <w:r w:rsidRPr="00286D90">
              <w:rPr>
                <w:rFonts w:hint="eastAsia"/>
                <w:szCs w:val="21"/>
              </w:rPr>
              <w:t>服务期满后</w:t>
            </w:r>
          </w:p>
        </w:tc>
        <w:tc>
          <w:tcPr>
            <w:tcW w:w="1124" w:type="dxa"/>
            <w:vAlign w:val="center"/>
          </w:tcPr>
          <w:p w:rsidR="00286D90" w:rsidRPr="00286D90" w:rsidRDefault="00286D90" w:rsidP="00286D90">
            <w:pPr>
              <w:tabs>
                <w:tab w:val="left" w:pos="2552"/>
                <w:tab w:val="left" w:pos="5387"/>
              </w:tabs>
              <w:jc w:val="center"/>
              <w:rPr>
                <w:szCs w:val="21"/>
              </w:rPr>
            </w:pPr>
          </w:p>
        </w:tc>
        <w:tc>
          <w:tcPr>
            <w:tcW w:w="1134" w:type="dxa"/>
            <w:vAlign w:val="center"/>
          </w:tcPr>
          <w:p w:rsidR="00286D90" w:rsidRPr="00286D90" w:rsidRDefault="00286D90" w:rsidP="00286D90">
            <w:pPr>
              <w:tabs>
                <w:tab w:val="left" w:pos="2552"/>
                <w:tab w:val="left" w:pos="5387"/>
              </w:tabs>
              <w:jc w:val="center"/>
              <w:rPr>
                <w:szCs w:val="21"/>
              </w:rPr>
            </w:pPr>
          </w:p>
        </w:tc>
        <w:tc>
          <w:tcPr>
            <w:tcW w:w="1134" w:type="dxa"/>
            <w:vAlign w:val="center"/>
          </w:tcPr>
          <w:p w:rsidR="00286D90" w:rsidRPr="00286D90" w:rsidRDefault="00286D90" w:rsidP="00286D90">
            <w:pPr>
              <w:tabs>
                <w:tab w:val="left" w:pos="2552"/>
                <w:tab w:val="left" w:pos="5387"/>
              </w:tabs>
              <w:jc w:val="center"/>
              <w:rPr>
                <w:szCs w:val="21"/>
              </w:rPr>
            </w:pPr>
          </w:p>
        </w:tc>
        <w:tc>
          <w:tcPr>
            <w:tcW w:w="969" w:type="dxa"/>
            <w:vAlign w:val="center"/>
          </w:tcPr>
          <w:p w:rsidR="00286D90" w:rsidRPr="00286D90" w:rsidRDefault="00286D90" w:rsidP="00286D90">
            <w:pPr>
              <w:tabs>
                <w:tab w:val="left" w:pos="2552"/>
                <w:tab w:val="left" w:pos="5387"/>
              </w:tabs>
              <w:jc w:val="center"/>
              <w:rPr>
                <w:szCs w:val="21"/>
              </w:rPr>
            </w:pPr>
            <w:r>
              <w:rPr>
                <w:rFonts w:hint="eastAsia"/>
                <w:szCs w:val="21"/>
              </w:rPr>
              <w:t>√</w:t>
            </w:r>
          </w:p>
        </w:tc>
        <w:tc>
          <w:tcPr>
            <w:tcW w:w="969" w:type="dxa"/>
            <w:vAlign w:val="center"/>
          </w:tcPr>
          <w:p w:rsidR="00286D90" w:rsidRPr="00286D90" w:rsidRDefault="00286D90" w:rsidP="00286D90">
            <w:pPr>
              <w:tabs>
                <w:tab w:val="left" w:pos="2552"/>
                <w:tab w:val="left" w:pos="5387"/>
              </w:tabs>
              <w:jc w:val="center"/>
              <w:rPr>
                <w:szCs w:val="21"/>
              </w:rPr>
            </w:pPr>
          </w:p>
        </w:tc>
        <w:tc>
          <w:tcPr>
            <w:tcW w:w="969" w:type="dxa"/>
            <w:vAlign w:val="center"/>
          </w:tcPr>
          <w:p w:rsidR="00286D90" w:rsidRPr="00286D90" w:rsidRDefault="00286D90" w:rsidP="00286D90">
            <w:pPr>
              <w:tabs>
                <w:tab w:val="left" w:pos="2552"/>
                <w:tab w:val="left" w:pos="5387"/>
              </w:tabs>
              <w:jc w:val="center"/>
              <w:rPr>
                <w:szCs w:val="21"/>
              </w:rPr>
            </w:pPr>
          </w:p>
        </w:tc>
        <w:tc>
          <w:tcPr>
            <w:tcW w:w="969" w:type="dxa"/>
            <w:vAlign w:val="center"/>
          </w:tcPr>
          <w:p w:rsidR="00286D90" w:rsidRPr="00286D90" w:rsidRDefault="00286D90" w:rsidP="00286D90">
            <w:pPr>
              <w:tabs>
                <w:tab w:val="left" w:pos="2552"/>
                <w:tab w:val="left" w:pos="5387"/>
              </w:tabs>
              <w:jc w:val="center"/>
              <w:rPr>
                <w:szCs w:val="21"/>
              </w:rPr>
            </w:pPr>
          </w:p>
        </w:tc>
        <w:tc>
          <w:tcPr>
            <w:tcW w:w="969" w:type="dxa"/>
            <w:vAlign w:val="center"/>
          </w:tcPr>
          <w:p w:rsidR="00286D90" w:rsidRPr="00286D90" w:rsidRDefault="00286D90" w:rsidP="00286D90">
            <w:pPr>
              <w:tabs>
                <w:tab w:val="left" w:pos="2552"/>
                <w:tab w:val="left" w:pos="5387"/>
              </w:tabs>
              <w:jc w:val="center"/>
              <w:rPr>
                <w:szCs w:val="21"/>
              </w:rPr>
            </w:pPr>
            <w:r>
              <w:rPr>
                <w:rFonts w:hint="eastAsia"/>
                <w:szCs w:val="21"/>
              </w:rPr>
              <w:t>√</w:t>
            </w:r>
          </w:p>
        </w:tc>
      </w:tr>
    </w:tbl>
    <w:p w:rsidR="00C223F5" w:rsidRPr="00927E76" w:rsidRDefault="00754403" w:rsidP="00015B1B">
      <w:pPr>
        <w:pStyle w:val="4"/>
        <w:spacing w:before="0" w:after="0" w:line="360" w:lineRule="auto"/>
        <w:ind w:firstLineChars="100" w:firstLine="240"/>
        <w:rPr>
          <w:szCs w:val="24"/>
        </w:rPr>
      </w:pPr>
      <w:r w:rsidRPr="00927E76">
        <w:rPr>
          <w:rFonts w:hint="eastAsia"/>
          <w:szCs w:val="24"/>
        </w:rPr>
        <w:t>4.2.7.1</w:t>
      </w:r>
      <w:r w:rsidR="005860D5" w:rsidRPr="00927E76">
        <w:rPr>
          <w:rFonts w:hint="eastAsia"/>
          <w:szCs w:val="24"/>
        </w:rPr>
        <w:t>生态影响型</w:t>
      </w:r>
    </w:p>
    <w:p w:rsidR="00C223F5" w:rsidRPr="00927E76" w:rsidRDefault="005860D5">
      <w:pPr>
        <w:adjustRightInd w:val="0"/>
        <w:snapToGrid w:val="0"/>
        <w:spacing w:line="360" w:lineRule="auto"/>
        <w:ind w:firstLineChars="200" w:firstLine="480"/>
        <w:rPr>
          <w:sz w:val="24"/>
        </w:rPr>
      </w:pPr>
      <w:r w:rsidRPr="00927E76">
        <w:rPr>
          <w:rFonts w:hint="eastAsia"/>
          <w:sz w:val="24"/>
        </w:rPr>
        <w:t>本项目所处区域属于</w:t>
      </w:r>
      <w:r w:rsidRPr="00927E76">
        <w:rPr>
          <w:sz w:val="24"/>
        </w:rPr>
        <w:t>黄土梁峁</w:t>
      </w:r>
      <w:r w:rsidRPr="00927E76">
        <w:rPr>
          <w:rFonts w:hint="eastAsia"/>
          <w:sz w:val="24"/>
        </w:rPr>
        <w:t>沟壑区，项目对土壤的生态影响主要表现为井工地表沉陷对土壤结构的破坏，</w:t>
      </w:r>
      <w:r w:rsidRPr="00927E76">
        <w:rPr>
          <w:rFonts w:ascii="宋体" w:hAnsi="宋体" w:cs="宋体" w:hint="eastAsia"/>
          <w:sz w:val="24"/>
        </w:rPr>
        <w:t>土壤结构的破坏会影响土壤的理化性质以及土壤肥力。</w:t>
      </w:r>
      <w:r w:rsidRPr="00927E76">
        <w:rPr>
          <w:rFonts w:hint="eastAsia"/>
          <w:sz w:val="24"/>
        </w:rPr>
        <w:t>根据生态及地下水章节预测结果，项目采煤</w:t>
      </w:r>
      <w:r w:rsidRPr="00927E76">
        <w:rPr>
          <w:sz w:val="24"/>
        </w:rPr>
        <w:t>最大下沉值约为</w:t>
      </w:r>
      <w:r w:rsidRPr="00927E76">
        <w:rPr>
          <w:rFonts w:hint="eastAsia"/>
          <w:sz w:val="24"/>
        </w:rPr>
        <w:t>2.55</w:t>
      </w:r>
      <w:r w:rsidRPr="00927E76">
        <w:rPr>
          <w:sz w:val="24"/>
        </w:rPr>
        <w:t>m</w:t>
      </w:r>
      <w:r w:rsidRPr="00927E76">
        <w:rPr>
          <w:sz w:val="24"/>
        </w:rPr>
        <w:t>，在局部地段开采会对地表形态和地形标高会产生一定的影响，</w:t>
      </w:r>
      <w:r w:rsidRPr="00927E76">
        <w:rPr>
          <w:rFonts w:hint="eastAsia"/>
          <w:sz w:val="24"/>
        </w:rPr>
        <w:t>由于本井田地形坡度较大，</w:t>
      </w:r>
      <w:r w:rsidRPr="00927E76">
        <w:rPr>
          <w:sz w:val="24"/>
        </w:rPr>
        <w:t>在沉陷区</w:t>
      </w:r>
      <w:r w:rsidRPr="00927E76">
        <w:rPr>
          <w:rFonts w:hint="eastAsia"/>
          <w:sz w:val="24"/>
        </w:rPr>
        <w:t>会出现不规则裂缝</w:t>
      </w:r>
      <w:r w:rsidRPr="00927E76">
        <w:rPr>
          <w:sz w:val="24"/>
        </w:rPr>
        <w:t>。但由于整个井田区域都会相继下沉，且沉陷值远小于井田内地形高差</w:t>
      </w:r>
      <w:r w:rsidRPr="00927E76">
        <w:rPr>
          <w:rFonts w:hint="eastAsia"/>
          <w:sz w:val="24"/>
        </w:rPr>
        <w:t>461</w:t>
      </w:r>
      <w:r w:rsidRPr="00927E76">
        <w:rPr>
          <w:sz w:val="24"/>
        </w:rPr>
        <w:t>m</w:t>
      </w:r>
      <w:r w:rsidRPr="00927E76">
        <w:rPr>
          <w:sz w:val="24"/>
        </w:rPr>
        <w:t>，</w:t>
      </w:r>
      <w:r w:rsidRPr="00927E76">
        <w:rPr>
          <w:rFonts w:hint="eastAsia"/>
          <w:sz w:val="24"/>
        </w:rPr>
        <w:t>同时该区域浅层地下水含水层富水性弱，采煤沉陷不会</w:t>
      </w:r>
      <w:r w:rsidRPr="00927E76">
        <w:rPr>
          <w:rFonts w:hint="eastAsia"/>
          <w:sz w:val="24"/>
        </w:rPr>
        <w:lastRenderedPageBreak/>
        <w:t>造成开采区积水和盐渍化</w:t>
      </w:r>
      <w:r w:rsidRPr="00927E76">
        <w:rPr>
          <w:sz w:val="24"/>
        </w:rPr>
        <w:t>。</w:t>
      </w:r>
    </w:p>
    <w:p w:rsidR="00C223F5" w:rsidRPr="00927E76" w:rsidRDefault="005860D5">
      <w:pPr>
        <w:spacing w:line="360" w:lineRule="auto"/>
        <w:ind w:firstLineChars="200" w:firstLine="480"/>
        <w:rPr>
          <w:sz w:val="24"/>
        </w:rPr>
      </w:pPr>
      <w:r w:rsidRPr="00927E76">
        <w:rPr>
          <w:rFonts w:ascii="宋体" w:hAnsi="宋体" w:cs="宋体" w:hint="eastAsia"/>
          <w:sz w:val="24"/>
        </w:rPr>
        <w:t>随着开采结束，矿井对开挖区和沉陷区采取植被恢复措施，</w:t>
      </w:r>
      <w:r w:rsidRPr="00927E76">
        <w:rPr>
          <w:sz w:val="24"/>
        </w:rPr>
        <w:t>土地平整的开挖与回填中，将有可能扰动甚至打乱原有土体构型，使土壤养分含量及肥力状况受到影响。根据相关资料，开挖与回填对土壤养分的影响相当明显，即使实行分层堆放、分层回填措施，土壤表土的有机质也将下降</w:t>
      </w:r>
      <w:r w:rsidRPr="00927E76">
        <w:rPr>
          <w:sz w:val="24"/>
        </w:rPr>
        <w:t>43%</w:t>
      </w:r>
      <w:r w:rsidRPr="00927E76">
        <w:rPr>
          <w:sz w:val="24"/>
        </w:rPr>
        <w:t>，粘粒含量减少</w:t>
      </w:r>
      <w:r w:rsidRPr="00927E76">
        <w:rPr>
          <w:sz w:val="24"/>
        </w:rPr>
        <w:t>60</w:t>
      </w:r>
      <w:r w:rsidRPr="00927E76">
        <w:rPr>
          <w:sz w:val="24"/>
        </w:rPr>
        <w:t>～</w:t>
      </w:r>
      <w:r w:rsidRPr="00927E76">
        <w:rPr>
          <w:sz w:val="24"/>
        </w:rPr>
        <w:t>80%</w:t>
      </w:r>
      <w:r w:rsidRPr="00927E76">
        <w:rPr>
          <w:sz w:val="24"/>
        </w:rPr>
        <w:t>，磷下降</w:t>
      </w:r>
      <w:r w:rsidRPr="00927E76">
        <w:rPr>
          <w:sz w:val="24"/>
        </w:rPr>
        <w:t>40%</w:t>
      </w:r>
      <w:r w:rsidRPr="00927E76">
        <w:rPr>
          <w:sz w:val="24"/>
        </w:rPr>
        <w:t>，钾下降</w:t>
      </w:r>
      <w:r w:rsidRPr="00927E76">
        <w:rPr>
          <w:sz w:val="24"/>
        </w:rPr>
        <w:t>43%</w:t>
      </w:r>
      <w:r w:rsidRPr="00927E76">
        <w:rPr>
          <w:sz w:val="24"/>
        </w:rPr>
        <w:t>。但这种影响一般持续</w:t>
      </w:r>
      <w:r w:rsidRPr="00927E76">
        <w:rPr>
          <w:sz w:val="24"/>
        </w:rPr>
        <w:t>2</w:t>
      </w:r>
      <w:r w:rsidRPr="00927E76">
        <w:rPr>
          <w:sz w:val="24"/>
        </w:rPr>
        <w:t>～</w:t>
      </w:r>
      <w:r w:rsidRPr="00927E76">
        <w:rPr>
          <w:sz w:val="24"/>
        </w:rPr>
        <w:t>3</w:t>
      </w:r>
      <w:r w:rsidRPr="00927E76">
        <w:rPr>
          <w:sz w:val="24"/>
        </w:rPr>
        <w:t>年，随时间推移逐渐消失，土壤的肥力将逐渐恢复。</w:t>
      </w:r>
    </w:p>
    <w:p w:rsidR="00C223F5" w:rsidRPr="00927E76" w:rsidRDefault="00754403" w:rsidP="004835BD">
      <w:pPr>
        <w:pStyle w:val="4"/>
        <w:spacing w:before="0" w:after="0" w:line="360" w:lineRule="auto"/>
        <w:ind w:firstLineChars="100" w:firstLine="240"/>
        <w:rPr>
          <w:szCs w:val="24"/>
        </w:rPr>
      </w:pPr>
      <w:r w:rsidRPr="00927E76">
        <w:rPr>
          <w:rFonts w:hint="eastAsia"/>
          <w:szCs w:val="24"/>
        </w:rPr>
        <w:t>4.2.7.2</w:t>
      </w:r>
      <w:r w:rsidR="005860D5" w:rsidRPr="00927E76">
        <w:rPr>
          <w:rFonts w:hint="eastAsia"/>
          <w:szCs w:val="24"/>
        </w:rPr>
        <w:t>污染影响型</w:t>
      </w:r>
    </w:p>
    <w:p w:rsidR="00C223F5" w:rsidRPr="00927E76" w:rsidRDefault="005860D5">
      <w:pPr>
        <w:snapToGrid w:val="0"/>
        <w:spacing w:line="360" w:lineRule="auto"/>
        <w:ind w:firstLineChars="200" w:firstLine="480"/>
        <w:rPr>
          <w:sz w:val="24"/>
        </w:rPr>
      </w:pPr>
      <w:r w:rsidRPr="00927E76">
        <w:rPr>
          <w:rFonts w:hint="eastAsia"/>
          <w:sz w:val="24"/>
        </w:rPr>
        <w:t>（</w:t>
      </w:r>
      <w:r w:rsidRPr="00927E76">
        <w:rPr>
          <w:rFonts w:hint="eastAsia"/>
          <w:sz w:val="24"/>
        </w:rPr>
        <w:t>1</w:t>
      </w:r>
      <w:r w:rsidRPr="00927E76">
        <w:rPr>
          <w:rFonts w:hint="eastAsia"/>
          <w:sz w:val="24"/>
        </w:rPr>
        <w:t>）影响识别</w:t>
      </w:r>
    </w:p>
    <w:p w:rsidR="00C223F5" w:rsidRDefault="005860D5">
      <w:pPr>
        <w:snapToGrid w:val="0"/>
        <w:spacing w:line="360" w:lineRule="auto"/>
        <w:ind w:firstLineChars="200" w:firstLine="480"/>
        <w:rPr>
          <w:color w:val="000000"/>
          <w:sz w:val="24"/>
        </w:rPr>
      </w:pPr>
      <w:r w:rsidRPr="00927E76">
        <w:rPr>
          <w:rFonts w:hint="eastAsia"/>
          <w:sz w:val="24"/>
        </w:rPr>
        <w:t>本项目污染途径主要为垂</w:t>
      </w:r>
      <w:r>
        <w:rPr>
          <w:rFonts w:hint="eastAsia"/>
          <w:color w:val="000000"/>
          <w:sz w:val="24"/>
        </w:rPr>
        <w:t>直入渗型，影响识别结果见表</w:t>
      </w:r>
      <w:r>
        <w:rPr>
          <w:rFonts w:hint="eastAsia"/>
          <w:color w:val="000000"/>
          <w:sz w:val="24"/>
        </w:rPr>
        <w:t>4.2.7-</w:t>
      </w:r>
      <w:r w:rsidR="00984375">
        <w:rPr>
          <w:rFonts w:hint="eastAsia"/>
          <w:color w:val="000000"/>
          <w:sz w:val="24"/>
        </w:rPr>
        <w:t>2</w:t>
      </w:r>
      <w:r>
        <w:rPr>
          <w:rFonts w:hint="eastAsia"/>
          <w:color w:val="000000"/>
          <w:sz w:val="24"/>
        </w:rPr>
        <w:t>。</w:t>
      </w:r>
    </w:p>
    <w:p w:rsidR="00C223F5" w:rsidRDefault="005860D5">
      <w:pPr>
        <w:snapToGrid w:val="0"/>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）油脂库</w:t>
      </w:r>
    </w:p>
    <w:p w:rsidR="00C223F5" w:rsidRDefault="005860D5">
      <w:pPr>
        <w:snapToGrid w:val="0"/>
        <w:spacing w:line="360" w:lineRule="auto"/>
        <w:ind w:firstLineChars="200" w:firstLine="480"/>
        <w:rPr>
          <w:color w:val="000000"/>
          <w:sz w:val="24"/>
        </w:rPr>
      </w:pPr>
      <w:r>
        <w:rPr>
          <w:rFonts w:hint="eastAsia"/>
          <w:color w:val="000000"/>
          <w:sz w:val="24"/>
        </w:rPr>
        <w:t>项目在原有工业场地基础上改扩建，本次对该场地的土壤环境质量进行了现状监测，根据监测结果可知，</w:t>
      </w:r>
      <w:r>
        <w:rPr>
          <w:color w:val="000000"/>
          <w:sz w:val="24"/>
        </w:rPr>
        <w:t>各</w:t>
      </w:r>
      <w:r>
        <w:rPr>
          <w:rFonts w:hint="eastAsia"/>
          <w:color w:val="000000"/>
          <w:sz w:val="24"/>
        </w:rPr>
        <w:t>监测因子（包括特征污染因子石油类）</w:t>
      </w:r>
      <w:r>
        <w:rPr>
          <w:color w:val="000000"/>
          <w:sz w:val="24"/>
        </w:rPr>
        <w:t>均满足</w:t>
      </w:r>
      <w:r>
        <w:rPr>
          <w:rFonts w:hint="eastAsia"/>
          <w:color w:val="000000"/>
          <w:sz w:val="24"/>
        </w:rPr>
        <w:t>相应标准筛选值要求，原场地内机修房周边土壤环境未出现污染现象。</w:t>
      </w:r>
    </w:p>
    <w:p w:rsidR="00C223F5" w:rsidRDefault="005860D5">
      <w:pPr>
        <w:snapToGrid w:val="0"/>
        <w:ind w:firstLine="482"/>
        <w:jc w:val="center"/>
        <w:rPr>
          <w:b/>
          <w:color w:val="000000"/>
          <w:sz w:val="24"/>
        </w:rPr>
      </w:pPr>
      <w:r>
        <w:rPr>
          <w:b/>
          <w:color w:val="000000"/>
          <w:sz w:val="24"/>
        </w:rPr>
        <w:t>表</w:t>
      </w:r>
      <w:r>
        <w:rPr>
          <w:b/>
          <w:color w:val="000000"/>
          <w:sz w:val="24"/>
        </w:rPr>
        <w:t>4.</w:t>
      </w:r>
      <w:r>
        <w:rPr>
          <w:rFonts w:hint="eastAsia"/>
          <w:b/>
          <w:color w:val="000000"/>
          <w:sz w:val="24"/>
        </w:rPr>
        <w:t>2</w:t>
      </w:r>
      <w:r>
        <w:rPr>
          <w:b/>
          <w:color w:val="000000"/>
          <w:sz w:val="24"/>
        </w:rPr>
        <w:t>.7-</w:t>
      </w:r>
      <w:r w:rsidR="00984375">
        <w:rPr>
          <w:rFonts w:hint="eastAsia"/>
          <w:b/>
          <w:color w:val="000000"/>
          <w:sz w:val="24"/>
        </w:rPr>
        <w:t>2</w:t>
      </w:r>
      <w:r>
        <w:rPr>
          <w:b/>
          <w:color w:val="000000"/>
          <w:sz w:val="24"/>
        </w:rPr>
        <w:t xml:space="preserve">  </w:t>
      </w:r>
      <w:r>
        <w:rPr>
          <w:b/>
          <w:color w:val="000000"/>
          <w:sz w:val="24"/>
        </w:rPr>
        <w:t>土壤污染识别结果表</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3260"/>
        <w:gridCol w:w="1134"/>
        <w:gridCol w:w="1134"/>
        <w:gridCol w:w="958"/>
        <w:gridCol w:w="709"/>
      </w:tblGrid>
      <w:tr w:rsidR="00984375" w:rsidTr="00984375">
        <w:trPr>
          <w:jc w:val="center"/>
        </w:trPr>
        <w:tc>
          <w:tcPr>
            <w:tcW w:w="1844" w:type="dxa"/>
            <w:vAlign w:val="center"/>
          </w:tcPr>
          <w:p w:rsidR="00984375" w:rsidRDefault="00984375" w:rsidP="00984375">
            <w:pPr>
              <w:snapToGrid w:val="0"/>
              <w:jc w:val="center"/>
              <w:rPr>
                <w:color w:val="000000"/>
                <w:szCs w:val="21"/>
              </w:rPr>
            </w:pPr>
            <w:r>
              <w:rPr>
                <w:rFonts w:hint="eastAsia"/>
                <w:color w:val="000000"/>
                <w:szCs w:val="21"/>
              </w:rPr>
              <w:t>污染源</w:t>
            </w:r>
          </w:p>
        </w:tc>
        <w:tc>
          <w:tcPr>
            <w:tcW w:w="3260" w:type="dxa"/>
            <w:vAlign w:val="center"/>
          </w:tcPr>
          <w:p w:rsidR="00984375" w:rsidRDefault="00984375" w:rsidP="00984375">
            <w:pPr>
              <w:snapToGrid w:val="0"/>
              <w:jc w:val="center"/>
              <w:rPr>
                <w:color w:val="000000"/>
                <w:szCs w:val="21"/>
              </w:rPr>
            </w:pPr>
            <w:r>
              <w:rPr>
                <w:rFonts w:hint="eastAsia"/>
                <w:color w:val="000000"/>
                <w:szCs w:val="21"/>
              </w:rPr>
              <w:t>污染区域及节点</w:t>
            </w:r>
          </w:p>
        </w:tc>
        <w:tc>
          <w:tcPr>
            <w:tcW w:w="1134" w:type="dxa"/>
            <w:vAlign w:val="center"/>
          </w:tcPr>
          <w:p w:rsidR="00984375" w:rsidRDefault="00984375" w:rsidP="00984375">
            <w:pPr>
              <w:snapToGrid w:val="0"/>
              <w:jc w:val="center"/>
              <w:rPr>
                <w:color w:val="000000"/>
                <w:szCs w:val="21"/>
              </w:rPr>
            </w:pPr>
            <w:r>
              <w:rPr>
                <w:rFonts w:hint="eastAsia"/>
                <w:color w:val="000000"/>
                <w:szCs w:val="21"/>
              </w:rPr>
              <w:t>污染途径</w:t>
            </w:r>
          </w:p>
        </w:tc>
        <w:tc>
          <w:tcPr>
            <w:tcW w:w="1134" w:type="dxa"/>
            <w:vAlign w:val="center"/>
          </w:tcPr>
          <w:p w:rsidR="00984375" w:rsidRDefault="00984375" w:rsidP="00984375">
            <w:pPr>
              <w:snapToGrid w:val="0"/>
              <w:jc w:val="center"/>
              <w:rPr>
                <w:color w:val="000000"/>
                <w:szCs w:val="21"/>
              </w:rPr>
            </w:pPr>
            <w:r>
              <w:rPr>
                <w:rFonts w:hint="eastAsia"/>
                <w:color w:val="000000"/>
                <w:szCs w:val="21"/>
              </w:rPr>
              <w:t>全部污染指标</w:t>
            </w:r>
          </w:p>
        </w:tc>
        <w:tc>
          <w:tcPr>
            <w:tcW w:w="958" w:type="dxa"/>
            <w:vAlign w:val="center"/>
          </w:tcPr>
          <w:p w:rsidR="00984375" w:rsidRDefault="00984375" w:rsidP="00984375">
            <w:pPr>
              <w:snapToGrid w:val="0"/>
              <w:jc w:val="center"/>
              <w:rPr>
                <w:color w:val="000000"/>
                <w:szCs w:val="21"/>
              </w:rPr>
            </w:pPr>
            <w:r>
              <w:rPr>
                <w:rFonts w:hint="eastAsia"/>
                <w:color w:val="000000"/>
                <w:szCs w:val="21"/>
              </w:rPr>
              <w:t>特征</w:t>
            </w:r>
          </w:p>
          <w:p w:rsidR="00984375" w:rsidRDefault="00984375" w:rsidP="00984375">
            <w:pPr>
              <w:snapToGrid w:val="0"/>
              <w:jc w:val="center"/>
              <w:rPr>
                <w:color w:val="000000"/>
                <w:szCs w:val="21"/>
              </w:rPr>
            </w:pPr>
            <w:r>
              <w:rPr>
                <w:rFonts w:hint="eastAsia"/>
                <w:color w:val="000000"/>
                <w:szCs w:val="21"/>
              </w:rPr>
              <w:t>因子</w:t>
            </w:r>
          </w:p>
        </w:tc>
        <w:tc>
          <w:tcPr>
            <w:tcW w:w="709" w:type="dxa"/>
            <w:vAlign w:val="center"/>
          </w:tcPr>
          <w:p w:rsidR="00984375" w:rsidRDefault="00984375" w:rsidP="00984375">
            <w:pPr>
              <w:snapToGrid w:val="0"/>
              <w:jc w:val="center"/>
              <w:rPr>
                <w:color w:val="000000"/>
                <w:szCs w:val="21"/>
              </w:rPr>
            </w:pPr>
            <w:r>
              <w:rPr>
                <w:rFonts w:hint="eastAsia"/>
                <w:color w:val="000000"/>
                <w:szCs w:val="21"/>
              </w:rPr>
              <w:t>备注</w:t>
            </w:r>
          </w:p>
        </w:tc>
      </w:tr>
      <w:tr w:rsidR="00984375" w:rsidTr="00984375">
        <w:trPr>
          <w:trHeight w:val="215"/>
          <w:jc w:val="center"/>
        </w:trPr>
        <w:tc>
          <w:tcPr>
            <w:tcW w:w="1844" w:type="dxa"/>
            <w:vAlign w:val="center"/>
          </w:tcPr>
          <w:p w:rsidR="00984375" w:rsidRDefault="00984375" w:rsidP="00984375">
            <w:pPr>
              <w:snapToGrid w:val="0"/>
              <w:jc w:val="center"/>
              <w:rPr>
                <w:color w:val="000000"/>
                <w:szCs w:val="21"/>
              </w:rPr>
            </w:pPr>
            <w:r>
              <w:rPr>
                <w:rFonts w:hint="eastAsia"/>
                <w:color w:val="000000"/>
                <w:szCs w:val="21"/>
              </w:rPr>
              <w:t>油脂库及危废</w:t>
            </w:r>
          </w:p>
          <w:p w:rsidR="00984375" w:rsidRDefault="00984375" w:rsidP="00984375">
            <w:pPr>
              <w:snapToGrid w:val="0"/>
              <w:jc w:val="center"/>
              <w:rPr>
                <w:color w:val="000000"/>
                <w:szCs w:val="21"/>
              </w:rPr>
            </w:pPr>
            <w:r>
              <w:rPr>
                <w:rFonts w:hint="eastAsia"/>
                <w:color w:val="000000"/>
                <w:szCs w:val="21"/>
              </w:rPr>
              <w:t>暂存间</w:t>
            </w:r>
          </w:p>
        </w:tc>
        <w:tc>
          <w:tcPr>
            <w:tcW w:w="3260" w:type="dxa"/>
            <w:vAlign w:val="center"/>
          </w:tcPr>
          <w:p w:rsidR="00984375" w:rsidRDefault="00984375" w:rsidP="00984375">
            <w:pPr>
              <w:snapToGrid w:val="0"/>
              <w:jc w:val="center"/>
              <w:rPr>
                <w:color w:val="000000"/>
                <w:szCs w:val="21"/>
              </w:rPr>
            </w:pPr>
            <w:r>
              <w:rPr>
                <w:rFonts w:hint="eastAsia"/>
                <w:color w:val="000000"/>
                <w:szCs w:val="21"/>
              </w:rPr>
              <w:t>库内机油泄露至地表对土壤产生影响或者落地机油随雨水间断入渗污染土壤</w:t>
            </w:r>
          </w:p>
        </w:tc>
        <w:tc>
          <w:tcPr>
            <w:tcW w:w="1134" w:type="dxa"/>
            <w:vMerge w:val="restart"/>
            <w:vAlign w:val="center"/>
          </w:tcPr>
          <w:p w:rsidR="00984375" w:rsidRDefault="00984375" w:rsidP="00984375">
            <w:pPr>
              <w:snapToGrid w:val="0"/>
              <w:jc w:val="center"/>
              <w:rPr>
                <w:bCs/>
                <w:color w:val="000000"/>
              </w:rPr>
            </w:pPr>
            <w:r>
              <w:rPr>
                <w:rFonts w:hint="eastAsia"/>
                <w:color w:val="000000"/>
                <w:szCs w:val="21"/>
              </w:rPr>
              <w:t>垂直入渗</w:t>
            </w:r>
          </w:p>
        </w:tc>
        <w:tc>
          <w:tcPr>
            <w:tcW w:w="1134" w:type="dxa"/>
            <w:vAlign w:val="center"/>
          </w:tcPr>
          <w:p w:rsidR="00984375" w:rsidRDefault="00984375" w:rsidP="00984375">
            <w:pPr>
              <w:snapToGrid w:val="0"/>
              <w:jc w:val="center"/>
              <w:rPr>
                <w:color w:val="000000"/>
                <w:szCs w:val="21"/>
              </w:rPr>
            </w:pPr>
            <w:r>
              <w:rPr>
                <w:bCs/>
                <w:color w:val="000000"/>
              </w:rPr>
              <w:t>SS</w:t>
            </w:r>
            <w:r>
              <w:rPr>
                <w:bCs/>
                <w:color w:val="000000"/>
              </w:rPr>
              <w:t>、</w:t>
            </w:r>
            <w:r>
              <w:rPr>
                <w:rFonts w:hint="eastAsia"/>
                <w:bCs/>
                <w:color w:val="000000"/>
              </w:rPr>
              <w:t>石油类</w:t>
            </w:r>
          </w:p>
        </w:tc>
        <w:tc>
          <w:tcPr>
            <w:tcW w:w="958" w:type="dxa"/>
            <w:vAlign w:val="center"/>
          </w:tcPr>
          <w:p w:rsidR="00984375" w:rsidRDefault="00984375" w:rsidP="00984375">
            <w:pPr>
              <w:snapToGrid w:val="0"/>
              <w:jc w:val="center"/>
              <w:rPr>
                <w:color w:val="000000"/>
                <w:szCs w:val="21"/>
              </w:rPr>
            </w:pPr>
            <w:r>
              <w:rPr>
                <w:rFonts w:hint="eastAsia"/>
                <w:bCs/>
                <w:color w:val="000000"/>
              </w:rPr>
              <w:t>石油类</w:t>
            </w:r>
          </w:p>
        </w:tc>
        <w:tc>
          <w:tcPr>
            <w:tcW w:w="709" w:type="dxa"/>
            <w:vAlign w:val="center"/>
          </w:tcPr>
          <w:p w:rsidR="00984375" w:rsidRDefault="00984375" w:rsidP="00984375">
            <w:pPr>
              <w:snapToGrid w:val="0"/>
              <w:jc w:val="center"/>
              <w:rPr>
                <w:bCs/>
                <w:color w:val="000000"/>
              </w:rPr>
            </w:pPr>
            <w:r>
              <w:rPr>
                <w:rFonts w:hint="eastAsia"/>
                <w:bCs/>
                <w:color w:val="000000"/>
              </w:rPr>
              <w:t>事故</w:t>
            </w:r>
          </w:p>
        </w:tc>
      </w:tr>
      <w:tr w:rsidR="00984375" w:rsidTr="00984375">
        <w:trPr>
          <w:trHeight w:val="817"/>
          <w:jc w:val="center"/>
        </w:trPr>
        <w:tc>
          <w:tcPr>
            <w:tcW w:w="1844" w:type="dxa"/>
            <w:vAlign w:val="center"/>
          </w:tcPr>
          <w:p w:rsidR="00984375" w:rsidRDefault="00984375" w:rsidP="00984375">
            <w:pPr>
              <w:snapToGrid w:val="0"/>
              <w:jc w:val="center"/>
              <w:rPr>
                <w:color w:val="000000"/>
                <w:szCs w:val="21"/>
              </w:rPr>
            </w:pPr>
            <w:r>
              <w:rPr>
                <w:rFonts w:hint="eastAsia"/>
                <w:color w:val="000000"/>
                <w:szCs w:val="21"/>
              </w:rPr>
              <w:t>生活污水处理站</w:t>
            </w:r>
          </w:p>
        </w:tc>
        <w:tc>
          <w:tcPr>
            <w:tcW w:w="3260" w:type="dxa"/>
            <w:vAlign w:val="center"/>
          </w:tcPr>
          <w:p w:rsidR="00984375" w:rsidRDefault="00984375" w:rsidP="00984375">
            <w:pPr>
              <w:snapToGrid w:val="0"/>
              <w:jc w:val="center"/>
              <w:rPr>
                <w:color w:val="000000"/>
                <w:szCs w:val="21"/>
              </w:rPr>
            </w:pPr>
            <w:r>
              <w:rPr>
                <w:rFonts w:hint="eastAsia"/>
                <w:color w:val="000000"/>
                <w:szCs w:val="21"/>
              </w:rPr>
              <w:t>生活污水</w:t>
            </w:r>
            <w:r>
              <w:rPr>
                <w:bCs/>
                <w:color w:val="000000"/>
                <w:szCs w:val="21"/>
              </w:rPr>
              <w:t>集、贮及处理构筑物</w:t>
            </w:r>
            <w:r>
              <w:rPr>
                <w:rFonts w:hint="eastAsia"/>
                <w:bCs/>
                <w:color w:val="000000"/>
                <w:szCs w:val="21"/>
              </w:rPr>
              <w:t>，非正常状况下污水在集贮过程中连续渗漏污染土壤</w:t>
            </w:r>
          </w:p>
        </w:tc>
        <w:tc>
          <w:tcPr>
            <w:tcW w:w="1134" w:type="dxa"/>
            <w:vMerge/>
            <w:vAlign w:val="center"/>
          </w:tcPr>
          <w:p w:rsidR="00984375" w:rsidRDefault="00984375" w:rsidP="00984375">
            <w:pPr>
              <w:snapToGrid w:val="0"/>
              <w:jc w:val="center"/>
              <w:rPr>
                <w:bCs/>
                <w:color w:val="000000"/>
              </w:rPr>
            </w:pPr>
          </w:p>
        </w:tc>
        <w:tc>
          <w:tcPr>
            <w:tcW w:w="1134" w:type="dxa"/>
            <w:vAlign w:val="center"/>
          </w:tcPr>
          <w:p w:rsidR="00984375" w:rsidRDefault="00984375" w:rsidP="00984375">
            <w:pPr>
              <w:snapToGrid w:val="0"/>
              <w:jc w:val="center"/>
              <w:rPr>
                <w:color w:val="000000"/>
                <w:szCs w:val="21"/>
              </w:rPr>
            </w:pPr>
            <w:r>
              <w:rPr>
                <w:bCs/>
                <w:color w:val="000000"/>
              </w:rPr>
              <w:t>SS</w:t>
            </w:r>
            <w:r>
              <w:rPr>
                <w:bCs/>
                <w:color w:val="000000"/>
              </w:rPr>
              <w:t>、</w:t>
            </w:r>
            <w:r>
              <w:rPr>
                <w:bCs/>
                <w:color w:val="000000"/>
              </w:rPr>
              <w:t>COD</w:t>
            </w:r>
            <w:r>
              <w:rPr>
                <w:bCs/>
                <w:color w:val="000000"/>
              </w:rPr>
              <w:t>、</w:t>
            </w:r>
            <w:r>
              <w:rPr>
                <w:bCs/>
                <w:color w:val="000000"/>
              </w:rPr>
              <w:t>BOD</w:t>
            </w:r>
            <w:r>
              <w:rPr>
                <w:bCs/>
                <w:color w:val="000000"/>
                <w:vertAlign w:val="subscript"/>
              </w:rPr>
              <w:t>5</w:t>
            </w:r>
            <w:r>
              <w:rPr>
                <w:bCs/>
                <w:color w:val="000000"/>
              </w:rPr>
              <w:t>、</w:t>
            </w:r>
            <w:r>
              <w:rPr>
                <w:bCs/>
                <w:color w:val="000000"/>
              </w:rPr>
              <w:t>NH</w:t>
            </w:r>
            <w:r>
              <w:rPr>
                <w:bCs/>
                <w:color w:val="000000"/>
                <w:vertAlign w:val="subscript"/>
              </w:rPr>
              <w:t>3</w:t>
            </w:r>
            <w:r>
              <w:rPr>
                <w:bCs/>
                <w:color w:val="000000"/>
              </w:rPr>
              <w:t>-N</w:t>
            </w:r>
          </w:p>
        </w:tc>
        <w:tc>
          <w:tcPr>
            <w:tcW w:w="958" w:type="dxa"/>
            <w:vAlign w:val="center"/>
          </w:tcPr>
          <w:p w:rsidR="00984375" w:rsidRDefault="00984375" w:rsidP="00984375">
            <w:pPr>
              <w:snapToGrid w:val="0"/>
              <w:jc w:val="center"/>
              <w:rPr>
                <w:color w:val="000000"/>
                <w:szCs w:val="21"/>
              </w:rPr>
            </w:pPr>
            <w:r>
              <w:rPr>
                <w:bCs/>
                <w:color w:val="000000"/>
              </w:rPr>
              <w:t>NH</w:t>
            </w:r>
            <w:r>
              <w:rPr>
                <w:bCs/>
                <w:color w:val="000000"/>
                <w:vertAlign w:val="subscript"/>
              </w:rPr>
              <w:t>3</w:t>
            </w:r>
            <w:r>
              <w:rPr>
                <w:bCs/>
                <w:color w:val="000000"/>
              </w:rPr>
              <w:t>-N</w:t>
            </w:r>
          </w:p>
        </w:tc>
        <w:tc>
          <w:tcPr>
            <w:tcW w:w="709" w:type="dxa"/>
            <w:vAlign w:val="center"/>
          </w:tcPr>
          <w:p w:rsidR="00984375" w:rsidRDefault="00984375" w:rsidP="00984375">
            <w:pPr>
              <w:snapToGrid w:val="0"/>
              <w:jc w:val="center"/>
              <w:rPr>
                <w:bCs/>
                <w:color w:val="000000"/>
              </w:rPr>
            </w:pPr>
            <w:r>
              <w:rPr>
                <w:rFonts w:hint="eastAsia"/>
                <w:bCs/>
                <w:color w:val="000000"/>
              </w:rPr>
              <w:t>事故</w:t>
            </w:r>
          </w:p>
        </w:tc>
      </w:tr>
      <w:tr w:rsidR="00984375" w:rsidTr="00984375">
        <w:trPr>
          <w:jc w:val="center"/>
        </w:trPr>
        <w:tc>
          <w:tcPr>
            <w:tcW w:w="1844" w:type="dxa"/>
            <w:vAlign w:val="center"/>
          </w:tcPr>
          <w:p w:rsidR="00984375" w:rsidRDefault="00984375" w:rsidP="00984375">
            <w:pPr>
              <w:snapToGrid w:val="0"/>
              <w:jc w:val="center"/>
              <w:rPr>
                <w:color w:val="000000"/>
                <w:szCs w:val="21"/>
              </w:rPr>
            </w:pPr>
            <w:r>
              <w:rPr>
                <w:rFonts w:hint="eastAsia"/>
                <w:color w:val="000000"/>
                <w:szCs w:val="21"/>
              </w:rPr>
              <w:t>矿井水处理站</w:t>
            </w:r>
          </w:p>
        </w:tc>
        <w:tc>
          <w:tcPr>
            <w:tcW w:w="3260" w:type="dxa"/>
            <w:vAlign w:val="center"/>
          </w:tcPr>
          <w:p w:rsidR="00984375" w:rsidRDefault="00984375" w:rsidP="00984375">
            <w:pPr>
              <w:snapToGrid w:val="0"/>
              <w:jc w:val="center"/>
              <w:rPr>
                <w:color w:val="000000"/>
                <w:szCs w:val="21"/>
              </w:rPr>
            </w:pPr>
            <w:r>
              <w:rPr>
                <w:rFonts w:hint="eastAsia"/>
                <w:color w:val="000000"/>
                <w:szCs w:val="21"/>
              </w:rPr>
              <w:t>矿井水</w:t>
            </w:r>
            <w:r>
              <w:rPr>
                <w:bCs/>
                <w:color w:val="000000"/>
                <w:szCs w:val="21"/>
              </w:rPr>
              <w:t>集、贮及处理构筑物</w:t>
            </w:r>
            <w:r>
              <w:rPr>
                <w:rFonts w:hint="eastAsia"/>
                <w:bCs/>
                <w:color w:val="000000"/>
                <w:szCs w:val="21"/>
              </w:rPr>
              <w:t>，非正常状况下污水在集贮过程中连续渗漏污染土壤</w:t>
            </w:r>
          </w:p>
        </w:tc>
        <w:tc>
          <w:tcPr>
            <w:tcW w:w="1134" w:type="dxa"/>
            <w:vMerge/>
            <w:vAlign w:val="center"/>
          </w:tcPr>
          <w:p w:rsidR="00984375" w:rsidRDefault="00984375" w:rsidP="00984375">
            <w:pPr>
              <w:snapToGrid w:val="0"/>
              <w:jc w:val="center"/>
              <w:rPr>
                <w:color w:val="000000"/>
                <w:szCs w:val="21"/>
              </w:rPr>
            </w:pPr>
          </w:p>
        </w:tc>
        <w:tc>
          <w:tcPr>
            <w:tcW w:w="1134" w:type="dxa"/>
            <w:vAlign w:val="center"/>
          </w:tcPr>
          <w:p w:rsidR="00984375" w:rsidRDefault="00984375" w:rsidP="00984375">
            <w:pPr>
              <w:snapToGrid w:val="0"/>
              <w:jc w:val="center"/>
              <w:rPr>
                <w:color w:val="000000"/>
                <w:szCs w:val="21"/>
              </w:rPr>
            </w:pPr>
            <w:r>
              <w:rPr>
                <w:rFonts w:hint="eastAsia"/>
                <w:color w:val="000000"/>
                <w:szCs w:val="21"/>
              </w:rPr>
              <w:t>SS</w:t>
            </w:r>
            <w:r>
              <w:rPr>
                <w:color w:val="000000"/>
                <w:szCs w:val="21"/>
              </w:rPr>
              <w:t>、</w:t>
            </w:r>
            <w:r>
              <w:rPr>
                <w:color w:val="000000"/>
                <w:szCs w:val="21"/>
              </w:rPr>
              <w:t>COD</w:t>
            </w:r>
            <w:r>
              <w:rPr>
                <w:color w:val="000000"/>
                <w:szCs w:val="21"/>
              </w:rPr>
              <w:t>和</w:t>
            </w:r>
            <w:r>
              <w:rPr>
                <w:rFonts w:hint="eastAsia"/>
                <w:color w:val="000000"/>
                <w:szCs w:val="21"/>
              </w:rPr>
              <w:t>石油类</w:t>
            </w:r>
          </w:p>
        </w:tc>
        <w:tc>
          <w:tcPr>
            <w:tcW w:w="958" w:type="dxa"/>
            <w:vAlign w:val="center"/>
          </w:tcPr>
          <w:p w:rsidR="00984375" w:rsidRDefault="00984375" w:rsidP="00984375">
            <w:pPr>
              <w:snapToGrid w:val="0"/>
              <w:jc w:val="center"/>
              <w:rPr>
                <w:color w:val="000000"/>
                <w:szCs w:val="21"/>
              </w:rPr>
            </w:pPr>
            <w:r>
              <w:rPr>
                <w:rFonts w:hint="eastAsia"/>
                <w:color w:val="000000"/>
                <w:szCs w:val="21"/>
              </w:rPr>
              <w:t>/</w:t>
            </w:r>
          </w:p>
        </w:tc>
        <w:tc>
          <w:tcPr>
            <w:tcW w:w="709" w:type="dxa"/>
            <w:vAlign w:val="center"/>
          </w:tcPr>
          <w:p w:rsidR="00984375" w:rsidRDefault="00984375" w:rsidP="00984375">
            <w:pPr>
              <w:snapToGrid w:val="0"/>
              <w:jc w:val="center"/>
              <w:rPr>
                <w:color w:val="000000"/>
                <w:szCs w:val="21"/>
              </w:rPr>
            </w:pPr>
            <w:r>
              <w:rPr>
                <w:rFonts w:hint="eastAsia"/>
                <w:color w:val="000000"/>
                <w:szCs w:val="21"/>
              </w:rPr>
              <w:t>事故</w:t>
            </w:r>
          </w:p>
        </w:tc>
      </w:tr>
    </w:tbl>
    <w:p w:rsidR="00C223F5" w:rsidRPr="00927E76" w:rsidRDefault="005860D5">
      <w:pPr>
        <w:tabs>
          <w:tab w:val="left" w:pos="2552"/>
          <w:tab w:val="left" w:pos="5387"/>
        </w:tabs>
        <w:spacing w:line="360" w:lineRule="auto"/>
        <w:ind w:firstLineChars="200" w:firstLine="480"/>
        <w:rPr>
          <w:sz w:val="24"/>
        </w:rPr>
      </w:pPr>
      <w:r w:rsidRPr="00927E76">
        <w:rPr>
          <w:rFonts w:hint="eastAsia"/>
          <w:sz w:val="24"/>
        </w:rPr>
        <w:t>场地改扩建后不再建设机修车间，仅在场地中</w:t>
      </w:r>
      <w:r w:rsidRPr="00EC2BEA">
        <w:rPr>
          <w:rFonts w:hint="eastAsia"/>
          <w:color w:val="FF0000"/>
          <w:sz w:val="24"/>
        </w:rPr>
        <w:t>北部设置油脂库</w:t>
      </w:r>
      <w:r w:rsidR="00EC2BEA" w:rsidRPr="00EC2BEA">
        <w:rPr>
          <w:rFonts w:hint="eastAsia"/>
          <w:color w:val="FF0000"/>
          <w:sz w:val="24"/>
        </w:rPr>
        <w:t>（含危废暂存库，墙体分隔）</w:t>
      </w:r>
      <w:r w:rsidRPr="00927E76">
        <w:rPr>
          <w:rFonts w:hint="eastAsia"/>
          <w:sz w:val="24"/>
        </w:rPr>
        <w:t>，库房地面防渗处理且设围堰，厂区内建筑物周边地面硬化，出现污废水或机油泄露等污染事故概率低，且厂区周边设截排水沟，事故情况下污废水及矿物质油不会外泄至厂区外，不会对厂区外土壤造成影响。</w:t>
      </w:r>
    </w:p>
    <w:p w:rsidR="00C223F5" w:rsidRPr="00927E76" w:rsidRDefault="005860D5">
      <w:pPr>
        <w:snapToGrid w:val="0"/>
        <w:spacing w:line="360" w:lineRule="auto"/>
        <w:ind w:firstLine="482"/>
        <w:rPr>
          <w:sz w:val="24"/>
        </w:rPr>
      </w:pPr>
      <w:r w:rsidRPr="00927E76">
        <w:rPr>
          <w:rFonts w:hint="eastAsia"/>
          <w:sz w:val="24"/>
        </w:rPr>
        <w:t>（</w:t>
      </w:r>
      <w:r w:rsidRPr="00927E76">
        <w:rPr>
          <w:rFonts w:hint="eastAsia"/>
          <w:sz w:val="24"/>
        </w:rPr>
        <w:t>3</w:t>
      </w:r>
      <w:r w:rsidRPr="00927E76">
        <w:rPr>
          <w:rFonts w:hint="eastAsia"/>
          <w:sz w:val="24"/>
        </w:rPr>
        <w:t>）其它场地</w:t>
      </w:r>
    </w:p>
    <w:p w:rsidR="00C223F5" w:rsidRPr="00927E76" w:rsidRDefault="005860D5" w:rsidP="00754403">
      <w:pPr>
        <w:pStyle w:val="36"/>
        <w:rPr>
          <w:bCs/>
        </w:rPr>
      </w:pPr>
      <w:r w:rsidRPr="00927E76">
        <w:rPr>
          <w:rFonts w:hint="eastAsia"/>
        </w:rPr>
        <w:t>其它场地的污染源主要为水处理站，结合地下水评价内容，</w:t>
      </w:r>
      <w:r w:rsidRPr="00927E76">
        <w:rPr>
          <w:rFonts w:hint="eastAsia"/>
          <w:bCs/>
        </w:rPr>
        <w:t>井下排水</w:t>
      </w:r>
      <w:r w:rsidRPr="00927E76">
        <w:rPr>
          <w:bCs/>
        </w:rPr>
        <w:t>主要受采煤产生的煤屑污染，水质成分简单；生活污水主要污染物为</w:t>
      </w:r>
      <w:r w:rsidRPr="00927E76">
        <w:rPr>
          <w:bCs/>
        </w:rPr>
        <w:t>SS</w:t>
      </w:r>
      <w:r w:rsidRPr="00927E76">
        <w:rPr>
          <w:bCs/>
        </w:rPr>
        <w:t>、</w:t>
      </w:r>
      <w:r w:rsidRPr="00927E76">
        <w:rPr>
          <w:bCs/>
        </w:rPr>
        <w:t>COD</w:t>
      </w:r>
      <w:r w:rsidRPr="00927E76">
        <w:rPr>
          <w:bCs/>
        </w:rPr>
        <w:t>、</w:t>
      </w:r>
      <w:r w:rsidRPr="00927E76">
        <w:rPr>
          <w:bCs/>
        </w:rPr>
        <w:t>BOD</w:t>
      </w:r>
      <w:r w:rsidRPr="00927E76">
        <w:rPr>
          <w:bCs/>
          <w:vertAlign w:val="subscript"/>
        </w:rPr>
        <w:t>5</w:t>
      </w:r>
      <w:r w:rsidRPr="00927E76">
        <w:rPr>
          <w:bCs/>
        </w:rPr>
        <w:t>、</w:t>
      </w:r>
      <w:r w:rsidRPr="00927E76">
        <w:rPr>
          <w:bCs/>
        </w:rPr>
        <w:t>NH</w:t>
      </w:r>
      <w:r w:rsidRPr="00927E76">
        <w:rPr>
          <w:bCs/>
          <w:vertAlign w:val="subscript"/>
        </w:rPr>
        <w:t>3</w:t>
      </w:r>
      <w:r w:rsidRPr="00927E76">
        <w:rPr>
          <w:bCs/>
        </w:rPr>
        <w:t>-N</w:t>
      </w:r>
      <w:r w:rsidRPr="00927E76">
        <w:rPr>
          <w:bCs/>
        </w:rPr>
        <w:t>等，水质相对较差，本次评价重点预测生活污水</w:t>
      </w:r>
      <w:r w:rsidRPr="00927E76">
        <w:rPr>
          <w:rFonts w:hint="eastAsia"/>
          <w:bCs/>
        </w:rPr>
        <w:t>渗漏对土壤的污染</w:t>
      </w:r>
      <w:r w:rsidRPr="00927E76">
        <w:rPr>
          <w:bCs/>
        </w:rPr>
        <w:t>。</w:t>
      </w:r>
    </w:p>
    <w:p w:rsidR="00C223F5" w:rsidRDefault="005860D5" w:rsidP="00754403">
      <w:pPr>
        <w:snapToGrid w:val="0"/>
        <w:spacing w:line="360" w:lineRule="auto"/>
        <w:ind w:firstLine="482"/>
        <w:rPr>
          <w:color w:val="000000"/>
          <w:sz w:val="24"/>
        </w:rPr>
      </w:pPr>
      <w:r w:rsidRPr="00927E76">
        <w:rPr>
          <w:rFonts w:hint="eastAsia"/>
          <w:sz w:val="24"/>
        </w:rPr>
        <w:t>预测采用导则附录</w:t>
      </w:r>
      <w:r w:rsidRPr="00927E76">
        <w:rPr>
          <w:rFonts w:hint="eastAsia"/>
          <w:sz w:val="24"/>
        </w:rPr>
        <w:t>E</w:t>
      </w:r>
      <w:r w:rsidRPr="00927E76">
        <w:rPr>
          <w:rFonts w:hint="eastAsia"/>
          <w:sz w:val="24"/>
        </w:rPr>
        <w:t>推荐的方</w:t>
      </w:r>
      <w:r>
        <w:rPr>
          <w:rFonts w:hint="eastAsia"/>
          <w:color w:val="000000"/>
          <w:sz w:val="24"/>
        </w:rPr>
        <w:t>法二进行预测。本次采用</w:t>
      </w:r>
      <w:r>
        <w:rPr>
          <w:rFonts w:hint="eastAsia"/>
          <w:color w:val="000000"/>
          <w:sz w:val="24"/>
          <w:lang w:bidi="en-US"/>
        </w:rPr>
        <w:t>HYDRUS-1D</w:t>
      </w:r>
      <w:r>
        <w:rPr>
          <w:rFonts w:hint="eastAsia"/>
          <w:color w:val="000000"/>
          <w:sz w:val="24"/>
          <w:lang w:bidi="en-US"/>
        </w:rPr>
        <w:t>软件进</w:t>
      </w:r>
      <w:r>
        <w:rPr>
          <w:rFonts w:hint="eastAsia"/>
          <w:color w:val="000000"/>
          <w:sz w:val="24"/>
          <w:lang w:bidi="en-US"/>
        </w:rPr>
        <w:lastRenderedPageBreak/>
        <w:t>行预测。</w:t>
      </w:r>
    </w:p>
    <w:p w:rsidR="00C223F5" w:rsidRDefault="005860D5" w:rsidP="00754403">
      <w:pPr>
        <w:snapToGrid w:val="0"/>
        <w:spacing w:line="360" w:lineRule="auto"/>
        <w:ind w:firstLine="482"/>
        <w:rPr>
          <w:color w:val="000000"/>
          <w:sz w:val="24"/>
          <w:lang w:bidi="en-US"/>
        </w:rPr>
      </w:pPr>
      <w:r>
        <w:rPr>
          <w:rFonts w:hint="eastAsia"/>
          <w:color w:val="000000"/>
          <w:sz w:val="24"/>
          <w:lang w:bidi="en-US"/>
        </w:rPr>
        <w:t>①</w:t>
      </w:r>
      <w:r>
        <w:rPr>
          <w:color w:val="000000"/>
          <w:sz w:val="24"/>
          <w:lang w:bidi="en-US"/>
        </w:rPr>
        <w:t>数学模型</w:t>
      </w:r>
    </w:p>
    <w:p w:rsidR="00C223F5" w:rsidRDefault="005860D5" w:rsidP="00754403">
      <w:pPr>
        <w:snapToGrid w:val="0"/>
        <w:spacing w:line="360" w:lineRule="auto"/>
        <w:ind w:firstLine="482"/>
        <w:rPr>
          <w:color w:val="000000"/>
          <w:sz w:val="24"/>
          <w:lang w:bidi="en-US"/>
        </w:rPr>
      </w:pPr>
      <w:r>
        <w:rPr>
          <w:color w:val="000000"/>
          <w:sz w:val="24"/>
          <w:lang w:bidi="en-US"/>
        </w:rPr>
        <w:t>污染物在</w:t>
      </w:r>
      <w:r>
        <w:rPr>
          <w:rFonts w:hint="eastAsia"/>
          <w:color w:val="000000"/>
          <w:sz w:val="24"/>
          <w:lang w:bidi="en-US"/>
        </w:rPr>
        <w:t>土壤</w:t>
      </w:r>
      <w:r>
        <w:rPr>
          <w:color w:val="000000"/>
          <w:sz w:val="24"/>
          <w:lang w:bidi="en-US"/>
        </w:rPr>
        <w:t>中垂直向下迁移</w:t>
      </w:r>
      <w:r>
        <w:rPr>
          <w:rFonts w:hint="eastAsia"/>
          <w:color w:val="000000"/>
          <w:sz w:val="24"/>
          <w:lang w:bidi="en-US"/>
        </w:rPr>
        <w:t>，</w:t>
      </w:r>
      <w:r>
        <w:rPr>
          <w:color w:val="000000"/>
          <w:sz w:val="24"/>
          <w:lang w:bidi="en-US"/>
        </w:rPr>
        <w:t>土壤水流运动控制方程采用一维垂向非饱和土壤中水分运动方程</w:t>
      </w:r>
      <w:r>
        <w:rPr>
          <w:rFonts w:hint="eastAsia"/>
          <w:color w:val="000000"/>
          <w:sz w:val="24"/>
          <w:lang w:bidi="en-US"/>
        </w:rPr>
        <w:t>（</w:t>
      </w:r>
      <w:r>
        <w:rPr>
          <w:color w:val="000000"/>
          <w:sz w:val="24"/>
          <w:lang w:bidi="en-US"/>
        </w:rPr>
        <w:t>Richards</w:t>
      </w:r>
      <w:r>
        <w:rPr>
          <w:color w:val="000000"/>
          <w:sz w:val="24"/>
          <w:lang w:bidi="en-US"/>
        </w:rPr>
        <w:t>方程</w:t>
      </w:r>
      <w:r>
        <w:rPr>
          <w:rFonts w:hint="eastAsia"/>
          <w:color w:val="000000"/>
          <w:sz w:val="24"/>
          <w:lang w:bidi="en-US"/>
        </w:rPr>
        <w:t>）</w:t>
      </w:r>
      <w:r>
        <w:rPr>
          <w:color w:val="000000"/>
          <w:sz w:val="24"/>
          <w:lang w:bidi="en-US"/>
        </w:rPr>
        <w:t>：</w:t>
      </w:r>
    </w:p>
    <w:p w:rsidR="00C223F5" w:rsidRDefault="00C223F5" w:rsidP="00754403">
      <w:pPr>
        <w:snapToGrid w:val="0"/>
        <w:spacing w:line="360" w:lineRule="auto"/>
        <w:ind w:firstLine="482"/>
        <w:jc w:val="center"/>
        <w:rPr>
          <w:color w:val="000000"/>
          <w:sz w:val="24"/>
          <w:lang w:bidi="en-US"/>
        </w:rPr>
      </w:pPr>
      <w:r w:rsidRPr="00C223F5">
        <w:rPr>
          <w:color w:val="000000"/>
          <w:position w:val="-28"/>
          <w:sz w:val="24"/>
          <w:lang w:bidi="en-US"/>
        </w:rPr>
        <w:object w:dxaOrig="2620" w:dyaOrig="680">
          <v:shape id="_x0000_i1068" type="#_x0000_t75" style="width:133.85pt;height:34.75pt" o:ole="">
            <v:imagedata r:id="rId118" o:title=""/>
          </v:shape>
          <o:OLEObject Type="Embed" ProgID="Equation.DSMT4" ShapeID="_x0000_i1068" DrawAspect="Content" ObjectID="_1629037179" r:id="rId119"/>
        </w:object>
      </w:r>
    </w:p>
    <w:p w:rsidR="00C223F5" w:rsidRDefault="005860D5" w:rsidP="00754403">
      <w:pPr>
        <w:snapToGrid w:val="0"/>
        <w:spacing w:line="360" w:lineRule="auto"/>
        <w:ind w:firstLine="482"/>
        <w:rPr>
          <w:color w:val="000000"/>
          <w:sz w:val="24"/>
          <w:lang w:bidi="en-US"/>
        </w:rPr>
      </w:pPr>
      <w:r>
        <w:rPr>
          <w:color w:val="000000"/>
          <w:sz w:val="24"/>
          <w:lang w:bidi="en-US"/>
        </w:rPr>
        <w:t>其中：</w:t>
      </w:r>
      <w:r>
        <w:rPr>
          <w:i/>
          <w:color w:val="000000"/>
          <w:sz w:val="24"/>
          <w:lang w:bidi="en-US"/>
        </w:rPr>
        <w:t>θ</w:t>
      </w:r>
      <w:r>
        <w:rPr>
          <w:rFonts w:hint="eastAsia"/>
          <w:color w:val="000000"/>
          <w:sz w:val="24"/>
          <w:lang w:bidi="en-US"/>
        </w:rPr>
        <w:t>为</w:t>
      </w:r>
      <w:r>
        <w:rPr>
          <w:color w:val="000000"/>
          <w:sz w:val="24"/>
          <w:lang w:bidi="en-US"/>
        </w:rPr>
        <w:t>土壤体积含水率；</w:t>
      </w:r>
      <w:r>
        <w:rPr>
          <w:i/>
          <w:color w:val="000000"/>
          <w:sz w:val="24"/>
          <w:lang w:bidi="en-US"/>
        </w:rPr>
        <w:t>h</w:t>
      </w:r>
      <w:r>
        <w:rPr>
          <w:rFonts w:hint="eastAsia"/>
          <w:color w:val="000000"/>
          <w:sz w:val="24"/>
          <w:lang w:bidi="en-US"/>
        </w:rPr>
        <w:t>为</w:t>
      </w:r>
      <w:r>
        <w:rPr>
          <w:color w:val="000000"/>
          <w:sz w:val="24"/>
          <w:lang w:bidi="en-US"/>
        </w:rPr>
        <w:t>压力水头，饱和带大于零，非饱和带小于零；</w:t>
      </w:r>
      <w:r>
        <w:rPr>
          <w:i/>
          <w:color w:val="000000"/>
          <w:sz w:val="24"/>
          <w:lang w:bidi="en-US"/>
        </w:rPr>
        <w:t>z</w:t>
      </w:r>
      <w:r>
        <w:rPr>
          <w:color w:val="000000"/>
          <w:sz w:val="24"/>
          <w:lang w:bidi="en-US"/>
        </w:rPr>
        <w:t>、</w:t>
      </w:r>
      <w:r>
        <w:rPr>
          <w:i/>
          <w:color w:val="000000"/>
          <w:sz w:val="24"/>
          <w:lang w:bidi="en-US"/>
        </w:rPr>
        <w:t>t</w:t>
      </w:r>
      <w:r>
        <w:rPr>
          <w:color w:val="000000"/>
          <w:sz w:val="24"/>
          <w:lang w:bidi="en-US"/>
        </w:rPr>
        <w:t>分别为垂直方向坐标变量、时间变量；</w:t>
      </w:r>
      <w:r>
        <w:rPr>
          <w:rFonts w:hint="eastAsia"/>
          <w:i/>
          <w:color w:val="000000"/>
          <w:sz w:val="24"/>
          <w:lang w:bidi="en-US"/>
        </w:rPr>
        <w:t>K</w:t>
      </w:r>
      <w:r>
        <w:rPr>
          <w:rFonts w:hint="eastAsia"/>
          <w:color w:val="000000"/>
          <w:sz w:val="24"/>
          <w:lang w:bidi="en-US"/>
        </w:rPr>
        <w:t>为</w:t>
      </w:r>
      <w:r>
        <w:rPr>
          <w:color w:val="000000"/>
          <w:sz w:val="24"/>
          <w:lang w:bidi="en-US"/>
        </w:rPr>
        <w:t>垂直方向的水力传导</w:t>
      </w:r>
      <w:r>
        <w:rPr>
          <w:rFonts w:hint="eastAsia"/>
          <w:color w:val="000000"/>
          <w:sz w:val="24"/>
          <w:lang w:bidi="en-US"/>
        </w:rPr>
        <w:t>系数</w:t>
      </w:r>
      <w:r>
        <w:rPr>
          <w:color w:val="000000"/>
          <w:sz w:val="24"/>
          <w:lang w:bidi="en-US"/>
        </w:rPr>
        <w:t>；</w:t>
      </w:r>
      <w:r>
        <w:rPr>
          <w:rFonts w:hint="eastAsia"/>
          <w:i/>
          <w:color w:val="000000"/>
          <w:sz w:val="24"/>
          <w:lang w:bidi="en-US"/>
        </w:rPr>
        <w:t>S</w:t>
      </w:r>
      <w:r>
        <w:rPr>
          <w:rFonts w:hint="eastAsia"/>
          <w:color w:val="000000"/>
          <w:sz w:val="24"/>
          <w:lang w:bidi="en-US"/>
        </w:rPr>
        <w:t>为源汇项</w:t>
      </w:r>
      <w:r>
        <w:rPr>
          <w:color w:val="000000"/>
          <w:sz w:val="24"/>
          <w:lang w:bidi="en-US"/>
        </w:rPr>
        <w:t>。</w:t>
      </w:r>
    </w:p>
    <w:p w:rsidR="00C223F5" w:rsidRDefault="005860D5" w:rsidP="00754403">
      <w:pPr>
        <w:snapToGrid w:val="0"/>
        <w:spacing w:line="360" w:lineRule="auto"/>
        <w:ind w:firstLineChars="200" w:firstLine="480"/>
        <w:rPr>
          <w:color w:val="000000"/>
          <w:sz w:val="24"/>
          <w:lang w:bidi="en-US"/>
        </w:rPr>
      </w:pPr>
      <w:r>
        <w:rPr>
          <w:rFonts w:hint="eastAsia"/>
          <w:color w:val="000000"/>
          <w:sz w:val="24"/>
          <w:lang w:bidi="en-US"/>
        </w:rPr>
        <w:t>本次选用</w:t>
      </w:r>
      <w:r>
        <w:rPr>
          <w:rFonts w:hint="eastAsia"/>
          <w:color w:val="000000"/>
          <w:sz w:val="24"/>
          <w:lang w:bidi="en-US"/>
        </w:rPr>
        <w:t>HYDRUS-1D</w:t>
      </w:r>
      <w:r>
        <w:rPr>
          <w:rFonts w:hint="eastAsia"/>
          <w:color w:val="000000"/>
          <w:sz w:val="24"/>
          <w:lang w:bidi="en-US"/>
        </w:rPr>
        <w:t>中提供的</w:t>
      </w:r>
      <w:r>
        <w:rPr>
          <w:color w:val="000000"/>
          <w:sz w:val="24"/>
          <w:lang w:bidi="en-US"/>
        </w:rPr>
        <w:t xml:space="preserve">van </w:t>
      </w:r>
      <w:proofErr w:type="spellStart"/>
      <w:r>
        <w:rPr>
          <w:color w:val="000000"/>
          <w:sz w:val="24"/>
          <w:lang w:bidi="en-US"/>
        </w:rPr>
        <w:t>Venuchten-Mualem</w:t>
      </w:r>
      <w:proofErr w:type="spellEnd"/>
      <w:r>
        <w:rPr>
          <w:rFonts w:hint="eastAsia"/>
          <w:color w:val="000000"/>
          <w:sz w:val="24"/>
          <w:lang w:bidi="en-US"/>
        </w:rPr>
        <w:t>模型计算水力特征参数</w:t>
      </w:r>
      <w:r>
        <w:rPr>
          <w:i/>
          <w:color w:val="000000"/>
          <w:sz w:val="24"/>
          <w:lang w:bidi="en-US"/>
        </w:rPr>
        <w:t>θ</w:t>
      </w:r>
      <w:r>
        <w:rPr>
          <w:rFonts w:hint="eastAsia"/>
          <w:color w:val="000000"/>
          <w:sz w:val="24"/>
          <w:lang w:bidi="en-US"/>
        </w:rPr>
        <w:t>(</w:t>
      </w:r>
      <w:r>
        <w:rPr>
          <w:rFonts w:hint="eastAsia"/>
          <w:i/>
          <w:color w:val="000000"/>
          <w:sz w:val="24"/>
          <w:lang w:bidi="en-US"/>
        </w:rPr>
        <w:t>h</w:t>
      </w:r>
      <w:r>
        <w:rPr>
          <w:rFonts w:hint="eastAsia"/>
          <w:color w:val="000000"/>
          <w:sz w:val="24"/>
          <w:lang w:bidi="en-US"/>
        </w:rPr>
        <w:t>)</w:t>
      </w:r>
      <w:r>
        <w:rPr>
          <w:rFonts w:hint="eastAsia"/>
          <w:color w:val="000000"/>
          <w:sz w:val="24"/>
          <w:lang w:bidi="en-US"/>
        </w:rPr>
        <w:t>和</w:t>
      </w:r>
      <w:r>
        <w:rPr>
          <w:rFonts w:hint="eastAsia"/>
          <w:i/>
          <w:color w:val="000000"/>
          <w:sz w:val="24"/>
          <w:lang w:bidi="en-US"/>
        </w:rPr>
        <w:t>K</w:t>
      </w:r>
      <w:r>
        <w:rPr>
          <w:rFonts w:hint="eastAsia"/>
          <w:color w:val="000000"/>
          <w:sz w:val="24"/>
          <w:lang w:bidi="en-US"/>
        </w:rPr>
        <w:t>(</w:t>
      </w:r>
      <w:r>
        <w:rPr>
          <w:rFonts w:hint="eastAsia"/>
          <w:i/>
          <w:color w:val="000000"/>
          <w:sz w:val="24"/>
          <w:lang w:bidi="en-US"/>
        </w:rPr>
        <w:t>h</w:t>
      </w:r>
      <w:r>
        <w:rPr>
          <w:rFonts w:hint="eastAsia"/>
          <w:color w:val="000000"/>
          <w:sz w:val="24"/>
          <w:lang w:bidi="en-US"/>
        </w:rPr>
        <w:t>)</w:t>
      </w:r>
      <w:r>
        <w:rPr>
          <w:rFonts w:hint="eastAsia"/>
          <w:color w:val="000000"/>
          <w:sz w:val="24"/>
          <w:lang w:bidi="en-US"/>
        </w:rPr>
        <w:t>，且不考虑水流运行的滞后现象。</w:t>
      </w:r>
    </w:p>
    <w:p w:rsidR="00C223F5" w:rsidRDefault="00C223F5" w:rsidP="00754403">
      <w:pPr>
        <w:snapToGrid w:val="0"/>
        <w:spacing w:line="360" w:lineRule="auto"/>
        <w:ind w:firstLineChars="200" w:firstLine="480"/>
        <w:rPr>
          <w:color w:val="000000"/>
          <w:sz w:val="24"/>
          <w:lang w:bidi="en-US"/>
        </w:rPr>
      </w:pPr>
      <w:r w:rsidRPr="00C223F5">
        <w:rPr>
          <w:color w:val="000000"/>
          <w:position w:val="-48"/>
          <w:sz w:val="24"/>
          <w:lang w:bidi="en-US"/>
        </w:rPr>
        <w:object w:dxaOrig="3980" w:dyaOrig="840">
          <v:shape id="_x0000_i1069" type="#_x0000_t75" style="width:202.45pt;height:43.2pt" o:ole="">
            <v:imagedata r:id="rId120" o:title=""/>
          </v:shape>
          <o:OLEObject Type="Embed" ProgID="Equation.DSMT4" ShapeID="_x0000_i1069" DrawAspect="Content" ObjectID="_1629037180" r:id="rId121"/>
        </w:object>
      </w:r>
    </w:p>
    <w:p w:rsidR="00C223F5" w:rsidRDefault="00C223F5" w:rsidP="00754403">
      <w:pPr>
        <w:snapToGrid w:val="0"/>
        <w:spacing w:line="360" w:lineRule="auto"/>
        <w:ind w:firstLine="482"/>
        <w:rPr>
          <w:color w:val="000000"/>
          <w:sz w:val="24"/>
        </w:rPr>
      </w:pPr>
      <w:r w:rsidRPr="00C223F5">
        <w:rPr>
          <w:color w:val="000000"/>
          <w:position w:val="-12"/>
          <w:sz w:val="24"/>
          <w:lang w:bidi="en-US"/>
        </w:rPr>
        <w:object w:dxaOrig="1520" w:dyaOrig="400">
          <v:shape id="_x0000_i1070" type="#_x0000_t75" style="width:77.1pt;height:20.35pt" o:ole="">
            <v:imagedata r:id="rId122" o:title=""/>
          </v:shape>
          <o:OLEObject Type="Embed" ProgID="Equation.DSMT4" ShapeID="_x0000_i1070" DrawAspect="Content" ObjectID="_1629037181" r:id="rId123"/>
        </w:object>
      </w:r>
    </w:p>
    <w:p w:rsidR="00C223F5" w:rsidRDefault="00C223F5" w:rsidP="00754403">
      <w:pPr>
        <w:snapToGrid w:val="0"/>
        <w:spacing w:line="360" w:lineRule="auto"/>
        <w:ind w:firstLine="482"/>
        <w:rPr>
          <w:color w:val="000000"/>
          <w:sz w:val="24"/>
        </w:rPr>
      </w:pPr>
      <w:r w:rsidRPr="00C223F5">
        <w:rPr>
          <w:color w:val="000000"/>
          <w:position w:val="-22"/>
          <w:sz w:val="24"/>
          <w:lang w:bidi="en-US"/>
        </w:rPr>
        <w:object w:dxaOrig="2740" w:dyaOrig="580">
          <v:shape id="_x0000_i1071" type="#_x0000_t75" style="width:139.75pt;height:29.65pt" o:ole="">
            <v:imagedata r:id="rId124" o:title=""/>
          </v:shape>
          <o:OLEObject Type="Embed" ProgID="Equation.DSMT4" ShapeID="_x0000_i1071" DrawAspect="Content" ObjectID="_1629037182" r:id="rId125"/>
        </w:object>
      </w:r>
      <w:r w:rsidRPr="00C223F5">
        <w:rPr>
          <w:color w:val="000000"/>
          <w:position w:val="-28"/>
          <w:sz w:val="24"/>
          <w:lang w:bidi="en-US"/>
        </w:rPr>
        <w:object w:dxaOrig="1100" w:dyaOrig="640">
          <v:shape id="_x0000_i1072" type="#_x0000_t75" style="width:56.75pt;height:32.2pt" o:ole="">
            <v:imagedata r:id="rId126" o:title=""/>
          </v:shape>
          <o:OLEObject Type="Embed" ProgID="Equation.DSMT4" ShapeID="_x0000_i1072" DrawAspect="Content" ObjectID="_1629037183" r:id="rId127"/>
        </w:object>
      </w:r>
    </w:p>
    <w:p w:rsidR="00C223F5" w:rsidRDefault="005860D5" w:rsidP="00754403">
      <w:pPr>
        <w:snapToGrid w:val="0"/>
        <w:spacing w:line="360" w:lineRule="auto"/>
        <w:ind w:firstLine="482"/>
        <w:rPr>
          <w:color w:val="000000"/>
          <w:sz w:val="24"/>
          <w:lang w:bidi="en-US"/>
        </w:rPr>
      </w:pPr>
      <w:proofErr w:type="spellStart"/>
      <w:r>
        <w:rPr>
          <w:i/>
          <w:color w:val="000000"/>
          <w:sz w:val="24"/>
          <w:lang w:bidi="en-US"/>
        </w:rPr>
        <w:t>θ</w:t>
      </w:r>
      <w:r>
        <w:rPr>
          <w:rFonts w:hint="eastAsia"/>
          <w:i/>
          <w:color w:val="000000"/>
          <w:sz w:val="24"/>
          <w:vertAlign w:val="subscript"/>
          <w:lang w:bidi="en-US"/>
        </w:rPr>
        <w:t>r</w:t>
      </w:r>
      <w:proofErr w:type="spellEnd"/>
      <w:r>
        <w:rPr>
          <w:rFonts w:hint="eastAsia"/>
          <w:color w:val="000000"/>
          <w:sz w:val="24"/>
          <w:lang w:bidi="en-US"/>
        </w:rPr>
        <w:t>为土壤残余含水率；</w:t>
      </w:r>
      <w:proofErr w:type="spellStart"/>
      <w:r>
        <w:rPr>
          <w:i/>
          <w:color w:val="000000"/>
          <w:sz w:val="24"/>
          <w:lang w:bidi="en-US"/>
        </w:rPr>
        <w:t>θ</w:t>
      </w:r>
      <w:r>
        <w:rPr>
          <w:rFonts w:hint="eastAsia"/>
          <w:i/>
          <w:color w:val="000000"/>
          <w:sz w:val="24"/>
          <w:vertAlign w:val="subscript"/>
          <w:lang w:bidi="en-US"/>
        </w:rPr>
        <w:t>s</w:t>
      </w:r>
      <w:proofErr w:type="spellEnd"/>
      <w:r>
        <w:rPr>
          <w:rFonts w:hint="eastAsia"/>
          <w:color w:val="000000"/>
          <w:sz w:val="24"/>
          <w:lang w:bidi="en-US"/>
        </w:rPr>
        <w:t>为土壤饱和含水率；</w:t>
      </w:r>
      <w:r>
        <w:rPr>
          <w:i/>
          <w:color w:val="000000"/>
          <w:sz w:val="24"/>
          <w:lang w:bidi="en-US"/>
        </w:rPr>
        <w:t>α</w:t>
      </w:r>
      <w:r>
        <w:rPr>
          <w:i/>
          <w:color w:val="000000"/>
          <w:sz w:val="24"/>
          <w:lang w:bidi="en-US"/>
        </w:rPr>
        <w:t>、</w:t>
      </w:r>
      <w:r>
        <w:rPr>
          <w:i/>
          <w:color w:val="000000"/>
          <w:sz w:val="24"/>
          <w:lang w:bidi="en-US"/>
        </w:rPr>
        <w:t>n</w:t>
      </w:r>
      <w:r>
        <w:rPr>
          <w:rFonts w:hint="eastAsia"/>
          <w:color w:val="000000"/>
          <w:sz w:val="24"/>
          <w:lang w:bidi="en-US"/>
        </w:rPr>
        <w:t>为土壤水力特征经验参数；</w:t>
      </w:r>
      <w:r>
        <w:rPr>
          <w:rFonts w:hint="eastAsia"/>
          <w:i/>
          <w:color w:val="000000"/>
          <w:sz w:val="24"/>
          <w:lang w:bidi="en-US"/>
        </w:rPr>
        <w:t>l</w:t>
      </w:r>
      <w:r>
        <w:rPr>
          <w:rFonts w:hint="eastAsia"/>
          <w:color w:val="000000"/>
          <w:sz w:val="24"/>
          <w:lang w:bidi="en-US"/>
        </w:rPr>
        <w:t>为土壤介质孔隙连通性参数，一般取</w:t>
      </w:r>
      <w:r>
        <w:rPr>
          <w:rFonts w:hint="eastAsia"/>
          <w:color w:val="000000"/>
          <w:sz w:val="24"/>
          <w:lang w:bidi="en-US"/>
        </w:rPr>
        <w:t>0.5</w:t>
      </w:r>
      <w:r>
        <w:rPr>
          <w:rFonts w:hint="eastAsia"/>
          <w:color w:val="000000"/>
          <w:sz w:val="24"/>
          <w:lang w:bidi="en-US"/>
        </w:rPr>
        <w:t>。</w:t>
      </w:r>
    </w:p>
    <w:p w:rsidR="00C223F5" w:rsidRDefault="005860D5" w:rsidP="00754403">
      <w:pPr>
        <w:snapToGrid w:val="0"/>
        <w:spacing w:line="360" w:lineRule="auto"/>
        <w:ind w:firstLine="482"/>
        <w:rPr>
          <w:color w:val="000000"/>
          <w:sz w:val="24"/>
          <w:lang w:bidi="en-US"/>
        </w:rPr>
      </w:pPr>
      <w:r>
        <w:rPr>
          <w:color w:val="000000"/>
          <w:sz w:val="24"/>
          <w:lang w:bidi="en-US"/>
        </w:rPr>
        <w:t>根据多孔介质溶质运移理论，土壤溶质运移模型采用</w:t>
      </w:r>
      <w:r>
        <w:rPr>
          <w:rFonts w:hint="eastAsia"/>
          <w:color w:val="000000"/>
          <w:sz w:val="24"/>
          <w:lang w:bidi="en-US"/>
        </w:rPr>
        <w:t>一维</w:t>
      </w:r>
      <w:r>
        <w:rPr>
          <w:color w:val="000000"/>
          <w:sz w:val="24"/>
          <w:lang w:bidi="en-US"/>
        </w:rPr>
        <w:t>非饱和溶质运移</w:t>
      </w:r>
      <w:r>
        <w:rPr>
          <w:rFonts w:hint="eastAsia"/>
          <w:color w:val="000000"/>
          <w:sz w:val="24"/>
          <w:lang w:bidi="en-US"/>
        </w:rPr>
        <w:t>控制方程</w:t>
      </w:r>
      <w:r>
        <w:rPr>
          <w:color w:val="000000"/>
          <w:sz w:val="24"/>
          <w:lang w:bidi="en-US"/>
        </w:rPr>
        <w:t>：</w:t>
      </w:r>
    </w:p>
    <w:p w:rsidR="00C223F5" w:rsidRDefault="00C223F5" w:rsidP="00754403">
      <w:pPr>
        <w:snapToGrid w:val="0"/>
        <w:spacing w:line="360" w:lineRule="auto"/>
        <w:ind w:firstLine="482"/>
        <w:jc w:val="center"/>
        <w:rPr>
          <w:color w:val="000000"/>
          <w:sz w:val="24"/>
          <w:lang w:bidi="en-US"/>
        </w:rPr>
      </w:pPr>
      <w:r w:rsidRPr="00C223F5">
        <w:rPr>
          <w:color w:val="000000"/>
          <w:position w:val="-26"/>
          <w:sz w:val="24"/>
          <w:lang w:bidi="en-US"/>
        </w:rPr>
        <w:object w:dxaOrig="2720" w:dyaOrig="660">
          <v:shape id="_x0000_i1073" type="#_x0000_t75" style="width:135.55pt;height:32.2pt" o:ole="">
            <v:imagedata r:id="rId128" o:title=""/>
          </v:shape>
          <o:OLEObject Type="Embed" ProgID="Equation.DSMT4" ShapeID="_x0000_i1073" DrawAspect="Content" ObjectID="_1629037184" r:id="rId129"/>
        </w:object>
      </w:r>
    </w:p>
    <w:p w:rsidR="00C223F5" w:rsidRDefault="005860D5" w:rsidP="00754403">
      <w:pPr>
        <w:snapToGrid w:val="0"/>
        <w:spacing w:line="360" w:lineRule="auto"/>
        <w:ind w:firstLine="482"/>
        <w:rPr>
          <w:color w:val="000000"/>
          <w:sz w:val="24"/>
          <w:lang w:bidi="en-US"/>
        </w:rPr>
      </w:pPr>
      <w:r>
        <w:rPr>
          <w:color w:val="000000"/>
          <w:sz w:val="24"/>
          <w:lang w:bidi="en-US"/>
        </w:rPr>
        <w:t>其中：</w:t>
      </w:r>
      <w:r>
        <w:rPr>
          <w:i/>
          <w:color w:val="000000"/>
          <w:sz w:val="24"/>
          <w:lang w:bidi="en-US"/>
        </w:rPr>
        <w:t>c</w:t>
      </w:r>
      <w:r>
        <w:rPr>
          <w:rFonts w:hint="eastAsia"/>
          <w:color w:val="000000"/>
          <w:sz w:val="24"/>
          <w:lang w:bidi="en-US"/>
        </w:rPr>
        <w:t>为</w:t>
      </w:r>
      <w:r>
        <w:rPr>
          <w:color w:val="000000"/>
          <w:sz w:val="24"/>
          <w:lang w:bidi="en-US"/>
        </w:rPr>
        <w:t>土壤水中污染物浓度；</w:t>
      </w:r>
      <w:r>
        <w:rPr>
          <w:i/>
          <w:color w:val="000000"/>
          <w:sz w:val="24"/>
          <w:lang w:bidi="en-US"/>
        </w:rPr>
        <w:t>D</w:t>
      </w:r>
      <w:r>
        <w:rPr>
          <w:color w:val="000000"/>
          <w:sz w:val="24"/>
          <w:lang w:bidi="en-US"/>
        </w:rPr>
        <w:t>土壤水动力弥散系数</w:t>
      </w:r>
      <w:r>
        <w:rPr>
          <w:rFonts w:hint="eastAsia"/>
          <w:color w:val="000000"/>
          <w:sz w:val="24"/>
          <w:lang w:bidi="en-US"/>
        </w:rPr>
        <w:t>；</w:t>
      </w:r>
      <w:r>
        <w:rPr>
          <w:i/>
          <w:color w:val="000000"/>
          <w:sz w:val="24"/>
          <w:lang w:bidi="en-US"/>
        </w:rPr>
        <w:t>θ</w:t>
      </w:r>
      <w:r>
        <w:rPr>
          <w:rFonts w:hint="eastAsia"/>
          <w:color w:val="000000"/>
          <w:sz w:val="24"/>
          <w:lang w:bidi="en-US"/>
        </w:rPr>
        <w:t>为</w:t>
      </w:r>
      <w:r>
        <w:rPr>
          <w:color w:val="000000"/>
          <w:sz w:val="24"/>
          <w:lang w:bidi="en-US"/>
        </w:rPr>
        <w:t>土壤体积含水率</w:t>
      </w:r>
      <w:r>
        <w:rPr>
          <w:rFonts w:hint="eastAsia"/>
          <w:color w:val="000000"/>
          <w:sz w:val="24"/>
          <w:lang w:bidi="en-US"/>
        </w:rPr>
        <w:t>；</w:t>
      </w:r>
      <w:r>
        <w:rPr>
          <w:rFonts w:hint="eastAsia"/>
          <w:i/>
          <w:color w:val="000000"/>
          <w:sz w:val="24"/>
          <w:lang w:bidi="en-US"/>
        </w:rPr>
        <w:t>q</w:t>
      </w:r>
      <w:r>
        <w:rPr>
          <w:rFonts w:hint="eastAsia"/>
          <w:color w:val="000000"/>
          <w:sz w:val="24"/>
          <w:lang w:bidi="en-US"/>
        </w:rPr>
        <w:t>为渗流速率</w:t>
      </w:r>
      <w:r>
        <w:rPr>
          <w:color w:val="000000"/>
          <w:sz w:val="24"/>
          <w:lang w:bidi="en-US"/>
        </w:rPr>
        <w:t>。</w:t>
      </w:r>
    </w:p>
    <w:p w:rsidR="00C223F5" w:rsidRDefault="005860D5" w:rsidP="00754403">
      <w:pPr>
        <w:snapToGrid w:val="0"/>
        <w:spacing w:line="360" w:lineRule="auto"/>
        <w:ind w:firstLine="482"/>
        <w:rPr>
          <w:color w:val="000000"/>
          <w:sz w:val="24"/>
          <w:lang w:bidi="en-US"/>
        </w:rPr>
      </w:pPr>
      <w:r>
        <w:rPr>
          <w:color w:val="000000"/>
          <w:sz w:val="24"/>
          <w:lang w:bidi="en-US"/>
        </w:rPr>
        <w:t>初始条件：</w:t>
      </w:r>
      <w:r>
        <w:rPr>
          <w:rFonts w:hint="eastAsia"/>
          <w:i/>
          <w:color w:val="000000"/>
          <w:sz w:val="24"/>
          <w:lang w:bidi="en-US"/>
        </w:rPr>
        <w:t>c</w:t>
      </w:r>
      <w:r>
        <w:rPr>
          <w:color w:val="000000"/>
          <w:sz w:val="24"/>
          <w:lang w:bidi="en-US"/>
        </w:rPr>
        <w:t>(</w:t>
      </w:r>
      <w:r>
        <w:rPr>
          <w:i/>
          <w:color w:val="000000"/>
          <w:sz w:val="24"/>
          <w:lang w:bidi="en-US"/>
        </w:rPr>
        <w:t>z</w:t>
      </w:r>
      <w:r>
        <w:rPr>
          <w:rFonts w:hint="eastAsia"/>
          <w:color w:val="000000"/>
          <w:sz w:val="24"/>
          <w:lang w:bidi="en-US"/>
        </w:rPr>
        <w:t>，</w:t>
      </w:r>
      <w:r>
        <w:rPr>
          <w:rFonts w:hint="eastAsia"/>
          <w:i/>
          <w:color w:val="000000"/>
          <w:sz w:val="24"/>
          <w:lang w:bidi="en-US"/>
        </w:rPr>
        <w:t>0</w:t>
      </w:r>
      <w:r>
        <w:rPr>
          <w:color w:val="000000"/>
          <w:sz w:val="24"/>
          <w:lang w:bidi="en-US"/>
        </w:rPr>
        <w:t>) =</w:t>
      </w:r>
      <w:r>
        <w:rPr>
          <w:rFonts w:hint="eastAsia"/>
          <w:color w:val="000000"/>
          <w:sz w:val="24"/>
          <w:lang w:bidi="en-US"/>
        </w:rPr>
        <w:t xml:space="preserve">0  </w:t>
      </w:r>
    </w:p>
    <w:p w:rsidR="00C223F5" w:rsidRDefault="005860D5" w:rsidP="00754403">
      <w:pPr>
        <w:snapToGrid w:val="0"/>
        <w:spacing w:line="360" w:lineRule="auto"/>
        <w:ind w:firstLine="482"/>
        <w:rPr>
          <w:color w:val="000000"/>
          <w:sz w:val="24"/>
          <w:lang w:bidi="en-US"/>
        </w:rPr>
      </w:pPr>
      <w:r>
        <w:rPr>
          <w:color w:val="000000"/>
          <w:sz w:val="24"/>
          <w:lang w:bidi="en-US"/>
        </w:rPr>
        <w:t>边界条件：上边界</w:t>
      </w:r>
      <w:r>
        <w:rPr>
          <w:rFonts w:hint="eastAsia"/>
          <w:color w:val="000000"/>
          <w:sz w:val="24"/>
          <w:lang w:bidi="en-US"/>
        </w:rPr>
        <w:t>为</w:t>
      </w:r>
      <w:r>
        <w:rPr>
          <w:rFonts w:hint="eastAsia"/>
          <w:i/>
          <w:color w:val="000000"/>
          <w:sz w:val="24"/>
          <w:lang w:bidi="en-US"/>
        </w:rPr>
        <w:t>c</w:t>
      </w:r>
      <w:r>
        <w:rPr>
          <w:color w:val="000000"/>
          <w:sz w:val="24"/>
          <w:lang w:bidi="en-US"/>
        </w:rPr>
        <w:t>(</w:t>
      </w:r>
      <w:r>
        <w:rPr>
          <w:i/>
          <w:color w:val="000000"/>
          <w:sz w:val="24"/>
          <w:lang w:bidi="en-US"/>
        </w:rPr>
        <w:t>z</w:t>
      </w:r>
      <w:r>
        <w:rPr>
          <w:rFonts w:hint="eastAsia"/>
          <w:color w:val="000000"/>
          <w:sz w:val="24"/>
          <w:lang w:bidi="en-US"/>
        </w:rPr>
        <w:t>，</w:t>
      </w:r>
      <w:r>
        <w:rPr>
          <w:rFonts w:hint="eastAsia"/>
          <w:i/>
          <w:color w:val="000000"/>
          <w:sz w:val="24"/>
          <w:lang w:bidi="en-US"/>
        </w:rPr>
        <w:t>t</w:t>
      </w:r>
      <w:r>
        <w:rPr>
          <w:color w:val="000000"/>
          <w:sz w:val="24"/>
          <w:lang w:bidi="en-US"/>
        </w:rPr>
        <w:t>) =</w:t>
      </w:r>
      <w:r>
        <w:rPr>
          <w:rFonts w:hint="eastAsia"/>
          <w:color w:val="000000"/>
          <w:sz w:val="24"/>
          <w:lang w:bidi="en-US"/>
        </w:rPr>
        <w:t>c</w:t>
      </w:r>
      <w:r>
        <w:rPr>
          <w:rFonts w:hint="eastAsia"/>
          <w:color w:val="000000"/>
          <w:sz w:val="24"/>
          <w:vertAlign w:val="subscript"/>
          <w:lang w:bidi="en-US"/>
        </w:rPr>
        <w:t>0</w:t>
      </w:r>
      <w:r>
        <w:rPr>
          <w:rFonts w:hint="eastAsia"/>
          <w:i/>
          <w:color w:val="000000"/>
          <w:sz w:val="24"/>
          <w:lang w:bidi="en-US"/>
        </w:rPr>
        <w:t>t</w:t>
      </w:r>
      <w:r>
        <w:rPr>
          <w:rFonts w:hint="eastAsia"/>
          <w:i/>
          <w:color w:val="000000"/>
          <w:sz w:val="24"/>
          <w:vertAlign w:val="subscript"/>
          <w:lang w:bidi="en-US"/>
        </w:rPr>
        <w:t>0</w:t>
      </w:r>
      <w:r>
        <w:rPr>
          <w:rFonts w:hint="eastAsia"/>
          <w:color w:val="000000"/>
          <w:sz w:val="24"/>
          <w:lang w:bidi="en-US"/>
        </w:rPr>
        <w:t>&gt;</w:t>
      </w:r>
      <w:r>
        <w:rPr>
          <w:rFonts w:hint="eastAsia"/>
          <w:i/>
          <w:color w:val="000000"/>
          <w:sz w:val="24"/>
          <w:lang w:bidi="en-US"/>
        </w:rPr>
        <w:t>t</w:t>
      </w:r>
      <w:r>
        <w:rPr>
          <w:rFonts w:hint="eastAsia"/>
          <w:color w:val="000000"/>
          <w:sz w:val="24"/>
          <w:lang w:bidi="en-US"/>
        </w:rPr>
        <w:t>&gt;0</w:t>
      </w:r>
      <w:r>
        <w:rPr>
          <w:rFonts w:hint="eastAsia"/>
          <w:color w:val="000000"/>
          <w:sz w:val="24"/>
          <w:lang w:bidi="en-US"/>
        </w:rPr>
        <w:t>，</w:t>
      </w:r>
      <w:r>
        <w:rPr>
          <w:rFonts w:hint="eastAsia"/>
          <w:color w:val="000000"/>
          <w:sz w:val="24"/>
          <w:lang w:bidi="en-US"/>
        </w:rPr>
        <w:t>z=0</w:t>
      </w:r>
    </w:p>
    <w:p w:rsidR="00C223F5" w:rsidRDefault="005860D5" w:rsidP="00754403">
      <w:pPr>
        <w:snapToGrid w:val="0"/>
        <w:spacing w:line="360" w:lineRule="auto"/>
        <w:ind w:firstLine="482"/>
        <w:rPr>
          <w:color w:val="000000"/>
          <w:sz w:val="24"/>
          <w:lang w:bidi="en-US"/>
        </w:rPr>
      </w:pPr>
      <w:r>
        <w:rPr>
          <w:color w:val="000000"/>
          <w:sz w:val="24"/>
          <w:lang w:bidi="en-US"/>
        </w:rPr>
        <w:t>下边界</w:t>
      </w:r>
      <w:r>
        <w:rPr>
          <w:rFonts w:hint="eastAsia"/>
          <w:color w:val="000000"/>
          <w:sz w:val="24"/>
          <w:lang w:bidi="en-US"/>
        </w:rPr>
        <w:t>为</w:t>
      </w:r>
      <w:r w:rsidR="00C223F5" w:rsidRPr="00C223F5">
        <w:rPr>
          <w:color w:val="000000"/>
          <w:position w:val="-22"/>
          <w:sz w:val="24"/>
          <w:lang w:bidi="en-US"/>
        </w:rPr>
        <w:object w:dxaOrig="1279" w:dyaOrig="620">
          <v:shape id="_x0000_i1074" type="#_x0000_t75" style="width:64.4pt;height:31.35pt" o:ole="">
            <v:imagedata r:id="rId130" o:title=""/>
          </v:shape>
          <o:OLEObject Type="Embed" ProgID="Equation.DSMT4" ShapeID="_x0000_i1074" DrawAspect="Content" ObjectID="_1629037185" r:id="rId131"/>
        </w:object>
      </w:r>
    </w:p>
    <w:p w:rsidR="00C223F5" w:rsidRDefault="005860D5" w:rsidP="00754403">
      <w:pPr>
        <w:snapToGrid w:val="0"/>
        <w:spacing w:line="360" w:lineRule="auto"/>
        <w:ind w:firstLine="482"/>
        <w:rPr>
          <w:color w:val="000000"/>
          <w:sz w:val="24"/>
          <w:lang w:bidi="en-US"/>
        </w:rPr>
      </w:pPr>
      <w:r>
        <w:rPr>
          <w:rFonts w:hint="eastAsia"/>
          <w:color w:val="000000"/>
          <w:sz w:val="24"/>
          <w:lang w:bidi="en-US"/>
        </w:rPr>
        <w:t>②模型概化</w:t>
      </w:r>
    </w:p>
    <w:p w:rsidR="00C223F5" w:rsidRDefault="005860D5" w:rsidP="00754403">
      <w:pPr>
        <w:snapToGrid w:val="0"/>
        <w:spacing w:line="360" w:lineRule="auto"/>
        <w:ind w:firstLine="482"/>
        <w:rPr>
          <w:color w:val="000000"/>
          <w:sz w:val="24"/>
          <w:lang w:bidi="en-US"/>
        </w:rPr>
      </w:pPr>
      <w:r>
        <w:rPr>
          <w:color w:val="000000"/>
          <w:sz w:val="24"/>
          <w:lang w:bidi="en-US"/>
        </w:rPr>
        <w:t>根据</w:t>
      </w:r>
      <w:r w:rsidRPr="00927E76">
        <w:rPr>
          <w:rFonts w:hint="eastAsia"/>
          <w:sz w:val="24"/>
          <w:lang w:bidi="en-US"/>
        </w:rPr>
        <w:t>调查</w:t>
      </w:r>
      <w:r w:rsidRPr="00927E76">
        <w:rPr>
          <w:sz w:val="24"/>
          <w:lang w:bidi="en-US"/>
        </w:rPr>
        <w:t>，</w:t>
      </w:r>
      <w:r w:rsidRPr="00927E76">
        <w:rPr>
          <w:rFonts w:hint="eastAsia"/>
          <w:sz w:val="24"/>
        </w:rPr>
        <w:t>场地区包气带厚度大于</w:t>
      </w:r>
      <w:r w:rsidRPr="00927E76">
        <w:rPr>
          <w:rFonts w:hint="eastAsia"/>
          <w:sz w:val="24"/>
        </w:rPr>
        <w:t>1.3m</w:t>
      </w:r>
      <w:r w:rsidRPr="00927E76">
        <w:rPr>
          <w:rFonts w:hint="eastAsia"/>
          <w:sz w:val="24"/>
        </w:rPr>
        <w:t>，</w:t>
      </w:r>
      <w:r w:rsidRPr="00927E76">
        <w:rPr>
          <w:rFonts w:hint="eastAsia"/>
          <w:sz w:val="24"/>
          <w:lang w:bidi="en-US"/>
        </w:rPr>
        <w:t>岩性主要为</w:t>
      </w:r>
      <w:r w:rsidRPr="00927E76">
        <w:rPr>
          <w:sz w:val="24"/>
        </w:rPr>
        <w:t>粉质粘土、砂质粉土</w:t>
      </w:r>
      <w:r w:rsidRPr="00927E76">
        <w:rPr>
          <w:rFonts w:hint="eastAsia"/>
          <w:sz w:val="24"/>
          <w:lang w:bidi="en-US"/>
        </w:rPr>
        <w:t>，垂直方向上岩性变化特征不明显，整体岩性概化为一层，</w:t>
      </w:r>
      <w:r w:rsidRPr="00927E76">
        <w:rPr>
          <w:sz w:val="24"/>
          <w:lang w:bidi="en-US"/>
        </w:rPr>
        <w:t>渗透系数</w:t>
      </w:r>
      <w:r w:rsidR="00F07CBF" w:rsidRPr="00927E76">
        <w:rPr>
          <w:rFonts w:hint="eastAsia"/>
          <w:sz w:val="24"/>
          <w:lang w:bidi="en-US"/>
        </w:rPr>
        <w:t>取</w:t>
      </w:r>
      <w:r w:rsidR="00F07CBF" w:rsidRPr="00927E76">
        <w:rPr>
          <w:rFonts w:hint="eastAsia"/>
          <w:sz w:val="24"/>
          <w:lang w:bidi="en-US"/>
        </w:rPr>
        <w:t>50</w:t>
      </w:r>
      <w:r w:rsidR="00F07CBF" w:rsidRPr="00927E76">
        <w:rPr>
          <w:sz w:val="24"/>
          <w:lang w:bidi="en-US"/>
        </w:rPr>
        <w:t>cm/d</w:t>
      </w:r>
      <w:r w:rsidRPr="00927E76">
        <w:rPr>
          <w:sz w:val="24"/>
          <w:lang w:bidi="en-US"/>
        </w:rPr>
        <w:t>，土</w:t>
      </w:r>
      <w:r w:rsidRPr="00927E76">
        <w:rPr>
          <w:sz w:val="24"/>
          <w:lang w:bidi="en-US"/>
        </w:rPr>
        <w:lastRenderedPageBreak/>
        <w:t>层其他相关参数参</w:t>
      </w:r>
      <w:r>
        <w:rPr>
          <w:color w:val="000000"/>
          <w:sz w:val="24"/>
          <w:lang w:bidi="en-US"/>
        </w:rPr>
        <w:t>考</w:t>
      </w:r>
      <w:r>
        <w:rPr>
          <w:color w:val="000000"/>
          <w:sz w:val="24"/>
          <w:lang w:bidi="en-US"/>
        </w:rPr>
        <w:t>HYDRUS</w:t>
      </w:r>
      <w:r>
        <w:rPr>
          <w:color w:val="000000"/>
          <w:sz w:val="24"/>
          <w:lang w:bidi="en-US"/>
        </w:rPr>
        <w:t>程序中所推荐的包气带基本岩性参数进行取值。</w:t>
      </w:r>
    </w:p>
    <w:p w:rsidR="00C223F5" w:rsidRDefault="005860D5" w:rsidP="00754403">
      <w:pPr>
        <w:snapToGrid w:val="0"/>
        <w:spacing w:line="360" w:lineRule="auto"/>
        <w:ind w:firstLine="482"/>
        <w:rPr>
          <w:color w:val="000000"/>
          <w:sz w:val="24"/>
          <w:lang w:bidi="en-US"/>
        </w:rPr>
      </w:pPr>
      <w:r>
        <w:rPr>
          <w:rFonts w:hint="eastAsia"/>
          <w:color w:val="000000"/>
          <w:sz w:val="24"/>
          <w:lang w:bidi="en-US"/>
        </w:rPr>
        <w:t>本次将土层划分为</w:t>
      </w:r>
      <w:r>
        <w:rPr>
          <w:rFonts w:hint="eastAsia"/>
          <w:color w:val="000000"/>
          <w:sz w:val="24"/>
          <w:lang w:bidi="en-US"/>
        </w:rPr>
        <w:t>100</w:t>
      </w:r>
      <w:r>
        <w:rPr>
          <w:rFonts w:hint="eastAsia"/>
          <w:color w:val="000000"/>
          <w:sz w:val="24"/>
          <w:lang w:bidi="en-US"/>
        </w:rPr>
        <w:t>层，共</w:t>
      </w:r>
      <w:r>
        <w:rPr>
          <w:rFonts w:hint="eastAsia"/>
          <w:color w:val="000000"/>
          <w:sz w:val="24"/>
          <w:lang w:bidi="en-US"/>
        </w:rPr>
        <w:t>101</w:t>
      </w:r>
      <w:r>
        <w:rPr>
          <w:rFonts w:hint="eastAsia"/>
          <w:color w:val="000000"/>
          <w:sz w:val="24"/>
          <w:lang w:bidi="en-US"/>
        </w:rPr>
        <w:t>个节点，每层</w:t>
      </w:r>
      <w:r>
        <w:rPr>
          <w:rFonts w:hint="eastAsia"/>
          <w:color w:val="000000"/>
          <w:sz w:val="24"/>
          <w:lang w:bidi="en-US"/>
        </w:rPr>
        <w:t>10mm</w:t>
      </w:r>
      <w:r>
        <w:rPr>
          <w:rFonts w:hint="eastAsia"/>
          <w:color w:val="000000"/>
          <w:sz w:val="24"/>
          <w:lang w:bidi="en-US"/>
        </w:rPr>
        <w:t>，剖面上共布置</w:t>
      </w:r>
      <w:r>
        <w:rPr>
          <w:rFonts w:hint="eastAsia"/>
          <w:color w:val="000000"/>
          <w:sz w:val="24"/>
          <w:lang w:bidi="en-US"/>
        </w:rPr>
        <w:t>5</w:t>
      </w:r>
      <w:r>
        <w:rPr>
          <w:rFonts w:hint="eastAsia"/>
          <w:color w:val="000000"/>
          <w:sz w:val="24"/>
          <w:lang w:bidi="en-US"/>
        </w:rPr>
        <w:t>个观测点，编号依次为</w:t>
      </w:r>
      <w:r>
        <w:rPr>
          <w:rFonts w:hint="eastAsia"/>
          <w:color w:val="000000"/>
          <w:sz w:val="24"/>
          <w:lang w:bidi="en-US"/>
        </w:rPr>
        <w:t>N1</w:t>
      </w:r>
      <w:r>
        <w:rPr>
          <w:rFonts w:hint="eastAsia"/>
          <w:color w:val="000000"/>
          <w:sz w:val="24"/>
          <w:lang w:bidi="en-US"/>
        </w:rPr>
        <w:t>～</w:t>
      </w:r>
      <w:r>
        <w:rPr>
          <w:rFonts w:hint="eastAsia"/>
          <w:color w:val="000000"/>
          <w:sz w:val="24"/>
          <w:lang w:bidi="en-US"/>
        </w:rPr>
        <w:t>N5</w:t>
      </w:r>
      <w:r>
        <w:rPr>
          <w:rFonts w:hint="eastAsia"/>
          <w:color w:val="000000"/>
          <w:sz w:val="24"/>
          <w:lang w:bidi="en-US"/>
        </w:rPr>
        <w:t>，所处位置依次为</w:t>
      </w:r>
      <w:r>
        <w:rPr>
          <w:rFonts w:hint="eastAsia"/>
          <w:color w:val="000000"/>
          <w:sz w:val="24"/>
          <w:lang w:bidi="en-US"/>
        </w:rPr>
        <w:t>20mm</w:t>
      </w:r>
      <w:r>
        <w:rPr>
          <w:rFonts w:hint="eastAsia"/>
          <w:color w:val="000000"/>
          <w:sz w:val="24"/>
          <w:lang w:bidi="en-US"/>
        </w:rPr>
        <w:t>、</w:t>
      </w:r>
      <w:r>
        <w:rPr>
          <w:rFonts w:hint="eastAsia"/>
          <w:color w:val="000000"/>
          <w:sz w:val="24"/>
          <w:lang w:bidi="en-US"/>
        </w:rPr>
        <w:t>250mm</w:t>
      </w:r>
      <w:r>
        <w:rPr>
          <w:rFonts w:hint="eastAsia"/>
          <w:color w:val="000000"/>
          <w:sz w:val="24"/>
          <w:lang w:bidi="en-US"/>
        </w:rPr>
        <w:t>、</w:t>
      </w:r>
      <w:r>
        <w:rPr>
          <w:rFonts w:hint="eastAsia"/>
          <w:color w:val="000000"/>
          <w:sz w:val="24"/>
          <w:lang w:bidi="en-US"/>
        </w:rPr>
        <w:t>500mm</w:t>
      </w:r>
      <w:r>
        <w:rPr>
          <w:rFonts w:hint="eastAsia"/>
          <w:color w:val="000000"/>
          <w:sz w:val="24"/>
          <w:lang w:bidi="en-US"/>
        </w:rPr>
        <w:t>、</w:t>
      </w:r>
      <w:r>
        <w:rPr>
          <w:rFonts w:hint="eastAsia"/>
          <w:color w:val="000000"/>
          <w:sz w:val="24"/>
          <w:lang w:bidi="en-US"/>
        </w:rPr>
        <w:t>750mm</w:t>
      </w:r>
      <w:r>
        <w:rPr>
          <w:rFonts w:hint="eastAsia"/>
          <w:color w:val="000000"/>
          <w:sz w:val="24"/>
          <w:lang w:bidi="en-US"/>
        </w:rPr>
        <w:t>和</w:t>
      </w:r>
      <w:r>
        <w:rPr>
          <w:rFonts w:hint="eastAsia"/>
          <w:color w:val="000000"/>
          <w:sz w:val="24"/>
          <w:lang w:bidi="en-US"/>
        </w:rPr>
        <w:t>1000mm</w:t>
      </w:r>
      <w:r>
        <w:rPr>
          <w:rFonts w:hint="eastAsia"/>
          <w:color w:val="000000"/>
          <w:sz w:val="24"/>
          <w:lang w:bidi="en-US"/>
        </w:rPr>
        <w:t>（土壤层底部）。</w:t>
      </w:r>
    </w:p>
    <w:p w:rsidR="00C223F5" w:rsidRDefault="005860D5" w:rsidP="00754403">
      <w:pPr>
        <w:snapToGrid w:val="0"/>
        <w:spacing w:line="360" w:lineRule="auto"/>
        <w:ind w:firstLine="482"/>
        <w:rPr>
          <w:color w:val="000000"/>
          <w:sz w:val="24"/>
          <w:lang w:bidi="en-US"/>
        </w:rPr>
      </w:pPr>
      <w:r>
        <w:rPr>
          <w:rFonts w:hint="eastAsia"/>
          <w:color w:val="000000"/>
          <w:sz w:val="24"/>
          <w:lang w:bidi="en-US"/>
        </w:rPr>
        <w:t>本次设定模型运行时间为</w:t>
      </w:r>
      <w:r>
        <w:rPr>
          <w:rFonts w:hint="eastAsia"/>
          <w:color w:val="000000"/>
          <w:sz w:val="24"/>
          <w:lang w:bidi="en-US"/>
        </w:rPr>
        <w:t>2000d</w:t>
      </w:r>
      <w:r>
        <w:rPr>
          <w:rFonts w:hint="eastAsia"/>
          <w:color w:val="000000"/>
          <w:sz w:val="24"/>
          <w:lang w:bidi="en-US"/>
        </w:rPr>
        <w:t>，本次共设置了</w:t>
      </w:r>
      <w:r>
        <w:rPr>
          <w:rFonts w:hint="eastAsia"/>
          <w:color w:val="000000"/>
          <w:sz w:val="24"/>
          <w:lang w:bidi="en-US"/>
        </w:rPr>
        <w:t>5</w:t>
      </w:r>
      <w:r>
        <w:rPr>
          <w:rFonts w:hint="eastAsia"/>
          <w:color w:val="000000"/>
          <w:sz w:val="24"/>
          <w:lang w:bidi="en-US"/>
        </w:rPr>
        <w:t>个输出时间点，编号依次为</w:t>
      </w:r>
      <w:r>
        <w:rPr>
          <w:rFonts w:hint="eastAsia"/>
          <w:color w:val="000000"/>
          <w:sz w:val="24"/>
          <w:lang w:bidi="en-US"/>
        </w:rPr>
        <w:t>T1</w:t>
      </w:r>
      <w:r>
        <w:rPr>
          <w:rFonts w:hint="eastAsia"/>
          <w:color w:val="000000"/>
          <w:sz w:val="24"/>
          <w:lang w:bidi="en-US"/>
        </w:rPr>
        <w:t>～</w:t>
      </w:r>
      <w:r>
        <w:rPr>
          <w:rFonts w:hint="eastAsia"/>
          <w:color w:val="000000"/>
          <w:sz w:val="24"/>
          <w:lang w:bidi="en-US"/>
        </w:rPr>
        <w:t>T5</w:t>
      </w:r>
      <w:r>
        <w:rPr>
          <w:rFonts w:hint="eastAsia"/>
          <w:color w:val="000000"/>
          <w:sz w:val="24"/>
          <w:lang w:bidi="en-US"/>
        </w:rPr>
        <w:t>，分别为</w:t>
      </w:r>
      <w:r>
        <w:rPr>
          <w:rFonts w:hint="eastAsia"/>
          <w:color w:val="000000"/>
          <w:sz w:val="24"/>
          <w:lang w:bidi="en-US"/>
        </w:rPr>
        <w:t>400d</w:t>
      </w:r>
      <w:r>
        <w:rPr>
          <w:rFonts w:hint="eastAsia"/>
          <w:color w:val="000000"/>
          <w:sz w:val="24"/>
          <w:lang w:bidi="en-US"/>
        </w:rPr>
        <w:t>、</w:t>
      </w:r>
      <w:r>
        <w:rPr>
          <w:rFonts w:hint="eastAsia"/>
          <w:color w:val="000000"/>
          <w:sz w:val="24"/>
          <w:lang w:bidi="en-US"/>
        </w:rPr>
        <w:t>800d</w:t>
      </w:r>
      <w:r>
        <w:rPr>
          <w:rFonts w:hint="eastAsia"/>
          <w:color w:val="000000"/>
          <w:sz w:val="24"/>
          <w:lang w:bidi="en-US"/>
        </w:rPr>
        <w:t>、</w:t>
      </w:r>
      <w:r>
        <w:rPr>
          <w:rFonts w:hint="eastAsia"/>
          <w:color w:val="000000"/>
          <w:sz w:val="24"/>
          <w:lang w:bidi="en-US"/>
        </w:rPr>
        <w:t>1200d</w:t>
      </w:r>
      <w:r>
        <w:rPr>
          <w:rFonts w:hint="eastAsia"/>
          <w:color w:val="000000"/>
          <w:sz w:val="24"/>
          <w:lang w:bidi="en-US"/>
        </w:rPr>
        <w:t>、</w:t>
      </w:r>
      <w:r>
        <w:rPr>
          <w:rFonts w:hint="eastAsia"/>
          <w:color w:val="000000"/>
          <w:sz w:val="24"/>
          <w:lang w:bidi="en-US"/>
        </w:rPr>
        <w:t>1600d</w:t>
      </w:r>
      <w:r>
        <w:rPr>
          <w:rFonts w:hint="eastAsia"/>
          <w:color w:val="000000"/>
          <w:sz w:val="24"/>
          <w:lang w:bidi="en-US"/>
        </w:rPr>
        <w:t>和</w:t>
      </w:r>
      <w:r>
        <w:rPr>
          <w:rFonts w:hint="eastAsia"/>
          <w:color w:val="000000"/>
          <w:sz w:val="24"/>
          <w:lang w:bidi="en-US"/>
        </w:rPr>
        <w:t>2000d</w:t>
      </w:r>
      <w:r>
        <w:rPr>
          <w:rFonts w:hint="eastAsia"/>
          <w:color w:val="000000"/>
          <w:sz w:val="24"/>
          <w:lang w:bidi="en-US"/>
        </w:rPr>
        <w:t>。</w:t>
      </w:r>
    </w:p>
    <w:p w:rsidR="00C223F5" w:rsidRDefault="005860D5" w:rsidP="00754403">
      <w:pPr>
        <w:snapToGrid w:val="0"/>
        <w:spacing w:line="360" w:lineRule="auto"/>
        <w:ind w:firstLine="482"/>
        <w:rPr>
          <w:color w:val="000000"/>
          <w:sz w:val="24"/>
          <w:lang w:bidi="en-US"/>
        </w:rPr>
      </w:pPr>
      <w:r>
        <w:rPr>
          <w:rFonts w:hint="eastAsia"/>
          <w:color w:val="000000"/>
          <w:sz w:val="24"/>
          <w:lang w:bidi="en-US"/>
        </w:rPr>
        <w:t>③预测情景</w:t>
      </w:r>
    </w:p>
    <w:p w:rsidR="00C223F5" w:rsidRPr="00790C2A" w:rsidRDefault="005860D5" w:rsidP="00754403">
      <w:pPr>
        <w:pStyle w:val="36"/>
        <w:rPr>
          <w:bCs/>
        </w:rPr>
      </w:pPr>
      <w:r>
        <w:rPr>
          <w:bCs/>
          <w:color w:val="000000"/>
        </w:rPr>
        <w:t>生活污水主要污染物为</w:t>
      </w:r>
      <w:r>
        <w:rPr>
          <w:bCs/>
          <w:color w:val="000000"/>
        </w:rPr>
        <w:t>SS</w:t>
      </w:r>
      <w:r>
        <w:rPr>
          <w:bCs/>
          <w:color w:val="000000"/>
        </w:rPr>
        <w:t>、</w:t>
      </w:r>
      <w:r>
        <w:rPr>
          <w:bCs/>
          <w:color w:val="000000"/>
        </w:rPr>
        <w:t>COD</w:t>
      </w:r>
      <w:r>
        <w:rPr>
          <w:bCs/>
          <w:color w:val="000000"/>
        </w:rPr>
        <w:t>、</w:t>
      </w:r>
      <w:r>
        <w:rPr>
          <w:bCs/>
          <w:color w:val="000000"/>
        </w:rPr>
        <w:t>BOD</w:t>
      </w:r>
      <w:r>
        <w:rPr>
          <w:bCs/>
          <w:color w:val="000000"/>
          <w:vertAlign w:val="subscript"/>
        </w:rPr>
        <w:t>5</w:t>
      </w:r>
      <w:r>
        <w:rPr>
          <w:bCs/>
          <w:color w:val="000000"/>
        </w:rPr>
        <w:t>、</w:t>
      </w:r>
      <w:r>
        <w:rPr>
          <w:bCs/>
          <w:color w:val="000000"/>
        </w:rPr>
        <w:t>NH</w:t>
      </w:r>
      <w:r>
        <w:rPr>
          <w:bCs/>
          <w:color w:val="000000"/>
          <w:vertAlign w:val="subscript"/>
        </w:rPr>
        <w:t>3</w:t>
      </w:r>
      <w:r>
        <w:rPr>
          <w:bCs/>
          <w:color w:val="000000"/>
        </w:rPr>
        <w:t>-N</w:t>
      </w:r>
      <w:r>
        <w:rPr>
          <w:bCs/>
          <w:color w:val="000000"/>
        </w:rPr>
        <w:t>等，水质相对较差，本次评价重点预测生活污水</w:t>
      </w:r>
      <w:r>
        <w:rPr>
          <w:rFonts w:hint="eastAsia"/>
          <w:bCs/>
          <w:color w:val="000000"/>
        </w:rPr>
        <w:t>中的</w:t>
      </w:r>
      <w:r w:rsidRPr="00790C2A">
        <w:rPr>
          <w:rFonts w:hint="eastAsia"/>
          <w:bCs/>
        </w:rPr>
        <w:t>污染物对土壤的影响，</w:t>
      </w:r>
      <w:r w:rsidRPr="00790C2A">
        <w:rPr>
          <w:bCs/>
        </w:rPr>
        <w:t>将生活污水调节池做为预测对象</w:t>
      </w:r>
      <w:r w:rsidRPr="00790C2A">
        <w:rPr>
          <w:rFonts w:hint="eastAsia"/>
          <w:bCs/>
        </w:rPr>
        <w:t>，预测因子取</w:t>
      </w:r>
      <w:r w:rsidRPr="00790C2A">
        <w:rPr>
          <w:bCs/>
        </w:rPr>
        <w:t>NH</w:t>
      </w:r>
      <w:r w:rsidRPr="00790C2A">
        <w:rPr>
          <w:bCs/>
          <w:vertAlign w:val="subscript"/>
        </w:rPr>
        <w:t>3</w:t>
      </w:r>
      <w:r w:rsidRPr="00790C2A">
        <w:rPr>
          <w:bCs/>
        </w:rPr>
        <w:t>-N</w:t>
      </w:r>
      <w:r w:rsidRPr="00790C2A">
        <w:rPr>
          <w:rFonts w:hint="eastAsia"/>
          <w:bCs/>
        </w:rPr>
        <w:t>，浓度为</w:t>
      </w:r>
      <w:r w:rsidR="001C6A19" w:rsidRPr="00790C2A">
        <w:rPr>
          <w:rFonts w:hint="eastAsia"/>
        </w:rPr>
        <w:t>4.21</w:t>
      </w:r>
      <w:r w:rsidR="001C6A19" w:rsidRPr="00790C2A">
        <w:t>mg/L</w:t>
      </w:r>
      <w:r w:rsidRPr="00790C2A">
        <w:rPr>
          <w:rFonts w:hint="eastAsia"/>
          <w:bCs/>
        </w:rPr>
        <w:t>，根据前述地下水预测，假定生活污水持续渗漏时间为</w:t>
      </w:r>
      <w:r w:rsidRPr="00790C2A">
        <w:rPr>
          <w:rFonts w:hint="eastAsia"/>
          <w:bCs/>
        </w:rPr>
        <w:t>120d</w:t>
      </w:r>
      <w:r w:rsidRPr="00790C2A">
        <w:rPr>
          <w:rFonts w:hint="eastAsia"/>
          <w:bCs/>
        </w:rPr>
        <w:t>。</w:t>
      </w:r>
    </w:p>
    <w:p w:rsidR="00C223F5" w:rsidRDefault="005860D5" w:rsidP="00754403">
      <w:pPr>
        <w:pStyle w:val="36"/>
        <w:rPr>
          <w:bCs/>
          <w:color w:val="000000"/>
        </w:rPr>
      </w:pPr>
      <w:r w:rsidRPr="00790C2A">
        <w:rPr>
          <w:rFonts w:hint="eastAsia"/>
          <w:bCs/>
        </w:rPr>
        <w:t>正常状况下，生活污水经处理后全部回用</w:t>
      </w:r>
      <w:r w:rsidRPr="00790C2A">
        <w:rPr>
          <w:bCs/>
        </w:rPr>
        <w:t>；且污废水在集贮过程中，污废水集、贮及处理构筑物（如调节池等）</w:t>
      </w:r>
      <w:r>
        <w:rPr>
          <w:bCs/>
          <w:color w:val="000000"/>
        </w:rPr>
        <w:t>均按要求采取了防渗措施，可有效防止污废水的下渗；污废水输送管道采用</w:t>
      </w:r>
      <w:r>
        <w:rPr>
          <w:bCs/>
          <w:color w:val="000000"/>
        </w:rPr>
        <w:t>HDPE</w:t>
      </w:r>
      <w:r>
        <w:rPr>
          <w:bCs/>
          <w:color w:val="000000"/>
        </w:rPr>
        <w:t>双壁波纹塑料排水管，可有效杜绝连接处污废水的跑、冒、滴、漏现象的发生；因此正常状况下污染废水</w:t>
      </w:r>
      <w:r>
        <w:rPr>
          <w:rFonts w:hint="eastAsia"/>
          <w:bCs/>
          <w:color w:val="000000"/>
        </w:rPr>
        <w:t>基本</w:t>
      </w:r>
      <w:r>
        <w:rPr>
          <w:bCs/>
          <w:color w:val="000000"/>
        </w:rPr>
        <w:t>不会发生渗漏，</w:t>
      </w:r>
      <w:r>
        <w:rPr>
          <w:rFonts w:hint="eastAsia"/>
          <w:bCs/>
          <w:color w:val="000000"/>
        </w:rPr>
        <w:t>对土壤影响小，本次重点预测非正常状况下生活污水渗漏后对土壤的污染。</w:t>
      </w:r>
    </w:p>
    <w:p w:rsidR="00C223F5" w:rsidRDefault="005860D5" w:rsidP="00754403">
      <w:pPr>
        <w:pStyle w:val="36"/>
        <w:rPr>
          <w:bCs/>
          <w:color w:val="000000"/>
        </w:rPr>
      </w:pPr>
      <w:r>
        <w:rPr>
          <w:rFonts w:hint="eastAsia"/>
          <w:bCs/>
          <w:color w:val="000000"/>
        </w:rPr>
        <w:t>④预测结果</w:t>
      </w:r>
    </w:p>
    <w:p w:rsidR="00C223F5" w:rsidRDefault="005860D5" w:rsidP="00754403">
      <w:pPr>
        <w:snapToGrid w:val="0"/>
        <w:spacing w:line="360" w:lineRule="auto"/>
        <w:ind w:firstLine="482"/>
        <w:rPr>
          <w:bCs/>
          <w:color w:val="000000"/>
          <w:sz w:val="24"/>
        </w:rPr>
      </w:pPr>
      <w:r>
        <w:rPr>
          <w:rFonts w:hint="eastAsia"/>
          <w:color w:val="000000"/>
          <w:sz w:val="24"/>
        </w:rPr>
        <w:t>根据预测，</w:t>
      </w:r>
      <w:r>
        <w:rPr>
          <w:bCs/>
          <w:color w:val="000000"/>
          <w:sz w:val="24"/>
        </w:rPr>
        <w:t>NH</w:t>
      </w:r>
      <w:r>
        <w:rPr>
          <w:bCs/>
          <w:color w:val="000000"/>
          <w:sz w:val="24"/>
          <w:vertAlign w:val="subscript"/>
        </w:rPr>
        <w:t>3</w:t>
      </w:r>
      <w:r>
        <w:rPr>
          <w:bCs/>
          <w:color w:val="000000"/>
          <w:sz w:val="24"/>
        </w:rPr>
        <w:t>-N</w:t>
      </w:r>
      <w:r>
        <w:rPr>
          <w:rFonts w:hint="eastAsia"/>
          <w:bCs/>
          <w:color w:val="000000"/>
          <w:sz w:val="24"/>
        </w:rPr>
        <w:t>在</w:t>
      </w:r>
      <w:r w:rsidR="00754403">
        <w:rPr>
          <w:rFonts w:hint="eastAsia"/>
          <w:bCs/>
          <w:color w:val="000000"/>
          <w:sz w:val="24"/>
        </w:rPr>
        <w:t>226</w:t>
      </w:r>
      <w:r>
        <w:rPr>
          <w:rFonts w:hint="eastAsia"/>
          <w:bCs/>
          <w:color w:val="000000"/>
          <w:sz w:val="24"/>
        </w:rPr>
        <w:t>d</w:t>
      </w:r>
      <w:r>
        <w:rPr>
          <w:rFonts w:hint="eastAsia"/>
          <w:bCs/>
          <w:color w:val="000000"/>
          <w:sz w:val="24"/>
        </w:rPr>
        <w:t>时到过土壤层底部，污染物浓度为</w:t>
      </w:r>
      <w:r>
        <w:rPr>
          <w:rFonts w:hint="eastAsia"/>
          <w:bCs/>
          <w:color w:val="000000"/>
          <w:sz w:val="24"/>
        </w:rPr>
        <w:t>0.5mg/L</w:t>
      </w:r>
      <w:r>
        <w:rPr>
          <w:rFonts w:hint="eastAsia"/>
          <w:bCs/>
          <w:color w:val="000000"/>
          <w:sz w:val="24"/>
        </w:rPr>
        <w:t>，</w:t>
      </w:r>
      <w:r w:rsidR="00754403">
        <w:rPr>
          <w:rFonts w:hint="eastAsia"/>
          <w:bCs/>
          <w:color w:val="000000"/>
          <w:sz w:val="24"/>
        </w:rPr>
        <w:t>317</w:t>
      </w:r>
      <w:r>
        <w:rPr>
          <w:rFonts w:hint="eastAsia"/>
          <w:bCs/>
          <w:color w:val="000000"/>
          <w:sz w:val="24"/>
        </w:rPr>
        <w:t>d</w:t>
      </w:r>
      <w:r>
        <w:rPr>
          <w:rFonts w:hint="eastAsia"/>
          <w:bCs/>
          <w:color w:val="000000"/>
          <w:sz w:val="24"/>
        </w:rPr>
        <w:t>时，污染物浓度达到最大值，为</w:t>
      </w:r>
      <w:r>
        <w:rPr>
          <w:rFonts w:hint="eastAsia"/>
          <w:bCs/>
          <w:color w:val="000000"/>
          <w:sz w:val="24"/>
        </w:rPr>
        <w:t>3.4mg/L</w:t>
      </w:r>
      <w:r>
        <w:rPr>
          <w:rFonts w:hint="eastAsia"/>
          <w:bCs/>
          <w:color w:val="000000"/>
          <w:sz w:val="24"/>
        </w:rPr>
        <w:t>。</w:t>
      </w:r>
    </w:p>
    <w:p w:rsidR="00C223F5" w:rsidRDefault="005860D5" w:rsidP="00754403">
      <w:pPr>
        <w:snapToGrid w:val="0"/>
        <w:spacing w:line="360" w:lineRule="auto"/>
        <w:ind w:firstLine="482"/>
        <w:rPr>
          <w:color w:val="000000"/>
          <w:sz w:val="24"/>
        </w:rPr>
      </w:pPr>
      <w:r>
        <w:rPr>
          <w:rFonts w:hint="eastAsia"/>
          <w:color w:val="000000"/>
          <w:sz w:val="24"/>
        </w:rPr>
        <w:t>⑤评价结论</w:t>
      </w:r>
    </w:p>
    <w:p w:rsidR="00C223F5" w:rsidRPr="00790C2A" w:rsidRDefault="005860D5" w:rsidP="00754403">
      <w:pPr>
        <w:snapToGrid w:val="0"/>
        <w:spacing w:line="360" w:lineRule="auto"/>
        <w:ind w:firstLine="482"/>
        <w:rPr>
          <w:bCs/>
          <w:sz w:val="24"/>
        </w:rPr>
      </w:pPr>
      <w:r>
        <w:rPr>
          <w:rFonts w:hint="eastAsia"/>
          <w:color w:val="000000"/>
          <w:sz w:val="24"/>
        </w:rPr>
        <w:t>正常情况下，污染</w:t>
      </w:r>
      <w:r w:rsidRPr="00790C2A">
        <w:rPr>
          <w:rFonts w:hint="eastAsia"/>
          <w:sz w:val="24"/>
        </w:rPr>
        <w:t>废水不散排，且</w:t>
      </w:r>
      <w:r w:rsidRPr="00790C2A">
        <w:rPr>
          <w:bCs/>
          <w:sz w:val="24"/>
        </w:rPr>
        <w:t>污废水集、贮及处理构筑物均按要求采取了防渗措施，</w:t>
      </w:r>
      <w:r w:rsidRPr="00790C2A">
        <w:rPr>
          <w:rFonts w:hint="eastAsia"/>
          <w:bCs/>
          <w:sz w:val="24"/>
        </w:rPr>
        <w:t>污废水基本不发生渗漏，对土壤环境影响小。</w:t>
      </w:r>
    </w:p>
    <w:p w:rsidR="00C223F5" w:rsidRPr="00790C2A" w:rsidRDefault="005860D5" w:rsidP="00754403">
      <w:pPr>
        <w:snapToGrid w:val="0"/>
        <w:spacing w:line="360" w:lineRule="auto"/>
        <w:ind w:firstLine="482"/>
        <w:rPr>
          <w:bCs/>
          <w:sz w:val="24"/>
        </w:rPr>
      </w:pPr>
      <w:r w:rsidRPr="00790C2A">
        <w:rPr>
          <w:rFonts w:hint="eastAsia"/>
          <w:bCs/>
          <w:sz w:val="24"/>
        </w:rPr>
        <w:t>因此建设项目土壤环境影响可以接受。</w:t>
      </w:r>
    </w:p>
    <w:p w:rsidR="00754403" w:rsidRPr="00790C2A" w:rsidRDefault="00754403" w:rsidP="004835BD">
      <w:pPr>
        <w:pStyle w:val="4"/>
        <w:spacing w:before="0" w:after="0" w:line="360" w:lineRule="auto"/>
        <w:ind w:firstLineChars="100" w:firstLine="240"/>
        <w:rPr>
          <w:szCs w:val="24"/>
        </w:rPr>
      </w:pPr>
      <w:r w:rsidRPr="00790C2A">
        <w:rPr>
          <w:rFonts w:hint="eastAsia"/>
          <w:szCs w:val="24"/>
        </w:rPr>
        <w:t>4.2.7.3</w:t>
      </w:r>
      <w:r w:rsidRPr="00790C2A">
        <w:rPr>
          <w:rFonts w:hint="eastAsia"/>
          <w:szCs w:val="24"/>
        </w:rPr>
        <w:t>土壤环境自查表</w:t>
      </w:r>
    </w:p>
    <w:p w:rsidR="00754403" w:rsidRDefault="00754403">
      <w:pPr>
        <w:snapToGrid w:val="0"/>
        <w:spacing w:line="360" w:lineRule="auto"/>
        <w:ind w:firstLine="482"/>
        <w:rPr>
          <w:bCs/>
          <w:sz w:val="24"/>
        </w:rPr>
      </w:pPr>
      <w:r w:rsidRPr="00790C2A">
        <w:rPr>
          <w:rFonts w:hint="eastAsia"/>
          <w:bCs/>
          <w:sz w:val="24"/>
        </w:rPr>
        <w:t>项目土壤环境自查表见表</w:t>
      </w:r>
      <w:r w:rsidRPr="00790C2A">
        <w:rPr>
          <w:rFonts w:hint="eastAsia"/>
          <w:bCs/>
          <w:sz w:val="24"/>
        </w:rPr>
        <w:t>G.1</w:t>
      </w:r>
      <w:r w:rsidRPr="00790C2A">
        <w:rPr>
          <w:rFonts w:hint="eastAsia"/>
          <w:bCs/>
          <w:sz w:val="24"/>
        </w:rPr>
        <w:t>。</w:t>
      </w:r>
    </w:p>
    <w:p w:rsidR="00B0292C" w:rsidRDefault="00B0292C">
      <w:pPr>
        <w:snapToGrid w:val="0"/>
        <w:spacing w:line="360" w:lineRule="auto"/>
        <w:ind w:firstLine="482"/>
        <w:rPr>
          <w:bCs/>
          <w:sz w:val="24"/>
        </w:rPr>
      </w:pPr>
    </w:p>
    <w:p w:rsidR="00B0292C" w:rsidRDefault="00B0292C">
      <w:pPr>
        <w:snapToGrid w:val="0"/>
        <w:spacing w:line="360" w:lineRule="auto"/>
        <w:ind w:firstLine="482"/>
        <w:rPr>
          <w:bCs/>
          <w:sz w:val="24"/>
        </w:rPr>
      </w:pPr>
    </w:p>
    <w:p w:rsidR="00B0292C" w:rsidRDefault="00B0292C">
      <w:pPr>
        <w:snapToGrid w:val="0"/>
        <w:spacing w:line="360" w:lineRule="auto"/>
        <w:ind w:firstLine="482"/>
        <w:rPr>
          <w:bCs/>
          <w:sz w:val="24"/>
        </w:rPr>
      </w:pPr>
    </w:p>
    <w:p w:rsidR="00B0292C" w:rsidRDefault="00B0292C">
      <w:pPr>
        <w:snapToGrid w:val="0"/>
        <w:spacing w:line="360" w:lineRule="auto"/>
        <w:ind w:firstLine="482"/>
        <w:rPr>
          <w:bCs/>
          <w:sz w:val="24"/>
        </w:rPr>
      </w:pPr>
    </w:p>
    <w:p w:rsidR="00B0292C" w:rsidRPr="00790C2A" w:rsidRDefault="00B0292C">
      <w:pPr>
        <w:snapToGrid w:val="0"/>
        <w:spacing w:line="360" w:lineRule="auto"/>
        <w:ind w:firstLine="482"/>
        <w:rPr>
          <w:bCs/>
          <w:sz w:val="24"/>
        </w:rPr>
      </w:pPr>
    </w:p>
    <w:p w:rsidR="00754403" w:rsidRPr="00C336FF" w:rsidRDefault="00754403" w:rsidP="00754403">
      <w:pPr>
        <w:kinsoku w:val="0"/>
        <w:overflowPunct w:val="0"/>
        <w:autoSpaceDE w:val="0"/>
        <w:autoSpaceDN w:val="0"/>
        <w:adjustRightInd w:val="0"/>
        <w:spacing w:before="102"/>
        <w:ind w:right="1"/>
        <w:jc w:val="center"/>
        <w:rPr>
          <w:rFonts w:ascii="黑体" w:eastAsia="黑体" w:hAnsi="黑体" w:cs="黑体"/>
          <w:color w:val="000000"/>
          <w:kern w:val="0"/>
          <w:sz w:val="24"/>
        </w:rPr>
      </w:pPr>
      <w:r w:rsidRPr="00790C2A">
        <w:rPr>
          <w:rFonts w:ascii="黑体" w:eastAsia="黑体" w:hAnsi="黑体" w:cs="黑体" w:hint="eastAsia"/>
          <w:kern w:val="0"/>
          <w:sz w:val="24"/>
        </w:rPr>
        <w:lastRenderedPageBreak/>
        <w:t>表</w:t>
      </w:r>
      <w:r w:rsidRPr="00790C2A">
        <w:rPr>
          <w:rFonts w:ascii="黑体" w:eastAsia="黑体" w:hAnsi="黑体" w:cs="黑体"/>
          <w:kern w:val="0"/>
          <w:sz w:val="24"/>
        </w:rPr>
        <w:t xml:space="preserve"> G.1 </w:t>
      </w:r>
      <w:r w:rsidRPr="00790C2A">
        <w:rPr>
          <w:rFonts w:ascii="黑体" w:eastAsia="黑体" w:hAnsi="黑体" w:cs="黑体" w:hint="eastAsia"/>
          <w:kern w:val="0"/>
          <w:sz w:val="24"/>
        </w:rPr>
        <w:t>土</w:t>
      </w:r>
      <w:bookmarkStart w:id="416" w:name="附录G（资料性附录）土壤环境影响评价自查表"/>
      <w:bookmarkStart w:id="417" w:name="bookmark0"/>
      <w:bookmarkEnd w:id="416"/>
      <w:bookmarkEnd w:id="417"/>
      <w:r w:rsidRPr="00790C2A">
        <w:rPr>
          <w:rFonts w:ascii="黑体" w:eastAsia="黑体" w:hAnsi="黑体" w:cs="黑体" w:hint="eastAsia"/>
          <w:kern w:val="0"/>
          <w:sz w:val="24"/>
        </w:rPr>
        <w:t>壤环境影</w:t>
      </w:r>
      <w:r w:rsidRPr="00C336FF">
        <w:rPr>
          <w:rFonts w:ascii="黑体" w:eastAsia="黑体" w:hAnsi="黑体" w:cs="黑体" w:hint="eastAsia"/>
          <w:color w:val="000000"/>
          <w:kern w:val="0"/>
          <w:sz w:val="24"/>
        </w:rPr>
        <w:t>响评价自查表</w:t>
      </w:r>
    </w:p>
    <w:p w:rsidR="00754403" w:rsidRPr="00C336FF" w:rsidRDefault="00754403" w:rsidP="00754403">
      <w:pPr>
        <w:kinsoku w:val="0"/>
        <w:overflowPunct w:val="0"/>
        <w:autoSpaceDE w:val="0"/>
        <w:autoSpaceDN w:val="0"/>
        <w:adjustRightInd w:val="0"/>
        <w:spacing w:before="9"/>
        <w:jc w:val="left"/>
        <w:rPr>
          <w:rFonts w:ascii="黑体" w:eastAsia="黑体" w:cs="黑体"/>
          <w:kern w:val="0"/>
          <w:sz w:val="8"/>
          <w:szCs w:val="8"/>
        </w:rPr>
      </w:pPr>
    </w:p>
    <w:tbl>
      <w:tblPr>
        <w:tblW w:w="9608" w:type="dxa"/>
        <w:jc w:val="center"/>
        <w:tblLayout w:type="fixed"/>
        <w:tblCellMar>
          <w:left w:w="0" w:type="dxa"/>
          <w:right w:w="0" w:type="dxa"/>
        </w:tblCellMar>
        <w:tblLook w:val="0000" w:firstRow="0" w:lastRow="0" w:firstColumn="0" w:lastColumn="0" w:noHBand="0" w:noVBand="0"/>
      </w:tblPr>
      <w:tblGrid>
        <w:gridCol w:w="427"/>
        <w:gridCol w:w="1675"/>
        <w:gridCol w:w="1078"/>
        <w:gridCol w:w="338"/>
        <w:gridCol w:w="1367"/>
        <w:gridCol w:w="1417"/>
        <w:gridCol w:w="382"/>
        <w:gridCol w:w="2025"/>
        <w:gridCol w:w="899"/>
      </w:tblGrid>
      <w:tr w:rsidR="00754403" w:rsidRPr="00EC2089" w:rsidTr="00754403">
        <w:trPr>
          <w:trHeight w:hRule="exact" w:val="332"/>
          <w:jc w:val="center"/>
        </w:trPr>
        <w:tc>
          <w:tcPr>
            <w:tcW w:w="2102" w:type="dxa"/>
            <w:gridSpan w:val="2"/>
            <w:tcBorders>
              <w:top w:val="single" w:sz="12" w:space="0" w:color="000000"/>
              <w:left w:val="single" w:sz="12" w:space="0" w:color="000000"/>
              <w:bottom w:val="single" w:sz="7"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工作内容</w:t>
            </w:r>
          </w:p>
        </w:tc>
        <w:tc>
          <w:tcPr>
            <w:tcW w:w="6607" w:type="dxa"/>
            <w:gridSpan w:val="6"/>
            <w:tcBorders>
              <w:top w:val="single" w:sz="12" w:space="0" w:color="000000"/>
              <w:left w:val="single" w:sz="5" w:space="0" w:color="000000"/>
              <w:bottom w:val="single" w:sz="7"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完成情况</w:t>
            </w:r>
          </w:p>
        </w:tc>
        <w:tc>
          <w:tcPr>
            <w:tcW w:w="899" w:type="dxa"/>
            <w:tcBorders>
              <w:top w:val="single" w:sz="12" w:space="0" w:color="000000"/>
              <w:left w:val="single" w:sz="5" w:space="0" w:color="000000"/>
              <w:bottom w:val="single" w:sz="7" w:space="0" w:color="000000"/>
              <w:right w:val="single" w:sz="12" w:space="0" w:color="000000"/>
            </w:tcBorders>
            <w:vAlign w:val="center"/>
          </w:tcPr>
          <w:p w:rsidR="00754403" w:rsidRPr="00EC2089" w:rsidRDefault="00754403" w:rsidP="006C228A">
            <w:pPr>
              <w:jc w:val="center"/>
              <w:rPr>
                <w:sz w:val="18"/>
                <w:szCs w:val="18"/>
              </w:rPr>
            </w:pPr>
            <w:r w:rsidRPr="00EC2089">
              <w:rPr>
                <w:rFonts w:hint="eastAsia"/>
                <w:sz w:val="18"/>
                <w:szCs w:val="18"/>
              </w:rPr>
              <w:t>备注</w:t>
            </w:r>
          </w:p>
        </w:tc>
      </w:tr>
      <w:tr w:rsidR="00754403" w:rsidRPr="00EC2089" w:rsidTr="00754403">
        <w:trPr>
          <w:trHeight w:hRule="exact" w:val="332"/>
          <w:jc w:val="center"/>
        </w:trPr>
        <w:tc>
          <w:tcPr>
            <w:tcW w:w="427" w:type="dxa"/>
            <w:vMerge w:val="restart"/>
            <w:tcBorders>
              <w:top w:val="single" w:sz="7"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影</w:t>
            </w:r>
            <w:r w:rsidRPr="00EC2089">
              <w:rPr>
                <w:sz w:val="18"/>
                <w:szCs w:val="18"/>
              </w:rPr>
              <w:t xml:space="preserve"> </w:t>
            </w:r>
            <w:r w:rsidRPr="00EC2089">
              <w:rPr>
                <w:rFonts w:hint="eastAsia"/>
                <w:sz w:val="18"/>
                <w:szCs w:val="18"/>
              </w:rPr>
              <w:t>响</w:t>
            </w:r>
            <w:r w:rsidRPr="00EC2089">
              <w:rPr>
                <w:sz w:val="18"/>
                <w:szCs w:val="18"/>
              </w:rPr>
              <w:t xml:space="preserve"> </w:t>
            </w:r>
            <w:r w:rsidRPr="00EC2089">
              <w:rPr>
                <w:rFonts w:hint="eastAsia"/>
                <w:sz w:val="18"/>
                <w:szCs w:val="18"/>
              </w:rPr>
              <w:t>识</w:t>
            </w:r>
            <w:r w:rsidRPr="00EC2089">
              <w:rPr>
                <w:sz w:val="18"/>
                <w:szCs w:val="18"/>
              </w:rPr>
              <w:t xml:space="preserve"> </w:t>
            </w:r>
            <w:r w:rsidRPr="00EC2089">
              <w:rPr>
                <w:rFonts w:hint="eastAsia"/>
                <w:sz w:val="18"/>
                <w:szCs w:val="18"/>
              </w:rPr>
              <w:t>别</w:t>
            </w:r>
          </w:p>
        </w:tc>
        <w:tc>
          <w:tcPr>
            <w:tcW w:w="1675" w:type="dxa"/>
            <w:tcBorders>
              <w:top w:val="single" w:sz="7" w:space="0" w:color="000000"/>
              <w:left w:val="single" w:sz="5" w:space="0" w:color="000000"/>
              <w:bottom w:val="single" w:sz="7"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影响类型</w:t>
            </w:r>
          </w:p>
        </w:tc>
        <w:tc>
          <w:tcPr>
            <w:tcW w:w="6607" w:type="dxa"/>
            <w:gridSpan w:val="6"/>
            <w:tcBorders>
              <w:top w:val="single" w:sz="7" w:space="0" w:color="000000"/>
              <w:left w:val="single" w:sz="5" w:space="0" w:color="000000"/>
              <w:bottom w:val="single" w:sz="7" w:space="0" w:color="000000"/>
              <w:right w:val="single" w:sz="5" w:space="0" w:color="000000"/>
            </w:tcBorders>
            <w:vAlign w:val="center"/>
          </w:tcPr>
          <w:p w:rsidR="00754403" w:rsidRPr="00EC2089" w:rsidRDefault="00754403" w:rsidP="006C228A">
            <w:pPr>
              <w:jc w:val="left"/>
              <w:rPr>
                <w:sz w:val="18"/>
                <w:szCs w:val="18"/>
              </w:rPr>
            </w:pPr>
            <w:r w:rsidRPr="00EC2089">
              <w:rPr>
                <w:rFonts w:hint="eastAsia"/>
                <w:sz w:val="18"/>
                <w:szCs w:val="18"/>
              </w:rPr>
              <w:t>污染影响型□；生态影响型□；两种兼有</w:t>
            </w:r>
            <w:r w:rsidRPr="00EC2089">
              <w:rPr>
                <w:sz w:val="18"/>
                <w:szCs w:val="18"/>
              </w:rPr>
              <w:sym w:font="Wingdings 2" w:char="0052"/>
            </w:r>
          </w:p>
        </w:tc>
        <w:tc>
          <w:tcPr>
            <w:tcW w:w="899" w:type="dxa"/>
            <w:tcBorders>
              <w:top w:val="single" w:sz="7" w:space="0" w:color="000000"/>
              <w:left w:val="single" w:sz="5" w:space="0" w:color="000000"/>
              <w:bottom w:val="single" w:sz="7"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132470">
        <w:trPr>
          <w:trHeight w:hRule="exact" w:val="579"/>
          <w:jc w:val="center"/>
        </w:trPr>
        <w:tc>
          <w:tcPr>
            <w:tcW w:w="427" w:type="dxa"/>
            <w:vMerge/>
            <w:tcBorders>
              <w:top w:val="single" w:sz="7"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7" w:space="0" w:color="000000"/>
              <w:left w:val="single" w:sz="5" w:space="0" w:color="000000"/>
              <w:bottom w:val="single" w:sz="4"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土地利用类型</w:t>
            </w:r>
          </w:p>
        </w:tc>
        <w:tc>
          <w:tcPr>
            <w:tcW w:w="6607" w:type="dxa"/>
            <w:gridSpan w:val="6"/>
            <w:tcBorders>
              <w:top w:val="single" w:sz="7" w:space="0" w:color="000000"/>
              <w:left w:val="single" w:sz="5" w:space="0" w:color="000000"/>
              <w:bottom w:val="single" w:sz="4" w:space="0" w:color="000000"/>
              <w:right w:val="single" w:sz="5" w:space="0" w:color="000000"/>
            </w:tcBorders>
            <w:vAlign w:val="center"/>
          </w:tcPr>
          <w:p w:rsidR="00754403" w:rsidRPr="00EC2089" w:rsidRDefault="00754403" w:rsidP="006C228A">
            <w:pPr>
              <w:jc w:val="left"/>
              <w:rPr>
                <w:sz w:val="18"/>
                <w:szCs w:val="18"/>
              </w:rPr>
            </w:pPr>
            <w:r w:rsidRPr="00EC2089">
              <w:rPr>
                <w:rFonts w:hint="eastAsia"/>
                <w:sz w:val="18"/>
                <w:szCs w:val="18"/>
              </w:rPr>
              <w:t>建设用地</w:t>
            </w:r>
            <w:r w:rsidRPr="00EC2089">
              <w:rPr>
                <w:sz w:val="18"/>
                <w:szCs w:val="18"/>
              </w:rPr>
              <w:sym w:font="Wingdings 2" w:char="0052"/>
            </w:r>
            <w:r w:rsidRPr="00EC2089">
              <w:rPr>
                <w:rFonts w:hint="eastAsia"/>
                <w:sz w:val="18"/>
                <w:szCs w:val="18"/>
              </w:rPr>
              <w:t>；农用地</w:t>
            </w:r>
            <w:r w:rsidRPr="00EC2089">
              <w:rPr>
                <w:sz w:val="18"/>
                <w:szCs w:val="18"/>
              </w:rPr>
              <w:sym w:font="Wingdings 2" w:char="0052"/>
            </w:r>
            <w:r w:rsidRPr="00EC2089">
              <w:rPr>
                <w:rFonts w:hint="eastAsia"/>
                <w:sz w:val="18"/>
                <w:szCs w:val="18"/>
              </w:rPr>
              <w:t>；未利用地□</w:t>
            </w:r>
          </w:p>
        </w:tc>
        <w:tc>
          <w:tcPr>
            <w:tcW w:w="899" w:type="dxa"/>
            <w:tcBorders>
              <w:top w:val="single" w:sz="7" w:space="0" w:color="000000"/>
              <w:left w:val="single" w:sz="5" w:space="0" w:color="000000"/>
              <w:bottom w:val="single" w:sz="4" w:space="0" w:color="000000"/>
              <w:right w:val="single" w:sz="12" w:space="0" w:color="000000"/>
            </w:tcBorders>
            <w:vAlign w:val="center"/>
          </w:tcPr>
          <w:p w:rsidR="00754403" w:rsidRPr="00EC2089" w:rsidRDefault="00754403" w:rsidP="00CC079C">
            <w:pPr>
              <w:jc w:val="center"/>
              <w:rPr>
                <w:sz w:val="18"/>
                <w:szCs w:val="18"/>
              </w:rPr>
            </w:pPr>
            <w:r w:rsidRPr="00EC2089">
              <w:rPr>
                <w:rFonts w:hint="eastAsia"/>
                <w:sz w:val="18"/>
                <w:szCs w:val="18"/>
              </w:rPr>
              <w:t>土地利用类型图</w:t>
            </w:r>
          </w:p>
        </w:tc>
      </w:tr>
      <w:tr w:rsidR="00754403" w:rsidRPr="00EC2089" w:rsidTr="00754403">
        <w:trPr>
          <w:trHeight w:hRule="exact" w:val="329"/>
          <w:jc w:val="center"/>
        </w:trPr>
        <w:tc>
          <w:tcPr>
            <w:tcW w:w="427" w:type="dxa"/>
            <w:vMerge/>
            <w:tcBorders>
              <w:top w:val="single" w:sz="7"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4"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占地规模</w:t>
            </w:r>
          </w:p>
        </w:tc>
        <w:tc>
          <w:tcPr>
            <w:tcW w:w="6607" w:type="dxa"/>
            <w:gridSpan w:val="6"/>
            <w:tcBorders>
              <w:top w:val="single" w:sz="4"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rFonts w:hint="eastAsia"/>
                <w:sz w:val="18"/>
                <w:szCs w:val="18"/>
              </w:rPr>
              <w:t>（</w:t>
            </w:r>
            <w:r w:rsidRPr="00EC2089">
              <w:rPr>
                <w:sz w:val="18"/>
                <w:szCs w:val="18"/>
              </w:rPr>
              <w:t xml:space="preserve">   </w:t>
            </w:r>
            <w:r w:rsidRPr="00EC2089">
              <w:rPr>
                <w:rFonts w:hint="eastAsia"/>
                <w:sz w:val="18"/>
                <w:szCs w:val="18"/>
              </w:rPr>
              <w:t>6.50</w:t>
            </w:r>
            <w:r w:rsidRPr="00EC2089">
              <w:rPr>
                <w:sz w:val="18"/>
                <w:szCs w:val="18"/>
              </w:rPr>
              <w:t xml:space="preserve">     </w:t>
            </w:r>
            <w:r w:rsidRPr="00EC2089">
              <w:rPr>
                <w:rFonts w:hint="eastAsia"/>
                <w:sz w:val="18"/>
                <w:szCs w:val="18"/>
              </w:rPr>
              <w:t>）</w:t>
            </w:r>
            <w:r w:rsidRPr="00EC2089">
              <w:rPr>
                <w:sz w:val="18"/>
                <w:szCs w:val="18"/>
              </w:rPr>
              <w:t>hm</w:t>
            </w:r>
            <w:r w:rsidRPr="00EC2089">
              <w:rPr>
                <w:sz w:val="18"/>
                <w:szCs w:val="18"/>
                <w:vertAlign w:val="superscript"/>
              </w:rPr>
              <w:t>2</w:t>
            </w:r>
          </w:p>
        </w:tc>
        <w:tc>
          <w:tcPr>
            <w:tcW w:w="899" w:type="dxa"/>
            <w:tcBorders>
              <w:top w:val="single" w:sz="4"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7"/>
          <w:jc w:val="center"/>
        </w:trPr>
        <w:tc>
          <w:tcPr>
            <w:tcW w:w="427" w:type="dxa"/>
            <w:vMerge/>
            <w:tcBorders>
              <w:top w:val="single" w:sz="7"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敏感目标信息</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rFonts w:hint="eastAsia"/>
                <w:sz w:val="18"/>
                <w:szCs w:val="18"/>
              </w:rPr>
              <w:t>敏感目标（</w:t>
            </w:r>
            <w:r w:rsidRPr="00EC2089">
              <w:rPr>
                <w:sz w:val="18"/>
                <w:szCs w:val="18"/>
              </w:rPr>
              <w:t xml:space="preserve"> </w:t>
            </w:r>
            <w:r w:rsidRPr="00EC2089">
              <w:rPr>
                <w:rFonts w:hint="eastAsia"/>
                <w:sz w:val="18"/>
                <w:szCs w:val="18"/>
              </w:rPr>
              <w:t>蚂蚁河</w:t>
            </w:r>
            <w:r w:rsidRPr="00EC2089">
              <w:rPr>
                <w:sz w:val="18"/>
                <w:szCs w:val="18"/>
              </w:rPr>
              <w:t xml:space="preserve">  </w:t>
            </w:r>
            <w:r w:rsidRPr="00EC2089">
              <w:rPr>
                <w:rFonts w:hint="eastAsia"/>
                <w:sz w:val="18"/>
                <w:szCs w:val="18"/>
              </w:rPr>
              <w:t>）、方位（</w:t>
            </w:r>
            <w:r w:rsidRPr="00EC2089">
              <w:rPr>
                <w:sz w:val="18"/>
                <w:szCs w:val="18"/>
              </w:rPr>
              <w:t xml:space="preserve"> </w:t>
            </w:r>
            <w:r w:rsidRPr="00EC2089">
              <w:rPr>
                <w:rFonts w:hint="eastAsia"/>
                <w:sz w:val="18"/>
                <w:szCs w:val="18"/>
              </w:rPr>
              <w:t>南侧</w:t>
            </w:r>
            <w:r w:rsidRPr="00EC2089">
              <w:rPr>
                <w:sz w:val="18"/>
                <w:szCs w:val="18"/>
              </w:rPr>
              <w:t xml:space="preserve"> </w:t>
            </w:r>
            <w:r w:rsidRPr="00EC2089">
              <w:rPr>
                <w:rFonts w:hint="eastAsia"/>
                <w:sz w:val="18"/>
                <w:szCs w:val="18"/>
              </w:rPr>
              <w:t>）、距离（</w:t>
            </w:r>
            <w:r w:rsidRPr="00EC2089">
              <w:rPr>
                <w:sz w:val="18"/>
                <w:szCs w:val="18"/>
              </w:rPr>
              <w:t xml:space="preserve"> </w:t>
            </w:r>
            <w:r w:rsidRPr="00EC2089">
              <w:rPr>
                <w:rFonts w:hint="eastAsia"/>
                <w:sz w:val="18"/>
                <w:szCs w:val="18"/>
              </w:rPr>
              <w:t>121m</w:t>
            </w:r>
            <w:r w:rsidRPr="00EC2089">
              <w:rPr>
                <w:sz w:val="18"/>
                <w:szCs w:val="18"/>
              </w:rPr>
              <w:t xml:space="preserve">  </w:t>
            </w:r>
            <w:r w:rsidRPr="00EC2089">
              <w:rPr>
                <w:rFonts w:hint="eastAsia"/>
                <w:sz w:val="18"/>
                <w:szCs w:val="18"/>
              </w:rPr>
              <w:t>）</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7"/>
          <w:jc w:val="center"/>
        </w:trPr>
        <w:tc>
          <w:tcPr>
            <w:tcW w:w="427" w:type="dxa"/>
            <w:vMerge/>
            <w:tcBorders>
              <w:top w:val="single" w:sz="7"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影响途径</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790C2A">
            <w:pPr>
              <w:jc w:val="left"/>
              <w:rPr>
                <w:sz w:val="18"/>
                <w:szCs w:val="18"/>
              </w:rPr>
            </w:pPr>
            <w:r w:rsidRPr="00EC2089">
              <w:rPr>
                <w:rFonts w:hint="eastAsia"/>
                <w:sz w:val="18"/>
                <w:szCs w:val="18"/>
              </w:rPr>
              <w:t>大气沉降□；地面漫流</w:t>
            </w:r>
            <w:r w:rsidR="00790C2A" w:rsidRPr="00EC2089">
              <w:rPr>
                <w:rFonts w:hint="eastAsia"/>
                <w:sz w:val="18"/>
                <w:szCs w:val="18"/>
              </w:rPr>
              <w:t>□</w:t>
            </w:r>
            <w:r w:rsidRPr="00EC2089">
              <w:rPr>
                <w:rFonts w:hint="eastAsia"/>
                <w:sz w:val="18"/>
                <w:szCs w:val="18"/>
              </w:rPr>
              <w:t>；垂直入渗</w:t>
            </w:r>
            <w:r w:rsidR="00790C2A" w:rsidRPr="00EC2089">
              <w:rPr>
                <w:sz w:val="18"/>
                <w:szCs w:val="18"/>
              </w:rPr>
              <w:sym w:font="Wingdings 2" w:char="0052"/>
            </w:r>
            <w:r w:rsidRPr="00EC2089">
              <w:rPr>
                <w:rFonts w:hint="eastAsia"/>
                <w:sz w:val="18"/>
                <w:szCs w:val="18"/>
              </w:rPr>
              <w:t>；地下水位</w:t>
            </w:r>
            <w:r w:rsidRPr="00EC2089">
              <w:rPr>
                <w:sz w:val="18"/>
                <w:szCs w:val="18"/>
              </w:rPr>
              <w:sym w:font="Wingdings 2" w:char="0052"/>
            </w:r>
            <w:r w:rsidRPr="00EC2089">
              <w:rPr>
                <w:rFonts w:hint="eastAsia"/>
                <w:sz w:val="18"/>
                <w:szCs w:val="18"/>
              </w:rPr>
              <w:t>；其他（</w:t>
            </w:r>
            <w:r w:rsidRPr="00EC2089">
              <w:rPr>
                <w:sz w:val="18"/>
                <w:szCs w:val="18"/>
              </w:rPr>
              <w:t xml:space="preserve">  </w:t>
            </w:r>
            <w:r w:rsidRPr="00EC2089">
              <w:rPr>
                <w:rFonts w:hint="eastAsia"/>
                <w:sz w:val="18"/>
                <w:szCs w:val="18"/>
              </w:rPr>
              <w:t>）</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7"/>
          <w:jc w:val="center"/>
        </w:trPr>
        <w:tc>
          <w:tcPr>
            <w:tcW w:w="427" w:type="dxa"/>
            <w:vMerge/>
            <w:tcBorders>
              <w:top w:val="single" w:sz="7"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全部污染物</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bCs/>
                <w:color w:val="000000"/>
                <w:kern w:val="0"/>
                <w:sz w:val="18"/>
                <w:szCs w:val="18"/>
              </w:rPr>
              <w:t>COD</w:t>
            </w:r>
            <w:r w:rsidRPr="00EC2089">
              <w:rPr>
                <w:bCs/>
                <w:color w:val="000000"/>
                <w:kern w:val="0"/>
                <w:sz w:val="18"/>
                <w:szCs w:val="18"/>
              </w:rPr>
              <w:t>、</w:t>
            </w:r>
            <w:r w:rsidRPr="00EC2089">
              <w:rPr>
                <w:bCs/>
                <w:color w:val="000000"/>
                <w:kern w:val="0"/>
                <w:sz w:val="18"/>
                <w:szCs w:val="18"/>
              </w:rPr>
              <w:t>BOD</w:t>
            </w:r>
            <w:r w:rsidRPr="00EC2089">
              <w:rPr>
                <w:bCs/>
                <w:color w:val="000000"/>
                <w:kern w:val="0"/>
                <w:sz w:val="18"/>
                <w:szCs w:val="18"/>
                <w:vertAlign w:val="subscript"/>
              </w:rPr>
              <w:t>5</w:t>
            </w:r>
            <w:r w:rsidRPr="00EC2089">
              <w:rPr>
                <w:bCs/>
                <w:color w:val="000000"/>
                <w:kern w:val="0"/>
                <w:sz w:val="18"/>
                <w:szCs w:val="18"/>
              </w:rPr>
              <w:t>、</w:t>
            </w:r>
            <w:r w:rsidRPr="00EC2089">
              <w:rPr>
                <w:bCs/>
                <w:color w:val="000000"/>
                <w:kern w:val="0"/>
                <w:sz w:val="18"/>
                <w:szCs w:val="18"/>
              </w:rPr>
              <w:t>NH</w:t>
            </w:r>
            <w:r w:rsidRPr="00EC2089">
              <w:rPr>
                <w:bCs/>
                <w:color w:val="000000"/>
                <w:kern w:val="0"/>
                <w:sz w:val="18"/>
                <w:szCs w:val="18"/>
                <w:vertAlign w:val="subscript"/>
              </w:rPr>
              <w:t>3</w:t>
            </w:r>
            <w:r w:rsidRPr="00EC2089">
              <w:rPr>
                <w:bCs/>
                <w:color w:val="000000"/>
                <w:kern w:val="0"/>
                <w:sz w:val="18"/>
                <w:szCs w:val="18"/>
              </w:rPr>
              <w:t>-N</w:t>
            </w:r>
            <w:r w:rsidRPr="00EC2089">
              <w:rPr>
                <w:bCs/>
                <w:color w:val="000000"/>
                <w:kern w:val="0"/>
                <w:sz w:val="18"/>
                <w:szCs w:val="18"/>
              </w:rPr>
              <w:t>、石油类</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7"/>
          <w:jc w:val="center"/>
        </w:trPr>
        <w:tc>
          <w:tcPr>
            <w:tcW w:w="427" w:type="dxa"/>
            <w:vMerge/>
            <w:tcBorders>
              <w:top w:val="single" w:sz="7"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特征因子</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rFonts w:hint="eastAsia"/>
                <w:sz w:val="18"/>
                <w:szCs w:val="18"/>
              </w:rPr>
              <w:t>石油类、氨氮</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639"/>
          <w:jc w:val="center"/>
        </w:trPr>
        <w:tc>
          <w:tcPr>
            <w:tcW w:w="427" w:type="dxa"/>
            <w:vMerge/>
            <w:tcBorders>
              <w:top w:val="single" w:sz="7"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所属土壤环境影响</w:t>
            </w:r>
            <w:r w:rsidRPr="00EC2089">
              <w:rPr>
                <w:sz w:val="18"/>
                <w:szCs w:val="18"/>
              </w:rPr>
              <w:t xml:space="preserve"> </w:t>
            </w:r>
            <w:r w:rsidRPr="00EC2089">
              <w:rPr>
                <w:rFonts w:hint="eastAsia"/>
                <w:sz w:val="18"/>
                <w:szCs w:val="18"/>
              </w:rPr>
              <w:t>评价项目类别</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rFonts w:hint="eastAsia"/>
                <w:sz w:val="18"/>
                <w:szCs w:val="18"/>
              </w:rPr>
              <w:t>Ⅰ类□；Ⅱ类</w:t>
            </w:r>
            <w:r w:rsidRPr="00EC2089">
              <w:rPr>
                <w:sz w:val="18"/>
                <w:szCs w:val="18"/>
              </w:rPr>
              <w:sym w:font="Wingdings 2" w:char="0052"/>
            </w:r>
            <w:r w:rsidRPr="00EC2089">
              <w:rPr>
                <w:rFonts w:hint="eastAsia"/>
                <w:sz w:val="18"/>
                <w:szCs w:val="18"/>
              </w:rPr>
              <w:t>；Ⅲ类□；Ⅳ类□</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7"/>
          <w:jc w:val="center"/>
        </w:trPr>
        <w:tc>
          <w:tcPr>
            <w:tcW w:w="427" w:type="dxa"/>
            <w:vMerge/>
            <w:tcBorders>
              <w:top w:val="single" w:sz="7"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敏感程度</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rFonts w:hint="eastAsia"/>
                <w:sz w:val="18"/>
                <w:szCs w:val="18"/>
              </w:rPr>
              <w:t>敏感</w:t>
            </w:r>
            <w:r w:rsidRPr="00EC2089">
              <w:rPr>
                <w:sz w:val="18"/>
                <w:szCs w:val="18"/>
              </w:rPr>
              <w:sym w:font="Wingdings 2" w:char="0052"/>
            </w:r>
            <w:r w:rsidRPr="00EC2089">
              <w:rPr>
                <w:rFonts w:hint="eastAsia"/>
                <w:sz w:val="18"/>
                <w:szCs w:val="18"/>
              </w:rPr>
              <w:t>；较敏感□；不敏感□</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7"/>
          <w:jc w:val="center"/>
        </w:trPr>
        <w:tc>
          <w:tcPr>
            <w:tcW w:w="2102" w:type="dxa"/>
            <w:gridSpan w:val="2"/>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评价工作等级</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rFonts w:hint="eastAsia"/>
                <w:sz w:val="18"/>
                <w:szCs w:val="18"/>
              </w:rPr>
              <w:t>一级□；二级</w:t>
            </w:r>
            <w:r w:rsidRPr="00EC2089">
              <w:rPr>
                <w:sz w:val="18"/>
                <w:szCs w:val="18"/>
              </w:rPr>
              <w:sym w:font="Wingdings 2" w:char="0052"/>
            </w:r>
            <w:r w:rsidRPr="00EC2089">
              <w:rPr>
                <w:rFonts w:hint="eastAsia"/>
                <w:sz w:val="18"/>
                <w:szCs w:val="18"/>
              </w:rPr>
              <w:t>；三级</w:t>
            </w:r>
            <w:r w:rsidRPr="00EC2089">
              <w:rPr>
                <w:sz w:val="18"/>
                <w:szCs w:val="18"/>
              </w:rPr>
              <w:sym w:font="Wingdings 2" w:char="0052"/>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7"/>
          <w:jc w:val="center"/>
        </w:trPr>
        <w:tc>
          <w:tcPr>
            <w:tcW w:w="427" w:type="dxa"/>
            <w:vMerge w:val="restart"/>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现</w:t>
            </w:r>
            <w:r w:rsidRPr="00EC2089">
              <w:rPr>
                <w:sz w:val="18"/>
                <w:szCs w:val="18"/>
              </w:rPr>
              <w:t xml:space="preserve"> </w:t>
            </w:r>
            <w:r w:rsidRPr="00EC2089">
              <w:rPr>
                <w:rFonts w:hint="eastAsia"/>
                <w:sz w:val="18"/>
                <w:szCs w:val="18"/>
              </w:rPr>
              <w:t>状</w:t>
            </w:r>
            <w:r w:rsidRPr="00EC2089">
              <w:rPr>
                <w:sz w:val="18"/>
                <w:szCs w:val="18"/>
              </w:rPr>
              <w:t xml:space="preserve"> </w:t>
            </w:r>
            <w:r w:rsidRPr="00EC2089">
              <w:rPr>
                <w:rFonts w:hint="eastAsia"/>
                <w:sz w:val="18"/>
                <w:szCs w:val="18"/>
              </w:rPr>
              <w:t>调</w:t>
            </w:r>
            <w:r w:rsidRPr="00EC2089">
              <w:rPr>
                <w:sz w:val="18"/>
                <w:szCs w:val="18"/>
              </w:rPr>
              <w:t xml:space="preserve"> </w:t>
            </w:r>
            <w:r w:rsidRPr="00EC2089">
              <w:rPr>
                <w:rFonts w:hint="eastAsia"/>
                <w:sz w:val="18"/>
                <w:szCs w:val="18"/>
              </w:rPr>
              <w:t>查</w:t>
            </w:r>
            <w:r w:rsidRPr="00EC2089">
              <w:rPr>
                <w:sz w:val="18"/>
                <w:szCs w:val="18"/>
              </w:rPr>
              <w:t xml:space="preserve"> </w:t>
            </w:r>
            <w:r w:rsidRPr="00EC2089">
              <w:rPr>
                <w:rFonts w:hint="eastAsia"/>
                <w:sz w:val="18"/>
                <w:szCs w:val="18"/>
              </w:rPr>
              <w:t>内</w:t>
            </w:r>
            <w:r w:rsidRPr="00EC2089">
              <w:rPr>
                <w:sz w:val="18"/>
                <w:szCs w:val="18"/>
              </w:rPr>
              <w:t xml:space="preserve"> </w:t>
            </w:r>
            <w:r w:rsidRPr="00EC2089">
              <w:rPr>
                <w:rFonts w:hint="eastAsia"/>
                <w:sz w:val="18"/>
                <w:szCs w:val="18"/>
              </w:rPr>
              <w:t>容</w:t>
            </w: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资料收集</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sz w:val="18"/>
                <w:szCs w:val="18"/>
              </w:rPr>
              <w:t>a</w:t>
            </w:r>
            <w:r w:rsidRPr="00EC2089">
              <w:rPr>
                <w:rFonts w:hint="eastAsia"/>
                <w:sz w:val="18"/>
                <w:szCs w:val="18"/>
              </w:rPr>
              <w:t>）</w:t>
            </w:r>
            <w:r w:rsidRPr="00EC2089">
              <w:rPr>
                <w:sz w:val="18"/>
                <w:szCs w:val="18"/>
              </w:rPr>
              <w:sym w:font="Wingdings 2" w:char="0052"/>
            </w:r>
            <w:r w:rsidRPr="00EC2089">
              <w:rPr>
                <w:rFonts w:hint="eastAsia"/>
                <w:sz w:val="18"/>
                <w:szCs w:val="18"/>
              </w:rPr>
              <w:t>；</w:t>
            </w:r>
            <w:r w:rsidRPr="00EC2089">
              <w:rPr>
                <w:sz w:val="18"/>
                <w:szCs w:val="18"/>
              </w:rPr>
              <w:t>b</w:t>
            </w:r>
            <w:r w:rsidRPr="00EC2089">
              <w:rPr>
                <w:rFonts w:hint="eastAsia"/>
                <w:sz w:val="18"/>
                <w:szCs w:val="18"/>
              </w:rPr>
              <w:t>）</w:t>
            </w:r>
            <w:r w:rsidRPr="00EC2089">
              <w:rPr>
                <w:sz w:val="18"/>
                <w:szCs w:val="18"/>
              </w:rPr>
              <w:sym w:font="Wingdings 2" w:char="0052"/>
            </w:r>
            <w:r w:rsidRPr="00EC2089">
              <w:rPr>
                <w:rFonts w:hint="eastAsia"/>
                <w:sz w:val="18"/>
                <w:szCs w:val="18"/>
              </w:rPr>
              <w:t>；</w:t>
            </w:r>
            <w:r w:rsidRPr="00EC2089">
              <w:rPr>
                <w:sz w:val="18"/>
                <w:szCs w:val="18"/>
              </w:rPr>
              <w:t>c</w:t>
            </w:r>
            <w:r w:rsidRPr="00EC2089">
              <w:rPr>
                <w:rFonts w:hint="eastAsia"/>
                <w:sz w:val="18"/>
                <w:szCs w:val="18"/>
              </w:rPr>
              <w:t>）□；</w:t>
            </w:r>
            <w:r w:rsidRPr="00EC2089">
              <w:rPr>
                <w:sz w:val="18"/>
                <w:szCs w:val="18"/>
              </w:rPr>
              <w:t>d</w:t>
            </w:r>
            <w:r w:rsidRPr="00EC2089">
              <w:rPr>
                <w:rFonts w:hint="eastAsia"/>
                <w:sz w:val="18"/>
                <w:szCs w:val="18"/>
              </w:rPr>
              <w:t>）□</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7"/>
          <w:jc w:val="center"/>
        </w:trPr>
        <w:tc>
          <w:tcPr>
            <w:tcW w:w="427" w:type="dxa"/>
            <w:vMerge/>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理化特性</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r w:rsidRPr="00EC2089">
              <w:rPr>
                <w:rFonts w:hint="eastAsia"/>
                <w:sz w:val="18"/>
                <w:szCs w:val="18"/>
              </w:rPr>
              <w:t>同附录</w:t>
            </w:r>
            <w:r w:rsidRPr="00EC2089">
              <w:rPr>
                <w:sz w:val="18"/>
                <w:szCs w:val="18"/>
              </w:rPr>
              <w:t xml:space="preserve"> C</w:t>
            </w:r>
          </w:p>
        </w:tc>
      </w:tr>
      <w:tr w:rsidR="00754403" w:rsidRPr="00EC2089" w:rsidTr="00754403">
        <w:trPr>
          <w:trHeight w:hRule="exact" w:val="325"/>
          <w:jc w:val="center"/>
        </w:trPr>
        <w:tc>
          <w:tcPr>
            <w:tcW w:w="427" w:type="dxa"/>
            <w:vMerge/>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vMerge w:val="restart"/>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现状监测点位</w:t>
            </w:r>
          </w:p>
        </w:tc>
        <w:tc>
          <w:tcPr>
            <w:tcW w:w="1416" w:type="dxa"/>
            <w:gridSpan w:val="2"/>
            <w:tcBorders>
              <w:top w:val="single" w:sz="5" w:space="0" w:color="000000"/>
              <w:left w:val="single" w:sz="5" w:space="0" w:color="000000"/>
              <w:bottom w:val="single" w:sz="4" w:space="0" w:color="000000"/>
              <w:right w:val="single" w:sz="4" w:space="0" w:color="000000"/>
            </w:tcBorders>
            <w:vAlign w:val="center"/>
          </w:tcPr>
          <w:p w:rsidR="00754403" w:rsidRPr="00EC2089" w:rsidRDefault="00754403" w:rsidP="006C228A">
            <w:pPr>
              <w:jc w:val="center"/>
              <w:rPr>
                <w:sz w:val="18"/>
                <w:szCs w:val="18"/>
              </w:rPr>
            </w:pPr>
          </w:p>
        </w:tc>
        <w:tc>
          <w:tcPr>
            <w:tcW w:w="1367" w:type="dxa"/>
            <w:tcBorders>
              <w:top w:val="single" w:sz="5" w:space="0" w:color="000000"/>
              <w:left w:val="single" w:sz="4" w:space="0" w:color="000000"/>
              <w:bottom w:val="single" w:sz="4" w:space="0" w:color="000000"/>
              <w:right w:val="single" w:sz="4" w:space="0" w:color="000000"/>
            </w:tcBorders>
            <w:vAlign w:val="center"/>
          </w:tcPr>
          <w:p w:rsidR="00754403" w:rsidRPr="00EC2089" w:rsidRDefault="00754403" w:rsidP="006C228A">
            <w:pPr>
              <w:jc w:val="center"/>
              <w:rPr>
                <w:sz w:val="18"/>
                <w:szCs w:val="18"/>
              </w:rPr>
            </w:pPr>
            <w:r w:rsidRPr="00EC2089">
              <w:rPr>
                <w:rFonts w:hint="eastAsia"/>
                <w:sz w:val="18"/>
                <w:szCs w:val="18"/>
              </w:rPr>
              <w:t>占地范围内</w:t>
            </w:r>
          </w:p>
        </w:tc>
        <w:tc>
          <w:tcPr>
            <w:tcW w:w="1417" w:type="dxa"/>
            <w:tcBorders>
              <w:top w:val="single" w:sz="5" w:space="0" w:color="000000"/>
              <w:left w:val="single" w:sz="4" w:space="0" w:color="000000"/>
              <w:bottom w:val="single" w:sz="4" w:space="0" w:color="000000"/>
              <w:right w:val="single" w:sz="4" w:space="0" w:color="000000"/>
            </w:tcBorders>
            <w:vAlign w:val="center"/>
          </w:tcPr>
          <w:p w:rsidR="00754403" w:rsidRPr="00EC2089" w:rsidRDefault="00754403" w:rsidP="006C228A">
            <w:pPr>
              <w:jc w:val="center"/>
              <w:rPr>
                <w:sz w:val="18"/>
                <w:szCs w:val="18"/>
              </w:rPr>
            </w:pPr>
            <w:r w:rsidRPr="00EC2089">
              <w:rPr>
                <w:rFonts w:hint="eastAsia"/>
                <w:sz w:val="18"/>
                <w:szCs w:val="18"/>
              </w:rPr>
              <w:t>占地范围外</w:t>
            </w:r>
          </w:p>
        </w:tc>
        <w:tc>
          <w:tcPr>
            <w:tcW w:w="2407" w:type="dxa"/>
            <w:gridSpan w:val="2"/>
            <w:tcBorders>
              <w:top w:val="single" w:sz="5" w:space="0" w:color="000000"/>
              <w:left w:val="single" w:sz="4" w:space="0" w:color="000000"/>
              <w:bottom w:val="single" w:sz="4"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深度</w:t>
            </w:r>
          </w:p>
        </w:tc>
        <w:tc>
          <w:tcPr>
            <w:tcW w:w="899" w:type="dxa"/>
            <w:vMerge w:val="restart"/>
            <w:tcBorders>
              <w:top w:val="single" w:sz="5" w:space="0" w:color="000000"/>
              <w:left w:val="single" w:sz="5" w:space="0" w:color="000000"/>
              <w:bottom w:val="single" w:sz="5" w:space="0" w:color="000000"/>
              <w:right w:val="single" w:sz="12" w:space="0" w:color="000000"/>
            </w:tcBorders>
            <w:vAlign w:val="center"/>
          </w:tcPr>
          <w:p w:rsidR="00754403" w:rsidRDefault="00754403" w:rsidP="006C228A">
            <w:pPr>
              <w:jc w:val="center"/>
              <w:rPr>
                <w:sz w:val="18"/>
                <w:szCs w:val="18"/>
              </w:rPr>
            </w:pPr>
            <w:r w:rsidRPr="00EC2089">
              <w:rPr>
                <w:rFonts w:hint="eastAsia"/>
                <w:sz w:val="18"/>
                <w:szCs w:val="18"/>
              </w:rPr>
              <w:t>点位</w:t>
            </w:r>
          </w:p>
          <w:p w:rsidR="00754403" w:rsidRPr="00EC2089" w:rsidRDefault="00754403" w:rsidP="006C228A">
            <w:pPr>
              <w:jc w:val="center"/>
              <w:rPr>
                <w:sz w:val="18"/>
                <w:szCs w:val="18"/>
              </w:rPr>
            </w:pPr>
            <w:r w:rsidRPr="00EC2089">
              <w:rPr>
                <w:rFonts w:hint="eastAsia"/>
                <w:sz w:val="18"/>
                <w:szCs w:val="18"/>
              </w:rPr>
              <w:t>布置图</w:t>
            </w:r>
          </w:p>
        </w:tc>
      </w:tr>
      <w:tr w:rsidR="00754403" w:rsidRPr="00EC2089" w:rsidTr="00754403">
        <w:trPr>
          <w:trHeight w:hRule="exact" w:val="327"/>
          <w:jc w:val="center"/>
        </w:trPr>
        <w:tc>
          <w:tcPr>
            <w:tcW w:w="427" w:type="dxa"/>
            <w:vMerge/>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vMerge/>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416" w:type="dxa"/>
            <w:gridSpan w:val="2"/>
            <w:tcBorders>
              <w:top w:val="single" w:sz="4" w:space="0" w:color="000000"/>
              <w:left w:val="single" w:sz="5" w:space="0" w:color="000000"/>
              <w:bottom w:val="single" w:sz="4" w:space="0" w:color="000000"/>
              <w:right w:val="single" w:sz="4" w:space="0" w:color="000000"/>
            </w:tcBorders>
            <w:vAlign w:val="center"/>
          </w:tcPr>
          <w:p w:rsidR="00754403" w:rsidRPr="00EC2089" w:rsidRDefault="00754403" w:rsidP="006C228A">
            <w:pPr>
              <w:jc w:val="center"/>
              <w:rPr>
                <w:sz w:val="18"/>
                <w:szCs w:val="18"/>
              </w:rPr>
            </w:pPr>
            <w:r w:rsidRPr="00EC2089">
              <w:rPr>
                <w:rFonts w:hint="eastAsia"/>
                <w:sz w:val="18"/>
                <w:szCs w:val="18"/>
              </w:rPr>
              <w:t>表层样点数</w:t>
            </w:r>
          </w:p>
        </w:tc>
        <w:tc>
          <w:tcPr>
            <w:tcW w:w="1367" w:type="dxa"/>
            <w:tcBorders>
              <w:top w:val="single" w:sz="4" w:space="0" w:color="000000"/>
              <w:left w:val="single" w:sz="4" w:space="0" w:color="000000"/>
              <w:bottom w:val="single" w:sz="4" w:space="0" w:color="000000"/>
              <w:right w:val="single" w:sz="4" w:space="0" w:color="000000"/>
            </w:tcBorders>
            <w:vAlign w:val="center"/>
          </w:tcPr>
          <w:p w:rsidR="00754403" w:rsidRPr="00EC2089" w:rsidRDefault="00754403" w:rsidP="006C228A">
            <w:pPr>
              <w:jc w:val="center"/>
              <w:rPr>
                <w:sz w:val="18"/>
                <w:szCs w:val="18"/>
              </w:rPr>
            </w:pPr>
            <w:r w:rsidRPr="00EC2089">
              <w:rPr>
                <w:rFonts w:hint="eastAsia"/>
                <w:sz w:val="18"/>
                <w:szCs w:val="18"/>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754403" w:rsidRPr="00EC2089" w:rsidRDefault="00754403" w:rsidP="006C228A">
            <w:pPr>
              <w:jc w:val="center"/>
              <w:rPr>
                <w:sz w:val="18"/>
                <w:szCs w:val="18"/>
              </w:rPr>
            </w:pPr>
            <w:r w:rsidRPr="00EC2089">
              <w:rPr>
                <w:rFonts w:hint="eastAsia"/>
                <w:sz w:val="18"/>
                <w:szCs w:val="18"/>
              </w:rPr>
              <w:t>3</w:t>
            </w:r>
          </w:p>
        </w:tc>
        <w:tc>
          <w:tcPr>
            <w:tcW w:w="2407" w:type="dxa"/>
            <w:gridSpan w:val="2"/>
            <w:tcBorders>
              <w:top w:val="single" w:sz="4" w:space="0" w:color="000000"/>
              <w:left w:val="single" w:sz="4" w:space="0" w:color="000000"/>
              <w:bottom w:val="single" w:sz="4"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0.2m</w:t>
            </w:r>
          </w:p>
        </w:tc>
        <w:tc>
          <w:tcPr>
            <w:tcW w:w="899" w:type="dxa"/>
            <w:vMerge/>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9"/>
          <w:jc w:val="center"/>
        </w:trPr>
        <w:tc>
          <w:tcPr>
            <w:tcW w:w="427" w:type="dxa"/>
            <w:vMerge/>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vMerge/>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416" w:type="dxa"/>
            <w:gridSpan w:val="2"/>
            <w:tcBorders>
              <w:top w:val="single" w:sz="4" w:space="0" w:color="000000"/>
              <w:left w:val="single" w:sz="5" w:space="0" w:color="000000"/>
              <w:bottom w:val="single" w:sz="5" w:space="0" w:color="000000"/>
              <w:right w:val="single" w:sz="4" w:space="0" w:color="000000"/>
            </w:tcBorders>
            <w:vAlign w:val="center"/>
          </w:tcPr>
          <w:p w:rsidR="00754403" w:rsidRPr="00EC2089" w:rsidRDefault="00754403" w:rsidP="006C228A">
            <w:pPr>
              <w:jc w:val="center"/>
              <w:rPr>
                <w:sz w:val="18"/>
                <w:szCs w:val="18"/>
              </w:rPr>
            </w:pPr>
            <w:r w:rsidRPr="00EC2089">
              <w:rPr>
                <w:rFonts w:hint="eastAsia"/>
                <w:sz w:val="18"/>
                <w:szCs w:val="18"/>
              </w:rPr>
              <w:t>柱状样点数</w:t>
            </w:r>
          </w:p>
        </w:tc>
        <w:tc>
          <w:tcPr>
            <w:tcW w:w="1367" w:type="dxa"/>
            <w:tcBorders>
              <w:top w:val="single" w:sz="4" w:space="0" w:color="000000"/>
              <w:left w:val="single" w:sz="4" w:space="0" w:color="000000"/>
              <w:bottom w:val="single" w:sz="5" w:space="0" w:color="000000"/>
              <w:right w:val="single" w:sz="4" w:space="0" w:color="000000"/>
            </w:tcBorders>
            <w:vAlign w:val="center"/>
          </w:tcPr>
          <w:p w:rsidR="00754403" w:rsidRPr="00EC2089" w:rsidRDefault="00754403" w:rsidP="006C228A">
            <w:pPr>
              <w:jc w:val="center"/>
              <w:rPr>
                <w:sz w:val="18"/>
                <w:szCs w:val="18"/>
              </w:rPr>
            </w:pPr>
            <w:r w:rsidRPr="00EC2089">
              <w:rPr>
                <w:rFonts w:hint="eastAsia"/>
                <w:sz w:val="18"/>
                <w:szCs w:val="18"/>
              </w:rPr>
              <w:t>3</w:t>
            </w:r>
          </w:p>
        </w:tc>
        <w:tc>
          <w:tcPr>
            <w:tcW w:w="1417" w:type="dxa"/>
            <w:tcBorders>
              <w:top w:val="single" w:sz="4" w:space="0" w:color="000000"/>
              <w:left w:val="single" w:sz="4" w:space="0" w:color="000000"/>
              <w:bottom w:val="single" w:sz="5" w:space="0" w:color="000000"/>
              <w:right w:val="single" w:sz="4" w:space="0" w:color="000000"/>
            </w:tcBorders>
            <w:vAlign w:val="center"/>
          </w:tcPr>
          <w:p w:rsidR="00754403" w:rsidRPr="00EC2089" w:rsidRDefault="00754403" w:rsidP="006C228A">
            <w:pPr>
              <w:jc w:val="center"/>
              <w:rPr>
                <w:sz w:val="18"/>
                <w:szCs w:val="18"/>
              </w:rPr>
            </w:pPr>
            <w:r w:rsidRPr="00EC2089">
              <w:rPr>
                <w:rFonts w:hint="eastAsia"/>
                <w:sz w:val="18"/>
                <w:szCs w:val="18"/>
              </w:rPr>
              <w:t>0</w:t>
            </w:r>
          </w:p>
        </w:tc>
        <w:tc>
          <w:tcPr>
            <w:tcW w:w="2407" w:type="dxa"/>
            <w:gridSpan w:val="2"/>
            <w:tcBorders>
              <w:top w:val="single" w:sz="4" w:space="0" w:color="000000"/>
              <w:left w:val="single" w:sz="4"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0.2m</w:t>
            </w:r>
            <w:r w:rsidRPr="00EC2089">
              <w:rPr>
                <w:rFonts w:hint="eastAsia"/>
                <w:sz w:val="18"/>
                <w:szCs w:val="18"/>
              </w:rPr>
              <w:t>、</w:t>
            </w:r>
            <w:r w:rsidRPr="00EC2089">
              <w:rPr>
                <w:rFonts w:hint="eastAsia"/>
                <w:sz w:val="18"/>
                <w:szCs w:val="18"/>
              </w:rPr>
              <w:t>1m</w:t>
            </w:r>
            <w:r w:rsidRPr="00EC2089">
              <w:rPr>
                <w:rFonts w:hint="eastAsia"/>
                <w:sz w:val="18"/>
                <w:szCs w:val="18"/>
              </w:rPr>
              <w:t>和</w:t>
            </w:r>
            <w:r w:rsidRPr="00EC2089">
              <w:rPr>
                <w:rFonts w:hint="eastAsia"/>
                <w:sz w:val="18"/>
                <w:szCs w:val="18"/>
              </w:rPr>
              <w:t>2m</w:t>
            </w:r>
          </w:p>
        </w:tc>
        <w:tc>
          <w:tcPr>
            <w:tcW w:w="899" w:type="dxa"/>
            <w:vMerge/>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132470">
        <w:trPr>
          <w:trHeight w:val="492"/>
          <w:jc w:val="center"/>
        </w:trPr>
        <w:tc>
          <w:tcPr>
            <w:tcW w:w="427" w:type="dxa"/>
            <w:vMerge/>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现状监测因子</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sz w:val="18"/>
                <w:szCs w:val="18"/>
              </w:rPr>
              <w:t>建设用地：基本项目</w:t>
            </w:r>
            <w:r w:rsidRPr="00EC2089">
              <w:rPr>
                <w:sz w:val="18"/>
                <w:szCs w:val="18"/>
              </w:rPr>
              <w:t>45</w:t>
            </w:r>
            <w:r w:rsidRPr="00EC2089">
              <w:rPr>
                <w:sz w:val="18"/>
                <w:szCs w:val="18"/>
              </w:rPr>
              <w:t>项</w:t>
            </w:r>
            <w:r w:rsidRPr="00EC2089">
              <w:rPr>
                <w:sz w:val="18"/>
                <w:szCs w:val="18"/>
              </w:rPr>
              <w:t>+</w:t>
            </w:r>
            <w:r w:rsidRPr="00EC2089">
              <w:rPr>
                <w:sz w:val="18"/>
                <w:szCs w:val="18"/>
              </w:rPr>
              <w:t>石油烃；农用地：</w:t>
            </w:r>
            <w:r w:rsidRPr="00EC2089">
              <w:rPr>
                <w:sz w:val="18"/>
                <w:szCs w:val="18"/>
              </w:rPr>
              <w:t>pH</w:t>
            </w:r>
            <w:r w:rsidRPr="00EC2089">
              <w:rPr>
                <w:sz w:val="18"/>
                <w:szCs w:val="18"/>
              </w:rPr>
              <w:t>值、砷、镉、铬、铜、铅、汞、镍、锌共</w:t>
            </w:r>
            <w:r w:rsidRPr="00EC2089">
              <w:rPr>
                <w:sz w:val="18"/>
                <w:szCs w:val="18"/>
              </w:rPr>
              <w:t>9</w:t>
            </w:r>
            <w:r w:rsidRPr="00EC2089">
              <w:rPr>
                <w:sz w:val="18"/>
                <w:szCs w:val="18"/>
              </w:rPr>
              <w:t>项</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132470">
        <w:trPr>
          <w:trHeight w:val="492"/>
          <w:jc w:val="center"/>
        </w:trPr>
        <w:tc>
          <w:tcPr>
            <w:tcW w:w="427" w:type="dxa"/>
            <w:vMerge w:val="restart"/>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现</w:t>
            </w:r>
            <w:r w:rsidRPr="00EC2089">
              <w:rPr>
                <w:sz w:val="18"/>
                <w:szCs w:val="18"/>
              </w:rPr>
              <w:t xml:space="preserve"> </w:t>
            </w:r>
            <w:r w:rsidRPr="00EC2089">
              <w:rPr>
                <w:rFonts w:hint="eastAsia"/>
                <w:sz w:val="18"/>
                <w:szCs w:val="18"/>
              </w:rPr>
              <w:t>状</w:t>
            </w:r>
            <w:r w:rsidRPr="00EC2089">
              <w:rPr>
                <w:sz w:val="18"/>
                <w:szCs w:val="18"/>
              </w:rPr>
              <w:t xml:space="preserve"> </w:t>
            </w:r>
            <w:r w:rsidRPr="00EC2089">
              <w:rPr>
                <w:rFonts w:hint="eastAsia"/>
                <w:sz w:val="18"/>
                <w:szCs w:val="18"/>
              </w:rPr>
              <w:t>评</w:t>
            </w:r>
            <w:r w:rsidRPr="00EC2089">
              <w:rPr>
                <w:sz w:val="18"/>
                <w:szCs w:val="18"/>
              </w:rPr>
              <w:t xml:space="preserve"> </w:t>
            </w:r>
            <w:r w:rsidRPr="00EC2089">
              <w:rPr>
                <w:rFonts w:hint="eastAsia"/>
                <w:sz w:val="18"/>
                <w:szCs w:val="18"/>
              </w:rPr>
              <w:t>价</w:t>
            </w: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评价因子</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sz w:val="18"/>
                <w:szCs w:val="18"/>
              </w:rPr>
              <w:t>建设用地：基本项目</w:t>
            </w:r>
            <w:r w:rsidRPr="00EC2089">
              <w:rPr>
                <w:sz w:val="18"/>
                <w:szCs w:val="18"/>
              </w:rPr>
              <w:t>45</w:t>
            </w:r>
            <w:r w:rsidRPr="00EC2089">
              <w:rPr>
                <w:sz w:val="18"/>
                <w:szCs w:val="18"/>
              </w:rPr>
              <w:t>项</w:t>
            </w:r>
            <w:r w:rsidRPr="00EC2089">
              <w:rPr>
                <w:sz w:val="18"/>
                <w:szCs w:val="18"/>
              </w:rPr>
              <w:t>+</w:t>
            </w:r>
            <w:r w:rsidRPr="00EC2089">
              <w:rPr>
                <w:sz w:val="18"/>
                <w:szCs w:val="18"/>
              </w:rPr>
              <w:t>石油烃；农用地：</w:t>
            </w:r>
            <w:r w:rsidRPr="00EC2089">
              <w:rPr>
                <w:sz w:val="18"/>
                <w:szCs w:val="18"/>
              </w:rPr>
              <w:t>pH</w:t>
            </w:r>
            <w:r w:rsidRPr="00EC2089">
              <w:rPr>
                <w:sz w:val="18"/>
                <w:szCs w:val="18"/>
              </w:rPr>
              <w:t>值、砷、镉、铬、铜、铅、汞、镍、锌共</w:t>
            </w:r>
            <w:r w:rsidRPr="00EC2089">
              <w:rPr>
                <w:sz w:val="18"/>
                <w:szCs w:val="18"/>
              </w:rPr>
              <w:t>9</w:t>
            </w:r>
            <w:r w:rsidRPr="00EC2089">
              <w:rPr>
                <w:sz w:val="18"/>
                <w:szCs w:val="18"/>
              </w:rPr>
              <w:t>项</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7"/>
          <w:jc w:val="center"/>
        </w:trPr>
        <w:tc>
          <w:tcPr>
            <w:tcW w:w="427" w:type="dxa"/>
            <w:vMerge/>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评价标准</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sz w:val="18"/>
                <w:szCs w:val="18"/>
              </w:rPr>
              <w:t>GB 15618</w:t>
            </w:r>
            <w:r w:rsidRPr="00EC2089">
              <w:rPr>
                <w:sz w:val="18"/>
                <w:szCs w:val="18"/>
              </w:rPr>
              <w:sym w:font="Wingdings 2" w:char="0052"/>
            </w:r>
            <w:r w:rsidRPr="00EC2089">
              <w:rPr>
                <w:rFonts w:hint="eastAsia"/>
                <w:sz w:val="18"/>
                <w:szCs w:val="18"/>
              </w:rPr>
              <w:t>；</w:t>
            </w:r>
            <w:r w:rsidRPr="00EC2089">
              <w:rPr>
                <w:sz w:val="18"/>
                <w:szCs w:val="18"/>
              </w:rPr>
              <w:t>GB 36600</w:t>
            </w:r>
            <w:r w:rsidRPr="00EC2089">
              <w:rPr>
                <w:sz w:val="18"/>
                <w:szCs w:val="18"/>
              </w:rPr>
              <w:sym w:font="Wingdings 2" w:char="0052"/>
            </w:r>
            <w:r w:rsidRPr="00EC2089">
              <w:rPr>
                <w:rFonts w:hint="eastAsia"/>
                <w:sz w:val="18"/>
                <w:szCs w:val="18"/>
              </w:rPr>
              <w:t>；表</w:t>
            </w:r>
            <w:r w:rsidRPr="00EC2089">
              <w:rPr>
                <w:sz w:val="18"/>
                <w:szCs w:val="18"/>
              </w:rPr>
              <w:t xml:space="preserve"> D.1</w:t>
            </w:r>
            <w:r w:rsidRPr="00EC2089">
              <w:rPr>
                <w:rFonts w:hint="eastAsia"/>
                <w:sz w:val="18"/>
                <w:szCs w:val="18"/>
              </w:rPr>
              <w:t>□；表</w:t>
            </w:r>
            <w:r w:rsidRPr="00EC2089">
              <w:rPr>
                <w:sz w:val="18"/>
                <w:szCs w:val="18"/>
              </w:rPr>
              <w:t xml:space="preserve"> D.2</w:t>
            </w:r>
            <w:r w:rsidRPr="00EC2089">
              <w:rPr>
                <w:rFonts w:hint="eastAsia"/>
                <w:sz w:val="18"/>
                <w:szCs w:val="18"/>
              </w:rPr>
              <w:t>□；其他（</w:t>
            </w:r>
            <w:r w:rsidRPr="00EC2089">
              <w:rPr>
                <w:sz w:val="18"/>
                <w:szCs w:val="18"/>
              </w:rPr>
              <w:t xml:space="preserve">     </w:t>
            </w:r>
            <w:r w:rsidRPr="00EC2089">
              <w:rPr>
                <w:rFonts w:hint="eastAsia"/>
                <w:sz w:val="18"/>
                <w:szCs w:val="18"/>
              </w:rPr>
              <w:t>）</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132470">
        <w:trPr>
          <w:trHeight w:val="352"/>
          <w:jc w:val="center"/>
        </w:trPr>
        <w:tc>
          <w:tcPr>
            <w:tcW w:w="427" w:type="dxa"/>
            <w:vMerge/>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现状评价结论</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sz w:val="18"/>
                <w:szCs w:val="18"/>
              </w:rPr>
              <w:t>监测点监测因子均满足相应标准筛选值要求。</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7"/>
          <w:jc w:val="center"/>
        </w:trPr>
        <w:tc>
          <w:tcPr>
            <w:tcW w:w="427" w:type="dxa"/>
            <w:vMerge w:val="restart"/>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影</w:t>
            </w:r>
            <w:r w:rsidRPr="00EC2089">
              <w:rPr>
                <w:sz w:val="18"/>
                <w:szCs w:val="18"/>
              </w:rPr>
              <w:t xml:space="preserve"> </w:t>
            </w:r>
            <w:r w:rsidRPr="00EC2089">
              <w:rPr>
                <w:rFonts w:hint="eastAsia"/>
                <w:sz w:val="18"/>
                <w:szCs w:val="18"/>
              </w:rPr>
              <w:t>响</w:t>
            </w:r>
            <w:r w:rsidRPr="00EC2089">
              <w:rPr>
                <w:sz w:val="18"/>
                <w:szCs w:val="18"/>
              </w:rPr>
              <w:t xml:space="preserve"> </w:t>
            </w:r>
            <w:r w:rsidRPr="00EC2089">
              <w:rPr>
                <w:rFonts w:hint="eastAsia"/>
                <w:sz w:val="18"/>
                <w:szCs w:val="18"/>
              </w:rPr>
              <w:t>预</w:t>
            </w:r>
            <w:r w:rsidRPr="00EC2089">
              <w:rPr>
                <w:sz w:val="18"/>
                <w:szCs w:val="18"/>
              </w:rPr>
              <w:t xml:space="preserve"> </w:t>
            </w:r>
            <w:r w:rsidRPr="00EC2089">
              <w:rPr>
                <w:rFonts w:hint="eastAsia"/>
                <w:sz w:val="18"/>
                <w:szCs w:val="18"/>
              </w:rPr>
              <w:t>测</w:t>
            </w: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预测因子</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sz w:val="18"/>
                <w:szCs w:val="18"/>
              </w:rPr>
              <w:t>石油类、</w:t>
            </w:r>
            <w:r w:rsidRPr="00EC2089">
              <w:rPr>
                <w:sz w:val="18"/>
                <w:szCs w:val="18"/>
              </w:rPr>
              <w:t>NH</w:t>
            </w:r>
            <w:r w:rsidRPr="00EC2089">
              <w:rPr>
                <w:sz w:val="18"/>
                <w:szCs w:val="18"/>
                <w:vertAlign w:val="subscript"/>
              </w:rPr>
              <w:t>3</w:t>
            </w:r>
            <w:r w:rsidRPr="00EC2089">
              <w:rPr>
                <w:sz w:val="18"/>
                <w:szCs w:val="18"/>
              </w:rPr>
              <w:t>-N</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7"/>
          <w:jc w:val="center"/>
        </w:trPr>
        <w:tc>
          <w:tcPr>
            <w:tcW w:w="427" w:type="dxa"/>
            <w:vMerge/>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预测方法</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rFonts w:hint="eastAsia"/>
                <w:sz w:val="18"/>
                <w:szCs w:val="18"/>
              </w:rPr>
              <w:t>附录</w:t>
            </w:r>
            <w:r w:rsidRPr="00EC2089">
              <w:rPr>
                <w:sz w:val="18"/>
                <w:szCs w:val="18"/>
              </w:rPr>
              <w:t xml:space="preserve"> E</w:t>
            </w:r>
            <w:r w:rsidRPr="00EC2089">
              <w:rPr>
                <w:sz w:val="18"/>
                <w:szCs w:val="18"/>
              </w:rPr>
              <w:sym w:font="Wingdings 2" w:char="0052"/>
            </w:r>
            <w:r w:rsidRPr="00EC2089">
              <w:rPr>
                <w:rFonts w:hint="eastAsia"/>
                <w:sz w:val="18"/>
                <w:szCs w:val="18"/>
              </w:rPr>
              <w:t>；附录</w:t>
            </w:r>
            <w:r w:rsidRPr="00EC2089">
              <w:rPr>
                <w:sz w:val="18"/>
                <w:szCs w:val="18"/>
              </w:rPr>
              <w:t xml:space="preserve"> F</w:t>
            </w:r>
            <w:r w:rsidRPr="00EC2089">
              <w:rPr>
                <w:rFonts w:hint="eastAsia"/>
                <w:sz w:val="18"/>
                <w:szCs w:val="18"/>
              </w:rPr>
              <w:t>□；其他（</w:t>
            </w:r>
            <w:r w:rsidRPr="00EC2089">
              <w:rPr>
                <w:sz w:val="18"/>
                <w:szCs w:val="18"/>
              </w:rPr>
              <w:t xml:space="preserve">     </w:t>
            </w:r>
            <w:r w:rsidRPr="00EC2089">
              <w:rPr>
                <w:rFonts w:hint="eastAsia"/>
                <w:sz w:val="18"/>
                <w:szCs w:val="18"/>
              </w:rPr>
              <w:t>）</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639"/>
          <w:jc w:val="center"/>
        </w:trPr>
        <w:tc>
          <w:tcPr>
            <w:tcW w:w="427" w:type="dxa"/>
            <w:vMerge/>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预测分析内容</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rFonts w:hint="eastAsia"/>
                <w:sz w:val="18"/>
                <w:szCs w:val="18"/>
              </w:rPr>
              <w:t>影响范围（</w:t>
            </w:r>
            <w:r w:rsidRPr="00EC2089">
              <w:rPr>
                <w:sz w:val="18"/>
                <w:szCs w:val="18"/>
              </w:rPr>
              <w:t>污染源占地范围内的表层土壤</w:t>
            </w:r>
            <w:r w:rsidRPr="00EC2089">
              <w:rPr>
                <w:sz w:val="18"/>
                <w:szCs w:val="18"/>
              </w:rPr>
              <w:t xml:space="preserve"> </w:t>
            </w:r>
            <w:r w:rsidRPr="00EC2089">
              <w:rPr>
                <w:rFonts w:hint="eastAsia"/>
                <w:sz w:val="18"/>
                <w:szCs w:val="18"/>
              </w:rPr>
              <w:t>）</w:t>
            </w:r>
          </w:p>
          <w:p w:rsidR="00754403" w:rsidRPr="00EC2089" w:rsidRDefault="00754403" w:rsidP="006C228A">
            <w:pPr>
              <w:jc w:val="left"/>
              <w:rPr>
                <w:sz w:val="18"/>
                <w:szCs w:val="18"/>
              </w:rPr>
            </w:pPr>
            <w:r w:rsidRPr="00EC2089">
              <w:rPr>
                <w:rFonts w:hint="eastAsia"/>
                <w:sz w:val="18"/>
                <w:szCs w:val="18"/>
              </w:rPr>
              <w:t>影响程度（</w:t>
            </w:r>
            <w:r w:rsidRPr="00EC2089">
              <w:rPr>
                <w:sz w:val="18"/>
                <w:szCs w:val="18"/>
              </w:rPr>
              <w:t>影响小</w:t>
            </w:r>
            <w:r w:rsidRPr="00EC2089">
              <w:rPr>
                <w:sz w:val="18"/>
                <w:szCs w:val="18"/>
              </w:rPr>
              <w:t xml:space="preserve"> </w:t>
            </w:r>
            <w:r w:rsidRPr="00EC2089">
              <w:rPr>
                <w:rFonts w:hint="eastAsia"/>
                <w:sz w:val="18"/>
                <w:szCs w:val="18"/>
              </w:rPr>
              <w:t>）</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132470">
        <w:trPr>
          <w:trHeight w:hRule="exact" w:val="597"/>
          <w:jc w:val="center"/>
        </w:trPr>
        <w:tc>
          <w:tcPr>
            <w:tcW w:w="427" w:type="dxa"/>
            <w:vMerge/>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预测结论</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Default="00754403" w:rsidP="006C228A">
            <w:pPr>
              <w:jc w:val="left"/>
              <w:rPr>
                <w:sz w:val="18"/>
                <w:szCs w:val="18"/>
              </w:rPr>
            </w:pPr>
            <w:r w:rsidRPr="00EC2089">
              <w:rPr>
                <w:rFonts w:hint="eastAsia"/>
                <w:sz w:val="18"/>
                <w:szCs w:val="18"/>
              </w:rPr>
              <w:t>达标结论：</w:t>
            </w:r>
            <w:r w:rsidRPr="00EC2089">
              <w:rPr>
                <w:sz w:val="18"/>
                <w:szCs w:val="18"/>
              </w:rPr>
              <w:t>a</w:t>
            </w:r>
            <w:r w:rsidRPr="00EC2089">
              <w:rPr>
                <w:rFonts w:hint="eastAsia"/>
                <w:sz w:val="18"/>
                <w:szCs w:val="18"/>
              </w:rPr>
              <w:t>）</w:t>
            </w:r>
            <w:r w:rsidRPr="00EC2089">
              <w:rPr>
                <w:sz w:val="18"/>
                <w:szCs w:val="18"/>
              </w:rPr>
              <w:sym w:font="Wingdings 2" w:char="0052"/>
            </w:r>
            <w:r w:rsidRPr="00EC2089">
              <w:rPr>
                <w:rFonts w:hint="eastAsia"/>
                <w:sz w:val="18"/>
                <w:szCs w:val="18"/>
              </w:rPr>
              <w:t>；</w:t>
            </w:r>
            <w:r w:rsidRPr="00EC2089">
              <w:rPr>
                <w:sz w:val="18"/>
                <w:szCs w:val="18"/>
              </w:rPr>
              <w:t>b</w:t>
            </w:r>
            <w:r w:rsidRPr="00EC2089">
              <w:rPr>
                <w:rFonts w:hint="eastAsia"/>
                <w:sz w:val="18"/>
                <w:szCs w:val="18"/>
              </w:rPr>
              <w:t>）□；</w:t>
            </w:r>
            <w:r w:rsidRPr="00EC2089">
              <w:rPr>
                <w:sz w:val="18"/>
                <w:szCs w:val="18"/>
              </w:rPr>
              <w:t>c</w:t>
            </w:r>
            <w:r w:rsidRPr="00EC2089">
              <w:rPr>
                <w:rFonts w:hint="eastAsia"/>
                <w:sz w:val="18"/>
                <w:szCs w:val="18"/>
              </w:rPr>
              <w:t>）□</w:t>
            </w:r>
            <w:r w:rsidRPr="00EC2089">
              <w:rPr>
                <w:sz w:val="18"/>
                <w:szCs w:val="18"/>
              </w:rPr>
              <w:t xml:space="preserve"> </w:t>
            </w:r>
          </w:p>
          <w:p w:rsidR="00754403" w:rsidRPr="00EC2089" w:rsidRDefault="00754403" w:rsidP="006C228A">
            <w:pPr>
              <w:jc w:val="left"/>
              <w:rPr>
                <w:sz w:val="18"/>
                <w:szCs w:val="18"/>
              </w:rPr>
            </w:pPr>
            <w:r w:rsidRPr="00EC2089">
              <w:rPr>
                <w:rFonts w:hint="eastAsia"/>
                <w:sz w:val="18"/>
                <w:szCs w:val="18"/>
              </w:rPr>
              <w:t>不达标结论：</w:t>
            </w:r>
            <w:r w:rsidRPr="00EC2089">
              <w:rPr>
                <w:sz w:val="18"/>
                <w:szCs w:val="18"/>
              </w:rPr>
              <w:t>a</w:t>
            </w:r>
            <w:r w:rsidRPr="00EC2089">
              <w:rPr>
                <w:rFonts w:hint="eastAsia"/>
                <w:sz w:val="18"/>
                <w:szCs w:val="18"/>
              </w:rPr>
              <w:t>）□；</w:t>
            </w:r>
            <w:r w:rsidRPr="00EC2089">
              <w:rPr>
                <w:sz w:val="18"/>
                <w:szCs w:val="18"/>
              </w:rPr>
              <w:t>b</w:t>
            </w:r>
            <w:r w:rsidRPr="00EC2089">
              <w:rPr>
                <w:rFonts w:hint="eastAsia"/>
                <w:sz w:val="18"/>
                <w:szCs w:val="18"/>
              </w:rPr>
              <w:t>）□</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7"/>
          <w:jc w:val="center"/>
        </w:trPr>
        <w:tc>
          <w:tcPr>
            <w:tcW w:w="427" w:type="dxa"/>
            <w:vMerge w:val="restart"/>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防</w:t>
            </w:r>
            <w:r w:rsidRPr="00EC2089">
              <w:rPr>
                <w:sz w:val="18"/>
                <w:szCs w:val="18"/>
              </w:rPr>
              <w:t xml:space="preserve"> </w:t>
            </w:r>
            <w:r w:rsidRPr="00EC2089">
              <w:rPr>
                <w:rFonts w:hint="eastAsia"/>
                <w:sz w:val="18"/>
                <w:szCs w:val="18"/>
              </w:rPr>
              <w:t>治</w:t>
            </w:r>
            <w:r w:rsidRPr="00EC2089">
              <w:rPr>
                <w:sz w:val="18"/>
                <w:szCs w:val="18"/>
              </w:rPr>
              <w:t xml:space="preserve"> </w:t>
            </w:r>
            <w:r w:rsidRPr="00EC2089">
              <w:rPr>
                <w:rFonts w:hint="eastAsia"/>
                <w:sz w:val="18"/>
                <w:szCs w:val="18"/>
              </w:rPr>
              <w:t>措</w:t>
            </w:r>
            <w:r w:rsidRPr="00EC2089">
              <w:rPr>
                <w:sz w:val="18"/>
                <w:szCs w:val="18"/>
              </w:rPr>
              <w:t xml:space="preserve"> </w:t>
            </w:r>
            <w:r w:rsidRPr="00EC2089">
              <w:rPr>
                <w:rFonts w:hint="eastAsia"/>
                <w:sz w:val="18"/>
                <w:szCs w:val="18"/>
              </w:rPr>
              <w:t>施</w:t>
            </w:r>
          </w:p>
        </w:tc>
        <w:tc>
          <w:tcPr>
            <w:tcW w:w="1675" w:type="dxa"/>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防控措施</w:t>
            </w:r>
          </w:p>
        </w:tc>
        <w:tc>
          <w:tcPr>
            <w:tcW w:w="6607" w:type="dxa"/>
            <w:gridSpan w:val="6"/>
            <w:tcBorders>
              <w:top w:val="single" w:sz="5" w:space="0" w:color="000000"/>
              <w:left w:val="single" w:sz="5" w:space="0" w:color="000000"/>
              <w:bottom w:val="single" w:sz="5" w:space="0" w:color="000000"/>
              <w:right w:val="single" w:sz="5" w:space="0" w:color="000000"/>
            </w:tcBorders>
            <w:vAlign w:val="center"/>
          </w:tcPr>
          <w:p w:rsidR="00754403" w:rsidRPr="00EC2089" w:rsidRDefault="00754403" w:rsidP="006C228A">
            <w:pPr>
              <w:jc w:val="left"/>
              <w:rPr>
                <w:sz w:val="18"/>
                <w:szCs w:val="18"/>
              </w:rPr>
            </w:pPr>
            <w:r w:rsidRPr="00EC2089">
              <w:rPr>
                <w:rFonts w:hint="eastAsia"/>
                <w:sz w:val="18"/>
                <w:szCs w:val="18"/>
              </w:rPr>
              <w:t>土壤环境质量现状保障</w:t>
            </w:r>
            <w:r w:rsidRPr="00EC2089">
              <w:rPr>
                <w:sz w:val="18"/>
                <w:szCs w:val="18"/>
              </w:rPr>
              <w:sym w:font="Wingdings 2" w:char="0052"/>
            </w:r>
            <w:r w:rsidRPr="00EC2089">
              <w:rPr>
                <w:rFonts w:hint="eastAsia"/>
                <w:sz w:val="18"/>
                <w:szCs w:val="18"/>
              </w:rPr>
              <w:t>；源头控制</w:t>
            </w:r>
            <w:r w:rsidRPr="00EC2089">
              <w:rPr>
                <w:sz w:val="18"/>
                <w:szCs w:val="18"/>
              </w:rPr>
              <w:sym w:font="Wingdings 2" w:char="0052"/>
            </w:r>
            <w:r w:rsidRPr="00EC2089">
              <w:rPr>
                <w:rFonts w:hint="eastAsia"/>
                <w:sz w:val="18"/>
                <w:szCs w:val="18"/>
              </w:rPr>
              <w:t>；过程防控</w:t>
            </w:r>
            <w:r w:rsidRPr="00EC2089">
              <w:rPr>
                <w:sz w:val="18"/>
                <w:szCs w:val="18"/>
              </w:rPr>
              <w:sym w:font="Wingdings 2" w:char="0052"/>
            </w:r>
            <w:r w:rsidRPr="00EC2089">
              <w:rPr>
                <w:rFonts w:hint="eastAsia"/>
                <w:sz w:val="18"/>
                <w:szCs w:val="18"/>
              </w:rPr>
              <w:t>；其他（</w:t>
            </w:r>
            <w:r w:rsidRPr="00EC2089">
              <w:rPr>
                <w:sz w:val="18"/>
                <w:szCs w:val="18"/>
              </w:rPr>
              <w:t xml:space="preserve">      </w:t>
            </w:r>
            <w:r w:rsidRPr="00EC2089">
              <w:rPr>
                <w:rFonts w:hint="eastAsia"/>
                <w:sz w:val="18"/>
                <w:szCs w:val="18"/>
              </w:rPr>
              <w:t>）</w:t>
            </w:r>
          </w:p>
        </w:tc>
        <w:tc>
          <w:tcPr>
            <w:tcW w:w="899" w:type="dxa"/>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7"/>
          <w:jc w:val="center"/>
        </w:trPr>
        <w:tc>
          <w:tcPr>
            <w:tcW w:w="427" w:type="dxa"/>
            <w:vMerge/>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vMerge w:val="restart"/>
            <w:tcBorders>
              <w:top w:val="single" w:sz="5" w:space="0" w:color="000000"/>
              <w:left w:val="single" w:sz="5" w:space="0" w:color="000000"/>
              <w:bottom w:val="single" w:sz="4"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跟踪监测</w:t>
            </w:r>
          </w:p>
        </w:tc>
        <w:tc>
          <w:tcPr>
            <w:tcW w:w="1078" w:type="dxa"/>
            <w:tcBorders>
              <w:top w:val="single" w:sz="5" w:space="0" w:color="000000"/>
              <w:left w:val="single" w:sz="5" w:space="0" w:color="000000"/>
              <w:bottom w:val="single" w:sz="5" w:space="0" w:color="000000"/>
              <w:right w:val="single" w:sz="4" w:space="0" w:color="000000"/>
            </w:tcBorders>
            <w:vAlign w:val="center"/>
          </w:tcPr>
          <w:p w:rsidR="00754403" w:rsidRPr="00EC2089" w:rsidRDefault="00754403" w:rsidP="006C228A">
            <w:pPr>
              <w:jc w:val="center"/>
              <w:rPr>
                <w:sz w:val="18"/>
                <w:szCs w:val="18"/>
              </w:rPr>
            </w:pPr>
            <w:r w:rsidRPr="00EC2089">
              <w:rPr>
                <w:rFonts w:hint="eastAsia"/>
                <w:sz w:val="18"/>
                <w:szCs w:val="18"/>
              </w:rPr>
              <w:t>监测点数</w:t>
            </w:r>
          </w:p>
        </w:tc>
        <w:tc>
          <w:tcPr>
            <w:tcW w:w="3504" w:type="dxa"/>
            <w:gridSpan w:val="4"/>
            <w:tcBorders>
              <w:top w:val="single" w:sz="5" w:space="0" w:color="000000"/>
              <w:left w:val="single" w:sz="4" w:space="0" w:color="000000"/>
              <w:bottom w:val="single" w:sz="5" w:space="0" w:color="000000"/>
              <w:right w:val="single" w:sz="4" w:space="0" w:color="000000"/>
            </w:tcBorders>
            <w:vAlign w:val="center"/>
          </w:tcPr>
          <w:p w:rsidR="00754403" w:rsidRPr="00EC2089" w:rsidRDefault="00754403" w:rsidP="006C228A">
            <w:pPr>
              <w:jc w:val="center"/>
              <w:rPr>
                <w:sz w:val="18"/>
                <w:szCs w:val="18"/>
              </w:rPr>
            </w:pPr>
            <w:r w:rsidRPr="00EC2089">
              <w:rPr>
                <w:rFonts w:hint="eastAsia"/>
                <w:sz w:val="18"/>
                <w:szCs w:val="18"/>
              </w:rPr>
              <w:t>监测指标</w:t>
            </w:r>
          </w:p>
        </w:tc>
        <w:tc>
          <w:tcPr>
            <w:tcW w:w="2025" w:type="dxa"/>
            <w:tcBorders>
              <w:top w:val="single" w:sz="5" w:space="0" w:color="000000"/>
              <w:left w:val="single" w:sz="4"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监测频次</w:t>
            </w:r>
          </w:p>
        </w:tc>
        <w:tc>
          <w:tcPr>
            <w:tcW w:w="899" w:type="dxa"/>
            <w:vMerge w:val="restart"/>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132470">
        <w:trPr>
          <w:trHeight w:hRule="exact" w:val="856"/>
          <w:jc w:val="center"/>
        </w:trPr>
        <w:tc>
          <w:tcPr>
            <w:tcW w:w="427" w:type="dxa"/>
            <w:vMerge/>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vMerge/>
            <w:tcBorders>
              <w:top w:val="single" w:sz="5" w:space="0" w:color="000000"/>
              <w:left w:val="single" w:sz="5" w:space="0" w:color="000000"/>
              <w:bottom w:val="single" w:sz="4" w:space="0" w:color="000000"/>
              <w:right w:val="single" w:sz="5" w:space="0" w:color="000000"/>
            </w:tcBorders>
            <w:vAlign w:val="center"/>
          </w:tcPr>
          <w:p w:rsidR="00754403" w:rsidRPr="00EC2089" w:rsidRDefault="00754403" w:rsidP="006C228A">
            <w:pPr>
              <w:jc w:val="center"/>
              <w:rPr>
                <w:sz w:val="18"/>
                <w:szCs w:val="18"/>
              </w:rPr>
            </w:pPr>
          </w:p>
        </w:tc>
        <w:tc>
          <w:tcPr>
            <w:tcW w:w="1078" w:type="dxa"/>
            <w:tcBorders>
              <w:top w:val="single" w:sz="5" w:space="0" w:color="000000"/>
              <w:left w:val="single" w:sz="5" w:space="0" w:color="000000"/>
              <w:bottom w:val="single" w:sz="4" w:space="0" w:color="000000"/>
              <w:right w:val="single" w:sz="4" w:space="0" w:color="000000"/>
            </w:tcBorders>
            <w:vAlign w:val="center"/>
          </w:tcPr>
          <w:p w:rsidR="00754403" w:rsidRPr="00EC2089" w:rsidRDefault="00754403" w:rsidP="006C228A">
            <w:pPr>
              <w:jc w:val="center"/>
              <w:rPr>
                <w:sz w:val="18"/>
                <w:szCs w:val="18"/>
              </w:rPr>
            </w:pPr>
            <w:r>
              <w:rPr>
                <w:rFonts w:hint="eastAsia"/>
                <w:sz w:val="18"/>
                <w:szCs w:val="18"/>
              </w:rPr>
              <w:t>2</w:t>
            </w:r>
          </w:p>
        </w:tc>
        <w:tc>
          <w:tcPr>
            <w:tcW w:w="3504" w:type="dxa"/>
            <w:gridSpan w:val="4"/>
            <w:tcBorders>
              <w:top w:val="single" w:sz="5" w:space="0" w:color="000000"/>
              <w:left w:val="single" w:sz="4" w:space="0" w:color="000000"/>
              <w:bottom w:val="single" w:sz="4" w:space="0" w:color="000000"/>
              <w:right w:val="single" w:sz="4" w:space="0" w:color="000000"/>
            </w:tcBorders>
            <w:vAlign w:val="center"/>
          </w:tcPr>
          <w:p w:rsidR="00754403" w:rsidRPr="00EC2089" w:rsidRDefault="00754403" w:rsidP="006C228A">
            <w:pPr>
              <w:jc w:val="center"/>
              <w:rPr>
                <w:sz w:val="18"/>
                <w:szCs w:val="18"/>
              </w:rPr>
            </w:pPr>
            <w:r w:rsidRPr="00EC2089">
              <w:rPr>
                <w:sz w:val="18"/>
                <w:szCs w:val="18"/>
              </w:rPr>
              <w:t>建设用地：砷、镉、六价铬、铜、铅、汞、镍、石油烃共</w:t>
            </w:r>
            <w:r w:rsidRPr="00EC2089">
              <w:rPr>
                <w:sz w:val="18"/>
                <w:szCs w:val="18"/>
              </w:rPr>
              <w:t>8</w:t>
            </w:r>
            <w:r w:rsidRPr="00EC2089">
              <w:rPr>
                <w:sz w:val="18"/>
                <w:szCs w:val="18"/>
              </w:rPr>
              <w:t>项目；农用地：</w:t>
            </w:r>
            <w:r w:rsidRPr="00EC2089">
              <w:rPr>
                <w:sz w:val="18"/>
                <w:szCs w:val="18"/>
              </w:rPr>
              <w:t>pH</w:t>
            </w:r>
            <w:r w:rsidRPr="00EC2089">
              <w:rPr>
                <w:sz w:val="18"/>
                <w:szCs w:val="18"/>
              </w:rPr>
              <w:t>值、砷、镉、铬、铜、铅、汞、镍、锌共</w:t>
            </w:r>
            <w:r w:rsidRPr="00EC2089">
              <w:rPr>
                <w:sz w:val="18"/>
                <w:szCs w:val="18"/>
              </w:rPr>
              <w:t>9</w:t>
            </w:r>
            <w:r w:rsidRPr="00EC2089">
              <w:rPr>
                <w:sz w:val="18"/>
                <w:szCs w:val="18"/>
              </w:rPr>
              <w:t>项</w:t>
            </w:r>
          </w:p>
        </w:tc>
        <w:tc>
          <w:tcPr>
            <w:tcW w:w="2025" w:type="dxa"/>
            <w:tcBorders>
              <w:top w:val="single" w:sz="5" w:space="0" w:color="000000"/>
              <w:left w:val="single" w:sz="4" w:space="0" w:color="000000"/>
              <w:bottom w:val="single" w:sz="4" w:space="0" w:color="000000"/>
              <w:right w:val="single" w:sz="5" w:space="0" w:color="000000"/>
            </w:tcBorders>
            <w:vAlign w:val="center"/>
          </w:tcPr>
          <w:p w:rsidR="00754403" w:rsidRPr="00EC2089" w:rsidRDefault="00754403" w:rsidP="006C228A">
            <w:pPr>
              <w:jc w:val="center"/>
              <w:rPr>
                <w:sz w:val="18"/>
                <w:szCs w:val="18"/>
              </w:rPr>
            </w:pPr>
            <w:r w:rsidRPr="00EC2089">
              <w:rPr>
                <w:sz w:val="18"/>
                <w:szCs w:val="18"/>
              </w:rPr>
              <w:t>1</w:t>
            </w:r>
            <w:r w:rsidRPr="00EC2089">
              <w:rPr>
                <w:sz w:val="18"/>
                <w:szCs w:val="18"/>
              </w:rPr>
              <w:t>次</w:t>
            </w:r>
            <w:r w:rsidRPr="00EC2089">
              <w:rPr>
                <w:sz w:val="18"/>
                <w:szCs w:val="18"/>
              </w:rPr>
              <w:t>/5</w:t>
            </w:r>
            <w:r w:rsidRPr="00EC2089">
              <w:rPr>
                <w:sz w:val="18"/>
                <w:szCs w:val="18"/>
              </w:rPr>
              <w:t>年</w:t>
            </w:r>
          </w:p>
        </w:tc>
        <w:tc>
          <w:tcPr>
            <w:tcW w:w="899" w:type="dxa"/>
            <w:vMerge/>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38"/>
          <w:jc w:val="center"/>
        </w:trPr>
        <w:tc>
          <w:tcPr>
            <w:tcW w:w="427" w:type="dxa"/>
            <w:vMerge/>
            <w:tcBorders>
              <w:top w:val="single" w:sz="5" w:space="0" w:color="000000"/>
              <w:left w:val="single" w:sz="12" w:space="0" w:color="000000"/>
              <w:bottom w:val="single" w:sz="5" w:space="0" w:color="000000"/>
              <w:right w:val="single" w:sz="5" w:space="0" w:color="000000"/>
            </w:tcBorders>
            <w:vAlign w:val="center"/>
          </w:tcPr>
          <w:p w:rsidR="00754403" w:rsidRPr="00EC2089" w:rsidRDefault="00754403" w:rsidP="006C228A">
            <w:pPr>
              <w:jc w:val="center"/>
              <w:rPr>
                <w:sz w:val="18"/>
                <w:szCs w:val="18"/>
              </w:rPr>
            </w:pPr>
          </w:p>
        </w:tc>
        <w:tc>
          <w:tcPr>
            <w:tcW w:w="1675" w:type="dxa"/>
            <w:tcBorders>
              <w:top w:val="single" w:sz="4"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信息公开指标</w:t>
            </w:r>
          </w:p>
        </w:tc>
        <w:tc>
          <w:tcPr>
            <w:tcW w:w="6607" w:type="dxa"/>
            <w:gridSpan w:val="6"/>
            <w:tcBorders>
              <w:top w:val="single" w:sz="4" w:space="0" w:color="000000"/>
              <w:left w:val="single" w:sz="5" w:space="0" w:color="000000"/>
              <w:bottom w:val="single" w:sz="5" w:space="0" w:color="000000"/>
              <w:right w:val="single" w:sz="5" w:space="0" w:color="000000"/>
            </w:tcBorders>
            <w:vAlign w:val="center"/>
          </w:tcPr>
          <w:p w:rsidR="00754403" w:rsidRPr="00EC2089" w:rsidRDefault="00754403" w:rsidP="006C228A">
            <w:pPr>
              <w:jc w:val="center"/>
              <w:rPr>
                <w:sz w:val="18"/>
                <w:szCs w:val="18"/>
              </w:rPr>
            </w:pPr>
            <w:r w:rsidRPr="00EC2089">
              <w:rPr>
                <w:sz w:val="18"/>
                <w:szCs w:val="18"/>
              </w:rPr>
              <w:t>跟踪监测的全部指标</w:t>
            </w:r>
          </w:p>
        </w:tc>
        <w:tc>
          <w:tcPr>
            <w:tcW w:w="899" w:type="dxa"/>
            <w:vMerge/>
            <w:tcBorders>
              <w:top w:val="single" w:sz="5" w:space="0" w:color="000000"/>
              <w:left w:val="single" w:sz="5" w:space="0" w:color="000000"/>
              <w:bottom w:val="single" w:sz="5"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329"/>
          <w:jc w:val="center"/>
        </w:trPr>
        <w:tc>
          <w:tcPr>
            <w:tcW w:w="2102" w:type="dxa"/>
            <w:gridSpan w:val="2"/>
            <w:tcBorders>
              <w:top w:val="single" w:sz="5" w:space="0" w:color="000000"/>
              <w:left w:val="single" w:sz="12" w:space="0" w:color="000000"/>
              <w:bottom w:val="single" w:sz="7" w:space="0" w:color="000000"/>
              <w:right w:val="single" w:sz="5" w:space="0" w:color="000000"/>
            </w:tcBorders>
            <w:vAlign w:val="center"/>
          </w:tcPr>
          <w:p w:rsidR="00754403" w:rsidRPr="00EC2089" w:rsidRDefault="00754403" w:rsidP="006C228A">
            <w:pPr>
              <w:jc w:val="center"/>
              <w:rPr>
                <w:sz w:val="18"/>
                <w:szCs w:val="18"/>
              </w:rPr>
            </w:pPr>
            <w:r w:rsidRPr="00EC2089">
              <w:rPr>
                <w:rFonts w:hint="eastAsia"/>
                <w:sz w:val="18"/>
                <w:szCs w:val="18"/>
              </w:rPr>
              <w:t>评价结论</w:t>
            </w:r>
          </w:p>
        </w:tc>
        <w:tc>
          <w:tcPr>
            <w:tcW w:w="6607" w:type="dxa"/>
            <w:gridSpan w:val="6"/>
            <w:tcBorders>
              <w:top w:val="single" w:sz="5" w:space="0" w:color="000000"/>
              <w:left w:val="single" w:sz="5" w:space="0" w:color="000000"/>
              <w:bottom w:val="single" w:sz="7" w:space="0" w:color="000000"/>
              <w:right w:val="single" w:sz="5" w:space="0" w:color="000000"/>
            </w:tcBorders>
            <w:vAlign w:val="center"/>
          </w:tcPr>
          <w:p w:rsidR="00754403" w:rsidRPr="00EC2089" w:rsidRDefault="00754403" w:rsidP="006C228A">
            <w:pPr>
              <w:jc w:val="center"/>
              <w:rPr>
                <w:sz w:val="18"/>
                <w:szCs w:val="18"/>
              </w:rPr>
            </w:pPr>
            <w:r w:rsidRPr="00EC2089">
              <w:rPr>
                <w:sz w:val="18"/>
                <w:szCs w:val="18"/>
              </w:rPr>
              <w:t>建设项目土壤环境影响可以接受</w:t>
            </w:r>
          </w:p>
        </w:tc>
        <w:tc>
          <w:tcPr>
            <w:tcW w:w="899" w:type="dxa"/>
            <w:tcBorders>
              <w:top w:val="single" w:sz="5" w:space="0" w:color="000000"/>
              <w:left w:val="single" w:sz="5" w:space="0" w:color="000000"/>
              <w:bottom w:val="single" w:sz="7" w:space="0" w:color="000000"/>
              <w:right w:val="single" w:sz="12" w:space="0" w:color="000000"/>
            </w:tcBorders>
            <w:vAlign w:val="center"/>
          </w:tcPr>
          <w:p w:rsidR="00754403" w:rsidRPr="00EC2089" w:rsidRDefault="00754403" w:rsidP="006C228A">
            <w:pPr>
              <w:jc w:val="center"/>
              <w:rPr>
                <w:sz w:val="18"/>
                <w:szCs w:val="18"/>
              </w:rPr>
            </w:pPr>
          </w:p>
        </w:tc>
      </w:tr>
      <w:tr w:rsidR="00754403" w:rsidRPr="00EC2089" w:rsidTr="00754403">
        <w:trPr>
          <w:trHeight w:hRule="exact" w:val="644"/>
          <w:jc w:val="center"/>
        </w:trPr>
        <w:tc>
          <w:tcPr>
            <w:tcW w:w="9608" w:type="dxa"/>
            <w:gridSpan w:val="9"/>
            <w:tcBorders>
              <w:top w:val="single" w:sz="7" w:space="0" w:color="000000"/>
              <w:left w:val="single" w:sz="12" w:space="0" w:color="000000"/>
              <w:bottom w:val="single" w:sz="12" w:space="0" w:color="000000"/>
              <w:right w:val="single" w:sz="12" w:space="0" w:color="000000"/>
            </w:tcBorders>
            <w:vAlign w:val="center"/>
          </w:tcPr>
          <w:p w:rsidR="00754403" w:rsidRPr="00EC2089" w:rsidRDefault="00754403" w:rsidP="006C228A">
            <w:pPr>
              <w:jc w:val="center"/>
              <w:rPr>
                <w:sz w:val="18"/>
                <w:szCs w:val="18"/>
              </w:rPr>
            </w:pPr>
            <w:r w:rsidRPr="00EC2089">
              <w:rPr>
                <w:rFonts w:hint="eastAsia"/>
                <w:sz w:val="18"/>
                <w:szCs w:val="18"/>
              </w:rPr>
              <w:t>注</w:t>
            </w:r>
            <w:r w:rsidRPr="00EC2089">
              <w:rPr>
                <w:sz w:val="18"/>
                <w:szCs w:val="18"/>
              </w:rPr>
              <w:t xml:space="preserve"> 1</w:t>
            </w:r>
            <w:r w:rsidRPr="00EC2089">
              <w:rPr>
                <w:rFonts w:hint="eastAsia"/>
                <w:sz w:val="18"/>
                <w:szCs w:val="18"/>
              </w:rPr>
              <w:t>：“□”为勾选项，可√；“（</w:t>
            </w:r>
            <w:r w:rsidRPr="00EC2089">
              <w:rPr>
                <w:sz w:val="18"/>
                <w:szCs w:val="18"/>
              </w:rPr>
              <w:t xml:space="preserve"> </w:t>
            </w:r>
            <w:r w:rsidRPr="00EC2089">
              <w:rPr>
                <w:rFonts w:hint="eastAsia"/>
                <w:sz w:val="18"/>
                <w:szCs w:val="18"/>
              </w:rPr>
              <w:t>）”为内容填写项；“备注”为其他补充内容。</w:t>
            </w:r>
            <w:r w:rsidRPr="00EC2089">
              <w:rPr>
                <w:sz w:val="18"/>
                <w:szCs w:val="18"/>
              </w:rPr>
              <w:t xml:space="preserve"> </w:t>
            </w:r>
            <w:r w:rsidRPr="00EC2089">
              <w:rPr>
                <w:rFonts w:hint="eastAsia"/>
                <w:sz w:val="18"/>
                <w:szCs w:val="18"/>
              </w:rPr>
              <w:t>注</w:t>
            </w:r>
            <w:r w:rsidRPr="00EC2089">
              <w:rPr>
                <w:sz w:val="18"/>
                <w:szCs w:val="18"/>
              </w:rPr>
              <w:t xml:space="preserve"> 2</w:t>
            </w:r>
            <w:r w:rsidRPr="00EC2089">
              <w:rPr>
                <w:rFonts w:hint="eastAsia"/>
                <w:sz w:val="18"/>
                <w:szCs w:val="18"/>
              </w:rPr>
              <w:t>：需要分别开展土壤环境影响评级工作的，分别填写自查表。</w:t>
            </w:r>
          </w:p>
        </w:tc>
      </w:tr>
    </w:tbl>
    <w:p w:rsidR="00754403" w:rsidRPr="00CC079C" w:rsidRDefault="00754403">
      <w:pPr>
        <w:snapToGrid w:val="0"/>
        <w:spacing w:line="360" w:lineRule="auto"/>
        <w:ind w:firstLine="482"/>
        <w:rPr>
          <w:bCs/>
          <w:sz w:val="24"/>
        </w:rPr>
      </w:pPr>
    </w:p>
    <w:p w:rsidR="00C223F5" w:rsidRPr="00CC079C" w:rsidRDefault="005860D5" w:rsidP="004835BD">
      <w:pPr>
        <w:pStyle w:val="3"/>
        <w:numPr>
          <w:ilvl w:val="0"/>
          <w:numId w:val="0"/>
        </w:numPr>
        <w:spacing w:before="0" w:after="0" w:line="360" w:lineRule="auto"/>
        <w:ind w:left="170"/>
        <w:rPr>
          <w:rFonts w:eastAsia="宋体"/>
          <w:b/>
          <w:bCs w:val="0"/>
          <w:sz w:val="28"/>
          <w:szCs w:val="28"/>
        </w:rPr>
      </w:pPr>
      <w:bookmarkStart w:id="418" w:name="_Toc493246113"/>
      <w:bookmarkStart w:id="419" w:name="_Toc533604756"/>
      <w:bookmarkStart w:id="420" w:name="_Toc533604336"/>
      <w:bookmarkStart w:id="421" w:name="_Toc16785302"/>
      <w:r w:rsidRPr="00CC079C">
        <w:rPr>
          <w:rFonts w:eastAsia="宋体"/>
          <w:b/>
          <w:bCs w:val="0"/>
          <w:sz w:val="28"/>
          <w:szCs w:val="28"/>
        </w:rPr>
        <w:lastRenderedPageBreak/>
        <w:t>4.2.8</w:t>
      </w:r>
      <w:r w:rsidRPr="00CC079C">
        <w:rPr>
          <w:rFonts w:eastAsia="宋体"/>
          <w:b/>
          <w:bCs w:val="0"/>
          <w:sz w:val="28"/>
          <w:szCs w:val="28"/>
        </w:rPr>
        <w:t>环境风险分析</w:t>
      </w:r>
      <w:bookmarkEnd w:id="418"/>
      <w:bookmarkEnd w:id="419"/>
      <w:bookmarkEnd w:id="420"/>
      <w:bookmarkEnd w:id="421"/>
    </w:p>
    <w:p w:rsidR="00C223F5" w:rsidRPr="00CC079C" w:rsidRDefault="005860D5" w:rsidP="004835BD">
      <w:pPr>
        <w:pStyle w:val="4"/>
        <w:spacing w:before="0" w:after="0" w:line="360" w:lineRule="auto"/>
        <w:ind w:firstLineChars="100" w:firstLine="240"/>
        <w:rPr>
          <w:szCs w:val="24"/>
        </w:rPr>
      </w:pPr>
      <w:bookmarkStart w:id="422" w:name="_Toc324490371"/>
      <w:bookmarkStart w:id="423" w:name="_Toc324489232"/>
      <w:r w:rsidRPr="00CC079C">
        <w:rPr>
          <w:szCs w:val="24"/>
        </w:rPr>
        <w:t>4.2.8.1</w:t>
      </w:r>
      <w:r w:rsidRPr="00CC079C">
        <w:rPr>
          <w:szCs w:val="24"/>
        </w:rPr>
        <w:t>评价依据</w:t>
      </w:r>
    </w:p>
    <w:p w:rsidR="00C223F5" w:rsidRPr="00CC079C" w:rsidRDefault="005860D5">
      <w:pPr>
        <w:tabs>
          <w:tab w:val="left" w:pos="2552"/>
          <w:tab w:val="left" w:pos="5387"/>
        </w:tabs>
        <w:spacing w:line="360" w:lineRule="auto"/>
        <w:ind w:firstLineChars="200" w:firstLine="482"/>
        <w:rPr>
          <w:b/>
          <w:sz w:val="24"/>
        </w:rPr>
      </w:pPr>
      <w:r w:rsidRPr="00CC079C">
        <w:rPr>
          <w:b/>
          <w:sz w:val="24"/>
        </w:rPr>
        <w:t>（</w:t>
      </w:r>
      <w:r w:rsidRPr="00CC079C">
        <w:rPr>
          <w:b/>
          <w:sz w:val="24"/>
        </w:rPr>
        <w:t>1</w:t>
      </w:r>
      <w:r w:rsidRPr="00CC079C">
        <w:rPr>
          <w:b/>
          <w:sz w:val="24"/>
        </w:rPr>
        <w:t>）风险调查</w:t>
      </w:r>
    </w:p>
    <w:p w:rsidR="00C223F5" w:rsidRPr="00CC079C" w:rsidRDefault="005860D5">
      <w:pPr>
        <w:tabs>
          <w:tab w:val="left" w:pos="2552"/>
          <w:tab w:val="left" w:pos="5387"/>
        </w:tabs>
        <w:spacing w:line="360" w:lineRule="auto"/>
        <w:ind w:firstLineChars="200" w:firstLine="480"/>
        <w:rPr>
          <w:sz w:val="24"/>
        </w:rPr>
      </w:pPr>
      <w:r w:rsidRPr="00CC079C">
        <w:rPr>
          <w:sz w:val="24"/>
        </w:rPr>
        <w:t>根据《环境影响评价技术导则</w:t>
      </w:r>
      <w:r w:rsidRPr="00CC079C">
        <w:rPr>
          <w:sz w:val="24"/>
        </w:rPr>
        <w:t xml:space="preserve"> </w:t>
      </w:r>
      <w:r w:rsidRPr="00CC079C">
        <w:rPr>
          <w:sz w:val="24"/>
        </w:rPr>
        <w:t>煤炭采选工程》（</w:t>
      </w:r>
      <w:r w:rsidRPr="00CC079C">
        <w:rPr>
          <w:sz w:val="24"/>
        </w:rPr>
        <w:t>HJ619-2011</w:t>
      </w:r>
      <w:r w:rsidRPr="00CC079C">
        <w:rPr>
          <w:sz w:val="24"/>
        </w:rPr>
        <w:t>）及项目的特点，本项目的环境风险主要是工业场地内</w:t>
      </w:r>
      <w:r w:rsidRPr="002D6866">
        <w:rPr>
          <w:color w:val="FF0000"/>
          <w:sz w:val="24"/>
        </w:rPr>
        <w:t>油脂库</w:t>
      </w:r>
      <w:r w:rsidR="004507C0">
        <w:rPr>
          <w:rFonts w:hint="eastAsia"/>
          <w:color w:val="FF0000"/>
          <w:sz w:val="24"/>
        </w:rPr>
        <w:t>（危废暂存间）</w:t>
      </w:r>
      <w:r w:rsidRPr="002D6866">
        <w:rPr>
          <w:color w:val="FF0000"/>
          <w:sz w:val="24"/>
        </w:rPr>
        <w:t>泄漏风险，本</w:t>
      </w:r>
      <w:r w:rsidRPr="00CC079C">
        <w:rPr>
          <w:sz w:val="24"/>
        </w:rPr>
        <w:t>次环境风险评价主要针对其对周围敏感点可能造成的环境风险进行分析评价。</w:t>
      </w:r>
    </w:p>
    <w:p w:rsidR="00C223F5" w:rsidRPr="008C3E03" w:rsidRDefault="005860D5">
      <w:pPr>
        <w:pStyle w:val="hb1"/>
        <w:ind w:firstLine="480"/>
        <w:rPr>
          <w:rFonts w:cs="Times New Roman"/>
          <w:color w:val="FF0000"/>
        </w:rPr>
      </w:pPr>
      <w:r w:rsidRPr="008C3E03">
        <w:rPr>
          <w:rFonts w:cs="Times New Roman"/>
          <w:color w:val="FF0000"/>
        </w:rPr>
        <w:t>本项目设置油脂库一座，按最大储存量为</w:t>
      </w:r>
      <w:r w:rsidRPr="008C3E03">
        <w:rPr>
          <w:rFonts w:cs="Times New Roman"/>
          <w:color w:val="FF0000"/>
        </w:rPr>
        <w:t>3t</w:t>
      </w:r>
      <w:r w:rsidR="008C3E03" w:rsidRPr="008C3E03">
        <w:rPr>
          <w:rFonts w:cs="Times New Roman" w:hint="eastAsia"/>
          <w:color w:val="FF0000"/>
        </w:rPr>
        <w:t>；项目危废暂存间</w:t>
      </w:r>
      <w:r w:rsidR="004507C0">
        <w:rPr>
          <w:rFonts w:cs="Times New Roman" w:hint="eastAsia"/>
          <w:color w:val="FF0000"/>
        </w:rPr>
        <w:t>与</w:t>
      </w:r>
      <w:r w:rsidR="008C3E03" w:rsidRPr="008C3E03">
        <w:rPr>
          <w:rFonts w:cs="Times New Roman" w:hint="eastAsia"/>
          <w:color w:val="FF0000"/>
        </w:rPr>
        <w:t>油脂库</w:t>
      </w:r>
      <w:r w:rsidR="004507C0">
        <w:rPr>
          <w:rFonts w:cs="Times New Roman" w:hint="eastAsia"/>
          <w:color w:val="FF0000"/>
        </w:rPr>
        <w:t>共建</w:t>
      </w:r>
      <w:r w:rsidR="008C3E03" w:rsidRPr="008C3E03">
        <w:rPr>
          <w:rFonts w:cs="Times New Roman" w:hint="eastAsia"/>
          <w:color w:val="FF0000"/>
        </w:rPr>
        <w:t>，</w:t>
      </w:r>
      <w:r w:rsidR="004507C0">
        <w:rPr>
          <w:rFonts w:cs="Times New Roman" w:hint="eastAsia"/>
          <w:color w:val="FF0000"/>
        </w:rPr>
        <w:t>墙体分隔、分区存放，</w:t>
      </w:r>
      <w:r w:rsidR="008C3E03" w:rsidRPr="008C3E03">
        <w:rPr>
          <w:rFonts w:cs="Times New Roman" w:hint="eastAsia"/>
          <w:color w:val="FF0000"/>
        </w:rPr>
        <w:t>废机油等存量</w:t>
      </w:r>
      <w:r w:rsidR="008C3E03" w:rsidRPr="008C3E03">
        <w:rPr>
          <w:rFonts w:cs="Times New Roman" w:hint="eastAsia"/>
          <w:color w:val="FF0000"/>
        </w:rPr>
        <w:t>0.3t/a</w:t>
      </w:r>
      <w:r w:rsidR="008C3E03" w:rsidRPr="008C3E03">
        <w:rPr>
          <w:rFonts w:cs="Times New Roman" w:hint="eastAsia"/>
          <w:color w:val="FF0000"/>
        </w:rPr>
        <w:t>，</w:t>
      </w:r>
      <w:r w:rsidRPr="008C3E03">
        <w:rPr>
          <w:rFonts w:cs="Times New Roman"/>
          <w:color w:val="FF0000"/>
        </w:rPr>
        <w:t>存在泄漏的风险。</w:t>
      </w:r>
    </w:p>
    <w:p w:rsidR="00C223F5" w:rsidRPr="00CC079C" w:rsidRDefault="005860D5">
      <w:pPr>
        <w:tabs>
          <w:tab w:val="left" w:pos="2552"/>
          <w:tab w:val="left" w:pos="5387"/>
        </w:tabs>
        <w:spacing w:line="360" w:lineRule="auto"/>
        <w:ind w:firstLineChars="200" w:firstLine="482"/>
        <w:rPr>
          <w:b/>
          <w:sz w:val="24"/>
        </w:rPr>
      </w:pPr>
      <w:r w:rsidRPr="00CC079C">
        <w:rPr>
          <w:b/>
          <w:sz w:val="24"/>
        </w:rPr>
        <w:t>（</w:t>
      </w:r>
      <w:r w:rsidRPr="00CC079C">
        <w:rPr>
          <w:b/>
          <w:sz w:val="24"/>
        </w:rPr>
        <w:t>2</w:t>
      </w:r>
      <w:r w:rsidRPr="00CC079C">
        <w:rPr>
          <w:b/>
          <w:sz w:val="24"/>
        </w:rPr>
        <w:t>）风险潜势初判</w:t>
      </w:r>
    </w:p>
    <w:p w:rsidR="00C223F5" w:rsidRPr="00CC079C" w:rsidRDefault="005860D5">
      <w:pPr>
        <w:pStyle w:val="af1"/>
        <w:spacing w:line="360" w:lineRule="auto"/>
        <w:ind w:firstLine="482"/>
        <w:rPr>
          <w:sz w:val="24"/>
        </w:rPr>
      </w:pPr>
      <w:r w:rsidRPr="00CC079C">
        <w:rPr>
          <w:sz w:val="24"/>
        </w:rPr>
        <w:t>1</w:t>
      </w:r>
      <w:r w:rsidRPr="00CC079C">
        <w:rPr>
          <w:sz w:val="24"/>
        </w:rPr>
        <w:t>）环境风险潜势划分</w:t>
      </w:r>
    </w:p>
    <w:p w:rsidR="00C223F5" w:rsidRPr="00CC079C" w:rsidRDefault="005860D5">
      <w:pPr>
        <w:pStyle w:val="af1"/>
        <w:spacing w:line="360" w:lineRule="auto"/>
        <w:ind w:firstLine="482"/>
        <w:rPr>
          <w:sz w:val="24"/>
        </w:rPr>
      </w:pPr>
      <w:r w:rsidRPr="00CC079C">
        <w:rPr>
          <w:sz w:val="24"/>
        </w:rPr>
        <w:t>建设项目环境风险潜势分析按表</w:t>
      </w:r>
      <w:r w:rsidRPr="00CC079C">
        <w:rPr>
          <w:sz w:val="24"/>
        </w:rPr>
        <w:t>4.2.8-1</w:t>
      </w:r>
      <w:r w:rsidRPr="00CC079C">
        <w:rPr>
          <w:sz w:val="24"/>
        </w:rPr>
        <w:t>确定。</w:t>
      </w:r>
    </w:p>
    <w:p w:rsidR="00C223F5" w:rsidRPr="00CC079C" w:rsidRDefault="005860D5">
      <w:pPr>
        <w:pStyle w:val="af1"/>
        <w:ind w:firstLine="482"/>
        <w:jc w:val="center"/>
        <w:rPr>
          <w:b/>
          <w:sz w:val="24"/>
        </w:rPr>
      </w:pPr>
      <w:r w:rsidRPr="00CC079C">
        <w:rPr>
          <w:b/>
          <w:sz w:val="24"/>
        </w:rPr>
        <w:t>表</w:t>
      </w:r>
      <w:r w:rsidRPr="00CC079C">
        <w:rPr>
          <w:b/>
          <w:sz w:val="24"/>
        </w:rPr>
        <w:t xml:space="preserve">4.2.8-1 </w:t>
      </w:r>
      <w:r w:rsidRPr="00CC079C">
        <w:rPr>
          <w:b/>
          <w:sz w:val="24"/>
        </w:rPr>
        <w:t>建设项目环境风险潜势划分</w:t>
      </w:r>
    </w:p>
    <w:tbl>
      <w:tblPr>
        <w:tblW w:w="89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7"/>
        <w:gridCol w:w="1706"/>
        <w:gridCol w:w="1706"/>
        <w:gridCol w:w="1706"/>
        <w:gridCol w:w="1706"/>
      </w:tblGrid>
      <w:tr w:rsidR="00C223F5" w:rsidRPr="00CC079C">
        <w:tc>
          <w:tcPr>
            <w:tcW w:w="2117" w:type="dxa"/>
            <w:vMerge w:val="restart"/>
            <w:vAlign w:val="center"/>
          </w:tcPr>
          <w:p w:rsidR="00C223F5" w:rsidRPr="00CC079C" w:rsidRDefault="005860D5" w:rsidP="00BF48DC">
            <w:pPr>
              <w:jc w:val="center"/>
              <w:rPr>
                <w:szCs w:val="21"/>
              </w:rPr>
            </w:pPr>
            <w:r w:rsidRPr="00CC079C">
              <w:rPr>
                <w:szCs w:val="21"/>
              </w:rPr>
              <w:t>环境敏感程度（</w:t>
            </w:r>
            <w:r w:rsidRPr="00CC079C">
              <w:rPr>
                <w:szCs w:val="21"/>
              </w:rPr>
              <w:t>E</w:t>
            </w:r>
            <w:r w:rsidRPr="00CC079C">
              <w:rPr>
                <w:szCs w:val="21"/>
              </w:rPr>
              <w:t>）</w:t>
            </w:r>
          </w:p>
        </w:tc>
        <w:tc>
          <w:tcPr>
            <w:tcW w:w="6824" w:type="dxa"/>
            <w:gridSpan w:val="4"/>
            <w:vAlign w:val="center"/>
          </w:tcPr>
          <w:p w:rsidR="00C223F5" w:rsidRPr="00CC079C" w:rsidRDefault="005860D5" w:rsidP="00BF48DC">
            <w:pPr>
              <w:jc w:val="center"/>
              <w:rPr>
                <w:szCs w:val="21"/>
              </w:rPr>
            </w:pPr>
            <w:r w:rsidRPr="00CC079C">
              <w:rPr>
                <w:szCs w:val="21"/>
              </w:rPr>
              <w:t>危险物质及工艺系统危险性（</w:t>
            </w:r>
            <w:r w:rsidRPr="00CC079C">
              <w:rPr>
                <w:szCs w:val="21"/>
              </w:rPr>
              <w:t>P</w:t>
            </w:r>
            <w:r w:rsidRPr="00CC079C">
              <w:rPr>
                <w:szCs w:val="21"/>
              </w:rPr>
              <w:t>）</w:t>
            </w:r>
          </w:p>
        </w:tc>
      </w:tr>
      <w:tr w:rsidR="00C223F5" w:rsidRPr="00CC079C">
        <w:tc>
          <w:tcPr>
            <w:tcW w:w="2117" w:type="dxa"/>
            <w:vMerge/>
            <w:vAlign w:val="center"/>
          </w:tcPr>
          <w:p w:rsidR="00C223F5" w:rsidRPr="00CC079C" w:rsidRDefault="00C223F5" w:rsidP="00BF48DC">
            <w:pPr>
              <w:jc w:val="center"/>
              <w:rPr>
                <w:szCs w:val="21"/>
              </w:rPr>
            </w:pPr>
          </w:p>
        </w:tc>
        <w:tc>
          <w:tcPr>
            <w:tcW w:w="1706" w:type="dxa"/>
            <w:vAlign w:val="center"/>
          </w:tcPr>
          <w:p w:rsidR="00C223F5" w:rsidRPr="00CC079C" w:rsidRDefault="005860D5" w:rsidP="00BF48DC">
            <w:pPr>
              <w:jc w:val="center"/>
              <w:rPr>
                <w:szCs w:val="21"/>
              </w:rPr>
            </w:pPr>
            <w:r w:rsidRPr="00CC079C">
              <w:rPr>
                <w:kern w:val="0"/>
                <w:szCs w:val="21"/>
              </w:rPr>
              <w:t>极高危害（</w:t>
            </w:r>
            <w:r w:rsidRPr="00CC079C">
              <w:rPr>
                <w:kern w:val="0"/>
                <w:szCs w:val="21"/>
              </w:rPr>
              <w:t>P1</w:t>
            </w:r>
            <w:r w:rsidRPr="00CC079C">
              <w:rPr>
                <w:kern w:val="0"/>
                <w:szCs w:val="21"/>
              </w:rPr>
              <w:t>）</w:t>
            </w:r>
          </w:p>
        </w:tc>
        <w:tc>
          <w:tcPr>
            <w:tcW w:w="1706" w:type="dxa"/>
            <w:vAlign w:val="center"/>
          </w:tcPr>
          <w:p w:rsidR="00C223F5" w:rsidRPr="00CC079C" w:rsidRDefault="005860D5" w:rsidP="00BF48DC">
            <w:pPr>
              <w:jc w:val="center"/>
              <w:rPr>
                <w:szCs w:val="21"/>
              </w:rPr>
            </w:pPr>
            <w:r w:rsidRPr="00CC079C">
              <w:rPr>
                <w:kern w:val="0"/>
                <w:szCs w:val="21"/>
              </w:rPr>
              <w:t>高度危害（</w:t>
            </w:r>
            <w:r w:rsidRPr="00CC079C">
              <w:rPr>
                <w:kern w:val="0"/>
                <w:szCs w:val="21"/>
              </w:rPr>
              <w:t>P2</w:t>
            </w:r>
            <w:r w:rsidRPr="00CC079C">
              <w:rPr>
                <w:kern w:val="0"/>
                <w:szCs w:val="21"/>
              </w:rPr>
              <w:t>）</w:t>
            </w:r>
          </w:p>
        </w:tc>
        <w:tc>
          <w:tcPr>
            <w:tcW w:w="1706" w:type="dxa"/>
            <w:vAlign w:val="center"/>
          </w:tcPr>
          <w:p w:rsidR="00C223F5" w:rsidRPr="00CC079C" w:rsidRDefault="005860D5" w:rsidP="00BF48DC">
            <w:pPr>
              <w:jc w:val="center"/>
              <w:rPr>
                <w:szCs w:val="21"/>
              </w:rPr>
            </w:pPr>
            <w:r w:rsidRPr="00CC079C">
              <w:rPr>
                <w:kern w:val="0"/>
                <w:szCs w:val="21"/>
              </w:rPr>
              <w:t>中度危害（</w:t>
            </w:r>
            <w:r w:rsidRPr="00CC079C">
              <w:rPr>
                <w:kern w:val="0"/>
                <w:szCs w:val="21"/>
              </w:rPr>
              <w:t>P3</w:t>
            </w:r>
            <w:r w:rsidRPr="00CC079C">
              <w:rPr>
                <w:kern w:val="0"/>
                <w:szCs w:val="21"/>
              </w:rPr>
              <w:t>）</w:t>
            </w:r>
          </w:p>
        </w:tc>
        <w:tc>
          <w:tcPr>
            <w:tcW w:w="1706" w:type="dxa"/>
            <w:vAlign w:val="center"/>
          </w:tcPr>
          <w:p w:rsidR="00C223F5" w:rsidRPr="00CC079C" w:rsidRDefault="005860D5" w:rsidP="00BF48DC">
            <w:pPr>
              <w:jc w:val="center"/>
              <w:rPr>
                <w:szCs w:val="21"/>
              </w:rPr>
            </w:pPr>
            <w:r w:rsidRPr="00CC079C">
              <w:rPr>
                <w:kern w:val="0"/>
                <w:szCs w:val="21"/>
              </w:rPr>
              <w:t>轻度危害（</w:t>
            </w:r>
            <w:r w:rsidRPr="00CC079C">
              <w:rPr>
                <w:kern w:val="0"/>
                <w:szCs w:val="21"/>
              </w:rPr>
              <w:t>P4</w:t>
            </w:r>
            <w:r w:rsidRPr="00CC079C">
              <w:rPr>
                <w:kern w:val="0"/>
                <w:szCs w:val="21"/>
              </w:rPr>
              <w:t>）</w:t>
            </w:r>
          </w:p>
        </w:tc>
      </w:tr>
      <w:tr w:rsidR="00C223F5" w:rsidRPr="00CC079C">
        <w:tc>
          <w:tcPr>
            <w:tcW w:w="2117" w:type="dxa"/>
            <w:vAlign w:val="center"/>
          </w:tcPr>
          <w:p w:rsidR="00C223F5" w:rsidRPr="00CC079C" w:rsidRDefault="005860D5" w:rsidP="00BF48DC">
            <w:pPr>
              <w:jc w:val="center"/>
              <w:rPr>
                <w:szCs w:val="21"/>
              </w:rPr>
            </w:pPr>
            <w:r w:rsidRPr="00CC079C">
              <w:rPr>
                <w:szCs w:val="21"/>
              </w:rPr>
              <w:t>环境高度敏感区（</w:t>
            </w:r>
            <w:r w:rsidRPr="00CC079C">
              <w:rPr>
                <w:szCs w:val="21"/>
              </w:rPr>
              <w:t>E1</w:t>
            </w:r>
            <w:r w:rsidRPr="00CC079C">
              <w:rPr>
                <w:szCs w:val="21"/>
              </w:rPr>
              <w:t>）</w:t>
            </w:r>
          </w:p>
        </w:tc>
        <w:tc>
          <w:tcPr>
            <w:tcW w:w="1706" w:type="dxa"/>
            <w:vAlign w:val="center"/>
          </w:tcPr>
          <w:p w:rsidR="00C223F5" w:rsidRPr="00CC079C" w:rsidRDefault="005860D5" w:rsidP="00BF48DC">
            <w:pPr>
              <w:jc w:val="center"/>
              <w:rPr>
                <w:szCs w:val="21"/>
              </w:rPr>
            </w:pPr>
            <w:r w:rsidRPr="00CC079C">
              <w:rPr>
                <w:szCs w:val="21"/>
              </w:rPr>
              <w:t>Ⅳ+</w:t>
            </w:r>
          </w:p>
        </w:tc>
        <w:tc>
          <w:tcPr>
            <w:tcW w:w="1706" w:type="dxa"/>
            <w:vAlign w:val="center"/>
          </w:tcPr>
          <w:p w:rsidR="00C223F5" w:rsidRPr="00CC079C" w:rsidRDefault="005860D5" w:rsidP="00BF48DC">
            <w:pPr>
              <w:jc w:val="center"/>
              <w:rPr>
                <w:szCs w:val="21"/>
              </w:rPr>
            </w:pPr>
            <w:r w:rsidRPr="00CC079C">
              <w:rPr>
                <w:szCs w:val="21"/>
              </w:rPr>
              <w:t>Ⅳ</w:t>
            </w:r>
          </w:p>
        </w:tc>
        <w:tc>
          <w:tcPr>
            <w:tcW w:w="1706" w:type="dxa"/>
            <w:vAlign w:val="center"/>
          </w:tcPr>
          <w:p w:rsidR="00C223F5" w:rsidRPr="00CC079C" w:rsidRDefault="005860D5" w:rsidP="00BF48DC">
            <w:pPr>
              <w:jc w:val="center"/>
              <w:rPr>
                <w:szCs w:val="21"/>
              </w:rPr>
            </w:pPr>
            <w:r w:rsidRPr="00CC079C">
              <w:rPr>
                <w:szCs w:val="21"/>
              </w:rPr>
              <w:t>Ⅲ</w:t>
            </w:r>
          </w:p>
        </w:tc>
        <w:tc>
          <w:tcPr>
            <w:tcW w:w="1706" w:type="dxa"/>
            <w:vAlign w:val="center"/>
          </w:tcPr>
          <w:p w:rsidR="00C223F5" w:rsidRPr="00CC079C" w:rsidRDefault="005860D5" w:rsidP="00BF48DC">
            <w:pPr>
              <w:jc w:val="center"/>
              <w:rPr>
                <w:szCs w:val="21"/>
              </w:rPr>
            </w:pPr>
            <w:r w:rsidRPr="00CC079C">
              <w:rPr>
                <w:szCs w:val="21"/>
              </w:rPr>
              <w:t>Ⅲ</w:t>
            </w:r>
          </w:p>
        </w:tc>
      </w:tr>
      <w:tr w:rsidR="00C223F5" w:rsidRPr="00CC079C">
        <w:tc>
          <w:tcPr>
            <w:tcW w:w="2117" w:type="dxa"/>
            <w:vAlign w:val="center"/>
          </w:tcPr>
          <w:p w:rsidR="00C223F5" w:rsidRPr="00CC079C" w:rsidRDefault="005860D5" w:rsidP="00BF48DC">
            <w:pPr>
              <w:jc w:val="center"/>
              <w:rPr>
                <w:szCs w:val="21"/>
              </w:rPr>
            </w:pPr>
            <w:r w:rsidRPr="00CC079C">
              <w:rPr>
                <w:szCs w:val="21"/>
              </w:rPr>
              <w:t>环境中度敏感区（</w:t>
            </w:r>
            <w:r w:rsidRPr="00CC079C">
              <w:rPr>
                <w:szCs w:val="21"/>
              </w:rPr>
              <w:t>E2</w:t>
            </w:r>
            <w:r w:rsidRPr="00CC079C">
              <w:rPr>
                <w:szCs w:val="21"/>
              </w:rPr>
              <w:t>）</w:t>
            </w:r>
          </w:p>
        </w:tc>
        <w:tc>
          <w:tcPr>
            <w:tcW w:w="1706" w:type="dxa"/>
            <w:vAlign w:val="center"/>
          </w:tcPr>
          <w:p w:rsidR="00C223F5" w:rsidRPr="00CC079C" w:rsidRDefault="005860D5" w:rsidP="00BF48DC">
            <w:pPr>
              <w:jc w:val="center"/>
              <w:rPr>
                <w:szCs w:val="21"/>
              </w:rPr>
            </w:pPr>
            <w:r w:rsidRPr="00CC079C">
              <w:rPr>
                <w:szCs w:val="21"/>
              </w:rPr>
              <w:t>Ⅳ</w:t>
            </w:r>
          </w:p>
        </w:tc>
        <w:tc>
          <w:tcPr>
            <w:tcW w:w="1706" w:type="dxa"/>
            <w:vAlign w:val="center"/>
          </w:tcPr>
          <w:p w:rsidR="00C223F5" w:rsidRPr="00CC079C" w:rsidRDefault="005860D5" w:rsidP="00BF48DC">
            <w:pPr>
              <w:jc w:val="center"/>
              <w:rPr>
                <w:szCs w:val="21"/>
              </w:rPr>
            </w:pPr>
            <w:r w:rsidRPr="00CC079C">
              <w:rPr>
                <w:szCs w:val="21"/>
              </w:rPr>
              <w:t>Ⅲ</w:t>
            </w:r>
          </w:p>
        </w:tc>
        <w:tc>
          <w:tcPr>
            <w:tcW w:w="1706" w:type="dxa"/>
            <w:vAlign w:val="center"/>
          </w:tcPr>
          <w:p w:rsidR="00C223F5" w:rsidRPr="00CC079C" w:rsidRDefault="005860D5" w:rsidP="00BF48DC">
            <w:pPr>
              <w:jc w:val="center"/>
              <w:rPr>
                <w:szCs w:val="21"/>
              </w:rPr>
            </w:pPr>
            <w:r w:rsidRPr="00CC079C">
              <w:rPr>
                <w:szCs w:val="21"/>
              </w:rPr>
              <w:t>Ⅲ</w:t>
            </w:r>
          </w:p>
        </w:tc>
        <w:tc>
          <w:tcPr>
            <w:tcW w:w="1706" w:type="dxa"/>
            <w:vAlign w:val="center"/>
          </w:tcPr>
          <w:p w:rsidR="00C223F5" w:rsidRPr="00CC079C" w:rsidRDefault="005860D5" w:rsidP="00BF48DC">
            <w:pPr>
              <w:jc w:val="center"/>
              <w:rPr>
                <w:szCs w:val="21"/>
              </w:rPr>
            </w:pPr>
            <w:r w:rsidRPr="00CC079C">
              <w:rPr>
                <w:szCs w:val="21"/>
              </w:rPr>
              <w:t>Ⅱ</w:t>
            </w:r>
          </w:p>
        </w:tc>
      </w:tr>
      <w:tr w:rsidR="00C223F5" w:rsidRPr="00CC079C">
        <w:tc>
          <w:tcPr>
            <w:tcW w:w="2117" w:type="dxa"/>
            <w:vAlign w:val="center"/>
          </w:tcPr>
          <w:p w:rsidR="00C223F5" w:rsidRPr="00CC079C" w:rsidRDefault="005860D5" w:rsidP="00BF48DC">
            <w:pPr>
              <w:jc w:val="center"/>
              <w:rPr>
                <w:szCs w:val="21"/>
              </w:rPr>
            </w:pPr>
            <w:r w:rsidRPr="00CC079C">
              <w:rPr>
                <w:szCs w:val="21"/>
              </w:rPr>
              <w:t>环境低度敏感区（</w:t>
            </w:r>
            <w:r w:rsidRPr="00CC079C">
              <w:rPr>
                <w:szCs w:val="21"/>
              </w:rPr>
              <w:t>E3</w:t>
            </w:r>
            <w:r w:rsidRPr="00CC079C">
              <w:rPr>
                <w:szCs w:val="21"/>
              </w:rPr>
              <w:t>）</w:t>
            </w:r>
          </w:p>
        </w:tc>
        <w:tc>
          <w:tcPr>
            <w:tcW w:w="1706" w:type="dxa"/>
            <w:vAlign w:val="center"/>
          </w:tcPr>
          <w:p w:rsidR="00C223F5" w:rsidRPr="00CC079C" w:rsidRDefault="005860D5" w:rsidP="00BF48DC">
            <w:pPr>
              <w:jc w:val="center"/>
              <w:rPr>
                <w:szCs w:val="21"/>
              </w:rPr>
            </w:pPr>
            <w:r w:rsidRPr="00CC079C">
              <w:rPr>
                <w:szCs w:val="21"/>
              </w:rPr>
              <w:t>Ⅲ</w:t>
            </w:r>
          </w:p>
        </w:tc>
        <w:tc>
          <w:tcPr>
            <w:tcW w:w="1706" w:type="dxa"/>
            <w:vAlign w:val="center"/>
          </w:tcPr>
          <w:p w:rsidR="00C223F5" w:rsidRPr="00CC079C" w:rsidRDefault="005860D5" w:rsidP="00BF48DC">
            <w:pPr>
              <w:jc w:val="center"/>
              <w:rPr>
                <w:szCs w:val="21"/>
              </w:rPr>
            </w:pPr>
            <w:r w:rsidRPr="00CC079C">
              <w:rPr>
                <w:szCs w:val="21"/>
              </w:rPr>
              <w:t>Ⅲ</w:t>
            </w:r>
          </w:p>
        </w:tc>
        <w:tc>
          <w:tcPr>
            <w:tcW w:w="1706" w:type="dxa"/>
            <w:vAlign w:val="center"/>
          </w:tcPr>
          <w:p w:rsidR="00C223F5" w:rsidRPr="00CC079C" w:rsidRDefault="005860D5" w:rsidP="00BF48DC">
            <w:pPr>
              <w:jc w:val="center"/>
              <w:rPr>
                <w:szCs w:val="21"/>
              </w:rPr>
            </w:pPr>
            <w:r w:rsidRPr="00CC079C">
              <w:rPr>
                <w:szCs w:val="21"/>
              </w:rPr>
              <w:t>Ⅱ</w:t>
            </w:r>
          </w:p>
        </w:tc>
        <w:tc>
          <w:tcPr>
            <w:tcW w:w="1706" w:type="dxa"/>
            <w:vAlign w:val="center"/>
          </w:tcPr>
          <w:p w:rsidR="00C223F5" w:rsidRPr="00CC079C" w:rsidRDefault="005860D5" w:rsidP="00BF48DC">
            <w:pPr>
              <w:jc w:val="center"/>
              <w:rPr>
                <w:szCs w:val="21"/>
              </w:rPr>
            </w:pPr>
            <w:r w:rsidRPr="00CC079C">
              <w:rPr>
                <w:szCs w:val="21"/>
              </w:rPr>
              <w:t>Ⅰ</w:t>
            </w:r>
          </w:p>
        </w:tc>
      </w:tr>
      <w:tr w:rsidR="00C223F5" w:rsidRPr="00CC079C">
        <w:tc>
          <w:tcPr>
            <w:tcW w:w="8941" w:type="dxa"/>
            <w:gridSpan w:val="5"/>
            <w:vAlign w:val="center"/>
          </w:tcPr>
          <w:p w:rsidR="00C223F5" w:rsidRPr="00CC079C" w:rsidRDefault="005860D5" w:rsidP="00BF48DC">
            <w:pPr>
              <w:jc w:val="center"/>
              <w:rPr>
                <w:szCs w:val="21"/>
              </w:rPr>
            </w:pPr>
            <w:r w:rsidRPr="00CC079C">
              <w:rPr>
                <w:kern w:val="0"/>
                <w:szCs w:val="21"/>
              </w:rPr>
              <w:t>注：</w:t>
            </w:r>
            <w:r w:rsidRPr="00CC079C">
              <w:rPr>
                <w:kern w:val="0"/>
                <w:szCs w:val="21"/>
              </w:rPr>
              <w:t>Ⅳ+</w:t>
            </w:r>
            <w:r w:rsidRPr="00CC079C">
              <w:rPr>
                <w:kern w:val="0"/>
                <w:szCs w:val="21"/>
              </w:rPr>
              <w:t>为极高环境风险。</w:t>
            </w:r>
          </w:p>
        </w:tc>
      </w:tr>
    </w:tbl>
    <w:p w:rsidR="00C223F5" w:rsidRPr="00CC079C" w:rsidRDefault="005860D5">
      <w:pPr>
        <w:pStyle w:val="af1"/>
        <w:spacing w:line="360" w:lineRule="auto"/>
        <w:ind w:firstLineChars="200" w:firstLine="480"/>
        <w:rPr>
          <w:sz w:val="24"/>
        </w:rPr>
      </w:pPr>
      <w:r w:rsidRPr="00CC079C">
        <w:rPr>
          <w:sz w:val="24"/>
        </w:rPr>
        <w:t>2</w:t>
      </w:r>
      <w:r w:rsidRPr="00CC079C">
        <w:rPr>
          <w:sz w:val="24"/>
        </w:rPr>
        <w:t>）</w:t>
      </w:r>
      <w:r w:rsidRPr="00CC079C">
        <w:rPr>
          <w:sz w:val="24"/>
        </w:rPr>
        <w:t>P</w:t>
      </w:r>
      <w:r w:rsidRPr="00CC079C">
        <w:rPr>
          <w:sz w:val="24"/>
        </w:rPr>
        <w:t>的分级确定</w:t>
      </w:r>
    </w:p>
    <w:p w:rsidR="00C223F5" w:rsidRPr="00CC079C" w:rsidRDefault="005860D5">
      <w:pPr>
        <w:pStyle w:val="af1"/>
        <w:spacing w:line="360" w:lineRule="auto"/>
        <w:ind w:firstLineChars="200" w:firstLine="480"/>
        <w:rPr>
          <w:sz w:val="24"/>
        </w:rPr>
      </w:pPr>
      <w:r w:rsidRPr="00CC079C">
        <w:rPr>
          <w:sz w:val="24"/>
        </w:rPr>
        <w:t>分析建设项目生产、使用、储存过程中涉及的有毒有害、易燃易爆物质，参见附录</w:t>
      </w:r>
      <w:r w:rsidRPr="00CC079C">
        <w:rPr>
          <w:sz w:val="24"/>
        </w:rPr>
        <w:t xml:space="preserve">B </w:t>
      </w:r>
      <w:r w:rsidRPr="00CC079C">
        <w:rPr>
          <w:sz w:val="24"/>
        </w:rPr>
        <w:t>确定油类物质的临界量</w:t>
      </w:r>
      <w:r w:rsidRPr="00CC079C">
        <w:rPr>
          <w:sz w:val="24"/>
        </w:rPr>
        <w:t>2500t</w:t>
      </w:r>
      <w:r w:rsidRPr="00CC079C">
        <w:rPr>
          <w:sz w:val="24"/>
        </w:rPr>
        <w:t>，</w:t>
      </w:r>
      <w:r w:rsidRPr="00CC079C">
        <w:rPr>
          <w:sz w:val="24"/>
        </w:rPr>
        <w:t>Q</w:t>
      </w:r>
      <w:r w:rsidRPr="00CC079C">
        <w:rPr>
          <w:sz w:val="24"/>
        </w:rPr>
        <w:t>值确定见表</w:t>
      </w:r>
      <w:r w:rsidRPr="00CC079C">
        <w:rPr>
          <w:sz w:val="24"/>
        </w:rPr>
        <w:t>4.2.8-2</w:t>
      </w:r>
      <w:r w:rsidRPr="00CC079C">
        <w:rPr>
          <w:sz w:val="24"/>
        </w:rPr>
        <w:t>。</w:t>
      </w:r>
    </w:p>
    <w:p w:rsidR="00C223F5" w:rsidRPr="00CC079C" w:rsidRDefault="005860D5">
      <w:pPr>
        <w:pStyle w:val="af1"/>
        <w:ind w:firstLine="482"/>
        <w:jc w:val="center"/>
        <w:rPr>
          <w:b/>
          <w:sz w:val="24"/>
        </w:rPr>
      </w:pPr>
      <w:r w:rsidRPr="00CC079C">
        <w:rPr>
          <w:b/>
          <w:sz w:val="24"/>
        </w:rPr>
        <w:t>表</w:t>
      </w:r>
      <w:r w:rsidRPr="00CC079C">
        <w:rPr>
          <w:b/>
          <w:sz w:val="24"/>
        </w:rPr>
        <w:t xml:space="preserve">4.2.8-2 </w:t>
      </w:r>
      <w:r w:rsidRPr="00CC079C">
        <w:rPr>
          <w:b/>
          <w:sz w:val="24"/>
        </w:rPr>
        <w:t>建设项目</w:t>
      </w:r>
      <w:r w:rsidRPr="00CC079C">
        <w:rPr>
          <w:b/>
          <w:sz w:val="24"/>
        </w:rPr>
        <w:t xml:space="preserve">Q </w:t>
      </w:r>
      <w:r w:rsidRPr="00CC079C">
        <w:rPr>
          <w:b/>
          <w:sz w:val="24"/>
        </w:rPr>
        <w:t>值确定表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992"/>
        <w:gridCol w:w="2126"/>
        <w:gridCol w:w="1560"/>
        <w:gridCol w:w="1984"/>
      </w:tblGrid>
      <w:tr w:rsidR="00C223F5" w:rsidRPr="00CC079C">
        <w:tc>
          <w:tcPr>
            <w:tcW w:w="675" w:type="dxa"/>
            <w:vAlign w:val="center"/>
          </w:tcPr>
          <w:p w:rsidR="00C223F5" w:rsidRPr="00CC079C" w:rsidRDefault="005860D5" w:rsidP="00BF48DC">
            <w:pPr>
              <w:jc w:val="center"/>
              <w:rPr>
                <w:szCs w:val="21"/>
              </w:rPr>
            </w:pPr>
            <w:r w:rsidRPr="00CC079C">
              <w:rPr>
                <w:szCs w:val="21"/>
              </w:rPr>
              <w:t>序号</w:t>
            </w:r>
          </w:p>
        </w:tc>
        <w:tc>
          <w:tcPr>
            <w:tcW w:w="1560" w:type="dxa"/>
            <w:vAlign w:val="center"/>
          </w:tcPr>
          <w:p w:rsidR="00C223F5" w:rsidRPr="00CC079C" w:rsidRDefault="005860D5" w:rsidP="00BF48DC">
            <w:pPr>
              <w:jc w:val="center"/>
              <w:rPr>
                <w:szCs w:val="21"/>
              </w:rPr>
            </w:pPr>
            <w:r w:rsidRPr="00CC079C">
              <w:rPr>
                <w:szCs w:val="21"/>
              </w:rPr>
              <w:t>危险物质名称</w:t>
            </w:r>
          </w:p>
        </w:tc>
        <w:tc>
          <w:tcPr>
            <w:tcW w:w="992" w:type="dxa"/>
            <w:vAlign w:val="center"/>
          </w:tcPr>
          <w:p w:rsidR="00C223F5" w:rsidRPr="00CC079C" w:rsidRDefault="005860D5" w:rsidP="00BF48DC">
            <w:pPr>
              <w:jc w:val="center"/>
              <w:rPr>
                <w:szCs w:val="21"/>
              </w:rPr>
            </w:pPr>
            <w:r w:rsidRPr="00CC079C">
              <w:rPr>
                <w:szCs w:val="21"/>
              </w:rPr>
              <w:t>CAS</w:t>
            </w:r>
            <w:r w:rsidRPr="00CC079C">
              <w:rPr>
                <w:szCs w:val="21"/>
              </w:rPr>
              <w:t>号</w:t>
            </w:r>
          </w:p>
        </w:tc>
        <w:tc>
          <w:tcPr>
            <w:tcW w:w="2126" w:type="dxa"/>
            <w:vAlign w:val="center"/>
          </w:tcPr>
          <w:p w:rsidR="00C223F5" w:rsidRPr="00CC079C" w:rsidRDefault="005860D5" w:rsidP="00BF48DC">
            <w:pPr>
              <w:jc w:val="center"/>
              <w:rPr>
                <w:szCs w:val="21"/>
              </w:rPr>
            </w:pPr>
            <w:r w:rsidRPr="00CC079C">
              <w:rPr>
                <w:szCs w:val="21"/>
              </w:rPr>
              <w:t>最大存在总量</w:t>
            </w:r>
            <w:proofErr w:type="spellStart"/>
            <w:r w:rsidRPr="00CC079C">
              <w:rPr>
                <w:szCs w:val="21"/>
              </w:rPr>
              <w:t>qn</w:t>
            </w:r>
            <w:proofErr w:type="spellEnd"/>
            <w:r w:rsidRPr="00CC079C">
              <w:rPr>
                <w:szCs w:val="21"/>
              </w:rPr>
              <w:t>/t</w:t>
            </w:r>
          </w:p>
        </w:tc>
        <w:tc>
          <w:tcPr>
            <w:tcW w:w="1560" w:type="dxa"/>
            <w:vAlign w:val="center"/>
          </w:tcPr>
          <w:p w:rsidR="00C223F5" w:rsidRPr="00CC079C" w:rsidRDefault="005860D5" w:rsidP="00BF48DC">
            <w:pPr>
              <w:jc w:val="center"/>
              <w:rPr>
                <w:szCs w:val="21"/>
              </w:rPr>
            </w:pPr>
            <w:r w:rsidRPr="00CC079C">
              <w:rPr>
                <w:szCs w:val="21"/>
              </w:rPr>
              <w:t>临界量</w:t>
            </w:r>
            <w:proofErr w:type="spellStart"/>
            <w:r w:rsidRPr="00CC079C">
              <w:rPr>
                <w:szCs w:val="21"/>
              </w:rPr>
              <w:t>Qn</w:t>
            </w:r>
            <w:proofErr w:type="spellEnd"/>
            <w:r w:rsidRPr="00CC079C">
              <w:rPr>
                <w:szCs w:val="21"/>
              </w:rPr>
              <w:t xml:space="preserve"> /t</w:t>
            </w:r>
          </w:p>
        </w:tc>
        <w:tc>
          <w:tcPr>
            <w:tcW w:w="1984" w:type="dxa"/>
            <w:vAlign w:val="center"/>
          </w:tcPr>
          <w:p w:rsidR="00C223F5" w:rsidRPr="00CC079C" w:rsidRDefault="005860D5" w:rsidP="00BF48DC">
            <w:pPr>
              <w:jc w:val="center"/>
              <w:rPr>
                <w:szCs w:val="21"/>
              </w:rPr>
            </w:pPr>
            <w:r w:rsidRPr="00CC079C">
              <w:rPr>
                <w:szCs w:val="21"/>
              </w:rPr>
              <w:t>该种危险物质</w:t>
            </w:r>
            <w:r w:rsidRPr="00CC079C">
              <w:rPr>
                <w:szCs w:val="21"/>
              </w:rPr>
              <w:t xml:space="preserve">Q </w:t>
            </w:r>
            <w:r w:rsidRPr="00CC079C">
              <w:rPr>
                <w:szCs w:val="21"/>
              </w:rPr>
              <w:t>值</w:t>
            </w:r>
          </w:p>
        </w:tc>
      </w:tr>
      <w:tr w:rsidR="00C223F5" w:rsidRPr="00CC079C">
        <w:tc>
          <w:tcPr>
            <w:tcW w:w="675" w:type="dxa"/>
            <w:vAlign w:val="center"/>
          </w:tcPr>
          <w:p w:rsidR="00C223F5" w:rsidRPr="00CC079C" w:rsidRDefault="005860D5" w:rsidP="00BF48DC">
            <w:pPr>
              <w:jc w:val="center"/>
              <w:rPr>
                <w:szCs w:val="21"/>
              </w:rPr>
            </w:pPr>
            <w:r w:rsidRPr="00CC079C">
              <w:rPr>
                <w:szCs w:val="21"/>
              </w:rPr>
              <w:t>1</w:t>
            </w:r>
          </w:p>
        </w:tc>
        <w:tc>
          <w:tcPr>
            <w:tcW w:w="1560" w:type="dxa"/>
            <w:vAlign w:val="center"/>
          </w:tcPr>
          <w:p w:rsidR="00C223F5" w:rsidRPr="00CC079C" w:rsidRDefault="005860D5" w:rsidP="00BF48DC">
            <w:pPr>
              <w:jc w:val="center"/>
              <w:rPr>
                <w:szCs w:val="21"/>
              </w:rPr>
            </w:pPr>
            <w:r w:rsidRPr="00CC079C">
              <w:rPr>
                <w:szCs w:val="21"/>
              </w:rPr>
              <w:t>油类物质</w:t>
            </w:r>
          </w:p>
        </w:tc>
        <w:tc>
          <w:tcPr>
            <w:tcW w:w="992" w:type="dxa"/>
            <w:vAlign w:val="center"/>
          </w:tcPr>
          <w:p w:rsidR="00C223F5" w:rsidRPr="00CC079C" w:rsidRDefault="005860D5" w:rsidP="00BF48DC">
            <w:pPr>
              <w:jc w:val="center"/>
              <w:rPr>
                <w:szCs w:val="21"/>
              </w:rPr>
            </w:pPr>
            <w:r w:rsidRPr="00CC079C">
              <w:rPr>
                <w:szCs w:val="21"/>
              </w:rPr>
              <w:t>/</w:t>
            </w:r>
          </w:p>
        </w:tc>
        <w:tc>
          <w:tcPr>
            <w:tcW w:w="2126" w:type="dxa"/>
            <w:vAlign w:val="center"/>
          </w:tcPr>
          <w:p w:rsidR="00C223F5" w:rsidRPr="00E87399" w:rsidRDefault="005860D5" w:rsidP="00BF48DC">
            <w:pPr>
              <w:jc w:val="center"/>
              <w:rPr>
                <w:color w:val="FF0000"/>
                <w:szCs w:val="21"/>
              </w:rPr>
            </w:pPr>
            <w:r w:rsidRPr="00E87399">
              <w:rPr>
                <w:color w:val="FF0000"/>
                <w:szCs w:val="21"/>
              </w:rPr>
              <w:t>3</w:t>
            </w:r>
            <w:r w:rsidR="00E87399" w:rsidRPr="00E87399">
              <w:rPr>
                <w:rFonts w:hint="eastAsia"/>
                <w:color w:val="FF0000"/>
                <w:szCs w:val="21"/>
              </w:rPr>
              <w:t>.3</w:t>
            </w:r>
          </w:p>
        </w:tc>
        <w:tc>
          <w:tcPr>
            <w:tcW w:w="1560" w:type="dxa"/>
            <w:vAlign w:val="center"/>
          </w:tcPr>
          <w:p w:rsidR="00C223F5" w:rsidRPr="00CC079C" w:rsidRDefault="005860D5" w:rsidP="00BF48DC">
            <w:pPr>
              <w:jc w:val="center"/>
              <w:rPr>
                <w:szCs w:val="21"/>
              </w:rPr>
            </w:pPr>
            <w:r w:rsidRPr="00CC079C">
              <w:rPr>
                <w:szCs w:val="21"/>
              </w:rPr>
              <w:t>2500</w:t>
            </w:r>
          </w:p>
        </w:tc>
        <w:tc>
          <w:tcPr>
            <w:tcW w:w="1984" w:type="dxa"/>
            <w:vAlign w:val="center"/>
          </w:tcPr>
          <w:p w:rsidR="00C223F5" w:rsidRPr="00CC079C" w:rsidRDefault="005860D5" w:rsidP="00BF48DC">
            <w:pPr>
              <w:jc w:val="center"/>
              <w:rPr>
                <w:szCs w:val="21"/>
              </w:rPr>
            </w:pPr>
            <w:r w:rsidRPr="00CC079C">
              <w:rPr>
                <w:szCs w:val="21"/>
              </w:rPr>
              <w:t>0.0012</w:t>
            </w:r>
          </w:p>
        </w:tc>
      </w:tr>
      <w:tr w:rsidR="00C223F5" w:rsidRPr="00CC079C">
        <w:tc>
          <w:tcPr>
            <w:tcW w:w="6913" w:type="dxa"/>
            <w:gridSpan w:val="5"/>
            <w:vAlign w:val="center"/>
          </w:tcPr>
          <w:p w:rsidR="00C223F5" w:rsidRPr="00CC079C" w:rsidRDefault="005860D5" w:rsidP="00BF48DC">
            <w:pPr>
              <w:jc w:val="center"/>
              <w:rPr>
                <w:szCs w:val="21"/>
              </w:rPr>
            </w:pPr>
            <w:r w:rsidRPr="00CC079C">
              <w:rPr>
                <w:szCs w:val="21"/>
              </w:rPr>
              <w:t>项目</w:t>
            </w:r>
            <w:r w:rsidRPr="00CC079C">
              <w:rPr>
                <w:szCs w:val="21"/>
              </w:rPr>
              <w:t xml:space="preserve">Q </w:t>
            </w:r>
            <w:r w:rsidRPr="00CC079C">
              <w:rPr>
                <w:szCs w:val="21"/>
              </w:rPr>
              <w:t>值</w:t>
            </w:r>
            <w:r w:rsidRPr="00CC079C">
              <w:rPr>
                <w:szCs w:val="21"/>
              </w:rPr>
              <w:t>Σ</w:t>
            </w:r>
          </w:p>
        </w:tc>
        <w:tc>
          <w:tcPr>
            <w:tcW w:w="1984" w:type="dxa"/>
            <w:vAlign w:val="center"/>
          </w:tcPr>
          <w:p w:rsidR="00C223F5" w:rsidRPr="00CC079C" w:rsidRDefault="005860D5" w:rsidP="00BF48DC">
            <w:pPr>
              <w:jc w:val="center"/>
              <w:rPr>
                <w:szCs w:val="21"/>
              </w:rPr>
            </w:pPr>
            <w:r w:rsidRPr="00CC079C">
              <w:rPr>
                <w:szCs w:val="21"/>
              </w:rPr>
              <w:t>0.0012</w:t>
            </w:r>
          </w:p>
        </w:tc>
      </w:tr>
    </w:tbl>
    <w:p w:rsidR="00C223F5" w:rsidRPr="00CC079C" w:rsidRDefault="005860D5">
      <w:pPr>
        <w:tabs>
          <w:tab w:val="left" w:pos="2552"/>
          <w:tab w:val="left" w:pos="5387"/>
        </w:tabs>
        <w:spacing w:line="360" w:lineRule="auto"/>
        <w:ind w:firstLineChars="200" w:firstLine="482"/>
        <w:rPr>
          <w:b/>
          <w:sz w:val="24"/>
        </w:rPr>
      </w:pPr>
      <w:r w:rsidRPr="00CC079C">
        <w:rPr>
          <w:b/>
          <w:sz w:val="24"/>
        </w:rPr>
        <w:t>（</w:t>
      </w:r>
      <w:r w:rsidRPr="00CC079C">
        <w:rPr>
          <w:b/>
          <w:sz w:val="24"/>
        </w:rPr>
        <w:t>3</w:t>
      </w:r>
      <w:r w:rsidRPr="00CC079C">
        <w:rPr>
          <w:b/>
          <w:sz w:val="24"/>
        </w:rPr>
        <w:t>）评价等级</w:t>
      </w:r>
    </w:p>
    <w:p w:rsidR="00C223F5" w:rsidRPr="00CC079C" w:rsidRDefault="005860D5">
      <w:pPr>
        <w:tabs>
          <w:tab w:val="left" w:pos="2552"/>
          <w:tab w:val="left" w:pos="5387"/>
        </w:tabs>
        <w:spacing w:line="360" w:lineRule="auto"/>
        <w:ind w:firstLineChars="200" w:firstLine="480"/>
        <w:rPr>
          <w:sz w:val="24"/>
        </w:rPr>
      </w:pPr>
      <w:r w:rsidRPr="00CC079C">
        <w:rPr>
          <w:sz w:val="24"/>
        </w:rPr>
        <w:t>环境风险评价工作等级划分为一级、二级、三级。根据建设项目涉及的物质及工艺系统危险性和所在地的环境敏感性确定环境风险潜势，按照表</w:t>
      </w:r>
      <w:r w:rsidRPr="00CC079C">
        <w:rPr>
          <w:sz w:val="24"/>
        </w:rPr>
        <w:t>4.2.8-3</w:t>
      </w:r>
      <w:r w:rsidRPr="00CC079C">
        <w:rPr>
          <w:sz w:val="24"/>
        </w:rPr>
        <w:t>确定评价工作等级。</w:t>
      </w:r>
    </w:p>
    <w:p w:rsidR="00C223F5" w:rsidRPr="00CC079C" w:rsidRDefault="005860D5">
      <w:pPr>
        <w:ind w:firstLine="422"/>
        <w:jc w:val="center"/>
        <w:rPr>
          <w:b/>
          <w:bCs/>
          <w:sz w:val="24"/>
        </w:rPr>
      </w:pPr>
      <w:r w:rsidRPr="00CC079C">
        <w:rPr>
          <w:b/>
          <w:bCs/>
          <w:sz w:val="24"/>
        </w:rPr>
        <w:t>表</w:t>
      </w:r>
      <w:r w:rsidRPr="00CC079C">
        <w:rPr>
          <w:b/>
          <w:bCs/>
          <w:sz w:val="24"/>
        </w:rPr>
        <w:t xml:space="preserve">4.2.8-3  </w:t>
      </w:r>
      <w:r w:rsidRPr="00CC079C">
        <w:rPr>
          <w:b/>
          <w:bCs/>
          <w:sz w:val="24"/>
        </w:rPr>
        <w:t>评价工作级别</w:t>
      </w:r>
    </w:p>
    <w:tbl>
      <w:tblPr>
        <w:tblW w:w="8937"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1702"/>
        <w:gridCol w:w="1701"/>
        <w:gridCol w:w="1559"/>
        <w:gridCol w:w="2268"/>
        <w:gridCol w:w="1707"/>
      </w:tblGrid>
      <w:tr w:rsidR="00C223F5" w:rsidRPr="00CC079C">
        <w:trPr>
          <w:trHeight w:val="314"/>
          <w:jc w:val="center"/>
        </w:trPr>
        <w:tc>
          <w:tcPr>
            <w:tcW w:w="1702" w:type="dxa"/>
            <w:vAlign w:val="center"/>
          </w:tcPr>
          <w:p w:rsidR="00C223F5" w:rsidRPr="00CC079C" w:rsidRDefault="005860D5">
            <w:pPr>
              <w:topLinePunct/>
              <w:adjustRightInd w:val="0"/>
              <w:snapToGrid w:val="0"/>
              <w:jc w:val="center"/>
              <w:rPr>
                <w:szCs w:val="21"/>
              </w:rPr>
            </w:pPr>
            <w:r w:rsidRPr="00CC079C">
              <w:rPr>
                <w:szCs w:val="21"/>
              </w:rPr>
              <w:t>环境风险潜势</w:t>
            </w:r>
          </w:p>
        </w:tc>
        <w:tc>
          <w:tcPr>
            <w:tcW w:w="1701" w:type="dxa"/>
            <w:vAlign w:val="center"/>
          </w:tcPr>
          <w:p w:rsidR="00C223F5" w:rsidRPr="00CC079C" w:rsidRDefault="005860D5">
            <w:pPr>
              <w:tabs>
                <w:tab w:val="center" w:pos="4775"/>
              </w:tabs>
              <w:topLinePunct/>
              <w:adjustRightInd w:val="0"/>
              <w:snapToGrid w:val="0"/>
              <w:jc w:val="center"/>
              <w:rPr>
                <w:kern w:val="0"/>
                <w:szCs w:val="21"/>
              </w:rPr>
            </w:pPr>
            <w:r w:rsidRPr="00CC079C">
              <w:rPr>
                <w:rFonts w:hAnsi="宋体"/>
                <w:kern w:val="0"/>
                <w:szCs w:val="21"/>
              </w:rPr>
              <w:t>Ⅳ</w:t>
            </w:r>
            <w:r w:rsidRPr="00CC079C">
              <w:rPr>
                <w:kern w:val="0"/>
                <w:szCs w:val="21"/>
              </w:rPr>
              <w:t>、</w:t>
            </w:r>
            <w:r w:rsidRPr="00CC079C">
              <w:rPr>
                <w:rFonts w:hAnsi="宋体"/>
                <w:kern w:val="0"/>
                <w:szCs w:val="21"/>
              </w:rPr>
              <w:t>Ⅳ</w:t>
            </w:r>
            <w:r w:rsidRPr="00CC079C">
              <w:rPr>
                <w:kern w:val="0"/>
                <w:szCs w:val="21"/>
                <w:vertAlign w:val="superscript"/>
              </w:rPr>
              <w:t>+</w:t>
            </w:r>
          </w:p>
        </w:tc>
        <w:tc>
          <w:tcPr>
            <w:tcW w:w="1559" w:type="dxa"/>
            <w:vAlign w:val="center"/>
          </w:tcPr>
          <w:p w:rsidR="00C223F5" w:rsidRPr="00CC079C" w:rsidRDefault="005860D5">
            <w:pPr>
              <w:tabs>
                <w:tab w:val="center" w:pos="4775"/>
              </w:tabs>
              <w:topLinePunct/>
              <w:adjustRightInd w:val="0"/>
              <w:snapToGrid w:val="0"/>
              <w:jc w:val="center"/>
              <w:rPr>
                <w:szCs w:val="21"/>
              </w:rPr>
            </w:pPr>
            <w:r w:rsidRPr="00CC079C">
              <w:rPr>
                <w:rFonts w:hAnsi="宋体"/>
                <w:kern w:val="0"/>
                <w:szCs w:val="21"/>
              </w:rPr>
              <w:t>Ⅲ</w:t>
            </w:r>
          </w:p>
        </w:tc>
        <w:tc>
          <w:tcPr>
            <w:tcW w:w="2268" w:type="dxa"/>
            <w:vAlign w:val="center"/>
          </w:tcPr>
          <w:p w:rsidR="00C223F5" w:rsidRPr="00CC079C" w:rsidRDefault="005860D5">
            <w:pPr>
              <w:topLinePunct/>
              <w:adjustRightInd w:val="0"/>
              <w:snapToGrid w:val="0"/>
              <w:jc w:val="center"/>
              <w:rPr>
                <w:szCs w:val="21"/>
              </w:rPr>
            </w:pPr>
            <w:r w:rsidRPr="00CC079C">
              <w:rPr>
                <w:rFonts w:hAnsi="宋体"/>
                <w:kern w:val="0"/>
                <w:szCs w:val="21"/>
              </w:rPr>
              <w:t>Ⅱ</w:t>
            </w:r>
          </w:p>
        </w:tc>
        <w:tc>
          <w:tcPr>
            <w:tcW w:w="1707" w:type="dxa"/>
            <w:vAlign w:val="center"/>
          </w:tcPr>
          <w:p w:rsidR="00C223F5" w:rsidRPr="00CC079C" w:rsidRDefault="005860D5">
            <w:pPr>
              <w:topLinePunct/>
              <w:adjustRightInd w:val="0"/>
              <w:snapToGrid w:val="0"/>
              <w:jc w:val="center"/>
              <w:rPr>
                <w:szCs w:val="21"/>
              </w:rPr>
            </w:pPr>
            <w:r w:rsidRPr="00CC079C">
              <w:rPr>
                <w:rFonts w:hAnsi="宋体"/>
                <w:kern w:val="0"/>
                <w:szCs w:val="21"/>
              </w:rPr>
              <w:t>Ⅰ</w:t>
            </w:r>
          </w:p>
        </w:tc>
      </w:tr>
      <w:tr w:rsidR="00C223F5" w:rsidRPr="00CC079C">
        <w:trPr>
          <w:trHeight w:val="314"/>
          <w:jc w:val="center"/>
        </w:trPr>
        <w:tc>
          <w:tcPr>
            <w:tcW w:w="1702" w:type="dxa"/>
            <w:vAlign w:val="center"/>
          </w:tcPr>
          <w:p w:rsidR="00C223F5" w:rsidRPr="00CC079C" w:rsidRDefault="005860D5">
            <w:pPr>
              <w:topLinePunct/>
              <w:adjustRightInd w:val="0"/>
              <w:snapToGrid w:val="0"/>
              <w:jc w:val="center"/>
              <w:rPr>
                <w:szCs w:val="21"/>
              </w:rPr>
            </w:pPr>
            <w:r w:rsidRPr="00CC079C">
              <w:rPr>
                <w:szCs w:val="21"/>
              </w:rPr>
              <w:t>评价工作等级</w:t>
            </w:r>
          </w:p>
        </w:tc>
        <w:tc>
          <w:tcPr>
            <w:tcW w:w="1701" w:type="dxa"/>
            <w:vAlign w:val="center"/>
          </w:tcPr>
          <w:p w:rsidR="00C223F5" w:rsidRPr="00CC079C" w:rsidRDefault="005860D5">
            <w:pPr>
              <w:tabs>
                <w:tab w:val="center" w:pos="4775"/>
              </w:tabs>
              <w:topLinePunct/>
              <w:adjustRightInd w:val="0"/>
              <w:snapToGrid w:val="0"/>
              <w:jc w:val="center"/>
              <w:rPr>
                <w:kern w:val="0"/>
                <w:szCs w:val="21"/>
              </w:rPr>
            </w:pPr>
            <w:r w:rsidRPr="00CC079C">
              <w:t>一</w:t>
            </w:r>
          </w:p>
        </w:tc>
        <w:tc>
          <w:tcPr>
            <w:tcW w:w="1559" w:type="dxa"/>
            <w:vAlign w:val="center"/>
          </w:tcPr>
          <w:p w:rsidR="00C223F5" w:rsidRPr="00CC079C" w:rsidRDefault="005860D5">
            <w:pPr>
              <w:tabs>
                <w:tab w:val="center" w:pos="4775"/>
              </w:tabs>
              <w:topLinePunct/>
              <w:adjustRightInd w:val="0"/>
              <w:snapToGrid w:val="0"/>
              <w:jc w:val="center"/>
              <w:rPr>
                <w:szCs w:val="21"/>
              </w:rPr>
            </w:pPr>
            <w:r w:rsidRPr="00CC079C">
              <w:rPr>
                <w:szCs w:val="21"/>
              </w:rPr>
              <w:t>二</w:t>
            </w:r>
          </w:p>
        </w:tc>
        <w:tc>
          <w:tcPr>
            <w:tcW w:w="2268" w:type="dxa"/>
            <w:vAlign w:val="center"/>
          </w:tcPr>
          <w:p w:rsidR="00C223F5" w:rsidRPr="00CC079C" w:rsidRDefault="005860D5">
            <w:pPr>
              <w:topLinePunct/>
              <w:adjustRightInd w:val="0"/>
              <w:snapToGrid w:val="0"/>
              <w:jc w:val="center"/>
              <w:rPr>
                <w:szCs w:val="21"/>
              </w:rPr>
            </w:pPr>
            <w:r w:rsidRPr="00CC079C">
              <w:rPr>
                <w:szCs w:val="21"/>
              </w:rPr>
              <w:t>三</w:t>
            </w:r>
          </w:p>
        </w:tc>
        <w:tc>
          <w:tcPr>
            <w:tcW w:w="1707" w:type="dxa"/>
            <w:vAlign w:val="center"/>
          </w:tcPr>
          <w:p w:rsidR="00C223F5" w:rsidRPr="00CC079C" w:rsidRDefault="005860D5">
            <w:pPr>
              <w:topLinePunct/>
              <w:adjustRightInd w:val="0"/>
              <w:snapToGrid w:val="0"/>
              <w:jc w:val="center"/>
              <w:rPr>
                <w:szCs w:val="21"/>
              </w:rPr>
            </w:pPr>
            <w:r w:rsidRPr="00CC079C">
              <w:rPr>
                <w:szCs w:val="21"/>
              </w:rPr>
              <w:t>简单分析</w:t>
            </w:r>
          </w:p>
        </w:tc>
      </w:tr>
      <w:tr w:rsidR="00C223F5" w:rsidRPr="00CC079C">
        <w:trPr>
          <w:trHeight w:val="314"/>
          <w:jc w:val="center"/>
        </w:trPr>
        <w:tc>
          <w:tcPr>
            <w:tcW w:w="1702" w:type="dxa"/>
            <w:vAlign w:val="center"/>
          </w:tcPr>
          <w:p w:rsidR="00C223F5" w:rsidRPr="00CC079C" w:rsidRDefault="005860D5">
            <w:pPr>
              <w:topLinePunct/>
              <w:adjustRightInd w:val="0"/>
              <w:snapToGrid w:val="0"/>
              <w:jc w:val="center"/>
              <w:rPr>
                <w:szCs w:val="21"/>
              </w:rPr>
            </w:pPr>
            <w:r w:rsidRPr="00CC079C">
              <w:rPr>
                <w:szCs w:val="21"/>
              </w:rPr>
              <w:t>本项目评价等级</w:t>
            </w:r>
          </w:p>
        </w:tc>
        <w:tc>
          <w:tcPr>
            <w:tcW w:w="7235" w:type="dxa"/>
            <w:gridSpan w:val="4"/>
            <w:vAlign w:val="center"/>
          </w:tcPr>
          <w:p w:rsidR="00C223F5" w:rsidRPr="00CC079C" w:rsidRDefault="005860D5">
            <w:pPr>
              <w:topLinePunct/>
              <w:adjustRightInd w:val="0"/>
              <w:snapToGrid w:val="0"/>
              <w:jc w:val="center"/>
              <w:rPr>
                <w:szCs w:val="21"/>
              </w:rPr>
            </w:pPr>
            <w:r w:rsidRPr="00CC079C">
              <w:rPr>
                <w:szCs w:val="21"/>
              </w:rPr>
              <w:t>简单分析</w:t>
            </w:r>
          </w:p>
        </w:tc>
      </w:tr>
    </w:tbl>
    <w:p w:rsidR="00C223F5" w:rsidRPr="00CC079C" w:rsidRDefault="005860D5">
      <w:pPr>
        <w:pStyle w:val="4"/>
        <w:spacing w:before="0" w:after="0" w:line="360" w:lineRule="auto"/>
        <w:ind w:firstLineChars="100" w:firstLine="240"/>
        <w:rPr>
          <w:szCs w:val="24"/>
        </w:rPr>
      </w:pPr>
      <w:r w:rsidRPr="00CC079C">
        <w:rPr>
          <w:szCs w:val="24"/>
        </w:rPr>
        <w:t>4.2.8.2</w:t>
      </w:r>
      <w:r w:rsidRPr="00CC079C">
        <w:rPr>
          <w:szCs w:val="24"/>
        </w:rPr>
        <w:t>环境敏感目标概况</w:t>
      </w:r>
    </w:p>
    <w:p w:rsidR="00C223F5" w:rsidRPr="00CC079C" w:rsidRDefault="005860D5">
      <w:pPr>
        <w:pStyle w:val="af1"/>
        <w:spacing w:line="360" w:lineRule="auto"/>
        <w:ind w:firstLineChars="200" w:firstLine="480"/>
        <w:rPr>
          <w:sz w:val="24"/>
        </w:rPr>
      </w:pPr>
      <w:r w:rsidRPr="00CC079C">
        <w:rPr>
          <w:sz w:val="24"/>
        </w:rPr>
        <w:t>建设项目周围主要环境敏感目标分布及情况见表</w:t>
      </w:r>
      <w:r w:rsidRPr="00CC079C">
        <w:rPr>
          <w:sz w:val="24"/>
        </w:rPr>
        <w:t>1.6-1</w:t>
      </w:r>
      <w:r w:rsidRPr="00CC079C">
        <w:rPr>
          <w:sz w:val="24"/>
        </w:rPr>
        <w:t>及图</w:t>
      </w:r>
      <w:r w:rsidRPr="00CC079C">
        <w:rPr>
          <w:sz w:val="24"/>
        </w:rPr>
        <w:t>1.6-1</w:t>
      </w:r>
      <w:r w:rsidRPr="00CC079C">
        <w:rPr>
          <w:sz w:val="24"/>
        </w:rPr>
        <w:t>。</w:t>
      </w:r>
    </w:p>
    <w:p w:rsidR="00C223F5" w:rsidRPr="00CC079C" w:rsidRDefault="005860D5" w:rsidP="004835BD">
      <w:pPr>
        <w:pStyle w:val="4"/>
        <w:spacing w:before="0" w:after="0" w:line="360" w:lineRule="auto"/>
        <w:ind w:firstLineChars="100" w:firstLine="240"/>
        <w:rPr>
          <w:szCs w:val="24"/>
        </w:rPr>
      </w:pPr>
      <w:bookmarkStart w:id="424" w:name="_Toc2082591"/>
      <w:bookmarkStart w:id="425" w:name="_Toc514053315"/>
      <w:r w:rsidRPr="00CC079C">
        <w:rPr>
          <w:szCs w:val="24"/>
        </w:rPr>
        <w:lastRenderedPageBreak/>
        <w:t>4.2.8.3</w:t>
      </w:r>
      <w:r w:rsidRPr="00CC079C">
        <w:rPr>
          <w:szCs w:val="24"/>
        </w:rPr>
        <w:t>环境风险识别</w:t>
      </w:r>
      <w:bookmarkEnd w:id="424"/>
      <w:bookmarkEnd w:id="425"/>
    </w:p>
    <w:p w:rsidR="00C223F5" w:rsidRPr="00CC079C" w:rsidRDefault="005860D5">
      <w:pPr>
        <w:pStyle w:val="af1"/>
        <w:spacing w:line="360" w:lineRule="auto"/>
        <w:ind w:firstLineChars="200" w:firstLine="480"/>
        <w:rPr>
          <w:sz w:val="24"/>
          <w:szCs w:val="21"/>
        </w:rPr>
      </w:pPr>
      <w:r w:rsidRPr="00CC079C">
        <w:rPr>
          <w:sz w:val="24"/>
        </w:rPr>
        <w:t>本项目贮运系统包含油脂库</w:t>
      </w:r>
      <w:r w:rsidR="00E87399">
        <w:rPr>
          <w:rFonts w:hint="eastAsia"/>
          <w:sz w:val="24"/>
        </w:rPr>
        <w:t>及</w:t>
      </w:r>
      <w:r w:rsidR="00E87399" w:rsidRPr="00E87399">
        <w:rPr>
          <w:rFonts w:hint="eastAsia"/>
          <w:color w:val="FF0000"/>
          <w:sz w:val="24"/>
        </w:rPr>
        <w:t>危废暂存间</w:t>
      </w:r>
      <w:r w:rsidRPr="00CC079C">
        <w:rPr>
          <w:sz w:val="24"/>
        </w:rPr>
        <w:t>，风险识别见表</w:t>
      </w:r>
      <w:r w:rsidRPr="00CC079C">
        <w:rPr>
          <w:sz w:val="24"/>
        </w:rPr>
        <w:t>4.2.8-4</w:t>
      </w:r>
      <w:r w:rsidRPr="00CC079C">
        <w:rPr>
          <w:sz w:val="24"/>
        </w:rPr>
        <w:t>。</w:t>
      </w:r>
    </w:p>
    <w:p w:rsidR="00C223F5" w:rsidRPr="00CC079C" w:rsidRDefault="005860D5">
      <w:pPr>
        <w:ind w:firstLine="422"/>
        <w:jc w:val="center"/>
        <w:rPr>
          <w:b/>
          <w:bCs/>
          <w:sz w:val="24"/>
        </w:rPr>
      </w:pPr>
      <w:r w:rsidRPr="00CC079C">
        <w:rPr>
          <w:b/>
          <w:bCs/>
          <w:sz w:val="24"/>
        </w:rPr>
        <w:t>表</w:t>
      </w:r>
      <w:r w:rsidRPr="00CC079C">
        <w:rPr>
          <w:b/>
          <w:bCs/>
          <w:sz w:val="24"/>
        </w:rPr>
        <w:t>4.2.8-4</w:t>
      </w:r>
      <w:r w:rsidRPr="00CC079C">
        <w:rPr>
          <w:b/>
          <w:bCs/>
          <w:sz w:val="24"/>
        </w:rPr>
        <w:t>建设项目环境风险识别表</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2"/>
        <w:gridCol w:w="1843"/>
        <w:gridCol w:w="1134"/>
        <w:gridCol w:w="1560"/>
        <w:gridCol w:w="1701"/>
        <w:gridCol w:w="624"/>
      </w:tblGrid>
      <w:tr w:rsidR="00C223F5" w:rsidRPr="00E87399" w:rsidTr="00E87399">
        <w:trPr>
          <w:trHeight w:val="599"/>
          <w:jc w:val="center"/>
        </w:trPr>
        <w:tc>
          <w:tcPr>
            <w:tcW w:w="1242" w:type="dxa"/>
            <w:vAlign w:val="center"/>
          </w:tcPr>
          <w:p w:rsidR="00C223F5" w:rsidRPr="00E87399" w:rsidRDefault="005860D5">
            <w:pPr>
              <w:topLinePunct/>
              <w:adjustRightInd w:val="0"/>
              <w:snapToGrid w:val="0"/>
              <w:jc w:val="center"/>
              <w:rPr>
                <w:szCs w:val="21"/>
              </w:rPr>
            </w:pPr>
            <w:r w:rsidRPr="00E87399">
              <w:rPr>
                <w:szCs w:val="21"/>
              </w:rPr>
              <w:t>危险单元</w:t>
            </w:r>
          </w:p>
        </w:tc>
        <w:tc>
          <w:tcPr>
            <w:tcW w:w="992" w:type="dxa"/>
            <w:vAlign w:val="center"/>
          </w:tcPr>
          <w:p w:rsidR="00C223F5" w:rsidRPr="00E87399" w:rsidRDefault="005860D5">
            <w:pPr>
              <w:topLinePunct/>
              <w:adjustRightInd w:val="0"/>
              <w:snapToGrid w:val="0"/>
              <w:jc w:val="center"/>
              <w:rPr>
                <w:szCs w:val="21"/>
              </w:rPr>
            </w:pPr>
            <w:r w:rsidRPr="00E87399">
              <w:rPr>
                <w:szCs w:val="21"/>
              </w:rPr>
              <w:t>风险源</w:t>
            </w:r>
          </w:p>
        </w:tc>
        <w:tc>
          <w:tcPr>
            <w:tcW w:w="1843" w:type="dxa"/>
            <w:vAlign w:val="center"/>
          </w:tcPr>
          <w:p w:rsidR="00C223F5" w:rsidRPr="00E87399" w:rsidRDefault="005860D5">
            <w:pPr>
              <w:topLinePunct/>
              <w:autoSpaceDE w:val="0"/>
              <w:autoSpaceDN w:val="0"/>
              <w:adjustRightInd w:val="0"/>
              <w:snapToGrid w:val="0"/>
              <w:jc w:val="center"/>
              <w:rPr>
                <w:szCs w:val="21"/>
              </w:rPr>
            </w:pPr>
            <w:r w:rsidRPr="00E87399">
              <w:rPr>
                <w:szCs w:val="21"/>
              </w:rPr>
              <w:t>主要危险物质</w:t>
            </w:r>
          </w:p>
        </w:tc>
        <w:tc>
          <w:tcPr>
            <w:tcW w:w="1134" w:type="dxa"/>
            <w:vAlign w:val="center"/>
          </w:tcPr>
          <w:p w:rsidR="00C223F5" w:rsidRPr="00E87399" w:rsidRDefault="005860D5">
            <w:pPr>
              <w:topLinePunct/>
              <w:autoSpaceDE w:val="0"/>
              <w:autoSpaceDN w:val="0"/>
              <w:adjustRightInd w:val="0"/>
              <w:snapToGrid w:val="0"/>
              <w:jc w:val="center"/>
              <w:rPr>
                <w:szCs w:val="21"/>
              </w:rPr>
            </w:pPr>
            <w:r w:rsidRPr="00E87399">
              <w:rPr>
                <w:szCs w:val="21"/>
              </w:rPr>
              <w:t>环境风险类型</w:t>
            </w:r>
          </w:p>
        </w:tc>
        <w:tc>
          <w:tcPr>
            <w:tcW w:w="1560" w:type="dxa"/>
            <w:vAlign w:val="center"/>
          </w:tcPr>
          <w:p w:rsidR="00C223F5" w:rsidRPr="00E87399" w:rsidRDefault="005860D5">
            <w:pPr>
              <w:topLinePunct/>
              <w:autoSpaceDE w:val="0"/>
              <w:autoSpaceDN w:val="0"/>
              <w:adjustRightInd w:val="0"/>
              <w:snapToGrid w:val="0"/>
              <w:jc w:val="center"/>
              <w:rPr>
                <w:szCs w:val="21"/>
              </w:rPr>
            </w:pPr>
            <w:r w:rsidRPr="00E87399">
              <w:rPr>
                <w:szCs w:val="21"/>
              </w:rPr>
              <w:t>环境影响途径</w:t>
            </w:r>
          </w:p>
        </w:tc>
        <w:tc>
          <w:tcPr>
            <w:tcW w:w="1701" w:type="dxa"/>
            <w:vAlign w:val="center"/>
          </w:tcPr>
          <w:p w:rsidR="00634F83" w:rsidRPr="00E87399" w:rsidRDefault="005860D5">
            <w:pPr>
              <w:topLinePunct/>
              <w:autoSpaceDE w:val="0"/>
              <w:autoSpaceDN w:val="0"/>
              <w:adjustRightInd w:val="0"/>
              <w:snapToGrid w:val="0"/>
              <w:jc w:val="center"/>
              <w:rPr>
                <w:szCs w:val="21"/>
              </w:rPr>
            </w:pPr>
            <w:r w:rsidRPr="00E87399">
              <w:rPr>
                <w:szCs w:val="21"/>
              </w:rPr>
              <w:t>可能受影响的</w:t>
            </w:r>
          </w:p>
          <w:p w:rsidR="00C223F5" w:rsidRPr="00E87399" w:rsidRDefault="005860D5">
            <w:pPr>
              <w:topLinePunct/>
              <w:autoSpaceDE w:val="0"/>
              <w:autoSpaceDN w:val="0"/>
              <w:adjustRightInd w:val="0"/>
              <w:snapToGrid w:val="0"/>
              <w:jc w:val="center"/>
              <w:rPr>
                <w:szCs w:val="21"/>
              </w:rPr>
            </w:pPr>
            <w:r w:rsidRPr="00E87399">
              <w:rPr>
                <w:szCs w:val="21"/>
              </w:rPr>
              <w:t>环境敏感目标</w:t>
            </w:r>
          </w:p>
        </w:tc>
        <w:tc>
          <w:tcPr>
            <w:tcW w:w="624" w:type="dxa"/>
            <w:vAlign w:val="center"/>
          </w:tcPr>
          <w:p w:rsidR="00C223F5" w:rsidRPr="00E87399" w:rsidRDefault="005860D5">
            <w:pPr>
              <w:topLinePunct/>
              <w:adjustRightInd w:val="0"/>
              <w:snapToGrid w:val="0"/>
              <w:jc w:val="center"/>
              <w:rPr>
                <w:szCs w:val="21"/>
              </w:rPr>
            </w:pPr>
            <w:r w:rsidRPr="00E87399">
              <w:rPr>
                <w:szCs w:val="21"/>
              </w:rPr>
              <w:t>备注</w:t>
            </w:r>
          </w:p>
        </w:tc>
      </w:tr>
      <w:tr w:rsidR="004507C0" w:rsidRPr="00E87399" w:rsidTr="00307A4A">
        <w:trPr>
          <w:trHeight w:val="1362"/>
          <w:jc w:val="center"/>
        </w:trPr>
        <w:tc>
          <w:tcPr>
            <w:tcW w:w="1242" w:type="dxa"/>
            <w:vAlign w:val="center"/>
          </w:tcPr>
          <w:p w:rsidR="004507C0" w:rsidRDefault="004507C0" w:rsidP="004507C0">
            <w:pPr>
              <w:topLinePunct/>
              <w:adjustRightInd w:val="0"/>
              <w:snapToGrid w:val="0"/>
              <w:jc w:val="center"/>
              <w:rPr>
                <w:color w:val="FF0000"/>
                <w:szCs w:val="21"/>
              </w:rPr>
            </w:pPr>
            <w:r w:rsidRPr="00E87399">
              <w:rPr>
                <w:szCs w:val="21"/>
              </w:rPr>
              <w:t>油脂库</w:t>
            </w:r>
            <w:r>
              <w:rPr>
                <w:rFonts w:hint="eastAsia"/>
                <w:szCs w:val="21"/>
              </w:rPr>
              <w:t>（含</w:t>
            </w:r>
            <w:r w:rsidRPr="00E87399">
              <w:rPr>
                <w:rFonts w:hint="eastAsia"/>
                <w:color w:val="FF0000"/>
                <w:szCs w:val="21"/>
              </w:rPr>
              <w:t>危废</w:t>
            </w:r>
          </w:p>
          <w:p w:rsidR="004507C0" w:rsidRPr="00E87399" w:rsidRDefault="004507C0" w:rsidP="004507C0">
            <w:pPr>
              <w:topLinePunct/>
              <w:adjustRightInd w:val="0"/>
              <w:snapToGrid w:val="0"/>
              <w:jc w:val="center"/>
              <w:rPr>
                <w:szCs w:val="21"/>
              </w:rPr>
            </w:pPr>
            <w:r w:rsidRPr="00E87399">
              <w:rPr>
                <w:rFonts w:hint="eastAsia"/>
                <w:color w:val="FF0000"/>
                <w:szCs w:val="21"/>
              </w:rPr>
              <w:t>暂存间</w:t>
            </w:r>
            <w:r>
              <w:rPr>
                <w:rFonts w:hint="eastAsia"/>
                <w:color w:val="FF0000"/>
                <w:szCs w:val="21"/>
              </w:rPr>
              <w:t>、墙体分隔、分区存放</w:t>
            </w:r>
            <w:r>
              <w:rPr>
                <w:rFonts w:hint="eastAsia"/>
                <w:szCs w:val="21"/>
              </w:rPr>
              <w:t>）</w:t>
            </w:r>
          </w:p>
        </w:tc>
        <w:tc>
          <w:tcPr>
            <w:tcW w:w="992" w:type="dxa"/>
            <w:vAlign w:val="center"/>
          </w:tcPr>
          <w:p w:rsidR="004507C0" w:rsidRPr="00E87399" w:rsidRDefault="004507C0">
            <w:pPr>
              <w:tabs>
                <w:tab w:val="left" w:pos="540"/>
                <w:tab w:val="left" w:pos="600"/>
                <w:tab w:val="left" w:pos="720"/>
                <w:tab w:val="left" w:pos="2280"/>
                <w:tab w:val="left" w:pos="2448"/>
                <w:tab w:val="left" w:pos="3000"/>
                <w:tab w:val="left" w:pos="3888"/>
                <w:tab w:val="left" w:pos="4800"/>
                <w:tab w:val="left" w:pos="5040"/>
                <w:tab w:val="left" w:pos="5883"/>
                <w:tab w:val="left" w:pos="6300"/>
                <w:tab w:val="left" w:pos="7353"/>
                <w:tab w:val="left" w:pos="8613"/>
              </w:tabs>
              <w:autoSpaceDE w:val="0"/>
              <w:autoSpaceDN w:val="0"/>
              <w:jc w:val="center"/>
              <w:rPr>
                <w:szCs w:val="21"/>
              </w:rPr>
            </w:pPr>
            <w:r w:rsidRPr="00E87399">
              <w:rPr>
                <w:szCs w:val="21"/>
              </w:rPr>
              <w:t>储油桶</w:t>
            </w:r>
          </w:p>
        </w:tc>
        <w:tc>
          <w:tcPr>
            <w:tcW w:w="1843" w:type="dxa"/>
            <w:vAlign w:val="center"/>
          </w:tcPr>
          <w:p w:rsidR="004507C0" w:rsidRPr="00E87399" w:rsidRDefault="004507C0">
            <w:pPr>
              <w:tabs>
                <w:tab w:val="left" w:pos="540"/>
                <w:tab w:val="left" w:pos="600"/>
                <w:tab w:val="left" w:pos="720"/>
                <w:tab w:val="left" w:pos="2280"/>
                <w:tab w:val="left" w:pos="2448"/>
                <w:tab w:val="left" w:pos="3000"/>
                <w:tab w:val="left" w:pos="3888"/>
                <w:tab w:val="left" w:pos="4800"/>
                <w:tab w:val="left" w:pos="5040"/>
                <w:tab w:val="left" w:pos="5883"/>
                <w:tab w:val="left" w:pos="6300"/>
                <w:tab w:val="left" w:pos="7353"/>
                <w:tab w:val="left" w:pos="8613"/>
              </w:tabs>
              <w:autoSpaceDE w:val="0"/>
              <w:autoSpaceDN w:val="0"/>
              <w:jc w:val="center"/>
              <w:rPr>
                <w:szCs w:val="21"/>
              </w:rPr>
            </w:pPr>
            <w:r w:rsidRPr="004507C0">
              <w:rPr>
                <w:color w:val="FF0000"/>
                <w:szCs w:val="21"/>
              </w:rPr>
              <w:t>油类物质（机械油、润滑油</w:t>
            </w:r>
            <w:r w:rsidRPr="004507C0">
              <w:rPr>
                <w:rFonts w:hint="eastAsia"/>
                <w:color w:val="FF0000"/>
                <w:szCs w:val="21"/>
              </w:rPr>
              <w:t>；废</w:t>
            </w:r>
            <w:r w:rsidRPr="004507C0">
              <w:rPr>
                <w:color w:val="FF0000"/>
                <w:szCs w:val="21"/>
              </w:rPr>
              <w:t>机械油、润滑</w:t>
            </w:r>
            <w:r w:rsidRPr="00E87399">
              <w:rPr>
                <w:szCs w:val="21"/>
              </w:rPr>
              <w:t>）</w:t>
            </w:r>
          </w:p>
        </w:tc>
        <w:tc>
          <w:tcPr>
            <w:tcW w:w="1134" w:type="dxa"/>
            <w:vAlign w:val="center"/>
          </w:tcPr>
          <w:p w:rsidR="004507C0" w:rsidRPr="00E87399" w:rsidRDefault="004507C0">
            <w:pPr>
              <w:topLinePunct/>
              <w:adjustRightInd w:val="0"/>
              <w:snapToGrid w:val="0"/>
              <w:jc w:val="center"/>
              <w:rPr>
                <w:szCs w:val="21"/>
              </w:rPr>
            </w:pPr>
            <w:r w:rsidRPr="00E87399">
              <w:rPr>
                <w:szCs w:val="21"/>
              </w:rPr>
              <w:t>泄漏</w:t>
            </w:r>
          </w:p>
        </w:tc>
        <w:tc>
          <w:tcPr>
            <w:tcW w:w="1560" w:type="dxa"/>
            <w:vAlign w:val="center"/>
          </w:tcPr>
          <w:p w:rsidR="004507C0" w:rsidRPr="00E87399" w:rsidRDefault="004507C0">
            <w:pPr>
              <w:topLinePunct/>
              <w:adjustRightInd w:val="0"/>
              <w:snapToGrid w:val="0"/>
              <w:jc w:val="center"/>
              <w:rPr>
                <w:szCs w:val="21"/>
              </w:rPr>
            </w:pPr>
            <w:r w:rsidRPr="00E87399">
              <w:rPr>
                <w:szCs w:val="21"/>
              </w:rPr>
              <w:t>入渗污染地下水；火灾</w:t>
            </w:r>
          </w:p>
        </w:tc>
        <w:tc>
          <w:tcPr>
            <w:tcW w:w="1701" w:type="dxa"/>
            <w:vAlign w:val="center"/>
          </w:tcPr>
          <w:p w:rsidR="004507C0" w:rsidRPr="00E87399" w:rsidRDefault="004507C0">
            <w:pPr>
              <w:topLinePunct/>
              <w:adjustRightInd w:val="0"/>
              <w:snapToGrid w:val="0"/>
              <w:jc w:val="center"/>
              <w:rPr>
                <w:szCs w:val="21"/>
              </w:rPr>
            </w:pPr>
            <w:r w:rsidRPr="00E87399">
              <w:rPr>
                <w:szCs w:val="21"/>
              </w:rPr>
              <w:t>/</w:t>
            </w:r>
          </w:p>
        </w:tc>
        <w:tc>
          <w:tcPr>
            <w:tcW w:w="624" w:type="dxa"/>
            <w:vAlign w:val="center"/>
          </w:tcPr>
          <w:p w:rsidR="004507C0" w:rsidRPr="00E87399" w:rsidRDefault="004507C0">
            <w:pPr>
              <w:topLinePunct/>
              <w:adjustRightInd w:val="0"/>
              <w:snapToGrid w:val="0"/>
              <w:jc w:val="center"/>
              <w:rPr>
                <w:szCs w:val="21"/>
              </w:rPr>
            </w:pPr>
          </w:p>
        </w:tc>
      </w:tr>
    </w:tbl>
    <w:p w:rsidR="00C223F5" w:rsidRPr="00CC079C" w:rsidRDefault="005860D5">
      <w:pPr>
        <w:pStyle w:val="4"/>
        <w:spacing w:before="0" w:after="0" w:line="360" w:lineRule="auto"/>
        <w:ind w:firstLineChars="100" w:firstLine="240"/>
        <w:rPr>
          <w:szCs w:val="24"/>
        </w:rPr>
      </w:pPr>
      <w:r w:rsidRPr="00CC079C">
        <w:rPr>
          <w:szCs w:val="24"/>
        </w:rPr>
        <w:t>4.2.8.4</w:t>
      </w:r>
      <w:r w:rsidRPr="00CC079C">
        <w:rPr>
          <w:szCs w:val="24"/>
        </w:rPr>
        <w:t>环境风险分析</w:t>
      </w:r>
    </w:p>
    <w:p w:rsidR="00C223F5" w:rsidRPr="00CC079C" w:rsidRDefault="005860D5">
      <w:pPr>
        <w:pStyle w:val="36"/>
        <w:ind w:firstLineChars="200" w:firstLine="482"/>
        <w:rPr>
          <w:b/>
        </w:rPr>
      </w:pPr>
      <w:r w:rsidRPr="00CC079C">
        <w:rPr>
          <w:b/>
        </w:rPr>
        <w:t>（</w:t>
      </w:r>
      <w:r w:rsidRPr="00CC079C">
        <w:rPr>
          <w:b/>
        </w:rPr>
        <w:t>1</w:t>
      </w:r>
      <w:r w:rsidRPr="00CC079C">
        <w:rPr>
          <w:b/>
        </w:rPr>
        <w:t>）油脂库</w:t>
      </w:r>
      <w:r w:rsidR="00E87399">
        <w:rPr>
          <w:rFonts w:hint="eastAsia"/>
          <w:b/>
        </w:rPr>
        <w:t>及危废暂存间</w:t>
      </w:r>
    </w:p>
    <w:p w:rsidR="00C223F5" w:rsidRPr="00CC079C" w:rsidRDefault="005860D5">
      <w:pPr>
        <w:pStyle w:val="36"/>
        <w:ind w:firstLineChars="200" w:firstLine="480"/>
      </w:pPr>
      <w:r w:rsidRPr="00CC079C">
        <w:t>1</w:t>
      </w:r>
      <w:r w:rsidRPr="00CC079C">
        <w:t>）大气环境风险分析</w:t>
      </w:r>
    </w:p>
    <w:p w:rsidR="00C223F5" w:rsidRPr="00CC079C" w:rsidRDefault="005860D5">
      <w:pPr>
        <w:pStyle w:val="36"/>
        <w:ind w:firstLineChars="200" w:firstLine="480"/>
      </w:pPr>
      <w:r w:rsidRPr="00CC079C">
        <w:t>本项目油脂库</w:t>
      </w:r>
      <w:r w:rsidR="004507C0">
        <w:rPr>
          <w:rFonts w:hint="eastAsia"/>
        </w:rPr>
        <w:t>及</w:t>
      </w:r>
      <w:r w:rsidR="00E87399" w:rsidRPr="00E87399">
        <w:rPr>
          <w:rFonts w:hint="eastAsia"/>
          <w:color w:val="FF0000"/>
        </w:rPr>
        <w:t>危废暂存间</w:t>
      </w:r>
      <w:r w:rsidRPr="00E87399">
        <w:rPr>
          <w:color w:val="FF0000"/>
        </w:rPr>
        <w:t>存</w:t>
      </w:r>
      <w:r w:rsidRPr="00CC079C">
        <w:t>放</w:t>
      </w:r>
      <w:r w:rsidR="00E87399">
        <w:rPr>
          <w:rFonts w:hint="eastAsia"/>
        </w:rPr>
        <w:t>有</w:t>
      </w:r>
      <w:r w:rsidRPr="00CC079C">
        <w:t>储油桶，单个桶容积</w:t>
      </w:r>
      <w:r w:rsidRPr="00CC079C">
        <w:t>0.3m</w:t>
      </w:r>
      <w:r w:rsidRPr="00CC079C">
        <w:rPr>
          <w:vertAlign w:val="superscript"/>
        </w:rPr>
        <w:t>3</w:t>
      </w:r>
      <w:r w:rsidRPr="00CC079C">
        <w:t>。储油桶位于</w:t>
      </w:r>
      <w:r w:rsidR="00E87399">
        <w:rPr>
          <w:rFonts w:hint="eastAsia"/>
        </w:rPr>
        <w:t>库房内</w:t>
      </w:r>
      <w:r w:rsidRPr="00CC079C">
        <w:t>，空间比较封闭，即使破损、泄漏发生火灾的可能性也比较小。</w:t>
      </w:r>
    </w:p>
    <w:p w:rsidR="00C223F5" w:rsidRPr="00CC079C" w:rsidRDefault="005860D5">
      <w:pPr>
        <w:pStyle w:val="36"/>
        <w:ind w:firstLineChars="200" w:firstLine="480"/>
      </w:pPr>
      <w:r w:rsidRPr="00CC079C">
        <w:t>2</w:t>
      </w:r>
      <w:r w:rsidRPr="00CC079C">
        <w:t>）地表水环境风险分析</w:t>
      </w:r>
    </w:p>
    <w:p w:rsidR="00C223F5" w:rsidRPr="00CC079C" w:rsidRDefault="005860D5">
      <w:pPr>
        <w:pStyle w:val="36"/>
        <w:ind w:firstLineChars="200" w:firstLine="480"/>
      </w:pPr>
      <w:r w:rsidRPr="00CC079C">
        <w:t>本项目场地南侧约</w:t>
      </w:r>
      <w:r w:rsidRPr="00CC079C">
        <w:t>12m</w:t>
      </w:r>
      <w:r w:rsidRPr="00CC079C">
        <w:t>处为地表水体蚂蚁河。油脂库</w:t>
      </w:r>
      <w:r w:rsidR="004507C0">
        <w:rPr>
          <w:rFonts w:hint="eastAsia"/>
        </w:rPr>
        <w:t>及</w:t>
      </w:r>
      <w:r w:rsidR="00E87399" w:rsidRPr="00E87399">
        <w:rPr>
          <w:rFonts w:hint="eastAsia"/>
          <w:color w:val="FF0000"/>
        </w:rPr>
        <w:t>危废暂存间</w:t>
      </w:r>
      <w:r w:rsidRPr="00CC079C">
        <w:t>布设于工业场地中北部，距离南厂界约</w:t>
      </w:r>
      <w:r w:rsidRPr="00CC079C">
        <w:t>110m</w:t>
      </w:r>
      <w:r w:rsidRPr="00CC079C">
        <w:t>，油脂库</w:t>
      </w:r>
      <w:r w:rsidR="004507C0">
        <w:rPr>
          <w:rFonts w:hint="eastAsia"/>
        </w:rPr>
        <w:t>及</w:t>
      </w:r>
      <w:r w:rsidR="00E87399" w:rsidRPr="00E87399">
        <w:rPr>
          <w:rFonts w:hint="eastAsia"/>
          <w:color w:val="FF0000"/>
        </w:rPr>
        <w:t>危废暂存间</w:t>
      </w:r>
      <w:r w:rsidRPr="00CC079C">
        <w:t>周边铺设硬化地面且有场地内道路和建筑物阻隔，油脂泄露不会进入地表水体。</w:t>
      </w:r>
    </w:p>
    <w:p w:rsidR="00C223F5" w:rsidRPr="00CC079C" w:rsidRDefault="005860D5">
      <w:pPr>
        <w:pStyle w:val="36"/>
        <w:ind w:firstLineChars="200" w:firstLine="480"/>
      </w:pPr>
      <w:r w:rsidRPr="00CC079C">
        <w:t>3</w:t>
      </w:r>
      <w:r w:rsidRPr="00CC079C">
        <w:t>）地下水环境风险分析</w:t>
      </w:r>
    </w:p>
    <w:p w:rsidR="00C223F5" w:rsidRPr="00CC079C" w:rsidRDefault="005860D5">
      <w:pPr>
        <w:pStyle w:val="36"/>
        <w:ind w:firstLineChars="200" w:firstLine="480"/>
      </w:pPr>
      <w:r w:rsidRPr="00CC079C">
        <w:t>本项目油脂库</w:t>
      </w:r>
      <w:r w:rsidR="004507C0">
        <w:rPr>
          <w:rFonts w:hint="eastAsia"/>
        </w:rPr>
        <w:t>及</w:t>
      </w:r>
      <w:r w:rsidR="00E87399" w:rsidRPr="00E87399">
        <w:rPr>
          <w:rFonts w:hint="eastAsia"/>
          <w:color w:val="FF0000"/>
        </w:rPr>
        <w:t>危废暂存间</w:t>
      </w:r>
      <w:r w:rsidRPr="00CC079C">
        <w:t>存放</w:t>
      </w:r>
      <w:r w:rsidR="00E87399">
        <w:rPr>
          <w:rFonts w:hint="eastAsia"/>
        </w:rPr>
        <w:t>有</w:t>
      </w:r>
      <w:r w:rsidRPr="00CC079C">
        <w:t>储油桶，单个桶容积</w:t>
      </w:r>
      <w:r w:rsidRPr="00CC079C">
        <w:t>0.3m</w:t>
      </w:r>
      <w:r w:rsidRPr="00CC079C">
        <w:rPr>
          <w:vertAlign w:val="superscript"/>
        </w:rPr>
        <w:t>3</w:t>
      </w:r>
      <w:r w:rsidRPr="00CC079C">
        <w:t>。油脂库</w:t>
      </w:r>
      <w:r w:rsidR="004507C0">
        <w:rPr>
          <w:rFonts w:hint="eastAsia"/>
        </w:rPr>
        <w:t>及</w:t>
      </w:r>
      <w:r w:rsidR="00E87399" w:rsidRPr="00E87399">
        <w:rPr>
          <w:rFonts w:hint="eastAsia"/>
          <w:color w:val="FF0000"/>
        </w:rPr>
        <w:t>危废暂存间</w:t>
      </w:r>
      <w:r w:rsidRPr="00CC079C">
        <w:t>底部防渗，</w:t>
      </w:r>
      <w:r w:rsidR="00E87399">
        <w:rPr>
          <w:rFonts w:hint="eastAsia"/>
        </w:rPr>
        <w:t>出口</w:t>
      </w:r>
      <w:r w:rsidRPr="00E87399">
        <w:rPr>
          <w:color w:val="FF0000"/>
        </w:rPr>
        <w:t>设置围堰</w:t>
      </w:r>
      <w:r w:rsidR="004507C0">
        <w:rPr>
          <w:rFonts w:hint="eastAsia"/>
          <w:color w:val="FF0000"/>
        </w:rPr>
        <w:t>、</w:t>
      </w:r>
      <w:r w:rsidR="004507C0" w:rsidRPr="004507C0">
        <w:rPr>
          <w:color w:val="FF0000"/>
        </w:rPr>
        <w:t>导流槽和</w:t>
      </w:r>
      <w:r w:rsidR="00E87399">
        <w:rPr>
          <w:rFonts w:hint="eastAsia"/>
          <w:color w:val="FF0000"/>
        </w:rPr>
        <w:t>集油坑</w:t>
      </w:r>
      <w:r w:rsidRPr="00CC079C">
        <w:t>，围堰的容积约</w:t>
      </w:r>
      <w:r w:rsidRPr="00CC079C">
        <w:t>3m</w:t>
      </w:r>
      <w:r w:rsidRPr="00CC079C">
        <w:rPr>
          <w:vertAlign w:val="superscript"/>
        </w:rPr>
        <w:t>3</w:t>
      </w:r>
      <w:r w:rsidRPr="00CC079C">
        <w:t>，油桶全部破损后，可全部收集，一般不会污染地下水。</w:t>
      </w:r>
    </w:p>
    <w:p w:rsidR="00AB79FB" w:rsidRPr="00CC079C" w:rsidRDefault="00AB79FB">
      <w:pPr>
        <w:pStyle w:val="36"/>
        <w:ind w:firstLineChars="200" w:firstLine="480"/>
      </w:pPr>
      <w:r w:rsidRPr="00CC079C">
        <w:t>本项目环境风险简单分析内容见表</w:t>
      </w:r>
      <w:r w:rsidRPr="00CC079C">
        <w:t>4.2.8-5</w:t>
      </w:r>
      <w:r w:rsidRPr="00CC079C">
        <w:t>。</w:t>
      </w:r>
    </w:p>
    <w:p w:rsidR="00AB79FB" w:rsidRPr="00CC079C" w:rsidRDefault="00AB79FB" w:rsidP="00AB79FB">
      <w:pPr>
        <w:pStyle w:val="a8"/>
        <w:rPr>
          <w:rFonts w:eastAsia="Times New Roman"/>
          <w:bCs w:val="0"/>
          <w:sz w:val="24"/>
        </w:rPr>
      </w:pPr>
      <w:r w:rsidRPr="00CC079C">
        <w:rPr>
          <w:bCs w:val="0"/>
          <w:sz w:val="24"/>
        </w:rPr>
        <w:t>表</w:t>
      </w:r>
      <w:r w:rsidRPr="00CC079C">
        <w:rPr>
          <w:rFonts w:eastAsiaTheme="minorEastAsia"/>
          <w:bCs w:val="0"/>
          <w:sz w:val="24"/>
        </w:rPr>
        <w:t xml:space="preserve">4.2.8-5   </w:t>
      </w:r>
      <w:r w:rsidRPr="00CC079C">
        <w:rPr>
          <w:bCs w:val="0"/>
          <w:sz w:val="24"/>
        </w:rPr>
        <w:t>建设项目环境风险简单分析内容表</w:t>
      </w:r>
    </w:p>
    <w:p w:rsidR="00AB79FB" w:rsidRPr="00CC079C" w:rsidRDefault="00AB79FB" w:rsidP="00AB79FB">
      <w:pPr>
        <w:rPr>
          <w:rFonts w:eastAsia="Times New Roman"/>
          <w:sz w:val="3"/>
          <w:szCs w:val="3"/>
        </w:rPr>
      </w:pPr>
    </w:p>
    <w:tbl>
      <w:tblPr>
        <w:tblW w:w="8994" w:type="dxa"/>
        <w:jc w:val="center"/>
        <w:tblLayout w:type="fixed"/>
        <w:tblCellMar>
          <w:top w:w="57" w:type="dxa"/>
          <w:left w:w="57" w:type="dxa"/>
          <w:bottom w:w="57" w:type="dxa"/>
          <w:right w:w="57" w:type="dxa"/>
        </w:tblCellMar>
        <w:tblLook w:val="04A0" w:firstRow="1" w:lastRow="0" w:firstColumn="1" w:lastColumn="0" w:noHBand="0" w:noVBand="1"/>
      </w:tblPr>
      <w:tblGrid>
        <w:gridCol w:w="1273"/>
        <w:gridCol w:w="1625"/>
        <w:gridCol w:w="2102"/>
        <w:gridCol w:w="1816"/>
        <w:gridCol w:w="2178"/>
      </w:tblGrid>
      <w:tr w:rsidR="00AB79FB" w:rsidRPr="00CC079C" w:rsidTr="00754403">
        <w:trPr>
          <w:trHeight w:val="28"/>
          <w:jc w:val="center"/>
        </w:trPr>
        <w:tc>
          <w:tcPr>
            <w:tcW w:w="1273"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项目名称</w:t>
            </w:r>
          </w:p>
        </w:tc>
        <w:tc>
          <w:tcPr>
            <w:tcW w:w="7721" w:type="dxa"/>
            <w:gridSpan w:val="4"/>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横山县天云煤矿有限公司天云煤矿资源整合项目</w:t>
            </w:r>
          </w:p>
        </w:tc>
      </w:tr>
      <w:tr w:rsidR="00AB79FB" w:rsidRPr="00CC079C" w:rsidTr="00634F83">
        <w:trPr>
          <w:trHeight w:val="23"/>
          <w:jc w:val="center"/>
        </w:trPr>
        <w:tc>
          <w:tcPr>
            <w:tcW w:w="1273"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建设地点</w:t>
            </w:r>
          </w:p>
        </w:tc>
        <w:tc>
          <w:tcPr>
            <w:tcW w:w="1625"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陕西（省）</w:t>
            </w:r>
          </w:p>
        </w:tc>
        <w:tc>
          <w:tcPr>
            <w:tcW w:w="2102"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榆林（市）</w:t>
            </w:r>
          </w:p>
        </w:tc>
        <w:tc>
          <w:tcPr>
            <w:tcW w:w="1816"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横山（区）</w:t>
            </w:r>
          </w:p>
        </w:tc>
        <w:tc>
          <w:tcPr>
            <w:tcW w:w="2178"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魏家楼乡施阳台村</w:t>
            </w:r>
          </w:p>
        </w:tc>
      </w:tr>
      <w:tr w:rsidR="00AB79FB" w:rsidRPr="00CC079C" w:rsidTr="00634F83">
        <w:trPr>
          <w:trHeight w:val="23"/>
          <w:jc w:val="center"/>
        </w:trPr>
        <w:tc>
          <w:tcPr>
            <w:tcW w:w="1273" w:type="dxa"/>
            <w:vMerge w:val="restart"/>
            <w:tcBorders>
              <w:top w:val="single" w:sz="4" w:space="0" w:color="000000"/>
              <w:left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地理坐标</w:t>
            </w:r>
          </w:p>
        </w:tc>
        <w:tc>
          <w:tcPr>
            <w:tcW w:w="1625"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经度</w:t>
            </w:r>
          </w:p>
        </w:tc>
        <w:tc>
          <w:tcPr>
            <w:tcW w:w="2102"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109</w:t>
            </w:r>
            <w:r w:rsidR="00634F83" w:rsidRPr="00CC079C">
              <w:rPr>
                <w:sz w:val="18"/>
                <w:szCs w:val="18"/>
              </w:rPr>
              <w:t>.46400</w:t>
            </w:r>
          </w:p>
        </w:tc>
        <w:tc>
          <w:tcPr>
            <w:tcW w:w="1816"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纬度</w:t>
            </w:r>
          </w:p>
        </w:tc>
        <w:tc>
          <w:tcPr>
            <w:tcW w:w="2178"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37</w:t>
            </w:r>
            <w:r w:rsidR="00634F83" w:rsidRPr="00CC079C">
              <w:rPr>
                <w:sz w:val="18"/>
                <w:szCs w:val="18"/>
              </w:rPr>
              <w:t>.56167</w:t>
            </w:r>
          </w:p>
        </w:tc>
      </w:tr>
      <w:tr w:rsidR="00AB79FB" w:rsidRPr="00CC079C" w:rsidTr="00634F83">
        <w:trPr>
          <w:trHeight w:val="23"/>
          <w:jc w:val="center"/>
        </w:trPr>
        <w:tc>
          <w:tcPr>
            <w:tcW w:w="1273" w:type="dxa"/>
            <w:vMerge/>
            <w:tcBorders>
              <w:left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p>
        </w:tc>
        <w:tc>
          <w:tcPr>
            <w:tcW w:w="1625"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经度</w:t>
            </w:r>
          </w:p>
        </w:tc>
        <w:tc>
          <w:tcPr>
            <w:tcW w:w="2102"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109</w:t>
            </w:r>
            <w:r w:rsidR="00634F83" w:rsidRPr="00CC079C">
              <w:rPr>
                <w:sz w:val="18"/>
                <w:szCs w:val="18"/>
              </w:rPr>
              <w:t>.46412</w:t>
            </w:r>
          </w:p>
        </w:tc>
        <w:tc>
          <w:tcPr>
            <w:tcW w:w="1816"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纬度</w:t>
            </w:r>
          </w:p>
        </w:tc>
        <w:tc>
          <w:tcPr>
            <w:tcW w:w="2178"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37</w:t>
            </w:r>
            <w:r w:rsidR="00634F83" w:rsidRPr="00CC079C">
              <w:rPr>
                <w:sz w:val="18"/>
                <w:szCs w:val="18"/>
              </w:rPr>
              <w:t>.56206</w:t>
            </w:r>
          </w:p>
        </w:tc>
      </w:tr>
      <w:tr w:rsidR="00AB79FB" w:rsidRPr="00CC079C" w:rsidTr="00634F83">
        <w:trPr>
          <w:trHeight w:val="23"/>
          <w:jc w:val="center"/>
        </w:trPr>
        <w:tc>
          <w:tcPr>
            <w:tcW w:w="1273" w:type="dxa"/>
            <w:vMerge/>
            <w:tcBorders>
              <w:left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p>
        </w:tc>
        <w:tc>
          <w:tcPr>
            <w:tcW w:w="1625"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经度</w:t>
            </w:r>
          </w:p>
        </w:tc>
        <w:tc>
          <w:tcPr>
            <w:tcW w:w="2102"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109</w:t>
            </w:r>
            <w:r w:rsidR="00634F83" w:rsidRPr="00CC079C">
              <w:rPr>
                <w:sz w:val="18"/>
                <w:szCs w:val="18"/>
              </w:rPr>
              <w:t>.46801</w:t>
            </w:r>
          </w:p>
        </w:tc>
        <w:tc>
          <w:tcPr>
            <w:tcW w:w="1816"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纬度</w:t>
            </w:r>
          </w:p>
        </w:tc>
        <w:tc>
          <w:tcPr>
            <w:tcW w:w="2178"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37</w:t>
            </w:r>
            <w:r w:rsidR="00634F83" w:rsidRPr="00CC079C">
              <w:rPr>
                <w:sz w:val="18"/>
                <w:szCs w:val="18"/>
              </w:rPr>
              <w:t>.56202</w:t>
            </w:r>
          </w:p>
        </w:tc>
      </w:tr>
      <w:tr w:rsidR="00AB79FB" w:rsidRPr="00CC079C" w:rsidTr="00833020">
        <w:trPr>
          <w:trHeight w:val="56"/>
          <w:jc w:val="center"/>
        </w:trPr>
        <w:tc>
          <w:tcPr>
            <w:tcW w:w="1273" w:type="dxa"/>
            <w:vMerge/>
            <w:tcBorders>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p>
        </w:tc>
        <w:tc>
          <w:tcPr>
            <w:tcW w:w="1625"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经度</w:t>
            </w:r>
          </w:p>
        </w:tc>
        <w:tc>
          <w:tcPr>
            <w:tcW w:w="2102"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109</w:t>
            </w:r>
            <w:r w:rsidR="00634F83" w:rsidRPr="00CC079C">
              <w:rPr>
                <w:sz w:val="18"/>
                <w:szCs w:val="18"/>
              </w:rPr>
              <w:t>.46806</w:t>
            </w:r>
          </w:p>
        </w:tc>
        <w:tc>
          <w:tcPr>
            <w:tcW w:w="1816"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纬度</w:t>
            </w:r>
          </w:p>
        </w:tc>
        <w:tc>
          <w:tcPr>
            <w:tcW w:w="2178"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37</w:t>
            </w:r>
            <w:r w:rsidR="00634F83" w:rsidRPr="00CC079C">
              <w:rPr>
                <w:sz w:val="18"/>
                <w:szCs w:val="18"/>
              </w:rPr>
              <w:t>.56106</w:t>
            </w:r>
          </w:p>
        </w:tc>
      </w:tr>
      <w:tr w:rsidR="00AB79FB" w:rsidRPr="00CC079C" w:rsidTr="00634F83">
        <w:trPr>
          <w:trHeight w:val="23"/>
          <w:jc w:val="center"/>
        </w:trPr>
        <w:tc>
          <w:tcPr>
            <w:tcW w:w="1273"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主要危险物</w:t>
            </w:r>
          </w:p>
          <w:p w:rsidR="00AB79FB" w:rsidRPr="00CC079C" w:rsidRDefault="00AB79FB" w:rsidP="00BF48DC">
            <w:pPr>
              <w:pStyle w:val="TableParagraph"/>
              <w:spacing w:line="240" w:lineRule="exact"/>
              <w:jc w:val="center"/>
              <w:rPr>
                <w:sz w:val="18"/>
                <w:szCs w:val="18"/>
              </w:rPr>
            </w:pPr>
            <w:r w:rsidRPr="00CC079C">
              <w:rPr>
                <w:sz w:val="18"/>
                <w:szCs w:val="18"/>
              </w:rPr>
              <w:t>质及分布</w:t>
            </w:r>
          </w:p>
        </w:tc>
        <w:tc>
          <w:tcPr>
            <w:tcW w:w="7721" w:type="dxa"/>
            <w:gridSpan w:val="4"/>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主要危险物质为丙类油脂（如润滑油、机油等），储存于油脂库</w:t>
            </w:r>
            <w:r w:rsidR="00E87399">
              <w:rPr>
                <w:rFonts w:hint="eastAsia"/>
                <w:sz w:val="18"/>
                <w:szCs w:val="18"/>
              </w:rPr>
              <w:t>及危废暂存间</w:t>
            </w:r>
          </w:p>
        </w:tc>
      </w:tr>
      <w:tr w:rsidR="00AB79FB" w:rsidRPr="00CC079C" w:rsidTr="00634F83">
        <w:trPr>
          <w:trHeight w:val="23"/>
          <w:jc w:val="center"/>
        </w:trPr>
        <w:tc>
          <w:tcPr>
            <w:tcW w:w="1273" w:type="dxa"/>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环境影响途径及危害后果</w:t>
            </w:r>
          </w:p>
        </w:tc>
        <w:tc>
          <w:tcPr>
            <w:tcW w:w="7721" w:type="dxa"/>
            <w:gridSpan w:val="4"/>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rPr>
                <w:sz w:val="18"/>
                <w:szCs w:val="18"/>
              </w:rPr>
            </w:pPr>
            <w:r w:rsidRPr="00CC079C">
              <w:rPr>
                <w:sz w:val="18"/>
                <w:szCs w:val="18"/>
              </w:rPr>
              <w:t>影响途径：泄露后漫流、下渗</w:t>
            </w:r>
          </w:p>
          <w:p w:rsidR="00AB79FB" w:rsidRPr="00CC079C" w:rsidRDefault="00AB79FB" w:rsidP="00BF48DC">
            <w:pPr>
              <w:pStyle w:val="TableParagraph"/>
              <w:spacing w:line="240" w:lineRule="exact"/>
              <w:rPr>
                <w:sz w:val="18"/>
                <w:szCs w:val="18"/>
              </w:rPr>
            </w:pPr>
            <w:r w:rsidRPr="00CC079C">
              <w:rPr>
                <w:sz w:val="18"/>
                <w:szCs w:val="18"/>
              </w:rPr>
              <w:t>影响后果：在油脂库</w:t>
            </w:r>
            <w:r w:rsidR="00E87399">
              <w:rPr>
                <w:rFonts w:hint="eastAsia"/>
                <w:sz w:val="18"/>
                <w:szCs w:val="18"/>
              </w:rPr>
              <w:t>及危废暂存间</w:t>
            </w:r>
            <w:r w:rsidRPr="00CC079C">
              <w:rPr>
                <w:sz w:val="18"/>
                <w:szCs w:val="18"/>
              </w:rPr>
              <w:t>地面防渗、并设集油池（坑）收集，油脂库</w:t>
            </w:r>
            <w:r w:rsidR="00E87399">
              <w:rPr>
                <w:rFonts w:hint="eastAsia"/>
                <w:sz w:val="18"/>
                <w:szCs w:val="18"/>
              </w:rPr>
              <w:t>及危废暂存间</w:t>
            </w:r>
            <w:r w:rsidRPr="00CC079C">
              <w:rPr>
                <w:sz w:val="18"/>
                <w:szCs w:val="18"/>
              </w:rPr>
              <w:t>发生泄漏事故环境风险可控，对周围环境影响不大。</w:t>
            </w:r>
          </w:p>
        </w:tc>
      </w:tr>
      <w:tr w:rsidR="00AB79FB" w:rsidRPr="00CC079C" w:rsidTr="00BF48DC">
        <w:trPr>
          <w:trHeight w:val="480"/>
          <w:jc w:val="center"/>
        </w:trPr>
        <w:tc>
          <w:tcPr>
            <w:tcW w:w="1273" w:type="dxa"/>
            <w:tcBorders>
              <w:top w:val="single" w:sz="4" w:space="0" w:color="000000"/>
              <w:left w:val="single" w:sz="4" w:space="0" w:color="000000"/>
              <w:bottom w:val="single" w:sz="4" w:space="0" w:color="000000"/>
              <w:right w:val="single" w:sz="4" w:space="0" w:color="000000"/>
            </w:tcBorders>
            <w:vAlign w:val="center"/>
          </w:tcPr>
          <w:p w:rsidR="00AB79FB" w:rsidRPr="00E87399" w:rsidRDefault="00AB79FB" w:rsidP="00BF48DC">
            <w:pPr>
              <w:pStyle w:val="TableParagraph"/>
              <w:spacing w:line="240" w:lineRule="exact"/>
              <w:jc w:val="center"/>
              <w:rPr>
                <w:color w:val="FF0000"/>
                <w:sz w:val="18"/>
                <w:szCs w:val="18"/>
              </w:rPr>
            </w:pPr>
            <w:r w:rsidRPr="00E87399">
              <w:rPr>
                <w:color w:val="FF0000"/>
                <w:sz w:val="18"/>
                <w:szCs w:val="18"/>
              </w:rPr>
              <w:lastRenderedPageBreak/>
              <w:t>风险防范措</w:t>
            </w:r>
          </w:p>
          <w:p w:rsidR="00AB79FB" w:rsidRPr="00E87399" w:rsidRDefault="00AB79FB" w:rsidP="00BF48DC">
            <w:pPr>
              <w:pStyle w:val="TableParagraph"/>
              <w:spacing w:line="240" w:lineRule="exact"/>
              <w:jc w:val="center"/>
              <w:rPr>
                <w:color w:val="FF0000"/>
                <w:sz w:val="18"/>
                <w:szCs w:val="18"/>
              </w:rPr>
            </w:pPr>
            <w:r w:rsidRPr="00E87399">
              <w:rPr>
                <w:color w:val="FF0000"/>
                <w:sz w:val="18"/>
                <w:szCs w:val="18"/>
              </w:rPr>
              <w:t>施要求</w:t>
            </w:r>
          </w:p>
        </w:tc>
        <w:tc>
          <w:tcPr>
            <w:tcW w:w="7721" w:type="dxa"/>
            <w:gridSpan w:val="4"/>
            <w:tcBorders>
              <w:top w:val="single" w:sz="4" w:space="0" w:color="000000"/>
              <w:left w:val="single" w:sz="4" w:space="0" w:color="000000"/>
              <w:bottom w:val="single" w:sz="4" w:space="0" w:color="000000"/>
              <w:right w:val="single" w:sz="4" w:space="0" w:color="000000"/>
            </w:tcBorders>
            <w:vAlign w:val="center"/>
          </w:tcPr>
          <w:p w:rsidR="00AB79FB" w:rsidRPr="00E87399" w:rsidRDefault="00AB79FB" w:rsidP="00BF48DC">
            <w:pPr>
              <w:pStyle w:val="TableParagraph"/>
              <w:spacing w:line="240" w:lineRule="exact"/>
              <w:rPr>
                <w:color w:val="FF0000"/>
                <w:sz w:val="18"/>
                <w:szCs w:val="18"/>
              </w:rPr>
            </w:pPr>
            <w:r w:rsidRPr="00E87399">
              <w:rPr>
                <w:color w:val="FF0000"/>
                <w:sz w:val="18"/>
                <w:szCs w:val="18"/>
              </w:rPr>
              <w:t>一、油类泄露</w:t>
            </w:r>
          </w:p>
          <w:p w:rsidR="00AB79FB" w:rsidRPr="00E87399" w:rsidRDefault="00AB79FB" w:rsidP="00BF48DC">
            <w:pPr>
              <w:pStyle w:val="TableParagraph"/>
              <w:spacing w:line="240" w:lineRule="exact"/>
              <w:rPr>
                <w:color w:val="FF0000"/>
                <w:sz w:val="18"/>
                <w:szCs w:val="18"/>
              </w:rPr>
            </w:pPr>
            <w:r w:rsidRPr="00E87399">
              <w:rPr>
                <w:rFonts w:eastAsia="Times New Roman"/>
                <w:color w:val="FF0000"/>
                <w:sz w:val="18"/>
                <w:szCs w:val="18"/>
              </w:rPr>
              <w:t>1</w:t>
            </w:r>
            <w:r w:rsidRPr="00E87399">
              <w:rPr>
                <w:color w:val="FF0000"/>
                <w:sz w:val="18"/>
                <w:szCs w:val="18"/>
              </w:rPr>
              <w:t>、油脂库</w:t>
            </w:r>
            <w:r w:rsidR="00E87399" w:rsidRPr="00E87399">
              <w:rPr>
                <w:rFonts w:hint="eastAsia"/>
                <w:color w:val="FF0000"/>
                <w:sz w:val="18"/>
                <w:szCs w:val="18"/>
              </w:rPr>
              <w:t>及危废暂存间</w:t>
            </w:r>
            <w:r w:rsidRPr="00E87399">
              <w:rPr>
                <w:color w:val="FF0000"/>
                <w:sz w:val="18"/>
                <w:szCs w:val="18"/>
              </w:rPr>
              <w:t>地面防渗，并设置集油池（坑）；</w:t>
            </w:r>
          </w:p>
          <w:p w:rsidR="00AB79FB" w:rsidRPr="00E87399" w:rsidRDefault="00AB79FB" w:rsidP="00BF48DC">
            <w:pPr>
              <w:pStyle w:val="TableParagraph"/>
              <w:spacing w:line="240" w:lineRule="exact"/>
              <w:rPr>
                <w:color w:val="FF0000"/>
                <w:sz w:val="18"/>
                <w:szCs w:val="18"/>
              </w:rPr>
            </w:pPr>
            <w:r w:rsidRPr="00E87399">
              <w:rPr>
                <w:color w:val="FF0000"/>
                <w:sz w:val="18"/>
                <w:szCs w:val="18"/>
              </w:rPr>
              <w:t>2</w:t>
            </w:r>
            <w:r w:rsidRPr="00E87399">
              <w:rPr>
                <w:color w:val="FF0000"/>
                <w:sz w:val="18"/>
                <w:szCs w:val="18"/>
              </w:rPr>
              <w:t>、油脂库</w:t>
            </w:r>
            <w:r w:rsidR="00E87399" w:rsidRPr="00E87399">
              <w:rPr>
                <w:rFonts w:hint="eastAsia"/>
                <w:color w:val="FF0000"/>
                <w:sz w:val="18"/>
                <w:szCs w:val="18"/>
              </w:rPr>
              <w:t>及危废暂存间</w:t>
            </w:r>
            <w:r w:rsidRPr="00E87399">
              <w:rPr>
                <w:color w:val="FF0000"/>
                <w:sz w:val="18"/>
                <w:szCs w:val="18"/>
              </w:rPr>
              <w:t>禁止非丙类油品储存；</w:t>
            </w:r>
          </w:p>
          <w:p w:rsidR="00AB79FB" w:rsidRPr="00E87399" w:rsidRDefault="00AB79FB" w:rsidP="00BF48DC">
            <w:pPr>
              <w:pStyle w:val="TableParagraph"/>
              <w:spacing w:line="240" w:lineRule="exact"/>
              <w:rPr>
                <w:color w:val="FF0000"/>
                <w:sz w:val="18"/>
                <w:szCs w:val="18"/>
              </w:rPr>
            </w:pPr>
            <w:r w:rsidRPr="00E87399">
              <w:rPr>
                <w:color w:val="FF0000"/>
                <w:sz w:val="18"/>
                <w:szCs w:val="18"/>
              </w:rPr>
              <w:t>3</w:t>
            </w:r>
            <w:r w:rsidRPr="00E87399">
              <w:rPr>
                <w:color w:val="FF0000"/>
                <w:sz w:val="18"/>
                <w:szCs w:val="18"/>
              </w:rPr>
              <w:t>、设立标志，加强巡检，贮存必要的应急物资；</w:t>
            </w:r>
          </w:p>
          <w:p w:rsidR="00AB79FB" w:rsidRPr="00E87399" w:rsidRDefault="00AB79FB" w:rsidP="00BF48DC">
            <w:pPr>
              <w:pStyle w:val="TableParagraph"/>
              <w:spacing w:line="240" w:lineRule="exact"/>
              <w:rPr>
                <w:color w:val="FF0000"/>
                <w:sz w:val="18"/>
                <w:szCs w:val="18"/>
              </w:rPr>
            </w:pPr>
            <w:r w:rsidRPr="00E87399">
              <w:rPr>
                <w:color w:val="FF0000"/>
                <w:sz w:val="18"/>
                <w:szCs w:val="18"/>
              </w:rPr>
              <w:t>4</w:t>
            </w:r>
            <w:r w:rsidRPr="00E87399">
              <w:rPr>
                <w:color w:val="FF0000"/>
                <w:sz w:val="18"/>
                <w:szCs w:val="18"/>
              </w:rPr>
              <w:t>、制订油脂库</w:t>
            </w:r>
            <w:r w:rsidR="00E87399" w:rsidRPr="00E87399">
              <w:rPr>
                <w:rFonts w:hint="eastAsia"/>
                <w:color w:val="FF0000"/>
                <w:sz w:val="18"/>
                <w:szCs w:val="18"/>
              </w:rPr>
              <w:t>及危废暂存间</w:t>
            </w:r>
            <w:r w:rsidRPr="00E87399">
              <w:rPr>
                <w:color w:val="FF0000"/>
                <w:sz w:val="18"/>
                <w:szCs w:val="18"/>
              </w:rPr>
              <w:t>环境风险应急预案、并不定期演练。</w:t>
            </w:r>
          </w:p>
        </w:tc>
      </w:tr>
      <w:tr w:rsidR="00AB79FB" w:rsidRPr="00CC079C" w:rsidTr="00634F83">
        <w:trPr>
          <w:trHeight w:val="23"/>
          <w:jc w:val="center"/>
        </w:trPr>
        <w:tc>
          <w:tcPr>
            <w:tcW w:w="8994" w:type="dxa"/>
            <w:gridSpan w:val="5"/>
            <w:tcBorders>
              <w:top w:val="single" w:sz="4" w:space="0" w:color="000000"/>
              <w:left w:val="single" w:sz="4" w:space="0" w:color="000000"/>
              <w:bottom w:val="single" w:sz="4" w:space="0" w:color="000000"/>
              <w:right w:val="single" w:sz="4" w:space="0" w:color="000000"/>
            </w:tcBorders>
            <w:vAlign w:val="center"/>
          </w:tcPr>
          <w:p w:rsidR="00AB79FB" w:rsidRPr="00CC079C" w:rsidRDefault="00AB79FB" w:rsidP="00BF48DC">
            <w:pPr>
              <w:pStyle w:val="TableParagraph"/>
              <w:spacing w:line="240" w:lineRule="exact"/>
              <w:jc w:val="center"/>
              <w:rPr>
                <w:sz w:val="18"/>
                <w:szCs w:val="18"/>
              </w:rPr>
            </w:pPr>
            <w:r w:rsidRPr="00CC079C">
              <w:rPr>
                <w:sz w:val="18"/>
                <w:szCs w:val="18"/>
              </w:rPr>
              <w:t>填表说明（列出项目相关信息及评价说明）：无</w:t>
            </w:r>
          </w:p>
        </w:tc>
      </w:tr>
    </w:tbl>
    <w:p w:rsidR="00754403" w:rsidRPr="00CC079C" w:rsidRDefault="00754403" w:rsidP="00754403">
      <w:pPr>
        <w:pStyle w:val="4"/>
        <w:spacing w:before="0" w:after="0" w:line="360" w:lineRule="auto"/>
        <w:ind w:firstLineChars="100" w:firstLine="240"/>
        <w:rPr>
          <w:szCs w:val="24"/>
        </w:rPr>
      </w:pPr>
      <w:bookmarkStart w:id="426" w:name="_Toc533604337"/>
      <w:bookmarkStart w:id="427" w:name="_Toc533604757"/>
      <w:bookmarkStart w:id="428" w:name="_Toc488660725"/>
      <w:bookmarkEnd w:id="422"/>
      <w:bookmarkEnd w:id="423"/>
      <w:r w:rsidRPr="00CC079C">
        <w:rPr>
          <w:szCs w:val="24"/>
        </w:rPr>
        <w:t>4.2.8.5</w:t>
      </w:r>
      <w:r w:rsidRPr="00CC079C">
        <w:rPr>
          <w:szCs w:val="24"/>
        </w:rPr>
        <w:t>环境风险自查表</w:t>
      </w:r>
    </w:p>
    <w:p w:rsidR="00754403" w:rsidRPr="00CC079C" w:rsidRDefault="00754403" w:rsidP="00754403">
      <w:pPr>
        <w:spacing w:line="360" w:lineRule="auto"/>
        <w:ind w:firstLineChars="200" w:firstLine="480"/>
        <w:rPr>
          <w:sz w:val="24"/>
        </w:rPr>
      </w:pPr>
      <w:r w:rsidRPr="00CC079C">
        <w:rPr>
          <w:sz w:val="24"/>
        </w:rPr>
        <w:t>项目环境风险自查表见表</w:t>
      </w:r>
      <w:r w:rsidRPr="00CC079C">
        <w:rPr>
          <w:sz w:val="24"/>
        </w:rPr>
        <w:t>K.1</w:t>
      </w:r>
      <w:r w:rsidRPr="00CC079C">
        <w:rPr>
          <w:sz w:val="24"/>
        </w:rPr>
        <w:t>。</w:t>
      </w:r>
    </w:p>
    <w:p w:rsidR="00754403" w:rsidRPr="00CC079C" w:rsidRDefault="00754403" w:rsidP="00754403">
      <w:pPr>
        <w:autoSpaceDE w:val="0"/>
        <w:autoSpaceDN w:val="0"/>
        <w:adjustRightInd w:val="0"/>
        <w:jc w:val="center"/>
        <w:rPr>
          <w:rFonts w:eastAsia="黑体"/>
          <w:kern w:val="0"/>
          <w:sz w:val="24"/>
        </w:rPr>
      </w:pPr>
      <w:r w:rsidRPr="00CC079C">
        <w:rPr>
          <w:rFonts w:eastAsia="黑体"/>
          <w:kern w:val="0"/>
          <w:sz w:val="24"/>
        </w:rPr>
        <w:t>表</w:t>
      </w:r>
      <w:r w:rsidRPr="00CC079C">
        <w:rPr>
          <w:rFonts w:eastAsia="黑体"/>
          <w:kern w:val="0"/>
          <w:sz w:val="24"/>
        </w:rPr>
        <w:t xml:space="preserve">K.1 </w:t>
      </w:r>
      <w:r w:rsidRPr="00CC079C">
        <w:rPr>
          <w:rFonts w:eastAsia="黑体"/>
          <w:kern w:val="0"/>
          <w:sz w:val="24"/>
        </w:rPr>
        <w:t>环境风险评价自查表</w:t>
      </w:r>
    </w:p>
    <w:tbl>
      <w:tblPr>
        <w:tblStyle w:val="afffe"/>
        <w:tblW w:w="9452" w:type="dxa"/>
        <w:jc w:val="center"/>
        <w:tblLook w:val="04A0" w:firstRow="1" w:lastRow="0" w:firstColumn="1" w:lastColumn="0" w:noHBand="0" w:noVBand="1"/>
      </w:tblPr>
      <w:tblGrid>
        <w:gridCol w:w="396"/>
        <w:gridCol w:w="1347"/>
        <w:gridCol w:w="1134"/>
        <w:gridCol w:w="279"/>
        <w:gridCol w:w="834"/>
        <w:gridCol w:w="851"/>
        <w:gridCol w:w="768"/>
        <w:gridCol w:w="768"/>
        <w:gridCol w:w="768"/>
        <w:gridCol w:w="769"/>
        <w:gridCol w:w="769"/>
        <w:gridCol w:w="769"/>
      </w:tblGrid>
      <w:tr w:rsidR="00754403" w:rsidRPr="00CC079C" w:rsidTr="006C228A">
        <w:trPr>
          <w:trHeight w:val="109"/>
          <w:jc w:val="center"/>
        </w:trPr>
        <w:tc>
          <w:tcPr>
            <w:tcW w:w="1743" w:type="dxa"/>
            <w:gridSpan w:val="2"/>
            <w:vAlign w:val="center"/>
          </w:tcPr>
          <w:p w:rsidR="00754403" w:rsidRPr="00CC079C" w:rsidRDefault="00754403" w:rsidP="006C228A">
            <w:pPr>
              <w:autoSpaceDE w:val="0"/>
              <w:autoSpaceDN w:val="0"/>
              <w:contextualSpacing/>
              <w:jc w:val="center"/>
              <w:rPr>
                <w:kern w:val="0"/>
                <w:sz w:val="18"/>
                <w:szCs w:val="18"/>
              </w:rPr>
            </w:pPr>
            <w:r w:rsidRPr="00CC079C">
              <w:rPr>
                <w:kern w:val="0"/>
                <w:sz w:val="18"/>
                <w:szCs w:val="18"/>
              </w:rPr>
              <w:t>工作内容</w:t>
            </w:r>
          </w:p>
        </w:tc>
        <w:tc>
          <w:tcPr>
            <w:tcW w:w="7709" w:type="dxa"/>
            <w:gridSpan w:val="10"/>
            <w:vAlign w:val="center"/>
          </w:tcPr>
          <w:p w:rsidR="00754403" w:rsidRPr="00CC079C" w:rsidRDefault="00754403" w:rsidP="006C228A">
            <w:pPr>
              <w:autoSpaceDE w:val="0"/>
              <w:autoSpaceDN w:val="0"/>
              <w:contextualSpacing/>
              <w:jc w:val="center"/>
              <w:rPr>
                <w:kern w:val="0"/>
                <w:sz w:val="18"/>
                <w:szCs w:val="18"/>
              </w:rPr>
            </w:pPr>
            <w:r w:rsidRPr="00CC079C">
              <w:rPr>
                <w:kern w:val="0"/>
                <w:sz w:val="18"/>
                <w:szCs w:val="18"/>
              </w:rPr>
              <w:t>完成情况</w:t>
            </w:r>
          </w:p>
        </w:tc>
      </w:tr>
      <w:tr w:rsidR="00754403" w:rsidRPr="00CC079C" w:rsidTr="006C228A">
        <w:trPr>
          <w:jc w:val="center"/>
        </w:trPr>
        <w:tc>
          <w:tcPr>
            <w:tcW w:w="396" w:type="dxa"/>
            <w:vMerge w:val="restart"/>
            <w:vAlign w:val="center"/>
          </w:tcPr>
          <w:p w:rsidR="00754403" w:rsidRPr="00CC079C" w:rsidRDefault="00754403" w:rsidP="006C228A">
            <w:pPr>
              <w:autoSpaceDE w:val="0"/>
              <w:autoSpaceDN w:val="0"/>
              <w:contextualSpacing/>
              <w:jc w:val="center"/>
              <w:rPr>
                <w:kern w:val="0"/>
                <w:sz w:val="18"/>
                <w:szCs w:val="18"/>
              </w:rPr>
            </w:pPr>
            <w:r w:rsidRPr="00CC079C">
              <w:rPr>
                <w:kern w:val="0"/>
                <w:sz w:val="18"/>
                <w:szCs w:val="18"/>
              </w:rPr>
              <w:t>风险调查</w:t>
            </w:r>
          </w:p>
        </w:tc>
        <w:tc>
          <w:tcPr>
            <w:tcW w:w="1347" w:type="dxa"/>
            <w:vMerge w:val="restart"/>
            <w:vAlign w:val="center"/>
          </w:tcPr>
          <w:p w:rsidR="00754403" w:rsidRPr="00CC079C" w:rsidRDefault="00754403" w:rsidP="006C228A">
            <w:pPr>
              <w:autoSpaceDE w:val="0"/>
              <w:autoSpaceDN w:val="0"/>
              <w:contextualSpacing/>
              <w:jc w:val="center"/>
              <w:rPr>
                <w:kern w:val="0"/>
                <w:sz w:val="18"/>
                <w:szCs w:val="18"/>
              </w:rPr>
            </w:pPr>
            <w:r w:rsidRPr="00CC079C">
              <w:rPr>
                <w:kern w:val="0"/>
                <w:sz w:val="18"/>
                <w:szCs w:val="18"/>
              </w:rPr>
              <w:t>危险物质</w:t>
            </w:r>
          </w:p>
        </w:tc>
        <w:tc>
          <w:tcPr>
            <w:tcW w:w="1134" w:type="dxa"/>
            <w:vAlign w:val="center"/>
          </w:tcPr>
          <w:p w:rsidR="00754403" w:rsidRPr="00CC079C" w:rsidRDefault="00754403" w:rsidP="006C228A">
            <w:pPr>
              <w:autoSpaceDE w:val="0"/>
              <w:autoSpaceDN w:val="0"/>
              <w:contextualSpacing/>
              <w:jc w:val="center"/>
              <w:rPr>
                <w:kern w:val="0"/>
                <w:sz w:val="18"/>
                <w:szCs w:val="18"/>
              </w:rPr>
            </w:pPr>
            <w:r w:rsidRPr="00CC079C">
              <w:rPr>
                <w:kern w:val="0"/>
                <w:sz w:val="18"/>
                <w:szCs w:val="18"/>
              </w:rPr>
              <w:t>名称</w:t>
            </w:r>
          </w:p>
        </w:tc>
        <w:tc>
          <w:tcPr>
            <w:tcW w:w="1113" w:type="dxa"/>
            <w:gridSpan w:val="2"/>
            <w:vAlign w:val="center"/>
          </w:tcPr>
          <w:p w:rsidR="00754403" w:rsidRPr="00CC079C" w:rsidRDefault="00754403" w:rsidP="006C228A">
            <w:pPr>
              <w:autoSpaceDE w:val="0"/>
              <w:autoSpaceDN w:val="0"/>
              <w:contextualSpacing/>
              <w:jc w:val="center"/>
              <w:rPr>
                <w:kern w:val="0"/>
                <w:sz w:val="18"/>
                <w:szCs w:val="18"/>
              </w:rPr>
            </w:pPr>
            <w:r w:rsidRPr="00CC079C">
              <w:rPr>
                <w:kern w:val="0"/>
                <w:sz w:val="18"/>
                <w:szCs w:val="18"/>
              </w:rPr>
              <w:t>油类物质</w:t>
            </w:r>
          </w:p>
        </w:tc>
        <w:tc>
          <w:tcPr>
            <w:tcW w:w="851" w:type="dxa"/>
            <w:vAlign w:val="center"/>
          </w:tcPr>
          <w:p w:rsidR="00754403" w:rsidRPr="00CC079C" w:rsidRDefault="00754403" w:rsidP="006C228A">
            <w:pPr>
              <w:autoSpaceDE w:val="0"/>
              <w:autoSpaceDN w:val="0"/>
              <w:contextualSpacing/>
              <w:jc w:val="center"/>
              <w:rPr>
                <w:kern w:val="0"/>
                <w:sz w:val="18"/>
                <w:szCs w:val="18"/>
              </w:rPr>
            </w:pPr>
          </w:p>
        </w:tc>
        <w:tc>
          <w:tcPr>
            <w:tcW w:w="768" w:type="dxa"/>
            <w:vAlign w:val="center"/>
          </w:tcPr>
          <w:p w:rsidR="00754403" w:rsidRPr="00CC079C" w:rsidRDefault="00754403" w:rsidP="006C228A">
            <w:pPr>
              <w:autoSpaceDE w:val="0"/>
              <w:autoSpaceDN w:val="0"/>
              <w:contextualSpacing/>
              <w:jc w:val="center"/>
              <w:rPr>
                <w:kern w:val="0"/>
                <w:sz w:val="18"/>
                <w:szCs w:val="18"/>
              </w:rPr>
            </w:pPr>
          </w:p>
        </w:tc>
        <w:tc>
          <w:tcPr>
            <w:tcW w:w="768" w:type="dxa"/>
            <w:vAlign w:val="center"/>
          </w:tcPr>
          <w:p w:rsidR="00754403" w:rsidRPr="00CC079C" w:rsidRDefault="00754403" w:rsidP="006C228A">
            <w:pPr>
              <w:autoSpaceDE w:val="0"/>
              <w:autoSpaceDN w:val="0"/>
              <w:contextualSpacing/>
              <w:jc w:val="center"/>
              <w:rPr>
                <w:kern w:val="0"/>
                <w:sz w:val="18"/>
                <w:szCs w:val="18"/>
              </w:rPr>
            </w:pPr>
          </w:p>
        </w:tc>
        <w:tc>
          <w:tcPr>
            <w:tcW w:w="768" w:type="dxa"/>
            <w:vAlign w:val="center"/>
          </w:tcPr>
          <w:p w:rsidR="00754403" w:rsidRPr="00CC079C" w:rsidRDefault="00754403" w:rsidP="006C228A">
            <w:pPr>
              <w:autoSpaceDE w:val="0"/>
              <w:autoSpaceDN w:val="0"/>
              <w:contextualSpacing/>
              <w:jc w:val="center"/>
              <w:rPr>
                <w:kern w:val="0"/>
                <w:sz w:val="18"/>
                <w:szCs w:val="18"/>
              </w:rPr>
            </w:pPr>
          </w:p>
        </w:tc>
        <w:tc>
          <w:tcPr>
            <w:tcW w:w="769" w:type="dxa"/>
            <w:vAlign w:val="center"/>
          </w:tcPr>
          <w:p w:rsidR="00754403" w:rsidRPr="00CC079C" w:rsidRDefault="00754403" w:rsidP="006C228A">
            <w:pPr>
              <w:autoSpaceDE w:val="0"/>
              <w:autoSpaceDN w:val="0"/>
              <w:contextualSpacing/>
              <w:jc w:val="center"/>
              <w:rPr>
                <w:kern w:val="0"/>
                <w:sz w:val="18"/>
                <w:szCs w:val="18"/>
              </w:rPr>
            </w:pPr>
          </w:p>
        </w:tc>
        <w:tc>
          <w:tcPr>
            <w:tcW w:w="769" w:type="dxa"/>
            <w:vAlign w:val="center"/>
          </w:tcPr>
          <w:p w:rsidR="00754403" w:rsidRPr="00CC079C" w:rsidRDefault="00754403" w:rsidP="006C228A">
            <w:pPr>
              <w:autoSpaceDE w:val="0"/>
              <w:autoSpaceDN w:val="0"/>
              <w:contextualSpacing/>
              <w:jc w:val="center"/>
              <w:rPr>
                <w:kern w:val="0"/>
                <w:sz w:val="18"/>
                <w:szCs w:val="18"/>
              </w:rPr>
            </w:pPr>
          </w:p>
        </w:tc>
        <w:tc>
          <w:tcPr>
            <w:tcW w:w="769" w:type="dxa"/>
            <w:vAlign w:val="center"/>
          </w:tcPr>
          <w:p w:rsidR="00754403" w:rsidRPr="00CC079C" w:rsidRDefault="00754403" w:rsidP="006C228A">
            <w:pPr>
              <w:autoSpaceDE w:val="0"/>
              <w:autoSpaceDN w:val="0"/>
              <w:contextualSpacing/>
              <w:jc w:val="center"/>
              <w:rPr>
                <w:kern w:val="0"/>
                <w:sz w:val="18"/>
                <w:szCs w:val="18"/>
              </w:rPr>
            </w:pPr>
          </w:p>
        </w:tc>
      </w:tr>
      <w:tr w:rsidR="00754403" w:rsidRPr="00CC079C" w:rsidTr="006C228A">
        <w:trPr>
          <w:jc w:val="center"/>
        </w:trPr>
        <w:tc>
          <w:tcPr>
            <w:tcW w:w="396" w:type="dxa"/>
            <w:vMerge/>
            <w:vAlign w:val="center"/>
          </w:tcPr>
          <w:p w:rsidR="00754403" w:rsidRPr="00CC079C" w:rsidRDefault="00754403" w:rsidP="006C228A">
            <w:pPr>
              <w:autoSpaceDE w:val="0"/>
              <w:autoSpaceDN w:val="0"/>
              <w:contextualSpacing/>
              <w:jc w:val="center"/>
              <w:rPr>
                <w:kern w:val="0"/>
                <w:sz w:val="18"/>
                <w:szCs w:val="18"/>
              </w:rPr>
            </w:pPr>
          </w:p>
        </w:tc>
        <w:tc>
          <w:tcPr>
            <w:tcW w:w="1347" w:type="dxa"/>
            <w:vMerge/>
            <w:vAlign w:val="center"/>
          </w:tcPr>
          <w:p w:rsidR="00754403" w:rsidRPr="00CC079C" w:rsidRDefault="00754403" w:rsidP="006C228A">
            <w:pPr>
              <w:autoSpaceDE w:val="0"/>
              <w:autoSpaceDN w:val="0"/>
              <w:contextualSpacing/>
              <w:jc w:val="center"/>
              <w:rPr>
                <w:kern w:val="0"/>
                <w:sz w:val="18"/>
                <w:szCs w:val="18"/>
              </w:rPr>
            </w:pPr>
          </w:p>
        </w:tc>
        <w:tc>
          <w:tcPr>
            <w:tcW w:w="1134" w:type="dxa"/>
            <w:vAlign w:val="center"/>
          </w:tcPr>
          <w:p w:rsidR="00754403" w:rsidRPr="00CC079C" w:rsidRDefault="00754403" w:rsidP="006C228A">
            <w:pPr>
              <w:autoSpaceDE w:val="0"/>
              <w:autoSpaceDN w:val="0"/>
              <w:contextualSpacing/>
              <w:jc w:val="center"/>
              <w:rPr>
                <w:kern w:val="0"/>
                <w:sz w:val="18"/>
                <w:szCs w:val="18"/>
              </w:rPr>
            </w:pPr>
            <w:r w:rsidRPr="00CC079C">
              <w:rPr>
                <w:kern w:val="0"/>
                <w:sz w:val="18"/>
                <w:szCs w:val="18"/>
              </w:rPr>
              <w:t>存在总量</w:t>
            </w:r>
            <w:r w:rsidRPr="00CC079C">
              <w:rPr>
                <w:rFonts w:eastAsia="黑体"/>
                <w:kern w:val="0"/>
                <w:sz w:val="18"/>
                <w:szCs w:val="18"/>
              </w:rPr>
              <w:t>/t</w:t>
            </w:r>
          </w:p>
        </w:tc>
        <w:tc>
          <w:tcPr>
            <w:tcW w:w="1113" w:type="dxa"/>
            <w:gridSpan w:val="2"/>
            <w:vAlign w:val="center"/>
          </w:tcPr>
          <w:p w:rsidR="00754403" w:rsidRPr="00BF48DC" w:rsidRDefault="00754403" w:rsidP="006C228A">
            <w:pPr>
              <w:autoSpaceDE w:val="0"/>
              <w:autoSpaceDN w:val="0"/>
              <w:contextualSpacing/>
              <w:jc w:val="center"/>
              <w:rPr>
                <w:color w:val="FF0000"/>
                <w:kern w:val="0"/>
                <w:sz w:val="18"/>
                <w:szCs w:val="18"/>
              </w:rPr>
            </w:pPr>
            <w:r w:rsidRPr="00BF48DC">
              <w:rPr>
                <w:color w:val="FF0000"/>
                <w:kern w:val="0"/>
                <w:sz w:val="18"/>
                <w:szCs w:val="18"/>
              </w:rPr>
              <w:t>3</w:t>
            </w:r>
            <w:r w:rsidR="00BF48DC" w:rsidRPr="00BF48DC">
              <w:rPr>
                <w:rFonts w:hint="eastAsia"/>
                <w:color w:val="FF0000"/>
                <w:kern w:val="0"/>
                <w:sz w:val="18"/>
                <w:szCs w:val="18"/>
              </w:rPr>
              <w:t>.3</w:t>
            </w:r>
          </w:p>
        </w:tc>
        <w:tc>
          <w:tcPr>
            <w:tcW w:w="851" w:type="dxa"/>
            <w:vAlign w:val="center"/>
          </w:tcPr>
          <w:p w:rsidR="00754403" w:rsidRPr="00CC079C" w:rsidRDefault="00754403" w:rsidP="006C228A">
            <w:pPr>
              <w:autoSpaceDE w:val="0"/>
              <w:autoSpaceDN w:val="0"/>
              <w:contextualSpacing/>
              <w:jc w:val="center"/>
              <w:rPr>
                <w:kern w:val="0"/>
                <w:sz w:val="18"/>
                <w:szCs w:val="18"/>
              </w:rPr>
            </w:pPr>
          </w:p>
        </w:tc>
        <w:tc>
          <w:tcPr>
            <w:tcW w:w="768" w:type="dxa"/>
            <w:vAlign w:val="center"/>
          </w:tcPr>
          <w:p w:rsidR="00754403" w:rsidRPr="00CC079C" w:rsidRDefault="00754403" w:rsidP="006C228A">
            <w:pPr>
              <w:autoSpaceDE w:val="0"/>
              <w:autoSpaceDN w:val="0"/>
              <w:contextualSpacing/>
              <w:jc w:val="center"/>
              <w:rPr>
                <w:kern w:val="0"/>
                <w:sz w:val="18"/>
                <w:szCs w:val="18"/>
              </w:rPr>
            </w:pPr>
          </w:p>
        </w:tc>
        <w:tc>
          <w:tcPr>
            <w:tcW w:w="768" w:type="dxa"/>
            <w:vAlign w:val="center"/>
          </w:tcPr>
          <w:p w:rsidR="00754403" w:rsidRPr="00CC079C" w:rsidRDefault="00754403" w:rsidP="006C228A">
            <w:pPr>
              <w:autoSpaceDE w:val="0"/>
              <w:autoSpaceDN w:val="0"/>
              <w:contextualSpacing/>
              <w:jc w:val="center"/>
              <w:rPr>
                <w:kern w:val="0"/>
                <w:sz w:val="18"/>
                <w:szCs w:val="18"/>
              </w:rPr>
            </w:pPr>
          </w:p>
        </w:tc>
        <w:tc>
          <w:tcPr>
            <w:tcW w:w="768" w:type="dxa"/>
            <w:vAlign w:val="center"/>
          </w:tcPr>
          <w:p w:rsidR="00754403" w:rsidRPr="00CC079C" w:rsidRDefault="00754403" w:rsidP="006C228A">
            <w:pPr>
              <w:autoSpaceDE w:val="0"/>
              <w:autoSpaceDN w:val="0"/>
              <w:contextualSpacing/>
              <w:jc w:val="center"/>
              <w:rPr>
                <w:kern w:val="0"/>
                <w:sz w:val="18"/>
                <w:szCs w:val="18"/>
              </w:rPr>
            </w:pPr>
          </w:p>
        </w:tc>
        <w:tc>
          <w:tcPr>
            <w:tcW w:w="769" w:type="dxa"/>
            <w:vAlign w:val="center"/>
          </w:tcPr>
          <w:p w:rsidR="00754403" w:rsidRPr="00CC079C" w:rsidRDefault="00754403" w:rsidP="006C228A">
            <w:pPr>
              <w:autoSpaceDE w:val="0"/>
              <w:autoSpaceDN w:val="0"/>
              <w:contextualSpacing/>
              <w:jc w:val="center"/>
              <w:rPr>
                <w:kern w:val="0"/>
                <w:sz w:val="18"/>
                <w:szCs w:val="18"/>
              </w:rPr>
            </w:pPr>
          </w:p>
        </w:tc>
        <w:tc>
          <w:tcPr>
            <w:tcW w:w="769" w:type="dxa"/>
            <w:vAlign w:val="center"/>
          </w:tcPr>
          <w:p w:rsidR="00754403" w:rsidRPr="00CC079C" w:rsidRDefault="00754403" w:rsidP="006C228A">
            <w:pPr>
              <w:autoSpaceDE w:val="0"/>
              <w:autoSpaceDN w:val="0"/>
              <w:contextualSpacing/>
              <w:jc w:val="center"/>
              <w:rPr>
                <w:kern w:val="0"/>
                <w:sz w:val="18"/>
                <w:szCs w:val="18"/>
              </w:rPr>
            </w:pPr>
          </w:p>
        </w:tc>
        <w:tc>
          <w:tcPr>
            <w:tcW w:w="769" w:type="dxa"/>
            <w:vAlign w:val="center"/>
          </w:tcPr>
          <w:p w:rsidR="00754403" w:rsidRPr="00CC079C" w:rsidRDefault="00754403" w:rsidP="006C228A">
            <w:pPr>
              <w:autoSpaceDE w:val="0"/>
              <w:autoSpaceDN w:val="0"/>
              <w:contextualSpacing/>
              <w:jc w:val="center"/>
              <w:rPr>
                <w:kern w:val="0"/>
                <w:sz w:val="18"/>
                <w:szCs w:val="18"/>
              </w:rPr>
            </w:pPr>
          </w:p>
        </w:tc>
      </w:tr>
      <w:tr w:rsidR="00754403" w:rsidRPr="00CC079C" w:rsidTr="006C228A">
        <w:trPr>
          <w:jc w:val="center"/>
        </w:trPr>
        <w:tc>
          <w:tcPr>
            <w:tcW w:w="396" w:type="dxa"/>
            <w:vMerge/>
            <w:vAlign w:val="center"/>
          </w:tcPr>
          <w:p w:rsidR="00754403" w:rsidRPr="00CC079C" w:rsidRDefault="00754403" w:rsidP="006C228A">
            <w:pPr>
              <w:autoSpaceDE w:val="0"/>
              <w:autoSpaceDN w:val="0"/>
              <w:contextualSpacing/>
              <w:jc w:val="center"/>
              <w:rPr>
                <w:kern w:val="0"/>
                <w:sz w:val="18"/>
                <w:szCs w:val="18"/>
              </w:rPr>
            </w:pPr>
          </w:p>
        </w:tc>
        <w:tc>
          <w:tcPr>
            <w:tcW w:w="1347" w:type="dxa"/>
            <w:vMerge w:val="restart"/>
            <w:vAlign w:val="center"/>
          </w:tcPr>
          <w:p w:rsidR="00754403" w:rsidRPr="00CC079C" w:rsidRDefault="00754403" w:rsidP="006C228A">
            <w:pPr>
              <w:autoSpaceDE w:val="0"/>
              <w:autoSpaceDN w:val="0"/>
              <w:contextualSpacing/>
              <w:jc w:val="center"/>
              <w:rPr>
                <w:kern w:val="0"/>
                <w:sz w:val="18"/>
                <w:szCs w:val="18"/>
              </w:rPr>
            </w:pPr>
            <w:r w:rsidRPr="00CC079C">
              <w:rPr>
                <w:kern w:val="0"/>
                <w:sz w:val="18"/>
                <w:szCs w:val="18"/>
              </w:rPr>
              <w:t>环境敏感性</w:t>
            </w:r>
          </w:p>
        </w:tc>
        <w:tc>
          <w:tcPr>
            <w:tcW w:w="1134" w:type="dxa"/>
            <w:vMerge w:val="restart"/>
            <w:vAlign w:val="center"/>
          </w:tcPr>
          <w:p w:rsidR="00754403" w:rsidRPr="00CC079C" w:rsidRDefault="00754403" w:rsidP="006C228A">
            <w:pPr>
              <w:autoSpaceDE w:val="0"/>
              <w:autoSpaceDN w:val="0"/>
              <w:contextualSpacing/>
              <w:jc w:val="center"/>
              <w:rPr>
                <w:kern w:val="0"/>
                <w:sz w:val="18"/>
                <w:szCs w:val="18"/>
              </w:rPr>
            </w:pPr>
            <w:r w:rsidRPr="00CC079C">
              <w:rPr>
                <w:kern w:val="0"/>
                <w:sz w:val="18"/>
                <w:szCs w:val="18"/>
              </w:rPr>
              <w:t>大气</w:t>
            </w:r>
          </w:p>
        </w:tc>
        <w:tc>
          <w:tcPr>
            <w:tcW w:w="3500" w:type="dxa"/>
            <w:gridSpan w:val="5"/>
            <w:vAlign w:val="center"/>
          </w:tcPr>
          <w:p w:rsidR="00754403" w:rsidRPr="00CC079C" w:rsidRDefault="00754403" w:rsidP="006C228A">
            <w:pPr>
              <w:autoSpaceDE w:val="0"/>
              <w:autoSpaceDN w:val="0"/>
              <w:contextualSpacing/>
              <w:jc w:val="center"/>
              <w:rPr>
                <w:kern w:val="0"/>
                <w:sz w:val="18"/>
                <w:szCs w:val="18"/>
              </w:rPr>
            </w:pPr>
            <w:r w:rsidRPr="00CC079C">
              <w:rPr>
                <w:rFonts w:eastAsia="黑体"/>
                <w:kern w:val="0"/>
                <w:sz w:val="18"/>
                <w:szCs w:val="18"/>
              </w:rPr>
              <w:t xml:space="preserve">500 m </w:t>
            </w:r>
            <w:r w:rsidRPr="00CC079C">
              <w:rPr>
                <w:kern w:val="0"/>
                <w:sz w:val="18"/>
                <w:szCs w:val="18"/>
              </w:rPr>
              <w:t>范围内人口数</w:t>
            </w:r>
            <w:r w:rsidRPr="00CC079C">
              <w:rPr>
                <w:kern w:val="0"/>
                <w:sz w:val="18"/>
                <w:szCs w:val="18"/>
                <w:u w:val="single"/>
              </w:rPr>
              <w:t xml:space="preserve">  786   </w:t>
            </w:r>
            <w:r w:rsidRPr="00CC079C">
              <w:rPr>
                <w:kern w:val="0"/>
                <w:sz w:val="18"/>
                <w:szCs w:val="18"/>
              </w:rPr>
              <w:t>人</w:t>
            </w:r>
          </w:p>
        </w:tc>
        <w:tc>
          <w:tcPr>
            <w:tcW w:w="3075" w:type="dxa"/>
            <w:gridSpan w:val="4"/>
            <w:vAlign w:val="center"/>
          </w:tcPr>
          <w:p w:rsidR="00754403" w:rsidRPr="00CC079C" w:rsidRDefault="00754403" w:rsidP="006C228A">
            <w:pPr>
              <w:autoSpaceDE w:val="0"/>
              <w:autoSpaceDN w:val="0"/>
              <w:contextualSpacing/>
              <w:jc w:val="center"/>
              <w:rPr>
                <w:rFonts w:eastAsia="黑体"/>
                <w:kern w:val="0"/>
                <w:sz w:val="18"/>
                <w:szCs w:val="18"/>
              </w:rPr>
            </w:pPr>
            <w:r w:rsidRPr="00CC079C">
              <w:rPr>
                <w:rFonts w:eastAsia="黑体"/>
                <w:kern w:val="0"/>
                <w:sz w:val="18"/>
                <w:szCs w:val="18"/>
              </w:rPr>
              <w:t xml:space="preserve">5 km </w:t>
            </w:r>
            <w:r w:rsidRPr="00CC079C">
              <w:rPr>
                <w:kern w:val="0"/>
                <w:sz w:val="18"/>
                <w:szCs w:val="18"/>
              </w:rPr>
              <w:t>范围内人口数</w:t>
            </w:r>
            <w:r w:rsidRPr="00CC079C">
              <w:rPr>
                <w:kern w:val="0"/>
                <w:sz w:val="18"/>
                <w:szCs w:val="18"/>
                <w:u w:val="single"/>
              </w:rPr>
              <w:t xml:space="preserve">     </w:t>
            </w:r>
            <w:r w:rsidRPr="00CC079C">
              <w:rPr>
                <w:kern w:val="0"/>
                <w:sz w:val="18"/>
                <w:szCs w:val="18"/>
              </w:rPr>
              <w:t>人</w:t>
            </w:r>
          </w:p>
        </w:tc>
      </w:tr>
      <w:tr w:rsidR="00754403" w:rsidRPr="00445BD4" w:rsidTr="006C228A">
        <w:trPr>
          <w:jc w:val="center"/>
        </w:trPr>
        <w:tc>
          <w:tcPr>
            <w:tcW w:w="396" w:type="dxa"/>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347" w:type="dxa"/>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134" w:type="dxa"/>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5037" w:type="dxa"/>
            <w:gridSpan w:val="7"/>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每公里管段周边</w:t>
            </w:r>
            <w:r w:rsidRPr="00445BD4">
              <w:rPr>
                <w:rFonts w:ascii="TimesNewRomanPSMT" w:eastAsia="黑体" w:hAnsi="TimesNewRomanPSMT" w:cs="TimesNewRomanPSMT"/>
                <w:kern w:val="0"/>
                <w:sz w:val="18"/>
                <w:szCs w:val="18"/>
              </w:rPr>
              <w:t xml:space="preserve">200 m </w:t>
            </w:r>
            <w:r w:rsidRPr="00445BD4">
              <w:rPr>
                <w:rFonts w:ascii="宋体" w:hAnsiTheme="minorHAnsi" w:cs="宋体" w:hint="eastAsia"/>
                <w:kern w:val="0"/>
                <w:sz w:val="18"/>
                <w:szCs w:val="18"/>
              </w:rPr>
              <w:t>范围内人口数（最大）</w:t>
            </w:r>
          </w:p>
        </w:tc>
        <w:tc>
          <w:tcPr>
            <w:tcW w:w="1538"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人</w:t>
            </w:r>
          </w:p>
        </w:tc>
      </w:tr>
      <w:tr w:rsidR="00754403" w:rsidRPr="00445BD4" w:rsidTr="006C228A">
        <w:trPr>
          <w:jc w:val="center"/>
        </w:trPr>
        <w:tc>
          <w:tcPr>
            <w:tcW w:w="396" w:type="dxa"/>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347" w:type="dxa"/>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134" w:type="dxa"/>
            <w:vMerge w:val="restart"/>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地表水</w:t>
            </w:r>
          </w:p>
        </w:tc>
        <w:tc>
          <w:tcPr>
            <w:tcW w:w="196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地表水功能敏感性</w:t>
            </w:r>
          </w:p>
        </w:tc>
        <w:tc>
          <w:tcPr>
            <w:tcW w:w="1536"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F1 </w:t>
            </w:r>
            <w:r w:rsidRPr="00445BD4">
              <w:rPr>
                <w:rFonts w:ascii="宋体" w:hAnsiTheme="minorHAnsi" w:cs="宋体" w:hint="eastAsia"/>
                <w:kern w:val="0"/>
                <w:sz w:val="18"/>
                <w:szCs w:val="18"/>
              </w:rPr>
              <w:t>□</w:t>
            </w:r>
          </w:p>
        </w:tc>
        <w:tc>
          <w:tcPr>
            <w:tcW w:w="1537"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F2 </w:t>
            </w:r>
            <w:r w:rsidRPr="00445BD4">
              <w:rPr>
                <w:sz w:val="18"/>
                <w:szCs w:val="18"/>
              </w:rPr>
              <w:sym w:font="Wingdings 2" w:char="0052"/>
            </w:r>
          </w:p>
        </w:tc>
        <w:tc>
          <w:tcPr>
            <w:tcW w:w="1538"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F3 </w:t>
            </w:r>
            <w:r w:rsidRPr="00445BD4">
              <w:rPr>
                <w:rFonts w:ascii="宋体" w:hAnsiTheme="minorHAnsi" w:cs="宋体" w:hint="eastAsia"/>
                <w:kern w:val="0"/>
                <w:sz w:val="18"/>
                <w:szCs w:val="18"/>
              </w:rPr>
              <w:t>□</w:t>
            </w:r>
          </w:p>
        </w:tc>
      </w:tr>
      <w:tr w:rsidR="00754403" w:rsidRPr="00445BD4" w:rsidTr="006C228A">
        <w:trPr>
          <w:jc w:val="center"/>
        </w:trPr>
        <w:tc>
          <w:tcPr>
            <w:tcW w:w="396" w:type="dxa"/>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347" w:type="dxa"/>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134" w:type="dxa"/>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96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环境敏感目标分级</w:t>
            </w:r>
          </w:p>
        </w:tc>
        <w:tc>
          <w:tcPr>
            <w:tcW w:w="1536"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S1 </w:t>
            </w:r>
            <w:r w:rsidRPr="00445BD4">
              <w:rPr>
                <w:rFonts w:ascii="宋体" w:hAnsiTheme="minorHAnsi" w:cs="宋体" w:hint="eastAsia"/>
                <w:kern w:val="0"/>
                <w:sz w:val="18"/>
                <w:szCs w:val="18"/>
              </w:rPr>
              <w:t>□</w:t>
            </w:r>
          </w:p>
        </w:tc>
        <w:tc>
          <w:tcPr>
            <w:tcW w:w="1537"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S2 </w:t>
            </w:r>
            <w:r w:rsidRPr="00445BD4">
              <w:rPr>
                <w:rFonts w:ascii="宋体" w:hAnsiTheme="minorHAnsi" w:cs="宋体" w:hint="eastAsia"/>
                <w:kern w:val="0"/>
                <w:sz w:val="18"/>
                <w:szCs w:val="18"/>
              </w:rPr>
              <w:t>□</w:t>
            </w:r>
          </w:p>
        </w:tc>
        <w:tc>
          <w:tcPr>
            <w:tcW w:w="1538"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S3 </w:t>
            </w:r>
            <w:r w:rsidRPr="00445BD4">
              <w:rPr>
                <w:sz w:val="18"/>
                <w:szCs w:val="18"/>
              </w:rPr>
              <w:sym w:font="Wingdings 2" w:char="0052"/>
            </w:r>
          </w:p>
        </w:tc>
      </w:tr>
      <w:tr w:rsidR="00754403" w:rsidRPr="00445BD4" w:rsidTr="006C228A">
        <w:trPr>
          <w:jc w:val="center"/>
        </w:trPr>
        <w:tc>
          <w:tcPr>
            <w:tcW w:w="396" w:type="dxa"/>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347" w:type="dxa"/>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134" w:type="dxa"/>
            <w:vMerge w:val="restart"/>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地下水</w:t>
            </w:r>
          </w:p>
        </w:tc>
        <w:tc>
          <w:tcPr>
            <w:tcW w:w="196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地下水功能敏感性</w:t>
            </w:r>
          </w:p>
        </w:tc>
        <w:tc>
          <w:tcPr>
            <w:tcW w:w="1536"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G1 </w:t>
            </w:r>
            <w:r w:rsidRPr="00445BD4">
              <w:rPr>
                <w:rFonts w:ascii="宋体" w:hAnsiTheme="minorHAnsi" w:cs="宋体" w:hint="eastAsia"/>
                <w:kern w:val="0"/>
                <w:sz w:val="18"/>
                <w:szCs w:val="18"/>
              </w:rPr>
              <w:t>□</w:t>
            </w:r>
          </w:p>
        </w:tc>
        <w:tc>
          <w:tcPr>
            <w:tcW w:w="1537"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G2 </w:t>
            </w:r>
            <w:r w:rsidRPr="00445BD4">
              <w:rPr>
                <w:rFonts w:ascii="宋体" w:hAnsiTheme="minorHAnsi" w:cs="宋体" w:hint="eastAsia"/>
                <w:kern w:val="0"/>
                <w:sz w:val="18"/>
                <w:szCs w:val="18"/>
              </w:rPr>
              <w:t>□</w:t>
            </w:r>
          </w:p>
        </w:tc>
        <w:tc>
          <w:tcPr>
            <w:tcW w:w="1538"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G3 </w:t>
            </w:r>
            <w:r w:rsidRPr="00445BD4">
              <w:rPr>
                <w:sz w:val="18"/>
                <w:szCs w:val="18"/>
              </w:rPr>
              <w:sym w:font="Wingdings 2" w:char="0052"/>
            </w:r>
          </w:p>
        </w:tc>
      </w:tr>
      <w:tr w:rsidR="00754403" w:rsidRPr="00445BD4" w:rsidTr="006C228A">
        <w:trPr>
          <w:trHeight w:val="50"/>
          <w:jc w:val="center"/>
        </w:trPr>
        <w:tc>
          <w:tcPr>
            <w:tcW w:w="396" w:type="dxa"/>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347" w:type="dxa"/>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134" w:type="dxa"/>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96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包气带防污性能</w:t>
            </w:r>
          </w:p>
        </w:tc>
        <w:tc>
          <w:tcPr>
            <w:tcW w:w="1536"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D1 </w:t>
            </w:r>
            <w:r w:rsidRPr="00445BD4">
              <w:rPr>
                <w:rFonts w:ascii="宋体" w:hAnsiTheme="minorHAnsi" w:cs="宋体" w:hint="eastAsia"/>
                <w:kern w:val="0"/>
                <w:sz w:val="18"/>
                <w:szCs w:val="18"/>
              </w:rPr>
              <w:t>□</w:t>
            </w:r>
          </w:p>
        </w:tc>
        <w:tc>
          <w:tcPr>
            <w:tcW w:w="1537"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D2 </w:t>
            </w:r>
            <w:r w:rsidRPr="00445BD4">
              <w:rPr>
                <w:rFonts w:ascii="宋体" w:hAnsiTheme="minorHAnsi" w:cs="宋体" w:hint="eastAsia"/>
                <w:kern w:val="0"/>
                <w:sz w:val="18"/>
                <w:szCs w:val="18"/>
              </w:rPr>
              <w:t>□</w:t>
            </w:r>
          </w:p>
        </w:tc>
        <w:tc>
          <w:tcPr>
            <w:tcW w:w="1538"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D3 </w:t>
            </w:r>
            <w:r w:rsidRPr="00445BD4">
              <w:rPr>
                <w:sz w:val="18"/>
                <w:szCs w:val="18"/>
              </w:rPr>
              <w:sym w:font="Wingdings 2" w:char="0052"/>
            </w:r>
          </w:p>
        </w:tc>
      </w:tr>
      <w:tr w:rsidR="00754403" w:rsidRPr="00445BD4" w:rsidTr="006C228A">
        <w:trPr>
          <w:jc w:val="center"/>
        </w:trPr>
        <w:tc>
          <w:tcPr>
            <w:tcW w:w="1743" w:type="dxa"/>
            <w:gridSpan w:val="2"/>
            <w:vMerge w:val="restart"/>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物质及工艺系统</w:t>
            </w:r>
          </w:p>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危险性</w:t>
            </w:r>
          </w:p>
        </w:tc>
        <w:tc>
          <w:tcPr>
            <w:tcW w:w="1134" w:type="dxa"/>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ItalicMT" w:eastAsia="黑体" w:hAnsi="TimesNewRomanPS-ItalicMT" w:cs="TimesNewRomanPS-ItalicMT"/>
                <w:i/>
                <w:iCs/>
                <w:kern w:val="0"/>
                <w:sz w:val="18"/>
                <w:szCs w:val="18"/>
              </w:rPr>
              <w:t xml:space="preserve">Q </w:t>
            </w:r>
            <w:r w:rsidRPr="00445BD4">
              <w:rPr>
                <w:rFonts w:ascii="宋体" w:hAnsiTheme="minorHAnsi" w:cs="宋体" w:hint="eastAsia"/>
                <w:kern w:val="0"/>
                <w:sz w:val="18"/>
                <w:szCs w:val="18"/>
              </w:rPr>
              <w:t>值</w:t>
            </w:r>
          </w:p>
        </w:tc>
        <w:tc>
          <w:tcPr>
            <w:tcW w:w="196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ItalicMT" w:eastAsia="黑体" w:hAnsi="TimesNewRomanPS-ItalicMT" w:cs="TimesNewRomanPS-ItalicMT"/>
                <w:i/>
                <w:iCs/>
                <w:kern w:val="0"/>
                <w:sz w:val="18"/>
                <w:szCs w:val="18"/>
              </w:rPr>
              <w:t>Q</w:t>
            </w:r>
            <w:r w:rsidRPr="00445BD4">
              <w:rPr>
                <w:rFonts w:ascii="宋体" w:hAnsiTheme="minorHAnsi" w:cs="宋体" w:hint="eastAsia"/>
                <w:kern w:val="0"/>
                <w:sz w:val="18"/>
                <w:szCs w:val="18"/>
              </w:rPr>
              <w:t>＜</w:t>
            </w:r>
            <w:r w:rsidRPr="00445BD4">
              <w:rPr>
                <w:rFonts w:ascii="TimesNewRomanPSMT" w:eastAsia="黑体" w:hAnsi="TimesNewRomanPSMT" w:cs="TimesNewRomanPSMT"/>
                <w:kern w:val="0"/>
                <w:sz w:val="18"/>
                <w:szCs w:val="18"/>
              </w:rPr>
              <w:t xml:space="preserve">1 </w:t>
            </w:r>
            <w:r w:rsidRPr="00445BD4">
              <w:rPr>
                <w:sz w:val="18"/>
                <w:szCs w:val="18"/>
              </w:rPr>
              <w:sym w:font="Wingdings 2" w:char="0052"/>
            </w:r>
          </w:p>
        </w:tc>
        <w:tc>
          <w:tcPr>
            <w:tcW w:w="1536"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1</w:t>
            </w:r>
            <w:r w:rsidRPr="00445BD4">
              <w:rPr>
                <w:rFonts w:ascii="宋体" w:hAnsiTheme="minorHAnsi" w:cs="宋体" w:hint="eastAsia"/>
                <w:kern w:val="0"/>
                <w:sz w:val="18"/>
                <w:szCs w:val="18"/>
              </w:rPr>
              <w:t>≤</w:t>
            </w:r>
            <w:r w:rsidRPr="00445BD4">
              <w:rPr>
                <w:rFonts w:ascii="TimesNewRomanPS-ItalicMT" w:eastAsia="黑体" w:hAnsi="TimesNewRomanPS-ItalicMT" w:cs="TimesNewRomanPS-ItalicMT"/>
                <w:i/>
                <w:iCs/>
                <w:kern w:val="0"/>
                <w:sz w:val="18"/>
                <w:szCs w:val="18"/>
              </w:rPr>
              <w:t>Q</w:t>
            </w:r>
            <w:r w:rsidRPr="00445BD4">
              <w:rPr>
                <w:rFonts w:ascii="宋体" w:hAnsiTheme="minorHAnsi" w:cs="宋体" w:hint="eastAsia"/>
                <w:kern w:val="0"/>
                <w:sz w:val="18"/>
                <w:szCs w:val="18"/>
              </w:rPr>
              <w:t>＜</w:t>
            </w:r>
            <w:r w:rsidRPr="00445BD4">
              <w:rPr>
                <w:rFonts w:ascii="TimesNewRomanPSMT" w:eastAsia="黑体" w:hAnsi="TimesNewRomanPSMT" w:cs="TimesNewRomanPSMT"/>
                <w:kern w:val="0"/>
                <w:sz w:val="18"/>
                <w:szCs w:val="18"/>
              </w:rPr>
              <w:t xml:space="preserve">10 </w:t>
            </w:r>
            <w:r w:rsidRPr="00445BD4">
              <w:rPr>
                <w:rFonts w:ascii="宋体" w:hAnsiTheme="minorHAnsi" w:cs="宋体" w:hint="eastAsia"/>
                <w:kern w:val="0"/>
                <w:sz w:val="18"/>
                <w:szCs w:val="18"/>
              </w:rPr>
              <w:t>□</w:t>
            </w:r>
          </w:p>
        </w:tc>
        <w:tc>
          <w:tcPr>
            <w:tcW w:w="1537"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10</w:t>
            </w:r>
            <w:r w:rsidRPr="00445BD4">
              <w:rPr>
                <w:rFonts w:ascii="宋体" w:hAnsiTheme="minorHAnsi" w:cs="宋体" w:hint="eastAsia"/>
                <w:kern w:val="0"/>
                <w:sz w:val="18"/>
                <w:szCs w:val="18"/>
              </w:rPr>
              <w:t>≤</w:t>
            </w:r>
            <w:r w:rsidRPr="00445BD4">
              <w:rPr>
                <w:rFonts w:ascii="TimesNewRomanPS-ItalicMT" w:eastAsia="黑体" w:hAnsi="TimesNewRomanPS-ItalicMT" w:cs="TimesNewRomanPS-ItalicMT"/>
                <w:i/>
                <w:iCs/>
                <w:kern w:val="0"/>
                <w:sz w:val="18"/>
                <w:szCs w:val="18"/>
              </w:rPr>
              <w:t>Q</w:t>
            </w:r>
            <w:r w:rsidRPr="00445BD4">
              <w:rPr>
                <w:rFonts w:ascii="宋体" w:hAnsiTheme="minorHAnsi" w:cs="宋体" w:hint="eastAsia"/>
                <w:kern w:val="0"/>
                <w:sz w:val="18"/>
                <w:szCs w:val="18"/>
              </w:rPr>
              <w:t>＜</w:t>
            </w:r>
            <w:r w:rsidRPr="00445BD4">
              <w:rPr>
                <w:rFonts w:ascii="TimesNewRomanPSMT" w:eastAsia="黑体" w:hAnsi="TimesNewRomanPSMT" w:cs="TimesNewRomanPSMT"/>
                <w:kern w:val="0"/>
                <w:sz w:val="18"/>
                <w:szCs w:val="18"/>
              </w:rPr>
              <w:t xml:space="preserve">100 </w:t>
            </w:r>
            <w:r w:rsidRPr="00445BD4">
              <w:rPr>
                <w:rFonts w:ascii="宋体" w:hAnsiTheme="minorHAnsi" w:cs="宋体" w:hint="eastAsia"/>
                <w:kern w:val="0"/>
                <w:sz w:val="18"/>
                <w:szCs w:val="18"/>
              </w:rPr>
              <w:t>□</w:t>
            </w:r>
          </w:p>
        </w:tc>
        <w:tc>
          <w:tcPr>
            <w:tcW w:w="1538" w:type="dxa"/>
            <w:gridSpan w:val="2"/>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TimesNewRomanPS-ItalicMT" w:eastAsia="黑体" w:hAnsi="TimesNewRomanPS-ItalicMT" w:cs="TimesNewRomanPS-ItalicMT"/>
                <w:i/>
                <w:iCs/>
                <w:kern w:val="0"/>
                <w:sz w:val="18"/>
                <w:szCs w:val="18"/>
              </w:rPr>
              <w:t>Q</w:t>
            </w:r>
            <w:r w:rsidRPr="00445BD4">
              <w:rPr>
                <w:rFonts w:ascii="宋体" w:hAnsiTheme="minorHAnsi" w:cs="宋体" w:hint="eastAsia"/>
                <w:kern w:val="0"/>
                <w:sz w:val="18"/>
                <w:szCs w:val="18"/>
              </w:rPr>
              <w:t>＞</w:t>
            </w:r>
            <w:r w:rsidRPr="00445BD4">
              <w:rPr>
                <w:rFonts w:ascii="TimesNewRomanPSMT" w:eastAsia="黑体" w:hAnsi="TimesNewRomanPSMT" w:cs="TimesNewRomanPSMT"/>
                <w:kern w:val="0"/>
                <w:sz w:val="18"/>
                <w:szCs w:val="18"/>
              </w:rPr>
              <w:t xml:space="preserve">100 </w:t>
            </w:r>
            <w:r w:rsidRPr="00445BD4">
              <w:rPr>
                <w:rFonts w:ascii="宋体" w:hAnsiTheme="minorHAnsi" w:cs="宋体" w:hint="eastAsia"/>
                <w:kern w:val="0"/>
                <w:sz w:val="18"/>
                <w:szCs w:val="18"/>
              </w:rPr>
              <w:t>□</w:t>
            </w:r>
          </w:p>
        </w:tc>
      </w:tr>
      <w:tr w:rsidR="00754403" w:rsidRPr="00445BD4" w:rsidTr="006C228A">
        <w:trPr>
          <w:jc w:val="center"/>
        </w:trPr>
        <w:tc>
          <w:tcPr>
            <w:tcW w:w="1743" w:type="dxa"/>
            <w:gridSpan w:val="2"/>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134" w:type="dxa"/>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M </w:t>
            </w:r>
            <w:r w:rsidRPr="00445BD4">
              <w:rPr>
                <w:rFonts w:ascii="宋体" w:hAnsiTheme="minorHAnsi" w:cs="宋体" w:hint="eastAsia"/>
                <w:kern w:val="0"/>
                <w:sz w:val="18"/>
                <w:szCs w:val="18"/>
              </w:rPr>
              <w:t>值</w:t>
            </w:r>
          </w:p>
        </w:tc>
        <w:tc>
          <w:tcPr>
            <w:tcW w:w="196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M1 </w:t>
            </w:r>
            <w:r w:rsidRPr="00445BD4">
              <w:rPr>
                <w:rFonts w:ascii="宋体" w:hAnsiTheme="minorHAnsi" w:cs="宋体" w:hint="eastAsia"/>
                <w:kern w:val="0"/>
                <w:sz w:val="18"/>
                <w:szCs w:val="18"/>
              </w:rPr>
              <w:t>□</w:t>
            </w:r>
          </w:p>
        </w:tc>
        <w:tc>
          <w:tcPr>
            <w:tcW w:w="1536"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M2 </w:t>
            </w:r>
            <w:r w:rsidRPr="00445BD4">
              <w:rPr>
                <w:rFonts w:ascii="宋体" w:hAnsiTheme="minorHAnsi" w:cs="宋体" w:hint="eastAsia"/>
                <w:kern w:val="0"/>
                <w:sz w:val="18"/>
                <w:szCs w:val="18"/>
              </w:rPr>
              <w:t>□</w:t>
            </w:r>
          </w:p>
        </w:tc>
        <w:tc>
          <w:tcPr>
            <w:tcW w:w="1537"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M3 </w:t>
            </w:r>
            <w:r w:rsidRPr="00445BD4">
              <w:rPr>
                <w:rFonts w:ascii="宋体" w:hAnsiTheme="minorHAnsi" w:cs="宋体" w:hint="eastAsia"/>
                <w:kern w:val="0"/>
                <w:sz w:val="18"/>
                <w:szCs w:val="18"/>
              </w:rPr>
              <w:t>□</w:t>
            </w:r>
          </w:p>
        </w:tc>
        <w:tc>
          <w:tcPr>
            <w:tcW w:w="1538" w:type="dxa"/>
            <w:gridSpan w:val="2"/>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M4 </w:t>
            </w:r>
            <w:r w:rsidRPr="00445BD4">
              <w:rPr>
                <w:sz w:val="18"/>
                <w:szCs w:val="18"/>
              </w:rPr>
              <w:sym w:font="Wingdings 2" w:char="0052"/>
            </w:r>
          </w:p>
        </w:tc>
      </w:tr>
      <w:tr w:rsidR="00754403" w:rsidRPr="00445BD4" w:rsidTr="006C228A">
        <w:trPr>
          <w:jc w:val="center"/>
        </w:trPr>
        <w:tc>
          <w:tcPr>
            <w:tcW w:w="1743" w:type="dxa"/>
            <w:gridSpan w:val="2"/>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134" w:type="dxa"/>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P </w:t>
            </w:r>
            <w:r w:rsidRPr="00445BD4">
              <w:rPr>
                <w:rFonts w:ascii="宋体" w:hAnsiTheme="minorHAnsi" w:cs="宋体" w:hint="eastAsia"/>
                <w:kern w:val="0"/>
                <w:sz w:val="18"/>
                <w:szCs w:val="18"/>
              </w:rPr>
              <w:t>值</w:t>
            </w:r>
          </w:p>
        </w:tc>
        <w:tc>
          <w:tcPr>
            <w:tcW w:w="196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P1 </w:t>
            </w:r>
            <w:r w:rsidRPr="00445BD4">
              <w:rPr>
                <w:rFonts w:ascii="宋体" w:hAnsiTheme="minorHAnsi" w:cs="宋体" w:hint="eastAsia"/>
                <w:kern w:val="0"/>
                <w:sz w:val="18"/>
                <w:szCs w:val="18"/>
              </w:rPr>
              <w:t>□</w:t>
            </w:r>
          </w:p>
        </w:tc>
        <w:tc>
          <w:tcPr>
            <w:tcW w:w="1536"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P2 </w:t>
            </w:r>
            <w:r w:rsidRPr="00445BD4">
              <w:rPr>
                <w:rFonts w:ascii="宋体" w:hAnsiTheme="minorHAnsi" w:cs="宋体" w:hint="eastAsia"/>
                <w:kern w:val="0"/>
                <w:sz w:val="18"/>
                <w:szCs w:val="18"/>
              </w:rPr>
              <w:t>□</w:t>
            </w:r>
          </w:p>
        </w:tc>
        <w:tc>
          <w:tcPr>
            <w:tcW w:w="1537"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P3 </w:t>
            </w:r>
            <w:r w:rsidRPr="00445BD4">
              <w:rPr>
                <w:rFonts w:ascii="宋体" w:hAnsiTheme="minorHAnsi" w:cs="宋体" w:hint="eastAsia"/>
                <w:kern w:val="0"/>
                <w:sz w:val="18"/>
                <w:szCs w:val="18"/>
              </w:rPr>
              <w:t>□</w:t>
            </w:r>
          </w:p>
        </w:tc>
        <w:tc>
          <w:tcPr>
            <w:tcW w:w="1538"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P4 </w:t>
            </w:r>
            <w:r w:rsidRPr="00445BD4">
              <w:rPr>
                <w:rFonts w:ascii="宋体" w:hAnsiTheme="minorHAnsi" w:cs="宋体" w:hint="eastAsia"/>
                <w:kern w:val="0"/>
                <w:sz w:val="18"/>
                <w:szCs w:val="18"/>
              </w:rPr>
              <w:t>□</w:t>
            </w:r>
          </w:p>
        </w:tc>
      </w:tr>
      <w:tr w:rsidR="00754403" w:rsidRPr="00445BD4" w:rsidTr="006C228A">
        <w:trPr>
          <w:jc w:val="center"/>
        </w:trPr>
        <w:tc>
          <w:tcPr>
            <w:tcW w:w="1743" w:type="dxa"/>
            <w:gridSpan w:val="2"/>
            <w:vMerge w:val="restart"/>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环境敏感程度</w:t>
            </w:r>
          </w:p>
        </w:tc>
        <w:tc>
          <w:tcPr>
            <w:tcW w:w="1134" w:type="dxa"/>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大气</w:t>
            </w:r>
          </w:p>
        </w:tc>
        <w:tc>
          <w:tcPr>
            <w:tcW w:w="196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E1 </w:t>
            </w:r>
            <w:r w:rsidRPr="00445BD4">
              <w:rPr>
                <w:rFonts w:ascii="宋体" w:hAnsiTheme="minorHAnsi" w:cs="宋体" w:hint="eastAsia"/>
                <w:kern w:val="0"/>
                <w:sz w:val="18"/>
                <w:szCs w:val="18"/>
              </w:rPr>
              <w:t>□</w:t>
            </w:r>
          </w:p>
        </w:tc>
        <w:tc>
          <w:tcPr>
            <w:tcW w:w="230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E2 </w:t>
            </w:r>
            <w:r w:rsidRPr="00445BD4">
              <w:rPr>
                <w:sz w:val="18"/>
                <w:szCs w:val="18"/>
              </w:rPr>
              <w:sym w:font="Wingdings 2" w:char="0052"/>
            </w:r>
          </w:p>
        </w:tc>
        <w:tc>
          <w:tcPr>
            <w:tcW w:w="2307"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E3 </w:t>
            </w:r>
            <w:r w:rsidRPr="00445BD4">
              <w:rPr>
                <w:rFonts w:ascii="宋体" w:hAnsiTheme="minorHAnsi" w:cs="宋体" w:hint="eastAsia"/>
                <w:kern w:val="0"/>
                <w:sz w:val="18"/>
                <w:szCs w:val="18"/>
              </w:rPr>
              <w:t>□</w:t>
            </w:r>
          </w:p>
        </w:tc>
      </w:tr>
      <w:tr w:rsidR="00754403" w:rsidRPr="00445BD4" w:rsidTr="006C228A">
        <w:trPr>
          <w:jc w:val="center"/>
        </w:trPr>
        <w:tc>
          <w:tcPr>
            <w:tcW w:w="1743" w:type="dxa"/>
            <w:gridSpan w:val="2"/>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134" w:type="dxa"/>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地表水</w:t>
            </w:r>
          </w:p>
        </w:tc>
        <w:tc>
          <w:tcPr>
            <w:tcW w:w="196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E1 </w:t>
            </w:r>
            <w:r w:rsidRPr="00445BD4">
              <w:rPr>
                <w:rFonts w:ascii="宋体" w:hAnsiTheme="minorHAnsi" w:cs="宋体" w:hint="eastAsia"/>
                <w:kern w:val="0"/>
                <w:sz w:val="18"/>
                <w:szCs w:val="18"/>
              </w:rPr>
              <w:t>□</w:t>
            </w:r>
          </w:p>
        </w:tc>
        <w:tc>
          <w:tcPr>
            <w:tcW w:w="230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E2 </w:t>
            </w:r>
            <w:r w:rsidRPr="00445BD4">
              <w:rPr>
                <w:sz w:val="18"/>
                <w:szCs w:val="18"/>
              </w:rPr>
              <w:sym w:font="Wingdings 2" w:char="0052"/>
            </w:r>
          </w:p>
        </w:tc>
        <w:tc>
          <w:tcPr>
            <w:tcW w:w="2307"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E3 </w:t>
            </w:r>
            <w:r w:rsidRPr="00445BD4">
              <w:rPr>
                <w:rFonts w:ascii="宋体" w:hAnsiTheme="minorHAnsi" w:cs="宋体" w:hint="eastAsia"/>
                <w:kern w:val="0"/>
                <w:sz w:val="18"/>
                <w:szCs w:val="18"/>
              </w:rPr>
              <w:t>□</w:t>
            </w:r>
          </w:p>
        </w:tc>
      </w:tr>
      <w:tr w:rsidR="00754403" w:rsidRPr="00445BD4" w:rsidTr="006C228A">
        <w:trPr>
          <w:jc w:val="center"/>
        </w:trPr>
        <w:tc>
          <w:tcPr>
            <w:tcW w:w="1743" w:type="dxa"/>
            <w:gridSpan w:val="2"/>
            <w:vMerge/>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p>
        </w:tc>
        <w:tc>
          <w:tcPr>
            <w:tcW w:w="1134" w:type="dxa"/>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地下水</w:t>
            </w:r>
          </w:p>
        </w:tc>
        <w:tc>
          <w:tcPr>
            <w:tcW w:w="196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E1 </w:t>
            </w:r>
            <w:r w:rsidRPr="00445BD4">
              <w:rPr>
                <w:rFonts w:ascii="宋体" w:hAnsiTheme="minorHAnsi" w:cs="宋体" w:hint="eastAsia"/>
                <w:kern w:val="0"/>
                <w:sz w:val="18"/>
                <w:szCs w:val="18"/>
              </w:rPr>
              <w:t>□</w:t>
            </w:r>
          </w:p>
        </w:tc>
        <w:tc>
          <w:tcPr>
            <w:tcW w:w="230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E2 </w:t>
            </w:r>
            <w:r w:rsidRPr="00445BD4">
              <w:rPr>
                <w:rFonts w:ascii="宋体" w:hAnsiTheme="minorHAnsi" w:cs="宋体" w:hint="eastAsia"/>
                <w:kern w:val="0"/>
                <w:sz w:val="18"/>
                <w:szCs w:val="18"/>
              </w:rPr>
              <w:t>□</w:t>
            </w:r>
          </w:p>
        </w:tc>
        <w:tc>
          <w:tcPr>
            <w:tcW w:w="2307"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E3 </w:t>
            </w:r>
            <w:r w:rsidRPr="00445BD4">
              <w:rPr>
                <w:sz w:val="18"/>
                <w:szCs w:val="18"/>
              </w:rPr>
              <w:sym w:font="Wingdings 2" w:char="0052"/>
            </w:r>
          </w:p>
        </w:tc>
      </w:tr>
      <w:tr w:rsidR="00754403" w:rsidRPr="00445BD4" w:rsidTr="006C228A">
        <w:trPr>
          <w:jc w:val="center"/>
        </w:trPr>
        <w:tc>
          <w:tcPr>
            <w:tcW w:w="1743" w:type="dxa"/>
            <w:gridSpan w:val="2"/>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环境风险潜势</w:t>
            </w:r>
          </w:p>
        </w:tc>
        <w:tc>
          <w:tcPr>
            <w:tcW w:w="1413" w:type="dxa"/>
            <w:gridSpan w:val="2"/>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Ⅳ</w:t>
            </w:r>
            <w:r w:rsidRPr="00445BD4">
              <w:rPr>
                <w:rFonts w:ascii="TimesNewRomanPSMT" w:eastAsia="黑体" w:hAnsi="TimesNewRomanPSMT" w:cs="TimesNewRomanPSMT"/>
                <w:kern w:val="0"/>
                <w:sz w:val="18"/>
                <w:szCs w:val="18"/>
              </w:rPr>
              <w:t xml:space="preserve">+ </w:t>
            </w:r>
            <w:r w:rsidRPr="00445BD4">
              <w:rPr>
                <w:rFonts w:ascii="宋体" w:hAnsiTheme="minorHAnsi" w:cs="宋体" w:hint="eastAsia"/>
                <w:kern w:val="0"/>
                <w:sz w:val="18"/>
                <w:szCs w:val="18"/>
              </w:rPr>
              <w:t>□</w:t>
            </w:r>
          </w:p>
        </w:tc>
        <w:tc>
          <w:tcPr>
            <w:tcW w:w="1685"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Ⅳ</w:t>
            </w:r>
            <w:r w:rsidRPr="00445BD4">
              <w:rPr>
                <w:rFonts w:ascii="宋体" w:hAnsiTheme="minorHAnsi" w:cs="宋体"/>
                <w:kern w:val="0"/>
                <w:sz w:val="18"/>
                <w:szCs w:val="18"/>
              </w:rPr>
              <w:t xml:space="preserve"> </w:t>
            </w:r>
            <w:r w:rsidRPr="00445BD4">
              <w:rPr>
                <w:rFonts w:ascii="宋体" w:hAnsiTheme="minorHAnsi" w:cs="宋体" w:hint="eastAsia"/>
                <w:kern w:val="0"/>
                <w:sz w:val="18"/>
                <w:szCs w:val="18"/>
              </w:rPr>
              <w:t>□</w:t>
            </w:r>
          </w:p>
        </w:tc>
        <w:tc>
          <w:tcPr>
            <w:tcW w:w="1536"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Ⅲ</w:t>
            </w:r>
            <w:r w:rsidRPr="00445BD4">
              <w:rPr>
                <w:rFonts w:ascii="宋体" w:hAnsiTheme="minorHAnsi" w:cs="宋体"/>
                <w:kern w:val="0"/>
                <w:sz w:val="18"/>
                <w:szCs w:val="18"/>
              </w:rPr>
              <w:t xml:space="preserve"> </w:t>
            </w:r>
            <w:r w:rsidRPr="00445BD4">
              <w:rPr>
                <w:rFonts w:ascii="宋体" w:hAnsiTheme="minorHAnsi" w:cs="宋体" w:hint="eastAsia"/>
                <w:kern w:val="0"/>
                <w:sz w:val="18"/>
                <w:szCs w:val="18"/>
              </w:rPr>
              <w:t>□</w:t>
            </w:r>
          </w:p>
        </w:tc>
        <w:tc>
          <w:tcPr>
            <w:tcW w:w="1537"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Ⅱ</w:t>
            </w:r>
            <w:r w:rsidRPr="00445BD4">
              <w:rPr>
                <w:rFonts w:ascii="宋体" w:hAnsiTheme="minorHAnsi" w:cs="宋体"/>
                <w:kern w:val="0"/>
                <w:sz w:val="18"/>
                <w:szCs w:val="18"/>
              </w:rPr>
              <w:t xml:space="preserve"> </w:t>
            </w:r>
            <w:r w:rsidRPr="00445BD4">
              <w:rPr>
                <w:rFonts w:ascii="宋体" w:hAnsiTheme="minorHAnsi" w:cs="宋体" w:hint="eastAsia"/>
                <w:kern w:val="0"/>
                <w:sz w:val="18"/>
                <w:szCs w:val="18"/>
              </w:rPr>
              <w:t>□</w:t>
            </w:r>
          </w:p>
        </w:tc>
        <w:tc>
          <w:tcPr>
            <w:tcW w:w="1538"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I </w:t>
            </w:r>
            <w:r w:rsidRPr="00445BD4">
              <w:rPr>
                <w:sz w:val="18"/>
                <w:szCs w:val="18"/>
              </w:rPr>
              <w:sym w:font="Wingdings 2" w:char="0052"/>
            </w:r>
          </w:p>
        </w:tc>
      </w:tr>
      <w:tr w:rsidR="00754403" w:rsidRPr="00445BD4" w:rsidTr="006C228A">
        <w:trPr>
          <w:jc w:val="center"/>
        </w:trPr>
        <w:tc>
          <w:tcPr>
            <w:tcW w:w="1743" w:type="dxa"/>
            <w:gridSpan w:val="2"/>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评价等级</w:t>
            </w:r>
          </w:p>
        </w:tc>
        <w:tc>
          <w:tcPr>
            <w:tcW w:w="3098" w:type="dxa"/>
            <w:gridSpan w:val="4"/>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一级</w:t>
            </w:r>
            <w:r w:rsidRPr="00445BD4">
              <w:rPr>
                <w:rFonts w:ascii="宋体" w:hAnsiTheme="minorHAnsi" w:cs="宋体"/>
                <w:kern w:val="0"/>
                <w:sz w:val="18"/>
                <w:szCs w:val="18"/>
              </w:rPr>
              <w:t xml:space="preserve"> </w:t>
            </w:r>
            <w:r w:rsidRPr="00445BD4">
              <w:rPr>
                <w:rFonts w:ascii="宋体" w:hAnsiTheme="minorHAnsi" w:cs="宋体" w:hint="eastAsia"/>
                <w:kern w:val="0"/>
                <w:sz w:val="18"/>
                <w:szCs w:val="18"/>
              </w:rPr>
              <w:t>□</w:t>
            </w:r>
          </w:p>
        </w:tc>
        <w:tc>
          <w:tcPr>
            <w:tcW w:w="1536"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二级</w:t>
            </w:r>
            <w:r w:rsidRPr="00445BD4">
              <w:rPr>
                <w:rFonts w:ascii="宋体" w:hAnsiTheme="minorHAnsi" w:cs="宋体"/>
                <w:kern w:val="0"/>
                <w:sz w:val="18"/>
                <w:szCs w:val="18"/>
              </w:rPr>
              <w:t xml:space="preserve"> </w:t>
            </w:r>
            <w:r w:rsidRPr="00445BD4">
              <w:rPr>
                <w:rFonts w:ascii="宋体" w:hAnsiTheme="minorHAnsi" w:cs="宋体" w:hint="eastAsia"/>
                <w:kern w:val="0"/>
                <w:sz w:val="18"/>
                <w:szCs w:val="18"/>
              </w:rPr>
              <w:t>□</w:t>
            </w:r>
          </w:p>
        </w:tc>
        <w:tc>
          <w:tcPr>
            <w:tcW w:w="1537"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三级</w:t>
            </w:r>
            <w:r w:rsidRPr="00445BD4">
              <w:rPr>
                <w:rFonts w:ascii="宋体" w:hAnsiTheme="minorHAnsi" w:cs="宋体"/>
                <w:kern w:val="0"/>
                <w:sz w:val="18"/>
                <w:szCs w:val="18"/>
              </w:rPr>
              <w:t xml:space="preserve"> </w:t>
            </w:r>
            <w:r w:rsidRPr="00445BD4">
              <w:rPr>
                <w:rFonts w:ascii="宋体" w:hAnsiTheme="minorHAnsi" w:cs="宋体" w:hint="eastAsia"/>
                <w:kern w:val="0"/>
                <w:sz w:val="18"/>
                <w:szCs w:val="18"/>
              </w:rPr>
              <w:t>□</w:t>
            </w:r>
          </w:p>
        </w:tc>
        <w:tc>
          <w:tcPr>
            <w:tcW w:w="1538" w:type="dxa"/>
            <w:gridSpan w:val="2"/>
            <w:vAlign w:val="center"/>
          </w:tcPr>
          <w:p w:rsidR="00754403" w:rsidRPr="00445BD4" w:rsidRDefault="00754403" w:rsidP="006C228A">
            <w:pPr>
              <w:autoSpaceDE w:val="0"/>
              <w:autoSpaceDN w:val="0"/>
              <w:contextualSpacing/>
              <w:jc w:val="center"/>
              <w:rPr>
                <w:rFonts w:ascii="TimesNewRomanPSMT" w:eastAsia="黑体" w:hAnsi="TimesNewRomanPSMT" w:cs="TimesNewRomanPSMT"/>
                <w:kern w:val="0"/>
                <w:sz w:val="18"/>
                <w:szCs w:val="18"/>
              </w:rPr>
            </w:pPr>
            <w:r w:rsidRPr="00445BD4">
              <w:rPr>
                <w:rFonts w:ascii="宋体" w:hAnsiTheme="minorHAnsi" w:cs="宋体" w:hint="eastAsia"/>
                <w:kern w:val="0"/>
                <w:sz w:val="18"/>
                <w:szCs w:val="18"/>
              </w:rPr>
              <w:t>简单分析</w:t>
            </w:r>
            <w:r w:rsidRPr="00445BD4">
              <w:rPr>
                <w:rFonts w:ascii="宋体" w:hAnsiTheme="minorHAnsi" w:cs="宋体"/>
                <w:kern w:val="0"/>
                <w:sz w:val="18"/>
                <w:szCs w:val="18"/>
              </w:rPr>
              <w:t xml:space="preserve"> </w:t>
            </w:r>
            <w:r w:rsidRPr="00445BD4">
              <w:rPr>
                <w:sz w:val="18"/>
                <w:szCs w:val="18"/>
              </w:rPr>
              <w:sym w:font="Wingdings 2" w:char="0052"/>
            </w:r>
          </w:p>
        </w:tc>
      </w:tr>
      <w:tr w:rsidR="00754403" w:rsidRPr="00445BD4" w:rsidTr="006C228A">
        <w:trPr>
          <w:jc w:val="center"/>
        </w:trPr>
        <w:tc>
          <w:tcPr>
            <w:tcW w:w="396" w:type="dxa"/>
            <w:vMerge w:val="restart"/>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风险识别</w:t>
            </w:r>
          </w:p>
        </w:tc>
        <w:tc>
          <w:tcPr>
            <w:tcW w:w="1347" w:type="dxa"/>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物质危险性</w:t>
            </w:r>
          </w:p>
        </w:tc>
        <w:tc>
          <w:tcPr>
            <w:tcW w:w="3866" w:type="dxa"/>
            <w:gridSpan w:val="5"/>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有毒有害</w:t>
            </w:r>
            <w:r w:rsidRPr="00445BD4">
              <w:rPr>
                <w:rFonts w:ascii="宋体" w:hAnsiTheme="minorHAnsi" w:cs="宋体"/>
                <w:kern w:val="0"/>
                <w:sz w:val="18"/>
                <w:szCs w:val="18"/>
              </w:rPr>
              <w:t xml:space="preserve"> </w:t>
            </w:r>
            <w:r w:rsidRPr="00445BD4">
              <w:rPr>
                <w:rFonts w:ascii="宋体" w:hAnsiTheme="minorHAnsi" w:cs="宋体" w:hint="eastAsia"/>
                <w:kern w:val="0"/>
                <w:sz w:val="18"/>
                <w:szCs w:val="18"/>
              </w:rPr>
              <w:t>□</w:t>
            </w:r>
          </w:p>
        </w:tc>
        <w:tc>
          <w:tcPr>
            <w:tcW w:w="3843" w:type="dxa"/>
            <w:gridSpan w:val="5"/>
            <w:vAlign w:val="center"/>
          </w:tcPr>
          <w:p w:rsidR="00754403" w:rsidRPr="00445BD4" w:rsidRDefault="00754403" w:rsidP="006C228A">
            <w:pPr>
              <w:autoSpaceDE w:val="0"/>
              <w:autoSpaceDN w:val="0"/>
              <w:adjustRightInd w:val="0"/>
              <w:jc w:val="center"/>
              <w:rPr>
                <w:rFonts w:ascii="TimesNewRomanPSMT" w:eastAsia="黑体" w:hAnsi="TimesNewRomanPSMT" w:cs="TimesNewRomanPSMT"/>
                <w:kern w:val="0"/>
                <w:sz w:val="18"/>
                <w:szCs w:val="18"/>
              </w:rPr>
            </w:pPr>
            <w:r w:rsidRPr="00445BD4">
              <w:rPr>
                <w:rFonts w:ascii="宋体" w:hAnsiTheme="minorHAnsi" w:cs="宋体" w:hint="eastAsia"/>
                <w:kern w:val="0"/>
                <w:sz w:val="18"/>
                <w:szCs w:val="18"/>
              </w:rPr>
              <w:t>易燃易爆</w:t>
            </w:r>
            <w:r w:rsidRPr="00445BD4">
              <w:rPr>
                <w:rFonts w:ascii="宋体" w:hAnsiTheme="minorHAnsi" w:cs="宋体"/>
                <w:kern w:val="0"/>
                <w:sz w:val="18"/>
                <w:szCs w:val="18"/>
              </w:rPr>
              <w:t xml:space="preserve"> </w:t>
            </w:r>
            <w:r w:rsidRPr="00445BD4">
              <w:rPr>
                <w:sz w:val="18"/>
                <w:szCs w:val="18"/>
              </w:rPr>
              <w:sym w:font="Wingdings 2" w:char="0052"/>
            </w:r>
          </w:p>
        </w:tc>
      </w:tr>
      <w:tr w:rsidR="00754403" w:rsidRPr="00445BD4" w:rsidTr="006C228A">
        <w:trPr>
          <w:jc w:val="center"/>
        </w:trPr>
        <w:tc>
          <w:tcPr>
            <w:tcW w:w="396" w:type="dxa"/>
            <w:vMerge/>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p>
        </w:tc>
        <w:tc>
          <w:tcPr>
            <w:tcW w:w="1347" w:type="dxa"/>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环境风险类型</w:t>
            </w:r>
          </w:p>
        </w:tc>
        <w:tc>
          <w:tcPr>
            <w:tcW w:w="3098" w:type="dxa"/>
            <w:gridSpan w:val="4"/>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泄漏</w:t>
            </w:r>
            <w:r w:rsidRPr="00445BD4">
              <w:rPr>
                <w:rFonts w:ascii="宋体" w:hAnsiTheme="minorHAnsi" w:cs="宋体"/>
                <w:kern w:val="0"/>
                <w:sz w:val="18"/>
                <w:szCs w:val="18"/>
              </w:rPr>
              <w:t xml:space="preserve"> </w:t>
            </w:r>
            <w:r w:rsidRPr="00445BD4">
              <w:rPr>
                <w:sz w:val="18"/>
                <w:szCs w:val="18"/>
              </w:rPr>
              <w:sym w:font="Wingdings 2" w:char="0052"/>
            </w:r>
          </w:p>
        </w:tc>
        <w:tc>
          <w:tcPr>
            <w:tcW w:w="4611" w:type="dxa"/>
            <w:gridSpan w:val="6"/>
            <w:vAlign w:val="center"/>
          </w:tcPr>
          <w:p w:rsidR="00754403" w:rsidRPr="00445BD4" w:rsidRDefault="00754403" w:rsidP="006C228A">
            <w:pPr>
              <w:autoSpaceDE w:val="0"/>
              <w:autoSpaceDN w:val="0"/>
              <w:adjustRightInd w:val="0"/>
              <w:jc w:val="center"/>
              <w:rPr>
                <w:rFonts w:ascii="TimesNewRomanPSMT" w:eastAsia="黑体" w:hAnsi="TimesNewRomanPSMT" w:cs="TimesNewRomanPSMT"/>
                <w:kern w:val="0"/>
                <w:sz w:val="18"/>
                <w:szCs w:val="18"/>
              </w:rPr>
            </w:pPr>
            <w:r w:rsidRPr="00445BD4">
              <w:rPr>
                <w:rFonts w:ascii="宋体" w:hAnsiTheme="minorHAnsi" w:cs="宋体" w:hint="eastAsia"/>
                <w:kern w:val="0"/>
                <w:sz w:val="18"/>
                <w:szCs w:val="18"/>
              </w:rPr>
              <w:t>火灾、爆炸引发伴生</w:t>
            </w:r>
            <w:r w:rsidRPr="00445BD4">
              <w:rPr>
                <w:rFonts w:ascii="TimesNewRomanPSMT" w:eastAsia="黑体" w:hAnsi="TimesNewRomanPSMT" w:cs="TimesNewRomanPSMT"/>
                <w:kern w:val="0"/>
                <w:sz w:val="18"/>
                <w:szCs w:val="18"/>
              </w:rPr>
              <w:t>/</w:t>
            </w:r>
            <w:r w:rsidRPr="00445BD4">
              <w:rPr>
                <w:rFonts w:ascii="宋体" w:hAnsiTheme="minorHAnsi" w:cs="宋体" w:hint="eastAsia"/>
                <w:kern w:val="0"/>
                <w:sz w:val="18"/>
                <w:szCs w:val="18"/>
              </w:rPr>
              <w:t>次生污染物排放</w:t>
            </w:r>
            <w:r w:rsidRPr="00445BD4">
              <w:rPr>
                <w:rFonts w:ascii="宋体" w:hAnsiTheme="minorHAnsi" w:cs="宋体"/>
                <w:kern w:val="0"/>
                <w:sz w:val="18"/>
                <w:szCs w:val="18"/>
              </w:rPr>
              <w:t xml:space="preserve"> </w:t>
            </w:r>
            <w:r w:rsidRPr="00445BD4">
              <w:rPr>
                <w:sz w:val="18"/>
                <w:szCs w:val="18"/>
              </w:rPr>
              <w:sym w:font="Wingdings 2" w:char="0052"/>
            </w:r>
          </w:p>
        </w:tc>
      </w:tr>
      <w:tr w:rsidR="00754403" w:rsidRPr="00445BD4" w:rsidTr="006C228A">
        <w:trPr>
          <w:jc w:val="center"/>
        </w:trPr>
        <w:tc>
          <w:tcPr>
            <w:tcW w:w="396" w:type="dxa"/>
            <w:vMerge/>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p>
        </w:tc>
        <w:tc>
          <w:tcPr>
            <w:tcW w:w="1347" w:type="dxa"/>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影响途径</w:t>
            </w:r>
          </w:p>
        </w:tc>
        <w:tc>
          <w:tcPr>
            <w:tcW w:w="3098" w:type="dxa"/>
            <w:gridSpan w:val="4"/>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大气</w:t>
            </w:r>
            <w:r w:rsidRPr="00445BD4">
              <w:rPr>
                <w:rFonts w:ascii="宋体" w:hAnsiTheme="minorHAnsi" w:cs="宋体"/>
                <w:kern w:val="0"/>
                <w:sz w:val="18"/>
                <w:szCs w:val="18"/>
              </w:rPr>
              <w:t xml:space="preserve"> </w:t>
            </w:r>
            <w:r w:rsidRPr="00445BD4">
              <w:rPr>
                <w:rFonts w:ascii="宋体" w:hAnsiTheme="minorHAnsi" w:cs="宋体" w:hint="eastAsia"/>
                <w:kern w:val="0"/>
                <w:sz w:val="18"/>
                <w:szCs w:val="18"/>
              </w:rPr>
              <w:t>□</w:t>
            </w:r>
          </w:p>
        </w:tc>
        <w:tc>
          <w:tcPr>
            <w:tcW w:w="230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地表水</w:t>
            </w:r>
            <w:r w:rsidRPr="00445BD4">
              <w:rPr>
                <w:rFonts w:ascii="宋体" w:hAnsiTheme="minorHAnsi" w:cs="宋体"/>
                <w:kern w:val="0"/>
                <w:sz w:val="18"/>
                <w:szCs w:val="18"/>
              </w:rPr>
              <w:t xml:space="preserve"> </w:t>
            </w:r>
            <w:r w:rsidRPr="00445BD4">
              <w:rPr>
                <w:sz w:val="18"/>
                <w:szCs w:val="18"/>
              </w:rPr>
              <w:sym w:font="Wingdings 2" w:char="0052"/>
            </w:r>
          </w:p>
        </w:tc>
        <w:tc>
          <w:tcPr>
            <w:tcW w:w="2307" w:type="dxa"/>
            <w:gridSpan w:val="3"/>
            <w:vAlign w:val="center"/>
          </w:tcPr>
          <w:p w:rsidR="00754403" w:rsidRPr="00445BD4" w:rsidRDefault="00754403" w:rsidP="006C228A">
            <w:pPr>
              <w:autoSpaceDE w:val="0"/>
              <w:autoSpaceDN w:val="0"/>
              <w:adjustRightInd w:val="0"/>
              <w:jc w:val="center"/>
              <w:rPr>
                <w:rFonts w:ascii="TimesNewRomanPSMT" w:eastAsia="黑体" w:hAnsi="TimesNewRomanPSMT" w:cs="TimesNewRomanPSMT"/>
                <w:kern w:val="0"/>
                <w:sz w:val="18"/>
                <w:szCs w:val="18"/>
              </w:rPr>
            </w:pPr>
            <w:r w:rsidRPr="00445BD4">
              <w:rPr>
                <w:rFonts w:ascii="宋体" w:hAnsiTheme="minorHAnsi" w:cs="宋体" w:hint="eastAsia"/>
                <w:kern w:val="0"/>
                <w:sz w:val="18"/>
                <w:szCs w:val="18"/>
              </w:rPr>
              <w:t>地下水</w:t>
            </w:r>
            <w:r w:rsidRPr="00445BD4">
              <w:rPr>
                <w:rFonts w:ascii="宋体" w:hAnsiTheme="minorHAnsi" w:cs="宋体"/>
                <w:kern w:val="0"/>
                <w:sz w:val="18"/>
                <w:szCs w:val="18"/>
              </w:rPr>
              <w:t xml:space="preserve"> </w:t>
            </w:r>
            <w:r w:rsidRPr="00445BD4">
              <w:rPr>
                <w:sz w:val="18"/>
                <w:szCs w:val="18"/>
              </w:rPr>
              <w:sym w:font="Wingdings 2" w:char="0052"/>
            </w:r>
          </w:p>
        </w:tc>
      </w:tr>
      <w:tr w:rsidR="00754403" w:rsidRPr="00445BD4" w:rsidTr="006C228A">
        <w:trPr>
          <w:jc w:val="center"/>
        </w:trPr>
        <w:tc>
          <w:tcPr>
            <w:tcW w:w="1743" w:type="dxa"/>
            <w:gridSpan w:val="2"/>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事故情形分析</w:t>
            </w:r>
          </w:p>
        </w:tc>
        <w:tc>
          <w:tcPr>
            <w:tcW w:w="1413" w:type="dxa"/>
            <w:gridSpan w:val="2"/>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源强设定方法</w:t>
            </w:r>
          </w:p>
        </w:tc>
        <w:tc>
          <w:tcPr>
            <w:tcW w:w="1685"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计算法</w:t>
            </w:r>
            <w:r w:rsidRPr="00445BD4">
              <w:rPr>
                <w:rFonts w:ascii="宋体" w:hAnsiTheme="minorHAnsi" w:cs="宋体"/>
                <w:kern w:val="0"/>
                <w:sz w:val="18"/>
                <w:szCs w:val="18"/>
              </w:rPr>
              <w:t xml:space="preserve"> </w:t>
            </w:r>
            <w:r w:rsidRPr="00445BD4">
              <w:rPr>
                <w:rFonts w:ascii="宋体" w:hAnsiTheme="minorHAnsi" w:cs="宋体" w:hint="eastAsia"/>
                <w:kern w:val="0"/>
                <w:sz w:val="18"/>
                <w:szCs w:val="18"/>
              </w:rPr>
              <w:t>□</w:t>
            </w:r>
          </w:p>
        </w:tc>
        <w:tc>
          <w:tcPr>
            <w:tcW w:w="2304" w:type="dxa"/>
            <w:gridSpan w:val="3"/>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宋体" w:hAnsiTheme="minorHAnsi" w:cs="宋体" w:hint="eastAsia"/>
                <w:kern w:val="0"/>
                <w:sz w:val="18"/>
                <w:szCs w:val="18"/>
              </w:rPr>
              <w:t>经验估算法</w:t>
            </w:r>
            <w:r w:rsidRPr="00445BD4">
              <w:rPr>
                <w:rFonts w:ascii="宋体" w:hAnsiTheme="minorHAnsi" w:cs="宋体"/>
                <w:kern w:val="0"/>
                <w:sz w:val="18"/>
                <w:szCs w:val="18"/>
              </w:rPr>
              <w:t xml:space="preserve"> </w:t>
            </w:r>
            <w:r w:rsidRPr="00445BD4">
              <w:rPr>
                <w:rFonts w:ascii="宋体" w:hAnsiTheme="minorHAnsi" w:cs="宋体" w:hint="eastAsia"/>
                <w:kern w:val="0"/>
                <w:sz w:val="18"/>
                <w:szCs w:val="18"/>
              </w:rPr>
              <w:t>□</w:t>
            </w:r>
          </w:p>
        </w:tc>
        <w:tc>
          <w:tcPr>
            <w:tcW w:w="2307" w:type="dxa"/>
            <w:gridSpan w:val="3"/>
            <w:vAlign w:val="center"/>
          </w:tcPr>
          <w:p w:rsidR="00754403" w:rsidRPr="00445BD4" w:rsidRDefault="00754403" w:rsidP="006C228A">
            <w:pPr>
              <w:autoSpaceDE w:val="0"/>
              <w:autoSpaceDN w:val="0"/>
              <w:contextualSpacing/>
              <w:jc w:val="center"/>
              <w:rPr>
                <w:rFonts w:ascii="TimesNewRomanPSMT" w:eastAsia="黑体" w:hAnsi="TimesNewRomanPSMT" w:cs="TimesNewRomanPSMT"/>
                <w:kern w:val="0"/>
                <w:sz w:val="18"/>
                <w:szCs w:val="18"/>
              </w:rPr>
            </w:pPr>
            <w:r w:rsidRPr="00445BD4">
              <w:rPr>
                <w:rFonts w:ascii="宋体" w:hAnsiTheme="minorHAnsi" w:cs="宋体" w:hint="eastAsia"/>
                <w:kern w:val="0"/>
                <w:sz w:val="18"/>
                <w:szCs w:val="18"/>
              </w:rPr>
              <w:t>其他估算法</w:t>
            </w:r>
            <w:r w:rsidRPr="00445BD4">
              <w:rPr>
                <w:rFonts w:ascii="宋体" w:hAnsiTheme="minorHAnsi" w:cs="宋体"/>
                <w:kern w:val="0"/>
                <w:sz w:val="18"/>
                <w:szCs w:val="18"/>
              </w:rPr>
              <w:t xml:space="preserve"> </w:t>
            </w:r>
            <w:r w:rsidRPr="00445BD4">
              <w:rPr>
                <w:rFonts w:ascii="宋体" w:hAnsiTheme="minorHAnsi" w:cs="宋体" w:hint="eastAsia"/>
                <w:kern w:val="0"/>
                <w:sz w:val="18"/>
                <w:szCs w:val="18"/>
              </w:rPr>
              <w:t>□</w:t>
            </w:r>
          </w:p>
        </w:tc>
      </w:tr>
      <w:tr w:rsidR="00754403" w:rsidRPr="00445BD4" w:rsidTr="006C228A">
        <w:trPr>
          <w:jc w:val="center"/>
        </w:trPr>
        <w:tc>
          <w:tcPr>
            <w:tcW w:w="396" w:type="dxa"/>
            <w:vMerge w:val="restart"/>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风险预测与评价</w:t>
            </w:r>
          </w:p>
        </w:tc>
        <w:tc>
          <w:tcPr>
            <w:tcW w:w="1347" w:type="dxa"/>
            <w:vMerge w:val="restart"/>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大气</w:t>
            </w:r>
          </w:p>
        </w:tc>
        <w:tc>
          <w:tcPr>
            <w:tcW w:w="1413" w:type="dxa"/>
            <w:gridSpan w:val="2"/>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预测模型</w:t>
            </w:r>
          </w:p>
        </w:tc>
        <w:tc>
          <w:tcPr>
            <w:tcW w:w="1685" w:type="dxa"/>
            <w:gridSpan w:val="2"/>
            <w:vAlign w:val="center"/>
          </w:tcPr>
          <w:p w:rsidR="00754403" w:rsidRPr="00445BD4" w:rsidRDefault="00754403" w:rsidP="006C228A">
            <w:pPr>
              <w:autoSpaceDE w:val="0"/>
              <w:autoSpaceDN w:val="0"/>
              <w:contextualSpacing/>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SLAB </w:t>
            </w:r>
            <w:r w:rsidRPr="00445BD4">
              <w:rPr>
                <w:rFonts w:ascii="宋体" w:hAnsiTheme="minorHAnsi" w:cs="宋体" w:hint="eastAsia"/>
                <w:kern w:val="0"/>
                <w:sz w:val="18"/>
                <w:szCs w:val="18"/>
              </w:rPr>
              <w:t>□</w:t>
            </w:r>
          </w:p>
        </w:tc>
        <w:tc>
          <w:tcPr>
            <w:tcW w:w="2304" w:type="dxa"/>
            <w:gridSpan w:val="3"/>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TimesNewRomanPSMT" w:eastAsia="黑体" w:hAnsi="TimesNewRomanPSMT" w:cs="TimesNewRomanPSMT"/>
                <w:kern w:val="0"/>
                <w:sz w:val="18"/>
                <w:szCs w:val="18"/>
              </w:rPr>
              <w:t xml:space="preserve">AFTOX </w:t>
            </w:r>
            <w:r w:rsidRPr="00445BD4">
              <w:rPr>
                <w:rFonts w:ascii="宋体" w:hAnsiTheme="minorHAnsi" w:cs="宋体" w:hint="eastAsia"/>
                <w:kern w:val="0"/>
                <w:sz w:val="18"/>
                <w:szCs w:val="18"/>
              </w:rPr>
              <w:t>□</w:t>
            </w:r>
          </w:p>
        </w:tc>
        <w:tc>
          <w:tcPr>
            <w:tcW w:w="2307" w:type="dxa"/>
            <w:gridSpan w:val="3"/>
            <w:vAlign w:val="center"/>
          </w:tcPr>
          <w:p w:rsidR="00754403" w:rsidRPr="00445BD4" w:rsidRDefault="00754403" w:rsidP="006C228A">
            <w:pPr>
              <w:autoSpaceDE w:val="0"/>
              <w:autoSpaceDN w:val="0"/>
              <w:contextualSpacing/>
              <w:jc w:val="center"/>
              <w:rPr>
                <w:rFonts w:ascii="TimesNewRomanPSMT" w:eastAsia="黑体" w:hAnsi="TimesNewRomanPSMT" w:cs="TimesNewRomanPSMT"/>
                <w:kern w:val="0"/>
                <w:sz w:val="18"/>
                <w:szCs w:val="18"/>
              </w:rPr>
            </w:pPr>
            <w:r w:rsidRPr="00445BD4">
              <w:rPr>
                <w:rFonts w:ascii="宋体" w:hAnsiTheme="minorHAnsi" w:cs="宋体" w:hint="eastAsia"/>
                <w:kern w:val="0"/>
                <w:sz w:val="18"/>
                <w:szCs w:val="18"/>
              </w:rPr>
              <w:t>其他</w:t>
            </w:r>
            <w:r w:rsidRPr="00445BD4">
              <w:rPr>
                <w:rFonts w:ascii="宋体" w:hAnsiTheme="minorHAnsi" w:cs="宋体"/>
                <w:kern w:val="0"/>
                <w:sz w:val="18"/>
                <w:szCs w:val="18"/>
              </w:rPr>
              <w:t xml:space="preserve"> </w:t>
            </w:r>
            <w:r w:rsidRPr="00445BD4">
              <w:rPr>
                <w:rFonts w:ascii="宋体" w:hAnsiTheme="minorHAnsi" w:cs="宋体" w:hint="eastAsia"/>
                <w:kern w:val="0"/>
                <w:sz w:val="18"/>
                <w:szCs w:val="18"/>
              </w:rPr>
              <w:t>□</w:t>
            </w:r>
          </w:p>
        </w:tc>
      </w:tr>
      <w:tr w:rsidR="00754403" w:rsidRPr="00445BD4" w:rsidTr="006C228A">
        <w:trPr>
          <w:jc w:val="center"/>
        </w:trPr>
        <w:tc>
          <w:tcPr>
            <w:tcW w:w="396" w:type="dxa"/>
            <w:vMerge/>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p>
        </w:tc>
        <w:tc>
          <w:tcPr>
            <w:tcW w:w="1347" w:type="dxa"/>
            <w:vMerge/>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p>
        </w:tc>
        <w:tc>
          <w:tcPr>
            <w:tcW w:w="1413" w:type="dxa"/>
            <w:gridSpan w:val="2"/>
            <w:vMerge w:val="restart"/>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预测结果</w:t>
            </w:r>
          </w:p>
        </w:tc>
        <w:tc>
          <w:tcPr>
            <w:tcW w:w="6296" w:type="dxa"/>
            <w:gridSpan w:val="8"/>
            <w:vAlign w:val="center"/>
          </w:tcPr>
          <w:p w:rsidR="00754403" w:rsidRPr="00445BD4" w:rsidRDefault="00754403" w:rsidP="006C228A">
            <w:pPr>
              <w:autoSpaceDE w:val="0"/>
              <w:autoSpaceDN w:val="0"/>
              <w:adjustRightInd w:val="0"/>
              <w:jc w:val="center"/>
              <w:rPr>
                <w:rFonts w:ascii="TimesNewRomanPSMT" w:eastAsia="黑体" w:hAnsi="TimesNewRomanPSMT" w:cs="TimesNewRomanPSMT"/>
                <w:kern w:val="0"/>
                <w:sz w:val="18"/>
                <w:szCs w:val="18"/>
              </w:rPr>
            </w:pPr>
            <w:r w:rsidRPr="00445BD4">
              <w:rPr>
                <w:rFonts w:ascii="宋体" w:hAnsiTheme="minorHAnsi" w:cs="宋体" w:hint="eastAsia"/>
                <w:kern w:val="0"/>
                <w:sz w:val="18"/>
                <w:szCs w:val="18"/>
              </w:rPr>
              <w:t>大气毒性终点浓度</w:t>
            </w:r>
            <w:r w:rsidRPr="00445BD4">
              <w:rPr>
                <w:rFonts w:ascii="TimesNewRomanPSMT" w:eastAsia="黑体" w:hAnsi="TimesNewRomanPSMT" w:cs="TimesNewRomanPSMT"/>
                <w:kern w:val="0"/>
                <w:sz w:val="18"/>
                <w:szCs w:val="18"/>
              </w:rPr>
              <w:t xml:space="preserve">-1 </w:t>
            </w:r>
            <w:r w:rsidRPr="00445BD4">
              <w:rPr>
                <w:rFonts w:ascii="宋体" w:hAnsiTheme="minorHAnsi" w:cs="宋体" w:hint="eastAsia"/>
                <w:kern w:val="0"/>
                <w:sz w:val="18"/>
                <w:szCs w:val="18"/>
              </w:rPr>
              <w:t>最大影响范围</w:t>
            </w:r>
            <w:r w:rsidRPr="00445BD4">
              <w:rPr>
                <w:rFonts w:ascii="宋体" w:hAnsiTheme="minorHAnsi" w:cs="宋体"/>
                <w:kern w:val="0"/>
                <w:sz w:val="18"/>
                <w:szCs w:val="18"/>
                <w:u w:val="single"/>
              </w:rPr>
              <w:t xml:space="preserve"> </w:t>
            </w:r>
            <w:r w:rsidRPr="00445BD4">
              <w:rPr>
                <w:rFonts w:ascii="宋体" w:hAnsiTheme="minorHAnsi" w:cs="宋体" w:hint="eastAsia"/>
                <w:kern w:val="0"/>
                <w:sz w:val="18"/>
                <w:szCs w:val="18"/>
                <w:u w:val="single"/>
              </w:rPr>
              <w:t xml:space="preserve">     </w:t>
            </w:r>
            <w:r w:rsidRPr="00445BD4">
              <w:rPr>
                <w:rFonts w:ascii="TimesNewRomanPSMT" w:eastAsia="黑体" w:hAnsi="TimesNewRomanPSMT" w:cs="TimesNewRomanPSMT"/>
                <w:kern w:val="0"/>
                <w:sz w:val="18"/>
                <w:szCs w:val="18"/>
              </w:rPr>
              <w:t>m</w:t>
            </w:r>
          </w:p>
        </w:tc>
      </w:tr>
      <w:tr w:rsidR="00754403" w:rsidRPr="00445BD4" w:rsidTr="006C228A">
        <w:trPr>
          <w:jc w:val="center"/>
        </w:trPr>
        <w:tc>
          <w:tcPr>
            <w:tcW w:w="396" w:type="dxa"/>
            <w:vMerge/>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p>
        </w:tc>
        <w:tc>
          <w:tcPr>
            <w:tcW w:w="1347" w:type="dxa"/>
            <w:vMerge/>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p>
        </w:tc>
        <w:tc>
          <w:tcPr>
            <w:tcW w:w="1413" w:type="dxa"/>
            <w:gridSpan w:val="2"/>
            <w:vMerge/>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p>
        </w:tc>
        <w:tc>
          <w:tcPr>
            <w:tcW w:w="6296" w:type="dxa"/>
            <w:gridSpan w:val="8"/>
            <w:vAlign w:val="center"/>
          </w:tcPr>
          <w:p w:rsidR="00754403" w:rsidRPr="00445BD4" w:rsidRDefault="00754403" w:rsidP="006C228A">
            <w:pPr>
              <w:autoSpaceDE w:val="0"/>
              <w:autoSpaceDN w:val="0"/>
              <w:adjustRightInd w:val="0"/>
              <w:jc w:val="center"/>
              <w:rPr>
                <w:rFonts w:ascii="TimesNewRomanPSMT" w:eastAsia="黑体" w:hAnsi="TimesNewRomanPSMT" w:cs="TimesNewRomanPSMT"/>
                <w:kern w:val="0"/>
                <w:sz w:val="18"/>
                <w:szCs w:val="18"/>
              </w:rPr>
            </w:pPr>
            <w:r w:rsidRPr="00445BD4">
              <w:rPr>
                <w:rFonts w:ascii="宋体" w:hAnsiTheme="minorHAnsi" w:cs="宋体" w:hint="eastAsia"/>
                <w:kern w:val="0"/>
                <w:sz w:val="18"/>
                <w:szCs w:val="18"/>
              </w:rPr>
              <w:t>大气毒性终点浓度</w:t>
            </w:r>
            <w:r w:rsidRPr="00445BD4">
              <w:rPr>
                <w:rFonts w:ascii="TimesNewRomanPSMT" w:eastAsia="黑体" w:hAnsi="TimesNewRomanPSMT" w:cs="TimesNewRomanPSMT"/>
                <w:kern w:val="0"/>
                <w:sz w:val="18"/>
                <w:szCs w:val="18"/>
              </w:rPr>
              <w:t xml:space="preserve">-2 </w:t>
            </w:r>
            <w:r w:rsidRPr="00445BD4">
              <w:rPr>
                <w:rFonts w:ascii="宋体" w:hAnsiTheme="minorHAnsi" w:cs="宋体" w:hint="eastAsia"/>
                <w:kern w:val="0"/>
                <w:sz w:val="18"/>
                <w:szCs w:val="18"/>
              </w:rPr>
              <w:t>最大影响范围</w:t>
            </w:r>
            <w:r w:rsidRPr="00445BD4">
              <w:rPr>
                <w:rFonts w:ascii="宋体" w:hAnsiTheme="minorHAnsi" w:cs="宋体"/>
                <w:kern w:val="0"/>
                <w:sz w:val="18"/>
                <w:szCs w:val="18"/>
                <w:u w:val="single"/>
              </w:rPr>
              <w:t xml:space="preserve"> </w:t>
            </w:r>
            <w:r w:rsidRPr="00445BD4">
              <w:rPr>
                <w:rFonts w:ascii="宋体" w:hAnsiTheme="minorHAnsi" w:cs="宋体" w:hint="eastAsia"/>
                <w:kern w:val="0"/>
                <w:sz w:val="18"/>
                <w:szCs w:val="18"/>
                <w:u w:val="single"/>
              </w:rPr>
              <w:t xml:space="preserve">     </w:t>
            </w:r>
            <w:r w:rsidRPr="00445BD4">
              <w:rPr>
                <w:rFonts w:ascii="TimesNewRomanPSMT" w:eastAsia="黑体" w:hAnsi="TimesNewRomanPSMT" w:cs="TimesNewRomanPSMT"/>
                <w:kern w:val="0"/>
                <w:sz w:val="18"/>
                <w:szCs w:val="18"/>
              </w:rPr>
              <w:t>m</w:t>
            </w:r>
          </w:p>
        </w:tc>
      </w:tr>
      <w:tr w:rsidR="00754403" w:rsidRPr="00445BD4" w:rsidTr="006C228A">
        <w:trPr>
          <w:jc w:val="center"/>
        </w:trPr>
        <w:tc>
          <w:tcPr>
            <w:tcW w:w="396" w:type="dxa"/>
            <w:vMerge/>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p>
        </w:tc>
        <w:tc>
          <w:tcPr>
            <w:tcW w:w="1347" w:type="dxa"/>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地表水</w:t>
            </w:r>
          </w:p>
        </w:tc>
        <w:tc>
          <w:tcPr>
            <w:tcW w:w="7709" w:type="dxa"/>
            <w:gridSpan w:val="10"/>
            <w:vAlign w:val="center"/>
          </w:tcPr>
          <w:p w:rsidR="00754403" w:rsidRPr="00445BD4" w:rsidRDefault="00754403" w:rsidP="006C228A">
            <w:pPr>
              <w:autoSpaceDE w:val="0"/>
              <w:autoSpaceDN w:val="0"/>
              <w:adjustRightInd w:val="0"/>
              <w:jc w:val="center"/>
              <w:rPr>
                <w:rFonts w:ascii="TimesNewRomanPSMT" w:eastAsia="黑体" w:hAnsi="TimesNewRomanPSMT" w:cs="TimesNewRomanPSMT"/>
                <w:kern w:val="0"/>
                <w:sz w:val="18"/>
                <w:szCs w:val="18"/>
              </w:rPr>
            </w:pPr>
            <w:r w:rsidRPr="00445BD4">
              <w:rPr>
                <w:rFonts w:ascii="宋体" w:hAnsiTheme="minorHAnsi" w:cs="宋体" w:hint="eastAsia"/>
                <w:kern w:val="0"/>
                <w:sz w:val="18"/>
                <w:szCs w:val="18"/>
              </w:rPr>
              <w:t>最近环境敏感目标</w:t>
            </w:r>
            <w:r w:rsidRPr="00445BD4">
              <w:rPr>
                <w:rFonts w:ascii="宋体" w:hAnsiTheme="minorHAnsi" w:cs="宋体" w:hint="eastAsia"/>
                <w:kern w:val="0"/>
                <w:sz w:val="18"/>
                <w:szCs w:val="18"/>
                <w:u w:val="single"/>
              </w:rPr>
              <w:t xml:space="preserve">      </w:t>
            </w:r>
            <w:r w:rsidRPr="00445BD4">
              <w:rPr>
                <w:rFonts w:ascii="宋体" w:hAnsiTheme="minorHAnsi" w:cs="宋体" w:hint="eastAsia"/>
                <w:kern w:val="0"/>
                <w:sz w:val="18"/>
                <w:szCs w:val="18"/>
              </w:rPr>
              <w:t>，到达时间</w:t>
            </w:r>
            <w:r w:rsidRPr="00445BD4">
              <w:rPr>
                <w:rFonts w:ascii="宋体" w:hAnsiTheme="minorHAnsi" w:cs="宋体" w:hint="eastAsia"/>
                <w:kern w:val="0"/>
                <w:sz w:val="18"/>
                <w:szCs w:val="18"/>
                <w:u w:val="single"/>
              </w:rPr>
              <w:t xml:space="preserve">     </w:t>
            </w:r>
            <w:r w:rsidRPr="00445BD4">
              <w:rPr>
                <w:rFonts w:ascii="宋体" w:hAnsiTheme="minorHAnsi" w:cs="宋体"/>
                <w:kern w:val="0"/>
                <w:sz w:val="18"/>
                <w:szCs w:val="18"/>
                <w:u w:val="single"/>
              </w:rPr>
              <w:t xml:space="preserve"> </w:t>
            </w:r>
            <w:r w:rsidRPr="00445BD4">
              <w:rPr>
                <w:rFonts w:ascii="TimesNewRomanPSMT" w:eastAsia="黑体" w:hAnsi="TimesNewRomanPSMT" w:cs="TimesNewRomanPSMT"/>
                <w:kern w:val="0"/>
                <w:sz w:val="18"/>
                <w:szCs w:val="18"/>
              </w:rPr>
              <w:t>h</w:t>
            </w:r>
          </w:p>
        </w:tc>
      </w:tr>
      <w:tr w:rsidR="00754403" w:rsidRPr="00445BD4" w:rsidTr="006C228A">
        <w:trPr>
          <w:jc w:val="center"/>
        </w:trPr>
        <w:tc>
          <w:tcPr>
            <w:tcW w:w="396" w:type="dxa"/>
            <w:vMerge/>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p>
        </w:tc>
        <w:tc>
          <w:tcPr>
            <w:tcW w:w="1347" w:type="dxa"/>
            <w:vMerge w:val="restart"/>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地下水</w:t>
            </w:r>
          </w:p>
        </w:tc>
        <w:tc>
          <w:tcPr>
            <w:tcW w:w="7709" w:type="dxa"/>
            <w:gridSpan w:val="10"/>
            <w:vAlign w:val="center"/>
          </w:tcPr>
          <w:p w:rsidR="00754403" w:rsidRPr="00445BD4" w:rsidRDefault="00754403" w:rsidP="006C228A">
            <w:pPr>
              <w:autoSpaceDE w:val="0"/>
              <w:autoSpaceDN w:val="0"/>
              <w:adjustRightInd w:val="0"/>
              <w:jc w:val="center"/>
              <w:rPr>
                <w:rFonts w:ascii="TimesNewRomanPSMT" w:eastAsia="黑体" w:hAnsi="TimesNewRomanPSMT" w:cs="TimesNewRomanPSMT"/>
                <w:kern w:val="0"/>
                <w:sz w:val="18"/>
                <w:szCs w:val="18"/>
              </w:rPr>
            </w:pPr>
            <w:r w:rsidRPr="00445BD4">
              <w:rPr>
                <w:rFonts w:ascii="宋体" w:hAnsiTheme="minorHAnsi" w:cs="宋体" w:hint="eastAsia"/>
                <w:kern w:val="0"/>
                <w:sz w:val="18"/>
                <w:szCs w:val="18"/>
              </w:rPr>
              <w:t>下游厂区边界到达时间</w:t>
            </w:r>
            <w:r w:rsidRPr="00445BD4">
              <w:rPr>
                <w:rFonts w:ascii="宋体" w:hAnsiTheme="minorHAnsi" w:cs="宋体"/>
                <w:kern w:val="0"/>
                <w:sz w:val="18"/>
                <w:szCs w:val="18"/>
                <w:u w:val="single"/>
              </w:rPr>
              <w:t xml:space="preserve"> </w:t>
            </w:r>
            <w:r w:rsidRPr="00445BD4">
              <w:rPr>
                <w:rFonts w:ascii="宋体" w:hAnsiTheme="minorHAnsi" w:cs="宋体" w:hint="eastAsia"/>
                <w:kern w:val="0"/>
                <w:sz w:val="18"/>
                <w:szCs w:val="18"/>
                <w:u w:val="single"/>
              </w:rPr>
              <w:t xml:space="preserve">      </w:t>
            </w:r>
            <w:r w:rsidRPr="00445BD4">
              <w:rPr>
                <w:rFonts w:ascii="TimesNewRomanPSMT" w:eastAsia="黑体" w:hAnsi="TimesNewRomanPSMT" w:cs="TimesNewRomanPSMT"/>
                <w:kern w:val="0"/>
                <w:sz w:val="18"/>
                <w:szCs w:val="18"/>
              </w:rPr>
              <w:t>d</w:t>
            </w:r>
          </w:p>
        </w:tc>
      </w:tr>
      <w:tr w:rsidR="00754403" w:rsidRPr="00445BD4" w:rsidTr="006C228A">
        <w:trPr>
          <w:jc w:val="center"/>
        </w:trPr>
        <w:tc>
          <w:tcPr>
            <w:tcW w:w="396" w:type="dxa"/>
            <w:vMerge/>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p>
        </w:tc>
        <w:tc>
          <w:tcPr>
            <w:tcW w:w="1347" w:type="dxa"/>
            <w:vMerge/>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p>
        </w:tc>
        <w:tc>
          <w:tcPr>
            <w:tcW w:w="7709" w:type="dxa"/>
            <w:gridSpan w:val="10"/>
            <w:vAlign w:val="center"/>
          </w:tcPr>
          <w:p w:rsidR="00754403" w:rsidRPr="00445BD4" w:rsidRDefault="00754403" w:rsidP="006C228A">
            <w:pPr>
              <w:autoSpaceDE w:val="0"/>
              <w:autoSpaceDN w:val="0"/>
              <w:adjustRightInd w:val="0"/>
              <w:jc w:val="center"/>
              <w:rPr>
                <w:rFonts w:ascii="TimesNewRomanPSMT" w:eastAsia="黑体" w:hAnsi="TimesNewRomanPSMT" w:cs="TimesNewRomanPSMT"/>
                <w:kern w:val="0"/>
                <w:sz w:val="18"/>
                <w:szCs w:val="18"/>
              </w:rPr>
            </w:pPr>
            <w:r w:rsidRPr="00445BD4">
              <w:rPr>
                <w:rFonts w:ascii="宋体" w:hAnsiTheme="minorHAnsi" w:cs="宋体" w:hint="eastAsia"/>
                <w:kern w:val="0"/>
                <w:sz w:val="18"/>
                <w:szCs w:val="18"/>
              </w:rPr>
              <w:t>最近环境敏感目标</w:t>
            </w:r>
            <w:r w:rsidRPr="00445BD4">
              <w:rPr>
                <w:rFonts w:ascii="宋体" w:hAnsiTheme="minorHAnsi" w:cs="宋体" w:hint="eastAsia"/>
                <w:kern w:val="0"/>
                <w:sz w:val="18"/>
                <w:szCs w:val="18"/>
                <w:u w:val="single"/>
              </w:rPr>
              <w:t xml:space="preserve">       </w:t>
            </w:r>
            <w:r w:rsidRPr="00445BD4">
              <w:rPr>
                <w:rFonts w:ascii="宋体" w:hAnsiTheme="minorHAnsi" w:cs="宋体" w:hint="eastAsia"/>
                <w:kern w:val="0"/>
                <w:sz w:val="18"/>
                <w:szCs w:val="18"/>
              </w:rPr>
              <w:t>，到达时间</w:t>
            </w:r>
            <w:r w:rsidRPr="00445BD4">
              <w:rPr>
                <w:rFonts w:ascii="宋体" w:hAnsiTheme="minorHAnsi" w:cs="宋体" w:hint="eastAsia"/>
                <w:kern w:val="0"/>
                <w:sz w:val="18"/>
                <w:szCs w:val="18"/>
                <w:u w:val="single"/>
              </w:rPr>
              <w:t xml:space="preserve">     </w:t>
            </w:r>
            <w:r w:rsidRPr="00445BD4">
              <w:rPr>
                <w:rFonts w:ascii="宋体" w:hAnsiTheme="minorHAnsi" w:cs="宋体"/>
                <w:kern w:val="0"/>
                <w:sz w:val="18"/>
                <w:szCs w:val="18"/>
                <w:u w:val="single"/>
              </w:rPr>
              <w:t xml:space="preserve"> </w:t>
            </w:r>
            <w:r w:rsidRPr="00445BD4">
              <w:rPr>
                <w:rFonts w:ascii="TimesNewRomanPSMT" w:eastAsia="黑体" w:hAnsi="TimesNewRomanPSMT" w:cs="TimesNewRomanPSMT"/>
                <w:kern w:val="0"/>
                <w:sz w:val="18"/>
                <w:szCs w:val="18"/>
              </w:rPr>
              <w:t>d</w:t>
            </w:r>
          </w:p>
        </w:tc>
      </w:tr>
      <w:tr w:rsidR="00754403" w:rsidRPr="00445BD4" w:rsidTr="006C228A">
        <w:trPr>
          <w:jc w:val="center"/>
        </w:trPr>
        <w:tc>
          <w:tcPr>
            <w:tcW w:w="1743" w:type="dxa"/>
            <w:gridSpan w:val="2"/>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重点风险防范措施</w:t>
            </w:r>
          </w:p>
        </w:tc>
        <w:tc>
          <w:tcPr>
            <w:tcW w:w="7709" w:type="dxa"/>
            <w:gridSpan w:val="10"/>
            <w:vAlign w:val="center"/>
          </w:tcPr>
          <w:p w:rsidR="00754403" w:rsidRPr="00445BD4" w:rsidRDefault="00754403" w:rsidP="006C228A">
            <w:pPr>
              <w:pStyle w:val="TableParagraph"/>
              <w:jc w:val="both"/>
              <w:rPr>
                <w:sz w:val="18"/>
                <w:szCs w:val="18"/>
              </w:rPr>
            </w:pPr>
            <w:r w:rsidRPr="00445BD4">
              <w:rPr>
                <w:rFonts w:eastAsia="Times New Roman"/>
                <w:sz w:val="18"/>
                <w:szCs w:val="18"/>
              </w:rPr>
              <w:t>1</w:t>
            </w:r>
            <w:r w:rsidRPr="00445BD4">
              <w:rPr>
                <w:sz w:val="18"/>
                <w:szCs w:val="18"/>
              </w:rPr>
              <w:t>、油脂库</w:t>
            </w:r>
            <w:r w:rsidR="00BF48DC">
              <w:rPr>
                <w:rFonts w:hint="eastAsia"/>
                <w:sz w:val="18"/>
                <w:szCs w:val="18"/>
              </w:rPr>
              <w:t>及危废暂存间</w:t>
            </w:r>
            <w:r w:rsidRPr="00445BD4">
              <w:rPr>
                <w:sz w:val="18"/>
                <w:szCs w:val="18"/>
              </w:rPr>
              <w:t>地面防渗，并设置集油池（坑）；</w:t>
            </w:r>
          </w:p>
          <w:p w:rsidR="00754403" w:rsidRPr="00445BD4" w:rsidRDefault="00754403" w:rsidP="006C228A">
            <w:pPr>
              <w:pStyle w:val="TableParagraph"/>
              <w:jc w:val="both"/>
              <w:rPr>
                <w:sz w:val="18"/>
                <w:szCs w:val="18"/>
              </w:rPr>
            </w:pPr>
            <w:r w:rsidRPr="00445BD4">
              <w:rPr>
                <w:sz w:val="18"/>
                <w:szCs w:val="18"/>
              </w:rPr>
              <w:t>2</w:t>
            </w:r>
            <w:r w:rsidRPr="00445BD4">
              <w:rPr>
                <w:sz w:val="18"/>
                <w:szCs w:val="18"/>
              </w:rPr>
              <w:t>、油脂库</w:t>
            </w:r>
            <w:r w:rsidR="00BF48DC">
              <w:rPr>
                <w:rFonts w:hint="eastAsia"/>
                <w:sz w:val="18"/>
                <w:szCs w:val="18"/>
              </w:rPr>
              <w:t>及危废暂存间</w:t>
            </w:r>
            <w:r w:rsidRPr="00445BD4">
              <w:rPr>
                <w:sz w:val="18"/>
                <w:szCs w:val="18"/>
              </w:rPr>
              <w:t>禁止非丙类油品储存；</w:t>
            </w:r>
          </w:p>
          <w:p w:rsidR="00754403" w:rsidRPr="00445BD4" w:rsidRDefault="00754403" w:rsidP="006C228A">
            <w:pPr>
              <w:pStyle w:val="TableParagraph"/>
              <w:jc w:val="both"/>
              <w:rPr>
                <w:sz w:val="18"/>
                <w:szCs w:val="18"/>
              </w:rPr>
            </w:pPr>
            <w:r w:rsidRPr="00445BD4">
              <w:rPr>
                <w:sz w:val="18"/>
                <w:szCs w:val="18"/>
              </w:rPr>
              <w:t>3</w:t>
            </w:r>
            <w:r w:rsidRPr="00445BD4">
              <w:rPr>
                <w:sz w:val="18"/>
                <w:szCs w:val="18"/>
              </w:rPr>
              <w:t>、设立标志，加强巡检，贮存必要的应急物资；</w:t>
            </w:r>
          </w:p>
          <w:p w:rsidR="00754403" w:rsidRPr="00445BD4" w:rsidRDefault="00754403" w:rsidP="006C228A">
            <w:pPr>
              <w:autoSpaceDE w:val="0"/>
              <w:autoSpaceDN w:val="0"/>
              <w:contextualSpacing/>
              <w:rPr>
                <w:rFonts w:ascii="TimesNewRomanPSMT" w:eastAsia="黑体" w:hAnsi="TimesNewRomanPSMT" w:cs="TimesNewRomanPSMT"/>
                <w:kern w:val="0"/>
                <w:sz w:val="18"/>
                <w:szCs w:val="18"/>
              </w:rPr>
            </w:pPr>
            <w:r w:rsidRPr="00445BD4">
              <w:rPr>
                <w:sz w:val="18"/>
                <w:szCs w:val="18"/>
              </w:rPr>
              <w:t>4</w:t>
            </w:r>
            <w:r w:rsidRPr="00445BD4">
              <w:rPr>
                <w:sz w:val="18"/>
                <w:szCs w:val="18"/>
              </w:rPr>
              <w:t>、制订油脂库</w:t>
            </w:r>
            <w:r w:rsidR="00BF48DC">
              <w:rPr>
                <w:rFonts w:hint="eastAsia"/>
                <w:sz w:val="18"/>
                <w:szCs w:val="18"/>
              </w:rPr>
              <w:t>及危废暂存间</w:t>
            </w:r>
            <w:r w:rsidRPr="00445BD4">
              <w:rPr>
                <w:sz w:val="18"/>
                <w:szCs w:val="18"/>
              </w:rPr>
              <w:t>环境风险应急预案、并不定期演练。</w:t>
            </w:r>
          </w:p>
        </w:tc>
      </w:tr>
      <w:tr w:rsidR="00754403" w:rsidRPr="00445BD4" w:rsidTr="006C228A">
        <w:trPr>
          <w:jc w:val="center"/>
        </w:trPr>
        <w:tc>
          <w:tcPr>
            <w:tcW w:w="1743" w:type="dxa"/>
            <w:gridSpan w:val="2"/>
            <w:vAlign w:val="center"/>
          </w:tcPr>
          <w:p w:rsidR="00754403" w:rsidRPr="00445BD4" w:rsidRDefault="00754403" w:rsidP="006C228A">
            <w:pPr>
              <w:autoSpaceDE w:val="0"/>
              <w:autoSpaceDN w:val="0"/>
              <w:adjustRightInd w:val="0"/>
              <w:jc w:val="center"/>
              <w:rPr>
                <w:rFonts w:ascii="宋体" w:hAnsiTheme="minorHAnsi" w:cs="宋体"/>
                <w:kern w:val="0"/>
                <w:sz w:val="18"/>
                <w:szCs w:val="18"/>
              </w:rPr>
            </w:pPr>
            <w:r w:rsidRPr="00445BD4">
              <w:rPr>
                <w:rFonts w:ascii="宋体" w:hAnsiTheme="minorHAnsi" w:cs="宋体" w:hint="eastAsia"/>
                <w:kern w:val="0"/>
                <w:sz w:val="18"/>
                <w:szCs w:val="18"/>
              </w:rPr>
              <w:t>评价结论与建议</w:t>
            </w:r>
          </w:p>
        </w:tc>
        <w:tc>
          <w:tcPr>
            <w:tcW w:w="7709" w:type="dxa"/>
            <w:gridSpan w:val="10"/>
            <w:vAlign w:val="center"/>
          </w:tcPr>
          <w:p w:rsidR="00754403" w:rsidRPr="00445BD4" w:rsidRDefault="00754403" w:rsidP="006C228A">
            <w:pPr>
              <w:autoSpaceDE w:val="0"/>
              <w:autoSpaceDN w:val="0"/>
              <w:contextualSpacing/>
              <w:jc w:val="left"/>
              <w:rPr>
                <w:rFonts w:ascii="TimesNewRomanPSMT" w:eastAsia="黑体" w:hAnsi="TimesNewRomanPSMT" w:cs="TimesNewRomanPSMT"/>
                <w:kern w:val="0"/>
                <w:sz w:val="18"/>
                <w:szCs w:val="18"/>
              </w:rPr>
            </w:pPr>
            <w:r w:rsidRPr="00445BD4">
              <w:rPr>
                <w:sz w:val="18"/>
                <w:szCs w:val="18"/>
              </w:rPr>
              <w:t>在油脂库</w:t>
            </w:r>
            <w:r w:rsidR="00BF48DC">
              <w:rPr>
                <w:rFonts w:hint="eastAsia"/>
                <w:sz w:val="18"/>
                <w:szCs w:val="18"/>
              </w:rPr>
              <w:t>及危废暂存间</w:t>
            </w:r>
            <w:r w:rsidRPr="00445BD4">
              <w:rPr>
                <w:sz w:val="18"/>
                <w:szCs w:val="18"/>
              </w:rPr>
              <w:t>地面防渗、并设集油池（坑）收集，油脂库</w:t>
            </w:r>
            <w:r w:rsidR="00BF48DC">
              <w:rPr>
                <w:rFonts w:hint="eastAsia"/>
                <w:sz w:val="18"/>
                <w:szCs w:val="18"/>
              </w:rPr>
              <w:t>及危废暂存间</w:t>
            </w:r>
            <w:r w:rsidRPr="00445BD4">
              <w:rPr>
                <w:sz w:val="18"/>
                <w:szCs w:val="18"/>
              </w:rPr>
              <w:t>发生泄漏事故环境风险可控，对周围环境影响不大</w:t>
            </w:r>
          </w:p>
        </w:tc>
      </w:tr>
      <w:tr w:rsidR="00754403" w:rsidRPr="00445BD4" w:rsidTr="006C228A">
        <w:trPr>
          <w:jc w:val="center"/>
        </w:trPr>
        <w:tc>
          <w:tcPr>
            <w:tcW w:w="9452" w:type="dxa"/>
            <w:gridSpan w:val="12"/>
            <w:vAlign w:val="center"/>
          </w:tcPr>
          <w:p w:rsidR="00754403" w:rsidRPr="00445BD4" w:rsidRDefault="00754403" w:rsidP="006C228A">
            <w:pPr>
              <w:autoSpaceDE w:val="0"/>
              <w:autoSpaceDN w:val="0"/>
              <w:adjustRightInd w:val="0"/>
              <w:jc w:val="left"/>
              <w:rPr>
                <w:rFonts w:ascii="TimesNewRomanPSMT" w:eastAsia="黑体" w:hAnsi="TimesNewRomanPSMT" w:cs="TimesNewRomanPSMT"/>
                <w:kern w:val="0"/>
                <w:sz w:val="18"/>
                <w:szCs w:val="18"/>
              </w:rPr>
            </w:pPr>
            <w:r w:rsidRPr="00445BD4">
              <w:rPr>
                <w:rFonts w:ascii="宋体" w:hAnsiTheme="minorHAnsi" w:cs="宋体" w:hint="eastAsia"/>
                <w:kern w:val="0"/>
                <w:sz w:val="18"/>
                <w:szCs w:val="18"/>
              </w:rPr>
              <w:t>注：“□”为勾选项，“</w:t>
            </w:r>
            <w:r w:rsidRPr="00445BD4">
              <w:rPr>
                <w:rFonts w:ascii="宋体" w:hAnsiTheme="minorHAnsi" w:cs="宋体"/>
                <w:kern w:val="0"/>
                <w:sz w:val="18"/>
                <w:szCs w:val="18"/>
                <w:u w:val="single"/>
              </w:rPr>
              <w:t xml:space="preserve"> </w:t>
            </w:r>
            <w:r w:rsidRPr="00445BD4">
              <w:rPr>
                <w:rFonts w:ascii="宋体" w:hAnsiTheme="minorHAnsi" w:cs="宋体" w:hint="eastAsia"/>
                <w:kern w:val="0"/>
                <w:sz w:val="18"/>
                <w:szCs w:val="18"/>
                <w:u w:val="single"/>
              </w:rPr>
              <w:t xml:space="preserve">     </w:t>
            </w:r>
            <w:r w:rsidRPr="00445BD4">
              <w:rPr>
                <w:rFonts w:ascii="宋体" w:hAnsiTheme="minorHAnsi" w:cs="宋体" w:hint="eastAsia"/>
                <w:kern w:val="0"/>
                <w:sz w:val="18"/>
                <w:szCs w:val="18"/>
              </w:rPr>
              <w:t>”为填写项。</w:t>
            </w:r>
          </w:p>
        </w:tc>
      </w:tr>
    </w:tbl>
    <w:p w:rsidR="00C223F5" w:rsidRDefault="005860D5" w:rsidP="004835BD">
      <w:pPr>
        <w:pStyle w:val="2"/>
        <w:numPr>
          <w:ilvl w:val="1"/>
          <w:numId w:val="0"/>
        </w:numPr>
        <w:spacing w:before="0" w:after="0" w:line="360" w:lineRule="auto"/>
        <w:rPr>
          <w:rFonts w:ascii="Times New Roman" w:eastAsia="宋体" w:hAnsi="Times New Roman"/>
          <w:b/>
          <w:bCs w:val="0"/>
          <w:szCs w:val="30"/>
        </w:rPr>
      </w:pPr>
      <w:bookmarkStart w:id="429" w:name="_Toc16785303"/>
      <w:r>
        <w:rPr>
          <w:rFonts w:ascii="Times New Roman" w:eastAsia="宋体" w:hAnsi="Times New Roman" w:hint="eastAsia"/>
          <w:b/>
          <w:bCs w:val="0"/>
          <w:szCs w:val="30"/>
        </w:rPr>
        <w:t>4.3</w:t>
      </w:r>
      <w:r>
        <w:rPr>
          <w:rFonts w:ascii="Times New Roman" w:eastAsia="宋体" w:hAnsi="Times New Roman" w:hint="eastAsia"/>
          <w:b/>
          <w:bCs w:val="0"/>
          <w:szCs w:val="30"/>
        </w:rPr>
        <w:t>项目整合前后环境影响变化分析</w:t>
      </w:r>
      <w:bookmarkEnd w:id="426"/>
      <w:bookmarkEnd w:id="427"/>
      <w:bookmarkEnd w:id="428"/>
      <w:bookmarkEnd w:id="429"/>
    </w:p>
    <w:p w:rsidR="00C223F5" w:rsidRDefault="005860D5">
      <w:pPr>
        <w:pStyle w:val="affffff4"/>
        <w:spacing w:line="360" w:lineRule="auto"/>
        <w:ind w:firstLine="480"/>
        <w:rPr>
          <w:rFonts w:ascii="Arial Narrow" w:eastAsia="汉鼎简书宋" w:hAnsi="宋体"/>
          <w:kern w:val="24"/>
          <w:sz w:val="24"/>
        </w:rPr>
        <w:sectPr w:rsidR="00C223F5">
          <w:pgSz w:w="11907" w:h="16840"/>
          <w:pgMar w:top="1440" w:right="1701" w:bottom="1440" w:left="1701" w:header="851" w:footer="992" w:gutter="0"/>
          <w:cols w:space="425"/>
          <w:docGrid w:linePitch="312"/>
        </w:sectPr>
      </w:pPr>
      <w:r>
        <w:rPr>
          <w:rFonts w:hAnsi="宋体"/>
          <w:kern w:val="24"/>
          <w:sz w:val="24"/>
        </w:rPr>
        <w:t>本项目</w:t>
      </w:r>
      <w:r>
        <w:rPr>
          <w:rFonts w:hAnsi="宋体" w:hint="eastAsia"/>
          <w:kern w:val="24"/>
          <w:sz w:val="24"/>
        </w:rPr>
        <w:t>整合后扩大井田面积，利用原有工业场地进行改扩建，新增一座配套选煤厂，新凿主副斜井井筒且增加生产规模，改变盘区数量及开采顺序，由于工程的变化，相应的与原整合工程相比，对环境的影响也发生了变化，本项目整合前后环境影响变化情况见表</w:t>
      </w:r>
      <w:r>
        <w:rPr>
          <w:rFonts w:ascii="Times New Roman" w:hAnsi="Times New Roman"/>
          <w:kern w:val="24"/>
          <w:sz w:val="24"/>
        </w:rPr>
        <w:t>4.3-1</w:t>
      </w:r>
      <w:r>
        <w:rPr>
          <w:rFonts w:ascii="Times New Roman" w:hAnsi="Times New Roman"/>
          <w:kern w:val="24"/>
          <w:sz w:val="24"/>
        </w:rPr>
        <w:t>。</w:t>
      </w:r>
    </w:p>
    <w:p w:rsidR="00C223F5" w:rsidRDefault="005860D5">
      <w:pPr>
        <w:tabs>
          <w:tab w:val="left" w:pos="3885"/>
        </w:tabs>
        <w:topLinePunct/>
        <w:jc w:val="center"/>
        <w:rPr>
          <w:b/>
          <w:bCs/>
          <w:sz w:val="24"/>
        </w:rPr>
      </w:pPr>
      <w:r>
        <w:rPr>
          <w:b/>
          <w:sz w:val="24"/>
        </w:rPr>
        <w:lastRenderedPageBreak/>
        <w:t>表</w:t>
      </w:r>
      <w:r>
        <w:rPr>
          <w:rFonts w:hint="eastAsia"/>
          <w:b/>
          <w:sz w:val="24"/>
        </w:rPr>
        <w:t xml:space="preserve">4.3-1   </w:t>
      </w:r>
      <w:r>
        <w:rPr>
          <w:rFonts w:hAnsi="宋体" w:hint="eastAsia"/>
          <w:b/>
          <w:bCs/>
          <w:sz w:val="24"/>
        </w:rPr>
        <w:t>项目</w:t>
      </w:r>
      <w:r>
        <w:rPr>
          <w:rFonts w:hAnsi="宋体"/>
          <w:b/>
          <w:bCs/>
          <w:sz w:val="24"/>
        </w:rPr>
        <w:t>整合</w:t>
      </w:r>
      <w:r>
        <w:rPr>
          <w:rFonts w:hAnsi="宋体" w:hint="eastAsia"/>
          <w:b/>
          <w:bCs/>
          <w:sz w:val="24"/>
        </w:rPr>
        <w:t>前后环境影响变化分析表</w:t>
      </w:r>
    </w:p>
    <w:tbl>
      <w:tblPr>
        <w:tblW w:w="1456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751"/>
        <w:gridCol w:w="1173"/>
        <w:gridCol w:w="5229"/>
        <w:gridCol w:w="8"/>
        <w:gridCol w:w="5112"/>
        <w:gridCol w:w="2288"/>
      </w:tblGrid>
      <w:tr w:rsidR="00C223F5">
        <w:trPr>
          <w:trHeight w:val="332"/>
          <w:jc w:val="center"/>
        </w:trPr>
        <w:tc>
          <w:tcPr>
            <w:tcW w:w="751" w:type="dxa"/>
            <w:tcMar>
              <w:left w:w="0" w:type="dxa"/>
              <w:right w:w="0" w:type="dxa"/>
            </w:tcMar>
            <w:vAlign w:val="center"/>
          </w:tcPr>
          <w:p w:rsidR="00C223F5" w:rsidRDefault="005860D5">
            <w:pPr>
              <w:jc w:val="center"/>
              <w:rPr>
                <w:b/>
                <w:szCs w:val="21"/>
              </w:rPr>
            </w:pPr>
            <w:r>
              <w:rPr>
                <w:rFonts w:hint="eastAsia"/>
                <w:b/>
                <w:szCs w:val="21"/>
              </w:rPr>
              <w:t>影响</w:t>
            </w:r>
          </w:p>
          <w:p w:rsidR="00C223F5" w:rsidRDefault="005860D5">
            <w:pPr>
              <w:jc w:val="center"/>
              <w:rPr>
                <w:b/>
                <w:szCs w:val="21"/>
              </w:rPr>
            </w:pPr>
            <w:r>
              <w:rPr>
                <w:rFonts w:hint="eastAsia"/>
                <w:b/>
                <w:szCs w:val="21"/>
              </w:rPr>
              <w:t>因素</w:t>
            </w:r>
          </w:p>
        </w:tc>
        <w:tc>
          <w:tcPr>
            <w:tcW w:w="1173" w:type="dxa"/>
            <w:tcMar>
              <w:left w:w="0" w:type="dxa"/>
              <w:right w:w="0" w:type="dxa"/>
            </w:tcMar>
            <w:vAlign w:val="center"/>
          </w:tcPr>
          <w:p w:rsidR="00C223F5" w:rsidRDefault="005860D5">
            <w:pPr>
              <w:jc w:val="center"/>
              <w:rPr>
                <w:b/>
                <w:szCs w:val="21"/>
              </w:rPr>
            </w:pPr>
            <w:r>
              <w:rPr>
                <w:rFonts w:hint="eastAsia"/>
                <w:b/>
                <w:szCs w:val="21"/>
              </w:rPr>
              <w:t>污染源</w:t>
            </w:r>
          </w:p>
        </w:tc>
        <w:tc>
          <w:tcPr>
            <w:tcW w:w="5229" w:type="dxa"/>
            <w:tcBorders>
              <w:right w:val="single" w:sz="4" w:space="0" w:color="auto"/>
            </w:tcBorders>
            <w:tcMar>
              <w:left w:w="0" w:type="dxa"/>
              <w:right w:w="0" w:type="dxa"/>
            </w:tcMar>
            <w:vAlign w:val="center"/>
          </w:tcPr>
          <w:p w:rsidR="00C223F5" w:rsidRDefault="005860D5">
            <w:pPr>
              <w:jc w:val="center"/>
              <w:rPr>
                <w:b/>
                <w:szCs w:val="21"/>
              </w:rPr>
            </w:pPr>
            <w:r>
              <w:rPr>
                <w:rFonts w:hint="eastAsia"/>
                <w:b/>
                <w:szCs w:val="21"/>
              </w:rPr>
              <w:t>原天云煤矿环境影响及采取措施</w:t>
            </w:r>
          </w:p>
        </w:tc>
        <w:tc>
          <w:tcPr>
            <w:tcW w:w="5120" w:type="dxa"/>
            <w:gridSpan w:val="2"/>
            <w:tcBorders>
              <w:left w:val="single" w:sz="4" w:space="0" w:color="auto"/>
              <w:right w:val="single" w:sz="4" w:space="0" w:color="auto"/>
            </w:tcBorders>
            <w:vAlign w:val="center"/>
          </w:tcPr>
          <w:p w:rsidR="00C223F5" w:rsidRDefault="005860D5">
            <w:pPr>
              <w:jc w:val="center"/>
              <w:rPr>
                <w:b/>
                <w:szCs w:val="21"/>
              </w:rPr>
            </w:pPr>
            <w:r>
              <w:rPr>
                <w:rFonts w:hint="eastAsia"/>
                <w:b/>
                <w:szCs w:val="21"/>
              </w:rPr>
              <w:t>本次整合环境影响及采取措施</w:t>
            </w:r>
          </w:p>
        </w:tc>
        <w:tc>
          <w:tcPr>
            <w:tcW w:w="2288" w:type="dxa"/>
            <w:tcBorders>
              <w:left w:val="single" w:sz="4" w:space="0" w:color="auto"/>
              <w:right w:val="single" w:sz="4" w:space="0" w:color="auto"/>
            </w:tcBorders>
            <w:vAlign w:val="center"/>
          </w:tcPr>
          <w:p w:rsidR="00C223F5" w:rsidRDefault="005860D5">
            <w:pPr>
              <w:jc w:val="center"/>
              <w:rPr>
                <w:b/>
                <w:szCs w:val="21"/>
              </w:rPr>
            </w:pPr>
            <w:r>
              <w:rPr>
                <w:rFonts w:hint="eastAsia"/>
                <w:b/>
                <w:szCs w:val="21"/>
              </w:rPr>
              <w:t>影响变化情况</w:t>
            </w:r>
          </w:p>
        </w:tc>
      </w:tr>
      <w:tr w:rsidR="00C223F5">
        <w:trPr>
          <w:trHeight w:val="589"/>
          <w:jc w:val="center"/>
        </w:trPr>
        <w:tc>
          <w:tcPr>
            <w:tcW w:w="751" w:type="dxa"/>
            <w:vMerge w:val="restart"/>
            <w:tcMar>
              <w:left w:w="0" w:type="dxa"/>
              <w:right w:w="0" w:type="dxa"/>
            </w:tcMar>
            <w:vAlign w:val="center"/>
          </w:tcPr>
          <w:p w:rsidR="00C223F5" w:rsidRDefault="005860D5">
            <w:pPr>
              <w:jc w:val="center"/>
              <w:rPr>
                <w:szCs w:val="21"/>
              </w:rPr>
            </w:pPr>
            <w:r>
              <w:rPr>
                <w:rFonts w:hint="eastAsia"/>
                <w:szCs w:val="21"/>
              </w:rPr>
              <w:t>地表水</w:t>
            </w:r>
          </w:p>
          <w:p w:rsidR="00C223F5" w:rsidRDefault="005860D5">
            <w:pPr>
              <w:jc w:val="center"/>
              <w:rPr>
                <w:szCs w:val="21"/>
              </w:rPr>
            </w:pPr>
            <w:r>
              <w:rPr>
                <w:rFonts w:hint="eastAsia"/>
                <w:szCs w:val="21"/>
              </w:rPr>
              <w:t>环境</w:t>
            </w:r>
          </w:p>
        </w:tc>
        <w:tc>
          <w:tcPr>
            <w:tcW w:w="1173" w:type="dxa"/>
            <w:tcMar>
              <w:left w:w="0" w:type="dxa"/>
              <w:right w:w="0" w:type="dxa"/>
            </w:tcMar>
            <w:vAlign w:val="center"/>
          </w:tcPr>
          <w:p w:rsidR="00C223F5" w:rsidRDefault="005860D5">
            <w:pPr>
              <w:tabs>
                <w:tab w:val="left" w:pos="444"/>
              </w:tabs>
              <w:jc w:val="center"/>
              <w:rPr>
                <w:szCs w:val="21"/>
              </w:rPr>
            </w:pPr>
            <w:r>
              <w:rPr>
                <w:rFonts w:hint="eastAsia"/>
                <w:szCs w:val="21"/>
              </w:rPr>
              <w:t>矿井水</w:t>
            </w:r>
          </w:p>
        </w:tc>
        <w:tc>
          <w:tcPr>
            <w:tcW w:w="5229" w:type="dxa"/>
            <w:tcBorders>
              <w:right w:val="single" w:sz="4" w:space="0" w:color="auto"/>
            </w:tcBorders>
            <w:tcMar>
              <w:left w:w="0" w:type="dxa"/>
              <w:right w:w="0" w:type="dxa"/>
            </w:tcMar>
            <w:vAlign w:val="center"/>
          </w:tcPr>
          <w:p w:rsidR="00C223F5" w:rsidRPr="00CC079C" w:rsidRDefault="005860D5">
            <w:pPr>
              <w:adjustRightInd w:val="0"/>
              <w:rPr>
                <w:szCs w:val="21"/>
              </w:rPr>
            </w:pPr>
            <w:r w:rsidRPr="00CC079C">
              <w:rPr>
                <w:rFonts w:hint="eastAsia"/>
                <w:szCs w:val="21"/>
              </w:rPr>
              <w:t>产生量</w:t>
            </w:r>
            <w:r w:rsidRPr="00CC079C">
              <w:rPr>
                <w:rFonts w:hint="eastAsia"/>
                <w:szCs w:val="21"/>
              </w:rPr>
              <w:t>1078m</w:t>
            </w:r>
            <w:r w:rsidRPr="00CC079C">
              <w:rPr>
                <w:rFonts w:hint="eastAsia"/>
                <w:szCs w:val="21"/>
                <w:vertAlign w:val="superscript"/>
              </w:rPr>
              <w:t>3</w:t>
            </w:r>
            <w:r w:rsidRPr="00CC079C">
              <w:rPr>
                <w:rFonts w:hint="eastAsia"/>
                <w:szCs w:val="21"/>
              </w:rPr>
              <w:t>/d</w:t>
            </w:r>
            <w:r w:rsidRPr="00CC079C">
              <w:rPr>
                <w:rFonts w:hint="eastAsia"/>
                <w:szCs w:val="21"/>
              </w:rPr>
              <w:t>，</w:t>
            </w:r>
            <w:r w:rsidRPr="00CC079C">
              <w:rPr>
                <w:rFonts w:hAnsi="宋体"/>
                <w:snapToGrid w:val="0"/>
                <w:spacing w:val="-6"/>
                <w:szCs w:val="21"/>
              </w:rPr>
              <w:t>采用</w:t>
            </w:r>
            <w:r w:rsidRPr="00CC079C">
              <w:rPr>
                <w:rFonts w:hAnsi="宋体"/>
                <w:spacing w:val="-6"/>
                <w:szCs w:val="21"/>
              </w:rPr>
              <w:t>混凝、沉淀、过滤工艺</w:t>
            </w:r>
            <w:r w:rsidRPr="00CC079C">
              <w:rPr>
                <w:rFonts w:hint="eastAsia"/>
                <w:szCs w:val="21"/>
              </w:rPr>
              <w:t>，处理后</w:t>
            </w:r>
          </w:p>
          <w:p w:rsidR="00C223F5" w:rsidRPr="00CC079C" w:rsidRDefault="005860D5">
            <w:pPr>
              <w:adjustRightInd w:val="0"/>
              <w:rPr>
                <w:szCs w:val="21"/>
              </w:rPr>
            </w:pPr>
            <w:r w:rsidRPr="00CC079C">
              <w:rPr>
                <w:rFonts w:hint="eastAsia"/>
                <w:szCs w:val="21"/>
              </w:rPr>
              <w:t>部分</w:t>
            </w:r>
            <w:r w:rsidRPr="00CC079C">
              <w:rPr>
                <w:szCs w:val="21"/>
              </w:rPr>
              <w:t>用于井下洒水</w:t>
            </w:r>
            <w:r w:rsidRPr="00CC079C">
              <w:rPr>
                <w:rFonts w:hint="eastAsia"/>
                <w:szCs w:val="21"/>
              </w:rPr>
              <w:t>、场地防尘及绿化等，其余</w:t>
            </w:r>
            <w:r w:rsidRPr="00CC079C">
              <w:rPr>
                <w:rFonts w:hint="eastAsia"/>
                <w:szCs w:val="21"/>
              </w:rPr>
              <w:t>700 m</w:t>
            </w:r>
            <w:r w:rsidRPr="00CC079C">
              <w:rPr>
                <w:rFonts w:hint="eastAsia"/>
                <w:szCs w:val="21"/>
                <w:vertAlign w:val="superscript"/>
              </w:rPr>
              <w:t>3</w:t>
            </w:r>
            <w:r w:rsidRPr="00CC079C">
              <w:rPr>
                <w:rFonts w:hint="eastAsia"/>
                <w:szCs w:val="21"/>
              </w:rPr>
              <w:t>/d</w:t>
            </w:r>
          </w:p>
          <w:p w:rsidR="00C223F5" w:rsidRPr="00CC079C" w:rsidRDefault="005860D5">
            <w:pPr>
              <w:adjustRightInd w:val="0"/>
              <w:rPr>
                <w:szCs w:val="21"/>
              </w:rPr>
            </w:pPr>
            <w:r w:rsidRPr="00CC079C">
              <w:rPr>
                <w:rFonts w:hint="eastAsia"/>
                <w:szCs w:val="21"/>
              </w:rPr>
              <w:t>排至蚂蚁河，</w:t>
            </w:r>
            <w:r w:rsidRPr="00CC079C">
              <w:rPr>
                <w:rFonts w:hint="eastAsia"/>
                <w:bCs/>
                <w:szCs w:val="21"/>
              </w:rPr>
              <w:t>经排污口设置论证对地表水环境影响较小</w:t>
            </w:r>
          </w:p>
        </w:tc>
        <w:tc>
          <w:tcPr>
            <w:tcW w:w="5120" w:type="dxa"/>
            <w:gridSpan w:val="2"/>
            <w:tcBorders>
              <w:left w:val="single" w:sz="4" w:space="0" w:color="auto"/>
              <w:right w:val="single" w:sz="4" w:space="0" w:color="auto"/>
            </w:tcBorders>
            <w:vAlign w:val="center"/>
          </w:tcPr>
          <w:p w:rsidR="00C223F5" w:rsidRPr="00CC079C" w:rsidRDefault="005860D5" w:rsidP="00AB2C65">
            <w:pPr>
              <w:rPr>
                <w:szCs w:val="21"/>
              </w:rPr>
            </w:pPr>
            <w:r w:rsidRPr="00CC079C">
              <w:rPr>
                <w:rFonts w:hint="eastAsia"/>
                <w:szCs w:val="21"/>
              </w:rPr>
              <w:t>产生量</w:t>
            </w:r>
            <w:r w:rsidRPr="00CC079C">
              <w:rPr>
                <w:rFonts w:hint="eastAsia"/>
                <w:szCs w:val="21"/>
              </w:rPr>
              <w:t>1920m</w:t>
            </w:r>
            <w:r w:rsidRPr="00CC079C">
              <w:rPr>
                <w:rFonts w:hint="eastAsia"/>
                <w:szCs w:val="21"/>
                <w:vertAlign w:val="superscript"/>
              </w:rPr>
              <w:t>3</w:t>
            </w:r>
            <w:r w:rsidRPr="00CC079C">
              <w:rPr>
                <w:rFonts w:hint="eastAsia"/>
                <w:szCs w:val="21"/>
              </w:rPr>
              <w:t>/d</w:t>
            </w:r>
            <w:r w:rsidRPr="00CC079C">
              <w:rPr>
                <w:rFonts w:hint="eastAsia"/>
                <w:szCs w:val="21"/>
              </w:rPr>
              <w:t>，采用混凝、沉淀、气浮、过滤工艺，处理后部分回用于井下消防洒水和黄泥灌浆用水等，其余（采暖期</w:t>
            </w:r>
            <w:r w:rsidR="00AB2C65">
              <w:rPr>
                <w:rFonts w:hint="eastAsia"/>
                <w:color w:val="FF0000"/>
              </w:rPr>
              <w:t>387.7</w:t>
            </w:r>
            <w:r w:rsidRPr="00CC079C">
              <w:rPr>
                <w:rFonts w:hint="eastAsia"/>
                <w:szCs w:val="21"/>
              </w:rPr>
              <w:t>m</w:t>
            </w:r>
            <w:r w:rsidRPr="00CC079C">
              <w:rPr>
                <w:rFonts w:hint="eastAsia"/>
                <w:szCs w:val="21"/>
                <w:vertAlign w:val="superscript"/>
              </w:rPr>
              <w:t>3</w:t>
            </w:r>
            <w:r w:rsidRPr="00CC079C">
              <w:rPr>
                <w:rFonts w:hint="eastAsia"/>
                <w:szCs w:val="21"/>
              </w:rPr>
              <w:t>/d</w:t>
            </w:r>
            <w:r w:rsidRPr="00CC079C">
              <w:rPr>
                <w:rFonts w:hint="eastAsia"/>
                <w:szCs w:val="21"/>
              </w:rPr>
              <w:t>，非采暖期</w:t>
            </w:r>
            <w:r w:rsidR="00AB2C65">
              <w:rPr>
                <w:rFonts w:hint="eastAsia"/>
                <w:color w:val="FF0000"/>
                <w:szCs w:val="21"/>
              </w:rPr>
              <w:t>553</w:t>
            </w:r>
            <w:r w:rsidRPr="00CC079C">
              <w:rPr>
                <w:rFonts w:hint="eastAsia"/>
                <w:szCs w:val="21"/>
              </w:rPr>
              <w:t>m</w:t>
            </w:r>
            <w:r w:rsidRPr="00CC079C">
              <w:rPr>
                <w:rFonts w:hint="eastAsia"/>
                <w:szCs w:val="21"/>
                <w:vertAlign w:val="superscript"/>
              </w:rPr>
              <w:t>3</w:t>
            </w:r>
            <w:r w:rsidRPr="00CC079C">
              <w:rPr>
                <w:rFonts w:hint="eastAsia"/>
                <w:szCs w:val="21"/>
              </w:rPr>
              <w:t>/d</w:t>
            </w:r>
            <w:r w:rsidRPr="00CC079C">
              <w:rPr>
                <w:rFonts w:hint="eastAsia"/>
                <w:szCs w:val="21"/>
              </w:rPr>
              <w:t>）达标排至蚂蚁河</w:t>
            </w:r>
          </w:p>
        </w:tc>
        <w:tc>
          <w:tcPr>
            <w:tcW w:w="2288" w:type="dxa"/>
            <w:vMerge w:val="restart"/>
            <w:tcBorders>
              <w:left w:val="single" w:sz="4" w:space="0" w:color="auto"/>
              <w:right w:val="single" w:sz="4" w:space="0" w:color="auto"/>
            </w:tcBorders>
            <w:vAlign w:val="center"/>
          </w:tcPr>
          <w:p w:rsidR="00C223F5" w:rsidRDefault="005860D5">
            <w:pPr>
              <w:adjustRightInd w:val="0"/>
              <w:jc w:val="center"/>
              <w:rPr>
                <w:szCs w:val="21"/>
              </w:rPr>
            </w:pPr>
            <w:r>
              <w:rPr>
                <w:rFonts w:hint="eastAsia"/>
                <w:szCs w:val="21"/>
              </w:rPr>
              <w:t>本次整合后生活污水处理后全部回用，不外排；矿井水处理后部分达标排放，排放量较整合前有所减少，对地表水影响变小</w:t>
            </w:r>
          </w:p>
        </w:tc>
      </w:tr>
      <w:tr w:rsidR="00C223F5">
        <w:trPr>
          <w:trHeight w:val="568"/>
          <w:jc w:val="center"/>
        </w:trPr>
        <w:tc>
          <w:tcPr>
            <w:tcW w:w="751" w:type="dxa"/>
            <w:vMerge/>
            <w:tcMar>
              <w:left w:w="0" w:type="dxa"/>
              <w:right w:w="0" w:type="dxa"/>
            </w:tcMar>
            <w:vAlign w:val="center"/>
          </w:tcPr>
          <w:p w:rsidR="00C223F5" w:rsidRDefault="00C223F5">
            <w:pPr>
              <w:jc w:val="center"/>
              <w:rPr>
                <w:szCs w:val="21"/>
              </w:rPr>
            </w:pPr>
          </w:p>
        </w:tc>
        <w:tc>
          <w:tcPr>
            <w:tcW w:w="1173" w:type="dxa"/>
            <w:tcMar>
              <w:left w:w="0" w:type="dxa"/>
              <w:right w:w="0" w:type="dxa"/>
            </w:tcMar>
            <w:vAlign w:val="center"/>
          </w:tcPr>
          <w:p w:rsidR="00C223F5" w:rsidRDefault="005860D5">
            <w:pPr>
              <w:jc w:val="center"/>
              <w:rPr>
                <w:szCs w:val="21"/>
              </w:rPr>
            </w:pPr>
            <w:r>
              <w:rPr>
                <w:rFonts w:hint="eastAsia"/>
                <w:szCs w:val="21"/>
              </w:rPr>
              <w:t>生活污水</w:t>
            </w:r>
          </w:p>
        </w:tc>
        <w:tc>
          <w:tcPr>
            <w:tcW w:w="5229" w:type="dxa"/>
            <w:tcBorders>
              <w:right w:val="single" w:sz="4" w:space="0" w:color="auto"/>
            </w:tcBorders>
            <w:tcMar>
              <w:left w:w="0" w:type="dxa"/>
              <w:right w:w="0" w:type="dxa"/>
            </w:tcMar>
            <w:vAlign w:val="center"/>
          </w:tcPr>
          <w:p w:rsidR="00C223F5" w:rsidRPr="00CC079C" w:rsidRDefault="005860D5">
            <w:pPr>
              <w:adjustRightInd w:val="0"/>
              <w:rPr>
                <w:szCs w:val="21"/>
              </w:rPr>
            </w:pPr>
            <w:r w:rsidRPr="00CC079C">
              <w:rPr>
                <w:rFonts w:hint="eastAsia"/>
                <w:bCs/>
                <w:szCs w:val="21"/>
              </w:rPr>
              <w:t>产生量为</w:t>
            </w:r>
            <w:r w:rsidRPr="00CC079C">
              <w:rPr>
                <w:rFonts w:hint="eastAsia"/>
                <w:bCs/>
                <w:szCs w:val="21"/>
              </w:rPr>
              <w:t>42.65m</w:t>
            </w:r>
            <w:r w:rsidRPr="00CC079C">
              <w:rPr>
                <w:rFonts w:hint="eastAsia"/>
                <w:bCs/>
                <w:szCs w:val="21"/>
                <w:vertAlign w:val="superscript"/>
              </w:rPr>
              <w:t>3</w:t>
            </w:r>
            <w:r w:rsidRPr="00CC079C">
              <w:rPr>
                <w:rFonts w:hint="eastAsia"/>
                <w:bCs/>
                <w:szCs w:val="21"/>
              </w:rPr>
              <w:t>/d</w:t>
            </w:r>
            <w:r w:rsidRPr="00CC079C">
              <w:rPr>
                <w:rFonts w:hint="eastAsia"/>
                <w:bCs/>
                <w:szCs w:val="21"/>
              </w:rPr>
              <w:t>，生化处理后</w:t>
            </w:r>
            <w:r w:rsidRPr="00CC079C">
              <w:rPr>
                <w:rFonts w:hint="eastAsia"/>
                <w:szCs w:val="21"/>
              </w:rPr>
              <w:t>用于道路洒水及植被浇灌等，</w:t>
            </w:r>
            <w:r w:rsidRPr="00CC079C">
              <w:rPr>
                <w:rFonts w:hint="eastAsia"/>
                <w:bCs/>
                <w:szCs w:val="21"/>
              </w:rPr>
              <w:t>不外排</w:t>
            </w:r>
          </w:p>
        </w:tc>
        <w:tc>
          <w:tcPr>
            <w:tcW w:w="5120" w:type="dxa"/>
            <w:gridSpan w:val="2"/>
            <w:tcBorders>
              <w:left w:val="single" w:sz="4" w:space="0" w:color="auto"/>
              <w:right w:val="single" w:sz="4" w:space="0" w:color="auto"/>
            </w:tcBorders>
            <w:vAlign w:val="center"/>
          </w:tcPr>
          <w:p w:rsidR="00C223F5" w:rsidRPr="00CC079C" w:rsidRDefault="005860D5">
            <w:pPr>
              <w:adjustRightInd w:val="0"/>
              <w:rPr>
                <w:szCs w:val="21"/>
              </w:rPr>
            </w:pPr>
            <w:r w:rsidRPr="00CC079C">
              <w:rPr>
                <w:rFonts w:hint="eastAsia"/>
                <w:bCs/>
                <w:szCs w:val="21"/>
              </w:rPr>
              <w:t>产生量</w:t>
            </w:r>
            <w:r w:rsidRPr="00CC079C">
              <w:rPr>
                <w:szCs w:val="22"/>
              </w:rPr>
              <w:t>为</w:t>
            </w:r>
            <w:r w:rsidRPr="00CC079C">
              <w:rPr>
                <w:rFonts w:hint="eastAsia"/>
                <w:szCs w:val="22"/>
              </w:rPr>
              <w:t>350.8</w:t>
            </w:r>
            <w:r w:rsidRPr="00CC079C">
              <w:rPr>
                <w:szCs w:val="22"/>
              </w:rPr>
              <w:t>m</w:t>
            </w:r>
            <w:r w:rsidRPr="00CC079C">
              <w:rPr>
                <w:szCs w:val="22"/>
                <w:vertAlign w:val="superscript"/>
              </w:rPr>
              <w:t>3</w:t>
            </w:r>
            <w:r w:rsidRPr="00CC079C">
              <w:rPr>
                <w:szCs w:val="22"/>
              </w:rPr>
              <w:t>/d</w:t>
            </w:r>
            <w:r w:rsidRPr="00CC079C">
              <w:rPr>
                <w:rFonts w:hint="eastAsia"/>
                <w:szCs w:val="21"/>
              </w:rPr>
              <w:t>（采暖期）</w:t>
            </w:r>
            <w:r w:rsidRPr="00CC079C">
              <w:rPr>
                <w:rFonts w:hint="eastAsia"/>
                <w:szCs w:val="21"/>
              </w:rPr>
              <w:t>/</w:t>
            </w:r>
            <w:r w:rsidRPr="00CC079C">
              <w:rPr>
                <w:rFonts w:hint="eastAsia"/>
                <w:szCs w:val="22"/>
              </w:rPr>
              <w:t>315.7</w:t>
            </w:r>
            <w:r w:rsidRPr="00CC079C">
              <w:rPr>
                <w:szCs w:val="22"/>
              </w:rPr>
              <w:t>m</w:t>
            </w:r>
            <w:r w:rsidRPr="00CC079C">
              <w:rPr>
                <w:szCs w:val="22"/>
                <w:vertAlign w:val="superscript"/>
              </w:rPr>
              <w:t>3</w:t>
            </w:r>
            <w:r w:rsidRPr="00CC079C">
              <w:rPr>
                <w:rFonts w:hint="eastAsia"/>
                <w:szCs w:val="21"/>
              </w:rPr>
              <w:t>（非采暖期）</w:t>
            </w:r>
            <w:r w:rsidRPr="00CC079C">
              <w:rPr>
                <w:rFonts w:hint="eastAsia"/>
                <w:bCs/>
                <w:szCs w:val="21"/>
              </w:rPr>
              <w:t>，经</w:t>
            </w:r>
            <w:r w:rsidRPr="00CC079C">
              <w:rPr>
                <w:rFonts w:hint="eastAsia"/>
                <w:bCs/>
                <w:szCs w:val="21"/>
              </w:rPr>
              <w:t>A</w:t>
            </w:r>
            <w:r w:rsidRPr="00CC079C">
              <w:rPr>
                <w:rFonts w:hint="eastAsia"/>
                <w:bCs/>
                <w:szCs w:val="21"/>
                <w:vertAlign w:val="superscript"/>
              </w:rPr>
              <w:t>2</w:t>
            </w:r>
            <w:r w:rsidRPr="00CC079C">
              <w:rPr>
                <w:rFonts w:hint="eastAsia"/>
                <w:bCs/>
                <w:szCs w:val="21"/>
              </w:rPr>
              <w:t>/O+</w:t>
            </w:r>
            <w:r w:rsidRPr="00CC079C">
              <w:rPr>
                <w:rFonts w:hint="eastAsia"/>
                <w:bCs/>
                <w:szCs w:val="21"/>
              </w:rPr>
              <w:t>深度处理后全部用于选煤厂补充水，降尘、绿化洒水等，不外排</w:t>
            </w:r>
          </w:p>
        </w:tc>
        <w:tc>
          <w:tcPr>
            <w:tcW w:w="2288" w:type="dxa"/>
            <w:vMerge/>
            <w:tcBorders>
              <w:left w:val="single" w:sz="4" w:space="0" w:color="auto"/>
              <w:right w:val="single" w:sz="4" w:space="0" w:color="auto"/>
            </w:tcBorders>
            <w:vAlign w:val="center"/>
          </w:tcPr>
          <w:p w:rsidR="00C223F5" w:rsidRDefault="00C223F5">
            <w:pPr>
              <w:adjustRightInd w:val="0"/>
              <w:jc w:val="center"/>
              <w:rPr>
                <w:color w:val="FF0000"/>
                <w:szCs w:val="21"/>
              </w:rPr>
            </w:pPr>
          </w:p>
        </w:tc>
      </w:tr>
      <w:tr w:rsidR="00C223F5">
        <w:trPr>
          <w:trHeight w:val="388"/>
          <w:jc w:val="center"/>
        </w:trPr>
        <w:tc>
          <w:tcPr>
            <w:tcW w:w="751" w:type="dxa"/>
            <w:vMerge/>
            <w:tcMar>
              <w:left w:w="0" w:type="dxa"/>
              <w:right w:w="0" w:type="dxa"/>
            </w:tcMar>
            <w:vAlign w:val="center"/>
          </w:tcPr>
          <w:p w:rsidR="00C223F5" w:rsidRDefault="00C223F5">
            <w:pPr>
              <w:jc w:val="center"/>
              <w:rPr>
                <w:color w:val="FF0000"/>
                <w:szCs w:val="21"/>
              </w:rPr>
            </w:pPr>
          </w:p>
        </w:tc>
        <w:tc>
          <w:tcPr>
            <w:tcW w:w="1173" w:type="dxa"/>
            <w:tcMar>
              <w:left w:w="0" w:type="dxa"/>
              <w:right w:w="0" w:type="dxa"/>
            </w:tcMar>
            <w:vAlign w:val="center"/>
          </w:tcPr>
          <w:p w:rsidR="00C223F5" w:rsidRDefault="005860D5">
            <w:pPr>
              <w:jc w:val="center"/>
              <w:rPr>
                <w:szCs w:val="21"/>
              </w:rPr>
            </w:pPr>
            <w:r>
              <w:rPr>
                <w:rFonts w:hint="eastAsia"/>
                <w:szCs w:val="21"/>
              </w:rPr>
              <w:t>煤泥水</w:t>
            </w:r>
          </w:p>
        </w:tc>
        <w:tc>
          <w:tcPr>
            <w:tcW w:w="5229" w:type="dxa"/>
            <w:tcBorders>
              <w:right w:val="single" w:sz="4" w:space="0" w:color="auto"/>
            </w:tcBorders>
            <w:tcMar>
              <w:left w:w="0" w:type="dxa"/>
              <w:right w:w="0" w:type="dxa"/>
            </w:tcMar>
            <w:vAlign w:val="center"/>
          </w:tcPr>
          <w:p w:rsidR="00C223F5" w:rsidRPr="00CC079C" w:rsidRDefault="005860D5">
            <w:pPr>
              <w:adjustRightInd w:val="0"/>
              <w:rPr>
                <w:szCs w:val="21"/>
              </w:rPr>
            </w:pPr>
            <w:r w:rsidRPr="00CC079C">
              <w:rPr>
                <w:rFonts w:hint="eastAsia"/>
                <w:szCs w:val="21"/>
              </w:rPr>
              <w:t>无选煤厂，不产生煤泥水</w:t>
            </w:r>
          </w:p>
        </w:tc>
        <w:tc>
          <w:tcPr>
            <w:tcW w:w="5120" w:type="dxa"/>
            <w:gridSpan w:val="2"/>
            <w:tcBorders>
              <w:left w:val="single" w:sz="4" w:space="0" w:color="auto"/>
              <w:right w:val="single" w:sz="4" w:space="0" w:color="auto"/>
            </w:tcBorders>
            <w:vAlign w:val="center"/>
          </w:tcPr>
          <w:p w:rsidR="00C223F5" w:rsidRPr="00CC079C" w:rsidRDefault="005860D5">
            <w:pPr>
              <w:adjustRightInd w:val="0"/>
              <w:rPr>
                <w:szCs w:val="21"/>
              </w:rPr>
            </w:pPr>
            <w:r w:rsidRPr="00CC079C">
              <w:rPr>
                <w:rFonts w:hint="eastAsia"/>
                <w:szCs w:val="21"/>
              </w:rPr>
              <w:t>浓缩池一用一备，煤泥水闭路循环不外排，对地表水无影响</w:t>
            </w:r>
          </w:p>
        </w:tc>
        <w:tc>
          <w:tcPr>
            <w:tcW w:w="2288" w:type="dxa"/>
            <w:tcBorders>
              <w:left w:val="single" w:sz="4" w:space="0" w:color="auto"/>
              <w:right w:val="single" w:sz="4" w:space="0" w:color="auto"/>
            </w:tcBorders>
            <w:vAlign w:val="center"/>
          </w:tcPr>
          <w:p w:rsidR="00C223F5" w:rsidRDefault="005860D5">
            <w:pPr>
              <w:adjustRightInd w:val="0"/>
              <w:jc w:val="center"/>
              <w:rPr>
                <w:szCs w:val="21"/>
              </w:rPr>
            </w:pPr>
            <w:r>
              <w:rPr>
                <w:rFonts w:hint="eastAsia"/>
                <w:szCs w:val="21"/>
              </w:rPr>
              <w:t>无变化</w:t>
            </w:r>
          </w:p>
        </w:tc>
      </w:tr>
      <w:tr w:rsidR="00C223F5">
        <w:trPr>
          <w:trHeight w:val="692"/>
          <w:jc w:val="center"/>
        </w:trPr>
        <w:tc>
          <w:tcPr>
            <w:tcW w:w="751" w:type="dxa"/>
            <w:vMerge w:val="restart"/>
            <w:tcMar>
              <w:left w:w="0" w:type="dxa"/>
              <w:right w:w="0" w:type="dxa"/>
            </w:tcMar>
            <w:vAlign w:val="center"/>
          </w:tcPr>
          <w:p w:rsidR="00C223F5" w:rsidRDefault="005860D5">
            <w:pPr>
              <w:jc w:val="center"/>
              <w:rPr>
                <w:szCs w:val="21"/>
              </w:rPr>
            </w:pPr>
            <w:r>
              <w:rPr>
                <w:rFonts w:hint="eastAsia"/>
                <w:szCs w:val="21"/>
              </w:rPr>
              <w:t>环境</w:t>
            </w:r>
          </w:p>
          <w:p w:rsidR="00C223F5" w:rsidRDefault="005860D5">
            <w:pPr>
              <w:jc w:val="center"/>
              <w:rPr>
                <w:szCs w:val="21"/>
              </w:rPr>
            </w:pPr>
            <w:r>
              <w:rPr>
                <w:rFonts w:hint="eastAsia"/>
                <w:szCs w:val="21"/>
              </w:rPr>
              <w:t>空气</w:t>
            </w:r>
          </w:p>
        </w:tc>
        <w:tc>
          <w:tcPr>
            <w:tcW w:w="1173" w:type="dxa"/>
            <w:tcBorders>
              <w:bottom w:val="single" w:sz="4" w:space="0" w:color="auto"/>
            </w:tcBorders>
            <w:tcMar>
              <w:left w:w="0" w:type="dxa"/>
              <w:right w:w="0" w:type="dxa"/>
            </w:tcMar>
            <w:vAlign w:val="center"/>
          </w:tcPr>
          <w:p w:rsidR="00C223F5" w:rsidRDefault="005860D5">
            <w:pPr>
              <w:jc w:val="center"/>
              <w:rPr>
                <w:szCs w:val="21"/>
              </w:rPr>
            </w:pPr>
            <w:r>
              <w:rPr>
                <w:rFonts w:hint="eastAsia"/>
                <w:szCs w:val="21"/>
              </w:rPr>
              <w:t>锅炉废气</w:t>
            </w:r>
          </w:p>
        </w:tc>
        <w:tc>
          <w:tcPr>
            <w:tcW w:w="5229" w:type="dxa"/>
            <w:tcBorders>
              <w:right w:val="single" w:sz="4" w:space="0" w:color="auto"/>
            </w:tcBorders>
            <w:vAlign w:val="center"/>
          </w:tcPr>
          <w:p w:rsidR="00C223F5" w:rsidRPr="00CC079C" w:rsidRDefault="005860D5">
            <w:pPr>
              <w:snapToGrid w:val="0"/>
              <w:rPr>
                <w:szCs w:val="21"/>
              </w:rPr>
            </w:pPr>
            <w:r w:rsidRPr="00CC079C">
              <w:rPr>
                <w:rFonts w:hint="eastAsia"/>
                <w:szCs w:val="21"/>
              </w:rPr>
              <w:t>工业场地锅炉房内设</w:t>
            </w:r>
            <w:r w:rsidRPr="00CC079C">
              <w:rPr>
                <w:szCs w:val="21"/>
              </w:rPr>
              <w:t>NS85-60</w:t>
            </w:r>
            <w:r w:rsidRPr="00CC079C">
              <w:rPr>
                <w:szCs w:val="21"/>
              </w:rPr>
              <w:t>气化节煤环保常压热水锅炉（冬季采暖</w:t>
            </w:r>
            <w:r w:rsidRPr="00CC079C">
              <w:rPr>
                <w:rFonts w:hint="eastAsia"/>
                <w:szCs w:val="21"/>
              </w:rPr>
              <w:t>期使用</w:t>
            </w:r>
            <w:r w:rsidRPr="00CC079C">
              <w:rPr>
                <w:szCs w:val="21"/>
              </w:rPr>
              <w:t>）及</w:t>
            </w:r>
            <w:r w:rsidRPr="00CC079C">
              <w:rPr>
                <w:szCs w:val="21"/>
              </w:rPr>
              <w:t>CLHG0.20</w:t>
            </w:r>
            <w:r w:rsidRPr="00CC079C">
              <w:rPr>
                <w:szCs w:val="21"/>
              </w:rPr>
              <w:t>常压热水锅炉（洗浴锅炉）</w:t>
            </w:r>
            <w:r w:rsidRPr="00CC079C">
              <w:rPr>
                <w:rFonts w:hint="eastAsia"/>
                <w:szCs w:val="21"/>
              </w:rPr>
              <w:t>，主井口设</w:t>
            </w:r>
            <w:r w:rsidRPr="00CC079C">
              <w:rPr>
                <w:szCs w:val="21"/>
              </w:rPr>
              <w:t>RFL-200</w:t>
            </w:r>
            <w:r w:rsidRPr="00CC079C">
              <w:rPr>
                <w:szCs w:val="21"/>
              </w:rPr>
              <w:t>矿用型热风炉</w:t>
            </w:r>
            <w:r w:rsidRPr="00CC079C">
              <w:rPr>
                <w:rFonts w:hint="eastAsia"/>
                <w:szCs w:val="21"/>
              </w:rPr>
              <w:t>；采取</w:t>
            </w:r>
            <w:r w:rsidRPr="00CC079C">
              <w:rPr>
                <w:rFonts w:hint="eastAsia"/>
                <w:szCs w:val="21"/>
              </w:rPr>
              <w:t>XTD-2TI</w:t>
            </w:r>
            <w:r w:rsidRPr="00CC079C">
              <w:rPr>
                <w:rFonts w:hint="eastAsia"/>
                <w:szCs w:val="21"/>
              </w:rPr>
              <w:t>型环保除尘设备、</w:t>
            </w:r>
            <w:r w:rsidRPr="00CC079C">
              <w:rPr>
                <w:rFonts w:hint="eastAsia"/>
                <w:szCs w:val="21"/>
              </w:rPr>
              <w:t>XL-4T</w:t>
            </w:r>
            <w:r w:rsidRPr="00CC079C">
              <w:rPr>
                <w:rFonts w:hint="eastAsia"/>
                <w:szCs w:val="21"/>
              </w:rPr>
              <w:t>脱硫设备。污染物排放量：</w:t>
            </w:r>
            <w:r w:rsidRPr="00CC079C">
              <w:rPr>
                <w:rFonts w:hint="eastAsia"/>
                <w:szCs w:val="21"/>
              </w:rPr>
              <w:t>SO</w:t>
            </w:r>
            <w:r w:rsidRPr="00CC079C">
              <w:rPr>
                <w:rFonts w:hint="eastAsia"/>
                <w:szCs w:val="21"/>
                <w:vertAlign w:val="subscript"/>
              </w:rPr>
              <w:t>2</w:t>
            </w:r>
            <w:r w:rsidRPr="00CC079C">
              <w:rPr>
                <w:rFonts w:hint="eastAsia"/>
                <w:szCs w:val="21"/>
              </w:rPr>
              <w:t>2.1t/a</w:t>
            </w:r>
            <w:r w:rsidRPr="00CC079C">
              <w:rPr>
                <w:rFonts w:hint="eastAsia"/>
                <w:szCs w:val="21"/>
              </w:rPr>
              <w:t>、</w:t>
            </w:r>
            <w:r w:rsidRPr="00CC079C">
              <w:rPr>
                <w:rFonts w:hint="eastAsia"/>
                <w:szCs w:val="21"/>
              </w:rPr>
              <w:t>NO</w:t>
            </w:r>
            <w:r w:rsidRPr="00CC079C">
              <w:rPr>
                <w:rFonts w:hint="eastAsia"/>
                <w:szCs w:val="21"/>
                <w:vertAlign w:val="subscript"/>
              </w:rPr>
              <w:t>x</w:t>
            </w:r>
            <w:r w:rsidRPr="00CC079C">
              <w:rPr>
                <w:rFonts w:hint="eastAsia"/>
                <w:szCs w:val="21"/>
              </w:rPr>
              <w:t>1.78t/a</w:t>
            </w:r>
            <w:r w:rsidRPr="00CC079C">
              <w:rPr>
                <w:rFonts w:hint="eastAsia"/>
                <w:szCs w:val="21"/>
              </w:rPr>
              <w:t>、颗粒物</w:t>
            </w:r>
            <w:r w:rsidRPr="00CC079C">
              <w:rPr>
                <w:rFonts w:hint="eastAsia"/>
                <w:szCs w:val="21"/>
              </w:rPr>
              <w:t>0.99t/a</w:t>
            </w:r>
          </w:p>
        </w:tc>
        <w:tc>
          <w:tcPr>
            <w:tcW w:w="5120" w:type="dxa"/>
            <w:gridSpan w:val="2"/>
            <w:tcBorders>
              <w:left w:val="single" w:sz="4" w:space="0" w:color="auto"/>
              <w:right w:val="single" w:sz="4" w:space="0" w:color="auto"/>
            </w:tcBorders>
            <w:vAlign w:val="center"/>
          </w:tcPr>
          <w:p w:rsidR="00C223F5" w:rsidRPr="00CC079C" w:rsidRDefault="005860D5">
            <w:pPr>
              <w:snapToGrid w:val="0"/>
              <w:rPr>
                <w:szCs w:val="21"/>
              </w:rPr>
            </w:pPr>
            <w:r w:rsidRPr="00CC079C">
              <w:rPr>
                <w:rFonts w:hint="eastAsia"/>
                <w:szCs w:val="21"/>
              </w:rPr>
              <w:t>采用</w:t>
            </w:r>
            <w:r w:rsidRPr="00CC079C">
              <w:t>乏风热泵机组</w:t>
            </w:r>
            <w:r w:rsidRPr="00CC079C">
              <w:t>+</w:t>
            </w:r>
            <w:r w:rsidRPr="00CC079C">
              <w:t>水源热泵机组</w:t>
            </w:r>
            <w:r w:rsidRPr="00CC079C">
              <w:rPr>
                <w:rFonts w:hint="eastAsia"/>
                <w:szCs w:val="21"/>
              </w:rPr>
              <w:t>空气源热泵机组</w:t>
            </w:r>
            <w:r w:rsidRPr="00CC079C">
              <w:rPr>
                <w:rFonts w:hint="eastAsia"/>
                <w:szCs w:val="21"/>
              </w:rPr>
              <w:t>+</w:t>
            </w:r>
            <w:r w:rsidRPr="00CC079C">
              <w:rPr>
                <w:rFonts w:hint="eastAsia"/>
                <w:szCs w:val="21"/>
              </w:rPr>
              <w:t>电锅炉供热，基本不产生大气污染物</w:t>
            </w:r>
          </w:p>
        </w:tc>
        <w:tc>
          <w:tcPr>
            <w:tcW w:w="2288" w:type="dxa"/>
            <w:tcBorders>
              <w:left w:val="single" w:sz="4" w:space="0" w:color="auto"/>
              <w:right w:val="single" w:sz="4" w:space="0" w:color="auto"/>
            </w:tcBorders>
            <w:vAlign w:val="center"/>
          </w:tcPr>
          <w:p w:rsidR="00C223F5" w:rsidRDefault="005860D5">
            <w:pPr>
              <w:jc w:val="center"/>
              <w:rPr>
                <w:szCs w:val="21"/>
              </w:rPr>
            </w:pPr>
            <w:r>
              <w:rPr>
                <w:rFonts w:hint="eastAsia"/>
                <w:szCs w:val="21"/>
              </w:rPr>
              <w:t>对环境空气影响减轻</w:t>
            </w:r>
          </w:p>
        </w:tc>
      </w:tr>
      <w:tr w:rsidR="00C223F5">
        <w:trPr>
          <w:trHeight w:val="674"/>
          <w:jc w:val="center"/>
        </w:trPr>
        <w:tc>
          <w:tcPr>
            <w:tcW w:w="751" w:type="dxa"/>
            <w:vMerge/>
            <w:tcMar>
              <w:left w:w="0" w:type="dxa"/>
              <w:right w:w="0" w:type="dxa"/>
            </w:tcMar>
            <w:vAlign w:val="center"/>
          </w:tcPr>
          <w:p w:rsidR="00C223F5" w:rsidRDefault="00C223F5">
            <w:pPr>
              <w:jc w:val="center"/>
              <w:rPr>
                <w:szCs w:val="21"/>
              </w:rPr>
            </w:pPr>
          </w:p>
        </w:tc>
        <w:tc>
          <w:tcPr>
            <w:tcW w:w="1173" w:type="dxa"/>
            <w:tcBorders>
              <w:top w:val="single" w:sz="4" w:space="0" w:color="auto"/>
            </w:tcBorders>
            <w:tcMar>
              <w:left w:w="0" w:type="dxa"/>
              <w:right w:w="0" w:type="dxa"/>
            </w:tcMar>
            <w:vAlign w:val="center"/>
          </w:tcPr>
          <w:p w:rsidR="00C223F5" w:rsidRDefault="005860D5">
            <w:pPr>
              <w:jc w:val="center"/>
              <w:rPr>
                <w:szCs w:val="21"/>
              </w:rPr>
            </w:pPr>
            <w:r>
              <w:rPr>
                <w:rFonts w:hint="eastAsia"/>
                <w:szCs w:val="21"/>
              </w:rPr>
              <w:t>生产系统</w:t>
            </w:r>
          </w:p>
          <w:p w:rsidR="00C223F5" w:rsidRDefault="005860D5">
            <w:pPr>
              <w:jc w:val="center"/>
              <w:rPr>
                <w:szCs w:val="21"/>
              </w:rPr>
            </w:pPr>
            <w:r>
              <w:rPr>
                <w:rFonts w:hint="eastAsia"/>
                <w:szCs w:val="21"/>
              </w:rPr>
              <w:t>煤尘</w:t>
            </w:r>
          </w:p>
        </w:tc>
        <w:tc>
          <w:tcPr>
            <w:tcW w:w="5229" w:type="dxa"/>
            <w:tcBorders>
              <w:right w:val="single" w:sz="4" w:space="0" w:color="auto"/>
            </w:tcBorders>
            <w:vAlign w:val="center"/>
          </w:tcPr>
          <w:p w:rsidR="00C223F5" w:rsidRDefault="005860D5">
            <w:pPr>
              <w:snapToGrid w:val="0"/>
              <w:rPr>
                <w:szCs w:val="21"/>
              </w:rPr>
            </w:pPr>
            <w:r>
              <w:rPr>
                <w:szCs w:val="21"/>
              </w:rPr>
              <w:t>原煤经简单筛分后存于加盖储煤场内，周边设有防风抑尘网，</w:t>
            </w:r>
            <w:r>
              <w:rPr>
                <w:rFonts w:hAnsi="宋体"/>
                <w:szCs w:val="21"/>
              </w:rPr>
              <w:t>转载点及溜槽设置喷雾洒水降尘，无组织煤尘排放量</w:t>
            </w:r>
            <w:r>
              <w:rPr>
                <w:szCs w:val="21"/>
              </w:rPr>
              <w:t>6t/a</w:t>
            </w:r>
          </w:p>
        </w:tc>
        <w:tc>
          <w:tcPr>
            <w:tcW w:w="5120" w:type="dxa"/>
            <w:gridSpan w:val="2"/>
            <w:tcBorders>
              <w:left w:val="single" w:sz="4" w:space="0" w:color="auto"/>
              <w:right w:val="single" w:sz="4" w:space="0" w:color="auto"/>
            </w:tcBorders>
            <w:vAlign w:val="center"/>
          </w:tcPr>
          <w:p w:rsidR="00C223F5" w:rsidRDefault="005860D5">
            <w:pPr>
              <w:snapToGrid w:val="0"/>
              <w:rPr>
                <w:szCs w:val="21"/>
              </w:rPr>
            </w:pPr>
            <w:r>
              <w:rPr>
                <w:szCs w:val="21"/>
              </w:rPr>
              <w:t>原煤及产品煤、矸石均采用筒仓，筛</w:t>
            </w:r>
            <w:r>
              <w:rPr>
                <w:rFonts w:hint="eastAsia"/>
                <w:szCs w:val="21"/>
              </w:rPr>
              <w:t>破</w:t>
            </w:r>
            <w:r>
              <w:rPr>
                <w:szCs w:val="21"/>
              </w:rPr>
              <w:t>设备全部设在</w:t>
            </w:r>
            <w:r>
              <w:rPr>
                <w:rFonts w:hint="eastAsia"/>
                <w:szCs w:val="21"/>
              </w:rPr>
              <w:t>封闭厂房</w:t>
            </w:r>
            <w:r>
              <w:rPr>
                <w:szCs w:val="21"/>
              </w:rPr>
              <w:t>内，</w:t>
            </w:r>
            <w:r>
              <w:rPr>
                <w:rFonts w:hint="eastAsia"/>
                <w:szCs w:val="21"/>
              </w:rPr>
              <w:t>安装</w:t>
            </w:r>
            <w:r>
              <w:rPr>
                <w:rFonts w:eastAsiaTheme="minorEastAsia" w:hAnsiTheme="minorEastAsia" w:hint="eastAsia"/>
                <w:szCs w:val="21"/>
              </w:rPr>
              <w:t>微米级干雾抑尘装置</w:t>
            </w:r>
            <w:r>
              <w:rPr>
                <w:rFonts w:hint="eastAsia"/>
                <w:szCs w:val="21"/>
              </w:rPr>
              <w:t>；</w:t>
            </w:r>
            <w:r>
              <w:rPr>
                <w:szCs w:val="21"/>
              </w:rPr>
              <w:t>输煤栈桥封闭，在输煤栈桥内设置喷雾洒水装置</w:t>
            </w:r>
            <w:r>
              <w:rPr>
                <w:rFonts w:hint="eastAsia"/>
                <w:szCs w:val="21"/>
              </w:rPr>
              <w:t>；</w:t>
            </w:r>
            <w:r>
              <w:rPr>
                <w:rFonts w:eastAsiaTheme="minorEastAsia" w:hAnsiTheme="minorEastAsia" w:hint="eastAsia"/>
                <w:szCs w:val="21"/>
              </w:rPr>
              <w:t>主要产尘点设集尘罩，原煤仓上下转载点、筛分破碎车间振动筛上下转载点、产品仓上下转载点等设干雾喷头</w:t>
            </w:r>
            <w:r>
              <w:rPr>
                <w:rFonts w:hint="eastAsia"/>
                <w:szCs w:val="21"/>
              </w:rPr>
              <w:t>，煤尘达标排放，对周边环境空气影响小；煤尘排放量：</w:t>
            </w:r>
            <w:r>
              <w:rPr>
                <w:rFonts w:hint="eastAsia"/>
                <w:szCs w:val="21"/>
              </w:rPr>
              <w:t>0.063t/a</w:t>
            </w:r>
          </w:p>
        </w:tc>
        <w:tc>
          <w:tcPr>
            <w:tcW w:w="2288" w:type="dxa"/>
            <w:tcBorders>
              <w:left w:val="single" w:sz="4" w:space="0" w:color="auto"/>
              <w:right w:val="single" w:sz="4" w:space="0" w:color="auto"/>
            </w:tcBorders>
            <w:vAlign w:val="center"/>
          </w:tcPr>
          <w:p w:rsidR="00C223F5" w:rsidRDefault="005860D5">
            <w:pPr>
              <w:pStyle w:val="aff1"/>
              <w:tabs>
                <w:tab w:val="clear" w:pos="5781"/>
              </w:tabs>
              <w:spacing w:line="240" w:lineRule="auto"/>
              <w:ind w:left="0" w:firstLine="0"/>
              <w:jc w:val="center"/>
              <w:rPr>
                <w:sz w:val="21"/>
                <w:szCs w:val="21"/>
              </w:rPr>
            </w:pPr>
            <w:r>
              <w:rPr>
                <w:rFonts w:hint="eastAsia"/>
                <w:sz w:val="21"/>
                <w:szCs w:val="21"/>
              </w:rPr>
              <w:t>排放量减少，达标排放，对环境空气影响减轻</w:t>
            </w:r>
          </w:p>
        </w:tc>
      </w:tr>
      <w:tr w:rsidR="00C223F5">
        <w:trPr>
          <w:trHeight w:val="512"/>
          <w:jc w:val="center"/>
        </w:trPr>
        <w:tc>
          <w:tcPr>
            <w:tcW w:w="751" w:type="dxa"/>
            <w:vMerge/>
            <w:tcMar>
              <w:left w:w="0" w:type="dxa"/>
              <w:right w:w="0" w:type="dxa"/>
            </w:tcMar>
            <w:vAlign w:val="center"/>
          </w:tcPr>
          <w:p w:rsidR="00C223F5" w:rsidRDefault="00C223F5">
            <w:pPr>
              <w:jc w:val="center"/>
              <w:rPr>
                <w:color w:val="FF0000"/>
                <w:szCs w:val="21"/>
              </w:rPr>
            </w:pPr>
          </w:p>
        </w:tc>
        <w:tc>
          <w:tcPr>
            <w:tcW w:w="1173" w:type="dxa"/>
            <w:tcBorders>
              <w:top w:val="single" w:sz="4" w:space="0" w:color="auto"/>
            </w:tcBorders>
            <w:tcMar>
              <w:left w:w="0" w:type="dxa"/>
              <w:right w:w="0" w:type="dxa"/>
            </w:tcMar>
            <w:vAlign w:val="center"/>
          </w:tcPr>
          <w:p w:rsidR="00C223F5" w:rsidRDefault="005860D5">
            <w:pPr>
              <w:jc w:val="center"/>
              <w:rPr>
                <w:szCs w:val="21"/>
              </w:rPr>
            </w:pPr>
            <w:r>
              <w:rPr>
                <w:rFonts w:hint="eastAsia"/>
                <w:kern w:val="28"/>
                <w:szCs w:val="21"/>
              </w:rPr>
              <w:t>运输扬尘</w:t>
            </w:r>
          </w:p>
        </w:tc>
        <w:tc>
          <w:tcPr>
            <w:tcW w:w="5229" w:type="dxa"/>
            <w:tcBorders>
              <w:right w:val="single" w:sz="4" w:space="0" w:color="auto"/>
            </w:tcBorders>
            <w:vAlign w:val="center"/>
          </w:tcPr>
          <w:p w:rsidR="00C223F5" w:rsidRDefault="005860D5">
            <w:pPr>
              <w:rPr>
                <w:spacing w:val="4"/>
                <w:szCs w:val="21"/>
              </w:rPr>
            </w:pPr>
            <w:r>
              <w:rPr>
                <w:rFonts w:hint="eastAsia"/>
                <w:spacing w:val="4"/>
                <w:szCs w:val="21"/>
              </w:rPr>
              <w:t>车流量较小，采取封闭运输，道路洒水等措施，对环境空气影响小</w:t>
            </w:r>
          </w:p>
        </w:tc>
        <w:tc>
          <w:tcPr>
            <w:tcW w:w="5120" w:type="dxa"/>
            <w:gridSpan w:val="2"/>
            <w:tcBorders>
              <w:left w:val="single" w:sz="4" w:space="0" w:color="auto"/>
              <w:right w:val="single" w:sz="4" w:space="0" w:color="auto"/>
            </w:tcBorders>
            <w:vAlign w:val="center"/>
          </w:tcPr>
          <w:p w:rsidR="00C223F5" w:rsidRDefault="005860D5">
            <w:pPr>
              <w:rPr>
                <w:spacing w:val="4"/>
                <w:szCs w:val="21"/>
              </w:rPr>
            </w:pPr>
            <w:r>
              <w:rPr>
                <w:rFonts w:hint="eastAsia"/>
                <w:spacing w:val="4"/>
                <w:szCs w:val="21"/>
              </w:rPr>
              <w:t>车流量较小，采取封闭运输，道路洒水等措施，对环境空气影响小</w:t>
            </w:r>
          </w:p>
        </w:tc>
        <w:tc>
          <w:tcPr>
            <w:tcW w:w="2288" w:type="dxa"/>
            <w:tcBorders>
              <w:left w:val="single" w:sz="4" w:space="0" w:color="auto"/>
              <w:right w:val="single" w:sz="4" w:space="0" w:color="auto"/>
            </w:tcBorders>
            <w:vAlign w:val="center"/>
          </w:tcPr>
          <w:p w:rsidR="00C223F5" w:rsidRDefault="005860D5">
            <w:pPr>
              <w:jc w:val="center"/>
              <w:rPr>
                <w:spacing w:val="4"/>
                <w:szCs w:val="21"/>
              </w:rPr>
            </w:pPr>
            <w:r>
              <w:rPr>
                <w:rFonts w:hint="eastAsia"/>
                <w:spacing w:val="4"/>
                <w:szCs w:val="21"/>
              </w:rPr>
              <w:t>基本无变化</w:t>
            </w:r>
          </w:p>
        </w:tc>
      </w:tr>
      <w:tr w:rsidR="00C223F5">
        <w:trPr>
          <w:trHeight w:val="460"/>
          <w:jc w:val="center"/>
        </w:trPr>
        <w:tc>
          <w:tcPr>
            <w:tcW w:w="751" w:type="dxa"/>
            <w:vMerge w:val="restart"/>
            <w:tcBorders>
              <w:top w:val="single" w:sz="4" w:space="0" w:color="auto"/>
              <w:right w:val="single" w:sz="4" w:space="0" w:color="auto"/>
            </w:tcBorders>
            <w:tcMar>
              <w:left w:w="0" w:type="dxa"/>
              <w:right w:w="0" w:type="dxa"/>
            </w:tcMar>
            <w:vAlign w:val="center"/>
          </w:tcPr>
          <w:p w:rsidR="00C223F5" w:rsidRDefault="005860D5">
            <w:pPr>
              <w:jc w:val="center"/>
              <w:rPr>
                <w:szCs w:val="21"/>
              </w:rPr>
            </w:pPr>
            <w:r>
              <w:rPr>
                <w:rFonts w:hint="eastAsia"/>
                <w:szCs w:val="21"/>
              </w:rPr>
              <w:t>声</w:t>
            </w:r>
          </w:p>
          <w:p w:rsidR="00C223F5" w:rsidRDefault="005860D5">
            <w:pPr>
              <w:jc w:val="center"/>
              <w:rPr>
                <w:szCs w:val="21"/>
              </w:rPr>
            </w:pPr>
            <w:r>
              <w:rPr>
                <w:rFonts w:hint="eastAsia"/>
                <w:szCs w:val="21"/>
              </w:rPr>
              <w:t>环</w:t>
            </w:r>
          </w:p>
          <w:p w:rsidR="00C223F5" w:rsidRDefault="005860D5">
            <w:pPr>
              <w:jc w:val="center"/>
              <w:rPr>
                <w:szCs w:val="21"/>
              </w:rPr>
            </w:pPr>
            <w:r>
              <w:rPr>
                <w:rFonts w:hint="eastAsia"/>
                <w:szCs w:val="21"/>
              </w:rPr>
              <w:t>境</w:t>
            </w:r>
          </w:p>
        </w:tc>
        <w:tc>
          <w:tcPr>
            <w:tcW w:w="1173" w:type="dxa"/>
            <w:tcBorders>
              <w:top w:val="single" w:sz="4" w:space="0" w:color="auto"/>
              <w:left w:val="single" w:sz="4" w:space="0" w:color="auto"/>
              <w:bottom w:val="single" w:sz="4" w:space="0" w:color="auto"/>
            </w:tcBorders>
            <w:vAlign w:val="center"/>
          </w:tcPr>
          <w:p w:rsidR="00C223F5" w:rsidRDefault="005860D5">
            <w:pPr>
              <w:jc w:val="center"/>
              <w:rPr>
                <w:bCs/>
                <w:szCs w:val="21"/>
              </w:rPr>
            </w:pPr>
            <w:r>
              <w:rPr>
                <w:rFonts w:hint="eastAsia"/>
                <w:bCs/>
                <w:szCs w:val="21"/>
              </w:rPr>
              <w:t>工业场地</w:t>
            </w:r>
          </w:p>
          <w:p w:rsidR="00C223F5" w:rsidRDefault="005860D5">
            <w:pPr>
              <w:jc w:val="center"/>
              <w:rPr>
                <w:bCs/>
                <w:szCs w:val="21"/>
              </w:rPr>
            </w:pPr>
            <w:r>
              <w:rPr>
                <w:rFonts w:hint="eastAsia"/>
                <w:bCs/>
                <w:szCs w:val="21"/>
              </w:rPr>
              <w:t>噪声</w:t>
            </w:r>
          </w:p>
        </w:tc>
        <w:tc>
          <w:tcPr>
            <w:tcW w:w="5237" w:type="dxa"/>
            <w:gridSpan w:val="2"/>
            <w:tcBorders>
              <w:bottom w:val="single" w:sz="4" w:space="0" w:color="auto"/>
              <w:right w:val="single" w:sz="4" w:space="0" w:color="auto"/>
            </w:tcBorders>
            <w:tcMar>
              <w:left w:w="0" w:type="dxa"/>
              <w:right w:w="0" w:type="dxa"/>
            </w:tcMar>
            <w:vAlign w:val="center"/>
          </w:tcPr>
          <w:p w:rsidR="00C223F5" w:rsidRDefault="005860D5">
            <w:pPr>
              <w:rPr>
                <w:bCs/>
                <w:szCs w:val="21"/>
              </w:rPr>
            </w:pPr>
            <w:r>
              <w:rPr>
                <w:rFonts w:hint="eastAsia"/>
                <w:bCs/>
                <w:szCs w:val="21"/>
              </w:rPr>
              <w:t>采取隔声、消声、减震等措施后，厂界噪声排放值满足</w:t>
            </w:r>
            <w:r>
              <w:rPr>
                <w:rFonts w:hint="eastAsia"/>
                <w:bCs/>
                <w:szCs w:val="21"/>
              </w:rPr>
              <w:t>2</w:t>
            </w:r>
            <w:r>
              <w:rPr>
                <w:rFonts w:hint="eastAsia"/>
                <w:bCs/>
                <w:szCs w:val="21"/>
              </w:rPr>
              <w:t>类区标准要求，故影响较小</w:t>
            </w:r>
          </w:p>
        </w:tc>
        <w:tc>
          <w:tcPr>
            <w:tcW w:w="5112" w:type="dxa"/>
            <w:tcBorders>
              <w:left w:val="single" w:sz="4" w:space="0" w:color="auto"/>
              <w:bottom w:val="single" w:sz="4" w:space="0" w:color="auto"/>
              <w:right w:val="single" w:sz="4" w:space="0" w:color="auto"/>
            </w:tcBorders>
            <w:vAlign w:val="center"/>
          </w:tcPr>
          <w:p w:rsidR="00C223F5" w:rsidRDefault="005860D5">
            <w:pPr>
              <w:rPr>
                <w:bCs/>
                <w:szCs w:val="21"/>
              </w:rPr>
            </w:pPr>
            <w:r>
              <w:rPr>
                <w:rFonts w:hint="eastAsia"/>
                <w:bCs/>
                <w:szCs w:val="21"/>
              </w:rPr>
              <w:t>采取隔声、消声、减震等措施后，厂界噪声昼、夜排放值及敏感点预测值均满足</w:t>
            </w:r>
            <w:r>
              <w:rPr>
                <w:rFonts w:hint="eastAsia"/>
                <w:bCs/>
                <w:szCs w:val="21"/>
              </w:rPr>
              <w:t>2</w:t>
            </w:r>
            <w:r>
              <w:rPr>
                <w:rFonts w:hint="eastAsia"/>
                <w:bCs/>
                <w:szCs w:val="21"/>
              </w:rPr>
              <w:t>类标准要求</w:t>
            </w:r>
          </w:p>
        </w:tc>
        <w:tc>
          <w:tcPr>
            <w:tcW w:w="2288" w:type="dxa"/>
            <w:tcBorders>
              <w:left w:val="single" w:sz="4" w:space="0" w:color="auto"/>
              <w:bottom w:val="single" w:sz="4" w:space="0" w:color="auto"/>
              <w:right w:val="single" w:sz="4" w:space="0" w:color="auto"/>
            </w:tcBorders>
            <w:vAlign w:val="center"/>
          </w:tcPr>
          <w:p w:rsidR="00C223F5" w:rsidRDefault="005860D5">
            <w:pPr>
              <w:jc w:val="center"/>
              <w:rPr>
                <w:szCs w:val="21"/>
              </w:rPr>
            </w:pPr>
            <w:r>
              <w:rPr>
                <w:rFonts w:hint="eastAsia"/>
                <w:szCs w:val="21"/>
              </w:rPr>
              <w:t>基本无变化</w:t>
            </w:r>
          </w:p>
        </w:tc>
      </w:tr>
      <w:tr w:rsidR="00C223F5">
        <w:trPr>
          <w:trHeight w:val="558"/>
          <w:jc w:val="center"/>
        </w:trPr>
        <w:tc>
          <w:tcPr>
            <w:tcW w:w="751" w:type="dxa"/>
            <w:vMerge/>
            <w:tcBorders>
              <w:right w:val="single" w:sz="4" w:space="0" w:color="auto"/>
            </w:tcBorders>
            <w:tcMar>
              <w:left w:w="0" w:type="dxa"/>
              <w:right w:w="0" w:type="dxa"/>
            </w:tcMar>
            <w:vAlign w:val="center"/>
          </w:tcPr>
          <w:p w:rsidR="00C223F5" w:rsidRDefault="00C223F5">
            <w:pPr>
              <w:jc w:val="center"/>
              <w:rPr>
                <w:szCs w:val="21"/>
              </w:rPr>
            </w:pPr>
          </w:p>
        </w:tc>
        <w:tc>
          <w:tcPr>
            <w:tcW w:w="1173" w:type="dxa"/>
            <w:tcBorders>
              <w:top w:val="single" w:sz="4" w:space="0" w:color="auto"/>
              <w:left w:val="single" w:sz="4" w:space="0" w:color="auto"/>
            </w:tcBorders>
            <w:vAlign w:val="center"/>
          </w:tcPr>
          <w:p w:rsidR="00C223F5" w:rsidRDefault="005860D5">
            <w:pPr>
              <w:jc w:val="center"/>
              <w:rPr>
                <w:szCs w:val="21"/>
              </w:rPr>
            </w:pPr>
            <w:r>
              <w:rPr>
                <w:rFonts w:hint="eastAsia"/>
                <w:szCs w:val="21"/>
              </w:rPr>
              <w:t>运输交通</w:t>
            </w:r>
          </w:p>
          <w:p w:rsidR="00C223F5" w:rsidRDefault="005860D5">
            <w:pPr>
              <w:jc w:val="center"/>
              <w:rPr>
                <w:szCs w:val="21"/>
              </w:rPr>
            </w:pPr>
            <w:r>
              <w:rPr>
                <w:rFonts w:hint="eastAsia"/>
                <w:szCs w:val="21"/>
              </w:rPr>
              <w:t>噪声</w:t>
            </w:r>
          </w:p>
        </w:tc>
        <w:tc>
          <w:tcPr>
            <w:tcW w:w="5237" w:type="dxa"/>
            <w:gridSpan w:val="2"/>
            <w:tcBorders>
              <w:top w:val="single" w:sz="4" w:space="0" w:color="auto"/>
              <w:right w:val="single" w:sz="4" w:space="0" w:color="auto"/>
            </w:tcBorders>
            <w:tcMar>
              <w:left w:w="0" w:type="dxa"/>
              <w:right w:w="0" w:type="dxa"/>
            </w:tcMar>
            <w:vAlign w:val="center"/>
          </w:tcPr>
          <w:p w:rsidR="00C223F5" w:rsidRDefault="005860D5">
            <w:pPr>
              <w:rPr>
                <w:szCs w:val="21"/>
              </w:rPr>
            </w:pPr>
            <w:r>
              <w:rPr>
                <w:rFonts w:hint="eastAsia"/>
                <w:szCs w:val="21"/>
              </w:rPr>
              <w:t>车流量较小，运煤道路</w:t>
            </w:r>
            <w:r>
              <w:rPr>
                <w:rFonts w:hint="eastAsia"/>
              </w:rPr>
              <w:t>路边植树绿化降噪</w:t>
            </w:r>
            <w:r>
              <w:rPr>
                <w:rFonts w:hint="eastAsia"/>
                <w:szCs w:val="21"/>
              </w:rPr>
              <w:t>，对声环境影响较小</w:t>
            </w:r>
          </w:p>
        </w:tc>
        <w:tc>
          <w:tcPr>
            <w:tcW w:w="5112" w:type="dxa"/>
            <w:tcBorders>
              <w:top w:val="single" w:sz="4" w:space="0" w:color="auto"/>
              <w:left w:val="single" w:sz="4" w:space="0" w:color="auto"/>
              <w:right w:val="single" w:sz="4" w:space="0" w:color="auto"/>
            </w:tcBorders>
            <w:vAlign w:val="center"/>
          </w:tcPr>
          <w:p w:rsidR="00C223F5" w:rsidRPr="00AB2C65" w:rsidRDefault="005860D5">
            <w:pPr>
              <w:rPr>
                <w:color w:val="FF0000"/>
                <w:szCs w:val="21"/>
              </w:rPr>
            </w:pPr>
            <w:r w:rsidRPr="00AB2C65">
              <w:rPr>
                <w:rFonts w:hint="eastAsia"/>
                <w:color w:val="FF0000"/>
                <w:szCs w:val="21"/>
              </w:rPr>
              <w:t>车流量较小，</w:t>
            </w:r>
            <w:r w:rsidR="00AB2C65" w:rsidRPr="00AB2C65">
              <w:rPr>
                <w:rFonts w:hint="eastAsia"/>
                <w:color w:val="FF0000"/>
                <w:szCs w:val="21"/>
              </w:rPr>
              <w:t>限速限载、禁止鸣笛等，</w:t>
            </w:r>
            <w:r w:rsidRPr="00AB2C65">
              <w:rPr>
                <w:rFonts w:hint="eastAsia"/>
                <w:color w:val="FF0000"/>
                <w:szCs w:val="21"/>
              </w:rPr>
              <w:t>运煤道路</w:t>
            </w:r>
            <w:r w:rsidRPr="00AB2C65">
              <w:rPr>
                <w:rFonts w:hint="eastAsia"/>
                <w:color w:val="FF0000"/>
              </w:rPr>
              <w:t>路边植树绿化降噪</w:t>
            </w:r>
            <w:r w:rsidRPr="00AB2C65">
              <w:rPr>
                <w:rFonts w:hint="eastAsia"/>
                <w:color w:val="FF0000"/>
                <w:szCs w:val="21"/>
              </w:rPr>
              <w:t>，对声环境影响较小</w:t>
            </w:r>
          </w:p>
        </w:tc>
        <w:tc>
          <w:tcPr>
            <w:tcW w:w="2288" w:type="dxa"/>
            <w:tcBorders>
              <w:top w:val="single" w:sz="4" w:space="0" w:color="auto"/>
              <w:left w:val="single" w:sz="4" w:space="0" w:color="auto"/>
              <w:right w:val="single" w:sz="4" w:space="0" w:color="auto"/>
            </w:tcBorders>
            <w:vAlign w:val="center"/>
          </w:tcPr>
          <w:p w:rsidR="00C223F5" w:rsidRDefault="005860D5">
            <w:pPr>
              <w:jc w:val="center"/>
              <w:rPr>
                <w:szCs w:val="21"/>
              </w:rPr>
            </w:pPr>
            <w:r>
              <w:rPr>
                <w:rFonts w:hint="eastAsia"/>
                <w:szCs w:val="21"/>
              </w:rPr>
              <w:t>基本无变化</w:t>
            </w:r>
          </w:p>
        </w:tc>
      </w:tr>
      <w:tr w:rsidR="00C223F5">
        <w:trPr>
          <w:trHeight w:val="822"/>
          <w:jc w:val="center"/>
        </w:trPr>
        <w:tc>
          <w:tcPr>
            <w:tcW w:w="751" w:type="dxa"/>
            <w:tcMar>
              <w:left w:w="0" w:type="dxa"/>
              <w:right w:w="0" w:type="dxa"/>
            </w:tcMar>
            <w:vAlign w:val="center"/>
          </w:tcPr>
          <w:p w:rsidR="00C223F5" w:rsidRDefault="005860D5">
            <w:pPr>
              <w:jc w:val="center"/>
              <w:rPr>
                <w:szCs w:val="21"/>
              </w:rPr>
            </w:pPr>
            <w:r>
              <w:rPr>
                <w:rFonts w:hint="eastAsia"/>
                <w:szCs w:val="21"/>
              </w:rPr>
              <w:lastRenderedPageBreak/>
              <w:t>固体</w:t>
            </w:r>
          </w:p>
          <w:p w:rsidR="00C223F5" w:rsidRDefault="005860D5">
            <w:pPr>
              <w:jc w:val="center"/>
              <w:rPr>
                <w:szCs w:val="21"/>
              </w:rPr>
            </w:pPr>
            <w:r>
              <w:rPr>
                <w:rFonts w:hint="eastAsia"/>
                <w:szCs w:val="21"/>
              </w:rPr>
              <w:t>废物</w:t>
            </w:r>
          </w:p>
        </w:tc>
        <w:tc>
          <w:tcPr>
            <w:tcW w:w="1173" w:type="dxa"/>
            <w:tcMar>
              <w:left w:w="0" w:type="dxa"/>
              <w:right w:w="0" w:type="dxa"/>
            </w:tcMar>
            <w:vAlign w:val="center"/>
          </w:tcPr>
          <w:p w:rsidR="00C223F5" w:rsidRDefault="005860D5">
            <w:pPr>
              <w:jc w:val="center"/>
              <w:rPr>
                <w:szCs w:val="21"/>
              </w:rPr>
            </w:pPr>
            <w:r>
              <w:rPr>
                <w:rFonts w:hint="eastAsia"/>
                <w:szCs w:val="21"/>
              </w:rPr>
              <w:t>煤矸石、锅炉灰渣、脱硫渣、生活垃圾、煤泥等</w:t>
            </w:r>
          </w:p>
        </w:tc>
        <w:tc>
          <w:tcPr>
            <w:tcW w:w="5229" w:type="dxa"/>
            <w:tcBorders>
              <w:right w:val="single" w:sz="4" w:space="0" w:color="auto"/>
            </w:tcBorders>
            <w:tcMar>
              <w:left w:w="0" w:type="dxa"/>
              <w:right w:w="0" w:type="dxa"/>
            </w:tcMar>
            <w:vAlign w:val="center"/>
          </w:tcPr>
          <w:p w:rsidR="00C223F5" w:rsidRPr="00CC079C" w:rsidRDefault="005860D5">
            <w:pPr>
              <w:adjustRightInd w:val="0"/>
              <w:snapToGrid w:val="0"/>
              <w:jc w:val="center"/>
              <w:textAlignment w:val="baseline"/>
              <w:rPr>
                <w:bCs/>
                <w:szCs w:val="21"/>
              </w:rPr>
            </w:pPr>
            <w:r w:rsidRPr="00CC079C">
              <w:rPr>
                <w:szCs w:val="21"/>
              </w:rPr>
              <w:t>掘进矸石</w:t>
            </w:r>
            <w:r w:rsidRPr="00CC079C">
              <w:rPr>
                <w:rFonts w:hint="eastAsia"/>
                <w:szCs w:val="21"/>
              </w:rPr>
              <w:t>优先</w:t>
            </w:r>
            <w:r w:rsidRPr="00CC079C">
              <w:rPr>
                <w:szCs w:val="21"/>
              </w:rPr>
              <w:t>充填井下</w:t>
            </w:r>
            <w:r w:rsidRPr="00CC079C">
              <w:rPr>
                <w:rFonts w:hint="eastAsia"/>
                <w:szCs w:val="21"/>
              </w:rPr>
              <w:t>，多余部分外运作制砖原料</w:t>
            </w:r>
            <w:r w:rsidRPr="00CC079C">
              <w:rPr>
                <w:rFonts w:hint="eastAsia"/>
                <w:bCs/>
                <w:szCs w:val="21"/>
              </w:rPr>
              <w:t>；锅炉灰渣用于铺路；生活垃圾交由环卫部门统一处置；矿井水污水处理站煤泥掺入末煤销售，生活污水处理站污泥</w:t>
            </w:r>
            <w:r w:rsidRPr="00CC079C">
              <w:rPr>
                <w:rFonts w:hAnsi="宋体"/>
                <w:szCs w:val="21"/>
              </w:rPr>
              <w:t>按照当地政府和环保要求统一进行处理处置</w:t>
            </w:r>
            <w:r w:rsidRPr="00CC079C">
              <w:rPr>
                <w:rFonts w:hAnsi="宋体" w:hint="eastAsia"/>
                <w:szCs w:val="21"/>
              </w:rPr>
              <w:t>。固体废弃物全部综合利用或妥善处置，对环境影响小</w:t>
            </w:r>
          </w:p>
        </w:tc>
        <w:tc>
          <w:tcPr>
            <w:tcW w:w="5120" w:type="dxa"/>
            <w:gridSpan w:val="2"/>
            <w:tcBorders>
              <w:left w:val="single" w:sz="4" w:space="0" w:color="auto"/>
              <w:right w:val="single" w:sz="4" w:space="0" w:color="auto"/>
            </w:tcBorders>
            <w:vAlign w:val="center"/>
          </w:tcPr>
          <w:p w:rsidR="00C223F5" w:rsidRPr="00CC079C" w:rsidRDefault="005860D5" w:rsidP="00FF4AB0">
            <w:pPr>
              <w:rPr>
                <w:spacing w:val="-4"/>
                <w:szCs w:val="21"/>
              </w:rPr>
            </w:pPr>
            <w:r w:rsidRPr="00CC079C">
              <w:rPr>
                <w:rFonts w:hint="eastAsia"/>
                <w:bCs/>
                <w:spacing w:val="-4"/>
                <w:szCs w:val="21"/>
              </w:rPr>
              <w:t>掘进矸石</w:t>
            </w:r>
            <w:r w:rsidR="00DF7CF7" w:rsidRPr="00CC079C">
              <w:rPr>
                <w:rFonts w:hint="eastAsia"/>
                <w:bCs/>
                <w:spacing w:val="-4"/>
                <w:szCs w:val="21"/>
              </w:rPr>
              <w:t>不出井</w:t>
            </w:r>
            <w:r w:rsidRPr="00CC079C">
              <w:rPr>
                <w:rFonts w:hint="eastAsia"/>
                <w:bCs/>
                <w:spacing w:val="-4"/>
                <w:szCs w:val="21"/>
              </w:rPr>
              <w:t>，洗选矸石优先综合利用于</w:t>
            </w:r>
            <w:r w:rsidRPr="00CC079C">
              <w:rPr>
                <w:rFonts w:hAnsi="宋体" w:hint="eastAsia"/>
                <w:spacing w:val="-4"/>
                <w:szCs w:val="21"/>
              </w:rPr>
              <w:t>子洲县马岔乡大堡岔兴盛砖厂和大堡岔红旗空心砖厂，其余外售</w:t>
            </w:r>
            <w:r w:rsidR="00FF4AB0" w:rsidRPr="00CC079C">
              <w:rPr>
                <w:rFonts w:hAnsi="宋体" w:hint="eastAsia"/>
                <w:spacing w:val="-4"/>
                <w:szCs w:val="21"/>
              </w:rPr>
              <w:t>圣拓（陕西）矿业有限公司作为</w:t>
            </w:r>
            <w:r w:rsidRPr="00CC079C">
              <w:rPr>
                <w:rFonts w:hAnsi="宋体" w:hint="eastAsia"/>
                <w:spacing w:val="-4"/>
                <w:szCs w:val="21"/>
              </w:rPr>
              <w:t>充填</w:t>
            </w:r>
            <w:r w:rsidR="00FF4AB0" w:rsidRPr="00CC079C">
              <w:rPr>
                <w:rFonts w:hAnsi="宋体" w:hint="eastAsia"/>
                <w:spacing w:val="-4"/>
                <w:szCs w:val="21"/>
              </w:rPr>
              <w:t>原料，利用不畅时</w:t>
            </w:r>
            <w:r w:rsidRPr="00CC079C">
              <w:rPr>
                <w:rFonts w:hAnsi="宋体" w:hint="eastAsia"/>
                <w:spacing w:val="-4"/>
                <w:szCs w:val="21"/>
              </w:rPr>
              <w:t>回填井下废弃巷道</w:t>
            </w:r>
            <w:r w:rsidRPr="00CC079C">
              <w:rPr>
                <w:rFonts w:hint="eastAsia"/>
                <w:bCs/>
                <w:spacing w:val="-4"/>
                <w:szCs w:val="21"/>
              </w:rPr>
              <w:t>；生活垃圾交由环卫部门处置；矿井水污水处理站煤泥掺入末煤销售，生活污水处理站污泥</w:t>
            </w:r>
            <w:r w:rsidRPr="00CC079C">
              <w:rPr>
                <w:rFonts w:hAnsi="宋体" w:hint="eastAsia"/>
                <w:spacing w:val="-4"/>
                <w:szCs w:val="21"/>
              </w:rPr>
              <w:t>压滤脱水后运往市政垃圾场处置，危险废物交由有资质部门统一处置。固体废弃物全部综合利用或处置，对环境影响小</w:t>
            </w:r>
          </w:p>
        </w:tc>
        <w:tc>
          <w:tcPr>
            <w:tcW w:w="2288" w:type="dxa"/>
            <w:tcBorders>
              <w:left w:val="single" w:sz="4" w:space="0" w:color="auto"/>
              <w:right w:val="single" w:sz="4" w:space="0" w:color="auto"/>
            </w:tcBorders>
            <w:vAlign w:val="center"/>
          </w:tcPr>
          <w:p w:rsidR="00C223F5" w:rsidRDefault="005860D5">
            <w:pPr>
              <w:jc w:val="center"/>
              <w:rPr>
                <w:szCs w:val="21"/>
              </w:rPr>
            </w:pPr>
            <w:r>
              <w:rPr>
                <w:rFonts w:hint="eastAsia"/>
                <w:szCs w:val="21"/>
              </w:rPr>
              <w:t>增加危废处置措施，对环境的影响进一步减小</w:t>
            </w:r>
          </w:p>
        </w:tc>
      </w:tr>
      <w:tr w:rsidR="00C223F5">
        <w:trPr>
          <w:trHeight w:val="452"/>
          <w:jc w:val="center"/>
        </w:trPr>
        <w:tc>
          <w:tcPr>
            <w:tcW w:w="751" w:type="dxa"/>
            <w:vMerge w:val="restart"/>
            <w:tcMar>
              <w:left w:w="0" w:type="dxa"/>
              <w:right w:w="0" w:type="dxa"/>
            </w:tcMar>
            <w:vAlign w:val="center"/>
          </w:tcPr>
          <w:p w:rsidR="00C223F5" w:rsidRDefault="005860D5" w:rsidP="00AB79FB">
            <w:pPr>
              <w:ind w:leftChars="-5" w:left="5" w:hangingChars="7" w:hanging="15"/>
              <w:jc w:val="center"/>
              <w:rPr>
                <w:szCs w:val="21"/>
              </w:rPr>
            </w:pPr>
            <w:r>
              <w:rPr>
                <w:rFonts w:hint="eastAsia"/>
                <w:szCs w:val="21"/>
              </w:rPr>
              <w:t>生态</w:t>
            </w:r>
          </w:p>
          <w:p w:rsidR="00C223F5" w:rsidRDefault="005860D5" w:rsidP="00AB79FB">
            <w:pPr>
              <w:ind w:leftChars="-5" w:left="5" w:hangingChars="7" w:hanging="15"/>
              <w:jc w:val="center"/>
              <w:rPr>
                <w:szCs w:val="21"/>
              </w:rPr>
            </w:pPr>
            <w:r>
              <w:rPr>
                <w:rFonts w:hint="eastAsia"/>
                <w:szCs w:val="21"/>
              </w:rPr>
              <w:t>环境</w:t>
            </w:r>
          </w:p>
        </w:tc>
        <w:tc>
          <w:tcPr>
            <w:tcW w:w="1173" w:type="dxa"/>
            <w:tcMar>
              <w:left w:w="0" w:type="dxa"/>
              <w:right w:w="0" w:type="dxa"/>
            </w:tcMar>
            <w:vAlign w:val="center"/>
          </w:tcPr>
          <w:p w:rsidR="00C223F5" w:rsidRDefault="005860D5">
            <w:pPr>
              <w:jc w:val="center"/>
              <w:rPr>
                <w:szCs w:val="21"/>
              </w:rPr>
            </w:pPr>
            <w:r>
              <w:rPr>
                <w:rFonts w:hint="eastAsia"/>
                <w:szCs w:val="21"/>
              </w:rPr>
              <w:t>沉陷影响</w:t>
            </w:r>
          </w:p>
        </w:tc>
        <w:tc>
          <w:tcPr>
            <w:tcW w:w="5229" w:type="dxa"/>
            <w:tcBorders>
              <w:right w:val="single" w:sz="4" w:space="0" w:color="auto"/>
            </w:tcBorders>
            <w:tcMar>
              <w:left w:w="0" w:type="dxa"/>
              <w:right w:w="0" w:type="dxa"/>
            </w:tcMar>
            <w:vAlign w:val="center"/>
          </w:tcPr>
          <w:p w:rsidR="00C223F5" w:rsidRPr="00CC079C" w:rsidRDefault="005860D5">
            <w:pPr>
              <w:snapToGrid w:val="0"/>
              <w:rPr>
                <w:rFonts w:hAnsi="宋体"/>
                <w:szCs w:val="21"/>
              </w:rPr>
            </w:pPr>
            <w:r w:rsidRPr="00CC079C">
              <w:rPr>
                <w:rFonts w:hint="eastAsia"/>
                <w:szCs w:val="21"/>
              </w:rPr>
              <w:t>井田开采</w:t>
            </w:r>
            <w:r w:rsidRPr="00CC079C">
              <w:rPr>
                <w:rFonts w:hint="eastAsia"/>
                <w:szCs w:val="21"/>
              </w:rPr>
              <w:t>4</w:t>
            </w:r>
            <w:r w:rsidRPr="00CC079C">
              <w:rPr>
                <w:rFonts w:hint="eastAsia"/>
                <w:szCs w:val="21"/>
                <w:vertAlign w:val="superscript"/>
              </w:rPr>
              <w:t>-1</w:t>
            </w:r>
            <w:r w:rsidRPr="00CC079C">
              <w:rPr>
                <w:rFonts w:hint="eastAsia"/>
                <w:szCs w:val="21"/>
              </w:rPr>
              <w:t>煤的地表最大下沉值为</w:t>
            </w:r>
            <w:r w:rsidRPr="00CC079C">
              <w:rPr>
                <w:rFonts w:hint="eastAsia"/>
                <w:szCs w:val="21"/>
              </w:rPr>
              <w:t>1.95m</w:t>
            </w:r>
            <w:r w:rsidRPr="00CC079C">
              <w:rPr>
                <w:rFonts w:hint="eastAsia"/>
                <w:szCs w:val="21"/>
              </w:rPr>
              <w:t>，</w:t>
            </w:r>
            <w:r w:rsidRPr="00CC079C">
              <w:rPr>
                <w:rFonts w:hAnsi="宋体"/>
                <w:szCs w:val="21"/>
              </w:rPr>
              <w:t>地表沉陷</w:t>
            </w:r>
          </w:p>
          <w:p w:rsidR="00C223F5" w:rsidRPr="00CC079C" w:rsidRDefault="005860D5">
            <w:pPr>
              <w:snapToGrid w:val="0"/>
              <w:rPr>
                <w:szCs w:val="21"/>
              </w:rPr>
            </w:pPr>
            <w:r w:rsidRPr="00CC079C">
              <w:rPr>
                <w:rFonts w:hAnsi="宋体"/>
                <w:szCs w:val="21"/>
              </w:rPr>
              <w:t>影响范围预测结果约为延至开采范围外</w:t>
            </w:r>
            <w:r w:rsidRPr="00CC079C">
              <w:rPr>
                <w:rFonts w:hint="eastAsia"/>
                <w:szCs w:val="21"/>
              </w:rPr>
              <w:t>85m</w:t>
            </w:r>
            <w:r w:rsidRPr="00CC079C">
              <w:rPr>
                <w:rFonts w:hint="eastAsia"/>
                <w:szCs w:val="21"/>
              </w:rPr>
              <w:t>；</w:t>
            </w:r>
            <w:r w:rsidRPr="00CC079C">
              <w:rPr>
                <w:rFonts w:hint="eastAsia"/>
                <w:szCs w:val="21"/>
              </w:rPr>
              <w:t>4</w:t>
            </w:r>
            <w:r w:rsidRPr="00CC079C">
              <w:rPr>
                <w:rFonts w:hint="eastAsia"/>
                <w:szCs w:val="21"/>
                <w:vertAlign w:val="superscript"/>
              </w:rPr>
              <w:t>-1</w:t>
            </w:r>
            <w:r w:rsidRPr="00CC079C">
              <w:rPr>
                <w:szCs w:val="21"/>
              </w:rPr>
              <w:t>煤层开采沉陷面积</w:t>
            </w:r>
            <w:r w:rsidRPr="00CC079C">
              <w:rPr>
                <w:rFonts w:hint="eastAsia"/>
                <w:szCs w:val="21"/>
              </w:rPr>
              <w:t>约</w:t>
            </w:r>
            <w:r w:rsidRPr="00CC079C">
              <w:rPr>
                <w:rFonts w:hint="eastAsia"/>
                <w:szCs w:val="21"/>
              </w:rPr>
              <w:t>688.7h</w:t>
            </w:r>
            <w:r w:rsidRPr="00CC079C">
              <w:rPr>
                <w:szCs w:val="21"/>
              </w:rPr>
              <w:t>m</w:t>
            </w:r>
            <w:r w:rsidRPr="00CC079C">
              <w:rPr>
                <w:szCs w:val="21"/>
                <w:vertAlign w:val="superscript"/>
              </w:rPr>
              <w:t>2</w:t>
            </w:r>
          </w:p>
        </w:tc>
        <w:tc>
          <w:tcPr>
            <w:tcW w:w="5120" w:type="dxa"/>
            <w:gridSpan w:val="2"/>
            <w:tcBorders>
              <w:left w:val="single" w:sz="4" w:space="0" w:color="auto"/>
              <w:right w:val="single" w:sz="4" w:space="0" w:color="auto"/>
            </w:tcBorders>
            <w:vAlign w:val="center"/>
          </w:tcPr>
          <w:p w:rsidR="00C223F5" w:rsidRPr="00CC079C" w:rsidRDefault="005860D5">
            <w:pPr>
              <w:snapToGrid w:val="0"/>
              <w:rPr>
                <w:szCs w:val="21"/>
              </w:rPr>
            </w:pPr>
            <w:r w:rsidRPr="00CC079C">
              <w:rPr>
                <w:szCs w:val="21"/>
              </w:rPr>
              <w:t>井田开采后地表最大下沉值出现在井田</w:t>
            </w:r>
            <w:r w:rsidRPr="00CC079C">
              <w:rPr>
                <w:rFonts w:hint="eastAsia"/>
                <w:szCs w:val="21"/>
              </w:rPr>
              <w:t>中西部两层煤重叠开采区</w:t>
            </w:r>
            <w:r w:rsidRPr="00CC079C">
              <w:rPr>
                <w:szCs w:val="21"/>
              </w:rPr>
              <w:t>，沉陷值约为</w:t>
            </w:r>
            <w:r w:rsidRPr="00CC079C">
              <w:rPr>
                <w:rFonts w:hint="eastAsia"/>
                <w:szCs w:val="21"/>
              </w:rPr>
              <w:t>2.55</w:t>
            </w:r>
            <w:r w:rsidRPr="00CC079C">
              <w:rPr>
                <w:szCs w:val="21"/>
              </w:rPr>
              <w:t>m</w:t>
            </w:r>
            <w:r w:rsidRPr="00CC079C">
              <w:rPr>
                <w:szCs w:val="21"/>
              </w:rPr>
              <w:t>，沉陷影响范围一般在</w:t>
            </w:r>
            <w:r w:rsidRPr="00CC079C">
              <w:rPr>
                <w:rFonts w:hint="eastAsia"/>
                <w:szCs w:val="21"/>
              </w:rPr>
              <w:t>开采区</w:t>
            </w:r>
            <w:r w:rsidRPr="00CC079C">
              <w:rPr>
                <w:szCs w:val="21"/>
              </w:rPr>
              <w:t>边界外侧</w:t>
            </w:r>
            <w:r w:rsidRPr="00CC079C">
              <w:rPr>
                <w:rFonts w:hint="eastAsia"/>
                <w:szCs w:val="21"/>
              </w:rPr>
              <w:t>38.16~77.73</w:t>
            </w:r>
            <w:r w:rsidRPr="00CC079C">
              <w:rPr>
                <w:szCs w:val="21"/>
              </w:rPr>
              <w:t>m</w:t>
            </w:r>
            <w:r w:rsidRPr="00CC079C">
              <w:rPr>
                <w:szCs w:val="21"/>
              </w:rPr>
              <w:t>范围内</w:t>
            </w:r>
          </w:p>
        </w:tc>
        <w:tc>
          <w:tcPr>
            <w:tcW w:w="2288" w:type="dxa"/>
            <w:tcBorders>
              <w:left w:val="single" w:sz="4" w:space="0" w:color="auto"/>
              <w:right w:val="single" w:sz="4" w:space="0" w:color="auto"/>
            </w:tcBorders>
            <w:vAlign w:val="center"/>
          </w:tcPr>
          <w:p w:rsidR="00C223F5" w:rsidRDefault="005860D5">
            <w:pPr>
              <w:snapToGrid w:val="0"/>
              <w:jc w:val="center"/>
              <w:rPr>
                <w:szCs w:val="21"/>
              </w:rPr>
            </w:pPr>
            <w:r>
              <w:rPr>
                <w:rFonts w:hint="eastAsia"/>
                <w:szCs w:val="21"/>
              </w:rPr>
              <w:t>增采</w:t>
            </w:r>
            <w:r>
              <w:rPr>
                <w:rFonts w:hint="eastAsia"/>
                <w:szCs w:val="21"/>
              </w:rPr>
              <w:t>4</w:t>
            </w:r>
            <w:r>
              <w:rPr>
                <w:rFonts w:hint="eastAsia"/>
                <w:szCs w:val="21"/>
                <w:vertAlign w:val="superscript"/>
              </w:rPr>
              <w:t>-2</w:t>
            </w:r>
            <w:r>
              <w:rPr>
                <w:rFonts w:hint="eastAsia"/>
                <w:szCs w:val="21"/>
              </w:rPr>
              <w:t>煤，沉陷程度略增大，由于井田面积扩大，沉陷影响范围增大</w:t>
            </w:r>
          </w:p>
        </w:tc>
      </w:tr>
      <w:tr w:rsidR="00C223F5">
        <w:trPr>
          <w:trHeight w:val="668"/>
          <w:jc w:val="center"/>
        </w:trPr>
        <w:tc>
          <w:tcPr>
            <w:tcW w:w="751" w:type="dxa"/>
            <w:vMerge/>
            <w:tcMar>
              <w:left w:w="0" w:type="dxa"/>
              <w:right w:w="0" w:type="dxa"/>
            </w:tcMar>
            <w:vAlign w:val="center"/>
          </w:tcPr>
          <w:p w:rsidR="00C223F5" w:rsidRDefault="00C223F5">
            <w:pPr>
              <w:ind w:left="-90"/>
              <w:jc w:val="center"/>
              <w:rPr>
                <w:szCs w:val="21"/>
              </w:rPr>
            </w:pPr>
          </w:p>
        </w:tc>
        <w:tc>
          <w:tcPr>
            <w:tcW w:w="1173" w:type="dxa"/>
            <w:tcMar>
              <w:left w:w="0" w:type="dxa"/>
              <w:right w:w="0" w:type="dxa"/>
            </w:tcMar>
            <w:vAlign w:val="center"/>
          </w:tcPr>
          <w:p w:rsidR="00C223F5" w:rsidRDefault="005860D5">
            <w:pPr>
              <w:jc w:val="center"/>
              <w:rPr>
                <w:szCs w:val="21"/>
              </w:rPr>
            </w:pPr>
            <w:r>
              <w:rPr>
                <w:rFonts w:hint="eastAsia"/>
                <w:szCs w:val="21"/>
              </w:rPr>
              <w:t>生态环境</w:t>
            </w:r>
          </w:p>
          <w:p w:rsidR="00C223F5" w:rsidRDefault="005860D5">
            <w:pPr>
              <w:jc w:val="center"/>
              <w:rPr>
                <w:szCs w:val="21"/>
              </w:rPr>
            </w:pPr>
            <w:r>
              <w:rPr>
                <w:rFonts w:hint="eastAsia"/>
                <w:szCs w:val="21"/>
              </w:rPr>
              <w:t>影响</w:t>
            </w:r>
          </w:p>
        </w:tc>
        <w:tc>
          <w:tcPr>
            <w:tcW w:w="5229" w:type="dxa"/>
            <w:tcBorders>
              <w:right w:val="single" w:sz="4" w:space="0" w:color="auto"/>
            </w:tcBorders>
            <w:tcMar>
              <w:left w:w="0" w:type="dxa"/>
              <w:right w:w="0" w:type="dxa"/>
            </w:tcMar>
            <w:vAlign w:val="center"/>
          </w:tcPr>
          <w:p w:rsidR="00C223F5" w:rsidRPr="00CC079C" w:rsidRDefault="005860D5">
            <w:pPr>
              <w:snapToGrid w:val="0"/>
              <w:textAlignment w:val="top"/>
              <w:rPr>
                <w:rFonts w:ascii="宋体" w:hAnsi="宋体"/>
                <w:szCs w:val="21"/>
              </w:rPr>
            </w:pPr>
            <w:r w:rsidRPr="00CC079C">
              <w:rPr>
                <w:rFonts w:hAnsi="宋体" w:hint="eastAsia"/>
                <w:szCs w:val="21"/>
              </w:rPr>
              <w:t>设计对井田内村庄、青银高速、蚂蚁河等</w:t>
            </w:r>
            <w:r w:rsidRPr="00CC079C">
              <w:rPr>
                <w:rFonts w:hAnsi="宋体"/>
                <w:szCs w:val="21"/>
              </w:rPr>
              <w:t>留设了保护煤柱</w:t>
            </w:r>
            <w:r w:rsidRPr="00CC079C">
              <w:rPr>
                <w:rFonts w:hAnsi="宋体" w:hint="eastAsia"/>
                <w:szCs w:val="21"/>
              </w:rPr>
              <w:t>，</w:t>
            </w:r>
            <w:r w:rsidRPr="00CC079C">
              <w:rPr>
                <w:szCs w:val="21"/>
              </w:rPr>
              <w:t>沉陷区土地损害程度以</w:t>
            </w:r>
            <w:r w:rsidRPr="00CC079C">
              <w:rPr>
                <w:rFonts w:hint="eastAsia"/>
                <w:szCs w:val="21"/>
              </w:rPr>
              <w:t>轻</w:t>
            </w:r>
            <w:r w:rsidRPr="00CC079C">
              <w:rPr>
                <w:szCs w:val="21"/>
              </w:rPr>
              <w:t>度为主，主要为</w:t>
            </w:r>
            <w:r w:rsidRPr="00CC079C">
              <w:rPr>
                <w:rFonts w:hint="eastAsia"/>
                <w:szCs w:val="21"/>
              </w:rPr>
              <w:t>耕地、草地和灌林地</w:t>
            </w:r>
            <w:r w:rsidRPr="00CC079C">
              <w:rPr>
                <w:szCs w:val="21"/>
              </w:rPr>
              <w:t>。对输变电、通讯线路</w:t>
            </w:r>
            <w:r w:rsidRPr="00CC079C">
              <w:rPr>
                <w:rFonts w:hint="eastAsia"/>
                <w:szCs w:val="21"/>
              </w:rPr>
              <w:t>等</w:t>
            </w:r>
            <w:r w:rsidRPr="00CC079C">
              <w:rPr>
                <w:szCs w:val="21"/>
              </w:rPr>
              <w:t>采取采前加固、采中纠偏、采后修复相结合的综合措施加以治理</w:t>
            </w:r>
          </w:p>
        </w:tc>
        <w:tc>
          <w:tcPr>
            <w:tcW w:w="5120" w:type="dxa"/>
            <w:gridSpan w:val="2"/>
            <w:tcBorders>
              <w:left w:val="single" w:sz="4" w:space="0" w:color="auto"/>
              <w:right w:val="single" w:sz="4" w:space="0" w:color="auto"/>
            </w:tcBorders>
            <w:vAlign w:val="center"/>
          </w:tcPr>
          <w:p w:rsidR="00C223F5" w:rsidRPr="00CC079C" w:rsidRDefault="005860D5">
            <w:pPr>
              <w:rPr>
                <w:szCs w:val="21"/>
              </w:rPr>
            </w:pPr>
            <w:r w:rsidRPr="00CC079C">
              <w:rPr>
                <w:szCs w:val="21"/>
              </w:rPr>
              <w:t>设计对井田内</w:t>
            </w:r>
            <w:r w:rsidRPr="00CC079C">
              <w:rPr>
                <w:rFonts w:hint="eastAsia"/>
                <w:kern w:val="0"/>
                <w:szCs w:val="21"/>
              </w:rPr>
              <w:t>村庄、高速公路、铁路、</w:t>
            </w:r>
            <w:r w:rsidRPr="00CC079C">
              <w:rPr>
                <w:rFonts w:hint="eastAsia"/>
                <w:szCs w:val="21"/>
              </w:rPr>
              <w:t>油井、高压线塔基、文物保护单位等均</w:t>
            </w:r>
            <w:r w:rsidRPr="00CC079C">
              <w:rPr>
                <w:rFonts w:hint="eastAsia"/>
                <w:kern w:val="0"/>
                <w:szCs w:val="21"/>
              </w:rPr>
              <w:t>留设保护煤柱</w:t>
            </w:r>
            <w:r w:rsidRPr="00CC079C">
              <w:rPr>
                <w:szCs w:val="21"/>
              </w:rPr>
              <w:t>，对其影响不大。全井田煤层开采沉陷面积</w:t>
            </w:r>
            <w:r w:rsidRPr="00CC079C">
              <w:rPr>
                <w:rFonts w:hint="eastAsia"/>
                <w:szCs w:val="21"/>
              </w:rPr>
              <w:t>约</w:t>
            </w:r>
            <w:r w:rsidRPr="00CC079C">
              <w:rPr>
                <w:rFonts w:hint="eastAsia"/>
                <w:szCs w:val="21"/>
              </w:rPr>
              <w:t>39.45</w:t>
            </w:r>
            <w:r w:rsidRPr="00CC079C">
              <w:rPr>
                <w:szCs w:val="21"/>
              </w:rPr>
              <w:t>km</w:t>
            </w:r>
            <w:r w:rsidRPr="00CC079C">
              <w:rPr>
                <w:szCs w:val="21"/>
                <w:vertAlign w:val="superscript"/>
              </w:rPr>
              <w:t>2</w:t>
            </w:r>
            <w:r w:rsidRPr="00CC079C">
              <w:rPr>
                <w:szCs w:val="21"/>
              </w:rPr>
              <w:t>，沉陷区土地损害程度以轻度损害为主，主要为</w:t>
            </w:r>
            <w:r w:rsidRPr="00CC079C">
              <w:rPr>
                <w:rFonts w:hint="eastAsia"/>
                <w:szCs w:val="21"/>
              </w:rPr>
              <w:t>耕地、草地和灌林地</w:t>
            </w:r>
            <w:r w:rsidRPr="00CC079C">
              <w:rPr>
                <w:szCs w:val="21"/>
              </w:rPr>
              <w:t>。对沉陷区土地采取以自然恢复为主，辅以人工恢复的措施，及时平整、治理。对输变电、通讯线路，采取采前加固、采中纠偏、采后修复相结合的综合措施加以治理；井田开采区内乡间公路，不留设保护煤柱，环评要求采后修复、维护和重修相结合综合防治措施加以治理</w:t>
            </w:r>
          </w:p>
        </w:tc>
        <w:tc>
          <w:tcPr>
            <w:tcW w:w="2288" w:type="dxa"/>
            <w:tcBorders>
              <w:left w:val="single" w:sz="4" w:space="0" w:color="auto"/>
              <w:right w:val="single" w:sz="4" w:space="0" w:color="auto"/>
            </w:tcBorders>
            <w:vAlign w:val="center"/>
          </w:tcPr>
          <w:p w:rsidR="00C223F5" w:rsidRDefault="005860D5">
            <w:pPr>
              <w:snapToGrid w:val="0"/>
              <w:jc w:val="center"/>
              <w:textAlignment w:val="top"/>
              <w:rPr>
                <w:rFonts w:ascii="宋体" w:hAnsi="宋体"/>
                <w:szCs w:val="21"/>
              </w:rPr>
            </w:pPr>
            <w:r>
              <w:rPr>
                <w:rFonts w:hint="eastAsia"/>
                <w:szCs w:val="21"/>
              </w:rPr>
              <w:t>井田开采面积增大，</w:t>
            </w:r>
            <w:r>
              <w:rPr>
                <w:rFonts w:hAnsi="宋体" w:hint="eastAsia"/>
                <w:szCs w:val="21"/>
              </w:rPr>
              <w:t>生态影响程度基本不变，影响范围增大</w:t>
            </w:r>
          </w:p>
        </w:tc>
      </w:tr>
      <w:tr w:rsidR="00C223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3"/>
          <w:jc w:val="center"/>
        </w:trPr>
        <w:tc>
          <w:tcPr>
            <w:tcW w:w="751" w:type="dxa"/>
            <w:vMerge w:val="restart"/>
            <w:tcBorders>
              <w:top w:val="single" w:sz="6" w:space="0" w:color="auto"/>
              <w:left w:val="single" w:sz="6" w:space="0" w:color="auto"/>
              <w:right w:val="single" w:sz="6" w:space="0" w:color="auto"/>
            </w:tcBorders>
            <w:tcMar>
              <w:left w:w="0" w:type="dxa"/>
              <w:right w:w="0" w:type="dxa"/>
            </w:tcMar>
            <w:vAlign w:val="center"/>
          </w:tcPr>
          <w:p w:rsidR="00C223F5" w:rsidRDefault="005860D5">
            <w:pPr>
              <w:jc w:val="center"/>
              <w:rPr>
                <w:szCs w:val="21"/>
              </w:rPr>
            </w:pPr>
            <w:r>
              <w:rPr>
                <w:rFonts w:hint="eastAsia"/>
                <w:szCs w:val="21"/>
              </w:rPr>
              <w:t>地下水</w:t>
            </w:r>
          </w:p>
          <w:p w:rsidR="00C223F5" w:rsidRDefault="005860D5">
            <w:pPr>
              <w:jc w:val="center"/>
              <w:rPr>
                <w:szCs w:val="21"/>
              </w:rPr>
            </w:pPr>
            <w:r>
              <w:rPr>
                <w:rFonts w:hint="eastAsia"/>
                <w:szCs w:val="21"/>
              </w:rPr>
              <w:t>环境</w:t>
            </w:r>
          </w:p>
        </w:tc>
        <w:tc>
          <w:tcPr>
            <w:tcW w:w="1173" w:type="dxa"/>
            <w:tcBorders>
              <w:top w:val="single" w:sz="6" w:space="0" w:color="auto"/>
              <w:left w:val="single" w:sz="6" w:space="0" w:color="auto"/>
              <w:bottom w:val="single" w:sz="4" w:space="0" w:color="auto"/>
              <w:right w:val="single" w:sz="6" w:space="0" w:color="auto"/>
            </w:tcBorders>
            <w:tcMar>
              <w:left w:w="0" w:type="dxa"/>
              <w:right w:w="0" w:type="dxa"/>
            </w:tcMar>
            <w:vAlign w:val="center"/>
          </w:tcPr>
          <w:p w:rsidR="00C223F5" w:rsidRDefault="005860D5">
            <w:pPr>
              <w:jc w:val="center"/>
              <w:rPr>
                <w:szCs w:val="21"/>
              </w:rPr>
            </w:pPr>
            <w:r>
              <w:rPr>
                <w:rFonts w:hAnsi="宋体" w:hint="eastAsia"/>
                <w:szCs w:val="21"/>
              </w:rPr>
              <w:t>工业场地</w:t>
            </w:r>
          </w:p>
        </w:tc>
        <w:tc>
          <w:tcPr>
            <w:tcW w:w="5229" w:type="dxa"/>
            <w:tcBorders>
              <w:top w:val="single" w:sz="6" w:space="0" w:color="auto"/>
              <w:left w:val="single" w:sz="6" w:space="0" w:color="auto"/>
              <w:bottom w:val="single" w:sz="4" w:space="0" w:color="auto"/>
              <w:right w:val="single" w:sz="4" w:space="0" w:color="auto"/>
            </w:tcBorders>
            <w:tcMar>
              <w:left w:w="0" w:type="dxa"/>
              <w:right w:w="0" w:type="dxa"/>
            </w:tcMar>
            <w:vAlign w:val="center"/>
          </w:tcPr>
          <w:p w:rsidR="00C223F5" w:rsidRDefault="005860D5">
            <w:pPr>
              <w:rPr>
                <w:szCs w:val="21"/>
              </w:rPr>
            </w:pPr>
            <w:r>
              <w:rPr>
                <w:rFonts w:hint="eastAsia"/>
                <w:szCs w:val="21"/>
              </w:rPr>
              <w:t>矿井工业场地内建矿井水处理站和生活污水处理站，矿井水经处理后部分回用，其余达标排至蚂蚁河；生活污水经处理后全部回用，对地下水影响轻微</w:t>
            </w:r>
          </w:p>
        </w:tc>
        <w:tc>
          <w:tcPr>
            <w:tcW w:w="5120" w:type="dxa"/>
            <w:gridSpan w:val="2"/>
            <w:tcBorders>
              <w:top w:val="single" w:sz="6" w:space="0" w:color="auto"/>
              <w:left w:val="single" w:sz="4" w:space="0" w:color="auto"/>
              <w:bottom w:val="single" w:sz="4" w:space="0" w:color="auto"/>
              <w:right w:val="single" w:sz="4" w:space="0" w:color="auto"/>
            </w:tcBorders>
            <w:vAlign w:val="center"/>
          </w:tcPr>
          <w:p w:rsidR="00C223F5" w:rsidRDefault="005860D5">
            <w:pPr>
              <w:rPr>
                <w:szCs w:val="21"/>
              </w:rPr>
            </w:pPr>
            <w:r>
              <w:rPr>
                <w:rFonts w:hint="eastAsia"/>
                <w:szCs w:val="21"/>
              </w:rPr>
              <w:t>矿井工业场地内建矿井水处理站和生活污水处理站，矿井水经处理后部分回用，其余达标排至蚂蚁河；生活污水经处理后全部回用；正常情况下，场地及渠池进行防渗处理后对地下水影响轻微</w:t>
            </w:r>
          </w:p>
        </w:tc>
        <w:tc>
          <w:tcPr>
            <w:tcW w:w="2288" w:type="dxa"/>
            <w:tcBorders>
              <w:top w:val="single" w:sz="6" w:space="0" w:color="auto"/>
              <w:left w:val="single" w:sz="4" w:space="0" w:color="auto"/>
              <w:bottom w:val="single" w:sz="4" w:space="0" w:color="auto"/>
              <w:right w:val="single" w:sz="4" w:space="0" w:color="auto"/>
            </w:tcBorders>
            <w:vAlign w:val="center"/>
          </w:tcPr>
          <w:p w:rsidR="00C223F5" w:rsidRDefault="005860D5">
            <w:pPr>
              <w:jc w:val="center"/>
              <w:rPr>
                <w:szCs w:val="21"/>
              </w:rPr>
            </w:pPr>
            <w:r>
              <w:rPr>
                <w:rFonts w:hint="eastAsia"/>
                <w:spacing w:val="4"/>
                <w:szCs w:val="21"/>
              </w:rPr>
              <w:t>基本无变化</w:t>
            </w:r>
          </w:p>
        </w:tc>
      </w:tr>
      <w:tr w:rsidR="00C223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8"/>
          <w:jc w:val="center"/>
        </w:trPr>
        <w:tc>
          <w:tcPr>
            <w:tcW w:w="751" w:type="dxa"/>
            <w:vMerge/>
            <w:tcBorders>
              <w:left w:val="single" w:sz="6" w:space="0" w:color="auto"/>
              <w:right w:val="single" w:sz="6" w:space="0" w:color="auto"/>
            </w:tcBorders>
            <w:tcMar>
              <w:left w:w="0" w:type="dxa"/>
              <w:right w:w="0" w:type="dxa"/>
            </w:tcMar>
            <w:vAlign w:val="center"/>
          </w:tcPr>
          <w:p w:rsidR="00C223F5" w:rsidRDefault="00C223F5">
            <w:pPr>
              <w:jc w:val="center"/>
              <w:rPr>
                <w:szCs w:val="21"/>
              </w:rPr>
            </w:pPr>
          </w:p>
        </w:tc>
        <w:tc>
          <w:tcPr>
            <w:tcW w:w="1173" w:type="dxa"/>
            <w:tcBorders>
              <w:top w:val="single" w:sz="6" w:space="0" w:color="auto"/>
              <w:left w:val="single" w:sz="6" w:space="0" w:color="auto"/>
              <w:bottom w:val="single" w:sz="4" w:space="0" w:color="auto"/>
              <w:right w:val="single" w:sz="6" w:space="0" w:color="auto"/>
            </w:tcBorders>
            <w:tcMar>
              <w:left w:w="0" w:type="dxa"/>
              <w:right w:w="0" w:type="dxa"/>
            </w:tcMar>
            <w:vAlign w:val="center"/>
          </w:tcPr>
          <w:p w:rsidR="00C223F5" w:rsidRDefault="005860D5">
            <w:pPr>
              <w:jc w:val="center"/>
              <w:rPr>
                <w:rFonts w:hAnsi="宋体"/>
                <w:szCs w:val="21"/>
              </w:rPr>
            </w:pPr>
            <w:r>
              <w:rPr>
                <w:rFonts w:hAnsi="宋体" w:hint="eastAsia"/>
                <w:szCs w:val="21"/>
              </w:rPr>
              <w:t>导水裂隙带</w:t>
            </w:r>
          </w:p>
        </w:tc>
        <w:tc>
          <w:tcPr>
            <w:tcW w:w="5229" w:type="dxa"/>
            <w:tcBorders>
              <w:top w:val="single" w:sz="6" w:space="0" w:color="auto"/>
              <w:left w:val="single" w:sz="6" w:space="0" w:color="auto"/>
              <w:bottom w:val="single" w:sz="4" w:space="0" w:color="auto"/>
              <w:right w:val="single" w:sz="4" w:space="0" w:color="auto"/>
            </w:tcBorders>
            <w:tcMar>
              <w:left w:w="0" w:type="dxa"/>
              <w:right w:w="0" w:type="dxa"/>
            </w:tcMar>
            <w:vAlign w:val="center"/>
          </w:tcPr>
          <w:p w:rsidR="00C223F5" w:rsidRPr="00CC079C" w:rsidRDefault="005860D5">
            <w:pPr>
              <w:adjustRightInd w:val="0"/>
              <w:snapToGrid w:val="0"/>
              <w:rPr>
                <w:szCs w:val="21"/>
              </w:rPr>
            </w:pPr>
            <w:r w:rsidRPr="00CC079C">
              <w:rPr>
                <w:rFonts w:hint="eastAsia"/>
                <w:szCs w:val="21"/>
              </w:rPr>
              <w:t>经预测，开采</w:t>
            </w:r>
            <w:r w:rsidRPr="00CC079C">
              <w:rPr>
                <w:rFonts w:hint="eastAsia"/>
                <w:szCs w:val="21"/>
              </w:rPr>
              <w:t>4</w:t>
            </w:r>
            <w:r w:rsidRPr="00CC079C">
              <w:rPr>
                <w:rFonts w:hint="eastAsia"/>
                <w:szCs w:val="21"/>
                <w:vertAlign w:val="superscript"/>
              </w:rPr>
              <w:t>-1</w:t>
            </w:r>
            <w:r w:rsidRPr="00CC079C">
              <w:rPr>
                <w:rFonts w:hint="eastAsia"/>
                <w:szCs w:val="21"/>
              </w:rPr>
              <w:t>煤的导水裂隙未波及到基岩风化裂隙带及地表，对第四系基本无影响</w:t>
            </w:r>
          </w:p>
        </w:tc>
        <w:tc>
          <w:tcPr>
            <w:tcW w:w="5120" w:type="dxa"/>
            <w:gridSpan w:val="2"/>
            <w:tcBorders>
              <w:top w:val="single" w:sz="6" w:space="0" w:color="auto"/>
              <w:left w:val="single" w:sz="4" w:space="0" w:color="auto"/>
              <w:bottom w:val="single" w:sz="4" w:space="0" w:color="auto"/>
              <w:right w:val="single" w:sz="4" w:space="0" w:color="auto"/>
            </w:tcBorders>
            <w:vAlign w:val="center"/>
          </w:tcPr>
          <w:p w:rsidR="00C223F5" w:rsidRPr="00CC079C" w:rsidRDefault="005860D5">
            <w:pPr>
              <w:rPr>
                <w:szCs w:val="21"/>
              </w:rPr>
            </w:pPr>
            <w:r w:rsidRPr="00CC079C">
              <w:rPr>
                <w:rFonts w:hint="eastAsia"/>
                <w:szCs w:val="21"/>
              </w:rPr>
              <w:t>经预测，</w:t>
            </w:r>
            <w:r w:rsidRPr="00CC079C">
              <w:rPr>
                <w:rFonts w:hint="eastAsia"/>
                <w:szCs w:val="21"/>
              </w:rPr>
              <w:t>4</w:t>
            </w:r>
            <w:r w:rsidRPr="00CC079C">
              <w:rPr>
                <w:rFonts w:hint="eastAsia"/>
                <w:szCs w:val="21"/>
                <w:vertAlign w:val="superscript"/>
              </w:rPr>
              <w:t>-1</w:t>
            </w:r>
            <w:r w:rsidRPr="00CC079C">
              <w:rPr>
                <w:rFonts w:hint="eastAsia"/>
                <w:szCs w:val="21"/>
              </w:rPr>
              <w:t>、</w:t>
            </w:r>
            <w:r w:rsidRPr="00CC079C">
              <w:rPr>
                <w:rFonts w:hint="eastAsia"/>
                <w:szCs w:val="21"/>
              </w:rPr>
              <w:t>4</w:t>
            </w:r>
            <w:r w:rsidRPr="00CC079C">
              <w:rPr>
                <w:rFonts w:hint="eastAsia"/>
                <w:szCs w:val="21"/>
                <w:vertAlign w:val="superscript"/>
              </w:rPr>
              <w:t>-2</w:t>
            </w:r>
            <w:r w:rsidRPr="00CC079C">
              <w:rPr>
                <w:rFonts w:hint="eastAsia"/>
                <w:szCs w:val="21"/>
              </w:rPr>
              <w:t>煤开采</w:t>
            </w:r>
            <w:r w:rsidRPr="00CC079C">
              <w:rPr>
                <w:szCs w:val="21"/>
              </w:rPr>
              <w:t>导水裂隙带会相互贯通</w:t>
            </w:r>
            <w:r w:rsidRPr="00CC079C">
              <w:rPr>
                <w:rFonts w:hint="eastAsia"/>
                <w:szCs w:val="21"/>
              </w:rPr>
              <w:t>；</w:t>
            </w:r>
            <w:r w:rsidRPr="00CC079C">
              <w:rPr>
                <w:szCs w:val="21"/>
              </w:rPr>
              <w:t>采煤时导水裂隙带在</w:t>
            </w:r>
            <w:r w:rsidRPr="00CC079C">
              <w:rPr>
                <w:rFonts w:hint="eastAsia"/>
                <w:szCs w:val="21"/>
              </w:rPr>
              <w:t>瓦窑堡组</w:t>
            </w:r>
            <w:r w:rsidRPr="00CC079C">
              <w:rPr>
                <w:szCs w:val="21"/>
              </w:rPr>
              <w:t>正常基岩里发育</w:t>
            </w:r>
            <w:r w:rsidRPr="00CC079C">
              <w:rPr>
                <w:rFonts w:hint="eastAsia"/>
                <w:szCs w:val="21"/>
              </w:rPr>
              <w:t>，不会</w:t>
            </w:r>
            <w:r w:rsidRPr="00CC079C">
              <w:rPr>
                <w:szCs w:val="21"/>
              </w:rPr>
              <w:t>导通</w:t>
            </w:r>
            <w:r w:rsidRPr="00CC079C">
              <w:rPr>
                <w:rFonts w:hint="eastAsia"/>
                <w:szCs w:val="21"/>
              </w:rPr>
              <w:t>瓦窑堡组基岩孔隙裂隙</w:t>
            </w:r>
            <w:r w:rsidRPr="00CC079C">
              <w:rPr>
                <w:szCs w:val="21"/>
              </w:rPr>
              <w:t>含水层；</w:t>
            </w:r>
            <w:r w:rsidRPr="00CC079C">
              <w:rPr>
                <w:rFonts w:hint="eastAsia"/>
                <w:szCs w:val="21"/>
              </w:rPr>
              <w:t>同时，</w:t>
            </w:r>
            <w:r w:rsidRPr="00CC079C">
              <w:rPr>
                <w:szCs w:val="21"/>
              </w:rPr>
              <w:t>瓦窑堡组</w:t>
            </w:r>
            <w:r w:rsidRPr="00CC079C">
              <w:rPr>
                <w:rFonts w:hint="eastAsia"/>
                <w:szCs w:val="21"/>
              </w:rPr>
              <w:t>上部有</w:t>
            </w:r>
            <w:r w:rsidRPr="00CC079C">
              <w:rPr>
                <w:szCs w:val="21"/>
              </w:rPr>
              <w:t>侏罗系下统富县组</w:t>
            </w:r>
            <w:r w:rsidRPr="00CC079C">
              <w:rPr>
                <w:rFonts w:hint="eastAsia"/>
                <w:szCs w:val="21"/>
              </w:rPr>
              <w:t>和</w:t>
            </w:r>
            <w:r w:rsidRPr="00CC079C">
              <w:rPr>
                <w:szCs w:val="21"/>
              </w:rPr>
              <w:t>新近系上新统保德组红土</w:t>
            </w:r>
            <w:r w:rsidRPr="00CC079C">
              <w:rPr>
                <w:rFonts w:hint="eastAsia"/>
                <w:szCs w:val="21"/>
              </w:rPr>
              <w:t>等相对隔水层，</w:t>
            </w:r>
            <w:r w:rsidRPr="00CC079C">
              <w:rPr>
                <w:szCs w:val="21"/>
              </w:rPr>
              <w:t>因此采煤对第四系潜水含水层影响较小。</w:t>
            </w:r>
          </w:p>
        </w:tc>
        <w:tc>
          <w:tcPr>
            <w:tcW w:w="2288" w:type="dxa"/>
            <w:tcBorders>
              <w:top w:val="single" w:sz="6" w:space="0" w:color="auto"/>
              <w:left w:val="single" w:sz="4" w:space="0" w:color="auto"/>
              <w:bottom w:val="single" w:sz="4" w:space="0" w:color="auto"/>
              <w:right w:val="single" w:sz="4" w:space="0" w:color="auto"/>
            </w:tcBorders>
            <w:vAlign w:val="center"/>
          </w:tcPr>
          <w:p w:rsidR="00C223F5" w:rsidRDefault="005860D5">
            <w:pPr>
              <w:pStyle w:val="24"/>
              <w:spacing w:line="240" w:lineRule="auto"/>
              <w:ind w:firstLineChars="0" w:firstLine="0"/>
              <w:jc w:val="center"/>
              <w:rPr>
                <w:rFonts w:hAnsi="宋体"/>
                <w:sz w:val="21"/>
                <w:szCs w:val="21"/>
              </w:rPr>
            </w:pPr>
            <w:r>
              <w:rPr>
                <w:rFonts w:hint="eastAsia"/>
                <w:spacing w:val="4"/>
                <w:sz w:val="21"/>
                <w:szCs w:val="21"/>
              </w:rPr>
              <w:t>基本无变化</w:t>
            </w:r>
          </w:p>
        </w:tc>
      </w:tr>
      <w:tr w:rsidR="00C223F5" w:rsidTr="00FF4A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jc w:val="center"/>
        </w:trPr>
        <w:tc>
          <w:tcPr>
            <w:tcW w:w="751" w:type="dxa"/>
            <w:tcBorders>
              <w:top w:val="single" w:sz="4" w:space="0" w:color="auto"/>
              <w:left w:val="single" w:sz="6" w:space="0" w:color="auto"/>
              <w:bottom w:val="single" w:sz="4" w:space="0" w:color="auto"/>
              <w:right w:val="single" w:sz="6" w:space="0" w:color="auto"/>
            </w:tcBorders>
            <w:tcMar>
              <w:left w:w="0" w:type="dxa"/>
              <w:right w:w="0" w:type="dxa"/>
            </w:tcMar>
            <w:vAlign w:val="center"/>
          </w:tcPr>
          <w:p w:rsidR="00C223F5" w:rsidRDefault="005860D5">
            <w:pPr>
              <w:jc w:val="center"/>
              <w:rPr>
                <w:szCs w:val="21"/>
              </w:rPr>
            </w:pPr>
            <w:r>
              <w:rPr>
                <w:rFonts w:hint="eastAsia"/>
                <w:szCs w:val="21"/>
              </w:rPr>
              <w:t>环境</w:t>
            </w:r>
          </w:p>
          <w:p w:rsidR="00C223F5" w:rsidRDefault="005860D5">
            <w:pPr>
              <w:jc w:val="center"/>
              <w:rPr>
                <w:szCs w:val="21"/>
              </w:rPr>
            </w:pPr>
            <w:r>
              <w:rPr>
                <w:rFonts w:hint="eastAsia"/>
                <w:szCs w:val="21"/>
              </w:rPr>
              <w:t>风险</w:t>
            </w:r>
          </w:p>
        </w:tc>
        <w:tc>
          <w:tcPr>
            <w:tcW w:w="1173" w:type="dxa"/>
            <w:tcBorders>
              <w:top w:val="single" w:sz="6" w:space="0" w:color="auto"/>
              <w:left w:val="single" w:sz="6" w:space="0" w:color="auto"/>
              <w:bottom w:val="single" w:sz="4" w:space="0" w:color="auto"/>
              <w:right w:val="single" w:sz="6" w:space="0" w:color="auto"/>
            </w:tcBorders>
            <w:tcMar>
              <w:left w:w="0" w:type="dxa"/>
              <w:right w:w="0" w:type="dxa"/>
            </w:tcMar>
            <w:vAlign w:val="center"/>
          </w:tcPr>
          <w:p w:rsidR="00C223F5" w:rsidRDefault="005860D5">
            <w:pPr>
              <w:adjustRightInd w:val="0"/>
              <w:snapToGrid w:val="0"/>
              <w:jc w:val="center"/>
              <w:rPr>
                <w:rFonts w:hAnsi="宋体"/>
                <w:szCs w:val="21"/>
              </w:rPr>
            </w:pPr>
            <w:r>
              <w:rPr>
                <w:rFonts w:hAnsi="宋体" w:hint="eastAsia"/>
                <w:szCs w:val="21"/>
              </w:rPr>
              <w:t>矸石场溃坝</w:t>
            </w:r>
          </w:p>
        </w:tc>
        <w:tc>
          <w:tcPr>
            <w:tcW w:w="5229" w:type="dxa"/>
            <w:tcBorders>
              <w:top w:val="single" w:sz="6" w:space="0" w:color="auto"/>
              <w:left w:val="single" w:sz="6" w:space="0" w:color="auto"/>
              <w:bottom w:val="single" w:sz="4" w:space="0" w:color="auto"/>
              <w:right w:val="single" w:sz="4" w:space="0" w:color="auto"/>
            </w:tcBorders>
            <w:tcMar>
              <w:left w:w="0" w:type="dxa"/>
              <w:right w:w="0" w:type="dxa"/>
            </w:tcMar>
            <w:vAlign w:val="center"/>
          </w:tcPr>
          <w:p w:rsidR="00C223F5" w:rsidRPr="00CC079C" w:rsidRDefault="005860D5">
            <w:pPr>
              <w:adjustRightInd w:val="0"/>
              <w:snapToGrid w:val="0"/>
              <w:rPr>
                <w:szCs w:val="21"/>
              </w:rPr>
            </w:pPr>
            <w:r w:rsidRPr="00CC079C">
              <w:rPr>
                <w:rFonts w:hint="eastAsia"/>
                <w:szCs w:val="21"/>
              </w:rPr>
              <w:t>矸石综合利用，利用不畅时在储煤场内堆存，无溃坝风险</w:t>
            </w:r>
          </w:p>
        </w:tc>
        <w:tc>
          <w:tcPr>
            <w:tcW w:w="5120" w:type="dxa"/>
            <w:gridSpan w:val="2"/>
            <w:tcBorders>
              <w:top w:val="single" w:sz="6" w:space="0" w:color="auto"/>
              <w:left w:val="single" w:sz="4" w:space="0" w:color="auto"/>
              <w:bottom w:val="single" w:sz="4" w:space="0" w:color="auto"/>
              <w:right w:val="single" w:sz="4" w:space="0" w:color="auto"/>
            </w:tcBorders>
            <w:vAlign w:val="center"/>
          </w:tcPr>
          <w:p w:rsidR="00C223F5" w:rsidRPr="00CC079C" w:rsidRDefault="00FF4AB0">
            <w:pPr>
              <w:adjustRightInd w:val="0"/>
              <w:snapToGrid w:val="0"/>
              <w:rPr>
                <w:rFonts w:hAnsi="宋体"/>
                <w:szCs w:val="21"/>
              </w:rPr>
            </w:pPr>
            <w:r w:rsidRPr="00CC079C">
              <w:rPr>
                <w:rFonts w:hint="eastAsia"/>
                <w:szCs w:val="21"/>
              </w:rPr>
              <w:t>工业场地内油脂库</w:t>
            </w:r>
            <w:r w:rsidR="00AB2C65">
              <w:rPr>
                <w:rFonts w:hint="eastAsia"/>
                <w:szCs w:val="21"/>
              </w:rPr>
              <w:t>及危废暂存间</w:t>
            </w:r>
            <w:r w:rsidRPr="00CC079C">
              <w:rPr>
                <w:rFonts w:hint="eastAsia"/>
                <w:szCs w:val="21"/>
              </w:rPr>
              <w:t>存在泄漏风险，鉴于储量小且采取防渗相关措施，风险影响小；</w:t>
            </w:r>
            <w:r w:rsidR="005860D5" w:rsidRPr="00CC079C">
              <w:rPr>
                <w:rFonts w:hint="eastAsia"/>
                <w:szCs w:val="21"/>
              </w:rPr>
              <w:t>筛选</w:t>
            </w:r>
            <w:r w:rsidR="005860D5" w:rsidRPr="00CC079C">
              <w:rPr>
                <w:szCs w:val="21"/>
              </w:rPr>
              <w:t>矸石综合利用，</w:t>
            </w:r>
            <w:r w:rsidR="005860D5" w:rsidRPr="00CC079C">
              <w:rPr>
                <w:rFonts w:hint="eastAsia"/>
                <w:szCs w:val="21"/>
              </w:rPr>
              <w:t>工业场地设矸石仓</w:t>
            </w:r>
            <w:r w:rsidR="005860D5" w:rsidRPr="00CC079C">
              <w:rPr>
                <w:rFonts w:hAnsi="宋体" w:hint="eastAsia"/>
                <w:szCs w:val="21"/>
              </w:rPr>
              <w:t>，不设置外排矸场，不存在溃坝风险</w:t>
            </w:r>
          </w:p>
        </w:tc>
        <w:tc>
          <w:tcPr>
            <w:tcW w:w="2288" w:type="dxa"/>
            <w:tcBorders>
              <w:top w:val="single" w:sz="6" w:space="0" w:color="auto"/>
              <w:left w:val="single" w:sz="4" w:space="0" w:color="auto"/>
              <w:bottom w:val="single" w:sz="4" w:space="0" w:color="auto"/>
              <w:right w:val="single" w:sz="4" w:space="0" w:color="auto"/>
            </w:tcBorders>
            <w:vAlign w:val="center"/>
          </w:tcPr>
          <w:p w:rsidR="00C223F5" w:rsidRDefault="005860D5">
            <w:pPr>
              <w:pStyle w:val="24"/>
              <w:spacing w:line="240" w:lineRule="auto"/>
              <w:ind w:firstLineChars="0" w:firstLine="0"/>
              <w:jc w:val="center"/>
              <w:rPr>
                <w:rFonts w:hAnsi="宋体"/>
                <w:sz w:val="21"/>
                <w:szCs w:val="21"/>
              </w:rPr>
            </w:pPr>
            <w:r>
              <w:rPr>
                <w:rFonts w:hAnsi="宋体" w:hint="eastAsia"/>
                <w:sz w:val="21"/>
                <w:szCs w:val="21"/>
              </w:rPr>
              <w:t>基本无变化</w:t>
            </w:r>
          </w:p>
        </w:tc>
      </w:tr>
    </w:tbl>
    <w:p w:rsidR="00C223F5" w:rsidRDefault="00C223F5">
      <w:pPr>
        <w:spacing w:line="360" w:lineRule="auto"/>
        <w:ind w:firstLineChars="200" w:firstLine="480"/>
        <w:rPr>
          <w:color w:val="FF0000"/>
          <w:sz w:val="24"/>
        </w:rPr>
        <w:sectPr w:rsidR="00C223F5" w:rsidSect="00FF4AB0">
          <w:pgSz w:w="16840" w:h="11907" w:orient="landscape"/>
          <w:pgMar w:top="1531" w:right="1440" w:bottom="1531" w:left="1440" w:header="851" w:footer="992" w:gutter="0"/>
          <w:cols w:space="425"/>
          <w:docGrid w:linePitch="312"/>
        </w:sectPr>
      </w:pPr>
    </w:p>
    <w:p w:rsidR="00AB2C65" w:rsidRDefault="00AB2C65" w:rsidP="004835BD">
      <w:pPr>
        <w:pStyle w:val="1"/>
        <w:numPr>
          <w:ilvl w:val="0"/>
          <w:numId w:val="0"/>
        </w:numPr>
        <w:spacing w:before="0" w:after="0" w:line="360" w:lineRule="auto"/>
        <w:sectPr w:rsidR="00AB2C65">
          <w:pgSz w:w="11907" w:h="16840"/>
          <w:pgMar w:top="1440" w:right="1701" w:bottom="1440" w:left="1701" w:header="851" w:footer="992" w:gutter="0"/>
          <w:cols w:space="425"/>
          <w:docGrid w:linePitch="312"/>
        </w:sectPr>
      </w:pPr>
      <w:bookmarkStart w:id="430" w:name="_Toc533604338"/>
      <w:bookmarkStart w:id="431" w:name="_Toc484519702"/>
      <w:bookmarkStart w:id="432" w:name="_Toc493246114"/>
      <w:bookmarkStart w:id="433" w:name="_Toc533604758"/>
      <w:bookmarkStart w:id="434" w:name="_Toc485195511"/>
    </w:p>
    <w:p w:rsidR="00C223F5" w:rsidRDefault="005860D5" w:rsidP="004835BD">
      <w:pPr>
        <w:pStyle w:val="1"/>
        <w:numPr>
          <w:ilvl w:val="0"/>
          <w:numId w:val="0"/>
        </w:numPr>
        <w:spacing w:before="0" w:after="0" w:line="360" w:lineRule="auto"/>
      </w:pPr>
      <w:bookmarkStart w:id="435" w:name="_Toc16785304"/>
      <w:r>
        <w:rPr>
          <w:rFonts w:hint="eastAsia"/>
        </w:rPr>
        <w:lastRenderedPageBreak/>
        <w:t>5</w:t>
      </w:r>
      <w:r>
        <w:rPr>
          <w:rFonts w:hint="eastAsia"/>
        </w:rPr>
        <w:t>环保措施及可行性论证</w:t>
      </w:r>
      <w:bookmarkEnd w:id="430"/>
      <w:bookmarkEnd w:id="431"/>
      <w:bookmarkEnd w:id="432"/>
      <w:bookmarkEnd w:id="433"/>
      <w:bookmarkEnd w:id="434"/>
      <w:bookmarkEnd w:id="435"/>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436" w:name="_Toc493246115"/>
      <w:bookmarkStart w:id="437" w:name="_Toc533604759"/>
      <w:bookmarkStart w:id="438" w:name="_Toc533604339"/>
      <w:bookmarkStart w:id="439" w:name="_Toc16785305"/>
      <w:r>
        <w:rPr>
          <w:rFonts w:ascii="Times New Roman" w:eastAsia="宋体" w:hAnsi="Times New Roman" w:hint="eastAsia"/>
          <w:b/>
          <w:bCs w:val="0"/>
          <w:szCs w:val="30"/>
        </w:rPr>
        <w:t>5</w:t>
      </w:r>
      <w:r>
        <w:rPr>
          <w:rFonts w:ascii="Times New Roman" w:eastAsia="宋体" w:hAnsi="Times New Roman"/>
          <w:b/>
          <w:bCs w:val="0"/>
          <w:szCs w:val="30"/>
        </w:rPr>
        <w:t>.</w:t>
      </w:r>
      <w:r>
        <w:rPr>
          <w:rFonts w:ascii="Times New Roman" w:eastAsia="宋体" w:hAnsi="Times New Roman" w:hint="eastAsia"/>
          <w:b/>
          <w:bCs w:val="0"/>
          <w:szCs w:val="30"/>
        </w:rPr>
        <w:t>1</w:t>
      </w:r>
      <w:r>
        <w:rPr>
          <w:rFonts w:ascii="Times New Roman" w:eastAsia="宋体" w:hAnsi="Times New Roman"/>
          <w:b/>
          <w:bCs w:val="0"/>
          <w:szCs w:val="30"/>
        </w:rPr>
        <w:t>生态环境综合保护、防治措施</w:t>
      </w:r>
      <w:bookmarkEnd w:id="436"/>
      <w:bookmarkEnd w:id="437"/>
      <w:bookmarkEnd w:id="438"/>
      <w:bookmarkEnd w:id="439"/>
    </w:p>
    <w:p w:rsidR="00C223F5" w:rsidRDefault="005860D5" w:rsidP="004835BD">
      <w:pPr>
        <w:pStyle w:val="3"/>
        <w:numPr>
          <w:ilvl w:val="0"/>
          <w:numId w:val="0"/>
        </w:numPr>
        <w:spacing w:before="0" w:after="0" w:line="360" w:lineRule="auto"/>
        <w:ind w:left="170"/>
        <w:rPr>
          <w:rFonts w:eastAsia="宋体"/>
          <w:b/>
          <w:bCs w:val="0"/>
          <w:sz w:val="28"/>
          <w:szCs w:val="28"/>
        </w:rPr>
      </w:pPr>
      <w:bookmarkStart w:id="440" w:name="_Toc493246116"/>
      <w:bookmarkStart w:id="441" w:name="_Toc533604340"/>
      <w:bookmarkStart w:id="442" w:name="_Toc533604760"/>
      <w:bookmarkStart w:id="443" w:name="_Toc16785306"/>
      <w:r>
        <w:rPr>
          <w:rFonts w:eastAsia="宋体" w:hint="eastAsia"/>
          <w:b/>
          <w:bCs w:val="0"/>
          <w:sz w:val="28"/>
          <w:szCs w:val="28"/>
        </w:rPr>
        <w:t>5.1.1</w:t>
      </w:r>
      <w:r>
        <w:rPr>
          <w:rFonts w:eastAsia="宋体"/>
          <w:b/>
          <w:bCs w:val="0"/>
          <w:sz w:val="28"/>
          <w:szCs w:val="28"/>
        </w:rPr>
        <w:t>保护、防治原则</w:t>
      </w:r>
      <w:bookmarkEnd w:id="440"/>
      <w:bookmarkEnd w:id="441"/>
      <w:bookmarkEnd w:id="442"/>
      <w:bookmarkEnd w:id="443"/>
    </w:p>
    <w:p w:rsidR="00C223F5" w:rsidRDefault="005860D5">
      <w:pPr>
        <w:spacing w:line="360" w:lineRule="auto"/>
        <w:ind w:firstLineChars="200" w:firstLine="480"/>
        <w:rPr>
          <w:sz w:val="24"/>
        </w:rPr>
      </w:pPr>
      <w:r>
        <w:rPr>
          <w:sz w:val="24"/>
        </w:rPr>
        <w:t>生态综合防治的原则是：</w:t>
      </w:r>
      <w:r>
        <w:rPr>
          <w:rFonts w:hint="eastAsia"/>
          <w:sz w:val="24"/>
        </w:rPr>
        <w:t>“</w:t>
      </w:r>
      <w:r>
        <w:rPr>
          <w:sz w:val="24"/>
        </w:rPr>
        <w:t>预防为主、防治结合、综合治理、谁污染、谁负责、谁开发、谁保护</w:t>
      </w:r>
      <w:r>
        <w:rPr>
          <w:rFonts w:hint="eastAsia"/>
          <w:sz w:val="24"/>
        </w:rPr>
        <w:t>”</w:t>
      </w:r>
      <w:r>
        <w:rPr>
          <w:sz w:val="24"/>
        </w:rPr>
        <w:t>，全面推行清洁生产，加强环境管理。</w:t>
      </w:r>
    </w:p>
    <w:p w:rsidR="00C223F5" w:rsidRDefault="005860D5">
      <w:pPr>
        <w:spacing w:line="360" w:lineRule="auto"/>
        <w:ind w:firstLineChars="200" w:firstLine="480"/>
        <w:rPr>
          <w:sz w:val="24"/>
        </w:rPr>
      </w:pPr>
      <w:r>
        <w:rPr>
          <w:sz w:val="24"/>
        </w:rPr>
        <w:t>突出重点，分区治理的原则。按照工程总体布置、施工特点、建设时序，地貌特征以及自然属性的特点分别进行整治</w:t>
      </w:r>
      <w:r>
        <w:rPr>
          <w:rFonts w:hint="eastAsia"/>
          <w:sz w:val="24"/>
        </w:rPr>
        <w:t>。</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444" w:name="_Toc533604761"/>
      <w:bookmarkStart w:id="445" w:name="_Toc493246117"/>
      <w:bookmarkStart w:id="446" w:name="_Toc533604341"/>
      <w:bookmarkStart w:id="447" w:name="_Toc16785307"/>
      <w:r>
        <w:rPr>
          <w:rFonts w:eastAsia="宋体" w:hint="eastAsia"/>
          <w:b/>
          <w:bCs w:val="0"/>
          <w:sz w:val="28"/>
          <w:szCs w:val="28"/>
        </w:rPr>
        <w:t>5.1.2</w:t>
      </w:r>
      <w:r>
        <w:rPr>
          <w:rFonts w:eastAsia="宋体"/>
          <w:b/>
          <w:bCs w:val="0"/>
          <w:sz w:val="28"/>
          <w:szCs w:val="28"/>
        </w:rPr>
        <w:t>生态综合保护、防治目标</w:t>
      </w:r>
      <w:bookmarkEnd w:id="444"/>
      <w:bookmarkEnd w:id="445"/>
      <w:bookmarkEnd w:id="446"/>
      <w:bookmarkEnd w:id="447"/>
    </w:p>
    <w:p w:rsidR="00C223F5" w:rsidRDefault="005860D5">
      <w:pPr>
        <w:spacing w:line="360" w:lineRule="auto"/>
        <w:ind w:firstLineChars="200" w:firstLine="480"/>
        <w:rPr>
          <w:sz w:val="24"/>
        </w:rPr>
      </w:pPr>
      <w:bookmarkStart w:id="448" w:name="_Toc493246119"/>
      <w:bookmarkStart w:id="449" w:name="_Toc533604342"/>
      <w:bookmarkStart w:id="450" w:name="_Toc533604762"/>
      <w:r>
        <w:rPr>
          <w:sz w:val="24"/>
        </w:rPr>
        <w:t>参照榆神、神东矿区生态恢复与整治的经验，结合井田生态环境现状和当地有关规划、要求，确定本项目生态综合整治目标：沉陷土地治理率</w:t>
      </w:r>
      <w:r>
        <w:rPr>
          <w:sz w:val="24"/>
        </w:rPr>
        <w:t>≥95%</w:t>
      </w:r>
      <w:r>
        <w:rPr>
          <w:sz w:val="24"/>
        </w:rPr>
        <w:t>；林草植被恢复系数</w:t>
      </w:r>
      <w:r>
        <w:rPr>
          <w:sz w:val="24"/>
        </w:rPr>
        <w:t>≥97%</w:t>
      </w:r>
      <w:r>
        <w:rPr>
          <w:sz w:val="24"/>
        </w:rPr>
        <w:t>；地表裂缝、沉陷台阶治理率</w:t>
      </w:r>
      <w:r>
        <w:rPr>
          <w:sz w:val="24"/>
        </w:rPr>
        <w:t>≥100%</w:t>
      </w:r>
      <w:r>
        <w:rPr>
          <w:sz w:val="24"/>
        </w:rPr>
        <w:t>；整治区林草覆盖率不低于现状。</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451" w:name="_Toc16785308"/>
      <w:r>
        <w:rPr>
          <w:rFonts w:eastAsia="宋体"/>
          <w:b/>
          <w:bCs w:val="0"/>
          <w:sz w:val="28"/>
          <w:szCs w:val="28"/>
        </w:rPr>
        <w:t>5.</w:t>
      </w:r>
      <w:r>
        <w:rPr>
          <w:rFonts w:eastAsia="宋体" w:hint="eastAsia"/>
          <w:b/>
          <w:bCs w:val="0"/>
          <w:sz w:val="28"/>
          <w:szCs w:val="28"/>
        </w:rPr>
        <w:t>1</w:t>
      </w:r>
      <w:r>
        <w:rPr>
          <w:rFonts w:eastAsia="宋体"/>
          <w:b/>
          <w:bCs w:val="0"/>
          <w:sz w:val="28"/>
          <w:szCs w:val="28"/>
        </w:rPr>
        <w:t>.</w:t>
      </w:r>
      <w:bookmarkEnd w:id="448"/>
      <w:r>
        <w:rPr>
          <w:rFonts w:eastAsia="宋体" w:hint="eastAsia"/>
          <w:b/>
          <w:bCs w:val="0"/>
          <w:sz w:val="28"/>
          <w:szCs w:val="28"/>
        </w:rPr>
        <w:t>3</w:t>
      </w:r>
      <w:bookmarkEnd w:id="449"/>
      <w:bookmarkEnd w:id="450"/>
      <w:r>
        <w:rPr>
          <w:rFonts w:eastAsia="宋体" w:hint="eastAsia"/>
          <w:b/>
          <w:bCs w:val="0"/>
          <w:sz w:val="28"/>
          <w:szCs w:val="28"/>
        </w:rPr>
        <w:t>营运期生态影响综合整治措施</w:t>
      </w:r>
      <w:bookmarkEnd w:id="451"/>
    </w:p>
    <w:p w:rsidR="00C223F5" w:rsidRDefault="005860D5" w:rsidP="004835BD">
      <w:pPr>
        <w:pStyle w:val="4"/>
        <w:spacing w:before="0" w:after="0" w:line="360" w:lineRule="auto"/>
        <w:ind w:firstLineChars="100" w:firstLine="240"/>
        <w:rPr>
          <w:szCs w:val="24"/>
        </w:rPr>
      </w:pPr>
      <w:r>
        <w:rPr>
          <w:szCs w:val="24"/>
        </w:rPr>
        <w:t>5.</w:t>
      </w:r>
      <w:r>
        <w:rPr>
          <w:rFonts w:hint="eastAsia"/>
          <w:szCs w:val="24"/>
        </w:rPr>
        <w:t>1</w:t>
      </w:r>
      <w:r>
        <w:rPr>
          <w:szCs w:val="24"/>
        </w:rPr>
        <w:t>.</w:t>
      </w:r>
      <w:r>
        <w:rPr>
          <w:rFonts w:hint="eastAsia"/>
          <w:szCs w:val="24"/>
        </w:rPr>
        <w:t>3</w:t>
      </w:r>
      <w:r>
        <w:rPr>
          <w:szCs w:val="24"/>
        </w:rPr>
        <w:t>.1</w:t>
      </w:r>
      <w:r>
        <w:rPr>
          <w:szCs w:val="24"/>
        </w:rPr>
        <w:t>地表沉陷防治、减缓与恢复措施</w:t>
      </w:r>
    </w:p>
    <w:p w:rsidR="00C223F5" w:rsidRDefault="005860D5">
      <w:pPr>
        <w:spacing w:line="360" w:lineRule="auto"/>
        <w:ind w:firstLineChars="200" w:firstLine="480"/>
        <w:rPr>
          <w:color w:val="000000"/>
          <w:sz w:val="24"/>
        </w:rPr>
      </w:pPr>
      <w:r>
        <w:rPr>
          <w:color w:val="000000"/>
          <w:sz w:val="24"/>
        </w:rPr>
        <w:t>根据地表沉陷预测结果，结合井田地质采矿条件和地表沉陷敏感目标的性质、分布情况，提出如下保护措施：</w:t>
      </w:r>
    </w:p>
    <w:p w:rsidR="00C223F5" w:rsidRDefault="005860D5">
      <w:pPr>
        <w:pStyle w:val="aff1"/>
        <w:tabs>
          <w:tab w:val="clear" w:pos="5781"/>
        </w:tabs>
        <w:spacing w:line="360" w:lineRule="auto"/>
        <w:ind w:left="0" w:firstLineChars="200" w:firstLine="480"/>
        <w:rPr>
          <w:szCs w:val="24"/>
        </w:rPr>
      </w:pPr>
      <w:r>
        <w:rPr>
          <w:rFonts w:hAnsi="宋体"/>
          <w:szCs w:val="24"/>
        </w:rPr>
        <w:t>（</w:t>
      </w:r>
      <w:r>
        <w:rPr>
          <w:szCs w:val="24"/>
        </w:rPr>
        <w:t>1</w:t>
      </w:r>
      <w:r>
        <w:rPr>
          <w:rFonts w:hAnsi="宋体"/>
          <w:szCs w:val="24"/>
        </w:rPr>
        <w:t>）</w:t>
      </w:r>
      <w:r>
        <w:rPr>
          <w:szCs w:val="24"/>
        </w:rPr>
        <w:t>在设计上已考虑对工业场地、井筒巷道、井田边界、</w:t>
      </w:r>
      <w:r>
        <w:rPr>
          <w:rFonts w:hint="eastAsia"/>
          <w:szCs w:val="24"/>
        </w:rPr>
        <w:t>油井及</w:t>
      </w:r>
      <w:r>
        <w:rPr>
          <w:szCs w:val="24"/>
        </w:rPr>
        <w:t>脱水站</w:t>
      </w:r>
      <w:r>
        <w:rPr>
          <w:rFonts w:hint="eastAsia"/>
          <w:szCs w:val="24"/>
        </w:rPr>
        <w:t>、村庄</w:t>
      </w:r>
      <w:r>
        <w:rPr>
          <w:szCs w:val="24"/>
        </w:rPr>
        <w:t>等留设保护煤柱。在矿井建设和生产中应严格按照设计要求留设保护煤柱，确保工业场地及开采区边界外附近村庄、建筑的安全。</w:t>
      </w:r>
      <w:r>
        <w:rPr>
          <w:rFonts w:hint="eastAsia"/>
          <w:szCs w:val="24"/>
        </w:rPr>
        <w:t>煤柱留设见</w:t>
      </w:r>
      <w:r>
        <w:rPr>
          <w:rFonts w:hint="eastAsia"/>
        </w:rPr>
        <w:t>4.2.1-1~</w:t>
      </w:r>
      <w:r>
        <w:rPr>
          <w:rFonts w:hint="eastAsia"/>
        </w:rPr>
        <w:t>图</w:t>
      </w:r>
      <w:r>
        <w:rPr>
          <w:rFonts w:hint="eastAsia"/>
        </w:rPr>
        <w:t>4.2.1-2</w:t>
      </w:r>
      <w:r>
        <w:rPr>
          <w:rFonts w:hint="eastAsia"/>
          <w:szCs w:val="24"/>
        </w:rPr>
        <w:t>。</w:t>
      </w:r>
    </w:p>
    <w:p w:rsidR="00C223F5" w:rsidRDefault="005860D5">
      <w:pPr>
        <w:spacing w:line="360" w:lineRule="auto"/>
        <w:ind w:firstLineChars="200" w:firstLine="480"/>
        <w:rPr>
          <w:rFonts w:hAnsi="宋体"/>
          <w:sz w:val="24"/>
        </w:rPr>
      </w:pPr>
      <w:r>
        <w:rPr>
          <w:rFonts w:hAnsi="宋体"/>
          <w:sz w:val="24"/>
        </w:rPr>
        <w:t>（</w:t>
      </w:r>
      <w:r>
        <w:rPr>
          <w:rFonts w:hint="eastAsia"/>
          <w:sz w:val="24"/>
        </w:rPr>
        <w:t>2</w:t>
      </w:r>
      <w:r>
        <w:rPr>
          <w:rFonts w:hAnsi="宋体"/>
          <w:sz w:val="24"/>
        </w:rPr>
        <w:t>）</w:t>
      </w:r>
      <w:r>
        <w:rPr>
          <w:rFonts w:hAnsi="宋体" w:hint="eastAsia"/>
          <w:sz w:val="24"/>
        </w:rPr>
        <w:t>环评要求</w:t>
      </w:r>
      <w:r>
        <w:rPr>
          <w:rFonts w:hint="eastAsia"/>
          <w:sz w:val="24"/>
        </w:rPr>
        <w:t>对井田开采区内的</w:t>
      </w:r>
      <w:r>
        <w:rPr>
          <w:rFonts w:hint="eastAsia"/>
          <w:sz w:val="24"/>
        </w:rPr>
        <w:t>750kV</w:t>
      </w:r>
      <w:r>
        <w:rPr>
          <w:rFonts w:hint="eastAsia"/>
          <w:sz w:val="24"/>
        </w:rPr>
        <w:t>洛横一、二线高压塔基留设保护煤柱，</w:t>
      </w:r>
      <w:r>
        <w:rPr>
          <w:sz w:val="24"/>
        </w:rPr>
        <w:t>对井田内低等级输变电线路、通讯线路、乡间道路采取</w:t>
      </w:r>
      <w:r>
        <w:rPr>
          <w:bCs/>
          <w:sz w:val="24"/>
        </w:rPr>
        <w:t>采前加固、</w:t>
      </w:r>
      <w:r>
        <w:rPr>
          <w:sz w:val="24"/>
        </w:rPr>
        <w:t>采后修复、维护或重修相结</w:t>
      </w:r>
      <w:r>
        <w:rPr>
          <w:rFonts w:hAnsi="宋体"/>
          <w:sz w:val="24"/>
        </w:rPr>
        <w:t>合的综合措施加以治理。</w:t>
      </w:r>
    </w:p>
    <w:p w:rsidR="00C223F5" w:rsidRDefault="005860D5">
      <w:pPr>
        <w:spacing w:line="360" w:lineRule="auto"/>
        <w:ind w:firstLineChars="200" w:firstLine="480"/>
        <w:rPr>
          <w:rFonts w:hAnsi="宋体"/>
          <w:sz w:val="24"/>
        </w:rPr>
      </w:pPr>
      <w:r>
        <w:rPr>
          <w:rFonts w:hAnsi="宋体"/>
          <w:sz w:val="24"/>
        </w:rPr>
        <w:t>（</w:t>
      </w:r>
      <w:r>
        <w:rPr>
          <w:rFonts w:hAnsi="宋体" w:hint="eastAsia"/>
          <w:sz w:val="24"/>
        </w:rPr>
        <w:t>3</w:t>
      </w:r>
      <w:r>
        <w:rPr>
          <w:rFonts w:hAnsi="宋体"/>
          <w:sz w:val="24"/>
        </w:rPr>
        <w:t>）</w:t>
      </w:r>
      <w:r>
        <w:rPr>
          <w:rFonts w:hint="eastAsia"/>
          <w:sz w:val="24"/>
        </w:rPr>
        <w:t>井田范围内重要交通设施包括</w:t>
      </w:r>
      <w:r>
        <w:rPr>
          <w:sz w:val="24"/>
        </w:rPr>
        <w:t>青银高速公路</w:t>
      </w:r>
      <w:r>
        <w:rPr>
          <w:rFonts w:hint="eastAsia"/>
          <w:sz w:val="24"/>
        </w:rPr>
        <w:t>（</w:t>
      </w:r>
      <w:r>
        <w:rPr>
          <w:rFonts w:hint="eastAsia"/>
          <w:sz w:val="24"/>
        </w:rPr>
        <w:t>G20</w:t>
      </w:r>
      <w:r>
        <w:rPr>
          <w:rFonts w:hint="eastAsia"/>
          <w:sz w:val="24"/>
        </w:rPr>
        <w:t>）、</w:t>
      </w:r>
      <w:r>
        <w:rPr>
          <w:rFonts w:hint="eastAsia"/>
          <w:sz w:val="24"/>
        </w:rPr>
        <w:t>G</w:t>
      </w:r>
      <w:r>
        <w:rPr>
          <w:sz w:val="24"/>
        </w:rPr>
        <w:t>307</w:t>
      </w:r>
      <w:r>
        <w:rPr>
          <w:sz w:val="24"/>
        </w:rPr>
        <w:t>国道</w:t>
      </w:r>
      <w:r>
        <w:rPr>
          <w:rFonts w:hint="eastAsia"/>
          <w:sz w:val="24"/>
        </w:rPr>
        <w:t>和</w:t>
      </w:r>
      <w:r>
        <w:rPr>
          <w:sz w:val="24"/>
        </w:rPr>
        <w:t>太（原）中（卫）银（川）铁路</w:t>
      </w:r>
      <w:r>
        <w:rPr>
          <w:rFonts w:hint="eastAsia"/>
          <w:sz w:val="24"/>
        </w:rPr>
        <w:t>。其中</w:t>
      </w:r>
      <w:r>
        <w:rPr>
          <w:sz w:val="24"/>
        </w:rPr>
        <w:t>青银高速公路</w:t>
      </w:r>
      <w:r>
        <w:rPr>
          <w:rFonts w:hint="eastAsia"/>
          <w:sz w:val="24"/>
        </w:rPr>
        <w:t>（</w:t>
      </w:r>
      <w:r>
        <w:rPr>
          <w:rFonts w:hint="eastAsia"/>
          <w:sz w:val="24"/>
        </w:rPr>
        <w:t>G20</w:t>
      </w:r>
      <w:r>
        <w:rPr>
          <w:rFonts w:hint="eastAsia"/>
          <w:sz w:val="24"/>
        </w:rPr>
        <w:t>）位于井田北部西北</w:t>
      </w:r>
      <w:r>
        <w:rPr>
          <w:rFonts w:hint="eastAsia"/>
          <w:sz w:val="24"/>
        </w:rPr>
        <w:t>-</w:t>
      </w:r>
      <w:r>
        <w:rPr>
          <w:rFonts w:hint="eastAsia"/>
          <w:sz w:val="24"/>
        </w:rPr>
        <w:t>东南方向贯穿井田，长度约</w:t>
      </w:r>
      <w:r>
        <w:rPr>
          <w:rFonts w:hint="eastAsia"/>
          <w:sz w:val="24"/>
        </w:rPr>
        <w:t>9.8km</w:t>
      </w:r>
      <w:r>
        <w:rPr>
          <w:rFonts w:hint="eastAsia"/>
          <w:sz w:val="24"/>
        </w:rPr>
        <w:t>；</w:t>
      </w:r>
      <w:r>
        <w:rPr>
          <w:rFonts w:hint="eastAsia"/>
          <w:sz w:val="24"/>
        </w:rPr>
        <w:t>G</w:t>
      </w:r>
      <w:r>
        <w:rPr>
          <w:sz w:val="24"/>
        </w:rPr>
        <w:t>307</w:t>
      </w:r>
      <w:r>
        <w:rPr>
          <w:sz w:val="24"/>
        </w:rPr>
        <w:t>国道</w:t>
      </w:r>
      <w:r>
        <w:rPr>
          <w:rFonts w:hint="eastAsia"/>
          <w:sz w:val="24"/>
        </w:rPr>
        <w:t>位于井田东部西南</w:t>
      </w:r>
      <w:r>
        <w:rPr>
          <w:rFonts w:hint="eastAsia"/>
          <w:sz w:val="24"/>
        </w:rPr>
        <w:t>-</w:t>
      </w:r>
      <w:r>
        <w:rPr>
          <w:rFonts w:hint="eastAsia"/>
          <w:sz w:val="24"/>
        </w:rPr>
        <w:t>东北方向贯穿，长约</w:t>
      </w:r>
      <w:r>
        <w:rPr>
          <w:rFonts w:hint="eastAsia"/>
          <w:sz w:val="24"/>
        </w:rPr>
        <w:t>8.5km</w:t>
      </w:r>
      <w:r>
        <w:rPr>
          <w:rFonts w:hint="eastAsia"/>
          <w:sz w:val="24"/>
        </w:rPr>
        <w:t>；</w:t>
      </w:r>
      <w:r>
        <w:rPr>
          <w:sz w:val="24"/>
        </w:rPr>
        <w:t>太（原）中（卫）银（川）铁路</w:t>
      </w:r>
      <w:r>
        <w:rPr>
          <w:rFonts w:hint="eastAsia"/>
          <w:sz w:val="24"/>
        </w:rPr>
        <w:t>位于井田中部东西方向贯穿，长约</w:t>
      </w:r>
      <w:r>
        <w:rPr>
          <w:rFonts w:hint="eastAsia"/>
          <w:sz w:val="24"/>
        </w:rPr>
        <w:t>7.6km</w:t>
      </w:r>
      <w:r>
        <w:rPr>
          <w:rFonts w:hint="eastAsia"/>
          <w:sz w:val="24"/>
        </w:rPr>
        <w:t>，有两个隧道斜井。设计均对上述重要交通设施留设保护煤柱</w:t>
      </w:r>
      <w:r>
        <w:rPr>
          <w:rFonts w:hAnsi="宋体" w:hint="eastAsia"/>
          <w:sz w:val="24"/>
        </w:rPr>
        <w:t>，井田内</w:t>
      </w:r>
      <w:r>
        <w:rPr>
          <w:rFonts w:hAnsi="宋体"/>
          <w:sz w:val="24"/>
        </w:rPr>
        <w:t>其他通往地方村庄和乡镇的小路，应采取“</w:t>
      </w:r>
      <w:r>
        <w:rPr>
          <w:rFonts w:hAnsi="宋体" w:hint="eastAsia"/>
          <w:sz w:val="24"/>
        </w:rPr>
        <w:t>随沉随修、采后重修相结合</w:t>
      </w:r>
      <w:r>
        <w:rPr>
          <w:rFonts w:hAnsi="宋体"/>
          <w:sz w:val="24"/>
        </w:rPr>
        <w:t>”的综合防治措施加以治理。</w:t>
      </w:r>
    </w:p>
    <w:p w:rsidR="00C223F5" w:rsidRDefault="005860D5">
      <w:pPr>
        <w:spacing w:line="360" w:lineRule="auto"/>
        <w:ind w:firstLineChars="200" w:firstLine="480"/>
        <w:rPr>
          <w:sz w:val="24"/>
        </w:rPr>
      </w:pPr>
      <w:r>
        <w:rPr>
          <w:rFonts w:hint="eastAsia"/>
          <w:sz w:val="24"/>
        </w:rPr>
        <w:t>（</w:t>
      </w:r>
      <w:r>
        <w:rPr>
          <w:rFonts w:hint="eastAsia"/>
          <w:sz w:val="24"/>
        </w:rPr>
        <w:t>4</w:t>
      </w:r>
      <w:r>
        <w:rPr>
          <w:rFonts w:hint="eastAsia"/>
          <w:sz w:val="24"/>
        </w:rPr>
        <w:t>）项目评价范围内有两处县级文物保护单位，其中</w:t>
      </w:r>
      <w:r>
        <w:rPr>
          <w:color w:val="000000"/>
          <w:kern w:val="0"/>
          <w:sz w:val="24"/>
        </w:rPr>
        <w:t>副玉帝老爷庙</w:t>
      </w:r>
      <w:r>
        <w:rPr>
          <w:rFonts w:hint="eastAsia"/>
          <w:sz w:val="24"/>
        </w:rPr>
        <w:t>位于场地</w:t>
      </w:r>
      <w:r>
        <w:rPr>
          <w:rFonts w:hint="eastAsia"/>
          <w:sz w:val="24"/>
        </w:rPr>
        <w:lastRenderedPageBreak/>
        <w:t>西南，蚂蚁河南岸，一盘区北边界外约</w:t>
      </w:r>
      <w:r>
        <w:rPr>
          <w:rFonts w:hint="eastAsia"/>
          <w:sz w:val="24"/>
        </w:rPr>
        <w:t>270m</w:t>
      </w:r>
      <w:r>
        <w:rPr>
          <w:rFonts w:hint="eastAsia"/>
          <w:sz w:val="24"/>
        </w:rPr>
        <w:t>处，不在煤炭开采范围内，不受采煤沉陷影响；</w:t>
      </w:r>
      <w:r>
        <w:rPr>
          <w:color w:val="000000"/>
          <w:kern w:val="0"/>
          <w:sz w:val="24"/>
        </w:rPr>
        <w:t>九龙山庙</w:t>
      </w:r>
      <w:r>
        <w:rPr>
          <w:rFonts w:hint="eastAsia"/>
          <w:sz w:val="24"/>
        </w:rPr>
        <w:t>位于井田中南部边界，距六盘区东南侧开采边界约</w:t>
      </w:r>
      <w:r>
        <w:rPr>
          <w:rFonts w:hint="eastAsia"/>
          <w:sz w:val="24"/>
        </w:rPr>
        <w:t>120m</w:t>
      </w:r>
      <w:r>
        <w:rPr>
          <w:rFonts w:hint="eastAsia"/>
          <w:sz w:val="24"/>
        </w:rPr>
        <w:t>，环评要求同大理河</w:t>
      </w:r>
      <w:r w:rsidR="00C64C93">
        <w:rPr>
          <w:rFonts w:hint="eastAsia"/>
          <w:sz w:val="24"/>
        </w:rPr>
        <w:t>湿地</w:t>
      </w:r>
      <w:r>
        <w:rPr>
          <w:rFonts w:hint="eastAsia"/>
          <w:sz w:val="24"/>
        </w:rPr>
        <w:t>一并留设保护煤柱，基本不受采煤沉陷影响。</w:t>
      </w:r>
    </w:p>
    <w:p w:rsidR="00C223F5" w:rsidRDefault="005860D5">
      <w:pPr>
        <w:pStyle w:val="aff1"/>
        <w:tabs>
          <w:tab w:val="clear" w:pos="5781"/>
        </w:tabs>
        <w:spacing w:line="360" w:lineRule="auto"/>
        <w:ind w:left="0" w:firstLineChars="200" w:firstLine="480"/>
      </w:pPr>
      <w:r>
        <w:rPr>
          <w:rFonts w:hint="eastAsia"/>
        </w:rPr>
        <w:t>（</w:t>
      </w:r>
      <w:r>
        <w:rPr>
          <w:rFonts w:hint="eastAsia"/>
        </w:rPr>
        <w:t>5</w:t>
      </w:r>
      <w:r>
        <w:rPr>
          <w:rFonts w:hint="eastAsia"/>
        </w:rPr>
        <w:t>）天云煤矿工业场地南侧，蚂蚁河由西北向东南穿过井田，该河流与工业场地一同留设保护煤柱；井田东部</w:t>
      </w:r>
      <w:r>
        <w:t>，</w:t>
      </w:r>
      <w:r>
        <w:rPr>
          <w:rFonts w:hint="eastAsia"/>
        </w:rPr>
        <w:t>有大理河及湿地</w:t>
      </w:r>
      <w:r>
        <w:t>由西南向东北穿过井田，井田内长</w:t>
      </w:r>
      <w:r>
        <w:t>9.</w:t>
      </w:r>
      <w:r>
        <w:rPr>
          <w:rFonts w:hint="eastAsia"/>
        </w:rPr>
        <w:t>7</w:t>
      </w:r>
      <w:r>
        <w:t>km</w:t>
      </w:r>
      <w:r>
        <w:rPr>
          <w:rFonts w:hint="eastAsia"/>
        </w:rPr>
        <w:t>，</w:t>
      </w:r>
      <w:r w:rsidR="00C64C93" w:rsidRPr="00BB780D">
        <w:rPr>
          <w:rFonts w:hint="eastAsia"/>
          <w:color w:val="FF0000"/>
        </w:rPr>
        <w:t>井田东部大理河下游区域为无煤区</w:t>
      </w:r>
      <w:r w:rsidR="00C64C93">
        <w:rPr>
          <w:rFonts w:hint="eastAsia"/>
          <w:color w:val="FF0000"/>
        </w:rPr>
        <w:t>，</w:t>
      </w:r>
      <w:r w:rsidR="00C64C93">
        <w:rPr>
          <w:rFonts w:hint="eastAsia"/>
        </w:rPr>
        <w:t>设计对</w:t>
      </w:r>
      <w:r w:rsidR="00C64C93" w:rsidRPr="00BB780D">
        <w:rPr>
          <w:rFonts w:hint="eastAsia"/>
          <w:color w:val="FF0000"/>
        </w:rPr>
        <w:t>大理河上游河段</w:t>
      </w:r>
      <w:r w:rsidR="00C64C93">
        <w:rPr>
          <w:rFonts w:hint="eastAsia"/>
          <w:color w:val="FF0000"/>
        </w:rPr>
        <w:t>及湿地</w:t>
      </w:r>
      <w:r w:rsidR="00C64C93" w:rsidRPr="00BB780D">
        <w:rPr>
          <w:rFonts w:hint="eastAsia"/>
          <w:color w:val="FF0000"/>
        </w:rPr>
        <w:t>已留设保护煤柱，不进行开采</w:t>
      </w:r>
      <w:r>
        <w:rPr>
          <w:rFonts w:hint="eastAsia"/>
        </w:rPr>
        <w:t>，湿地边界</w:t>
      </w:r>
      <w:r>
        <w:t>最近距采区边界约</w:t>
      </w:r>
      <w:r>
        <w:rPr>
          <w:rFonts w:hint="eastAsia"/>
        </w:rPr>
        <w:t>9</w:t>
      </w:r>
      <w:r>
        <w:t>0m</w:t>
      </w:r>
      <w:r>
        <w:rPr>
          <w:rFonts w:hint="eastAsia"/>
        </w:rPr>
        <w:t>；同时，环评要求对井田开采区内的石湾镇梁坪水库和麻地沟水库留设保护煤柱。采取上述措施后，采煤对地表水体影响轻微。</w:t>
      </w:r>
    </w:p>
    <w:p w:rsidR="00C223F5" w:rsidRDefault="005860D5">
      <w:pPr>
        <w:spacing w:line="360" w:lineRule="auto"/>
        <w:ind w:firstLineChars="200" w:firstLine="482"/>
        <w:rPr>
          <w:b/>
          <w:sz w:val="24"/>
        </w:rPr>
      </w:pPr>
      <w:r>
        <w:rPr>
          <w:b/>
          <w:sz w:val="24"/>
        </w:rPr>
        <w:t>（</w:t>
      </w:r>
      <w:r>
        <w:rPr>
          <w:rFonts w:hint="eastAsia"/>
          <w:b/>
          <w:sz w:val="24"/>
        </w:rPr>
        <w:t>6</w:t>
      </w:r>
      <w:r>
        <w:rPr>
          <w:b/>
          <w:sz w:val="24"/>
        </w:rPr>
        <w:t>）</w:t>
      </w:r>
      <w:r>
        <w:rPr>
          <w:b/>
          <w:sz w:val="24"/>
        </w:rPr>
        <w:t>“</w:t>
      </w:r>
      <w:r>
        <w:rPr>
          <w:b/>
          <w:sz w:val="24"/>
        </w:rPr>
        <w:t>采后恢复</w:t>
      </w:r>
      <w:r>
        <w:rPr>
          <w:b/>
          <w:sz w:val="24"/>
        </w:rPr>
        <w:t>”</w:t>
      </w:r>
      <w:r>
        <w:rPr>
          <w:b/>
          <w:sz w:val="24"/>
        </w:rPr>
        <w:t>措施</w:t>
      </w:r>
    </w:p>
    <w:p w:rsidR="00C223F5" w:rsidRDefault="005860D5">
      <w:pPr>
        <w:spacing w:line="360" w:lineRule="auto"/>
        <w:ind w:firstLineChars="200" w:firstLine="480"/>
        <w:rPr>
          <w:sz w:val="24"/>
        </w:rPr>
      </w:pPr>
      <w:r>
        <w:rPr>
          <w:sz w:val="24"/>
        </w:rPr>
        <w:t>因地表沉陷和变形而受到影响的地面建筑物、构筑物及民居建筑物等，均应组织人员及时维修和养护。</w:t>
      </w:r>
    </w:p>
    <w:p w:rsidR="00C223F5" w:rsidRDefault="005860D5">
      <w:pPr>
        <w:spacing w:line="360" w:lineRule="auto"/>
        <w:ind w:firstLineChars="200" w:firstLine="480"/>
        <w:rPr>
          <w:bCs/>
          <w:sz w:val="24"/>
        </w:rPr>
      </w:pPr>
      <w:r>
        <w:rPr>
          <w:sz w:val="24"/>
        </w:rPr>
        <w:t>因地表塌陷造成的农耕地、林木、通讯、水源设施等的破坏，矿方应根据具体</w:t>
      </w:r>
      <w:r>
        <w:rPr>
          <w:bCs/>
          <w:sz w:val="24"/>
        </w:rPr>
        <w:t>情况协助产权单位进行修复、补偿，必要时给受损者经济赔偿。</w:t>
      </w:r>
    </w:p>
    <w:p w:rsidR="00C223F5" w:rsidRDefault="005860D5">
      <w:pPr>
        <w:spacing w:line="360" w:lineRule="auto"/>
        <w:ind w:firstLineChars="200" w:firstLine="480"/>
        <w:rPr>
          <w:sz w:val="24"/>
        </w:rPr>
      </w:pPr>
      <w:r>
        <w:rPr>
          <w:sz w:val="24"/>
        </w:rPr>
        <w:t>对于井田内通讯线路、供电线路采取采前加固、采中纠偏和采后修复的措施；乡间道路等低等级公路采取随沉随填、填后夯实、采后修复、维护等综合防治措施加以治理，保证道路能正常通行</w:t>
      </w:r>
      <w:r>
        <w:rPr>
          <w:rFonts w:hint="eastAsia"/>
          <w:sz w:val="24"/>
        </w:rPr>
        <w:t>。</w:t>
      </w:r>
    </w:p>
    <w:p w:rsidR="00C223F5" w:rsidRDefault="005860D5">
      <w:pPr>
        <w:spacing w:line="360" w:lineRule="auto"/>
        <w:ind w:firstLineChars="200" w:firstLine="480"/>
        <w:rPr>
          <w:color w:val="000000"/>
          <w:sz w:val="24"/>
        </w:rPr>
      </w:pPr>
      <w:r>
        <w:rPr>
          <w:color w:val="000000"/>
          <w:sz w:val="24"/>
        </w:rPr>
        <w:t>（</w:t>
      </w:r>
      <w:r>
        <w:rPr>
          <w:rFonts w:hint="eastAsia"/>
          <w:color w:val="000000"/>
          <w:sz w:val="24"/>
        </w:rPr>
        <w:t>7</w:t>
      </w:r>
      <w:r>
        <w:rPr>
          <w:color w:val="000000"/>
          <w:sz w:val="24"/>
        </w:rPr>
        <w:t>）建立地表移动和沉陷观测站</w:t>
      </w:r>
    </w:p>
    <w:p w:rsidR="00C223F5" w:rsidRDefault="005860D5">
      <w:pPr>
        <w:spacing w:line="360" w:lineRule="auto"/>
        <w:ind w:firstLineChars="200" w:firstLine="480"/>
        <w:rPr>
          <w:color w:val="000000"/>
          <w:sz w:val="24"/>
        </w:rPr>
      </w:pPr>
      <w:r>
        <w:rPr>
          <w:color w:val="000000"/>
          <w:sz w:val="24"/>
        </w:rPr>
        <w:t>为掌握井田地表移动变形规律和岩层移动参数，为制定地表沉陷综合防治措施提供科学依据，矿井在投产前应设置地表移动变形观测站。该观测站可有效地为地面保护目标提供科学依据，指导矿方采取相应的保护措施。</w:t>
      </w:r>
    </w:p>
    <w:p w:rsidR="00C223F5" w:rsidRDefault="005860D5" w:rsidP="004835BD">
      <w:pPr>
        <w:pStyle w:val="4"/>
        <w:spacing w:before="0" w:after="0" w:line="360" w:lineRule="auto"/>
        <w:ind w:firstLineChars="100" w:firstLine="240"/>
        <w:rPr>
          <w:szCs w:val="24"/>
        </w:rPr>
      </w:pPr>
      <w:r>
        <w:rPr>
          <w:rFonts w:hint="eastAsia"/>
          <w:szCs w:val="24"/>
        </w:rPr>
        <w:t>5</w:t>
      </w:r>
      <w:r>
        <w:rPr>
          <w:szCs w:val="24"/>
        </w:rPr>
        <w:t>.</w:t>
      </w:r>
      <w:r>
        <w:rPr>
          <w:rFonts w:hint="eastAsia"/>
          <w:szCs w:val="24"/>
        </w:rPr>
        <w:t>1</w:t>
      </w:r>
      <w:r>
        <w:rPr>
          <w:szCs w:val="24"/>
        </w:rPr>
        <w:t>.</w:t>
      </w:r>
      <w:r>
        <w:rPr>
          <w:rFonts w:hint="eastAsia"/>
          <w:szCs w:val="24"/>
        </w:rPr>
        <w:t>3</w:t>
      </w:r>
      <w:r>
        <w:rPr>
          <w:szCs w:val="24"/>
        </w:rPr>
        <w:t>.</w:t>
      </w:r>
      <w:r>
        <w:rPr>
          <w:rFonts w:hint="eastAsia"/>
          <w:szCs w:val="24"/>
        </w:rPr>
        <w:t>2</w:t>
      </w:r>
      <w:r>
        <w:rPr>
          <w:szCs w:val="24"/>
        </w:rPr>
        <w:t>沉陷区土地整治、复垦</w:t>
      </w:r>
    </w:p>
    <w:p w:rsidR="00C223F5" w:rsidRDefault="005860D5" w:rsidP="00C006A7">
      <w:pPr>
        <w:spacing w:line="360" w:lineRule="auto"/>
        <w:ind w:firstLineChars="200" w:firstLine="482"/>
        <w:rPr>
          <w:b/>
          <w:color w:val="000000"/>
          <w:sz w:val="24"/>
        </w:rPr>
      </w:pPr>
      <w:r>
        <w:rPr>
          <w:b/>
          <w:color w:val="000000"/>
          <w:sz w:val="24"/>
        </w:rPr>
        <w:t>（一）沉陷区土地整治原则</w:t>
      </w:r>
    </w:p>
    <w:p w:rsidR="00C223F5" w:rsidRDefault="005860D5">
      <w:pPr>
        <w:spacing w:line="360" w:lineRule="auto"/>
        <w:ind w:firstLineChars="200" w:firstLine="480"/>
        <w:rPr>
          <w:color w:val="000000"/>
          <w:sz w:val="24"/>
        </w:rPr>
      </w:pPr>
      <w:r>
        <w:rPr>
          <w:color w:val="000000"/>
          <w:sz w:val="24"/>
        </w:rPr>
        <w:t>根据井田沉陷特征和土地利用规划，提出该井田沉陷区土地整治原则如下：</w:t>
      </w:r>
    </w:p>
    <w:p w:rsidR="00C223F5" w:rsidRDefault="005860D5">
      <w:pPr>
        <w:adjustRightInd w:val="0"/>
        <w:snapToGrid w:val="0"/>
        <w:spacing w:line="360" w:lineRule="auto"/>
        <w:ind w:firstLineChars="200" w:firstLine="480"/>
        <w:rPr>
          <w:color w:val="000000"/>
          <w:sz w:val="24"/>
        </w:rPr>
      </w:pPr>
      <w:r>
        <w:rPr>
          <w:color w:val="000000"/>
          <w:sz w:val="24"/>
        </w:rPr>
        <w:t>（</w:t>
      </w:r>
      <w:r>
        <w:rPr>
          <w:color w:val="000000"/>
          <w:sz w:val="24"/>
        </w:rPr>
        <w:t>1</w:t>
      </w:r>
      <w:r>
        <w:rPr>
          <w:color w:val="000000"/>
          <w:sz w:val="24"/>
        </w:rPr>
        <w:t>）土地复垦与矿井开采计划相结合，合理安排，实施边开采、边复垦、边利用；</w:t>
      </w:r>
    </w:p>
    <w:p w:rsidR="00C223F5" w:rsidRDefault="005860D5">
      <w:pPr>
        <w:adjustRightInd w:val="0"/>
        <w:snapToGrid w:val="0"/>
        <w:spacing w:line="360" w:lineRule="auto"/>
        <w:ind w:firstLineChars="200" w:firstLine="480"/>
        <w:rPr>
          <w:color w:val="000000"/>
          <w:sz w:val="24"/>
        </w:rPr>
      </w:pPr>
      <w:r>
        <w:rPr>
          <w:color w:val="000000"/>
          <w:sz w:val="24"/>
        </w:rPr>
        <w:t>（</w:t>
      </w:r>
      <w:r>
        <w:rPr>
          <w:color w:val="000000"/>
          <w:sz w:val="24"/>
        </w:rPr>
        <w:t>2</w:t>
      </w:r>
      <w:r>
        <w:rPr>
          <w:color w:val="000000"/>
          <w:sz w:val="24"/>
        </w:rPr>
        <w:t>）土地复垦与当地农业规划相结合，与气象、土壤条件相适应，与当地的城镇、道路等建设及生态环境保护统一规划，进行地区综合治理，与土地利用总体规划相协调，做到地区建设布局合理性和有利生产、生活，美化环境、促进生态良性循环；</w:t>
      </w:r>
    </w:p>
    <w:p w:rsidR="00C223F5" w:rsidRDefault="005860D5">
      <w:pPr>
        <w:adjustRightInd w:val="0"/>
        <w:snapToGrid w:val="0"/>
        <w:spacing w:line="360" w:lineRule="auto"/>
        <w:ind w:firstLineChars="200" w:firstLine="480"/>
        <w:rPr>
          <w:color w:val="000000"/>
          <w:sz w:val="24"/>
        </w:rPr>
      </w:pPr>
      <w:r>
        <w:rPr>
          <w:color w:val="000000"/>
          <w:sz w:val="24"/>
        </w:rPr>
        <w:lastRenderedPageBreak/>
        <w:t>（</w:t>
      </w:r>
      <w:r>
        <w:rPr>
          <w:color w:val="000000"/>
          <w:sz w:val="24"/>
        </w:rPr>
        <w:t>3</w:t>
      </w:r>
      <w:r>
        <w:rPr>
          <w:color w:val="000000"/>
          <w:sz w:val="24"/>
        </w:rPr>
        <w:t>）沉陷区复垦以非充填复垦为主，采取对沉陷区进行综合整治，充填堵塞裂缝、平整土地，植树造林和植被绿化等，恢复土地的使用能力；</w:t>
      </w:r>
    </w:p>
    <w:p w:rsidR="00C223F5" w:rsidRDefault="005860D5">
      <w:pPr>
        <w:adjustRightInd w:val="0"/>
        <w:snapToGrid w:val="0"/>
        <w:spacing w:line="360" w:lineRule="auto"/>
        <w:ind w:firstLineChars="200" w:firstLine="480"/>
        <w:rPr>
          <w:color w:val="000000"/>
          <w:sz w:val="24"/>
        </w:rPr>
      </w:pPr>
      <w:r>
        <w:rPr>
          <w:color w:val="000000"/>
          <w:sz w:val="24"/>
        </w:rPr>
        <w:t>（</w:t>
      </w:r>
      <w:r>
        <w:rPr>
          <w:color w:val="000000"/>
          <w:sz w:val="24"/>
        </w:rPr>
        <w:t>4</w:t>
      </w:r>
      <w:r>
        <w:rPr>
          <w:color w:val="000000"/>
          <w:sz w:val="24"/>
        </w:rPr>
        <w:t>）沉陷区的利用方向与当地农业规划相协调，主要发展当地的农经产业等；</w:t>
      </w:r>
    </w:p>
    <w:p w:rsidR="00C223F5" w:rsidRDefault="005860D5">
      <w:pPr>
        <w:adjustRightInd w:val="0"/>
        <w:snapToGrid w:val="0"/>
        <w:spacing w:line="360" w:lineRule="auto"/>
        <w:ind w:firstLineChars="200" w:firstLine="480"/>
        <w:rPr>
          <w:color w:val="000000"/>
          <w:sz w:val="24"/>
        </w:rPr>
      </w:pPr>
      <w:r>
        <w:rPr>
          <w:color w:val="000000"/>
          <w:sz w:val="24"/>
        </w:rPr>
        <w:t>（</w:t>
      </w:r>
      <w:r>
        <w:rPr>
          <w:color w:val="000000"/>
          <w:sz w:val="24"/>
        </w:rPr>
        <w:t>5</w:t>
      </w:r>
      <w:r>
        <w:rPr>
          <w:color w:val="000000"/>
          <w:sz w:val="24"/>
        </w:rPr>
        <w:t>）按照谁破坏，谁治理原则，</w:t>
      </w:r>
      <w:r>
        <w:rPr>
          <w:rFonts w:hint="eastAsia"/>
          <w:color w:val="000000"/>
          <w:sz w:val="24"/>
        </w:rPr>
        <w:t>天云</w:t>
      </w:r>
      <w:r>
        <w:rPr>
          <w:color w:val="000000"/>
          <w:sz w:val="24"/>
        </w:rPr>
        <w:t>井田土地整治责任主体为</w:t>
      </w:r>
      <w:r>
        <w:rPr>
          <w:rFonts w:hint="eastAsia"/>
          <w:color w:val="000000"/>
          <w:sz w:val="24"/>
        </w:rPr>
        <w:t>天云</w:t>
      </w:r>
      <w:r>
        <w:rPr>
          <w:color w:val="000000"/>
          <w:sz w:val="24"/>
        </w:rPr>
        <w:t>煤矿。</w:t>
      </w:r>
    </w:p>
    <w:p w:rsidR="00C223F5" w:rsidRDefault="005860D5" w:rsidP="00C006A7">
      <w:pPr>
        <w:adjustRightInd w:val="0"/>
        <w:snapToGrid w:val="0"/>
        <w:spacing w:line="360" w:lineRule="auto"/>
        <w:ind w:firstLineChars="200" w:firstLine="482"/>
        <w:rPr>
          <w:b/>
          <w:color w:val="000000"/>
          <w:sz w:val="24"/>
        </w:rPr>
      </w:pPr>
      <w:r>
        <w:rPr>
          <w:b/>
          <w:color w:val="000000"/>
          <w:sz w:val="24"/>
        </w:rPr>
        <w:t>（二）复垦组织实施</w:t>
      </w:r>
    </w:p>
    <w:p w:rsidR="00C223F5" w:rsidRDefault="005860D5">
      <w:pPr>
        <w:spacing w:line="360" w:lineRule="auto"/>
        <w:ind w:firstLineChars="200" w:firstLine="480"/>
        <w:rPr>
          <w:sz w:val="24"/>
        </w:rPr>
      </w:pPr>
      <w:r>
        <w:rPr>
          <w:color w:val="000000"/>
          <w:sz w:val="24"/>
        </w:rPr>
        <w:t>土地复垦方法：对不同类型沉陷土地应采取不同的治理方法进行综合整治。天云煤矿沉陷表现形式主要是地表裂缝和沉陷台阶，不会对当地地形地貌产生明显影响。生态恢复与综合整治主要是地表裂缝填堵与整治、对沉陷台阶进行土地平整，以恢复原土地功能，提高项目区植被覆</w:t>
      </w:r>
      <w:r>
        <w:rPr>
          <w:sz w:val="24"/>
        </w:rPr>
        <w:t>盖度，防治水土流失为目的。</w:t>
      </w:r>
    </w:p>
    <w:p w:rsidR="00C223F5" w:rsidRDefault="005860D5">
      <w:pPr>
        <w:spacing w:line="360" w:lineRule="auto"/>
        <w:ind w:firstLineChars="200" w:firstLine="480"/>
        <w:rPr>
          <w:sz w:val="24"/>
        </w:rPr>
      </w:pPr>
      <w:r>
        <w:rPr>
          <w:sz w:val="24"/>
        </w:rPr>
        <w:t>井田沉陷土地复垦的重点是耕地、林地、草地。土地复垦应根据当的土地利用规划的要求进行。按照井田开采计划和工作面推进情况，结合沉陷预测、土地破坏程序分析结果，分区域、分时段、分不同的复垦整治措施进行全井田沉陷区的综合整治，以提高治理方案的针对性，保证措施的真正落实。</w:t>
      </w:r>
    </w:p>
    <w:p w:rsidR="00C223F5" w:rsidRDefault="005860D5">
      <w:pPr>
        <w:spacing w:line="360" w:lineRule="auto"/>
        <w:ind w:firstLineChars="200" w:firstLine="480"/>
        <w:rPr>
          <w:sz w:val="24"/>
        </w:rPr>
      </w:pPr>
      <w:r>
        <w:rPr>
          <w:rFonts w:hint="eastAsia"/>
          <w:sz w:val="24"/>
        </w:rPr>
        <w:t>根据</w:t>
      </w:r>
      <w:r>
        <w:rPr>
          <w:sz w:val="24"/>
        </w:rPr>
        <w:t>红柳林矿井</w:t>
      </w:r>
      <w:r>
        <w:rPr>
          <w:rFonts w:hint="eastAsia"/>
          <w:sz w:val="24"/>
        </w:rPr>
        <w:t>等周边煤矿</w:t>
      </w:r>
      <w:r>
        <w:rPr>
          <w:sz w:val="24"/>
        </w:rPr>
        <w:t>生态恢复与治理措施调查，矿井</w:t>
      </w:r>
      <w:r>
        <w:rPr>
          <w:rFonts w:hint="eastAsia"/>
          <w:sz w:val="24"/>
        </w:rPr>
        <w:t>对沉陷区沉陷土地多采取人工治理和自然恢复相结合措施进行整治，人工恢复工作主要是对裂缝充填、台阶整平、土地整平和恢复植被（植树、种草等）。</w:t>
      </w:r>
    </w:p>
    <w:p w:rsidR="00C223F5" w:rsidRDefault="005860D5">
      <w:pPr>
        <w:spacing w:line="360" w:lineRule="auto"/>
        <w:ind w:firstLineChars="200" w:firstLine="480"/>
        <w:rPr>
          <w:color w:val="000000"/>
          <w:sz w:val="24"/>
        </w:rPr>
      </w:pPr>
      <w:r>
        <w:rPr>
          <w:color w:val="000000"/>
          <w:sz w:val="24"/>
        </w:rPr>
        <w:t>（</w:t>
      </w:r>
      <w:r>
        <w:rPr>
          <w:color w:val="000000"/>
          <w:sz w:val="24"/>
        </w:rPr>
        <w:t>1</w:t>
      </w:r>
      <w:r>
        <w:rPr>
          <w:color w:val="000000"/>
          <w:sz w:val="24"/>
        </w:rPr>
        <w:t>）沉陷耕地复垦</w:t>
      </w:r>
    </w:p>
    <w:p w:rsidR="00C223F5" w:rsidRDefault="005860D5">
      <w:pPr>
        <w:spacing w:line="360" w:lineRule="auto"/>
        <w:ind w:firstLineChars="200" w:firstLine="480"/>
        <w:rPr>
          <w:color w:val="000000"/>
          <w:sz w:val="24"/>
        </w:rPr>
      </w:pPr>
      <w:r>
        <w:rPr>
          <w:rFonts w:ascii="宋体" w:hAnsi="宋体" w:cs="宋体" w:hint="eastAsia"/>
          <w:color w:val="000000"/>
          <w:sz w:val="24"/>
        </w:rPr>
        <w:t>①</w:t>
      </w:r>
      <w:r>
        <w:rPr>
          <w:color w:val="000000"/>
          <w:sz w:val="24"/>
        </w:rPr>
        <w:t>轻度损害耕地复垦</w:t>
      </w:r>
    </w:p>
    <w:p w:rsidR="00C223F5" w:rsidRDefault="005860D5">
      <w:pPr>
        <w:spacing w:line="360" w:lineRule="auto"/>
        <w:ind w:firstLineChars="200" w:firstLine="480"/>
        <w:rPr>
          <w:color w:val="000000"/>
          <w:sz w:val="24"/>
        </w:rPr>
      </w:pPr>
      <w:r>
        <w:rPr>
          <w:color w:val="000000"/>
          <w:sz w:val="24"/>
        </w:rPr>
        <w:t>轻度损害耕地复垦措施以自然恢复为主、人工恢复为辅，人工恢复措施主要是填平裂缝、平整土坎。轻度损害耕地复垦一般由矿方同村委会签订协议，矿方出资，村委会方组织村民对沉陷耕地人工自行复垦。主要复垦作业是就近取土充填裂缝，因地制宜平整土地，恢复耕地的生产能力。一般由建设单位指派技术人员，负责与村委一起到受损耕地进行现场调查，现场确定受损耕地的范围、面积及类型，并负责与村委会签定复垦工程任务书。由村委组织村民按要求完成复垦工作。</w:t>
      </w:r>
    </w:p>
    <w:p w:rsidR="00C223F5" w:rsidRDefault="005860D5">
      <w:pPr>
        <w:spacing w:line="360" w:lineRule="auto"/>
        <w:ind w:firstLineChars="200" w:firstLine="480"/>
        <w:rPr>
          <w:color w:val="000000"/>
          <w:sz w:val="24"/>
        </w:rPr>
      </w:pPr>
      <w:r>
        <w:rPr>
          <w:rFonts w:ascii="宋体" w:hAnsi="宋体" w:cs="宋体" w:hint="eastAsia"/>
          <w:color w:val="000000"/>
          <w:sz w:val="24"/>
        </w:rPr>
        <w:t>②</w:t>
      </w:r>
      <w:r>
        <w:rPr>
          <w:color w:val="000000"/>
          <w:sz w:val="24"/>
        </w:rPr>
        <w:t>中度损害耕地复垦</w:t>
      </w:r>
    </w:p>
    <w:p w:rsidR="00C223F5" w:rsidRDefault="005860D5">
      <w:pPr>
        <w:spacing w:line="360" w:lineRule="auto"/>
        <w:ind w:firstLineChars="200" w:firstLine="480"/>
        <w:rPr>
          <w:color w:val="000000"/>
          <w:sz w:val="24"/>
        </w:rPr>
      </w:pPr>
      <w:r>
        <w:rPr>
          <w:color w:val="000000"/>
          <w:sz w:val="24"/>
        </w:rPr>
        <w:t>耕地在遭受中度损害时，其损害表现特征为裂缝宽度较大、深度较深、裂缝落差较大，土地复垦以充填裂缝和局部平整土地为主，复垦工艺见图</w:t>
      </w:r>
      <w:r>
        <w:rPr>
          <w:color w:val="000000"/>
          <w:sz w:val="24"/>
        </w:rPr>
        <w:t>5.1.3-</w:t>
      </w:r>
      <w:r>
        <w:rPr>
          <w:rFonts w:hint="eastAsia"/>
          <w:color w:val="000000"/>
          <w:sz w:val="24"/>
        </w:rPr>
        <w:t>1</w:t>
      </w:r>
      <w:r>
        <w:rPr>
          <w:color w:val="000000"/>
          <w:sz w:val="24"/>
        </w:rPr>
        <w:t>。对于中度区产生的裂缝，在沉陷不稳定时，应采取一些临时措施，如简单的推平沉陷台阶，平整土地，不影响耕种，在沉陷稳定后再采取永久的复垦措施。</w:t>
      </w:r>
    </w:p>
    <w:p w:rsidR="00C223F5" w:rsidRDefault="00C223F5">
      <w:pPr>
        <w:adjustRightInd w:val="0"/>
        <w:snapToGrid w:val="0"/>
        <w:ind w:firstLine="480"/>
        <w:rPr>
          <w:color w:val="000000"/>
          <w:szCs w:val="22"/>
        </w:rPr>
      </w:pPr>
    </w:p>
    <w:p w:rsidR="00C223F5" w:rsidRDefault="00C223F5">
      <w:pPr>
        <w:adjustRightInd w:val="0"/>
        <w:snapToGrid w:val="0"/>
        <w:ind w:firstLine="480"/>
        <w:jc w:val="left"/>
        <w:rPr>
          <w:color w:val="000000"/>
          <w:szCs w:val="22"/>
        </w:rPr>
      </w:pPr>
    </w:p>
    <w:p w:rsidR="00C223F5" w:rsidRDefault="003761EF">
      <w:pPr>
        <w:jc w:val="center"/>
        <w:rPr>
          <w:b/>
          <w:color w:val="000000"/>
          <w:szCs w:val="22"/>
        </w:rPr>
      </w:pPr>
      <w:r>
        <w:rPr>
          <w:b/>
          <w:noProof/>
          <w:color w:val="000000"/>
          <w:szCs w:val="22"/>
        </w:rPr>
        <w:pict>
          <v:group id="组合 1252" o:spid="_x0000_s1978" alt="" style="position:absolute;left:0;text-align:left;margin-left:13.45pt;margin-top:6.25pt;width:414pt;height:53.2pt;z-index:252167168" coordsize="8280,1064">
            <v:shape id="文本框 1214" o:spid="_x0000_s1979" type="#_x0000_t202" style="position:absolute;width:2220;height:344">
              <v:textbox style="mso-next-textbox:#文本框 1214" inset="0,.49997mm,0,0">
                <w:txbxContent>
                  <w:p w:rsidR="00BB1CC7" w:rsidRDefault="00BB1CC7" w:rsidP="00843E69">
                    <w:pPr>
                      <w:jc w:val="center"/>
                    </w:pPr>
                    <w:r>
                      <w:rPr>
                        <w:rFonts w:hint="eastAsia"/>
                      </w:rPr>
                      <w:t>剥离裂缝部位耕植土</w:t>
                    </w:r>
                  </w:p>
                </w:txbxContent>
              </v:textbox>
            </v:shape>
            <v:shape id="文本框 1214" o:spid="_x0000_s1980" type="#_x0000_t202" style="position:absolute;left:1;top:705;width:1845;height:344">
              <v:textbox inset="0,.49997mm,0,0">
                <w:txbxContent>
                  <w:p w:rsidR="00BB1CC7" w:rsidRDefault="00BB1CC7" w:rsidP="00843E69">
                    <w:pPr>
                      <w:ind w:firstLineChars="50" w:firstLine="105"/>
                      <w:jc w:val="center"/>
                    </w:pPr>
                    <w:r>
                      <w:rPr>
                        <w:rFonts w:hint="eastAsia"/>
                      </w:rPr>
                      <w:t>就近挖方取土</w:t>
                    </w:r>
                  </w:p>
                </w:txbxContent>
              </v:textbox>
            </v:shape>
            <v:shape id="文本框 1214" o:spid="_x0000_s1981" type="#_x0000_t202" style="position:absolute;left:4367;top:30;width:1289;height:344">
              <v:textbox inset="0,.49997mm,0,0">
                <w:txbxContent>
                  <w:p w:rsidR="00BB1CC7" w:rsidRDefault="00BB1CC7" w:rsidP="00843E69">
                    <w:pPr>
                      <w:ind w:firstLineChars="50" w:firstLine="105"/>
                    </w:pPr>
                    <w:r>
                      <w:rPr>
                        <w:rFonts w:hint="eastAsia"/>
                      </w:rPr>
                      <w:t>充填裂缝</w:t>
                    </w:r>
                  </w:p>
                </w:txbxContent>
              </v:textbox>
            </v:shape>
            <v:shape id="文本框 1214" o:spid="_x0000_s1982" type="#_x0000_t202" style="position:absolute;left:3091;top:720;width:1335;height:344">
              <v:textbox inset="0,.49997mm,0,0">
                <w:txbxContent>
                  <w:p w:rsidR="00BB1CC7" w:rsidRDefault="00BB1CC7" w:rsidP="00843E69">
                    <w:pPr>
                      <w:ind w:firstLineChars="50" w:firstLine="105"/>
                      <w:jc w:val="center"/>
                    </w:pPr>
                    <w:r>
                      <w:rPr>
                        <w:rFonts w:hint="eastAsia"/>
                      </w:rPr>
                      <w:t>装运土方</w:t>
                    </w:r>
                  </w:p>
                </w:txbxContent>
              </v:textbox>
            </v:shape>
            <v:shape id="文本框 1214" o:spid="_x0000_s1983" type="#_x0000_t202" style="position:absolute;left:6826;top:15;width:1454;height:344">
              <v:textbox inset="0,.49997mm,0,0">
                <w:txbxContent>
                  <w:p w:rsidR="00BB1CC7" w:rsidRDefault="00BB1CC7" w:rsidP="00843E69">
                    <w:pPr>
                      <w:ind w:firstLineChars="50" w:firstLine="105"/>
                      <w:jc w:val="center"/>
                    </w:pPr>
                    <w:r>
                      <w:rPr>
                        <w:rFonts w:hint="eastAsia"/>
                      </w:rPr>
                      <w:t>覆盖耕植土</w:t>
                    </w:r>
                  </w:p>
                </w:txbxContent>
              </v:textbox>
            </v:shape>
            <v:line id="直线 1223" o:spid="_x0000_s1984" style="position:absolute" from="2251,195" to="4366,196" strokeweight="1pt">
              <v:stroke endarrow="block" endarrowwidth="wide" endarrowlength="long"/>
            </v:line>
            <v:line id="直线 1223" o:spid="_x0000_s1985" style="position:absolute" from="5686,197" to="6811,198" strokeweight="1pt">
              <v:stroke endarrow="block" endarrowwidth="wide" endarrowlength="long"/>
            </v:line>
            <v:line id="直线 1223" o:spid="_x0000_s1986" style="position:absolute" from="1861,887" to="2986,888" strokeweight="1pt">
              <v:stroke endarrow="block" endarrowwidth="wide" endarrowlength="long"/>
            </v:line>
            <v:line id="直线 1229" o:spid="_x0000_s1987" style="position:absolute;flip:y" from="3540,209" to="3541,719" strokeweight="1pt">
              <v:stroke endarrow="block" endarrowwidth="wide" endarrowlength="long"/>
            </v:line>
          </v:group>
        </w:pict>
      </w:r>
    </w:p>
    <w:p w:rsidR="00C223F5" w:rsidRDefault="00C223F5">
      <w:pPr>
        <w:jc w:val="center"/>
        <w:rPr>
          <w:b/>
          <w:color w:val="000000"/>
          <w:szCs w:val="22"/>
        </w:rPr>
      </w:pPr>
    </w:p>
    <w:p w:rsidR="00C223F5" w:rsidRDefault="00C223F5">
      <w:pPr>
        <w:jc w:val="center"/>
        <w:rPr>
          <w:b/>
          <w:color w:val="000000"/>
          <w:szCs w:val="22"/>
        </w:rPr>
      </w:pPr>
    </w:p>
    <w:p w:rsidR="00C223F5" w:rsidRDefault="00C223F5">
      <w:pPr>
        <w:jc w:val="center"/>
        <w:rPr>
          <w:b/>
          <w:color w:val="000000"/>
          <w:szCs w:val="22"/>
        </w:rPr>
      </w:pPr>
    </w:p>
    <w:p w:rsidR="00C223F5" w:rsidRDefault="00C223F5">
      <w:pPr>
        <w:jc w:val="center"/>
        <w:rPr>
          <w:b/>
          <w:color w:val="000000"/>
          <w:szCs w:val="22"/>
        </w:rPr>
      </w:pPr>
    </w:p>
    <w:p w:rsidR="00C223F5" w:rsidRDefault="00C223F5">
      <w:pPr>
        <w:jc w:val="center"/>
        <w:rPr>
          <w:b/>
          <w:color w:val="000000"/>
          <w:szCs w:val="22"/>
        </w:rPr>
      </w:pPr>
    </w:p>
    <w:p w:rsidR="00C223F5" w:rsidRDefault="005860D5" w:rsidP="004835BD">
      <w:pPr>
        <w:spacing w:beforeLines="50" w:before="120" w:afterLines="50" w:after="120"/>
        <w:jc w:val="center"/>
        <w:rPr>
          <w:b/>
          <w:color w:val="000000"/>
          <w:sz w:val="24"/>
        </w:rPr>
      </w:pPr>
      <w:r>
        <w:rPr>
          <w:b/>
          <w:color w:val="000000"/>
          <w:sz w:val="24"/>
        </w:rPr>
        <w:t>图</w:t>
      </w:r>
      <w:r>
        <w:rPr>
          <w:b/>
          <w:color w:val="000000"/>
          <w:sz w:val="24"/>
        </w:rPr>
        <w:t>5.1.3-</w:t>
      </w:r>
      <w:r>
        <w:rPr>
          <w:rFonts w:hint="eastAsia"/>
          <w:b/>
          <w:color w:val="000000"/>
          <w:sz w:val="24"/>
        </w:rPr>
        <w:t xml:space="preserve">1  </w:t>
      </w:r>
      <w:r>
        <w:rPr>
          <w:b/>
          <w:color w:val="000000"/>
          <w:sz w:val="24"/>
        </w:rPr>
        <w:t xml:space="preserve"> </w:t>
      </w:r>
      <w:r>
        <w:rPr>
          <w:b/>
          <w:color w:val="000000"/>
          <w:sz w:val="24"/>
        </w:rPr>
        <w:t>耕地复垦工艺示意图</w:t>
      </w:r>
    </w:p>
    <w:p w:rsidR="00C223F5" w:rsidRDefault="005860D5">
      <w:pPr>
        <w:adjustRightInd w:val="0"/>
        <w:snapToGrid w:val="0"/>
        <w:spacing w:line="360" w:lineRule="auto"/>
        <w:ind w:firstLineChars="200" w:firstLine="480"/>
        <w:contextualSpacing/>
        <w:rPr>
          <w:color w:val="000000"/>
          <w:sz w:val="24"/>
        </w:rPr>
      </w:pPr>
      <w:r>
        <w:rPr>
          <w:color w:val="000000"/>
          <w:sz w:val="24"/>
        </w:rPr>
        <w:t>a</w:t>
      </w:r>
      <w:r>
        <w:rPr>
          <w:color w:val="000000"/>
          <w:sz w:val="24"/>
        </w:rPr>
        <w:t>剥离塌陷裂缝周围和需要削高垫低部位的耕植土就近堆放，剥离厚度</w:t>
      </w:r>
      <w:r>
        <w:rPr>
          <w:color w:val="000000"/>
          <w:sz w:val="24"/>
        </w:rPr>
        <w:t>0.3~0.4m</w:t>
      </w:r>
      <w:r>
        <w:rPr>
          <w:color w:val="000000"/>
          <w:sz w:val="24"/>
        </w:rPr>
        <w:t>，需要平整的削高垫低部位可在地块范围内目测确定；</w:t>
      </w:r>
    </w:p>
    <w:p w:rsidR="00C223F5" w:rsidRDefault="005860D5">
      <w:pPr>
        <w:adjustRightInd w:val="0"/>
        <w:snapToGrid w:val="0"/>
        <w:spacing w:line="360" w:lineRule="auto"/>
        <w:ind w:firstLineChars="200" w:firstLine="480"/>
        <w:contextualSpacing/>
        <w:rPr>
          <w:color w:val="000000"/>
          <w:sz w:val="24"/>
        </w:rPr>
      </w:pPr>
      <w:r>
        <w:rPr>
          <w:color w:val="000000"/>
          <w:sz w:val="24"/>
        </w:rPr>
        <w:t xml:space="preserve">b </w:t>
      </w:r>
      <w:r>
        <w:rPr>
          <w:color w:val="000000"/>
          <w:sz w:val="24"/>
        </w:rPr>
        <w:t>在复垦场地附近上坡方向选定无毒害、无污染土源，用机械或人工挖土取方，用机动车或人力车装运至充填点附近堆放；</w:t>
      </w:r>
    </w:p>
    <w:p w:rsidR="00C223F5" w:rsidRDefault="005860D5">
      <w:pPr>
        <w:adjustRightInd w:val="0"/>
        <w:snapToGrid w:val="0"/>
        <w:spacing w:line="360" w:lineRule="auto"/>
        <w:ind w:firstLineChars="200" w:firstLine="480"/>
        <w:contextualSpacing/>
        <w:rPr>
          <w:color w:val="000000"/>
          <w:sz w:val="24"/>
        </w:rPr>
      </w:pPr>
      <w:r>
        <w:rPr>
          <w:color w:val="000000"/>
          <w:sz w:val="24"/>
        </w:rPr>
        <w:t xml:space="preserve">c </w:t>
      </w:r>
      <w:r>
        <w:rPr>
          <w:color w:val="000000"/>
          <w:sz w:val="24"/>
        </w:rPr>
        <w:t>由堆放点用小平车或手推车取土充填裂缝，复垦场地削高垫低。裂缝充填到距地表</w:t>
      </w:r>
      <w:r>
        <w:rPr>
          <w:color w:val="000000"/>
          <w:sz w:val="24"/>
        </w:rPr>
        <w:t>1m</w:t>
      </w:r>
      <w:r>
        <w:rPr>
          <w:color w:val="000000"/>
          <w:sz w:val="24"/>
        </w:rPr>
        <w:t>左右时，每隔</w:t>
      </w:r>
      <w:r>
        <w:rPr>
          <w:color w:val="000000"/>
          <w:sz w:val="24"/>
        </w:rPr>
        <w:t>0.3m</w:t>
      </w:r>
      <w:r>
        <w:rPr>
          <w:color w:val="000000"/>
          <w:sz w:val="24"/>
        </w:rPr>
        <w:t>分层夯实，直至与地表平齐；</w:t>
      </w:r>
    </w:p>
    <w:p w:rsidR="00C223F5" w:rsidRDefault="005860D5">
      <w:pPr>
        <w:adjustRightInd w:val="0"/>
        <w:snapToGrid w:val="0"/>
        <w:spacing w:line="360" w:lineRule="auto"/>
        <w:ind w:firstLineChars="200" w:firstLine="480"/>
        <w:contextualSpacing/>
        <w:rPr>
          <w:color w:val="000000"/>
          <w:sz w:val="24"/>
        </w:rPr>
      </w:pPr>
      <w:r>
        <w:rPr>
          <w:color w:val="000000"/>
          <w:sz w:val="24"/>
        </w:rPr>
        <w:t xml:space="preserve">d </w:t>
      </w:r>
      <w:r>
        <w:rPr>
          <w:color w:val="000000"/>
          <w:sz w:val="24"/>
        </w:rPr>
        <w:t>在裂缝充填和削高垫底部位覆盖耕植土时，充填部位覆盖耕植土高度应比周围田面高出</w:t>
      </w:r>
      <w:r>
        <w:rPr>
          <w:color w:val="000000"/>
          <w:sz w:val="24"/>
        </w:rPr>
        <w:t>5~10cm</w:t>
      </w:r>
      <w:r>
        <w:rPr>
          <w:color w:val="000000"/>
          <w:sz w:val="24"/>
        </w:rPr>
        <w:t>，使其沉实后与其他田面齐平；</w:t>
      </w:r>
    </w:p>
    <w:p w:rsidR="00C223F5" w:rsidRDefault="005860D5">
      <w:pPr>
        <w:adjustRightInd w:val="0"/>
        <w:snapToGrid w:val="0"/>
        <w:spacing w:line="360" w:lineRule="auto"/>
        <w:ind w:firstLineChars="200" w:firstLine="480"/>
        <w:contextualSpacing/>
        <w:rPr>
          <w:color w:val="000000"/>
          <w:sz w:val="24"/>
        </w:rPr>
      </w:pPr>
      <w:r>
        <w:rPr>
          <w:color w:val="000000"/>
          <w:sz w:val="24"/>
        </w:rPr>
        <w:t xml:space="preserve">e </w:t>
      </w:r>
      <w:r>
        <w:rPr>
          <w:color w:val="000000"/>
          <w:sz w:val="24"/>
        </w:rPr>
        <w:t>整修被塌陷破坏的田坎地棱和水渠等排灌设施，恢复原有耕作条件；</w:t>
      </w:r>
    </w:p>
    <w:p w:rsidR="00C223F5" w:rsidRDefault="005860D5">
      <w:pPr>
        <w:adjustRightInd w:val="0"/>
        <w:snapToGrid w:val="0"/>
        <w:spacing w:line="360" w:lineRule="auto"/>
        <w:ind w:firstLineChars="200" w:firstLine="480"/>
        <w:contextualSpacing/>
        <w:rPr>
          <w:color w:val="000000"/>
          <w:sz w:val="24"/>
        </w:rPr>
      </w:pPr>
      <w:r>
        <w:rPr>
          <w:color w:val="000000"/>
          <w:sz w:val="24"/>
        </w:rPr>
        <w:t>f</w:t>
      </w:r>
      <w:r>
        <w:rPr>
          <w:color w:val="000000"/>
          <w:sz w:val="24"/>
        </w:rPr>
        <w:t>沉陷区水浇地灌溉水源为田间水井，垦过程中，农田灌溉设施必须纳入复垦内容，保证水浇地数量和质量不降低。采煤导致灌溉井</w:t>
      </w:r>
      <w:r>
        <w:rPr>
          <w:color w:val="000000"/>
          <w:sz w:val="24"/>
        </w:rPr>
        <w:t>“</w:t>
      </w:r>
      <w:r>
        <w:rPr>
          <w:color w:val="000000"/>
          <w:sz w:val="24"/>
        </w:rPr>
        <w:t>掉泵</w:t>
      </w:r>
      <w:r>
        <w:rPr>
          <w:color w:val="000000"/>
          <w:sz w:val="24"/>
        </w:rPr>
        <w:t>”</w:t>
      </w:r>
      <w:r>
        <w:rPr>
          <w:color w:val="000000"/>
          <w:sz w:val="24"/>
        </w:rPr>
        <w:t>或</w:t>
      </w:r>
      <w:r>
        <w:rPr>
          <w:color w:val="000000"/>
          <w:sz w:val="24"/>
        </w:rPr>
        <w:t>“</w:t>
      </w:r>
      <w:r>
        <w:rPr>
          <w:color w:val="000000"/>
          <w:sz w:val="24"/>
        </w:rPr>
        <w:t>干涸</w:t>
      </w:r>
      <w:r>
        <w:rPr>
          <w:color w:val="000000"/>
          <w:sz w:val="24"/>
        </w:rPr>
        <w:t>”</w:t>
      </w:r>
      <w:r>
        <w:rPr>
          <w:color w:val="000000"/>
          <w:sz w:val="24"/>
        </w:rPr>
        <w:t>等现象影响取水时，煤矿应采取加深水井或重打新井措施避免影响。对于受地表沉陷影响的灌渠，应及时修复。</w:t>
      </w:r>
    </w:p>
    <w:p w:rsidR="00C223F5" w:rsidRPr="004464F1" w:rsidRDefault="005860D5">
      <w:pPr>
        <w:adjustRightInd w:val="0"/>
        <w:snapToGrid w:val="0"/>
        <w:spacing w:line="360" w:lineRule="auto"/>
        <w:ind w:firstLineChars="200" w:firstLine="480"/>
        <w:contextualSpacing/>
        <w:rPr>
          <w:color w:val="FF0000"/>
          <w:sz w:val="24"/>
        </w:rPr>
      </w:pPr>
      <w:r>
        <w:rPr>
          <w:color w:val="000000"/>
          <w:sz w:val="24"/>
        </w:rPr>
        <w:t>由于中度损害区域土地复垦工艺较复杂，环评建设由建设单位负责实施，在实施前应由技术人员编制复垦设计方案，建设单位按照设计方案对损害土地进行复垦，所有费用由天云煤矿建设</w:t>
      </w:r>
      <w:r>
        <w:rPr>
          <w:sz w:val="24"/>
        </w:rPr>
        <w:t>单位承担，纳入生产成本。</w:t>
      </w:r>
      <w:r w:rsidR="004464F1" w:rsidRPr="004464F1">
        <w:rPr>
          <w:rFonts w:hint="eastAsia"/>
          <w:color w:val="FF0000"/>
          <w:sz w:val="24"/>
        </w:rPr>
        <w:t>此外，对于受采煤沉陷影响的基本农田，环评要求采取人工恢复的方式，整治复垦率为</w:t>
      </w:r>
      <w:r w:rsidR="004464F1" w:rsidRPr="004464F1">
        <w:rPr>
          <w:rFonts w:hint="eastAsia"/>
          <w:color w:val="FF0000"/>
          <w:sz w:val="24"/>
        </w:rPr>
        <w:t>100%</w:t>
      </w:r>
      <w:r w:rsidR="004464F1" w:rsidRPr="004464F1">
        <w:rPr>
          <w:rFonts w:hint="eastAsia"/>
          <w:color w:val="FF0000"/>
          <w:sz w:val="24"/>
        </w:rPr>
        <w:t>，保证基本农田质量不降低。</w:t>
      </w:r>
    </w:p>
    <w:p w:rsidR="00C223F5" w:rsidRDefault="005860D5">
      <w:pPr>
        <w:adjustRightInd w:val="0"/>
        <w:snapToGrid w:val="0"/>
        <w:spacing w:line="360" w:lineRule="auto"/>
        <w:ind w:firstLineChars="200" w:firstLine="480"/>
        <w:contextualSpacing/>
        <w:rPr>
          <w:kern w:val="0"/>
          <w:sz w:val="24"/>
        </w:rPr>
      </w:pPr>
      <w:r>
        <w:rPr>
          <w:kern w:val="0"/>
          <w:sz w:val="24"/>
        </w:rPr>
        <w:t>（</w:t>
      </w:r>
      <w:r>
        <w:rPr>
          <w:kern w:val="0"/>
          <w:sz w:val="24"/>
        </w:rPr>
        <w:t>2</w:t>
      </w:r>
      <w:r>
        <w:rPr>
          <w:kern w:val="0"/>
          <w:sz w:val="24"/>
        </w:rPr>
        <w:t>）林地整治措施</w:t>
      </w:r>
    </w:p>
    <w:p w:rsidR="00C223F5" w:rsidRDefault="005860D5">
      <w:pPr>
        <w:adjustRightInd w:val="0"/>
        <w:snapToGrid w:val="0"/>
        <w:spacing w:line="360" w:lineRule="auto"/>
        <w:ind w:firstLineChars="200" w:firstLine="480"/>
        <w:contextualSpacing/>
        <w:rPr>
          <w:kern w:val="0"/>
          <w:sz w:val="24"/>
        </w:rPr>
      </w:pPr>
      <w:r>
        <w:rPr>
          <w:kern w:val="0"/>
          <w:sz w:val="24"/>
        </w:rPr>
        <w:t>沉陷区林地的复垦采取两种方案：一是对倾斜的林木及时扶正，填补裂缝，保证正常生长；二是对沉陷较严重的地块，根据海拔、坡向、坡度、土壤质地、土层厚度等，采取适宜的整地措施，选择适宜树种进行补栽</w:t>
      </w:r>
      <w:r>
        <w:rPr>
          <w:rFonts w:hint="eastAsia"/>
          <w:kern w:val="0"/>
          <w:sz w:val="24"/>
        </w:rPr>
        <w:t>。参考</w:t>
      </w:r>
      <w:r>
        <w:rPr>
          <w:kern w:val="0"/>
          <w:sz w:val="24"/>
        </w:rPr>
        <w:t>红柳林矿井生态恢复经验，</w:t>
      </w:r>
      <w:r>
        <w:rPr>
          <w:rFonts w:hint="eastAsia"/>
          <w:kern w:val="0"/>
          <w:sz w:val="24"/>
        </w:rPr>
        <w:t>采取</w:t>
      </w:r>
      <w:r>
        <w:rPr>
          <w:kern w:val="0"/>
          <w:sz w:val="24"/>
        </w:rPr>
        <w:t>乔灌结合方式，增加植被覆盖度。乔木可选择杨树（小叶杨），灌木可选择沙柳、油蒿、柠条等当地适生树种。</w:t>
      </w:r>
    </w:p>
    <w:p w:rsidR="00C223F5" w:rsidRDefault="005860D5">
      <w:pPr>
        <w:adjustRightInd w:val="0"/>
        <w:snapToGrid w:val="0"/>
        <w:spacing w:line="360" w:lineRule="auto"/>
        <w:ind w:firstLineChars="200" w:firstLine="480"/>
        <w:contextualSpacing/>
        <w:rPr>
          <w:color w:val="000000"/>
          <w:kern w:val="0"/>
          <w:sz w:val="24"/>
        </w:rPr>
      </w:pPr>
      <w:r>
        <w:rPr>
          <w:color w:val="000000"/>
          <w:kern w:val="0"/>
          <w:sz w:val="24"/>
        </w:rPr>
        <w:lastRenderedPageBreak/>
        <w:t>（</w:t>
      </w:r>
      <w:r>
        <w:rPr>
          <w:color w:val="000000"/>
          <w:kern w:val="0"/>
          <w:sz w:val="24"/>
        </w:rPr>
        <w:t>3</w:t>
      </w:r>
      <w:r>
        <w:rPr>
          <w:color w:val="000000"/>
          <w:kern w:val="0"/>
          <w:sz w:val="24"/>
        </w:rPr>
        <w:t>）草地整治措施</w:t>
      </w:r>
    </w:p>
    <w:p w:rsidR="00C223F5" w:rsidRDefault="005860D5">
      <w:pPr>
        <w:adjustRightInd w:val="0"/>
        <w:snapToGrid w:val="0"/>
        <w:spacing w:line="360" w:lineRule="auto"/>
        <w:ind w:firstLineChars="200" w:firstLine="480"/>
        <w:contextualSpacing/>
        <w:rPr>
          <w:sz w:val="24"/>
        </w:rPr>
      </w:pPr>
      <w:r>
        <w:rPr>
          <w:bCs/>
          <w:color w:val="000000"/>
          <w:kern w:val="0"/>
          <w:sz w:val="24"/>
        </w:rPr>
        <w:t>草地全部复垦为原用地类型，设计采用人力补播的方法，在雨季来临后到入秋前，补播草籽，草籽撒播密度分别为轻度损毁区域</w:t>
      </w:r>
      <w:r>
        <w:rPr>
          <w:bCs/>
          <w:color w:val="000000"/>
          <w:kern w:val="0"/>
          <w:sz w:val="24"/>
        </w:rPr>
        <w:t>30kg/ hm</w:t>
      </w:r>
      <w:r>
        <w:rPr>
          <w:bCs/>
          <w:color w:val="000000"/>
          <w:kern w:val="0"/>
          <w:sz w:val="24"/>
          <w:vertAlign w:val="superscript"/>
        </w:rPr>
        <w:t>2</w:t>
      </w:r>
      <w:r>
        <w:rPr>
          <w:bCs/>
          <w:color w:val="000000"/>
          <w:kern w:val="0"/>
          <w:sz w:val="24"/>
        </w:rPr>
        <w:t>，中度损毁区域</w:t>
      </w:r>
      <w:r>
        <w:rPr>
          <w:bCs/>
          <w:color w:val="000000"/>
          <w:kern w:val="0"/>
          <w:sz w:val="24"/>
        </w:rPr>
        <w:t>35kg/ hm</w:t>
      </w:r>
      <w:r>
        <w:rPr>
          <w:bCs/>
          <w:color w:val="000000"/>
          <w:kern w:val="0"/>
          <w:sz w:val="24"/>
          <w:vertAlign w:val="superscript"/>
        </w:rPr>
        <w:t>2</w:t>
      </w:r>
      <w:r>
        <w:rPr>
          <w:bCs/>
          <w:color w:val="000000"/>
          <w:kern w:val="0"/>
          <w:sz w:val="24"/>
        </w:rPr>
        <w:t>。</w:t>
      </w:r>
      <w:r>
        <w:rPr>
          <w:color w:val="000000"/>
          <w:sz w:val="24"/>
        </w:rPr>
        <w:t>草种可选</w:t>
      </w:r>
      <w:r>
        <w:rPr>
          <w:sz w:val="24"/>
        </w:rPr>
        <w:t>择长芒草、狗尾草、苜蓿、沙蒿等当地适生草种。</w:t>
      </w:r>
    </w:p>
    <w:p w:rsidR="00C223F5" w:rsidRDefault="005860D5">
      <w:pPr>
        <w:adjustRightInd w:val="0"/>
        <w:snapToGrid w:val="0"/>
        <w:spacing w:line="360" w:lineRule="auto"/>
        <w:ind w:firstLineChars="200" w:firstLine="480"/>
        <w:contextualSpacing/>
        <w:rPr>
          <w:sz w:val="24"/>
        </w:rPr>
      </w:pPr>
      <w:r>
        <w:rPr>
          <w:sz w:val="24"/>
        </w:rPr>
        <w:t>（</w:t>
      </w:r>
      <w:r>
        <w:rPr>
          <w:sz w:val="24"/>
        </w:rPr>
        <w:t>4</w:t>
      </w:r>
      <w:r>
        <w:rPr>
          <w:sz w:val="24"/>
        </w:rPr>
        <w:t>）其它</w:t>
      </w:r>
    </w:p>
    <w:p w:rsidR="00C223F5" w:rsidRDefault="005860D5">
      <w:pPr>
        <w:adjustRightInd w:val="0"/>
        <w:snapToGrid w:val="0"/>
        <w:spacing w:line="360" w:lineRule="auto"/>
        <w:ind w:firstLineChars="200" w:firstLine="480"/>
        <w:contextualSpacing/>
        <w:rPr>
          <w:sz w:val="24"/>
        </w:rPr>
      </w:pPr>
      <w:r>
        <w:rPr>
          <w:rFonts w:hint="eastAsia"/>
          <w:sz w:val="24"/>
        </w:rPr>
        <w:t>对于部分</w:t>
      </w:r>
      <w:r>
        <w:rPr>
          <w:sz w:val="24"/>
        </w:rPr>
        <w:t>裸露</w:t>
      </w:r>
      <w:r>
        <w:rPr>
          <w:rFonts w:hint="eastAsia"/>
          <w:sz w:val="24"/>
        </w:rPr>
        <w:t>沙面</w:t>
      </w:r>
      <w:r>
        <w:rPr>
          <w:sz w:val="24"/>
        </w:rPr>
        <w:t>，</w:t>
      </w:r>
      <w:r>
        <w:rPr>
          <w:rFonts w:hint="eastAsia"/>
          <w:sz w:val="24"/>
        </w:rPr>
        <w:t>首先根据</w:t>
      </w:r>
      <w:r>
        <w:rPr>
          <w:sz w:val="24"/>
        </w:rPr>
        <w:t>影响程度，</w:t>
      </w:r>
      <w:r>
        <w:rPr>
          <w:rFonts w:hint="eastAsia"/>
          <w:sz w:val="24"/>
        </w:rPr>
        <w:t>进行</w:t>
      </w:r>
      <w:r>
        <w:rPr>
          <w:sz w:val="24"/>
        </w:rPr>
        <w:t>裂缝充填，</w:t>
      </w:r>
      <w:r>
        <w:rPr>
          <w:rFonts w:hint="eastAsia"/>
          <w:sz w:val="24"/>
        </w:rPr>
        <w:t>然后</w:t>
      </w:r>
      <w:r>
        <w:rPr>
          <w:sz w:val="24"/>
        </w:rPr>
        <w:t>采用</w:t>
      </w:r>
      <w:r>
        <w:rPr>
          <w:rFonts w:hint="eastAsia"/>
          <w:sz w:val="24"/>
        </w:rPr>
        <w:t>然后</w:t>
      </w:r>
      <w:r>
        <w:rPr>
          <w:sz w:val="24"/>
        </w:rPr>
        <w:t>采取草方格进行防风固沙。</w:t>
      </w:r>
    </w:p>
    <w:p w:rsidR="00C223F5" w:rsidRDefault="005860D5">
      <w:pPr>
        <w:spacing w:line="360" w:lineRule="auto"/>
        <w:ind w:firstLineChars="200" w:firstLine="480"/>
        <w:contextualSpacing/>
        <w:rPr>
          <w:color w:val="000000"/>
          <w:sz w:val="24"/>
        </w:rPr>
      </w:pPr>
      <w:r>
        <w:rPr>
          <w:color w:val="000000"/>
          <w:sz w:val="24"/>
        </w:rPr>
        <w:t>本井田沉陷整治方案见表</w:t>
      </w:r>
      <w:r>
        <w:rPr>
          <w:color w:val="000000"/>
          <w:sz w:val="24"/>
        </w:rPr>
        <w:t>5.1.3-</w:t>
      </w:r>
      <w:r>
        <w:rPr>
          <w:rFonts w:hint="eastAsia"/>
          <w:color w:val="000000"/>
          <w:sz w:val="24"/>
        </w:rPr>
        <w:t>1</w:t>
      </w:r>
      <w:r>
        <w:rPr>
          <w:color w:val="000000"/>
          <w:sz w:val="24"/>
        </w:rPr>
        <w:t>。</w:t>
      </w:r>
    </w:p>
    <w:p w:rsidR="00C223F5" w:rsidRDefault="005860D5">
      <w:pPr>
        <w:pStyle w:val="aff1"/>
        <w:tabs>
          <w:tab w:val="clear" w:pos="5781"/>
        </w:tabs>
        <w:spacing w:line="240" w:lineRule="auto"/>
        <w:ind w:leftChars="370" w:left="777" w:firstLineChars="784" w:firstLine="1889"/>
        <w:rPr>
          <w:b/>
          <w:color w:val="000000"/>
          <w:szCs w:val="24"/>
        </w:rPr>
      </w:pPr>
      <w:r>
        <w:rPr>
          <w:b/>
          <w:color w:val="000000"/>
          <w:szCs w:val="24"/>
        </w:rPr>
        <w:t>表</w:t>
      </w:r>
      <w:r>
        <w:rPr>
          <w:b/>
          <w:color w:val="000000"/>
          <w:szCs w:val="24"/>
        </w:rPr>
        <w:t xml:space="preserve">5.1.3-1 </w:t>
      </w:r>
      <w:r>
        <w:rPr>
          <w:b/>
          <w:color w:val="000000"/>
          <w:szCs w:val="24"/>
        </w:rPr>
        <w:t>沉陷区整治方案表</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34"/>
        <w:gridCol w:w="1618"/>
        <w:gridCol w:w="1275"/>
        <w:gridCol w:w="1418"/>
        <w:gridCol w:w="1380"/>
        <w:gridCol w:w="1672"/>
      </w:tblGrid>
      <w:tr w:rsidR="00C223F5" w:rsidTr="004464F1">
        <w:trPr>
          <w:trHeight w:val="303"/>
          <w:jc w:val="center"/>
        </w:trPr>
        <w:tc>
          <w:tcPr>
            <w:tcW w:w="1334" w:type="dxa"/>
            <w:vAlign w:val="center"/>
          </w:tcPr>
          <w:p w:rsidR="00C223F5" w:rsidRDefault="005860D5">
            <w:pPr>
              <w:pStyle w:val="affffff7"/>
              <w:rPr>
                <w:sz w:val="21"/>
                <w:szCs w:val="21"/>
              </w:rPr>
            </w:pPr>
            <w:r>
              <w:rPr>
                <w:sz w:val="21"/>
                <w:szCs w:val="21"/>
              </w:rPr>
              <w:t>影响程度</w:t>
            </w:r>
          </w:p>
        </w:tc>
        <w:tc>
          <w:tcPr>
            <w:tcW w:w="1618" w:type="dxa"/>
            <w:vAlign w:val="center"/>
          </w:tcPr>
          <w:p w:rsidR="00C223F5" w:rsidRDefault="005860D5">
            <w:pPr>
              <w:pStyle w:val="affffff7"/>
              <w:rPr>
                <w:sz w:val="21"/>
                <w:szCs w:val="21"/>
              </w:rPr>
            </w:pPr>
            <w:r>
              <w:rPr>
                <w:sz w:val="21"/>
                <w:szCs w:val="21"/>
              </w:rPr>
              <w:t>土地类型</w:t>
            </w:r>
          </w:p>
        </w:tc>
        <w:tc>
          <w:tcPr>
            <w:tcW w:w="1275" w:type="dxa"/>
            <w:vAlign w:val="center"/>
          </w:tcPr>
          <w:p w:rsidR="00C223F5" w:rsidRDefault="005860D5">
            <w:pPr>
              <w:pStyle w:val="affffff7"/>
              <w:rPr>
                <w:sz w:val="21"/>
                <w:szCs w:val="21"/>
              </w:rPr>
            </w:pPr>
            <w:r>
              <w:rPr>
                <w:sz w:val="21"/>
                <w:szCs w:val="21"/>
              </w:rPr>
              <w:t>面积</w:t>
            </w:r>
          </w:p>
          <w:p w:rsidR="00C223F5" w:rsidRDefault="005860D5">
            <w:pPr>
              <w:pStyle w:val="affffff7"/>
              <w:rPr>
                <w:sz w:val="21"/>
                <w:szCs w:val="21"/>
              </w:rPr>
            </w:pPr>
            <w:r>
              <w:rPr>
                <w:sz w:val="21"/>
                <w:szCs w:val="21"/>
              </w:rPr>
              <w:t>（</w:t>
            </w:r>
            <w:r>
              <w:rPr>
                <w:sz w:val="21"/>
                <w:szCs w:val="21"/>
              </w:rPr>
              <w:t>hm</w:t>
            </w:r>
            <w:r>
              <w:rPr>
                <w:sz w:val="21"/>
                <w:szCs w:val="21"/>
                <w:vertAlign w:val="superscript"/>
              </w:rPr>
              <w:t>2</w:t>
            </w:r>
            <w:r>
              <w:rPr>
                <w:sz w:val="21"/>
                <w:szCs w:val="21"/>
              </w:rPr>
              <w:t>）</w:t>
            </w:r>
          </w:p>
        </w:tc>
        <w:tc>
          <w:tcPr>
            <w:tcW w:w="1418" w:type="dxa"/>
            <w:vAlign w:val="center"/>
          </w:tcPr>
          <w:p w:rsidR="00C223F5" w:rsidRDefault="005860D5">
            <w:pPr>
              <w:pStyle w:val="affffff7"/>
              <w:rPr>
                <w:sz w:val="21"/>
                <w:szCs w:val="21"/>
              </w:rPr>
            </w:pPr>
            <w:r>
              <w:rPr>
                <w:sz w:val="21"/>
                <w:szCs w:val="21"/>
              </w:rPr>
              <w:t>比例</w:t>
            </w:r>
          </w:p>
          <w:p w:rsidR="00C223F5" w:rsidRDefault="005860D5">
            <w:pPr>
              <w:pStyle w:val="affffff7"/>
              <w:rPr>
                <w:sz w:val="21"/>
                <w:szCs w:val="21"/>
              </w:rPr>
            </w:pPr>
            <w:r>
              <w:rPr>
                <w:sz w:val="21"/>
                <w:szCs w:val="21"/>
              </w:rPr>
              <w:t>（％）</w:t>
            </w:r>
          </w:p>
        </w:tc>
        <w:tc>
          <w:tcPr>
            <w:tcW w:w="1380" w:type="dxa"/>
          </w:tcPr>
          <w:p w:rsidR="00C223F5" w:rsidRDefault="005860D5">
            <w:pPr>
              <w:pStyle w:val="affffff7"/>
              <w:rPr>
                <w:sz w:val="21"/>
                <w:szCs w:val="21"/>
              </w:rPr>
            </w:pPr>
            <w:r>
              <w:rPr>
                <w:sz w:val="21"/>
                <w:szCs w:val="21"/>
              </w:rPr>
              <w:t>整治</w:t>
            </w:r>
          </w:p>
          <w:p w:rsidR="00C223F5" w:rsidRDefault="005860D5">
            <w:pPr>
              <w:pStyle w:val="affffff7"/>
              <w:rPr>
                <w:sz w:val="21"/>
                <w:szCs w:val="21"/>
              </w:rPr>
            </w:pPr>
            <w:r>
              <w:rPr>
                <w:sz w:val="21"/>
                <w:szCs w:val="21"/>
              </w:rPr>
              <w:t>内容</w:t>
            </w:r>
          </w:p>
        </w:tc>
        <w:tc>
          <w:tcPr>
            <w:tcW w:w="1672" w:type="dxa"/>
          </w:tcPr>
          <w:p w:rsidR="00C223F5" w:rsidRDefault="005860D5">
            <w:pPr>
              <w:pStyle w:val="affffff7"/>
              <w:rPr>
                <w:sz w:val="21"/>
                <w:szCs w:val="21"/>
              </w:rPr>
            </w:pPr>
            <w:r>
              <w:rPr>
                <w:sz w:val="21"/>
                <w:szCs w:val="21"/>
              </w:rPr>
              <w:t>恢复</w:t>
            </w:r>
          </w:p>
          <w:p w:rsidR="00C223F5" w:rsidRDefault="005860D5">
            <w:pPr>
              <w:pStyle w:val="affffff7"/>
              <w:rPr>
                <w:sz w:val="21"/>
                <w:szCs w:val="21"/>
              </w:rPr>
            </w:pPr>
            <w:r>
              <w:rPr>
                <w:sz w:val="21"/>
                <w:szCs w:val="21"/>
              </w:rPr>
              <w:t>措施</w:t>
            </w:r>
          </w:p>
        </w:tc>
      </w:tr>
      <w:tr w:rsidR="00C223F5" w:rsidTr="004464F1">
        <w:trPr>
          <w:trHeight w:val="227"/>
          <w:jc w:val="center"/>
        </w:trPr>
        <w:tc>
          <w:tcPr>
            <w:tcW w:w="1334" w:type="dxa"/>
            <w:vMerge w:val="restart"/>
            <w:vAlign w:val="center"/>
          </w:tcPr>
          <w:p w:rsidR="00C223F5" w:rsidRDefault="005860D5">
            <w:pPr>
              <w:pStyle w:val="affffff7"/>
              <w:rPr>
                <w:sz w:val="21"/>
                <w:szCs w:val="21"/>
              </w:rPr>
            </w:pPr>
            <w:r>
              <w:rPr>
                <w:sz w:val="21"/>
                <w:szCs w:val="21"/>
              </w:rPr>
              <w:t>轻微</w:t>
            </w:r>
          </w:p>
          <w:p w:rsidR="00C223F5" w:rsidRDefault="005860D5">
            <w:pPr>
              <w:pStyle w:val="affffff7"/>
              <w:rPr>
                <w:sz w:val="21"/>
                <w:szCs w:val="21"/>
              </w:rPr>
            </w:pPr>
            <w:r>
              <w:rPr>
                <w:sz w:val="21"/>
                <w:szCs w:val="21"/>
              </w:rPr>
              <w:t>影响区</w:t>
            </w:r>
          </w:p>
        </w:tc>
        <w:tc>
          <w:tcPr>
            <w:tcW w:w="1618" w:type="dxa"/>
            <w:vAlign w:val="center"/>
          </w:tcPr>
          <w:p w:rsidR="00C223F5" w:rsidRDefault="005860D5">
            <w:pPr>
              <w:jc w:val="center"/>
              <w:rPr>
                <w:rFonts w:eastAsiaTheme="minorEastAsia"/>
                <w:szCs w:val="21"/>
              </w:rPr>
            </w:pPr>
            <w:r>
              <w:rPr>
                <w:rFonts w:eastAsiaTheme="minorEastAsia" w:hAnsiTheme="minorEastAsia"/>
                <w:szCs w:val="21"/>
              </w:rPr>
              <w:t>基本农田</w:t>
            </w:r>
          </w:p>
        </w:tc>
        <w:tc>
          <w:tcPr>
            <w:tcW w:w="1275" w:type="dxa"/>
            <w:vAlign w:val="center"/>
          </w:tcPr>
          <w:p w:rsidR="00C223F5" w:rsidRDefault="005860D5">
            <w:pPr>
              <w:jc w:val="center"/>
              <w:rPr>
                <w:rFonts w:eastAsiaTheme="minorEastAsia"/>
                <w:szCs w:val="21"/>
              </w:rPr>
            </w:pPr>
            <w:r>
              <w:rPr>
                <w:rFonts w:eastAsiaTheme="minorEastAsia"/>
                <w:szCs w:val="21"/>
              </w:rPr>
              <w:t>10.47</w:t>
            </w:r>
          </w:p>
        </w:tc>
        <w:tc>
          <w:tcPr>
            <w:tcW w:w="1418" w:type="dxa"/>
            <w:vAlign w:val="center"/>
          </w:tcPr>
          <w:p w:rsidR="00C223F5" w:rsidRDefault="005860D5">
            <w:pPr>
              <w:widowControl/>
              <w:jc w:val="center"/>
              <w:rPr>
                <w:color w:val="000000"/>
                <w:kern w:val="0"/>
                <w:szCs w:val="21"/>
              </w:rPr>
            </w:pPr>
            <w:r>
              <w:rPr>
                <w:rFonts w:hint="eastAsia"/>
                <w:color w:val="000000"/>
                <w:kern w:val="0"/>
                <w:szCs w:val="21"/>
              </w:rPr>
              <w:t>26.54</w:t>
            </w:r>
          </w:p>
        </w:tc>
        <w:tc>
          <w:tcPr>
            <w:tcW w:w="1380" w:type="dxa"/>
            <w:vMerge w:val="restart"/>
            <w:vAlign w:val="center"/>
          </w:tcPr>
          <w:p w:rsidR="00C223F5" w:rsidRDefault="005860D5">
            <w:pPr>
              <w:pStyle w:val="affffff7"/>
              <w:rPr>
                <w:sz w:val="21"/>
                <w:szCs w:val="21"/>
              </w:rPr>
            </w:pPr>
            <w:r>
              <w:rPr>
                <w:sz w:val="21"/>
                <w:szCs w:val="21"/>
              </w:rPr>
              <w:t>植被自然恢复</w:t>
            </w:r>
          </w:p>
          <w:p w:rsidR="004464F1" w:rsidRPr="004464F1" w:rsidRDefault="004464F1">
            <w:pPr>
              <w:pStyle w:val="affffff7"/>
              <w:rPr>
                <w:color w:val="FF0000"/>
                <w:sz w:val="21"/>
                <w:szCs w:val="21"/>
              </w:rPr>
            </w:pPr>
            <w:r w:rsidRPr="004464F1">
              <w:rPr>
                <w:rFonts w:hint="eastAsia"/>
                <w:color w:val="FF0000"/>
                <w:sz w:val="21"/>
                <w:szCs w:val="21"/>
              </w:rPr>
              <w:t>（基本农田要求进行人工恢复）</w:t>
            </w:r>
          </w:p>
        </w:tc>
        <w:tc>
          <w:tcPr>
            <w:tcW w:w="1672" w:type="dxa"/>
            <w:vMerge w:val="restart"/>
            <w:vAlign w:val="center"/>
          </w:tcPr>
          <w:p w:rsidR="00C223F5" w:rsidRDefault="005860D5">
            <w:pPr>
              <w:pStyle w:val="affffff7"/>
              <w:rPr>
                <w:sz w:val="21"/>
                <w:szCs w:val="21"/>
              </w:rPr>
            </w:pPr>
            <w:r>
              <w:rPr>
                <w:sz w:val="21"/>
                <w:szCs w:val="21"/>
              </w:rPr>
              <w:t>以自然恢复为主，辅以人工措施</w:t>
            </w:r>
          </w:p>
          <w:p w:rsidR="004464F1" w:rsidRPr="004464F1" w:rsidRDefault="004464F1">
            <w:pPr>
              <w:pStyle w:val="affffff7"/>
              <w:rPr>
                <w:color w:val="FF0000"/>
                <w:sz w:val="21"/>
                <w:szCs w:val="21"/>
              </w:rPr>
            </w:pPr>
            <w:r w:rsidRPr="004464F1">
              <w:rPr>
                <w:rFonts w:hint="eastAsia"/>
                <w:color w:val="FF0000"/>
                <w:sz w:val="21"/>
                <w:szCs w:val="21"/>
              </w:rPr>
              <w:t>（其中基本农田要求人工恢复，不降低其质量）</w:t>
            </w:r>
          </w:p>
        </w:tc>
      </w:tr>
      <w:tr w:rsidR="00C223F5" w:rsidTr="004464F1">
        <w:trPr>
          <w:trHeight w:val="227"/>
          <w:jc w:val="center"/>
        </w:trPr>
        <w:tc>
          <w:tcPr>
            <w:tcW w:w="1334" w:type="dxa"/>
            <w:vMerge/>
            <w:vAlign w:val="center"/>
          </w:tcPr>
          <w:p w:rsidR="00C223F5" w:rsidRDefault="00C223F5">
            <w:pPr>
              <w:pStyle w:val="affffff7"/>
              <w:rPr>
                <w:sz w:val="21"/>
                <w:szCs w:val="21"/>
              </w:rPr>
            </w:pPr>
          </w:p>
        </w:tc>
        <w:tc>
          <w:tcPr>
            <w:tcW w:w="1618" w:type="dxa"/>
            <w:vAlign w:val="center"/>
          </w:tcPr>
          <w:p w:rsidR="00C223F5" w:rsidRDefault="005860D5">
            <w:pPr>
              <w:jc w:val="center"/>
              <w:rPr>
                <w:rFonts w:eastAsiaTheme="minorEastAsia"/>
                <w:szCs w:val="21"/>
              </w:rPr>
            </w:pPr>
            <w:r>
              <w:rPr>
                <w:rFonts w:eastAsiaTheme="minorEastAsia" w:hAnsiTheme="minorEastAsia"/>
                <w:szCs w:val="21"/>
              </w:rPr>
              <w:t>水浇地</w:t>
            </w:r>
          </w:p>
        </w:tc>
        <w:tc>
          <w:tcPr>
            <w:tcW w:w="1275" w:type="dxa"/>
            <w:vAlign w:val="center"/>
          </w:tcPr>
          <w:p w:rsidR="00C223F5" w:rsidRDefault="005860D5">
            <w:pPr>
              <w:jc w:val="center"/>
              <w:rPr>
                <w:rFonts w:eastAsiaTheme="minorEastAsia"/>
                <w:szCs w:val="21"/>
              </w:rPr>
            </w:pPr>
            <w:r>
              <w:rPr>
                <w:rFonts w:eastAsiaTheme="minorEastAsia"/>
                <w:szCs w:val="21"/>
              </w:rPr>
              <w:t>0.49</w:t>
            </w:r>
          </w:p>
        </w:tc>
        <w:tc>
          <w:tcPr>
            <w:tcW w:w="1418" w:type="dxa"/>
            <w:vAlign w:val="center"/>
          </w:tcPr>
          <w:p w:rsidR="00C223F5" w:rsidRDefault="005860D5">
            <w:pPr>
              <w:widowControl/>
              <w:jc w:val="center"/>
              <w:rPr>
                <w:color w:val="000000"/>
                <w:kern w:val="0"/>
                <w:szCs w:val="21"/>
              </w:rPr>
            </w:pPr>
            <w:r>
              <w:rPr>
                <w:rFonts w:hint="eastAsia"/>
                <w:color w:val="000000"/>
                <w:kern w:val="0"/>
                <w:szCs w:val="21"/>
              </w:rPr>
              <w:t>1.24</w:t>
            </w:r>
          </w:p>
        </w:tc>
        <w:tc>
          <w:tcPr>
            <w:tcW w:w="1380" w:type="dxa"/>
            <w:vMerge/>
            <w:vAlign w:val="center"/>
          </w:tcPr>
          <w:p w:rsidR="00C223F5" w:rsidRDefault="00C223F5">
            <w:pPr>
              <w:widowControl/>
              <w:jc w:val="center"/>
              <w:rPr>
                <w:color w:val="000000"/>
                <w:kern w:val="0"/>
                <w:szCs w:val="21"/>
              </w:rPr>
            </w:pPr>
          </w:p>
        </w:tc>
        <w:tc>
          <w:tcPr>
            <w:tcW w:w="1672" w:type="dxa"/>
            <w:vMerge/>
            <w:vAlign w:val="center"/>
          </w:tcPr>
          <w:p w:rsidR="00C223F5" w:rsidRDefault="00C223F5">
            <w:pPr>
              <w:widowControl/>
              <w:jc w:val="center"/>
              <w:rPr>
                <w:color w:val="000000"/>
                <w:kern w:val="0"/>
                <w:szCs w:val="21"/>
              </w:rPr>
            </w:pPr>
          </w:p>
        </w:tc>
      </w:tr>
      <w:tr w:rsidR="00C223F5" w:rsidTr="004464F1">
        <w:trPr>
          <w:trHeight w:val="227"/>
          <w:jc w:val="center"/>
        </w:trPr>
        <w:tc>
          <w:tcPr>
            <w:tcW w:w="1334" w:type="dxa"/>
            <w:vMerge/>
            <w:vAlign w:val="center"/>
          </w:tcPr>
          <w:p w:rsidR="00C223F5" w:rsidRDefault="00C223F5">
            <w:pPr>
              <w:pStyle w:val="affffff7"/>
              <w:rPr>
                <w:sz w:val="21"/>
                <w:szCs w:val="21"/>
              </w:rPr>
            </w:pPr>
          </w:p>
        </w:tc>
        <w:tc>
          <w:tcPr>
            <w:tcW w:w="1618" w:type="dxa"/>
            <w:vAlign w:val="center"/>
          </w:tcPr>
          <w:p w:rsidR="00C223F5" w:rsidRDefault="005860D5">
            <w:pPr>
              <w:jc w:val="center"/>
              <w:rPr>
                <w:rFonts w:eastAsiaTheme="minorEastAsia"/>
                <w:szCs w:val="21"/>
              </w:rPr>
            </w:pPr>
            <w:r>
              <w:rPr>
                <w:rFonts w:eastAsiaTheme="minorEastAsia" w:hAnsiTheme="minorEastAsia" w:hint="eastAsia"/>
                <w:szCs w:val="21"/>
              </w:rPr>
              <w:t>旱地</w:t>
            </w:r>
          </w:p>
        </w:tc>
        <w:tc>
          <w:tcPr>
            <w:tcW w:w="1275" w:type="dxa"/>
            <w:vAlign w:val="center"/>
          </w:tcPr>
          <w:p w:rsidR="00C223F5" w:rsidRDefault="005860D5">
            <w:pPr>
              <w:jc w:val="center"/>
              <w:rPr>
                <w:rFonts w:eastAsiaTheme="minorEastAsia"/>
                <w:szCs w:val="21"/>
              </w:rPr>
            </w:pPr>
            <w:r>
              <w:rPr>
                <w:rFonts w:eastAsiaTheme="minorEastAsia"/>
                <w:szCs w:val="21"/>
              </w:rPr>
              <w:t>1.67</w:t>
            </w:r>
          </w:p>
        </w:tc>
        <w:tc>
          <w:tcPr>
            <w:tcW w:w="1418" w:type="dxa"/>
            <w:vAlign w:val="center"/>
          </w:tcPr>
          <w:p w:rsidR="00C223F5" w:rsidRDefault="005860D5">
            <w:pPr>
              <w:widowControl/>
              <w:jc w:val="center"/>
              <w:rPr>
                <w:color w:val="000000"/>
                <w:kern w:val="0"/>
                <w:szCs w:val="21"/>
              </w:rPr>
            </w:pPr>
            <w:r>
              <w:rPr>
                <w:rFonts w:hint="eastAsia"/>
                <w:color w:val="000000"/>
                <w:kern w:val="0"/>
                <w:szCs w:val="21"/>
              </w:rPr>
              <w:t>4.23</w:t>
            </w:r>
          </w:p>
        </w:tc>
        <w:tc>
          <w:tcPr>
            <w:tcW w:w="1380" w:type="dxa"/>
            <w:vMerge/>
            <w:vAlign w:val="center"/>
          </w:tcPr>
          <w:p w:rsidR="00C223F5" w:rsidRDefault="00C223F5">
            <w:pPr>
              <w:widowControl/>
              <w:jc w:val="center"/>
              <w:rPr>
                <w:color w:val="000000"/>
                <w:kern w:val="0"/>
                <w:szCs w:val="21"/>
              </w:rPr>
            </w:pPr>
          </w:p>
        </w:tc>
        <w:tc>
          <w:tcPr>
            <w:tcW w:w="1672" w:type="dxa"/>
            <w:vMerge/>
            <w:vAlign w:val="center"/>
          </w:tcPr>
          <w:p w:rsidR="00C223F5" w:rsidRDefault="00C223F5">
            <w:pPr>
              <w:widowControl/>
              <w:jc w:val="center"/>
              <w:rPr>
                <w:color w:val="000000"/>
                <w:kern w:val="0"/>
                <w:szCs w:val="21"/>
              </w:rPr>
            </w:pPr>
          </w:p>
        </w:tc>
      </w:tr>
      <w:tr w:rsidR="00C223F5" w:rsidTr="004464F1">
        <w:trPr>
          <w:trHeight w:val="227"/>
          <w:jc w:val="center"/>
        </w:trPr>
        <w:tc>
          <w:tcPr>
            <w:tcW w:w="1334" w:type="dxa"/>
            <w:vMerge/>
            <w:vAlign w:val="center"/>
          </w:tcPr>
          <w:p w:rsidR="00C223F5" w:rsidRDefault="00C223F5">
            <w:pPr>
              <w:pStyle w:val="affffff7"/>
              <w:rPr>
                <w:sz w:val="21"/>
                <w:szCs w:val="21"/>
              </w:rPr>
            </w:pPr>
          </w:p>
        </w:tc>
        <w:tc>
          <w:tcPr>
            <w:tcW w:w="1618" w:type="dxa"/>
            <w:vAlign w:val="center"/>
          </w:tcPr>
          <w:p w:rsidR="00C223F5" w:rsidRDefault="005860D5">
            <w:pPr>
              <w:jc w:val="center"/>
              <w:rPr>
                <w:rFonts w:eastAsiaTheme="minorEastAsia"/>
                <w:szCs w:val="21"/>
              </w:rPr>
            </w:pPr>
            <w:r>
              <w:rPr>
                <w:rFonts w:eastAsiaTheme="minorEastAsia" w:hAnsiTheme="minorEastAsia"/>
                <w:szCs w:val="21"/>
              </w:rPr>
              <w:t>乔木林地</w:t>
            </w:r>
          </w:p>
        </w:tc>
        <w:tc>
          <w:tcPr>
            <w:tcW w:w="1275" w:type="dxa"/>
            <w:vAlign w:val="center"/>
          </w:tcPr>
          <w:p w:rsidR="00C223F5" w:rsidRDefault="005860D5">
            <w:pPr>
              <w:jc w:val="center"/>
              <w:rPr>
                <w:rFonts w:eastAsiaTheme="minorEastAsia"/>
                <w:szCs w:val="21"/>
              </w:rPr>
            </w:pPr>
            <w:r>
              <w:rPr>
                <w:rFonts w:eastAsiaTheme="minorEastAsia"/>
                <w:szCs w:val="21"/>
              </w:rPr>
              <w:t>8.85</w:t>
            </w:r>
          </w:p>
        </w:tc>
        <w:tc>
          <w:tcPr>
            <w:tcW w:w="1418" w:type="dxa"/>
            <w:vAlign w:val="center"/>
          </w:tcPr>
          <w:p w:rsidR="00C223F5" w:rsidRDefault="005860D5">
            <w:pPr>
              <w:widowControl/>
              <w:jc w:val="center"/>
              <w:rPr>
                <w:color w:val="000000"/>
                <w:kern w:val="0"/>
                <w:szCs w:val="21"/>
              </w:rPr>
            </w:pPr>
            <w:r>
              <w:rPr>
                <w:rFonts w:hint="eastAsia"/>
                <w:color w:val="000000"/>
                <w:kern w:val="0"/>
                <w:szCs w:val="21"/>
              </w:rPr>
              <w:t>22.43</w:t>
            </w:r>
          </w:p>
        </w:tc>
        <w:tc>
          <w:tcPr>
            <w:tcW w:w="1380" w:type="dxa"/>
            <w:vMerge/>
            <w:vAlign w:val="center"/>
          </w:tcPr>
          <w:p w:rsidR="00C223F5" w:rsidRDefault="00C223F5">
            <w:pPr>
              <w:widowControl/>
              <w:jc w:val="center"/>
              <w:rPr>
                <w:color w:val="000000"/>
                <w:kern w:val="0"/>
                <w:szCs w:val="21"/>
              </w:rPr>
            </w:pPr>
          </w:p>
        </w:tc>
        <w:tc>
          <w:tcPr>
            <w:tcW w:w="1672" w:type="dxa"/>
            <w:vMerge/>
            <w:vAlign w:val="center"/>
          </w:tcPr>
          <w:p w:rsidR="00C223F5" w:rsidRDefault="00C223F5">
            <w:pPr>
              <w:widowControl/>
              <w:jc w:val="center"/>
              <w:rPr>
                <w:color w:val="000000"/>
                <w:kern w:val="0"/>
                <w:szCs w:val="21"/>
              </w:rPr>
            </w:pPr>
          </w:p>
        </w:tc>
      </w:tr>
      <w:tr w:rsidR="00C223F5" w:rsidTr="004464F1">
        <w:trPr>
          <w:trHeight w:val="227"/>
          <w:jc w:val="center"/>
        </w:trPr>
        <w:tc>
          <w:tcPr>
            <w:tcW w:w="1334" w:type="dxa"/>
            <w:vMerge/>
            <w:vAlign w:val="center"/>
          </w:tcPr>
          <w:p w:rsidR="00C223F5" w:rsidRDefault="00C223F5">
            <w:pPr>
              <w:pStyle w:val="affffff7"/>
              <w:rPr>
                <w:sz w:val="21"/>
                <w:szCs w:val="21"/>
              </w:rPr>
            </w:pPr>
          </w:p>
        </w:tc>
        <w:tc>
          <w:tcPr>
            <w:tcW w:w="1618" w:type="dxa"/>
            <w:vAlign w:val="center"/>
          </w:tcPr>
          <w:p w:rsidR="00C223F5" w:rsidRDefault="005860D5">
            <w:pPr>
              <w:jc w:val="center"/>
              <w:rPr>
                <w:rFonts w:eastAsiaTheme="minorEastAsia"/>
                <w:szCs w:val="21"/>
              </w:rPr>
            </w:pPr>
            <w:r>
              <w:rPr>
                <w:rFonts w:eastAsiaTheme="minorEastAsia" w:hAnsiTheme="minorEastAsia"/>
                <w:szCs w:val="21"/>
              </w:rPr>
              <w:t>灌木</w:t>
            </w:r>
          </w:p>
        </w:tc>
        <w:tc>
          <w:tcPr>
            <w:tcW w:w="1275" w:type="dxa"/>
            <w:vAlign w:val="center"/>
          </w:tcPr>
          <w:p w:rsidR="00C223F5" w:rsidRDefault="005860D5">
            <w:pPr>
              <w:jc w:val="center"/>
              <w:rPr>
                <w:rFonts w:eastAsiaTheme="minorEastAsia"/>
                <w:szCs w:val="21"/>
              </w:rPr>
            </w:pPr>
            <w:r>
              <w:rPr>
                <w:rFonts w:eastAsiaTheme="minorEastAsia"/>
                <w:szCs w:val="21"/>
              </w:rPr>
              <w:t>4.80</w:t>
            </w:r>
          </w:p>
        </w:tc>
        <w:tc>
          <w:tcPr>
            <w:tcW w:w="1418" w:type="dxa"/>
            <w:vAlign w:val="center"/>
          </w:tcPr>
          <w:p w:rsidR="00C223F5" w:rsidRDefault="005860D5">
            <w:pPr>
              <w:widowControl/>
              <w:jc w:val="center"/>
              <w:rPr>
                <w:color w:val="000000"/>
                <w:kern w:val="0"/>
                <w:szCs w:val="21"/>
              </w:rPr>
            </w:pPr>
            <w:r>
              <w:rPr>
                <w:rFonts w:hint="eastAsia"/>
                <w:color w:val="000000"/>
                <w:kern w:val="0"/>
                <w:szCs w:val="21"/>
              </w:rPr>
              <w:t>12.17</w:t>
            </w:r>
          </w:p>
        </w:tc>
        <w:tc>
          <w:tcPr>
            <w:tcW w:w="1380" w:type="dxa"/>
            <w:vMerge/>
            <w:vAlign w:val="center"/>
          </w:tcPr>
          <w:p w:rsidR="00C223F5" w:rsidRDefault="00C223F5">
            <w:pPr>
              <w:widowControl/>
              <w:jc w:val="center"/>
              <w:rPr>
                <w:color w:val="000000"/>
                <w:kern w:val="0"/>
                <w:szCs w:val="21"/>
              </w:rPr>
            </w:pPr>
          </w:p>
        </w:tc>
        <w:tc>
          <w:tcPr>
            <w:tcW w:w="1672" w:type="dxa"/>
            <w:vMerge/>
            <w:vAlign w:val="center"/>
          </w:tcPr>
          <w:p w:rsidR="00C223F5" w:rsidRDefault="00C223F5">
            <w:pPr>
              <w:widowControl/>
              <w:jc w:val="center"/>
              <w:rPr>
                <w:color w:val="000000"/>
                <w:kern w:val="0"/>
                <w:szCs w:val="21"/>
              </w:rPr>
            </w:pPr>
          </w:p>
        </w:tc>
      </w:tr>
      <w:tr w:rsidR="00C223F5" w:rsidTr="004464F1">
        <w:trPr>
          <w:trHeight w:val="227"/>
          <w:jc w:val="center"/>
        </w:trPr>
        <w:tc>
          <w:tcPr>
            <w:tcW w:w="1334" w:type="dxa"/>
            <w:vMerge/>
            <w:vAlign w:val="center"/>
          </w:tcPr>
          <w:p w:rsidR="00C223F5" w:rsidRDefault="00C223F5">
            <w:pPr>
              <w:pStyle w:val="affffff7"/>
              <w:rPr>
                <w:sz w:val="21"/>
                <w:szCs w:val="21"/>
              </w:rPr>
            </w:pPr>
          </w:p>
        </w:tc>
        <w:tc>
          <w:tcPr>
            <w:tcW w:w="1618" w:type="dxa"/>
            <w:vAlign w:val="center"/>
          </w:tcPr>
          <w:p w:rsidR="00C223F5" w:rsidRDefault="005860D5">
            <w:pPr>
              <w:jc w:val="center"/>
              <w:rPr>
                <w:rFonts w:eastAsiaTheme="minorEastAsia"/>
                <w:szCs w:val="21"/>
              </w:rPr>
            </w:pPr>
            <w:r>
              <w:rPr>
                <w:rFonts w:eastAsiaTheme="minorEastAsia" w:hAnsiTheme="minorEastAsia"/>
                <w:szCs w:val="21"/>
              </w:rPr>
              <w:t>天然牧草</w:t>
            </w:r>
          </w:p>
        </w:tc>
        <w:tc>
          <w:tcPr>
            <w:tcW w:w="1275" w:type="dxa"/>
            <w:vAlign w:val="center"/>
          </w:tcPr>
          <w:p w:rsidR="00C223F5" w:rsidRDefault="005860D5">
            <w:pPr>
              <w:jc w:val="center"/>
              <w:rPr>
                <w:rFonts w:eastAsiaTheme="minorEastAsia"/>
                <w:szCs w:val="21"/>
              </w:rPr>
            </w:pPr>
            <w:r>
              <w:rPr>
                <w:rFonts w:eastAsiaTheme="minorEastAsia"/>
                <w:szCs w:val="21"/>
              </w:rPr>
              <w:t>12.05</w:t>
            </w:r>
          </w:p>
        </w:tc>
        <w:tc>
          <w:tcPr>
            <w:tcW w:w="1418" w:type="dxa"/>
            <w:vAlign w:val="center"/>
          </w:tcPr>
          <w:p w:rsidR="00C223F5" w:rsidRDefault="005860D5">
            <w:pPr>
              <w:widowControl/>
              <w:jc w:val="center"/>
              <w:rPr>
                <w:color w:val="000000"/>
                <w:kern w:val="0"/>
                <w:szCs w:val="21"/>
              </w:rPr>
            </w:pPr>
            <w:r>
              <w:rPr>
                <w:rFonts w:hint="eastAsia"/>
                <w:color w:val="000000"/>
                <w:kern w:val="0"/>
                <w:szCs w:val="21"/>
              </w:rPr>
              <w:t>30.54</w:t>
            </w:r>
          </w:p>
        </w:tc>
        <w:tc>
          <w:tcPr>
            <w:tcW w:w="1380" w:type="dxa"/>
            <w:vMerge/>
            <w:vAlign w:val="center"/>
          </w:tcPr>
          <w:p w:rsidR="00C223F5" w:rsidRDefault="00C223F5">
            <w:pPr>
              <w:widowControl/>
              <w:jc w:val="center"/>
              <w:rPr>
                <w:color w:val="000000"/>
                <w:kern w:val="0"/>
                <w:szCs w:val="21"/>
              </w:rPr>
            </w:pPr>
          </w:p>
        </w:tc>
        <w:tc>
          <w:tcPr>
            <w:tcW w:w="1672" w:type="dxa"/>
            <w:vMerge/>
            <w:vAlign w:val="center"/>
          </w:tcPr>
          <w:p w:rsidR="00C223F5" w:rsidRDefault="00C223F5">
            <w:pPr>
              <w:widowControl/>
              <w:jc w:val="center"/>
              <w:rPr>
                <w:color w:val="000000"/>
                <w:kern w:val="0"/>
                <w:szCs w:val="21"/>
              </w:rPr>
            </w:pPr>
          </w:p>
        </w:tc>
      </w:tr>
      <w:tr w:rsidR="00C223F5" w:rsidTr="004464F1">
        <w:trPr>
          <w:trHeight w:val="227"/>
          <w:jc w:val="center"/>
        </w:trPr>
        <w:tc>
          <w:tcPr>
            <w:tcW w:w="1334" w:type="dxa"/>
            <w:vMerge/>
            <w:vAlign w:val="center"/>
          </w:tcPr>
          <w:p w:rsidR="00C223F5" w:rsidRDefault="00C223F5">
            <w:pPr>
              <w:pStyle w:val="affffff7"/>
              <w:rPr>
                <w:sz w:val="21"/>
                <w:szCs w:val="21"/>
              </w:rPr>
            </w:pPr>
          </w:p>
        </w:tc>
        <w:tc>
          <w:tcPr>
            <w:tcW w:w="1618" w:type="dxa"/>
            <w:vAlign w:val="center"/>
          </w:tcPr>
          <w:p w:rsidR="00C223F5" w:rsidRDefault="005860D5">
            <w:pPr>
              <w:jc w:val="center"/>
              <w:rPr>
                <w:rFonts w:eastAsiaTheme="minorEastAsia" w:hAnsiTheme="minorEastAsia"/>
                <w:szCs w:val="21"/>
              </w:rPr>
            </w:pPr>
            <w:r>
              <w:rPr>
                <w:rFonts w:eastAsiaTheme="minorEastAsia" w:hAnsiTheme="minorEastAsia" w:hint="eastAsia"/>
                <w:szCs w:val="21"/>
              </w:rPr>
              <w:t>其他用地</w:t>
            </w:r>
          </w:p>
        </w:tc>
        <w:tc>
          <w:tcPr>
            <w:tcW w:w="1275" w:type="dxa"/>
            <w:vAlign w:val="center"/>
          </w:tcPr>
          <w:p w:rsidR="00C223F5" w:rsidRDefault="000F32AE">
            <w:pPr>
              <w:jc w:val="center"/>
              <w:rPr>
                <w:rFonts w:eastAsiaTheme="minorEastAsia"/>
                <w:szCs w:val="21"/>
              </w:rPr>
            </w:pPr>
            <w:r>
              <w:rPr>
                <w:rFonts w:eastAsiaTheme="minorEastAsia"/>
                <w:szCs w:val="21"/>
              </w:rPr>
              <w:fldChar w:fldCharType="begin"/>
            </w:r>
            <w:r w:rsidR="005860D5">
              <w:rPr>
                <w:rFonts w:eastAsiaTheme="minorEastAsia"/>
                <w:szCs w:val="21"/>
              </w:rPr>
              <w:instrText xml:space="preserve"> =SUM(ABOVE) </w:instrText>
            </w:r>
            <w:r>
              <w:rPr>
                <w:rFonts w:eastAsiaTheme="minorEastAsia"/>
                <w:szCs w:val="21"/>
              </w:rPr>
              <w:fldChar w:fldCharType="separate"/>
            </w:r>
            <w:r w:rsidR="005860D5">
              <w:rPr>
                <w:rFonts w:eastAsiaTheme="minorEastAsia"/>
                <w:szCs w:val="21"/>
              </w:rPr>
              <w:t>0.81</w:t>
            </w:r>
            <w:r>
              <w:rPr>
                <w:rFonts w:eastAsiaTheme="minorEastAsia"/>
                <w:szCs w:val="21"/>
              </w:rPr>
              <w:fldChar w:fldCharType="end"/>
            </w:r>
          </w:p>
        </w:tc>
        <w:tc>
          <w:tcPr>
            <w:tcW w:w="1418" w:type="dxa"/>
            <w:vAlign w:val="center"/>
          </w:tcPr>
          <w:p w:rsidR="00C223F5" w:rsidRDefault="005860D5">
            <w:pPr>
              <w:widowControl/>
              <w:jc w:val="center"/>
              <w:rPr>
                <w:color w:val="000000"/>
                <w:kern w:val="0"/>
                <w:szCs w:val="21"/>
              </w:rPr>
            </w:pPr>
            <w:r>
              <w:rPr>
                <w:rFonts w:hint="eastAsia"/>
                <w:color w:val="000000"/>
                <w:kern w:val="0"/>
                <w:szCs w:val="21"/>
              </w:rPr>
              <w:t>2.05</w:t>
            </w:r>
          </w:p>
        </w:tc>
        <w:tc>
          <w:tcPr>
            <w:tcW w:w="1380" w:type="dxa"/>
            <w:vAlign w:val="center"/>
          </w:tcPr>
          <w:p w:rsidR="00C223F5" w:rsidRDefault="005860D5">
            <w:pPr>
              <w:widowControl/>
              <w:jc w:val="center"/>
              <w:rPr>
                <w:color w:val="000000"/>
                <w:kern w:val="0"/>
                <w:szCs w:val="21"/>
              </w:rPr>
            </w:pPr>
            <w:r>
              <w:rPr>
                <w:rFonts w:hint="eastAsia"/>
                <w:color w:val="000000"/>
                <w:kern w:val="0"/>
                <w:szCs w:val="21"/>
              </w:rPr>
              <w:t>-</w:t>
            </w:r>
          </w:p>
        </w:tc>
        <w:tc>
          <w:tcPr>
            <w:tcW w:w="1672" w:type="dxa"/>
            <w:vAlign w:val="center"/>
          </w:tcPr>
          <w:p w:rsidR="00C223F5" w:rsidRDefault="005860D5">
            <w:pPr>
              <w:widowControl/>
              <w:jc w:val="center"/>
              <w:rPr>
                <w:color w:val="000000"/>
                <w:kern w:val="0"/>
                <w:szCs w:val="21"/>
              </w:rPr>
            </w:pPr>
            <w:r>
              <w:rPr>
                <w:rFonts w:hint="eastAsia"/>
                <w:color w:val="000000"/>
                <w:kern w:val="0"/>
                <w:szCs w:val="21"/>
              </w:rPr>
              <w:t>-</w:t>
            </w:r>
          </w:p>
        </w:tc>
      </w:tr>
      <w:tr w:rsidR="00C223F5" w:rsidTr="004464F1">
        <w:trPr>
          <w:trHeight w:val="278"/>
          <w:jc w:val="center"/>
        </w:trPr>
        <w:tc>
          <w:tcPr>
            <w:tcW w:w="1334" w:type="dxa"/>
            <w:vMerge/>
            <w:vAlign w:val="center"/>
          </w:tcPr>
          <w:p w:rsidR="00C223F5" w:rsidRDefault="00C223F5">
            <w:pPr>
              <w:pStyle w:val="affffff7"/>
              <w:rPr>
                <w:sz w:val="21"/>
                <w:szCs w:val="21"/>
              </w:rPr>
            </w:pPr>
          </w:p>
        </w:tc>
        <w:tc>
          <w:tcPr>
            <w:tcW w:w="1618" w:type="dxa"/>
            <w:vAlign w:val="center"/>
          </w:tcPr>
          <w:p w:rsidR="00C223F5" w:rsidRDefault="005860D5">
            <w:pPr>
              <w:pStyle w:val="affffff7"/>
              <w:rPr>
                <w:sz w:val="21"/>
                <w:szCs w:val="21"/>
                <w:highlight w:val="yellow"/>
              </w:rPr>
            </w:pPr>
            <w:r>
              <w:rPr>
                <w:rFonts w:hint="eastAsia"/>
                <w:sz w:val="21"/>
                <w:szCs w:val="21"/>
              </w:rPr>
              <w:t>小</w:t>
            </w:r>
            <w:r>
              <w:rPr>
                <w:sz w:val="21"/>
                <w:szCs w:val="21"/>
              </w:rPr>
              <w:t>计</w:t>
            </w:r>
          </w:p>
        </w:tc>
        <w:tc>
          <w:tcPr>
            <w:tcW w:w="1275" w:type="dxa"/>
            <w:vAlign w:val="center"/>
          </w:tcPr>
          <w:p w:rsidR="00C223F5" w:rsidRDefault="000F32AE">
            <w:pPr>
              <w:widowControl/>
              <w:jc w:val="center"/>
              <w:rPr>
                <w:rFonts w:eastAsiaTheme="minorEastAsia"/>
                <w:kern w:val="0"/>
                <w:szCs w:val="21"/>
              </w:rPr>
            </w:pPr>
            <w:r>
              <w:rPr>
                <w:rFonts w:eastAsiaTheme="minorEastAsia"/>
                <w:kern w:val="0"/>
                <w:szCs w:val="21"/>
              </w:rPr>
              <w:fldChar w:fldCharType="begin"/>
            </w:r>
            <w:r w:rsidR="005860D5">
              <w:rPr>
                <w:rFonts w:eastAsiaTheme="minorEastAsia"/>
                <w:kern w:val="0"/>
                <w:szCs w:val="21"/>
              </w:rPr>
              <w:instrText xml:space="preserve"> =SUM(ABOVE) </w:instrText>
            </w:r>
            <w:r>
              <w:rPr>
                <w:rFonts w:eastAsiaTheme="minorEastAsia"/>
                <w:kern w:val="0"/>
                <w:szCs w:val="21"/>
              </w:rPr>
              <w:fldChar w:fldCharType="separate"/>
            </w:r>
            <w:r w:rsidR="005860D5">
              <w:rPr>
                <w:rFonts w:eastAsiaTheme="minorEastAsia"/>
                <w:kern w:val="0"/>
                <w:szCs w:val="21"/>
              </w:rPr>
              <w:t>39.14</w:t>
            </w:r>
            <w:r>
              <w:rPr>
                <w:rFonts w:eastAsiaTheme="minorEastAsia"/>
                <w:kern w:val="0"/>
                <w:szCs w:val="21"/>
              </w:rPr>
              <w:fldChar w:fldCharType="end"/>
            </w:r>
          </w:p>
        </w:tc>
        <w:tc>
          <w:tcPr>
            <w:tcW w:w="1418" w:type="dxa"/>
            <w:vAlign w:val="center"/>
          </w:tcPr>
          <w:p w:rsidR="00C223F5" w:rsidRDefault="000F32AE">
            <w:pPr>
              <w:widowControl/>
              <w:jc w:val="center"/>
              <w:rPr>
                <w:color w:val="000000"/>
                <w:kern w:val="0"/>
                <w:szCs w:val="21"/>
              </w:rPr>
            </w:pPr>
            <w:r>
              <w:rPr>
                <w:color w:val="000000"/>
                <w:kern w:val="0"/>
                <w:szCs w:val="21"/>
              </w:rPr>
              <w:fldChar w:fldCharType="begin"/>
            </w:r>
            <w:r w:rsidR="005860D5">
              <w:rPr>
                <w:color w:val="000000"/>
                <w:kern w:val="0"/>
                <w:szCs w:val="21"/>
              </w:rPr>
              <w:instrText xml:space="preserve"> =SUM(ABOVE) </w:instrText>
            </w:r>
            <w:r>
              <w:rPr>
                <w:color w:val="000000"/>
                <w:kern w:val="0"/>
                <w:szCs w:val="21"/>
              </w:rPr>
              <w:fldChar w:fldCharType="separate"/>
            </w:r>
            <w:r w:rsidR="005860D5">
              <w:rPr>
                <w:color w:val="000000"/>
                <w:kern w:val="0"/>
                <w:szCs w:val="21"/>
              </w:rPr>
              <w:t>99.2</w:t>
            </w:r>
            <w:r>
              <w:rPr>
                <w:color w:val="000000"/>
                <w:kern w:val="0"/>
                <w:szCs w:val="21"/>
              </w:rPr>
              <w:fldChar w:fldCharType="end"/>
            </w:r>
          </w:p>
        </w:tc>
        <w:tc>
          <w:tcPr>
            <w:tcW w:w="1380" w:type="dxa"/>
            <w:vAlign w:val="center"/>
          </w:tcPr>
          <w:p w:rsidR="00C223F5" w:rsidRDefault="00C223F5">
            <w:pPr>
              <w:widowControl/>
              <w:jc w:val="center"/>
              <w:rPr>
                <w:color w:val="000000"/>
                <w:kern w:val="0"/>
                <w:szCs w:val="21"/>
              </w:rPr>
            </w:pPr>
          </w:p>
        </w:tc>
        <w:tc>
          <w:tcPr>
            <w:tcW w:w="1672" w:type="dxa"/>
            <w:vAlign w:val="center"/>
          </w:tcPr>
          <w:p w:rsidR="00C223F5" w:rsidRDefault="00C223F5">
            <w:pPr>
              <w:widowControl/>
              <w:jc w:val="center"/>
              <w:rPr>
                <w:color w:val="000000"/>
                <w:kern w:val="0"/>
                <w:szCs w:val="21"/>
              </w:rPr>
            </w:pPr>
          </w:p>
        </w:tc>
      </w:tr>
      <w:tr w:rsidR="00C223F5" w:rsidTr="004464F1">
        <w:trPr>
          <w:trHeight w:val="227"/>
          <w:jc w:val="center"/>
        </w:trPr>
        <w:tc>
          <w:tcPr>
            <w:tcW w:w="1334" w:type="dxa"/>
            <w:vMerge w:val="restart"/>
            <w:vAlign w:val="center"/>
          </w:tcPr>
          <w:p w:rsidR="00C223F5" w:rsidRDefault="005860D5">
            <w:pPr>
              <w:pStyle w:val="affffff7"/>
              <w:rPr>
                <w:sz w:val="21"/>
                <w:szCs w:val="21"/>
              </w:rPr>
            </w:pPr>
            <w:r>
              <w:rPr>
                <w:sz w:val="21"/>
                <w:szCs w:val="21"/>
              </w:rPr>
              <w:t>中度</w:t>
            </w:r>
          </w:p>
          <w:p w:rsidR="00C223F5" w:rsidRDefault="005860D5">
            <w:pPr>
              <w:pStyle w:val="affffff7"/>
              <w:rPr>
                <w:sz w:val="21"/>
                <w:szCs w:val="21"/>
              </w:rPr>
            </w:pPr>
            <w:r>
              <w:rPr>
                <w:sz w:val="21"/>
                <w:szCs w:val="21"/>
              </w:rPr>
              <w:t>影响区</w:t>
            </w:r>
          </w:p>
        </w:tc>
        <w:tc>
          <w:tcPr>
            <w:tcW w:w="1618" w:type="dxa"/>
            <w:vAlign w:val="center"/>
          </w:tcPr>
          <w:p w:rsidR="00C223F5" w:rsidRDefault="005860D5">
            <w:pPr>
              <w:pStyle w:val="affffff7"/>
              <w:rPr>
                <w:sz w:val="21"/>
                <w:szCs w:val="21"/>
                <w:highlight w:val="yellow"/>
              </w:rPr>
            </w:pPr>
            <w:r>
              <w:rPr>
                <w:rFonts w:eastAsiaTheme="minorEastAsia" w:hAnsiTheme="minorEastAsia"/>
                <w:sz w:val="21"/>
                <w:szCs w:val="21"/>
              </w:rPr>
              <w:t>基本农田</w:t>
            </w:r>
          </w:p>
        </w:tc>
        <w:tc>
          <w:tcPr>
            <w:tcW w:w="1275" w:type="dxa"/>
            <w:vAlign w:val="center"/>
          </w:tcPr>
          <w:p w:rsidR="00C223F5" w:rsidRDefault="005860D5">
            <w:pPr>
              <w:pStyle w:val="affffff7"/>
              <w:rPr>
                <w:sz w:val="21"/>
                <w:szCs w:val="21"/>
              </w:rPr>
            </w:pPr>
            <w:r>
              <w:rPr>
                <w:rFonts w:hint="eastAsia"/>
                <w:sz w:val="21"/>
                <w:szCs w:val="21"/>
              </w:rPr>
              <w:t>0.09</w:t>
            </w:r>
          </w:p>
        </w:tc>
        <w:tc>
          <w:tcPr>
            <w:tcW w:w="1418" w:type="dxa"/>
            <w:vAlign w:val="center"/>
          </w:tcPr>
          <w:p w:rsidR="00C223F5" w:rsidRDefault="005860D5">
            <w:pPr>
              <w:pStyle w:val="affffff7"/>
              <w:rPr>
                <w:sz w:val="21"/>
                <w:szCs w:val="21"/>
              </w:rPr>
            </w:pPr>
            <w:r>
              <w:rPr>
                <w:rFonts w:hint="eastAsia"/>
                <w:sz w:val="21"/>
                <w:szCs w:val="21"/>
              </w:rPr>
              <w:t>0.23</w:t>
            </w:r>
          </w:p>
        </w:tc>
        <w:tc>
          <w:tcPr>
            <w:tcW w:w="1380" w:type="dxa"/>
            <w:vMerge w:val="restart"/>
            <w:vAlign w:val="center"/>
          </w:tcPr>
          <w:p w:rsidR="00C223F5" w:rsidRDefault="005860D5">
            <w:pPr>
              <w:pStyle w:val="affffff7"/>
              <w:rPr>
                <w:sz w:val="21"/>
                <w:szCs w:val="21"/>
              </w:rPr>
            </w:pPr>
            <w:r>
              <w:rPr>
                <w:sz w:val="21"/>
                <w:szCs w:val="21"/>
              </w:rPr>
              <w:t>保护耕地、灌林地及草地</w:t>
            </w:r>
            <w:r w:rsidR="004464F1" w:rsidRPr="004464F1">
              <w:rPr>
                <w:rFonts w:hint="eastAsia"/>
                <w:color w:val="FF0000"/>
                <w:sz w:val="21"/>
                <w:szCs w:val="21"/>
              </w:rPr>
              <w:t>（基本农田要求进行人工恢复）</w:t>
            </w:r>
          </w:p>
        </w:tc>
        <w:tc>
          <w:tcPr>
            <w:tcW w:w="1672" w:type="dxa"/>
            <w:vMerge w:val="restart"/>
            <w:vAlign w:val="center"/>
          </w:tcPr>
          <w:p w:rsidR="004464F1" w:rsidRDefault="005860D5">
            <w:pPr>
              <w:pStyle w:val="affffff7"/>
              <w:rPr>
                <w:sz w:val="21"/>
                <w:szCs w:val="21"/>
              </w:rPr>
            </w:pPr>
            <w:r>
              <w:rPr>
                <w:sz w:val="21"/>
                <w:szCs w:val="21"/>
              </w:rPr>
              <w:t>以人工恢复为主，辅以自然恢复</w:t>
            </w:r>
          </w:p>
          <w:p w:rsidR="00C223F5" w:rsidRDefault="004464F1">
            <w:pPr>
              <w:pStyle w:val="affffff7"/>
              <w:rPr>
                <w:sz w:val="21"/>
                <w:szCs w:val="21"/>
              </w:rPr>
            </w:pPr>
            <w:r w:rsidRPr="004464F1">
              <w:rPr>
                <w:rFonts w:hint="eastAsia"/>
                <w:color w:val="FF0000"/>
                <w:sz w:val="21"/>
                <w:szCs w:val="21"/>
              </w:rPr>
              <w:t>（基本农田要求进行人工恢复）</w:t>
            </w:r>
          </w:p>
        </w:tc>
      </w:tr>
      <w:tr w:rsidR="00C223F5" w:rsidTr="004464F1">
        <w:trPr>
          <w:trHeight w:val="227"/>
          <w:jc w:val="center"/>
        </w:trPr>
        <w:tc>
          <w:tcPr>
            <w:tcW w:w="1334" w:type="dxa"/>
            <w:vMerge/>
            <w:vAlign w:val="center"/>
          </w:tcPr>
          <w:p w:rsidR="00C223F5" w:rsidRDefault="00C223F5">
            <w:pPr>
              <w:pStyle w:val="affffff7"/>
              <w:rPr>
                <w:sz w:val="21"/>
                <w:szCs w:val="21"/>
                <w:highlight w:val="yellow"/>
              </w:rPr>
            </w:pPr>
          </w:p>
        </w:tc>
        <w:tc>
          <w:tcPr>
            <w:tcW w:w="1618" w:type="dxa"/>
            <w:vAlign w:val="center"/>
          </w:tcPr>
          <w:p w:rsidR="00C223F5" w:rsidRDefault="005860D5">
            <w:pPr>
              <w:pStyle w:val="affffff7"/>
              <w:rPr>
                <w:sz w:val="21"/>
                <w:szCs w:val="21"/>
                <w:highlight w:val="yellow"/>
              </w:rPr>
            </w:pPr>
            <w:r>
              <w:rPr>
                <w:rFonts w:eastAsiaTheme="minorEastAsia" w:hAnsiTheme="minorEastAsia"/>
                <w:sz w:val="21"/>
                <w:szCs w:val="21"/>
              </w:rPr>
              <w:t>乔木林地</w:t>
            </w:r>
          </w:p>
        </w:tc>
        <w:tc>
          <w:tcPr>
            <w:tcW w:w="1275" w:type="dxa"/>
            <w:vAlign w:val="center"/>
          </w:tcPr>
          <w:p w:rsidR="00C223F5" w:rsidRDefault="005860D5">
            <w:pPr>
              <w:pStyle w:val="affffff7"/>
              <w:rPr>
                <w:sz w:val="21"/>
                <w:szCs w:val="21"/>
              </w:rPr>
            </w:pPr>
            <w:r>
              <w:rPr>
                <w:rFonts w:hint="eastAsia"/>
                <w:sz w:val="21"/>
                <w:szCs w:val="21"/>
              </w:rPr>
              <w:t>0.08</w:t>
            </w:r>
          </w:p>
        </w:tc>
        <w:tc>
          <w:tcPr>
            <w:tcW w:w="1418" w:type="dxa"/>
            <w:vAlign w:val="center"/>
          </w:tcPr>
          <w:p w:rsidR="00C223F5" w:rsidRDefault="005860D5">
            <w:pPr>
              <w:pStyle w:val="affffff7"/>
              <w:rPr>
                <w:sz w:val="21"/>
                <w:szCs w:val="21"/>
              </w:rPr>
            </w:pPr>
            <w:r>
              <w:rPr>
                <w:rFonts w:hint="eastAsia"/>
                <w:sz w:val="21"/>
                <w:szCs w:val="21"/>
              </w:rPr>
              <w:t>0.21</w:t>
            </w:r>
          </w:p>
        </w:tc>
        <w:tc>
          <w:tcPr>
            <w:tcW w:w="1380" w:type="dxa"/>
            <w:vMerge/>
            <w:vAlign w:val="center"/>
          </w:tcPr>
          <w:p w:rsidR="00C223F5" w:rsidRDefault="00C223F5">
            <w:pPr>
              <w:widowControl/>
              <w:jc w:val="center"/>
              <w:rPr>
                <w:color w:val="000000"/>
                <w:kern w:val="0"/>
                <w:szCs w:val="21"/>
              </w:rPr>
            </w:pPr>
          </w:p>
        </w:tc>
        <w:tc>
          <w:tcPr>
            <w:tcW w:w="1672" w:type="dxa"/>
            <w:vMerge/>
            <w:vAlign w:val="center"/>
          </w:tcPr>
          <w:p w:rsidR="00C223F5" w:rsidRDefault="00C223F5">
            <w:pPr>
              <w:widowControl/>
              <w:jc w:val="center"/>
              <w:rPr>
                <w:color w:val="000000"/>
                <w:kern w:val="0"/>
                <w:szCs w:val="21"/>
              </w:rPr>
            </w:pPr>
          </w:p>
        </w:tc>
      </w:tr>
      <w:tr w:rsidR="00C223F5" w:rsidTr="004464F1">
        <w:trPr>
          <w:trHeight w:val="227"/>
          <w:jc w:val="center"/>
        </w:trPr>
        <w:tc>
          <w:tcPr>
            <w:tcW w:w="1334" w:type="dxa"/>
            <w:vMerge/>
            <w:vAlign w:val="center"/>
          </w:tcPr>
          <w:p w:rsidR="00C223F5" w:rsidRDefault="00C223F5">
            <w:pPr>
              <w:pStyle w:val="affffff7"/>
              <w:rPr>
                <w:sz w:val="21"/>
                <w:szCs w:val="21"/>
                <w:highlight w:val="yellow"/>
              </w:rPr>
            </w:pPr>
          </w:p>
        </w:tc>
        <w:tc>
          <w:tcPr>
            <w:tcW w:w="1618" w:type="dxa"/>
            <w:vAlign w:val="center"/>
          </w:tcPr>
          <w:p w:rsidR="00C223F5" w:rsidRDefault="005860D5">
            <w:pPr>
              <w:pStyle w:val="affffff7"/>
              <w:rPr>
                <w:sz w:val="21"/>
                <w:szCs w:val="21"/>
                <w:highlight w:val="yellow"/>
              </w:rPr>
            </w:pPr>
            <w:r>
              <w:rPr>
                <w:rFonts w:eastAsiaTheme="minorEastAsia" w:hAnsiTheme="minorEastAsia"/>
                <w:sz w:val="21"/>
                <w:szCs w:val="21"/>
              </w:rPr>
              <w:t>天然牧草</w:t>
            </w:r>
          </w:p>
        </w:tc>
        <w:tc>
          <w:tcPr>
            <w:tcW w:w="1275" w:type="dxa"/>
            <w:vAlign w:val="center"/>
          </w:tcPr>
          <w:p w:rsidR="00C223F5" w:rsidRDefault="005860D5">
            <w:pPr>
              <w:pStyle w:val="affffff7"/>
              <w:rPr>
                <w:sz w:val="21"/>
                <w:szCs w:val="21"/>
              </w:rPr>
            </w:pPr>
            <w:r>
              <w:rPr>
                <w:rFonts w:hint="eastAsia"/>
                <w:sz w:val="21"/>
                <w:szCs w:val="21"/>
              </w:rPr>
              <w:t>0.14</w:t>
            </w:r>
          </w:p>
        </w:tc>
        <w:tc>
          <w:tcPr>
            <w:tcW w:w="1418" w:type="dxa"/>
            <w:vAlign w:val="center"/>
          </w:tcPr>
          <w:p w:rsidR="00C223F5" w:rsidRDefault="005860D5">
            <w:pPr>
              <w:pStyle w:val="affffff7"/>
              <w:rPr>
                <w:sz w:val="21"/>
                <w:szCs w:val="21"/>
              </w:rPr>
            </w:pPr>
            <w:r>
              <w:rPr>
                <w:rFonts w:hint="eastAsia"/>
                <w:sz w:val="21"/>
                <w:szCs w:val="21"/>
              </w:rPr>
              <w:t>0.36</w:t>
            </w:r>
          </w:p>
        </w:tc>
        <w:tc>
          <w:tcPr>
            <w:tcW w:w="1380" w:type="dxa"/>
            <w:vMerge/>
            <w:vAlign w:val="center"/>
          </w:tcPr>
          <w:p w:rsidR="00C223F5" w:rsidRDefault="00C223F5">
            <w:pPr>
              <w:widowControl/>
              <w:jc w:val="center"/>
              <w:rPr>
                <w:color w:val="000000"/>
                <w:kern w:val="0"/>
                <w:szCs w:val="21"/>
              </w:rPr>
            </w:pPr>
          </w:p>
        </w:tc>
        <w:tc>
          <w:tcPr>
            <w:tcW w:w="1672" w:type="dxa"/>
            <w:vMerge/>
            <w:vAlign w:val="center"/>
          </w:tcPr>
          <w:p w:rsidR="00C223F5" w:rsidRDefault="00C223F5">
            <w:pPr>
              <w:widowControl/>
              <w:jc w:val="center"/>
              <w:rPr>
                <w:color w:val="000000"/>
                <w:kern w:val="0"/>
                <w:szCs w:val="21"/>
              </w:rPr>
            </w:pPr>
          </w:p>
        </w:tc>
      </w:tr>
      <w:tr w:rsidR="00C223F5" w:rsidTr="004464F1">
        <w:trPr>
          <w:trHeight w:val="287"/>
          <w:jc w:val="center"/>
        </w:trPr>
        <w:tc>
          <w:tcPr>
            <w:tcW w:w="1334" w:type="dxa"/>
            <w:vMerge/>
            <w:vAlign w:val="center"/>
          </w:tcPr>
          <w:p w:rsidR="00C223F5" w:rsidRDefault="00C223F5">
            <w:pPr>
              <w:pStyle w:val="affffff7"/>
              <w:rPr>
                <w:sz w:val="21"/>
                <w:szCs w:val="21"/>
              </w:rPr>
            </w:pPr>
          </w:p>
        </w:tc>
        <w:tc>
          <w:tcPr>
            <w:tcW w:w="1618" w:type="dxa"/>
            <w:vAlign w:val="center"/>
          </w:tcPr>
          <w:p w:rsidR="00C223F5" w:rsidRDefault="005860D5">
            <w:pPr>
              <w:pStyle w:val="affffff7"/>
              <w:rPr>
                <w:sz w:val="21"/>
                <w:szCs w:val="21"/>
              </w:rPr>
            </w:pPr>
            <w:r>
              <w:rPr>
                <w:sz w:val="21"/>
                <w:szCs w:val="21"/>
              </w:rPr>
              <w:t>小计</w:t>
            </w:r>
          </w:p>
        </w:tc>
        <w:tc>
          <w:tcPr>
            <w:tcW w:w="1275" w:type="dxa"/>
            <w:vAlign w:val="center"/>
          </w:tcPr>
          <w:p w:rsidR="00C223F5" w:rsidRDefault="000F32AE">
            <w:pPr>
              <w:pStyle w:val="affffff7"/>
              <w:rPr>
                <w:sz w:val="21"/>
                <w:szCs w:val="21"/>
              </w:rPr>
            </w:pPr>
            <w:r>
              <w:rPr>
                <w:sz w:val="21"/>
                <w:szCs w:val="21"/>
              </w:rPr>
              <w:fldChar w:fldCharType="begin"/>
            </w:r>
            <w:r w:rsidR="005860D5">
              <w:rPr>
                <w:sz w:val="21"/>
                <w:szCs w:val="21"/>
              </w:rPr>
              <w:instrText xml:space="preserve"> =SUM(ABOVE) </w:instrText>
            </w:r>
            <w:r>
              <w:rPr>
                <w:sz w:val="21"/>
                <w:szCs w:val="21"/>
              </w:rPr>
              <w:fldChar w:fldCharType="separate"/>
            </w:r>
            <w:r w:rsidR="005860D5">
              <w:rPr>
                <w:sz w:val="21"/>
                <w:szCs w:val="21"/>
              </w:rPr>
              <w:t>0.31</w:t>
            </w:r>
            <w:r>
              <w:rPr>
                <w:sz w:val="21"/>
                <w:szCs w:val="21"/>
              </w:rPr>
              <w:fldChar w:fldCharType="end"/>
            </w:r>
          </w:p>
        </w:tc>
        <w:tc>
          <w:tcPr>
            <w:tcW w:w="1418" w:type="dxa"/>
            <w:vAlign w:val="center"/>
          </w:tcPr>
          <w:p w:rsidR="00C223F5" w:rsidRDefault="005860D5">
            <w:pPr>
              <w:pStyle w:val="affffff7"/>
              <w:rPr>
                <w:sz w:val="21"/>
                <w:szCs w:val="21"/>
              </w:rPr>
            </w:pPr>
            <w:r>
              <w:rPr>
                <w:rFonts w:hint="eastAsia"/>
                <w:sz w:val="21"/>
                <w:szCs w:val="21"/>
              </w:rPr>
              <w:t>0.80</w:t>
            </w:r>
          </w:p>
        </w:tc>
        <w:tc>
          <w:tcPr>
            <w:tcW w:w="1380" w:type="dxa"/>
            <w:vMerge/>
            <w:vAlign w:val="center"/>
          </w:tcPr>
          <w:p w:rsidR="00C223F5" w:rsidRDefault="00C223F5">
            <w:pPr>
              <w:widowControl/>
              <w:jc w:val="center"/>
              <w:rPr>
                <w:color w:val="000000"/>
                <w:kern w:val="0"/>
                <w:szCs w:val="21"/>
              </w:rPr>
            </w:pPr>
          </w:p>
        </w:tc>
        <w:tc>
          <w:tcPr>
            <w:tcW w:w="1672" w:type="dxa"/>
            <w:vMerge/>
            <w:vAlign w:val="center"/>
          </w:tcPr>
          <w:p w:rsidR="00C223F5" w:rsidRDefault="00C223F5">
            <w:pPr>
              <w:widowControl/>
              <w:jc w:val="center"/>
              <w:rPr>
                <w:color w:val="000000"/>
                <w:kern w:val="0"/>
                <w:szCs w:val="21"/>
              </w:rPr>
            </w:pPr>
          </w:p>
        </w:tc>
      </w:tr>
      <w:tr w:rsidR="00C223F5" w:rsidTr="004464F1">
        <w:trPr>
          <w:trHeight w:val="303"/>
          <w:jc w:val="center"/>
        </w:trPr>
        <w:tc>
          <w:tcPr>
            <w:tcW w:w="2952" w:type="dxa"/>
            <w:gridSpan w:val="2"/>
            <w:vAlign w:val="center"/>
          </w:tcPr>
          <w:p w:rsidR="00C223F5" w:rsidRDefault="005860D5">
            <w:pPr>
              <w:widowControl/>
              <w:ind w:firstLine="480"/>
              <w:jc w:val="center"/>
              <w:rPr>
                <w:color w:val="000000"/>
                <w:kern w:val="0"/>
                <w:szCs w:val="21"/>
              </w:rPr>
            </w:pPr>
            <w:r>
              <w:rPr>
                <w:color w:val="000000"/>
                <w:kern w:val="0"/>
                <w:szCs w:val="21"/>
              </w:rPr>
              <w:t>合计</w:t>
            </w:r>
          </w:p>
        </w:tc>
        <w:tc>
          <w:tcPr>
            <w:tcW w:w="1275" w:type="dxa"/>
            <w:vAlign w:val="center"/>
          </w:tcPr>
          <w:p w:rsidR="00C223F5" w:rsidRDefault="005860D5">
            <w:pPr>
              <w:pStyle w:val="affffff7"/>
              <w:rPr>
                <w:sz w:val="21"/>
                <w:szCs w:val="21"/>
                <w:highlight w:val="yellow"/>
              </w:rPr>
            </w:pPr>
            <w:r>
              <w:rPr>
                <w:rFonts w:hint="eastAsia"/>
                <w:sz w:val="21"/>
                <w:szCs w:val="21"/>
              </w:rPr>
              <w:t>39.45</w:t>
            </w:r>
          </w:p>
        </w:tc>
        <w:tc>
          <w:tcPr>
            <w:tcW w:w="1418" w:type="dxa"/>
            <w:vAlign w:val="center"/>
          </w:tcPr>
          <w:p w:rsidR="00C223F5" w:rsidRDefault="005860D5">
            <w:pPr>
              <w:pStyle w:val="affffff7"/>
              <w:rPr>
                <w:sz w:val="21"/>
                <w:szCs w:val="21"/>
              </w:rPr>
            </w:pPr>
            <w:r>
              <w:rPr>
                <w:rFonts w:hint="eastAsia"/>
                <w:sz w:val="21"/>
                <w:szCs w:val="21"/>
              </w:rPr>
              <w:t>100</w:t>
            </w:r>
          </w:p>
        </w:tc>
        <w:tc>
          <w:tcPr>
            <w:tcW w:w="1380" w:type="dxa"/>
          </w:tcPr>
          <w:p w:rsidR="00C223F5" w:rsidRDefault="005860D5">
            <w:pPr>
              <w:ind w:firstLine="480"/>
              <w:rPr>
                <w:color w:val="000000"/>
                <w:szCs w:val="21"/>
              </w:rPr>
            </w:pPr>
            <w:r>
              <w:rPr>
                <w:rFonts w:hint="eastAsia"/>
                <w:color w:val="000000"/>
                <w:szCs w:val="21"/>
              </w:rPr>
              <w:t>-</w:t>
            </w:r>
          </w:p>
        </w:tc>
        <w:tc>
          <w:tcPr>
            <w:tcW w:w="1672" w:type="dxa"/>
            <w:vAlign w:val="center"/>
          </w:tcPr>
          <w:p w:rsidR="00C223F5" w:rsidRDefault="005860D5">
            <w:pPr>
              <w:widowControl/>
              <w:jc w:val="center"/>
              <w:rPr>
                <w:color w:val="000000"/>
                <w:kern w:val="0"/>
                <w:szCs w:val="21"/>
              </w:rPr>
            </w:pPr>
            <w:r>
              <w:rPr>
                <w:rFonts w:hint="eastAsia"/>
                <w:color w:val="000000"/>
                <w:kern w:val="0"/>
                <w:szCs w:val="21"/>
              </w:rPr>
              <w:t>-</w:t>
            </w:r>
          </w:p>
        </w:tc>
      </w:tr>
    </w:tbl>
    <w:p w:rsidR="00C223F5" w:rsidRDefault="005860D5">
      <w:pPr>
        <w:adjustRightInd w:val="0"/>
        <w:snapToGrid w:val="0"/>
        <w:spacing w:line="360" w:lineRule="auto"/>
        <w:ind w:firstLineChars="200" w:firstLine="482"/>
        <w:contextualSpacing/>
        <w:rPr>
          <w:b/>
          <w:color w:val="000000"/>
          <w:sz w:val="24"/>
        </w:rPr>
      </w:pPr>
      <w:bookmarkStart w:id="452" w:name="_Toc472327313"/>
      <w:bookmarkStart w:id="453" w:name="_Toc474316617"/>
      <w:bookmarkStart w:id="454" w:name="_Toc471319429"/>
      <w:bookmarkStart w:id="455" w:name="_Toc471477608"/>
      <w:r>
        <w:rPr>
          <w:b/>
          <w:color w:val="000000"/>
          <w:sz w:val="24"/>
        </w:rPr>
        <w:t>（三）沉陷区整治计划</w:t>
      </w:r>
      <w:bookmarkEnd w:id="452"/>
      <w:bookmarkEnd w:id="453"/>
      <w:bookmarkEnd w:id="454"/>
      <w:bookmarkEnd w:id="455"/>
    </w:p>
    <w:p w:rsidR="00C223F5" w:rsidRDefault="005860D5">
      <w:pPr>
        <w:pStyle w:val="aff1"/>
        <w:tabs>
          <w:tab w:val="clear" w:pos="5781"/>
        </w:tabs>
        <w:spacing w:line="360" w:lineRule="auto"/>
        <w:ind w:left="0" w:firstLineChars="200" w:firstLine="480"/>
        <w:contextualSpacing/>
        <w:rPr>
          <w:color w:val="000000"/>
          <w:szCs w:val="24"/>
        </w:rPr>
      </w:pPr>
      <w:r>
        <w:rPr>
          <w:color w:val="000000"/>
          <w:szCs w:val="24"/>
        </w:rPr>
        <w:t>井田开采后，沉陷区的形成将是一个较为缓慢的过程，自地下采煤活动开始至开采结束后</w:t>
      </w:r>
      <w:r>
        <w:rPr>
          <w:color w:val="000000"/>
          <w:szCs w:val="24"/>
        </w:rPr>
        <w:t>2</w:t>
      </w:r>
      <w:r>
        <w:rPr>
          <w:color w:val="000000"/>
          <w:szCs w:val="24"/>
        </w:rPr>
        <w:t>～</w:t>
      </w:r>
      <w:r>
        <w:rPr>
          <w:color w:val="000000"/>
          <w:szCs w:val="24"/>
        </w:rPr>
        <w:t>4</w:t>
      </w:r>
      <w:r>
        <w:rPr>
          <w:color w:val="000000"/>
          <w:szCs w:val="24"/>
        </w:rPr>
        <w:t>年止。在采取适当防护措施后，对地面主要保护目标的影响均在可接受范围内。根据沉陷形成规律，结合生态恢复机制，从环境、社会、经济三效益协调发展高度出发，提出如下沉陷区整治计划：</w:t>
      </w:r>
    </w:p>
    <w:p w:rsidR="00C223F5" w:rsidRPr="00662F24" w:rsidRDefault="005860D5">
      <w:pPr>
        <w:pStyle w:val="aff1"/>
        <w:tabs>
          <w:tab w:val="clear" w:pos="5781"/>
        </w:tabs>
        <w:spacing w:line="360" w:lineRule="auto"/>
        <w:ind w:left="0" w:firstLineChars="200" w:firstLine="480"/>
        <w:contextualSpacing/>
        <w:rPr>
          <w:color w:val="FF0000"/>
          <w:kern w:val="0"/>
          <w:szCs w:val="24"/>
        </w:rPr>
      </w:pPr>
      <w:r>
        <w:rPr>
          <w:color w:val="000000"/>
          <w:szCs w:val="24"/>
        </w:rPr>
        <w:t>（</w:t>
      </w:r>
      <w:r>
        <w:rPr>
          <w:color w:val="000000"/>
          <w:szCs w:val="24"/>
        </w:rPr>
        <w:t>1</w:t>
      </w:r>
      <w:r>
        <w:rPr>
          <w:color w:val="000000"/>
          <w:szCs w:val="24"/>
        </w:rPr>
        <w:t>）对中度影响区</w:t>
      </w:r>
      <w:r>
        <w:rPr>
          <w:rFonts w:hint="eastAsia"/>
          <w:color w:val="000000"/>
          <w:szCs w:val="24"/>
        </w:rPr>
        <w:t>的耕地、林地以人工恢复为主，辅以自然恢复</w:t>
      </w:r>
      <w:r>
        <w:rPr>
          <w:color w:val="000000"/>
          <w:szCs w:val="24"/>
        </w:rPr>
        <w:t>；轻度影响区</w:t>
      </w:r>
      <w:r>
        <w:rPr>
          <w:color w:val="000000"/>
          <w:kern w:val="0"/>
          <w:szCs w:val="24"/>
        </w:rPr>
        <w:t>以自然恢复为主；</w:t>
      </w:r>
      <w:bookmarkStart w:id="456" w:name="_Toc471319430"/>
      <w:bookmarkStart w:id="457" w:name="_Toc471477609"/>
      <w:bookmarkStart w:id="458" w:name="_Toc472327314"/>
      <w:bookmarkStart w:id="459" w:name="_Toc474316618"/>
      <w:r w:rsidR="00662F24" w:rsidRPr="00662F24">
        <w:rPr>
          <w:rFonts w:hint="eastAsia"/>
          <w:color w:val="FF0000"/>
          <w:kern w:val="0"/>
          <w:szCs w:val="24"/>
        </w:rPr>
        <w:t>其中基本农田受采煤影响的，应采取人工恢复方式，不降低其数量和质量。</w:t>
      </w:r>
    </w:p>
    <w:p w:rsidR="00C223F5" w:rsidRDefault="005860D5">
      <w:pPr>
        <w:pStyle w:val="aff1"/>
        <w:tabs>
          <w:tab w:val="clear" w:pos="5781"/>
        </w:tabs>
        <w:spacing w:line="360" w:lineRule="auto"/>
        <w:ind w:left="0" w:firstLineChars="200" w:firstLine="480"/>
        <w:contextualSpacing/>
        <w:rPr>
          <w:color w:val="000000"/>
          <w:szCs w:val="24"/>
        </w:rPr>
      </w:pPr>
      <w:r>
        <w:rPr>
          <w:color w:val="000000"/>
          <w:szCs w:val="24"/>
        </w:rPr>
        <w:t>（</w:t>
      </w:r>
      <w:r>
        <w:rPr>
          <w:color w:val="000000"/>
          <w:szCs w:val="24"/>
        </w:rPr>
        <w:t>2</w:t>
      </w:r>
      <w:r>
        <w:rPr>
          <w:color w:val="000000"/>
          <w:szCs w:val="24"/>
        </w:rPr>
        <w:t>）按照目前当地的土地管理政策，建设单位对采区上方的土地无使用权，对沉陷区的整治方式及整治进度也无决定权，因此建设单位首先应按时足额交纳生态补偿费。由当地有关部门统一安排实施沉陷生态恢复及综合治理。建设方应</w:t>
      </w:r>
      <w:r>
        <w:rPr>
          <w:color w:val="000000"/>
          <w:szCs w:val="24"/>
        </w:rPr>
        <w:lastRenderedPageBreak/>
        <w:t>按有关规定积极按时定额交纳生态补偿费，建立责任制，保证企业和政府管理部门的协调渠道畅通，在补偿费率变化时应足额交纳。</w:t>
      </w:r>
    </w:p>
    <w:bookmarkEnd w:id="456"/>
    <w:bookmarkEnd w:id="457"/>
    <w:bookmarkEnd w:id="458"/>
    <w:bookmarkEnd w:id="459"/>
    <w:p w:rsidR="00C223F5" w:rsidRDefault="005860D5" w:rsidP="004835BD">
      <w:pPr>
        <w:pStyle w:val="4"/>
        <w:spacing w:before="0" w:after="0" w:line="360" w:lineRule="auto"/>
        <w:ind w:firstLineChars="100" w:firstLine="240"/>
        <w:rPr>
          <w:szCs w:val="24"/>
        </w:rPr>
      </w:pPr>
      <w:r>
        <w:rPr>
          <w:szCs w:val="24"/>
        </w:rPr>
        <w:t>5.1.3.</w:t>
      </w:r>
      <w:r>
        <w:rPr>
          <w:rFonts w:hint="eastAsia"/>
          <w:szCs w:val="24"/>
        </w:rPr>
        <w:t>3</w:t>
      </w:r>
      <w:r>
        <w:rPr>
          <w:rFonts w:hint="eastAsia"/>
          <w:szCs w:val="24"/>
        </w:rPr>
        <w:t>工业场地生态综合保护措施</w:t>
      </w:r>
    </w:p>
    <w:p w:rsidR="00C223F5" w:rsidRDefault="005860D5" w:rsidP="00AB79FB">
      <w:pPr>
        <w:spacing w:line="360" w:lineRule="auto"/>
        <w:ind w:firstLineChars="197" w:firstLine="473"/>
        <w:rPr>
          <w:rFonts w:ascii="宋体" w:hAnsi="宋体"/>
          <w:sz w:val="24"/>
        </w:rPr>
      </w:pPr>
      <w:r>
        <w:rPr>
          <w:rFonts w:hAnsi="宋体" w:hint="eastAsia"/>
          <w:sz w:val="24"/>
        </w:rPr>
        <w:t>应尽可能的增大</w:t>
      </w:r>
      <w:r>
        <w:rPr>
          <w:rFonts w:hAnsi="宋体"/>
          <w:sz w:val="24"/>
        </w:rPr>
        <w:t>绿化面积，</w:t>
      </w:r>
      <w:r>
        <w:rPr>
          <w:rFonts w:ascii="宋体" w:hAnsi="宋体" w:hint="eastAsia"/>
          <w:sz w:val="24"/>
        </w:rPr>
        <w:t>工</w:t>
      </w:r>
      <w:r>
        <w:rPr>
          <w:rFonts w:ascii="宋体" w:hAnsi="宋体"/>
          <w:sz w:val="24"/>
        </w:rPr>
        <w:t>业场地及厂界绿化</w:t>
      </w:r>
      <w:r>
        <w:rPr>
          <w:rFonts w:ascii="宋体" w:hAnsi="宋体" w:hint="eastAsia"/>
          <w:sz w:val="24"/>
        </w:rPr>
        <w:t>应选择适合本地区生长的物种。场地内以</w:t>
      </w:r>
      <w:r>
        <w:rPr>
          <w:rFonts w:ascii="宋体" w:hAnsi="宋体"/>
          <w:sz w:val="24"/>
        </w:rPr>
        <w:t>绿化美化物种</w:t>
      </w:r>
      <w:r>
        <w:rPr>
          <w:rFonts w:ascii="宋体" w:hAnsi="宋体" w:hint="eastAsia"/>
          <w:sz w:val="24"/>
        </w:rPr>
        <w:t>为主，采取乔、灌、草相结合的布置方案，以实现</w:t>
      </w:r>
      <w:r>
        <w:rPr>
          <w:rFonts w:ascii="宋体" w:hAnsi="宋体"/>
          <w:sz w:val="24"/>
        </w:rPr>
        <w:t>三季有绿，两季见花</w:t>
      </w:r>
      <w:r>
        <w:rPr>
          <w:rFonts w:ascii="宋体" w:hAnsi="宋体" w:hint="eastAsia"/>
          <w:sz w:val="24"/>
        </w:rPr>
        <w:t>的绿化效果；厂界绿化主要选种高大乔木，以达到防风降尘、绿化降噪、保护环境的目的；进场道路选用适宜的行道树进行绿化，达到美化环境的目的。</w:t>
      </w:r>
    </w:p>
    <w:p w:rsidR="00C223F5" w:rsidRDefault="005860D5" w:rsidP="004835BD">
      <w:pPr>
        <w:pStyle w:val="4"/>
        <w:spacing w:before="0" w:after="0" w:line="360" w:lineRule="auto"/>
        <w:ind w:firstLineChars="100" w:firstLine="240"/>
        <w:rPr>
          <w:szCs w:val="24"/>
        </w:rPr>
      </w:pPr>
      <w:r>
        <w:rPr>
          <w:rFonts w:hint="eastAsia"/>
          <w:szCs w:val="24"/>
        </w:rPr>
        <w:t>5</w:t>
      </w:r>
      <w:r>
        <w:rPr>
          <w:szCs w:val="24"/>
        </w:rPr>
        <w:t>.</w:t>
      </w:r>
      <w:r>
        <w:rPr>
          <w:rFonts w:hint="eastAsia"/>
          <w:szCs w:val="24"/>
        </w:rPr>
        <w:t>1</w:t>
      </w:r>
      <w:r>
        <w:rPr>
          <w:szCs w:val="24"/>
        </w:rPr>
        <w:t>.</w:t>
      </w:r>
      <w:r>
        <w:rPr>
          <w:rFonts w:hint="eastAsia"/>
          <w:szCs w:val="24"/>
        </w:rPr>
        <w:t>3.4</w:t>
      </w:r>
      <w:r>
        <w:rPr>
          <w:szCs w:val="24"/>
        </w:rPr>
        <w:t>生态补偿</w:t>
      </w:r>
    </w:p>
    <w:p w:rsidR="00C223F5" w:rsidRDefault="005860D5">
      <w:pPr>
        <w:pStyle w:val="36"/>
        <w:ind w:firstLineChars="200" w:firstLine="480"/>
      </w:pPr>
      <w:r>
        <w:t>根据《陕西省煤炭石油天然气资源开采水土流失补偿费征收使用管理办法》，目前，本区的生态恢复采用建设单位按</w:t>
      </w:r>
      <w:r>
        <w:t>5</w:t>
      </w:r>
      <w:r>
        <w:t>元</w:t>
      </w:r>
      <w:r>
        <w:t>/t</w:t>
      </w:r>
      <w:r>
        <w:t>煤的指标交纳生态补偿费</w:t>
      </w:r>
      <w:r>
        <w:t>(</w:t>
      </w:r>
      <w:r>
        <w:t>不含排污费</w:t>
      </w:r>
      <w:r>
        <w:t>)</w:t>
      </w:r>
      <w:r>
        <w:t>，</w:t>
      </w:r>
      <w:r>
        <w:rPr>
          <w:rFonts w:hint="eastAsia"/>
        </w:rPr>
        <w:t>矿井工程</w:t>
      </w:r>
      <w:r>
        <w:t>每年缴纳生态补偿费</w:t>
      </w:r>
      <w:r>
        <w:rPr>
          <w:rFonts w:hint="eastAsia"/>
        </w:rPr>
        <w:t>450</w:t>
      </w:r>
      <w:r>
        <w:t>万元</w:t>
      </w:r>
      <w:r>
        <w:rPr>
          <w:rFonts w:hint="eastAsia"/>
        </w:rPr>
        <w:t>，</w:t>
      </w:r>
      <w:r>
        <w:t>由地方有关部门统一安排实施地表沉陷生态恢复综合措施。建设单位应按有关规定积极按时交纳生态补偿费；建立责任制，保证企业与政府管理部门的协调渠道畅通；在补偿费率有变化调整时应足额交纳。</w:t>
      </w:r>
    </w:p>
    <w:p w:rsidR="00C223F5" w:rsidRDefault="005860D5">
      <w:pPr>
        <w:spacing w:line="360" w:lineRule="auto"/>
        <w:ind w:firstLineChars="200" w:firstLine="480"/>
        <w:rPr>
          <w:sz w:val="24"/>
        </w:rPr>
      </w:pPr>
      <w:r>
        <w:rPr>
          <w:sz w:val="24"/>
        </w:rPr>
        <w:t>另外，建设单位还应对项目永久占地和临时占地进行生态补偿，补偿费用纳入矿井建设投资。建设单位不征用沉陷区土地，对于因采煤导致的沉陷区土地破坏按实际产值</w:t>
      </w:r>
      <w:r>
        <w:rPr>
          <w:color w:val="000000"/>
          <w:sz w:val="24"/>
        </w:rPr>
        <w:t>给予补偿。采煤地表沉陷土地损害补偿包括耕地补偿、草地补偿及林地补偿，补偿期从受采煤影响开始到采煤沉陷稳定、采取土地复垦措施恢复土地原有使用功能和生产力之前（</w:t>
      </w:r>
      <w:r>
        <w:rPr>
          <w:sz w:val="24"/>
        </w:rPr>
        <w:t>本报告建议按</w:t>
      </w:r>
      <w:r>
        <w:rPr>
          <w:rFonts w:hint="eastAsia"/>
          <w:sz w:val="24"/>
        </w:rPr>
        <w:t>3</w:t>
      </w:r>
      <w:r>
        <w:rPr>
          <w:sz w:val="24"/>
        </w:rPr>
        <w:t>年估算），该部分费用纳入生产成本。</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460" w:name="_Toc533604763"/>
      <w:bookmarkStart w:id="461" w:name="_Toc533604343"/>
      <w:bookmarkStart w:id="462" w:name="_Toc16785309"/>
      <w:r>
        <w:rPr>
          <w:rFonts w:eastAsia="宋体" w:hint="eastAsia"/>
          <w:b/>
          <w:bCs w:val="0"/>
          <w:sz w:val="28"/>
          <w:szCs w:val="28"/>
        </w:rPr>
        <w:t>5.1.4</w:t>
      </w:r>
      <w:r>
        <w:rPr>
          <w:rFonts w:eastAsia="宋体"/>
          <w:b/>
          <w:bCs w:val="0"/>
          <w:sz w:val="28"/>
          <w:szCs w:val="28"/>
        </w:rPr>
        <w:t>生态环境监控计划</w:t>
      </w:r>
      <w:bookmarkEnd w:id="460"/>
      <w:bookmarkEnd w:id="461"/>
      <w:bookmarkEnd w:id="462"/>
    </w:p>
    <w:p w:rsidR="00C223F5" w:rsidRDefault="005860D5" w:rsidP="004835BD">
      <w:pPr>
        <w:pStyle w:val="4"/>
        <w:spacing w:before="0" w:after="0" w:line="360" w:lineRule="auto"/>
        <w:ind w:firstLineChars="100" w:firstLine="240"/>
        <w:rPr>
          <w:szCs w:val="24"/>
        </w:rPr>
      </w:pPr>
      <w:r>
        <w:rPr>
          <w:rFonts w:hint="eastAsia"/>
          <w:szCs w:val="24"/>
        </w:rPr>
        <w:t>5.1.4.1</w:t>
      </w:r>
      <w:r>
        <w:rPr>
          <w:szCs w:val="24"/>
        </w:rPr>
        <w:t>管理计划</w:t>
      </w:r>
    </w:p>
    <w:p w:rsidR="00C223F5" w:rsidRDefault="005860D5">
      <w:pPr>
        <w:pStyle w:val="aff1"/>
        <w:tabs>
          <w:tab w:val="clear" w:pos="5781"/>
        </w:tabs>
        <w:spacing w:line="360" w:lineRule="auto"/>
        <w:ind w:left="0" w:firstLineChars="200" w:firstLine="482"/>
        <w:rPr>
          <w:b/>
        </w:rPr>
      </w:pPr>
      <w:r>
        <w:rPr>
          <w:b/>
        </w:rPr>
        <w:t>（</w:t>
      </w:r>
      <w:r>
        <w:rPr>
          <w:b/>
        </w:rPr>
        <w:t>1</w:t>
      </w:r>
      <w:r>
        <w:rPr>
          <w:b/>
        </w:rPr>
        <w:t>）管理体系</w:t>
      </w:r>
    </w:p>
    <w:p w:rsidR="00C223F5" w:rsidRDefault="005860D5">
      <w:pPr>
        <w:pStyle w:val="aff1"/>
        <w:tabs>
          <w:tab w:val="clear" w:pos="5781"/>
        </w:tabs>
        <w:spacing w:line="360" w:lineRule="auto"/>
        <w:ind w:left="0" w:firstLineChars="200" w:firstLine="480"/>
      </w:pPr>
      <w:r>
        <w:rPr>
          <w:rFonts w:hint="eastAsia"/>
        </w:rPr>
        <w:t>天云煤</w:t>
      </w:r>
      <w:r>
        <w:t>矿应设生态环保专人</w:t>
      </w:r>
      <w:r>
        <w:t>1</w:t>
      </w:r>
      <w:r>
        <w:t>～</w:t>
      </w:r>
      <w:r>
        <w:t>2</w:t>
      </w:r>
      <w:r>
        <w:t>名，负责工程的生态环保计划实施。项目施工单位应有专人负责项目的生态环境管理工作。</w:t>
      </w:r>
    </w:p>
    <w:p w:rsidR="00C223F5" w:rsidRDefault="005860D5">
      <w:pPr>
        <w:pStyle w:val="aff1"/>
        <w:tabs>
          <w:tab w:val="clear" w:pos="5781"/>
        </w:tabs>
        <w:spacing w:line="360" w:lineRule="auto"/>
        <w:ind w:left="0" w:firstLineChars="200" w:firstLine="482"/>
        <w:rPr>
          <w:b/>
        </w:rPr>
      </w:pPr>
      <w:r>
        <w:rPr>
          <w:b/>
        </w:rPr>
        <w:t>（</w:t>
      </w:r>
      <w:r>
        <w:rPr>
          <w:b/>
        </w:rPr>
        <w:t>2</w:t>
      </w:r>
      <w:r>
        <w:rPr>
          <w:b/>
        </w:rPr>
        <w:t>）管理机构的职责</w:t>
      </w:r>
    </w:p>
    <w:p w:rsidR="00C223F5" w:rsidRDefault="005860D5">
      <w:pPr>
        <w:spacing w:line="360" w:lineRule="auto"/>
        <w:ind w:firstLineChars="200" w:firstLine="480"/>
        <w:rPr>
          <w:sz w:val="24"/>
        </w:rPr>
      </w:pPr>
      <w:r>
        <w:rPr>
          <w:rFonts w:ascii="宋体" w:hAnsi="宋体" w:cs="宋体" w:hint="eastAsia"/>
          <w:sz w:val="24"/>
        </w:rPr>
        <w:t>①</w:t>
      </w:r>
      <w:r>
        <w:rPr>
          <w:sz w:val="24"/>
        </w:rPr>
        <w:t>贯彻执行国家及省市各项环保方针、政策和法规，制定本项目的生态环境管理办法。</w:t>
      </w:r>
    </w:p>
    <w:p w:rsidR="00C223F5" w:rsidRDefault="005860D5">
      <w:pPr>
        <w:spacing w:line="360" w:lineRule="auto"/>
        <w:ind w:firstLineChars="200" w:firstLine="480"/>
        <w:rPr>
          <w:sz w:val="24"/>
        </w:rPr>
      </w:pPr>
      <w:r>
        <w:rPr>
          <w:rFonts w:ascii="宋体" w:hAnsi="宋体" w:cs="宋体" w:hint="eastAsia"/>
          <w:sz w:val="24"/>
        </w:rPr>
        <w:t>②</w:t>
      </w:r>
      <w:r>
        <w:rPr>
          <w:sz w:val="24"/>
        </w:rPr>
        <w:t>对项目实施涉及的生态环保工作进行监督管理，制定项目的生态环境管理</w:t>
      </w:r>
      <w:r>
        <w:rPr>
          <w:sz w:val="24"/>
        </w:rPr>
        <w:lastRenderedPageBreak/>
        <w:t>与工作计划并进行实施，负责项目建设中各项生态环保措施实施的监督和日常管理工作。</w:t>
      </w:r>
    </w:p>
    <w:p w:rsidR="00C223F5" w:rsidRDefault="005860D5">
      <w:pPr>
        <w:spacing w:line="360" w:lineRule="auto"/>
        <w:ind w:firstLineChars="200" w:firstLine="480"/>
        <w:rPr>
          <w:sz w:val="24"/>
        </w:rPr>
      </w:pPr>
      <w:r>
        <w:rPr>
          <w:rFonts w:ascii="宋体" w:hAnsi="宋体" w:cs="宋体" w:hint="eastAsia"/>
          <w:sz w:val="24"/>
        </w:rPr>
        <w:t>③</w:t>
      </w:r>
      <w:r>
        <w:rPr>
          <w:sz w:val="24"/>
        </w:rPr>
        <w:t>组织开展本项目的生态环保宣传，提高各级管理人员和施工人员的生态环保意识和管理水平。</w:t>
      </w:r>
    </w:p>
    <w:p w:rsidR="00C223F5" w:rsidRDefault="005860D5">
      <w:pPr>
        <w:spacing w:line="360" w:lineRule="auto"/>
        <w:ind w:firstLineChars="200" w:firstLine="480"/>
        <w:rPr>
          <w:sz w:val="24"/>
        </w:rPr>
      </w:pPr>
      <w:r>
        <w:rPr>
          <w:rFonts w:ascii="宋体" w:hAnsi="宋体" w:cs="宋体" w:hint="eastAsia"/>
          <w:sz w:val="24"/>
        </w:rPr>
        <w:t>④</w:t>
      </w:r>
      <w:r>
        <w:rPr>
          <w:sz w:val="24"/>
        </w:rPr>
        <w:t>组织、领导项目在施工期、营运期的生态环保科研和信息工作，推广先进的生态环保经验和技术。</w:t>
      </w:r>
    </w:p>
    <w:p w:rsidR="00C223F5" w:rsidRDefault="005860D5">
      <w:pPr>
        <w:spacing w:line="360" w:lineRule="auto"/>
        <w:ind w:firstLineChars="200" w:firstLine="480"/>
        <w:rPr>
          <w:sz w:val="24"/>
        </w:rPr>
      </w:pPr>
      <w:r>
        <w:rPr>
          <w:rFonts w:ascii="宋体" w:hAnsi="宋体" w:cs="宋体" w:hint="eastAsia"/>
          <w:sz w:val="24"/>
        </w:rPr>
        <w:t>⑤</w:t>
      </w:r>
      <w:r>
        <w:rPr>
          <w:sz w:val="24"/>
        </w:rPr>
        <w:t>下达项目在施工期、营运期的生态环境监测任务。</w:t>
      </w:r>
    </w:p>
    <w:p w:rsidR="00C223F5" w:rsidRDefault="005860D5">
      <w:pPr>
        <w:spacing w:line="360" w:lineRule="auto"/>
        <w:ind w:firstLineChars="200" w:firstLine="480"/>
        <w:rPr>
          <w:sz w:val="24"/>
        </w:rPr>
      </w:pPr>
      <w:r>
        <w:rPr>
          <w:rFonts w:ascii="宋体" w:hAnsi="宋体" w:cs="宋体" w:hint="eastAsia"/>
          <w:sz w:val="24"/>
        </w:rPr>
        <w:t>⑥</w:t>
      </w:r>
      <w:r>
        <w:rPr>
          <w:sz w:val="24"/>
        </w:rPr>
        <w:t>负责项目在施工期、营运期的生态破坏事故的调查和处理。</w:t>
      </w:r>
    </w:p>
    <w:p w:rsidR="00C223F5" w:rsidRDefault="005860D5">
      <w:pPr>
        <w:pStyle w:val="aff1"/>
        <w:tabs>
          <w:tab w:val="clear" w:pos="5781"/>
        </w:tabs>
        <w:spacing w:line="360" w:lineRule="auto"/>
        <w:ind w:left="0" w:firstLineChars="200" w:firstLine="480"/>
      </w:pPr>
      <w:r>
        <w:rPr>
          <w:rFonts w:ascii="宋体" w:hAnsi="宋体" w:cs="宋体" w:hint="eastAsia"/>
          <w:szCs w:val="24"/>
        </w:rPr>
        <w:t>⑦</w:t>
      </w:r>
      <w:r>
        <w:rPr>
          <w:szCs w:val="24"/>
        </w:rPr>
        <w:t>做好生态环保工作方面的横向和纵向协调工作，负责生态环境监测和科研等资料汇总整理工作，及时上报各级环保部门，积极推动项目生态环保工作。</w:t>
      </w:r>
    </w:p>
    <w:p w:rsidR="00C223F5" w:rsidRDefault="005860D5" w:rsidP="004835BD">
      <w:pPr>
        <w:pStyle w:val="4"/>
        <w:spacing w:before="0" w:after="0" w:line="360" w:lineRule="auto"/>
        <w:ind w:firstLineChars="100" w:firstLine="240"/>
        <w:rPr>
          <w:szCs w:val="24"/>
        </w:rPr>
      </w:pPr>
      <w:r>
        <w:rPr>
          <w:rFonts w:hint="eastAsia"/>
          <w:szCs w:val="24"/>
        </w:rPr>
        <w:t>5.1.4</w:t>
      </w:r>
      <w:r>
        <w:rPr>
          <w:szCs w:val="24"/>
        </w:rPr>
        <w:t>.2</w:t>
      </w:r>
      <w:r>
        <w:rPr>
          <w:szCs w:val="24"/>
        </w:rPr>
        <w:t>监</w:t>
      </w:r>
      <w:r>
        <w:rPr>
          <w:rFonts w:hint="eastAsia"/>
          <w:szCs w:val="24"/>
        </w:rPr>
        <w:t>控</w:t>
      </w:r>
      <w:r>
        <w:rPr>
          <w:szCs w:val="24"/>
        </w:rPr>
        <w:t>计划</w:t>
      </w:r>
    </w:p>
    <w:p w:rsidR="00C223F5" w:rsidRDefault="005860D5">
      <w:pPr>
        <w:pStyle w:val="aff1"/>
        <w:tabs>
          <w:tab w:val="clear" w:pos="5781"/>
        </w:tabs>
        <w:spacing w:line="360" w:lineRule="auto"/>
        <w:ind w:left="0" w:firstLineChars="200" w:firstLine="482"/>
        <w:rPr>
          <w:b/>
        </w:rPr>
      </w:pPr>
      <w:r>
        <w:rPr>
          <w:rFonts w:hint="eastAsia"/>
          <w:b/>
        </w:rPr>
        <w:t>（</w:t>
      </w:r>
      <w:r>
        <w:rPr>
          <w:rFonts w:hint="eastAsia"/>
          <w:b/>
        </w:rPr>
        <w:t>1</w:t>
      </w:r>
      <w:r>
        <w:rPr>
          <w:rFonts w:hint="eastAsia"/>
          <w:b/>
        </w:rPr>
        <w:t>）监测与跟踪范围</w:t>
      </w:r>
      <w:r>
        <w:rPr>
          <w:rFonts w:hint="eastAsia"/>
          <w:b/>
        </w:rPr>
        <w:t xml:space="preserve"> </w:t>
      </w:r>
    </w:p>
    <w:p w:rsidR="00C223F5" w:rsidRDefault="005860D5">
      <w:pPr>
        <w:widowControl/>
        <w:spacing w:line="360" w:lineRule="auto"/>
        <w:ind w:firstLineChars="200" w:firstLine="480"/>
        <w:rPr>
          <w:sz w:val="24"/>
          <w:szCs w:val="20"/>
        </w:rPr>
      </w:pPr>
      <w:r>
        <w:rPr>
          <w:rFonts w:hint="eastAsia"/>
          <w:sz w:val="24"/>
          <w:szCs w:val="20"/>
        </w:rPr>
        <w:t>煤矿开采区、施工现场、施工道路、工业场地、附属设施等以及上述范围内生产施工对周边造成生态破坏的区域。</w:t>
      </w:r>
    </w:p>
    <w:p w:rsidR="00C223F5" w:rsidRDefault="005860D5">
      <w:pPr>
        <w:pStyle w:val="aff1"/>
        <w:tabs>
          <w:tab w:val="clear" w:pos="5781"/>
        </w:tabs>
        <w:spacing w:line="360" w:lineRule="auto"/>
        <w:ind w:left="0" w:firstLineChars="200" w:firstLine="482"/>
        <w:rPr>
          <w:b/>
        </w:rPr>
      </w:pPr>
      <w:r>
        <w:rPr>
          <w:rFonts w:hint="eastAsia"/>
          <w:b/>
        </w:rPr>
        <w:t>（</w:t>
      </w:r>
      <w:r>
        <w:rPr>
          <w:rFonts w:hint="eastAsia"/>
          <w:b/>
        </w:rPr>
        <w:t>2</w:t>
      </w:r>
      <w:r>
        <w:rPr>
          <w:rFonts w:hint="eastAsia"/>
          <w:b/>
        </w:rPr>
        <w:t>）生态环境监测方案</w:t>
      </w:r>
    </w:p>
    <w:p w:rsidR="00C223F5" w:rsidRDefault="005860D5">
      <w:pPr>
        <w:widowControl/>
        <w:spacing w:line="360" w:lineRule="auto"/>
        <w:ind w:firstLineChars="200" w:firstLine="480"/>
        <w:rPr>
          <w:sz w:val="24"/>
          <w:szCs w:val="20"/>
        </w:rPr>
      </w:pPr>
      <w:r>
        <w:rPr>
          <w:rFonts w:hint="eastAsia"/>
          <w:sz w:val="24"/>
          <w:szCs w:val="20"/>
        </w:rPr>
        <w:t>建设期环境监测方案见表</w:t>
      </w:r>
      <w:r>
        <w:rPr>
          <w:rFonts w:hint="eastAsia"/>
          <w:sz w:val="24"/>
          <w:szCs w:val="20"/>
        </w:rPr>
        <w:t>5.1.4-1</w:t>
      </w:r>
      <w:r>
        <w:rPr>
          <w:rFonts w:hint="eastAsia"/>
          <w:sz w:val="24"/>
          <w:szCs w:val="20"/>
        </w:rPr>
        <w:t>。</w:t>
      </w:r>
    </w:p>
    <w:p w:rsidR="00C223F5" w:rsidRDefault="005860D5">
      <w:pPr>
        <w:widowControl/>
        <w:spacing w:line="360" w:lineRule="auto"/>
        <w:ind w:firstLineChars="200" w:firstLine="480"/>
        <w:rPr>
          <w:sz w:val="24"/>
          <w:szCs w:val="20"/>
        </w:rPr>
      </w:pPr>
      <w:r>
        <w:rPr>
          <w:rFonts w:hint="eastAsia"/>
          <w:sz w:val="24"/>
          <w:szCs w:val="20"/>
        </w:rPr>
        <w:t>运营期生态环境监测方案见表</w:t>
      </w:r>
      <w:r>
        <w:rPr>
          <w:rFonts w:hint="eastAsia"/>
          <w:sz w:val="24"/>
          <w:szCs w:val="20"/>
        </w:rPr>
        <w:t>5.1.4-2</w:t>
      </w:r>
      <w:r>
        <w:rPr>
          <w:rFonts w:hint="eastAsia"/>
          <w:sz w:val="24"/>
          <w:szCs w:val="20"/>
        </w:rPr>
        <w:t>。</w:t>
      </w:r>
    </w:p>
    <w:p w:rsidR="00C223F5" w:rsidRDefault="005860D5">
      <w:pPr>
        <w:widowControl/>
        <w:jc w:val="center"/>
        <w:rPr>
          <w:b/>
          <w:sz w:val="24"/>
          <w:szCs w:val="20"/>
        </w:rPr>
      </w:pPr>
      <w:r>
        <w:rPr>
          <w:rFonts w:hint="eastAsia"/>
          <w:b/>
          <w:sz w:val="24"/>
          <w:szCs w:val="20"/>
        </w:rPr>
        <w:t>表</w:t>
      </w:r>
      <w:r>
        <w:rPr>
          <w:rFonts w:hint="eastAsia"/>
          <w:b/>
          <w:sz w:val="24"/>
          <w:szCs w:val="20"/>
        </w:rPr>
        <w:t xml:space="preserve">5.1.4-1   </w:t>
      </w:r>
      <w:r>
        <w:rPr>
          <w:rFonts w:hint="eastAsia"/>
          <w:b/>
          <w:sz w:val="24"/>
          <w:szCs w:val="20"/>
        </w:rPr>
        <w:t>建设期生态环境监测方案</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079"/>
        <w:gridCol w:w="4203"/>
        <w:gridCol w:w="1418"/>
        <w:gridCol w:w="1577"/>
      </w:tblGrid>
      <w:tr w:rsidR="00C223F5">
        <w:trPr>
          <w:trHeight w:val="456"/>
          <w:jc w:val="center"/>
        </w:trPr>
        <w:tc>
          <w:tcPr>
            <w:tcW w:w="708" w:type="dxa"/>
            <w:shd w:val="clear" w:color="auto" w:fill="auto"/>
            <w:vAlign w:val="center"/>
          </w:tcPr>
          <w:p w:rsidR="00C223F5" w:rsidRDefault="005860D5" w:rsidP="00D13554">
            <w:pPr>
              <w:jc w:val="center"/>
              <w:rPr>
                <w:szCs w:val="21"/>
              </w:rPr>
            </w:pPr>
            <w:r>
              <w:rPr>
                <w:rFonts w:hint="eastAsia"/>
                <w:szCs w:val="21"/>
              </w:rPr>
              <w:t>序号</w:t>
            </w:r>
          </w:p>
        </w:tc>
        <w:tc>
          <w:tcPr>
            <w:tcW w:w="1079" w:type="dxa"/>
            <w:shd w:val="clear" w:color="auto" w:fill="auto"/>
            <w:vAlign w:val="center"/>
          </w:tcPr>
          <w:p w:rsidR="00C223F5" w:rsidRDefault="005860D5" w:rsidP="00D13554">
            <w:pPr>
              <w:jc w:val="center"/>
              <w:rPr>
                <w:szCs w:val="21"/>
              </w:rPr>
            </w:pPr>
            <w:r>
              <w:rPr>
                <w:rFonts w:hint="eastAsia"/>
                <w:szCs w:val="21"/>
              </w:rPr>
              <w:t>监测内容</w:t>
            </w:r>
          </w:p>
        </w:tc>
        <w:tc>
          <w:tcPr>
            <w:tcW w:w="4203" w:type="dxa"/>
            <w:shd w:val="clear" w:color="auto" w:fill="auto"/>
            <w:vAlign w:val="center"/>
          </w:tcPr>
          <w:p w:rsidR="00C223F5" w:rsidRDefault="005860D5" w:rsidP="00D13554">
            <w:pPr>
              <w:jc w:val="center"/>
              <w:rPr>
                <w:szCs w:val="21"/>
              </w:rPr>
            </w:pPr>
            <w:r>
              <w:rPr>
                <w:rFonts w:hint="eastAsia"/>
                <w:szCs w:val="21"/>
              </w:rPr>
              <w:t>主要技术要求</w:t>
            </w:r>
          </w:p>
        </w:tc>
        <w:tc>
          <w:tcPr>
            <w:tcW w:w="1418" w:type="dxa"/>
            <w:vAlign w:val="center"/>
          </w:tcPr>
          <w:p w:rsidR="00C223F5" w:rsidRDefault="005860D5" w:rsidP="00D13554">
            <w:pPr>
              <w:pStyle w:val="affffff7"/>
              <w:rPr>
                <w:color w:val="auto"/>
                <w:sz w:val="21"/>
                <w:szCs w:val="21"/>
              </w:rPr>
            </w:pPr>
            <w:r>
              <w:rPr>
                <w:color w:val="auto"/>
                <w:sz w:val="21"/>
                <w:szCs w:val="21"/>
              </w:rPr>
              <w:t>报告制度</w:t>
            </w:r>
          </w:p>
        </w:tc>
        <w:tc>
          <w:tcPr>
            <w:tcW w:w="1577" w:type="dxa"/>
            <w:vAlign w:val="center"/>
          </w:tcPr>
          <w:p w:rsidR="00C223F5" w:rsidRDefault="005860D5" w:rsidP="00D13554">
            <w:pPr>
              <w:pStyle w:val="affffff7"/>
              <w:rPr>
                <w:color w:val="auto"/>
                <w:sz w:val="21"/>
                <w:szCs w:val="21"/>
              </w:rPr>
            </w:pPr>
            <w:r>
              <w:rPr>
                <w:color w:val="auto"/>
                <w:sz w:val="21"/>
                <w:szCs w:val="21"/>
              </w:rPr>
              <w:t>实施单位</w:t>
            </w:r>
          </w:p>
        </w:tc>
      </w:tr>
      <w:tr w:rsidR="00C223F5">
        <w:trPr>
          <w:trHeight w:val="1413"/>
          <w:jc w:val="center"/>
        </w:trPr>
        <w:tc>
          <w:tcPr>
            <w:tcW w:w="708" w:type="dxa"/>
            <w:shd w:val="clear" w:color="auto" w:fill="auto"/>
            <w:vAlign w:val="center"/>
          </w:tcPr>
          <w:p w:rsidR="00C223F5" w:rsidRDefault="005860D5" w:rsidP="00D13554">
            <w:pPr>
              <w:jc w:val="center"/>
              <w:rPr>
                <w:szCs w:val="21"/>
              </w:rPr>
            </w:pPr>
            <w:r>
              <w:rPr>
                <w:szCs w:val="21"/>
              </w:rPr>
              <w:t>1</w:t>
            </w:r>
          </w:p>
        </w:tc>
        <w:tc>
          <w:tcPr>
            <w:tcW w:w="1079" w:type="dxa"/>
            <w:shd w:val="clear" w:color="auto" w:fill="auto"/>
            <w:vAlign w:val="center"/>
          </w:tcPr>
          <w:p w:rsidR="00C223F5" w:rsidRDefault="005860D5" w:rsidP="00D13554">
            <w:pPr>
              <w:jc w:val="center"/>
              <w:rPr>
                <w:szCs w:val="21"/>
              </w:rPr>
            </w:pPr>
            <w:r>
              <w:rPr>
                <w:rFonts w:hint="eastAsia"/>
                <w:szCs w:val="21"/>
              </w:rPr>
              <w:t>施工现场清理</w:t>
            </w:r>
          </w:p>
        </w:tc>
        <w:tc>
          <w:tcPr>
            <w:tcW w:w="4203" w:type="dxa"/>
            <w:shd w:val="clear" w:color="auto" w:fill="auto"/>
            <w:vAlign w:val="center"/>
          </w:tcPr>
          <w:p w:rsidR="00C223F5" w:rsidRDefault="005860D5" w:rsidP="00D13554">
            <w:pPr>
              <w:rPr>
                <w:szCs w:val="21"/>
              </w:rPr>
            </w:pPr>
            <w:r>
              <w:rPr>
                <w:szCs w:val="21"/>
              </w:rPr>
              <w:t>1.</w:t>
            </w:r>
            <w:r>
              <w:rPr>
                <w:rFonts w:hint="eastAsia"/>
                <w:szCs w:val="21"/>
              </w:rPr>
              <w:t>监测项目：施工清理后，施工现场的弃土石方等废弃物和生态环境恢复情况。</w:t>
            </w:r>
          </w:p>
          <w:p w:rsidR="00C223F5" w:rsidRDefault="005860D5" w:rsidP="00D13554">
            <w:pPr>
              <w:rPr>
                <w:szCs w:val="21"/>
              </w:rPr>
            </w:pPr>
            <w:r>
              <w:rPr>
                <w:szCs w:val="21"/>
              </w:rPr>
              <w:t>2.</w:t>
            </w:r>
            <w:r>
              <w:rPr>
                <w:rFonts w:hint="eastAsia"/>
                <w:szCs w:val="21"/>
              </w:rPr>
              <w:t>监测频率：施工结束后一次。</w:t>
            </w:r>
          </w:p>
          <w:p w:rsidR="00C223F5" w:rsidRDefault="005860D5" w:rsidP="00D13554">
            <w:pPr>
              <w:rPr>
                <w:szCs w:val="21"/>
              </w:rPr>
            </w:pPr>
            <w:r>
              <w:rPr>
                <w:szCs w:val="21"/>
              </w:rPr>
              <w:t>3.</w:t>
            </w:r>
            <w:r>
              <w:rPr>
                <w:rFonts w:hint="eastAsia"/>
                <w:szCs w:val="21"/>
              </w:rPr>
              <w:t>监测地点：项目区各施工区。</w:t>
            </w:r>
          </w:p>
        </w:tc>
        <w:tc>
          <w:tcPr>
            <w:tcW w:w="1418" w:type="dxa"/>
            <w:vAlign w:val="center"/>
          </w:tcPr>
          <w:p w:rsidR="00C223F5" w:rsidRDefault="005860D5" w:rsidP="00D13554">
            <w:pPr>
              <w:pStyle w:val="affffff7"/>
              <w:rPr>
                <w:color w:val="auto"/>
                <w:sz w:val="21"/>
                <w:szCs w:val="21"/>
              </w:rPr>
            </w:pPr>
            <w:r>
              <w:rPr>
                <w:color w:val="auto"/>
                <w:sz w:val="21"/>
                <w:szCs w:val="21"/>
              </w:rPr>
              <w:t>报省、市环保局、水保局</w:t>
            </w:r>
          </w:p>
        </w:tc>
        <w:tc>
          <w:tcPr>
            <w:tcW w:w="1577" w:type="dxa"/>
            <w:vAlign w:val="center"/>
          </w:tcPr>
          <w:p w:rsidR="00C223F5" w:rsidRDefault="005860D5" w:rsidP="00D13554">
            <w:pPr>
              <w:pStyle w:val="affffff7"/>
              <w:rPr>
                <w:color w:val="auto"/>
                <w:sz w:val="21"/>
                <w:szCs w:val="21"/>
              </w:rPr>
            </w:pPr>
            <w:r>
              <w:rPr>
                <w:color w:val="auto"/>
                <w:sz w:val="21"/>
                <w:szCs w:val="21"/>
              </w:rPr>
              <w:t>建设单位委托有资质机构</w:t>
            </w:r>
          </w:p>
        </w:tc>
      </w:tr>
      <w:tr w:rsidR="00C223F5">
        <w:trPr>
          <w:trHeight w:val="1122"/>
          <w:jc w:val="center"/>
        </w:trPr>
        <w:tc>
          <w:tcPr>
            <w:tcW w:w="708" w:type="dxa"/>
            <w:shd w:val="clear" w:color="auto" w:fill="auto"/>
            <w:vAlign w:val="center"/>
          </w:tcPr>
          <w:p w:rsidR="00C223F5" w:rsidRDefault="005860D5" w:rsidP="00D13554">
            <w:pPr>
              <w:jc w:val="center"/>
              <w:rPr>
                <w:szCs w:val="21"/>
              </w:rPr>
            </w:pPr>
            <w:r>
              <w:rPr>
                <w:szCs w:val="21"/>
              </w:rPr>
              <w:t>2</w:t>
            </w:r>
          </w:p>
        </w:tc>
        <w:tc>
          <w:tcPr>
            <w:tcW w:w="1079" w:type="dxa"/>
            <w:shd w:val="clear" w:color="auto" w:fill="auto"/>
            <w:vAlign w:val="center"/>
          </w:tcPr>
          <w:p w:rsidR="00C223F5" w:rsidRDefault="005860D5" w:rsidP="00D13554">
            <w:pPr>
              <w:jc w:val="center"/>
              <w:rPr>
                <w:szCs w:val="21"/>
              </w:rPr>
            </w:pPr>
            <w:r>
              <w:rPr>
                <w:rFonts w:hint="eastAsia"/>
                <w:szCs w:val="21"/>
              </w:rPr>
              <w:t>土壤侵蚀</w:t>
            </w:r>
          </w:p>
        </w:tc>
        <w:tc>
          <w:tcPr>
            <w:tcW w:w="4203" w:type="dxa"/>
            <w:shd w:val="clear" w:color="auto" w:fill="auto"/>
            <w:vAlign w:val="center"/>
          </w:tcPr>
          <w:p w:rsidR="00C223F5" w:rsidRDefault="005860D5" w:rsidP="00D13554">
            <w:pPr>
              <w:rPr>
                <w:szCs w:val="21"/>
              </w:rPr>
            </w:pPr>
            <w:r>
              <w:rPr>
                <w:szCs w:val="21"/>
              </w:rPr>
              <w:t>1.</w:t>
            </w:r>
            <w:r>
              <w:rPr>
                <w:rFonts w:hint="eastAsia"/>
                <w:szCs w:val="21"/>
              </w:rPr>
              <w:t>监测项目：土壤侵蚀类型、侵蚀量</w:t>
            </w:r>
          </w:p>
          <w:p w:rsidR="00C223F5" w:rsidRDefault="005860D5" w:rsidP="00D13554">
            <w:pPr>
              <w:rPr>
                <w:szCs w:val="21"/>
              </w:rPr>
            </w:pPr>
            <w:r>
              <w:rPr>
                <w:szCs w:val="21"/>
              </w:rPr>
              <w:t>2.</w:t>
            </w:r>
            <w:r>
              <w:rPr>
                <w:rFonts w:hint="eastAsia"/>
                <w:szCs w:val="21"/>
              </w:rPr>
              <w:t>监测频率：施工期间一次、施工后一次。</w:t>
            </w:r>
          </w:p>
          <w:p w:rsidR="00C223F5" w:rsidRDefault="005860D5" w:rsidP="00D13554">
            <w:pPr>
              <w:rPr>
                <w:szCs w:val="21"/>
              </w:rPr>
            </w:pPr>
            <w:r>
              <w:rPr>
                <w:szCs w:val="21"/>
              </w:rPr>
              <w:t>3.</w:t>
            </w:r>
            <w:r>
              <w:rPr>
                <w:rFonts w:hint="eastAsia"/>
                <w:szCs w:val="21"/>
              </w:rPr>
              <w:t>监测地点：工业场地、道路施工区域。</w:t>
            </w:r>
          </w:p>
        </w:tc>
        <w:tc>
          <w:tcPr>
            <w:tcW w:w="1418" w:type="dxa"/>
            <w:vAlign w:val="center"/>
          </w:tcPr>
          <w:p w:rsidR="00C223F5" w:rsidRDefault="005860D5" w:rsidP="00D13554">
            <w:pPr>
              <w:pStyle w:val="affffff7"/>
              <w:rPr>
                <w:color w:val="auto"/>
                <w:sz w:val="21"/>
                <w:szCs w:val="21"/>
              </w:rPr>
            </w:pPr>
            <w:r>
              <w:rPr>
                <w:color w:val="auto"/>
                <w:sz w:val="21"/>
                <w:szCs w:val="21"/>
              </w:rPr>
              <w:t>同上</w:t>
            </w:r>
          </w:p>
        </w:tc>
        <w:tc>
          <w:tcPr>
            <w:tcW w:w="1577" w:type="dxa"/>
            <w:vAlign w:val="center"/>
          </w:tcPr>
          <w:p w:rsidR="00C223F5" w:rsidRDefault="005860D5" w:rsidP="00D13554">
            <w:pPr>
              <w:pStyle w:val="affffff7"/>
              <w:rPr>
                <w:color w:val="auto"/>
                <w:sz w:val="21"/>
                <w:szCs w:val="21"/>
              </w:rPr>
            </w:pPr>
            <w:r>
              <w:rPr>
                <w:color w:val="auto"/>
                <w:sz w:val="21"/>
                <w:szCs w:val="21"/>
              </w:rPr>
              <w:t>同上</w:t>
            </w:r>
          </w:p>
        </w:tc>
      </w:tr>
      <w:tr w:rsidR="00C223F5">
        <w:trPr>
          <w:trHeight w:val="1110"/>
          <w:jc w:val="center"/>
        </w:trPr>
        <w:tc>
          <w:tcPr>
            <w:tcW w:w="708" w:type="dxa"/>
            <w:shd w:val="clear" w:color="auto" w:fill="auto"/>
            <w:vAlign w:val="center"/>
          </w:tcPr>
          <w:p w:rsidR="00C223F5" w:rsidRDefault="005860D5" w:rsidP="00D13554">
            <w:pPr>
              <w:jc w:val="center"/>
              <w:rPr>
                <w:szCs w:val="21"/>
              </w:rPr>
            </w:pPr>
            <w:r>
              <w:rPr>
                <w:szCs w:val="21"/>
              </w:rPr>
              <w:t>3</w:t>
            </w:r>
          </w:p>
        </w:tc>
        <w:tc>
          <w:tcPr>
            <w:tcW w:w="1079" w:type="dxa"/>
            <w:shd w:val="clear" w:color="auto" w:fill="auto"/>
            <w:vAlign w:val="center"/>
          </w:tcPr>
          <w:p w:rsidR="00C223F5" w:rsidRDefault="005860D5" w:rsidP="00D13554">
            <w:pPr>
              <w:jc w:val="center"/>
              <w:rPr>
                <w:szCs w:val="21"/>
              </w:rPr>
            </w:pPr>
            <w:r>
              <w:rPr>
                <w:rFonts w:hint="eastAsia"/>
                <w:szCs w:val="21"/>
              </w:rPr>
              <w:t>植被</w:t>
            </w:r>
          </w:p>
        </w:tc>
        <w:tc>
          <w:tcPr>
            <w:tcW w:w="4203" w:type="dxa"/>
            <w:shd w:val="clear" w:color="auto" w:fill="auto"/>
            <w:vAlign w:val="center"/>
          </w:tcPr>
          <w:p w:rsidR="00C223F5" w:rsidRDefault="005860D5" w:rsidP="00D13554">
            <w:pPr>
              <w:rPr>
                <w:szCs w:val="21"/>
              </w:rPr>
            </w:pPr>
            <w:r>
              <w:rPr>
                <w:szCs w:val="21"/>
              </w:rPr>
              <w:t>1.</w:t>
            </w:r>
            <w:r>
              <w:rPr>
                <w:rFonts w:hint="eastAsia"/>
                <w:szCs w:val="21"/>
              </w:rPr>
              <w:t>监测项目：植被类型、草群高度、植被覆盖度。</w:t>
            </w:r>
          </w:p>
          <w:p w:rsidR="00C223F5" w:rsidRDefault="005860D5" w:rsidP="00D13554">
            <w:pPr>
              <w:rPr>
                <w:szCs w:val="21"/>
              </w:rPr>
            </w:pPr>
            <w:r>
              <w:rPr>
                <w:szCs w:val="21"/>
              </w:rPr>
              <w:t>2.</w:t>
            </w:r>
            <w:r>
              <w:rPr>
                <w:rFonts w:hint="eastAsia"/>
                <w:szCs w:val="21"/>
              </w:rPr>
              <w:t>监测频率：施工前后各一次。</w:t>
            </w:r>
          </w:p>
          <w:p w:rsidR="00C223F5" w:rsidRDefault="005860D5" w:rsidP="00D13554">
            <w:pPr>
              <w:rPr>
                <w:szCs w:val="21"/>
              </w:rPr>
            </w:pPr>
            <w:r>
              <w:rPr>
                <w:szCs w:val="21"/>
              </w:rPr>
              <w:t>3.</w:t>
            </w:r>
            <w:r>
              <w:rPr>
                <w:rFonts w:hint="eastAsia"/>
                <w:szCs w:val="21"/>
              </w:rPr>
              <w:t>监测地点：项目区临时占地施工区域及道路施工区等。</w:t>
            </w:r>
          </w:p>
        </w:tc>
        <w:tc>
          <w:tcPr>
            <w:tcW w:w="1418" w:type="dxa"/>
            <w:vAlign w:val="center"/>
          </w:tcPr>
          <w:p w:rsidR="00C223F5" w:rsidRDefault="005860D5" w:rsidP="00D13554">
            <w:pPr>
              <w:pStyle w:val="affffff7"/>
              <w:rPr>
                <w:color w:val="auto"/>
                <w:sz w:val="21"/>
                <w:szCs w:val="21"/>
              </w:rPr>
            </w:pPr>
            <w:r>
              <w:rPr>
                <w:color w:val="auto"/>
                <w:sz w:val="21"/>
                <w:szCs w:val="21"/>
              </w:rPr>
              <w:t>同上</w:t>
            </w:r>
          </w:p>
        </w:tc>
        <w:tc>
          <w:tcPr>
            <w:tcW w:w="1577" w:type="dxa"/>
            <w:vAlign w:val="center"/>
          </w:tcPr>
          <w:p w:rsidR="00C223F5" w:rsidRDefault="005860D5" w:rsidP="00D13554">
            <w:pPr>
              <w:pStyle w:val="affffff7"/>
              <w:rPr>
                <w:color w:val="auto"/>
                <w:sz w:val="21"/>
                <w:szCs w:val="21"/>
              </w:rPr>
            </w:pPr>
            <w:r>
              <w:rPr>
                <w:color w:val="auto"/>
                <w:sz w:val="21"/>
                <w:szCs w:val="21"/>
              </w:rPr>
              <w:t>同上</w:t>
            </w:r>
          </w:p>
        </w:tc>
      </w:tr>
      <w:tr w:rsidR="00C223F5" w:rsidTr="00D13554">
        <w:trPr>
          <w:trHeight w:val="841"/>
          <w:jc w:val="center"/>
        </w:trPr>
        <w:tc>
          <w:tcPr>
            <w:tcW w:w="708" w:type="dxa"/>
            <w:shd w:val="clear" w:color="auto" w:fill="auto"/>
            <w:vAlign w:val="center"/>
          </w:tcPr>
          <w:p w:rsidR="00C223F5" w:rsidRDefault="005860D5" w:rsidP="00D13554">
            <w:pPr>
              <w:jc w:val="center"/>
              <w:rPr>
                <w:szCs w:val="21"/>
              </w:rPr>
            </w:pPr>
            <w:r>
              <w:rPr>
                <w:rFonts w:hint="eastAsia"/>
                <w:szCs w:val="21"/>
              </w:rPr>
              <w:t>4</w:t>
            </w:r>
          </w:p>
        </w:tc>
        <w:tc>
          <w:tcPr>
            <w:tcW w:w="1079" w:type="dxa"/>
            <w:shd w:val="clear" w:color="auto" w:fill="auto"/>
            <w:vAlign w:val="center"/>
          </w:tcPr>
          <w:p w:rsidR="00C223F5" w:rsidRDefault="005860D5" w:rsidP="00D13554">
            <w:pPr>
              <w:jc w:val="center"/>
              <w:rPr>
                <w:szCs w:val="21"/>
              </w:rPr>
            </w:pPr>
            <w:r>
              <w:rPr>
                <w:rFonts w:hint="eastAsia"/>
                <w:szCs w:val="21"/>
              </w:rPr>
              <w:t>生态恢复与环保工程</w:t>
            </w:r>
          </w:p>
        </w:tc>
        <w:tc>
          <w:tcPr>
            <w:tcW w:w="4203" w:type="dxa"/>
            <w:shd w:val="clear" w:color="auto" w:fill="auto"/>
            <w:vAlign w:val="center"/>
          </w:tcPr>
          <w:p w:rsidR="00C223F5" w:rsidRDefault="005860D5" w:rsidP="00D13554">
            <w:pPr>
              <w:rPr>
                <w:szCs w:val="21"/>
              </w:rPr>
            </w:pPr>
            <w:r>
              <w:rPr>
                <w:szCs w:val="21"/>
              </w:rPr>
              <w:t>1.</w:t>
            </w:r>
            <w:r>
              <w:rPr>
                <w:rFonts w:hint="eastAsia"/>
                <w:szCs w:val="21"/>
              </w:rPr>
              <w:t>监测项目：植被恢复与建设、生态整治等生态环境保护措施的落实情况。</w:t>
            </w:r>
          </w:p>
          <w:p w:rsidR="00C223F5" w:rsidRDefault="005860D5" w:rsidP="00D13554">
            <w:pPr>
              <w:rPr>
                <w:szCs w:val="21"/>
              </w:rPr>
            </w:pPr>
            <w:r>
              <w:rPr>
                <w:szCs w:val="21"/>
              </w:rPr>
              <w:t>2.</w:t>
            </w:r>
            <w:r>
              <w:rPr>
                <w:rFonts w:hint="eastAsia"/>
                <w:szCs w:val="21"/>
              </w:rPr>
              <w:t>监测频率：施工后一次。</w:t>
            </w:r>
          </w:p>
          <w:p w:rsidR="00C223F5" w:rsidRDefault="005860D5" w:rsidP="00D13554">
            <w:pPr>
              <w:rPr>
                <w:szCs w:val="21"/>
              </w:rPr>
            </w:pPr>
            <w:r>
              <w:rPr>
                <w:szCs w:val="21"/>
              </w:rPr>
              <w:t>3.</w:t>
            </w:r>
            <w:r>
              <w:rPr>
                <w:rFonts w:hint="eastAsia"/>
                <w:szCs w:val="21"/>
              </w:rPr>
              <w:t>监测地点：工程项目所涉及的区域。</w:t>
            </w:r>
          </w:p>
        </w:tc>
        <w:tc>
          <w:tcPr>
            <w:tcW w:w="1418" w:type="dxa"/>
            <w:vAlign w:val="center"/>
          </w:tcPr>
          <w:p w:rsidR="00C223F5" w:rsidRDefault="005860D5" w:rsidP="00D13554">
            <w:pPr>
              <w:pStyle w:val="affffff7"/>
              <w:rPr>
                <w:color w:val="auto"/>
                <w:sz w:val="21"/>
                <w:szCs w:val="21"/>
              </w:rPr>
            </w:pPr>
            <w:r>
              <w:rPr>
                <w:color w:val="auto"/>
                <w:sz w:val="21"/>
                <w:szCs w:val="21"/>
              </w:rPr>
              <w:t>同上</w:t>
            </w:r>
          </w:p>
        </w:tc>
        <w:tc>
          <w:tcPr>
            <w:tcW w:w="1577" w:type="dxa"/>
            <w:vAlign w:val="center"/>
          </w:tcPr>
          <w:p w:rsidR="00C223F5" w:rsidRDefault="005860D5" w:rsidP="00D13554">
            <w:pPr>
              <w:pStyle w:val="affffff7"/>
              <w:rPr>
                <w:color w:val="auto"/>
                <w:sz w:val="21"/>
                <w:szCs w:val="21"/>
              </w:rPr>
            </w:pPr>
            <w:r>
              <w:rPr>
                <w:color w:val="auto"/>
                <w:sz w:val="21"/>
                <w:szCs w:val="21"/>
              </w:rPr>
              <w:t>同上</w:t>
            </w:r>
          </w:p>
        </w:tc>
      </w:tr>
    </w:tbl>
    <w:p w:rsidR="00C223F5" w:rsidRDefault="005860D5" w:rsidP="004835BD">
      <w:pPr>
        <w:widowControl/>
        <w:spacing w:beforeLines="50" w:before="120"/>
        <w:jc w:val="center"/>
        <w:rPr>
          <w:b/>
          <w:sz w:val="24"/>
          <w:szCs w:val="20"/>
        </w:rPr>
      </w:pPr>
      <w:r>
        <w:rPr>
          <w:rFonts w:hint="eastAsia"/>
          <w:b/>
          <w:sz w:val="24"/>
          <w:szCs w:val="20"/>
        </w:rPr>
        <w:lastRenderedPageBreak/>
        <w:t>表</w:t>
      </w:r>
      <w:r>
        <w:rPr>
          <w:rFonts w:hint="eastAsia"/>
          <w:b/>
          <w:sz w:val="24"/>
          <w:szCs w:val="20"/>
        </w:rPr>
        <w:t xml:space="preserve">5.1.4-2   </w:t>
      </w:r>
      <w:r>
        <w:rPr>
          <w:rFonts w:hint="eastAsia"/>
          <w:b/>
          <w:sz w:val="24"/>
          <w:szCs w:val="20"/>
        </w:rPr>
        <w:t>运营期生态环境监测方案</w:t>
      </w:r>
    </w:p>
    <w:tbl>
      <w:tblPr>
        <w:tblW w:w="8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693"/>
        <w:gridCol w:w="5387"/>
      </w:tblGrid>
      <w:tr w:rsidR="00C223F5">
        <w:trPr>
          <w:jc w:val="center"/>
        </w:trPr>
        <w:tc>
          <w:tcPr>
            <w:tcW w:w="817" w:type="dxa"/>
            <w:shd w:val="clear" w:color="auto" w:fill="auto"/>
            <w:vAlign w:val="center"/>
          </w:tcPr>
          <w:p w:rsidR="00C223F5" w:rsidRDefault="005860D5">
            <w:pPr>
              <w:jc w:val="center"/>
            </w:pPr>
            <w:r>
              <w:rPr>
                <w:rFonts w:hint="eastAsia"/>
              </w:rPr>
              <w:t>序号</w:t>
            </w:r>
          </w:p>
        </w:tc>
        <w:tc>
          <w:tcPr>
            <w:tcW w:w="2693" w:type="dxa"/>
            <w:shd w:val="clear" w:color="auto" w:fill="auto"/>
            <w:vAlign w:val="center"/>
          </w:tcPr>
          <w:p w:rsidR="00C223F5" w:rsidRDefault="005860D5">
            <w:pPr>
              <w:jc w:val="center"/>
            </w:pPr>
            <w:r>
              <w:rPr>
                <w:rFonts w:hint="eastAsia"/>
              </w:rPr>
              <w:t>监测内容</w:t>
            </w:r>
          </w:p>
        </w:tc>
        <w:tc>
          <w:tcPr>
            <w:tcW w:w="5387" w:type="dxa"/>
            <w:shd w:val="clear" w:color="auto" w:fill="auto"/>
            <w:vAlign w:val="center"/>
          </w:tcPr>
          <w:p w:rsidR="00C223F5" w:rsidRDefault="005860D5">
            <w:pPr>
              <w:jc w:val="center"/>
            </w:pPr>
            <w:r>
              <w:rPr>
                <w:rFonts w:hint="eastAsia"/>
              </w:rPr>
              <w:t>主要技术要求</w:t>
            </w:r>
          </w:p>
        </w:tc>
      </w:tr>
      <w:tr w:rsidR="00C223F5">
        <w:trPr>
          <w:jc w:val="center"/>
        </w:trPr>
        <w:tc>
          <w:tcPr>
            <w:tcW w:w="817" w:type="dxa"/>
            <w:shd w:val="clear" w:color="auto" w:fill="auto"/>
            <w:vAlign w:val="center"/>
          </w:tcPr>
          <w:p w:rsidR="00C223F5" w:rsidRDefault="005860D5">
            <w:pPr>
              <w:jc w:val="center"/>
            </w:pPr>
            <w:r>
              <w:t>1</w:t>
            </w:r>
          </w:p>
        </w:tc>
        <w:tc>
          <w:tcPr>
            <w:tcW w:w="2693" w:type="dxa"/>
            <w:shd w:val="clear" w:color="auto" w:fill="auto"/>
            <w:vAlign w:val="center"/>
          </w:tcPr>
          <w:p w:rsidR="00C223F5" w:rsidRDefault="005860D5">
            <w:pPr>
              <w:jc w:val="center"/>
            </w:pPr>
            <w:r>
              <w:rPr>
                <w:rFonts w:hint="eastAsia"/>
              </w:rPr>
              <w:t>景观、植被恢复、变化情况</w:t>
            </w:r>
          </w:p>
        </w:tc>
        <w:tc>
          <w:tcPr>
            <w:tcW w:w="5387" w:type="dxa"/>
            <w:shd w:val="clear" w:color="auto" w:fill="auto"/>
            <w:vAlign w:val="center"/>
          </w:tcPr>
          <w:p w:rsidR="00C223F5" w:rsidRDefault="005860D5">
            <w:r>
              <w:t>1.</w:t>
            </w:r>
            <w:r>
              <w:rPr>
                <w:rFonts w:hint="eastAsia"/>
              </w:rPr>
              <w:t>监测项目：景观类型、植被类型、植被覆盖度、土地复垦率、生物量、土地生产力。</w:t>
            </w:r>
          </w:p>
          <w:p w:rsidR="00C223F5" w:rsidRDefault="005860D5">
            <w:r>
              <w:t>2.</w:t>
            </w:r>
            <w:r>
              <w:rPr>
                <w:rFonts w:hint="eastAsia"/>
              </w:rPr>
              <w:t>监测频率：投产期后的</w:t>
            </w:r>
            <w:r>
              <w:t>5</w:t>
            </w:r>
            <w:r>
              <w:rPr>
                <w:rFonts w:hint="eastAsia"/>
              </w:rPr>
              <w:t>年内，</w:t>
            </w:r>
            <w:r>
              <w:t>1</w:t>
            </w:r>
            <w:r>
              <w:rPr>
                <w:rFonts w:hint="eastAsia"/>
              </w:rPr>
              <w:t>次</w:t>
            </w:r>
            <w:r>
              <w:t>/</w:t>
            </w:r>
            <w:r>
              <w:rPr>
                <w:rFonts w:hint="eastAsia"/>
              </w:rPr>
              <w:t>年。</w:t>
            </w:r>
          </w:p>
          <w:p w:rsidR="00C223F5" w:rsidRDefault="005860D5">
            <w:r>
              <w:t>3.</w:t>
            </w:r>
            <w:r>
              <w:rPr>
                <w:rFonts w:hint="eastAsia"/>
              </w:rPr>
              <w:t>监测地点：开采破坏区。</w:t>
            </w:r>
          </w:p>
          <w:p w:rsidR="00C223F5" w:rsidRDefault="005860D5">
            <w:r>
              <w:t>4.</w:t>
            </w:r>
            <w:r>
              <w:rPr>
                <w:rFonts w:hint="eastAsia"/>
              </w:rPr>
              <w:t>监测方法：定期观测</w:t>
            </w:r>
          </w:p>
        </w:tc>
      </w:tr>
      <w:tr w:rsidR="00C223F5">
        <w:trPr>
          <w:jc w:val="center"/>
        </w:trPr>
        <w:tc>
          <w:tcPr>
            <w:tcW w:w="817" w:type="dxa"/>
            <w:shd w:val="clear" w:color="auto" w:fill="auto"/>
            <w:vAlign w:val="center"/>
          </w:tcPr>
          <w:p w:rsidR="00C223F5" w:rsidRDefault="005860D5">
            <w:pPr>
              <w:jc w:val="center"/>
            </w:pPr>
            <w:r>
              <w:t>2</w:t>
            </w:r>
          </w:p>
        </w:tc>
        <w:tc>
          <w:tcPr>
            <w:tcW w:w="2693" w:type="dxa"/>
            <w:shd w:val="clear" w:color="auto" w:fill="auto"/>
            <w:vAlign w:val="center"/>
          </w:tcPr>
          <w:p w:rsidR="00C223F5" w:rsidRDefault="005860D5">
            <w:pPr>
              <w:jc w:val="center"/>
            </w:pPr>
            <w:r>
              <w:rPr>
                <w:rFonts w:hint="eastAsia"/>
              </w:rPr>
              <w:t>矿区绿化与生态建设</w:t>
            </w:r>
          </w:p>
        </w:tc>
        <w:tc>
          <w:tcPr>
            <w:tcW w:w="5387" w:type="dxa"/>
            <w:shd w:val="clear" w:color="auto" w:fill="auto"/>
            <w:vAlign w:val="center"/>
          </w:tcPr>
          <w:p w:rsidR="00C223F5" w:rsidRDefault="005860D5">
            <w:r>
              <w:t>1.</w:t>
            </w:r>
            <w:r>
              <w:rPr>
                <w:rFonts w:hint="eastAsia"/>
              </w:rPr>
              <w:t>监测项目：灌木和林木生长情况及效果。</w:t>
            </w:r>
          </w:p>
          <w:p w:rsidR="00C223F5" w:rsidRDefault="005860D5">
            <w:r>
              <w:t>2.</w:t>
            </w:r>
            <w:r>
              <w:rPr>
                <w:rFonts w:hint="eastAsia"/>
              </w:rPr>
              <w:t>监测频率：投产期后</w:t>
            </w:r>
            <w:r>
              <w:t>5</w:t>
            </w:r>
            <w:r>
              <w:rPr>
                <w:rFonts w:hint="eastAsia"/>
              </w:rPr>
              <w:t>年内，</w:t>
            </w:r>
            <w:r>
              <w:t>1</w:t>
            </w:r>
            <w:r>
              <w:rPr>
                <w:rFonts w:hint="eastAsia"/>
              </w:rPr>
              <w:t>次</w:t>
            </w:r>
            <w:r>
              <w:t>/</w:t>
            </w:r>
            <w:r>
              <w:rPr>
                <w:rFonts w:hint="eastAsia"/>
              </w:rPr>
              <w:t>年。</w:t>
            </w:r>
          </w:p>
          <w:p w:rsidR="00C223F5" w:rsidRDefault="005860D5">
            <w:r>
              <w:t>3.</w:t>
            </w:r>
            <w:r>
              <w:rPr>
                <w:rFonts w:hint="eastAsia"/>
              </w:rPr>
              <w:t>监测地点：工业场地周围、矿区建筑物周围及公路绿化区。</w:t>
            </w:r>
          </w:p>
          <w:p w:rsidR="00C223F5" w:rsidRDefault="005860D5">
            <w:r>
              <w:t>4.</w:t>
            </w:r>
            <w:r>
              <w:rPr>
                <w:rFonts w:hint="eastAsia"/>
              </w:rPr>
              <w:t>监测方法：定期观测</w:t>
            </w:r>
          </w:p>
        </w:tc>
      </w:tr>
      <w:tr w:rsidR="00C223F5">
        <w:trPr>
          <w:jc w:val="center"/>
        </w:trPr>
        <w:tc>
          <w:tcPr>
            <w:tcW w:w="817" w:type="dxa"/>
            <w:shd w:val="clear" w:color="auto" w:fill="auto"/>
            <w:vAlign w:val="center"/>
          </w:tcPr>
          <w:p w:rsidR="00C223F5" w:rsidRDefault="005860D5">
            <w:pPr>
              <w:jc w:val="center"/>
            </w:pPr>
            <w:r>
              <w:rPr>
                <w:rFonts w:hint="eastAsia"/>
              </w:rPr>
              <w:t>3</w:t>
            </w:r>
          </w:p>
        </w:tc>
        <w:tc>
          <w:tcPr>
            <w:tcW w:w="2693" w:type="dxa"/>
            <w:shd w:val="clear" w:color="auto" w:fill="auto"/>
            <w:vAlign w:val="center"/>
          </w:tcPr>
          <w:p w:rsidR="00C223F5" w:rsidRDefault="005860D5">
            <w:pPr>
              <w:jc w:val="center"/>
              <w:rPr>
                <w:szCs w:val="21"/>
              </w:rPr>
            </w:pPr>
            <w:r>
              <w:rPr>
                <w:szCs w:val="21"/>
              </w:rPr>
              <w:t>地表变形</w:t>
            </w:r>
          </w:p>
        </w:tc>
        <w:tc>
          <w:tcPr>
            <w:tcW w:w="5387" w:type="dxa"/>
            <w:shd w:val="clear" w:color="auto" w:fill="auto"/>
            <w:vAlign w:val="center"/>
          </w:tcPr>
          <w:p w:rsidR="00C223F5" w:rsidRDefault="005860D5">
            <w:pPr>
              <w:widowControl/>
              <w:jc w:val="left"/>
              <w:rPr>
                <w:kern w:val="0"/>
                <w:szCs w:val="21"/>
              </w:rPr>
            </w:pPr>
            <w:r>
              <w:rPr>
                <w:kern w:val="0"/>
                <w:szCs w:val="21"/>
              </w:rPr>
              <w:t>1.</w:t>
            </w:r>
            <w:r>
              <w:rPr>
                <w:kern w:val="0"/>
                <w:szCs w:val="21"/>
              </w:rPr>
              <w:t>监测项目：地表下沉、地表倾斜、水平移动等；</w:t>
            </w:r>
          </w:p>
          <w:p w:rsidR="00C223F5" w:rsidRDefault="005860D5">
            <w:pPr>
              <w:widowControl/>
              <w:jc w:val="left"/>
              <w:rPr>
                <w:kern w:val="0"/>
                <w:szCs w:val="21"/>
              </w:rPr>
            </w:pPr>
            <w:r>
              <w:rPr>
                <w:kern w:val="0"/>
                <w:szCs w:val="21"/>
              </w:rPr>
              <w:t>2.</w:t>
            </w:r>
            <w:r>
              <w:rPr>
                <w:kern w:val="0"/>
                <w:szCs w:val="21"/>
              </w:rPr>
              <w:t>监测频率：</w:t>
            </w:r>
            <w:r>
              <w:rPr>
                <w:rFonts w:hint="eastAsia"/>
                <w:kern w:val="0"/>
                <w:szCs w:val="21"/>
              </w:rPr>
              <w:t>首采</w:t>
            </w:r>
            <w:r>
              <w:rPr>
                <w:kern w:val="0"/>
                <w:szCs w:val="21"/>
              </w:rPr>
              <w:t>工作面开始开采到沉陷稳定期间进行观测。</w:t>
            </w:r>
          </w:p>
        </w:tc>
      </w:tr>
      <w:tr w:rsidR="00C223F5">
        <w:trPr>
          <w:jc w:val="center"/>
        </w:trPr>
        <w:tc>
          <w:tcPr>
            <w:tcW w:w="817" w:type="dxa"/>
            <w:shd w:val="clear" w:color="auto" w:fill="auto"/>
            <w:vAlign w:val="center"/>
          </w:tcPr>
          <w:p w:rsidR="00C223F5" w:rsidRDefault="005860D5">
            <w:pPr>
              <w:ind w:left="-105" w:right="-105"/>
              <w:jc w:val="center"/>
              <w:rPr>
                <w:szCs w:val="21"/>
              </w:rPr>
            </w:pPr>
            <w:r>
              <w:rPr>
                <w:szCs w:val="21"/>
              </w:rPr>
              <w:t>4</w:t>
            </w:r>
          </w:p>
        </w:tc>
        <w:tc>
          <w:tcPr>
            <w:tcW w:w="2693" w:type="dxa"/>
            <w:shd w:val="clear" w:color="auto" w:fill="auto"/>
            <w:vAlign w:val="center"/>
          </w:tcPr>
          <w:p w:rsidR="00C223F5" w:rsidRDefault="005860D5">
            <w:pPr>
              <w:widowControl/>
              <w:jc w:val="center"/>
              <w:rPr>
                <w:kern w:val="0"/>
                <w:szCs w:val="21"/>
              </w:rPr>
            </w:pPr>
            <w:r>
              <w:rPr>
                <w:kern w:val="0"/>
                <w:szCs w:val="21"/>
              </w:rPr>
              <w:t>土壤环境</w:t>
            </w:r>
          </w:p>
        </w:tc>
        <w:tc>
          <w:tcPr>
            <w:tcW w:w="5387" w:type="dxa"/>
            <w:shd w:val="clear" w:color="auto" w:fill="auto"/>
            <w:vAlign w:val="center"/>
          </w:tcPr>
          <w:p w:rsidR="00C223F5" w:rsidRDefault="005860D5">
            <w:pPr>
              <w:widowControl/>
              <w:ind w:left="210" w:hangingChars="100" w:hanging="210"/>
              <w:jc w:val="left"/>
              <w:rPr>
                <w:kern w:val="0"/>
                <w:szCs w:val="21"/>
              </w:rPr>
            </w:pPr>
            <w:r>
              <w:rPr>
                <w:kern w:val="0"/>
                <w:szCs w:val="21"/>
              </w:rPr>
              <w:t>1.</w:t>
            </w:r>
            <w:r>
              <w:rPr>
                <w:kern w:val="0"/>
                <w:szCs w:val="21"/>
              </w:rPr>
              <w:t>监测项目：</w:t>
            </w:r>
            <w:r>
              <w:rPr>
                <w:kern w:val="0"/>
                <w:szCs w:val="21"/>
              </w:rPr>
              <w:t>pH</w:t>
            </w:r>
            <w:r>
              <w:rPr>
                <w:kern w:val="0"/>
                <w:szCs w:val="21"/>
              </w:rPr>
              <w:t>、有机质、全</w:t>
            </w:r>
            <w:r>
              <w:rPr>
                <w:kern w:val="0"/>
                <w:szCs w:val="21"/>
              </w:rPr>
              <w:t>N</w:t>
            </w:r>
            <w:r>
              <w:rPr>
                <w:kern w:val="0"/>
                <w:szCs w:val="21"/>
              </w:rPr>
              <w:t>、有效</w:t>
            </w:r>
            <w:r>
              <w:rPr>
                <w:kern w:val="0"/>
                <w:szCs w:val="21"/>
              </w:rPr>
              <w:t>P</w:t>
            </w:r>
            <w:r>
              <w:rPr>
                <w:kern w:val="0"/>
                <w:szCs w:val="21"/>
              </w:rPr>
              <w:t>、</w:t>
            </w:r>
            <w:r>
              <w:rPr>
                <w:kern w:val="0"/>
                <w:szCs w:val="21"/>
              </w:rPr>
              <w:t>K</w:t>
            </w:r>
            <w:r>
              <w:rPr>
                <w:kern w:val="0"/>
                <w:szCs w:val="21"/>
              </w:rPr>
              <w:t>。</w:t>
            </w:r>
          </w:p>
          <w:p w:rsidR="00C223F5" w:rsidRDefault="005860D5">
            <w:pPr>
              <w:widowControl/>
              <w:jc w:val="left"/>
              <w:rPr>
                <w:kern w:val="0"/>
                <w:szCs w:val="21"/>
              </w:rPr>
            </w:pPr>
            <w:r>
              <w:rPr>
                <w:kern w:val="0"/>
                <w:szCs w:val="21"/>
              </w:rPr>
              <w:t>2.</w:t>
            </w:r>
            <w:r>
              <w:rPr>
                <w:kern w:val="0"/>
                <w:szCs w:val="21"/>
              </w:rPr>
              <w:t>监测频率：</w:t>
            </w:r>
            <w:r>
              <w:rPr>
                <w:kern w:val="0"/>
                <w:szCs w:val="21"/>
              </w:rPr>
              <w:t>1</w:t>
            </w:r>
            <w:r>
              <w:rPr>
                <w:kern w:val="0"/>
                <w:szCs w:val="21"/>
              </w:rPr>
              <w:t>次</w:t>
            </w:r>
            <w:r>
              <w:rPr>
                <w:rFonts w:hint="eastAsia"/>
                <w:kern w:val="0"/>
                <w:szCs w:val="21"/>
              </w:rPr>
              <w:t>/5</w:t>
            </w:r>
            <w:r>
              <w:rPr>
                <w:rFonts w:hint="eastAsia"/>
                <w:kern w:val="0"/>
                <w:szCs w:val="21"/>
              </w:rPr>
              <w:t>年</w:t>
            </w:r>
            <w:r>
              <w:rPr>
                <w:kern w:val="0"/>
                <w:szCs w:val="21"/>
              </w:rPr>
              <w:t>。</w:t>
            </w:r>
          </w:p>
          <w:p w:rsidR="00C223F5" w:rsidRDefault="005860D5">
            <w:pPr>
              <w:widowControl/>
              <w:jc w:val="left"/>
              <w:rPr>
                <w:kern w:val="0"/>
                <w:szCs w:val="21"/>
              </w:rPr>
            </w:pPr>
            <w:r>
              <w:rPr>
                <w:kern w:val="0"/>
                <w:szCs w:val="21"/>
              </w:rPr>
              <w:t>3.</w:t>
            </w:r>
            <w:r>
              <w:rPr>
                <w:kern w:val="0"/>
                <w:szCs w:val="21"/>
              </w:rPr>
              <w:t>监测点：项目</w:t>
            </w:r>
            <w:r>
              <w:rPr>
                <w:rFonts w:hint="eastAsia"/>
                <w:kern w:val="0"/>
                <w:szCs w:val="21"/>
              </w:rPr>
              <w:t>开采不同地类</w:t>
            </w:r>
            <w:r>
              <w:rPr>
                <w:kern w:val="0"/>
                <w:szCs w:val="21"/>
              </w:rPr>
              <w:t>区</w:t>
            </w:r>
            <w:r>
              <w:rPr>
                <w:kern w:val="0"/>
                <w:szCs w:val="21"/>
              </w:rPr>
              <w:t>3</w:t>
            </w:r>
            <w:r>
              <w:rPr>
                <w:kern w:val="0"/>
                <w:szCs w:val="21"/>
              </w:rPr>
              <w:t>～</w:t>
            </w:r>
            <w:r>
              <w:rPr>
                <w:kern w:val="0"/>
                <w:szCs w:val="21"/>
              </w:rPr>
              <w:t>5</w:t>
            </w:r>
            <w:r>
              <w:rPr>
                <w:kern w:val="0"/>
                <w:szCs w:val="21"/>
              </w:rPr>
              <w:t>个点。</w:t>
            </w:r>
          </w:p>
        </w:tc>
      </w:tr>
    </w:tbl>
    <w:p w:rsidR="00C223F5" w:rsidRDefault="005860D5" w:rsidP="004835BD">
      <w:pPr>
        <w:pStyle w:val="2"/>
        <w:numPr>
          <w:ilvl w:val="0"/>
          <w:numId w:val="0"/>
        </w:numPr>
        <w:spacing w:beforeLines="100" w:before="240" w:after="0" w:line="360" w:lineRule="auto"/>
        <w:rPr>
          <w:rFonts w:ascii="Times New Roman" w:eastAsia="宋体" w:hAnsi="Times New Roman"/>
          <w:b/>
          <w:bCs w:val="0"/>
          <w:szCs w:val="30"/>
        </w:rPr>
      </w:pPr>
      <w:bookmarkStart w:id="463" w:name="_Toc484519704"/>
      <w:bookmarkStart w:id="464" w:name="_Toc493246122"/>
      <w:bookmarkStart w:id="465" w:name="_Toc533604344"/>
      <w:bookmarkStart w:id="466" w:name="_Toc533604764"/>
      <w:bookmarkStart w:id="467" w:name="_Toc485195513"/>
      <w:bookmarkStart w:id="468" w:name="_Toc16785310"/>
      <w:r>
        <w:rPr>
          <w:rFonts w:ascii="Times New Roman" w:eastAsia="宋体" w:hAnsi="Times New Roman" w:hint="eastAsia"/>
          <w:b/>
          <w:bCs w:val="0"/>
          <w:szCs w:val="30"/>
        </w:rPr>
        <w:t>5</w:t>
      </w:r>
      <w:r>
        <w:rPr>
          <w:rFonts w:ascii="Times New Roman" w:eastAsia="宋体" w:hAnsi="Times New Roman"/>
          <w:b/>
          <w:bCs w:val="0"/>
          <w:szCs w:val="30"/>
        </w:rPr>
        <w:t>.</w:t>
      </w:r>
      <w:r>
        <w:rPr>
          <w:rFonts w:ascii="Times New Roman" w:eastAsia="宋体" w:hAnsi="Times New Roman" w:hint="eastAsia"/>
          <w:b/>
          <w:bCs w:val="0"/>
          <w:szCs w:val="30"/>
        </w:rPr>
        <w:t>2</w:t>
      </w:r>
      <w:r>
        <w:rPr>
          <w:rFonts w:ascii="Times New Roman" w:eastAsia="宋体" w:hAnsi="Times New Roman" w:hint="eastAsia"/>
          <w:b/>
          <w:bCs w:val="0"/>
          <w:szCs w:val="30"/>
        </w:rPr>
        <w:t>地下水环境保护措施</w:t>
      </w:r>
      <w:bookmarkEnd w:id="463"/>
      <w:bookmarkEnd w:id="464"/>
      <w:bookmarkEnd w:id="465"/>
      <w:bookmarkEnd w:id="466"/>
      <w:bookmarkEnd w:id="467"/>
      <w:bookmarkEnd w:id="468"/>
    </w:p>
    <w:p w:rsidR="00C223F5" w:rsidRDefault="005860D5" w:rsidP="004835BD">
      <w:pPr>
        <w:pStyle w:val="3"/>
        <w:numPr>
          <w:ilvl w:val="0"/>
          <w:numId w:val="0"/>
        </w:numPr>
        <w:spacing w:before="0" w:after="0" w:line="360" w:lineRule="auto"/>
        <w:ind w:left="170"/>
        <w:rPr>
          <w:rFonts w:eastAsia="宋体"/>
          <w:b/>
          <w:bCs w:val="0"/>
          <w:sz w:val="28"/>
          <w:szCs w:val="28"/>
        </w:rPr>
      </w:pPr>
      <w:bookmarkStart w:id="469" w:name="_Toc533604345"/>
      <w:bookmarkStart w:id="470" w:name="_Toc533604765"/>
      <w:bookmarkStart w:id="471" w:name="_Toc493246123"/>
      <w:bookmarkStart w:id="472" w:name="_Toc16785311"/>
      <w:r>
        <w:rPr>
          <w:rFonts w:eastAsia="宋体" w:hint="eastAsia"/>
          <w:b/>
          <w:bCs w:val="0"/>
          <w:sz w:val="28"/>
          <w:szCs w:val="28"/>
        </w:rPr>
        <w:t>5.2.1</w:t>
      </w:r>
      <w:r>
        <w:rPr>
          <w:rFonts w:eastAsia="宋体" w:hint="eastAsia"/>
          <w:b/>
          <w:bCs w:val="0"/>
          <w:sz w:val="28"/>
          <w:szCs w:val="28"/>
        </w:rPr>
        <w:t>场地区地下水保护措施</w:t>
      </w:r>
      <w:bookmarkEnd w:id="469"/>
      <w:bookmarkEnd w:id="470"/>
      <w:bookmarkEnd w:id="471"/>
      <w:bookmarkEnd w:id="472"/>
    </w:p>
    <w:p w:rsidR="00C223F5" w:rsidRDefault="005860D5" w:rsidP="004835BD">
      <w:pPr>
        <w:pStyle w:val="4"/>
        <w:spacing w:before="0" w:after="0" w:line="360" w:lineRule="auto"/>
        <w:ind w:firstLineChars="100" w:firstLine="240"/>
        <w:rPr>
          <w:szCs w:val="24"/>
        </w:rPr>
      </w:pPr>
      <w:r>
        <w:rPr>
          <w:rFonts w:hint="eastAsia"/>
          <w:szCs w:val="24"/>
        </w:rPr>
        <w:t>5.2.1.1</w:t>
      </w:r>
      <w:r>
        <w:rPr>
          <w:szCs w:val="24"/>
        </w:rPr>
        <w:t>源头控制措施</w:t>
      </w:r>
    </w:p>
    <w:p w:rsidR="00C223F5" w:rsidRDefault="005860D5">
      <w:pPr>
        <w:adjustRightInd w:val="0"/>
        <w:spacing w:line="360" w:lineRule="auto"/>
        <w:ind w:firstLineChars="200" w:firstLine="480"/>
        <w:contextualSpacing/>
        <w:rPr>
          <w:bCs/>
          <w:sz w:val="24"/>
        </w:rPr>
      </w:pPr>
      <w:r>
        <w:rPr>
          <w:bCs/>
          <w:sz w:val="24"/>
        </w:rPr>
        <w:t>（</w:t>
      </w:r>
      <w:r>
        <w:rPr>
          <w:bCs/>
          <w:sz w:val="24"/>
        </w:rPr>
        <w:t>1</w:t>
      </w:r>
      <w:r>
        <w:rPr>
          <w:bCs/>
          <w:sz w:val="24"/>
        </w:rPr>
        <w:t>）</w:t>
      </w:r>
      <w:r>
        <w:rPr>
          <w:sz w:val="24"/>
        </w:rPr>
        <w:t>地面生产生活污水和矿井水经处理达标后妥善处置，禁止乱排</w:t>
      </w:r>
      <w:r>
        <w:rPr>
          <w:bCs/>
          <w:sz w:val="24"/>
        </w:rPr>
        <w:t>；</w:t>
      </w:r>
    </w:p>
    <w:p w:rsidR="00C223F5" w:rsidRDefault="005860D5">
      <w:pPr>
        <w:spacing w:line="360" w:lineRule="auto"/>
        <w:ind w:firstLineChars="200" w:firstLine="480"/>
        <w:rPr>
          <w:bCs/>
          <w:sz w:val="24"/>
        </w:rPr>
      </w:pPr>
      <w:r>
        <w:rPr>
          <w:bCs/>
          <w:sz w:val="24"/>
        </w:rPr>
        <w:t>（</w:t>
      </w:r>
      <w:r>
        <w:rPr>
          <w:bCs/>
          <w:sz w:val="24"/>
        </w:rPr>
        <w:t>2</w:t>
      </w:r>
      <w:r>
        <w:rPr>
          <w:bCs/>
          <w:sz w:val="24"/>
        </w:rPr>
        <w:t>）建设及生产过程中生活垃圾禁止乱堆乱放，生活垃圾统一处置；</w:t>
      </w:r>
    </w:p>
    <w:p w:rsidR="00C223F5" w:rsidRDefault="005860D5">
      <w:pPr>
        <w:spacing w:line="360" w:lineRule="auto"/>
        <w:ind w:firstLineChars="200" w:firstLine="480"/>
        <w:rPr>
          <w:bCs/>
          <w:sz w:val="24"/>
        </w:rPr>
      </w:pPr>
      <w:r>
        <w:rPr>
          <w:bCs/>
          <w:sz w:val="24"/>
        </w:rPr>
        <w:t>（</w:t>
      </w:r>
      <w:r>
        <w:rPr>
          <w:bCs/>
          <w:sz w:val="24"/>
        </w:rPr>
        <w:t>3</w:t>
      </w:r>
      <w:r>
        <w:rPr>
          <w:bCs/>
          <w:sz w:val="24"/>
        </w:rPr>
        <w:t>）生活污水处理站产生的污泥严格按照环境保护部</w:t>
      </w:r>
      <w:r>
        <w:rPr>
          <w:bCs/>
          <w:sz w:val="24"/>
        </w:rPr>
        <w:t>“</w:t>
      </w:r>
      <w:r>
        <w:rPr>
          <w:bCs/>
          <w:sz w:val="24"/>
        </w:rPr>
        <w:t>环办</w:t>
      </w:r>
      <w:r>
        <w:rPr>
          <w:bCs/>
          <w:sz w:val="24"/>
        </w:rPr>
        <w:t>[2010]157</w:t>
      </w:r>
      <w:r>
        <w:rPr>
          <w:bCs/>
          <w:sz w:val="24"/>
        </w:rPr>
        <w:t>号</w:t>
      </w:r>
      <w:r>
        <w:rPr>
          <w:bCs/>
          <w:sz w:val="24"/>
        </w:rPr>
        <w:t>”</w:t>
      </w:r>
      <w:r>
        <w:rPr>
          <w:bCs/>
          <w:sz w:val="24"/>
        </w:rPr>
        <w:t>文进行管理、处置；</w:t>
      </w:r>
    </w:p>
    <w:p w:rsidR="00C223F5" w:rsidRDefault="005860D5">
      <w:pPr>
        <w:spacing w:line="360" w:lineRule="auto"/>
        <w:ind w:firstLineChars="200" w:firstLine="480"/>
        <w:rPr>
          <w:bCs/>
          <w:sz w:val="24"/>
        </w:rPr>
      </w:pPr>
      <w:r>
        <w:rPr>
          <w:bCs/>
          <w:sz w:val="24"/>
        </w:rPr>
        <w:t>（</w:t>
      </w:r>
      <w:r>
        <w:rPr>
          <w:bCs/>
          <w:sz w:val="24"/>
        </w:rPr>
        <w:t>4</w:t>
      </w:r>
      <w:r>
        <w:rPr>
          <w:bCs/>
          <w:sz w:val="24"/>
        </w:rPr>
        <w:t>）矿井工业场地污废水处理过程中的池、渠要采取防渗处理，构筑材料须有一定的抗渗功能，从源头阻断污染物进入地下水；</w:t>
      </w:r>
    </w:p>
    <w:p w:rsidR="00C223F5" w:rsidRDefault="005860D5">
      <w:pPr>
        <w:pStyle w:val="aff1"/>
        <w:tabs>
          <w:tab w:val="clear" w:pos="5781"/>
          <w:tab w:val="left" w:pos="420"/>
        </w:tabs>
        <w:spacing w:line="360" w:lineRule="auto"/>
        <w:ind w:left="0" w:firstLineChars="200" w:firstLine="480"/>
        <w:rPr>
          <w:szCs w:val="24"/>
        </w:rPr>
      </w:pPr>
      <w:r>
        <w:rPr>
          <w:rFonts w:hAnsi="宋体"/>
          <w:szCs w:val="24"/>
        </w:rPr>
        <w:t>（</w:t>
      </w:r>
      <w:r>
        <w:rPr>
          <w:szCs w:val="24"/>
        </w:rPr>
        <w:t>5</w:t>
      </w:r>
      <w:r>
        <w:rPr>
          <w:rFonts w:hAnsi="宋体"/>
          <w:szCs w:val="24"/>
        </w:rPr>
        <w:t>）</w:t>
      </w:r>
      <w:r>
        <w:rPr>
          <w:szCs w:val="24"/>
        </w:rPr>
        <w:t>工业场地区地面实施雨污分流，减少场地区污废水的产生量；</w:t>
      </w:r>
    </w:p>
    <w:p w:rsidR="00C223F5" w:rsidRDefault="005860D5">
      <w:pPr>
        <w:pStyle w:val="aff1"/>
        <w:tabs>
          <w:tab w:val="clear" w:pos="5781"/>
        </w:tabs>
        <w:spacing w:line="360" w:lineRule="auto"/>
        <w:ind w:left="0" w:firstLineChars="200" w:firstLine="480"/>
        <w:rPr>
          <w:bCs/>
          <w:szCs w:val="24"/>
        </w:rPr>
      </w:pPr>
      <w:r>
        <w:rPr>
          <w:rFonts w:hAnsi="宋体"/>
          <w:szCs w:val="24"/>
        </w:rPr>
        <w:t>（</w:t>
      </w:r>
      <w:r>
        <w:rPr>
          <w:szCs w:val="24"/>
        </w:rPr>
        <w:t>6</w:t>
      </w:r>
      <w:r>
        <w:rPr>
          <w:rFonts w:hAnsi="宋体"/>
          <w:szCs w:val="24"/>
        </w:rPr>
        <w:t>）</w:t>
      </w:r>
      <w:r>
        <w:rPr>
          <w:bCs/>
          <w:szCs w:val="24"/>
        </w:rPr>
        <w:t>矿井采用</w:t>
      </w:r>
      <w:r>
        <w:rPr>
          <w:bCs/>
          <w:szCs w:val="24"/>
        </w:rPr>
        <w:t>HDPE</w:t>
      </w:r>
      <w:r>
        <w:rPr>
          <w:bCs/>
          <w:szCs w:val="24"/>
        </w:rPr>
        <w:t>双壁波纹塑料排水管，融熔焊接有效杜绝污废水的跑、冒、滴、漏现象的发生；</w:t>
      </w:r>
    </w:p>
    <w:p w:rsidR="00C223F5" w:rsidRDefault="005860D5">
      <w:pPr>
        <w:spacing w:line="360" w:lineRule="auto"/>
        <w:ind w:firstLineChars="200" w:firstLine="480"/>
        <w:rPr>
          <w:sz w:val="24"/>
        </w:rPr>
      </w:pPr>
      <w:r>
        <w:rPr>
          <w:bCs/>
          <w:sz w:val="24"/>
        </w:rPr>
        <w:t>（</w:t>
      </w:r>
      <w:r>
        <w:rPr>
          <w:bCs/>
          <w:sz w:val="24"/>
        </w:rPr>
        <w:t>7</w:t>
      </w:r>
      <w:r>
        <w:rPr>
          <w:bCs/>
          <w:sz w:val="24"/>
        </w:rPr>
        <w:t>）</w:t>
      </w:r>
      <w:r>
        <w:rPr>
          <w:rFonts w:hint="eastAsia"/>
          <w:bCs/>
          <w:sz w:val="24"/>
        </w:rPr>
        <w:t>选煤厂</w:t>
      </w:r>
      <w:r>
        <w:rPr>
          <w:bCs/>
          <w:sz w:val="24"/>
        </w:rPr>
        <w:t>地面硬化防渗处理，</w:t>
      </w:r>
      <w:r>
        <w:rPr>
          <w:rFonts w:hint="eastAsia"/>
          <w:bCs/>
          <w:sz w:val="24"/>
        </w:rPr>
        <w:t>设置初期雨水收集池</w:t>
      </w:r>
      <w:r>
        <w:rPr>
          <w:bCs/>
          <w:sz w:val="24"/>
        </w:rPr>
        <w:t>。</w:t>
      </w:r>
    </w:p>
    <w:p w:rsidR="00C223F5" w:rsidRDefault="005860D5" w:rsidP="004835BD">
      <w:pPr>
        <w:pStyle w:val="4"/>
        <w:spacing w:before="0" w:after="0" w:line="360" w:lineRule="auto"/>
        <w:ind w:firstLineChars="100" w:firstLine="240"/>
        <w:rPr>
          <w:szCs w:val="24"/>
        </w:rPr>
      </w:pPr>
      <w:r>
        <w:rPr>
          <w:rFonts w:hint="eastAsia"/>
          <w:szCs w:val="24"/>
        </w:rPr>
        <w:t>5.2.1.2</w:t>
      </w:r>
      <w:r>
        <w:rPr>
          <w:szCs w:val="24"/>
        </w:rPr>
        <w:t>分区防渗措施</w:t>
      </w:r>
    </w:p>
    <w:p w:rsidR="00C223F5" w:rsidRDefault="005860D5">
      <w:pPr>
        <w:spacing w:line="360" w:lineRule="auto"/>
        <w:ind w:firstLineChars="200" w:firstLine="480"/>
        <w:rPr>
          <w:snapToGrid w:val="0"/>
          <w:color w:val="000000"/>
          <w:sz w:val="24"/>
        </w:rPr>
      </w:pPr>
      <w:r>
        <w:rPr>
          <w:bCs/>
          <w:kern w:val="0"/>
          <w:sz w:val="24"/>
        </w:rPr>
        <w:t>根据厂址区天然包气带防污性能、污染控制难易程度以及特征污染物类型对厂址区内可能</w:t>
      </w:r>
      <w:r>
        <w:rPr>
          <w:bCs/>
          <w:color w:val="000000"/>
          <w:kern w:val="0"/>
          <w:sz w:val="24"/>
        </w:rPr>
        <w:t>造成地下水污染的区域进行分区防渗。将工业场地区的矿井水处理站、生活污水处理站、雨水池划分为一般污染防治区，</w:t>
      </w:r>
      <w:r w:rsidRPr="00040F41">
        <w:rPr>
          <w:bCs/>
          <w:color w:val="FF0000"/>
          <w:kern w:val="0"/>
          <w:sz w:val="24"/>
        </w:rPr>
        <w:t>油脂库</w:t>
      </w:r>
      <w:r w:rsidR="0024471A">
        <w:rPr>
          <w:rFonts w:hint="eastAsia"/>
          <w:bCs/>
          <w:color w:val="FF0000"/>
          <w:kern w:val="0"/>
          <w:sz w:val="24"/>
        </w:rPr>
        <w:t>及</w:t>
      </w:r>
      <w:r w:rsidR="00040F41" w:rsidRPr="00040F41">
        <w:rPr>
          <w:rFonts w:hint="eastAsia"/>
          <w:bCs/>
          <w:color w:val="FF0000"/>
          <w:kern w:val="0"/>
          <w:sz w:val="24"/>
        </w:rPr>
        <w:t>危废暂存间</w:t>
      </w:r>
      <w:r>
        <w:rPr>
          <w:bCs/>
          <w:color w:val="000000"/>
          <w:kern w:val="0"/>
          <w:sz w:val="24"/>
        </w:rPr>
        <w:t>划分为重点防渗区，对这些区域的地面做防渗处理，达到防渗分区的防渗技术要求，</w:t>
      </w:r>
      <w:r>
        <w:rPr>
          <w:bCs/>
          <w:color w:val="000000"/>
          <w:kern w:val="0"/>
          <w:sz w:val="24"/>
        </w:rPr>
        <w:lastRenderedPageBreak/>
        <w:t>防止污染物下渗造成地下水污染。工业场地区地下水污染源分区防渗情况见表</w:t>
      </w:r>
      <w:r>
        <w:rPr>
          <w:bCs/>
          <w:color w:val="000000"/>
          <w:kern w:val="0"/>
          <w:sz w:val="24"/>
        </w:rPr>
        <w:t>5.2.1-1</w:t>
      </w:r>
      <w:r>
        <w:rPr>
          <w:snapToGrid w:val="0"/>
          <w:color w:val="000000"/>
          <w:sz w:val="24"/>
        </w:rPr>
        <w:t>。</w:t>
      </w:r>
    </w:p>
    <w:p w:rsidR="00C223F5" w:rsidRDefault="005860D5">
      <w:pPr>
        <w:pStyle w:val="36"/>
        <w:snapToGrid w:val="0"/>
        <w:spacing w:line="240" w:lineRule="auto"/>
        <w:ind w:left="480" w:firstLine="542"/>
        <w:jc w:val="center"/>
        <w:rPr>
          <w:b/>
          <w:bCs/>
          <w:color w:val="000000"/>
          <w:kern w:val="0"/>
        </w:rPr>
      </w:pPr>
      <w:r>
        <w:rPr>
          <w:b/>
          <w:bCs/>
          <w:color w:val="000000"/>
          <w:kern w:val="0"/>
        </w:rPr>
        <w:t>表</w:t>
      </w:r>
      <w:r>
        <w:rPr>
          <w:b/>
          <w:bCs/>
          <w:color w:val="000000"/>
          <w:kern w:val="0"/>
        </w:rPr>
        <w:t xml:space="preserve">5.2.1-1  </w:t>
      </w:r>
      <w:r>
        <w:rPr>
          <w:b/>
          <w:bCs/>
          <w:color w:val="000000"/>
          <w:kern w:val="0"/>
        </w:rPr>
        <w:t>地下水分区防渗情况表</w:t>
      </w:r>
    </w:p>
    <w:tbl>
      <w:tblPr>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449"/>
        <w:gridCol w:w="1160"/>
        <w:gridCol w:w="1739"/>
        <w:gridCol w:w="2522"/>
      </w:tblGrid>
      <w:tr w:rsidR="00C223F5" w:rsidTr="00040F41">
        <w:trPr>
          <w:trHeight w:val="20"/>
        </w:trPr>
        <w:tc>
          <w:tcPr>
            <w:tcW w:w="1851" w:type="dxa"/>
            <w:vAlign w:val="center"/>
          </w:tcPr>
          <w:p w:rsidR="00C223F5" w:rsidRPr="00040F41" w:rsidRDefault="005860D5" w:rsidP="00040F41">
            <w:pPr>
              <w:snapToGrid w:val="0"/>
              <w:ind w:left="479" w:hangingChars="228" w:hanging="479"/>
              <w:jc w:val="center"/>
              <w:rPr>
                <w:bCs/>
                <w:color w:val="000000"/>
                <w:kern w:val="0"/>
                <w:szCs w:val="21"/>
              </w:rPr>
            </w:pPr>
            <w:r w:rsidRPr="00040F41">
              <w:rPr>
                <w:bCs/>
                <w:color w:val="000000"/>
                <w:kern w:val="0"/>
                <w:szCs w:val="21"/>
              </w:rPr>
              <w:t>防渗区域</w:t>
            </w:r>
          </w:p>
        </w:tc>
        <w:tc>
          <w:tcPr>
            <w:tcW w:w="1449" w:type="dxa"/>
            <w:vAlign w:val="center"/>
          </w:tcPr>
          <w:p w:rsidR="00C223F5" w:rsidRDefault="005860D5" w:rsidP="00AB79FB">
            <w:pPr>
              <w:snapToGrid w:val="0"/>
              <w:ind w:leftChars="14" w:left="172" w:hangingChars="68" w:hanging="143"/>
              <w:jc w:val="center"/>
              <w:rPr>
                <w:bCs/>
                <w:color w:val="000000"/>
                <w:kern w:val="0"/>
                <w:szCs w:val="21"/>
              </w:rPr>
            </w:pPr>
            <w:r>
              <w:rPr>
                <w:bCs/>
                <w:color w:val="000000"/>
                <w:kern w:val="0"/>
                <w:szCs w:val="21"/>
              </w:rPr>
              <w:t>天然包气带防污性能</w:t>
            </w:r>
          </w:p>
        </w:tc>
        <w:tc>
          <w:tcPr>
            <w:tcW w:w="1160" w:type="dxa"/>
            <w:vAlign w:val="center"/>
          </w:tcPr>
          <w:p w:rsidR="00C223F5" w:rsidRDefault="005860D5">
            <w:pPr>
              <w:snapToGrid w:val="0"/>
              <w:ind w:left="31" w:hangingChars="15" w:hanging="31"/>
              <w:jc w:val="center"/>
              <w:rPr>
                <w:bCs/>
                <w:color w:val="000000"/>
                <w:kern w:val="0"/>
                <w:szCs w:val="21"/>
              </w:rPr>
            </w:pPr>
            <w:r>
              <w:rPr>
                <w:bCs/>
                <w:color w:val="000000"/>
                <w:kern w:val="0"/>
                <w:szCs w:val="21"/>
              </w:rPr>
              <w:t>污染控制难易程度</w:t>
            </w:r>
          </w:p>
        </w:tc>
        <w:tc>
          <w:tcPr>
            <w:tcW w:w="1739" w:type="dxa"/>
            <w:vAlign w:val="center"/>
          </w:tcPr>
          <w:p w:rsidR="00C223F5" w:rsidRDefault="005860D5" w:rsidP="00AB79FB">
            <w:pPr>
              <w:snapToGrid w:val="0"/>
              <w:ind w:left="479" w:hangingChars="228" w:hanging="479"/>
              <w:jc w:val="center"/>
              <w:rPr>
                <w:bCs/>
                <w:color w:val="000000"/>
                <w:kern w:val="0"/>
                <w:szCs w:val="21"/>
              </w:rPr>
            </w:pPr>
            <w:r>
              <w:rPr>
                <w:bCs/>
                <w:color w:val="000000"/>
                <w:kern w:val="0"/>
                <w:szCs w:val="21"/>
              </w:rPr>
              <w:t>污染物类型</w:t>
            </w:r>
          </w:p>
        </w:tc>
        <w:tc>
          <w:tcPr>
            <w:tcW w:w="2522" w:type="dxa"/>
            <w:vAlign w:val="center"/>
          </w:tcPr>
          <w:p w:rsidR="00C223F5" w:rsidRDefault="005860D5" w:rsidP="00AB79FB">
            <w:pPr>
              <w:snapToGrid w:val="0"/>
              <w:ind w:leftChars="-26" w:left="6" w:hangingChars="29" w:hanging="61"/>
              <w:jc w:val="center"/>
              <w:rPr>
                <w:bCs/>
                <w:color w:val="000000"/>
                <w:kern w:val="0"/>
                <w:szCs w:val="21"/>
              </w:rPr>
            </w:pPr>
            <w:r>
              <w:rPr>
                <w:bCs/>
                <w:color w:val="000000"/>
                <w:kern w:val="0"/>
                <w:szCs w:val="21"/>
              </w:rPr>
              <w:t>防渗分区及防渗要求</w:t>
            </w:r>
          </w:p>
        </w:tc>
      </w:tr>
      <w:tr w:rsidR="00C223F5" w:rsidTr="00040F41">
        <w:trPr>
          <w:trHeight w:val="1089"/>
        </w:trPr>
        <w:tc>
          <w:tcPr>
            <w:tcW w:w="1851" w:type="dxa"/>
            <w:vAlign w:val="center"/>
          </w:tcPr>
          <w:p w:rsidR="00040F41" w:rsidRDefault="00040F41" w:rsidP="00040F41">
            <w:pPr>
              <w:snapToGrid w:val="0"/>
              <w:jc w:val="center"/>
              <w:rPr>
                <w:bCs/>
                <w:color w:val="FF0000"/>
                <w:kern w:val="0"/>
                <w:szCs w:val="21"/>
              </w:rPr>
            </w:pPr>
            <w:r w:rsidRPr="00040F41">
              <w:rPr>
                <w:bCs/>
                <w:color w:val="FF0000"/>
                <w:kern w:val="0"/>
                <w:szCs w:val="21"/>
              </w:rPr>
              <w:t>油脂库</w:t>
            </w:r>
            <w:r w:rsidR="0024471A">
              <w:rPr>
                <w:rFonts w:hint="eastAsia"/>
                <w:bCs/>
                <w:color w:val="FF0000"/>
                <w:kern w:val="0"/>
                <w:szCs w:val="21"/>
              </w:rPr>
              <w:t>及</w:t>
            </w:r>
          </w:p>
          <w:p w:rsidR="00C223F5" w:rsidRPr="00040F41" w:rsidRDefault="00040F41" w:rsidP="00040F41">
            <w:pPr>
              <w:snapToGrid w:val="0"/>
              <w:jc w:val="center"/>
              <w:rPr>
                <w:bCs/>
                <w:color w:val="000000"/>
                <w:kern w:val="0"/>
                <w:szCs w:val="21"/>
              </w:rPr>
            </w:pPr>
            <w:r w:rsidRPr="00040F41">
              <w:rPr>
                <w:rFonts w:hint="eastAsia"/>
                <w:bCs/>
                <w:color w:val="FF0000"/>
                <w:kern w:val="0"/>
                <w:szCs w:val="21"/>
              </w:rPr>
              <w:t>危废暂存间</w:t>
            </w:r>
          </w:p>
        </w:tc>
        <w:tc>
          <w:tcPr>
            <w:tcW w:w="1449" w:type="dxa"/>
            <w:vMerge w:val="restart"/>
            <w:vAlign w:val="center"/>
          </w:tcPr>
          <w:p w:rsidR="00C223F5" w:rsidRDefault="005860D5">
            <w:pPr>
              <w:snapToGrid w:val="0"/>
              <w:ind w:leftChars="-16" w:left="-34"/>
              <w:rPr>
                <w:bCs/>
                <w:color w:val="000000"/>
                <w:kern w:val="0"/>
                <w:szCs w:val="21"/>
              </w:rPr>
            </w:pPr>
            <w:r>
              <w:rPr>
                <w:bCs/>
                <w:color w:val="000000"/>
                <w:kern w:val="0"/>
                <w:szCs w:val="21"/>
              </w:rPr>
              <w:t>工业场地区包气带厚度分布连续稳定，防污性能弱</w:t>
            </w:r>
          </w:p>
        </w:tc>
        <w:tc>
          <w:tcPr>
            <w:tcW w:w="1160" w:type="dxa"/>
            <w:vAlign w:val="center"/>
          </w:tcPr>
          <w:p w:rsidR="00C223F5" w:rsidRDefault="005860D5">
            <w:pPr>
              <w:snapToGrid w:val="0"/>
              <w:ind w:left="31" w:hangingChars="15" w:hanging="31"/>
              <w:jc w:val="center"/>
              <w:rPr>
                <w:bCs/>
                <w:color w:val="000000"/>
                <w:kern w:val="0"/>
                <w:szCs w:val="21"/>
              </w:rPr>
            </w:pPr>
            <w:r>
              <w:rPr>
                <w:bCs/>
                <w:color w:val="000000"/>
                <w:kern w:val="0"/>
                <w:szCs w:val="21"/>
              </w:rPr>
              <w:t>易</w:t>
            </w:r>
          </w:p>
        </w:tc>
        <w:tc>
          <w:tcPr>
            <w:tcW w:w="1739" w:type="dxa"/>
            <w:vAlign w:val="center"/>
          </w:tcPr>
          <w:p w:rsidR="00C223F5" w:rsidRDefault="005860D5" w:rsidP="00AB79FB">
            <w:pPr>
              <w:snapToGrid w:val="0"/>
              <w:ind w:left="479" w:hangingChars="228" w:hanging="479"/>
              <w:jc w:val="center"/>
              <w:rPr>
                <w:bCs/>
                <w:color w:val="000000"/>
                <w:kern w:val="0"/>
                <w:szCs w:val="21"/>
              </w:rPr>
            </w:pPr>
            <w:r>
              <w:rPr>
                <w:bCs/>
                <w:color w:val="000000"/>
                <w:kern w:val="0"/>
                <w:szCs w:val="21"/>
              </w:rPr>
              <w:t>涉及废机油等</w:t>
            </w:r>
          </w:p>
        </w:tc>
        <w:tc>
          <w:tcPr>
            <w:tcW w:w="2522" w:type="dxa"/>
            <w:vAlign w:val="center"/>
          </w:tcPr>
          <w:p w:rsidR="00C223F5" w:rsidRDefault="005860D5" w:rsidP="00AB79FB">
            <w:pPr>
              <w:snapToGrid w:val="0"/>
              <w:ind w:leftChars="-26" w:left="6" w:hangingChars="29" w:hanging="61"/>
              <w:jc w:val="center"/>
              <w:rPr>
                <w:bCs/>
                <w:color w:val="000000"/>
                <w:kern w:val="0"/>
                <w:szCs w:val="21"/>
              </w:rPr>
            </w:pPr>
            <w:r>
              <w:rPr>
                <w:bCs/>
                <w:color w:val="000000"/>
                <w:kern w:val="0"/>
                <w:szCs w:val="21"/>
              </w:rPr>
              <w:t>重点防渗区，等效粘土防渗层</w:t>
            </w:r>
            <w:r>
              <w:rPr>
                <w:bCs/>
                <w:color w:val="000000"/>
                <w:kern w:val="0"/>
                <w:szCs w:val="21"/>
              </w:rPr>
              <w:t>Mb≥6.0m</w:t>
            </w:r>
            <w:r>
              <w:rPr>
                <w:bCs/>
                <w:color w:val="000000"/>
                <w:kern w:val="0"/>
                <w:szCs w:val="21"/>
              </w:rPr>
              <w:t>，</w:t>
            </w:r>
            <w:r>
              <w:rPr>
                <w:bCs/>
                <w:color w:val="000000"/>
                <w:kern w:val="0"/>
                <w:szCs w:val="21"/>
              </w:rPr>
              <w:t>K≤1×10</w:t>
            </w:r>
            <w:r>
              <w:rPr>
                <w:bCs/>
                <w:color w:val="000000"/>
                <w:kern w:val="0"/>
                <w:szCs w:val="21"/>
                <w:vertAlign w:val="superscript"/>
              </w:rPr>
              <w:t>-7</w:t>
            </w:r>
            <w:r>
              <w:rPr>
                <w:bCs/>
                <w:color w:val="000000"/>
                <w:kern w:val="0"/>
                <w:szCs w:val="21"/>
              </w:rPr>
              <w:t>cm/s</w:t>
            </w:r>
            <w:r>
              <w:rPr>
                <w:bCs/>
                <w:color w:val="000000"/>
                <w:kern w:val="0"/>
                <w:szCs w:val="21"/>
              </w:rPr>
              <w:t>，可采用</w:t>
            </w:r>
            <w:r>
              <w:rPr>
                <w:bCs/>
                <w:color w:val="000000"/>
                <w:kern w:val="0"/>
                <w:szCs w:val="21"/>
              </w:rPr>
              <w:t>P8</w:t>
            </w:r>
            <w:r>
              <w:rPr>
                <w:bCs/>
                <w:color w:val="000000"/>
                <w:kern w:val="0"/>
                <w:szCs w:val="21"/>
              </w:rPr>
              <w:t>抗渗混凝土</w:t>
            </w:r>
          </w:p>
        </w:tc>
      </w:tr>
      <w:tr w:rsidR="00C223F5">
        <w:trPr>
          <w:trHeight w:val="20"/>
        </w:trPr>
        <w:tc>
          <w:tcPr>
            <w:tcW w:w="1851" w:type="dxa"/>
            <w:vAlign w:val="center"/>
          </w:tcPr>
          <w:p w:rsidR="00C223F5" w:rsidRDefault="005860D5">
            <w:pPr>
              <w:snapToGrid w:val="0"/>
              <w:jc w:val="center"/>
              <w:rPr>
                <w:bCs/>
                <w:color w:val="000000"/>
                <w:kern w:val="0"/>
                <w:szCs w:val="21"/>
              </w:rPr>
            </w:pPr>
            <w:r>
              <w:rPr>
                <w:bCs/>
                <w:color w:val="000000"/>
                <w:kern w:val="0"/>
                <w:szCs w:val="21"/>
              </w:rPr>
              <w:t>矿井水处理站</w:t>
            </w:r>
          </w:p>
        </w:tc>
        <w:tc>
          <w:tcPr>
            <w:tcW w:w="1449" w:type="dxa"/>
            <w:vMerge/>
            <w:vAlign w:val="center"/>
          </w:tcPr>
          <w:p w:rsidR="00C223F5" w:rsidRDefault="00C223F5">
            <w:pPr>
              <w:snapToGrid w:val="0"/>
              <w:ind w:leftChars="-16" w:left="-34"/>
              <w:jc w:val="center"/>
              <w:rPr>
                <w:bCs/>
                <w:color w:val="000000"/>
                <w:kern w:val="0"/>
                <w:szCs w:val="21"/>
              </w:rPr>
            </w:pPr>
          </w:p>
        </w:tc>
        <w:tc>
          <w:tcPr>
            <w:tcW w:w="1160" w:type="dxa"/>
            <w:vMerge w:val="restart"/>
            <w:vAlign w:val="center"/>
          </w:tcPr>
          <w:p w:rsidR="00C223F5" w:rsidRDefault="005860D5">
            <w:pPr>
              <w:snapToGrid w:val="0"/>
              <w:ind w:left="1"/>
              <w:jc w:val="center"/>
              <w:rPr>
                <w:bCs/>
                <w:color w:val="000000"/>
                <w:szCs w:val="21"/>
              </w:rPr>
            </w:pPr>
            <w:r>
              <w:rPr>
                <w:bCs/>
                <w:color w:val="000000"/>
                <w:szCs w:val="21"/>
              </w:rPr>
              <w:t>地下水污染控制程度均为难</w:t>
            </w:r>
            <w:r>
              <w:rPr>
                <w:bCs/>
                <w:color w:val="000000"/>
                <w:szCs w:val="21"/>
              </w:rPr>
              <w:t>-</w:t>
            </w:r>
            <w:r>
              <w:rPr>
                <w:bCs/>
                <w:color w:val="000000"/>
                <w:szCs w:val="21"/>
              </w:rPr>
              <w:t>易</w:t>
            </w:r>
          </w:p>
        </w:tc>
        <w:tc>
          <w:tcPr>
            <w:tcW w:w="1739" w:type="dxa"/>
            <w:vMerge w:val="restart"/>
            <w:vAlign w:val="center"/>
          </w:tcPr>
          <w:p w:rsidR="00C223F5" w:rsidRDefault="005860D5">
            <w:pPr>
              <w:snapToGrid w:val="0"/>
              <w:ind w:left="1"/>
              <w:jc w:val="center"/>
              <w:rPr>
                <w:bCs/>
                <w:color w:val="000000"/>
                <w:kern w:val="0"/>
                <w:szCs w:val="21"/>
              </w:rPr>
            </w:pPr>
            <w:r>
              <w:rPr>
                <w:bCs/>
                <w:color w:val="000000"/>
                <w:kern w:val="0"/>
                <w:szCs w:val="21"/>
              </w:rPr>
              <w:t>污废水中的污染物不包括重金属和持久性有机污染物，污染物类型为其它类型</w:t>
            </w:r>
          </w:p>
        </w:tc>
        <w:tc>
          <w:tcPr>
            <w:tcW w:w="2522" w:type="dxa"/>
            <w:vMerge w:val="restart"/>
            <w:vAlign w:val="center"/>
          </w:tcPr>
          <w:p w:rsidR="00C223F5" w:rsidRDefault="005860D5">
            <w:pPr>
              <w:snapToGrid w:val="0"/>
              <w:ind w:leftChars="14" w:left="29"/>
              <w:jc w:val="center"/>
              <w:rPr>
                <w:bCs/>
                <w:color w:val="000000"/>
                <w:kern w:val="0"/>
                <w:szCs w:val="21"/>
              </w:rPr>
            </w:pPr>
            <w:r>
              <w:rPr>
                <w:bCs/>
                <w:color w:val="000000"/>
                <w:kern w:val="0"/>
                <w:szCs w:val="21"/>
              </w:rPr>
              <w:t>一般防渗区，等效粘土防渗层</w:t>
            </w:r>
            <w:r>
              <w:rPr>
                <w:bCs/>
                <w:color w:val="000000"/>
                <w:kern w:val="0"/>
                <w:szCs w:val="21"/>
              </w:rPr>
              <w:t>Mb≥1.5m</w:t>
            </w:r>
            <w:r>
              <w:rPr>
                <w:bCs/>
                <w:color w:val="000000"/>
                <w:kern w:val="0"/>
                <w:szCs w:val="21"/>
              </w:rPr>
              <w:t>，</w:t>
            </w:r>
            <w:r>
              <w:rPr>
                <w:bCs/>
                <w:color w:val="000000"/>
                <w:kern w:val="0"/>
                <w:szCs w:val="21"/>
              </w:rPr>
              <w:t>K≤1×10</w:t>
            </w:r>
            <w:r>
              <w:rPr>
                <w:bCs/>
                <w:color w:val="000000"/>
                <w:kern w:val="0"/>
                <w:szCs w:val="21"/>
                <w:vertAlign w:val="superscript"/>
              </w:rPr>
              <w:t>-7</w:t>
            </w:r>
            <w:r>
              <w:rPr>
                <w:bCs/>
                <w:color w:val="000000"/>
                <w:kern w:val="0"/>
                <w:szCs w:val="21"/>
              </w:rPr>
              <w:t>cm/s</w:t>
            </w:r>
            <w:r>
              <w:rPr>
                <w:bCs/>
                <w:color w:val="000000"/>
                <w:kern w:val="0"/>
                <w:szCs w:val="21"/>
              </w:rPr>
              <w:t>，可采用</w:t>
            </w:r>
            <w:r>
              <w:rPr>
                <w:bCs/>
                <w:color w:val="000000"/>
                <w:kern w:val="0"/>
                <w:szCs w:val="21"/>
              </w:rPr>
              <w:t>P6</w:t>
            </w:r>
            <w:r>
              <w:rPr>
                <w:bCs/>
                <w:color w:val="000000"/>
                <w:kern w:val="0"/>
                <w:szCs w:val="21"/>
              </w:rPr>
              <w:t>抗渗混凝土</w:t>
            </w:r>
          </w:p>
        </w:tc>
      </w:tr>
      <w:tr w:rsidR="00C223F5">
        <w:trPr>
          <w:trHeight w:val="20"/>
        </w:trPr>
        <w:tc>
          <w:tcPr>
            <w:tcW w:w="1851" w:type="dxa"/>
            <w:vAlign w:val="center"/>
          </w:tcPr>
          <w:p w:rsidR="00C223F5" w:rsidRDefault="005860D5">
            <w:pPr>
              <w:snapToGrid w:val="0"/>
              <w:jc w:val="center"/>
              <w:rPr>
                <w:bCs/>
                <w:color w:val="000000"/>
                <w:kern w:val="0"/>
                <w:szCs w:val="21"/>
              </w:rPr>
            </w:pPr>
            <w:r>
              <w:rPr>
                <w:bCs/>
                <w:color w:val="000000"/>
                <w:kern w:val="0"/>
                <w:szCs w:val="21"/>
              </w:rPr>
              <w:t>生活污水处理站</w:t>
            </w:r>
          </w:p>
        </w:tc>
        <w:tc>
          <w:tcPr>
            <w:tcW w:w="1449" w:type="dxa"/>
            <w:vMerge/>
            <w:vAlign w:val="center"/>
          </w:tcPr>
          <w:p w:rsidR="00C223F5" w:rsidRDefault="00C223F5" w:rsidP="00AB79FB">
            <w:pPr>
              <w:snapToGrid w:val="0"/>
              <w:ind w:left="479" w:hangingChars="228" w:hanging="479"/>
              <w:jc w:val="center"/>
              <w:rPr>
                <w:bCs/>
                <w:color w:val="000000"/>
                <w:kern w:val="0"/>
                <w:szCs w:val="21"/>
              </w:rPr>
            </w:pPr>
          </w:p>
        </w:tc>
        <w:tc>
          <w:tcPr>
            <w:tcW w:w="1160" w:type="dxa"/>
            <w:vMerge/>
            <w:vAlign w:val="center"/>
          </w:tcPr>
          <w:p w:rsidR="00C223F5" w:rsidRDefault="00C223F5" w:rsidP="00AB79FB">
            <w:pPr>
              <w:snapToGrid w:val="0"/>
              <w:ind w:left="479" w:hangingChars="228" w:hanging="479"/>
              <w:jc w:val="center"/>
              <w:rPr>
                <w:bCs/>
                <w:color w:val="000000"/>
                <w:kern w:val="0"/>
                <w:szCs w:val="21"/>
              </w:rPr>
            </w:pPr>
          </w:p>
        </w:tc>
        <w:tc>
          <w:tcPr>
            <w:tcW w:w="1739" w:type="dxa"/>
            <w:vMerge/>
            <w:vAlign w:val="center"/>
          </w:tcPr>
          <w:p w:rsidR="00C223F5" w:rsidRDefault="00C223F5" w:rsidP="00AB79FB">
            <w:pPr>
              <w:snapToGrid w:val="0"/>
              <w:ind w:left="479" w:hangingChars="228" w:hanging="479"/>
              <w:jc w:val="center"/>
              <w:rPr>
                <w:bCs/>
                <w:color w:val="000000"/>
                <w:kern w:val="0"/>
                <w:szCs w:val="21"/>
              </w:rPr>
            </w:pPr>
          </w:p>
        </w:tc>
        <w:tc>
          <w:tcPr>
            <w:tcW w:w="2522" w:type="dxa"/>
            <w:vMerge/>
            <w:vAlign w:val="center"/>
          </w:tcPr>
          <w:p w:rsidR="00C223F5" w:rsidRDefault="00C223F5" w:rsidP="00AB79FB">
            <w:pPr>
              <w:snapToGrid w:val="0"/>
              <w:ind w:left="479" w:hangingChars="228" w:hanging="479"/>
              <w:jc w:val="center"/>
              <w:rPr>
                <w:bCs/>
                <w:color w:val="000000"/>
                <w:kern w:val="0"/>
                <w:szCs w:val="21"/>
              </w:rPr>
            </w:pPr>
          </w:p>
        </w:tc>
      </w:tr>
      <w:tr w:rsidR="00C223F5">
        <w:trPr>
          <w:trHeight w:val="20"/>
        </w:trPr>
        <w:tc>
          <w:tcPr>
            <w:tcW w:w="1851" w:type="dxa"/>
            <w:vAlign w:val="center"/>
          </w:tcPr>
          <w:p w:rsidR="00C223F5" w:rsidRDefault="005860D5">
            <w:pPr>
              <w:snapToGrid w:val="0"/>
              <w:jc w:val="center"/>
              <w:rPr>
                <w:bCs/>
                <w:color w:val="000000"/>
                <w:kern w:val="0"/>
                <w:szCs w:val="21"/>
              </w:rPr>
            </w:pPr>
            <w:r>
              <w:rPr>
                <w:bCs/>
                <w:color w:val="000000"/>
                <w:kern w:val="0"/>
                <w:szCs w:val="21"/>
              </w:rPr>
              <w:t>初期雨水池</w:t>
            </w:r>
          </w:p>
        </w:tc>
        <w:tc>
          <w:tcPr>
            <w:tcW w:w="1449" w:type="dxa"/>
            <w:vMerge/>
            <w:vAlign w:val="center"/>
          </w:tcPr>
          <w:p w:rsidR="00C223F5" w:rsidRDefault="00C223F5" w:rsidP="00AB79FB">
            <w:pPr>
              <w:snapToGrid w:val="0"/>
              <w:ind w:left="479" w:hangingChars="228" w:hanging="479"/>
              <w:jc w:val="center"/>
              <w:rPr>
                <w:bCs/>
                <w:color w:val="000000"/>
                <w:kern w:val="0"/>
                <w:szCs w:val="21"/>
              </w:rPr>
            </w:pPr>
          </w:p>
        </w:tc>
        <w:tc>
          <w:tcPr>
            <w:tcW w:w="1160" w:type="dxa"/>
            <w:vMerge/>
            <w:vAlign w:val="center"/>
          </w:tcPr>
          <w:p w:rsidR="00C223F5" w:rsidRDefault="00C223F5" w:rsidP="00AB79FB">
            <w:pPr>
              <w:snapToGrid w:val="0"/>
              <w:ind w:left="479" w:hangingChars="228" w:hanging="479"/>
              <w:jc w:val="center"/>
              <w:rPr>
                <w:bCs/>
                <w:color w:val="000000"/>
                <w:kern w:val="0"/>
                <w:szCs w:val="21"/>
              </w:rPr>
            </w:pPr>
          </w:p>
        </w:tc>
        <w:tc>
          <w:tcPr>
            <w:tcW w:w="1739" w:type="dxa"/>
            <w:vMerge/>
            <w:vAlign w:val="center"/>
          </w:tcPr>
          <w:p w:rsidR="00C223F5" w:rsidRDefault="00C223F5" w:rsidP="00AB79FB">
            <w:pPr>
              <w:snapToGrid w:val="0"/>
              <w:ind w:left="479" w:hangingChars="228" w:hanging="479"/>
              <w:jc w:val="center"/>
              <w:rPr>
                <w:bCs/>
                <w:color w:val="000000"/>
                <w:kern w:val="0"/>
                <w:szCs w:val="21"/>
              </w:rPr>
            </w:pPr>
          </w:p>
        </w:tc>
        <w:tc>
          <w:tcPr>
            <w:tcW w:w="2522" w:type="dxa"/>
            <w:vMerge/>
            <w:vAlign w:val="center"/>
          </w:tcPr>
          <w:p w:rsidR="00C223F5" w:rsidRDefault="00C223F5" w:rsidP="00AB79FB">
            <w:pPr>
              <w:snapToGrid w:val="0"/>
              <w:ind w:left="479" w:hangingChars="228" w:hanging="479"/>
              <w:jc w:val="center"/>
              <w:rPr>
                <w:bCs/>
                <w:color w:val="000000"/>
                <w:kern w:val="0"/>
                <w:szCs w:val="21"/>
              </w:rPr>
            </w:pPr>
          </w:p>
        </w:tc>
      </w:tr>
    </w:tbl>
    <w:p w:rsidR="00C223F5" w:rsidRDefault="005860D5" w:rsidP="004835BD">
      <w:pPr>
        <w:pStyle w:val="4"/>
        <w:spacing w:beforeLines="100" w:before="240" w:after="0" w:line="360" w:lineRule="auto"/>
        <w:ind w:firstLineChars="100" w:firstLine="240"/>
        <w:rPr>
          <w:szCs w:val="24"/>
        </w:rPr>
      </w:pPr>
      <w:r>
        <w:rPr>
          <w:rFonts w:hint="eastAsia"/>
          <w:szCs w:val="24"/>
        </w:rPr>
        <w:t>5.2.1.3</w:t>
      </w:r>
      <w:r>
        <w:rPr>
          <w:szCs w:val="24"/>
        </w:rPr>
        <w:t>跟踪监测</w:t>
      </w:r>
    </w:p>
    <w:p w:rsidR="00C223F5" w:rsidRDefault="005860D5">
      <w:pPr>
        <w:spacing w:line="360" w:lineRule="auto"/>
        <w:ind w:firstLineChars="200" w:firstLine="480"/>
        <w:rPr>
          <w:bCs/>
          <w:sz w:val="24"/>
        </w:rPr>
      </w:pPr>
      <w:r>
        <w:rPr>
          <w:rFonts w:hAnsi="宋体"/>
          <w:bCs/>
          <w:sz w:val="24"/>
        </w:rPr>
        <w:t>（</w:t>
      </w:r>
      <w:r>
        <w:rPr>
          <w:bCs/>
          <w:sz w:val="24"/>
        </w:rPr>
        <w:t>1</w:t>
      </w:r>
      <w:r>
        <w:rPr>
          <w:rFonts w:hAnsi="宋体"/>
          <w:bCs/>
          <w:sz w:val="24"/>
        </w:rPr>
        <w:t>）跟踪监测计划及实施方案</w:t>
      </w:r>
    </w:p>
    <w:p w:rsidR="00C223F5" w:rsidRPr="00993B79" w:rsidRDefault="005860D5">
      <w:pPr>
        <w:spacing w:line="360" w:lineRule="auto"/>
        <w:ind w:firstLineChars="200" w:firstLine="480"/>
        <w:rPr>
          <w:sz w:val="24"/>
        </w:rPr>
      </w:pPr>
      <w:r>
        <w:rPr>
          <w:bCs/>
          <w:sz w:val="24"/>
        </w:rPr>
        <w:t>根据《环境影响评价技术导则</w:t>
      </w:r>
      <w:r>
        <w:rPr>
          <w:bCs/>
          <w:sz w:val="24"/>
        </w:rPr>
        <w:t>·</w:t>
      </w:r>
      <w:r>
        <w:rPr>
          <w:bCs/>
          <w:sz w:val="24"/>
        </w:rPr>
        <w:t>地下水</w:t>
      </w:r>
      <w:r w:rsidRPr="00993B79">
        <w:rPr>
          <w:bCs/>
          <w:sz w:val="24"/>
        </w:rPr>
        <w:t>环境》（</w:t>
      </w:r>
      <w:r w:rsidRPr="00993B79">
        <w:rPr>
          <w:bCs/>
          <w:sz w:val="24"/>
        </w:rPr>
        <w:t>HJ610-2016</w:t>
      </w:r>
      <w:r w:rsidRPr="00993B79">
        <w:rPr>
          <w:bCs/>
          <w:sz w:val="24"/>
        </w:rPr>
        <w:t>）及《地下水环境监测技术规范》</w:t>
      </w:r>
      <w:r w:rsidRPr="00993B79">
        <w:rPr>
          <w:bCs/>
          <w:sz w:val="24"/>
        </w:rPr>
        <w:t>(HJ/T164-2004)</w:t>
      </w:r>
      <w:r w:rsidRPr="00993B79">
        <w:rPr>
          <w:bCs/>
          <w:sz w:val="24"/>
        </w:rPr>
        <w:t>等规定，项目建成后应对工业场地污废水处理设施下游地下水水质进行跟踪监测。地下水跟踪监测井</w:t>
      </w:r>
      <w:r w:rsidRPr="00993B79">
        <w:rPr>
          <w:rFonts w:hint="eastAsia"/>
          <w:bCs/>
          <w:sz w:val="24"/>
        </w:rPr>
        <w:t>设置于生活污水处理站下游</w:t>
      </w:r>
      <w:r w:rsidRPr="00993B79">
        <w:rPr>
          <w:bCs/>
          <w:sz w:val="24"/>
        </w:rPr>
        <w:t>，</w:t>
      </w:r>
      <w:r w:rsidRPr="00993B79">
        <w:rPr>
          <w:rFonts w:hint="eastAsia"/>
          <w:bCs/>
          <w:sz w:val="24"/>
        </w:rPr>
        <w:t>为</w:t>
      </w:r>
      <w:r w:rsidRPr="00040F41">
        <w:rPr>
          <w:rFonts w:hint="eastAsia"/>
          <w:bCs/>
          <w:color w:val="FF0000"/>
          <w:sz w:val="24"/>
        </w:rPr>
        <w:t>新打潜水井</w:t>
      </w:r>
      <w:r w:rsidRPr="00993B79">
        <w:rPr>
          <w:rFonts w:hint="eastAsia"/>
          <w:bCs/>
          <w:sz w:val="24"/>
        </w:rPr>
        <w:t>，</w:t>
      </w:r>
      <w:r w:rsidRPr="00993B79">
        <w:rPr>
          <w:bCs/>
          <w:sz w:val="24"/>
        </w:rPr>
        <w:t>项目地下水污染跟踪监测计划见表</w:t>
      </w:r>
      <w:r w:rsidRPr="00993B79">
        <w:rPr>
          <w:bCs/>
          <w:sz w:val="24"/>
        </w:rPr>
        <w:t>5.2.1-2</w:t>
      </w:r>
      <w:r w:rsidRPr="00993B79">
        <w:rPr>
          <w:bCs/>
          <w:sz w:val="24"/>
        </w:rPr>
        <w:t>和图</w:t>
      </w:r>
      <w:r w:rsidRPr="00993B79">
        <w:rPr>
          <w:bCs/>
          <w:sz w:val="24"/>
        </w:rPr>
        <w:t>5.2.1-</w:t>
      </w:r>
      <w:r w:rsidRPr="00993B79">
        <w:rPr>
          <w:rFonts w:hint="eastAsia"/>
          <w:bCs/>
          <w:sz w:val="24"/>
        </w:rPr>
        <w:t>1</w:t>
      </w:r>
      <w:r w:rsidRPr="00993B79">
        <w:rPr>
          <w:bCs/>
          <w:sz w:val="24"/>
        </w:rPr>
        <w:t>。</w:t>
      </w:r>
    </w:p>
    <w:p w:rsidR="00C223F5" w:rsidRPr="00993B79" w:rsidRDefault="005860D5">
      <w:pPr>
        <w:pStyle w:val="36"/>
        <w:snapToGrid w:val="0"/>
        <w:spacing w:line="240" w:lineRule="auto"/>
        <w:ind w:firstLine="542"/>
        <w:jc w:val="center"/>
        <w:rPr>
          <w:b/>
          <w:bCs/>
          <w:kern w:val="0"/>
        </w:rPr>
      </w:pPr>
      <w:r w:rsidRPr="00993B79">
        <w:rPr>
          <w:b/>
          <w:bCs/>
          <w:kern w:val="0"/>
        </w:rPr>
        <w:t>表</w:t>
      </w:r>
      <w:r w:rsidRPr="00993B79">
        <w:rPr>
          <w:rFonts w:hint="eastAsia"/>
          <w:b/>
          <w:bCs/>
          <w:kern w:val="0"/>
        </w:rPr>
        <w:t>5.2.1-2</w:t>
      </w:r>
      <w:r w:rsidRPr="00993B79">
        <w:rPr>
          <w:b/>
          <w:bCs/>
          <w:kern w:val="0"/>
        </w:rPr>
        <w:t xml:space="preserve">  </w:t>
      </w:r>
      <w:r w:rsidRPr="00993B79">
        <w:rPr>
          <w:b/>
          <w:bCs/>
          <w:kern w:val="0"/>
        </w:rPr>
        <w:t>地下水水质跟踪监测计划表</w:t>
      </w:r>
    </w:p>
    <w:tbl>
      <w:tblPr>
        <w:tblW w:w="8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2255"/>
        <w:gridCol w:w="1839"/>
        <w:gridCol w:w="1560"/>
        <w:gridCol w:w="2286"/>
      </w:tblGrid>
      <w:tr w:rsidR="00C223F5" w:rsidRPr="00993B79">
        <w:trPr>
          <w:trHeight w:val="385"/>
        </w:trPr>
        <w:tc>
          <w:tcPr>
            <w:tcW w:w="621" w:type="dxa"/>
            <w:shd w:val="clear" w:color="auto" w:fill="auto"/>
            <w:vAlign w:val="center"/>
          </w:tcPr>
          <w:p w:rsidR="00C223F5" w:rsidRPr="00993B79" w:rsidRDefault="005860D5">
            <w:pPr>
              <w:jc w:val="center"/>
              <w:rPr>
                <w:szCs w:val="21"/>
              </w:rPr>
            </w:pPr>
            <w:r w:rsidRPr="00993B79">
              <w:rPr>
                <w:rFonts w:hint="eastAsia"/>
                <w:szCs w:val="21"/>
              </w:rPr>
              <w:t>序号</w:t>
            </w:r>
          </w:p>
        </w:tc>
        <w:tc>
          <w:tcPr>
            <w:tcW w:w="2255" w:type="dxa"/>
            <w:shd w:val="clear" w:color="auto" w:fill="auto"/>
            <w:vAlign w:val="center"/>
          </w:tcPr>
          <w:p w:rsidR="00C223F5" w:rsidRPr="00993B79" w:rsidRDefault="005860D5">
            <w:pPr>
              <w:jc w:val="center"/>
              <w:rPr>
                <w:szCs w:val="21"/>
              </w:rPr>
            </w:pPr>
            <w:r w:rsidRPr="00993B79">
              <w:rPr>
                <w:szCs w:val="21"/>
              </w:rPr>
              <w:t>点位</w:t>
            </w:r>
          </w:p>
        </w:tc>
        <w:tc>
          <w:tcPr>
            <w:tcW w:w="1839" w:type="dxa"/>
            <w:shd w:val="clear" w:color="auto" w:fill="auto"/>
            <w:vAlign w:val="center"/>
          </w:tcPr>
          <w:p w:rsidR="00C223F5" w:rsidRPr="00993B79" w:rsidRDefault="005860D5">
            <w:pPr>
              <w:jc w:val="center"/>
              <w:rPr>
                <w:szCs w:val="21"/>
              </w:rPr>
            </w:pPr>
            <w:r w:rsidRPr="00993B79">
              <w:rPr>
                <w:szCs w:val="21"/>
              </w:rPr>
              <w:t>监测层位</w:t>
            </w:r>
          </w:p>
        </w:tc>
        <w:tc>
          <w:tcPr>
            <w:tcW w:w="1560" w:type="dxa"/>
            <w:shd w:val="clear" w:color="auto" w:fill="auto"/>
            <w:vAlign w:val="center"/>
          </w:tcPr>
          <w:p w:rsidR="00C223F5" w:rsidRPr="00993B79" w:rsidRDefault="005860D5">
            <w:pPr>
              <w:jc w:val="center"/>
              <w:rPr>
                <w:szCs w:val="21"/>
              </w:rPr>
            </w:pPr>
            <w:r w:rsidRPr="00993B79">
              <w:rPr>
                <w:szCs w:val="21"/>
              </w:rPr>
              <w:t>功能</w:t>
            </w:r>
          </w:p>
        </w:tc>
        <w:tc>
          <w:tcPr>
            <w:tcW w:w="2286" w:type="dxa"/>
            <w:shd w:val="clear" w:color="auto" w:fill="auto"/>
            <w:vAlign w:val="center"/>
          </w:tcPr>
          <w:p w:rsidR="00C223F5" w:rsidRPr="00993B79" w:rsidRDefault="005860D5">
            <w:pPr>
              <w:jc w:val="center"/>
              <w:rPr>
                <w:szCs w:val="21"/>
              </w:rPr>
            </w:pPr>
            <w:r w:rsidRPr="00993B79">
              <w:rPr>
                <w:szCs w:val="21"/>
              </w:rPr>
              <w:t>日常监测频率</w:t>
            </w:r>
          </w:p>
        </w:tc>
      </w:tr>
      <w:tr w:rsidR="00C223F5" w:rsidRPr="00993B79">
        <w:trPr>
          <w:trHeight w:hRule="exact" w:val="397"/>
        </w:trPr>
        <w:tc>
          <w:tcPr>
            <w:tcW w:w="621" w:type="dxa"/>
            <w:shd w:val="clear" w:color="auto" w:fill="auto"/>
            <w:vAlign w:val="center"/>
          </w:tcPr>
          <w:p w:rsidR="00C223F5" w:rsidRPr="00993B79" w:rsidRDefault="005860D5">
            <w:pPr>
              <w:jc w:val="center"/>
              <w:rPr>
                <w:szCs w:val="21"/>
              </w:rPr>
            </w:pPr>
            <w:r w:rsidRPr="00993B79">
              <w:rPr>
                <w:szCs w:val="21"/>
              </w:rPr>
              <w:t>1</w:t>
            </w:r>
          </w:p>
        </w:tc>
        <w:tc>
          <w:tcPr>
            <w:tcW w:w="2255" w:type="dxa"/>
            <w:shd w:val="clear" w:color="auto" w:fill="auto"/>
            <w:vAlign w:val="center"/>
          </w:tcPr>
          <w:p w:rsidR="00C223F5" w:rsidRPr="00993B79" w:rsidRDefault="005860D5">
            <w:pPr>
              <w:jc w:val="center"/>
            </w:pPr>
            <w:r w:rsidRPr="00993B79">
              <w:rPr>
                <w:kern w:val="0"/>
              </w:rPr>
              <w:t>工业场地东部</w:t>
            </w:r>
          </w:p>
        </w:tc>
        <w:tc>
          <w:tcPr>
            <w:tcW w:w="1839" w:type="dxa"/>
            <w:shd w:val="clear" w:color="auto" w:fill="auto"/>
            <w:vAlign w:val="center"/>
          </w:tcPr>
          <w:p w:rsidR="00C223F5" w:rsidRPr="00993B79" w:rsidRDefault="005860D5">
            <w:pPr>
              <w:jc w:val="center"/>
              <w:rPr>
                <w:szCs w:val="21"/>
              </w:rPr>
            </w:pPr>
            <w:r w:rsidRPr="00993B79">
              <w:rPr>
                <w:rFonts w:hint="eastAsia"/>
                <w:szCs w:val="21"/>
              </w:rPr>
              <w:t>潜水</w:t>
            </w:r>
            <w:r w:rsidRPr="00993B79">
              <w:rPr>
                <w:szCs w:val="21"/>
              </w:rPr>
              <w:t>含水层</w:t>
            </w:r>
          </w:p>
        </w:tc>
        <w:tc>
          <w:tcPr>
            <w:tcW w:w="1560" w:type="dxa"/>
            <w:shd w:val="clear" w:color="auto" w:fill="auto"/>
            <w:vAlign w:val="center"/>
          </w:tcPr>
          <w:p w:rsidR="00C223F5" w:rsidRPr="00993B79" w:rsidRDefault="005860D5">
            <w:pPr>
              <w:jc w:val="center"/>
              <w:rPr>
                <w:szCs w:val="21"/>
              </w:rPr>
            </w:pPr>
            <w:r w:rsidRPr="00993B79">
              <w:rPr>
                <w:rFonts w:hAnsi="宋体"/>
              </w:rPr>
              <w:t>跟踪监测井</w:t>
            </w:r>
          </w:p>
        </w:tc>
        <w:tc>
          <w:tcPr>
            <w:tcW w:w="2286" w:type="dxa"/>
            <w:shd w:val="clear" w:color="auto" w:fill="auto"/>
            <w:vAlign w:val="center"/>
          </w:tcPr>
          <w:p w:rsidR="00C223F5" w:rsidRPr="00993B79" w:rsidRDefault="005860D5">
            <w:pPr>
              <w:jc w:val="center"/>
              <w:rPr>
                <w:szCs w:val="21"/>
              </w:rPr>
            </w:pPr>
            <w:r w:rsidRPr="00993B79">
              <w:rPr>
                <w:rFonts w:hAnsi="宋体" w:hint="eastAsia"/>
                <w:szCs w:val="21"/>
              </w:rPr>
              <w:t>1</w:t>
            </w:r>
            <w:r w:rsidRPr="00993B79">
              <w:rPr>
                <w:rFonts w:hAnsi="宋体" w:hint="eastAsia"/>
                <w:szCs w:val="21"/>
              </w:rPr>
              <w:t>次</w:t>
            </w:r>
            <w:r w:rsidRPr="00993B79">
              <w:rPr>
                <w:rFonts w:hAnsi="宋体" w:hint="eastAsia"/>
                <w:szCs w:val="21"/>
              </w:rPr>
              <w:t>/</w:t>
            </w:r>
            <w:r w:rsidRPr="00993B79">
              <w:rPr>
                <w:rFonts w:hAnsi="宋体" w:hint="eastAsia"/>
                <w:szCs w:val="21"/>
              </w:rPr>
              <w:t>季度</w:t>
            </w:r>
          </w:p>
        </w:tc>
      </w:tr>
      <w:tr w:rsidR="00C223F5" w:rsidRPr="00993B79">
        <w:trPr>
          <w:trHeight w:val="371"/>
        </w:trPr>
        <w:tc>
          <w:tcPr>
            <w:tcW w:w="8561" w:type="dxa"/>
            <w:gridSpan w:val="5"/>
            <w:shd w:val="clear" w:color="auto" w:fill="auto"/>
            <w:vAlign w:val="center"/>
          </w:tcPr>
          <w:p w:rsidR="00C223F5" w:rsidRPr="00993B79" w:rsidRDefault="005860D5">
            <w:pPr>
              <w:jc w:val="left"/>
              <w:rPr>
                <w:szCs w:val="21"/>
              </w:rPr>
            </w:pPr>
            <w:r w:rsidRPr="00993B79">
              <w:rPr>
                <w:rFonts w:hAnsi="宋体"/>
                <w:szCs w:val="21"/>
              </w:rPr>
              <w:t>监测因子：</w:t>
            </w:r>
            <w:r w:rsidRPr="00993B79">
              <w:rPr>
                <w:szCs w:val="21"/>
              </w:rPr>
              <w:t>COD</w:t>
            </w:r>
            <w:r w:rsidRPr="00993B79">
              <w:rPr>
                <w:rFonts w:hAnsi="宋体"/>
                <w:szCs w:val="21"/>
              </w:rPr>
              <w:t>、氨氮</w:t>
            </w:r>
          </w:p>
        </w:tc>
      </w:tr>
      <w:tr w:rsidR="00C223F5" w:rsidRPr="00993B79">
        <w:trPr>
          <w:trHeight w:val="405"/>
        </w:trPr>
        <w:tc>
          <w:tcPr>
            <w:tcW w:w="8561" w:type="dxa"/>
            <w:gridSpan w:val="5"/>
            <w:shd w:val="clear" w:color="auto" w:fill="auto"/>
            <w:vAlign w:val="center"/>
          </w:tcPr>
          <w:p w:rsidR="00C223F5" w:rsidRPr="00993B79" w:rsidRDefault="005860D5">
            <w:pPr>
              <w:jc w:val="left"/>
              <w:rPr>
                <w:szCs w:val="21"/>
              </w:rPr>
            </w:pPr>
            <w:r w:rsidRPr="00993B79">
              <w:rPr>
                <w:rFonts w:hAnsi="宋体"/>
                <w:szCs w:val="21"/>
              </w:rPr>
              <w:t>水质监测：建议外委有相应资质单位进行取样、分析</w:t>
            </w:r>
          </w:p>
        </w:tc>
      </w:tr>
    </w:tbl>
    <w:p w:rsidR="00C223F5" w:rsidRPr="00993B79" w:rsidRDefault="005860D5">
      <w:pPr>
        <w:spacing w:line="360" w:lineRule="auto"/>
        <w:ind w:firstLineChars="200" w:firstLine="480"/>
        <w:rPr>
          <w:sz w:val="24"/>
        </w:rPr>
      </w:pPr>
      <w:r w:rsidRPr="00993B79">
        <w:rPr>
          <w:rFonts w:hAnsi="宋体"/>
          <w:bCs/>
          <w:sz w:val="24"/>
        </w:rPr>
        <w:t>（</w:t>
      </w:r>
      <w:r w:rsidRPr="00993B79">
        <w:rPr>
          <w:rFonts w:hint="eastAsia"/>
          <w:bCs/>
          <w:sz w:val="24"/>
        </w:rPr>
        <w:t>2</w:t>
      </w:r>
      <w:r w:rsidRPr="00993B79">
        <w:rPr>
          <w:rFonts w:hAnsi="宋体"/>
          <w:bCs/>
          <w:sz w:val="24"/>
        </w:rPr>
        <w:t>）</w:t>
      </w:r>
      <w:r w:rsidRPr="00993B79">
        <w:rPr>
          <w:rFonts w:hint="eastAsia"/>
          <w:sz w:val="24"/>
        </w:rPr>
        <w:t>跟踪监测与信息公开计划</w:t>
      </w:r>
    </w:p>
    <w:p w:rsidR="00C223F5" w:rsidRDefault="005860D5">
      <w:pPr>
        <w:spacing w:line="360" w:lineRule="auto"/>
        <w:ind w:firstLineChars="200" w:firstLine="480"/>
        <w:rPr>
          <w:sz w:val="24"/>
        </w:rPr>
      </w:pPr>
      <w:r>
        <w:rPr>
          <w:sz w:val="24"/>
        </w:rPr>
        <w:t>建设单位编制地下水跟踪监测报告，</w:t>
      </w:r>
      <w:r>
        <w:rPr>
          <w:rFonts w:hint="eastAsia"/>
          <w:sz w:val="24"/>
        </w:rPr>
        <w:t>每年</w:t>
      </w:r>
      <w:r>
        <w:rPr>
          <w:sz w:val="24"/>
        </w:rPr>
        <w:t>定期</w:t>
      </w:r>
      <w:r>
        <w:rPr>
          <w:rFonts w:hint="eastAsia"/>
          <w:sz w:val="24"/>
        </w:rPr>
        <w:t>以</w:t>
      </w:r>
      <w:r>
        <w:rPr>
          <w:sz w:val="24"/>
        </w:rPr>
        <w:t>便于公众及时、准确获得信息的方式对地下水跟踪监测结果进行</w:t>
      </w:r>
      <w:r>
        <w:rPr>
          <w:rFonts w:hint="eastAsia"/>
          <w:sz w:val="24"/>
        </w:rPr>
        <w:t>信息公开</w:t>
      </w:r>
      <w:r>
        <w:rPr>
          <w:sz w:val="24"/>
        </w:rPr>
        <w:t>。</w:t>
      </w:r>
      <w:r>
        <w:rPr>
          <w:rFonts w:hint="eastAsia"/>
          <w:sz w:val="24"/>
        </w:rPr>
        <w:t>公开信息应包括：企业</w:t>
      </w:r>
      <w:r>
        <w:rPr>
          <w:sz w:val="24"/>
        </w:rPr>
        <w:t>基础信息，排污信息</w:t>
      </w:r>
      <w:r>
        <w:rPr>
          <w:rFonts w:hint="eastAsia"/>
          <w:sz w:val="24"/>
        </w:rPr>
        <w:t>（水</w:t>
      </w:r>
      <w:r>
        <w:rPr>
          <w:sz w:val="24"/>
        </w:rPr>
        <w:t>污染物及特征污染物的名称、排放方式、排放口数量和分布情况、排放浓度和总量、超标情况，以及执行的污染物排放标准、排放总量</w:t>
      </w:r>
      <w:r>
        <w:rPr>
          <w:rFonts w:hint="eastAsia"/>
          <w:sz w:val="24"/>
        </w:rPr>
        <w:t>许可），水污染</w:t>
      </w:r>
      <w:r>
        <w:rPr>
          <w:sz w:val="24"/>
        </w:rPr>
        <w:t>防治污染设施的运行情况</w:t>
      </w:r>
      <w:r>
        <w:rPr>
          <w:rFonts w:hint="eastAsia"/>
          <w:sz w:val="24"/>
        </w:rPr>
        <w:t>，以及地下水污染影响响应预案等</w:t>
      </w:r>
      <w:r>
        <w:rPr>
          <w:sz w:val="24"/>
        </w:rPr>
        <w:t>。</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473" w:name="_Toc497981448"/>
      <w:bookmarkStart w:id="474" w:name="_Toc533604346"/>
      <w:bookmarkStart w:id="475" w:name="_Toc533604766"/>
      <w:bookmarkStart w:id="476" w:name="_Toc16785312"/>
      <w:r>
        <w:rPr>
          <w:rFonts w:eastAsia="宋体" w:hint="eastAsia"/>
          <w:b/>
          <w:bCs w:val="0"/>
          <w:sz w:val="28"/>
          <w:szCs w:val="28"/>
        </w:rPr>
        <w:t>5.2.2</w:t>
      </w:r>
      <w:r>
        <w:rPr>
          <w:rFonts w:eastAsia="宋体" w:hint="eastAsia"/>
          <w:b/>
          <w:bCs w:val="0"/>
          <w:sz w:val="28"/>
          <w:szCs w:val="28"/>
        </w:rPr>
        <w:t>井田地下水保护措施</w:t>
      </w:r>
      <w:bookmarkEnd w:id="473"/>
      <w:bookmarkEnd w:id="474"/>
      <w:bookmarkEnd w:id="475"/>
      <w:bookmarkEnd w:id="476"/>
    </w:p>
    <w:p w:rsidR="00C223F5" w:rsidRDefault="005860D5">
      <w:pPr>
        <w:spacing w:line="360" w:lineRule="auto"/>
        <w:ind w:firstLineChars="200" w:firstLine="480"/>
        <w:rPr>
          <w:bCs/>
          <w:sz w:val="24"/>
          <w:lang w:val="de-DE"/>
        </w:rPr>
      </w:pPr>
      <w:r>
        <w:rPr>
          <w:bCs/>
          <w:sz w:val="24"/>
          <w:lang w:val="de-DE"/>
        </w:rPr>
        <w:t>（</w:t>
      </w:r>
      <w:r>
        <w:rPr>
          <w:rFonts w:hint="eastAsia"/>
          <w:bCs/>
          <w:sz w:val="24"/>
          <w:lang w:val="de-DE"/>
        </w:rPr>
        <w:t>1</w:t>
      </w:r>
      <w:r>
        <w:rPr>
          <w:bCs/>
          <w:sz w:val="24"/>
          <w:lang w:val="de-DE"/>
        </w:rPr>
        <w:t>）</w:t>
      </w:r>
      <w:r>
        <w:rPr>
          <w:rFonts w:hint="eastAsia"/>
          <w:bCs/>
          <w:sz w:val="24"/>
          <w:lang w:val="de-DE"/>
        </w:rPr>
        <w:t>严格落实设计对井田内河流和大理河湿地区域的</w:t>
      </w:r>
      <w:r>
        <w:rPr>
          <w:rFonts w:hint="eastAsia"/>
          <w:sz w:val="24"/>
        </w:rPr>
        <w:t>保护煤柱留设。</w:t>
      </w:r>
    </w:p>
    <w:p w:rsidR="00C223F5" w:rsidRDefault="005860D5">
      <w:pPr>
        <w:autoSpaceDE w:val="0"/>
        <w:autoSpaceDN w:val="0"/>
        <w:adjustRightInd w:val="0"/>
        <w:spacing w:line="360" w:lineRule="auto"/>
        <w:ind w:firstLineChars="200" w:firstLine="480"/>
        <w:rPr>
          <w:bCs/>
          <w:sz w:val="24"/>
          <w:lang w:val="de-DE"/>
        </w:rPr>
      </w:pPr>
      <w:r>
        <w:rPr>
          <w:bCs/>
          <w:sz w:val="24"/>
          <w:lang w:val="de-DE"/>
        </w:rPr>
        <w:t>（</w:t>
      </w:r>
      <w:r>
        <w:rPr>
          <w:rFonts w:hint="eastAsia"/>
          <w:bCs/>
          <w:sz w:val="24"/>
          <w:lang w:val="de-DE"/>
        </w:rPr>
        <w:t>2</w:t>
      </w:r>
      <w:r>
        <w:rPr>
          <w:bCs/>
          <w:sz w:val="24"/>
          <w:lang w:val="de-DE"/>
        </w:rPr>
        <w:t>）建设期和运行期均需进行矿井涌水观测，建立台帐，发现矿井涌水增加明显时，及时查找问题并采取措施解决。</w:t>
      </w:r>
    </w:p>
    <w:p w:rsidR="00C223F5" w:rsidRDefault="005860D5">
      <w:pPr>
        <w:autoSpaceDE w:val="0"/>
        <w:autoSpaceDN w:val="0"/>
        <w:adjustRightInd w:val="0"/>
        <w:spacing w:line="360" w:lineRule="auto"/>
        <w:ind w:firstLineChars="200" w:firstLine="480"/>
        <w:rPr>
          <w:bCs/>
          <w:sz w:val="24"/>
          <w:lang w:val="de-DE"/>
        </w:rPr>
      </w:pPr>
      <w:r>
        <w:rPr>
          <w:bCs/>
          <w:sz w:val="24"/>
          <w:lang w:val="de-DE"/>
        </w:rPr>
        <w:lastRenderedPageBreak/>
        <w:t>（</w:t>
      </w:r>
      <w:r>
        <w:rPr>
          <w:rFonts w:hint="eastAsia"/>
          <w:bCs/>
          <w:sz w:val="24"/>
          <w:lang w:val="de-DE"/>
        </w:rPr>
        <w:t>3</w:t>
      </w:r>
      <w:r>
        <w:rPr>
          <w:bCs/>
          <w:sz w:val="24"/>
          <w:lang w:val="de-DE"/>
        </w:rPr>
        <w:t>）井下涌水经处理后最大限度的综合利用，最大程度的实现污废水的资源化，间接地保护和利用区域地下水资源；</w:t>
      </w:r>
    </w:p>
    <w:p w:rsidR="00C223F5" w:rsidRDefault="005860D5">
      <w:pPr>
        <w:autoSpaceDE w:val="0"/>
        <w:autoSpaceDN w:val="0"/>
        <w:adjustRightInd w:val="0"/>
        <w:spacing w:line="360" w:lineRule="auto"/>
        <w:ind w:firstLineChars="200" w:firstLine="480"/>
        <w:rPr>
          <w:bCs/>
          <w:sz w:val="24"/>
          <w:lang w:val="de-DE"/>
        </w:rPr>
      </w:pPr>
      <w:r>
        <w:rPr>
          <w:bCs/>
          <w:sz w:val="24"/>
          <w:lang w:val="de-DE"/>
        </w:rPr>
        <w:t>（</w:t>
      </w:r>
      <w:r>
        <w:rPr>
          <w:rFonts w:hint="eastAsia"/>
          <w:bCs/>
          <w:sz w:val="24"/>
          <w:lang w:val="de-DE"/>
        </w:rPr>
        <w:t>4</w:t>
      </w:r>
      <w:r>
        <w:rPr>
          <w:bCs/>
          <w:sz w:val="24"/>
          <w:lang w:val="de-DE"/>
        </w:rPr>
        <w:t>）严格按照《煤矿安全规程》和《煤矿防治水规定》的要求进行生产，确保矿井生产安全；</w:t>
      </w:r>
    </w:p>
    <w:p w:rsidR="00C223F5" w:rsidRDefault="005860D5">
      <w:pPr>
        <w:autoSpaceDE w:val="0"/>
        <w:autoSpaceDN w:val="0"/>
        <w:adjustRightInd w:val="0"/>
        <w:spacing w:line="360" w:lineRule="auto"/>
        <w:ind w:firstLineChars="200" w:firstLine="480"/>
        <w:rPr>
          <w:bCs/>
          <w:sz w:val="24"/>
          <w:lang w:val="de-DE"/>
        </w:rPr>
      </w:pPr>
      <w:r>
        <w:rPr>
          <w:bCs/>
          <w:sz w:val="24"/>
          <w:lang w:val="de-DE"/>
        </w:rPr>
        <w:t>（</w:t>
      </w:r>
      <w:r>
        <w:rPr>
          <w:rFonts w:hint="eastAsia"/>
          <w:bCs/>
          <w:sz w:val="24"/>
          <w:lang w:val="de-DE"/>
        </w:rPr>
        <w:t>5</w:t>
      </w:r>
      <w:r>
        <w:rPr>
          <w:bCs/>
          <w:sz w:val="24"/>
          <w:lang w:val="de-DE"/>
        </w:rPr>
        <w:t>）进行采煤导水裂缝的观测，确保导水裂缝不导通第四系含水层，保护潜水含水层。</w:t>
      </w:r>
    </w:p>
    <w:p w:rsidR="00C223F5" w:rsidRPr="00993B79" w:rsidRDefault="005860D5">
      <w:pPr>
        <w:spacing w:line="360" w:lineRule="auto"/>
        <w:ind w:firstLineChars="200" w:firstLine="480"/>
        <w:rPr>
          <w:bCs/>
          <w:sz w:val="24"/>
          <w:lang w:val="de-DE"/>
        </w:rPr>
      </w:pPr>
      <w:r>
        <w:rPr>
          <w:bCs/>
          <w:sz w:val="24"/>
          <w:lang w:val="de-DE"/>
        </w:rPr>
        <w:t>（</w:t>
      </w:r>
      <w:r>
        <w:rPr>
          <w:rFonts w:hint="eastAsia"/>
          <w:bCs/>
          <w:sz w:val="24"/>
          <w:lang w:val="de-DE"/>
        </w:rPr>
        <w:t>6</w:t>
      </w:r>
      <w:r>
        <w:rPr>
          <w:bCs/>
          <w:sz w:val="24"/>
          <w:lang w:val="de-DE"/>
        </w:rPr>
        <w:t>）开采过程中及采后应及时进行</w:t>
      </w:r>
      <w:r>
        <w:rPr>
          <w:rFonts w:hint="eastAsia"/>
          <w:bCs/>
          <w:sz w:val="24"/>
          <w:lang w:val="de-DE"/>
        </w:rPr>
        <w:t>沉陷区</w:t>
      </w:r>
      <w:r>
        <w:rPr>
          <w:bCs/>
          <w:sz w:val="24"/>
          <w:lang w:val="de-DE"/>
        </w:rPr>
        <w:t>生态恢复，涵养水源，</w:t>
      </w:r>
      <w:r>
        <w:rPr>
          <w:rFonts w:hint="eastAsia"/>
          <w:bCs/>
          <w:sz w:val="24"/>
          <w:lang w:val="de-DE"/>
        </w:rPr>
        <w:t>减缓</w:t>
      </w:r>
      <w:r>
        <w:rPr>
          <w:bCs/>
          <w:sz w:val="24"/>
          <w:lang w:val="de-DE"/>
        </w:rPr>
        <w:t>采矿对地下水的影响。</w:t>
      </w:r>
    </w:p>
    <w:p w:rsidR="00C223F5" w:rsidRPr="00993B79" w:rsidRDefault="005860D5">
      <w:pPr>
        <w:autoSpaceDE w:val="0"/>
        <w:autoSpaceDN w:val="0"/>
        <w:adjustRightInd w:val="0"/>
        <w:spacing w:line="360" w:lineRule="auto"/>
        <w:ind w:firstLineChars="200" w:firstLine="480"/>
        <w:rPr>
          <w:snapToGrid w:val="0"/>
          <w:spacing w:val="8"/>
          <w:kern w:val="0"/>
          <w:sz w:val="24"/>
        </w:rPr>
      </w:pPr>
      <w:r w:rsidRPr="00993B79">
        <w:rPr>
          <w:bCs/>
          <w:sz w:val="24"/>
          <w:lang w:val="de-DE"/>
        </w:rPr>
        <w:t>（</w:t>
      </w:r>
      <w:r w:rsidRPr="00993B79">
        <w:rPr>
          <w:rFonts w:hint="eastAsia"/>
          <w:bCs/>
          <w:sz w:val="24"/>
          <w:lang w:val="de-DE"/>
        </w:rPr>
        <w:t>7</w:t>
      </w:r>
      <w:r w:rsidRPr="00993B79">
        <w:rPr>
          <w:bCs/>
          <w:sz w:val="24"/>
          <w:lang w:val="de-DE"/>
        </w:rPr>
        <w:t>）加强井田及周边地下水水位的长期跟踪观测。井田水位长期跟踪观测井信息见表</w:t>
      </w:r>
      <w:r w:rsidRPr="00993B79">
        <w:rPr>
          <w:bCs/>
          <w:sz w:val="24"/>
          <w:lang w:val="de-DE"/>
        </w:rPr>
        <w:t>5.2.2-1</w:t>
      </w:r>
      <w:r w:rsidRPr="00993B79">
        <w:rPr>
          <w:bCs/>
          <w:sz w:val="24"/>
          <w:lang w:val="de-DE"/>
        </w:rPr>
        <w:t>和图</w:t>
      </w:r>
      <w:r w:rsidRPr="00993B79">
        <w:rPr>
          <w:bCs/>
          <w:sz w:val="24"/>
          <w:lang w:val="de-DE"/>
        </w:rPr>
        <w:t>5.2.1-</w:t>
      </w:r>
      <w:r w:rsidRPr="00993B79">
        <w:rPr>
          <w:rFonts w:hint="eastAsia"/>
          <w:bCs/>
          <w:sz w:val="24"/>
          <w:lang w:val="de-DE"/>
        </w:rPr>
        <w:t>1</w:t>
      </w:r>
      <w:r w:rsidRPr="00993B79">
        <w:rPr>
          <w:snapToGrid w:val="0"/>
          <w:spacing w:val="8"/>
          <w:kern w:val="0"/>
          <w:sz w:val="24"/>
        </w:rPr>
        <w:t>。</w:t>
      </w:r>
    </w:p>
    <w:p w:rsidR="00C223F5" w:rsidRPr="00993B79" w:rsidRDefault="005860D5">
      <w:pPr>
        <w:jc w:val="center"/>
        <w:rPr>
          <w:b/>
          <w:sz w:val="24"/>
        </w:rPr>
      </w:pPr>
      <w:r w:rsidRPr="00993B79">
        <w:rPr>
          <w:b/>
          <w:sz w:val="24"/>
        </w:rPr>
        <w:t>表</w:t>
      </w:r>
      <w:r w:rsidRPr="00993B79">
        <w:rPr>
          <w:b/>
          <w:sz w:val="24"/>
        </w:rPr>
        <w:t xml:space="preserve">5.2.2-1  </w:t>
      </w:r>
      <w:r w:rsidRPr="00993B79">
        <w:rPr>
          <w:b/>
          <w:sz w:val="24"/>
        </w:rPr>
        <w:t>井田水位长期跟踪观测井信息表</w:t>
      </w:r>
    </w:p>
    <w:tbl>
      <w:tblPr>
        <w:tblW w:w="85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76"/>
        <w:gridCol w:w="1702"/>
        <w:gridCol w:w="1561"/>
        <w:gridCol w:w="1418"/>
        <w:gridCol w:w="1134"/>
        <w:gridCol w:w="1815"/>
      </w:tblGrid>
      <w:tr w:rsidR="00040F41" w:rsidRPr="00993B79" w:rsidTr="00040F41">
        <w:trPr>
          <w:trHeight w:val="20"/>
          <w:jc w:val="center"/>
        </w:trPr>
        <w:tc>
          <w:tcPr>
            <w:tcW w:w="876" w:type="dxa"/>
            <w:shd w:val="clear" w:color="auto" w:fill="auto"/>
            <w:vAlign w:val="center"/>
          </w:tcPr>
          <w:p w:rsidR="00040F41" w:rsidRPr="00993B79" w:rsidRDefault="00040F41" w:rsidP="00040F41">
            <w:pPr>
              <w:jc w:val="center"/>
              <w:rPr>
                <w:szCs w:val="21"/>
              </w:rPr>
            </w:pPr>
            <w:r w:rsidRPr="00993B79">
              <w:rPr>
                <w:szCs w:val="21"/>
              </w:rPr>
              <w:t>编号</w:t>
            </w:r>
          </w:p>
        </w:tc>
        <w:tc>
          <w:tcPr>
            <w:tcW w:w="1702" w:type="dxa"/>
            <w:shd w:val="clear" w:color="auto" w:fill="auto"/>
            <w:vAlign w:val="center"/>
          </w:tcPr>
          <w:p w:rsidR="00040F41" w:rsidRPr="00993B79" w:rsidRDefault="00040F41" w:rsidP="00040F41">
            <w:pPr>
              <w:jc w:val="center"/>
              <w:rPr>
                <w:szCs w:val="21"/>
              </w:rPr>
            </w:pPr>
            <w:r w:rsidRPr="00993B79">
              <w:rPr>
                <w:szCs w:val="21"/>
              </w:rPr>
              <w:t>位置</w:t>
            </w:r>
          </w:p>
        </w:tc>
        <w:tc>
          <w:tcPr>
            <w:tcW w:w="1561" w:type="dxa"/>
            <w:shd w:val="clear" w:color="auto" w:fill="auto"/>
            <w:vAlign w:val="center"/>
          </w:tcPr>
          <w:p w:rsidR="00040F41" w:rsidRPr="00993B79" w:rsidRDefault="00040F41" w:rsidP="00040F41">
            <w:pPr>
              <w:jc w:val="center"/>
              <w:rPr>
                <w:szCs w:val="21"/>
              </w:rPr>
            </w:pPr>
            <w:r w:rsidRPr="00993B79">
              <w:rPr>
                <w:szCs w:val="21"/>
              </w:rPr>
              <w:t>监测层位</w:t>
            </w:r>
          </w:p>
        </w:tc>
        <w:tc>
          <w:tcPr>
            <w:tcW w:w="1418" w:type="dxa"/>
            <w:shd w:val="clear" w:color="auto" w:fill="auto"/>
            <w:vAlign w:val="center"/>
          </w:tcPr>
          <w:p w:rsidR="00040F41" w:rsidRPr="00993B79" w:rsidRDefault="00040F41" w:rsidP="00040F41">
            <w:pPr>
              <w:widowControl/>
              <w:jc w:val="center"/>
              <w:rPr>
                <w:kern w:val="0"/>
                <w:szCs w:val="21"/>
              </w:rPr>
            </w:pPr>
            <w:r w:rsidRPr="00993B79">
              <w:rPr>
                <w:kern w:val="0"/>
                <w:szCs w:val="21"/>
              </w:rPr>
              <w:t>井深（</w:t>
            </w:r>
            <w:r w:rsidRPr="00993B79">
              <w:rPr>
                <w:kern w:val="0"/>
                <w:szCs w:val="21"/>
              </w:rPr>
              <w:t>m</w:t>
            </w:r>
            <w:r w:rsidRPr="00993B79">
              <w:rPr>
                <w:kern w:val="0"/>
                <w:szCs w:val="21"/>
              </w:rPr>
              <w:t>）</w:t>
            </w:r>
          </w:p>
        </w:tc>
        <w:tc>
          <w:tcPr>
            <w:tcW w:w="1134" w:type="dxa"/>
            <w:shd w:val="clear" w:color="auto" w:fill="auto"/>
            <w:vAlign w:val="center"/>
          </w:tcPr>
          <w:p w:rsidR="00040F41" w:rsidRPr="00993B79" w:rsidRDefault="00040F41" w:rsidP="00040F41">
            <w:pPr>
              <w:jc w:val="center"/>
              <w:rPr>
                <w:szCs w:val="21"/>
              </w:rPr>
            </w:pPr>
            <w:r w:rsidRPr="00993B79">
              <w:rPr>
                <w:szCs w:val="21"/>
              </w:rPr>
              <w:t>监测频率</w:t>
            </w:r>
          </w:p>
        </w:tc>
        <w:tc>
          <w:tcPr>
            <w:tcW w:w="1815" w:type="dxa"/>
          </w:tcPr>
          <w:p w:rsidR="00040F41" w:rsidRPr="00993B79" w:rsidRDefault="006C2ADE" w:rsidP="00040F41">
            <w:pPr>
              <w:jc w:val="center"/>
              <w:rPr>
                <w:szCs w:val="21"/>
              </w:rPr>
            </w:pPr>
            <w:r>
              <w:rPr>
                <w:rFonts w:hint="eastAsia"/>
                <w:szCs w:val="21"/>
              </w:rPr>
              <w:t>备注</w:t>
            </w:r>
          </w:p>
        </w:tc>
      </w:tr>
      <w:tr w:rsidR="00040F41" w:rsidRPr="00993B79" w:rsidTr="00040F41">
        <w:trPr>
          <w:trHeight w:val="65"/>
          <w:jc w:val="center"/>
        </w:trPr>
        <w:tc>
          <w:tcPr>
            <w:tcW w:w="876" w:type="dxa"/>
            <w:shd w:val="clear" w:color="auto" w:fill="auto"/>
            <w:vAlign w:val="center"/>
          </w:tcPr>
          <w:p w:rsidR="00040F41" w:rsidRPr="00993B79" w:rsidRDefault="00040F41" w:rsidP="00040F41">
            <w:pPr>
              <w:jc w:val="center"/>
              <w:rPr>
                <w:szCs w:val="21"/>
              </w:rPr>
            </w:pPr>
            <w:r w:rsidRPr="00993B79">
              <w:rPr>
                <w:szCs w:val="21"/>
              </w:rPr>
              <w:t>1</w:t>
            </w:r>
          </w:p>
        </w:tc>
        <w:tc>
          <w:tcPr>
            <w:tcW w:w="1702" w:type="dxa"/>
            <w:shd w:val="clear" w:color="auto" w:fill="auto"/>
            <w:vAlign w:val="center"/>
          </w:tcPr>
          <w:p w:rsidR="00040F41" w:rsidRPr="00993B79" w:rsidRDefault="00040F41" w:rsidP="00040F41">
            <w:pPr>
              <w:jc w:val="center"/>
              <w:rPr>
                <w:szCs w:val="21"/>
              </w:rPr>
            </w:pPr>
            <w:r w:rsidRPr="00993B79">
              <w:rPr>
                <w:rFonts w:hint="eastAsia"/>
                <w:szCs w:val="21"/>
              </w:rPr>
              <w:t>倒座茆村</w:t>
            </w:r>
          </w:p>
        </w:tc>
        <w:tc>
          <w:tcPr>
            <w:tcW w:w="1561" w:type="dxa"/>
            <w:vMerge w:val="restart"/>
            <w:shd w:val="clear" w:color="auto" w:fill="auto"/>
            <w:vAlign w:val="center"/>
          </w:tcPr>
          <w:p w:rsidR="00040F41" w:rsidRPr="00993B79" w:rsidRDefault="00040F41" w:rsidP="00040F41">
            <w:pPr>
              <w:jc w:val="center"/>
              <w:rPr>
                <w:szCs w:val="21"/>
              </w:rPr>
            </w:pPr>
            <w:r w:rsidRPr="00993B79">
              <w:rPr>
                <w:rFonts w:hint="eastAsia"/>
                <w:szCs w:val="21"/>
              </w:rPr>
              <w:t>潜水</w:t>
            </w:r>
            <w:r w:rsidRPr="00993B79">
              <w:rPr>
                <w:szCs w:val="21"/>
              </w:rPr>
              <w:t>含水层</w:t>
            </w:r>
          </w:p>
        </w:tc>
        <w:tc>
          <w:tcPr>
            <w:tcW w:w="1418" w:type="dxa"/>
            <w:shd w:val="clear" w:color="auto" w:fill="auto"/>
            <w:vAlign w:val="center"/>
          </w:tcPr>
          <w:p w:rsidR="00040F41" w:rsidRPr="00993B79" w:rsidRDefault="00040F41" w:rsidP="00040F41">
            <w:pPr>
              <w:pStyle w:val="a8"/>
              <w:rPr>
                <w:b w:val="0"/>
              </w:rPr>
            </w:pPr>
            <w:r w:rsidRPr="00993B79">
              <w:rPr>
                <w:b w:val="0"/>
                <w:kern w:val="0"/>
              </w:rPr>
              <w:t>4.5m</w:t>
            </w:r>
          </w:p>
        </w:tc>
        <w:tc>
          <w:tcPr>
            <w:tcW w:w="1134" w:type="dxa"/>
            <w:vMerge w:val="restart"/>
            <w:shd w:val="clear" w:color="auto" w:fill="auto"/>
            <w:vAlign w:val="center"/>
          </w:tcPr>
          <w:p w:rsidR="00040F41" w:rsidRPr="00993B79" w:rsidRDefault="00040F41" w:rsidP="00040F41">
            <w:pPr>
              <w:jc w:val="center"/>
              <w:rPr>
                <w:szCs w:val="21"/>
              </w:rPr>
            </w:pPr>
            <w:r w:rsidRPr="00993B79">
              <w:rPr>
                <w:szCs w:val="21"/>
              </w:rPr>
              <w:t>1</w:t>
            </w:r>
            <w:r w:rsidRPr="00993B79">
              <w:rPr>
                <w:szCs w:val="21"/>
              </w:rPr>
              <w:t>次</w:t>
            </w:r>
            <w:r w:rsidRPr="00993B79">
              <w:rPr>
                <w:szCs w:val="21"/>
              </w:rPr>
              <w:t>/</w:t>
            </w:r>
            <w:r w:rsidRPr="00993B79">
              <w:rPr>
                <w:szCs w:val="21"/>
              </w:rPr>
              <w:t>月</w:t>
            </w:r>
          </w:p>
        </w:tc>
        <w:tc>
          <w:tcPr>
            <w:tcW w:w="1815" w:type="dxa"/>
          </w:tcPr>
          <w:p w:rsidR="00040F41" w:rsidRPr="006C2ADE" w:rsidRDefault="006C2ADE" w:rsidP="00040F41">
            <w:pPr>
              <w:jc w:val="center"/>
              <w:rPr>
                <w:color w:val="FF0000"/>
                <w:szCs w:val="21"/>
              </w:rPr>
            </w:pPr>
            <w:r w:rsidRPr="006C2ADE">
              <w:rPr>
                <w:rFonts w:hint="eastAsia"/>
                <w:color w:val="FF0000"/>
                <w:szCs w:val="21"/>
              </w:rPr>
              <w:t>五盘区附近居民点</w:t>
            </w:r>
          </w:p>
        </w:tc>
      </w:tr>
      <w:tr w:rsidR="00040F41" w:rsidRPr="00993B79" w:rsidTr="00040F41">
        <w:trPr>
          <w:trHeight w:val="20"/>
          <w:jc w:val="center"/>
        </w:trPr>
        <w:tc>
          <w:tcPr>
            <w:tcW w:w="876" w:type="dxa"/>
            <w:shd w:val="clear" w:color="auto" w:fill="auto"/>
            <w:vAlign w:val="center"/>
          </w:tcPr>
          <w:p w:rsidR="00040F41" w:rsidRPr="00993B79" w:rsidRDefault="00040F41" w:rsidP="00040F41">
            <w:pPr>
              <w:jc w:val="center"/>
              <w:rPr>
                <w:szCs w:val="21"/>
              </w:rPr>
            </w:pPr>
            <w:r w:rsidRPr="00993B79">
              <w:rPr>
                <w:rFonts w:hint="eastAsia"/>
                <w:szCs w:val="21"/>
              </w:rPr>
              <w:t>2</w:t>
            </w:r>
          </w:p>
        </w:tc>
        <w:tc>
          <w:tcPr>
            <w:tcW w:w="1702" w:type="dxa"/>
            <w:shd w:val="clear" w:color="auto" w:fill="auto"/>
            <w:vAlign w:val="center"/>
          </w:tcPr>
          <w:p w:rsidR="00040F41" w:rsidRPr="00993B79" w:rsidRDefault="00040F41" w:rsidP="00040F41">
            <w:pPr>
              <w:widowControl/>
              <w:jc w:val="center"/>
              <w:rPr>
                <w:szCs w:val="21"/>
              </w:rPr>
            </w:pPr>
            <w:r w:rsidRPr="00993B79">
              <w:rPr>
                <w:rFonts w:hint="eastAsia"/>
                <w:szCs w:val="21"/>
              </w:rPr>
              <w:t>藏家沟村</w:t>
            </w:r>
          </w:p>
        </w:tc>
        <w:tc>
          <w:tcPr>
            <w:tcW w:w="1561" w:type="dxa"/>
            <w:vMerge/>
            <w:shd w:val="clear" w:color="auto" w:fill="auto"/>
            <w:vAlign w:val="center"/>
          </w:tcPr>
          <w:p w:rsidR="00040F41" w:rsidRPr="00993B79" w:rsidRDefault="00040F41" w:rsidP="00040F41">
            <w:pPr>
              <w:jc w:val="center"/>
              <w:rPr>
                <w:szCs w:val="21"/>
              </w:rPr>
            </w:pPr>
          </w:p>
        </w:tc>
        <w:tc>
          <w:tcPr>
            <w:tcW w:w="1418" w:type="dxa"/>
            <w:shd w:val="clear" w:color="auto" w:fill="auto"/>
            <w:vAlign w:val="center"/>
          </w:tcPr>
          <w:p w:rsidR="00040F41" w:rsidRPr="00993B79" w:rsidRDefault="00040F41" w:rsidP="00040F41">
            <w:pPr>
              <w:pStyle w:val="a8"/>
              <w:rPr>
                <w:b w:val="0"/>
              </w:rPr>
            </w:pPr>
            <w:r w:rsidRPr="00993B79">
              <w:rPr>
                <w:b w:val="0"/>
                <w:kern w:val="0"/>
              </w:rPr>
              <w:t>5.2m</w:t>
            </w:r>
          </w:p>
        </w:tc>
        <w:tc>
          <w:tcPr>
            <w:tcW w:w="1134" w:type="dxa"/>
            <w:vMerge/>
            <w:shd w:val="clear" w:color="auto" w:fill="auto"/>
            <w:vAlign w:val="center"/>
          </w:tcPr>
          <w:p w:rsidR="00040F41" w:rsidRPr="00993B79" w:rsidRDefault="00040F41" w:rsidP="00040F41">
            <w:pPr>
              <w:jc w:val="center"/>
              <w:rPr>
                <w:szCs w:val="21"/>
              </w:rPr>
            </w:pPr>
          </w:p>
        </w:tc>
        <w:tc>
          <w:tcPr>
            <w:tcW w:w="1815" w:type="dxa"/>
          </w:tcPr>
          <w:p w:rsidR="00040F41" w:rsidRPr="006C2ADE" w:rsidRDefault="006C2ADE" w:rsidP="00040F41">
            <w:pPr>
              <w:jc w:val="center"/>
              <w:rPr>
                <w:color w:val="FF0000"/>
                <w:szCs w:val="21"/>
              </w:rPr>
            </w:pPr>
            <w:r w:rsidRPr="006C2ADE">
              <w:rPr>
                <w:rFonts w:hint="eastAsia"/>
                <w:color w:val="FF0000"/>
                <w:szCs w:val="21"/>
              </w:rPr>
              <w:t>三、七盘区居民点</w:t>
            </w:r>
          </w:p>
        </w:tc>
      </w:tr>
      <w:tr w:rsidR="006C2ADE" w:rsidRPr="00993B79" w:rsidTr="00CC667D">
        <w:trPr>
          <w:trHeight w:val="20"/>
          <w:jc w:val="center"/>
        </w:trPr>
        <w:tc>
          <w:tcPr>
            <w:tcW w:w="8506" w:type="dxa"/>
            <w:gridSpan w:val="6"/>
            <w:shd w:val="clear" w:color="auto" w:fill="auto"/>
            <w:vAlign w:val="center"/>
          </w:tcPr>
          <w:p w:rsidR="006C2ADE" w:rsidRPr="006C2ADE" w:rsidRDefault="006C2ADE" w:rsidP="004B1459">
            <w:pPr>
              <w:jc w:val="left"/>
              <w:rPr>
                <w:color w:val="FF0000"/>
                <w:szCs w:val="21"/>
              </w:rPr>
            </w:pPr>
            <w:r w:rsidRPr="006C2ADE">
              <w:rPr>
                <w:rFonts w:hint="eastAsia"/>
                <w:color w:val="FF0000"/>
                <w:szCs w:val="21"/>
              </w:rPr>
              <w:t>注：鉴于蚂蚁河及大理河沿岸居民由市政统一供自来水，故本次采煤对地下水水位影响的跟踪监测仅考虑分散用水的居民点，主要位于井田西南部</w:t>
            </w:r>
          </w:p>
        </w:tc>
      </w:tr>
    </w:tbl>
    <w:p w:rsidR="00C223F5" w:rsidRPr="00993B79" w:rsidRDefault="005860D5">
      <w:pPr>
        <w:autoSpaceDE w:val="0"/>
        <w:autoSpaceDN w:val="0"/>
        <w:adjustRightInd w:val="0"/>
        <w:spacing w:line="360" w:lineRule="auto"/>
        <w:ind w:firstLineChars="200" w:firstLine="512"/>
        <w:rPr>
          <w:snapToGrid w:val="0"/>
          <w:spacing w:val="8"/>
          <w:kern w:val="0"/>
          <w:sz w:val="24"/>
        </w:rPr>
      </w:pPr>
      <w:r w:rsidRPr="00993B79">
        <w:rPr>
          <w:snapToGrid w:val="0"/>
          <w:spacing w:val="8"/>
          <w:kern w:val="0"/>
          <w:sz w:val="24"/>
        </w:rPr>
        <w:t>（</w:t>
      </w:r>
      <w:r w:rsidRPr="00993B79">
        <w:rPr>
          <w:rFonts w:hint="eastAsia"/>
          <w:snapToGrid w:val="0"/>
          <w:spacing w:val="8"/>
          <w:kern w:val="0"/>
          <w:sz w:val="24"/>
        </w:rPr>
        <w:t>8</w:t>
      </w:r>
      <w:r w:rsidRPr="00993B79">
        <w:rPr>
          <w:snapToGrid w:val="0"/>
          <w:spacing w:val="8"/>
          <w:kern w:val="0"/>
          <w:sz w:val="24"/>
        </w:rPr>
        <w:t>）制定居民供水应急预案</w:t>
      </w:r>
    </w:p>
    <w:p w:rsidR="00C223F5" w:rsidRPr="00993B79" w:rsidRDefault="005860D5">
      <w:pPr>
        <w:spacing w:line="360" w:lineRule="auto"/>
        <w:ind w:firstLineChars="200" w:firstLine="480"/>
        <w:rPr>
          <w:sz w:val="24"/>
        </w:rPr>
      </w:pPr>
      <w:r w:rsidRPr="00993B79">
        <w:rPr>
          <w:sz w:val="24"/>
        </w:rPr>
        <w:t>井田范围内</w:t>
      </w:r>
      <w:r w:rsidRPr="00993B79">
        <w:rPr>
          <w:rFonts w:hint="eastAsia"/>
          <w:sz w:val="24"/>
        </w:rPr>
        <w:t>居民点均留设保护煤柱</w:t>
      </w:r>
      <w:r w:rsidRPr="00993B79">
        <w:rPr>
          <w:sz w:val="24"/>
        </w:rPr>
        <w:t>，</w:t>
      </w:r>
      <w:r w:rsidRPr="004B1459">
        <w:rPr>
          <w:rFonts w:hint="eastAsia"/>
          <w:color w:val="FF0000"/>
          <w:sz w:val="24"/>
        </w:rPr>
        <w:t>经调查</w:t>
      </w:r>
      <w:r w:rsidR="004B1459" w:rsidRPr="00E134B5">
        <w:rPr>
          <w:rFonts w:hint="eastAsia"/>
          <w:color w:val="FF0000"/>
          <w:sz w:val="24"/>
        </w:rPr>
        <w:t>蚂蚁河及大理河沿线居民</w:t>
      </w:r>
      <w:r w:rsidR="004B1459" w:rsidRPr="00E134B5">
        <w:rPr>
          <w:rFonts w:hAnsi="宋体" w:hint="eastAsia"/>
          <w:color w:val="FF0000"/>
          <w:sz w:val="24"/>
        </w:rPr>
        <w:t>饮用水</w:t>
      </w:r>
      <w:r w:rsidR="004B1459">
        <w:rPr>
          <w:rFonts w:hAnsi="宋体" w:hint="eastAsia"/>
          <w:color w:val="FF0000"/>
          <w:sz w:val="24"/>
        </w:rPr>
        <w:t>为</w:t>
      </w:r>
      <w:r w:rsidR="004B1459" w:rsidRPr="00E134B5">
        <w:rPr>
          <w:rFonts w:hAnsi="宋体" w:hint="eastAsia"/>
          <w:color w:val="FF0000"/>
          <w:sz w:val="24"/>
        </w:rPr>
        <w:t>政府水利局农饮办的饮水工程提供</w:t>
      </w:r>
      <w:r w:rsidR="004B1459">
        <w:rPr>
          <w:rFonts w:hAnsi="宋体" w:hint="eastAsia"/>
          <w:color w:val="FF0000"/>
          <w:sz w:val="24"/>
        </w:rPr>
        <w:t>的</w:t>
      </w:r>
      <w:r w:rsidR="004B1459" w:rsidRPr="00E134B5">
        <w:rPr>
          <w:rFonts w:hAnsi="宋体" w:hint="eastAsia"/>
          <w:color w:val="FF0000"/>
          <w:sz w:val="24"/>
        </w:rPr>
        <w:t>自来水</w:t>
      </w:r>
      <w:r w:rsidR="004B1459">
        <w:rPr>
          <w:rFonts w:hAnsi="宋体" w:hint="eastAsia"/>
          <w:color w:val="FF0000"/>
          <w:sz w:val="24"/>
        </w:rPr>
        <w:t>（水源不在项目评价区范围内）；</w:t>
      </w:r>
      <w:r w:rsidR="004B1459" w:rsidRPr="00E134B5">
        <w:rPr>
          <w:rFonts w:hAnsi="宋体" w:hint="eastAsia"/>
          <w:color w:val="FF0000"/>
          <w:sz w:val="24"/>
        </w:rPr>
        <w:t>井田西南部分散</w:t>
      </w:r>
      <w:r w:rsidR="004B1459" w:rsidRPr="00E134B5">
        <w:rPr>
          <w:rFonts w:hint="eastAsia"/>
          <w:color w:val="FF0000"/>
          <w:sz w:val="24"/>
        </w:rPr>
        <w:t>居民</w:t>
      </w:r>
      <w:r w:rsidR="004B1459">
        <w:rPr>
          <w:rFonts w:hint="eastAsia"/>
          <w:color w:val="FF0000"/>
          <w:sz w:val="24"/>
        </w:rPr>
        <w:t>（藏家沟村、牛肚塌村、后麻地沟村）</w:t>
      </w:r>
      <w:r w:rsidR="004B1459" w:rsidRPr="00E134B5">
        <w:rPr>
          <w:rFonts w:hint="eastAsia"/>
          <w:color w:val="FF0000"/>
          <w:sz w:val="24"/>
        </w:rPr>
        <w:t>用水主要为</w:t>
      </w:r>
      <w:r w:rsidR="004B1459" w:rsidRPr="003526FF">
        <w:rPr>
          <w:rFonts w:hint="eastAsia"/>
          <w:color w:val="FF0000"/>
          <w:sz w:val="24"/>
        </w:rPr>
        <w:t>泉水（来自第四系及风化基岩</w:t>
      </w:r>
      <w:r w:rsidR="004B1459">
        <w:rPr>
          <w:rFonts w:hint="eastAsia"/>
          <w:color w:val="FF0000"/>
          <w:sz w:val="24"/>
        </w:rPr>
        <w:t>潜水</w:t>
      </w:r>
      <w:r w:rsidR="004B1459" w:rsidRPr="003526FF">
        <w:rPr>
          <w:rFonts w:hint="eastAsia"/>
          <w:color w:val="FF0000"/>
          <w:sz w:val="24"/>
        </w:rPr>
        <w:t>含水层）</w:t>
      </w:r>
      <w:r w:rsidR="004B1459">
        <w:rPr>
          <w:rFonts w:hint="eastAsia"/>
          <w:color w:val="FF0000"/>
          <w:sz w:val="24"/>
        </w:rPr>
        <w:t>；</w:t>
      </w:r>
      <w:r w:rsidR="004B1459" w:rsidRPr="003526FF">
        <w:rPr>
          <w:rFonts w:hint="eastAsia"/>
          <w:color w:val="FF0000"/>
          <w:sz w:val="24"/>
        </w:rPr>
        <w:t>河流两岸分散水井主要用于农田灌溉，</w:t>
      </w:r>
      <w:r w:rsidR="004B1459" w:rsidRPr="003526FF">
        <w:rPr>
          <w:rFonts w:hAnsi="宋体"/>
          <w:color w:val="FF0000"/>
          <w:sz w:val="24"/>
        </w:rPr>
        <w:t>取水层位主要为第四系全新统</w:t>
      </w:r>
      <w:r w:rsidR="004B1459" w:rsidRPr="00296181">
        <w:rPr>
          <w:rFonts w:hAnsi="宋体"/>
          <w:color w:val="FF0000"/>
          <w:sz w:val="24"/>
        </w:rPr>
        <w:t>冲洪积</w:t>
      </w:r>
      <w:r w:rsidR="004B1459" w:rsidRPr="00F20509">
        <w:rPr>
          <w:rFonts w:hAnsi="宋体"/>
          <w:color w:val="FF0000"/>
          <w:sz w:val="24"/>
        </w:rPr>
        <w:t>层孔隙潜水含水层</w:t>
      </w:r>
      <w:r w:rsidR="004B1459" w:rsidRPr="00F20509">
        <w:rPr>
          <w:rFonts w:hAnsi="宋体" w:hint="eastAsia"/>
          <w:color w:val="FF0000"/>
          <w:sz w:val="24"/>
        </w:rPr>
        <w:t>和三叠系</w:t>
      </w:r>
      <w:r w:rsidR="004B1459" w:rsidRPr="00F20509">
        <w:rPr>
          <w:rFonts w:hAnsi="宋体"/>
          <w:color w:val="FF0000"/>
          <w:sz w:val="24"/>
        </w:rPr>
        <w:t>风化基岩裂隙潜水含水层</w:t>
      </w:r>
      <w:r w:rsidRPr="004B1459">
        <w:rPr>
          <w:color w:val="FF0000"/>
          <w:sz w:val="24"/>
        </w:rPr>
        <w:t>。</w:t>
      </w:r>
      <w:r w:rsidRPr="00993B79">
        <w:rPr>
          <w:sz w:val="24"/>
        </w:rPr>
        <w:t>通过地下水水位的跟踪观测，一旦发现因采煤导致居民</w:t>
      </w:r>
      <w:r w:rsidRPr="004B1459">
        <w:rPr>
          <w:color w:val="FF0000"/>
          <w:sz w:val="24"/>
        </w:rPr>
        <w:t>生产用水困难，</w:t>
      </w:r>
      <w:r w:rsidRPr="00993B79">
        <w:rPr>
          <w:sz w:val="24"/>
        </w:rPr>
        <w:t>应由建设方负责解决，以保证当地居民的用水安全。环评特提出以下供水预案：</w:t>
      </w:r>
    </w:p>
    <w:p w:rsidR="00C223F5" w:rsidRPr="00993B79" w:rsidRDefault="005860D5">
      <w:pPr>
        <w:spacing w:line="360" w:lineRule="auto"/>
        <w:ind w:firstLineChars="200" w:firstLine="480"/>
        <w:rPr>
          <w:sz w:val="24"/>
        </w:rPr>
      </w:pPr>
      <w:r w:rsidRPr="00993B79">
        <w:rPr>
          <w:rFonts w:ascii="宋体" w:hAnsi="宋体" w:cs="宋体" w:hint="eastAsia"/>
          <w:sz w:val="24"/>
        </w:rPr>
        <w:t>①</w:t>
      </w:r>
      <w:r w:rsidRPr="00993B79">
        <w:rPr>
          <w:sz w:val="24"/>
        </w:rPr>
        <w:t>临时供水措施</w:t>
      </w:r>
    </w:p>
    <w:p w:rsidR="00C223F5" w:rsidRDefault="005860D5">
      <w:pPr>
        <w:spacing w:line="360" w:lineRule="auto"/>
        <w:ind w:firstLineChars="200" w:firstLine="480"/>
        <w:rPr>
          <w:sz w:val="24"/>
        </w:rPr>
      </w:pPr>
      <w:r w:rsidRPr="00993B79">
        <w:rPr>
          <w:sz w:val="24"/>
        </w:rPr>
        <w:t>建设单位应第一时间上报当地政府相</w:t>
      </w:r>
      <w:r>
        <w:rPr>
          <w:sz w:val="24"/>
        </w:rPr>
        <w:t>关部门；同时，对影响区出现居民点供水困难的村庄首先采用拉水车拉水的供水方式，以解决居民临时性用水问题。</w:t>
      </w:r>
    </w:p>
    <w:p w:rsidR="00C223F5" w:rsidRDefault="005860D5">
      <w:pPr>
        <w:spacing w:line="360" w:lineRule="auto"/>
        <w:ind w:firstLineChars="200" w:firstLine="480"/>
        <w:rPr>
          <w:sz w:val="24"/>
        </w:rPr>
      </w:pPr>
      <w:r>
        <w:rPr>
          <w:rFonts w:ascii="宋体" w:hAnsi="宋体" w:cs="宋体" w:hint="eastAsia"/>
          <w:sz w:val="24"/>
        </w:rPr>
        <w:t>②</w:t>
      </w:r>
      <w:r>
        <w:rPr>
          <w:sz w:val="24"/>
        </w:rPr>
        <w:t>永久性供水措施</w:t>
      </w:r>
    </w:p>
    <w:p w:rsidR="00C223F5" w:rsidRDefault="005860D5">
      <w:pPr>
        <w:spacing w:line="360" w:lineRule="auto"/>
        <w:ind w:firstLineChars="200" w:firstLine="480"/>
        <w:rPr>
          <w:sz w:val="24"/>
        </w:rPr>
      </w:pPr>
      <w:r>
        <w:rPr>
          <w:sz w:val="24"/>
        </w:rPr>
        <w:t>对于居民永久性供水措施可可优先采用对现有民用井加深处理方式，费用由矿方负责；现有民井加深处理仍不能满足供水要求时，建设单位会同当地水行政主管部门、地质勘探部门一同寻找新可靠供水水源；上述举措必须取得当地水行政主管部门的批准，同时新水源井必须经过当地卫生部门检验合格后方可使用，</w:t>
      </w:r>
      <w:r>
        <w:rPr>
          <w:sz w:val="24"/>
        </w:rPr>
        <w:lastRenderedPageBreak/>
        <w:t>费用由矿方负责。</w:t>
      </w: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477" w:name="_Toc533604347"/>
      <w:bookmarkStart w:id="478" w:name="_Toc533604767"/>
      <w:bookmarkStart w:id="479" w:name="_Toc16785313"/>
      <w:r>
        <w:rPr>
          <w:rFonts w:ascii="Times New Roman" w:eastAsia="宋体" w:hAnsi="Times New Roman" w:hint="eastAsia"/>
          <w:b/>
          <w:bCs w:val="0"/>
          <w:szCs w:val="30"/>
        </w:rPr>
        <w:t>5.3</w:t>
      </w:r>
      <w:r>
        <w:rPr>
          <w:rFonts w:ascii="Times New Roman" w:eastAsia="宋体" w:hAnsi="Times New Roman" w:hint="eastAsia"/>
          <w:b/>
          <w:bCs w:val="0"/>
          <w:szCs w:val="30"/>
        </w:rPr>
        <w:t>地表水污染防治措施及可行性分析</w:t>
      </w:r>
      <w:bookmarkEnd w:id="477"/>
      <w:bookmarkEnd w:id="478"/>
      <w:bookmarkEnd w:id="479"/>
    </w:p>
    <w:p w:rsidR="00C223F5" w:rsidRDefault="005860D5" w:rsidP="004835BD">
      <w:pPr>
        <w:pStyle w:val="3"/>
        <w:numPr>
          <w:ilvl w:val="0"/>
          <w:numId w:val="0"/>
        </w:numPr>
        <w:spacing w:before="0" w:after="0" w:line="360" w:lineRule="auto"/>
        <w:ind w:left="170"/>
        <w:rPr>
          <w:rFonts w:eastAsia="宋体"/>
          <w:b/>
          <w:bCs w:val="0"/>
          <w:sz w:val="28"/>
          <w:szCs w:val="28"/>
        </w:rPr>
      </w:pPr>
      <w:bookmarkStart w:id="480" w:name="_Toc533604348"/>
      <w:bookmarkStart w:id="481" w:name="_Toc533604768"/>
      <w:bookmarkStart w:id="482" w:name="_Toc403575417"/>
      <w:bookmarkStart w:id="483" w:name="_Toc16785314"/>
      <w:r>
        <w:rPr>
          <w:rFonts w:eastAsia="宋体" w:hint="eastAsia"/>
          <w:b/>
          <w:bCs w:val="0"/>
          <w:sz w:val="28"/>
          <w:szCs w:val="28"/>
        </w:rPr>
        <w:t>5.3.1</w:t>
      </w:r>
      <w:r>
        <w:rPr>
          <w:rFonts w:eastAsia="宋体" w:hint="eastAsia"/>
          <w:b/>
          <w:bCs w:val="0"/>
          <w:sz w:val="28"/>
          <w:szCs w:val="28"/>
        </w:rPr>
        <w:t>选煤厂</w:t>
      </w:r>
      <w:r>
        <w:rPr>
          <w:rFonts w:eastAsia="宋体"/>
          <w:b/>
          <w:bCs w:val="0"/>
          <w:sz w:val="28"/>
          <w:szCs w:val="28"/>
        </w:rPr>
        <w:t>煤泥水闭路循环可靠性分析</w:t>
      </w:r>
      <w:bookmarkEnd w:id="480"/>
      <w:bookmarkEnd w:id="481"/>
      <w:bookmarkEnd w:id="482"/>
      <w:bookmarkEnd w:id="483"/>
    </w:p>
    <w:p w:rsidR="00C223F5" w:rsidRDefault="005860D5">
      <w:pPr>
        <w:spacing w:line="360" w:lineRule="auto"/>
        <w:ind w:firstLineChars="200" w:firstLine="480"/>
        <w:rPr>
          <w:sz w:val="24"/>
          <w:szCs w:val="22"/>
        </w:rPr>
      </w:pPr>
      <w:r>
        <w:rPr>
          <w:sz w:val="24"/>
          <w:szCs w:val="22"/>
        </w:rPr>
        <w:t>（</w:t>
      </w:r>
      <w:r>
        <w:rPr>
          <w:sz w:val="24"/>
          <w:szCs w:val="22"/>
        </w:rPr>
        <w:t>1</w:t>
      </w:r>
      <w:r>
        <w:rPr>
          <w:sz w:val="24"/>
          <w:szCs w:val="22"/>
        </w:rPr>
        <w:t>）一级闭路循环必须具备的条件</w:t>
      </w:r>
    </w:p>
    <w:p w:rsidR="00C223F5" w:rsidRDefault="005860D5">
      <w:pPr>
        <w:spacing w:line="360" w:lineRule="auto"/>
        <w:ind w:firstLineChars="200" w:firstLine="480"/>
        <w:rPr>
          <w:sz w:val="24"/>
        </w:rPr>
      </w:pPr>
      <w:r>
        <w:rPr>
          <w:sz w:val="24"/>
          <w:szCs w:val="22"/>
        </w:rPr>
        <w:t>根据《选煤厂洗水闭路循环等级》</w:t>
      </w:r>
      <w:r>
        <w:rPr>
          <w:sz w:val="24"/>
          <w:szCs w:val="22"/>
        </w:rPr>
        <w:t>MT/T810-1999</w:t>
      </w:r>
      <w:r>
        <w:rPr>
          <w:sz w:val="24"/>
          <w:szCs w:val="22"/>
        </w:rPr>
        <w:t>等级划分要求，一级闭路循环必须具备以</w:t>
      </w:r>
      <w:r>
        <w:rPr>
          <w:sz w:val="24"/>
        </w:rPr>
        <w:t>下</w:t>
      </w:r>
      <w:r>
        <w:rPr>
          <w:sz w:val="24"/>
        </w:rPr>
        <w:t>5</w:t>
      </w:r>
      <w:r>
        <w:rPr>
          <w:sz w:val="24"/>
        </w:rPr>
        <w:t>个条件：</w:t>
      </w:r>
    </w:p>
    <w:p w:rsidR="00C223F5" w:rsidRDefault="000F32AE">
      <w:pPr>
        <w:spacing w:line="360" w:lineRule="auto"/>
        <w:ind w:firstLineChars="200" w:firstLine="480"/>
        <w:rPr>
          <w:rFonts w:eastAsiaTheme="minorEastAsia"/>
          <w:sz w:val="24"/>
        </w:rPr>
      </w:pPr>
      <w:r>
        <w:rPr>
          <w:rFonts w:eastAsiaTheme="minorEastAsia"/>
          <w:sz w:val="24"/>
        </w:rPr>
        <w:fldChar w:fldCharType="begin"/>
      </w:r>
      <w:r w:rsidR="005860D5">
        <w:rPr>
          <w:rFonts w:eastAsiaTheme="minorEastAsia"/>
          <w:sz w:val="24"/>
        </w:rPr>
        <w:instrText>= 1 \* GB3</w:instrText>
      </w:r>
      <w:r>
        <w:rPr>
          <w:rFonts w:eastAsiaTheme="minorEastAsia"/>
          <w:sz w:val="24"/>
        </w:rPr>
        <w:fldChar w:fldCharType="separate"/>
      </w:r>
      <w:r w:rsidR="005860D5">
        <w:rPr>
          <w:rFonts w:eastAsiaTheme="minorEastAsia" w:hAnsiTheme="minorEastAsia"/>
          <w:sz w:val="24"/>
        </w:rPr>
        <w:t>①</w:t>
      </w:r>
      <w:r>
        <w:rPr>
          <w:rFonts w:eastAsiaTheme="minorEastAsia"/>
          <w:sz w:val="24"/>
        </w:rPr>
        <w:fldChar w:fldCharType="end"/>
      </w:r>
      <w:r w:rsidR="005860D5">
        <w:rPr>
          <w:rFonts w:eastAsiaTheme="minorEastAsia" w:hAnsiTheme="minorEastAsia"/>
          <w:sz w:val="24"/>
        </w:rPr>
        <w:t>洗水实现动态平衡，不向厂区外排放。水重复利用率在</w:t>
      </w:r>
      <w:r w:rsidR="005860D5">
        <w:rPr>
          <w:rFonts w:eastAsiaTheme="minorEastAsia"/>
          <w:sz w:val="24"/>
        </w:rPr>
        <w:t>90</w:t>
      </w:r>
      <w:r w:rsidR="005860D5">
        <w:rPr>
          <w:rFonts w:eastAsiaTheme="minorEastAsia" w:hAnsiTheme="minorEastAsia"/>
          <w:sz w:val="24"/>
        </w:rPr>
        <w:t>％（本项目选煤水全部闭路循环，不外排）以上，单位补充水量小于</w:t>
      </w:r>
      <w:r w:rsidR="005860D5">
        <w:rPr>
          <w:rFonts w:eastAsiaTheme="minorEastAsia"/>
          <w:sz w:val="24"/>
        </w:rPr>
        <w:t>0.15m</w:t>
      </w:r>
      <w:r w:rsidR="005860D5">
        <w:rPr>
          <w:rFonts w:eastAsiaTheme="minorEastAsia"/>
          <w:sz w:val="24"/>
          <w:vertAlign w:val="superscript"/>
        </w:rPr>
        <w:t>3</w:t>
      </w:r>
      <w:r w:rsidR="005860D5">
        <w:rPr>
          <w:rFonts w:eastAsiaTheme="minorEastAsia"/>
          <w:sz w:val="24"/>
        </w:rPr>
        <w:t>/t</w:t>
      </w:r>
      <w:r w:rsidR="005860D5">
        <w:rPr>
          <w:rFonts w:eastAsiaTheme="minorEastAsia" w:hAnsiTheme="minorEastAsia"/>
          <w:sz w:val="24"/>
        </w:rPr>
        <w:t>（本项目为</w:t>
      </w:r>
      <w:r w:rsidR="005860D5">
        <w:rPr>
          <w:rFonts w:eastAsiaTheme="minorEastAsia"/>
          <w:sz w:val="24"/>
        </w:rPr>
        <w:t>0.</w:t>
      </w:r>
      <w:r w:rsidR="005860D5">
        <w:rPr>
          <w:rFonts w:eastAsiaTheme="minorEastAsia" w:hint="eastAsia"/>
          <w:sz w:val="24"/>
        </w:rPr>
        <w:t>10</w:t>
      </w:r>
      <w:r w:rsidR="005860D5">
        <w:rPr>
          <w:rFonts w:eastAsiaTheme="minorEastAsia"/>
          <w:sz w:val="24"/>
        </w:rPr>
        <w:t>m</w:t>
      </w:r>
      <w:r w:rsidR="005860D5">
        <w:rPr>
          <w:rFonts w:eastAsiaTheme="minorEastAsia"/>
          <w:sz w:val="24"/>
          <w:vertAlign w:val="superscript"/>
        </w:rPr>
        <w:t>3</w:t>
      </w:r>
      <w:r w:rsidR="005860D5">
        <w:rPr>
          <w:rFonts w:eastAsiaTheme="minorEastAsia"/>
          <w:sz w:val="24"/>
        </w:rPr>
        <w:t>/t</w:t>
      </w:r>
      <w:r w:rsidR="005860D5">
        <w:rPr>
          <w:rFonts w:eastAsiaTheme="minorEastAsia" w:hAnsiTheme="minorEastAsia"/>
          <w:sz w:val="24"/>
        </w:rPr>
        <w:t>）；</w:t>
      </w:r>
    </w:p>
    <w:p w:rsidR="00C223F5" w:rsidRDefault="005860D5">
      <w:pPr>
        <w:spacing w:line="360" w:lineRule="auto"/>
        <w:ind w:firstLineChars="200" w:firstLine="480"/>
        <w:rPr>
          <w:rFonts w:eastAsiaTheme="minorEastAsia"/>
          <w:sz w:val="24"/>
        </w:rPr>
      </w:pPr>
      <w:r>
        <w:rPr>
          <w:rFonts w:eastAsiaTheme="minorEastAsia" w:hAnsiTheme="minorEastAsia"/>
          <w:sz w:val="24"/>
        </w:rPr>
        <w:t>②煤泥全部在室内由机械回收，取消煤泥沉淀池；</w:t>
      </w:r>
    </w:p>
    <w:p w:rsidR="00C223F5" w:rsidRDefault="005860D5">
      <w:pPr>
        <w:spacing w:line="360" w:lineRule="auto"/>
        <w:ind w:firstLineChars="200" w:firstLine="480"/>
        <w:rPr>
          <w:rFonts w:eastAsiaTheme="minorEastAsia"/>
          <w:sz w:val="24"/>
        </w:rPr>
      </w:pPr>
      <w:r>
        <w:rPr>
          <w:rFonts w:eastAsiaTheme="minorEastAsia" w:hAnsiTheme="minorEastAsia"/>
          <w:sz w:val="24"/>
        </w:rPr>
        <w:t>③</w:t>
      </w:r>
      <w:r>
        <w:rPr>
          <w:color w:val="000000"/>
          <w:sz w:val="24"/>
        </w:rPr>
        <w:t>设有缓冲水池或浓缩机</w:t>
      </w:r>
      <w:r>
        <w:rPr>
          <w:color w:val="000000"/>
          <w:kern w:val="0"/>
          <w:sz w:val="24"/>
        </w:rPr>
        <w:t>（也可用煤泥沉淀池代替，贮存缓冲水或事故排放水），并有完备的回水系统。设备的冷却水自成闭路，少量可进入补水系统</w:t>
      </w:r>
      <w:r>
        <w:rPr>
          <w:rFonts w:eastAsiaTheme="minorEastAsia" w:hAnsiTheme="minorEastAsia"/>
          <w:sz w:val="24"/>
        </w:rPr>
        <w:t>；</w:t>
      </w:r>
    </w:p>
    <w:p w:rsidR="00C223F5" w:rsidRDefault="000F32AE">
      <w:pPr>
        <w:spacing w:line="360" w:lineRule="auto"/>
        <w:ind w:firstLineChars="200" w:firstLine="480"/>
        <w:rPr>
          <w:rFonts w:eastAsiaTheme="minorEastAsia"/>
          <w:sz w:val="24"/>
        </w:rPr>
      </w:pPr>
      <w:r>
        <w:rPr>
          <w:rFonts w:eastAsiaTheme="minorEastAsia" w:hAnsiTheme="minorEastAsia"/>
          <w:sz w:val="24"/>
        </w:rPr>
        <w:fldChar w:fldCharType="begin"/>
      </w:r>
      <w:r w:rsidR="005860D5">
        <w:rPr>
          <w:rFonts w:eastAsiaTheme="minorEastAsia" w:hAnsiTheme="minorEastAsia" w:hint="eastAsia"/>
          <w:sz w:val="24"/>
        </w:rPr>
        <w:instrText>= 4 \* GB3</w:instrText>
      </w:r>
      <w:r>
        <w:rPr>
          <w:rFonts w:eastAsiaTheme="minorEastAsia" w:hAnsiTheme="minorEastAsia"/>
          <w:sz w:val="24"/>
        </w:rPr>
        <w:fldChar w:fldCharType="separate"/>
      </w:r>
      <w:r w:rsidR="005860D5">
        <w:rPr>
          <w:rFonts w:eastAsiaTheme="minorEastAsia" w:hAnsiTheme="minorEastAsia" w:hint="eastAsia"/>
          <w:sz w:val="24"/>
        </w:rPr>
        <w:t>④</w:t>
      </w:r>
      <w:r>
        <w:rPr>
          <w:rFonts w:eastAsiaTheme="minorEastAsia" w:hAnsiTheme="minorEastAsia"/>
          <w:sz w:val="24"/>
        </w:rPr>
        <w:fldChar w:fldCharType="end"/>
      </w:r>
      <w:r w:rsidR="005860D5">
        <w:rPr>
          <w:rFonts w:eastAsiaTheme="minorEastAsia" w:hAnsiTheme="minorEastAsia"/>
          <w:sz w:val="24"/>
        </w:rPr>
        <w:t>洗煤水浓度小于</w:t>
      </w:r>
      <w:r w:rsidR="005860D5">
        <w:rPr>
          <w:rFonts w:eastAsiaTheme="minorEastAsia"/>
          <w:sz w:val="24"/>
        </w:rPr>
        <w:t>50g/L</w:t>
      </w:r>
      <w:r w:rsidR="005860D5">
        <w:rPr>
          <w:rFonts w:eastAsiaTheme="minorEastAsia" w:hAnsiTheme="minorEastAsia"/>
          <w:sz w:val="24"/>
        </w:rPr>
        <w:t>；</w:t>
      </w:r>
    </w:p>
    <w:p w:rsidR="00C223F5" w:rsidRDefault="005860D5">
      <w:pPr>
        <w:spacing w:line="360" w:lineRule="auto"/>
        <w:ind w:firstLineChars="200" w:firstLine="480"/>
        <w:rPr>
          <w:rFonts w:eastAsiaTheme="minorEastAsia"/>
          <w:sz w:val="24"/>
        </w:rPr>
      </w:pPr>
      <w:r>
        <w:rPr>
          <w:rFonts w:eastAsiaTheme="minorEastAsia" w:hAnsiTheme="minorEastAsia"/>
          <w:sz w:val="24"/>
        </w:rPr>
        <w:t>⑤入洗原煤量达到稳定能力的</w:t>
      </w:r>
      <w:r>
        <w:rPr>
          <w:rFonts w:eastAsiaTheme="minorEastAsia"/>
          <w:sz w:val="24"/>
        </w:rPr>
        <w:t>70</w:t>
      </w:r>
      <w:r>
        <w:rPr>
          <w:rFonts w:eastAsiaTheme="minorEastAsia" w:hAnsiTheme="minorEastAsia"/>
          <w:sz w:val="24"/>
        </w:rPr>
        <w:t>％（本项目</w:t>
      </w:r>
      <w:r>
        <w:rPr>
          <w:rFonts w:eastAsiaTheme="minorEastAsia" w:hint="eastAsia"/>
          <w:sz w:val="24"/>
        </w:rPr>
        <w:t>100</w:t>
      </w:r>
      <w:r>
        <w:rPr>
          <w:rFonts w:eastAsiaTheme="minorEastAsia" w:hAnsiTheme="minorEastAsia"/>
          <w:sz w:val="24"/>
        </w:rPr>
        <w:t>％）以上。</w:t>
      </w:r>
    </w:p>
    <w:p w:rsidR="00C223F5" w:rsidRDefault="005860D5">
      <w:pPr>
        <w:spacing w:line="360" w:lineRule="auto"/>
        <w:ind w:firstLineChars="200" w:firstLine="480"/>
        <w:rPr>
          <w:rFonts w:hAnsi="宋体"/>
          <w:sz w:val="24"/>
        </w:rPr>
      </w:pPr>
      <w:r>
        <w:rPr>
          <w:rFonts w:hAnsi="宋体"/>
          <w:sz w:val="24"/>
        </w:rPr>
        <w:t>（</w:t>
      </w:r>
      <w:r>
        <w:rPr>
          <w:sz w:val="24"/>
        </w:rPr>
        <w:t>2</w:t>
      </w:r>
      <w:r>
        <w:rPr>
          <w:rFonts w:hAnsi="宋体"/>
          <w:sz w:val="24"/>
        </w:rPr>
        <w:t>）本项目采取的技术保证措施</w:t>
      </w:r>
    </w:p>
    <w:p w:rsidR="00C223F5" w:rsidRDefault="005860D5">
      <w:pPr>
        <w:spacing w:line="360" w:lineRule="auto"/>
        <w:ind w:firstLineChars="200" w:firstLine="480"/>
        <w:rPr>
          <w:sz w:val="24"/>
        </w:rPr>
      </w:pPr>
      <w:r>
        <w:rPr>
          <w:sz w:val="24"/>
        </w:rPr>
        <w:t>为了确保煤泥水达到一级闭路循环，采取的主要技术保证措施如下：</w:t>
      </w:r>
    </w:p>
    <w:p w:rsidR="00C223F5" w:rsidRDefault="005860D5">
      <w:pPr>
        <w:spacing w:line="360" w:lineRule="auto"/>
        <w:ind w:firstLineChars="200" w:firstLine="480"/>
        <w:rPr>
          <w:sz w:val="24"/>
        </w:rPr>
      </w:pPr>
      <w:r>
        <w:rPr>
          <w:sz w:val="24"/>
        </w:rPr>
        <w:t>1</w:t>
      </w:r>
      <w:r>
        <w:rPr>
          <w:sz w:val="24"/>
        </w:rPr>
        <w:t>）煤泥离心脱水机采用高频设备，它具有处理能力大、产品水分低、运行平衡可靠、振动噪声低以及易于维护等优点，是目前使用较广的煤泥脱水设备。</w:t>
      </w:r>
    </w:p>
    <w:p w:rsidR="00C223F5" w:rsidRDefault="005860D5">
      <w:pPr>
        <w:spacing w:line="360" w:lineRule="auto"/>
        <w:ind w:firstLineChars="200" w:firstLine="480"/>
        <w:rPr>
          <w:sz w:val="24"/>
        </w:rPr>
      </w:pPr>
      <w:r>
        <w:rPr>
          <w:sz w:val="24"/>
        </w:rPr>
        <w:t>2</w:t>
      </w:r>
      <w:r>
        <w:rPr>
          <w:sz w:val="24"/>
        </w:rPr>
        <w:t>）项目设计中，</w:t>
      </w:r>
      <w:r>
        <w:rPr>
          <w:rFonts w:hint="eastAsia"/>
          <w:sz w:val="24"/>
        </w:rPr>
        <w:t>浓缩机选用</w:t>
      </w:r>
      <w:r>
        <w:rPr>
          <w:rFonts w:hint="eastAsia"/>
          <w:sz w:val="24"/>
        </w:rPr>
        <w:t>2</w:t>
      </w:r>
      <w:r>
        <w:rPr>
          <w:rFonts w:hint="eastAsia"/>
          <w:sz w:val="24"/>
        </w:rPr>
        <w:t>台，一用一备。备用浓缩机也可以作为事故浓缩机，发生事故时也可以将煤泥水放入事故浓缩机中</w:t>
      </w:r>
      <w:r>
        <w:rPr>
          <w:sz w:val="24"/>
        </w:rPr>
        <w:t>。</w:t>
      </w:r>
    </w:p>
    <w:p w:rsidR="00C223F5" w:rsidRDefault="005860D5">
      <w:pPr>
        <w:spacing w:line="360" w:lineRule="auto"/>
        <w:ind w:firstLineChars="200" w:firstLine="480"/>
        <w:rPr>
          <w:sz w:val="24"/>
        </w:rPr>
      </w:pPr>
      <w:r>
        <w:rPr>
          <w:sz w:val="24"/>
        </w:rPr>
        <w:t>3</w:t>
      </w:r>
      <w:r>
        <w:rPr>
          <w:sz w:val="24"/>
        </w:rPr>
        <w:t>）正常生产时，各水池（或定压水箱）的水位应保持低水位，防止瞬间洗水不平衡而产生溢流，致使煤泥水流失。</w:t>
      </w:r>
    </w:p>
    <w:p w:rsidR="00C223F5" w:rsidRDefault="005860D5">
      <w:pPr>
        <w:spacing w:line="360" w:lineRule="auto"/>
        <w:ind w:firstLineChars="200" w:firstLine="480"/>
        <w:rPr>
          <w:sz w:val="24"/>
        </w:rPr>
      </w:pPr>
      <w:r>
        <w:rPr>
          <w:sz w:val="24"/>
        </w:rPr>
        <w:t>4</w:t>
      </w:r>
      <w:r>
        <w:rPr>
          <w:sz w:val="24"/>
        </w:rPr>
        <w:t>）对生产过程中产生的</w:t>
      </w:r>
      <w:r>
        <w:rPr>
          <w:sz w:val="24"/>
        </w:rPr>
        <w:t>“</w:t>
      </w:r>
      <w:r>
        <w:rPr>
          <w:sz w:val="24"/>
        </w:rPr>
        <w:t>跑、冒、滴、漏</w:t>
      </w:r>
      <w:r>
        <w:rPr>
          <w:sz w:val="24"/>
        </w:rPr>
        <w:t>”</w:t>
      </w:r>
      <w:r>
        <w:rPr>
          <w:sz w:val="24"/>
        </w:rPr>
        <w:t>水以及清扫和事故放水等进行收集，并返回煤泥水系统。</w:t>
      </w:r>
    </w:p>
    <w:p w:rsidR="00C223F5" w:rsidRDefault="005860D5">
      <w:pPr>
        <w:spacing w:line="360" w:lineRule="auto"/>
        <w:ind w:firstLineChars="200" w:firstLine="480"/>
        <w:rPr>
          <w:sz w:val="24"/>
        </w:rPr>
      </w:pPr>
      <w:r>
        <w:rPr>
          <w:sz w:val="24"/>
        </w:rPr>
        <w:t>5</w:t>
      </w:r>
      <w:r>
        <w:rPr>
          <w:sz w:val="24"/>
        </w:rPr>
        <w:t>）选用先进的煤泥水处理设备。</w:t>
      </w:r>
    </w:p>
    <w:p w:rsidR="00C223F5" w:rsidRDefault="005860D5">
      <w:pPr>
        <w:spacing w:line="360" w:lineRule="auto"/>
        <w:ind w:firstLineChars="200" w:firstLine="480"/>
        <w:rPr>
          <w:sz w:val="24"/>
        </w:rPr>
      </w:pPr>
      <w:r>
        <w:rPr>
          <w:sz w:val="24"/>
        </w:rPr>
        <w:t>6</w:t>
      </w:r>
      <w:r>
        <w:rPr>
          <w:sz w:val="24"/>
        </w:rPr>
        <w:t>）煤泥水系统采用</w:t>
      </w:r>
      <w:r>
        <w:rPr>
          <w:sz w:val="24"/>
        </w:rPr>
        <w:t>“</w:t>
      </w:r>
      <w:r>
        <w:rPr>
          <w:sz w:val="24"/>
        </w:rPr>
        <w:t>双回路</w:t>
      </w:r>
      <w:r>
        <w:rPr>
          <w:sz w:val="24"/>
        </w:rPr>
        <w:t>”</w:t>
      </w:r>
      <w:r>
        <w:rPr>
          <w:sz w:val="24"/>
        </w:rPr>
        <w:t>供电，保证煤泥水系统设备正常运转。</w:t>
      </w:r>
    </w:p>
    <w:p w:rsidR="00C223F5" w:rsidRDefault="005860D5">
      <w:pPr>
        <w:spacing w:line="360" w:lineRule="auto"/>
        <w:ind w:firstLineChars="200" w:firstLine="480"/>
        <w:rPr>
          <w:sz w:val="24"/>
        </w:rPr>
      </w:pPr>
      <w:r>
        <w:rPr>
          <w:rFonts w:ascii="宋体" w:hAnsi="宋体" w:cs="宋体" w:hint="eastAsia"/>
          <w:sz w:val="24"/>
        </w:rPr>
        <w:t>①</w:t>
      </w:r>
      <w:r>
        <w:rPr>
          <w:sz w:val="24"/>
        </w:rPr>
        <w:t>煤泥水处理系统采用</w:t>
      </w:r>
      <w:r>
        <w:rPr>
          <w:sz w:val="24"/>
        </w:rPr>
        <w:t>“</w:t>
      </w:r>
      <w:r>
        <w:rPr>
          <w:sz w:val="24"/>
        </w:rPr>
        <w:t>混凝、沉淀、澄清</w:t>
      </w:r>
      <w:r>
        <w:rPr>
          <w:sz w:val="24"/>
        </w:rPr>
        <w:t>”</w:t>
      </w:r>
      <w:r>
        <w:rPr>
          <w:sz w:val="24"/>
        </w:rPr>
        <w:t>工艺进行处理，使循环水浓度符合洗煤工艺要求，避免因循环水浓度过高而造成的人为外排煤泥水。循环水作为主要工艺用水，不论是块煤脱泥喷水、产品脱介喷水等均使用经处理后的水作为循环水；</w:t>
      </w:r>
    </w:p>
    <w:p w:rsidR="00C223F5" w:rsidRDefault="005860D5">
      <w:pPr>
        <w:spacing w:line="360" w:lineRule="auto"/>
        <w:ind w:firstLineChars="200" w:firstLine="480"/>
        <w:rPr>
          <w:sz w:val="24"/>
        </w:rPr>
      </w:pPr>
      <w:r>
        <w:rPr>
          <w:rFonts w:ascii="宋体" w:hAnsi="宋体" w:cs="宋体" w:hint="eastAsia"/>
          <w:sz w:val="24"/>
        </w:rPr>
        <w:lastRenderedPageBreak/>
        <w:t>②</w:t>
      </w:r>
      <w:r>
        <w:rPr>
          <w:sz w:val="24"/>
        </w:rPr>
        <w:t>在有水作业的车间设置地面排水集中回收系统。生产中会产生煤泥水的车间如主厂房等在车间设置地沟和集水池等装置收集设备的跑、冒、滴、漏、事故放水和冲洗地板水，并将此部分废水打入煤泥水回收系统；根据循环水池的水位添加补充水，保证有效地控制补加水量；</w:t>
      </w:r>
    </w:p>
    <w:p w:rsidR="00C223F5" w:rsidRDefault="005860D5">
      <w:pPr>
        <w:spacing w:line="360" w:lineRule="auto"/>
        <w:ind w:firstLineChars="200" w:firstLine="480"/>
        <w:rPr>
          <w:sz w:val="24"/>
        </w:rPr>
      </w:pPr>
      <w:r>
        <w:rPr>
          <w:rFonts w:ascii="宋体" w:hAnsi="宋体" w:cs="宋体" w:hint="eastAsia"/>
          <w:sz w:val="24"/>
        </w:rPr>
        <w:t>③</w:t>
      </w:r>
      <w:r>
        <w:rPr>
          <w:sz w:val="24"/>
        </w:rPr>
        <w:t>设双回路供电系统保证浓缩机不因停电而导致事故排放；</w:t>
      </w:r>
    </w:p>
    <w:p w:rsidR="00C223F5" w:rsidRDefault="005860D5">
      <w:pPr>
        <w:spacing w:line="360" w:lineRule="auto"/>
        <w:ind w:firstLineChars="200" w:firstLine="480"/>
        <w:rPr>
          <w:sz w:val="24"/>
        </w:rPr>
      </w:pPr>
      <w:r>
        <w:rPr>
          <w:rFonts w:ascii="宋体" w:hAnsi="宋体" w:cs="宋体" w:hint="eastAsia"/>
          <w:sz w:val="24"/>
        </w:rPr>
        <w:t>④</w:t>
      </w:r>
      <w:r>
        <w:rPr>
          <w:sz w:val="24"/>
        </w:rPr>
        <w:t>加强对职工的教育，严格限制生产用水量。</w:t>
      </w:r>
    </w:p>
    <w:p w:rsidR="00C223F5" w:rsidRDefault="005860D5">
      <w:pPr>
        <w:spacing w:line="360" w:lineRule="auto"/>
        <w:ind w:firstLineChars="200" w:firstLine="480"/>
        <w:rPr>
          <w:sz w:val="24"/>
        </w:rPr>
      </w:pPr>
      <w:r>
        <w:rPr>
          <w:sz w:val="24"/>
        </w:rPr>
        <w:t>7</w:t>
      </w:r>
      <w:r>
        <w:rPr>
          <w:sz w:val="24"/>
        </w:rPr>
        <w:t>）选煤厂采用自动控制对各作业点进行控制，控制精度高，可有效防止人工误操作造成洗水不平衡。</w:t>
      </w:r>
    </w:p>
    <w:p w:rsidR="00C223F5" w:rsidRDefault="005860D5">
      <w:pPr>
        <w:spacing w:line="360" w:lineRule="auto"/>
        <w:ind w:firstLineChars="200" w:firstLine="480"/>
        <w:rPr>
          <w:sz w:val="24"/>
        </w:rPr>
      </w:pPr>
      <w:r>
        <w:rPr>
          <w:sz w:val="24"/>
        </w:rPr>
        <w:t>综上所述，选煤厂洗煤水闭路循环完全能实现一级闭路循环的要求，同时洗煤水闭路循环工艺成熟可到，洗煤废水实现零排放是完全可以实现的。</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484" w:name="_Toc533604769"/>
      <w:bookmarkStart w:id="485" w:name="_Toc533604349"/>
      <w:bookmarkStart w:id="486" w:name="_Toc16785315"/>
      <w:r>
        <w:rPr>
          <w:rFonts w:eastAsia="宋体" w:hint="eastAsia"/>
          <w:b/>
          <w:bCs w:val="0"/>
          <w:sz w:val="28"/>
          <w:szCs w:val="28"/>
        </w:rPr>
        <w:t>5.3.2</w:t>
      </w:r>
      <w:r>
        <w:rPr>
          <w:rFonts w:eastAsia="宋体"/>
          <w:b/>
          <w:bCs w:val="0"/>
          <w:sz w:val="28"/>
          <w:szCs w:val="28"/>
        </w:rPr>
        <w:t>水</w:t>
      </w:r>
      <w:r>
        <w:rPr>
          <w:rFonts w:eastAsia="宋体" w:hint="eastAsia"/>
          <w:b/>
          <w:bCs w:val="0"/>
          <w:sz w:val="28"/>
          <w:szCs w:val="28"/>
        </w:rPr>
        <w:t>资源利用及</w:t>
      </w:r>
      <w:r>
        <w:rPr>
          <w:rFonts w:eastAsia="宋体"/>
          <w:b/>
          <w:bCs w:val="0"/>
          <w:sz w:val="28"/>
          <w:szCs w:val="28"/>
        </w:rPr>
        <w:t>污染物处理措施可行性分析</w:t>
      </w:r>
      <w:bookmarkEnd w:id="484"/>
      <w:bookmarkEnd w:id="485"/>
      <w:bookmarkEnd w:id="486"/>
    </w:p>
    <w:p w:rsidR="00C223F5" w:rsidRDefault="005860D5" w:rsidP="004835BD">
      <w:pPr>
        <w:pStyle w:val="4"/>
        <w:spacing w:before="0" w:after="0" w:line="360" w:lineRule="auto"/>
        <w:ind w:firstLineChars="100" w:firstLine="240"/>
        <w:rPr>
          <w:szCs w:val="24"/>
        </w:rPr>
      </w:pPr>
      <w:r>
        <w:rPr>
          <w:rFonts w:hint="eastAsia"/>
          <w:szCs w:val="24"/>
        </w:rPr>
        <w:t>5.3.2.1</w:t>
      </w:r>
      <w:r>
        <w:rPr>
          <w:szCs w:val="24"/>
        </w:rPr>
        <w:t>井下排水处理措施可行性分析</w:t>
      </w:r>
    </w:p>
    <w:p w:rsidR="00C223F5" w:rsidRPr="00993B79" w:rsidRDefault="005860D5">
      <w:pPr>
        <w:spacing w:line="360" w:lineRule="auto"/>
        <w:ind w:firstLineChars="200" w:firstLine="480"/>
        <w:rPr>
          <w:sz w:val="24"/>
        </w:rPr>
      </w:pPr>
      <w:r>
        <w:rPr>
          <w:sz w:val="24"/>
        </w:rPr>
        <w:t>根据煤炭生产过程及特点，矿井水主要来自</w:t>
      </w:r>
      <w:r>
        <w:rPr>
          <w:rFonts w:hint="eastAsia"/>
          <w:sz w:val="24"/>
        </w:rPr>
        <w:t>煤系上覆地层各砂岩裂隙含水岩层</w:t>
      </w:r>
      <w:r>
        <w:rPr>
          <w:sz w:val="24"/>
        </w:rPr>
        <w:t>，流经煤层时受到煤粉、岩粉、有机类和石油类污染，主要污染物为</w:t>
      </w:r>
      <w:r>
        <w:rPr>
          <w:sz w:val="24"/>
        </w:rPr>
        <w:t>SS</w:t>
      </w:r>
      <w:r>
        <w:rPr>
          <w:sz w:val="24"/>
        </w:rPr>
        <w:t>、</w:t>
      </w:r>
      <w:r>
        <w:rPr>
          <w:sz w:val="24"/>
        </w:rPr>
        <w:t>COD</w:t>
      </w:r>
      <w:r>
        <w:rPr>
          <w:sz w:val="24"/>
        </w:rPr>
        <w:t>和石油类。目前，含悬浮物矿井水的典型处理工艺一般为</w:t>
      </w:r>
      <w:r>
        <w:rPr>
          <w:sz w:val="24"/>
        </w:rPr>
        <w:t>“</w:t>
      </w:r>
      <w:r>
        <w:rPr>
          <w:sz w:val="24"/>
        </w:rPr>
        <w:t>混凝</w:t>
      </w:r>
      <w:r>
        <w:rPr>
          <w:sz w:val="24"/>
        </w:rPr>
        <w:t>+</w:t>
      </w:r>
      <w:r>
        <w:rPr>
          <w:sz w:val="24"/>
        </w:rPr>
        <w:t>沉淀</w:t>
      </w:r>
      <w:r>
        <w:rPr>
          <w:sz w:val="24"/>
        </w:rPr>
        <w:t>+</w:t>
      </w:r>
      <w:r>
        <w:rPr>
          <w:sz w:val="24"/>
        </w:rPr>
        <w:t>过滤＋消毒</w:t>
      </w:r>
      <w:r>
        <w:rPr>
          <w:sz w:val="24"/>
        </w:rPr>
        <w:t>”</w:t>
      </w:r>
      <w:r>
        <w:rPr>
          <w:sz w:val="24"/>
        </w:rPr>
        <w:t>，处理后的水质</w:t>
      </w:r>
      <w:r>
        <w:rPr>
          <w:rFonts w:hint="eastAsia"/>
          <w:sz w:val="24"/>
        </w:rPr>
        <w:t>可</w:t>
      </w:r>
      <w:r>
        <w:rPr>
          <w:sz w:val="24"/>
        </w:rPr>
        <w:t>满足</w:t>
      </w:r>
      <w:r>
        <w:rPr>
          <w:sz w:val="24"/>
        </w:rPr>
        <w:t>GB204</w:t>
      </w:r>
      <w:r w:rsidRPr="00993B79">
        <w:rPr>
          <w:sz w:val="24"/>
        </w:rPr>
        <w:t>26-2006</w:t>
      </w:r>
      <w:r w:rsidRPr="00993B79">
        <w:rPr>
          <w:sz w:val="24"/>
        </w:rPr>
        <w:t>《煤炭工业污染物排放标准》</w:t>
      </w:r>
      <w:r w:rsidRPr="00993B79">
        <w:rPr>
          <w:rFonts w:hint="eastAsia"/>
          <w:sz w:val="24"/>
        </w:rPr>
        <w:t>及</w:t>
      </w:r>
      <w:r w:rsidRPr="00993B79">
        <w:rPr>
          <w:rFonts w:hint="eastAsia"/>
          <w:sz w:val="24"/>
        </w:rPr>
        <w:t>D</w:t>
      </w:r>
      <w:r w:rsidRPr="00993B79">
        <w:rPr>
          <w:sz w:val="24"/>
        </w:rPr>
        <w:t>B</w:t>
      </w:r>
      <w:r w:rsidRPr="00993B79">
        <w:rPr>
          <w:rFonts w:hint="eastAsia"/>
          <w:sz w:val="24"/>
        </w:rPr>
        <w:t>61/244</w:t>
      </w:r>
      <w:r w:rsidRPr="00993B79">
        <w:rPr>
          <w:sz w:val="24"/>
        </w:rPr>
        <w:t>-</w:t>
      </w:r>
      <w:r w:rsidRPr="00993B79">
        <w:rPr>
          <w:rFonts w:hint="eastAsia"/>
          <w:sz w:val="24"/>
        </w:rPr>
        <w:t>2018</w:t>
      </w:r>
      <w:r w:rsidRPr="00993B79">
        <w:rPr>
          <w:rFonts w:hint="eastAsia"/>
          <w:sz w:val="24"/>
        </w:rPr>
        <w:t>《陕西省黄河流域污水综合排放标准》</w:t>
      </w:r>
      <w:r w:rsidRPr="00993B79">
        <w:rPr>
          <w:sz w:val="24"/>
        </w:rPr>
        <w:t>要求。</w:t>
      </w:r>
    </w:p>
    <w:p w:rsidR="00C223F5" w:rsidRPr="00993B79" w:rsidRDefault="005860D5">
      <w:pPr>
        <w:spacing w:line="360" w:lineRule="auto"/>
        <w:ind w:firstLineChars="200" w:firstLine="480"/>
        <w:rPr>
          <w:sz w:val="24"/>
        </w:rPr>
      </w:pPr>
      <w:r w:rsidRPr="00993B79">
        <w:rPr>
          <w:sz w:val="24"/>
        </w:rPr>
        <w:t>本项目矿井水</w:t>
      </w:r>
      <w:r w:rsidRPr="00993B79">
        <w:rPr>
          <w:rFonts w:hint="eastAsia"/>
          <w:sz w:val="24"/>
        </w:rPr>
        <w:t>涌水量为</w:t>
      </w:r>
      <w:r w:rsidRPr="00993B79">
        <w:rPr>
          <w:rFonts w:hint="eastAsia"/>
          <w:sz w:val="24"/>
        </w:rPr>
        <w:t>80m</w:t>
      </w:r>
      <w:r w:rsidRPr="00993B79">
        <w:rPr>
          <w:rFonts w:hint="eastAsia"/>
          <w:sz w:val="24"/>
          <w:vertAlign w:val="superscript"/>
        </w:rPr>
        <w:t>3</w:t>
      </w:r>
      <w:r w:rsidRPr="00993B79">
        <w:rPr>
          <w:rFonts w:hint="eastAsia"/>
          <w:sz w:val="24"/>
        </w:rPr>
        <w:t>/</w:t>
      </w:r>
      <w:r w:rsidR="00A86568">
        <w:rPr>
          <w:rFonts w:hint="eastAsia"/>
          <w:sz w:val="24"/>
        </w:rPr>
        <w:t>h</w:t>
      </w:r>
      <w:r w:rsidRPr="00993B79">
        <w:rPr>
          <w:rFonts w:hint="eastAsia"/>
          <w:sz w:val="24"/>
        </w:rPr>
        <w:t>（含黄泥灌浆析出水），水质</w:t>
      </w:r>
      <w:r w:rsidRPr="00993B79">
        <w:rPr>
          <w:sz w:val="24"/>
        </w:rPr>
        <w:t>与其它煤矿矿井水相似，采用混凝、沉淀、</w:t>
      </w:r>
      <w:r w:rsidRPr="00993B79">
        <w:rPr>
          <w:rFonts w:hint="eastAsia"/>
          <w:sz w:val="24"/>
        </w:rPr>
        <w:t>气浮、</w:t>
      </w:r>
      <w:r w:rsidRPr="00993B79">
        <w:rPr>
          <w:sz w:val="24"/>
        </w:rPr>
        <w:t>过滤、消毒等工艺处理（处理工艺见图</w:t>
      </w:r>
      <w:r w:rsidRPr="00993B79">
        <w:rPr>
          <w:rFonts w:hAnsi="宋体" w:hint="eastAsia"/>
          <w:sz w:val="24"/>
        </w:rPr>
        <w:t>2.2.9-2</w:t>
      </w:r>
      <w:r w:rsidRPr="00993B79">
        <w:rPr>
          <w:sz w:val="24"/>
        </w:rPr>
        <w:t>），其出水水质</w:t>
      </w:r>
      <w:r w:rsidRPr="00993B79">
        <w:rPr>
          <w:rFonts w:hint="eastAsia"/>
          <w:sz w:val="24"/>
        </w:rPr>
        <w:t>类比原天云煤矿竣工验收监测数据，项目处理后水质情况见表</w:t>
      </w:r>
      <w:r w:rsidRPr="00993B79">
        <w:rPr>
          <w:rFonts w:hint="eastAsia"/>
          <w:sz w:val="24"/>
        </w:rPr>
        <w:t>5.3.2-1</w:t>
      </w:r>
      <w:r w:rsidRPr="00993B79">
        <w:rPr>
          <w:sz w:val="24"/>
        </w:rPr>
        <w:t>。</w:t>
      </w:r>
    </w:p>
    <w:p w:rsidR="00C223F5" w:rsidRPr="00993B79" w:rsidRDefault="005860D5">
      <w:pPr>
        <w:jc w:val="center"/>
        <w:rPr>
          <w:b/>
          <w:sz w:val="24"/>
        </w:rPr>
      </w:pPr>
      <w:r w:rsidRPr="00993B79">
        <w:rPr>
          <w:b/>
          <w:sz w:val="24"/>
        </w:rPr>
        <w:t>表</w:t>
      </w:r>
      <w:r w:rsidRPr="00993B79">
        <w:rPr>
          <w:rFonts w:hint="eastAsia"/>
          <w:b/>
          <w:sz w:val="24"/>
        </w:rPr>
        <w:t>5.3.2-1</w:t>
      </w:r>
      <w:r w:rsidRPr="00993B79">
        <w:rPr>
          <w:b/>
          <w:sz w:val="24"/>
        </w:rPr>
        <w:t xml:space="preserve">   </w:t>
      </w:r>
      <w:r w:rsidRPr="00993B79">
        <w:rPr>
          <w:b/>
          <w:sz w:val="24"/>
        </w:rPr>
        <w:t>矿井水污染物浓度及处理效率</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467"/>
        <w:gridCol w:w="936"/>
        <w:gridCol w:w="55"/>
        <w:gridCol w:w="958"/>
        <w:gridCol w:w="33"/>
        <w:gridCol w:w="949"/>
        <w:gridCol w:w="42"/>
        <w:gridCol w:w="939"/>
        <w:gridCol w:w="52"/>
        <w:gridCol w:w="992"/>
      </w:tblGrid>
      <w:tr w:rsidR="00C223F5" w:rsidRPr="00993B79">
        <w:trPr>
          <w:trHeight w:val="20"/>
          <w:tblHeader/>
          <w:jc w:val="center"/>
        </w:trPr>
        <w:tc>
          <w:tcPr>
            <w:tcW w:w="4272" w:type="dxa"/>
            <w:gridSpan w:val="2"/>
            <w:vAlign w:val="center"/>
          </w:tcPr>
          <w:p w:rsidR="00C223F5" w:rsidRPr="00993B79" w:rsidRDefault="005860D5">
            <w:pPr>
              <w:jc w:val="center"/>
              <w:rPr>
                <w:bCs/>
                <w:sz w:val="18"/>
                <w:szCs w:val="18"/>
              </w:rPr>
            </w:pPr>
            <w:r w:rsidRPr="00993B79">
              <w:rPr>
                <w:bCs/>
                <w:sz w:val="18"/>
                <w:szCs w:val="18"/>
              </w:rPr>
              <w:t>类</w:t>
            </w:r>
            <w:r w:rsidRPr="00993B79">
              <w:rPr>
                <w:bCs/>
                <w:sz w:val="18"/>
                <w:szCs w:val="18"/>
              </w:rPr>
              <w:t xml:space="preserve">      </w:t>
            </w:r>
            <w:r w:rsidRPr="00993B79">
              <w:rPr>
                <w:bCs/>
                <w:sz w:val="18"/>
                <w:szCs w:val="18"/>
              </w:rPr>
              <w:t>别</w:t>
            </w:r>
          </w:p>
        </w:tc>
        <w:tc>
          <w:tcPr>
            <w:tcW w:w="936" w:type="dxa"/>
            <w:vAlign w:val="center"/>
          </w:tcPr>
          <w:p w:rsidR="00C223F5" w:rsidRPr="00993B79" w:rsidRDefault="005860D5">
            <w:pPr>
              <w:jc w:val="center"/>
              <w:rPr>
                <w:bCs/>
                <w:sz w:val="18"/>
                <w:szCs w:val="18"/>
              </w:rPr>
            </w:pPr>
            <w:r w:rsidRPr="00993B79">
              <w:rPr>
                <w:bCs/>
                <w:sz w:val="18"/>
                <w:szCs w:val="18"/>
              </w:rPr>
              <w:t>SS</w:t>
            </w:r>
          </w:p>
        </w:tc>
        <w:tc>
          <w:tcPr>
            <w:tcW w:w="1013" w:type="dxa"/>
            <w:gridSpan w:val="2"/>
            <w:vAlign w:val="center"/>
          </w:tcPr>
          <w:p w:rsidR="00C223F5" w:rsidRPr="00993B79" w:rsidRDefault="005860D5">
            <w:pPr>
              <w:jc w:val="center"/>
              <w:rPr>
                <w:bCs/>
                <w:sz w:val="18"/>
                <w:szCs w:val="18"/>
              </w:rPr>
            </w:pPr>
            <w:r w:rsidRPr="00993B79">
              <w:rPr>
                <w:bCs/>
                <w:sz w:val="18"/>
                <w:szCs w:val="18"/>
              </w:rPr>
              <w:t>COD</w:t>
            </w:r>
          </w:p>
        </w:tc>
        <w:tc>
          <w:tcPr>
            <w:tcW w:w="982" w:type="dxa"/>
            <w:gridSpan w:val="2"/>
            <w:vAlign w:val="center"/>
          </w:tcPr>
          <w:p w:rsidR="00C223F5" w:rsidRPr="00993B79" w:rsidRDefault="005860D5">
            <w:pPr>
              <w:jc w:val="center"/>
              <w:rPr>
                <w:bCs/>
                <w:sz w:val="18"/>
                <w:szCs w:val="18"/>
              </w:rPr>
            </w:pPr>
            <w:r w:rsidRPr="00993B79">
              <w:rPr>
                <w:rFonts w:hint="eastAsia"/>
                <w:bCs/>
                <w:sz w:val="18"/>
                <w:szCs w:val="18"/>
              </w:rPr>
              <w:t>BOD</w:t>
            </w:r>
            <w:r w:rsidRPr="00993B79">
              <w:rPr>
                <w:rFonts w:hint="eastAsia"/>
                <w:bCs/>
                <w:sz w:val="18"/>
                <w:szCs w:val="18"/>
                <w:vertAlign w:val="subscript"/>
              </w:rPr>
              <w:t>5</w:t>
            </w:r>
          </w:p>
        </w:tc>
        <w:tc>
          <w:tcPr>
            <w:tcW w:w="981" w:type="dxa"/>
            <w:gridSpan w:val="2"/>
            <w:vAlign w:val="center"/>
          </w:tcPr>
          <w:p w:rsidR="00C223F5" w:rsidRPr="00993B79" w:rsidRDefault="005860D5">
            <w:pPr>
              <w:jc w:val="center"/>
              <w:rPr>
                <w:bCs/>
                <w:sz w:val="18"/>
                <w:szCs w:val="18"/>
              </w:rPr>
            </w:pPr>
            <w:r w:rsidRPr="00993B79">
              <w:rPr>
                <w:rFonts w:hint="eastAsia"/>
                <w:bCs/>
                <w:sz w:val="18"/>
                <w:szCs w:val="18"/>
              </w:rPr>
              <w:t>氨氮</w:t>
            </w:r>
          </w:p>
        </w:tc>
        <w:tc>
          <w:tcPr>
            <w:tcW w:w="1044" w:type="dxa"/>
            <w:gridSpan w:val="2"/>
            <w:vAlign w:val="center"/>
          </w:tcPr>
          <w:p w:rsidR="00C223F5" w:rsidRPr="00993B79" w:rsidRDefault="005860D5">
            <w:pPr>
              <w:jc w:val="center"/>
              <w:rPr>
                <w:bCs/>
                <w:sz w:val="18"/>
                <w:szCs w:val="18"/>
              </w:rPr>
            </w:pPr>
            <w:r w:rsidRPr="00993B79">
              <w:rPr>
                <w:bCs/>
                <w:sz w:val="18"/>
                <w:szCs w:val="18"/>
              </w:rPr>
              <w:t>石油类</w:t>
            </w:r>
          </w:p>
        </w:tc>
      </w:tr>
      <w:tr w:rsidR="00C223F5" w:rsidRPr="00993B79">
        <w:trPr>
          <w:cantSplit/>
          <w:trHeight w:val="20"/>
          <w:jc w:val="center"/>
        </w:trPr>
        <w:tc>
          <w:tcPr>
            <w:tcW w:w="805" w:type="dxa"/>
            <w:vMerge w:val="restart"/>
            <w:vAlign w:val="center"/>
          </w:tcPr>
          <w:p w:rsidR="00C223F5" w:rsidRPr="00993B79" w:rsidRDefault="005860D5">
            <w:pPr>
              <w:jc w:val="center"/>
              <w:rPr>
                <w:bCs/>
                <w:sz w:val="18"/>
                <w:szCs w:val="18"/>
              </w:rPr>
            </w:pPr>
            <w:r w:rsidRPr="00993B79">
              <w:rPr>
                <w:bCs/>
                <w:sz w:val="18"/>
                <w:szCs w:val="18"/>
              </w:rPr>
              <w:t>矿井水</w:t>
            </w:r>
          </w:p>
        </w:tc>
        <w:tc>
          <w:tcPr>
            <w:tcW w:w="3467" w:type="dxa"/>
            <w:vAlign w:val="center"/>
          </w:tcPr>
          <w:p w:rsidR="00C223F5" w:rsidRPr="00993B79" w:rsidRDefault="005860D5">
            <w:pPr>
              <w:jc w:val="center"/>
              <w:rPr>
                <w:bCs/>
                <w:sz w:val="18"/>
                <w:szCs w:val="18"/>
              </w:rPr>
            </w:pPr>
            <w:r w:rsidRPr="00993B79">
              <w:rPr>
                <w:bCs/>
                <w:sz w:val="18"/>
                <w:szCs w:val="18"/>
              </w:rPr>
              <w:t>处理前（</w:t>
            </w:r>
            <w:r w:rsidRPr="00993B79">
              <w:rPr>
                <w:bCs/>
                <w:sz w:val="18"/>
                <w:szCs w:val="18"/>
              </w:rPr>
              <w:t>mg/L</w:t>
            </w:r>
            <w:r w:rsidRPr="00993B79">
              <w:rPr>
                <w:bCs/>
                <w:sz w:val="18"/>
                <w:szCs w:val="18"/>
              </w:rPr>
              <w:t>）</w:t>
            </w:r>
          </w:p>
        </w:tc>
        <w:tc>
          <w:tcPr>
            <w:tcW w:w="936" w:type="dxa"/>
            <w:vAlign w:val="center"/>
          </w:tcPr>
          <w:p w:rsidR="00C223F5" w:rsidRPr="00993B79" w:rsidRDefault="005860D5">
            <w:pPr>
              <w:contextualSpacing/>
              <w:jc w:val="center"/>
              <w:rPr>
                <w:sz w:val="18"/>
                <w:szCs w:val="18"/>
              </w:rPr>
            </w:pPr>
            <w:r w:rsidRPr="00993B79">
              <w:rPr>
                <w:rFonts w:hint="eastAsia"/>
                <w:sz w:val="18"/>
                <w:szCs w:val="18"/>
              </w:rPr>
              <w:t>102</w:t>
            </w:r>
          </w:p>
        </w:tc>
        <w:tc>
          <w:tcPr>
            <w:tcW w:w="1013" w:type="dxa"/>
            <w:gridSpan w:val="2"/>
            <w:vAlign w:val="center"/>
          </w:tcPr>
          <w:p w:rsidR="00C223F5" w:rsidRPr="00993B79" w:rsidRDefault="005860D5">
            <w:pPr>
              <w:contextualSpacing/>
              <w:jc w:val="center"/>
              <w:rPr>
                <w:sz w:val="18"/>
                <w:szCs w:val="18"/>
              </w:rPr>
            </w:pPr>
            <w:r w:rsidRPr="00993B79">
              <w:rPr>
                <w:rFonts w:hint="eastAsia"/>
                <w:sz w:val="18"/>
                <w:szCs w:val="18"/>
              </w:rPr>
              <w:t>96</w:t>
            </w:r>
          </w:p>
        </w:tc>
        <w:tc>
          <w:tcPr>
            <w:tcW w:w="982" w:type="dxa"/>
            <w:gridSpan w:val="2"/>
            <w:vAlign w:val="center"/>
          </w:tcPr>
          <w:p w:rsidR="00C223F5" w:rsidRPr="00993B79" w:rsidRDefault="005860D5">
            <w:pPr>
              <w:jc w:val="center"/>
              <w:rPr>
                <w:bCs/>
                <w:sz w:val="18"/>
                <w:szCs w:val="18"/>
              </w:rPr>
            </w:pPr>
            <w:r w:rsidRPr="00993B79">
              <w:rPr>
                <w:rFonts w:hint="eastAsia"/>
                <w:bCs/>
                <w:sz w:val="18"/>
                <w:szCs w:val="18"/>
              </w:rPr>
              <w:t>/</w:t>
            </w:r>
          </w:p>
        </w:tc>
        <w:tc>
          <w:tcPr>
            <w:tcW w:w="981" w:type="dxa"/>
            <w:gridSpan w:val="2"/>
            <w:vAlign w:val="center"/>
          </w:tcPr>
          <w:p w:rsidR="00C223F5" w:rsidRPr="00993B79" w:rsidRDefault="005860D5">
            <w:pPr>
              <w:jc w:val="center"/>
              <w:rPr>
                <w:bCs/>
                <w:sz w:val="18"/>
                <w:szCs w:val="18"/>
              </w:rPr>
            </w:pPr>
            <w:r w:rsidRPr="00993B79">
              <w:rPr>
                <w:rFonts w:hint="eastAsia"/>
                <w:bCs/>
                <w:sz w:val="18"/>
                <w:szCs w:val="18"/>
              </w:rPr>
              <w:t>1.05</w:t>
            </w:r>
          </w:p>
        </w:tc>
        <w:tc>
          <w:tcPr>
            <w:tcW w:w="1044" w:type="dxa"/>
            <w:gridSpan w:val="2"/>
            <w:vAlign w:val="center"/>
          </w:tcPr>
          <w:p w:rsidR="00C223F5" w:rsidRPr="00993B79" w:rsidRDefault="005860D5">
            <w:pPr>
              <w:jc w:val="center"/>
              <w:rPr>
                <w:bCs/>
                <w:sz w:val="18"/>
                <w:szCs w:val="18"/>
              </w:rPr>
            </w:pPr>
            <w:r w:rsidRPr="00993B79">
              <w:rPr>
                <w:rFonts w:hint="eastAsia"/>
                <w:bCs/>
                <w:sz w:val="18"/>
                <w:szCs w:val="18"/>
              </w:rPr>
              <w:t>0.12</w:t>
            </w:r>
          </w:p>
        </w:tc>
      </w:tr>
      <w:tr w:rsidR="00C223F5" w:rsidRPr="00993B79">
        <w:trPr>
          <w:cantSplit/>
          <w:trHeight w:val="20"/>
          <w:jc w:val="center"/>
        </w:trPr>
        <w:tc>
          <w:tcPr>
            <w:tcW w:w="805" w:type="dxa"/>
            <w:vMerge/>
            <w:vAlign w:val="center"/>
          </w:tcPr>
          <w:p w:rsidR="00C223F5" w:rsidRPr="00993B79" w:rsidRDefault="00C223F5">
            <w:pPr>
              <w:jc w:val="center"/>
              <w:rPr>
                <w:bCs/>
                <w:sz w:val="18"/>
                <w:szCs w:val="18"/>
              </w:rPr>
            </w:pPr>
          </w:p>
        </w:tc>
        <w:tc>
          <w:tcPr>
            <w:tcW w:w="3467" w:type="dxa"/>
            <w:vAlign w:val="center"/>
          </w:tcPr>
          <w:p w:rsidR="00C223F5" w:rsidRPr="00993B79" w:rsidRDefault="005860D5">
            <w:pPr>
              <w:jc w:val="center"/>
              <w:rPr>
                <w:bCs/>
                <w:sz w:val="18"/>
                <w:szCs w:val="18"/>
              </w:rPr>
            </w:pPr>
            <w:r w:rsidRPr="00993B79">
              <w:rPr>
                <w:bCs/>
                <w:sz w:val="18"/>
                <w:szCs w:val="18"/>
              </w:rPr>
              <w:t>处理后（</w:t>
            </w:r>
            <w:r w:rsidRPr="00993B79">
              <w:rPr>
                <w:bCs/>
                <w:sz w:val="18"/>
                <w:szCs w:val="18"/>
              </w:rPr>
              <w:t>mg/L</w:t>
            </w:r>
            <w:r w:rsidRPr="00993B79">
              <w:rPr>
                <w:bCs/>
                <w:sz w:val="18"/>
                <w:szCs w:val="18"/>
              </w:rPr>
              <w:t>）</w:t>
            </w:r>
          </w:p>
        </w:tc>
        <w:tc>
          <w:tcPr>
            <w:tcW w:w="936" w:type="dxa"/>
            <w:vAlign w:val="center"/>
          </w:tcPr>
          <w:p w:rsidR="00C223F5" w:rsidRPr="00993B79" w:rsidRDefault="005860D5">
            <w:pPr>
              <w:contextualSpacing/>
              <w:jc w:val="center"/>
              <w:rPr>
                <w:sz w:val="18"/>
                <w:szCs w:val="18"/>
              </w:rPr>
            </w:pPr>
            <w:r w:rsidRPr="00993B79">
              <w:rPr>
                <w:rFonts w:hint="eastAsia"/>
                <w:sz w:val="18"/>
                <w:szCs w:val="18"/>
              </w:rPr>
              <w:t>15</w:t>
            </w:r>
          </w:p>
        </w:tc>
        <w:tc>
          <w:tcPr>
            <w:tcW w:w="1013" w:type="dxa"/>
            <w:gridSpan w:val="2"/>
            <w:vAlign w:val="center"/>
          </w:tcPr>
          <w:p w:rsidR="00C223F5" w:rsidRPr="00993B79" w:rsidRDefault="005860D5">
            <w:pPr>
              <w:contextualSpacing/>
              <w:jc w:val="center"/>
              <w:rPr>
                <w:sz w:val="18"/>
                <w:szCs w:val="18"/>
              </w:rPr>
            </w:pPr>
            <w:r w:rsidRPr="00993B79">
              <w:rPr>
                <w:rFonts w:hint="eastAsia"/>
                <w:sz w:val="18"/>
                <w:szCs w:val="18"/>
              </w:rPr>
              <w:t>16.5</w:t>
            </w:r>
          </w:p>
        </w:tc>
        <w:tc>
          <w:tcPr>
            <w:tcW w:w="982" w:type="dxa"/>
            <w:gridSpan w:val="2"/>
            <w:vAlign w:val="center"/>
          </w:tcPr>
          <w:p w:rsidR="00C223F5" w:rsidRPr="00993B79" w:rsidRDefault="005860D5">
            <w:pPr>
              <w:jc w:val="center"/>
              <w:rPr>
                <w:bCs/>
                <w:sz w:val="18"/>
                <w:szCs w:val="18"/>
              </w:rPr>
            </w:pPr>
            <w:r w:rsidRPr="00993B79">
              <w:rPr>
                <w:rFonts w:hint="eastAsia"/>
                <w:bCs/>
                <w:sz w:val="18"/>
                <w:szCs w:val="18"/>
              </w:rPr>
              <w:t>/</w:t>
            </w:r>
          </w:p>
        </w:tc>
        <w:tc>
          <w:tcPr>
            <w:tcW w:w="981" w:type="dxa"/>
            <w:gridSpan w:val="2"/>
            <w:vAlign w:val="center"/>
          </w:tcPr>
          <w:p w:rsidR="00C223F5" w:rsidRPr="00993B79" w:rsidRDefault="005860D5">
            <w:pPr>
              <w:jc w:val="center"/>
              <w:rPr>
                <w:bCs/>
                <w:sz w:val="18"/>
                <w:szCs w:val="18"/>
              </w:rPr>
            </w:pPr>
            <w:r w:rsidRPr="00993B79">
              <w:rPr>
                <w:rFonts w:hint="eastAsia"/>
                <w:bCs/>
                <w:sz w:val="18"/>
                <w:szCs w:val="18"/>
              </w:rPr>
              <w:t>0.52</w:t>
            </w:r>
          </w:p>
        </w:tc>
        <w:tc>
          <w:tcPr>
            <w:tcW w:w="1044" w:type="dxa"/>
            <w:gridSpan w:val="2"/>
            <w:vAlign w:val="center"/>
          </w:tcPr>
          <w:p w:rsidR="00C223F5" w:rsidRPr="00993B79" w:rsidRDefault="005860D5">
            <w:pPr>
              <w:jc w:val="center"/>
              <w:rPr>
                <w:bCs/>
                <w:sz w:val="18"/>
                <w:szCs w:val="18"/>
              </w:rPr>
            </w:pPr>
            <w:r w:rsidRPr="00993B79">
              <w:rPr>
                <w:rFonts w:hint="eastAsia"/>
                <w:bCs/>
                <w:sz w:val="18"/>
                <w:szCs w:val="18"/>
              </w:rPr>
              <w:t>0.045</w:t>
            </w:r>
          </w:p>
        </w:tc>
      </w:tr>
      <w:tr w:rsidR="00C223F5" w:rsidRPr="00993B79">
        <w:trPr>
          <w:cantSplit/>
          <w:trHeight w:val="20"/>
          <w:jc w:val="center"/>
        </w:trPr>
        <w:tc>
          <w:tcPr>
            <w:tcW w:w="805" w:type="dxa"/>
            <w:vMerge/>
            <w:vAlign w:val="center"/>
          </w:tcPr>
          <w:p w:rsidR="00C223F5" w:rsidRPr="00993B79" w:rsidRDefault="00C223F5">
            <w:pPr>
              <w:jc w:val="center"/>
              <w:rPr>
                <w:bCs/>
                <w:sz w:val="18"/>
                <w:szCs w:val="18"/>
              </w:rPr>
            </w:pPr>
          </w:p>
        </w:tc>
        <w:tc>
          <w:tcPr>
            <w:tcW w:w="3467" w:type="dxa"/>
            <w:vAlign w:val="center"/>
          </w:tcPr>
          <w:p w:rsidR="00C223F5" w:rsidRPr="00993B79" w:rsidRDefault="005860D5">
            <w:pPr>
              <w:jc w:val="center"/>
              <w:rPr>
                <w:bCs/>
                <w:sz w:val="18"/>
                <w:szCs w:val="18"/>
              </w:rPr>
            </w:pPr>
            <w:r w:rsidRPr="00993B79">
              <w:rPr>
                <w:bCs/>
                <w:sz w:val="18"/>
                <w:szCs w:val="18"/>
              </w:rPr>
              <w:t>去除率（％）</w:t>
            </w:r>
          </w:p>
        </w:tc>
        <w:tc>
          <w:tcPr>
            <w:tcW w:w="936" w:type="dxa"/>
            <w:vAlign w:val="center"/>
          </w:tcPr>
          <w:p w:rsidR="00C223F5" w:rsidRPr="00993B79" w:rsidRDefault="005860D5">
            <w:pPr>
              <w:jc w:val="center"/>
              <w:rPr>
                <w:bCs/>
                <w:sz w:val="18"/>
                <w:szCs w:val="18"/>
              </w:rPr>
            </w:pPr>
            <w:r w:rsidRPr="00993B79">
              <w:rPr>
                <w:rFonts w:hint="eastAsia"/>
                <w:bCs/>
                <w:sz w:val="18"/>
                <w:szCs w:val="18"/>
              </w:rPr>
              <w:t>85</w:t>
            </w:r>
          </w:p>
        </w:tc>
        <w:tc>
          <w:tcPr>
            <w:tcW w:w="1013" w:type="dxa"/>
            <w:gridSpan w:val="2"/>
            <w:vAlign w:val="center"/>
          </w:tcPr>
          <w:p w:rsidR="00C223F5" w:rsidRPr="00993B79" w:rsidRDefault="005860D5">
            <w:pPr>
              <w:jc w:val="center"/>
              <w:rPr>
                <w:bCs/>
                <w:sz w:val="18"/>
                <w:szCs w:val="18"/>
              </w:rPr>
            </w:pPr>
            <w:r w:rsidRPr="00993B79">
              <w:rPr>
                <w:rFonts w:hint="eastAsia"/>
                <w:bCs/>
                <w:sz w:val="18"/>
                <w:szCs w:val="18"/>
              </w:rPr>
              <w:t>83</w:t>
            </w:r>
          </w:p>
        </w:tc>
        <w:tc>
          <w:tcPr>
            <w:tcW w:w="982" w:type="dxa"/>
            <w:gridSpan w:val="2"/>
            <w:vAlign w:val="center"/>
          </w:tcPr>
          <w:p w:rsidR="00C223F5" w:rsidRPr="00993B79" w:rsidRDefault="005860D5">
            <w:pPr>
              <w:jc w:val="center"/>
              <w:rPr>
                <w:bCs/>
                <w:sz w:val="18"/>
                <w:szCs w:val="18"/>
              </w:rPr>
            </w:pPr>
            <w:r w:rsidRPr="00993B79">
              <w:rPr>
                <w:rFonts w:hint="eastAsia"/>
                <w:bCs/>
                <w:sz w:val="18"/>
                <w:szCs w:val="18"/>
              </w:rPr>
              <w:t>/</w:t>
            </w:r>
          </w:p>
        </w:tc>
        <w:tc>
          <w:tcPr>
            <w:tcW w:w="981" w:type="dxa"/>
            <w:gridSpan w:val="2"/>
            <w:vAlign w:val="center"/>
          </w:tcPr>
          <w:p w:rsidR="00C223F5" w:rsidRPr="00993B79" w:rsidRDefault="005860D5">
            <w:pPr>
              <w:jc w:val="center"/>
              <w:rPr>
                <w:bCs/>
                <w:sz w:val="18"/>
                <w:szCs w:val="18"/>
              </w:rPr>
            </w:pPr>
            <w:r w:rsidRPr="00993B79">
              <w:rPr>
                <w:rFonts w:hint="eastAsia"/>
                <w:bCs/>
                <w:sz w:val="18"/>
                <w:szCs w:val="18"/>
              </w:rPr>
              <w:t>50.5</w:t>
            </w:r>
          </w:p>
        </w:tc>
        <w:tc>
          <w:tcPr>
            <w:tcW w:w="1044" w:type="dxa"/>
            <w:gridSpan w:val="2"/>
            <w:vAlign w:val="center"/>
          </w:tcPr>
          <w:p w:rsidR="00C223F5" w:rsidRPr="00993B79" w:rsidRDefault="005860D5">
            <w:pPr>
              <w:jc w:val="center"/>
              <w:rPr>
                <w:bCs/>
                <w:sz w:val="18"/>
                <w:szCs w:val="18"/>
              </w:rPr>
            </w:pPr>
            <w:r w:rsidRPr="00993B79">
              <w:rPr>
                <w:rFonts w:hint="eastAsia"/>
                <w:bCs/>
                <w:sz w:val="18"/>
                <w:szCs w:val="18"/>
              </w:rPr>
              <w:t>63</w:t>
            </w:r>
          </w:p>
        </w:tc>
      </w:tr>
      <w:tr w:rsidR="00C223F5" w:rsidRPr="00993B79">
        <w:trPr>
          <w:cantSplit/>
          <w:trHeight w:val="20"/>
          <w:jc w:val="center"/>
        </w:trPr>
        <w:tc>
          <w:tcPr>
            <w:tcW w:w="805" w:type="dxa"/>
            <w:vMerge w:val="restart"/>
            <w:vAlign w:val="center"/>
          </w:tcPr>
          <w:p w:rsidR="00C223F5" w:rsidRPr="00993B79" w:rsidRDefault="005860D5">
            <w:pPr>
              <w:jc w:val="center"/>
              <w:rPr>
                <w:bCs/>
                <w:sz w:val="18"/>
                <w:szCs w:val="18"/>
              </w:rPr>
            </w:pPr>
            <w:r w:rsidRPr="00993B79">
              <w:rPr>
                <w:rFonts w:hint="eastAsia"/>
                <w:bCs/>
                <w:sz w:val="18"/>
                <w:szCs w:val="18"/>
              </w:rPr>
              <w:t>生活</w:t>
            </w:r>
          </w:p>
          <w:p w:rsidR="00C223F5" w:rsidRPr="00993B79" w:rsidRDefault="005860D5">
            <w:pPr>
              <w:jc w:val="center"/>
              <w:rPr>
                <w:bCs/>
                <w:sz w:val="18"/>
                <w:szCs w:val="18"/>
              </w:rPr>
            </w:pPr>
            <w:r w:rsidRPr="00993B79">
              <w:rPr>
                <w:rFonts w:hint="eastAsia"/>
                <w:bCs/>
                <w:sz w:val="18"/>
                <w:szCs w:val="18"/>
              </w:rPr>
              <w:t>污水</w:t>
            </w:r>
          </w:p>
        </w:tc>
        <w:tc>
          <w:tcPr>
            <w:tcW w:w="3467" w:type="dxa"/>
            <w:vAlign w:val="center"/>
          </w:tcPr>
          <w:p w:rsidR="00C223F5" w:rsidRPr="00993B79" w:rsidRDefault="005860D5">
            <w:pPr>
              <w:jc w:val="center"/>
              <w:rPr>
                <w:bCs/>
                <w:sz w:val="18"/>
                <w:szCs w:val="18"/>
              </w:rPr>
            </w:pPr>
            <w:r w:rsidRPr="00993B79">
              <w:rPr>
                <w:bCs/>
                <w:sz w:val="18"/>
                <w:szCs w:val="18"/>
              </w:rPr>
              <w:t>处理前（</w:t>
            </w:r>
            <w:r w:rsidRPr="00993B79">
              <w:rPr>
                <w:bCs/>
                <w:sz w:val="18"/>
                <w:szCs w:val="18"/>
              </w:rPr>
              <w:t>mg/L</w:t>
            </w:r>
            <w:r w:rsidRPr="00993B79">
              <w:rPr>
                <w:bCs/>
                <w:sz w:val="18"/>
                <w:szCs w:val="18"/>
              </w:rPr>
              <w:t>）</w:t>
            </w:r>
          </w:p>
        </w:tc>
        <w:tc>
          <w:tcPr>
            <w:tcW w:w="936" w:type="dxa"/>
            <w:vAlign w:val="center"/>
          </w:tcPr>
          <w:p w:rsidR="00C223F5" w:rsidRPr="00993B79" w:rsidRDefault="005860D5">
            <w:pPr>
              <w:jc w:val="center"/>
              <w:rPr>
                <w:sz w:val="18"/>
                <w:szCs w:val="18"/>
              </w:rPr>
            </w:pPr>
            <w:r w:rsidRPr="00993B79">
              <w:rPr>
                <w:rFonts w:hint="eastAsia"/>
                <w:sz w:val="18"/>
                <w:szCs w:val="18"/>
              </w:rPr>
              <w:t>146</w:t>
            </w:r>
          </w:p>
        </w:tc>
        <w:tc>
          <w:tcPr>
            <w:tcW w:w="1013" w:type="dxa"/>
            <w:gridSpan w:val="2"/>
            <w:vAlign w:val="center"/>
          </w:tcPr>
          <w:p w:rsidR="00C223F5" w:rsidRPr="00993B79" w:rsidRDefault="005860D5">
            <w:pPr>
              <w:jc w:val="center"/>
              <w:rPr>
                <w:sz w:val="18"/>
                <w:szCs w:val="18"/>
              </w:rPr>
            </w:pPr>
            <w:r w:rsidRPr="00993B79">
              <w:rPr>
                <w:rFonts w:hint="eastAsia"/>
                <w:sz w:val="18"/>
                <w:szCs w:val="18"/>
              </w:rPr>
              <w:t>163</w:t>
            </w:r>
          </w:p>
        </w:tc>
        <w:tc>
          <w:tcPr>
            <w:tcW w:w="982" w:type="dxa"/>
            <w:gridSpan w:val="2"/>
            <w:vAlign w:val="center"/>
          </w:tcPr>
          <w:p w:rsidR="00C223F5" w:rsidRPr="00993B79" w:rsidRDefault="005860D5">
            <w:pPr>
              <w:jc w:val="center"/>
              <w:rPr>
                <w:sz w:val="18"/>
                <w:szCs w:val="18"/>
              </w:rPr>
            </w:pPr>
            <w:r w:rsidRPr="00993B79">
              <w:rPr>
                <w:rFonts w:hint="eastAsia"/>
                <w:sz w:val="18"/>
                <w:szCs w:val="18"/>
              </w:rPr>
              <w:t>93.3</w:t>
            </w:r>
          </w:p>
        </w:tc>
        <w:tc>
          <w:tcPr>
            <w:tcW w:w="981" w:type="dxa"/>
            <w:gridSpan w:val="2"/>
            <w:vAlign w:val="center"/>
          </w:tcPr>
          <w:p w:rsidR="00C223F5" w:rsidRPr="00993B79" w:rsidRDefault="005860D5">
            <w:pPr>
              <w:jc w:val="center"/>
              <w:rPr>
                <w:sz w:val="18"/>
                <w:szCs w:val="18"/>
              </w:rPr>
            </w:pPr>
            <w:r w:rsidRPr="00993B79">
              <w:rPr>
                <w:rFonts w:hint="eastAsia"/>
                <w:sz w:val="18"/>
                <w:szCs w:val="18"/>
              </w:rPr>
              <w:t>4.21</w:t>
            </w:r>
          </w:p>
        </w:tc>
        <w:tc>
          <w:tcPr>
            <w:tcW w:w="1044" w:type="dxa"/>
            <w:gridSpan w:val="2"/>
            <w:vAlign w:val="center"/>
          </w:tcPr>
          <w:p w:rsidR="00C223F5" w:rsidRPr="00993B79" w:rsidRDefault="005860D5">
            <w:pPr>
              <w:jc w:val="center"/>
              <w:rPr>
                <w:sz w:val="18"/>
                <w:szCs w:val="18"/>
              </w:rPr>
            </w:pPr>
            <w:r w:rsidRPr="00993B79">
              <w:rPr>
                <w:rFonts w:hint="eastAsia"/>
                <w:sz w:val="18"/>
                <w:szCs w:val="18"/>
              </w:rPr>
              <w:t>/</w:t>
            </w:r>
          </w:p>
        </w:tc>
      </w:tr>
      <w:tr w:rsidR="00C223F5" w:rsidRPr="00993B79">
        <w:trPr>
          <w:cantSplit/>
          <w:trHeight w:val="70"/>
          <w:jc w:val="center"/>
        </w:trPr>
        <w:tc>
          <w:tcPr>
            <w:tcW w:w="805" w:type="dxa"/>
            <w:vMerge/>
            <w:vAlign w:val="center"/>
          </w:tcPr>
          <w:p w:rsidR="00C223F5" w:rsidRPr="00993B79" w:rsidRDefault="00C223F5">
            <w:pPr>
              <w:jc w:val="center"/>
              <w:rPr>
                <w:bCs/>
                <w:sz w:val="18"/>
                <w:szCs w:val="18"/>
              </w:rPr>
            </w:pPr>
          </w:p>
        </w:tc>
        <w:tc>
          <w:tcPr>
            <w:tcW w:w="3467" w:type="dxa"/>
            <w:vAlign w:val="center"/>
          </w:tcPr>
          <w:p w:rsidR="00C223F5" w:rsidRPr="00993B79" w:rsidRDefault="005860D5">
            <w:pPr>
              <w:jc w:val="center"/>
              <w:rPr>
                <w:bCs/>
                <w:sz w:val="18"/>
                <w:szCs w:val="18"/>
              </w:rPr>
            </w:pPr>
            <w:r w:rsidRPr="00993B79">
              <w:rPr>
                <w:bCs/>
                <w:sz w:val="18"/>
                <w:szCs w:val="18"/>
              </w:rPr>
              <w:t>处理后（</w:t>
            </w:r>
            <w:r w:rsidRPr="00993B79">
              <w:rPr>
                <w:bCs/>
                <w:sz w:val="18"/>
                <w:szCs w:val="18"/>
              </w:rPr>
              <w:t>mg/L</w:t>
            </w:r>
            <w:r w:rsidRPr="00993B79">
              <w:rPr>
                <w:bCs/>
                <w:sz w:val="18"/>
                <w:szCs w:val="18"/>
              </w:rPr>
              <w:t>）</w:t>
            </w:r>
          </w:p>
        </w:tc>
        <w:tc>
          <w:tcPr>
            <w:tcW w:w="936" w:type="dxa"/>
            <w:vAlign w:val="center"/>
          </w:tcPr>
          <w:p w:rsidR="00C223F5" w:rsidRPr="00993B79" w:rsidRDefault="005860D5">
            <w:pPr>
              <w:jc w:val="center"/>
              <w:rPr>
                <w:sz w:val="18"/>
                <w:szCs w:val="18"/>
              </w:rPr>
            </w:pPr>
            <w:r w:rsidRPr="00993B79">
              <w:rPr>
                <w:rFonts w:hint="eastAsia"/>
                <w:sz w:val="18"/>
                <w:szCs w:val="18"/>
              </w:rPr>
              <w:t>30</w:t>
            </w:r>
          </w:p>
        </w:tc>
        <w:tc>
          <w:tcPr>
            <w:tcW w:w="1013" w:type="dxa"/>
            <w:gridSpan w:val="2"/>
            <w:vAlign w:val="center"/>
          </w:tcPr>
          <w:p w:rsidR="00C223F5" w:rsidRPr="00993B79" w:rsidRDefault="005860D5">
            <w:pPr>
              <w:jc w:val="center"/>
              <w:rPr>
                <w:sz w:val="18"/>
                <w:szCs w:val="18"/>
              </w:rPr>
            </w:pPr>
            <w:r w:rsidRPr="00993B79">
              <w:rPr>
                <w:rFonts w:hint="eastAsia"/>
                <w:sz w:val="18"/>
                <w:szCs w:val="18"/>
              </w:rPr>
              <w:t>29</w:t>
            </w:r>
          </w:p>
        </w:tc>
        <w:tc>
          <w:tcPr>
            <w:tcW w:w="982" w:type="dxa"/>
            <w:gridSpan w:val="2"/>
            <w:vAlign w:val="center"/>
          </w:tcPr>
          <w:p w:rsidR="00C223F5" w:rsidRPr="00993B79" w:rsidRDefault="005860D5">
            <w:pPr>
              <w:jc w:val="center"/>
              <w:rPr>
                <w:w w:val="90"/>
                <w:sz w:val="18"/>
                <w:szCs w:val="18"/>
              </w:rPr>
            </w:pPr>
            <w:r w:rsidRPr="00993B79">
              <w:rPr>
                <w:rFonts w:hint="eastAsia"/>
                <w:w w:val="90"/>
                <w:sz w:val="18"/>
                <w:szCs w:val="18"/>
              </w:rPr>
              <w:t>14.5</w:t>
            </w:r>
          </w:p>
        </w:tc>
        <w:tc>
          <w:tcPr>
            <w:tcW w:w="981" w:type="dxa"/>
            <w:gridSpan w:val="2"/>
            <w:vAlign w:val="center"/>
          </w:tcPr>
          <w:p w:rsidR="00C223F5" w:rsidRPr="00993B79" w:rsidRDefault="005860D5">
            <w:pPr>
              <w:jc w:val="center"/>
              <w:rPr>
                <w:rFonts w:hAnsi="宋体"/>
                <w:sz w:val="18"/>
                <w:szCs w:val="18"/>
              </w:rPr>
            </w:pPr>
            <w:r w:rsidRPr="00993B79">
              <w:rPr>
                <w:rFonts w:hAnsi="宋体" w:hint="eastAsia"/>
                <w:sz w:val="18"/>
                <w:szCs w:val="18"/>
              </w:rPr>
              <w:t>0.032</w:t>
            </w:r>
          </w:p>
        </w:tc>
        <w:tc>
          <w:tcPr>
            <w:tcW w:w="1044" w:type="dxa"/>
            <w:gridSpan w:val="2"/>
            <w:vAlign w:val="center"/>
          </w:tcPr>
          <w:p w:rsidR="00C223F5" w:rsidRPr="00993B79" w:rsidRDefault="005860D5">
            <w:pPr>
              <w:jc w:val="center"/>
              <w:rPr>
                <w:rFonts w:hAnsi="宋体"/>
                <w:sz w:val="18"/>
                <w:szCs w:val="18"/>
              </w:rPr>
            </w:pPr>
            <w:r w:rsidRPr="00993B79">
              <w:rPr>
                <w:rFonts w:hint="eastAsia"/>
                <w:sz w:val="18"/>
                <w:szCs w:val="18"/>
              </w:rPr>
              <w:t>/</w:t>
            </w:r>
          </w:p>
        </w:tc>
      </w:tr>
      <w:tr w:rsidR="00C223F5" w:rsidRPr="00993B79">
        <w:trPr>
          <w:cantSplit/>
          <w:trHeight w:val="20"/>
          <w:jc w:val="center"/>
        </w:trPr>
        <w:tc>
          <w:tcPr>
            <w:tcW w:w="805" w:type="dxa"/>
            <w:vMerge/>
            <w:vAlign w:val="center"/>
          </w:tcPr>
          <w:p w:rsidR="00C223F5" w:rsidRPr="00993B79" w:rsidRDefault="00C223F5">
            <w:pPr>
              <w:jc w:val="center"/>
              <w:rPr>
                <w:bCs/>
                <w:sz w:val="18"/>
                <w:szCs w:val="18"/>
              </w:rPr>
            </w:pPr>
          </w:p>
        </w:tc>
        <w:tc>
          <w:tcPr>
            <w:tcW w:w="3467" w:type="dxa"/>
            <w:vAlign w:val="center"/>
          </w:tcPr>
          <w:p w:rsidR="00C223F5" w:rsidRPr="00993B79" w:rsidRDefault="005860D5">
            <w:pPr>
              <w:jc w:val="center"/>
              <w:rPr>
                <w:bCs/>
                <w:sz w:val="18"/>
                <w:szCs w:val="18"/>
              </w:rPr>
            </w:pPr>
            <w:r w:rsidRPr="00993B79">
              <w:rPr>
                <w:bCs/>
                <w:sz w:val="18"/>
                <w:szCs w:val="18"/>
              </w:rPr>
              <w:t>去除率（％）</w:t>
            </w:r>
          </w:p>
        </w:tc>
        <w:tc>
          <w:tcPr>
            <w:tcW w:w="936" w:type="dxa"/>
            <w:vAlign w:val="center"/>
          </w:tcPr>
          <w:p w:rsidR="00C223F5" w:rsidRPr="00993B79" w:rsidRDefault="005860D5">
            <w:pPr>
              <w:jc w:val="center"/>
              <w:rPr>
                <w:bCs/>
                <w:sz w:val="18"/>
                <w:szCs w:val="18"/>
              </w:rPr>
            </w:pPr>
            <w:r w:rsidRPr="00993B79">
              <w:rPr>
                <w:rFonts w:hint="eastAsia"/>
                <w:bCs/>
                <w:sz w:val="18"/>
                <w:szCs w:val="18"/>
              </w:rPr>
              <w:t>79.5</w:t>
            </w:r>
          </w:p>
        </w:tc>
        <w:tc>
          <w:tcPr>
            <w:tcW w:w="1013" w:type="dxa"/>
            <w:gridSpan w:val="2"/>
            <w:vAlign w:val="center"/>
          </w:tcPr>
          <w:p w:rsidR="00C223F5" w:rsidRPr="00993B79" w:rsidRDefault="005860D5">
            <w:pPr>
              <w:jc w:val="center"/>
              <w:rPr>
                <w:bCs/>
                <w:sz w:val="18"/>
                <w:szCs w:val="18"/>
              </w:rPr>
            </w:pPr>
            <w:r w:rsidRPr="00993B79">
              <w:rPr>
                <w:rFonts w:hint="eastAsia"/>
                <w:bCs/>
                <w:sz w:val="18"/>
                <w:szCs w:val="18"/>
              </w:rPr>
              <w:t>82.2</w:t>
            </w:r>
          </w:p>
        </w:tc>
        <w:tc>
          <w:tcPr>
            <w:tcW w:w="982" w:type="dxa"/>
            <w:gridSpan w:val="2"/>
            <w:vAlign w:val="center"/>
          </w:tcPr>
          <w:p w:rsidR="00C223F5" w:rsidRPr="00993B79" w:rsidRDefault="005860D5">
            <w:pPr>
              <w:jc w:val="center"/>
              <w:rPr>
                <w:bCs/>
                <w:sz w:val="18"/>
                <w:szCs w:val="18"/>
              </w:rPr>
            </w:pPr>
            <w:r w:rsidRPr="00993B79">
              <w:rPr>
                <w:rFonts w:hint="eastAsia"/>
                <w:bCs/>
                <w:sz w:val="18"/>
                <w:szCs w:val="18"/>
              </w:rPr>
              <w:t>84.5</w:t>
            </w:r>
          </w:p>
        </w:tc>
        <w:tc>
          <w:tcPr>
            <w:tcW w:w="981" w:type="dxa"/>
            <w:gridSpan w:val="2"/>
            <w:vAlign w:val="center"/>
          </w:tcPr>
          <w:p w:rsidR="00C223F5" w:rsidRPr="00993B79" w:rsidRDefault="005860D5">
            <w:pPr>
              <w:jc w:val="center"/>
              <w:rPr>
                <w:bCs/>
                <w:sz w:val="18"/>
                <w:szCs w:val="18"/>
              </w:rPr>
            </w:pPr>
            <w:r w:rsidRPr="00993B79">
              <w:rPr>
                <w:rFonts w:hint="eastAsia"/>
                <w:bCs/>
                <w:sz w:val="18"/>
                <w:szCs w:val="18"/>
              </w:rPr>
              <w:t>99</w:t>
            </w:r>
          </w:p>
        </w:tc>
        <w:tc>
          <w:tcPr>
            <w:tcW w:w="1044" w:type="dxa"/>
            <w:gridSpan w:val="2"/>
            <w:vAlign w:val="center"/>
          </w:tcPr>
          <w:p w:rsidR="00C223F5" w:rsidRPr="00993B79" w:rsidRDefault="005860D5">
            <w:pPr>
              <w:jc w:val="center"/>
              <w:rPr>
                <w:bCs/>
                <w:sz w:val="18"/>
                <w:szCs w:val="18"/>
              </w:rPr>
            </w:pPr>
            <w:r w:rsidRPr="00993B79">
              <w:rPr>
                <w:rFonts w:hint="eastAsia"/>
                <w:bCs/>
                <w:sz w:val="18"/>
                <w:szCs w:val="18"/>
              </w:rPr>
              <w:t>/</w:t>
            </w:r>
          </w:p>
        </w:tc>
      </w:tr>
      <w:tr w:rsidR="00C223F5" w:rsidRPr="00993B79">
        <w:trPr>
          <w:cantSplit/>
          <w:trHeight w:val="20"/>
          <w:jc w:val="center"/>
        </w:trPr>
        <w:tc>
          <w:tcPr>
            <w:tcW w:w="805" w:type="dxa"/>
            <w:vMerge w:val="restart"/>
            <w:vAlign w:val="center"/>
          </w:tcPr>
          <w:p w:rsidR="00C223F5" w:rsidRPr="00993B79" w:rsidRDefault="005860D5">
            <w:pPr>
              <w:jc w:val="center"/>
              <w:rPr>
                <w:bCs/>
                <w:sz w:val="18"/>
                <w:szCs w:val="18"/>
              </w:rPr>
            </w:pPr>
            <w:r w:rsidRPr="00993B79">
              <w:rPr>
                <w:bCs/>
                <w:sz w:val="18"/>
                <w:szCs w:val="18"/>
              </w:rPr>
              <w:t>排水和用水</w:t>
            </w:r>
          </w:p>
          <w:p w:rsidR="00C223F5" w:rsidRPr="00993B79" w:rsidRDefault="005860D5">
            <w:pPr>
              <w:jc w:val="center"/>
              <w:rPr>
                <w:bCs/>
                <w:sz w:val="18"/>
                <w:szCs w:val="18"/>
              </w:rPr>
            </w:pPr>
            <w:r w:rsidRPr="00993B79">
              <w:rPr>
                <w:bCs/>
                <w:sz w:val="18"/>
                <w:szCs w:val="18"/>
              </w:rPr>
              <w:t>标准</w:t>
            </w:r>
          </w:p>
        </w:tc>
        <w:tc>
          <w:tcPr>
            <w:tcW w:w="3467" w:type="dxa"/>
            <w:vAlign w:val="center"/>
          </w:tcPr>
          <w:p w:rsidR="00C223F5" w:rsidRPr="00993B79" w:rsidRDefault="005860D5">
            <w:pPr>
              <w:jc w:val="center"/>
              <w:rPr>
                <w:bCs/>
                <w:sz w:val="18"/>
                <w:szCs w:val="18"/>
              </w:rPr>
            </w:pPr>
            <w:r w:rsidRPr="00993B79">
              <w:rPr>
                <w:bCs/>
                <w:sz w:val="18"/>
                <w:szCs w:val="18"/>
              </w:rPr>
              <w:t>《煤炭工业污染物排放标准》</w:t>
            </w:r>
          </w:p>
        </w:tc>
        <w:tc>
          <w:tcPr>
            <w:tcW w:w="936" w:type="dxa"/>
            <w:vAlign w:val="center"/>
          </w:tcPr>
          <w:p w:rsidR="00C223F5" w:rsidRPr="00993B79" w:rsidRDefault="005860D5">
            <w:pPr>
              <w:jc w:val="center"/>
              <w:rPr>
                <w:bCs/>
                <w:sz w:val="18"/>
                <w:szCs w:val="18"/>
              </w:rPr>
            </w:pPr>
            <w:r w:rsidRPr="00993B79">
              <w:rPr>
                <w:bCs/>
                <w:sz w:val="18"/>
                <w:szCs w:val="18"/>
              </w:rPr>
              <w:t>≤50</w:t>
            </w:r>
          </w:p>
        </w:tc>
        <w:tc>
          <w:tcPr>
            <w:tcW w:w="1013" w:type="dxa"/>
            <w:gridSpan w:val="2"/>
            <w:vAlign w:val="center"/>
          </w:tcPr>
          <w:p w:rsidR="00C223F5" w:rsidRPr="00993B79" w:rsidRDefault="005860D5">
            <w:pPr>
              <w:jc w:val="center"/>
              <w:rPr>
                <w:bCs/>
                <w:sz w:val="18"/>
                <w:szCs w:val="18"/>
              </w:rPr>
            </w:pPr>
            <w:r w:rsidRPr="00993B79">
              <w:rPr>
                <w:bCs/>
                <w:sz w:val="18"/>
                <w:szCs w:val="18"/>
              </w:rPr>
              <w:t>≤50</w:t>
            </w:r>
          </w:p>
        </w:tc>
        <w:tc>
          <w:tcPr>
            <w:tcW w:w="982" w:type="dxa"/>
            <w:gridSpan w:val="2"/>
            <w:vAlign w:val="center"/>
          </w:tcPr>
          <w:p w:rsidR="00C223F5" w:rsidRPr="00993B79" w:rsidRDefault="005860D5">
            <w:pPr>
              <w:jc w:val="center"/>
              <w:rPr>
                <w:bCs/>
                <w:sz w:val="18"/>
                <w:szCs w:val="18"/>
              </w:rPr>
            </w:pPr>
            <w:r w:rsidRPr="00993B79">
              <w:rPr>
                <w:rFonts w:hint="eastAsia"/>
                <w:bCs/>
                <w:sz w:val="18"/>
                <w:szCs w:val="18"/>
              </w:rPr>
              <w:t>/</w:t>
            </w:r>
          </w:p>
        </w:tc>
        <w:tc>
          <w:tcPr>
            <w:tcW w:w="981" w:type="dxa"/>
            <w:gridSpan w:val="2"/>
            <w:vAlign w:val="center"/>
          </w:tcPr>
          <w:p w:rsidR="00C223F5" w:rsidRPr="00993B79" w:rsidRDefault="005860D5">
            <w:pPr>
              <w:jc w:val="center"/>
              <w:rPr>
                <w:bCs/>
                <w:sz w:val="18"/>
                <w:szCs w:val="18"/>
              </w:rPr>
            </w:pPr>
            <w:r w:rsidRPr="00993B79">
              <w:rPr>
                <w:rFonts w:hint="eastAsia"/>
                <w:bCs/>
                <w:sz w:val="18"/>
                <w:szCs w:val="18"/>
              </w:rPr>
              <w:t>/</w:t>
            </w:r>
          </w:p>
        </w:tc>
        <w:tc>
          <w:tcPr>
            <w:tcW w:w="1044" w:type="dxa"/>
            <w:gridSpan w:val="2"/>
            <w:vAlign w:val="center"/>
          </w:tcPr>
          <w:p w:rsidR="00C223F5" w:rsidRPr="00993B79" w:rsidRDefault="005860D5">
            <w:pPr>
              <w:jc w:val="center"/>
              <w:rPr>
                <w:bCs/>
                <w:sz w:val="18"/>
                <w:szCs w:val="18"/>
              </w:rPr>
            </w:pPr>
            <w:r w:rsidRPr="00993B79">
              <w:rPr>
                <w:bCs/>
                <w:sz w:val="18"/>
                <w:szCs w:val="18"/>
              </w:rPr>
              <w:t>≤5</w:t>
            </w:r>
          </w:p>
        </w:tc>
      </w:tr>
      <w:tr w:rsidR="00C223F5" w:rsidRPr="00993B79">
        <w:trPr>
          <w:cantSplit/>
          <w:trHeight w:val="20"/>
          <w:jc w:val="center"/>
        </w:trPr>
        <w:tc>
          <w:tcPr>
            <w:tcW w:w="805" w:type="dxa"/>
            <w:vMerge/>
            <w:vAlign w:val="center"/>
          </w:tcPr>
          <w:p w:rsidR="00C223F5" w:rsidRPr="00993B79" w:rsidRDefault="00C223F5">
            <w:pPr>
              <w:jc w:val="center"/>
              <w:rPr>
                <w:bCs/>
                <w:sz w:val="18"/>
                <w:szCs w:val="18"/>
              </w:rPr>
            </w:pPr>
          </w:p>
        </w:tc>
        <w:tc>
          <w:tcPr>
            <w:tcW w:w="3467" w:type="dxa"/>
            <w:vAlign w:val="center"/>
          </w:tcPr>
          <w:p w:rsidR="00C223F5" w:rsidRPr="00993B79" w:rsidRDefault="005860D5">
            <w:pPr>
              <w:jc w:val="center"/>
              <w:rPr>
                <w:bCs/>
                <w:sz w:val="18"/>
                <w:szCs w:val="18"/>
              </w:rPr>
            </w:pPr>
            <w:r w:rsidRPr="00993B79">
              <w:rPr>
                <w:rFonts w:hint="eastAsia"/>
                <w:bCs/>
                <w:sz w:val="18"/>
                <w:szCs w:val="18"/>
              </w:rPr>
              <w:t>《陕西省黄河流域污水综合排放标准》</w:t>
            </w:r>
          </w:p>
          <w:p w:rsidR="00C223F5" w:rsidRPr="00993B79" w:rsidRDefault="005860D5">
            <w:pPr>
              <w:jc w:val="center"/>
              <w:rPr>
                <w:bCs/>
                <w:sz w:val="18"/>
                <w:szCs w:val="18"/>
              </w:rPr>
            </w:pPr>
            <w:r w:rsidRPr="00993B79">
              <w:rPr>
                <w:rFonts w:hint="eastAsia"/>
                <w:bCs/>
                <w:sz w:val="18"/>
                <w:szCs w:val="18"/>
              </w:rPr>
              <w:t>表</w:t>
            </w:r>
            <w:r w:rsidRPr="00993B79">
              <w:rPr>
                <w:rFonts w:hint="eastAsia"/>
                <w:bCs/>
                <w:sz w:val="18"/>
                <w:szCs w:val="18"/>
              </w:rPr>
              <w:t>2</w:t>
            </w:r>
            <w:r w:rsidRPr="00993B79">
              <w:rPr>
                <w:rFonts w:hint="eastAsia"/>
                <w:bCs/>
                <w:sz w:val="18"/>
                <w:szCs w:val="18"/>
              </w:rPr>
              <w:t>限值</w:t>
            </w:r>
          </w:p>
        </w:tc>
        <w:tc>
          <w:tcPr>
            <w:tcW w:w="936" w:type="dxa"/>
            <w:vAlign w:val="center"/>
          </w:tcPr>
          <w:p w:rsidR="00C223F5" w:rsidRPr="00993B79" w:rsidRDefault="005860D5">
            <w:pPr>
              <w:jc w:val="center"/>
              <w:rPr>
                <w:bCs/>
                <w:sz w:val="18"/>
                <w:szCs w:val="18"/>
              </w:rPr>
            </w:pPr>
            <w:r w:rsidRPr="00993B79">
              <w:rPr>
                <w:rFonts w:hint="eastAsia"/>
                <w:bCs/>
                <w:sz w:val="18"/>
                <w:szCs w:val="18"/>
              </w:rPr>
              <w:t>/</w:t>
            </w:r>
          </w:p>
        </w:tc>
        <w:tc>
          <w:tcPr>
            <w:tcW w:w="1013" w:type="dxa"/>
            <w:gridSpan w:val="2"/>
            <w:vAlign w:val="center"/>
          </w:tcPr>
          <w:p w:rsidR="00C223F5" w:rsidRPr="00993B79" w:rsidRDefault="005860D5">
            <w:pPr>
              <w:jc w:val="center"/>
              <w:rPr>
                <w:bCs/>
                <w:sz w:val="18"/>
                <w:szCs w:val="18"/>
              </w:rPr>
            </w:pPr>
            <w:r w:rsidRPr="00993B79">
              <w:rPr>
                <w:bCs/>
                <w:sz w:val="18"/>
                <w:szCs w:val="18"/>
              </w:rPr>
              <w:t>≤50</w:t>
            </w:r>
          </w:p>
        </w:tc>
        <w:tc>
          <w:tcPr>
            <w:tcW w:w="982" w:type="dxa"/>
            <w:gridSpan w:val="2"/>
            <w:vAlign w:val="center"/>
          </w:tcPr>
          <w:p w:rsidR="00C223F5" w:rsidRPr="00993B79" w:rsidRDefault="005860D5">
            <w:pPr>
              <w:jc w:val="center"/>
              <w:rPr>
                <w:bCs/>
                <w:sz w:val="18"/>
                <w:szCs w:val="18"/>
              </w:rPr>
            </w:pPr>
            <w:r w:rsidRPr="00993B79">
              <w:rPr>
                <w:bCs/>
                <w:sz w:val="18"/>
                <w:szCs w:val="18"/>
              </w:rPr>
              <w:t>≤</w:t>
            </w:r>
            <w:r w:rsidRPr="00993B79">
              <w:rPr>
                <w:rFonts w:hint="eastAsia"/>
                <w:bCs/>
                <w:sz w:val="18"/>
                <w:szCs w:val="18"/>
              </w:rPr>
              <w:t>2</w:t>
            </w:r>
            <w:r w:rsidRPr="00993B79">
              <w:rPr>
                <w:bCs/>
                <w:sz w:val="18"/>
                <w:szCs w:val="18"/>
              </w:rPr>
              <w:t>0</w:t>
            </w:r>
          </w:p>
        </w:tc>
        <w:tc>
          <w:tcPr>
            <w:tcW w:w="981" w:type="dxa"/>
            <w:gridSpan w:val="2"/>
            <w:vAlign w:val="center"/>
          </w:tcPr>
          <w:p w:rsidR="00C223F5" w:rsidRPr="00993B79" w:rsidRDefault="005860D5">
            <w:pPr>
              <w:jc w:val="center"/>
              <w:rPr>
                <w:bCs/>
                <w:sz w:val="18"/>
                <w:szCs w:val="18"/>
              </w:rPr>
            </w:pPr>
            <w:r w:rsidRPr="00993B79">
              <w:rPr>
                <w:bCs/>
                <w:sz w:val="18"/>
                <w:szCs w:val="18"/>
              </w:rPr>
              <w:t>≤</w:t>
            </w:r>
            <w:r w:rsidRPr="00993B79">
              <w:rPr>
                <w:rFonts w:hint="eastAsia"/>
                <w:bCs/>
                <w:sz w:val="18"/>
                <w:szCs w:val="18"/>
              </w:rPr>
              <w:t>8</w:t>
            </w:r>
          </w:p>
        </w:tc>
        <w:tc>
          <w:tcPr>
            <w:tcW w:w="1044" w:type="dxa"/>
            <w:gridSpan w:val="2"/>
            <w:vAlign w:val="center"/>
          </w:tcPr>
          <w:p w:rsidR="00C223F5" w:rsidRPr="00993B79" w:rsidRDefault="005860D5">
            <w:pPr>
              <w:jc w:val="center"/>
              <w:rPr>
                <w:bCs/>
                <w:sz w:val="18"/>
                <w:szCs w:val="18"/>
              </w:rPr>
            </w:pPr>
            <w:r w:rsidRPr="00993B79">
              <w:rPr>
                <w:bCs/>
                <w:sz w:val="18"/>
                <w:szCs w:val="18"/>
              </w:rPr>
              <w:t>≤</w:t>
            </w:r>
            <w:r w:rsidRPr="00993B79">
              <w:rPr>
                <w:rFonts w:hint="eastAsia"/>
                <w:bCs/>
                <w:sz w:val="18"/>
                <w:szCs w:val="18"/>
              </w:rPr>
              <w:t>3</w:t>
            </w:r>
          </w:p>
        </w:tc>
      </w:tr>
      <w:tr w:rsidR="00C223F5" w:rsidRPr="00993B79">
        <w:trPr>
          <w:cantSplit/>
          <w:trHeight w:val="70"/>
          <w:jc w:val="center"/>
        </w:trPr>
        <w:tc>
          <w:tcPr>
            <w:tcW w:w="805" w:type="dxa"/>
            <w:vMerge/>
            <w:vAlign w:val="center"/>
          </w:tcPr>
          <w:p w:rsidR="00C223F5" w:rsidRPr="00993B79" w:rsidRDefault="00C223F5">
            <w:pPr>
              <w:jc w:val="center"/>
              <w:rPr>
                <w:bCs/>
                <w:sz w:val="18"/>
                <w:szCs w:val="18"/>
              </w:rPr>
            </w:pPr>
          </w:p>
        </w:tc>
        <w:tc>
          <w:tcPr>
            <w:tcW w:w="3467" w:type="dxa"/>
            <w:vAlign w:val="center"/>
          </w:tcPr>
          <w:p w:rsidR="00C223F5" w:rsidRPr="00993B79" w:rsidRDefault="005860D5">
            <w:pPr>
              <w:jc w:val="center"/>
              <w:rPr>
                <w:bCs/>
                <w:sz w:val="18"/>
                <w:szCs w:val="18"/>
              </w:rPr>
            </w:pPr>
            <w:r w:rsidRPr="00993B79">
              <w:rPr>
                <w:bCs/>
                <w:sz w:val="18"/>
                <w:szCs w:val="18"/>
              </w:rPr>
              <w:t>《煤</w:t>
            </w:r>
            <w:r w:rsidRPr="00993B79">
              <w:rPr>
                <w:rFonts w:hint="eastAsia"/>
                <w:bCs/>
                <w:sz w:val="18"/>
                <w:szCs w:val="18"/>
              </w:rPr>
              <w:t>矿</w:t>
            </w:r>
            <w:r w:rsidRPr="00993B79">
              <w:rPr>
                <w:bCs/>
                <w:sz w:val="18"/>
                <w:szCs w:val="18"/>
              </w:rPr>
              <w:t>井下消防、洒水设计规范</w:t>
            </w:r>
            <w:r w:rsidRPr="00993B79">
              <w:rPr>
                <w:rFonts w:hint="eastAsia"/>
                <w:bCs/>
                <w:sz w:val="18"/>
                <w:szCs w:val="18"/>
              </w:rPr>
              <w:t>（</w:t>
            </w:r>
            <w:r w:rsidRPr="00993B79">
              <w:rPr>
                <w:rFonts w:hint="eastAsia"/>
                <w:bCs/>
                <w:sz w:val="18"/>
                <w:szCs w:val="18"/>
              </w:rPr>
              <w:t>GB50383-2006</w:t>
            </w:r>
            <w:r w:rsidRPr="00993B79">
              <w:rPr>
                <w:rFonts w:hint="eastAsia"/>
                <w:bCs/>
                <w:sz w:val="18"/>
                <w:szCs w:val="18"/>
              </w:rPr>
              <w:t>）</w:t>
            </w:r>
            <w:r w:rsidRPr="00993B79">
              <w:rPr>
                <w:bCs/>
                <w:sz w:val="18"/>
                <w:szCs w:val="18"/>
              </w:rPr>
              <w:t>》</w:t>
            </w:r>
          </w:p>
        </w:tc>
        <w:tc>
          <w:tcPr>
            <w:tcW w:w="4956" w:type="dxa"/>
            <w:gridSpan w:val="9"/>
            <w:vAlign w:val="center"/>
          </w:tcPr>
          <w:p w:rsidR="00C223F5" w:rsidRPr="00993B79" w:rsidRDefault="005860D5">
            <w:pPr>
              <w:rPr>
                <w:bCs/>
                <w:sz w:val="18"/>
                <w:szCs w:val="18"/>
              </w:rPr>
            </w:pPr>
            <w:r w:rsidRPr="00993B79">
              <w:rPr>
                <w:rFonts w:hint="eastAsia"/>
                <w:bCs/>
                <w:sz w:val="18"/>
                <w:szCs w:val="18"/>
              </w:rPr>
              <w:t>井下消防洒水水质：</w:t>
            </w:r>
            <w:r w:rsidRPr="00993B79">
              <w:rPr>
                <w:bCs/>
                <w:sz w:val="18"/>
                <w:szCs w:val="18"/>
              </w:rPr>
              <w:t>pH=6~9</w:t>
            </w:r>
            <w:r w:rsidRPr="00993B79">
              <w:rPr>
                <w:bCs/>
                <w:sz w:val="18"/>
                <w:szCs w:val="18"/>
              </w:rPr>
              <w:t>；</w:t>
            </w:r>
            <w:r w:rsidRPr="00993B79">
              <w:rPr>
                <w:bCs/>
                <w:sz w:val="18"/>
                <w:szCs w:val="18"/>
              </w:rPr>
              <w:t>SS≤30mg/L</w:t>
            </w:r>
            <w:r w:rsidRPr="00993B79">
              <w:rPr>
                <w:bCs/>
                <w:sz w:val="18"/>
                <w:szCs w:val="18"/>
              </w:rPr>
              <w:t>；</w:t>
            </w:r>
            <w:r w:rsidRPr="00993B79">
              <w:rPr>
                <w:rFonts w:hint="eastAsia"/>
                <w:bCs/>
                <w:sz w:val="18"/>
                <w:szCs w:val="18"/>
              </w:rPr>
              <w:t>大肠菌群不超过</w:t>
            </w:r>
            <w:r w:rsidRPr="00993B79">
              <w:rPr>
                <w:rFonts w:hint="eastAsia"/>
                <w:bCs/>
                <w:sz w:val="18"/>
                <w:szCs w:val="18"/>
              </w:rPr>
              <w:t>3</w:t>
            </w:r>
            <w:r w:rsidRPr="00993B79">
              <w:rPr>
                <w:rFonts w:hint="eastAsia"/>
                <w:bCs/>
                <w:sz w:val="18"/>
                <w:szCs w:val="18"/>
              </w:rPr>
              <w:t>个</w:t>
            </w:r>
            <w:r w:rsidRPr="00993B79">
              <w:rPr>
                <w:rFonts w:hint="eastAsia"/>
                <w:bCs/>
                <w:sz w:val="18"/>
                <w:szCs w:val="18"/>
              </w:rPr>
              <w:t>/L</w:t>
            </w:r>
          </w:p>
        </w:tc>
      </w:tr>
      <w:tr w:rsidR="00C223F5">
        <w:trPr>
          <w:cantSplit/>
          <w:trHeight w:val="70"/>
          <w:jc w:val="center"/>
        </w:trPr>
        <w:tc>
          <w:tcPr>
            <w:tcW w:w="805" w:type="dxa"/>
            <w:vMerge/>
            <w:vAlign w:val="center"/>
          </w:tcPr>
          <w:p w:rsidR="00C223F5" w:rsidRDefault="00C223F5">
            <w:pPr>
              <w:jc w:val="center"/>
              <w:rPr>
                <w:bCs/>
                <w:sz w:val="18"/>
                <w:szCs w:val="18"/>
              </w:rPr>
            </w:pPr>
          </w:p>
        </w:tc>
        <w:tc>
          <w:tcPr>
            <w:tcW w:w="3467" w:type="dxa"/>
            <w:vAlign w:val="center"/>
          </w:tcPr>
          <w:p w:rsidR="00C223F5" w:rsidRDefault="005860D5">
            <w:pPr>
              <w:jc w:val="center"/>
              <w:rPr>
                <w:bCs/>
                <w:sz w:val="18"/>
                <w:szCs w:val="18"/>
              </w:rPr>
            </w:pPr>
            <w:r>
              <w:rPr>
                <w:bCs/>
                <w:sz w:val="18"/>
                <w:szCs w:val="18"/>
              </w:rPr>
              <w:t>《</w:t>
            </w:r>
            <w:r>
              <w:rPr>
                <w:rFonts w:hint="eastAsia"/>
                <w:bCs/>
                <w:sz w:val="18"/>
                <w:szCs w:val="18"/>
              </w:rPr>
              <w:t>煤炭工业</w:t>
            </w:r>
            <w:r>
              <w:rPr>
                <w:bCs/>
                <w:sz w:val="18"/>
                <w:szCs w:val="18"/>
              </w:rPr>
              <w:t>给水排水设计规范</w:t>
            </w:r>
            <w:r>
              <w:rPr>
                <w:rFonts w:hint="eastAsia"/>
                <w:bCs/>
                <w:sz w:val="18"/>
                <w:szCs w:val="18"/>
              </w:rPr>
              <w:t>（</w:t>
            </w:r>
            <w:r>
              <w:rPr>
                <w:rFonts w:hint="eastAsia"/>
                <w:bCs/>
                <w:sz w:val="18"/>
                <w:szCs w:val="18"/>
              </w:rPr>
              <w:t>GB50810-2012</w:t>
            </w:r>
            <w:r>
              <w:rPr>
                <w:rFonts w:hint="eastAsia"/>
                <w:bCs/>
                <w:sz w:val="18"/>
                <w:szCs w:val="18"/>
              </w:rPr>
              <w:t>）</w:t>
            </w:r>
            <w:r>
              <w:rPr>
                <w:bCs/>
                <w:sz w:val="18"/>
                <w:szCs w:val="18"/>
              </w:rPr>
              <w:t>》</w:t>
            </w:r>
            <w:r>
              <w:rPr>
                <w:rFonts w:hint="eastAsia"/>
                <w:bCs/>
                <w:sz w:val="18"/>
                <w:szCs w:val="18"/>
              </w:rPr>
              <w:t>:</w:t>
            </w:r>
            <w:r>
              <w:rPr>
                <w:bCs/>
                <w:sz w:val="18"/>
                <w:szCs w:val="18"/>
              </w:rPr>
              <w:t>洒水除尘</w:t>
            </w:r>
          </w:p>
        </w:tc>
        <w:tc>
          <w:tcPr>
            <w:tcW w:w="4956" w:type="dxa"/>
            <w:gridSpan w:val="9"/>
            <w:vAlign w:val="center"/>
          </w:tcPr>
          <w:p w:rsidR="00C223F5" w:rsidRDefault="005860D5">
            <w:pPr>
              <w:rPr>
                <w:bCs/>
                <w:sz w:val="18"/>
                <w:szCs w:val="18"/>
              </w:rPr>
            </w:pPr>
            <w:r>
              <w:rPr>
                <w:bCs/>
                <w:sz w:val="18"/>
                <w:szCs w:val="18"/>
              </w:rPr>
              <w:t>pH=6.5~8.5</w:t>
            </w:r>
            <w:r>
              <w:rPr>
                <w:bCs/>
                <w:sz w:val="18"/>
                <w:szCs w:val="18"/>
              </w:rPr>
              <w:t>；</w:t>
            </w:r>
            <w:r>
              <w:rPr>
                <w:rFonts w:hint="eastAsia"/>
                <w:bCs/>
                <w:sz w:val="18"/>
                <w:szCs w:val="18"/>
              </w:rPr>
              <w:t>S</w:t>
            </w:r>
            <w:r>
              <w:rPr>
                <w:bCs/>
                <w:sz w:val="18"/>
                <w:szCs w:val="18"/>
              </w:rPr>
              <w:t>S≤30mg/L</w:t>
            </w:r>
            <w:r>
              <w:rPr>
                <w:bCs/>
                <w:sz w:val="18"/>
                <w:szCs w:val="18"/>
              </w:rPr>
              <w:t>；颗粒粒度</w:t>
            </w:r>
            <w:r>
              <w:rPr>
                <w:bCs/>
                <w:sz w:val="18"/>
                <w:szCs w:val="18"/>
              </w:rPr>
              <w:t>≤0.3mm</w:t>
            </w:r>
            <w:r>
              <w:rPr>
                <w:bCs/>
                <w:sz w:val="18"/>
                <w:szCs w:val="18"/>
              </w:rPr>
              <w:t>；大肠菌群不得检出</w:t>
            </w:r>
          </w:p>
        </w:tc>
      </w:tr>
      <w:tr w:rsidR="00C223F5">
        <w:trPr>
          <w:cantSplit/>
          <w:trHeight w:val="70"/>
          <w:jc w:val="center"/>
        </w:trPr>
        <w:tc>
          <w:tcPr>
            <w:tcW w:w="805" w:type="dxa"/>
            <w:vMerge/>
            <w:vAlign w:val="center"/>
          </w:tcPr>
          <w:p w:rsidR="00C223F5" w:rsidRDefault="00C223F5">
            <w:pPr>
              <w:jc w:val="center"/>
              <w:rPr>
                <w:bCs/>
                <w:sz w:val="18"/>
                <w:szCs w:val="18"/>
              </w:rPr>
            </w:pPr>
          </w:p>
        </w:tc>
        <w:tc>
          <w:tcPr>
            <w:tcW w:w="3467" w:type="dxa"/>
            <w:vAlign w:val="center"/>
          </w:tcPr>
          <w:p w:rsidR="00C223F5" w:rsidRDefault="005860D5">
            <w:pPr>
              <w:pStyle w:val="affffff7"/>
              <w:rPr>
                <w:color w:val="auto"/>
                <w:sz w:val="18"/>
                <w:szCs w:val="18"/>
              </w:rPr>
            </w:pPr>
            <w:r>
              <w:rPr>
                <w:color w:val="auto"/>
                <w:sz w:val="18"/>
                <w:szCs w:val="18"/>
              </w:rPr>
              <w:t>《城市污水再生利用</w:t>
            </w:r>
            <w:r>
              <w:rPr>
                <w:color w:val="auto"/>
                <w:sz w:val="18"/>
                <w:szCs w:val="18"/>
              </w:rPr>
              <w:t xml:space="preserve"> </w:t>
            </w:r>
            <w:r>
              <w:rPr>
                <w:color w:val="auto"/>
                <w:sz w:val="18"/>
                <w:szCs w:val="18"/>
              </w:rPr>
              <w:t>城市杂用水水质》</w:t>
            </w:r>
          </w:p>
        </w:tc>
        <w:tc>
          <w:tcPr>
            <w:tcW w:w="991" w:type="dxa"/>
            <w:gridSpan w:val="2"/>
            <w:vAlign w:val="center"/>
          </w:tcPr>
          <w:p w:rsidR="00C223F5" w:rsidRDefault="005860D5">
            <w:pPr>
              <w:jc w:val="center"/>
              <w:rPr>
                <w:sz w:val="18"/>
                <w:szCs w:val="18"/>
              </w:rPr>
            </w:pPr>
            <w:r>
              <w:rPr>
                <w:rFonts w:hint="eastAsia"/>
                <w:sz w:val="18"/>
                <w:szCs w:val="18"/>
              </w:rPr>
              <w:t>/</w:t>
            </w:r>
          </w:p>
        </w:tc>
        <w:tc>
          <w:tcPr>
            <w:tcW w:w="991" w:type="dxa"/>
            <w:gridSpan w:val="2"/>
            <w:vAlign w:val="center"/>
          </w:tcPr>
          <w:p w:rsidR="00C223F5" w:rsidRDefault="005860D5">
            <w:pPr>
              <w:jc w:val="center"/>
              <w:rPr>
                <w:sz w:val="18"/>
                <w:szCs w:val="18"/>
              </w:rPr>
            </w:pPr>
            <w:r>
              <w:rPr>
                <w:rFonts w:hint="eastAsia"/>
                <w:sz w:val="18"/>
                <w:szCs w:val="18"/>
              </w:rPr>
              <w:t>/</w:t>
            </w:r>
          </w:p>
        </w:tc>
        <w:tc>
          <w:tcPr>
            <w:tcW w:w="991" w:type="dxa"/>
            <w:gridSpan w:val="2"/>
            <w:vAlign w:val="center"/>
          </w:tcPr>
          <w:p w:rsidR="00C223F5" w:rsidRDefault="005860D5">
            <w:pPr>
              <w:jc w:val="center"/>
              <w:rPr>
                <w:sz w:val="18"/>
                <w:szCs w:val="18"/>
              </w:rPr>
            </w:pPr>
            <w:r>
              <w:rPr>
                <w:rFonts w:hint="eastAsia"/>
                <w:sz w:val="18"/>
                <w:szCs w:val="18"/>
              </w:rPr>
              <w:t>≤</w:t>
            </w:r>
            <w:r>
              <w:rPr>
                <w:rFonts w:hint="eastAsia"/>
                <w:sz w:val="18"/>
                <w:szCs w:val="18"/>
              </w:rPr>
              <w:t>10-20</w:t>
            </w:r>
          </w:p>
        </w:tc>
        <w:tc>
          <w:tcPr>
            <w:tcW w:w="991" w:type="dxa"/>
            <w:gridSpan w:val="2"/>
            <w:vAlign w:val="center"/>
          </w:tcPr>
          <w:p w:rsidR="00C223F5" w:rsidRDefault="005860D5">
            <w:pPr>
              <w:jc w:val="center"/>
              <w:rPr>
                <w:sz w:val="18"/>
                <w:szCs w:val="18"/>
              </w:rPr>
            </w:pPr>
            <w:r>
              <w:rPr>
                <w:rFonts w:hint="eastAsia"/>
                <w:sz w:val="18"/>
                <w:szCs w:val="18"/>
              </w:rPr>
              <w:t>≤</w:t>
            </w:r>
            <w:r>
              <w:rPr>
                <w:rFonts w:hint="eastAsia"/>
                <w:sz w:val="18"/>
                <w:szCs w:val="18"/>
              </w:rPr>
              <w:t>10-20</w:t>
            </w:r>
          </w:p>
        </w:tc>
        <w:tc>
          <w:tcPr>
            <w:tcW w:w="992" w:type="dxa"/>
            <w:vAlign w:val="center"/>
          </w:tcPr>
          <w:p w:rsidR="00C223F5" w:rsidRDefault="005860D5">
            <w:pPr>
              <w:jc w:val="center"/>
              <w:rPr>
                <w:sz w:val="18"/>
                <w:szCs w:val="18"/>
              </w:rPr>
            </w:pPr>
            <w:r>
              <w:rPr>
                <w:rFonts w:hint="eastAsia"/>
                <w:sz w:val="18"/>
                <w:szCs w:val="18"/>
              </w:rPr>
              <w:t>/</w:t>
            </w:r>
          </w:p>
        </w:tc>
      </w:tr>
      <w:tr w:rsidR="00C223F5">
        <w:trPr>
          <w:cantSplit/>
          <w:trHeight w:val="70"/>
          <w:jc w:val="center"/>
        </w:trPr>
        <w:tc>
          <w:tcPr>
            <w:tcW w:w="805" w:type="dxa"/>
            <w:vMerge/>
            <w:vAlign w:val="center"/>
          </w:tcPr>
          <w:p w:rsidR="00C223F5" w:rsidRDefault="00C223F5">
            <w:pPr>
              <w:jc w:val="center"/>
              <w:rPr>
                <w:bCs/>
                <w:color w:val="FF0000"/>
                <w:sz w:val="18"/>
                <w:szCs w:val="18"/>
              </w:rPr>
            </w:pPr>
          </w:p>
        </w:tc>
        <w:tc>
          <w:tcPr>
            <w:tcW w:w="3467" w:type="dxa"/>
            <w:vAlign w:val="center"/>
          </w:tcPr>
          <w:p w:rsidR="00C223F5" w:rsidRDefault="005860D5">
            <w:pPr>
              <w:pStyle w:val="affffff7"/>
              <w:rPr>
                <w:sz w:val="18"/>
                <w:szCs w:val="18"/>
              </w:rPr>
            </w:pPr>
            <w:r>
              <w:rPr>
                <w:sz w:val="18"/>
                <w:szCs w:val="18"/>
              </w:rPr>
              <w:t>《城市污水再生利用景观环境用水水质》</w:t>
            </w:r>
          </w:p>
        </w:tc>
        <w:tc>
          <w:tcPr>
            <w:tcW w:w="991" w:type="dxa"/>
            <w:gridSpan w:val="2"/>
            <w:vAlign w:val="center"/>
          </w:tcPr>
          <w:p w:rsidR="00C223F5" w:rsidRDefault="005860D5">
            <w:pPr>
              <w:jc w:val="center"/>
              <w:rPr>
                <w:sz w:val="18"/>
                <w:szCs w:val="18"/>
              </w:rPr>
            </w:pPr>
            <w:r>
              <w:rPr>
                <w:rFonts w:hint="eastAsia"/>
                <w:sz w:val="18"/>
                <w:szCs w:val="18"/>
              </w:rPr>
              <w:t>/</w:t>
            </w:r>
          </w:p>
        </w:tc>
        <w:tc>
          <w:tcPr>
            <w:tcW w:w="991" w:type="dxa"/>
            <w:gridSpan w:val="2"/>
            <w:vAlign w:val="center"/>
          </w:tcPr>
          <w:p w:rsidR="00C223F5" w:rsidRDefault="005860D5">
            <w:pPr>
              <w:jc w:val="center"/>
              <w:rPr>
                <w:sz w:val="18"/>
                <w:szCs w:val="18"/>
              </w:rPr>
            </w:pPr>
            <w:r>
              <w:rPr>
                <w:rFonts w:hint="eastAsia"/>
                <w:sz w:val="18"/>
                <w:szCs w:val="18"/>
              </w:rPr>
              <w:t>/</w:t>
            </w:r>
          </w:p>
        </w:tc>
        <w:tc>
          <w:tcPr>
            <w:tcW w:w="991" w:type="dxa"/>
            <w:gridSpan w:val="2"/>
            <w:vAlign w:val="center"/>
          </w:tcPr>
          <w:p w:rsidR="00C223F5" w:rsidRDefault="005860D5">
            <w:pPr>
              <w:jc w:val="center"/>
              <w:rPr>
                <w:sz w:val="18"/>
                <w:szCs w:val="18"/>
              </w:rPr>
            </w:pPr>
            <w:r>
              <w:rPr>
                <w:rFonts w:hint="eastAsia"/>
                <w:sz w:val="18"/>
                <w:szCs w:val="18"/>
              </w:rPr>
              <w:t>≤</w:t>
            </w:r>
            <w:r>
              <w:rPr>
                <w:rFonts w:hint="eastAsia"/>
                <w:sz w:val="18"/>
                <w:szCs w:val="18"/>
              </w:rPr>
              <w:t>6</w:t>
            </w:r>
          </w:p>
        </w:tc>
        <w:tc>
          <w:tcPr>
            <w:tcW w:w="991" w:type="dxa"/>
            <w:gridSpan w:val="2"/>
            <w:vAlign w:val="center"/>
          </w:tcPr>
          <w:p w:rsidR="00C223F5" w:rsidRDefault="005860D5">
            <w:pPr>
              <w:jc w:val="center"/>
              <w:rPr>
                <w:sz w:val="18"/>
                <w:szCs w:val="18"/>
              </w:rPr>
            </w:pPr>
            <w:r>
              <w:rPr>
                <w:rFonts w:hint="eastAsia"/>
                <w:sz w:val="18"/>
                <w:szCs w:val="18"/>
              </w:rPr>
              <w:t>≤</w:t>
            </w:r>
            <w:r>
              <w:rPr>
                <w:rFonts w:hint="eastAsia"/>
                <w:sz w:val="18"/>
                <w:szCs w:val="18"/>
              </w:rPr>
              <w:t>5</w:t>
            </w:r>
          </w:p>
        </w:tc>
        <w:tc>
          <w:tcPr>
            <w:tcW w:w="992" w:type="dxa"/>
            <w:vAlign w:val="center"/>
          </w:tcPr>
          <w:p w:rsidR="00C223F5" w:rsidRDefault="005860D5">
            <w:pPr>
              <w:jc w:val="center"/>
              <w:rPr>
                <w:sz w:val="18"/>
                <w:szCs w:val="18"/>
              </w:rPr>
            </w:pPr>
            <w:r>
              <w:rPr>
                <w:rFonts w:hint="eastAsia"/>
                <w:sz w:val="18"/>
                <w:szCs w:val="18"/>
              </w:rPr>
              <w:t>≤</w:t>
            </w:r>
            <w:r>
              <w:rPr>
                <w:rFonts w:hint="eastAsia"/>
                <w:sz w:val="18"/>
                <w:szCs w:val="18"/>
              </w:rPr>
              <w:t>1.0</w:t>
            </w:r>
          </w:p>
        </w:tc>
      </w:tr>
      <w:tr w:rsidR="00C223F5">
        <w:trPr>
          <w:cantSplit/>
          <w:trHeight w:val="70"/>
          <w:jc w:val="center"/>
        </w:trPr>
        <w:tc>
          <w:tcPr>
            <w:tcW w:w="805" w:type="dxa"/>
            <w:vMerge/>
            <w:vAlign w:val="center"/>
          </w:tcPr>
          <w:p w:rsidR="00C223F5" w:rsidRDefault="00C223F5">
            <w:pPr>
              <w:jc w:val="center"/>
              <w:rPr>
                <w:bCs/>
                <w:color w:val="FF0000"/>
                <w:sz w:val="18"/>
                <w:szCs w:val="18"/>
              </w:rPr>
            </w:pPr>
          </w:p>
        </w:tc>
        <w:tc>
          <w:tcPr>
            <w:tcW w:w="3467" w:type="dxa"/>
            <w:vAlign w:val="center"/>
          </w:tcPr>
          <w:p w:rsidR="00C223F5" w:rsidRDefault="005860D5">
            <w:pPr>
              <w:pStyle w:val="affffff7"/>
              <w:rPr>
                <w:color w:val="auto"/>
                <w:sz w:val="18"/>
                <w:szCs w:val="18"/>
              </w:rPr>
            </w:pPr>
            <w:r>
              <w:rPr>
                <w:rFonts w:eastAsiaTheme="minorEastAsia" w:hAnsiTheme="minorEastAsia"/>
                <w:color w:val="auto"/>
                <w:sz w:val="18"/>
                <w:szCs w:val="18"/>
              </w:rPr>
              <w:t>选煤厂用水水质</w:t>
            </w:r>
          </w:p>
        </w:tc>
        <w:tc>
          <w:tcPr>
            <w:tcW w:w="991" w:type="dxa"/>
            <w:gridSpan w:val="2"/>
            <w:vAlign w:val="center"/>
          </w:tcPr>
          <w:p w:rsidR="00C223F5" w:rsidRDefault="005860D5">
            <w:pPr>
              <w:jc w:val="center"/>
              <w:rPr>
                <w:sz w:val="18"/>
                <w:szCs w:val="18"/>
              </w:rPr>
            </w:pPr>
            <w:r>
              <w:rPr>
                <w:rFonts w:eastAsiaTheme="minorEastAsia"/>
                <w:sz w:val="18"/>
                <w:szCs w:val="18"/>
              </w:rPr>
              <w:t>≤400</w:t>
            </w:r>
          </w:p>
        </w:tc>
        <w:tc>
          <w:tcPr>
            <w:tcW w:w="3965" w:type="dxa"/>
            <w:gridSpan w:val="7"/>
            <w:vAlign w:val="center"/>
          </w:tcPr>
          <w:p w:rsidR="00C223F5" w:rsidRDefault="005860D5">
            <w:pPr>
              <w:jc w:val="center"/>
              <w:rPr>
                <w:sz w:val="18"/>
                <w:szCs w:val="18"/>
              </w:rPr>
            </w:pPr>
            <w:r>
              <w:rPr>
                <w:rFonts w:eastAsiaTheme="minorEastAsia" w:hAnsiTheme="minorEastAsia"/>
                <w:sz w:val="18"/>
                <w:szCs w:val="18"/>
              </w:rPr>
              <w:t>颗粒物</w:t>
            </w:r>
            <w:r>
              <w:rPr>
                <w:rFonts w:eastAsiaTheme="minorEastAsia"/>
                <w:sz w:val="18"/>
                <w:szCs w:val="18"/>
              </w:rPr>
              <w:t>≤0.3</w:t>
            </w:r>
            <w:r>
              <w:rPr>
                <w:rFonts w:eastAsiaTheme="minorEastAsia" w:hAnsiTheme="minorEastAsia"/>
                <w:sz w:val="18"/>
                <w:szCs w:val="18"/>
              </w:rPr>
              <w:t>（除尘水）、</w:t>
            </w:r>
            <w:r>
              <w:rPr>
                <w:rFonts w:eastAsiaTheme="minorEastAsia"/>
                <w:sz w:val="18"/>
                <w:szCs w:val="18"/>
              </w:rPr>
              <w:t>0.7</w:t>
            </w:r>
            <w:r>
              <w:rPr>
                <w:rFonts w:eastAsiaTheme="minorEastAsia" w:hAnsiTheme="minorEastAsia"/>
                <w:sz w:val="18"/>
                <w:szCs w:val="18"/>
              </w:rPr>
              <w:t>（其它）</w:t>
            </w:r>
            <w:r>
              <w:rPr>
                <w:rFonts w:eastAsiaTheme="minorEastAsia"/>
                <w:sz w:val="18"/>
                <w:szCs w:val="18"/>
              </w:rPr>
              <w:t>mm</w:t>
            </w:r>
          </w:p>
        </w:tc>
      </w:tr>
    </w:tbl>
    <w:p w:rsidR="00C223F5" w:rsidRDefault="005860D5">
      <w:pPr>
        <w:spacing w:line="360" w:lineRule="auto"/>
        <w:ind w:firstLineChars="200" w:firstLine="480"/>
        <w:rPr>
          <w:sz w:val="24"/>
        </w:rPr>
      </w:pPr>
      <w:r>
        <w:rPr>
          <w:sz w:val="24"/>
        </w:rPr>
        <w:lastRenderedPageBreak/>
        <w:t>由表</w:t>
      </w:r>
      <w:r>
        <w:rPr>
          <w:sz w:val="24"/>
        </w:rPr>
        <w:t>5.3.2-1</w:t>
      </w:r>
      <w:r>
        <w:rPr>
          <w:sz w:val="24"/>
        </w:rPr>
        <w:t>可见，采用混凝、沉淀、过滤、消毒等工艺处理后，其出水水质可以满足</w:t>
      </w:r>
      <w:r>
        <w:rPr>
          <w:sz w:val="24"/>
        </w:rPr>
        <w:t>GB20426-2006</w:t>
      </w:r>
      <w:r>
        <w:rPr>
          <w:sz w:val="24"/>
        </w:rPr>
        <w:t>《煤炭工业污染物排放标准》及</w:t>
      </w:r>
      <w:r>
        <w:rPr>
          <w:sz w:val="24"/>
        </w:rPr>
        <w:t>DB61/224-201</w:t>
      </w:r>
      <w:r>
        <w:rPr>
          <w:rFonts w:hint="eastAsia"/>
          <w:sz w:val="24"/>
        </w:rPr>
        <w:t>8</w:t>
      </w:r>
      <w:r>
        <w:rPr>
          <w:sz w:val="24"/>
        </w:rPr>
        <w:t>《</w:t>
      </w:r>
      <w:r>
        <w:rPr>
          <w:rFonts w:hint="eastAsia"/>
          <w:sz w:val="24"/>
        </w:rPr>
        <w:t>陕西省</w:t>
      </w:r>
      <w:r>
        <w:rPr>
          <w:bCs/>
          <w:sz w:val="24"/>
        </w:rPr>
        <w:t>黄河流域污水综合排放标准》</w:t>
      </w:r>
      <w:r>
        <w:rPr>
          <w:sz w:val="24"/>
        </w:rPr>
        <w:t>要求。还能够满足城市污水再生利用城市杂用水水质（</w:t>
      </w:r>
      <w:r>
        <w:rPr>
          <w:sz w:val="24"/>
        </w:rPr>
        <w:t>GB/T18920-2002</w:t>
      </w:r>
      <w:r>
        <w:rPr>
          <w:sz w:val="24"/>
        </w:rPr>
        <w:t>）及城市污水再生利用景观环境用水水质（</w:t>
      </w:r>
      <w:r>
        <w:rPr>
          <w:sz w:val="24"/>
        </w:rPr>
        <w:t>GB/T18921-2002</w:t>
      </w:r>
      <w:r>
        <w:rPr>
          <w:sz w:val="24"/>
        </w:rPr>
        <w:t>）要求。可见，矿井水经处理后可满足工业场地一般生产及冲洗、绿化、消防等生产用水。因此，</w:t>
      </w:r>
      <w:r>
        <w:rPr>
          <w:rFonts w:hint="eastAsia"/>
          <w:sz w:val="24"/>
        </w:rPr>
        <w:t>天云</w:t>
      </w:r>
      <w:r>
        <w:rPr>
          <w:sz w:val="24"/>
        </w:rPr>
        <w:t>煤矿采用</w:t>
      </w:r>
      <w:r>
        <w:rPr>
          <w:sz w:val="24"/>
        </w:rPr>
        <w:t>“</w:t>
      </w:r>
      <w:r>
        <w:rPr>
          <w:sz w:val="24"/>
        </w:rPr>
        <w:t>混凝、沉淀、</w:t>
      </w:r>
      <w:r>
        <w:rPr>
          <w:rFonts w:hint="eastAsia"/>
          <w:sz w:val="24"/>
        </w:rPr>
        <w:t>气浮</w:t>
      </w:r>
      <w:r>
        <w:rPr>
          <w:sz w:val="24"/>
        </w:rPr>
        <w:t>过滤、消毒</w:t>
      </w:r>
      <w:r>
        <w:rPr>
          <w:sz w:val="24"/>
        </w:rPr>
        <w:t>”</w:t>
      </w:r>
      <w:r>
        <w:rPr>
          <w:sz w:val="24"/>
        </w:rPr>
        <w:t>工艺处理矿井水是可行的。</w:t>
      </w:r>
      <w:r>
        <w:rPr>
          <w:rFonts w:hint="eastAsia"/>
          <w:sz w:val="24"/>
        </w:rPr>
        <w:t>另外天云煤矿正常</w:t>
      </w:r>
      <w:r>
        <w:rPr>
          <w:rFonts w:hAnsi="宋体"/>
          <w:sz w:val="24"/>
        </w:rPr>
        <w:t>涌水量</w:t>
      </w:r>
      <w:r>
        <w:rPr>
          <w:rFonts w:hAnsi="宋体" w:hint="eastAsia"/>
          <w:sz w:val="24"/>
        </w:rPr>
        <w:t>8</w:t>
      </w:r>
      <w:r>
        <w:rPr>
          <w:sz w:val="24"/>
        </w:rPr>
        <w:t>0m</w:t>
      </w:r>
      <w:r>
        <w:rPr>
          <w:sz w:val="24"/>
          <w:vertAlign w:val="superscript"/>
        </w:rPr>
        <w:t>3</w:t>
      </w:r>
      <w:r>
        <w:rPr>
          <w:sz w:val="24"/>
        </w:rPr>
        <w:t>/h</w:t>
      </w:r>
      <w:r>
        <w:rPr>
          <w:rFonts w:hAnsi="宋体"/>
          <w:sz w:val="24"/>
        </w:rPr>
        <w:t>，最大涌水量</w:t>
      </w:r>
      <w:r>
        <w:rPr>
          <w:rFonts w:hAnsi="宋体" w:hint="eastAsia"/>
          <w:sz w:val="24"/>
        </w:rPr>
        <w:t>10</w:t>
      </w:r>
      <w:r>
        <w:rPr>
          <w:sz w:val="24"/>
        </w:rPr>
        <w:t>0m</w:t>
      </w:r>
      <w:r>
        <w:rPr>
          <w:sz w:val="24"/>
          <w:vertAlign w:val="superscript"/>
        </w:rPr>
        <w:t>3</w:t>
      </w:r>
      <w:r>
        <w:rPr>
          <w:sz w:val="24"/>
        </w:rPr>
        <w:t>/h</w:t>
      </w:r>
      <w:r>
        <w:rPr>
          <w:rFonts w:hint="eastAsia"/>
          <w:sz w:val="24"/>
        </w:rPr>
        <w:t>，包括黄泥灌浆析出水，矿井水处理站的规模为</w:t>
      </w:r>
      <w:r>
        <w:rPr>
          <w:rFonts w:hint="eastAsia"/>
          <w:sz w:val="24"/>
        </w:rPr>
        <w:t>2400m</w:t>
      </w:r>
      <w:r>
        <w:rPr>
          <w:rFonts w:hint="eastAsia"/>
          <w:sz w:val="24"/>
          <w:vertAlign w:val="superscript"/>
        </w:rPr>
        <w:t>3</w:t>
      </w:r>
      <w:r>
        <w:rPr>
          <w:rFonts w:hint="eastAsia"/>
          <w:sz w:val="24"/>
        </w:rPr>
        <w:t>/d</w:t>
      </w:r>
      <w:r>
        <w:rPr>
          <w:rFonts w:hint="eastAsia"/>
          <w:sz w:val="24"/>
        </w:rPr>
        <w:t>，规模可满足生产要求。</w:t>
      </w:r>
    </w:p>
    <w:p w:rsidR="00C223F5" w:rsidRDefault="005860D5">
      <w:pPr>
        <w:spacing w:line="360" w:lineRule="auto"/>
        <w:ind w:firstLineChars="200" w:firstLine="480"/>
        <w:rPr>
          <w:sz w:val="24"/>
        </w:rPr>
      </w:pPr>
      <w:r>
        <w:rPr>
          <w:rFonts w:hint="eastAsia"/>
          <w:sz w:val="24"/>
        </w:rPr>
        <w:t>矿井水处理工艺在国内很多矿井投入运行，并通过验收，处理后的矿井水质均能满足回用水要求，可长期稳定运行。</w:t>
      </w:r>
    </w:p>
    <w:p w:rsidR="00C223F5" w:rsidRDefault="005860D5" w:rsidP="004835BD">
      <w:pPr>
        <w:pStyle w:val="4"/>
        <w:spacing w:before="0" w:after="0" w:line="360" w:lineRule="auto"/>
        <w:ind w:firstLineChars="100" w:firstLine="240"/>
        <w:rPr>
          <w:szCs w:val="24"/>
        </w:rPr>
      </w:pPr>
      <w:r>
        <w:rPr>
          <w:rFonts w:hint="eastAsia"/>
          <w:szCs w:val="24"/>
        </w:rPr>
        <w:t>5.3.2.2</w:t>
      </w:r>
      <w:r>
        <w:rPr>
          <w:szCs w:val="24"/>
        </w:rPr>
        <w:t>地面生产、生活污水处理措施可行性分析</w:t>
      </w:r>
    </w:p>
    <w:p w:rsidR="00C223F5" w:rsidRDefault="005860D5">
      <w:pPr>
        <w:spacing w:line="360" w:lineRule="auto"/>
        <w:ind w:firstLineChars="200" w:firstLine="480"/>
        <w:rPr>
          <w:sz w:val="24"/>
        </w:rPr>
      </w:pPr>
      <w:r>
        <w:rPr>
          <w:rFonts w:hint="eastAsia"/>
          <w:sz w:val="24"/>
        </w:rPr>
        <w:t>天云煤矿</w:t>
      </w:r>
      <w:r>
        <w:rPr>
          <w:sz w:val="24"/>
        </w:rPr>
        <w:t>地面生产、生活污水主要来源于办公楼冲洗水、单身楼排水、食堂排水、浴室排水、洗衣房排水等，水质以有机物为主，具有生活污水的特征</w:t>
      </w:r>
      <w:r>
        <w:rPr>
          <w:rFonts w:hint="eastAsia"/>
          <w:sz w:val="24"/>
        </w:rPr>
        <w:t>。设计提出采用二级生化处理工艺处理，采用</w:t>
      </w:r>
      <w:r>
        <w:rPr>
          <w:rFonts w:hint="eastAsia"/>
          <w:sz w:val="24"/>
        </w:rPr>
        <w:t>A</w:t>
      </w:r>
      <w:r>
        <w:rPr>
          <w:rFonts w:hint="eastAsia"/>
          <w:sz w:val="24"/>
          <w:vertAlign w:val="superscript"/>
        </w:rPr>
        <w:t>2</w:t>
      </w:r>
      <w:r>
        <w:rPr>
          <w:rFonts w:hint="eastAsia"/>
          <w:sz w:val="24"/>
        </w:rPr>
        <w:t>/O+</w:t>
      </w:r>
      <w:r>
        <w:rPr>
          <w:rFonts w:hint="eastAsia"/>
          <w:sz w:val="24"/>
        </w:rPr>
        <w:t>深度</w:t>
      </w:r>
      <w:r>
        <w:rPr>
          <w:sz w:val="24"/>
        </w:rPr>
        <w:t>处理（工艺流程见图</w:t>
      </w:r>
      <w:r>
        <w:rPr>
          <w:rFonts w:hAnsi="宋体" w:hint="eastAsia"/>
          <w:sz w:val="24"/>
        </w:rPr>
        <w:t>2.2.9-1</w:t>
      </w:r>
      <w:r>
        <w:rPr>
          <w:rFonts w:hint="eastAsia"/>
          <w:sz w:val="24"/>
        </w:rPr>
        <w:t>，处理后水质见表</w:t>
      </w:r>
      <w:r>
        <w:rPr>
          <w:rFonts w:hint="eastAsia"/>
          <w:sz w:val="24"/>
        </w:rPr>
        <w:t>5.3.2-1</w:t>
      </w:r>
      <w:r>
        <w:rPr>
          <w:sz w:val="24"/>
        </w:rPr>
        <w:t>），该工艺集生化、沉淀、消毒等工艺为一体。</w:t>
      </w:r>
      <w:r>
        <w:rPr>
          <w:rFonts w:hint="eastAsia"/>
          <w:sz w:val="24"/>
        </w:rPr>
        <w:t>具有</w:t>
      </w:r>
      <w:r>
        <w:rPr>
          <w:sz w:val="24"/>
        </w:rPr>
        <w:t>连续生产，</w:t>
      </w:r>
      <w:r>
        <w:rPr>
          <w:rFonts w:hint="eastAsia"/>
          <w:sz w:val="24"/>
        </w:rPr>
        <w:t>体积小、</w:t>
      </w:r>
      <w:r>
        <w:rPr>
          <w:sz w:val="24"/>
        </w:rPr>
        <w:t>性能稳定，易操作，易维护，易清洁等优点</w:t>
      </w:r>
      <w:r>
        <w:rPr>
          <w:rFonts w:hint="eastAsia"/>
          <w:sz w:val="24"/>
        </w:rPr>
        <w:t>。</w:t>
      </w:r>
    </w:p>
    <w:p w:rsidR="00C223F5" w:rsidRPr="00C95943" w:rsidRDefault="005860D5">
      <w:pPr>
        <w:spacing w:line="360" w:lineRule="auto"/>
        <w:ind w:firstLineChars="200" w:firstLine="480"/>
        <w:rPr>
          <w:sz w:val="24"/>
        </w:rPr>
      </w:pPr>
      <w:r>
        <w:rPr>
          <w:rFonts w:hint="eastAsia"/>
          <w:sz w:val="24"/>
        </w:rPr>
        <w:t>天云煤矿工业场地生活污水最大产生量为</w:t>
      </w:r>
      <w:r>
        <w:rPr>
          <w:rFonts w:hint="eastAsia"/>
          <w:sz w:val="24"/>
        </w:rPr>
        <w:t>350.8</w:t>
      </w:r>
      <w:r w:rsidRPr="00C95943">
        <w:rPr>
          <w:sz w:val="24"/>
        </w:rPr>
        <w:t>m</w:t>
      </w:r>
      <w:r w:rsidRPr="00C95943">
        <w:rPr>
          <w:sz w:val="24"/>
          <w:vertAlign w:val="superscript"/>
        </w:rPr>
        <w:t>3</w:t>
      </w:r>
      <w:r w:rsidRPr="00C95943">
        <w:rPr>
          <w:sz w:val="24"/>
        </w:rPr>
        <w:t>/d</w:t>
      </w:r>
      <w:r w:rsidRPr="00C95943">
        <w:rPr>
          <w:rFonts w:hint="eastAsia"/>
          <w:sz w:val="24"/>
        </w:rPr>
        <w:t>，</w:t>
      </w:r>
      <w:r w:rsidR="00C95943" w:rsidRPr="00C95943">
        <w:rPr>
          <w:rFonts w:hint="eastAsia"/>
          <w:color w:val="FF0000"/>
          <w:sz w:val="24"/>
        </w:rPr>
        <w:t>设计考虑留设</w:t>
      </w:r>
      <w:r w:rsidR="00C95943" w:rsidRPr="00C95943">
        <w:rPr>
          <w:rFonts w:hint="eastAsia"/>
          <w:color w:val="FF0000"/>
          <w:sz w:val="24"/>
        </w:rPr>
        <w:t>1.2~1.5</w:t>
      </w:r>
      <w:r w:rsidR="00C95943" w:rsidRPr="00C95943">
        <w:rPr>
          <w:rFonts w:hint="eastAsia"/>
          <w:color w:val="FF0000"/>
          <w:sz w:val="24"/>
        </w:rPr>
        <w:t>富余系数，</w:t>
      </w:r>
      <w:r w:rsidRPr="00C95943">
        <w:rPr>
          <w:sz w:val="24"/>
        </w:rPr>
        <w:t>工业场地建一座处理能力</w:t>
      </w:r>
      <w:r w:rsidRPr="00C95943">
        <w:rPr>
          <w:rFonts w:hint="eastAsia"/>
          <w:sz w:val="24"/>
        </w:rPr>
        <w:t>48</w:t>
      </w:r>
      <w:r w:rsidRPr="00C95943">
        <w:rPr>
          <w:sz w:val="24"/>
        </w:rPr>
        <w:t>0m</w:t>
      </w:r>
      <w:r w:rsidRPr="00C95943">
        <w:rPr>
          <w:sz w:val="24"/>
          <w:vertAlign w:val="superscript"/>
        </w:rPr>
        <w:t>3</w:t>
      </w:r>
      <w:r w:rsidRPr="00C95943">
        <w:rPr>
          <w:sz w:val="24"/>
        </w:rPr>
        <w:t>/d</w:t>
      </w:r>
      <w:r w:rsidRPr="00C95943">
        <w:rPr>
          <w:sz w:val="24"/>
        </w:rPr>
        <w:t>的生活污水处理站，</w:t>
      </w:r>
      <w:r w:rsidRPr="00C95943">
        <w:rPr>
          <w:rFonts w:hint="eastAsia"/>
          <w:sz w:val="24"/>
        </w:rPr>
        <w:t>规模可满足要求。生活污水经污水管网汇集后送生活污水处理站，</w:t>
      </w:r>
      <w:r w:rsidRPr="00C95943">
        <w:rPr>
          <w:rFonts w:hAnsi="宋体" w:hint="eastAsia"/>
          <w:sz w:val="24"/>
        </w:rPr>
        <w:t>处理后</w:t>
      </w:r>
      <w:r w:rsidRPr="00C95943">
        <w:rPr>
          <w:rFonts w:hint="eastAsia"/>
          <w:sz w:val="24"/>
        </w:rPr>
        <w:t>全部</w:t>
      </w:r>
      <w:r w:rsidRPr="00C95943">
        <w:rPr>
          <w:sz w:val="24"/>
        </w:rPr>
        <w:t>回用于选煤厂补充水、绿化洒水及地面降尘洒水等，不外排。</w:t>
      </w:r>
    </w:p>
    <w:p w:rsidR="00C223F5" w:rsidRPr="006F72D6" w:rsidRDefault="005860D5">
      <w:pPr>
        <w:spacing w:line="360" w:lineRule="auto"/>
        <w:ind w:firstLineChars="200" w:firstLine="480"/>
        <w:rPr>
          <w:color w:val="FF0000"/>
          <w:sz w:val="24"/>
        </w:rPr>
      </w:pPr>
      <w:r w:rsidRPr="00993B79">
        <w:rPr>
          <w:sz w:val="24"/>
        </w:rPr>
        <w:t>二级生化处理工艺在国内外技术成熟，且在煤矿生产、生活污水处理中有成功的经验。本矿地面生产、生活污水经处理后主要污染物</w:t>
      </w:r>
      <w:r w:rsidRPr="00993B79">
        <w:rPr>
          <w:sz w:val="24"/>
        </w:rPr>
        <w:t>SS</w:t>
      </w:r>
      <w:r w:rsidRPr="00993B79">
        <w:rPr>
          <w:sz w:val="24"/>
        </w:rPr>
        <w:t>、</w:t>
      </w:r>
      <w:r w:rsidRPr="00993B79">
        <w:rPr>
          <w:sz w:val="24"/>
        </w:rPr>
        <w:t>COD</w:t>
      </w:r>
      <w:r w:rsidRPr="00993B79">
        <w:rPr>
          <w:sz w:val="24"/>
        </w:rPr>
        <w:t>、</w:t>
      </w:r>
      <w:r w:rsidRPr="00993B79">
        <w:rPr>
          <w:sz w:val="24"/>
        </w:rPr>
        <w:t>BOD</w:t>
      </w:r>
      <w:r w:rsidRPr="00993B79">
        <w:rPr>
          <w:sz w:val="24"/>
        </w:rPr>
        <w:t>和氨氮浓度分别为</w:t>
      </w:r>
      <w:r w:rsidRPr="00993B79">
        <w:rPr>
          <w:rFonts w:hint="eastAsia"/>
          <w:sz w:val="24"/>
        </w:rPr>
        <w:t>30</w:t>
      </w:r>
      <w:r w:rsidRPr="00993B79">
        <w:rPr>
          <w:sz w:val="24"/>
        </w:rPr>
        <w:t>mg/L</w:t>
      </w:r>
      <w:r w:rsidRPr="00993B79">
        <w:rPr>
          <w:sz w:val="24"/>
        </w:rPr>
        <w:t>、</w:t>
      </w:r>
      <w:r w:rsidRPr="00993B79">
        <w:rPr>
          <w:rFonts w:hint="eastAsia"/>
          <w:sz w:val="24"/>
        </w:rPr>
        <w:t>29</w:t>
      </w:r>
      <w:r w:rsidRPr="00993B79">
        <w:rPr>
          <w:sz w:val="24"/>
        </w:rPr>
        <w:t>mg/L</w:t>
      </w:r>
      <w:r w:rsidRPr="00993B79">
        <w:rPr>
          <w:sz w:val="24"/>
        </w:rPr>
        <w:t>、</w:t>
      </w:r>
      <w:r w:rsidRPr="00993B79">
        <w:rPr>
          <w:rFonts w:hint="eastAsia"/>
          <w:sz w:val="24"/>
        </w:rPr>
        <w:t>14.5</w:t>
      </w:r>
      <w:r w:rsidRPr="00993B79">
        <w:rPr>
          <w:sz w:val="24"/>
        </w:rPr>
        <w:t>mg/L</w:t>
      </w:r>
      <w:r w:rsidRPr="00993B79">
        <w:rPr>
          <w:sz w:val="24"/>
        </w:rPr>
        <w:t>、</w:t>
      </w:r>
      <w:r w:rsidRPr="00993B79">
        <w:rPr>
          <w:sz w:val="24"/>
        </w:rPr>
        <w:t>0.</w:t>
      </w:r>
      <w:r w:rsidRPr="00993B79">
        <w:rPr>
          <w:rFonts w:hint="eastAsia"/>
          <w:sz w:val="24"/>
        </w:rPr>
        <w:t>032</w:t>
      </w:r>
      <w:r w:rsidRPr="00993B79">
        <w:rPr>
          <w:sz w:val="24"/>
        </w:rPr>
        <w:t>mg/L</w:t>
      </w:r>
      <w:r w:rsidRPr="00993B79">
        <w:rPr>
          <w:sz w:val="24"/>
        </w:rPr>
        <w:t>，水质符合《城市污水再生利用城市杂用水水质》和《矿井给排水设计规范》选煤厂补充水水质</w:t>
      </w:r>
      <w:r w:rsidRPr="00993B79">
        <w:rPr>
          <w:rFonts w:hint="eastAsia"/>
          <w:sz w:val="24"/>
        </w:rPr>
        <w:t>等</w:t>
      </w:r>
      <w:r w:rsidRPr="00993B79">
        <w:rPr>
          <w:sz w:val="24"/>
        </w:rPr>
        <w:t>要求</w:t>
      </w:r>
      <w:r w:rsidRPr="006F72D6">
        <w:rPr>
          <w:color w:val="FF0000"/>
          <w:sz w:val="24"/>
        </w:rPr>
        <w:t>。在雨天，不能用于绿化和道路洒水的生活污水可暂存于初期雨水收集池，在晴天可将其抽出用于绿化和道路洒水。</w:t>
      </w:r>
    </w:p>
    <w:p w:rsidR="00C223F5" w:rsidRDefault="005860D5">
      <w:pPr>
        <w:spacing w:line="360" w:lineRule="auto"/>
        <w:ind w:firstLineChars="200" w:firstLine="480"/>
        <w:rPr>
          <w:b/>
          <w:sz w:val="24"/>
        </w:rPr>
      </w:pPr>
      <w:r>
        <w:rPr>
          <w:sz w:val="24"/>
        </w:rPr>
        <w:t>综上所述，地面生产、生活废污水其处理深度和工艺合理，且采用二级生化处理方式，既节约资金，污染物去除率又高，故此方案经济、可行。</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487" w:name="_Toc533604350"/>
      <w:bookmarkStart w:id="488" w:name="_Toc533604770"/>
      <w:bookmarkStart w:id="489" w:name="_Toc493246128"/>
      <w:bookmarkStart w:id="490" w:name="_Toc16785316"/>
      <w:r>
        <w:rPr>
          <w:rFonts w:eastAsia="宋体" w:hint="eastAsia"/>
          <w:b/>
          <w:bCs w:val="0"/>
          <w:sz w:val="28"/>
          <w:szCs w:val="28"/>
        </w:rPr>
        <w:t>5.3</w:t>
      </w:r>
      <w:r>
        <w:rPr>
          <w:rFonts w:eastAsia="宋体"/>
          <w:b/>
          <w:bCs w:val="0"/>
          <w:sz w:val="28"/>
          <w:szCs w:val="28"/>
        </w:rPr>
        <w:t>.</w:t>
      </w:r>
      <w:r>
        <w:rPr>
          <w:rFonts w:eastAsia="宋体" w:hint="eastAsia"/>
          <w:b/>
          <w:bCs w:val="0"/>
          <w:sz w:val="28"/>
          <w:szCs w:val="28"/>
        </w:rPr>
        <w:t>3</w:t>
      </w:r>
      <w:r>
        <w:rPr>
          <w:rFonts w:eastAsia="宋体"/>
          <w:b/>
          <w:bCs w:val="0"/>
          <w:sz w:val="28"/>
          <w:szCs w:val="28"/>
        </w:rPr>
        <w:t xml:space="preserve"> </w:t>
      </w:r>
      <w:r>
        <w:rPr>
          <w:rFonts w:eastAsia="宋体"/>
          <w:b/>
          <w:bCs w:val="0"/>
          <w:sz w:val="28"/>
          <w:szCs w:val="28"/>
        </w:rPr>
        <w:t>初期雨水收集</w:t>
      </w:r>
      <w:bookmarkEnd w:id="487"/>
      <w:bookmarkEnd w:id="488"/>
      <w:bookmarkEnd w:id="489"/>
      <w:bookmarkEnd w:id="490"/>
    </w:p>
    <w:p w:rsidR="00C223F5" w:rsidRDefault="005860D5">
      <w:pPr>
        <w:spacing w:line="360" w:lineRule="auto"/>
        <w:ind w:firstLineChars="200" w:firstLine="480"/>
        <w:rPr>
          <w:sz w:val="24"/>
        </w:rPr>
      </w:pPr>
      <w:r>
        <w:rPr>
          <w:rFonts w:hint="eastAsia"/>
          <w:sz w:val="24"/>
        </w:rPr>
        <w:t>在降雨发生初期，场地内的煤尘及其它污染物会随雨水流入沟道内</w:t>
      </w:r>
      <w:r>
        <w:rPr>
          <w:sz w:val="24"/>
        </w:rPr>
        <w:t>，</w:t>
      </w:r>
      <w:r>
        <w:rPr>
          <w:rFonts w:hint="eastAsia"/>
          <w:sz w:val="24"/>
        </w:rPr>
        <w:t>从而会</w:t>
      </w:r>
      <w:r>
        <w:rPr>
          <w:rFonts w:hint="eastAsia"/>
          <w:sz w:val="24"/>
        </w:rPr>
        <w:lastRenderedPageBreak/>
        <w:t>对地表水产生影响</w:t>
      </w:r>
      <w:r>
        <w:rPr>
          <w:sz w:val="24"/>
        </w:rPr>
        <w:t>。</w:t>
      </w:r>
      <w:r>
        <w:rPr>
          <w:rFonts w:hint="eastAsia"/>
          <w:sz w:val="24"/>
        </w:rPr>
        <w:t>设计</w:t>
      </w:r>
      <w:r>
        <w:rPr>
          <w:sz w:val="24"/>
        </w:rPr>
        <w:t>雨水采用道路排水沟排水，初期降雨经过雨水收集池沉淀后，</w:t>
      </w:r>
      <w:r w:rsidRPr="00A91315">
        <w:rPr>
          <w:color w:val="FF0000"/>
          <w:sz w:val="24"/>
        </w:rPr>
        <w:t>提升至井下水处理站处理后复用。</w:t>
      </w:r>
      <w:r>
        <w:rPr>
          <w:sz w:val="24"/>
        </w:rPr>
        <w:t>初期雨水收集池收集工业场地生产区附近初期</w:t>
      </w:r>
      <w:r>
        <w:rPr>
          <w:sz w:val="24"/>
        </w:rPr>
        <w:t>5mm</w:t>
      </w:r>
      <w:r>
        <w:rPr>
          <w:sz w:val="24"/>
        </w:rPr>
        <w:t>径流厚度地表弃流，</w:t>
      </w:r>
      <w:r>
        <w:rPr>
          <w:rFonts w:hint="eastAsia"/>
          <w:sz w:val="24"/>
        </w:rPr>
        <w:t>计算确定雨水收集池容积为</w:t>
      </w:r>
      <w:r>
        <w:rPr>
          <w:rFonts w:hint="eastAsia"/>
          <w:sz w:val="24"/>
        </w:rPr>
        <w:t>250m</w:t>
      </w:r>
      <w:r>
        <w:rPr>
          <w:rFonts w:hint="eastAsia"/>
          <w:sz w:val="24"/>
          <w:vertAlign w:val="superscript"/>
        </w:rPr>
        <w:t>3</w:t>
      </w:r>
      <w:r>
        <w:rPr>
          <w:rFonts w:hint="eastAsia"/>
          <w:sz w:val="24"/>
        </w:rPr>
        <w:t>，地下式布置，</w:t>
      </w:r>
      <w:r>
        <w:rPr>
          <w:sz w:val="24"/>
        </w:rPr>
        <w:t>内设雨水提升泵两台，格栅除污机一台</w:t>
      </w:r>
      <w:r>
        <w:rPr>
          <w:rFonts w:hint="eastAsia"/>
          <w:sz w:val="24"/>
        </w:rPr>
        <w:t>。</w:t>
      </w: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491" w:name="_Toc533604351"/>
      <w:bookmarkStart w:id="492" w:name="_Toc533604771"/>
      <w:bookmarkStart w:id="493" w:name="_Toc16785317"/>
      <w:r>
        <w:rPr>
          <w:rFonts w:ascii="Times New Roman" w:eastAsia="宋体" w:hAnsi="Times New Roman" w:hint="eastAsia"/>
          <w:b/>
          <w:bCs w:val="0"/>
          <w:szCs w:val="30"/>
        </w:rPr>
        <w:t>5.4</w:t>
      </w:r>
      <w:r>
        <w:rPr>
          <w:rFonts w:ascii="Times New Roman" w:eastAsia="宋体" w:hAnsi="Times New Roman" w:hint="eastAsia"/>
          <w:b/>
          <w:bCs w:val="0"/>
          <w:szCs w:val="30"/>
        </w:rPr>
        <w:t>大气污染防治措施</w:t>
      </w:r>
      <w:bookmarkEnd w:id="491"/>
      <w:bookmarkEnd w:id="492"/>
      <w:bookmarkEnd w:id="493"/>
    </w:p>
    <w:p w:rsidR="00C223F5" w:rsidRDefault="005860D5" w:rsidP="004835BD">
      <w:pPr>
        <w:pStyle w:val="3"/>
        <w:numPr>
          <w:ilvl w:val="0"/>
          <w:numId w:val="0"/>
        </w:numPr>
        <w:spacing w:before="0" w:after="0" w:line="360" w:lineRule="auto"/>
        <w:ind w:left="170"/>
        <w:rPr>
          <w:rFonts w:eastAsia="宋体"/>
          <w:b/>
          <w:bCs w:val="0"/>
          <w:sz w:val="28"/>
          <w:szCs w:val="28"/>
        </w:rPr>
      </w:pPr>
      <w:bookmarkStart w:id="494" w:name="_Toc533604772"/>
      <w:bookmarkStart w:id="495" w:name="_Toc533604352"/>
      <w:bookmarkStart w:id="496" w:name="_Toc16785318"/>
      <w:r>
        <w:rPr>
          <w:rFonts w:eastAsia="宋体" w:hint="eastAsia"/>
          <w:b/>
          <w:bCs w:val="0"/>
          <w:sz w:val="28"/>
          <w:szCs w:val="28"/>
        </w:rPr>
        <w:t>5.4.1</w:t>
      </w:r>
      <w:r>
        <w:rPr>
          <w:rFonts w:eastAsia="宋体" w:hint="eastAsia"/>
          <w:b/>
          <w:bCs w:val="0"/>
          <w:sz w:val="28"/>
          <w:szCs w:val="28"/>
        </w:rPr>
        <w:t>地面生产系统煤粉尘污染防治措施</w:t>
      </w:r>
      <w:bookmarkEnd w:id="494"/>
      <w:bookmarkEnd w:id="495"/>
      <w:bookmarkEnd w:id="496"/>
    </w:p>
    <w:p w:rsidR="00C223F5" w:rsidRDefault="005860D5">
      <w:pPr>
        <w:spacing w:line="360" w:lineRule="auto"/>
        <w:ind w:firstLineChars="200" w:firstLine="480"/>
        <w:rPr>
          <w:sz w:val="24"/>
        </w:rPr>
      </w:pPr>
      <w:r>
        <w:rPr>
          <w:rFonts w:hint="eastAsia"/>
          <w:sz w:val="24"/>
        </w:rPr>
        <w:t>（</w:t>
      </w:r>
      <w:r>
        <w:rPr>
          <w:rFonts w:hint="eastAsia"/>
          <w:sz w:val="24"/>
        </w:rPr>
        <w:t>1</w:t>
      </w:r>
      <w:r>
        <w:rPr>
          <w:rFonts w:hint="eastAsia"/>
          <w:sz w:val="24"/>
        </w:rPr>
        <w:t>）选煤厂粉尘治理</w:t>
      </w:r>
    </w:p>
    <w:p w:rsidR="004755AC" w:rsidRDefault="00B07BEF">
      <w:pPr>
        <w:spacing w:line="360" w:lineRule="auto"/>
        <w:ind w:firstLineChars="200" w:firstLine="480"/>
        <w:rPr>
          <w:color w:val="FF0000"/>
          <w:sz w:val="24"/>
        </w:rPr>
      </w:pPr>
      <w:r w:rsidRPr="00B07BEF">
        <w:rPr>
          <w:rFonts w:hint="eastAsia"/>
          <w:color w:val="FF0000"/>
          <w:sz w:val="24"/>
        </w:rPr>
        <w:t>本项目选煤厂</w:t>
      </w:r>
      <w:r w:rsidR="00AB18B3" w:rsidRPr="00B07BEF">
        <w:rPr>
          <w:rFonts w:hint="eastAsia"/>
          <w:color w:val="FF0000"/>
          <w:sz w:val="24"/>
        </w:rPr>
        <w:t>选用智能选矸系统，无压三产品重介旋流器</w:t>
      </w:r>
      <w:r w:rsidRPr="00B07BEF">
        <w:rPr>
          <w:color w:val="FF0000"/>
          <w:sz w:val="24"/>
        </w:rPr>
        <w:t>末煤</w:t>
      </w:r>
      <w:r w:rsidRPr="00B07BEF">
        <w:rPr>
          <w:rFonts w:hint="eastAsia"/>
          <w:color w:val="FF0000"/>
          <w:sz w:val="24"/>
        </w:rPr>
        <w:t>洗选</w:t>
      </w:r>
      <w:r w:rsidR="00AB18B3" w:rsidRPr="00B07BEF">
        <w:rPr>
          <w:rFonts w:hint="eastAsia"/>
          <w:color w:val="FF0000"/>
          <w:sz w:val="24"/>
        </w:rPr>
        <w:t>，</w:t>
      </w:r>
      <w:r w:rsidR="00AB18B3" w:rsidRPr="00B07BEF">
        <w:rPr>
          <w:rFonts w:hint="eastAsia"/>
          <w:color w:val="FF0000"/>
          <w:sz w:val="24"/>
        </w:rPr>
        <w:t>TBS</w:t>
      </w:r>
      <w:r w:rsidR="00AB18B3" w:rsidRPr="00B07BEF">
        <w:rPr>
          <w:rFonts w:hint="eastAsia"/>
          <w:color w:val="FF0000"/>
          <w:sz w:val="24"/>
        </w:rPr>
        <w:t>分选机</w:t>
      </w:r>
      <w:r w:rsidRPr="00B07BEF">
        <w:rPr>
          <w:rFonts w:hint="eastAsia"/>
          <w:color w:val="FF0000"/>
          <w:sz w:val="24"/>
        </w:rPr>
        <w:t>进行</w:t>
      </w:r>
      <w:r w:rsidRPr="00B07BEF">
        <w:rPr>
          <w:color w:val="FF0000"/>
          <w:sz w:val="24"/>
        </w:rPr>
        <w:t>粗煤泥</w:t>
      </w:r>
      <w:r w:rsidRPr="00B07BEF">
        <w:rPr>
          <w:rFonts w:hint="eastAsia"/>
          <w:color w:val="FF0000"/>
          <w:sz w:val="24"/>
        </w:rPr>
        <w:t>分</w:t>
      </w:r>
      <w:r w:rsidRPr="004755AC">
        <w:rPr>
          <w:rFonts w:hint="eastAsia"/>
          <w:color w:val="FF0000"/>
          <w:sz w:val="24"/>
        </w:rPr>
        <w:t>选工艺</w:t>
      </w:r>
      <w:r w:rsidR="00AB18B3" w:rsidRPr="004755AC">
        <w:rPr>
          <w:rFonts w:hint="eastAsia"/>
          <w:color w:val="FF0000"/>
          <w:sz w:val="24"/>
        </w:rPr>
        <w:t>。</w:t>
      </w:r>
      <w:r w:rsidRPr="004755AC">
        <w:rPr>
          <w:rFonts w:hint="eastAsia"/>
          <w:color w:val="FF0000"/>
          <w:sz w:val="24"/>
        </w:rPr>
        <w:t>选煤厂煤粉尘主要产生在原煤破碎筛分、</w:t>
      </w:r>
      <w:r w:rsidR="004755AC" w:rsidRPr="004755AC">
        <w:rPr>
          <w:color w:val="FF0000"/>
          <w:sz w:val="24"/>
        </w:rPr>
        <w:t>贮存、装卸运输过</w:t>
      </w:r>
      <w:r w:rsidR="004755AC" w:rsidRPr="004755AC">
        <w:rPr>
          <w:rFonts w:hint="eastAsia"/>
          <w:color w:val="FF0000"/>
          <w:sz w:val="24"/>
        </w:rPr>
        <w:t>程中。</w:t>
      </w:r>
      <w:r w:rsidRPr="004755AC">
        <w:rPr>
          <w:rFonts w:hint="eastAsia"/>
          <w:color w:val="FF0000"/>
          <w:sz w:val="24"/>
        </w:rPr>
        <w:t>其中，智能选矸系统的</w:t>
      </w:r>
      <w:r w:rsidRPr="004755AC">
        <w:rPr>
          <w:color w:val="FF0000"/>
          <w:sz w:val="24"/>
        </w:rPr>
        <w:t>排矸原理是基于煤和矸石的分子结构不同，对射线的衰减差异</w:t>
      </w:r>
      <w:r w:rsidRPr="00B07BEF">
        <w:rPr>
          <w:color w:val="FF0000"/>
          <w:sz w:val="24"/>
        </w:rPr>
        <w:t>实现煤、矸识别，通过计算机控制，利用高压气体将识别的矸石剔除。一定粒度范围的块状煤矸在输送带上，经过排队机构顺序排队，依次穿过由单光子射线源和复合传感器构成的检测点</w:t>
      </w:r>
      <w:r w:rsidR="004755AC">
        <w:rPr>
          <w:rFonts w:hint="eastAsia"/>
          <w:color w:val="FF0000"/>
          <w:sz w:val="24"/>
        </w:rPr>
        <w:t>，由</w:t>
      </w:r>
      <w:r w:rsidRPr="00B07BEF">
        <w:rPr>
          <w:color w:val="FF0000"/>
          <w:sz w:val="24"/>
        </w:rPr>
        <w:t>复合传感器获得的信号经处理后</w:t>
      </w:r>
      <w:r w:rsidRPr="00B07BEF">
        <w:rPr>
          <w:rFonts w:hint="eastAsia"/>
          <w:color w:val="FF0000"/>
          <w:sz w:val="24"/>
        </w:rPr>
        <w:t>识别出</w:t>
      </w:r>
      <w:r w:rsidRPr="00B07BEF">
        <w:rPr>
          <w:color w:val="FF0000"/>
          <w:sz w:val="24"/>
        </w:rPr>
        <w:t>矸石</w:t>
      </w:r>
      <w:r w:rsidR="004755AC">
        <w:rPr>
          <w:rFonts w:hint="eastAsia"/>
          <w:color w:val="FF0000"/>
          <w:sz w:val="24"/>
        </w:rPr>
        <w:t>；</w:t>
      </w:r>
      <w:r w:rsidRPr="00B07BEF">
        <w:rPr>
          <w:color w:val="FF0000"/>
          <w:sz w:val="24"/>
        </w:rPr>
        <w:t>当被选物料脱离皮带端点下落时，打开相应的高压气阀，高压气冲击在矸石上，使之在被抛落过程中偏离原轨迹，落入矸石料斗</w:t>
      </w:r>
      <w:r w:rsidR="004755AC">
        <w:rPr>
          <w:rFonts w:hint="eastAsia"/>
          <w:color w:val="FF0000"/>
          <w:sz w:val="24"/>
        </w:rPr>
        <w:t>，产尘点即卸料处；</w:t>
      </w:r>
      <w:r w:rsidRPr="00B07BEF">
        <w:rPr>
          <w:color w:val="FF0000"/>
          <w:sz w:val="24"/>
        </w:rPr>
        <w:t>无矸石，气阀不动作，煤块沿原轨迹继续运动，落入煤料斗。</w:t>
      </w:r>
    </w:p>
    <w:p w:rsidR="00C223F5" w:rsidRDefault="005860D5">
      <w:pPr>
        <w:spacing w:line="360" w:lineRule="auto"/>
        <w:ind w:firstLineChars="200" w:firstLine="480"/>
        <w:rPr>
          <w:sz w:val="24"/>
        </w:rPr>
      </w:pPr>
      <w:r>
        <w:rPr>
          <w:sz w:val="24"/>
        </w:rPr>
        <w:t>根据设计资料，</w:t>
      </w:r>
      <w:r>
        <w:rPr>
          <w:rFonts w:hint="eastAsia"/>
          <w:sz w:val="24"/>
        </w:rPr>
        <w:t>天云</w:t>
      </w:r>
      <w:r>
        <w:rPr>
          <w:sz w:val="24"/>
        </w:rPr>
        <w:t>煤矿筛分设备全部设置主厂房内，</w:t>
      </w:r>
      <w:r>
        <w:rPr>
          <w:rFonts w:hint="eastAsia"/>
          <w:sz w:val="24"/>
        </w:rPr>
        <w:t>安装</w:t>
      </w:r>
      <w:r>
        <w:rPr>
          <w:rFonts w:eastAsiaTheme="minorEastAsia" w:hAnsiTheme="minorEastAsia" w:hint="eastAsia"/>
          <w:sz w:val="24"/>
        </w:rPr>
        <w:t>微米级干雾抑尘装置，</w:t>
      </w:r>
      <w:r w:rsidRPr="004755AC">
        <w:rPr>
          <w:rFonts w:eastAsiaTheme="minorEastAsia" w:hAnsiTheme="minorEastAsia" w:hint="eastAsia"/>
          <w:color w:val="FF0000"/>
          <w:sz w:val="24"/>
        </w:rPr>
        <w:t>主要产尘点</w:t>
      </w:r>
      <w:r w:rsidR="004755AC" w:rsidRPr="004755AC">
        <w:rPr>
          <w:rFonts w:eastAsiaTheme="minorEastAsia" w:hAnsiTheme="minorEastAsia" w:hint="eastAsia"/>
          <w:color w:val="FF0000"/>
          <w:sz w:val="24"/>
        </w:rPr>
        <w:t>及卸料处</w:t>
      </w:r>
      <w:r w:rsidRPr="004755AC">
        <w:rPr>
          <w:rFonts w:eastAsiaTheme="minorEastAsia" w:hAnsiTheme="minorEastAsia" w:hint="eastAsia"/>
          <w:color w:val="FF0000"/>
          <w:sz w:val="24"/>
        </w:rPr>
        <w:t>设集尘罩</w:t>
      </w:r>
      <w:r w:rsidR="004755AC" w:rsidRPr="004755AC">
        <w:rPr>
          <w:rFonts w:eastAsiaTheme="minorEastAsia" w:hAnsiTheme="minorEastAsia" w:hint="eastAsia"/>
          <w:color w:val="FF0000"/>
          <w:sz w:val="24"/>
        </w:rPr>
        <w:t>和挡帘</w:t>
      </w:r>
      <w:r w:rsidRPr="004755AC">
        <w:rPr>
          <w:rFonts w:eastAsiaTheme="minorEastAsia" w:hAnsiTheme="minorEastAsia" w:hint="eastAsia"/>
          <w:color w:val="FF0000"/>
          <w:sz w:val="24"/>
        </w:rPr>
        <w:t>，</w:t>
      </w:r>
      <w:r w:rsidR="007A6908">
        <w:rPr>
          <w:rFonts w:eastAsiaTheme="minorEastAsia" w:hAnsiTheme="minorEastAsia" w:hint="eastAsia"/>
          <w:color w:val="FF0000"/>
          <w:sz w:val="24"/>
        </w:rPr>
        <w:t>上部安装干雾抑尘喷头；</w:t>
      </w:r>
      <w:r>
        <w:rPr>
          <w:rFonts w:eastAsiaTheme="minorEastAsia" w:hAnsiTheme="minorEastAsia" w:hint="eastAsia"/>
          <w:sz w:val="24"/>
        </w:rPr>
        <w:t>筛分破碎车间振动筛上下转载点设干雾喷头</w:t>
      </w:r>
      <w:r>
        <w:rPr>
          <w:rFonts w:hint="eastAsia"/>
          <w:sz w:val="24"/>
        </w:rPr>
        <w:t>。根据</w:t>
      </w:r>
      <w:r>
        <w:rPr>
          <w:sz w:val="24"/>
        </w:rPr>
        <w:t>神东公司上湾洗煤厂实测数据（资料来源神东集团安监局李品文编写的《浅谈洗煤厂粉尘危害及治理措施》），上湾洗煤厂筛分破碎车间粉尘治理前浓度为</w:t>
      </w:r>
      <w:r>
        <w:rPr>
          <w:sz w:val="24"/>
        </w:rPr>
        <w:t>81</w:t>
      </w:r>
      <w:r>
        <w:rPr>
          <w:sz w:val="24"/>
        </w:rPr>
        <w:t>～</w:t>
      </w:r>
      <w:r>
        <w:rPr>
          <w:sz w:val="24"/>
        </w:rPr>
        <w:t>300mg/m</w:t>
      </w:r>
      <w:r>
        <w:rPr>
          <w:sz w:val="24"/>
          <w:vertAlign w:val="superscript"/>
        </w:rPr>
        <w:t>3</w:t>
      </w:r>
      <w:r>
        <w:rPr>
          <w:sz w:val="24"/>
        </w:rPr>
        <w:t>，采取上料卸料点密闭、水幕降尘等措施后煤尘浓度降到</w:t>
      </w:r>
      <w:r>
        <w:rPr>
          <w:sz w:val="24"/>
        </w:rPr>
        <w:t>10mg/m</w:t>
      </w:r>
      <w:r>
        <w:rPr>
          <w:sz w:val="24"/>
          <w:vertAlign w:val="superscript"/>
        </w:rPr>
        <w:t>3</w:t>
      </w:r>
      <w:r>
        <w:rPr>
          <w:sz w:val="24"/>
        </w:rPr>
        <w:t>以下。生产系统煤尘排放浓度和除尘效率满足《煤炭工业污染物排放标准》（</w:t>
      </w:r>
      <w:r>
        <w:rPr>
          <w:sz w:val="24"/>
        </w:rPr>
        <w:t>GB20426-2006</w:t>
      </w:r>
      <w:r>
        <w:rPr>
          <w:sz w:val="24"/>
        </w:rPr>
        <w:t>）中颗粒物浓度限值小于</w:t>
      </w:r>
      <w:r>
        <w:rPr>
          <w:sz w:val="24"/>
        </w:rPr>
        <w:t>80 mg/m</w:t>
      </w:r>
      <w:r>
        <w:rPr>
          <w:sz w:val="24"/>
          <w:vertAlign w:val="superscript"/>
        </w:rPr>
        <w:t>3</w:t>
      </w:r>
      <w:r>
        <w:rPr>
          <w:sz w:val="24"/>
        </w:rPr>
        <w:t>或除尘效率大于</w:t>
      </w:r>
      <w:r>
        <w:rPr>
          <w:sz w:val="24"/>
        </w:rPr>
        <w:t>98%</w:t>
      </w:r>
      <w:r>
        <w:rPr>
          <w:sz w:val="24"/>
        </w:rPr>
        <w:t>的要求。</w:t>
      </w:r>
    </w:p>
    <w:p w:rsidR="00C223F5" w:rsidRDefault="005860D5">
      <w:pPr>
        <w:spacing w:line="360" w:lineRule="auto"/>
        <w:ind w:firstLineChars="200" w:firstLine="480"/>
        <w:rPr>
          <w:sz w:val="24"/>
        </w:rPr>
      </w:pPr>
      <w:r>
        <w:rPr>
          <w:rFonts w:hint="eastAsia"/>
          <w:sz w:val="24"/>
        </w:rPr>
        <w:t>类比</w:t>
      </w:r>
      <w:r>
        <w:rPr>
          <w:sz w:val="24"/>
        </w:rPr>
        <w:t>分析，采取设计及环评要求措施后，</w:t>
      </w:r>
      <w:r>
        <w:rPr>
          <w:rFonts w:hint="eastAsia"/>
          <w:sz w:val="24"/>
        </w:rPr>
        <w:t>本</w:t>
      </w:r>
      <w:r>
        <w:rPr>
          <w:sz w:val="24"/>
        </w:rPr>
        <w:t>项目筛分系统扬尘污染较小</w:t>
      </w:r>
      <w:r>
        <w:rPr>
          <w:rFonts w:hint="eastAsia"/>
          <w:sz w:val="24"/>
        </w:rPr>
        <w:t>，</w:t>
      </w:r>
      <w:r>
        <w:rPr>
          <w:sz w:val="24"/>
        </w:rPr>
        <w:t>可以得到有效控制。</w:t>
      </w:r>
    </w:p>
    <w:p w:rsidR="00C223F5" w:rsidRDefault="005860D5">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煤炭运输及原煤转载点除尘措施</w:t>
      </w:r>
    </w:p>
    <w:p w:rsidR="00C223F5" w:rsidRDefault="005860D5">
      <w:pPr>
        <w:pStyle w:val="afd"/>
        <w:spacing w:line="360" w:lineRule="auto"/>
        <w:ind w:firstLine="480"/>
        <w:rPr>
          <w:sz w:val="24"/>
        </w:rPr>
      </w:pPr>
      <w:r>
        <w:rPr>
          <w:sz w:val="24"/>
        </w:rPr>
        <w:t>煤炭运输</w:t>
      </w:r>
      <w:r>
        <w:rPr>
          <w:rFonts w:hint="eastAsia"/>
          <w:sz w:val="24"/>
        </w:rPr>
        <w:t>均</w:t>
      </w:r>
      <w:r>
        <w:rPr>
          <w:sz w:val="24"/>
        </w:rPr>
        <w:t>采取封闭的输煤栈桥</w:t>
      </w:r>
      <w:r>
        <w:rPr>
          <w:rFonts w:hint="eastAsia"/>
          <w:sz w:val="24"/>
        </w:rPr>
        <w:t>，设计</w:t>
      </w:r>
      <w:r>
        <w:rPr>
          <w:sz w:val="24"/>
        </w:rPr>
        <w:t>在输煤栈桥内设置喷雾洒水装置</w:t>
      </w:r>
      <w:r>
        <w:rPr>
          <w:rFonts w:hint="eastAsia"/>
          <w:sz w:val="24"/>
        </w:rPr>
        <w:t>；</w:t>
      </w:r>
      <w:r>
        <w:rPr>
          <w:rFonts w:eastAsiaTheme="minorEastAsia" w:hAnsiTheme="minorEastAsia" w:hint="eastAsia"/>
          <w:sz w:val="24"/>
        </w:rPr>
        <w:t>主要产尘点设集尘罩，原煤仓上下转载点、产品仓上下转载点等设干雾喷头</w:t>
      </w:r>
      <w:r>
        <w:rPr>
          <w:rFonts w:hint="eastAsia"/>
          <w:sz w:val="24"/>
        </w:rPr>
        <w:t>，</w:t>
      </w:r>
      <w:r>
        <w:rPr>
          <w:sz w:val="24"/>
        </w:rPr>
        <w:t>从而</w:t>
      </w:r>
      <w:r>
        <w:rPr>
          <w:sz w:val="24"/>
        </w:rPr>
        <w:lastRenderedPageBreak/>
        <w:t>避免煤尘对外逸散对环境造成污染。煤炭加工后，含水率一般在</w:t>
      </w:r>
      <w:r>
        <w:rPr>
          <w:sz w:val="24"/>
        </w:rPr>
        <w:t>10</w:t>
      </w:r>
      <w:r>
        <w:rPr>
          <w:sz w:val="24"/>
        </w:rPr>
        <w:t>％以上，皮带运输及转载过程中不会产生较大的煤尘的污染。</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497" w:name="_Toc533604773"/>
      <w:bookmarkStart w:id="498" w:name="_Toc533604353"/>
      <w:bookmarkStart w:id="499" w:name="_Toc16785319"/>
      <w:r>
        <w:rPr>
          <w:rFonts w:eastAsia="宋体" w:hint="eastAsia"/>
          <w:b/>
          <w:bCs w:val="0"/>
          <w:sz w:val="28"/>
          <w:szCs w:val="28"/>
        </w:rPr>
        <w:t>5.4.2</w:t>
      </w:r>
      <w:r>
        <w:rPr>
          <w:rFonts w:eastAsia="宋体" w:hint="eastAsia"/>
          <w:b/>
          <w:bCs w:val="0"/>
          <w:sz w:val="28"/>
          <w:szCs w:val="28"/>
        </w:rPr>
        <w:t>储煤系统</w:t>
      </w:r>
      <w:r>
        <w:rPr>
          <w:rFonts w:eastAsia="宋体"/>
          <w:b/>
          <w:bCs w:val="0"/>
          <w:sz w:val="28"/>
          <w:szCs w:val="28"/>
        </w:rPr>
        <w:t>粉尘治理措施</w:t>
      </w:r>
      <w:bookmarkEnd w:id="497"/>
      <w:bookmarkEnd w:id="498"/>
      <w:bookmarkEnd w:id="499"/>
    </w:p>
    <w:p w:rsidR="00C223F5" w:rsidRDefault="005860D5">
      <w:pPr>
        <w:pStyle w:val="hb1"/>
        <w:ind w:firstLine="480"/>
        <w:rPr>
          <w:kern w:val="0"/>
        </w:rPr>
      </w:pPr>
      <w:r>
        <w:rPr>
          <w:rFonts w:hint="eastAsia"/>
          <w:kern w:val="0"/>
        </w:rPr>
        <w:t>矿井</w:t>
      </w:r>
      <w:r>
        <w:rPr>
          <w:kern w:val="0"/>
        </w:rPr>
        <w:t>工业场地</w:t>
      </w:r>
      <w:r>
        <w:rPr>
          <w:rFonts w:hint="eastAsia"/>
          <w:kern w:val="0"/>
        </w:rPr>
        <w:t>原煤、洗选产品煤及洗选矸石等均采用筒仓储存，</w:t>
      </w:r>
      <w:r>
        <w:rPr>
          <w:kern w:val="0"/>
        </w:rPr>
        <w:t>同时</w:t>
      </w:r>
      <w:r>
        <w:rPr>
          <w:rFonts w:hint="eastAsia"/>
          <w:kern w:val="0"/>
        </w:rPr>
        <w:t>在上下仓转载点设干雾抑尘喷头进行洒水</w:t>
      </w:r>
      <w:r>
        <w:rPr>
          <w:kern w:val="0"/>
        </w:rPr>
        <w:t>，进一步降低外排</w:t>
      </w:r>
      <w:r>
        <w:rPr>
          <w:rFonts w:hint="eastAsia"/>
          <w:kern w:val="0"/>
        </w:rPr>
        <w:t>粉尘</w:t>
      </w:r>
      <w:r>
        <w:rPr>
          <w:kern w:val="0"/>
        </w:rPr>
        <w:t>的浓度和量，使煤尘污染得到了有效控制。</w:t>
      </w:r>
      <w:r>
        <w:rPr>
          <w:rFonts w:hint="eastAsia"/>
          <w:kern w:val="0"/>
        </w:rPr>
        <w:t>喷雾洒水装置使用水雾截留粉尘，从根本上阻止尘源向外扩散，使得煤炭在整个加工过程中都能有效地抑制粉尘的散发，目前在国内各大煤矿应用广泛，其抑尘效率可达</w:t>
      </w:r>
      <w:r>
        <w:rPr>
          <w:rFonts w:hint="eastAsia"/>
          <w:kern w:val="0"/>
        </w:rPr>
        <w:t>90%</w:t>
      </w:r>
      <w:r>
        <w:rPr>
          <w:rFonts w:hint="eastAsia"/>
          <w:kern w:val="0"/>
        </w:rPr>
        <w:t>以上，一次安装后操作运行简单，运行效果稳定。</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500" w:name="_Toc533604354"/>
      <w:bookmarkStart w:id="501" w:name="_Toc493246132"/>
      <w:bookmarkStart w:id="502" w:name="_Toc533604774"/>
      <w:bookmarkStart w:id="503" w:name="_Toc16785320"/>
      <w:r>
        <w:rPr>
          <w:rFonts w:eastAsia="宋体" w:hint="eastAsia"/>
          <w:b/>
          <w:bCs w:val="0"/>
          <w:sz w:val="28"/>
          <w:szCs w:val="28"/>
        </w:rPr>
        <w:t>5.4.3</w:t>
      </w:r>
      <w:r>
        <w:rPr>
          <w:rFonts w:eastAsia="宋体"/>
          <w:b/>
          <w:bCs w:val="0"/>
          <w:sz w:val="28"/>
          <w:szCs w:val="28"/>
        </w:rPr>
        <w:t>道路扬尘污染防治</w:t>
      </w:r>
      <w:bookmarkEnd w:id="500"/>
      <w:bookmarkEnd w:id="501"/>
      <w:bookmarkEnd w:id="502"/>
      <w:bookmarkEnd w:id="503"/>
    </w:p>
    <w:p w:rsidR="00C223F5" w:rsidRDefault="005860D5">
      <w:pPr>
        <w:spacing w:line="360" w:lineRule="auto"/>
        <w:ind w:firstLine="480"/>
        <w:rPr>
          <w:sz w:val="24"/>
        </w:rPr>
      </w:pPr>
      <w:r>
        <w:rPr>
          <w:rFonts w:hint="eastAsia"/>
          <w:sz w:val="24"/>
        </w:rPr>
        <w:t>运输道路洒水防尘是煤炭行业普遍采用的有效防尘措施，大量煤矿企业运输道路洒水实践证明，运输道路每天洒水</w:t>
      </w:r>
      <w:r>
        <w:rPr>
          <w:sz w:val="24"/>
        </w:rPr>
        <w:t>4~5</w:t>
      </w:r>
      <w:r>
        <w:rPr>
          <w:rFonts w:hint="eastAsia"/>
          <w:sz w:val="24"/>
        </w:rPr>
        <w:t>次洒水，可使道路扬尘减少</w:t>
      </w:r>
      <w:r>
        <w:rPr>
          <w:sz w:val="24"/>
        </w:rPr>
        <w:t>70%</w:t>
      </w:r>
      <w:r>
        <w:rPr>
          <w:rFonts w:hint="eastAsia"/>
          <w:sz w:val="24"/>
        </w:rPr>
        <w:t>左右，可使道路两侧附近粉尘污染距离缩短至</w:t>
      </w:r>
      <w:r>
        <w:rPr>
          <w:sz w:val="24"/>
        </w:rPr>
        <w:t>20~50m</w:t>
      </w:r>
      <w:r>
        <w:rPr>
          <w:rFonts w:hint="eastAsia"/>
          <w:sz w:val="24"/>
        </w:rPr>
        <w:t>，因此本工程采取运输道路洒水抑尘措施是可行的，实际实施过程中，洒水应本着</w:t>
      </w:r>
      <w:r>
        <w:rPr>
          <w:sz w:val="24"/>
        </w:rPr>
        <w:t>“</w:t>
      </w:r>
      <w:r>
        <w:rPr>
          <w:rFonts w:hint="eastAsia"/>
          <w:sz w:val="24"/>
        </w:rPr>
        <w:t>少量、多次</w:t>
      </w:r>
      <w:r>
        <w:rPr>
          <w:sz w:val="24"/>
        </w:rPr>
        <w:t>”</w:t>
      </w:r>
      <w:r>
        <w:rPr>
          <w:rFonts w:hint="eastAsia"/>
          <w:sz w:val="24"/>
        </w:rPr>
        <w:t>的原则进行，避免洒水过多造成路面泥泞。</w:t>
      </w:r>
    </w:p>
    <w:p w:rsidR="00C223F5" w:rsidRPr="00993B79" w:rsidRDefault="005860D5">
      <w:pPr>
        <w:spacing w:line="360" w:lineRule="auto"/>
        <w:ind w:firstLine="480"/>
        <w:rPr>
          <w:sz w:val="24"/>
        </w:rPr>
      </w:pPr>
      <w:r>
        <w:rPr>
          <w:rFonts w:hint="eastAsia"/>
          <w:sz w:val="24"/>
        </w:rPr>
        <w:t>另外在场区内外道路两侧和场区内空地上加强绿化，利用植被阻隔扬尘（煤尘）扩散，减少环境空气污染</w:t>
      </w:r>
      <w:r w:rsidR="007A6908">
        <w:rPr>
          <w:rFonts w:hint="eastAsia"/>
          <w:color w:val="FF0000"/>
          <w:sz w:val="24"/>
        </w:rPr>
        <w:t>；</w:t>
      </w:r>
      <w:r w:rsidR="007A6908" w:rsidRPr="007A6908">
        <w:rPr>
          <w:rFonts w:hint="eastAsia"/>
          <w:color w:val="FF0000"/>
          <w:sz w:val="24"/>
        </w:rPr>
        <w:t>厂区出口设洗车台，</w:t>
      </w:r>
      <w:r w:rsidRPr="007A6908">
        <w:rPr>
          <w:rFonts w:hint="eastAsia"/>
          <w:color w:val="FF0000"/>
          <w:sz w:val="24"/>
        </w:rPr>
        <w:t>并</w:t>
      </w:r>
      <w:r>
        <w:rPr>
          <w:rFonts w:hint="eastAsia"/>
          <w:sz w:val="24"/>
        </w:rPr>
        <w:t>对进场车辆应进行统一管理，限载限速，装满物料后应加盖蓬布防止抛洒碎屑；对厂区附近的道路应派专人负责，经常维护以保持良好的路面状况</w:t>
      </w:r>
      <w:r w:rsidRPr="00993B79">
        <w:rPr>
          <w:rFonts w:hint="eastAsia"/>
          <w:sz w:val="24"/>
        </w:rPr>
        <w:t>，以减少扬尘污染。</w:t>
      </w:r>
    </w:p>
    <w:p w:rsidR="00C223F5" w:rsidRPr="00993B79" w:rsidRDefault="005860D5">
      <w:pPr>
        <w:pStyle w:val="aff1"/>
        <w:spacing w:line="360" w:lineRule="auto"/>
        <w:ind w:left="0" w:firstLineChars="200" w:firstLine="480"/>
        <w:rPr>
          <w:kern w:val="0"/>
        </w:rPr>
      </w:pPr>
      <w:r w:rsidRPr="00993B79">
        <w:rPr>
          <w:rFonts w:hint="eastAsia"/>
        </w:rPr>
        <w:t>上述措施简单易行，关键在于管理，矿方应制定严格的管理措施和监控计划，派专人加强监督管理和实施，即可大大减少因运输造成的扬尘污染</w:t>
      </w:r>
      <w:r w:rsidRPr="00993B79">
        <w:rPr>
          <w:kern w:val="0"/>
        </w:rPr>
        <w:t>。</w:t>
      </w:r>
    </w:p>
    <w:p w:rsidR="00C223F5" w:rsidRPr="00993B79" w:rsidRDefault="005860D5" w:rsidP="004835BD">
      <w:pPr>
        <w:pStyle w:val="2"/>
        <w:numPr>
          <w:ilvl w:val="0"/>
          <w:numId w:val="0"/>
        </w:numPr>
        <w:spacing w:before="0" w:after="0" w:line="360" w:lineRule="auto"/>
        <w:rPr>
          <w:rFonts w:ascii="Times New Roman" w:eastAsia="宋体" w:hAnsi="Times New Roman"/>
          <w:b/>
          <w:bCs w:val="0"/>
          <w:szCs w:val="30"/>
        </w:rPr>
      </w:pPr>
      <w:bookmarkStart w:id="504" w:name="_Toc533604775"/>
      <w:bookmarkStart w:id="505" w:name="_Toc533604355"/>
      <w:bookmarkStart w:id="506" w:name="_Toc16785321"/>
      <w:r w:rsidRPr="00993B79">
        <w:rPr>
          <w:rFonts w:ascii="Times New Roman" w:eastAsia="宋体" w:hAnsi="Times New Roman" w:hint="eastAsia"/>
          <w:b/>
          <w:bCs w:val="0"/>
          <w:szCs w:val="30"/>
        </w:rPr>
        <w:t>5.5</w:t>
      </w:r>
      <w:r w:rsidRPr="00993B79">
        <w:rPr>
          <w:rFonts w:ascii="Times New Roman" w:eastAsia="宋体" w:hAnsi="Times New Roman" w:hint="eastAsia"/>
          <w:b/>
          <w:bCs w:val="0"/>
          <w:szCs w:val="30"/>
        </w:rPr>
        <w:t>噪声污染防治措施及可行性分析</w:t>
      </w:r>
      <w:bookmarkEnd w:id="504"/>
      <w:bookmarkEnd w:id="505"/>
      <w:bookmarkEnd w:id="506"/>
    </w:p>
    <w:p w:rsidR="00C223F5" w:rsidRPr="00993B79" w:rsidRDefault="005860D5" w:rsidP="00474756">
      <w:pPr>
        <w:spacing w:line="360" w:lineRule="auto"/>
        <w:ind w:firstLineChars="200" w:firstLine="480"/>
        <w:rPr>
          <w:sz w:val="24"/>
          <w:szCs w:val="22"/>
        </w:rPr>
      </w:pPr>
      <w:r w:rsidRPr="00993B79">
        <w:rPr>
          <w:sz w:val="24"/>
          <w:szCs w:val="22"/>
        </w:rPr>
        <w:t>（</w:t>
      </w:r>
      <w:r w:rsidRPr="00993B79">
        <w:rPr>
          <w:sz w:val="24"/>
          <w:szCs w:val="22"/>
        </w:rPr>
        <w:t>1</w:t>
      </w:r>
      <w:r w:rsidRPr="00993B79">
        <w:rPr>
          <w:sz w:val="24"/>
          <w:szCs w:val="22"/>
        </w:rPr>
        <w:t>）工业场地主要噪声控制方案</w:t>
      </w:r>
    </w:p>
    <w:p w:rsidR="00C223F5" w:rsidRPr="00993B79" w:rsidRDefault="005860D5">
      <w:pPr>
        <w:spacing w:line="360" w:lineRule="auto"/>
        <w:ind w:firstLineChars="200" w:firstLine="480"/>
        <w:rPr>
          <w:sz w:val="24"/>
        </w:rPr>
      </w:pPr>
      <w:r w:rsidRPr="00993B79">
        <w:rPr>
          <w:rFonts w:hint="eastAsia"/>
          <w:sz w:val="24"/>
        </w:rPr>
        <w:t>本</w:t>
      </w:r>
      <w:r w:rsidRPr="00993B79">
        <w:rPr>
          <w:sz w:val="24"/>
        </w:rPr>
        <w:t>项目</w:t>
      </w:r>
      <w:r w:rsidRPr="00993B79">
        <w:rPr>
          <w:rFonts w:hAnsi="宋体" w:hint="eastAsia"/>
          <w:sz w:val="24"/>
        </w:rPr>
        <w:t>工业场地</w:t>
      </w:r>
      <w:r w:rsidRPr="00993B79">
        <w:rPr>
          <w:rFonts w:hAnsi="宋体"/>
          <w:sz w:val="24"/>
        </w:rPr>
        <w:t>噪声源主要有</w:t>
      </w:r>
      <w:r w:rsidRPr="00993B79">
        <w:rPr>
          <w:bCs/>
          <w:sz w:val="24"/>
        </w:rPr>
        <w:t>矿井</w:t>
      </w:r>
      <w:r w:rsidRPr="00993B79">
        <w:rPr>
          <w:rFonts w:hint="eastAsia"/>
          <w:bCs/>
          <w:sz w:val="24"/>
        </w:rPr>
        <w:t>驱动机房</w:t>
      </w:r>
      <w:r w:rsidRPr="00993B79">
        <w:rPr>
          <w:bCs/>
          <w:sz w:val="24"/>
        </w:rPr>
        <w:t>、</w:t>
      </w:r>
      <w:r w:rsidRPr="00993B79">
        <w:rPr>
          <w:rFonts w:hint="eastAsia"/>
          <w:bCs/>
          <w:sz w:val="24"/>
        </w:rPr>
        <w:t>筛破车间、主厂房、乏风热泵机房、</w:t>
      </w:r>
      <w:r w:rsidRPr="00993B79">
        <w:rPr>
          <w:bCs/>
          <w:sz w:val="24"/>
        </w:rPr>
        <w:t>通风机房、</w:t>
      </w:r>
      <w:r w:rsidRPr="00993B79">
        <w:rPr>
          <w:rFonts w:hint="eastAsia"/>
          <w:bCs/>
          <w:sz w:val="24"/>
        </w:rPr>
        <w:t>压缩空气站</w:t>
      </w:r>
      <w:r w:rsidRPr="00993B79">
        <w:rPr>
          <w:bCs/>
          <w:sz w:val="24"/>
        </w:rPr>
        <w:t>、</w:t>
      </w:r>
      <w:r w:rsidRPr="00993B79">
        <w:rPr>
          <w:rFonts w:hint="eastAsia"/>
          <w:bCs/>
          <w:sz w:val="24"/>
        </w:rPr>
        <w:t>灌浆站和输煤栈桥</w:t>
      </w:r>
      <w:r w:rsidRPr="00993B79">
        <w:rPr>
          <w:bCs/>
          <w:sz w:val="24"/>
        </w:rPr>
        <w:t>等</w:t>
      </w:r>
      <w:r w:rsidRPr="00993B79">
        <w:rPr>
          <w:rFonts w:hint="eastAsia"/>
          <w:sz w:val="24"/>
        </w:rPr>
        <w:t>，在采取设备减震、隔声、消声等措施后，厂房外声源噪声一般可降低</w:t>
      </w:r>
      <w:r w:rsidRPr="00993B79">
        <w:rPr>
          <w:sz w:val="24"/>
        </w:rPr>
        <w:t>20</w:t>
      </w:r>
      <w:r w:rsidRPr="00993B79">
        <w:rPr>
          <w:rFonts w:hint="eastAsia"/>
          <w:sz w:val="24"/>
        </w:rPr>
        <w:t>~</w:t>
      </w:r>
      <w:r w:rsidRPr="00993B79">
        <w:rPr>
          <w:sz w:val="24"/>
        </w:rPr>
        <w:t>3</w:t>
      </w:r>
      <w:r w:rsidRPr="00993B79">
        <w:rPr>
          <w:rFonts w:hint="eastAsia"/>
          <w:sz w:val="24"/>
        </w:rPr>
        <w:t>3</w:t>
      </w:r>
      <w:r w:rsidRPr="00993B79">
        <w:rPr>
          <w:sz w:val="24"/>
        </w:rPr>
        <w:t>dB</w:t>
      </w:r>
      <w:r w:rsidRPr="00993B79">
        <w:rPr>
          <w:rFonts w:hAnsi="宋体" w:hint="eastAsia"/>
          <w:sz w:val="24"/>
        </w:rPr>
        <w:t>(A)</w:t>
      </w:r>
      <w:r w:rsidRPr="00993B79">
        <w:rPr>
          <w:rFonts w:hint="eastAsia"/>
          <w:sz w:val="24"/>
        </w:rPr>
        <w:t>。</w:t>
      </w:r>
      <w:r w:rsidRPr="00993B79">
        <w:rPr>
          <w:sz w:val="24"/>
        </w:rPr>
        <w:t>由于</w:t>
      </w:r>
      <w:r w:rsidRPr="00993B79">
        <w:rPr>
          <w:rFonts w:hint="eastAsia"/>
          <w:sz w:val="24"/>
        </w:rPr>
        <w:t>驱动机房、筛破车间、主厂房等</w:t>
      </w:r>
      <w:r w:rsidRPr="00993B79">
        <w:rPr>
          <w:sz w:val="24"/>
        </w:rPr>
        <w:t>声源噪声较高，且</w:t>
      </w:r>
      <w:r w:rsidRPr="00993B79">
        <w:rPr>
          <w:rFonts w:hint="eastAsia"/>
          <w:sz w:val="24"/>
        </w:rPr>
        <w:t>紧邻南</w:t>
      </w:r>
      <w:r w:rsidRPr="00993B79">
        <w:rPr>
          <w:sz w:val="24"/>
        </w:rPr>
        <w:t>厂界布置，</w:t>
      </w:r>
      <w:r w:rsidRPr="00993B79">
        <w:rPr>
          <w:rFonts w:hint="eastAsia"/>
          <w:sz w:val="24"/>
        </w:rPr>
        <w:t>主厂房离东厂界较近，为防止高噪声源对南厂界、东厂界外噪声贡献值超标，</w:t>
      </w:r>
      <w:r w:rsidRPr="0093772F">
        <w:rPr>
          <w:rFonts w:hint="eastAsia"/>
          <w:b/>
          <w:sz w:val="24"/>
        </w:rPr>
        <w:t>环评要求驱动机房、筛破车间、主厂房靠近南厂界墙体和主厂房靠近东厂界墙体上不设窗户，</w:t>
      </w:r>
      <w:r w:rsidRPr="00993B79">
        <w:rPr>
          <w:rFonts w:hint="eastAsia"/>
          <w:sz w:val="24"/>
        </w:rPr>
        <w:t>驱动机房采取隔声、</w:t>
      </w:r>
      <w:r w:rsidRPr="00993B79">
        <w:rPr>
          <w:rFonts w:hint="eastAsia"/>
          <w:sz w:val="24"/>
        </w:rPr>
        <w:lastRenderedPageBreak/>
        <w:t>消声措施后降噪效果不小于</w:t>
      </w:r>
      <w:r w:rsidRPr="00993B79">
        <w:rPr>
          <w:rFonts w:hint="eastAsia"/>
          <w:sz w:val="24"/>
        </w:rPr>
        <w:t>25</w:t>
      </w:r>
      <w:r w:rsidRPr="00993B79">
        <w:rPr>
          <w:sz w:val="24"/>
        </w:rPr>
        <w:t>dB</w:t>
      </w:r>
      <w:r w:rsidRPr="00993B79">
        <w:rPr>
          <w:rFonts w:hAnsi="宋体" w:hint="eastAsia"/>
          <w:sz w:val="24"/>
        </w:rPr>
        <w:t>(A)</w:t>
      </w:r>
      <w:r w:rsidRPr="00993B79">
        <w:rPr>
          <w:rFonts w:hint="eastAsia"/>
          <w:sz w:val="24"/>
        </w:rPr>
        <w:t>，筛破车间和主厂房采取加装专用隔声门窗后降噪效果不小于</w:t>
      </w:r>
      <w:r w:rsidRPr="00993B79">
        <w:rPr>
          <w:rFonts w:hint="eastAsia"/>
          <w:sz w:val="24"/>
        </w:rPr>
        <w:t>33</w:t>
      </w:r>
      <w:r w:rsidRPr="00993B79">
        <w:rPr>
          <w:sz w:val="24"/>
        </w:rPr>
        <w:t>dB</w:t>
      </w:r>
      <w:r w:rsidRPr="00993B79">
        <w:rPr>
          <w:rFonts w:hAnsi="宋体" w:hint="eastAsia"/>
          <w:sz w:val="24"/>
        </w:rPr>
        <w:t>(A)</w:t>
      </w:r>
      <w:r w:rsidRPr="00993B79">
        <w:rPr>
          <w:rFonts w:hint="eastAsia"/>
          <w:sz w:val="24"/>
        </w:rPr>
        <w:t>。</w:t>
      </w:r>
      <w:r w:rsidRPr="0093772F">
        <w:rPr>
          <w:rFonts w:hint="eastAsia"/>
          <w:b/>
          <w:sz w:val="24"/>
        </w:rPr>
        <w:t>工业场地外设围墙，考虑围墙及自然山梁对噪声的阻隔作用</w:t>
      </w:r>
      <w:r w:rsidRPr="0093772F">
        <w:rPr>
          <w:b/>
          <w:sz w:val="24"/>
        </w:rPr>
        <w:t>，</w:t>
      </w:r>
      <w:r w:rsidRPr="00993B79">
        <w:rPr>
          <w:rFonts w:hint="eastAsia"/>
          <w:sz w:val="24"/>
        </w:rPr>
        <w:t>并采取设计和环评提出的噪声控制措施后，</w:t>
      </w:r>
      <w:r w:rsidRPr="00993B79">
        <w:rPr>
          <w:sz w:val="24"/>
        </w:rPr>
        <w:t>项目噪声排放可满足《工业企业厂界环境噪声排放标准》（</w:t>
      </w:r>
      <w:r w:rsidRPr="00993B79">
        <w:rPr>
          <w:sz w:val="24"/>
        </w:rPr>
        <w:t>GB12348-2008</w:t>
      </w:r>
      <w:r w:rsidRPr="00993B79">
        <w:rPr>
          <w:sz w:val="24"/>
        </w:rPr>
        <w:t>）</w:t>
      </w:r>
      <w:r w:rsidRPr="00993B79">
        <w:rPr>
          <w:sz w:val="24"/>
        </w:rPr>
        <w:t>2</w:t>
      </w:r>
      <w:r w:rsidRPr="00993B79">
        <w:rPr>
          <w:sz w:val="24"/>
        </w:rPr>
        <w:t>类标准要求。</w:t>
      </w:r>
      <w:r w:rsidRPr="00993B79">
        <w:rPr>
          <w:rFonts w:hint="eastAsia"/>
          <w:sz w:val="24"/>
        </w:rPr>
        <w:t>营运期声环境污染防治措施具体见表</w:t>
      </w:r>
      <w:r w:rsidRPr="00993B79">
        <w:rPr>
          <w:rFonts w:hint="eastAsia"/>
          <w:sz w:val="24"/>
        </w:rPr>
        <w:t>5.5-1</w:t>
      </w:r>
      <w:r w:rsidRPr="00993B79">
        <w:rPr>
          <w:rFonts w:hint="eastAsia"/>
          <w:sz w:val="24"/>
        </w:rPr>
        <w:t>。</w:t>
      </w:r>
    </w:p>
    <w:p w:rsidR="00422043" w:rsidRDefault="00422043" w:rsidP="00422043">
      <w:pPr>
        <w:jc w:val="center"/>
        <w:rPr>
          <w:b/>
          <w:sz w:val="24"/>
        </w:rPr>
      </w:pPr>
      <w:r>
        <w:rPr>
          <w:rFonts w:hint="eastAsia"/>
          <w:b/>
          <w:sz w:val="24"/>
        </w:rPr>
        <w:t>表</w:t>
      </w:r>
      <w:r>
        <w:rPr>
          <w:rFonts w:hint="eastAsia"/>
          <w:b/>
          <w:sz w:val="24"/>
        </w:rPr>
        <w:t xml:space="preserve">5.5-1   </w:t>
      </w:r>
      <w:r>
        <w:rPr>
          <w:rFonts w:hint="eastAsia"/>
          <w:b/>
          <w:sz w:val="24"/>
        </w:rPr>
        <w:t>营运期声环境污染防治措施表</w:t>
      </w:r>
    </w:p>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54"/>
        <w:gridCol w:w="1358"/>
        <w:gridCol w:w="899"/>
        <w:gridCol w:w="2015"/>
        <w:gridCol w:w="3353"/>
        <w:gridCol w:w="929"/>
      </w:tblGrid>
      <w:tr w:rsidR="00422043" w:rsidTr="004835BD">
        <w:tc>
          <w:tcPr>
            <w:tcW w:w="354" w:type="dxa"/>
            <w:tcMar>
              <w:left w:w="11" w:type="dxa"/>
              <w:right w:w="11" w:type="dxa"/>
            </w:tcMar>
            <w:vAlign w:val="center"/>
          </w:tcPr>
          <w:p w:rsidR="00422043" w:rsidRDefault="00422043" w:rsidP="004835BD">
            <w:pPr>
              <w:jc w:val="center"/>
              <w:rPr>
                <w:szCs w:val="21"/>
              </w:rPr>
            </w:pPr>
            <w:r>
              <w:rPr>
                <w:szCs w:val="21"/>
              </w:rPr>
              <w:t>序号</w:t>
            </w:r>
          </w:p>
        </w:tc>
        <w:tc>
          <w:tcPr>
            <w:tcW w:w="1358" w:type="dxa"/>
            <w:vAlign w:val="center"/>
          </w:tcPr>
          <w:p w:rsidR="00422043" w:rsidRDefault="00422043" w:rsidP="004835BD">
            <w:pPr>
              <w:jc w:val="center"/>
              <w:rPr>
                <w:szCs w:val="21"/>
              </w:rPr>
            </w:pPr>
            <w:r>
              <w:rPr>
                <w:szCs w:val="21"/>
              </w:rPr>
              <w:t>所处位置</w:t>
            </w:r>
          </w:p>
        </w:tc>
        <w:tc>
          <w:tcPr>
            <w:tcW w:w="899" w:type="dxa"/>
            <w:vAlign w:val="center"/>
          </w:tcPr>
          <w:p w:rsidR="00422043" w:rsidRDefault="00422043" w:rsidP="004835BD">
            <w:pPr>
              <w:jc w:val="center"/>
              <w:rPr>
                <w:szCs w:val="21"/>
              </w:rPr>
            </w:pPr>
            <w:r>
              <w:rPr>
                <w:szCs w:val="21"/>
              </w:rPr>
              <w:t>噪声源</w:t>
            </w:r>
          </w:p>
        </w:tc>
        <w:tc>
          <w:tcPr>
            <w:tcW w:w="2015" w:type="dxa"/>
            <w:vAlign w:val="center"/>
          </w:tcPr>
          <w:p w:rsidR="00422043" w:rsidRDefault="00422043" w:rsidP="004835BD">
            <w:pPr>
              <w:jc w:val="center"/>
              <w:rPr>
                <w:szCs w:val="21"/>
              </w:rPr>
            </w:pPr>
            <w:r>
              <w:rPr>
                <w:szCs w:val="21"/>
              </w:rPr>
              <w:t>设计提出的环保措施</w:t>
            </w:r>
          </w:p>
        </w:tc>
        <w:tc>
          <w:tcPr>
            <w:tcW w:w="3353" w:type="dxa"/>
            <w:vAlign w:val="center"/>
          </w:tcPr>
          <w:p w:rsidR="00422043" w:rsidRDefault="00422043" w:rsidP="004835BD">
            <w:pPr>
              <w:jc w:val="center"/>
              <w:rPr>
                <w:szCs w:val="21"/>
              </w:rPr>
            </w:pPr>
            <w:r>
              <w:rPr>
                <w:szCs w:val="21"/>
              </w:rPr>
              <w:t>环评增加补充的环保措施</w:t>
            </w:r>
          </w:p>
        </w:tc>
        <w:tc>
          <w:tcPr>
            <w:tcW w:w="929" w:type="dxa"/>
            <w:vAlign w:val="center"/>
          </w:tcPr>
          <w:p w:rsidR="00422043" w:rsidRDefault="00422043" w:rsidP="004835BD">
            <w:pPr>
              <w:jc w:val="center"/>
              <w:rPr>
                <w:szCs w:val="21"/>
              </w:rPr>
            </w:pPr>
            <w:r>
              <w:rPr>
                <w:szCs w:val="21"/>
              </w:rPr>
              <w:t>降噪效果（</w:t>
            </w:r>
            <w:r>
              <w:rPr>
                <w:szCs w:val="21"/>
              </w:rPr>
              <w:t>dB</w:t>
            </w:r>
            <w:r>
              <w:rPr>
                <w:szCs w:val="21"/>
              </w:rPr>
              <w:t>）</w:t>
            </w:r>
          </w:p>
        </w:tc>
      </w:tr>
      <w:tr w:rsidR="00422043" w:rsidTr="004835BD">
        <w:tc>
          <w:tcPr>
            <w:tcW w:w="354" w:type="dxa"/>
            <w:tcMar>
              <w:left w:w="11" w:type="dxa"/>
              <w:right w:w="11" w:type="dxa"/>
            </w:tcMar>
            <w:vAlign w:val="center"/>
          </w:tcPr>
          <w:p w:rsidR="00422043" w:rsidRDefault="00422043" w:rsidP="004835BD">
            <w:pPr>
              <w:jc w:val="center"/>
              <w:rPr>
                <w:szCs w:val="21"/>
              </w:rPr>
            </w:pPr>
            <w:r>
              <w:rPr>
                <w:szCs w:val="21"/>
              </w:rPr>
              <w:t>1</w:t>
            </w:r>
          </w:p>
        </w:tc>
        <w:tc>
          <w:tcPr>
            <w:tcW w:w="1358" w:type="dxa"/>
            <w:vAlign w:val="center"/>
          </w:tcPr>
          <w:p w:rsidR="00422043" w:rsidRDefault="00422043" w:rsidP="004835BD">
            <w:pPr>
              <w:jc w:val="center"/>
              <w:rPr>
                <w:szCs w:val="21"/>
              </w:rPr>
            </w:pPr>
            <w:r>
              <w:rPr>
                <w:rFonts w:hint="eastAsia"/>
                <w:szCs w:val="21"/>
              </w:rPr>
              <w:t>驱动机房</w:t>
            </w:r>
          </w:p>
        </w:tc>
        <w:tc>
          <w:tcPr>
            <w:tcW w:w="899" w:type="dxa"/>
            <w:vAlign w:val="center"/>
          </w:tcPr>
          <w:p w:rsidR="00422043" w:rsidRDefault="00422043" w:rsidP="004835BD">
            <w:pPr>
              <w:jc w:val="center"/>
              <w:rPr>
                <w:szCs w:val="21"/>
              </w:rPr>
            </w:pPr>
            <w:r>
              <w:rPr>
                <w:szCs w:val="21"/>
              </w:rPr>
              <w:t>驱动机</w:t>
            </w:r>
          </w:p>
        </w:tc>
        <w:tc>
          <w:tcPr>
            <w:tcW w:w="2015" w:type="dxa"/>
            <w:vAlign w:val="center"/>
          </w:tcPr>
          <w:p w:rsidR="00422043" w:rsidRDefault="00422043" w:rsidP="004835BD">
            <w:pPr>
              <w:jc w:val="center"/>
              <w:rPr>
                <w:szCs w:val="21"/>
              </w:rPr>
            </w:pPr>
            <w:r>
              <w:rPr>
                <w:rFonts w:hint="eastAsia"/>
                <w:szCs w:val="21"/>
              </w:rPr>
              <w:t>门窗选用隔声型结构，室内设隔声值班室</w:t>
            </w:r>
            <w:r>
              <w:rPr>
                <w:szCs w:val="21"/>
              </w:rPr>
              <w:t>，工作人员配置耳塞、耳罩及防护头盔</w:t>
            </w:r>
          </w:p>
        </w:tc>
        <w:tc>
          <w:tcPr>
            <w:tcW w:w="3353" w:type="dxa"/>
            <w:vAlign w:val="center"/>
          </w:tcPr>
          <w:p w:rsidR="00422043" w:rsidRDefault="00422043" w:rsidP="004835BD">
            <w:pPr>
              <w:jc w:val="center"/>
              <w:rPr>
                <w:szCs w:val="21"/>
              </w:rPr>
            </w:pPr>
            <w:r>
              <w:rPr>
                <w:rFonts w:hint="eastAsia"/>
                <w:szCs w:val="21"/>
              </w:rPr>
              <w:t>驱动机设隔声罩</w:t>
            </w:r>
          </w:p>
        </w:tc>
        <w:tc>
          <w:tcPr>
            <w:tcW w:w="929" w:type="dxa"/>
            <w:vAlign w:val="center"/>
          </w:tcPr>
          <w:p w:rsidR="00422043" w:rsidRDefault="00422043" w:rsidP="004835BD">
            <w:pPr>
              <w:jc w:val="center"/>
              <w:rPr>
                <w:szCs w:val="21"/>
              </w:rPr>
            </w:pPr>
            <w:r>
              <w:rPr>
                <w:rFonts w:hint="eastAsia"/>
                <w:szCs w:val="21"/>
              </w:rPr>
              <w:t>25</w:t>
            </w:r>
          </w:p>
        </w:tc>
      </w:tr>
      <w:tr w:rsidR="00422043" w:rsidTr="004835BD">
        <w:trPr>
          <w:trHeight w:val="269"/>
        </w:trPr>
        <w:tc>
          <w:tcPr>
            <w:tcW w:w="354" w:type="dxa"/>
            <w:tcMar>
              <w:left w:w="11" w:type="dxa"/>
              <w:right w:w="11" w:type="dxa"/>
            </w:tcMar>
            <w:vAlign w:val="center"/>
          </w:tcPr>
          <w:p w:rsidR="00422043" w:rsidRDefault="00422043" w:rsidP="004835BD">
            <w:pPr>
              <w:jc w:val="center"/>
              <w:rPr>
                <w:szCs w:val="21"/>
              </w:rPr>
            </w:pPr>
            <w:r>
              <w:rPr>
                <w:szCs w:val="21"/>
              </w:rPr>
              <w:t>2</w:t>
            </w:r>
          </w:p>
        </w:tc>
        <w:tc>
          <w:tcPr>
            <w:tcW w:w="1358" w:type="dxa"/>
            <w:vAlign w:val="center"/>
          </w:tcPr>
          <w:p w:rsidR="00422043" w:rsidRDefault="00422043" w:rsidP="004835BD">
            <w:pPr>
              <w:jc w:val="center"/>
              <w:rPr>
                <w:szCs w:val="21"/>
              </w:rPr>
            </w:pPr>
            <w:r>
              <w:rPr>
                <w:szCs w:val="21"/>
              </w:rPr>
              <w:t>筛</w:t>
            </w:r>
            <w:r>
              <w:rPr>
                <w:rFonts w:hint="eastAsia"/>
                <w:szCs w:val="21"/>
              </w:rPr>
              <w:t>破</w:t>
            </w:r>
            <w:r>
              <w:rPr>
                <w:szCs w:val="21"/>
              </w:rPr>
              <w:t>车间</w:t>
            </w:r>
          </w:p>
        </w:tc>
        <w:tc>
          <w:tcPr>
            <w:tcW w:w="899" w:type="dxa"/>
            <w:vAlign w:val="center"/>
          </w:tcPr>
          <w:p w:rsidR="00422043" w:rsidRDefault="00422043" w:rsidP="004835BD">
            <w:pPr>
              <w:jc w:val="center"/>
              <w:rPr>
                <w:szCs w:val="21"/>
              </w:rPr>
            </w:pPr>
            <w:r>
              <w:rPr>
                <w:szCs w:val="21"/>
              </w:rPr>
              <w:t>分级筛</w:t>
            </w:r>
          </w:p>
          <w:p w:rsidR="00422043" w:rsidRDefault="00422043" w:rsidP="004835BD">
            <w:pPr>
              <w:jc w:val="center"/>
              <w:rPr>
                <w:szCs w:val="21"/>
              </w:rPr>
            </w:pPr>
            <w:r>
              <w:rPr>
                <w:szCs w:val="21"/>
              </w:rPr>
              <w:t>破碎机</w:t>
            </w:r>
          </w:p>
        </w:tc>
        <w:tc>
          <w:tcPr>
            <w:tcW w:w="2015" w:type="dxa"/>
            <w:vAlign w:val="center"/>
          </w:tcPr>
          <w:p w:rsidR="00422043" w:rsidRDefault="00422043" w:rsidP="004835BD">
            <w:pPr>
              <w:jc w:val="center"/>
              <w:rPr>
                <w:szCs w:val="21"/>
              </w:rPr>
            </w:pPr>
            <w:r>
              <w:rPr>
                <w:szCs w:val="21"/>
              </w:rPr>
              <w:t>工作人员配置耳塞、耳罩及防护头盔</w:t>
            </w:r>
          </w:p>
        </w:tc>
        <w:tc>
          <w:tcPr>
            <w:tcW w:w="3353" w:type="dxa"/>
            <w:vAlign w:val="center"/>
          </w:tcPr>
          <w:p w:rsidR="00422043" w:rsidRDefault="00422043" w:rsidP="004835BD">
            <w:pPr>
              <w:jc w:val="center"/>
              <w:rPr>
                <w:szCs w:val="21"/>
              </w:rPr>
            </w:pPr>
            <w:r>
              <w:rPr>
                <w:rFonts w:hint="eastAsia"/>
                <w:szCs w:val="21"/>
              </w:rPr>
              <w:t>加装专用</w:t>
            </w:r>
            <w:r>
              <w:rPr>
                <w:szCs w:val="21"/>
              </w:rPr>
              <w:t>隔声门窗</w:t>
            </w:r>
            <w:r>
              <w:rPr>
                <w:rFonts w:hint="eastAsia"/>
                <w:szCs w:val="21"/>
              </w:rPr>
              <w:t>，隔声效果不小于</w:t>
            </w:r>
            <w:r>
              <w:rPr>
                <w:rFonts w:hint="eastAsia"/>
                <w:szCs w:val="21"/>
              </w:rPr>
              <w:t>33dB(A)</w:t>
            </w:r>
            <w:r>
              <w:rPr>
                <w:rFonts w:hint="eastAsia"/>
                <w:szCs w:val="21"/>
              </w:rPr>
              <w:t>，设备基础减震，</w:t>
            </w:r>
            <w:r>
              <w:rPr>
                <w:szCs w:val="21"/>
              </w:rPr>
              <w:t>厂房设隔声值班室</w:t>
            </w:r>
          </w:p>
        </w:tc>
        <w:tc>
          <w:tcPr>
            <w:tcW w:w="929" w:type="dxa"/>
            <w:vAlign w:val="center"/>
          </w:tcPr>
          <w:p w:rsidR="00422043" w:rsidRDefault="00422043" w:rsidP="004835BD">
            <w:pPr>
              <w:jc w:val="center"/>
              <w:rPr>
                <w:szCs w:val="21"/>
              </w:rPr>
            </w:pPr>
            <w:r>
              <w:rPr>
                <w:rFonts w:hint="eastAsia"/>
                <w:szCs w:val="21"/>
              </w:rPr>
              <w:t>33</w:t>
            </w:r>
          </w:p>
        </w:tc>
      </w:tr>
      <w:tr w:rsidR="00422043" w:rsidTr="004835BD">
        <w:trPr>
          <w:trHeight w:val="97"/>
        </w:trPr>
        <w:tc>
          <w:tcPr>
            <w:tcW w:w="354" w:type="dxa"/>
            <w:tcMar>
              <w:left w:w="11" w:type="dxa"/>
              <w:right w:w="11" w:type="dxa"/>
            </w:tcMar>
            <w:vAlign w:val="center"/>
          </w:tcPr>
          <w:p w:rsidR="00422043" w:rsidRDefault="00422043" w:rsidP="004835BD">
            <w:pPr>
              <w:jc w:val="center"/>
              <w:rPr>
                <w:szCs w:val="21"/>
              </w:rPr>
            </w:pPr>
            <w:r>
              <w:rPr>
                <w:szCs w:val="21"/>
              </w:rPr>
              <w:t>3</w:t>
            </w:r>
          </w:p>
        </w:tc>
        <w:tc>
          <w:tcPr>
            <w:tcW w:w="1358" w:type="dxa"/>
            <w:vAlign w:val="center"/>
          </w:tcPr>
          <w:p w:rsidR="00422043" w:rsidRDefault="00422043" w:rsidP="004835BD">
            <w:pPr>
              <w:jc w:val="center"/>
              <w:rPr>
                <w:szCs w:val="21"/>
                <w:highlight w:val="yellow"/>
              </w:rPr>
            </w:pPr>
            <w:r>
              <w:rPr>
                <w:szCs w:val="21"/>
              </w:rPr>
              <w:t>主厂房</w:t>
            </w:r>
          </w:p>
        </w:tc>
        <w:tc>
          <w:tcPr>
            <w:tcW w:w="899" w:type="dxa"/>
            <w:vAlign w:val="center"/>
          </w:tcPr>
          <w:p w:rsidR="00422043" w:rsidRDefault="00422043" w:rsidP="004835BD">
            <w:pPr>
              <w:jc w:val="center"/>
              <w:rPr>
                <w:szCs w:val="21"/>
                <w:highlight w:val="yellow"/>
              </w:rPr>
            </w:pPr>
            <w:r>
              <w:rPr>
                <w:szCs w:val="21"/>
              </w:rPr>
              <w:t>分选机等</w:t>
            </w:r>
          </w:p>
        </w:tc>
        <w:tc>
          <w:tcPr>
            <w:tcW w:w="2015" w:type="dxa"/>
            <w:vAlign w:val="center"/>
          </w:tcPr>
          <w:p w:rsidR="00422043" w:rsidRDefault="00422043" w:rsidP="004835BD">
            <w:pPr>
              <w:jc w:val="center"/>
              <w:rPr>
                <w:szCs w:val="21"/>
              </w:rPr>
            </w:pPr>
            <w:r>
              <w:rPr>
                <w:szCs w:val="21"/>
              </w:rPr>
              <w:t>工作人员配置耳塞、耳罩及防护头盔</w:t>
            </w:r>
          </w:p>
        </w:tc>
        <w:tc>
          <w:tcPr>
            <w:tcW w:w="3353" w:type="dxa"/>
            <w:vAlign w:val="center"/>
          </w:tcPr>
          <w:p w:rsidR="00422043" w:rsidRDefault="00422043" w:rsidP="004835BD">
            <w:pPr>
              <w:jc w:val="center"/>
              <w:rPr>
                <w:szCs w:val="21"/>
              </w:rPr>
            </w:pPr>
            <w:r>
              <w:rPr>
                <w:rFonts w:hint="eastAsia"/>
                <w:szCs w:val="21"/>
              </w:rPr>
              <w:t>加装专用</w:t>
            </w:r>
            <w:r>
              <w:rPr>
                <w:szCs w:val="21"/>
              </w:rPr>
              <w:t>隔声门窗</w:t>
            </w:r>
            <w:r>
              <w:rPr>
                <w:rFonts w:hint="eastAsia"/>
                <w:szCs w:val="21"/>
              </w:rPr>
              <w:t>，隔声效果不小于</w:t>
            </w:r>
            <w:r>
              <w:rPr>
                <w:rFonts w:hint="eastAsia"/>
                <w:szCs w:val="21"/>
              </w:rPr>
              <w:t>33dB(A)</w:t>
            </w:r>
            <w:r>
              <w:rPr>
                <w:rFonts w:hint="eastAsia"/>
                <w:szCs w:val="21"/>
              </w:rPr>
              <w:t>，设备基础减震，</w:t>
            </w:r>
            <w:r>
              <w:rPr>
                <w:szCs w:val="21"/>
              </w:rPr>
              <w:t>厂房设隔声值班室</w:t>
            </w:r>
          </w:p>
        </w:tc>
        <w:tc>
          <w:tcPr>
            <w:tcW w:w="929" w:type="dxa"/>
            <w:vAlign w:val="center"/>
          </w:tcPr>
          <w:p w:rsidR="00422043" w:rsidRDefault="00422043" w:rsidP="004835BD">
            <w:pPr>
              <w:jc w:val="center"/>
              <w:rPr>
                <w:szCs w:val="21"/>
              </w:rPr>
            </w:pPr>
            <w:r>
              <w:rPr>
                <w:rFonts w:hint="eastAsia"/>
                <w:szCs w:val="21"/>
              </w:rPr>
              <w:t>33</w:t>
            </w:r>
          </w:p>
        </w:tc>
      </w:tr>
      <w:tr w:rsidR="00422043" w:rsidTr="004835BD">
        <w:trPr>
          <w:trHeight w:val="213"/>
        </w:trPr>
        <w:tc>
          <w:tcPr>
            <w:tcW w:w="354" w:type="dxa"/>
            <w:tcMar>
              <w:left w:w="11" w:type="dxa"/>
              <w:right w:w="11" w:type="dxa"/>
            </w:tcMar>
            <w:vAlign w:val="center"/>
          </w:tcPr>
          <w:p w:rsidR="00422043" w:rsidRDefault="00422043" w:rsidP="004835BD">
            <w:pPr>
              <w:jc w:val="center"/>
              <w:rPr>
                <w:szCs w:val="21"/>
              </w:rPr>
            </w:pPr>
            <w:r>
              <w:rPr>
                <w:szCs w:val="21"/>
              </w:rPr>
              <w:t>4</w:t>
            </w:r>
          </w:p>
        </w:tc>
        <w:tc>
          <w:tcPr>
            <w:tcW w:w="1358" w:type="dxa"/>
            <w:vAlign w:val="center"/>
          </w:tcPr>
          <w:p w:rsidR="00422043" w:rsidRDefault="00422043" w:rsidP="004835BD">
            <w:pPr>
              <w:jc w:val="center"/>
              <w:rPr>
                <w:szCs w:val="21"/>
              </w:rPr>
            </w:pPr>
            <w:r>
              <w:rPr>
                <w:rFonts w:hint="eastAsia"/>
              </w:rPr>
              <w:t>乏风热泵机房</w:t>
            </w:r>
          </w:p>
        </w:tc>
        <w:tc>
          <w:tcPr>
            <w:tcW w:w="899" w:type="dxa"/>
            <w:vAlign w:val="center"/>
          </w:tcPr>
          <w:p w:rsidR="00422043" w:rsidRDefault="00422043" w:rsidP="004835BD">
            <w:pPr>
              <w:jc w:val="center"/>
              <w:rPr>
                <w:szCs w:val="21"/>
              </w:rPr>
            </w:pPr>
            <w:r>
              <w:rPr>
                <w:rFonts w:hint="eastAsia"/>
              </w:rPr>
              <w:t>压缩机</w:t>
            </w:r>
          </w:p>
        </w:tc>
        <w:tc>
          <w:tcPr>
            <w:tcW w:w="2015" w:type="dxa"/>
            <w:vAlign w:val="center"/>
          </w:tcPr>
          <w:p w:rsidR="00422043" w:rsidRDefault="00422043" w:rsidP="004835BD">
            <w:pPr>
              <w:jc w:val="center"/>
              <w:rPr>
                <w:szCs w:val="21"/>
              </w:rPr>
            </w:pPr>
            <w:r>
              <w:rPr>
                <w:szCs w:val="21"/>
              </w:rPr>
              <w:t>工作人员配置耳塞、耳罩及防护头盔</w:t>
            </w:r>
          </w:p>
        </w:tc>
        <w:tc>
          <w:tcPr>
            <w:tcW w:w="3353" w:type="dxa"/>
            <w:vAlign w:val="center"/>
          </w:tcPr>
          <w:p w:rsidR="00422043" w:rsidRDefault="00422043" w:rsidP="004835BD">
            <w:pPr>
              <w:jc w:val="center"/>
              <w:rPr>
                <w:szCs w:val="21"/>
              </w:rPr>
            </w:pPr>
            <w:r>
              <w:t>安装</w:t>
            </w:r>
            <w:r>
              <w:rPr>
                <w:rFonts w:hint="eastAsia"/>
              </w:rPr>
              <w:t>隔声罩、设备减震、隔声门窗</w:t>
            </w:r>
          </w:p>
        </w:tc>
        <w:tc>
          <w:tcPr>
            <w:tcW w:w="929" w:type="dxa"/>
            <w:vAlign w:val="center"/>
          </w:tcPr>
          <w:p w:rsidR="00422043" w:rsidRDefault="00422043" w:rsidP="004835BD">
            <w:pPr>
              <w:jc w:val="center"/>
              <w:rPr>
                <w:szCs w:val="21"/>
              </w:rPr>
            </w:pPr>
            <w:r>
              <w:rPr>
                <w:rFonts w:hint="eastAsia"/>
                <w:szCs w:val="21"/>
              </w:rPr>
              <w:t>20</w:t>
            </w:r>
          </w:p>
        </w:tc>
      </w:tr>
      <w:tr w:rsidR="00422043" w:rsidTr="004835BD">
        <w:trPr>
          <w:trHeight w:val="101"/>
        </w:trPr>
        <w:tc>
          <w:tcPr>
            <w:tcW w:w="354" w:type="dxa"/>
            <w:tcMar>
              <w:left w:w="11" w:type="dxa"/>
              <w:right w:w="11" w:type="dxa"/>
            </w:tcMar>
            <w:vAlign w:val="center"/>
          </w:tcPr>
          <w:p w:rsidR="00422043" w:rsidRDefault="00422043" w:rsidP="004835BD">
            <w:pPr>
              <w:jc w:val="center"/>
              <w:rPr>
                <w:szCs w:val="21"/>
              </w:rPr>
            </w:pPr>
            <w:r>
              <w:rPr>
                <w:szCs w:val="21"/>
              </w:rPr>
              <w:t>5</w:t>
            </w:r>
          </w:p>
        </w:tc>
        <w:tc>
          <w:tcPr>
            <w:tcW w:w="1358" w:type="dxa"/>
            <w:vAlign w:val="center"/>
          </w:tcPr>
          <w:p w:rsidR="00422043" w:rsidRDefault="00422043" w:rsidP="004835BD">
            <w:pPr>
              <w:jc w:val="center"/>
            </w:pPr>
            <w:r>
              <w:rPr>
                <w:szCs w:val="21"/>
              </w:rPr>
              <w:t>通风</w:t>
            </w:r>
            <w:r>
              <w:rPr>
                <w:rFonts w:hint="eastAsia"/>
                <w:szCs w:val="21"/>
              </w:rPr>
              <w:t>机房</w:t>
            </w:r>
          </w:p>
        </w:tc>
        <w:tc>
          <w:tcPr>
            <w:tcW w:w="899" w:type="dxa"/>
            <w:vAlign w:val="center"/>
          </w:tcPr>
          <w:p w:rsidR="00422043" w:rsidRDefault="00422043" w:rsidP="004835BD">
            <w:pPr>
              <w:jc w:val="center"/>
            </w:pPr>
            <w:r>
              <w:rPr>
                <w:szCs w:val="21"/>
              </w:rPr>
              <w:t>通风机</w:t>
            </w:r>
          </w:p>
        </w:tc>
        <w:tc>
          <w:tcPr>
            <w:tcW w:w="2015" w:type="dxa"/>
            <w:vAlign w:val="center"/>
          </w:tcPr>
          <w:p w:rsidR="00422043" w:rsidRDefault="00422043" w:rsidP="004835BD">
            <w:pPr>
              <w:jc w:val="center"/>
              <w:rPr>
                <w:szCs w:val="21"/>
              </w:rPr>
            </w:pPr>
            <w:r>
              <w:rPr>
                <w:rFonts w:hint="eastAsia"/>
                <w:szCs w:val="21"/>
              </w:rPr>
              <w:t>/</w:t>
            </w:r>
          </w:p>
        </w:tc>
        <w:tc>
          <w:tcPr>
            <w:tcW w:w="3353" w:type="dxa"/>
            <w:vAlign w:val="center"/>
          </w:tcPr>
          <w:p w:rsidR="00422043" w:rsidRDefault="00422043" w:rsidP="004835BD">
            <w:pPr>
              <w:jc w:val="center"/>
              <w:rPr>
                <w:szCs w:val="21"/>
              </w:rPr>
            </w:pPr>
            <w:r>
              <w:t>安装消声器</w:t>
            </w:r>
          </w:p>
        </w:tc>
        <w:tc>
          <w:tcPr>
            <w:tcW w:w="929" w:type="dxa"/>
            <w:vAlign w:val="center"/>
          </w:tcPr>
          <w:p w:rsidR="00422043" w:rsidRDefault="00422043" w:rsidP="004835BD">
            <w:pPr>
              <w:jc w:val="center"/>
              <w:rPr>
                <w:szCs w:val="21"/>
              </w:rPr>
            </w:pPr>
            <w:r>
              <w:rPr>
                <w:szCs w:val="21"/>
              </w:rPr>
              <w:t>30</w:t>
            </w:r>
          </w:p>
        </w:tc>
      </w:tr>
      <w:tr w:rsidR="00422043" w:rsidTr="004835BD">
        <w:trPr>
          <w:trHeight w:val="201"/>
        </w:trPr>
        <w:tc>
          <w:tcPr>
            <w:tcW w:w="354" w:type="dxa"/>
            <w:tcMar>
              <w:left w:w="11" w:type="dxa"/>
              <w:right w:w="11" w:type="dxa"/>
            </w:tcMar>
            <w:vAlign w:val="center"/>
          </w:tcPr>
          <w:p w:rsidR="00422043" w:rsidRDefault="00422043" w:rsidP="004835BD">
            <w:pPr>
              <w:jc w:val="center"/>
              <w:rPr>
                <w:szCs w:val="21"/>
              </w:rPr>
            </w:pPr>
            <w:r>
              <w:rPr>
                <w:szCs w:val="21"/>
              </w:rPr>
              <w:t>6</w:t>
            </w:r>
          </w:p>
        </w:tc>
        <w:tc>
          <w:tcPr>
            <w:tcW w:w="1358" w:type="dxa"/>
            <w:vAlign w:val="center"/>
          </w:tcPr>
          <w:p w:rsidR="00422043" w:rsidRDefault="00422043" w:rsidP="004835BD">
            <w:pPr>
              <w:jc w:val="center"/>
              <w:rPr>
                <w:szCs w:val="21"/>
              </w:rPr>
            </w:pPr>
            <w:r>
              <w:rPr>
                <w:rFonts w:hint="eastAsia"/>
              </w:rPr>
              <w:t>压缩空气站</w:t>
            </w:r>
          </w:p>
        </w:tc>
        <w:tc>
          <w:tcPr>
            <w:tcW w:w="899" w:type="dxa"/>
            <w:vAlign w:val="center"/>
          </w:tcPr>
          <w:p w:rsidR="00422043" w:rsidRDefault="00422043" w:rsidP="004835BD">
            <w:pPr>
              <w:jc w:val="center"/>
            </w:pPr>
            <w:r>
              <w:t>空气</w:t>
            </w:r>
          </w:p>
          <w:p w:rsidR="00422043" w:rsidRDefault="00422043" w:rsidP="004835BD">
            <w:pPr>
              <w:jc w:val="center"/>
              <w:rPr>
                <w:szCs w:val="21"/>
              </w:rPr>
            </w:pPr>
            <w:r>
              <w:t>压缩机</w:t>
            </w:r>
          </w:p>
        </w:tc>
        <w:tc>
          <w:tcPr>
            <w:tcW w:w="2015" w:type="dxa"/>
            <w:vAlign w:val="center"/>
          </w:tcPr>
          <w:p w:rsidR="00422043" w:rsidRDefault="00422043" w:rsidP="004835BD">
            <w:pPr>
              <w:jc w:val="center"/>
              <w:rPr>
                <w:szCs w:val="21"/>
              </w:rPr>
            </w:pPr>
            <w:r>
              <w:rPr>
                <w:rFonts w:hint="eastAsia"/>
                <w:szCs w:val="21"/>
              </w:rPr>
              <w:t>门窗选用隔声型结构，压风机进风口设阻抗复合消声器，设隔声值班室</w:t>
            </w:r>
          </w:p>
        </w:tc>
        <w:tc>
          <w:tcPr>
            <w:tcW w:w="3353" w:type="dxa"/>
            <w:vAlign w:val="center"/>
          </w:tcPr>
          <w:p w:rsidR="00422043" w:rsidRDefault="00422043" w:rsidP="004835BD">
            <w:pPr>
              <w:jc w:val="center"/>
              <w:rPr>
                <w:szCs w:val="21"/>
              </w:rPr>
            </w:pPr>
            <w:r>
              <w:rPr>
                <w:szCs w:val="21"/>
              </w:rPr>
              <w:t>空压机设置</w:t>
            </w:r>
            <w:r>
              <w:rPr>
                <w:rFonts w:hint="eastAsia"/>
                <w:szCs w:val="21"/>
              </w:rPr>
              <w:t>隔声罩</w:t>
            </w:r>
          </w:p>
        </w:tc>
        <w:tc>
          <w:tcPr>
            <w:tcW w:w="929" w:type="dxa"/>
            <w:vAlign w:val="center"/>
          </w:tcPr>
          <w:p w:rsidR="00422043" w:rsidRDefault="00422043" w:rsidP="004835BD">
            <w:pPr>
              <w:jc w:val="center"/>
              <w:rPr>
                <w:szCs w:val="21"/>
              </w:rPr>
            </w:pPr>
            <w:r>
              <w:rPr>
                <w:szCs w:val="21"/>
              </w:rPr>
              <w:t>20</w:t>
            </w:r>
          </w:p>
        </w:tc>
      </w:tr>
      <w:tr w:rsidR="00422043" w:rsidTr="004835BD">
        <w:trPr>
          <w:trHeight w:val="165"/>
        </w:trPr>
        <w:tc>
          <w:tcPr>
            <w:tcW w:w="354" w:type="dxa"/>
            <w:tcMar>
              <w:left w:w="11" w:type="dxa"/>
              <w:right w:w="11" w:type="dxa"/>
            </w:tcMar>
            <w:vAlign w:val="center"/>
          </w:tcPr>
          <w:p w:rsidR="00422043" w:rsidRDefault="00422043" w:rsidP="004835BD">
            <w:pPr>
              <w:jc w:val="center"/>
              <w:rPr>
                <w:szCs w:val="21"/>
              </w:rPr>
            </w:pPr>
            <w:r>
              <w:rPr>
                <w:szCs w:val="21"/>
              </w:rPr>
              <w:t>7</w:t>
            </w:r>
          </w:p>
        </w:tc>
        <w:tc>
          <w:tcPr>
            <w:tcW w:w="1358" w:type="dxa"/>
            <w:vAlign w:val="center"/>
          </w:tcPr>
          <w:p w:rsidR="00422043" w:rsidRDefault="00422043" w:rsidP="004835BD">
            <w:pPr>
              <w:jc w:val="center"/>
            </w:pPr>
            <w:r>
              <w:rPr>
                <w:szCs w:val="21"/>
              </w:rPr>
              <w:t>黄泥灌浆站</w:t>
            </w:r>
          </w:p>
        </w:tc>
        <w:tc>
          <w:tcPr>
            <w:tcW w:w="899" w:type="dxa"/>
            <w:vAlign w:val="center"/>
          </w:tcPr>
          <w:p w:rsidR="00422043" w:rsidRDefault="00422043" w:rsidP="004835BD">
            <w:pPr>
              <w:jc w:val="center"/>
            </w:pPr>
            <w:r>
              <w:rPr>
                <w:szCs w:val="21"/>
              </w:rPr>
              <w:t>灌浆泵</w:t>
            </w:r>
          </w:p>
        </w:tc>
        <w:tc>
          <w:tcPr>
            <w:tcW w:w="2015" w:type="dxa"/>
            <w:vAlign w:val="center"/>
          </w:tcPr>
          <w:p w:rsidR="00422043" w:rsidRDefault="00422043" w:rsidP="004835BD">
            <w:pPr>
              <w:jc w:val="center"/>
              <w:rPr>
                <w:szCs w:val="21"/>
              </w:rPr>
            </w:pPr>
            <w:r>
              <w:rPr>
                <w:rFonts w:hint="eastAsia"/>
                <w:szCs w:val="21"/>
              </w:rPr>
              <w:t>/</w:t>
            </w:r>
          </w:p>
        </w:tc>
        <w:tc>
          <w:tcPr>
            <w:tcW w:w="3353" w:type="dxa"/>
            <w:vAlign w:val="center"/>
          </w:tcPr>
          <w:p w:rsidR="00422043" w:rsidRDefault="00422043" w:rsidP="004835BD">
            <w:pPr>
              <w:jc w:val="center"/>
              <w:rPr>
                <w:szCs w:val="21"/>
              </w:rPr>
            </w:pPr>
            <w:r>
              <w:rPr>
                <w:rFonts w:hint="eastAsia"/>
              </w:rPr>
              <w:t>设备减震，</w:t>
            </w:r>
            <w:r>
              <w:rPr>
                <w:szCs w:val="21"/>
              </w:rPr>
              <w:t>采用隔声门窗</w:t>
            </w:r>
          </w:p>
        </w:tc>
        <w:tc>
          <w:tcPr>
            <w:tcW w:w="929" w:type="dxa"/>
            <w:vAlign w:val="center"/>
          </w:tcPr>
          <w:p w:rsidR="00422043" w:rsidRDefault="00422043" w:rsidP="004835BD">
            <w:pPr>
              <w:jc w:val="center"/>
              <w:rPr>
                <w:szCs w:val="21"/>
              </w:rPr>
            </w:pPr>
            <w:r>
              <w:rPr>
                <w:szCs w:val="21"/>
              </w:rPr>
              <w:t>20</w:t>
            </w:r>
          </w:p>
        </w:tc>
      </w:tr>
      <w:tr w:rsidR="00422043" w:rsidTr="004835BD">
        <w:trPr>
          <w:trHeight w:val="165"/>
        </w:trPr>
        <w:tc>
          <w:tcPr>
            <w:tcW w:w="354" w:type="dxa"/>
            <w:tcMar>
              <w:left w:w="11" w:type="dxa"/>
              <w:right w:w="11" w:type="dxa"/>
            </w:tcMar>
            <w:vAlign w:val="center"/>
          </w:tcPr>
          <w:p w:rsidR="00422043" w:rsidRDefault="00422043" w:rsidP="004835BD">
            <w:pPr>
              <w:jc w:val="center"/>
              <w:rPr>
                <w:szCs w:val="21"/>
              </w:rPr>
            </w:pPr>
            <w:r>
              <w:rPr>
                <w:rFonts w:hint="eastAsia"/>
                <w:szCs w:val="21"/>
              </w:rPr>
              <w:t>8</w:t>
            </w:r>
          </w:p>
        </w:tc>
        <w:tc>
          <w:tcPr>
            <w:tcW w:w="1358" w:type="dxa"/>
            <w:vAlign w:val="center"/>
          </w:tcPr>
          <w:p w:rsidR="00422043" w:rsidRDefault="00422043" w:rsidP="004835BD">
            <w:pPr>
              <w:jc w:val="center"/>
              <w:rPr>
                <w:szCs w:val="21"/>
              </w:rPr>
            </w:pPr>
            <w:r>
              <w:rPr>
                <w:szCs w:val="21"/>
              </w:rPr>
              <w:t>输煤栈桥</w:t>
            </w:r>
          </w:p>
        </w:tc>
        <w:tc>
          <w:tcPr>
            <w:tcW w:w="899" w:type="dxa"/>
            <w:vAlign w:val="center"/>
          </w:tcPr>
          <w:p w:rsidR="00422043" w:rsidRDefault="00422043" w:rsidP="004835BD">
            <w:pPr>
              <w:jc w:val="center"/>
              <w:rPr>
                <w:szCs w:val="21"/>
              </w:rPr>
            </w:pPr>
            <w:r>
              <w:rPr>
                <w:szCs w:val="21"/>
              </w:rPr>
              <w:t>输煤皮带</w:t>
            </w:r>
          </w:p>
        </w:tc>
        <w:tc>
          <w:tcPr>
            <w:tcW w:w="2015" w:type="dxa"/>
            <w:vAlign w:val="center"/>
          </w:tcPr>
          <w:p w:rsidR="00422043" w:rsidRDefault="00422043" w:rsidP="004835BD">
            <w:pPr>
              <w:jc w:val="center"/>
              <w:rPr>
                <w:szCs w:val="21"/>
              </w:rPr>
            </w:pPr>
            <w:r>
              <w:rPr>
                <w:szCs w:val="21"/>
              </w:rPr>
              <w:t>封闭</w:t>
            </w:r>
          </w:p>
        </w:tc>
        <w:tc>
          <w:tcPr>
            <w:tcW w:w="3353" w:type="dxa"/>
            <w:vAlign w:val="center"/>
          </w:tcPr>
          <w:p w:rsidR="00422043" w:rsidRDefault="00422043" w:rsidP="004835BD">
            <w:pPr>
              <w:jc w:val="center"/>
              <w:rPr>
                <w:szCs w:val="21"/>
              </w:rPr>
            </w:pPr>
            <w:r>
              <w:t>封闭隔声，阻尼措施</w:t>
            </w:r>
          </w:p>
        </w:tc>
        <w:tc>
          <w:tcPr>
            <w:tcW w:w="929" w:type="dxa"/>
            <w:vAlign w:val="center"/>
          </w:tcPr>
          <w:p w:rsidR="00422043" w:rsidRDefault="00422043" w:rsidP="004835BD">
            <w:pPr>
              <w:jc w:val="center"/>
              <w:rPr>
                <w:szCs w:val="21"/>
              </w:rPr>
            </w:pPr>
            <w:r>
              <w:rPr>
                <w:szCs w:val="21"/>
              </w:rPr>
              <w:t>15</w:t>
            </w:r>
          </w:p>
        </w:tc>
      </w:tr>
      <w:tr w:rsidR="00422043" w:rsidTr="004835BD">
        <w:trPr>
          <w:trHeight w:val="225"/>
        </w:trPr>
        <w:tc>
          <w:tcPr>
            <w:tcW w:w="354" w:type="dxa"/>
            <w:tcMar>
              <w:left w:w="11" w:type="dxa"/>
              <w:right w:w="11" w:type="dxa"/>
            </w:tcMar>
            <w:vAlign w:val="center"/>
          </w:tcPr>
          <w:p w:rsidR="00422043" w:rsidRDefault="00422043" w:rsidP="004835BD">
            <w:pPr>
              <w:jc w:val="center"/>
              <w:rPr>
                <w:szCs w:val="21"/>
              </w:rPr>
            </w:pPr>
            <w:r>
              <w:rPr>
                <w:szCs w:val="21"/>
              </w:rPr>
              <w:t>11</w:t>
            </w:r>
          </w:p>
        </w:tc>
        <w:tc>
          <w:tcPr>
            <w:tcW w:w="1358" w:type="dxa"/>
            <w:vAlign w:val="center"/>
          </w:tcPr>
          <w:p w:rsidR="00422043" w:rsidRDefault="00422043" w:rsidP="004835BD">
            <w:pPr>
              <w:jc w:val="center"/>
              <w:rPr>
                <w:szCs w:val="21"/>
              </w:rPr>
            </w:pPr>
            <w:r>
              <w:rPr>
                <w:szCs w:val="21"/>
              </w:rPr>
              <w:t>其他</w:t>
            </w:r>
          </w:p>
        </w:tc>
        <w:tc>
          <w:tcPr>
            <w:tcW w:w="899" w:type="dxa"/>
            <w:vAlign w:val="center"/>
          </w:tcPr>
          <w:p w:rsidR="00422043" w:rsidRDefault="00422043" w:rsidP="004835BD">
            <w:pPr>
              <w:jc w:val="center"/>
              <w:rPr>
                <w:szCs w:val="21"/>
              </w:rPr>
            </w:pPr>
            <w:r>
              <w:rPr>
                <w:szCs w:val="21"/>
              </w:rPr>
              <w:t>/</w:t>
            </w:r>
          </w:p>
        </w:tc>
        <w:tc>
          <w:tcPr>
            <w:tcW w:w="2015" w:type="dxa"/>
            <w:vAlign w:val="center"/>
          </w:tcPr>
          <w:p w:rsidR="00422043" w:rsidRDefault="00422043" w:rsidP="004835BD">
            <w:pPr>
              <w:jc w:val="center"/>
              <w:rPr>
                <w:szCs w:val="21"/>
              </w:rPr>
            </w:pPr>
            <w:r>
              <w:rPr>
                <w:szCs w:val="21"/>
              </w:rPr>
              <w:t>/</w:t>
            </w:r>
          </w:p>
        </w:tc>
        <w:tc>
          <w:tcPr>
            <w:tcW w:w="3353" w:type="dxa"/>
            <w:vAlign w:val="center"/>
          </w:tcPr>
          <w:p w:rsidR="00422043" w:rsidRDefault="00422043" w:rsidP="004835BD">
            <w:pPr>
              <w:jc w:val="center"/>
              <w:rPr>
                <w:color w:val="FF0000"/>
                <w:szCs w:val="21"/>
              </w:rPr>
            </w:pPr>
            <w:r>
              <w:rPr>
                <w:szCs w:val="21"/>
              </w:rPr>
              <w:t>加强进入矿井范围内车辆的运输管理，经过敏感区道路段采取限速及限制鸣笛等措施</w:t>
            </w:r>
            <w:r>
              <w:rPr>
                <w:rFonts w:hint="eastAsia"/>
                <w:szCs w:val="21"/>
              </w:rPr>
              <w:t>，</w:t>
            </w:r>
            <w:r>
              <w:rPr>
                <w:rFonts w:hint="eastAsia"/>
                <w:color w:val="FF0000"/>
                <w:szCs w:val="21"/>
              </w:rPr>
              <w:t>做好道路两侧居民点噪声监测，并在必要时采取对居民房屋朝向运煤道路侧加装隔声门窗等措施使其满足相应标准要求</w:t>
            </w:r>
          </w:p>
        </w:tc>
        <w:tc>
          <w:tcPr>
            <w:tcW w:w="929" w:type="dxa"/>
            <w:vAlign w:val="center"/>
          </w:tcPr>
          <w:p w:rsidR="00422043" w:rsidRDefault="00422043" w:rsidP="004835BD">
            <w:pPr>
              <w:jc w:val="center"/>
              <w:rPr>
                <w:szCs w:val="21"/>
              </w:rPr>
            </w:pPr>
            <w:r>
              <w:rPr>
                <w:rFonts w:hint="eastAsia"/>
                <w:szCs w:val="21"/>
              </w:rPr>
              <w:t>/</w:t>
            </w:r>
          </w:p>
        </w:tc>
      </w:tr>
    </w:tbl>
    <w:p w:rsidR="0093772F" w:rsidRPr="00993B79" w:rsidRDefault="0093772F" w:rsidP="00C006A7">
      <w:pPr>
        <w:spacing w:line="360" w:lineRule="auto"/>
        <w:ind w:firstLineChars="200" w:firstLine="480"/>
        <w:rPr>
          <w:sz w:val="24"/>
          <w:szCs w:val="22"/>
        </w:rPr>
      </w:pPr>
      <w:r w:rsidRPr="00993B79">
        <w:rPr>
          <w:sz w:val="24"/>
          <w:szCs w:val="22"/>
        </w:rPr>
        <w:t>（</w:t>
      </w:r>
      <w:r w:rsidRPr="00993B79">
        <w:rPr>
          <w:sz w:val="24"/>
          <w:szCs w:val="22"/>
        </w:rPr>
        <w:t>2</w:t>
      </w:r>
      <w:r w:rsidRPr="00993B79">
        <w:rPr>
          <w:sz w:val="24"/>
          <w:szCs w:val="22"/>
        </w:rPr>
        <w:t>）噪声控制辅助措施</w:t>
      </w:r>
    </w:p>
    <w:p w:rsidR="0093772F" w:rsidRPr="00993B79" w:rsidRDefault="0093772F" w:rsidP="0093772F">
      <w:pPr>
        <w:spacing w:line="360" w:lineRule="auto"/>
        <w:ind w:firstLineChars="200" w:firstLine="480"/>
        <w:rPr>
          <w:b/>
          <w:sz w:val="24"/>
        </w:rPr>
      </w:pPr>
      <w:r w:rsidRPr="00993B79">
        <w:rPr>
          <w:rFonts w:hint="eastAsia"/>
          <w:sz w:val="24"/>
        </w:rPr>
        <w:t>除</w:t>
      </w:r>
      <w:r w:rsidRPr="00993B79">
        <w:rPr>
          <w:sz w:val="24"/>
        </w:rPr>
        <w:t>以上防治措施</w:t>
      </w:r>
      <w:r w:rsidRPr="00993B79">
        <w:rPr>
          <w:rFonts w:hint="eastAsia"/>
          <w:sz w:val="24"/>
        </w:rPr>
        <w:t>外</w:t>
      </w:r>
      <w:r w:rsidRPr="00993B79">
        <w:rPr>
          <w:sz w:val="24"/>
        </w:rPr>
        <w:t>，</w:t>
      </w:r>
      <w:r w:rsidRPr="00993B79">
        <w:rPr>
          <w:rFonts w:hint="eastAsia"/>
          <w:sz w:val="24"/>
        </w:rPr>
        <w:t>为进一步减小噪声排放，本次评价还提出相应的</w:t>
      </w:r>
      <w:r w:rsidRPr="00993B79">
        <w:rPr>
          <w:sz w:val="24"/>
        </w:rPr>
        <w:t>辅助措施</w:t>
      </w:r>
      <w:r w:rsidRPr="00993B79">
        <w:rPr>
          <w:rFonts w:hint="eastAsia"/>
          <w:sz w:val="24"/>
        </w:rPr>
        <w:t>，如</w:t>
      </w:r>
      <w:r w:rsidRPr="00993B79">
        <w:rPr>
          <w:rFonts w:ascii="宋体" w:hAnsi="宋体" w:hint="eastAsia"/>
          <w:sz w:val="24"/>
        </w:rPr>
        <w:t>设备选型时，优先采用高效低噪产品，或设计及订货时要求制造厂方配套提供降噪设施；</w:t>
      </w:r>
      <w:r w:rsidRPr="00993B79">
        <w:rPr>
          <w:sz w:val="24"/>
        </w:rPr>
        <w:t>在厂界四周设置阔叶、针叶混交防护林带、利用绿化的降噪效果予以辅助治理</w:t>
      </w:r>
      <w:r w:rsidRPr="00993B79">
        <w:rPr>
          <w:rFonts w:hint="eastAsia"/>
          <w:sz w:val="24"/>
        </w:rPr>
        <w:t>。</w:t>
      </w:r>
    </w:p>
    <w:p w:rsidR="0093772F" w:rsidRPr="00993B79" w:rsidRDefault="0093772F" w:rsidP="00C006A7">
      <w:pPr>
        <w:spacing w:line="360" w:lineRule="auto"/>
        <w:ind w:firstLineChars="200" w:firstLine="480"/>
        <w:rPr>
          <w:sz w:val="24"/>
        </w:rPr>
      </w:pPr>
      <w:r w:rsidRPr="00993B79">
        <w:rPr>
          <w:rFonts w:hint="eastAsia"/>
          <w:sz w:val="24"/>
        </w:rPr>
        <w:t>（</w:t>
      </w:r>
      <w:r w:rsidRPr="00993B79">
        <w:rPr>
          <w:rFonts w:hint="eastAsia"/>
          <w:sz w:val="24"/>
        </w:rPr>
        <w:t>3</w:t>
      </w:r>
      <w:r w:rsidRPr="00993B79">
        <w:rPr>
          <w:rFonts w:hint="eastAsia"/>
          <w:sz w:val="24"/>
        </w:rPr>
        <w:t>）</w:t>
      </w:r>
      <w:r w:rsidRPr="00993B79">
        <w:rPr>
          <w:sz w:val="24"/>
        </w:rPr>
        <w:t>场外运输交通噪声控制措施</w:t>
      </w:r>
    </w:p>
    <w:p w:rsidR="0093772F" w:rsidRPr="00993B79" w:rsidRDefault="0093772F" w:rsidP="0093772F">
      <w:pPr>
        <w:pStyle w:val="hb1"/>
        <w:ind w:firstLine="480"/>
        <w:rPr>
          <w:szCs w:val="24"/>
        </w:rPr>
      </w:pPr>
      <w:r w:rsidRPr="00993B79">
        <w:rPr>
          <w:rFonts w:hint="eastAsia"/>
          <w:szCs w:val="24"/>
        </w:rPr>
        <w:t>对于运煤车辆产生的交通</w:t>
      </w:r>
      <w:r w:rsidRPr="00993B79">
        <w:rPr>
          <w:szCs w:val="24"/>
        </w:rPr>
        <w:t>噪声，</w:t>
      </w:r>
      <w:r w:rsidRPr="00993B79">
        <w:rPr>
          <w:rFonts w:hint="eastAsia"/>
          <w:szCs w:val="24"/>
        </w:rPr>
        <w:t>环评提出以下补充要求</w:t>
      </w:r>
      <w:r w:rsidRPr="00993B79">
        <w:rPr>
          <w:szCs w:val="24"/>
        </w:rPr>
        <w:t>：</w:t>
      </w:r>
    </w:p>
    <w:p w:rsidR="0093772F" w:rsidRPr="00993B79" w:rsidRDefault="0093772F" w:rsidP="0093772F">
      <w:pPr>
        <w:pStyle w:val="hb1"/>
        <w:ind w:firstLine="480"/>
        <w:rPr>
          <w:szCs w:val="24"/>
        </w:rPr>
      </w:pPr>
      <w:r w:rsidRPr="00993B79">
        <w:rPr>
          <w:rFonts w:hint="eastAsia"/>
          <w:szCs w:val="24"/>
        </w:rPr>
        <w:lastRenderedPageBreak/>
        <w:t>①</w:t>
      </w:r>
      <w:r w:rsidRPr="00993B79">
        <w:rPr>
          <w:szCs w:val="24"/>
        </w:rPr>
        <w:t>对于本工程场外道路，应经常维护，保证路面完好，降低车辆通过时的噪声</w:t>
      </w:r>
      <w:r w:rsidRPr="00993B79">
        <w:rPr>
          <w:rFonts w:hint="eastAsia"/>
          <w:szCs w:val="24"/>
        </w:rPr>
        <w:t>；</w:t>
      </w:r>
      <w:r w:rsidRPr="00993B79">
        <w:rPr>
          <w:szCs w:val="24"/>
        </w:rPr>
        <w:t>同时对来往车辆应采取措施限制车速，也可以降低车辆噪声。</w:t>
      </w:r>
    </w:p>
    <w:p w:rsidR="0093772F" w:rsidRDefault="0093772F" w:rsidP="0093772F">
      <w:pPr>
        <w:spacing w:line="360" w:lineRule="auto"/>
        <w:ind w:firstLineChars="200" w:firstLine="480"/>
        <w:rPr>
          <w:sz w:val="24"/>
        </w:rPr>
      </w:pPr>
      <w:r w:rsidRPr="00993B79">
        <w:rPr>
          <w:rFonts w:hint="eastAsia"/>
          <w:sz w:val="24"/>
        </w:rPr>
        <w:t>②</w:t>
      </w:r>
      <w:r w:rsidRPr="00993B79">
        <w:rPr>
          <w:sz w:val="24"/>
        </w:rPr>
        <w:t>对于</w:t>
      </w:r>
      <w:r w:rsidRPr="00993B79">
        <w:rPr>
          <w:rFonts w:hint="eastAsia"/>
          <w:sz w:val="24"/>
        </w:rPr>
        <w:t>运煤道路</w:t>
      </w:r>
      <w:r w:rsidRPr="00993B79">
        <w:rPr>
          <w:sz w:val="24"/>
        </w:rPr>
        <w:t>应尽量减少</w:t>
      </w:r>
      <w:r w:rsidRPr="00993B79">
        <w:rPr>
          <w:rFonts w:hint="eastAsia"/>
          <w:sz w:val="24"/>
        </w:rPr>
        <w:t>汽车</w:t>
      </w:r>
      <w:r w:rsidRPr="00993B79">
        <w:rPr>
          <w:sz w:val="24"/>
        </w:rPr>
        <w:t>鸣笛，车辆进出应尽量安排在白天进行，在靠近居民点的路段应设置绿化防护林带。</w:t>
      </w:r>
    </w:p>
    <w:p w:rsidR="0093772F" w:rsidRDefault="0093772F" w:rsidP="0093772F">
      <w:pPr>
        <w:pStyle w:val="hb1"/>
        <w:ind w:firstLine="480"/>
        <w:rPr>
          <w:color w:val="FF0000"/>
        </w:rPr>
      </w:pPr>
      <w:r>
        <w:rPr>
          <w:rFonts w:ascii="宋体" w:hAnsi="宋体" w:cs="宋体" w:hint="eastAsia"/>
        </w:rPr>
        <w:t>③</w:t>
      </w:r>
      <w:r>
        <w:rPr>
          <w:rFonts w:cs="Times New Roman" w:hint="eastAsia"/>
          <w:color w:val="FF0000"/>
        </w:rPr>
        <w:t>本项目运煤道路依托现有县道，由于道路两侧</w:t>
      </w:r>
      <w:r>
        <w:rPr>
          <w:rFonts w:cs="Times New Roman" w:hint="eastAsia"/>
          <w:color w:val="FF0000"/>
        </w:rPr>
        <w:t>3m~60m</w:t>
      </w:r>
      <w:r>
        <w:rPr>
          <w:rFonts w:cs="Times New Roman" w:hint="eastAsia"/>
          <w:color w:val="FF0000"/>
        </w:rPr>
        <w:t>范围内分布有居民点，建设单位做好道路两侧居民点噪声监测，</w:t>
      </w:r>
      <w:r>
        <w:rPr>
          <w:rFonts w:hint="eastAsia"/>
          <w:color w:val="FF0000"/>
        </w:rPr>
        <w:t>并在必要时采取对居民房屋朝向运煤道路侧加装隔声门窗等措施，使念枣坪组、刘石畔组和拓家阳组声环境质量满足《声环境质量标准》</w:t>
      </w:r>
      <w:r>
        <w:rPr>
          <w:rFonts w:hint="eastAsia"/>
          <w:color w:val="FF0000"/>
        </w:rPr>
        <w:t>2</w:t>
      </w:r>
      <w:r>
        <w:rPr>
          <w:rFonts w:hint="eastAsia"/>
          <w:color w:val="FF0000"/>
        </w:rPr>
        <w:t>类标准，新窑台组和拓家峁组声环境质量满足《声环境质量标准》</w:t>
      </w:r>
      <w:r>
        <w:rPr>
          <w:rFonts w:hint="eastAsia"/>
          <w:color w:val="FF0000"/>
        </w:rPr>
        <w:t>4a</w:t>
      </w:r>
      <w:r>
        <w:rPr>
          <w:rFonts w:hint="eastAsia"/>
          <w:color w:val="FF0000"/>
        </w:rPr>
        <w:t>类标准要求。</w:t>
      </w:r>
    </w:p>
    <w:p w:rsidR="00C223F5" w:rsidRPr="00993B79" w:rsidRDefault="005860D5" w:rsidP="004835BD">
      <w:pPr>
        <w:pStyle w:val="2"/>
        <w:numPr>
          <w:ilvl w:val="0"/>
          <w:numId w:val="0"/>
        </w:numPr>
        <w:spacing w:before="0" w:after="0" w:line="360" w:lineRule="auto"/>
        <w:rPr>
          <w:rFonts w:ascii="Times New Roman" w:eastAsia="宋体" w:hAnsi="Times New Roman"/>
          <w:b/>
          <w:bCs w:val="0"/>
          <w:szCs w:val="30"/>
        </w:rPr>
      </w:pPr>
      <w:bookmarkStart w:id="507" w:name="_Toc493246137"/>
      <w:bookmarkStart w:id="508" w:name="_Toc484519708"/>
      <w:bookmarkStart w:id="509" w:name="_Toc485195517"/>
      <w:bookmarkStart w:id="510" w:name="_Toc533604356"/>
      <w:bookmarkStart w:id="511" w:name="_Toc533604776"/>
      <w:bookmarkStart w:id="512" w:name="_Toc16785322"/>
      <w:r w:rsidRPr="00993B79">
        <w:rPr>
          <w:rFonts w:ascii="Times New Roman" w:eastAsia="宋体" w:hAnsi="Times New Roman" w:hint="eastAsia"/>
          <w:b/>
          <w:bCs w:val="0"/>
          <w:szCs w:val="30"/>
        </w:rPr>
        <w:t>5</w:t>
      </w:r>
      <w:r w:rsidRPr="00993B79">
        <w:rPr>
          <w:rFonts w:ascii="Times New Roman" w:eastAsia="宋体" w:hAnsi="Times New Roman"/>
          <w:b/>
          <w:bCs w:val="0"/>
          <w:szCs w:val="30"/>
        </w:rPr>
        <w:t>.</w:t>
      </w:r>
      <w:r w:rsidRPr="00993B79">
        <w:rPr>
          <w:rFonts w:ascii="Times New Roman" w:eastAsia="宋体" w:hAnsi="Times New Roman" w:hint="eastAsia"/>
          <w:b/>
          <w:bCs w:val="0"/>
          <w:szCs w:val="30"/>
        </w:rPr>
        <w:t>6</w:t>
      </w:r>
      <w:r w:rsidRPr="00993B79">
        <w:rPr>
          <w:rFonts w:ascii="Times New Roman" w:eastAsia="宋体" w:hAnsi="Times New Roman" w:hint="eastAsia"/>
          <w:b/>
          <w:bCs w:val="0"/>
          <w:szCs w:val="30"/>
        </w:rPr>
        <w:t>固体废物污染防治措施及可行性分析</w:t>
      </w:r>
      <w:bookmarkEnd w:id="507"/>
      <w:bookmarkEnd w:id="508"/>
      <w:bookmarkEnd w:id="509"/>
      <w:bookmarkEnd w:id="510"/>
      <w:bookmarkEnd w:id="511"/>
      <w:bookmarkEnd w:id="512"/>
    </w:p>
    <w:p w:rsidR="00C223F5" w:rsidRPr="00993B79" w:rsidRDefault="005860D5" w:rsidP="004835BD">
      <w:pPr>
        <w:pStyle w:val="3"/>
        <w:numPr>
          <w:ilvl w:val="0"/>
          <w:numId w:val="0"/>
        </w:numPr>
        <w:spacing w:before="0" w:after="0" w:line="360" w:lineRule="auto"/>
        <w:ind w:left="170"/>
        <w:rPr>
          <w:rFonts w:eastAsia="宋体"/>
          <w:b/>
          <w:bCs w:val="0"/>
          <w:sz w:val="28"/>
          <w:szCs w:val="28"/>
        </w:rPr>
      </w:pPr>
      <w:bookmarkStart w:id="513" w:name="_Toc533604357"/>
      <w:bookmarkStart w:id="514" w:name="_Toc533604777"/>
      <w:bookmarkStart w:id="515" w:name="_Toc16785323"/>
      <w:bookmarkStart w:id="516" w:name="_Toc493246139"/>
      <w:r w:rsidRPr="00993B79">
        <w:rPr>
          <w:rFonts w:eastAsia="宋体" w:hint="eastAsia"/>
          <w:b/>
          <w:bCs w:val="0"/>
          <w:sz w:val="28"/>
          <w:szCs w:val="28"/>
        </w:rPr>
        <w:t>5.6.1</w:t>
      </w:r>
      <w:r w:rsidRPr="00993B79">
        <w:rPr>
          <w:rFonts w:eastAsia="宋体"/>
          <w:b/>
          <w:bCs w:val="0"/>
          <w:sz w:val="28"/>
          <w:szCs w:val="28"/>
        </w:rPr>
        <w:t>煤矸石处置措施及可行性分析</w:t>
      </w:r>
      <w:bookmarkEnd w:id="513"/>
      <w:bookmarkEnd w:id="514"/>
      <w:bookmarkEnd w:id="515"/>
    </w:p>
    <w:p w:rsidR="00C223F5" w:rsidRPr="00060F75" w:rsidRDefault="005860D5">
      <w:pPr>
        <w:spacing w:line="360" w:lineRule="auto"/>
        <w:ind w:firstLineChars="200" w:firstLine="480"/>
        <w:rPr>
          <w:rFonts w:hAnsi="宋体"/>
          <w:sz w:val="24"/>
        </w:rPr>
      </w:pPr>
      <w:r w:rsidRPr="00993B79">
        <w:rPr>
          <w:rFonts w:hint="eastAsia"/>
          <w:sz w:val="24"/>
        </w:rPr>
        <w:t>天云煤矿</w:t>
      </w:r>
      <w:r w:rsidRPr="00993B79">
        <w:rPr>
          <w:sz w:val="24"/>
        </w:rPr>
        <w:t>生产期矸石主要为井下掘进和地面洗选矸石。</w:t>
      </w:r>
      <w:r w:rsidRPr="00993B79">
        <w:rPr>
          <w:rFonts w:hint="eastAsia"/>
          <w:sz w:val="24"/>
        </w:rPr>
        <w:t>根据设计，</w:t>
      </w:r>
      <w:r w:rsidRPr="00993B79">
        <w:rPr>
          <w:rFonts w:ascii="宋体" w:hAnsi="宋体" w:hint="eastAsia"/>
          <w:sz w:val="24"/>
        </w:rPr>
        <w:t>正常生产期间掘进产生的矸石量很小，</w:t>
      </w:r>
      <w:r w:rsidR="005F7BDD" w:rsidRPr="00993B79">
        <w:rPr>
          <w:rFonts w:ascii="宋体" w:hAnsi="宋体" w:hint="eastAsia"/>
          <w:sz w:val="24"/>
        </w:rPr>
        <w:t>不出井</w:t>
      </w:r>
      <w:r w:rsidRPr="00993B79">
        <w:rPr>
          <w:sz w:val="24"/>
        </w:rPr>
        <w:t>；地面洗选矸石</w:t>
      </w:r>
      <w:r w:rsidRPr="00993B79">
        <w:rPr>
          <w:rFonts w:hint="eastAsia"/>
          <w:kern w:val="0"/>
          <w:sz w:val="24"/>
        </w:rPr>
        <w:t>24.7</w:t>
      </w:r>
      <w:r w:rsidRPr="00993B79">
        <w:rPr>
          <w:rFonts w:hint="eastAsia"/>
          <w:kern w:val="0"/>
          <w:sz w:val="24"/>
        </w:rPr>
        <w:t>×</w:t>
      </w:r>
      <w:r w:rsidRPr="00993B79">
        <w:rPr>
          <w:rFonts w:hint="eastAsia"/>
          <w:kern w:val="0"/>
          <w:sz w:val="24"/>
        </w:rPr>
        <w:t>10</w:t>
      </w:r>
      <w:r w:rsidRPr="00993B79">
        <w:rPr>
          <w:rFonts w:hint="eastAsia"/>
          <w:kern w:val="0"/>
          <w:sz w:val="24"/>
          <w:vertAlign w:val="superscript"/>
        </w:rPr>
        <w:t>4</w:t>
      </w:r>
      <w:r w:rsidRPr="00993B79">
        <w:rPr>
          <w:sz w:val="24"/>
        </w:rPr>
        <w:t>t</w:t>
      </w:r>
      <w:r w:rsidRPr="00993B79">
        <w:rPr>
          <w:rFonts w:hint="eastAsia"/>
          <w:sz w:val="24"/>
        </w:rPr>
        <w:t>/a</w:t>
      </w:r>
      <w:r w:rsidRPr="00993B79">
        <w:rPr>
          <w:rFonts w:hint="eastAsia"/>
          <w:sz w:val="24"/>
        </w:rPr>
        <w:t>（</w:t>
      </w:r>
      <w:r w:rsidRPr="00993B79">
        <w:rPr>
          <w:rFonts w:hAnsi="宋体" w:hint="eastAsia"/>
          <w:sz w:val="24"/>
        </w:rPr>
        <w:t>12.35</w:t>
      </w:r>
      <w:r w:rsidRPr="00993B79">
        <w:rPr>
          <w:rFonts w:hAnsi="宋体" w:hint="eastAsia"/>
          <w:sz w:val="24"/>
        </w:rPr>
        <w:t>万</w:t>
      </w:r>
      <w:r w:rsidRPr="00993B79">
        <w:rPr>
          <w:rFonts w:hAnsi="宋体" w:hint="eastAsia"/>
          <w:sz w:val="24"/>
        </w:rPr>
        <w:t>m</w:t>
      </w:r>
      <w:r w:rsidRPr="00993B79">
        <w:rPr>
          <w:rFonts w:hAnsi="宋体" w:hint="eastAsia"/>
          <w:sz w:val="24"/>
          <w:vertAlign w:val="superscript"/>
        </w:rPr>
        <w:t>3</w:t>
      </w:r>
      <w:r w:rsidRPr="00993B79">
        <w:rPr>
          <w:rFonts w:hAnsi="宋体" w:hint="eastAsia"/>
          <w:sz w:val="24"/>
        </w:rPr>
        <w:t>/a</w:t>
      </w:r>
      <w:r w:rsidRPr="00993B79">
        <w:rPr>
          <w:rFonts w:hAnsi="宋体" w:hint="eastAsia"/>
          <w:sz w:val="24"/>
        </w:rPr>
        <w:t>）</w:t>
      </w:r>
      <w:r w:rsidRPr="00993B79">
        <w:rPr>
          <w:sz w:val="24"/>
        </w:rPr>
        <w:t>，</w:t>
      </w:r>
      <w:r w:rsidR="00B350AF" w:rsidRPr="00B350AF">
        <w:rPr>
          <w:rFonts w:hint="eastAsia"/>
          <w:color w:val="FF0000"/>
          <w:sz w:val="24"/>
        </w:rPr>
        <w:t>正常情况下</w:t>
      </w:r>
      <w:r w:rsidRPr="00993B79">
        <w:rPr>
          <w:rFonts w:hint="eastAsia"/>
          <w:sz w:val="24"/>
        </w:rPr>
        <w:t>全部综合利用于</w:t>
      </w:r>
      <w:r w:rsidRPr="00993B79">
        <w:rPr>
          <w:rFonts w:hAnsi="宋体" w:hint="eastAsia"/>
          <w:sz w:val="24"/>
        </w:rPr>
        <w:t>子洲县马岔乡大堡岔兴盛砖厂和大堡</w:t>
      </w:r>
      <w:r w:rsidRPr="00060F75">
        <w:rPr>
          <w:rFonts w:hAnsi="宋体" w:hint="eastAsia"/>
          <w:sz w:val="24"/>
        </w:rPr>
        <w:t>岔红旗空心砖厂，以及</w:t>
      </w:r>
      <w:r w:rsidR="00843E69" w:rsidRPr="00060F75">
        <w:rPr>
          <w:rFonts w:hAnsi="宋体" w:hint="eastAsia"/>
          <w:sz w:val="24"/>
        </w:rPr>
        <w:t>圣拓（陕西）矿业有限公司</w:t>
      </w:r>
      <w:r w:rsidRPr="00060F75">
        <w:rPr>
          <w:rFonts w:hAnsi="宋体" w:hint="eastAsia"/>
          <w:sz w:val="24"/>
        </w:rPr>
        <w:t>充填</w:t>
      </w:r>
      <w:r w:rsidR="00843E69" w:rsidRPr="00060F75">
        <w:rPr>
          <w:rFonts w:hAnsi="宋体" w:hint="eastAsia"/>
          <w:sz w:val="24"/>
        </w:rPr>
        <w:t>原料</w:t>
      </w:r>
      <w:r w:rsidRPr="00060F75">
        <w:rPr>
          <w:rFonts w:hAnsi="宋体" w:hint="eastAsia"/>
          <w:sz w:val="24"/>
        </w:rPr>
        <w:t>；</w:t>
      </w:r>
      <w:r w:rsidRPr="00060F75">
        <w:rPr>
          <w:sz w:val="24"/>
        </w:rPr>
        <w:t>工业场地内设置</w:t>
      </w:r>
      <w:r w:rsidRPr="00060F75">
        <w:rPr>
          <w:rFonts w:hint="eastAsia"/>
          <w:sz w:val="24"/>
        </w:rPr>
        <w:t>1</w:t>
      </w:r>
      <w:r w:rsidRPr="00060F75">
        <w:rPr>
          <w:sz w:val="24"/>
        </w:rPr>
        <w:t>个</w:t>
      </w:r>
      <w:r w:rsidRPr="00060F75">
        <w:rPr>
          <w:rFonts w:hint="eastAsia"/>
          <w:sz w:val="24"/>
        </w:rPr>
        <w:t>矸石</w:t>
      </w:r>
      <w:r w:rsidRPr="00060F75">
        <w:rPr>
          <w:sz w:val="24"/>
        </w:rPr>
        <w:t>仓，总容量</w:t>
      </w:r>
      <w:r w:rsidRPr="00060F75">
        <w:rPr>
          <w:sz w:val="24"/>
        </w:rPr>
        <w:t>2500t</w:t>
      </w:r>
      <w:r w:rsidR="00060F75" w:rsidRPr="00060F75">
        <w:rPr>
          <w:rFonts w:hint="eastAsia"/>
          <w:sz w:val="24"/>
        </w:rPr>
        <w:t>（</w:t>
      </w:r>
      <w:r w:rsidR="00060F75" w:rsidRPr="00060F75">
        <w:rPr>
          <w:rFonts w:hint="eastAsia"/>
          <w:color w:val="FF0000"/>
          <w:sz w:val="24"/>
        </w:rPr>
        <w:t>满足矿井正常生产</w:t>
      </w:r>
      <w:r w:rsidR="00060F75" w:rsidRPr="00060F75">
        <w:rPr>
          <w:rFonts w:hint="eastAsia"/>
          <w:color w:val="FF0000"/>
          <w:sz w:val="24"/>
        </w:rPr>
        <w:t>3~5</w:t>
      </w:r>
      <w:r w:rsidR="00060F75" w:rsidRPr="00060F75">
        <w:rPr>
          <w:rFonts w:hint="eastAsia"/>
          <w:color w:val="FF0000"/>
          <w:sz w:val="24"/>
        </w:rPr>
        <w:t>天矸石暂存量</w:t>
      </w:r>
      <w:r w:rsidR="00060F75" w:rsidRPr="00060F75">
        <w:rPr>
          <w:rFonts w:hint="eastAsia"/>
          <w:sz w:val="24"/>
        </w:rPr>
        <w:t>）</w:t>
      </w:r>
      <w:r w:rsidRPr="00060F75">
        <w:rPr>
          <w:rFonts w:hAnsi="宋体" w:hint="eastAsia"/>
          <w:sz w:val="24"/>
        </w:rPr>
        <w:t>。</w:t>
      </w:r>
    </w:p>
    <w:p w:rsidR="00C223F5" w:rsidRPr="00993B79" w:rsidRDefault="005860D5">
      <w:pPr>
        <w:spacing w:line="360" w:lineRule="auto"/>
        <w:ind w:firstLineChars="200" w:firstLine="480"/>
        <w:rPr>
          <w:rFonts w:hAnsi="宋体"/>
          <w:sz w:val="24"/>
        </w:rPr>
      </w:pPr>
      <w:r w:rsidRPr="00060F75">
        <w:rPr>
          <w:sz w:val="24"/>
        </w:rPr>
        <w:t>煤矸石的综合利用是煤炭资源开发中保护环境的一项重要措施。近年来国内外对这项工作十分重视，开发了多种多样的利用途径。</w:t>
      </w:r>
      <w:r w:rsidRPr="00060F75">
        <w:rPr>
          <w:color w:val="000000"/>
          <w:sz w:val="24"/>
        </w:rPr>
        <w:t>归纳为三类：</w:t>
      </w:r>
      <w:r w:rsidRPr="00060F75">
        <w:rPr>
          <w:rFonts w:ascii="宋体" w:hAnsi="宋体" w:cs="宋体" w:hint="eastAsia"/>
          <w:color w:val="000000"/>
          <w:sz w:val="24"/>
        </w:rPr>
        <w:t>①</w:t>
      </w:r>
      <w:r w:rsidRPr="00060F75">
        <w:rPr>
          <w:color w:val="000000"/>
          <w:sz w:val="24"/>
        </w:rPr>
        <w:t>燃化类，利用矸石发电，提取化工产品等；</w:t>
      </w:r>
      <w:r w:rsidRPr="00060F75">
        <w:rPr>
          <w:rFonts w:ascii="宋体" w:hAnsi="宋体" w:cs="宋体" w:hint="eastAsia"/>
          <w:color w:val="000000"/>
          <w:sz w:val="24"/>
        </w:rPr>
        <w:t>②</w:t>
      </w:r>
      <w:r w:rsidRPr="00060F75">
        <w:rPr>
          <w:color w:val="000000"/>
          <w:sz w:val="24"/>
        </w:rPr>
        <w:t xml:space="preserve"> </w:t>
      </w:r>
      <w:r w:rsidRPr="00060F75">
        <w:rPr>
          <w:color w:val="000000"/>
          <w:sz w:val="24"/>
        </w:rPr>
        <w:t>建材类，生产水泥和</w:t>
      </w:r>
      <w:r>
        <w:rPr>
          <w:color w:val="000000"/>
          <w:sz w:val="24"/>
        </w:rPr>
        <w:t>建筑制品等；</w:t>
      </w:r>
      <w:r>
        <w:rPr>
          <w:rFonts w:ascii="宋体" w:hAnsi="宋体" w:cs="宋体" w:hint="eastAsia"/>
          <w:color w:val="000000"/>
          <w:sz w:val="24"/>
        </w:rPr>
        <w:t>③</w:t>
      </w:r>
      <w:r>
        <w:rPr>
          <w:color w:val="000000"/>
          <w:sz w:val="24"/>
        </w:rPr>
        <w:t xml:space="preserve"> </w:t>
      </w:r>
      <w:r>
        <w:rPr>
          <w:color w:val="000000"/>
          <w:sz w:val="24"/>
        </w:rPr>
        <w:t>填铺类。目前煤矸石的综合加工产品除矸石烧砖外，还有煤矸石复合材料制品：地板砖、桌面板、啤酒箱、垃圾箱、建筑装饰件及室内贴面装饰品等，这些产品均具有质轻、隔音、隔热、可钉</w:t>
      </w:r>
      <w:r>
        <w:rPr>
          <w:rFonts w:hAnsi="宋体"/>
          <w:sz w:val="24"/>
        </w:rPr>
        <w:t>、耐磨、强度适宜、不易摔碎等特点，还有以煤矸石、粉煤灰、废塑料为主要原料加工生</w:t>
      </w:r>
      <w:r w:rsidRPr="00993B79">
        <w:rPr>
          <w:rFonts w:hAnsi="宋体"/>
          <w:sz w:val="24"/>
        </w:rPr>
        <w:t>产的产品、型材、管材等。</w:t>
      </w:r>
    </w:p>
    <w:bookmarkEnd w:id="516"/>
    <w:p w:rsidR="00C223F5" w:rsidRPr="00993B79" w:rsidRDefault="005860D5">
      <w:pPr>
        <w:pStyle w:val="aff1"/>
        <w:spacing w:line="360" w:lineRule="auto"/>
        <w:ind w:left="0" w:firstLineChars="200" w:firstLine="480"/>
        <w:rPr>
          <w:rFonts w:hAnsi="宋体"/>
          <w:szCs w:val="24"/>
        </w:rPr>
      </w:pPr>
      <w:r w:rsidRPr="00993B79">
        <w:rPr>
          <w:rFonts w:hAnsi="宋体" w:hint="eastAsia"/>
          <w:szCs w:val="24"/>
        </w:rPr>
        <w:t>子洲县马岔乡大堡岔兴盛砖厂位于陕西省榆林市子洲县马岔乡大堡岔村委会</w:t>
      </w:r>
      <w:r w:rsidRPr="00993B79">
        <w:rPr>
          <w:rFonts w:hAnsi="宋体"/>
          <w:szCs w:val="24"/>
        </w:rPr>
        <w:t>，</w:t>
      </w:r>
      <w:r w:rsidRPr="00993B79">
        <w:rPr>
          <w:rFonts w:hAnsi="宋体" w:hint="eastAsia"/>
          <w:szCs w:val="24"/>
        </w:rPr>
        <w:t>主要利用煤矸石、黏土原料生产空心砖，生产规模为年产</w:t>
      </w:r>
      <w:r w:rsidRPr="00993B79">
        <w:rPr>
          <w:rFonts w:hAnsi="宋体" w:hint="eastAsia"/>
          <w:szCs w:val="24"/>
        </w:rPr>
        <w:t>2000</w:t>
      </w:r>
      <w:r w:rsidRPr="00993B79">
        <w:rPr>
          <w:rFonts w:hAnsi="宋体" w:hint="eastAsia"/>
          <w:szCs w:val="24"/>
        </w:rPr>
        <w:t>万块空心砖，</w:t>
      </w:r>
      <w:r w:rsidRPr="00993B79">
        <w:rPr>
          <w:rFonts w:hAnsi="宋体"/>
          <w:szCs w:val="24"/>
        </w:rPr>
        <w:t>规格</w:t>
      </w:r>
      <w:r w:rsidRPr="00993B79">
        <w:rPr>
          <w:rFonts w:hAnsi="宋体" w:hint="eastAsia"/>
          <w:szCs w:val="24"/>
        </w:rPr>
        <w:t>为</w:t>
      </w:r>
      <w:r w:rsidRPr="00993B79">
        <w:rPr>
          <w:rFonts w:hAnsi="宋体" w:hint="eastAsia"/>
          <w:szCs w:val="24"/>
        </w:rPr>
        <w:t>290</w:t>
      </w:r>
      <w:r w:rsidRPr="00993B79">
        <w:rPr>
          <w:rFonts w:hAnsi="宋体" w:hint="eastAsia"/>
          <w:szCs w:val="24"/>
        </w:rPr>
        <w:t>×</w:t>
      </w:r>
      <w:r w:rsidRPr="00993B79">
        <w:rPr>
          <w:rFonts w:hAnsi="宋体" w:hint="eastAsia"/>
          <w:szCs w:val="24"/>
        </w:rPr>
        <w:t>140</w:t>
      </w:r>
      <w:r w:rsidRPr="00993B79">
        <w:rPr>
          <w:rFonts w:hAnsi="宋体" w:hint="eastAsia"/>
          <w:szCs w:val="24"/>
        </w:rPr>
        <w:t>×</w:t>
      </w:r>
      <w:r w:rsidRPr="00993B79">
        <w:rPr>
          <w:rFonts w:hAnsi="宋体" w:hint="eastAsia"/>
          <w:szCs w:val="24"/>
        </w:rPr>
        <w:t>90</w:t>
      </w:r>
      <w:r w:rsidRPr="00993B79">
        <w:rPr>
          <w:rFonts w:hAnsi="宋体"/>
          <w:szCs w:val="24"/>
        </w:rPr>
        <w:t xml:space="preserve"> mm</w:t>
      </w:r>
      <w:r w:rsidRPr="00993B79">
        <w:rPr>
          <w:rFonts w:hAnsi="宋体" w:hint="eastAsia"/>
          <w:szCs w:val="24"/>
        </w:rPr>
        <w:t>；每年消耗煤矸石约</w:t>
      </w:r>
      <w:r w:rsidRPr="00993B79">
        <w:rPr>
          <w:rFonts w:hAnsi="宋体" w:hint="eastAsia"/>
          <w:szCs w:val="24"/>
        </w:rPr>
        <w:t>2.8</w:t>
      </w:r>
      <w:r w:rsidRPr="00993B79">
        <w:rPr>
          <w:rFonts w:hint="eastAsia"/>
          <w:kern w:val="0"/>
        </w:rPr>
        <w:t>×</w:t>
      </w:r>
      <w:r w:rsidRPr="00993B79">
        <w:rPr>
          <w:rFonts w:hint="eastAsia"/>
          <w:kern w:val="0"/>
        </w:rPr>
        <w:t>10</w:t>
      </w:r>
      <w:r w:rsidRPr="00993B79">
        <w:rPr>
          <w:rFonts w:hint="eastAsia"/>
          <w:kern w:val="0"/>
          <w:vertAlign w:val="superscript"/>
        </w:rPr>
        <w:t>4</w:t>
      </w:r>
      <w:r w:rsidRPr="00993B79">
        <w:t>t</w:t>
      </w:r>
      <w:r w:rsidRPr="00993B79">
        <w:t>，原料均为外购</w:t>
      </w:r>
      <w:r w:rsidR="00843E69" w:rsidRPr="00993B79">
        <w:rPr>
          <w:rFonts w:hint="eastAsia"/>
        </w:rPr>
        <w:t>，该砖厂目前生产状况正常，项目环评已通过子洲县环境保护局批复（子政环发</w:t>
      </w:r>
      <w:r w:rsidR="00843E69" w:rsidRPr="00993B79">
        <w:rPr>
          <w:rFonts w:hint="eastAsia"/>
        </w:rPr>
        <w:t>[2018]43</w:t>
      </w:r>
      <w:r w:rsidR="00843E69" w:rsidRPr="00993B79">
        <w:rPr>
          <w:rFonts w:hint="eastAsia"/>
        </w:rPr>
        <w:t>号）</w:t>
      </w:r>
      <w:r w:rsidRPr="00993B79">
        <w:rPr>
          <w:rFonts w:hAnsi="宋体" w:hint="eastAsia"/>
          <w:szCs w:val="24"/>
        </w:rPr>
        <w:t>。</w:t>
      </w:r>
    </w:p>
    <w:p w:rsidR="00C223F5" w:rsidRPr="00993B79" w:rsidRDefault="005860D5">
      <w:pPr>
        <w:pStyle w:val="aff1"/>
        <w:spacing w:line="360" w:lineRule="auto"/>
        <w:ind w:left="0" w:firstLineChars="200" w:firstLine="480"/>
        <w:rPr>
          <w:rFonts w:hAnsi="宋体"/>
          <w:szCs w:val="24"/>
        </w:rPr>
      </w:pPr>
      <w:r w:rsidRPr="00993B79">
        <w:rPr>
          <w:rFonts w:hAnsi="宋体" w:hint="eastAsia"/>
          <w:szCs w:val="24"/>
        </w:rPr>
        <w:t>子洲县</w:t>
      </w:r>
      <w:r w:rsidRPr="00993B79">
        <w:rPr>
          <w:rFonts w:hAnsi="宋体" w:hint="eastAsia"/>
        </w:rPr>
        <w:t>大堡岔红旗空心砖厂</w:t>
      </w:r>
      <w:r w:rsidRPr="00993B79">
        <w:rPr>
          <w:szCs w:val="24"/>
        </w:rPr>
        <w:t>位于陕西省子洲县马岔镇大堡岔村，</w:t>
      </w:r>
      <w:r w:rsidRPr="00993B79">
        <w:rPr>
          <w:rFonts w:hint="eastAsia"/>
          <w:szCs w:val="24"/>
        </w:rPr>
        <w:t>主要利用煤矸石、黏土原料生产空心砖，生产规模为年产</w:t>
      </w:r>
      <w:r w:rsidRPr="00993B79">
        <w:rPr>
          <w:rFonts w:hint="eastAsia"/>
          <w:szCs w:val="24"/>
        </w:rPr>
        <w:t>2000</w:t>
      </w:r>
      <w:r w:rsidRPr="00993B79">
        <w:rPr>
          <w:rFonts w:hint="eastAsia"/>
          <w:szCs w:val="24"/>
        </w:rPr>
        <w:t>万块多孔空心砖，</w:t>
      </w:r>
      <w:r w:rsidRPr="00993B79">
        <w:t>规格</w:t>
      </w:r>
      <w:r w:rsidRPr="00993B79">
        <w:rPr>
          <w:rFonts w:hint="eastAsia"/>
        </w:rPr>
        <w:t>为</w:t>
      </w:r>
      <w:r w:rsidRPr="00993B79">
        <w:t>400</w:t>
      </w:r>
      <w:r w:rsidRPr="00993B79">
        <w:rPr>
          <w:rFonts w:hAnsi="宋体" w:hint="eastAsia"/>
          <w:szCs w:val="24"/>
        </w:rPr>
        <w:lastRenderedPageBreak/>
        <w:t>×</w:t>
      </w:r>
      <w:r w:rsidRPr="00993B79">
        <w:t>240</w:t>
      </w:r>
      <w:r w:rsidRPr="00993B79">
        <w:rPr>
          <w:rFonts w:hAnsi="宋体" w:hint="eastAsia"/>
          <w:szCs w:val="24"/>
        </w:rPr>
        <w:t>×</w:t>
      </w:r>
      <w:r w:rsidRPr="00993B79">
        <w:t>115mm</w:t>
      </w:r>
      <w:r w:rsidRPr="00993B79">
        <w:rPr>
          <w:rFonts w:hAnsi="宋体" w:hint="eastAsia"/>
          <w:szCs w:val="24"/>
        </w:rPr>
        <w:t>；每年生产消耗煤矸石约</w:t>
      </w:r>
      <w:r w:rsidRPr="00993B79">
        <w:rPr>
          <w:rFonts w:hAnsi="宋体" w:hint="eastAsia"/>
          <w:szCs w:val="24"/>
        </w:rPr>
        <w:t>4.2</w:t>
      </w:r>
      <w:r w:rsidRPr="00993B79">
        <w:rPr>
          <w:rFonts w:hint="eastAsia"/>
          <w:kern w:val="0"/>
        </w:rPr>
        <w:t>×</w:t>
      </w:r>
      <w:r w:rsidRPr="00993B79">
        <w:rPr>
          <w:rFonts w:hint="eastAsia"/>
          <w:kern w:val="0"/>
        </w:rPr>
        <w:t>10</w:t>
      </w:r>
      <w:r w:rsidRPr="00993B79">
        <w:rPr>
          <w:rFonts w:hint="eastAsia"/>
          <w:kern w:val="0"/>
          <w:vertAlign w:val="superscript"/>
        </w:rPr>
        <w:t>4</w:t>
      </w:r>
      <w:r w:rsidRPr="00993B79">
        <w:t>t</w:t>
      </w:r>
      <w:r w:rsidRPr="00993B79">
        <w:t>，原料均为外购</w:t>
      </w:r>
      <w:r w:rsidR="00936905" w:rsidRPr="00993B79">
        <w:rPr>
          <w:rFonts w:hint="eastAsia"/>
        </w:rPr>
        <w:t>，该砖厂目前生产状况正常，项目环评已通过子洲县环境保护局批复（子政环发</w:t>
      </w:r>
      <w:r w:rsidR="00936905" w:rsidRPr="00993B79">
        <w:rPr>
          <w:rFonts w:hint="eastAsia"/>
        </w:rPr>
        <w:t>[2018]42</w:t>
      </w:r>
      <w:r w:rsidR="00936905" w:rsidRPr="00993B79">
        <w:rPr>
          <w:rFonts w:hint="eastAsia"/>
        </w:rPr>
        <w:t>号）</w:t>
      </w:r>
      <w:r w:rsidRPr="00993B79">
        <w:rPr>
          <w:rFonts w:hAnsi="宋体" w:hint="eastAsia"/>
          <w:szCs w:val="24"/>
        </w:rPr>
        <w:t>。</w:t>
      </w:r>
    </w:p>
    <w:p w:rsidR="00C17743" w:rsidRPr="00B350AF" w:rsidRDefault="005860D5">
      <w:pPr>
        <w:pStyle w:val="aff1"/>
        <w:spacing w:line="360" w:lineRule="auto"/>
        <w:ind w:left="0" w:firstLineChars="200" w:firstLine="480"/>
        <w:rPr>
          <w:color w:val="FF0000"/>
          <w:szCs w:val="24"/>
        </w:rPr>
      </w:pPr>
      <w:r w:rsidRPr="00B350AF">
        <w:rPr>
          <w:rFonts w:hAnsi="宋体" w:hint="eastAsia"/>
          <w:color w:val="FF0000"/>
          <w:szCs w:val="24"/>
        </w:rPr>
        <w:t>上述建材企业均</w:t>
      </w:r>
      <w:r w:rsidRPr="00B350AF">
        <w:rPr>
          <w:color w:val="FF0000"/>
          <w:szCs w:val="24"/>
        </w:rPr>
        <w:t>位于</w:t>
      </w:r>
      <w:r w:rsidRPr="00B350AF">
        <w:rPr>
          <w:rFonts w:hint="eastAsia"/>
          <w:color w:val="FF0000"/>
          <w:szCs w:val="24"/>
        </w:rPr>
        <w:t>天云煤矿工业场地以东约</w:t>
      </w:r>
      <w:r w:rsidRPr="00B350AF">
        <w:rPr>
          <w:rFonts w:hint="eastAsia"/>
          <w:color w:val="FF0000"/>
          <w:szCs w:val="24"/>
        </w:rPr>
        <w:t>18</w:t>
      </w:r>
      <w:r w:rsidRPr="00B350AF">
        <w:rPr>
          <w:color w:val="FF0000"/>
          <w:szCs w:val="24"/>
        </w:rPr>
        <w:t>km</w:t>
      </w:r>
      <w:r w:rsidRPr="00B350AF">
        <w:rPr>
          <w:rFonts w:hint="eastAsia"/>
          <w:color w:val="FF0000"/>
          <w:szCs w:val="24"/>
        </w:rPr>
        <w:t>处</w:t>
      </w:r>
      <w:r w:rsidRPr="00B350AF">
        <w:rPr>
          <w:color w:val="FF0000"/>
          <w:szCs w:val="24"/>
        </w:rPr>
        <w:t>，二者之间有公路可以实现</w:t>
      </w:r>
      <w:r w:rsidRPr="00B350AF">
        <w:rPr>
          <w:color w:val="FF0000"/>
        </w:rPr>
        <w:t>联通。</w:t>
      </w:r>
      <w:r w:rsidRPr="00B350AF">
        <w:rPr>
          <w:rFonts w:hint="eastAsia"/>
          <w:color w:val="FF0000"/>
        </w:rPr>
        <w:t>本井田最大产矸量</w:t>
      </w:r>
      <w:r w:rsidRPr="00B350AF">
        <w:rPr>
          <w:rFonts w:hint="eastAsia"/>
          <w:color w:val="FF0000"/>
          <w:szCs w:val="24"/>
        </w:rPr>
        <w:t>为</w:t>
      </w:r>
      <w:r w:rsidRPr="00B350AF">
        <w:rPr>
          <w:rFonts w:hint="eastAsia"/>
          <w:color w:val="FF0000"/>
          <w:szCs w:val="24"/>
        </w:rPr>
        <w:t>24.7</w:t>
      </w:r>
      <w:r w:rsidRPr="00B350AF">
        <w:rPr>
          <w:rFonts w:hint="eastAsia"/>
          <w:color w:val="FF0000"/>
          <w:szCs w:val="24"/>
        </w:rPr>
        <w:t>万</w:t>
      </w:r>
      <w:r w:rsidRPr="00B350AF">
        <w:rPr>
          <w:rFonts w:hint="eastAsia"/>
          <w:color w:val="FF0000"/>
          <w:szCs w:val="24"/>
        </w:rPr>
        <w:t>t/a</w:t>
      </w:r>
      <w:r w:rsidRPr="00B350AF">
        <w:rPr>
          <w:rFonts w:hint="eastAsia"/>
          <w:color w:val="FF0000"/>
          <w:szCs w:val="24"/>
        </w:rPr>
        <w:t>，其中</w:t>
      </w:r>
      <w:r w:rsidRPr="00B350AF">
        <w:rPr>
          <w:rFonts w:hint="eastAsia"/>
          <w:color w:val="FF0000"/>
          <w:szCs w:val="24"/>
        </w:rPr>
        <w:t>7</w:t>
      </w:r>
      <w:r w:rsidRPr="00B350AF">
        <w:rPr>
          <w:rFonts w:hint="eastAsia"/>
          <w:color w:val="FF0000"/>
          <w:szCs w:val="24"/>
        </w:rPr>
        <w:t>万</w:t>
      </w:r>
      <w:r w:rsidRPr="00B350AF">
        <w:rPr>
          <w:rFonts w:hint="eastAsia"/>
          <w:color w:val="FF0000"/>
          <w:szCs w:val="24"/>
        </w:rPr>
        <w:t>t/a</w:t>
      </w:r>
      <w:r w:rsidRPr="00B350AF">
        <w:rPr>
          <w:rFonts w:hint="eastAsia"/>
          <w:color w:val="FF0000"/>
          <w:szCs w:val="24"/>
        </w:rPr>
        <w:t>煤矸石可综合利用于</w:t>
      </w:r>
      <w:r w:rsidRPr="00B350AF">
        <w:rPr>
          <w:rFonts w:hAnsi="宋体" w:hint="eastAsia"/>
          <w:color w:val="FF0000"/>
          <w:szCs w:val="24"/>
        </w:rPr>
        <w:t>大堡岔兴盛砖厂和红旗空心砖厂</w:t>
      </w:r>
      <w:r w:rsidR="00D84A0C" w:rsidRPr="00B350AF">
        <w:rPr>
          <w:rFonts w:hAnsi="宋体" w:hint="eastAsia"/>
          <w:color w:val="FF0000"/>
          <w:szCs w:val="24"/>
        </w:rPr>
        <w:t>，</w:t>
      </w:r>
      <w:r w:rsidR="00D84A0C" w:rsidRPr="00B350AF">
        <w:rPr>
          <w:rFonts w:hint="eastAsia"/>
          <w:color w:val="FF0000"/>
          <w:szCs w:val="24"/>
        </w:rPr>
        <w:t>矿井剩余约</w:t>
      </w:r>
      <w:r w:rsidR="00993B79" w:rsidRPr="00B350AF">
        <w:rPr>
          <w:rFonts w:hint="eastAsia"/>
          <w:color w:val="FF0000"/>
          <w:szCs w:val="24"/>
        </w:rPr>
        <w:t>17.7</w:t>
      </w:r>
      <w:r w:rsidR="00D84A0C" w:rsidRPr="00B350AF">
        <w:rPr>
          <w:rFonts w:hint="eastAsia"/>
          <w:color w:val="FF0000"/>
          <w:szCs w:val="24"/>
        </w:rPr>
        <w:t>万</w:t>
      </w:r>
      <w:r w:rsidR="00D84A0C" w:rsidRPr="00B350AF">
        <w:rPr>
          <w:rFonts w:hint="eastAsia"/>
          <w:color w:val="FF0000"/>
          <w:szCs w:val="24"/>
        </w:rPr>
        <w:t>t/a</w:t>
      </w:r>
      <w:r w:rsidR="00D84A0C" w:rsidRPr="00B350AF">
        <w:rPr>
          <w:rFonts w:hint="eastAsia"/>
          <w:color w:val="FF0000"/>
          <w:szCs w:val="24"/>
        </w:rPr>
        <w:t>洗选矸石将销售给圣拓（陕西）矿业有限公司作为井下充填原骨料。</w:t>
      </w:r>
    </w:p>
    <w:p w:rsidR="00843E69" w:rsidRPr="00993B79" w:rsidRDefault="00936905" w:rsidP="00706517">
      <w:pPr>
        <w:pStyle w:val="aff1"/>
        <w:spacing w:line="360" w:lineRule="auto"/>
        <w:ind w:left="0" w:firstLineChars="200" w:firstLine="480"/>
      </w:pPr>
      <w:r w:rsidRPr="00993B79">
        <w:rPr>
          <w:rFonts w:hint="eastAsia"/>
          <w:szCs w:val="24"/>
        </w:rPr>
        <w:t>目前，天云煤矿已与圣拓（陕西）矿业有限公司签订煤矸石供销协议，</w:t>
      </w:r>
      <w:r w:rsidR="00843E69" w:rsidRPr="00993B79">
        <w:rPr>
          <w:rFonts w:hint="eastAsia"/>
        </w:rPr>
        <w:t>圣拓（陕西）矿业有限公司</w:t>
      </w:r>
      <w:r w:rsidRPr="00993B79">
        <w:rPr>
          <w:rFonts w:hint="eastAsia"/>
        </w:rPr>
        <w:t>注册地址为陕西省西咸新区沣东新城沣长路与金融二路西北角创新大厦，是一家专门应对黄土高原地区矿业矿井维护和填充问题的高科技专业技术型生产公司，长期专注并专精于煤矿井下充填及开采技术的研究与应用；</w:t>
      </w:r>
      <w:r w:rsidRPr="003A254A">
        <w:rPr>
          <w:rFonts w:hint="eastAsia"/>
          <w:color w:val="FF0000"/>
        </w:rPr>
        <w:t>该公司现已与</w:t>
      </w:r>
      <w:r w:rsidR="008E65E3" w:rsidRPr="003A254A">
        <w:rPr>
          <w:rFonts w:hint="eastAsia"/>
          <w:color w:val="FF0000"/>
        </w:rPr>
        <w:t>榆林市</w:t>
      </w:r>
      <w:r w:rsidRPr="003A254A">
        <w:rPr>
          <w:rFonts w:hint="eastAsia"/>
          <w:color w:val="FF0000"/>
        </w:rPr>
        <w:t>鑫源煤矿、东风煤矿、永乐煤矿、七山煤矿、麻黄梁煤矿签约实施“风积沙似膏体条带充填”开采及回填整复</w:t>
      </w:r>
      <w:r w:rsidR="00D84A0C" w:rsidRPr="003A254A">
        <w:rPr>
          <w:rFonts w:hint="eastAsia"/>
          <w:color w:val="FF0000"/>
        </w:rPr>
        <w:t>。圣拓公司合作的煤矿</w:t>
      </w:r>
      <w:r w:rsidRPr="003A254A">
        <w:rPr>
          <w:rFonts w:hint="eastAsia"/>
          <w:color w:val="FF0000"/>
        </w:rPr>
        <w:t>原骨料消耗量大，</w:t>
      </w:r>
      <w:r w:rsidR="00D84A0C" w:rsidRPr="003A254A">
        <w:rPr>
          <w:rFonts w:hint="eastAsia"/>
          <w:color w:val="FF0000"/>
        </w:rPr>
        <w:t>其中麻黄梁煤矿年产原煤</w:t>
      </w:r>
      <w:r w:rsidR="00D84A0C" w:rsidRPr="003A254A">
        <w:rPr>
          <w:rFonts w:hint="eastAsia"/>
          <w:color w:val="FF0000"/>
        </w:rPr>
        <w:t>120</w:t>
      </w:r>
      <w:r w:rsidR="00D84A0C" w:rsidRPr="003A254A">
        <w:rPr>
          <w:rFonts w:hint="eastAsia"/>
          <w:color w:val="FF0000"/>
        </w:rPr>
        <w:t>万吨，井田面积</w:t>
      </w:r>
      <w:r w:rsidR="00D84A0C" w:rsidRPr="00B350AF">
        <w:rPr>
          <w:rFonts w:hint="eastAsia"/>
          <w:color w:val="FF0000"/>
        </w:rPr>
        <w:t>17.68</w:t>
      </w:r>
      <w:r w:rsidR="00C17743" w:rsidRPr="00B350AF">
        <w:rPr>
          <w:rFonts w:hint="eastAsia"/>
          <w:color w:val="FF0000"/>
        </w:rPr>
        <w:t>km</w:t>
      </w:r>
      <w:r w:rsidR="00C17743" w:rsidRPr="00B350AF">
        <w:rPr>
          <w:rFonts w:hint="eastAsia"/>
          <w:color w:val="FF0000"/>
          <w:vertAlign w:val="superscript"/>
        </w:rPr>
        <w:t>2</w:t>
      </w:r>
      <w:r w:rsidR="00D84A0C" w:rsidRPr="00B350AF">
        <w:rPr>
          <w:rFonts w:hint="eastAsia"/>
          <w:color w:val="FF0000"/>
        </w:rPr>
        <w:t>，探明的资源储量为</w:t>
      </w:r>
      <w:r w:rsidR="00D84A0C" w:rsidRPr="00B350AF">
        <w:rPr>
          <w:rFonts w:hint="eastAsia"/>
          <w:color w:val="FF0000"/>
        </w:rPr>
        <w:t>1.1524</w:t>
      </w:r>
      <w:r w:rsidR="00D84A0C" w:rsidRPr="00B350AF">
        <w:rPr>
          <w:rFonts w:hint="eastAsia"/>
          <w:color w:val="FF0000"/>
        </w:rPr>
        <w:t>亿吨，矿井服务年限为</w:t>
      </w:r>
      <w:r w:rsidR="00C17743" w:rsidRPr="00B350AF">
        <w:rPr>
          <w:rFonts w:hint="eastAsia"/>
          <w:color w:val="FF0000"/>
        </w:rPr>
        <w:t>47</w:t>
      </w:r>
      <w:r w:rsidR="00D84A0C" w:rsidRPr="00B350AF">
        <w:rPr>
          <w:rFonts w:hint="eastAsia"/>
          <w:color w:val="FF0000"/>
        </w:rPr>
        <w:t>年</w:t>
      </w:r>
      <w:r w:rsidR="00B350AF" w:rsidRPr="00B350AF">
        <w:rPr>
          <w:rFonts w:hint="eastAsia"/>
          <w:color w:val="FF0000"/>
        </w:rPr>
        <w:t>；矿井采用充填开采方式置换井下原煤，充填所需骨料量基本</w:t>
      </w:r>
      <w:r w:rsidR="00675664">
        <w:rPr>
          <w:rFonts w:hint="eastAsia"/>
          <w:color w:val="FF0000"/>
        </w:rPr>
        <w:t>为</w:t>
      </w:r>
      <w:r w:rsidR="00B350AF" w:rsidRPr="00B350AF">
        <w:rPr>
          <w:rFonts w:hint="eastAsia"/>
          <w:color w:val="FF0000"/>
        </w:rPr>
        <w:t>采出原煤</w:t>
      </w:r>
      <w:r w:rsidR="00675664">
        <w:rPr>
          <w:rFonts w:hint="eastAsia"/>
          <w:color w:val="FF0000"/>
        </w:rPr>
        <w:t>量的</w:t>
      </w:r>
      <w:r w:rsidR="00CF531C">
        <w:rPr>
          <w:rFonts w:hint="eastAsia"/>
          <w:color w:val="FF0000"/>
        </w:rPr>
        <w:t>3</w:t>
      </w:r>
      <w:r w:rsidR="00675664">
        <w:rPr>
          <w:rFonts w:hint="eastAsia"/>
          <w:color w:val="FF0000"/>
        </w:rPr>
        <w:t>0%~</w:t>
      </w:r>
      <w:r w:rsidR="00CF531C">
        <w:rPr>
          <w:rFonts w:hint="eastAsia"/>
          <w:color w:val="FF0000"/>
        </w:rPr>
        <w:t>6</w:t>
      </w:r>
      <w:r w:rsidR="00675664">
        <w:rPr>
          <w:rFonts w:hint="eastAsia"/>
          <w:color w:val="FF0000"/>
        </w:rPr>
        <w:t>0%</w:t>
      </w:r>
      <w:r w:rsidR="00C17743" w:rsidRPr="00B350AF">
        <w:rPr>
          <w:rFonts w:hint="eastAsia"/>
          <w:color w:val="FF0000"/>
        </w:rPr>
        <w:t>。</w:t>
      </w:r>
      <w:r w:rsidR="00C17743" w:rsidRPr="00993B79">
        <w:rPr>
          <w:rFonts w:hint="eastAsia"/>
          <w:szCs w:val="24"/>
        </w:rPr>
        <w:t>圣拓（陕西）矿业有限公司</w:t>
      </w:r>
      <w:r w:rsidR="00706517" w:rsidRPr="00993B79">
        <w:rPr>
          <w:rFonts w:hint="eastAsia"/>
          <w:szCs w:val="24"/>
        </w:rPr>
        <w:t>服务的煤矿</w:t>
      </w:r>
      <w:r w:rsidRPr="00993B79">
        <w:rPr>
          <w:rFonts w:hint="eastAsia"/>
        </w:rPr>
        <w:t>应用实效长，满足天云煤矿洗选矸石完全综合利用的需要。</w:t>
      </w:r>
    </w:p>
    <w:p w:rsidR="00CD5D69" w:rsidRDefault="00601973" w:rsidP="00CD5D69">
      <w:pPr>
        <w:spacing w:line="360" w:lineRule="auto"/>
        <w:ind w:firstLineChars="200" w:firstLine="480"/>
        <w:rPr>
          <w:rFonts w:hAnsi="宋体"/>
          <w:color w:val="FF0000"/>
          <w:sz w:val="24"/>
          <w:szCs w:val="20"/>
        </w:rPr>
      </w:pPr>
      <w:r w:rsidRPr="00993B79">
        <w:rPr>
          <w:rFonts w:hAnsi="宋体" w:hint="eastAsia"/>
          <w:sz w:val="24"/>
        </w:rPr>
        <w:t>此外，考虑矸石运销不畅的情况，</w:t>
      </w:r>
      <w:r w:rsidRPr="00092755">
        <w:rPr>
          <w:rFonts w:hAnsi="宋体" w:hint="eastAsia"/>
          <w:color w:val="FF0000"/>
          <w:sz w:val="24"/>
        </w:rPr>
        <w:t>本次评价提出</w:t>
      </w:r>
      <w:r w:rsidR="00092755">
        <w:rPr>
          <w:rFonts w:hAnsi="宋体" w:hint="eastAsia"/>
          <w:color w:val="FF0000"/>
          <w:sz w:val="24"/>
        </w:rPr>
        <w:t>煤矿运行产生井下废弃巷道时，</w:t>
      </w:r>
      <w:r w:rsidRPr="00092755">
        <w:rPr>
          <w:rFonts w:hAnsi="宋体" w:hint="eastAsia"/>
          <w:color w:val="FF0000"/>
          <w:sz w:val="24"/>
        </w:rPr>
        <w:t>矸石可用于本矿井下废弃巷道充填</w:t>
      </w:r>
      <w:r w:rsidR="005860D5" w:rsidRPr="00092755">
        <w:rPr>
          <w:rFonts w:hAnsi="宋体"/>
          <w:color w:val="FF0000"/>
          <w:sz w:val="24"/>
        </w:rPr>
        <w:t>。本矿井的采煤方法为</w:t>
      </w:r>
      <w:r w:rsidR="005860D5" w:rsidRPr="00092755">
        <w:rPr>
          <w:rFonts w:hAnsi="宋体" w:hint="eastAsia"/>
          <w:color w:val="FF0000"/>
          <w:sz w:val="24"/>
        </w:rPr>
        <w:t>长壁后退式一次采全高综采采煤方法，</w:t>
      </w:r>
      <w:r w:rsidR="005860D5" w:rsidRPr="00092755">
        <w:rPr>
          <w:rFonts w:hAnsi="宋体"/>
          <w:color w:val="FF0000"/>
          <w:sz w:val="24"/>
        </w:rPr>
        <w:t>全部垮落法管理顶板。矿井每年需掘进大量巷道，为保证工作面正常接续，开采</w:t>
      </w:r>
      <w:r w:rsidR="005860D5" w:rsidRPr="00092755">
        <w:rPr>
          <w:rFonts w:hAnsi="宋体" w:hint="eastAsia"/>
          <w:color w:val="FF0000"/>
          <w:sz w:val="24"/>
        </w:rPr>
        <w:t>4</w:t>
      </w:r>
      <w:r w:rsidR="005860D5" w:rsidRPr="00092755">
        <w:rPr>
          <w:rFonts w:hAnsi="宋体" w:hint="eastAsia"/>
          <w:color w:val="FF0000"/>
          <w:sz w:val="24"/>
          <w:vertAlign w:val="superscript"/>
        </w:rPr>
        <w:t>-1</w:t>
      </w:r>
      <w:r w:rsidR="005860D5" w:rsidRPr="00092755">
        <w:rPr>
          <w:rFonts w:hAnsi="宋体"/>
          <w:color w:val="FF0000"/>
          <w:sz w:val="24"/>
        </w:rPr>
        <w:t>煤层时综采工作面配备两个综掘工作面，</w:t>
      </w:r>
      <w:r w:rsidR="005860D5" w:rsidRPr="00092755">
        <w:rPr>
          <w:rFonts w:hAnsi="宋体" w:hint="eastAsia"/>
          <w:color w:val="FF0000"/>
          <w:sz w:val="24"/>
        </w:rPr>
        <w:t>采用两进一回“三巷式”布置，</w:t>
      </w:r>
      <w:r w:rsidR="00D93550" w:rsidRPr="00092755">
        <w:rPr>
          <w:rFonts w:hAnsi="宋体" w:hint="eastAsia"/>
          <w:color w:val="FF0000"/>
          <w:sz w:val="24"/>
        </w:rPr>
        <w:t>长壁综采工作面年推进度约为</w:t>
      </w:r>
      <w:r w:rsidR="00D93550" w:rsidRPr="00092755">
        <w:rPr>
          <w:rFonts w:hAnsi="宋体" w:hint="eastAsia"/>
          <w:color w:val="FF0000"/>
          <w:sz w:val="24"/>
        </w:rPr>
        <w:t>1188m</w:t>
      </w:r>
      <w:r w:rsidR="00D93550" w:rsidRPr="00092755">
        <w:rPr>
          <w:rFonts w:hAnsi="宋体" w:hint="eastAsia"/>
          <w:color w:val="FF0000"/>
          <w:sz w:val="24"/>
        </w:rPr>
        <w:t>，每年掘进工作面巷道及开切眼</w:t>
      </w:r>
      <w:r w:rsidR="00D93550" w:rsidRPr="00092755">
        <w:rPr>
          <w:rFonts w:hAnsi="宋体" w:hint="eastAsia"/>
          <w:color w:val="FF0000"/>
          <w:sz w:val="24"/>
        </w:rPr>
        <w:t>2500m</w:t>
      </w:r>
      <w:r w:rsidR="00D93550" w:rsidRPr="00092755">
        <w:rPr>
          <w:rFonts w:hAnsi="宋体" w:hint="eastAsia"/>
          <w:color w:val="FF0000"/>
          <w:sz w:val="24"/>
        </w:rPr>
        <w:t>左右，</w:t>
      </w:r>
      <w:r w:rsidR="00D93550" w:rsidRPr="00092755">
        <w:rPr>
          <w:rFonts w:ascii="宋体" w:hAnsi="宋体" w:hint="eastAsia"/>
          <w:color w:val="FF0000"/>
          <w:sz w:val="24"/>
        </w:rPr>
        <w:t>按最小</w:t>
      </w:r>
      <w:r w:rsidR="00D93550" w:rsidRPr="00092755">
        <w:rPr>
          <w:rFonts w:eastAsia="汉鼎简书宋"/>
          <w:snapToGrid w:val="0"/>
          <w:color w:val="FF0000"/>
          <w:kern w:val="0"/>
          <w:sz w:val="24"/>
        </w:rPr>
        <w:t>断面</w:t>
      </w:r>
      <w:r w:rsidR="00D93550" w:rsidRPr="00092755">
        <w:rPr>
          <w:rFonts w:eastAsia="汉鼎简书宋" w:hint="eastAsia"/>
          <w:snapToGrid w:val="0"/>
          <w:color w:val="FF0000"/>
          <w:kern w:val="0"/>
          <w:sz w:val="24"/>
        </w:rPr>
        <w:t>12</w:t>
      </w:r>
      <w:r w:rsidR="00D93550" w:rsidRPr="00092755">
        <w:rPr>
          <w:rFonts w:eastAsia="汉鼎简书宋"/>
          <w:snapToGrid w:val="0"/>
          <w:color w:val="FF0000"/>
          <w:kern w:val="0"/>
          <w:sz w:val="24"/>
        </w:rPr>
        <w:t>m</w:t>
      </w:r>
      <w:r w:rsidR="00D93550" w:rsidRPr="00092755">
        <w:rPr>
          <w:rFonts w:eastAsia="汉鼎简书宋"/>
          <w:snapToGrid w:val="0"/>
          <w:color w:val="FF0000"/>
          <w:kern w:val="0"/>
          <w:sz w:val="24"/>
          <w:vertAlign w:val="superscript"/>
        </w:rPr>
        <w:t>2</w:t>
      </w:r>
      <w:r w:rsidR="00D93550" w:rsidRPr="00092755">
        <w:rPr>
          <w:rFonts w:eastAsia="汉鼎简书宋" w:hint="eastAsia"/>
          <w:snapToGrid w:val="0"/>
          <w:color w:val="FF0000"/>
          <w:kern w:val="0"/>
          <w:sz w:val="24"/>
        </w:rPr>
        <w:t>、</w:t>
      </w:r>
      <w:r w:rsidR="00D93550" w:rsidRPr="00092755">
        <w:rPr>
          <w:rFonts w:eastAsia="汉鼎简书宋"/>
          <w:snapToGrid w:val="0"/>
          <w:color w:val="FF0000"/>
          <w:kern w:val="0"/>
          <w:sz w:val="24"/>
        </w:rPr>
        <w:t>充填率</w:t>
      </w:r>
      <w:r w:rsidR="00D93550" w:rsidRPr="00092755">
        <w:rPr>
          <w:rFonts w:eastAsia="汉鼎简书宋" w:hint="eastAsia"/>
          <w:snapToGrid w:val="0"/>
          <w:color w:val="FF0000"/>
          <w:kern w:val="0"/>
          <w:sz w:val="24"/>
        </w:rPr>
        <w:t>6</w:t>
      </w:r>
      <w:r w:rsidR="00D93550" w:rsidRPr="00092755">
        <w:rPr>
          <w:rFonts w:eastAsia="汉鼎简书宋"/>
          <w:snapToGrid w:val="0"/>
          <w:color w:val="FF0000"/>
          <w:kern w:val="0"/>
          <w:sz w:val="24"/>
        </w:rPr>
        <w:t>0%</w:t>
      </w:r>
      <w:r w:rsidR="00D93550" w:rsidRPr="00092755">
        <w:rPr>
          <w:rFonts w:eastAsia="汉鼎简书宋"/>
          <w:snapToGrid w:val="0"/>
          <w:color w:val="FF0000"/>
          <w:kern w:val="0"/>
          <w:sz w:val="24"/>
        </w:rPr>
        <w:t>计，</w:t>
      </w:r>
      <w:r w:rsidR="00D93550" w:rsidRPr="00092755">
        <w:rPr>
          <w:rFonts w:eastAsia="汉鼎简书宋" w:hint="eastAsia"/>
          <w:snapToGrid w:val="0"/>
          <w:color w:val="FF0000"/>
          <w:kern w:val="0"/>
          <w:sz w:val="24"/>
        </w:rPr>
        <w:t>形成采空空间</w:t>
      </w:r>
      <w:r w:rsidR="00D93550" w:rsidRPr="00092755">
        <w:rPr>
          <w:rFonts w:eastAsia="汉鼎简书宋" w:hint="eastAsia"/>
          <w:snapToGrid w:val="0"/>
          <w:color w:val="FF0000"/>
          <w:kern w:val="0"/>
          <w:sz w:val="24"/>
        </w:rPr>
        <w:t>2.65</w:t>
      </w:r>
      <w:r w:rsidR="00D93550" w:rsidRPr="00092755">
        <w:rPr>
          <w:rFonts w:eastAsia="汉鼎简书宋" w:hint="eastAsia"/>
          <w:snapToGrid w:val="0"/>
          <w:color w:val="FF0000"/>
          <w:kern w:val="0"/>
          <w:sz w:val="24"/>
        </w:rPr>
        <w:t>万</w:t>
      </w:r>
      <w:r w:rsidR="00D93550" w:rsidRPr="00092755">
        <w:rPr>
          <w:rFonts w:eastAsia="汉鼎简书宋" w:hint="eastAsia"/>
          <w:snapToGrid w:val="0"/>
          <w:color w:val="FF0000"/>
          <w:kern w:val="0"/>
          <w:sz w:val="24"/>
        </w:rPr>
        <w:t>m</w:t>
      </w:r>
      <w:r w:rsidR="00D93550" w:rsidRPr="00092755">
        <w:rPr>
          <w:rFonts w:eastAsia="汉鼎简书宋" w:hint="eastAsia"/>
          <w:snapToGrid w:val="0"/>
          <w:color w:val="FF0000"/>
          <w:kern w:val="0"/>
          <w:sz w:val="24"/>
          <w:vertAlign w:val="superscript"/>
        </w:rPr>
        <w:t>3</w:t>
      </w:r>
      <w:r w:rsidR="00D93550" w:rsidRPr="00092755">
        <w:rPr>
          <w:rFonts w:eastAsia="汉鼎简书宋" w:hint="eastAsia"/>
          <w:snapToGrid w:val="0"/>
          <w:color w:val="FF0000"/>
          <w:kern w:val="0"/>
          <w:sz w:val="24"/>
        </w:rPr>
        <w:t>/a</w:t>
      </w:r>
      <w:r w:rsidR="00D93550" w:rsidRPr="00092755">
        <w:rPr>
          <w:rFonts w:eastAsia="汉鼎简书宋" w:hint="eastAsia"/>
          <w:snapToGrid w:val="0"/>
          <w:color w:val="FF0000"/>
          <w:kern w:val="0"/>
          <w:sz w:val="24"/>
        </w:rPr>
        <w:t>，</w:t>
      </w:r>
      <w:r w:rsidR="00D93550" w:rsidRPr="00092755">
        <w:rPr>
          <w:rFonts w:eastAsia="汉鼎简书宋"/>
          <w:snapToGrid w:val="0"/>
          <w:color w:val="FF0000"/>
          <w:kern w:val="0"/>
          <w:sz w:val="24"/>
        </w:rPr>
        <w:t>可充填矸石约</w:t>
      </w:r>
      <w:r w:rsidR="00D93550" w:rsidRPr="00092755">
        <w:rPr>
          <w:rFonts w:eastAsia="汉鼎简书宋" w:hint="eastAsia"/>
          <w:snapToGrid w:val="0"/>
          <w:color w:val="FF0000"/>
          <w:kern w:val="0"/>
          <w:sz w:val="24"/>
        </w:rPr>
        <w:t>5.31</w:t>
      </w:r>
      <w:r w:rsidR="00D93550" w:rsidRPr="00092755">
        <w:rPr>
          <w:rFonts w:eastAsia="汉鼎简书宋"/>
          <w:snapToGrid w:val="0"/>
          <w:color w:val="FF0000"/>
          <w:kern w:val="0"/>
          <w:sz w:val="24"/>
        </w:rPr>
        <w:t>万</w:t>
      </w:r>
      <w:r w:rsidR="00D93550" w:rsidRPr="00092755">
        <w:rPr>
          <w:rFonts w:eastAsia="汉鼎简书宋"/>
          <w:snapToGrid w:val="0"/>
          <w:color w:val="FF0000"/>
          <w:kern w:val="0"/>
          <w:sz w:val="24"/>
        </w:rPr>
        <w:t>t</w:t>
      </w:r>
      <w:r w:rsidR="00D93550" w:rsidRPr="00092755">
        <w:rPr>
          <w:rFonts w:eastAsia="汉鼎简书宋" w:hint="eastAsia"/>
          <w:snapToGrid w:val="0"/>
          <w:color w:val="FF0000"/>
          <w:kern w:val="0"/>
          <w:sz w:val="24"/>
        </w:rPr>
        <w:t>/a</w:t>
      </w:r>
      <w:r w:rsidR="00CD5D69" w:rsidRPr="00092755">
        <w:rPr>
          <w:rFonts w:hint="eastAsia"/>
          <w:color w:val="FF0000"/>
          <w:sz w:val="24"/>
        </w:rPr>
        <w:t>；</w:t>
      </w:r>
      <w:r w:rsidR="00D93550" w:rsidRPr="00092755">
        <w:rPr>
          <w:rFonts w:eastAsia="汉鼎简书宋" w:hint="eastAsia"/>
          <w:snapToGrid w:val="0"/>
          <w:color w:val="FF0000"/>
          <w:kern w:val="0"/>
          <w:sz w:val="24"/>
        </w:rPr>
        <w:t>同时</w:t>
      </w:r>
      <w:r w:rsidR="00CD5D69" w:rsidRPr="00092755">
        <w:rPr>
          <w:rFonts w:hAnsi="宋体"/>
          <w:color w:val="FF0000"/>
          <w:sz w:val="24"/>
          <w:szCs w:val="20"/>
        </w:rPr>
        <w:t>开采时工作面会掘进大量联络巷道，每隔</w:t>
      </w:r>
      <w:r w:rsidR="00CD5D69" w:rsidRPr="00092755">
        <w:rPr>
          <w:rFonts w:hAnsi="宋体"/>
          <w:color w:val="FF0000"/>
          <w:sz w:val="24"/>
          <w:szCs w:val="20"/>
        </w:rPr>
        <w:t>20</w:t>
      </w:r>
      <w:r w:rsidR="00CD5D69" w:rsidRPr="00092755">
        <w:rPr>
          <w:rFonts w:hAnsi="宋体"/>
          <w:color w:val="FF0000"/>
          <w:sz w:val="24"/>
          <w:szCs w:val="20"/>
        </w:rPr>
        <w:t>～</w:t>
      </w:r>
      <w:r w:rsidR="00CD5D69" w:rsidRPr="00092755">
        <w:rPr>
          <w:rFonts w:hAnsi="宋体"/>
          <w:color w:val="FF0000"/>
          <w:sz w:val="24"/>
          <w:szCs w:val="20"/>
        </w:rPr>
        <w:t>50m</w:t>
      </w:r>
      <w:r w:rsidR="00CD5D69" w:rsidRPr="00092755">
        <w:rPr>
          <w:rFonts w:hAnsi="宋体"/>
          <w:color w:val="FF0000"/>
          <w:sz w:val="24"/>
          <w:szCs w:val="20"/>
        </w:rPr>
        <w:t>就有联络巷道，空间较大，也可以利用进行回填矸石</w:t>
      </w:r>
      <w:r w:rsidR="00FA0691">
        <w:rPr>
          <w:rFonts w:hAnsi="宋体" w:hint="eastAsia"/>
          <w:color w:val="FF0000"/>
          <w:sz w:val="24"/>
          <w:szCs w:val="20"/>
        </w:rPr>
        <w:t>；</w:t>
      </w:r>
      <w:r w:rsidR="00092755">
        <w:rPr>
          <w:rFonts w:hAnsi="宋体" w:hint="eastAsia"/>
          <w:color w:val="FF0000"/>
          <w:sz w:val="24"/>
          <w:szCs w:val="20"/>
        </w:rPr>
        <w:t>项目矸石下井可经副斜井利用无轨胶轮车运输至充填巷道处。</w:t>
      </w:r>
    </w:p>
    <w:p w:rsidR="00FA0691" w:rsidRPr="00092755" w:rsidRDefault="00FA0691" w:rsidP="00CD5D69">
      <w:pPr>
        <w:spacing w:line="360" w:lineRule="auto"/>
        <w:ind w:firstLineChars="200" w:firstLine="480"/>
        <w:rPr>
          <w:rFonts w:eastAsia="汉鼎简书宋"/>
          <w:snapToGrid w:val="0"/>
          <w:color w:val="FF0000"/>
          <w:kern w:val="0"/>
          <w:sz w:val="24"/>
        </w:rPr>
      </w:pPr>
      <w:r>
        <w:rPr>
          <w:rFonts w:hAnsi="宋体" w:hint="eastAsia"/>
          <w:color w:val="FF0000"/>
          <w:sz w:val="24"/>
          <w:szCs w:val="20"/>
        </w:rPr>
        <w:t>综合分析，本项目筛分矸石综合利用的</w:t>
      </w:r>
      <w:r w:rsidR="0073125F">
        <w:rPr>
          <w:rFonts w:hAnsi="宋体" w:hint="eastAsia"/>
          <w:color w:val="FF0000"/>
          <w:sz w:val="24"/>
          <w:szCs w:val="20"/>
        </w:rPr>
        <w:t>途径</w:t>
      </w:r>
      <w:r>
        <w:rPr>
          <w:rFonts w:hAnsi="宋体" w:hint="eastAsia"/>
          <w:color w:val="FF0000"/>
          <w:sz w:val="24"/>
          <w:szCs w:val="20"/>
        </w:rPr>
        <w:t>多，</w:t>
      </w:r>
      <w:r w:rsidR="0073125F">
        <w:rPr>
          <w:rFonts w:hAnsi="宋体" w:hint="eastAsia"/>
          <w:color w:val="FF0000"/>
          <w:sz w:val="24"/>
          <w:szCs w:val="20"/>
        </w:rPr>
        <w:t>消耗量大，同时矿井自身进行井下充填，进一步保证了煤矸石的处置和利用能力。</w:t>
      </w:r>
    </w:p>
    <w:p w:rsidR="00C223F5" w:rsidRDefault="005860D5" w:rsidP="004835BD">
      <w:pPr>
        <w:pStyle w:val="3"/>
        <w:numPr>
          <w:ilvl w:val="0"/>
          <w:numId w:val="0"/>
        </w:numPr>
        <w:spacing w:before="0" w:after="0" w:line="360" w:lineRule="auto"/>
        <w:ind w:left="170"/>
        <w:rPr>
          <w:b/>
          <w:szCs w:val="20"/>
        </w:rPr>
      </w:pPr>
      <w:bookmarkStart w:id="517" w:name="_Toc533604778"/>
      <w:bookmarkStart w:id="518" w:name="_Toc533604358"/>
      <w:bookmarkStart w:id="519" w:name="_Toc493246141"/>
      <w:bookmarkStart w:id="520" w:name="_Toc16785324"/>
      <w:r>
        <w:rPr>
          <w:rFonts w:eastAsia="宋体" w:hint="eastAsia"/>
          <w:b/>
          <w:bCs w:val="0"/>
          <w:sz w:val="28"/>
          <w:szCs w:val="28"/>
        </w:rPr>
        <w:lastRenderedPageBreak/>
        <w:t>5.6.2</w:t>
      </w:r>
      <w:r>
        <w:rPr>
          <w:rFonts w:eastAsia="宋体"/>
          <w:b/>
          <w:bCs w:val="0"/>
          <w:sz w:val="28"/>
          <w:szCs w:val="28"/>
        </w:rPr>
        <w:t>生活垃圾处置措施</w:t>
      </w:r>
      <w:bookmarkEnd w:id="517"/>
      <w:bookmarkEnd w:id="518"/>
      <w:bookmarkEnd w:id="519"/>
      <w:bookmarkEnd w:id="520"/>
    </w:p>
    <w:p w:rsidR="00C223F5" w:rsidRDefault="005860D5">
      <w:pPr>
        <w:pStyle w:val="aff1"/>
        <w:spacing w:line="360" w:lineRule="auto"/>
        <w:ind w:left="0" w:firstLineChars="200" w:firstLine="480"/>
      </w:pPr>
      <w:r>
        <w:t>营运期生活垃圾产生量较少，每年产生约</w:t>
      </w:r>
      <w:r>
        <w:rPr>
          <w:rFonts w:hint="eastAsia"/>
        </w:rPr>
        <w:t>149t</w:t>
      </w:r>
      <w:r>
        <w:rPr>
          <w:rFonts w:hint="eastAsia"/>
        </w:rPr>
        <w:t>，</w:t>
      </w:r>
      <w:r>
        <w:t>矿井应对生活垃圾集中收集</w:t>
      </w:r>
      <w:r>
        <w:rPr>
          <w:szCs w:val="21"/>
        </w:rPr>
        <w:t>由当地环卫部门统一处理</w:t>
      </w:r>
      <w:r>
        <w:t>。在工业场地内应设垃圾储存箱，并派专人负责定期及时清运，方可将垃圾在场地内暂时堆存造成的污染的可能性降至最低。</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521" w:name="_Toc493246142"/>
      <w:bookmarkStart w:id="522" w:name="_Toc533604359"/>
      <w:bookmarkStart w:id="523" w:name="_Toc533604779"/>
      <w:bookmarkStart w:id="524" w:name="_Toc16785325"/>
      <w:r>
        <w:rPr>
          <w:rFonts w:eastAsia="宋体" w:hint="eastAsia"/>
          <w:b/>
          <w:bCs w:val="0"/>
          <w:sz w:val="28"/>
          <w:szCs w:val="28"/>
        </w:rPr>
        <w:t>5.6.3</w:t>
      </w:r>
      <w:r>
        <w:rPr>
          <w:rFonts w:eastAsia="宋体"/>
          <w:b/>
          <w:bCs w:val="0"/>
          <w:sz w:val="28"/>
          <w:szCs w:val="28"/>
        </w:rPr>
        <w:t>污水处理站污泥</w:t>
      </w:r>
      <w:r>
        <w:rPr>
          <w:rFonts w:eastAsia="宋体" w:hint="eastAsia"/>
          <w:b/>
          <w:bCs w:val="0"/>
          <w:sz w:val="28"/>
          <w:szCs w:val="28"/>
        </w:rPr>
        <w:t>和煤泥</w:t>
      </w:r>
      <w:r>
        <w:rPr>
          <w:rFonts w:eastAsia="宋体"/>
          <w:b/>
          <w:bCs w:val="0"/>
          <w:sz w:val="28"/>
          <w:szCs w:val="28"/>
        </w:rPr>
        <w:t>处置措施</w:t>
      </w:r>
      <w:bookmarkEnd w:id="521"/>
      <w:bookmarkEnd w:id="522"/>
      <w:bookmarkEnd w:id="523"/>
      <w:bookmarkEnd w:id="524"/>
    </w:p>
    <w:p w:rsidR="00C223F5" w:rsidRDefault="005860D5">
      <w:pPr>
        <w:spacing w:line="360" w:lineRule="auto"/>
        <w:ind w:firstLineChars="200" w:firstLine="480"/>
        <w:rPr>
          <w:color w:val="000000"/>
          <w:sz w:val="24"/>
        </w:rPr>
      </w:pPr>
      <w:r>
        <w:rPr>
          <w:sz w:val="24"/>
        </w:rPr>
        <w:t>井下污水处理站的污泥（</w:t>
      </w:r>
      <w:r>
        <w:rPr>
          <w:rFonts w:hint="eastAsia"/>
          <w:sz w:val="24"/>
        </w:rPr>
        <w:t>34</w:t>
      </w:r>
      <w:r>
        <w:rPr>
          <w:sz w:val="24"/>
        </w:rPr>
        <w:t>t/a</w:t>
      </w:r>
      <w:r>
        <w:rPr>
          <w:sz w:val="24"/>
        </w:rPr>
        <w:t>）主要成份是煤泥，环评建议将煤泥经浓缩池浓缩压滤后掺入末煤用于当地销售。煤泥经压滤后不得随意堆放，环评建议在压滤机旁设置一铁质方仓，作为煤泥暂存场所，然后用汽车运输，直接掺入末煤，由输煤系统送</w:t>
      </w:r>
      <w:r>
        <w:rPr>
          <w:color w:val="000000"/>
          <w:sz w:val="24"/>
        </w:rPr>
        <w:t>入末煤仓储存，就地外销，可消除其对环境造成的影响。</w:t>
      </w:r>
    </w:p>
    <w:p w:rsidR="00C223F5" w:rsidRDefault="005860D5">
      <w:pPr>
        <w:spacing w:line="360" w:lineRule="auto"/>
        <w:ind w:firstLineChars="200" w:firstLine="480"/>
        <w:rPr>
          <w:color w:val="000000"/>
          <w:sz w:val="24"/>
        </w:rPr>
      </w:pPr>
      <w:r>
        <w:rPr>
          <w:color w:val="000000"/>
          <w:kern w:val="0"/>
          <w:sz w:val="24"/>
        </w:rPr>
        <w:t>地面污水处理站每年产生污泥（干污泥）约</w:t>
      </w:r>
      <w:r>
        <w:rPr>
          <w:rFonts w:hint="eastAsia"/>
          <w:sz w:val="24"/>
        </w:rPr>
        <w:t>5.28</w:t>
      </w:r>
      <w:r>
        <w:rPr>
          <w:color w:val="000000"/>
          <w:kern w:val="0"/>
          <w:sz w:val="24"/>
        </w:rPr>
        <w:t>t/a</w:t>
      </w:r>
      <w:r>
        <w:rPr>
          <w:color w:val="000000"/>
          <w:kern w:val="0"/>
          <w:sz w:val="24"/>
        </w:rPr>
        <w:t>，环评要求将污泥脱水及相关处理后送垃圾填埋场处理，具体参照</w:t>
      </w:r>
      <w:r>
        <w:rPr>
          <w:color w:val="000000"/>
          <w:sz w:val="24"/>
        </w:rPr>
        <w:t>陕环函</w:t>
      </w:r>
      <w:r>
        <w:rPr>
          <w:color w:val="000000"/>
          <w:sz w:val="24"/>
        </w:rPr>
        <w:t>[2011]120</w:t>
      </w:r>
      <w:r>
        <w:rPr>
          <w:color w:val="000000"/>
          <w:sz w:val="24"/>
        </w:rPr>
        <w:t>号文《关于加强城镇污水处理厂污泥污染防治工作的通知》。</w:t>
      </w:r>
    </w:p>
    <w:p w:rsidR="00C223F5" w:rsidRDefault="005860D5">
      <w:pPr>
        <w:spacing w:line="360" w:lineRule="auto"/>
        <w:ind w:firstLineChars="200" w:firstLine="480"/>
        <w:rPr>
          <w:sz w:val="24"/>
        </w:rPr>
      </w:pPr>
      <w:r>
        <w:rPr>
          <w:color w:val="000000"/>
          <w:sz w:val="24"/>
        </w:rPr>
        <w:t>由于生活污水处理站产生的少量污泥经机械浓缩法脱水后其含水率仍较高（约为</w:t>
      </w:r>
      <w:r>
        <w:rPr>
          <w:color w:val="000000"/>
          <w:sz w:val="24"/>
        </w:rPr>
        <w:t>65%</w:t>
      </w:r>
      <w:r>
        <w:rPr>
          <w:color w:val="000000"/>
          <w:sz w:val="24"/>
        </w:rPr>
        <w:t>），环评要求向脱水后的污泥中加入</w:t>
      </w:r>
      <w:r>
        <w:rPr>
          <w:color w:val="000000"/>
          <w:sz w:val="24"/>
        </w:rPr>
        <w:t>20%</w:t>
      </w:r>
      <w:r>
        <w:rPr>
          <w:color w:val="000000"/>
          <w:sz w:val="24"/>
        </w:rPr>
        <w:t>的生石灰对其进行干化处理，加生石灰干化污泥的主要工艺原理是：将氧化钙与脱水污泥有效混合，发生以下主要反应：</w:t>
      </w:r>
      <w:r>
        <w:rPr>
          <w:color w:val="000000"/>
          <w:sz w:val="24"/>
        </w:rPr>
        <w:t> 1 kg </w:t>
      </w:r>
      <w:proofErr w:type="spellStart"/>
      <w:r>
        <w:rPr>
          <w:color w:val="000000"/>
          <w:sz w:val="24"/>
        </w:rPr>
        <w:t>CaO</w:t>
      </w:r>
      <w:proofErr w:type="spellEnd"/>
      <w:r>
        <w:rPr>
          <w:color w:val="000000"/>
          <w:sz w:val="24"/>
        </w:rPr>
        <w:t> + 0.32 kgH</w:t>
      </w:r>
      <w:r>
        <w:rPr>
          <w:color w:val="000000"/>
          <w:sz w:val="24"/>
          <w:vertAlign w:val="subscript"/>
        </w:rPr>
        <w:t>2</w:t>
      </w:r>
      <w:r>
        <w:rPr>
          <w:color w:val="000000"/>
          <w:sz w:val="24"/>
        </w:rPr>
        <w:t>O =1.32 kg Ca(OH) </w:t>
      </w:r>
      <w:r>
        <w:rPr>
          <w:color w:val="000000"/>
          <w:sz w:val="24"/>
          <w:vertAlign w:val="subscript"/>
        </w:rPr>
        <w:t>2</w:t>
      </w:r>
      <w:r>
        <w:rPr>
          <w:color w:val="000000"/>
          <w:sz w:val="24"/>
        </w:rPr>
        <w:t>+ 1177 kJ</w:t>
      </w:r>
      <w:r>
        <w:rPr>
          <w:color w:val="000000"/>
          <w:sz w:val="24"/>
        </w:rPr>
        <w:t>（热量），生石灰和污泥中的水发生放热反应，生成钙的水合物或者氢氧化钙，生石灰的加入，一方面提高了污泥的固体物含量，可使污泥含水率降至</w:t>
      </w:r>
      <w:r>
        <w:rPr>
          <w:color w:val="000000"/>
          <w:sz w:val="24"/>
        </w:rPr>
        <w:t>40%</w:t>
      </w:r>
      <w:r>
        <w:rPr>
          <w:color w:val="000000"/>
          <w:sz w:val="24"/>
        </w:rPr>
        <w:t>以下，满足送至市政垃圾场填埋处置的要求；另一方面，在水合反应放出的热量的作用下系统温度将提高，使致病菌</w:t>
      </w:r>
      <w:r>
        <w:rPr>
          <w:sz w:val="24"/>
        </w:rPr>
        <w:t>和寄生微生物减少，从而实现对污泥的无害化处理。石灰与污泥的混合同时增加了系统的碱性</w:t>
      </w:r>
      <w:r>
        <w:rPr>
          <w:sz w:val="24"/>
        </w:rPr>
        <w:t>(pH</w:t>
      </w:r>
      <w:r>
        <w:rPr>
          <w:sz w:val="24"/>
        </w:rPr>
        <w:t>值的升高</w:t>
      </w:r>
      <w:r>
        <w:rPr>
          <w:sz w:val="24"/>
        </w:rPr>
        <w:t>)</w:t>
      </w:r>
      <w:r>
        <w:rPr>
          <w:sz w:val="24"/>
        </w:rPr>
        <w:t>，从而进一步强化了无害化效果。</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525" w:name="_Toc493246143"/>
      <w:bookmarkStart w:id="526" w:name="_Toc533604780"/>
      <w:bookmarkStart w:id="527" w:name="_Toc533604360"/>
      <w:bookmarkStart w:id="528" w:name="_Toc16785326"/>
      <w:r>
        <w:rPr>
          <w:rFonts w:eastAsia="宋体" w:hint="eastAsia"/>
          <w:b/>
          <w:bCs w:val="0"/>
          <w:sz w:val="28"/>
          <w:szCs w:val="28"/>
        </w:rPr>
        <w:t>5.6.4</w:t>
      </w:r>
      <w:r>
        <w:rPr>
          <w:rFonts w:eastAsia="宋体" w:hint="eastAsia"/>
          <w:b/>
          <w:bCs w:val="0"/>
          <w:sz w:val="28"/>
          <w:szCs w:val="28"/>
        </w:rPr>
        <w:t>废机油等危险废物的处置要求</w:t>
      </w:r>
      <w:bookmarkEnd w:id="525"/>
      <w:bookmarkEnd w:id="526"/>
      <w:bookmarkEnd w:id="527"/>
      <w:bookmarkEnd w:id="528"/>
    </w:p>
    <w:p w:rsidR="00C223F5" w:rsidRPr="00993B79" w:rsidRDefault="005860D5">
      <w:pPr>
        <w:pStyle w:val="BG"/>
        <w:ind w:firstLine="480"/>
      </w:pPr>
      <w:r>
        <w:t>矿井生产期危险固体废弃物主要包括设备运行和检修产生的润滑油及废机油，产生量</w:t>
      </w:r>
      <w:r>
        <w:rPr>
          <w:rFonts w:hint="eastAsia"/>
        </w:rPr>
        <w:t>很少</w:t>
      </w:r>
      <w:r>
        <w:t>，</w:t>
      </w:r>
      <w:r>
        <w:rPr>
          <w:kern w:val="0"/>
        </w:rPr>
        <w:t>主要产生于检修环节，</w:t>
      </w:r>
      <w:r>
        <w:t>环评要求在工业场地内设置危废暂存库，</w:t>
      </w:r>
      <w:r w:rsidRPr="0024471A">
        <w:rPr>
          <w:color w:val="FF0000"/>
        </w:rPr>
        <w:t>建议暂存库</w:t>
      </w:r>
      <w:r w:rsidR="0024471A" w:rsidRPr="0024471A">
        <w:rPr>
          <w:rFonts w:hint="eastAsia"/>
          <w:color w:val="FF0000"/>
        </w:rPr>
        <w:t>与</w:t>
      </w:r>
      <w:r w:rsidRPr="0024471A">
        <w:rPr>
          <w:color w:val="FF0000"/>
        </w:rPr>
        <w:t>油脂库</w:t>
      </w:r>
      <w:r w:rsidR="0024471A" w:rsidRPr="0024471A">
        <w:rPr>
          <w:rFonts w:hint="eastAsia"/>
          <w:color w:val="FF0000"/>
        </w:rPr>
        <w:t>共建，墙体分隔、分区存放</w:t>
      </w:r>
      <w:r w:rsidR="0024471A">
        <w:rPr>
          <w:rFonts w:hint="eastAsia"/>
        </w:rPr>
        <w:t>；</w:t>
      </w:r>
      <w:r>
        <w:t>暂存库内应采取</w:t>
      </w:r>
      <w:r>
        <w:rPr>
          <w:color w:val="000000"/>
        </w:rPr>
        <w:t>防渗措施，地面设置围堰、导流槽和</w:t>
      </w:r>
      <w:r w:rsidR="0024471A" w:rsidRPr="0024471A">
        <w:rPr>
          <w:rFonts w:hint="eastAsia"/>
          <w:color w:val="FF0000"/>
        </w:rPr>
        <w:t>集油坑</w:t>
      </w:r>
      <w:r>
        <w:rPr>
          <w:color w:val="000000"/>
        </w:rPr>
        <w:t>（采取</w:t>
      </w:r>
      <w:r w:rsidRPr="00993B79">
        <w:t>防渗措施）。危险废物统一收集后按《危险废物贮存污染控制标准》（</w:t>
      </w:r>
      <w:r w:rsidRPr="00993B79">
        <w:t>GB 18597-2001</w:t>
      </w:r>
      <w:r w:rsidRPr="00993B79">
        <w:t>）要求交由资质的单位处置。</w:t>
      </w:r>
    </w:p>
    <w:p w:rsidR="00C223F5" w:rsidRPr="00993B79" w:rsidRDefault="005860D5" w:rsidP="004835BD">
      <w:pPr>
        <w:pStyle w:val="2"/>
        <w:numPr>
          <w:ilvl w:val="0"/>
          <w:numId w:val="0"/>
        </w:numPr>
        <w:spacing w:before="0" w:after="0" w:line="360" w:lineRule="auto"/>
        <w:rPr>
          <w:rFonts w:ascii="Times New Roman" w:eastAsia="宋体" w:hAnsi="Times New Roman"/>
          <w:b/>
          <w:bCs w:val="0"/>
          <w:szCs w:val="30"/>
        </w:rPr>
      </w:pPr>
      <w:bookmarkStart w:id="529" w:name="_Toc12968299"/>
      <w:bookmarkStart w:id="530" w:name="_Toc16785327"/>
      <w:r w:rsidRPr="00993B79">
        <w:rPr>
          <w:rFonts w:ascii="Times New Roman" w:eastAsia="宋体" w:hAnsi="Times New Roman"/>
          <w:b/>
          <w:bCs w:val="0"/>
          <w:szCs w:val="30"/>
        </w:rPr>
        <w:t>5.</w:t>
      </w:r>
      <w:r w:rsidRPr="00993B79">
        <w:rPr>
          <w:rFonts w:ascii="Times New Roman" w:eastAsia="宋体" w:hAnsi="Times New Roman" w:hint="eastAsia"/>
          <w:b/>
          <w:bCs w:val="0"/>
          <w:szCs w:val="30"/>
        </w:rPr>
        <w:t>7</w:t>
      </w:r>
      <w:r w:rsidRPr="00993B79">
        <w:rPr>
          <w:rFonts w:ascii="Times New Roman" w:eastAsia="宋体" w:hAnsi="Times New Roman" w:hint="eastAsia"/>
          <w:b/>
          <w:bCs w:val="0"/>
          <w:szCs w:val="30"/>
        </w:rPr>
        <w:t>土壤环境保护措施</w:t>
      </w:r>
      <w:bookmarkEnd w:id="529"/>
      <w:bookmarkEnd w:id="530"/>
    </w:p>
    <w:p w:rsidR="00C223F5" w:rsidRPr="00993B79" w:rsidRDefault="005860D5" w:rsidP="00474756">
      <w:pPr>
        <w:pStyle w:val="aff1"/>
        <w:spacing w:line="360" w:lineRule="auto"/>
        <w:ind w:left="0" w:firstLineChars="200" w:firstLine="482"/>
        <w:rPr>
          <w:b/>
          <w:bCs/>
        </w:rPr>
      </w:pPr>
      <w:r w:rsidRPr="00993B79">
        <w:rPr>
          <w:b/>
          <w:bCs/>
        </w:rPr>
        <w:t>（</w:t>
      </w:r>
      <w:r w:rsidRPr="00993B79">
        <w:rPr>
          <w:b/>
          <w:bCs/>
        </w:rPr>
        <w:t>1</w:t>
      </w:r>
      <w:r w:rsidRPr="00993B79">
        <w:rPr>
          <w:b/>
          <w:bCs/>
        </w:rPr>
        <w:t>）源头控制措施</w:t>
      </w:r>
    </w:p>
    <w:p w:rsidR="00C223F5" w:rsidRPr="00993B79" w:rsidRDefault="005860D5" w:rsidP="00474756">
      <w:pPr>
        <w:spacing w:line="360" w:lineRule="auto"/>
        <w:ind w:firstLineChars="200" w:firstLine="480"/>
        <w:rPr>
          <w:bCs/>
          <w:sz w:val="24"/>
          <w:szCs w:val="20"/>
        </w:rPr>
      </w:pPr>
      <w:r w:rsidRPr="00993B79">
        <w:rPr>
          <w:rFonts w:hint="eastAsia"/>
          <w:bCs/>
          <w:sz w:val="24"/>
        </w:rPr>
        <w:lastRenderedPageBreak/>
        <w:t>与地下水源头控制措施相同。</w:t>
      </w:r>
    </w:p>
    <w:p w:rsidR="00C223F5" w:rsidRPr="00993B79" w:rsidRDefault="005860D5" w:rsidP="00C006A7">
      <w:pPr>
        <w:spacing w:line="360" w:lineRule="auto"/>
        <w:ind w:firstLineChars="200" w:firstLine="482"/>
        <w:rPr>
          <w:b/>
          <w:bCs/>
          <w:sz w:val="24"/>
        </w:rPr>
      </w:pPr>
      <w:r w:rsidRPr="00993B79">
        <w:rPr>
          <w:b/>
          <w:bCs/>
          <w:sz w:val="24"/>
        </w:rPr>
        <w:t>（</w:t>
      </w:r>
      <w:r w:rsidRPr="00993B79">
        <w:rPr>
          <w:b/>
          <w:bCs/>
          <w:sz w:val="24"/>
        </w:rPr>
        <w:t>2</w:t>
      </w:r>
      <w:r w:rsidRPr="00993B79">
        <w:rPr>
          <w:b/>
          <w:bCs/>
          <w:sz w:val="24"/>
        </w:rPr>
        <w:t>）分区布防措施</w:t>
      </w:r>
    </w:p>
    <w:p w:rsidR="00C223F5" w:rsidRPr="00993B79" w:rsidRDefault="005860D5" w:rsidP="00C006A7">
      <w:pPr>
        <w:spacing w:line="360" w:lineRule="auto"/>
        <w:ind w:firstLineChars="200" w:firstLine="480"/>
        <w:rPr>
          <w:bCs/>
          <w:kern w:val="0"/>
          <w:sz w:val="24"/>
        </w:rPr>
      </w:pPr>
      <w:r w:rsidRPr="00993B79">
        <w:rPr>
          <w:rFonts w:hint="eastAsia"/>
          <w:bCs/>
          <w:kern w:val="0"/>
          <w:sz w:val="24"/>
        </w:rPr>
        <w:t>根据识别的地下水污染源，对污染源采取防渗措施，具体与地下水分区防渗内容相同。对厂区内的其它区域在满足绿化率要求的情况下，生产区尽量采取硬化措施，避免地表裸露，生产区设置初期雨水池，收集初期雨水后回用。</w:t>
      </w:r>
    </w:p>
    <w:p w:rsidR="00C223F5" w:rsidRPr="00993B79" w:rsidRDefault="005860D5" w:rsidP="00C006A7">
      <w:pPr>
        <w:pStyle w:val="aff1"/>
        <w:tabs>
          <w:tab w:val="left" w:pos="420"/>
        </w:tabs>
        <w:spacing w:line="360" w:lineRule="auto"/>
        <w:ind w:left="0" w:firstLineChars="200" w:firstLine="482"/>
        <w:rPr>
          <w:b/>
          <w:bCs/>
        </w:rPr>
      </w:pPr>
      <w:r w:rsidRPr="00993B79">
        <w:rPr>
          <w:b/>
          <w:bCs/>
        </w:rPr>
        <w:t>（</w:t>
      </w:r>
      <w:r w:rsidRPr="00993B79">
        <w:rPr>
          <w:b/>
          <w:bCs/>
        </w:rPr>
        <w:t>3</w:t>
      </w:r>
      <w:r w:rsidRPr="00993B79">
        <w:rPr>
          <w:b/>
          <w:bCs/>
        </w:rPr>
        <w:t>）跟踪监测</w:t>
      </w:r>
    </w:p>
    <w:p w:rsidR="00C223F5" w:rsidRPr="00993B79" w:rsidRDefault="005860D5" w:rsidP="00C006A7">
      <w:pPr>
        <w:spacing w:line="360" w:lineRule="auto"/>
        <w:ind w:firstLineChars="200" w:firstLine="480"/>
        <w:rPr>
          <w:bCs/>
          <w:sz w:val="24"/>
        </w:rPr>
      </w:pPr>
      <w:r w:rsidRPr="00993B79">
        <w:rPr>
          <w:rFonts w:hint="eastAsia"/>
          <w:bCs/>
          <w:sz w:val="24"/>
        </w:rPr>
        <w:t>本项目生态影响型评价工作等级为三级，由于本项目一般不会造成土壤的盐化、酸化和碱化，因此不进行生态影响的跟踪监测。</w:t>
      </w:r>
    </w:p>
    <w:p w:rsidR="00C223F5" w:rsidRPr="00993B79" w:rsidRDefault="005860D5" w:rsidP="00474756">
      <w:pPr>
        <w:spacing w:line="360" w:lineRule="auto"/>
        <w:ind w:firstLineChars="200" w:firstLine="480"/>
        <w:rPr>
          <w:bCs/>
          <w:sz w:val="24"/>
        </w:rPr>
      </w:pPr>
      <w:r w:rsidRPr="00993B79">
        <w:rPr>
          <w:rFonts w:hint="eastAsia"/>
          <w:bCs/>
          <w:sz w:val="24"/>
        </w:rPr>
        <w:t>污染影响型评价工作等级为二级，</w:t>
      </w:r>
      <w:r w:rsidRPr="00993B79">
        <w:rPr>
          <w:bCs/>
          <w:sz w:val="24"/>
        </w:rPr>
        <w:t>根据《环境影响评价技术导则</w:t>
      </w:r>
      <w:r w:rsidRPr="00993B79">
        <w:rPr>
          <w:bCs/>
          <w:sz w:val="24"/>
        </w:rPr>
        <w:t>·</w:t>
      </w:r>
      <w:r w:rsidRPr="00993B79">
        <w:rPr>
          <w:rFonts w:hint="eastAsia"/>
          <w:bCs/>
          <w:sz w:val="24"/>
        </w:rPr>
        <w:t>土壤</w:t>
      </w:r>
      <w:r w:rsidRPr="00993B79">
        <w:rPr>
          <w:bCs/>
          <w:sz w:val="24"/>
        </w:rPr>
        <w:t>环境》</w:t>
      </w:r>
      <w:r w:rsidRPr="00993B79">
        <w:rPr>
          <w:rFonts w:hint="eastAsia"/>
          <w:bCs/>
          <w:sz w:val="24"/>
        </w:rPr>
        <w:t>，应制定土壤环境环境跟踪监测计划，及时发现问题，采取措施防止土壤污染</w:t>
      </w:r>
      <w:r w:rsidRPr="00993B79">
        <w:rPr>
          <w:bCs/>
          <w:sz w:val="24"/>
        </w:rPr>
        <w:t>。</w:t>
      </w:r>
      <w:r w:rsidRPr="00993B79">
        <w:rPr>
          <w:rFonts w:hint="eastAsia"/>
          <w:bCs/>
          <w:sz w:val="24"/>
        </w:rPr>
        <w:t>土壤</w:t>
      </w:r>
      <w:r w:rsidRPr="00993B79">
        <w:rPr>
          <w:bCs/>
          <w:sz w:val="24"/>
        </w:rPr>
        <w:t>跟踪监测</w:t>
      </w:r>
      <w:r w:rsidRPr="00993B79">
        <w:rPr>
          <w:rFonts w:hint="eastAsia"/>
          <w:bCs/>
          <w:sz w:val="24"/>
        </w:rPr>
        <w:t>计划</w:t>
      </w:r>
      <w:r w:rsidRPr="00993B79">
        <w:rPr>
          <w:bCs/>
          <w:sz w:val="24"/>
        </w:rPr>
        <w:t>见表</w:t>
      </w:r>
      <w:r w:rsidRPr="00993B79">
        <w:rPr>
          <w:rFonts w:hint="eastAsia"/>
          <w:bCs/>
          <w:sz w:val="24"/>
        </w:rPr>
        <w:t>5.7-1</w:t>
      </w:r>
      <w:r w:rsidRPr="00993B79">
        <w:rPr>
          <w:bCs/>
          <w:sz w:val="24"/>
        </w:rPr>
        <w:t>。</w:t>
      </w:r>
    </w:p>
    <w:p w:rsidR="00C223F5" w:rsidRPr="00993B79" w:rsidRDefault="005860D5" w:rsidP="00474756">
      <w:pPr>
        <w:jc w:val="center"/>
        <w:rPr>
          <w:b/>
          <w:sz w:val="24"/>
        </w:rPr>
      </w:pPr>
      <w:r w:rsidRPr="00993B79">
        <w:rPr>
          <w:b/>
          <w:sz w:val="24"/>
        </w:rPr>
        <w:t>表</w:t>
      </w:r>
      <w:r w:rsidRPr="00993B79">
        <w:rPr>
          <w:b/>
          <w:sz w:val="24"/>
        </w:rPr>
        <w:t>5.</w:t>
      </w:r>
      <w:r w:rsidRPr="00993B79">
        <w:rPr>
          <w:rFonts w:hint="eastAsia"/>
          <w:b/>
          <w:sz w:val="24"/>
        </w:rPr>
        <w:t>7</w:t>
      </w:r>
      <w:r w:rsidRPr="00993B79">
        <w:rPr>
          <w:b/>
          <w:sz w:val="24"/>
        </w:rPr>
        <w:t>-</w:t>
      </w:r>
      <w:r w:rsidRPr="00993B79">
        <w:rPr>
          <w:rFonts w:hint="eastAsia"/>
          <w:b/>
          <w:sz w:val="24"/>
        </w:rPr>
        <w:t>1</w:t>
      </w:r>
      <w:r w:rsidRPr="00993B79">
        <w:rPr>
          <w:rFonts w:hint="eastAsia"/>
          <w:b/>
          <w:sz w:val="24"/>
        </w:rPr>
        <w:t>土壤</w:t>
      </w:r>
      <w:r w:rsidRPr="00993B79">
        <w:rPr>
          <w:b/>
          <w:sz w:val="24"/>
        </w:rPr>
        <w:t>跟踪监测计划表</w:t>
      </w:r>
    </w:p>
    <w:tbl>
      <w:tblPr>
        <w:tblW w:w="8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1"/>
        <w:gridCol w:w="1418"/>
        <w:gridCol w:w="1984"/>
        <w:gridCol w:w="1276"/>
        <w:gridCol w:w="993"/>
        <w:gridCol w:w="2579"/>
      </w:tblGrid>
      <w:tr w:rsidR="00C223F5" w:rsidRPr="00993B79">
        <w:trPr>
          <w:trHeight w:val="567"/>
        </w:trPr>
        <w:tc>
          <w:tcPr>
            <w:tcW w:w="311" w:type="dxa"/>
            <w:shd w:val="clear" w:color="auto" w:fill="auto"/>
            <w:vAlign w:val="center"/>
          </w:tcPr>
          <w:p w:rsidR="00C223F5" w:rsidRPr="00993B79" w:rsidRDefault="005860D5" w:rsidP="00474756">
            <w:pPr>
              <w:pStyle w:val="36"/>
              <w:snapToGrid w:val="0"/>
              <w:spacing w:line="240" w:lineRule="auto"/>
              <w:ind w:firstLineChars="0" w:firstLine="0"/>
              <w:jc w:val="center"/>
              <w:rPr>
                <w:bCs/>
                <w:kern w:val="0"/>
                <w:sz w:val="21"/>
                <w:szCs w:val="21"/>
              </w:rPr>
            </w:pPr>
            <w:r w:rsidRPr="00993B79">
              <w:rPr>
                <w:bCs/>
                <w:kern w:val="0"/>
                <w:sz w:val="21"/>
                <w:szCs w:val="21"/>
              </w:rPr>
              <w:t>序号</w:t>
            </w:r>
          </w:p>
        </w:tc>
        <w:tc>
          <w:tcPr>
            <w:tcW w:w="1418" w:type="dxa"/>
            <w:shd w:val="clear" w:color="auto" w:fill="auto"/>
            <w:vAlign w:val="center"/>
          </w:tcPr>
          <w:p w:rsidR="00C223F5" w:rsidRPr="00993B79" w:rsidRDefault="005860D5" w:rsidP="00474756">
            <w:pPr>
              <w:pStyle w:val="36"/>
              <w:snapToGrid w:val="0"/>
              <w:spacing w:line="240" w:lineRule="auto"/>
              <w:ind w:firstLineChars="0" w:firstLine="0"/>
              <w:jc w:val="center"/>
              <w:rPr>
                <w:bCs/>
                <w:kern w:val="0"/>
                <w:sz w:val="21"/>
                <w:szCs w:val="21"/>
              </w:rPr>
            </w:pPr>
            <w:r w:rsidRPr="00993B79">
              <w:rPr>
                <w:bCs/>
                <w:kern w:val="0"/>
                <w:sz w:val="21"/>
                <w:szCs w:val="21"/>
              </w:rPr>
              <w:t>监测点位</w:t>
            </w:r>
          </w:p>
        </w:tc>
        <w:tc>
          <w:tcPr>
            <w:tcW w:w="1984" w:type="dxa"/>
            <w:shd w:val="clear" w:color="auto" w:fill="auto"/>
            <w:vAlign w:val="center"/>
          </w:tcPr>
          <w:p w:rsidR="00C223F5" w:rsidRPr="00993B79" w:rsidRDefault="005860D5" w:rsidP="00474756">
            <w:pPr>
              <w:pStyle w:val="36"/>
              <w:snapToGrid w:val="0"/>
              <w:spacing w:line="240" w:lineRule="auto"/>
              <w:ind w:firstLineChars="0" w:firstLine="0"/>
              <w:jc w:val="center"/>
              <w:rPr>
                <w:bCs/>
                <w:kern w:val="0"/>
                <w:sz w:val="21"/>
                <w:szCs w:val="21"/>
              </w:rPr>
            </w:pPr>
            <w:r w:rsidRPr="00993B79">
              <w:rPr>
                <w:bCs/>
                <w:kern w:val="0"/>
                <w:sz w:val="21"/>
                <w:szCs w:val="21"/>
              </w:rPr>
              <w:t>监测因子</w:t>
            </w:r>
          </w:p>
        </w:tc>
        <w:tc>
          <w:tcPr>
            <w:tcW w:w="1276" w:type="dxa"/>
            <w:shd w:val="clear" w:color="auto" w:fill="auto"/>
            <w:vAlign w:val="center"/>
          </w:tcPr>
          <w:p w:rsidR="00C223F5" w:rsidRPr="00993B79" w:rsidRDefault="005860D5" w:rsidP="00474756">
            <w:pPr>
              <w:pStyle w:val="36"/>
              <w:snapToGrid w:val="0"/>
              <w:spacing w:line="240" w:lineRule="auto"/>
              <w:ind w:firstLineChars="0" w:firstLine="0"/>
              <w:jc w:val="center"/>
              <w:rPr>
                <w:bCs/>
                <w:kern w:val="0"/>
                <w:sz w:val="21"/>
                <w:szCs w:val="21"/>
              </w:rPr>
            </w:pPr>
            <w:r w:rsidRPr="00993B79">
              <w:rPr>
                <w:bCs/>
                <w:kern w:val="0"/>
                <w:sz w:val="21"/>
                <w:szCs w:val="21"/>
              </w:rPr>
              <w:t>监测阶段</w:t>
            </w:r>
          </w:p>
        </w:tc>
        <w:tc>
          <w:tcPr>
            <w:tcW w:w="993" w:type="dxa"/>
            <w:shd w:val="clear" w:color="auto" w:fill="auto"/>
            <w:vAlign w:val="center"/>
          </w:tcPr>
          <w:p w:rsidR="00C223F5" w:rsidRPr="00993B79" w:rsidRDefault="005860D5" w:rsidP="00474756">
            <w:pPr>
              <w:pStyle w:val="36"/>
              <w:snapToGrid w:val="0"/>
              <w:spacing w:line="240" w:lineRule="auto"/>
              <w:ind w:firstLineChars="0" w:firstLine="0"/>
              <w:jc w:val="center"/>
              <w:rPr>
                <w:bCs/>
                <w:kern w:val="0"/>
                <w:sz w:val="21"/>
                <w:szCs w:val="21"/>
              </w:rPr>
            </w:pPr>
            <w:r w:rsidRPr="00993B79">
              <w:rPr>
                <w:bCs/>
                <w:kern w:val="0"/>
                <w:sz w:val="21"/>
                <w:szCs w:val="21"/>
              </w:rPr>
              <w:t>监测频率</w:t>
            </w:r>
          </w:p>
        </w:tc>
        <w:tc>
          <w:tcPr>
            <w:tcW w:w="2579" w:type="dxa"/>
            <w:shd w:val="clear" w:color="auto" w:fill="auto"/>
            <w:vAlign w:val="center"/>
          </w:tcPr>
          <w:p w:rsidR="00C223F5" w:rsidRPr="00993B79" w:rsidRDefault="005860D5" w:rsidP="00474756">
            <w:pPr>
              <w:pStyle w:val="36"/>
              <w:snapToGrid w:val="0"/>
              <w:spacing w:line="240" w:lineRule="auto"/>
              <w:ind w:firstLineChars="0" w:firstLine="0"/>
              <w:rPr>
                <w:bCs/>
                <w:kern w:val="0"/>
                <w:sz w:val="21"/>
                <w:szCs w:val="21"/>
              </w:rPr>
            </w:pPr>
            <w:r w:rsidRPr="00993B79">
              <w:rPr>
                <w:bCs/>
                <w:kern w:val="0"/>
                <w:sz w:val="21"/>
                <w:szCs w:val="21"/>
              </w:rPr>
              <w:t>执行标准</w:t>
            </w:r>
          </w:p>
        </w:tc>
      </w:tr>
      <w:tr w:rsidR="00C223F5" w:rsidRPr="00993B79">
        <w:trPr>
          <w:trHeight w:val="920"/>
        </w:trPr>
        <w:tc>
          <w:tcPr>
            <w:tcW w:w="311" w:type="dxa"/>
            <w:tcBorders>
              <w:bottom w:val="single" w:sz="4" w:space="0" w:color="auto"/>
            </w:tcBorders>
            <w:shd w:val="clear" w:color="auto" w:fill="auto"/>
            <w:vAlign w:val="center"/>
          </w:tcPr>
          <w:p w:rsidR="00C223F5" w:rsidRPr="00993B79" w:rsidRDefault="005860D5" w:rsidP="00474756">
            <w:pPr>
              <w:pStyle w:val="36"/>
              <w:snapToGrid w:val="0"/>
              <w:spacing w:line="240" w:lineRule="auto"/>
              <w:ind w:firstLineChars="0" w:firstLine="0"/>
              <w:jc w:val="center"/>
              <w:rPr>
                <w:bCs/>
                <w:kern w:val="0"/>
                <w:sz w:val="21"/>
                <w:szCs w:val="21"/>
              </w:rPr>
            </w:pPr>
            <w:r w:rsidRPr="00993B79">
              <w:rPr>
                <w:bCs/>
                <w:kern w:val="0"/>
                <w:sz w:val="21"/>
                <w:szCs w:val="21"/>
              </w:rPr>
              <w:t>1</w:t>
            </w:r>
          </w:p>
        </w:tc>
        <w:tc>
          <w:tcPr>
            <w:tcW w:w="1418" w:type="dxa"/>
            <w:tcBorders>
              <w:bottom w:val="single" w:sz="4" w:space="0" w:color="auto"/>
            </w:tcBorders>
            <w:shd w:val="clear" w:color="auto" w:fill="auto"/>
            <w:vAlign w:val="center"/>
          </w:tcPr>
          <w:p w:rsidR="00C223F5" w:rsidRPr="00993B79" w:rsidRDefault="005860D5" w:rsidP="00474756">
            <w:pPr>
              <w:pStyle w:val="36"/>
              <w:snapToGrid w:val="0"/>
              <w:ind w:firstLineChars="0" w:firstLine="0"/>
              <w:jc w:val="center"/>
              <w:rPr>
                <w:bCs/>
                <w:kern w:val="0"/>
                <w:sz w:val="21"/>
                <w:szCs w:val="21"/>
              </w:rPr>
            </w:pPr>
            <w:r w:rsidRPr="00993B79">
              <w:rPr>
                <w:bCs/>
                <w:kern w:val="0"/>
                <w:sz w:val="21"/>
                <w:szCs w:val="21"/>
              </w:rPr>
              <w:t>工业场地</w:t>
            </w:r>
            <w:r w:rsidRPr="00993B79">
              <w:rPr>
                <w:rFonts w:hint="eastAsia"/>
                <w:bCs/>
                <w:kern w:val="0"/>
                <w:sz w:val="21"/>
                <w:szCs w:val="21"/>
              </w:rPr>
              <w:t>Z2</w:t>
            </w:r>
          </w:p>
        </w:tc>
        <w:tc>
          <w:tcPr>
            <w:tcW w:w="1984" w:type="dxa"/>
            <w:tcBorders>
              <w:bottom w:val="single" w:sz="4" w:space="0" w:color="auto"/>
            </w:tcBorders>
            <w:shd w:val="clear" w:color="auto" w:fill="auto"/>
            <w:vAlign w:val="center"/>
          </w:tcPr>
          <w:p w:rsidR="00C223F5" w:rsidRPr="00993B79" w:rsidRDefault="005860D5" w:rsidP="00474756">
            <w:pPr>
              <w:pStyle w:val="36"/>
              <w:snapToGrid w:val="0"/>
              <w:spacing w:line="240" w:lineRule="auto"/>
              <w:ind w:firstLineChars="0" w:firstLine="0"/>
              <w:jc w:val="center"/>
              <w:rPr>
                <w:bCs/>
                <w:kern w:val="0"/>
                <w:sz w:val="21"/>
                <w:szCs w:val="21"/>
              </w:rPr>
            </w:pPr>
            <w:r w:rsidRPr="00993B79">
              <w:rPr>
                <w:sz w:val="21"/>
                <w:szCs w:val="21"/>
              </w:rPr>
              <w:t>柱状样：砷、镉、六价铬、铜、铅、汞、镍、石油烃共</w:t>
            </w:r>
            <w:r w:rsidRPr="00993B79">
              <w:rPr>
                <w:sz w:val="21"/>
                <w:szCs w:val="21"/>
              </w:rPr>
              <w:t>8</w:t>
            </w:r>
            <w:r w:rsidRPr="00993B79">
              <w:rPr>
                <w:sz w:val="21"/>
                <w:szCs w:val="21"/>
              </w:rPr>
              <w:t>项目</w:t>
            </w:r>
          </w:p>
        </w:tc>
        <w:tc>
          <w:tcPr>
            <w:tcW w:w="1276" w:type="dxa"/>
            <w:vMerge w:val="restart"/>
            <w:tcBorders>
              <w:bottom w:val="single" w:sz="4" w:space="0" w:color="auto"/>
            </w:tcBorders>
            <w:shd w:val="clear" w:color="auto" w:fill="auto"/>
            <w:vAlign w:val="center"/>
          </w:tcPr>
          <w:p w:rsidR="00C223F5" w:rsidRPr="00993B79" w:rsidRDefault="005860D5" w:rsidP="00474756">
            <w:pPr>
              <w:pStyle w:val="36"/>
              <w:snapToGrid w:val="0"/>
              <w:ind w:firstLineChars="0" w:firstLine="0"/>
              <w:jc w:val="center"/>
              <w:rPr>
                <w:bCs/>
                <w:kern w:val="0"/>
                <w:sz w:val="21"/>
                <w:szCs w:val="21"/>
              </w:rPr>
            </w:pPr>
            <w:r w:rsidRPr="00993B79">
              <w:rPr>
                <w:rFonts w:hint="eastAsia"/>
                <w:bCs/>
                <w:kern w:val="0"/>
                <w:sz w:val="21"/>
                <w:szCs w:val="21"/>
              </w:rPr>
              <w:t>运行期</w:t>
            </w:r>
          </w:p>
        </w:tc>
        <w:tc>
          <w:tcPr>
            <w:tcW w:w="993" w:type="dxa"/>
            <w:vMerge w:val="restart"/>
            <w:tcBorders>
              <w:bottom w:val="single" w:sz="4" w:space="0" w:color="auto"/>
            </w:tcBorders>
            <w:shd w:val="clear" w:color="auto" w:fill="auto"/>
            <w:vAlign w:val="center"/>
          </w:tcPr>
          <w:p w:rsidR="00C223F5" w:rsidRPr="00993B79" w:rsidRDefault="005860D5" w:rsidP="00474756">
            <w:pPr>
              <w:pStyle w:val="36"/>
              <w:snapToGrid w:val="0"/>
              <w:spacing w:line="240" w:lineRule="auto"/>
              <w:ind w:firstLineChars="0" w:firstLine="0"/>
              <w:jc w:val="center"/>
              <w:rPr>
                <w:bCs/>
                <w:kern w:val="0"/>
                <w:sz w:val="21"/>
                <w:szCs w:val="21"/>
              </w:rPr>
            </w:pPr>
            <w:r w:rsidRPr="00993B79">
              <w:rPr>
                <w:bCs/>
                <w:kern w:val="0"/>
                <w:sz w:val="21"/>
                <w:szCs w:val="21"/>
              </w:rPr>
              <w:t>1</w:t>
            </w:r>
            <w:r w:rsidRPr="00993B79">
              <w:rPr>
                <w:bCs/>
                <w:kern w:val="0"/>
                <w:sz w:val="21"/>
                <w:szCs w:val="21"/>
              </w:rPr>
              <w:t>次</w:t>
            </w:r>
            <w:r w:rsidRPr="00993B79">
              <w:rPr>
                <w:bCs/>
                <w:kern w:val="0"/>
                <w:sz w:val="21"/>
                <w:szCs w:val="21"/>
              </w:rPr>
              <w:t>/5</w:t>
            </w:r>
            <w:r w:rsidRPr="00993B79">
              <w:rPr>
                <w:bCs/>
                <w:kern w:val="0"/>
                <w:sz w:val="21"/>
                <w:szCs w:val="21"/>
              </w:rPr>
              <w:t>年</w:t>
            </w:r>
          </w:p>
        </w:tc>
        <w:tc>
          <w:tcPr>
            <w:tcW w:w="2579" w:type="dxa"/>
            <w:tcBorders>
              <w:bottom w:val="single" w:sz="4" w:space="0" w:color="auto"/>
            </w:tcBorders>
            <w:shd w:val="clear" w:color="auto" w:fill="auto"/>
            <w:vAlign w:val="center"/>
          </w:tcPr>
          <w:p w:rsidR="00C223F5" w:rsidRPr="00993B79" w:rsidRDefault="005860D5" w:rsidP="00474756">
            <w:pPr>
              <w:pStyle w:val="36"/>
              <w:snapToGrid w:val="0"/>
              <w:spacing w:line="240" w:lineRule="auto"/>
              <w:ind w:firstLineChars="0" w:firstLine="0"/>
              <w:jc w:val="center"/>
              <w:rPr>
                <w:bCs/>
                <w:kern w:val="0"/>
                <w:sz w:val="21"/>
                <w:szCs w:val="21"/>
              </w:rPr>
            </w:pPr>
            <w:r w:rsidRPr="00993B79">
              <w:rPr>
                <w:sz w:val="21"/>
                <w:szCs w:val="21"/>
              </w:rPr>
              <w:t>《土壤环境质量</w:t>
            </w:r>
            <w:r w:rsidRPr="00993B79">
              <w:rPr>
                <w:sz w:val="21"/>
                <w:szCs w:val="21"/>
              </w:rPr>
              <w:t xml:space="preserve"> </w:t>
            </w:r>
            <w:r w:rsidRPr="00993B79">
              <w:rPr>
                <w:sz w:val="21"/>
                <w:szCs w:val="21"/>
              </w:rPr>
              <w:t>建设用地土壤污染风险管控标准（试行）》</w:t>
            </w:r>
          </w:p>
        </w:tc>
      </w:tr>
      <w:tr w:rsidR="00C223F5" w:rsidRPr="00993B79">
        <w:tc>
          <w:tcPr>
            <w:tcW w:w="311" w:type="dxa"/>
            <w:shd w:val="clear" w:color="auto" w:fill="auto"/>
            <w:vAlign w:val="center"/>
          </w:tcPr>
          <w:p w:rsidR="00C223F5" w:rsidRPr="00993B79" w:rsidRDefault="005860D5" w:rsidP="00474756">
            <w:pPr>
              <w:pStyle w:val="36"/>
              <w:snapToGrid w:val="0"/>
              <w:spacing w:line="240" w:lineRule="auto"/>
              <w:ind w:firstLineChars="0" w:firstLine="0"/>
              <w:jc w:val="center"/>
              <w:rPr>
                <w:bCs/>
                <w:kern w:val="0"/>
                <w:sz w:val="21"/>
                <w:szCs w:val="21"/>
              </w:rPr>
            </w:pPr>
            <w:r w:rsidRPr="00993B79">
              <w:rPr>
                <w:bCs/>
                <w:kern w:val="0"/>
                <w:sz w:val="21"/>
                <w:szCs w:val="21"/>
              </w:rPr>
              <w:t>2</w:t>
            </w:r>
          </w:p>
        </w:tc>
        <w:tc>
          <w:tcPr>
            <w:tcW w:w="1418" w:type="dxa"/>
            <w:shd w:val="clear" w:color="auto" w:fill="auto"/>
            <w:vAlign w:val="center"/>
          </w:tcPr>
          <w:p w:rsidR="00C223F5" w:rsidRPr="00993B79" w:rsidRDefault="005860D5" w:rsidP="00474756">
            <w:pPr>
              <w:pStyle w:val="36"/>
              <w:snapToGrid w:val="0"/>
              <w:spacing w:line="240" w:lineRule="auto"/>
              <w:ind w:firstLineChars="0" w:firstLine="0"/>
              <w:jc w:val="center"/>
              <w:rPr>
                <w:bCs/>
                <w:kern w:val="0"/>
                <w:sz w:val="21"/>
                <w:szCs w:val="21"/>
              </w:rPr>
            </w:pPr>
            <w:r w:rsidRPr="00993B79">
              <w:rPr>
                <w:bCs/>
                <w:kern w:val="0"/>
                <w:sz w:val="21"/>
                <w:szCs w:val="21"/>
              </w:rPr>
              <w:t>采区范围</w:t>
            </w:r>
            <w:r w:rsidRPr="00993B79">
              <w:rPr>
                <w:rFonts w:hint="eastAsia"/>
                <w:bCs/>
                <w:kern w:val="0"/>
                <w:sz w:val="21"/>
                <w:szCs w:val="21"/>
              </w:rPr>
              <w:t>外</w:t>
            </w:r>
            <w:r w:rsidRPr="00993B79">
              <w:rPr>
                <w:rFonts w:hint="eastAsia"/>
                <w:bCs/>
                <w:kern w:val="0"/>
                <w:sz w:val="21"/>
                <w:szCs w:val="21"/>
              </w:rPr>
              <w:t>B2</w:t>
            </w:r>
          </w:p>
        </w:tc>
        <w:tc>
          <w:tcPr>
            <w:tcW w:w="1984" w:type="dxa"/>
            <w:shd w:val="clear" w:color="auto" w:fill="auto"/>
            <w:vAlign w:val="center"/>
          </w:tcPr>
          <w:p w:rsidR="00C223F5" w:rsidRPr="00993B79" w:rsidRDefault="005860D5" w:rsidP="00474756">
            <w:pPr>
              <w:pStyle w:val="36"/>
              <w:snapToGrid w:val="0"/>
              <w:spacing w:line="240" w:lineRule="auto"/>
              <w:ind w:firstLineChars="0" w:firstLine="0"/>
              <w:jc w:val="center"/>
              <w:rPr>
                <w:bCs/>
                <w:kern w:val="0"/>
                <w:sz w:val="21"/>
                <w:szCs w:val="21"/>
              </w:rPr>
            </w:pPr>
            <w:r w:rsidRPr="00993B79">
              <w:rPr>
                <w:bCs/>
                <w:kern w:val="0"/>
                <w:sz w:val="21"/>
                <w:szCs w:val="21"/>
              </w:rPr>
              <w:t>表层样：</w:t>
            </w:r>
            <w:r w:rsidRPr="00993B79">
              <w:rPr>
                <w:rFonts w:hint="eastAsia"/>
                <w:bCs/>
                <w:kern w:val="0"/>
                <w:sz w:val="21"/>
                <w:szCs w:val="21"/>
              </w:rPr>
              <w:t>p</w:t>
            </w:r>
            <w:r w:rsidRPr="00993B79">
              <w:rPr>
                <w:sz w:val="21"/>
                <w:szCs w:val="21"/>
              </w:rPr>
              <w:t>H</w:t>
            </w:r>
            <w:r w:rsidRPr="00993B79">
              <w:rPr>
                <w:sz w:val="21"/>
                <w:szCs w:val="21"/>
              </w:rPr>
              <w:t>、砷、镉、铬、铜、铅、汞、镍、锌共</w:t>
            </w:r>
            <w:r w:rsidRPr="00993B79">
              <w:rPr>
                <w:sz w:val="21"/>
                <w:szCs w:val="21"/>
              </w:rPr>
              <w:t>9</w:t>
            </w:r>
            <w:r w:rsidRPr="00993B79">
              <w:rPr>
                <w:sz w:val="21"/>
                <w:szCs w:val="21"/>
              </w:rPr>
              <w:t>项</w:t>
            </w:r>
          </w:p>
        </w:tc>
        <w:tc>
          <w:tcPr>
            <w:tcW w:w="1276" w:type="dxa"/>
            <w:vMerge/>
            <w:shd w:val="clear" w:color="auto" w:fill="auto"/>
            <w:vAlign w:val="center"/>
          </w:tcPr>
          <w:p w:rsidR="00C223F5" w:rsidRPr="00993B79" w:rsidRDefault="00C223F5" w:rsidP="00474756">
            <w:pPr>
              <w:pStyle w:val="36"/>
              <w:snapToGrid w:val="0"/>
              <w:spacing w:line="240" w:lineRule="auto"/>
              <w:ind w:firstLineChars="0" w:firstLine="0"/>
              <w:jc w:val="center"/>
              <w:rPr>
                <w:bCs/>
                <w:kern w:val="0"/>
                <w:sz w:val="21"/>
                <w:szCs w:val="21"/>
              </w:rPr>
            </w:pPr>
          </w:p>
        </w:tc>
        <w:tc>
          <w:tcPr>
            <w:tcW w:w="993" w:type="dxa"/>
            <w:vMerge/>
            <w:shd w:val="clear" w:color="auto" w:fill="auto"/>
            <w:vAlign w:val="center"/>
          </w:tcPr>
          <w:p w:rsidR="00C223F5" w:rsidRPr="00993B79" w:rsidRDefault="00C223F5" w:rsidP="00474756">
            <w:pPr>
              <w:pStyle w:val="36"/>
              <w:snapToGrid w:val="0"/>
              <w:spacing w:line="240" w:lineRule="auto"/>
              <w:ind w:firstLine="473"/>
              <w:jc w:val="center"/>
              <w:rPr>
                <w:bCs/>
                <w:kern w:val="0"/>
                <w:sz w:val="21"/>
                <w:szCs w:val="21"/>
              </w:rPr>
            </w:pPr>
          </w:p>
        </w:tc>
        <w:tc>
          <w:tcPr>
            <w:tcW w:w="2579" w:type="dxa"/>
            <w:shd w:val="clear" w:color="auto" w:fill="auto"/>
            <w:vAlign w:val="center"/>
          </w:tcPr>
          <w:p w:rsidR="00C223F5" w:rsidRPr="00993B79" w:rsidRDefault="005860D5" w:rsidP="00474756">
            <w:pPr>
              <w:pStyle w:val="36"/>
              <w:snapToGrid w:val="0"/>
              <w:spacing w:line="240" w:lineRule="auto"/>
              <w:ind w:firstLineChars="0" w:firstLine="0"/>
              <w:jc w:val="center"/>
              <w:rPr>
                <w:bCs/>
                <w:kern w:val="0"/>
                <w:sz w:val="21"/>
                <w:szCs w:val="21"/>
              </w:rPr>
            </w:pPr>
            <w:r w:rsidRPr="00993B79">
              <w:rPr>
                <w:sz w:val="21"/>
                <w:szCs w:val="21"/>
              </w:rPr>
              <w:t>《土壤环境质量</w:t>
            </w:r>
            <w:r w:rsidRPr="00993B79">
              <w:rPr>
                <w:sz w:val="21"/>
                <w:szCs w:val="21"/>
              </w:rPr>
              <w:t xml:space="preserve"> </w:t>
            </w:r>
            <w:r w:rsidRPr="00993B79">
              <w:rPr>
                <w:sz w:val="21"/>
                <w:szCs w:val="21"/>
              </w:rPr>
              <w:t>农用地土壤污染风险管控标准（试行）》</w:t>
            </w:r>
          </w:p>
        </w:tc>
      </w:tr>
      <w:tr w:rsidR="00C223F5" w:rsidRPr="00993B79">
        <w:trPr>
          <w:trHeight w:val="567"/>
        </w:trPr>
        <w:tc>
          <w:tcPr>
            <w:tcW w:w="8561" w:type="dxa"/>
            <w:gridSpan w:val="6"/>
            <w:shd w:val="clear" w:color="auto" w:fill="auto"/>
            <w:vAlign w:val="center"/>
          </w:tcPr>
          <w:p w:rsidR="00C223F5" w:rsidRPr="00993B79" w:rsidRDefault="005860D5" w:rsidP="00474756">
            <w:pPr>
              <w:pStyle w:val="36"/>
              <w:snapToGrid w:val="0"/>
              <w:spacing w:line="240" w:lineRule="auto"/>
              <w:ind w:firstLineChars="0" w:firstLine="0"/>
              <w:jc w:val="left"/>
              <w:rPr>
                <w:bCs/>
                <w:kern w:val="0"/>
                <w:sz w:val="21"/>
                <w:szCs w:val="21"/>
              </w:rPr>
            </w:pPr>
            <w:r w:rsidRPr="00993B79">
              <w:rPr>
                <w:rFonts w:hint="eastAsia"/>
                <w:bCs/>
                <w:kern w:val="0"/>
                <w:sz w:val="21"/>
                <w:szCs w:val="21"/>
              </w:rPr>
              <w:t>信息公开要求：</w:t>
            </w:r>
            <w:r w:rsidRPr="00993B79">
              <w:rPr>
                <w:bCs/>
                <w:kern w:val="0"/>
                <w:sz w:val="21"/>
                <w:szCs w:val="21"/>
              </w:rPr>
              <w:t>由建设单位委托有资质的检测机构进行</w:t>
            </w:r>
            <w:r w:rsidRPr="00993B79">
              <w:rPr>
                <w:rFonts w:hint="eastAsia"/>
                <w:bCs/>
                <w:kern w:val="0"/>
                <w:sz w:val="21"/>
                <w:szCs w:val="21"/>
              </w:rPr>
              <w:t>土壤进行监测</w:t>
            </w:r>
            <w:r w:rsidRPr="00993B79">
              <w:rPr>
                <w:bCs/>
                <w:kern w:val="0"/>
                <w:sz w:val="21"/>
                <w:szCs w:val="21"/>
              </w:rPr>
              <w:t>，由建设单位编制</w:t>
            </w:r>
            <w:r w:rsidRPr="00993B79">
              <w:rPr>
                <w:rFonts w:hint="eastAsia"/>
                <w:bCs/>
                <w:kern w:val="0"/>
                <w:sz w:val="21"/>
                <w:szCs w:val="21"/>
              </w:rPr>
              <w:t>土壤</w:t>
            </w:r>
            <w:r w:rsidRPr="00993B79">
              <w:rPr>
                <w:bCs/>
                <w:kern w:val="0"/>
                <w:sz w:val="21"/>
                <w:szCs w:val="21"/>
              </w:rPr>
              <w:t>跟踪监测报告，并定期对</w:t>
            </w:r>
            <w:r w:rsidRPr="00993B79">
              <w:rPr>
                <w:rFonts w:hint="eastAsia"/>
                <w:bCs/>
                <w:kern w:val="0"/>
                <w:sz w:val="21"/>
                <w:szCs w:val="21"/>
              </w:rPr>
              <w:t>土壤</w:t>
            </w:r>
            <w:r w:rsidRPr="00993B79">
              <w:rPr>
                <w:bCs/>
                <w:kern w:val="0"/>
                <w:sz w:val="21"/>
                <w:szCs w:val="21"/>
              </w:rPr>
              <w:t>跟踪监测结果进行公布</w:t>
            </w:r>
            <w:r w:rsidRPr="00993B79">
              <w:rPr>
                <w:rFonts w:hint="eastAsia"/>
                <w:bCs/>
                <w:kern w:val="0"/>
                <w:sz w:val="21"/>
                <w:szCs w:val="21"/>
              </w:rPr>
              <w:t>，公开的信息包括：监测点位、监测因子、监测结果等内容。</w:t>
            </w:r>
          </w:p>
        </w:tc>
      </w:tr>
    </w:tbl>
    <w:p w:rsidR="00D5684D" w:rsidRPr="00993B79" w:rsidRDefault="00D5684D" w:rsidP="00474756">
      <w:pPr>
        <w:pStyle w:val="BG"/>
        <w:ind w:firstLine="480"/>
        <w:sectPr w:rsidR="00D5684D" w:rsidRPr="00993B79">
          <w:pgSz w:w="11907" w:h="16840"/>
          <w:pgMar w:top="1440" w:right="1701" w:bottom="1440" w:left="1701" w:header="851" w:footer="992" w:gutter="0"/>
          <w:cols w:space="425"/>
          <w:docGrid w:linePitch="312"/>
        </w:sectPr>
      </w:pPr>
    </w:p>
    <w:p w:rsidR="00C223F5" w:rsidRDefault="005860D5" w:rsidP="004835BD">
      <w:pPr>
        <w:pStyle w:val="1"/>
        <w:numPr>
          <w:ilvl w:val="0"/>
          <w:numId w:val="0"/>
        </w:numPr>
        <w:spacing w:before="0" w:after="0" w:line="360" w:lineRule="auto"/>
      </w:pPr>
      <w:bookmarkStart w:id="531" w:name="_Toc533604361"/>
      <w:bookmarkStart w:id="532" w:name="_Toc533604781"/>
      <w:bookmarkStart w:id="533" w:name="_Toc488660735"/>
      <w:bookmarkStart w:id="534" w:name="_Toc16785328"/>
      <w:r>
        <w:rPr>
          <w:rFonts w:hint="eastAsia"/>
        </w:rPr>
        <w:lastRenderedPageBreak/>
        <w:t>6</w:t>
      </w:r>
      <w:r>
        <w:rPr>
          <w:rFonts w:hint="eastAsia"/>
        </w:rPr>
        <w:t>、</w:t>
      </w:r>
      <w:r>
        <w:t>环境经济损益分析</w:t>
      </w:r>
      <w:bookmarkEnd w:id="531"/>
      <w:bookmarkEnd w:id="532"/>
      <w:bookmarkEnd w:id="533"/>
      <w:bookmarkEnd w:id="534"/>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535" w:name="_Toc533604782"/>
      <w:bookmarkStart w:id="536" w:name="_Toc334539579"/>
      <w:bookmarkStart w:id="537" w:name="_Toc488660736"/>
      <w:bookmarkStart w:id="538" w:name="_Toc533604362"/>
      <w:bookmarkStart w:id="539" w:name="_Toc16785329"/>
      <w:r>
        <w:rPr>
          <w:rFonts w:ascii="Times New Roman" w:eastAsia="宋体" w:hAnsi="Times New Roman" w:hint="eastAsia"/>
          <w:b/>
          <w:bCs w:val="0"/>
          <w:szCs w:val="30"/>
        </w:rPr>
        <w:t>6</w:t>
      </w:r>
      <w:r>
        <w:rPr>
          <w:rFonts w:ascii="Times New Roman" w:eastAsia="宋体" w:hAnsi="Times New Roman"/>
          <w:b/>
          <w:bCs w:val="0"/>
          <w:szCs w:val="30"/>
        </w:rPr>
        <w:t>.</w:t>
      </w:r>
      <w:r>
        <w:rPr>
          <w:rFonts w:ascii="Times New Roman" w:eastAsia="宋体" w:hAnsi="Times New Roman" w:hint="eastAsia"/>
          <w:b/>
          <w:bCs w:val="0"/>
          <w:szCs w:val="30"/>
        </w:rPr>
        <w:t>1</w:t>
      </w:r>
      <w:r>
        <w:rPr>
          <w:rFonts w:ascii="Times New Roman" w:eastAsia="宋体" w:hAnsi="Times New Roman" w:hint="eastAsia"/>
          <w:b/>
          <w:bCs w:val="0"/>
          <w:szCs w:val="30"/>
        </w:rPr>
        <w:t>环境保护工程</w:t>
      </w:r>
      <w:r>
        <w:rPr>
          <w:rFonts w:ascii="Times New Roman" w:eastAsia="宋体" w:hAnsi="Times New Roman"/>
          <w:b/>
          <w:bCs w:val="0"/>
          <w:szCs w:val="30"/>
        </w:rPr>
        <w:t>投资</w:t>
      </w:r>
      <w:r>
        <w:rPr>
          <w:rFonts w:ascii="Times New Roman" w:eastAsia="宋体" w:hAnsi="Times New Roman" w:hint="eastAsia"/>
          <w:b/>
          <w:bCs w:val="0"/>
          <w:szCs w:val="30"/>
        </w:rPr>
        <w:t>分析</w:t>
      </w:r>
      <w:bookmarkEnd w:id="535"/>
      <w:bookmarkEnd w:id="536"/>
      <w:bookmarkEnd w:id="537"/>
      <w:bookmarkEnd w:id="538"/>
      <w:bookmarkEnd w:id="539"/>
    </w:p>
    <w:p w:rsidR="00C223F5" w:rsidRDefault="005860D5">
      <w:pPr>
        <w:spacing w:line="360" w:lineRule="auto"/>
        <w:ind w:firstLineChars="200" w:firstLine="480"/>
        <w:rPr>
          <w:bCs/>
          <w:sz w:val="24"/>
        </w:rPr>
      </w:pPr>
      <w:r>
        <w:rPr>
          <w:sz w:val="24"/>
        </w:rPr>
        <w:t>本项目建设的环境保护工程包括污废水处理、环境空气污染防治、固体废物处置、噪声防治等。根据各项建设内容及当地实际，</w:t>
      </w:r>
      <w:r>
        <w:rPr>
          <w:bCs/>
          <w:sz w:val="24"/>
        </w:rPr>
        <w:t>本项目环保投资估算结果见表</w:t>
      </w:r>
      <w:r>
        <w:rPr>
          <w:bCs/>
          <w:sz w:val="24"/>
        </w:rPr>
        <w:t>6.1-1</w:t>
      </w:r>
      <w:r>
        <w:rPr>
          <w:bCs/>
          <w:sz w:val="24"/>
        </w:rPr>
        <w:t>。</w:t>
      </w:r>
    </w:p>
    <w:p w:rsidR="00C223F5" w:rsidRDefault="005860D5">
      <w:pPr>
        <w:spacing w:line="360" w:lineRule="auto"/>
        <w:ind w:firstLineChars="200" w:firstLine="480"/>
        <w:rPr>
          <w:sz w:val="24"/>
        </w:rPr>
      </w:pPr>
      <w:r>
        <w:rPr>
          <w:sz w:val="24"/>
        </w:rPr>
        <w:t>本工程</w:t>
      </w:r>
      <w:r>
        <w:rPr>
          <w:rFonts w:hint="eastAsia"/>
          <w:sz w:val="24"/>
        </w:rPr>
        <w:t>静态总投资</w:t>
      </w:r>
      <w:r>
        <w:rPr>
          <w:rFonts w:hint="eastAsia"/>
          <w:sz w:val="24"/>
        </w:rPr>
        <w:t>86961.61</w:t>
      </w:r>
      <w:r>
        <w:rPr>
          <w:rFonts w:hint="eastAsia"/>
          <w:sz w:val="24"/>
        </w:rPr>
        <w:t>万元</w:t>
      </w:r>
      <w:bookmarkStart w:id="540" w:name="_Toc488660737"/>
      <w:r>
        <w:rPr>
          <w:rFonts w:hint="eastAsia"/>
          <w:sz w:val="24"/>
        </w:rPr>
        <w:t>，</w:t>
      </w:r>
      <w:r>
        <w:rPr>
          <w:sz w:val="24"/>
        </w:rPr>
        <w:t>其中环保估算投资为</w:t>
      </w:r>
      <w:r>
        <w:rPr>
          <w:rFonts w:hint="eastAsia"/>
          <w:sz w:val="24"/>
        </w:rPr>
        <w:t>1339.6</w:t>
      </w:r>
      <w:r>
        <w:rPr>
          <w:sz w:val="24"/>
        </w:rPr>
        <w:t>万元，占工程建设总投资的</w:t>
      </w:r>
      <w:r>
        <w:rPr>
          <w:rFonts w:hint="eastAsia"/>
          <w:sz w:val="24"/>
        </w:rPr>
        <w:t>1.54</w:t>
      </w:r>
      <w:r>
        <w:rPr>
          <w:sz w:val="24"/>
        </w:rPr>
        <w:t>%</w:t>
      </w:r>
      <w:r>
        <w:rPr>
          <w:sz w:val="24"/>
        </w:rPr>
        <w:t>。</w:t>
      </w: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541" w:name="_Toc533604363"/>
      <w:bookmarkStart w:id="542" w:name="_Toc533604783"/>
      <w:bookmarkStart w:id="543" w:name="_Toc16785330"/>
      <w:r>
        <w:rPr>
          <w:rFonts w:ascii="Times New Roman" w:eastAsia="宋体" w:hAnsi="Times New Roman" w:hint="eastAsia"/>
          <w:b/>
          <w:bCs w:val="0"/>
          <w:szCs w:val="30"/>
        </w:rPr>
        <w:t>6.2</w:t>
      </w:r>
      <w:r>
        <w:rPr>
          <w:rFonts w:ascii="Times New Roman" w:eastAsia="宋体" w:hAnsi="Times New Roman" w:hint="eastAsia"/>
          <w:b/>
          <w:bCs w:val="0"/>
          <w:szCs w:val="30"/>
        </w:rPr>
        <w:t>环境经济损益分析</w:t>
      </w:r>
      <w:bookmarkEnd w:id="540"/>
      <w:bookmarkEnd w:id="541"/>
      <w:bookmarkEnd w:id="542"/>
      <w:bookmarkEnd w:id="543"/>
    </w:p>
    <w:p w:rsidR="00C223F5" w:rsidRDefault="005860D5">
      <w:pPr>
        <w:pStyle w:val="hb1"/>
        <w:ind w:firstLine="480"/>
      </w:pPr>
      <w:r>
        <w:t>（</w:t>
      </w:r>
      <w:r>
        <w:t>1</w:t>
      </w:r>
      <w:r>
        <w:t>）环境经济损益分析模式</w:t>
      </w:r>
    </w:p>
    <w:p w:rsidR="00C223F5" w:rsidRDefault="005860D5">
      <w:pPr>
        <w:pStyle w:val="hb1"/>
        <w:ind w:firstLine="480"/>
      </w:pPr>
      <w:r>
        <w:t>本次评价采用指标计算法，即把环境经济损益分析首先分解成费用指标、损失指标和效益指标，再按指标体系逐项核算，然后再进行指标静态分析。该工程环境经济损益分析指标</w:t>
      </w:r>
      <w:r>
        <w:rPr>
          <w:rFonts w:hint="eastAsia"/>
        </w:rPr>
        <w:t>、</w:t>
      </w:r>
      <w:r>
        <w:t>各项指标所表述意义及数学计算模式见表</w:t>
      </w:r>
      <w:r>
        <w:rPr>
          <w:rFonts w:hint="eastAsia"/>
        </w:rPr>
        <w:t>6.2-1</w:t>
      </w:r>
      <w:r>
        <w:t>。</w:t>
      </w:r>
    </w:p>
    <w:p w:rsidR="00C223F5" w:rsidRDefault="005860D5">
      <w:pPr>
        <w:autoSpaceDE w:val="0"/>
        <w:autoSpaceDN w:val="0"/>
        <w:jc w:val="center"/>
        <w:rPr>
          <w:b/>
          <w:sz w:val="24"/>
        </w:rPr>
      </w:pPr>
      <w:r>
        <w:rPr>
          <w:rFonts w:hAnsi="宋体"/>
          <w:b/>
          <w:sz w:val="24"/>
        </w:rPr>
        <w:t>表</w:t>
      </w:r>
      <w:r>
        <w:rPr>
          <w:rFonts w:hint="eastAsia"/>
          <w:b/>
          <w:sz w:val="24"/>
        </w:rPr>
        <w:t>6</w:t>
      </w:r>
      <w:r>
        <w:rPr>
          <w:b/>
          <w:sz w:val="24"/>
        </w:rPr>
        <w:t xml:space="preserve">.2 -1  </w:t>
      </w:r>
      <w:r>
        <w:rPr>
          <w:rFonts w:hAnsi="宋体"/>
          <w:b/>
          <w:sz w:val="24"/>
        </w:rPr>
        <w:t>环境经济损益指标一览表</w:t>
      </w:r>
    </w:p>
    <w:tbl>
      <w:tblPr>
        <w:tblW w:w="8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03"/>
        <w:gridCol w:w="1538"/>
        <w:gridCol w:w="3393"/>
        <w:gridCol w:w="2459"/>
      </w:tblGrid>
      <w:tr w:rsidR="00C223F5">
        <w:trPr>
          <w:trHeight w:val="411"/>
          <w:jc w:val="center"/>
        </w:trPr>
        <w:tc>
          <w:tcPr>
            <w:tcW w:w="1203" w:type="dxa"/>
            <w:vAlign w:val="center"/>
          </w:tcPr>
          <w:p w:rsidR="00C223F5" w:rsidRDefault="005860D5">
            <w:pPr>
              <w:jc w:val="center"/>
              <w:rPr>
                <w:szCs w:val="21"/>
              </w:rPr>
            </w:pPr>
            <w:r>
              <w:rPr>
                <w:rFonts w:hAnsi="宋体"/>
                <w:szCs w:val="21"/>
              </w:rPr>
              <w:t>指标</w:t>
            </w:r>
          </w:p>
        </w:tc>
        <w:tc>
          <w:tcPr>
            <w:tcW w:w="1538" w:type="dxa"/>
            <w:vAlign w:val="center"/>
          </w:tcPr>
          <w:p w:rsidR="00C223F5" w:rsidRDefault="005860D5">
            <w:pPr>
              <w:jc w:val="center"/>
              <w:rPr>
                <w:szCs w:val="21"/>
              </w:rPr>
            </w:pPr>
            <w:r>
              <w:rPr>
                <w:rFonts w:hAnsi="宋体"/>
                <w:szCs w:val="21"/>
              </w:rPr>
              <w:t>数学模式</w:t>
            </w:r>
          </w:p>
        </w:tc>
        <w:tc>
          <w:tcPr>
            <w:tcW w:w="3393" w:type="dxa"/>
            <w:vAlign w:val="center"/>
          </w:tcPr>
          <w:p w:rsidR="00C223F5" w:rsidRDefault="005860D5">
            <w:pPr>
              <w:jc w:val="center"/>
              <w:rPr>
                <w:szCs w:val="21"/>
              </w:rPr>
            </w:pPr>
            <w:r>
              <w:rPr>
                <w:rFonts w:hAnsi="宋体"/>
                <w:szCs w:val="21"/>
              </w:rPr>
              <w:t>参数意义</w:t>
            </w:r>
          </w:p>
        </w:tc>
        <w:tc>
          <w:tcPr>
            <w:tcW w:w="2459" w:type="dxa"/>
            <w:vAlign w:val="center"/>
          </w:tcPr>
          <w:p w:rsidR="00C223F5" w:rsidRDefault="005860D5">
            <w:pPr>
              <w:jc w:val="center"/>
              <w:rPr>
                <w:szCs w:val="21"/>
              </w:rPr>
            </w:pPr>
            <w:r>
              <w:rPr>
                <w:rFonts w:hAnsi="宋体"/>
                <w:szCs w:val="21"/>
              </w:rPr>
              <w:t>指标含义</w:t>
            </w:r>
          </w:p>
        </w:tc>
      </w:tr>
      <w:tr w:rsidR="00C223F5">
        <w:trPr>
          <w:trHeight w:val="734"/>
          <w:jc w:val="center"/>
        </w:trPr>
        <w:tc>
          <w:tcPr>
            <w:tcW w:w="1203" w:type="dxa"/>
            <w:vAlign w:val="center"/>
          </w:tcPr>
          <w:p w:rsidR="00C223F5" w:rsidRDefault="005860D5">
            <w:pPr>
              <w:jc w:val="center"/>
              <w:rPr>
                <w:szCs w:val="21"/>
              </w:rPr>
            </w:pPr>
            <w:r>
              <w:rPr>
                <w:rFonts w:hAnsi="宋体"/>
                <w:szCs w:val="21"/>
              </w:rPr>
              <w:t>年环境代价</w:t>
            </w:r>
            <w:r>
              <w:rPr>
                <w:i/>
                <w:szCs w:val="21"/>
              </w:rPr>
              <w:t>(</w:t>
            </w:r>
            <w:proofErr w:type="spellStart"/>
            <w:r>
              <w:rPr>
                <w:i/>
                <w:szCs w:val="21"/>
              </w:rPr>
              <w:t>H</w:t>
            </w:r>
            <w:r>
              <w:rPr>
                <w:i/>
                <w:szCs w:val="21"/>
                <w:vertAlign w:val="subscript"/>
              </w:rPr>
              <w:t>d</w:t>
            </w:r>
            <w:proofErr w:type="spellEnd"/>
            <w:r>
              <w:rPr>
                <w:i/>
                <w:szCs w:val="21"/>
              </w:rPr>
              <w:t>)</w:t>
            </w:r>
          </w:p>
        </w:tc>
        <w:tc>
          <w:tcPr>
            <w:tcW w:w="1538" w:type="dxa"/>
            <w:vAlign w:val="center"/>
          </w:tcPr>
          <w:p w:rsidR="00C223F5" w:rsidRDefault="00C223F5">
            <w:pPr>
              <w:jc w:val="center"/>
              <w:rPr>
                <w:szCs w:val="21"/>
              </w:rPr>
            </w:pPr>
            <w:r w:rsidRPr="00C223F5">
              <w:rPr>
                <w:position w:val="-24"/>
                <w:szCs w:val="21"/>
              </w:rPr>
              <w:object w:dxaOrig="1024" w:dyaOrig="697">
                <v:shape id="_x0000_i1075" type="#_x0000_t75" style="width:46.6pt;height:27.1pt" o:ole="">
                  <v:imagedata r:id="rId132" o:title=""/>
                </v:shape>
                <o:OLEObject Type="Embed" ProgID="Equation.3" ShapeID="_x0000_i1075" DrawAspect="Content" ObjectID="_1629037186" r:id="rId133"/>
              </w:object>
            </w:r>
          </w:p>
        </w:tc>
        <w:tc>
          <w:tcPr>
            <w:tcW w:w="3393" w:type="dxa"/>
            <w:vAlign w:val="center"/>
          </w:tcPr>
          <w:p w:rsidR="00C223F5" w:rsidRDefault="005860D5">
            <w:pPr>
              <w:rPr>
                <w:szCs w:val="21"/>
              </w:rPr>
            </w:pPr>
            <w:r>
              <w:rPr>
                <w:i/>
                <w:szCs w:val="21"/>
              </w:rPr>
              <w:t>E</w:t>
            </w:r>
            <w:r>
              <w:rPr>
                <w:i/>
                <w:szCs w:val="21"/>
                <w:vertAlign w:val="subscript"/>
              </w:rPr>
              <w:t>t</w:t>
            </w:r>
            <w:r>
              <w:rPr>
                <w:szCs w:val="21"/>
              </w:rPr>
              <w:t>——</w:t>
            </w:r>
            <w:r>
              <w:rPr>
                <w:rFonts w:hAnsi="宋体"/>
                <w:szCs w:val="21"/>
              </w:rPr>
              <w:t>环境费用</w:t>
            </w:r>
            <w:r>
              <w:rPr>
                <w:szCs w:val="21"/>
              </w:rPr>
              <w:t>(</w:t>
            </w:r>
            <w:r>
              <w:rPr>
                <w:rFonts w:hAnsi="宋体"/>
                <w:szCs w:val="21"/>
              </w:rPr>
              <w:t>万元</w:t>
            </w:r>
            <w:r>
              <w:rPr>
                <w:szCs w:val="21"/>
              </w:rPr>
              <w:t>)</w:t>
            </w:r>
          </w:p>
          <w:p w:rsidR="00C223F5" w:rsidRDefault="005860D5">
            <w:pPr>
              <w:rPr>
                <w:szCs w:val="21"/>
              </w:rPr>
            </w:pPr>
            <w:r>
              <w:rPr>
                <w:i/>
                <w:szCs w:val="21"/>
              </w:rPr>
              <w:t>n</w:t>
            </w:r>
            <w:r>
              <w:rPr>
                <w:szCs w:val="21"/>
              </w:rPr>
              <w:t>——</w:t>
            </w:r>
            <w:r>
              <w:rPr>
                <w:rFonts w:hAnsi="宋体"/>
                <w:szCs w:val="21"/>
              </w:rPr>
              <w:t>均衡生产年限</w:t>
            </w:r>
            <w:r>
              <w:rPr>
                <w:szCs w:val="21"/>
              </w:rPr>
              <w:t>(</w:t>
            </w:r>
            <w:r>
              <w:rPr>
                <w:rFonts w:hAnsi="宋体"/>
                <w:szCs w:val="21"/>
              </w:rPr>
              <w:t>年</w:t>
            </w:r>
            <w:r>
              <w:rPr>
                <w:szCs w:val="21"/>
              </w:rPr>
              <w:t>)</w:t>
            </w:r>
          </w:p>
        </w:tc>
        <w:tc>
          <w:tcPr>
            <w:tcW w:w="2459" w:type="dxa"/>
            <w:vAlign w:val="center"/>
          </w:tcPr>
          <w:p w:rsidR="00C223F5" w:rsidRDefault="005860D5">
            <w:pPr>
              <w:rPr>
                <w:szCs w:val="21"/>
              </w:rPr>
            </w:pPr>
            <w:r>
              <w:rPr>
                <w:rFonts w:hAnsi="宋体"/>
                <w:szCs w:val="21"/>
              </w:rPr>
              <w:t>每年因开发建设改变环境功能造成环境危害及消除、减少所付出的经济代价。</w:t>
            </w:r>
          </w:p>
        </w:tc>
      </w:tr>
      <w:tr w:rsidR="00C223F5">
        <w:trPr>
          <w:jc w:val="center"/>
        </w:trPr>
        <w:tc>
          <w:tcPr>
            <w:tcW w:w="1203" w:type="dxa"/>
            <w:vAlign w:val="center"/>
          </w:tcPr>
          <w:p w:rsidR="00C223F5" w:rsidRDefault="005860D5">
            <w:pPr>
              <w:jc w:val="center"/>
              <w:rPr>
                <w:szCs w:val="21"/>
              </w:rPr>
            </w:pPr>
            <w:r>
              <w:rPr>
                <w:rFonts w:hAnsi="宋体"/>
                <w:szCs w:val="21"/>
              </w:rPr>
              <w:t>环境成本</w:t>
            </w:r>
          </w:p>
          <w:p w:rsidR="00C223F5" w:rsidRDefault="005860D5">
            <w:pPr>
              <w:jc w:val="center"/>
              <w:rPr>
                <w:i/>
                <w:szCs w:val="21"/>
              </w:rPr>
            </w:pPr>
            <w:r>
              <w:rPr>
                <w:i/>
                <w:szCs w:val="21"/>
              </w:rPr>
              <w:t>(H</w:t>
            </w:r>
            <w:r>
              <w:rPr>
                <w:i/>
                <w:szCs w:val="21"/>
                <w:vertAlign w:val="subscript"/>
              </w:rPr>
              <w:t>b</w:t>
            </w:r>
            <w:r>
              <w:rPr>
                <w:i/>
                <w:szCs w:val="21"/>
              </w:rPr>
              <w:t>)</w:t>
            </w:r>
          </w:p>
        </w:tc>
        <w:tc>
          <w:tcPr>
            <w:tcW w:w="1538" w:type="dxa"/>
            <w:vAlign w:val="center"/>
          </w:tcPr>
          <w:p w:rsidR="00C223F5" w:rsidRDefault="00C223F5">
            <w:pPr>
              <w:jc w:val="center"/>
              <w:rPr>
                <w:szCs w:val="21"/>
              </w:rPr>
            </w:pPr>
            <w:r w:rsidRPr="00C223F5">
              <w:rPr>
                <w:position w:val="-24"/>
                <w:szCs w:val="21"/>
              </w:rPr>
              <w:object w:dxaOrig="1089" w:dyaOrig="697">
                <v:shape id="_x0000_i1076" type="#_x0000_t75" style="width:50.8pt;height:25.4pt" o:ole="">
                  <v:imagedata r:id="rId134" o:title=""/>
                </v:shape>
                <o:OLEObject Type="Embed" ProgID="Equation.3" ShapeID="_x0000_i1076" DrawAspect="Content" ObjectID="_1629037187" r:id="rId135"/>
              </w:object>
            </w:r>
          </w:p>
        </w:tc>
        <w:tc>
          <w:tcPr>
            <w:tcW w:w="3393" w:type="dxa"/>
            <w:vAlign w:val="center"/>
          </w:tcPr>
          <w:p w:rsidR="00C223F5" w:rsidRDefault="005860D5">
            <w:pPr>
              <w:rPr>
                <w:szCs w:val="21"/>
              </w:rPr>
            </w:pPr>
            <w:proofErr w:type="spellStart"/>
            <w:r>
              <w:rPr>
                <w:i/>
                <w:szCs w:val="21"/>
              </w:rPr>
              <w:t>H</w:t>
            </w:r>
            <w:r>
              <w:rPr>
                <w:i/>
                <w:szCs w:val="21"/>
                <w:vertAlign w:val="subscript"/>
              </w:rPr>
              <w:t>d</w:t>
            </w:r>
            <w:proofErr w:type="spellEnd"/>
            <w:r>
              <w:rPr>
                <w:szCs w:val="21"/>
              </w:rPr>
              <w:t>——</w:t>
            </w:r>
            <w:r>
              <w:rPr>
                <w:rFonts w:hAnsi="宋体"/>
                <w:szCs w:val="21"/>
              </w:rPr>
              <w:t>年环境代价</w:t>
            </w:r>
            <w:r>
              <w:rPr>
                <w:szCs w:val="21"/>
              </w:rPr>
              <w:t>(</w:t>
            </w:r>
            <w:r>
              <w:rPr>
                <w:rFonts w:hAnsi="宋体"/>
                <w:szCs w:val="21"/>
              </w:rPr>
              <w:t>万元</w:t>
            </w:r>
            <w:r>
              <w:rPr>
                <w:szCs w:val="21"/>
              </w:rPr>
              <w:t>/</w:t>
            </w:r>
            <w:r>
              <w:rPr>
                <w:rFonts w:hAnsi="宋体"/>
                <w:szCs w:val="21"/>
              </w:rPr>
              <w:t>年</w:t>
            </w:r>
            <w:r>
              <w:rPr>
                <w:szCs w:val="21"/>
              </w:rPr>
              <w:t>)</w:t>
            </w:r>
          </w:p>
          <w:p w:rsidR="00C223F5" w:rsidRDefault="005860D5">
            <w:pPr>
              <w:rPr>
                <w:szCs w:val="21"/>
              </w:rPr>
            </w:pPr>
            <w:r>
              <w:rPr>
                <w:i/>
                <w:szCs w:val="21"/>
              </w:rPr>
              <w:t>M</w:t>
            </w:r>
            <w:r>
              <w:rPr>
                <w:szCs w:val="21"/>
              </w:rPr>
              <w:t>——</w:t>
            </w:r>
            <w:r>
              <w:rPr>
                <w:rFonts w:hAnsi="宋体"/>
                <w:szCs w:val="21"/>
              </w:rPr>
              <w:t>年产品产量</w:t>
            </w:r>
            <w:r>
              <w:rPr>
                <w:szCs w:val="21"/>
              </w:rPr>
              <w:t>(</w:t>
            </w:r>
            <w:r>
              <w:rPr>
                <w:rFonts w:hAnsi="宋体"/>
                <w:szCs w:val="21"/>
              </w:rPr>
              <w:t>万吨</w:t>
            </w:r>
            <w:r>
              <w:rPr>
                <w:szCs w:val="21"/>
              </w:rPr>
              <w:t>/</w:t>
            </w:r>
            <w:r>
              <w:rPr>
                <w:rFonts w:hAnsi="宋体"/>
                <w:szCs w:val="21"/>
              </w:rPr>
              <w:t>年</w:t>
            </w:r>
            <w:r>
              <w:rPr>
                <w:szCs w:val="21"/>
              </w:rPr>
              <w:t>)</w:t>
            </w:r>
          </w:p>
        </w:tc>
        <w:tc>
          <w:tcPr>
            <w:tcW w:w="2459" w:type="dxa"/>
            <w:vAlign w:val="center"/>
          </w:tcPr>
          <w:p w:rsidR="00C223F5" w:rsidRDefault="005860D5">
            <w:pPr>
              <w:jc w:val="center"/>
              <w:rPr>
                <w:szCs w:val="21"/>
              </w:rPr>
            </w:pPr>
            <w:r>
              <w:rPr>
                <w:rFonts w:hAnsi="宋体"/>
                <w:szCs w:val="21"/>
              </w:rPr>
              <w:t>单位产品的环境代价</w:t>
            </w:r>
          </w:p>
        </w:tc>
      </w:tr>
      <w:tr w:rsidR="00C223F5">
        <w:trPr>
          <w:jc w:val="center"/>
        </w:trPr>
        <w:tc>
          <w:tcPr>
            <w:tcW w:w="1203" w:type="dxa"/>
            <w:vAlign w:val="center"/>
          </w:tcPr>
          <w:p w:rsidR="00C223F5" w:rsidRDefault="005860D5">
            <w:pPr>
              <w:jc w:val="center"/>
              <w:rPr>
                <w:szCs w:val="21"/>
              </w:rPr>
            </w:pPr>
            <w:r>
              <w:rPr>
                <w:rFonts w:hAnsi="宋体"/>
                <w:szCs w:val="21"/>
              </w:rPr>
              <w:t>环境系数</w:t>
            </w:r>
          </w:p>
          <w:p w:rsidR="00C223F5" w:rsidRDefault="005860D5">
            <w:pPr>
              <w:jc w:val="center"/>
              <w:rPr>
                <w:i/>
                <w:szCs w:val="21"/>
              </w:rPr>
            </w:pPr>
            <w:r>
              <w:rPr>
                <w:i/>
                <w:szCs w:val="21"/>
              </w:rPr>
              <w:t>(H</w:t>
            </w:r>
            <w:r>
              <w:rPr>
                <w:i/>
                <w:szCs w:val="21"/>
                <w:vertAlign w:val="subscript"/>
              </w:rPr>
              <w:t>x</w:t>
            </w:r>
            <w:r>
              <w:rPr>
                <w:i/>
                <w:szCs w:val="21"/>
              </w:rPr>
              <w:t>)</w:t>
            </w:r>
          </w:p>
        </w:tc>
        <w:tc>
          <w:tcPr>
            <w:tcW w:w="1538" w:type="dxa"/>
            <w:vAlign w:val="center"/>
          </w:tcPr>
          <w:p w:rsidR="00C223F5" w:rsidRDefault="00C223F5">
            <w:pPr>
              <w:jc w:val="center"/>
              <w:rPr>
                <w:szCs w:val="21"/>
              </w:rPr>
            </w:pPr>
            <w:r w:rsidRPr="00C223F5">
              <w:rPr>
                <w:position w:val="-30"/>
                <w:szCs w:val="21"/>
              </w:rPr>
              <w:object w:dxaOrig="1112" w:dyaOrig="763">
                <v:shape id="_x0000_i1077" type="#_x0000_t75" style="width:50.8pt;height:35.6pt" o:ole="">
                  <v:imagedata r:id="rId136" o:title=""/>
                </v:shape>
                <o:OLEObject Type="Embed" ProgID="Equation.3" ShapeID="_x0000_i1077" DrawAspect="Content" ObjectID="_1629037188" r:id="rId137"/>
              </w:object>
            </w:r>
          </w:p>
        </w:tc>
        <w:tc>
          <w:tcPr>
            <w:tcW w:w="3393" w:type="dxa"/>
            <w:vAlign w:val="center"/>
          </w:tcPr>
          <w:p w:rsidR="00C223F5" w:rsidRDefault="005860D5">
            <w:pPr>
              <w:rPr>
                <w:szCs w:val="21"/>
              </w:rPr>
            </w:pPr>
            <w:proofErr w:type="spellStart"/>
            <w:r>
              <w:rPr>
                <w:i/>
                <w:szCs w:val="21"/>
              </w:rPr>
              <w:t>H</w:t>
            </w:r>
            <w:r>
              <w:rPr>
                <w:i/>
                <w:szCs w:val="21"/>
                <w:vertAlign w:val="subscript"/>
              </w:rPr>
              <w:t>d</w:t>
            </w:r>
            <w:proofErr w:type="spellEnd"/>
            <w:r>
              <w:rPr>
                <w:szCs w:val="21"/>
              </w:rPr>
              <w:t>——</w:t>
            </w:r>
            <w:r>
              <w:rPr>
                <w:rFonts w:hAnsi="宋体"/>
                <w:szCs w:val="21"/>
              </w:rPr>
              <w:t>年环境代价</w:t>
            </w:r>
            <w:r>
              <w:rPr>
                <w:szCs w:val="21"/>
              </w:rPr>
              <w:t>(</w:t>
            </w:r>
            <w:r>
              <w:rPr>
                <w:rFonts w:hAnsi="宋体"/>
                <w:szCs w:val="21"/>
              </w:rPr>
              <w:t>万元</w:t>
            </w:r>
            <w:r>
              <w:rPr>
                <w:szCs w:val="21"/>
              </w:rPr>
              <w:t>/</w:t>
            </w:r>
            <w:r>
              <w:rPr>
                <w:rFonts w:hAnsi="宋体"/>
                <w:szCs w:val="21"/>
              </w:rPr>
              <w:t>年</w:t>
            </w:r>
            <w:r>
              <w:rPr>
                <w:szCs w:val="21"/>
              </w:rPr>
              <w:t>)</w:t>
            </w:r>
          </w:p>
          <w:p w:rsidR="00C223F5" w:rsidRDefault="005860D5">
            <w:pPr>
              <w:rPr>
                <w:szCs w:val="21"/>
              </w:rPr>
            </w:pPr>
            <w:r>
              <w:rPr>
                <w:i/>
                <w:szCs w:val="21"/>
              </w:rPr>
              <w:t>G</w:t>
            </w:r>
            <w:r>
              <w:rPr>
                <w:i/>
                <w:szCs w:val="21"/>
                <w:vertAlign w:val="subscript"/>
              </w:rPr>
              <w:t>e</w:t>
            </w:r>
            <w:r>
              <w:rPr>
                <w:szCs w:val="21"/>
              </w:rPr>
              <w:t>——</w:t>
            </w:r>
            <w:r>
              <w:rPr>
                <w:rFonts w:hAnsi="宋体"/>
                <w:szCs w:val="21"/>
              </w:rPr>
              <w:t>年工业总产值</w:t>
            </w:r>
            <w:r>
              <w:rPr>
                <w:szCs w:val="21"/>
              </w:rPr>
              <w:t>(</w:t>
            </w:r>
            <w:r>
              <w:rPr>
                <w:rFonts w:hAnsi="宋体"/>
                <w:szCs w:val="21"/>
              </w:rPr>
              <w:t>万元</w:t>
            </w:r>
            <w:r>
              <w:rPr>
                <w:szCs w:val="21"/>
              </w:rPr>
              <w:t>/</w:t>
            </w:r>
            <w:r>
              <w:rPr>
                <w:rFonts w:hAnsi="宋体"/>
                <w:szCs w:val="21"/>
              </w:rPr>
              <w:t>年</w:t>
            </w:r>
            <w:r>
              <w:rPr>
                <w:szCs w:val="21"/>
              </w:rPr>
              <w:t>)</w:t>
            </w:r>
          </w:p>
        </w:tc>
        <w:tc>
          <w:tcPr>
            <w:tcW w:w="2459" w:type="dxa"/>
            <w:vAlign w:val="center"/>
          </w:tcPr>
          <w:p w:rsidR="00C223F5" w:rsidRDefault="005860D5">
            <w:pPr>
              <w:jc w:val="center"/>
              <w:rPr>
                <w:szCs w:val="21"/>
              </w:rPr>
            </w:pPr>
            <w:r>
              <w:rPr>
                <w:rFonts w:hAnsi="宋体"/>
                <w:szCs w:val="21"/>
              </w:rPr>
              <w:t>单位产值的环境代价</w:t>
            </w:r>
          </w:p>
        </w:tc>
      </w:tr>
      <w:tr w:rsidR="00C223F5">
        <w:trPr>
          <w:trHeight w:val="806"/>
          <w:jc w:val="center"/>
        </w:trPr>
        <w:tc>
          <w:tcPr>
            <w:tcW w:w="1203" w:type="dxa"/>
            <w:vAlign w:val="center"/>
          </w:tcPr>
          <w:p w:rsidR="00C223F5" w:rsidRDefault="005860D5">
            <w:pPr>
              <w:jc w:val="center"/>
              <w:rPr>
                <w:i/>
                <w:szCs w:val="21"/>
              </w:rPr>
            </w:pPr>
            <w:r>
              <w:rPr>
                <w:rFonts w:hAnsi="宋体"/>
                <w:szCs w:val="21"/>
              </w:rPr>
              <w:t>环境工程比例系数</w:t>
            </w:r>
            <w:r>
              <w:rPr>
                <w:i/>
                <w:szCs w:val="21"/>
              </w:rPr>
              <w:t>(H</w:t>
            </w:r>
            <w:r>
              <w:rPr>
                <w:i/>
                <w:szCs w:val="21"/>
                <w:vertAlign w:val="subscript"/>
              </w:rPr>
              <w:t>z</w:t>
            </w:r>
            <w:r>
              <w:rPr>
                <w:i/>
                <w:szCs w:val="21"/>
              </w:rPr>
              <w:t>)</w:t>
            </w:r>
          </w:p>
        </w:tc>
        <w:tc>
          <w:tcPr>
            <w:tcW w:w="1538" w:type="dxa"/>
            <w:vAlign w:val="center"/>
          </w:tcPr>
          <w:p w:rsidR="00C223F5" w:rsidRDefault="00C223F5">
            <w:pPr>
              <w:jc w:val="center"/>
              <w:rPr>
                <w:szCs w:val="21"/>
              </w:rPr>
            </w:pPr>
            <w:r w:rsidRPr="00C223F5">
              <w:rPr>
                <w:position w:val="-30"/>
                <w:szCs w:val="21"/>
              </w:rPr>
              <w:object w:dxaOrig="1830" w:dyaOrig="741">
                <v:shape id="_x0000_i1078" type="#_x0000_t75" style="width:69.45pt;height:22.85pt" o:ole="">
                  <v:imagedata r:id="rId138" o:title=""/>
                </v:shape>
                <o:OLEObject Type="Embed" ProgID="Equation.3" ShapeID="_x0000_i1078" DrawAspect="Content" ObjectID="_1629037189" r:id="rId139"/>
              </w:object>
            </w:r>
          </w:p>
        </w:tc>
        <w:tc>
          <w:tcPr>
            <w:tcW w:w="3393" w:type="dxa"/>
            <w:vAlign w:val="center"/>
          </w:tcPr>
          <w:p w:rsidR="00C223F5" w:rsidRDefault="005860D5">
            <w:pPr>
              <w:rPr>
                <w:szCs w:val="21"/>
              </w:rPr>
            </w:pPr>
            <w:proofErr w:type="spellStart"/>
            <w:r>
              <w:rPr>
                <w:i/>
                <w:szCs w:val="21"/>
              </w:rPr>
              <w:t>H</w:t>
            </w:r>
            <w:r>
              <w:rPr>
                <w:i/>
                <w:szCs w:val="21"/>
                <w:vertAlign w:val="subscript"/>
              </w:rPr>
              <w:t>t</w:t>
            </w:r>
            <w:proofErr w:type="spellEnd"/>
            <w:r>
              <w:rPr>
                <w:szCs w:val="21"/>
              </w:rPr>
              <w:t>——</w:t>
            </w:r>
            <w:r>
              <w:rPr>
                <w:rFonts w:hAnsi="宋体"/>
                <w:szCs w:val="21"/>
              </w:rPr>
              <w:t>环境工程投资</w:t>
            </w:r>
            <w:r>
              <w:rPr>
                <w:szCs w:val="21"/>
              </w:rPr>
              <w:t>(</w:t>
            </w:r>
            <w:r>
              <w:rPr>
                <w:rFonts w:hAnsi="宋体"/>
                <w:szCs w:val="21"/>
              </w:rPr>
              <w:t>万元</w:t>
            </w:r>
            <w:r>
              <w:rPr>
                <w:szCs w:val="21"/>
              </w:rPr>
              <w:t>)</w:t>
            </w:r>
          </w:p>
          <w:p w:rsidR="00C223F5" w:rsidRDefault="005860D5">
            <w:pPr>
              <w:rPr>
                <w:szCs w:val="21"/>
              </w:rPr>
            </w:pPr>
            <w:proofErr w:type="spellStart"/>
            <w:r>
              <w:rPr>
                <w:i/>
                <w:szCs w:val="21"/>
              </w:rPr>
              <w:t>Z</w:t>
            </w:r>
            <w:r>
              <w:rPr>
                <w:i/>
                <w:szCs w:val="21"/>
                <w:vertAlign w:val="subscript"/>
              </w:rPr>
              <w:t>t</w:t>
            </w:r>
            <w:proofErr w:type="spellEnd"/>
            <w:r>
              <w:rPr>
                <w:szCs w:val="21"/>
              </w:rPr>
              <w:t>——</w:t>
            </w:r>
            <w:r>
              <w:rPr>
                <w:rFonts w:hAnsi="宋体"/>
                <w:szCs w:val="21"/>
              </w:rPr>
              <w:t>建设项目总投资</w:t>
            </w:r>
            <w:r>
              <w:rPr>
                <w:szCs w:val="21"/>
              </w:rPr>
              <w:t>(</w:t>
            </w:r>
            <w:r>
              <w:rPr>
                <w:rFonts w:hAnsi="宋体"/>
                <w:szCs w:val="21"/>
              </w:rPr>
              <w:t>万元</w:t>
            </w:r>
            <w:r>
              <w:rPr>
                <w:szCs w:val="21"/>
              </w:rPr>
              <w:t>)</w:t>
            </w:r>
          </w:p>
        </w:tc>
        <w:tc>
          <w:tcPr>
            <w:tcW w:w="2459" w:type="dxa"/>
            <w:vAlign w:val="center"/>
          </w:tcPr>
          <w:p w:rsidR="00C223F5" w:rsidRDefault="005860D5">
            <w:pPr>
              <w:rPr>
                <w:szCs w:val="21"/>
              </w:rPr>
            </w:pPr>
            <w:r>
              <w:rPr>
                <w:rFonts w:hAnsi="宋体"/>
                <w:szCs w:val="21"/>
              </w:rPr>
              <w:t>环境保护工程投资费用占总投资的百分比。</w:t>
            </w:r>
          </w:p>
        </w:tc>
      </w:tr>
      <w:tr w:rsidR="00C223F5">
        <w:trPr>
          <w:jc w:val="center"/>
        </w:trPr>
        <w:tc>
          <w:tcPr>
            <w:tcW w:w="1203" w:type="dxa"/>
            <w:vAlign w:val="center"/>
          </w:tcPr>
          <w:p w:rsidR="00C223F5" w:rsidRDefault="005860D5">
            <w:pPr>
              <w:jc w:val="center"/>
              <w:rPr>
                <w:i/>
                <w:szCs w:val="21"/>
              </w:rPr>
            </w:pPr>
            <w:r>
              <w:rPr>
                <w:rFonts w:hAnsi="宋体"/>
                <w:szCs w:val="21"/>
              </w:rPr>
              <w:t>环境经济效益系数</w:t>
            </w:r>
            <w:r>
              <w:rPr>
                <w:i/>
                <w:szCs w:val="21"/>
              </w:rPr>
              <w:t>(</w:t>
            </w:r>
            <w:proofErr w:type="spellStart"/>
            <w:r>
              <w:rPr>
                <w:i/>
                <w:szCs w:val="21"/>
              </w:rPr>
              <w:t>J</w:t>
            </w:r>
            <w:r>
              <w:rPr>
                <w:i/>
                <w:szCs w:val="21"/>
                <w:vertAlign w:val="subscript"/>
              </w:rPr>
              <w:t>x</w:t>
            </w:r>
            <w:proofErr w:type="spellEnd"/>
            <w:r>
              <w:rPr>
                <w:i/>
                <w:szCs w:val="21"/>
              </w:rPr>
              <w:t>)</w:t>
            </w:r>
          </w:p>
        </w:tc>
        <w:tc>
          <w:tcPr>
            <w:tcW w:w="1538" w:type="dxa"/>
            <w:vAlign w:val="center"/>
          </w:tcPr>
          <w:p w:rsidR="00C223F5" w:rsidRDefault="00C223F5">
            <w:pPr>
              <w:jc w:val="center"/>
              <w:rPr>
                <w:szCs w:val="21"/>
              </w:rPr>
            </w:pPr>
            <w:r w:rsidRPr="00C223F5">
              <w:rPr>
                <w:position w:val="-30"/>
                <w:szCs w:val="21"/>
              </w:rPr>
              <w:object w:dxaOrig="1220" w:dyaOrig="1111">
                <v:shape id="_x0000_i1079" type="#_x0000_t75" style="width:55.9pt;height:29.65pt" o:ole="">
                  <v:imagedata r:id="rId140" o:title=""/>
                </v:shape>
                <o:OLEObject Type="Embed" ProgID="Equation.3" ShapeID="_x0000_i1079" DrawAspect="Content" ObjectID="_1629037190" r:id="rId141"/>
              </w:object>
            </w:r>
          </w:p>
        </w:tc>
        <w:tc>
          <w:tcPr>
            <w:tcW w:w="3393" w:type="dxa"/>
            <w:vAlign w:val="center"/>
          </w:tcPr>
          <w:p w:rsidR="00C223F5" w:rsidRDefault="005860D5">
            <w:pPr>
              <w:rPr>
                <w:szCs w:val="21"/>
              </w:rPr>
            </w:pPr>
            <w:r>
              <w:rPr>
                <w:i/>
                <w:szCs w:val="21"/>
              </w:rPr>
              <w:t>S</w:t>
            </w:r>
            <w:r>
              <w:rPr>
                <w:i/>
                <w:szCs w:val="21"/>
                <w:vertAlign w:val="subscript"/>
              </w:rPr>
              <w:t>i</w:t>
            </w:r>
            <w:r>
              <w:rPr>
                <w:szCs w:val="21"/>
              </w:rPr>
              <w:t>——</w:t>
            </w:r>
            <w:r>
              <w:rPr>
                <w:rFonts w:hAnsi="宋体"/>
                <w:szCs w:val="21"/>
              </w:rPr>
              <w:t>环境保护措施挽回的经济价值</w:t>
            </w:r>
            <w:r>
              <w:rPr>
                <w:szCs w:val="21"/>
              </w:rPr>
              <w:t>(</w:t>
            </w:r>
            <w:r>
              <w:rPr>
                <w:rFonts w:hAnsi="宋体"/>
                <w:szCs w:val="21"/>
              </w:rPr>
              <w:t>万元</w:t>
            </w:r>
            <w:r>
              <w:rPr>
                <w:szCs w:val="21"/>
              </w:rPr>
              <w:t>/</w:t>
            </w:r>
            <w:r>
              <w:rPr>
                <w:rFonts w:hAnsi="宋体"/>
                <w:szCs w:val="21"/>
              </w:rPr>
              <w:t>年</w:t>
            </w:r>
            <w:r>
              <w:rPr>
                <w:szCs w:val="21"/>
              </w:rPr>
              <w:t>)</w:t>
            </w:r>
          </w:p>
          <w:p w:rsidR="00C223F5" w:rsidRDefault="005860D5">
            <w:pPr>
              <w:rPr>
                <w:szCs w:val="21"/>
              </w:rPr>
            </w:pPr>
            <w:proofErr w:type="spellStart"/>
            <w:r>
              <w:rPr>
                <w:i/>
                <w:szCs w:val="21"/>
              </w:rPr>
              <w:t>i</w:t>
            </w:r>
            <w:proofErr w:type="spellEnd"/>
            <w:r>
              <w:rPr>
                <w:szCs w:val="21"/>
              </w:rPr>
              <w:t>——</w:t>
            </w:r>
            <w:r>
              <w:rPr>
                <w:rFonts w:hAnsi="宋体"/>
                <w:szCs w:val="21"/>
              </w:rPr>
              <w:t>挽回经济价值的项目数</w:t>
            </w:r>
          </w:p>
          <w:p w:rsidR="00C223F5" w:rsidRDefault="005860D5">
            <w:pPr>
              <w:rPr>
                <w:szCs w:val="21"/>
              </w:rPr>
            </w:pPr>
            <w:proofErr w:type="spellStart"/>
            <w:r>
              <w:rPr>
                <w:i/>
                <w:szCs w:val="21"/>
              </w:rPr>
              <w:t>H</w:t>
            </w:r>
            <w:r>
              <w:rPr>
                <w:i/>
                <w:szCs w:val="21"/>
                <w:vertAlign w:val="subscript"/>
              </w:rPr>
              <w:t>n</w:t>
            </w:r>
            <w:proofErr w:type="spellEnd"/>
            <w:r>
              <w:rPr>
                <w:szCs w:val="21"/>
              </w:rPr>
              <w:t>——</w:t>
            </w:r>
            <w:r>
              <w:rPr>
                <w:rFonts w:hAnsi="宋体"/>
                <w:szCs w:val="21"/>
              </w:rPr>
              <w:t>企业年环境保护费用</w:t>
            </w:r>
            <w:r>
              <w:rPr>
                <w:szCs w:val="21"/>
              </w:rPr>
              <w:t>(</w:t>
            </w:r>
            <w:r>
              <w:rPr>
                <w:rFonts w:hAnsi="宋体"/>
                <w:szCs w:val="21"/>
              </w:rPr>
              <w:t>万元</w:t>
            </w:r>
            <w:r>
              <w:rPr>
                <w:szCs w:val="21"/>
              </w:rPr>
              <w:t>/</w:t>
            </w:r>
            <w:r>
              <w:rPr>
                <w:rFonts w:hAnsi="宋体"/>
                <w:szCs w:val="21"/>
              </w:rPr>
              <w:t>年</w:t>
            </w:r>
            <w:r>
              <w:rPr>
                <w:szCs w:val="21"/>
              </w:rPr>
              <w:t>)</w:t>
            </w:r>
          </w:p>
        </w:tc>
        <w:tc>
          <w:tcPr>
            <w:tcW w:w="2459" w:type="dxa"/>
            <w:vAlign w:val="center"/>
          </w:tcPr>
          <w:p w:rsidR="00C223F5" w:rsidRDefault="005860D5">
            <w:pPr>
              <w:rPr>
                <w:szCs w:val="21"/>
              </w:rPr>
            </w:pPr>
            <w:r>
              <w:rPr>
                <w:rFonts w:hAnsi="宋体"/>
                <w:szCs w:val="21"/>
              </w:rPr>
              <w:t>因有效的环境保护措施而挽回的经济价值与投入的环境保护费用之比。</w:t>
            </w:r>
          </w:p>
        </w:tc>
      </w:tr>
    </w:tbl>
    <w:p w:rsidR="00C223F5" w:rsidRDefault="00C223F5">
      <w:pPr>
        <w:autoSpaceDE w:val="0"/>
        <w:autoSpaceDN w:val="0"/>
        <w:spacing w:line="360" w:lineRule="auto"/>
        <w:ind w:firstLine="482"/>
        <w:rPr>
          <w:b/>
          <w:sz w:val="24"/>
        </w:rPr>
      </w:pPr>
    </w:p>
    <w:p w:rsidR="00C223F5" w:rsidRDefault="005860D5">
      <w:pPr>
        <w:autoSpaceDE w:val="0"/>
        <w:autoSpaceDN w:val="0"/>
        <w:spacing w:line="360" w:lineRule="auto"/>
        <w:ind w:firstLine="482"/>
        <w:rPr>
          <w:sz w:val="24"/>
        </w:rPr>
      </w:pPr>
      <w:r>
        <w:rPr>
          <w:sz w:val="24"/>
        </w:rPr>
        <w:t>（</w:t>
      </w:r>
      <w:r>
        <w:rPr>
          <w:sz w:val="24"/>
        </w:rPr>
        <w:t>2</w:t>
      </w:r>
      <w:r>
        <w:rPr>
          <w:sz w:val="24"/>
        </w:rPr>
        <w:t>）环境经济损益分析</w:t>
      </w:r>
      <w:r>
        <w:rPr>
          <w:rFonts w:hint="eastAsia"/>
          <w:sz w:val="24"/>
        </w:rPr>
        <w:t>计算结果</w:t>
      </w:r>
    </w:p>
    <w:p w:rsidR="00C223F5" w:rsidRDefault="005860D5">
      <w:pPr>
        <w:pStyle w:val="hb1"/>
        <w:ind w:firstLine="480"/>
      </w:pPr>
      <w:r>
        <w:rPr>
          <w:rFonts w:hint="eastAsia"/>
        </w:rPr>
        <w:t>本</w:t>
      </w:r>
      <w:r>
        <w:t>项目建设环境经济损益分析结果见表</w:t>
      </w:r>
      <w:r>
        <w:rPr>
          <w:rFonts w:hint="eastAsia"/>
        </w:rPr>
        <w:t>6.2</w:t>
      </w:r>
      <w:r>
        <w:t>-2</w:t>
      </w:r>
      <w:r>
        <w:rPr>
          <w:rFonts w:hint="eastAsia"/>
        </w:rPr>
        <w:t>。</w:t>
      </w:r>
    </w:p>
    <w:p w:rsidR="00C223F5" w:rsidRDefault="00C223F5">
      <w:pPr>
        <w:jc w:val="center"/>
        <w:rPr>
          <w:rFonts w:hAnsi="宋体"/>
          <w:b/>
          <w:color w:val="FF0000"/>
          <w:sz w:val="24"/>
        </w:rPr>
        <w:sectPr w:rsidR="00C223F5">
          <w:pgSz w:w="11906" w:h="16838"/>
          <w:pgMar w:top="1440" w:right="1418" w:bottom="1440" w:left="1701" w:header="851" w:footer="992" w:gutter="0"/>
          <w:cols w:space="425"/>
          <w:docGrid w:linePitch="312"/>
        </w:sectPr>
      </w:pPr>
    </w:p>
    <w:p w:rsidR="00C223F5" w:rsidRDefault="005860D5">
      <w:pPr>
        <w:jc w:val="center"/>
        <w:rPr>
          <w:b/>
          <w:sz w:val="24"/>
        </w:rPr>
      </w:pPr>
      <w:r>
        <w:rPr>
          <w:b/>
          <w:sz w:val="24"/>
        </w:rPr>
        <w:lastRenderedPageBreak/>
        <w:t>表</w:t>
      </w:r>
      <w:r>
        <w:rPr>
          <w:b/>
          <w:sz w:val="24"/>
        </w:rPr>
        <w:t xml:space="preserve">6.1-1   </w:t>
      </w:r>
      <w:r>
        <w:rPr>
          <w:b/>
          <w:sz w:val="24"/>
        </w:rPr>
        <w:t>环保投资构成估算表</w:t>
      </w:r>
    </w:p>
    <w:tbl>
      <w:tblPr>
        <w:tblW w:w="13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28" w:type="dxa"/>
          <w:bottom w:w="45" w:type="dxa"/>
          <w:right w:w="28" w:type="dxa"/>
        </w:tblCellMar>
        <w:tblLook w:val="04A0" w:firstRow="1" w:lastRow="0" w:firstColumn="1" w:lastColumn="0" w:noHBand="0" w:noVBand="1"/>
      </w:tblPr>
      <w:tblGrid>
        <w:gridCol w:w="673"/>
        <w:gridCol w:w="346"/>
        <w:gridCol w:w="346"/>
        <w:gridCol w:w="1902"/>
        <w:gridCol w:w="4747"/>
        <w:gridCol w:w="600"/>
        <w:gridCol w:w="600"/>
        <w:gridCol w:w="575"/>
        <w:gridCol w:w="707"/>
        <w:gridCol w:w="1001"/>
        <w:gridCol w:w="1495"/>
        <w:gridCol w:w="940"/>
      </w:tblGrid>
      <w:tr w:rsidR="00C223F5">
        <w:trPr>
          <w:cantSplit/>
          <w:jc w:val="center"/>
        </w:trPr>
        <w:tc>
          <w:tcPr>
            <w:tcW w:w="673" w:type="dxa"/>
            <w:vAlign w:val="center"/>
          </w:tcPr>
          <w:p w:rsidR="00C223F5" w:rsidRDefault="005860D5">
            <w:pPr>
              <w:contextualSpacing/>
              <w:jc w:val="center"/>
              <w:rPr>
                <w:szCs w:val="21"/>
              </w:rPr>
            </w:pPr>
            <w:r>
              <w:rPr>
                <w:szCs w:val="21"/>
              </w:rPr>
              <w:t>用途</w:t>
            </w:r>
          </w:p>
        </w:tc>
        <w:tc>
          <w:tcPr>
            <w:tcW w:w="346" w:type="dxa"/>
            <w:vAlign w:val="center"/>
          </w:tcPr>
          <w:p w:rsidR="00C223F5" w:rsidRDefault="005860D5">
            <w:pPr>
              <w:contextualSpacing/>
              <w:jc w:val="center"/>
              <w:rPr>
                <w:szCs w:val="21"/>
              </w:rPr>
            </w:pPr>
            <w:r>
              <w:rPr>
                <w:rFonts w:hint="eastAsia"/>
                <w:szCs w:val="21"/>
              </w:rPr>
              <w:t>序号</w:t>
            </w:r>
          </w:p>
        </w:tc>
        <w:tc>
          <w:tcPr>
            <w:tcW w:w="2248" w:type="dxa"/>
            <w:gridSpan w:val="2"/>
            <w:vAlign w:val="center"/>
          </w:tcPr>
          <w:p w:rsidR="00C223F5" w:rsidRDefault="005860D5">
            <w:pPr>
              <w:contextualSpacing/>
              <w:jc w:val="center"/>
              <w:rPr>
                <w:szCs w:val="21"/>
              </w:rPr>
            </w:pPr>
            <w:r>
              <w:rPr>
                <w:szCs w:val="21"/>
              </w:rPr>
              <w:t>污染类型</w:t>
            </w:r>
          </w:p>
        </w:tc>
        <w:tc>
          <w:tcPr>
            <w:tcW w:w="4747" w:type="dxa"/>
            <w:vAlign w:val="center"/>
          </w:tcPr>
          <w:p w:rsidR="00C223F5" w:rsidRDefault="005860D5">
            <w:pPr>
              <w:contextualSpacing/>
              <w:jc w:val="center"/>
              <w:rPr>
                <w:szCs w:val="21"/>
              </w:rPr>
            </w:pPr>
            <w:r>
              <w:rPr>
                <w:szCs w:val="21"/>
              </w:rPr>
              <w:t>环保设施</w:t>
            </w:r>
          </w:p>
        </w:tc>
        <w:tc>
          <w:tcPr>
            <w:tcW w:w="600" w:type="dxa"/>
            <w:vAlign w:val="center"/>
          </w:tcPr>
          <w:p w:rsidR="00C223F5" w:rsidRDefault="005860D5">
            <w:pPr>
              <w:contextualSpacing/>
              <w:jc w:val="center"/>
              <w:rPr>
                <w:szCs w:val="21"/>
              </w:rPr>
            </w:pPr>
            <w:r>
              <w:rPr>
                <w:szCs w:val="21"/>
              </w:rPr>
              <w:t>单位</w:t>
            </w:r>
          </w:p>
        </w:tc>
        <w:tc>
          <w:tcPr>
            <w:tcW w:w="600" w:type="dxa"/>
            <w:vAlign w:val="center"/>
          </w:tcPr>
          <w:p w:rsidR="00C223F5" w:rsidRDefault="005860D5">
            <w:pPr>
              <w:contextualSpacing/>
              <w:jc w:val="center"/>
              <w:rPr>
                <w:szCs w:val="21"/>
              </w:rPr>
            </w:pPr>
            <w:r>
              <w:rPr>
                <w:szCs w:val="21"/>
              </w:rPr>
              <w:t>数量</w:t>
            </w:r>
          </w:p>
        </w:tc>
        <w:tc>
          <w:tcPr>
            <w:tcW w:w="1282" w:type="dxa"/>
            <w:gridSpan w:val="2"/>
            <w:vAlign w:val="center"/>
          </w:tcPr>
          <w:p w:rsidR="00C223F5" w:rsidRDefault="005860D5">
            <w:pPr>
              <w:contextualSpacing/>
              <w:jc w:val="center"/>
              <w:rPr>
                <w:szCs w:val="21"/>
              </w:rPr>
            </w:pPr>
            <w:r>
              <w:rPr>
                <w:szCs w:val="21"/>
              </w:rPr>
              <w:t>投资估算</w:t>
            </w:r>
          </w:p>
          <w:p w:rsidR="00C223F5" w:rsidRDefault="005860D5">
            <w:pPr>
              <w:contextualSpacing/>
              <w:jc w:val="center"/>
              <w:rPr>
                <w:szCs w:val="21"/>
              </w:rPr>
            </w:pPr>
            <w:r>
              <w:rPr>
                <w:szCs w:val="21"/>
              </w:rPr>
              <w:t>（万元）</w:t>
            </w:r>
          </w:p>
        </w:tc>
        <w:tc>
          <w:tcPr>
            <w:tcW w:w="1001" w:type="dxa"/>
            <w:vAlign w:val="center"/>
          </w:tcPr>
          <w:p w:rsidR="00C223F5" w:rsidRDefault="005860D5">
            <w:pPr>
              <w:contextualSpacing/>
              <w:jc w:val="center"/>
              <w:rPr>
                <w:szCs w:val="21"/>
              </w:rPr>
            </w:pPr>
            <w:r>
              <w:rPr>
                <w:szCs w:val="21"/>
              </w:rPr>
              <w:t>资金来源</w:t>
            </w:r>
          </w:p>
        </w:tc>
        <w:tc>
          <w:tcPr>
            <w:tcW w:w="1495" w:type="dxa"/>
            <w:vAlign w:val="center"/>
          </w:tcPr>
          <w:p w:rsidR="00C223F5" w:rsidRDefault="005860D5">
            <w:pPr>
              <w:contextualSpacing/>
              <w:jc w:val="center"/>
              <w:rPr>
                <w:szCs w:val="21"/>
              </w:rPr>
            </w:pPr>
            <w:r>
              <w:rPr>
                <w:szCs w:val="21"/>
              </w:rPr>
              <w:t>实施阶段</w:t>
            </w:r>
          </w:p>
        </w:tc>
        <w:tc>
          <w:tcPr>
            <w:tcW w:w="940" w:type="dxa"/>
            <w:vAlign w:val="center"/>
          </w:tcPr>
          <w:p w:rsidR="00C223F5" w:rsidRDefault="005860D5">
            <w:pPr>
              <w:contextualSpacing/>
              <w:jc w:val="center"/>
              <w:rPr>
                <w:szCs w:val="21"/>
              </w:rPr>
            </w:pPr>
            <w:r>
              <w:rPr>
                <w:szCs w:val="21"/>
              </w:rPr>
              <w:t>责任</w:t>
            </w:r>
          </w:p>
          <w:p w:rsidR="00C223F5" w:rsidRDefault="005860D5">
            <w:pPr>
              <w:contextualSpacing/>
              <w:jc w:val="center"/>
              <w:rPr>
                <w:szCs w:val="21"/>
              </w:rPr>
            </w:pPr>
            <w:r>
              <w:rPr>
                <w:szCs w:val="21"/>
              </w:rPr>
              <w:t>主体</w:t>
            </w:r>
          </w:p>
        </w:tc>
      </w:tr>
      <w:tr w:rsidR="00C223F5">
        <w:trPr>
          <w:cantSplit/>
          <w:trHeight w:val="25"/>
          <w:jc w:val="center"/>
        </w:trPr>
        <w:tc>
          <w:tcPr>
            <w:tcW w:w="673" w:type="dxa"/>
            <w:vMerge w:val="restart"/>
            <w:vAlign w:val="center"/>
          </w:tcPr>
          <w:p w:rsidR="00C223F5" w:rsidRDefault="005860D5">
            <w:pPr>
              <w:contextualSpacing/>
              <w:jc w:val="center"/>
              <w:rPr>
                <w:szCs w:val="21"/>
              </w:rPr>
            </w:pPr>
            <w:r>
              <w:rPr>
                <w:rFonts w:hint="eastAsia"/>
                <w:szCs w:val="21"/>
              </w:rPr>
              <w:t>环保设施投资</w:t>
            </w:r>
          </w:p>
        </w:tc>
        <w:tc>
          <w:tcPr>
            <w:tcW w:w="346" w:type="dxa"/>
            <w:vMerge w:val="restart"/>
            <w:vAlign w:val="center"/>
          </w:tcPr>
          <w:p w:rsidR="00C223F5" w:rsidRDefault="005860D5">
            <w:pPr>
              <w:contextualSpacing/>
              <w:jc w:val="center"/>
              <w:rPr>
                <w:szCs w:val="21"/>
              </w:rPr>
            </w:pPr>
            <w:r>
              <w:rPr>
                <w:rFonts w:hint="eastAsia"/>
                <w:szCs w:val="21"/>
              </w:rPr>
              <w:t>1</w:t>
            </w:r>
          </w:p>
        </w:tc>
        <w:tc>
          <w:tcPr>
            <w:tcW w:w="346" w:type="dxa"/>
            <w:vMerge w:val="restart"/>
            <w:vAlign w:val="center"/>
          </w:tcPr>
          <w:p w:rsidR="00C223F5" w:rsidRDefault="005860D5">
            <w:pPr>
              <w:contextualSpacing/>
              <w:jc w:val="center"/>
              <w:rPr>
                <w:szCs w:val="21"/>
              </w:rPr>
            </w:pPr>
            <w:r>
              <w:rPr>
                <w:rFonts w:hint="eastAsia"/>
                <w:szCs w:val="21"/>
              </w:rPr>
              <w:t>煤</w:t>
            </w:r>
            <w:r>
              <w:rPr>
                <w:szCs w:val="21"/>
              </w:rPr>
              <w:t>粉尘</w:t>
            </w:r>
          </w:p>
        </w:tc>
        <w:tc>
          <w:tcPr>
            <w:tcW w:w="1902" w:type="dxa"/>
            <w:vAlign w:val="center"/>
          </w:tcPr>
          <w:p w:rsidR="00C223F5" w:rsidRDefault="005860D5">
            <w:pPr>
              <w:contextualSpacing/>
              <w:jc w:val="center"/>
              <w:rPr>
                <w:szCs w:val="21"/>
              </w:rPr>
            </w:pPr>
            <w:r>
              <w:rPr>
                <w:szCs w:val="21"/>
              </w:rPr>
              <w:t>输煤栈桥</w:t>
            </w:r>
          </w:p>
        </w:tc>
        <w:tc>
          <w:tcPr>
            <w:tcW w:w="4747" w:type="dxa"/>
            <w:vAlign w:val="center"/>
          </w:tcPr>
          <w:p w:rsidR="00C223F5" w:rsidRDefault="005860D5">
            <w:pPr>
              <w:contextualSpacing/>
              <w:rPr>
                <w:szCs w:val="21"/>
              </w:rPr>
            </w:pPr>
            <w:r>
              <w:rPr>
                <w:szCs w:val="21"/>
              </w:rPr>
              <w:t>封闭，喷雾洒水装置</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rFonts w:hint="eastAsia"/>
                <w:szCs w:val="21"/>
              </w:rPr>
              <w:t>6</w:t>
            </w:r>
          </w:p>
        </w:tc>
        <w:tc>
          <w:tcPr>
            <w:tcW w:w="575" w:type="dxa"/>
            <w:vAlign w:val="center"/>
          </w:tcPr>
          <w:p w:rsidR="00C223F5" w:rsidRDefault="005860D5">
            <w:pPr>
              <w:contextualSpacing/>
              <w:jc w:val="center"/>
              <w:rPr>
                <w:szCs w:val="21"/>
              </w:rPr>
            </w:pPr>
            <w:r>
              <w:rPr>
                <w:rFonts w:hint="eastAsia"/>
                <w:szCs w:val="21"/>
              </w:rPr>
              <w:t>12</w:t>
            </w:r>
          </w:p>
        </w:tc>
        <w:tc>
          <w:tcPr>
            <w:tcW w:w="707" w:type="dxa"/>
            <w:vMerge w:val="restart"/>
            <w:vAlign w:val="center"/>
          </w:tcPr>
          <w:p w:rsidR="00C223F5" w:rsidRDefault="000F32AE">
            <w:pPr>
              <w:pStyle w:val="affb"/>
              <w:pBdr>
                <w:bottom w:val="none" w:sz="0" w:space="0" w:color="auto"/>
              </w:pBdr>
              <w:tabs>
                <w:tab w:val="clear" w:pos="4153"/>
                <w:tab w:val="clear" w:pos="8306"/>
              </w:tabs>
              <w:snapToGrid/>
              <w:contextualSpacing/>
              <w:rPr>
                <w:color w:val="FF0000"/>
                <w:sz w:val="21"/>
                <w:szCs w:val="21"/>
              </w:rPr>
            </w:pPr>
            <w:r>
              <w:rPr>
                <w:sz w:val="21"/>
                <w:szCs w:val="21"/>
              </w:rPr>
              <w:fldChar w:fldCharType="begin"/>
            </w:r>
            <w:r w:rsidR="005860D5">
              <w:rPr>
                <w:sz w:val="21"/>
                <w:szCs w:val="21"/>
              </w:rPr>
              <w:instrText xml:space="preserve"> =SUM(ABOVE) </w:instrText>
            </w:r>
            <w:r>
              <w:rPr>
                <w:sz w:val="21"/>
                <w:szCs w:val="21"/>
              </w:rPr>
              <w:fldChar w:fldCharType="separate"/>
            </w:r>
            <w:r w:rsidR="005860D5">
              <w:rPr>
                <w:sz w:val="21"/>
                <w:szCs w:val="21"/>
              </w:rPr>
              <w:t>88</w:t>
            </w:r>
            <w:r>
              <w:rPr>
                <w:sz w:val="21"/>
                <w:szCs w:val="21"/>
              </w:rPr>
              <w:fldChar w:fldCharType="end"/>
            </w:r>
          </w:p>
        </w:tc>
        <w:tc>
          <w:tcPr>
            <w:tcW w:w="1001" w:type="dxa"/>
            <w:vMerge w:val="restart"/>
            <w:vAlign w:val="center"/>
          </w:tcPr>
          <w:p w:rsidR="00C223F5" w:rsidRDefault="005860D5">
            <w:pPr>
              <w:contextualSpacing/>
              <w:jc w:val="center"/>
              <w:rPr>
                <w:color w:val="000000"/>
                <w:szCs w:val="21"/>
              </w:rPr>
            </w:pPr>
            <w:r>
              <w:rPr>
                <w:color w:val="000000"/>
                <w:szCs w:val="21"/>
              </w:rPr>
              <w:t>项目建设</w:t>
            </w:r>
          </w:p>
          <w:p w:rsidR="00C223F5" w:rsidRDefault="005860D5">
            <w:pPr>
              <w:contextualSpacing/>
              <w:jc w:val="center"/>
              <w:rPr>
                <w:color w:val="FF0000"/>
                <w:szCs w:val="21"/>
              </w:rPr>
            </w:pPr>
            <w:r>
              <w:rPr>
                <w:color w:val="000000"/>
                <w:szCs w:val="21"/>
              </w:rPr>
              <w:t>投资</w:t>
            </w:r>
          </w:p>
        </w:tc>
        <w:tc>
          <w:tcPr>
            <w:tcW w:w="1495" w:type="dxa"/>
            <w:vMerge w:val="restart"/>
            <w:vAlign w:val="center"/>
          </w:tcPr>
          <w:p w:rsidR="00C223F5" w:rsidRDefault="005860D5">
            <w:pPr>
              <w:contextualSpacing/>
              <w:jc w:val="center"/>
              <w:rPr>
                <w:color w:val="FF0000"/>
                <w:szCs w:val="21"/>
              </w:rPr>
            </w:pPr>
            <w:r>
              <w:rPr>
                <w:color w:val="000000"/>
                <w:szCs w:val="21"/>
              </w:rPr>
              <w:t>2020.1</w:t>
            </w:r>
            <w:r>
              <w:rPr>
                <w:color w:val="000000"/>
                <w:szCs w:val="21"/>
              </w:rPr>
              <w:t>～</w:t>
            </w:r>
            <w:r>
              <w:rPr>
                <w:color w:val="000000"/>
                <w:szCs w:val="21"/>
              </w:rPr>
              <w:t>12</w:t>
            </w:r>
          </w:p>
        </w:tc>
        <w:tc>
          <w:tcPr>
            <w:tcW w:w="940" w:type="dxa"/>
            <w:vMerge w:val="restart"/>
            <w:vAlign w:val="center"/>
          </w:tcPr>
          <w:p w:rsidR="00C223F5" w:rsidRDefault="005860D5">
            <w:pPr>
              <w:contextualSpacing/>
              <w:jc w:val="center"/>
              <w:rPr>
                <w:szCs w:val="21"/>
              </w:rPr>
            </w:pPr>
            <w:r>
              <w:rPr>
                <w:rFonts w:hint="eastAsia"/>
                <w:szCs w:val="21"/>
              </w:rPr>
              <w:t>横山县</w:t>
            </w:r>
          </w:p>
          <w:p w:rsidR="00C223F5" w:rsidRDefault="005860D5">
            <w:pPr>
              <w:contextualSpacing/>
              <w:jc w:val="center"/>
              <w:rPr>
                <w:szCs w:val="21"/>
              </w:rPr>
            </w:pPr>
            <w:r>
              <w:rPr>
                <w:rFonts w:hAnsi="宋体"/>
                <w:snapToGrid w:val="0"/>
                <w:kern w:val="0"/>
                <w:szCs w:val="21"/>
              </w:rPr>
              <w:t>天云</w:t>
            </w:r>
            <w:r>
              <w:rPr>
                <w:rFonts w:hAnsi="宋体" w:hint="eastAsia"/>
                <w:snapToGrid w:val="0"/>
                <w:kern w:val="0"/>
                <w:szCs w:val="21"/>
              </w:rPr>
              <w:t>煤矿</w:t>
            </w:r>
          </w:p>
        </w:tc>
      </w:tr>
      <w:tr w:rsidR="00C223F5">
        <w:trPr>
          <w:cantSplit/>
          <w:trHeight w:val="25"/>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Merge w:val="restart"/>
            <w:vAlign w:val="center"/>
          </w:tcPr>
          <w:p w:rsidR="00C223F5" w:rsidRDefault="005860D5">
            <w:pPr>
              <w:contextualSpacing/>
              <w:jc w:val="center"/>
              <w:rPr>
                <w:szCs w:val="21"/>
              </w:rPr>
            </w:pPr>
            <w:r>
              <w:rPr>
                <w:szCs w:val="21"/>
              </w:rPr>
              <w:t>筛</w:t>
            </w:r>
            <w:r>
              <w:rPr>
                <w:rFonts w:hint="eastAsia"/>
                <w:szCs w:val="21"/>
              </w:rPr>
              <w:t>破</w:t>
            </w:r>
            <w:r>
              <w:rPr>
                <w:szCs w:val="21"/>
              </w:rPr>
              <w:t>车间</w:t>
            </w:r>
          </w:p>
        </w:tc>
        <w:tc>
          <w:tcPr>
            <w:tcW w:w="4747" w:type="dxa"/>
            <w:vAlign w:val="center"/>
          </w:tcPr>
          <w:p w:rsidR="00C223F5" w:rsidRDefault="005860D5">
            <w:pPr>
              <w:contextualSpacing/>
              <w:rPr>
                <w:szCs w:val="21"/>
              </w:rPr>
            </w:pPr>
            <w:r>
              <w:rPr>
                <w:rFonts w:hint="eastAsia"/>
                <w:szCs w:val="21"/>
              </w:rPr>
              <w:t>集尘罩</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rFonts w:hint="eastAsia"/>
                <w:szCs w:val="21"/>
              </w:rPr>
              <w:t>2</w:t>
            </w:r>
          </w:p>
        </w:tc>
        <w:tc>
          <w:tcPr>
            <w:tcW w:w="575" w:type="dxa"/>
            <w:vAlign w:val="center"/>
          </w:tcPr>
          <w:p w:rsidR="00C223F5" w:rsidRDefault="005860D5">
            <w:pPr>
              <w:contextualSpacing/>
              <w:jc w:val="center"/>
              <w:rPr>
                <w:szCs w:val="21"/>
              </w:rPr>
            </w:pPr>
            <w:r>
              <w:rPr>
                <w:rFonts w:hint="eastAsia"/>
                <w:szCs w:val="21"/>
              </w:rPr>
              <w:t>6</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Merge/>
            <w:vAlign w:val="center"/>
          </w:tcPr>
          <w:p w:rsidR="00C223F5" w:rsidRDefault="00C223F5">
            <w:pPr>
              <w:contextualSpacing/>
              <w:jc w:val="center"/>
              <w:rPr>
                <w:szCs w:val="21"/>
              </w:rPr>
            </w:pPr>
          </w:p>
        </w:tc>
        <w:tc>
          <w:tcPr>
            <w:tcW w:w="4747" w:type="dxa"/>
            <w:vAlign w:val="center"/>
          </w:tcPr>
          <w:p w:rsidR="00C223F5" w:rsidRDefault="005860D5">
            <w:pPr>
              <w:contextualSpacing/>
              <w:rPr>
                <w:b/>
                <w:szCs w:val="21"/>
              </w:rPr>
            </w:pPr>
            <w:r>
              <w:rPr>
                <w:rFonts w:eastAsiaTheme="minorEastAsia" w:hAnsiTheme="minorEastAsia" w:hint="eastAsia"/>
                <w:szCs w:val="21"/>
              </w:rPr>
              <w:t>微米级干雾抑尘装置</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szCs w:val="21"/>
              </w:rPr>
              <w:t>1</w:t>
            </w:r>
          </w:p>
        </w:tc>
        <w:tc>
          <w:tcPr>
            <w:tcW w:w="575" w:type="dxa"/>
            <w:vAlign w:val="center"/>
          </w:tcPr>
          <w:p w:rsidR="00C223F5" w:rsidRDefault="005860D5">
            <w:pPr>
              <w:contextualSpacing/>
              <w:jc w:val="center"/>
              <w:rPr>
                <w:szCs w:val="21"/>
              </w:rPr>
            </w:pPr>
            <w:r>
              <w:rPr>
                <w:rFonts w:hint="eastAsia"/>
                <w:szCs w:val="21"/>
              </w:rPr>
              <w:t>26</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Align w:val="center"/>
          </w:tcPr>
          <w:p w:rsidR="00C223F5" w:rsidRDefault="005860D5">
            <w:pPr>
              <w:contextualSpacing/>
              <w:jc w:val="center"/>
              <w:rPr>
                <w:szCs w:val="21"/>
              </w:rPr>
            </w:pPr>
            <w:r>
              <w:rPr>
                <w:szCs w:val="21"/>
              </w:rPr>
              <w:t>主厂房</w:t>
            </w:r>
          </w:p>
        </w:tc>
        <w:tc>
          <w:tcPr>
            <w:tcW w:w="4747" w:type="dxa"/>
            <w:vAlign w:val="center"/>
          </w:tcPr>
          <w:p w:rsidR="00C223F5" w:rsidRDefault="005860D5">
            <w:pPr>
              <w:contextualSpacing/>
              <w:rPr>
                <w:szCs w:val="21"/>
              </w:rPr>
            </w:pPr>
            <w:r>
              <w:rPr>
                <w:rFonts w:eastAsiaTheme="minorEastAsia" w:hAnsiTheme="minorEastAsia" w:hint="eastAsia"/>
                <w:szCs w:val="21"/>
              </w:rPr>
              <w:t>微米级干雾抑尘装置</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szCs w:val="21"/>
              </w:rPr>
              <w:t>1</w:t>
            </w:r>
          </w:p>
        </w:tc>
        <w:tc>
          <w:tcPr>
            <w:tcW w:w="575" w:type="dxa"/>
            <w:vAlign w:val="center"/>
          </w:tcPr>
          <w:p w:rsidR="00C223F5" w:rsidRDefault="005860D5">
            <w:pPr>
              <w:contextualSpacing/>
              <w:jc w:val="center"/>
              <w:rPr>
                <w:szCs w:val="21"/>
              </w:rPr>
            </w:pPr>
            <w:r>
              <w:rPr>
                <w:rFonts w:hint="eastAsia"/>
                <w:szCs w:val="21"/>
              </w:rPr>
              <w:t>26</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Align w:val="center"/>
          </w:tcPr>
          <w:p w:rsidR="00C223F5" w:rsidRDefault="005860D5">
            <w:pPr>
              <w:contextualSpacing/>
              <w:jc w:val="center"/>
              <w:rPr>
                <w:szCs w:val="21"/>
              </w:rPr>
            </w:pPr>
            <w:r>
              <w:rPr>
                <w:rFonts w:hint="eastAsia"/>
                <w:szCs w:val="21"/>
              </w:rPr>
              <w:t>储煤系统</w:t>
            </w:r>
          </w:p>
        </w:tc>
        <w:tc>
          <w:tcPr>
            <w:tcW w:w="4747" w:type="dxa"/>
            <w:vAlign w:val="center"/>
          </w:tcPr>
          <w:p w:rsidR="00C223F5" w:rsidRDefault="005860D5">
            <w:pPr>
              <w:contextualSpacing/>
              <w:rPr>
                <w:szCs w:val="21"/>
              </w:rPr>
            </w:pPr>
            <w:r>
              <w:rPr>
                <w:rFonts w:hint="eastAsia"/>
                <w:szCs w:val="21"/>
              </w:rPr>
              <w:t>原煤仓、产品仓、矸石仓设干</w:t>
            </w:r>
            <w:r>
              <w:rPr>
                <w:szCs w:val="21"/>
              </w:rPr>
              <w:t>雾</w:t>
            </w:r>
            <w:r>
              <w:rPr>
                <w:rFonts w:hint="eastAsia"/>
                <w:szCs w:val="21"/>
              </w:rPr>
              <w:t>抑尘喷头</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rFonts w:hint="eastAsia"/>
                <w:szCs w:val="21"/>
              </w:rPr>
              <w:t>6</w:t>
            </w:r>
          </w:p>
        </w:tc>
        <w:tc>
          <w:tcPr>
            <w:tcW w:w="575" w:type="dxa"/>
            <w:vAlign w:val="center"/>
          </w:tcPr>
          <w:p w:rsidR="00C223F5" w:rsidRDefault="005860D5">
            <w:pPr>
              <w:contextualSpacing/>
              <w:jc w:val="center"/>
              <w:rPr>
                <w:szCs w:val="21"/>
              </w:rPr>
            </w:pPr>
            <w:r>
              <w:rPr>
                <w:rFonts w:hint="eastAsia"/>
                <w:szCs w:val="21"/>
              </w:rPr>
              <w:t>3</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Align w:val="center"/>
          </w:tcPr>
          <w:p w:rsidR="00C223F5" w:rsidRDefault="005860D5">
            <w:pPr>
              <w:contextualSpacing/>
              <w:jc w:val="center"/>
              <w:rPr>
                <w:szCs w:val="21"/>
              </w:rPr>
            </w:pPr>
            <w:r>
              <w:rPr>
                <w:szCs w:val="21"/>
              </w:rPr>
              <w:t>场地及道路抑尘</w:t>
            </w:r>
          </w:p>
        </w:tc>
        <w:tc>
          <w:tcPr>
            <w:tcW w:w="4747" w:type="dxa"/>
            <w:vAlign w:val="center"/>
          </w:tcPr>
          <w:p w:rsidR="00C223F5" w:rsidRDefault="005860D5">
            <w:pPr>
              <w:contextualSpacing/>
              <w:rPr>
                <w:szCs w:val="21"/>
              </w:rPr>
            </w:pPr>
            <w:r>
              <w:rPr>
                <w:szCs w:val="21"/>
              </w:rPr>
              <w:t>洒水车辆</w:t>
            </w:r>
          </w:p>
        </w:tc>
        <w:tc>
          <w:tcPr>
            <w:tcW w:w="600" w:type="dxa"/>
            <w:vAlign w:val="center"/>
          </w:tcPr>
          <w:p w:rsidR="00C223F5" w:rsidRDefault="005860D5">
            <w:pPr>
              <w:contextualSpacing/>
              <w:jc w:val="center"/>
              <w:rPr>
                <w:szCs w:val="21"/>
              </w:rPr>
            </w:pPr>
            <w:r>
              <w:rPr>
                <w:szCs w:val="21"/>
              </w:rPr>
              <w:t>辆</w:t>
            </w:r>
          </w:p>
        </w:tc>
        <w:tc>
          <w:tcPr>
            <w:tcW w:w="600" w:type="dxa"/>
            <w:vAlign w:val="center"/>
          </w:tcPr>
          <w:p w:rsidR="00C223F5" w:rsidRDefault="005860D5">
            <w:pPr>
              <w:contextualSpacing/>
              <w:jc w:val="center"/>
              <w:rPr>
                <w:szCs w:val="21"/>
              </w:rPr>
            </w:pPr>
            <w:r>
              <w:rPr>
                <w:szCs w:val="21"/>
              </w:rPr>
              <w:t>1</w:t>
            </w:r>
          </w:p>
        </w:tc>
        <w:tc>
          <w:tcPr>
            <w:tcW w:w="575" w:type="dxa"/>
            <w:vAlign w:val="center"/>
          </w:tcPr>
          <w:p w:rsidR="00C223F5" w:rsidRDefault="005860D5">
            <w:pPr>
              <w:contextualSpacing/>
              <w:jc w:val="center"/>
              <w:rPr>
                <w:szCs w:val="21"/>
              </w:rPr>
            </w:pPr>
            <w:r>
              <w:rPr>
                <w:szCs w:val="21"/>
              </w:rPr>
              <w:t>15</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trHeight w:val="321"/>
          <w:jc w:val="center"/>
        </w:trPr>
        <w:tc>
          <w:tcPr>
            <w:tcW w:w="673" w:type="dxa"/>
            <w:vMerge/>
            <w:vAlign w:val="center"/>
          </w:tcPr>
          <w:p w:rsidR="00C223F5" w:rsidRDefault="00C223F5">
            <w:pPr>
              <w:contextualSpacing/>
              <w:jc w:val="center"/>
              <w:rPr>
                <w:szCs w:val="21"/>
              </w:rPr>
            </w:pPr>
          </w:p>
        </w:tc>
        <w:tc>
          <w:tcPr>
            <w:tcW w:w="346" w:type="dxa"/>
            <w:vMerge w:val="restart"/>
            <w:vAlign w:val="center"/>
          </w:tcPr>
          <w:p w:rsidR="00C223F5" w:rsidRDefault="005860D5">
            <w:pPr>
              <w:contextualSpacing/>
              <w:jc w:val="center"/>
              <w:rPr>
                <w:szCs w:val="21"/>
              </w:rPr>
            </w:pPr>
            <w:r>
              <w:rPr>
                <w:rFonts w:hint="eastAsia"/>
                <w:szCs w:val="21"/>
              </w:rPr>
              <w:t>2</w:t>
            </w:r>
          </w:p>
        </w:tc>
        <w:tc>
          <w:tcPr>
            <w:tcW w:w="346" w:type="dxa"/>
            <w:vMerge w:val="restart"/>
            <w:vAlign w:val="center"/>
          </w:tcPr>
          <w:p w:rsidR="00C223F5" w:rsidRDefault="005860D5">
            <w:pPr>
              <w:contextualSpacing/>
              <w:jc w:val="center"/>
              <w:rPr>
                <w:szCs w:val="21"/>
              </w:rPr>
            </w:pPr>
            <w:r>
              <w:rPr>
                <w:szCs w:val="21"/>
              </w:rPr>
              <w:t>污废水</w:t>
            </w:r>
          </w:p>
        </w:tc>
        <w:tc>
          <w:tcPr>
            <w:tcW w:w="1902" w:type="dxa"/>
            <w:vAlign w:val="center"/>
          </w:tcPr>
          <w:p w:rsidR="00C223F5" w:rsidRDefault="005860D5">
            <w:pPr>
              <w:contextualSpacing/>
              <w:jc w:val="center"/>
              <w:rPr>
                <w:szCs w:val="21"/>
              </w:rPr>
            </w:pPr>
            <w:r>
              <w:rPr>
                <w:szCs w:val="21"/>
              </w:rPr>
              <w:t>生活污水处理站</w:t>
            </w:r>
          </w:p>
        </w:tc>
        <w:tc>
          <w:tcPr>
            <w:tcW w:w="4747" w:type="dxa"/>
            <w:vAlign w:val="center"/>
          </w:tcPr>
          <w:p w:rsidR="00C223F5" w:rsidRDefault="005860D5">
            <w:pPr>
              <w:contextualSpacing/>
              <w:rPr>
                <w:szCs w:val="21"/>
              </w:rPr>
            </w:pPr>
            <w:r>
              <w:rPr>
                <w:szCs w:val="21"/>
              </w:rPr>
              <w:t>二级生化污水处理设备</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szCs w:val="21"/>
              </w:rPr>
              <w:t>1</w:t>
            </w:r>
          </w:p>
        </w:tc>
        <w:tc>
          <w:tcPr>
            <w:tcW w:w="575" w:type="dxa"/>
            <w:vAlign w:val="center"/>
          </w:tcPr>
          <w:p w:rsidR="00C223F5" w:rsidRDefault="005860D5">
            <w:pPr>
              <w:pStyle w:val="xl48"/>
              <w:widowControl w:val="0"/>
              <w:pBdr>
                <w:bottom w:val="none" w:sz="0" w:space="0" w:color="auto"/>
                <w:right w:val="none" w:sz="0" w:space="0" w:color="auto"/>
              </w:pBdr>
              <w:spacing w:before="0" w:beforeAutospacing="0" w:after="0" w:afterAutospacing="0"/>
              <w:contextualSpacing/>
              <w:rPr>
                <w:rFonts w:ascii="Times New Roman" w:hAnsi="Times New Roman"/>
                <w:kern w:val="2"/>
              </w:rPr>
            </w:pPr>
            <w:r>
              <w:rPr>
                <w:rFonts w:ascii="Times New Roman" w:hAnsi="Times New Roman" w:hint="eastAsia"/>
                <w:kern w:val="2"/>
              </w:rPr>
              <w:t>168</w:t>
            </w:r>
          </w:p>
        </w:tc>
        <w:tc>
          <w:tcPr>
            <w:tcW w:w="707" w:type="dxa"/>
            <w:vMerge w:val="restart"/>
            <w:vAlign w:val="center"/>
          </w:tcPr>
          <w:p w:rsidR="00C223F5" w:rsidRDefault="000F32AE">
            <w:pPr>
              <w:pStyle w:val="xl48"/>
              <w:widowControl w:val="0"/>
              <w:pBdr>
                <w:bottom w:val="none" w:sz="0" w:space="0" w:color="auto"/>
                <w:right w:val="none" w:sz="0" w:space="0" w:color="auto"/>
              </w:pBdr>
              <w:spacing w:before="0" w:beforeAutospacing="0" w:after="0" w:afterAutospacing="0"/>
              <w:contextualSpacing/>
              <w:rPr>
                <w:rFonts w:ascii="Times New Roman" w:hAnsi="Times New Roman"/>
                <w:color w:val="FF0000"/>
                <w:kern w:val="2"/>
              </w:rPr>
            </w:pPr>
            <w:r>
              <w:rPr>
                <w:rFonts w:ascii="Times New Roman" w:hAnsi="Times New Roman"/>
              </w:rPr>
              <w:fldChar w:fldCharType="begin"/>
            </w:r>
            <w:r w:rsidR="005860D5">
              <w:rPr>
                <w:rFonts w:ascii="Times New Roman" w:hAnsi="Times New Roman"/>
              </w:rPr>
              <w:instrText xml:space="preserve"> =SUM(ABOVE) </w:instrText>
            </w:r>
            <w:r>
              <w:rPr>
                <w:rFonts w:ascii="Times New Roman" w:hAnsi="Times New Roman"/>
              </w:rPr>
              <w:fldChar w:fldCharType="separate"/>
            </w:r>
            <w:r w:rsidR="005860D5">
              <w:rPr>
                <w:rFonts w:ascii="Times New Roman" w:hAnsi="Times New Roman"/>
              </w:rPr>
              <w:t>908</w:t>
            </w:r>
            <w:r>
              <w:rPr>
                <w:rFonts w:ascii="Times New Roman" w:hAnsi="Times New Roman"/>
              </w:rPr>
              <w:fldChar w:fldCharType="end"/>
            </w:r>
          </w:p>
        </w:tc>
        <w:tc>
          <w:tcPr>
            <w:tcW w:w="1001" w:type="dxa"/>
            <w:vMerge w:val="restart"/>
            <w:vAlign w:val="center"/>
          </w:tcPr>
          <w:p w:rsidR="00C223F5" w:rsidRDefault="005860D5">
            <w:pPr>
              <w:contextualSpacing/>
              <w:jc w:val="center"/>
              <w:rPr>
                <w:color w:val="000000"/>
                <w:szCs w:val="21"/>
              </w:rPr>
            </w:pPr>
            <w:r>
              <w:rPr>
                <w:color w:val="000000"/>
                <w:szCs w:val="21"/>
              </w:rPr>
              <w:t>项目建设</w:t>
            </w:r>
          </w:p>
          <w:p w:rsidR="00C223F5" w:rsidRDefault="005860D5">
            <w:pPr>
              <w:contextualSpacing/>
              <w:jc w:val="center"/>
              <w:rPr>
                <w:color w:val="FF0000"/>
                <w:szCs w:val="21"/>
              </w:rPr>
            </w:pPr>
            <w:r>
              <w:rPr>
                <w:color w:val="000000"/>
                <w:szCs w:val="21"/>
              </w:rPr>
              <w:t>投资</w:t>
            </w:r>
          </w:p>
        </w:tc>
        <w:tc>
          <w:tcPr>
            <w:tcW w:w="1495" w:type="dxa"/>
            <w:vMerge w:val="restart"/>
            <w:vAlign w:val="center"/>
          </w:tcPr>
          <w:p w:rsidR="00C223F5" w:rsidRDefault="005860D5">
            <w:pPr>
              <w:contextualSpacing/>
              <w:jc w:val="center"/>
              <w:rPr>
                <w:color w:val="FF0000"/>
                <w:szCs w:val="21"/>
              </w:rPr>
            </w:pPr>
            <w:r>
              <w:rPr>
                <w:color w:val="000000"/>
                <w:szCs w:val="21"/>
              </w:rPr>
              <w:t>20</w:t>
            </w:r>
            <w:r>
              <w:rPr>
                <w:rFonts w:hint="eastAsia"/>
                <w:color w:val="000000"/>
                <w:szCs w:val="21"/>
              </w:rPr>
              <w:t>19</w:t>
            </w:r>
            <w:r>
              <w:rPr>
                <w:color w:val="000000"/>
                <w:szCs w:val="21"/>
              </w:rPr>
              <w:t>.</w:t>
            </w:r>
            <w:r>
              <w:rPr>
                <w:rFonts w:hint="eastAsia"/>
                <w:color w:val="000000"/>
                <w:szCs w:val="21"/>
              </w:rPr>
              <w:t>8</w:t>
            </w:r>
            <w:r>
              <w:rPr>
                <w:color w:val="000000"/>
                <w:szCs w:val="21"/>
              </w:rPr>
              <w:t>～</w:t>
            </w:r>
            <w:r>
              <w:rPr>
                <w:rFonts w:hint="eastAsia"/>
                <w:color w:val="000000"/>
                <w:szCs w:val="21"/>
              </w:rPr>
              <w:t>2020.4</w:t>
            </w:r>
          </w:p>
        </w:tc>
        <w:tc>
          <w:tcPr>
            <w:tcW w:w="940" w:type="dxa"/>
            <w:vMerge/>
            <w:vAlign w:val="center"/>
          </w:tcPr>
          <w:p w:rsidR="00C223F5" w:rsidRDefault="00C223F5">
            <w:pPr>
              <w:contextualSpacing/>
              <w:jc w:val="center"/>
              <w:rPr>
                <w:color w:val="FF0000"/>
                <w:szCs w:val="21"/>
              </w:rPr>
            </w:pPr>
          </w:p>
        </w:tc>
      </w:tr>
      <w:tr w:rsidR="00C223F5">
        <w:trPr>
          <w:cantSplit/>
          <w:trHeight w:val="321"/>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Align w:val="center"/>
          </w:tcPr>
          <w:p w:rsidR="00C223F5" w:rsidRDefault="005860D5">
            <w:pPr>
              <w:contextualSpacing/>
              <w:jc w:val="center"/>
              <w:rPr>
                <w:szCs w:val="21"/>
              </w:rPr>
            </w:pPr>
            <w:r>
              <w:rPr>
                <w:szCs w:val="21"/>
              </w:rPr>
              <w:t>矿井水</w:t>
            </w:r>
          </w:p>
        </w:tc>
        <w:tc>
          <w:tcPr>
            <w:tcW w:w="4747" w:type="dxa"/>
            <w:vAlign w:val="center"/>
          </w:tcPr>
          <w:p w:rsidR="00C223F5" w:rsidRDefault="005860D5">
            <w:pPr>
              <w:contextualSpacing/>
              <w:rPr>
                <w:szCs w:val="21"/>
              </w:rPr>
            </w:pPr>
            <w:r>
              <w:rPr>
                <w:szCs w:val="21"/>
              </w:rPr>
              <w:t>矿井水处理站</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szCs w:val="21"/>
              </w:rPr>
              <w:t>1</w:t>
            </w:r>
          </w:p>
        </w:tc>
        <w:tc>
          <w:tcPr>
            <w:tcW w:w="575" w:type="dxa"/>
            <w:vAlign w:val="center"/>
          </w:tcPr>
          <w:p w:rsidR="00C223F5" w:rsidRDefault="005860D5">
            <w:pPr>
              <w:contextualSpacing/>
              <w:jc w:val="center"/>
              <w:rPr>
                <w:szCs w:val="21"/>
              </w:rPr>
            </w:pPr>
            <w:r>
              <w:rPr>
                <w:rFonts w:hint="eastAsia"/>
                <w:szCs w:val="21"/>
              </w:rPr>
              <w:t>72</w:t>
            </w:r>
            <w:r>
              <w:rPr>
                <w:szCs w:val="21"/>
              </w:rPr>
              <w:t>0</w:t>
            </w:r>
          </w:p>
        </w:tc>
        <w:tc>
          <w:tcPr>
            <w:tcW w:w="707" w:type="dxa"/>
            <w:vMerge/>
            <w:vAlign w:val="center"/>
          </w:tcPr>
          <w:p w:rsidR="00C223F5" w:rsidRDefault="00C223F5">
            <w:pPr>
              <w:pStyle w:val="xl48"/>
              <w:widowControl w:val="0"/>
              <w:pBdr>
                <w:bottom w:val="none" w:sz="0" w:space="0" w:color="auto"/>
                <w:right w:val="none" w:sz="0" w:space="0" w:color="auto"/>
              </w:pBdr>
              <w:spacing w:before="0" w:beforeAutospacing="0" w:after="0" w:afterAutospacing="0"/>
              <w:contextualSpacing/>
              <w:rPr>
                <w:rFonts w:ascii="Times New Roman" w:hAnsi="Times New Roman"/>
                <w:color w:val="FF0000"/>
                <w:kern w:val="2"/>
              </w:rPr>
            </w:pPr>
          </w:p>
        </w:tc>
        <w:tc>
          <w:tcPr>
            <w:tcW w:w="1001" w:type="dxa"/>
            <w:vMerge/>
            <w:vAlign w:val="center"/>
          </w:tcPr>
          <w:p w:rsidR="00C223F5" w:rsidRDefault="00C223F5">
            <w:pPr>
              <w:pStyle w:val="xl48"/>
              <w:widowControl w:val="0"/>
              <w:pBdr>
                <w:bottom w:val="none" w:sz="0" w:space="0" w:color="auto"/>
                <w:right w:val="none" w:sz="0" w:space="0" w:color="auto"/>
              </w:pBdr>
              <w:spacing w:before="0" w:beforeAutospacing="0" w:after="0" w:afterAutospacing="0"/>
              <w:contextualSpacing/>
              <w:rPr>
                <w:rFonts w:ascii="Times New Roman" w:hAnsi="Times New Roman"/>
                <w:color w:val="FF0000"/>
                <w:kern w:val="2"/>
              </w:rPr>
            </w:pPr>
          </w:p>
        </w:tc>
        <w:tc>
          <w:tcPr>
            <w:tcW w:w="1495" w:type="dxa"/>
            <w:vMerge/>
            <w:vAlign w:val="center"/>
          </w:tcPr>
          <w:p w:rsidR="00C223F5" w:rsidRDefault="00C223F5">
            <w:pPr>
              <w:pStyle w:val="xl48"/>
              <w:widowControl w:val="0"/>
              <w:pBdr>
                <w:bottom w:val="none" w:sz="0" w:space="0" w:color="auto"/>
                <w:right w:val="none" w:sz="0" w:space="0" w:color="auto"/>
              </w:pBdr>
              <w:spacing w:before="0" w:beforeAutospacing="0" w:after="0" w:afterAutospacing="0"/>
              <w:contextualSpacing/>
              <w:rPr>
                <w:rFonts w:ascii="Times New Roman" w:hAnsi="Times New Roman"/>
                <w:color w:val="FF0000"/>
                <w:kern w:val="2"/>
              </w:rPr>
            </w:pPr>
          </w:p>
        </w:tc>
        <w:tc>
          <w:tcPr>
            <w:tcW w:w="940" w:type="dxa"/>
            <w:vMerge/>
            <w:vAlign w:val="center"/>
          </w:tcPr>
          <w:p w:rsidR="00C223F5" w:rsidRDefault="00C223F5">
            <w:pPr>
              <w:pStyle w:val="xl48"/>
              <w:widowControl w:val="0"/>
              <w:pBdr>
                <w:bottom w:val="none" w:sz="0" w:space="0" w:color="auto"/>
                <w:right w:val="none" w:sz="0" w:space="0" w:color="auto"/>
              </w:pBdr>
              <w:spacing w:before="0" w:beforeAutospacing="0" w:after="0" w:afterAutospacing="0"/>
              <w:contextualSpacing/>
              <w:rPr>
                <w:rFonts w:ascii="Times New Roman" w:hAnsi="Times New Roman"/>
                <w:color w:val="FF0000"/>
                <w:kern w:val="2"/>
              </w:rPr>
            </w:pPr>
          </w:p>
        </w:tc>
      </w:tr>
      <w:tr w:rsidR="00C223F5">
        <w:trPr>
          <w:cantSplit/>
          <w:trHeight w:val="283"/>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Align w:val="center"/>
          </w:tcPr>
          <w:p w:rsidR="00C223F5" w:rsidRDefault="005860D5">
            <w:pPr>
              <w:contextualSpacing/>
              <w:jc w:val="center"/>
              <w:rPr>
                <w:szCs w:val="21"/>
              </w:rPr>
            </w:pPr>
            <w:r>
              <w:rPr>
                <w:szCs w:val="21"/>
              </w:rPr>
              <w:t>雨水等</w:t>
            </w:r>
          </w:p>
        </w:tc>
        <w:tc>
          <w:tcPr>
            <w:tcW w:w="4747" w:type="dxa"/>
            <w:vAlign w:val="center"/>
          </w:tcPr>
          <w:p w:rsidR="00C223F5" w:rsidRDefault="005860D5">
            <w:pPr>
              <w:contextualSpacing/>
              <w:rPr>
                <w:szCs w:val="21"/>
              </w:rPr>
            </w:pPr>
            <w:r>
              <w:rPr>
                <w:szCs w:val="21"/>
              </w:rPr>
              <w:t>初期雨水收集池</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szCs w:val="21"/>
              </w:rPr>
              <w:t>1</w:t>
            </w:r>
          </w:p>
        </w:tc>
        <w:tc>
          <w:tcPr>
            <w:tcW w:w="575" w:type="dxa"/>
            <w:vAlign w:val="center"/>
          </w:tcPr>
          <w:p w:rsidR="00C223F5" w:rsidRDefault="005860D5">
            <w:pPr>
              <w:contextualSpacing/>
              <w:jc w:val="center"/>
              <w:rPr>
                <w:szCs w:val="21"/>
              </w:rPr>
            </w:pPr>
            <w:r>
              <w:rPr>
                <w:rFonts w:hint="eastAsia"/>
                <w:szCs w:val="21"/>
              </w:rPr>
              <w:t>20</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trHeight w:val="25"/>
          <w:jc w:val="center"/>
        </w:trPr>
        <w:tc>
          <w:tcPr>
            <w:tcW w:w="673" w:type="dxa"/>
            <w:vMerge/>
            <w:vAlign w:val="center"/>
          </w:tcPr>
          <w:p w:rsidR="00C223F5" w:rsidRDefault="00C223F5">
            <w:pPr>
              <w:contextualSpacing/>
              <w:jc w:val="center"/>
              <w:rPr>
                <w:szCs w:val="21"/>
              </w:rPr>
            </w:pPr>
          </w:p>
        </w:tc>
        <w:tc>
          <w:tcPr>
            <w:tcW w:w="346" w:type="dxa"/>
            <w:vMerge w:val="restart"/>
            <w:vAlign w:val="center"/>
          </w:tcPr>
          <w:p w:rsidR="00C223F5" w:rsidRDefault="005860D5">
            <w:pPr>
              <w:contextualSpacing/>
              <w:jc w:val="center"/>
              <w:rPr>
                <w:szCs w:val="21"/>
              </w:rPr>
            </w:pPr>
            <w:r>
              <w:rPr>
                <w:rFonts w:hint="eastAsia"/>
                <w:szCs w:val="21"/>
              </w:rPr>
              <w:t>3</w:t>
            </w:r>
          </w:p>
        </w:tc>
        <w:tc>
          <w:tcPr>
            <w:tcW w:w="346" w:type="dxa"/>
            <w:vMerge w:val="restart"/>
            <w:vAlign w:val="center"/>
          </w:tcPr>
          <w:p w:rsidR="00C223F5" w:rsidRDefault="005860D5">
            <w:pPr>
              <w:contextualSpacing/>
              <w:jc w:val="center"/>
              <w:rPr>
                <w:szCs w:val="21"/>
              </w:rPr>
            </w:pPr>
            <w:r>
              <w:rPr>
                <w:szCs w:val="21"/>
              </w:rPr>
              <w:t>噪声</w:t>
            </w:r>
          </w:p>
        </w:tc>
        <w:tc>
          <w:tcPr>
            <w:tcW w:w="1902" w:type="dxa"/>
            <w:vAlign w:val="center"/>
          </w:tcPr>
          <w:p w:rsidR="00C223F5" w:rsidRDefault="005860D5">
            <w:pPr>
              <w:contextualSpacing/>
              <w:jc w:val="center"/>
              <w:rPr>
                <w:szCs w:val="21"/>
              </w:rPr>
            </w:pPr>
            <w:r>
              <w:rPr>
                <w:rFonts w:hint="eastAsia"/>
                <w:szCs w:val="21"/>
              </w:rPr>
              <w:t>驱动机房</w:t>
            </w:r>
          </w:p>
        </w:tc>
        <w:tc>
          <w:tcPr>
            <w:tcW w:w="4747" w:type="dxa"/>
            <w:vAlign w:val="center"/>
          </w:tcPr>
          <w:p w:rsidR="00C223F5" w:rsidRDefault="005860D5">
            <w:pPr>
              <w:contextualSpacing/>
              <w:rPr>
                <w:spacing w:val="-6"/>
                <w:szCs w:val="21"/>
              </w:rPr>
            </w:pPr>
            <w:r>
              <w:rPr>
                <w:spacing w:val="-6"/>
                <w:szCs w:val="21"/>
              </w:rPr>
              <w:t>驱动机设隔声罩，基础减震，隔声门窗，设隔声值班室</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rFonts w:hint="eastAsia"/>
                <w:szCs w:val="21"/>
              </w:rPr>
              <w:t>1</w:t>
            </w:r>
          </w:p>
        </w:tc>
        <w:tc>
          <w:tcPr>
            <w:tcW w:w="575" w:type="dxa"/>
            <w:vAlign w:val="center"/>
          </w:tcPr>
          <w:p w:rsidR="00C223F5" w:rsidRDefault="005860D5">
            <w:pPr>
              <w:contextualSpacing/>
              <w:jc w:val="center"/>
              <w:rPr>
                <w:szCs w:val="21"/>
              </w:rPr>
            </w:pPr>
            <w:r>
              <w:rPr>
                <w:rFonts w:hint="eastAsia"/>
                <w:szCs w:val="21"/>
              </w:rPr>
              <w:t>20</w:t>
            </w:r>
          </w:p>
        </w:tc>
        <w:tc>
          <w:tcPr>
            <w:tcW w:w="707" w:type="dxa"/>
            <w:vMerge w:val="restart"/>
            <w:vAlign w:val="center"/>
          </w:tcPr>
          <w:p w:rsidR="00C223F5" w:rsidRDefault="000F32AE">
            <w:pPr>
              <w:contextualSpacing/>
              <w:jc w:val="center"/>
              <w:rPr>
                <w:color w:val="FF0000"/>
                <w:szCs w:val="21"/>
              </w:rPr>
            </w:pPr>
            <w:r>
              <w:rPr>
                <w:szCs w:val="21"/>
              </w:rPr>
              <w:fldChar w:fldCharType="begin"/>
            </w:r>
            <w:r w:rsidR="005860D5">
              <w:rPr>
                <w:rFonts w:hint="eastAsia"/>
                <w:szCs w:val="21"/>
              </w:rPr>
              <w:instrText>=SUM(ABOVE)</w:instrText>
            </w:r>
            <w:r>
              <w:rPr>
                <w:szCs w:val="21"/>
              </w:rPr>
              <w:fldChar w:fldCharType="separate"/>
            </w:r>
            <w:r w:rsidR="005860D5">
              <w:rPr>
                <w:szCs w:val="21"/>
              </w:rPr>
              <w:t>185</w:t>
            </w:r>
            <w:r>
              <w:rPr>
                <w:szCs w:val="21"/>
              </w:rPr>
              <w:fldChar w:fldCharType="end"/>
            </w:r>
          </w:p>
        </w:tc>
        <w:tc>
          <w:tcPr>
            <w:tcW w:w="1001" w:type="dxa"/>
            <w:vMerge w:val="restart"/>
            <w:vAlign w:val="center"/>
          </w:tcPr>
          <w:p w:rsidR="00C223F5" w:rsidRDefault="005860D5">
            <w:pPr>
              <w:contextualSpacing/>
              <w:jc w:val="center"/>
              <w:rPr>
                <w:color w:val="000000"/>
                <w:szCs w:val="21"/>
              </w:rPr>
            </w:pPr>
            <w:r>
              <w:rPr>
                <w:color w:val="000000"/>
                <w:szCs w:val="21"/>
              </w:rPr>
              <w:t>项目建设</w:t>
            </w:r>
          </w:p>
          <w:p w:rsidR="00C223F5" w:rsidRDefault="005860D5">
            <w:pPr>
              <w:contextualSpacing/>
              <w:jc w:val="center"/>
              <w:rPr>
                <w:color w:val="FF0000"/>
                <w:szCs w:val="21"/>
              </w:rPr>
            </w:pPr>
            <w:r>
              <w:rPr>
                <w:color w:val="000000"/>
                <w:szCs w:val="21"/>
              </w:rPr>
              <w:t>投资</w:t>
            </w:r>
          </w:p>
        </w:tc>
        <w:tc>
          <w:tcPr>
            <w:tcW w:w="1495" w:type="dxa"/>
            <w:vMerge w:val="restart"/>
            <w:vAlign w:val="center"/>
          </w:tcPr>
          <w:p w:rsidR="00C223F5" w:rsidRDefault="005860D5">
            <w:pPr>
              <w:contextualSpacing/>
              <w:jc w:val="center"/>
              <w:rPr>
                <w:color w:val="FF0000"/>
                <w:szCs w:val="21"/>
              </w:rPr>
            </w:pPr>
            <w:r>
              <w:rPr>
                <w:color w:val="000000"/>
                <w:szCs w:val="21"/>
              </w:rPr>
              <w:t>2020.5</w:t>
            </w:r>
            <w:r>
              <w:rPr>
                <w:color w:val="000000"/>
                <w:szCs w:val="21"/>
              </w:rPr>
              <w:t>～</w:t>
            </w:r>
            <w:r>
              <w:rPr>
                <w:color w:val="000000"/>
                <w:szCs w:val="21"/>
              </w:rPr>
              <w:t>12</w:t>
            </w: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Align w:val="center"/>
          </w:tcPr>
          <w:p w:rsidR="00C223F5" w:rsidRDefault="005860D5">
            <w:pPr>
              <w:contextualSpacing/>
              <w:jc w:val="center"/>
              <w:rPr>
                <w:szCs w:val="21"/>
                <w:highlight w:val="yellow"/>
              </w:rPr>
            </w:pPr>
            <w:r>
              <w:rPr>
                <w:szCs w:val="21"/>
              </w:rPr>
              <w:t>筛</w:t>
            </w:r>
            <w:r>
              <w:rPr>
                <w:rFonts w:hint="eastAsia"/>
                <w:szCs w:val="21"/>
              </w:rPr>
              <w:t>破</w:t>
            </w:r>
            <w:r>
              <w:rPr>
                <w:szCs w:val="21"/>
              </w:rPr>
              <w:t>车间</w:t>
            </w:r>
          </w:p>
        </w:tc>
        <w:tc>
          <w:tcPr>
            <w:tcW w:w="4747" w:type="dxa"/>
            <w:vAlign w:val="center"/>
          </w:tcPr>
          <w:p w:rsidR="00C223F5" w:rsidRDefault="005860D5">
            <w:pPr>
              <w:contextualSpacing/>
              <w:rPr>
                <w:szCs w:val="21"/>
              </w:rPr>
            </w:pPr>
            <w:r>
              <w:rPr>
                <w:szCs w:val="21"/>
              </w:rPr>
              <w:t>设备基础</w:t>
            </w:r>
            <w:r>
              <w:rPr>
                <w:snapToGrid w:val="0"/>
                <w:szCs w:val="21"/>
              </w:rPr>
              <w:t>减震，</w:t>
            </w:r>
            <w:r>
              <w:rPr>
                <w:szCs w:val="21"/>
              </w:rPr>
              <w:t>设隔声值班室</w:t>
            </w:r>
            <w:r>
              <w:rPr>
                <w:rFonts w:hint="eastAsia"/>
                <w:szCs w:val="21"/>
              </w:rPr>
              <w:t>，加装专用</w:t>
            </w:r>
            <w:r>
              <w:rPr>
                <w:szCs w:val="21"/>
              </w:rPr>
              <w:t>隔声门窗</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rFonts w:hint="eastAsia"/>
                <w:szCs w:val="21"/>
              </w:rPr>
              <w:t>1</w:t>
            </w:r>
          </w:p>
        </w:tc>
        <w:tc>
          <w:tcPr>
            <w:tcW w:w="575" w:type="dxa"/>
            <w:vAlign w:val="center"/>
          </w:tcPr>
          <w:p w:rsidR="00C223F5" w:rsidRDefault="005860D5">
            <w:pPr>
              <w:contextualSpacing/>
              <w:jc w:val="center"/>
              <w:rPr>
                <w:szCs w:val="21"/>
              </w:rPr>
            </w:pPr>
            <w:r>
              <w:rPr>
                <w:rFonts w:hint="eastAsia"/>
                <w:szCs w:val="21"/>
              </w:rPr>
              <w:t>45</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Align w:val="center"/>
          </w:tcPr>
          <w:p w:rsidR="00C223F5" w:rsidRDefault="005860D5">
            <w:pPr>
              <w:contextualSpacing/>
              <w:jc w:val="center"/>
              <w:rPr>
                <w:szCs w:val="21"/>
              </w:rPr>
            </w:pPr>
            <w:r>
              <w:rPr>
                <w:szCs w:val="21"/>
              </w:rPr>
              <w:t>主厂房</w:t>
            </w:r>
          </w:p>
        </w:tc>
        <w:tc>
          <w:tcPr>
            <w:tcW w:w="4747" w:type="dxa"/>
            <w:vAlign w:val="center"/>
          </w:tcPr>
          <w:p w:rsidR="00C223F5" w:rsidRDefault="005860D5">
            <w:pPr>
              <w:contextualSpacing/>
              <w:rPr>
                <w:szCs w:val="21"/>
              </w:rPr>
            </w:pPr>
            <w:r>
              <w:rPr>
                <w:szCs w:val="21"/>
              </w:rPr>
              <w:t>设备基础</w:t>
            </w:r>
            <w:r>
              <w:rPr>
                <w:snapToGrid w:val="0"/>
                <w:szCs w:val="21"/>
              </w:rPr>
              <w:t>减震，</w:t>
            </w:r>
            <w:r>
              <w:rPr>
                <w:szCs w:val="21"/>
              </w:rPr>
              <w:t>设隔声值班室</w:t>
            </w:r>
            <w:r>
              <w:rPr>
                <w:rFonts w:hint="eastAsia"/>
                <w:szCs w:val="21"/>
              </w:rPr>
              <w:t>，加装专用</w:t>
            </w:r>
            <w:r>
              <w:rPr>
                <w:szCs w:val="21"/>
              </w:rPr>
              <w:t>隔声门窗</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rFonts w:hint="eastAsia"/>
                <w:szCs w:val="21"/>
              </w:rPr>
              <w:t>1</w:t>
            </w:r>
          </w:p>
        </w:tc>
        <w:tc>
          <w:tcPr>
            <w:tcW w:w="575" w:type="dxa"/>
            <w:vAlign w:val="center"/>
          </w:tcPr>
          <w:p w:rsidR="00C223F5" w:rsidRDefault="005860D5">
            <w:pPr>
              <w:contextualSpacing/>
              <w:jc w:val="center"/>
              <w:rPr>
                <w:szCs w:val="21"/>
              </w:rPr>
            </w:pPr>
            <w:r>
              <w:rPr>
                <w:rFonts w:hint="eastAsia"/>
                <w:szCs w:val="21"/>
              </w:rPr>
              <w:t>45</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Align w:val="center"/>
          </w:tcPr>
          <w:p w:rsidR="00C223F5" w:rsidRDefault="005860D5">
            <w:pPr>
              <w:contextualSpacing/>
              <w:jc w:val="center"/>
              <w:rPr>
                <w:szCs w:val="21"/>
              </w:rPr>
            </w:pPr>
            <w:r>
              <w:rPr>
                <w:rFonts w:hint="eastAsia"/>
              </w:rPr>
              <w:t>乏风热泵机房</w:t>
            </w:r>
          </w:p>
        </w:tc>
        <w:tc>
          <w:tcPr>
            <w:tcW w:w="4747" w:type="dxa"/>
            <w:vAlign w:val="center"/>
          </w:tcPr>
          <w:p w:rsidR="00C223F5" w:rsidRDefault="005860D5">
            <w:pPr>
              <w:contextualSpacing/>
              <w:rPr>
                <w:szCs w:val="21"/>
              </w:rPr>
            </w:pPr>
            <w:r>
              <w:rPr>
                <w:rFonts w:hint="eastAsia"/>
                <w:szCs w:val="21"/>
              </w:rPr>
              <w:t>设备减震、隔声门窗、</w:t>
            </w:r>
            <w:r>
              <w:rPr>
                <w:szCs w:val="21"/>
              </w:rPr>
              <w:t>安装</w:t>
            </w:r>
            <w:r>
              <w:rPr>
                <w:rFonts w:hint="eastAsia"/>
                <w:szCs w:val="21"/>
              </w:rPr>
              <w:t>隔声罩</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rFonts w:hint="eastAsia"/>
                <w:szCs w:val="21"/>
              </w:rPr>
              <w:t>7</w:t>
            </w:r>
          </w:p>
        </w:tc>
        <w:tc>
          <w:tcPr>
            <w:tcW w:w="575" w:type="dxa"/>
            <w:vAlign w:val="center"/>
          </w:tcPr>
          <w:p w:rsidR="00C223F5" w:rsidRDefault="005860D5">
            <w:pPr>
              <w:contextualSpacing/>
              <w:jc w:val="center"/>
              <w:rPr>
                <w:szCs w:val="21"/>
              </w:rPr>
            </w:pPr>
            <w:r>
              <w:rPr>
                <w:rFonts w:hint="eastAsia"/>
                <w:szCs w:val="21"/>
              </w:rPr>
              <w:t>20</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Align w:val="center"/>
          </w:tcPr>
          <w:p w:rsidR="00C223F5" w:rsidRDefault="005860D5">
            <w:pPr>
              <w:contextualSpacing/>
              <w:jc w:val="center"/>
              <w:rPr>
                <w:szCs w:val="21"/>
              </w:rPr>
            </w:pPr>
            <w:r>
              <w:rPr>
                <w:szCs w:val="21"/>
              </w:rPr>
              <w:t>通风</w:t>
            </w:r>
            <w:r>
              <w:rPr>
                <w:rFonts w:hint="eastAsia"/>
                <w:szCs w:val="21"/>
              </w:rPr>
              <w:t>机房</w:t>
            </w:r>
          </w:p>
        </w:tc>
        <w:tc>
          <w:tcPr>
            <w:tcW w:w="4747" w:type="dxa"/>
            <w:vAlign w:val="center"/>
          </w:tcPr>
          <w:p w:rsidR="00C223F5" w:rsidRDefault="005860D5">
            <w:pPr>
              <w:contextualSpacing/>
              <w:rPr>
                <w:szCs w:val="21"/>
              </w:rPr>
            </w:pPr>
            <w:r>
              <w:rPr>
                <w:szCs w:val="21"/>
              </w:rPr>
              <w:t>通风机设消声器，设备基础减震</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rFonts w:hint="eastAsia"/>
                <w:szCs w:val="21"/>
              </w:rPr>
              <w:t>2</w:t>
            </w:r>
          </w:p>
        </w:tc>
        <w:tc>
          <w:tcPr>
            <w:tcW w:w="575" w:type="dxa"/>
            <w:vAlign w:val="center"/>
          </w:tcPr>
          <w:p w:rsidR="00C223F5" w:rsidRDefault="005860D5">
            <w:pPr>
              <w:contextualSpacing/>
              <w:jc w:val="center"/>
              <w:rPr>
                <w:szCs w:val="21"/>
              </w:rPr>
            </w:pPr>
            <w:r>
              <w:rPr>
                <w:rFonts w:hint="eastAsia"/>
                <w:szCs w:val="21"/>
              </w:rPr>
              <w:t>14</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Align w:val="center"/>
          </w:tcPr>
          <w:p w:rsidR="00C223F5" w:rsidRDefault="005860D5">
            <w:pPr>
              <w:contextualSpacing/>
              <w:jc w:val="center"/>
              <w:rPr>
                <w:szCs w:val="21"/>
              </w:rPr>
            </w:pPr>
            <w:r>
              <w:rPr>
                <w:rFonts w:hint="eastAsia"/>
              </w:rPr>
              <w:t>压缩空气站</w:t>
            </w:r>
          </w:p>
        </w:tc>
        <w:tc>
          <w:tcPr>
            <w:tcW w:w="4747" w:type="dxa"/>
            <w:vAlign w:val="center"/>
          </w:tcPr>
          <w:p w:rsidR="00C223F5" w:rsidRDefault="005860D5">
            <w:pPr>
              <w:contextualSpacing/>
              <w:rPr>
                <w:szCs w:val="21"/>
              </w:rPr>
            </w:pPr>
            <w:r>
              <w:rPr>
                <w:rFonts w:hint="eastAsia"/>
                <w:szCs w:val="21"/>
              </w:rPr>
              <w:t>压风机进风口设阻抗复合消声器，设隔声值班室、隔声门窗、</w:t>
            </w:r>
            <w:r>
              <w:rPr>
                <w:szCs w:val="21"/>
              </w:rPr>
              <w:t>空压机设置</w:t>
            </w:r>
            <w:r>
              <w:rPr>
                <w:rFonts w:hint="eastAsia"/>
                <w:szCs w:val="21"/>
              </w:rPr>
              <w:t>隔声罩</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rFonts w:hint="eastAsia"/>
                <w:szCs w:val="21"/>
              </w:rPr>
              <w:t>4</w:t>
            </w:r>
          </w:p>
        </w:tc>
        <w:tc>
          <w:tcPr>
            <w:tcW w:w="575" w:type="dxa"/>
            <w:vAlign w:val="center"/>
          </w:tcPr>
          <w:p w:rsidR="00C223F5" w:rsidRDefault="005860D5">
            <w:pPr>
              <w:contextualSpacing/>
              <w:jc w:val="center"/>
              <w:rPr>
                <w:szCs w:val="21"/>
              </w:rPr>
            </w:pPr>
            <w:r>
              <w:rPr>
                <w:rFonts w:hint="eastAsia"/>
                <w:szCs w:val="21"/>
              </w:rPr>
              <w:t>32</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Align w:val="center"/>
          </w:tcPr>
          <w:p w:rsidR="00C223F5" w:rsidRDefault="005860D5">
            <w:pPr>
              <w:contextualSpacing/>
              <w:jc w:val="center"/>
              <w:rPr>
                <w:szCs w:val="21"/>
              </w:rPr>
            </w:pPr>
            <w:r>
              <w:rPr>
                <w:szCs w:val="21"/>
              </w:rPr>
              <w:t>黄泥灌浆站</w:t>
            </w:r>
          </w:p>
        </w:tc>
        <w:tc>
          <w:tcPr>
            <w:tcW w:w="4747" w:type="dxa"/>
            <w:vAlign w:val="center"/>
          </w:tcPr>
          <w:p w:rsidR="00C223F5" w:rsidRDefault="005860D5">
            <w:pPr>
              <w:contextualSpacing/>
              <w:rPr>
                <w:szCs w:val="21"/>
              </w:rPr>
            </w:pPr>
            <w:r>
              <w:rPr>
                <w:szCs w:val="21"/>
              </w:rPr>
              <w:t>设备基础减震处理</w:t>
            </w:r>
            <w:r>
              <w:rPr>
                <w:rFonts w:hint="eastAsia"/>
                <w:szCs w:val="21"/>
              </w:rPr>
              <w:t>、隔声门窗</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rFonts w:hint="eastAsia"/>
                <w:szCs w:val="21"/>
              </w:rPr>
              <w:t>1</w:t>
            </w:r>
          </w:p>
        </w:tc>
        <w:tc>
          <w:tcPr>
            <w:tcW w:w="575" w:type="dxa"/>
            <w:vAlign w:val="center"/>
          </w:tcPr>
          <w:p w:rsidR="00C223F5" w:rsidRDefault="005860D5">
            <w:pPr>
              <w:contextualSpacing/>
              <w:jc w:val="center"/>
              <w:rPr>
                <w:szCs w:val="21"/>
              </w:rPr>
            </w:pPr>
            <w:r>
              <w:rPr>
                <w:rFonts w:hint="eastAsia"/>
                <w:szCs w:val="21"/>
              </w:rPr>
              <w:t>6</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346" w:type="dxa"/>
            <w:vMerge/>
            <w:vAlign w:val="center"/>
          </w:tcPr>
          <w:p w:rsidR="00C223F5" w:rsidRDefault="00C223F5">
            <w:pPr>
              <w:contextualSpacing/>
              <w:jc w:val="center"/>
              <w:rPr>
                <w:szCs w:val="21"/>
              </w:rPr>
            </w:pPr>
          </w:p>
        </w:tc>
        <w:tc>
          <w:tcPr>
            <w:tcW w:w="1902" w:type="dxa"/>
            <w:vAlign w:val="center"/>
          </w:tcPr>
          <w:p w:rsidR="00C223F5" w:rsidRDefault="005860D5">
            <w:pPr>
              <w:contextualSpacing/>
              <w:jc w:val="center"/>
              <w:rPr>
                <w:szCs w:val="21"/>
              </w:rPr>
            </w:pPr>
            <w:r>
              <w:rPr>
                <w:szCs w:val="21"/>
              </w:rPr>
              <w:t>输煤栈桥</w:t>
            </w:r>
          </w:p>
        </w:tc>
        <w:tc>
          <w:tcPr>
            <w:tcW w:w="4747" w:type="dxa"/>
            <w:vAlign w:val="center"/>
          </w:tcPr>
          <w:p w:rsidR="00C223F5" w:rsidRDefault="005860D5">
            <w:pPr>
              <w:contextualSpacing/>
              <w:rPr>
                <w:szCs w:val="21"/>
              </w:rPr>
            </w:pPr>
            <w:r>
              <w:t>封闭隔声，阻尼措施</w:t>
            </w:r>
          </w:p>
        </w:tc>
        <w:tc>
          <w:tcPr>
            <w:tcW w:w="600" w:type="dxa"/>
            <w:vAlign w:val="center"/>
          </w:tcPr>
          <w:p w:rsidR="00C223F5" w:rsidRDefault="005860D5">
            <w:pPr>
              <w:contextualSpacing/>
              <w:jc w:val="center"/>
              <w:rPr>
                <w:szCs w:val="21"/>
              </w:rPr>
            </w:pPr>
            <w:r>
              <w:rPr>
                <w:szCs w:val="21"/>
              </w:rPr>
              <w:t>套</w:t>
            </w:r>
          </w:p>
        </w:tc>
        <w:tc>
          <w:tcPr>
            <w:tcW w:w="600" w:type="dxa"/>
            <w:vAlign w:val="center"/>
          </w:tcPr>
          <w:p w:rsidR="00C223F5" w:rsidRDefault="005860D5">
            <w:pPr>
              <w:contextualSpacing/>
              <w:jc w:val="center"/>
              <w:rPr>
                <w:szCs w:val="21"/>
              </w:rPr>
            </w:pPr>
            <w:r>
              <w:rPr>
                <w:rFonts w:hint="eastAsia"/>
                <w:szCs w:val="21"/>
              </w:rPr>
              <w:t>6</w:t>
            </w:r>
          </w:p>
        </w:tc>
        <w:tc>
          <w:tcPr>
            <w:tcW w:w="575" w:type="dxa"/>
            <w:vAlign w:val="center"/>
          </w:tcPr>
          <w:p w:rsidR="00C223F5" w:rsidRDefault="005860D5">
            <w:pPr>
              <w:contextualSpacing/>
              <w:jc w:val="center"/>
              <w:rPr>
                <w:szCs w:val="21"/>
              </w:rPr>
            </w:pPr>
            <w:r>
              <w:rPr>
                <w:rFonts w:hint="eastAsia"/>
                <w:szCs w:val="21"/>
              </w:rPr>
              <w:t>3</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szCs w:val="21"/>
              </w:rPr>
            </w:pPr>
          </w:p>
        </w:tc>
        <w:tc>
          <w:tcPr>
            <w:tcW w:w="346" w:type="dxa"/>
            <w:vMerge w:val="restart"/>
            <w:vAlign w:val="center"/>
          </w:tcPr>
          <w:p w:rsidR="00C223F5" w:rsidRDefault="005860D5">
            <w:pPr>
              <w:contextualSpacing/>
              <w:jc w:val="center"/>
              <w:rPr>
                <w:szCs w:val="21"/>
              </w:rPr>
            </w:pPr>
            <w:r>
              <w:rPr>
                <w:rFonts w:hint="eastAsia"/>
                <w:szCs w:val="21"/>
              </w:rPr>
              <w:t>4</w:t>
            </w:r>
          </w:p>
        </w:tc>
        <w:tc>
          <w:tcPr>
            <w:tcW w:w="346" w:type="dxa"/>
            <w:vMerge w:val="restart"/>
            <w:vAlign w:val="center"/>
          </w:tcPr>
          <w:p w:rsidR="00C223F5" w:rsidRDefault="005860D5">
            <w:pPr>
              <w:contextualSpacing/>
              <w:jc w:val="center"/>
              <w:rPr>
                <w:szCs w:val="21"/>
              </w:rPr>
            </w:pPr>
            <w:r>
              <w:rPr>
                <w:szCs w:val="21"/>
              </w:rPr>
              <w:t>固废</w:t>
            </w:r>
          </w:p>
        </w:tc>
        <w:tc>
          <w:tcPr>
            <w:tcW w:w="1902" w:type="dxa"/>
            <w:vMerge w:val="restart"/>
            <w:vAlign w:val="center"/>
          </w:tcPr>
          <w:p w:rsidR="00C223F5" w:rsidRDefault="005860D5">
            <w:pPr>
              <w:contextualSpacing/>
              <w:jc w:val="center"/>
              <w:rPr>
                <w:szCs w:val="21"/>
              </w:rPr>
            </w:pPr>
            <w:r>
              <w:rPr>
                <w:szCs w:val="21"/>
              </w:rPr>
              <w:t>生活垃圾、矸石</w:t>
            </w:r>
          </w:p>
        </w:tc>
        <w:tc>
          <w:tcPr>
            <w:tcW w:w="4747" w:type="dxa"/>
            <w:vAlign w:val="center"/>
          </w:tcPr>
          <w:p w:rsidR="00C223F5" w:rsidRDefault="005860D5">
            <w:pPr>
              <w:contextualSpacing/>
              <w:rPr>
                <w:szCs w:val="21"/>
              </w:rPr>
            </w:pPr>
            <w:r>
              <w:rPr>
                <w:szCs w:val="21"/>
              </w:rPr>
              <w:t>清运车辆</w:t>
            </w:r>
          </w:p>
        </w:tc>
        <w:tc>
          <w:tcPr>
            <w:tcW w:w="600" w:type="dxa"/>
            <w:vAlign w:val="center"/>
          </w:tcPr>
          <w:p w:rsidR="00C223F5" w:rsidRDefault="005860D5">
            <w:pPr>
              <w:contextualSpacing/>
              <w:jc w:val="center"/>
              <w:rPr>
                <w:szCs w:val="21"/>
              </w:rPr>
            </w:pPr>
            <w:r>
              <w:rPr>
                <w:szCs w:val="21"/>
              </w:rPr>
              <w:t>辆</w:t>
            </w:r>
          </w:p>
        </w:tc>
        <w:tc>
          <w:tcPr>
            <w:tcW w:w="600" w:type="dxa"/>
            <w:vAlign w:val="center"/>
          </w:tcPr>
          <w:p w:rsidR="00C223F5" w:rsidRDefault="005860D5">
            <w:pPr>
              <w:contextualSpacing/>
              <w:jc w:val="center"/>
              <w:rPr>
                <w:szCs w:val="21"/>
              </w:rPr>
            </w:pPr>
            <w:r>
              <w:rPr>
                <w:szCs w:val="21"/>
              </w:rPr>
              <w:t>1</w:t>
            </w:r>
          </w:p>
        </w:tc>
        <w:tc>
          <w:tcPr>
            <w:tcW w:w="575" w:type="dxa"/>
            <w:vAlign w:val="center"/>
          </w:tcPr>
          <w:p w:rsidR="00C223F5" w:rsidRDefault="005860D5">
            <w:pPr>
              <w:contextualSpacing/>
              <w:jc w:val="center"/>
              <w:rPr>
                <w:szCs w:val="21"/>
              </w:rPr>
            </w:pPr>
            <w:r>
              <w:rPr>
                <w:szCs w:val="21"/>
              </w:rPr>
              <w:t>15</w:t>
            </w:r>
          </w:p>
        </w:tc>
        <w:tc>
          <w:tcPr>
            <w:tcW w:w="707" w:type="dxa"/>
            <w:vMerge w:val="restart"/>
            <w:vAlign w:val="center"/>
          </w:tcPr>
          <w:p w:rsidR="00C223F5" w:rsidRDefault="000F32AE">
            <w:pPr>
              <w:contextualSpacing/>
              <w:jc w:val="center"/>
              <w:rPr>
                <w:color w:val="FF0000"/>
                <w:szCs w:val="21"/>
              </w:rPr>
            </w:pPr>
            <w:r>
              <w:rPr>
                <w:szCs w:val="21"/>
              </w:rPr>
              <w:fldChar w:fldCharType="begin"/>
            </w:r>
            <w:r w:rsidR="005860D5">
              <w:rPr>
                <w:szCs w:val="21"/>
              </w:rPr>
              <w:instrText xml:space="preserve"> =SUM(ABOVE) </w:instrText>
            </w:r>
            <w:r>
              <w:rPr>
                <w:szCs w:val="21"/>
              </w:rPr>
              <w:fldChar w:fldCharType="separate"/>
            </w:r>
            <w:r w:rsidR="005860D5">
              <w:rPr>
                <w:szCs w:val="21"/>
              </w:rPr>
              <w:t>23.3</w:t>
            </w:r>
            <w:r>
              <w:rPr>
                <w:szCs w:val="21"/>
              </w:rPr>
              <w:fldChar w:fldCharType="end"/>
            </w:r>
          </w:p>
        </w:tc>
        <w:tc>
          <w:tcPr>
            <w:tcW w:w="1001" w:type="dxa"/>
            <w:vMerge w:val="restart"/>
            <w:vAlign w:val="center"/>
          </w:tcPr>
          <w:p w:rsidR="00C223F5" w:rsidRDefault="005860D5">
            <w:pPr>
              <w:contextualSpacing/>
              <w:jc w:val="center"/>
              <w:rPr>
                <w:color w:val="000000"/>
                <w:szCs w:val="21"/>
              </w:rPr>
            </w:pPr>
            <w:r>
              <w:rPr>
                <w:color w:val="000000"/>
                <w:szCs w:val="21"/>
              </w:rPr>
              <w:t>项目建设</w:t>
            </w:r>
          </w:p>
          <w:p w:rsidR="00C223F5" w:rsidRDefault="005860D5">
            <w:pPr>
              <w:contextualSpacing/>
              <w:jc w:val="center"/>
              <w:rPr>
                <w:color w:val="FF0000"/>
                <w:szCs w:val="21"/>
              </w:rPr>
            </w:pPr>
            <w:r>
              <w:rPr>
                <w:color w:val="000000"/>
                <w:szCs w:val="21"/>
              </w:rPr>
              <w:t>投资</w:t>
            </w:r>
          </w:p>
        </w:tc>
        <w:tc>
          <w:tcPr>
            <w:tcW w:w="1495" w:type="dxa"/>
            <w:vMerge w:val="restart"/>
            <w:vAlign w:val="center"/>
          </w:tcPr>
          <w:p w:rsidR="00C223F5" w:rsidRDefault="005860D5">
            <w:pPr>
              <w:contextualSpacing/>
              <w:jc w:val="center"/>
              <w:rPr>
                <w:color w:val="FF0000"/>
                <w:szCs w:val="21"/>
              </w:rPr>
            </w:pPr>
            <w:r>
              <w:rPr>
                <w:color w:val="000000"/>
                <w:szCs w:val="21"/>
              </w:rPr>
              <w:t>2020.8</w:t>
            </w:r>
            <w:r>
              <w:rPr>
                <w:color w:val="000000"/>
                <w:szCs w:val="21"/>
              </w:rPr>
              <w:t>～</w:t>
            </w:r>
            <w:r>
              <w:rPr>
                <w:color w:val="000000"/>
                <w:szCs w:val="21"/>
              </w:rPr>
              <w:t>12</w:t>
            </w: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color w:val="FF0000"/>
                <w:szCs w:val="21"/>
              </w:rPr>
            </w:pPr>
          </w:p>
        </w:tc>
        <w:tc>
          <w:tcPr>
            <w:tcW w:w="346" w:type="dxa"/>
            <w:vMerge/>
            <w:vAlign w:val="center"/>
          </w:tcPr>
          <w:p w:rsidR="00C223F5" w:rsidRDefault="00C223F5">
            <w:pPr>
              <w:contextualSpacing/>
              <w:jc w:val="center"/>
              <w:rPr>
                <w:color w:val="FF0000"/>
                <w:szCs w:val="21"/>
              </w:rPr>
            </w:pPr>
          </w:p>
        </w:tc>
        <w:tc>
          <w:tcPr>
            <w:tcW w:w="346" w:type="dxa"/>
            <w:vMerge/>
            <w:vAlign w:val="center"/>
          </w:tcPr>
          <w:p w:rsidR="00C223F5" w:rsidRDefault="00C223F5">
            <w:pPr>
              <w:contextualSpacing/>
              <w:jc w:val="center"/>
              <w:rPr>
                <w:color w:val="FF0000"/>
                <w:szCs w:val="21"/>
              </w:rPr>
            </w:pPr>
          </w:p>
        </w:tc>
        <w:tc>
          <w:tcPr>
            <w:tcW w:w="1902" w:type="dxa"/>
            <w:vMerge/>
            <w:vAlign w:val="center"/>
          </w:tcPr>
          <w:p w:rsidR="00C223F5" w:rsidRDefault="00C223F5">
            <w:pPr>
              <w:contextualSpacing/>
              <w:jc w:val="center"/>
              <w:rPr>
                <w:szCs w:val="21"/>
              </w:rPr>
            </w:pPr>
          </w:p>
        </w:tc>
        <w:tc>
          <w:tcPr>
            <w:tcW w:w="4747" w:type="dxa"/>
            <w:vAlign w:val="center"/>
          </w:tcPr>
          <w:p w:rsidR="00C223F5" w:rsidRDefault="005860D5">
            <w:pPr>
              <w:contextualSpacing/>
              <w:rPr>
                <w:szCs w:val="21"/>
              </w:rPr>
            </w:pPr>
            <w:r>
              <w:rPr>
                <w:szCs w:val="21"/>
              </w:rPr>
              <w:t>垃圾箱</w:t>
            </w:r>
          </w:p>
        </w:tc>
        <w:tc>
          <w:tcPr>
            <w:tcW w:w="600" w:type="dxa"/>
            <w:vAlign w:val="center"/>
          </w:tcPr>
          <w:p w:rsidR="00C223F5" w:rsidRDefault="005860D5">
            <w:pPr>
              <w:contextualSpacing/>
              <w:jc w:val="center"/>
              <w:rPr>
                <w:szCs w:val="21"/>
              </w:rPr>
            </w:pPr>
            <w:r>
              <w:rPr>
                <w:szCs w:val="21"/>
              </w:rPr>
              <w:t>个</w:t>
            </w:r>
          </w:p>
        </w:tc>
        <w:tc>
          <w:tcPr>
            <w:tcW w:w="600" w:type="dxa"/>
            <w:vAlign w:val="center"/>
          </w:tcPr>
          <w:p w:rsidR="00C223F5" w:rsidRDefault="005860D5">
            <w:pPr>
              <w:contextualSpacing/>
              <w:jc w:val="center"/>
              <w:rPr>
                <w:szCs w:val="21"/>
              </w:rPr>
            </w:pPr>
            <w:r>
              <w:rPr>
                <w:szCs w:val="21"/>
              </w:rPr>
              <w:t>10</w:t>
            </w:r>
          </w:p>
        </w:tc>
        <w:tc>
          <w:tcPr>
            <w:tcW w:w="575" w:type="dxa"/>
            <w:vAlign w:val="center"/>
          </w:tcPr>
          <w:p w:rsidR="00C223F5" w:rsidRDefault="005860D5">
            <w:pPr>
              <w:contextualSpacing/>
              <w:jc w:val="center"/>
              <w:rPr>
                <w:szCs w:val="21"/>
              </w:rPr>
            </w:pPr>
            <w:r>
              <w:rPr>
                <w:szCs w:val="21"/>
              </w:rPr>
              <w:t>0.3</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r w:rsidR="00C223F5">
        <w:trPr>
          <w:cantSplit/>
          <w:jc w:val="center"/>
        </w:trPr>
        <w:tc>
          <w:tcPr>
            <w:tcW w:w="673" w:type="dxa"/>
            <w:vMerge/>
            <w:vAlign w:val="center"/>
          </w:tcPr>
          <w:p w:rsidR="00C223F5" w:rsidRDefault="00C223F5">
            <w:pPr>
              <w:contextualSpacing/>
              <w:jc w:val="center"/>
              <w:rPr>
                <w:color w:val="FF0000"/>
                <w:szCs w:val="21"/>
              </w:rPr>
            </w:pPr>
          </w:p>
        </w:tc>
        <w:tc>
          <w:tcPr>
            <w:tcW w:w="346" w:type="dxa"/>
            <w:vMerge/>
            <w:vAlign w:val="center"/>
          </w:tcPr>
          <w:p w:rsidR="00C223F5" w:rsidRDefault="00C223F5">
            <w:pPr>
              <w:contextualSpacing/>
              <w:jc w:val="center"/>
              <w:rPr>
                <w:color w:val="FF0000"/>
                <w:szCs w:val="21"/>
              </w:rPr>
            </w:pPr>
          </w:p>
        </w:tc>
        <w:tc>
          <w:tcPr>
            <w:tcW w:w="346" w:type="dxa"/>
            <w:vMerge/>
            <w:vAlign w:val="center"/>
          </w:tcPr>
          <w:p w:rsidR="00C223F5" w:rsidRDefault="00C223F5">
            <w:pPr>
              <w:contextualSpacing/>
              <w:jc w:val="center"/>
              <w:rPr>
                <w:color w:val="FF0000"/>
                <w:szCs w:val="21"/>
              </w:rPr>
            </w:pPr>
          </w:p>
        </w:tc>
        <w:tc>
          <w:tcPr>
            <w:tcW w:w="1902" w:type="dxa"/>
            <w:vAlign w:val="center"/>
          </w:tcPr>
          <w:p w:rsidR="00C223F5" w:rsidRDefault="005860D5">
            <w:pPr>
              <w:contextualSpacing/>
              <w:jc w:val="center"/>
              <w:rPr>
                <w:szCs w:val="21"/>
              </w:rPr>
            </w:pPr>
            <w:r>
              <w:rPr>
                <w:szCs w:val="21"/>
              </w:rPr>
              <w:t>危险废物</w:t>
            </w:r>
          </w:p>
        </w:tc>
        <w:tc>
          <w:tcPr>
            <w:tcW w:w="4747" w:type="dxa"/>
            <w:vAlign w:val="center"/>
          </w:tcPr>
          <w:p w:rsidR="00C223F5" w:rsidRDefault="005860D5">
            <w:pPr>
              <w:contextualSpacing/>
              <w:rPr>
                <w:szCs w:val="21"/>
              </w:rPr>
            </w:pPr>
            <w:r>
              <w:rPr>
                <w:szCs w:val="21"/>
              </w:rPr>
              <w:t>临时储存</w:t>
            </w:r>
            <w:r>
              <w:rPr>
                <w:rFonts w:hint="eastAsia"/>
                <w:szCs w:val="21"/>
              </w:rPr>
              <w:t>库</w:t>
            </w:r>
          </w:p>
        </w:tc>
        <w:tc>
          <w:tcPr>
            <w:tcW w:w="600" w:type="dxa"/>
            <w:vAlign w:val="center"/>
          </w:tcPr>
          <w:p w:rsidR="00C223F5" w:rsidRDefault="005860D5">
            <w:pPr>
              <w:contextualSpacing/>
              <w:jc w:val="center"/>
              <w:rPr>
                <w:szCs w:val="21"/>
              </w:rPr>
            </w:pPr>
            <w:r>
              <w:rPr>
                <w:szCs w:val="21"/>
              </w:rPr>
              <w:t>间</w:t>
            </w:r>
          </w:p>
        </w:tc>
        <w:tc>
          <w:tcPr>
            <w:tcW w:w="600" w:type="dxa"/>
            <w:vAlign w:val="center"/>
          </w:tcPr>
          <w:p w:rsidR="00C223F5" w:rsidRDefault="005860D5">
            <w:pPr>
              <w:contextualSpacing/>
              <w:jc w:val="center"/>
              <w:rPr>
                <w:szCs w:val="21"/>
              </w:rPr>
            </w:pPr>
            <w:r>
              <w:rPr>
                <w:szCs w:val="21"/>
              </w:rPr>
              <w:t>1</w:t>
            </w:r>
          </w:p>
        </w:tc>
        <w:tc>
          <w:tcPr>
            <w:tcW w:w="575" w:type="dxa"/>
            <w:vAlign w:val="center"/>
          </w:tcPr>
          <w:p w:rsidR="00C223F5" w:rsidRDefault="005860D5">
            <w:pPr>
              <w:contextualSpacing/>
              <w:jc w:val="center"/>
              <w:rPr>
                <w:szCs w:val="21"/>
              </w:rPr>
            </w:pPr>
            <w:r>
              <w:rPr>
                <w:szCs w:val="21"/>
              </w:rPr>
              <w:t>8</w:t>
            </w:r>
          </w:p>
        </w:tc>
        <w:tc>
          <w:tcPr>
            <w:tcW w:w="707" w:type="dxa"/>
            <w:vMerge/>
            <w:vAlign w:val="center"/>
          </w:tcPr>
          <w:p w:rsidR="00C223F5" w:rsidRDefault="00C223F5">
            <w:pPr>
              <w:contextualSpacing/>
              <w:jc w:val="center"/>
              <w:rPr>
                <w:color w:val="FF0000"/>
                <w:szCs w:val="21"/>
              </w:rPr>
            </w:pPr>
          </w:p>
        </w:tc>
        <w:tc>
          <w:tcPr>
            <w:tcW w:w="1001" w:type="dxa"/>
            <w:vMerge/>
            <w:vAlign w:val="center"/>
          </w:tcPr>
          <w:p w:rsidR="00C223F5" w:rsidRDefault="00C223F5">
            <w:pPr>
              <w:contextualSpacing/>
              <w:jc w:val="center"/>
              <w:rPr>
                <w:color w:val="FF0000"/>
                <w:szCs w:val="21"/>
              </w:rPr>
            </w:pPr>
          </w:p>
        </w:tc>
        <w:tc>
          <w:tcPr>
            <w:tcW w:w="1495" w:type="dxa"/>
            <w:vMerge/>
            <w:vAlign w:val="center"/>
          </w:tcPr>
          <w:p w:rsidR="00C223F5" w:rsidRDefault="00C223F5">
            <w:pPr>
              <w:contextualSpacing/>
              <w:jc w:val="center"/>
              <w:rPr>
                <w:color w:val="FF0000"/>
                <w:szCs w:val="21"/>
              </w:rPr>
            </w:pPr>
          </w:p>
        </w:tc>
        <w:tc>
          <w:tcPr>
            <w:tcW w:w="940" w:type="dxa"/>
            <w:vMerge/>
            <w:vAlign w:val="center"/>
          </w:tcPr>
          <w:p w:rsidR="00C223F5" w:rsidRDefault="00C223F5">
            <w:pPr>
              <w:contextualSpacing/>
              <w:jc w:val="center"/>
              <w:rPr>
                <w:color w:val="FF0000"/>
                <w:szCs w:val="21"/>
              </w:rPr>
            </w:pPr>
          </w:p>
        </w:tc>
      </w:tr>
    </w:tbl>
    <w:p w:rsidR="00C223F5" w:rsidRDefault="00C223F5">
      <w:pPr>
        <w:jc w:val="center"/>
        <w:rPr>
          <w:b/>
          <w:sz w:val="24"/>
        </w:rPr>
      </w:pPr>
    </w:p>
    <w:p w:rsidR="00C223F5" w:rsidRDefault="005860D5">
      <w:pPr>
        <w:jc w:val="center"/>
      </w:pPr>
      <w:r>
        <w:rPr>
          <w:rFonts w:hint="eastAsia"/>
          <w:b/>
          <w:sz w:val="24"/>
        </w:rPr>
        <w:lastRenderedPageBreak/>
        <w:t>续</w:t>
      </w:r>
      <w:r>
        <w:rPr>
          <w:b/>
          <w:sz w:val="24"/>
        </w:rPr>
        <w:t>表</w:t>
      </w:r>
      <w:r>
        <w:rPr>
          <w:b/>
          <w:sz w:val="24"/>
        </w:rPr>
        <w:t xml:space="preserve">6.1-1   </w:t>
      </w:r>
      <w:r>
        <w:rPr>
          <w:b/>
          <w:sz w:val="24"/>
        </w:rPr>
        <w:t>环保投资构成估算表</w:t>
      </w:r>
    </w:p>
    <w:tbl>
      <w:tblPr>
        <w:tblW w:w="13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28" w:type="dxa"/>
          <w:bottom w:w="45" w:type="dxa"/>
          <w:right w:w="28" w:type="dxa"/>
        </w:tblCellMar>
        <w:tblLook w:val="04A0" w:firstRow="1" w:lastRow="0" w:firstColumn="1" w:lastColumn="0" w:noHBand="0" w:noVBand="1"/>
      </w:tblPr>
      <w:tblGrid>
        <w:gridCol w:w="628"/>
        <w:gridCol w:w="391"/>
        <w:gridCol w:w="1886"/>
        <w:gridCol w:w="3873"/>
        <w:gridCol w:w="894"/>
        <w:gridCol w:w="660"/>
        <w:gridCol w:w="575"/>
        <w:gridCol w:w="912"/>
        <w:gridCol w:w="1113"/>
        <w:gridCol w:w="1705"/>
        <w:gridCol w:w="1011"/>
      </w:tblGrid>
      <w:tr w:rsidR="00C223F5">
        <w:trPr>
          <w:cantSplit/>
          <w:trHeight w:val="373"/>
          <w:jc w:val="center"/>
        </w:trPr>
        <w:tc>
          <w:tcPr>
            <w:tcW w:w="628" w:type="dxa"/>
            <w:vAlign w:val="center"/>
          </w:tcPr>
          <w:p w:rsidR="00C223F5" w:rsidRDefault="005860D5">
            <w:pPr>
              <w:jc w:val="center"/>
              <w:rPr>
                <w:szCs w:val="21"/>
              </w:rPr>
            </w:pPr>
            <w:r>
              <w:rPr>
                <w:szCs w:val="21"/>
              </w:rPr>
              <w:t>用途</w:t>
            </w:r>
          </w:p>
        </w:tc>
        <w:tc>
          <w:tcPr>
            <w:tcW w:w="391" w:type="dxa"/>
            <w:vAlign w:val="center"/>
          </w:tcPr>
          <w:p w:rsidR="00C223F5" w:rsidRDefault="005860D5">
            <w:pPr>
              <w:jc w:val="center"/>
              <w:rPr>
                <w:szCs w:val="21"/>
              </w:rPr>
            </w:pPr>
            <w:r>
              <w:rPr>
                <w:rFonts w:hint="eastAsia"/>
                <w:szCs w:val="21"/>
              </w:rPr>
              <w:t>序号</w:t>
            </w:r>
          </w:p>
        </w:tc>
        <w:tc>
          <w:tcPr>
            <w:tcW w:w="1886" w:type="dxa"/>
            <w:vAlign w:val="center"/>
          </w:tcPr>
          <w:p w:rsidR="00C223F5" w:rsidRDefault="005860D5">
            <w:pPr>
              <w:jc w:val="center"/>
              <w:rPr>
                <w:szCs w:val="21"/>
              </w:rPr>
            </w:pPr>
            <w:r>
              <w:rPr>
                <w:szCs w:val="21"/>
              </w:rPr>
              <w:t>污染类型</w:t>
            </w:r>
          </w:p>
        </w:tc>
        <w:tc>
          <w:tcPr>
            <w:tcW w:w="3873" w:type="dxa"/>
            <w:vAlign w:val="center"/>
          </w:tcPr>
          <w:p w:rsidR="00C223F5" w:rsidRDefault="005860D5">
            <w:pPr>
              <w:jc w:val="center"/>
              <w:rPr>
                <w:szCs w:val="21"/>
              </w:rPr>
            </w:pPr>
            <w:r>
              <w:rPr>
                <w:szCs w:val="21"/>
              </w:rPr>
              <w:t>环保设施</w:t>
            </w:r>
          </w:p>
        </w:tc>
        <w:tc>
          <w:tcPr>
            <w:tcW w:w="894" w:type="dxa"/>
            <w:vAlign w:val="center"/>
          </w:tcPr>
          <w:p w:rsidR="00C223F5" w:rsidRDefault="005860D5">
            <w:pPr>
              <w:jc w:val="center"/>
              <w:rPr>
                <w:szCs w:val="21"/>
              </w:rPr>
            </w:pPr>
            <w:r>
              <w:rPr>
                <w:szCs w:val="21"/>
              </w:rPr>
              <w:t>单位</w:t>
            </w:r>
          </w:p>
        </w:tc>
        <w:tc>
          <w:tcPr>
            <w:tcW w:w="660" w:type="dxa"/>
            <w:vAlign w:val="center"/>
          </w:tcPr>
          <w:p w:rsidR="00C223F5" w:rsidRDefault="005860D5">
            <w:pPr>
              <w:jc w:val="center"/>
              <w:rPr>
                <w:szCs w:val="21"/>
              </w:rPr>
            </w:pPr>
            <w:r>
              <w:rPr>
                <w:szCs w:val="21"/>
              </w:rPr>
              <w:t>数量</w:t>
            </w:r>
          </w:p>
        </w:tc>
        <w:tc>
          <w:tcPr>
            <w:tcW w:w="1487" w:type="dxa"/>
            <w:gridSpan w:val="2"/>
            <w:vAlign w:val="center"/>
          </w:tcPr>
          <w:p w:rsidR="00C223F5" w:rsidRDefault="005860D5">
            <w:pPr>
              <w:jc w:val="center"/>
              <w:rPr>
                <w:szCs w:val="21"/>
              </w:rPr>
            </w:pPr>
            <w:r>
              <w:rPr>
                <w:szCs w:val="21"/>
              </w:rPr>
              <w:t>投资估算</w:t>
            </w:r>
          </w:p>
          <w:p w:rsidR="00C223F5" w:rsidRDefault="005860D5">
            <w:pPr>
              <w:jc w:val="center"/>
              <w:rPr>
                <w:color w:val="FF0000"/>
                <w:szCs w:val="21"/>
              </w:rPr>
            </w:pPr>
            <w:r>
              <w:rPr>
                <w:szCs w:val="21"/>
              </w:rPr>
              <w:t>（万元）</w:t>
            </w:r>
          </w:p>
        </w:tc>
        <w:tc>
          <w:tcPr>
            <w:tcW w:w="1113" w:type="dxa"/>
            <w:vAlign w:val="center"/>
          </w:tcPr>
          <w:p w:rsidR="00C223F5" w:rsidRDefault="005860D5">
            <w:pPr>
              <w:jc w:val="center"/>
              <w:rPr>
                <w:szCs w:val="21"/>
              </w:rPr>
            </w:pPr>
            <w:r>
              <w:rPr>
                <w:szCs w:val="21"/>
              </w:rPr>
              <w:t>资金来源</w:t>
            </w:r>
          </w:p>
        </w:tc>
        <w:tc>
          <w:tcPr>
            <w:tcW w:w="1705" w:type="dxa"/>
            <w:vAlign w:val="center"/>
          </w:tcPr>
          <w:p w:rsidR="00C223F5" w:rsidRDefault="005860D5">
            <w:pPr>
              <w:jc w:val="center"/>
              <w:rPr>
                <w:szCs w:val="21"/>
              </w:rPr>
            </w:pPr>
            <w:r>
              <w:rPr>
                <w:szCs w:val="21"/>
              </w:rPr>
              <w:t>实施阶段</w:t>
            </w:r>
          </w:p>
        </w:tc>
        <w:tc>
          <w:tcPr>
            <w:tcW w:w="1011" w:type="dxa"/>
            <w:vAlign w:val="center"/>
          </w:tcPr>
          <w:p w:rsidR="00C223F5" w:rsidRDefault="005860D5">
            <w:pPr>
              <w:jc w:val="center"/>
              <w:rPr>
                <w:szCs w:val="21"/>
              </w:rPr>
            </w:pPr>
            <w:r>
              <w:rPr>
                <w:szCs w:val="21"/>
              </w:rPr>
              <w:t>责任</w:t>
            </w:r>
          </w:p>
          <w:p w:rsidR="00C223F5" w:rsidRDefault="005860D5">
            <w:pPr>
              <w:jc w:val="center"/>
              <w:rPr>
                <w:szCs w:val="21"/>
              </w:rPr>
            </w:pPr>
            <w:r>
              <w:rPr>
                <w:szCs w:val="21"/>
              </w:rPr>
              <w:t>主体</w:t>
            </w:r>
          </w:p>
        </w:tc>
      </w:tr>
      <w:tr w:rsidR="00C223F5">
        <w:trPr>
          <w:cantSplit/>
          <w:trHeight w:val="373"/>
          <w:jc w:val="center"/>
        </w:trPr>
        <w:tc>
          <w:tcPr>
            <w:tcW w:w="628" w:type="dxa"/>
            <w:vMerge w:val="restart"/>
            <w:vAlign w:val="center"/>
          </w:tcPr>
          <w:p w:rsidR="00C223F5" w:rsidRDefault="005860D5">
            <w:pPr>
              <w:jc w:val="center"/>
              <w:rPr>
                <w:color w:val="FF0000"/>
                <w:szCs w:val="21"/>
              </w:rPr>
            </w:pPr>
            <w:r>
              <w:rPr>
                <w:rFonts w:hint="eastAsia"/>
                <w:szCs w:val="21"/>
              </w:rPr>
              <w:t>环保设施投资</w:t>
            </w:r>
          </w:p>
        </w:tc>
        <w:tc>
          <w:tcPr>
            <w:tcW w:w="391" w:type="dxa"/>
            <w:vAlign w:val="center"/>
          </w:tcPr>
          <w:p w:rsidR="00C223F5" w:rsidRDefault="005860D5">
            <w:pPr>
              <w:jc w:val="center"/>
              <w:rPr>
                <w:szCs w:val="21"/>
              </w:rPr>
            </w:pPr>
            <w:r>
              <w:rPr>
                <w:rFonts w:hint="eastAsia"/>
                <w:szCs w:val="21"/>
              </w:rPr>
              <w:t>5</w:t>
            </w:r>
          </w:p>
        </w:tc>
        <w:tc>
          <w:tcPr>
            <w:tcW w:w="1886" w:type="dxa"/>
            <w:vAlign w:val="center"/>
          </w:tcPr>
          <w:p w:rsidR="00C223F5" w:rsidRDefault="005860D5">
            <w:pPr>
              <w:jc w:val="center"/>
              <w:rPr>
                <w:szCs w:val="21"/>
              </w:rPr>
            </w:pPr>
            <w:r>
              <w:rPr>
                <w:szCs w:val="21"/>
              </w:rPr>
              <w:t>地下水观测</w:t>
            </w:r>
          </w:p>
        </w:tc>
        <w:tc>
          <w:tcPr>
            <w:tcW w:w="3873" w:type="dxa"/>
            <w:vAlign w:val="center"/>
          </w:tcPr>
          <w:p w:rsidR="00C223F5" w:rsidRDefault="005860D5">
            <w:pPr>
              <w:rPr>
                <w:szCs w:val="21"/>
              </w:rPr>
            </w:pPr>
            <w:r>
              <w:rPr>
                <w:szCs w:val="21"/>
              </w:rPr>
              <w:t>自动水位仪</w:t>
            </w:r>
          </w:p>
        </w:tc>
        <w:tc>
          <w:tcPr>
            <w:tcW w:w="894" w:type="dxa"/>
            <w:vAlign w:val="center"/>
          </w:tcPr>
          <w:p w:rsidR="00C223F5" w:rsidRDefault="005860D5">
            <w:pPr>
              <w:jc w:val="center"/>
              <w:rPr>
                <w:szCs w:val="21"/>
              </w:rPr>
            </w:pPr>
            <w:r>
              <w:rPr>
                <w:szCs w:val="21"/>
              </w:rPr>
              <w:t>套</w:t>
            </w:r>
          </w:p>
        </w:tc>
        <w:tc>
          <w:tcPr>
            <w:tcW w:w="660" w:type="dxa"/>
            <w:vAlign w:val="center"/>
          </w:tcPr>
          <w:p w:rsidR="00C223F5" w:rsidRDefault="005860D5">
            <w:pPr>
              <w:jc w:val="center"/>
              <w:rPr>
                <w:szCs w:val="21"/>
              </w:rPr>
            </w:pPr>
            <w:r>
              <w:rPr>
                <w:rFonts w:hint="eastAsia"/>
                <w:szCs w:val="21"/>
              </w:rPr>
              <w:t>3</w:t>
            </w:r>
          </w:p>
        </w:tc>
        <w:tc>
          <w:tcPr>
            <w:tcW w:w="575" w:type="dxa"/>
            <w:vAlign w:val="center"/>
          </w:tcPr>
          <w:p w:rsidR="00C223F5" w:rsidRDefault="005860D5">
            <w:pPr>
              <w:jc w:val="center"/>
              <w:rPr>
                <w:szCs w:val="21"/>
              </w:rPr>
            </w:pPr>
            <w:r>
              <w:rPr>
                <w:rFonts w:hint="eastAsia"/>
                <w:szCs w:val="21"/>
              </w:rPr>
              <w:t>15</w:t>
            </w:r>
          </w:p>
        </w:tc>
        <w:tc>
          <w:tcPr>
            <w:tcW w:w="912" w:type="dxa"/>
            <w:vAlign w:val="center"/>
          </w:tcPr>
          <w:p w:rsidR="00C223F5" w:rsidRDefault="005860D5">
            <w:pPr>
              <w:jc w:val="center"/>
              <w:rPr>
                <w:szCs w:val="21"/>
              </w:rPr>
            </w:pPr>
            <w:r>
              <w:rPr>
                <w:rFonts w:hint="eastAsia"/>
                <w:szCs w:val="21"/>
              </w:rPr>
              <w:t>15</w:t>
            </w:r>
          </w:p>
        </w:tc>
        <w:tc>
          <w:tcPr>
            <w:tcW w:w="1113" w:type="dxa"/>
            <w:vMerge w:val="restart"/>
            <w:vAlign w:val="center"/>
          </w:tcPr>
          <w:p w:rsidR="00C223F5" w:rsidRDefault="005860D5">
            <w:pPr>
              <w:jc w:val="center"/>
              <w:rPr>
                <w:color w:val="000000"/>
                <w:szCs w:val="21"/>
              </w:rPr>
            </w:pPr>
            <w:r>
              <w:rPr>
                <w:color w:val="000000"/>
                <w:szCs w:val="21"/>
              </w:rPr>
              <w:t>项目建设</w:t>
            </w:r>
          </w:p>
          <w:p w:rsidR="00C223F5" w:rsidRDefault="005860D5">
            <w:pPr>
              <w:jc w:val="center"/>
              <w:rPr>
                <w:color w:val="FF0000"/>
                <w:szCs w:val="21"/>
              </w:rPr>
            </w:pPr>
            <w:r>
              <w:rPr>
                <w:color w:val="000000"/>
                <w:szCs w:val="21"/>
              </w:rPr>
              <w:t>投资</w:t>
            </w:r>
          </w:p>
        </w:tc>
        <w:tc>
          <w:tcPr>
            <w:tcW w:w="1705" w:type="dxa"/>
            <w:vAlign w:val="center"/>
          </w:tcPr>
          <w:p w:rsidR="00C223F5" w:rsidRDefault="005860D5">
            <w:pPr>
              <w:jc w:val="center"/>
              <w:rPr>
                <w:color w:val="FF0000"/>
                <w:szCs w:val="21"/>
              </w:rPr>
            </w:pPr>
            <w:r>
              <w:rPr>
                <w:color w:val="000000"/>
                <w:szCs w:val="21"/>
              </w:rPr>
              <w:t>2019.10</w:t>
            </w:r>
            <w:r>
              <w:rPr>
                <w:color w:val="000000"/>
                <w:szCs w:val="21"/>
              </w:rPr>
              <w:t>～</w:t>
            </w:r>
            <w:r>
              <w:rPr>
                <w:color w:val="000000"/>
                <w:szCs w:val="21"/>
              </w:rPr>
              <w:t>12</w:t>
            </w:r>
          </w:p>
        </w:tc>
        <w:tc>
          <w:tcPr>
            <w:tcW w:w="1011" w:type="dxa"/>
            <w:vMerge w:val="restart"/>
            <w:vAlign w:val="center"/>
          </w:tcPr>
          <w:p w:rsidR="00C223F5" w:rsidRDefault="005860D5">
            <w:pPr>
              <w:jc w:val="center"/>
              <w:rPr>
                <w:szCs w:val="21"/>
              </w:rPr>
            </w:pPr>
            <w:r>
              <w:rPr>
                <w:rFonts w:hint="eastAsia"/>
                <w:szCs w:val="21"/>
              </w:rPr>
              <w:t>横山县</w:t>
            </w:r>
          </w:p>
          <w:p w:rsidR="00C223F5" w:rsidRDefault="005860D5">
            <w:pPr>
              <w:jc w:val="center"/>
              <w:rPr>
                <w:color w:val="FF0000"/>
                <w:szCs w:val="21"/>
              </w:rPr>
            </w:pPr>
            <w:r>
              <w:rPr>
                <w:rFonts w:hAnsi="宋体"/>
                <w:snapToGrid w:val="0"/>
                <w:kern w:val="0"/>
                <w:szCs w:val="21"/>
              </w:rPr>
              <w:t>天云</w:t>
            </w:r>
            <w:r>
              <w:rPr>
                <w:rFonts w:hAnsi="宋体" w:hint="eastAsia"/>
                <w:snapToGrid w:val="0"/>
                <w:kern w:val="0"/>
                <w:szCs w:val="21"/>
              </w:rPr>
              <w:t>煤矿</w:t>
            </w:r>
          </w:p>
        </w:tc>
      </w:tr>
      <w:tr w:rsidR="00C223F5">
        <w:trPr>
          <w:cantSplit/>
          <w:trHeight w:val="309"/>
          <w:jc w:val="center"/>
        </w:trPr>
        <w:tc>
          <w:tcPr>
            <w:tcW w:w="628" w:type="dxa"/>
            <w:vMerge/>
            <w:vAlign w:val="center"/>
          </w:tcPr>
          <w:p w:rsidR="00C223F5" w:rsidRDefault="00C223F5">
            <w:pPr>
              <w:jc w:val="center"/>
              <w:rPr>
                <w:color w:val="FF0000"/>
                <w:szCs w:val="21"/>
              </w:rPr>
            </w:pPr>
          </w:p>
        </w:tc>
        <w:tc>
          <w:tcPr>
            <w:tcW w:w="391" w:type="dxa"/>
            <w:vAlign w:val="center"/>
          </w:tcPr>
          <w:p w:rsidR="00C223F5" w:rsidRDefault="005860D5">
            <w:pPr>
              <w:jc w:val="center"/>
              <w:rPr>
                <w:szCs w:val="21"/>
              </w:rPr>
            </w:pPr>
            <w:r>
              <w:rPr>
                <w:rFonts w:hint="eastAsia"/>
                <w:szCs w:val="21"/>
              </w:rPr>
              <w:t>6</w:t>
            </w:r>
          </w:p>
        </w:tc>
        <w:tc>
          <w:tcPr>
            <w:tcW w:w="1886" w:type="dxa"/>
            <w:vAlign w:val="center"/>
          </w:tcPr>
          <w:p w:rsidR="00C223F5" w:rsidRDefault="005860D5">
            <w:pPr>
              <w:jc w:val="center"/>
              <w:rPr>
                <w:szCs w:val="21"/>
              </w:rPr>
            </w:pPr>
            <w:r>
              <w:rPr>
                <w:szCs w:val="21"/>
              </w:rPr>
              <w:t>地表岩移观测系统</w:t>
            </w:r>
          </w:p>
        </w:tc>
        <w:tc>
          <w:tcPr>
            <w:tcW w:w="3873" w:type="dxa"/>
            <w:vAlign w:val="center"/>
          </w:tcPr>
          <w:p w:rsidR="00C223F5" w:rsidRDefault="005860D5">
            <w:pPr>
              <w:rPr>
                <w:szCs w:val="21"/>
              </w:rPr>
            </w:pPr>
            <w:r>
              <w:rPr>
                <w:szCs w:val="21"/>
              </w:rPr>
              <w:t>首采区岩移观测站</w:t>
            </w:r>
          </w:p>
        </w:tc>
        <w:tc>
          <w:tcPr>
            <w:tcW w:w="894" w:type="dxa"/>
            <w:vAlign w:val="center"/>
          </w:tcPr>
          <w:p w:rsidR="00C223F5" w:rsidRDefault="005860D5">
            <w:pPr>
              <w:jc w:val="center"/>
              <w:rPr>
                <w:szCs w:val="21"/>
              </w:rPr>
            </w:pPr>
            <w:r>
              <w:rPr>
                <w:szCs w:val="21"/>
              </w:rPr>
              <w:t>套</w:t>
            </w:r>
          </w:p>
        </w:tc>
        <w:tc>
          <w:tcPr>
            <w:tcW w:w="660" w:type="dxa"/>
            <w:vAlign w:val="center"/>
          </w:tcPr>
          <w:p w:rsidR="00C223F5" w:rsidRDefault="005860D5">
            <w:pPr>
              <w:jc w:val="center"/>
              <w:rPr>
                <w:szCs w:val="21"/>
              </w:rPr>
            </w:pPr>
            <w:r>
              <w:rPr>
                <w:szCs w:val="21"/>
              </w:rPr>
              <w:t>1</w:t>
            </w:r>
          </w:p>
        </w:tc>
        <w:tc>
          <w:tcPr>
            <w:tcW w:w="575" w:type="dxa"/>
            <w:vAlign w:val="center"/>
          </w:tcPr>
          <w:p w:rsidR="00C223F5" w:rsidRDefault="005860D5">
            <w:pPr>
              <w:jc w:val="center"/>
              <w:rPr>
                <w:szCs w:val="21"/>
              </w:rPr>
            </w:pPr>
            <w:r>
              <w:rPr>
                <w:szCs w:val="21"/>
              </w:rPr>
              <w:t>10</w:t>
            </w:r>
            <w:r>
              <w:rPr>
                <w:rFonts w:hint="eastAsia"/>
                <w:szCs w:val="21"/>
              </w:rPr>
              <w:t>0</w:t>
            </w:r>
          </w:p>
        </w:tc>
        <w:tc>
          <w:tcPr>
            <w:tcW w:w="912" w:type="dxa"/>
            <w:vAlign w:val="center"/>
          </w:tcPr>
          <w:p w:rsidR="00C223F5" w:rsidRDefault="005860D5">
            <w:pPr>
              <w:jc w:val="center"/>
              <w:rPr>
                <w:szCs w:val="21"/>
              </w:rPr>
            </w:pPr>
            <w:r>
              <w:rPr>
                <w:szCs w:val="21"/>
              </w:rPr>
              <w:t>10</w:t>
            </w:r>
            <w:r>
              <w:rPr>
                <w:rFonts w:hint="eastAsia"/>
                <w:szCs w:val="21"/>
              </w:rPr>
              <w:t>0</w:t>
            </w:r>
          </w:p>
        </w:tc>
        <w:tc>
          <w:tcPr>
            <w:tcW w:w="1113" w:type="dxa"/>
            <w:vMerge/>
            <w:vAlign w:val="center"/>
          </w:tcPr>
          <w:p w:rsidR="00C223F5" w:rsidRDefault="00C223F5">
            <w:pPr>
              <w:jc w:val="center"/>
              <w:rPr>
                <w:color w:val="FF0000"/>
                <w:szCs w:val="21"/>
              </w:rPr>
            </w:pPr>
          </w:p>
        </w:tc>
        <w:tc>
          <w:tcPr>
            <w:tcW w:w="1705" w:type="dxa"/>
            <w:vAlign w:val="center"/>
          </w:tcPr>
          <w:p w:rsidR="00C223F5" w:rsidRDefault="005860D5">
            <w:pPr>
              <w:jc w:val="center"/>
              <w:rPr>
                <w:color w:val="FF0000"/>
                <w:szCs w:val="21"/>
              </w:rPr>
            </w:pPr>
            <w:r>
              <w:rPr>
                <w:color w:val="000000"/>
                <w:szCs w:val="21"/>
              </w:rPr>
              <w:t>2019.10</w:t>
            </w:r>
            <w:r>
              <w:rPr>
                <w:color w:val="000000"/>
                <w:szCs w:val="21"/>
              </w:rPr>
              <w:t>～</w:t>
            </w:r>
            <w:r>
              <w:rPr>
                <w:color w:val="000000"/>
                <w:szCs w:val="21"/>
              </w:rPr>
              <w:t>12</w:t>
            </w:r>
          </w:p>
        </w:tc>
        <w:tc>
          <w:tcPr>
            <w:tcW w:w="1011" w:type="dxa"/>
            <w:vMerge/>
            <w:vAlign w:val="center"/>
          </w:tcPr>
          <w:p w:rsidR="00C223F5" w:rsidRDefault="00C223F5">
            <w:pPr>
              <w:jc w:val="center"/>
              <w:rPr>
                <w:color w:val="FF0000"/>
                <w:szCs w:val="21"/>
              </w:rPr>
            </w:pPr>
          </w:p>
        </w:tc>
      </w:tr>
      <w:tr w:rsidR="00C223F5">
        <w:trPr>
          <w:cantSplit/>
          <w:trHeight w:val="309"/>
          <w:jc w:val="center"/>
        </w:trPr>
        <w:tc>
          <w:tcPr>
            <w:tcW w:w="628" w:type="dxa"/>
            <w:vMerge/>
            <w:vAlign w:val="center"/>
          </w:tcPr>
          <w:p w:rsidR="00C223F5" w:rsidRDefault="00C223F5">
            <w:pPr>
              <w:jc w:val="center"/>
              <w:rPr>
                <w:color w:val="FF0000"/>
                <w:szCs w:val="21"/>
              </w:rPr>
            </w:pPr>
          </w:p>
        </w:tc>
        <w:tc>
          <w:tcPr>
            <w:tcW w:w="391" w:type="dxa"/>
            <w:vAlign w:val="center"/>
          </w:tcPr>
          <w:p w:rsidR="00C223F5" w:rsidRDefault="005860D5">
            <w:pPr>
              <w:jc w:val="center"/>
              <w:rPr>
                <w:szCs w:val="21"/>
              </w:rPr>
            </w:pPr>
            <w:r>
              <w:rPr>
                <w:rFonts w:hint="eastAsia"/>
                <w:szCs w:val="21"/>
              </w:rPr>
              <w:t>7</w:t>
            </w:r>
          </w:p>
        </w:tc>
        <w:tc>
          <w:tcPr>
            <w:tcW w:w="1886" w:type="dxa"/>
            <w:vAlign w:val="center"/>
          </w:tcPr>
          <w:p w:rsidR="00C223F5" w:rsidRDefault="005860D5">
            <w:pPr>
              <w:jc w:val="center"/>
              <w:rPr>
                <w:szCs w:val="21"/>
              </w:rPr>
            </w:pPr>
            <w:r>
              <w:rPr>
                <w:szCs w:val="21"/>
              </w:rPr>
              <w:t>绿化</w:t>
            </w:r>
          </w:p>
        </w:tc>
        <w:tc>
          <w:tcPr>
            <w:tcW w:w="3873" w:type="dxa"/>
            <w:vAlign w:val="center"/>
          </w:tcPr>
          <w:p w:rsidR="00C223F5" w:rsidRDefault="005860D5">
            <w:pPr>
              <w:rPr>
                <w:szCs w:val="21"/>
              </w:rPr>
            </w:pPr>
            <w:r>
              <w:rPr>
                <w:szCs w:val="21"/>
              </w:rPr>
              <w:t>绿化面积</w:t>
            </w:r>
          </w:p>
        </w:tc>
        <w:tc>
          <w:tcPr>
            <w:tcW w:w="894" w:type="dxa"/>
            <w:vAlign w:val="center"/>
          </w:tcPr>
          <w:p w:rsidR="00C223F5" w:rsidRDefault="005860D5">
            <w:pPr>
              <w:jc w:val="center"/>
              <w:rPr>
                <w:szCs w:val="21"/>
              </w:rPr>
            </w:pPr>
            <w:r>
              <w:rPr>
                <w:szCs w:val="21"/>
              </w:rPr>
              <w:t>hm</w:t>
            </w:r>
            <w:r>
              <w:rPr>
                <w:szCs w:val="21"/>
                <w:vertAlign w:val="superscript"/>
              </w:rPr>
              <w:t>2</w:t>
            </w:r>
          </w:p>
        </w:tc>
        <w:tc>
          <w:tcPr>
            <w:tcW w:w="660" w:type="dxa"/>
            <w:vAlign w:val="center"/>
          </w:tcPr>
          <w:p w:rsidR="00C223F5" w:rsidRDefault="005860D5">
            <w:pPr>
              <w:jc w:val="center"/>
              <w:rPr>
                <w:szCs w:val="21"/>
              </w:rPr>
            </w:pPr>
            <w:r>
              <w:rPr>
                <w:rFonts w:hint="eastAsia"/>
                <w:szCs w:val="21"/>
              </w:rPr>
              <w:t>0.95</w:t>
            </w:r>
          </w:p>
        </w:tc>
        <w:tc>
          <w:tcPr>
            <w:tcW w:w="575" w:type="dxa"/>
            <w:vAlign w:val="center"/>
          </w:tcPr>
          <w:p w:rsidR="00C223F5" w:rsidRDefault="005860D5">
            <w:pPr>
              <w:jc w:val="center"/>
              <w:rPr>
                <w:szCs w:val="21"/>
              </w:rPr>
            </w:pPr>
            <w:r>
              <w:rPr>
                <w:rFonts w:hint="eastAsia"/>
                <w:szCs w:val="21"/>
              </w:rPr>
              <w:t>4.8</w:t>
            </w:r>
          </w:p>
        </w:tc>
        <w:tc>
          <w:tcPr>
            <w:tcW w:w="912" w:type="dxa"/>
            <w:vAlign w:val="center"/>
          </w:tcPr>
          <w:p w:rsidR="00C223F5" w:rsidRDefault="005860D5">
            <w:pPr>
              <w:jc w:val="center"/>
              <w:rPr>
                <w:szCs w:val="21"/>
              </w:rPr>
            </w:pPr>
            <w:r>
              <w:rPr>
                <w:rFonts w:hint="eastAsia"/>
                <w:szCs w:val="21"/>
              </w:rPr>
              <w:t>4.8</w:t>
            </w:r>
          </w:p>
        </w:tc>
        <w:tc>
          <w:tcPr>
            <w:tcW w:w="1113" w:type="dxa"/>
            <w:vMerge/>
            <w:vAlign w:val="center"/>
          </w:tcPr>
          <w:p w:rsidR="00C223F5" w:rsidRDefault="00C223F5">
            <w:pPr>
              <w:jc w:val="center"/>
              <w:rPr>
                <w:color w:val="FF0000"/>
                <w:szCs w:val="21"/>
              </w:rPr>
            </w:pPr>
          </w:p>
        </w:tc>
        <w:tc>
          <w:tcPr>
            <w:tcW w:w="1705" w:type="dxa"/>
            <w:vAlign w:val="center"/>
          </w:tcPr>
          <w:p w:rsidR="00C223F5" w:rsidRDefault="005860D5">
            <w:pPr>
              <w:jc w:val="center"/>
              <w:rPr>
                <w:color w:val="FF0000"/>
                <w:szCs w:val="21"/>
              </w:rPr>
            </w:pPr>
            <w:r>
              <w:rPr>
                <w:color w:val="000000"/>
                <w:szCs w:val="21"/>
              </w:rPr>
              <w:t>2020.3</w:t>
            </w:r>
            <w:r>
              <w:rPr>
                <w:color w:val="000000"/>
                <w:szCs w:val="21"/>
              </w:rPr>
              <w:t>～</w:t>
            </w:r>
            <w:r>
              <w:rPr>
                <w:color w:val="000000"/>
                <w:szCs w:val="21"/>
              </w:rPr>
              <w:t>4</w:t>
            </w:r>
          </w:p>
        </w:tc>
        <w:tc>
          <w:tcPr>
            <w:tcW w:w="1011" w:type="dxa"/>
            <w:vMerge/>
            <w:vAlign w:val="center"/>
          </w:tcPr>
          <w:p w:rsidR="00C223F5" w:rsidRDefault="00C223F5">
            <w:pPr>
              <w:jc w:val="center"/>
              <w:rPr>
                <w:color w:val="FF0000"/>
                <w:szCs w:val="21"/>
              </w:rPr>
            </w:pPr>
          </w:p>
        </w:tc>
      </w:tr>
      <w:tr w:rsidR="00C223F5">
        <w:trPr>
          <w:cantSplit/>
          <w:trHeight w:val="309"/>
          <w:jc w:val="center"/>
        </w:trPr>
        <w:tc>
          <w:tcPr>
            <w:tcW w:w="628" w:type="dxa"/>
            <w:vMerge/>
            <w:vAlign w:val="center"/>
          </w:tcPr>
          <w:p w:rsidR="00C223F5" w:rsidRDefault="00C223F5">
            <w:pPr>
              <w:jc w:val="center"/>
              <w:rPr>
                <w:color w:val="FF0000"/>
                <w:szCs w:val="21"/>
              </w:rPr>
            </w:pPr>
          </w:p>
        </w:tc>
        <w:tc>
          <w:tcPr>
            <w:tcW w:w="391" w:type="dxa"/>
            <w:vAlign w:val="center"/>
          </w:tcPr>
          <w:p w:rsidR="00C223F5" w:rsidRDefault="005860D5">
            <w:pPr>
              <w:jc w:val="center"/>
              <w:rPr>
                <w:szCs w:val="21"/>
              </w:rPr>
            </w:pPr>
            <w:r>
              <w:rPr>
                <w:rFonts w:hint="eastAsia"/>
                <w:szCs w:val="21"/>
              </w:rPr>
              <w:t>8</w:t>
            </w:r>
          </w:p>
        </w:tc>
        <w:tc>
          <w:tcPr>
            <w:tcW w:w="1886" w:type="dxa"/>
            <w:vAlign w:val="center"/>
          </w:tcPr>
          <w:p w:rsidR="00C223F5" w:rsidRDefault="005860D5">
            <w:pPr>
              <w:jc w:val="center"/>
              <w:rPr>
                <w:szCs w:val="21"/>
              </w:rPr>
            </w:pPr>
            <w:r>
              <w:rPr>
                <w:szCs w:val="21"/>
              </w:rPr>
              <w:t>生态恢复</w:t>
            </w:r>
          </w:p>
        </w:tc>
        <w:tc>
          <w:tcPr>
            <w:tcW w:w="3873" w:type="dxa"/>
            <w:vAlign w:val="center"/>
          </w:tcPr>
          <w:p w:rsidR="00C223F5" w:rsidRDefault="005860D5">
            <w:pPr>
              <w:rPr>
                <w:szCs w:val="21"/>
              </w:rPr>
            </w:pPr>
            <w:r>
              <w:rPr>
                <w:szCs w:val="21"/>
              </w:rPr>
              <w:t>生态恢复面积</w:t>
            </w:r>
          </w:p>
        </w:tc>
        <w:tc>
          <w:tcPr>
            <w:tcW w:w="894" w:type="dxa"/>
            <w:vAlign w:val="center"/>
          </w:tcPr>
          <w:p w:rsidR="00C223F5" w:rsidRDefault="005860D5">
            <w:pPr>
              <w:jc w:val="center"/>
              <w:rPr>
                <w:szCs w:val="21"/>
              </w:rPr>
            </w:pPr>
            <w:r>
              <w:rPr>
                <w:szCs w:val="21"/>
              </w:rPr>
              <w:t>hm</w:t>
            </w:r>
            <w:r>
              <w:rPr>
                <w:szCs w:val="21"/>
                <w:vertAlign w:val="superscript"/>
              </w:rPr>
              <w:t>2</w:t>
            </w:r>
          </w:p>
        </w:tc>
        <w:tc>
          <w:tcPr>
            <w:tcW w:w="660" w:type="dxa"/>
            <w:vAlign w:val="center"/>
          </w:tcPr>
          <w:p w:rsidR="00C223F5" w:rsidRDefault="005860D5">
            <w:pPr>
              <w:jc w:val="center"/>
              <w:rPr>
                <w:szCs w:val="21"/>
              </w:rPr>
            </w:pPr>
            <w:r>
              <w:rPr>
                <w:rFonts w:hint="eastAsia"/>
                <w:szCs w:val="21"/>
              </w:rPr>
              <w:t>3.28</w:t>
            </w:r>
          </w:p>
        </w:tc>
        <w:tc>
          <w:tcPr>
            <w:tcW w:w="575" w:type="dxa"/>
            <w:vAlign w:val="center"/>
          </w:tcPr>
          <w:p w:rsidR="00C223F5" w:rsidRDefault="005860D5">
            <w:pPr>
              <w:jc w:val="center"/>
              <w:rPr>
                <w:szCs w:val="21"/>
              </w:rPr>
            </w:pPr>
            <w:r>
              <w:rPr>
                <w:rFonts w:hint="eastAsia"/>
                <w:szCs w:val="21"/>
              </w:rPr>
              <w:t>15.5</w:t>
            </w:r>
          </w:p>
        </w:tc>
        <w:tc>
          <w:tcPr>
            <w:tcW w:w="912" w:type="dxa"/>
            <w:vAlign w:val="center"/>
          </w:tcPr>
          <w:p w:rsidR="00C223F5" w:rsidRDefault="005860D5">
            <w:pPr>
              <w:jc w:val="center"/>
              <w:rPr>
                <w:szCs w:val="21"/>
              </w:rPr>
            </w:pPr>
            <w:r>
              <w:rPr>
                <w:rFonts w:hint="eastAsia"/>
                <w:szCs w:val="21"/>
              </w:rPr>
              <w:t>15.5</w:t>
            </w:r>
          </w:p>
        </w:tc>
        <w:tc>
          <w:tcPr>
            <w:tcW w:w="1113" w:type="dxa"/>
            <w:vMerge/>
            <w:vAlign w:val="center"/>
          </w:tcPr>
          <w:p w:rsidR="00C223F5" w:rsidRDefault="00C223F5">
            <w:pPr>
              <w:jc w:val="center"/>
              <w:rPr>
                <w:color w:val="FF0000"/>
                <w:szCs w:val="21"/>
              </w:rPr>
            </w:pPr>
          </w:p>
        </w:tc>
        <w:tc>
          <w:tcPr>
            <w:tcW w:w="1705" w:type="dxa"/>
            <w:vAlign w:val="center"/>
          </w:tcPr>
          <w:p w:rsidR="00C223F5" w:rsidRDefault="005860D5">
            <w:pPr>
              <w:jc w:val="center"/>
              <w:rPr>
                <w:color w:val="FF0000"/>
                <w:szCs w:val="21"/>
              </w:rPr>
            </w:pPr>
            <w:r>
              <w:rPr>
                <w:color w:val="000000"/>
                <w:szCs w:val="21"/>
              </w:rPr>
              <w:t>2020.3</w:t>
            </w:r>
            <w:r>
              <w:rPr>
                <w:color w:val="000000"/>
                <w:szCs w:val="21"/>
              </w:rPr>
              <w:t>～</w:t>
            </w:r>
            <w:r>
              <w:rPr>
                <w:color w:val="000000"/>
                <w:szCs w:val="21"/>
              </w:rPr>
              <w:t>4</w:t>
            </w:r>
          </w:p>
        </w:tc>
        <w:tc>
          <w:tcPr>
            <w:tcW w:w="1011" w:type="dxa"/>
            <w:vMerge/>
            <w:vAlign w:val="center"/>
          </w:tcPr>
          <w:p w:rsidR="00C223F5" w:rsidRDefault="00C223F5">
            <w:pPr>
              <w:jc w:val="center"/>
              <w:rPr>
                <w:color w:val="FF0000"/>
                <w:szCs w:val="21"/>
              </w:rPr>
            </w:pPr>
          </w:p>
        </w:tc>
      </w:tr>
      <w:tr w:rsidR="00C223F5">
        <w:trPr>
          <w:cantSplit/>
          <w:trHeight w:val="310"/>
          <w:jc w:val="center"/>
        </w:trPr>
        <w:tc>
          <w:tcPr>
            <w:tcW w:w="6778" w:type="dxa"/>
            <w:gridSpan w:val="4"/>
            <w:vAlign w:val="center"/>
          </w:tcPr>
          <w:p w:rsidR="00C223F5" w:rsidRDefault="005860D5">
            <w:pPr>
              <w:jc w:val="center"/>
              <w:rPr>
                <w:szCs w:val="21"/>
              </w:rPr>
            </w:pPr>
            <w:r>
              <w:rPr>
                <w:rFonts w:hint="eastAsia"/>
                <w:szCs w:val="21"/>
              </w:rPr>
              <w:t>合</w:t>
            </w:r>
            <w:r>
              <w:rPr>
                <w:szCs w:val="21"/>
              </w:rPr>
              <w:t>计</w:t>
            </w:r>
          </w:p>
        </w:tc>
        <w:tc>
          <w:tcPr>
            <w:tcW w:w="894" w:type="dxa"/>
            <w:vAlign w:val="center"/>
          </w:tcPr>
          <w:p w:rsidR="00C223F5" w:rsidRDefault="005860D5">
            <w:pPr>
              <w:jc w:val="center"/>
              <w:rPr>
                <w:szCs w:val="21"/>
              </w:rPr>
            </w:pPr>
            <w:r>
              <w:rPr>
                <w:rFonts w:hint="eastAsia"/>
                <w:szCs w:val="21"/>
              </w:rPr>
              <w:t>/</w:t>
            </w:r>
          </w:p>
        </w:tc>
        <w:tc>
          <w:tcPr>
            <w:tcW w:w="660" w:type="dxa"/>
            <w:vAlign w:val="center"/>
          </w:tcPr>
          <w:p w:rsidR="00C223F5" w:rsidRDefault="005860D5">
            <w:pPr>
              <w:jc w:val="center"/>
              <w:rPr>
                <w:szCs w:val="21"/>
              </w:rPr>
            </w:pPr>
            <w:r>
              <w:rPr>
                <w:rFonts w:hint="eastAsia"/>
                <w:szCs w:val="21"/>
              </w:rPr>
              <w:t>/</w:t>
            </w:r>
          </w:p>
        </w:tc>
        <w:tc>
          <w:tcPr>
            <w:tcW w:w="1487" w:type="dxa"/>
            <w:gridSpan w:val="2"/>
            <w:vAlign w:val="center"/>
          </w:tcPr>
          <w:p w:rsidR="00C223F5" w:rsidRDefault="005860D5">
            <w:pPr>
              <w:pStyle w:val="xl48"/>
              <w:widowControl w:val="0"/>
              <w:pBdr>
                <w:bottom w:val="none" w:sz="0" w:space="0" w:color="auto"/>
                <w:right w:val="none" w:sz="0" w:space="0" w:color="auto"/>
              </w:pBdr>
              <w:spacing w:before="0" w:beforeAutospacing="0" w:after="0" w:afterAutospacing="0"/>
              <w:rPr>
                <w:rFonts w:ascii="Times New Roman" w:hAnsi="Times New Roman"/>
                <w:kern w:val="2"/>
              </w:rPr>
            </w:pPr>
            <w:r>
              <w:rPr>
                <w:rFonts w:ascii="Times New Roman" w:hAnsi="Times New Roman" w:hint="eastAsia"/>
                <w:kern w:val="2"/>
              </w:rPr>
              <w:t>1339.6</w:t>
            </w:r>
          </w:p>
        </w:tc>
        <w:tc>
          <w:tcPr>
            <w:tcW w:w="1113" w:type="dxa"/>
            <w:vAlign w:val="center"/>
          </w:tcPr>
          <w:p w:rsidR="00C223F5" w:rsidRDefault="005860D5">
            <w:pPr>
              <w:jc w:val="center"/>
              <w:rPr>
                <w:szCs w:val="21"/>
              </w:rPr>
            </w:pPr>
            <w:r>
              <w:rPr>
                <w:szCs w:val="21"/>
              </w:rPr>
              <w:t>项目建设</w:t>
            </w:r>
          </w:p>
          <w:p w:rsidR="00C223F5" w:rsidRDefault="005860D5">
            <w:pPr>
              <w:pStyle w:val="xl48"/>
              <w:widowControl w:val="0"/>
              <w:pBdr>
                <w:bottom w:val="none" w:sz="0" w:space="0" w:color="auto"/>
                <w:right w:val="none" w:sz="0" w:space="0" w:color="auto"/>
              </w:pBdr>
              <w:spacing w:before="0" w:beforeAutospacing="0" w:after="0" w:afterAutospacing="0"/>
              <w:ind w:firstLineChars="50" w:firstLine="105"/>
              <w:rPr>
                <w:rFonts w:ascii="Times New Roman" w:hAnsi="Times New Roman"/>
                <w:kern w:val="2"/>
              </w:rPr>
            </w:pPr>
            <w:r>
              <w:t>投资</w:t>
            </w:r>
          </w:p>
        </w:tc>
        <w:tc>
          <w:tcPr>
            <w:tcW w:w="1705" w:type="dxa"/>
            <w:vAlign w:val="center"/>
          </w:tcPr>
          <w:p w:rsidR="00C223F5" w:rsidRDefault="005860D5">
            <w:pPr>
              <w:pStyle w:val="xl48"/>
              <w:widowControl w:val="0"/>
              <w:pBdr>
                <w:bottom w:val="none" w:sz="0" w:space="0" w:color="auto"/>
                <w:right w:val="none" w:sz="0" w:space="0" w:color="auto"/>
              </w:pBdr>
              <w:spacing w:before="0" w:beforeAutospacing="0" w:after="0" w:afterAutospacing="0"/>
              <w:rPr>
                <w:rFonts w:ascii="Times New Roman" w:hAnsi="Times New Roman"/>
                <w:kern w:val="2"/>
              </w:rPr>
            </w:pPr>
            <w:r>
              <w:rPr>
                <w:rFonts w:ascii="Times New Roman" w:hAnsi="Times New Roman" w:hint="eastAsia"/>
                <w:kern w:val="2"/>
              </w:rPr>
              <w:t>/</w:t>
            </w:r>
          </w:p>
        </w:tc>
        <w:tc>
          <w:tcPr>
            <w:tcW w:w="1011" w:type="dxa"/>
            <w:vMerge/>
            <w:vAlign w:val="center"/>
          </w:tcPr>
          <w:p w:rsidR="00C223F5" w:rsidRDefault="00C223F5">
            <w:pPr>
              <w:pStyle w:val="xl48"/>
              <w:widowControl w:val="0"/>
              <w:pBdr>
                <w:bottom w:val="none" w:sz="0" w:space="0" w:color="auto"/>
                <w:right w:val="none" w:sz="0" w:space="0" w:color="auto"/>
              </w:pBdr>
              <w:spacing w:before="0" w:beforeAutospacing="0" w:after="0" w:afterAutospacing="0"/>
              <w:rPr>
                <w:rFonts w:ascii="Times New Roman" w:hAnsi="Times New Roman"/>
                <w:kern w:val="2"/>
              </w:rPr>
            </w:pPr>
          </w:p>
        </w:tc>
      </w:tr>
      <w:tr w:rsidR="00C223F5">
        <w:trPr>
          <w:cantSplit/>
          <w:trHeight w:val="310"/>
          <w:jc w:val="center"/>
        </w:trPr>
        <w:tc>
          <w:tcPr>
            <w:tcW w:w="6778" w:type="dxa"/>
            <w:gridSpan w:val="4"/>
            <w:vAlign w:val="center"/>
          </w:tcPr>
          <w:p w:rsidR="00C223F5" w:rsidRDefault="005860D5">
            <w:pPr>
              <w:jc w:val="center"/>
              <w:rPr>
                <w:szCs w:val="21"/>
              </w:rPr>
            </w:pPr>
            <w:r>
              <w:rPr>
                <w:szCs w:val="21"/>
              </w:rPr>
              <w:t>环保工程运行维护费用（按环保工程建设期总投资的</w:t>
            </w:r>
            <w:r>
              <w:rPr>
                <w:szCs w:val="21"/>
              </w:rPr>
              <w:t>10%</w:t>
            </w:r>
            <w:r>
              <w:rPr>
                <w:szCs w:val="21"/>
              </w:rPr>
              <w:t>计）</w:t>
            </w:r>
          </w:p>
        </w:tc>
        <w:tc>
          <w:tcPr>
            <w:tcW w:w="894" w:type="dxa"/>
            <w:vAlign w:val="center"/>
          </w:tcPr>
          <w:p w:rsidR="00C223F5" w:rsidRDefault="005860D5">
            <w:pPr>
              <w:pStyle w:val="affffff7"/>
              <w:rPr>
                <w:color w:val="auto"/>
                <w:sz w:val="21"/>
                <w:szCs w:val="21"/>
              </w:rPr>
            </w:pPr>
            <w:r>
              <w:rPr>
                <w:color w:val="auto"/>
                <w:sz w:val="21"/>
                <w:szCs w:val="21"/>
              </w:rPr>
              <w:t>万元</w:t>
            </w:r>
            <w:r>
              <w:rPr>
                <w:color w:val="auto"/>
                <w:sz w:val="21"/>
                <w:szCs w:val="21"/>
              </w:rPr>
              <w:t>/</w:t>
            </w:r>
            <w:r>
              <w:rPr>
                <w:color w:val="auto"/>
                <w:sz w:val="21"/>
                <w:szCs w:val="21"/>
              </w:rPr>
              <w:t>年</w:t>
            </w:r>
          </w:p>
        </w:tc>
        <w:tc>
          <w:tcPr>
            <w:tcW w:w="2147" w:type="dxa"/>
            <w:gridSpan w:val="3"/>
            <w:vAlign w:val="center"/>
          </w:tcPr>
          <w:p w:rsidR="00C223F5" w:rsidRDefault="005860D5">
            <w:pPr>
              <w:pStyle w:val="xl48"/>
              <w:widowControl w:val="0"/>
              <w:pBdr>
                <w:bottom w:val="none" w:sz="0" w:space="0" w:color="auto"/>
                <w:right w:val="none" w:sz="0" w:space="0" w:color="auto"/>
              </w:pBdr>
              <w:spacing w:before="0" w:beforeAutospacing="0" w:after="0" w:afterAutospacing="0"/>
              <w:rPr>
                <w:rFonts w:ascii="Times New Roman" w:hAnsi="Times New Roman"/>
                <w:kern w:val="2"/>
              </w:rPr>
            </w:pPr>
            <w:r>
              <w:rPr>
                <w:rFonts w:ascii="Times New Roman" w:hAnsi="Times New Roman" w:hint="eastAsia"/>
                <w:kern w:val="2"/>
              </w:rPr>
              <w:t>134</w:t>
            </w:r>
          </w:p>
        </w:tc>
        <w:tc>
          <w:tcPr>
            <w:tcW w:w="1113" w:type="dxa"/>
            <w:vMerge w:val="restart"/>
            <w:vAlign w:val="center"/>
          </w:tcPr>
          <w:p w:rsidR="00C223F5" w:rsidRDefault="005860D5">
            <w:pPr>
              <w:jc w:val="center"/>
              <w:rPr>
                <w:szCs w:val="21"/>
              </w:rPr>
            </w:pPr>
            <w:r>
              <w:rPr>
                <w:szCs w:val="21"/>
              </w:rPr>
              <w:t>生产成本</w:t>
            </w:r>
          </w:p>
        </w:tc>
        <w:tc>
          <w:tcPr>
            <w:tcW w:w="1705" w:type="dxa"/>
            <w:vMerge w:val="restart"/>
            <w:vAlign w:val="center"/>
          </w:tcPr>
          <w:p w:rsidR="00C223F5" w:rsidRDefault="005860D5">
            <w:pPr>
              <w:pStyle w:val="xl48"/>
              <w:widowControl w:val="0"/>
              <w:pBdr>
                <w:bottom w:val="none" w:sz="0" w:space="0" w:color="auto"/>
                <w:right w:val="none" w:sz="0" w:space="0" w:color="auto"/>
              </w:pBdr>
              <w:spacing w:before="0" w:beforeAutospacing="0" w:after="0" w:afterAutospacing="0"/>
              <w:rPr>
                <w:rFonts w:ascii="Times New Roman" w:hAnsi="Times New Roman"/>
                <w:kern w:val="2"/>
              </w:rPr>
            </w:pPr>
            <w:r>
              <w:rPr>
                <w:rFonts w:ascii="Times New Roman" w:hAnsi="Times New Roman" w:hint="eastAsia"/>
                <w:kern w:val="2"/>
              </w:rPr>
              <w:t>/</w:t>
            </w:r>
          </w:p>
        </w:tc>
        <w:tc>
          <w:tcPr>
            <w:tcW w:w="1011" w:type="dxa"/>
            <w:vMerge/>
            <w:vAlign w:val="center"/>
          </w:tcPr>
          <w:p w:rsidR="00C223F5" w:rsidRDefault="00C223F5">
            <w:pPr>
              <w:pStyle w:val="xl48"/>
              <w:widowControl w:val="0"/>
              <w:pBdr>
                <w:bottom w:val="none" w:sz="0" w:space="0" w:color="auto"/>
                <w:right w:val="none" w:sz="0" w:space="0" w:color="auto"/>
              </w:pBdr>
              <w:spacing w:before="0" w:beforeAutospacing="0" w:after="0" w:afterAutospacing="0"/>
              <w:rPr>
                <w:rFonts w:ascii="Times New Roman" w:hAnsi="Times New Roman"/>
                <w:kern w:val="2"/>
              </w:rPr>
            </w:pPr>
          </w:p>
        </w:tc>
      </w:tr>
      <w:tr w:rsidR="00C223F5">
        <w:trPr>
          <w:cantSplit/>
          <w:trHeight w:val="310"/>
          <w:jc w:val="center"/>
        </w:trPr>
        <w:tc>
          <w:tcPr>
            <w:tcW w:w="6778" w:type="dxa"/>
            <w:gridSpan w:val="4"/>
            <w:vAlign w:val="center"/>
          </w:tcPr>
          <w:p w:rsidR="00C223F5" w:rsidRDefault="005860D5">
            <w:pPr>
              <w:jc w:val="center"/>
              <w:rPr>
                <w:szCs w:val="21"/>
              </w:rPr>
            </w:pPr>
            <w:r>
              <w:rPr>
                <w:szCs w:val="21"/>
              </w:rPr>
              <w:t>环境监测费用预估</w:t>
            </w:r>
          </w:p>
        </w:tc>
        <w:tc>
          <w:tcPr>
            <w:tcW w:w="894" w:type="dxa"/>
            <w:vAlign w:val="center"/>
          </w:tcPr>
          <w:p w:rsidR="00C223F5" w:rsidRDefault="005860D5">
            <w:pPr>
              <w:pStyle w:val="affffff7"/>
              <w:rPr>
                <w:color w:val="auto"/>
                <w:sz w:val="21"/>
                <w:szCs w:val="21"/>
              </w:rPr>
            </w:pPr>
            <w:r>
              <w:rPr>
                <w:color w:val="auto"/>
                <w:sz w:val="21"/>
                <w:szCs w:val="21"/>
              </w:rPr>
              <w:t>万元</w:t>
            </w:r>
            <w:r>
              <w:rPr>
                <w:color w:val="auto"/>
                <w:sz w:val="21"/>
                <w:szCs w:val="21"/>
              </w:rPr>
              <w:t>/</w:t>
            </w:r>
            <w:r>
              <w:rPr>
                <w:color w:val="auto"/>
                <w:sz w:val="21"/>
                <w:szCs w:val="21"/>
              </w:rPr>
              <w:t>年</w:t>
            </w:r>
          </w:p>
        </w:tc>
        <w:tc>
          <w:tcPr>
            <w:tcW w:w="2147" w:type="dxa"/>
            <w:gridSpan w:val="3"/>
            <w:vAlign w:val="center"/>
          </w:tcPr>
          <w:p w:rsidR="00C223F5" w:rsidRDefault="005860D5">
            <w:pPr>
              <w:pStyle w:val="xl48"/>
              <w:widowControl w:val="0"/>
              <w:pBdr>
                <w:bottom w:val="none" w:sz="0" w:space="0" w:color="auto"/>
                <w:right w:val="none" w:sz="0" w:space="0" w:color="auto"/>
              </w:pBdr>
              <w:spacing w:before="0" w:beforeAutospacing="0" w:after="0" w:afterAutospacing="0"/>
              <w:rPr>
                <w:rFonts w:ascii="Times New Roman" w:hAnsi="Times New Roman"/>
                <w:kern w:val="2"/>
              </w:rPr>
            </w:pPr>
            <w:r>
              <w:rPr>
                <w:rFonts w:ascii="Times New Roman" w:hAnsi="Times New Roman" w:hint="eastAsia"/>
                <w:kern w:val="2"/>
              </w:rPr>
              <w:t>63</w:t>
            </w:r>
          </w:p>
        </w:tc>
        <w:tc>
          <w:tcPr>
            <w:tcW w:w="1113" w:type="dxa"/>
            <w:vMerge/>
            <w:vAlign w:val="center"/>
          </w:tcPr>
          <w:p w:rsidR="00C223F5" w:rsidRDefault="00C223F5">
            <w:pPr>
              <w:jc w:val="center"/>
              <w:rPr>
                <w:szCs w:val="21"/>
              </w:rPr>
            </w:pPr>
          </w:p>
        </w:tc>
        <w:tc>
          <w:tcPr>
            <w:tcW w:w="1705" w:type="dxa"/>
            <w:vMerge/>
            <w:vAlign w:val="center"/>
          </w:tcPr>
          <w:p w:rsidR="00C223F5" w:rsidRDefault="00C223F5">
            <w:pPr>
              <w:pStyle w:val="xl48"/>
              <w:widowControl w:val="0"/>
              <w:pBdr>
                <w:bottom w:val="none" w:sz="0" w:space="0" w:color="auto"/>
                <w:right w:val="none" w:sz="0" w:space="0" w:color="auto"/>
              </w:pBdr>
              <w:spacing w:before="0" w:beforeAutospacing="0" w:after="0" w:afterAutospacing="0"/>
              <w:rPr>
                <w:rFonts w:ascii="Times New Roman" w:hAnsi="Times New Roman"/>
                <w:kern w:val="2"/>
              </w:rPr>
            </w:pPr>
          </w:p>
        </w:tc>
        <w:tc>
          <w:tcPr>
            <w:tcW w:w="1011" w:type="dxa"/>
            <w:vMerge/>
            <w:vAlign w:val="center"/>
          </w:tcPr>
          <w:p w:rsidR="00C223F5" w:rsidRDefault="00C223F5">
            <w:pPr>
              <w:pStyle w:val="xl48"/>
              <w:widowControl w:val="0"/>
              <w:pBdr>
                <w:bottom w:val="none" w:sz="0" w:space="0" w:color="auto"/>
                <w:right w:val="none" w:sz="0" w:space="0" w:color="auto"/>
              </w:pBdr>
              <w:spacing w:before="0" w:beforeAutospacing="0" w:after="0" w:afterAutospacing="0"/>
              <w:rPr>
                <w:rFonts w:ascii="Times New Roman" w:hAnsi="Times New Roman"/>
                <w:kern w:val="2"/>
              </w:rPr>
            </w:pPr>
          </w:p>
        </w:tc>
      </w:tr>
    </w:tbl>
    <w:p w:rsidR="00C223F5" w:rsidRDefault="005860D5">
      <w:pPr>
        <w:tabs>
          <w:tab w:val="left" w:pos="1290"/>
        </w:tabs>
        <w:ind w:firstLineChars="50" w:firstLine="105"/>
        <w:jc w:val="left"/>
        <w:rPr>
          <w:szCs w:val="16"/>
        </w:rPr>
      </w:pPr>
      <w:bookmarkStart w:id="544" w:name="_Toc324490378"/>
      <w:bookmarkStart w:id="545" w:name="_Toc353261346"/>
      <w:bookmarkStart w:id="546" w:name="_Toc324489238"/>
      <w:r>
        <w:rPr>
          <w:rFonts w:eastAsia="新宋体"/>
          <w:szCs w:val="21"/>
        </w:rPr>
        <w:t>备注：生态补偿费（</w:t>
      </w:r>
      <w:r>
        <w:rPr>
          <w:rFonts w:eastAsia="新宋体" w:hint="eastAsia"/>
          <w:szCs w:val="21"/>
        </w:rPr>
        <w:t>45</w:t>
      </w:r>
      <w:r>
        <w:rPr>
          <w:rFonts w:eastAsia="新宋体"/>
          <w:szCs w:val="21"/>
        </w:rPr>
        <w:t>0</w:t>
      </w:r>
      <w:r>
        <w:rPr>
          <w:rFonts w:eastAsia="新宋体"/>
          <w:szCs w:val="21"/>
        </w:rPr>
        <w:t>万元</w:t>
      </w:r>
      <w:r>
        <w:rPr>
          <w:rFonts w:eastAsia="新宋体"/>
          <w:szCs w:val="21"/>
        </w:rPr>
        <w:t>/a</w:t>
      </w:r>
      <w:r>
        <w:rPr>
          <w:rFonts w:eastAsia="新宋体"/>
          <w:szCs w:val="21"/>
        </w:rPr>
        <w:t>）、场外道路改造、场内硬化等不包括在以上环保投资内</w:t>
      </w:r>
      <w:r>
        <w:rPr>
          <w:szCs w:val="16"/>
        </w:rPr>
        <w:t>。</w:t>
      </w:r>
    </w:p>
    <w:p w:rsidR="00C223F5" w:rsidRDefault="00C223F5" w:rsidP="004835BD">
      <w:pPr>
        <w:pStyle w:val="2"/>
        <w:numPr>
          <w:ilvl w:val="1"/>
          <w:numId w:val="0"/>
        </w:numPr>
        <w:spacing w:before="0" w:after="0" w:line="360" w:lineRule="auto"/>
        <w:rPr>
          <w:rFonts w:ascii="Times New Roman" w:eastAsia="宋体" w:hAnsi="Times New Roman"/>
          <w:b/>
          <w:bCs w:val="0"/>
          <w:color w:val="FF0000"/>
          <w:szCs w:val="30"/>
        </w:rPr>
        <w:sectPr w:rsidR="00C223F5">
          <w:pgSz w:w="16838" w:h="11906" w:orient="landscape"/>
          <w:pgMar w:top="1418" w:right="1440" w:bottom="1418" w:left="1440" w:header="851" w:footer="992" w:gutter="0"/>
          <w:cols w:space="425"/>
          <w:docGrid w:linePitch="312"/>
        </w:sectPr>
      </w:pPr>
    </w:p>
    <w:bookmarkEnd w:id="544"/>
    <w:bookmarkEnd w:id="545"/>
    <w:bookmarkEnd w:id="546"/>
    <w:p w:rsidR="00C223F5" w:rsidRDefault="005860D5">
      <w:pPr>
        <w:autoSpaceDE w:val="0"/>
        <w:autoSpaceDN w:val="0"/>
        <w:ind w:firstLine="482"/>
        <w:jc w:val="center"/>
        <w:rPr>
          <w:b/>
          <w:sz w:val="24"/>
        </w:rPr>
      </w:pPr>
      <w:r>
        <w:rPr>
          <w:b/>
          <w:sz w:val="24"/>
        </w:rPr>
        <w:lastRenderedPageBreak/>
        <w:t>表</w:t>
      </w:r>
      <w:r>
        <w:rPr>
          <w:b/>
          <w:sz w:val="24"/>
        </w:rPr>
        <w:t xml:space="preserve">6.2-2    </w:t>
      </w:r>
      <w:r>
        <w:rPr>
          <w:b/>
          <w:sz w:val="24"/>
        </w:rPr>
        <w:t>环境经济损益分析表</w:t>
      </w:r>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right w:w="57" w:type="dxa"/>
        </w:tblCellMar>
        <w:tblLook w:val="04A0" w:firstRow="1" w:lastRow="0" w:firstColumn="1" w:lastColumn="0" w:noHBand="0" w:noVBand="1"/>
      </w:tblPr>
      <w:tblGrid>
        <w:gridCol w:w="1090"/>
        <w:gridCol w:w="990"/>
        <w:gridCol w:w="1005"/>
        <w:gridCol w:w="5325"/>
      </w:tblGrid>
      <w:tr w:rsidR="00C223F5">
        <w:trPr>
          <w:jc w:val="center"/>
        </w:trPr>
        <w:tc>
          <w:tcPr>
            <w:tcW w:w="1090" w:type="dxa"/>
            <w:vAlign w:val="center"/>
          </w:tcPr>
          <w:p w:rsidR="00C223F5" w:rsidRDefault="005860D5">
            <w:pPr>
              <w:jc w:val="center"/>
              <w:rPr>
                <w:szCs w:val="18"/>
              </w:rPr>
            </w:pPr>
            <w:r>
              <w:rPr>
                <w:szCs w:val="18"/>
              </w:rPr>
              <w:t>评价指标</w:t>
            </w:r>
          </w:p>
        </w:tc>
        <w:tc>
          <w:tcPr>
            <w:tcW w:w="990" w:type="dxa"/>
            <w:vAlign w:val="center"/>
          </w:tcPr>
          <w:p w:rsidR="00C223F5" w:rsidRDefault="005860D5">
            <w:pPr>
              <w:jc w:val="center"/>
              <w:rPr>
                <w:szCs w:val="18"/>
              </w:rPr>
            </w:pPr>
            <w:r>
              <w:rPr>
                <w:szCs w:val="18"/>
              </w:rPr>
              <w:t>预测值</w:t>
            </w:r>
          </w:p>
        </w:tc>
        <w:tc>
          <w:tcPr>
            <w:tcW w:w="6330" w:type="dxa"/>
            <w:gridSpan w:val="2"/>
            <w:vAlign w:val="center"/>
          </w:tcPr>
          <w:p w:rsidR="00C223F5" w:rsidRDefault="005860D5">
            <w:pPr>
              <w:jc w:val="center"/>
              <w:rPr>
                <w:szCs w:val="18"/>
              </w:rPr>
            </w:pPr>
            <w:r>
              <w:rPr>
                <w:szCs w:val="18"/>
              </w:rPr>
              <w:t>备注</w:t>
            </w:r>
          </w:p>
        </w:tc>
      </w:tr>
      <w:tr w:rsidR="00C223F5">
        <w:trPr>
          <w:jc w:val="center"/>
        </w:trPr>
        <w:tc>
          <w:tcPr>
            <w:tcW w:w="1090" w:type="dxa"/>
            <w:vMerge w:val="restart"/>
            <w:vAlign w:val="center"/>
          </w:tcPr>
          <w:p w:rsidR="00C223F5" w:rsidRDefault="005860D5">
            <w:pPr>
              <w:jc w:val="center"/>
              <w:rPr>
                <w:szCs w:val="18"/>
              </w:rPr>
            </w:pPr>
            <w:r>
              <w:rPr>
                <w:szCs w:val="18"/>
              </w:rPr>
              <w:t>年环境</w:t>
            </w:r>
          </w:p>
          <w:p w:rsidR="00C223F5" w:rsidRDefault="005860D5">
            <w:pPr>
              <w:jc w:val="center"/>
              <w:rPr>
                <w:szCs w:val="18"/>
              </w:rPr>
            </w:pPr>
            <w:r>
              <w:rPr>
                <w:szCs w:val="18"/>
              </w:rPr>
              <w:t>代价</w:t>
            </w:r>
          </w:p>
        </w:tc>
        <w:tc>
          <w:tcPr>
            <w:tcW w:w="990" w:type="dxa"/>
            <w:vMerge w:val="restart"/>
            <w:vAlign w:val="center"/>
          </w:tcPr>
          <w:p w:rsidR="00C223F5" w:rsidRDefault="005860D5">
            <w:pPr>
              <w:jc w:val="center"/>
            </w:pPr>
            <w:r>
              <w:rPr>
                <w:rFonts w:hint="eastAsia"/>
              </w:rPr>
              <w:t>589.07</w:t>
            </w:r>
          </w:p>
          <w:p w:rsidR="00C223F5" w:rsidRDefault="005860D5">
            <w:pPr>
              <w:jc w:val="center"/>
              <w:rPr>
                <w:sz w:val="24"/>
              </w:rPr>
            </w:pPr>
            <w:r>
              <w:rPr>
                <w:iCs/>
                <w:szCs w:val="18"/>
              </w:rPr>
              <w:t>万元</w:t>
            </w:r>
            <w:r>
              <w:rPr>
                <w:iCs/>
                <w:szCs w:val="18"/>
              </w:rPr>
              <w:t>/</w:t>
            </w:r>
            <w:r>
              <w:rPr>
                <w:iCs/>
                <w:szCs w:val="18"/>
              </w:rPr>
              <w:t>年</w:t>
            </w:r>
          </w:p>
        </w:tc>
        <w:tc>
          <w:tcPr>
            <w:tcW w:w="6330" w:type="dxa"/>
            <w:gridSpan w:val="2"/>
            <w:vAlign w:val="center"/>
          </w:tcPr>
          <w:p w:rsidR="00C223F5" w:rsidRDefault="005860D5">
            <w:pPr>
              <w:jc w:val="center"/>
              <w:rPr>
                <w:szCs w:val="18"/>
              </w:rPr>
            </w:pPr>
            <w:r>
              <w:rPr>
                <w:rFonts w:hint="eastAsia"/>
                <w:szCs w:val="18"/>
              </w:rPr>
              <w:t>水</w:t>
            </w:r>
            <w:r>
              <w:rPr>
                <w:szCs w:val="18"/>
              </w:rPr>
              <w:t>污染物排污费</w:t>
            </w:r>
            <w:r>
              <w:rPr>
                <w:rFonts w:hint="eastAsia"/>
                <w:szCs w:val="18"/>
              </w:rPr>
              <w:t>3.11</w:t>
            </w:r>
            <w:r>
              <w:rPr>
                <w:szCs w:val="18"/>
              </w:rPr>
              <w:t>万元</w:t>
            </w:r>
            <w:r>
              <w:rPr>
                <w:szCs w:val="18"/>
              </w:rPr>
              <w:t>/</w:t>
            </w:r>
            <w:r>
              <w:rPr>
                <w:szCs w:val="18"/>
              </w:rPr>
              <w:t>年</w:t>
            </w:r>
          </w:p>
        </w:tc>
      </w:tr>
      <w:tr w:rsidR="00C223F5">
        <w:trPr>
          <w:jc w:val="center"/>
        </w:trPr>
        <w:tc>
          <w:tcPr>
            <w:tcW w:w="1090" w:type="dxa"/>
            <w:vMerge/>
            <w:vAlign w:val="center"/>
          </w:tcPr>
          <w:p w:rsidR="00C223F5" w:rsidRDefault="00C223F5">
            <w:pPr>
              <w:jc w:val="center"/>
              <w:rPr>
                <w:szCs w:val="18"/>
              </w:rPr>
            </w:pPr>
          </w:p>
        </w:tc>
        <w:tc>
          <w:tcPr>
            <w:tcW w:w="990" w:type="dxa"/>
            <w:vMerge/>
            <w:vAlign w:val="center"/>
          </w:tcPr>
          <w:p w:rsidR="00C223F5" w:rsidRDefault="00C223F5">
            <w:pPr>
              <w:jc w:val="center"/>
            </w:pPr>
          </w:p>
        </w:tc>
        <w:tc>
          <w:tcPr>
            <w:tcW w:w="6330" w:type="dxa"/>
            <w:gridSpan w:val="2"/>
            <w:vAlign w:val="center"/>
          </w:tcPr>
          <w:p w:rsidR="00C223F5" w:rsidRDefault="005860D5">
            <w:pPr>
              <w:jc w:val="center"/>
              <w:rPr>
                <w:szCs w:val="18"/>
              </w:rPr>
            </w:pPr>
            <w:r>
              <w:rPr>
                <w:rFonts w:hint="eastAsia"/>
                <w:szCs w:val="15"/>
              </w:rPr>
              <w:t>运行期沉陷区补偿费，平均为</w:t>
            </w:r>
            <w:r>
              <w:rPr>
                <w:rFonts w:hint="eastAsia"/>
                <w:szCs w:val="15"/>
              </w:rPr>
              <w:t>450</w:t>
            </w:r>
            <w:r>
              <w:rPr>
                <w:szCs w:val="15"/>
              </w:rPr>
              <w:t>万元</w:t>
            </w:r>
            <w:r>
              <w:rPr>
                <w:szCs w:val="15"/>
              </w:rPr>
              <w:t>/</w:t>
            </w:r>
            <w:r>
              <w:rPr>
                <w:szCs w:val="15"/>
              </w:rPr>
              <w:t>年</w:t>
            </w:r>
          </w:p>
        </w:tc>
      </w:tr>
      <w:tr w:rsidR="00C223F5">
        <w:trPr>
          <w:jc w:val="center"/>
        </w:trPr>
        <w:tc>
          <w:tcPr>
            <w:tcW w:w="1090" w:type="dxa"/>
            <w:vMerge/>
            <w:vAlign w:val="center"/>
          </w:tcPr>
          <w:p w:rsidR="00C223F5" w:rsidRDefault="00C223F5">
            <w:pPr>
              <w:jc w:val="center"/>
              <w:rPr>
                <w:color w:val="FF0000"/>
                <w:szCs w:val="18"/>
              </w:rPr>
            </w:pPr>
          </w:p>
        </w:tc>
        <w:tc>
          <w:tcPr>
            <w:tcW w:w="990" w:type="dxa"/>
            <w:vMerge/>
            <w:vAlign w:val="center"/>
          </w:tcPr>
          <w:p w:rsidR="00C223F5" w:rsidRDefault="00C223F5">
            <w:pPr>
              <w:jc w:val="center"/>
              <w:rPr>
                <w:color w:val="FF0000"/>
              </w:rPr>
            </w:pPr>
          </w:p>
        </w:tc>
        <w:tc>
          <w:tcPr>
            <w:tcW w:w="6330" w:type="dxa"/>
            <w:gridSpan w:val="2"/>
            <w:vAlign w:val="center"/>
          </w:tcPr>
          <w:p w:rsidR="00C223F5" w:rsidRDefault="005860D5">
            <w:pPr>
              <w:jc w:val="center"/>
              <w:rPr>
                <w:szCs w:val="18"/>
              </w:rPr>
            </w:pPr>
            <w:r>
              <w:rPr>
                <w:szCs w:val="15"/>
              </w:rPr>
              <w:t>环境工程运行费，</w:t>
            </w:r>
            <w:r>
              <w:rPr>
                <w:rFonts w:hint="eastAsia"/>
                <w:szCs w:val="18"/>
              </w:rPr>
              <w:t>134</w:t>
            </w:r>
            <w:r>
              <w:rPr>
                <w:szCs w:val="15"/>
              </w:rPr>
              <w:t>万元</w:t>
            </w:r>
            <w:r>
              <w:rPr>
                <w:szCs w:val="15"/>
              </w:rPr>
              <w:t>/</w:t>
            </w:r>
            <w:r>
              <w:rPr>
                <w:szCs w:val="15"/>
              </w:rPr>
              <w:t>年</w:t>
            </w:r>
          </w:p>
        </w:tc>
      </w:tr>
      <w:tr w:rsidR="00C223F5">
        <w:trPr>
          <w:jc w:val="center"/>
        </w:trPr>
        <w:tc>
          <w:tcPr>
            <w:tcW w:w="1090" w:type="dxa"/>
            <w:vAlign w:val="center"/>
          </w:tcPr>
          <w:p w:rsidR="00C223F5" w:rsidRDefault="005860D5">
            <w:pPr>
              <w:jc w:val="center"/>
              <w:rPr>
                <w:szCs w:val="18"/>
              </w:rPr>
            </w:pPr>
            <w:r>
              <w:rPr>
                <w:szCs w:val="18"/>
              </w:rPr>
              <w:t>环境成本</w:t>
            </w:r>
          </w:p>
        </w:tc>
        <w:tc>
          <w:tcPr>
            <w:tcW w:w="990" w:type="dxa"/>
            <w:vAlign w:val="center"/>
          </w:tcPr>
          <w:p w:rsidR="00C223F5" w:rsidRDefault="005860D5">
            <w:pPr>
              <w:jc w:val="center"/>
              <w:rPr>
                <w:iCs/>
                <w:szCs w:val="18"/>
              </w:rPr>
            </w:pPr>
            <w:r>
              <w:rPr>
                <w:rFonts w:hint="eastAsia"/>
                <w:iCs/>
                <w:szCs w:val="18"/>
              </w:rPr>
              <w:t>6.52</w:t>
            </w:r>
            <w:r>
              <w:rPr>
                <w:iCs/>
                <w:szCs w:val="18"/>
              </w:rPr>
              <w:t>万元</w:t>
            </w:r>
            <w:r>
              <w:rPr>
                <w:iCs/>
                <w:szCs w:val="18"/>
              </w:rPr>
              <w:t>/</w:t>
            </w:r>
            <w:r>
              <w:rPr>
                <w:iCs/>
                <w:szCs w:val="18"/>
              </w:rPr>
              <w:t>万吨煤</w:t>
            </w:r>
          </w:p>
        </w:tc>
        <w:tc>
          <w:tcPr>
            <w:tcW w:w="6330" w:type="dxa"/>
            <w:gridSpan w:val="2"/>
            <w:vAlign w:val="center"/>
          </w:tcPr>
          <w:p w:rsidR="00C223F5" w:rsidRDefault="005860D5">
            <w:pPr>
              <w:jc w:val="center"/>
              <w:rPr>
                <w:szCs w:val="18"/>
              </w:rPr>
            </w:pPr>
            <w:r>
              <w:rPr>
                <w:szCs w:val="18"/>
              </w:rPr>
              <w:t>即煤矿每生产</w:t>
            </w:r>
            <w:r>
              <w:rPr>
                <w:szCs w:val="18"/>
              </w:rPr>
              <w:t>1</w:t>
            </w:r>
            <w:r>
              <w:rPr>
                <w:szCs w:val="18"/>
              </w:rPr>
              <w:t>万吨煤付出的环境代价为</w:t>
            </w:r>
            <w:r>
              <w:rPr>
                <w:rFonts w:hint="eastAsia"/>
                <w:iCs/>
                <w:szCs w:val="18"/>
              </w:rPr>
              <w:t>6.52</w:t>
            </w:r>
            <w:r>
              <w:rPr>
                <w:szCs w:val="18"/>
              </w:rPr>
              <w:t>万元</w:t>
            </w:r>
          </w:p>
        </w:tc>
      </w:tr>
      <w:tr w:rsidR="00C223F5">
        <w:trPr>
          <w:jc w:val="center"/>
        </w:trPr>
        <w:tc>
          <w:tcPr>
            <w:tcW w:w="1090" w:type="dxa"/>
            <w:vAlign w:val="center"/>
          </w:tcPr>
          <w:p w:rsidR="00C223F5" w:rsidRDefault="005860D5">
            <w:pPr>
              <w:jc w:val="center"/>
              <w:rPr>
                <w:szCs w:val="18"/>
              </w:rPr>
            </w:pPr>
            <w:r>
              <w:rPr>
                <w:szCs w:val="18"/>
              </w:rPr>
              <w:t>环境系数</w:t>
            </w:r>
          </w:p>
        </w:tc>
        <w:tc>
          <w:tcPr>
            <w:tcW w:w="990" w:type="dxa"/>
            <w:vAlign w:val="center"/>
          </w:tcPr>
          <w:p w:rsidR="00C223F5" w:rsidRDefault="005860D5">
            <w:pPr>
              <w:jc w:val="center"/>
            </w:pPr>
            <w:r>
              <w:rPr>
                <w:rFonts w:hint="eastAsia"/>
              </w:rPr>
              <w:t>0.016</w:t>
            </w:r>
          </w:p>
        </w:tc>
        <w:tc>
          <w:tcPr>
            <w:tcW w:w="6330" w:type="dxa"/>
            <w:gridSpan w:val="2"/>
            <w:vAlign w:val="center"/>
          </w:tcPr>
          <w:p w:rsidR="00C223F5" w:rsidRDefault="005860D5">
            <w:pPr>
              <w:jc w:val="center"/>
              <w:rPr>
                <w:szCs w:val="18"/>
              </w:rPr>
            </w:pPr>
            <w:r>
              <w:rPr>
                <w:szCs w:val="18"/>
              </w:rPr>
              <w:t>按产品煤价</w:t>
            </w:r>
            <w:r>
              <w:rPr>
                <w:rFonts w:hint="eastAsia"/>
                <w:szCs w:val="18"/>
              </w:rPr>
              <w:t>42</w:t>
            </w:r>
            <w:r>
              <w:rPr>
                <w:szCs w:val="18"/>
              </w:rPr>
              <w:t>0</w:t>
            </w:r>
            <w:r>
              <w:rPr>
                <w:szCs w:val="18"/>
              </w:rPr>
              <w:t>元</w:t>
            </w:r>
            <w:r>
              <w:rPr>
                <w:szCs w:val="18"/>
              </w:rPr>
              <w:t>/t</w:t>
            </w:r>
            <w:r>
              <w:rPr>
                <w:szCs w:val="18"/>
              </w:rPr>
              <w:t>计算，年煤炭销售总收入（含税）</w:t>
            </w:r>
            <w:r>
              <w:rPr>
                <w:rFonts w:hint="eastAsia"/>
                <w:iCs/>
                <w:szCs w:val="18"/>
              </w:rPr>
              <w:t>37800</w:t>
            </w:r>
            <w:r>
              <w:rPr>
                <w:szCs w:val="18"/>
              </w:rPr>
              <w:t>万元</w:t>
            </w:r>
          </w:p>
        </w:tc>
      </w:tr>
      <w:tr w:rsidR="00C223F5">
        <w:trPr>
          <w:jc w:val="center"/>
        </w:trPr>
        <w:tc>
          <w:tcPr>
            <w:tcW w:w="1090" w:type="dxa"/>
            <w:vAlign w:val="center"/>
          </w:tcPr>
          <w:p w:rsidR="00C223F5" w:rsidRDefault="005860D5">
            <w:pPr>
              <w:jc w:val="center"/>
              <w:rPr>
                <w:szCs w:val="18"/>
              </w:rPr>
            </w:pPr>
            <w:r>
              <w:rPr>
                <w:szCs w:val="18"/>
              </w:rPr>
              <w:t>环境工程</w:t>
            </w:r>
          </w:p>
          <w:p w:rsidR="00C223F5" w:rsidRDefault="005860D5">
            <w:pPr>
              <w:jc w:val="center"/>
              <w:rPr>
                <w:szCs w:val="18"/>
              </w:rPr>
            </w:pPr>
            <w:r>
              <w:rPr>
                <w:szCs w:val="18"/>
              </w:rPr>
              <w:t>比例系数</w:t>
            </w:r>
          </w:p>
        </w:tc>
        <w:tc>
          <w:tcPr>
            <w:tcW w:w="990" w:type="dxa"/>
            <w:vAlign w:val="center"/>
          </w:tcPr>
          <w:p w:rsidR="00C223F5" w:rsidRDefault="005860D5">
            <w:pPr>
              <w:jc w:val="center"/>
            </w:pPr>
            <w:r>
              <w:rPr>
                <w:rFonts w:hint="eastAsia"/>
              </w:rPr>
              <w:t>1.54</w:t>
            </w:r>
            <w:r>
              <w:t>%</w:t>
            </w:r>
          </w:p>
        </w:tc>
        <w:tc>
          <w:tcPr>
            <w:tcW w:w="6330" w:type="dxa"/>
            <w:gridSpan w:val="2"/>
            <w:vAlign w:val="center"/>
          </w:tcPr>
          <w:p w:rsidR="00C223F5" w:rsidRDefault="005860D5">
            <w:pPr>
              <w:jc w:val="center"/>
              <w:rPr>
                <w:szCs w:val="18"/>
              </w:rPr>
            </w:pPr>
            <w:r>
              <w:rPr>
                <w:szCs w:val="18"/>
              </w:rPr>
              <w:t>环境工程投资为</w:t>
            </w:r>
            <w:r>
              <w:rPr>
                <w:rFonts w:hint="eastAsia"/>
                <w:iCs/>
                <w:szCs w:val="18"/>
              </w:rPr>
              <w:t>1339.6</w:t>
            </w:r>
            <w:r>
              <w:rPr>
                <w:szCs w:val="18"/>
              </w:rPr>
              <w:t>万元</w:t>
            </w:r>
          </w:p>
        </w:tc>
      </w:tr>
      <w:tr w:rsidR="00C223F5">
        <w:trPr>
          <w:trHeight w:val="139"/>
          <w:jc w:val="center"/>
        </w:trPr>
        <w:tc>
          <w:tcPr>
            <w:tcW w:w="1090" w:type="dxa"/>
            <w:vMerge w:val="restart"/>
            <w:vAlign w:val="center"/>
          </w:tcPr>
          <w:p w:rsidR="00C223F5" w:rsidRDefault="005860D5">
            <w:pPr>
              <w:jc w:val="center"/>
              <w:rPr>
                <w:szCs w:val="18"/>
              </w:rPr>
            </w:pPr>
            <w:r>
              <w:rPr>
                <w:szCs w:val="18"/>
              </w:rPr>
              <w:t>环境经济</w:t>
            </w:r>
          </w:p>
          <w:p w:rsidR="00C223F5" w:rsidRDefault="005860D5">
            <w:pPr>
              <w:jc w:val="center"/>
              <w:rPr>
                <w:szCs w:val="18"/>
              </w:rPr>
            </w:pPr>
            <w:r>
              <w:rPr>
                <w:szCs w:val="18"/>
              </w:rPr>
              <w:t>效益系数</w:t>
            </w:r>
          </w:p>
        </w:tc>
        <w:tc>
          <w:tcPr>
            <w:tcW w:w="990" w:type="dxa"/>
            <w:vMerge w:val="restart"/>
            <w:vAlign w:val="center"/>
          </w:tcPr>
          <w:p w:rsidR="00C223F5" w:rsidRDefault="005860D5">
            <w:pPr>
              <w:jc w:val="center"/>
              <w:rPr>
                <w:iCs/>
                <w:szCs w:val="18"/>
              </w:rPr>
            </w:pPr>
            <w:r>
              <w:rPr>
                <w:rFonts w:hint="eastAsia"/>
                <w:iCs/>
                <w:szCs w:val="18"/>
              </w:rPr>
              <w:t>0.46</w:t>
            </w:r>
          </w:p>
        </w:tc>
        <w:tc>
          <w:tcPr>
            <w:tcW w:w="1005" w:type="dxa"/>
            <w:vMerge w:val="restart"/>
            <w:vAlign w:val="center"/>
          </w:tcPr>
          <w:p w:rsidR="00C223F5" w:rsidRDefault="005860D5">
            <w:pPr>
              <w:jc w:val="center"/>
              <w:rPr>
                <w:szCs w:val="18"/>
              </w:rPr>
            </w:pPr>
            <w:r>
              <w:rPr>
                <w:szCs w:val="18"/>
              </w:rPr>
              <w:t>污废水</w:t>
            </w:r>
          </w:p>
          <w:p w:rsidR="00C223F5" w:rsidRDefault="005860D5">
            <w:pPr>
              <w:jc w:val="center"/>
              <w:rPr>
                <w:szCs w:val="18"/>
              </w:rPr>
            </w:pPr>
            <w:r>
              <w:rPr>
                <w:szCs w:val="18"/>
              </w:rPr>
              <w:t>处理</w:t>
            </w:r>
          </w:p>
        </w:tc>
        <w:tc>
          <w:tcPr>
            <w:tcW w:w="5325" w:type="dxa"/>
            <w:vAlign w:val="center"/>
          </w:tcPr>
          <w:p w:rsidR="00C223F5" w:rsidRDefault="005860D5">
            <w:pPr>
              <w:jc w:val="center"/>
              <w:rPr>
                <w:szCs w:val="18"/>
              </w:rPr>
            </w:pPr>
            <w:r>
              <w:rPr>
                <w:szCs w:val="18"/>
              </w:rPr>
              <w:t>减少排污收费：</w:t>
            </w:r>
            <w:r>
              <w:rPr>
                <w:rFonts w:hint="eastAsia"/>
              </w:rPr>
              <w:t>5.26</w:t>
            </w:r>
            <w:r>
              <w:rPr>
                <w:szCs w:val="18"/>
              </w:rPr>
              <w:t>万元</w:t>
            </w:r>
            <w:r>
              <w:rPr>
                <w:szCs w:val="18"/>
              </w:rPr>
              <w:t>/</w:t>
            </w:r>
            <w:r>
              <w:rPr>
                <w:szCs w:val="18"/>
              </w:rPr>
              <w:t>年</w:t>
            </w:r>
          </w:p>
        </w:tc>
      </w:tr>
      <w:tr w:rsidR="00C223F5">
        <w:trPr>
          <w:jc w:val="center"/>
        </w:trPr>
        <w:tc>
          <w:tcPr>
            <w:tcW w:w="1090" w:type="dxa"/>
            <w:vMerge/>
            <w:vAlign w:val="center"/>
          </w:tcPr>
          <w:p w:rsidR="00C223F5" w:rsidRDefault="00C223F5">
            <w:pPr>
              <w:jc w:val="center"/>
              <w:rPr>
                <w:szCs w:val="18"/>
              </w:rPr>
            </w:pPr>
          </w:p>
        </w:tc>
        <w:tc>
          <w:tcPr>
            <w:tcW w:w="990" w:type="dxa"/>
            <w:vMerge/>
            <w:vAlign w:val="center"/>
          </w:tcPr>
          <w:p w:rsidR="00C223F5" w:rsidRDefault="00C223F5">
            <w:pPr>
              <w:jc w:val="center"/>
              <w:rPr>
                <w:szCs w:val="18"/>
              </w:rPr>
            </w:pPr>
          </w:p>
        </w:tc>
        <w:tc>
          <w:tcPr>
            <w:tcW w:w="1005" w:type="dxa"/>
            <w:vMerge/>
            <w:vAlign w:val="center"/>
          </w:tcPr>
          <w:p w:rsidR="00C223F5" w:rsidRDefault="00C223F5">
            <w:pPr>
              <w:jc w:val="center"/>
              <w:rPr>
                <w:szCs w:val="18"/>
              </w:rPr>
            </w:pPr>
          </w:p>
        </w:tc>
        <w:tc>
          <w:tcPr>
            <w:tcW w:w="5325" w:type="dxa"/>
            <w:vAlign w:val="center"/>
          </w:tcPr>
          <w:p w:rsidR="00C223F5" w:rsidRDefault="005860D5">
            <w:pPr>
              <w:jc w:val="center"/>
              <w:rPr>
                <w:szCs w:val="18"/>
              </w:rPr>
            </w:pPr>
            <w:r>
              <w:rPr>
                <w:szCs w:val="18"/>
              </w:rPr>
              <w:t>节约水资源费：</w:t>
            </w:r>
            <w:r>
              <w:rPr>
                <w:rFonts w:hint="eastAsia"/>
                <w:szCs w:val="18"/>
              </w:rPr>
              <w:t>66.15</w:t>
            </w:r>
            <w:r>
              <w:rPr>
                <w:szCs w:val="18"/>
              </w:rPr>
              <w:t>万</w:t>
            </w:r>
            <w:r>
              <w:rPr>
                <w:szCs w:val="18"/>
              </w:rPr>
              <w:t>m</w:t>
            </w:r>
            <w:r>
              <w:rPr>
                <w:szCs w:val="18"/>
                <w:vertAlign w:val="superscript"/>
              </w:rPr>
              <w:t>3</w:t>
            </w:r>
            <w:r>
              <w:rPr>
                <w:szCs w:val="18"/>
              </w:rPr>
              <w:t>*</w:t>
            </w:r>
            <w:r>
              <w:rPr>
                <w:rFonts w:hint="eastAsia"/>
                <w:szCs w:val="18"/>
              </w:rPr>
              <w:t>2.8</w:t>
            </w:r>
            <w:r>
              <w:rPr>
                <w:szCs w:val="18"/>
              </w:rPr>
              <w:t>元</w:t>
            </w:r>
            <w:r>
              <w:rPr>
                <w:szCs w:val="18"/>
              </w:rPr>
              <w:t>/m</w:t>
            </w:r>
            <w:r>
              <w:rPr>
                <w:szCs w:val="18"/>
                <w:vertAlign w:val="superscript"/>
              </w:rPr>
              <w:t>3</w:t>
            </w:r>
            <w:r>
              <w:rPr>
                <w:szCs w:val="18"/>
              </w:rPr>
              <w:t>=</w:t>
            </w:r>
            <w:r>
              <w:rPr>
                <w:rFonts w:hint="eastAsia"/>
                <w:szCs w:val="18"/>
              </w:rPr>
              <w:t>185.22</w:t>
            </w:r>
            <w:r>
              <w:rPr>
                <w:szCs w:val="18"/>
              </w:rPr>
              <w:t>万元</w:t>
            </w:r>
            <w:r>
              <w:rPr>
                <w:szCs w:val="18"/>
              </w:rPr>
              <w:t>/</w:t>
            </w:r>
            <w:r>
              <w:rPr>
                <w:szCs w:val="18"/>
              </w:rPr>
              <w:t>年</w:t>
            </w:r>
          </w:p>
        </w:tc>
      </w:tr>
      <w:tr w:rsidR="00C223F5">
        <w:trPr>
          <w:trHeight w:val="347"/>
          <w:jc w:val="center"/>
        </w:trPr>
        <w:tc>
          <w:tcPr>
            <w:tcW w:w="1090" w:type="dxa"/>
            <w:vMerge/>
            <w:vAlign w:val="center"/>
          </w:tcPr>
          <w:p w:rsidR="00C223F5" w:rsidRDefault="00C223F5">
            <w:pPr>
              <w:jc w:val="center"/>
              <w:rPr>
                <w:szCs w:val="18"/>
              </w:rPr>
            </w:pPr>
          </w:p>
        </w:tc>
        <w:tc>
          <w:tcPr>
            <w:tcW w:w="990" w:type="dxa"/>
            <w:vMerge/>
            <w:vAlign w:val="center"/>
          </w:tcPr>
          <w:p w:rsidR="00C223F5" w:rsidRDefault="00C223F5">
            <w:pPr>
              <w:jc w:val="center"/>
              <w:rPr>
                <w:szCs w:val="18"/>
              </w:rPr>
            </w:pPr>
          </w:p>
        </w:tc>
        <w:tc>
          <w:tcPr>
            <w:tcW w:w="1005" w:type="dxa"/>
            <w:vMerge w:val="restart"/>
            <w:vAlign w:val="center"/>
          </w:tcPr>
          <w:p w:rsidR="00C223F5" w:rsidRDefault="005860D5">
            <w:pPr>
              <w:jc w:val="center"/>
              <w:rPr>
                <w:szCs w:val="18"/>
              </w:rPr>
            </w:pPr>
            <w:r>
              <w:rPr>
                <w:szCs w:val="18"/>
              </w:rPr>
              <w:t>固废治理</w:t>
            </w:r>
          </w:p>
        </w:tc>
        <w:tc>
          <w:tcPr>
            <w:tcW w:w="5325" w:type="dxa"/>
            <w:vAlign w:val="center"/>
          </w:tcPr>
          <w:p w:rsidR="00C223F5" w:rsidRDefault="005860D5">
            <w:pPr>
              <w:jc w:val="center"/>
              <w:rPr>
                <w:szCs w:val="18"/>
              </w:rPr>
            </w:pPr>
            <w:r>
              <w:rPr>
                <w:szCs w:val="18"/>
              </w:rPr>
              <w:t>回收矿井水处理站煤泥：</w:t>
            </w:r>
            <w:r>
              <w:rPr>
                <w:rFonts w:hint="eastAsia"/>
                <w:szCs w:val="18"/>
              </w:rPr>
              <w:t>34.0</w:t>
            </w:r>
            <w:r>
              <w:rPr>
                <w:szCs w:val="18"/>
              </w:rPr>
              <w:t>t/a*</w:t>
            </w:r>
            <w:r>
              <w:rPr>
                <w:rFonts w:hint="eastAsia"/>
                <w:szCs w:val="18"/>
              </w:rPr>
              <w:t>230</w:t>
            </w:r>
            <w:r>
              <w:rPr>
                <w:szCs w:val="18"/>
              </w:rPr>
              <w:t>元</w:t>
            </w:r>
            <w:r>
              <w:rPr>
                <w:szCs w:val="18"/>
              </w:rPr>
              <w:t>/t=</w:t>
            </w:r>
            <w:r>
              <w:rPr>
                <w:rFonts w:hint="eastAsia"/>
                <w:szCs w:val="18"/>
              </w:rPr>
              <w:t>0.78</w:t>
            </w:r>
            <w:r>
              <w:rPr>
                <w:szCs w:val="18"/>
              </w:rPr>
              <w:t>万元</w:t>
            </w:r>
            <w:r>
              <w:rPr>
                <w:szCs w:val="18"/>
              </w:rPr>
              <w:t>/</w:t>
            </w:r>
            <w:r>
              <w:rPr>
                <w:szCs w:val="18"/>
              </w:rPr>
              <w:t>年</w:t>
            </w:r>
          </w:p>
        </w:tc>
      </w:tr>
      <w:tr w:rsidR="00C223F5">
        <w:trPr>
          <w:trHeight w:val="347"/>
          <w:jc w:val="center"/>
        </w:trPr>
        <w:tc>
          <w:tcPr>
            <w:tcW w:w="1090" w:type="dxa"/>
            <w:vMerge/>
            <w:vAlign w:val="center"/>
          </w:tcPr>
          <w:p w:rsidR="00C223F5" w:rsidRDefault="00C223F5">
            <w:pPr>
              <w:jc w:val="center"/>
              <w:rPr>
                <w:szCs w:val="18"/>
              </w:rPr>
            </w:pPr>
          </w:p>
        </w:tc>
        <w:tc>
          <w:tcPr>
            <w:tcW w:w="990" w:type="dxa"/>
            <w:vMerge/>
            <w:vAlign w:val="center"/>
          </w:tcPr>
          <w:p w:rsidR="00C223F5" w:rsidRDefault="00C223F5">
            <w:pPr>
              <w:jc w:val="center"/>
              <w:rPr>
                <w:szCs w:val="18"/>
              </w:rPr>
            </w:pPr>
          </w:p>
        </w:tc>
        <w:tc>
          <w:tcPr>
            <w:tcW w:w="1005" w:type="dxa"/>
            <w:vMerge/>
            <w:vAlign w:val="center"/>
          </w:tcPr>
          <w:p w:rsidR="00C223F5" w:rsidRDefault="00C223F5">
            <w:pPr>
              <w:jc w:val="center"/>
              <w:rPr>
                <w:szCs w:val="18"/>
              </w:rPr>
            </w:pPr>
          </w:p>
        </w:tc>
        <w:tc>
          <w:tcPr>
            <w:tcW w:w="5325" w:type="dxa"/>
            <w:vAlign w:val="center"/>
          </w:tcPr>
          <w:p w:rsidR="00C223F5" w:rsidRDefault="005860D5">
            <w:pPr>
              <w:jc w:val="center"/>
              <w:rPr>
                <w:szCs w:val="18"/>
              </w:rPr>
            </w:pPr>
            <w:r>
              <w:rPr>
                <w:szCs w:val="18"/>
              </w:rPr>
              <w:t>煤矸石减少排污费：</w:t>
            </w:r>
            <w:r>
              <w:rPr>
                <w:rFonts w:hint="eastAsia"/>
                <w:szCs w:val="21"/>
              </w:rPr>
              <w:t>214600</w:t>
            </w:r>
            <w:r>
              <w:rPr>
                <w:szCs w:val="18"/>
              </w:rPr>
              <w:t>t/a*</w:t>
            </w:r>
            <w:r>
              <w:rPr>
                <w:rFonts w:hint="eastAsia"/>
                <w:szCs w:val="18"/>
              </w:rPr>
              <w:t>3.5</w:t>
            </w:r>
            <w:r>
              <w:rPr>
                <w:szCs w:val="18"/>
              </w:rPr>
              <w:t>元</w:t>
            </w:r>
            <w:r>
              <w:rPr>
                <w:szCs w:val="18"/>
              </w:rPr>
              <w:t>/t =</w:t>
            </w:r>
            <w:r>
              <w:rPr>
                <w:rFonts w:hint="eastAsia"/>
              </w:rPr>
              <w:t>75.11</w:t>
            </w:r>
            <w:r>
              <w:rPr>
                <w:szCs w:val="18"/>
              </w:rPr>
              <w:t>万元</w:t>
            </w:r>
            <w:r>
              <w:rPr>
                <w:szCs w:val="18"/>
              </w:rPr>
              <w:t>/</w:t>
            </w:r>
            <w:r>
              <w:rPr>
                <w:szCs w:val="18"/>
              </w:rPr>
              <w:t>年</w:t>
            </w:r>
          </w:p>
        </w:tc>
      </w:tr>
      <w:tr w:rsidR="00C223F5">
        <w:trPr>
          <w:trHeight w:val="347"/>
          <w:jc w:val="center"/>
        </w:trPr>
        <w:tc>
          <w:tcPr>
            <w:tcW w:w="1090" w:type="dxa"/>
            <w:vMerge/>
            <w:vAlign w:val="center"/>
          </w:tcPr>
          <w:p w:rsidR="00C223F5" w:rsidRDefault="00C223F5">
            <w:pPr>
              <w:jc w:val="center"/>
              <w:rPr>
                <w:szCs w:val="18"/>
              </w:rPr>
            </w:pPr>
          </w:p>
        </w:tc>
        <w:tc>
          <w:tcPr>
            <w:tcW w:w="990" w:type="dxa"/>
            <w:vMerge/>
            <w:vAlign w:val="center"/>
          </w:tcPr>
          <w:p w:rsidR="00C223F5" w:rsidRDefault="00C223F5">
            <w:pPr>
              <w:jc w:val="center"/>
              <w:rPr>
                <w:szCs w:val="18"/>
              </w:rPr>
            </w:pPr>
          </w:p>
        </w:tc>
        <w:tc>
          <w:tcPr>
            <w:tcW w:w="1005" w:type="dxa"/>
            <w:vAlign w:val="center"/>
          </w:tcPr>
          <w:p w:rsidR="00C223F5" w:rsidRDefault="005860D5">
            <w:pPr>
              <w:jc w:val="center"/>
              <w:rPr>
                <w:szCs w:val="18"/>
              </w:rPr>
            </w:pPr>
            <w:r>
              <w:rPr>
                <w:szCs w:val="18"/>
              </w:rPr>
              <w:t>噪声治理</w:t>
            </w:r>
          </w:p>
        </w:tc>
        <w:tc>
          <w:tcPr>
            <w:tcW w:w="5325" w:type="dxa"/>
            <w:vAlign w:val="center"/>
          </w:tcPr>
          <w:p w:rsidR="00C223F5" w:rsidRDefault="005860D5">
            <w:pPr>
              <w:jc w:val="center"/>
              <w:rPr>
                <w:szCs w:val="18"/>
              </w:rPr>
            </w:pPr>
            <w:r>
              <w:rPr>
                <w:szCs w:val="18"/>
              </w:rPr>
              <w:t>采取措施减少噪声超标收费</w:t>
            </w:r>
            <w:r>
              <w:rPr>
                <w:rFonts w:hint="eastAsia"/>
                <w:szCs w:val="18"/>
              </w:rPr>
              <w:t>5.4</w:t>
            </w:r>
            <w:r>
              <w:rPr>
                <w:szCs w:val="18"/>
              </w:rPr>
              <w:t>万元</w:t>
            </w:r>
            <w:r>
              <w:rPr>
                <w:szCs w:val="18"/>
              </w:rPr>
              <w:t>/</w:t>
            </w:r>
            <w:r>
              <w:rPr>
                <w:szCs w:val="18"/>
              </w:rPr>
              <w:t>年</w:t>
            </w:r>
          </w:p>
        </w:tc>
      </w:tr>
      <w:tr w:rsidR="00C223F5">
        <w:trPr>
          <w:jc w:val="center"/>
        </w:trPr>
        <w:tc>
          <w:tcPr>
            <w:tcW w:w="1090" w:type="dxa"/>
            <w:vMerge/>
            <w:vAlign w:val="center"/>
          </w:tcPr>
          <w:p w:rsidR="00C223F5" w:rsidRDefault="00C223F5">
            <w:pPr>
              <w:jc w:val="center"/>
              <w:rPr>
                <w:szCs w:val="18"/>
              </w:rPr>
            </w:pPr>
          </w:p>
        </w:tc>
        <w:tc>
          <w:tcPr>
            <w:tcW w:w="990" w:type="dxa"/>
            <w:vMerge/>
            <w:vAlign w:val="center"/>
          </w:tcPr>
          <w:p w:rsidR="00C223F5" w:rsidRDefault="00C223F5">
            <w:pPr>
              <w:jc w:val="center"/>
              <w:rPr>
                <w:szCs w:val="18"/>
              </w:rPr>
            </w:pPr>
          </w:p>
        </w:tc>
        <w:tc>
          <w:tcPr>
            <w:tcW w:w="1005" w:type="dxa"/>
            <w:vAlign w:val="center"/>
          </w:tcPr>
          <w:p w:rsidR="00C223F5" w:rsidRDefault="005860D5">
            <w:pPr>
              <w:jc w:val="center"/>
              <w:rPr>
                <w:szCs w:val="18"/>
              </w:rPr>
            </w:pPr>
            <w:r>
              <w:rPr>
                <w:szCs w:val="18"/>
              </w:rPr>
              <w:t>小计</w:t>
            </w:r>
          </w:p>
        </w:tc>
        <w:tc>
          <w:tcPr>
            <w:tcW w:w="5325" w:type="dxa"/>
            <w:vAlign w:val="center"/>
          </w:tcPr>
          <w:p w:rsidR="00C223F5" w:rsidRDefault="005860D5">
            <w:pPr>
              <w:jc w:val="center"/>
              <w:rPr>
                <w:iCs/>
                <w:szCs w:val="18"/>
              </w:rPr>
            </w:pPr>
            <w:r>
              <w:rPr>
                <w:szCs w:val="18"/>
              </w:rPr>
              <w:t>采取措施后年环境收益</w:t>
            </w:r>
            <w:r>
              <w:rPr>
                <w:rFonts w:hint="eastAsia"/>
              </w:rPr>
              <w:t>271.77</w:t>
            </w:r>
            <w:r>
              <w:rPr>
                <w:szCs w:val="18"/>
              </w:rPr>
              <w:t>万元</w:t>
            </w:r>
            <w:r>
              <w:rPr>
                <w:szCs w:val="18"/>
              </w:rPr>
              <w:t>/</w:t>
            </w:r>
            <w:r>
              <w:rPr>
                <w:szCs w:val="18"/>
              </w:rPr>
              <w:t>年</w:t>
            </w:r>
          </w:p>
        </w:tc>
      </w:tr>
    </w:tbl>
    <w:p w:rsidR="00C223F5" w:rsidRDefault="00C223F5">
      <w:pPr>
        <w:autoSpaceDE w:val="0"/>
        <w:autoSpaceDN w:val="0"/>
        <w:ind w:firstLine="482"/>
        <w:jc w:val="center"/>
        <w:rPr>
          <w:b/>
          <w:sz w:val="24"/>
        </w:rPr>
      </w:pPr>
    </w:p>
    <w:p w:rsidR="00C223F5" w:rsidRDefault="005860D5">
      <w:pPr>
        <w:autoSpaceDE w:val="0"/>
        <w:autoSpaceDN w:val="0"/>
        <w:spacing w:line="360" w:lineRule="auto"/>
        <w:ind w:firstLine="482"/>
        <w:rPr>
          <w:b/>
          <w:sz w:val="24"/>
        </w:rPr>
      </w:pPr>
      <w:r>
        <w:rPr>
          <w:b/>
          <w:sz w:val="24"/>
        </w:rPr>
        <w:t>（</w:t>
      </w:r>
      <w:r>
        <w:rPr>
          <w:b/>
          <w:sz w:val="24"/>
        </w:rPr>
        <w:t>3</w:t>
      </w:r>
      <w:r>
        <w:rPr>
          <w:b/>
          <w:sz w:val="24"/>
        </w:rPr>
        <w:t>）结果分析</w:t>
      </w:r>
    </w:p>
    <w:p w:rsidR="00C223F5" w:rsidRDefault="005860D5">
      <w:pPr>
        <w:pStyle w:val="hb1"/>
        <w:ind w:firstLine="480"/>
        <w:rPr>
          <w:rFonts w:cs="Times New Roman"/>
        </w:rPr>
      </w:pPr>
      <w:r>
        <w:rPr>
          <w:rFonts w:cs="Times New Roman"/>
        </w:rPr>
        <w:t>对比国内其他矿区和邻近矿井环境经济损益情况（见表</w:t>
      </w:r>
      <w:r>
        <w:rPr>
          <w:rFonts w:cs="Times New Roman"/>
        </w:rPr>
        <w:t>6.2-3</w:t>
      </w:r>
      <w:r>
        <w:rPr>
          <w:rFonts w:cs="Times New Roman"/>
        </w:rPr>
        <w:t>），本项目各项环境损益指标处于中等水平，其主要原因为环评按陕西省要求提了</w:t>
      </w:r>
      <w:r>
        <w:rPr>
          <w:rFonts w:cs="Times New Roman"/>
        </w:rPr>
        <w:t>5</w:t>
      </w:r>
      <w:r>
        <w:rPr>
          <w:rFonts w:cs="Times New Roman"/>
        </w:rPr>
        <w:t>元</w:t>
      </w:r>
      <w:r>
        <w:rPr>
          <w:rFonts w:cs="Times New Roman"/>
        </w:rPr>
        <w:t>/t</w:t>
      </w:r>
      <w:r>
        <w:rPr>
          <w:rFonts w:cs="Times New Roman"/>
        </w:rPr>
        <w:t>煤矿山环境治理保证金。从项目环境损益分析结果看，</w:t>
      </w:r>
      <w:r>
        <w:rPr>
          <w:rFonts w:cs="Times New Roman" w:hint="eastAsia"/>
        </w:rPr>
        <w:t>天云</w:t>
      </w:r>
      <w:r>
        <w:rPr>
          <w:rFonts w:cs="Times New Roman"/>
        </w:rPr>
        <w:t>煤矿运营期在付出</w:t>
      </w:r>
      <w:r>
        <w:rPr>
          <w:rFonts w:cs="Times New Roman"/>
        </w:rPr>
        <w:t>1</w:t>
      </w:r>
      <w:r>
        <w:rPr>
          <w:rFonts w:cs="Times New Roman"/>
        </w:rPr>
        <w:t>元的环境保护费用后，在保证井田生态不受大的影响前提下又挽回了约</w:t>
      </w:r>
      <w:r>
        <w:rPr>
          <w:rFonts w:cs="Times New Roman"/>
        </w:rPr>
        <w:t>0.</w:t>
      </w:r>
      <w:r>
        <w:rPr>
          <w:rFonts w:cs="Times New Roman" w:hint="eastAsia"/>
        </w:rPr>
        <w:t>46</w:t>
      </w:r>
      <w:r>
        <w:rPr>
          <w:rFonts w:cs="Times New Roman"/>
        </w:rPr>
        <w:t>元的经济效益，环境经济可行。</w:t>
      </w:r>
    </w:p>
    <w:p w:rsidR="00C223F5" w:rsidRDefault="005860D5">
      <w:pPr>
        <w:autoSpaceDE w:val="0"/>
        <w:autoSpaceDN w:val="0"/>
        <w:ind w:firstLine="482"/>
        <w:jc w:val="center"/>
        <w:rPr>
          <w:b/>
          <w:sz w:val="24"/>
        </w:rPr>
      </w:pPr>
      <w:r>
        <w:rPr>
          <w:b/>
          <w:sz w:val="24"/>
        </w:rPr>
        <w:t>表</w:t>
      </w:r>
      <w:r>
        <w:rPr>
          <w:b/>
          <w:sz w:val="24"/>
        </w:rPr>
        <w:t xml:space="preserve">6.2-3   </w:t>
      </w:r>
      <w:r>
        <w:rPr>
          <w:b/>
          <w:sz w:val="24"/>
        </w:rPr>
        <w:t>项目与国内其他矿区、邻近矿井环境损益对比表</w:t>
      </w:r>
    </w:p>
    <w:tbl>
      <w:tblPr>
        <w:tblW w:w="835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tblCellMar>
        <w:tblLook w:val="04A0" w:firstRow="1" w:lastRow="0" w:firstColumn="1" w:lastColumn="0" w:noHBand="0" w:noVBand="1"/>
      </w:tblPr>
      <w:tblGrid>
        <w:gridCol w:w="2690"/>
        <w:gridCol w:w="1638"/>
        <w:gridCol w:w="1782"/>
        <w:gridCol w:w="2241"/>
      </w:tblGrid>
      <w:tr w:rsidR="00C223F5">
        <w:trPr>
          <w:jc w:val="center"/>
        </w:trPr>
        <w:tc>
          <w:tcPr>
            <w:tcW w:w="2690" w:type="dxa"/>
            <w:vAlign w:val="center"/>
          </w:tcPr>
          <w:p w:rsidR="00C223F5" w:rsidRDefault="005860D5">
            <w:pPr>
              <w:spacing w:line="240" w:lineRule="exact"/>
              <w:jc w:val="center"/>
              <w:rPr>
                <w:szCs w:val="21"/>
              </w:rPr>
            </w:pPr>
            <w:r>
              <w:rPr>
                <w:szCs w:val="21"/>
              </w:rPr>
              <w:t>矿区、矿井名称</w:t>
            </w:r>
          </w:p>
        </w:tc>
        <w:tc>
          <w:tcPr>
            <w:tcW w:w="1638" w:type="dxa"/>
            <w:vAlign w:val="center"/>
          </w:tcPr>
          <w:p w:rsidR="00C223F5" w:rsidRDefault="005860D5">
            <w:pPr>
              <w:spacing w:line="240" w:lineRule="exact"/>
              <w:jc w:val="center"/>
              <w:rPr>
                <w:szCs w:val="21"/>
              </w:rPr>
            </w:pPr>
            <w:r>
              <w:rPr>
                <w:szCs w:val="21"/>
              </w:rPr>
              <w:t>环境成本</w:t>
            </w:r>
          </w:p>
          <w:p w:rsidR="00C223F5" w:rsidRDefault="005860D5">
            <w:pPr>
              <w:spacing w:line="240" w:lineRule="exact"/>
              <w:jc w:val="center"/>
              <w:rPr>
                <w:szCs w:val="21"/>
              </w:rPr>
            </w:pPr>
            <w:r>
              <w:rPr>
                <w:szCs w:val="21"/>
              </w:rPr>
              <w:t>（元</w:t>
            </w:r>
            <w:r>
              <w:rPr>
                <w:szCs w:val="21"/>
              </w:rPr>
              <w:t>/t</w:t>
            </w:r>
            <w:r>
              <w:rPr>
                <w:szCs w:val="21"/>
              </w:rPr>
              <w:t>）</w:t>
            </w:r>
          </w:p>
        </w:tc>
        <w:tc>
          <w:tcPr>
            <w:tcW w:w="1782" w:type="dxa"/>
            <w:vAlign w:val="center"/>
          </w:tcPr>
          <w:p w:rsidR="00C223F5" w:rsidRDefault="005860D5">
            <w:pPr>
              <w:spacing w:line="240" w:lineRule="exact"/>
              <w:jc w:val="center"/>
              <w:rPr>
                <w:szCs w:val="21"/>
              </w:rPr>
            </w:pPr>
            <w:r>
              <w:rPr>
                <w:szCs w:val="21"/>
              </w:rPr>
              <w:t>环境系数</w:t>
            </w:r>
          </w:p>
          <w:p w:rsidR="00C223F5" w:rsidRDefault="005860D5">
            <w:pPr>
              <w:spacing w:line="240" w:lineRule="exact"/>
              <w:jc w:val="center"/>
              <w:rPr>
                <w:szCs w:val="21"/>
              </w:rPr>
            </w:pPr>
            <w:r>
              <w:rPr>
                <w:szCs w:val="21"/>
              </w:rPr>
              <w:t>（元</w:t>
            </w:r>
            <w:r>
              <w:rPr>
                <w:szCs w:val="21"/>
              </w:rPr>
              <w:t>/</w:t>
            </w:r>
            <w:r>
              <w:rPr>
                <w:szCs w:val="21"/>
              </w:rPr>
              <w:t>元）</w:t>
            </w:r>
          </w:p>
        </w:tc>
        <w:tc>
          <w:tcPr>
            <w:tcW w:w="2241" w:type="dxa"/>
            <w:vAlign w:val="center"/>
          </w:tcPr>
          <w:p w:rsidR="00C223F5" w:rsidRDefault="005860D5">
            <w:pPr>
              <w:spacing w:line="240" w:lineRule="exact"/>
              <w:jc w:val="center"/>
              <w:rPr>
                <w:szCs w:val="21"/>
              </w:rPr>
            </w:pPr>
            <w:r>
              <w:rPr>
                <w:szCs w:val="21"/>
              </w:rPr>
              <w:t>环境经济效益系数</w:t>
            </w:r>
          </w:p>
          <w:p w:rsidR="00C223F5" w:rsidRDefault="005860D5">
            <w:pPr>
              <w:spacing w:line="240" w:lineRule="exact"/>
              <w:jc w:val="center"/>
              <w:rPr>
                <w:szCs w:val="21"/>
              </w:rPr>
            </w:pPr>
            <w:r>
              <w:rPr>
                <w:szCs w:val="21"/>
              </w:rPr>
              <w:t>（元</w:t>
            </w:r>
            <w:r>
              <w:rPr>
                <w:szCs w:val="21"/>
              </w:rPr>
              <w:t>/</w:t>
            </w:r>
            <w:r>
              <w:rPr>
                <w:szCs w:val="21"/>
              </w:rPr>
              <w:t>元）</w:t>
            </w:r>
          </w:p>
        </w:tc>
      </w:tr>
      <w:tr w:rsidR="00C223F5">
        <w:trPr>
          <w:jc w:val="center"/>
        </w:trPr>
        <w:tc>
          <w:tcPr>
            <w:tcW w:w="2690" w:type="dxa"/>
            <w:vAlign w:val="center"/>
          </w:tcPr>
          <w:p w:rsidR="00C223F5" w:rsidRDefault="005860D5">
            <w:pPr>
              <w:jc w:val="center"/>
              <w:rPr>
                <w:szCs w:val="21"/>
              </w:rPr>
            </w:pPr>
            <w:r>
              <w:rPr>
                <w:szCs w:val="21"/>
              </w:rPr>
              <w:t>大佛寺矿井</w:t>
            </w:r>
          </w:p>
        </w:tc>
        <w:tc>
          <w:tcPr>
            <w:tcW w:w="1638" w:type="dxa"/>
            <w:vAlign w:val="center"/>
          </w:tcPr>
          <w:p w:rsidR="00C223F5" w:rsidRDefault="005860D5">
            <w:pPr>
              <w:jc w:val="center"/>
              <w:rPr>
                <w:szCs w:val="21"/>
              </w:rPr>
            </w:pPr>
            <w:r>
              <w:rPr>
                <w:szCs w:val="21"/>
              </w:rPr>
              <w:t>3.33</w:t>
            </w:r>
          </w:p>
        </w:tc>
        <w:tc>
          <w:tcPr>
            <w:tcW w:w="1782" w:type="dxa"/>
            <w:vAlign w:val="center"/>
          </w:tcPr>
          <w:p w:rsidR="00C223F5" w:rsidRDefault="005860D5">
            <w:pPr>
              <w:jc w:val="center"/>
              <w:rPr>
                <w:szCs w:val="21"/>
              </w:rPr>
            </w:pPr>
            <w:r>
              <w:rPr>
                <w:szCs w:val="21"/>
              </w:rPr>
              <w:t>0.0166</w:t>
            </w:r>
          </w:p>
        </w:tc>
        <w:tc>
          <w:tcPr>
            <w:tcW w:w="2241" w:type="dxa"/>
            <w:vAlign w:val="center"/>
          </w:tcPr>
          <w:p w:rsidR="00C223F5" w:rsidRDefault="005860D5">
            <w:pPr>
              <w:jc w:val="center"/>
              <w:rPr>
                <w:szCs w:val="21"/>
              </w:rPr>
            </w:pPr>
            <w:r>
              <w:rPr>
                <w:szCs w:val="21"/>
              </w:rPr>
              <w:t>0.19</w:t>
            </w:r>
          </w:p>
        </w:tc>
      </w:tr>
      <w:tr w:rsidR="00C223F5">
        <w:trPr>
          <w:jc w:val="center"/>
        </w:trPr>
        <w:tc>
          <w:tcPr>
            <w:tcW w:w="2690" w:type="dxa"/>
            <w:vAlign w:val="center"/>
          </w:tcPr>
          <w:p w:rsidR="00C223F5" w:rsidRDefault="005860D5">
            <w:pPr>
              <w:pStyle w:val="affffff7"/>
              <w:rPr>
                <w:color w:val="auto"/>
                <w:sz w:val="21"/>
                <w:szCs w:val="21"/>
              </w:rPr>
            </w:pPr>
            <w:r>
              <w:rPr>
                <w:color w:val="auto"/>
                <w:sz w:val="21"/>
                <w:szCs w:val="21"/>
              </w:rPr>
              <w:t>陕西黄陵矿区</w:t>
            </w:r>
          </w:p>
        </w:tc>
        <w:tc>
          <w:tcPr>
            <w:tcW w:w="1638" w:type="dxa"/>
            <w:vAlign w:val="center"/>
          </w:tcPr>
          <w:p w:rsidR="00C223F5" w:rsidRDefault="005860D5">
            <w:pPr>
              <w:pStyle w:val="affffff7"/>
              <w:rPr>
                <w:color w:val="auto"/>
                <w:sz w:val="21"/>
                <w:szCs w:val="21"/>
              </w:rPr>
            </w:pPr>
            <w:r>
              <w:rPr>
                <w:color w:val="auto"/>
                <w:sz w:val="21"/>
                <w:szCs w:val="21"/>
              </w:rPr>
              <w:t>0.74</w:t>
            </w:r>
          </w:p>
        </w:tc>
        <w:tc>
          <w:tcPr>
            <w:tcW w:w="1782" w:type="dxa"/>
            <w:vAlign w:val="center"/>
          </w:tcPr>
          <w:p w:rsidR="00C223F5" w:rsidRDefault="005860D5">
            <w:pPr>
              <w:pStyle w:val="affffff7"/>
              <w:rPr>
                <w:color w:val="auto"/>
                <w:sz w:val="21"/>
                <w:szCs w:val="21"/>
              </w:rPr>
            </w:pPr>
            <w:r>
              <w:rPr>
                <w:color w:val="auto"/>
                <w:sz w:val="21"/>
                <w:szCs w:val="21"/>
              </w:rPr>
              <w:t>0.02</w:t>
            </w:r>
          </w:p>
        </w:tc>
        <w:tc>
          <w:tcPr>
            <w:tcW w:w="2241" w:type="dxa"/>
            <w:vAlign w:val="center"/>
          </w:tcPr>
          <w:p w:rsidR="00C223F5" w:rsidRDefault="005860D5">
            <w:pPr>
              <w:pStyle w:val="affffff7"/>
              <w:rPr>
                <w:color w:val="auto"/>
                <w:sz w:val="21"/>
                <w:szCs w:val="21"/>
              </w:rPr>
            </w:pPr>
            <w:r>
              <w:rPr>
                <w:color w:val="auto"/>
                <w:sz w:val="21"/>
                <w:szCs w:val="21"/>
              </w:rPr>
              <w:t>0.90</w:t>
            </w:r>
          </w:p>
        </w:tc>
      </w:tr>
      <w:tr w:rsidR="00C223F5">
        <w:trPr>
          <w:jc w:val="center"/>
        </w:trPr>
        <w:tc>
          <w:tcPr>
            <w:tcW w:w="2690" w:type="dxa"/>
            <w:vAlign w:val="center"/>
          </w:tcPr>
          <w:p w:rsidR="00C223F5" w:rsidRDefault="005860D5">
            <w:pPr>
              <w:spacing w:line="240" w:lineRule="exact"/>
              <w:jc w:val="center"/>
              <w:rPr>
                <w:szCs w:val="21"/>
              </w:rPr>
            </w:pPr>
            <w:r>
              <w:rPr>
                <w:szCs w:val="21"/>
              </w:rPr>
              <w:t>宁夏马家滩矿区金凤矿井</w:t>
            </w:r>
          </w:p>
        </w:tc>
        <w:tc>
          <w:tcPr>
            <w:tcW w:w="1638" w:type="dxa"/>
            <w:vAlign w:val="center"/>
          </w:tcPr>
          <w:p w:rsidR="00C223F5" w:rsidRDefault="005860D5">
            <w:pPr>
              <w:spacing w:line="240" w:lineRule="exact"/>
              <w:jc w:val="center"/>
              <w:rPr>
                <w:szCs w:val="21"/>
              </w:rPr>
            </w:pPr>
            <w:r>
              <w:rPr>
                <w:szCs w:val="21"/>
              </w:rPr>
              <w:t>5.91</w:t>
            </w:r>
          </w:p>
        </w:tc>
        <w:tc>
          <w:tcPr>
            <w:tcW w:w="1782" w:type="dxa"/>
            <w:vAlign w:val="center"/>
          </w:tcPr>
          <w:p w:rsidR="00C223F5" w:rsidRDefault="005860D5">
            <w:pPr>
              <w:spacing w:line="240" w:lineRule="exact"/>
              <w:jc w:val="center"/>
              <w:rPr>
                <w:szCs w:val="21"/>
              </w:rPr>
            </w:pPr>
            <w:r>
              <w:rPr>
                <w:szCs w:val="21"/>
              </w:rPr>
              <w:t>0.021</w:t>
            </w:r>
          </w:p>
        </w:tc>
        <w:tc>
          <w:tcPr>
            <w:tcW w:w="2241" w:type="dxa"/>
            <w:vAlign w:val="center"/>
          </w:tcPr>
          <w:p w:rsidR="00C223F5" w:rsidRDefault="005860D5">
            <w:pPr>
              <w:spacing w:line="240" w:lineRule="exact"/>
              <w:jc w:val="center"/>
              <w:rPr>
                <w:szCs w:val="21"/>
              </w:rPr>
            </w:pPr>
            <w:r>
              <w:rPr>
                <w:szCs w:val="21"/>
              </w:rPr>
              <w:t>0.32</w:t>
            </w:r>
          </w:p>
        </w:tc>
      </w:tr>
      <w:tr w:rsidR="00C223F5">
        <w:trPr>
          <w:jc w:val="center"/>
        </w:trPr>
        <w:tc>
          <w:tcPr>
            <w:tcW w:w="2690" w:type="dxa"/>
            <w:vAlign w:val="center"/>
          </w:tcPr>
          <w:p w:rsidR="00C223F5" w:rsidRDefault="005860D5">
            <w:pPr>
              <w:spacing w:line="240" w:lineRule="exact"/>
              <w:jc w:val="center"/>
              <w:rPr>
                <w:szCs w:val="21"/>
              </w:rPr>
            </w:pPr>
            <w:r>
              <w:rPr>
                <w:szCs w:val="21"/>
              </w:rPr>
              <w:t>彬长矿区高家堡</w:t>
            </w:r>
          </w:p>
        </w:tc>
        <w:tc>
          <w:tcPr>
            <w:tcW w:w="1638" w:type="dxa"/>
            <w:vAlign w:val="center"/>
          </w:tcPr>
          <w:p w:rsidR="00C223F5" w:rsidRDefault="005860D5">
            <w:pPr>
              <w:spacing w:line="240" w:lineRule="exact"/>
              <w:jc w:val="center"/>
              <w:rPr>
                <w:szCs w:val="21"/>
              </w:rPr>
            </w:pPr>
            <w:r>
              <w:rPr>
                <w:szCs w:val="21"/>
              </w:rPr>
              <w:t>5.87</w:t>
            </w:r>
          </w:p>
        </w:tc>
        <w:tc>
          <w:tcPr>
            <w:tcW w:w="1782" w:type="dxa"/>
            <w:vAlign w:val="center"/>
          </w:tcPr>
          <w:p w:rsidR="00C223F5" w:rsidRDefault="005860D5">
            <w:pPr>
              <w:spacing w:line="240" w:lineRule="exact"/>
              <w:jc w:val="center"/>
              <w:rPr>
                <w:szCs w:val="21"/>
              </w:rPr>
            </w:pPr>
            <w:r>
              <w:rPr>
                <w:szCs w:val="21"/>
              </w:rPr>
              <w:t>0.017</w:t>
            </w:r>
          </w:p>
        </w:tc>
        <w:tc>
          <w:tcPr>
            <w:tcW w:w="2241" w:type="dxa"/>
            <w:vAlign w:val="center"/>
          </w:tcPr>
          <w:p w:rsidR="00C223F5" w:rsidRDefault="005860D5">
            <w:pPr>
              <w:spacing w:line="240" w:lineRule="exact"/>
              <w:jc w:val="center"/>
              <w:rPr>
                <w:szCs w:val="21"/>
              </w:rPr>
            </w:pPr>
            <w:r>
              <w:rPr>
                <w:szCs w:val="21"/>
              </w:rPr>
              <w:t>0.28</w:t>
            </w:r>
          </w:p>
        </w:tc>
      </w:tr>
      <w:tr w:rsidR="00C223F5">
        <w:trPr>
          <w:jc w:val="center"/>
        </w:trPr>
        <w:tc>
          <w:tcPr>
            <w:tcW w:w="2690" w:type="dxa"/>
            <w:vAlign w:val="center"/>
          </w:tcPr>
          <w:p w:rsidR="00C223F5" w:rsidRDefault="005860D5">
            <w:pPr>
              <w:jc w:val="center"/>
              <w:rPr>
                <w:szCs w:val="21"/>
              </w:rPr>
            </w:pPr>
            <w:r>
              <w:rPr>
                <w:szCs w:val="21"/>
              </w:rPr>
              <w:t>胡家河矿井</w:t>
            </w:r>
          </w:p>
        </w:tc>
        <w:tc>
          <w:tcPr>
            <w:tcW w:w="1638" w:type="dxa"/>
            <w:vAlign w:val="center"/>
          </w:tcPr>
          <w:p w:rsidR="00C223F5" w:rsidRDefault="005860D5">
            <w:pPr>
              <w:jc w:val="center"/>
              <w:rPr>
                <w:szCs w:val="21"/>
              </w:rPr>
            </w:pPr>
            <w:r>
              <w:rPr>
                <w:szCs w:val="21"/>
              </w:rPr>
              <w:t>5.76</w:t>
            </w:r>
          </w:p>
        </w:tc>
        <w:tc>
          <w:tcPr>
            <w:tcW w:w="1782" w:type="dxa"/>
            <w:vAlign w:val="center"/>
          </w:tcPr>
          <w:p w:rsidR="00C223F5" w:rsidRDefault="005860D5">
            <w:pPr>
              <w:jc w:val="center"/>
              <w:rPr>
                <w:szCs w:val="21"/>
              </w:rPr>
            </w:pPr>
            <w:r>
              <w:rPr>
                <w:szCs w:val="21"/>
              </w:rPr>
              <w:t>0.029</w:t>
            </w:r>
          </w:p>
        </w:tc>
        <w:tc>
          <w:tcPr>
            <w:tcW w:w="2241" w:type="dxa"/>
            <w:vAlign w:val="center"/>
          </w:tcPr>
          <w:p w:rsidR="00C223F5" w:rsidRDefault="005860D5">
            <w:pPr>
              <w:jc w:val="center"/>
              <w:rPr>
                <w:szCs w:val="21"/>
              </w:rPr>
            </w:pPr>
            <w:r>
              <w:rPr>
                <w:szCs w:val="21"/>
              </w:rPr>
              <w:t>0.14</w:t>
            </w:r>
          </w:p>
        </w:tc>
      </w:tr>
      <w:tr w:rsidR="00C223F5">
        <w:trPr>
          <w:jc w:val="center"/>
        </w:trPr>
        <w:tc>
          <w:tcPr>
            <w:tcW w:w="2690" w:type="dxa"/>
            <w:vAlign w:val="center"/>
          </w:tcPr>
          <w:p w:rsidR="00C223F5" w:rsidRDefault="005860D5">
            <w:pPr>
              <w:spacing w:line="240" w:lineRule="exact"/>
              <w:jc w:val="center"/>
              <w:rPr>
                <w:szCs w:val="21"/>
              </w:rPr>
            </w:pPr>
            <w:r>
              <w:rPr>
                <w:szCs w:val="21"/>
              </w:rPr>
              <w:t>澄合矿区西卓煤矿</w:t>
            </w:r>
          </w:p>
        </w:tc>
        <w:tc>
          <w:tcPr>
            <w:tcW w:w="1638" w:type="dxa"/>
            <w:vAlign w:val="center"/>
          </w:tcPr>
          <w:p w:rsidR="00C223F5" w:rsidRDefault="005860D5">
            <w:pPr>
              <w:spacing w:line="240" w:lineRule="exact"/>
              <w:jc w:val="center"/>
              <w:rPr>
                <w:szCs w:val="21"/>
              </w:rPr>
            </w:pPr>
            <w:r>
              <w:rPr>
                <w:iCs/>
                <w:szCs w:val="21"/>
              </w:rPr>
              <w:t>6.46</w:t>
            </w:r>
          </w:p>
        </w:tc>
        <w:tc>
          <w:tcPr>
            <w:tcW w:w="1782" w:type="dxa"/>
            <w:vAlign w:val="center"/>
          </w:tcPr>
          <w:p w:rsidR="00C223F5" w:rsidRDefault="005860D5">
            <w:pPr>
              <w:spacing w:line="240" w:lineRule="exact"/>
              <w:jc w:val="center"/>
              <w:rPr>
                <w:szCs w:val="21"/>
              </w:rPr>
            </w:pPr>
            <w:r>
              <w:rPr>
                <w:szCs w:val="21"/>
              </w:rPr>
              <w:t>0.038</w:t>
            </w:r>
          </w:p>
        </w:tc>
        <w:tc>
          <w:tcPr>
            <w:tcW w:w="2241" w:type="dxa"/>
            <w:vAlign w:val="center"/>
          </w:tcPr>
          <w:p w:rsidR="00C223F5" w:rsidRDefault="005860D5">
            <w:pPr>
              <w:spacing w:line="240" w:lineRule="exact"/>
              <w:jc w:val="center"/>
              <w:rPr>
                <w:szCs w:val="21"/>
              </w:rPr>
            </w:pPr>
            <w:r>
              <w:rPr>
                <w:iCs/>
                <w:szCs w:val="21"/>
              </w:rPr>
              <w:t>0.20</w:t>
            </w:r>
          </w:p>
        </w:tc>
      </w:tr>
      <w:tr w:rsidR="00C223F5">
        <w:trPr>
          <w:jc w:val="center"/>
        </w:trPr>
        <w:tc>
          <w:tcPr>
            <w:tcW w:w="2690" w:type="dxa"/>
            <w:vAlign w:val="center"/>
          </w:tcPr>
          <w:p w:rsidR="00C223F5" w:rsidRDefault="005860D5">
            <w:pPr>
              <w:spacing w:line="240" w:lineRule="exact"/>
              <w:jc w:val="center"/>
              <w:rPr>
                <w:szCs w:val="21"/>
              </w:rPr>
            </w:pPr>
            <w:r>
              <w:rPr>
                <w:szCs w:val="21"/>
              </w:rPr>
              <w:t>本矿井</w:t>
            </w:r>
          </w:p>
        </w:tc>
        <w:tc>
          <w:tcPr>
            <w:tcW w:w="1638" w:type="dxa"/>
            <w:vAlign w:val="center"/>
          </w:tcPr>
          <w:p w:rsidR="00C223F5" w:rsidRDefault="005860D5">
            <w:pPr>
              <w:spacing w:line="240" w:lineRule="exact"/>
              <w:jc w:val="center"/>
              <w:rPr>
                <w:szCs w:val="21"/>
              </w:rPr>
            </w:pPr>
            <w:r>
              <w:rPr>
                <w:rFonts w:hint="eastAsia"/>
                <w:iCs/>
                <w:szCs w:val="21"/>
              </w:rPr>
              <w:t>6.52</w:t>
            </w:r>
          </w:p>
        </w:tc>
        <w:tc>
          <w:tcPr>
            <w:tcW w:w="1782" w:type="dxa"/>
            <w:vAlign w:val="center"/>
          </w:tcPr>
          <w:p w:rsidR="00C223F5" w:rsidRDefault="005860D5">
            <w:pPr>
              <w:spacing w:line="240" w:lineRule="exact"/>
              <w:jc w:val="center"/>
              <w:rPr>
                <w:szCs w:val="21"/>
              </w:rPr>
            </w:pPr>
            <w:r>
              <w:rPr>
                <w:rFonts w:hint="eastAsia"/>
                <w:szCs w:val="21"/>
              </w:rPr>
              <w:t>0.016</w:t>
            </w:r>
          </w:p>
        </w:tc>
        <w:tc>
          <w:tcPr>
            <w:tcW w:w="2241" w:type="dxa"/>
            <w:vAlign w:val="center"/>
          </w:tcPr>
          <w:p w:rsidR="00C223F5" w:rsidRDefault="005860D5">
            <w:pPr>
              <w:spacing w:line="240" w:lineRule="exact"/>
              <w:jc w:val="center"/>
              <w:rPr>
                <w:szCs w:val="21"/>
              </w:rPr>
            </w:pPr>
            <w:r>
              <w:rPr>
                <w:iCs/>
                <w:szCs w:val="21"/>
              </w:rPr>
              <w:t>0.</w:t>
            </w:r>
            <w:r>
              <w:rPr>
                <w:rFonts w:hint="eastAsia"/>
                <w:iCs/>
                <w:szCs w:val="21"/>
              </w:rPr>
              <w:t>46</w:t>
            </w:r>
          </w:p>
        </w:tc>
      </w:tr>
    </w:tbl>
    <w:p w:rsidR="00C223F5" w:rsidRDefault="00C223F5">
      <w:pPr>
        <w:spacing w:line="360" w:lineRule="auto"/>
        <w:ind w:firstLineChars="200" w:firstLine="480"/>
        <w:rPr>
          <w:color w:val="FF0000"/>
          <w:sz w:val="24"/>
        </w:rPr>
      </w:pPr>
    </w:p>
    <w:p w:rsidR="00C223F5" w:rsidRDefault="00C223F5">
      <w:pPr>
        <w:rPr>
          <w:color w:val="FF0000"/>
        </w:rPr>
        <w:sectPr w:rsidR="00C223F5">
          <w:pgSz w:w="11907" w:h="16840"/>
          <w:pgMar w:top="1440" w:right="1701" w:bottom="1440" w:left="1701" w:header="851" w:footer="992" w:gutter="0"/>
          <w:cols w:space="425"/>
          <w:docGrid w:linePitch="312"/>
        </w:sectPr>
      </w:pPr>
    </w:p>
    <w:p w:rsidR="00C223F5" w:rsidRDefault="005860D5" w:rsidP="004835BD">
      <w:pPr>
        <w:pStyle w:val="1"/>
        <w:numPr>
          <w:ilvl w:val="0"/>
          <w:numId w:val="0"/>
        </w:numPr>
        <w:spacing w:before="0" w:after="0" w:line="360" w:lineRule="auto"/>
      </w:pPr>
      <w:bookmarkStart w:id="547" w:name="_Toc533604784"/>
      <w:bookmarkStart w:id="548" w:name="_Toc533604364"/>
      <w:bookmarkStart w:id="549" w:name="_Toc488660738"/>
      <w:bookmarkStart w:id="550" w:name="_Toc16785331"/>
      <w:r>
        <w:rPr>
          <w:rFonts w:hint="eastAsia"/>
        </w:rPr>
        <w:lastRenderedPageBreak/>
        <w:t>7</w:t>
      </w:r>
      <w:r>
        <w:t>、环境管理与环境监测计划</w:t>
      </w:r>
      <w:bookmarkEnd w:id="547"/>
      <w:bookmarkEnd w:id="548"/>
      <w:bookmarkEnd w:id="549"/>
      <w:bookmarkEnd w:id="550"/>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551" w:name="_Toc528161009"/>
      <w:bookmarkStart w:id="552" w:name="_Toc16785332"/>
      <w:bookmarkStart w:id="553" w:name="_Toc488660739"/>
      <w:bookmarkStart w:id="554" w:name="_Toc334539564"/>
      <w:bookmarkStart w:id="555" w:name="_Toc331428867"/>
      <w:bookmarkStart w:id="556" w:name="_Toc533604365"/>
      <w:bookmarkStart w:id="557" w:name="_Toc533604785"/>
      <w:bookmarkStart w:id="558" w:name="_Toc229801019"/>
      <w:bookmarkStart w:id="559" w:name="_Toc218855551"/>
      <w:r>
        <w:rPr>
          <w:rFonts w:ascii="Times New Roman" w:eastAsia="宋体" w:hAnsi="Times New Roman" w:hint="eastAsia"/>
          <w:b/>
          <w:bCs w:val="0"/>
          <w:szCs w:val="30"/>
        </w:rPr>
        <w:t>7</w:t>
      </w:r>
      <w:r>
        <w:rPr>
          <w:rFonts w:ascii="Times New Roman" w:eastAsia="宋体" w:hAnsi="Times New Roman"/>
          <w:b/>
          <w:bCs w:val="0"/>
          <w:szCs w:val="30"/>
        </w:rPr>
        <w:t>.1</w:t>
      </w:r>
      <w:r>
        <w:rPr>
          <w:rFonts w:ascii="Times New Roman" w:eastAsia="宋体" w:hAnsi="Times New Roman"/>
          <w:b/>
          <w:bCs w:val="0"/>
          <w:szCs w:val="30"/>
        </w:rPr>
        <w:t>环境管理机构职责</w:t>
      </w:r>
      <w:bookmarkEnd w:id="551"/>
      <w:bookmarkEnd w:id="552"/>
    </w:p>
    <w:p w:rsidR="00C223F5" w:rsidRDefault="005860D5" w:rsidP="004835BD">
      <w:pPr>
        <w:pStyle w:val="3"/>
        <w:numPr>
          <w:ilvl w:val="0"/>
          <w:numId w:val="0"/>
        </w:numPr>
        <w:spacing w:before="0" w:after="0" w:line="360" w:lineRule="auto"/>
        <w:ind w:left="170"/>
        <w:rPr>
          <w:rFonts w:eastAsia="宋体"/>
          <w:b/>
          <w:bCs w:val="0"/>
          <w:sz w:val="28"/>
          <w:szCs w:val="28"/>
        </w:rPr>
      </w:pPr>
      <w:bookmarkStart w:id="560" w:name="_Toc16785333"/>
      <w:r>
        <w:rPr>
          <w:rFonts w:eastAsia="宋体" w:hint="eastAsia"/>
          <w:b/>
          <w:bCs w:val="0"/>
          <w:sz w:val="28"/>
          <w:szCs w:val="28"/>
        </w:rPr>
        <w:t>7</w:t>
      </w:r>
      <w:r>
        <w:rPr>
          <w:rFonts w:eastAsia="宋体"/>
          <w:b/>
          <w:bCs w:val="0"/>
          <w:sz w:val="28"/>
          <w:szCs w:val="28"/>
        </w:rPr>
        <w:t>.1.1</w:t>
      </w:r>
      <w:r>
        <w:rPr>
          <w:rFonts w:eastAsia="宋体"/>
          <w:b/>
          <w:bCs w:val="0"/>
          <w:sz w:val="28"/>
          <w:szCs w:val="28"/>
        </w:rPr>
        <w:t>企业内部环境管理机构设立</w:t>
      </w:r>
      <w:bookmarkEnd w:id="560"/>
    </w:p>
    <w:p w:rsidR="00C223F5" w:rsidRDefault="005860D5">
      <w:pPr>
        <w:spacing w:line="360" w:lineRule="auto"/>
        <w:ind w:firstLineChars="200" w:firstLine="480"/>
        <w:rPr>
          <w:color w:val="000000"/>
          <w:sz w:val="24"/>
        </w:rPr>
      </w:pPr>
      <w:r>
        <w:rPr>
          <w:color w:val="000000"/>
          <w:sz w:val="24"/>
        </w:rPr>
        <w:t>根据《建设项目环境保护设计规范》、《煤炭工业环境保护设计规范》的要求，</w:t>
      </w:r>
      <w:r>
        <w:rPr>
          <w:rFonts w:hint="eastAsia"/>
          <w:color w:val="000000"/>
          <w:sz w:val="24"/>
        </w:rPr>
        <w:t>天云</w:t>
      </w:r>
      <w:r>
        <w:rPr>
          <w:color w:val="000000"/>
          <w:sz w:val="24"/>
        </w:rPr>
        <w:t>煤矿应成立环保管理领导小组，由主要负责人任组长，并配备专（兼）职环保管理人员</w:t>
      </w:r>
      <w:r>
        <w:rPr>
          <w:color w:val="000000"/>
          <w:sz w:val="24"/>
        </w:rPr>
        <w:t>2</w:t>
      </w:r>
      <w:r>
        <w:rPr>
          <w:color w:val="000000"/>
          <w:sz w:val="24"/>
        </w:rPr>
        <w:t>名，负责组织落实监督煤矿日常环境保护工作。矿井不设环境监测机构，定期请局、市环境监测机构对矿区环境进行监测。</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561" w:name="_Toc16785334"/>
      <w:r>
        <w:rPr>
          <w:rFonts w:eastAsia="宋体" w:hint="eastAsia"/>
          <w:b/>
          <w:bCs w:val="0"/>
          <w:sz w:val="28"/>
          <w:szCs w:val="28"/>
        </w:rPr>
        <w:t>7</w:t>
      </w:r>
      <w:r>
        <w:rPr>
          <w:rFonts w:eastAsia="宋体"/>
          <w:b/>
          <w:bCs w:val="0"/>
          <w:sz w:val="28"/>
          <w:szCs w:val="28"/>
        </w:rPr>
        <w:t>.1.2</w:t>
      </w:r>
      <w:r>
        <w:rPr>
          <w:rFonts w:eastAsia="宋体"/>
          <w:b/>
          <w:bCs w:val="0"/>
          <w:sz w:val="28"/>
          <w:szCs w:val="28"/>
        </w:rPr>
        <w:t>环境管理机构的职责</w:t>
      </w:r>
      <w:bookmarkEnd w:id="561"/>
    </w:p>
    <w:p w:rsidR="00C223F5" w:rsidRDefault="005860D5">
      <w:pPr>
        <w:spacing w:line="360" w:lineRule="auto"/>
        <w:ind w:firstLineChars="200" w:firstLine="480"/>
        <w:rPr>
          <w:color w:val="000000"/>
          <w:sz w:val="24"/>
        </w:rPr>
      </w:pPr>
      <w:r>
        <w:rPr>
          <w:color w:val="000000"/>
          <w:sz w:val="24"/>
        </w:rPr>
        <w:t>（</w:t>
      </w:r>
      <w:r>
        <w:rPr>
          <w:color w:val="000000"/>
          <w:sz w:val="24"/>
        </w:rPr>
        <w:t>1</w:t>
      </w:r>
      <w:r>
        <w:rPr>
          <w:color w:val="000000"/>
          <w:sz w:val="24"/>
        </w:rPr>
        <w:t>）外部环境管理</w:t>
      </w:r>
    </w:p>
    <w:p w:rsidR="00C223F5" w:rsidRDefault="005860D5">
      <w:pPr>
        <w:spacing w:line="360" w:lineRule="auto"/>
        <w:ind w:firstLineChars="200" w:firstLine="480"/>
        <w:rPr>
          <w:color w:val="000000"/>
          <w:sz w:val="24"/>
        </w:rPr>
      </w:pPr>
      <w:r>
        <w:rPr>
          <w:color w:val="000000"/>
          <w:sz w:val="24"/>
        </w:rPr>
        <w:t>在项目前期工作及建设、生产过程中，建设单位应遵守建设项目环境保护管理的有关法律法规规定，作好项目的环评，竣工验收，常规监测等工作。</w:t>
      </w:r>
    </w:p>
    <w:p w:rsidR="00C223F5" w:rsidRDefault="005860D5">
      <w:pPr>
        <w:spacing w:line="360" w:lineRule="auto"/>
        <w:ind w:firstLineChars="200" w:firstLine="480"/>
        <w:rPr>
          <w:color w:val="000000"/>
          <w:sz w:val="24"/>
        </w:rPr>
      </w:pPr>
      <w:r>
        <w:rPr>
          <w:color w:val="000000"/>
          <w:sz w:val="24"/>
        </w:rPr>
        <w:t>（</w:t>
      </w:r>
      <w:r>
        <w:rPr>
          <w:color w:val="000000"/>
          <w:sz w:val="24"/>
        </w:rPr>
        <w:t>2</w:t>
      </w:r>
      <w:r>
        <w:rPr>
          <w:color w:val="000000"/>
          <w:sz w:val="24"/>
        </w:rPr>
        <w:t>）企业内部环境管理结构职责</w:t>
      </w:r>
    </w:p>
    <w:p w:rsidR="00C223F5" w:rsidRDefault="005860D5">
      <w:pPr>
        <w:spacing w:line="360" w:lineRule="auto"/>
        <w:ind w:firstLineChars="200" w:firstLine="480"/>
        <w:rPr>
          <w:color w:val="000000"/>
          <w:sz w:val="24"/>
        </w:rPr>
      </w:pPr>
      <w:r>
        <w:rPr>
          <w:rFonts w:ascii="宋体" w:hAnsi="宋体" w:cs="宋体" w:hint="eastAsia"/>
          <w:color w:val="000000"/>
          <w:sz w:val="24"/>
        </w:rPr>
        <w:t>①</w:t>
      </w:r>
      <w:r>
        <w:rPr>
          <w:color w:val="000000"/>
          <w:sz w:val="24"/>
        </w:rPr>
        <w:t>贯彻执行各项环境保护政策、法规及标准，制定本项目的环境管理办法（包括生态环境管理办法）；</w:t>
      </w:r>
    </w:p>
    <w:p w:rsidR="00C223F5" w:rsidRDefault="005860D5">
      <w:pPr>
        <w:spacing w:line="360" w:lineRule="auto"/>
        <w:ind w:firstLineChars="200" w:firstLine="480"/>
        <w:rPr>
          <w:color w:val="000000"/>
          <w:sz w:val="24"/>
        </w:rPr>
      </w:pPr>
      <w:r>
        <w:rPr>
          <w:rFonts w:ascii="宋体" w:hAnsi="宋体" w:cs="宋体" w:hint="eastAsia"/>
          <w:color w:val="000000"/>
          <w:sz w:val="24"/>
        </w:rPr>
        <w:t>②</w:t>
      </w:r>
      <w:r>
        <w:rPr>
          <w:color w:val="000000"/>
          <w:sz w:val="24"/>
        </w:rPr>
        <w:t>建立建全企业的环境管理制度，并实施检查和监督工作；</w:t>
      </w:r>
    </w:p>
    <w:p w:rsidR="00C223F5" w:rsidRDefault="005860D5">
      <w:pPr>
        <w:spacing w:line="360" w:lineRule="auto"/>
        <w:ind w:firstLineChars="200" w:firstLine="480"/>
        <w:rPr>
          <w:color w:val="000000"/>
          <w:sz w:val="24"/>
        </w:rPr>
      </w:pPr>
      <w:r>
        <w:rPr>
          <w:rFonts w:ascii="宋体" w:hAnsi="宋体" w:cs="宋体" w:hint="eastAsia"/>
          <w:color w:val="000000"/>
          <w:sz w:val="24"/>
        </w:rPr>
        <w:t>③</w:t>
      </w:r>
      <w:r>
        <w:rPr>
          <w:color w:val="000000"/>
          <w:sz w:val="24"/>
        </w:rPr>
        <w:t>拟定企业环保工作计划并实施，配合企业领导完成环境保护责任目标；</w:t>
      </w:r>
    </w:p>
    <w:p w:rsidR="00C223F5" w:rsidRDefault="005860D5">
      <w:pPr>
        <w:spacing w:line="360" w:lineRule="auto"/>
        <w:ind w:firstLineChars="200" w:firstLine="480"/>
        <w:rPr>
          <w:color w:val="000000"/>
          <w:sz w:val="24"/>
        </w:rPr>
      </w:pPr>
      <w:r>
        <w:rPr>
          <w:rFonts w:ascii="宋体" w:hAnsi="宋体" w:cs="宋体" w:hint="eastAsia"/>
          <w:color w:val="000000"/>
          <w:sz w:val="24"/>
        </w:rPr>
        <w:t>④</w:t>
      </w:r>
      <w:r>
        <w:rPr>
          <w:color w:val="000000"/>
          <w:sz w:val="24"/>
        </w:rPr>
        <w:t>领导并组织企业环境监测工作，检查环境保护设施的运行情况，建立监控档案；</w:t>
      </w:r>
    </w:p>
    <w:p w:rsidR="00C223F5" w:rsidRDefault="005860D5">
      <w:pPr>
        <w:spacing w:line="360" w:lineRule="auto"/>
        <w:ind w:firstLineChars="200" w:firstLine="480"/>
        <w:rPr>
          <w:color w:val="000000"/>
          <w:sz w:val="24"/>
        </w:rPr>
      </w:pPr>
      <w:r>
        <w:rPr>
          <w:rFonts w:ascii="宋体" w:hAnsi="宋体" w:cs="宋体" w:hint="eastAsia"/>
          <w:color w:val="000000"/>
          <w:sz w:val="24"/>
        </w:rPr>
        <w:t>⑤</w:t>
      </w:r>
      <w:r>
        <w:rPr>
          <w:color w:val="000000"/>
          <w:sz w:val="24"/>
        </w:rPr>
        <w:t>协调企业所在区域的环境管理；</w:t>
      </w:r>
    </w:p>
    <w:p w:rsidR="00C223F5" w:rsidRDefault="005860D5">
      <w:pPr>
        <w:spacing w:line="360" w:lineRule="auto"/>
        <w:ind w:firstLineChars="200" w:firstLine="480"/>
        <w:rPr>
          <w:color w:val="000000"/>
          <w:sz w:val="24"/>
        </w:rPr>
      </w:pPr>
      <w:r>
        <w:rPr>
          <w:rFonts w:ascii="宋体" w:hAnsi="宋体" w:cs="宋体" w:hint="eastAsia"/>
          <w:color w:val="000000"/>
          <w:sz w:val="24"/>
        </w:rPr>
        <w:t>⑥</w:t>
      </w:r>
      <w:r>
        <w:rPr>
          <w:color w:val="000000"/>
          <w:sz w:val="24"/>
        </w:rPr>
        <w:t>开展环保教育和专业培训，提高企业员工的环保素质；</w:t>
      </w:r>
    </w:p>
    <w:p w:rsidR="00C223F5" w:rsidRDefault="005860D5">
      <w:pPr>
        <w:spacing w:line="360" w:lineRule="auto"/>
        <w:ind w:firstLineChars="200" w:firstLine="480"/>
        <w:rPr>
          <w:color w:val="000000"/>
          <w:sz w:val="24"/>
        </w:rPr>
      </w:pPr>
      <w:r>
        <w:rPr>
          <w:rFonts w:ascii="宋体" w:hAnsi="宋体" w:cs="宋体" w:hint="eastAsia"/>
          <w:color w:val="000000"/>
          <w:sz w:val="24"/>
        </w:rPr>
        <w:t>⑦</w:t>
      </w:r>
      <w:r>
        <w:rPr>
          <w:color w:val="000000"/>
          <w:sz w:val="24"/>
        </w:rPr>
        <w:t>组织开展环保研究和学术交流，推广并应用先进环保技术；</w:t>
      </w:r>
    </w:p>
    <w:p w:rsidR="00C223F5" w:rsidRDefault="005860D5">
      <w:pPr>
        <w:pStyle w:val="BG"/>
        <w:ind w:firstLine="480"/>
        <w:rPr>
          <w:color w:val="000000"/>
        </w:rPr>
      </w:pPr>
      <w:r>
        <w:rPr>
          <w:rFonts w:ascii="宋体" w:hAnsi="宋体" w:cs="宋体" w:hint="eastAsia"/>
          <w:color w:val="000000"/>
        </w:rPr>
        <w:t>⑧</w:t>
      </w:r>
      <w:r>
        <w:rPr>
          <w:color w:val="000000"/>
        </w:rPr>
        <w:t>负责厂区绿化和日常环境保护管理工作。</w:t>
      </w: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562" w:name="_Toc528161010"/>
      <w:bookmarkStart w:id="563" w:name="_Toc16785335"/>
      <w:r>
        <w:rPr>
          <w:rFonts w:ascii="Times New Roman" w:eastAsia="宋体" w:hAnsi="Times New Roman" w:hint="eastAsia"/>
          <w:b/>
          <w:bCs w:val="0"/>
          <w:szCs w:val="30"/>
        </w:rPr>
        <w:t>7</w:t>
      </w:r>
      <w:r>
        <w:rPr>
          <w:rFonts w:ascii="Times New Roman" w:eastAsia="宋体" w:hAnsi="Times New Roman"/>
          <w:b/>
          <w:bCs w:val="0"/>
          <w:szCs w:val="30"/>
        </w:rPr>
        <w:t>.2</w:t>
      </w:r>
      <w:r>
        <w:rPr>
          <w:rFonts w:ascii="Times New Roman" w:eastAsia="宋体" w:hAnsi="Times New Roman"/>
          <w:b/>
          <w:bCs w:val="0"/>
          <w:szCs w:val="30"/>
        </w:rPr>
        <w:t>建设期环境管理和环境监理</w:t>
      </w:r>
      <w:bookmarkEnd w:id="562"/>
      <w:bookmarkEnd w:id="563"/>
    </w:p>
    <w:p w:rsidR="00C223F5" w:rsidRDefault="005860D5" w:rsidP="004835BD">
      <w:pPr>
        <w:pStyle w:val="3"/>
        <w:numPr>
          <w:ilvl w:val="0"/>
          <w:numId w:val="0"/>
        </w:numPr>
        <w:spacing w:before="0" w:after="0" w:line="360" w:lineRule="auto"/>
        <w:ind w:left="170"/>
        <w:rPr>
          <w:rFonts w:eastAsia="宋体"/>
          <w:b/>
          <w:bCs w:val="0"/>
          <w:sz w:val="28"/>
          <w:szCs w:val="28"/>
        </w:rPr>
      </w:pPr>
      <w:bookmarkStart w:id="564" w:name="_Toc16785336"/>
      <w:r>
        <w:rPr>
          <w:rFonts w:eastAsia="宋体" w:hint="eastAsia"/>
          <w:b/>
          <w:bCs w:val="0"/>
          <w:sz w:val="28"/>
          <w:szCs w:val="28"/>
        </w:rPr>
        <w:t>7</w:t>
      </w:r>
      <w:r>
        <w:rPr>
          <w:rFonts w:eastAsia="宋体"/>
          <w:b/>
          <w:bCs w:val="0"/>
          <w:sz w:val="28"/>
          <w:szCs w:val="28"/>
        </w:rPr>
        <w:t>.2.1</w:t>
      </w:r>
      <w:r>
        <w:rPr>
          <w:rFonts w:eastAsia="宋体"/>
          <w:b/>
          <w:bCs w:val="0"/>
          <w:sz w:val="28"/>
          <w:szCs w:val="28"/>
        </w:rPr>
        <w:t>建设期环境管理</w:t>
      </w:r>
      <w:bookmarkEnd w:id="564"/>
    </w:p>
    <w:p w:rsidR="00C223F5" w:rsidRDefault="005860D5">
      <w:pPr>
        <w:spacing w:line="360" w:lineRule="auto"/>
        <w:ind w:firstLineChars="200" w:firstLine="482"/>
        <w:rPr>
          <w:b/>
          <w:bCs/>
          <w:color w:val="000000"/>
          <w:sz w:val="24"/>
        </w:rPr>
      </w:pPr>
      <w:r>
        <w:rPr>
          <w:b/>
          <w:bCs/>
          <w:color w:val="000000"/>
          <w:sz w:val="24"/>
        </w:rPr>
        <w:t>（</w:t>
      </w:r>
      <w:r>
        <w:rPr>
          <w:b/>
          <w:bCs/>
          <w:color w:val="000000"/>
          <w:sz w:val="24"/>
        </w:rPr>
        <w:t>1</w:t>
      </w:r>
      <w:r>
        <w:rPr>
          <w:b/>
          <w:bCs/>
          <w:color w:val="000000"/>
          <w:sz w:val="24"/>
        </w:rPr>
        <w:t>）建设前期环境管理</w:t>
      </w:r>
    </w:p>
    <w:p w:rsidR="00C223F5" w:rsidRDefault="005860D5">
      <w:pPr>
        <w:spacing w:line="360" w:lineRule="auto"/>
        <w:ind w:firstLineChars="200" w:firstLine="480"/>
        <w:rPr>
          <w:bCs/>
          <w:color w:val="000000"/>
          <w:sz w:val="24"/>
        </w:rPr>
      </w:pPr>
      <w:r>
        <w:rPr>
          <w:bCs/>
          <w:color w:val="000000"/>
          <w:sz w:val="24"/>
        </w:rPr>
        <w:t>根据环境保护部和陕西省的有关规定，项目建设前期环境管理要求如下：</w:t>
      </w:r>
    </w:p>
    <w:p w:rsidR="00C223F5" w:rsidRDefault="000F32AE">
      <w:pPr>
        <w:spacing w:line="360" w:lineRule="auto"/>
        <w:ind w:firstLineChars="200" w:firstLine="480"/>
        <w:rPr>
          <w:bCs/>
          <w:color w:val="000000"/>
          <w:sz w:val="24"/>
        </w:rPr>
      </w:pPr>
      <w:r>
        <w:rPr>
          <w:bCs/>
          <w:color w:val="000000"/>
          <w:sz w:val="24"/>
        </w:rPr>
        <w:fldChar w:fldCharType="begin"/>
      </w:r>
      <w:r w:rsidR="005860D5">
        <w:rPr>
          <w:bCs/>
          <w:color w:val="000000"/>
          <w:sz w:val="24"/>
        </w:rPr>
        <w:instrText xml:space="preserve"> = 1 \* GB3 </w:instrText>
      </w:r>
      <w:r>
        <w:rPr>
          <w:bCs/>
          <w:color w:val="000000"/>
          <w:sz w:val="24"/>
        </w:rPr>
        <w:fldChar w:fldCharType="separate"/>
      </w:r>
      <w:r w:rsidR="005860D5">
        <w:rPr>
          <w:rFonts w:ascii="宋体" w:hAnsi="宋体" w:cs="宋体" w:hint="eastAsia"/>
          <w:bCs/>
          <w:color w:val="000000"/>
          <w:sz w:val="24"/>
        </w:rPr>
        <w:t>①</w:t>
      </w:r>
      <w:r>
        <w:rPr>
          <w:color w:val="000000"/>
          <w:sz w:val="24"/>
        </w:rPr>
        <w:fldChar w:fldCharType="end"/>
      </w:r>
      <w:r w:rsidR="005860D5">
        <w:rPr>
          <w:bCs/>
          <w:color w:val="000000"/>
          <w:sz w:val="24"/>
        </w:rPr>
        <w:t>项目设计各阶段必须有环境保护专业人员参与相关的设计工作；</w:t>
      </w:r>
    </w:p>
    <w:p w:rsidR="00C223F5" w:rsidRDefault="000F32AE">
      <w:pPr>
        <w:spacing w:line="360" w:lineRule="auto"/>
        <w:ind w:firstLineChars="200" w:firstLine="480"/>
        <w:rPr>
          <w:bCs/>
          <w:color w:val="000000"/>
          <w:sz w:val="24"/>
        </w:rPr>
      </w:pPr>
      <w:r>
        <w:rPr>
          <w:bCs/>
          <w:color w:val="000000"/>
          <w:sz w:val="24"/>
        </w:rPr>
        <w:fldChar w:fldCharType="begin"/>
      </w:r>
      <w:r w:rsidR="005860D5">
        <w:rPr>
          <w:bCs/>
          <w:color w:val="000000"/>
          <w:sz w:val="24"/>
        </w:rPr>
        <w:instrText xml:space="preserve"> = 2 \* GB3 </w:instrText>
      </w:r>
      <w:r>
        <w:rPr>
          <w:bCs/>
          <w:color w:val="000000"/>
          <w:sz w:val="24"/>
        </w:rPr>
        <w:fldChar w:fldCharType="separate"/>
      </w:r>
      <w:r w:rsidR="005860D5">
        <w:rPr>
          <w:rFonts w:ascii="宋体" w:hAnsi="宋体" w:cs="宋体" w:hint="eastAsia"/>
          <w:bCs/>
          <w:color w:val="000000"/>
          <w:sz w:val="24"/>
        </w:rPr>
        <w:t>②</w:t>
      </w:r>
      <w:r>
        <w:rPr>
          <w:color w:val="000000"/>
          <w:sz w:val="24"/>
        </w:rPr>
        <w:fldChar w:fldCharType="end"/>
      </w:r>
      <w:r w:rsidR="005860D5">
        <w:rPr>
          <w:bCs/>
          <w:color w:val="000000"/>
          <w:sz w:val="24"/>
        </w:rPr>
        <w:t>可行性研究阶段，建设单位委托持证单位编制环境影响和水土保持方案报</w:t>
      </w:r>
      <w:r w:rsidR="005860D5">
        <w:rPr>
          <w:bCs/>
          <w:color w:val="000000"/>
          <w:sz w:val="24"/>
        </w:rPr>
        <w:lastRenderedPageBreak/>
        <w:t>告书；</w:t>
      </w:r>
    </w:p>
    <w:p w:rsidR="00C223F5" w:rsidRDefault="000F32AE">
      <w:pPr>
        <w:spacing w:line="360" w:lineRule="auto"/>
        <w:ind w:firstLineChars="200" w:firstLine="480"/>
        <w:rPr>
          <w:bCs/>
          <w:color w:val="000000"/>
          <w:sz w:val="24"/>
        </w:rPr>
      </w:pPr>
      <w:r>
        <w:rPr>
          <w:bCs/>
          <w:color w:val="000000"/>
          <w:sz w:val="24"/>
        </w:rPr>
        <w:fldChar w:fldCharType="begin"/>
      </w:r>
      <w:r w:rsidR="005860D5">
        <w:rPr>
          <w:bCs/>
          <w:color w:val="000000"/>
          <w:sz w:val="24"/>
        </w:rPr>
        <w:instrText xml:space="preserve"> = 3 \* GB3 </w:instrText>
      </w:r>
      <w:r>
        <w:rPr>
          <w:bCs/>
          <w:color w:val="000000"/>
          <w:sz w:val="24"/>
        </w:rPr>
        <w:fldChar w:fldCharType="separate"/>
      </w:r>
      <w:r w:rsidR="005860D5">
        <w:rPr>
          <w:rFonts w:ascii="宋体" w:hAnsi="宋体" w:cs="宋体" w:hint="eastAsia"/>
          <w:bCs/>
          <w:color w:val="000000"/>
          <w:sz w:val="24"/>
        </w:rPr>
        <w:t>③</w:t>
      </w:r>
      <w:r>
        <w:rPr>
          <w:color w:val="000000"/>
          <w:sz w:val="24"/>
        </w:rPr>
        <w:fldChar w:fldCharType="end"/>
      </w:r>
      <w:r w:rsidR="005860D5">
        <w:rPr>
          <w:bCs/>
          <w:color w:val="000000"/>
          <w:sz w:val="24"/>
        </w:rPr>
        <w:t>初设和施工图设计阶段，依据《环境影响报告书》、《水土保持方案报告书》及其审查意见，落实各项环境保护措施和水保工程要求，做好环保工程和水保工程单项设计。</w:t>
      </w:r>
    </w:p>
    <w:p w:rsidR="00C223F5" w:rsidRDefault="000F32AE">
      <w:pPr>
        <w:spacing w:line="360" w:lineRule="auto"/>
        <w:ind w:firstLineChars="200" w:firstLine="480"/>
        <w:rPr>
          <w:bCs/>
          <w:color w:val="000000"/>
          <w:sz w:val="24"/>
        </w:rPr>
      </w:pPr>
      <w:r>
        <w:rPr>
          <w:bCs/>
          <w:color w:val="000000"/>
          <w:sz w:val="24"/>
        </w:rPr>
        <w:fldChar w:fldCharType="begin"/>
      </w:r>
      <w:r w:rsidR="005860D5">
        <w:rPr>
          <w:bCs/>
          <w:color w:val="000000"/>
          <w:sz w:val="24"/>
        </w:rPr>
        <w:instrText xml:space="preserve"> = 4 \* GB3 </w:instrText>
      </w:r>
      <w:r>
        <w:rPr>
          <w:bCs/>
          <w:color w:val="000000"/>
          <w:sz w:val="24"/>
        </w:rPr>
        <w:fldChar w:fldCharType="separate"/>
      </w:r>
      <w:r w:rsidR="005860D5">
        <w:rPr>
          <w:rFonts w:ascii="宋体" w:hAnsi="宋体" w:cs="宋体" w:hint="eastAsia"/>
          <w:bCs/>
          <w:color w:val="000000"/>
          <w:sz w:val="24"/>
        </w:rPr>
        <w:t>④</w:t>
      </w:r>
      <w:r>
        <w:rPr>
          <w:color w:val="000000"/>
          <w:sz w:val="24"/>
        </w:rPr>
        <w:fldChar w:fldCharType="end"/>
      </w:r>
      <w:r w:rsidR="005860D5">
        <w:rPr>
          <w:bCs/>
          <w:color w:val="000000"/>
          <w:sz w:val="24"/>
        </w:rPr>
        <w:t>环保工程投资概算均纳入工程总投资中，确保环保工程的实施。</w:t>
      </w:r>
    </w:p>
    <w:p w:rsidR="00C223F5" w:rsidRDefault="005860D5">
      <w:pPr>
        <w:spacing w:line="360" w:lineRule="auto"/>
        <w:ind w:firstLineChars="200" w:firstLine="482"/>
        <w:rPr>
          <w:b/>
          <w:bCs/>
          <w:color w:val="000000"/>
          <w:sz w:val="24"/>
        </w:rPr>
      </w:pPr>
      <w:r>
        <w:rPr>
          <w:b/>
          <w:bCs/>
          <w:color w:val="000000"/>
          <w:sz w:val="24"/>
        </w:rPr>
        <w:t>（</w:t>
      </w:r>
      <w:r>
        <w:rPr>
          <w:b/>
          <w:bCs/>
          <w:color w:val="000000"/>
          <w:sz w:val="24"/>
        </w:rPr>
        <w:t>2</w:t>
      </w:r>
      <w:r>
        <w:rPr>
          <w:b/>
          <w:bCs/>
          <w:color w:val="000000"/>
          <w:sz w:val="24"/>
        </w:rPr>
        <w:t>）施工期环境管理</w:t>
      </w:r>
    </w:p>
    <w:p w:rsidR="00C223F5" w:rsidRDefault="000F32AE">
      <w:pPr>
        <w:spacing w:line="360" w:lineRule="auto"/>
        <w:ind w:firstLineChars="200" w:firstLine="480"/>
        <w:rPr>
          <w:bCs/>
          <w:color w:val="000000"/>
          <w:sz w:val="24"/>
        </w:rPr>
      </w:pPr>
      <w:r>
        <w:rPr>
          <w:bCs/>
          <w:color w:val="000000"/>
          <w:sz w:val="24"/>
        </w:rPr>
        <w:fldChar w:fldCharType="begin"/>
      </w:r>
      <w:r w:rsidR="005860D5">
        <w:rPr>
          <w:bCs/>
          <w:color w:val="000000"/>
          <w:sz w:val="24"/>
        </w:rPr>
        <w:instrText xml:space="preserve"> = 1 \* GB3 </w:instrText>
      </w:r>
      <w:r>
        <w:rPr>
          <w:bCs/>
          <w:color w:val="000000"/>
          <w:sz w:val="24"/>
        </w:rPr>
        <w:fldChar w:fldCharType="separate"/>
      </w:r>
      <w:r w:rsidR="005860D5">
        <w:rPr>
          <w:rFonts w:ascii="宋体" w:hAnsi="宋体" w:cs="宋体" w:hint="eastAsia"/>
          <w:bCs/>
          <w:color w:val="000000"/>
          <w:sz w:val="24"/>
        </w:rPr>
        <w:t>①</w:t>
      </w:r>
      <w:r>
        <w:rPr>
          <w:color w:val="000000"/>
          <w:sz w:val="24"/>
        </w:rPr>
        <w:fldChar w:fldCharType="end"/>
      </w:r>
      <w:r w:rsidR="005860D5">
        <w:rPr>
          <w:bCs/>
          <w:color w:val="000000"/>
          <w:sz w:val="24"/>
        </w:rPr>
        <w:t>管理体系</w:t>
      </w:r>
    </w:p>
    <w:p w:rsidR="00C223F5" w:rsidRDefault="005860D5">
      <w:pPr>
        <w:spacing w:line="360" w:lineRule="auto"/>
        <w:ind w:firstLineChars="200" w:firstLine="480"/>
        <w:rPr>
          <w:bCs/>
          <w:color w:val="000000"/>
          <w:sz w:val="24"/>
        </w:rPr>
      </w:pPr>
      <w:r>
        <w:rPr>
          <w:bCs/>
          <w:color w:val="000000"/>
          <w:sz w:val="24"/>
        </w:rPr>
        <w:t>工程施工管理组成应包括建设单位、监理单位、施工单位在内的三级管理体系，同时要求工程设计单位做好服务与配合。</w:t>
      </w:r>
    </w:p>
    <w:p w:rsidR="00C223F5" w:rsidRDefault="005860D5">
      <w:pPr>
        <w:spacing w:line="360" w:lineRule="auto"/>
        <w:ind w:firstLineChars="200" w:firstLine="480"/>
        <w:rPr>
          <w:bCs/>
          <w:color w:val="000000"/>
          <w:sz w:val="24"/>
        </w:rPr>
      </w:pPr>
      <w:r>
        <w:rPr>
          <w:bCs/>
          <w:color w:val="000000"/>
          <w:sz w:val="24"/>
        </w:rPr>
        <w:t>A</w:t>
      </w:r>
      <w:r>
        <w:rPr>
          <w:bCs/>
          <w:color w:val="000000"/>
          <w:sz w:val="24"/>
        </w:rPr>
        <w:t>、施工单位应加强自身的环境管理，须配备必须经过相关培训、具备一定能力和资质的专、兼职环保管理人员，并赋予相应的职责和权力；</w:t>
      </w:r>
    </w:p>
    <w:p w:rsidR="00C223F5" w:rsidRDefault="005860D5">
      <w:pPr>
        <w:spacing w:line="360" w:lineRule="auto"/>
        <w:ind w:firstLineChars="200" w:firstLine="480"/>
        <w:rPr>
          <w:bCs/>
          <w:color w:val="000000"/>
          <w:sz w:val="24"/>
        </w:rPr>
      </w:pPr>
      <w:r>
        <w:rPr>
          <w:bCs/>
          <w:color w:val="000000"/>
          <w:sz w:val="24"/>
        </w:rPr>
        <w:t>B</w:t>
      </w:r>
      <w:r>
        <w:rPr>
          <w:bCs/>
          <w:color w:val="000000"/>
          <w:sz w:val="24"/>
        </w:rPr>
        <w:t>、监理单位应根据环境影响报告书、环保工程施工设计文件及施工合同中规定执行的各项环保措施作为监理工作重要内容，对建设项目的各项环保工程建设质量把关，监督施工单位落实施工中采取的各项环保措施。</w:t>
      </w:r>
    </w:p>
    <w:p w:rsidR="00C223F5" w:rsidRDefault="005860D5">
      <w:pPr>
        <w:spacing w:line="360" w:lineRule="auto"/>
        <w:ind w:firstLineChars="200" w:firstLine="480"/>
        <w:rPr>
          <w:bCs/>
          <w:color w:val="000000"/>
          <w:sz w:val="24"/>
        </w:rPr>
      </w:pPr>
      <w:r>
        <w:rPr>
          <w:bCs/>
          <w:color w:val="000000"/>
          <w:sz w:val="24"/>
        </w:rPr>
        <w:t>C</w:t>
      </w:r>
      <w:r>
        <w:rPr>
          <w:bCs/>
          <w:color w:val="000000"/>
          <w:sz w:val="24"/>
        </w:rPr>
        <w:t>、在工程施工承发包工作中，应将环保工程摆在主体工程同等的地位，环保工程质量、工期及与之相关的施工单位资质、能力都将作为重要的发包条件；其次是及时掌握工程施工环保动态；定期检查和总结工程环保措施实施情况，资金使用情况，确保环保工程的进度要求；第三是协调各施工单位关系，消除可能存在环保项目遗漏和缺口；出现重大环保问题或环境纠纷时，积极组织力量解决，并协助施工单位处理好地方环境保护部门、公众三方相互利益的关系。</w:t>
      </w:r>
    </w:p>
    <w:p w:rsidR="00C223F5" w:rsidRDefault="000F32AE">
      <w:pPr>
        <w:spacing w:line="360" w:lineRule="auto"/>
        <w:ind w:firstLineChars="200" w:firstLine="480"/>
        <w:rPr>
          <w:bCs/>
          <w:color w:val="000000"/>
          <w:sz w:val="24"/>
        </w:rPr>
      </w:pPr>
      <w:r>
        <w:rPr>
          <w:bCs/>
          <w:color w:val="000000"/>
          <w:sz w:val="24"/>
        </w:rPr>
        <w:fldChar w:fldCharType="begin"/>
      </w:r>
      <w:r w:rsidR="005860D5">
        <w:rPr>
          <w:bCs/>
          <w:color w:val="000000"/>
          <w:sz w:val="24"/>
        </w:rPr>
        <w:instrText xml:space="preserve"> = 2 \* GB3 </w:instrText>
      </w:r>
      <w:r>
        <w:rPr>
          <w:bCs/>
          <w:color w:val="000000"/>
          <w:sz w:val="24"/>
        </w:rPr>
        <w:fldChar w:fldCharType="separate"/>
      </w:r>
      <w:r w:rsidR="005860D5">
        <w:rPr>
          <w:rFonts w:ascii="宋体" w:hAnsi="宋体" w:cs="宋体" w:hint="eastAsia"/>
          <w:bCs/>
          <w:color w:val="000000"/>
          <w:sz w:val="24"/>
        </w:rPr>
        <w:t>②</w:t>
      </w:r>
      <w:r>
        <w:rPr>
          <w:color w:val="000000"/>
          <w:sz w:val="24"/>
        </w:rPr>
        <w:fldChar w:fldCharType="end"/>
      </w:r>
      <w:r w:rsidR="005860D5">
        <w:rPr>
          <w:bCs/>
          <w:color w:val="000000"/>
          <w:sz w:val="24"/>
        </w:rPr>
        <w:t>监督体系</w:t>
      </w:r>
    </w:p>
    <w:p w:rsidR="00C223F5" w:rsidRDefault="005860D5">
      <w:pPr>
        <w:spacing w:line="360" w:lineRule="auto"/>
        <w:ind w:firstLineChars="200" w:firstLine="480"/>
        <w:rPr>
          <w:bCs/>
          <w:color w:val="000000"/>
          <w:sz w:val="24"/>
        </w:rPr>
      </w:pPr>
      <w:r>
        <w:rPr>
          <w:bCs/>
          <w:color w:val="000000"/>
          <w:sz w:val="24"/>
        </w:rPr>
        <w:t>从工程施工的全过程而言，地方环保、水利、交通、环卫等部门是工程施工期环境监督的主体，而在某一具体或敏感环节，银行、审计、司法部门及新闻媒体也是监督体系的重要组成部分。</w:t>
      </w:r>
    </w:p>
    <w:p w:rsidR="00C223F5" w:rsidRDefault="000F32AE">
      <w:pPr>
        <w:spacing w:line="360" w:lineRule="auto"/>
        <w:ind w:firstLineChars="200" w:firstLine="480"/>
        <w:rPr>
          <w:bCs/>
          <w:color w:val="000000"/>
          <w:sz w:val="24"/>
        </w:rPr>
      </w:pPr>
      <w:r>
        <w:rPr>
          <w:bCs/>
          <w:color w:val="000000"/>
          <w:sz w:val="24"/>
        </w:rPr>
        <w:fldChar w:fldCharType="begin"/>
      </w:r>
      <w:r w:rsidR="005860D5">
        <w:rPr>
          <w:bCs/>
          <w:color w:val="000000"/>
          <w:sz w:val="24"/>
        </w:rPr>
        <w:instrText xml:space="preserve"> = 3 \* GB3 </w:instrText>
      </w:r>
      <w:r>
        <w:rPr>
          <w:bCs/>
          <w:color w:val="000000"/>
          <w:sz w:val="24"/>
        </w:rPr>
        <w:fldChar w:fldCharType="separate"/>
      </w:r>
      <w:r w:rsidR="005860D5">
        <w:rPr>
          <w:rFonts w:ascii="宋体" w:hAnsi="宋体" w:cs="宋体" w:hint="eastAsia"/>
          <w:bCs/>
          <w:color w:val="000000"/>
          <w:sz w:val="24"/>
        </w:rPr>
        <w:t>③</w:t>
      </w:r>
      <w:r>
        <w:rPr>
          <w:color w:val="000000"/>
          <w:sz w:val="24"/>
        </w:rPr>
        <w:fldChar w:fldCharType="end"/>
      </w:r>
      <w:r w:rsidR="005860D5">
        <w:rPr>
          <w:bCs/>
          <w:color w:val="000000"/>
          <w:sz w:val="24"/>
        </w:rPr>
        <w:t>施工期环境管理</w:t>
      </w:r>
    </w:p>
    <w:p w:rsidR="00C223F5" w:rsidRDefault="005860D5">
      <w:pPr>
        <w:spacing w:line="360" w:lineRule="auto"/>
        <w:ind w:firstLineChars="200" w:firstLine="480"/>
        <w:rPr>
          <w:bCs/>
          <w:color w:val="000000"/>
          <w:sz w:val="24"/>
        </w:rPr>
      </w:pPr>
      <w:r>
        <w:rPr>
          <w:bCs/>
          <w:color w:val="000000"/>
          <w:sz w:val="24"/>
        </w:rPr>
        <w:t>A</w:t>
      </w:r>
      <w:r>
        <w:rPr>
          <w:bCs/>
          <w:color w:val="000000"/>
          <w:sz w:val="24"/>
        </w:rPr>
        <w:t>、建设单位与施工单位签定工程承包合同中，应包括施工期间环境保护条款，工程施工中生态环境保护、施工期间环境污染控制、污染物排放管理、施工人员环保教育及相关奖惩条款。</w:t>
      </w:r>
    </w:p>
    <w:p w:rsidR="00C223F5" w:rsidRDefault="005860D5">
      <w:pPr>
        <w:spacing w:line="360" w:lineRule="auto"/>
        <w:ind w:firstLineChars="200" w:firstLine="480"/>
        <w:rPr>
          <w:bCs/>
          <w:color w:val="000000"/>
          <w:sz w:val="24"/>
        </w:rPr>
      </w:pPr>
      <w:r>
        <w:rPr>
          <w:bCs/>
          <w:color w:val="000000"/>
          <w:sz w:val="24"/>
        </w:rPr>
        <w:t>B</w:t>
      </w:r>
      <w:r>
        <w:rPr>
          <w:bCs/>
          <w:color w:val="000000"/>
          <w:sz w:val="24"/>
        </w:rPr>
        <w:t>、施工单位应提高环保意识，加强驻地和施工现场的环境管理，合理安排施工计划，做到组织计划严谨，文明施工；环保工程与主体工程同时施工、同时运</w:t>
      </w:r>
      <w:r>
        <w:rPr>
          <w:bCs/>
          <w:color w:val="000000"/>
          <w:sz w:val="24"/>
        </w:rPr>
        <w:lastRenderedPageBreak/>
        <w:t>行，环保工程费用专款专用，不偷工减料、延误工期。</w:t>
      </w:r>
    </w:p>
    <w:p w:rsidR="00C223F5" w:rsidRDefault="005860D5">
      <w:pPr>
        <w:spacing w:line="360" w:lineRule="auto"/>
        <w:ind w:firstLineChars="200" w:firstLine="480"/>
        <w:rPr>
          <w:bCs/>
          <w:color w:val="000000"/>
          <w:sz w:val="24"/>
        </w:rPr>
      </w:pPr>
      <w:r>
        <w:rPr>
          <w:bCs/>
          <w:color w:val="000000"/>
          <w:sz w:val="24"/>
        </w:rPr>
        <w:t>C</w:t>
      </w:r>
      <w:r>
        <w:rPr>
          <w:bCs/>
          <w:color w:val="000000"/>
          <w:sz w:val="24"/>
        </w:rPr>
        <w:t>、施工单位应特别注意工程施工中的水土保持，尽可能保护好沿线土壤、植被，弃土弃渣须运至设计中指定地点弃置，严禁随意堆置，防止对地表水环境产生影响。</w:t>
      </w:r>
    </w:p>
    <w:p w:rsidR="00C223F5" w:rsidRDefault="005860D5">
      <w:pPr>
        <w:spacing w:line="360" w:lineRule="auto"/>
        <w:ind w:firstLineChars="200" w:firstLine="480"/>
        <w:rPr>
          <w:bCs/>
          <w:color w:val="000000"/>
          <w:sz w:val="24"/>
        </w:rPr>
      </w:pPr>
      <w:r>
        <w:rPr>
          <w:bCs/>
          <w:color w:val="000000"/>
          <w:sz w:val="24"/>
        </w:rPr>
        <w:t>D</w:t>
      </w:r>
      <w:r>
        <w:rPr>
          <w:bCs/>
          <w:color w:val="000000"/>
          <w:sz w:val="24"/>
        </w:rPr>
        <w:t>、施工现场、驻地及临时设施，应加强环境管理，妥善处置施工</w:t>
      </w:r>
      <w:r>
        <w:rPr>
          <w:bCs/>
          <w:color w:val="000000"/>
          <w:sz w:val="24"/>
        </w:rPr>
        <w:t>“</w:t>
      </w:r>
      <w:r>
        <w:rPr>
          <w:bCs/>
          <w:color w:val="000000"/>
          <w:sz w:val="24"/>
        </w:rPr>
        <w:t>三废</w:t>
      </w:r>
      <w:r>
        <w:rPr>
          <w:bCs/>
          <w:color w:val="000000"/>
          <w:sz w:val="24"/>
        </w:rPr>
        <w:t>”</w:t>
      </w:r>
      <w:r>
        <w:rPr>
          <w:bCs/>
          <w:color w:val="000000"/>
          <w:sz w:val="24"/>
        </w:rPr>
        <w:t>。</w:t>
      </w:r>
    </w:p>
    <w:p w:rsidR="00C223F5" w:rsidRDefault="005860D5">
      <w:pPr>
        <w:spacing w:line="360" w:lineRule="auto"/>
        <w:ind w:firstLineChars="200" w:firstLine="480"/>
        <w:rPr>
          <w:bCs/>
          <w:color w:val="000000"/>
          <w:sz w:val="24"/>
        </w:rPr>
      </w:pPr>
      <w:r>
        <w:rPr>
          <w:bCs/>
          <w:color w:val="000000"/>
          <w:sz w:val="24"/>
        </w:rPr>
        <w:t>E</w:t>
      </w:r>
      <w:r>
        <w:rPr>
          <w:bCs/>
          <w:color w:val="000000"/>
          <w:sz w:val="24"/>
        </w:rPr>
        <w:t>、认真落实各项补偿措施，做好工程各项环保设施的施工监理与验收，保证环保工程质量，真正做到环保工程</w:t>
      </w:r>
      <w:r>
        <w:rPr>
          <w:bCs/>
          <w:color w:val="000000"/>
          <w:sz w:val="24"/>
        </w:rPr>
        <w:t>“</w:t>
      </w:r>
      <w:r>
        <w:rPr>
          <w:bCs/>
          <w:color w:val="000000"/>
          <w:sz w:val="24"/>
        </w:rPr>
        <w:t>三同时</w:t>
      </w:r>
      <w:r>
        <w:rPr>
          <w:color w:val="000000"/>
          <w:sz w:val="24"/>
        </w:rPr>
        <w:t>计划</w:t>
      </w:r>
      <w:r>
        <w:rPr>
          <w:bCs/>
          <w:color w:val="000000"/>
          <w:sz w:val="24"/>
        </w:rPr>
        <w:t>”</w:t>
      </w:r>
      <w:r>
        <w:rPr>
          <w:bCs/>
          <w:color w:val="000000"/>
          <w:sz w:val="24"/>
        </w:rPr>
        <w:t>。</w:t>
      </w:r>
    </w:p>
    <w:p w:rsidR="00C223F5" w:rsidRDefault="005860D5">
      <w:pPr>
        <w:spacing w:line="360" w:lineRule="auto"/>
        <w:ind w:firstLineChars="200" w:firstLine="480"/>
        <w:rPr>
          <w:color w:val="000000"/>
          <w:sz w:val="24"/>
        </w:rPr>
      </w:pPr>
      <w:r>
        <w:rPr>
          <w:color w:val="000000"/>
          <w:sz w:val="24"/>
        </w:rPr>
        <w:t>工程不同工作阶段定环境管理工作内容见表</w:t>
      </w:r>
      <w:r>
        <w:rPr>
          <w:rFonts w:hint="eastAsia"/>
          <w:color w:val="000000"/>
          <w:sz w:val="24"/>
        </w:rPr>
        <w:t>7</w:t>
      </w:r>
      <w:r>
        <w:rPr>
          <w:color w:val="000000"/>
          <w:sz w:val="24"/>
        </w:rPr>
        <w:t>.2.1-1</w:t>
      </w:r>
      <w:r>
        <w:rPr>
          <w:color w:val="000000"/>
          <w:sz w:val="24"/>
        </w:rPr>
        <w:t>。</w:t>
      </w:r>
    </w:p>
    <w:p w:rsidR="00C223F5" w:rsidRDefault="005860D5">
      <w:pPr>
        <w:jc w:val="center"/>
        <w:rPr>
          <w:b/>
          <w:color w:val="000000"/>
          <w:sz w:val="24"/>
        </w:rPr>
      </w:pPr>
      <w:r>
        <w:rPr>
          <w:b/>
          <w:color w:val="000000"/>
          <w:sz w:val="24"/>
        </w:rPr>
        <w:t>表</w:t>
      </w:r>
      <w:r>
        <w:rPr>
          <w:rFonts w:hint="eastAsia"/>
          <w:b/>
          <w:color w:val="000000"/>
          <w:sz w:val="24"/>
        </w:rPr>
        <w:t>7.</w:t>
      </w:r>
      <w:r>
        <w:rPr>
          <w:b/>
          <w:color w:val="000000"/>
          <w:sz w:val="24"/>
        </w:rPr>
        <w:t xml:space="preserve">2.1-1   </w:t>
      </w:r>
      <w:r>
        <w:rPr>
          <w:b/>
          <w:color w:val="000000"/>
          <w:sz w:val="24"/>
        </w:rPr>
        <w:t>环境管理工作计划</w:t>
      </w:r>
    </w:p>
    <w:tbl>
      <w:tblPr>
        <w:tblW w:w="91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2"/>
        <w:gridCol w:w="8531"/>
      </w:tblGrid>
      <w:tr w:rsidR="00C223F5">
        <w:trPr>
          <w:trHeight w:val="473"/>
          <w:jc w:val="center"/>
        </w:trPr>
        <w:tc>
          <w:tcPr>
            <w:tcW w:w="642" w:type="dxa"/>
            <w:tcBorders>
              <w:top w:val="single" w:sz="4" w:space="0" w:color="auto"/>
              <w:left w:val="single" w:sz="4" w:space="0" w:color="auto"/>
              <w:bottom w:val="single" w:sz="6" w:space="0" w:color="auto"/>
              <w:right w:val="single" w:sz="6" w:space="0" w:color="auto"/>
            </w:tcBorders>
            <w:vAlign w:val="center"/>
          </w:tcPr>
          <w:p w:rsidR="00C223F5" w:rsidRDefault="005860D5">
            <w:pPr>
              <w:spacing w:line="260" w:lineRule="exact"/>
              <w:jc w:val="center"/>
              <w:rPr>
                <w:color w:val="000000"/>
                <w:szCs w:val="21"/>
              </w:rPr>
            </w:pPr>
            <w:r>
              <w:rPr>
                <w:color w:val="000000"/>
                <w:szCs w:val="21"/>
              </w:rPr>
              <w:t>阶段</w:t>
            </w:r>
          </w:p>
        </w:tc>
        <w:tc>
          <w:tcPr>
            <w:tcW w:w="8531" w:type="dxa"/>
            <w:tcBorders>
              <w:top w:val="single" w:sz="4" w:space="0" w:color="auto"/>
              <w:left w:val="single" w:sz="6" w:space="0" w:color="auto"/>
              <w:bottom w:val="single" w:sz="6" w:space="0" w:color="auto"/>
              <w:right w:val="single" w:sz="4" w:space="0" w:color="auto"/>
            </w:tcBorders>
            <w:vAlign w:val="center"/>
          </w:tcPr>
          <w:p w:rsidR="00C223F5" w:rsidRDefault="005860D5">
            <w:pPr>
              <w:spacing w:line="260" w:lineRule="exact"/>
              <w:jc w:val="center"/>
              <w:rPr>
                <w:color w:val="000000"/>
                <w:szCs w:val="21"/>
              </w:rPr>
            </w:pPr>
            <w:r>
              <w:rPr>
                <w:color w:val="000000"/>
                <w:szCs w:val="21"/>
              </w:rPr>
              <w:t>环境管理工作主要内容</w:t>
            </w:r>
          </w:p>
        </w:tc>
      </w:tr>
      <w:tr w:rsidR="00C223F5">
        <w:trPr>
          <w:trHeight w:val="20"/>
          <w:jc w:val="center"/>
        </w:trPr>
        <w:tc>
          <w:tcPr>
            <w:tcW w:w="642" w:type="dxa"/>
            <w:tcBorders>
              <w:top w:val="single" w:sz="6" w:space="0" w:color="auto"/>
              <w:left w:val="single" w:sz="4" w:space="0" w:color="auto"/>
              <w:bottom w:val="single" w:sz="6" w:space="0" w:color="auto"/>
              <w:right w:val="single" w:sz="6" w:space="0" w:color="auto"/>
            </w:tcBorders>
            <w:vAlign w:val="center"/>
          </w:tcPr>
          <w:p w:rsidR="00C223F5" w:rsidRDefault="005860D5">
            <w:pPr>
              <w:spacing w:line="260" w:lineRule="exact"/>
              <w:jc w:val="center"/>
              <w:rPr>
                <w:color w:val="000000"/>
                <w:szCs w:val="21"/>
              </w:rPr>
            </w:pPr>
            <w:r>
              <w:rPr>
                <w:color w:val="000000"/>
                <w:szCs w:val="21"/>
              </w:rPr>
              <w:t>管理机构职能</w:t>
            </w:r>
          </w:p>
        </w:tc>
        <w:tc>
          <w:tcPr>
            <w:tcW w:w="8531" w:type="dxa"/>
            <w:tcBorders>
              <w:top w:val="single" w:sz="6" w:space="0" w:color="auto"/>
              <w:left w:val="single" w:sz="6" w:space="0" w:color="auto"/>
              <w:bottom w:val="single" w:sz="6" w:space="0" w:color="auto"/>
              <w:right w:val="single" w:sz="4" w:space="0" w:color="auto"/>
            </w:tcBorders>
            <w:vAlign w:val="center"/>
          </w:tcPr>
          <w:p w:rsidR="00C223F5" w:rsidRDefault="005860D5">
            <w:pPr>
              <w:spacing w:line="260" w:lineRule="exact"/>
              <w:rPr>
                <w:color w:val="000000"/>
                <w:szCs w:val="21"/>
              </w:rPr>
            </w:pPr>
            <w:r>
              <w:rPr>
                <w:color w:val="000000"/>
                <w:szCs w:val="21"/>
              </w:rPr>
              <w:t>根据国家建设项目环境管理规定，认真落实各项环保手续，完成各级主管部门对本企业提出的环境管理要求，对本企业内部各项管理计划的执行及完成情况进行监督、控制，确保环境管理工作真正发挥作用。</w:t>
            </w:r>
          </w:p>
        </w:tc>
      </w:tr>
      <w:tr w:rsidR="00C223F5">
        <w:trPr>
          <w:trHeight w:val="20"/>
          <w:jc w:val="center"/>
        </w:trPr>
        <w:tc>
          <w:tcPr>
            <w:tcW w:w="642" w:type="dxa"/>
            <w:tcBorders>
              <w:top w:val="single" w:sz="6" w:space="0" w:color="auto"/>
              <w:left w:val="single" w:sz="4" w:space="0" w:color="auto"/>
              <w:bottom w:val="single" w:sz="6" w:space="0" w:color="auto"/>
              <w:right w:val="single" w:sz="6" w:space="0" w:color="auto"/>
            </w:tcBorders>
            <w:vAlign w:val="center"/>
          </w:tcPr>
          <w:p w:rsidR="00C223F5" w:rsidRDefault="005860D5">
            <w:pPr>
              <w:spacing w:line="260" w:lineRule="exact"/>
              <w:jc w:val="center"/>
              <w:rPr>
                <w:color w:val="000000"/>
                <w:szCs w:val="21"/>
              </w:rPr>
            </w:pPr>
            <w:r>
              <w:rPr>
                <w:color w:val="000000"/>
                <w:szCs w:val="21"/>
              </w:rPr>
              <w:t>项目建设前期</w:t>
            </w:r>
          </w:p>
        </w:tc>
        <w:tc>
          <w:tcPr>
            <w:tcW w:w="8531" w:type="dxa"/>
            <w:tcBorders>
              <w:top w:val="single" w:sz="6" w:space="0" w:color="auto"/>
              <w:left w:val="single" w:sz="6" w:space="0" w:color="auto"/>
              <w:bottom w:val="single" w:sz="6" w:space="0" w:color="auto"/>
              <w:right w:val="single" w:sz="4" w:space="0" w:color="auto"/>
            </w:tcBorders>
            <w:vAlign w:val="center"/>
          </w:tcPr>
          <w:p w:rsidR="00C223F5" w:rsidRDefault="005860D5">
            <w:pPr>
              <w:spacing w:line="260" w:lineRule="exact"/>
              <w:rPr>
                <w:color w:val="000000"/>
                <w:szCs w:val="21"/>
              </w:rPr>
            </w:pPr>
            <w:r>
              <w:rPr>
                <w:color w:val="000000"/>
                <w:szCs w:val="21"/>
              </w:rPr>
              <w:t>与项目可行性研究同期，委托评价单位进行项目的环境影响评价工作；</w:t>
            </w:r>
          </w:p>
          <w:p w:rsidR="00C223F5" w:rsidRDefault="005860D5">
            <w:pPr>
              <w:spacing w:line="260" w:lineRule="exact"/>
              <w:rPr>
                <w:color w:val="000000"/>
                <w:szCs w:val="21"/>
              </w:rPr>
            </w:pPr>
            <w:r>
              <w:rPr>
                <w:color w:val="000000"/>
                <w:szCs w:val="21"/>
              </w:rPr>
              <w:t>积极配合可研及环评单位所需进行的现场调研；</w:t>
            </w:r>
          </w:p>
          <w:p w:rsidR="00C223F5" w:rsidRDefault="005860D5">
            <w:pPr>
              <w:spacing w:line="260" w:lineRule="exact"/>
              <w:rPr>
                <w:color w:val="000000"/>
                <w:szCs w:val="21"/>
              </w:rPr>
            </w:pPr>
            <w:r>
              <w:rPr>
                <w:color w:val="000000"/>
                <w:szCs w:val="21"/>
              </w:rPr>
              <w:t>针对项目的具体情况，建立企业内部必要的环境管理与监测制度；</w:t>
            </w:r>
          </w:p>
          <w:p w:rsidR="00C223F5" w:rsidRDefault="005860D5">
            <w:pPr>
              <w:spacing w:line="260" w:lineRule="exact"/>
              <w:rPr>
                <w:color w:val="000000"/>
                <w:szCs w:val="21"/>
              </w:rPr>
            </w:pPr>
            <w:r>
              <w:rPr>
                <w:color w:val="000000"/>
                <w:szCs w:val="21"/>
              </w:rPr>
              <w:t>对全矿职工进行岗位宣传和培训。</w:t>
            </w:r>
          </w:p>
        </w:tc>
      </w:tr>
      <w:tr w:rsidR="00C223F5">
        <w:trPr>
          <w:trHeight w:val="20"/>
          <w:jc w:val="center"/>
        </w:trPr>
        <w:tc>
          <w:tcPr>
            <w:tcW w:w="642" w:type="dxa"/>
            <w:tcBorders>
              <w:top w:val="single" w:sz="6" w:space="0" w:color="auto"/>
              <w:left w:val="single" w:sz="4" w:space="0" w:color="auto"/>
              <w:bottom w:val="single" w:sz="6" w:space="0" w:color="auto"/>
              <w:right w:val="single" w:sz="6" w:space="0" w:color="auto"/>
            </w:tcBorders>
            <w:vAlign w:val="center"/>
          </w:tcPr>
          <w:p w:rsidR="00C223F5" w:rsidRDefault="005860D5">
            <w:pPr>
              <w:spacing w:line="260" w:lineRule="exact"/>
              <w:jc w:val="center"/>
              <w:rPr>
                <w:color w:val="000000"/>
                <w:szCs w:val="21"/>
              </w:rPr>
            </w:pPr>
            <w:r>
              <w:rPr>
                <w:color w:val="000000"/>
                <w:szCs w:val="21"/>
              </w:rPr>
              <w:t>设计阶段</w:t>
            </w:r>
          </w:p>
        </w:tc>
        <w:tc>
          <w:tcPr>
            <w:tcW w:w="8531" w:type="dxa"/>
            <w:tcBorders>
              <w:top w:val="single" w:sz="6" w:space="0" w:color="auto"/>
              <w:left w:val="single" w:sz="6" w:space="0" w:color="auto"/>
              <w:bottom w:val="single" w:sz="6" w:space="0" w:color="auto"/>
              <w:right w:val="single" w:sz="4" w:space="0" w:color="auto"/>
            </w:tcBorders>
            <w:vAlign w:val="center"/>
          </w:tcPr>
          <w:p w:rsidR="00C223F5" w:rsidRDefault="005860D5">
            <w:pPr>
              <w:spacing w:line="260" w:lineRule="exact"/>
              <w:rPr>
                <w:color w:val="000000"/>
                <w:szCs w:val="21"/>
              </w:rPr>
            </w:pPr>
            <w:r>
              <w:rPr>
                <w:color w:val="000000"/>
                <w:szCs w:val="21"/>
              </w:rPr>
              <w:t>委托设计单位对项目的环保工程进行设计，与主体工程同步进行；</w:t>
            </w:r>
          </w:p>
          <w:p w:rsidR="00C223F5" w:rsidRDefault="005860D5">
            <w:pPr>
              <w:spacing w:line="260" w:lineRule="exact"/>
              <w:rPr>
                <w:color w:val="000000"/>
                <w:szCs w:val="21"/>
              </w:rPr>
            </w:pPr>
            <w:r>
              <w:rPr>
                <w:color w:val="000000"/>
                <w:szCs w:val="21"/>
              </w:rPr>
              <w:t>协助设计单位弄清楚现阶段的环境问题；</w:t>
            </w:r>
          </w:p>
          <w:p w:rsidR="00C223F5" w:rsidRDefault="005860D5">
            <w:pPr>
              <w:spacing w:line="260" w:lineRule="exact"/>
              <w:rPr>
                <w:color w:val="000000"/>
                <w:szCs w:val="21"/>
              </w:rPr>
            </w:pPr>
            <w:r>
              <w:rPr>
                <w:color w:val="000000"/>
                <w:szCs w:val="21"/>
              </w:rPr>
              <w:t>在设计中落实环境影响报告书提出的环保对策措施。</w:t>
            </w:r>
          </w:p>
        </w:tc>
      </w:tr>
      <w:tr w:rsidR="00C223F5">
        <w:trPr>
          <w:trHeight w:val="20"/>
          <w:jc w:val="center"/>
        </w:trPr>
        <w:tc>
          <w:tcPr>
            <w:tcW w:w="642" w:type="dxa"/>
            <w:tcBorders>
              <w:top w:val="single" w:sz="6" w:space="0" w:color="auto"/>
              <w:left w:val="single" w:sz="4" w:space="0" w:color="auto"/>
              <w:bottom w:val="single" w:sz="6" w:space="0" w:color="auto"/>
              <w:right w:val="single" w:sz="6" w:space="0" w:color="auto"/>
            </w:tcBorders>
            <w:vAlign w:val="center"/>
          </w:tcPr>
          <w:p w:rsidR="00C223F5" w:rsidRDefault="005860D5">
            <w:pPr>
              <w:spacing w:line="260" w:lineRule="exact"/>
              <w:jc w:val="center"/>
              <w:rPr>
                <w:color w:val="000000"/>
                <w:szCs w:val="21"/>
              </w:rPr>
            </w:pPr>
            <w:r>
              <w:rPr>
                <w:color w:val="000000"/>
                <w:szCs w:val="21"/>
              </w:rPr>
              <w:t>施工阶段</w:t>
            </w:r>
          </w:p>
        </w:tc>
        <w:tc>
          <w:tcPr>
            <w:tcW w:w="8531" w:type="dxa"/>
            <w:tcBorders>
              <w:top w:val="single" w:sz="6" w:space="0" w:color="auto"/>
              <w:left w:val="single" w:sz="6" w:space="0" w:color="auto"/>
              <w:bottom w:val="single" w:sz="6" w:space="0" w:color="auto"/>
              <w:right w:val="single" w:sz="4" w:space="0" w:color="auto"/>
            </w:tcBorders>
            <w:vAlign w:val="center"/>
          </w:tcPr>
          <w:p w:rsidR="00C223F5" w:rsidRDefault="005860D5">
            <w:pPr>
              <w:spacing w:line="260" w:lineRule="exact"/>
              <w:rPr>
                <w:color w:val="000000"/>
                <w:szCs w:val="21"/>
              </w:rPr>
            </w:pPr>
            <w:r>
              <w:rPr>
                <w:color w:val="000000"/>
                <w:szCs w:val="21"/>
              </w:rPr>
              <w:t>严格执行</w:t>
            </w:r>
            <w:r>
              <w:rPr>
                <w:color w:val="000000"/>
                <w:szCs w:val="21"/>
              </w:rPr>
              <w:t>“</w:t>
            </w:r>
            <w:r>
              <w:rPr>
                <w:color w:val="000000"/>
                <w:szCs w:val="21"/>
              </w:rPr>
              <w:t>三同时</w:t>
            </w:r>
            <w:r>
              <w:rPr>
                <w:color w:val="000000"/>
                <w:szCs w:val="21"/>
              </w:rPr>
              <w:t>”</w:t>
            </w:r>
            <w:r>
              <w:rPr>
                <w:color w:val="000000"/>
                <w:szCs w:val="21"/>
              </w:rPr>
              <w:t>制度；</w:t>
            </w:r>
          </w:p>
          <w:p w:rsidR="00C223F5" w:rsidRDefault="005860D5">
            <w:pPr>
              <w:spacing w:line="260" w:lineRule="exact"/>
              <w:rPr>
                <w:color w:val="000000"/>
                <w:szCs w:val="21"/>
              </w:rPr>
            </w:pPr>
            <w:r>
              <w:rPr>
                <w:color w:val="000000"/>
                <w:szCs w:val="21"/>
              </w:rPr>
              <w:t>按照环评报告中提出的要求，制定出建设项目施工措施实施计划表，并与当地环保部门签定落实计划内的目标责任书；</w:t>
            </w:r>
          </w:p>
          <w:p w:rsidR="00C223F5" w:rsidRDefault="005860D5">
            <w:pPr>
              <w:spacing w:line="260" w:lineRule="exact"/>
              <w:rPr>
                <w:color w:val="000000"/>
                <w:szCs w:val="21"/>
              </w:rPr>
            </w:pPr>
            <w:r>
              <w:rPr>
                <w:color w:val="000000"/>
                <w:szCs w:val="21"/>
              </w:rPr>
              <w:t>认真监督主体工程与环保设施的同步建设；建立环保设施施工进度档案，确保环保工作的正常实施运行；</w:t>
            </w:r>
          </w:p>
          <w:p w:rsidR="00C223F5" w:rsidRDefault="005860D5">
            <w:pPr>
              <w:spacing w:line="260" w:lineRule="exact"/>
              <w:rPr>
                <w:color w:val="000000"/>
                <w:szCs w:val="21"/>
              </w:rPr>
            </w:pPr>
            <w:r>
              <w:rPr>
                <w:color w:val="000000"/>
                <w:szCs w:val="21"/>
              </w:rPr>
              <w:t>施工噪声与振动要符合《中华人民共和国环境噪声污染防治法》有关规定，不得干扰周围群众的正常生活和工作。</w:t>
            </w:r>
          </w:p>
          <w:p w:rsidR="00C223F5" w:rsidRDefault="005860D5">
            <w:pPr>
              <w:spacing w:line="260" w:lineRule="exact"/>
              <w:rPr>
                <w:color w:val="000000"/>
                <w:szCs w:val="21"/>
              </w:rPr>
            </w:pPr>
            <w:r>
              <w:rPr>
                <w:color w:val="000000"/>
                <w:szCs w:val="21"/>
              </w:rPr>
              <w:t>施工中造成的地表破坏，土地、植物毁坏应在竣工后及时恢复。</w:t>
            </w:r>
          </w:p>
          <w:p w:rsidR="00C223F5" w:rsidRDefault="005860D5">
            <w:pPr>
              <w:spacing w:line="260" w:lineRule="exact"/>
              <w:rPr>
                <w:color w:val="000000"/>
                <w:szCs w:val="21"/>
              </w:rPr>
            </w:pPr>
            <w:r>
              <w:rPr>
                <w:color w:val="000000"/>
                <w:szCs w:val="21"/>
              </w:rPr>
              <w:t>设立施工期环境监理制度，监督环保工程的实施情况，施工阶段的环保工程进展情况和环保投资落实情况定期（每季度）向环保主管部门汇报一次。</w:t>
            </w:r>
          </w:p>
        </w:tc>
      </w:tr>
      <w:tr w:rsidR="00C223F5">
        <w:trPr>
          <w:trHeight w:val="20"/>
          <w:jc w:val="center"/>
        </w:trPr>
        <w:tc>
          <w:tcPr>
            <w:tcW w:w="642" w:type="dxa"/>
            <w:tcBorders>
              <w:top w:val="single" w:sz="6" w:space="0" w:color="auto"/>
              <w:left w:val="single" w:sz="4" w:space="0" w:color="auto"/>
              <w:bottom w:val="single" w:sz="6" w:space="0" w:color="auto"/>
              <w:right w:val="single" w:sz="6" w:space="0" w:color="auto"/>
            </w:tcBorders>
            <w:vAlign w:val="center"/>
          </w:tcPr>
          <w:p w:rsidR="00C223F5" w:rsidRDefault="005860D5">
            <w:pPr>
              <w:spacing w:line="260" w:lineRule="exact"/>
              <w:jc w:val="center"/>
              <w:rPr>
                <w:color w:val="000000"/>
                <w:szCs w:val="21"/>
              </w:rPr>
            </w:pPr>
            <w:r>
              <w:rPr>
                <w:color w:val="000000"/>
                <w:szCs w:val="21"/>
              </w:rPr>
              <w:t>试运行阶段</w:t>
            </w:r>
          </w:p>
        </w:tc>
        <w:tc>
          <w:tcPr>
            <w:tcW w:w="8531" w:type="dxa"/>
            <w:tcBorders>
              <w:top w:val="single" w:sz="6" w:space="0" w:color="auto"/>
              <w:left w:val="single" w:sz="6" w:space="0" w:color="auto"/>
              <w:bottom w:val="single" w:sz="6" w:space="0" w:color="auto"/>
              <w:right w:val="single" w:sz="4" w:space="0" w:color="auto"/>
            </w:tcBorders>
            <w:vAlign w:val="center"/>
          </w:tcPr>
          <w:p w:rsidR="00C223F5" w:rsidRDefault="005860D5">
            <w:pPr>
              <w:spacing w:line="260" w:lineRule="exact"/>
              <w:rPr>
                <w:color w:val="000000"/>
                <w:szCs w:val="21"/>
              </w:rPr>
            </w:pPr>
            <w:r>
              <w:rPr>
                <w:color w:val="000000"/>
                <w:szCs w:val="21"/>
              </w:rPr>
              <w:t>检查施工项目是否按照设计、环评规定的环保措施全部完工；</w:t>
            </w:r>
          </w:p>
          <w:p w:rsidR="00C223F5" w:rsidRDefault="005860D5">
            <w:pPr>
              <w:spacing w:line="260" w:lineRule="exact"/>
              <w:rPr>
                <w:color w:val="000000"/>
                <w:szCs w:val="21"/>
              </w:rPr>
            </w:pPr>
            <w:r>
              <w:rPr>
                <w:color w:val="000000"/>
                <w:szCs w:val="21"/>
              </w:rPr>
              <w:t>做好环保设施运行记录；</w:t>
            </w:r>
          </w:p>
          <w:p w:rsidR="00C223F5" w:rsidRDefault="005860D5">
            <w:pPr>
              <w:spacing w:line="260" w:lineRule="exact"/>
              <w:rPr>
                <w:color w:val="000000"/>
                <w:szCs w:val="21"/>
              </w:rPr>
            </w:pPr>
            <w:r>
              <w:rPr>
                <w:color w:val="000000"/>
                <w:szCs w:val="21"/>
              </w:rPr>
              <w:t>向环保部门和当地主管部门提交试运行申请报告；</w:t>
            </w:r>
          </w:p>
          <w:p w:rsidR="00C223F5" w:rsidRDefault="005860D5">
            <w:pPr>
              <w:spacing w:line="260" w:lineRule="exact"/>
              <w:rPr>
                <w:color w:val="000000"/>
                <w:szCs w:val="21"/>
              </w:rPr>
            </w:pPr>
            <w:r>
              <w:rPr>
                <w:color w:val="000000"/>
                <w:szCs w:val="21"/>
              </w:rPr>
              <w:t>环保部门和当地主管部门对环保工种进行现场检查；</w:t>
            </w:r>
          </w:p>
          <w:p w:rsidR="00C223F5" w:rsidRDefault="005860D5">
            <w:pPr>
              <w:spacing w:line="260" w:lineRule="exact"/>
              <w:rPr>
                <w:color w:val="000000"/>
                <w:szCs w:val="21"/>
              </w:rPr>
            </w:pPr>
            <w:r>
              <w:rPr>
                <w:color w:val="000000"/>
                <w:szCs w:val="21"/>
              </w:rPr>
              <w:t>记录各项环保设施的试运转状况，针对出现问题提出完善修改意见；</w:t>
            </w:r>
          </w:p>
          <w:p w:rsidR="00C223F5" w:rsidRDefault="005860D5">
            <w:pPr>
              <w:spacing w:line="260" w:lineRule="exact"/>
              <w:rPr>
                <w:color w:val="000000"/>
                <w:szCs w:val="21"/>
              </w:rPr>
            </w:pPr>
            <w:r>
              <w:rPr>
                <w:color w:val="000000"/>
                <w:szCs w:val="21"/>
              </w:rPr>
              <w:t>总结试运转的经验，健全前期的各项管理制度。</w:t>
            </w:r>
          </w:p>
        </w:tc>
      </w:tr>
      <w:tr w:rsidR="00C223F5">
        <w:trPr>
          <w:trHeight w:val="20"/>
          <w:jc w:val="center"/>
        </w:trPr>
        <w:tc>
          <w:tcPr>
            <w:tcW w:w="642" w:type="dxa"/>
            <w:tcBorders>
              <w:top w:val="single" w:sz="6" w:space="0" w:color="auto"/>
              <w:left w:val="single" w:sz="4" w:space="0" w:color="auto"/>
              <w:bottom w:val="single" w:sz="4" w:space="0" w:color="auto"/>
              <w:right w:val="single" w:sz="6" w:space="0" w:color="auto"/>
            </w:tcBorders>
            <w:vAlign w:val="center"/>
          </w:tcPr>
          <w:p w:rsidR="00C223F5" w:rsidRDefault="005860D5">
            <w:pPr>
              <w:spacing w:line="260" w:lineRule="exact"/>
              <w:jc w:val="center"/>
              <w:rPr>
                <w:color w:val="000000"/>
                <w:szCs w:val="21"/>
              </w:rPr>
            </w:pPr>
            <w:r>
              <w:rPr>
                <w:color w:val="000000"/>
                <w:szCs w:val="21"/>
              </w:rPr>
              <w:t>生产运行期</w:t>
            </w:r>
          </w:p>
        </w:tc>
        <w:tc>
          <w:tcPr>
            <w:tcW w:w="8531" w:type="dxa"/>
            <w:tcBorders>
              <w:top w:val="single" w:sz="6" w:space="0" w:color="auto"/>
              <w:left w:val="single" w:sz="6" w:space="0" w:color="auto"/>
              <w:bottom w:val="single" w:sz="4" w:space="0" w:color="auto"/>
              <w:right w:val="single" w:sz="4" w:space="0" w:color="auto"/>
            </w:tcBorders>
            <w:vAlign w:val="center"/>
          </w:tcPr>
          <w:p w:rsidR="00C223F5" w:rsidRDefault="005860D5">
            <w:pPr>
              <w:spacing w:line="260" w:lineRule="exact"/>
              <w:rPr>
                <w:color w:val="000000"/>
                <w:szCs w:val="21"/>
              </w:rPr>
            </w:pPr>
            <w:r>
              <w:rPr>
                <w:color w:val="000000"/>
                <w:szCs w:val="21"/>
              </w:rPr>
              <w:t>严格执行各项生产及环境管理制度，保证生产的正常进行；</w:t>
            </w:r>
          </w:p>
          <w:p w:rsidR="00C223F5" w:rsidRDefault="005860D5">
            <w:pPr>
              <w:spacing w:line="260" w:lineRule="exact"/>
              <w:rPr>
                <w:color w:val="000000"/>
                <w:szCs w:val="21"/>
              </w:rPr>
            </w:pPr>
            <w:r>
              <w:rPr>
                <w:color w:val="000000"/>
                <w:szCs w:val="21"/>
              </w:rPr>
              <w:t>设立环保设施运行卡，对环保设施定期进行检查、维护，做到勤查、勤记、勤养护，按照监测计划定期组织进行全矿内的污染源监测，对不达标环保设施立即进行寻找原因，及时处理；</w:t>
            </w:r>
          </w:p>
          <w:p w:rsidR="00C223F5" w:rsidRDefault="005860D5">
            <w:pPr>
              <w:spacing w:line="260" w:lineRule="exact"/>
              <w:rPr>
                <w:color w:val="000000"/>
                <w:szCs w:val="21"/>
              </w:rPr>
            </w:pPr>
            <w:r>
              <w:rPr>
                <w:color w:val="000000"/>
                <w:szCs w:val="21"/>
              </w:rPr>
              <w:t>断加强技术培训，组织企业内部之间技术交流，提高业务水平，保持企业内部职工素质稳定；</w:t>
            </w:r>
          </w:p>
          <w:p w:rsidR="00C223F5" w:rsidRDefault="005860D5">
            <w:pPr>
              <w:spacing w:line="260" w:lineRule="exact"/>
              <w:rPr>
                <w:color w:val="000000"/>
                <w:szCs w:val="21"/>
              </w:rPr>
            </w:pPr>
            <w:r>
              <w:rPr>
                <w:color w:val="000000"/>
                <w:szCs w:val="21"/>
              </w:rPr>
              <w:t>重视群众监督作用，提高企业职工环境意识，鼓励职工及外部人员对生产状况提出意见，并通过积极吸收宝贵意见，提高企业环境管理水平；</w:t>
            </w:r>
          </w:p>
          <w:p w:rsidR="00C223F5" w:rsidRDefault="005860D5">
            <w:pPr>
              <w:spacing w:line="260" w:lineRule="exact"/>
              <w:rPr>
                <w:color w:val="000000"/>
                <w:szCs w:val="21"/>
              </w:rPr>
            </w:pPr>
            <w:r>
              <w:rPr>
                <w:color w:val="000000"/>
                <w:szCs w:val="21"/>
              </w:rPr>
              <w:t>积极配合环保部门的检查、验收。</w:t>
            </w:r>
          </w:p>
        </w:tc>
      </w:tr>
    </w:tbl>
    <w:p w:rsidR="00C223F5" w:rsidRDefault="005860D5">
      <w:pPr>
        <w:pStyle w:val="3"/>
        <w:numPr>
          <w:ilvl w:val="0"/>
          <w:numId w:val="0"/>
        </w:numPr>
        <w:spacing w:before="0" w:after="0" w:line="360" w:lineRule="auto"/>
        <w:ind w:left="170"/>
        <w:rPr>
          <w:rFonts w:eastAsia="宋体"/>
          <w:b/>
          <w:bCs w:val="0"/>
          <w:sz w:val="28"/>
          <w:szCs w:val="28"/>
        </w:rPr>
      </w:pPr>
      <w:bookmarkStart w:id="565" w:name="_Toc16785337"/>
      <w:r>
        <w:rPr>
          <w:rFonts w:eastAsia="宋体" w:hint="eastAsia"/>
          <w:b/>
          <w:bCs w:val="0"/>
          <w:sz w:val="28"/>
          <w:szCs w:val="28"/>
        </w:rPr>
        <w:lastRenderedPageBreak/>
        <w:t>7</w:t>
      </w:r>
      <w:r>
        <w:rPr>
          <w:rFonts w:eastAsia="宋体"/>
          <w:b/>
          <w:bCs w:val="0"/>
          <w:sz w:val="28"/>
          <w:szCs w:val="28"/>
        </w:rPr>
        <w:t>.2.2</w:t>
      </w:r>
      <w:r>
        <w:rPr>
          <w:rFonts w:eastAsia="宋体"/>
          <w:b/>
          <w:bCs w:val="0"/>
          <w:sz w:val="28"/>
          <w:szCs w:val="28"/>
        </w:rPr>
        <w:t>建设期环境监理</w:t>
      </w:r>
      <w:bookmarkEnd w:id="565"/>
    </w:p>
    <w:p w:rsidR="00C223F5" w:rsidRDefault="005860D5">
      <w:pPr>
        <w:adjustRightInd w:val="0"/>
        <w:spacing w:line="360" w:lineRule="auto"/>
        <w:ind w:firstLineChars="200" w:firstLine="482"/>
        <w:textAlignment w:val="baseline"/>
        <w:rPr>
          <w:b/>
          <w:bCs/>
          <w:color w:val="000000"/>
          <w:kern w:val="44"/>
          <w:sz w:val="24"/>
        </w:rPr>
      </w:pPr>
      <w:r>
        <w:rPr>
          <w:b/>
          <w:bCs/>
          <w:color w:val="000000"/>
          <w:kern w:val="44"/>
          <w:sz w:val="24"/>
        </w:rPr>
        <w:t>（</w:t>
      </w:r>
      <w:r>
        <w:rPr>
          <w:b/>
          <w:bCs/>
          <w:color w:val="000000"/>
          <w:kern w:val="44"/>
          <w:sz w:val="24"/>
        </w:rPr>
        <w:t>1</w:t>
      </w:r>
      <w:r>
        <w:rPr>
          <w:b/>
          <w:bCs/>
          <w:color w:val="000000"/>
          <w:kern w:val="44"/>
          <w:sz w:val="24"/>
        </w:rPr>
        <w:t>）环境监理工作的形式和任务</w:t>
      </w:r>
    </w:p>
    <w:p w:rsidR="00C223F5" w:rsidRDefault="005860D5">
      <w:pPr>
        <w:adjustRightInd w:val="0"/>
        <w:spacing w:line="360" w:lineRule="auto"/>
        <w:ind w:firstLineChars="200" w:firstLine="480"/>
        <w:textAlignment w:val="baseline"/>
        <w:rPr>
          <w:bCs/>
          <w:color w:val="000000"/>
          <w:kern w:val="44"/>
          <w:sz w:val="24"/>
        </w:rPr>
      </w:pPr>
      <w:r>
        <w:rPr>
          <w:bCs/>
          <w:color w:val="000000"/>
          <w:kern w:val="44"/>
          <w:sz w:val="24"/>
        </w:rPr>
        <w:t>建设单位应按照省环保厅有关要求，施工前委托具有环境监理资质的单位，对施工期拟采取的环境保护措施的实施情况进行监督。并依据环境影响报告书中的环境监理方案要求，在施工招标文件、施工合同和环境监理招标文件、监理合同中明确各自的环境保护责任。环境监理单位应依据建设单位的委托和监理合同中的环境保护要求，进行环境保护监理工作。</w:t>
      </w:r>
    </w:p>
    <w:p w:rsidR="00C223F5" w:rsidRDefault="005860D5">
      <w:pPr>
        <w:adjustRightInd w:val="0"/>
        <w:spacing w:line="360" w:lineRule="auto"/>
        <w:ind w:firstLineChars="200" w:firstLine="482"/>
        <w:textAlignment w:val="baseline"/>
        <w:rPr>
          <w:b/>
          <w:bCs/>
          <w:color w:val="000000"/>
          <w:kern w:val="44"/>
          <w:sz w:val="24"/>
        </w:rPr>
      </w:pPr>
      <w:r>
        <w:rPr>
          <w:b/>
          <w:bCs/>
          <w:color w:val="000000"/>
          <w:kern w:val="44"/>
          <w:sz w:val="24"/>
        </w:rPr>
        <w:t>（</w:t>
      </w:r>
      <w:r>
        <w:rPr>
          <w:b/>
          <w:bCs/>
          <w:color w:val="000000"/>
          <w:kern w:val="44"/>
          <w:sz w:val="24"/>
        </w:rPr>
        <w:t>2</w:t>
      </w:r>
      <w:r>
        <w:rPr>
          <w:b/>
          <w:bCs/>
          <w:color w:val="000000"/>
          <w:kern w:val="44"/>
          <w:sz w:val="24"/>
        </w:rPr>
        <w:t>）监理工作方案和内容</w:t>
      </w:r>
    </w:p>
    <w:p w:rsidR="00C223F5" w:rsidRDefault="005860D5">
      <w:pPr>
        <w:adjustRightInd w:val="0"/>
        <w:snapToGrid w:val="0"/>
        <w:spacing w:line="360" w:lineRule="auto"/>
        <w:ind w:firstLineChars="200" w:firstLine="480"/>
        <w:rPr>
          <w:color w:val="000000"/>
          <w:sz w:val="24"/>
        </w:rPr>
      </w:pPr>
      <w:r>
        <w:rPr>
          <w:color w:val="000000"/>
          <w:sz w:val="24"/>
        </w:rPr>
        <w:t>环境监理的主要工作范围为：工业场地、场外道路的施工现场、生活营地等可能对周边造成环境污染和生态破坏的区域。建设期环境监测内容详见表</w:t>
      </w:r>
      <w:r>
        <w:rPr>
          <w:rFonts w:hint="eastAsia"/>
          <w:color w:val="000000"/>
          <w:sz w:val="24"/>
        </w:rPr>
        <w:t>7</w:t>
      </w:r>
      <w:r>
        <w:rPr>
          <w:color w:val="000000"/>
          <w:sz w:val="24"/>
        </w:rPr>
        <w:t>.2.2-1</w:t>
      </w:r>
      <w:r>
        <w:rPr>
          <w:color w:val="000000"/>
          <w:sz w:val="24"/>
        </w:rPr>
        <w:t>。</w:t>
      </w: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566" w:name="_Toc528161011"/>
      <w:bookmarkStart w:id="567" w:name="_Toc16785338"/>
      <w:r>
        <w:rPr>
          <w:rFonts w:ascii="Times New Roman" w:eastAsia="宋体" w:hAnsi="Times New Roman" w:hint="eastAsia"/>
          <w:b/>
          <w:bCs w:val="0"/>
          <w:szCs w:val="30"/>
        </w:rPr>
        <w:t>7.</w:t>
      </w:r>
      <w:r>
        <w:rPr>
          <w:rFonts w:ascii="Times New Roman" w:eastAsia="宋体" w:hAnsi="Times New Roman"/>
          <w:b/>
          <w:bCs w:val="0"/>
          <w:szCs w:val="30"/>
        </w:rPr>
        <w:t>3</w:t>
      </w:r>
      <w:r>
        <w:rPr>
          <w:rFonts w:ascii="Times New Roman" w:eastAsia="宋体" w:hAnsi="Times New Roman"/>
          <w:b/>
          <w:bCs w:val="0"/>
          <w:szCs w:val="30"/>
        </w:rPr>
        <w:t>运行期环境管理及监测计划</w:t>
      </w:r>
      <w:bookmarkEnd w:id="566"/>
      <w:bookmarkEnd w:id="567"/>
    </w:p>
    <w:p w:rsidR="00C223F5" w:rsidRDefault="005860D5" w:rsidP="004835BD">
      <w:pPr>
        <w:pStyle w:val="3"/>
        <w:numPr>
          <w:ilvl w:val="0"/>
          <w:numId w:val="0"/>
        </w:numPr>
        <w:spacing w:before="0" w:after="0" w:line="360" w:lineRule="auto"/>
        <w:ind w:left="170"/>
        <w:rPr>
          <w:rFonts w:eastAsia="宋体"/>
          <w:b/>
          <w:bCs w:val="0"/>
          <w:sz w:val="28"/>
          <w:szCs w:val="28"/>
        </w:rPr>
      </w:pPr>
      <w:bookmarkStart w:id="568" w:name="_Toc16785339"/>
      <w:r>
        <w:rPr>
          <w:rFonts w:eastAsia="宋体" w:hint="eastAsia"/>
          <w:b/>
          <w:bCs w:val="0"/>
          <w:sz w:val="28"/>
          <w:szCs w:val="28"/>
        </w:rPr>
        <w:t>7</w:t>
      </w:r>
      <w:r>
        <w:rPr>
          <w:rFonts w:eastAsia="宋体"/>
          <w:b/>
          <w:bCs w:val="0"/>
          <w:sz w:val="28"/>
          <w:szCs w:val="28"/>
        </w:rPr>
        <w:t>.3.1</w:t>
      </w:r>
      <w:r>
        <w:rPr>
          <w:rFonts w:eastAsia="宋体"/>
          <w:b/>
          <w:bCs w:val="0"/>
          <w:sz w:val="28"/>
          <w:szCs w:val="28"/>
        </w:rPr>
        <w:t>运行期环境管理</w:t>
      </w:r>
      <w:bookmarkEnd w:id="568"/>
    </w:p>
    <w:p w:rsidR="00C223F5" w:rsidRDefault="005860D5">
      <w:pPr>
        <w:spacing w:line="360" w:lineRule="auto"/>
        <w:ind w:firstLineChars="200" w:firstLine="480"/>
        <w:rPr>
          <w:color w:val="000000"/>
          <w:sz w:val="24"/>
        </w:rPr>
      </w:pPr>
      <w:r>
        <w:rPr>
          <w:color w:val="000000"/>
          <w:sz w:val="24"/>
        </w:rPr>
        <w:t>运行期环境管理工作内容如下：</w:t>
      </w:r>
    </w:p>
    <w:p w:rsidR="00C223F5" w:rsidRDefault="005860D5">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w:t>
      </w:r>
      <w:r>
        <w:rPr>
          <w:color w:val="000000"/>
          <w:sz w:val="24"/>
        </w:rPr>
        <w:t>与当地环保部门及其授权监测部门保持密切联系，监管矿井污染物的排放情况，落实污染物总量控制指标；对污染事故、纠纷进行处理。</w:t>
      </w:r>
    </w:p>
    <w:p w:rsidR="00C223F5" w:rsidRDefault="005860D5">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w:t>
      </w:r>
      <w:r>
        <w:rPr>
          <w:color w:val="000000"/>
          <w:sz w:val="24"/>
        </w:rPr>
        <w:t>完善环保设施运行与维护管理制度，并落实实施；</w:t>
      </w:r>
    </w:p>
    <w:p w:rsidR="00C223F5" w:rsidRDefault="005860D5">
      <w:pPr>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w:t>
      </w:r>
      <w:r>
        <w:rPr>
          <w:color w:val="000000"/>
          <w:sz w:val="24"/>
        </w:rPr>
        <w:t>建立煤矿内部环境审核制度；</w:t>
      </w:r>
    </w:p>
    <w:p w:rsidR="00C223F5" w:rsidRDefault="005860D5">
      <w:pPr>
        <w:spacing w:line="360" w:lineRule="auto"/>
        <w:ind w:firstLineChars="200" w:firstLine="480"/>
        <w:rPr>
          <w:color w:val="000000"/>
          <w:sz w:val="24"/>
        </w:rPr>
      </w:pPr>
      <w:r>
        <w:rPr>
          <w:rFonts w:hint="eastAsia"/>
          <w:color w:val="000000"/>
          <w:sz w:val="24"/>
        </w:rPr>
        <w:t>（</w:t>
      </w:r>
      <w:r>
        <w:rPr>
          <w:rFonts w:hint="eastAsia"/>
          <w:color w:val="000000"/>
          <w:sz w:val="24"/>
        </w:rPr>
        <w:t>4</w:t>
      </w:r>
      <w:r>
        <w:rPr>
          <w:rFonts w:hint="eastAsia"/>
          <w:color w:val="000000"/>
          <w:sz w:val="24"/>
        </w:rPr>
        <w:t>）</w:t>
      </w:r>
      <w:r>
        <w:rPr>
          <w:color w:val="000000"/>
          <w:sz w:val="24"/>
        </w:rPr>
        <w:t>定期和不定期开展全员清洁生产教育和培训；</w:t>
      </w:r>
    </w:p>
    <w:p w:rsidR="00C223F5" w:rsidRDefault="005860D5">
      <w:pPr>
        <w:spacing w:line="360" w:lineRule="auto"/>
        <w:ind w:firstLineChars="200" w:firstLine="480"/>
        <w:rPr>
          <w:color w:val="000000"/>
          <w:sz w:val="24"/>
        </w:rPr>
      </w:pPr>
      <w:r>
        <w:rPr>
          <w:rFonts w:hint="eastAsia"/>
          <w:color w:val="000000"/>
          <w:sz w:val="24"/>
        </w:rPr>
        <w:t>（</w:t>
      </w:r>
      <w:r>
        <w:rPr>
          <w:rFonts w:hint="eastAsia"/>
          <w:color w:val="000000"/>
          <w:sz w:val="24"/>
        </w:rPr>
        <w:t>5</w:t>
      </w:r>
      <w:r>
        <w:rPr>
          <w:rFonts w:hint="eastAsia"/>
          <w:color w:val="000000"/>
          <w:sz w:val="24"/>
        </w:rPr>
        <w:t>）</w:t>
      </w:r>
      <w:r>
        <w:rPr>
          <w:color w:val="000000"/>
          <w:sz w:val="24"/>
        </w:rPr>
        <w:t>开展</w:t>
      </w:r>
      <w:r>
        <w:rPr>
          <w:color w:val="000000"/>
          <w:sz w:val="24"/>
        </w:rPr>
        <w:t>ISO14000</w:t>
      </w:r>
      <w:r>
        <w:rPr>
          <w:color w:val="000000"/>
          <w:sz w:val="24"/>
        </w:rPr>
        <w:t>环境认证；</w:t>
      </w:r>
    </w:p>
    <w:p w:rsidR="00C223F5" w:rsidRDefault="005860D5">
      <w:pPr>
        <w:spacing w:line="360" w:lineRule="auto"/>
        <w:ind w:firstLineChars="200" w:firstLine="480"/>
        <w:rPr>
          <w:color w:val="000000"/>
          <w:sz w:val="24"/>
        </w:rPr>
      </w:pPr>
      <w:r>
        <w:rPr>
          <w:rFonts w:hint="eastAsia"/>
          <w:color w:val="000000"/>
          <w:sz w:val="24"/>
        </w:rPr>
        <w:t>（</w:t>
      </w:r>
      <w:r>
        <w:rPr>
          <w:rFonts w:hint="eastAsia"/>
          <w:color w:val="000000"/>
          <w:sz w:val="24"/>
        </w:rPr>
        <w:t>6</w:t>
      </w:r>
      <w:r>
        <w:rPr>
          <w:rFonts w:hint="eastAsia"/>
          <w:color w:val="000000"/>
          <w:sz w:val="24"/>
        </w:rPr>
        <w:t>）</w:t>
      </w:r>
      <w:r>
        <w:rPr>
          <w:color w:val="000000"/>
          <w:sz w:val="24"/>
        </w:rPr>
        <w:t>跟踪国家和地方环境保护相关法律、法规、部门规章、相关规划要求，及时调整企业环境目标，制订达到新环境目标的工作方案并实施；</w:t>
      </w:r>
    </w:p>
    <w:p w:rsidR="00C223F5" w:rsidRDefault="005860D5">
      <w:pPr>
        <w:spacing w:line="360" w:lineRule="auto"/>
        <w:ind w:firstLineChars="200" w:firstLine="480"/>
        <w:rPr>
          <w:color w:val="000000"/>
          <w:spacing w:val="-4"/>
          <w:sz w:val="24"/>
        </w:rPr>
      </w:pPr>
      <w:r>
        <w:rPr>
          <w:rFonts w:hint="eastAsia"/>
          <w:color w:val="000000"/>
          <w:sz w:val="24"/>
        </w:rPr>
        <w:t>（</w:t>
      </w:r>
      <w:r>
        <w:rPr>
          <w:rFonts w:hint="eastAsia"/>
          <w:color w:val="000000"/>
          <w:sz w:val="24"/>
        </w:rPr>
        <w:t>7</w:t>
      </w:r>
      <w:r>
        <w:rPr>
          <w:rFonts w:hint="eastAsia"/>
          <w:color w:val="000000"/>
          <w:sz w:val="24"/>
        </w:rPr>
        <w:t>）</w:t>
      </w:r>
      <w:r>
        <w:rPr>
          <w:color w:val="000000"/>
          <w:spacing w:val="-4"/>
          <w:sz w:val="24"/>
        </w:rPr>
        <w:t>开展环境回顾工作，查找工程运行过程中环境不足，提出整改方案并实施。</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569" w:name="_Toc16785340"/>
      <w:r>
        <w:rPr>
          <w:rFonts w:eastAsia="宋体" w:hint="eastAsia"/>
          <w:b/>
          <w:bCs w:val="0"/>
          <w:sz w:val="28"/>
          <w:szCs w:val="28"/>
        </w:rPr>
        <w:t>7</w:t>
      </w:r>
      <w:r>
        <w:rPr>
          <w:rFonts w:eastAsia="宋体"/>
          <w:b/>
          <w:bCs w:val="0"/>
          <w:sz w:val="28"/>
          <w:szCs w:val="28"/>
        </w:rPr>
        <w:t>.3.2</w:t>
      </w:r>
      <w:r>
        <w:rPr>
          <w:rFonts w:eastAsia="宋体"/>
          <w:b/>
          <w:bCs w:val="0"/>
          <w:sz w:val="28"/>
          <w:szCs w:val="28"/>
        </w:rPr>
        <w:t>运行期环境监测计划</w:t>
      </w:r>
      <w:bookmarkEnd w:id="569"/>
    </w:p>
    <w:p w:rsidR="00C223F5" w:rsidRDefault="005860D5">
      <w:pPr>
        <w:spacing w:line="360" w:lineRule="auto"/>
        <w:ind w:firstLineChars="200" w:firstLine="480"/>
        <w:rPr>
          <w:color w:val="000000"/>
          <w:sz w:val="24"/>
        </w:rPr>
      </w:pPr>
      <w:r>
        <w:rPr>
          <w:color w:val="000000"/>
          <w:sz w:val="24"/>
        </w:rPr>
        <w:t>环境监测应按国家和地方的环保要求进行，应采用国家规定的标准监测方法，并应按照规定，定期向有关环境保护主管部门上报监测结果。</w:t>
      </w:r>
    </w:p>
    <w:p w:rsidR="00C223F5" w:rsidRDefault="005860D5">
      <w:pPr>
        <w:spacing w:line="360" w:lineRule="auto"/>
        <w:ind w:firstLineChars="200" w:firstLine="480"/>
        <w:rPr>
          <w:color w:val="000000"/>
          <w:sz w:val="24"/>
        </w:rPr>
      </w:pPr>
      <w:r>
        <w:rPr>
          <w:color w:val="000000"/>
          <w:sz w:val="24"/>
        </w:rPr>
        <w:t>（</w:t>
      </w:r>
      <w:r>
        <w:rPr>
          <w:color w:val="000000"/>
          <w:sz w:val="24"/>
        </w:rPr>
        <w:t>1</w:t>
      </w:r>
      <w:r>
        <w:rPr>
          <w:color w:val="000000"/>
          <w:sz w:val="24"/>
        </w:rPr>
        <w:t>）监测机构</w:t>
      </w:r>
    </w:p>
    <w:p w:rsidR="00C223F5" w:rsidRDefault="005860D5">
      <w:pPr>
        <w:spacing w:line="360" w:lineRule="auto"/>
        <w:ind w:firstLineChars="200" w:firstLine="480"/>
        <w:rPr>
          <w:color w:val="000000"/>
          <w:sz w:val="24"/>
        </w:rPr>
        <w:sectPr w:rsidR="00C223F5">
          <w:pgSz w:w="11906" w:h="16838"/>
          <w:pgMar w:top="1440" w:right="1701" w:bottom="1440" w:left="1701" w:header="851" w:footer="992" w:gutter="0"/>
          <w:cols w:space="425"/>
          <w:docGrid w:linePitch="312"/>
        </w:sectPr>
      </w:pPr>
      <w:r>
        <w:rPr>
          <w:color w:val="000000"/>
          <w:sz w:val="24"/>
        </w:rPr>
        <w:t>地表变形、沉陷监测由矿方及</w:t>
      </w:r>
      <w:r>
        <w:rPr>
          <w:rFonts w:hint="eastAsia"/>
          <w:color w:val="000000"/>
          <w:sz w:val="24"/>
        </w:rPr>
        <w:t>榆林市</w:t>
      </w:r>
      <w:r>
        <w:rPr>
          <w:color w:val="000000"/>
          <w:sz w:val="24"/>
        </w:rPr>
        <w:t>环境监测站按有关规程定期监测；事故监测由矿方进行调查监测；其它环境和污染源监测工作由当地环保部门承担；水土流失工作由矿方与地方水保部门实施。</w:t>
      </w:r>
    </w:p>
    <w:p w:rsidR="00C223F5" w:rsidRDefault="005860D5">
      <w:pPr>
        <w:pStyle w:val="BG0"/>
        <w:ind w:firstLine="482"/>
        <w:rPr>
          <w:color w:val="000000"/>
        </w:rPr>
      </w:pPr>
      <w:r>
        <w:rPr>
          <w:color w:val="000000"/>
        </w:rPr>
        <w:lastRenderedPageBreak/>
        <w:t>表</w:t>
      </w:r>
      <w:r>
        <w:rPr>
          <w:rFonts w:hint="eastAsia"/>
          <w:color w:val="000000"/>
        </w:rPr>
        <w:t>7</w:t>
      </w:r>
      <w:r>
        <w:rPr>
          <w:color w:val="000000"/>
        </w:rPr>
        <w:t xml:space="preserve">.2.2-1   </w:t>
      </w:r>
      <w:r>
        <w:rPr>
          <w:color w:val="000000"/>
        </w:rPr>
        <w:t>建设期工程环境监理内容</w:t>
      </w:r>
    </w:p>
    <w:tbl>
      <w:tblPr>
        <w:tblW w:w="13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3"/>
        <w:gridCol w:w="1860"/>
        <w:gridCol w:w="7003"/>
        <w:gridCol w:w="2836"/>
      </w:tblGrid>
      <w:tr w:rsidR="00C223F5">
        <w:trPr>
          <w:trHeight w:val="340"/>
          <w:jc w:val="center"/>
        </w:trPr>
        <w:tc>
          <w:tcPr>
            <w:tcW w:w="1423"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lang w:eastAsia="zh-TW"/>
              </w:rPr>
              <w:t>主要环境问题</w:t>
            </w:r>
          </w:p>
        </w:tc>
        <w:tc>
          <w:tcPr>
            <w:tcW w:w="186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污染因子</w:t>
            </w:r>
          </w:p>
        </w:tc>
        <w:tc>
          <w:tcPr>
            <w:tcW w:w="7003"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监理项目</w:t>
            </w:r>
          </w:p>
        </w:tc>
        <w:tc>
          <w:tcPr>
            <w:tcW w:w="2836"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达到标准或要求</w:t>
            </w:r>
          </w:p>
        </w:tc>
      </w:tr>
      <w:tr w:rsidR="00C223F5">
        <w:trPr>
          <w:cantSplit/>
          <w:trHeight w:val="340"/>
          <w:jc w:val="center"/>
        </w:trPr>
        <w:tc>
          <w:tcPr>
            <w:tcW w:w="1423"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废气</w:t>
            </w:r>
          </w:p>
        </w:tc>
        <w:tc>
          <w:tcPr>
            <w:tcW w:w="186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施工扬尘</w:t>
            </w:r>
          </w:p>
        </w:tc>
        <w:tc>
          <w:tcPr>
            <w:tcW w:w="7003"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监督施工期降尘措施的实施；</w:t>
            </w:r>
            <w:r>
              <w:rPr>
                <w:rFonts w:hint="eastAsia"/>
                <w:sz w:val="21"/>
                <w:szCs w:val="21"/>
              </w:rPr>
              <w:t>利用已有</w:t>
            </w:r>
            <w:r>
              <w:rPr>
                <w:sz w:val="21"/>
                <w:szCs w:val="21"/>
              </w:rPr>
              <w:t>锅炉房除尘脱硫脱硝装置</w:t>
            </w:r>
            <w:r>
              <w:rPr>
                <w:rFonts w:hint="eastAsia"/>
                <w:sz w:val="21"/>
                <w:szCs w:val="21"/>
              </w:rPr>
              <w:t>，</w:t>
            </w:r>
            <w:r>
              <w:rPr>
                <w:sz w:val="21"/>
                <w:szCs w:val="21"/>
              </w:rPr>
              <w:t>监督生产系统喷雾洒水装置安装</w:t>
            </w:r>
          </w:p>
        </w:tc>
        <w:tc>
          <w:tcPr>
            <w:tcW w:w="2836"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《环境空气质量标准》（</w:t>
            </w:r>
            <w:r>
              <w:rPr>
                <w:sz w:val="21"/>
                <w:szCs w:val="21"/>
              </w:rPr>
              <w:t>GB3095-2012</w:t>
            </w:r>
            <w:r>
              <w:rPr>
                <w:sz w:val="21"/>
                <w:szCs w:val="21"/>
              </w:rPr>
              <w:t>）二级标准</w:t>
            </w:r>
          </w:p>
        </w:tc>
      </w:tr>
      <w:tr w:rsidR="00C223F5">
        <w:trPr>
          <w:cantSplit/>
          <w:trHeight w:val="108"/>
          <w:jc w:val="center"/>
        </w:trPr>
        <w:tc>
          <w:tcPr>
            <w:tcW w:w="1423" w:type="dxa"/>
            <w:vMerge w:val="restart"/>
            <w:tcBorders>
              <w:top w:val="single" w:sz="4" w:space="0" w:color="auto"/>
              <w:left w:val="single" w:sz="4" w:space="0" w:color="auto"/>
              <w:right w:val="single" w:sz="4" w:space="0" w:color="auto"/>
            </w:tcBorders>
            <w:vAlign w:val="center"/>
          </w:tcPr>
          <w:p w:rsidR="00C223F5" w:rsidRDefault="005860D5">
            <w:pPr>
              <w:pStyle w:val="affffff7"/>
              <w:rPr>
                <w:sz w:val="21"/>
                <w:szCs w:val="21"/>
              </w:rPr>
            </w:pPr>
            <w:r>
              <w:rPr>
                <w:sz w:val="21"/>
                <w:szCs w:val="21"/>
                <w:lang w:eastAsia="zh-TW"/>
              </w:rPr>
              <w:t>废水</w:t>
            </w:r>
          </w:p>
        </w:tc>
        <w:tc>
          <w:tcPr>
            <w:tcW w:w="186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生活污水</w:t>
            </w:r>
          </w:p>
        </w:tc>
        <w:tc>
          <w:tcPr>
            <w:tcW w:w="7003"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生活污水经</w:t>
            </w:r>
            <w:r>
              <w:rPr>
                <w:rFonts w:hint="eastAsia"/>
                <w:sz w:val="21"/>
                <w:szCs w:val="21"/>
              </w:rPr>
              <w:t>已有水处理站</w:t>
            </w:r>
            <w:r>
              <w:rPr>
                <w:sz w:val="21"/>
                <w:szCs w:val="21"/>
              </w:rPr>
              <w:t>处理后用于</w:t>
            </w:r>
            <w:r>
              <w:rPr>
                <w:rFonts w:hint="eastAsia"/>
                <w:sz w:val="21"/>
                <w:szCs w:val="21"/>
              </w:rPr>
              <w:t>绿化等</w:t>
            </w:r>
            <w:r>
              <w:rPr>
                <w:sz w:val="21"/>
                <w:szCs w:val="21"/>
              </w:rPr>
              <w:t>，禁止外排；监督</w:t>
            </w:r>
            <w:r>
              <w:rPr>
                <w:rFonts w:hint="eastAsia"/>
                <w:sz w:val="21"/>
                <w:szCs w:val="21"/>
              </w:rPr>
              <w:t>新建的</w:t>
            </w:r>
          </w:p>
          <w:p w:rsidR="00C223F5" w:rsidRDefault="005860D5">
            <w:pPr>
              <w:pStyle w:val="affffff7"/>
              <w:rPr>
                <w:sz w:val="21"/>
                <w:szCs w:val="21"/>
              </w:rPr>
            </w:pPr>
            <w:r>
              <w:rPr>
                <w:sz w:val="21"/>
                <w:szCs w:val="21"/>
              </w:rPr>
              <w:t>生活污水处理站先行建设</w:t>
            </w:r>
          </w:p>
        </w:tc>
        <w:tc>
          <w:tcPr>
            <w:tcW w:w="2836" w:type="dxa"/>
            <w:vMerge w:val="restart"/>
            <w:tcBorders>
              <w:top w:val="single" w:sz="4" w:space="0" w:color="auto"/>
              <w:left w:val="single" w:sz="4" w:space="0" w:color="auto"/>
              <w:right w:val="single" w:sz="4" w:space="0" w:color="auto"/>
            </w:tcBorders>
            <w:vAlign w:val="center"/>
          </w:tcPr>
          <w:p w:rsidR="00C223F5" w:rsidRDefault="005860D5">
            <w:pPr>
              <w:pStyle w:val="affffff7"/>
              <w:rPr>
                <w:sz w:val="21"/>
                <w:szCs w:val="21"/>
              </w:rPr>
            </w:pPr>
            <w:r>
              <w:rPr>
                <w:sz w:val="21"/>
                <w:szCs w:val="21"/>
              </w:rPr>
              <w:t>生活污水和生产废水、井筒淋水全部回用不外排</w:t>
            </w:r>
          </w:p>
        </w:tc>
      </w:tr>
      <w:tr w:rsidR="00C223F5">
        <w:trPr>
          <w:cantSplit/>
          <w:trHeight w:val="143"/>
          <w:jc w:val="center"/>
        </w:trPr>
        <w:tc>
          <w:tcPr>
            <w:tcW w:w="1423" w:type="dxa"/>
            <w:vMerge/>
            <w:tcBorders>
              <w:top w:val="single" w:sz="4" w:space="0" w:color="auto"/>
              <w:left w:val="single" w:sz="4" w:space="0" w:color="auto"/>
              <w:right w:val="single" w:sz="4" w:space="0" w:color="auto"/>
            </w:tcBorders>
            <w:vAlign w:val="center"/>
          </w:tcPr>
          <w:p w:rsidR="00C223F5" w:rsidRDefault="00C223F5">
            <w:pPr>
              <w:pStyle w:val="affffff7"/>
              <w:rPr>
                <w:sz w:val="21"/>
                <w:szCs w:val="21"/>
                <w:lang w:eastAsia="zh-TW"/>
              </w:rPr>
            </w:pPr>
          </w:p>
        </w:tc>
        <w:tc>
          <w:tcPr>
            <w:tcW w:w="186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施工废水</w:t>
            </w:r>
          </w:p>
        </w:tc>
        <w:tc>
          <w:tcPr>
            <w:tcW w:w="7003"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施工废水进入</w:t>
            </w:r>
            <w:r>
              <w:rPr>
                <w:rFonts w:hint="eastAsia"/>
                <w:sz w:val="21"/>
                <w:szCs w:val="21"/>
              </w:rPr>
              <w:t>已有水处理站</w:t>
            </w:r>
            <w:r>
              <w:rPr>
                <w:sz w:val="21"/>
                <w:szCs w:val="21"/>
              </w:rPr>
              <w:t>处理后回用场地洒水降尘</w:t>
            </w:r>
          </w:p>
        </w:tc>
        <w:tc>
          <w:tcPr>
            <w:tcW w:w="2836" w:type="dxa"/>
            <w:vMerge/>
            <w:tcBorders>
              <w:top w:val="single" w:sz="4" w:space="0" w:color="auto"/>
              <w:left w:val="single" w:sz="4" w:space="0" w:color="auto"/>
              <w:right w:val="single" w:sz="4" w:space="0" w:color="auto"/>
            </w:tcBorders>
            <w:vAlign w:val="center"/>
          </w:tcPr>
          <w:p w:rsidR="00C223F5" w:rsidRDefault="00C223F5">
            <w:pPr>
              <w:pStyle w:val="affffff7"/>
              <w:rPr>
                <w:sz w:val="21"/>
                <w:szCs w:val="21"/>
              </w:rPr>
            </w:pPr>
          </w:p>
        </w:tc>
      </w:tr>
      <w:tr w:rsidR="00C223F5">
        <w:trPr>
          <w:cantSplit/>
          <w:trHeight w:val="630"/>
          <w:jc w:val="center"/>
        </w:trPr>
        <w:tc>
          <w:tcPr>
            <w:tcW w:w="1423" w:type="dxa"/>
            <w:vMerge/>
            <w:tcBorders>
              <w:left w:val="single" w:sz="4" w:space="0" w:color="auto"/>
              <w:bottom w:val="single" w:sz="4" w:space="0" w:color="auto"/>
              <w:right w:val="single" w:sz="4" w:space="0" w:color="auto"/>
            </w:tcBorders>
            <w:vAlign w:val="center"/>
          </w:tcPr>
          <w:p w:rsidR="00C223F5" w:rsidRDefault="00C223F5">
            <w:pPr>
              <w:pStyle w:val="affffff7"/>
              <w:rPr>
                <w:sz w:val="21"/>
                <w:szCs w:val="21"/>
                <w:lang w:eastAsia="zh-TW"/>
              </w:rPr>
            </w:pPr>
          </w:p>
        </w:tc>
        <w:tc>
          <w:tcPr>
            <w:tcW w:w="186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井筒淋水</w:t>
            </w:r>
          </w:p>
        </w:tc>
        <w:tc>
          <w:tcPr>
            <w:tcW w:w="7003"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井筒淋水沉淀后回用，监督</w:t>
            </w:r>
            <w:r>
              <w:rPr>
                <w:rFonts w:hint="eastAsia"/>
                <w:sz w:val="21"/>
                <w:szCs w:val="21"/>
              </w:rPr>
              <w:t>新建</w:t>
            </w:r>
            <w:r>
              <w:rPr>
                <w:sz w:val="21"/>
                <w:szCs w:val="21"/>
              </w:rPr>
              <w:t>矿井水处理站先行建设</w:t>
            </w:r>
          </w:p>
        </w:tc>
        <w:tc>
          <w:tcPr>
            <w:tcW w:w="2836" w:type="dxa"/>
            <w:vMerge/>
            <w:tcBorders>
              <w:left w:val="single" w:sz="4" w:space="0" w:color="auto"/>
              <w:bottom w:val="single" w:sz="4" w:space="0" w:color="auto"/>
              <w:right w:val="single" w:sz="4" w:space="0" w:color="auto"/>
            </w:tcBorders>
            <w:vAlign w:val="center"/>
          </w:tcPr>
          <w:p w:rsidR="00C223F5" w:rsidRDefault="00C223F5">
            <w:pPr>
              <w:pStyle w:val="affffff7"/>
              <w:rPr>
                <w:sz w:val="21"/>
                <w:szCs w:val="21"/>
              </w:rPr>
            </w:pPr>
          </w:p>
        </w:tc>
      </w:tr>
      <w:tr w:rsidR="00C223F5">
        <w:trPr>
          <w:cantSplit/>
          <w:trHeight w:val="340"/>
          <w:jc w:val="center"/>
        </w:trPr>
        <w:tc>
          <w:tcPr>
            <w:tcW w:w="1423"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lang w:eastAsia="zh-TW"/>
              </w:rPr>
            </w:pPr>
            <w:r>
              <w:rPr>
                <w:sz w:val="21"/>
                <w:szCs w:val="21"/>
                <w:lang w:eastAsia="zh-TW"/>
              </w:rPr>
              <w:t>噪声控制</w:t>
            </w:r>
          </w:p>
        </w:tc>
        <w:tc>
          <w:tcPr>
            <w:tcW w:w="186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施工设备噪声</w:t>
            </w:r>
          </w:p>
        </w:tc>
        <w:tc>
          <w:tcPr>
            <w:tcW w:w="7003"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监督施工期噪声达到《建筑施工场界噪声限值》标准，监督夜间禁止施工</w:t>
            </w:r>
          </w:p>
        </w:tc>
        <w:tc>
          <w:tcPr>
            <w:tcW w:w="2836"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《建筑施工场界噪声排放标准》（</w:t>
            </w:r>
            <w:r>
              <w:rPr>
                <w:sz w:val="21"/>
                <w:szCs w:val="21"/>
              </w:rPr>
              <w:t>GB12523-2011</w:t>
            </w:r>
            <w:r>
              <w:rPr>
                <w:sz w:val="21"/>
                <w:szCs w:val="21"/>
              </w:rPr>
              <w:t>）相关规定</w:t>
            </w:r>
          </w:p>
        </w:tc>
      </w:tr>
      <w:tr w:rsidR="00C223F5">
        <w:trPr>
          <w:cantSplit/>
          <w:trHeight w:val="340"/>
          <w:jc w:val="center"/>
        </w:trPr>
        <w:tc>
          <w:tcPr>
            <w:tcW w:w="1423" w:type="dxa"/>
            <w:tcBorders>
              <w:top w:val="single" w:sz="4" w:space="0" w:color="auto"/>
              <w:left w:val="single" w:sz="4" w:space="0" w:color="auto"/>
              <w:right w:val="single" w:sz="4" w:space="0" w:color="auto"/>
            </w:tcBorders>
            <w:vAlign w:val="center"/>
          </w:tcPr>
          <w:p w:rsidR="00C223F5" w:rsidRDefault="005860D5">
            <w:pPr>
              <w:pStyle w:val="affffff7"/>
              <w:rPr>
                <w:sz w:val="21"/>
                <w:szCs w:val="21"/>
              </w:rPr>
            </w:pPr>
            <w:r>
              <w:rPr>
                <w:sz w:val="21"/>
                <w:szCs w:val="21"/>
                <w:lang w:eastAsia="zh-TW"/>
              </w:rPr>
              <w:t>固体废物</w:t>
            </w:r>
          </w:p>
        </w:tc>
        <w:tc>
          <w:tcPr>
            <w:tcW w:w="186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生活垃圾、建筑垃圾</w:t>
            </w:r>
          </w:p>
        </w:tc>
        <w:tc>
          <w:tcPr>
            <w:tcW w:w="7003"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监督施工期建筑垃圾定点堆放，生活垃圾定点堆放、定期清运</w:t>
            </w:r>
          </w:p>
        </w:tc>
        <w:tc>
          <w:tcPr>
            <w:tcW w:w="2836"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定期清理，不得乱堆乱放</w:t>
            </w:r>
          </w:p>
        </w:tc>
      </w:tr>
      <w:tr w:rsidR="00C223F5">
        <w:trPr>
          <w:cantSplit/>
          <w:trHeight w:val="340"/>
          <w:jc w:val="center"/>
        </w:trPr>
        <w:tc>
          <w:tcPr>
            <w:tcW w:w="1423" w:type="dxa"/>
            <w:tcBorders>
              <w:top w:val="single" w:sz="4" w:space="0" w:color="auto"/>
              <w:left w:val="single" w:sz="4" w:space="0" w:color="auto"/>
              <w:right w:val="single" w:sz="4" w:space="0" w:color="auto"/>
            </w:tcBorders>
            <w:vAlign w:val="center"/>
          </w:tcPr>
          <w:p w:rsidR="00C223F5" w:rsidRDefault="005860D5">
            <w:pPr>
              <w:pStyle w:val="affffff7"/>
              <w:rPr>
                <w:sz w:val="21"/>
                <w:szCs w:val="21"/>
              </w:rPr>
            </w:pPr>
            <w:r>
              <w:rPr>
                <w:sz w:val="21"/>
                <w:szCs w:val="21"/>
              </w:rPr>
              <w:t>生态环境</w:t>
            </w:r>
          </w:p>
        </w:tc>
        <w:tc>
          <w:tcPr>
            <w:tcW w:w="186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工业场地、进场道路及排水管线</w:t>
            </w:r>
          </w:p>
        </w:tc>
        <w:tc>
          <w:tcPr>
            <w:tcW w:w="7003"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检查施工现场土方堆置点的临时挡护措施、监督施工期水土保持措施的</w:t>
            </w:r>
          </w:p>
          <w:p w:rsidR="00C223F5" w:rsidRDefault="005860D5">
            <w:pPr>
              <w:pStyle w:val="affffff7"/>
              <w:rPr>
                <w:sz w:val="21"/>
                <w:szCs w:val="21"/>
              </w:rPr>
            </w:pPr>
            <w:r>
              <w:rPr>
                <w:sz w:val="21"/>
                <w:szCs w:val="21"/>
              </w:rPr>
              <w:t>实施和绿化、排水沟等水保措施的落实</w:t>
            </w:r>
          </w:p>
        </w:tc>
        <w:tc>
          <w:tcPr>
            <w:tcW w:w="2836"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按要求完成绿化、硬化</w:t>
            </w:r>
          </w:p>
        </w:tc>
      </w:tr>
      <w:tr w:rsidR="00C223F5">
        <w:trPr>
          <w:cantSplit/>
          <w:trHeight w:val="340"/>
          <w:jc w:val="center"/>
        </w:trPr>
        <w:tc>
          <w:tcPr>
            <w:tcW w:w="1423" w:type="dxa"/>
            <w:tcBorders>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其它</w:t>
            </w:r>
          </w:p>
        </w:tc>
        <w:tc>
          <w:tcPr>
            <w:tcW w:w="1860"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加强管理，文明施工</w:t>
            </w:r>
          </w:p>
        </w:tc>
        <w:tc>
          <w:tcPr>
            <w:tcW w:w="7003"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严格执行</w:t>
            </w:r>
            <w:r>
              <w:rPr>
                <w:sz w:val="21"/>
                <w:szCs w:val="21"/>
              </w:rPr>
              <w:t>“</w:t>
            </w:r>
            <w:r>
              <w:rPr>
                <w:sz w:val="21"/>
                <w:szCs w:val="21"/>
              </w:rPr>
              <w:t>三同时</w:t>
            </w:r>
            <w:r>
              <w:rPr>
                <w:sz w:val="21"/>
                <w:szCs w:val="21"/>
              </w:rPr>
              <w:t>”</w:t>
            </w:r>
            <w:r>
              <w:rPr>
                <w:sz w:val="21"/>
                <w:szCs w:val="21"/>
              </w:rPr>
              <w:t>制度；按照环评报告中提出的要求，制定出建设项目施工措施实施计划表，并与当地环保部门签定落实计划内的目标责任书；认真监督主体工程与环保设施的同步建设；建立环保设施施工进度档案，确保环保工作的正常实施运行；施工噪声与振动要符合《中华人民共和国环境噪声污染防治法》有关规定，不得干扰周围群众的正常生活和工作；施工中造成的地表破坏，土地、植物毁坏应在竣工后及时恢复；设立施工期环境监理制度，监督环保工程的实施情况，施工阶段的环保工程进展情况和环保投资落实情况定期（每季度）向环保主管部门汇报一次</w:t>
            </w:r>
          </w:p>
        </w:tc>
        <w:tc>
          <w:tcPr>
            <w:tcW w:w="2836" w:type="dxa"/>
            <w:tcBorders>
              <w:top w:val="single" w:sz="4" w:space="0" w:color="auto"/>
              <w:left w:val="single" w:sz="4" w:space="0" w:color="auto"/>
              <w:bottom w:val="single" w:sz="4" w:space="0" w:color="auto"/>
              <w:right w:val="single" w:sz="4" w:space="0" w:color="auto"/>
            </w:tcBorders>
            <w:vAlign w:val="center"/>
          </w:tcPr>
          <w:p w:rsidR="00C223F5" w:rsidRDefault="005860D5">
            <w:pPr>
              <w:pStyle w:val="affffff7"/>
              <w:rPr>
                <w:sz w:val="21"/>
                <w:szCs w:val="21"/>
              </w:rPr>
            </w:pPr>
            <w:r>
              <w:rPr>
                <w:sz w:val="21"/>
                <w:szCs w:val="21"/>
              </w:rPr>
              <w:t>委托监理单位，监督设计和环评提出的各项环保措施（工程和管理）的落实</w:t>
            </w:r>
          </w:p>
        </w:tc>
      </w:tr>
    </w:tbl>
    <w:p w:rsidR="00C223F5" w:rsidRDefault="00C223F5">
      <w:pPr>
        <w:spacing w:line="360" w:lineRule="auto"/>
        <w:ind w:firstLineChars="200" w:firstLine="480"/>
        <w:rPr>
          <w:color w:val="000000"/>
          <w:sz w:val="24"/>
        </w:rPr>
        <w:sectPr w:rsidR="00C223F5">
          <w:pgSz w:w="16838" w:h="11906" w:orient="landscape"/>
          <w:pgMar w:top="1701" w:right="1440" w:bottom="1701" w:left="1440" w:header="851" w:footer="992" w:gutter="0"/>
          <w:cols w:space="425"/>
          <w:docGrid w:linePitch="312"/>
        </w:sectPr>
      </w:pPr>
    </w:p>
    <w:p w:rsidR="00C223F5" w:rsidRDefault="005860D5">
      <w:pPr>
        <w:spacing w:line="360" w:lineRule="auto"/>
        <w:ind w:firstLineChars="200" w:firstLine="480"/>
        <w:rPr>
          <w:bCs/>
          <w:color w:val="000000"/>
          <w:sz w:val="24"/>
        </w:rPr>
      </w:pPr>
      <w:r>
        <w:rPr>
          <w:bCs/>
          <w:color w:val="000000"/>
          <w:sz w:val="24"/>
        </w:rPr>
        <w:lastRenderedPageBreak/>
        <w:t>（</w:t>
      </w:r>
      <w:r>
        <w:rPr>
          <w:bCs/>
          <w:color w:val="000000"/>
          <w:sz w:val="24"/>
        </w:rPr>
        <w:t>2</w:t>
      </w:r>
      <w:r>
        <w:rPr>
          <w:bCs/>
          <w:color w:val="000000"/>
          <w:sz w:val="24"/>
        </w:rPr>
        <w:t>）监测计划</w:t>
      </w:r>
    </w:p>
    <w:p w:rsidR="00C223F5" w:rsidRDefault="005860D5">
      <w:pPr>
        <w:spacing w:line="360" w:lineRule="auto"/>
        <w:ind w:firstLineChars="200" w:firstLine="480"/>
        <w:rPr>
          <w:color w:val="000000"/>
          <w:sz w:val="24"/>
        </w:rPr>
      </w:pPr>
      <w:r>
        <w:rPr>
          <w:color w:val="000000"/>
          <w:sz w:val="24"/>
        </w:rPr>
        <w:t>环境监测内容及计划见表</w:t>
      </w:r>
      <w:r>
        <w:rPr>
          <w:rFonts w:hint="eastAsia"/>
          <w:color w:val="000000"/>
          <w:sz w:val="24"/>
        </w:rPr>
        <w:t>7</w:t>
      </w:r>
      <w:r>
        <w:rPr>
          <w:color w:val="000000"/>
          <w:sz w:val="24"/>
        </w:rPr>
        <w:t>.3.2-1</w:t>
      </w:r>
      <w:r>
        <w:rPr>
          <w:color w:val="000000"/>
          <w:sz w:val="24"/>
        </w:rPr>
        <w:t>。</w:t>
      </w:r>
    </w:p>
    <w:p w:rsidR="00C223F5" w:rsidRDefault="005860D5">
      <w:pPr>
        <w:jc w:val="center"/>
        <w:rPr>
          <w:b/>
          <w:color w:val="000000"/>
          <w:sz w:val="24"/>
        </w:rPr>
      </w:pPr>
      <w:r>
        <w:rPr>
          <w:b/>
          <w:color w:val="000000"/>
          <w:sz w:val="24"/>
        </w:rPr>
        <w:t>表</w:t>
      </w:r>
      <w:r>
        <w:rPr>
          <w:rFonts w:hint="eastAsia"/>
          <w:b/>
          <w:color w:val="000000"/>
          <w:sz w:val="24"/>
        </w:rPr>
        <w:t>7</w:t>
      </w:r>
      <w:r>
        <w:rPr>
          <w:b/>
          <w:color w:val="000000"/>
          <w:sz w:val="24"/>
        </w:rPr>
        <w:t xml:space="preserve">.3.2-1   </w:t>
      </w:r>
      <w:r>
        <w:rPr>
          <w:b/>
          <w:color w:val="000000"/>
          <w:sz w:val="24"/>
        </w:rPr>
        <w:t>环境监测内容及计划表</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04"/>
        <w:gridCol w:w="803"/>
        <w:gridCol w:w="3015"/>
        <w:gridCol w:w="2385"/>
        <w:gridCol w:w="665"/>
        <w:gridCol w:w="832"/>
        <w:gridCol w:w="742"/>
      </w:tblGrid>
      <w:tr w:rsidR="00C223F5" w:rsidTr="00775564">
        <w:trPr>
          <w:trHeight w:val="233"/>
          <w:jc w:val="center"/>
        </w:trPr>
        <w:tc>
          <w:tcPr>
            <w:tcW w:w="404" w:type="dxa"/>
            <w:vAlign w:val="center"/>
          </w:tcPr>
          <w:p w:rsidR="00C223F5" w:rsidRDefault="005860D5">
            <w:pPr>
              <w:pStyle w:val="affb"/>
              <w:pBdr>
                <w:bottom w:val="none" w:sz="0" w:space="0" w:color="auto"/>
              </w:pBdr>
              <w:tabs>
                <w:tab w:val="clear" w:pos="4153"/>
                <w:tab w:val="clear" w:pos="8306"/>
              </w:tabs>
              <w:snapToGrid/>
              <w:rPr>
                <w:rFonts w:eastAsia="新宋体"/>
                <w:color w:val="000000"/>
              </w:rPr>
            </w:pPr>
            <w:r>
              <w:rPr>
                <w:rFonts w:eastAsia="新宋体"/>
                <w:color w:val="000000"/>
              </w:rPr>
              <w:t>序号</w:t>
            </w:r>
          </w:p>
        </w:tc>
        <w:tc>
          <w:tcPr>
            <w:tcW w:w="803" w:type="dxa"/>
            <w:vAlign w:val="center"/>
          </w:tcPr>
          <w:p w:rsidR="00C223F5" w:rsidRDefault="005860D5">
            <w:pPr>
              <w:pStyle w:val="affb"/>
              <w:pBdr>
                <w:bottom w:val="none" w:sz="0" w:space="0" w:color="auto"/>
              </w:pBdr>
              <w:tabs>
                <w:tab w:val="clear" w:pos="4153"/>
                <w:tab w:val="clear" w:pos="8306"/>
              </w:tabs>
              <w:snapToGrid/>
              <w:rPr>
                <w:rFonts w:eastAsia="新宋体"/>
                <w:color w:val="000000"/>
              </w:rPr>
            </w:pPr>
            <w:r>
              <w:rPr>
                <w:rFonts w:eastAsia="新宋体"/>
                <w:color w:val="000000"/>
              </w:rPr>
              <w:t>监测</w:t>
            </w:r>
          </w:p>
          <w:p w:rsidR="00C223F5" w:rsidRDefault="005860D5">
            <w:pPr>
              <w:pStyle w:val="affb"/>
              <w:pBdr>
                <w:bottom w:val="none" w:sz="0" w:space="0" w:color="auto"/>
              </w:pBdr>
              <w:tabs>
                <w:tab w:val="clear" w:pos="4153"/>
                <w:tab w:val="clear" w:pos="8306"/>
              </w:tabs>
              <w:snapToGrid/>
              <w:rPr>
                <w:rFonts w:eastAsia="新宋体"/>
                <w:color w:val="000000"/>
              </w:rPr>
            </w:pPr>
            <w:r>
              <w:rPr>
                <w:rFonts w:eastAsia="新宋体"/>
                <w:color w:val="000000"/>
              </w:rPr>
              <w:t>项目</w:t>
            </w:r>
          </w:p>
        </w:tc>
        <w:tc>
          <w:tcPr>
            <w:tcW w:w="3015" w:type="dxa"/>
            <w:vAlign w:val="center"/>
          </w:tcPr>
          <w:p w:rsidR="00C223F5" w:rsidRDefault="005860D5">
            <w:pPr>
              <w:jc w:val="center"/>
              <w:rPr>
                <w:rFonts w:eastAsia="新宋体"/>
                <w:color w:val="000000"/>
                <w:sz w:val="18"/>
                <w:szCs w:val="18"/>
              </w:rPr>
            </w:pPr>
            <w:r>
              <w:rPr>
                <w:rFonts w:eastAsia="新宋体" w:hint="eastAsia"/>
                <w:color w:val="000000"/>
                <w:sz w:val="18"/>
                <w:szCs w:val="18"/>
              </w:rPr>
              <w:t>监测内容</w:t>
            </w:r>
          </w:p>
        </w:tc>
        <w:tc>
          <w:tcPr>
            <w:tcW w:w="2385" w:type="dxa"/>
            <w:vAlign w:val="center"/>
          </w:tcPr>
          <w:p w:rsidR="00C223F5" w:rsidRDefault="005860D5">
            <w:pPr>
              <w:ind w:firstLineChars="200" w:firstLine="360"/>
              <w:jc w:val="center"/>
              <w:rPr>
                <w:rFonts w:eastAsia="新宋体"/>
                <w:color w:val="000000"/>
                <w:sz w:val="18"/>
                <w:szCs w:val="18"/>
              </w:rPr>
            </w:pPr>
            <w:r>
              <w:rPr>
                <w:rFonts w:eastAsia="新宋体" w:hint="eastAsia"/>
                <w:color w:val="000000"/>
                <w:sz w:val="18"/>
                <w:szCs w:val="18"/>
              </w:rPr>
              <w:t>达到标准或要求</w:t>
            </w:r>
          </w:p>
        </w:tc>
        <w:tc>
          <w:tcPr>
            <w:tcW w:w="665" w:type="dxa"/>
            <w:vAlign w:val="center"/>
          </w:tcPr>
          <w:p w:rsidR="00C223F5" w:rsidRDefault="005860D5">
            <w:pPr>
              <w:ind w:firstLineChars="50" w:firstLine="90"/>
              <w:jc w:val="center"/>
              <w:rPr>
                <w:rFonts w:eastAsia="新宋体"/>
                <w:color w:val="000000"/>
                <w:sz w:val="18"/>
                <w:szCs w:val="18"/>
              </w:rPr>
            </w:pPr>
            <w:r>
              <w:rPr>
                <w:rFonts w:eastAsia="新宋体" w:hint="eastAsia"/>
                <w:color w:val="000000"/>
                <w:sz w:val="18"/>
                <w:szCs w:val="18"/>
              </w:rPr>
              <w:t>监督机构</w:t>
            </w:r>
          </w:p>
        </w:tc>
        <w:tc>
          <w:tcPr>
            <w:tcW w:w="832" w:type="dxa"/>
            <w:vAlign w:val="center"/>
          </w:tcPr>
          <w:p w:rsidR="00C223F5" w:rsidRDefault="005860D5">
            <w:pPr>
              <w:jc w:val="center"/>
              <w:rPr>
                <w:rFonts w:eastAsia="新宋体"/>
                <w:color w:val="000000"/>
                <w:sz w:val="18"/>
                <w:szCs w:val="18"/>
              </w:rPr>
            </w:pPr>
            <w:r>
              <w:rPr>
                <w:rFonts w:eastAsia="新宋体" w:hint="eastAsia"/>
                <w:color w:val="000000"/>
                <w:sz w:val="18"/>
                <w:szCs w:val="18"/>
              </w:rPr>
              <w:t>实施</w:t>
            </w:r>
          </w:p>
          <w:p w:rsidR="00C223F5" w:rsidRDefault="005860D5">
            <w:pPr>
              <w:jc w:val="center"/>
              <w:rPr>
                <w:rFonts w:eastAsia="新宋体"/>
                <w:color w:val="000000"/>
                <w:sz w:val="18"/>
                <w:szCs w:val="18"/>
              </w:rPr>
            </w:pPr>
            <w:r>
              <w:rPr>
                <w:rFonts w:eastAsia="新宋体" w:hint="eastAsia"/>
                <w:color w:val="000000"/>
                <w:sz w:val="18"/>
                <w:szCs w:val="18"/>
              </w:rPr>
              <w:t>主体</w:t>
            </w:r>
          </w:p>
        </w:tc>
        <w:tc>
          <w:tcPr>
            <w:tcW w:w="742" w:type="dxa"/>
            <w:vAlign w:val="center"/>
          </w:tcPr>
          <w:p w:rsidR="00C223F5" w:rsidRDefault="005860D5">
            <w:pPr>
              <w:jc w:val="center"/>
              <w:rPr>
                <w:rFonts w:eastAsia="新宋体"/>
                <w:color w:val="000000"/>
                <w:sz w:val="18"/>
                <w:szCs w:val="18"/>
              </w:rPr>
            </w:pPr>
            <w:r>
              <w:rPr>
                <w:rFonts w:eastAsia="新宋体"/>
                <w:color w:val="000000"/>
                <w:sz w:val="18"/>
                <w:szCs w:val="18"/>
              </w:rPr>
              <w:t>备注</w:t>
            </w:r>
          </w:p>
        </w:tc>
      </w:tr>
      <w:tr w:rsidR="00C223F5" w:rsidTr="00775564">
        <w:trPr>
          <w:trHeight w:val="122"/>
          <w:jc w:val="center"/>
        </w:trPr>
        <w:tc>
          <w:tcPr>
            <w:tcW w:w="404" w:type="dxa"/>
            <w:vMerge w:val="restart"/>
            <w:vAlign w:val="center"/>
          </w:tcPr>
          <w:p w:rsidR="00C223F5" w:rsidRDefault="005860D5">
            <w:pPr>
              <w:jc w:val="center"/>
              <w:rPr>
                <w:rFonts w:eastAsia="新宋体"/>
                <w:color w:val="000000"/>
                <w:sz w:val="18"/>
                <w:szCs w:val="18"/>
              </w:rPr>
            </w:pPr>
            <w:r>
              <w:rPr>
                <w:rFonts w:eastAsia="新宋体" w:hint="eastAsia"/>
                <w:color w:val="000000"/>
                <w:sz w:val="18"/>
                <w:szCs w:val="18"/>
              </w:rPr>
              <w:t>污染源及项目影响监测</w:t>
            </w:r>
          </w:p>
        </w:tc>
        <w:tc>
          <w:tcPr>
            <w:tcW w:w="803" w:type="dxa"/>
            <w:vAlign w:val="center"/>
          </w:tcPr>
          <w:p w:rsidR="00C223F5" w:rsidRDefault="005860D5">
            <w:pPr>
              <w:jc w:val="center"/>
              <w:rPr>
                <w:rFonts w:eastAsia="新宋体"/>
                <w:color w:val="000000"/>
                <w:sz w:val="18"/>
                <w:szCs w:val="18"/>
              </w:rPr>
            </w:pPr>
            <w:r>
              <w:rPr>
                <w:rFonts w:eastAsia="新宋体"/>
                <w:color w:val="000000"/>
                <w:sz w:val="18"/>
                <w:szCs w:val="18"/>
              </w:rPr>
              <w:t>大气</w:t>
            </w:r>
          </w:p>
          <w:p w:rsidR="00C223F5" w:rsidRDefault="005860D5">
            <w:pPr>
              <w:jc w:val="center"/>
              <w:rPr>
                <w:rFonts w:eastAsia="新宋体"/>
                <w:color w:val="000000"/>
                <w:sz w:val="18"/>
                <w:szCs w:val="18"/>
              </w:rPr>
            </w:pPr>
            <w:r>
              <w:rPr>
                <w:rFonts w:eastAsia="新宋体" w:hint="eastAsia"/>
                <w:color w:val="000000"/>
                <w:sz w:val="18"/>
                <w:szCs w:val="18"/>
              </w:rPr>
              <w:t>污染源</w:t>
            </w:r>
          </w:p>
        </w:tc>
        <w:tc>
          <w:tcPr>
            <w:tcW w:w="3015" w:type="dxa"/>
            <w:vAlign w:val="center"/>
          </w:tcPr>
          <w:p w:rsidR="00C223F5" w:rsidRDefault="005860D5">
            <w:pPr>
              <w:rPr>
                <w:rFonts w:eastAsia="新宋体"/>
                <w:color w:val="000000"/>
                <w:sz w:val="18"/>
                <w:szCs w:val="18"/>
              </w:rPr>
            </w:pPr>
            <w:r>
              <w:rPr>
                <w:rFonts w:eastAsia="新宋体"/>
                <w:color w:val="000000"/>
                <w:sz w:val="18"/>
                <w:szCs w:val="18"/>
              </w:rPr>
              <w:t>1</w:t>
            </w:r>
            <w:r>
              <w:rPr>
                <w:rFonts w:eastAsia="新宋体"/>
                <w:color w:val="000000"/>
                <w:sz w:val="18"/>
                <w:szCs w:val="18"/>
              </w:rPr>
              <w:t>．监测项目：</w:t>
            </w:r>
            <w:r>
              <w:rPr>
                <w:rFonts w:eastAsia="新宋体"/>
                <w:color w:val="000000"/>
                <w:sz w:val="18"/>
                <w:szCs w:val="18"/>
              </w:rPr>
              <w:t>TSP</w:t>
            </w:r>
            <w:r>
              <w:rPr>
                <w:rFonts w:eastAsia="新宋体"/>
                <w:color w:val="000000"/>
                <w:sz w:val="18"/>
                <w:szCs w:val="18"/>
              </w:rPr>
              <w:t>；</w:t>
            </w:r>
          </w:p>
          <w:p w:rsidR="00C223F5" w:rsidRDefault="005860D5">
            <w:pPr>
              <w:rPr>
                <w:rFonts w:eastAsia="新宋体"/>
                <w:color w:val="000000"/>
                <w:sz w:val="18"/>
                <w:szCs w:val="18"/>
              </w:rPr>
            </w:pPr>
            <w:r>
              <w:rPr>
                <w:rFonts w:eastAsia="新宋体"/>
                <w:color w:val="000000"/>
                <w:sz w:val="18"/>
                <w:szCs w:val="18"/>
              </w:rPr>
              <w:t>2</w:t>
            </w:r>
            <w:r>
              <w:rPr>
                <w:rFonts w:eastAsia="新宋体"/>
                <w:color w:val="000000"/>
                <w:sz w:val="18"/>
                <w:szCs w:val="18"/>
              </w:rPr>
              <w:t>．监测频率：</w:t>
            </w:r>
            <w:r>
              <w:rPr>
                <w:rFonts w:eastAsia="新宋体" w:hint="eastAsia"/>
                <w:color w:val="000000"/>
                <w:sz w:val="18"/>
                <w:szCs w:val="18"/>
              </w:rPr>
              <w:t>不定期</w:t>
            </w:r>
            <w:r>
              <w:rPr>
                <w:rFonts w:eastAsia="新宋体"/>
                <w:color w:val="000000"/>
                <w:sz w:val="18"/>
                <w:szCs w:val="18"/>
              </w:rPr>
              <w:t>；</w:t>
            </w:r>
          </w:p>
          <w:p w:rsidR="00C223F5" w:rsidRDefault="005860D5">
            <w:pPr>
              <w:rPr>
                <w:rFonts w:eastAsia="新宋体"/>
                <w:color w:val="000000"/>
                <w:sz w:val="18"/>
                <w:szCs w:val="18"/>
              </w:rPr>
            </w:pPr>
            <w:r>
              <w:rPr>
                <w:rFonts w:eastAsia="新宋体"/>
                <w:color w:val="000000"/>
                <w:sz w:val="18"/>
                <w:szCs w:val="18"/>
              </w:rPr>
              <w:t>3</w:t>
            </w:r>
            <w:r>
              <w:rPr>
                <w:rFonts w:eastAsia="新宋体"/>
                <w:color w:val="000000"/>
                <w:sz w:val="18"/>
                <w:szCs w:val="18"/>
              </w:rPr>
              <w:t>．监测点：工业场地</w:t>
            </w:r>
            <w:r>
              <w:rPr>
                <w:rFonts w:eastAsia="新宋体" w:hint="eastAsia"/>
                <w:color w:val="000000"/>
                <w:sz w:val="18"/>
                <w:szCs w:val="18"/>
              </w:rPr>
              <w:t>厂界无组织</w:t>
            </w:r>
          </w:p>
        </w:tc>
        <w:tc>
          <w:tcPr>
            <w:tcW w:w="2385" w:type="dxa"/>
            <w:vAlign w:val="center"/>
          </w:tcPr>
          <w:p w:rsidR="00C223F5" w:rsidRDefault="005860D5">
            <w:pPr>
              <w:jc w:val="center"/>
              <w:rPr>
                <w:rFonts w:eastAsia="新宋体"/>
                <w:color w:val="000000"/>
                <w:sz w:val="18"/>
                <w:szCs w:val="18"/>
              </w:rPr>
            </w:pPr>
            <w:r>
              <w:rPr>
                <w:rFonts w:eastAsia="新宋体"/>
                <w:color w:val="000000"/>
                <w:sz w:val="18"/>
                <w:szCs w:val="18"/>
              </w:rPr>
              <w:t>《煤炭工业污染物排放标准》中表</w:t>
            </w:r>
            <w:r>
              <w:rPr>
                <w:rFonts w:eastAsia="新宋体"/>
                <w:color w:val="000000"/>
                <w:sz w:val="18"/>
                <w:szCs w:val="18"/>
              </w:rPr>
              <w:t>4</w:t>
            </w:r>
            <w:r>
              <w:rPr>
                <w:rFonts w:eastAsia="新宋体"/>
                <w:color w:val="000000"/>
                <w:sz w:val="18"/>
                <w:szCs w:val="18"/>
              </w:rPr>
              <w:t>、</w:t>
            </w:r>
            <w:r>
              <w:rPr>
                <w:rFonts w:eastAsia="新宋体"/>
                <w:color w:val="000000"/>
                <w:sz w:val="18"/>
                <w:szCs w:val="18"/>
              </w:rPr>
              <w:t>5</w:t>
            </w:r>
            <w:r>
              <w:rPr>
                <w:rFonts w:eastAsia="新宋体"/>
                <w:color w:val="000000"/>
                <w:sz w:val="18"/>
                <w:szCs w:val="18"/>
              </w:rPr>
              <w:t>规定限值</w:t>
            </w:r>
          </w:p>
        </w:tc>
        <w:tc>
          <w:tcPr>
            <w:tcW w:w="665" w:type="dxa"/>
            <w:vAlign w:val="center"/>
          </w:tcPr>
          <w:p w:rsidR="00C223F5" w:rsidRDefault="005860D5">
            <w:pPr>
              <w:jc w:val="center"/>
              <w:rPr>
                <w:rFonts w:eastAsia="新宋体"/>
                <w:color w:val="000000"/>
                <w:sz w:val="18"/>
                <w:szCs w:val="18"/>
              </w:rPr>
            </w:pPr>
            <w:r>
              <w:rPr>
                <w:rFonts w:eastAsia="新宋体" w:hint="eastAsia"/>
                <w:color w:val="000000"/>
                <w:sz w:val="18"/>
                <w:szCs w:val="18"/>
              </w:rPr>
              <w:t>榆林</w:t>
            </w:r>
            <w:r>
              <w:rPr>
                <w:rFonts w:eastAsia="新宋体"/>
                <w:color w:val="000000"/>
                <w:sz w:val="18"/>
                <w:szCs w:val="18"/>
              </w:rPr>
              <w:t>市</w:t>
            </w:r>
          </w:p>
          <w:p w:rsidR="00C223F5" w:rsidRDefault="005860D5">
            <w:pPr>
              <w:ind w:firstLineChars="50" w:firstLine="90"/>
              <w:jc w:val="center"/>
              <w:rPr>
                <w:rFonts w:eastAsia="新宋体"/>
                <w:color w:val="000000"/>
                <w:sz w:val="18"/>
                <w:szCs w:val="18"/>
              </w:rPr>
            </w:pPr>
            <w:r>
              <w:rPr>
                <w:rFonts w:eastAsia="新宋体" w:hint="eastAsia"/>
                <w:color w:val="000000"/>
                <w:sz w:val="18"/>
                <w:szCs w:val="18"/>
              </w:rPr>
              <w:t>生态</w:t>
            </w:r>
            <w:r>
              <w:rPr>
                <w:rFonts w:eastAsia="新宋体"/>
                <w:color w:val="000000"/>
                <w:sz w:val="18"/>
                <w:szCs w:val="18"/>
              </w:rPr>
              <w:t>环保局</w:t>
            </w:r>
          </w:p>
        </w:tc>
        <w:tc>
          <w:tcPr>
            <w:tcW w:w="832" w:type="dxa"/>
            <w:vAlign w:val="center"/>
          </w:tcPr>
          <w:p w:rsidR="00C223F5" w:rsidRDefault="005860D5">
            <w:pPr>
              <w:jc w:val="center"/>
              <w:rPr>
                <w:rFonts w:eastAsia="新宋体"/>
                <w:color w:val="000000"/>
                <w:sz w:val="18"/>
                <w:szCs w:val="18"/>
              </w:rPr>
            </w:pPr>
            <w:r>
              <w:rPr>
                <w:rFonts w:eastAsia="新宋体" w:hint="eastAsia"/>
                <w:color w:val="000000"/>
                <w:sz w:val="18"/>
                <w:szCs w:val="18"/>
              </w:rPr>
              <w:t>矿方委托第三方</w:t>
            </w:r>
          </w:p>
        </w:tc>
        <w:tc>
          <w:tcPr>
            <w:tcW w:w="742" w:type="dxa"/>
            <w:vAlign w:val="center"/>
          </w:tcPr>
          <w:p w:rsidR="00C223F5" w:rsidRDefault="00C223F5">
            <w:pPr>
              <w:jc w:val="center"/>
              <w:rPr>
                <w:rFonts w:eastAsia="新宋体"/>
                <w:color w:val="000000"/>
                <w:sz w:val="18"/>
                <w:szCs w:val="18"/>
              </w:rPr>
            </w:pPr>
          </w:p>
        </w:tc>
      </w:tr>
      <w:tr w:rsidR="00C223F5" w:rsidTr="00775564">
        <w:trPr>
          <w:trHeight w:val="480"/>
          <w:jc w:val="center"/>
        </w:trPr>
        <w:tc>
          <w:tcPr>
            <w:tcW w:w="404" w:type="dxa"/>
            <w:vMerge/>
            <w:vAlign w:val="center"/>
          </w:tcPr>
          <w:p w:rsidR="00C223F5" w:rsidRDefault="00C223F5">
            <w:pPr>
              <w:jc w:val="center"/>
              <w:rPr>
                <w:rFonts w:eastAsia="新宋体"/>
                <w:color w:val="000000"/>
                <w:sz w:val="18"/>
                <w:szCs w:val="18"/>
              </w:rPr>
            </w:pPr>
          </w:p>
        </w:tc>
        <w:tc>
          <w:tcPr>
            <w:tcW w:w="803" w:type="dxa"/>
            <w:vMerge w:val="restart"/>
            <w:vAlign w:val="center"/>
          </w:tcPr>
          <w:p w:rsidR="00C223F5" w:rsidRDefault="005860D5">
            <w:pPr>
              <w:jc w:val="center"/>
              <w:rPr>
                <w:rFonts w:eastAsia="新宋体"/>
                <w:color w:val="000000"/>
                <w:sz w:val="18"/>
                <w:szCs w:val="18"/>
              </w:rPr>
            </w:pPr>
            <w:r>
              <w:rPr>
                <w:rFonts w:eastAsia="新宋体" w:hint="eastAsia"/>
                <w:color w:val="000000"/>
                <w:sz w:val="18"/>
                <w:szCs w:val="18"/>
              </w:rPr>
              <w:t>水污染源</w:t>
            </w:r>
          </w:p>
        </w:tc>
        <w:tc>
          <w:tcPr>
            <w:tcW w:w="3015" w:type="dxa"/>
            <w:vAlign w:val="center"/>
          </w:tcPr>
          <w:p w:rsidR="00C223F5" w:rsidRDefault="005860D5">
            <w:pPr>
              <w:rPr>
                <w:rFonts w:eastAsia="新宋体"/>
                <w:color w:val="000000"/>
                <w:sz w:val="18"/>
                <w:szCs w:val="18"/>
              </w:rPr>
            </w:pPr>
            <w:r>
              <w:rPr>
                <w:rFonts w:eastAsia="新宋体"/>
                <w:color w:val="000000"/>
                <w:sz w:val="18"/>
                <w:szCs w:val="18"/>
              </w:rPr>
              <w:t>1</w:t>
            </w:r>
            <w:r>
              <w:rPr>
                <w:rFonts w:eastAsia="新宋体"/>
                <w:color w:val="000000"/>
                <w:sz w:val="18"/>
                <w:szCs w:val="18"/>
              </w:rPr>
              <w:t>．监测项目：流量、</w:t>
            </w:r>
            <w:r>
              <w:rPr>
                <w:rFonts w:eastAsia="新宋体"/>
                <w:color w:val="000000"/>
                <w:sz w:val="18"/>
                <w:szCs w:val="18"/>
              </w:rPr>
              <w:t>pH</w:t>
            </w:r>
            <w:r>
              <w:rPr>
                <w:rFonts w:eastAsia="新宋体"/>
                <w:color w:val="000000"/>
                <w:sz w:val="18"/>
                <w:szCs w:val="18"/>
              </w:rPr>
              <w:t>、</w:t>
            </w:r>
            <w:r>
              <w:rPr>
                <w:rFonts w:eastAsia="新宋体" w:hint="eastAsia"/>
                <w:color w:val="000000"/>
                <w:sz w:val="18"/>
                <w:szCs w:val="18"/>
              </w:rPr>
              <w:t>COD</w:t>
            </w:r>
            <w:r>
              <w:rPr>
                <w:rFonts w:eastAsia="新宋体"/>
                <w:color w:val="000000"/>
                <w:sz w:val="18"/>
                <w:szCs w:val="18"/>
              </w:rPr>
              <w:t>、</w:t>
            </w:r>
            <w:r>
              <w:rPr>
                <w:rFonts w:eastAsia="新宋体" w:hint="eastAsia"/>
                <w:color w:val="000000"/>
                <w:sz w:val="18"/>
                <w:szCs w:val="18"/>
              </w:rPr>
              <w:t>SS</w:t>
            </w:r>
            <w:r>
              <w:rPr>
                <w:rFonts w:eastAsia="新宋体" w:hint="eastAsia"/>
                <w:color w:val="000000"/>
                <w:sz w:val="18"/>
                <w:szCs w:val="18"/>
              </w:rPr>
              <w:t>、</w:t>
            </w:r>
            <w:r>
              <w:rPr>
                <w:rFonts w:eastAsia="新宋体" w:hint="eastAsia"/>
                <w:color w:val="000000"/>
                <w:sz w:val="18"/>
                <w:szCs w:val="18"/>
              </w:rPr>
              <w:t>BOD</w:t>
            </w:r>
            <w:r>
              <w:rPr>
                <w:rFonts w:eastAsia="新宋体" w:hint="eastAsia"/>
                <w:color w:val="000000"/>
                <w:sz w:val="18"/>
                <w:szCs w:val="18"/>
                <w:vertAlign w:val="subscript"/>
              </w:rPr>
              <w:t>5</w:t>
            </w:r>
            <w:r>
              <w:rPr>
                <w:rFonts w:eastAsia="新宋体" w:hint="eastAsia"/>
                <w:color w:val="000000"/>
                <w:sz w:val="18"/>
                <w:szCs w:val="18"/>
              </w:rPr>
              <w:t>、氨氮、石油类</w:t>
            </w:r>
          </w:p>
          <w:p w:rsidR="00C223F5" w:rsidRDefault="005860D5">
            <w:pPr>
              <w:rPr>
                <w:rFonts w:eastAsia="新宋体"/>
                <w:color w:val="000000"/>
                <w:sz w:val="18"/>
                <w:szCs w:val="18"/>
              </w:rPr>
            </w:pPr>
            <w:r>
              <w:rPr>
                <w:rFonts w:eastAsia="新宋体"/>
                <w:color w:val="000000"/>
                <w:sz w:val="18"/>
                <w:szCs w:val="18"/>
              </w:rPr>
              <w:t>2</w:t>
            </w:r>
            <w:r>
              <w:rPr>
                <w:rFonts w:eastAsia="新宋体"/>
                <w:color w:val="000000"/>
                <w:sz w:val="18"/>
                <w:szCs w:val="18"/>
              </w:rPr>
              <w:t>．监测频率：每月</w:t>
            </w:r>
            <w:r>
              <w:rPr>
                <w:rFonts w:eastAsia="新宋体"/>
                <w:color w:val="000000"/>
                <w:sz w:val="18"/>
                <w:szCs w:val="18"/>
              </w:rPr>
              <w:t>1</w:t>
            </w:r>
            <w:r>
              <w:rPr>
                <w:rFonts w:eastAsia="新宋体"/>
                <w:color w:val="000000"/>
                <w:sz w:val="18"/>
                <w:szCs w:val="18"/>
              </w:rPr>
              <w:t>次；</w:t>
            </w:r>
          </w:p>
          <w:p w:rsidR="00C223F5" w:rsidRDefault="005860D5">
            <w:pPr>
              <w:rPr>
                <w:rFonts w:eastAsia="新宋体"/>
                <w:color w:val="000000"/>
                <w:sz w:val="18"/>
                <w:szCs w:val="18"/>
              </w:rPr>
            </w:pPr>
            <w:r>
              <w:rPr>
                <w:rFonts w:eastAsia="新宋体"/>
                <w:color w:val="000000"/>
                <w:sz w:val="18"/>
                <w:szCs w:val="18"/>
              </w:rPr>
              <w:t>3</w:t>
            </w:r>
            <w:r>
              <w:rPr>
                <w:rFonts w:eastAsia="新宋体"/>
                <w:color w:val="000000"/>
                <w:sz w:val="18"/>
                <w:szCs w:val="18"/>
              </w:rPr>
              <w:t>．监测点：生活污水处理</w:t>
            </w:r>
            <w:r>
              <w:rPr>
                <w:rFonts w:eastAsia="新宋体" w:hint="eastAsia"/>
                <w:color w:val="000000"/>
                <w:sz w:val="18"/>
                <w:szCs w:val="18"/>
              </w:rPr>
              <w:t>站</w:t>
            </w:r>
            <w:r>
              <w:rPr>
                <w:rFonts w:eastAsia="新宋体"/>
                <w:color w:val="000000"/>
                <w:sz w:val="18"/>
                <w:szCs w:val="18"/>
              </w:rPr>
              <w:t>出水口</w:t>
            </w:r>
          </w:p>
        </w:tc>
        <w:tc>
          <w:tcPr>
            <w:tcW w:w="2385" w:type="dxa"/>
            <w:vAlign w:val="center"/>
          </w:tcPr>
          <w:p w:rsidR="00C223F5" w:rsidRDefault="005860D5">
            <w:pPr>
              <w:jc w:val="center"/>
              <w:rPr>
                <w:rFonts w:eastAsia="新宋体"/>
                <w:color w:val="000000"/>
                <w:sz w:val="18"/>
                <w:szCs w:val="18"/>
              </w:rPr>
            </w:pPr>
            <w:r>
              <w:rPr>
                <w:rFonts w:eastAsia="新宋体" w:hint="eastAsia"/>
                <w:color w:val="000000"/>
                <w:sz w:val="18"/>
                <w:szCs w:val="18"/>
              </w:rPr>
              <w:t>禁止外排</w:t>
            </w:r>
          </w:p>
        </w:tc>
        <w:tc>
          <w:tcPr>
            <w:tcW w:w="665" w:type="dxa"/>
            <w:vAlign w:val="center"/>
          </w:tcPr>
          <w:p w:rsidR="00C223F5" w:rsidRDefault="005860D5">
            <w:pPr>
              <w:jc w:val="center"/>
              <w:rPr>
                <w:rFonts w:eastAsia="新宋体"/>
                <w:color w:val="000000"/>
                <w:sz w:val="18"/>
                <w:szCs w:val="18"/>
              </w:rPr>
            </w:pPr>
            <w:r>
              <w:rPr>
                <w:rFonts w:eastAsia="新宋体" w:hint="eastAsia"/>
                <w:color w:val="000000"/>
                <w:sz w:val="18"/>
                <w:szCs w:val="18"/>
              </w:rPr>
              <w:t>榆林</w:t>
            </w:r>
            <w:r>
              <w:rPr>
                <w:rFonts w:eastAsia="新宋体"/>
                <w:color w:val="000000"/>
                <w:sz w:val="18"/>
                <w:szCs w:val="18"/>
              </w:rPr>
              <w:t>市</w:t>
            </w:r>
          </w:p>
          <w:p w:rsidR="00C223F5" w:rsidRDefault="005860D5">
            <w:pPr>
              <w:ind w:firstLineChars="50" w:firstLine="90"/>
              <w:jc w:val="center"/>
              <w:rPr>
                <w:rFonts w:eastAsia="新宋体"/>
                <w:color w:val="000000"/>
                <w:sz w:val="18"/>
                <w:szCs w:val="18"/>
              </w:rPr>
            </w:pPr>
            <w:r>
              <w:rPr>
                <w:rFonts w:eastAsia="新宋体" w:hint="eastAsia"/>
                <w:color w:val="000000"/>
                <w:sz w:val="18"/>
                <w:szCs w:val="18"/>
              </w:rPr>
              <w:t>生态</w:t>
            </w:r>
            <w:r>
              <w:rPr>
                <w:rFonts w:eastAsia="新宋体"/>
                <w:color w:val="000000"/>
                <w:sz w:val="18"/>
                <w:szCs w:val="18"/>
              </w:rPr>
              <w:t>环保局</w:t>
            </w:r>
          </w:p>
        </w:tc>
        <w:tc>
          <w:tcPr>
            <w:tcW w:w="832" w:type="dxa"/>
            <w:vMerge w:val="restart"/>
            <w:vAlign w:val="center"/>
          </w:tcPr>
          <w:p w:rsidR="00C223F5" w:rsidRDefault="005860D5">
            <w:pPr>
              <w:jc w:val="center"/>
              <w:rPr>
                <w:rFonts w:eastAsia="新宋体"/>
                <w:color w:val="000000"/>
                <w:sz w:val="18"/>
                <w:szCs w:val="18"/>
              </w:rPr>
            </w:pPr>
            <w:r>
              <w:rPr>
                <w:rFonts w:eastAsia="新宋体" w:hint="eastAsia"/>
                <w:color w:val="000000"/>
                <w:sz w:val="18"/>
                <w:szCs w:val="18"/>
              </w:rPr>
              <w:t>设在线监测设备；</w:t>
            </w:r>
          </w:p>
          <w:p w:rsidR="00C223F5" w:rsidRDefault="005860D5">
            <w:pPr>
              <w:jc w:val="center"/>
              <w:rPr>
                <w:rFonts w:eastAsia="新宋体"/>
                <w:color w:val="000000"/>
                <w:sz w:val="18"/>
                <w:szCs w:val="18"/>
              </w:rPr>
            </w:pPr>
            <w:r>
              <w:rPr>
                <w:rFonts w:eastAsia="新宋体" w:hint="eastAsia"/>
                <w:color w:val="000000"/>
                <w:sz w:val="18"/>
                <w:szCs w:val="18"/>
              </w:rPr>
              <w:t>矿方委托第三方</w:t>
            </w:r>
          </w:p>
        </w:tc>
        <w:tc>
          <w:tcPr>
            <w:tcW w:w="742" w:type="dxa"/>
            <w:vMerge w:val="restart"/>
            <w:vAlign w:val="center"/>
          </w:tcPr>
          <w:p w:rsidR="00C223F5" w:rsidRDefault="005860D5">
            <w:pPr>
              <w:jc w:val="center"/>
              <w:rPr>
                <w:rFonts w:eastAsia="新宋体"/>
                <w:color w:val="000000"/>
                <w:sz w:val="18"/>
                <w:szCs w:val="18"/>
              </w:rPr>
            </w:pPr>
            <w:r>
              <w:rPr>
                <w:rFonts w:eastAsia="新宋体"/>
                <w:color w:val="000000"/>
                <w:sz w:val="18"/>
                <w:szCs w:val="18"/>
              </w:rPr>
              <w:t>建立水处理站运行记录表，原始记录保存完整</w:t>
            </w:r>
          </w:p>
        </w:tc>
      </w:tr>
      <w:tr w:rsidR="00C223F5" w:rsidTr="00775564">
        <w:trPr>
          <w:trHeight w:val="322"/>
          <w:jc w:val="center"/>
        </w:trPr>
        <w:tc>
          <w:tcPr>
            <w:tcW w:w="404" w:type="dxa"/>
            <w:vMerge/>
            <w:vAlign w:val="center"/>
          </w:tcPr>
          <w:p w:rsidR="00C223F5" w:rsidRDefault="00C223F5">
            <w:pPr>
              <w:jc w:val="center"/>
              <w:rPr>
                <w:rFonts w:eastAsia="新宋体"/>
                <w:color w:val="000000"/>
                <w:sz w:val="18"/>
                <w:szCs w:val="18"/>
              </w:rPr>
            </w:pPr>
          </w:p>
        </w:tc>
        <w:tc>
          <w:tcPr>
            <w:tcW w:w="803" w:type="dxa"/>
            <w:vMerge/>
            <w:vAlign w:val="center"/>
          </w:tcPr>
          <w:p w:rsidR="00C223F5" w:rsidRDefault="00C223F5">
            <w:pPr>
              <w:jc w:val="center"/>
              <w:rPr>
                <w:rFonts w:eastAsia="新宋体"/>
                <w:color w:val="000000"/>
                <w:sz w:val="18"/>
                <w:szCs w:val="18"/>
              </w:rPr>
            </w:pPr>
          </w:p>
        </w:tc>
        <w:tc>
          <w:tcPr>
            <w:tcW w:w="3015" w:type="dxa"/>
            <w:vAlign w:val="center"/>
          </w:tcPr>
          <w:p w:rsidR="00C223F5" w:rsidRDefault="005860D5">
            <w:pPr>
              <w:rPr>
                <w:rFonts w:eastAsia="新宋体"/>
                <w:color w:val="000000"/>
                <w:sz w:val="18"/>
                <w:szCs w:val="18"/>
              </w:rPr>
            </w:pPr>
            <w:r>
              <w:rPr>
                <w:rFonts w:eastAsia="新宋体"/>
                <w:color w:val="000000"/>
                <w:sz w:val="18"/>
                <w:szCs w:val="18"/>
              </w:rPr>
              <w:t>1</w:t>
            </w:r>
            <w:r>
              <w:rPr>
                <w:rFonts w:eastAsia="新宋体"/>
                <w:color w:val="000000"/>
                <w:sz w:val="18"/>
                <w:szCs w:val="18"/>
              </w:rPr>
              <w:t>．监测项目：流量、</w:t>
            </w:r>
            <w:r>
              <w:rPr>
                <w:rFonts w:eastAsia="新宋体"/>
                <w:color w:val="000000"/>
                <w:sz w:val="18"/>
                <w:szCs w:val="18"/>
              </w:rPr>
              <w:t>pH</w:t>
            </w:r>
            <w:r>
              <w:rPr>
                <w:rFonts w:eastAsia="新宋体"/>
                <w:color w:val="000000"/>
                <w:sz w:val="18"/>
                <w:szCs w:val="18"/>
              </w:rPr>
              <w:t>、</w:t>
            </w:r>
            <w:r>
              <w:rPr>
                <w:rFonts w:eastAsia="新宋体" w:hint="eastAsia"/>
                <w:color w:val="000000"/>
                <w:sz w:val="18"/>
                <w:szCs w:val="18"/>
              </w:rPr>
              <w:t>COD</w:t>
            </w:r>
            <w:r>
              <w:rPr>
                <w:rFonts w:eastAsia="新宋体"/>
                <w:color w:val="000000"/>
                <w:sz w:val="18"/>
                <w:szCs w:val="18"/>
              </w:rPr>
              <w:t>、</w:t>
            </w:r>
            <w:r>
              <w:rPr>
                <w:rFonts w:eastAsia="新宋体" w:hint="eastAsia"/>
                <w:color w:val="000000"/>
                <w:sz w:val="18"/>
                <w:szCs w:val="18"/>
              </w:rPr>
              <w:t>SS</w:t>
            </w:r>
            <w:r>
              <w:rPr>
                <w:rFonts w:eastAsia="新宋体" w:hint="eastAsia"/>
                <w:color w:val="000000"/>
                <w:sz w:val="18"/>
                <w:szCs w:val="18"/>
              </w:rPr>
              <w:t>、</w:t>
            </w:r>
            <w:r>
              <w:rPr>
                <w:rFonts w:hint="eastAsia"/>
                <w:sz w:val="20"/>
                <w:szCs w:val="20"/>
              </w:rPr>
              <w:t>、氨氮、</w:t>
            </w:r>
            <w:r>
              <w:rPr>
                <w:sz w:val="20"/>
                <w:szCs w:val="20"/>
              </w:rPr>
              <w:t>BOD</w:t>
            </w:r>
            <w:r>
              <w:rPr>
                <w:sz w:val="20"/>
                <w:szCs w:val="20"/>
                <w:vertAlign w:val="subscript"/>
              </w:rPr>
              <w:t>5</w:t>
            </w:r>
            <w:r>
              <w:rPr>
                <w:rFonts w:eastAsia="新宋体"/>
                <w:color w:val="000000"/>
                <w:sz w:val="18"/>
                <w:szCs w:val="18"/>
              </w:rPr>
              <w:t>；</w:t>
            </w:r>
          </w:p>
          <w:p w:rsidR="00C223F5" w:rsidRDefault="005860D5">
            <w:pPr>
              <w:rPr>
                <w:rFonts w:eastAsia="新宋体"/>
                <w:color w:val="000000"/>
                <w:sz w:val="18"/>
                <w:szCs w:val="18"/>
              </w:rPr>
            </w:pPr>
            <w:r>
              <w:rPr>
                <w:rFonts w:eastAsia="新宋体"/>
                <w:color w:val="000000"/>
                <w:sz w:val="18"/>
                <w:szCs w:val="18"/>
              </w:rPr>
              <w:t>2</w:t>
            </w:r>
            <w:r>
              <w:rPr>
                <w:rFonts w:eastAsia="新宋体"/>
                <w:color w:val="000000"/>
                <w:sz w:val="18"/>
                <w:szCs w:val="18"/>
              </w:rPr>
              <w:t>．监测频率：每月</w:t>
            </w:r>
            <w:r>
              <w:rPr>
                <w:rFonts w:eastAsia="新宋体"/>
                <w:color w:val="000000"/>
                <w:sz w:val="18"/>
                <w:szCs w:val="18"/>
              </w:rPr>
              <w:t>1</w:t>
            </w:r>
            <w:r>
              <w:rPr>
                <w:rFonts w:eastAsia="新宋体"/>
                <w:color w:val="000000"/>
                <w:sz w:val="18"/>
                <w:szCs w:val="18"/>
              </w:rPr>
              <w:t>次；</w:t>
            </w:r>
          </w:p>
          <w:p w:rsidR="00C223F5" w:rsidRDefault="005860D5">
            <w:pPr>
              <w:rPr>
                <w:rFonts w:eastAsia="新宋体"/>
                <w:color w:val="000000"/>
                <w:sz w:val="18"/>
                <w:szCs w:val="18"/>
              </w:rPr>
            </w:pPr>
            <w:r>
              <w:rPr>
                <w:rFonts w:eastAsia="新宋体"/>
                <w:color w:val="000000"/>
                <w:sz w:val="18"/>
                <w:szCs w:val="18"/>
              </w:rPr>
              <w:t>3</w:t>
            </w:r>
            <w:r>
              <w:rPr>
                <w:rFonts w:eastAsia="新宋体"/>
                <w:color w:val="000000"/>
                <w:sz w:val="18"/>
                <w:szCs w:val="18"/>
              </w:rPr>
              <w:t>．监测点：矿井水处理</w:t>
            </w:r>
            <w:r>
              <w:rPr>
                <w:rFonts w:eastAsia="新宋体" w:hint="eastAsia"/>
                <w:color w:val="000000"/>
                <w:sz w:val="18"/>
                <w:szCs w:val="18"/>
              </w:rPr>
              <w:t>站</w:t>
            </w:r>
            <w:r>
              <w:rPr>
                <w:rFonts w:eastAsia="新宋体"/>
                <w:color w:val="000000"/>
                <w:sz w:val="18"/>
                <w:szCs w:val="18"/>
              </w:rPr>
              <w:t>出水口</w:t>
            </w:r>
          </w:p>
        </w:tc>
        <w:tc>
          <w:tcPr>
            <w:tcW w:w="2385" w:type="dxa"/>
            <w:vAlign w:val="center"/>
          </w:tcPr>
          <w:p w:rsidR="00C223F5" w:rsidRDefault="005860D5">
            <w:pPr>
              <w:jc w:val="center"/>
              <w:rPr>
                <w:rFonts w:eastAsia="新宋体"/>
                <w:color w:val="000000"/>
                <w:sz w:val="18"/>
                <w:szCs w:val="18"/>
              </w:rPr>
            </w:pPr>
            <w:r>
              <w:rPr>
                <w:rFonts w:eastAsia="新宋体"/>
                <w:color w:val="000000"/>
                <w:sz w:val="18"/>
                <w:szCs w:val="18"/>
              </w:rPr>
              <w:t>《煤炭工业污染物排放标准》中表</w:t>
            </w:r>
            <w:r>
              <w:rPr>
                <w:rFonts w:eastAsia="新宋体" w:hint="eastAsia"/>
                <w:color w:val="000000"/>
                <w:sz w:val="18"/>
                <w:szCs w:val="18"/>
              </w:rPr>
              <w:t>1</w:t>
            </w:r>
            <w:r>
              <w:rPr>
                <w:rFonts w:eastAsia="新宋体"/>
                <w:color w:val="000000"/>
                <w:sz w:val="18"/>
                <w:szCs w:val="18"/>
              </w:rPr>
              <w:t>、</w:t>
            </w:r>
            <w:r>
              <w:rPr>
                <w:rFonts w:eastAsia="新宋体" w:hint="eastAsia"/>
                <w:color w:val="000000"/>
                <w:sz w:val="18"/>
                <w:szCs w:val="18"/>
              </w:rPr>
              <w:t>2</w:t>
            </w:r>
            <w:r>
              <w:rPr>
                <w:rFonts w:eastAsia="新宋体"/>
                <w:color w:val="000000"/>
                <w:sz w:val="18"/>
                <w:szCs w:val="18"/>
              </w:rPr>
              <w:t>规定限值</w:t>
            </w:r>
            <w:r>
              <w:rPr>
                <w:rFonts w:eastAsia="新宋体" w:hint="eastAsia"/>
                <w:color w:val="000000"/>
                <w:sz w:val="18"/>
                <w:szCs w:val="18"/>
              </w:rPr>
              <w:t>和《陕西省黄河流域污水综合排放标准》</w:t>
            </w:r>
            <w:r>
              <w:rPr>
                <w:rFonts w:eastAsia="新宋体" w:hint="eastAsia"/>
                <w:color w:val="000000"/>
                <w:sz w:val="18"/>
                <w:szCs w:val="18"/>
              </w:rPr>
              <w:t xml:space="preserve"> </w:t>
            </w:r>
          </w:p>
        </w:tc>
        <w:tc>
          <w:tcPr>
            <w:tcW w:w="665" w:type="dxa"/>
            <w:vAlign w:val="center"/>
          </w:tcPr>
          <w:p w:rsidR="00C223F5" w:rsidRDefault="005860D5">
            <w:pPr>
              <w:jc w:val="center"/>
              <w:rPr>
                <w:rFonts w:eastAsia="新宋体"/>
                <w:color w:val="000000"/>
                <w:sz w:val="18"/>
                <w:szCs w:val="18"/>
              </w:rPr>
            </w:pPr>
            <w:r>
              <w:rPr>
                <w:rFonts w:eastAsia="新宋体" w:hint="eastAsia"/>
                <w:color w:val="000000"/>
                <w:sz w:val="18"/>
                <w:szCs w:val="18"/>
              </w:rPr>
              <w:t>榆林</w:t>
            </w:r>
            <w:r>
              <w:rPr>
                <w:rFonts w:eastAsia="新宋体"/>
                <w:color w:val="000000"/>
                <w:sz w:val="18"/>
                <w:szCs w:val="18"/>
              </w:rPr>
              <w:t>市</w:t>
            </w:r>
          </w:p>
          <w:p w:rsidR="00C223F5" w:rsidRDefault="005860D5">
            <w:pPr>
              <w:ind w:firstLineChars="50" w:firstLine="90"/>
              <w:jc w:val="center"/>
              <w:rPr>
                <w:rFonts w:eastAsia="新宋体"/>
                <w:color w:val="000000"/>
                <w:sz w:val="18"/>
                <w:szCs w:val="18"/>
              </w:rPr>
            </w:pPr>
            <w:r>
              <w:rPr>
                <w:rFonts w:eastAsia="新宋体" w:hint="eastAsia"/>
                <w:color w:val="000000"/>
                <w:sz w:val="18"/>
                <w:szCs w:val="18"/>
              </w:rPr>
              <w:t>生态</w:t>
            </w:r>
            <w:r>
              <w:rPr>
                <w:rFonts w:eastAsia="新宋体"/>
                <w:color w:val="000000"/>
                <w:sz w:val="18"/>
                <w:szCs w:val="18"/>
              </w:rPr>
              <w:t>环保局</w:t>
            </w:r>
          </w:p>
        </w:tc>
        <w:tc>
          <w:tcPr>
            <w:tcW w:w="832" w:type="dxa"/>
            <w:vMerge/>
            <w:vAlign w:val="center"/>
          </w:tcPr>
          <w:p w:rsidR="00C223F5" w:rsidRDefault="00C223F5">
            <w:pPr>
              <w:jc w:val="center"/>
              <w:rPr>
                <w:rFonts w:eastAsia="新宋体"/>
                <w:color w:val="000000"/>
                <w:sz w:val="18"/>
                <w:szCs w:val="18"/>
              </w:rPr>
            </w:pPr>
          </w:p>
        </w:tc>
        <w:tc>
          <w:tcPr>
            <w:tcW w:w="742" w:type="dxa"/>
            <w:vMerge/>
            <w:vAlign w:val="center"/>
          </w:tcPr>
          <w:p w:rsidR="00C223F5" w:rsidRDefault="00C223F5">
            <w:pPr>
              <w:jc w:val="center"/>
              <w:rPr>
                <w:rFonts w:eastAsia="新宋体"/>
                <w:color w:val="000000"/>
                <w:sz w:val="18"/>
                <w:szCs w:val="18"/>
              </w:rPr>
            </w:pPr>
          </w:p>
        </w:tc>
      </w:tr>
      <w:tr w:rsidR="00C223F5" w:rsidTr="00775564">
        <w:trPr>
          <w:trHeight w:val="355"/>
          <w:jc w:val="center"/>
        </w:trPr>
        <w:tc>
          <w:tcPr>
            <w:tcW w:w="404" w:type="dxa"/>
            <w:vMerge/>
            <w:vAlign w:val="center"/>
          </w:tcPr>
          <w:p w:rsidR="00C223F5" w:rsidRDefault="00C223F5">
            <w:pPr>
              <w:jc w:val="center"/>
              <w:rPr>
                <w:rFonts w:eastAsia="新宋体"/>
                <w:color w:val="000000"/>
                <w:sz w:val="18"/>
                <w:szCs w:val="18"/>
              </w:rPr>
            </w:pPr>
          </w:p>
        </w:tc>
        <w:tc>
          <w:tcPr>
            <w:tcW w:w="803" w:type="dxa"/>
            <w:vAlign w:val="center"/>
          </w:tcPr>
          <w:p w:rsidR="00C223F5" w:rsidRDefault="005860D5">
            <w:pPr>
              <w:jc w:val="center"/>
              <w:rPr>
                <w:rFonts w:eastAsia="新宋体"/>
                <w:color w:val="000000"/>
                <w:sz w:val="18"/>
                <w:szCs w:val="18"/>
              </w:rPr>
            </w:pPr>
            <w:r>
              <w:rPr>
                <w:rFonts w:eastAsia="新宋体"/>
                <w:color w:val="000000"/>
                <w:sz w:val="18"/>
                <w:szCs w:val="18"/>
              </w:rPr>
              <w:t>噪声</w:t>
            </w:r>
          </w:p>
        </w:tc>
        <w:tc>
          <w:tcPr>
            <w:tcW w:w="3015" w:type="dxa"/>
            <w:vAlign w:val="center"/>
          </w:tcPr>
          <w:p w:rsidR="00C223F5" w:rsidRDefault="005860D5">
            <w:pPr>
              <w:rPr>
                <w:rFonts w:eastAsia="新宋体"/>
                <w:color w:val="000000"/>
                <w:sz w:val="18"/>
                <w:szCs w:val="18"/>
              </w:rPr>
            </w:pPr>
            <w:r>
              <w:rPr>
                <w:rFonts w:eastAsia="新宋体"/>
                <w:color w:val="000000"/>
                <w:sz w:val="18"/>
                <w:szCs w:val="18"/>
              </w:rPr>
              <w:t>1</w:t>
            </w:r>
            <w:r>
              <w:rPr>
                <w:rFonts w:eastAsia="新宋体"/>
                <w:color w:val="000000"/>
                <w:sz w:val="18"/>
                <w:szCs w:val="18"/>
              </w:rPr>
              <w:t>．监测项目：</w:t>
            </w:r>
            <w:r>
              <w:rPr>
                <w:rFonts w:eastAsia="新宋体" w:hint="eastAsia"/>
                <w:color w:val="000000"/>
                <w:sz w:val="18"/>
                <w:szCs w:val="18"/>
              </w:rPr>
              <w:t>昼间、夜间</w:t>
            </w:r>
            <w:r>
              <w:rPr>
                <w:rFonts w:eastAsia="新宋体"/>
                <w:color w:val="000000"/>
                <w:sz w:val="18"/>
                <w:szCs w:val="18"/>
              </w:rPr>
              <w:t>厂界噪声；</w:t>
            </w:r>
          </w:p>
          <w:p w:rsidR="00C223F5" w:rsidRDefault="005860D5">
            <w:pPr>
              <w:rPr>
                <w:rFonts w:eastAsia="新宋体"/>
                <w:color w:val="000000"/>
                <w:sz w:val="18"/>
                <w:szCs w:val="18"/>
              </w:rPr>
            </w:pPr>
            <w:r>
              <w:rPr>
                <w:rFonts w:eastAsia="新宋体"/>
                <w:color w:val="000000"/>
                <w:sz w:val="18"/>
                <w:szCs w:val="18"/>
              </w:rPr>
              <w:t>2</w:t>
            </w:r>
            <w:r>
              <w:rPr>
                <w:rFonts w:eastAsia="新宋体"/>
                <w:color w:val="000000"/>
                <w:sz w:val="18"/>
                <w:szCs w:val="18"/>
              </w:rPr>
              <w:t>．监测频率：</w:t>
            </w:r>
            <w:r>
              <w:rPr>
                <w:rFonts w:eastAsia="新宋体" w:hint="eastAsia"/>
                <w:color w:val="000000"/>
                <w:sz w:val="18"/>
                <w:szCs w:val="18"/>
              </w:rPr>
              <w:t>1</w:t>
            </w:r>
            <w:r>
              <w:rPr>
                <w:rFonts w:eastAsia="新宋体" w:hint="eastAsia"/>
                <w:color w:val="000000"/>
                <w:sz w:val="18"/>
                <w:szCs w:val="18"/>
              </w:rPr>
              <w:t>次</w:t>
            </w:r>
            <w:r>
              <w:rPr>
                <w:rFonts w:eastAsia="新宋体" w:hint="eastAsia"/>
                <w:color w:val="000000"/>
                <w:sz w:val="18"/>
                <w:szCs w:val="18"/>
              </w:rPr>
              <w:t>/</w:t>
            </w:r>
            <w:r>
              <w:rPr>
                <w:rFonts w:eastAsia="新宋体" w:hint="eastAsia"/>
                <w:color w:val="000000"/>
                <w:sz w:val="18"/>
                <w:szCs w:val="18"/>
              </w:rPr>
              <w:t>季度</w:t>
            </w:r>
            <w:r>
              <w:rPr>
                <w:rFonts w:eastAsia="新宋体"/>
                <w:color w:val="000000"/>
                <w:sz w:val="18"/>
                <w:szCs w:val="18"/>
              </w:rPr>
              <w:t>；</w:t>
            </w:r>
          </w:p>
          <w:p w:rsidR="00C223F5" w:rsidRDefault="005860D5">
            <w:pPr>
              <w:rPr>
                <w:rFonts w:eastAsia="新宋体"/>
                <w:color w:val="000000"/>
                <w:sz w:val="18"/>
                <w:szCs w:val="18"/>
              </w:rPr>
            </w:pPr>
            <w:r>
              <w:rPr>
                <w:rFonts w:eastAsia="新宋体"/>
                <w:color w:val="000000"/>
                <w:sz w:val="18"/>
                <w:szCs w:val="18"/>
              </w:rPr>
              <w:t>3</w:t>
            </w:r>
            <w:r>
              <w:rPr>
                <w:rFonts w:eastAsia="新宋体"/>
                <w:color w:val="000000"/>
                <w:sz w:val="18"/>
                <w:szCs w:val="18"/>
              </w:rPr>
              <w:t>．监测点：</w:t>
            </w:r>
            <w:r>
              <w:rPr>
                <w:rFonts w:eastAsia="新宋体" w:hint="eastAsia"/>
                <w:color w:val="000000"/>
                <w:sz w:val="18"/>
                <w:szCs w:val="18"/>
              </w:rPr>
              <w:t>工业场地</w:t>
            </w:r>
            <w:r>
              <w:rPr>
                <w:rFonts w:eastAsia="新宋体"/>
                <w:color w:val="000000"/>
                <w:sz w:val="18"/>
                <w:szCs w:val="18"/>
              </w:rPr>
              <w:t>厂界</w:t>
            </w:r>
          </w:p>
        </w:tc>
        <w:tc>
          <w:tcPr>
            <w:tcW w:w="2385" w:type="dxa"/>
            <w:vAlign w:val="center"/>
          </w:tcPr>
          <w:p w:rsidR="00C223F5" w:rsidRDefault="005860D5">
            <w:pPr>
              <w:jc w:val="center"/>
              <w:rPr>
                <w:rFonts w:eastAsia="新宋体"/>
                <w:color w:val="000000"/>
                <w:sz w:val="18"/>
                <w:szCs w:val="18"/>
              </w:rPr>
            </w:pPr>
            <w:r>
              <w:rPr>
                <w:color w:val="000000"/>
                <w:sz w:val="18"/>
                <w:szCs w:val="18"/>
              </w:rPr>
              <w:t>《工业企业厂界环境噪声排放标准》</w:t>
            </w:r>
            <w:r>
              <w:rPr>
                <w:color w:val="000000"/>
                <w:sz w:val="18"/>
                <w:szCs w:val="18"/>
              </w:rPr>
              <w:t>2</w:t>
            </w:r>
            <w:r>
              <w:rPr>
                <w:color w:val="000000"/>
                <w:sz w:val="18"/>
                <w:szCs w:val="18"/>
              </w:rPr>
              <w:t>类区</w:t>
            </w:r>
          </w:p>
        </w:tc>
        <w:tc>
          <w:tcPr>
            <w:tcW w:w="665" w:type="dxa"/>
            <w:vAlign w:val="center"/>
          </w:tcPr>
          <w:p w:rsidR="00C223F5" w:rsidRDefault="005860D5">
            <w:pPr>
              <w:jc w:val="center"/>
              <w:rPr>
                <w:rFonts w:eastAsia="新宋体"/>
                <w:color w:val="000000"/>
                <w:sz w:val="18"/>
                <w:szCs w:val="18"/>
              </w:rPr>
            </w:pPr>
            <w:r>
              <w:rPr>
                <w:rFonts w:eastAsia="新宋体" w:hint="eastAsia"/>
                <w:color w:val="000000"/>
                <w:sz w:val="18"/>
                <w:szCs w:val="18"/>
              </w:rPr>
              <w:t>榆林</w:t>
            </w:r>
            <w:r>
              <w:rPr>
                <w:rFonts w:eastAsia="新宋体"/>
                <w:color w:val="000000"/>
                <w:sz w:val="18"/>
                <w:szCs w:val="18"/>
              </w:rPr>
              <w:t>市</w:t>
            </w:r>
          </w:p>
          <w:p w:rsidR="00C223F5" w:rsidRDefault="005860D5">
            <w:pPr>
              <w:ind w:firstLineChars="50" w:firstLine="90"/>
              <w:jc w:val="center"/>
              <w:rPr>
                <w:rFonts w:eastAsia="新宋体"/>
                <w:color w:val="000000"/>
                <w:sz w:val="18"/>
                <w:szCs w:val="18"/>
              </w:rPr>
            </w:pPr>
            <w:r>
              <w:rPr>
                <w:rFonts w:eastAsia="新宋体" w:hint="eastAsia"/>
                <w:color w:val="000000"/>
                <w:sz w:val="18"/>
                <w:szCs w:val="18"/>
              </w:rPr>
              <w:t>生态</w:t>
            </w:r>
            <w:r>
              <w:rPr>
                <w:rFonts w:eastAsia="新宋体"/>
                <w:color w:val="000000"/>
                <w:sz w:val="18"/>
                <w:szCs w:val="18"/>
              </w:rPr>
              <w:t>环保局</w:t>
            </w:r>
          </w:p>
        </w:tc>
        <w:tc>
          <w:tcPr>
            <w:tcW w:w="832" w:type="dxa"/>
            <w:vAlign w:val="center"/>
          </w:tcPr>
          <w:p w:rsidR="00C223F5" w:rsidRDefault="005860D5">
            <w:pPr>
              <w:jc w:val="center"/>
              <w:rPr>
                <w:rFonts w:eastAsia="新宋体"/>
                <w:color w:val="000000"/>
                <w:sz w:val="18"/>
                <w:szCs w:val="18"/>
              </w:rPr>
            </w:pPr>
            <w:r>
              <w:rPr>
                <w:rFonts w:eastAsia="新宋体" w:hint="eastAsia"/>
                <w:color w:val="000000"/>
                <w:sz w:val="18"/>
                <w:szCs w:val="18"/>
              </w:rPr>
              <w:t>矿方委托第三方</w:t>
            </w:r>
          </w:p>
        </w:tc>
        <w:tc>
          <w:tcPr>
            <w:tcW w:w="742" w:type="dxa"/>
            <w:vAlign w:val="center"/>
          </w:tcPr>
          <w:p w:rsidR="00C223F5" w:rsidRDefault="00C223F5">
            <w:pPr>
              <w:jc w:val="center"/>
              <w:rPr>
                <w:rFonts w:eastAsia="新宋体"/>
                <w:color w:val="000000"/>
                <w:sz w:val="18"/>
                <w:szCs w:val="18"/>
              </w:rPr>
            </w:pPr>
          </w:p>
        </w:tc>
      </w:tr>
      <w:tr w:rsidR="00C223F5" w:rsidTr="00775564">
        <w:trPr>
          <w:trHeight w:val="223"/>
          <w:jc w:val="center"/>
        </w:trPr>
        <w:tc>
          <w:tcPr>
            <w:tcW w:w="404" w:type="dxa"/>
            <w:vMerge/>
            <w:vAlign w:val="center"/>
          </w:tcPr>
          <w:p w:rsidR="00C223F5" w:rsidRDefault="00C223F5">
            <w:pPr>
              <w:jc w:val="center"/>
              <w:rPr>
                <w:rFonts w:eastAsia="新宋体"/>
                <w:color w:val="000000"/>
                <w:sz w:val="18"/>
                <w:szCs w:val="18"/>
              </w:rPr>
            </w:pPr>
          </w:p>
        </w:tc>
        <w:tc>
          <w:tcPr>
            <w:tcW w:w="803" w:type="dxa"/>
            <w:vAlign w:val="center"/>
          </w:tcPr>
          <w:p w:rsidR="00C223F5" w:rsidRDefault="005860D5">
            <w:pPr>
              <w:jc w:val="center"/>
              <w:rPr>
                <w:rFonts w:eastAsia="新宋体"/>
                <w:color w:val="000000"/>
                <w:sz w:val="18"/>
                <w:szCs w:val="18"/>
              </w:rPr>
            </w:pPr>
            <w:r>
              <w:rPr>
                <w:rFonts w:eastAsia="新宋体"/>
                <w:color w:val="000000"/>
                <w:sz w:val="18"/>
                <w:szCs w:val="18"/>
              </w:rPr>
              <w:t>固体废弃物</w:t>
            </w:r>
          </w:p>
        </w:tc>
        <w:tc>
          <w:tcPr>
            <w:tcW w:w="3015" w:type="dxa"/>
            <w:vAlign w:val="center"/>
          </w:tcPr>
          <w:p w:rsidR="00C223F5" w:rsidRDefault="005860D5">
            <w:pPr>
              <w:rPr>
                <w:rFonts w:eastAsia="新宋体"/>
                <w:color w:val="000000"/>
                <w:sz w:val="18"/>
                <w:szCs w:val="18"/>
              </w:rPr>
            </w:pPr>
            <w:r>
              <w:rPr>
                <w:rFonts w:eastAsia="新宋体"/>
                <w:color w:val="000000"/>
                <w:sz w:val="18"/>
                <w:szCs w:val="18"/>
              </w:rPr>
              <w:t>1</w:t>
            </w:r>
            <w:r>
              <w:rPr>
                <w:rFonts w:eastAsia="新宋体"/>
                <w:color w:val="000000"/>
                <w:sz w:val="18"/>
                <w:szCs w:val="18"/>
              </w:rPr>
              <w:t>．监测项目：固体废弃物排放量及处置方式；</w:t>
            </w:r>
          </w:p>
          <w:p w:rsidR="00C223F5" w:rsidRDefault="005860D5">
            <w:pPr>
              <w:rPr>
                <w:rFonts w:eastAsia="新宋体"/>
                <w:color w:val="000000"/>
                <w:sz w:val="18"/>
                <w:szCs w:val="18"/>
              </w:rPr>
            </w:pPr>
            <w:r>
              <w:rPr>
                <w:rFonts w:eastAsia="新宋体"/>
                <w:color w:val="000000"/>
                <w:sz w:val="18"/>
                <w:szCs w:val="18"/>
              </w:rPr>
              <w:t>2</w:t>
            </w:r>
            <w:r>
              <w:rPr>
                <w:rFonts w:eastAsia="新宋体"/>
                <w:color w:val="000000"/>
                <w:sz w:val="18"/>
                <w:szCs w:val="18"/>
              </w:rPr>
              <w:t>．监测频率：不定期；</w:t>
            </w:r>
          </w:p>
          <w:p w:rsidR="00C223F5" w:rsidRDefault="005860D5">
            <w:pPr>
              <w:rPr>
                <w:rFonts w:eastAsia="新宋体"/>
                <w:color w:val="000000"/>
                <w:sz w:val="18"/>
                <w:szCs w:val="18"/>
              </w:rPr>
            </w:pPr>
            <w:r>
              <w:rPr>
                <w:rFonts w:eastAsia="新宋体"/>
                <w:color w:val="000000"/>
                <w:sz w:val="18"/>
                <w:szCs w:val="18"/>
              </w:rPr>
              <w:t>3</w:t>
            </w:r>
            <w:r>
              <w:rPr>
                <w:rFonts w:eastAsia="新宋体"/>
                <w:color w:val="000000"/>
                <w:sz w:val="18"/>
                <w:szCs w:val="18"/>
              </w:rPr>
              <w:t>．监测点：工业场地</w:t>
            </w:r>
          </w:p>
        </w:tc>
        <w:tc>
          <w:tcPr>
            <w:tcW w:w="2385" w:type="dxa"/>
            <w:vAlign w:val="center"/>
          </w:tcPr>
          <w:p w:rsidR="00C223F5" w:rsidRDefault="005860D5">
            <w:pPr>
              <w:jc w:val="center"/>
              <w:rPr>
                <w:rFonts w:eastAsia="新宋体"/>
                <w:color w:val="000000"/>
                <w:sz w:val="18"/>
                <w:szCs w:val="18"/>
              </w:rPr>
            </w:pPr>
            <w:r>
              <w:rPr>
                <w:rFonts w:eastAsia="新宋体" w:hint="eastAsia"/>
                <w:color w:val="000000"/>
                <w:sz w:val="18"/>
                <w:szCs w:val="18"/>
              </w:rPr>
              <w:t>所有固废妥善处置，无乱堆乱放现象</w:t>
            </w:r>
          </w:p>
        </w:tc>
        <w:tc>
          <w:tcPr>
            <w:tcW w:w="665" w:type="dxa"/>
            <w:vAlign w:val="center"/>
          </w:tcPr>
          <w:p w:rsidR="00C223F5" w:rsidRDefault="005860D5">
            <w:pPr>
              <w:jc w:val="center"/>
              <w:rPr>
                <w:rFonts w:eastAsia="新宋体"/>
                <w:color w:val="000000"/>
                <w:sz w:val="18"/>
                <w:szCs w:val="18"/>
              </w:rPr>
            </w:pPr>
            <w:r>
              <w:rPr>
                <w:rFonts w:eastAsia="新宋体" w:hint="eastAsia"/>
                <w:color w:val="000000"/>
                <w:sz w:val="18"/>
                <w:szCs w:val="18"/>
              </w:rPr>
              <w:t>榆林</w:t>
            </w:r>
            <w:r>
              <w:rPr>
                <w:rFonts w:eastAsia="新宋体"/>
                <w:color w:val="000000"/>
                <w:sz w:val="18"/>
                <w:szCs w:val="18"/>
              </w:rPr>
              <w:t>市</w:t>
            </w:r>
          </w:p>
          <w:p w:rsidR="00C223F5" w:rsidRDefault="005860D5">
            <w:pPr>
              <w:ind w:firstLineChars="50" w:firstLine="90"/>
              <w:jc w:val="center"/>
              <w:rPr>
                <w:rFonts w:eastAsia="新宋体"/>
                <w:color w:val="000000"/>
                <w:sz w:val="18"/>
                <w:szCs w:val="18"/>
              </w:rPr>
            </w:pPr>
            <w:r>
              <w:rPr>
                <w:rFonts w:eastAsia="新宋体" w:hint="eastAsia"/>
                <w:color w:val="000000"/>
                <w:sz w:val="18"/>
                <w:szCs w:val="18"/>
              </w:rPr>
              <w:t>生态</w:t>
            </w:r>
            <w:r>
              <w:rPr>
                <w:rFonts w:eastAsia="新宋体"/>
                <w:color w:val="000000"/>
                <w:sz w:val="18"/>
                <w:szCs w:val="18"/>
              </w:rPr>
              <w:t>环保局</w:t>
            </w:r>
          </w:p>
        </w:tc>
        <w:tc>
          <w:tcPr>
            <w:tcW w:w="832" w:type="dxa"/>
            <w:vAlign w:val="center"/>
          </w:tcPr>
          <w:p w:rsidR="00C223F5" w:rsidRDefault="005860D5">
            <w:pPr>
              <w:jc w:val="center"/>
              <w:rPr>
                <w:rFonts w:eastAsia="新宋体"/>
                <w:color w:val="000000"/>
                <w:sz w:val="18"/>
                <w:szCs w:val="18"/>
              </w:rPr>
            </w:pPr>
            <w:r>
              <w:rPr>
                <w:rFonts w:eastAsia="新宋体" w:hint="eastAsia"/>
                <w:color w:val="000000"/>
                <w:sz w:val="18"/>
                <w:szCs w:val="18"/>
              </w:rPr>
              <w:t>矿方</w:t>
            </w:r>
          </w:p>
        </w:tc>
        <w:tc>
          <w:tcPr>
            <w:tcW w:w="742" w:type="dxa"/>
            <w:vAlign w:val="center"/>
          </w:tcPr>
          <w:p w:rsidR="00C223F5" w:rsidRDefault="00C223F5">
            <w:pPr>
              <w:jc w:val="center"/>
              <w:rPr>
                <w:rFonts w:eastAsia="新宋体"/>
                <w:color w:val="000000"/>
                <w:sz w:val="18"/>
                <w:szCs w:val="18"/>
              </w:rPr>
            </w:pPr>
          </w:p>
        </w:tc>
      </w:tr>
      <w:tr w:rsidR="00C223F5" w:rsidTr="00775564">
        <w:trPr>
          <w:trHeight w:val="343"/>
          <w:jc w:val="center"/>
        </w:trPr>
        <w:tc>
          <w:tcPr>
            <w:tcW w:w="404" w:type="dxa"/>
            <w:vMerge/>
            <w:vAlign w:val="center"/>
          </w:tcPr>
          <w:p w:rsidR="00C223F5" w:rsidRDefault="00C223F5">
            <w:pPr>
              <w:jc w:val="center"/>
              <w:rPr>
                <w:rFonts w:eastAsia="新宋体"/>
                <w:color w:val="000000"/>
                <w:sz w:val="18"/>
                <w:szCs w:val="18"/>
              </w:rPr>
            </w:pPr>
          </w:p>
        </w:tc>
        <w:tc>
          <w:tcPr>
            <w:tcW w:w="803" w:type="dxa"/>
            <w:vAlign w:val="center"/>
          </w:tcPr>
          <w:p w:rsidR="00C223F5" w:rsidRDefault="005860D5">
            <w:pPr>
              <w:jc w:val="center"/>
              <w:rPr>
                <w:rFonts w:eastAsia="新宋体"/>
                <w:color w:val="000000"/>
                <w:sz w:val="18"/>
                <w:szCs w:val="18"/>
              </w:rPr>
            </w:pPr>
            <w:r>
              <w:rPr>
                <w:rFonts w:eastAsia="新宋体"/>
                <w:color w:val="000000"/>
                <w:sz w:val="18"/>
                <w:szCs w:val="18"/>
              </w:rPr>
              <w:t>环保</w:t>
            </w:r>
          </w:p>
          <w:p w:rsidR="00C223F5" w:rsidRDefault="005860D5">
            <w:pPr>
              <w:jc w:val="center"/>
              <w:rPr>
                <w:rFonts w:eastAsia="新宋体"/>
                <w:color w:val="000000"/>
                <w:sz w:val="18"/>
                <w:szCs w:val="18"/>
              </w:rPr>
            </w:pPr>
            <w:r>
              <w:rPr>
                <w:rFonts w:eastAsia="新宋体"/>
                <w:color w:val="000000"/>
                <w:sz w:val="18"/>
                <w:szCs w:val="18"/>
              </w:rPr>
              <w:t>措施</w:t>
            </w:r>
          </w:p>
        </w:tc>
        <w:tc>
          <w:tcPr>
            <w:tcW w:w="3015" w:type="dxa"/>
            <w:vAlign w:val="center"/>
          </w:tcPr>
          <w:p w:rsidR="00C223F5" w:rsidRDefault="005860D5">
            <w:pPr>
              <w:rPr>
                <w:rFonts w:eastAsia="新宋体"/>
                <w:color w:val="000000"/>
                <w:sz w:val="18"/>
                <w:szCs w:val="18"/>
              </w:rPr>
            </w:pPr>
            <w:r>
              <w:rPr>
                <w:rFonts w:eastAsia="新宋体"/>
                <w:color w:val="000000"/>
                <w:sz w:val="18"/>
                <w:szCs w:val="18"/>
              </w:rPr>
              <w:t>1</w:t>
            </w:r>
            <w:r>
              <w:rPr>
                <w:rFonts w:eastAsia="新宋体"/>
                <w:color w:val="000000"/>
                <w:sz w:val="18"/>
                <w:szCs w:val="18"/>
              </w:rPr>
              <w:t>．监测项目：环保设施落实运行情况，绿化系数；</w:t>
            </w:r>
          </w:p>
          <w:p w:rsidR="00C223F5" w:rsidRDefault="005860D5">
            <w:pPr>
              <w:rPr>
                <w:rFonts w:eastAsia="新宋体"/>
                <w:color w:val="000000"/>
                <w:sz w:val="18"/>
                <w:szCs w:val="18"/>
              </w:rPr>
            </w:pPr>
            <w:r>
              <w:rPr>
                <w:rFonts w:eastAsia="新宋体"/>
                <w:color w:val="000000"/>
                <w:sz w:val="18"/>
                <w:szCs w:val="18"/>
              </w:rPr>
              <w:t>2</w:t>
            </w:r>
            <w:r>
              <w:rPr>
                <w:rFonts w:eastAsia="新宋体"/>
                <w:color w:val="000000"/>
                <w:sz w:val="18"/>
                <w:szCs w:val="18"/>
              </w:rPr>
              <w:t>．监测频率：不定期。</w:t>
            </w:r>
          </w:p>
        </w:tc>
        <w:tc>
          <w:tcPr>
            <w:tcW w:w="2385" w:type="dxa"/>
            <w:vAlign w:val="center"/>
          </w:tcPr>
          <w:p w:rsidR="00C223F5" w:rsidRDefault="005860D5">
            <w:pPr>
              <w:jc w:val="center"/>
              <w:rPr>
                <w:rFonts w:eastAsia="新宋体"/>
                <w:color w:val="000000"/>
                <w:sz w:val="18"/>
                <w:szCs w:val="18"/>
              </w:rPr>
            </w:pPr>
            <w:r>
              <w:rPr>
                <w:rFonts w:eastAsia="新宋体" w:hint="eastAsia"/>
                <w:color w:val="000000"/>
                <w:sz w:val="18"/>
                <w:szCs w:val="18"/>
              </w:rPr>
              <w:t>环保设施正常运行、场地绿化完成</w:t>
            </w:r>
          </w:p>
        </w:tc>
        <w:tc>
          <w:tcPr>
            <w:tcW w:w="665" w:type="dxa"/>
            <w:vAlign w:val="center"/>
          </w:tcPr>
          <w:p w:rsidR="00C223F5" w:rsidRDefault="005860D5">
            <w:pPr>
              <w:jc w:val="center"/>
              <w:rPr>
                <w:rFonts w:eastAsia="新宋体"/>
                <w:color w:val="000000"/>
                <w:sz w:val="18"/>
                <w:szCs w:val="18"/>
              </w:rPr>
            </w:pPr>
            <w:r>
              <w:rPr>
                <w:rFonts w:eastAsia="新宋体" w:hint="eastAsia"/>
                <w:color w:val="000000"/>
                <w:sz w:val="18"/>
                <w:szCs w:val="18"/>
              </w:rPr>
              <w:t>榆林</w:t>
            </w:r>
            <w:r>
              <w:rPr>
                <w:rFonts w:eastAsia="新宋体"/>
                <w:color w:val="000000"/>
                <w:sz w:val="18"/>
                <w:szCs w:val="18"/>
              </w:rPr>
              <w:t>市</w:t>
            </w:r>
          </w:p>
          <w:p w:rsidR="00C223F5" w:rsidRDefault="005860D5">
            <w:pPr>
              <w:ind w:firstLineChars="50" w:firstLine="90"/>
              <w:jc w:val="center"/>
              <w:rPr>
                <w:rFonts w:eastAsia="新宋体"/>
                <w:color w:val="000000"/>
                <w:sz w:val="18"/>
                <w:szCs w:val="18"/>
              </w:rPr>
            </w:pPr>
            <w:r>
              <w:rPr>
                <w:rFonts w:eastAsia="新宋体" w:hint="eastAsia"/>
                <w:color w:val="000000"/>
                <w:sz w:val="18"/>
                <w:szCs w:val="18"/>
              </w:rPr>
              <w:t>生态</w:t>
            </w:r>
            <w:r>
              <w:rPr>
                <w:rFonts w:eastAsia="新宋体"/>
                <w:color w:val="000000"/>
                <w:sz w:val="18"/>
                <w:szCs w:val="18"/>
              </w:rPr>
              <w:t>环保局</w:t>
            </w:r>
          </w:p>
        </w:tc>
        <w:tc>
          <w:tcPr>
            <w:tcW w:w="832" w:type="dxa"/>
            <w:vAlign w:val="center"/>
          </w:tcPr>
          <w:p w:rsidR="00C223F5" w:rsidRDefault="005860D5">
            <w:pPr>
              <w:jc w:val="center"/>
              <w:rPr>
                <w:rFonts w:eastAsia="新宋体"/>
                <w:color w:val="000000"/>
                <w:sz w:val="18"/>
                <w:szCs w:val="18"/>
              </w:rPr>
            </w:pPr>
            <w:r>
              <w:rPr>
                <w:rFonts w:eastAsia="新宋体" w:hint="eastAsia"/>
                <w:color w:val="000000"/>
                <w:sz w:val="18"/>
                <w:szCs w:val="18"/>
              </w:rPr>
              <w:t>矿方</w:t>
            </w:r>
          </w:p>
        </w:tc>
        <w:tc>
          <w:tcPr>
            <w:tcW w:w="742" w:type="dxa"/>
            <w:vAlign w:val="center"/>
          </w:tcPr>
          <w:p w:rsidR="00C223F5" w:rsidRDefault="00C223F5">
            <w:pPr>
              <w:jc w:val="center"/>
              <w:rPr>
                <w:rFonts w:eastAsia="新宋体"/>
                <w:color w:val="000000"/>
                <w:sz w:val="18"/>
                <w:szCs w:val="18"/>
              </w:rPr>
            </w:pPr>
          </w:p>
        </w:tc>
      </w:tr>
      <w:tr w:rsidR="00C223F5" w:rsidTr="00775564">
        <w:trPr>
          <w:trHeight w:val="73"/>
          <w:jc w:val="center"/>
        </w:trPr>
        <w:tc>
          <w:tcPr>
            <w:tcW w:w="404" w:type="dxa"/>
            <w:vMerge/>
            <w:vAlign w:val="center"/>
          </w:tcPr>
          <w:p w:rsidR="00C223F5" w:rsidRDefault="00C223F5">
            <w:pPr>
              <w:jc w:val="center"/>
              <w:rPr>
                <w:rFonts w:eastAsia="新宋体"/>
                <w:color w:val="000000"/>
                <w:sz w:val="18"/>
                <w:szCs w:val="18"/>
              </w:rPr>
            </w:pPr>
          </w:p>
        </w:tc>
        <w:tc>
          <w:tcPr>
            <w:tcW w:w="803" w:type="dxa"/>
            <w:vAlign w:val="center"/>
          </w:tcPr>
          <w:p w:rsidR="00C223F5" w:rsidRDefault="005860D5">
            <w:pPr>
              <w:jc w:val="center"/>
              <w:rPr>
                <w:rFonts w:eastAsia="新宋体"/>
                <w:color w:val="000000"/>
                <w:sz w:val="18"/>
                <w:szCs w:val="18"/>
              </w:rPr>
            </w:pPr>
            <w:r>
              <w:rPr>
                <w:rFonts w:eastAsia="新宋体"/>
                <w:color w:val="000000"/>
                <w:sz w:val="18"/>
                <w:szCs w:val="18"/>
              </w:rPr>
              <w:t>地表</w:t>
            </w:r>
          </w:p>
          <w:p w:rsidR="00C223F5" w:rsidRDefault="005860D5">
            <w:pPr>
              <w:jc w:val="center"/>
              <w:rPr>
                <w:rFonts w:eastAsia="新宋体"/>
                <w:color w:val="000000"/>
                <w:sz w:val="18"/>
                <w:szCs w:val="18"/>
              </w:rPr>
            </w:pPr>
            <w:r>
              <w:rPr>
                <w:rFonts w:eastAsia="新宋体"/>
                <w:color w:val="000000"/>
                <w:sz w:val="18"/>
                <w:szCs w:val="18"/>
              </w:rPr>
              <w:t>沉陷</w:t>
            </w:r>
          </w:p>
        </w:tc>
        <w:tc>
          <w:tcPr>
            <w:tcW w:w="3015" w:type="dxa"/>
            <w:vAlign w:val="center"/>
          </w:tcPr>
          <w:p w:rsidR="00C223F5" w:rsidRDefault="005860D5">
            <w:pPr>
              <w:rPr>
                <w:rFonts w:eastAsia="新宋体"/>
                <w:color w:val="000000"/>
                <w:sz w:val="18"/>
                <w:szCs w:val="18"/>
              </w:rPr>
            </w:pPr>
            <w:r>
              <w:rPr>
                <w:rFonts w:eastAsia="新宋体"/>
                <w:color w:val="000000"/>
                <w:sz w:val="18"/>
                <w:szCs w:val="18"/>
              </w:rPr>
              <w:t>1</w:t>
            </w:r>
            <w:r>
              <w:rPr>
                <w:rFonts w:eastAsia="新宋体"/>
                <w:color w:val="000000"/>
                <w:sz w:val="18"/>
                <w:szCs w:val="18"/>
              </w:rPr>
              <w:t>．监测项目：地表下沉、地表倾斜、水平移动；</w:t>
            </w:r>
          </w:p>
          <w:p w:rsidR="00C223F5" w:rsidRDefault="005860D5">
            <w:pPr>
              <w:rPr>
                <w:rFonts w:eastAsia="新宋体"/>
                <w:color w:val="000000"/>
                <w:sz w:val="18"/>
                <w:szCs w:val="18"/>
              </w:rPr>
            </w:pPr>
            <w:r>
              <w:rPr>
                <w:rFonts w:eastAsia="新宋体"/>
                <w:color w:val="000000"/>
                <w:sz w:val="18"/>
                <w:szCs w:val="18"/>
              </w:rPr>
              <w:t>2</w:t>
            </w:r>
            <w:r>
              <w:rPr>
                <w:rFonts w:eastAsia="新宋体"/>
                <w:color w:val="000000"/>
                <w:sz w:val="18"/>
                <w:szCs w:val="18"/>
              </w:rPr>
              <w:t>．监测频率：按地表岩移观测规范要求进行。</w:t>
            </w:r>
          </w:p>
        </w:tc>
        <w:tc>
          <w:tcPr>
            <w:tcW w:w="2385" w:type="dxa"/>
            <w:vAlign w:val="center"/>
          </w:tcPr>
          <w:p w:rsidR="00C223F5" w:rsidRDefault="005860D5">
            <w:pPr>
              <w:jc w:val="center"/>
              <w:rPr>
                <w:rFonts w:eastAsia="新宋体"/>
                <w:color w:val="000000"/>
                <w:sz w:val="18"/>
                <w:szCs w:val="18"/>
              </w:rPr>
            </w:pPr>
            <w:r>
              <w:rPr>
                <w:rFonts w:eastAsia="新宋体" w:hint="eastAsia"/>
                <w:color w:val="000000"/>
                <w:sz w:val="18"/>
                <w:szCs w:val="18"/>
              </w:rPr>
              <w:t>形成阶段性成果</w:t>
            </w:r>
          </w:p>
        </w:tc>
        <w:tc>
          <w:tcPr>
            <w:tcW w:w="665" w:type="dxa"/>
            <w:vAlign w:val="center"/>
          </w:tcPr>
          <w:p w:rsidR="00C223F5" w:rsidRDefault="005860D5">
            <w:pPr>
              <w:jc w:val="center"/>
              <w:rPr>
                <w:rFonts w:eastAsia="新宋体"/>
                <w:color w:val="000000"/>
                <w:sz w:val="18"/>
                <w:szCs w:val="18"/>
              </w:rPr>
            </w:pPr>
            <w:r>
              <w:rPr>
                <w:rFonts w:eastAsia="新宋体" w:hint="eastAsia"/>
                <w:color w:val="000000"/>
                <w:sz w:val="18"/>
                <w:szCs w:val="18"/>
              </w:rPr>
              <w:t>/</w:t>
            </w:r>
          </w:p>
        </w:tc>
        <w:tc>
          <w:tcPr>
            <w:tcW w:w="832" w:type="dxa"/>
            <w:vAlign w:val="center"/>
          </w:tcPr>
          <w:p w:rsidR="00C223F5" w:rsidRDefault="005860D5">
            <w:pPr>
              <w:jc w:val="center"/>
              <w:rPr>
                <w:rFonts w:eastAsia="新宋体"/>
                <w:color w:val="000000"/>
                <w:sz w:val="18"/>
                <w:szCs w:val="18"/>
              </w:rPr>
            </w:pPr>
            <w:r>
              <w:rPr>
                <w:rFonts w:eastAsia="新宋体" w:hint="eastAsia"/>
                <w:color w:val="000000"/>
                <w:sz w:val="18"/>
                <w:szCs w:val="18"/>
              </w:rPr>
              <w:t>矿方或矿方委托第三方实施</w:t>
            </w:r>
          </w:p>
        </w:tc>
        <w:tc>
          <w:tcPr>
            <w:tcW w:w="742" w:type="dxa"/>
            <w:vAlign w:val="center"/>
          </w:tcPr>
          <w:p w:rsidR="00C223F5" w:rsidRDefault="00C223F5">
            <w:pPr>
              <w:jc w:val="center"/>
              <w:rPr>
                <w:rFonts w:eastAsia="新宋体"/>
                <w:color w:val="000000"/>
                <w:sz w:val="18"/>
                <w:szCs w:val="18"/>
              </w:rPr>
            </w:pPr>
          </w:p>
        </w:tc>
      </w:tr>
      <w:tr w:rsidR="00C223F5" w:rsidTr="00775564">
        <w:trPr>
          <w:trHeight w:val="73"/>
          <w:jc w:val="center"/>
        </w:trPr>
        <w:tc>
          <w:tcPr>
            <w:tcW w:w="404" w:type="dxa"/>
            <w:vMerge w:val="restart"/>
            <w:vAlign w:val="center"/>
          </w:tcPr>
          <w:p w:rsidR="00C223F5" w:rsidRDefault="005860D5">
            <w:pPr>
              <w:jc w:val="center"/>
              <w:rPr>
                <w:rFonts w:eastAsia="新宋体"/>
                <w:color w:val="000000"/>
                <w:sz w:val="18"/>
                <w:szCs w:val="18"/>
              </w:rPr>
            </w:pPr>
            <w:r>
              <w:rPr>
                <w:rFonts w:eastAsia="新宋体"/>
                <w:color w:val="000000"/>
                <w:sz w:val="18"/>
                <w:szCs w:val="18"/>
              </w:rPr>
              <w:t>环境质量监测</w:t>
            </w:r>
          </w:p>
        </w:tc>
        <w:tc>
          <w:tcPr>
            <w:tcW w:w="803" w:type="dxa"/>
            <w:vAlign w:val="center"/>
          </w:tcPr>
          <w:p w:rsidR="00C223F5" w:rsidRDefault="005860D5">
            <w:pPr>
              <w:pStyle w:val="affb"/>
              <w:pBdr>
                <w:bottom w:val="none" w:sz="0" w:space="0" w:color="auto"/>
              </w:pBdr>
              <w:tabs>
                <w:tab w:val="clear" w:pos="4153"/>
                <w:tab w:val="clear" w:pos="8306"/>
              </w:tabs>
              <w:snapToGrid/>
              <w:rPr>
                <w:rFonts w:eastAsia="新宋体"/>
                <w:color w:val="000000"/>
              </w:rPr>
            </w:pPr>
            <w:r>
              <w:rPr>
                <w:rFonts w:eastAsia="新宋体" w:hint="eastAsia"/>
                <w:color w:val="000000"/>
              </w:rPr>
              <w:t>地下水</w:t>
            </w:r>
          </w:p>
        </w:tc>
        <w:tc>
          <w:tcPr>
            <w:tcW w:w="3015" w:type="dxa"/>
            <w:vAlign w:val="center"/>
          </w:tcPr>
          <w:p w:rsidR="00C223F5" w:rsidRDefault="005860D5">
            <w:pPr>
              <w:rPr>
                <w:rFonts w:eastAsia="新宋体"/>
                <w:color w:val="000000"/>
                <w:sz w:val="18"/>
                <w:szCs w:val="18"/>
              </w:rPr>
            </w:pPr>
            <w:r>
              <w:rPr>
                <w:rFonts w:eastAsia="新宋体"/>
                <w:color w:val="000000"/>
                <w:sz w:val="18"/>
                <w:szCs w:val="18"/>
              </w:rPr>
              <w:t>1</w:t>
            </w:r>
            <w:r>
              <w:rPr>
                <w:rFonts w:eastAsia="新宋体"/>
                <w:color w:val="000000"/>
                <w:sz w:val="18"/>
                <w:szCs w:val="18"/>
              </w:rPr>
              <w:t>．监测项目：</w:t>
            </w:r>
            <w:r>
              <w:rPr>
                <w:rFonts w:eastAsia="新宋体" w:hint="eastAsia"/>
                <w:color w:val="000000"/>
                <w:sz w:val="18"/>
                <w:szCs w:val="18"/>
              </w:rPr>
              <w:t>水</w:t>
            </w:r>
            <w:r>
              <w:rPr>
                <w:rFonts w:eastAsia="新宋体"/>
                <w:color w:val="000000"/>
                <w:sz w:val="18"/>
                <w:szCs w:val="18"/>
              </w:rPr>
              <w:t>井水位、水质等；</w:t>
            </w:r>
          </w:p>
          <w:p w:rsidR="00C223F5" w:rsidRDefault="005860D5">
            <w:pPr>
              <w:rPr>
                <w:rFonts w:eastAsia="新宋体"/>
                <w:color w:val="000000"/>
                <w:sz w:val="18"/>
                <w:szCs w:val="18"/>
              </w:rPr>
            </w:pPr>
            <w:r>
              <w:rPr>
                <w:rFonts w:eastAsia="新宋体"/>
                <w:color w:val="000000"/>
                <w:sz w:val="18"/>
                <w:szCs w:val="18"/>
              </w:rPr>
              <w:t>2</w:t>
            </w:r>
            <w:r>
              <w:rPr>
                <w:rFonts w:eastAsia="新宋体"/>
                <w:color w:val="000000"/>
                <w:sz w:val="18"/>
                <w:szCs w:val="18"/>
              </w:rPr>
              <w:t>．监测频率：水质</w:t>
            </w:r>
            <w:r>
              <w:rPr>
                <w:rFonts w:eastAsia="新宋体" w:hint="eastAsia"/>
                <w:color w:val="000000"/>
                <w:sz w:val="18"/>
                <w:szCs w:val="18"/>
              </w:rPr>
              <w:t>每季度</w:t>
            </w:r>
            <w:r>
              <w:rPr>
                <w:rFonts w:eastAsia="新宋体"/>
                <w:color w:val="000000"/>
                <w:sz w:val="18"/>
                <w:szCs w:val="18"/>
              </w:rPr>
              <w:t>监测，水位</w:t>
            </w:r>
            <w:r>
              <w:rPr>
                <w:rFonts w:eastAsia="新宋体" w:hint="eastAsia"/>
                <w:color w:val="000000"/>
                <w:sz w:val="18"/>
                <w:szCs w:val="18"/>
              </w:rPr>
              <w:t>1</w:t>
            </w:r>
            <w:r>
              <w:rPr>
                <w:rFonts w:eastAsia="新宋体" w:hint="eastAsia"/>
                <w:color w:val="000000"/>
                <w:sz w:val="18"/>
                <w:szCs w:val="18"/>
              </w:rPr>
              <w:t>次</w:t>
            </w:r>
            <w:r>
              <w:rPr>
                <w:rFonts w:eastAsia="新宋体" w:hint="eastAsia"/>
                <w:color w:val="000000"/>
                <w:sz w:val="18"/>
                <w:szCs w:val="18"/>
              </w:rPr>
              <w:t>/</w:t>
            </w:r>
            <w:r>
              <w:rPr>
                <w:rFonts w:eastAsia="新宋体" w:hint="eastAsia"/>
                <w:color w:val="000000"/>
                <w:sz w:val="18"/>
                <w:szCs w:val="18"/>
              </w:rPr>
              <w:t>月监测</w:t>
            </w:r>
            <w:r>
              <w:rPr>
                <w:rFonts w:eastAsia="新宋体"/>
                <w:color w:val="000000"/>
                <w:sz w:val="18"/>
                <w:szCs w:val="18"/>
              </w:rPr>
              <w:t>；</w:t>
            </w:r>
          </w:p>
          <w:p w:rsidR="00C223F5" w:rsidRDefault="005860D5">
            <w:pPr>
              <w:rPr>
                <w:rFonts w:eastAsia="新宋体"/>
                <w:color w:val="000000"/>
                <w:sz w:val="18"/>
                <w:szCs w:val="18"/>
              </w:rPr>
            </w:pPr>
            <w:r>
              <w:rPr>
                <w:rFonts w:eastAsia="新宋体"/>
                <w:color w:val="000000"/>
                <w:sz w:val="18"/>
                <w:szCs w:val="18"/>
              </w:rPr>
              <w:t>3</w:t>
            </w:r>
            <w:r>
              <w:rPr>
                <w:rFonts w:eastAsia="新宋体"/>
                <w:color w:val="000000"/>
                <w:sz w:val="18"/>
                <w:szCs w:val="18"/>
              </w:rPr>
              <w:t>．监测点：</w:t>
            </w:r>
            <w:r>
              <w:rPr>
                <w:rFonts w:eastAsia="新宋体" w:hint="eastAsia"/>
                <w:color w:val="000000"/>
                <w:sz w:val="18"/>
                <w:szCs w:val="18"/>
              </w:rPr>
              <w:t>工业场地水质监测井、采区水井</w:t>
            </w:r>
          </w:p>
        </w:tc>
        <w:tc>
          <w:tcPr>
            <w:tcW w:w="2385" w:type="dxa"/>
            <w:vAlign w:val="center"/>
          </w:tcPr>
          <w:p w:rsidR="00C223F5" w:rsidRDefault="005860D5">
            <w:pPr>
              <w:jc w:val="center"/>
              <w:rPr>
                <w:rFonts w:eastAsia="新宋体"/>
                <w:color w:val="000000"/>
                <w:sz w:val="18"/>
                <w:szCs w:val="18"/>
              </w:rPr>
            </w:pPr>
            <w:r>
              <w:rPr>
                <w:rFonts w:hint="eastAsia"/>
                <w:color w:val="000000"/>
                <w:sz w:val="18"/>
                <w:szCs w:val="18"/>
              </w:rPr>
              <w:t>《地下水质量标准》Ⅲ类标准</w:t>
            </w:r>
          </w:p>
        </w:tc>
        <w:tc>
          <w:tcPr>
            <w:tcW w:w="665" w:type="dxa"/>
            <w:vAlign w:val="center"/>
          </w:tcPr>
          <w:p w:rsidR="00C223F5" w:rsidRDefault="005860D5">
            <w:pPr>
              <w:jc w:val="center"/>
              <w:rPr>
                <w:rFonts w:eastAsia="新宋体"/>
                <w:color w:val="000000"/>
                <w:sz w:val="18"/>
                <w:szCs w:val="18"/>
              </w:rPr>
            </w:pPr>
            <w:r>
              <w:rPr>
                <w:rFonts w:eastAsia="新宋体" w:hint="eastAsia"/>
                <w:color w:val="000000"/>
                <w:sz w:val="18"/>
                <w:szCs w:val="18"/>
              </w:rPr>
              <w:t>榆林</w:t>
            </w:r>
            <w:r>
              <w:rPr>
                <w:rFonts w:eastAsia="新宋体"/>
                <w:color w:val="000000"/>
                <w:sz w:val="18"/>
                <w:szCs w:val="18"/>
              </w:rPr>
              <w:t>市</w:t>
            </w:r>
          </w:p>
          <w:p w:rsidR="00C223F5" w:rsidRDefault="005860D5">
            <w:pPr>
              <w:ind w:firstLineChars="50" w:firstLine="90"/>
              <w:jc w:val="center"/>
              <w:rPr>
                <w:rFonts w:eastAsia="新宋体"/>
                <w:color w:val="000000"/>
                <w:sz w:val="18"/>
                <w:szCs w:val="18"/>
              </w:rPr>
            </w:pPr>
            <w:r>
              <w:rPr>
                <w:rFonts w:eastAsia="新宋体" w:hint="eastAsia"/>
                <w:color w:val="000000"/>
                <w:sz w:val="18"/>
                <w:szCs w:val="18"/>
              </w:rPr>
              <w:t>生态</w:t>
            </w:r>
            <w:r>
              <w:rPr>
                <w:rFonts w:eastAsia="新宋体"/>
                <w:color w:val="000000"/>
                <w:sz w:val="18"/>
                <w:szCs w:val="18"/>
              </w:rPr>
              <w:t>环保局</w:t>
            </w:r>
          </w:p>
        </w:tc>
        <w:tc>
          <w:tcPr>
            <w:tcW w:w="832" w:type="dxa"/>
            <w:vAlign w:val="center"/>
          </w:tcPr>
          <w:p w:rsidR="00C223F5" w:rsidRDefault="005860D5">
            <w:pPr>
              <w:jc w:val="center"/>
              <w:rPr>
                <w:rFonts w:eastAsia="新宋体"/>
                <w:color w:val="000000"/>
                <w:sz w:val="18"/>
                <w:szCs w:val="18"/>
              </w:rPr>
            </w:pPr>
            <w:r>
              <w:rPr>
                <w:rFonts w:eastAsia="新宋体" w:hint="eastAsia"/>
                <w:color w:val="000000"/>
                <w:sz w:val="18"/>
                <w:szCs w:val="18"/>
              </w:rPr>
              <w:t>水位自行观测；水质委托第三方监测</w:t>
            </w:r>
          </w:p>
        </w:tc>
        <w:tc>
          <w:tcPr>
            <w:tcW w:w="742" w:type="dxa"/>
            <w:vAlign w:val="center"/>
          </w:tcPr>
          <w:p w:rsidR="00C223F5" w:rsidRDefault="005860D5">
            <w:pPr>
              <w:pStyle w:val="affb"/>
              <w:pBdr>
                <w:bottom w:val="none" w:sz="0" w:space="0" w:color="auto"/>
              </w:pBdr>
              <w:tabs>
                <w:tab w:val="clear" w:pos="4153"/>
                <w:tab w:val="clear" w:pos="8306"/>
              </w:tabs>
              <w:snapToGrid/>
              <w:rPr>
                <w:rFonts w:eastAsia="新宋体"/>
                <w:color w:val="000000"/>
              </w:rPr>
            </w:pPr>
            <w:r>
              <w:rPr>
                <w:color w:val="000000"/>
              </w:rPr>
              <w:t>建立档案，定期公布</w:t>
            </w:r>
          </w:p>
        </w:tc>
      </w:tr>
      <w:tr w:rsidR="00C223F5" w:rsidTr="00775564">
        <w:trPr>
          <w:trHeight w:val="73"/>
          <w:jc w:val="center"/>
        </w:trPr>
        <w:tc>
          <w:tcPr>
            <w:tcW w:w="404" w:type="dxa"/>
            <w:vMerge/>
            <w:vAlign w:val="center"/>
          </w:tcPr>
          <w:p w:rsidR="00C223F5" w:rsidRDefault="00C223F5">
            <w:pPr>
              <w:jc w:val="center"/>
              <w:rPr>
                <w:rFonts w:eastAsia="新宋体"/>
                <w:color w:val="000000"/>
                <w:sz w:val="18"/>
                <w:szCs w:val="18"/>
              </w:rPr>
            </w:pPr>
          </w:p>
        </w:tc>
        <w:tc>
          <w:tcPr>
            <w:tcW w:w="803" w:type="dxa"/>
            <w:vAlign w:val="center"/>
          </w:tcPr>
          <w:p w:rsidR="00C223F5" w:rsidRDefault="005860D5">
            <w:pPr>
              <w:jc w:val="center"/>
              <w:rPr>
                <w:color w:val="000000"/>
                <w:sz w:val="18"/>
                <w:szCs w:val="18"/>
              </w:rPr>
            </w:pPr>
            <w:r>
              <w:rPr>
                <w:rFonts w:hint="eastAsia"/>
                <w:color w:val="000000"/>
                <w:sz w:val="18"/>
                <w:szCs w:val="18"/>
              </w:rPr>
              <w:t>地表水</w:t>
            </w:r>
          </w:p>
        </w:tc>
        <w:tc>
          <w:tcPr>
            <w:tcW w:w="3015" w:type="dxa"/>
            <w:vAlign w:val="center"/>
          </w:tcPr>
          <w:p w:rsidR="00C223F5" w:rsidRDefault="005860D5">
            <w:pPr>
              <w:rPr>
                <w:color w:val="000000"/>
                <w:sz w:val="18"/>
                <w:szCs w:val="18"/>
              </w:rPr>
            </w:pPr>
            <w:r>
              <w:rPr>
                <w:rFonts w:hint="eastAsia"/>
                <w:color w:val="000000"/>
                <w:sz w:val="18"/>
                <w:szCs w:val="18"/>
              </w:rPr>
              <w:t>1.</w:t>
            </w:r>
            <w:r>
              <w:rPr>
                <w:rFonts w:hint="eastAsia"/>
                <w:color w:val="000000"/>
                <w:sz w:val="18"/>
                <w:szCs w:val="18"/>
              </w:rPr>
              <w:t>监测项目：</w:t>
            </w:r>
            <w:r>
              <w:rPr>
                <w:rFonts w:hint="eastAsia"/>
                <w:color w:val="000000"/>
                <w:sz w:val="18"/>
                <w:szCs w:val="18"/>
              </w:rPr>
              <w:t>pH</w:t>
            </w:r>
            <w:r>
              <w:rPr>
                <w:rFonts w:hint="eastAsia"/>
                <w:color w:val="000000"/>
                <w:sz w:val="18"/>
                <w:szCs w:val="18"/>
              </w:rPr>
              <w:t>、总悬浮物、化学需氧量、石油类、总铁、总锰、总汞、总镉、总铬、六价铬、总铅、总砷、氟化物、五日生化需氧量、溶解氧、氨氮、硫化物、挥发酚及水温；</w:t>
            </w:r>
          </w:p>
          <w:p w:rsidR="00C223F5" w:rsidRDefault="005860D5">
            <w:pPr>
              <w:rPr>
                <w:color w:val="000000"/>
                <w:sz w:val="18"/>
                <w:szCs w:val="18"/>
              </w:rPr>
            </w:pPr>
            <w:r>
              <w:rPr>
                <w:rFonts w:hint="eastAsia"/>
                <w:color w:val="000000"/>
                <w:sz w:val="18"/>
                <w:szCs w:val="18"/>
              </w:rPr>
              <w:t>2.</w:t>
            </w:r>
            <w:r>
              <w:rPr>
                <w:rFonts w:hint="eastAsia"/>
                <w:color w:val="000000"/>
                <w:sz w:val="18"/>
                <w:szCs w:val="18"/>
              </w:rPr>
              <w:t>监测频率：</w:t>
            </w:r>
            <w:r>
              <w:rPr>
                <w:bCs/>
                <w:color w:val="000000"/>
                <w:sz w:val="18"/>
                <w:szCs w:val="18"/>
              </w:rPr>
              <w:t>1</w:t>
            </w:r>
            <w:r>
              <w:rPr>
                <w:bCs/>
                <w:color w:val="000000"/>
                <w:sz w:val="18"/>
                <w:szCs w:val="18"/>
              </w:rPr>
              <w:t>次</w:t>
            </w:r>
            <w:r>
              <w:rPr>
                <w:bCs/>
                <w:color w:val="000000"/>
                <w:sz w:val="18"/>
                <w:szCs w:val="18"/>
              </w:rPr>
              <w:t>/</w:t>
            </w:r>
            <w:r>
              <w:rPr>
                <w:rFonts w:hint="eastAsia"/>
                <w:bCs/>
                <w:color w:val="000000"/>
                <w:sz w:val="18"/>
                <w:szCs w:val="18"/>
              </w:rPr>
              <w:t>1</w:t>
            </w:r>
            <w:r>
              <w:rPr>
                <w:bCs/>
                <w:color w:val="000000"/>
                <w:sz w:val="18"/>
                <w:szCs w:val="18"/>
              </w:rPr>
              <w:t>年</w:t>
            </w:r>
            <w:r>
              <w:rPr>
                <w:rFonts w:hint="eastAsia"/>
                <w:color w:val="000000"/>
                <w:sz w:val="18"/>
                <w:szCs w:val="18"/>
              </w:rPr>
              <w:t>；</w:t>
            </w:r>
          </w:p>
          <w:p w:rsidR="00C223F5" w:rsidRDefault="005860D5">
            <w:pPr>
              <w:rPr>
                <w:color w:val="000000"/>
                <w:sz w:val="18"/>
                <w:szCs w:val="18"/>
              </w:rPr>
            </w:pPr>
            <w:r>
              <w:rPr>
                <w:rFonts w:hint="eastAsia"/>
                <w:color w:val="000000"/>
                <w:sz w:val="18"/>
                <w:szCs w:val="18"/>
              </w:rPr>
              <w:t>3.</w:t>
            </w:r>
            <w:r>
              <w:rPr>
                <w:rFonts w:hint="eastAsia"/>
                <w:color w:val="000000"/>
                <w:sz w:val="18"/>
                <w:szCs w:val="18"/>
              </w:rPr>
              <w:t>监测点：排污口下游</w:t>
            </w:r>
            <w:r>
              <w:rPr>
                <w:rFonts w:hint="eastAsia"/>
                <w:color w:val="000000"/>
                <w:sz w:val="18"/>
                <w:szCs w:val="18"/>
              </w:rPr>
              <w:t>1500m</w:t>
            </w:r>
            <w:r>
              <w:rPr>
                <w:rFonts w:hint="eastAsia"/>
                <w:color w:val="000000"/>
                <w:sz w:val="18"/>
                <w:szCs w:val="18"/>
              </w:rPr>
              <w:t>处；</w:t>
            </w:r>
          </w:p>
        </w:tc>
        <w:tc>
          <w:tcPr>
            <w:tcW w:w="2385" w:type="dxa"/>
            <w:vAlign w:val="center"/>
          </w:tcPr>
          <w:p w:rsidR="00C223F5" w:rsidRDefault="005860D5">
            <w:pPr>
              <w:jc w:val="center"/>
              <w:rPr>
                <w:rFonts w:eastAsia="新宋体"/>
                <w:color w:val="000000"/>
                <w:sz w:val="18"/>
                <w:szCs w:val="18"/>
              </w:rPr>
            </w:pPr>
            <w:r>
              <w:rPr>
                <w:rFonts w:hint="eastAsia"/>
                <w:color w:val="000000"/>
                <w:sz w:val="18"/>
                <w:szCs w:val="18"/>
              </w:rPr>
              <w:t>《地表水环境质量标准》Ⅲ类标准</w:t>
            </w:r>
          </w:p>
        </w:tc>
        <w:tc>
          <w:tcPr>
            <w:tcW w:w="665" w:type="dxa"/>
            <w:vAlign w:val="center"/>
          </w:tcPr>
          <w:p w:rsidR="00C223F5" w:rsidRDefault="005860D5">
            <w:pPr>
              <w:jc w:val="center"/>
              <w:rPr>
                <w:rFonts w:eastAsia="新宋体"/>
                <w:color w:val="000000"/>
                <w:sz w:val="18"/>
                <w:szCs w:val="18"/>
              </w:rPr>
            </w:pPr>
            <w:r>
              <w:rPr>
                <w:rFonts w:eastAsia="新宋体" w:hint="eastAsia"/>
                <w:color w:val="000000"/>
                <w:sz w:val="18"/>
                <w:szCs w:val="18"/>
              </w:rPr>
              <w:t>榆林</w:t>
            </w:r>
            <w:r>
              <w:rPr>
                <w:rFonts w:eastAsia="新宋体"/>
                <w:color w:val="000000"/>
                <w:sz w:val="18"/>
                <w:szCs w:val="18"/>
              </w:rPr>
              <w:t>市</w:t>
            </w:r>
          </w:p>
          <w:p w:rsidR="00C223F5" w:rsidRDefault="005860D5">
            <w:pPr>
              <w:ind w:firstLineChars="50" w:firstLine="90"/>
              <w:jc w:val="center"/>
              <w:rPr>
                <w:rFonts w:eastAsia="新宋体"/>
                <w:color w:val="000000"/>
                <w:sz w:val="18"/>
                <w:szCs w:val="18"/>
              </w:rPr>
            </w:pPr>
            <w:r>
              <w:rPr>
                <w:rFonts w:eastAsia="新宋体" w:hint="eastAsia"/>
                <w:color w:val="000000"/>
                <w:sz w:val="18"/>
                <w:szCs w:val="18"/>
              </w:rPr>
              <w:t>生态</w:t>
            </w:r>
            <w:r>
              <w:rPr>
                <w:rFonts w:eastAsia="新宋体"/>
                <w:color w:val="000000"/>
                <w:sz w:val="18"/>
                <w:szCs w:val="18"/>
              </w:rPr>
              <w:t>环保局</w:t>
            </w:r>
          </w:p>
        </w:tc>
        <w:tc>
          <w:tcPr>
            <w:tcW w:w="832" w:type="dxa"/>
            <w:vAlign w:val="center"/>
          </w:tcPr>
          <w:p w:rsidR="00C223F5" w:rsidRDefault="005860D5">
            <w:pPr>
              <w:jc w:val="center"/>
              <w:rPr>
                <w:rFonts w:eastAsia="新宋体"/>
                <w:color w:val="000000"/>
                <w:sz w:val="18"/>
                <w:szCs w:val="18"/>
              </w:rPr>
            </w:pPr>
            <w:r>
              <w:rPr>
                <w:rFonts w:eastAsia="新宋体" w:hint="eastAsia"/>
                <w:color w:val="000000"/>
                <w:sz w:val="18"/>
                <w:szCs w:val="18"/>
              </w:rPr>
              <w:t>矿方委托第三方</w:t>
            </w:r>
          </w:p>
        </w:tc>
        <w:tc>
          <w:tcPr>
            <w:tcW w:w="742" w:type="dxa"/>
            <w:vAlign w:val="center"/>
          </w:tcPr>
          <w:p w:rsidR="00C223F5" w:rsidRDefault="00C223F5">
            <w:pPr>
              <w:pStyle w:val="affb"/>
              <w:pBdr>
                <w:bottom w:val="none" w:sz="0" w:space="0" w:color="auto"/>
              </w:pBdr>
              <w:tabs>
                <w:tab w:val="clear" w:pos="4153"/>
                <w:tab w:val="clear" w:pos="8306"/>
              </w:tabs>
              <w:snapToGrid/>
              <w:rPr>
                <w:rFonts w:eastAsia="新宋体"/>
                <w:color w:val="000000"/>
              </w:rPr>
            </w:pPr>
          </w:p>
        </w:tc>
      </w:tr>
      <w:tr w:rsidR="00775564" w:rsidTr="00775564">
        <w:trPr>
          <w:trHeight w:val="73"/>
          <w:jc w:val="center"/>
        </w:trPr>
        <w:tc>
          <w:tcPr>
            <w:tcW w:w="404" w:type="dxa"/>
            <w:vMerge/>
            <w:vAlign w:val="center"/>
          </w:tcPr>
          <w:p w:rsidR="00775564" w:rsidRDefault="00775564">
            <w:pPr>
              <w:jc w:val="center"/>
              <w:rPr>
                <w:rFonts w:eastAsia="新宋体"/>
                <w:color w:val="000000"/>
                <w:sz w:val="18"/>
                <w:szCs w:val="18"/>
              </w:rPr>
            </w:pPr>
          </w:p>
        </w:tc>
        <w:tc>
          <w:tcPr>
            <w:tcW w:w="803" w:type="dxa"/>
            <w:vAlign w:val="center"/>
          </w:tcPr>
          <w:p w:rsidR="00775564" w:rsidRPr="00775564" w:rsidRDefault="00775564">
            <w:pPr>
              <w:jc w:val="center"/>
              <w:rPr>
                <w:color w:val="FF0000"/>
                <w:sz w:val="18"/>
                <w:szCs w:val="18"/>
              </w:rPr>
            </w:pPr>
            <w:r w:rsidRPr="00775564">
              <w:rPr>
                <w:rFonts w:hint="eastAsia"/>
                <w:color w:val="FF0000"/>
                <w:sz w:val="18"/>
                <w:szCs w:val="18"/>
              </w:rPr>
              <w:t>声环境</w:t>
            </w:r>
          </w:p>
        </w:tc>
        <w:tc>
          <w:tcPr>
            <w:tcW w:w="3015" w:type="dxa"/>
            <w:vAlign w:val="center"/>
          </w:tcPr>
          <w:p w:rsidR="00775564" w:rsidRPr="00775564" w:rsidRDefault="00775564" w:rsidP="00CC667D">
            <w:pPr>
              <w:rPr>
                <w:rFonts w:eastAsia="新宋体"/>
                <w:color w:val="FF0000"/>
                <w:sz w:val="18"/>
                <w:szCs w:val="18"/>
              </w:rPr>
            </w:pPr>
            <w:r w:rsidRPr="00775564">
              <w:rPr>
                <w:rFonts w:eastAsia="新宋体"/>
                <w:color w:val="FF0000"/>
                <w:sz w:val="18"/>
                <w:szCs w:val="18"/>
              </w:rPr>
              <w:t>1</w:t>
            </w:r>
            <w:r w:rsidRPr="00775564">
              <w:rPr>
                <w:rFonts w:eastAsia="新宋体"/>
                <w:color w:val="FF0000"/>
                <w:sz w:val="18"/>
                <w:szCs w:val="18"/>
              </w:rPr>
              <w:t>．监测项目：</w:t>
            </w:r>
            <w:r w:rsidRPr="00775564">
              <w:rPr>
                <w:rFonts w:eastAsia="新宋体" w:hint="eastAsia"/>
                <w:color w:val="FF0000"/>
                <w:sz w:val="18"/>
                <w:szCs w:val="18"/>
              </w:rPr>
              <w:t>昼间、夜间</w:t>
            </w:r>
            <w:r>
              <w:rPr>
                <w:rFonts w:eastAsia="新宋体" w:hint="eastAsia"/>
                <w:color w:val="FF0000"/>
                <w:sz w:val="18"/>
                <w:szCs w:val="18"/>
              </w:rPr>
              <w:t>敏感点</w:t>
            </w:r>
            <w:r w:rsidRPr="00775564">
              <w:rPr>
                <w:rFonts w:eastAsia="新宋体"/>
                <w:color w:val="FF0000"/>
                <w:sz w:val="18"/>
                <w:szCs w:val="18"/>
              </w:rPr>
              <w:t>噪声；</w:t>
            </w:r>
          </w:p>
          <w:p w:rsidR="00775564" w:rsidRPr="00775564" w:rsidRDefault="00775564" w:rsidP="00CC667D">
            <w:pPr>
              <w:rPr>
                <w:rFonts w:eastAsia="新宋体"/>
                <w:color w:val="FF0000"/>
                <w:sz w:val="18"/>
                <w:szCs w:val="18"/>
              </w:rPr>
            </w:pPr>
            <w:r w:rsidRPr="00775564">
              <w:rPr>
                <w:rFonts w:eastAsia="新宋体"/>
                <w:color w:val="FF0000"/>
                <w:sz w:val="18"/>
                <w:szCs w:val="18"/>
              </w:rPr>
              <w:t>2</w:t>
            </w:r>
            <w:r w:rsidRPr="00775564">
              <w:rPr>
                <w:rFonts w:eastAsia="新宋体"/>
                <w:color w:val="FF0000"/>
                <w:sz w:val="18"/>
                <w:szCs w:val="18"/>
              </w:rPr>
              <w:t>．监测频率：</w:t>
            </w:r>
            <w:r w:rsidRPr="00775564">
              <w:rPr>
                <w:rFonts w:eastAsia="新宋体" w:hint="eastAsia"/>
                <w:color w:val="FF0000"/>
                <w:sz w:val="18"/>
                <w:szCs w:val="18"/>
              </w:rPr>
              <w:t>1</w:t>
            </w:r>
            <w:r w:rsidRPr="00775564">
              <w:rPr>
                <w:rFonts w:eastAsia="新宋体" w:hint="eastAsia"/>
                <w:color w:val="FF0000"/>
                <w:sz w:val="18"/>
                <w:szCs w:val="18"/>
              </w:rPr>
              <w:t>次</w:t>
            </w:r>
            <w:r w:rsidRPr="00775564">
              <w:rPr>
                <w:rFonts w:eastAsia="新宋体" w:hint="eastAsia"/>
                <w:color w:val="FF0000"/>
                <w:sz w:val="18"/>
                <w:szCs w:val="18"/>
              </w:rPr>
              <w:t>/</w:t>
            </w:r>
            <w:r w:rsidRPr="00775564">
              <w:rPr>
                <w:rFonts w:eastAsia="新宋体" w:hint="eastAsia"/>
                <w:color w:val="FF0000"/>
                <w:sz w:val="18"/>
                <w:szCs w:val="18"/>
              </w:rPr>
              <w:t>季度</w:t>
            </w:r>
            <w:r w:rsidRPr="00775564">
              <w:rPr>
                <w:rFonts w:eastAsia="新宋体"/>
                <w:color w:val="FF0000"/>
                <w:sz w:val="18"/>
                <w:szCs w:val="18"/>
              </w:rPr>
              <w:t>；</w:t>
            </w:r>
          </w:p>
          <w:p w:rsidR="00775564" w:rsidRPr="00775564" w:rsidRDefault="00775564" w:rsidP="00775564">
            <w:pPr>
              <w:rPr>
                <w:rFonts w:eastAsia="新宋体"/>
                <w:color w:val="FF0000"/>
                <w:sz w:val="18"/>
                <w:szCs w:val="18"/>
              </w:rPr>
            </w:pPr>
            <w:r w:rsidRPr="00775564">
              <w:rPr>
                <w:rFonts w:eastAsia="新宋体"/>
                <w:color w:val="FF0000"/>
                <w:sz w:val="18"/>
                <w:szCs w:val="18"/>
              </w:rPr>
              <w:t>3</w:t>
            </w:r>
            <w:r w:rsidRPr="00775564">
              <w:rPr>
                <w:rFonts w:eastAsia="新宋体"/>
                <w:color w:val="FF0000"/>
                <w:sz w:val="18"/>
                <w:szCs w:val="18"/>
              </w:rPr>
              <w:t>．监测点：</w:t>
            </w:r>
            <w:r>
              <w:rPr>
                <w:rFonts w:eastAsia="新宋体" w:hint="eastAsia"/>
                <w:color w:val="FF0000"/>
                <w:sz w:val="18"/>
                <w:szCs w:val="18"/>
              </w:rPr>
              <w:t>念枣坪、施阳台、</w:t>
            </w:r>
            <w:r w:rsidRPr="00775564">
              <w:rPr>
                <w:rFonts w:eastAsia="新宋体" w:hint="eastAsia"/>
                <w:color w:val="FF0000"/>
                <w:sz w:val="18"/>
                <w:szCs w:val="18"/>
              </w:rPr>
              <w:t>刘石畔组和拓家阳组</w:t>
            </w:r>
          </w:p>
        </w:tc>
        <w:tc>
          <w:tcPr>
            <w:tcW w:w="2385" w:type="dxa"/>
            <w:vAlign w:val="center"/>
          </w:tcPr>
          <w:p w:rsidR="00775564" w:rsidRPr="00775564" w:rsidRDefault="00775564" w:rsidP="00CC667D">
            <w:pPr>
              <w:jc w:val="center"/>
              <w:rPr>
                <w:rFonts w:eastAsia="新宋体"/>
                <w:color w:val="FF0000"/>
                <w:sz w:val="18"/>
                <w:szCs w:val="18"/>
              </w:rPr>
            </w:pPr>
            <w:r w:rsidRPr="00775564">
              <w:rPr>
                <w:color w:val="FF0000"/>
                <w:sz w:val="18"/>
                <w:szCs w:val="18"/>
              </w:rPr>
              <w:t>《</w:t>
            </w:r>
            <w:r w:rsidRPr="00775564">
              <w:rPr>
                <w:rFonts w:hint="eastAsia"/>
                <w:color w:val="FF0000"/>
                <w:sz w:val="18"/>
                <w:szCs w:val="18"/>
              </w:rPr>
              <w:t>声环境质量标准</w:t>
            </w:r>
            <w:r w:rsidRPr="00775564">
              <w:rPr>
                <w:color w:val="FF0000"/>
                <w:sz w:val="18"/>
                <w:szCs w:val="18"/>
              </w:rPr>
              <w:t>》</w:t>
            </w:r>
            <w:r w:rsidRPr="00775564">
              <w:rPr>
                <w:color w:val="FF0000"/>
                <w:sz w:val="18"/>
                <w:szCs w:val="18"/>
              </w:rPr>
              <w:t>2</w:t>
            </w:r>
            <w:r w:rsidRPr="00775564">
              <w:rPr>
                <w:color w:val="FF0000"/>
                <w:sz w:val="18"/>
                <w:szCs w:val="18"/>
              </w:rPr>
              <w:t>类区</w:t>
            </w:r>
          </w:p>
        </w:tc>
        <w:tc>
          <w:tcPr>
            <w:tcW w:w="665" w:type="dxa"/>
            <w:vAlign w:val="center"/>
          </w:tcPr>
          <w:p w:rsidR="00775564" w:rsidRPr="00775564" w:rsidRDefault="00775564" w:rsidP="00CC667D">
            <w:pPr>
              <w:jc w:val="center"/>
              <w:rPr>
                <w:rFonts w:eastAsia="新宋体"/>
                <w:color w:val="FF0000"/>
                <w:sz w:val="18"/>
                <w:szCs w:val="18"/>
              </w:rPr>
            </w:pPr>
            <w:r w:rsidRPr="00775564">
              <w:rPr>
                <w:rFonts w:eastAsia="新宋体" w:hint="eastAsia"/>
                <w:color w:val="FF0000"/>
                <w:sz w:val="18"/>
                <w:szCs w:val="18"/>
              </w:rPr>
              <w:t>榆林</w:t>
            </w:r>
            <w:r w:rsidRPr="00775564">
              <w:rPr>
                <w:rFonts w:eastAsia="新宋体"/>
                <w:color w:val="FF0000"/>
                <w:sz w:val="18"/>
                <w:szCs w:val="18"/>
              </w:rPr>
              <w:t>市</w:t>
            </w:r>
          </w:p>
          <w:p w:rsidR="00775564" w:rsidRPr="00775564" w:rsidRDefault="00775564" w:rsidP="00CC667D">
            <w:pPr>
              <w:ind w:firstLineChars="50" w:firstLine="90"/>
              <w:jc w:val="center"/>
              <w:rPr>
                <w:rFonts w:eastAsia="新宋体"/>
                <w:color w:val="FF0000"/>
                <w:sz w:val="18"/>
                <w:szCs w:val="18"/>
              </w:rPr>
            </w:pPr>
            <w:r w:rsidRPr="00775564">
              <w:rPr>
                <w:rFonts w:eastAsia="新宋体" w:hint="eastAsia"/>
                <w:color w:val="FF0000"/>
                <w:sz w:val="18"/>
                <w:szCs w:val="18"/>
              </w:rPr>
              <w:t>生态</w:t>
            </w:r>
            <w:r w:rsidRPr="00775564">
              <w:rPr>
                <w:rFonts w:eastAsia="新宋体"/>
                <w:color w:val="FF0000"/>
                <w:sz w:val="18"/>
                <w:szCs w:val="18"/>
              </w:rPr>
              <w:t>环保局</w:t>
            </w:r>
          </w:p>
        </w:tc>
        <w:tc>
          <w:tcPr>
            <w:tcW w:w="832" w:type="dxa"/>
            <w:vAlign w:val="center"/>
          </w:tcPr>
          <w:p w:rsidR="00775564" w:rsidRPr="00775564" w:rsidRDefault="00775564" w:rsidP="00CC667D">
            <w:pPr>
              <w:jc w:val="center"/>
              <w:rPr>
                <w:rFonts w:eastAsia="新宋体"/>
                <w:color w:val="FF0000"/>
                <w:sz w:val="18"/>
                <w:szCs w:val="18"/>
              </w:rPr>
            </w:pPr>
            <w:r w:rsidRPr="00775564">
              <w:rPr>
                <w:rFonts w:eastAsia="新宋体" w:hint="eastAsia"/>
                <w:color w:val="FF0000"/>
                <w:sz w:val="18"/>
                <w:szCs w:val="18"/>
              </w:rPr>
              <w:t>矿方委托第三方</w:t>
            </w:r>
          </w:p>
        </w:tc>
        <w:tc>
          <w:tcPr>
            <w:tcW w:w="742" w:type="dxa"/>
            <w:vAlign w:val="center"/>
          </w:tcPr>
          <w:p w:rsidR="00775564" w:rsidRPr="00775564" w:rsidRDefault="00775564" w:rsidP="00CC667D">
            <w:pPr>
              <w:jc w:val="center"/>
              <w:rPr>
                <w:rFonts w:eastAsia="新宋体"/>
                <w:color w:val="FF0000"/>
                <w:sz w:val="18"/>
                <w:szCs w:val="18"/>
              </w:rPr>
            </w:pPr>
          </w:p>
        </w:tc>
      </w:tr>
      <w:tr w:rsidR="00C223F5" w:rsidTr="00775564">
        <w:trPr>
          <w:trHeight w:val="73"/>
          <w:jc w:val="center"/>
        </w:trPr>
        <w:tc>
          <w:tcPr>
            <w:tcW w:w="404" w:type="dxa"/>
            <w:vMerge/>
            <w:vAlign w:val="center"/>
          </w:tcPr>
          <w:p w:rsidR="00C223F5" w:rsidRDefault="00C223F5">
            <w:pPr>
              <w:jc w:val="center"/>
              <w:rPr>
                <w:rFonts w:eastAsia="新宋体"/>
                <w:color w:val="000000"/>
                <w:sz w:val="18"/>
                <w:szCs w:val="18"/>
              </w:rPr>
            </w:pPr>
          </w:p>
        </w:tc>
        <w:tc>
          <w:tcPr>
            <w:tcW w:w="803" w:type="dxa"/>
            <w:vAlign w:val="center"/>
          </w:tcPr>
          <w:p w:rsidR="00C223F5" w:rsidRDefault="005860D5">
            <w:pPr>
              <w:jc w:val="center"/>
              <w:rPr>
                <w:color w:val="000000"/>
                <w:sz w:val="18"/>
                <w:szCs w:val="18"/>
              </w:rPr>
            </w:pPr>
            <w:r>
              <w:rPr>
                <w:rFonts w:hint="eastAsia"/>
                <w:color w:val="000000"/>
                <w:sz w:val="18"/>
                <w:szCs w:val="18"/>
              </w:rPr>
              <w:t>土壤</w:t>
            </w:r>
          </w:p>
          <w:p w:rsidR="00C223F5" w:rsidRDefault="005860D5">
            <w:pPr>
              <w:jc w:val="center"/>
              <w:rPr>
                <w:color w:val="000000"/>
                <w:sz w:val="18"/>
                <w:szCs w:val="18"/>
              </w:rPr>
            </w:pPr>
            <w:r>
              <w:rPr>
                <w:rFonts w:hint="eastAsia"/>
                <w:color w:val="000000"/>
                <w:sz w:val="18"/>
                <w:szCs w:val="18"/>
              </w:rPr>
              <w:t>环境</w:t>
            </w:r>
          </w:p>
        </w:tc>
        <w:tc>
          <w:tcPr>
            <w:tcW w:w="3015" w:type="dxa"/>
            <w:vAlign w:val="center"/>
          </w:tcPr>
          <w:p w:rsidR="00C223F5" w:rsidRDefault="005860D5">
            <w:pPr>
              <w:rPr>
                <w:color w:val="000000"/>
                <w:sz w:val="18"/>
                <w:szCs w:val="18"/>
              </w:rPr>
            </w:pPr>
            <w:r>
              <w:rPr>
                <w:rFonts w:hint="eastAsia"/>
                <w:color w:val="000000"/>
                <w:sz w:val="18"/>
                <w:szCs w:val="18"/>
              </w:rPr>
              <w:t>1.</w:t>
            </w:r>
            <w:r>
              <w:rPr>
                <w:rFonts w:hint="eastAsia"/>
                <w:color w:val="000000"/>
                <w:sz w:val="18"/>
                <w:szCs w:val="18"/>
              </w:rPr>
              <w:t>监测项目：建设用地（</w:t>
            </w:r>
            <w:r>
              <w:rPr>
                <w:bCs/>
                <w:color w:val="000000"/>
                <w:kern w:val="0"/>
                <w:sz w:val="18"/>
                <w:szCs w:val="18"/>
              </w:rPr>
              <w:t>砷、镉、六价铬、铜、铅、汞、镍、石油烃共</w:t>
            </w:r>
            <w:r>
              <w:rPr>
                <w:bCs/>
                <w:color w:val="000000"/>
                <w:kern w:val="0"/>
                <w:sz w:val="18"/>
                <w:szCs w:val="18"/>
              </w:rPr>
              <w:t>8</w:t>
            </w:r>
            <w:r>
              <w:rPr>
                <w:bCs/>
                <w:color w:val="000000"/>
                <w:kern w:val="0"/>
                <w:sz w:val="18"/>
                <w:szCs w:val="18"/>
              </w:rPr>
              <w:t>项目</w:t>
            </w:r>
            <w:r>
              <w:rPr>
                <w:rFonts w:hint="eastAsia"/>
                <w:bCs/>
                <w:color w:val="000000"/>
                <w:kern w:val="0"/>
                <w:sz w:val="18"/>
                <w:szCs w:val="18"/>
              </w:rPr>
              <w:t>），农用地（</w:t>
            </w:r>
            <w:r>
              <w:rPr>
                <w:rFonts w:hint="eastAsia"/>
                <w:bCs/>
                <w:color w:val="000000"/>
                <w:sz w:val="18"/>
                <w:szCs w:val="18"/>
              </w:rPr>
              <w:t>p</w:t>
            </w:r>
            <w:r>
              <w:rPr>
                <w:color w:val="000000"/>
                <w:sz w:val="18"/>
                <w:szCs w:val="18"/>
              </w:rPr>
              <w:t>H</w:t>
            </w:r>
            <w:r>
              <w:rPr>
                <w:color w:val="000000"/>
                <w:sz w:val="18"/>
                <w:szCs w:val="18"/>
              </w:rPr>
              <w:t>值、砷、镉、铬、铜、铅、汞、镍、锌共</w:t>
            </w:r>
            <w:r>
              <w:rPr>
                <w:color w:val="000000"/>
                <w:sz w:val="18"/>
                <w:szCs w:val="18"/>
              </w:rPr>
              <w:t>9</w:t>
            </w:r>
            <w:r>
              <w:rPr>
                <w:color w:val="000000"/>
                <w:sz w:val="18"/>
                <w:szCs w:val="18"/>
              </w:rPr>
              <w:t>项</w:t>
            </w:r>
            <w:r>
              <w:rPr>
                <w:rFonts w:hint="eastAsia"/>
                <w:color w:val="000000"/>
                <w:sz w:val="18"/>
                <w:szCs w:val="18"/>
              </w:rPr>
              <w:t>）</w:t>
            </w:r>
          </w:p>
          <w:p w:rsidR="00C223F5" w:rsidRDefault="005860D5">
            <w:pPr>
              <w:rPr>
                <w:color w:val="000000"/>
                <w:sz w:val="18"/>
                <w:szCs w:val="18"/>
              </w:rPr>
            </w:pPr>
            <w:r>
              <w:rPr>
                <w:rFonts w:hint="eastAsia"/>
                <w:color w:val="000000"/>
                <w:sz w:val="18"/>
                <w:szCs w:val="18"/>
              </w:rPr>
              <w:t>2.</w:t>
            </w:r>
            <w:r>
              <w:rPr>
                <w:rFonts w:hint="eastAsia"/>
                <w:color w:val="000000"/>
                <w:sz w:val="18"/>
                <w:szCs w:val="18"/>
              </w:rPr>
              <w:t>监测频率：</w:t>
            </w:r>
            <w:r>
              <w:rPr>
                <w:bCs/>
                <w:color w:val="000000"/>
                <w:sz w:val="18"/>
                <w:szCs w:val="18"/>
              </w:rPr>
              <w:t>1</w:t>
            </w:r>
            <w:r>
              <w:rPr>
                <w:bCs/>
                <w:color w:val="000000"/>
                <w:sz w:val="18"/>
                <w:szCs w:val="18"/>
              </w:rPr>
              <w:t>次</w:t>
            </w:r>
            <w:r>
              <w:rPr>
                <w:bCs/>
                <w:color w:val="000000"/>
                <w:sz w:val="18"/>
                <w:szCs w:val="18"/>
              </w:rPr>
              <w:t>/5</w:t>
            </w:r>
            <w:r>
              <w:rPr>
                <w:bCs/>
                <w:color w:val="000000"/>
                <w:sz w:val="18"/>
                <w:szCs w:val="18"/>
              </w:rPr>
              <w:t>年</w:t>
            </w:r>
            <w:r>
              <w:rPr>
                <w:rFonts w:hint="eastAsia"/>
                <w:color w:val="000000"/>
                <w:sz w:val="18"/>
                <w:szCs w:val="18"/>
              </w:rPr>
              <w:t>。</w:t>
            </w:r>
          </w:p>
          <w:p w:rsidR="00C223F5" w:rsidRDefault="005860D5">
            <w:pPr>
              <w:rPr>
                <w:color w:val="000000"/>
                <w:sz w:val="18"/>
                <w:szCs w:val="18"/>
              </w:rPr>
            </w:pPr>
            <w:r>
              <w:rPr>
                <w:rFonts w:hint="eastAsia"/>
                <w:color w:val="000000"/>
                <w:sz w:val="18"/>
                <w:szCs w:val="18"/>
              </w:rPr>
              <w:t>3.</w:t>
            </w:r>
            <w:r>
              <w:rPr>
                <w:rFonts w:hint="eastAsia"/>
                <w:color w:val="000000"/>
                <w:sz w:val="18"/>
                <w:szCs w:val="18"/>
              </w:rPr>
              <w:t>监测点：工业场地和井田范围</w:t>
            </w:r>
          </w:p>
        </w:tc>
        <w:tc>
          <w:tcPr>
            <w:tcW w:w="2385" w:type="dxa"/>
            <w:vAlign w:val="center"/>
          </w:tcPr>
          <w:p w:rsidR="00C223F5" w:rsidRDefault="005860D5">
            <w:pPr>
              <w:ind w:firstLineChars="50" w:firstLine="90"/>
              <w:rPr>
                <w:color w:val="000000"/>
                <w:sz w:val="18"/>
                <w:szCs w:val="18"/>
              </w:rPr>
            </w:pPr>
            <w:r>
              <w:rPr>
                <w:color w:val="000000"/>
                <w:sz w:val="18"/>
                <w:szCs w:val="18"/>
              </w:rPr>
              <w:t>《土壤环境质量</w:t>
            </w:r>
            <w:r>
              <w:rPr>
                <w:color w:val="000000"/>
                <w:sz w:val="18"/>
                <w:szCs w:val="18"/>
              </w:rPr>
              <w:t xml:space="preserve">  </w:t>
            </w:r>
            <w:r>
              <w:rPr>
                <w:rFonts w:hint="eastAsia"/>
                <w:color w:val="000000"/>
                <w:sz w:val="18"/>
                <w:szCs w:val="18"/>
              </w:rPr>
              <w:t>建设用地</w:t>
            </w:r>
            <w:r>
              <w:rPr>
                <w:color w:val="000000"/>
                <w:sz w:val="18"/>
                <w:szCs w:val="18"/>
              </w:rPr>
              <w:t>土壤污染风险管控标准（试行）》</w:t>
            </w:r>
            <w:r>
              <w:rPr>
                <w:rFonts w:hint="eastAsia"/>
                <w:color w:val="000000"/>
                <w:sz w:val="18"/>
                <w:szCs w:val="18"/>
              </w:rPr>
              <w:t>和</w:t>
            </w:r>
            <w:r>
              <w:rPr>
                <w:color w:val="000000"/>
                <w:sz w:val="18"/>
                <w:szCs w:val="18"/>
              </w:rPr>
              <w:t>《土壤环境质量</w:t>
            </w:r>
            <w:r>
              <w:rPr>
                <w:color w:val="000000"/>
                <w:sz w:val="18"/>
                <w:szCs w:val="18"/>
              </w:rPr>
              <w:t xml:space="preserve">  </w:t>
            </w:r>
            <w:r>
              <w:rPr>
                <w:rFonts w:hint="eastAsia"/>
                <w:color w:val="000000"/>
                <w:sz w:val="18"/>
                <w:szCs w:val="18"/>
              </w:rPr>
              <w:t>农用地</w:t>
            </w:r>
            <w:r>
              <w:rPr>
                <w:color w:val="000000"/>
                <w:sz w:val="18"/>
                <w:szCs w:val="18"/>
              </w:rPr>
              <w:t>土壤污染风险管控标准（试行）》</w:t>
            </w:r>
          </w:p>
        </w:tc>
        <w:tc>
          <w:tcPr>
            <w:tcW w:w="665" w:type="dxa"/>
            <w:vAlign w:val="center"/>
          </w:tcPr>
          <w:p w:rsidR="00C223F5" w:rsidRDefault="005860D5">
            <w:pPr>
              <w:jc w:val="center"/>
              <w:rPr>
                <w:rFonts w:eastAsia="新宋体"/>
                <w:color w:val="000000"/>
                <w:sz w:val="18"/>
                <w:szCs w:val="18"/>
              </w:rPr>
            </w:pPr>
            <w:r>
              <w:rPr>
                <w:rFonts w:eastAsia="新宋体" w:hint="eastAsia"/>
                <w:color w:val="000000"/>
                <w:sz w:val="18"/>
                <w:szCs w:val="18"/>
              </w:rPr>
              <w:t>榆林</w:t>
            </w:r>
            <w:r>
              <w:rPr>
                <w:rFonts w:eastAsia="新宋体"/>
                <w:color w:val="000000"/>
                <w:sz w:val="18"/>
                <w:szCs w:val="18"/>
              </w:rPr>
              <w:t>市</w:t>
            </w:r>
          </w:p>
          <w:p w:rsidR="00C223F5" w:rsidRDefault="005860D5">
            <w:pPr>
              <w:ind w:firstLineChars="50" w:firstLine="90"/>
              <w:jc w:val="center"/>
              <w:rPr>
                <w:rFonts w:eastAsia="新宋体"/>
                <w:color w:val="000000"/>
                <w:sz w:val="18"/>
                <w:szCs w:val="18"/>
              </w:rPr>
            </w:pPr>
            <w:r>
              <w:rPr>
                <w:rFonts w:eastAsia="新宋体" w:hint="eastAsia"/>
                <w:color w:val="000000"/>
                <w:sz w:val="18"/>
                <w:szCs w:val="18"/>
              </w:rPr>
              <w:t>生态</w:t>
            </w:r>
            <w:r>
              <w:rPr>
                <w:rFonts w:eastAsia="新宋体"/>
                <w:color w:val="000000"/>
                <w:sz w:val="18"/>
                <w:szCs w:val="18"/>
              </w:rPr>
              <w:t>环保局</w:t>
            </w:r>
          </w:p>
        </w:tc>
        <w:tc>
          <w:tcPr>
            <w:tcW w:w="832" w:type="dxa"/>
            <w:vAlign w:val="center"/>
          </w:tcPr>
          <w:p w:rsidR="00C223F5" w:rsidRDefault="005860D5">
            <w:pPr>
              <w:jc w:val="center"/>
              <w:rPr>
                <w:rFonts w:eastAsia="新宋体"/>
                <w:color w:val="000000"/>
                <w:sz w:val="18"/>
                <w:szCs w:val="18"/>
              </w:rPr>
            </w:pPr>
            <w:r>
              <w:rPr>
                <w:rFonts w:eastAsia="新宋体" w:hint="eastAsia"/>
                <w:color w:val="000000"/>
                <w:sz w:val="18"/>
                <w:szCs w:val="18"/>
              </w:rPr>
              <w:t>矿方委托第三方</w:t>
            </w:r>
          </w:p>
        </w:tc>
        <w:tc>
          <w:tcPr>
            <w:tcW w:w="742" w:type="dxa"/>
            <w:vAlign w:val="center"/>
          </w:tcPr>
          <w:p w:rsidR="00C223F5" w:rsidRDefault="00C223F5">
            <w:pPr>
              <w:jc w:val="center"/>
              <w:rPr>
                <w:color w:val="000000"/>
                <w:sz w:val="18"/>
                <w:szCs w:val="18"/>
              </w:rPr>
            </w:pPr>
          </w:p>
        </w:tc>
      </w:tr>
      <w:tr w:rsidR="00C223F5" w:rsidTr="00775564">
        <w:trPr>
          <w:trHeight w:val="73"/>
          <w:jc w:val="center"/>
        </w:trPr>
        <w:tc>
          <w:tcPr>
            <w:tcW w:w="404" w:type="dxa"/>
            <w:vMerge/>
            <w:vAlign w:val="center"/>
          </w:tcPr>
          <w:p w:rsidR="00C223F5" w:rsidRDefault="00C223F5">
            <w:pPr>
              <w:jc w:val="center"/>
              <w:rPr>
                <w:rFonts w:eastAsia="新宋体"/>
                <w:color w:val="000000"/>
                <w:sz w:val="18"/>
                <w:szCs w:val="18"/>
              </w:rPr>
            </w:pPr>
          </w:p>
        </w:tc>
        <w:tc>
          <w:tcPr>
            <w:tcW w:w="803" w:type="dxa"/>
            <w:vAlign w:val="center"/>
          </w:tcPr>
          <w:p w:rsidR="00C223F5" w:rsidRDefault="005860D5">
            <w:pPr>
              <w:jc w:val="center"/>
              <w:rPr>
                <w:color w:val="000000"/>
                <w:sz w:val="18"/>
                <w:szCs w:val="18"/>
              </w:rPr>
            </w:pPr>
            <w:r>
              <w:rPr>
                <w:color w:val="000000"/>
                <w:sz w:val="18"/>
                <w:szCs w:val="18"/>
              </w:rPr>
              <w:t>植被</w:t>
            </w:r>
          </w:p>
        </w:tc>
        <w:tc>
          <w:tcPr>
            <w:tcW w:w="3015" w:type="dxa"/>
            <w:vAlign w:val="center"/>
          </w:tcPr>
          <w:p w:rsidR="00C223F5" w:rsidRDefault="005860D5">
            <w:pPr>
              <w:rPr>
                <w:color w:val="000000"/>
                <w:sz w:val="18"/>
                <w:szCs w:val="18"/>
              </w:rPr>
            </w:pPr>
            <w:r>
              <w:rPr>
                <w:color w:val="000000"/>
                <w:sz w:val="18"/>
                <w:szCs w:val="18"/>
              </w:rPr>
              <w:t>1</w:t>
            </w:r>
            <w:r>
              <w:rPr>
                <w:rFonts w:eastAsia="新宋体"/>
                <w:color w:val="000000"/>
                <w:sz w:val="18"/>
                <w:szCs w:val="18"/>
              </w:rPr>
              <w:t>．</w:t>
            </w:r>
            <w:r>
              <w:rPr>
                <w:color w:val="000000"/>
                <w:sz w:val="18"/>
                <w:szCs w:val="18"/>
              </w:rPr>
              <w:t>监测项目：植被类型、草群高度、盖度、生物量；</w:t>
            </w:r>
          </w:p>
          <w:p w:rsidR="00C223F5" w:rsidRDefault="005860D5">
            <w:pPr>
              <w:rPr>
                <w:color w:val="000000"/>
                <w:sz w:val="18"/>
                <w:szCs w:val="18"/>
              </w:rPr>
            </w:pPr>
            <w:r>
              <w:rPr>
                <w:color w:val="000000"/>
                <w:sz w:val="18"/>
                <w:szCs w:val="18"/>
              </w:rPr>
              <w:t>2</w:t>
            </w:r>
            <w:r>
              <w:rPr>
                <w:rFonts w:eastAsia="新宋体"/>
                <w:color w:val="000000"/>
                <w:sz w:val="18"/>
                <w:szCs w:val="18"/>
              </w:rPr>
              <w:t>．</w:t>
            </w:r>
            <w:r>
              <w:rPr>
                <w:color w:val="000000"/>
                <w:sz w:val="18"/>
                <w:szCs w:val="18"/>
              </w:rPr>
              <w:t>监测频率：</w:t>
            </w:r>
            <w:r>
              <w:rPr>
                <w:bCs/>
                <w:color w:val="000000"/>
                <w:sz w:val="18"/>
                <w:szCs w:val="18"/>
              </w:rPr>
              <w:t>1</w:t>
            </w:r>
            <w:r>
              <w:rPr>
                <w:bCs/>
                <w:color w:val="000000"/>
                <w:sz w:val="18"/>
                <w:szCs w:val="18"/>
              </w:rPr>
              <w:t>次</w:t>
            </w:r>
            <w:r>
              <w:rPr>
                <w:bCs/>
                <w:color w:val="000000"/>
                <w:sz w:val="18"/>
                <w:szCs w:val="18"/>
              </w:rPr>
              <w:t>/5</w:t>
            </w:r>
            <w:r>
              <w:rPr>
                <w:bCs/>
                <w:color w:val="000000"/>
                <w:sz w:val="18"/>
                <w:szCs w:val="18"/>
              </w:rPr>
              <w:t>年</w:t>
            </w:r>
            <w:r>
              <w:rPr>
                <w:rFonts w:hint="eastAsia"/>
                <w:color w:val="000000"/>
                <w:sz w:val="18"/>
                <w:szCs w:val="18"/>
              </w:rPr>
              <w:t>；</w:t>
            </w:r>
          </w:p>
          <w:p w:rsidR="00C223F5" w:rsidRDefault="005860D5">
            <w:pPr>
              <w:rPr>
                <w:rFonts w:eastAsia="新宋体"/>
                <w:color w:val="000000"/>
                <w:sz w:val="18"/>
                <w:szCs w:val="18"/>
              </w:rPr>
            </w:pPr>
            <w:r>
              <w:rPr>
                <w:color w:val="000000"/>
                <w:sz w:val="18"/>
                <w:szCs w:val="18"/>
              </w:rPr>
              <w:t>3</w:t>
            </w:r>
            <w:r>
              <w:rPr>
                <w:rFonts w:eastAsia="新宋体"/>
                <w:color w:val="000000"/>
                <w:sz w:val="18"/>
                <w:szCs w:val="18"/>
              </w:rPr>
              <w:t>．</w:t>
            </w:r>
            <w:r>
              <w:rPr>
                <w:color w:val="000000"/>
                <w:sz w:val="18"/>
                <w:szCs w:val="18"/>
              </w:rPr>
              <w:t>监测点：项目实施区</w:t>
            </w:r>
            <w:r>
              <w:rPr>
                <w:color w:val="000000"/>
                <w:sz w:val="18"/>
                <w:szCs w:val="18"/>
              </w:rPr>
              <w:t>3</w:t>
            </w:r>
            <w:r>
              <w:rPr>
                <w:color w:val="000000"/>
                <w:sz w:val="18"/>
                <w:szCs w:val="18"/>
              </w:rPr>
              <w:t>～</w:t>
            </w:r>
            <w:r>
              <w:rPr>
                <w:color w:val="000000"/>
                <w:sz w:val="18"/>
                <w:szCs w:val="18"/>
              </w:rPr>
              <w:t>5</w:t>
            </w:r>
            <w:r>
              <w:rPr>
                <w:color w:val="000000"/>
                <w:sz w:val="18"/>
                <w:szCs w:val="18"/>
              </w:rPr>
              <w:t>个点。</w:t>
            </w:r>
          </w:p>
        </w:tc>
        <w:tc>
          <w:tcPr>
            <w:tcW w:w="2385" w:type="dxa"/>
            <w:vAlign w:val="center"/>
          </w:tcPr>
          <w:p w:rsidR="00C223F5" w:rsidRDefault="005860D5">
            <w:pPr>
              <w:jc w:val="center"/>
              <w:rPr>
                <w:rFonts w:eastAsia="新宋体"/>
                <w:color w:val="000000"/>
                <w:sz w:val="18"/>
                <w:szCs w:val="18"/>
              </w:rPr>
            </w:pPr>
            <w:r>
              <w:rPr>
                <w:rFonts w:eastAsia="新宋体" w:hint="eastAsia"/>
                <w:color w:val="000000"/>
                <w:sz w:val="18"/>
                <w:szCs w:val="18"/>
              </w:rPr>
              <w:t>/</w:t>
            </w:r>
          </w:p>
        </w:tc>
        <w:tc>
          <w:tcPr>
            <w:tcW w:w="665" w:type="dxa"/>
            <w:vAlign w:val="center"/>
          </w:tcPr>
          <w:p w:rsidR="00C223F5" w:rsidRDefault="005860D5">
            <w:pPr>
              <w:jc w:val="center"/>
              <w:rPr>
                <w:rFonts w:eastAsia="新宋体"/>
                <w:color w:val="000000"/>
                <w:sz w:val="18"/>
                <w:szCs w:val="18"/>
              </w:rPr>
            </w:pPr>
            <w:r>
              <w:rPr>
                <w:rFonts w:eastAsia="新宋体" w:hint="eastAsia"/>
                <w:color w:val="000000"/>
                <w:sz w:val="18"/>
                <w:szCs w:val="18"/>
              </w:rPr>
              <w:t>榆林</w:t>
            </w:r>
            <w:r>
              <w:rPr>
                <w:rFonts w:eastAsia="新宋体"/>
                <w:color w:val="000000"/>
                <w:sz w:val="18"/>
                <w:szCs w:val="18"/>
              </w:rPr>
              <w:t>市</w:t>
            </w:r>
          </w:p>
          <w:p w:rsidR="00C223F5" w:rsidRDefault="005860D5">
            <w:pPr>
              <w:ind w:firstLineChars="50" w:firstLine="90"/>
              <w:jc w:val="center"/>
              <w:rPr>
                <w:rFonts w:eastAsia="新宋体"/>
                <w:color w:val="000000"/>
                <w:sz w:val="18"/>
                <w:szCs w:val="18"/>
              </w:rPr>
            </w:pPr>
            <w:r>
              <w:rPr>
                <w:rFonts w:eastAsia="新宋体" w:hint="eastAsia"/>
                <w:color w:val="000000"/>
                <w:sz w:val="18"/>
                <w:szCs w:val="18"/>
              </w:rPr>
              <w:t>生态</w:t>
            </w:r>
            <w:r>
              <w:rPr>
                <w:rFonts w:eastAsia="新宋体"/>
                <w:color w:val="000000"/>
                <w:sz w:val="18"/>
                <w:szCs w:val="18"/>
              </w:rPr>
              <w:t>环保局</w:t>
            </w:r>
          </w:p>
        </w:tc>
        <w:tc>
          <w:tcPr>
            <w:tcW w:w="832" w:type="dxa"/>
            <w:vAlign w:val="center"/>
          </w:tcPr>
          <w:p w:rsidR="00C223F5" w:rsidRDefault="005860D5">
            <w:pPr>
              <w:jc w:val="center"/>
              <w:rPr>
                <w:rFonts w:eastAsia="新宋体"/>
                <w:color w:val="000000"/>
                <w:sz w:val="18"/>
                <w:szCs w:val="18"/>
              </w:rPr>
            </w:pPr>
            <w:r>
              <w:rPr>
                <w:rFonts w:eastAsia="新宋体" w:hint="eastAsia"/>
                <w:color w:val="000000"/>
                <w:sz w:val="18"/>
                <w:szCs w:val="18"/>
              </w:rPr>
              <w:t>矿方委托第三方</w:t>
            </w:r>
          </w:p>
        </w:tc>
        <w:tc>
          <w:tcPr>
            <w:tcW w:w="742" w:type="dxa"/>
            <w:vAlign w:val="center"/>
          </w:tcPr>
          <w:p w:rsidR="00C223F5" w:rsidRDefault="00C223F5">
            <w:pPr>
              <w:jc w:val="center"/>
              <w:rPr>
                <w:color w:val="000000"/>
                <w:sz w:val="18"/>
                <w:szCs w:val="18"/>
              </w:rPr>
            </w:pPr>
          </w:p>
        </w:tc>
      </w:tr>
    </w:tbl>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570" w:name="_Toc528161012"/>
      <w:bookmarkStart w:id="571" w:name="_Toc16785341"/>
      <w:r>
        <w:rPr>
          <w:rFonts w:ascii="Times New Roman" w:eastAsia="宋体" w:hAnsi="Times New Roman" w:hint="eastAsia"/>
          <w:b/>
          <w:bCs w:val="0"/>
          <w:szCs w:val="30"/>
        </w:rPr>
        <w:lastRenderedPageBreak/>
        <w:t>7</w:t>
      </w:r>
      <w:r>
        <w:rPr>
          <w:rFonts w:ascii="Times New Roman" w:eastAsia="宋体" w:hAnsi="Times New Roman"/>
          <w:b/>
          <w:bCs w:val="0"/>
          <w:szCs w:val="30"/>
        </w:rPr>
        <w:t xml:space="preserve">.4 </w:t>
      </w:r>
      <w:r>
        <w:rPr>
          <w:rFonts w:ascii="Times New Roman" w:eastAsia="宋体" w:hAnsi="Times New Roman"/>
          <w:b/>
          <w:bCs w:val="0"/>
          <w:szCs w:val="30"/>
        </w:rPr>
        <w:t>排污口规范化管理</w:t>
      </w:r>
      <w:bookmarkEnd w:id="570"/>
      <w:bookmarkEnd w:id="571"/>
    </w:p>
    <w:p w:rsidR="00C223F5" w:rsidRDefault="005860D5">
      <w:pPr>
        <w:spacing w:line="360" w:lineRule="auto"/>
        <w:ind w:firstLineChars="200" w:firstLine="480"/>
        <w:rPr>
          <w:color w:val="000000"/>
          <w:sz w:val="24"/>
        </w:rPr>
      </w:pPr>
      <w:r>
        <w:rPr>
          <w:color w:val="000000"/>
          <w:sz w:val="24"/>
        </w:rPr>
        <w:t>排污口是企业污染物进入环境的通道，强化排污口的管理是实施污染物总量控制的基础工作之一，也是区域环境管理逐步实现污染物排放科学化、定量化的重要手段。</w:t>
      </w:r>
    </w:p>
    <w:p w:rsidR="00C223F5" w:rsidRDefault="005860D5">
      <w:pPr>
        <w:spacing w:line="360" w:lineRule="auto"/>
        <w:ind w:firstLineChars="200" w:firstLine="480"/>
        <w:rPr>
          <w:color w:val="000000"/>
          <w:sz w:val="24"/>
        </w:rPr>
      </w:pPr>
      <w:r>
        <w:rPr>
          <w:color w:val="000000"/>
          <w:sz w:val="24"/>
        </w:rPr>
        <w:t>项目污染物排放清单见表</w:t>
      </w:r>
      <w:r>
        <w:rPr>
          <w:rFonts w:hint="eastAsia"/>
          <w:color w:val="000000"/>
          <w:sz w:val="24"/>
        </w:rPr>
        <w:t>7</w:t>
      </w:r>
      <w:r>
        <w:rPr>
          <w:color w:val="000000"/>
          <w:sz w:val="24"/>
        </w:rPr>
        <w:t>.4-1</w:t>
      </w:r>
      <w:r>
        <w:rPr>
          <w:color w:val="000000"/>
          <w:sz w:val="24"/>
        </w:rPr>
        <w:t>。污染物排放清单内容应及时向社会公众公开。</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572" w:name="_Toc16785342"/>
      <w:r>
        <w:rPr>
          <w:rFonts w:eastAsia="宋体" w:hint="eastAsia"/>
          <w:b/>
          <w:bCs w:val="0"/>
          <w:sz w:val="28"/>
          <w:szCs w:val="28"/>
        </w:rPr>
        <w:t>7</w:t>
      </w:r>
      <w:r>
        <w:rPr>
          <w:rFonts w:eastAsia="宋体"/>
          <w:b/>
          <w:bCs w:val="0"/>
          <w:sz w:val="28"/>
          <w:szCs w:val="28"/>
        </w:rPr>
        <w:t>.4.1</w:t>
      </w:r>
      <w:r>
        <w:rPr>
          <w:rFonts w:eastAsia="宋体"/>
          <w:b/>
          <w:bCs w:val="0"/>
          <w:sz w:val="28"/>
          <w:szCs w:val="28"/>
        </w:rPr>
        <w:t>排污口规范化管理的基本原则</w:t>
      </w:r>
      <w:bookmarkEnd w:id="572"/>
    </w:p>
    <w:p w:rsidR="00C223F5" w:rsidRDefault="005860D5">
      <w:pPr>
        <w:spacing w:line="360" w:lineRule="auto"/>
        <w:ind w:firstLineChars="200" w:firstLine="480"/>
        <w:rPr>
          <w:color w:val="000000"/>
          <w:sz w:val="24"/>
        </w:rPr>
      </w:pPr>
      <w:r>
        <w:rPr>
          <w:color w:val="000000"/>
          <w:sz w:val="24"/>
        </w:rPr>
        <w:t>（</w:t>
      </w:r>
      <w:r>
        <w:rPr>
          <w:color w:val="000000"/>
          <w:sz w:val="24"/>
        </w:rPr>
        <w:t>1</w:t>
      </w:r>
      <w:r>
        <w:rPr>
          <w:color w:val="000000"/>
          <w:sz w:val="24"/>
        </w:rPr>
        <w:t>）向环境排放污染物的排污口必需规范化；</w:t>
      </w:r>
    </w:p>
    <w:p w:rsidR="00C223F5" w:rsidRDefault="005860D5">
      <w:pPr>
        <w:spacing w:line="360" w:lineRule="auto"/>
        <w:ind w:firstLineChars="200" w:firstLine="480"/>
        <w:rPr>
          <w:color w:val="000000"/>
          <w:sz w:val="24"/>
        </w:rPr>
      </w:pPr>
      <w:r>
        <w:rPr>
          <w:color w:val="000000"/>
          <w:sz w:val="24"/>
        </w:rPr>
        <w:t>（</w:t>
      </w:r>
      <w:r>
        <w:rPr>
          <w:color w:val="000000"/>
          <w:sz w:val="24"/>
        </w:rPr>
        <w:t>2</w:t>
      </w:r>
      <w:r>
        <w:rPr>
          <w:color w:val="000000"/>
          <w:sz w:val="24"/>
        </w:rPr>
        <w:t>）根据本工程的特点，对列入总量控制指标污染物中</w:t>
      </w:r>
      <w:r>
        <w:rPr>
          <w:color w:val="000000"/>
          <w:sz w:val="24"/>
        </w:rPr>
        <w:t>COD</w:t>
      </w:r>
      <w:r>
        <w:rPr>
          <w:color w:val="000000"/>
          <w:sz w:val="24"/>
        </w:rPr>
        <w:t>、氨氮申请排污许可，污染物的排污口矿井水排污口为管理重点，排污口应安装在线监测装置，并与地方环保监管部门联网；</w:t>
      </w:r>
    </w:p>
    <w:p w:rsidR="00C223F5" w:rsidRDefault="005860D5">
      <w:pPr>
        <w:spacing w:line="360" w:lineRule="auto"/>
        <w:ind w:firstLineChars="200" w:firstLine="480"/>
        <w:rPr>
          <w:color w:val="000000"/>
          <w:sz w:val="24"/>
        </w:rPr>
      </w:pPr>
      <w:r>
        <w:rPr>
          <w:color w:val="000000"/>
          <w:sz w:val="24"/>
        </w:rPr>
        <w:t>（</w:t>
      </w:r>
      <w:r>
        <w:rPr>
          <w:color w:val="000000"/>
          <w:sz w:val="24"/>
        </w:rPr>
        <w:t>3</w:t>
      </w:r>
      <w:r>
        <w:rPr>
          <w:color w:val="000000"/>
          <w:sz w:val="24"/>
        </w:rPr>
        <w:t>）排污口应便于采样与计量监测，便于日常现场监督检查。</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573" w:name="_Toc16785343"/>
      <w:r>
        <w:rPr>
          <w:rFonts w:eastAsia="宋体" w:hint="eastAsia"/>
          <w:b/>
          <w:bCs w:val="0"/>
          <w:sz w:val="28"/>
          <w:szCs w:val="28"/>
        </w:rPr>
        <w:t>7</w:t>
      </w:r>
      <w:r>
        <w:rPr>
          <w:rFonts w:eastAsia="宋体"/>
          <w:b/>
          <w:bCs w:val="0"/>
          <w:sz w:val="28"/>
          <w:szCs w:val="28"/>
        </w:rPr>
        <w:t>.4.2</w:t>
      </w:r>
      <w:r>
        <w:rPr>
          <w:rFonts w:eastAsia="宋体"/>
          <w:b/>
          <w:bCs w:val="0"/>
          <w:sz w:val="28"/>
          <w:szCs w:val="28"/>
        </w:rPr>
        <w:t>排污口的技术要求</w:t>
      </w:r>
      <w:bookmarkEnd w:id="573"/>
    </w:p>
    <w:p w:rsidR="00C223F5" w:rsidRDefault="005860D5">
      <w:pPr>
        <w:spacing w:line="360" w:lineRule="auto"/>
        <w:ind w:firstLineChars="200" w:firstLine="480"/>
        <w:rPr>
          <w:color w:val="000000"/>
          <w:sz w:val="24"/>
        </w:rPr>
      </w:pPr>
      <w:r>
        <w:rPr>
          <w:color w:val="000000"/>
          <w:sz w:val="24"/>
        </w:rPr>
        <w:t>（</w:t>
      </w:r>
      <w:r>
        <w:rPr>
          <w:color w:val="000000"/>
          <w:sz w:val="24"/>
        </w:rPr>
        <w:t>1</w:t>
      </w:r>
      <w:r>
        <w:rPr>
          <w:color w:val="000000"/>
          <w:sz w:val="24"/>
        </w:rPr>
        <w:t>）</w:t>
      </w:r>
      <w:r>
        <w:rPr>
          <w:rFonts w:hint="eastAsia"/>
          <w:color w:val="000000"/>
          <w:sz w:val="24"/>
        </w:rPr>
        <w:t>本项目已有矿井水排污口，</w:t>
      </w:r>
      <w:r>
        <w:rPr>
          <w:color w:val="000000"/>
          <w:sz w:val="24"/>
        </w:rPr>
        <w:t>排污口的位置合理，按环监（</w:t>
      </w:r>
      <w:r>
        <w:rPr>
          <w:color w:val="000000"/>
          <w:sz w:val="24"/>
        </w:rPr>
        <w:t>1996</w:t>
      </w:r>
      <w:r>
        <w:rPr>
          <w:color w:val="000000"/>
          <w:sz w:val="24"/>
        </w:rPr>
        <w:t>）</w:t>
      </w:r>
      <w:r>
        <w:rPr>
          <w:color w:val="000000"/>
          <w:sz w:val="24"/>
        </w:rPr>
        <w:t>470</w:t>
      </w:r>
      <w:r>
        <w:rPr>
          <w:color w:val="000000"/>
          <w:sz w:val="24"/>
        </w:rPr>
        <w:t>号文件要求，进行规范化管理；</w:t>
      </w:r>
    </w:p>
    <w:p w:rsidR="00C223F5" w:rsidRDefault="005860D5">
      <w:pPr>
        <w:spacing w:line="360" w:lineRule="auto"/>
        <w:ind w:firstLineChars="200" w:firstLine="480"/>
        <w:rPr>
          <w:color w:val="000000"/>
          <w:sz w:val="24"/>
        </w:rPr>
      </w:pPr>
      <w:r>
        <w:rPr>
          <w:color w:val="000000"/>
          <w:sz w:val="24"/>
        </w:rPr>
        <w:t>（</w:t>
      </w:r>
      <w:r>
        <w:rPr>
          <w:color w:val="000000"/>
          <w:sz w:val="24"/>
        </w:rPr>
        <w:t>2</w:t>
      </w:r>
      <w:r>
        <w:rPr>
          <w:color w:val="000000"/>
          <w:sz w:val="24"/>
        </w:rPr>
        <w:t>）排污口采样点应按《污染源监测技术规范》要求，设置在企业的总排污口、处理设施的进、出口等处，设置符合《污染源监测技术规范》要求；</w:t>
      </w:r>
    </w:p>
    <w:p w:rsidR="00C223F5" w:rsidRDefault="005860D5">
      <w:pPr>
        <w:spacing w:line="360" w:lineRule="auto"/>
        <w:ind w:firstLineChars="200" w:firstLine="480"/>
        <w:rPr>
          <w:color w:val="000000"/>
          <w:sz w:val="24"/>
        </w:rPr>
      </w:pPr>
      <w:r>
        <w:rPr>
          <w:color w:val="000000"/>
          <w:sz w:val="24"/>
        </w:rPr>
        <w:t>（</w:t>
      </w:r>
      <w:r>
        <w:rPr>
          <w:color w:val="000000"/>
          <w:sz w:val="24"/>
        </w:rPr>
        <w:t>3</w:t>
      </w:r>
      <w:r>
        <w:rPr>
          <w:color w:val="000000"/>
          <w:sz w:val="24"/>
        </w:rPr>
        <w:t>）设置规范的、便于测流量、流速的测流段。</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574" w:name="_Toc16785344"/>
      <w:r>
        <w:rPr>
          <w:rFonts w:eastAsia="宋体" w:hint="eastAsia"/>
          <w:b/>
          <w:bCs w:val="0"/>
          <w:sz w:val="28"/>
          <w:szCs w:val="28"/>
        </w:rPr>
        <w:t>7</w:t>
      </w:r>
      <w:r>
        <w:rPr>
          <w:rFonts w:eastAsia="宋体"/>
          <w:b/>
          <w:bCs w:val="0"/>
          <w:sz w:val="28"/>
          <w:szCs w:val="28"/>
        </w:rPr>
        <w:t>.4.3</w:t>
      </w:r>
      <w:r>
        <w:rPr>
          <w:rFonts w:eastAsia="宋体"/>
          <w:b/>
          <w:bCs w:val="0"/>
          <w:sz w:val="28"/>
          <w:szCs w:val="28"/>
        </w:rPr>
        <w:t>排污口立标管理</w:t>
      </w:r>
      <w:bookmarkEnd w:id="574"/>
    </w:p>
    <w:p w:rsidR="00C223F5" w:rsidRDefault="005860D5">
      <w:pPr>
        <w:spacing w:line="360" w:lineRule="auto"/>
        <w:ind w:firstLineChars="200" w:firstLine="480"/>
        <w:rPr>
          <w:color w:val="000000"/>
          <w:sz w:val="24"/>
        </w:rPr>
      </w:pPr>
      <w:r>
        <w:rPr>
          <w:color w:val="000000"/>
          <w:sz w:val="24"/>
        </w:rPr>
        <w:t>（</w:t>
      </w:r>
      <w:r>
        <w:rPr>
          <w:color w:val="000000"/>
          <w:sz w:val="24"/>
        </w:rPr>
        <w:t>1</w:t>
      </w:r>
      <w:r>
        <w:rPr>
          <w:color w:val="000000"/>
          <w:sz w:val="24"/>
        </w:rPr>
        <w:t>）上述各污染物排放口，应按国家《环境保护图形标志》（</w:t>
      </w:r>
      <w:r>
        <w:rPr>
          <w:color w:val="000000"/>
          <w:sz w:val="24"/>
        </w:rPr>
        <w:t>15562.1</w:t>
      </w:r>
      <w:r>
        <w:rPr>
          <w:color w:val="000000"/>
          <w:sz w:val="24"/>
        </w:rPr>
        <w:t>－</w:t>
      </w:r>
      <w:r>
        <w:rPr>
          <w:color w:val="000000"/>
          <w:sz w:val="24"/>
        </w:rPr>
        <w:t>1995</w:t>
      </w:r>
      <w:r>
        <w:rPr>
          <w:color w:val="000000"/>
          <w:sz w:val="24"/>
        </w:rPr>
        <w:t>）与</w:t>
      </w:r>
      <w:r>
        <w:rPr>
          <w:color w:val="000000"/>
          <w:sz w:val="24"/>
        </w:rPr>
        <w:t>GB15562.2</w:t>
      </w:r>
      <w:r>
        <w:rPr>
          <w:color w:val="000000"/>
          <w:sz w:val="24"/>
        </w:rPr>
        <w:t>－</w:t>
      </w:r>
      <w:r>
        <w:rPr>
          <w:color w:val="000000"/>
          <w:sz w:val="24"/>
        </w:rPr>
        <w:t>1995</w:t>
      </w:r>
      <w:r>
        <w:rPr>
          <w:color w:val="000000"/>
          <w:sz w:val="24"/>
        </w:rPr>
        <w:t>的规定，设国家环保总局统一制作的环境保护图形标志牌；</w:t>
      </w:r>
    </w:p>
    <w:p w:rsidR="00C223F5" w:rsidRDefault="005860D5">
      <w:pPr>
        <w:spacing w:line="360" w:lineRule="auto"/>
        <w:ind w:firstLineChars="200" w:firstLine="480"/>
        <w:rPr>
          <w:color w:val="000000"/>
          <w:sz w:val="24"/>
        </w:rPr>
      </w:pPr>
      <w:r>
        <w:rPr>
          <w:color w:val="000000"/>
          <w:sz w:val="24"/>
        </w:rPr>
        <w:t>（</w:t>
      </w:r>
      <w:r>
        <w:rPr>
          <w:color w:val="000000"/>
          <w:sz w:val="24"/>
        </w:rPr>
        <w:t>2</w:t>
      </w:r>
      <w:r>
        <w:rPr>
          <w:color w:val="000000"/>
          <w:sz w:val="24"/>
        </w:rPr>
        <w:t>）排污口的环保图形标志牌应设置在靠近采样点的醒目处，标志牌设置高度为其上缘距地面约</w:t>
      </w:r>
      <w:r>
        <w:rPr>
          <w:color w:val="000000"/>
          <w:sz w:val="24"/>
        </w:rPr>
        <w:t>2m</w:t>
      </w:r>
      <w:r>
        <w:rPr>
          <w:color w:val="000000"/>
          <w:sz w:val="24"/>
        </w:rPr>
        <w:t>。</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575" w:name="_Toc16785345"/>
      <w:r>
        <w:rPr>
          <w:rFonts w:eastAsia="宋体" w:hint="eastAsia"/>
          <w:b/>
          <w:bCs w:val="0"/>
          <w:sz w:val="28"/>
          <w:szCs w:val="28"/>
        </w:rPr>
        <w:t>7</w:t>
      </w:r>
      <w:r>
        <w:rPr>
          <w:rFonts w:eastAsia="宋体"/>
          <w:b/>
          <w:bCs w:val="0"/>
          <w:sz w:val="28"/>
          <w:szCs w:val="28"/>
        </w:rPr>
        <w:t>.4.4</w:t>
      </w:r>
      <w:r>
        <w:rPr>
          <w:rFonts w:eastAsia="宋体"/>
          <w:b/>
          <w:bCs w:val="0"/>
          <w:sz w:val="28"/>
          <w:szCs w:val="28"/>
        </w:rPr>
        <w:t>排污口建档管理</w:t>
      </w:r>
      <w:bookmarkEnd w:id="575"/>
    </w:p>
    <w:p w:rsidR="00C223F5" w:rsidRDefault="005860D5">
      <w:pPr>
        <w:spacing w:line="360" w:lineRule="auto"/>
        <w:ind w:firstLineChars="200" w:firstLine="480"/>
        <w:rPr>
          <w:color w:val="000000"/>
          <w:sz w:val="24"/>
        </w:rPr>
      </w:pPr>
      <w:r>
        <w:rPr>
          <w:color w:val="000000"/>
          <w:sz w:val="24"/>
        </w:rPr>
        <w:t>（</w:t>
      </w:r>
      <w:r>
        <w:rPr>
          <w:color w:val="000000"/>
          <w:sz w:val="24"/>
        </w:rPr>
        <w:t>1</w:t>
      </w:r>
      <w:r>
        <w:rPr>
          <w:color w:val="000000"/>
          <w:sz w:val="24"/>
        </w:rPr>
        <w:t>）要求使用国家环保局统一印刷的《中华人民共和国规范化排污口标志登记证》，并按要求填写有关内容；</w:t>
      </w:r>
    </w:p>
    <w:p w:rsidR="00C223F5" w:rsidRDefault="005860D5">
      <w:pPr>
        <w:spacing w:line="360" w:lineRule="auto"/>
        <w:ind w:firstLineChars="200" w:firstLine="480"/>
        <w:rPr>
          <w:color w:val="FF0000"/>
        </w:rPr>
        <w:sectPr w:rsidR="00C223F5">
          <w:pgSz w:w="11906" w:h="16838"/>
          <w:pgMar w:top="1440" w:right="1701" w:bottom="1440" w:left="1701" w:header="851" w:footer="992" w:gutter="0"/>
          <w:cols w:space="425"/>
          <w:docGrid w:linePitch="312"/>
        </w:sectPr>
      </w:pPr>
      <w:r>
        <w:rPr>
          <w:color w:val="000000"/>
          <w:sz w:val="24"/>
        </w:rPr>
        <w:t>（</w:t>
      </w:r>
      <w:r>
        <w:rPr>
          <w:color w:val="000000"/>
          <w:sz w:val="24"/>
        </w:rPr>
        <w:t>2</w:t>
      </w:r>
      <w:r>
        <w:rPr>
          <w:color w:val="000000"/>
          <w:sz w:val="24"/>
        </w:rPr>
        <w:t>）根据排污口管理档案内容要求，项目建成投产营运后，应将主要污染物种类、数量、浓度、排放去向、立标情况及设施运行情况纪录于档案内。</w:t>
      </w:r>
      <w:bookmarkEnd w:id="553"/>
      <w:bookmarkEnd w:id="554"/>
      <w:bookmarkEnd w:id="555"/>
      <w:bookmarkEnd w:id="556"/>
      <w:bookmarkEnd w:id="557"/>
    </w:p>
    <w:p w:rsidR="00C223F5" w:rsidRDefault="005860D5">
      <w:pPr>
        <w:jc w:val="center"/>
        <w:rPr>
          <w:b/>
          <w:sz w:val="24"/>
        </w:rPr>
      </w:pPr>
      <w:r>
        <w:rPr>
          <w:b/>
          <w:sz w:val="24"/>
        </w:rPr>
        <w:lastRenderedPageBreak/>
        <w:t>表</w:t>
      </w:r>
      <w:r>
        <w:rPr>
          <w:b/>
          <w:sz w:val="24"/>
        </w:rPr>
        <w:t>7.</w:t>
      </w:r>
      <w:r>
        <w:rPr>
          <w:rFonts w:hint="eastAsia"/>
          <w:b/>
          <w:sz w:val="24"/>
        </w:rPr>
        <w:t>4</w:t>
      </w:r>
      <w:r>
        <w:rPr>
          <w:b/>
          <w:sz w:val="24"/>
        </w:rPr>
        <w:t xml:space="preserve">-1  </w:t>
      </w:r>
      <w:r>
        <w:rPr>
          <w:b/>
          <w:sz w:val="24"/>
        </w:rPr>
        <w:t>项目污染物排放清单</w:t>
      </w:r>
      <w:r>
        <w:rPr>
          <w:rFonts w:hint="eastAsia"/>
          <w:b/>
          <w:sz w:val="24"/>
        </w:rPr>
        <w:t>及排放管理要求一览表</w:t>
      </w:r>
    </w:p>
    <w:tbl>
      <w:tblPr>
        <w:tblW w:w="14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0" w:type="dxa"/>
          <w:bottom w:w="11" w:type="dxa"/>
          <w:right w:w="0" w:type="dxa"/>
        </w:tblCellMar>
        <w:tblLook w:val="04A0" w:firstRow="1" w:lastRow="0" w:firstColumn="1" w:lastColumn="0" w:noHBand="0" w:noVBand="1"/>
      </w:tblPr>
      <w:tblGrid>
        <w:gridCol w:w="723"/>
        <w:gridCol w:w="1826"/>
        <w:gridCol w:w="1155"/>
        <w:gridCol w:w="2573"/>
        <w:gridCol w:w="1072"/>
        <w:gridCol w:w="1086"/>
        <w:gridCol w:w="993"/>
        <w:gridCol w:w="937"/>
        <w:gridCol w:w="2000"/>
        <w:gridCol w:w="1280"/>
        <w:gridCol w:w="977"/>
      </w:tblGrid>
      <w:tr w:rsidR="00C223F5">
        <w:trPr>
          <w:trHeight w:val="20"/>
          <w:jc w:val="center"/>
        </w:trPr>
        <w:tc>
          <w:tcPr>
            <w:tcW w:w="723" w:type="dxa"/>
            <w:vAlign w:val="center"/>
          </w:tcPr>
          <w:p w:rsidR="00C223F5" w:rsidRDefault="005860D5">
            <w:pPr>
              <w:adjustRightInd w:val="0"/>
              <w:snapToGrid w:val="0"/>
              <w:jc w:val="center"/>
              <w:rPr>
                <w:b/>
                <w:szCs w:val="21"/>
              </w:rPr>
            </w:pPr>
            <w:bookmarkStart w:id="576" w:name="_Hlk485293850"/>
            <w:r>
              <w:rPr>
                <w:rFonts w:ascii="宋体" w:hAnsi="宋体" w:cs="宋体" w:hint="eastAsia"/>
                <w:b/>
                <w:szCs w:val="21"/>
              </w:rPr>
              <w:t>类别</w:t>
            </w:r>
          </w:p>
        </w:tc>
        <w:tc>
          <w:tcPr>
            <w:tcW w:w="1826" w:type="dxa"/>
            <w:vAlign w:val="center"/>
          </w:tcPr>
          <w:p w:rsidR="00C223F5" w:rsidRDefault="005860D5">
            <w:pPr>
              <w:adjustRightInd w:val="0"/>
              <w:snapToGrid w:val="0"/>
              <w:jc w:val="center"/>
              <w:rPr>
                <w:b/>
                <w:szCs w:val="21"/>
              </w:rPr>
            </w:pPr>
            <w:r>
              <w:rPr>
                <w:rFonts w:ascii="宋体" w:hAnsi="宋体" w:cs="宋体" w:hint="eastAsia"/>
                <w:b/>
                <w:szCs w:val="21"/>
              </w:rPr>
              <w:t>污染源</w:t>
            </w:r>
          </w:p>
        </w:tc>
        <w:tc>
          <w:tcPr>
            <w:tcW w:w="1155" w:type="dxa"/>
            <w:vAlign w:val="center"/>
          </w:tcPr>
          <w:p w:rsidR="00C223F5" w:rsidRDefault="005860D5">
            <w:pPr>
              <w:adjustRightInd w:val="0"/>
              <w:snapToGrid w:val="0"/>
              <w:jc w:val="center"/>
              <w:rPr>
                <w:b/>
                <w:szCs w:val="21"/>
              </w:rPr>
            </w:pPr>
            <w:r>
              <w:rPr>
                <w:rFonts w:ascii="宋体" w:hAnsi="宋体" w:cs="宋体" w:hint="eastAsia"/>
                <w:b/>
                <w:szCs w:val="21"/>
              </w:rPr>
              <w:t>主要污染物</w:t>
            </w:r>
          </w:p>
        </w:tc>
        <w:tc>
          <w:tcPr>
            <w:tcW w:w="2573" w:type="dxa"/>
            <w:vAlign w:val="center"/>
          </w:tcPr>
          <w:p w:rsidR="00C223F5" w:rsidRDefault="005860D5">
            <w:pPr>
              <w:adjustRightInd w:val="0"/>
              <w:snapToGrid w:val="0"/>
              <w:jc w:val="center"/>
              <w:rPr>
                <w:b/>
                <w:szCs w:val="21"/>
              </w:rPr>
            </w:pPr>
            <w:r>
              <w:rPr>
                <w:rFonts w:ascii="宋体" w:hAnsi="宋体" w:cs="宋体" w:hint="eastAsia"/>
                <w:b/>
                <w:szCs w:val="21"/>
              </w:rPr>
              <w:t>环保措施</w:t>
            </w:r>
          </w:p>
        </w:tc>
        <w:tc>
          <w:tcPr>
            <w:tcW w:w="1072" w:type="dxa"/>
            <w:vAlign w:val="center"/>
          </w:tcPr>
          <w:p w:rsidR="00C223F5" w:rsidRDefault="005860D5">
            <w:pPr>
              <w:adjustRightInd w:val="0"/>
              <w:snapToGrid w:val="0"/>
              <w:jc w:val="center"/>
              <w:rPr>
                <w:b/>
                <w:szCs w:val="21"/>
              </w:rPr>
            </w:pPr>
            <w:r>
              <w:rPr>
                <w:rFonts w:ascii="宋体" w:hAnsi="宋体" w:cs="宋体" w:hint="eastAsia"/>
                <w:b/>
                <w:szCs w:val="21"/>
              </w:rPr>
              <w:t>处理后/排放浓度</w:t>
            </w:r>
          </w:p>
        </w:tc>
        <w:tc>
          <w:tcPr>
            <w:tcW w:w="1086" w:type="dxa"/>
            <w:vAlign w:val="center"/>
          </w:tcPr>
          <w:p w:rsidR="00C223F5" w:rsidRDefault="005860D5">
            <w:pPr>
              <w:adjustRightInd w:val="0"/>
              <w:snapToGrid w:val="0"/>
              <w:jc w:val="center"/>
              <w:rPr>
                <w:b/>
                <w:szCs w:val="21"/>
              </w:rPr>
            </w:pPr>
            <w:r>
              <w:rPr>
                <w:rFonts w:ascii="宋体" w:hAnsi="宋体" w:cs="宋体" w:hint="eastAsia"/>
                <w:b/>
                <w:szCs w:val="21"/>
              </w:rPr>
              <w:t>排放量</w:t>
            </w:r>
          </w:p>
        </w:tc>
        <w:tc>
          <w:tcPr>
            <w:tcW w:w="993" w:type="dxa"/>
            <w:vAlign w:val="center"/>
          </w:tcPr>
          <w:p w:rsidR="00C223F5" w:rsidRDefault="005860D5">
            <w:pPr>
              <w:adjustRightInd w:val="0"/>
              <w:snapToGrid w:val="0"/>
              <w:jc w:val="center"/>
              <w:rPr>
                <w:b/>
                <w:szCs w:val="21"/>
              </w:rPr>
            </w:pPr>
            <w:r>
              <w:rPr>
                <w:rFonts w:ascii="宋体" w:hAnsi="宋体" w:cs="宋体" w:hint="eastAsia"/>
                <w:b/>
                <w:szCs w:val="21"/>
              </w:rPr>
              <w:t>总量指标</w:t>
            </w:r>
          </w:p>
        </w:tc>
        <w:tc>
          <w:tcPr>
            <w:tcW w:w="937" w:type="dxa"/>
            <w:vAlign w:val="center"/>
          </w:tcPr>
          <w:p w:rsidR="00C223F5" w:rsidRDefault="005860D5">
            <w:pPr>
              <w:adjustRightInd w:val="0"/>
              <w:snapToGrid w:val="0"/>
              <w:jc w:val="center"/>
              <w:rPr>
                <w:b/>
                <w:szCs w:val="21"/>
              </w:rPr>
            </w:pPr>
            <w:r>
              <w:rPr>
                <w:rFonts w:ascii="宋体" w:hAnsi="宋体" w:cs="宋体" w:hint="eastAsia"/>
                <w:b/>
                <w:szCs w:val="21"/>
              </w:rPr>
              <w:t>排放时段</w:t>
            </w:r>
          </w:p>
        </w:tc>
        <w:tc>
          <w:tcPr>
            <w:tcW w:w="2000" w:type="dxa"/>
            <w:vAlign w:val="center"/>
          </w:tcPr>
          <w:p w:rsidR="00C223F5" w:rsidRDefault="005860D5">
            <w:pPr>
              <w:adjustRightInd w:val="0"/>
              <w:snapToGrid w:val="0"/>
              <w:jc w:val="center"/>
              <w:rPr>
                <w:b/>
                <w:szCs w:val="21"/>
              </w:rPr>
            </w:pPr>
            <w:r>
              <w:rPr>
                <w:rFonts w:ascii="宋体" w:hAnsi="宋体" w:cs="宋体" w:hint="eastAsia"/>
                <w:b/>
                <w:szCs w:val="21"/>
              </w:rPr>
              <w:t>排污口信息</w:t>
            </w:r>
          </w:p>
        </w:tc>
        <w:tc>
          <w:tcPr>
            <w:tcW w:w="1280" w:type="dxa"/>
            <w:vAlign w:val="center"/>
          </w:tcPr>
          <w:p w:rsidR="00C223F5" w:rsidRDefault="005860D5">
            <w:pPr>
              <w:adjustRightInd w:val="0"/>
              <w:snapToGrid w:val="0"/>
              <w:jc w:val="center"/>
              <w:rPr>
                <w:b/>
                <w:szCs w:val="21"/>
              </w:rPr>
            </w:pPr>
            <w:r>
              <w:rPr>
                <w:rFonts w:ascii="宋体" w:hAnsi="宋体" w:cs="宋体" w:hint="eastAsia"/>
                <w:b/>
                <w:szCs w:val="21"/>
              </w:rPr>
              <w:t>排放标准</w:t>
            </w:r>
          </w:p>
        </w:tc>
        <w:tc>
          <w:tcPr>
            <w:tcW w:w="977" w:type="dxa"/>
            <w:vAlign w:val="center"/>
          </w:tcPr>
          <w:p w:rsidR="00C223F5" w:rsidRDefault="005860D5">
            <w:pPr>
              <w:adjustRightInd w:val="0"/>
              <w:snapToGrid w:val="0"/>
              <w:jc w:val="center"/>
              <w:rPr>
                <w:b/>
                <w:szCs w:val="21"/>
              </w:rPr>
            </w:pPr>
            <w:r>
              <w:rPr>
                <w:rFonts w:ascii="宋体" w:hAnsi="宋体" w:cs="宋体" w:hint="eastAsia"/>
                <w:b/>
                <w:szCs w:val="21"/>
              </w:rPr>
              <w:t>环境监测</w:t>
            </w:r>
          </w:p>
        </w:tc>
      </w:tr>
      <w:tr w:rsidR="00C223F5">
        <w:trPr>
          <w:trHeight w:val="450"/>
          <w:jc w:val="center"/>
        </w:trPr>
        <w:tc>
          <w:tcPr>
            <w:tcW w:w="723" w:type="dxa"/>
            <w:vMerge w:val="restart"/>
            <w:tcBorders>
              <w:bottom w:val="single" w:sz="4" w:space="0" w:color="auto"/>
            </w:tcBorders>
            <w:vAlign w:val="center"/>
          </w:tcPr>
          <w:p w:rsidR="00C223F5" w:rsidRDefault="005860D5">
            <w:pPr>
              <w:adjustRightInd w:val="0"/>
              <w:snapToGrid w:val="0"/>
              <w:jc w:val="center"/>
              <w:rPr>
                <w:szCs w:val="21"/>
              </w:rPr>
            </w:pPr>
            <w:r>
              <w:rPr>
                <w:rFonts w:ascii="宋体" w:hAnsi="宋体" w:cs="宋体" w:hint="eastAsia"/>
                <w:szCs w:val="21"/>
              </w:rPr>
              <w:t>废气</w:t>
            </w:r>
          </w:p>
        </w:tc>
        <w:tc>
          <w:tcPr>
            <w:tcW w:w="1826" w:type="dxa"/>
            <w:tcBorders>
              <w:bottom w:val="single" w:sz="4" w:space="0" w:color="auto"/>
            </w:tcBorders>
            <w:vAlign w:val="center"/>
          </w:tcPr>
          <w:p w:rsidR="00C223F5" w:rsidRDefault="005860D5">
            <w:pPr>
              <w:adjustRightInd w:val="0"/>
              <w:snapToGrid w:val="0"/>
              <w:jc w:val="center"/>
              <w:rPr>
                <w:szCs w:val="21"/>
              </w:rPr>
            </w:pPr>
            <w:r>
              <w:rPr>
                <w:rFonts w:ascii="宋体" w:hAnsi="宋体" w:cs="宋体" w:hint="eastAsia"/>
                <w:szCs w:val="21"/>
              </w:rPr>
              <w:t>筛破车间及主厂房</w:t>
            </w:r>
          </w:p>
        </w:tc>
        <w:tc>
          <w:tcPr>
            <w:tcW w:w="1155" w:type="dxa"/>
            <w:tcBorders>
              <w:bottom w:val="single" w:sz="4" w:space="0" w:color="auto"/>
            </w:tcBorders>
            <w:vAlign w:val="center"/>
          </w:tcPr>
          <w:p w:rsidR="00C223F5" w:rsidRDefault="005860D5">
            <w:pPr>
              <w:adjustRightInd w:val="0"/>
              <w:snapToGrid w:val="0"/>
              <w:jc w:val="center"/>
              <w:rPr>
                <w:szCs w:val="21"/>
              </w:rPr>
            </w:pPr>
            <w:r>
              <w:rPr>
                <w:rFonts w:ascii="宋体" w:hAnsi="宋体" w:cs="宋体" w:hint="eastAsia"/>
                <w:szCs w:val="21"/>
              </w:rPr>
              <w:t>无组织粉尘</w:t>
            </w:r>
          </w:p>
        </w:tc>
        <w:tc>
          <w:tcPr>
            <w:tcW w:w="2573" w:type="dxa"/>
            <w:tcBorders>
              <w:bottom w:val="single" w:sz="4" w:space="0" w:color="auto"/>
            </w:tcBorders>
            <w:vAlign w:val="center"/>
          </w:tcPr>
          <w:p w:rsidR="00C223F5" w:rsidRDefault="005860D5">
            <w:pPr>
              <w:adjustRightInd w:val="0"/>
              <w:snapToGrid w:val="0"/>
              <w:jc w:val="center"/>
              <w:rPr>
                <w:szCs w:val="21"/>
              </w:rPr>
            </w:pPr>
            <w:r>
              <w:rPr>
                <w:rFonts w:hint="eastAsia"/>
                <w:szCs w:val="21"/>
              </w:rPr>
              <w:t>集尘罩、微米级干雾装置</w:t>
            </w:r>
          </w:p>
        </w:tc>
        <w:tc>
          <w:tcPr>
            <w:tcW w:w="1072" w:type="dxa"/>
            <w:tcBorders>
              <w:bottom w:val="single" w:sz="4" w:space="0" w:color="auto"/>
            </w:tcBorders>
            <w:vAlign w:val="center"/>
          </w:tcPr>
          <w:p w:rsidR="00C223F5" w:rsidRDefault="005860D5">
            <w:pPr>
              <w:adjustRightInd w:val="0"/>
              <w:jc w:val="center"/>
              <w:rPr>
                <w:szCs w:val="21"/>
              </w:rPr>
            </w:pPr>
            <w:r>
              <w:rPr>
                <w:rFonts w:hint="eastAsia"/>
                <w:szCs w:val="21"/>
              </w:rPr>
              <w:t>10</w:t>
            </w:r>
            <w:r>
              <w:rPr>
                <w:szCs w:val="21"/>
              </w:rPr>
              <w:t>mg/m</w:t>
            </w:r>
            <w:r>
              <w:rPr>
                <w:szCs w:val="21"/>
                <w:vertAlign w:val="superscript"/>
              </w:rPr>
              <w:t>3</w:t>
            </w:r>
          </w:p>
        </w:tc>
        <w:tc>
          <w:tcPr>
            <w:tcW w:w="1086" w:type="dxa"/>
            <w:tcBorders>
              <w:bottom w:val="single" w:sz="4" w:space="0" w:color="auto"/>
            </w:tcBorders>
            <w:vAlign w:val="center"/>
          </w:tcPr>
          <w:p w:rsidR="00C223F5" w:rsidRDefault="005860D5">
            <w:pPr>
              <w:adjustRightInd w:val="0"/>
              <w:jc w:val="center"/>
              <w:rPr>
                <w:szCs w:val="21"/>
              </w:rPr>
            </w:pPr>
            <w:r>
              <w:rPr>
                <w:rFonts w:hint="eastAsia"/>
                <w:szCs w:val="21"/>
              </w:rPr>
              <w:t>0.063</w:t>
            </w:r>
            <w:r>
              <w:rPr>
                <w:szCs w:val="21"/>
              </w:rPr>
              <w:t>t/a</w:t>
            </w:r>
          </w:p>
        </w:tc>
        <w:tc>
          <w:tcPr>
            <w:tcW w:w="993" w:type="dxa"/>
            <w:tcBorders>
              <w:bottom w:val="single" w:sz="4" w:space="0" w:color="auto"/>
            </w:tcBorders>
            <w:vAlign w:val="center"/>
          </w:tcPr>
          <w:p w:rsidR="00C223F5" w:rsidRDefault="005860D5">
            <w:pPr>
              <w:adjustRightInd w:val="0"/>
              <w:snapToGrid w:val="0"/>
              <w:jc w:val="center"/>
              <w:rPr>
                <w:szCs w:val="21"/>
              </w:rPr>
            </w:pPr>
            <w:r>
              <w:rPr>
                <w:rFonts w:hint="eastAsia"/>
                <w:szCs w:val="21"/>
              </w:rPr>
              <w:t>/</w:t>
            </w:r>
          </w:p>
        </w:tc>
        <w:tc>
          <w:tcPr>
            <w:tcW w:w="937" w:type="dxa"/>
            <w:tcBorders>
              <w:bottom w:val="single" w:sz="4" w:space="0" w:color="auto"/>
            </w:tcBorders>
            <w:vAlign w:val="center"/>
          </w:tcPr>
          <w:p w:rsidR="00C223F5" w:rsidRDefault="005860D5">
            <w:pPr>
              <w:adjustRightInd w:val="0"/>
              <w:snapToGrid w:val="0"/>
              <w:jc w:val="center"/>
              <w:rPr>
                <w:szCs w:val="21"/>
              </w:rPr>
            </w:pPr>
            <w:r>
              <w:rPr>
                <w:rFonts w:hint="eastAsia"/>
                <w:szCs w:val="21"/>
              </w:rPr>
              <w:t>/</w:t>
            </w:r>
          </w:p>
        </w:tc>
        <w:tc>
          <w:tcPr>
            <w:tcW w:w="2000" w:type="dxa"/>
            <w:tcBorders>
              <w:bottom w:val="single" w:sz="4" w:space="0" w:color="auto"/>
            </w:tcBorders>
            <w:vAlign w:val="center"/>
          </w:tcPr>
          <w:p w:rsidR="00C223F5" w:rsidRDefault="005860D5">
            <w:pPr>
              <w:adjustRightInd w:val="0"/>
              <w:snapToGrid w:val="0"/>
              <w:jc w:val="center"/>
              <w:rPr>
                <w:szCs w:val="21"/>
              </w:rPr>
            </w:pPr>
            <w:r>
              <w:rPr>
                <w:rFonts w:hint="eastAsia"/>
                <w:szCs w:val="21"/>
              </w:rPr>
              <w:t>/</w:t>
            </w:r>
          </w:p>
        </w:tc>
        <w:tc>
          <w:tcPr>
            <w:tcW w:w="1280" w:type="dxa"/>
            <w:tcBorders>
              <w:bottom w:val="single" w:sz="4" w:space="0" w:color="auto"/>
            </w:tcBorders>
            <w:vAlign w:val="center"/>
          </w:tcPr>
          <w:p w:rsidR="00C223F5" w:rsidRDefault="005860D5">
            <w:pPr>
              <w:adjustRightInd w:val="0"/>
              <w:snapToGrid w:val="0"/>
              <w:jc w:val="center"/>
              <w:rPr>
                <w:szCs w:val="21"/>
              </w:rPr>
            </w:pPr>
            <w:r>
              <w:rPr>
                <w:rFonts w:hint="eastAsia"/>
                <w:szCs w:val="21"/>
              </w:rPr>
              <w:t>10</w:t>
            </w:r>
            <w:r>
              <w:rPr>
                <w:szCs w:val="21"/>
              </w:rPr>
              <w:t>mg/m</w:t>
            </w:r>
            <w:r>
              <w:rPr>
                <w:szCs w:val="21"/>
                <w:vertAlign w:val="superscript"/>
              </w:rPr>
              <w:t>3</w:t>
            </w:r>
          </w:p>
        </w:tc>
        <w:tc>
          <w:tcPr>
            <w:tcW w:w="977" w:type="dxa"/>
            <w:vMerge w:val="restart"/>
            <w:tcBorders>
              <w:bottom w:val="single" w:sz="4" w:space="0" w:color="auto"/>
            </w:tcBorders>
            <w:vAlign w:val="center"/>
          </w:tcPr>
          <w:p w:rsidR="00C223F5" w:rsidRDefault="005860D5">
            <w:pPr>
              <w:adjustRightInd w:val="0"/>
              <w:snapToGrid w:val="0"/>
              <w:jc w:val="center"/>
              <w:rPr>
                <w:szCs w:val="21"/>
              </w:rPr>
            </w:pPr>
            <w:r>
              <w:rPr>
                <w:rFonts w:ascii="宋体" w:hAnsi="宋体" w:cs="宋体" w:hint="eastAsia"/>
                <w:szCs w:val="21"/>
              </w:rPr>
              <w:t>委托第三方监测，</w:t>
            </w:r>
          </w:p>
          <w:p w:rsidR="00C223F5" w:rsidRDefault="005860D5">
            <w:pPr>
              <w:adjustRightInd w:val="0"/>
              <w:snapToGrid w:val="0"/>
              <w:jc w:val="center"/>
              <w:rPr>
                <w:szCs w:val="21"/>
              </w:rPr>
            </w:pPr>
            <w:r>
              <w:rPr>
                <w:rFonts w:hint="eastAsia"/>
                <w:szCs w:val="21"/>
              </w:rPr>
              <w:t>2</w:t>
            </w:r>
            <w:r>
              <w:rPr>
                <w:rFonts w:ascii="宋体" w:hAnsi="宋体" w:cs="宋体" w:hint="eastAsia"/>
                <w:szCs w:val="21"/>
              </w:rPr>
              <w:t>次</w:t>
            </w:r>
            <w:r>
              <w:rPr>
                <w:rFonts w:hint="eastAsia"/>
                <w:szCs w:val="21"/>
              </w:rPr>
              <w:t>/</w:t>
            </w:r>
            <w:r>
              <w:rPr>
                <w:rFonts w:ascii="宋体" w:hAnsi="宋体" w:cs="宋体" w:hint="eastAsia"/>
                <w:szCs w:val="21"/>
              </w:rPr>
              <w:t>年</w:t>
            </w:r>
          </w:p>
        </w:tc>
      </w:tr>
      <w:tr w:rsidR="00C223F5">
        <w:trPr>
          <w:trHeight w:val="308"/>
          <w:jc w:val="center"/>
        </w:trPr>
        <w:tc>
          <w:tcPr>
            <w:tcW w:w="723" w:type="dxa"/>
            <w:vMerge/>
            <w:vAlign w:val="center"/>
          </w:tcPr>
          <w:p w:rsidR="00C223F5" w:rsidRDefault="00C223F5">
            <w:pPr>
              <w:adjustRightInd w:val="0"/>
              <w:snapToGrid w:val="0"/>
              <w:jc w:val="center"/>
              <w:rPr>
                <w:szCs w:val="21"/>
              </w:rPr>
            </w:pPr>
          </w:p>
        </w:tc>
        <w:tc>
          <w:tcPr>
            <w:tcW w:w="1826" w:type="dxa"/>
            <w:tcBorders>
              <w:bottom w:val="single" w:sz="4" w:space="0" w:color="auto"/>
            </w:tcBorders>
            <w:vAlign w:val="center"/>
          </w:tcPr>
          <w:p w:rsidR="00C223F5" w:rsidRDefault="005860D5">
            <w:pPr>
              <w:adjustRightInd w:val="0"/>
              <w:snapToGrid w:val="0"/>
              <w:jc w:val="center"/>
              <w:rPr>
                <w:rFonts w:ascii="宋体" w:hAnsi="宋体" w:cs="宋体"/>
                <w:szCs w:val="21"/>
              </w:rPr>
            </w:pPr>
            <w:r>
              <w:rPr>
                <w:rFonts w:ascii="宋体" w:hAnsi="宋体" w:cs="宋体" w:hint="eastAsia"/>
                <w:szCs w:val="21"/>
              </w:rPr>
              <w:t>煤仓</w:t>
            </w:r>
          </w:p>
        </w:tc>
        <w:tc>
          <w:tcPr>
            <w:tcW w:w="1155" w:type="dxa"/>
            <w:tcBorders>
              <w:bottom w:val="single" w:sz="4" w:space="0" w:color="auto"/>
            </w:tcBorders>
            <w:vAlign w:val="center"/>
          </w:tcPr>
          <w:p w:rsidR="00C223F5" w:rsidRDefault="005860D5">
            <w:pPr>
              <w:adjustRightInd w:val="0"/>
              <w:snapToGrid w:val="0"/>
              <w:jc w:val="center"/>
              <w:rPr>
                <w:rFonts w:ascii="宋体" w:hAnsi="宋体" w:cs="宋体"/>
                <w:szCs w:val="21"/>
              </w:rPr>
            </w:pPr>
            <w:r>
              <w:rPr>
                <w:rFonts w:ascii="宋体" w:hAnsi="宋体" w:cs="宋体" w:hint="eastAsia"/>
                <w:szCs w:val="21"/>
              </w:rPr>
              <w:t>无组织粉尘</w:t>
            </w:r>
          </w:p>
        </w:tc>
        <w:tc>
          <w:tcPr>
            <w:tcW w:w="2573" w:type="dxa"/>
            <w:tcBorders>
              <w:bottom w:val="single" w:sz="4" w:space="0" w:color="auto"/>
            </w:tcBorders>
            <w:vAlign w:val="center"/>
          </w:tcPr>
          <w:p w:rsidR="00C223F5" w:rsidRDefault="005860D5">
            <w:pPr>
              <w:jc w:val="center"/>
              <w:rPr>
                <w:szCs w:val="21"/>
              </w:rPr>
            </w:pPr>
            <w:r>
              <w:rPr>
                <w:rFonts w:hint="eastAsia"/>
                <w:szCs w:val="21"/>
              </w:rPr>
              <w:t>干雾抑尘喷头</w:t>
            </w:r>
          </w:p>
        </w:tc>
        <w:tc>
          <w:tcPr>
            <w:tcW w:w="1072" w:type="dxa"/>
            <w:tcBorders>
              <w:bottom w:val="single" w:sz="4" w:space="0" w:color="auto"/>
            </w:tcBorders>
            <w:vAlign w:val="center"/>
          </w:tcPr>
          <w:p w:rsidR="00C223F5" w:rsidRDefault="005860D5">
            <w:pPr>
              <w:adjustRightInd w:val="0"/>
              <w:jc w:val="center"/>
              <w:rPr>
                <w:szCs w:val="21"/>
              </w:rPr>
            </w:pPr>
            <w:r>
              <w:rPr>
                <w:rFonts w:hint="eastAsia"/>
                <w:szCs w:val="21"/>
              </w:rPr>
              <w:t>/</w:t>
            </w:r>
          </w:p>
        </w:tc>
        <w:tc>
          <w:tcPr>
            <w:tcW w:w="1086" w:type="dxa"/>
            <w:tcBorders>
              <w:bottom w:val="single" w:sz="4" w:space="0" w:color="auto"/>
            </w:tcBorders>
            <w:vAlign w:val="center"/>
          </w:tcPr>
          <w:p w:rsidR="00C223F5" w:rsidRDefault="005860D5">
            <w:pPr>
              <w:adjustRightInd w:val="0"/>
              <w:jc w:val="center"/>
              <w:rPr>
                <w:szCs w:val="21"/>
              </w:rPr>
            </w:pPr>
            <w:r>
              <w:rPr>
                <w:rFonts w:hint="eastAsia"/>
                <w:szCs w:val="21"/>
              </w:rPr>
              <w:t>/</w:t>
            </w:r>
          </w:p>
        </w:tc>
        <w:tc>
          <w:tcPr>
            <w:tcW w:w="993" w:type="dxa"/>
            <w:tcBorders>
              <w:bottom w:val="single" w:sz="4" w:space="0" w:color="auto"/>
            </w:tcBorders>
            <w:vAlign w:val="center"/>
          </w:tcPr>
          <w:p w:rsidR="00C223F5" w:rsidRDefault="005860D5">
            <w:pPr>
              <w:adjustRightInd w:val="0"/>
              <w:snapToGrid w:val="0"/>
              <w:jc w:val="center"/>
              <w:rPr>
                <w:szCs w:val="21"/>
              </w:rPr>
            </w:pPr>
            <w:r>
              <w:rPr>
                <w:rFonts w:hint="eastAsia"/>
                <w:szCs w:val="21"/>
              </w:rPr>
              <w:t>/</w:t>
            </w:r>
          </w:p>
        </w:tc>
        <w:tc>
          <w:tcPr>
            <w:tcW w:w="937" w:type="dxa"/>
            <w:tcBorders>
              <w:bottom w:val="single" w:sz="4" w:space="0" w:color="auto"/>
            </w:tcBorders>
            <w:vAlign w:val="center"/>
          </w:tcPr>
          <w:p w:rsidR="00C223F5" w:rsidRDefault="005860D5">
            <w:pPr>
              <w:adjustRightInd w:val="0"/>
              <w:snapToGrid w:val="0"/>
              <w:jc w:val="center"/>
              <w:rPr>
                <w:szCs w:val="21"/>
              </w:rPr>
            </w:pPr>
            <w:r>
              <w:rPr>
                <w:rFonts w:hint="eastAsia"/>
                <w:szCs w:val="21"/>
              </w:rPr>
              <w:t>/</w:t>
            </w:r>
          </w:p>
        </w:tc>
        <w:tc>
          <w:tcPr>
            <w:tcW w:w="2000" w:type="dxa"/>
            <w:tcBorders>
              <w:bottom w:val="single" w:sz="4" w:space="0" w:color="auto"/>
            </w:tcBorders>
            <w:vAlign w:val="center"/>
          </w:tcPr>
          <w:p w:rsidR="00C223F5" w:rsidRDefault="005860D5">
            <w:pPr>
              <w:adjustRightInd w:val="0"/>
              <w:snapToGrid w:val="0"/>
              <w:jc w:val="center"/>
              <w:rPr>
                <w:szCs w:val="21"/>
              </w:rPr>
            </w:pPr>
            <w:r>
              <w:rPr>
                <w:rFonts w:hint="eastAsia"/>
                <w:szCs w:val="21"/>
              </w:rPr>
              <w:t>/</w:t>
            </w:r>
          </w:p>
        </w:tc>
        <w:tc>
          <w:tcPr>
            <w:tcW w:w="1280" w:type="dxa"/>
            <w:tcBorders>
              <w:bottom w:val="single" w:sz="4" w:space="0" w:color="auto"/>
            </w:tcBorders>
            <w:vAlign w:val="center"/>
          </w:tcPr>
          <w:p w:rsidR="00C223F5" w:rsidRDefault="005860D5">
            <w:pPr>
              <w:adjustRightInd w:val="0"/>
              <w:snapToGrid w:val="0"/>
              <w:jc w:val="center"/>
              <w:rPr>
                <w:szCs w:val="21"/>
              </w:rPr>
            </w:pPr>
            <w:r>
              <w:rPr>
                <w:rFonts w:hint="eastAsia"/>
                <w:szCs w:val="21"/>
              </w:rPr>
              <w:t>/</w:t>
            </w:r>
          </w:p>
        </w:tc>
        <w:tc>
          <w:tcPr>
            <w:tcW w:w="977" w:type="dxa"/>
            <w:vMerge/>
            <w:vAlign w:val="center"/>
          </w:tcPr>
          <w:p w:rsidR="00C223F5" w:rsidRDefault="00C223F5">
            <w:pPr>
              <w:adjustRightInd w:val="0"/>
              <w:snapToGrid w:val="0"/>
              <w:jc w:val="center"/>
              <w:rPr>
                <w:szCs w:val="21"/>
              </w:rPr>
            </w:pPr>
          </w:p>
        </w:tc>
      </w:tr>
      <w:tr w:rsidR="00C223F5">
        <w:trPr>
          <w:trHeight w:val="280"/>
          <w:jc w:val="center"/>
        </w:trPr>
        <w:tc>
          <w:tcPr>
            <w:tcW w:w="723" w:type="dxa"/>
            <w:vMerge/>
            <w:vAlign w:val="center"/>
          </w:tcPr>
          <w:p w:rsidR="00C223F5" w:rsidRDefault="00C223F5">
            <w:pPr>
              <w:adjustRightInd w:val="0"/>
              <w:snapToGrid w:val="0"/>
              <w:jc w:val="center"/>
              <w:rPr>
                <w:szCs w:val="21"/>
              </w:rPr>
            </w:pPr>
          </w:p>
        </w:tc>
        <w:tc>
          <w:tcPr>
            <w:tcW w:w="1826" w:type="dxa"/>
            <w:vAlign w:val="center"/>
          </w:tcPr>
          <w:p w:rsidR="00C223F5" w:rsidRDefault="005860D5">
            <w:pPr>
              <w:adjustRightInd w:val="0"/>
              <w:snapToGrid w:val="0"/>
              <w:jc w:val="center"/>
              <w:rPr>
                <w:szCs w:val="21"/>
              </w:rPr>
            </w:pPr>
            <w:r>
              <w:rPr>
                <w:rFonts w:ascii="宋体" w:hAnsi="宋体" w:cs="宋体" w:hint="eastAsia"/>
                <w:szCs w:val="21"/>
              </w:rPr>
              <w:t>工业场地</w:t>
            </w:r>
          </w:p>
        </w:tc>
        <w:tc>
          <w:tcPr>
            <w:tcW w:w="1155" w:type="dxa"/>
            <w:vAlign w:val="center"/>
          </w:tcPr>
          <w:p w:rsidR="00C223F5" w:rsidRDefault="005860D5">
            <w:pPr>
              <w:adjustRightInd w:val="0"/>
              <w:snapToGrid w:val="0"/>
              <w:jc w:val="center"/>
              <w:rPr>
                <w:szCs w:val="21"/>
              </w:rPr>
            </w:pPr>
            <w:r>
              <w:rPr>
                <w:rFonts w:ascii="宋体" w:hAnsi="宋体" w:cs="宋体" w:hint="eastAsia"/>
                <w:szCs w:val="21"/>
              </w:rPr>
              <w:t>无组织粉尘</w:t>
            </w:r>
          </w:p>
        </w:tc>
        <w:tc>
          <w:tcPr>
            <w:tcW w:w="2573" w:type="dxa"/>
            <w:vAlign w:val="center"/>
          </w:tcPr>
          <w:p w:rsidR="00C223F5" w:rsidRDefault="005860D5">
            <w:pPr>
              <w:adjustRightInd w:val="0"/>
              <w:snapToGrid w:val="0"/>
              <w:jc w:val="center"/>
              <w:rPr>
                <w:szCs w:val="21"/>
              </w:rPr>
            </w:pPr>
            <w:r>
              <w:rPr>
                <w:rFonts w:hint="eastAsia"/>
                <w:szCs w:val="21"/>
              </w:rPr>
              <w:t>厂房、输煤系统封闭、洒水降尘等</w:t>
            </w:r>
          </w:p>
        </w:tc>
        <w:tc>
          <w:tcPr>
            <w:tcW w:w="1072" w:type="dxa"/>
            <w:vAlign w:val="center"/>
          </w:tcPr>
          <w:p w:rsidR="00C223F5" w:rsidRDefault="005860D5">
            <w:pPr>
              <w:adjustRightInd w:val="0"/>
              <w:snapToGrid w:val="0"/>
              <w:jc w:val="center"/>
              <w:rPr>
                <w:szCs w:val="21"/>
              </w:rPr>
            </w:pPr>
            <w:r>
              <w:rPr>
                <w:szCs w:val="21"/>
              </w:rPr>
              <w:t>&lt;</w:t>
            </w:r>
            <w:r>
              <w:rPr>
                <w:rFonts w:hint="eastAsia"/>
                <w:szCs w:val="21"/>
              </w:rPr>
              <w:t>10</w:t>
            </w:r>
            <w:r>
              <w:rPr>
                <w:szCs w:val="21"/>
              </w:rPr>
              <w:t>mg/m</w:t>
            </w:r>
            <w:r>
              <w:rPr>
                <w:szCs w:val="21"/>
                <w:vertAlign w:val="superscript"/>
              </w:rPr>
              <w:t>3</w:t>
            </w:r>
          </w:p>
        </w:tc>
        <w:tc>
          <w:tcPr>
            <w:tcW w:w="1086" w:type="dxa"/>
            <w:vAlign w:val="center"/>
          </w:tcPr>
          <w:p w:rsidR="00C223F5" w:rsidRDefault="005860D5">
            <w:pPr>
              <w:jc w:val="center"/>
              <w:rPr>
                <w:szCs w:val="21"/>
              </w:rPr>
            </w:pPr>
            <w:r>
              <w:rPr>
                <w:rFonts w:hint="eastAsia"/>
                <w:szCs w:val="21"/>
              </w:rPr>
              <w:t>/</w:t>
            </w:r>
          </w:p>
        </w:tc>
        <w:tc>
          <w:tcPr>
            <w:tcW w:w="993" w:type="dxa"/>
            <w:vAlign w:val="center"/>
          </w:tcPr>
          <w:p w:rsidR="00C223F5" w:rsidRDefault="005860D5">
            <w:pPr>
              <w:adjustRightInd w:val="0"/>
              <w:snapToGrid w:val="0"/>
              <w:jc w:val="center"/>
              <w:rPr>
                <w:szCs w:val="21"/>
              </w:rPr>
            </w:pPr>
            <w:r>
              <w:rPr>
                <w:rFonts w:hint="eastAsia"/>
                <w:szCs w:val="21"/>
              </w:rPr>
              <w:t>/</w:t>
            </w:r>
          </w:p>
        </w:tc>
        <w:tc>
          <w:tcPr>
            <w:tcW w:w="937" w:type="dxa"/>
            <w:vAlign w:val="center"/>
          </w:tcPr>
          <w:p w:rsidR="00C223F5" w:rsidRDefault="005860D5">
            <w:pPr>
              <w:adjustRightInd w:val="0"/>
              <w:snapToGrid w:val="0"/>
              <w:jc w:val="center"/>
              <w:rPr>
                <w:szCs w:val="21"/>
              </w:rPr>
            </w:pPr>
            <w:r>
              <w:rPr>
                <w:rFonts w:hint="eastAsia"/>
                <w:szCs w:val="21"/>
              </w:rPr>
              <w:t>/</w:t>
            </w:r>
          </w:p>
        </w:tc>
        <w:tc>
          <w:tcPr>
            <w:tcW w:w="2000" w:type="dxa"/>
            <w:vAlign w:val="center"/>
          </w:tcPr>
          <w:p w:rsidR="00C223F5" w:rsidRDefault="005860D5">
            <w:pPr>
              <w:adjustRightInd w:val="0"/>
              <w:snapToGrid w:val="0"/>
              <w:jc w:val="center"/>
              <w:rPr>
                <w:szCs w:val="21"/>
              </w:rPr>
            </w:pPr>
            <w:r>
              <w:rPr>
                <w:rFonts w:hint="eastAsia"/>
                <w:szCs w:val="21"/>
              </w:rPr>
              <w:t>/</w:t>
            </w:r>
          </w:p>
        </w:tc>
        <w:tc>
          <w:tcPr>
            <w:tcW w:w="1280" w:type="dxa"/>
            <w:vAlign w:val="center"/>
          </w:tcPr>
          <w:p w:rsidR="00C223F5" w:rsidRDefault="005860D5">
            <w:pPr>
              <w:jc w:val="center"/>
              <w:rPr>
                <w:szCs w:val="21"/>
              </w:rPr>
            </w:pPr>
            <w:r>
              <w:rPr>
                <w:rFonts w:hint="eastAsia"/>
                <w:szCs w:val="21"/>
              </w:rPr>
              <w:t>厂界上下风向浓度差小于</w:t>
            </w:r>
            <w:r>
              <w:rPr>
                <w:rFonts w:hint="eastAsia"/>
                <w:szCs w:val="21"/>
              </w:rPr>
              <w:t>1mg/m</w:t>
            </w:r>
            <w:r>
              <w:rPr>
                <w:rFonts w:hint="eastAsia"/>
                <w:szCs w:val="21"/>
                <w:vertAlign w:val="superscript"/>
              </w:rPr>
              <w:t>3</w:t>
            </w:r>
          </w:p>
        </w:tc>
        <w:tc>
          <w:tcPr>
            <w:tcW w:w="977" w:type="dxa"/>
            <w:vMerge/>
            <w:vAlign w:val="center"/>
          </w:tcPr>
          <w:p w:rsidR="00C223F5" w:rsidRDefault="00C223F5">
            <w:pPr>
              <w:adjustRightInd w:val="0"/>
              <w:snapToGrid w:val="0"/>
              <w:jc w:val="center"/>
              <w:rPr>
                <w:szCs w:val="21"/>
              </w:rPr>
            </w:pPr>
          </w:p>
        </w:tc>
      </w:tr>
      <w:tr w:rsidR="00C223F5">
        <w:trPr>
          <w:trHeight w:val="350"/>
          <w:jc w:val="center"/>
        </w:trPr>
        <w:tc>
          <w:tcPr>
            <w:tcW w:w="723" w:type="dxa"/>
            <w:vMerge w:val="restart"/>
            <w:vAlign w:val="center"/>
          </w:tcPr>
          <w:p w:rsidR="00C223F5" w:rsidRDefault="005860D5">
            <w:pPr>
              <w:adjustRightInd w:val="0"/>
              <w:snapToGrid w:val="0"/>
              <w:jc w:val="center"/>
              <w:rPr>
                <w:szCs w:val="21"/>
              </w:rPr>
            </w:pPr>
            <w:r>
              <w:rPr>
                <w:rFonts w:ascii="宋体" w:hAnsi="宋体" w:cs="宋体" w:hint="eastAsia"/>
                <w:szCs w:val="21"/>
              </w:rPr>
              <w:t>废水</w:t>
            </w:r>
          </w:p>
        </w:tc>
        <w:tc>
          <w:tcPr>
            <w:tcW w:w="1826" w:type="dxa"/>
            <w:vAlign w:val="center"/>
          </w:tcPr>
          <w:p w:rsidR="00C223F5" w:rsidRDefault="005860D5">
            <w:pPr>
              <w:adjustRightInd w:val="0"/>
              <w:snapToGrid w:val="0"/>
              <w:jc w:val="center"/>
              <w:rPr>
                <w:szCs w:val="21"/>
              </w:rPr>
            </w:pPr>
            <w:r>
              <w:rPr>
                <w:rFonts w:ascii="宋体" w:hAnsi="宋体" w:cs="宋体" w:hint="eastAsia"/>
                <w:szCs w:val="21"/>
              </w:rPr>
              <w:t>生活污水</w:t>
            </w:r>
          </w:p>
        </w:tc>
        <w:tc>
          <w:tcPr>
            <w:tcW w:w="1155" w:type="dxa"/>
            <w:vAlign w:val="center"/>
          </w:tcPr>
          <w:p w:rsidR="00C223F5" w:rsidRDefault="005860D5">
            <w:pPr>
              <w:adjustRightInd w:val="0"/>
              <w:snapToGrid w:val="0"/>
              <w:jc w:val="center"/>
              <w:rPr>
                <w:szCs w:val="21"/>
              </w:rPr>
            </w:pPr>
            <w:r>
              <w:rPr>
                <w:rFonts w:hint="eastAsia"/>
                <w:szCs w:val="21"/>
              </w:rPr>
              <w:t>/</w:t>
            </w:r>
          </w:p>
        </w:tc>
        <w:tc>
          <w:tcPr>
            <w:tcW w:w="2573" w:type="dxa"/>
            <w:vAlign w:val="center"/>
          </w:tcPr>
          <w:p w:rsidR="00C223F5" w:rsidRDefault="005860D5">
            <w:pPr>
              <w:adjustRightInd w:val="0"/>
              <w:snapToGrid w:val="0"/>
              <w:jc w:val="center"/>
              <w:rPr>
                <w:szCs w:val="21"/>
              </w:rPr>
            </w:pPr>
            <w:r>
              <w:rPr>
                <w:rFonts w:ascii="宋体" w:hAnsi="宋体" w:cs="宋体" w:hint="eastAsia"/>
                <w:szCs w:val="21"/>
              </w:rPr>
              <w:t>二级生化处理，全部回用</w:t>
            </w:r>
          </w:p>
        </w:tc>
        <w:tc>
          <w:tcPr>
            <w:tcW w:w="1072" w:type="dxa"/>
            <w:vAlign w:val="center"/>
          </w:tcPr>
          <w:p w:rsidR="00C223F5" w:rsidRDefault="005860D5">
            <w:pPr>
              <w:adjustRightInd w:val="0"/>
              <w:snapToGrid w:val="0"/>
              <w:jc w:val="center"/>
              <w:rPr>
                <w:szCs w:val="21"/>
              </w:rPr>
            </w:pPr>
            <w:r>
              <w:rPr>
                <w:szCs w:val="21"/>
              </w:rPr>
              <w:t>/</w:t>
            </w:r>
          </w:p>
        </w:tc>
        <w:tc>
          <w:tcPr>
            <w:tcW w:w="1086" w:type="dxa"/>
            <w:vAlign w:val="center"/>
          </w:tcPr>
          <w:p w:rsidR="00C223F5" w:rsidRDefault="005860D5">
            <w:pPr>
              <w:adjustRightInd w:val="0"/>
              <w:snapToGrid w:val="0"/>
              <w:jc w:val="center"/>
              <w:rPr>
                <w:szCs w:val="21"/>
              </w:rPr>
            </w:pPr>
            <w:r>
              <w:rPr>
                <w:szCs w:val="21"/>
              </w:rPr>
              <w:t>0 t/a</w:t>
            </w:r>
          </w:p>
        </w:tc>
        <w:tc>
          <w:tcPr>
            <w:tcW w:w="993" w:type="dxa"/>
            <w:vAlign w:val="center"/>
          </w:tcPr>
          <w:p w:rsidR="00C223F5" w:rsidRDefault="005860D5">
            <w:pPr>
              <w:adjustRightInd w:val="0"/>
              <w:snapToGrid w:val="0"/>
              <w:jc w:val="center"/>
              <w:rPr>
                <w:szCs w:val="21"/>
              </w:rPr>
            </w:pPr>
            <w:r>
              <w:rPr>
                <w:szCs w:val="21"/>
              </w:rPr>
              <w:t>/</w:t>
            </w:r>
          </w:p>
        </w:tc>
        <w:tc>
          <w:tcPr>
            <w:tcW w:w="937" w:type="dxa"/>
            <w:vAlign w:val="center"/>
          </w:tcPr>
          <w:p w:rsidR="00C223F5" w:rsidRDefault="005860D5">
            <w:pPr>
              <w:adjustRightInd w:val="0"/>
              <w:snapToGrid w:val="0"/>
              <w:jc w:val="center"/>
              <w:rPr>
                <w:szCs w:val="21"/>
              </w:rPr>
            </w:pPr>
            <w:r>
              <w:rPr>
                <w:rFonts w:ascii="宋体" w:hAnsi="宋体" w:cs="宋体" w:hint="eastAsia"/>
                <w:szCs w:val="21"/>
              </w:rPr>
              <w:t>/</w:t>
            </w:r>
          </w:p>
        </w:tc>
        <w:tc>
          <w:tcPr>
            <w:tcW w:w="2000" w:type="dxa"/>
            <w:vAlign w:val="center"/>
          </w:tcPr>
          <w:p w:rsidR="00C223F5" w:rsidRDefault="005860D5">
            <w:pPr>
              <w:adjustRightInd w:val="0"/>
              <w:snapToGrid w:val="0"/>
              <w:jc w:val="center"/>
              <w:rPr>
                <w:szCs w:val="21"/>
              </w:rPr>
            </w:pPr>
            <w:r>
              <w:rPr>
                <w:rFonts w:hint="eastAsia"/>
                <w:szCs w:val="21"/>
              </w:rPr>
              <w:t>/</w:t>
            </w:r>
          </w:p>
        </w:tc>
        <w:tc>
          <w:tcPr>
            <w:tcW w:w="1280" w:type="dxa"/>
            <w:vAlign w:val="center"/>
          </w:tcPr>
          <w:p w:rsidR="00C223F5" w:rsidRDefault="005860D5">
            <w:pPr>
              <w:adjustRightInd w:val="0"/>
              <w:snapToGrid w:val="0"/>
              <w:jc w:val="center"/>
              <w:rPr>
                <w:szCs w:val="21"/>
              </w:rPr>
            </w:pPr>
            <w:r>
              <w:rPr>
                <w:rFonts w:ascii="宋体" w:hAnsi="宋体" w:cs="宋体" w:hint="eastAsia"/>
                <w:szCs w:val="21"/>
              </w:rPr>
              <w:t>不外排</w:t>
            </w:r>
          </w:p>
        </w:tc>
        <w:tc>
          <w:tcPr>
            <w:tcW w:w="977" w:type="dxa"/>
            <w:vMerge w:val="restart"/>
            <w:vAlign w:val="center"/>
          </w:tcPr>
          <w:p w:rsidR="00C223F5" w:rsidRDefault="005860D5">
            <w:pPr>
              <w:adjustRightInd w:val="0"/>
              <w:snapToGrid w:val="0"/>
              <w:jc w:val="center"/>
              <w:rPr>
                <w:szCs w:val="21"/>
              </w:rPr>
            </w:pPr>
            <w:r>
              <w:rPr>
                <w:rFonts w:ascii="宋体" w:hAnsi="宋体" w:cs="宋体" w:hint="eastAsia"/>
                <w:szCs w:val="21"/>
              </w:rPr>
              <w:t>委托第三方监测，</w:t>
            </w:r>
          </w:p>
          <w:p w:rsidR="00C223F5" w:rsidRDefault="005860D5">
            <w:pPr>
              <w:adjustRightInd w:val="0"/>
              <w:snapToGrid w:val="0"/>
              <w:jc w:val="center"/>
              <w:rPr>
                <w:szCs w:val="21"/>
              </w:rPr>
            </w:pPr>
            <w:r>
              <w:rPr>
                <w:rFonts w:hint="eastAsia"/>
                <w:szCs w:val="21"/>
              </w:rPr>
              <w:t>2</w:t>
            </w:r>
            <w:r>
              <w:rPr>
                <w:rFonts w:ascii="宋体" w:hAnsi="宋体" w:cs="宋体" w:hint="eastAsia"/>
                <w:szCs w:val="21"/>
              </w:rPr>
              <w:t>次</w:t>
            </w:r>
            <w:r>
              <w:rPr>
                <w:rFonts w:hint="eastAsia"/>
                <w:szCs w:val="21"/>
              </w:rPr>
              <w:t>/</w:t>
            </w:r>
            <w:r>
              <w:rPr>
                <w:rFonts w:ascii="宋体" w:hAnsi="宋体" w:cs="宋体" w:hint="eastAsia"/>
                <w:szCs w:val="21"/>
              </w:rPr>
              <w:t>年</w:t>
            </w:r>
          </w:p>
        </w:tc>
      </w:tr>
      <w:tr w:rsidR="00C223F5">
        <w:trPr>
          <w:trHeight w:val="59"/>
          <w:jc w:val="center"/>
        </w:trPr>
        <w:tc>
          <w:tcPr>
            <w:tcW w:w="723" w:type="dxa"/>
            <w:vMerge/>
            <w:vAlign w:val="center"/>
          </w:tcPr>
          <w:p w:rsidR="00C223F5" w:rsidRDefault="00C223F5">
            <w:pPr>
              <w:adjustRightInd w:val="0"/>
              <w:snapToGrid w:val="0"/>
              <w:jc w:val="center"/>
              <w:rPr>
                <w:szCs w:val="21"/>
              </w:rPr>
            </w:pPr>
          </w:p>
        </w:tc>
        <w:tc>
          <w:tcPr>
            <w:tcW w:w="1826" w:type="dxa"/>
            <w:vMerge w:val="restart"/>
            <w:vAlign w:val="center"/>
          </w:tcPr>
          <w:p w:rsidR="00C223F5" w:rsidRDefault="005860D5">
            <w:pPr>
              <w:adjustRightInd w:val="0"/>
              <w:snapToGrid w:val="0"/>
              <w:jc w:val="center"/>
              <w:rPr>
                <w:szCs w:val="21"/>
              </w:rPr>
            </w:pPr>
            <w:r>
              <w:rPr>
                <w:rFonts w:ascii="宋体" w:hAnsi="宋体" w:cs="宋体" w:hint="eastAsia"/>
                <w:szCs w:val="21"/>
              </w:rPr>
              <w:t>矿井水</w:t>
            </w:r>
          </w:p>
        </w:tc>
        <w:tc>
          <w:tcPr>
            <w:tcW w:w="1155" w:type="dxa"/>
            <w:vAlign w:val="center"/>
          </w:tcPr>
          <w:p w:rsidR="00C223F5" w:rsidRDefault="005860D5">
            <w:pPr>
              <w:jc w:val="center"/>
              <w:rPr>
                <w:szCs w:val="21"/>
              </w:rPr>
            </w:pPr>
            <w:r>
              <w:rPr>
                <w:szCs w:val="21"/>
              </w:rPr>
              <w:t>SS</w:t>
            </w:r>
          </w:p>
        </w:tc>
        <w:tc>
          <w:tcPr>
            <w:tcW w:w="2573" w:type="dxa"/>
            <w:vMerge w:val="restart"/>
            <w:vAlign w:val="center"/>
          </w:tcPr>
          <w:p w:rsidR="00C223F5" w:rsidRPr="00584B9F" w:rsidRDefault="005860D5">
            <w:pPr>
              <w:adjustRightInd w:val="0"/>
              <w:snapToGrid w:val="0"/>
              <w:jc w:val="center"/>
              <w:rPr>
                <w:szCs w:val="21"/>
              </w:rPr>
            </w:pPr>
            <w:r w:rsidRPr="00584B9F">
              <w:rPr>
                <w:rFonts w:hint="eastAsia"/>
                <w:szCs w:val="21"/>
              </w:rPr>
              <w:t>混凝、沉淀、气浮、过滤、消毒</w:t>
            </w:r>
            <w:r w:rsidRPr="00584B9F">
              <w:rPr>
                <w:rFonts w:ascii="宋体" w:hAnsi="宋体" w:cs="宋体" w:hint="eastAsia"/>
                <w:szCs w:val="21"/>
              </w:rPr>
              <w:t>处理后部分回用，其余排至蚂蚁河</w:t>
            </w:r>
          </w:p>
        </w:tc>
        <w:tc>
          <w:tcPr>
            <w:tcW w:w="1072" w:type="dxa"/>
            <w:vAlign w:val="center"/>
          </w:tcPr>
          <w:p w:rsidR="00C223F5" w:rsidRPr="00584B9F" w:rsidRDefault="005860D5">
            <w:pPr>
              <w:jc w:val="center"/>
              <w:rPr>
                <w:spacing w:val="2"/>
                <w:szCs w:val="21"/>
              </w:rPr>
            </w:pPr>
            <w:r w:rsidRPr="00584B9F">
              <w:rPr>
                <w:rFonts w:hint="eastAsia"/>
                <w:spacing w:val="2"/>
                <w:szCs w:val="21"/>
              </w:rPr>
              <w:t>15</w:t>
            </w:r>
            <w:r w:rsidRPr="00584B9F">
              <w:rPr>
                <w:szCs w:val="21"/>
              </w:rPr>
              <w:t xml:space="preserve"> mg/L</w:t>
            </w:r>
          </w:p>
        </w:tc>
        <w:tc>
          <w:tcPr>
            <w:tcW w:w="1086" w:type="dxa"/>
            <w:vAlign w:val="center"/>
          </w:tcPr>
          <w:p w:rsidR="00C223F5" w:rsidRPr="00584B9F" w:rsidRDefault="00555F14">
            <w:pPr>
              <w:jc w:val="center"/>
              <w:rPr>
                <w:spacing w:val="2"/>
                <w:szCs w:val="21"/>
              </w:rPr>
            </w:pPr>
            <w:r>
              <w:rPr>
                <w:rFonts w:hint="eastAsia"/>
                <w:color w:val="FF0000"/>
                <w:spacing w:val="2"/>
                <w:szCs w:val="21"/>
              </w:rPr>
              <w:t>3.37</w:t>
            </w:r>
            <w:r w:rsidR="005860D5" w:rsidRPr="00584B9F">
              <w:rPr>
                <w:rFonts w:hint="eastAsia"/>
                <w:spacing w:val="2"/>
                <w:szCs w:val="21"/>
              </w:rPr>
              <w:t xml:space="preserve"> </w:t>
            </w:r>
            <w:r w:rsidR="005860D5" w:rsidRPr="00584B9F">
              <w:rPr>
                <w:szCs w:val="21"/>
              </w:rPr>
              <w:t>t/a</w:t>
            </w:r>
          </w:p>
        </w:tc>
        <w:tc>
          <w:tcPr>
            <w:tcW w:w="993" w:type="dxa"/>
            <w:vAlign w:val="center"/>
          </w:tcPr>
          <w:p w:rsidR="00C223F5" w:rsidRPr="00584B9F" w:rsidRDefault="005860D5">
            <w:pPr>
              <w:adjustRightInd w:val="0"/>
              <w:snapToGrid w:val="0"/>
              <w:jc w:val="center"/>
              <w:rPr>
                <w:szCs w:val="21"/>
              </w:rPr>
            </w:pPr>
            <w:r w:rsidRPr="00584B9F">
              <w:rPr>
                <w:rFonts w:hint="eastAsia"/>
                <w:szCs w:val="21"/>
              </w:rPr>
              <w:t>/</w:t>
            </w:r>
          </w:p>
        </w:tc>
        <w:tc>
          <w:tcPr>
            <w:tcW w:w="937" w:type="dxa"/>
            <w:vAlign w:val="center"/>
          </w:tcPr>
          <w:p w:rsidR="00C223F5" w:rsidRPr="00584B9F" w:rsidRDefault="005860D5">
            <w:pPr>
              <w:adjustRightInd w:val="0"/>
              <w:snapToGrid w:val="0"/>
              <w:jc w:val="center"/>
              <w:rPr>
                <w:szCs w:val="21"/>
              </w:rPr>
            </w:pPr>
            <w:r w:rsidRPr="00584B9F">
              <w:rPr>
                <w:rFonts w:ascii="宋体" w:hAnsi="宋体" w:cs="宋体" w:hint="eastAsia"/>
                <w:szCs w:val="21"/>
              </w:rPr>
              <w:t>连续</w:t>
            </w:r>
          </w:p>
        </w:tc>
        <w:tc>
          <w:tcPr>
            <w:tcW w:w="2000" w:type="dxa"/>
            <w:vMerge w:val="restart"/>
            <w:vAlign w:val="center"/>
          </w:tcPr>
          <w:p w:rsidR="00C223F5" w:rsidRDefault="005860D5">
            <w:pPr>
              <w:jc w:val="center"/>
              <w:rPr>
                <w:szCs w:val="21"/>
              </w:rPr>
            </w:pPr>
            <w:r>
              <w:rPr>
                <w:rFonts w:hint="eastAsia"/>
                <w:szCs w:val="21"/>
              </w:rPr>
              <w:t>榆林市横山区魏家楼镇施阳台蚂蚁河左岸</w:t>
            </w:r>
          </w:p>
          <w:p w:rsidR="00C223F5" w:rsidRDefault="005860D5">
            <w:pPr>
              <w:jc w:val="center"/>
              <w:rPr>
                <w:szCs w:val="21"/>
              </w:rPr>
            </w:pPr>
            <w:r>
              <w:rPr>
                <w:rFonts w:hint="eastAsia"/>
                <w:szCs w:val="21"/>
              </w:rPr>
              <w:t>（经度</w:t>
            </w:r>
            <w:r>
              <w:rPr>
                <w:szCs w:val="21"/>
              </w:rPr>
              <w:t>109°2</w:t>
            </w:r>
            <w:r>
              <w:rPr>
                <w:rFonts w:hint="eastAsia"/>
                <w:szCs w:val="21"/>
              </w:rPr>
              <w:t>7</w:t>
            </w:r>
            <w:r>
              <w:rPr>
                <w:szCs w:val="21"/>
              </w:rPr>
              <w:t>′</w:t>
            </w:r>
            <w:r>
              <w:rPr>
                <w:rFonts w:hint="eastAsia"/>
                <w:szCs w:val="21"/>
              </w:rPr>
              <w:t>34</w:t>
            </w:r>
            <w:r>
              <w:rPr>
                <w:szCs w:val="21"/>
              </w:rPr>
              <w:t>″</w:t>
            </w:r>
            <w:r>
              <w:rPr>
                <w:rFonts w:hint="eastAsia"/>
                <w:szCs w:val="21"/>
              </w:rPr>
              <w:t>、</w:t>
            </w:r>
          </w:p>
          <w:p w:rsidR="00C223F5" w:rsidRDefault="005860D5">
            <w:pPr>
              <w:jc w:val="center"/>
              <w:rPr>
                <w:szCs w:val="21"/>
              </w:rPr>
            </w:pPr>
            <w:r>
              <w:rPr>
                <w:rFonts w:hint="eastAsia"/>
                <w:szCs w:val="21"/>
              </w:rPr>
              <w:t>纬度</w:t>
            </w:r>
            <w:r>
              <w:rPr>
                <w:rFonts w:hint="eastAsia"/>
                <w:szCs w:val="21"/>
              </w:rPr>
              <w:t>37</w:t>
            </w:r>
            <w:r>
              <w:rPr>
                <w:szCs w:val="21"/>
              </w:rPr>
              <w:t>°</w:t>
            </w:r>
            <w:r>
              <w:rPr>
                <w:rFonts w:hint="eastAsia"/>
                <w:szCs w:val="21"/>
              </w:rPr>
              <w:t>33</w:t>
            </w:r>
            <w:r>
              <w:rPr>
                <w:szCs w:val="21"/>
              </w:rPr>
              <w:t>′</w:t>
            </w:r>
            <w:r>
              <w:rPr>
                <w:rFonts w:hint="eastAsia"/>
                <w:szCs w:val="21"/>
              </w:rPr>
              <w:t>38</w:t>
            </w:r>
            <w:r>
              <w:rPr>
                <w:szCs w:val="21"/>
              </w:rPr>
              <w:t>″</w:t>
            </w:r>
            <w:r>
              <w:rPr>
                <w:rFonts w:hint="eastAsia"/>
                <w:szCs w:val="21"/>
              </w:rPr>
              <w:t>）</w:t>
            </w:r>
          </w:p>
        </w:tc>
        <w:tc>
          <w:tcPr>
            <w:tcW w:w="1280" w:type="dxa"/>
            <w:vAlign w:val="center"/>
          </w:tcPr>
          <w:p w:rsidR="00C223F5" w:rsidRDefault="005860D5">
            <w:pPr>
              <w:adjustRightInd w:val="0"/>
              <w:snapToGrid w:val="0"/>
              <w:jc w:val="center"/>
              <w:rPr>
                <w:szCs w:val="21"/>
              </w:rPr>
            </w:pPr>
            <w:r>
              <w:rPr>
                <w:szCs w:val="21"/>
              </w:rPr>
              <w:t>50 mg/L</w:t>
            </w:r>
          </w:p>
        </w:tc>
        <w:tc>
          <w:tcPr>
            <w:tcW w:w="977" w:type="dxa"/>
            <w:vMerge/>
            <w:vAlign w:val="center"/>
          </w:tcPr>
          <w:p w:rsidR="00C223F5" w:rsidRDefault="00C223F5">
            <w:pPr>
              <w:adjustRightInd w:val="0"/>
              <w:snapToGrid w:val="0"/>
              <w:jc w:val="center"/>
              <w:rPr>
                <w:szCs w:val="21"/>
              </w:rPr>
            </w:pPr>
          </w:p>
        </w:tc>
      </w:tr>
      <w:tr w:rsidR="00C223F5">
        <w:trPr>
          <w:trHeight w:val="59"/>
          <w:jc w:val="center"/>
        </w:trPr>
        <w:tc>
          <w:tcPr>
            <w:tcW w:w="723" w:type="dxa"/>
            <w:vMerge/>
            <w:vAlign w:val="center"/>
          </w:tcPr>
          <w:p w:rsidR="00C223F5" w:rsidRDefault="00C223F5">
            <w:pPr>
              <w:adjustRightInd w:val="0"/>
              <w:snapToGrid w:val="0"/>
              <w:jc w:val="center"/>
              <w:rPr>
                <w:szCs w:val="21"/>
              </w:rPr>
            </w:pPr>
          </w:p>
        </w:tc>
        <w:tc>
          <w:tcPr>
            <w:tcW w:w="1826" w:type="dxa"/>
            <w:vMerge/>
            <w:vAlign w:val="center"/>
          </w:tcPr>
          <w:p w:rsidR="00C223F5" w:rsidRDefault="00C223F5">
            <w:pPr>
              <w:adjustRightInd w:val="0"/>
              <w:snapToGrid w:val="0"/>
              <w:jc w:val="center"/>
              <w:rPr>
                <w:rFonts w:ascii="宋体" w:hAnsi="宋体" w:cs="宋体"/>
                <w:szCs w:val="21"/>
              </w:rPr>
            </w:pPr>
          </w:p>
        </w:tc>
        <w:tc>
          <w:tcPr>
            <w:tcW w:w="1155" w:type="dxa"/>
            <w:vAlign w:val="center"/>
          </w:tcPr>
          <w:p w:rsidR="00C223F5" w:rsidRDefault="005860D5">
            <w:pPr>
              <w:jc w:val="center"/>
              <w:rPr>
                <w:szCs w:val="21"/>
              </w:rPr>
            </w:pPr>
            <w:r>
              <w:rPr>
                <w:szCs w:val="21"/>
              </w:rPr>
              <w:t>COD</w:t>
            </w:r>
          </w:p>
        </w:tc>
        <w:tc>
          <w:tcPr>
            <w:tcW w:w="2573" w:type="dxa"/>
            <w:vMerge/>
            <w:vAlign w:val="center"/>
          </w:tcPr>
          <w:p w:rsidR="00C223F5" w:rsidRPr="00584B9F" w:rsidRDefault="00C223F5">
            <w:pPr>
              <w:adjustRightInd w:val="0"/>
              <w:snapToGrid w:val="0"/>
              <w:jc w:val="center"/>
              <w:rPr>
                <w:szCs w:val="21"/>
              </w:rPr>
            </w:pPr>
          </w:p>
        </w:tc>
        <w:tc>
          <w:tcPr>
            <w:tcW w:w="1072" w:type="dxa"/>
            <w:vAlign w:val="center"/>
          </w:tcPr>
          <w:p w:rsidR="00C223F5" w:rsidRPr="00584B9F" w:rsidRDefault="005860D5">
            <w:pPr>
              <w:jc w:val="center"/>
              <w:rPr>
                <w:spacing w:val="2"/>
                <w:szCs w:val="21"/>
              </w:rPr>
            </w:pPr>
            <w:r w:rsidRPr="00584B9F">
              <w:rPr>
                <w:rFonts w:hint="eastAsia"/>
                <w:spacing w:val="2"/>
                <w:szCs w:val="21"/>
              </w:rPr>
              <w:t xml:space="preserve">16.5 </w:t>
            </w:r>
            <w:r w:rsidRPr="00584B9F">
              <w:rPr>
                <w:szCs w:val="21"/>
              </w:rPr>
              <w:t>mg/L</w:t>
            </w:r>
          </w:p>
        </w:tc>
        <w:tc>
          <w:tcPr>
            <w:tcW w:w="1086" w:type="dxa"/>
            <w:vAlign w:val="center"/>
          </w:tcPr>
          <w:p w:rsidR="00C223F5" w:rsidRPr="00584B9F" w:rsidRDefault="00555F14">
            <w:pPr>
              <w:jc w:val="center"/>
              <w:rPr>
                <w:spacing w:val="2"/>
                <w:szCs w:val="21"/>
              </w:rPr>
            </w:pPr>
            <w:r>
              <w:rPr>
                <w:rFonts w:hint="eastAsia"/>
                <w:color w:val="FF0000"/>
                <w:spacing w:val="2"/>
                <w:szCs w:val="21"/>
              </w:rPr>
              <w:t>3.71</w:t>
            </w:r>
            <w:r w:rsidR="005860D5" w:rsidRPr="00584B9F">
              <w:rPr>
                <w:szCs w:val="21"/>
              </w:rPr>
              <w:t xml:space="preserve"> t/a</w:t>
            </w:r>
          </w:p>
        </w:tc>
        <w:tc>
          <w:tcPr>
            <w:tcW w:w="993" w:type="dxa"/>
            <w:vAlign w:val="center"/>
          </w:tcPr>
          <w:p w:rsidR="00C223F5" w:rsidRPr="00584B9F" w:rsidRDefault="005860D5">
            <w:pPr>
              <w:adjustRightInd w:val="0"/>
              <w:snapToGrid w:val="0"/>
              <w:jc w:val="center"/>
              <w:rPr>
                <w:szCs w:val="21"/>
              </w:rPr>
            </w:pPr>
            <w:r w:rsidRPr="00584B9F">
              <w:rPr>
                <w:rFonts w:hint="eastAsia"/>
                <w:szCs w:val="21"/>
              </w:rPr>
              <w:t>11.6</w:t>
            </w:r>
            <w:r w:rsidRPr="00584B9F">
              <w:rPr>
                <w:szCs w:val="21"/>
              </w:rPr>
              <w:t xml:space="preserve"> t/a</w:t>
            </w:r>
          </w:p>
        </w:tc>
        <w:tc>
          <w:tcPr>
            <w:tcW w:w="937" w:type="dxa"/>
            <w:vAlign w:val="center"/>
          </w:tcPr>
          <w:p w:rsidR="00C223F5" w:rsidRPr="00584B9F" w:rsidRDefault="005860D5">
            <w:pPr>
              <w:adjustRightInd w:val="0"/>
              <w:snapToGrid w:val="0"/>
              <w:jc w:val="center"/>
              <w:rPr>
                <w:szCs w:val="21"/>
              </w:rPr>
            </w:pPr>
            <w:r w:rsidRPr="00584B9F">
              <w:rPr>
                <w:rFonts w:ascii="宋体" w:hAnsi="宋体" w:cs="宋体" w:hint="eastAsia"/>
                <w:szCs w:val="21"/>
              </w:rPr>
              <w:t>连续</w:t>
            </w:r>
          </w:p>
        </w:tc>
        <w:tc>
          <w:tcPr>
            <w:tcW w:w="2000" w:type="dxa"/>
            <w:vMerge/>
            <w:vAlign w:val="center"/>
          </w:tcPr>
          <w:p w:rsidR="00C223F5" w:rsidRDefault="00C223F5">
            <w:pPr>
              <w:jc w:val="center"/>
              <w:rPr>
                <w:szCs w:val="21"/>
              </w:rPr>
            </w:pPr>
          </w:p>
        </w:tc>
        <w:tc>
          <w:tcPr>
            <w:tcW w:w="1280" w:type="dxa"/>
            <w:vAlign w:val="center"/>
          </w:tcPr>
          <w:p w:rsidR="00C223F5" w:rsidRDefault="005860D5">
            <w:pPr>
              <w:adjustRightInd w:val="0"/>
              <w:snapToGrid w:val="0"/>
              <w:jc w:val="center"/>
              <w:rPr>
                <w:szCs w:val="21"/>
              </w:rPr>
            </w:pPr>
            <w:r>
              <w:rPr>
                <w:rFonts w:hint="eastAsia"/>
                <w:szCs w:val="21"/>
              </w:rPr>
              <w:t>50</w:t>
            </w:r>
            <w:r>
              <w:rPr>
                <w:szCs w:val="21"/>
              </w:rPr>
              <w:t xml:space="preserve"> mg/L</w:t>
            </w:r>
          </w:p>
        </w:tc>
        <w:tc>
          <w:tcPr>
            <w:tcW w:w="977" w:type="dxa"/>
            <w:vMerge/>
            <w:vAlign w:val="center"/>
          </w:tcPr>
          <w:p w:rsidR="00C223F5" w:rsidRDefault="00C223F5">
            <w:pPr>
              <w:adjustRightInd w:val="0"/>
              <w:snapToGrid w:val="0"/>
              <w:jc w:val="center"/>
              <w:rPr>
                <w:szCs w:val="21"/>
              </w:rPr>
            </w:pPr>
          </w:p>
        </w:tc>
      </w:tr>
      <w:tr w:rsidR="00C223F5">
        <w:trPr>
          <w:trHeight w:val="59"/>
          <w:jc w:val="center"/>
        </w:trPr>
        <w:tc>
          <w:tcPr>
            <w:tcW w:w="723" w:type="dxa"/>
            <w:vMerge/>
            <w:vAlign w:val="center"/>
          </w:tcPr>
          <w:p w:rsidR="00C223F5" w:rsidRDefault="00C223F5">
            <w:pPr>
              <w:adjustRightInd w:val="0"/>
              <w:snapToGrid w:val="0"/>
              <w:jc w:val="center"/>
              <w:rPr>
                <w:szCs w:val="21"/>
              </w:rPr>
            </w:pPr>
          </w:p>
        </w:tc>
        <w:tc>
          <w:tcPr>
            <w:tcW w:w="1826" w:type="dxa"/>
            <w:vMerge/>
            <w:vAlign w:val="center"/>
          </w:tcPr>
          <w:p w:rsidR="00C223F5" w:rsidRDefault="00C223F5">
            <w:pPr>
              <w:adjustRightInd w:val="0"/>
              <w:snapToGrid w:val="0"/>
              <w:jc w:val="center"/>
              <w:rPr>
                <w:rFonts w:ascii="宋体" w:hAnsi="宋体" w:cs="宋体"/>
                <w:szCs w:val="21"/>
              </w:rPr>
            </w:pPr>
          </w:p>
        </w:tc>
        <w:tc>
          <w:tcPr>
            <w:tcW w:w="1155" w:type="dxa"/>
            <w:vAlign w:val="center"/>
          </w:tcPr>
          <w:p w:rsidR="00C223F5" w:rsidRDefault="005860D5">
            <w:pPr>
              <w:jc w:val="center"/>
              <w:rPr>
                <w:szCs w:val="21"/>
              </w:rPr>
            </w:pPr>
            <w:r>
              <w:rPr>
                <w:szCs w:val="21"/>
              </w:rPr>
              <w:t>石油类</w:t>
            </w:r>
          </w:p>
        </w:tc>
        <w:tc>
          <w:tcPr>
            <w:tcW w:w="2573" w:type="dxa"/>
            <w:vMerge/>
            <w:vAlign w:val="center"/>
          </w:tcPr>
          <w:p w:rsidR="00C223F5" w:rsidRPr="00584B9F" w:rsidRDefault="00C223F5">
            <w:pPr>
              <w:adjustRightInd w:val="0"/>
              <w:snapToGrid w:val="0"/>
              <w:jc w:val="center"/>
              <w:rPr>
                <w:szCs w:val="21"/>
              </w:rPr>
            </w:pPr>
          </w:p>
        </w:tc>
        <w:tc>
          <w:tcPr>
            <w:tcW w:w="1072" w:type="dxa"/>
            <w:vAlign w:val="center"/>
          </w:tcPr>
          <w:p w:rsidR="00C223F5" w:rsidRPr="00584B9F" w:rsidRDefault="005860D5">
            <w:pPr>
              <w:jc w:val="center"/>
              <w:rPr>
                <w:spacing w:val="2"/>
                <w:szCs w:val="21"/>
              </w:rPr>
            </w:pPr>
            <w:r w:rsidRPr="00584B9F">
              <w:rPr>
                <w:rFonts w:hint="eastAsia"/>
                <w:spacing w:val="2"/>
                <w:szCs w:val="21"/>
              </w:rPr>
              <w:t xml:space="preserve">0.045 </w:t>
            </w:r>
            <w:r w:rsidRPr="00584B9F">
              <w:rPr>
                <w:szCs w:val="21"/>
              </w:rPr>
              <w:t>mg/L</w:t>
            </w:r>
          </w:p>
        </w:tc>
        <w:tc>
          <w:tcPr>
            <w:tcW w:w="1086" w:type="dxa"/>
            <w:vAlign w:val="center"/>
          </w:tcPr>
          <w:p w:rsidR="00C223F5" w:rsidRPr="00584B9F" w:rsidRDefault="00555F14">
            <w:pPr>
              <w:jc w:val="center"/>
              <w:rPr>
                <w:spacing w:val="2"/>
                <w:szCs w:val="21"/>
              </w:rPr>
            </w:pPr>
            <w:r>
              <w:rPr>
                <w:rFonts w:hint="eastAsia"/>
                <w:color w:val="FF0000"/>
                <w:spacing w:val="2"/>
                <w:szCs w:val="21"/>
              </w:rPr>
              <w:t>0.01</w:t>
            </w:r>
            <w:r w:rsidR="005860D5" w:rsidRPr="00584B9F">
              <w:rPr>
                <w:szCs w:val="21"/>
              </w:rPr>
              <w:t xml:space="preserve"> t/a</w:t>
            </w:r>
          </w:p>
        </w:tc>
        <w:tc>
          <w:tcPr>
            <w:tcW w:w="993" w:type="dxa"/>
            <w:vAlign w:val="center"/>
          </w:tcPr>
          <w:p w:rsidR="00C223F5" w:rsidRPr="00584B9F" w:rsidRDefault="005860D5">
            <w:pPr>
              <w:adjustRightInd w:val="0"/>
              <w:snapToGrid w:val="0"/>
              <w:jc w:val="center"/>
              <w:rPr>
                <w:szCs w:val="21"/>
              </w:rPr>
            </w:pPr>
            <w:r w:rsidRPr="00584B9F">
              <w:rPr>
                <w:rFonts w:hint="eastAsia"/>
                <w:szCs w:val="21"/>
              </w:rPr>
              <w:t>/</w:t>
            </w:r>
          </w:p>
        </w:tc>
        <w:tc>
          <w:tcPr>
            <w:tcW w:w="937" w:type="dxa"/>
            <w:vAlign w:val="center"/>
          </w:tcPr>
          <w:p w:rsidR="00C223F5" w:rsidRPr="00584B9F" w:rsidRDefault="005860D5">
            <w:pPr>
              <w:adjustRightInd w:val="0"/>
              <w:snapToGrid w:val="0"/>
              <w:jc w:val="center"/>
              <w:rPr>
                <w:szCs w:val="21"/>
              </w:rPr>
            </w:pPr>
            <w:r w:rsidRPr="00584B9F">
              <w:rPr>
                <w:rFonts w:ascii="宋体" w:hAnsi="宋体" w:cs="宋体" w:hint="eastAsia"/>
                <w:szCs w:val="21"/>
              </w:rPr>
              <w:t>连续</w:t>
            </w:r>
          </w:p>
        </w:tc>
        <w:tc>
          <w:tcPr>
            <w:tcW w:w="2000" w:type="dxa"/>
            <w:vMerge/>
            <w:vAlign w:val="center"/>
          </w:tcPr>
          <w:p w:rsidR="00C223F5" w:rsidRDefault="00C223F5">
            <w:pPr>
              <w:jc w:val="center"/>
              <w:rPr>
                <w:szCs w:val="21"/>
              </w:rPr>
            </w:pPr>
          </w:p>
        </w:tc>
        <w:tc>
          <w:tcPr>
            <w:tcW w:w="1280" w:type="dxa"/>
            <w:vAlign w:val="center"/>
          </w:tcPr>
          <w:p w:rsidR="00C223F5" w:rsidRDefault="005860D5">
            <w:pPr>
              <w:adjustRightInd w:val="0"/>
              <w:snapToGrid w:val="0"/>
              <w:jc w:val="center"/>
              <w:rPr>
                <w:szCs w:val="21"/>
              </w:rPr>
            </w:pPr>
            <w:r>
              <w:rPr>
                <w:rFonts w:hint="eastAsia"/>
                <w:szCs w:val="21"/>
              </w:rPr>
              <w:t>3</w:t>
            </w:r>
            <w:r>
              <w:rPr>
                <w:szCs w:val="21"/>
              </w:rPr>
              <w:t xml:space="preserve"> mg/L</w:t>
            </w:r>
          </w:p>
        </w:tc>
        <w:tc>
          <w:tcPr>
            <w:tcW w:w="977" w:type="dxa"/>
            <w:vMerge/>
            <w:vAlign w:val="center"/>
          </w:tcPr>
          <w:p w:rsidR="00C223F5" w:rsidRDefault="00C223F5">
            <w:pPr>
              <w:adjustRightInd w:val="0"/>
              <w:snapToGrid w:val="0"/>
              <w:jc w:val="center"/>
              <w:rPr>
                <w:szCs w:val="21"/>
              </w:rPr>
            </w:pPr>
          </w:p>
        </w:tc>
      </w:tr>
      <w:tr w:rsidR="00C223F5">
        <w:trPr>
          <w:trHeight w:val="59"/>
          <w:jc w:val="center"/>
        </w:trPr>
        <w:tc>
          <w:tcPr>
            <w:tcW w:w="723" w:type="dxa"/>
            <w:vMerge/>
            <w:vAlign w:val="center"/>
          </w:tcPr>
          <w:p w:rsidR="00C223F5" w:rsidRDefault="00C223F5">
            <w:pPr>
              <w:adjustRightInd w:val="0"/>
              <w:snapToGrid w:val="0"/>
              <w:jc w:val="center"/>
              <w:rPr>
                <w:szCs w:val="21"/>
              </w:rPr>
            </w:pPr>
          </w:p>
        </w:tc>
        <w:tc>
          <w:tcPr>
            <w:tcW w:w="1826" w:type="dxa"/>
            <w:vMerge/>
            <w:vAlign w:val="center"/>
          </w:tcPr>
          <w:p w:rsidR="00C223F5" w:rsidRDefault="00C223F5">
            <w:pPr>
              <w:adjustRightInd w:val="0"/>
              <w:snapToGrid w:val="0"/>
              <w:jc w:val="center"/>
              <w:rPr>
                <w:rFonts w:ascii="宋体" w:hAnsi="宋体" w:cs="宋体"/>
                <w:szCs w:val="21"/>
              </w:rPr>
            </w:pPr>
          </w:p>
        </w:tc>
        <w:tc>
          <w:tcPr>
            <w:tcW w:w="1155" w:type="dxa"/>
            <w:vAlign w:val="center"/>
          </w:tcPr>
          <w:p w:rsidR="00C223F5" w:rsidRDefault="005860D5">
            <w:pPr>
              <w:jc w:val="center"/>
              <w:rPr>
                <w:szCs w:val="21"/>
              </w:rPr>
            </w:pPr>
            <w:r>
              <w:rPr>
                <w:rFonts w:hint="eastAsia"/>
                <w:szCs w:val="21"/>
              </w:rPr>
              <w:t>氨氮</w:t>
            </w:r>
          </w:p>
        </w:tc>
        <w:tc>
          <w:tcPr>
            <w:tcW w:w="2573" w:type="dxa"/>
            <w:vMerge/>
            <w:vAlign w:val="center"/>
          </w:tcPr>
          <w:p w:rsidR="00C223F5" w:rsidRPr="00584B9F" w:rsidRDefault="00C223F5">
            <w:pPr>
              <w:adjustRightInd w:val="0"/>
              <w:snapToGrid w:val="0"/>
              <w:jc w:val="center"/>
              <w:rPr>
                <w:szCs w:val="21"/>
              </w:rPr>
            </w:pPr>
          </w:p>
        </w:tc>
        <w:tc>
          <w:tcPr>
            <w:tcW w:w="1072" w:type="dxa"/>
            <w:vAlign w:val="center"/>
          </w:tcPr>
          <w:p w:rsidR="00C223F5" w:rsidRPr="00584B9F" w:rsidRDefault="005860D5">
            <w:pPr>
              <w:jc w:val="center"/>
              <w:rPr>
                <w:szCs w:val="21"/>
              </w:rPr>
            </w:pPr>
            <w:r w:rsidRPr="00584B9F">
              <w:rPr>
                <w:rFonts w:hint="eastAsia"/>
                <w:szCs w:val="21"/>
              </w:rPr>
              <w:t>0.52</w:t>
            </w:r>
            <w:r w:rsidRPr="00584B9F">
              <w:rPr>
                <w:szCs w:val="21"/>
              </w:rPr>
              <w:t xml:space="preserve"> mg/L</w:t>
            </w:r>
          </w:p>
        </w:tc>
        <w:tc>
          <w:tcPr>
            <w:tcW w:w="1086" w:type="dxa"/>
            <w:vAlign w:val="center"/>
          </w:tcPr>
          <w:p w:rsidR="00C223F5" w:rsidRPr="00584B9F" w:rsidRDefault="00555F14">
            <w:pPr>
              <w:jc w:val="center"/>
              <w:rPr>
                <w:szCs w:val="21"/>
              </w:rPr>
            </w:pPr>
            <w:r>
              <w:rPr>
                <w:rFonts w:hint="eastAsia"/>
                <w:color w:val="FF0000"/>
                <w:szCs w:val="21"/>
              </w:rPr>
              <w:t>0.12</w:t>
            </w:r>
            <w:r w:rsidR="005860D5" w:rsidRPr="00584B9F">
              <w:rPr>
                <w:szCs w:val="21"/>
              </w:rPr>
              <w:t xml:space="preserve"> t/a</w:t>
            </w:r>
          </w:p>
        </w:tc>
        <w:tc>
          <w:tcPr>
            <w:tcW w:w="993" w:type="dxa"/>
            <w:vAlign w:val="center"/>
          </w:tcPr>
          <w:p w:rsidR="00C223F5" w:rsidRPr="00584B9F" w:rsidRDefault="005860D5">
            <w:pPr>
              <w:adjustRightInd w:val="0"/>
              <w:snapToGrid w:val="0"/>
              <w:jc w:val="center"/>
              <w:rPr>
                <w:szCs w:val="21"/>
              </w:rPr>
            </w:pPr>
            <w:r w:rsidRPr="00584B9F">
              <w:rPr>
                <w:rFonts w:hint="eastAsia"/>
                <w:szCs w:val="21"/>
              </w:rPr>
              <w:t>0.18</w:t>
            </w:r>
            <w:r w:rsidRPr="00584B9F">
              <w:rPr>
                <w:szCs w:val="21"/>
              </w:rPr>
              <w:t xml:space="preserve"> t/a</w:t>
            </w:r>
          </w:p>
        </w:tc>
        <w:tc>
          <w:tcPr>
            <w:tcW w:w="937" w:type="dxa"/>
            <w:vAlign w:val="center"/>
          </w:tcPr>
          <w:p w:rsidR="00C223F5" w:rsidRPr="00584B9F" w:rsidRDefault="005860D5">
            <w:pPr>
              <w:adjustRightInd w:val="0"/>
              <w:snapToGrid w:val="0"/>
              <w:jc w:val="center"/>
              <w:rPr>
                <w:szCs w:val="21"/>
              </w:rPr>
            </w:pPr>
            <w:r w:rsidRPr="00584B9F">
              <w:rPr>
                <w:rFonts w:ascii="宋体" w:hAnsi="宋体" w:cs="宋体" w:hint="eastAsia"/>
                <w:szCs w:val="21"/>
              </w:rPr>
              <w:t>连续</w:t>
            </w:r>
          </w:p>
        </w:tc>
        <w:tc>
          <w:tcPr>
            <w:tcW w:w="2000" w:type="dxa"/>
            <w:vMerge/>
            <w:vAlign w:val="center"/>
          </w:tcPr>
          <w:p w:rsidR="00C223F5" w:rsidRDefault="00C223F5">
            <w:pPr>
              <w:jc w:val="center"/>
              <w:rPr>
                <w:szCs w:val="21"/>
              </w:rPr>
            </w:pPr>
          </w:p>
        </w:tc>
        <w:tc>
          <w:tcPr>
            <w:tcW w:w="1280" w:type="dxa"/>
            <w:vAlign w:val="center"/>
          </w:tcPr>
          <w:p w:rsidR="00C223F5" w:rsidRDefault="005860D5">
            <w:pPr>
              <w:adjustRightInd w:val="0"/>
              <w:snapToGrid w:val="0"/>
              <w:jc w:val="center"/>
              <w:rPr>
                <w:szCs w:val="21"/>
              </w:rPr>
            </w:pPr>
            <w:r>
              <w:rPr>
                <w:rFonts w:hint="eastAsia"/>
                <w:szCs w:val="21"/>
              </w:rPr>
              <w:t xml:space="preserve">8 </w:t>
            </w:r>
            <w:r>
              <w:rPr>
                <w:szCs w:val="21"/>
              </w:rPr>
              <w:t>mg/L</w:t>
            </w:r>
          </w:p>
        </w:tc>
        <w:tc>
          <w:tcPr>
            <w:tcW w:w="977" w:type="dxa"/>
            <w:vMerge/>
            <w:vAlign w:val="center"/>
          </w:tcPr>
          <w:p w:rsidR="00C223F5" w:rsidRDefault="00C223F5">
            <w:pPr>
              <w:adjustRightInd w:val="0"/>
              <w:snapToGrid w:val="0"/>
              <w:jc w:val="center"/>
              <w:rPr>
                <w:szCs w:val="21"/>
              </w:rPr>
            </w:pPr>
          </w:p>
        </w:tc>
      </w:tr>
      <w:tr w:rsidR="00C223F5">
        <w:trPr>
          <w:trHeight w:val="20"/>
          <w:jc w:val="center"/>
        </w:trPr>
        <w:tc>
          <w:tcPr>
            <w:tcW w:w="723" w:type="dxa"/>
            <w:vAlign w:val="center"/>
          </w:tcPr>
          <w:p w:rsidR="00C223F5" w:rsidRDefault="005860D5">
            <w:pPr>
              <w:adjustRightInd w:val="0"/>
              <w:snapToGrid w:val="0"/>
              <w:jc w:val="center"/>
              <w:rPr>
                <w:szCs w:val="21"/>
              </w:rPr>
            </w:pPr>
            <w:r>
              <w:rPr>
                <w:rFonts w:ascii="宋体" w:hAnsi="宋体" w:cs="宋体" w:hint="eastAsia"/>
                <w:szCs w:val="21"/>
              </w:rPr>
              <w:t>噪声</w:t>
            </w:r>
          </w:p>
        </w:tc>
        <w:tc>
          <w:tcPr>
            <w:tcW w:w="1826" w:type="dxa"/>
            <w:vAlign w:val="center"/>
          </w:tcPr>
          <w:p w:rsidR="00C223F5" w:rsidRDefault="005860D5">
            <w:pPr>
              <w:adjustRightInd w:val="0"/>
              <w:snapToGrid w:val="0"/>
              <w:jc w:val="center"/>
              <w:rPr>
                <w:szCs w:val="21"/>
              </w:rPr>
            </w:pPr>
            <w:r>
              <w:rPr>
                <w:rFonts w:ascii="宋体" w:hAnsi="宋体" w:cs="宋体" w:hint="eastAsia"/>
                <w:szCs w:val="21"/>
              </w:rPr>
              <w:t>设备、机械</w:t>
            </w:r>
          </w:p>
        </w:tc>
        <w:tc>
          <w:tcPr>
            <w:tcW w:w="1155" w:type="dxa"/>
            <w:vAlign w:val="center"/>
          </w:tcPr>
          <w:p w:rsidR="00C223F5" w:rsidRDefault="005860D5">
            <w:pPr>
              <w:adjustRightInd w:val="0"/>
              <w:snapToGrid w:val="0"/>
              <w:jc w:val="center"/>
              <w:rPr>
                <w:szCs w:val="21"/>
              </w:rPr>
            </w:pPr>
            <w:r>
              <w:rPr>
                <w:rFonts w:ascii="宋体" w:hAnsi="宋体" w:cs="宋体" w:hint="eastAsia"/>
                <w:szCs w:val="21"/>
              </w:rPr>
              <w:t>等效</w:t>
            </w:r>
            <w:r>
              <w:rPr>
                <w:szCs w:val="21"/>
              </w:rPr>
              <w:t>A</w:t>
            </w:r>
            <w:r>
              <w:rPr>
                <w:rFonts w:ascii="宋体" w:hAnsi="宋体" w:cs="宋体" w:hint="eastAsia"/>
                <w:szCs w:val="21"/>
              </w:rPr>
              <w:t>声级</w:t>
            </w:r>
          </w:p>
        </w:tc>
        <w:tc>
          <w:tcPr>
            <w:tcW w:w="2573" w:type="dxa"/>
            <w:vAlign w:val="center"/>
          </w:tcPr>
          <w:p w:rsidR="00C223F5" w:rsidRPr="00584B9F" w:rsidRDefault="005860D5">
            <w:pPr>
              <w:adjustRightInd w:val="0"/>
              <w:snapToGrid w:val="0"/>
              <w:jc w:val="center"/>
              <w:rPr>
                <w:szCs w:val="21"/>
              </w:rPr>
            </w:pPr>
            <w:r w:rsidRPr="00584B9F">
              <w:rPr>
                <w:rFonts w:ascii="宋体" w:hAnsi="宋体" w:cs="宋体" w:hint="eastAsia"/>
                <w:szCs w:val="21"/>
              </w:rPr>
              <w:t>低噪声设备、消声、隔声、</w:t>
            </w:r>
          </w:p>
          <w:p w:rsidR="00C223F5" w:rsidRPr="00584B9F" w:rsidRDefault="005860D5">
            <w:pPr>
              <w:adjustRightInd w:val="0"/>
              <w:snapToGrid w:val="0"/>
              <w:jc w:val="center"/>
              <w:rPr>
                <w:szCs w:val="21"/>
              </w:rPr>
            </w:pPr>
            <w:r w:rsidRPr="00584B9F">
              <w:rPr>
                <w:rFonts w:ascii="宋体" w:hAnsi="宋体" w:cs="宋体" w:hint="eastAsia"/>
                <w:szCs w:val="21"/>
              </w:rPr>
              <w:t>减震等</w:t>
            </w:r>
          </w:p>
        </w:tc>
        <w:tc>
          <w:tcPr>
            <w:tcW w:w="1072" w:type="dxa"/>
            <w:vAlign w:val="center"/>
          </w:tcPr>
          <w:p w:rsidR="00C223F5" w:rsidRPr="00584B9F" w:rsidRDefault="005860D5">
            <w:pPr>
              <w:adjustRightInd w:val="0"/>
              <w:snapToGrid w:val="0"/>
              <w:jc w:val="center"/>
              <w:rPr>
                <w:szCs w:val="21"/>
              </w:rPr>
            </w:pPr>
            <w:r w:rsidRPr="00584B9F">
              <w:rPr>
                <w:szCs w:val="21"/>
              </w:rPr>
              <w:t>/</w:t>
            </w:r>
          </w:p>
        </w:tc>
        <w:tc>
          <w:tcPr>
            <w:tcW w:w="1086" w:type="dxa"/>
            <w:vAlign w:val="center"/>
          </w:tcPr>
          <w:p w:rsidR="00C223F5" w:rsidRPr="00584B9F" w:rsidRDefault="005860D5">
            <w:pPr>
              <w:adjustRightInd w:val="0"/>
              <w:snapToGrid w:val="0"/>
              <w:jc w:val="center"/>
              <w:rPr>
                <w:szCs w:val="21"/>
              </w:rPr>
            </w:pPr>
            <w:r w:rsidRPr="00584B9F">
              <w:rPr>
                <w:rFonts w:hint="eastAsia"/>
                <w:szCs w:val="21"/>
              </w:rPr>
              <w:t>/</w:t>
            </w:r>
          </w:p>
        </w:tc>
        <w:tc>
          <w:tcPr>
            <w:tcW w:w="993" w:type="dxa"/>
            <w:vAlign w:val="center"/>
          </w:tcPr>
          <w:p w:rsidR="00C223F5" w:rsidRPr="00584B9F" w:rsidRDefault="005860D5">
            <w:pPr>
              <w:adjustRightInd w:val="0"/>
              <w:snapToGrid w:val="0"/>
              <w:jc w:val="center"/>
              <w:rPr>
                <w:szCs w:val="21"/>
              </w:rPr>
            </w:pPr>
            <w:r w:rsidRPr="00584B9F">
              <w:rPr>
                <w:szCs w:val="21"/>
              </w:rPr>
              <w:t>/</w:t>
            </w:r>
          </w:p>
        </w:tc>
        <w:tc>
          <w:tcPr>
            <w:tcW w:w="937" w:type="dxa"/>
            <w:vAlign w:val="center"/>
          </w:tcPr>
          <w:p w:rsidR="00C223F5" w:rsidRPr="00584B9F" w:rsidRDefault="005860D5">
            <w:pPr>
              <w:adjustRightInd w:val="0"/>
              <w:snapToGrid w:val="0"/>
              <w:jc w:val="center"/>
              <w:rPr>
                <w:szCs w:val="21"/>
              </w:rPr>
            </w:pPr>
            <w:r w:rsidRPr="00584B9F">
              <w:rPr>
                <w:rFonts w:ascii="宋体" w:hAnsi="宋体" w:cs="宋体" w:hint="eastAsia"/>
                <w:szCs w:val="21"/>
              </w:rPr>
              <w:t>连续</w:t>
            </w:r>
          </w:p>
        </w:tc>
        <w:tc>
          <w:tcPr>
            <w:tcW w:w="2000" w:type="dxa"/>
            <w:vAlign w:val="center"/>
          </w:tcPr>
          <w:p w:rsidR="00C223F5" w:rsidRDefault="005860D5">
            <w:pPr>
              <w:adjustRightInd w:val="0"/>
              <w:snapToGrid w:val="0"/>
              <w:jc w:val="center"/>
              <w:rPr>
                <w:szCs w:val="21"/>
              </w:rPr>
            </w:pPr>
            <w:r>
              <w:rPr>
                <w:szCs w:val="21"/>
              </w:rPr>
              <w:t>/</w:t>
            </w:r>
          </w:p>
        </w:tc>
        <w:tc>
          <w:tcPr>
            <w:tcW w:w="1280" w:type="dxa"/>
            <w:vAlign w:val="center"/>
          </w:tcPr>
          <w:p w:rsidR="00C223F5" w:rsidRDefault="005860D5">
            <w:pPr>
              <w:adjustRightInd w:val="0"/>
              <w:snapToGrid w:val="0"/>
              <w:jc w:val="center"/>
              <w:rPr>
                <w:szCs w:val="21"/>
              </w:rPr>
            </w:pPr>
            <w:r>
              <w:rPr>
                <w:rFonts w:ascii="宋体" w:hAnsi="宋体" w:cs="宋体" w:hint="eastAsia"/>
                <w:szCs w:val="21"/>
              </w:rPr>
              <w:t>厂界昼间</w:t>
            </w:r>
            <w:r>
              <w:rPr>
                <w:szCs w:val="21"/>
              </w:rPr>
              <w:t>60dB(A)</w:t>
            </w:r>
          </w:p>
          <w:p w:rsidR="00C223F5" w:rsidRDefault="005860D5">
            <w:pPr>
              <w:adjustRightInd w:val="0"/>
              <w:snapToGrid w:val="0"/>
              <w:jc w:val="center"/>
              <w:rPr>
                <w:szCs w:val="21"/>
              </w:rPr>
            </w:pPr>
            <w:r>
              <w:rPr>
                <w:rFonts w:ascii="宋体" w:hAnsi="宋体" w:cs="宋体" w:hint="eastAsia"/>
                <w:szCs w:val="21"/>
              </w:rPr>
              <w:t>夜间</w:t>
            </w:r>
            <w:r>
              <w:rPr>
                <w:szCs w:val="21"/>
              </w:rPr>
              <w:t>50dB(A)</w:t>
            </w:r>
          </w:p>
        </w:tc>
        <w:tc>
          <w:tcPr>
            <w:tcW w:w="977" w:type="dxa"/>
            <w:vAlign w:val="center"/>
          </w:tcPr>
          <w:p w:rsidR="00C223F5" w:rsidRDefault="005860D5">
            <w:pPr>
              <w:adjustRightInd w:val="0"/>
              <w:snapToGrid w:val="0"/>
              <w:jc w:val="center"/>
              <w:rPr>
                <w:szCs w:val="21"/>
              </w:rPr>
            </w:pPr>
            <w:r>
              <w:rPr>
                <w:rFonts w:ascii="宋体" w:hAnsi="宋体" w:cs="宋体" w:hint="eastAsia"/>
                <w:szCs w:val="21"/>
              </w:rPr>
              <w:t>委托第三方监测，</w:t>
            </w:r>
          </w:p>
          <w:p w:rsidR="00C223F5" w:rsidRDefault="005860D5">
            <w:pPr>
              <w:adjustRightInd w:val="0"/>
              <w:snapToGrid w:val="0"/>
              <w:jc w:val="center"/>
              <w:rPr>
                <w:szCs w:val="21"/>
              </w:rPr>
            </w:pPr>
            <w:r>
              <w:rPr>
                <w:rFonts w:hint="eastAsia"/>
                <w:szCs w:val="21"/>
              </w:rPr>
              <w:t>2</w:t>
            </w:r>
            <w:r>
              <w:rPr>
                <w:rFonts w:ascii="宋体" w:hAnsi="宋体" w:cs="宋体" w:hint="eastAsia"/>
                <w:szCs w:val="21"/>
              </w:rPr>
              <w:t>次</w:t>
            </w:r>
            <w:r>
              <w:rPr>
                <w:rFonts w:hint="eastAsia"/>
                <w:szCs w:val="21"/>
              </w:rPr>
              <w:t>/</w:t>
            </w:r>
            <w:r>
              <w:rPr>
                <w:rFonts w:ascii="宋体" w:hAnsi="宋体" w:cs="宋体" w:hint="eastAsia"/>
                <w:szCs w:val="21"/>
              </w:rPr>
              <w:t>年</w:t>
            </w:r>
          </w:p>
        </w:tc>
      </w:tr>
      <w:tr w:rsidR="00C223F5">
        <w:trPr>
          <w:trHeight w:val="20"/>
          <w:jc w:val="center"/>
        </w:trPr>
        <w:tc>
          <w:tcPr>
            <w:tcW w:w="723" w:type="dxa"/>
            <w:vMerge w:val="restart"/>
            <w:vAlign w:val="center"/>
          </w:tcPr>
          <w:p w:rsidR="00C223F5" w:rsidRDefault="005860D5">
            <w:pPr>
              <w:adjustRightInd w:val="0"/>
              <w:snapToGrid w:val="0"/>
              <w:jc w:val="center"/>
              <w:rPr>
                <w:szCs w:val="21"/>
              </w:rPr>
            </w:pPr>
            <w:r>
              <w:rPr>
                <w:rFonts w:ascii="宋体" w:hAnsi="宋体" w:cs="宋体" w:hint="eastAsia"/>
                <w:szCs w:val="21"/>
              </w:rPr>
              <w:t>固废</w:t>
            </w:r>
          </w:p>
        </w:tc>
        <w:tc>
          <w:tcPr>
            <w:tcW w:w="1826" w:type="dxa"/>
            <w:vAlign w:val="center"/>
          </w:tcPr>
          <w:p w:rsidR="00C223F5" w:rsidRDefault="005860D5">
            <w:pPr>
              <w:adjustRightInd w:val="0"/>
              <w:snapToGrid w:val="0"/>
              <w:jc w:val="center"/>
              <w:rPr>
                <w:szCs w:val="21"/>
              </w:rPr>
            </w:pPr>
            <w:r>
              <w:rPr>
                <w:rFonts w:ascii="宋体" w:hAnsi="宋体" w:cs="宋体" w:hint="eastAsia"/>
                <w:szCs w:val="21"/>
              </w:rPr>
              <w:t>矸石</w:t>
            </w:r>
          </w:p>
        </w:tc>
        <w:tc>
          <w:tcPr>
            <w:tcW w:w="1155" w:type="dxa"/>
            <w:vAlign w:val="center"/>
          </w:tcPr>
          <w:p w:rsidR="00C223F5" w:rsidRDefault="005860D5">
            <w:pPr>
              <w:adjustRightInd w:val="0"/>
              <w:snapToGrid w:val="0"/>
              <w:jc w:val="center"/>
              <w:rPr>
                <w:rFonts w:ascii="宋体" w:hAnsi="宋体" w:cs="宋体"/>
                <w:szCs w:val="21"/>
              </w:rPr>
            </w:pPr>
            <w:r>
              <w:rPr>
                <w:rFonts w:ascii="宋体" w:hAnsi="宋体" w:cs="宋体" w:hint="eastAsia"/>
                <w:szCs w:val="21"/>
              </w:rPr>
              <w:t>Ⅰ类</w:t>
            </w:r>
          </w:p>
          <w:p w:rsidR="00C223F5" w:rsidRDefault="005860D5">
            <w:pPr>
              <w:adjustRightInd w:val="0"/>
              <w:snapToGrid w:val="0"/>
              <w:jc w:val="center"/>
              <w:rPr>
                <w:szCs w:val="21"/>
              </w:rPr>
            </w:pPr>
            <w:r>
              <w:rPr>
                <w:rFonts w:ascii="宋体" w:hAnsi="宋体" w:cs="宋体" w:hint="eastAsia"/>
                <w:szCs w:val="21"/>
              </w:rPr>
              <w:t>一般固废</w:t>
            </w:r>
          </w:p>
        </w:tc>
        <w:tc>
          <w:tcPr>
            <w:tcW w:w="2573" w:type="dxa"/>
            <w:vAlign w:val="center"/>
          </w:tcPr>
          <w:p w:rsidR="00C223F5" w:rsidRPr="00584B9F" w:rsidRDefault="005860D5">
            <w:pPr>
              <w:adjustRightInd w:val="0"/>
              <w:snapToGrid w:val="0"/>
              <w:jc w:val="center"/>
              <w:rPr>
                <w:szCs w:val="21"/>
              </w:rPr>
            </w:pPr>
            <w:r w:rsidRPr="00584B9F">
              <w:rPr>
                <w:rFonts w:ascii="宋体" w:hAnsi="宋体" w:cs="宋体" w:hint="eastAsia"/>
                <w:szCs w:val="21"/>
              </w:rPr>
              <w:t>综合利用于建材厂、充填公司或井下充填废弃巷道</w:t>
            </w:r>
          </w:p>
        </w:tc>
        <w:tc>
          <w:tcPr>
            <w:tcW w:w="1072" w:type="dxa"/>
            <w:vAlign w:val="center"/>
          </w:tcPr>
          <w:p w:rsidR="00C223F5" w:rsidRPr="00584B9F" w:rsidRDefault="005860D5">
            <w:pPr>
              <w:adjustRightInd w:val="0"/>
              <w:snapToGrid w:val="0"/>
              <w:jc w:val="center"/>
              <w:rPr>
                <w:szCs w:val="21"/>
              </w:rPr>
            </w:pPr>
            <w:r w:rsidRPr="00584B9F">
              <w:rPr>
                <w:szCs w:val="21"/>
              </w:rPr>
              <w:t>/</w:t>
            </w:r>
          </w:p>
        </w:tc>
        <w:tc>
          <w:tcPr>
            <w:tcW w:w="1086" w:type="dxa"/>
            <w:vAlign w:val="center"/>
          </w:tcPr>
          <w:p w:rsidR="00C223F5" w:rsidRPr="00584B9F" w:rsidRDefault="005860D5">
            <w:pPr>
              <w:adjustRightInd w:val="0"/>
              <w:snapToGrid w:val="0"/>
              <w:jc w:val="center"/>
              <w:rPr>
                <w:szCs w:val="21"/>
              </w:rPr>
            </w:pPr>
            <w:r w:rsidRPr="00584B9F">
              <w:rPr>
                <w:rFonts w:hint="eastAsia"/>
                <w:szCs w:val="21"/>
              </w:rPr>
              <w:t>0</w:t>
            </w:r>
          </w:p>
        </w:tc>
        <w:tc>
          <w:tcPr>
            <w:tcW w:w="993" w:type="dxa"/>
            <w:vAlign w:val="center"/>
          </w:tcPr>
          <w:p w:rsidR="00C223F5" w:rsidRPr="00584B9F" w:rsidRDefault="005860D5">
            <w:pPr>
              <w:adjustRightInd w:val="0"/>
              <w:snapToGrid w:val="0"/>
              <w:jc w:val="center"/>
              <w:rPr>
                <w:szCs w:val="21"/>
              </w:rPr>
            </w:pPr>
            <w:r w:rsidRPr="00584B9F">
              <w:rPr>
                <w:szCs w:val="21"/>
              </w:rPr>
              <w:t>/</w:t>
            </w:r>
          </w:p>
        </w:tc>
        <w:tc>
          <w:tcPr>
            <w:tcW w:w="937" w:type="dxa"/>
            <w:vAlign w:val="center"/>
          </w:tcPr>
          <w:p w:rsidR="00C223F5" w:rsidRPr="00584B9F" w:rsidRDefault="005860D5">
            <w:pPr>
              <w:adjustRightInd w:val="0"/>
              <w:snapToGrid w:val="0"/>
              <w:jc w:val="center"/>
              <w:rPr>
                <w:szCs w:val="21"/>
              </w:rPr>
            </w:pPr>
            <w:r w:rsidRPr="00584B9F">
              <w:rPr>
                <w:szCs w:val="21"/>
              </w:rPr>
              <w:t>/</w:t>
            </w:r>
          </w:p>
        </w:tc>
        <w:tc>
          <w:tcPr>
            <w:tcW w:w="2000" w:type="dxa"/>
            <w:vAlign w:val="center"/>
          </w:tcPr>
          <w:p w:rsidR="00C223F5" w:rsidRDefault="005860D5">
            <w:pPr>
              <w:adjustRightInd w:val="0"/>
              <w:snapToGrid w:val="0"/>
              <w:jc w:val="center"/>
              <w:rPr>
                <w:szCs w:val="21"/>
              </w:rPr>
            </w:pPr>
            <w:r>
              <w:rPr>
                <w:szCs w:val="21"/>
              </w:rPr>
              <w:t>/</w:t>
            </w:r>
          </w:p>
        </w:tc>
        <w:tc>
          <w:tcPr>
            <w:tcW w:w="1280" w:type="dxa"/>
            <w:vAlign w:val="center"/>
          </w:tcPr>
          <w:p w:rsidR="00C223F5" w:rsidRDefault="005860D5">
            <w:pPr>
              <w:adjustRightInd w:val="0"/>
              <w:snapToGrid w:val="0"/>
              <w:jc w:val="center"/>
              <w:rPr>
                <w:szCs w:val="21"/>
              </w:rPr>
            </w:pPr>
            <w:r>
              <w:rPr>
                <w:szCs w:val="21"/>
              </w:rPr>
              <w:t>/</w:t>
            </w:r>
          </w:p>
        </w:tc>
        <w:tc>
          <w:tcPr>
            <w:tcW w:w="977" w:type="dxa"/>
            <w:vAlign w:val="center"/>
          </w:tcPr>
          <w:p w:rsidR="00C223F5" w:rsidRDefault="005860D5">
            <w:pPr>
              <w:adjustRightInd w:val="0"/>
              <w:snapToGrid w:val="0"/>
              <w:jc w:val="center"/>
              <w:rPr>
                <w:szCs w:val="21"/>
              </w:rPr>
            </w:pPr>
            <w:r>
              <w:rPr>
                <w:szCs w:val="21"/>
              </w:rPr>
              <w:t>/</w:t>
            </w:r>
          </w:p>
        </w:tc>
      </w:tr>
      <w:tr w:rsidR="00C223F5">
        <w:trPr>
          <w:trHeight w:val="20"/>
          <w:jc w:val="center"/>
        </w:trPr>
        <w:tc>
          <w:tcPr>
            <w:tcW w:w="723" w:type="dxa"/>
            <w:vMerge/>
            <w:vAlign w:val="center"/>
          </w:tcPr>
          <w:p w:rsidR="00C223F5" w:rsidRDefault="00C223F5">
            <w:pPr>
              <w:adjustRightInd w:val="0"/>
              <w:snapToGrid w:val="0"/>
              <w:jc w:val="center"/>
              <w:rPr>
                <w:szCs w:val="21"/>
              </w:rPr>
            </w:pPr>
          </w:p>
        </w:tc>
        <w:tc>
          <w:tcPr>
            <w:tcW w:w="1826" w:type="dxa"/>
            <w:vAlign w:val="center"/>
          </w:tcPr>
          <w:p w:rsidR="00C223F5" w:rsidRDefault="005860D5">
            <w:pPr>
              <w:adjustRightInd w:val="0"/>
              <w:snapToGrid w:val="0"/>
              <w:jc w:val="center"/>
              <w:rPr>
                <w:szCs w:val="21"/>
              </w:rPr>
            </w:pPr>
            <w:r>
              <w:rPr>
                <w:rFonts w:ascii="宋体" w:hAnsi="宋体" w:cs="宋体" w:hint="eastAsia"/>
                <w:szCs w:val="21"/>
              </w:rPr>
              <w:t>生活垃圾</w:t>
            </w:r>
          </w:p>
        </w:tc>
        <w:tc>
          <w:tcPr>
            <w:tcW w:w="1155" w:type="dxa"/>
            <w:vAlign w:val="center"/>
          </w:tcPr>
          <w:p w:rsidR="00C223F5" w:rsidRDefault="005860D5">
            <w:pPr>
              <w:adjustRightInd w:val="0"/>
              <w:snapToGrid w:val="0"/>
              <w:jc w:val="center"/>
              <w:rPr>
                <w:szCs w:val="21"/>
              </w:rPr>
            </w:pPr>
            <w:r>
              <w:rPr>
                <w:rFonts w:ascii="宋体" w:hAnsi="宋体" w:cs="宋体" w:hint="eastAsia"/>
                <w:szCs w:val="21"/>
              </w:rPr>
              <w:t>生活垃圾</w:t>
            </w:r>
          </w:p>
        </w:tc>
        <w:tc>
          <w:tcPr>
            <w:tcW w:w="2573" w:type="dxa"/>
            <w:vAlign w:val="center"/>
          </w:tcPr>
          <w:p w:rsidR="00C223F5" w:rsidRPr="00584B9F" w:rsidRDefault="005860D5">
            <w:pPr>
              <w:adjustRightInd w:val="0"/>
              <w:snapToGrid w:val="0"/>
              <w:jc w:val="center"/>
              <w:rPr>
                <w:szCs w:val="21"/>
              </w:rPr>
            </w:pPr>
            <w:r w:rsidRPr="00584B9F">
              <w:rPr>
                <w:rFonts w:ascii="宋体" w:hAnsi="宋体" w:cs="宋体" w:hint="eastAsia"/>
                <w:szCs w:val="21"/>
              </w:rPr>
              <w:t>市政垃圾定期清运</w:t>
            </w:r>
          </w:p>
        </w:tc>
        <w:tc>
          <w:tcPr>
            <w:tcW w:w="1072" w:type="dxa"/>
            <w:vAlign w:val="center"/>
          </w:tcPr>
          <w:p w:rsidR="00C223F5" w:rsidRPr="00584B9F" w:rsidRDefault="005860D5">
            <w:pPr>
              <w:adjustRightInd w:val="0"/>
              <w:snapToGrid w:val="0"/>
              <w:jc w:val="center"/>
              <w:rPr>
                <w:szCs w:val="21"/>
              </w:rPr>
            </w:pPr>
            <w:r w:rsidRPr="00584B9F">
              <w:rPr>
                <w:rFonts w:hint="eastAsia"/>
                <w:szCs w:val="21"/>
              </w:rPr>
              <w:t>/</w:t>
            </w:r>
          </w:p>
        </w:tc>
        <w:tc>
          <w:tcPr>
            <w:tcW w:w="1086" w:type="dxa"/>
            <w:vAlign w:val="center"/>
          </w:tcPr>
          <w:p w:rsidR="00C223F5" w:rsidRPr="00584B9F" w:rsidRDefault="005860D5">
            <w:pPr>
              <w:adjustRightInd w:val="0"/>
              <w:snapToGrid w:val="0"/>
              <w:jc w:val="center"/>
              <w:rPr>
                <w:szCs w:val="21"/>
              </w:rPr>
            </w:pPr>
            <w:r w:rsidRPr="00584B9F">
              <w:rPr>
                <w:rFonts w:hint="eastAsia"/>
                <w:szCs w:val="21"/>
              </w:rPr>
              <w:t>0</w:t>
            </w:r>
          </w:p>
        </w:tc>
        <w:tc>
          <w:tcPr>
            <w:tcW w:w="993" w:type="dxa"/>
            <w:vAlign w:val="center"/>
          </w:tcPr>
          <w:p w:rsidR="00C223F5" w:rsidRPr="00584B9F" w:rsidRDefault="005860D5">
            <w:pPr>
              <w:adjustRightInd w:val="0"/>
              <w:snapToGrid w:val="0"/>
              <w:jc w:val="center"/>
              <w:rPr>
                <w:szCs w:val="21"/>
              </w:rPr>
            </w:pPr>
            <w:r w:rsidRPr="00584B9F">
              <w:rPr>
                <w:szCs w:val="21"/>
              </w:rPr>
              <w:t>/</w:t>
            </w:r>
          </w:p>
        </w:tc>
        <w:tc>
          <w:tcPr>
            <w:tcW w:w="937" w:type="dxa"/>
            <w:vAlign w:val="center"/>
          </w:tcPr>
          <w:p w:rsidR="00C223F5" w:rsidRPr="00584B9F" w:rsidRDefault="005860D5">
            <w:pPr>
              <w:adjustRightInd w:val="0"/>
              <w:snapToGrid w:val="0"/>
              <w:jc w:val="center"/>
              <w:rPr>
                <w:szCs w:val="21"/>
              </w:rPr>
            </w:pPr>
            <w:r w:rsidRPr="00584B9F">
              <w:rPr>
                <w:rFonts w:hint="eastAsia"/>
                <w:szCs w:val="21"/>
              </w:rPr>
              <w:t>/</w:t>
            </w:r>
          </w:p>
        </w:tc>
        <w:tc>
          <w:tcPr>
            <w:tcW w:w="2000" w:type="dxa"/>
            <w:vAlign w:val="center"/>
          </w:tcPr>
          <w:p w:rsidR="00C223F5" w:rsidRDefault="005860D5">
            <w:pPr>
              <w:adjustRightInd w:val="0"/>
              <w:snapToGrid w:val="0"/>
              <w:jc w:val="center"/>
              <w:rPr>
                <w:szCs w:val="21"/>
              </w:rPr>
            </w:pPr>
            <w:r>
              <w:rPr>
                <w:szCs w:val="21"/>
              </w:rPr>
              <w:t>/</w:t>
            </w:r>
          </w:p>
        </w:tc>
        <w:tc>
          <w:tcPr>
            <w:tcW w:w="1280" w:type="dxa"/>
            <w:vAlign w:val="center"/>
          </w:tcPr>
          <w:p w:rsidR="00C223F5" w:rsidRDefault="005860D5">
            <w:pPr>
              <w:adjustRightInd w:val="0"/>
              <w:snapToGrid w:val="0"/>
              <w:jc w:val="center"/>
              <w:rPr>
                <w:szCs w:val="21"/>
              </w:rPr>
            </w:pPr>
            <w:r>
              <w:rPr>
                <w:szCs w:val="21"/>
              </w:rPr>
              <w:t>/</w:t>
            </w:r>
          </w:p>
        </w:tc>
        <w:tc>
          <w:tcPr>
            <w:tcW w:w="977" w:type="dxa"/>
            <w:vAlign w:val="center"/>
          </w:tcPr>
          <w:p w:rsidR="00C223F5" w:rsidRDefault="005860D5">
            <w:pPr>
              <w:adjustRightInd w:val="0"/>
              <w:snapToGrid w:val="0"/>
              <w:jc w:val="center"/>
              <w:rPr>
                <w:szCs w:val="21"/>
              </w:rPr>
            </w:pPr>
            <w:r>
              <w:rPr>
                <w:szCs w:val="21"/>
              </w:rPr>
              <w:t>/</w:t>
            </w:r>
          </w:p>
        </w:tc>
      </w:tr>
      <w:tr w:rsidR="00C223F5">
        <w:trPr>
          <w:trHeight w:val="20"/>
          <w:jc w:val="center"/>
        </w:trPr>
        <w:tc>
          <w:tcPr>
            <w:tcW w:w="723" w:type="dxa"/>
            <w:vMerge/>
            <w:vAlign w:val="center"/>
          </w:tcPr>
          <w:p w:rsidR="00C223F5" w:rsidRDefault="00C223F5">
            <w:pPr>
              <w:adjustRightInd w:val="0"/>
              <w:snapToGrid w:val="0"/>
              <w:jc w:val="center"/>
              <w:rPr>
                <w:szCs w:val="21"/>
              </w:rPr>
            </w:pPr>
          </w:p>
        </w:tc>
        <w:tc>
          <w:tcPr>
            <w:tcW w:w="1826" w:type="dxa"/>
            <w:vAlign w:val="center"/>
          </w:tcPr>
          <w:p w:rsidR="00C223F5" w:rsidRDefault="005860D5">
            <w:pPr>
              <w:adjustRightInd w:val="0"/>
              <w:snapToGrid w:val="0"/>
              <w:jc w:val="center"/>
              <w:rPr>
                <w:rFonts w:ascii="宋体" w:hAnsi="宋体" w:cs="宋体"/>
                <w:szCs w:val="21"/>
              </w:rPr>
            </w:pPr>
            <w:r>
              <w:rPr>
                <w:rFonts w:ascii="宋体" w:hAnsi="宋体" w:cs="宋体" w:hint="eastAsia"/>
                <w:szCs w:val="21"/>
              </w:rPr>
              <w:t>矿井水处理站煤泥</w:t>
            </w:r>
          </w:p>
        </w:tc>
        <w:tc>
          <w:tcPr>
            <w:tcW w:w="1155" w:type="dxa"/>
            <w:vAlign w:val="center"/>
          </w:tcPr>
          <w:p w:rsidR="00C223F5" w:rsidRDefault="005860D5">
            <w:pPr>
              <w:adjustRightInd w:val="0"/>
              <w:snapToGrid w:val="0"/>
              <w:jc w:val="center"/>
              <w:rPr>
                <w:rFonts w:ascii="宋体" w:hAnsi="宋体" w:cs="宋体"/>
                <w:szCs w:val="21"/>
              </w:rPr>
            </w:pPr>
            <w:r>
              <w:rPr>
                <w:rFonts w:ascii="宋体" w:hAnsi="宋体" w:cs="宋体" w:hint="eastAsia"/>
                <w:szCs w:val="21"/>
              </w:rPr>
              <w:t>煤泥</w:t>
            </w:r>
          </w:p>
        </w:tc>
        <w:tc>
          <w:tcPr>
            <w:tcW w:w="2573" w:type="dxa"/>
            <w:vAlign w:val="center"/>
          </w:tcPr>
          <w:p w:rsidR="00C223F5" w:rsidRPr="00584B9F" w:rsidRDefault="005860D5">
            <w:pPr>
              <w:adjustRightInd w:val="0"/>
              <w:snapToGrid w:val="0"/>
              <w:jc w:val="center"/>
              <w:rPr>
                <w:rFonts w:ascii="宋体" w:hAnsi="宋体" w:cs="宋体"/>
                <w:szCs w:val="21"/>
              </w:rPr>
            </w:pPr>
            <w:r w:rsidRPr="00584B9F">
              <w:rPr>
                <w:rFonts w:ascii="宋体" w:hAnsi="宋体" w:cs="宋体" w:hint="eastAsia"/>
                <w:szCs w:val="21"/>
              </w:rPr>
              <w:t>掺入末煤外销</w:t>
            </w:r>
          </w:p>
        </w:tc>
        <w:tc>
          <w:tcPr>
            <w:tcW w:w="1072" w:type="dxa"/>
            <w:vAlign w:val="center"/>
          </w:tcPr>
          <w:p w:rsidR="00C223F5" w:rsidRPr="00584B9F" w:rsidRDefault="005860D5">
            <w:pPr>
              <w:adjustRightInd w:val="0"/>
              <w:snapToGrid w:val="0"/>
              <w:jc w:val="center"/>
              <w:rPr>
                <w:szCs w:val="21"/>
              </w:rPr>
            </w:pPr>
            <w:r w:rsidRPr="00584B9F">
              <w:rPr>
                <w:rFonts w:hint="eastAsia"/>
                <w:szCs w:val="21"/>
              </w:rPr>
              <w:t>/</w:t>
            </w:r>
          </w:p>
        </w:tc>
        <w:tc>
          <w:tcPr>
            <w:tcW w:w="1086" w:type="dxa"/>
            <w:vAlign w:val="center"/>
          </w:tcPr>
          <w:p w:rsidR="00C223F5" w:rsidRPr="00584B9F" w:rsidRDefault="005860D5">
            <w:pPr>
              <w:adjustRightInd w:val="0"/>
              <w:snapToGrid w:val="0"/>
              <w:jc w:val="center"/>
              <w:rPr>
                <w:szCs w:val="21"/>
              </w:rPr>
            </w:pPr>
            <w:r w:rsidRPr="00584B9F">
              <w:rPr>
                <w:rFonts w:hint="eastAsia"/>
                <w:szCs w:val="21"/>
              </w:rPr>
              <w:t>0</w:t>
            </w:r>
          </w:p>
        </w:tc>
        <w:tc>
          <w:tcPr>
            <w:tcW w:w="993" w:type="dxa"/>
            <w:vAlign w:val="center"/>
          </w:tcPr>
          <w:p w:rsidR="00C223F5" w:rsidRPr="00584B9F" w:rsidRDefault="005860D5">
            <w:pPr>
              <w:adjustRightInd w:val="0"/>
              <w:snapToGrid w:val="0"/>
              <w:jc w:val="center"/>
              <w:rPr>
                <w:szCs w:val="21"/>
              </w:rPr>
            </w:pPr>
            <w:r w:rsidRPr="00584B9F">
              <w:rPr>
                <w:szCs w:val="21"/>
              </w:rPr>
              <w:t>/</w:t>
            </w:r>
          </w:p>
        </w:tc>
        <w:tc>
          <w:tcPr>
            <w:tcW w:w="937" w:type="dxa"/>
            <w:vAlign w:val="center"/>
          </w:tcPr>
          <w:p w:rsidR="00C223F5" w:rsidRPr="00584B9F" w:rsidRDefault="005860D5">
            <w:pPr>
              <w:adjustRightInd w:val="0"/>
              <w:snapToGrid w:val="0"/>
              <w:jc w:val="center"/>
              <w:rPr>
                <w:szCs w:val="21"/>
              </w:rPr>
            </w:pPr>
            <w:r w:rsidRPr="00584B9F">
              <w:rPr>
                <w:rFonts w:hint="eastAsia"/>
                <w:szCs w:val="21"/>
              </w:rPr>
              <w:t>/</w:t>
            </w:r>
          </w:p>
        </w:tc>
        <w:tc>
          <w:tcPr>
            <w:tcW w:w="2000" w:type="dxa"/>
            <w:vAlign w:val="center"/>
          </w:tcPr>
          <w:p w:rsidR="00C223F5" w:rsidRDefault="005860D5">
            <w:pPr>
              <w:adjustRightInd w:val="0"/>
              <w:snapToGrid w:val="0"/>
              <w:jc w:val="center"/>
              <w:rPr>
                <w:szCs w:val="21"/>
              </w:rPr>
            </w:pPr>
            <w:r>
              <w:rPr>
                <w:szCs w:val="21"/>
              </w:rPr>
              <w:t>/</w:t>
            </w:r>
          </w:p>
        </w:tc>
        <w:tc>
          <w:tcPr>
            <w:tcW w:w="1280" w:type="dxa"/>
            <w:vAlign w:val="center"/>
          </w:tcPr>
          <w:p w:rsidR="00C223F5" w:rsidRDefault="005860D5">
            <w:pPr>
              <w:adjustRightInd w:val="0"/>
              <w:snapToGrid w:val="0"/>
              <w:jc w:val="center"/>
              <w:rPr>
                <w:szCs w:val="21"/>
              </w:rPr>
            </w:pPr>
            <w:r>
              <w:rPr>
                <w:szCs w:val="21"/>
              </w:rPr>
              <w:t>/</w:t>
            </w:r>
          </w:p>
        </w:tc>
        <w:tc>
          <w:tcPr>
            <w:tcW w:w="977" w:type="dxa"/>
            <w:vAlign w:val="center"/>
          </w:tcPr>
          <w:p w:rsidR="00C223F5" w:rsidRDefault="005860D5">
            <w:pPr>
              <w:adjustRightInd w:val="0"/>
              <w:snapToGrid w:val="0"/>
              <w:jc w:val="center"/>
              <w:rPr>
                <w:szCs w:val="21"/>
              </w:rPr>
            </w:pPr>
            <w:r>
              <w:rPr>
                <w:szCs w:val="21"/>
              </w:rPr>
              <w:t>/</w:t>
            </w:r>
          </w:p>
        </w:tc>
      </w:tr>
      <w:tr w:rsidR="00C223F5">
        <w:trPr>
          <w:trHeight w:val="20"/>
          <w:jc w:val="center"/>
        </w:trPr>
        <w:tc>
          <w:tcPr>
            <w:tcW w:w="723" w:type="dxa"/>
            <w:vMerge/>
            <w:vAlign w:val="center"/>
          </w:tcPr>
          <w:p w:rsidR="00C223F5" w:rsidRDefault="00C223F5">
            <w:pPr>
              <w:adjustRightInd w:val="0"/>
              <w:snapToGrid w:val="0"/>
              <w:jc w:val="center"/>
              <w:rPr>
                <w:szCs w:val="21"/>
              </w:rPr>
            </w:pPr>
          </w:p>
        </w:tc>
        <w:tc>
          <w:tcPr>
            <w:tcW w:w="1826" w:type="dxa"/>
            <w:vAlign w:val="center"/>
          </w:tcPr>
          <w:p w:rsidR="00C223F5" w:rsidRDefault="005860D5">
            <w:pPr>
              <w:adjustRightInd w:val="0"/>
              <w:snapToGrid w:val="0"/>
              <w:jc w:val="center"/>
              <w:rPr>
                <w:rFonts w:ascii="宋体" w:hAnsi="宋体" w:cs="宋体"/>
                <w:szCs w:val="21"/>
              </w:rPr>
            </w:pPr>
            <w:r>
              <w:rPr>
                <w:rFonts w:ascii="宋体" w:hAnsi="宋体" w:cs="宋体" w:hint="eastAsia"/>
                <w:szCs w:val="21"/>
              </w:rPr>
              <w:t>生活污水</w:t>
            </w:r>
          </w:p>
          <w:p w:rsidR="00C223F5" w:rsidRDefault="005860D5">
            <w:pPr>
              <w:adjustRightInd w:val="0"/>
              <w:snapToGrid w:val="0"/>
              <w:jc w:val="center"/>
              <w:rPr>
                <w:szCs w:val="21"/>
              </w:rPr>
            </w:pPr>
            <w:r>
              <w:rPr>
                <w:rFonts w:ascii="宋体" w:hAnsi="宋体" w:cs="宋体" w:hint="eastAsia"/>
                <w:szCs w:val="21"/>
              </w:rPr>
              <w:t>处理站污泥</w:t>
            </w:r>
          </w:p>
        </w:tc>
        <w:tc>
          <w:tcPr>
            <w:tcW w:w="1155" w:type="dxa"/>
            <w:vAlign w:val="center"/>
          </w:tcPr>
          <w:p w:rsidR="00C223F5" w:rsidRDefault="005860D5">
            <w:pPr>
              <w:adjustRightInd w:val="0"/>
              <w:snapToGrid w:val="0"/>
              <w:jc w:val="center"/>
              <w:rPr>
                <w:szCs w:val="21"/>
              </w:rPr>
            </w:pPr>
            <w:r>
              <w:rPr>
                <w:rFonts w:ascii="宋体" w:hAnsi="宋体" w:cs="宋体" w:hint="eastAsia"/>
                <w:szCs w:val="21"/>
              </w:rPr>
              <w:t>污泥</w:t>
            </w:r>
          </w:p>
        </w:tc>
        <w:tc>
          <w:tcPr>
            <w:tcW w:w="2573" w:type="dxa"/>
            <w:vAlign w:val="center"/>
          </w:tcPr>
          <w:p w:rsidR="00C223F5" w:rsidRPr="00584B9F" w:rsidRDefault="005860D5">
            <w:pPr>
              <w:adjustRightInd w:val="0"/>
              <w:snapToGrid w:val="0"/>
              <w:jc w:val="center"/>
              <w:rPr>
                <w:szCs w:val="21"/>
              </w:rPr>
            </w:pPr>
            <w:r w:rsidRPr="00584B9F">
              <w:rPr>
                <w:rFonts w:ascii="宋体" w:hAnsi="宋体" w:cs="宋体" w:hint="eastAsia"/>
                <w:szCs w:val="21"/>
              </w:rPr>
              <w:t>压滤脱水后送市政垃圾场</w:t>
            </w:r>
          </w:p>
          <w:p w:rsidR="00C223F5" w:rsidRPr="00584B9F" w:rsidRDefault="005860D5">
            <w:pPr>
              <w:adjustRightInd w:val="0"/>
              <w:snapToGrid w:val="0"/>
              <w:jc w:val="center"/>
              <w:rPr>
                <w:szCs w:val="21"/>
              </w:rPr>
            </w:pPr>
            <w:r w:rsidRPr="00584B9F">
              <w:rPr>
                <w:rFonts w:ascii="宋体" w:hAnsi="宋体" w:cs="宋体" w:hint="eastAsia"/>
                <w:szCs w:val="21"/>
              </w:rPr>
              <w:t>处置</w:t>
            </w:r>
          </w:p>
        </w:tc>
        <w:tc>
          <w:tcPr>
            <w:tcW w:w="1072" w:type="dxa"/>
            <w:vAlign w:val="center"/>
          </w:tcPr>
          <w:p w:rsidR="00C223F5" w:rsidRPr="00584B9F" w:rsidRDefault="005860D5">
            <w:pPr>
              <w:adjustRightInd w:val="0"/>
              <w:snapToGrid w:val="0"/>
              <w:jc w:val="center"/>
              <w:rPr>
                <w:szCs w:val="21"/>
              </w:rPr>
            </w:pPr>
            <w:r w:rsidRPr="00584B9F">
              <w:rPr>
                <w:rFonts w:hint="eastAsia"/>
                <w:szCs w:val="21"/>
              </w:rPr>
              <w:t>/</w:t>
            </w:r>
          </w:p>
        </w:tc>
        <w:tc>
          <w:tcPr>
            <w:tcW w:w="1086" w:type="dxa"/>
            <w:vAlign w:val="center"/>
          </w:tcPr>
          <w:p w:rsidR="00C223F5" w:rsidRPr="00584B9F" w:rsidRDefault="005860D5">
            <w:pPr>
              <w:adjustRightInd w:val="0"/>
              <w:snapToGrid w:val="0"/>
              <w:jc w:val="center"/>
              <w:rPr>
                <w:szCs w:val="21"/>
              </w:rPr>
            </w:pPr>
            <w:r w:rsidRPr="00584B9F">
              <w:rPr>
                <w:rFonts w:hint="eastAsia"/>
                <w:szCs w:val="21"/>
              </w:rPr>
              <w:t>0</w:t>
            </w:r>
          </w:p>
        </w:tc>
        <w:tc>
          <w:tcPr>
            <w:tcW w:w="993" w:type="dxa"/>
            <w:vAlign w:val="center"/>
          </w:tcPr>
          <w:p w:rsidR="00C223F5" w:rsidRPr="00584B9F" w:rsidRDefault="005860D5">
            <w:pPr>
              <w:adjustRightInd w:val="0"/>
              <w:snapToGrid w:val="0"/>
              <w:jc w:val="center"/>
              <w:rPr>
                <w:szCs w:val="21"/>
              </w:rPr>
            </w:pPr>
            <w:r w:rsidRPr="00584B9F">
              <w:rPr>
                <w:szCs w:val="21"/>
              </w:rPr>
              <w:t>/</w:t>
            </w:r>
          </w:p>
        </w:tc>
        <w:tc>
          <w:tcPr>
            <w:tcW w:w="937" w:type="dxa"/>
            <w:vAlign w:val="center"/>
          </w:tcPr>
          <w:p w:rsidR="00C223F5" w:rsidRPr="00584B9F" w:rsidRDefault="005860D5">
            <w:pPr>
              <w:adjustRightInd w:val="0"/>
              <w:snapToGrid w:val="0"/>
              <w:jc w:val="center"/>
              <w:rPr>
                <w:szCs w:val="21"/>
              </w:rPr>
            </w:pPr>
            <w:r w:rsidRPr="00584B9F">
              <w:rPr>
                <w:rFonts w:hint="eastAsia"/>
                <w:szCs w:val="21"/>
              </w:rPr>
              <w:t>/</w:t>
            </w:r>
          </w:p>
        </w:tc>
        <w:tc>
          <w:tcPr>
            <w:tcW w:w="2000" w:type="dxa"/>
            <w:vAlign w:val="center"/>
          </w:tcPr>
          <w:p w:rsidR="00C223F5" w:rsidRDefault="005860D5">
            <w:pPr>
              <w:adjustRightInd w:val="0"/>
              <w:snapToGrid w:val="0"/>
              <w:jc w:val="center"/>
              <w:rPr>
                <w:szCs w:val="21"/>
              </w:rPr>
            </w:pPr>
            <w:r>
              <w:rPr>
                <w:szCs w:val="21"/>
              </w:rPr>
              <w:t>/</w:t>
            </w:r>
          </w:p>
        </w:tc>
        <w:tc>
          <w:tcPr>
            <w:tcW w:w="1280" w:type="dxa"/>
            <w:vAlign w:val="center"/>
          </w:tcPr>
          <w:p w:rsidR="00C223F5" w:rsidRDefault="005860D5">
            <w:pPr>
              <w:adjustRightInd w:val="0"/>
              <w:snapToGrid w:val="0"/>
              <w:jc w:val="center"/>
              <w:rPr>
                <w:szCs w:val="21"/>
              </w:rPr>
            </w:pPr>
            <w:r>
              <w:rPr>
                <w:szCs w:val="21"/>
              </w:rPr>
              <w:t>/</w:t>
            </w:r>
          </w:p>
        </w:tc>
        <w:tc>
          <w:tcPr>
            <w:tcW w:w="977" w:type="dxa"/>
            <w:vAlign w:val="center"/>
          </w:tcPr>
          <w:p w:rsidR="00C223F5" w:rsidRDefault="005860D5">
            <w:pPr>
              <w:adjustRightInd w:val="0"/>
              <w:snapToGrid w:val="0"/>
              <w:jc w:val="center"/>
              <w:rPr>
                <w:szCs w:val="21"/>
              </w:rPr>
            </w:pPr>
            <w:r>
              <w:rPr>
                <w:szCs w:val="21"/>
              </w:rPr>
              <w:t>/</w:t>
            </w:r>
          </w:p>
        </w:tc>
      </w:tr>
      <w:tr w:rsidR="00C223F5">
        <w:trPr>
          <w:trHeight w:val="20"/>
          <w:jc w:val="center"/>
        </w:trPr>
        <w:tc>
          <w:tcPr>
            <w:tcW w:w="723" w:type="dxa"/>
            <w:vMerge/>
            <w:vAlign w:val="center"/>
          </w:tcPr>
          <w:p w:rsidR="00C223F5" w:rsidRDefault="00C223F5">
            <w:pPr>
              <w:adjustRightInd w:val="0"/>
              <w:snapToGrid w:val="0"/>
              <w:jc w:val="center"/>
              <w:rPr>
                <w:szCs w:val="21"/>
              </w:rPr>
            </w:pPr>
          </w:p>
        </w:tc>
        <w:tc>
          <w:tcPr>
            <w:tcW w:w="1826" w:type="dxa"/>
            <w:vAlign w:val="center"/>
          </w:tcPr>
          <w:p w:rsidR="00C223F5" w:rsidRDefault="005860D5">
            <w:pPr>
              <w:adjustRightInd w:val="0"/>
              <w:snapToGrid w:val="0"/>
              <w:jc w:val="center"/>
              <w:rPr>
                <w:szCs w:val="21"/>
              </w:rPr>
            </w:pPr>
            <w:r>
              <w:rPr>
                <w:rFonts w:ascii="宋体" w:hAnsi="宋体" w:cs="宋体" w:hint="eastAsia"/>
                <w:szCs w:val="21"/>
              </w:rPr>
              <w:t>机械设备</w:t>
            </w:r>
          </w:p>
        </w:tc>
        <w:tc>
          <w:tcPr>
            <w:tcW w:w="1155" w:type="dxa"/>
            <w:vAlign w:val="center"/>
          </w:tcPr>
          <w:p w:rsidR="00C223F5" w:rsidRDefault="005860D5">
            <w:pPr>
              <w:adjustRightInd w:val="0"/>
              <w:snapToGrid w:val="0"/>
              <w:jc w:val="center"/>
              <w:rPr>
                <w:szCs w:val="21"/>
              </w:rPr>
            </w:pPr>
            <w:r>
              <w:rPr>
                <w:rFonts w:ascii="宋体" w:hAnsi="宋体" w:cs="宋体" w:hint="eastAsia"/>
                <w:szCs w:val="21"/>
              </w:rPr>
              <w:t>废机油</w:t>
            </w:r>
          </w:p>
        </w:tc>
        <w:tc>
          <w:tcPr>
            <w:tcW w:w="2573" w:type="dxa"/>
            <w:vAlign w:val="center"/>
          </w:tcPr>
          <w:p w:rsidR="00C223F5" w:rsidRDefault="005860D5">
            <w:pPr>
              <w:adjustRightInd w:val="0"/>
              <w:snapToGrid w:val="0"/>
              <w:jc w:val="center"/>
              <w:rPr>
                <w:rFonts w:ascii="宋体" w:hAnsi="宋体" w:cs="宋体"/>
                <w:szCs w:val="21"/>
              </w:rPr>
            </w:pPr>
            <w:r>
              <w:rPr>
                <w:rFonts w:ascii="宋体" w:hAnsi="宋体" w:cs="宋体" w:hint="eastAsia"/>
                <w:szCs w:val="21"/>
              </w:rPr>
              <w:t>暂存于危废贮存间，最终</w:t>
            </w:r>
          </w:p>
          <w:p w:rsidR="00C223F5" w:rsidRDefault="005860D5">
            <w:pPr>
              <w:adjustRightInd w:val="0"/>
              <w:snapToGrid w:val="0"/>
              <w:jc w:val="center"/>
              <w:rPr>
                <w:szCs w:val="21"/>
              </w:rPr>
            </w:pPr>
            <w:r>
              <w:rPr>
                <w:rFonts w:ascii="宋体" w:hAnsi="宋体" w:cs="宋体" w:hint="eastAsia"/>
                <w:szCs w:val="21"/>
              </w:rPr>
              <w:t>交资质单位处置</w:t>
            </w:r>
          </w:p>
        </w:tc>
        <w:tc>
          <w:tcPr>
            <w:tcW w:w="1072" w:type="dxa"/>
            <w:vAlign w:val="center"/>
          </w:tcPr>
          <w:p w:rsidR="00C223F5" w:rsidRDefault="005860D5">
            <w:pPr>
              <w:adjustRightInd w:val="0"/>
              <w:snapToGrid w:val="0"/>
              <w:jc w:val="center"/>
              <w:rPr>
                <w:szCs w:val="21"/>
              </w:rPr>
            </w:pPr>
            <w:r>
              <w:rPr>
                <w:rFonts w:hint="eastAsia"/>
                <w:szCs w:val="21"/>
              </w:rPr>
              <w:t>/</w:t>
            </w:r>
          </w:p>
        </w:tc>
        <w:tc>
          <w:tcPr>
            <w:tcW w:w="1086" w:type="dxa"/>
            <w:vAlign w:val="center"/>
          </w:tcPr>
          <w:p w:rsidR="00C223F5" w:rsidRDefault="005860D5">
            <w:pPr>
              <w:adjustRightInd w:val="0"/>
              <w:snapToGrid w:val="0"/>
              <w:jc w:val="center"/>
              <w:rPr>
                <w:szCs w:val="21"/>
              </w:rPr>
            </w:pPr>
            <w:r>
              <w:rPr>
                <w:szCs w:val="21"/>
              </w:rPr>
              <w:t>0</w:t>
            </w:r>
          </w:p>
        </w:tc>
        <w:tc>
          <w:tcPr>
            <w:tcW w:w="993" w:type="dxa"/>
            <w:vAlign w:val="center"/>
          </w:tcPr>
          <w:p w:rsidR="00C223F5" w:rsidRDefault="005860D5">
            <w:pPr>
              <w:adjustRightInd w:val="0"/>
              <w:snapToGrid w:val="0"/>
              <w:jc w:val="center"/>
              <w:rPr>
                <w:szCs w:val="21"/>
              </w:rPr>
            </w:pPr>
            <w:r>
              <w:rPr>
                <w:rFonts w:hint="eastAsia"/>
                <w:szCs w:val="21"/>
              </w:rPr>
              <w:t>/</w:t>
            </w:r>
          </w:p>
        </w:tc>
        <w:tc>
          <w:tcPr>
            <w:tcW w:w="937" w:type="dxa"/>
            <w:vAlign w:val="center"/>
          </w:tcPr>
          <w:p w:rsidR="00C223F5" w:rsidRDefault="005860D5">
            <w:pPr>
              <w:adjustRightInd w:val="0"/>
              <w:snapToGrid w:val="0"/>
              <w:jc w:val="center"/>
              <w:rPr>
                <w:szCs w:val="21"/>
              </w:rPr>
            </w:pPr>
            <w:r>
              <w:rPr>
                <w:rFonts w:hint="eastAsia"/>
                <w:szCs w:val="21"/>
              </w:rPr>
              <w:t>/</w:t>
            </w:r>
          </w:p>
        </w:tc>
        <w:tc>
          <w:tcPr>
            <w:tcW w:w="2000" w:type="dxa"/>
            <w:vAlign w:val="center"/>
          </w:tcPr>
          <w:p w:rsidR="00C223F5" w:rsidRDefault="005860D5">
            <w:pPr>
              <w:adjustRightInd w:val="0"/>
              <w:snapToGrid w:val="0"/>
              <w:jc w:val="center"/>
              <w:rPr>
                <w:szCs w:val="21"/>
              </w:rPr>
            </w:pPr>
            <w:r>
              <w:rPr>
                <w:rFonts w:hint="eastAsia"/>
                <w:szCs w:val="21"/>
              </w:rPr>
              <w:t>/</w:t>
            </w:r>
          </w:p>
        </w:tc>
        <w:tc>
          <w:tcPr>
            <w:tcW w:w="1280" w:type="dxa"/>
            <w:vAlign w:val="center"/>
          </w:tcPr>
          <w:p w:rsidR="00C223F5" w:rsidRDefault="005860D5">
            <w:pPr>
              <w:adjustRightInd w:val="0"/>
              <w:snapToGrid w:val="0"/>
              <w:jc w:val="center"/>
              <w:rPr>
                <w:szCs w:val="21"/>
              </w:rPr>
            </w:pPr>
            <w:r>
              <w:rPr>
                <w:rFonts w:hint="eastAsia"/>
                <w:szCs w:val="21"/>
              </w:rPr>
              <w:t>/</w:t>
            </w:r>
          </w:p>
        </w:tc>
        <w:tc>
          <w:tcPr>
            <w:tcW w:w="977" w:type="dxa"/>
            <w:vAlign w:val="center"/>
          </w:tcPr>
          <w:p w:rsidR="00C223F5" w:rsidRDefault="005860D5">
            <w:pPr>
              <w:adjustRightInd w:val="0"/>
              <w:snapToGrid w:val="0"/>
              <w:jc w:val="center"/>
              <w:rPr>
                <w:szCs w:val="21"/>
              </w:rPr>
            </w:pPr>
            <w:r>
              <w:rPr>
                <w:rFonts w:hint="eastAsia"/>
                <w:szCs w:val="21"/>
              </w:rPr>
              <w:t>/</w:t>
            </w:r>
          </w:p>
        </w:tc>
      </w:tr>
      <w:bookmarkEnd w:id="576"/>
    </w:tbl>
    <w:p w:rsidR="00C223F5" w:rsidRDefault="00C223F5">
      <w:pPr>
        <w:ind w:firstLine="482"/>
        <w:jc w:val="center"/>
        <w:rPr>
          <w:b/>
          <w:color w:val="000000"/>
          <w:kern w:val="0"/>
          <w:szCs w:val="18"/>
        </w:rPr>
        <w:sectPr w:rsidR="00C223F5">
          <w:pgSz w:w="16838" w:h="11906" w:orient="landscape"/>
          <w:pgMar w:top="1701" w:right="1440" w:bottom="1701" w:left="1440" w:header="851" w:footer="992" w:gutter="0"/>
          <w:cols w:space="425"/>
          <w:docGrid w:linePitch="312"/>
        </w:sectPr>
      </w:pP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577" w:name="_Toc528161013"/>
      <w:bookmarkStart w:id="578" w:name="_Toc16785346"/>
      <w:bookmarkStart w:id="579" w:name="_Toc216255042"/>
      <w:bookmarkStart w:id="580" w:name="_Toc462921278"/>
      <w:r>
        <w:rPr>
          <w:rFonts w:ascii="Times New Roman" w:eastAsia="宋体" w:hAnsi="Times New Roman" w:hint="eastAsia"/>
          <w:b/>
          <w:bCs w:val="0"/>
          <w:szCs w:val="30"/>
        </w:rPr>
        <w:lastRenderedPageBreak/>
        <w:t>7</w:t>
      </w:r>
      <w:r>
        <w:rPr>
          <w:rFonts w:ascii="Times New Roman" w:eastAsia="宋体" w:hAnsi="Times New Roman"/>
          <w:b/>
          <w:bCs w:val="0"/>
          <w:szCs w:val="30"/>
        </w:rPr>
        <w:t>.5</w:t>
      </w:r>
      <w:r>
        <w:rPr>
          <w:rFonts w:ascii="Times New Roman" w:eastAsia="宋体" w:hAnsi="Times New Roman"/>
          <w:b/>
          <w:bCs w:val="0"/>
          <w:szCs w:val="30"/>
        </w:rPr>
        <w:t>企业环境信息公开</w:t>
      </w:r>
      <w:bookmarkEnd w:id="577"/>
      <w:bookmarkEnd w:id="578"/>
    </w:p>
    <w:p w:rsidR="00C223F5" w:rsidRDefault="005860D5">
      <w:pPr>
        <w:spacing w:line="360" w:lineRule="auto"/>
        <w:ind w:firstLineChars="200" w:firstLine="480"/>
        <w:rPr>
          <w:color w:val="000000"/>
          <w:kern w:val="0"/>
          <w:sz w:val="24"/>
        </w:rPr>
      </w:pPr>
      <w:r>
        <w:rPr>
          <w:color w:val="000000"/>
          <w:kern w:val="0"/>
          <w:sz w:val="24"/>
        </w:rPr>
        <w:t>整合后，矿井应按照《企业事业单位环境信息公开办法》（环保部令第</w:t>
      </w:r>
      <w:r>
        <w:rPr>
          <w:color w:val="000000"/>
          <w:kern w:val="0"/>
          <w:sz w:val="24"/>
        </w:rPr>
        <w:t>31</w:t>
      </w:r>
      <w:r>
        <w:rPr>
          <w:color w:val="000000"/>
          <w:kern w:val="0"/>
          <w:sz w:val="24"/>
        </w:rPr>
        <w:t>号）的规定对企业环境信息公开。</w:t>
      </w:r>
    </w:p>
    <w:p w:rsidR="00C223F5" w:rsidRDefault="005860D5">
      <w:pPr>
        <w:spacing w:line="360" w:lineRule="auto"/>
        <w:ind w:firstLineChars="200" w:firstLine="480"/>
        <w:rPr>
          <w:color w:val="000000"/>
          <w:kern w:val="0"/>
          <w:sz w:val="24"/>
        </w:rPr>
      </w:pPr>
      <w:r>
        <w:rPr>
          <w:color w:val="000000"/>
          <w:kern w:val="0"/>
          <w:sz w:val="24"/>
        </w:rPr>
        <w:t>本次评价要求在建设单位在当地网站至少公开企业如下信息：</w:t>
      </w:r>
    </w:p>
    <w:p w:rsidR="00C223F5" w:rsidRDefault="005860D5">
      <w:pPr>
        <w:spacing w:line="360" w:lineRule="auto"/>
        <w:ind w:firstLineChars="200" w:firstLine="480"/>
        <w:rPr>
          <w:color w:val="000000"/>
          <w:kern w:val="0"/>
          <w:sz w:val="24"/>
        </w:rPr>
      </w:pPr>
      <w:r>
        <w:rPr>
          <w:color w:val="000000"/>
          <w:kern w:val="0"/>
          <w:sz w:val="24"/>
        </w:rPr>
        <w:t>（</w:t>
      </w:r>
      <w:r>
        <w:rPr>
          <w:color w:val="000000"/>
          <w:kern w:val="0"/>
          <w:sz w:val="24"/>
        </w:rPr>
        <w:t>1</w:t>
      </w:r>
      <w:r>
        <w:rPr>
          <w:color w:val="000000"/>
          <w:kern w:val="0"/>
          <w:sz w:val="24"/>
        </w:rPr>
        <w:t>）基础信息：包括单位名称、组织机构代码、法定代表人、生产地址、联系方式，以及生产经营和管理服务的主要内容、产品及规模；</w:t>
      </w:r>
    </w:p>
    <w:p w:rsidR="00C223F5" w:rsidRDefault="005860D5">
      <w:pPr>
        <w:spacing w:line="360" w:lineRule="auto"/>
        <w:ind w:firstLineChars="200" w:firstLine="480"/>
        <w:rPr>
          <w:color w:val="000000"/>
          <w:kern w:val="0"/>
          <w:sz w:val="24"/>
        </w:rPr>
      </w:pPr>
      <w:r>
        <w:rPr>
          <w:color w:val="000000"/>
          <w:kern w:val="0"/>
          <w:sz w:val="24"/>
        </w:rPr>
        <w:t>（</w:t>
      </w:r>
      <w:r>
        <w:rPr>
          <w:color w:val="000000"/>
          <w:kern w:val="0"/>
          <w:sz w:val="24"/>
        </w:rPr>
        <w:t>2</w:t>
      </w:r>
      <w:r>
        <w:rPr>
          <w:color w:val="000000"/>
          <w:kern w:val="0"/>
          <w:sz w:val="24"/>
        </w:rPr>
        <w:t>）排污信息：包括主要污染物及特征污染物的名称、排放方式、排放口数量和分布情况、排放浓度和总量、超标情况，以及执行的污染物排放标准、核定的排放总量；</w:t>
      </w:r>
    </w:p>
    <w:p w:rsidR="00C223F5" w:rsidRDefault="005860D5">
      <w:pPr>
        <w:spacing w:line="360" w:lineRule="auto"/>
        <w:ind w:firstLineChars="200" w:firstLine="480"/>
        <w:rPr>
          <w:color w:val="000000"/>
          <w:kern w:val="0"/>
          <w:sz w:val="24"/>
        </w:rPr>
      </w:pPr>
      <w:r>
        <w:rPr>
          <w:color w:val="000000"/>
          <w:kern w:val="0"/>
          <w:sz w:val="24"/>
        </w:rPr>
        <w:t>（</w:t>
      </w:r>
      <w:r>
        <w:rPr>
          <w:color w:val="000000"/>
          <w:kern w:val="0"/>
          <w:sz w:val="24"/>
        </w:rPr>
        <w:t>3</w:t>
      </w:r>
      <w:r>
        <w:rPr>
          <w:color w:val="000000"/>
          <w:kern w:val="0"/>
          <w:sz w:val="24"/>
        </w:rPr>
        <w:t>）防治污染设施的建设和运行情况；</w:t>
      </w:r>
    </w:p>
    <w:p w:rsidR="00C223F5" w:rsidRDefault="005860D5">
      <w:pPr>
        <w:spacing w:line="360" w:lineRule="auto"/>
        <w:ind w:firstLineChars="200" w:firstLine="480"/>
        <w:rPr>
          <w:color w:val="000000"/>
          <w:kern w:val="0"/>
          <w:sz w:val="24"/>
        </w:rPr>
      </w:pPr>
      <w:r>
        <w:rPr>
          <w:color w:val="000000"/>
          <w:kern w:val="0"/>
          <w:sz w:val="24"/>
        </w:rPr>
        <w:t>（</w:t>
      </w:r>
      <w:r>
        <w:rPr>
          <w:color w:val="000000"/>
          <w:kern w:val="0"/>
          <w:sz w:val="24"/>
        </w:rPr>
        <w:t>4</w:t>
      </w:r>
      <w:r>
        <w:rPr>
          <w:color w:val="000000"/>
          <w:kern w:val="0"/>
          <w:sz w:val="24"/>
        </w:rPr>
        <w:t>）建设项目环境保护行政许可情况；</w:t>
      </w:r>
    </w:p>
    <w:p w:rsidR="00C223F5" w:rsidRDefault="005860D5">
      <w:pPr>
        <w:spacing w:line="360" w:lineRule="auto"/>
        <w:ind w:firstLineChars="200" w:firstLine="480"/>
        <w:rPr>
          <w:color w:val="000000"/>
          <w:kern w:val="0"/>
          <w:sz w:val="24"/>
        </w:rPr>
      </w:pPr>
      <w:r>
        <w:rPr>
          <w:color w:val="000000"/>
          <w:kern w:val="0"/>
          <w:sz w:val="24"/>
        </w:rPr>
        <w:t>（</w:t>
      </w:r>
      <w:r>
        <w:rPr>
          <w:color w:val="000000"/>
          <w:kern w:val="0"/>
          <w:sz w:val="24"/>
        </w:rPr>
        <w:t>5</w:t>
      </w:r>
      <w:r>
        <w:rPr>
          <w:color w:val="000000"/>
          <w:kern w:val="0"/>
          <w:sz w:val="24"/>
        </w:rPr>
        <w:t>）突发环境事件应急预案；</w:t>
      </w:r>
    </w:p>
    <w:p w:rsidR="00C223F5" w:rsidRDefault="005860D5">
      <w:pPr>
        <w:spacing w:line="360" w:lineRule="auto"/>
        <w:ind w:firstLineChars="200" w:firstLine="480"/>
        <w:rPr>
          <w:color w:val="000000"/>
          <w:kern w:val="0"/>
          <w:sz w:val="24"/>
        </w:rPr>
      </w:pPr>
      <w:r>
        <w:rPr>
          <w:color w:val="000000"/>
          <w:kern w:val="0"/>
          <w:sz w:val="24"/>
        </w:rPr>
        <w:t>（</w:t>
      </w:r>
      <w:r>
        <w:rPr>
          <w:color w:val="000000"/>
          <w:kern w:val="0"/>
          <w:sz w:val="24"/>
        </w:rPr>
        <w:t>6</w:t>
      </w:r>
      <w:r>
        <w:rPr>
          <w:color w:val="000000"/>
          <w:kern w:val="0"/>
          <w:sz w:val="24"/>
        </w:rPr>
        <w:t>）当地要求的其他应当公开的环境信息。</w:t>
      </w:r>
    </w:p>
    <w:p w:rsidR="00C223F5" w:rsidRDefault="005860D5" w:rsidP="004835BD">
      <w:pPr>
        <w:pStyle w:val="2"/>
        <w:numPr>
          <w:ilvl w:val="0"/>
          <w:numId w:val="0"/>
        </w:numPr>
        <w:spacing w:before="0" w:after="0" w:line="360" w:lineRule="auto"/>
        <w:rPr>
          <w:rFonts w:ascii="Times New Roman" w:eastAsia="宋体" w:hAnsi="Times New Roman"/>
          <w:b/>
          <w:bCs w:val="0"/>
          <w:color w:val="000000"/>
        </w:rPr>
      </w:pPr>
      <w:bookmarkStart w:id="581" w:name="_Toc533604377"/>
      <w:bookmarkStart w:id="582" w:name="_Toc533604797"/>
      <w:bookmarkStart w:id="583" w:name="_Toc16785347"/>
      <w:r>
        <w:rPr>
          <w:rFonts w:ascii="Times New Roman" w:eastAsia="宋体" w:hAnsi="Times New Roman" w:hint="eastAsia"/>
          <w:b/>
          <w:bCs w:val="0"/>
          <w:color w:val="000000"/>
        </w:rPr>
        <w:t>7.6</w:t>
      </w:r>
      <w:r>
        <w:rPr>
          <w:rFonts w:ascii="Times New Roman" w:eastAsia="宋体" w:hAnsi="Times New Roman" w:hint="eastAsia"/>
          <w:b/>
          <w:bCs w:val="0"/>
          <w:color w:val="000000"/>
        </w:rPr>
        <w:t>排污许可要求</w:t>
      </w:r>
      <w:bookmarkEnd w:id="581"/>
      <w:bookmarkEnd w:id="582"/>
      <w:bookmarkEnd w:id="583"/>
    </w:p>
    <w:p w:rsidR="00C223F5" w:rsidRDefault="005860D5">
      <w:pPr>
        <w:spacing w:line="360" w:lineRule="auto"/>
        <w:ind w:firstLineChars="200" w:firstLine="480"/>
        <w:rPr>
          <w:color w:val="000000"/>
          <w:kern w:val="0"/>
          <w:sz w:val="24"/>
        </w:rPr>
      </w:pPr>
      <w:r>
        <w:rPr>
          <w:bCs/>
          <w:color w:val="000000"/>
          <w:sz w:val="24"/>
        </w:rPr>
        <w:t>2016</w:t>
      </w:r>
      <w:r>
        <w:rPr>
          <w:bCs/>
          <w:color w:val="000000"/>
          <w:sz w:val="24"/>
        </w:rPr>
        <w:t>年</w:t>
      </w:r>
      <w:r>
        <w:rPr>
          <w:bCs/>
          <w:color w:val="000000"/>
          <w:sz w:val="24"/>
        </w:rPr>
        <w:t>12</w:t>
      </w:r>
      <w:r>
        <w:rPr>
          <w:bCs/>
          <w:color w:val="000000"/>
          <w:sz w:val="24"/>
        </w:rPr>
        <w:t>月</w:t>
      </w:r>
      <w:r>
        <w:rPr>
          <w:bCs/>
          <w:color w:val="000000"/>
          <w:sz w:val="24"/>
        </w:rPr>
        <w:t>28</w:t>
      </w:r>
      <w:r>
        <w:rPr>
          <w:bCs/>
          <w:color w:val="000000"/>
          <w:sz w:val="24"/>
        </w:rPr>
        <w:t>日环保部发布的《排污许可证管理暂行规定》中规定，下列排污单位应当实行排污许可管理</w:t>
      </w:r>
      <w:r>
        <w:rPr>
          <w:rFonts w:eastAsia="仿宋_GB2312"/>
          <w:b/>
          <w:bCs/>
          <w:color w:val="000000"/>
          <w:kern w:val="0"/>
          <w:sz w:val="24"/>
        </w:rPr>
        <w:t>：</w:t>
      </w:r>
    </w:p>
    <w:p w:rsidR="00C223F5" w:rsidRDefault="000F32AE">
      <w:pPr>
        <w:widowControl/>
        <w:shd w:val="clear" w:color="auto" w:fill="FFFFFF"/>
        <w:spacing w:line="360" w:lineRule="auto"/>
        <w:ind w:firstLineChars="200" w:firstLine="480"/>
        <w:rPr>
          <w:bCs/>
          <w:color w:val="000000"/>
          <w:sz w:val="24"/>
        </w:rPr>
      </w:pPr>
      <w:r>
        <w:rPr>
          <w:bCs/>
          <w:color w:val="000000"/>
          <w:sz w:val="24"/>
        </w:rPr>
        <w:fldChar w:fldCharType="begin"/>
      </w:r>
      <w:r w:rsidR="005860D5">
        <w:rPr>
          <w:bCs/>
          <w:color w:val="000000"/>
          <w:sz w:val="24"/>
        </w:rPr>
        <w:instrText xml:space="preserve"> = 1 \* GB3 </w:instrText>
      </w:r>
      <w:r>
        <w:rPr>
          <w:bCs/>
          <w:color w:val="000000"/>
          <w:sz w:val="24"/>
        </w:rPr>
        <w:fldChar w:fldCharType="separate"/>
      </w:r>
      <w:r w:rsidR="005860D5">
        <w:rPr>
          <w:rFonts w:ascii="宋体" w:hAnsi="宋体" w:cs="宋体" w:hint="eastAsia"/>
          <w:bCs/>
          <w:color w:val="000000"/>
          <w:sz w:val="24"/>
        </w:rPr>
        <w:t>①</w:t>
      </w:r>
      <w:r>
        <w:rPr>
          <w:bCs/>
          <w:color w:val="000000"/>
          <w:sz w:val="24"/>
        </w:rPr>
        <w:fldChar w:fldCharType="end"/>
      </w:r>
      <w:r w:rsidR="005860D5">
        <w:rPr>
          <w:bCs/>
          <w:color w:val="000000"/>
          <w:sz w:val="24"/>
        </w:rPr>
        <w:t>排放工业废气或者排放国家规定的有毒有害大气污染物的企业事业单位。</w:t>
      </w:r>
    </w:p>
    <w:p w:rsidR="00C223F5" w:rsidRDefault="000F32AE">
      <w:pPr>
        <w:widowControl/>
        <w:shd w:val="clear" w:color="auto" w:fill="FFFFFF"/>
        <w:spacing w:line="360" w:lineRule="auto"/>
        <w:ind w:firstLineChars="200" w:firstLine="480"/>
        <w:rPr>
          <w:bCs/>
          <w:color w:val="000000"/>
          <w:sz w:val="24"/>
        </w:rPr>
      </w:pPr>
      <w:r>
        <w:rPr>
          <w:bCs/>
          <w:color w:val="000000"/>
          <w:sz w:val="24"/>
        </w:rPr>
        <w:fldChar w:fldCharType="begin"/>
      </w:r>
      <w:r w:rsidR="005860D5">
        <w:rPr>
          <w:bCs/>
          <w:color w:val="000000"/>
          <w:sz w:val="24"/>
        </w:rPr>
        <w:instrText xml:space="preserve"> = 2 \* GB3 </w:instrText>
      </w:r>
      <w:r>
        <w:rPr>
          <w:bCs/>
          <w:color w:val="000000"/>
          <w:sz w:val="24"/>
        </w:rPr>
        <w:fldChar w:fldCharType="separate"/>
      </w:r>
      <w:r w:rsidR="005860D5">
        <w:rPr>
          <w:rFonts w:ascii="宋体" w:hAnsi="宋体" w:cs="宋体" w:hint="eastAsia"/>
          <w:bCs/>
          <w:color w:val="000000"/>
          <w:sz w:val="24"/>
        </w:rPr>
        <w:t>②</w:t>
      </w:r>
      <w:r>
        <w:rPr>
          <w:bCs/>
          <w:color w:val="000000"/>
          <w:sz w:val="24"/>
        </w:rPr>
        <w:fldChar w:fldCharType="end"/>
      </w:r>
      <w:r w:rsidR="005860D5">
        <w:rPr>
          <w:bCs/>
          <w:color w:val="000000"/>
          <w:sz w:val="24"/>
        </w:rPr>
        <w:t>集中供热设施的燃煤热源生产运营单位。</w:t>
      </w:r>
    </w:p>
    <w:p w:rsidR="00C223F5" w:rsidRDefault="000F32AE">
      <w:pPr>
        <w:widowControl/>
        <w:shd w:val="clear" w:color="auto" w:fill="FFFFFF"/>
        <w:spacing w:line="360" w:lineRule="auto"/>
        <w:ind w:firstLineChars="200" w:firstLine="480"/>
        <w:rPr>
          <w:bCs/>
          <w:color w:val="000000"/>
          <w:sz w:val="24"/>
        </w:rPr>
      </w:pPr>
      <w:r>
        <w:rPr>
          <w:bCs/>
          <w:color w:val="000000"/>
          <w:sz w:val="24"/>
        </w:rPr>
        <w:fldChar w:fldCharType="begin"/>
      </w:r>
      <w:r w:rsidR="005860D5">
        <w:rPr>
          <w:bCs/>
          <w:color w:val="000000"/>
          <w:sz w:val="24"/>
        </w:rPr>
        <w:instrText xml:space="preserve"> = 3 \* GB3 </w:instrText>
      </w:r>
      <w:r>
        <w:rPr>
          <w:bCs/>
          <w:color w:val="000000"/>
          <w:sz w:val="24"/>
        </w:rPr>
        <w:fldChar w:fldCharType="separate"/>
      </w:r>
      <w:r w:rsidR="005860D5">
        <w:rPr>
          <w:rFonts w:ascii="宋体" w:hAnsi="宋体" w:cs="宋体" w:hint="eastAsia"/>
          <w:bCs/>
          <w:color w:val="000000"/>
          <w:sz w:val="24"/>
        </w:rPr>
        <w:t>③</w:t>
      </w:r>
      <w:r>
        <w:rPr>
          <w:bCs/>
          <w:color w:val="000000"/>
          <w:sz w:val="24"/>
        </w:rPr>
        <w:fldChar w:fldCharType="end"/>
      </w:r>
      <w:r w:rsidR="005860D5">
        <w:rPr>
          <w:bCs/>
          <w:color w:val="000000"/>
          <w:sz w:val="24"/>
        </w:rPr>
        <w:t>直接或间接向水体排放工业废水和医疗污水的企业事业单位。</w:t>
      </w:r>
    </w:p>
    <w:p w:rsidR="00C223F5" w:rsidRDefault="000F32AE">
      <w:pPr>
        <w:widowControl/>
        <w:shd w:val="clear" w:color="auto" w:fill="FFFFFF"/>
        <w:spacing w:line="360" w:lineRule="auto"/>
        <w:ind w:firstLineChars="200" w:firstLine="480"/>
        <w:rPr>
          <w:bCs/>
          <w:color w:val="000000"/>
          <w:sz w:val="24"/>
        </w:rPr>
      </w:pPr>
      <w:r>
        <w:rPr>
          <w:bCs/>
          <w:color w:val="000000"/>
          <w:sz w:val="24"/>
        </w:rPr>
        <w:fldChar w:fldCharType="begin"/>
      </w:r>
      <w:r w:rsidR="005860D5">
        <w:rPr>
          <w:bCs/>
          <w:color w:val="000000"/>
          <w:sz w:val="24"/>
        </w:rPr>
        <w:instrText xml:space="preserve"> = 4 \* GB3 </w:instrText>
      </w:r>
      <w:r>
        <w:rPr>
          <w:bCs/>
          <w:color w:val="000000"/>
          <w:sz w:val="24"/>
        </w:rPr>
        <w:fldChar w:fldCharType="separate"/>
      </w:r>
      <w:r w:rsidR="005860D5">
        <w:rPr>
          <w:rFonts w:ascii="宋体" w:hAnsi="宋体" w:cs="宋体" w:hint="eastAsia"/>
          <w:bCs/>
          <w:color w:val="000000"/>
          <w:sz w:val="24"/>
        </w:rPr>
        <w:t>④</w:t>
      </w:r>
      <w:r>
        <w:rPr>
          <w:bCs/>
          <w:color w:val="000000"/>
          <w:sz w:val="24"/>
        </w:rPr>
        <w:fldChar w:fldCharType="end"/>
      </w:r>
      <w:r w:rsidR="005860D5">
        <w:rPr>
          <w:bCs/>
          <w:color w:val="000000"/>
          <w:sz w:val="24"/>
        </w:rPr>
        <w:t>城镇或工业污水集中处理设施的运营单位。</w:t>
      </w:r>
    </w:p>
    <w:p w:rsidR="00C223F5" w:rsidRDefault="000F32AE">
      <w:pPr>
        <w:widowControl/>
        <w:shd w:val="clear" w:color="auto" w:fill="FFFFFF"/>
        <w:spacing w:line="360" w:lineRule="auto"/>
        <w:ind w:firstLineChars="200" w:firstLine="480"/>
        <w:rPr>
          <w:bCs/>
          <w:color w:val="000000"/>
          <w:sz w:val="24"/>
        </w:rPr>
      </w:pPr>
      <w:r>
        <w:rPr>
          <w:bCs/>
          <w:color w:val="000000"/>
          <w:sz w:val="24"/>
        </w:rPr>
        <w:fldChar w:fldCharType="begin"/>
      </w:r>
      <w:r w:rsidR="005860D5">
        <w:rPr>
          <w:bCs/>
          <w:color w:val="000000"/>
          <w:sz w:val="24"/>
        </w:rPr>
        <w:instrText xml:space="preserve"> = 5 \* GB3 </w:instrText>
      </w:r>
      <w:r>
        <w:rPr>
          <w:bCs/>
          <w:color w:val="000000"/>
          <w:sz w:val="24"/>
        </w:rPr>
        <w:fldChar w:fldCharType="separate"/>
      </w:r>
      <w:r w:rsidR="005860D5">
        <w:rPr>
          <w:rFonts w:ascii="宋体" w:hAnsi="宋体" w:cs="宋体" w:hint="eastAsia"/>
          <w:bCs/>
          <w:color w:val="000000"/>
          <w:sz w:val="24"/>
        </w:rPr>
        <w:t>⑤</w:t>
      </w:r>
      <w:r>
        <w:rPr>
          <w:bCs/>
          <w:color w:val="000000"/>
          <w:sz w:val="24"/>
        </w:rPr>
        <w:fldChar w:fldCharType="end"/>
      </w:r>
      <w:r w:rsidR="005860D5">
        <w:rPr>
          <w:bCs/>
          <w:color w:val="000000"/>
          <w:sz w:val="24"/>
        </w:rPr>
        <w:t>依法应当实行排污许可管理的其他排污单位。</w:t>
      </w:r>
    </w:p>
    <w:p w:rsidR="00C223F5" w:rsidRDefault="005860D5">
      <w:pPr>
        <w:spacing w:line="360" w:lineRule="auto"/>
        <w:ind w:firstLineChars="200" w:firstLine="480"/>
        <w:rPr>
          <w:color w:val="000000"/>
          <w:kern w:val="0"/>
          <w:sz w:val="24"/>
        </w:rPr>
      </w:pPr>
      <w:r>
        <w:rPr>
          <w:color w:val="000000"/>
          <w:sz w:val="24"/>
        </w:rPr>
        <w:t>本项目工业场地地面储运及生产环节全部封闭</w:t>
      </w:r>
      <w:r>
        <w:rPr>
          <w:rFonts w:hint="eastAsia"/>
          <w:color w:val="000000"/>
          <w:sz w:val="24"/>
        </w:rPr>
        <w:t>，设干雾抑尘装置降尘</w:t>
      </w:r>
      <w:r>
        <w:rPr>
          <w:color w:val="000000"/>
          <w:sz w:val="24"/>
        </w:rPr>
        <w:t>；生活污水处理后全部回用，矿井水处理后部分回用，多余通过管道</w:t>
      </w:r>
      <w:r>
        <w:rPr>
          <w:rFonts w:hint="eastAsia"/>
          <w:color w:val="000000"/>
          <w:sz w:val="24"/>
        </w:rPr>
        <w:t>排至蚂蚁河</w:t>
      </w:r>
      <w:r>
        <w:rPr>
          <w:color w:val="000000"/>
          <w:sz w:val="24"/>
        </w:rPr>
        <w:t>。本项目属于规定中第</w:t>
      </w:r>
      <w:r>
        <w:rPr>
          <w:rFonts w:ascii="宋体" w:hAnsi="宋体" w:cs="宋体" w:hint="eastAsia"/>
          <w:color w:val="000000"/>
          <w:sz w:val="24"/>
        </w:rPr>
        <w:t>③</w:t>
      </w:r>
      <w:r>
        <w:rPr>
          <w:color w:val="000000"/>
          <w:sz w:val="24"/>
        </w:rPr>
        <w:t>类向水体排放工业废水的排污单位，矿方</w:t>
      </w:r>
      <w:r>
        <w:rPr>
          <w:rFonts w:hint="eastAsia"/>
          <w:color w:val="000000"/>
          <w:sz w:val="24"/>
        </w:rPr>
        <w:t>已按相关要求取得排污口批复，</w:t>
      </w:r>
      <w:r>
        <w:rPr>
          <w:color w:val="000000"/>
          <w:sz w:val="24"/>
        </w:rPr>
        <w:t>应按照程序向当地环保部门申请排污许可证。</w:t>
      </w:r>
    </w:p>
    <w:p w:rsidR="00C223F5" w:rsidRDefault="005860D5" w:rsidP="004835BD">
      <w:pPr>
        <w:pStyle w:val="2"/>
        <w:numPr>
          <w:ilvl w:val="0"/>
          <w:numId w:val="0"/>
        </w:numPr>
        <w:spacing w:before="0" w:after="0" w:line="360" w:lineRule="auto"/>
        <w:rPr>
          <w:rFonts w:ascii="Times New Roman" w:eastAsia="宋体" w:hAnsi="Times New Roman"/>
          <w:b/>
          <w:bCs w:val="0"/>
          <w:color w:val="000000"/>
        </w:rPr>
      </w:pPr>
      <w:bookmarkStart w:id="584" w:name="_Toc528161014"/>
      <w:bookmarkStart w:id="585" w:name="_Toc16785348"/>
      <w:r>
        <w:rPr>
          <w:rFonts w:ascii="Times New Roman" w:eastAsia="宋体" w:hAnsi="Times New Roman" w:hint="eastAsia"/>
          <w:b/>
          <w:bCs w:val="0"/>
          <w:color w:val="000000"/>
        </w:rPr>
        <w:t>7</w:t>
      </w:r>
      <w:r>
        <w:rPr>
          <w:rFonts w:ascii="Times New Roman" w:eastAsia="宋体" w:hAnsi="Times New Roman"/>
          <w:b/>
          <w:bCs w:val="0"/>
          <w:color w:val="000000"/>
        </w:rPr>
        <w:t>.</w:t>
      </w:r>
      <w:r>
        <w:rPr>
          <w:rFonts w:ascii="Times New Roman" w:eastAsia="宋体" w:hAnsi="Times New Roman" w:hint="eastAsia"/>
          <w:b/>
          <w:bCs w:val="0"/>
          <w:color w:val="000000"/>
        </w:rPr>
        <w:t>7</w:t>
      </w:r>
      <w:r>
        <w:rPr>
          <w:rFonts w:ascii="Times New Roman" w:eastAsia="宋体" w:hAnsi="Times New Roman"/>
          <w:b/>
          <w:bCs w:val="0"/>
          <w:color w:val="000000"/>
        </w:rPr>
        <w:t>环保设施验收清单</w:t>
      </w:r>
      <w:bookmarkEnd w:id="584"/>
      <w:bookmarkEnd w:id="585"/>
    </w:p>
    <w:p w:rsidR="00C223F5" w:rsidRDefault="005860D5">
      <w:pPr>
        <w:spacing w:line="360" w:lineRule="auto"/>
        <w:ind w:firstLineChars="200" w:firstLine="480"/>
        <w:rPr>
          <w:bCs/>
          <w:color w:val="000000"/>
          <w:sz w:val="24"/>
        </w:rPr>
      </w:pPr>
      <w:r>
        <w:rPr>
          <w:bCs/>
          <w:color w:val="000000"/>
          <w:sz w:val="24"/>
        </w:rPr>
        <w:t>本矿井环保设施验收清单见表</w:t>
      </w:r>
      <w:r>
        <w:rPr>
          <w:rFonts w:hint="eastAsia"/>
          <w:bCs/>
          <w:color w:val="000000"/>
          <w:sz w:val="24"/>
        </w:rPr>
        <w:t>7</w:t>
      </w:r>
      <w:r>
        <w:rPr>
          <w:bCs/>
          <w:color w:val="000000"/>
          <w:sz w:val="24"/>
        </w:rPr>
        <w:t>.</w:t>
      </w:r>
      <w:r>
        <w:rPr>
          <w:rFonts w:hint="eastAsia"/>
          <w:bCs/>
          <w:color w:val="000000"/>
          <w:sz w:val="24"/>
        </w:rPr>
        <w:t>7</w:t>
      </w:r>
      <w:r>
        <w:rPr>
          <w:bCs/>
          <w:color w:val="000000"/>
          <w:sz w:val="24"/>
        </w:rPr>
        <w:t>-1</w:t>
      </w:r>
      <w:r>
        <w:rPr>
          <w:bCs/>
          <w:color w:val="000000"/>
          <w:sz w:val="24"/>
        </w:rPr>
        <w:t>。</w:t>
      </w:r>
    </w:p>
    <w:p w:rsidR="00C223F5" w:rsidRDefault="00C223F5">
      <w:pPr>
        <w:spacing w:line="360" w:lineRule="auto"/>
        <w:ind w:firstLineChars="200" w:firstLine="480"/>
        <w:rPr>
          <w:bCs/>
          <w:color w:val="000000"/>
          <w:sz w:val="24"/>
        </w:rPr>
      </w:pPr>
    </w:p>
    <w:p w:rsidR="00C223F5" w:rsidRDefault="00C223F5">
      <w:pPr>
        <w:spacing w:line="360" w:lineRule="auto"/>
        <w:ind w:firstLineChars="200" w:firstLine="480"/>
        <w:rPr>
          <w:bCs/>
          <w:color w:val="000000"/>
          <w:sz w:val="24"/>
        </w:rPr>
      </w:pPr>
    </w:p>
    <w:p w:rsidR="00C223F5" w:rsidRDefault="005860D5">
      <w:pPr>
        <w:jc w:val="center"/>
        <w:rPr>
          <w:b/>
          <w:bCs/>
          <w:color w:val="000000"/>
          <w:sz w:val="24"/>
        </w:rPr>
      </w:pPr>
      <w:r>
        <w:rPr>
          <w:b/>
          <w:bCs/>
          <w:color w:val="000000"/>
          <w:sz w:val="24"/>
        </w:rPr>
        <w:lastRenderedPageBreak/>
        <w:t>表</w:t>
      </w:r>
      <w:r>
        <w:rPr>
          <w:rFonts w:hint="eastAsia"/>
          <w:b/>
          <w:bCs/>
          <w:color w:val="000000"/>
          <w:sz w:val="24"/>
        </w:rPr>
        <w:t>7.7</w:t>
      </w:r>
      <w:r>
        <w:rPr>
          <w:b/>
          <w:bCs/>
          <w:color w:val="000000"/>
          <w:sz w:val="24"/>
        </w:rPr>
        <w:t xml:space="preserve">-1   </w:t>
      </w:r>
      <w:r>
        <w:rPr>
          <w:b/>
          <w:bCs/>
          <w:color w:val="000000"/>
          <w:sz w:val="24"/>
        </w:rPr>
        <w:t>项目竣工环境保护验收清单</w:t>
      </w:r>
    </w:p>
    <w:tbl>
      <w:tblPr>
        <w:tblW w:w="95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 w:type="dxa"/>
          <w:right w:w="11" w:type="dxa"/>
        </w:tblCellMar>
        <w:tblLook w:val="04A0" w:firstRow="1" w:lastRow="0" w:firstColumn="1" w:lastColumn="0" w:noHBand="0" w:noVBand="1"/>
      </w:tblPr>
      <w:tblGrid>
        <w:gridCol w:w="548"/>
        <w:gridCol w:w="370"/>
        <w:gridCol w:w="1261"/>
        <w:gridCol w:w="3769"/>
        <w:gridCol w:w="484"/>
        <w:gridCol w:w="506"/>
        <w:gridCol w:w="2615"/>
      </w:tblGrid>
      <w:tr w:rsidR="00C223F5">
        <w:trPr>
          <w:cantSplit/>
          <w:trHeight w:val="372"/>
          <w:jc w:val="center"/>
        </w:trPr>
        <w:tc>
          <w:tcPr>
            <w:tcW w:w="548" w:type="dxa"/>
            <w:vAlign w:val="center"/>
          </w:tcPr>
          <w:p w:rsidR="00C223F5" w:rsidRDefault="005860D5">
            <w:pPr>
              <w:jc w:val="center"/>
              <w:rPr>
                <w:szCs w:val="21"/>
              </w:rPr>
            </w:pPr>
            <w:r>
              <w:rPr>
                <w:szCs w:val="21"/>
              </w:rPr>
              <w:t>序号</w:t>
            </w:r>
          </w:p>
        </w:tc>
        <w:tc>
          <w:tcPr>
            <w:tcW w:w="1631" w:type="dxa"/>
            <w:gridSpan w:val="2"/>
            <w:vAlign w:val="center"/>
          </w:tcPr>
          <w:p w:rsidR="00C223F5" w:rsidRDefault="005860D5">
            <w:pPr>
              <w:jc w:val="center"/>
              <w:rPr>
                <w:szCs w:val="21"/>
              </w:rPr>
            </w:pPr>
            <w:r>
              <w:rPr>
                <w:szCs w:val="21"/>
              </w:rPr>
              <w:t>类别</w:t>
            </w:r>
          </w:p>
        </w:tc>
        <w:tc>
          <w:tcPr>
            <w:tcW w:w="3769" w:type="dxa"/>
            <w:vAlign w:val="center"/>
          </w:tcPr>
          <w:p w:rsidR="00C223F5" w:rsidRDefault="005860D5">
            <w:pPr>
              <w:jc w:val="center"/>
              <w:rPr>
                <w:szCs w:val="21"/>
              </w:rPr>
            </w:pPr>
            <w:r>
              <w:rPr>
                <w:szCs w:val="21"/>
              </w:rPr>
              <w:t>环保设施</w:t>
            </w:r>
          </w:p>
        </w:tc>
        <w:tc>
          <w:tcPr>
            <w:tcW w:w="484" w:type="dxa"/>
            <w:vAlign w:val="center"/>
          </w:tcPr>
          <w:p w:rsidR="00C223F5" w:rsidRDefault="005860D5">
            <w:pPr>
              <w:jc w:val="center"/>
              <w:rPr>
                <w:szCs w:val="21"/>
              </w:rPr>
            </w:pPr>
            <w:r>
              <w:rPr>
                <w:szCs w:val="21"/>
              </w:rPr>
              <w:t>单位</w:t>
            </w:r>
          </w:p>
        </w:tc>
        <w:tc>
          <w:tcPr>
            <w:tcW w:w="506" w:type="dxa"/>
            <w:vAlign w:val="center"/>
          </w:tcPr>
          <w:p w:rsidR="00C223F5" w:rsidRDefault="005860D5">
            <w:pPr>
              <w:jc w:val="center"/>
              <w:rPr>
                <w:szCs w:val="21"/>
              </w:rPr>
            </w:pPr>
            <w:r>
              <w:rPr>
                <w:szCs w:val="21"/>
              </w:rPr>
              <w:t>数量</w:t>
            </w:r>
          </w:p>
        </w:tc>
        <w:tc>
          <w:tcPr>
            <w:tcW w:w="2615" w:type="dxa"/>
            <w:vAlign w:val="center"/>
          </w:tcPr>
          <w:p w:rsidR="00C223F5" w:rsidRDefault="005860D5">
            <w:pPr>
              <w:jc w:val="center"/>
              <w:rPr>
                <w:szCs w:val="21"/>
              </w:rPr>
            </w:pPr>
            <w:r>
              <w:rPr>
                <w:szCs w:val="21"/>
              </w:rPr>
              <w:t>备注</w:t>
            </w:r>
          </w:p>
        </w:tc>
      </w:tr>
      <w:tr w:rsidR="00C223F5">
        <w:trPr>
          <w:cantSplit/>
          <w:trHeight w:val="75"/>
          <w:jc w:val="center"/>
        </w:trPr>
        <w:tc>
          <w:tcPr>
            <w:tcW w:w="548" w:type="dxa"/>
            <w:vMerge w:val="restart"/>
            <w:vAlign w:val="center"/>
          </w:tcPr>
          <w:p w:rsidR="00C223F5" w:rsidRDefault="005860D5">
            <w:pPr>
              <w:jc w:val="center"/>
              <w:rPr>
                <w:szCs w:val="21"/>
              </w:rPr>
            </w:pPr>
            <w:r>
              <w:rPr>
                <w:szCs w:val="21"/>
              </w:rPr>
              <w:t>1</w:t>
            </w:r>
          </w:p>
        </w:tc>
        <w:tc>
          <w:tcPr>
            <w:tcW w:w="370" w:type="dxa"/>
            <w:vMerge w:val="restart"/>
            <w:vAlign w:val="center"/>
          </w:tcPr>
          <w:p w:rsidR="00C223F5" w:rsidRDefault="005860D5">
            <w:pPr>
              <w:jc w:val="center"/>
              <w:rPr>
                <w:szCs w:val="21"/>
              </w:rPr>
            </w:pPr>
            <w:r>
              <w:rPr>
                <w:rFonts w:hint="eastAsia"/>
                <w:szCs w:val="21"/>
              </w:rPr>
              <w:t>煤</w:t>
            </w:r>
            <w:r>
              <w:rPr>
                <w:szCs w:val="21"/>
              </w:rPr>
              <w:t>粉尘</w:t>
            </w:r>
          </w:p>
        </w:tc>
        <w:tc>
          <w:tcPr>
            <w:tcW w:w="1261" w:type="dxa"/>
            <w:shd w:val="clear" w:color="auto" w:fill="auto"/>
            <w:vAlign w:val="center"/>
          </w:tcPr>
          <w:p w:rsidR="00C223F5" w:rsidRDefault="005860D5">
            <w:pPr>
              <w:contextualSpacing/>
              <w:jc w:val="center"/>
              <w:rPr>
                <w:szCs w:val="21"/>
              </w:rPr>
            </w:pPr>
            <w:r>
              <w:rPr>
                <w:szCs w:val="21"/>
              </w:rPr>
              <w:t>输煤栈桥</w:t>
            </w:r>
          </w:p>
        </w:tc>
        <w:tc>
          <w:tcPr>
            <w:tcW w:w="3769" w:type="dxa"/>
            <w:vAlign w:val="center"/>
          </w:tcPr>
          <w:p w:rsidR="00C223F5" w:rsidRDefault="005860D5">
            <w:pPr>
              <w:contextualSpacing/>
              <w:rPr>
                <w:szCs w:val="21"/>
              </w:rPr>
            </w:pPr>
            <w:r>
              <w:rPr>
                <w:szCs w:val="21"/>
              </w:rPr>
              <w:t>封闭，喷雾洒水装置</w:t>
            </w:r>
          </w:p>
        </w:tc>
        <w:tc>
          <w:tcPr>
            <w:tcW w:w="484" w:type="dxa"/>
            <w:vAlign w:val="center"/>
          </w:tcPr>
          <w:p w:rsidR="00C223F5" w:rsidRDefault="005860D5">
            <w:pPr>
              <w:contextualSpacing/>
              <w:jc w:val="center"/>
              <w:rPr>
                <w:szCs w:val="21"/>
              </w:rPr>
            </w:pPr>
            <w:r>
              <w:rPr>
                <w:szCs w:val="21"/>
              </w:rPr>
              <w:t>套</w:t>
            </w:r>
          </w:p>
        </w:tc>
        <w:tc>
          <w:tcPr>
            <w:tcW w:w="506" w:type="dxa"/>
            <w:vAlign w:val="center"/>
          </w:tcPr>
          <w:p w:rsidR="00C223F5" w:rsidRDefault="005860D5">
            <w:pPr>
              <w:contextualSpacing/>
              <w:jc w:val="center"/>
              <w:rPr>
                <w:szCs w:val="21"/>
              </w:rPr>
            </w:pPr>
            <w:r>
              <w:rPr>
                <w:rFonts w:hint="eastAsia"/>
                <w:szCs w:val="21"/>
              </w:rPr>
              <w:t>6</w:t>
            </w:r>
          </w:p>
        </w:tc>
        <w:tc>
          <w:tcPr>
            <w:tcW w:w="2615" w:type="dxa"/>
            <w:vMerge w:val="restart"/>
            <w:vAlign w:val="center"/>
          </w:tcPr>
          <w:p w:rsidR="00C223F5" w:rsidRDefault="005860D5">
            <w:pPr>
              <w:rPr>
                <w:szCs w:val="21"/>
              </w:rPr>
            </w:pPr>
            <w:r>
              <w:rPr>
                <w:szCs w:val="21"/>
              </w:rPr>
              <w:t>厂界达到《煤炭工业污染物排放标准》（</w:t>
            </w:r>
            <w:r>
              <w:rPr>
                <w:szCs w:val="21"/>
              </w:rPr>
              <w:t>GB20426-2006</w:t>
            </w:r>
            <w:r>
              <w:rPr>
                <w:szCs w:val="21"/>
              </w:rPr>
              <w:t>）中无组织源相关排放标准</w:t>
            </w:r>
          </w:p>
        </w:tc>
      </w:tr>
      <w:tr w:rsidR="00C223F5">
        <w:trPr>
          <w:cantSplit/>
          <w:trHeight w:val="97"/>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Merge w:val="restart"/>
            <w:shd w:val="clear" w:color="auto" w:fill="auto"/>
            <w:vAlign w:val="center"/>
          </w:tcPr>
          <w:p w:rsidR="00C223F5" w:rsidRDefault="005860D5">
            <w:pPr>
              <w:jc w:val="center"/>
              <w:rPr>
                <w:szCs w:val="21"/>
              </w:rPr>
            </w:pPr>
            <w:r>
              <w:rPr>
                <w:szCs w:val="21"/>
              </w:rPr>
              <w:t>筛</w:t>
            </w:r>
            <w:r>
              <w:rPr>
                <w:rFonts w:hint="eastAsia"/>
                <w:szCs w:val="21"/>
              </w:rPr>
              <w:t>破</w:t>
            </w:r>
            <w:r>
              <w:rPr>
                <w:szCs w:val="21"/>
              </w:rPr>
              <w:t>车间</w:t>
            </w:r>
          </w:p>
        </w:tc>
        <w:tc>
          <w:tcPr>
            <w:tcW w:w="3769" w:type="dxa"/>
            <w:vAlign w:val="center"/>
          </w:tcPr>
          <w:p w:rsidR="00C223F5" w:rsidRDefault="005860D5">
            <w:pPr>
              <w:contextualSpacing/>
              <w:rPr>
                <w:szCs w:val="21"/>
              </w:rPr>
            </w:pPr>
            <w:r>
              <w:rPr>
                <w:rFonts w:hint="eastAsia"/>
                <w:szCs w:val="21"/>
              </w:rPr>
              <w:t>集尘罩</w:t>
            </w:r>
          </w:p>
        </w:tc>
        <w:tc>
          <w:tcPr>
            <w:tcW w:w="484" w:type="dxa"/>
            <w:vAlign w:val="center"/>
          </w:tcPr>
          <w:p w:rsidR="00C223F5" w:rsidRDefault="005860D5">
            <w:pPr>
              <w:contextualSpacing/>
              <w:jc w:val="center"/>
              <w:rPr>
                <w:szCs w:val="21"/>
              </w:rPr>
            </w:pPr>
            <w:r>
              <w:rPr>
                <w:szCs w:val="21"/>
              </w:rPr>
              <w:t>套</w:t>
            </w:r>
          </w:p>
        </w:tc>
        <w:tc>
          <w:tcPr>
            <w:tcW w:w="506" w:type="dxa"/>
            <w:vAlign w:val="center"/>
          </w:tcPr>
          <w:p w:rsidR="00C223F5" w:rsidRDefault="005860D5">
            <w:pPr>
              <w:contextualSpacing/>
              <w:jc w:val="center"/>
              <w:rPr>
                <w:szCs w:val="21"/>
              </w:rPr>
            </w:pPr>
            <w:r>
              <w:rPr>
                <w:rFonts w:hint="eastAsia"/>
                <w:szCs w:val="21"/>
              </w:rPr>
              <w:t>2</w:t>
            </w:r>
          </w:p>
        </w:tc>
        <w:tc>
          <w:tcPr>
            <w:tcW w:w="2615" w:type="dxa"/>
            <w:vMerge/>
            <w:vAlign w:val="center"/>
          </w:tcPr>
          <w:p w:rsidR="00C223F5" w:rsidRDefault="00C223F5">
            <w:pPr>
              <w:rPr>
                <w:szCs w:val="21"/>
              </w:rPr>
            </w:pPr>
          </w:p>
        </w:tc>
      </w:tr>
      <w:tr w:rsidR="00C223F5">
        <w:trPr>
          <w:cantSplit/>
          <w:trHeight w:val="311"/>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Merge/>
            <w:shd w:val="clear" w:color="auto" w:fill="auto"/>
            <w:vAlign w:val="center"/>
          </w:tcPr>
          <w:p w:rsidR="00C223F5" w:rsidRDefault="00C223F5">
            <w:pPr>
              <w:jc w:val="center"/>
              <w:rPr>
                <w:szCs w:val="21"/>
              </w:rPr>
            </w:pPr>
          </w:p>
        </w:tc>
        <w:tc>
          <w:tcPr>
            <w:tcW w:w="3769" w:type="dxa"/>
            <w:vAlign w:val="center"/>
          </w:tcPr>
          <w:p w:rsidR="00C223F5" w:rsidRDefault="005860D5">
            <w:pPr>
              <w:contextualSpacing/>
              <w:rPr>
                <w:b/>
                <w:szCs w:val="21"/>
              </w:rPr>
            </w:pPr>
            <w:r>
              <w:rPr>
                <w:rFonts w:eastAsiaTheme="minorEastAsia" w:hAnsiTheme="minorEastAsia" w:hint="eastAsia"/>
                <w:szCs w:val="21"/>
              </w:rPr>
              <w:t>微米级干雾抑尘装置</w:t>
            </w:r>
          </w:p>
        </w:tc>
        <w:tc>
          <w:tcPr>
            <w:tcW w:w="484" w:type="dxa"/>
            <w:vAlign w:val="center"/>
          </w:tcPr>
          <w:p w:rsidR="00C223F5" w:rsidRDefault="005860D5">
            <w:pPr>
              <w:contextualSpacing/>
              <w:jc w:val="center"/>
              <w:rPr>
                <w:szCs w:val="21"/>
              </w:rPr>
            </w:pPr>
            <w:r>
              <w:rPr>
                <w:szCs w:val="21"/>
              </w:rPr>
              <w:t>套</w:t>
            </w:r>
          </w:p>
        </w:tc>
        <w:tc>
          <w:tcPr>
            <w:tcW w:w="506" w:type="dxa"/>
            <w:vAlign w:val="center"/>
          </w:tcPr>
          <w:p w:rsidR="00C223F5" w:rsidRDefault="005860D5">
            <w:pPr>
              <w:contextualSpacing/>
              <w:jc w:val="center"/>
              <w:rPr>
                <w:szCs w:val="21"/>
              </w:rPr>
            </w:pPr>
            <w:r>
              <w:rPr>
                <w:szCs w:val="21"/>
              </w:rPr>
              <w:t>1</w:t>
            </w:r>
          </w:p>
        </w:tc>
        <w:tc>
          <w:tcPr>
            <w:tcW w:w="2615" w:type="dxa"/>
            <w:vMerge/>
            <w:vAlign w:val="center"/>
          </w:tcPr>
          <w:p w:rsidR="00C223F5" w:rsidRDefault="00C223F5">
            <w:pPr>
              <w:rPr>
                <w:szCs w:val="21"/>
              </w:rPr>
            </w:pPr>
          </w:p>
        </w:tc>
      </w:tr>
      <w:tr w:rsidR="00C223F5">
        <w:trPr>
          <w:cantSplit/>
          <w:trHeight w:val="311"/>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shd w:val="clear" w:color="auto" w:fill="auto"/>
            <w:vAlign w:val="center"/>
          </w:tcPr>
          <w:p w:rsidR="00C223F5" w:rsidRDefault="005860D5">
            <w:pPr>
              <w:contextualSpacing/>
              <w:jc w:val="center"/>
              <w:rPr>
                <w:szCs w:val="21"/>
              </w:rPr>
            </w:pPr>
            <w:r>
              <w:rPr>
                <w:szCs w:val="21"/>
              </w:rPr>
              <w:t>主厂房</w:t>
            </w:r>
          </w:p>
        </w:tc>
        <w:tc>
          <w:tcPr>
            <w:tcW w:w="3769" w:type="dxa"/>
            <w:vAlign w:val="center"/>
          </w:tcPr>
          <w:p w:rsidR="00C223F5" w:rsidRDefault="005860D5">
            <w:pPr>
              <w:contextualSpacing/>
              <w:rPr>
                <w:szCs w:val="21"/>
              </w:rPr>
            </w:pPr>
            <w:r>
              <w:rPr>
                <w:rFonts w:eastAsiaTheme="minorEastAsia" w:hAnsiTheme="minorEastAsia" w:hint="eastAsia"/>
                <w:szCs w:val="21"/>
              </w:rPr>
              <w:t>微米级干雾抑尘装置</w:t>
            </w:r>
          </w:p>
        </w:tc>
        <w:tc>
          <w:tcPr>
            <w:tcW w:w="484" w:type="dxa"/>
            <w:vAlign w:val="center"/>
          </w:tcPr>
          <w:p w:rsidR="00C223F5" w:rsidRDefault="005860D5">
            <w:pPr>
              <w:contextualSpacing/>
              <w:jc w:val="center"/>
              <w:rPr>
                <w:szCs w:val="21"/>
              </w:rPr>
            </w:pPr>
            <w:r>
              <w:rPr>
                <w:szCs w:val="21"/>
              </w:rPr>
              <w:t>套</w:t>
            </w:r>
          </w:p>
        </w:tc>
        <w:tc>
          <w:tcPr>
            <w:tcW w:w="506" w:type="dxa"/>
            <w:vAlign w:val="center"/>
          </w:tcPr>
          <w:p w:rsidR="00C223F5" w:rsidRDefault="005860D5">
            <w:pPr>
              <w:contextualSpacing/>
              <w:jc w:val="center"/>
              <w:rPr>
                <w:szCs w:val="21"/>
              </w:rPr>
            </w:pPr>
            <w:r>
              <w:rPr>
                <w:szCs w:val="21"/>
              </w:rPr>
              <w:t>1</w:t>
            </w:r>
          </w:p>
        </w:tc>
        <w:tc>
          <w:tcPr>
            <w:tcW w:w="2615" w:type="dxa"/>
            <w:vMerge/>
            <w:vAlign w:val="center"/>
          </w:tcPr>
          <w:p w:rsidR="00C223F5" w:rsidRDefault="00C223F5">
            <w:pPr>
              <w:rPr>
                <w:szCs w:val="21"/>
              </w:rPr>
            </w:pPr>
          </w:p>
        </w:tc>
      </w:tr>
      <w:tr w:rsidR="00C223F5">
        <w:trPr>
          <w:cantSplit/>
          <w:trHeight w:val="260"/>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shd w:val="clear" w:color="auto" w:fill="auto"/>
            <w:vAlign w:val="center"/>
          </w:tcPr>
          <w:p w:rsidR="00C223F5" w:rsidRDefault="005860D5">
            <w:pPr>
              <w:contextualSpacing/>
              <w:jc w:val="center"/>
              <w:rPr>
                <w:szCs w:val="21"/>
              </w:rPr>
            </w:pPr>
            <w:r>
              <w:rPr>
                <w:rFonts w:hint="eastAsia"/>
                <w:szCs w:val="21"/>
              </w:rPr>
              <w:t>储煤系统</w:t>
            </w:r>
          </w:p>
        </w:tc>
        <w:tc>
          <w:tcPr>
            <w:tcW w:w="3769" w:type="dxa"/>
            <w:vAlign w:val="center"/>
          </w:tcPr>
          <w:p w:rsidR="00C223F5" w:rsidRDefault="005860D5">
            <w:pPr>
              <w:contextualSpacing/>
              <w:rPr>
                <w:szCs w:val="21"/>
              </w:rPr>
            </w:pPr>
            <w:r>
              <w:rPr>
                <w:rFonts w:hint="eastAsia"/>
                <w:szCs w:val="21"/>
              </w:rPr>
              <w:t>原煤仓、产品仓、矸石仓设干</w:t>
            </w:r>
            <w:r>
              <w:rPr>
                <w:szCs w:val="21"/>
              </w:rPr>
              <w:t>雾</w:t>
            </w:r>
            <w:r>
              <w:rPr>
                <w:rFonts w:hint="eastAsia"/>
                <w:szCs w:val="21"/>
              </w:rPr>
              <w:t>抑尘喷头</w:t>
            </w:r>
          </w:p>
        </w:tc>
        <w:tc>
          <w:tcPr>
            <w:tcW w:w="484" w:type="dxa"/>
            <w:shd w:val="clear" w:color="auto" w:fill="auto"/>
            <w:vAlign w:val="center"/>
          </w:tcPr>
          <w:p w:rsidR="00C223F5" w:rsidRDefault="005860D5">
            <w:pPr>
              <w:contextualSpacing/>
              <w:jc w:val="center"/>
              <w:rPr>
                <w:szCs w:val="21"/>
              </w:rPr>
            </w:pPr>
            <w:r>
              <w:rPr>
                <w:szCs w:val="21"/>
              </w:rPr>
              <w:t>套</w:t>
            </w:r>
          </w:p>
        </w:tc>
        <w:tc>
          <w:tcPr>
            <w:tcW w:w="506" w:type="dxa"/>
            <w:vAlign w:val="center"/>
          </w:tcPr>
          <w:p w:rsidR="00C223F5" w:rsidRDefault="005860D5">
            <w:pPr>
              <w:contextualSpacing/>
              <w:jc w:val="center"/>
              <w:rPr>
                <w:szCs w:val="21"/>
              </w:rPr>
            </w:pPr>
            <w:r>
              <w:rPr>
                <w:rFonts w:hint="eastAsia"/>
                <w:szCs w:val="21"/>
              </w:rPr>
              <w:t>6</w:t>
            </w:r>
          </w:p>
        </w:tc>
        <w:tc>
          <w:tcPr>
            <w:tcW w:w="2615" w:type="dxa"/>
            <w:vMerge/>
            <w:vAlign w:val="center"/>
          </w:tcPr>
          <w:p w:rsidR="00C223F5" w:rsidRDefault="00C223F5">
            <w:pPr>
              <w:jc w:val="center"/>
              <w:rPr>
                <w:szCs w:val="21"/>
              </w:rPr>
            </w:pPr>
          </w:p>
        </w:tc>
      </w:tr>
      <w:tr w:rsidR="00C223F5">
        <w:trPr>
          <w:cantSplit/>
          <w:trHeight w:val="103"/>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Align w:val="center"/>
          </w:tcPr>
          <w:p w:rsidR="00C223F5" w:rsidRDefault="005860D5">
            <w:pPr>
              <w:jc w:val="center"/>
              <w:rPr>
                <w:szCs w:val="21"/>
              </w:rPr>
            </w:pPr>
            <w:r>
              <w:rPr>
                <w:szCs w:val="21"/>
              </w:rPr>
              <w:t>工业场地及道路抑尘</w:t>
            </w:r>
          </w:p>
        </w:tc>
        <w:tc>
          <w:tcPr>
            <w:tcW w:w="3769" w:type="dxa"/>
            <w:vAlign w:val="center"/>
          </w:tcPr>
          <w:p w:rsidR="00C223F5" w:rsidRDefault="005860D5" w:rsidP="00584B9F">
            <w:pPr>
              <w:jc w:val="left"/>
              <w:rPr>
                <w:szCs w:val="21"/>
              </w:rPr>
            </w:pPr>
            <w:r>
              <w:rPr>
                <w:szCs w:val="21"/>
              </w:rPr>
              <w:t>洒水车辆</w:t>
            </w:r>
          </w:p>
        </w:tc>
        <w:tc>
          <w:tcPr>
            <w:tcW w:w="484" w:type="dxa"/>
            <w:vAlign w:val="center"/>
          </w:tcPr>
          <w:p w:rsidR="00C223F5" w:rsidRDefault="005860D5">
            <w:pPr>
              <w:jc w:val="center"/>
              <w:rPr>
                <w:szCs w:val="21"/>
              </w:rPr>
            </w:pPr>
            <w:r>
              <w:rPr>
                <w:szCs w:val="21"/>
              </w:rPr>
              <w:t>辆</w:t>
            </w:r>
          </w:p>
        </w:tc>
        <w:tc>
          <w:tcPr>
            <w:tcW w:w="506" w:type="dxa"/>
            <w:vAlign w:val="center"/>
          </w:tcPr>
          <w:p w:rsidR="00C223F5" w:rsidRDefault="005860D5">
            <w:pPr>
              <w:jc w:val="center"/>
              <w:rPr>
                <w:szCs w:val="21"/>
              </w:rPr>
            </w:pPr>
            <w:r>
              <w:rPr>
                <w:szCs w:val="21"/>
              </w:rPr>
              <w:t>1</w:t>
            </w:r>
          </w:p>
        </w:tc>
        <w:tc>
          <w:tcPr>
            <w:tcW w:w="2615" w:type="dxa"/>
            <w:vMerge/>
            <w:vAlign w:val="center"/>
          </w:tcPr>
          <w:p w:rsidR="00C223F5" w:rsidRDefault="00C223F5">
            <w:pPr>
              <w:rPr>
                <w:szCs w:val="21"/>
              </w:rPr>
            </w:pPr>
          </w:p>
        </w:tc>
      </w:tr>
      <w:tr w:rsidR="00C223F5">
        <w:trPr>
          <w:cantSplit/>
          <w:trHeight w:val="79"/>
          <w:jc w:val="center"/>
        </w:trPr>
        <w:tc>
          <w:tcPr>
            <w:tcW w:w="548" w:type="dxa"/>
            <w:vMerge w:val="restart"/>
            <w:vAlign w:val="center"/>
          </w:tcPr>
          <w:p w:rsidR="00C223F5" w:rsidRDefault="005860D5">
            <w:pPr>
              <w:jc w:val="center"/>
              <w:rPr>
                <w:szCs w:val="21"/>
              </w:rPr>
            </w:pPr>
            <w:r>
              <w:rPr>
                <w:szCs w:val="21"/>
              </w:rPr>
              <w:t>2</w:t>
            </w:r>
          </w:p>
        </w:tc>
        <w:tc>
          <w:tcPr>
            <w:tcW w:w="370" w:type="dxa"/>
            <w:vMerge w:val="restart"/>
            <w:vAlign w:val="center"/>
          </w:tcPr>
          <w:p w:rsidR="00C223F5" w:rsidRDefault="005860D5">
            <w:pPr>
              <w:jc w:val="center"/>
              <w:rPr>
                <w:szCs w:val="21"/>
              </w:rPr>
            </w:pPr>
            <w:r>
              <w:rPr>
                <w:szCs w:val="21"/>
              </w:rPr>
              <w:t>污废水</w:t>
            </w:r>
          </w:p>
        </w:tc>
        <w:tc>
          <w:tcPr>
            <w:tcW w:w="1261" w:type="dxa"/>
            <w:vAlign w:val="center"/>
          </w:tcPr>
          <w:p w:rsidR="00C223F5" w:rsidRDefault="005860D5">
            <w:pPr>
              <w:jc w:val="center"/>
              <w:rPr>
                <w:szCs w:val="21"/>
              </w:rPr>
            </w:pPr>
            <w:r>
              <w:rPr>
                <w:szCs w:val="21"/>
              </w:rPr>
              <w:t>生活污水</w:t>
            </w:r>
          </w:p>
        </w:tc>
        <w:tc>
          <w:tcPr>
            <w:tcW w:w="3769" w:type="dxa"/>
            <w:vAlign w:val="center"/>
          </w:tcPr>
          <w:p w:rsidR="00C223F5" w:rsidRDefault="005860D5" w:rsidP="00584B9F">
            <w:pPr>
              <w:jc w:val="left"/>
              <w:rPr>
                <w:szCs w:val="21"/>
              </w:rPr>
            </w:pPr>
            <w:r>
              <w:rPr>
                <w:rFonts w:hAnsi="宋体"/>
                <w:szCs w:val="21"/>
              </w:rPr>
              <w:t>二级生化</w:t>
            </w:r>
            <w:r>
              <w:rPr>
                <w:szCs w:val="21"/>
              </w:rPr>
              <w:t>+</w:t>
            </w:r>
            <w:r>
              <w:rPr>
                <w:rFonts w:hAnsi="宋体"/>
                <w:szCs w:val="21"/>
              </w:rPr>
              <w:t>深度处理</w:t>
            </w:r>
            <w:r>
              <w:rPr>
                <w:szCs w:val="21"/>
              </w:rPr>
              <w:t>设备</w:t>
            </w:r>
            <w:r>
              <w:rPr>
                <w:rFonts w:hint="eastAsia"/>
                <w:szCs w:val="21"/>
              </w:rPr>
              <w:t>，</w:t>
            </w:r>
          </w:p>
          <w:p w:rsidR="00C223F5" w:rsidRDefault="005860D5" w:rsidP="00584B9F">
            <w:pPr>
              <w:jc w:val="left"/>
              <w:rPr>
                <w:szCs w:val="21"/>
              </w:rPr>
            </w:pPr>
            <w:r>
              <w:rPr>
                <w:szCs w:val="21"/>
              </w:rPr>
              <w:t>规模</w:t>
            </w:r>
            <w:r>
              <w:rPr>
                <w:rFonts w:hint="eastAsia"/>
                <w:szCs w:val="21"/>
              </w:rPr>
              <w:t>480</w:t>
            </w:r>
            <w:r>
              <w:rPr>
                <w:szCs w:val="21"/>
              </w:rPr>
              <w:t>m</w:t>
            </w:r>
            <w:r>
              <w:rPr>
                <w:szCs w:val="21"/>
                <w:vertAlign w:val="superscript"/>
              </w:rPr>
              <w:t>3</w:t>
            </w:r>
            <w:r>
              <w:rPr>
                <w:szCs w:val="21"/>
              </w:rPr>
              <w:t>/d</w:t>
            </w:r>
            <w:r>
              <w:rPr>
                <w:rFonts w:hint="eastAsia"/>
                <w:szCs w:val="21"/>
              </w:rPr>
              <w:t>（含</w:t>
            </w:r>
            <w:r>
              <w:rPr>
                <w:szCs w:val="21"/>
              </w:rPr>
              <w:t>在线监测</w:t>
            </w:r>
            <w:r>
              <w:rPr>
                <w:szCs w:val="21"/>
              </w:rPr>
              <w:t>1</w:t>
            </w:r>
            <w:r>
              <w:rPr>
                <w:szCs w:val="21"/>
              </w:rPr>
              <w:t>套）</w:t>
            </w:r>
          </w:p>
        </w:tc>
        <w:tc>
          <w:tcPr>
            <w:tcW w:w="484" w:type="dxa"/>
            <w:vAlign w:val="center"/>
          </w:tcPr>
          <w:p w:rsidR="00C223F5" w:rsidRDefault="005860D5">
            <w:pPr>
              <w:jc w:val="center"/>
              <w:rPr>
                <w:szCs w:val="21"/>
              </w:rPr>
            </w:pPr>
            <w:r>
              <w:rPr>
                <w:szCs w:val="21"/>
              </w:rPr>
              <w:t>套</w:t>
            </w:r>
          </w:p>
        </w:tc>
        <w:tc>
          <w:tcPr>
            <w:tcW w:w="506" w:type="dxa"/>
            <w:vAlign w:val="center"/>
          </w:tcPr>
          <w:p w:rsidR="00C223F5" w:rsidRDefault="005860D5">
            <w:pPr>
              <w:jc w:val="center"/>
              <w:rPr>
                <w:szCs w:val="21"/>
              </w:rPr>
            </w:pPr>
            <w:r>
              <w:rPr>
                <w:szCs w:val="21"/>
              </w:rPr>
              <w:t>1</w:t>
            </w:r>
          </w:p>
        </w:tc>
        <w:tc>
          <w:tcPr>
            <w:tcW w:w="2615" w:type="dxa"/>
            <w:vAlign w:val="center"/>
          </w:tcPr>
          <w:p w:rsidR="00C223F5" w:rsidRDefault="005860D5">
            <w:pPr>
              <w:jc w:val="center"/>
              <w:rPr>
                <w:szCs w:val="21"/>
              </w:rPr>
            </w:pPr>
            <w:r>
              <w:rPr>
                <w:szCs w:val="21"/>
              </w:rPr>
              <w:t>达到复用水水质要求，全部回用，不外排</w:t>
            </w:r>
          </w:p>
        </w:tc>
      </w:tr>
      <w:tr w:rsidR="00C223F5">
        <w:trPr>
          <w:cantSplit/>
          <w:trHeight w:val="287"/>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Align w:val="center"/>
          </w:tcPr>
          <w:p w:rsidR="00C223F5" w:rsidRDefault="005860D5">
            <w:pPr>
              <w:jc w:val="center"/>
              <w:rPr>
                <w:szCs w:val="21"/>
              </w:rPr>
            </w:pPr>
            <w:r>
              <w:rPr>
                <w:szCs w:val="21"/>
              </w:rPr>
              <w:t>矿井水</w:t>
            </w:r>
          </w:p>
        </w:tc>
        <w:tc>
          <w:tcPr>
            <w:tcW w:w="3769" w:type="dxa"/>
            <w:vAlign w:val="center"/>
          </w:tcPr>
          <w:p w:rsidR="00C223F5" w:rsidRDefault="005860D5" w:rsidP="00584B9F">
            <w:pPr>
              <w:jc w:val="left"/>
              <w:rPr>
                <w:szCs w:val="21"/>
              </w:rPr>
            </w:pPr>
            <w:r>
              <w:rPr>
                <w:rFonts w:hint="eastAsia"/>
                <w:szCs w:val="21"/>
              </w:rPr>
              <w:t>混凝沉淀、过滤消毒工艺，</w:t>
            </w:r>
            <w:r>
              <w:rPr>
                <w:szCs w:val="21"/>
              </w:rPr>
              <w:t>规模</w:t>
            </w:r>
            <w:r>
              <w:rPr>
                <w:rFonts w:hint="eastAsia"/>
                <w:szCs w:val="21"/>
              </w:rPr>
              <w:t>24</w:t>
            </w:r>
            <w:r>
              <w:rPr>
                <w:szCs w:val="21"/>
              </w:rPr>
              <w:t>00m</w:t>
            </w:r>
            <w:r>
              <w:rPr>
                <w:szCs w:val="21"/>
                <w:vertAlign w:val="superscript"/>
              </w:rPr>
              <w:t>3</w:t>
            </w:r>
            <w:r>
              <w:rPr>
                <w:szCs w:val="21"/>
              </w:rPr>
              <w:t>/d</w:t>
            </w:r>
            <w:r>
              <w:rPr>
                <w:rFonts w:hint="eastAsia"/>
                <w:szCs w:val="21"/>
              </w:rPr>
              <w:t>（</w:t>
            </w:r>
            <w:r>
              <w:rPr>
                <w:szCs w:val="21"/>
              </w:rPr>
              <w:t>含在线监测</w:t>
            </w:r>
            <w:r>
              <w:rPr>
                <w:rFonts w:hint="eastAsia"/>
                <w:szCs w:val="21"/>
              </w:rPr>
              <w:t>1</w:t>
            </w:r>
            <w:r>
              <w:rPr>
                <w:szCs w:val="21"/>
              </w:rPr>
              <w:t>套）</w:t>
            </w:r>
          </w:p>
        </w:tc>
        <w:tc>
          <w:tcPr>
            <w:tcW w:w="484" w:type="dxa"/>
            <w:vAlign w:val="center"/>
          </w:tcPr>
          <w:p w:rsidR="00C223F5" w:rsidRDefault="005860D5">
            <w:pPr>
              <w:jc w:val="center"/>
              <w:rPr>
                <w:szCs w:val="21"/>
              </w:rPr>
            </w:pPr>
            <w:r>
              <w:rPr>
                <w:szCs w:val="21"/>
              </w:rPr>
              <w:t>套</w:t>
            </w:r>
          </w:p>
        </w:tc>
        <w:tc>
          <w:tcPr>
            <w:tcW w:w="506" w:type="dxa"/>
            <w:vAlign w:val="center"/>
          </w:tcPr>
          <w:p w:rsidR="00C223F5" w:rsidRDefault="005860D5">
            <w:pPr>
              <w:jc w:val="center"/>
              <w:rPr>
                <w:szCs w:val="21"/>
              </w:rPr>
            </w:pPr>
            <w:r>
              <w:rPr>
                <w:szCs w:val="21"/>
              </w:rPr>
              <w:t>1</w:t>
            </w:r>
          </w:p>
        </w:tc>
        <w:tc>
          <w:tcPr>
            <w:tcW w:w="2615" w:type="dxa"/>
            <w:vAlign w:val="center"/>
          </w:tcPr>
          <w:p w:rsidR="00C223F5" w:rsidRDefault="005860D5">
            <w:pPr>
              <w:jc w:val="center"/>
              <w:rPr>
                <w:szCs w:val="21"/>
              </w:rPr>
            </w:pPr>
            <w:r>
              <w:rPr>
                <w:rFonts w:hint="eastAsia"/>
                <w:szCs w:val="21"/>
              </w:rPr>
              <w:t>多余矿井水</w:t>
            </w:r>
            <w:r>
              <w:rPr>
                <w:szCs w:val="21"/>
              </w:rPr>
              <w:t>达标排至</w:t>
            </w:r>
            <w:r>
              <w:rPr>
                <w:rFonts w:hint="eastAsia"/>
                <w:szCs w:val="21"/>
              </w:rPr>
              <w:t>蚂蚁河，利用已有排污口</w:t>
            </w:r>
          </w:p>
        </w:tc>
      </w:tr>
      <w:tr w:rsidR="00C223F5">
        <w:trPr>
          <w:cantSplit/>
          <w:trHeight w:val="279"/>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Align w:val="center"/>
          </w:tcPr>
          <w:p w:rsidR="00C223F5" w:rsidRDefault="005860D5">
            <w:pPr>
              <w:jc w:val="center"/>
              <w:rPr>
                <w:szCs w:val="21"/>
              </w:rPr>
            </w:pPr>
            <w:r>
              <w:rPr>
                <w:szCs w:val="21"/>
              </w:rPr>
              <w:t>雨水</w:t>
            </w:r>
          </w:p>
        </w:tc>
        <w:tc>
          <w:tcPr>
            <w:tcW w:w="3769" w:type="dxa"/>
            <w:vAlign w:val="center"/>
          </w:tcPr>
          <w:p w:rsidR="00C223F5" w:rsidRDefault="005860D5" w:rsidP="00584B9F">
            <w:pPr>
              <w:jc w:val="left"/>
              <w:rPr>
                <w:szCs w:val="21"/>
              </w:rPr>
            </w:pPr>
            <w:r>
              <w:rPr>
                <w:szCs w:val="21"/>
              </w:rPr>
              <w:t>雨水收集池</w:t>
            </w:r>
          </w:p>
        </w:tc>
        <w:tc>
          <w:tcPr>
            <w:tcW w:w="484" w:type="dxa"/>
            <w:vAlign w:val="center"/>
          </w:tcPr>
          <w:p w:rsidR="00C223F5" w:rsidRDefault="005860D5">
            <w:pPr>
              <w:jc w:val="center"/>
              <w:rPr>
                <w:szCs w:val="21"/>
              </w:rPr>
            </w:pPr>
            <w:r>
              <w:rPr>
                <w:szCs w:val="21"/>
              </w:rPr>
              <w:t>套</w:t>
            </w:r>
          </w:p>
        </w:tc>
        <w:tc>
          <w:tcPr>
            <w:tcW w:w="506" w:type="dxa"/>
            <w:vAlign w:val="center"/>
          </w:tcPr>
          <w:p w:rsidR="00C223F5" w:rsidRDefault="005860D5">
            <w:pPr>
              <w:jc w:val="center"/>
              <w:rPr>
                <w:szCs w:val="21"/>
              </w:rPr>
            </w:pPr>
            <w:r>
              <w:rPr>
                <w:szCs w:val="21"/>
              </w:rPr>
              <w:t>1</w:t>
            </w:r>
          </w:p>
        </w:tc>
        <w:tc>
          <w:tcPr>
            <w:tcW w:w="2615" w:type="dxa"/>
            <w:vAlign w:val="center"/>
          </w:tcPr>
          <w:p w:rsidR="00C223F5" w:rsidRDefault="005860D5">
            <w:pPr>
              <w:jc w:val="center"/>
              <w:rPr>
                <w:szCs w:val="21"/>
              </w:rPr>
            </w:pPr>
            <w:r>
              <w:rPr>
                <w:szCs w:val="21"/>
              </w:rPr>
              <w:t>容积为</w:t>
            </w:r>
            <w:r>
              <w:rPr>
                <w:rFonts w:hint="eastAsia"/>
                <w:szCs w:val="21"/>
              </w:rPr>
              <w:t>25</w:t>
            </w:r>
            <w:r>
              <w:rPr>
                <w:szCs w:val="21"/>
              </w:rPr>
              <w:t>0m</w:t>
            </w:r>
            <w:r>
              <w:rPr>
                <w:szCs w:val="21"/>
                <w:vertAlign w:val="superscript"/>
              </w:rPr>
              <w:t>3</w:t>
            </w:r>
          </w:p>
        </w:tc>
      </w:tr>
      <w:tr w:rsidR="00C223F5">
        <w:trPr>
          <w:cantSplit/>
          <w:trHeight w:val="279"/>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Align w:val="center"/>
          </w:tcPr>
          <w:p w:rsidR="00C223F5" w:rsidRDefault="005860D5">
            <w:pPr>
              <w:contextualSpacing/>
              <w:jc w:val="center"/>
              <w:rPr>
                <w:szCs w:val="21"/>
              </w:rPr>
            </w:pPr>
            <w:r>
              <w:rPr>
                <w:szCs w:val="21"/>
              </w:rPr>
              <w:t>煤泥水</w:t>
            </w:r>
          </w:p>
        </w:tc>
        <w:tc>
          <w:tcPr>
            <w:tcW w:w="3769" w:type="dxa"/>
            <w:vAlign w:val="center"/>
          </w:tcPr>
          <w:p w:rsidR="00C223F5" w:rsidRDefault="005860D5" w:rsidP="00584B9F">
            <w:pPr>
              <w:contextualSpacing/>
              <w:jc w:val="left"/>
              <w:rPr>
                <w:szCs w:val="21"/>
              </w:rPr>
            </w:pPr>
            <w:r>
              <w:rPr>
                <w:szCs w:val="21"/>
              </w:rPr>
              <w:t>一级闭路循环</w:t>
            </w:r>
          </w:p>
        </w:tc>
        <w:tc>
          <w:tcPr>
            <w:tcW w:w="484" w:type="dxa"/>
            <w:vAlign w:val="center"/>
          </w:tcPr>
          <w:p w:rsidR="00C223F5" w:rsidRDefault="005860D5">
            <w:pPr>
              <w:contextualSpacing/>
              <w:jc w:val="center"/>
              <w:rPr>
                <w:szCs w:val="21"/>
              </w:rPr>
            </w:pPr>
            <w:r>
              <w:rPr>
                <w:szCs w:val="21"/>
              </w:rPr>
              <w:t>2</w:t>
            </w:r>
          </w:p>
        </w:tc>
        <w:tc>
          <w:tcPr>
            <w:tcW w:w="506" w:type="dxa"/>
            <w:vAlign w:val="center"/>
          </w:tcPr>
          <w:p w:rsidR="00C223F5" w:rsidRDefault="005860D5">
            <w:pPr>
              <w:contextualSpacing/>
              <w:jc w:val="center"/>
              <w:rPr>
                <w:szCs w:val="21"/>
              </w:rPr>
            </w:pPr>
            <w:r>
              <w:rPr>
                <w:szCs w:val="21"/>
              </w:rPr>
              <w:t>座</w:t>
            </w:r>
          </w:p>
        </w:tc>
        <w:tc>
          <w:tcPr>
            <w:tcW w:w="2615" w:type="dxa"/>
            <w:vAlign w:val="center"/>
          </w:tcPr>
          <w:p w:rsidR="00C223F5" w:rsidRDefault="005860D5">
            <w:pPr>
              <w:contextualSpacing/>
              <w:jc w:val="center"/>
              <w:rPr>
                <w:szCs w:val="21"/>
              </w:rPr>
            </w:pPr>
            <w:r>
              <w:rPr>
                <w:szCs w:val="21"/>
              </w:rPr>
              <w:t>2</w:t>
            </w:r>
            <w:r>
              <w:rPr>
                <w:szCs w:val="21"/>
              </w:rPr>
              <w:t>台</w:t>
            </w:r>
            <w:r>
              <w:rPr>
                <w:szCs w:val="21"/>
              </w:rPr>
              <w:t>Φ</w:t>
            </w:r>
            <w:r>
              <w:rPr>
                <w:rFonts w:hint="eastAsia"/>
                <w:szCs w:val="21"/>
              </w:rPr>
              <w:t>28</w:t>
            </w:r>
            <w:r>
              <w:rPr>
                <w:szCs w:val="21"/>
              </w:rPr>
              <w:t>m</w:t>
            </w:r>
            <w:r>
              <w:rPr>
                <w:szCs w:val="21"/>
              </w:rPr>
              <w:t>高效浓缩机，</w:t>
            </w:r>
          </w:p>
          <w:p w:rsidR="00C223F5" w:rsidRDefault="005860D5">
            <w:pPr>
              <w:contextualSpacing/>
              <w:jc w:val="center"/>
              <w:rPr>
                <w:szCs w:val="21"/>
              </w:rPr>
            </w:pPr>
            <w:r>
              <w:rPr>
                <w:szCs w:val="21"/>
              </w:rPr>
              <w:t>一用一备</w:t>
            </w:r>
          </w:p>
        </w:tc>
      </w:tr>
      <w:tr w:rsidR="00C223F5">
        <w:trPr>
          <w:cantSplit/>
          <w:trHeight w:val="232"/>
          <w:jc w:val="center"/>
        </w:trPr>
        <w:tc>
          <w:tcPr>
            <w:tcW w:w="548" w:type="dxa"/>
            <w:vMerge w:val="restart"/>
            <w:vAlign w:val="center"/>
          </w:tcPr>
          <w:p w:rsidR="00C223F5" w:rsidRDefault="005860D5">
            <w:pPr>
              <w:jc w:val="center"/>
              <w:rPr>
                <w:szCs w:val="21"/>
              </w:rPr>
            </w:pPr>
            <w:r>
              <w:rPr>
                <w:szCs w:val="21"/>
              </w:rPr>
              <w:t>3</w:t>
            </w:r>
          </w:p>
        </w:tc>
        <w:tc>
          <w:tcPr>
            <w:tcW w:w="370" w:type="dxa"/>
            <w:vMerge w:val="restart"/>
            <w:vAlign w:val="center"/>
          </w:tcPr>
          <w:p w:rsidR="00C223F5" w:rsidRDefault="005860D5">
            <w:pPr>
              <w:jc w:val="center"/>
              <w:rPr>
                <w:szCs w:val="21"/>
              </w:rPr>
            </w:pPr>
            <w:r>
              <w:rPr>
                <w:szCs w:val="21"/>
              </w:rPr>
              <w:t>噪声</w:t>
            </w:r>
          </w:p>
        </w:tc>
        <w:tc>
          <w:tcPr>
            <w:tcW w:w="1261" w:type="dxa"/>
            <w:vAlign w:val="center"/>
          </w:tcPr>
          <w:p w:rsidR="00C223F5" w:rsidRDefault="005860D5">
            <w:pPr>
              <w:contextualSpacing/>
              <w:jc w:val="center"/>
              <w:rPr>
                <w:szCs w:val="21"/>
              </w:rPr>
            </w:pPr>
            <w:r>
              <w:rPr>
                <w:rFonts w:hint="eastAsia"/>
                <w:szCs w:val="21"/>
              </w:rPr>
              <w:t>驱动机房</w:t>
            </w:r>
          </w:p>
        </w:tc>
        <w:tc>
          <w:tcPr>
            <w:tcW w:w="3769" w:type="dxa"/>
            <w:vAlign w:val="center"/>
          </w:tcPr>
          <w:p w:rsidR="00C223F5" w:rsidRDefault="005860D5">
            <w:pPr>
              <w:contextualSpacing/>
              <w:rPr>
                <w:szCs w:val="21"/>
              </w:rPr>
            </w:pPr>
            <w:r>
              <w:rPr>
                <w:szCs w:val="21"/>
              </w:rPr>
              <w:t>驱动机设隔声罩，基础减震，隔声门窗，</w:t>
            </w:r>
          </w:p>
          <w:p w:rsidR="00C223F5" w:rsidRDefault="005860D5">
            <w:pPr>
              <w:contextualSpacing/>
              <w:rPr>
                <w:szCs w:val="21"/>
              </w:rPr>
            </w:pPr>
            <w:r>
              <w:rPr>
                <w:szCs w:val="21"/>
              </w:rPr>
              <w:t>设隔声值班室</w:t>
            </w:r>
          </w:p>
        </w:tc>
        <w:tc>
          <w:tcPr>
            <w:tcW w:w="484" w:type="dxa"/>
            <w:vAlign w:val="center"/>
          </w:tcPr>
          <w:p w:rsidR="00C223F5" w:rsidRDefault="005860D5">
            <w:pPr>
              <w:contextualSpacing/>
              <w:jc w:val="center"/>
              <w:rPr>
                <w:szCs w:val="21"/>
              </w:rPr>
            </w:pPr>
            <w:r>
              <w:rPr>
                <w:szCs w:val="21"/>
              </w:rPr>
              <w:t>套</w:t>
            </w:r>
          </w:p>
        </w:tc>
        <w:tc>
          <w:tcPr>
            <w:tcW w:w="506" w:type="dxa"/>
            <w:vAlign w:val="center"/>
          </w:tcPr>
          <w:p w:rsidR="00C223F5" w:rsidRDefault="005860D5">
            <w:pPr>
              <w:contextualSpacing/>
              <w:jc w:val="center"/>
              <w:rPr>
                <w:szCs w:val="21"/>
              </w:rPr>
            </w:pPr>
            <w:r>
              <w:rPr>
                <w:rFonts w:hint="eastAsia"/>
                <w:szCs w:val="21"/>
              </w:rPr>
              <w:t>1</w:t>
            </w:r>
          </w:p>
        </w:tc>
        <w:tc>
          <w:tcPr>
            <w:tcW w:w="2615" w:type="dxa"/>
            <w:vMerge w:val="restart"/>
            <w:vAlign w:val="center"/>
          </w:tcPr>
          <w:p w:rsidR="00C223F5" w:rsidRDefault="005860D5">
            <w:pPr>
              <w:jc w:val="center"/>
              <w:rPr>
                <w:szCs w:val="21"/>
              </w:rPr>
            </w:pPr>
            <w:r>
              <w:rPr>
                <w:szCs w:val="21"/>
              </w:rPr>
              <w:t>厂界噪声达到《工业企业厂界环境噪声排放标准》（</w:t>
            </w:r>
            <w:r>
              <w:rPr>
                <w:szCs w:val="21"/>
              </w:rPr>
              <w:t>GB12348-2008</w:t>
            </w:r>
            <w:r>
              <w:rPr>
                <w:szCs w:val="21"/>
              </w:rPr>
              <w:t>）中</w:t>
            </w:r>
            <w:r>
              <w:rPr>
                <w:szCs w:val="21"/>
              </w:rPr>
              <w:t>2</w:t>
            </w:r>
            <w:r>
              <w:rPr>
                <w:szCs w:val="21"/>
              </w:rPr>
              <w:t>类区标准</w:t>
            </w:r>
          </w:p>
        </w:tc>
      </w:tr>
      <w:tr w:rsidR="00C223F5">
        <w:trPr>
          <w:cantSplit/>
          <w:trHeight w:val="232"/>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Align w:val="center"/>
          </w:tcPr>
          <w:p w:rsidR="00C223F5" w:rsidRDefault="005860D5">
            <w:pPr>
              <w:contextualSpacing/>
              <w:jc w:val="center"/>
              <w:rPr>
                <w:szCs w:val="21"/>
                <w:highlight w:val="yellow"/>
              </w:rPr>
            </w:pPr>
            <w:r>
              <w:rPr>
                <w:szCs w:val="21"/>
              </w:rPr>
              <w:t>筛</w:t>
            </w:r>
            <w:r>
              <w:rPr>
                <w:rFonts w:hint="eastAsia"/>
                <w:szCs w:val="21"/>
              </w:rPr>
              <w:t>破</w:t>
            </w:r>
            <w:r>
              <w:rPr>
                <w:szCs w:val="21"/>
              </w:rPr>
              <w:t>车间</w:t>
            </w:r>
          </w:p>
        </w:tc>
        <w:tc>
          <w:tcPr>
            <w:tcW w:w="3769" w:type="dxa"/>
            <w:vAlign w:val="center"/>
          </w:tcPr>
          <w:p w:rsidR="00C223F5" w:rsidRDefault="005860D5">
            <w:pPr>
              <w:contextualSpacing/>
              <w:rPr>
                <w:szCs w:val="21"/>
              </w:rPr>
            </w:pPr>
            <w:r>
              <w:rPr>
                <w:szCs w:val="21"/>
              </w:rPr>
              <w:t>设备基础减震，设隔声值班室</w:t>
            </w:r>
            <w:r>
              <w:rPr>
                <w:rFonts w:hint="eastAsia"/>
                <w:szCs w:val="21"/>
              </w:rPr>
              <w:t>，加装</w:t>
            </w:r>
          </w:p>
          <w:p w:rsidR="00C223F5" w:rsidRDefault="005860D5">
            <w:pPr>
              <w:contextualSpacing/>
              <w:rPr>
                <w:szCs w:val="21"/>
              </w:rPr>
            </w:pPr>
            <w:r>
              <w:rPr>
                <w:rFonts w:hint="eastAsia"/>
                <w:szCs w:val="21"/>
              </w:rPr>
              <w:t>专用</w:t>
            </w:r>
            <w:r>
              <w:rPr>
                <w:szCs w:val="21"/>
              </w:rPr>
              <w:t>隔声门窗</w:t>
            </w:r>
          </w:p>
        </w:tc>
        <w:tc>
          <w:tcPr>
            <w:tcW w:w="484" w:type="dxa"/>
            <w:vAlign w:val="center"/>
          </w:tcPr>
          <w:p w:rsidR="00C223F5" w:rsidRDefault="005860D5">
            <w:pPr>
              <w:contextualSpacing/>
              <w:jc w:val="center"/>
              <w:rPr>
                <w:szCs w:val="21"/>
              </w:rPr>
            </w:pPr>
            <w:r>
              <w:rPr>
                <w:szCs w:val="21"/>
              </w:rPr>
              <w:t>套</w:t>
            </w:r>
          </w:p>
        </w:tc>
        <w:tc>
          <w:tcPr>
            <w:tcW w:w="506" w:type="dxa"/>
            <w:vAlign w:val="center"/>
          </w:tcPr>
          <w:p w:rsidR="00C223F5" w:rsidRDefault="005860D5">
            <w:pPr>
              <w:contextualSpacing/>
              <w:jc w:val="center"/>
              <w:rPr>
                <w:szCs w:val="21"/>
              </w:rPr>
            </w:pPr>
            <w:r>
              <w:rPr>
                <w:rFonts w:hint="eastAsia"/>
                <w:szCs w:val="21"/>
              </w:rPr>
              <w:t>1</w:t>
            </w:r>
          </w:p>
        </w:tc>
        <w:tc>
          <w:tcPr>
            <w:tcW w:w="2615" w:type="dxa"/>
            <w:vMerge/>
            <w:vAlign w:val="center"/>
          </w:tcPr>
          <w:p w:rsidR="00C223F5" w:rsidRDefault="00C223F5">
            <w:pPr>
              <w:jc w:val="center"/>
              <w:rPr>
                <w:szCs w:val="21"/>
              </w:rPr>
            </w:pPr>
          </w:p>
        </w:tc>
      </w:tr>
      <w:tr w:rsidR="00C223F5">
        <w:trPr>
          <w:cantSplit/>
          <w:trHeight w:val="428"/>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Align w:val="center"/>
          </w:tcPr>
          <w:p w:rsidR="00C223F5" w:rsidRDefault="005860D5">
            <w:pPr>
              <w:contextualSpacing/>
              <w:jc w:val="center"/>
              <w:rPr>
                <w:szCs w:val="21"/>
              </w:rPr>
            </w:pPr>
            <w:r>
              <w:rPr>
                <w:szCs w:val="21"/>
              </w:rPr>
              <w:t>主厂房</w:t>
            </w:r>
          </w:p>
        </w:tc>
        <w:tc>
          <w:tcPr>
            <w:tcW w:w="3769" w:type="dxa"/>
            <w:vAlign w:val="center"/>
          </w:tcPr>
          <w:p w:rsidR="00C223F5" w:rsidRDefault="005860D5">
            <w:pPr>
              <w:contextualSpacing/>
              <w:rPr>
                <w:szCs w:val="21"/>
              </w:rPr>
            </w:pPr>
            <w:r>
              <w:rPr>
                <w:szCs w:val="21"/>
              </w:rPr>
              <w:t>设备基础减震，设隔声值班室</w:t>
            </w:r>
            <w:r>
              <w:rPr>
                <w:rFonts w:hint="eastAsia"/>
                <w:szCs w:val="21"/>
              </w:rPr>
              <w:t>，加装</w:t>
            </w:r>
          </w:p>
          <w:p w:rsidR="00C223F5" w:rsidRDefault="005860D5">
            <w:pPr>
              <w:contextualSpacing/>
              <w:rPr>
                <w:szCs w:val="21"/>
              </w:rPr>
            </w:pPr>
            <w:r>
              <w:rPr>
                <w:rFonts w:hint="eastAsia"/>
                <w:szCs w:val="21"/>
              </w:rPr>
              <w:t>专用</w:t>
            </w:r>
            <w:r>
              <w:rPr>
                <w:szCs w:val="21"/>
              </w:rPr>
              <w:t>隔声门窗</w:t>
            </w:r>
          </w:p>
        </w:tc>
        <w:tc>
          <w:tcPr>
            <w:tcW w:w="484" w:type="dxa"/>
            <w:vAlign w:val="center"/>
          </w:tcPr>
          <w:p w:rsidR="00C223F5" w:rsidRDefault="005860D5">
            <w:pPr>
              <w:contextualSpacing/>
              <w:jc w:val="center"/>
              <w:rPr>
                <w:szCs w:val="21"/>
              </w:rPr>
            </w:pPr>
            <w:r>
              <w:rPr>
                <w:szCs w:val="21"/>
              </w:rPr>
              <w:t>套</w:t>
            </w:r>
          </w:p>
        </w:tc>
        <w:tc>
          <w:tcPr>
            <w:tcW w:w="506" w:type="dxa"/>
            <w:vAlign w:val="center"/>
          </w:tcPr>
          <w:p w:rsidR="00C223F5" w:rsidRDefault="005860D5">
            <w:pPr>
              <w:contextualSpacing/>
              <w:jc w:val="center"/>
              <w:rPr>
                <w:szCs w:val="21"/>
              </w:rPr>
            </w:pPr>
            <w:r>
              <w:rPr>
                <w:rFonts w:hint="eastAsia"/>
                <w:szCs w:val="21"/>
              </w:rPr>
              <w:t>1</w:t>
            </w:r>
          </w:p>
        </w:tc>
        <w:tc>
          <w:tcPr>
            <w:tcW w:w="2615" w:type="dxa"/>
            <w:vMerge/>
            <w:vAlign w:val="center"/>
          </w:tcPr>
          <w:p w:rsidR="00C223F5" w:rsidRDefault="00C223F5">
            <w:pPr>
              <w:jc w:val="center"/>
              <w:rPr>
                <w:szCs w:val="21"/>
              </w:rPr>
            </w:pPr>
          </w:p>
        </w:tc>
      </w:tr>
      <w:tr w:rsidR="00C223F5">
        <w:trPr>
          <w:cantSplit/>
          <w:trHeight w:val="103"/>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Align w:val="center"/>
          </w:tcPr>
          <w:p w:rsidR="00C223F5" w:rsidRDefault="005860D5">
            <w:pPr>
              <w:contextualSpacing/>
              <w:jc w:val="center"/>
              <w:rPr>
                <w:szCs w:val="21"/>
              </w:rPr>
            </w:pPr>
            <w:r>
              <w:rPr>
                <w:rFonts w:hint="eastAsia"/>
                <w:szCs w:val="21"/>
              </w:rPr>
              <w:t>乏风</w:t>
            </w:r>
          </w:p>
          <w:p w:rsidR="00C223F5" w:rsidRDefault="005860D5">
            <w:pPr>
              <w:contextualSpacing/>
              <w:jc w:val="center"/>
              <w:rPr>
                <w:szCs w:val="21"/>
              </w:rPr>
            </w:pPr>
            <w:r>
              <w:rPr>
                <w:rFonts w:hint="eastAsia"/>
                <w:szCs w:val="21"/>
              </w:rPr>
              <w:t>热泵机房</w:t>
            </w:r>
          </w:p>
        </w:tc>
        <w:tc>
          <w:tcPr>
            <w:tcW w:w="3769" w:type="dxa"/>
            <w:vAlign w:val="center"/>
          </w:tcPr>
          <w:p w:rsidR="00C223F5" w:rsidRDefault="005860D5">
            <w:pPr>
              <w:contextualSpacing/>
              <w:rPr>
                <w:szCs w:val="21"/>
              </w:rPr>
            </w:pPr>
            <w:r>
              <w:rPr>
                <w:rFonts w:hint="eastAsia"/>
                <w:szCs w:val="21"/>
              </w:rPr>
              <w:t>设备减震、隔声门窗、</w:t>
            </w:r>
            <w:r>
              <w:rPr>
                <w:szCs w:val="21"/>
              </w:rPr>
              <w:t>安装</w:t>
            </w:r>
            <w:r>
              <w:rPr>
                <w:rFonts w:hint="eastAsia"/>
                <w:szCs w:val="21"/>
              </w:rPr>
              <w:t>隔声罩</w:t>
            </w:r>
          </w:p>
        </w:tc>
        <w:tc>
          <w:tcPr>
            <w:tcW w:w="484" w:type="dxa"/>
            <w:vAlign w:val="center"/>
          </w:tcPr>
          <w:p w:rsidR="00C223F5" w:rsidRDefault="005860D5">
            <w:pPr>
              <w:contextualSpacing/>
              <w:jc w:val="center"/>
              <w:rPr>
                <w:szCs w:val="21"/>
              </w:rPr>
            </w:pPr>
            <w:r>
              <w:rPr>
                <w:szCs w:val="21"/>
              </w:rPr>
              <w:t>套</w:t>
            </w:r>
          </w:p>
        </w:tc>
        <w:tc>
          <w:tcPr>
            <w:tcW w:w="506" w:type="dxa"/>
            <w:vAlign w:val="center"/>
          </w:tcPr>
          <w:p w:rsidR="00C223F5" w:rsidRDefault="005860D5">
            <w:pPr>
              <w:contextualSpacing/>
              <w:jc w:val="center"/>
              <w:rPr>
                <w:szCs w:val="21"/>
              </w:rPr>
            </w:pPr>
            <w:r>
              <w:rPr>
                <w:rFonts w:hint="eastAsia"/>
                <w:szCs w:val="21"/>
              </w:rPr>
              <w:t>7</w:t>
            </w:r>
          </w:p>
        </w:tc>
        <w:tc>
          <w:tcPr>
            <w:tcW w:w="2615" w:type="dxa"/>
            <w:vMerge/>
            <w:vAlign w:val="center"/>
          </w:tcPr>
          <w:p w:rsidR="00C223F5" w:rsidRDefault="00C223F5">
            <w:pPr>
              <w:jc w:val="center"/>
              <w:rPr>
                <w:szCs w:val="21"/>
              </w:rPr>
            </w:pPr>
          </w:p>
        </w:tc>
      </w:tr>
      <w:tr w:rsidR="00C223F5">
        <w:trPr>
          <w:cantSplit/>
          <w:trHeight w:val="273"/>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Align w:val="center"/>
          </w:tcPr>
          <w:p w:rsidR="00C223F5" w:rsidRDefault="005860D5">
            <w:pPr>
              <w:contextualSpacing/>
              <w:jc w:val="center"/>
              <w:rPr>
                <w:szCs w:val="21"/>
              </w:rPr>
            </w:pPr>
            <w:r>
              <w:rPr>
                <w:szCs w:val="21"/>
              </w:rPr>
              <w:t>通风</w:t>
            </w:r>
            <w:r>
              <w:rPr>
                <w:rFonts w:hint="eastAsia"/>
                <w:szCs w:val="21"/>
              </w:rPr>
              <w:t>机房</w:t>
            </w:r>
          </w:p>
        </w:tc>
        <w:tc>
          <w:tcPr>
            <w:tcW w:w="3769" w:type="dxa"/>
            <w:vAlign w:val="center"/>
          </w:tcPr>
          <w:p w:rsidR="00C223F5" w:rsidRDefault="005860D5">
            <w:pPr>
              <w:contextualSpacing/>
              <w:rPr>
                <w:szCs w:val="21"/>
              </w:rPr>
            </w:pPr>
            <w:r>
              <w:rPr>
                <w:szCs w:val="21"/>
              </w:rPr>
              <w:t>通风机设消声器，设备基础减震</w:t>
            </w:r>
          </w:p>
        </w:tc>
        <w:tc>
          <w:tcPr>
            <w:tcW w:w="484" w:type="dxa"/>
            <w:vAlign w:val="center"/>
          </w:tcPr>
          <w:p w:rsidR="00C223F5" w:rsidRDefault="005860D5">
            <w:pPr>
              <w:contextualSpacing/>
              <w:jc w:val="center"/>
              <w:rPr>
                <w:szCs w:val="21"/>
              </w:rPr>
            </w:pPr>
            <w:r>
              <w:rPr>
                <w:szCs w:val="21"/>
              </w:rPr>
              <w:t>套</w:t>
            </w:r>
          </w:p>
        </w:tc>
        <w:tc>
          <w:tcPr>
            <w:tcW w:w="506" w:type="dxa"/>
            <w:vAlign w:val="center"/>
          </w:tcPr>
          <w:p w:rsidR="00C223F5" w:rsidRDefault="005860D5">
            <w:pPr>
              <w:contextualSpacing/>
              <w:jc w:val="center"/>
              <w:rPr>
                <w:szCs w:val="21"/>
              </w:rPr>
            </w:pPr>
            <w:r>
              <w:rPr>
                <w:rFonts w:hint="eastAsia"/>
                <w:szCs w:val="21"/>
              </w:rPr>
              <w:t>2</w:t>
            </w:r>
          </w:p>
        </w:tc>
        <w:tc>
          <w:tcPr>
            <w:tcW w:w="2615" w:type="dxa"/>
            <w:vMerge/>
            <w:vAlign w:val="center"/>
          </w:tcPr>
          <w:p w:rsidR="00C223F5" w:rsidRDefault="00C223F5">
            <w:pPr>
              <w:jc w:val="center"/>
              <w:rPr>
                <w:szCs w:val="21"/>
              </w:rPr>
            </w:pPr>
          </w:p>
        </w:tc>
      </w:tr>
      <w:tr w:rsidR="00C223F5">
        <w:trPr>
          <w:cantSplit/>
          <w:trHeight w:val="273"/>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Align w:val="center"/>
          </w:tcPr>
          <w:p w:rsidR="00C223F5" w:rsidRDefault="005860D5">
            <w:pPr>
              <w:contextualSpacing/>
              <w:jc w:val="center"/>
              <w:rPr>
                <w:szCs w:val="21"/>
              </w:rPr>
            </w:pPr>
            <w:r>
              <w:rPr>
                <w:rFonts w:hint="eastAsia"/>
                <w:szCs w:val="21"/>
              </w:rPr>
              <w:t>压缩空气站</w:t>
            </w:r>
          </w:p>
        </w:tc>
        <w:tc>
          <w:tcPr>
            <w:tcW w:w="3769" w:type="dxa"/>
            <w:vAlign w:val="center"/>
          </w:tcPr>
          <w:p w:rsidR="00C223F5" w:rsidRDefault="005860D5">
            <w:pPr>
              <w:contextualSpacing/>
              <w:rPr>
                <w:szCs w:val="21"/>
              </w:rPr>
            </w:pPr>
            <w:r>
              <w:rPr>
                <w:rFonts w:hint="eastAsia"/>
                <w:szCs w:val="21"/>
              </w:rPr>
              <w:t>压风机进风口设阻抗复合消声器，设隔声值班室、隔声门窗、</w:t>
            </w:r>
            <w:r>
              <w:rPr>
                <w:szCs w:val="21"/>
              </w:rPr>
              <w:t>空压机设置</w:t>
            </w:r>
            <w:r>
              <w:rPr>
                <w:rFonts w:hint="eastAsia"/>
                <w:szCs w:val="21"/>
              </w:rPr>
              <w:t>隔声罩</w:t>
            </w:r>
          </w:p>
        </w:tc>
        <w:tc>
          <w:tcPr>
            <w:tcW w:w="484" w:type="dxa"/>
            <w:vAlign w:val="center"/>
          </w:tcPr>
          <w:p w:rsidR="00C223F5" w:rsidRDefault="005860D5">
            <w:pPr>
              <w:contextualSpacing/>
              <w:jc w:val="center"/>
              <w:rPr>
                <w:szCs w:val="21"/>
              </w:rPr>
            </w:pPr>
            <w:r>
              <w:rPr>
                <w:szCs w:val="21"/>
              </w:rPr>
              <w:t>套</w:t>
            </w:r>
          </w:p>
        </w:tc>
        <w:tc>
          <w:tcPr>
            <w:tcW w:w="506" w:type="dxa"/>
            <w:vAlign w:val="center"/>
          </w:tcPr>
          <w:p w:rsidR="00C223F5" w:rsidRDefault="005860D5">
            <w:pPr>
              <w:contextualSpacing/>
              <w:jc w:val="center"/>
              <w:rPr>
                <w:szCs w:val="21"/>
              </w:rPr>
            </w:pPr>
            <w:r>
              <w:rPr>
                <w:rFonts w:hint="eastAsia"/>
                <w:szCs w:val="21"/>
              </w:rPr>
              <w:t>4</w:t>
            </w:r>
          </w:p>
        </w:tc>
        <w:tc>
          <w:tcPr>
            <w:tcW w:w="2615" w:type="dxa"/>
            <w:vMerge/>
            <w:vAlign w:val="center"/>
          </w:tcPr>
          <w:p w:rsidR="00C223F5" w:rsidRDefault="00C223F5">
            <w:pPr>
              <w:jc w:val="center"/>
              <w:rPr>
                <w:szCs w:val="21"/>
              </w:rPr>
            </w:pPr>
          </w:p>
        </w:tc>
      </w:tr>
      <w:tr w:rsidR="00C223F5">
        <w:trPr>
          <w:cantSplit/>
          <w:trHeight w:val="196"/>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Align w:val="center"/>
          </w:tcPr>
          <w:p w:rsidR="00C223F5" w:rsidRDefault="005860D5">
            <w:pPr>
              <w:contextualSpacing/>
              <w:jc w:val="center"/>
              <w:rPr>
                <w:szCs w:val="21"/>
              </w:rPr>
            </w:pPr>
            <w:r>
              <w:rPr>
                <w:szCs w:val="21"/>
              </w:rPr>
              <w:t>黄泥灌浆站</w:t>
            </w:r>
          </w:p>
        </w:tc>
        <w:tc>
          <w:tcPr>
            <w:tcW w:w="3769" w:type="dxa"/>
            <w:vAlign w:val="center"/>
          </w:tcPr>
          <w:p w:rsidR="00C223F5" w:rsidRDefault="005860D5">
            <w:pPr>
              <w:contextualSpacing/>
              <w:rPr>
                <w:szCs w:val="21"/>
              </w:rPr>
            </w:pPr>
            <w:r>
              <w:rPr>
                <w:szCs w:val="21"/>
              </w:rPr>
              <w:t>设备基础减震处理</w:t>
            </w:r>
            <w:r>
              <w:rPr>
                <w:rFonts w:hint="eastAsia"/>
                <w:szCs w:val="21"/>
              </w:rPr>
              <w:t>、隔声门窗</w:t>
            </w:r>
          </w:p>
        </w:tc>
        <w:tc>
          <w:tcPr>
            <w:tcW w:w="484" w:type="dxa"/>
            <w:vAlign w:val="center"/>
          </w:tcPr>
          <w:p w:rsidR="00C223F5" w:rsidRDefault="005860D5">
            <w:pPr>
              <w:contextualSpacing/>
              <w:jc w:val="center"/>
              <w:rPr>
                <w:szCs w:val="21"/>
              </w:rPr>
            </w:pPr>
            <w:r>
              <w:rPr>
                <w:szCs w:val="21"/>
              </w:rPr>
              <w:t>套</w:t>
            </w:r>
          </w:p>
        </w:tc>
        <w:tc>
          <w:tcPr>
            <w:tcW w:w="506" w:type="dxa"/>
            <w:vAlign w:val="center"/>
          </w:tcPr>
          <w:p w:rsidR="00C223F5" w:rsidRDefault="005860D5">
            <w:pPr>
              <w:contextualSpacing/>
              <w:jc w:val="center"/>
              <w:rPr>
                <w:szCs w:val="21"/>
              </w:rPr>
            </w:pPr>
            <w:r>
              <w:rPr>
                <w:rFonts w:hint="eastAsia"/>
                <w:szCs w:val="21"/>
              </w:rPr>
              <w:t>1</w:t>
            </w:r>
          </w:p>
        </w:tc>
        <w:tc>
          <w:tcPr>
            <w:tcW w:w="2615" w:type="dxa"/>
            <w:vMerge/>
            <w:vAlign w:val="center"/>
          </w:tcPr>
          <w:p w:rsidR="00C223F5" w:rsidRDefault="00C223F5">
            <w:pPr>
              <w:jc w:val="center"/>
              <w:rPr>
                <w:szCs w:val="21"/>
              </w:rPr>
            </w:pPr>
          </w:p>
        </w:tc>
      </w:tr>
      <w:tr w:rsidR="00C223F5">
        <w:trPr>
          <w:cantSplit/>
          <w:trHeight w:val="180"/>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Align w:val="center"/>
          </w:tcPr>
          <w:p w:rsidR="00C223F5" w:rsidRDefault="005860D5">
            <w:pPr>
              <w:contextualSpacing/>
              <w:jc w:val="center"/>
              <w:rPr>
                <w:szCs w:val="21"/>
              </w:rPr>
            </w:pPr>
            <w:r>
              <w:rPr>
                <w:szCs w:val="21"/>
              </w:rPr>
              <w:t>输煤栈桥</w:t>
            </w:r>
          </w:p>
        </w:tc>
        <w:tc>
          <w:tcPr>
            <w:tcW w:w="3769" w:type="dxa"/>
            <w:vAlign w:val="center"/>
          </w:tcPr>
          <w:p w:rsidR="00C223F5" w:rsidRDefault="005860D5">
            <w:pPr>
              <w:contextualSpacing/>
              <w:rPr>
                <w:szCs w:val="21"/>
              </w:rPr>
            </w:pPr>
            <w:r>
              <w:rPr>
                <w:szCs w:val="21"/>
              </w:rPr>
              <w:t>封闭隔声，阻尼措施</w:t>
            </w:r>
          </w:p>
        </w:tc>
        <w:tc>
          <w:tcPr>
            <w:tcW w:w="484" w:type="dxa"/>
            <w:vAlign w:val="center"/>
          </w:tcPr>
          <w:p w:rsidR="00C223F5" w:rsidRDefault="005860D5">
            <w:pPr>
              <w:contextualSpacing/>
              <w:jc w:val="center"/>
              <w:rPr>
                <w:szCs w:val="21"/>
              </w:rPr>
            </w:pPr>
            <w:r>
              <w:rPr>
                <w:szCs w:val="21"/>
              </w:rPr>
              <w:t>套</w:t>
            </w:r>
          </w:p>
        </w:tc>
        <w:tc>
          <w:tcPr>
            <w:tcW w:w="506" w:type="dxa"/>
            <w:vAlign w:val="center"/>
          </w:tcPr>
          <w:p w:rsidR="00C223F5" w:rsidRDefault="005860D5">
            <w:pPr>
              <w:contextualSpacing/>
              <w:jc w:val="center"/>
              <w:rPr>
                <w:szCs w:val="21"/>
              </w:rPr>
            </w:pPr>
            <w:r>
              <w:rPr>
                <w:rFonts w:hint="eastAsia"/>
                <w:szCs w:val="21"/>
              </w:rPr>
              <w:t>6</w:t>
            </w:r>
          </w:p>
        </w:tc>
        <w:tc>
          <w:tcPr>
            <w:tcW w:w="2615" w:type="dxa"/>
            <w:vMerge/>
            <w:vAlign w:val="center"/>
          </w:tcPr>
          <w:p w:rsidR="00C223F5" w:rsidRDefault="00C223F5">
            <w:pPr>
              <w:jc w:val="center"/>
              <w:rPr>
                <w:szCs w:val="21"/>
              </w:rPr>
            </w:pPr>
          </w:p>
        </w:tc>
      </w:tr>
      <w:tr w:rsidR="00C223F5">
        <w:trPr>
          <w:cantSplit/>
          <w:trHeight w:val="103"/>
          <w:jc w:val="center"/>
        </w:trPr>
        <w:tc>
          <w:tcPr>
            <w:tcW w:w="548" w:type="dxa"/>
            <w:vMerge w:val="restart"/>
            <w:vAlign w:val="center"/>
          </w:tcPr>
          <w:p w:rsidR="00C223F5" w:rsidRDefault="005860D5">
            <w:pPr>
              <w:jc w:val="center"/>
              <w:rPr>
                <w:szCs w:val="21"/>
              </w:rPr>
            </w:pPr>
            <w:r>
              <w:rPr>
                <w:szCs w:val="21"/>
              </w:rPr>
              <w:t>4</w:t>
            </w:r>
          </w:p>
        </w:tc>
        <w:tc>
          <w:tcPr>
            <w:tcW w:w="370" w:type="dxa"/>
            <w:vMerge w:val="restart"/>
            <w:vAlign w:val="center"/>
          </w:tcPr>
          <w:p w:rsidR="00C223F5" w:rsidRDefault="005860D5">
            <w:pPr>
              <w:jc w:val="center"/>
              <w:rPr>
                <w:szCs w:val="21"/>
              </w:rPr>
            </w:pPr>
            <w:r>
              <w:rPr>
                <w:szCs w:val="21"/>
              </w:rPr>
              <w:t>固废</w:t>
            </w:r>
          </w:p>
        </w:tc>
        <w:tc>
          <w:tcPr>
            <w:tcW w:w="1261" w:type="dxa"/>
            <w:vMerge w:val="restart"/>
            <w:vAlign w:val="center"/>
          </w:tcPr>
          <w:p w:rsidR="00C223F5" w:rsidRDefault="005860D5">
            <w:pPr>
              <w:jc w:val="center"/>
              <w:rPr>
                <w:szCs w:val="21"/>
              </w:rPr>
            </w:pPr>
            <w:r>
              <w:rPr>
                <w:szCs w:val="21"/>
              </w:rPr>
              <w:t>生活垃圾、</w:t>
            </w:r>
          </w:p>
          <w:p w:rsidR="00C223F5" w:rsidRDefault="005860D5">
            <w:pPr>
              <w:jc w:val="center"/>
              <w:rPr>
                <w:szCs w:val="21"/>
              </w:rPr>
            </w:pPr>
            <w:r>
              <w:rPr>
                <w:szCs w:val="21"/>
              </w:rPr>
              <w:t>矸石</w:t>
            </w:r>
          </w:p>
        </w:tc>
        <w:tc>
          <w:tcPr>
            <w:tcW w:w="3769" w:type="dxa"/>
            <w:vAlign w:val="center"/>
          </w:tcPr>
          <w:p w:rsidR="00C223F5" w:rsidRDefault="005860D5" w:rsidP="00584B9F">
            <w:pPr>
              <w:jc w:val="left"/>
              <w:rPr>
                <w:szCs w:val="21"/>
              </w:rPr>
            </w:pPr>
            <w:r>
              <w:rPr>
                <w:szCs w:val="21"/>
              </w:rPr>
              <w:t>清运车辆</w:t>
            </w:r>
          </w:p>
        </w:tc>
        <w:tc>
          <w:tcPr>
            <w:tcW w:w="484" w:type="dxa"/>
            <w:vAlign w:val="center"/>
          </w:tcPr>
          <w:p w:rsidR="00C223F5" w:rsidRDefault="005860D5">
            <w:pPr>
              <w:jc w:val="center"/>
              <w:rPr>
                <w:szCs w:val="21"/>
              </w:rPr>
            </w:pPr>
            <w:r>
              <w:rPr>
                <w:szCs w:val="21"/>
              </w:rPr>
              <w:t>辆</w:t>
            </w:r>
          </w:p>
        </w:tc>
        <w:tc>
          <w:tcPr>
            <w:tcW w:w="506" w:type="dxa"/>
            <w:vAlign w:val="center"/>
          </w:tcPr>
          <w:p w:rsidR="00C223F5" w:rsidRDefault="005860D5">
            <w:pPr>
              <w:jc w:val="center"/>
              <w:rPr>
                <w:szCs w:val="21"/>
              </w:rPr>
            </w:pPr>
            <w:r>
              <w:rPr>
                <w:szCs w:val="21"/>
              </w:rPr>
              <w:t>1</w:t>
            </w:r>
          </w:p>
        </w:tc>
        <w:tc>
          <w:tcPr>
            <w:tcW w:w="2615" w:type="dxa"/>
            <w:vMerge w:val="restart"/>
            <w:vAlign w:val="center"/>
          </w:tcPr>
          <w:p w:rsidR="00C223F5" w:rsidRDefault="005860D5">
            <w:pPr>
              <w:jc w:val="center"/>
              <w:rPr>
                <w:szCs w:val="21"/>
              </w:rPr>
            </w:pPr>
            <w:r>
              <w:rPr>
                <w:szCs w:val="21"/>
              </w:rPr>
              <w:t>生活垃圾未乱堆乱放；危险废物临时储存场符合《危险废物贮存污染控制标准》（</w:t>
            </w:r>
            <w:r>
              <w:rPr>
                <w:szCs w:val="21"/>
              </w:rPr>
              <w:t>GB 18597-2001</w:t>
            </w:r>
            <w:r>
              <w:rPr>
                <w:szCs w:val="21"/>
              </w:rPr>
              <w:t>）防渗要求</w:t>
            </w:r>
          </w:p>
        </w:tc>
      </w:tr>
      <w:tr w:rsidR="00C223F5">
        <w:trPr>
          <w:cantSplit/>
          <w:trHeight w:val="103"/>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Merge/>
            <w:vAlign w:val="center"/>
          </w:tcPr>
          <w:p w:rsidR="00C223F5" w:rsidRDefault="00C223F5">
            <w:pPr>
              <w:jc w:val="center"/>
              <w:rPr>
                <w:szCs w:val="21"/>
              </w:rPr>
            </w:pPr>
          </w:p>
        </w:tc>
        <w:tc>
          <w:tcPr>
            <w:tcW w:w="3769" w:type="dxa"/>
            <w:vAlign w:val="center"/>
          </w:tcPr>
          <w:p w:rsidR="00C223F5" w:rsidRDefault="005860D5" w:rsidP="00584B9F">
            <w:pPr>
              <w:jc w:val="left"/>
              <w:rPr>
                <w:szCs w:val="21"/>
              </w:rPr>
            </w:pPr>
            <w:r>
              <w:rPr>
                <w:szCs w:val="21"/>
              </w:rPr>
              <w:t>垃圾箱</w:t>
            </w:r>
          </w:p>
        </w:tc>
        <w:tc>
          <w:tcPr>
            <w:tcW w:w="484" w:type="dxa"/>
            <w:vAlign w:val="center"/>
          </w:tcPr>
          <w:p w:rsidR="00C223F5" w:rsidRDefault="005860D5">
            <w:pPr>
              <w:jc w:val="center"/>
              <w:rPr>
                <w:szCs w:val="21"/>
              </w:rPr>
            </w:pPr>
            <w:r>
              <w:rPr>
                <w:szCs w:val="21"/>
              </w:rPr>
              <w:t>个</w:t>
            </w:r>
          </w:p>
        </w:tc>
        <w:tc>
          <w:tcPr>
            <w:tcW w:w="506" w:type="dxa"/>
            <w:vAlign w:val="center"/>
          </w:tcPr>
          <w:p w:rsidR="00C223F5" w:rsidRDefault="005860D5">
            <w:pPr>
              <w:jc w:val="center"/>
              <w:rPr>
                <w:szCs w:val="21"/>
              </w:rPr>
            </w:pPr>
            <w:r>
              <w:rPr>
                <w:szCs w:val="21"/>
              </w:rPr>
              <w:t>1</w:t>
            </w:r>
            <w:r>
              <w:rPr>
                <w:rFonts w:hint="eastAsia"/>
                <w:szCs w:val="21"/>
              </w:rPr>
              <w:t>0</w:t>
            </w:r>
          </w:p>
        </w:tc>
        <w:tc>
          <w:tcPr>
            <w:tcW w:w="2615" w:type="dxa"/>
            <w:vMerge/>
            <w:vAlign w:val="center"/>
          </w:tcPr>
          <w:p w:rsidR="00C223F5" w:rsidRDefault="00C223F5">
            <w:pPr>
              <w:jc w:val="center"/>
              <w:rPr>
                <w:szCs w:val="21"/>
              </w:rPr>
            </w:pPr>
          </w:p>
        </w:tc>
      </w:tr>
      <w:tr w:rsidR="00C223F5">
        <w:trPr>
          <w:cantSplit/>
          <w:trHeight w:val="103"/>
          <w:jc w:val="center"/>
        </w:trPr>
        <w:tc>
          <w:tcPr>
            <w:tcW w:w="548" w:type="dxa"/>
            <w:vMerge/>
            <w:vAlign w:val="center"/>
          </w:tcPr>
          <w:p w:rsidR="00C223F5" w:rsidRDefault="00C223F5">
            <w:pPr>
              <w:jc w:val="center"/>
              <w:rPr>
                <w:szCs w:val="21"/>
              </w:rPr>
            </w:pPr>
          </w:p>
        </w:tc>
        <w:tc>
          <w:tcPr>
            <w:tcW w:w="370" w:type="dxa"/>
            <w:vMerge/>
            <w:vAlign w:val="center"/>
          </w:tcPr>
          <w:p w:rsidR="00C223F5" w:rsidRDefault="00C223F5">
            <w:pPr>
              <w:jc w:val="center"/>
              <w:rPr>
                <w:szCs w:val="21"/>
              </w:rPr>
            </w:pPr>
          </w:p>
        </w:tc>
        <w:tc>
          <w:tcPr>
            <w:tcW w:w="1261" w:type="dxa"/>
            <w:vAlign w:val="center"/>
          </w:tcPr>
          <w:p w:rsidR="00C223F5" w:rsidRDefault="005860D5">
            <w:pPr>
              <w:jc w:val="center"/>
              <w:rPr>
                <w:szCs w:val="21"/>
              </w:rPr>
            </w:pPr>
            <w:r>
              <w:rPr>
                <w:szCs w:val="21"/>
              </w:rPr>
              <w:t>废机油等</w:t>
            </w:r>
          </w:p>
        </w:tc>
        <w:tc>
          <w:tcPr>
            <w:tcW w:w="3769" w:type="dxa"/>
            <w:vAlign w:val="center"/>
          </w:tcPr>
          <w:p w:rsidR="00C223F5" w:rsidRDefault="005860D5" w:rsidP="00584B9F">
            <w:pPr>
              <w:jc w:val="left"/>
              <w:rPr>
                <w:szCs w:val="21"/>
              </w:rPr>
            </w:pPr>
            <w:r>
              <w:rPr>
                <w:szCs w:val="21"/>
              </w:rPr>
              <w:t>危险废物暂存</w:t>
            </w:r>
            <w:r w:rsidR="0024471A">
              <w:rPr>
                <w:rFonts w:hint="eastAsia"/>
                <w:szCs w:val="21"/>
              </w:rPr>
              <w:t>间</w:t>
            </w:r>
          </w:p>
        </w:tc>
        <w:tc>
          <w:tcPr>
            <w:tcW w:w="484" w:type="dxa"/>
            <w:vAlign w:val="center"/>
          </w:tcPr>
          <w:p w:rsidR="00C223F5" w:rsidRDefault="005860D5">
            <w:pPr>
              <w:jc w:val="center"/>
              <w:rPr>
                <w:szCs w:val="21"/>
              </w:rPr>
            </w:pPr>
            <w:r>
              <w:rPr>
                <w:szCs w:val="21"/>
              </w:rPr>
              <w:t>座</w:t>
            </w:r>
          </w:p>
        </w:tc>
        <w:tc>
          <w:tcPr>
            <w:tcW w:w="506" w:type="dxa"/>
            <w:vAlign w:val="center"/>
          </w:tcPr>
          <w:p w:rsidR="00C223F5" w:rsidRDefault="005860D5">
            <w:pPr>
              <w:jc w:val="center"/>
              <w:rPr>
                <w:szCs w:val="21"/>
              </w:rPr>
            </w:pPr>
            <w:r>
              <w:rPr>
                <w:szCs w:val="21"/>
              </w:rPr>
              <w:t>1</w:t>
            </w:r>
          </w:p>
        </w:tc>
        <w:tc>
          <w:tcPr>
            <w:tcW w:w="2615" w:type="dxa"/>
            <w:vMerge/>
            <w:vAlign w:val="center"/>
          </w:tcPr>
          <w:p w:rsidR="00C223F5" w:rsidRDefault="00C223F5">
            <w:pPr>
              <w:jc w:val="center"/>
              <w:rPr>
                <w:szCs w:val="21"/>
              </w:rPr>
            </w:pPr>
          </w:p>
        </w:tc>
      </w:tr>
      <w:tr w:rsidR="00C223F5">
        <w:trPr>
          <w:cantSplit/>
          <w:trHeight w:val="103"/>
          <w:jc w:val="center"/>
        </w:trPr>
        <w:tc>
          <w:tcPr>
            <w:tcW w:w="548" w:type="dxa"/>
            <w:vAlign w:val="center"/>
          </w:tcPr>
          <w:p w:rsidR="00C223F5" w:rsidRDefault="005860D5">
            <w:pPr>
              <w:jc w:val="center"/>
              <w:rPr>
                <w:szCs w:val="21"/>
              </w:rPr>
            </w:pPr>
            <w:r>
              <w:rPr>
                <w:szCs w:val="21"/>
              </w:rPr>
              <w:t>5</w:t>
            </w:r>
          </w:p>
        </w:tc>
        <w:tc>
          <w:tcPr>
            <w:tcW w:w="1631" w:type="dxa"/>
            <w:gridSpan w:val="2"/>
            <w:vAlign w:val="center"/>
          </w:tcPr>
          <w:p w:rsidR="00C223F5" w:rsidRDefault="005860D5">
            <w:pPr>
              <w:jc w:val="center"/>
              <w:rPr>
                <w:szCs w:val="21"/>
              </w:rPr>
            </w:pPr>
            <w:r>
              <w:rPr>
                <w:szCs w:val="21"/>
              </w:rPr>
              <w:t>地下水观测</w:t>
            </w:r>
          </w:p>
        </w:tc>
        <w:tc>
          <w:tcPr>
            <w:tcW w:w="7374" w:type="dxa"/>
            <w:gridSpan w:val="4"/>
            <w:vAlign w:val="center"/>
          </w:tcPr>
          <w:p w:rsidR="00C223F5" w:rsidRDefault="005860D5">
            <w:pPr>
              <w:jc w:val="center"/>
              <w:rPr>
                <w:szCs w:val="21"/>
              </w:rPr>
            </w:pPr>
            <w:r>
              <w:rPr>
                <w:rFonts w:hint="eastAsia"/>
                <w:szCs w:val="21"/>
              </w:rPr>
              <w:t>3</w:t>
            </w:r>
            <w:r>
              <w:rPr>
                <w:szCs w:val="21"/>
              </w:rPr>
              <w:t>套</w:t>
            </w:r>
          </w:p>
        </w:tc>
      </w:tr>
      <w:tr w:rsidR="00C223F5">
        <w:trPr>
          <w:cantSplit/>
          <w:trHeight w:val="103"/>
          <w:jc w:val="center"/>
        </w:trPr>
        <w:tc>
          <w:tcPr>
            <w:tcW w:w="548" w:type="dxa"/>
            <w:vAlign w:val="center"/>
          </w:tcPr>
          <w:p w:rsidR="00C223F5" w:rsidRDefault="005860D5">
            <w:pPr>
              <w:jc w:val="center"/>
              <w:rPr>
                <w:szCs w:val="21"/>
              </w:rPr>
            </w:pPr>
            <w:r>
              <w:rPr>
                <w:szCs w:val="21"/>
              </w:rPr>
              <w:t>6</w:t>
            </w:r>
          </w:p>
        </w:tc>
        <w:tc>
          <w:tcPr>
            <w:tcW w:w="1631" w:type="dxa"/>
            <w:gridSpan w:val="2"/>
            <w:vAlign w:val="center"/>
          </w:tcPr>
          <w:p w:rsidR="00C223F5" w:rsidRDefault="005860D5">
            <w:pPr>
              <w:jc w:val="center"/>
              <w:rPr>
                <w:szCs w:val="21"/>
              </w:rPr>
            </w:pPr>
            <w:r>
              <w:rPr>
                <w:szCs w:val="21"/>
              </w:rPr>
              <w:t>地表岩移观测</w:t>
            </w:r>
          </w:p>
          <w:p w:rsidR="00C223F5" w:rsidRDefault="005860D5">
            <w:pPr>
              <w:jc w:val="center"/>
              <w:rPr>
                <w:szCs w:val="21"/>
              </w:rPr>
            </w:pPr>
            <w:r>
              <w:rPr>
                <w:szCs w:val="21"/>
              </w:rPr>
              <w:t>系统</w:t>
            </w:r>
          </w:p>
        </w:tc>
        <w:tc>
          <w:tcPr>
            <w:tcW w:w="7374" w:type="dxa"/>
            <w:gridSpan w:val="4"/>
            <w:vAlign w:val="center"/>
          </w:tcPr>
          <w:p w:rsidR="00C223F5" w:rsidRDefault="005860D5">
            <w:pPr>
              <w:jc w:val="center"/>
              <w:rPr>
                <w:szCs w:val="21"/>
              </w:rPr>
            </w:pPr>
            <w:r>
              <w:rPr>
                <w:szCs w:val="21"/>
              </w:rPr>
              <w:t>1</w:t>
            </w:r>
            <w:r>
              <w:rPr>
                <w:szCs w:val="21"/>
              </w:rPr>
              <w:t>套</w:t>
            </w:r>
          </w:p>
        </w:tc>
      </w:tr>
      <w:tr w:rsidR="00C223F5">
        <w:trPr>
          <w:cantSplit/>
          <w:trHeight w:val="167"/>
          <w:jc w:val="center"/>
        </w:trPr>
        <w:tc>
          <w:tcPr>
            <w:tcW w:w="548" w:type="dxa"/>
            <w:vAlign w:val="center"/>
          </w:tcPr>
          <w:p w:rsidR="00C223F5" w:rsidRDefault="005860D5">
            <w:pPr>
              <w:jc w:val="center"/>
              <w:rPr>
                <w:szCs w:val="21"/>
              </w:rPr>
            </w:pPr>
            <w:r>
              <w:rPr>
                <w:szCs w:val="21"/>
              </w:rPr>
              <w:t>7</w:t>
            </w:r>
          </w:p>
        </w:tc>
        <w:tc>
          <w:tcPr>
            <w:tcW w:w="1631" w:type="dxa"/>
            <w:gridSpan w:val="2"/>
            <w:vAlign w:val="center"/>
          </w:tcPr>
          <w:p w:rsidR="00C223F5" w:rsidRDefault="005860D5">
            <w:pPr>
              <w:jc w:val="center"/>
              <w:rPr>
                <w:szCs w:val="21"/>
              </w:rPr>
            </w:pPr>
            <w:r>
              <w:rPr>
                <w:szCs w:val="21"/>
              </w:rPr>
              <w:t>绿化</w:t>
            </w:r>
          </w:p>
        </w:tc>
        <w:tc>
          <w:tcPr>
            <w:tcW w:w="3769" w:type="dxa"/>
            <w:vAlign w:val="center"/>
          </w:tcPr>
          <w:p w:rsidR="00C223F5" w:rsidRDefault="005860D5">
            <w:pPr>
              <w:jc w:val="center"/>
              <w:rPr>
                <w:szCs w:val="21"/>
              </w:rPr>
            </w:pPr>
            <w:r>
              <w:rPr>
                <w:szCs w:val="21"/>
              </w:rPr>
              <w:t>绿化面积</w:t>
            </w:r>
          </w:p>
        </w:tc>
        <w:tc>
          <w:tcPr>
            <w:tcW w:w="484" w:type="dxa"/>
            <w:vAlign w:val="center"/>
          </w:tcPr>
          <w:p w:rsidR="00C223F5" w:rsidRDefault="005860D5">
            <w:pPr>
              <w:jc w:val="center"/>
              <w:rPr>
                <w:szCs w:val="21"/>
              </w:rPr>
            </w:pPr>
            <w:r>
              <w:rPr>
                <w:szCs w:val="21"/>
              </w:rPr>
              <w:t>hm</w:t>
            </w:r>
            <w:r>
              <w:rPr>
                <w:szCs w:val="21"/>
                <w:vertAlign w:val="superscript"/>
              </w:rPr>
              <w:t>2</w:t>
            </w:r>
          </w:p>
        </w:tc>
        <w:tc>
          <w:tcPr>
            <w:tcW w:w="506" w:type="dxa"/>
            <w:vAlign w:val="center"/>
          </w:tcPr>
          <w:p w:rsidR="00C223F5" w:rsidRDefault="005860D5">
            <w:pPr>
              <w:jc w:val="center"/>
              <w:rPr>
                <w:szCs w:val="21"/>
              </w:rPr>
            </w:pPr>
            <w:r>
              <w:rPr>
                <w:rFonts w:hint="eastAsia"/>
                <w:szCs w:val="21"/>
              </w:rPr>
              <w:t>0.95</w:t>
            </w:r>
          </w:p>
        </w:tc>
        <w:tc>
          <w:tcPr>
            <w:tcW w:w="2615" w:type="dxa"/>
            <w:vAlign w:val="center"/>
          </w:tcPr>
          <w:p w:rsidR="00C223F5" w:rsidRDefault="00C223F5">
            <w:pPr>
              <w:jc w:val="center"/>
              <w:rPr>
                <w:szCs w:val="21"/>
              </w:rPr>
            </w:pPr>
          </w:p>
        </w:tc>
      </w:tr>
      <w:tr w:rsidR="00C223F5">
        <w:trPr>
          <w:cantSplit/>
          <w:trHeight w:val="167"/>
          <w:jc w:val="center"/>
        </w:trPr>
        <w:tc>
          <w:tcPr>
            <w:tcW w:w="548" w:type="dxa"/>
            <w:vAlign w:val="center"/>
          </w:tcPr>
          <w:p w:rsidR="00C223F5" w:rsidRDefault="005860D5">
            <w:pPr>
              <w:jc w:val="center"/>
              <w:rPr>
                <w:szCs w:val="21"/>
              </w:rPr>
            </w:pPr>
            <w:r>
              <w:rPr>
                <w:szCs w:val="21"/>
              </w:rPr>
              <w:t>8</w:t>
            </w:r>
          </w:p>
        </w:tc>
        <w:tc>
          <w:tcPr>
            <w:tcW w:w="1631" w:type="dxa"/>
            <w:gridSpan w:val="2"/>
            <w:vAlign w:val="center"/>
          </w:tcPr>
          <w:p w:rsidR="00C223F5" w:rsidRDefault="005860D5">
            <w:pPr>
              <w:jc w:val="center"/>
              <w:rPr>
                <w:szCs w:val="21"/>
              </w:rPr>
            </w:pPr>
            <w:r>
              <w:rPr>
                <w:szCs w:val="21"/>
              </w:rPr>
              <w:t>生态恢复</w:t>
            </w:r>
          </w:p>
        </w:tc>
        <w:tc>
          <w:tcPr>
            <w:tcW w:w="3769" w:type="dxa"/>
            <w:vAlign w:val="center"/>
          </w:tcPr>
          <w:p w:rsidR="00C223F5" w:rsidRDefault="005860D5">
            <w:pPr>
              <w:jc w:val="center"/>
              <w:rPr>
                <w:szCs w:val="21"/>
              </w:rPr>
            </w:pPr>
            <w:r>
              <w:rPr>
                <w:szCs w:val="21"/>
              </w:rPr>
              <w:t>生态恢复面积</w:t>
            </w:r>
          </w:p>
        </w:tc>
        <w:tc>
          <w:tcPr>
            <w:tcW w:w="484" w:type="dxa"/>
            <w:vAlign w:val="center"/>
          </w:tcPr>
          <w:p w:rsidR="00C223F5" w:rsidRDefault="005860D5">
            <w:pPr>
              <w:jc w:val="center"/>
              <w:rPr>
                <w:szCs w:val="21"/>
              </w:rPr>
            </w:pPr>
            <w:r>
              <w:rPr>
                <w:szCs w:val="21"/>
              </w:rPr>
              <w:t>hm</w:t>
            </w:r>
            <w:r>
              <w:rPr>
                <w:szCs w:val="21"/>
                <w:vertAlign w:val="superscript"/>
              </w:rPr>
              <w:t>2</w:t>
            </w:r>
          </w:p>
        </w:tc>
        <w:tc>
          <w:tcPr>
            <w:tcW w:w="506" w:type="dxa"/>
            <w:vAlign w:val="center"/>
          </w:tcPr>
          <w:p w:rsidR="00C223F5" w:rsidRDefault="005860D5">
            <w:pPr>
              <w:jc w:val="center"/>
              <w:rPr>
                <w:szCs w:val="21"/>
              </w:rPr>
            </w:pPr>
            <w:r>
              <w:rPr>
                <w:rFonts w:hint="eastAsia"/>
                <w:szCs w:val="21"/>
              </w:rPr>
              <w:t>3.28</w:t>
            </w:r>
          </w:p>
        </w:tc>
        <w:tc>
          <w:tcPr>
            <w:tcW w:w="2615" w:type="dxa"/>
            <w:vAlign w:val="center"/>
          </w:tcPr>
          <w:p w:rsidR="00C223F5" w:rsidRDefault="00C223F5">
            <w:pPr>
              <w:jc w:val="center"/>
              <w:rPr>
                <w:szCs w:val="21"/>
              </w:rPr>
            </w:pPr>
          </w:p>
        </w:tc>
      </w:tr>
      <w:tr w:rsidR="00C223F5">
        <w:trPr>
          <w:cantSplit/>
          <w:trHeight w:val="356"/>
          <w:jc w:val="center"/>
        </w:trPr>
        <w:tc>
          <w:tcPr>
            <w:tcW w:w="548" w:type="dxa"/>
            <w:vAlign w:val="center"/>
          </w:tcPr>
          <w:p w:rsidR="00C223F5" w:rsidRDefault="005860D5">
            <w:pPr>
              <w:jc w:val="center"/>
              <w:rPr>
                <w:szCs w:val="21"/>
              </w:rPr>
            </w:pPr>
            <w:r>
              <w:rPr>
                <w:szCs w:val="21"/>
              </w:rPr>
              <w:t>9</w:t>
            </w:r>
          </w:p>
        </w:tc>
        <w:tc>
          <w:tcPr>
            <w:tcW w:w="1631" w:type="dxa"/>
            <w:gridSpan w:val="2"/>
            <w:vAlign w:val="center"/>
          </w:tcPr>
          <w:p w:rsidR="00C223F5" w:rsidRDefault="005860D5">
            <w:pPr>
              <w:jc w:val="center"/>
              <w:rPr>
                <w:szCs w:val="21"/>
              </w:rPr>
            </w:pPr>
            <w:r>
              <w:rPr>
                <w:szCs w:val="21"/>
              </w:rPr>
              <w:t>机构建设</w:t>
            </w:r>
          </w:p>
        </w:tc>
        <w:tc>
          <w:tcPr>
            <w:tcW w:w="7374" w:type="dxa"/>
            <w:gridSpan w:val="4"/>
            <w:vAlign w:val="center"/>
          </w:tcPr>
          <w:p w:rsidR="00C223F5" w:rsidRDefault="005860D5">
            <w:pPr>
              <w:jc w:val="center"/>
              <w:rPr>
                <w:szCs w:val="21"/>
              </w:rPr>
            </w:pPr>
            <w:r>
              <w:rPr>
                <w:szCs w:val="21"/>
              </w:rPr>
              <w:t>成立环保领导小组，由主要负责人任组长，并配备专（兼）职环保管理人员</w:t>
            </w:r>
            <w:r>
              <w:rPr>
                <w:szCs w:val="21"/>
              </w:rPr>
              <w:t>2</w:t>
            </w:r>
            <w:r>
              <w:rPr>
                <w:szCs w:val="21"/>
              </w:rPr>
              <w:t>名</w:t>
            </w:r>
          </w:p>
        </w:tc>
      </w:tr>
      <w:tr w:rsidR="00C223F5">
        <w:trPr>
          <w:cantSplit/>
          <w:trHeight w:val="356"/>
          <w:jc w:val="center"/>
        </w:trPr>
        <w:tc>
          <w:tcPr>
            <w:tcW w:w="548" w:type="dxa"/>
            <w:vAlign w:val="center"/>
          </w:tcPr>
          <w:p w:rsidR="00C223F5" w:rsidRDefault="005860D5">
            <w:pPr>
              <w:jc w:val="center"/>
              <w:rPr>
                <w:szCs w:val="21"/>
              </w:rPr>
            </w:pPr>
            <w:r>
              <w:rPr>
                <w:rFonts w:hint="eastAsia"/>
                <w:szCs w:val="21"/>
              </w:rPr>
              <w:t>10</w:t>
            </w:r>
          </w:p>
        </w:tc>
        <w:tc>
          <w:tcPr>
            <w:tcW w:w="1631" w:type="dxa"/>
            <w:gridSpan w:val="2"/>
            <w:vAlign w:val="center"/>
          </w:tcPr>
          <w:p w:rsidR="00C223F5" w:rsidRDefault="005860D5">
            <w:pPr>
              <w:jc w:val="center"/>
              <w:rPr>
                <w:szCs w:val="21"/>
              </w:rPr>
            </w:pPr>
            <w:r>
              <w:rPr>
                <w:szCs w:val="21"/>
              </w:rPr>
              <w:t>环境跟踪监测</w:t>
            </w:r>
          </w:p>
        </w:tc>
        <w:tc>
          <w:tcPr>
            <w:tcW w:w="7374" w:type="dxa"/>
            <w:gridSpan w:val="4"/>
            <w:vAlign w:val="center"/>
          </w:tcPr>
          <w:p w:rsidR="00C223F5" w:rsidRDefault="005860D5">
            <w:pPr>
              <w:jc w:val="center"/>
              <w:rPr>
                <w:szCs w:val="21"/>
              </w:rPr>
            </w:pPr>
            <w:r>
              <w:rPr>
                <w:szCs w:val="21"/>
              </w:rPr>
              <w:t>按跟踪监测计划实施环境保护日常监测的监测结果存档记录</w:t>
            </w:r>
          </w:p>
        </w:tc>
      </w:tr>
      <w:bookmarkEnd w:id="579"/>
      <w:bookmarkEnd w:id="580"/>
    </w:tbl>
    <w:p w:rsidR="00C223F5" w:rsidRDefault="00C223F5">
      <w:pPr>
        <w:spacing w:line="360" w:lineRule="auto"/>
        <w:ind w:firstLineChars="200" w:firstLine="420"/>
        <w:rPr>
          <w:color w:val="FF0000"/>
        </w:rPr>
      </w:pPr>
    </w:p>
    <w:p w:rsidR="00C223F5" w:rsidRDefault="00C223F5">
      <w:pPr>
        <w:rPr>
          <w:color w:val="FF0000"/>
        </w:rPr>
        <w:sectPr w:rsidR="00C223F5">
          <w:pgSz w:w="11906" w:h="16838"/>
          <w:pgMar w:top="1440" w:right="1701" w:bottom="1440" w:left="1701" w:header="851" w:footer="992" w:gutter="0"/>
          <w:cols w:space="425"/>
          <w:docGrid w:linePitch="312"/>
        </w:sectPr>
      </w:pPr>
    </w:p>
    <w:p w:rsidR="00C223F5" w:rsidRDefault="005860D5" w:rsidP="004835BD">
      <w:pPr>
        <w:pStyle w:val="1"/>
        <w:numPr>
          <w:ilvl w:val="0"/>
          <w:numId w:val="0"/>
        </w:numPr>
        <w:spacing w:before="0" w:after="0" w:line="360" w:lineRule="auto"/>
      </w:pPr>
      <w:bookmarkStart w:id="586" w:name="_Toc533604379"/>
      <w:bookmarkStart w:id="587" w:name="_Toc488660745"/>
      <w:bookmarkStart w:id="588" w:name="_Toc533604799"/>
      <w:bookmarkStart w:id="589" w:name="_Toc16785349"/>
      <w:bookmarkStart w:id="590" w:name="_Toc142208219"/>
      <w:bookmarkEnd w:id="558"/>
      <w:bookmarkEnd w:id="559"/>
      <w:r>
        <w:rPr>
          <w:rFonts w:hint="eastAsia"/>
        </w:rPr>
        <w:lastRenderedPageBreak/>
        <w:t>8</w:t>
      </w:r>
      <w:r>
        <w:rPr>
          <w:rFonts w:hint="eastAsia"/>
        </w:rPr>
        <w:t>、</w:t>
      </w:r>
      <w:r>
        <w:t>结论与建议</w:t>
      </w:r>
      <w:bookmarkEnd w:id="586"/>
      <w:bookmarkEnd w:id="587"/>
      <w:bookmarkEnd w:id="588"/>
      <w:bookmarkEnd w:id="589"/>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591" w:name="_Toc229801021"/>
      <w:bookmarkStart w:id="592" w:name="_Toc218855553"/>
      <w:bookmarkStart w:id="593" w:name="_Toc533604380"/>
      <w:bookmarkStart w:id="594" w:name="_Toc488660746"/>
      <w:bookmarkStart w:id="595" w:name="_Toc533604800"/>
      <w:bookmarkStart w:id="596" w:name="_Toc16785350"/>
      <w:r>
        <w:rPr>
          <w:rFonts w:ascii="Times New Roman" w:eastAsia="宋体" w:hAnsi="Times New Roman" w:hint="eastAsia"/>
          <w:b/>
          <w:bCs w:val="0"/>
          <w:szCs w:val="30"/>
        </w:rPr>
        <w:t>8</w:t>
      </w:r>
      <w:r>
        <w:rPr>
          <w:rFonts w:ascii="Times New Roman" w:eastAsia="宋体" w:hAnsi="Times New Roman"/>
          <w:b/>
          <w:bCs w:val="0"/>
          <w:szCs w:val="30"/>
        </w:rPr>
        <w:t>.1</w:t>
      </w:r>
      <w:r>
        <w:rPr>
          <w:rFonts w:ascii="Times New Roman" w:eastAsia="宋体" w:hAnsi="Times New Roman"/>
          <w:b/>
          <w:bCs w:val="0"/>
          <w:szCs w:val="30"/>
        </w:rPr>
        <w:t>项目概况</w:t>
      </w:r>
      <w:bookmarkEnd w:id="591"/>
      <w:bookmarkEnd w:id="592"/>
      <w:r>
        <w:rPr>
          <w:rFonts w:ascii="Times New Roman" w:eastAsia="宋体" w:hAnsi="Times New Roman" w:hint="eastAsia"/>
          <w:b/>
          <w:bCs w:val="0"/>
          <w:szCs w:val="30"/>
        </w:rPr>
        <w:t>及主要影响结论</w:t>
      </w:r>
      <w:bookmarkEnd w:id="593"/>
      <w:bookmarkEnd w:id="594"/>
      <w:bookmarkEnd w:id="595"/>
      <w:bookmarkEnd w:id="596"/>
    </w:p>
    <w:p w:rsidR="00C223F5" w:rsidRDefault="005860D5" w:rsidP="004835BD">
      <w:pPr>
        <w:pStyle w:val="3"/>
        <w:numPr>
          <w:ilvl w:val="0"/>
          <w:numId w:val="0"/>
        </w:numPr>
        <w:spacing w:before="0" w:after="0" w:line="360" w:lineRule="auto"/>
        <w:ind w:left="170"/>
        <w:rPr>
          <w:rFonts w:eastAsia="宋体"/>
          <w:b/>
          <w:bCs w:val="0"/>
          <w:sz w:val="28"/>
          <w:szCs w:val="28"/>
        </w:rPr>
      </w:pPr>
      <w:bookmarkStart w:id="597" w:name="_Toc533604381"/>
      <w:bookmarkStart w:id="598" w:name="_Toc533604801"/>
      <w:bookmarkStart w:id="599" w:name="_Toc16785351"/>
      <w:r>
        <w:rPr>
          <w:rFonts w:eastAsia="宋体" w:hint="eastAsia"/>
          <w:b/>
          <w:bCs w:val="0"/>
          <w:sz w:val="28"/>
          <w:szCs w:val="28"/>
        </w:rPr>
        <w:t>8.1.1</w:t>
      </w:r>
      <w:r>
        <w:rPr>
          <w:rFonts w:eastAsia="宋体" w:hint="eastAsia"/>
          <w:b/>
          <w:bCs w:val="0"/>
          <w:sz w:val="28"/>
          <w:szCs w:val="28"/>
        </w:rPr>
        <w:t>项目概况</w:t>
      </w:r>
      <w:bookmarkEnd w:id="597"/>
      <w:bookmarkEnd w:id="598"/>
      <w:bookmarkEnd w:id="599"/>
    </w:p>
    <w:p w:rsidR="00C223F5" w:rsidRDefault="005860D5">
      <w:pPr>
        <w:spacing w:line="360" w:lineRule="auto"/>
        <w:ind w:firstLineChars="200" w:firstLine="480"/>
        <w:rPr>
          <w:sz w:val="24"/>
        </w:rPr>
      </w:pPr>
      <w:r>
        <w:rPr>
          <w:rFonts w:hAnsi="宋体"/>
          <w:sz w:val="24"/>
        </w:rPr>
        <w:t>（</w:t>
      </w:r>
      <w:r>
        <w:rPr>
          <w:sz w:val="24"/>
        </w:rPr>
        <w:t>1</w:t>
      </w:r>
      <w:r>
        <w:rPr>
          <w:rFonts w:hAnsi="宋体"/>
          <w:sz w:val="24"/>
        </w:rPr>
        <w:t>）交通位置</w:t>
      </w:r>
    </w:p>
    <w:p w:rsidR="00C223F5" w:rsidRDefault="005860D5">
      <w:pPr>
        <w:tabs>
          <w:tab w:val="left" w:pos="6565"/>
        </w:tabs>
        <w:adjustRightInd w:val="0"/>
        <w:snapToGrid w:val="0"/>
        <w:spacing w:line="360" w:lineRule="auto"/>
        <w:ind w:firstLineChars="200" w:firstLine="480"/>
        <w:rPr>
          <w:sz w:val="24"/>
        </w:rPr>
      </w:pPr>
      <w:r>
        <w:rPr>
          <w:sz w:val="24"/>
        </w:rPr>
        <w:t>横山县天云煤矿位于陕西省横山县城东南部，距离横山县城约</w:t>
      </w:r>
      <w:r>
        <w:rPr>
          <w:sz w:val="24"/>
        </w:rPr>
        <w:t>45km</w:t>
      </w:r>
      <w:r>
        <w:rPr>
          <w:sz w:val="24"/>
        </w:rPr>
        <w:t>，行政区划隶属横山县石湾镇、魏家楼乡管辖。煤矿地理坐标为：</w:t>
      </w:r>
      <w:r>
        <w:rPr>
          <w:rFonts w:hAnsi="宋体"/>
          <w:sz w:val="24"/>
        </w:rPr>
        <w:t>东经</w:t>
      </w:r>
      <w:r>
        <w:rPr>
          <w:sz w:val="24"/>
        </w:rPr>
        <w:t>109°25′43″</w:t>
      </w:r>
      <w:r>
        <w:rPr>
          <w:rFonts w:hAnsi="宋体"/>
          <w:sz w:val="24"/>
        </w:rPr>
        <w:t>～</w:t>
      </w:r>
      <w:r>
        <w:rPr>
          <w:sz w:val="24"/>
        </w:rPr>
        <w:t>109°27′57″</w:t>
      </w:r>
      <w:r>
        <w:rPr>
          <w:rFonts w:hAnsi="宋体"/>
          <w:sz w:val="24"/>
        </w:rPr>
        <w:t>，北纬</w:t>
      </w:r>
      <w:r>
        <w:rPr>
          <w:sz w:val="24"/>
        </w:rPr>
        <w:t>37°32′56″</w:t>
      </w:r>
      <w:r>
        <w:rPr>
          <w:rFonts w:hAnsi="宋体"/>
          <w:sz w:val="24"/>
        </w:rPr>
        <w:t>～</w:t>
      </w:r>
      <w:r>
        <w:rPr>
          <w:sz w:val="24"/>
        </w:rPr>
        <w:t>37°34′18″</w:t>
      </w:r>
      <w:r>
        <w:rPr>
          <w:rFonts w:hAnsi="宋体"/>
          <w:sz w:val="24"/>
        </w:rPr>
        <w:t>之间</w:t>
      </w:r>
      <w:r>
        <w:rPr>
          <w:rFonts w:hAnsi="宋体"/>
          <w:snapToGrid w:val="0"/>
          <w:kern w:val="0"/>
          <w:sz w:val="24"/>
        </w:rPr>
        <w:t>。</w:t>
      </w:r>
    </w:p>
    <w:p w:rsidR="00C223F5" w:rsidRDefault="005860D5">
      <w:pPr>
        <w:spacing w:line="360" w:lineRule="auto"/>
        <w:ind w:firstLineChars="200" w:firstLine="480"/>
        <w:rPr>
          <w:sz w:val="24"/>
        </w:rPr>
      </w:pPr>
      <w:r>
        <w:rPr>
          <w:rFonts w:hAnsi="宋体"/>
          <w:sz w:val="24"/>
        </w:rPr>
        <w:t>横山县天云煤矿</w:t>
      </w:r>
      <w:r>
        <w:rPr>
          <w:rFonts w:hAnsi="宋体"/>
          <w:snapToGrid w:val="0"/>
          <w:sz w:val="24"/>
        </w:rPr>
        <w:t>地处陕西</w:t>
      </w:r>
      <w:r>
        <w:rPr>
          <w:sz w:val="24"/>
        </w:rPr>
        <w:t>“</w:t>
      </w:r>
      <w:r>
        <w:rPr>
          <w:rFonts w:hAnsi="宋体"/>
          <w:snapToGrid w:val="0"/>
          <w:sz w:val="24"/>
        </w:rPr>
        <w:t>米</w:t>
      </w:r>
      <w:r>
        <w:rPr>
          <w:sz w:val="24"/>
        </w:rPr>
        <w:t>”</w:t>
      </w:r>
      <w:r>
        <w:rPr>
          <w:rFonts w:hAnsi="宋体"/>
          <w:snapToGrid w:val="0"/>
          <w:sz w:val="24"/>
        </w:rPr>
        <w:t>字型公路网内，</w:t>
      </w:r>
      <w:r>
        <w:rPr>
          <w:sz w:val="24"/>
        </w:rPr>
        <w:t>307</w:t>
      </w:r>
      <w:r>
        <w:rPr>
          <w:rFonts w:hAnsi="宋体"/>
          <w:sz w:val="24"/>
        </w:rPr>
        <w:t>国道（歧口</w:t>
      </w:r>
      <w:r>
        <w:rPr>
          <w:sz w:val="24"/>
        </w:rPr>
        <w:t>—</w:t>
      </w:r>
      <w:r>
        <w:rPr>
          <w:rFonts w:hAnsi="宋体"/>
          <w:sz w:val="24"/>
        </w:rPr>
        <w:t>银川）横穿煤矿中部，青（岛）</w:t>
      </w:r>
      <w:r>
        <w:rPr>
          <w:sz w:val="24"/>
        </w:rPr>
        <w:t>—</w:t>
      </w:r>
      <w:r>
        <w:rPr>
          <w:rFonts w:hAnsi="宋体"/>
          <w:sz w:val="24"/>
        </w:rPr>
        <w:t>银（川）高速公路及太（原）中（卫）银（川）铁路从煤矿北部穿过，各乡村之间有简易公路相通，并与</w:t>
      </w:r>
      <w:r>
        <w:rPr>
          <w:rFonts w:hAnsi="宋体"/>
          <w:sz w:val="24"/>
        </w:rPr>
        <w:t>210</w:t>
      </w:r>
      <w:r>
        <w:rPr>
          <w:rFonts w:hAnsi="宋体"/>
          <w:sz w:val="24"/>
        </w:rPr>
        <w:t>国道相连。</w:t>
      </w:r>
      <w:r>
        <w:rPr>
          <w:rFonts w:hAnsi="宋体" w:hint="eastAsia"/>
          <w:bCs/>
          <w:sz w:val="24"/>
        </w:rPr>
        <w:t>项目区周边</w:t>
      </w:r>
      <w:r>
        <w:rPr>
          <w:rFonts w:hAnsi="宋体"/>
          <w:bCs/>
          <w:sz w:val="24"/>
        </w:rPr>
        <w:t>公路和铁路运输运输条件良好。</w:t>
      </w:r>
    </w:p>
    <w:p w:rsidR="00C223F5" w:rsidRDefault="005860D5">
      <w:pPr>
        <w:spacing w:line="360" w:lineRule="auto"/>
        <w:ind w:firstLineChars="200" w:firstLine="480"/>
        <w:rPr>
          <w:sz w:val="24"/>
        </w:rPr>
      </w:pPr>
      <w:r>
        <w:rPr>
          <w:sz w:val="24"/>
        </w:rPr>
        <w:t>（</w:t>
      </w:r>
      <w:r>
        <w:rPr>
          <w:sz w:val="24"/>
        </w:rPr>
        <w:t>2</w:t>
      </w:r>
      <w:r>
        <w:rPr>
          <w:sz w:val="24"/>
        </w:rPr>
        <w:t>）基本概况</w:t>
      </w:r>
    </w:p>
    <w:p w:rsidR="00C223F5" w:rsidRDefault="005860D5">
      <w:pPr>
        <w:spacing w:line="360" w:lineRule="auto"/>
        <w:ind w:firstLineChars="200" w:firstLine="480"/>
        <w:rPr>
          <w:sz w:val="24"/>
          <w:szCs w:val="22"/>
        </w:rPr>
      </w:pPr>
      <w:r>
        <w:rPr>
          <w:rFonts w:hint="eastAsia"/>
          <w:sz w:val="24"/>
          <w:szCs w:val="22"/>
        </w:rPr>
        <w:t>原天云煤矿</w:t>
      </w:r>
      <w:r>
        <w:rPr>
          <w:rFonts w:hAnsi="宋体"/>
          <w:sz w:val="24"/>
        </w:rPr>
        <w:t>井田面积</w:t>
      </w:r>
      <w:r>
        <w:rPr>
          <w:rFonts w:hint="eastAsia"/>
          <w:sz w:val="24"/>
        </w:rPr>
        <w:t>5.95</w:t>
      </w:r>
      <w:r>
        <w:rPr>
          <w:sz w:val="24"/>
        </w:rPr>
        <w:t>km</w:t>
      </w:r>
      <w:r>
        <w:rPr>
          <w:sz w:val="24"/>
          <w:vertAlign w:val="superscript"/>
        </w:rPr>
        <w:t>2</w:t>
      </w:r>
      <w:r>
        <w:rPr>
          <w:rFonts w:hAnsi="宋体"/>
          <w:sz w:val="24"/>
        </w:rPr>
        <w:t>，</w:t>
      </w:r>
      <w:r>
        <w:rPr>
          <w:sz w:val="24"/>
        </w:rPr>
        <w:t>开采</w:t>
      </w:r>
      <w:r>
        <w:rPr>
          <w:rFonts w:hAnsi="宋体"/>
          <w:sz w:val="24"/>
        </w:rPr>
        <w:t>煤层为</w:t>
      </w:r>
      <w:r>
        <w:rPr>
          <w:rFonts w:hint="eastAsia"/>
          <w:sz w:val="24"/>
        </w:rPr>
        <w:t>4</w:t>
      </w:r>
      <w:r>
        <w:rPr>
          <w:sz w:val="24"/>
          <w:vertAlign w:val="superscript"/>
        </w:rPr>
        <w:t>-1</w:t>
      </w:r>
      <w:r>
        <w:rPr>
          <w:sz w:val="24"/>
        </w:rPr>
        <w:t>号煤，</w:t>
      </w:r>
      <w:r>
        <w:rPr>
          <w:rFonts w:hint="eastAsia"/>
          <w:sz w:val="24"/>
          <w:szCs w:val="22"/>
        </w:rPr>
        <w:t>属于原单井保留矿井，</w:t>
      </w:r>
      <w:r>
        <w:rPr>
          <w:sz w:val="24"/>
          <w:szCs w:val="22"/>
        </w:rPr>
        <w:t>陕西省煤炭生产安全监督</w:t>
      </w:r>
      <w:r>
        <w:rPr>
          <w:rFonts w:hint="eastAsia"/>
          <w:sz w:val="24"/>
          <w:szCs w:val="22"/>
        </w:rPr>
        <w:t>管理</w:t>
      </w:r>
      <w:r>
        <w:rPr>
          <w:sz w:val="24"/>
          <w:szCs w:val="22"/>
        </w:rPr>
        <w:t>局</w:t>
      </w:r>
      <w:r>
        <w:rPr>
          <w:rFonts w:hint="eastAsia"/>
          <w:sz w:val="24"/>
          <w:szCs w:val="22"/>
        </w:rPr>
        <w:t>以“陕煤局发</w:t>
      </w:r>
      <w:r>
        <w:rPr>
          <w:rFonts w:hint="eastAsia"/>
          <w:sz w:val="24"/>
          <w:szCs w:val="22"/>
        </w:rPr>
        <w:t>[2013]101</w:t>
      </w:r>
      <w:r>
        <w:rPr>
          <w:rFonts w:hint="eastAsia"/>
          <w:sz w:val="24"/>
          <w:szCs w:val="22"/>
        </w:rPr>
        <w:t>号”核定该矿井生产能力为</w:t>
      </w:r>
      <w:r>
        <w:rPr>
          <w:rFonts w:hint="eastAsia"/>
          <w:sz w:val="24"/>
          <w:szCs w:val="22"/>
        </w:rPr>
        <w:t>0.60Mt/a</w:t>
      </w:r>
      <w:r>
        <w:rPr>
          <w:rFonts w:hint="eastAsia"/>
          <w:sz w:val="24"/>
          <w:szCs w:val="22"/>
        </w:rPr>
        <w:t>；榆林市环境保护局以“榆政环发</w:t>
      </w:r>
      <w:r>
        <w:rPr>
          <w:rFonts w:hint="eastAsia"/>
          <w:sz w:val="24"/>
          <w:szCs w:val="22"/>
        </w:rPr>
        <w:t>[</w:t>
      </w:r>
      <w:r>
        <w:rPr>
          <w:sz w:val="24"/>
          <w:szCs w:val="22"/>
        </w:rPr>
        <w:t>201</w:t>
      </w:r>
      <w:r>
        <w:rPr>
          <w:rFonts w:hint="eastAsia"/>
          <w:sz w:val="24"/>
          <w:szCs w:val="22"/>
        </w:rPr>
        <w:t>1]26</w:t>
      </w:r>
      <w:r>
        <w:rPr>
          <w:sz w:val="24"/>
          <w:szCs w:val="22"/>
        </w:rPr>
        <w:t>号</w:t>
      </w:r>
      <w:r>
        <w:rPr>
          <w:rFonts w:hint="eastAsia"/>
          <w:sz w:val="24"/>
          <w:szCs w:val="22"/>
        </w:rPr>
        <w:t>”批复原天云煤矿项目环评，榆林市环境保护局以“榆政环批复</w:t>
      </w:r>
      <w:r>
        <w:rPr>
          <w:rFonts w:hint="eastAsia"/>
          <w:sz w:val="24"/>
          <w:szCs w:val="22"/>
        </w:rPr>
        <w:t>[2017]266</w:t>
      </w:r>
      <w:r>
        <w:rPr>
          <w:rFonts w:hint="eastAsia"/>
          <w:sz w:val="24"/>
          <w:szCs w:val="22"/>
        </w:rPr>
        <w:t>号”批复原天云煤矿资源整合项目竣工环境保护验收予以通过。</w:t>
      </w:r>
    </w:p>
    <w:p w:rsidR="00584B9F" w:rsidRPr="00925B84" w:rsidRDefault="005860D5" w:rsidP="00584B9F">
      <w:pPr>
        <w:adjustRightInd w:val="0"/>
        <w:snapToGrid w:val="0"/>
        <w:spacing w:line="360" w:lineRule="auto"/>
        <w:ind w:firstLineChars="200" w:firstLine="480"/>
        <w:rPr>
          <w:rFonts w:hAnsi="宋体"/>
        </w:rPr>
      </w:pPr>
      <w:r>
        <w:rPr>
          <w:rFonts w:hAnsi="宋体"/>
          <w:sz w:val="24"/>
        </w:rPr>
        <w:t>根据《陕西省人民政</w:t>
      </w:r>
      <w:r w:rsidRPr="00584B9F">
        <w:rPr>
          <w:rFonts w:hAnsi="宋体"/>
          <w:sz w:val="24"/>
        </w:rPr>
        <w:t>府关于横山县天云煤矿与沈石畔勘查区煤矿资源整合问题的批复》</w:t>
      </w:r>
      <w:r w:rsidRPr="00584B9F">
        <w:rPr>
          <w:rFonts w:hAnsi="宋体" w:hint="eastAsia"/>
          <w:sz w:val="24"/>
        </w:rPr>
        <w:t>（</w:t>
      </w:r>
      <w:r w:rsidRPr="00584B9F">
        <w:rPr>
          <w:rFonts w:hAnsi="宋体"/>
          <w:sz w:val="24"/>
        </w:rPr>
        <w:t>陕政函</w:t>
      </w:r>
      <w:r w:rsidRPr="00584B9F">
        <w:rPr>
          <w:rFonts w:hAnsi="宋体"/>
          <w:sz w:val="24"/>
        </w:rPr>
        <w:t>[2014]63</w:t>
      </w:r>
      <w:r w:rsidRPr="00584B9F">
        <w:rPr>
          <w:rFonts w:hAnsi="宋体"/>
          <w:sz w:val="24"/>
        </w:rPr>
        <w:t>号</w:t>
      </w:r>
      <w:r w:rsidRPr="00584B9F">
        <w:rPr>
          <w:rFonts w:hAnsi="宋体" w:hint="eastAsia"/>
          <w:sz w:val="24"/>
        </w:rPr>
        <w:t>）以及</w:t>
      </w:r>
      <w:r w:rsidRPr="00584B9F">
        <w:rPr>
          <w:rFonts w:hint="eastAsia"/>
          <w:sz w:val="24"/>
        </w:rPr>
        <w:t>《关于划定横山县天云煤矿</w:t>
      </w:r>
      <w:r w:rsidRPr="00584B9F">
        <w:rPr>
          <w:sz w:val="24"/>
        </w:rPr>
        <w:t>矿区范围</w:t>
      </w:r>
      <w:r w:rsidRPr="00584B9F">
        <w:rPr>
          <w:rFonts w:hint="eastAsia"/>
          <w:sz w:val="24"/>
        </w:rPr>
        <w:t>的批复》（</w:t>
      </w:r>
      <w:r w:rsidRPr="00584B9F">
        <w:rPr>
          <w:rFonts w:hAnsi="宋体" w:hint="eastAsia"/>
          <w:sz w:val="24"/>
        </w:rPr>
        <w:t>陕国土资矿采划</w:t>
      </w:r>
      <w:r w:rsidRPr="00584B9F">
        <w:rPr>
          <w:rFonts w:hAnsi="宋体" w:hint="eastAsia"/>
          <w:sz w:val="24"/>
        </w:rPr>
        <w:t>[20</w:t>
      </w:r>
      <w:r w:rsidRPr="00584B9F">
        <w:rPr>
          <w:sz w:val="24"/>
        </w:rPr>
        <w:t>1</w:t>
      </w:r>
      <w:r w:rsidRPr="00584B9F">
        <w:rPr>
          <w:rFonts w:hint="eastAsia"/>
          <w:sz w:val="24"/>
        </w:rPr>
        <w:t>5</w:t>
      </w:r>
      <w:r w:rsidRPr="00584B9F">
        <w:rPr>
          <w:sz w:val="24"/>
        </w:rPr>
        <w:t>]1</w:t>
      </w:r>
      <w:r w:rsidRPr="00584B9F">
        <w:rPr>
          <w:rFonts w:hint="eastAsia"/>
          <w:sz w:val="24"/>
        </w:rPr>
        <w:t>0</w:t>
      </w:r>
      <w:r w:rsidRPr="00584B9F">
        <w:rPr>
          <w:sz w:val="24"/>
        </w:rPr>
        <w:t>号</w:t>
      </w:r>
      <w:r w:rsidRPr="00584B9F">
        <w:rPr>
          <w:rFonts w:hint="eastAsia"/>
          <w:sz w:val="24"/>
        </w:rPr>
        <w:t>）文件要求</w:t>
      </w:r>
      <w:r w:rsidRPr="00584B9F">
        <w:rPr>
          <w:rFonts w:hAnsi="宋体"/>
          <w:sz w:val="24"/>
        </w:rPr>
        <w:t>，</w:t>
      </w:r>
      <w:r w:rsidRPr="00584B9F">
        <w:rPr>
          <w:rFonts w:hAnsi="宋体" w:hint="eastAsia"/>
          <w:sz w:val="24"/>
        </w:rPr>
        <w:t>天云煤矿资源整合工程</w:t>
      </w:r>
      <w:r w:rsidRPr="00584B9F">
        <w:rPr>
          <w:rFonts w:hAnsi="宋体"/>
          <w:sz w:val="24"/>
        </w:rPr>
        <w:t>由原天云煤矿、横山县沈石畔勘查区以及部分石湾煤矿地质普查区三部分整合而成，</w:t>
      </w:r>
      <w:r w:rsidRPr="00584B9F">
        <w:rPr>
          <w:rFonts w:hAnsi="宋体" w:hint="eastAsia"/>
          <w:sz w:val="24"/>
        </w:rPr>
        <w:t>井田</w:t>
      </w:r>
      <w:r w:rsidRPr="00584B9F">
        <w:rPr>
          <w:rFonts w:hAnsi="宋体"/>
          <w:sz w:val="24"/>
        </w:rPr>
        <w:t>面积</w:t>
      </w:r>
      <w:r w:rsidRPr="00584B9F">
        <w:rPr>
          <w:rFonts w:hAnsi="宋体"/>
          <w:sz w:val="24"/>
        </w:rPr>
        <w:t>67.1241km</w:t>
      </w:r>
      <w:r w:rsidRPr="00584B9F">
        <w:rPr>
          <w:rFonts w:hAnsi="宋体"/>
          <w:sz w:val="24"/>
          <w:vertAlign w:val="superscript"/>
        </w:rPr>
        <w:t>2</w:t>
      </w:r>
      <w:r w:rsidRPr="00584B9F">
        <w:rPr>
          <w:rFonts w:hAnsi="宋体"/>
          <w:sz w:val="24"/>
        </w:rPr>
        <w:t>，</w:t>
      </w:r>
      <w:r w:rsidRPr="00584B9F">
        <w:rPr>
          <w:rFonts w:hAnsi="宋体" w:hint="eastAsia"/>
          <w:sz w:val="24"/>
        </w:rPr>
        <w:t>批准开采</w:t>
      </w:r>
      <w:r w:rsidRPr="00584B9F">
        <w:rPr>
          <w:rFonts w:hAnsi="宋体" w:hint="eastAsia"/>
          <w:sz w:val="24"/>
        </w:rPr>
        <w:t>4</w:t>
      </w:r>
      <w:r w:rsidRPr="00584B9F">
        <w:rPr>
          <w:rFonts w:hAnsi="宋体" w:hint="eastAsia"/>
          <w:sz w:val="24"/>
          <w:vertAlign w:val="superscript"/>
        </w:rPr>
        <w:t>-1</w:t>
      </w:r>
      <w:r w:rsidRPr="00584B9F">
        <w:rPr>
          <w:rFonts w:hAnsi="宋体" w:hint="eastAsia"/>
          <w:sz w:val="24"/>
        </w:rPr>
        <w:t>号和</w:t>
      </w:r>
      <w:r w:rsidRPr="00584B9F">
        <w:rPr>
          <w:rFonts w:hAnsi="宋体" w:hint="eastAsia"/>
          <w:sz w:val="24"/>
        </w:rPr>
        <w:t>4</w:t>
      </w:r>
      <w:r w:rsidRPr="00584B9F">
        <w:rPr>
          <w:rFonts w:hAnsi="宋体" w:hint="eastAsia"/>
          <w:sz w:val="24"/>
          <w:vertAlign w:val="superscript"/>
        </w:rPr>
        <w:t>-2</w:t>
      </w:r>
      <w:r w:rsidRPr="00584B9F">
        <w:rPr>
          <w:rFonts w:hAnsi="宋体" w:hint="eastAsia"/>
          <w:sz w:val="24"/>
        </w:rPr>
        <w:t>号煤层，</w:t>
      </w:r>
      <w:r w:rsidRPr="00584B9F">
        <w:rPr>
          <w:rFonts w:hAnsi="宋体"/>
          <w:sz w:val="24"/>
        </w:rPr>
        <w:t>生产能力</w:t>
      </w:r>
      <w:r w:rsidRPr="00584B9F">
        <w:rPr>
          <w:rFonts w:hAnsi="宋体" w:hint="eastAsia"/>
          <w:sz w:val="24"/>
        </w:rPr>
        <w:t>0.</w:t>
      </w:r>
      <w:r w:rsidRPr="00584B9F">
        <w:rPr>
          <w:rFonts w:hAnsi="宋体"/>
          <w:sz w:val="24"/>
        </w:rPr>
        <w:t>90</w:t>
      </w:r>
      <w:r w:rsidRPr="00584B9F">
        <w:rPr>
          <w:rFonts w:hAnsi="宋体" w:hint="eastAsia"/>
          <w:sz w:val="24"/>
        </w:rPr>
        <w:t xml:space="preserve"> Mt/a</w:t>
      </w:r>
      <w:r w:rsidRPr="00584B9F">
        <w:rPr>
          <w:rFonts w:hAnsi="宋体" w:hint="eastAsia"/>
          <w:sz w:val="24"/>
        </w:rPr>
        <w:t>，</w:t>
      </w:r>
      <w:r w:rsidRPr="00584B9F">
        <w:rPr>
          <w:rFonts w:hAnsi="宋体"/>
          <w:sz w:val="24"/>
        </w:rPr>
        <w:t>服务年限</w:t>
      </w:r>
      <w:r w:rsidRPr="00584B9F">
        <w:rPr>
          <w:rFonts w:hAnsi="宋体" w:hint="eastAsia"/>
          <w:sz w:val="24"/>
        </w:rPr>
        <w:t>39.0</w:t>
      </w:r>
      <w:r w:rsidRPr="00584B9F">
        <w:rPr>
          <w:rFonts w:hAnsi="宋体"/>
          <w:sz w:val="24"/>
        </w:rPr>
        <w:t>a</w:t>
      </w:r>
      <w:r w:rsidRPr="00584B9F">
        <w:rPr>
          <w:rFonts w:hAnsi="宋体"/>
          <w:sz w:val="24"/>
        </w:rPr>
        <w:t>。</w:t>
      </w:r>
      <w:r w:rsidR="00584B9F" w:rsidRPr="00584B9F">
        <w:rPr>
          <w:sz w:val="24"/>
        </w:rPr>
        <w:t>陕西省煤炭生产安全监督管理局以</w:t>
      </w:r>
      <w:r w:rsidR="00584B9F" w:rsidRPr="00584B9F">
        <w:rPr>
          <w:rFonts w:hAnsi="宋体"/>
          <w:sz w:val="24"/>
        </w:rPr>
        <w:t>“</w:t>
      </w:r>
      <w:r w:rsidR="00584B9F" w:rsidRPr="00584B9F">
        <w:rPr>
          <w:sz w:val="24"/>
        </w:rPr>
        <w:t>陕煤局复</w:t>
      </w:r>
      <w:r w:rsidR="00584B9F" w:rsidRPr="00584B9F">
        <w:rPr>
          <w:sz w:val="24"/>
        </w:rPr>
        <w:t>[201</w:t>
      </w:r>
      <w:r w:rsidR="00584B9F" w:rsidRPr="00584B9F">
        <w:rPr>
          <w:rFonts w:hint="eastAsia"/>
          <w:sz w:val="24"/>
        </w:rPr>
        <w:t>8</w:t>
      </w:r>
      <w:r w:rsidR="00584B9F" w:rsidRPr="00584B9F">
        <w:rPr>
          <w:sz w:val="24"/>
        </w:rPr>
        <w:t>]1</w:t>
      </w:r>
      <w:r w:rsidR="00584B9F" w:rsidRPr="00584B9F">
        <w:rPr>
          <w:rFonts w:hint="eastAsia"/>
          <w:sz w:val="24"/>
        </w:rPr>
        <w:t>10</w:t>
      </w:r>
      <w:r w:rsidR="00584B9F" w:rsidRPr="00584B9F">
        <w:rPr>
          <w:sz w:val="24"/>
        </w:rPr>
        <w:t>号</w:t>
      </w:r>
      <w:r w:rsidR="00584B9F" w:rsidRPr="00584B9F">
        <w:rPr>
          <w:rFonts w:hAnsi="宋体"/>
          <w:sz w:val="24"/>
        </w:rPr>
        <w:t>”</w:t>
      </w:r>
      <w:r w:rsidR="00584B9F" w:rsidRPr="00584B9F">
        <w:rPr>
          <w:sz w:val="24"/>
        </w:rPr>
        <w:t xml:space="preserve"> </w:t>
      </w:r>
      <w:r w:rsidR="00584B9F" w:rsidRPr="00584B9F">
        <w:rPr>
          <w:sz w:val="24"/>
        </w:rPr>
        <w:t>批复本项目设计</w:t>
      </w:r>
      <w:r w:rsidR="00584B9F" w:rsidRPr="00584B9F">
        <w:rPr>
          <w:rFonts w:hint="eastAsia"/>
          <w:sz w:val="24"/>
        </w:rPr>
        <w:t>。</w:t>
      </w:r>
      <w:r w:rsidR="00584B9F" w:rsidRPr="00584B9F">
        <w:rPr>
          <w:rFonts w:hint="eastAsia"/>
          <w:bCs/>
          <w:sz w:val="24"/>
        </w:rPr>
        <w:t>根据“陕发改运行</w:t>
      </w:r>
      <w:r w:rsidR="00584B9F" w:rsidRPr="00584B9F">
        <w:rPr>
          <w:rFonts w:hint="eastAsia"/>
          <w:bCs/>
          <w:sz w:val="24"/>
        </w:rPr>
        <w:t>[2019]215</w:t>
      </w:r>
      <w:r w:rsidR="00584B9F" w:rsidRPr="00584B9F">
        <w:rPr>
          <w:rFonts w:hint="eastAsia"/>
          <w:bCs/>
          <w:sz w:val="24"/>
        </w:rPr>
        <w:t>号”文，横山县天云煤矿有限公司天云煤矿已落实</w:t>
      </w:r>
      <w:r w:rsidR="00584B9F" w:rsidRPr="00584B9F">
        <w:rPr>
          <w:rFonts w:hint="eastAsia"/>
          <w:bCs/>
          <w:sz w:val="24"/>
        </w:rPr>
        <w:t>0.03</w:t>
      </w:r>
      <w:r w:rsidR="00584B9F" w:rsidRPr="00584B9F">
        <w:rPr>
          <w:bCs/>
          <w:sz w:val="24"/>
        </w:rPr>
        <w:t>Mt/a</w:t>
      </w:r>
      <w:r w:rsidR="00584B9F" w:rsidRPr="00584B9F">
        <w:rPr>
          <w:rFonts w:hint="eastAsia"/>
          <w:bCs/>
          <w:sz w:val="24"/>
        </w:rPr>
        <w:t>的产能置换指标任务，煤炭产能置换指标为</w:t>
      </w:r>
      <w:r w:rsidR="00584B9F" w:rsidRPr="00584B9F">
        <w:rPr>
          <w:rFonts w:hint="eastAsia"/>
          <w:bCs/>
          <w:sz w:val="24"/>
        </w:rPr>
        <w:t>2017</w:t>
      </w:r>
      <w:r w:rsidR="00584B9F" w:rsidRPr="00584B9F">
        <w:rPr>
          <w:rFonts w:hint="eastAsia"/>
          <w:bCs/>
          <w:sz w:val="24"/>
        </w:rPr>
        <w:t>年关闭退出的榆林市六墩煤矿指标（退出产能</w:t>
      </w:r>
      <w:r w:rsidR="00584B9F" w:rsidRPr="00584B9F">
        <w:rPr>
          <w:rFonts w:hint="eastAsia"/>
          <w:bCs/>
          <w:sz w:val="24"/>
        </w:rPr>
        <w:t>0.45Mt/a</w:t>
      </w:r>
      <w:r w:rsidR="00584B9F" w:rsidRPr="00584B9F">
        <w:rPr>
          <w:rFonts w:hint="eastAsia"/>
          <w:bCs/>
          <w:sz w:val="24"/>
        </w:rPr>
        <w:t>），符合国家发改委关于产能置换指标相关政策。</w:t>
      </w:r>
    </w:p>
    <w:p w:rsidR="00C223F5" w:rsidRPr="00584B9F" w:rsidRDefault="005860D5">
      <w:pPr>
        <w:adjustRightInd w:val="0"/>
        <w:snapToGrid w:val="0"/>
        <w:spacing w:line="360" w:lineRule="auto"/>
        <w:ind w:firstLineChars="200" w:firstLine="480"/>
        <w:rPr>
          <w:sz w:val="24"/>
        </w:rPr>
      </w:pPr>
      <w:r>
        <w:rPr>
          <w:sz w:val="24"/>
        </w:rPr>
        <w:t>本次</w:t>
      </w:r>
      <w:r>
        <w:rPr>
          <w:rFonts w:hint="eastAsia"/>
          <w:sz w:val="24"/>
        </w:rPr>
        <w:t>工程</w:t>
      </w:r>
      <w:r>
        <w:rPr>
          <w:sz w:val="24"/>
        </w:rPr>
        <w:t>利用</w:t>
      </w:r>
      <w:r>
        <w:rPr>
          <w:rFonts w:hint="eastAsia"/>
          <w:sz w:val="24"/>
        </w:rPr>
        <w:t>原天云煤矿</w:t>
      </w:r>
      <w:r>
        <w:rPr>
          <w:sz w:val="24"/>
        </w:rPr>
        <w:t>工业场地</w:t>
      </w:r>
      <w:r>
        <w:rPr>
          <w:rFonts w:hint="eastAsia"/>
          <w:sz w:val="24"/>
        </w:rPr>
        <w:t>进行改扩建</w:t>
      </w:r>
      <w:r>
        <w:rPr>
          <w:sz w:val="24"/>
        </w:rPr>
        <w:t>，</w:t>
      </w:r>
      <w:r>
        <w:rPr>
          <w:rFonts w:hint="eastAsia"/>
          <w:sz w:val="24"/>
        </w:rPr>
        <w:t>工业场地占地面积</w:t>
      </w:r>
      <w:r>
        <w:rPr>
          <w:sz w:val="24"/>
        </w:rPr>
        <w:t>6.5hm</w:t>
      </w:r>
      <w:r>
        <w:rPr>
          <w:sz w:val="24"/>
          <w:vertAlign w:val="superscript"/>
        </w:rPr>
        <w:t>2</w:t>
      </w:r>
      <w:r>
        <w:rPr>
          <w:rFonts w:hint="eastAsia"/>
          <w:sz w:val="24"/>
        </w:rPr>
        <w:t>；场地内新建主、副斜井，利用原天云煤矿一对立井作为整合后的回风立井（其中原副立井作为回风暗立井）；后期在井田南部</w:t>
      </w:r>
      <w:r>
        <w:rPr>
          <w:rFonts w:hint="eastAsia"/>
          <w:sz w:val="24"/>
        </w:rPr>
        <w:t>ZK609</w:t>
      </w:r>
      <w:r>
        <w:rPr>
          <w:rFonts w:hint="eastAsia"/>
          <w:sz w:val="24"/>
        </w:rPr>
        <w:t>钻孔附近新建一对进、回风立</w:t>
      </w:r>
      <w:r>
        <w:rPr>
          <w:rFonts w:hint="eastAsia"/>
          <w:sz w:val="24"/>
        </w:rPr>
        <w:lastRenderedPageBreak/>
        <w:t>井。</w:t>
      </w:r>
      <w:r>
        <w:rPr>
          <w:sz w:val="24"/>
        </w:rPr>
        <w:t>矿井可采煤层</w:t>
      </w:r>
      <w:r>
        <w:rPr>
          <w:sz w:val="24"/>
        </w:rPr>
        <w:t>4</w:t>
      </w:r>
      <w:r>
        <w:rPr>
          <w:sz w:val="24"/>
          <w:vertAlign w:val="superscript"/>
        </w:rPr>
        <w:t>-1</w:t>
      </w:r>
      <w:r>
        <w:rPr>
          <w:sz w:val="24"/>
        </w:rPr>
        <w:t>、</w:t>
      </w:r>
      <w:r>
        <w:rPr>
          <w:sz w:val="24"/>
        </w:rPr>
        <w:t>4</w:t>
      </w:r>
      <w:r>
        <w:rPr>
          <w:sz w:val="24"/>
          <w:vertAlign w:val="superscript"/>
        </w:rPr>
        <w:t>-2</w:t>
      </w:r>
      <w:r>
        <w:rPr>
          <w:sz w:val="24"/>
        </w:rPr>
        <w:t>煤划分为一个煤组联合开采，</w:t>
      </w:r>
      <w:r>
        <w:rPr>
          <w:rFonts w:hint="eastAsia"/>
          <w:sz w:val="24"/>
        </w:rPr>
        <w:t>单水平开拓，水平标高</w:t>
      </w:r>
      <w:r>
        <w:rPr>
          <w:sz w:val="24"/>
        </w:rPr>
        <w:t>+880m</w:t>
      </w:r>
      <w:r>
        <w:rPr>
          <w:rFonts w:hint="eastAsia"/>
          <w:sz w:val="24"/>
        </w:rPr>
        <w:t>；全井田共划分</w:t>
      </w:r>
      <w:r>
        <w:rPr>
          <w:rFonts w:hint="eastAsia"/>
          <w:sz w:val="24"/>
        </w:rPr>
        <w:t>7</w:t>
      </w:r>
      <w:r>
        <w:rPr>
          <w:rFonts w:hint="eastAsia"/>
          <w:sz w:val="24"/>
        </w:rPr>
        <w:t>个盘区，采用长壁后退式一次采全高采煤方法，综采采煤工艺，全部垮落法管理顶板；</w:t>
      </w:r>
      <w:r>
        <w:rPr>
          <w:sz w:val="24"/>
        </w:rPr>
        <w:t>井下主运输采用胶带输送机运输，辅助运输采用防爆无轨胶轮车运输</w:t>
      </w:r>
      <w:r>
        <w:rPr>
          <w:rFonts w:hint="eastAsia"/>
          <w:sz w:val="24"/>
        </w:rPr>
        <w:t>。矿井</w:t>
      </w:r>
      <w:r>
        <w:rPr>
          <w:sz w:val="24"/>
        </w:rPr>
        <w:t>配套建设选煤厂</w:t>
      </w:r>
      <w:r>
        <w:rPr>
          <w:rFonts w:hint="eastAsia"/>
          <w:sz w:val="24"/>
        </w:rPr>
        <w:t>（</w:t>
      </w:r>
      <w:r>
        <w:rPr>
          <w:sz w:val="24"/>
        </w:rPr>
        <w:t>规模</w:t>
      </w:r>
      <w:r>
        <w:rPr>
          <w:sz w:val="24"/>
        </w:rPr>
        <w:t>0.</w:t>
      </w:r>
      <w:r>
        <w:rPr>
          <w:rFonts w:hint="eastAsia"/>
          <w:sz w:val="24"/>
        </w:rPr>
        <w:t>9</w:t>
      </w:r>
      <w:r>
        <w:rPr>
          <w:sz w:val="24"/>
        </w:rPr>
        <w:t>0 Mt/a</w:t>
      </w:r>
      <w:r>
        <w:rPr>
          <w:rFonts w:hint="eastAsia"/>
          <w:sz w:val="24"/>
        </w:rPr>
        <w:t>），根据产品结构分别采用智能选矸系统、无压三产品重介旋流器分选选煤工艺，原煤及产品均采用筒仓储存，筛分破碎车间与主厂房联合建筑设集尘罩和</w:t>
      </w:r>
      <w:r>
        <w:rPr>
          <w:rFonts w:eastAsiaTheme="minorEastAsia" w:hAnsiTheme="minorEastAsia" w:hint="eastAsia"/>
          <w:sz w:val="24"/>
        </w:rPr>
        <w:t>微米级干雾抑尘装置，产品煤通过汽车外运</w:t>
      </w:r>
      <w:r>
        <w:rPr>
          <w:rFonts w:ascii="宋体" w:hAnsi="宋体" w:hint="eastAsia"/>
          <w:sz w:val="24"/>
        </w:rPr>
        <w:t>。整合后工业场地内的地面建构筑物全部新建，</w:t>
      </w:r>
      <w:r>
        <w:rPr>
          <w:sz w:val="24"/>
        </w:rPr>
        <w:t>工业场地新建乏风热泵机房，采用乏风热泵机组</w:t>
      </w:r>
      <w:r>
        <w:rPr>
          <w:sz w:val="24"/>
        </w:rPr>
        <w:t>+</w:t>
      </w:r>
      <w:r>
        <w:rPr>
          <w:sz w:val="24"/>
        </w:rPr>
        <w:t>水源热泵机组</w:t>
      </w:r>
      <w:r>
        <w:rPr>
          <w:sz w:val="24"/>
        </w:rPr>
        <w:t>+</w:t>
      </w:r>
      <w:r>
        <w:rPr>
          <w:sz w:val="24"/>
        </w:rPr>
        <w:t>电锅炉供热</w:t>
      </w:r>
      <w:r>
        <w:rPr>
          <w:rFonts w:ascii="宋体" w:hAnsi="宋体" w:hint="eastAsia"/>
          <w:sz w:val="24"/>
        </w:rPr>
        <w:t>；矿井</w:t>
      </w:r>
      <w:r>
        <w:rPr>
          <w:rFonts w:hint="eastAsia"/>
          <w:sz w:val="24"/>
        </w:rPr>
        <w:t>生活水源由横</w:t>
      </w:r>
      <w:r w:rsidRPr="00584B9F">
        <w:rPr>
          <w:rFonts w:hint="eastAsia"/>
          <w:sz w:val="24"/>
        </w:rPr>
        <w:t>山县自来水公司魏家楼自来水供应站供给，新建</w:t>
      </w:r>
      <w:r w:rsidRPr="00584B9F">
        <w:rPr>
          <w:sz w:val="24"/>
        </w:rPr>
        <w:t>矿井水处理站和</w:t>
      </w:r>
      <w:r w:rsidRPr="00584B9F">
        <w:rPr>
          <w:rFonts w:hint="eastAsia"/>
          <w:sz w:val="24"/>
        </w:rPr>
        <w:t>生活污水</w:t>
      </w:r>
      <w:r w:rsidRPr="00584B9F">
        <w:rPr>
          <w:sz w:val="24"/>
        </w:rPr>
        <w:t>处理站</w:t>
      </w:r>
      <w:r w:rsidRPr="00584B9F">
        <w:rPr>
          <w:rFonts w:hint="eastAsia"/>
          <w:sz w:val="24"/>
        </w:rPr>
        <w:t>，</w:t>
      </w:r>
      <w:r w:rsidRPr="00584B9F">
        <w:rPr>
          <w:sz w:val="24"/>
        </w:rPr>
        <w:t>地面生产、生活废水经处理后</w:t>
      </w:r>
      <w:r w:rsidRPr="00584B9F">
        <w:rPr>
          <w:rFonts w:hint="eastAsia"/>
          <w:sz w:val="24"/>
        </w:rPr>
        <w:t>全部</w:t>
      </w:r>
      <w:r w:rsidRPr="00584B9F">
        <w:rPr>
          <w:sz w:val="24"/>
        </w:rPr>
        <w:t>回用，</w:t>
      </w:r>
      <w:r w:rsidRPr="00584B9F">
        <w:rPr>
          <w:rFonts w:hint="eastAsia"/>
          <w:sz w:val="24"/>
        </w:rPr>
        <w:t>矿井涌水</w:t>
      </w:r>
      <w:r w:rsidRPr="00584B9F">
        <w:rPr>
          <w:sz w:val="24"/>
        </w:rPr>
        <w:t>经处理后</w:t>
      </w:r>
      <w:r w:rsidRPr="00584B9F">
        <w:rPr>
          <w:rFonts w:hint="eastAsia"/>
          <w:sz w:val="24"/>
        </w:rPr>
        <w:t>部分</w:t>
      </w:r>
      <w:r w:rsidRPr="00584B9F">
        <w:rPr>
          <w:sz w:val="24"/>
        </w:rPr>
        <w:t>回用，</w:t>
      </w:r>
      <w:r w:rsidRPr="00584B9F">
        <w:rPr>
          <w:rFonts w:hint="eastAsia"/>
          <w:sz w:val="24"/>
        </w:rPr>
        <w:t>剩余达标排入蚂蚁河，原天云煤矿已取得排污口设置批复和总量指标，本次整合利用已有排污口；矿井采用双回路供电，两回</w:t>
      </w:r>
      <w:r w:rsidRPr="00584B9F">
        <w:rPr>
          <w:rFonts w:hint="eastAsia"/>
          <w:sz w:val="24"/>
        </w:rPr>
        <w:t>35kV</w:t>
      </w:r>
      <w:r w:rsidRPr="00584B9F">
        <w:rPr>
          <w:rFonts w:hint="eastAsia"/>
          <w:sz w:val="24"/>
        </w:rPr>
        <w:t>电源分别引自石湾</w:t>
      </w:r>
      <w:r w:rsidRPr="00584B9F">
        <w:rPr>
          <w:rFonts w:hint="eastAsia"/>
          <w:sz w:val="24"/>
        </w:rPr>
        <w:t>110kV</w:t>
      </w:r>
      <w:r w:rsidRPr="00584B9F">
        <w:rPr>
          <w:rFonts w:hint="eastAsia"/>
          <w:sz w:val="24"/>
        </w:rPr>
        <w:t>变电站和高镇</w:t>
      </w:r>
      <w:r w:rsidRPr="00584B9F">
        <w:rPr>
          <w:rFonts w:hint="eastAsia"/>
          <w:sz w:val="24"/>
        </w:rPr>
        <w:t>110kV</w:t>
      </w:r>
      <w:r w:rsidRPr="00584B9F">
        <w:rPr>
          <w:rFonts w:hint="eastAsia"/>
          <w:sz w:val="24"/>
        </w:rPr>
        <w:t>变电站。</w:t>
      </w:r>
    </w:p>
    <w:p w:rsidR="00C223F5" w:rsidRDefault="005860D5">
      <w:pPr>
        <w:pStyle w:val="a8"/>
        <w:spacing w:line="360" w:lineRule="auto"/>
        <w:ind w:firstLineChars="200" w:firstLine="480"/>
        <w:jc w:val="both"/>
        <w:rPr>
          <w:b w:val="0"/>
          <w:snapToGrid w:val="0"/>
          <w:sz w:val="24"/>
        </w:rPr>
      </w:pPr>
      <w:r w:rsidRPr="00584B9F">
        <w:rPr>
          <w:b w:val="0"/>
          <w:sz w:val="24"/>
        </w:rPr>
        <w:t>本工程</w:t>
      </w:r>
      <w:r w:rsidRPr="00584B9F">
        <w:rPr>
          <w:rFonts w:hint="eastAsia"/>
          <w:b w:val="0"/>
          <w:sz w:val="24"/>
        </w:rPr>
        <w:t>静态总投资</w:t>
      </w:r>
      <w:r w:rsidRPr="00584B9F">
        <w:rPr>
          <w:rFonts w:hint="eastAsia"/>
          <w:b w:val="0"/>
          <w:sz w:val="24"/>
        </w:rPr>
        <w:t>86961.61</w:t>
      </w:r>
      <w:r w:rsidRPr="00584B9F">
        <w:rPr>
          <w:rFonts w:hint="eastAsia"/>
          <w:b w:val="0"/>
          <w:sz w:val="24"/>
        </w:rPr>
        <w:t>万元</w:t>
      </w:r>
      <w:r w:rsidRPr="00584B9F">
        <w:rPr>
          <w:b w:val="0"/>
          <w:sz w:val="24"/>
        </w:rPr>
        <w:t>，</w:t>
      </w:r>
      <w:r w:rsidRPr="00584B9F">
        <w:rPr>
          <w:rFonts w:hint="eastAsia"/>
          <w:b w:val="0"/>
          <w:sz w:val="24"/>
        </w:rPr>
        <w:t>其中环保估算投资为</w:t>
      </w:r>
      <w:r w:rsidRPr="00584B9F">
        <w:rPr>
          <w:rFonts w:hint="eastAsia"/>
          <w:b w:val="0"/>
          <w:sz w:val="24"/>
        </w:rPr>
        <w:t>1339.6</w:t>
      </w:r>
      <w:r w:rsidRPr="00584B9F">
        <w:rPr>
          <w:rFonts w:hint="eastAsia"/>
          <w:b w:val="0"/>
          <w:sz w:val="24"/>
        </w:rPr>
        <w:t>万元，占工程建设总投资的</w:t>
      </w:r>
      <w:r w:rsidRPr="00584B9F">
        <w:rPr>
          <w:rFonts w:hint="eastAsia"/>
          <w:b w:val="0"/>
          <w:sz w:val="24"/>
        </w:rPr>
        <w:t>1.54%</w:t>
      </w:r>
      <w:r w:rsidRPr="00584B9F">
        <w:rPr>
          <w:rFonts w:hint="eastAsia"/>
          <w:b w:val="0"/>
          <w:sz w:val="24"/>
        </w:rPr>
        <w:t>。</w:t>
      </w:r>
      <w:r w:rsidRPr="00584B9F">
        <w:rPr>
          <w:b w:val="0"/>
          <w:sz w:val="24"/>
        </w:rPr>
        <w:t>矿</w:t>
      </w:r>
      <w:r>
        <w:rPr>
          <w:b w:val="0"/>
          <w:sz w:val="24"/>
        </w:rPr>
        <w:t>井建设总工期为</w:t>
      </w:r>
      <w:r>
        <w:rPr>
          <w:rFonts w:hint="eastAsia"/>
          <w:b w:val="0"/>
          <w:sz w:val="24"/>
        </w:rPr>
        <w:t>26.4</w:t>
      </w:r>
      <w:r>
        <w:rPr>
          <w:b w:val="0"/>
          <w:sz w:val="24"/>
        </w:rPr>
        <w:t>个月，</w:t>
      </w:r>
      <w:r>
        <w:rPr>
          <w:rFonts w:hAnsi="宋体"/>
          <w:b w:val="0"/>
          <w:sz w:val="24"/>
        </w:rPr>
        <w:t>在籍总人数</w:t>
      </w:r>
      <w:r>
        <w:rPr>
          <w:b w:val="0"/>
          <w:sz w:val="24"/>
        </w:rPr>
        <w:t>565</w:t>
      </w:r>
      <w:r>
        <w:rPr>
          <w:rFonts w:hAnsi="宋体"/>
          <w:b w:val="0"/>
          <w:sz w:val="24"/>
        </w:rPr>
        <w:t>人，矿井全员效率</w:t>
      </w:r>
      <w:r>
        <w:rPr>
          <w:b w:val="0"/>
          <w:sz w:val="24"/>
        </w:rPr>
        <w:t>7.4t/</w:t>
      </w:r>
      <w:r>
        <w:rPr>
          <w:rFonts w:hAnsi="宋体"/>
          <w:b w:val="0"/>
          <w:sz w:val="24"/>
        </w:rPr>
        <w:t>工，选煤厂全员效率</w:t>
      </w:r>
      <w:r>
        <w:rPr>
          <w:b w:val="0"/>
          <w:sz w:val="24"/>
        </w:rPr>
        <w:t>56t/</w:t>
      </w:r>
      <w:r>
        <w:rPr>
          <w:rFonts w:hAnsi="宋体"/>
          <w:b w:val="0"/>
          <w:sz w:val="24"/>
        </w:rPr>
        <w:t>工。</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600" w:name="_Toc533604802"/>
      <w:bookmarkStart w:id="601" w:name="_Toc533604382"/>
      <w:bookmarkStart w:id="602" w:name="_Toc16785352"/>
      <w:r>
        <w:rPr>
          <w:rFonts w:eastAsia="宋体" w:hint="eastAsia"/>
          <w:b/>
          <w:bCs w:val="0"/>
          <w:sz w:val="28"/>
          <w:szCs w:val="28"/>
        </w:rPr>
        <w:t>8.1.2</w:t>
      </w:r>
      <w:r>
        <w:rPr>
          <w:rFonts w:eastAsia="宋体" w:hint="eastAsia"/>
          <w:b/>
          <w:bCs w:val="0"/>
          <w:sz w:val="28"/>
          <w:szCs w:val="28"/>
        </w:rPr>
        <w:t>环境质量现状</w:t>
      </w:r>
      <w:bookmarkEnd w:id="600"/>
      <w:bookmarkEnd w:id="601"/>
      <w:bookmarkEnd w:id="602"/>
    </w:p>
    <w:p w:rsidR="00C223F5" w:rsidRDefault="005860D5">
      <w:pPr>
        <w:widowControl/>
        <w:spacing w:line="360" w:lineRule="auto"/>
        <w:ind w:firstLineChars="200" w:firstLine="480"/>
        <w:rPr>
          <w:kern w:val="20"/>
          <w:sz w:val="24"/>
        </w:rPr>
      </w:pPr>
      <w:r>
        <w:rPr>
          <w:kern w:val="20"/>
          <w:sz w:val="24"/>
        </w:rPr>
        <w:t>（</w:t>
      </w:r>
      <w:r>
        <w:rPr>
          <w:kern w:val="20"/>
          <w:sz w:val="24"/>
        </w:rPr>
        <w:t>1</w:t>
      </w:r>
      <w:r>
        <w:rPr>
          <w:kern w:val="20"/>
          <w:sz w:val="24"/>
        </w:rPr>
        <w:t>）生态环境现状与保护目标</w:t>
      </w:r>
    </w:p>
    <w:p w:rsidR="00C223F5" w:rsidRDefault="005860D5">
      <w:pPr>
        <w:pStyle w:val="a8"/>
        <w:spacing w:line="360" w:lineRule="auto"/>
        <w:ind w:firstLineChars="200" w:firstLine="480"/>
        <w:jc w:val="both"/>
        <w:rPr>
          <w:b w:val="0"/>
        </w:rPr>
      </w:pPr>
      <w:r>
        <w:rPr>
          <w:rFonts w:hAnsi="宋体" w:hint="eastAsia"/>
          <w:b w:val="0"/>
          <w:sz w:val="24"/>
        </w:rPr>
        <w:t>横山县</w:t>
      </w:r>
      <w:r>
        <w:rPr>
          <w:rFonts w:hAnsi="宋体"/>
          <w:b w:val="0"/>
          <w:sz w:val="24"/>
        </w:rPr>
        <w:t>天云煤矿</w:t>
      </w:r>
      <w:r>
        <w:rPr>
          <w:rFonts w:hAnsi="宋体" w:hint="eastAsia"/>
          <w:b w:val="0"/>
          <w:sz w:val="24"/>
        </w:rPr>
        <w:t>有限公司</w:t>
      </w:r>
      <w:r>
        <w:rPr>
          <w:rFonts w:hint="eastAsia"/>
          <w:b w:val="0"/>
          <w:sz w:val="24"/>
          <w:szCs w:val="22"/>
        </w:rPr>
        <w:t>天云煤矿整合区由原天云煤矿、沈石畔勘查区以及部分石湾煤矿地质普查区三部分整合而成。</w:t>
      </w:r>
    </w:p>
    <w:p w:rsidR="00C223F5" w:rsidRDefault="005860D5">
      <w:pPr>
        <w:pStyle w:val="aff1"/>
        <w:adjustRightInd w:val="0"/>
        <w:snapToGrid w:val="0"/>
        <w:spacing w:line="360" w:lineRule="auto"/>
        <w:ind w:left="0" w:firstLineChars="200" w:firstLine="480"/>
        <w:rPr>
          <w:szCs w:val="24"/>
        </w:rPr>
      </w:pPr>
      <w:r>
        <w:rPr>
          <w:rFonts w:hAnsi="宋体"/>
          <w:bCs/>
          <w:szCs w:val="24"/>
        </w:rPr>
        <w:t>整合区位于陕北黄土高原中部，</w:t>
      </w:r>
      <w:r>
        <w:rPr>
          <w:rFonts w:hAnsi="宋体"/>
          <w:szCs w:val="24"/>
        </w:rPr>
        <w:t>地形总的趋势为西部高东部低，海拔标高在</w:t>
      </w:r>
      <w:r>
        <w:rPr>
          <w:szCs w:val="24"/>
        </w:rPr>
        <w:t>+1020</w:t>
      </w:r>
      <w:r>
        <w:rPr>
          <w:rFonts w:hAnsi="宋体" w:hint="eastAsia"/>
          <w:szCs w:val="24"/>
        </w:rPr>
        <w:t>~</w:t>
      </w:r>
      <w:r>
        <w:rPr>
          <w:szCs w:val="24"/>
        </w:rPr>
        <w:t>+1481m</w:t>
      </w:r>
      <w:r>
        <w:rPr>
          <w:rFonts w:hAnsi="宋体"/>
          <w:szCs w:val="24"/>
        </w:rPr>
        <w:t>，最高点位于井田西北部的</w:t>
      </w:r>
      <w:r>
        <w:rPr>
          <w:szCs w:val="24"/>
        </w:rPr>
        <w:t>2-1</w:t>
      </w:r>
      <w:r>
        <w:rPr>
          <w:rFonts w:hAnsi="宋体"/>
          <w:szCs w:val="24"/>
        </w:rPr>
        <w:t>号钻孔附近，标高</w:t>
      </w:r>
      <w:r>
        <w:rPr>
          <w:szCs w:val="24"/>
        </w:rPr>
        <w:t>+1481m</w:t>
      </w:r>
      <w:r>
        <w:rPr>
          <w:rFonts w:hAnsi="宋体"/>
          <w:szCs w:val="24"/>
        </w:rPr>
        <w:t>；最低点位于井田东部大理河河道，标高</w:t>
      </w:r>
      <w:r>
        <w:rPr>
          <w:szCs w:val="24"/>
        </w:rPr>
        <w:t>+1020m</w:t>
      </w:r>
      <w:r>
        <w:rPr>
          <w:rFonts w:hAnsi="宋体" w:hint="eastAsia"/>
          <w:szCs w:val="24"/>
        </w:rPr>
        <w:t>，</w:t>
      </w:r>
      <w:r>
        <w:rPr>
          <w:rFonts w:hAnsi="宋体"/>
          <w:szCs w:val="24"/>
        </w:rPr>
        <w:t>相对最大高差</w:t>
      </w:r>
      <w:r>
        <w:rPr>
          <w:szCs w:val="24"/>
        </w:rPr>
        <w:t>461m</w:t>
      </w:r>
      <w:r>
        <w:rPr>
          <w:rFonts w:hAnsi="宋体"/>
          <w:szCs w:val="24"/>
        </w:rPr>
        <w:t>。</w:t>
      </w:r>
    </w:p>
    <w:p w:rsidR="00C223F5" w:rsidRDefault="005860D5">
      <w:pPr>
        <w:pStyle w:val="afd"/>
        <w:widowControl/>
        <w:snapToGrid w:val="0"/>
        <w:spacing w:line="360" w:lineRule="auto"/>
        <w:ind w:firstLine="480"/>
        <w:rPr>
          <w:sz w:val="24"/>
        </w:rPr>
      </w:pPr>
      <w:r>
        <w:rPr>
          <w:rFonts w:hint="eastAsia"/>
          <w:sz w:val="24"/>
        </w:rPr>
        <w:t>评价区以黄土堆积地貌为主，在评价区存在小面积河流阶地；</w:t>
      </w:r>
      <w:r>
        <w:rPr>
          <w:rFonts w:hint="eastAsia"/>
          <w:bCs/>
          <w:sz w:val="24"/>
        </w:rPr>
        <w:t>中覆盖度植被在评价区分布最多，土壤侵蚀以中、轻度水力侵蚀为主；</w:t>
      </w:r>
      <w:r>
        <w:rPr>
          <w:rFonts w:hint="eastAsia"/>
          <w:sz w:val="24"/>
        </w:rPr>
        <w:t>土地利用类型包括耕地、林地、草地、工业采矿用地、住宅用地、水域及水利设施用地等，该地区生产以农业为主，土地利用主要为耕地、天然牧草地和乔木林地，其它利用类型所占比重均较小。</w:t>
      </w:r>
    </w:p>
    <w:p w:rsidR="00C223F5" w:rsidRDefault="005860D5">
      <w:pPr>
        <w:widowControl/>
        <w:spacing w:line="360" w:lineRule="auto"/>
        <w:ind w:firstLineChars="200" w:firstLine="480"/>
        <w:rPr>
          <w:sz w:val="24"/>
        </w:rPr>
      </w:pPr>
      <w:r>
        <w:rPr>
          <w:sz w:val="24"/>
        </w:rPr>
        <w:lastRenderedPageBreak/>
        <w:t>评价区内</w:t>
      </w:r>
      <w:r>
        <w:rPr>
          <w:rFonts w:hint="eastAsia"/>
          <w:sz w:val="24"/>
        </w:rPr>
        <w:t>无</w:t>
      </w:r>
      <w:r>
        <w:rPr>
          <w:sz w:val="24"/>
        </w:rPr>
        <w:t>自然保护区、风景名胜区和重要动植物栖息地，未见国家和省级保护的动</w:t>
      </w:r>
      <w:r>
        <w:rPr>
          <w:sz w:val="24"/>
          <w:lang w:val="zh-CN"/>
        </w:rPr>
        <w:t>植物与珍稀、濒危物种分布。</w:t>
      </w:r>
      <w:r>
        <w:rPr>
          <w:sz w:val="24"/>
        </w:rPr>
        <w:t>评价区主要生态环境保护目标为井田周边</w:t>
      </w:r>
      <w:r>
        <w:rPr>
          <w:sz w:val="24"/>
        </w:rPr>
        <w:t>500m</w:t>
      </w:r>
      <w:r>
        <w:rPr>
          <w:sz w:val="24"/>
        </w:rPr>
        <w:t>范围内的居民点、河流、</w:t>
      </w:r>
      <w:r>
        <w:rPr>
          <w:rFonts w:hint="eastAsia"/>
          <w:sz w:val="24"/>
        </w:rPr>
        <w:t>油井、高压线塔基、</w:t>
      </w:r>
      <w:r>
        <w:rPr>
          <w:sz w:val="24"/>
        </w:rPr>
        <w:t>铁路、公路以及地表植被等。</w:t>
      </w:r>
    </w:p>
    <w:p w:rsidR="00C223F5" w:rsidRDefault="005860D5">
      <w:pPr>
        <w:spacing w:line="360" w:lineRule="auto"/>
        <w:ind w:firstLineChars="200" w:firstLine="480"/>
        <w:rPr>
          <w:sz w:val="24"/>
        </w:rPr>
      </w:pPr>
      <w:r>
        <w:rPr>
          <w:sz w:val="24"/>
        </w:rPr>
        <w:t>（</w:t>
      </w:r>
      <w:r>
        <w:rPr>
          <w:sz w:val="24"/>
        </w:rPr>
        <w:t>2</w:t>
      </w:r>
      <w:r>
        <w:rPr>
          <w:sz w:val="24"/>
        </w:rPr>
        <w:t>）地下水环境质量现状及保护目标</w:t>
      </w:r>
    </w:p>
    <w:p w:rsidR="00C223F5" w:rsidRDefault="005860D5">
      <w:pPr>
        <w:spacing w:line="360" w:lineRule="auto"/>
        <w:ind w:firstLineChars="200" w:firstLine="480"/>
        <w:rPr>
          <w:sz w:val="24"/>
          <w:lang w:val="de-DE"/>
        </w:rPr>
      </w:pPr>
      <w:r>
        <w:rPr>
          <w:sz w:val="24"/>
        </w:rPr>
        <w:t>地下水保护目标为</w:t>
      </w:r>
      <w:r>
        <w:rPr>
          <w:rFonts w:hint="eastAsia"/>
          <w:sz w:val="24"/>
        </w:rPr>
        <w:t>地下水调查</w:t>
      </w:r>
      <w:r>
        <w:rPr>
          <w:sz w:val="24"/>
        </w:rPr>
        <w:t>范围内</w:t>
      </w:r>
      <w:r>
        <w:rPr>
          <w:rFonts w:hint="eastAsia"/>
          <w:sz w:val="24"/>
        </w:rPr>
        <w:t>潜水含水层（第四系、风化基岩裂隙）</w:t>
      </w:r>
      <w:r>
        <w:rPr>
          <w:sz w:val="24"/>
          <w:lang w:val="de-DE"/>
        </w:rPr>
        <w:t>。</w:t>
      </w:r>
    </w:p>
    <w:p w:rsidR="00C223F5" w:rsidRDefault="005860D5">
      <w:pPr>
        <w:spacing w:line="360" w:lineRule="auto"/>
        <w:ind w:firstLineChars="200" w:firstLine="480"/>
        <w:rPr>
          <w:sz w:val="24"/>
        </w:rPr>
      </w:pPr>
      <w:r>
        <w:rPr>
          <w:sz w:val="24"/>
        </w:rPr>
        <w:t>根据本次现状监测结果可知，</w:t>
      </w:r>
      <w:r>
        <w:rPr>
          <w:rFonts w:hint="eastAsia"/>
          <w:sz w:val="24"/>
        </w:rPr>
        <w:t>地下水水质监测点中施阳台村水井氨氮指标超过</w:t>
      </w:r>
      <w:r>
        <w:rPr>
          <w:sz w:val="24"/>
        </w:rPr>
        <w:t>《地下水质量标准》（</w:t>
      </w:r>
      <w:r>
        <w:rPr>
          <w:sz w:val="24"/>
        </w:rPr>
        <w:t>GB/T14848-</w:t>
      </w:r>
      <w:r>
        <w:rPr>
          <w:rFonts w:hint="eastAsia"/>
          <w:sz w:val="24"/>
        </w:rPr>
        <w:t>2017</w:t>
      </w:r>
      <w:r>
        <w:rPr>
          <w:sz w:val="24"/>
        </w:rPr>
        <w:t>）</w:t>
      </w:r>
      <w:r>
        <w:rPr>
          <w:rFonts w:ascii="宋体" w:hAnsi="宋体" w:cs="宋体" w:hint="eastAsia"/>
          <w:sz w:val="24"/>
        </w:rPr>
        <w:t>Ⅲ</w:t>
      </w:r>
      <w:r>
        <w:rPr>
          <w:sz w:val="24"/>
        </w:rPr>
        <w:t>类标准</w:t>
      </w:r>
      <w:r>
        <w:rPr>
          <w:rFonts w:hint="eastAsia"/>
          <w:sz w:val="24"/>
        </w:rPr>
        <w:t>，现场踏勘发现该水井位于居民菜地中，氨氮超标与农民施肥有关。</w:t>
      </w:r>
      <w:r>
        <w:rPr>
          <w:sz w:val="24"/>
        </w:rPr>
        <w:t>监测结果中</w:t>
      </w:r>
      <w:r>
        <w:rPr>
          <w:rFonts w:hint="eastAsia"/>
          <w:sz w:val="24"/>
        </w:rPr>
        <w:t>地下水水质</w:t>
      </w:r>
      <w:r>
        <w:rPr>
          <w:sz w:val="24"/>
        </w:rPr>
        <w:t>阴阳离子</w:t>
      </w:r>
      <w:r>
        <w:rPr>
          <w:rFonts w:hint="eastAsia"/>
          <w:sz w:val="24"/>
        </w:rPr>
        <w:t>基本</w:t>
      </w:r>
      <w:r>
        <w:rPr>
          <w:sz w:val="24"/>
        </w:rPr>
        <w:t>平衡</w:t>
      </w:r>
      <w:r>
        <w:rPr>
          <w:rFonts w:hint="eastAsia"/>
          <w:sz w:val="24"/>
        </w:rPr>
        <w:t>。</w:t>
      </w:r>
    </w:p>
    <w:p w:rsidR="00C223F5" w:rsidRDefault="005860D5">
      <w:pPr>
        <w:pStyle w:val="hp"/>
        <w:ind w:firstLine="480"/>
      </w:pPr>
      <w:r>
        <w:t>（</w:t>
      </w:r>
      <w:r>
        <w:t>3</w:t>
      </w:r>
      <w:r>
        <w:t>）地表水环境质量现状和保护目标</w:t>
      </w:r>
    </w:p>
    <w:p w:rsidR="00C223F5" w:rsidRDefault="005860D5">
      <w:pPr>
        <w:tabs>
          <w:tab w:val="left" w:pos="2552"/>
          <w:tab w:val="left" w:pos="5387"/>
        </w:tabs>
        <w:spacing w:line="360" w:lineRule="auto"/>
        <w:ind w:firstLineChars="200" w:firstLine="480"/>
        <w:rPr>
          <w:sz w:val="24"/>
        </w:rPr>
      </w:pPr>
      <w:r>
        <w:rPr>
          <w:sz w:val="24"/>
        </w:rPr>
        <w:t>地表水保护目标为</w:t>
      </w:r>
      <w:r>
        <w:rPr>
          <w:rFonts w:hint="eastAsia"/>
          <w:sz w:val="24"/>
        </w:rPr>
        <w:t>蚂蚁河上游及汇入大理河段</w:t>
      </w:r>
      <w:r>
        <w:rPr>
          <w:sz w:val="24"/>
        </w:rPr>
        <w:t>。</w:t>
      </w:r>
    </w:p>
    <w:p w:rsidR="00C223F5" w:rsidRDefault="005860D5">
      <w:pPr>
        <w:spacing w:line="360" w:lineRule="auto"/>
        <w:ind w:firstLineChars="200" w:firstLine="480"/>
        <w:rPr>
          <w:sz w:val="24"/>
        </w:rPr>
      </w:pPr>
      <w:r>
        <w:rPr>
          <w:sz w:val="24"/>
        </w:rPr>
        <w:t>根据本次现状监测结果可知，监测时段内</w:t>
      </w:r>
      <w:r>
        <w:rPr>
          <w:rFonts w:hint="eastAsia"/>
          <w:sz w:val="24"/>
        </w:rPr>
        <w:t>各</w:t>
      </w:r>
      <w:r>
        <w:rPr>
          <w:sz w:val="24"/>
        </w:rPr>
        <w:t>断面</w:t>
      </w:r>
      <w:r>
        <w:rPr>
          <w:rFonts w:hint="eastAsia"/>
          <w:sz w:val="24"/>
        </w:rPr>
        <w:t>及</w:t>
      </w:r>
      <w:r>
        <w:rPr>
          <w:sz w:val="24"/>
        </w:rPr>
        <w:t>监测指标均满足《地表水环境质量标准》（</w:t>
      </w:r>
      <w:r>
        <w:rPr>
          <w:sz w:val="24"/>
        </w:rPr>
        <w:t>GB3838-2002</w:t>
      </w:r>
      <w:r>
        <w:rPr>
          <w:sz w:val="24"/>
        </w:rPr>
        <w:t>）中的</w:t>
      </w:r>
      <w:r>
        <w:rPr>
          <w:rFonts w:ascii="宋体" w:hAnsi="宋体" w:cs="宋体" w:hint="eastAsia"/>
          <w:sz w:val="24"/>
        </w:rPr>
        <w:t>Ⅲ</w:t>
      </w:r>
      <w:r>
        <w:rPr>
          <w:sz w:val="24"/>
        </w:rPr>
        <w:t>类标准</w:t>
      </w:r>
      <w:r>
        <w:rPr>
          <w:rFonts w:hint="eastAsia"/>
          <w:sz w:val="24"/>
        </w:rPr>
        <w:t>。</w:t>
      </w:r>
    </w:p>
    <w:p w:rsidR="00C223F5" w:rsidRDefault="005860D5">
      <w:pPr>
        <w:spacing w:line="360" w:lineRule="auto"/>
        <w:ind w:firstLineChars="200" w:firstLine="480"/>
        <w:rPr>
          <w:sz w:val="24"/>
        </w:rPr>
      </w:pPr>
      <w:r>
        <w:rPr>
          <w:sz w:val="24"/>
        </w:rPr>
        <w:t>（</w:t>
      </w:r>
      <w:r>
        <w:rPr>
          <w:sz w:val="24"/>
        </w:rPr>
        <w:t>4</w:t>
      </w:r>
      <w:r>
        <w:rPr>
          <w:sz w:val="24"/>
        </w:rPr>
        <w:t>）环境空气质量现状</w:t>
      </w:r>
    </w:p>
    <w:p w:rsidR="00C223F5" w:rsidRDefault="005860D5">
      <w:pPr>
        <w:spacing w:line="360" w:lineRule="auto"/>
        <w:ind w:firstLineChars="200" w:firstLine="480"/>
        <w:rPr>
          <w:sz w:val="24"/>
        </w:rPr>
      </w:pPr>
      <w:r>
        <w:rPr>
          <w:rFonts w:hint="eastAsia"/>
          <w:sz w:val="24"/>
        </w:rPr>
        <w:t>区域</w:t>
      </w:r>
      <w:r>
        <w:rPr>
          <w:rFonts w:hint="eastAsia"/>
          <w:sz w:val="24"/>
        </w:rPr>
        <w:t>SO</w:t>
      </w:r>
      <w:r>
        <w:rPr>
          <w:rFonts w:hint="eastAsia"/>
          <w:sz w:val="24"/>
          <w:vertAlign w:val="subscript"/>
        </w:rPr>
        <w:t>2</w:t>
      </w:r>
      <w:r>
        <w:rPr>
          <w:rFonts w:hint="eastAsia"/>
          <w:sz w:val="24"/>
        </w:rPr>
        <w:t>和</w:t>
      </w:r>
      <w:r>
        <w:rPr>
          <w:rFonts w:hint="eastAsia"/>
          <w:sz w:val="24"/>
        </w:rPr>
        <w:t>CO</w:t>
      </w:r>
      <w:r>
        <w:rPr>
          <w:rFonts w:hint="eastAsia"/>
          <w:sz w:val="24"/>
        </w:rPr>
        <w:t>符合</w:t>
      </w:r>
      <w:r>
        <w:rPr>
          <w:rFonts w:hint="eastAsia"/>
          <w:sz w:val="24"/>
        </w:rPr>
        <w:t>GB3095</w:t>
      </w:r>
      <w:r>
        <w:rPr>
          <w:rFonts w:hint="eastAsia"/>
          <w:sz w:val="24"/>
        </w:rPr>
        <w:t>－</w:t>
      </w:r>
      <w:r>
        <w:rPr>
          <w:rFonts w:hint="eastAsia"/>
          <w:sz w:val="24"/>
        </w:rPr>
        <w:t>2012</w:t>
      </w:r>
      <w:r>
        <w:rPr>
          <w:rFonts w:hint="eastAsia"/>
          <w:sz w:val="24"/>
        </w:rPr>
        <w:t>《环境空气质量标准》中的二级标准要求，</w:t>
      </w:r>
      <w:r>
        <w:rPr>
          <w:rFonts w:hint="eastAsia"/>
          <w:sz w:val="24"/>
        </w:rPr>
        <w:t>PM</w:t>
      </w:r>
      <w:r>
        <w:rPr>
          <w:rFonts w:hint="eastAsia"/>
          <w:sz w:val="24"/>
          <w:vertAlign w:val="subscript"/>
        </w:rPr>
        <w:t>10</w:t>
      </w:r>
      <w:r>
        <w:rPr>
          <w:rFonts w:hint="eastAsia"/>
          <w:sz w:val="24"/>
        </w:rPr>
        <w:t>、</w:t>
      </w:r>
      <w:r>
        <w:rPr>
          <w:rFonts w:hint="eastAsia"/>
          <w:sz w:val="24"/>
        </w:rPr>
        <w:t>PM</w:t>
      </w:r>
      <w:r>
        <w:rPr>
          <w:rFonts w:hint="eastAsia"/>
          <w:sz w:val="24"/>
          <w:vertAlign w:val="subscript"/>
        </w:rPr>
        <w:t>2.5</w:t>
      </w:r>
      <w:r>
        <w:rPr>
          <w:rFonts w:hint="eastAsia"/>
          <w:sz w:val="24"/>
        </w:rPr>
        <w:t>、</w:t>
      </w:r>
      <w:r>
        <w:rPr>
          <w:rFonts w:hint="eastAsia"/>
          <w:sz w:val="24"/>
        </w:rPr>
        <w:t>NO</w:t>
      </w:r>
      <w:r>
        <w:rPr>
          <w:rFonts w:hint="eastAsia"/>
          <w:sz w:val="24"/>
          <w:vertAlign w:val="subscript"/>
        </w:rPr>
        <w:t>2</w:t>
      </w:r>
      <w:r>
        <w:rPr>
          <w:rFonts w:hint="eastAsia"/>
          <w:sz w:val="24"/>
        </w:rPr>
        <w:t>和</w:t>
      </w:r>
      <w:r>
        <w:rPr>
          <w:rFonts w:hint="eastAsia"/>
          <w:sz w:val="24"/>
        </w:rPr>
        <w:t>O</w:t>
      </w:r>
      <w:r>
        <w:rPr>
          <w:rFonts w:hint="eastAsia"/>
          <w:sz w:val="24"/>
          <w:vertAlign w:val="subscript"/>
        </w:rPr>
        <w:t>3</w:t>
      </w:r>
      <w:r>
        <w:rPr>
          <w:rFonts w:hint="eastAsia"/>
          <w:sz w:val="24"/>
        </w:rPr>
        <w:t>超出《环境空气质量标准》中的二级标准要求</w:t>
      </w:r>
      <w:r>
        <w:rPr>
          <w:sz w:val="24"/>
        </w:rPr>
        <w:t>。</w:t>
      </w:r>
    </w:p>
    <w:p w:rsidR="00C223F5" w:rsidRDefault="005860D5">
      <w:pPr>
        <w:spacing w:line="360" w:lineRule="auto"/>
        <w:ind w:firstLineChars="200" w:firstLine="480"/>
        <w:rPr>
          <w:sz w:val="24"/>
        </w:rPr>
      </w:pPr>
      <w:r>
        <w:rPr>
          <w:sz w:val="24"/>
        </w:rPr>
        <w:t>（</w:t>
      </w:r>
      <w:r>
        <w:rPr>
          <w:sz w:val="24"/>
        </w:rPr>
        <w:t>5</w:t>
      </w:r>
      <w:r>
        <w:rPr>
          <w:sz w:val="24"/>
        </w:rPr>
        <w:t>）声环境质量现状及保护目标</w:t>
      </w:r>
    </w:p>
    <w:p w:rsidR="00C223F5" w:rsidRDefault="005860D5">
      <w:pPr>
        <w:spacing w:line="360" w:lineRule="auto"/>
        <w:ind w:firstLineChars="200" w:firstLine="480"/>
        <w:rPr>
          <w:sz w:val="24"/>
        </w:rPr>
      </w:pPr>
      <w:r>
        <w:rPr>
          <w:sz w:val="24"/>
        </w:rPr>
        <w:t>声环境评价范围内</w:t>
      </w:r>
      <w:r>
        <w:rPr>
          <w:rFonts w:hint="eastAsia"/>
          <w:sz w:val="24"/>
        </w:rPr>
        <w:t>敏感点为工业场地附近的施阳台村、施阳台小学、念枣坪村以及运煤道路两侧居民点</w:t>
      </w:r>
      <w:r>
        <w:rPr>
          <w:sz w:val="24"/>
        </w:rPr>
        <w:t>。</w:t>
      </w:r>
    </w:p>
    <w:p w:rsidR="00C223F5" w:rsidRDefault="005860D5">
      <w:pPr>
        <w:pStyle w:val="hp"/>
        <w:ind w:firstLine="480"/>
      </w:pPr>
      <w:r>
        <w:t>根据环境质量现状监测结果可知，矿井工业场地各厂界</w:t>
      </w:r>
      <w:r>
        <w:rPr>
          <w:rFonts w:hint="eastAsia"/>
        </w:rPr>
        <w:t>及声敏感点</w:t>
      </w:r>
      <w:r>
        <w:t>现状噪声值均满足《声环境质量标准》（</w:t>
      </w:r>
      <w:r>
        <w:t>GB3096-2008</w:t>
      </w:r>
      <w:r>
        <w:t>）</w:t>
      </w:r>
      <w:r>
        <w:t>2</w:t>
      </w:r>
      <w:r>
        <w:t>类标准，表明评价区声环境质量现状良好。</w:t>
      </w:r>
    </w:p>
    <w:p w:rsidR="00C223F5" w:rsidRPr="00474756" w:rsidRDefault="005860D5">
      <w:pPr>
        <w:pStyle w:val="hp"/>
        <w:ind w:firstLine="480"/>
        <w:rPr>
          <w:color w:val="000000"/>
        </w:rPr>
      </w:pPr>
      <w:r w:rsidRPr="00474756">
        <w:rPr>
          <w:color w:val="000000"/>
        </w:rPr>
        <w:t>（</w:t>
      </w:r>
      <w:r w:rsidRPr="00474756">
        <w:rPr>
          <w:color w:val="000000"/>
        </w:rPr>
        <w:t>6</w:t>
      </w:r>
      <w:r w:rsidRPr="00474756">
        <w:rPr>
          <w:color w:val="000000"/>
        </w:rPr>
        <w:t>）土壤环境质量现状及保护目标</w:t>
      </w:r>
    </w:p>
    <w:p w:rsidR="00C223F5" w:rsidRDefault="005860D5">
      <w:pPr>
        <w:pStyle w:val="hp"/>
        <w:ind w:firstLine="480"/>
        <w:rPr>
          <w:color w:val="FF0000"/>
        </w:rPr>
      </w:pPr>
      <w:r w:rsidRPr="00474756">
        <w:rPr>
          <w:color w:val="000000"/>
        </w:rPr>
        <w:t>工业场地</w:t>
      </w:r>
      <w:r w:rsidRPr="00474756">
        <w:rPr>
          <w:rFonts w:hint="eastAsia"/>
          <w:color w:val="000000"/>
        </w:rPr>
        <w:t>及采区内各土壤监测点的</w:t>
      </w:r>
      <w:r w:rsidRPr="00474756">
        <w:rPr>
          <w:color w:val="000000"/>
        </w:rPr>
        <w:t>监测值</w:t>
      </w:r>
      <w:r w:rsidRPr="00474756">
        <w:rPr>
          <w:rFonts w:hint="eastAsia"/>
          <w:color w:val="000000"/>
        </w:rPr>
        <w:t>均</w:t>
      </w:r>
      <w:r w:rsidR="00474756" w:rsidRPr="00474756">
        <w:rPr>
          <w:rFonts w:hint="eastAsia"/>
          <w:color w:val="000000"/>
        </w:rPr>
        <w:t>分别</w:t>
      </w:r>
      <w:r w:rsidRPr="00474756">
        <w:rPr>
          <w:color w:val="000000"/>
        </w:rPr>
        <w:t>满足</w:t>
      </w:r>
      <w:r w:rsidRPr="00474756">
        <w:rPr>
          <w:rFonts w:hint="eastAsia"/>
          <w:color w:val="000000"/>
        </w:rPr>
        <w:t>相应的</w:t>
      </w:r>
      <w:r w:rsidRPr="00474756">
        <w:rPr>
          <w:color w:val="000000"/>
        </w:rPr>
        <w:t>《建设用地土壤污染风险管控标准》（试行）（</w:t>
      </w:r>
      <w:r w:rsidRPr="00474756">
        <w:rPr>
          <w:color w:val="000000"/>
        </w:rPr>
        <w:t>GB36600-2018</w:t>
      </w:r>
      <w:r w:rsidRPr="00474756">
        <w:rPr>
          <w:color w:val="000000"/>
        </w:rPr>
        <w:t>）和《农用地土壤污染风险管控标准》（试行）（</w:t>
      </w:r>
      <w:r w:rsidRPr="00474756">
        <w:rPr>
          <w:color w:val="000000"/>
        </w:rPr>
        <w:t>GB15618-2018</w:t>
      </w:r>
      <w:r w:rsidRPr="00474756">
        <w:rPr>
          <w:color w:val="000000"/>
        </w:rPr>
        <w:t>）筛选值标准</w:t>
      </w:r>
      <w:r w:rsidRPr="00474756">
        <w:rPr>
          <w:rFonts w:hint="eastAsia"/>
          <w:color w:val="000000"/>
        </w:rPr>
        <w:t>要求</w:t>
      </w:r>
      <w:r w:rsidRPr="00474756">
        <w:rPr>
          <w:color w:val="000000"/>
        </w:rPr>
        <w:t>，土壤环境质量良好</w:t>
      </w:r>
      <w:r w:rsidRPr="00474756">
        <w:rPr>
          <w:color w:val="0000FF"/>
        </w:rPr>
        <w:t>。</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603" w:name="_Toc533604803"/>
      <w:bookmarkStart w:id="604" w:name="_Toc533604383"/>
      <w:bookmarkStart w:id="605" w:name="_Toc16785353"/>
      <w:r>
        <w:rPr>
          <w:rFonts w:eastAsia="宋体" w:hint="eastAsia"/>
          <w:b/>
          <w:bCs w:val="0"/>
          <w:sz w:val="28"/>
          <w:szCs w:val="28"/>
        </w:rPr>
        <w:t>8.1.3</w:t>
      </w:r>
      <w:r>
        <w:rPr>
          <w:rFonts w:eastAsia="宋体" w:hint="eastAsia"/>
          <w:b/>
          <w:bCs w:val="0"/>
          <w:sz w:val="28"/>
          <w:szCs w:val="28"/>
        </w:rPr>
        <w:t>污染物排放情况</w:t>
      </w:r>
      <w:bookmarkEnd w:id="603"/>
      <w:bookmarkEnd w:id="604"/>
      <w:bookmarkEnd w:id="605"/>
    </w:p>
    <w:p w:rsidR="00C223F5" w:rsidRDefault="005860D5">
      <w:pPr>
        <w:spacing w:line="360" w:lineRule="auto"/>
        <w:ind w:firstLine="480"/>
        <w:rPr>
          <w:snapToGrid w:val="0"/>
          <w:sz w:val="24"/>
        </w:rPr>
      </w:pPr>
      <w:r>
        <w:rPr>
          <w:rFonts w:hint="eastAsia"/>
          <w:snapToGrid w:val="0"/>
          <w:sz w:val="24"/>
        </w:rPr>
        <w:t>（</w:t>
      </w:r>
      <w:r>
        <w:rPr>
          <w:rFonts w:hint="eastAsia"/>
          <w:snapToGrid w:val="0"/>
          <w:sz w:val="24"/>
        </w:rPr>
        <w:t>1</w:t>
      </w:r>
      <w:r>
        <w:rPr>
          <w:rFonts w:hint="eastAsia"/>
          <w:snapToGrid w:val="0"/>
          <w:sz w:val="24"/>
        </w:rPr>
        <w:t>）水污染物</w:t>
      </w:r>
    </w:p>
    <w:p w:rsidR="00C223F5" w:rsidRPr="00900CCD" w:rsidRDefault="005860D5">
      <w:pPr>
        <w:spacing w:line="360" w:lineRule="auto"/>
        <w:ind w:firstLine="480"/>
        <w:rPr>
          <w:snapToGrid w:val="0"/>
          <w:sz w:val="24"/>
        </w:rPr>
      </w:pPr>
      <w:r>
        <w:rPr>
          <w:rFonts w:hint="eastAsia"/>
          <w:snapToGrid w:val="0"/>
          <w:sz w:val="24"/>
        </w:rPr>
        <w:t>本项目运行期地面生产生活污水经处理达标后，全部回用；井下涌水经处理达标后，部分回用于地面及井下</w:t>
      </w:r>
      <w:r w:rsidRPr="00900CCD">
        <w:rPr>
          <w:rFonts w:hint="eastAsia"/>
          <w:snapToGrid w:val="0"/>
          <w:sz w:val="24"/>
        </w:rPr>
        <w:t>生产系统，其余达标排至蚂蚁河，向地表水环境排放污染物为化学需氧量</w:t>
      </w:r>
      <w:r w:rsidR="00CC667D">
        <w:rPr>
          <w:rFonts w:hint="eastAsia"/>
          <w:snapToGrid w:val="0"/>
          <w:color w:val="FF0000"/>
          <w:sz w:val="24"/>
        </w:rPr>
        <w:t>3.71</w:t>
      </w:r>
      <w:r w:rsidRPr="00900CCD">
        <w:rPr>
          <w:rFonts w:hint="eastAsia"/>
          <w:snapToGrid w:val="0"/>
          <w:sz w:val="24"/>
        </w:rPr>
        <w:t>t/a</w:t>
      </w:r>
      <w:r w:rsidRPr="00900CCD">
        <w:rPr>
          <w:rFonts w:hint="eastAsia"/>
          <w:snapToGrid w:val="0"/>
          <w:sz w:val="24"/>
        </w:rPr>
        <w:t>、氨氮</w:t>
      </w:r>
      <w:r w:rsidR="00CC667D">
        <w:rPr>
          <w:rFonts w:hint="eastAsia"/>
          <w:color w:val="FF0000"/>
          <w:sz w:val="24"/>
        </w:rPr>
        <w:t>0.12</w:t>
      </w:r>
      <w:r w:rsidRPr="00900CCD">
        <w:rPr>
          <w:sz w:val="24"/>
        </w:rPr>
        <w:t>t/a</w:t>
      </w:r>
      <w:r w:rsidRPr="00900CCD">
        <w:rPr>
          <w:rFonts w:hint="eastAsia"/>
          <w:snapToGrid w:val="0"/>
          <w:sz w:val="24"/>
        </w:rPr>
        <w:t>。</w:t>
      </w:r>
    </w:p>
    <w:p w:rsidR="00C223F5" w:rsidRDefault="005860D5">
      <w:pPr>
        <w:spacing w:line="360" w:lineRule="auto"/>
        <w:ind w:firstLine="480"/>
        <w:rPr>
          <w:snapToGrid w:val="0"/>
          <w:sz w:val="24"/>
        </w:rPr>
      </w:pPr>
      <w:r>
        <w:rPr>
          <w:rFonts w:hint="eastAsia"/>
          <w:snapToGrid w:val="0"/>
          <w:sz w:val="24"/>
        </w:rPr>
        <w:lastRenderedPageBreak/>
        <w:t>（</w:t>
      </w:r>
      <w:r>
        <w:rPr>
          <w:rFonts w:hint="eastAsia"/>
          <w:snapToGrid w:val="0"/>
          <w:sz w:val="24"/>
        </w:rPr>
        <w:t>2</w:t>
      </w:r>
      <w:r>
        <w:rPr>
          <w:rFonts w:hint="eastAsia"/>
          <w:snapToGrid w:val="0"/>
          <w:sz w:val="24"/>
        </w:rPr>
        <w:t>）大气污染物</w:t>
      </w:r>
    </w:p>
    <w:p w:rsidR="00C223F5" w:rsidRDefault="005860D5">
      <w:pPr>
        <w:spacing w:line="360" w:lineRule="auto"/>
        <w:ind w:firstLine="480"/>
        <w:rPr>
          <w:snapToGrid w:val="0"/>
          <w:sz w:val="24"/>
        </w:rPr>
      </w:pPr>
      <w:r>
        <w:rPr>
          <w:rFonts w:hint="eastAsia"/>
          <w:snapToGrid w:val="0"/>
          <w:sz w:val="24"/>
        </w:rPr>
        <w:t>本项目运行期向大气环境排放煤尘量为</w:t>
      </w:r>
      <w:r>
        <w:rPr>
          <w:rFonts w:hint="eastAsia"/>
          <w:sz w:val="24"/>
        </w:rPr>
        <w:t>0.063</w:t>
      </w:r>
      <w:r>
        <w:rPr>
          <w:rFonts w:hint="eastAsia"/>
          <w:snapToGrid w:val="0"/>
          <w:sz w:val="24"/>
        </w:rPr>
        <w:t>t/a</w:t>
      </w:r>
      <w:r>
        <w:rPr>
          <w:rFonts w:hint="eastAsia"/>
          <w:snapToGrid w:val="0"/>
          <w:sz w:val="24"/>
        </w:rPr>
        <w:t>。</w:t>
      </w:r>
    </w:p>
    <w:p w:rsidR="00C223F5" w:rsidRDefault="005860D5">
      <w:pPr>
        <w:spacing w:line="360" w:lineRule="auto"/>
        <w:ind w:firstLine="480"/>
        <w:rPr>
          <w:snapToGrid w:val="0"/>
          <w:sz w:val="24"/>
        </w:rPr>
      </w:pPr>
      <w:r>
        <w:rPr>
          <w:rFonts w:hint="eastAsia"/>
          <w:snapToGrid w:val="0"/>
          <w:sz w:val="24"/>
        </w:rPr>
        <w:t>（</w:t>
      </w:r>
      <w:r>
        <w:rPr>
          <w:rFonts w:hint="eastAsia"/>
          <w:snapToGrid w:val="0"/>
          <w:sz w:val="24"/>
        </w:rPr>
        <w:t>3</w:t>
      </w:r>
      <w:r>
        <w:rPr>
          <w:rFonts w:hint="eastAsia"/>
          <w:snapToGrid w:val="0"/>
          <w:sz w:val="24"/>
        </w:rPr>
        <w:t>）固体废物</w:t>
      </w:r>
    </w:p>
    <w:p w:rsidR="00C223F5" w:rsidRPr="00900CCD" w:rsidRDefault="005860D5">
      <w:pPr>
        <w:spacing w:line="360" w:lineRule="auto"/>
        <w:ind w:firstLineChars="200" w:firstLine="480"/>
        <w:rPr>
          <w:sz w:val="24"/>
        </w:rPr>
      </w:pPr>
      <w:r>
        <w:rPr>
          <w:sz w:val="24"/>
        </w:rPr>
        <w:t>项目</w:t>
      </w:r>
      <w:r>
        <w:rPr>
          <w:rFonts w:ascii="宋体" w:hAnsi="宋体" w:hint="eastAsia"/>
          <w:sz w:val="24"/>
        </w:rPr>
        <w:t>正常生产期间掘</w:t>
      </w:r>
      <w:r w:rsidRPr="00900CCD">
        <w:rPr>
          <w:rFonts w:ascii="宋体" w:hAnsi="宋体" w:hint="eastAsia"/>
          <w:sz w:val="24"/>
        </w:rPr>
        <w:t>进产生的矸石量很小，</w:t>
      </w:r>
      <w:r w:rsidR="005F7BDD" w:rsidRPr="00900CCD">
        <w:rPr>
          <w:rFonts w:ascii="宋体" w:hAnsi="宋体" w:hint="eastAsia"/>
          <w:sz w:val="24"/>
        </w:rPr>
        <w:t>不出井</w:t>
      </w:r>
      <w:r w:rsidR="005F7BDD" w:rsidRPr="00900CCD">
        <w:rPr>
          <w:rFonts w:hint="eastAsia"/>
          <w:sz w:val="24"/>
        </w:rPr>
        <w:t>；</w:t>
      </w:r>
      <w:r w:rsidRPr="00900CCD">
        <w:rPr>
          <w:sz w:val="24"/>
        </w:rPr>
        <w:t>地面洗选矸石</w:t>
      </w:r>
      <w:r w:rsidRPr="00900CCD">
        <w:rPr>
          <w:rFonts w:hint="eastAsia"/>
          <w:kern w:val="0"/>
          <w:sz w:val="24"/>
        </w:rPr>
        <w:t>24.7</w:t>
      </w:r>
      <w:r w:rsidRPr="00900CCD">
        <w:rPr>
          <w:rFonts w:hint="eastAsia"/>
          <w:kern w:val="0"/>
          <w:sz w:val="24"/>
        </w:rPr>
        <w:t>×</w:t>
      </w:r>
      <w:r w:rsidRPr="00900CCD">
        <w:rPr>
          <w:rFonts w:hint="eastAsia"/>
          <w:kern w:val="0"/>
          <w:sz w:val="24"/>
        </w:rPr>
        <w:t>10</w:t>
      </w:r>
      <w:r w:rsidRPr="00900CCD">
        <w:rPr>
          <w:rFonts w:hint="eastAsia"/>
          <w:kern w:val="0"/>
          <w:sz w:val="24"/>
          <w:vertAlign w:val="superscript"/>
        </w:rPr>
        <w:t>4</w:t>
      </w:r>
      <w:r w:rsidRPr="00900CCD">
        <w:rPr>
          <w:sz w:val="24"/>
        </w:rPr>
        <w:t>t</w:t>
      </w:r>
      <w:r w:rsidRPr="00900CCD">
        <w:rPr>
          <w:rFonts w:hint="eastAsia"/>
          <w:sz w:val="24"/>
        </w:rPr>
        <w:t>/a</w:t>
      </w:r>
      <w:r w:rsidRPr="00900CCD">
        <w:rPr>
          <w:sz w:val="24"/>
        </w:rPr>
        <w:t>，</w:t>
      </w:r>
      <w:r w:rsidRPr="00900CCD">
        <w:rPr>
          <w:rFonts w:hint="eastAsia"/>
          <w:sz w:val="24"/>
        </w:rPr>
        <w:t>优先综合利用于</w:t>
      </w:r>
      <w:r w:rsidRPr="00900CCD">
        <w:rPr>
          <w:rFonts w:hAnsi="宋体" w:hint="eastAsia"/>
          <w:sz w:val="24"/>
        </w:rPr>
        <w:t>子洲县马岔乡大堡岔兴盛砖厂和大堡岔红旗空心砖厂以及</w:t>
      </w:r>
      <w:r w:rsidR="002875DF" w:rsidRPr="00900CCD">
        <w:rPr>
          <w:rFonts w:hAnsi="宋体" w:hint="eastAsia"/>
          <w:sz w:val="24"/>
        </w:rPr>
        <w:t>圣拓（陕西）矿业有限公司作为井下</w:t>
      </w:r>
      <w:r w:rsidRPr="00900CCD">
        <w:rPr>
          <w:rFonts w:hAnsi="宋体" w:hint="eastAsia"/>
          <w:sz w:val="24"/>
        </w:rPr>
        <w:t>充填</w:t>
      </w:r>
      <w:r w:rsidR="002875DF" w:rsidRPr="00900CCD">
        <w:rPr>
          <w:rFonts w:hAnsi="宋体" w:hint="eastAsia"/>
          <w:sz w:val="24"/>
        </w:rPr>
        <w:t>原骨料</w:t>
      </w:r>
      <w:r w:rsidRPr="00900CCD">
        <w:rPr>
          <w:rFonts w:hAnsi="宋体" w:hint="eastAsia"/>
          <w:sz w:val="24"/>
        </w:rPr>
        <w:t>，</w:t>
      </w:r>
      <w:r w:rsidR="002875DF" w:rsidRPr="00900CCD">
        <w:rPr>
          <w:rFonts w:hAnsi="宋体" w:hint="eastAsia"/>
          <w:sz w:val="24"/>
        </w:rPr>
        <w:t>利用不畅时</w:t>
      </w:r>
      <w:r w:rsidRPr="00900CCD">
        <w:rPr>
          <w:rFonts w:hAnsi="宋体" w:hint="eastAsia"/>
          <w:sz w:val="24"/>
        </w:rPr>
        <w:t>经副斜井送至井下回填废弃巷道；</w:t>
      </w:r>
      <w:r w:rsidRPr="00900CCD">
        <w:rPr>
          <w:sz w:val="24"/>
        </w:rPr>
        <w:t>生活垃圾排放量为</w:t>
      </w:r>
      <w:r w:rsidRPr="00900CCD">
        <w:rPr>
          <w:rFonts w:hint="eastAsia"/>
          <w:sz w:val="24"/>
        </w:rPr>
        <w:t>149t</w:t>
      </w:r>
      <w:r w:rsidRPr="00900CCD">
        <w:rPr>
          <w:sz w:val="24"/>
        </w:rPr>
        <w:t>，矿井水处理站污泥约</w:t>
      </w:r>
      <w:r w:rsidRPr="00900CCD">
        <w:rPr>
          <w:rFonts w:hint="eastAsia"/>
          <w:sz w:val="24"/>
        </w:rPr>
        <w:t>34</w:t>
      </w:r>
      <w:r w:rsidRPr="00900CCD">
        <w:rPr>
          <w:sz w:val="24"/>
        </w:rPr>
        <w:t>t/a</w:t>
      </w:r>
      <w:r w:rsidRPr="00900CCD">
        <w:rPr>
          <w:sz w:val="24"/>
        </w:rPr>
        <w:t>，生活污水处理站污泥约</w:t>
      </w:r>
      <w:r w:rsidRPr="00900CCD">
        <w:rPr>
          <w:rFonts w:hint="eastAsia"/>
          <w:kern w:val="0"/>
          <w:sz w:val="24"/>
        </w:rPr>
        <w:t>5.28t/a</w:t>
      </w:r>
      <w:r w:rsidRPr="00900CCD">
        <w:rPr>
          <w:rFonts w:hint="eastAsia"/>
          <w:sz w:val="24"/>
        </w:rPr>
        <w:t>，危险废物产生量很少。</w:t>
      </w:r>
    </w:p>
    <w:p w:rsidR="00C223F5" w:rsidRPr="00900CCD" w:rsidRDefault="005860D5">
      <w:pPr>
        <w:pStyle w:val="hp"/>
        <w:ind w:firstLine="480"/>
        <w:rPr>
          <w:szCs w:val="44"/>
        </w:rPr>
      </w:pPr>
      <w:r w:rsidRPr="00900CCD">
        <w:rPr>
          <w:rFonts w:hint="eastAsia"/>
          <w:szCs w:val="44"/>
        </w:rPr>
        <w:t>（</w:t>
      </w:r>
      <w:r w:rsidRPr="00900CCD">
        <w:rPr>
          <w:szCs w:val="44"/>
        </w:rPr>
        <w:t>4</w:t>
      </w:r>
      <w:r w:rsidRPr="00900CCD">
        <w:rPr>
          <w:szCs w:val="44"/>
        </w:rPr>
        <w:t>）</w:t>
      </w:r>
      <w:r w:rsidRPr="00900CCD">
        <w:rPr>
          <w:rFonts w:hint="eastAsia"/>
          <w:szCs w:val="44"/>
        </w:rPr>
        <w:t>总量</w:t>
      </w:r>
      <w:r w:rsidRPr="00900CCD">
        <w:rPr>
          <w:szCs w:val="44"/>
        </w:rPr>
        <w:t>控制</w:t>
      </w:r>
    </w:p>
    <w:p w:rsidR="00C223F5" w:rsidRPr="00900CCD" w:rsidRDefault="005860D5">
      <w:pPr>
        <w:pStyle w:val="hp"/>
        <w:ind w:firstLine="480"/>
        <w:rPr>
          <w:szCs w:val="44"/>
        </w:rPr>
      </w:pPr>
      <w:r w:rsidRPr="00900CCD">
        <w:rPr>
          <w:rFonts w:hint="eastAsia"/>
          <w:szCs w:val="22"/>
        </w:rPr>
        <w:t>榆林市环保局以“榆政环函</w:t>
      </w:r>
      <w:r w:rsidRPr="00900CCD">
        <w:rPr>
          <w:rFonts w:hint="eastAsia"/>
          <w:szCs w:val="22"/>
        </w:rPr>
        <w:t>[2016]508</w:t>
      </w:r>
      <w:r w:rsidRPr="00900CCD">
        <w:rPr>
          <w:rFonts w:hint="eastAsia"/>
          <w:szCs w:val="22"/>
        </w:rPr>
        <w:t>号”</w:t>
      </w:r>
      <w:r w:rsidRPr="00900CCD">
        <w:rPr>
          <w:rFonts w:hint="eastAsia"/>
          <w:szCs w:val="44"/>
        </w:rPr>
        <w:t>批复</w:t>
      </w:r>
      <w:r w:rsidRPr="00900CCD">
        <w:rPr>
          <w:szCs w:val="44"/>
        </w:rPr>
        <w:t>了</w:t>
      </w:r>
      <w:r w:rsidRPr="00900CCD">
        <w:rPr>
          <w:rFonts w:hint="eastAsia"/>
          <w:szCs w:val="44"/>
        </w:rPr>
        <w:t>原天云煤矿污染物排放</w:t>
      </w:r>
      <w:r w:rsidRPr="00900CCD">
        <w:rPr>
          <w:szCs w:val="44"/>
        </w:rPr>
        <w:t>总量指标，其中氨氮</w:t>
      </w:r>
      <w:r w:rsidRPr="00900CCD">
        <w:rPr>
          <w:rFonts w:hint="eastAsia"/>
          <w:szCs w:val="44"/>
        </w:rPr>
        <w:t>为</w:t>
      </w:r>
      <w:r w:rsidRPr="00900CCD">
        <w:rPr>
          <w:szCs w:val="44"/>
        </w:rPr>
        <w:t>0.1</w:t>
      </w:r>
      <w:r w:rsidRPr="00900CCD">
        <w:rPr>
          <w:rFonts w:hint="eastAsia"/>
          <w:szCs w:val="44"/>
        </w:rPr>
        <w:t>8</w:t>
      </w:r>
      <w:r w:rsidRPr="00900CCD">
        <w:rPr>
          <w:szCs w:val="44"/>
        </w:rPr>
        <w:t>t/a</w:t>
      </w:r>
      <w:r w:rsidRPr="00900CCD">
        <w:rPr>
          <w:szCs w:val="44"/>
        </w:rPr>
        <w:t>，</w:t>
      </w:r>
      <w:r w:rsidRPr="00900CCD">
        <w:rPr>
          <w:szCs w:val="44"/>
        </w:rPr>
        <w:t xml:space="preserve">COD </w:t>
      </w:r>
      <w:r w:rsidRPr="00900CCD">
        <w:rPr>
          <w:rFonts w:hint="eastAsia"/>
          <w:szCs w:val="44"/>
        </w:rPr>
        <w:t>11.6</w:t>
      </w:r>
      <w:r w:rsidRPr="00900CCD">
        <w:rPr>
          <w:szCs w:val="44"/>
        </w:rPr>
        <w:t>t/a</w:t>
      </w:r>
      <w:r w:rsidRPr="00900CCD">
        <w:rPr>
          <w:rFonts w:hint="eastAsia"/>
          <w:szCs w:val="44"/>
        </w:rPr>
        <w:t>。</w:t>
      </w:r>
      <w:r w:rsidRPr="00900CCD">
        <w:rPr>
          <w:szCs w:val="44"/>
        </w:rPr>
        <w:t>本</w:t>
      </w:r>
      <w:r w:rsidRPr="00900CCD">
        <w:rPr>
          <w:rFonts w:hint="eastAsia"/>
          <w:szCs w:val="44"/>
        </w:rPr>
        <w:t>项目</w:t>
      </w:r>
      <w:r w:rsidRPr="00900CCD">
        <w:rPr>
          <w:szCs w:val="44"/>
        </w:rPr>
        <w:t>主要污染物排放</w:t>
      </w:r>
      <w:r w:rsidRPr="00900CCD">
        <w:rPr>
          <w:rFonts w:hint="eastAsia"/>
          <w:szCs w:val="44"/>
        </w:rPr>
        <w:t>量满足</w:t>
      </w:r>
      <w:r w:rsidRPr="00900CCD">
        <w:rPr>
          <w:szCs w:val="44"/>
        </w:rPr>
        <w:t>总量控制指标要求。</w:t>
      </w:r>
    </w:p>
    <w:p w:rsidR="00C223F5" w:rsidRPr="00900CCD" w:rsidRDefault="005860D5" w:rsidP="004835BD">
      <w:pPr>
        <w:pStyle w:val="3"/>
        <w:numPr>
          <w:ilvl w:val="0"/>
          <w:numId w:val="0"/>
        </w:numPr>
        <w:spacing w:before="0" w:after="0" w:line="360" w:lineRule="auto"/>
        <w:ind w:left="170"/>
        <w:rPr>
          <w:rFonts w:eastAsia="宋体"/>
          <w:b/>
          <w:bCs w:val="0"/>
          <w:sz w:val="28"/>
          <w:szCs w:val="28"/>
        </w:rPr>
      </w:pPr>
      <w:bookmarkStart w:id="606" w:name="_Toc533604804"/>
      <w:bookmarkStart w:id="607" w:name="_Toc533604384"/>
      <w:bookmarkStart w:id="608" w:name="_Toc16785354"/>
      <w:r w:rsidRPr="00900CCD">
        <w:rPr>
          <w:rFonts w:eastAsia="宋体" w:hint="eastAsia"/>
          <w:b/>
          <w:bCs w:val="0"/>
          <w:sz w:val="28"/>
          <w:szCs w:val="28"/>
        </w:rPr>
        <w:t>8.1.4</w:t>
      </w:r>
      <w:r w:rsidRPr="00900CCD">
        <w:rPr>
          <w:rFonts w:eastAsia="宋体" w:hint="eastAsia"/>
          <w:b/>
          <w:bCs w:val="0"/>
          <w:sz w:val="28"/>
          <w:szCs w:val="28"/>
        </w:rPr>
        <w:t>主要环境影响及防治措施</w:t>
      </w:r>
      <w:bookmarkEnd w:id="606"/>
      <w:bookmarkEnd w:id="607"/>
      <w:bookmarkEnd w:id="608"/>
    </w:p>
    <w:p w:rsidR="00C223F5" w:rsidRDefault="005860D5">
      <w:pPr>
        <w:spacing w:line="360" w:lineRule="auto"/>
        <w:ind w:firstLineChars="200" w:firstLine="480"/>
        <w:rPr>
          <w:snapToGrid w:val="0"/>
          <w:sz w:val="24"/>
        </w:rPr>
      </w:pPr>
      <w:r>
        <w:rPr>
          <w:rFonts w:hint="eastAsia"/>
          <w:snapToGrid w:val="0"/>
          <w:sz w:val="24"/>
        </w:rPr>
        <w:t>（</w:t>
      </w:r>
      <w:r>
        <w:rPr>
          <w:rFonts w:hint="eastAsia"/>
          <w:snapToGrid w:val="0"/>
          <w:sz w:val="24"/>
        </w:rPr>
        <w:t>1</w:t>
      </w:r>
      <w:r>
        <w:rPr>
          <w:rFonts w:hint="eastAsia"/>
          <w:snapToGrid w:val="0"/>
          <w:sz w:val="24"/>
        </w:rPr>
        <w:t>）生态环境</w:t>
      </w:r>
    </w:p>
    <w:p w:rsidR="00C223F5" w:rsidRDefault="000F32AE">
      <w:pPr>
        <w:spacing w:line="360" w:lineRule="auto"/>
        <w:ind w:firstLineChars="200" w:firstLine="480"/>
        <w:rPr>
          <w:snapToGrid w:val="0"/>
          <w:sz w:val="24"/>
        </w:rPr>
      </w:pPr>
      <w:r>
        <w:rPr>
          <w:snapToGrid w:val="0"/>
          <w:sz w:val="24"/>
        </w:rPr>
        <w:fldChar w:fldCharType="begin"/>
      </w:r>
      <w:r w:rsidR="005860D5">
        <w:rPr>
          <w:rFonts w:hint="eastAsia"/>
          <w:snapToGrid w:val="0"/>
          <w:sz w:val="24"/>
        </w:rPr>
        <w:instrText>= 1 \* GB3</w:instrText>
      </w:r>
      <w:r>
        <w:rPr>
          <w:snapToGrid w:val="0"/>
          <w:sz w:val="24"/>
        </w:rPr>
        <w:fldChar w:fldCharType="separate"/>
      </w:r>
      <w:r w:rsidR="005860D5">
        <w:rPr>
          <w:rFonts w:hint="eastAsia"/>
          <w:snapToGrid w:val="0"/>
          <w:sz w:val="24"/>
        </w:rPr>
        <w:t>①</w:t>
      </w:r>
      <w:r>
        <w:rPr>
          <w:snapToGrid w:val="0"/>
          <w:sz w:val="24"/>
        </w:rPr>
        <w:fldChar w:fldCharType="end"/>
      </w:r>
      <w:r w:rsidR="005860D5">
        <w:rPr>
          <w:snapToGrid w:val="0"/>
          <w:sz w:val="24"/>
        </w:rPr>
        <w:t>施工期环境影响与防治措施</w:t>
      </w:r>
    </w:p>
    <w:p w:rsidR="00C223F5" w:rsidRDefault="005860D5">
      <w:pPr>
        <w:spacing w:line="360" w:lineRule="auto"/>
        <w:ind w:firstLineChars="200" w:firstLine="480"/>
        <w:rPr>
          <w:color w:val="000000"/>
          <w:sz w:val="24"/>
        </w:rPr>
      </w:pPr>
      <w:r>
        <w:rPr>
          <w:rFonts w:hint="eastAsia"/>
          <w:sz w:val="24"/>
        </w:rPr>
        <w:t>建设期生态环境影响因素主要包括工业场地和道路的土地压占与开挖，土地压占与开挖会破坏地表植被，改变地表形态和生态景观，还将改变土地利用类型，造成土地利用结构和功能的变化，同时增加水土流失。天云</w:t>
      </w:r>
      <w:r>
        <w:rPr>
          <w:color w:val="000000"/>
          <w:sz w:val="24"/>
        </w:rPr>
        <w:t>煤矿总占地面积</w:t>
      </w:r>
      <w:r>
        <w:rPr>
          <w:rFonts w:hint="eastAsia"/>
          <w:sz w:val="24"/>
        </w:rPr>
        <w:t>11.51hm</w:t>
      </w:r>
      <w:r>
        <w:rPr>
          <w:rFonts w:hint="eastAsia"/>
          <w:sz w:val="24"/>
          <w:vertAlign w:val="superscript"/>
        </w:rPr>
        <w:t>2</w:t>
      </w:r>
      <w:r>
        <w:rPr>
          <w:rFonts w:hint="eastAsia"/>
          <w:sz w:val="24"/>
        </w:rPr>
        <w:t>，其中永久</w:t>
      </w:r>
      <w:r>
        <w:rPr>
          <w:sz w:val="24"/>
        </w:rPr>
        <w:t>占地面积</w:t>
      </w:r>
      <w:r>
        <w:rPr>
          <w:rFonts w:hint="eastAsia"/>
          <w:sz w:val="24"/>
        </w:rPr>
        <w:t>8.23</w:t>
      </w:r>
      <w:r>
        <w:rPr>
          <w:sz w:val="24"/>
        </w:rPr>
        <w:t>hm</w:t>
      </w:r>
      <w:r>
        <w:rPr>
          <w:sz w:val="24"/>
          <w:vertAlign w:val="superscript"/>
        </w:rPr>
        <w:t>2</w:t>
      </w:r>
      <w:r>
        <w:rPr>
          <w:color w:val="000000"/>
          <w:sz w:val="24"/>
        </w:rPr>
        <w:t>，</w:t>
      </w:r>
      <w:r>
        <w:rPr>
          <w:rFonts w:hint="eastAsia"/>
          <w:color w:val="000000"/>
          <w:sz w:val="24"/>
        </w:rPr>
        <w:t>新增</w:t>
      </w:r>
      <w:r>
        <w:rPr>
          <w:color w:val="000000"/>
          <w:sz w:val="24"/>
        </w:rPr>
        <w:t>占地</w:t>
      </w:r>
      <w:r w:rsidRPr="009E36FB">
        <w:rPr>
          <w:color w:val="000000"/>
          <w:sz w:val="24"/>
        </w:rPr>
        <w:t>类型主要为</w:t>
      </w:r>
      <w:r w:rsidRPr="009E36FB">
        <w:rPr>
          <w:rFonts w:hint="eastAsia"/>
          <w:color w:val="000000"/>
          <w:sz w:val="24"/>
        </w:rPr>
        <w:t>草地及</w:t>
      </w:r>
      <w:r w:rsidRPr="009E36FB">
        <w:rPr>
          <w:color w:val="000000"/>
          <w:sz w:val="24"/>
        </w:rPr>
        <w:t>灌林地。</w:t>
      </w:r>
    </w:p>
    <w:p w:rsidR="00C223F5" w:rsidRDefault="005860D5">
      <w:pPr>
        <w:spacing w:line="360" w:lineRule="auto"/>
        <w:ind w:firstLineChars="200" w:firstLine="480"/>
        <w:rPr>
          <w:sz w:val="24"/>
        </w:rPr>
      </w:pPr>
      <w:r>
        <w:rPr>
          <w:sz w:val="24"/>
        </w:rPr>
        <w:t>建设单位应按照设计及环评要求</w:t>
      </w:r>
      <w:r>
        <w:rPr>
          <w:bCs/>
          <w:sz w:val="24"/>
        </w:rPr>
        <w:t>严格控制施工范围；</w:t>
      </w:r>
      <w:r>
        <w:rPr>
          <w:sz w:val="24"/>
        </w:rPr>
        <w:t>加快落实矿井水土保持方案提出的水土保持措施，禁止施工区内弃渣弃土乱堆乱放；对施工结束的占地，尽快进行绿化；弃渣场应碾压正平，进行生态恢复。</w:t>
      </w:r>
    </w:p>
    <w:p w:rsidR="00C223F5" w:rsidRDefault="000F32AE">
      <w:pPr>
        <w:spacing w:line="360" w:lineRule="auto"/>
        <w:ind w:firstLineChars="200" w:firstLine="480"/>
        <w:rPr>
          <w:snapToGrid w:val="0"/>
          <w:sz w:val="24"/>
        </w:rPr>
      </w:pPr>
      <w:r>
        <w:rPr>
          <w:snapToGrid w:val="0"/>
          <w:sz w:val="24"/>
        </w:rPr>
        <w:fldChar w:fldCharType="begin"/>
      </w:r>
      <w:r w:rsidR="005860D5">
        <w:rPr>
          <w:rFonts w:hint="eastAsia"/>
          <w:snapToGrid w:val="0"/>
          <w:sz w:val="24"/>
        </w:rPr>
        <w:instrText>= 2 \* GB3</w:instrText>
      </w:r>
      <w:r>
        <w:rPr>
          <w:snapToGrid w:val="0"/>
          <w:sz w:val="24"/>
        </w:rPr>
        <w:fldChar w:fldCharType="separate"/>
      </w:r>
      <w:r w:rsidR="005860D5">
        <w:rPr>
          <w:rFonts w:hint="eastAsia"/>
          <w:snapToGrid w:val="0"/>
          <w:sz w:val="24"/>
        </w:rPr>
        <w:t>②</w:t>
      </w:r>
      <w:r>
        <w:rPr>
          <w:snapToGrid w:val="0"/>
          <w:sz w:val="24"/>
        </w:rPr>
        <w:fldChar w:fldCharType="end"/>
      </w:r>
      <w:r w:rsidR="005860D5">
        <w:rPr>
          <w:snapToGrid w:val="0"/>
          <w:sz w:val="24"/>
        </w:rPr>
        <w:t>营运期生态影响及治理措施</w:t>
      </w:r>
    </w:p>
    <w:p w:rsidR="00C223F5" w:rsidRDefault="005860D5">
      <w:pPr>
        <w:spacing w:line="360" w:lineRule="auto"/>
        <w:ind w:firstLineChars="200" w:firstLine="480"/>
        <w:rPr>
          <w:sz w:val="24"/>
        </w:rPr>
      </w:pPr>
      <w:r>
        <w:rPr>
          <w:rFonts w:hint="eastAsia"/>
          <w:sz w:val="24"/>
        </w:rPr>
        <w:t>在采取设计和环评优化保护煤柱等措施后，天云煤矿全井田</w:t>
      </w:r>
      <w:r>
        <w:rPr>
          <w:kern w:val="0"/>
          <w:sz w:val="24"/>
        </w:rPr>
        <w:t>开采后地表最大下沉值为</w:t>
      </w:r>
      <w:r>
        <w:rPr>
          <w:rFonts w:hint="eastAsia"/>
          <w:sz w:val="24"/>
        </w:rPr>
        <w:t>2.55</w:t>
      </w:r>
      <w:r>
        <w:rPr>
          <w:sz w:val="24"/>
        </w:rPr>
        <w:t>m</w:t>
      </w:r>
      <w:r>
        <w:rPr>
          <w:kern w:val="0"/>
          <w:sz w:val="24"/>
        </w:rPr>
        <w:t>，</w:t>
      </w:r>
      <w:r>
        <w:rPr>
          <w:rFonts w:hint="eastAsia"/>
          <w:kern w:val="0"/>
          <w:sz w:val="24"/>
        </w:rPr>
        <w:t>全井</w:t>
      </w:r>
      <w:r>
        <w:rPr>
          <w:rFonts w:hint="eastAsia"/>
          <w:sz w:val="24"/>
        </w:rPr>
        <w:t>田开采结束后</w:t>
      </w:r>
      <w:r>
        <w:rPr>
          <w:sz w:val="24"/>
        </w:rPr>
        <w:t>地表沉陷面积</w:t>
      </w:r>
      <w:r>
        <w:rPr>
          <w:rFonts w:hint="eastAsia"/>
          <w:sz w:val="24"/>
        </w:rPr>
        <w:t>39.45</w:t>
      </w:r>
      <w:r>
        <w:rPr>
          <w:sz w:val="24"/>
        </w:rPr>
        <w:t>km</w:t>
      </w:r>
      <w:r>
        <w:rPr>
          <w:sz w:val="24"/>
          <w:vertAlign w:val="superscript"/>
        </w:rPr>
        <w:t>2</w:t>
      </w:r>
      <w:r>
        <w:rPr>
          <w:rFonts w:hint="eastAsia"/>
          <w:kern w:val="0"/>
          <w:sz w:val="24"/>
        </w:rPr>
        <w:t>，地表</w:t>
      </w:r>
      <w:r>
        <w:rPr>
          <w:kern w:val="0"/>
          <w:sz w:val="24"/>
        </w:rPr>
        <w:t>沉陷对</w:t>
      </w:r>
      <w:r>
        <w:rPr>
          <w:rFonts w:hint="eastAsia"/>
          <w:kern w:val="0"/>
          <w:sz w:val="24"/>
        </w:rPr>
        <w:t>土地</w:t>
      </w:r>
      <w:r>
        <w:rPr>
          <w:kern w:val="0"/>
          <w:sz w:val="24"/>
        </w:rPr>
        <w:t>资源</w:t>
      </w:r>
      <w:r>
        <w:rPr>
          <w:rFonts w:hint="eastAsia"/>
          <w:kern w:val="0"/>
          <w:sz w:val="24"/>
        </w:rPr>
        <w:t>主要</w:t>
      </w:r>
      <w:r>
        <w:rPr>
          <w:kern w:val="0"/>
          <w:sz w:val="24"/>
        </w:rPr>
        <w:t>为轻度影响</w:t>
      </w:r>
      <w:r>
        <w:rPr>
          <w:rFonts w:hint="eastAsia"/>
          <w:kern w:val="0"/>
          <w:sz w:val="24"/>
        </w:rPr>
        <w:t>，</w:t>
      </w:r>
      <w:r>
        <w:rPr>
          <w:sz w:val="24"/>
        </w:rPr>
        <w:t>沉陷影响范围最大一般在</w:t>
      </w:r>
      <w:r>
        <w:rPr>
          <w:rFonts w:hint="eastAsia"/>
          <w:sz w:val="24"/>
        </w:rPr>
        <w:t>开采区</w:t>
      </w:r>
      <w:r>
        <w:rPr>
          <w:sz w:val="24"/>
        </w:rPr>
        <w:t>边界外侧</w:t>
      </w:r>
      <w:r>
        <w:rPr>
          <w:rFonts w:hint="eastAsia"/>
          <w:sz w:val="24"/>
        </w:rPr>
        <w:t>38.16~77.73</w:t>
      </w:r>
      <w:r>
        <w:rPr>
          <w:sz w:val="24"/>
        </w:rPr>
        <w:t>m</w:t>
      </w:r>
      <w:r>
        <w:rPr>
          <w:sz w:val="24"/>
        </w:rPr>
        <w:t>范围内。</w:t>
      </w:r>
    </w:p>
    <w:p w:rsidR="00C223F5" w:rsidRDefault="005860D5">
      <w:pPr>
        <w:spacing w:line="360" w:lineRule="auto"/>
        <w:ind w:firstLineChars="200" w:firstLine="480"/>
        <w:rPr>
          <w:color w:val="FF0000"/>
          <w:kern w:val="0"/>
          <w:sz w:val="24"/>
        </w:rPr>
      </w:pPr>
      <w:r>
        <w:rPr>
          <w:sz w:val="24"/>
        </w:rPr>
        <w:t>设计</w:t>
      </w:r>
      <w:r>
        <w:rPr>
          <w:rFonts w:hint="eastAsia"/>
          <w:sz w:val="24"/>
        </w:rPr>
        <w:t>及环评要求</w:t>
      </w:r>
      <w:r>
        <w:rPr>
          <w:sz w:val="24"/>
        </w:rPr>
        <w:t>对井田内工业场地、井筒巷道、井田边界、</w:t>
      </w:r>
      <w:r>
        <w:rPr>
          <w:rFonts w:hint="eastAsia"/>
          <w:sz w:val="24"/>
        </w:rPr>
        <w:t>油井及</w:t>
      </w:r>
      <w:r>
        <w:rPr>
          <w:sz w:val="24"/>
        </w:rPr>
        <w:t>脱水站</w:t>
      </w:r>
      <w:r>
        <w:rPr>
          <w:rFonts w:hint="eastAsia"/>
          <w:sz w:val="24"/>
        </w:rPr>
        <w:t>、</w:t>
      </w:r>
      <w:r>
        <w:rPr>
          <w:rFonts w:hint="eastAsia"/>
          <w:sz w:val="24"/>
        </w:rPr>
        <w:t>750kV</w:t>
      </w:r>
      <w:r>
        <w:rPr>
          <w:rFonts w:hint="eastAsia"/>
          <w:sz w:val="24"/>
        </w:rPr>
        <w:t>高压线塔基、</w:t>
      </w:r>
      <w:r>
        <w:rPr>
          <w:sz w:val="24"/>
        </w:rPr>
        <w:t>青银高速公路</w:t>
      </w:r>
      <w:r>
        <w:rPr>
          <w:rFonts w:hint="eastAsia"/>
          <w:sz w:val="24"/>
        </w:rPr>
        <w:t>（</w:t>
      </w:r>
      <w:r>
        <w:rPr>
          <w:rFonts w:hint="eastAsia"/>
          <w:sz w:val="24"/>
        </w:rPr>
        <w:t>G20</w:t>
      </w:r>
      <w:r>
        <w:rPr>
          <w:rFonts w:hint="eastAsia"/>
          <w:sz w:val="24"/>
        </w:rPr>
        <w:t>）、</w:t>
      </w:r>
      <w:r>
        <w:rPr>
          <w:rFonts w:hint="eastAsia"/>
          <w:sz w:val="24"/>
        </w:rPr>
        <w:t>G</w:t>
      </w:r>
      <w:r>
        <w:rPr>
          <w:sz w:val="24"/>
        </w:rPr>
        <w:t>307</w:t>
      </w:r>
      <w:r>
        <w:rPr>
          <w:sz w:val="24"/>
        </w:rPr>
        <w:t>国道</w:t>
      </w:r>
      <w:r>
        <w:rPr>
          <w:rFonts w:hint="eastAsia"/>
          <w:sz w:val="24"/>
        </w:rPr>
        <w:t>、</w:t>
      </w:r>
      <w:r>
        <w:rPr>
          <w:sz w:val="24"/>
        </w:rPr>
        <w:t>太（原）中（卫）银（川）铁路</w:t>
      </w:r>
      <w:r>
        <w:rPr>
          <w:rFonts w:hint="eastAsia"/>
          <w:sz w:val="24"/>
        </w:rPr>
        <w:t>（含隧道斜井）、蚂蚁河、大理河及湿地、文物及村庄</w:t>
      </w:r>
      <w:r>
        <w:rPr>
          <w:sz w:val="24"/>
        </w:rPr>
        <w:t>等留设保护煤柱，</w:t>
      </w:r>
      <w:r>
        <w:rPr>
          <w:rFonts w:hint="eastAsia"/>
          <w:sz w:val="24"/>
        </w:rPr>
        <w:t>沉陷</w:t>
      </w:r>
      <w:r>
        <w:rPr>
          <w:sz w:val="24"/>
        </w:rPr>
        <w:t>对其影响不大。</w:t>
      </w:r>
      <w:r>
        <w:rPr>
          <w:rFonts w:hint="eastAsia"/>
          <w:sz w:val="24"/>
        </w:rPr>
        <w:t>对沉陷区采取及时平整、治理等土地复垦措施；对输变电、通讯</w:t>
      </w:r>
      <w:r>
        <w:rPr>
          <w:rFonts w:hint="eastAsia"/>
          <w:sz w:val="24"/>
        </w:rPr>
        <w:lastRenderedPageBreak/>
        <w:t>线路及道路，采取采前加固、采后修复或重修相结合的综合措施加以治理。在</w:t>
      </w:r>
      <w:r>
        <w:rPr>
          <w:sz w:val="24"/>
        </w:rPr>
        <w:t>采取</w:t>
      </w:r>
      <w:r>
        <w:rPr>
          <w:rFonts w:hint="eastAsia"/>
          <w:sz w:val="24"/>
        </w:rPr>
        <w:t>环评</w:t>
      </w:r>
      <w:r>
        <w:rPr>
          <w:sz w:val="24"/>
        </w:rPr>
        <w:t>要求措施前提下，项目开采对生态环境影响在可接受范围内。</w:t>
      </w:r>
    </w:p>
    <w:p w:rsidR="00C223F5" w:rsidRDefault="005860D5">
      <w:pPr>
        <w:spacing w:line="360" w:lineRule="auto"/>
        <w:ind w:firstLineChars="200" w:firstLine="480"/>
        <w:rPr>
          <w:sz w:val="24"/>
        </w:rPr>
      </w:pPr>
      <w:r>
        <w:rPr>
          <w:sz w:val="24"/>
          <w:szCs w:val="28"/>
        </w:rPr>
        <w:t>根据《陕西省煤炭石油天然气资源开采水土流失补偿费征收使用管理办法》，</w:t>
      </w:r>
      <w:r>
        <w:rPr>
          <w:rFonts w:hint="eastAsia"/>
          <w:sz w:val="24"/>
          <w:szCs w:val="28"/>
        </w:rPr>
        <w:t>本项目</w:t>
      </w:r>
      <w:r>
        <w:rPr>
          <w:sz w:val="24"/>
          <w:szCs w:val="28"/>
        </w:rPr>
        <w:t>每年共计缴纳生态补偿费</w:t>
      </w:r>
      <w:r>
        <w:rPr>
          <w:rFonts w:hint="eastAsia"/>
          <w:sz w:val="24"/>
          <w:szCs w:val="28"/>
        </w:rPr>
        <w:t>450</w:t>
      </w:r>
      <w:r>
        <w:rPr>
          <w:sz w:val="24"/>
          <w:szCs w:val="28"/>
        </w:rPr>
        <w:t>万元，</w:t>
      </w:r>
      <w:r>
        <w:rPr>
          <w:rFonts w:hint="eastAsia"/>
          <w:sz w:val="24"/>
          <w:szCs w:val="28"/>
        </w:rPr>
        <w:t>专款用于</w:t>
      </w:r>
      <w:r>
        <w:rPr>
          <w:sz w:val="24"/>
          <w:szCs w:val="28"/>
        </w:rPr>
        <w:t>地表沉陷生态恢复</w:t>
      </w:r>
      <w:r>
        <w:rPr>
          <w:rFonts w:hint="eastAsia"/>
          <w:sz w:val="24"/>
          <w:szCs w:val="28"/>
        </w:rPr>
        <w:t>治理</w:t>
      </w:r>
      <w:r>
        <w:rPr>
          <w:sz w:val="24"/>
          <w:szCs w:val="28"/>
        </w:rPr>
        <w:t>。</w:t>
      </w:r>
    </w:p>
    <w:p w:rsidR="00C223F5" w:rsidRDefault="005860D5">
      <w:pPr>
        <w:spacing w:line="360" w:lineRule="auto"/>
        <w:ind w:firstLine="480"/>
        <w:rPr>
          <w:snapToGrid w:val="0"/>
          <w:sz w:val="24"/>
        </w:rPr>
      </w:pPr>
      <w:r>
        <w:rPr>
          <w:rFonts w:hint="eastAsia"/>
          <w:snapToGrid w:val="0"/>
          <w:sz w:val="24"/>
        </w:rPr>
        <w:t>（</w:t>
      </w:r>
      <w:r>
        <w:rPr>
          <w:rFonts w:hint="eastAsia"/>
          <w:snapToGrid w:val="0"/>
          <w:sz w:val="24"/>
        </w:rPr>
        <w:t>2</w:t>
      </w:r>
      <w:r>
        <w:rPr>
          <w:rFonts w:hint="eastAsia"/>
          <w:snapToGrid w:val="0"/>
          <w:sz w:val="24"/>
        </w:rPr>
        <w:t>）地下水</w:t>
      </w:r>
    </w:p>
    <w:p w:rsidR="00C223F5" w:rsidRDefault="000F32AE">
      <w:pPr>
        <w:pStyle w:val="hp"/>
        <w:ind w:firstLine="480"/>
      </w:pPr>
      <w:r>
        <w:rPr>
          <w:szCs w:val="28"/>
        </w:rPr>
        <w:fldChar w:fldCharType="begin"/>
      </w:r>
      <w:r w:rsidR="005860D5">
        <w:rPr>
          <w:rFonts w:hint="eastAsia"/>
          <w:szCs w:val="28"/>
        </w:rPr>
        <w:instrText>= 1 \* GB3</w:instrText>
      </w:r>
      <w:r>
        <w:rPr>
          <w:szCs w:val="28"/>
        </w:rPr>
        <w:fldChar w:fldCharType="separate"/>
      </w:r>
      <w:r w:rsidR="005860D5">
        <w:rPr>
          <w:rFonts w:hint="eastAsia"/>
          <w:szCs w:val="28"/>
        </w:rPr>
        <w:t>①</w:t>
      </w:r>
      <w:r>
        <w:rPr>
          <w:szCs w:val="28"/>
        </w:rPr>
        <w:fldChar w:fldCharType="end"/>
      </w:r>
      <w:r w:rsidR="005860D5">
        <w:t>建设期地下水环境影响</w:t>
      </w:r>
      <w:r w:rsidR="005860D5">
        <w:rPr>
          <w:rFonts w:hint="eastAsia"/>
        </w:rPr>
        <w:t>分析</w:t>
      </w:r>
    </w:p>
    <w:p w:rsidR="00C223F5" w:rsidRDefault="005860D5">
      <w:pPr>
        <w:spacing w:line="360" w:lineRule="auto"/>
        <w:ind w:firstLineChars="200" w:firstLine="480"/>
        <w:rPr>
          <w:sz w:val="24"/>
        </w:rPr>
      </w:pPr>
      <w:r>
        <w:rPr>
          <w:sz w:val="24"/>
        </w:rPr>
        <w:t>建设期地下水环境影响因素主要为工程施工废水、施工人员生活污水处置不当排放对地下水水质影响，另外井巷工程施工穿越地下含水层会造成含水层水量流失</w:t>
      </w:r>
      <w:r>
        <w:rPr>
          <w:rFonts w:hint="eastAsia"/>
          <w:sz w:val="24"/>
        </w:rPr>
        <w:t>，项目施工废水和生活污水全部回用，井筒淋水回用，施工期对地下水环境影响轻微。</w:t>
      </w:r>
    </w:p>
    <w:p w:rsidR="00C223F5" w:rsidRDefault="000F32AE">
      <w:pPr>
        <w:spacing w:line="360" w:lineRule="auto"/>
        <w:ind w:firstLineChars="200" w:firstLine="480"/>
        <w:rPr>
          <w:sz w:val="24"/>
        </w:rPr>
      </w:pPr>
      <w:r>
        <w:rPr>
          <w:sz w:val="24"/>
          <w:szCs w:val="28"/>
        </w:rPr>
        <w:fldChar w:fldCharType="begin"/>
      </w:r>
      <w:r w:rsidR="005860D5">
        <w:rPr>
          <w:rFonts w:hint="eastAsia"/>
          <w:sz w:val="24"/>
          <w:szCs w:val="28"/>
        </w:rPr>
        <w:instrText>= 2 \* GB3</w:instrText>
      </w:r>
      <w:r>
        <w:rPr>
          <w:sz w:val="24"/>
          <w:szCs w:val="28"/>
        </w:rPr>
        <w:fldChar w:fldCharType="separate"/>
      </w:r>
      <w:r w:rsidR="005860D5">
        <w:rPr>
          <w:rFonts w:hint="eastAsia"/>
          <w:sz w:val="24"/>
          <w:szCs w:val="28"/>
        </w:rPr>
        <w:t>②</w:t>
      </w:r>
      <w:r>
        <w:rPr>
          <w:sz w:val="24"/>
          <w:szCs w:val="28"/>
        </w:rPr>
        <w:fldChar w:fldCharType="end"/>
      </w:r>
      <w:r w:rsidR="005860D5">
        <w:rPr>
          <w:sz w:val="24"/>
        </w:rPr>
        <w:t>运行期地下水环境影响</w:t>
      </w:r>
      <w:r w:rsidR="005860D5">
        <w:rPr>
          <w:rFonts w:hint="eastAsia"/>
          <w:sz w:val="24"/>
        </w:rPr>
        <w:t>预测及防治措施</w:t>
      </w:r>
    </w:p>
    <w:p w:rsidR="00C223F5" w:rsidRDefault="005860D5">
      <w:pPr>
        <w:pStyle w:val="aff1"/>
        <w:spacing w:line="360" w:lineRule="auto"/>
        <w:ind w:left="0" w:firstLineChars="200" w:firstLine="480"/>
        <w:rPr>
          <w:color w:val="000000"/>
          <w:szCs w:val="24"/>
        </w:rPr>
      </w:pPr>
      <w:r>
        <w:t>预测</w:t>
      </w:r>
      <w:r>
        <w:rPr>
          <w:rFonts w:hint="eastAsia"/>
        </w:rPr>
        <w:t>开采区内</w:t>
      </w:r>
      <w:r>
        <w:rPr>
          <w:rFonts w:hint="eastAsia"/>
          <w:szCs w:val="24"/>
        </w:rPr>
        <w:t>4</w:t>
      </w:r>
      <w:r>
        <w:rPr>
          <w:rFonts w:hint="eastAsia"/>
          <w:szCs w:val="24"/>
          <w:vertAlign w:val="superscript"/>
        </w:rPr>
        <w:t>-1</w:t>
      </w:r>
      <w:r>
        <w:rPr>
          <w:rFonts w:hint="eastAsia"/>
          <w:szCs w:val="24"/>
        </w:rPr>
        <w:t>、</w:t>
      </w:r>
      <w:r>
        <w:rPr>
          <w:rFonts w:hint="eastAsia"/>
          <w:szCs w:val="24"/>
        </w:rPr>
        <w:t>4</w:t>
      </w:r>
      <w:r>
        <w:rPr>
          <w:rFonts w:hint="eastAsia"/>
          <w:szCs w:val="24"/>
          <w:vertAlign w:val="superscript"/>
        </w:rPr>
        <w:t>-2</w:t>
      </w:r>
      <w:r>
        <w:rPr>
          <w:rFonts w:hint="eastAsia"/>
          <w:kern w:val="28"/>
          <w:szCs w:val="24"/>
        </w:rPr>
        <w:t>煤开采</w:t>
      </w:r>
      <w:r>
        <w:rPr>
          <w:szCs w:val="24"/>
        </w:rPr>
        <w:t>导水裂隙带最大高度</w:t>
      </w:r>
      <w:r>
        <w:rPr>
          <w:rFonts w:hint="eastAsia"/>
          <w:szCs w:val="24"/>
        </w:rPr>
        <w:t>分别为</w:t>
      </w:r>
      <w:r>
        <w:rPr>
          <w:rFonts w:hint="eastAsia"/>
          <w:szCs w:val="24"/>
        </w:rPr>
        <w:t>44.06</w:t>
      </w:r>
      <w:r>
        <w:rPr>
          <w:szCs w:val="24"/>
        </w:rPr>
        <w:t>m</w:t>
      </w:r>
      <w:r>
        <w:rPr>
          <w:rFonts w:hint="eastAsia"/>
          <w:szCs w:val="24"/>
        </w:rPr>
        <w:t>、</w:t>
      </w:r>
      <w:r>
        <w:rPr>
          <w:rFonts w:hint="eastAsia"/>
          <w:szCs w:val="24"/>
        </w:rPr>
        <w:t>36.15</w:t>
      </w:r>
      <w:r>
        <w:rPr>
          <w:szCs w:val="24"/>
        </w:rPr>
        <w:t>m</w:t>
      </w:r>
      <w:r>
        <w:rPr>
          <w:rFonts w:hint="eastAsia"/>
          <w:szCs w:val="24"/>
        </w:rPr>
        <w:t>，最大防水煤岩柱高度分别为</w:t>
      </w:r>
      <w:r>
        <w:rPr>
          <w:rFonts w:hint="eastAsia"/>
          <w:szCs w:val="24"/>
        </w:rPr>
        <w:t>52.76m</w:t>
      </w:r>
      <w:r>
        <w:rPr>
          <w:rFonts w:hint="eastAsia"/>
          <w:szCs w:val="24"/>
        </w:rPr>
        <w:t>、</w:t>
      </w:r>
      <w:r>
        <w:rPr>
          <w:rFonts w:hint="eastAsia"/>
          <w:szCs w:val="24"/>
        </w:rPr>
        <w:t>41.28m</w:t>
      </w:r>
      <w:r>
        <w:rPr>
          <w:rFonts w:hint="eastAsia"/>
          <w:szCs w:val="24"/>
        </w:rPr>
        <w:t>；根据地质勘探资料，</w:t>
      </w:r>
      <w:r>
        <w:rPr>
          <w:rFonts w:hint="eastAsia"/>
          <w:szCs w:val="24"/>
        </w:rPr>
        <w:t>4</w:t>
      </w:r>
      <w:r>
        <w:rPr>
          <w:rFonts w:hint="eastAsia"/>
          <w:szCs w:val="24"/>
          <w:vertAlign w:val="superscript"/>
        </w:rPr>
        <w:t>-1</w:t>
      </w:r>
      <w:r>
        <w:rPr>
          <w:rFonts w:hint="eastAsia"/>
          <w:szCs w:val="24"/>
        </w:rPr>
        <w:t>号与</w:t>
      </w:r>
      <w:r>
        <w:rPr>
          <w:rFonts w:hint="eastAsia"/>
          <w:szCs w:val="24"/>
        </w:rPr>
        <w:t>4</w:t>
      </w:r>
      <w:r>
        <w:rPr>
          <w:rFonts w:hint="eastAsia"/>
          <w:szCs w:val="24"/>
          <w:vertAlign w:val="superscript"/>
        </w:rPr>
        <w:t>-2</w:t>
      </w:r>
      <w:r>
        <w:rPr>
          <w:rFonts w:hint="eastAsia"/>
          <w:szCs w:val="24"/>
        </w:rPr>
        <w:t>号</w:t>
      </w:r>
      <w:r>
        <w:rPr>
          <w:szCs w:val="24"/>
        </w:rPr>
        <w:t>煤层间距</w:t>
      </w:r>
      <w:r>
        <w:rPr>
          <w:rFonts w:hint="eastAsia"/>
          <w:szCs w:val="24"/>
        </w:rPr>
        <w:t>为</w:t>
      </w:r>
      <w:r>
        <w:rPr>
          <w:szCs w:val="24"/>
        </w:rPr>
        <w:t>2.86~26.86m</w:t>
      </w:r>
      <w:r>
        <w:rPr>
          <w:rFonts w:hint="eastAsia"/>
          <w:szCs w:val="24"/>
        </w:rPr>
        <w:t>，平均</w:t>
      </w:r>
      <w:r>
        <w:rPr>
          <w:rFonts w:hint="eastAsia"/>
          <w:szCs w:val="24"/>
        </w:rPr>
        <w:t>10.73m</w:t>
      </w:r>
      <w:r>
        <w:rPr>
          <w:rFonts w:hint="eastAsia"/>
          <w:szCs w:val="24"/>
        </w:rPr>
        <w:t>，</w:t>
      </w:r>
      <w:r>
        <w:rPr>
          <w:rFonts w:hint="eastAsia"/>
          <w:color w:val="000000"/>
        </w:rPr>
        <w:t>4</w:t>
      </w:r>
      <w:r>
        <w:rPr>
          <w:color w:val="000000"/>
          <w:szCs w:val="24"/>
          <w:vertAlign w:val="superscript"/>
        </w:rPr>
        <w:t>-1</w:t>
      </w:r>
      <w:r>
        <w:rPr>
          <w:color w:val="000000"/>
          <w:szCs w:val="24"/>
        </w:rPr>
        <w:t>煤和</w:t>
      </w:r>
      <w:r>
        <w:rPr>
          <w:rFonts w:hint="eastAsia"/>
          <w:color w:val="000000"/>
        </w:rPr>
        <w:t>4</w:t>
      </w:r>
      <w:r>
        <w:rPr>
          <w:color w:val="000000"/>
          <w:szCs w:val="24"/>
          <w:vertAlign w:val="superscript"/>
        </w:rPr>
        <w:t>-2</w:t>
      </w:r>
      <w:r>
        <w:rPr>
          <w:color w:val="000000"/>
          <w:szCs w:val="24"/>
        </w:rPr>
        <w:t>煤的导水裂隙带会相互贯通。</w:t>
      </w:r>
    </w:p>
    <w:p w:rsidR="00C223F5" w:rsidRPr="00900CCD" w:rsidRDefault="005860D5">
      <w:pPr>
        <w:spacing w:line="360" w:lineRule="auto"/>
        <w:ind w:firstLineChars="200" w:firstLine="480"/>
        <w:rPr>
          <w:sz w:val="24"/>
        </w:rPr>
      </w:pPr>
      <w:r>
        <w:rPr>
          <w:rFonts w:ascii="宋体" w:hAnsi="宋体"/>
          <w:sz w:val="24"/>
        </w:rPr>
        <w:t>采煤时导水裂隙带在</w:t>
      </w:r>
      <w:r>
        <w:rPr>
          <w:rFonts w:ascii="宋体" w:hAnsi="宋体" w:hint="eastAsia"/>
          <w:sz w:val="24"/>
        </w:rPr>
        <w:t>瓦窑堡组</w:t>
      </w:r>
      <w:r>
        <w:rPr>
          <w:rFonts w:ascii="宋体" w:hAnsi="宋体"/>
          <w:sz w:val="24"/>
        </w:rPr>
        <w:t>正常基岩里发育</w:t>
      </w:r>
      <w:r>
        <w:rPr>
          <w:rFonts w:ascii="宋体" w:hAnsi="宋体" w:hint="eastAsia"/>
          <w:sz w:val="24"/>
        </w:rPr>
        <w:t>，</w:t>
      </w:r>
      <w:r>
        <w:rPr>
          <w:rFonts w:hint="eastAsia"/>
          <w:sz w:val="24"/>
        </w:rPr>
        <w:t>由于</w:t>
      </w:r>
      <w:r>
        <w:rPr>
          <w:rFonts w:hint="eastAsia"/>
          <w:sz w:val="24"/>
        </w:rPr>
        <w:t>4</w:t>
      </w:r>
      <w:r>
        <w:rPr>
          <w:rFonts w:hint="eastAsia"/>
          <w:sz w:val="24"/>
        </w:rPr>
        <w:t>号煤上部</w:t>
      </w:r>
      <w:r>
        <w:rPr>
          <w:rFonts w:eastAsiaTheme="minorEastAsia" w:hAnsiTheme="minorEastAsia"/>
          <w:sz w:val="24"/>
        </w:rPr>
        <w:t>瓦窑堡组第五段</w:t>
      </w:r>
      <w:r>
        <w:rPr>
          <w:rFonts w:eastAsiaTheme="minorEastAsia" w:hAnsiTheme="minorEastAsia" w:hint="eastAsia"/>
          <w:sz w:val="24"/>
        </w:rPr>
        <w:t>正常基岩</w:t>
      </w:r>
      <w:r>
        <w:rPr>
          <w:rFonts w:eastAsiaTheme="minorEastAsia" w:hAnsiTheme="minorEastAsia"/>
          <w:sz w:val="24"/>
        </w:rPr>
        <w:t>厚度</w:t>
      </w:r>
      <w:r>
        <w:rPr>
          <w:rFonts w:eastAsiaTheme="minorEastAsia"/>
          <w:sz w:val="24"/>
        </w:rPr>
        <w:t>84.76</w:t>
      </w:r>
      <w:r>
        <w:rPr>
          <w:rFonts w:eastAsiaTheme="minorEastAsia" w:hAnsiTheme="minorEastAsia"/>
          <w:sz w:val="24"/>
        </w:rPr>
        <w:t>～</w:t>
      </w:r>
      <w:r>
        <w:rPr>
          <w:rFonts w:eastAsiaTheme="minorEastAsia"/>
          <w:sz w:val="24"/>
        </w:rPr>
        <w:t>320.71m</w:t>
      </w:r>
      <w:r>
        <w:rPr>
          <w:rFonts w:eastAsiaTheme="minorEastAsia" w:hAnsiTheme="minorEastAsia"/>
          <w:sz w:val="24"/>
        </w:rPr>
        <w:t>，平均</w:t>
      </w:r>
      <w:r>
        <w:rPr>
          <w:rFonts w:eastAsiaTheme="minorEastAsia"/>
          <w:sz w:val="24"/>
        </w:rPr>
        <w:t>205.20m</w:t>
      </w:r>
      <w:r>
        <w:rPr>
          <w:rFonts w:eastAsiaTheme="minorEastAsia" w:hint="eastAsia"/>
          <w:sz w:val="24"/>
        </w:rPr>
        <w:t>，</w:t>
      </w:r>
      <w:r w:rsidR="00CC667D" w:rsidRPr="00F20509">
        <w:rPr>
          <w:rFonts w:eastAsiaTheme="minorEastAsia" w:hAnsiTheme="minorEastAsia"/>
          <w:color w:val="FF0000"/>
          <w:sz w:val="24"/>
        </w:rPr>
        <w:t>正常基岩中的泥岩和粉砂岩具有一定的隔水性能</w:t>
      </w:r>
      <w:r w:rsidR="00CC667D" w:rsidRPr="00F20509">
        <w:rPr>
          <w:rFonts w:eastAsiaTheme="minorEastAsia" w:hAnsiTheme="minorEastAsia" w:hint="eastAsia"/>
          <w:color w:val="FF0000"/>
          <w:sz w:val="24"/>
        </w:rPr>
        <w:t>，</w:t>
      </w:r>
      <w:r>
        <w:rPr>
          <w:rFonts w:eastAsiaTheme="minorEastAsia" w:hint="eastAsia"/>
          <w:sz w:val="24"/>
        </w:rPr>
        <w:t>因此导水裂隙不会</w:t>
      </w:r>
      <w:r>
        <w:rPr>
          <w:sz w:val="24"/>
        </w:rPr>
        <w:t>导通</w:t>
      </w:r>
      <w:r>
        <w:rPr>
          <w:rFonts w:hint="eastAsia"/>
          <w:sz w:val="24"/>
        </w:rPr>
        <w:t>瓦窑堡组基岩孔隙裂隙</w:t>
      </w:r>
      <w:r>
        <w:rPr>
          <w:sz w:val="24"/>
        </w:rPr>
        <w:t>含水层；</w:t>
      </w:r>
      <w:r>
        <w:rPr>
          <w:rFonts w:hint="eastAsia"/>
          <w:sz w:val="24"/>
        </w:rPr>
        <w:t>同时，</w:t>
      </w:r>
      <w:r>
        <w:rPr>
          <w:rFonts w:eastAsiaTheme="minorEastAsia" w:hAnsiTheme="minorEastAsia"/>
          <w:sz w:val="24"/>
        </w:rPr>
        <w:t>瓦窑堡组</w:t>
      </w:r>
      <w:r>
        <w:rPr>
          <w:rFonts w:hint="eastAsia"/>
          <w:sz w:val="24"/>
        </w:rPr>
        <w:t>上部有</w:t>
      </w:r>
      <w:r>
        <w:rPr>
          <w:rFonts w:hAnsi="宋体"/>
          <w:sz w:val="24"/>
        </w:rPr>
        <w:t>侏罗系下统富县组</w:t>
      </w:r>
      <w:r>
        <w:rPr>
          <w:rFonts w:hAnsi="宋体" w:hint="eastAsia"/>
          <w:sz w:val="24"/>
        </w:rPr>
        <w:t>和</w:t>
      </w:r>
      <w:r>
        <w:rPr>
          <w:rFonts w:hAnsi="宋体"/>
          <w:sz w:val="24"/>
        </w:rPr>
        <w:t>新近系上新统保德组红土</w:t>
      </w:r>
      <w:r>
        <w:rPr>
          <w:rFonts w:hAnsi="宋体" w:hint="eastAsia"/>
          <w:sz w:val="24"/>
        </w:rPr>
        <w:t>等相对隔水</w:t>
      </w:r>
      <w:r w:rsidRPr="00900CCD">
        <w:rPr>
          <w:rFonts w:hAnsi="宋体" w:hint="eastAsia"/>
          <w:sz w:val="24"/>
        </w:rPr>
        <w:t>层，</w:t>
      </w:r>
      <w:r w:rsidRPr="00900CCD">
        <w:rPr>
          <w:sz w:val="24"/>
        </w:rPr>
        <w:t>因此采煤对</w:t>
      </w:r>
      <w:r w:rsidR="000D6D01">
        <w:rPr>
          <w:rFonts w:hint="eastAsia"/>
          <w:color w:val="FF0000"/>
          <w:sz w:val="24"/>
        </w:rPr>
        <w:t>评价区有分散供水意义的</w:t>
      </w:r>
      <w:r w:rsidR="000D6D01" w:rsidRPr="00E813C9">
        <w:rPr>
          <w:color w:val="FF0000"/>
          <w:sz w:val="24"/>
        </w:rPr>
        <w:t>第四系潜水</w:t>
      </w:r>
      <w:r w:rsidR="000D6D01" w:rsidRPr="00E813C9">
        <w:rPr>
          <w:rFonts w:hint="eastAsia"/>
          <w:color w:val="FF0000"/>
          <w:sz w:val="24"/>
        </w:rPr>
        <w:t>和风化基岩潜水</w:t>
      </w:r>
      <w:r w:rsidR="000D6D01" w:rsidRPr="00E813C9">
        <w:rPr>
          <w:color w:val="FF0000"/>
          <w:sz w:val="24"/>
        </w:rPr>
        <w:t>含水层影响较小</w:t>
      </w:r>
      <w:r w:rsidRPr="00900CCD">
        <w:rPr>
          <w:sz w:val="24"/>
        </w:rPr>
        <w:t>。矿方应对</w:t>
      </w:r>
      <w:r w:rsidR="00EA1DA8">
        <w:rPr>
          <w:rFonts w:hint="eastAsia"/>
          <w:sz w:val="24"/>
        </w:rPr>
        <w:t>评价区分散</w:t>
      </w:r>
      <w:r w:rsidRPr="00900CCD">
        <w:rPr>
          <w:sz w:val="24"/>
        </w:rPr>
        <w:t>水井的水位和水量进行跟踪观测，一旦发现由于采煤引起居民</w:t>
      </w:r>
      <w:r w:rsidR="00EA1DA8">
        <w:rPr>
          <w:rFonts w:hint="eastAsia"/>
          <w:sz w:val="24"/>
        </w:rPr>
        <w:t>生产</w:t>
      </w:r>
      <w:r w:rsidRPr="00900CCD">
        <w:rPr>
          <w:sz w:val="24"/>
        </w:rPr>
        <w:t>用水困难，应立即采取供水应急预案，确保用水安全。</w:t>
      </w:r>
    </w:p>
    <w:p w:rsidR="00EA1DA8" w:rsidRPr="00362E72" w:rsidRDefault="00EA1DA8" w:rsidP="00EA1DA8">
      <w:pPr>
        <w:spacing w:line="360" w:lineRule="auto"/>
        <w:ind w:firstLine="480"/>
        <w:rPr>
          <w:rFonts w:hAnsi="宋体"/>
          <w:sz w:val="24"/>
        </w:rPr>
      </w:pPr>
      <w:r w:rsidRPr="00362E72">
        <w:rPr>
          <w:rFonts w:hAnsi="宋体" w:hint="eastAsia"/>
          <w:sz w:val="24"/>
        </w:rPr>
        <w:t>矿井</w:t>
      </w:r>
      <w:r w:rsidRPr="00362E72">
        <w:rPr>
          <w:rFonts w:hAnsi="宋体"/>
          <w:sz w:val="24"/>
        </w:rPr>
        <w:t>采煤对</w:t>
      </w:r>
      <w:r w:rsidRPr="00362E72">
        <w:rPr>
          <w:rFonts w:hAnsi="宋体" w:hint="eastAsia"/>
          <w:sz w:val="24"/>
        </w:rPr>
        <w:t>大理河</w:t>
      </w:r>
      <w:r w:rsidRPr="00362E72">
        <w:rPr>
          <w:rFonts w:hAnsi="宋体"/>
          <w:sz w:val="24"/>
        </w:rPr>
        <w:t>湿地的影响为水量和水质两个方面。</w:t>
      </w:r>
      <w:r w:rsidRPr="00362E72">
        <w:rPr>
          <w:rFonts w:hAnsi="宋体" w:hint="eastAsia"/>
          <w:sz w:val="24"/>
        </w:rPr>
        <w:t>根据预测，大理河湿地不在采煤沉陷范围内，采煤导水裂隙带不会贯通瓦窑堡组及上覆潜水含水层，因此矿井涌水</w:t>
      </w:r>
      <w:r>
        <w:rPr>
          <w:rFonts w:hAnsi="宋体" w:hint="eastAsia"/>
          <w:sz w:val="24"/>
        </w:rPr>
        <w:t>中</w:t>
      </w:r>
      <w:r w:rsidRPr="00362E72">
        <w:rPr>
          <w:rFonts w:hAnsi="宋体" w:hint="eastAsia"/>
          <w:sz w:val="24"/>
        </w:rPr>
        <w:t>浅层地下水流失量</w:t>
      </w:r>
      <w:r>
        <w:rPr>
          <w:rFonts w:hAnsi="宋体" w:hint="eastAsia"/>
          <w:sz w:val="24"/>
        </w:rPr>
        <w:t>所</w:t>
      </w:r>
      <w:r w:rsidRPr="00362E72">
        <w:rPr>
          <w:rFonts w:hAnsi="宋体" w:hint="eastAsia"/>
          <w:sz w:val="24"/>
        </w:rPr>
        <w:t>占比例较小</w:t>
      </w:r>
      <w:r>
        <w:rPr>
          <w:rFonts w:hAnsi="宋体" w:hint="eastAsia"/>
          <w:sz w:val="24"/>
        </w:rPr>
        <w:t>；</w:t>
      </w:r>
      <w:r w:rsidRPr="00C4139C">
        <w:rPr>
          <w:rFonts w:hAnsi="宋体" w:hint="eastAsia"/>
          <w:color w:val="FF0000"/>
          <w:sz w:val="24"/>
        </w:rPr>
        <w:t>同时大理河湿地为</w:t>
      </w:r>
      <w:r>
        <w:rPr>
          <w:rFonts w:hAnsi="宋体" w:hint="eastAsia"/>
          <w:color w:val="FF0000"/>
          <w:sz w:val="24"/>
        </w:rPr>
        <w:t>河流型湿地，主要包括</w:t>
      </w:r>
      <w:r w:rsidRPr="00117D11">
        <w:rPr>
          <w:rFonts w:hAnsi="宋体" w:hint="eastAsia"/>
          <w:color w:val="FF0000"/>
          <w:sz w:val="24"/>
        </w:rPr>
        <w:t>河滩，洪泛河谷和季节性泛洪草</w:t>
      </w:r>
      <w:r w:rsidRPr="0059502B">
        <w:rPr>
          <w:rFonts w:hAnsi="宋体" w:hint="eastAsia"/>
          <w:color w:val="FF0000"/>
          <w:sz w:val="24"/>
        </w:rPr>
        <w:t>地区域，受地形和气候影响较大，采煤一般不会改变</w:t>
      </w:r>
      <w:r>
        <w:rPr>
          <w:rFonts w:hAnsi="宋体" w:hint="eastAsia"/>
          <w:color w:val="FF0000"/>
          <w:sz w:val="24"/>
        </w:rPr>
        <w:t>该区域</w:t>
      </w:r>
      <w:r w:rsidRPr="0059502B">
        <w:rPr>
          <w:rFonts w:hAnsi="宋体" w:hint="eastAsia"/>
          <w:color w:val="FF0000"/>
          <w:sz w:val="24"/>
        </w:rPr>
        <w:t>地表径流方向，</w:t>
      </w:r>
      <w:r w:rsidRPr="00362E72">
        <w:rPr>
          <w:rFonts w:hAnsi="宋体" w:hint="eastAsia"/>
          <w:sz w:val="24"/>
        </w:rPr>
        <w:t>对大理河水资源量影响较小</w:t>
      </w:r>
      <w:r>
        <w:rPr>
          <w:rFonts w:hAnsi="宋体" w:hint="eastAsia"/>
          <w:sz w:val="24"/>
        </w:rPr>
        <w:t>。</w:t>
      </w:r>
      <w:r w:rsidRPr="00362E72">
        <w:rPr>
          <w:rFonts w:hAnsi="宋体" w:hint="eastAsia"/>
          <w:sz w:val="24"/>
        </w:rPr>
        <w:t>此外，工业场地区的污废水渗漏扩散范围小，不会扩散到大理河</w:t>
      </w:r>
      <w:r w:rsidRPr="00362E72">
        <w:rPr>
          <w:rFonts w:hAnsi="宋体"/>
          <w:sz w:val="24"/>
        </w:rPr>
        <w:t>重要湿地</w:t>
      </w:r>
      <w:r w:rsidRPr="00362E72">
        <w:rPr>
          <w:rFonts w:hAnsi="宋体" w:hint="eastAsia"/>
          <w:sz w:val="24"/>
        </w:rPr>
        <w:t>内；现状监测项目纳污河流蚂蚁河的排污口处及汇入大理河断面的水质满足地表水</w:t>
      </w:r>
      <w:r w:rsidRPr="00362E72">
        <w:rPr>
          <w:rFonts w:hAnsi="宋体"/>
          <w:sz w:val="24"/>
        </w:rPr>
        <w:fldChar w:fldCharType="begin"/>
      </w:r>
      <w:r w:rsidRPr="00362E72">
        <w:rPr>
          <w:rFonts w:hAnsi="宋体" w:hint="eastAsia"/>
          <w:sz w:val="24"/>
        </w:rPr>
        <w:instrText>= 3 \* ROMAN</w:instrText>
      </w:r>
      <w:r w:rsidRPr="00362E72">
        <w:rPr>
          <w:rFonts w:hAnsi="宋体"/>
          <w:sz w:val="24"/>
        </w:rPr>
        <w:fldChar w:fldCharType="separate"/>
      </w:r>
      <w:r w:rsidRPr="00362E72">
        <w:rPr>
          <w:rFonts w:hAnsi="宋体"/>
          <w:sz w:val="24"/>
        </w:rPr>
        <w:t>III</w:t>
      </w:r>
      <w:r w:rsidRPr="00362E72">
        <w:rPr>
          <w:rFonts w:hAnsi="宋体"/>
          <w:sz w:val="24"/>
        </w:rPr>
        <w:fldChar w:fldCharType="end"/>
      </w:r>
      <w:r w:rsidRPr="00362E72">
        <w:rPr>
          <w:rFonts w:hAnsi="宋体" w:hint="eastAsia"/>
          <w:sz w:val="24"/>
        </w:rPr>
        <w:t>类水质要求，现状排水未对大理河水质造成影响。综上分析，在采取保护措施后，采煤对重要湿地影响较小。</w:t>
      </w:r>
    </w:p>
    <w:p w:rsidR="00EA1DA8" w:rsidRPr="00362E72" w:rsidRDefault="00EA1DA8" w:rsidP="00EA1DA8">
      <w:pPr>
        <w:spacing w:line="360" w:lineRule="auto"/>
        <w:ind w:firstLineChars="200" w:firstLine="480"/>
        <w:rPr>
          <w:sz w:val="24"/>
        </w:rPr>
      </w:pPr>
      <w:r w:rsidRPr="00E134B5">
        <w:rPr>
          <w:color w:val="FF0000"/>
          <w:sz w:val="24"/>
        </w:rPr>
        <w:lastRenderedPageBreak/>
        <w:t>井田</w:t>
      </w:r>
      <w:r w:rsidRPr="00E134B5">
        <w:rPr>
          <w:rFonts w:hint="eastAsia"/>
          <w:color w:val="FF0000"/>
          <w:sz w:val="24"/>
        </w:rPr>
        <w:t>内蚂蚁河及大理河沿线居民</w:t>
      </w:r>
      <w:r w:rsidRPr="00E134B5">
        <w:rPr>
          <w:rFonts w:hAnsi="宋体" w:hint="eastAsia"/>
          <w:color w:val="FF0000"/>
          <w:sz w:val="24"/>
        </w:rPr>
        <w:t>饮用水源由政府水利局农饮办的饮水工程提供自来水，井田西南部分散</w:t>
      </w:r>
      <w:r w:rsidRPr="00E134B5">
        <w:rPr>
          <w:rFonts w:hint="eastAsia"/>
          <w:color w:val="FF0000"/>
          <w:sz w:val="24"/>
        </w:rPr>
        <w:t>居民用水主要为泉水（来自第四系及风化基岩含水层），河流两岸分散水井主要用于农田灌溉</w:t>
      </w:r>
      <w:r w:rsidRPr="00E134B5">
        <w:rPr>
          <w:color w:val="FF0000"/>
          <w:sz w:val="24"/>
        </w:rPr>
        <w:t>。</w:t>
      </w:r>
      <w:r w:rsidRPr="00362E72">
        <w:rPr>
          <w:bCs/>
          <w:sz w:val="24"/>
        </w:rPr>
        <w:t>在非正常状况下，通过地下水跟踪监测，生活污水会在一定时间内进入地下含水层之后，</w:t>
      </w:r>
      <w:r w:rsidRPr="00362E72">
        <w:rPr>
          <w:bCs/>
          <w:sz w:val="24"/>
        </w:rPr>
        <w:t>NH</w:t>
      </w:r>
      <w:r w:rsidRPr="00362E72">
        <w:rPr>
          <w:bCs/>
          <w:sz w:val="24"/>
          <w:vertAlign w:val="subscript"/>
        </w:rPr>
        <w:t>3</w:t>
      </w:r>
      <w:r w:rsidRPr="00362E72">
        <w:rPr>
          <w:bCs/>
          <w:sz w:val="24"/>
        </w:rPr>
        <w:t>-N</w:t>
      </w:r>
      <w:r w:rsidRPr="00362E72">
        <w:rPr>
          <w:bCs/>
          <w:sz w:val="24"/>
        </w:rPr>
        <w:t>污染羽将不断向下游扩散，</w:t>
      </w:r>
      <w:r w:rsidRPr="00362E72">
        <w:rPr>
          <w:rFonts w:hint="eastAsia"/>
          <w:bCs/>
          <w:sz w:val="24"/>
        </w:rPr>
        <w:t>在</w:t>
      </w:r>
      <w:r w:rsidRPr="00362E72">
        <w:rPr>
          <w:rFonts w:hint="eastAsia"/>
          <w:bCs/>
          <w:sz w:val="24"/>
        </w:rPr>
        <w:t>100d</w:t>
      </w:r>
      <w:r w:rsidRPr="00362E72">
        <w:rPr>
          <w:rFonts w:hint="eastAsia"/>
          <w:bCs/>
          <w:sz w:val="24"/>
        </w:rPr>
        <w:t>时，</w:t>
      </w:r>
      <w:r w:rsidRPr="00362E72">
        <w:rPr>
          <w:bCs/>
          <w:sz w:val="24"/>
        </w:rPr>
        <w:t>NH</w:t>
      </w:r>
      <w:r w:rsidRPr="00362E72">
        <w:rPr>
          <w:bCs/>
          <w:sz w:val="24"/>
          <w:vertAlign w:val="subscript"/>
        </w:rPr>
        <w:t>3</w:t>
      </w:r>
      <w:r w:rsidRPr="00362E72">
        <w:rPr>
          <w:bCs/>
          <w:sz w:val="24"/>
        </w:rPr>
        <w:t>-N</w:t>
      </w:r>
      <w:r w:rsidRPr="00362E72">
        <w:rPr>
          <w:rFonts w:hint="eastAsia"/>
          <w:bCs/>
          <w:sz w:val="24"/>
        </w:rPr>
        <w:t>仅在场界内</w:t>
      </w:r>
      <w:r w:rsidRPr="00362E72">
        <w:rPr>
          <w:bCs/>
          <w:sz w:val="24"/>
        </w:rPr>
        <w:t>造成小范围的超标</w:t>
      </w:r>
      <w:r w:rsidRPr="00362E72">
        <w:rPr>
          <w:rFonts w:hint="eastAsia"/>
          <w:bCs/>
          <w:sz w:val="24"/>
        </w:rPr>
        <w:t>，</w:t>
      </w:r>
      <w:r w:rsidRPr="00362E72">
        <w:rPr>
          <w:rFonts w:hint="eastAsia"/>
          <w:bCs/>
          <w:sz w:val="24"/>
        </w:rPr>
        <w:t>1000d</w:t>
      </w:r>
      <w:r w:rsidRPr="00362E72">
        <w:rPr>
          <w:rFonts w:hint="eastAsia"/>
          <w:bCs/>
          <w:sz w:val="24"/>
        </w:rPr>
        <w:t>时</w:t>
      </w:r>
      <w:r w:rsidRPr="00362E72">
        <w:rPr>
          <w:bCs/>
          <w:sz w:val="24"/>
        </w:rPr>
        <w:t>污染羽</w:t>
      </w:r>
      <w:r w:rsidRPr="00362E72">
        <w:rPr>
          <w:rFonts w:hint="eastAsia"/>
          <w:bCs/>
          <w:sz w:val="24"/>
        </w:rPr>
        <w:t>浓度满足水质要求。</w:t>
      </w:r>
      <w:r w:rsidRPr="00362E72">
        <w:rPr>
          <w:sz w:val="24"/>
        </w:rPr>
        <w:t>环评要求</w:t>
      </w:r>
      <w:r w:rsidRPr="00362E72">
        <w:rPr>
          <w:rFonts w:hint="eastAsia"/>
          <w:sz w:val="24"/>
        </w:rPr>
        <w:t>矿</w:t>
      </w:r>
      <w:r w:rsidRPr="00362E72">
        <w:rPr>
          <w:sz w:val="24"/>
        </w:rPr>
        <w:t>井在运营过程中加强</w:t>
      </w:r>
      <w:r w:rsidRPr="00362E72">
        <w:rPr>
          <w:rFonts w:hint="eastAsia"/>
          <w:sz w:val="24"/>
        </w:rPr>
        <w:t>工业</w:t>
      </w:r>
      <w:r w:rsidRPr="00362E72">
        <w:rPr>
          <w:sz w:val="24"/>
        </w:rPr>
        <w:t>场地污染</w:t>
      </w:r>
      <w:r w:rsidRPr="00362E72">
        <w:rPr>
          <w:rFonts w:hint="eastAsia"/>
          <w:sz w:val="24"/>
        </w:rPr>
        <w:t>源维护，确保</w:t>
      </w:r>
      <w:r w:rsidRPr="00362E72">
        <w:rPr>
          <w:sz w:val="24"/>
        </w:rPr>
        <w:t>防渗措施</w:t>
      </w:r>
      <w:r w:rsidRPr="00362E72">
        <w:rPr>
          <w:rFonts w:hint="eastAsia"/>
          <w:sz w:val="24"/>
        </w:rPr>
        <w:t>达到</w:t>
      </w:r>
      <w:r w:rsidRPr="00362E72">
        <w:rPr>
          <w:sz w:val="24"/>
        </w:rPr>
        <w:t>设计要求</w:t>
      </w:r>
      <w:r w:rsidRPr="00362E72">
        <w:rPr>
          <w:rFonts w:hint="eastAsia"/>
          <w:sz w:val="24"/>
        </w:rPr>
        <w:t>，定期对设备进行检修</w:t>
      </w:r>
      <w:r w:rsidRPr="00362E72">
        <w:rPr>
          <w:sz w:val="24"/>
        </w:rPr>
        <w:t>，</w:t>
      </w:r>
      <w:r w:rsidRPr="00362E72">
        <w:rPr>
          <w:rFonts w:hint="eastAsia"/>
          <w:sz w:val="24"/>
        </w:rPr>
        <w:t>发现问题及时解决，确保</w:t>
      </w:r>
      <w:r w:rsidRPr="00362E72">
        <w:rPr>
          <w:sz w:val="24"/>
        </w:rPr>
        <w:t>防渗措施</w:t>
      </w:r>
      <w:r w:rsidRPr="00362E72">
        <w:rPr>
          <w:rFonts w:hint="eastAsia"/>
          <w:sz w:val="24"/>
        </w:rPr>
        <w:t>达到</w:t>
      </w:r>
      <w:r w:rsidRPr="00362E72">
        <w:rPr>
          <w:sz w:val="24"/>
        </w:rPr>
        <w:t>设计要求</w:t>
      </w:r>
      <w:r w:rsidRPr="00362E72">
        <w:rPr>
          <w:rFonts w:hint="eastAsia"/>
          <w:sz w:val="24"/>
        </w:rPr>
        <w:t>。</w:t>
      </w:r>
    </w:p>
    <w:p w:rsidR="00C223F5" w:rsidRDefault="005860D5">
      <w:pPr>
        <w:spacing w:line="360" w:lineRule="auto"/>
        <w:ind w:firstLine="480"/>
        <w:rPr>
          <w:snapToGrid w:val="0"/>
          <w:sz w:val="24"/>
        </w:rPr>
      </w:pPr>
      <w:r>
        <w:rPr>
          <w:rFonts w:hint="eastAsia"/>
          <w:snapToGrid w:val="0"/>
          <w:sz w:val="24"/>
        </w:rPr>
        <w:t>（</w:t>
      </w:r>
      <w:r>
        <w:rPr>
          <w:rFonts w:hint="eastAsia"/>
          <w:snapToGrid w:val="0"/>
          <w:sz w:val="24"/>
        </w:rPr>
        <w:t>3</w:t>
      </w:r>
      <w:r>
        <w:rPr>
          <w:rFonts w:hint="eastAsia"/>
          <w:snapToGrid w:val="0"/>
          <w:sz w:val="24"/>
        </w:rPr>
        <w:t>）地表水</w:t>
      </w:r>
    </w:p>
    <w:p w:rsidR="00C223F5" w:rsidRDefault="000F32AE">
      <w:pPr>
        <w:tabs>
          <w:tab w:val="left" w:pos="2552"/>
          <w:tab w:val="left" w:pos="5387"/>
        </w:tabs>
        <w:spacing w:line="360" w:lineRule="auto"/>
        <w:ind w:firstLineChars="200" w:firstLine="480"/>
        <w:rPr>
          <w:rFonts w:hAnsi="宋体"/>
          <w:sz w:val="24"/>
        </w:rPr>
      </w:pPr>
      <w:r>
        <w:rPr>
          <w:sz w:val="24"/>
        </w:rPr>
        <w:fldChar w:fldCharType="begin"/>
      </w:r>
      <w:r w:rsidR="005860D5">
        <w:rPr>
          <w:rFonts w:hint="eastAsia"/>
          <w:sz w:val="24"/>
        </w:rPr>
        <w:instrText>= 1 \* GB3</w:instrText>
      </w:r>
      <w:r>
        <w:rPr>
          <w:sz w:val="24"/>
        </w:rPr>
        <w:fldChar w:fldCharType="separate"/>
      </w:r>
      <w:r w:rsidR="005860D5">
        <w:rPr>
          <w:rFonts w:hint="eastAsia"/>
          <w:sz w:val="24"/>
        </w:rPr>
        <w:t>①</w:t>
      </w:r>
      <w:r>
        <w:rPr>
          <w:sz w:val="24"/>
        </w:rPr>
        <w:fldChar w:fldCharType="end"/>
      </w:r>
      <w:r w:rsidR="005860D5">
        <w:rPr>
          <w:rFonts w:hint="eastAsia"/>
          <w:sz w:val="24"/>
        </w:rPr>
        <w:t>项目</w:t>
      </w:r>
      <w:r w:rsidR="005860D5">
        <w:rPr>
          <w:sz w:val="24"/>
        </w:rPr>
        <w:t>施工</w:t>
      </w:r>
      <w:r w:rsidR="005860D5">
        <w:rPr>
          <w:rFonts w:hint="eastAsia"/>
          <w:sz w:val="24"/>
        </w:rPr>
        <w:t>期地表水</w:t>
      </w:r>
      <w:r w:rsidR="005860D5">
        <w:rPr>
          <w:sz w:val="24"/>
        </w:rPr>
        <w:t>环境影响</w:t>
      </w:r>
      <w:r w:rsidR="005860D5">
        <w:rPr>
          <w:rFonts w:hint="eastAsia"/>
          <w:sz w:val="24"/>
        </w:rPr>
        <w:t>和防治措施</w:t>
      </w:r>
    </w:p>
    <w:p w:rsidR="00C223F5" w:rsidRDefault="005860D5">
      <w:pPr>
        <w:pStyle w:val="hp"/>
        <w:ind w:firstLine="480"/>
      </w:pPr>
      <w:r>
        <w:rPr>
          <w:kern w:val="24"/>
        </w:rPr>
        <w:t>施工期排水主要来自施工场地内生产排水</w:t>
      </w:r>
      <w:r>
        <w:rPr>
          <w:rFonts w:hint="eastAsia"/>
          <w:kern w:val="24"/>
        </w:rPr>
        <w:t>、</w:t>
      </w:r>
      <w:r>
        <w:rPr>
          <w:rFonts w:hint="eastAsia"/>
        </w:rPr>
        <w:t>井筒施工淋水</w:t>
      </w:r>
      <w:r>
        <w:rPr>
          <w:kern w:val="24"/>
        </w:rPr>
        <w:t>和施工人员生活排水。</w:t>
      </w:r>
      <w:r>
        <w:rPr>
          <w:rFonts w:hint="eastAsia"/>
          <w:kern w:val="24"/>
        </w:rPr>
        <w:t>施工期</w:t>
      </w:r>
      <w:r>
        <w:t>生活区</w:t>
      </w:r>
      <w:r>
        <w:rPr>
          <w:rFonts w:hint="eastAsia"/>
        </w:rPr>
        <w:t>利用原有生活污水处理站，污水经处理</w:t>
      </w:r>
      <w:r>
        <w:rPr>
          <w:rFonts w:hint="eastAsia"/>
          <w:kern w:val="24"/>
        </w:rPr>
        <w:t>后回用于绿化洒水，</w:t>
      </w:r>
      <w:r>
        <w:rPr>
          <w:rFonts w:hint="eastAsia"/>
        </w:rPr>
        <w:t>井筒淋水和</w:t>
      </w:r>
      <w:r>
        <w:rPr>
          <w:kern w:val="24"/>
        </w:rPr>
        <w:t>施工生产废水</w:t>
      </w:r>
      <w:r>
        <w:rPr>
          <w:rFonts w:hint="eastAsia"/>
          <w:kern w:val="24"/>
        </w:rPr>
        <w:t>混凝沉淀处理后回用；</w:t>
      </w:r>
      <w:r>
        <w:rPr>
          <w:kern w:val="24"/>
        </w:rPr>
        <w:t>施工单位</w:t>
      </w:r>
      <w:r>
        <w:rPr>
          <w:rFonts w:hint="eastAsia"/>
          <w:kern w:val="24"/>
        </w:rPr>
        <w:t>应</w:t>
      </w:r>
      <w:r>
        <w:rPr>
          <w:kern w:val="24"/>
        </w:rPr>
        <w:t>加强施工期环境管理，</w:t>
      </w:r>
      <w:r>
        <w:rPr>
          <w:rFonts w:hint="eastAsia"/>
          <w:kern w:val="24"/>
        </w:rPr>
        <w:t>优先建设生活污水处理站和矿井水处理站建设，建成后生活污水全部进入处理站处理后回用，矿井水全部进入处理站处理后回用。</w:t>
      </w:r>
    </w:p>
    <w:p w:rsidR="00C223F5" w:rsidRDefault="000F32AE">
      <w:pPr>
        <w:spacing w:line="360" w:lineRule="auto"/>
        <w:ind w:firstLineChars="200" w:firstLine="480"/>
        <w:rPr>
          <w:rFonts w:hAnsi="宋体"/>
          <w:sz w:val="24"/>
        </w:rPr>
      </w:pPr>
      <w:r>
        <w:rPr>
          <w:sz w:val="24"/>
        </w:rPr>
        <w:fldChar w:fldCharType="begin"/>
      </w:r>
      <w:r w:rsidR="005860D5">
        <w:rPr>
          <w:rFonts w:hint="eastAsia"/>
          <w:sz w:val="24"/>
        </w:rPr>
        <w:instrText>= 2 \* GB3</w:instrText>
      </w:r>
      <w:r>
        <w:rPr>
          <w:sz w:val="24"/>
        </w:rPr>
        <w:fldChar w:fldCharType="separate"/>
      </w:r>
      <w:r w:rsidR="005860D5">
        <w:rPr>
          <w:rFonts w:hint="eastAsia"/>
          <w:sz w:val="24"/>
        </w:rPr>
        <w:t>②</w:t>
      </w:r>
      <w:r>
        <w:rPr>
          <w:sz w:val="24"/>
        </w:rPr>
        <w:fldChar w:fldCharType="end"/>
      </w:r>
      <w:r w:rsidR="005860D5">
        <w:rPr>
          <w:rFonts w:hint="eastAsia"/>
          <w:sz w:val="24"/>
        </w:rPr>
        <w:t>项目运营期地表水</w:t>
      </w:r>
      <w:r w:rsidR="005860D5">
        <w:rPr>
          <w:sz w:val="24"/>
        </w:rPr>
        <w:t>环境影响</w:t>
      </w:r>
      <w:r w:rsidR="005860D5">
        <w:rPr>
          <w:rFonts w:hint="eastAsia"/>
          <w:sz w:val="24"/>
        </w:rPr>
        <w:t>和防治措施</w:t>
      </w:r>
    </w:p>
    <w:p w:rsidR="00C223F5" w:rsidRDefault="005860D5">
      <w:pPr>
        <w:pStyle w:val="BG"/>
        <w:ind w:firstLine="480"/>
      </w:pPr>
      <w:r>
        <w:rPr>
          <w:rFonts w:hint="eastAsia"/>
        </w:rPr>
        <w:t>运营期矿井</w:t>
      </w:r>
      <w:r>
        <w:t>地面生产</w:t>
      </w:r>
      <w:r>
        <w:rPr>
          <w:rFonts w:hint="eastAsia"/>
        </w:rPr>
        <w:t>、</w:t>
      </w:r>
      <w:r>
        <w:t>生活污水</w:t>
      </w:r>
      <w:r>
        <w:rPr>
          <w:rFonts w:hint="eastAsia"/>
        </w:rPr>
        <w:t>最大产生量为</w:t>
      </w:r>
      <w:r>
        <w:rPr>
          <w:rFonts w:hint="eastAsia"/>
        </w:rPr>
        <w:t>350.8</w:t>
      </w:r>
      <w:r>
        <w:t>m</w:t>
      </w:r>
      <w:r>
        <w:rPr>
          <w:vertAlign w:val="superscript"/>
        </w:rPr>
        <w:t>3</w:t>
      </w:r>
      <w:r>
        <w:t>/d</w:t>
      </w:r>
      <w:r>
        <w:rPr>
          <w:rFonts w:hint="eastAsia"/>
        </w:rPr>
        <w:t>，</w:t>
      </w:r>
      <w:r>
        <w:t>经过</w:t>
      </w:r>
      <w:r>
        <w:t>A</w:t>
      </w:r>
      <w:r>
        <w:rPr>
          <w:vertAlign w:val="superscript"/>
        </w:rPr>
        <w:t>2</w:t>
      </w:r>
      <w:r>
        <w:t>/O</w:t>
      </w:r>
      <w:r>
        <w:rPr>
          <w:rFonts w:hAnsi="宋体"/>
        </w:rPr>
        <w:t>二级生化</w:t>
      </w:r>
      <w:r>
        <w:t>+</w:t>
      </w:r>
      <w:r>
        <w:rPr>
          <w:rFonts w:hAnsi="宋体"/>
        </w:rPr>
        <w:t>深度处理</w:t>
      </w:r>
      <w:r>
        <w:rPr>
          <w:rFonts w:hAnsi="宋体" w:hint="eastAsia"/>
        </w:rPr>
        <w:t>（处理站规模</w:t>
      </w:r>
      <w:r>
        <w:rPr>
          <w:rFonts w:hAnsi="宋体" w:hint="eastAsia"/>
        </w:rPr>
        <w:t>480m</w:t>
      </w:r>
      <w:r>
        <w:rPr>
          <w:rFonts w:hAnsi="宋体" w:hint="eastAsia"/>
          <w:vertAlign w:val="superscript"/>
        </w:rPr>
        <w:t>3</w:t>
      </w:r>
      <w:r>
        <w:rPr>
          <w:rFonts w:hAnsi="宋体" w:hint="eastAsia"/>
        </w:rPr>
        <w:t>/d</w:t>
      </w:r>
      <w:r>
        <w:rPr>
          <w:rFonts w:hAnsi="宋体" w:hint="eastAsia"/>
        </w:rPr>
        <w:t>）后</w:t>
      </w:r>
      <w:r>
        <w:t>，</w:t>
      </w:r>
      <w:r>
        <w:rPr>
          <w:rFonts w:hint="eastAsia"/>
        </w:rPr>
        <w:t>全部</w:t>
      </w:r>
      <w:r>
        <w:t>回用于选煤厂补充水、绿化洒水及地面降尘洒水等，不外</w:t>
      </w:r>
      <w:r w:rsidRPr="00900CCD">
        <w:t>排。</w:t>
      </w:r>
      <w:r w:rsidRPr="00900CCD">
        <w:rPr>
          <w:rFonts w:hAnsi="宋体"/>
          <w:snapToGrid w:val="0"/>
        </w:rPr>
        <w:t>井下涌水量</w:t>
      </w:r>
      <w:r w:rsidRPr="00900CCD">
        <w:rPr>
          <w:rFonts w:hAnsi="宋体" w:hint="eastAsia"/>
          <w:snapToGrid w:val="0"/>
        </w:rPr>
        <w:t>1920</w:t>
      </w:r>
      <w:r w:rsidRPr="00900CCD">
        <w:t>m</w:t>
      </w:r>
      <w:r w:rsidRPr="00900CCD">
        <w:rPr>
          <w:vertAlign w:val="superscript"/>
        </w:rPr>
        <w:t>3</w:t>
      </w:r>
      <w:r w:rsidRPr="00900CCD">
        <w:rPr>
          <w:rFonts w:hint="eastAsia"/>
        </w:rPr>
        <w:t>/d</w:t>
      </w:r>
      <w:r w:rsidRPr="00900CCD">
        <w:rPr>
          <w:rFonts w:hint="eastAsia"/>
        </w:rPr>
        <w:t>（含黄泥灌浆析出水），</w:t>
      </w:r>
      <w:r w:rsidRPr="00900CCD">
        <w:t>采用</w:t>
      </w:r>
      <w:r w:rsidRPr="00900CCD">
        <w:rPr>
          <w:rFonts w:hint="eastAsia"/>
        </w:rPr>
        <w:t>“</w:t>
      </w:r>
      <w:r w:rsidRPr="00900CCD">
        <w:t>混凝</w:t>
      </w:r>
      <w:r w:rsidRPr="00900CCD">
        <w:rPr>
          <w:rFonts w:hint="eastAsia"/>
        </w:rPr>
        <w:t>、</w:t>
      </w:r>
      <w:r w:rsidRPr="00900CCD">
        <w:t>沉淀</w:t>
      </w:r>
      <w:r w:rsidRPr="00900CCD">
        <w:rPr>
          <w:rFonts w:hint="eastAsia"/>
        </w:rPr>
        <w:t>、气浮、</w:t>
      </w:r>
      <w:r w:rsidRPr="00900CCD">
        <w:t>过滤</w:t>
      </w:r>
      <w:r w:rsidRPr="00900CCD">
        <w:rPr>
          <w:rFonts w:hint="eastAsia"/>
        </w:rPr>
        <w:t>、</w:t>
      </w:r>
      <w:r w:rsidRPr="00900CCD">
        <w:t>消毒</w:t>
      </w:r>
      <w:r w:rsidRPr="00900CCD">
        <w:rPr>
          <w:rFonts w:hint="eastAsia"/>
        </w:rPr>
        <w:t>”</w:t>
      </w:r>
      <w:r w:rsidRPr="00900CCD">
        <w:rPr>
          <w:rFonts w:hAnsi="宋体"/>
          <w:snapToGrid w:val="0"/>
        </w:rPr>
        <w:t>处理</w:t>
      </w:r>
      <w:r w:rsidRPr="00900CCD">
        <w:rPr>
          <w:rFonts w:hint="eastAsia"/>
        </w:rPr>
        <w:t>达标后，部分回用于井下洒水与黄泥灌浆用水等，其余达标（最大排放量</w:t>
      </w:r>
      <w:r w:rsidR="00EA1DA8">
        <w:rPr>
          <w:rFonts w:hint="eastAsia"/>
          <w:color w:val="FF0000"/>
        </w:rPr>
        <w:t>553</w:t>
      </w:r>
      <w:r w:rsidRPr="00900CCD">
        <w:rPr>
          <w:rFonts w:hint="eastAsia"/>
        </w:rPr>
        <w:t>m</w:t>
      </w:r>
      <w:r w:rsidRPr="00900CCD">
        <w:rPr>
          <w:rFonts w:hint="eastAsia"/>
          <w:vertAlign w:val="superscript"/>
        </w:rPr>
        <w:t>3</w:t>
      </w:r>
      <w:r w:rsidRPr="00900CCD">
        <w:rPr>
          <w:rFonts w:hint="eastAsia"/>
        </w:rPr>
        <w:t>/d</w:t>
      </w:r>
      <w:r w:rsidRPr="00900CCD">
        <w:rPr>
          <w:rFonts w:hint="eastAsia"/>
        </w:rPr>
        <w:t>）排至蚂蚁河。矿井利用已有排污口（榆林市横山区魏家楼镇施阳台蚂蚁河左岸，经度</w:t>
      </w:r>
      <w:r w:rsidRPr="00900CCD">
        <w:rPr>
          <w:rFonts w:hint="eastAsia"/>
        </w:rPr>
        <w:t>109</w:t>
      </w:r>
      <w:r w:rsidRPr="00900CCD">
        <w:rPr>
          <w:rFonts w:hint="eastAsia"/>
        </w:rPr>
        <w:t>°</w:t>
      </w:r>
      <w:r w:rsidRPr="00900CCD">
        <w:rPr>
          <w:rFonts w:hint="eastAsia"/>
        </w:rPr>
        <w:t>27</w:t>
      </w:r>
      <w:r w:rsidRPr="00900CCD">
        <w:rPr>
          <w:rFonts w:hint="eastAsia"/>
        </w:rPr>
        <w:t>′</w:t>
      </w:r>
      <w:r w:rsidRPr="00900CCD">
        <w:rPr>
          <w:rFonts w:hint="eastAsia"/>
        </w:rPr>
        <w:t>34</w:t>
      </w:r>
      <w:r w:rsidRPr="00900CCD">
        <w:rPr>
          <w:rFonts w:hint="eastAsia"/>
        </w:rPr>
        <w:t>″、纬度</w:t>
      </w:r>
      <w:r w:rsidRPr="00900CCD">
        <w:rPr>
          <w:rFonts w:hint="eastAsia"/>
        </w:rPr>
        <w:t>37</w:t>
      </w:r>
      <w:r w:rsidRPr="00900CCD">
        <w:rPr>
          <w:rFonts w:hint="eastAsia"/>
        </w:rPr>
        <w:t>°</w:t>
      </w:r>
      <w:r w:rsidRPr="00900CCD">
        <w:rPr>
          <w:rFonts w:hint="eastAsia"/>
        </w:rPr>
        <w:t>33</w:t>
      </w:r>
      <w:r w:rsidRPr="00900CCD">
        <w:rPr>
          <w:rFonts w:hint="eastAsia"/>
        </w:rPr>
        <w:t>′</w:t>
      </w:r>
      <w:r w:rsidRPr="00900CCD">
        <w:rPr>
          <w:rFonts w:hint="eastAsia"/>
        </w:rPr>
        <w:t>38</w:t>
      </w:r>
      <w:r w:rsidRPr="00900CCD">
        <w:rPr>
          <w:rFonts w:hint="eastAsia"/>
        </w:rPr>
        <w:t>″），出水水质较整合前有所改善，排水量减少，对地表水环境影响减轻。</w:t>
      </w:r>
      <w:r w:rsidRPr="00900CCD">
        <w:t>环评要求矿井运行期加强污废水处理站运行管理</w:t>
      </w:r>
      <w:r w:rsidRPr="00900CCD">
        <w:rPr>
          <w:rFonts w:hint="eastAsia"/>
        </w:rPr>
        <w:t>，</w:t>
      </w:r>
      <w:r w:rsidRPr="00900CCD">
        <w:t>对污废水处理站设施应定期进行维护检修，出现故障应及时排除，确保处理设</w:t>
      </w:r>
      <w:r>
        <w:t>施处于正常运行工况。</w:t>
      </w:r>
    </w:p>
    <w:p w:rsidR="00C223F5" w:rsidRDefault="005860D5">
      <w:pPr>
        <w:widowControl/>
        <w:adjustRightInd w:val="0"/>
        <w:snapToGrid w:val="0"/>
        <w:spacing w:line="360" w:lineRule="auto"/>
        <w:ind w:firstLineChars="200" w:firstLine="480"/>
        <w:jc w:val="left"/>
        <w:rPr>
          <w:snapToGrid w:val="0"/>
          <w:sz w:val="24"/>
        </w:rPr>
      </w:pPr>
      <w:r>
        <w:rPr>
          <w:rFonts w:hint="eastAsia"/>
          <w:snapToGrid w:val="0"/>
          <w:sz w:val="24"/>
        </w:rPr>
        <w:t>（</w:t>
      </w:r>
      <w:r>
        <w:rPr>
          <w:rFonts w:hint="eastAsia"/>
          <w:snapToGrid w:val="0"/>
          <w:sz w:val="24"/>
        </w:rPr>
        <w:t>4</w:t>
      </w:r>
      <w:r>
        <w:rPr>
          <w:rFonts w:hint="eastAsia"/>
          <w:snapToGrid w:val="0"/>
          <w:sz w:val="24"/>
        </w:rPr>
        <w:t>）环境空气</w:t>
      </w:r>
    </w:p>
    <w:p w:rsidR="00C223F5" w:rsidRDefault="000F32AE">
      <w:pPr>
        <w:spacing w:line="360" w:lineRule="auto"/>
        <w:ind w:firstLineChars="200" w:firstLine="480"/>
        <w:rPr>
          <w:sz w:val="24"/>
        </w:rPr>
      </w:pPr>
      <w:r>
        <w:rPr>
          <w:sz w:val="24"/>
        </w:rPr>
        <w:fldChar w:fldCharType="begin"/>
      </w:r>
      <w:r w:rsidR="005860D5">
        <w:rPr>
          <w:rFonts w:hint="eastAsia"/>
          <w:sz w:val="24"/>
        </w:rPr>
        <w:instrText>= 1 \* GB3</w:instrText>
      </w:r>
      <w:r>
        <w:rPr>
          <w:sz w:val="24"/>
        </w:rPr>
        <w:fldChar w:fldCharType="separate"/>
      </w:r>
      <w:r w:rsidR="005860D5">
        <w:rPr>
          <w:rFonts w:hint="eastAsia"/>
          <w:sz w:val="24"/>
        </w:rPr>
        <w:t>①</w:t>
      </w:r>
      <w:r>
        <w:rPr>
          <w:sz w:val="24"/>
        </w:rPr>
        <w:fldChar w:fldCharType="end"/>
      </w:r>
      <w:r w:rsidR="005860D5">
        <w:rPr>
          <w:rFonts w:hint="eastAsia"/>
          <w:bCs/>
          <w:sz w:val="24"/>
        </w:rPr>
        <w:t>建设期环境空气影响与防治措施</w:t>
      </w:r>
    </w:p>
    <w:p w:rsidR="00C223F5" w:rsidRDefault="005860D5">
      <w:pPr>
        <w:pStyle w:val="hp"/>
        <w:ind w:firstLine="480"/>
        <w:rPr>
          <w:szCs w:val="28"/>
        </w:rPr>
      </w:pPr>
      <w:r>
        <w:rPr>
          <w:szCs w:val="28"/>
        </w:rPr>
        <w:t>施工期大气环境影响因素主要为各种施工及物料运输、储存产生的扬尘，其影响范围一般在施工区、运输道路、储存场附近区域</w:t>
      </w:r>
      <w:r>
        <w:rPr>
          <w:rFonts w:hint="eastAsia"/>
          <w:szCs w:val="28"/>
        </w:rPr>
        <w:t>。施工期应</w:t>
      </w:r>
      <w:r>
        <w:rPr>
          <w:szCs w:val="28"/>
        </w:rPr>
        <w:t>加强现场施工管理，</w:t>
      </w:r>
      <w:r>
        <w:rPr>
          <w:rFonts w:hint="eastAsia"/>
          <w:szCs w:val="28"/>
        </w:rPr>
        <w:t>土石方开挖应及时回填，</w:t>
      </w:r>
      <w:r>
        <w:t>建筑材料</w:t>
      </w:r>
      <w:r>
        <w:rPr>
          <w:rFonts w:hint="eastAsia"/>
        </w:rPr>
        <w:t>集中堆放并进行围挡，运输车辆</w:t>
      </w:r>
      <w:r>
        <w:rPr>
          <w:szCs w:val="28"/>
        </w:rPr>
        <w:t>覆盖篷布；</w:t>
      </w:r>
      <w:r>
        <w:rPr>
          <w:szCs w:val="28"/>
        </w:rPr>
        <w:lastRenderedPageBreak/>
        <w:t>施工场地</w:t>
      </w:r>
      <w:r>
        <w:rPr>
          <w:rFonts w:hint="eastAsia"/>
          <w:szCs w:val="28"/>
        </w:rPr>
        <w:t>及</w:t>
      </w:r>
      <w:r>
        <w:rPr>
          <w:szCs w:val="28"/>
        </w:rPr>
        <w:t>道路及时清扫</w:t>
      </w:r>
      <w:r>
        <w:rPr>
          <w:rFonts w:hint="eastAsia"/>
          <w:szCs w:val="28"/>
        </w:rPr>
        <w:t>洒水</w:t>
      </w:r>
      <w:r>
        <w:rPr>
          <w:szCs w:val="28"/>
        </w:rPr>
        <w:t>，采取措施后，施工期对环境空气影响较小。</w:t>
      </w:r>
    </w:p>
    <w:p w:rsidR="00C223F5" w:rsidRDefault="000F32AE">
      <w:pPr>
        <w:spacing w:line="360" w:lineRule="auto"/>
        <w:ind w:firstLineChars="200" w:firstLine="480"/>
        <w:rPr>
          <w:sz w:val="24"/>
        </w:rPr>
      </w:pPr>
      <w:r>
        <w:rPr>
          <w:sz w:val="24"/>
        </w:rPr>
        <w:fldChar w:fldCharType="begin"/>
      </w:r>
      <w:r w:rsidR="005860D5">
        <w:rPr>
          <w:rFonts w:hint="eastAsia"/>
          <w:sz w:val="24"/>
        </w:rPr>
        <w:instrText>= 2 \* GB3</w:instrText>
      </w:r>
      <w:r>
        <w:rPr>
          <w:sz w:val="24"/>
        </w:rPr>
        <w:fldChar w:fldCharType="separate"/>
      </w:r>
      <w:r w:rsidR="005860D5">
        <w:rPr>
          <w:rFonts w:hint="eastAsia"/>
          <w:sz w:val="24"/>
        </w:rPr>
        <w:t>②</w:t>
      </w:r>
      <w:r>
        <w:rPr>
          <w:sz w:val="24"/>
        </w:rPr>
        <w:fldChar w:fldCharType="end"/>
      </w:r>
      <w:r w:rsidR="005860D5">
        <w:rPr>
          <w:rFonts w:hint="eastAsia"/>
          <w:bCs/>
          <w:sz w:val="24"/>
        </w:rPr>
        <w:t>营运期环境空气影响与防治措施</w:t>
      </w:r>
    </w:p>
    <w:p w:rsidR="00C223F5" w:rsidRDefault="005860D5">
      <w:pPr>
        <w:spacing w:line="360" w:lineRule="auto"/>
        <w:ind w:firstLineChars="200" w:firstLine="480"/>
        <w:rPr>
          <w:sz w:val="24"/>
        </w:rPr>
      </w:pPr>
      <w:r>
        <w:rPr>
          <w:rFonts w:hint="eastAsia"/>
          <w:sz w:val="24"/>
        </w:rPr>
        <w:t>项目运营期环境空气污染源主要为输煤、储煤、筛选及产品运输过程的煤尘污染。设计和环评提出，矿井采用</w:t>
      </w:r>
      <w:r>
        <w:rPr>
          <w:sz w:val="24"/>
        </w:rPr>
        <w:t>乏风热泵机组</w:t>
      </w:r>
      <w:r>
        <w:rPr>
          <w:sz w:val="24"/>
        </w:rPr>
        <w:t>+</w:t>
      </w:r>
      <w:r>
        <w:rPr>
          <w:sz w:val="24"/>
        </w:rPr>
        <w:t>水源热泵机组</w:t>
      </w:r>
      <w:r>
        <w:rPr>
          <w:sz w:val="24"/>
        </w:rPr>
        <w:t>+</w:t>
      </w:r>
      <w:r>
        <w:rPr>
          <w:sz w:val="24"/>
        </w:rPr>
        <w:t>电锅炉供热</w:t>
      </w:r>
      <w:r>
        <w:rPr>
          <w:rFonts w:hint="eastAsia"/>
          <w:sz w:val="24"/>
        </w:rPr>
        <w:t>，筒仓储煤，封闭输煤栈桥及转载点，设喷雾洒水装置；封闭筛选系统及主厂房，筛破设备安装集尘罩及干雾抑尘装置</w:t>
      </w:r>
      <w:r w:rsidRPr="00EA1DA8">
        <w:rPr>
          <w:rFonts w:hint="eastAsia"/>
          <w:color w:val="FF0000"/>
          <w:sz w:val="24"/>
        </w:rPr>
        <w:t>，</w:t>
      </w:r>
      <w:r w:rsidR="00EA1DA8" w:rsidRPr="00EA1DA8">
        <w:rPr>
          <w:rFonts w:hint="eastAsia"/>
          <w:color w:val="FF0000"/>
          <w:sz w:val="24"/>
        </w:rPr>
        <w:t>厂区出口设洗车台，</w:t>
      </w:r>
      <w:r>
        <w:rPr>
          <w:rFonts w:hint="eastAsia"/>
          <w:sz w:val="24"/>
        </w:rPr>
        <w:t>采取措施后污染物排放浓度均达到</w:t>
      </w:r>
      <w:r>
        <w:rPr>
          <w:sz w:val="24"/>
        </w:rPr>
        <w:t>《煤炭工业污染物排放标准》</w:t>
      </w:r>
      <w:r>
        <w:rPr>
          <w:rFonts w:hint="eastAsia"/>
          <w:sz w:val="24"/>
        </w:rPr>
        <w:t>（</w:t>
      </w:r>
      <w:r>
        <w:rPr>
          <w:sz w:val="24"/>
        </w:rPr>
        <w:t>GB20426</w:t>
      </w:r>
      <w:r>
        <w:rPr>
          <w:rFonts w:hint="eastAsia"/>
          <w:sz w:val="24"/>
        </w:rPr>
        <w:t>-</w:t>
      </w:r>
      <w:r>
        <w:rPr>
          <w:sz w:val="24"/>
        </w:rPr>
        <w:t>2006</w:t>
      </w:r>
      <w:r>
        <w:rPr>
          <w:rFonts w:hint="eastAsia"/>
          <w:sz w:val="24"/>
        </w:rPr>
        <w:t>）的允许限值，排放的煤尘浓度对周围空气环境的影响较小</w:t>
      </w:r>
      <w:r>
        <w:rPr>
          <w:rFonts w:hAnsi="宋体"/>
          <w:sz w:val="24"/>
        </w:rPr>
        <w:t>。</w:t>
      </w:r>
    </w:p>
    <w:p w:rsidR="00C223F5" w:rsidRDefault="005860D5">
      <w:pPr>
        <w:spacing w:line="360" w:lineRule="auto"/>
        <w:ind w:firstLine="480"/>
        <w:rPr>
          <w:snapToGrid w:val="0"/>
          <w:sz w:val="24"/>
        </w:rPr>
      </w:pPr>
      <w:r>
        <w:rPr>
          <w:rFonts w:hint="eastAsia"/>
          <w:snapToGrid w:val="0"/>
          <w:sz w:val="24"/>
        </w:rPr>
        <w:t>（</w:t>
      </w:r>
      <w:r>
        <w:rPr>
          <w:rFonts w:hint="eastAsia"/>
          <w:snapToGrid w:val="0"/>
          <w:sz w:val="24"/>
        </w:rPr>
        <w:t>5</w:t>
      </w:r>
      <w:r>
        <w:rPr>
          <w:rFonts w:hint="eastAsia"/>
          <w:snapToGrid w:val="0"/>
          <w:sz w:val="24"/>
        </w:rPr>
        <w:t>）声环境</w:t>
      </w:r>
    </w:p>
    <w:p w:rsidR="00C223F5" w:rsidRDefault="000F32AE">
      <w:pPr>
        <w:spacing w:line="360" w:lineRule="auto"/>
        <w:ind w:firstLineChars="200" w:firstLine="480"/>
        <w:rPr>
          <w:sz w:val="24"/>
        </w:rPr>
      </w:pPr>
      <w:r>
        <w:rPr>
          <w:sz w:val="24"/>
        </w:rPr>
        <w:fldChar w:fldCharType="begin"/>
      </w:r>
      <w:r w:rsidR="005860D5">
        <w:rPr>
          <w:rFonts w:hint="eastAsia"/>
          <w:sz w:val="24"/>
        </w:rPr>
        <w:instrText>= 1 \* GB3</w:instrText>
      </w:r>
      <w:r>
        <w:rPr>
          <w:sz w:val="24"/>
        </w:rPr>
        <w:fldChar w:fldCharType="separate"/>
      </w:r>
      <w:r w:rsidR="005860D5">
        <w:rPr>
          <w:rFonts w:hint="eastAsia"/>
          <w:sz w:val="24"/>
        </w:rPr>
        <w:t>①</w:t>
      </w:r>
      <w:r>
        <w:rPr>
          <w:sz w:val="24"/>
        </w:rPr>
        <w:fldChar w:fldCharType="end"/>
      </w:r>
      <w:r w:rsidR="005860D5">
        <w:rPr>
          <w:rFonts w:hint="eastAsia"/>
          <w:bCs/>
          <w:sz w:val="24"/>
        </w:rPr>
        <w:t>建设期声环境影响与防治措施</w:t>
      </w:r>
    </w:p>
    <w:p w:rsidR="00C223F5" w:rsidRDefault="005860D5">
      <w:pPr>
        <w:pStyle w:val="hp"/>
        <w:ind w:firstLine="480"/>
      </w:pPr>
      <w:r>
        <w:t>建设期噪声污染源主要为施工过程中的机械噪声与交通运输噪声。</w:t>
      </w:r>
      <w:r>
        <w:rPr>
          <w:rFonts w:hint="eastAsia"/>
        </w:rPr>
        <w:t>施工期应</w:t>
      </w:r>
      <w:r>
        <w:t>选用低噪设备，合理安排工期等，可减轻和防止施工噪声影响。</w:t>
      </w:r>
    </w:p>
    <w:p w:rsidR="00C223F5" w:rsidRDefault="005860D5">
      <w:pPr>
        <w:spacing w:line="360" w:lineRule="auto"/>
        <w:ind w:firstLineChars="200" w:firstLine="480"/>
        <w:rPr>
          <w:rFonts w:ascii="宋体" w:hAnsi="宋体"/>
          <w:bCs/>
          <w:sz w:val="24"/>
        </w:rPr>
      </w:pPr>
      <w:r>
        <w:rPr>
          <w:sz w:val="24"/>
        </w:rPr>
        <w:t>施工期声环境影响是暂时的，随着施工的结束，这种影响会消失</w:t>
      </w:r>
      <w:r>
        <w:rPr>
          <w:rFonts w:ascii="宋体" w:hAnsi="宋体" w:hint="eastAsia"/>
          <w:bCs/>
          <w:sz w:val="24"/>
        </w:rPr>
        <w:t>。</w:t>
      </w:r>
    </w:p>
    <w:p w:rsidR="00C223F5" w:rsidRDefault="000F32AE">
      <w:pPr>
        <w:spacing w:line="360" w:lineRule="auto"/>
        <w:ind w:firstLineChars="200" w:firstLine="480"/>
        <w:rPr>
          <w:sz w:val="24"/>
        </w:rPr>
      </w:pPr>
      <w:r>
        <w:rPr>
          <w:sz w:val="24"/>
        </w:rPr>
        <w:fldChar w:fldCharType="begin"/>
      </w:r>
      <w:r w:rsidR="005860D5">
        <w:rPr>
          <w:rFonts w:hint="eastAsia"/>
          <w:sz w:val="24"/>
        </w:rPr>
        <w:instrText>= 2 \* GB3</w:instrText>
      </w:r>
      <w:r>
        <w:rPr>
          <w:sz w:val="24"/>
        </w:rPr>
        <w:fldChar w:fldCharType="separate"/>
      </w:r>
      <w:r w:rsidR="005860D5">
        <w:rPr>
          <w:rFonts w:hint="eastAsia"/>
          <w:sz w:val="24"/>
        </w:rPr>
        <w:t>②</w:t>
      </w:r>
      <w:r>
        <w:rPr>
          <w:sz w:val="24"/>
        </w:rPr>
        <w:fldChar w:fldCharType="end"/>
      </w:r>
      <w:r w:rsidR="005860D5">
        <w:rPr>
          <w:rFonts w:hint="eastAsia"/>
          <w:bCs/>
          <w:sz w:val="24"/>
        </w:rPr>
        <w:t>营运期声环境影响与防治措施</w:t>
      </w:r>
    </w:p>
    <w:p w:rsidR="00C223F5" w:rsidRPr="00EA1DA8" w:rsidRDefault="005860D5">
      <w:pPr>
        <w:spacing w:line="360" w:lineRule="auto"/>
        <w:ind w:firstLineChars="200" w:firstLine="480"/>
        <w:rPr>
          <w:rFonts w:hAnsi="宋体"/>
          <w:snapToGrid w:val="0"/>
          <w:color w:val="FF0000"/>
          <w:sz w:val="24"/>
        </w:rPr>
      </w:pPr>
      <w:r>
        <w:rPr>
          <w:rFonts w:hAnsi="宋体" w:hint="eastAsia"/>
          <w:sz w:val="24"/>
        </w:rPr>
        <w:t>项目</w:t>
      </w:r>
      <w:r>
        <w:rPr>
          <w:rFonts w:hAnsi="宋体"/>
          <w:sz w:val="24"/>
        </w:rPr>
        <w:t>针对噪声源不同分别采取隔声、减震、加消声器等防治措施。</w:t>
      </w:r>
      <w:r>
        <w:rPr>
          <w:rFonts w:hAnsi="宋体"/>
          <w:snapToGrid w:val="0"/>
          <w:sz w:val="24"/>
        </w:rPr>
        <w:t>在设计阶段优选低噪产品或配套提供降噪设施；设计及环评提</w:t>
      </w:r>
      <w:r>
        <w:rPr>
          <w:rFonts w:hAnsi="宋体" w:hint="eastAsia"/>
          <w:snapToGrid w:val="0"/>
          <w:sz w:val="24"/>
        </w:rPr>
        <w:t>出</w:t>
      </w:r>
      <w:r>
        <w:rPr>
          <w:rFonts w:hAnsi="宋体" w:hint="eastAsia"/>
          <w:sz w:val="24"/>
        </w:rPr>
        <w:t>乏风热泵机房、</w:t>
      </w:r>
      <w:r>
        <w:rPr>
          <w:rFonts w:eastAsiaTheme="minorEastAsia" w:hAnsiTheme="minorEastAsia" w:hint="eastAsia"/>
          <w:sz w:val="24"/>
        </w:rPr>
        <w:t>筛分破碎车间</w:t>
      </w:r>
      <w:r>
        <w:rPr>
          <w:rFonts w:hAnsi="宋体" w:hint="eastAsia"/>
          <w:sz w:val="24"/>
        </w:rPr>
        <w:t>、主厂房和水处理站设置隔声门窗，其中筛分破碎及主厂房采用专用隔声门窗；在驱动机头上安装隔声箱；通风机风机口上加设扩散塔；空压机进气口装消声器；振动筛等设备减震；输煤栈桥设隔声窗；</w:t>
      </w:r>
      <w:r>
        <w:rPr>
          <w:rFonts w:hAnsi="宋体"/>
          <w:sz w:val="24"/>
        </w:rPr>
        <w:t>振动较强的各类水泵基础设减振、管道连接设橡胶软接头等；</w:t>
      </w:r>
      <w:r>
        <w:rPr>
          <w:rFonts w:hAnsi="宋体" w:hint="eastAsia"/>
          <w:sz w:val="24"/>
        </w:rPr>
        <w:t>处理</w:t>
      </w:r>
      <w:r>
        <w:rPr>
          <w:rFonts w:hAnsi="宋体"/>
          <w:snapToGrid w:val="0"/>
          <w:sz w:val="24"/>
        </w:rPr>
        <w:t>工作的人员佩戴耳塞、耳罩等劳保产品；</w:t>
      </w:r>
      <w:r>
        <w:rPr>
          <w:rFonts w:hAnsi="宋体"/>
          <w:sz w:val="24"/>
        </w:rPr>
        <w:t>同时在噪声源周围绿化降噪</w:t>
      </w:r>
      <w:r>
        <w:rPr>
          <w:rFonts w:hAnsi="宋体" w:hint="eastAsia"/>
          <w:sz w:val="24"/>
        </w:rPr>
        <w:t>等措施</w:t>
      </w:r>
      <w:r>
        <w:rPr>
          <w:rFonts w:hAnsi="宋体"/>
          <w:snapToGrid w:val="0"/>
          <w:sz w:val="24"/>
        </w:rPr>
        <w:t>。</w:t>
      </w:r>
      <w:r w:rsidR="00EA1DA8" w:rsidRPr="00EA1DA8">
        <w:rPr>
          <w:rFonts w:hAnsi="宋体" w:hint="eastAsia"/>
          <w:snapToGrid w:val="0"/>
          <w:color w:val="FF0000"/>
          <w:sz w:val="24"/>
        </w:rPr>
        <w:t>环评要求项目运输车辆应限速限载，加盖篷布，在道路沿线设置禁止鸣笛警示牌，降低运输噪声对道路两侧居民的影响。</w:t>
      </w:r>
    </w:p>
    <w:p w:rsidR="00C223F5" w:rsidRDefault="005860D5">
      <w:pPr>
        <w:pStyle w:val="hb1"/>
        <w:ind w:firstLine="480"/>
        <w:rPr>
          <w:szCs w:val="24"/>
        </w:rPr>
      </w:pPr>
      <w:r>
        <w:rPr>
          <w:szCs w:val="24"/>
        </w:rPr>
        <w:t>运行期矿井噪声源在采取降噪措施后</w:t>
      </w:r>
      <w:r>
        <w:rPr>
          <w:rFonts w:hint="eastAsia"/>
          <w:szCs w:val="24"/>
        </w:rPr>
        <w:t>各厂界</w:t>
      </w:r>
      <w:r>
        <w:rPr>
          <w:szCs w:val="24"/>
        </w:rPr>
        <w:t>昼</w:t>
      </w:r>
      <w:r>
        <w:rPr>
          <w:rFonts w:hint="eastAsia"/>
          <w:szCs w:val="24"/>
        </w:rPr>
        <w:t>、夜</w:t>
      </w:r>
      <w:r>
        <w:rPr>
          <w:szCs w:val="24"/>
        </w:rPr>
        <w:t>间噪声贡献值</w:t>
      </w:r>
      <w:r>
        <w:rPr>
          <w:rFonts w:hint="eastAsia"/>
          <w:szCs w:val="24"/>
        </w:rPr>
        <w:t>及声敏感点预测值满足</w:t>
      </w:r>
      <w:r>
        <w:rPr>
          <w:szCs w:val="24"/>
        </w:rPr>
        <w:t>GB</w:t>
      </w:r>
      <w:r>
        <w:rPr>
          <w:rFonts w:hint="eastAsia"/>
          <w:szCs w:val="24"/>
        </w:rPr>
        <w:t>12348</w:t>
      </w:r>
      <w:r>
        <w:rPr>
          <w:szCs w:val="24"/>
        </w:rPr>
        <w:t>-2008</w:t>
      </w:r>
      <w:r>
        <w:rPr>
          <w:szCs w:val="24"/>
        </w:rPr>
        <w:t>《工业企业厂界环境噪声排放标准》</w:t>
      </w:r>
      <w:r>
        <w:rPr>
          <w:rFonts w:hint="eastAsia"/>
          <w:szCs w:val="24"/>
        </w:rPr>
        <w:t>2</w:t>
      </w:r>
      <w:r>
        <w:rPr>
          <w:szCs w:val="24"/>
        </w:rPr>
        <w:t>类标准要求。</w:t>
      </w:r>
    </w:p>
    <w:p w:rsidR="00C223F5" w:rsidRDefault="005860D5">
      <w:pPr>
        <w:pStyle w:val="hb1"/>
        <w:ind w:firstLine="480"/>
        <w:rPr>
          <w:szCs w:val="24"/>
        </w:rPr>
      </w:pPr>
      <w:r>
        <w:rPr>
          <w:rFonts w:hint="eastAsia"/>
          <w:szCs w:val="24"/>
        </w:rPr>
        <w:t>（</w:t>
      </w:r>
      <w:r>
        <w:rPr>
          <w:rFonts w:hint="eastAsia"/>
          <w:szCs w:val="24"/>
        </w:rPr>
        <w:t>6</w:t>
      </w:r>
      <w:r>
        <w:rPr>
          <w:rFonts w:hint="eastAsia"/>
          <w:szCs w:val="24"/>
        </w:rPr>
        <w:t>）固体废物</w:t>
      </w:r>
    </w:p>
    <w:p w:rsidR="00C223F5" w:rsidRDefault="000F32AE">
      <w:pPr>
        <w:pStyle w:val="hp"/>
        <w:ind w:firstLine="480"/>
      </w:pPr>
      <w:r>
        <w:fldChar w:fldCharType="begin"/>
      </w:r>
      <w:r w:rsidR="005860D5">
        <w:instrText>= 1 \* GB3</w:instrText>
      </w:r>
      <w:r>
        <w:fldChar w:fldCharType="separate"/>
      </w:r>
      <w:r w:rsidR="005860D5">
        <w:rPr>
          <w:rFonts w:hint="eastAsia"/>
        </w:rPr>
        <w:t>①</w:t>
      </w:r>
      <w:r>
        <w:fldChar w:fldCharType="end"/>
      </w:r>
      <w:r w:rsidR="005860D5">
        <w:t>建设期固体废物影响分析</w:t>
      </w:r>
    </w:p>
    <w:p w:rsidR="00C223F5" w:rsidRDefault="005860D5">
      <w:pPr>
        <w:spacing w:line="360" w:lineRule="auto"/>
        <w:ind w:firstLineChars="200" w:firstLine="480"/>
      </w:pPr>
      <w:r>
        <w:rPr>
          <w:sz w:val="24"/>
        </w:rPr>
        <w:t>建设期固体废弃物主要</w:t>
      </w:r>
      <w:r w:rsidRPr="00900CCD">
        <w:rPr>
          <w:sz w:val="24"/>
        </w:rPr>
        <w:t>为井筒开挖及掘进、</w:t>
      </w:r>
      <w:r w:rsidRPr="00900CCD">
        <w:rPr>
          <w:rFonts w:hint="eastAsia"/>
          <w:sz w:val="24"/>
        </w:rPr>
        <w:t>原有设备拆除及</w:t>
      </w:r>
      <w:r w:rsidRPr="00900CCD">
        <w:rPr>
          <w:sz w:val="24"/>
        </w:rPr>
        <w:t>工业场地</w:t>
      </w:r>
      <w:r w:rsidRPr="00900CCD">
        <w:rPr>
          <w:rFonts w:hint="eastAsia"/>
          <w:sz w:val="24"/>
        </w:rPr>
        <w:t>扩建</w:t>
      </w:r>
      <w:r w:rsidRPr="00900CCD">
        <w:rPr>
          <w:sz w:val="24"/>
        </w:rPr>
        <w:t>、场外道路建设产生的掘进矸石、岩石及泥土，其次为地面施工生产中产生的施工弃渣、建筑垃圾，施工营地产生的生活垃圾等。本项目采用以挖作填进行施工，</w:t>
      </w:r>
      <w:r w:rsidRPr="00900CCD">
        <w:rPr>
          <w:rFonts w:hint="eastAsia"/>
          <w:sz w:val="24"/>
        </w:rPr>
        <w:t>建设期</w:t>
      </w:r>
      <w:r w:rsidRPr="00900CCD">
        <w:rPr>
          <w:sz w:val="24"/>
        </w:rPr>
        <w:t>挖填方总量</w:t>
      </w:r>
      <w:r w:rsidRPr="00900CCD">
        <w:rPr>
          <w:sz w:val="24"/>
        </w:rPr>
        <w:t>47.45</w:t>
      </w:r>
      <w:r w:rsidRPr="00900CCD">
        <w:rPr>
          <w:sz w:val="24"/>
        </w:rPr>
        <w:t>万</w:t>
      </w:r>
      <w:r w:rsidRPr="00900CCD">
        <w:rPr>
          <w:sz w:val="24"/>
        </w:rPr>
        <w:t>m</w:t>
      </w:r>
      <w:r w:rsidRPr="00900CCD">
        <w:rPr>
          <w:sz w:val="24"/>
          <w:vertAlign w:val="superscript"/>
        </w:rPr>
        <w:t>3</w:t>
      </w:r>
      <w:r w:rsidRPr="00900CCD">
        <w:rPr>
          <w:sz w:val="24"/>
        </w:rPr>
        <w:t>，挖方</w:t>
      </w:r>
      <w:r w:rsidRPr="00900CCD">
        <w:rPr>
          <w:sz w:val="24"/>
        </w:rPr>
        <w:t>39.03</w:t>
      </w:r>
      <w:r w:rsidRPr="00900CCD">
        <w:rPr>
          <w:sz w:val="24"/>
        </w:rPr>
        <w:t>万</w:t>
      </w:r>
      <w:r w:rsidRPr="00900CCD">
        <w:rPr>
          <w:sz w:val="24"/>
        </w:rPr>
        <w:t>m</w:t>
      </w:r>
      <w:r w:rsidRPr="00900CCD">
        <w:rPr>
          <w:sz w:val="24"/>
          <w:vertAlign w:val="superscript"/>
        </w:rPr>
        <w:t>3</w:t>
      </w:r>
      <w:r w:rsidRPr="00900CCD">
        <w:rPr>
          <w:sz w:val="24"/>
        </w:rPr>
        <w:t>，填方</w:t>
      </w:r>
      <w:r w:rsidRPr="00900CCD">
        <w:rPr>
          <w:sz w:val="24"/>
        </w:rPr>
        <w:t>8.42</w:t>
      </w:r>
      <w:r w:rsidRPr="00900CCD">
        <w:rPr>
          <w:sz w:val="24"/>
        </w:rPr>
        <w:t>万</w:t>
      </w:r>
      <w:r w:rsidRPr="00900CCD">
        <w:rPr>
          <w:sz w:val="24"/>
        </w:rPr>
        <w:t>m</w:t>
      </w:r>
      <w:r w:rsidRPr="00900CCD">
        <w:rPr>
          <w:sz w:val="24"/>
          <w:vertAlign w:val="superscript"/>
        </w:rPr>
        <w:t>3</w:t>
      </w:r>
      <w:r w:rsidRPr="00900CCD">
        <w:rPr>
          <w:rFonts w:hint="eastAsia"/>
          <w:sz w:val="24"/>
        </w:rPr>
        <w:t>；其中工业场地</w:t>
      </w:r>
      <w:r w:rsidRPr="00900CCD">
        <w:rPr>
          <w:rFonts w:hint="eastAsia"/>
          <w:sz w:val="24"/>
        </w:rPr>
        <w:lastRenderedPageBreak/>
        <w:t>平整挖方</w:t>
      </w:r>
      <w:r w:rsidRPr="00900CCD">
        <w:rPr>
          <w:rFonts w:hint="eastAsia"/>
          <w:sz w:val="24"/>
        </w:rPr>
        <w:t>28.93</w:t>
      </w:r>
      <w:r w:rsidRPr="00900CCD">
        <w:rPr>
          <w:sz w:val="24"/>
        </w:rPr>
        <w:t>万</w:t>
      </w:r>
      <w:r w:rsidRPr="00900CCD">
        <w:rPr>
          <w:sz w:val="24"/>
        </w:rPr>
        <w:t>m</w:t>
      </w:r>
      <w:r w:rsidRPr="00900CCD">
        <w:rPr>
          <w:sz w:val="24"/>
          <w:vertAlign w:val="superscript"/>
        </w:rPr>
        <w:t>3</w:t>
      </w:r>
      <w:r w:rsidRPr="00900CCD">
        <w:rPr>
          <w:rFonts w:hint="eastAsia"/>
          <w:sz w:val="24"/>
        </w:rPr>
        <w:t>，回填</w:t>
      </w:r>
      <w:r w:rsidRPr="00900CCD">
        <w:rPr>
          <w:rFonts w:hint="eastAsia"/>
          <w:sz w:val="24"/>
        </w:rPr>
        <w:t>8.22</w:t>
      </w:r>
      <w:r>
        <w:rPr>
          <w:color w:val="000000"/>
          <w:sz w:val="24"/>
        </w:rPr>
        <w:t>万</w:t>
      </w:r>
      <w:r>
        <w:rPr>
          <w:color w:val="000000"/>
          <w:sz w:val="24"/>
        </w:rPr>
        <w:t>m</w:t>
      </w:r>
      <w:r>
        <w:rPr>
          <w:color w:val="000000"/>
          <w:sz w:val="24"/>
          <w:vertAlign w:val="superscript"/>
        </w:rPr>
        <w:t>3</w:t>
      </w:r>
      <w:r>
        <w:rPr>
          <w:rFonts w:hint="eastAsia"/>
          <w:color w:val="000000"/>
          <w:sz w:val="24"/>
        </w:rPr>
        <w:t>，剩余</w:t>
      </w:r>
      <w:r>
        <w:rPr>
          <w:rFonts w:hint="eastAsia"/>
          <w:color w:val="000000"/>
          <w:sz w:val="24"/>
        </w:rPr>
        <w:t>20.71</w:t>
      </w:r>
      <w:r>
        <w:rPr>
          <w:color w:val="000000"/>
          <w:sz w:val="24"/>
        </w:rPr>
        <w:t>万</w:t>
      </w:r>
      <w:r>
        <w:rPr>
          <w:color w:val="000000"/>
          <w:sz w:val="24"/>
        </w:rPr>
        <w:t>m</w:t>
      </w:r>
      <w:r>
        <w:rPr>
          <w:color w:val="000000"/>
          <w:sz w:val="24"/>
          <w:vertAlign w:val="superscript"/>
        </w:rPr>
        <w:t>3</w:t>
      </w:r>
      <w:r>
        <w:rPr>
          <w:rFonts w:hint="eastAsia"/>
          <w:sz w:val="24"/>
        </w:rPr>
        <w:t>用于紧邻工业场地的艾魏路改造工程；井巷掘进矸石量</w:t>
      </w:r>
      <w:r>
        <w:rPr>
          <w:rFonts w:hint="eastAsia"/>
          <w:sz w:val="24"/>
        </w:rPr>
        <w:t>9.9</w:t>
      </w:r>
      <w:r>
        <w:rPr>
          <w:sz w:val="24"/>
        </w:rPr>
        <w:t>万</w:t>
      </w:r>
      <w:r>
        <w:rPr>
          <w:sz w:val="24"/>
        </w:rPr>
        <w:t>m</w:t>
      </w:r>
      <w:r>
        <w:rPr>
          <w:sz w:val="24"/>
          <w:vertAlign w:val="superscript"/>
        </w:rPr>
        <w:t>3</w:t>
      </w:r>
      <w:r>
        <w:rPr>
          <w:rFonts w:hint="eastAsia"/>
          <w:sz w:val="24"/>
        </w:rPr>
        <w:t>，用于艾魏路改造工程和子洲县马岔乡大堡岔兴盛砖厂。</w:t>
      </w:r>
    </w:p>
    <w:p w:rsidR="00C223F5" w:rsidRPr="00900CCD" w:rsidRDefault="005860D5">
      <w:pPr>
        <w:spacing w:line="360" w:lineRule="auto"/>
        <w:ind w:firstLineChars="200" w:firstLine="480"/>
        <w:rPr>
          <w:sz w:val="24"/>
        </w:rPr>
      </w:pPr>
      <w:r>
        <w:rPr>
          <w:sz w:val="24"/>
        </w:rPr>
        <w:t>建设期固体</w:t>
      </w:r>
      <w:r w:rsidRPr="00900CCD">
        <w:rPr>
          <w:sz w:val="24"/>
        </w:rPr>
        <w:t>废物不会对环境产生明显影响。</w:t>
      </w:r>
    </w:p>
    <w:p w:rsidR="00C223F5" w:rsidRPr="00900CCD" w:rsidRDefault="000F32AE">
      <w:pPr>
        <w:pStyle w:val="hp"/>
        <w:ind w:firstLine="480"/>
      </w:pPr>
      <w:r w:rsidRPr="00900CCD">
        <w:fldChar w:fldCharType="begin"/>
      </w:r>
      <w:r w:rsidR="005860D5" w:rsidRPr="00900CCD">
        <w:instrText>= 2 \* GB3</w:instrText>
      </w:r>
      <w:r w:rsidRPr="00900CCD">
        <w:fldChar w:fldCharType="separate"/>
      </w:r>
      <w:r w:rsidR="005860D5" w:rsidRPr="00900CCD">
        <w:rPr>
          <w:rFonts w:hint="eastAsia"/>
        </w:rPr>
        <w:t>②</w:t>
      </w:r>
      <w:r w:rsidRPr="00900CCD">
        <w:fldChar w:fldCharType="end"/>
      </w:r>
      <w:r w:rsidR="005860D5" w:rsidRPr="00900CCD">
        <w:t>运营期固体废物处理和综合利用情况</w:t>
      </w:r>
    </w:p>
    <w:p w:rsidR="00C223F5" w:rsidRPr="00900CCD" w:rsidRDefault="005860D5">
      <w:pPr>
        <w:spacing w:line="360" w:lineRule="auto"/>
        <w:ind w:firstLine="482"/>
        <w:rPr>
          <w:bCs/>
          <w:kern w:val="44"/>
          <w:sz w:val="24"/>
        </w:rPr>
      </w:pPr>
      <w:r w:rsidRPr="00900CCD">
        <w:rPr>
          <w:rFonts w:eastAsia="新宋体"/>
          <w:bCs/>
          <w:kern w:val="44"/>
          <w:sz w:val="24"/>
        </w:rPr>
        <w:t>营运期</w:t>
      </w:r>
      <w:r w:rsidRPr="00900CCD">
        <w:rPr>
          <w:bCs/>
          <w:kern w:val="44"/>
          <w:sz w:val="24"/>
        </w:rPr>
        <w:t>矸石</w:t>
      </w:r>
      <w:r w:rsidRPr="00900CCD">
        <w:rPr>
          <w:rFonts w:hint="eastAsia"/>
          <w:bCs/>
          <w:kern w:val="44"/>
          <w:sz w:val="24"/>
        </w:rPr>
        <w:t>优先</w:t>
      </w:r>
      <w:r w:rsidRPr="00900CCD">
        <w:rPr>
          <w:bCs/>
          <w:kern w:val="44"/>
          <w:sz w:val="24"/>
        </w:rPr>
        <w:t>综合利用</w:t>
      </w:r>
      <w:r w:rsidRPr="00900CCD">
        <w:rPr>
          <w:rFonts w:hint="eastAsia"/>
          <w:bCs/>
          <w:kern w:val="44"/>
          <w:sz w:val="24"/>
        </w:rPr>
        <w:t>于建材厂及</w:t>
      </w:r>
      <w:r w:rsidR="009E36FB" w:rsidRPr="00900CCD">
        <w:rPr>
          <w:rFonts w:hint="eastAsia"/>
          <w:bCs/>
          <w:kern w:val="44"/>
          <w:sz w:val="24"/>
        </w:rPr>
        <w:t>圣拓（陕西）矿业有限公司作为</w:t>
      </w:r>
      <w:r w:rsidR="002118E9" w:rsidRPr="00900CCD">
        <w:rPr>
          <w:rFonts w:hint="eastAsia"/>
          <w:bCs/>
          <w:kern w:val="44"/>
          <w:sz w:val="24"/>
        </w:rPr>
        <w:t>井下充填原料</w:t>
      </w:r>
      <w:r w:rsidRPr="00900CCD">
        <w:rPr>
          <w:rFonts w:hint="eastAsia"/>
          <w:bCs/>
          <w:kern w:val="44"/>
          <w:sz w:val="24"/>
        </w:rPr>
        <w:t>，</w:t>
      </w:r>
      <w:r w:rsidR="002118E9" w:rsidRPr="00900CCD">
        <w:rPr>
          <w:rFonts w:hint="eastAsia"/>
          <w:bCs/>
          <w:kern w:val="44"/>
          <w:sz w:val="24"/>
        </w:rPr>
        <w:t>利用不畅时</w:t>
      </w:r>
      <w:r w:rsidRPr="00900CCD">
        <w:rPr>
          <w:rFonts w:hint="eastAsia"/>
          <w:bCs/>
          <w:kern w:val="44"/>
          <w:sz w:val="24"/>
        </w:rPr>
        <w:t>回填井下废弃巷道</w:t>
      </w:r>
      <w:r w:rsidRPr="00900CCD">
        <w:rPr>
          <w:sz w:val="24"/>
        </w:rPr>
        <w:t>；</w:t>
      </w:r>
      <w:r w:rsidRPr="00900CCD">
        <w:rPr>
          <w:rFonts w:eastAsia="新宋体"/>
          <w:bCs/>
          <w:kern w:val="44"/>
          <w:sz w:val="24"/>
        </w:rPr>
        <w:t>生活垃圾</w:t>
      </w:r>
      <w:r w:rsidRPr="00900CCD">
        <w:rPr>
          <w:bCs/>
          <w:kern w:val="44"/>
          <w:sz w:val="24"/>
        </w:rPr>
        <w:t>集中收集运往环卫部门指定场所集中处置；煤泥浓缩后</w:t>
      </w:r>
      <w:r w:rsidRPr="00900CCD">
        <w:rPr>
          <w:rFonts w:hint="eastAsia"/>
          <w:bCs/>
          <w:kern w:val="44"/>
          <w:sz w:val="24"/>
        </w:rPr>
        <w:t>掺入末煤</w:t>
      </w:r>
      <w:r w:rsidRPr="00900CCD">
        <w:rPr>
          <w:bCs/>
          <w:kern w:val="44"/>
          <w:sz w:val="24"/>
        </w:rPr>
        <w:t>外销，</w:t>
      </w:r>
      <w:r w:rsidR="0024471A" w:rsidRPr="0024471A">
        <w:rPr>
          <w:bCs/>
          <w:color w:val="FF0000"/>
          <w:sz w:val="24"/>
        </w:rPr>
        <w:t>污泥</w:t>
      </w:r>
      <w:r w:rsidR="0024471A" w:rsidRPr="0024471A">
        <w:rPr>
          <w:rFonts w:hint="eastAsia"/>
          <w:bCs/>
          <w:color w:val="FF0000"/>
          <w:kern w:val="44"/>
          <w:sz w:val="24"/>
        </w:rPr>
        <w:t>经机械脱水加生石灰干化至含水率低于</w:t>
      </w:r>
      <w:r w:rsidR="0024471A" w:rsidRPr="0024471A">
        <w:rPr>
          <w:rFonts w:hint="eastAsia"/>
          <w:bCs/>
          <w:color w:val="FF0000"/>
          <w:kern w:val="44"/>
          <w:sz w:val="24"/>
        </w:rPr>
        <w:t>50%</w:t>
      </w:r>
      <w:r w:rsidR="0024471A" w:rsidRPr="0024471A">
        <w:rPr>
          <w:rFonts w:hint="eastAsia"/>
          <w:bCs/>
          <w:color w:val="FF0000"/>
          <w:kern w:val="44"/>
          <w:sz w:val="24"/>
        </w:rPr>
        <w:t>后与生活垃圾一并处置</w:t>
      </w:r>
      <w:r w:rsidRPr="00900CCD">
        <w:rPr>
          <w:bCs/>
          <w:sz w:val="24"/>
        </w:rPr>
        <w:t>；危险废物</w:t>
      </w:r>
      <w:r>
        <w:rPr>
          <w:bCs/>
          <w:sz w:val="24"/>
        </w:rPr>
        <w:t>交由有资质单位进行处理</w:t>
      </w:r>
      <w:r>
        <w:rPr>
          <w:rFonts w:eastAsia="新宋体"/>
          <w:bCs/>
          <w:kern w:val="44"/>
          <w:sz w:val="24"/>
        </w:rPr>
        <w:t>。固废处置措施</w:t>
      </w:r>
      <w:r>
        <w:rPr>
          <w:bCs/>
          <w:kern w:val="44"/>
          <w:sz w:val="24"/>
        </w:rPr>
        <w:t>符合《煤炭工业污染物排放标</w:t>
      </w:r>
      <w:r w:rsidRPr="00900CCD">
        <w:rPr>
          <w:bCs/>
          <w:kern w:val="44"/>
          <w:sz w:val="24"/>
        </w:rPr>
        <w:t>准》、《一般工业固体废物贮存、处置场污染控制标准》和</w:t>
      </w:r>
      <w:r w:rsidRPr="00900CCD">
        <w:rPr>
          <w:bCs/>
          <w:kern w:val="44"/>
          <w:sz w:val="24"/>
        </w:rPr>
        <w:t>2013</w:t>
      </w:r>
      <w:r w:rsidRPr="00900CCD">
        <w:rPr>
          <w:bCs/>
          <w:kern w:val="44"/>
          <w:sz w:val="24"/>
        </w:rPr>
        <w:t>年修改单中规定。</w:t>
      </w:r>
    </w:p>
    <w:p w:rsidR="00C223F5" w:rsidRPr="00900CCD" w:rsidRDefault="005860D5">
      <w:pPr>
        <w:spacing w:line="360" w:lineRule="auto"/>
        <w:ind w:firstLine="482"/>
        <w:rPr>
          <w:bCs/>
          <w:sz w:val="24"/>
        </w:rPr>
      </w:pPr>
      <w:r w:rsidRPr="00900CCD">
        <w:rPr>
          <w:bCs/>
          <w:sz w:val="24"/>
        </w:rPr>
        <w:t>采取上述措施后，</w:t>
      </w:r>
      <w:r w:rsidRPr="00900CCD">
        <w:rPr>
          <w:sz w:val="24"/>
        </w:rPr>
        <w:t>固体废物</w:t>
      </w:r>
      <w:r w:rsidRPr="00900CCD">
        <w:rPr>
          <w:bCs/>
          <w:sz w:val="24"/>
        </w:rPr>
        <w:t>对评价区环境影响较小。</w:t>
      </w:r>
    </w:p>
    <w:p w:rsidR="00C223F5" w:rsidRPr="00900CCD" w:rsidRDefault="005860D5">
      <w:pPr>
        <w:pStyle w:val="hb1"/>
        <w:ind w:firstLine="480"/>
        <w:rPr>
          <w:szCs w:val="24"/>
        </w:rPr>
      </w:pPr>
      <w:r w:rsidRPr="00900CCD">
        <w:rPr>
          <w:rFonts w:hint="eastAsia"/>
          <w:szCs w:val="24"/>
        </w:rPr>
        <w:t>（</w:t>
      </w:r>
      <w:r w:rsidRPr="00900CCD">
        <w:rPr>
          <w:rFonts w:hint="eastAsia"/>
          <w:szCs w:val="24"/>
        </w:rPr>
        <w:t>7</w:t>
      </w:r>
      <w:r w:rsidRPr="00900CCD">
        <w:rPr>
          <w:rFonts w:hint="eastAsia"/>
          <w:szCs w:val="24"/>
        </w:rPr>
        <w:t>）土壤环境</w:t>
      </w:r>
    </w:p>
    <w:p w:rsidR="00C223F5" w:rsidRPr="00900CCD" w:rsidRDefault="005860D5">
      <w:pPr>
        <w:tabs>
          <w:tab w:val="left" w:pos="2552"/>
          <w:tab w:val="left" w:pos="5387"/>
        </w:tabs>
        <w:spacing w:line="360" w:lineRule="auto"/>
        <w:ind w:firstLineChars="200" w:firstLine="480"/>
        <w:rPr>
          <w:sz w:val="24"/>
        </w:rPr>
      </w:pPr>
      <w:r w:rsidRPr="00900CCD">
        <w:rPr>
          <w:rFonts w:hint="eastAsia"/>
          <w:bCs/>
          <w:sz w:val="24"/>
        </w:rPr>
        <w:t>项目工业场地区</w:t>
      </w:r>
      <w:r w:rsidRPr="00900CCD">
        <w:rPr>
          <w:sz w:val="24"/>
        </w:rPr>
        <w:t>污废水处理的池、渠</w:t>
      </w:r>
      <w:r w:rsidRPr="00900CCD">
        <w:rPr>
          <w:rFonts w:hint="eastAsia"/>
          <w:sz w:val="24"/>
        </w:rPr>
        <w:t>，选煤厂主厂房及浓缩车间，油脂库及危废暂存库等建构筑物地面硬化防渗，厂区地面硬化且设置截排水沟，事故情况下污废水及矿物质油不会外泄至厂区外，不会对厂区外土壤造成影响；采煤沉陷不会造成开采区积水和盐渍化现象。项目实施对土壤环境的影响在可接受范围内。</w:t>
      </w:r>
    </w:p>
    <w:p w:rsidR="00C223F5" w:rsidRPr="00900CCD" w:rsidRDefault="005860D5">
      <w:pPr>
        <w:pStyle w:val="hb1"/>
        <w:ind w:firstLine="480"/>
        <w:rPr>
          <w:szCs w:val="24"/>
        </w:rPr>
      </w:pPr>
      <w:r w:rsidRPr="00900CCD">
        <w:rPr>
          <w:rFonts w:hint="eastAsia"/>
          <w:szCs w:val="24"/>
        </w:rPr>
        <w:t>（</w:t>
      </w:r>
      <w:r w:rsidRPr="00900CCD">
        <w:rPr>
          <w:rFonts w:hint="eastAsia"/>
          <w:szCs w:val="24"/>
        </w:rPr>
        <w:t>8</w:t>
      </w:r>
      <w:r w:rsidRPr="00900CCD">
        <w:rPr>
          <w:rFonts w:hint="eastAsia"/>
          <w:szCs w:val="24"/>
        </w:rPr>
        <w:t>）环境风险</w:t>
      </w:r>
    </w:p>
    <w:p w:rsidR="00C223F5" w:rsidRPr="00900CCD" w:rsidRDefault="005860D5">
      <w:pPr>
        <w:spacing w:line="360" w:lineRule="auto"/>
        <w:ind w:firstLine="482"/>
        <w:rPr>
          <w:bCs/>
          <w:sz w:val="24"/>
        </w:rPr>
      </w:pPr>
      <w:bookmarkStart w:id="609" w:name="_Toc142208221"/>
      <w:bookmarkStart w:id="610" w:name="_Toc90096143"/>
      <w:r w:rsidRPr="00900CCD">
        <w:rPr>
          <w:rFonts w:hAnsi="宋体" w:hint="eastAsia"/>
          <w:sz w:val="24"/>
        </w:rPr>
        <w:t>本项目油脂库</w:t>
      </w:r>
      <w:r w:rsidR="00EA1DA8" w:rsidRPr="00900CCD">
        <w:rPr>
          <w:rFonts w:hint="eastAsia"/>
          <w:sz w:val="24"/>
        </w:rPr>
        <w:t>及危废暂存库</w:t>
      </w:r>
      <w:r w:rsidRPr="00900CCD">
        <w:rPr>
          <w:rFonts w:hAnsi="宋体" w:hint="eastAsia"/>
          <w:sz w:val="24"/>
        </w:rPr>
        <w:t>存储量少，油脂库</w:t>
      </w:r>
      <w:r w:rsidR="00EA1DA8" w:rsidRPr="00900CCD">
        <w:rPr>
          <w:rFonts w:hint="eastAsia"/>
          <w:sz w:val="24"/>
        </w:rPr>
        <w:t>及危废暂存库</w:t>
      </w:r>
      <w:r w:rsidRPr="00900CCD">
        <w:rPr>
          <w:rFonts w:hAnsi="宋体" w:hint="eastAsia"/>
          <w:sz w:val="24"/>
        </w:rPr>
        <w:t>底部防渗且</w:t>
      </w:r>
      <w:r w:rsidR="00EA1DA8">
        <w:rPr>
          <w:rFonts w:hAnsi="宋体" w:hint="eastAsia"/>
          <w:sz w:val="24"/>
        </w:rPr>
        <w:t>库内</w:t>
      </w:r>
      <w:r w:rsidRPr="00EA1DA8">
        <w:rPr>
          <w:rFonts w:hAnsi="宋体" w:hint="eastAsia"/>
          <w:color w:val="FF0000"/>
          <w:sz w:val="24"/>
        </w:rPr>
        <w:t>设置围堰</w:t>
      </w:r>
      <w:r w:rsidR="0024471A" w:rsidRPr="0024471A">
        <w:rPr>
          <w:rFonts w:hAnsi="宋体"/>
          <w:color w:val="FF0000"/>
          <w:sz w:val="24"/>
        </w:rPr>
        <w:t>、导流槽</w:t>
      </w:r>
      <w:r w:rsidR="00EA1DA8" w:rsidRPr="00EA1DA8">
        <w:rPr>
          <w:rFonts w:hAnsi="宋体" w:hint="eastAsia"/>
          <w:color w:val="FF0000"/>
          <w:sz w:val="24"/>
        </w:rPr>
        <w:t>及集油池（坑）</w:t>
      </w:r>
      <w:r w:rsidRPr="00EA1DA8">
        <w:rPr>
          <w:rFonts w:hAnsi="宋体" w:hint="eastAsia"/>
          <w:color w:val="FF0000"/>
          <w:sz w:val="24"/>
        </w:rPr>
        <w:t>，</w:t>
      </w:r>
      <w:r w:rsidRPr="00900CCD">
        <w:rPr>
          <w:rFonts w:hAnsi="宋体" w:hint="eastAsia"/>
          <w:sz w:val="24"/>
        </w:rPr>
        <w:t>一般不会污染周边土壤及地下水等，经分析环境风险潜势为</w:t>
      </w:r>
      <w:r w:rsidR="000F32AE" w:rsidRPr="00900CCD">
        <w:rPr>
          <w:rFonts w:hAnsi="宋体"/>
          <w:sz w:val="24"/>
        </w:rPr>
        <w:fldChar w:fldCharType="begin"/>
      </w:r>
      <w:r w:rsidRPr="00900CCD">
        <w:rPr>
          <w:rFonts w:hAnsi="宋体" w:hint="eastAsia"/>
          <w:sz w:val="24"/>
        </w:rPr>
        <w:instrText>= 1 \* ROMAN</w:instrText>
      </w:r>
      <w:r w:rsidR="000F32AE" w:rsidRPr="00900CCD">
        <w:rPr>
          <w:rFonts w:hAnsi="宋体"/>
          <w:sz w:val="24"/>
        </w:rPr>
        <w:fldChar w:fldCharType="separate"/>
      </w:r>
      <w:r w:rsidRPr="00900CCD">
        <w:rPr>
          <w:rFonts w:hAnsi="宋体"/>
          <w:sz w:val="24"/>
        </w:rPr>
        <w:t>I</w:t>
      </w:r>
      <w:r w:rsidR="000F32AE" w:rsidRPr="00900CCD">
        <w:rPr>
          <w:rFonts w:hAnsi="宋体"/>
          <w:sz w:val="24"/>
        </w:rPr>
        <w:fldChar w:fldCharType="end"/>
      </w:r>
      <w:r w:rsidRPr="00900CCD">
        <w:rPr>
          <w:rFonts w:hAnsi="宋体" w:hint="eastAsia"/>
          <w:sz w:val="24"/>
        </w:rPr>
        <w:t>。</w:t>
      </w:r>
      <w:bookmarkEnd w:id="609"/>
      <w:bookmarkEnd w:id="610"/>
    </w:p>
    <w:p w:rsidR="00C223F5" w:rsidRPr="00900CCD" w:rsidRDefault="005860D5" w:rsidP="004835BD">
      <w:pPr>
        <w:pStyle w:val="3"/>
        <w:numPr>
          <w:ilvl w:val="0"/>
          <w:numId w:val="0"/>
        </w:numPr>
        <w:spacing w:before="0" w:after="0" w:line="360" w:lineRule="auto"/>
        <w:ind w:left="170"/>
        <w:rPr>
          <w:rFonts w:eastAsia="宋体"/>
          <w:b/>
          <w:bCs w:val="0"/>
          <w:sz w:val="28"/>
          <w:szCs w:val="28"/>
        </w:rPr>
      </w:pPr>
      <w:bookmarkStart w:id="611" w:name="_Toc533604805"/>
      <w:bookmarkStart w:id="612" w:name="_Toc533604385"/>
      <w:bookmarkStart w:id="613" w:name="_Toc16785355"/>
      <w:r w:rsidRPr="00900CCD">
        <w:rPr>
          <w:rFonts w:eastAsia="宋体" w:hint="eastAsia"/>
          <w:b/>
          <w:bCs w:val="0"/>
          <w:sz w:val="28"/>
          <w:szCs w:val="28"/>
        </w:rPr>
        <w:t>8.1.5</w:t>
      </w:r>
      <w:r w:rsidRPr="00900CCD">
        <w:rPr>
          <w:rFonts w:eastAsia="宋体" w:hint="eastAsia"/>
          <w:b/>
          <w:bCs w:val="0"/>
          <w:sz w:val="28"/>
          <w:szCs w:val="28"/>
        </w:rPr>
        <w:t>公众参与意见采纳情况</w:t>
      </w:r>
      <w:bookmarkEnd w:id="611"/>
      <w:bookmarkEnd w:id="612"/>
      <w:bookmarkEnd w:id="613"/>
    </w:p>
    <w:p w:rsidR="00C223F5" w:rsidRPr="00900CCD" w:rsidRDefault="005860D5">
      <w:pPr>
        <w:spacing w:line="360" w:lineRule="auto"/>
        <w:ind w:firstLineChars="200" w:firstLine="480"/>
        <w:rPr>
          <w:sz w:val="24"/>
        </w:rPr>
      </w:pPr>
      <w:bookmarkStart w:id="614" w:name="_Toc229801022"/>
      <w:bookmarkStart w:id="615" w:name="_Toc218855554"/>
      <w:r w:rsidRPr="00900CCD">
        <w:rPr>
          <w:sz w:val="24"/>
        </w:rPr>
        <w:t>根据《</w:t>
      </w:r>
      <w:r w:rsidRPr="00900CCD">
        <w:rPr>
          <w:rFonts w:hint="eastAsia"/>
          <w:sz w:val="24"/>
        </w:rPr>
        <w:t>横山县天云煤矿有限公司天云煤矿</w:t>
      </w:r>
      <w:r w:rsidRPr="00900CCD">
        <w:rPr>
          <w:sz w:val="24"/>
        </w:rPr>
        <w:t>煤炭资源整合项目（</w:t>
      </w:r>
      <w:r w:rsidRPr="00900CCD">
        <w:rPr>
          <w:rFonts w:hint="eastAsia"/>
          <w:sz w:val="24"/>
        </w:rPr>
        <w:t>0.9</w:t>
      </w:r>
      <w:r w:rsidRPr="00900CCD">
        <w:rPr>
          <w:sz w:val="24"/>
        </w:rPr>
        <w:t>0Mt/a</w:t>
      </w:r>
      <w:r w:rsidRPr="00900CCD">
        <w:rPr>
          <w:sz w:val="24"/>
        </w:rPr>
        <w:t>）环境影响报告书公众参与材料》，</w:t>
      </w:r>
      <w:r w:rsidRPr="00EA1DA8">
        <w:rPr>
          <w:color w:val="FF0000"/>
          <w:sz w:val="24"/>
        </w:rPr>
        <w:t>建设单位</w:t>
      </w:r>
      <w:r w:rsidR="00EA1DA8" w:rsidRPr="00EA1DA8">
        <w:rPr>
          <w:rFonts w:hint="eastAsia"/>
          <w:color w:val="FF0000"/>
          <w:sz w:val="24"/>
        </w:rPr>
        <w:t>按照《环境影响评价公众参与办法》（生态环境部令第</w:t>
      </w:r>
      <w:r w:rsidR="00EA1DA8" w:rsidRPr="00EA1DA8">
        <w:rPr>
          <w:rFonts w:hint="eastAsia"/>
          <w:color w:val="FF0000"/>
          <w:sz w:val="24"/>
        </w:rPr>
        <w:t xml:space="preserve"> 4 </w:t>
      </w:r>
      <w:r w:rsidR="00EA1DA8" w:rsidRPr="00EA1DA8">
        <w:rPr>
          <w:rFonts w:hint="eastAsia"/>
          <w:color w:val="FF0000"/>
          <w:sz w:val="24"/>
        </w:rPr>
        <w:t>号）规定，</w:t>
      </w:r>
      <w:r w:rsidRPr="00900CCD">
        <w:rPr>
          <w:sz w:val="24"/>
        </w:rPr>
        <w:t>采用了现场张贴公告、报纸公告、网上公示等公众参与方式。报纸公告和信息公布的有效工作日之内，未收到公众反馈意见。</w:t>
      </w:r>
    </w:p>
    <w:p w:rsidR="00C223F5" w:rsidRPr="00900CCD" w:rsidRDefault="005860D5">
      <w:pPr>
        <w:spacing w:line="360" w:lineRule="auto"/>
        <w:ind w:firstLineChars="200" w:firstLine="480"/>
        <w:rPr>
          <w:sz w:val="24"/>
        </w:rPr>
      </w:pPr>
      <w:r w:rsidRPr="00900CCD">
        <w:rPr>
          <w:sz w:val="24"/>
        </w:rPr>
        <w:t>建设单位对</w:t>
      </w:r>
      <w:r w:rsidRPr="00900CCD">
        <w:rPr>
          <w:rFonts w:hint="eastAsia"/>
          <w:sz w:val="24"/>
        </w:rPr>
        <w:t>周边</w:t>
      </w:r>
      <w:r w:rsidRPr="00900CCD">
        <w:rPr>
          <w:sz w:val="24"/>
        </w:rPr>
        <w:t>公众做出了</w:t>
      </w:r>
      <w:r w:rsidRPr="00900CCD">
        <w:rPr>
          <w:rFonts w:hint="eastAsia"/>
          <w:sz w:val="24"/>
        </w:rPr>
        <w:t>项目实施中防治污染、保护生态环境等</w:t>
      </w:r>
      <w:r w:rsidRPr="00900CCD">
        <w:rPr>
          <w:sz w:val="24"/>
        </w:rPr>
        <w:t>相应承诺。</w:t>
      </w:r>
    </w:p>
    <w:p w:rsidR="00C223F5" w:rsidRPr="00900CCD" w:rsidRDefault="005860D5" w:rsidP="004835BD">
      <w:pPr>
        <w:pStyle w:val="3"/>
        <w:numPr>
          <w:ilvl w:val="0"/>
          <w:numId w:val="0"/>
        </w:numPr>
        <w:spacing w:before="0" w:after="0" w:line="360" w:lineRule="auto"/>
        <w:ind w:left="170"/>
        <w:rPr>
          <w:rFonts w:eastAsia="宋体"/>
          <w:b/>
          <w:bCs w:val="0"/>
          <w:sz w:val="28"/>
          <w:szCs w:val="28"/>
        </w:rPr>
      </w:pPr>
      <w:bookmarkStart w:id="616" w:name="_Toc533604386"/>
      <w:bookmarkStart w:id="617" w:name="_Toc533604806"/>
      <w:bookmarkStart w:id="618" w:name="_Toc16785356"/>
      <w:r w:rsidRPr="00900CCD">
        <w:rPr>
          <w:rFonts w:eastAsia="宋体" w:hint="eastAsia"/>
          <w:b/>
          <w:bCs w:val="0"/>
          <w:sz w:val="28"/>
          <w:szCs w:val="28"/>
        </w:rPr>
        <w:t>8.1.6</w:t>
      </w:r>
      <w:r w:rsidRPr="00900CCD">
        <w:rPr>
          <w:rFonts w:eastAsia="宋体" w:hint="eastAsia"/>
          <w:b/>
          <w:bCs w:val="0"/>
          <w:sz w:val="28"/>
          <w:szCs w:val="28"/>
        </w:rPr>
        <w:t>环境影响经济损益分析</w:t>
      </w:r>
      <w:bookmarkEnd w:id="616"/>
      <w:bookmarkEnd w:id="617"/>
      <w:bookmarkEnd w:id="618"/>
    </w:p>
    <w:p w:rsidR="00C223F5" w:rsidRPr="00900CCD" w:rsidRDefault="005860D5">
      <w:pPr>
        <w:pStyle w:val="hb1"/>
        <w:ind w:firstLine="480"/>
      </w:pPr>
      <w:r w:rsidRPr="00900CCD">
        <w:rPr>
          <w:rFonts w:hint="eastAsia"/>
        </w:rPr>
        <w:t>本</w:t>
      </w:r>
      <w:r w:rsidRPr="00900CCD">
        <w:t>项目各项环境损益指标处于</w:t>
      </w:r>
      <w:r w:rsidRPr="00900CCD">
        <w:rPr>
          <w:rFonts w:hint="eastAsia"/>
        </w:rPr>
        <w:t>中</w:t>
      </w:r>
      <w:r w:rsidRPr="00900CCD">
        <w:t>等水平，</w:t>
      </w:r>
      <w:r w:rsidRPr="00900CCD">
        <w:rPr>
          <w:rFonts w:hint="eastAsia"/>
        </w:rPr>
        <w:t>天云煤矿</w:t>
      </w:r>
      <w:r w:rsidRPr="00900CCD">
        <w:t>运营期在付出</w:t>
      </w:r>
      <w:r w:rsidRPr="00900CCD">
        <w:t>1</w:t>
      </w:r>
      <w:r w:rsidRPr="00900CCD">
        <w:t>元的环境</w:t>
      </w:r>
      <w:r w:rsidRPr="00900CCD">
        <w:lastRenderedPageBreak/>
        <w:t>保护费用后，在保证</w:t>
      </w:r>
      <w:r w:rsidRPr="00900CCD">
        <w:rPr>
          <w:rFonts w:hint="eastAsia"/>
        </w:rPr>
        <w:t>井田</w:t>
      </w:r>
      <w:r w:rsidRPr="00900CCD">
        <w:t>生态不受大的影响前提下又挽回了约</w:t>
      </w:r>
      <w:r w:rsidRPr="00900CCD">
        <w:rPr>
          <w:rFonts w:hint="eastAsia"/>
        </w:rPr>
        <w:t>0.46</w:t>
      </w:r>
      <w:r w:rsidRPr="00900CCD">
        <w:t>元的经济效益，环境经济可行</w:t>
      </w:r>
      <w:r w:rsidRPr="00900CCD">
        <w:rPr>
          <w:rFonts w:hint="eastAsia"/>
        </w:rPr>
        <w:t>。</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619" w:name="_Toc533604807"/>
      <w:bookmarkStart w:id="620" w:name="_Toc533604387"/>
      <w:bookmarkStart w:id="621" w:name="_Toc16785357"/>
      <w:r>
        <w:rPr>
          <w:rFonts w:eastAsia="宋体" w:hint="eastAsia"/>
          <w:b/>
          <w:bCs w:val="0"/>
          <w:sz w:val="28"/>
          <w:szCs w:val="28"/>
        </w:rPr>
        <w:t>8.1.7</w:t>
      </w:r>
      <w:r>
        <w:rPr>
          <w:rFonts w:eastAsia="宋体" w:hint="eastAsia"/>
          <w:b/>
          <w:bCs w:val="0"/>
          <w:sz w:val="28"/>
          <w:szCs w:val="28"/>
        </w:rPr>
        <w:t>环境管理与监测计划</w:t>
      </w:r>
      <w:bookmarkEnd w:id="619"/>
      <w:bookmarkEnd w:id="620"/>
      <w:bookmarkEnd w:id="621"/>
    </w:p>
    <w:p w:rsidR="00C223F5" w:rsidRDefault="005860D5">
      <w:pPr>
        <w:spacing w:line="360" w:lineRule="auto"/>
        <w:ind w:firstLineChars="200" w:firstLine="480"/>
        <w:rPr>
          <w:sz w:val="24"/>
        </w:rPr>
      </w:pPr>
      <w:r>
        <w:rPr>
          <w:rFonts w:hint="eastAsia"/>
          <w:sz w:val="24"/>
        </w:rPr>
        <w:t>根据建设期环境管理及监理要求，对建设期环境工程质量进行监督；运行期需成立专门的环境管理机构，完善环境管理计划，根据环境管理要求对污染源及环境质量进行例行监测，按要求公开企业信息，完善排污口规范化管理措施。</w:t>
      </w:r>
    </w:p>
    <w:p w:rsidR="00C223F5" w:rsidRDefault="005860D5" w:rsidP="004835BD">
      <w:pPr>
        <w:pStyle w:val="2"/>
        <w:numPr>
          <w:ilvl w:val="0"/>
          <w:numId w:val="0"/>
        </w:numPr>
        <w:spacing w:before="0" w:after="0" w:line="360" w:lineRule="auto"/>
        <w:rPr>
          <w:rFonts w:ascii="Times New Roman" w:eastAsia="宋体" w:hAnsi="Times New Roman"/>
          <w:b/>
          <w:bCs w:val="0"/>
          <w:szCs w:val="30"/>
        </w:rPr>
      </w:pPr>
      <w:bookmarkStart w:id="622" w:name="_Toc218855560"/>
      <w:bookmarkStart w:id="623" w:name="_Toc229801028"/>
      <w:bookmarkStart w:id="624" w:name="_Toc533604388"/>
      <w:bookmarkStart w:id="625" w:name="_Toc488660747"/>
      <w:bookmarkStart w:id="626" w:name="_Toc533604808"/>
      <w:bookmarkStart w:id="627" w:name="_Toc16785358"/>
      <w:bookmarkEnd w:id="614"/>
      <w:bookmarkEnd w:id="615"/>
      <w:r>
        <w:rPr>
          <w:rFonts w:ascii="Times New Roman" w:eastAsia="宋体" w:hAnsi="Times New Roman" w:hint="eastAsia"/>
          <w:b/>
          <w:bCs w:val="0"/>
          <w:szCs w:val="30"/>
        </w:rPr>
        <w:t>8.2</w:t>
      </w:r>
      <w:r>
        <w:rPr>
          <w:rFonts w:ascii="Times New Roman" w:eastAsia="宋体" w:hAnsi="Times New Roman"/>
          <w:b/>
          <w:bCs w:val="0"/>
          <w:szCs w:val="30"/>
        </w:rPr>
        <w:t>评价总结论</w:t>
      </w:r>
      <w:bookmarkEnd w:id="622"/>
      <w:bookmarkEnd w:id="623"/>
      <w:bookmarkEnd w:id="624"/>
      <w:bookmarkEnd w:id="625"/>
      <w:bookmarkEnd w:id="626"/>
      <w:bookmarkEnd w:id="627"/>
    </w:p>
    <w:p w:rsidR="00C223F5" w:rsidRPr="00900CCD" w:rsidRDefault="005860D5">
      <w:pPr>
        <w:spacing w:line="360" w:lineRule="auto"/>
        <w:ind w:firstLineChars="200" w:firstLine="480"/>
        <w:rPr>
          <w:sz w:val="24"/>
        </w:rPr>
      </w:pPr>
      <w:bookmarkStart w:id="628" w:name="_Toc218855561"/>
      <w:r>
        <w:rPr>
          <w:rFonts w:hint="eastAsia"/>
          <w:sz w:val="24"/>
        </w:rPr>
        <w:t>根据《环境影响评价法》，横山县天云煤矿有限公司天云煤矿（</w:t>
      </w:r>
      <w:r>
        <w:rPr>
          <w:rFonts w:hint="eastAsia"/>
          <w:sz w:val="24"/>
        </w:rPr>
        <w:t>0.90Mt/a</w:t>
      </w:r>
      <w:r>
        <w:rPr>
          <w:rFonts w:hint="eastAsia"/>
          <w:sz w:val="24"/>
        </w:rPr>
        <w:t>）资源整合项目</w:t>
      </w:r>
      <w:r>
        <w:rPr>
          <w:sz w:val="24"/>
        </w:rPr>
        <w:t>符合陕西省和榆林市关于煤炭资源整合的相关政策要求，符合各项环保规划要求，选址合理。在</w:t>
      </w:r>
      <w:r w:rsidRPr="00900CCD">
        <w:rPr>
          <w:sz w:val="24"/>
        </w:rPr>
        <w:t>严格执行本环评报告和设计所提的各项污染防治和生态保护措施的前提下，可将不利影响控制在环境可接受范围内，环境风险可接受。从环境保护角度分析，项目建设是可行的。</w:t>
      </w:r>
    </w:p>
    <w:p w:rsidR="00C223F5" w:rsidRPr="00900CCD" w:rsidRDefault="005860D5" w:rsidP="004835BD">
      <w:pPr>
        <w:pStyle w:val="2"/>
        <w:numPr>
          <w:ilvl w:val="0"/>
          <w:numId w:val="0"/>
        </w:numPr>
        <w:spacing w:before="0" w:after="0" w:line="360" w:lineRule="auto"/>
        <w:rPr>
          <w:rFonts w:ascii="Times New Roman" w:eastAsia="宋体" w:hAnsi="Times New Roman"/>
          <w:b/>
          <w:bCs w:val="0"/>
          <w:szCs w:val="30"/>
        </w:rPr>
      </w:pPr>
      <w:bookmarkStart w:id="629" w:name="_Toc533604809"/>
      <w:bookmarkStart w:id="630" w:name="_Toc533604389"/>
      <w:bookmarkStart w:id="631" w:name="_Toc488660748"/>
      <w:bookmarkStart w:id="632" w:name="_Toc229801029"/>
      <w:bookmarkStart w:id="633" w:name="_Toc16785359"/>
      <w:r w:rsidRPr="00900CCD">
        <w:rPr>
          <w:rFonts w:ascii="Times New Roman" w:eastAsia="宋体" w:hAnsi="Times New Roman" w:hint="eastAsia"/>
          <w:b/>
          <w:bCs w:val="0"/>
          <w:szCs w:val="30"/>
        </w:rPr>
        <w:t>8.3</w:t>
      </w:r>
      <w:r w:rsidRPr="00900CCD">
        <w:rPr>
          <w:rFonts w:ascii="Times New Roman" w:eastAsia="宋体" w:hAnsi="Times New Roman"/>
          <w:b/>
          <w:bCs w:val="0"/>
          <w:szCs w:val="30"/>
        </w:rPr>
        <w:t>要求与建议</w:t>
      </w:r>
      <w:bookmarkEnd w:id="628"/>
      <w:bookmarkEnd w:id="629"/>
      <w:bookmarkEnd w:id="630"/>
      <w:bookmarkEnd w:id="631"/>
      <w:bookmarkEnd w:id="632"/>
      <w:bookmarkEnd w:id="633"/>
    </w:p>
    <w:p w:rsidR="00C223F5" w:rsidRPr="00900CCD" w:rsidRDefault="005860D5" w:rsidP="004835BD">
      <w:pPr>
        <w:pStyle w:val="3"/>
        <w:numPr>
          <w:ilvl w:val="0"/>
          <w:numId w:val="0"/>
        </w:numPr>
        <w:spacing w:before="0" w:after="0" w:line="360" w:lineRule="auto"/>
        <w:ind w:left="170"/>
        <w:rPr>
          <w:rFonts w:eastAsia="宋体"/>
          <w:b/>
          <w:bCs w:val="0"/>
          <w:sz w:val="28"/>
          <w:szCs w:val="28"/>
        </w:rPr>
      </w:pPr>
      <w:bookmarkStart w:id="634" w:name="_Toc533604810"/>
      <w:bookmarkStart w:id="635" w:name="_Toc533604390"/>
      <w:bookmarkStart w:id="636" w:name="_Toc16785360"/>
      <w:r w:rsidRPr="00900CCD">
        <w:rPr>
          <w:rFonts w:eastAsia="宋体" w:hint="eastAsia"/>
          <w:b/>
          <w:bCs w:val="0"/>
          <w:sz w:val="28"/>
          <w:szCs w:val="28"/>
        </w:rPr>
        <w:t>8.3.1</w:t>
      </w:r>
      <w:r w:rsidRPr="00900CCD">
        <w:rPr>
          <w:rFonts w:eastAsia="宋体"/>
          <w:b/>
          <w:bCs w:val="0"/>
          <w:sz w:val="28"/>
          <w:szCs w:val="28"/>
        </w:rPr>
        <w:t>要求</w:t>
      </w:r>
      <w:bookmarkEnd w:id="634"/>
      <w:bookmarkEnd w:id="635"/>
      <w:bookmarkEnd w:id="636"/>
    </w:p>
    <w:p w:rsidR="00C223F5" w:rsidRPr="00900CCD" w:rsidRDefault="005860D5">
      <w:pPr>
        <w:spacing w:line="360" w:lineRule="auto"/>
        <w:ind w:firstLineChars="200" w:firstLine="480"/>
        <w:rPr>
          <w:sz w:val="24"/>
        </w:rPr>
      </w:pPr>
      <w:r w:rsidRPr="00900CCD">
        <w:rPr>
          <w:rFonts w:hint="eastAsia"/>
          <w:sz w:val="24"/>
        </w:rPr>
        <w:t>（</w:t>
      </w:r>
      <w:r w:rsidRPr="00900CCD">
        <w:rPr>
          <w:rFonts w:hint="eastAsia"/>
          <w:sz w:val="24"/>
        </w:rPr>
        <w:t>1</w:t>
      </w:r>
      <w:r w:rsidRPr="00900CCD">
        <w:rPr>
          <w:rFonts w:hint="eastAsia"/>
          <w:sz w:val="24"/>
        </w:rPr>
        <w:t>）根据煤炭资源整合“先关闭后整合”的原则，矿井开工建设前，井田内设计不利用的井筒和巷道必须彻底关闭。</w:t>
      </w:r>
    </w:p>
    <w:p w:rsidR="00C223F5" w:rsidRPr="00900CCD" w:rsidRDefault="005860D5">
      <w:pPr>
        <w:tabs>
          <w:tab w:val="left" w:pos="2552"/>
          <w:tab w:val="left" w:pos="5387"/>
        </w:tabs>
        <w:spacing w:line="360" w:lineRule="auto"/>
        <w:ind w:firstLineChars="200" w:firstLine="480"/>
        <w:rPr>
          <w:sz w:val="24"/>
        </w:rPr>
      </w:pPr>
      <w:r w:rsidRPr="00900CCD">
        <w:rPr>
          <w:rFonts w:hint="eastAsia"/>
          <w:sz w:val="24"/>
        </w:rPr>
        <w:t>（</w:t>
      </w:r>
      <w:r w:rsidRPr="00900CCD">
        <w:rPr>
          <w:rFonts w:hint="eastAsia"/>
          <w:sz w:val="24"/>
        </w:rPr>
        <w:t>2</w:t>
      </w:r>
      <w:r w:rsidRPr="00900CCD">
        <w:rPr>
          <w:rFonts w:hint="eastAsia"/>
          <w:sz w:val="24"/>
        </w:rPr>
        <w:t>）加强建设期环境管理，及时解决施工引起的各类污染，并且积极落实施工期的环境监理。</w:t>
      </w:r>
    </w:p>
    <w:p w:rsidR="00C223F5" w:rsidRPr="00900CCD" w:rsidRDefault="005860D5">
      <w:pPr>
        <w:tabs>
          <w:tab w:val="left" w:pos="2552"/>
          <w:tab w:val="left" w:pos="5387"/>
        </w:tabs>
        <w:spacing w:line="360" w:lineRule="auto"/>
        <w:ind w:firstLineChars="200" w:firstLine="480"/>
        <w:rPr>
          <w:sz w:val="24"/>
        </w:rPr>
      </w:pPr>
      <w:r w:rsidRPr="00900CCD">
        <w:rPr>
          <w:rFonts w:hint="eastAsia"/>
          <w:sz w:val="24"/>
        </w:rPr>
        <w:t>（</w:t>
      </w:r>
      <w:r w:rsidRPr="00900CCD">
        <w:rPr>
          <w:rFonts w:hint="eastAsia"/>
          <w:sz w:val="24"/>
        </w:rPr>
        <w:t>3</w:t>
      </w:r>
      <w:r w:rsidRPr="00900CCD">
        <w:rPr>
          <w:rFonts w:hint="eastAsia"/>
          <w:sz w:val="24"/>
        </w:rPr>
        <w:t>）严格按设计及环评要求留设保护煤柱，确保井田内居民生命财产以及基础设施等环保目标的安全。</w:t>
      </w:r>
    </w:p>
    <w:p w:rsidR="00C223F5" w:rsidRDefault="005860D5">
      <w:pPr>
        <w:tabs>
          <w:tab w:val="left" w:pos="2552"/>
          <w:tab w:val="left" w:pos="5387"/>
        </w:tabs>
        <w:spacing w:line="360" w:lineRule="auto"/>
        <w:ind w:firstLineChars="200" w:firstLine="480"/>
        <w:rPr>
          <w:sz w:val="24"/>
        </w:rPr>
      </w:pPr>
      <w:r>
        <w:rPr>
          <w:rFonts w:hint="eastAsia"/>
          <w:sz w:val="24"/>
        </w:rPr>
        <w:t>（</w:t>
      </w:r>
      <w:r>
        <w:rPr>
          <w:rFonts w:hint="eastAsia"/>
          <w:sz w:val="24"/>
        </w:rPr>
        <w:t>4</w:t>
      </w:r>
      <w:r>
        <w:rPr>
          <w:rFonts w:hint="eastAsia"/>
          <w:sz w:val="24"/>
        </w:rPr>
        <w:t>）开采中减轻对地下水影响，应实施先探后采的措施和有疑必探的原则，最大限度减缓对地下水的影响，加强观测矿井涌水量等的变化，严格按照《煤矿防治水细则》相关要求发现问题及时采取措施。</w:t>
      </w:r>
    </w:p>
    <w:p w:rsidR="00C223F5" w:rsidRDefault="005860D5">
      <w:pPr>
        <w:tabs>
          <w:tab w:val="left" w:pos="2552"/>
          <w:tab w:val="left" w:pos="5387"/>
        </w:tabs>
        <w:spacing w:line="360" w:lineRule="auto"/>
        <w:ind w:firstLineChars="200" w:firstLine="480"/>
        <w:rPr>
          <w:sz w:val="24"/>
        </w:rPr>
      </w:pPr>
      <w:r>
        <w:rPr>
          <w:rFonts w:hint="eastAsia"/>
          <w:sz w:val="24"/>
        </w:rPr>
        <w:t>（</w:t>
      </w:r>
      <w:r>
        <w:rPr>
          <w:rFonts w:hint="eastAsia"/>
          <w:sz w:val="24"/>
        </w:rPr>
        <w:t>5</w:t>
      </w:r>
      <w:r>
        <w:rPr>
          <w:rFonts w:hint="eastAsia"/>
          <w:sz w:val="24"/>
        </w:rPr>
        <w:t>）优先对固废进行综合利用</w:t>
      </w:r>
      <w:r>
        <w:rPr>
          <w:sz w:val="24"/>
        </w:rPr>
        <w:t>，合理处置生活垃圾，避免固废对环境的影响。</w:t>
      </w:r>
    </w:p>
    <w:p w:rsidR="00C223F5" w:rsidRDefault="005860D5" w:rsidP="004835BD">
      <w:pPr>
        <w:pStyle w:val="3"/>
        <w:numPr>
          <w:ilvl w:val="0"/>
          <w:numId w:val="0"/>
        </w:numPr>
        <w:spacing w:before="0" w:after="0" w:line="360" w:lineRule="auto"/>
        <w:ind w:left="170"/>
        <w:rPr>
          <w:rFonts w:eastAsia="宋体"/>
          <w:b/>
          <w:bCs w:val="0"/>
          <w:sz w:val="28"/>
          <w:szCs w:val="28"/>
        </w:rPr>
      </w:pPr>
      <w:bookmarkStart w:id="637" w:name="_Toc533604811"/>
      <w:bookmarkStart w:id="638" w:name="_Toc533604391"/>
      <w:bookmarkStart w:id="639" w:name="_Toc16785361"/>
      <w:r>
        <w:rPr>
          <w:rFonts w:eastAsia="宋体" w:hint="eastAsia"/>
          <w:b/>
          <w:bCs w:val="0"/>
          <w:sz w:val="28"/>
          <w:szCs w:val="28"/>
        </w:rPr>
        <w:t>8.3.2</w:t>
      </w:r>
      <w:r>
        <w:rPr>
          <w:rFonts w:eastAsia="宋体"/>
          <w:b/>
          <w:bCs w:val="0"/>
          <w:sz w:val="28"/>
          <w:szCs w:val="28"/>
        </w:rPr>
        <w:t>建议</w:t>
      </w:r>
      <w:bookmarkEnd w:id="637"/>
      <w:bookmarkEnd w:id="638"/>
      <w:bookmarkEnd w:id="639"/>
    </w:p>
    <w:p w:rsidR="00C223F5" w:rsidRDefault="005860D5">
      <w:pPr>
        <w:spacing w:line="360" w:lineRule="auto"/>
        <w:ind w:firstLineChars="200" w:firstLine="480"/>
        <w:rPr>
          <w:bCs/>
          <w:snapToGrid w:val="0"/>
          <w:sz w:val="24"/>
        </w:rPr>
      </w:pPr>
      <w:r>
        <w:rPr>
          <w:rFonts w:hint="eastAsia"/>
          <w:bCs/>
          <w:snapToGrid w:val="0"/>
          <w:sz w:val="24"/>
        </w:rPr>
        <w:t>（</w:t>
      </w:r>
      <w:r>
        <w:rPr>
          <w:rFonts w:hint="eastAsia"/>
          <w:bCs/>
          <w:snapToGrid w:val="0"/>
          <w:sz w:val="24"/>
        </w:rPr>
        <w:t>1</w:t>
      </w:r>
      <w:r>
        <w:rPr>
          <w:rFonts w:hint="eastAsia"/>
          <w:bCs/>
          <w:snapToGrid w:val="0"/>
          <w:sz w:val="24"/>
        </w:rPr>
        <w:t>）可委托有资质的专业设计单位对施工期扬尘制定《施工期扬尘治理专项实施方案》。</w:t>
      </w:r>
    </w:p>
    <w:p w:rsidR="00C223F5" w:rsidRDefault="005860D5">
      <w:pPr>
        <w:spacing w:line="360" w:lineRule="auto"/>
        <w:ind w:firstLineChars="200" w:firstLine="480"/>
        <w:rPr>
          <w:bCs/>
          <w:snapToGrid w:val="0"/>
          <w:sz w:val="24"/>
        </w:rPr>
      </w:pPr>
      <w:r>
        <w:rPr>
          <w:bCs/>
          <w:snapToGrid w:val="0"/>
          <w:sz w:val="24"/>
        </w:rPr>
        <w:t>（</w:t>
      </w:r>
      <w:r>
        <w:rPr>
          <w:rFonts w:hint="eastAsia"/>
          <w:bCs/>
          <w:snapToGrid w:val="0"/>
          <w:sz w:val="24"/>
        </w:rPr>
        <w:t>2</w:t>
      </w:r>
      <w:r>
        <w:rPr>
          <w:bCs/>
          <w:snapToGrid w:val="0"/>
          <w:sz w:val="24"/>
        </w:rPr>
        <w:t>）</w:t>
      </w:r>
      <w:r>
        <w:rPr>
          <w:rFonts w:hint="eastAsia"/>
          <w:bCs/>
          <w:snapToGrid w:val="0"/>
          <w:sz w:val="24"/>
        </w:rPr>
        <w:t>矿井</w:t>
      </w:r>
      <w:r>
        <w:rPr>
          <w:bCs/>
          <w:snapToGrid w:val="0"/>
          <w:sz w:val="24"/>
        </w:rPr>
        <w:t>开采中要加以防范</w:t>
      </w:r>
      <w:r>
        <w:rPr>
          <w:rFonts w:hint="eastAsia"/>
          <w:bCs/>
          <w:snapToGrid w:val="0"/>
          <w:sz w:val="24"/>
        </w:rPr>
        <w:t>，</w:t>
      </w:r>
      <w:r>
        <w:rPr>
          <w:rFonts w:hAnsi="宋体" w:hint="eastAsia"/>
          <w:bCs/>
          <w:snapToGrid w:val="0"/>
          <w:sz w:val="24"/>
        </w:rPr>
        <w:t>对待水的问题必须做到“</w:t>
      </w:r>
      <w:r>
        <w:rPr>
          <w:rFonts w:hAnsi="宋体"/>
          <w:bCs/>
          <w:snapToGrid w:val="0"/>
          <w:sz w:val="24"/>
        </w:rPr>
        <w:t>预测预报，有疑必探，先探后掘，先治后采</w:t>
      </w:r>
      <w:r>
        <w:rPr>
          <w:rFonts w:hAnsi="宋体" w:hint="eastAsia"/>
          <w:bCs/>
          <w:snapToGrid w:val="0"/>
          <w:sz w:val="24"/>
        </w:rPr>
        <w:t>”，严格执行《矿井水防治条例》。</w:t>
      </w:r>
    </w:p>
    <w:p w:rsidR="00C223F5" w:rsidRDefault="005860D5">
      <w:pPr>
        <w:tabs>
          <w:tab w:val="left" w:pos="2552"/>
          <w:tab w:val="left" w:pos="5387"/>
        </w:tabs>
        <w:spacing w:line="360" w:lineRule="auto"/>
        <w:ind w:firstLineChars="200" w:firstLine="480"/>
        <w:rPr>
          <w:sz w:val="24"/>
        </w:rPr>
      </w:pPr>
      <w:r>
        <w:rPr>
          <w:sz w:val="24"/>
        </w:rPr>
        <w:lastRenderedPageBreak/>
        <w:t>（</w:t>
      </w:r>
      <w:r>
        <w:rPr>
          <w:rFonts w:hint="eastAsia"/>
          <w:sz w:val="24"/>
        </w:rPr>
        <w:t>3</w:t>
      </w:r>
      <w:r>
        <w:rPr>
          <w:rFonts w:hint="eastAsia"/>
          <w:sz w:val="24"/>
        </w:rPr>
        <w:t>）</w:t>
      </w:r>
      <w:r>
        <w:rPr>
          <w:sz w:val="24"/>
        </w:rPr>
        <w:t>矿方</w:t>
      </w:r>
      <w:r>
        <w:rPr>
          <w:rFonts w:hint="eastAsia"/>
          <w:sz w:val="24"/>
        </w:rPr>
        <w:t>应</w:t>
      </w:r>
      <w:r>
        <w:rPr>
          <w:bCs/>
          <w:sz w:val="24"/>
        </w:rPr>
        <w:t>加强</w:t>
      </w:r>
      <w:r>
        <w:rPr>
          <w:rFonts w:hint="eastAsia"/>
          <w:bCs/>
          <w:sz w:val="24"/>
        </w:rPr>
        <w:t>对井田内</w:t>
      </w:r>
      <w:r>
        <w:rPr>
          <w:bCs/>
          <w:sz w:val="24"/>
        </w:rPr>
        <w:t>村庄民井</w:t>
      </w:r>
      <w:r>
        <w:rPr>
          <w:sz w:val="24"/>
        </w:rPr>
        <w:t>实施</w:t>
      </w:r>
      <w:r>
        <w:rPr>
          <w:bCs/>
          <w:sz w:val="24"/>
        </w:rPr>
        <w:t>长期跟踪观测</w:t>
      </w:r>
      <w:r>
        <w:rPr>
          <w:sz w:val="24"/>
        </w:rPr>
        <w:t>，发现问题及时采取补救措施</w:t>
      </w:r>
      <w:r>
        <w:rPr>
          <w:rFonts w:hint="eastAsia"/>
          <w:sz w:val="24"/>
        </w:rPr>
        <w:t>。</w:t>
      </w:r>
    </w:p>
    <w:p w:rsidR="00C223F5" w:rsidRDefault="00C223F5">
      <w:pPr>
        <w:tabs>
          <w:tab w:val="left" w:pos="2552"/>
          <w:tab w:val="left" w:pos="5387"/>
        </w:tabs>
        <w:spacing w:line="360" w:lineRule="auto"/>
        <w:rPr>
          <w:snapToGrid w:val="0"/>
          <w:color w:val="FF0000"/>
        </w:rPr>
      </w:pPr>
    </w:p>
    <w:p w:rsidR="00C223F5" w:rsidRDefault="00C223F5">
      <w:pPr>
        <w:widowControl/>
        <w:spacing w:line="360" w:lineRule="auto"/>
        <w:ind w:firstLineChars="200" w:firstLine="480"/>
        <w:rPr>
          <w:color w:val="FF0000"/>
          <w:kern w:val="20"/>
          <w:sz w:val="24"/>
          <w:szCs w:val="28"/>
        </w:rPr>
      </w:pPr>
    </w:p>
    <w:bookmarkEnd w:id="590"/>
    <w:p w:rsidR="00C223F5" w:rsidRDefault="00C223F5">
      <w:pPr>
        <w:spacing w:line="360" w:lineRule="auto"/>
        <w:ind w:firstLineChars="200" w:firstLine="480"/>
        <w:rPr>
          <w:color w:val="FF0000"/>
          <w:kern w:val="0"/>
          <w:sz w:val="24"/>
        </w:rPr>
      </w:pPr>
    </w:p>
    <w:sectPr w:rsidR="00C223F5" w:rsidSect="00C223F5">
      <w:footerReference w:type="default" r:id="rId142"/>
      <w:pgSz w:w="11907" w:h="16840"/>
      <w:pgMar w:top="1440" w:right="1701" w:bottom="1440" w:left="1701"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61EF" w:rsidRDefault="003761EF" w:rsidP="00C223F5">
      <w:r>
        <w:separator/>
      </w:r>
    </w:p>
  </w:endnote>
  <w:endnote w:type="continuationSeparator" w:id="0">
    <w:p w:rsidR="003761EF" w:rsidRDefault="003761EF" w:rsidP="00C22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汉鼎简书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ˎ̥">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新宋体">
    <w:panose1 w:val="02010609030101010101"/>
    <w:charset w:val="86"/>
    <w:family w:val="modern"/>
    <w:pitch w:val="fixed"/>
    <w:sig w:usb0="00000283" w:usb1="288F0000" w:usb2="00000016" w:usb3="00000000" w:csb0="00040001" w:csb1="00000000"/>
  </w:font>
  <w:font w:name="Sim Sun">
    <w:altName w:val="宋体"/>
    <w:panose1 w:val="00000000000000000000"/>
    <w:charset w:val="86"/>
    <w:family w:val="swiss"/>
    <w:notTrueType/>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UniversalMath1 BT">
    <w:panose1 w:val="05050102010205020602"/>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charset w:val="00"/>
    <w:family w:val="roman"/>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pPr>
      <w:pStyle w:val="aff8"/>
      <w:framePr w:wrap="around" w:vAnchor="text" w:hAnchor="margin" w:xAlign="center" w:y="1"/>
      <w:rPr>
        <w:rStyle w:val="afff8"/>
      </w:rPr>
    </w:pPr>
    <w:r>
      <w:rPr>
        <w:rStyle w:val="afff8"/>
      </w:rPr>
      <w:fldChar w:fldCharType="begin"/>
    </w:r>
    <w:r>
      <w:rPr>
        <w:rStyle w:val="afff8"/>
      </w:rPr>
      <w:instrText xml:space="preserve">PAGE  </w:instrText>
    </w:r>
    <w:r>
      <w:rPr>
        <w:rStyle w:val="afff8"/>
      </w:rPr>
      <w:fldChar w:fldCharType="end"/>
    </w:r>
  </w:p>
  <w:p w:rsidR="00BB1CC7" w:rsidRDefault="00BB1CC7">
    <w:pPr>
      <w:pStyle w:val="aff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pPr>
      <w:pStyle w:val="aff8"/>
      <w:framePr w:wrap="around" w:vAnchor="text" w:hAnchor="margin" w:xAlign="center" w:y="1"/>
      <w:rPr>
        <w:rStyle w:val="afff8"/>
      </w:rPr>
    </w:pPr>
    <w:r>
      <w:rPr>
        <w:rStyle w:val="afff8"/>
      </w:rPr>
      <w:fldChar w:fldCharType="begin"/>
    </w:r>
    <w:r>
      <w:rPr>
        <w:rStyle w:val="afff8"/>
      </w:rPr>
      <w:instrText xml:space="preserve">PAGE  </w:instrText>
    </w:r>
    <w:r>
      <w:rPr>
        <w:rStyle w:val="afff8"/>
      </w:rPr>
      <w:fldChar w:fldCharType="separate"/>
    </w:r>
    <w:r>
      <w:rPr>
        <w:rStyle w:val="afff8"/>
        <w:noProof/>
      </w:rPr>
      <w:t>202</w:t>
    </w:r>
    <w:r>
      <w:rPr>
        <w:rStyle w:val="afff8"/>
      </w:rPr>
      <w:fldChar w:fldCharType="end"/>
    </w:r>
  </w:p>
  <w:p w:rsidR="00BB1CC7" w:rsidRDefault="00BB1CC7">
    <w:pPr>
      <w:pStyle w:val="af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pPr>
      <w:pStyle w:val="aff8"/>
      <w:framePr w:wrap="around" w:vAnchor="text" w:hAnchor="margin" w:xAlign="center" w:y="1"/>
      <w:rPr>
        <w:rStyle w:val="afff8"/>
      </w:rPr>
    </w:pPr>
    <w:r>
      <w:rPr>
        <w:rStyle w:val="afff8"/>
      </w:rPr>
      <w:fldChar w:fldCharType="begin"/>
    </w:r>
    <w:r>
      <w:rPr>
        <w:rStyle w:val="afff8"/>
      </w:rPr>
      <w:instrText xml:space="preserve">PAGE  </w:instrText>
    </w:r>
    <w:r>
      <w:rPr>
        <w:rStyle w:val="afff8"/>
      </w:rPr>
      <w:fldChar w:fldCharType="separate"/>
    </w:r>
    <w:r>
      <w:rPr>
        <w:rStyle w:val="afff8"/>
        <w:noProof/>
      </w:rPr>
      <w:t>VI</w:t>
    </w:r>
    <w:r>
      <w:rPr>
        <w:rStyle w:val="afff8"/>
      </w:rPr>
      <w:fldChar w:fldCharType="end"/>
    </w:r>
  </w:p>
  <w:p w:rsidR="00BB1CC7" w:rsidRDefault="00BB1CC7">
    <w:pPr>
      <w:pStyle w:val="af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pPr>
      <w:pStyle w:val="aff8"/>
      <w:framePr w:wrap="around" w:vAnchor="text" w:hAnchor="margin" w:xAlign="center" w:y="1"/>
      <w:rPr>
        <w:rStyle w:val="afff8"/>
      </w:rPr>
    </w:pPr>
    <w:r>
      <w:rPr>
        <w:rStyle w:val="afff8"/>
      </w:rPr>
      <w:fldChar w:fldCharType="begin"/>
    </w:r>
    <w:r>
      <w:rPr>
        <w:rStyle w:val="afff8"/>
      </w:rPr>
      <w:instrText xml:space="preserve">PAGE  </w:instrText>
    </w:r>
    <w:r>
      <w:rPr>
        <w:rStyle w:val="afff8"/>
      </w:rPr>
      <w:fldChar w:fldCharType="separate"/>
    </w:r>
    <w:r>
      <w:rPr>
        <w:rStyle w:val="afff8"/>
        <w:noProof/>
      </w:rPr>
      <w:t>1</w:t>
    </w:r>
    <w:r>
      <w:rPr>
        <w:rStyle w:val="afff8"/>
      </w:rPr>
      <w:fldChar w:fldCharType="end"/>
    </w:r>
  </w:p>
  <w:p w:rsidR="00BB1CC7" w:rsidRDefault="00BB1CC7">
    <w:pPr>
      <w:pStyle w:val="aff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pPr>
      <w:pStyle w:val="aff8"/>
      <w:framePr w:wrap="around" w:vAnchor="text" w:hAnchor="margin" w:xAlign="center" w:y="1"/>
      <w:rPr>
        <w:rStyle w:val="afff8"/>
      </w:rPr>
    </w:pPr>
    <w:r>
      <w:rPr>
        <w:rStyle w:val="afff8"/>
      </w:rPr>
      <w:fldChar w:fldCharType="begin"/>
    </w:r>
    <w:r>
      <w:rPr>
        <w:rStyle w:val="afff8"/>
      </w:rPr>
      <w:instrText xml:space="preserve">PAGE  </w:instrText>
    </w:r>
    <w:r>
      <w:rPr>
        <w:rStyle w:val="afff8"/>
      </w:rPr>
      <w:fldChar w:fldCharType="separate"/>
    </w:r>
    <w:r>
      <w:rPr>
        <w:rStyle w:val="afff8"/>
        <w:noProof/>
      </w:rPr>
      <w:t>26</w:t>
    </w:r>
    <w:r>
      <w:rPr>
        <w:rStyle w:val="afff8"/>
      </w:rPr>
      <w:fldChar w:fldCharType="end"/>
    </w:r>
  </w:p>
  <w:p w:rsidR="00BB1CC7" w:rsidRDefault="00BB1CC7">
    <w:pPr>
      <w:pStyle w:val="aff8"/>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pPr>
      <w:pStyle w:val="aff8"/>
      <w:framePr w:wrap="around" w:vAnchor="text" w:hAnchor="margin" w:xAlign="center" w:y="1"/>
      <w:ind w:firstLine="360"/>
      <w:rPr>
        <w:rStyle w:val="afff8"/>
      </w:rPr>
    </w:pPr>
    <w:r>
      <w:rPr>
        <w:rStyle w:val="afff8"/>
      </w:rPr>
      <w:fldChar w:fldCharType="begin"/>
    </w:r>
    <w:r>
      <w:rPr>
        <w:rStyle w:val="afff8"/>
      </w:rPr>
      <w:instrText xml:space="preserve">PAGE  </w:instrText>
    </w:r>
    <w:r>
      <w:rPr>
        <w:rStyle w:val="afff8"/>
      </w:rPr>
      <w:fldChar w:fldCharType="end"/>
    </w:r>
  </w:p>
  <w:p w:rsidR="00BB1CC7" w:rsidRDefault="00BB1CC7">
    <w:pPr>
      <w:pStyle w:val="aff8"/>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pPr>
      <w:pStyle w:val="aff8"/>
      <w:framePr w:wrap="around" w:vAnchor="text" w:hAnchor="margin" w:xAlign="center" w:y="1"/>
      <w:ind w:firstLine="360"/>
      <w:rPr>
        <w:rStyle w:val="afff8"/>
      </w:rPr>
    </w:pPr>
    <w:r>
      <w:rPr>
        <w:rStyle w:val="afff8"/>
      </w:rPr>
      <w:fldChar w:fldCharType="begin"/>
    </w:r>
    <w:r>
      <w:rPr>
        <w:rStyle w:val="afff8"/>
      </w:rPr>
      <w:instrText xml:space="preserve">PAGE  </w:instrText>
    </w:r>
    <w:r>
      <w:rPr>
        <w:rStyle w:val="afff8"/>
      </w:rPr>
      <w:fldChar w:fldCharType="separate"/>
    </w:r>
    <w:r>
      <w:rPr>
        <w:rStyle w:val="afff8"/>
        <w:noProof/>
      </w:rPr>
      <w:t>108</w:t>
    </w:r>
    <w:r>
      <w:rPr>
        <w:rStyle w:val="afff8"/>
      </w:rPr>
      <w:fldChar w:fldCharType="end"/>
    </w:r>
  </w:p>
  <w:p w:rsidR="00BB1CC7" w:rsidRDefault="00BB1CC7">
    <w:pPr>
      <w:pStyle w:val="aff8"/>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pPr>
      <w:pStyle w:val="aff8"/>
      <w:framePr w:wrap="around" w:vAnchor="text" w:hAnchor="margin" w:xAlign="center" w:y="1"/>
      <w:rPr>
        <w:rStyle w:val="afff8"/>
      </w:rPr>
    </w:pPr>
    <w:r>
      <w:rPr>
        <w:rStyle w:val="afff8"/>
      </w:rPr>
      <w:fldChar w:fldCharType="begin"/>
    </w:r>
    <w:r>
      <w:rPr>
        <w:rStyle w:val="afff8"/>
      </w:rPr>
      <w:instrText xml:space="preserve">PAGE  </w:instrText>
    </w:r>
    <w:r>
      <w:rPr>
        <w:rStyle w:val="afff8"/>
      </w:rPr>
      <w:fldChar w:fldCharType="end"/>
    </w:r>
  </w:p>
  <w:p w:rsidR="00BB1CC7" w:rsidRDefault="00BB1CC7">
    <w:pPr>
      <w:pStyle w:val="aff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pPr>
      <w:pStyle w:val="aff8"/>
      <w:framePr w:wrap="around" w:vAnchor="text" w:hAnchor="margin" w:xAlign="center" w:y="1"/>
      <w:rPr>
        <w:rStyle w:val="afff8"/>
      </w:rPr>
    </w:pPr>
    <w:r>
      <w:rPr>
        <w:rStyle w:val="afff8"/>
      </w:rPr>
      <w:fldChar w:fldCharType="begin"/>
    </w:r>
    <w:r>
      <w:rPr>
        <w:rStyle w:val="afff8"/>
      </w:rPr>
      <w:instrText xml:space="preserve">PAGE  </w:instrText>
    </w:r>
    <w:r>
      <w:rPr>
        <w:rStyle w:val="afff8"/>
      </w:rPr>
      <w:fldChar w:fldCharType="end"/>
    </w:r>
  </w:p>
  <w:p w:rsidR="00BB1CC7" w:rsidRDefault="00BB1CC7">
    <w:pPr>
      <w:pStyle w:val="aff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pPr>
      <w:pStyle w:val="aff8"/>
      <w:framePr w:wrap="around" w:vAnchor="text" w:hAnchor="margin" w:xAlign="center" w:y="1"/>
      <w:spacing w:after="120"/>
      <w:rPr>
        <w:rStyle w:val="afff8"/>
      </w:rPr>
    </w:pPr>
    <w:r>
      <w:rPr>
        <w:rStyle w:val="afff8"/>
      </w:rPr>
      <w:fldChar w:fldCharType="begin"/>
    </w:r>
    <w:r>
      <w:rPr>
        <w:rStyle w:val="afff8"/>
      </w:rPr>
      <w:instrText xml:space="preserve">PAGE  </w:instrText>
    </w:r>
    <w:r>
      <w:rPr>
        <w:rStyle w:val="afff8"/>
      </w:rPr>
      <w:fldChar w:fldCharType="separate"/>
    </w:r>
    <w:r>
      <w:rPr>
        <w:rStyle w:val="afff8"/>
        <w:noProof/>
      </w:rPr>
      <w:t>192</w:t>
    </w:r>
    <w:r>
      <w:rPr>
        <w:rStyle w:val="afff8"/>
      </w:rPr>
      <w:fldChar w:fldCharType="end"/>
    </w:r>
  </w:p>
  <w:p w:rsidR="00BB1CC7" w:rsidRDefault="00BB1CC7">
    <w:pPr>
      <w:pStyle w:val="aff8"/>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61EF" w:rsidRDefault="003761EF" w:rsidP="00C223F5">
      <w:r>
        <w:separator/>
      </w:r>
    </w:p>
  </w:footnote>
  <w:footnote w:type="continuationSeparator" w:id="0">
    <w:p w:rsidR="003761EF" w:rsidRDefault="003761EF" w:rsidP="00C22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pPr>
      <w:pStyle w:val="aff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pPr>
      <w:pStyle w:val="af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C7" w:rsidRDefault="00BB1CC7">
    <w:pPr>
      <w:pStyle w:val="af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lvl w:ilvl="0">
      <w:start w:val="1"/>
      <w:numFmt w:val="decimal"/>
      <w:suff w:val="nothing"/>
      <w:lvlText w:val="（%1）"/>
      <w:lvlJc w:val="left"/>
    </w:lvl>
    <w:lvl w:ilvl="1">
      <w:start w:val="1"/>
      <w:numFmt w:val="decimal"/>
      <w:lvlText w:val="（%2）"/>
      <w:lvlJc w:val="left"/>
      <w:pPr>
        <w:tabs>
          <w:tab w:val="left" w:pos="1140"/>
        </w:tabs>
        <w:ind w:left="114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000000F"/>
    <w:multiLevelType w:val="singleLevel"/>
    <w:tmpl w:val="0000000F"/>
    <w:lvl w:ilvl="0">
      <w:start w:val="1"/>
      <w:numFmt w:val="decimal"/>
      <w:suff w:val="nothing"/>
      <w:lvlText w:val="（%1）"/>
      <w:lvlJc w:val="left"/>
    </w:lvl>
  </w:abstractNum>
  <w:abstractNum w:abstractNumId="2" w15:restartNumberingAfterBreak="0">
    <w:nsid w:val="00000013"/>
    <w:multiLevelType w:val="singleLevel"/>
    <w:tmpl w:val="00000013"/>
    <w:lvl w:ilvl="0">
      <w:start w:val="1"/>
      <w:numFmt w:val="decimal"/>
      <w:suff w:val="nothing"/>
      <w:lvlText w:val="（%1）"/>
      <w:lvlJc w:val="left"/>
    </w:lvl>
  </w:abstractNum>
  <w:abstractNum w:abstractNumId="3" w15:restartNumberingAfterBreak="0">
    <w:nsid w:val="4033181C"/>
    <w:multiLevelType w:val="multilevel"/>
    <w:tmpl w:val="4033181C"/>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7396C43"/>
    <w:multiLevelType w:val="singleLevel"/>
    <w:tmpl w:val="57396C43"/>
    <w:lvl w:ilvl="0">
      <w:start w:val="1"/>
      <w:numFmt w:val="decimal"/>
      <w:suff w:val="nothing"/>
      <w:lvlText w:val="（%1）"/>
      <w:lvlJc w:val="left"/>
    </w:lvl>
  </w:abstractNum>
  <w:abstractNum w:abstractNumId="5" w15:restartNumberingAfterBreak="0">
    <w:nsid w:val="57397937"/>
    <w:multiLevelType w:val="singleLevel"/>
    <w:tmpl w:val="57397937"/>
    <w:lvl w:ilvl="0">
      <w:start w:val="1"/>
      <w:numFmt w:val="decimal"/>
      <w:suff w:val="nothing"/>
      <w:lvlText w:val="（%1）"/>
      <w:lvlJc w:val="left"/>
    </w:lvl>
  </w:abstractNum>
  <w:abstractNum w:abstractNumId="6" w15:restartNumberingAfterBreak="0">
    <w:nsid w:val="75087FD2"/>
    <w:multiLevelType w:val="multilevel"/>
    <w:tmpl w:val="75087FD2"/>
    <w:lvl w:ilvl="0">
      <w:start w:val="1"/>
      <w:numFmt w:val="decimal"/>
      <w:suff w:val="nothing"/>
      <w:lvlText w:val="（%1）"/>
      <w:lvlJc w:val="left"/>
    </w:lvl>
    <w:lvl w:ilvl="1">
      <w:start w:val="1"/>
      <w:numFmt w:val="decimal"/>
      <w:lvlText w:val="（%2）"/>
      <w:lvlJc w:val="left"/>
      <w:pPr>
        <w:tabs>
          <w:tab w:val="left" w:pos="1140"/>
        </w:tabs>
        <w:ind w:left="114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7C150958"/>
    <w:multiLevelType w:val="multilevel"/>
    <w:tmpl w:val="7C150958"/>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6"/>
        </w:tabs>
        <w:ind w:left="576" w:hanging="576"/>
      </w:pPr>
      <w:rPr>
        <w:rFonts w:hint="eastAsia"/>
      </w:rPr>
    </w:lvl>
    <w:lvl w:ilvl="2">
      <w:start w:val="1"/>
      <w:numFmt w:val="decimal"/>
      <w:pStyle w:val="3"/>
      <w:lvlText w:val="%1.%2.%3"/>
      <w:lvlJc w:val="left"/>
      <w:pPr>
        <w:tabs>
          <w:tab w:val="left" w:pos="1276"/>
        </w:tabs>
        <w:ind w:left="1106" w:hanging="550"/>
      </w:pPr>
      <w:rPr>
        <w:rFonts w:hint="eastAsia"/>
      </w:rPr>
    </w:lvl>
    <w:lvl w:ilvl="3">
      <w:start w:val="1"/>
      <w:numFmt w:val="decimal"/>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8" w15:restartNumberingAfterBreak="0">
    <w:nsid w:val="7F0409B0"/>
    <w:multiLevelType w:val="singleLevel"/>
    <w:tmpl w:val="7F0409B0"/>
    <w:lvl w:ilvl="0">
      <w:start w:val="1"/>
      <w:numFmt w:val="decimal"/>
      <w:suff w:val="nothing"/>
      <w:lvlText w:val="（%1）"/>
      <w:lvlJc w:val="left"/>
    </w:lvl>
  </w:abstractNum>
  <w:num w:numId="1">
    <w:abstractNumId w:val="7"/>
  </w:num>
  <w:num w:numId="2">
    <w:abstractNumId w:val="2"/>
  </w:num>
  <w:num w:numId="3">
    <w:abstractNumId w:val="1"/>
  </w:num>
  <w:num w:numId="4">
    <w:abstractNumId w:val="3"/>
  </w:num>
  <w:num w:numId="5">
    <w:abstractNumId w:val="4"/>
  </w:num>
  <w:num w:numId="6">
    <w:abstractNumId w:val="0"/>
  </w:num>
  <w:num w:numId="7">
    <w:abstractNumId w:val="6"/>
  </w:num>
  <w:num w:numId="8">
    <w:abstractNumId w:val="5"/>
  </w:num>
  <w:num w:numId="9">
    <w:abstractNumId w:val="8"/>
  </w:num>
  <w:num w:numId="10">
    <w:abstractNumId w:val="7"/>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proofState w:spelling="clean"/>
  <w:defaultTabStop w:val="420"/>
  <w:drawingGridHorizontalSpacing w:val="105"/>
  <w:drawingGridVerticalSpacing w:val="2"/>
  <w:displayHorizontalDrawingGridEvery w:val="0"/>
  <w:displayVerticalDrawingGridEvery w:val="2"/>
  <w:characterSpacingControl w:val="compressPunctuation"/>
  <w:hdrShapeDefaults>
    <o:shapedefaults v:ext="edit" spidmax="308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17EB8"/>
    <w:rsid w:val="0000022E"/>
    <w:rsid w:val="0000035A"/>
    <w:rsid w:val="00000443"/>
    <w:rsid w:val="000004B8"/>
    <w:rsid w:val="000005A9"/>
    <w:rsid w:val="0000065F"/>
    <w:rsid w:val="0000069A"/>
    <w:rsid w:val="000006FE"/>
    <w:rsid w:val="000007A3"/>
    <w:rsid w:val="00000A92"/>
    <w:rsid w:val="00000EB8"/>
    <w:rsid w:val="00001233"/>
    <w:rsid w:val="00001290"/>
    <w:rsid w:val="000012E4"/>
    <w:rsid w:val="00001458"/>
    <w:rsid w:val="00001710"/>
    <w:rsid w:val="0000172E"/>
    <w:rsid w:val="000017B5"/>
    <w:rsid w:val="000017DA"/>
    <w:rsid w:val="00001B75"/>
    <w:rsid w:val="00001B76"/>
    <w:rsid w:val="00001CF3"/>
    <w:rsid w:val="00001E02"/>
    <w:rsid w:val="00001E0E"/>
    <w:rsid w:val="00001F77"/>
    <w:rsid w:val="00002535"/>
    <w:rsid w:val="0000256C"/>
    <w:rsid w:val="00002573"/>
    <w:rsid w:val="00002619"/>
    <w:rsid w:val="0000272E"/>
    <w:rsid w:val="00002803"/>
    <w:rsid w:val="000028C6"/>
    <w:rsid w:val="00002940"/>
    <w:rsid w:val="00002E15"/>
    <w:rsid w:val="00002E46"/>
    <w:rsid w:val="000030EA"/>
    <w:rsid w:val="0000313C"/>
    <w:rsid w:val="00003160"/>
    <w:rsid w:val="00003162"/>
    <w:rsid w:val="0000342F"/>
    <w:rsid w:val="000034B6"/>
    <w:rsid w:val="000035D3"/>
    <w:rsid w:val="0000361B"/>
    <w:rsid w:val="0000363E"/>
    <w:rsid w:val="000036A4"/>
    <w:rsid w:val="00003AF0"/>
    <w:rsid w:val="00003CA9"/>
    <w:rsid w:val="00003CC4"/>
    <w:rsid w:val="00003E3A"/>
    <w:rsid w:val="00003EEE"/>
    <w:rsid w:val="000040CB"/>
    <w:rsid w:val="00004452"/>
    <w:rsid w:val="000045D7"/>
    <w:rsid w:val="00004970"/>
    <w:rsid w:val="00004D88"/>
    <w:rsid w:val="00004DCA"/>
    <w:rsid w:val="00004DF8"/>
    <w:rsid w:val="00004FB8"/>
    <w:rsid w:val="000050A0"/>
    <w:rsid w:val="000050E3"/>
    <w:rsid w:val="00005188"/>
    <w:rsid w:val="000051F5"/>
    <w:rsid w:val="00005309"/>
    <w:rsid w:val="000054AF"/>
    <w:rsid w:val="000055EA"/>
    <w:rsid w:val="000057EC"/>
    <w:rsid w:val="000059E3"/>
    <w:rsid w:val="00005A21"/>
    <w:rsid w:val="00005B95"/>
    <w:rsid w:val="00006055"/>
    <w:rsid w:val="000060E7"/>
    <w:rsid w:val="00006255"/>
    <w:rsid w:val="00006513"/>
    <w:rsid w:val="000066F8"/>
    <w:rsid w:val="00006724"/>
    <w:rsid w:val="00006832"/>
    <w:rsid w:val="00006935"/>
    <w:rsid w:val="00006964"/>
    <w:rsid w:val="000069CE"/>
    <w:rsid w:val="00006DAF"/>
    <w:rsid w:val="00006E49"/>
    <w:rsid w:val="00006EEC"/>
    <w:rsid w:val="0000713B"/>
    <w:rsid w:val="000071AD"/>
    <w:rsid w:val="00007367"/>
    <w:rsid w:val="000075A6"/>
    <w:rsid w:val="00007742"/>
    <w:rsid w:val="000077A9"/>
    <w:rsid w:val="0000782C"/>
    <w:rsid w:val="000078FF"/>
    <w:rsid w:val="0000793C"/>
    <w:rsid w:val="00007A6E"/>
    <w:rsid w:val="00007AC1"/>
    <w:rsid w:val="00007B29"/>
    <w:rsid w:val="00007D10"/>
    <w:rsid w:val="00010041"/>
    <w:rsid w:val="0001017F"/>
    <w:rsid w:val="000101EC"/>
    <w:rsid w:val="000102A2"/>
    <w:rsid w:val="00010397"/>
    <w:rsid w:val="00010517"/>
    <w:rsid w:val="0001063E"/>
    <w:rsid w:val="0001072F"/>
    <w:rsid w:val="00010797"/>
    <w:rsid w:val="00010971"/>
    <w:rsid w:val="00010BC2"/>
    <w:rsid w:val="00010E5D"/>
    <w:rsid w:val="00010E64"/>
    <w:rsid w:val="00010F02"/>
    <w:rsid w:val="00011068"/>
    <w:rsid w:val="000110B0"/>
    <w:rsid w:val="00011128"/>
    <w:rsid w:val="0001122C"/>
    <w:rsid w:val="0001144B"/>
    <w:rsid w:val="000116E4"/>
    <w:rsid w:val="00011771"/>
    <w:rsid w:val="00011901"/>
    <w:rsid w:val="00011962"/>
    <w:rsid w:val="00011BA0"/>
    <w:rsid w:val="00011BE4"/>
    <w:rsid w:val="00011C83"/>
    <w:rsid w:val="00011E8D"/>
    <w:rsid w:val="00011EA0"/>
    <w:rsid w:val="000121DC"/>
    <w:rsid w:val="000122A3"/>
    <w:rsid w:val="0001252D"/>
    <w:rsid w:val="00012662"/>
    <w:rsid w:val="0001275A"/>
    <w:rsid w:val="00012931"/>
    <w:rsid w:val="000129FE"/>
    <w:rsid w:val="00012AB0"/>
    <w:rsid w:val="0001312D"/>
    <w:rsid w:val="00013153"/>
    <w:rsid w:val="000131B7"/>
    <w:rsid w:val="000132C1"/>
    <w:rsid w:val="0001349C"/>
    <w:rsid w:val="000136A6"/>
    <w:rsid w:val="000138B6"/>
    <w:rsid w:val="00013940"/>
    <w:rsid w:val="00013A7C"/>
    <w:rsid w:val="00013B2A"/>
    <w:rsid w:val="00013C7B"/>
    <w:rsid w:val="00013C8D"/>
    <w:rsid w:val="00013F21"/>
    <w:rsid w:val="0001400D"/>
    <w:rsid w:val="0001420B"/>
    <w:rsid w:val="0001433F"/>
    <w:rsid w:val="000143EB"/>
    <w:rsid w:val="00014764"/>
    <w:rsid w:val="0001489A"/>
    <w:rsid w:val="00014A3C"/>
    <w:rsid w:val="00014B4E"/>
    <w:rsid w:val="00014B6D"/>
    <w:rsid w:val="00014C23"/>
    <w:rsid w:val="00014C53"/>
    <w:rsid w:val="00014EEE"/>
    <w:rsid w:val="00015012"/>
    <w:rsid w:val="000151BA"/>
    <w:rsid w:val="00015227"/>
    <w:rsid w:val="0001575A"/>
    <w:rsid w:val="00015887"/>
    <w:rsid w:val="00015A01"/>
    <w:rsid w:val="00015A22"/>
    <w:rsid w:val="00015B1B"/>
    <w:rsid w:val="00015B3C"/>
    <w:rsid w:val="00015E03"/>
    <w:rsid w:val="00015EBD"/>
    <w:rsid w:val="0001608C"/>
    <w:rsid w:val="00016096"/>
    <w:rsid w:val="000160D3"/>
    <w:rsid w:val="000160E4"/>
    <w:rsid w:val="000161B0"/>
    <w:rsid w:val="00016390"/>
    <w:rsid w:val="00016439"/>
    <w:rsid w:val="000164FB"/>
    <w:rsid w:val="0001652D"/>
    <w:rsid w:val="00016559"/>
    <w:rsid w:val="00016601"/>
    <w:rsid w:val="0001677E"/>
    <w:rsid w:val="000167EB"/>
    <w:rsid w:val="000169AA"/>
    <w:rsid w:val="00016BDA"/>
    <w:rsid w:val="00016C34"/>
    <w:rsid w:val="00016DA8"/>
    <w:rsid w:val="00016DC3"/>
    <w:rsid w:val="00016E8D"/>
    <w:rsid w:val="000172C2"/>
    <w:rsid w:val="000174FC"/>
    <w:rsid w:val="00017555"/>
    <w:rsid w:val="0001765B"/>
    <w:rsid w:val="0001776E"/>
    <w:rsid w:val="00017A34"/>
    <w:rsid w:val="00017A3A"/>
    <w:rsid w:val="00017AE4"/>
    <w:rsid w:val="00017AF8"/>
    <w:rsid w:val="00017BB4"/>
    <w:rsid w:val="00017BCE"/>
    <w:rsid w:val="00017BF6"/>
    <w:rsid w:val="00017D14"/>
    <w:rsid w:val="00017E3D"/>
    <w:rsid w:val="00017F81"/>
    <w:rsid w:val="0002009A"/>
    <w:rsid w:val="00020107"/>
    <w:rsid w:val="000201CA"/>
    <w:rsid w:val="00020262"/>
    <w:rsid w:val="0002038E"/>
    <w:rsid w:val="00020395"/>
    <w:rsid w:val="0002073A"/>
    <w:rsid w:val="00020C2A"/>
    <w:rsid w:val="00020C2B"/>
    <w:rsid w:val="00020D5B"/>
    <w:rsid w:val="00020D8C"/>
    <w:rsid w:val="00020EE4"/>
    <w:rsid w:val="000210A4"/>
    <w:rsid w:val="00021191"/>
    <w:rsid w:val="000215D8"/>
    <w:rsid w:val="000217B8"/>
    <w:rsid w:val="000218EA"/>
    <w:rsid w:val="000219D5"/>
    <w:rsid w:val="00021A82"/>
    <w:rsid w:val="00021A86"/>
    <w:rsid w:val="00021ABF"/>
    <w:rsid w:val="00021D6A"/>
    <w:rsid w:val="00021F2E"/>
    <w:rsid w:val="00021F46"/>
    <w:rsid w:val="000220D1"/>
    <w:rsid w:val="000220DD"/>
    <w:rsid w:val="00022122"/>
    <w:rsid w:val="00022167"/>
    <w:rsid w:val="000222E3"/>
    <w:rsid w:val="00022395"/>
    <w:rsid w:val="00022549"/>
    <w:rsid w:val="0002269F"/>
    <w:rsid w:val="00022780"/>
    <w:rsid w:val="0002278E"/>
    <w:rsid w:val="00022864"/>
    <w:rsid w:val="00022928"/>
    <w:rsid w:val="00022967"/>
    <w:rsid w:val="00022A72"/>
    <w:rsid w:val="00022ABC"/>
    <w:rsid w:val="00022B9E"/>
    <w:rsid w:val="00022DE3"/>
    <w:rsid w:val="00022DF1"/>
    <w:rsid w:val="00022EBF"/>
    <w:rsid w:val="00023042"/>
    <w:rsid w:val="000232AF"/>
    <w:rsid w:val="000234E4"/>
    <w:rsid w:val="000234F7"/>
    <w:rsid w:val="000234FC"/>
    <w:rsid w:val="000234FE"/>
    <w:rsid w:val="00023663"/>
    <w:rsid w:val="0002370A"/>
    <w:rsid w:val="000238B2"/>
    <w:rsid w:val="00023A3A"/>
    <w:rsid w:val="00023EFC"/>
    <w:rsid w:val="00023FFC"/>
    <w:rsid w:val="000244F4"/>
    <w:rsid w:val="00024613"/>
    <w:rsid w:val="00024745"/>
    <w:rsid w:val="000249E7"/>
    <w:rsid w:val="00024A55"/>
    <w:rsid w:val="00024AD7"/>
    <w:rsid w:val="00024CD5"/>
    <w:rsid w:val="00024CEF"/>
    <w:rsid w:val="00024D2F"/>
    <w:rsid w:val="00024DDF"/>
    <w:rsid w:val="00024EFE"/>
    <w:rsid w:val="00024FA5"/>
    <w:rsid w:val="0002502C"/>
    <w:rsid w:val="000250FE"/>
    <w:rsid w:val="0002516F"/>
    <w:rsid w:val="00025186"/>
    <w:rsid w:val="000252D2"/>
    <w:rsid w:val="00025489"/>
    <w:rsid w:val="0002551E"/>
    <w:rsid w:val="000255E3"/>
    <w:rsid w:val="000257FB"/>
    <w:rsid w:val="000259BA"/>
    <w:rsid w:val="00025AD1"/>
    <w:rsid w:val="00025C5D"/>
    <w:rsid w:val="00025D59"/>
    <w:rsid w:val="00025F8C"/>
    <w:rsid w:val="00025FF7"/>
    <w:rsid w:val="0002615E"/>
    <w:rsid w:val="00026393"/>
    <w:rsid w:val="0002641E"/>
    <w:rsid w:val="00026673"/>
    <w:rsid w:val="000266E0"/>
    <w:rsid w:val="000267A3"/>
    <w:rsid w:val="0002696D"/>
    <w:rsid w:val="00026977"/>
    <w:rsid w:val="00026BB3"/>
    <w:rsid w:val="00026BCB"/>
    <w:rsid w:val="00026C06"/>
    <w:rsid w:val="00026DDB"/>
    <w:rsid w:val="00026E1D"/>
    <w:rsid w:val="00026FC9"/>
    <w:rsid w:val="00027510"/>
    <w:rsid w:val="0002755F"/>
    <w:rsid w:val="00027593"/>
    <w:rsid w:val="000275B5"/>
    <w:rsid w:val="000277B5"/>
    <w:rsid w:val="000277B8"/>
    <w:rsid w:val="00027926"/>
    <w:rsid w:val="00027B94"/>
    <w:rsid w:val="00027BAB"/>
    <w:rsid w:val="00027D3F"/>
    <w:rsid w:val="00027E90"/>
    <w:rsid w:val="00027EAD"/>
    <w:rsid w:val="00030579"/>
    <w:rsid w:val="0003075E"/>
    <w:rsid w:val="00030978"/>
    <w:rsid w:val="00030AB8"/>
    <w:rsid w:val="00030BE6"/>
    <w:rsid w:val="00030CDB"/>
    <w:rsid w:val="00030CEC"/>
    <w:rsid w:val="00030D0B"/>
    <w:rsid w:val="00030D9C"/>
    <w:rsid w:val="00030DA1"/>
    <w:rsid w:val="00030DCE"/>
    <w:rsid w:val="00030E7B"/>
    <w:rsid w:val="00031012"/>
    <w:rsid w:val="00031174"/>
    <w:rsid w:val="000311D5"/>
    <w:rsid w:val="00031201"/>
    <w:rsid w:val="00031827"/>
    <w:rsid w:val="00031A42"/>
    <w:rsid w:val="00031AD4"/>
    <w:rsid w:val="00031D83"/>
    <w:rsid w:val="00031E5B"/>
    <w:rsid w:val="00031ED0"/>
    <w:rsid w:val="00031F46"/>
    <w:rsid w:val="00032005"/>
    <w:rsid w:val="000320ED"/>
    <w:rsid w:val="000323B8"/>
    <w:rsid w:val="0003253B"/>
    <w:rsid w:val="00032541"/>
    <w:rsid w:val="0003266A"/>
    <w:rsid w:val="000326AE"/>
    <w:rsid w:val="0003270A"/>
    <w:rsid w:val="0003276E"/>
    <w:rsid w:val="0003284F"/>
    <w:rsid w:val="0003296E"/>
    <w:rsid w:val="00032CF2"/>
    <w:rsid w:val="00032E8C"/>
    <w:rsid w:val="0003300F"/>
    <w:rsid w:val="00033339"/>
    <w:rsid w:val="000337A5"/>
    <w:rsid w:val="00033826"/>
    <w:rsid w:val="00033AE9"/>
    <w:rsid w:val="00033B4B"/>
    <w:rsid w:val="00033B63"/>
    <w:rsid w:val="00033C19"/>
    <w:rsid w:val="00033D8C"/>
    <w:rsid w:val="00033E3A"/>
    <w:rsid w:val="0003404B"/>
    <w:rsid w:val="00034328"/>
    <w:rsid w:val="00034607"/>
    <w:rsid w:val="00034699"/>
    <w:rsid w:val="000348EF"/>
    <w:rsid w:val="00034A8D"/>
    <w:rsid w:val="00034AE6"/>
    <w:rsid w:val="00034B78"/>
    <w:rsid w:val="00034E57"/>
    <w:rsid w:val="00034F5C"/>
    <w:rsid w:val="00034F9D"/>
    <w:rsid w:val="00035016"/>
    <w:rsid w:val="00035167"/>
    <w:rsid w:val="00035287"/>
    <w:rsid w:val="0003529D"/>
    <w:rsid w:val="0003545B"/>
    <w:rsid w:val="00035461"/>
    <w:rsid w:val="00035552"/>
    <w:rsid w:val="000355CC"/>
    <w:rsid w:val="0003567A"/>
    <w:rsid w:val="000357B4"/>
    <w:rsid w:val="00035807"/>
    <w:rsid w:val="00035A42"/>
    <w:rsid w:val="00035A49"/>
    <w:rsid w:val="00035DBD"/>
    <w:rsid w:val="0003625D"/>
    <w:rsid w:val="0003638C"/>
    <w:rsid w:val="00036577"/>
    <w:rsid w:val="000366FF"/>
    <w:rsid w:val="0003683D"/>
    <w:rsid w:val="000368D4"/>
    <w:rsid w:val="00036AA4"/>
    <w:rsid w:val="00036CB8"/>
    <w:rsid w:val="00036D0C"/>
    <w:rsid w:val="00036FC3"/>
    <w:rsid w:val="0003709F"/>
    <w:rsid w:val="000370B8"/>
    <w:rsid w:val="00037279"/>
    <w:rsid w:val="00037309"/>
    <w:rsid w:val="00037414"/>
    <w:rsid w:val="000375C9"/>
    <w:rsid w:val="00037A38"/>
    <w:rsid w:val="00037B84"/>
    <w:rsid w:val="00037D69"/>
    <w:rsid w:val="00037E54"/>
    <w:rsid w:val="00037EF0"/>
    <w:rsid w:val="00037FC8"/>
    <w:rsid w:val="00037FDC"/>
    <w:rsid w:val="0004018A"/>
    <w:rsid w:val="0004024D"/>
    <w:rsid w:val="000402AA"/>
    <w:rsid w:val="00040356"/>
    <w:rsid w:val="000406AC"/>
    <w:rsid w:val="00040B19"/>
    <w:rsid w:val="00040C55"/>
    <w:rsid w:val="00040D0B"/>
    <w:rsid w:val="00040E27"/>
    <w:rsid w:val="00040F41"/>
    <w:rsid w:val="00040FE7"/>
    <w:rsid w:val="00041083"/>
    <w:rsid w:val="000410FA"/>
    <w:rsid w:val="00041100"/>
    <w:rsid w:val="00041180"/>
    <w:rsid w:val="00041264"/>
    <w:rsid w:val="000412F8"/>
    <w:rsid w:val="0004160D"/>
    <w:rsid w:val="00041741"/>
    <w:rsid w:val="0004177B"/>
    <w:rsid w:val="0004184A"/>
    <w:rsid w:val="000419EA"/>
    <w:rsid w:val="00041B9C"/>
    <w:rsid w:val="00041C1B"/>
    <w:rsid w:val="000420E3"/>
    <w:rsid w:val="000421A1"/>
    <w:rsid w:val="0004255A"/>
    <w:rsid w:val="000426E6"/>
    <w:rsid w:val="00042702"/>
    <w:rsid w:val="00042747"/>
    <w:rsid w:val="0004283B"/>
    <w:rsid w:val="00042969"/>
    <w:rsid w:val="00042A96"/>
    <w:rsid w:val="00042BC3"/>
    <w:rsid w:val="00042C1A"/>
    <w:rsid w:val="00042CFD"/>
    <w:rsid w:val="00042ECE"/>
    <w:rsid w:val="00042EDE"/>
    <w:rsid w:val="00042F6E"/>
    <w:rsid w:val="0004341D"/>
    <w:rsid w:val="0004342B"/>
    <w:rsid w:val="000437E1"/>
    <w:rsid w:val="00043811"/>
    <w:rsid w:val="0004387A"/>
    <w:rsid w:val="00043892"/>
    <w:rsid w:val="00043AD4"/>
    <w:rsid w:val="00043CE4"/>
    <w:rsid w:val="000442E4"/>
    <w:rsid w:val="00044319"/>
    <w:rsid w:val="00044362"/>
    <w:rsid w:val="0004438B"/>
    <w:rsid w:val="0004444D"/>
    <w:rsid w:val="0004475B"/>
    <w:rsid w:val="000448AF"/>
    <w:rsid w:val="000448CF"/>
    <w:rsid w:val="00044C14"/>
    <w:rsid w:val="00044D43"/>
    <w:rsid w:val="00044E45"/>
    <w:rsid w:val="00044E83"/>
    <w:rsid w:val="00044F43"/>
    <w:rsid w:val="00045664"/>
    <w:rsid w:val="00045672"/>
    <w:rsid w:val="0004583D"/>
    <w:rsid w:val="000458AA"/>
    <w:rsid w:val="00045A57"/>
    <w:rsid w:val="00045C5E"/>
    <w:rsid w:val="00045E90"/>
    <w:rsid w:val="00045FE0"/>
    <w:rsid w:val="00046063"/>
    <w:rsid w:val="000462F8"/>
    <w:rsid w:val="00046745"/>
    <w:rsid w:val="00046835"/>
    <w:rsid w:val="0004693B"/>
    <w:rsid w:val="00046967"/>
    <w:rsid w:val="00046B60"/>
    <w:rsid w:val="00046C20"/>
    <w:rsid w:val="00046C6A"/>
    <w:rsid w:val="00046D5E"/>
    <w:rsid w:val="00046D98"/>
    <w:rsid w:val="00046DC1"/>
    <w:rsid w:val="00046E81"/>
    <w:rsid w:val="00046F89"/>
    <w:rsid w:val="00046F8D"/>
    <w:rsid w:val="00046FE5"/>
    <w:rsid w:val="000472A8"/>
    <w:rsid w:val="00047568"/>
    <w:rsid w:val="000475F1"/>
    <w:rsid w:val="00047F83"/>
    <w:rsid w:val="00050238"/>
    <w:rsid w:val="000502CB"/>
    <w:rsid w:val="00050517"/>
    <w:rsid w:val="000506D3"/>
    <w:rsid w:val="000506ED"/>
    <w:rsid w:val="00050822"/>
    <w:rsid w:val="000508B9"/>
    <w:rsid w:val="0005095A"/>
    <w:rsid w:val="00050B14"/>
    <w:rsid w:val="00050D01"/>
    <w:rsid w:val="00050EB6"/>
    <w:rsid w:val="00051023"/>
    <w:rsid w:val="00051038"/>
    <w:rsid w:val="000510F0"/>
    <w:rsid w:val="0005143C"/>
    <w:rsid w:val="00051577"/>
    <w:rsid w:val="000515A0"/>
    <w:rsid w:val="000516AF"/>
    <w:rsid w:val="00051711"/>
    <w:rsid w:val="000517AF"/>
    <w:rsid w:val="00051A45"/>
    <w:rsid w:val="00051AA6"/>
    <w:rsid w:val="00051F14"/>
    <w:rsid w:val="0005208E"/>
    <w:rsid w:val="000521C5"/>
    <w:rsid w:val="000521DE"/>
    <w:rsid w:val="000522AB"/>
    <w:rsid w:val="00052444"/>
    <w:rsid w:val="00052451"/>
    <w:rsid w:val="00052549"/>
    <w:rsid w:val="000525E0"/>
    <w:rsid w:val="00052674"/>
    <w:rsid w:val="00052742"/>
    <w:rsid w:val="000527D6"/>
    <w:rsid w:val="000528CE"/>
    <w:rsid w:val="000529D4"/>
    <w:rsid w:val="00052A5D"/>
    <w:rsid w:val="00052D6E"/>
    <w:rsid w:val="00052D94"/>
    <w:rsid w:val="00052E04"/>
    <w:rsid w:val="00053024"/>
    <w:rsid w:val="0005308F"/>
    <w:rsid w:val="000530CF"/>
    <w:rsid w:val="0005321C"/>
    <w:rsid w:val="00053238"/>
    <w:rsid w:val="0005324A"/>
    <w:rsid w:val="0005329C"/>
    <w:rsid w:val="0005330C"/>
    <w:rsid w:val="000535A4"/>
    <w:rsid w:val="000535C5"/>
    <w:rsid w:val="00053645"/>
    <w:rsid w:val="00053743"/>
    <w:rsid w:val="00053917"/>
    <w:rsid w:val="00053A03"/>
    <w:rsid w:val="00053C8E"/>
    <w:rsid w:val="00053F0E"/>
    <w:rsid w:val="00053F20"/>
    <w:rsid w:val="000540BC"/>
    <w:rsid w:val="000540F1"/>
    <w:rsid w:val="0005422E"/>
    <w:rsid w:val="00054295"/>
    <w:rsid w:val="000542B4"/>
    <w:rsid w:val="00054343"/>
    <w:rsid w:val="00054475"/>
    <w:rsid w:val="00054499"/>
    <w:rsid w:val="00054910"/>
    <w:rsid w:val="00054A21"/>
    <w:rsid w:val="00054B13"/>
    <w:rsid w:val="00054B6C"/>
    <w:rsid w:val="00054D0B"/>
    <w:rsid w:val="0005504C"/>
    <w:rsid w:val="00055080"/>
    <w:rsid w:val="000550EA"/>
    <w:rsid w:val="00055323"/>
    <w:rsid w:val="00055683"/>
    <w:rsid w:val="00055817"/>
    <w:rsid w:val="00055A24"/>
    <w:rsid w:val="00055BB8"/>
    <w:rsid w:val="00055C55"/>
    <w:rsid w:val="00055C8B"/>
    <w:rsid w:val="00056013"/>
    <w:rsid w:val="00056112"/>
    <w:rsid w:val="0005628B"/>
    <w:rsid w:val="000562D5"/>
    <w:rsid w:val="000562EB"/>
    <w:rsid w:val="000563B6"/>
    <w:rsid w:val="00056407"/>
    <w:rsid w:val="00056565"/>
    <w:rsid w:val="00056873"/>
    <w:rsid w:val="00056CC8"/>
    <w:rsid w:val="00056F6E"/>
    <w:rsid w:val="00056FD4"/>
    <w:rsid w:val="0005716E"/>
    <w:rsid w:val="00057186"/>
    <w:rsid w:val="00057197"/>
    <w:rsid w:val="00057260"/>
    <w:rsid w:val="00057577"/>
    <w:rsid w:val="0005766C"/>
    <w:rsid w:val="000576D6"/>
    <w:rsid w:val="000576F8"/>
    <w:rsid w:val="000577DD"/>
    <w:rsid w:val="00057A51"/>
    <w:rsid w:val="00057AB6"/>
    <w:rsid w:val="00057FB5"/>
    <w:rsid w:val="00057FC7"/>
    <w:rsid w:val="00060066"/>
    <w:rsid w:val="000607BD"/>
    <w:rsid w:val="000608D1"/>
    <w:rsid w:val="00060A43"/>
    <w:rsid w:val="00060C2C"/>
    <w:rsid w:val="00060C73"/>
    <w:rsid w:val="00060CD8"/>
    <w:rsid w:val="00060DD1"/>
    <w:rsid w:val="00060F3F"/>
    <w:rsid w:val="00060F75"/>
    <w:rsid w:val="00060F7D"/>
    <w:rsid w:val="00061596"/>
    <w:rsid w:val="000616A7"/>
    <w:rsid w:val="00061AEA"/>
    <w:rsid w:val="00061CF3"/>
    <w:rsid w:val="00061E95"/>
    <w:rsid w:val="00061F33"/>
    <w:rsid w:val="00061FC9"/>
    <w:rsid w:val="00062144"/>
    <w:rsid w:val="000621E2"/>
    <w:rsid w:val="00062284"/>
    <w:rsid w:val="000622D1"/>
    <w:rsid w:val="000624ED"/>
    <w:rsid w:val="000625ED"/>
    <w:rsid w:val="0006262E"/>
    <w:rsid w:val="0006268A"/>
    <w:rsid w:val="00062720"/>
    <w:rsid w:val="00062A3B"/>
    <w:rsid w:val="00062BC4"/>
    <w:rsid w:val="00062EE7"/>
    <w:rsid w:val="0006336D"/>
    <w:rsid w:val="00063485"/>
    <w:rsid w:val="00063525"/>
    <w:rsid w:val="0006363B"/>
    <w:rsid w:val="00063678"/>
    <w:rsid w:val="000637A3"/>
    <w:rsid w:val="000638B9"/>
    <w:rsid w:val="00063B2A"/>
    <w:rsid w:val="00063B4B"/>
    <w:rsid w:val="00063D4C"/>
    <w:rsid w:val="00063FFA"/>
    <w:rsid w:val="00064063"/>
    <w:rsid w:val="000642EF"/>
    <w:rsid w:val="00064307"/>
    <w:rsid w:val="00064778"/>
    <w:rsid w:val="00064880"/>
    <w:rsid w:val="00064969"/>
    <w:rsid w:val="00064B08"/>
    <w:rsid w:val="00064B37"/>
    <w:rsid w:val="00064CB7"/>
    <w:rsid w:val="00064D35"/>
    <w:rsid w:val="00064DC8"/>
    <w:rsid w:val="00064DED"/>
    <w:rsid w:val="00064E11"/>
    <w:rsid w:val="00064E2C"/>
    <w:rsid w:val="00064E7C"/>
    <w:rsid w:val="00064F13"/>
    <w:rsid w:val="00064FC2"/>
    <w:rsid w:val="0006514C"/>
    <w:rsid w:val="0006522E"/>
    <w:rsid w:val="000652C2"/>
    <w:rsid w:val="000653C9"/>
    <w:rsid w:val="000655DF"/>
    <w:rsid w:val="0006568C"/>
    <w:rsid w:val="000656C6"/>
    <w:rsid w:val="000657A7"/>
    <w:rsid w:val="000658CD"/>
    <w:rsid w:val="0006597A"/>
    <w:rsid w:val="00065A61"/>
    <w:rsid w:val="00065BEB"/>
    <w:rsid w:val="00065CC3"/>
    <w:rsid w:val="00065DEB"/>
    <w:rsid w:val="00065E00"/>
    <w:rsid w:val="00065E27"/>
    <w:rsid w:val="000660B5"/>
    <w:rsid w:val="000660C3"/>
    <w:rsid w:val="00066110"/>
    <w:rsid w:val="0006622A"/>
    <w:rsid w:val="00066452"/>
    <w:rsid w:val="000665AA"/>
    <w:rsid w:val="00066613"/>
    <w:rsid w:val="000666BF"/>
    <w:rsid w:val="000667BA"/>
    <w:rsid w:val="0006689E"/>
    <w:rsid w:val="00066A72"/>
    <w:rsid w:val="00066C58"/>
    <w:rsid w:val="00066D57"/>
    <w:rsid w:val="00066EF0"/>
    <w:rsid w:val="00067080"/>
    <w:rsid w:val="000672D9"/>
    <w:rsid w:val="0006734A"/>
    <w:rsid w:val="000676F3"/>
    <w:rsid w:val="00067871"/>
    <w:rsid w:val="00067AD5"/>
    <w:rsid w:val="00067B68"/>
    <w:rsid w:val="00067C27"/>
    <w:rsid w:val="00067D94"/>
    <w:rsid w:val="00070069"/>
    <w:rsid w:val="00070116"/>
    <w:rsid w:val="000703CC"/>
    <w:rsid w:val="00070475"/>
    <w:rsid w:val="00070594"/>
    <w:rsid w:val="000705DB"/>
    <w:rsid w:val="00070679"/>
    <w:rsid w:val="0007074F"/>
    <w:rsid w:val="00070993"/>
    <w:rsid w:val="00070C53"/>
    <w:rsid w:val="00070CD9"/>
    <w:rsid w:val="00070DAA"/>
    <w:rsid w:val="00070E4E"/>
    <w:rsid w:val="00071160"/>
    <w:rsid w:val="0007123B"/>
    <w:rsid w:val="0007130E"/>
    <w:rsid w:val="0007130F"/>
    <w:rsid w:val="00071369"/>
    <w:rsid w:val="000713AC"/>
    <w:rsid w:val="00071468"/>
    <w:rsid w:val="000714A7"/>
    <w:rsid w:val="000717B7"/>
    <w:rsid w:val="000717F1"/>
    <w:rsid w:val="000718AE"/>
    <w:rsid w:val="00071B5E"/>
    <w:rsid w:val="000720D7"/>
    <w:rsid w:val="00072185"/>
    <w:rsid w:val="000721E7"/>
    <w:rsid w:val="0007225A"/>
    <w:rsid w:val="000723B8"/>
    <w:rsid w:val="000724F4"/>
    <w:rsid w:val="00072525"/>
    <w:rsid w:val="00072564"/>
    <w:rsid w:val="000725A5"/>
    <w:rsid w:val="00072605"/>
    <w:rsid w:val="00072932"/>
    <w:rsid w:val="00072A7A"/>
    <w:rsid w:val="00072B2B"/>
    <w:rsid w:val="00072C8F"/>
    <w:rsid w:val="00072D15"/>
    <w:rsid w:val="00072DF8"/>
    <w:rsid w:val="00072FBA"/>
    <w:rsid w:val="000731E5"/>
    <w:rsid w:val="000732E7"/>
    <w:rsid w:val="00073589"/>
    <w:rsid w:val="0007368B"/>
    <w:rsid w:val="000737DB"/>
    <w:rsid w:val="00073D21"/>
    <w:rsid w:val="00073F95"/>
    <w:rsid w:val="0007419C"/>
    <w:rsid w:val="00074462"/>
    <w:rsid w:val="000744F0"/>
    <w:rsid w:val="00074581"/>
    <w:rsid w:val="000745F0"/>
    <w:rsid w:val="0007468B"/>
    <w:rsid w:val="0007474F"/>
    <w:rsid w:val="00074A31"/>
    <w:rsid w:val="00074ACE"/>
    <w:rsid w:val="00074BFE"/>
    <w:rsid w:val="00074EBD"/>
    <w:rsid w:val="00074EF7"/>
    <w:rsid w:val="000750D7"/>
    <w:rsid w:val="000752C3"/>
    <w:rsid w:val="000753D6"/>
    <w:rsid w:val="000754D8"/>
    <w:rsid w:val="00075573"/>
    <w:rsid w:val="00075867"/>
    <w:rsid w:val="000759A2"/>
    <w:rsid w:val="00075A07"/>
    <w:rsid w:val="00075B8D"/>
    <w:rsid w:val="00075C46"/>
    <w:rsid w:val="00075CC9"/>
    <w:rsid w:val="00075D03"/>
    <w:rsid w:val="00075EDD"/>
    <w:rsid w:val="00075EFD"/>
    <w:rsid w:val="00075F53"/>
    <w:rsid w:val="00075F93"/>
    <w:rsid w:val="000761FF"/>
    <w:rsid w:val="0007621D"/>
    <w:rsid w:val="00076354"/>
    <w:rsid w:val="000767A7"/>
    <w:rsid w:val="000767EE"/>
    <w:rsid w:val="00076805"/>
    <w:rsid w:val="0007692C"/>
    <w:rsid w:val="000769DE"/>
    <w:rsid w:val="00076A1C"/>
    <w:rsid w:val="00076A3F"/>
    <w:rsid w:val="00076B10"/>
    <w:rsid w:val="00076BB9"/>
    <w:rsid w:val="00076C36"/>
    <w:rsid w:val="00076CB6"/>
    <w:rsid w:val="00076F4E"/>
    <w:rsid w:val="0007700B"/>
    <w:rsid w:val="000770D2"/>
    <w:rsid w:val="000772E0"/>
    <w:rsid w:val="0007737F"/>
    <w:rsid w:val="00077536"/>
    <w:rsid w:val="0007757F"/>
    <w:rsid w:val="000775D1"/>
    <w:rsid w:val="000775E2"/>
    <w:rsid w:val="000777E0"/>
    <w:rsid w:val="000777F8"/>
    <w:rsid w:val="000779EF"/>
    <w:rsid w:val="00077A52"/>
    <w:rsid w:val="00077A9F"/>
    <w:rsid w:val="00077B5A"/>
    <w:rsid w:val="00077FAF"/>
    <w:rsid w:val="00080058"/>
    <w:rsid w:val="000800DE"/>
    <w:rsid w:val="00080301"/>
    <w:rsid w:val="00080382"/>
    <w:rsid w:val="0008039F"/>
    <w:rsid w:val="000803B1"/>
    <w:rsid w:val="0008056E"/>
    <w:rsid w:val="000806AD"/>
    <w:rsid w:val="00080829"/>
    <w:rsid w:val="000809FF"/>
    <w:rsid w:val="00080A4D"/>
    <w:rsid w:val="00080A63"/>
    <w:rsid w:val="00080CAF"/>
    <w:rsid w:val="00080CB6"/>
    <w:rsid w:val="00080D01"/>
    <w:rsid w:val="00080E3F"/>
    <w:rsid w:val="00080E92"/>
    <w:rsid w:val="00080FCA"/>
    <w:rsid w:val="0008101B"/>
    <w:rsid w:val="00081061"/>
    <w:rsid w:val="000810D8"/>
    <w:rsid w:val="00081214"/>
    <w:rsid w:val="00081298"/>
    <w:rsid w:val="0008129A"/>
    <w:rsid w:val="0008139E"/>
    <w:rsid w:val="00081452"/>
    <w:rsid w:val="00081619"/>
    <w:rsid w:val="0008169E"/>
    <w:rsid w:val="000816B7"/>
    <w:rsid w:val="0008193A"/>
    <w:rsid w:val="000819BC"/>
    <w:rsid w:val="00081C39"/>
    <w:rsid w:val="00081C4F"/>
    <w:rsid w:val="00081DA2"/>
    <w:rsid w:val="00081DF9"/>
    <w:rsid w:val="000821E0"/>
    <w:rsid w:val="0008223C"/>
    <w:rsid w:val="000823DC"/>
    <w:rsid w:val="00082435"/>
    <w:rsid w:val="000825EF"/>
    <w:rsid w:val="000826AF"/>
    <w:rsid w:val="00082B05"/>
    <w:rsid w:val="00082BE0"/>
    <w:rsid w:val="00082DE3"/>
    <w:rsid w:val="00082E0B"/>
    <w:rsid w:val="00082E31"/>
    <w:rsid w:val="00082F11"/>
    <w:rsid w:val="0008301D"/>
    <w:rsid w:val="0008308D"/>
    <w:rsid w:val="000831B0"/>
    <w:rsid w:val="00083264"/>
    <w:rsid w:val="0008347B"/>
    <w:rsid w:val="00083661"/>
    <w:rsid w:val="00083710"/>
    <w:rsid w:val="00083821"/>
    <w:rsid w:val="0008399C"/>
    <w:rsid w:val="00083A9D"/>
    <w:rsid w:val="00083BDE"/>
    <w:rsid w:val="00083C50"/>
    <w:rsid w:val="00083E21"/>
    <w:rsid w:val="00084130"/>
    <w:rsid w:val="0008416F"/>
    <w:rsid w:val="000841C4"/>
    <w:rsid w:val="000843FE"/>
    <w:rsid w:val="00084489"/>
    <w:rsid w:val="000844E6"/>
    <w:rsid w:val="000846EE"/>
    <w:rsid w:val="0008476E"/>
    <w:rsid w:val="0008478B"/>
    <w:rsid w:val="00084798"/>
    <w:rsid w:val="00084818"/>
    <w:rsid w:val="0008485D"/>
    <w:rsid w:val="00084886"/>
    <w:rsid w:val="00084925"/>
    <w:rsid w:val="00084C8B"/>
    <w:rsid w:val="00084E25"/>
    <w:rsid w:val="00084EF7"/>
    <w:rsid w:val="00084F0F"/>
    <w:rsid w:val="00084F4E"/>
    <w:rsid w:val="00085137"/>
    <w:rsid w:val="000851DD"/>
    <w:rsid w:val="00085390"/>
    <w:rsid w:val="00085434"/>
    <w:rsid w:val="00085694"/>
    <w:rsid w:val="0008580C"/>
    <w:rsid w:val="00085874"/>
    <w:rsid w:val="00085E3E"/>
    <w:rsid w:val="00085FB2"/>
    <w:rsid w:val="00085FEC"/>
    <w:rsid w:val="000861EF"/>
    <w:rsid w:val="00086426"/>
    <w:rsid w:val="00086441"/>
    <w:rsid w:val="00086499"/>
    <w:rsid w:val="00086585"/>
    <w:rsid w:val="00086733"/>
    <w:rsid w:val="00086A99"/>
    <w:rsid w:val="00086C48"/>
    <w:rsid w:val="00086D3F"/>
    <w:rsid w:val="00086DFF"/>
    <w:rsid w:val="00086EF9"/>
    <w:rsid w:val="0008703E"/>
    <w:rsid w:val="00087392"/>
    <w:rsid w:val="000876FA"/>
    <w:rsid w:val="00087714"/>
    <w:rsid w:val="000877AD"/>
    <w:rsid w:val="000879B4"/>
    <w:rsid w:val="000879BA"/>
    <w:rsid w:val="00090010"/>
    <w:rsid w:val="000900C6"/>
    <w:rsid w:val="000901F0"/>
    <w:rsid w:val="00090366"/>
    <w:rsid w:val="0009039F"/>
    <w:rsid w:val="00090467"/>
    <w:rsid w:val="000905FE"/>
    <w:rsid w:val="00090690"/>
    <w:rsid w:val="000907EF"/>
    <w:rsid w:val="000908A8"/>
    <w:rsid w:val="00090A85"/>
    <w:rsid w:val="00090ACB"/>
    <w:rsid w:val="00090B1E"/>
    <w:rsid w:val="00090B64"/>
    <w:rsid w:val="00090E71"/>
    <w:rsid w:val="00091019"/>
    <w:rsid w:val="00091289"/>
    <w:rsid w:val="0009156C"/>
    <w:rsid w:val="0009193C"/>
    <w:rsid w:val="0009194E"/>
    <w:rsid w:val="00091B0F"/>
    <w:rsid w:val="00091BD1"/>
    <w:rsid w:val="00091E32"/>
    <w:rsid w:val="00091EC2"/>
    <w:rsid w:val="000920FD"/>
    <w:rsid w:val="000921A1"/>
    <w:rsid w:val="000921F3"/>
    <w:rsid w:val="00092235"/>
    <w:rsid w:val="000922F6"/>
    <w:rsid w:val="00092442"/>
    <w:rsid w:val="000925D3"/>
    <w:rsid w:val="00092627"/>
    <w:rsid w:val="00092755"/>
    <w:rsid w:val="00092B5F"/>
    <w:rsid w:val="00092C6A"/>
    <w:rsid w:val="00092E72"/>
    <w:rsid w:val="00092EC7"/>
    <w:rsid w:val="00092FDE"/>
    <w:rsid w:val="00093071"/>
    <w:rsid w:val="000931E1"/>
    <w:rsid w:val="000932E1"/>
    <w:rsid w:val="00093368"/>
    <w:rsid w:val="000934CE"/>
    <w:rsid w:val="00093E64"/>
    <w:rsid w:val="00093FA3"/>
    <w:rsid w:val="0009401C"/>
    <w:rsid w:val="00094128"/>
    <w:rsid w:val="00094199"/>
    <w:rsid w:val="0009426B"/>
    <w:rsid w:val="00094418"/>
    <w:rsid w:val="000945C0"/>
    <w:rsid w:val="000945F8"/>
    <w:rsid w:val="00094607"/>
    <w:rsid w:val="0009475D"/>
    <w:rsid w:val="000947AC"/>
    <w:rsid w:val="0009490D"/>
    <w:rsid w:val="00094957"/>
    <w:rsid w:val="0009495B"/>
    <w:rsid w:val="00094AE1"/>
    <w:rsid w:val="00094AF5"/>
    <w:rsid w:val="00094C3D"/>
    <w:rsid w:val="00094D0C"/>
    <w:rsid w:val="00094D82"/>
    <w:rsid w:val="00094ECB"/>
    <w:rsid w:val="00094F09"/>
    <w:rsid w:val="00094F81"/>
    <w:rsid w:val="00094F89"/>
    <w:rsid w:val="000951BE"/>
    <w:rsid w:val="0009538A"/>
    <w:rsid w:val="00095390"/>
    <w:rsid w:val="00095423"/>
    <w:rsid w:val="0009543A"/>
    <w:rsid w:val="0009583B"/>
    <w:rsid w:val="00095976"/>
    <w:rsid w:val="000959B0"/>
    <w:rsid w:val="00095BAA"/>
    <w:rsid w:val="00095BB4"/>
    <w:rsid w:val="00095DA8"/>
    <w:rsid w:val="00095E4D"/>
    <w:rsid w:val="00095E61"/>
    <w:rsid w:val="0009617B"/>
    <w:rsid w:val="00096691"/>
    <w:rsid w:val="000967A7"/>
    <w:rsid w:val="00096905"/>
    <w:rsid w:val="00096A11"/>
    <w:rsid w:val="00096ADF"/>
    <w:rsid w:val="00096BE4"/>
    <w:rsid w:val="00097056"/>
    <w:rsid w:val="00097144"/>
    <w:rsid w:val="000971AA"/>
    <w:rsid w:val="000971C5"/>
    <w:rsid w:val="00097216"/>
    <w:rsid w:val="00097550"/>
    <w:rsid w:val="00097628"/>
    <w:rsid w:val="0009763A"/>
    <w:rsid w:val="00097729"/>
    <w:rsid w:val="00097AD3"/>
    <w:rsid w:val="00097AE7"/>
    <w:rsid w:val="00097BCC"/>
    <w:rsid w:val="00097DE3"/>
    <w:rsid w:val="00097E69"/>
    <w:rsid w:val="00097F68"/>
    <w:rsid w:val="000A01C5"/>
    <w:rsid w:val="000A026D"/>
    <w:rsid w:val="000A0667"/>
    <w:rsid w:val="000A0764"/>
    <w:rsid w:val="000A0770"/>
    <w:rsid w:val="000A0A42"/>
    <w:rsid w:val="000A0AA1"/>
    <w:rsid w:val="000A0CE0"/>
    <w:rsid w:val="000A0D1C"/>
    <w:rsid w:val="000A0E1B"/>
    <w:rsid w:val="000A0E23"/>
    <w:rsid w:val="000A0EA3"/>
    <w:rsid w:val="000A0F4F"/>
    <w:rsid w:val="000A1008"/>
    <w:rsid w:val="000A107E"/>
    <w:rsid w:val="000A11CD"/>
    <w:rsid w:val="000A1357"/>
    <w:rsid w:val="000A1389"/>
    <w:rsid w:val="000A14C4"/>
    <w:rsid w:val="000A15F6"/>
    <w:rsid w:val="000A1707"/>
    <w:rsid w:val="000A18FE"/>
    <w:rsid w:val="000A1985"/>
    <w:rsid w:val="000A1A60"/>
    <w:rsid w:val="000A1C44"/>
    <w:rsid w:val="000A1FB8"/>
    <w:rsid w:val="000A2025"/>
    <w:rsid w:val="000A20D1"/>
    <w:rsid w:val="000A217D"/>
    <w:rsid w:val="000A227B"/>
    <w:rsid w:val="000A2293"/>
    <w:rsid w:val="000A22AD"/>
    <w:rsid w:val="000A24B2"/>
    <w:rsid w:val="000A267E"/>
    <w:rsid w:val="000A2984"/>
    <w:rsid w:val="000A2985"/>
    <w:rsid w:val="000A299B"/>
    <w:rsid w:val="000A2BF0"/>
    <w:rsid w:val="000A2C73"/>
    <w:rsid w:val="000A2D07"/>
    <w:rsid w:val="000A2FA7"/>
    <w:rsid w:val="000A300E"/>
    <w:rsid w:val="000A31EA"/>
    <w:rsid w:val="000A3226"/>
    <w:rsid w:val="000A33FF"/>
    <w:rsid w:val="000A3468"/>
    <w:rsid w:val="000A37C4"/>
    <w:rsid w:val="000A383C"/>
    <w:rsid w:val="000A39FC"/>
    <w:rsid w:val="000A3A28"/>
    <w:rsid w:val="000A3AA8"/>
    <w:rsid w:val="000A3B8F"/>
    <w:rsid w:val="000A3F9F"/>
    <w:rsid w:val="000A3FAC"/>
    <w:rsid w:val="000A40B4"/>
    <w:rsid w:val="000A41A6"/>
    <w:rsid w:val="000A41AE"/>
    <w:rsid w:val="000A43D7"/>
    <w:rsid w:val="000A4635"/>
    <w:rsid w:val="000A473A"/>
    <w:rsid w:val="000A48F4"/>
    <w:rsid w:val="000A4BDC"/>
    <w:rsid w:val="000A4DAB"/>
    <w:rsid w:val="000A4F38"/>
    <w:rsid w:val="000A4F8F"/>
    <w:rsid w:val="000A518E"/>
    <w:rsid w:val="000A5192"/>
    <w:rsid w:val="000A5202"/>
    <w:rsid w:val="000A525F"/>
    <w:rsid w:val="000A5757"/>
    <w:rsid w:val="000A58BF"/>
    <w:rsid w:val="000A59AB"/>
    <w:rsid w:val="000A5D56"/>
    <w:rsid w:val="000A5DBB"/>
    <w:rsid w:val="000A5DCA"/>
    <w:rsid w:val="000A5DE0"/>
    <w:rsid w:val="000A5DEC"/>
    <w:rsid w:val="000A5E50"/>
    <w:rsid w:val="000A5ED7"/>
    <w:rsid w:val="000A5F10"/>
    <w:rsid w:val="000A5F79"/>
    <w:rsid w:val="000A5F9A"/>
    <w:rsid w:val="000A62A3"/>
    <w:rsid w:val="000A6416"/>
    <w:rsid w:val="000A6644"/>
    <w:rsid w:val="000A68A8"/>
    <w:rsid w:val="000A6AF2"/>
    <w:rsid w:val="000A6C3C"/>
    <w:rsid w:val="000A6D44"/>
    <w:rsid w:val="000A6EDE"/>
    <w:rsid w:val="000A6F1C"/>
    <w:rsid w:val="000A702F"/>
    <w:rsid w:val="000A7041"/>
    <w:rsid w:val="000A7062"/>
    <w:rsid w:val="000A72DA"/>
    <w:rsid w:val="000A73B3"/>
    <w:rsid w:val="000A73E9"/>
    <w:rsid w:val="000A7431"/>
    <w:rsid w:val="000A758E"/>
    <w:rsid w:val="000A759C"/>
    <w:rsid w:val="000A77A7"/>
    <w:rsid w:val="000A77F0"/>
    <w:rsid w:val="000A7897"/>
    <w:rsid w:val="000A7A15"/>
    <w:rsid w:val="000A7ADD"/>
    <w:rsid w:val="000A7B88"/>
    <w:rsid w:val="000A7BD5"/>
    <w:rsid w:val="000A7C30"/>
    <w:rsid w:val="000A7E1D"/>
    <w:rsid w:val="000B01DB"/>
    <w:rsid w:val="000B028E"/>
    <w:rsid w:val="000B05DC"/>
    <w:rsid w:val="000B07B6"/>
    <w:rsid w:val="000B07C2"/>
    <w:rsid w:val="000B085D"/>
    <w:rsid w:val="000B09D1"/>
    <w:rsid w:val="000B0A09"/>
    <w:rsid w:val="000B0A1F"/>
    <w:rsid w:val="000B0AC8"/>
    <w:rsid w:val="000B0B89"/>
    <w:rsid w:val="000B0C7C"/>
    <w:rsid w:val="000B0E76"/>
    <w:rsid w:val="000B0EA7"/>
    <w:rsid w:val="000B0FEE"/>
    <w:rsid w:val="000B1266"/>
    <w:rsid w:val="000B1454"/>
    <w:rsid w:val="000B15B1"/>
    <w:rsid w:val="000B1942"/>
    <w:rsid w:val="000B19A9"/>
    <w:rsid w:val="000B1A77"/>
    <w:rsid w:val="000B1B9D"/>
    <w:rsid w:val="000B1D79"/>
    <w:rsid w:val="000B1F18"/>
    <w:rsid w:val="000B1F26"/>
    <w:rsid w:val="000B1FC9"/>
    <w:rsid w:val="000B2231"/>
    <w:rsid w:val="000B227C"/>
    <w:rsid w:val="000B231F"/>
    <w:rsid w:val="000B279C"/>
    <w:rsid w:val="000B27FE"/>
    <w:rsid w:val="000B28BF"/>
    <w:rsid w:val="000B2FA6"/>
    <w:rsid w:val="000B30DE"/>
    <w:rsid w:val="000B3212"/>
    <w:rsid w:val="000B3286"/>
    <w:rsid w:val="000B3312"/>
    <w:rsid w:val="000B337D"/>
    <w:rsid w:val="000B33E7"/>
    <w:rsid w:val="000B3530"/>
    <w:rsid w:val="000B35C0"/>
    <w:rsid w:val="000B35D3"/>
    <w:rsid w:val="000B381C"/>
    <w:rsid w:val="000B38BE"/>
    <w:rsid w:val="000B3990"/>
    <w:rsid w:val="000B3FFB"/>
    <w:rsid w:val="000B408B"/>
    <w:rsid w:val="000B40C5"/>
    <w:rsid w:val="000B40D3"/>
    <w:rsid w:val="000B4184"/>
    <w:rsid w:val="000B4231"/>
    <w:rsid w:val="000B4343"/>
    <w:rsid w:val="000B4454"/>
    <w:rsid w:val="000B4580"/>
    <w:rsid w:val="000B46F3"/>
    <w:rsid w:val="000B4A00"/>
    <w:rsid w:val="000B4BFE"/>
    <w:rsid w:val="000B4D41"/>
    <w:rsid w:val="000B5089"/>
    <w:rsid w:val="000B54A3"/>
    <w:rsid w:val="000B54AA"/>
    <w:rsid w:val="000B54EC"/>
    <w:rsid w:val="000B5AA1"/>
    <w:rsid w:val="000B5B4C"/>
    <w:rsid w:val="000B5B4D"/>
    <w:rsid w:val="000B5E6C"/>
    <w:rsid w:val="000B5E6D"/>
    <w:rsid w:val="000B5FF9"/>
    <w:rsid w:val="000B60D2"/>
    <w:rsid w:val="000B60F8"/>
    <w:rsid w:val="000B6319"/>
    <w:rsid w:val="000B6457"/>
    <w:rsid w:val="000B647A"/>
    <w:rsid w:val="000B6579"/>
    <w:rsid w:val="000B66D7"/>
    <w:rsid w:val="000B6753"/>
    <w:rsid w:val="000B6B9E"/>
    <w:rsid w:val="000B6D3C"/>
    <w:rsid w:val="000B6EB9"/>
    <w:rsid w:val="000B6F8F"/>
    <w:rsid w:val="000B6FC1"/>
    <w:rsid w:val="000B7028"/>
    <w:rsid w:val="000B720E"/>
    <w:rsid w:val="000B740A"/>
    <w:rsid w:val="000B754E"/>
    <w:rsid w:val="000B78C0"/>
    <w:rsid w:val="000B7B4C"/>
    <w:rsid w:val="000B7C77"/>
    <w:rsid w:val="000B7DA7"/>
    <w:rsid w:val="000B7E2A"/>
    <w:rsid w:val="000B7E3F"/>
    <w:rsid w:val="000B7EB9"/>
    <w:rsid w:val="000C03D9"/>
    <w:rsid w:val="000C03F9"/>
    <w:rsid w:val="000C04E3"/>
    <w:rsid w:val="000C04F9"/>
    <w:rsid w:val="000C0504"/>
    <w:rsid w:val="000C057E"/>
    <w:rsid w:val="000C077E"/>
    <w:rsid w:val="000C0794"/>
    <w:rsid w:val="000C0829"/>
    <w:rsid w:val="000C08BD"/>
    <w:rsid w:val="000C099B"/>
    <w:rsid w:val="000C0A4A"/>
    <w:rsid w:val="000C0A6B"/>
    <w:rsid w:val="000C0C45"/>
    <w:rsid w:val="000C0E3B"/>
    <w:rsid w:val="000C0F3F"/>
    <w:rsid w:val="000C0FE3"/>
    <w:rsid w:val="000C10CD"/>
    <w:rsid w:val="000C10F0"/>
    <w:rsid w:val="000C1257"/>
    <w:rsid w:val="000C1269"/>
    <w:rsid w:val="000C12A7"/>
    <w:rsid w:val="000C12B4"/>
    <w:rsid w:val="000C1421"/>
    <w:rsid w:val="000C152B"/>
    <w:rsid w:val="000C1BE0"/>
    <w:rsid w:val="000C1D2B"/>
    <w:rsid w:val="000C2019"/>
    <w:rsid w:val="000C2270"/>
    <w:rsid w:val="000C234E"/>
    <w:rsid w:val="000C2465"/>
    <w:rsid w:val="000C24F3"/>
    <w:rsid w:val="000C26C9"/>
    <w:rsid w:val="000C2713"/>
    <w:rsid w:val="000C2A03"/>
    <w:rsid w:val="000C2B6C"/>
    <w:rsid w:val="000C2C09"/>
    <w:rsid w:val="000C3041"/>
    <w:rsid w:val="000C31A3"/>
    <w:rsid w:val="000C31C7"/>
    <w:rsid w:val="000C325A"/>
    <w:rsid w:val="000C3396"/>
    <w:rsid w:val="000C34B0"/>
    <w:rsid w:val="000C3537"/>
    <w:rsid w:val="000C357D"/>
    <w:rsid w:val="000C35FF"/>
    <w:rsid w:val="000C37DE"/>
    <w:rsid w:val="000C381A"/>
    <w:rsid w:val="000C387B"/>
    <w:rsid w:val="000C390C"/>
    <w:rsid w:val="000C3DDC"/>
    <w:rsid w:val="000C3EB1"/>
    <w:rsid w:val="000C4022"/>
    <w:rsid w:val="000C40B1"/>
    <w:rsid w:val="000C4134"/>
    <w:rsid w:val="000C4189"/>
    <w:rsid w:val="000C431C"/>
    <w:rsid w:val="000C4594"/>
    <w:rsid w:val="000C45B1"/>
    <w:rsid w:val="000C4986"/>
    <w:rsid w:val="000C4F82"/>
    <w:rsid w:val="000C505D"/>
    <w:rsid w:val="000C50D6"/>
    <w:rsid w:val="000C5167"/>
    <w:rsid w:val="000C54C5"/>
    <w:rsid w:val="000C56CE"/>
    <w:rsid w:val="000C5876"/>
    <w:rsid w:val="000C5AEF"/>
    <w:rsid w:val="000C5D1C"/>
    <w:rsid w:val="000C5D27"/>
    <w:rsid w:val="000C6036"/>
    <w:rsid w:val="000C6042"/>
    <w:rsid w:val="000C629F"/>
    <w:rsid w:val="000C62AA"/>
    <w:rsid w:val="000C62ED"/>
    <w:rsid w:val="000C63A0"/>
    <w:rsid w:val="000C6810"/>
    <w:rsid w:val="000C69DD"/>
    <w:rsid w:val="000C69F4"/>
    <w:rsid w:val="000C6A13"/>
    <w:rsid w:val="000C6EB1"/>
    <w:rsid w:val="000C7016"/>
    <w:rsid w:val="000C70D3"/>
    <w:rsid w:val="000C71A1"/>
    <w:rsid w:val="000C739B"/>
    <w:rsid w:val="000C7449"/>
    <w:rsid w:val="000C7553"/>
    <w:rsid w:val="000C7707"/>
    <w:rsid w:val="000C7BFD"/>
    <w:rsid w:val="000C7C42"/>
    <w:rsid w:val="000C7D6D"/>
    <w:rsid w:val="000C7F9A"/>
    <w:rsid w:val="000D00E2"/>
    <w:rsid w:val="000D01D3"/>
    <w:rsid w:val="000D0272"/>
    <w:rsid w:val="000D03D5"/>
    <w:rsid w:val="000D042E"/>
    <w:rsid w:val="000D04DA"/>
    <w:rsid w:val="000D0680"/>
    <w:rsid w:val="000D0757"/>
    <w:rsid w:val="000D0826"/>
    <w:rsid w:val="000D0961"/>
    <w:rsid w:val="000D0A48"/>
    <w:rsid w:val="000D0AA0"/>
    <w:rsid w:val="000D0BAA"/>
    <w:rsid w:val="000D0E92"/>
    <w:rsid w:val="000D123C"/>
    <w:rsid w:val="000D1245"/>
    <w:rsid w:val="000D132B"/>
    <w:rsid w:val="000D1351"/>
    <w:rsid w:val="000D140D"/>
    <w:rsid w:val="000D14B8"/>
    <w:rsid w:val="000D14E2"/>
    <w:rsid w:val="000D191F"/>
    <w:rsid w:val="000D1996"/>
    <w:rsid w:val="000D1B48"/>
    <w:rsid w:val="000D1B93"/>
    <w:rsid w:val="000D1C8D"/>
    <w:rsid w:val="000D1F36"/>
    <w:rsid w:val="000D2032"/>
    <w:rsid w:val="000D2070"/>
    <w:rsid w:val="000D2231"/>
    <w:rsid w:val="000D23CC"/>
    <w:rsid w:val="000D24E8"/>
    <w:rsid w:val="000D2561"/>
    <w:rsid w:val="000D26CB"/>
    <w:rsid w:val="000D26F5"/>
    <w:rsid w:val="000D2788"/>
    <w:rsid w:val="000D27BC"/>
    <w:rsid w:val="000D282B"/>
    <w:rsid w:val="000D2AA8"/>
    <w:rsid w:val="000D2D3C"/>
    <w:rsid w:val="000D2E3D"/>
    <w:rsid w:val="000D2E96"/>
    <w:rsid w:val="000D2EF3"/>
    <w:rsid w:val="000D306A"/>
    <w:rsid w:val="000D313E"/>
    <w:rsid w:val="000D3184"/>
    <w:rsid w:val="000D31F3"/>
    <w:rsid w:val="000D340D"/>
    <w:rsid w:val="000D3420"/>
    <w:rsid w:val="000D3678"/>
    <w:rsid w:val="000D3877"/>
    <w:rsid w:val="000D3995"/>
    <w:rsid w:val="000D39E7"/>
    <w:rsid w:val="000D3A54"/>
    <w:rsid w:val="000D3A7F"/>
    <w:rsid w:val="000D3A80"/>
    <w:rsid w:val="000D41D7"/>
    <w:rsid w:val="000D41DE"/>
    <w:rsid w:val="000D423D"/>
    <w:rsid w:val="000D4503"/>
    <w:rsid w:val="000D47C5"/>
    <w:rsid w:val="000D485F"/>
    <w:rsid w:val="000D4C4F"/>
    <w:rsid w:val="000D4E1D"/>
    <w:rsid w:val="000D50AD"/>
    <w:rsid w:val="000D50C4"/>
    <w:rsid w:val="000D50F6"/>
    <w:rsid w:val="000D5104"/>
    <w:rsid w:val="000D5286"/>
    <w:rsid w:val="000D52D3"/>
    <w:rsid w:val="000D52E4"/>
    <w:rsid w:val="000D5405"/>
    <w:rsid w:val="000D5427"/>
    <w:rsid w:val="000D5536"/>
    <w:rsid w:val="000D5553"/>
    <w:rsid w:val="000D5556"/>
    <w:rsid w:val="000D555E"/>
    <w:rsid w:val="000D55EA"/>
    <w:rsid w:val="000D56B9"/>
    <w:rsid w:val="000D5C64"/>
    <w:rsid w:val="000D5D3E"/>
    <w:rsid w:val="000D5DAE"/>
    <w:rsid w:val="000D60BB"/>
    <w:rsid w:val="000D64E4"/>
    <w:rsid w:val="000D65BB"/>
    <w:rsid w:val="000D6907"/>
    <w:rsid w:val="000D695B"/>
    <w:rsid w:val="000D6974"/>
    <w:rsid w:val="000D6AED"/>
    <w:rsid w:val="000D6BB0"/>
    <w:rsid w:val="000D6C4A"/>
    <w:rsid w:val="000D6C7B"/>
    <w:rsid w:val="000D6CC3"/>
    <w:rsid w:val="000D6D01"/>
    <w:rsid w:val="000D6D41"/>
    <w:rsid w:val="000D6D4E"/>
    <w:rsid w:val="000D6DCB"/>
    <w:rsid w:val="000D6DE4"/>
    <w:rsid w:val="000D700B"/>
    <w:rsid w:val="000D7032"/>
    <w:rsid w:val="000D7108"/>
    <w:rsid w:val="000D716D"/>
    <w:rsid w:val="000D7255"/>
    <w:rsid w:val="000D72C7"/>
    <w:rsid w:val="000D7411"/>
    <w:rsid w:val="000D7489"/>
    <w:rsid w:val="000D76AE"/>
    <w:rsid w:val="000D779D"/>
    <w:rsid w:val="000D7951"/>
    <w:rsid w:val="000D7B90"/>
    <w:rsid w:val="000D7F31"/>
    <w:rsid w:val="000D7F78"/>
    <w:rsid w:val="000E00DB"/>
    <w:rsid w:val="000E0568"/>
    <w:rsid w:val="000E0783"/>
    <w:rsid w:val="000E07E9"/>
    <w:rsid w:val="000E09BE"/>
    <w:rsid w:val="000E0B08"/>
    <w:rsid w:val="000E0C59"/>
    <w:rsid w:val="000E0C95"/>
    <w:rsid w:val="000E1037"/>
    <w:rsid w:val="000E1420"/>
    <w:rsid w:val="000E1480"/>
    <w:rsid w:val="000E14DD"/>
    <w:rsid w:val="000E181A"/>
    <w:rsid w:val="000E18D9"/>
    <w:rsid w:val="000E1A55"/>
    <w:rsid w:val="000E1B4E"/>
    <w:rsid w:val="000E1B84"/>
    <w:rsid w:val="000E1CA6"/>
    <w:rsid w:val="000E1D71"/>
    <w:rsid w:val="000E2095"/>
    <w:rsid w:val="000E20DE"/>
    <w:rsid w:val="000E2534"/>
    <w:rsid w:val="000E2553"/>
    <w:rsid w:val="000E28B5"/>
    <w:rsid w:val="000E293D"/>
    <w:rsid w:val="000E2C1B"/>
    <w:rsid w:val="000E2CD9"/>
    <w:rsid w:val="000E2D23"/>
    <w:rsid w:val="000E2F15"/>
    <w:rsid w:val="000E2F3A"/>
    <w:rsid w:val="000E31A8"/>
    <w:rsid w:val="000E31D9"/>
    <w:rsid w:val="000E31E6"/>
    <w:rsid w:val="000E332A"/>
    <w:rsid w:val="000E338A"/>
    <w:rsid w:val="000E33B5"/>
    <w:rsid w:val="000E33EA"/>
    <w:rsid w:val="000E36AA"/>
    <w:rsid w:val="000E37E2"/>
    <w:rsid w:val="000E3A78"/>
    <w:rsid w:val="000E3B88"/>
    <w:rsid w:val="000E3D01"/>
    <w:rsid w:val="000E3D33"/>
    <w:rsid w:val="000E3D95"/>
    <w:rsid w:val="000E3DFB"/>
    <w:rsid w:val="000E3E21"/>
    <w:rsid w:val="000E4076"/>
    <w:rsid w:val="000E42AA"/>
    <w:rsid w:val="000E438F"/>
    <w:rsid w:val="000E4454"/>
    <w:rsid w:val="000E450D"/>
    <w:rsid w:val="000E45FC"/>
    <w:rsid w:val="000E485F"/>
    <w:rsid w:val="000E49A3"/>
    <w:rsid w:val="000E4AB1"/>
    <w:rsid w:val="000E4D09"/>
    <w:rsid w:val="000E4E04"/>
    <w:rsid w:val="000E4E44"/>
    <w:rsid w:val="000E4EC0"/>
    <w:rsid w:val="000E4F90"/>
    <w:rsid w:val="000E50A5"/>
    <w:rsid w:val="000E5172"/>
    <w:rsid w:val="000E51B4"/>
    <w:rsid w:val="000E5259"/>
    <w:rsid w:val="000E5287"/>
    <w:rsid w:val="000E52DD"/>
    <w:rsid w:val="000E53D0"/>
    <w:rsid w:val="000E544D"/>
    <w:rsid w:val="000E54AC"/>
    <w:rsid w:val="000E55CD"/>
    <w:rsid w:val="000E55DC"/>
    <w:rsid w:val="000E5BBA"/>
    <w:rsid w:val="000E611D"/>
    <w:rsid w:val="000E61EA"/>
    <w:rsid w:val="000E63DE"/>
    <w:rsid w:val="000E6500"/>
    <w:rsid w:val="000E689C"/>
    <w:rsid w:val="000E68A2"/>
    <w:rsid w:val="000E6963"/>
    <w:rsid w:val="000E69A9"/>
    <w:rsid w:val="000E6B1F"/>
    <w:rsid w:val="000E6B72"/>
    <w:rsid w:val="000E6C4E"/>
    <w:rsid w:val="000E6FD5"/>
    <w:rsid w:val="000E6FE5"/>
    <w:rsid w:val="000E7187"/>
    <w:rsid w:val="000E73DD"/>
    <w:rsid w:val="000E73F1"/>
    <w:rsid w:val="000E7463"/>
    <w:rsid w:val="000E7684"/>
    <w:rsid w:val="000E77B9"/>
    <w:rsid w:val="000E7A73"/>
    <w:rsid w:val="000E7AF2"/>
    <w:rsid w:val="000E7B45"/>
    <w:rsid w:val="000E7E1C"/>
    <w:rsid w:val="000E7E61"/>
    <w:rsid w:val="000E7EDF"/>
    <w:rsid w:val="000E7F8E"/>
    <w:rsid w:val="000E7FA0"/>
    <w:rsid w:val="000F0078"/>
    <w:rsid w:val="000F01F8"/>
    <w:rsid w:val="000F01F9"/>
    <w:rsid w:val="000F0281"/>
    <w:rsid w:val="000F02D9"/>
    <w:rsid w:val="000F044D"/>
    <w:rsid w:val="000F046E"/>
    <w:rsid w:val="000F06E3"/>
    <w:rsid w:val="000F072C"/>
    <w:rsid w:val="000F0761"/>
    <w:rsid w:val="000F08C3"/>
    <w:rsid w:val="000F0972"/>
    <w:rsid w:val="000F0A78"/>
    <w:rsid w:val="000F0A97"/>
    <w:rsid w:val="000F0C3A"/>
    <w:rsid w:val="000F0CF0"/>
    <w:rsid w:val="000F0D7A"/>
    <w:rsid w:val="000F0F8C"/>
    <w:rsid w:val="000F10E0"/>
    <w:rsid w:val="000F124B"/>
    <w:rsid w:val="000F1381"/>
    <w:rsid w:val="000F1795"/>
    <w:rsid w:val="000F1813"/>
    <w:rsid w:val="000F1985"/>
    <w:rsid w:val="000F1BC9"/>
    <w:rsid w:val="000F1C34"/>
    <w:rsid w:val="000F1C45"/>
    <w:rsid w:val="000F1FE1"/>
    <w:rsid w:val="000F20D3"/>
    <w:rsid w:val="000F2294"/>
    <w:rsid w:val="000F2455"/>
    <w:rsid w:val="000F24F4"/>
    <w:rsid w:val="000F27AB"/>
    <w:rsid w:val="000F287F"/>
    <w:rsid w:val="000F28B2"/>
    <w:rsid w:val="000F28DA"/>
    <w:rsid w:val="000F2A66"/>
    <w:rsid w:val="000F2ABE"/>
    <w:rsid w:val="000F2B21"/>
    <w:rsid w:val="000F2C43"/>
    <w:rsid w:val="000F2DF0"/>
    <w:rsid w:val="000F2E75"/>
    <w:rsid w:val="000F2EB4"/>
    <w:rsid w:val="000F2FB6"/>
    <w:rsid w:val="000F308C"/>
    <w:rsid w:val="000F309D"/>
    <w:rsid w:val="000F327E"/>
    <w:rsid w:val="000F32AE"/>
    <w:rsid w:val="000F3479"/>
    <w:rsid w:val="000F3554"/>
    <w:rsid w:val="000F356E"/>
    <w:rsid w:val="000F35F7"/>
    <w:rsid w:val="000F3758"/>
    <w:rsid w:val="000F37F0"/>
    <w:rsid w:val="000F390B"/>
    <w:rsid w:val="000F3B0A"/>
    <w:rsid w:val="000F3BD7"/>
    <w:rsid w:val="000F4142"/>
    <w:rsid w:val="000F425B"/>
    <w:rsid w:val="000F47F9"/>
    <w:rsid w:val="000F47FE"/>
    <w:rsid w:val="000F481C"/>
    <w:rsid w:val="000F483B"/>
    <w:rsid w:val="000F49BB"/>
    <w:rsid w:val="000F4C94"/>
    <w:rsid w:val="000F4DDD"/>
    <w:rsid w:val="000F4EB1"/>
    <w:rsid w:val="000F50FA"/>
    <w:rsid w:val="000F5244"/>
    <w:rsid w:val="000F58FB"/>
    <w:rsid w:val="000F599D"/>
    <w:rsid w:val="000F5A08"/>
    <w:rsid w:val="000F5A90"/>
    <w:rsid w:val="000F5A97"/>
    <w:rsid w:val="000F5BBC"/>
    <w:rsid w:val="000F5C21"/>
    <w:rsid w:val="000F5E5E"/>
    <w:rsid w:val="000F5EC6"/>
    <w:rsid w:val="000F6070"/>
    <w:rsid w:val="000F6103"/>
    <w:rsid w:val="000F62A9"/>
    <w:rsid w:val="000F6302"/>
    <w:rsid w:val="000F6357"/>
    <w:rsid w:val="000F63A5"/>
    <w:rsid w:val="000F649E"/>
    <w:rsid w:val="000F65A5"/>
    <w:rsid w:val="000F678E"/>
    <w:rsid w:val="000F6803"/>
    <w:rsid w:val="000F694F"/>
    <w:rsid w:val="000F6980"/>
    <w:rsid w:val="000F6BAF"/>
    <w:rsid w:val="000F6DE2"/>
    <w:rsid w:val="000F7009"/>
    <w:rsid w:val="000F71FA"/>
    <w:rsid w:val="000F72F1"/>
    <w:rsid w:val="000F74A7"/>
    <w:rsid w:val="000F74EF"/>
    <w:rsid w:val="000F78CD"/>
    <w:rsid w:val="000F7934"/>
    <w:rsid w:val="000F7A01"/>
    <w:rsid w:val="000F7A93"/>
    <w:rsid w:val="000F7A96"/>
    <w:rsid w:val="000F7BAF"/>
    <w:rsid w:val="000F7EA3"/>
    <w:rsid w:val="000F7F02"/>
    <w:rsid w:val="000F7F0F"/>
    <w:rsid w:val="000F7F2D"/>
    <w:rsid w:val="000F7F68"/>
    <w:rsid w:val="000F7FB3"/>
    <w:rsid w:val="00100084"/>
    <w:rsid w:val="00100107"/>
    <w:rsid w:val="0010018D"/>
    <w:rsid w:val="001001BD"/>
    <w:rsid w:val="001001E7"/>
    <w:rsid w:val="001002C0"/>
    <w:rsid w:val="001003EA"/>
    <w:rsid w:val="0010061A"/>
    <w:rsid w:val="00100652"/>
    <w:rsid w:val="00100807"/>
    <w:rsid w:val="00100947"/>
    <w:rsid w:val="00100A23"/>
    <w:rsid w:val="00100A9F"/>
    <w:rsid w:val="00100BF1"/>
    <w:rsid w:val="00100C62"/>
    <w:rsid w:val="00100E98"/>
    <w:rsid w:val="00101107"/>
    <w:rsid w:val="00101127"/>
    <w:rsid w:val="00101204"/>
    <w:rsid w:val="0010122F"/>
    <w:rsid w:val="0010131C"/>
    <w:rsid w:val="001013BC"/>
    <w:rsid w:val="00101476"/>
    <w:rsid w:val="00101564"/>
    <w:rsid w:val="00101683"/>
    <w:rsid w:val="001017B3"/>
    <w:rsid w:val="00101B97"/>
    <w:rsid w:val="00101D3E"/>
    <w:rsid w:val="00101D97"/>
    <w:rsid w:val="001020B8"/>
    <w:rsid w:val="001023E5"/>
    <w:rsid w:val="0010244B"/>
    <w:rsid w:val="0010251C"/>
    <w:rsid w:val="00102743"/>
    <w:rsid w:val="00102797"/>
    <w:rsid w:val="001027CE"/>
    <w:rsid w:val="0010291D"/>
    <w:rsid w:val="001029E9"/>
    <w:rsid w:val="00102A01"/>
    <w:rsid w:val="00102A81"/>
    <w:rsid w:val="00102C1D"/>
    <w:rsid w:val="00102D5B"/>
    <w:rsid w:val="00103275"/>
    <w:rsid w:val="00103992"/>
    <w:rsid w:val="00103A4F"/>
    <w:rsid w:val="00103AC3"/>
    <w:rsid w:val="00103B4E"/>
    <w:rsid w:val="00103B5E"/>
    <w:rsid w:val="00103DA6"/>
    <w:rsid w:val="00103DE5"/>
    <w:rsid w:val="00103E7F"/>
    <w:rsid w:val="00103ED8"/>
    <w:rsid w:val="00103F78"/>
    <w:rsid w:val="001048C7"/>
    <w:rsid w:val="001048D4"/>
    <w:rsid w:val="001048D6"/>
    <w:rsid w:val="00104ABF"/>
    <w:rsid w:val="00104B99"/>
    <w:rsid w:val="00104BD6"/>
    <w:rsid w:val="00104CD6"/>
    <w:rsid w:val="00104E37"/>
    <w:rsid w:val="00105002"/>
    <w:rsid w:val="00105320"/>
    <w:rsid w:val="0010554C"/>
    <w:rsid w:val="00105763"/>
    <w:rsid w:val="001059DF"/>
    <w:rsid w:val="00105B1C"/>
    <w:rsid w:val="00105B7A"/>
    <w:rsid w:val="00105FE3"/>
    <w:rsid w:val="0010601F"/>
    <w:rsid w:val="001061D5"/>
    <w:rsid w:val="001061FC"/>
    <w:rsid w:val="0010648A"/>
    <w:rsid w:val="00106609"/>
    <w:rsid w:val="00106790"/>
    <w:rsid w:val="001069D7"/>
    <w:rsid w:val="00106C19"/>
    <w:rsid w:val="0010704D"/>
    <w:rsid w:val="00107153"/>
    <w:rsid w:val="00107185"/>
    <w:rsid w:val="00107285"/>
    <w:rsid w:val="0010737B"/>
    <w:rsid w:val="0010748D"/>
    <w:rsid w:val="00107568"/>
    <w:rsid w:val="0010756D"/>
    <w:rsid w:val="0010762B"/>
    <w:rsid w:val="0010770C"/>
    <w:rsid w:val="0010778F"/>
    <w:rsid w:val="001078EF"/>
    <w:rsid w:val="0010791B"/>
    <w:rsid w:val="00107CE5"/>
    <w:rsid w:val="00107CF0"/>
    <w:rsid w:val="00107D2A"/>
    <w:rsid w:val="00107E0B"/>
    <w:rsid w:val="00107E0F"/>
    <w:rsid w:val="00110147"/>
    <w:rsid w:val="001101A8"/>
    <w:rsid w:val="00110541"/>
    <w:rsid w:val="0011062B"/>
    <w:rsid w:val="001106A5"/>
    <w:rsid w:val="00110791"/>
    <w:rsid w:val="00110B85"/>
    <w:rsid w:val="00110E04"/>
    <w:rsid w:val="00110ED2"/>
    <w:rsid w:val="00110EFB"/>
    <w:rsid w:val="00110F40"/>
    <w:rsid w:val="001111D1"/>
    <w:rsid w:val="0011130F"/>
    <w:rsid w:val="0011141A"/>
    <w:rsid w:val="001117B2"/>
    <w:rsid w:val="001117CB"/>
    <w:rsid w:val="0011183E"/>
    <w:rsid w:val="00111860"/>
    <w:rsid w:val="001118D9"/>
    <w:rsid w:val="00111CA4"/>
    <w:rsid w:val="00111CF9"/>
    <w:rsid w:val="00111D2E"/>
    <w:rsid w:val="00111FD0"/>
    <w:rsid w:val="00112078"/>
    <w:rsid w:val="0011208E"/>
    <w:rsid w:val="001121F1"/>
    <w:rsid w:val="001123F0"/>
    <w:rsid w:val="001123F5"/>
    <w:rsid w:val="00112413"/>
    <w:rsid w:val="0011274B"/>
    <w:rsid w:val="00112774"/>
    <w:rsid w:val="0011291C"/>
    <w:rsid w:val="00112B8E"/>
    <w:rsid w:val="00112D08"/>
    <w:rsid w:val="00112E32"/>
    <w:rsid w:val="00112F1E"/>
    <w:rsid w:val="0011308B"/>
    <w:rsid w:val="001130FC"/>
    <w:rsid w:val="0011334D"/>
    <w:rsid w:val="00113550"/>
    <w:rsid w:val="0011373B"/>
    <w:rsid w:val="0011373D"/>
    <w:rsid w:val="001137CD"/>
    <w:rsid w:val="00113F92"/>
    <w:rsid w:val="00113F98"/>
    <w:rsid w:val="00114092"/>
    <w:rsid w:val="001140D3"/>
    <w:rsid w:val="00114124"/>
    <w:rsid w:val="00114147"/>
    <w:rsid w:val="0011425C"/>
    <w:rsid w:val="00114384"/>
    <w:rsid w:val="001144D3"/>
    <w:rsid w:val="00114673"/>
    <w:rsid w:val="0011473B"/>
    <w:rsid w:val="00114803"/>
    <w:rsid w:val="00114871"/>
    <w:rsid w:val="00114C5C"/>
    <w:rsid w:val="00114C8D"/>
    <w:rsid w:val="00114CD2"/>
    <w:rsid w:val="00114E4B"/>
    <w:rsid w:val="00114EF5"/>
    <w:rsid w:val="0011504B"/>
    <w:rsid w:val="001150B4"/>
    <w:rsid w:val="001151E5"/>
    <w:rsid w:val="00115256"/>
    <w:rsid w:val="0011566B"/>
    <w:rsid w:val="001156A4"/>
    <w:rsid w:val="001156DE"/>
    <w:rsid w:val="001157A2"/>
    <w:rsid w:val="001158B6"/>
    <w:rsid w:val="001159A6"/>
    <w:rsid w:val="00115D7B"/>
    <w:rsid w:val="00115D93"/>
    <w:rsid w:val="00115F68"/>
    <w:rsid w:val="001160F5"/>
    <w:rsid w:val="001161EE"/>
    <w:rsid w:val="0011629C"/>
    <w:rsid w:val="0011630A"/>
    <w:rsid w:val="00116401"/>
    <w:rsid w:val="0011646C"/>
    <w:rsid w:val="00116580"/>
    <w:rsid w:val="0011659B"/>
    <w:rsid w:val="001165E6"/>
    <w:rsid w:val="001167E4"/>
    <w:rsid w:val="00116957"/>
    <w:rsid w:val="00116E0D"/>
    <w:rsid w:val="00116E36"/>
    <w:rsid w:val="00116E61"/>
    <w:rsid w:val="00116EEF"/>
    <w:rsid w:val="00117020"/>
    <w:rsid w:val="00117117"/>
    <w:rsid w:val="0011713A"/>
    <w:rsid w:val="001174DB"/>
    <w:rsid w:val="00117613"/>
    <w:rsid w:val="0011761F"/>
    <w:rsid w:val="00117B30"/>
    <w:rsid w:val="00117B39"/>
    <w:rsid w:val="00117B6D"/>
    <w:rsid w:val="00117C0F"/>
    <w:rsid w:val="00117D0C"/>
    <w:rsid w:val="00117D11"/>
    <w:rsid w:val="00117D46"/>
    <w:rsid w:val="00117D63"/>
    <w:rsid w:val="00117D6A"/>
    <w:rsid w:val="00117D71"/>
    <w:rsid w:val="00117FE3"/>
    <w:rsid w:val="001201AA"/>
    <w:rsid w:val="001203F1"/>
    <w:rsid w:val="00120499"/>
    <w:rsid w:val="00120615"/>
    <w:rsid w:val="00120660"/>
    <w:rsid w:val="001206C4"/>
    <w:rsid w:val="00120707"/>
    <w:rsid w:val="00120732"/>
    <w:rsid w:val="001207D1"/>
    <w:rsid w:val="001207E5"/>
    <w:rsid w:val="00120B30"/>
    <w:rsid w:val="00120CD5"/>
    <w:rsid w:val="00120EBC"/>
    <w:rsid w:val="00120F18"/>
    <w:rsid w:val="00121349"/>
    <w:rsid w:val="0012145D"/>
    <w:rsid w:val="0012156E"/>
    <w:rsid w:val="001216EF"/>
    <w:rsid w:val="001217C9"/>
    <w:rsid w:val="001217DD"/>
    <w:rsid w:val="001218D8"/>
    <w:rsid w:val="00121901"/>
    <w:rsid w:val="0012198F"/>
    <w:rsid w:val="00121A31"/>
    <w:rsid w:val="00121BDE"/>
    <w:rsid w:val="00121C0C"/>
    <w:rsid w:val="00121C91"/>
    <w:rsid w:val="00121D41"/>
    <w:rsid w:val="00121DC9"/>
    <w:rsid w:val="00121E94"/>
    <w:rsid w:val="00121EF5"/>
    <w:rsid w:val="00122011"/>
    <w:rsid w:val="00122062"/>
    <w:rsid w:val="00122068"/>
    <w:rsid w:val="001220CA"/>
    <w:rsid w:val="00122137"/>
    <w:rsid w:val="00122273"/>
    <w:rsid w:val="0012269B"/>
    <w:rsid w:val="00122950"/>
    <w:rsid w:val="0012298C"/>
    <w:rsid w:val="00122A34"/>
    <w:rsid w:val="00122A4C"/>
    <w:rsid w:val="00122D58"/>
    <w:rsid w:val="00122E2E"/>
    <w:rsid w:val="00122E33"/>
    <w:rsid w:val="00122F7E"/>
    <w:rsid w:val="0012301B"/>
    <w:rsid w:val="001231C9"/>
    <w:rsid w:val="001231CA"/>
    <w:rsid w:val="00123592"/>
    <w:rsid w:val="00123644"/>
    <w:rsid w:val="001237F1"/>
    <w:rsid w:val="00123A73"/>
    <w:rsid w:val="00123AE9"/>
    <w:rsid w:val="00123C48"/>
    <w:rsid w:val="00123CE5"/>
    <w:rsid w:val="00124331"/>
    <w:rsid w:val="001243CE"/>
    <w:rsid w:val="001247D8"/>
    <w:rsid w:val="00124982"/>
    <w:rsid w:val="00124AE1"/>
    <w:rsid w:val="00124B10"/>
    <w:rsid w:val="00124B1C"/>
    <w:rsid w:val="00124E45"/>
    <w:rsid w:val="00124FEC"/>
    <w:rsid w:val="0012506A"/>
    <w:rsid w:val="0012544F"/>
    <w:rsid w:val="001255F2"/>
    <w:rsid w:val="00125706"/>
    <w:rsid w:val="001257A8"/>
    <w:rsid w:val="001257A9"/>
    <w:rsid w:val="00125A82"/>
    <w:rsid w:val="00125E48"/>
    <w:rsid w:val="00126252"/>
    <w:rsid w:val="001262D1"/>
    <w:rsid w:val="00126320"/>
    <w:rsid w:val="001264C8"/>
    <w:rsid w:val="00126859"/>
    <w:rsid w:val="001268CA"/>
    <w:rsid w:val="00126A21"/>
    <w:rsid w:val="00126B39"/>
    <w:rsid w:val="00126BED"/>
    <w:rsid w:val="00126DC7"/>
    <w:rsid w:val="00126E0C"/>
    <w:rsid w:val="001274E7"/>
    <w:rsid w:val="00127582"/>
    <w:rsid w:val="00127623"/>
    <w:rsid w:val="0012769E"/>
    <w:rsid w:val="00127746"/>
    <w:rsid w:val="00127973"/>
    <w:rsid w:val="00127D54"/>
    <w:rsid w:val="00127E7C"/>
    <w:rsid w:val="00127EDA"/>
    <w:rsid w:val="00127EF2"/>
    <w:rsid w:val="00127FFA"/>
    <w:rsid w:val="00130282"/>
    <w:rsid w:val="00130437"/>
    <w:rsid w:val="0013053A"/>
    <w:rsid w:val="001306DC"/>
    <w:rsid w:val="0013070A"/>
    <w:rsid w:val="0013077E"/>
    <w:rsid w:val="00130983"/>
    <w:rsid w:val="00130A94"/>
    <w:rsid w:val="00130B57"/>
    <w:rsid w:val="00130EAF"/>
    <w:rsid w:val="00131004"/>
    <w:rsid w:val="0013141C"/>
    <w:rsid w:val="001314C8"/>
    <w:rsid w:val="001318E4"/>
    <w:rsid w:val="0013191B"/>
    <w:rsid w:val="00131924"/>
    <w:rsid w:val="00131D94"/>
    <w:rsid w:val="00131DFF"/>
    <w:rsid w:val="0013215C"/>
    <w:rsid w:val="0013236F"/>
    <w:rsid w:val="00132470"/>
    <w:rsid w:val="001324F8"/>
    <w:rsid w:val="001325B7"/>
    <w:rsid w:val="001326F3"/>
    <w:rsid w:val="00132860"/>
    <w:rsid w:val="00132906"/>
    <w:rsid w:val="0013294D"/>
    <w:rsid w:val="00132AF9"/>
    <w:rsid w:val="00132BB5"/>
    <w:rsid w:val="00132D15"/>
    <w:rsid w:val="00132DB0"/>
    <w:rsid w:val="00132DEB"/>
    <w:rsid w:val="00132F3D"/>
    <w:rsid w:val="0013311B"/>
    <w:rsid w:val="00133141"/>
    <w:rsid w:val="0013315E"/>
    <w:rsid w:val="00133231"/>
    <w:rsid w:val="00133256"/>
    <w:rsid w:val="001334EF"/>
    <w:rsid w:val="001334FD"/>
    <w:rsid w:val="00133653"/>
    <w:rsid w:val="00133764"/>
    <w:rsid w:val="00133979"/>
    <w:rsid w:val="00133D9D"/>
    <w:rsid w:val="00133F12"/>
    <w:rsid w:val="00133F5E"/>
    <w:rsid w:val="001340D8"/>
    <w:rsid w:val="00134197"/>
    <w:rsid w:val="001341D3"/>
    <w:rsid w:val="0013430F"/>
    <w:rsid w:val="0013434B"/>
    <w:rsid w:val="00134588"/>
    <w:rsid w:val="00134879"/>
    <w:rsid w:val="001348AA"/>
    <w:rsid w:val="00134A4A"/>
    <w:rsid w:val="00134A60"/>
    <w:rsid w:val="00134A6C"/>
    <w:rsid w:val="00134AF3"/>
    <w:rsid w:val="00134C6D"/>
    <w:rsid w:val="00134C77"/>
    <w:rsid w:val="00134E62"/>
    <w:rsid w:val="00134E78"/>
    <w:rsid w:val="00134FEB"/>
    <w:rsid w:val="00135358"/>
    <w:rsid w:val="001353C0"/>
    <w:rsid w:val="001353E3"/>
    <w:rsid w:val="001353F8"/>
    <w:rsid w:val="00135491"/>
    <w:rsid w:val="00135493"/>
    <w:rsid w:val="001356F5"/>
    <w:rsid w:val="00135719"/>
    <w:rsid w:val="00135798"/>
    <w:rsid w:val="001358AD"/>
    <w:rsid w:val="00135D90"/>
    <w:rsid w:val="00135ED1"/>
    <w:rsid w:val="00136185"/>
    <w:rsid w:val="00136194"/>
    <w:rsid w:val="00136369"/>
    <w:rsid w:val="001363F9"/>
    <w:rsid w:val="0013648C"/>
    <w:rsid w:val="001365D7"/>
    <w:rsid w:val="001365DB"/>
    <w:rsid w:val="00136737"/>
    <w:rsid w:val="00136757"/>
    <w:rsid w:val="00136924"/>
    <w:rsid w:val="00136A1E"/>
    <w:rsid w:val="00136AE6"/>
    <w:rsid w:val="00136B87"/>
    <w:rsid w:val="00136BB3"/>
    <w:rsid w:val="00136CF1"/>
    <w:rsid w:val="00136F14"/>
    <w:rsid w:val="00136F2F"/>
    <w:rsid w:val="00137116"/>
    <w:rsid w:val="001372C9"/>
    <w:rsid w:val="0013734E"/>
    <w:rsid w:val="00137538"/>
    <w:rsid w:val="00137686"/>
    <w:rsid w:val="0013777C"/>
    <w:rsid w:val="001377FC"/>
    <w:rsid w:val="0013783D"/>
    <w:rsid w:val="00137C53"/>
    <w:rsid w:val="00137C55"/>
    <w:rsid w:val="00137D08"/>
    <w:rsid w:val="00137E42"/>
    <w:rsid w:val="00137F4C"/>
    <w:rsid w:val="00140025"/>
    <w:rsid w:val="00140198"/>
    <w:rsid w:val="00140370"/>
    <w:rsid w:val="0014060C"/>
    <w:rsid w:val="00140714"/>
    <w:rsid w:val="001408F4"/>
    <w:rsid w:val="00140925"/>
    <w:rsid w:val="001409BD"/>
    <w:rsid w:val="00140A05"/>
    <w:rsid w:val="00140CBC"/>
    <w:rsid w:val="00140E5E"/>
    <w:rsid w:val="00140E6E"/>
    <w:rsid w:val="00140E92"/>
    <w:rsid w:val="00140ECF"/>
    <w:rsid w:val="0014124C"/>
    <w:rsid w:val="001414F2"/>
    <w:rsid w:val="001415BC"/>
    <w:rsid w:val="0014161C"/>
    <w:rsid w:val="00141804"/>
    <w:rsid w:val="001418B6"/>
    <w:rsid w:val="00141967"/>
    <w:rsid w:val="00141ACA"/>
    <w:rsid w:val="00141B54"/>
    <w:rsid w:val="00141D2F"/>
    <w:rsid w:val="00141D36"/>
    <w:rsid w:val="00141F2E"/>
    <w:rsid w:val="001421CF"/>
    <w:rsid w:val="001422A6"/>
    <w:rsid w:val="0014279D"/>
    <w:rsid w:val="00142852"/>
    <w:rsid w:val="00142B5A"/>
    <w:rsid w:val="00142F05"/>
    <w:rsid w:val="00143045"/>
    <w:rsid w:val="0014312D"/>
    <w:rsid w:val="001432EF"/>
    <w:rsid w:val="00143357"/>
    <w:rsid w:val="00143457"/>
    <w:rsid w:val="00143512"/>
    <w:rsid w:val="00143526"/>
    <w:rsid w:val="00143542"/>
    <w:rsid w:val="0014374B"/>
    <w:rsid w:val="001437E7"/>
    <w:rsid w:val="00143944"/>
    <w:rsid w:val="00143947"/>
    <w:rsid w:val="00143998"/>
    <w:rsid w:val="00143B96"/>
    <w:rsid w:val="00143D66"/>
    <w:rsid w:val="00143D88"/>
    <w:rsid w:val="00143F12"/>
    <w:rsid w:val="00143F78"/>
    <w:rsid w:val="00143F97"/>
    <w:rsid w:val="00143FAF"/>
    <w:rsid w:val="00143FB2"/>
    <w:rsid w:val="001440D3"/>
    <w:rsid w:val="00144163"/>
    <w:rsid w:val="001441DB"/>
    <w:rsid w:val="0014433C"/>
    <w:rsid w:val="0014448E"/>
    <w:rsid w:val="001444C5"/>
    <w:rsid w:val="00144595"/>
    <w:rsid w:val="001446B2"/>
    <w:rsid w:val="001449D4"/>
    <w:rsid w:val="00144A78"/>
    <w:rsid w:val="00144BC6"/>
    <w:rsid w:val="00144BD3"/>
    <w:rsid w:val="00144CE2"/>
    <w:rsid w:val="00144E10"/>
    <w:rsid w:val="00144E47"/>
    <w:rsid w:val="00144EC2"/>
    <w:rsid w:val="00144F75"/>
    <w:rsid w:val="00145088"/>
    <w:rsid w:val="00145290"/>
    <w:rsid w:val="001453F1"/>
    <w:rsid w:val="0014541E"/>
    <w:rsid w:val="00145487"/>
    <w:rsid w:val="00145523"/>
    <w:rsid w:val="00145573"/>
    <w:rsid w:val="00145600"/>
    <w:rsid w:val="00145673"/>
    <w:rsid w:val="001456EE"/>
    <w:rsid w:val="001458DD"/>
    <w:rsid w:val="00145942"/>
    <w:rsid w:val="001459B7"/>
    <w:rsid w:val="00145AEC"/>
    <w:rsid w:val="00145D64"/>
    <w:rsid w:val="00145E95"/>
    <w:rsid w:val="00145E98"/>
    <w:rsid w:val="00145F63"/>
    <w:rsid w:val="0014608F"/>
    <w:rsid w:val="00146101"/>
    <w:rsid w:val="00146274"/>
    <w:rsid w:val="00146362"/>
    <w:rsid w:val="001463CC"/>
    <w:rsid w:val="00146457"/>
    <w:rsid w:val="001464EF"/>
    <w:rsid w:val="0014655A"/>
    <w:rsid w:val="00146567"/>
    <w:rsid w:val="001465E7"/>
    <w:rsid w:val="0014664C"/>
    <w:rsid w:val="00146A38"/>
    <w:rsid w:val="00146C7A"/>
    <w:rsid w:val="00146DF4"/>
    <w:rsid w:val="00146E19"/>
    <w:rsid w:val="00147100"/>
    <w:rsid w:val="0014712C"/>
    <w:rsid w:val="0014716F"/>
    <w:rsid w:val="00147365"/>
    <w:rsid w:val="001474C1"/>
    <w:rsid w:val="001478C6"/>
    <w:rsid w:val="00147BC2"/>
    <w:rsid w:val="00147F75"/>
    <w:rsid w:val="00147F85"/>
    <w:rsid w:val="00147FDB"/>
    <w:rsid w:val="00150203"/>
    <w:rsid w:val="00150360"/>
    <w:rsid w:val="0015041F"/>
    <w:rsid w:val="00150445"/>
    <w:rsid w:val="0015060E"/>
    <w:rsid w:val="00150943"/>
    <w:rsid w:val="001509D6"/>
    <w:rsid w:val="00150D34"/>
    <w:rsid w:val="00150D54"/>
    <w:rsid w:val="00150F5C"/>
    <w:rsid w:val="00150FE6"/>
    <w:rsid w:val="0015104A"/>
    <w:rsid w:val="0015106F"/>
    <w:rsid w:val="00151149"/>
    <w:rsid w:val="00151457"/>
    <w:rsid w:val="001514C6"/>
    <w:rsid w:val="0015164E"/>
    <w:rsid w:val="00151785"/>
    <w:rsid w:val="00151B6F"/>
    <w:rsid w:val="0015203B"/>
    <w:rsid w:val="00152078"/>
    <w:rsid w:val="00152136"/>
    <w:rsid w:val="00152489"/>
    <w:rsid w:val="00152641"/>
    <w:rsid w:val="001526BF"/>
    <w:rsid w:val="001526E3"/>
    <w:rsid w:val="0015285D"/>
    <w:rsid w:val="00152B86"/>
    <w:rsid w:val="00152CBA"/>
    <w:rsid w:val="00152E60"/>
    <w:rsid w:val="00152FBD"/>
    <w:rsid w:val="001531EF"/>
    <w:rsid w:val="0015335A"/>
    <w:rsid w:val="0015341A"/>
    <w:rsid w:val="00153501"/>
    <w:rsid w:val="001536FC"/>
    <w:rsid w:val="0015375B"/>
    <w:rsid w:val="0015395B"/>
    <w:rsid w:val="00153A8E"/>
    <w:rsid w:val="00153AA8"/>
    <w:rsid w:val="00153B2E"/>
    <w:rsid w:val="00153B92"/>
    <w:rsid w:val="00153D2A"/>
    <w:rsid w:val="00153E0B"/>
    <w:rsid w:val="00153F16"/>
    <w:rsid w:val="00153F20"/>
    <w:rsid w:val="00153F22"/>
    <w:rsid w:val="00153FE3"/>
    <w:rsid w:val="00153FFA"/>
    <w:rsid w:val="00154280"/>
    <w:rsid w:val="001542F1"/>
    <w:rsid w:val="001542F6"/>
    <w:rsid w:val="001543BB"/>
    <w:rsid w:val="00154468"/>
    <w:rsid w:val="0015449C"/>
    <w:rsid w:val="00154608"/>
    <w:rsid w:val="00154658"/>
    <w:rsid w:val="001548CA"/>
    <w:rsid w:val="00154B53"/>
    <w:rsid w:val="00154BFB"/>
    <w:rsid w:val="00154DD8"/>
    <w:rsid w:val="00154E5E"/>
    <w:rsid w:val="00154EEA"/>
    <w:rsid w:val="00154F3A"/>
    <w:rsid w:val="0015501D"/>
    <w:rsid w:val="00155082"/>
    <w:rsid w:val="001550E8"/>
    <w:rsid w:val="00155103"/>
    <w:rsid w:val="001551A2"/>
    <w:rsid w:val="001551FD"/>
    <w:rsid w:val="00155202"/>
    <w:rsid w:val="001553BA"/>
    <w:rsid w:val="001554A7"/>
    <w:rsid w:val="001557B6"/>
    <w:rsid w:val="001558D3"/>
    <w:rsid w:val="00155982"/>
    <w:rsid w:val="00155DD6"/>
    <w:rsid w:val="00156057"/>
    <w:rsid w:val="00156233"/>
    <w:rsid w:val="00156355"/>
    <w:rsid w:val="00156450"/>
    <w:rsid w:val="00156462"/>
    <w:rsid w:val="0015656E"/>
    <w:rsid w:val="001568EE"/>
    <w:rsid w:val="00156917"/>
    <w:rsid w:val="0015699B"/>
    <w:rsid w:val="00156AFC"/>
    <w:rsid w:val="00156B2F"/>
    <w:rsid w:val="00156BC7"/>
    <w:rsid w:val="00156BE0"/>
    <w:rsid w:val="00156CB3"/>
    <w:rsid w:val="00156DAF"/>
    <w:rsid w:val="00156F8D"/>
    <w:rsid w:val="001572F1"/>
    <w:rsid w:val="0015743B"/>
    <w:rsid w:val="00157526"/>
    <w:rsid w:val="0015756D"/>
    <w:rsid w:val="001579BD"/>
    <w:rsid w:val="00157A31"/>
    <w:rsid w:val="00157A41"/>
    <w:rsid w:val="00157AFD"/>
    <w:rsid w:val="00157B7C"/>
    <w:rsid w:val="00157D0C"/>
    <w:rsid w:val="00157E3F"/>
    <w:rsid w:val="00157FAF"/>
    <w:rsid w:val="0016001A"/>
    <w:rsid w:val="0016019E"/>
    <w:rsid w:val="001601DB"/>
    <w:rsid w:val="0016021F"/>
    <w:rsid w:val="0016037A"/>
    <w:rsid w:val="001603CA"/>
    <w:rsid w:val="001607B4"/>
    <w:rsid w:val="001608FF"/>
    <w:rsid w:val="001609CF"/>
    <w:rsid w:val="00160ABD"/>
    <w:rsid w:val="00160BA5"/>
    <w:rsid w:val="00160C1F"/>
    <w:rsid w:val="00160E2C"/>
    <w:rsid w:val="00160EF6"/>
    <w:rsid w:val="00160F44"/>
    <w:rsid w:val="00160FE6"/>
    <w:rsid w:val="0016108D"/>
    <w:rsid w:val="0016128D"/>
    <w:rsid w:val="00161419"/>
    <w:rsid w:val="00161620"/>
    <w:rsid w:val="001616F2"/>
    <w:rsid w:val="00161723"/>
    <w:rsid w:val="0016181C"/>
    <w:rsid w:val="0016186B"/>
    <w:rsid w:val="00161AC6"/>
    <w:rsid w:val="00161AE0"/>
    <w:rsid w:val="00161BB2"/>
    <w:rsid w:val="00161C60"/>
    <w:rsid w:val="00161C6D"/>
    <w:rsid w:val="00161D72"/>
    <w:rsid w:val="00161D7E"/>
    <w:rsid w:val="00161D8E"/>
    <w:rsid w:val="00161EFC"/>
    <w:rsid w:val="00161EFD"/>
    <w:rsid w:val="00162379"/>
    <w:rsid w:val="001623DC"/>
    <w:rsid w:val="0016261C"/>
    <w:rsid w:val="00162748"/>
    <w:rsid w:val="0016279A"/>
    <w:rsid w:val="001627EC"/>
    <w:rsid w:val="00162859"/>
    <w:rsid w:val="0016288C"/>
    <w:rsid w:val="00162896"/>
    <w:rsid w:val="00162D04"/>
    <w:rsid w:val="00162E69"/>
    <w:rsid w:val="00162F2B"/>
    <w:rsid w:val="001631F3"/>
    <w:rsid w:val="0016323D"/>
    <w:rsid w:val="00163359"/>
    <w:rsid w:val="001639B8"/>
    <w:rsid w:val="00163AD5"/>
    <w:rsid w:val="00163DEF"/>
    <w:rsid w:val="00163EB9"/>
    <w:rsid w:val="001640C0"/>
    <w:rsid w:val="00164117"/>
    <w:rsid w:val="00164207"/>
    <w:rsid w:val="0016443F"/>
    <w:rsid w:val="001646CA"/>
    <w:rsid w:val="001647E9"/>
    <w:rsid w:val="001650CB"/>
    <w:rsid w:val="001650D0"/>
    <w:rsid w:val="00165237"/>
    <w:rsid w:val="001653D8"/>
    <w:rsid w:val="001653E5"/>
    <w:rsid w:val="00165427"/>
    <w:rsid w:val="001654A3"/>
    <w:rsid w:val="001657BA"/>
    <w:rsid w:val="00165989"/>
    <w:rsid w:val="00165A3D"/>
    <w:rsid w:val="00165B22"/>
    <w:rsid w:val="00165BB3"/>
    <w:rsid w:val="00165CB4"/>
    <w:rsid w:val="00165E13"/>
    <w:rsid w:val="00165ED5"/>
    <w:rsid w:val="00165FCA"/>
    <w:rsid w:val="00166034"/>
    <w:rsid w:val="0016615E"/>
    <w:rsid w:val="001663F8"/>
    <w:rsid w:val="001664D0"/>
    <w:rsid w:val="001665E4"/>
    <w:rsid w:val="001666C3"/>
    <w:rsid w:val="001666C8"/>
    <w:rsid w:val="00166703"/>
    <w:rsid w:val="00166984"/>
    <w:rsid w:val="00166A17"/>
    <w:rsid w:val="00166B5F"/>
    <w:rsid w:val="00166DB0"/>
    <w:rsid w:val="00166DC4"/>
    <w:rsid w:val="00166F33"/>
    <w:rsid w:val="0016711C"/>
    <w:rsid w:val="00167382"/>
    <w:rsid w:val="00167428"/>
    <w:rsid w:val="0016751F"/>
    <w:rsid w:val="00167738"/>
    <w:rsid w:val="00167787"/>
    <w:rsid w:val="00167888"/>
    <w:rsid w:val="00167AA5"/>
    <w:rsid w:val="00167AAF"/>
    <w:rsid w:val="00167C3F"/>
    <w:rsid w:val="00167DCF"/>
    <w:rsid w:val="00167E3E"/>
    <w:rsid w:val="00170239"/>
    <w:rsid w:val="00170335"/>
    <w:rsid w:val="001703E3"/>
    <w:rsid w:val="00170526"/>
    <w:rsid w:val="0017053C"/>
    <w:rsid w:val="001706E9"/>
    <w:rsid w:val="001708A8"/>
    <w:rsid w:val="00170B07"/>
    <w:rsid w:val="00170B42"/>
    <w:rsid w:val="00170FBF"/>
    <w:rsid w:val="0017107F"/>
    <w:rsid w:val="001710B2"/>
    <w:rsid w:val="00171310"/>
    <w:rsid w:val="00171348"/>
    <w:rsid w:val="001714B4"/>
    <w:rsid w:val="00171519"/>
    <w:rsid w:val="001715D2"/>
    <w:rsid w:val="0017168D"/>
    <w:rsid w:val="00171722"/>
    <w:rsid w:val="00171863"/>
    <w:rsid w:val="001718C7"/>
    <w:rsid w:val="00171988"/>
    <w:rsid w:val="00171BA7"/>
    <w:rsid w:val="00171EA1"/>
    <w:rsid w:val="00171FB7"/>
    <w:rsid w:val="00172032"/>
    <w:rsid w:val="00172173"/>
    <w:rsid w:val="001721B3"/>
    <w:rsid w:val="0017234D"/>
    <w:rsid w:val="001725A9"/>
    <w:rsid w:val="001725B1"/>
    <w:rsid w:val="00172625"/>
    <w:rsid w:val="001726D4"/>
    <w:rsid w:val="001729EF"/>
    <w:rsid w:val="00172A78"/>
    <w:rsid w:val="00172E3E"/>
    <w:rsid w:val="00172E5F"/>
    <w:rsid w:val="00172FA9"/>
    <w:rsid w:val="00173029"/>
    <w:rsid w:val="001730BB"/>
    <w:rsid w:val="00173254"/>
    <w:rsid w:val="00173376"/>
    <w:rsid w:val="001733A7"/>
    <w:rsid w:val="001734A7"/>
    <w:rsid w:val="001734B1"/>
    <w:rsid w:val="0017351C"/>
    <w:rsid w:val="001735E3"/>
    <w:rsid w:val="0017366C"/>
    <w:rsid w:val="0017368E"/>
    <w:rsid w:val="0017387C"/>
    <w:rsid w:val="00173B57"/>
    <w:rsid w:val="00173EAD"/>
    <w:rsid w:val="00174063"/>
    <w:rsid w:val="00174092"/>
    <w:rsid w:val="0017415F"/>
    <w:rsid w:val="0017425C"/>
    <w:rsid w:val="00174392"/>
    <w:rsid w:val="001744D3"/>
    <w:rsid w:val="0017455B"/>
    <w:rsid w:val="00174592"/>
    <w:rsid w:val="001745C3"/>
    <w:rsid w:val="00174696"/>
    <w:rsid w:val="0017469E"/>
    <w:rsid w:val="001746B7"/>
    <w:rsid w:val="00174726"/>
    <w:rsid w:val="001747AF"/>
    <w:rsid w:val="00174826"/>
    <w:rsid w:val="0017485B"/>
    <w:rsid w:val="00174861"/>
    <w:rsid w:val="001749C5"/>
    <w:rsid w:val="00174A18"/>
    <w:rsid w:val="00174E72"/>
    <w:rsid w:val="00174E8E"/>
    <w:rsid w:val="001750EF"/>
    <w:rsid w:val="00175328"/>
    <w:rsid w:val="0017555C"/>
    <w:rsid w:val="00175624"/>
    <w:rsid w:val="00175674"/>
    <w:rsid w:val="0017568D"/>
    <w:rsid w:val="0017571F"/>
    <w:rsid w:val="001758BF"/>
    <w:rsid w:val="00175988"/>
    <w:rsid w:val="0017598F"/>
    <w:rsid w:val="001759B7"/>
    <w:rsid w:val="00175AF9"/>
    <w:rsid w:val="00175B66"/>
    <w:rsid w:val="00175D67"/>
    <w:rsid w:val="0017605C"/>
    <w:rsid w:val="001761F0"/>
    <w:rsid w:val="0017660B"/>
    <w:rsid w:val="00176862"/>
    <w:rsid w:val="0017687C"/>
    <w:rsid w:val="001768A6"/>
    <w:rsid w:val="00176942"/>
    <w:rsid w:val="00176ABA"/>
    <w:rsid w:val="00176E45"/>
    <w:rsid w:val="00177217"/>
    <w:rsid w:val="0017745E"/>
    <w:rsid w:val="001775AD"/>
    <w:rsid w:val="001775B3"/>
    <w:rsid w:val="00177641"/>
    <w:rsid w:val="00177758"/>
    <w:rsid w:val="00177759"/>
    <w:rsid w:val="00177929"/>
    <w:rsid w:val="0017797B"/>
    <w:rsid w:val="00177A1C"/>
    <w:rsid w:val="00177D21"/>
    <w:rsid w:val="00177DEF"/>
    <w:rsid w:val="00177EF5"/>
    <w:rsid w:val="00177F52"/>
    <w:rsid w:val="00177FC7"/>
    <w:rsid w:val="00180091"/>
    <w:rsid w:val="00180274"/>
    <w:rsid w:val="001804C8"/>
    <w:rsid w:val="001806A5"/>
    <w:rsid w:val="001806D2"/>
    <w:rsid w:val="0018075C"/>
    <w:rsid w:val="00180A22"/>
    <w:rsid w:val="00180A40"/>
    <w:rsid w:val="00180C9F"/>
    <w:rsid w:val="00180DAC"/>
    <w:rsid w:val="00180DFE"/>
    <w:rsid w:val="00180E2D"/>
    <w:rsid w:val="00180EE2"/>
    <w:rsid w:val="00180F52"/>
    <w:rsid w:val="00181107"/>
    <w:rsid w:val="0018119F"/>
    <w:rsid w:val="00181295"/>
    <w:rsid w:val="001815AA"/>
    <w:rsid w:val="001816E1"/>
    <w:rsid w:val="001818C8"/>
    <w:rsid w:val="00181986"/>
    <w:rsid w:val="001819B8"/>
    <w:rsid w:val="00181AC9"/>
    <w:rsid w:val="00181F2B"/>
    <w:rsid w:val="00181F6B"/>
    <w:rsid w:val="00181FF5"/>
    <w:rsid w:val="0018236D"/>
    <w:rsid w:val="00182561"/>
    <w:rsid w:val="0018267D"/>
    <w:rsid w:val="001827DA"/>
    <w:rsid w:val="00182A95"/>
    <w:rsid w:val="00182C83"/>
    <w:rsid w:val="00182EC5"/>
    <w:rsid w:val="00182F38"/>
    <w:rsid w:val="001830BF"/>
    <w:rsid w:val="00183181"/>
    <w:rsid w:val="001831AB"/>
    <w:rsid w:val="001831E3"/>
    <w:rsid w:val="001833CC"/>
    <w:rsid w:val="001834C8"/>
    <w:rsid w:val="001834F8"/>
    <w:rsid w:val="0018364F"/>
    <w:rsid w:val="0018386D"/>
    <w:rsid w:val="00183872"/>
    <w:rsid w:val="001838FA"/>
    <w:rsid w:val="00183AC6"/>
    <w:rsid w:val="00183BAE"/>
    <w:rsid w:val="00183CEB"/>
    <w:rsid w:val="00183D03"/>
    <w:rsid w:val="00183DC8"/>
    <w:rsid w:val="00183E9A"/>
    <w:rsid w:val="00183F3B"/>
    <w:rsid w:val="001840B6"/>
    <w:rsid w:val="001841CB"/>
    <w:rsid w:val="0018424F"/>
    <w:rsid w:val="001843BD"/>
    <w:rsid w:val="0018462D"/>
    <w:rsid w:val="0018485E"/>
    <w:rsid w:val="00184AC9"/>
    <w:rsid w:val="00184B5F"/>
    <w:rsid w:val="00184CA0"/>
    <w:rsid w:val="00184EC4"/>
    <w:rsid w:val="00184F26"/>
    <w:rsid w:val="00184F34"/>
    <w:rsid w:val="00184F60"/>
    <w:rsid w:val="00184FA7"/>
    <w:rsid w:val="00185291"/>
    <w:rsid w:val="001855EC"/>
    <w:rsid w:val="00185603"/>
    <w:rsid w:val="00185679"/>
    <w:rsid w:val="001856B2"/>
    <w:rsid w:val="00185830"/>
    <w:rsid w:val="00185899"/>
    <w:rsid w:val="001858B4"/>
    <w:rsid w:val="00185955"/>
    <w:rsid w:val="00185B25"/>
    <w:rsid w:val="00185B89"/>
    <w:rsid w:val="00185C8E"/>
    <w:rsid w:val="00185CB1"/>
    <w:rsid w:val="00185CD6"/>
    <w:rsid w:val="00185EDE"/>
    <w:rsid w:val="0018620E"/>
    <w:rsid w:val="0018621A"/>
    <w:rsid w:val="0018626C"/>
    <w:rsid w:val="0018688B"/>
    <w:rsid w:val="001868BC"/>
    <w:rsid w:val="001869F2"/>
    <w:rsid w:val="00186D32"/>
    <w:rsid w:val="001871AD"/>
    <w:rsid w:val="00187239"/>
    <w:rsid w:val="00187364"/>
    <w:rsid w:val="0018739F"/>
    <w:rsid w:val="00187410"/>
    <w:rsid w:val="001874DD"/>
    <w:rsid w:val="00187510"/>
    <w:rsid w:val="0018795E"/>
    <w:rsid w:val="00187976"/>
    <w:rsid w:val="00187B19"/>
    <w:rsid w:val="0019027B"/>
    <w:rsid w:val="0019032E"/>
    <w:rsid w:val="0019035F"/>
    <w:rsid w:val="00190392"/>
    <w:rsid w:val="001903F2"/>
    <w:rsid w:val="00190637"/>
    <w:rsid w:val="001906BD"/>
    <w:rsid w:val="00190A3D"/>
    <w:rsid w:val="00190BE5"/>
    <w:rsid w:val="00190D38"/>
    <w:rsid w:val="00190D5E"/>
    <w:rsid w:val="00190E3E"/>
    <w:rsid w:val="00191175"/>
    <w:rsid w:val="00191268"/>
    <w:rsid w:val="00191605"/>
    <w:rsid w:val="00191623"/>
    <w:rsid w:val="00191644"/>
    <w:rsid w:val="001916EF"/>
    <w:rsid w:val="00191767"/>
    <w:rsid w:val="001919E0"/>
    <w:rsid w:val="00191B48"/>
    <w:rsid w:val="00191E6E"/>
    <w:rsid w:val="00191F51"/>
    <w:rsid w:val="00191F7D"/>
    <w:rsid w:val="001921E8"/>
    <w:rsid w:val="00192451"/>
    <w:rsid w:val="001925F1"/>
    <w:rsid w:val="001926A6"/>
    <w:rsid w:val="00192710"/>
    <w:rsid w:val="00192714"/>
    <w:rsid w:val="0019280A"/>
    <w:rsid w:val="00192858"/>
    <w:rsid w:val="001929EB"/>
    <w:rsid w:val="00192BD3"/>
    <w:rsid w:val="00192CB2"/>
    <w:rsid w:val="00192E08"/>
    <w:rsid w:val="00192EA5"/>
    <w:rsid w:val="00192F8A"/>
    <w:rsid w:val="00192FA4"/>
    <w:rsid w:val="00193017"/>
    <w:rsid w:val="001930A5"/>
    <w:rsid w:val="0019310D"/>
    <w:rsid w:val="00193130"/>
    <w:rsid w:val="00193185"/>
    <w:rsid w:val="001932AF"/>
    <w:rsid w:val="0019344E"/>
    <w:rsid w:val="00193639"/>
    <w:rsid w:val="00193661"/>
    <w:rsid w:val="00193800"/>
    <w:rsid w:val="0019381F"/>
    <w:rsid w:val="00193AEE"/>
    <w:rsid w:val="00193C6F"/>
    <w:rsid w:val="00193F7B"/>
    <w:rsid w:val="001941CF"/>
    <w:rsid w:val="0019420B"/>
    <w:rsid w:val="0019422E"/>
    <w:rsid w:val="0019444A"/>
    <w:rsid w:val="001945D9"/>
    <w:rsid w:val="001949ED"/>
    <w:rsid w:val="00194A90"/>
    <w:rsid w:val="00194D1B"/>
    <w:rsid w:val="00194E30"/>
    <w:rsid w:val="00195220"/>
    <w:rsid w:val="0019548A"/>
    <w:rsid w:val="001954E2"/>
    <w:rsid w:val="00195729"/>
    <w:rsid w:val="001957E8"/>
    <w:rsid w:val="001958C4"/>
    <w:rsid w:val="00195A62"/>
    <w:rsid w:val="00195B2A"/>
    <w:rsid w:val="00195C21"/>
    <w:rsid w:val="00195D7A"/>
    <w:rsid w:val="00195EE2"/>
    <w:rsid w:val="00195F17"/>
    <w:rsid w:val="00196024"/>
    <w:rsid w:val="00196230"/>
    <w:rsid w:val="0019623B"/>
    <w:rsid w:val="001963E5"/>
    <w:rsid w:val="001963F2"/>
    <w:rsid w:val="001964A3"/>
    <w:rsid w:val="0019654C"/>
    <w:rsid w:val="0019676A"/>
    <w:rsid w:val="00196A08"/>
    <w:rsid w:val="00196AFE"/>
    <w:rsid w:val="00196CA8"/>
    <w:rsid w:val="00196EEC"/>
    <w:rsid w:val="00197111"/>
    <w:rsid w:val="0019759D"/>
    <w:rsid w:val="00197615"/>
    <w:rsid w:val="00197633"/>
    <w:rsid w:val="00197744"/>
    <w:rsid w:val="00197775"/>
    <w:rsid w:val="0019779D"/>
    <w:rsid w:val="001978C6"/>
    <w:rsid w:val="00197A09"/>
    <w:rsid w:val="00197C0F"/>
    <w:rsid w:val="00197C9C"/>
    <w:rsid w:val="001A021E"/>
    <w:rsid w:val="001A034C"/>
    <w:rsid w:val="001A04BB"/>
    <w:rsid w:val="001A0752"/>
    <w:rsid w:val="001A08FE"/>
    <w:rsid w:val="001A0A75"/>
    <w:rsid w:val="001A0BC9"/>
    <w:rsid w:val="001A0D36"/>
    <w:rsid w:val="001A0D50"/>
    <w:rsid w:val="001A0F01"/>
    <w:rsid w:val="001A15B6"/>
    <w:rsid w:val="001A1607"/>
    <w:rsid w:val="001A16DF"/>
    <w:rsid w:val="001A1841"/>
    <w:rsid w:val="001A18AA"/>
    <w:rsid w:val="001A1A60"/>
    <w:rsid w:val="001A1AEA"/>
    <w:rsid w:val="001A1C5F"/>
    <w:rsid w:val="001A2017"/>
    <w:rsid w:val="001A2160"/>
    <w:rsid w:val="001A21AB"/>
    <w:rsid w:val="001A21E7"/>
    <w:rsid w:val="001A2342"/>
    <w:rsid w:val="001A2441"/>
    <w:rsid w:val="001A2466"/>
    <w:rsid w:val="001A2529"/>
    <w:rsid w:val="001A263B"/>
    <w:rsid w:val="001A2692"/>
    <w:rsid w:val="001A2827"/>
    <w:rsid w:val="001A288F"/>
    <w:rsid w:val="001A2B04"/>
    <w:rsid w:val="001A2BE4"/>
    <w:rsid w:val="001A2C21"/>
    <w:rsid w:val="001A2C73"/>
    <w:rsid w:val="001A2D3E"/>
    <w:rsid w:val="001A2DDB"/>
    <w:rsid w:val="001A2E9F"/>
    <w:rsid w:val="001A2F21"/>
    <w:rsid w:val="001A2F9B"/>
    <w:rsid w:val="001A2FC6"/>
    <w:rsid w:val="001A301C"/>
    <w:rsid w:val="001A31E1"/>
    <w:rsid w:val="001A35E6"/>
    <w:rsid w:val="001A393D"/>
    <w:rsid w:val="001A3A5E"/>
    <w:rsid w:val="001A3BE6"/>
    <w:rsid w:val="001A3CDE"/>
    <w:rsid w:val="001A3EA9"/>
    <w:rsid w:val="001A402F"/>
    <w:rsid w:val="001A4186"/>
    <w:rsid w:val="001A41AF"/>
    <w:rsid w:val="001A440F"/>
    <w:rsid w:val="001A48C7"/>
    <w:rsid w:val="001A4D75"/>
    <w:rsid w:val="001A4FAA"/>
    <w:rsid w:val="001A5069"/>
    <w:rsid w:val="001A5142"/>
    <w:rsid w:val="001A516E"/>
    <w:rsid w:val="001A527C"/>
    <w:rsid w:val="001A52B9"/>
    <w:rsid w:val="001A52C7"/>
    <w:rsid w:val="001A5599"/>
    <w:rsid w:val="001A5605"/>
    <w:rsid w:val="001A56F6"/>
    <w:rsid w:val="001A573B"/>
    <w:rsid w:val="001A577E"/>
    <w:rsid w:val="001A58C5"/>
    <w:rsid w:val="001A5937"/>
    <w:rsid w:val="001A596B"/>
    <w:rsid w:val="001A5A00"/>
    <w:rsid w:val="001A5A80"/>
    <w:rsid w:val="001A5A91"/>
    <w:rsid w:val="001A5D9B"/>
    <w:rsid w:val="001A5DA7"/>
    <w:rsid w:val="001A5F72"/>
    <w:rsid w:val="001A5F81"/>
    <w:rsid w:val="001A5FB7"/>
    <w:rsid w:val="001A6604"/>
    <w:rsid w:val="001A671E"/>
    <w:rsid w:val="001A67C1"/>
    <w:rsid w:val="001A67F0"/>
    <w:rsid w:val="001A6935"/>
    <w:rsid w:val="001A6A48"/>
    <w:rsid w:val="001A6B87"/>
    <w:rsid w:val="001A6DF7"/>
    <w:rsid w:val="001A6FB7"/>
    <w:rsid w:val="001A701E"/>
    <w:rsid w:val="001A7186"/>
    <w:rsid w:val="001A73F1"/>
    <w:rsid w:val="001A7564"/>
    <w:rsid w:val="001A7720"/>
    <w:rsid w:val="001A7775"/>
    <w:rsid w:val="001A7794"/>
    <w:rsid w:val="001A7B1C"/>
    <w:rsid w:val="001A7B8B"/>
    <w:rsid w:val="001A7CB4"/>
    <w:rsid w:val="001A7D44"/>
    <w:rsid w:val="001A7DB8"/>
    <w:rsid w:val="001A7EE4"/>
    <w:rsid w:val="001B039C"/>
    <w:rsid w:val="001B04B4"/>
    <w:rsid w:val="001B04FE"/>
    <w:rsid w:val="001B0630"/>
    <w:rsid w:val="001B0A3C"/>
    <w:rsid w:val="001B0A4F"/>
    <w:rsid w:val="001B0B15"/>
    <w:rsid w:val="001B0C3A"/>
    <w:rsid w:val="001B0C65"/>
    <w:rsid w:val="001B0C9F"/>
    <w:rsid w:val="001B110F"/>
    <w:rsid w:val="001B116F"/>
    <w:rsid w:val="001B123C"/>
    <w:rsid w:val="001B13B0"/>
    <w:rsid w:val="001B15F6"/>
    <w:rsid w:val="001B160D"/>
    <w:rsid w:val="001B1672"/>
    <w:rsid w:val="001B169F"/>
    <w:rsid w:val="001B1708"/>
    <w:rsid w:val="001B1A3E"/>
    <w:rsid w:val="001B1A57"/>
    <w:rsid w:val="001B1A9E"/>
    <w:rsid w:val="001B1AE1"/>
    <w:rsid w:val="001B1BA9"/>
    <w:rsid w:val="001B1D6F"/>
    <w:rsid w:val="001B1EFD"/>
    <w:rsid w:val="001B1F2B"/>
    <w:rsid w:val="001B2085"/>
    <w:rsid w:val="001B221F"/>
    <w:rsid w:val="001B22E0"/>
    <w:rsid w:val="001B26DA"/>
    <w:rsid w:val="001B2796"/>
    <w:rsid w:val="001B2949"/>
    <w:rsid w:val="001B2C9A"/>
    <w:rsid w:val="001B2F85"/>
    <w:rsid w:val="001B2F89"/>
    <w:rsid w:val="001B30EA"/>
    <w:rsid w:val="001B3248"/>
    <w:rsid w:val="001B3488"/>
    <w:rsid w:val="001B36AF"/>
    <w:rsid w:val="001B36D8"/>
    <w:rsid w:val="001B372D"/>
    <w:rsid w:val="001B39D9"/>
    <w:rsid w:val="001B3B1B"/>
    <w:rsid w:val="001B3B7A"/>
    <w:rsid w:val="001B3C0C"/>
    <w:rsid w:val="001B3C7A"/>
    <w:rsid w:val="001B3CCD"/>
    <w:rsid w:val="001B3D59"/>
    <w:rsid w:val="001B3DD0"/>
    <w:rsid w:val="001B3DDA"/>
    <w:rsid w:val="001B3E07"/>
    <w:rsid w:val="001B3FB8"/>
    <w:rsid w:val="001B3FCD"/>
    <w:rsid w:val="001B3FFD"/>
    <w:rsid w:val="001B40CB"/>
    <w:rsid w:val="001B4224"/>
    <w:rsid w:val="001B4262"/>
    <w:rsid w:val="001B4334"/>
    <w:rsid w:val="001B448A"/>
    <w:rsid w:val="001B454A"/>
    <w:rsid w:val="001B45BF"/>
    <w:rsid w:val="001B45E8"/>
    <w:rsid w:val="001B46ED"/>
    <w:rsid w:val="001B478A"/>
    <w:rsid w:val="001B483B"/>
    <w:rsid w:val="001B4BCC"/>
    <w:rsid w:val="001B4E7F"/>
    <w:rsid w:val="001B5078"/>
    <w:rsid w:val="001B50C0"/>
    <w:rsid w:val="001B53BB"/>
    <w:rsid w:val="001B5561"/>
    <w:rsid w:val="001B5633"/>
    <w:rsid w:val="001B5871"/>
    <w:rsid w:val="001B5C2C"/>
    <w:rsid w:val="001B5CE4"/>
    <w:rsid w:val="001B5E68"/>
    <w:rsid w:val="001B5EB2"/>
    <w:rsid w:val="001B6061"/>
    <w:rsid w:val="001B63BB"/>
    <w:rsid w:val="001B63D9"/>
    <w:rsid w:val="001B6519"/>
    <w:rsid w:val="001B6582"/>
    <w:rsid w:val="001B6623"/>
    <w:rsid w:val="001B6AB0"/>
    <w:rsid w:val="001B6BC8"/>
    <w:rsid w:val="001B6E5C"/>
    <w:rsid w:val="001B6ED1"/>
    <w:rsid w:val="001B6F23"/>
    <w:rsid w:val="001B707D"/>
    <w:rsid w:val="001B716B"/>
    <w:rsid w:val="001B74F9"/>
    <w:rsid w:val="001B74FF"/>
    <w:rsid w:val="001B76E8"/>
    <w:rsid w:val="001B77E3"/>
    <w:rsid w:val="001B7880"/>
    <w:rsid w:val="001B7991"/>
    <w:rsid w:val="001B7999"/>
    <w:rsid w:val="001B79AD"/>
    <w:rsid w:val="001B7A1F"/>
    <w:rsid w:val="001B7B93"/>
    <w:rsid w:val="001B7B9E"/>
    <w:rsid w:val="001B7C7C"/>
    <w:rsid w:val="001B7C97"/>
    <w:rsid w:val="001B7D52"/>
    <w:rsid w:val="001B7D9B"/>
    <w:rsid w:val="001B7F97"/>
    <w:rsid w:val="001C0009"/>
    <w:rsid w:val="001C0094"/>
    <w:rsid w:val="001C02D2"/>
    <w:rsid w:val="001C0384"/>
    <w:rsid w:val="001C0492"/>
    <w:rsid w:val="001C05D2"/>
    <w:rsid w:val="001C068B"/>
    <w:rsid w:val="001C06DA"/>
    <w:rsid w:val="001C08FC"/>
    <w:rsid w:val="001C0992"/>
    <w:rsid w:val="001C0A39"/>
    <w:rsid w:val="001C0A57"/>
    <w:rsid w:val="001C0AA3"/>
    <w:rsid w:val="001C0D62"/>
    <w:rsid w:val="001C0E79"/>
    <w:rsid w:val="001C1023"/>
    <w:rsid w:val="001C117B"/>
    <w:rsid w:val="001C142B"/>
    <w:rsid w:val="001C16FC"/>
    <w:rsid w:val="001C18E8"/>
    <w:rsid w:val="001C19E5"/>
    <w:rsid w:val="001C1A56"/>
    <w:rsid w:val="001C1A6A"/>
    <w:rsid w:val="001C1BBF"/>
    <w:rsid w:val="001C1CE4"/>
    <w:rsid w:val="001C1D5C"/>
    <w:rsid w:val="001C1E4E"/>
    <w:rsid w:val="001C1F58"/>
    <w:rsid w:val="001C1F9D"/>
    <w:rsid w:val="001C1FA9"/>
    <w:rsid w:val="001C206F"/>
    <w:rsid w:val="001C226D"/>
    <w:rsid w:val="001C262F"/>
    <w:rsid w:val="001C264E"/>
    <w:rsid w:val="001C2715"/>
    <w:rsid w:val="001C295F"/>
    <w:rsid w:val="001C2979"/>
    <w:rsid w:val="001C299A"/>
    <w:rsid w:val="001C2C89"/>
    <w:rsid w:val="001C2F6C"/>
    <w:rsid w:val="001C3100"/>
    <w:rsid w:val="001C3155"/>
    <w:rsid w:val="001C3563"/>
    <w:rsid w:val="001C3582"/>
    <w:rsid w:val="001C35F0"/>
    <w:rsid w:val="001C36DC"/>
    <w:rsid w:val="001C36F0"/>
    <w:rsid w:val="001C36F8"/>
    <w:rsid w:val="001C378A"/>
    <w:rsid w:val="001C37D1"/>
    <w:rsid w:val="001C3828"/>
    <w:rsid w:val="001C3925"/>
    <w:rsid w:val="001C394E"/>
    <w:rsid w:val="001C3AFC"/>
    <w:rsid w:val="001C3B0E"/>
    <w:rsid w:val="001C3B9A"/>
    <w:rsid w:val="001C3D67"/>
    <w:rsid w:val="001C3E95"/>
    <w:rsid w:val="001C3F54"/>
    <w:rsid w:val="001C3F9D"/>
    <w:rsid w:val="001C3FA6"/>
    <w:rsid w:val="001C4141"/>
    <w:rsid w:val="001C4192"/>
    <w:rsid w:val="001C4240"/>
    <w:rsid w:val="001C42D2"/>
    <w:rsid w:val="001C42F1"/>
    <w:rsid w:val="001C479A"/>
    <w:rsid w:val="001C488C"/>
    <w:rsid w:val="001C4B93"/>
    <w:rsid w:val="001C4BAC"/>
    <w:rsid w:val="001C4D59"/>
    <w:rsid w:val="001C4FED"/>
    <w:rsid w:val="001C505B"/>
    <w:rsid w:val="001C50FA"/>
    <w:rsid w:val="001C5171"/>
    <w:rsid w:val="001C517E"/>
    <w:rsid w:val="001C531F"/>
    <w:rsid w:val="001C534A"/>
    <w:rsid w:val="001C54BD"/>
    <w:rsid w:val="001C56B6"/>
    <w:rsid w:val="001C577C"/>
    <w:rsid w:val="001C5806"/>
    <w:rsid w:val="001C5A61"/>
    <w:rsid w:val="001C5B27"/>
    <w:rsid w:val="001C5D93"/>
    <w:rsid w:val="001C5E40"/>
    <w:rsid w:val="001C6378"/>
    <w:rsid w:val="001C640D"/>
    <w:rsid w:val="001C64B9"/>
    <w:rsid w:val="001C64D3"/>
    <w:rsid w:val="001C6888"/>
    <w:rsid w:val="001C68EF"/>
    <w:rsid w:val="001C69E5"/>
    <w:rsid w:val="001C6A19"/>
    <w:rsid w:val="001C6BF5"/>
    <w:rsid w:val="001C6BF6"/>
    <w:rsid w:val="001C6C39"/>
    <w:rsid w:val="001C6CB0"/>
    <w:rsid w:val="001C6DE1"/>
    <w:rsid w:val="001C6E30"/>
    <w:rsid w:val="001C6E53"/>
    <w:rsid w:val="001C6E9A"/>
    <w:rsid w:val="001C6FE7"/>
    <w:rsid w:val="001C71C6"/>
    <w:rsid w:val="001C71EC"/>
    <w:rsid w:val="001C7230"/>
    <w:rsid w:val="001C72EB"/>
    <w:rsid w:val="001C7326"/>
    <w:rsid w:val="001C73B2"/>
    <w:rsid w:val="001C7503"/>
    <w:rsid w:val="001C75AE"/>
    <w:rsid w:val="001C7AB6"/>
    <w:rsid w:val="001C7C01"/>
    <w:rsid w:val="001C7F62"/>
    <w:rsid w:val="001D001D"/>
    <w:rsid w:val="001D010B"/>
    <w:rsid w:val="001D015D"/>
    <w:rsid w:val="001D0289"/>
    <w:rsid w:val="001D04E3"/>
    <w:rsid w:val="001D0505"/>
    <w:rsid w:val="001D06A8"/>
    <w:rsid w:val="001D06C8"/>
    <w:rsid w:val="001D0836"/>
    <w:rsid w:val="001D096F"/>
    <w:rsid w:val="001D0AF3"/>
    <w:rsid w:val="001D0C2C"/>
    <w:rsid w:val="001D0CD3"/>
    <w:rsid w:val="001D0D56"/>
    <w:rsid w:val="001D0EF5"/>
    <w:rsid w:val="001D1266"/>
    <w:rsid w:val="001D188A"/>
    <w:rsid w:val="001D1C90"/>
    <w:rsid w:val="001D1CD1"/>
    <w:rsid w:val="001D1DF4"/>
    <w:rsid w:val="001D1ED8"/>
    <w:rsid w:val="001D1EF8"/>
    <w:rsid w:val="001D1F73"/>
    <w:rsid w:val="001D2038"/>
    <w:rsid w:val="001D23F2"/>
    <w:rsid w:val="001D2495"/>
    <w:rsid w:val="001D2505"/>
    <w:rsid w:val="001D27A5"/>
    <w:rsid w:val="001D27CC"/>
    <w:rsid w:val="001D2834"/>
    <w:rsid w:val="001D290B"/>
    <w:rsid w:val="001D2CD1"/>
    <w:rsid w:val="001D2ED4"/>
    <w:rsid w:val="001D2EF6"/>
    <w:rsid w:val="001D308B"/>
    <w:rsid w:val="001D30D3"/>
    <w:rsid w:val="001D3350"/>
    <w:rsid w:val="001D3396"/>
    <w:rsid w:val="001D3525"/>
    <w:rsid w:val="001D35A6"/>
    <w:rsid w:val="001D3615"/>
    <w:rsid w:val="001D368D"/>
    <w:rsid w:val="001D375A"/>
    <w:rsid w:val="001D3827"/>
    <w:rsid w:val="001D385B"/>
    <w:rsid w:val="001D3979"/>
    <w:rsid w:val="001D3A49"/>
    <w:rsid w:val="001D3A70"/>
    <w:rsid w:val="001D3B5C"/>
    <w:rsid w:val="001D3BD2"/>
    <w:rsid w:val="001D3C91"/>
    <w:rsid w:val="001D3D3D"/>
    <w:rsid w:val="001D3E0C"/>
    <w:rsid w:val="001D3E62"/>
    <w:rsid w:val="001D409F"/>
    <w:rsid w:val="001D4211"/>
    <w:rsid w:val="001D4317"/>
    <w:rsid w:val="001D4352"/>
    <w:rsid w:val="001D45C3"/>
    <w:rsid w:val="001D46E4"/>
    <w:rsid w:val="001D47C7"/>
    <w:rsid w:val="001D481B"/>
    <w:rsid w:val="001D4963"/>
    <w:rsid w:val="001D4AED"/>
    <w:rsid w:val="001D4D00"/>
    <w:rsid w:val="001D4DB4"/>
    <w:rsid w:val="001D4E54"/>
    <w:rsid w:val="001D502F"/>
    <w:rsid w:val="001D511D"/>
    <w:rsid w:val="001D5547"/>
    <w:rsid w:val="001D55C9"/>
    <w:rsid w:val="001D5803"/>
    <w:rsid w:val="001D587F"/>
    <w:rsid w:val="001D596D"/>
    <w:rsid w:val="001D5A76"/>
    <w:rsid w:val="001D5ACB"/>
    <w:rsid w:val="001D5ADA"/>
    <w:rsid w:val="001D5AE5"/>
    <w:rsid w:val="001D5B65"/>
    <w:rsid w:val="001D5BAE"/>
    <w:rsid w:val="001D5DDA"/>
    <w:rsid w:val="001D5F5F"/>
    <w:rsid w:val="001D6050"/>
    <w:rsid w:val="001D6223"/>
    <w:rsid w:val="001D6613"/>
    <w:rsid w:val="001D6BA4"/>
    <w:rsid w:val="001D6C20"/>
    <w:rsid w:val="001D6DFA"/>
    <w:rsid w:val="001D6FDE"/>
    <w:rsid w:val="001D706C"/>
    <w:rsid w:val="001D711D"/>
    <w:rsid w:val="001D7324"/>
    <w:rsid w:val="001D7511"/>
    <w:rsid w:val="001D7767"/>
    <w:rsid w:val="001D77AA"/>
    <w:rsid w:val="001D79D9"/>
    <w:rsid w:val="001D7B06"/>
    <w:rsid w:val="001D7B4E"/>
    <w:rsid w:val="001D7C07"/>
    <w:rsid w:val="001D7DFC"/>
    <w:rsid w:val="001D7E25"/>
    <w:rsid w:val="001D7E64"/>
    <w:rsid w:val="001D7F43"/>
    <w:rsid w:val="001D7FF7"/>
    <w:rsid w:val="001E00AE"/>
    <w:rsid w:val="001E0144"/>
    <w:rsid w:val="001E04AC"/>
    <w:rsid w:val="001E068C"/>
    <w:rsid w:val="001E0787"/>
    <w:rsid w:val="001E09EF"/>
    <w:rsid w:val="001E0D77"/>
    <w:rsid w:val="001E0E49"/>
    <w:rsid w:val="001E0EBB"/>
    <w:rsid w:val="001E114D"/>
    <w:rsid w:val="001E1489"/>
    <w:rsid w:val="001E1670"/>
    <w:rsid w:val="001E16A8"/>
    <w:rsid w:val="001E1715"/>
    <w:rsid w:val="001E1755"/>
    <w:rsid w:val="001E18E3"/>
    <w:rsid w:val="001E1AF7"/>
    <w:rsid w:val="001E1BAA"/>
    <w:rsid w:val="001E1D51"/>
    <w:rsid w:val="001E1E47"/>
    <w:rsid w:val="001E1E99"/>
    <w:rsid w:val="001E205E"/>
    <w:rsid w:val="001E218D"/>
    <w:rsid w:val="001E2230"/>
    <w:rsid w:val="001E245C"/>
    <w:rsid w:val="001E25E0"/>
    <w:rsid w:val="001E267A"/>
    <w:rsid w:val="001E277D"/>
    <w:rsid w:val="001E27C7"/>
    <w:rsid w:val="001E2838"/>
    <w:rsid w:val="001E283E"/>
    <w:rsid w:val="001E2BC8"/>
    <w:rsid w:val="001E2BDA"/>
    <w:rsid w:val="001E2BDE"/>
    <w:rsid w:val="001E2D87"/>
    <w:rsid w:val="001E2DA2"/>
    <w:rsid w:val="001E2E0A"/>
    <w:rsid w:val="001E3106"/>
    <w:rsid w:val="001E344C"/>
    <w:rsid w:val="001E3526"/>
    <w:rsid w:val="001E35D6"/>
    <w:rsid w:val="001E3732"/>
    <w:rsid w:val="001E37B3"/>
    <w:rsid w:val="001E3ADB"/>
    <w:rsid w:val="001E3F28"/>
    <w:rsid w:val="001E40E6"/>
    <w:rsid w:val="001E418E"/>
    <w:rsid w:val="001E42BC"/>
    <w:rsid w:val="001E42F3"/>
    <w:rsid w:val="001E4360"/>
    <w:rsid w:val="001E43C3"/>
    <w:rsid w:val="001E448C"/>
    <w:rsid w:val="001E456B"/>
    <w:rsid w:val="001E47D9"/>
    <w:rsid w:val="001E4810"/>
    <w:rsid w:val="001E483A"/>
    <w:rsid w:val="001E4890"/>
    <w:rsid w:val="001E4898"/>
    <w:rsid w:val="001E4956"/>
    <w:rsid w:val="001E49BB"/>
    <w:rsid w:val="001E4A4D"/>
    <w:rsid w:val="001E4F0C"/>
    <w:rsid w:val="001E4F23"/>
    <w:rsid w:val="001E508F"/>
    <w:rsid w:val="001E5170"/>
    <w:rsid w:val="001E528A"/>
    <w:rsid w:val="001E5369"/>
    <w:rsid w:val="001E53B3"/>
    <w:rsid w:val="001E53CF"/>
    <w:rsid w:val="001E5619"/>
    <w:rsid w:val="001E5630"/>
    <w:rsid w:val="001E56A1"/>
    <w:rsid w:val="001E5883"/>
    <w:rsid w:val="001E5959"/>
    <w:rsid w:val="001E59CB"/>
    <w:rsid w:val="001E59D4"/>
    <w:rsid w:val="001E5AB1"/>
    <w:rsid w:val="001E5F8B"/>
    <w:rsid w:val="001E60C8"/>
    <w:rsid w:val="001E62A0"/>
    <w:rsid w:val="001E66CD"/>
    <w:rsid w:val="001E67C8"/>
    <w:rsid w:val="001E6BA0"/>
    <w:rsid w:val="001E6C4E"/>
    <w:rsid w:val="001E6C77"/>
    <w:rsid w:val="001E6D9E"/>
    <w:rsid w:val="001E6DC3"/>
    <w:rsid w:val="001E6FA0"/>
    <w:rsid w:val="001E720E"/>
    <w:rsid w:val="001E725B"/>
    <w:rsid w:val="001E746C"/>
    <w:rsid w:val="001E74BD"/>
    <w:rsid w:val="001E7851"/>
    <w:rsid w:val="001E7A9C"/>
    <w:rsid w:val="001E7B8F"/>
    <w:rsid w:val="001E7BAC"/>
    <w:rsid w:val="001E7ED7"/>
    <w:rsid w:val="001E7EF0"/>
    <w:rsid w:val="001E7FC2"/>
    <w:rsid w:val="001F0066"/>
    <w:rsid w:val="001F00D8"/>
    <w:rsid w:val="001F01D7"/>
    <w:rsid w:val="001F033A"/>
    <w:rsid w:val="001F03D9"/>
    <w:rsid w:val="001F0645"/>
    <w:rsid w:val="001F087E"/>
    <w:rsid w:val="001F0C38"/>
    <w:rsid w:val="001F0E13"/>
    <w:rsid w:val="001F0FA6"/>
    <w:rsid w:val="001F10EC"/>
    <w:rsid w:val="001F14C9"/>
    <w:rsid w:val="001F15FD"/>
    <w:rsid w:val="001F15FF"/>
    <w:rsid w:val="001F162E"/>
    <w:rsid w:val="001F165A"/>
    <w:rsid w:val="001F1689"/>
    <w:rsid w:val="001F17C8"/>
    <w:rsid w:val="001F18D9"/>
    <w:rsid w:val="001F1A8B"/>
    <w:rsid w:val="001F1CC1"/>
    <w:rsid w:val="001F1D21"/>
    <w:rsid w:val="001F1DA1"/>
    <w:rsid w:val="001F1DF5"/>
    <w:rsid w:val="001F1DFC"/>
    <w:rsid w:val="001F1E7F"/>
    <w:rsid w:val="001F2268"/>
    <w:rsid w:val="001F2827"/>
    <w:rsid w:val="001F28CF"/>
    <w:rsid w:val="001F2A0C"/>
    <w:rsid w:val="001F2C34"/>
    <w:rsid w:val="001F2C37"/>
    <w:rsid w:val="001F2CCE"/>
    <w:rsid w:val="001F2D2A"/>
    <w:rsid w:val="001F2D92"/>
    <w:rsid w:val="001F2E54"/>
    <w:rsid w:val="001F2E92"/>
    <w:rsid w:val="001F2EAE"/>
    <w:rsid w:val="001F2EFC"/>
    <w:rsid w:val="001F3169"/>
    <w:rsid w:val="001F325D"/>
    <w:rsid w:val="001F368D"/>
    <w:rsid w:val="001F38F1"/>
    <w:rsid w:val="001F3B39"/>
    <w:rsid w:val="001F3B8C"/>
    <w:rsid w:val="001F3C95"/>
    <w:rsid w:val="001F3C99"/>
    <w:rsid w:val="001F3D9A"/>
    <w:rsid w:val="001F3DFA"/>
    <w:rsid w:val="001F3EAA"/>
    <w:rsid w:val="001F410D"/>
    <w:rsid w:val="001F422B"/>
    <w:rsid w:val="001F4230"/>
    <w:rsid w:val="001F44A0"/>
    <w:rsid w:val="001F4845"/>
    <w:rsid w:val="001F4964"/>
    <w:rsid w:val="001F4A35"/>
    <w:rsid w:val="001F4A54"/>
    <w:rsid w:val="001F4C95"/>
    <w:rsid w:val="001F4D0B"/>
    <w:rsid w:val="001F4D3B"/>
    <w:rsid w:val="001F4DD8"/>
    <w:rsid w:val="001F4FDA"/>
    <w:rsid w:val="001F5043"/>
    <w:rsid w:val="001F51FA"/>
    <w:rsid w:val="001F5270"/>
    <w:rsid w:val="001F52E9"/>
    <w:rsid w:val="001F530B"/>
    <w:rsid w:val="001F55D1"/>
    <w:rsid w:val="001F5874"/>
    <w:rsid w:val="001F59B6"/>
    <w:rsid w:val="001F59CB"/>
    <w:rsid w:val="001F5A8F"/>
    <w:rsid w:val="001F5B3D"/>
    <w:rsid w:val="001F5CF8"/>
    <w:rsid w:val="001F5DB6"/>
    <w:rsid w:val="001F5F55"/>
    <w:rsid w:val="001F614D"/>
    <w:rsid w:val="001F63F5"/>
    <w:rsid w:val="001F63FC"/>
    <w:rsid w:val="001F64FC"/>
    <w:rsid w:val="001F656A"/>
    <w:rsid w:val="001F66BC"/>
    <w:rsid w:val="001F66F4"/>
    <w:rsid w:val="001F68D7"/>
    <w:rsid w:val="001F7190"/>
    <w:rsid w:val="001F751D"/>
    <w:rsid w:val="001F76BB"/>
    <w:rsid w:val="001F77B1"/>
    <w:rsid w:val="001F78FE"/>
    <w:rsid w:val="001F79E4"/>
    <w:rsid w:val="001F7CCA"/>
    <w:rsid w:val="001F7E3A"/>
    <w:rsid w:val="001F7E4E"/>
    <w:rsid w:val="001F7F64"/>
    <w:rsid w:val="00200369"/>
    <w:rsid w:val="0020057F"/>
    <w:rsid w:val="002006D0"/>
    <w:rsid w:val="0020074D"/>
    <w:rsid w:val="0020077C"/>
    <w:rsid w:val="00200856"/>
    <w:rsid w:val="002008C5"/>
    <w:rsid w:val="00200955"/>
    <w:rsid w:val="002009CA"/>
    <w:rsid w:val="00200A37"/>
    <w:rsid w:val="00200C74"/>
    <w:rsid w:val="00200E77"/>
    <w:rsid w:val="0020112B"/>
    <w:rsid w:val="00201423"/>
    <w:rsid w:val="002014AC"/>
    <w:rsid w:val="00201514"/>
    <w:rsid w:val="00201543"/>
    <w:rsid w:val="00201599"/>
    <w:rsid w:val="00201753"/>
    <w:rsid w:val="00201B5F"/>
    <w:rsid w:val="00201C94"/>
    <w:rsid w:val="00201E29"/>
    <w:rsid w:val="00201E64"/>
    <w:rsid w:val="00201E75"/>
    <w:rsid w:val="00202009"/>
    <w:rsid w:val="002020C4"/>
    <w:rsid w:val="00202107"/>
    <w:rsid w:val="0020212D"/>
    <w:rsid w:val="00202293"/>
    <w:rsid w:val="002024D9"/>
    <w:rsid w:val="00202672"/>
    <w:rsid w:val="0020289F"/>
    <w:rsid w:val="00202B02"/>
    <w:rsid w:val="00202B0E"/>
    <w:rsid w:val="00202B82"/>
    <w:rsid w:val="00202CA8"/>
    <w:rsid w:val="00202DE2"/>
    <w:rsid w:val="00202E33"/>
    <w:rsid w:val="00203037"/>
    <w:rsid w:val="00203214"/>
    <w:rsid w:val="00203219"/>
    <w:rsid w:val="00203345"/>
    <w:rsid w:val="00203687"/>
    <w:rsid w:val="002036F5"/>
    <w:rsid w:val="0020386F"/>
    <w:rsid w:val="00203932"/>
    <w:rsid w:val="00203AF6"/>
    <w:rsid w:val="00203DBC"/>
    <w:rsid w:val="00203E2C"/>
    <w:rsid w:val="00203F9F"/>
    <w:rsid w:val="00204011"/>
    <w:rsid w:val="0020408F"/>
    <w:rsid w:val="0020410B"/>
    <w:rsid w:val="0020413E"/>
    <w:rsid w:val="00204557"/>
    <w:rsid w:val="0020462D"/>
    <w:rsid w:val="002047E5"/>
    <w:rsid w:val="00204960"/>
    <w:rsid w:val="00204EDD"/>
    <w:rsid w:val="00204FD7"/>
    <w:rsid w:val="00205191"/>
    <w:rsid w:val="002051B0"/>
    <w:rsid w:val="002051F9"/>
    <w:rsid w:val="002054D8"/>
    <w:rsid w:val="00205706"/>
    <w:rsid w:val="002057B3"/>
    <w:rsid w:val="0020580B"/>
    <w:rsid w:val="00205C91"/>
    <w:rsid w:val="00205D98"/>
    <w:rsid w:val="00205FF4"/>
    <w:rsid w:val="002060A2"/>
    <w:rsid w:val="002060CC"/>
    <w:rsid w:val="002067C0"/>
    <w:rsid w:val="002068EC"/>
    <w:rsid w:val="00206AA2"/>
    <w:rsid w:val="00206B37"/>
    <w:rsid w:val="00206E28"/>
    <w:rsid w:val="00206E60"/>
    <w:rsid w:val="00206F3C"/>
    <w:rsid w:val="00206FA6"/>
    <w:rsid w:val="00207037"/>
    <w:rsid w:val="00207095"/>
    <w:rsid w:val="0020775B"/>
    <w:rsid w:val="002078E7"/>
    <w:rsid w:val="00207952"/>
    <w:rsid w:val="00207AA0"/>
    <w:rsid w:val="00207C51"/>
    <w:rsid w:val="00207D91"/>
    <w:rsid w:val="0021030F"/>
    <w:rsid w:val="0021031B"/>
    <w:rsid w:val="00210517"/>
    <w:rsid w:val="00210529"/>
    <w:rsid w:val="00210601"/>
    <w:rsid w:val="00210798"/>
    <w:rsid w:val="002107F8"/>
    <w:rsid w:val="00210903"/>
    <w:rsid w:val="0021098C"/>
    <w:rsid w:val="00210A25"/>
    <w:rsid w:val="00210A37"/>
    <w:rsid w:val="00210D28"/>
    <w:rsid w:val="00210F02"/>
    <w:rsid w:val="00210F7A"/>
    <w:rsid w:val="00211093"/>
    <w:rsid w:val="002111F3"/>
    <w:rsid w:val="0021130C"/>
    <w:rsid w:val="002113AA"/>
    <w:rsid w:val="002113F5"/>
    <w:rsid w:val="00211739"/>
    <w:rsid w:val="0021174E"/>
    <w:rsid w:val="002118E9"/>
    <w:rsid w:val="00211E59"/>
    <w:rsid w:val="00211ECF"/>
    <w:rsid w:val="00211F64"/>
    <w:rsid w:val="00211F7B"/>
    <w:rsid w:val="00212019"/>
    <w:rsid w:val="0021207B"/>
    <w:rsid w:val="002121B1"/>
    <w:rsid w:val="0021221E"/>
    <w:rsid w:val="002122F5"/>
    <w:rsid w:val="002123A9"/>
    <w:rsid w:val="00212422"/>
    <w:rsid w:val="00212438"/>
    <w:rsid w:val="002127AD"/>
    <w:rsid w:val="0021280B"/>
    <w:rsid w:val="002128D1"/>
    <w:rsid w:val="00212B53"/>
    <w:rsid w:val="00212BFB"/>
    <w:rsid w:val="00212C2A"/>
    <w:rsid w:val="00212CBB"/>
    <w:rsid w:val="00212CD3"/>
    <w:rsid w:val="00212DFA"/>
    <w:rsid w:val="00212F56"/>
    <w:rsid w:val="00212F71"/>
    <w:rsid w:val="00213169"/>
    <w:rsid w:val="002135B8"/>
    <w:rsid w:val="002135C2"/>
    <w:rsid w:val="00213756"/>
    <w:rsid w:val="0021386A"/>
    <w:rsid w:val="00213B35"/>
    <w:rsid w:val="00213D53"/>
    <w:rsid w:val="00213D8C"/>
    <w:rsid w:val="00213E83"/>
    <w:rsid w:val="00214078"/>
    <w:rsid w:val="00214265"/>
    <w:rsid w:val="00214293"/>
    <w:rsid w:val="002143B6"/>
    <w:rsid w:val="00214676"/>
    <w:rsid w:val="002146AC"/>
    <w:rsid w:val="0021481A"/>
    <w:rsid w:val="00214A56"/>
    <w:rsid w:val="00214A9A"/>
    <w:rsid w:val="00214D53"/>
    <w:rsid w:val="00214EB3"/>
    <w:rsid w:val="00214F03"/>
    <w:rsid w:val="00214FCE"/>
    <w:rsid w:val="0021523A"/>
    <w:rsid w:val="00215314"/>
    <w:rsid w:val="00215368"/>
    <w:rsid w:val="0021579B"/>
    <w:rsid w:val="00215866"/>
    <w:rsid w:val="00215936"/>
    <w:rsid w:val="00215BBF"/>
    <w:rsid w:val="00215DD0"/>
    <w:rsid w:val="00215EF4"/>
    <w:rsid w:val="00215F27"/>
    <w:rsid w:val="00216260"/>
    <w:rsid w:val="002164EE"/>
    <w:rsid w:val="00216688"/>
    <w:rsid w:val="0021676A"/>
    <w:rsid w:val="00216A29"/>
    <w:rsid w:val="00216AF1"/>
    <w:rsid w:val="00216BED"/>
    <w:rsid w:val="00216D85"/>
    <w:rsid w:val="00216EE0"/>
    <w:rsid w:val="00216FE1"/>
    <w:rsid w:val="0021709C"/>
    <w:rsid w:val="00217316"/>
    <w:rsid w:val="002174E5"/>
    <w:rsid w:val="00217810"/>
    <w:rsid w:val="002178D6"/>
    <w:rsid w:val="00217B19"/>
    <w:rsid w:val="00217B33"/>
    <w:rsid w:val="00217CCA"/>
    <w:rsid w:val="00220065"/>
    <w:rsid w:val="00220233"/>
    <w:rsid w:val="00220585"/>
    <w:rsid w:val="00220656"/>
    <w:rsid w:val="002206A5"/>
    <w:rsid w:val="00220765"/>
    <w:rsid w:val="002207AE"/>
    <w:rsid w:val="00220A4A"/>
    <w:rsid w:val="00220C65"/>
    <w:rsid w:val="00220D58"/>
    <w:rsid w:val="00220D78"/>
    <w:rsid w:val="00220DFB"/>
    <w:rsid w:val="00220E13"/>
    <w:rsid w:val="00220EEE"/>
    <w:rsid w:val="00220FD9"/>
    <w:rsid w:val="00221065"/>
    <w:rsid w:val="002212B1"/>
    <w:rsid w:val="00221574"/>
    <w:rsid w:val="00221687"/>
    <w:rsid w:val="002217FA"/>
    <w:rsid w:val="0022197C"/>
    <w:rsid w:val="00221A5A"/>
    <w:rsid w:val="00221ADE"/>
    <w:rsid w:val="00221B10"/>
    <w:rsid w:val="00221D84"/>
    <w:rsid w:val="00221DDA"/>
    <w:rsid w:val="00221F4A"/>
    <w:rsid w:val="00221FCD"/>
    <w:rsid w:val="00221FE7"/>
    <w:rsid w:val="00221FEF"/>
    <w:rsid w:val="0022200E"/>
    <w:rsid w:val="0022202D"/>
    <w:rsid w:val="00222073"/>
    <w:rsid w:val="002221C8"/>
    <w:rsid w:val="00222277"/>
    <w:rsid w:val="00222316"/>
    <w:rsid w:val="002224CA"/>
    <w:rsid w:val="00222807"/>
    <w:rsid w:val="002228F2"/>
    <w:rsid w:val="002229DA"/>
    <w:rsid w:val="00222A0F"/>
    <w:rsid w:val="00222B3D"/>
    <w:rsid w:val="00222B5E"/>
    <w:rsid w:val="00222D36"/>
    <w:rsid w:val="00222DE6"/>
    <w:rsid w:val="00222E88"/>
    <w:rsid w:val="00222F6D"/>
    <w:rsid w:val="00222FC4"/>
    <w:rsid w:val="00222FC5"/>
    <w:rsid w:val="00223093"/>
    <w:rsid w:val="0022344A"/>
    <w:rsid w:val="002234CA"/>
    <w:rsid w:val="002235CE"/>
    <w:rsid w:val="00223640"/>
    <w:rsid w:val="00223655"/>
    <w:rsid w:val="00223755"/>
    <w:rsid w:val="0022383B"/>
    <w:rsid w:val="00223AB8"/>
    <w:rsid w:val="00223BAC"/>
    <w:rsid w:val="00223BE8"/>
    <w:rsid w:val="00223C08"/>
    <w:rsid w:val="002240E6"/>
    <w:rsid w:val="00224100"/>
    <w:rsid w:val="002243FC"/>
    <w:rsid w:val="00224463"/>
    <w:rsid w:val="00224809"/>
    <w:rsid w:val="0022486A"/>
    <w:rsid w:val="0022494E"/>
    <w:rsid w:val="002249A5"/>
    <w:rsid w:val="00224AD6"/>
    <w:rsid w:val="00224B10"/>
    <w:rsid w:val="00224B4B"/>
    <w:rsid w:val="00224C92"/>
    <w:rsid w:val="00224DD0"/>
    <w:rsid w:val="00224E6D"/>
    <w:rsid w:val="00224ED0"/>
    <w:rsid w:val="002250BB"/>
    <w:rsid w:val="00225267"/>
    <w:rsid w:val="002252C2"/>
    <w:rsid w:val="002255DA"/>
    <w:rsid w:val="002256E8"/>
    <w:rsid w:val="002257C1"/>
    <w:rsid w:val="00225821"/>
    <w:rsid w:val="00225AF0"/>
    <w:rsid w:val="00225AF5"/>
    <w:rsid w:val="00225B1F"/>
    <w:rsid w:val="00225CEA"/>
    <w:rsid w:val="00225DC7"/>
    <w:rsid w:val="00225E57"/>
    <w:rsid w:val="00225F2B"/>
    <w:rsid w:val="00225F78"/>
    <w:rsid w:val="0022620E"/>
    <w:rsid w:val="00226227"/>
    <w:rsid w:val="00226274"/>
    <w:rsid w:val="002262BC"/>
    <w:rsid w:val="002262C7"/>
    <w:rsid w:val="0022678E"/>
    <w:rsid w:val="0022682B"/>
    <w:rsid w:val="00226B26"/>
    <w:rsid w:val="00226C4A"/>
    <w:rsid w:val="00226DA4"/>
    <w:rsid w:val="00226E02"/>
    <w:rsid w:val="00226ECE"/>
    <w:rsid w:val="00226FA8"/>
    <w:rsid w:val="00226FBE"/>
    <w:rsid w:val="0022700B"/>
    <w:rsid w:val="00227109"/>
    <w:rsid w:val="0022722B"/>
    <w:rsid w:val="002274B6"/>
    <w:rsid w:val="00227780"/>
    <w:rsid w:val="0022778B"/>
    <w:rsid w:val="00227797"/>
    <w:rsid w:val="0022788A"/>
    <w:rsid w:val="002279E8"/>
    <w:rsid w:val="00227A1D"/>
    <w:rsid w:val="00227B15"/>
    <w:rsid w:val="00227B7A"/>
    <w:rsid w:val="00227E0E"/>
    <w:rsid w:val="00227F3D"/>
    <w:rsid w:val="00227F64"/>
    <w:rsid w:val="00230010"/>
    <w:rsid w:val="00230028"/>
    <w:rsid w:val="002300AE"/>
    <w:rsid w:val="002300AF"/>
    <w:rsid w:val="002301C3"/>
    <w:rsid w:val="002302B3"/>
    <w:rsid w:val="00230316"/>
    <w:rsid w:val="002303EC"/>
    <w:rsid w:val="00230518"/>
    <w:rsid w:val="00230AB0"/>
    <w:rsid w:val="00230BDE"/>
    <w:rsid w:val="00231029"/>
    <w:rsid w:val="002311EA"/>
    <w:rsid w:val="00231353"/>
    <w:rsid w:val="002314A5"/>
    <w:rsid w:val="00231728"/>
    <w:rsid w:val="002317C8"/>
    <w:rsid w:val="002318F4"/>
    <w:rsid w:val="00231945"/>
    <w:rsid w:val="00231989"/>
    <w:rsid w:val="002319BD"/>
    <w:rsid w:val="00231B1F"/>
    <w:rsid w:val="00231B68"/>
    <w:rsid w:val="00231DB7"/>
    <w:rsid w:val="00231DE7"/>
    <w:rsid w:val="00232142"/>
    <w:rsid w:val="0023259E"/>
    <w:rsid w:val="00232791"/>
    <w:rsid w:val="002328AB"/>
    <w:rsid w:val="00232BFD"/>
    <w:rsid w:val="00232F8C"/>
    <w:rsid w:val="002330B2"/>
    <w:rsid w:val="00233185"/>
    <w:rsid w:val="002331CF"/>
    <w:rsid w:val="00233223"/>
    <w:rsid w:val="002333B6"/>
    <w:rsid w:val="002336B0"/>
    <w:rsid w:val="002337C4"/>
    <w:rsid w:val="002339EF"/>
    <w:rsid w:val="00233AB6"/>
    <w:rsid w:val="00233B5F"/>
    <w:rsid w:val="00233BF2"/>
    <w:rsid w:val="00233E80"/>
    <w:rsid w:val="00233F83"/>
    <w:rsid w:val="00234093"/>
    <w:rsid w:val="00234205"/>
    <w:rsid w:val="00234224"/>
    <w:rsid w:val="00234387"/>
    <w:rsid w:val="002344A0"/>
    <w:rsid w:val="002344FC"/>
    <w:rsid w:val="002345E3"/>
    <w:rsid w:val="00234796"/>
    <w:rsid w:val="002348E3"/>
    <w:rsid w:val="00234FC5"/>
    <w:rsid w:val="00235155"/>
    <w:rsid w:val="0023532B"/>
    <w:rsid w:val="002354AB"/>
    <w:rsid w:val="002356E0"/>
    <w:rsid w:val="0023581D"/>
    <w:rsid w:val="002358B3"/>
    <w:rsid w:val="002358C0"/>
    <w:rsid w:val="00235906"/>
    <w:rsid w:val="0023594B"/>
    <w:rsid w:val="00235B53"/>
    <w:rsid w:val="00235BC3"/>
    <w:rsid w:val="00235C5C"/>
    <w:rsid w:val="0023602E"/>
    <w:rsid w:val="002360AD"/>
    <w:rsid w:val="00236275"/>
    <w:rsid w:val="00236329"/>
    <w:rsid w:val="002367D0"/>
    <w:rsid w:val="002367DE"/>
    <w:rsid w:val="00236D8C"/>
    <w:rsid w:val="002370C3"/>
    <w:rsid w:val="002370EC"/>
    <w:rsid w:val="00237289"/>
    <w:rsid w:val="002375AC"/>
    <w:rsid w:val="002377FD"/>
    <w:rsid w:val="002378EF"/>
    <w:rsid w:val="0023796F"/>
    <w:rsid w:val="00237D9D"/>
    <w:rsid w:val="002401D3"/>
    <w:rsid w:val="00240227"/>
    <w:rsid w:val="002402F4"/>
    <w:rsid w:val="00240356"/>
    <w:rsid w:val="0024049A"/>
    <w:rsid w:val="00240579"/>
    <w:rsid w:val="0024062F"/>
    <w:rsid w:val="00240707"/>
    <w:rsid w:val="00240748"/>
    <w:rsid w:val="00240822"/>
    <w:rsid w:val="002408AE"/>
    <w:rsid w:val="00240975"/>
    <w:rsid w:val="00240AE4"/>
    <w:rsid w:val="00240E67"/>
    <w:rsid w:val="00240F32"/>
    <w:rsid w:val="00241732"/>
    <w:rsid w:val="0024174B"/>
    <w:rsid w:val="00241914"/>
    <w:rsid w:val="00241A1E"/>
    <w:rsid w:val="00241A68"/>
    <w:rsid w:val="00241B88"/>
    <w:rsid w:val="00241C0C"/>
    <w:rsid w:val="00241D93"/>
    <w:rsid w:val="00242047"/>
    <w:rsid w:val="0024259B"/>
    <w:rsid w:val="002427E4"/>
    <w:rsid w:val="00242897"/>
    <w:rsid w:val="00242C59"/>
    <w:rsid w:val="00242CD0"/>
    <w:rsid w:val="00242CE2"/>
    <w:rsid w:val="00242D08"/>
    <w:rsid w:val="00242DEF"/>
    <w:rsid w:val="00242F37"/>
    <w:rsid w:val="00242F5E"/>
    <w:rsid w:val="00243051"/>
    <w:rsid w:val="00243166"/>
    <w:rsid w:val="0024338C"/>
    <w:rsid w:val="002435EF"/>
    <w:rsid w:val="00243752"/>
    <w:rsid w:val="002438CE"/>
    <w:rsid w:val="00243B14"/>
    <w:rsid w:val="00243B8F"/>
    <w:rsid w:val="00243C2B"/>
    <w:rsid w:val="00243EA8"/>
    <w:rsid w:val="00243EC4"/>
    <w:rsid w:val="0024449D"/>
    <w:rsid w:val="002445E0"/>
    <w:rsid w:val="0024461C"/>
    <w:rsid w:val="00244665"/>
    <w:rsid w:val="0024471A"/>
    <w:rsid w:val="0024486E"/>
    <w:rsid w:val="002448C4"/>
    <w:rsid w:val="002448F8"/>
    <w:rsid w:val="00244BF7"/>
    <w:rsid w:val="00244C4E"/>
    <w:rsid w:val="00244C95"/>
    <w:rsid w:val="00244D90"/>
    <w:rsid w:val="00244FD1"/>
    <w:rsid w:val="00245050"/>
    <w:rsid w:val="0024509E"/>
    <w:rsid w:val="0024535F"/>
    <w:rsid w:val="00245423"/>
    <w:rsid w:val="00245428"/>
    <w:rsid w:val="002455AF"/>
    <w:rsid w:val="002455D3"/>
    <w:rsid w:val="00245625"/>
    <w:rsid w:val="0024573D"/>
    <w:rsid w:val="00245753"/>
    <w:rsid w:val="0024585B"/>
    <w:rsid w:val="002458E7"/>
    <w:rsid w:val="0024596B"/>
    <w:rsid w:val="0024599E"/>
    <w:rsid w:val="00245BCA"/>
    <w:rsid w:val="00245DE4"/>
    <w:rsid w:val="00246149"/>
    <w:rsid w:val="00246446"/>
    <w:rsid w:val="00246938"/>
    <w:rsid w:val="00246A70"/>
    <w:rsid w:val="00246A73"/>
    <w:rsid w:val="00246C0F"/>
    <w:rsid w:val="00246CA2"/>
    <w:rsid w:val="00246DDB"/>
    <w:rsid w:val="0024746B"/>
    <w:rsid w:val="00247552"/>
    <w:rsid w:val="00247993"/>
    <w:rsid w:val="002479D3"/>
    <w:rsid w:val="00247A69"/>
    <w:rsid w:val="00247A9E"/>
    <w:rsid w:val="00247AC1"/>
    <w:rsid w:val="00247CD0"/>
    <w:rsid w:val="00247E41"/>
    <w:rsid w:val="00247E87"/>
    <w:rsid w:val="00250500"/>
    <w:rsid w:val="00250591"/>
    <w:rsid w:val="00250955"/>
    <w:rsid w:val="00250A16"/>
    <w:rsid w:val="00250A6F"/>
    <w:rsid w:val="00250B58"/>
    <w:rsid w:val="00250B76"/>
    <w:rsid w:val="00250BC1"/>
    <w:rsid w:val="00250BDF"/>
    <w:rsid w:val="00250CA7"/>
    <w:rsid w:val="00250CEA"/>
    <w:rsid w:val="00250D9A"/>
    <w:rsid w:val="00250DA5"/>
    <w:rsid w:val="00250E45"/>
    <w:rsid w:val="00250ED3"/>
    <w:rsid w:val="00250FF9"/>
    <w:rsid w:val="0025119E"/>
    <w:rsid w:val="002511A0"/>
    <w:rsid w:val="002515AA"/>
    <w:rsid w:val="00251733"/>
    <w:rsid w:val="002517D5"/>
    <w:rsid w:val="002517DE"/>
    <w:rsid w:val="00251850"/>
    <w:rsid w:val="00251B9C"/>
    <w:rsid w:val="00251FCA"/>
    <w:rsid w:val="00252107"/>
    <w:rsid w:val="00252120"/>
    <w:rsid w:val="002521D9"/>
    <w:rsid w:val="00252216"/>
    <w:rsid w:val="0025224D"/>
    <w:rsid w:val="00252524"/>
    <w:rsid w:val="00252956"/>
    <w:rsid w:val="00252CAC"/>
    <w:rsid w:val="00252D30"/>
    <w:rsid w:val="00252F6D"/>
    <w:rsid w:val="00253000"/>
    <w:rsid w:val="0025321B"/>
    <w:rsid w:val="002533AB"/>
    <w:rsid w:val="0025342A"/>
    <w:rsid w:val="0025346F"/>
    <w:rsid w:val="00253707"/>
    <w:rsid w:val="002538C4"/>
    <w:rsid w:val="002538F1"/>
    <w:rsid w:val="002539F4"/>
    <w:rsid w:val="00253AC8"/>
    <w:rsid w:val="00253B03"/>
    <w:rsid w:val="00253BA3"/>
    <w:rsid w:val="00253CA1"/>
    <w:rsid w:val="00253CDB"/>
    <w:rsid w:val="00253D87"/>
    <w:rsid w:val="00253D9E"/>
    <w:rsid w:val="00253DEA"/>
    <w:rsid w:val="00253E5E"/>
    <w:rsid w:val="00254013"/>
    <w:rsid w:val="0025419F"/>
    <w:rsid w:val="00254345"/>
    <w:rsid w:val="00254392"/>
    <w:rsid w:val="00254516"/>
    <w:rsid w:val="00254604"/>
    <w:rsid w:val="00254778"/>
    <w:rsid w:val="0025481D"/>
    <w:rsid w:val="00254953"/>
    <w:rsid w:val="00254AEB"/>
    <w:rsid w:val="00254C8D"/>
    <w:rsid w:val="00254DCF"/>
    <w:rsid w:val="00254E19"/>
    <w:rsid w:val="0025500C"/>
    <w:rsid w:val="00255023"/>
    <w:rsid w:val="00255099"/>
    <w:rsid w:val="00255239"/>
    <w:rsid w:val="002552A0"/>
    <w:rsid w:val="00255619"/>
    <w:rsid w:val="002558DB"/>
    <w:rsid w:val="002559CE"/>
    <w:rsid w:val="00255D45"/>
    <w:rsid w:val="002560FC"/>
    <w:rsid w:val="00256258"/>
    <w:rsid w:val="00256413"/>
    <w:rsid w:val="0025645F"/>
    <w:rsid w:val="0025648A"/>
    <w:rsid w:val="002564C7"/>
    <w:rsid w:val="002564F6"/>
    <w:rsid w:val="00256657"/>
    <w:rsid w:val="002568CA"/>
    <w:rsid w:val="002569C6"/>
    <w:rsid w:val="00256B2F"/>
    <w:rsid w:val="00256E39"/>
    <w:rsid w:val="00256F50"/>
    <w:rsid w:val="00256F55"/>
    <w:rsid w:val="002570EF"/>
    <w:rsid w:val="002570F2"/>
    <w:rsid w:val="00257113"/>
    <w:rsid w:val="00257238"/>
    <w:rsid w:val="002573AA"/>
    <w:rsid w:val="002573E5"/>
    <w:rsid w:val="00257440"/>
    <w:rsid w:val="002574E3"/>
    <w:rsid w:val="002576C8"/>
    <w:rsid w:val="002576DB"/>
    <w:rsid w:val="002578CB"/>
    <w:rsid w:val="00257A03"/>
    <w:rsid w:val="00257ADD"/>
    <w:rsid w:val="00257BA0"/>
    <w:rsid w:val="00257C18"/>
    <w:rsid w:val="00257EEC"/>
    <w:rsid w:val="00257F41"/>
    <w:rsid w:val="002600AA"/>
    <w:rsid w:val="00260100"/>
    <w:rsid w:val="00260129"/>
    <w:rsid w:val="002601CA"/>
    <w:rsid w:val="0026039C"/>
    <w:rsid w:val="0026046D"/>
    <w:rsid w:val="002605D3"/>
    <w:rsid w:val="0026063B"/>
    <w:rsid w:val="00260905"/>
    <w:rsid w:val="00260AFB"/>
    <w:rsid w:val="00260BEC"/>
    <w:rsid w:val="00260C7B"/>
    <w:rsid w:val="00260D56"/>
    <w:rsid w:val="00260F4C"/>
    <w:rsid w:val="00260F87"/>
    <w:rsid w:val="00261156"/>
    <w:rsid w:val="0026120A"/>
    <w:rsid w:val="002612E3"/>
    <w:rsid w:val="00261406"/>
    <w:rsid w:val="0026158E"/>
    <w:rsid w:val="0026159A"/>
    <w:rsid w:val="002615A1"/>
    <w:rsid w:val="002615EA"/>
    <w:rsid w:val="00261621"/>
    <w:rsid w:val="00261734"/>
    <w:rsid w:val="00261781"/>
    <w:rsid w:val="0026186D"/>
    <w:rsid w:val="00261B1D"/>
    <w:rsid w:val="00261B39"/>
    <w:rsid w:val="00261BB1"/>
    <w:rsid w:val="00261EB1"/>
    <w:rsid w:val="0026205A"/>
    <w:rsid w:val="00262151"/>
    <w:rsid w:val="00262210"/>
    <w:rsid w:val="00262475"/>
    <w:rsid w:val="0026248A"/>
    <w:rsid w:val="002625F6"/>
    <w:rsid w:val="00262733"/>
    <w:rsid w:val="0026288B"/>
    <w:rsid w:val="00262906"/>
    <w:rsid w:val="002629FC"/>
    <w:rsid w:val="00262F71"/>
    <w:rsid w:val="00263263"/>
    <w:rsid w:val="00263446"/>
    <w:rsid w:val="002635B0"/>
    <w:rsid w:val="00263788"/>
    <w:rsid w:val="002639D0"/>
    <w:rsid w:val="00263A30"/>
    <w:rsid w:val="00263E4C"/>
    <w:rsid w:val="00263EF6"/>
    <w:rsid w:val="00263F10"/>
    <w:rsid w:val="0026401C"/>
    <w:rsid w:val="0026404A"/>
    <w:rsid w:val="002640D3"/>
    <w:rsid w:val="0026411C"/>
    <w:rsid w:val="00264231"/>
    <w:rsid w:val="00264259"/>
    <w:rsid w:val="00264312"/>
    <w:rsid w:val="002643BA"/>
    <w:rsid w:val="00264768"/>
    <w:rsid w:val="0026491A"/>
    <w:rsid w:val="00264A6E"/>
    <w:rsid w:val="00264CF4"/>
    <w:rsid w:val="00264F05"/>
    <w:rsid w:val="00265059"/>
    <w:rsid w:val="00265153"/>
    <w:rsid w:val="002651C3"/>
    <w:rsid w:val="002653DC"/>
    <w:rsid w:val="002654B3"/>
    <w:rsid w:val="0026560A"/>
    <w:rsid w:val="002656A3"/>
    <w:rsid w:val="00265A18"/>
    <w:rsid w:val="00265A5C"/>
    <w:rsid w:val="00265BC8"/>
    <w:rsid w:val="00265C9F"/>
    <w:rsid w:val="00265D49"/>
    <w:rsid w:val="00265FE5"/>
    <w:rsid w:val="002660AB"/>
    <w:rsid w:val="0026619C"/>
    <w:rsid w:val="002661DA"/>
    <w:rsid w:val="00266230"/>
    <w:rsid w:val="002663B5"/>
    <w:rsid w:val="002663FC"/>
    <w:rsid w:val="002664FA"/>
    <w:rsid w:val="00266533"/>
    <w:rsid w:val="00266558"/>
    <w:rsid w:val="00266657"/>
    <w:rsid w:val="00266740"/>
    <w:rsid w:val="002667BF"/>
    <w:rsid w:val="002667CD"/>
    <w:rsid w:val="00266821"/>
    <w:rsid w:val="00266835"/>
    <w:rsid w:val="0026687C"/>
    <w:rsid w:val="00266918"/>
    <w:rsid w:val="00266B14"/>
    <w:rsid w:val="00266B23"/>
    <w:rsid w:val="00266C0B"/>
    <w:rsid w:val="00266CC3"/>
    <w:rsid w:val="00266EF9"/>
    <w:rsid w:val="002670E9"/>
    <w:rsid w:val="00267192"/>
    <w:rsid w:val="002671CD"/>
    <w:rsid w:val="00267667"/>
    <w:rsid w:val="0026796E"/>
    <w:rsid w:val="00267A23"/>
    <w:rsid w:val="00267AE2"/>
    <w:rsid w:val="00267BA1"/>
    <w:rsid w:val="00267BBA"/>
    <w:rsid w:val="00267F74"/>
    <w:rsid w:val="00270260"/>
    <w:rsid w:val="002702C9"/>
    <w:rsid w:val="00270445"/>
    <w:rsid w:val="00270497"/>
    <w:rsid w:val="002706FE"/>
    <w:rsid w:val="00270703"/>
    <w:rsid w:val="0027087F"/>
    <w:rsid w:val="002709BF"/>
    <w:rsid w:val="00270C8F"/>
    <w:rsid w:val="00270E5D"/>
    <w:rsid w:val="00270F00"/>
    <w:rsid w:val="00271338"/>
    <w:rsid w:val="002713F4"/>
    <w:rsid w:val="002714A5"/>
    <w:rsid w:val="002715A4"/>
    <w:rsid w:val="00271793"/>
    <w:rsid w:val="002717A9"/>
    <w:rsid w:val="002717D3"/>
    <w:rsid w:val="002717DB"/>
    <w:rsid w:val="00271812"/>
    <w:rsid w:val="00271841"/>
    <w:rsid w:val="00271919"/>
    <w:rsid w:val="00271B49"/>
    <w:rsid w:val="0027229F"/>
    <w:rsid w:val="002722B7"/>
    <w:rsid w:val="002723AB"/>
    <w:rsid w:val="002723F9"/>
    <w:rsid w:val="002726A8"/>
    <w:rsid w:val="00272770"/>
    <w:rsid w:val="0027279D"/>
    <w:rsid w:val="00272818"/>
    <w:rsid w:val="00272CAC"/>
    <w:rsid w:val="00272D60"/>
    <w:rsid w:val="00272E10"/>
    <w:rsid w:val="00272E8F"/>
    <w:rsid w:val="00272EA4"/>
    <w:rsid w:val="00273129"/>
    <w:rsid w:val="002733B8"/>
    <w:rsid w:val="0027356A"/>
    <w:rsid w:val="0027359F"/>
    <w:rsid w:val="002736EE"/>
    <w:rsid w:val="00273743"/>
    <w:rsid w:val="00273AD1"/>
    <w:rsid w:val="00273ADD"/>
    <w:rsid w:val="00273BDA"/>
    <w:rsid w:val="00273CEB"/>
    <w:rsid w:val="00273E9A"/>
    <w:rsid w:val="00273F1B"/>
    <w:rsid w:val="002740F8"/>
    <w:rsid w:val="0027414E"/>
    <w:rsid w:val="0027443A"/>
    <w:rsid w:val="0027451D"/>
    <w:rsid w:val="00274704"/>
    <w:rsid w:val="002747DA"/>
    <w:rsid w:val="002748E7"/>
    <w:rsid w:val="00274BF2"/>
    <w:rsid w:val="00274C10"/>
    <w:rsid w:val="00274C86"/>
    <w:rsid w:val="00275048"/>
    <w:rsid w:val="002752BC"/>
    <w:rsid w:val="0027597D"/>
    <w:rsid w:val="00275C1D"/>
    <w:rsid w:val="00275D88"/>
    <w:rsid w:val="00275E58"/>
    <w:rsid w:val="00276073"/>
    <w:rsid w:val="002761C5"/>
    <w:rsid w:val="002762C0"/>
    <w:rsid w:val="00276311"/>
    <w:rsid w:val="0027656E"/>
    <w:rsid w:val="002765C1"/>
    <w:rsid w:val="002766BA"/>
    <w:rsid w:val="00276725"/>
    <w:rsid w:val="0027678A"/>
    <w:rsid w:val="00276B0F"/>
    <w:rsid w:val="00276DA8"/>
    <w:rsid w:val="00276DC2"/>
    <w:rsid w:val="00276E3C"/>
    <w:rsid w:val="00276ED9"/>
    <w:rsid w:val="00276FD7"/>
    <w:rsid w:val="0027710D"/>
    <w:rsid w:val="002771C2"/>
    <w:rsid w:val="0027724D"/>
    <w:rsid w:val="002772FB"/>
    <w:rsid w:val="0027749F"/>
    <w:rsid w:val="00277630"/>
    <w:rsid w:val="002778BB"/>
    <w:rsid w:val="00277A38"/>
    <w:rsid w:val="00277BF4"/>
    <w:rsid w:val="00277C8A"/>
    <w:rsid w:val="00277D64"/>
    <w:rsid w:val="0028005E"/>
    <w:rsid w:val="002802BA"/>
    <w:rsid w:val="002806DA"/>
    <w:rsid w:val="002806F9"/>
    <w:rsid w:val="002808CD"/>
    <w:rsid w:val="002808E6"/>
    <w:rsid w:val="0028097B"/>
    <w:rsid w:val="002809D8"/>
    <w:rsid w:val="00280A6A"/>
    <w:rsid w:val="00280AE4"/>
    <w:rsid w:val="00280C97"/>
    <w:rsid w:val="00280D97"/>
    <w:rsid w:val="00280F9F"/>
    <w:rsid w:val="00280FEA"/>
    <w:rsid w:val="002811EA"/>
    <w:rsid w:val="002811EF"/>
    <w:rsid w:val="002812DA"/>
    <w:rsid w:val="00281315"/>
    <w:rsid w:val="00281341"/>
    <w:rsid w:val="002817A5"/>
    <w:rsid w:val="00281827"/>
    <w:rsid w:val="002818B4"/>
    <w:rsid w:val="0028199C"/>
    <w:rsid w:val="002819FF"/>
    <w:rsid w:val="00281B6E"/>
    <w:rsid w:val="00281BF4"/>
    <w:rsid w:val="00281C4C"/>
    <w:rsid w:val="00281D81"/>
    <w:rsid w:val="00281E1B"/>
    <w:rsid w:val="00281EBA"/>
    <w:rsid w:val="00282224"/>
    <w:rsid w:val="0028238C"/>
    <w:rsid w:val="0028244C"/>
    <w:rsid w:val="00282530"/>
    <w:rsid w:val="0028261A"/>
    <w:rsid w:val="0028278A"/>
    <w:rsid w:val="002828B2"/>
    <w:rsid w:val="00282B3B"/>
    <w:rsid w:val="00282C03"/>
    <w:rsid w:val="00282C94"/>
    <w:rsid w:val="00283128"/>
    <w:rsid w:val="00283256"/>
    <w:rsid w:val="00283489"/>
    <w:rsid w:val="002835C5"/>
    <w:rsid w:val="00283742"/>
    <w:rsid w:val="00283D9E"/>
    <w:rsid w:val="00283E58"/>
    <w:rsid w:val="00283E8E"/>
    <w:rsid w:val="002840DD"/>
    <w:rsid w:val="00284170"/>
    <w:rsid w:val="002842D1"/>
    <w:rsid w:val="00284419"/>
    <w:rsid w:val="00284505"/>
    <w:rsid w:val="0028454F"/>
    <w:rsid w:val="002847BE"/>
    <w:rsid w:val="00284840"/>
    <w:rsid w:val="00284930"/>
    <w:rsid w:val="00284A49"/>
    <w:rsid w:val="00284BCB"/>
    <w:rsid w:val="00284C51"/>
    <w:rsid w:val="00284C5A"/>
    <w:rsid w:val="00285017"/>
    <w:rsid w:val="002851DF"/>
    <w:rsid w:val="002851FF"/>
    <w:rsid w:val="0028524D"/>
    <w:rsid w:val="00285336"/>
    <w:rsid w:val="00285366"/>
    <w:rsid w:val="00285384"/>
    <w:rsid w:val="002856BC"/>
    <w:rsid w:val="002859BD"/>
    <w:rsid w:val="00285C6F"/>
    <w:rsid w:val="00285CA5"/>
    <w:rsid w:val="00285D72"/>
    <w:rsid w:val="00285F39"/>
    <w:rsid w:val="00285FD3"/>
    <w:rsid w:val="002862AB"/>
    <w:rsid w:val="002862D4"/>
    <w:rsid w:val="002865A2"/>
    <w:rsid w:val="002865BC"/>
    <w:rsid w:val="002865F6"/>
    <w:rsid w:val="00286659"/>
    <w:rsid w:val="002866D1"/>
    <w:rsid w:val="0028672A"/>
    <w:rsid w:val="00286789"/>
    <w:rsid w:val="00286844"/>
    <w:rsid w:val="0028689F"/>
    <w:rsid w:val="00286927"/>
    <w:rsid w:val="00286A2F"/>
    <w:rsid w:val="00286B0E"/>
    <w:rsid w:val="00286B87"/>
    <w:rsid w:val="00286CA8"/>
    <w:rsid w:val="00286D15"/>
    <w:rsid w:val="00286D90"/>
    <w:rsid w:val="00286ECC"/>
    <w:rsid w:val="00287021"/>
    <w:rsid w:val="002871AF"/>
    <w:rsid w:val="0028726E"/>
    <w:rsid w:val="002875DF"/>
    <w:rsid w:val="00287656"/>
    <w:rsid w:val="00287785"/>
    <w:rsid w:val="002877F9"/>
    <w:rsid w:val="0028780B"/>
    <w:rsid w:val="002878FA"/>
    <w:rsid w:val="00287922"/>
    <w:rsid w:val="002879C8"/>
    <w:rsid w:val="002879FA"/>
    <w:rsid w:val="00287B51"/>
    <w:rsid w:val="00287C21"/>
    <w:rsid w:val="00287C59"/>
    <w:rsid w:val="00287E57"/>
    <w:rsid w:val="00290267"/>
    <w:rsid w:val="002902F1"/>
    <w:rsid w:val="0029030F"/>
    <w:rsid w:val="0029066B"/>
    <w:rsid w:val="002908EF"/>
    <w:rsid w:val="00290939"/>
    <w:rsid w:val="00290A7B"/>
    <w:rsid w:val="00290AB8"/>
    <w:rsid w:val="00290D5E"/>
    <w:rsid w:val="00290D77"/>
    <w:rsid w:val="00290EEE"/>
    <w:rsid w:val="00290F07"/>
    <w:rsid w:val="0029120A"/>
    <w:rsid w:val="00291213"/>
    <w:rsid w:val="002913BB"/>
    <w:rsid w:val="002914BE"/>
    <w:rsid w:val="00291547"/>
    <w:rsid w:val="00291574"/>
    <w:rsid w:val="0029169B"/>
    <w:rsid w:val="0029170A"/>
    <w:rsid w:val="0029179E"/>
    <w:rsid w:val="0029180A"/>
    <w:rsid w:val="00291840"/>
    <w:rsid w:val="00291A9B"/>
    <w:rsid w:val="00291E2F"/>
    <w:rsid w:val="00291EB7"/>
    <w:rsid w:val="00291EEE"/>
    <w:rsid w:val="00291FCE"/>
    <w:rsid w:val="00292012"/>
    <w:rsid w:val="00292075"/>
    <w:rsid w:val="0029211A"/>
    <w:rsid w:val="002922AE"/>
    <w:rsid w:val="00292721"/>
    <w:rsid w:val="002927F7"/>
    <w:rsid w:val="00292AA9"/>
    <w:rsid w:val="002930B6"/>
    <w:rsid w:val="002930D0"/>
    <w:rsid w:val="00293111"/>
    <w:rsid w:val="002935B0"/>
    <w:rsid w:val="002936FB"/>
    <w:rsid w:val="0029388F"/>
    <w:rsid w:val="0029398D"/>
    <w:rsid w:val="002939D3"/>
    <w:rsid w:val="00293AD8"/>
    <w:rsid w:val="002940D2"/>
    <w:rsid w:val="00294107"/>
    <w:rsid w:val="00294178"/>
    <w:rsid w:val="0029417E"/>
    <w:rsid w:val="002942C2"/>
    <w:rsid w:val="00294559"/>
    <w:rsid w:val="002945AB"/>
    <w:rsid w:val="0029461B"/>
    <w:rsid w:val="00294900"/>
    <w:rsid w:val="0029497F"/>
    <w:rsid w:val="00294E5A"/>
    <w:rsid w:val="00294FA9"/>
    <w:rsid w:val="002952B6"/>
    <w:rsid w:val="0029541A"/>
    <w:rsid w:val="00295484"/>
    <w:rsid w:val="00295489"/>
    <w:rsid w:val="002954D9"/>
    <w:rsid w:val="002954DC"/>
    <w:rsid w:val="002954E5"/>
    <w:rsid w:val="002957BB"/>
    <w:rsid w:val="00295C6F"/>
    <w:rsid w:val="0029605A"/>
    <w:rsid w:val="0029610D"/>
    <w:rsid w:val="00296181"/>
    <w:rsid w:val="0029626E"/>
    <w:rsid w:val="002962ED"/>
    <w:rsid w:val="002962FA"/>
    <w:rsid w:val="0029640E"/>
    <w:rsid w:val="00296491"/>
    <w:rsid w:val="0029656C"/>
    <w:rsid w:val="002965F7"/>
    <w:rsid w:val="0029672F"/>
    <w:rsid w:val="00296762"/>
    <w:rsid w:val="00296902"/>
    <w:rsid w:val="00296BBD"/>
    <w:rsid w:val="00296E2F"/>
    <w:rsid w:val="00297016"/>
    <w:rsid w:val="002971B3"/>
    <w:rsid w:val="002972D0"/>
    <w:rsid w:val="00297340"/>
    <w:rsid w:val="00297392"/>
    <w:rsid w:val="00297394"/>
    <w:rsid w:val="002974E3"/>
    <w:rsid w:val="0029750D"/>
    <w:rsid w:val="0029756C"/>
    <w:rsid w:val="00297867"/>
    <w:rsid w:val="002979FC"/>
    <w:rsid w:val="00297A32"/>
    <w:rsid w:val="00297F1F"/>
    <w:rsid w:val="00297FF8"/>
    <w:rsid w:val="002A0020"/>
    <w:rsid w:val="002A03FF"/>
    <w:rsid w:val="002A0543"/>
    <w:rsid w:val="002A0860"/>
    <w:rsid w:val="002A09F4"/>
    <w:rsid w:val="002A0B13"/>
    <w:rsid w:val="002A0E84"/>
    <w:rsid w:val="002A0EFA"/>
    <w:rsid w:val="002A0EFC"/>
    <w:rsid w:val="002A1052"/>
    <w:rsid w:val="002A1143"/>
    <w:rsid w:val="002A12AD"/>
    <w:rsid w:val="002A1322"/>
    <w:rsid w:val="002A1372"/>
    <w:rsid w:val="002A1398"/>
    <w:rsid w:val="002A1454"/>
    <w:rsid w:val="002A1500"/>
    <w:rsid w:val="002A1589"/>
    <w:rsid w:val="002A18AE"/>
    <w:rsid w:val="002A1A76"/>
    <w:rsid w:val="002A1E02"/>
    <w:rsid w:val="002A1E73"/>
    <w:rsid w:val="002A1FD4"/>
    <w:rsid w:val="002A20A3"/>
    <w:rsid w:val="002A21CE"/>
    <w:rsid w:val="002A21DD"/>
    <w:rsid w:val="002A2235"/>
    <w:rsid w:val="002A22C1"/>
    <w:rsid w:val="002A2392"/>
    <w:rsid w:val="002A253F"/>
    <w:rsid w:val="002A2617"/>
    <w:rsid w:val="002A263E"/>
    <w:rsid w:val="002A26AF"/>
    <w:rsid w:val="002A2720"/>
    <w:rsid w:val="002A279F"/>
    <w:rsid w:val="002A27B7"/>
    <w:rsid w:val="002A2A1C"/>
    <w:rsid w:val="002A2B1B"/>
    <w:rsid w:val="002A2C64"/>
    <w:rsid w:val="002A2D07"/>
    <w:rsid w:val="002A2D7C"/>
    <w:rsid w:val="002A2E17"/>
    <w:rsid w:val="002A3872"/>
    <w:rsid w:val="002A3AA7"/>
    <w:rsid w:val="002A3ACE"/>
    <w:rsid w:val="002A3B2C"/>
    <w:rsid w:val="002A3E24"/>
    <w:rsid w:val="002A3E45"/>
    <w:rsid w:val="002A3EA9"/>
    <w:rsid w:val="002A404D"/>
    <w:rsid w:val="002A40C5"/>
    <w:rsid w:val="002A4280"/>
    <w:rsid w:val="002A4449"/>
    <w:rsid w:val="002A44E9"/>
    <w:rsid w:val="002A44EF"/>
    <w:rsid w:val="002A4533"/>
    <w:rsid w:val="002A4639"/>
    <w:rsid w:val="002A4704"/>
    <w:rsid w:val="002A47C2"/>
    <w:rsid w:val="002A483D"/>
    <w:rsid w:val="002A4AA2"/>
    <w:rsid w:val="002A4D78"/>
    <w:rsid w:val="002A4EBF"/>
    <w:rsid w:val="002A4F2B"/>
    <w:rsid w:val="002A51EA"/>
    <w:rsid w:val="002A520B"/>
    <w:rsid w:val="002A5431"/>
    <w:rsid w:val="002A54E3"/>
    <w:rsid w:val="002A5B59"/>
    <w:rsid w:val="002A5C2C"/>
    <w:rsid w:val="002A5D0D"/>
    <w:rsid w:val="002A5F70"/>
    <w:rsid w:val="002A6475"/>
    <w:rsid w:val="002A6533"/>
    <w:rsid w:val="002A666F"/>
    <w:rsid w:val="002A672A"/>
    <w:rsid w:val="002A684F"/>
    <w:rsid w:val="002A6B0F"/>
    <w:rsid w:val="002A6B2C"/>
    <w:rsid w:val="002A6BA4"/>
    <w:rsid w:val="002A6C83"/>
    <w:rsid w:val="002A6F73"/>
    <w:rsid w:val="002A6F74"/>
    <w:rsid w:val="002A6F8D"/>
    <w:rsid w:val="002A7295"/>
    <w:rsid w:val="002A749A"/>
    <w:rsid w:val="002A7912"/>
    <w:rsid w:val="002A7A73"/>
    <w:rsid w:val="002A7DBD"/>
    <w:rsid w:val="002A7E3F"/>
    <w:rsid w:val="002A7EBC"/>
    <w:rsid w:val="002A7FA7"/>
    <w:rsid w:val="002B0177"/>
    <w:rsid w:val="002B02CD"/>
    <w:rsid w:val="002B039D"/>
    <w:rsid w:val="002B0485"/>
    <w:rsid w:val="002B0560"/>
    <w:rsid w:val="002B06C7"/>
    <w:rsid w:val="002B0702"/>
    <w:rsid w:val="002B09A6"/>
    <w:rsid w:val="002B09D7"/>
    <w:rsid w:val="002B0A64"/>
    <w:rsid w:val="002B0EB4"/>
    <w:rsid w:val="002B113B"/>
    <w:rsid w:val="002B14BD"/>
    <w:rsid w:val="002B14DA"/>
    <w:rsid w:val="002B1745"/>
    <w:rsid w:val="002B1790"/>
    <w:rsid w:val="002B19C9"/>
    <w:rsid w:val="002B1B57"/>
    <w:rsid w:val="002B1BC8"/>
    <w:rsid w:val="002B1BDF"/>
    <w:rsid w:val="002B1C1B"/>
    <w:rsid w:val="002B1D86"/>
    <w:rsid w:val="002B1F6F"/>
    <w:rsid w:val="002B1FD4"/>
    <w:rsid w:val="002B20C8"/>
    <w:rsid w:val="002B20F9"/>
    <w:rsid w:val="002B2143"/>
    <w:rsid w:val="002B21D1"/>
    <w:rsid w:val="002B23B1"/>
    <w:rsid w:val="002B23B7"/>
    <w:rsid w:val="002B24D8"/>
    <w:rsid w:val="002B261F"/>
    <w:rsid w:val="002B2624"/>
    <w:rsid w:val="002B2687"/>
    <w:rsid w:val="002B2823"/>
    <w:rsid w:val="002B29D3"/>
    <w:rsid w:val="002B2A30"/>
    <w:rsid w:val="002B2A48"/>
    <w:rsid w:val="002B2F59"/>
    <w:rsid w:val="002B3243"/>
    <w:rsid w:val="002B3289"/>
    <w:rsid w:val="002B32A0"/>
    <w:rsid w:val="002B32D6"/>
    <w:rsid w:val="002B362A"/>
    <w:rsid w:val="002B36A5"/>
    <w:rsid w:val="002B391C"/>
    <w:rsid w:val="002B3B33"/>
    <w:rsid w:val="002B3BB1"/>
    <w:rsid w:val="002B3C9F"/>
    <w:rsid w:val="002B3D76"/>
    <w:rsid w:val="002B3DDD"/>
    <w:rsid w:val="002B3E0C"/>
    <w:rsid w:val="002B3E62"/>
    <w:rsid w:val="002B4035"/>
    <w:rsid w:val="002B4114"/>
    <w:rsid w:val="002B4117"/>
    <w:rsid w:val="002B416D"/>
    <w:rsid w:val="002B42AA"/>
    <w:rsid w:val="002B42D2"/>
    <w:rsid w:val="002B43F2"/>
    <w:rsid w:val="002B46A3"/>
    <w:rsid w:val="002B46B3"/>
    <w:rsid w:val="002B470E"/>
    <w:rsid w:val="002B4792"/>
    <w:rsid w:val="002B47F3"/>
    <w:rsid w:val="002B4961"/>
    <w:rsid w:val="002B49DC"/>
    <w:rsid w:val="002B49E4"/>
    <w:rsid w:val="002B4BD7"/>
    <w:rsid w:val="002B4EB1"/>
    <w:rsid w:val="002B4F1F"/>
    <w:rsid w:val="002B50DE"/>
    <w:rsid w:val="002B513D"/>
    <w:rsid w:val="002B517C"/>
    <w:rsid w:val="002B5219"/>
    <w:rsid w:val="002B5417"/>
    <w:rsid w:val="002B54B4"/>
    <w:rsid w:val="002B55B7"/>
    <w:rsid w:val="002B55EE"/>
    <w:rsid w:val="002B5695"/>
    <w:rsid w:val="002B5A7B"/>
    <w:rsid w:val="002B5AC8"/>
    <w:rsid w:val="002B5ACA"/>
    <w:rsid w:val="002B5C0C"/>
    <w:rsid w:val="002B5C85"/>
    <w:rsid w:val="002B5DFF"/>
    <w:rsid w:val="002B5EC6"/>
    <w:rsid w:val="002B6140"/>
    <w:rsid w:val="002B629C"/>
    <w:rsid w:val="002B6646"/>
    <w:rsid w:val="002B691B"/>
    <w:rsid w:val="002B6941"/>
    <w:rsid w:val="002B6963"/>
    <w:rsid w:val="002B6B82"/>
    <w:rsid w:val="002B6C7B"/>
    <w:rsid w:val="002B6CD0"/>
    <w:rsid w:val="002B6D65"/>
    <w:rsid w:val="002B6E44"/>
    <w:rsid w:val="002B6E6D"/>
    <w:rsid w:val="002B6F21"/>
    <w:rsid w:val="002B6F77"/>
    <w:rsid w:val="002B6FD7"/>
    <w:rsid w:val="002B718A"/>
    <w:rsid w:val="002B7320"/>
    <w:rsid w:val="002B736E"/>
    <w:rsid w:val="002B73E5"/>
    <w:rsid w:val="002B73F5"/>
    <w:rsid w:val="002B7469"/>
    <w:rsid w:val="002B758B"/>
    <w:rsid w:val="002B76D7"/>
    <w:rsid w:val="002B7765"/>
    <w:rsid w:val="002B78C0"/>
    <w:rsid w:val="002B7984"/>
    <w:rsid w:val="002B7AA7"/>
    <w:rsid w:val="002B7B45"/>
    <w:rsid w:val="002B7BCC"/>
    <w:rsid w:val="002B7D1B"/>
    <w:rsid w:val="002B7D57"/>
    <w:rsid w:val="002B7E3E"/>
    <w:rsid w:val="002B7EE2"/>
    <w:rsid w:val="002B7F64"/>
    <w:rsid w:val="002C00B1"/>
    <w:rsid w:val="002C00E1"/>
    <w:rsid w:val="002C018E"/>
    <w:rsid w:val="002C01FF"/>
    <w:rsid w:val="002C029B"/>
    <w:rsid w:val="002C047C"/>
    <w:rsid w:val="002C05F9"/>
    <w:rsid w:val="002C08D1"/>
    <w:rsid w:val="002C0A1E"/>
    <w:rsid w:val="002C0AB0"/>
    <w:rsid w:val="002C0B36"/>
    <w:rsid w:val="002C0BB4"/>
    <w:rsid w:val="002C0D2D"/>
    <w:rsid w:val="002C0D85"/>
    <w:rsid w:val="002C0FEF"/>
    <w:rsid w:val="002C1136"/>
    <w:rsid w:val="002C13C2"/>
    <w:rsid w:val="002C1534"/>
    <w:rsid w:val="002C16AF"/>
    <w:rsid w:val="002C1A59"/>
    <w:rsid w:val="002C1A98"/>
    <w:rsid w:val="002C1BE2"/>
    <w:rsid w:val="002C1C9B"/>
    <w:rsid w:val="002C1CFA"/>
    <w:rsid w:val="002C1E90"/>
    <w:rsid w:val="002C1EA4"/>
    <w:rsid w:val="002C22E6"/>
    <w:rsid w:val="002C23D0"/>
    <w:rsid w:val="002C24A6"/>
    <w:rsid w:val="002C24AB"/>
    <w:rsid w:val="002C2663"/>
    <w:rsid w:val="002C26BE"/>
    <w:rsid w:val="002C28D3"/>
    <w:rsid w:val="002C2BA2"/>
    <w:rsid w:val="002C2D89"/>
    <w:rsid w:val="002C2EC3"/>
    <w:rsid w:val="002C2F7B"/>
    <w:rsid w:val="002C303B"/>
    <w:rsid w:val="002C31EA"/>
    <w:rsid w:val="002C33A3"/>
    <w:rsid w:val="002C33A7"/>
    <w:rsid w:val="002C33C8"/>
    <w:rsid w:val="002C362F"/>
    <w:rsid w:val="002C3DAD"/>
    <w:rsid w:val="002C3DE4"/>
    <w:rsid w:val="002C3E14"/>
    <w:rsid w:val="002C3E96"/>
    <w:rsid w:val="002C4089"/>
    <w:rsid w:val="002C41AB"/>
    <w:rsid w:val="002C41E3"/>
    <w:rsid w:val="002C420E"/>
    <w:rsid w:val="002C4281"/>
    <w:rsid w:val="002C441C"/>
    <w:rsid w:val="002C4768"/>
    <w:rsid w:val="002C4A3E"/>
    <w:rsid w:val="002C4A79"/>
    <w:rsid w:val="002C4BEC"/>
    <w:rsid w:val="002C515C"/>
    <w:rsid w:val="002C5183"/>
    <w:rsid w:val="002C5246"/>
    <w:rsid w:val="002C5652"/>
    <w:rsid w:val="002C5903"/>
    <w:rsid w:val="002C5A13"/>
    <w:rsid w:val="002C5B17"/>
    <w:rsid w:val="002C5B56"/>
    <w:rsid w:val="002C5C55"/>
    <w:rsid w:val="002C5D3B"/>
    <w:rsid w:val="002C5DE1"/>
    <w:rsid w:val="002C5E8E"/>
    <w:rsid w:val="002C60C4"/>
    <w:rsid w:val="002C63E6"/>
    <w:rsid w:val="002C6613"/>
    <w:rsid w:val="002C6616"/>
    <w:rsid w:val="002C68FF"/>
    <w:rsid w:val="002C690E"/>
    <w:rsid w:val="002C69BA"/>
    <w:rsid w:val="002C6BAA"/>
    <w:rsid w:val="002C6FA3"/>
    <w:rsid w:val="002C700D"/>
    <w:rsid w:val="002C712F"/>
    <w:rsid w:val="002C71DB"/>
    <w:rsid w:val="002C72F0"/>
    <w:rsid w:val="002C73C4"/>
    <w:rsid w:val="002C750F"/>
    <w:rsid w:val="002C7681"/>
    <w:rsid w:val="002C76B3"/>
    <w:rsid w:val="002C7A65"/>
    <w:rsid w:val="002C7DFF"/>
    <w:rsid w:val="002C7F31"/>
    <w:rsid w:val="002D024A"/>
    <w:rsid w:val="002D038F"/>
    <w:rsid w:val="002D06D2"/>
    <w:rsid w:val="002D08B5"/>
    <w:rsid w:val="002D0A22"/>
    <w:rsid w:val="002D0E85"/>
    <w:rsid w:val="002D0FB1"/>
    <w:rsid w:val="002D1197"/>
    <w:rsid w:val="002D1386"/>
    <w:rsid w:val="002D14EF"/>
    <w:rsid w:val="002D16CB"/>
    <w:rsid w:val="002D1700"/>
    <w:rsid w:val="002D1708"/>
    <w:rsid w:val="002D176F"/>
    <w:rsid w:val="002D19C3"/>
    <w:rsid w:val="002D1BB7"/>
    <w:rsid w:val="002D1DDD"/>
    <w:rsid w:val="002D1E63"/>
    <w:rsid w:val="002D1ECE"/>
    <w:rsid w:val="002D2134"/>
    <w:rsid w:val="002D2375"/>
    <w:rsid w:val="002D2604"/>
    <w:rsid w:val="002D27A0"/>
    <w:rsid w:val="002D27F9"/>
    <w:rsid w:val="002D28E1"/>
    <w:rsid w:val="002D29A4"/>
    <w:rsid w:val="002D29AE"/>
    <w:rsid w:val="002D2A0C"/>
    <w:rsid w:val="002D2AC9"/>
    <w:rsid w:val="002D2B42"/>
    <w:rsid w:val="002D2B66"/>
    <w:rsid w:val="002D2C16"/>
    <w:rsid w:val="002D2D3D"/>
    <w:rsid w:val="002D2E2E"/>
    <w:rsid w:val="002D3167"/>
    <w:rsid w:val="002D3271"/>
    <w:rsid w:val="002D32AF"/>
    <w:rsid w:val="002D33B4"/>
    <w:rsid w:val="002D3478"/>
    <w:rsid w:val="002D3661"/>
    <w:rsid w:val="002D36B0"/>
    <w:rsid w:val="002D3878"/>
    <w:rsid w:val="002D3924"/>
    <w:rsid w:val="002D3977"/>
    <w:rsid w:val="002D3A3D"/>
    <w:rsid w:val="002D3A67"/>
    <w:rsid w:val="002D3AE0"/>
    <w:rsid w:val="002D3B8E"/>
    <w:rsid w:val="002D3C3B"/>
    <w:rsid w:val="002D3C5D"/>
    <w:rsid w:val="002D3E32"/>
    <w:rsid w:val="002D401C"/>
    <w:rsid w:val="002D4029"/>
    <w:rsid w:val="002D4165"/>
    <w:rsid w:val="002D41D3"/>
    <w:rsid w:val="002D420B"/>
    <w:rsid w:val="002D4499"/>
    <w:rsid w:val="002D4560"/>
    <w:rsid w:val="002D45B4"/>
    <w:rsid w:val="002D4665"/>
    <w:rsid w:val="002D4994"/>
    <w:rsid w:val="002D4CA3"/>
    <w:rsid w:val="002D4CC8"/>
    <w:rsid w:val="002D4EDF"/>
    <w:rsid w:val="002D50FA"/>
    <w:rsid w:val="002D5210"/>
    <w:rsid w:val="002D5383"/>
    <w:rsid w:val="002D54C4"/>
    <w:rsid w:val="002D5603"/>
    <w:rsid w:val="002D5767"/>
    <w:rsid w:val="002D5779"/>
    <w:rsid w:val="002D585A"/>
    <w:rsid w:val="002D5865"/>
    <w:rsid w:val="002D5BC4"/>
    <w:rsid w:val="002D5CF5"/>
    <w:rsid w:val="002D5E00"/>
    <w:rsid w:val="002D5F31"/>
    <w:rsid w:val="002D613F"/>
    <w:rsid w:val="002D6200"/>
    <w:rsid w:val="002D63D8"/>
    <w:rsid w:val="002D6529"/>
    <w:rsid w:val="002D6655"/>
    <w:rsid w:val="002D6722"/>
    <w:rsid w:val="002D6866"/>
    <w:rsid w:val="002D6A03"/>
    <w:rsid w:val="002D6A1B"/>
    <w:rsid w:val="002D6B01"/>
    <w:rsid w:val="002D6B64"/>
    <w:rsid w:val="002D6C54"/>
    <w:rsid w:val="002D6EEF"/>
    <w:rsid w:val="002D6F06"/>
    <w:rsid w:val="002D6FF6"/>
    <w:rsid w:val="002D72AA"/>
    <w:rsid w:val="002D7352"/>
    <w:rsid w:val="002D73F2"/>
    <w:rsid w:val="002D741E"/>
    <w:rsid w:val="002D760F"/>
    <w:rsid w:val="002D766D"/>
    <w:rsid w:val="002D7706"/>
    <w:rsid w:val="002D77D7"/>
    <w:rsid w:val="002D7893"/>
    <w:rsid w:val="002D7B20"/>
    <w:rsid w:val="002D7BAA"/>
    <w:rsid w:val="002E024F"/>
    <w:rsid w:val="002E026D"/>
    <w:rsid w:val="002E0729"/>
    <w:rsid w:val="002E082D"/>
    <w:rsid w:val="002E0865"/>
    <w:rsid w:val="002E08F9"/>
    <w:rsid w:val="002E0ACC"/>
    <w:rsid w:val="002E0B87"/>
    <w:rsid w:val="002E0BD2"/>
    <w:rsid w:val="002E0C2E"/>
    <w:rsid w:val="002E0CF9"/>
    <w:rsid w:val="002E0D5F"/>
    <w:rsid w:val="002E0DB6"/>
    <w:rsid w:val="002E0FB3"/>
    <w:rsid w:val="002E126D"/>
    <w:rsid w:val="002E1373"/>
    <w:rsid w:val="002E1492"/>
    <w:rsid w:val="002E14F8"/>
    <w:rsid w:val="002E1681"/>
    <w:rsid w:val="002E19D5"/>
    <w:rsid w:val="002E1A5F"/>
    <w:rsid w:val="002E1C35"/>
    <w:rsid w:val="002E1DAF"/>
    <w:rsid w:val="002E2040"/>
    <w:rsid w:val="002E20BB"/>
    <w:rsid w:val="002E216B"/>
    <w:rsid w:val="002E22EA"/>
    <w:rsid w:val="002E22FB"/>
    <w:rsid w:val="002E236C"/>
    <w:rsid w:val="002E25F7"/>
    <w:rsid w:val="002E269D"/>
    <w:rsid w:val="002E2788"/>
    <w:rsid w:val="002E288F"/>
    <w:rsid w:val="002E28D8"/>
    <w:rsid w:val="002E2DD4"/>
    <w:rsid w:val="002E2EC1"/>
    <w:rsid w:val="002E2FC5"/>
    <w:rsid w:val="002E3000"/>
    <w:rsid w:val="002E3157"/>
    <w:rsid w:val="002E31F1"/>
    <w:rsid w:val="002E3300"/>
    <w:rsid w:val="002E343F"/>
    <w:rsid w:val="002E3687"/>
    <w:rsid w:val="002E36B6"/>
    <w:rsid w:val="002E36D9"/>
    <w:rsid w:val="002E3809"/>
    <w:rsid w:val="002E3927"/>
    <w:rsid w:val="002E39FA"/>
    <w:rsid w:val="002E3A49"/>
    <w:rsid w:val="002E3F06"/>
    <w:rsid w:val="002E407C"/>
    <w:rsid w:val="002E408E"/>
    <w:rsid w:val="002E40F5"/>
    <w:rsid w:val="002E4128"/>
    <w:rsid w:val="002E41B2"/>
    <w:rsid w:val="002E4215"/>
    <w:rsid w:val="002E428D"/>
    <w:rsid w:val="002E473E"/>
    <w:rsid w:val="002E4774"/>
    <w:rsid w:val="002E4788"/>
    <w:rsid w:val="002E48E0"/>
    <w:rsid w:val="002E48E3"/>
    <w:rsid w:val="002E4939"/>
    <w:rsid w:val="002E4AF9"/>
    <w:rsid w:val="002E4C07"/>
    <w:rsid w:val="002E4E0A"/>
    <w:rsid w:val="002E4FA2"/>
    <w:rsid w:val="002E504B"/>
    <w:rsid w:val="002E505E"/>
    <w:rsid w:val="002E5414"/>
    <w:rsid w:val="002E54CC"/>
    <w:rsid w:val="002E561B"/>
    <w:rsid w:val="002E569E"/>
    <w:rsid w:val="002E57A2"/>
    <w:rsid w:val="002E5A13"/>
    <w:rsid w:val="002E5A5D"/>
    <w:rsid w:val="002E5A98"/>
    <w:rsid w:val="002E5ADD"/>
    <w:rsid w:val="002E5B45"/>
    <w:rsid w:val="002E5DEC"/>
    <w:rsid w:val="002E5E4B"/>
    <w:rsid w:val="002E5E65"/>
    <w:rsid w:val="002E5EF6"/>
    <w:rsid w:val="002E5F17"/>
    <w:rsid w:val="002E605C"/>
    <w:rsid w:val="002E60DE"/>
    <w:rsid w:val="002E611D"/>
    <w:rsid w:val="002E633A"/>
    <w:rsid w:val="002E64DE"/>
    <w:rsid w:val="002E66FF"/>
    <w:rsid w:val="002E677E"/>
    <w:rsid w:val="002E6850"/>
    <w:rsid w:val="002E6869"/>
    <w:rsid w:val="002E686D"/>
    <w:rsid w:val="002E68C9"/>
    <w:rsid w:val="002E6941"/>
    <w:rsid w:val="002E6DA9"/>
    <w:rsid w:val="002E6E29"/>
    <w:rsid w:val="002E6F06"/>
    <w:rsid w:val="002E714A"/>
    <w:rsid w:val="002E7328"/>
    <w:rsid w:val="002E7410"/>
    <w:rsid w:val="002E74CE"/>
    <w:rsid w:val="002E785C"/>
    <w:rsid w:val="002E786F"/>
    <w:rsid w:val="002E78B9"/>
    <w:rsid w:val="002E7BFE"/>
    <w:rsid w:val="002E7D66"/>
    <w:rsid w:val="002E7FF1"/>
    <w:rsid w:val="002F01EF"/>
    <w:rsid w:val="002F0288"/>
    <w:rsid w:val="002F0624"/>
    <w:rsid w:val="002F0779"/>
    <w:rsid w:val="002F07EE"/>
    <w:rsid w:val="002F09DC"/>
    <w:rsid w:val="002F0A00"/>
    <w:rsid w:val="002F0A05"/>
    <w:rsid w:val="002F0A19"/>
    <w:rsid w:val="002F0AB6"/>
    <w:rsid w:val="002F0B56"/>
    <w:rsid w:val="002F0BE5"/>
    <w:rsid w:val="002F0BF1"/>
    <w:rsid w:val="002F10CD"/>
    <w:rsid w:val="002F1161"/>
    <w:rsid w:val="002F1179"/>
    <w:rsid w:val="002F1188"/>
    <w:rsid w:val="002F1507"/>
    <w:rsid w:val="002F15E0"/>
    <w:rsid w:val="002F1616"/>
    <w:rsid w:val="002F167F"/>
    <w:rsid w:val="002F1758"/>
    <w:rsid w:val="002F17D3"/>
    <w:rsid w:val="002F17D4"/>
    <w:rsid w:val="002F193E"/>
    <w:rsid w:val="002F1C82"/>
    <w:rsid w:val="002F1E25"/>
    <w:rsid w:val="002F1EC9"/>
    <w:rsid w:val="002F1F26"/>
    <w:rsid w:val="002F1FF3"/>
    <w:rsid w:val="002F21DC"/>
    <w:rsid w:val="002F23B2"/>
    <w:rsid w:val="002F25FC"/>
    <w:rsid w:val="002F2607"/>
    <w:rsid w:val="002F262D"/>
    <w:rsid w:val="002F269B"/>
    <w:rsid w:val="002F275F"/>
    <w:rsid w:val="002F27E3"/>
    <w:rsid w:val="002F2809"/>
    <w:rsid w:val="002F28A7"/>
    <w:rsid w:val="002F28AF"/>
    <w:rsid w:val="002F28C3"/>
    <w:rsid w:val="002F2957"/>
    <w:rsid w:val="002F2A2D"/>
    <w:rsid w:val="002F2A6F"/>
    <w:rsid w:val="002F2DED"/>
    <w:rsid w:val="002F2E68"/>
    <w:rsid w:val="002F3152"/>
    <w:rsid w:val="002F3309"/>
    <w:rsid w:val="002F3466"/>
    <w:rsid w:val="002F3666"/>
    <w:rsid w:val="002F3875"/>
    <w:rsid w:val="002F3A2B"/>
    <w:rsid w:val="002F3B25"/>
    <w:rsid w:val="002F3C64"/>
    <w:rsid w:val="002F3DAE"/>
    <w:rsid w:val="002F3F01"/>
    <w:rsid w:val="002F3F59"/>
    <w:rsid w:val="002F3FB1"/>
    <w:rsid w:val="002F4147"/>
    <w:rsid w:val="002F4392"/>
    <w:rsid w:val="002F447E"/>
    <w:rsid w:val="002F490B"/>
    <w:rsid w:val="002F49C5"/>
    <w:rsid w:val="002F4A21"/>
    <w:rsid w:val="002F4BD3"/>
    <w:rsid w:val="002F4D24"/>
    <w:rsid w:val="002F4F43"/>
    <w:rsid w:val="002F4FF2"/>
    <w:rsid w:val="002F50DD"/>
    <w:rsid w:val="002F5103"/>
    <w:rsid w:val="002F5129"/>
    <w:rsid w:val="002F5131"/>
    <w:rsid w:val="002F5136"/>
    <w:rsid w:val="002F513B"/>
    <w:rsid w:val="002F5159"/>
    <w:rsid w:val="002F5264"/>
    <w:rsid w:val="002F5312"/>
    <w:rsid w:val="002F5314"/>
    <w:rsid w:val="002F5391"/>
    <w:rsid w:val="002F54B1"/>
    <w:rsid w:val="002F555D"/>
    <w:rsid w:val="002F574A"/>
    <w:rsid w:val="002F599A"/>
    <w:rsid w:val="002F5A66"/>
    <w:rsid w:val="002F5B8B"/>
    <w:rsid w:val="002F5F3B"/>
    <w:rsid w:val="002F61EB"/>
    <w:rsid w:val="002F6254"/>
    <w:rsid w:val="002F64FD"/>
    <w:rsid w:val="002F65D8"/>
    <w:rsid w:val="002F67E2"/>
    <w:rsid w:val="002F69C5"/>
    <w:rsid w:val="002F69D4"/>
    <w:rsid w:val="002F6BC0"/>
    <w:rsid w:val="002F6C73"/>
    <w:rsid w:val="002F6CBE"/>
    <w:rsid w:val="002F6E14"/>
    <w:rsid w:val="002F71CD"/>
    <w:rsid w:val="002F725D"/>
    <w:rsid w:val="002F73A2"/>
    <w:rsid w:val="002F7410"/>
    <w:rsid w:val="002F7590"/>
    <w:rsid w:val="002F7808"/>
    <w:rsid w:val="002F78A8"/>
    <w:rsid w:val="002F7B0C"/>
    <w:rsid w:val="002F7BE5"/>
    <w:rsid w:val="002F7DF9"/>
    <w:rsid w:val="002F7EEA"/>
    <w:rsid w:val="002F7F33"/>
    <w:rsid w:val="002F7F7B"/>
    <w:rsid w:val="002F7FD6"/>
    <w:rsid w:val="003000CF"/>
    <w:rsid w:val="0030014C"/>
    <w:rsid w:val="003001CD"/>
    <w:rsid w:val="003002AC"/>
    <w:rsid w:val="0030056C"/>
    <w:rsid w:val="00300722"/>
    <w:rsid w:val="00300A6E"/>
    <w:rsid w:val="00300AF4"/>
    <w:rsid w:val="00300C3C"/>
    <w:rsid w:val="0030117D"/>
    <w:rsid w:val="0030119C"/>
    <w:rsid w:val="003011B5"/>
    <w:rsid w:val="003013B0"/>
    <w:rsid w:val="003014C0"/>
    <w:rsid w:val="003014F2"/>
    <w:rsid w:val="00301728"/>
    <w:rsid w:val="00301AE7"/>
    <w:rsid w:val="00301BB9"/>
    <w:rsid w:val="00301C08"/>
    <w:rsid w:val="00301CB2"/>
    <w:rsid w:val="00301CC6"/>
    <w:rsid w:val="00301DB2"/>
    <w:rsid w:val="00301DC4"/>
    <w:rsid w:val="0030211A"/>
    <w:rsid w:val="003021FA"/>
    <w:rsid w:val="003023D3"/>
    <w:rsid w:val="00302730"/>
    <w:rsid w:val="00302935"/>
    <w:rsid w:val="00302958"/>
    <w:rsid w:val="00302BE6"/>
    <w:rsid w:val="00302CE0"/>
    <w:rsid w:val="00302D05"/>
    <w:rsid w:val="00302E16"/>
    <w:rsid w:val="00302E1C"/>
    <w:rsid w:val="00302E6F"/>
    <w:rsid w:val="00302EE4"/>
    <w:rsid w:val="00302F8D"/>
    <w:rsid w:val="00303053"/>
    <w:rsid w:val="003030CA"/>
    <w:rsid w:val="003032B2"/>
    <w:rsid w:val="00303600"/>
    <w:rsid w:val="00303621"/>
    <w:rsid w:val="00303741"/>
    <w:rsid w:val="00303744"/>
    <w:rsid w:val="003037ED"/>
    <w:rsid w:val="00303893"/>
    <w:rsid w:val="00303BB4"/>
    <w:rsid w:val="00303CAB"/>
    <w:rsid w:val="00303D60"/>
    <w:rsid w:val="00303D9C"/>
    <w:rsid w:val="00303EC4"/>
    <w:rsid w:val="00303FD3"/>
    <w:rsid w:val="00304029"/>
    <w:rsid w:val="003040D7"/>
    <w:rsid w:val="003043C5"/>
    <w:rsid w:val="0030449E"/>
    <w:rsid w:val="003044D9"/>
    <w:rsid w:val="0030456C"/>
    <w:rsid w:val="003045DF"/>
    <w:rsid w:val="00304796"/>
    <w:rsid w:val="003047BB"/>
    <w:rsid w:val="003048DC"/>
    <w:rsid w:val="003048E5"/>
    <w:rsid w:val="00304A65"/>
    <w:rsid w:val="00304AD8"/>
    <w:rsid w:val="00304B7E"/>
    <w:rsid w:val="00304EEF"/>
    <w:rsid w:val="00305041"/>
    <w:rsid w:val="00305045"/>
    <w:rsid w:val="003051A8"/>
    <w:rsid w:val="003054DA"/>
    <w:rsid w:val="00305521"/>
    <w:rsid w:val="00305610"/>
    <w:rsid w:val="00305938"/>
    <w:rsid w:val="003059C4"/>
    <w:rsid w:val="00305B02"/>
    <w:rsid w:val="00305C20"/>
    <w:rsid w:val="00305D39"/>
    <w:rsid w:val="00305E30"/>
    <w:rsid w:val="00305F4A"/>
    <w:rsid w:val="0030600D"/>
    <w:rsid w:val="00306021"/>
    <w:rsid w:val="0030609F"/>
    <w:rsid w:val="00306134"/>
    <w:rsid w:val="0030619C"/>
    <w:rsid w:val="00306226"/>
    <w:rsid w:val="00306237"/>
    <w:rsid w:val="00306429"/>
    <w:rsid w:val="00306586"/>
    <w:rsid w:val="003065BA"/>
    <w:rsid w:val="00306704"/>
    <w:rsid w:val="003067D1"/>
    <w:rsid w:val="00306954"/>
    <w:rsid w:val="00306BF0"/>
    <w:rsid w:val="00306BFC"/>
    <w:rsid w:val="00306C69"/>
    <w:rsid w:val="00306D0F"/>
    <w:rsid w:val="00306DE9"/>
    <w:rsid w:val="00306F9C"/>
    <w:rsid w:val="0030711E"/>
    <w:rsid w:val="0030715B"/>
    <w:rsid w:val="003071B2"/>
    <w:rsid w:val="003071B3"/>
    <w:rsid w:val="003071ED"/>
    <w:rsid w:val="003073E1"/>
    <w:rsid w:val="00307475"/>
    <w:rsid w:val="0030765C"/>
    <w:rsid w:val="003077C8"/>
    <w:rsid w:val="00307980"/>
    <w:rsid w:val="003079A9"/>
    <w:rsid w:val="00307A7E"/>
    <w:rsid w:val="00307CA7"/>
    <w:rsid w:val="00307D5C"/>
    <w:rsid w:val="00307E52"/>
    <w:rsid w:val="00307EC9"/>
    <w:rsid w:val="00310133"/>
    <w:rsid w:val="0031089E"/>
    <w:rsid w:val="003108DA"/>
    <w:rsid w:val="0031090A"/>
    <w:rsid w:val="00310ACF"/>
    <w:rsid w:val="00310B12"/>
    <w:rsid w:val="0031102F"/>
    <w:rsid w:val="003111D2"/>
    <w:rsid w:val="003113EF"/>
    <w:rsid w:val="003114E6"/>
    <w:rsid w:val="0031164A"/>
    <w:rsid w:val="003116A5"/>
    <w:rsid w:val="003116C4"/>
    <w:rsid w:val="00311B11"/>
    <w:rsid w:val="00311BF9"/>
    <w:rsid w:val="00311C49"/>
    <w:rsid w:val="00311E8B"/>
    <w:rsid w:val="003121A8"/>
    <w:rsid w:val="0031231F"/>
    <w:rsid w:val="0031232A"/>
    <w:rsid w:val="0031232D"/>
    <w:rsid w:val="00312419"/>
    <w:rsid w:val="00312545"/>
    <w:rsid w:val="0031260E"/>
    <w:rsid w:val="0031266A"/>
    <w:rsid w:val="0031266F"/>
    <w:rsid w:val="003127C0"/>
    <w:rsid w:val="003127D1"/>
    <w:rsid w:val="003127F0"/>
    <w:rsid w:val="0031296A"/>
    <w:rsid w:val="00312A4B"/>
    <w:rsid w:val="00312C6B"/>
    <w:rsid w:val="00312D25"/>
    <w:rsid w:val="00312D5D"/>
    <w:rsid w:val="00312DA9"/>
    <w:rsid w:val="00312E9A"/>
    <w:rsid w:val="00312FB7"/>
    <w:rsid w:val="00313071"/>
    <w:rsid w:val="0031326B"/>
    <w:rsid w:val="00313276"/>
    <w:rsid w:val="00313282"/>
    <w:rsid w:val="00313AC0"/>
    <w:rsid w:val="00313B32"/>
    <w:rsid w:val="00313BA1"/>
    <w:rsid w:val="00313D3A"/>
    <w:rsid w:val="00313D6B"/>
    <w:rsid w:val="00313F05"/>
    <w:rsid w:val="00313F09"/>
    <w:rsid w:val="00313FAF"/>
    <w:rsid w:val="00314222"/>
    <w:rsid w:val="003142C0"/>
    <w:rsid w:val="0031453A"/>
    <w:rsid w:val="00314645"/>
    <w:rsid w:val="003146AF"/>
    <w:rsid w:val="00314797"/>
    <w:rsid w:val="00314FD1"/>
    <w:rsid w:val="00315258"/>
    <w:rsid w:val="003152FD"/>
    <w:rsid w:val="00315501"/>
    <w:rsid w:val="00315534"/>
    <w:rsid w:val="003155EA"/>
    <w:rsid w:val="003156CE"/>
    <w:rsid w:val="003157D2"/>
    <w:rsid w:val="00315825"/>
    <w:rsid w:val="00315916"/>
    <w:rsid w:val="0031598A"/>
    <w:rsid w:val="00315A21"/>
    <w:rsid w:val="00315C26"/>
    <w:rsid w:val="00315CAB"/>
    <w:rsid w:val="00315CBF"/>
    <w:rsid w:val="00316215"/>
    <w:rsid w:val="00316294"/>
    <w:rsid w:val="003162D9"/>
    <w:rsid w:val="003162F3"/>
    <w:rsid w:val="00316456"/>
    <w:rsid w:val="003165AC"/>
    <w:rsid w:val="00316632"/>
    <w:rsid w:val="003166A4"/>
    <w:rsid w:val="0031684A"/>
    <w:rsid w:val="0031685E"/>
    <w:rsid w:val="00316910"/>
    <w:rsid w:val="003169EF"/>
    <w:rsid w:val="00316E2E"/>
    <w:rsid w:val="00316F2D"/>
    <w:rsid w:val="00317167"/>
    <w:rsid w:val="003173AA"/>
    <w:rsid w:val="00317405"/>
    <w:rsid w:val="003174A0"/>
    <w:rsid w:val="003174C4"/>
    <w:rsid w:val="00317624"/>
    <w:rsid w:val="00317689"/>
    <w:rsid w:val="00317C70"/>
    <w:rsid w:val="00317CBD"/>
    <w:rsid w:val="00317CD4"/>
    <w:rsid w:val="00317DA6"/>
    <w:rsid w:val="00317ED0"/>
    <w:rsid w:val="00317F67"/>
    <w:rsid w:val="0032023D"/>
    <w:rsid w:val="003203E8"/>
    <w:rsid w:val="00320437"/>
    <w:rsid w:val="00320580"/>
    <w:rsid w:val="0032059F"/>
    <w:rsid w:val="003206BD"/>
    <w:rsid w:val="0032078A"/>
    <w:rsid w:val="0032084C"/>
    <w:rsid w:val="00320883"/>
    <w:rsid w:val="003208F2"/>
    <w:rsid w:val="00320A4A"/>
    <w:rsid w:val="00320B19"/>
    <w:rsid w:val="00320B97"/>
    <w:rsid w:val="00320C32"/>
    <w:rsid w:val="00320E4E"/>
    <w:rsid w:val="00320EB0"/>
    <w:rsid w:val="0032108B"/>
    <w:rsid w:val="00321247"/>
    <w:rsid w:val="003212B2"/>
    <w:rsid w:val="0032151C"/>
    <w:rsid w:val="00321763"/>
    <w:rsid w:val="00321833"/>
    <w:rsid w:val="00321D31"/>
    <w:rsid w:val="00321D59"/>
    <w:rsid w:val="0032205B"/>
    <w:rsid w:val="003220B2"/>
    <w:rsid w:val="003221A5"/>
    <w:rsid w:val="00322476"/>
    <w:rsid w:val="003228E4"/>
    <w:rsid w:val="00322ACF"/>
    <w:rsid w:val="00322B0A"/>
    <w:rsid w:val="00322C39"/>
    <w:rsid w:val="00322FC4"/>
    <w:rsid w:val="00322FD2"/>
    <w:rsid w:val="00323030"/>
    <w:rsid w:val="003230AB"/>
    <w:rsid w:val="0032319D"/>
    <w:rsid w:val="003231DE"/>
    <w:rsid w:val="003231F2"/>
    <w:rsid w:val="0032323A"/>
    <w:rsid w:val="00323267"/>
    <w:rsid w:val="003233FE"/>
    <w:rsid w:val="00323556"/>
    <w:rsid w:val="00323695"/>
    <w:rsid w:val="00323790"/>
    <w:rsid w:val="00323B14"/>
    <w:rsid w:val="00323BC1"/>
    <w:rsid w:val="00324105"/>
    <w:rsid w:val="00324218"/>
    <w:rsid w:val="00324297"/>
    <w:rsid w:val="003242E9"/>
    <w:rsid w:val="0032435E"/>
    <w:rsid w:val="00324606"/>
    <w:rsid w:val="003247A6"/>
    <w:rsid w:val="00324A12"/>
    <w:rsid w:val="00324AE2"/>
    <w:rsid w:val="00324FC1"/>
    <w:rsid w:val="00324FD3"/>
    <w:rsid w:val="003253F6"/>
    <w:rsid w:val="00325598"/>
    <w:rsid w:val="00325599"/>
    <w:rsid w:val="0032563F"/>
    <w:rsid w:val="00325681"/>
    <w:rsid w:val="00325C83"/>
    <w:rsid w:val="00325D44"/>
    <w:rsid w:val="00325D53"/>
    <w:rsid w:val="00325E19"/>
    <w:rsid w:val="00325F9A"/>
    <w:rsid w:val="00325FF1"/>
    <w:rsid w:val="0032602D"/>
    <w:rsid w:val="00326088"/>
    <w:rsid w:val="00326113"/>
    <w:rsid w:val="0032617D"/>
    <w:rsid w:val="00326197"/>
    <w:rsid w:val="003262B1"/>
    <w:rsid w:val="003262B6"/>
    <w:rsid w:val="00326481"/>
    <w:rsid w:val="0032657B"/>
    <w:rsid w:val="00326893"/>
    <w:rsid w:val="003268A6"/>
    <w:rsid w:val="003268BB"/>
    <w:rsid w:val="003268D5"/>
    <w:rsid w:val="00326945"/>
    <w:rsid w:val="003269C1"/>
    <w:rsid w:val="00326CED"/>
    <w:rsid w:val="00326E08"/>
    <w:rsid w:val="00326EC5"/>
    <w:rsid w:val="00327090"/>
    <w:rsid w:val="003270BD"/>
    <w:rsid w:val="00327245"/>
    <w:rsid w:val="00327287"/>
    <w:rsid w:val="00327292"/>
    <w:rsid w:val="00327313"/>
    <w:rsid w:val="00327555"/>
    <w:rsid w:val="003275A0"/>
    <w:rsid w:val="00327631"/>
    <w:rsid w:val="003276B8"/>
    <w:rsid w:val="00327709"/>
    <w:rsid w:val="00327A6B"/>
    <w:rsid w:val="00327AC9"/>
    <w:rsid w:val="00327AF6"/>
    <w:rsid w:val="00327DAE"/>
    <w:rsid w:val="00327E0B"/>
    <w:rsid w:val="003301DA"/>
    <w:rsid w:val="00330357"/>
    <w:rsid w:val="003303F3"/>
    <w:rsid w:val="003304A8"/>
    <w:rsid w:val="003308FD"/>
    <w:rsid w:val="00330A9F"/>
    <w:rsid w:val="00330C88"/>
    <w:rsid w:val="00330CD2"/>
    <w:rsid w:val="00330E48"/>
    <w:rsid w:val="00330F63"/>
    <w:rsid w:val="00331047"/>
    <w:rsid w:val="0033115F"/>
    <w:rsid w:val="00331186"/>
    <w:rsid w:val="00331492"/>
    <w:rsid w:val="003315C6"/>
    <w:rsid w:val="0033190A"/>
    <w:rsid w:val="00331AD7"/>
    <w:rsid w:val="00331CAB"/>
    <w:rsid w:val="00331DDA"/>
    <w:rsid w:val="00331E13"/>
    <w:rsid w:val="003320C3"/>
    <w:rsid w:val="003320FE"/>
    <w:rsid w:val="0033232A"/>
    <w:rsid w:val="00332388"/>
    <w:rsid w:val="003323D0"/>
    <w:rsid w:val="003324D2"/>
    <w:rsid w:val="00332725"/>
    <w:rsid w:val="00332796"/>
    <w:rsid w:val="003328EE"/>
    <w:rsid w:val="00332B18"/>
    <w:rsid w:val="00332B6C"/>
    <w:rsid w:val="00332D25"/>
    <w:rsid w:val="00332DEA"/>
    <w:rsid w:val="00332F71"/>
    <w:rsid w:val="0033304D"/>
    <w:rsid w:val="00333208"/>
    <w:rsid w:val="0033327E"/>
    <w:rsid w:val="00333398"/>
    <w:rsid w:val="003334F9"/>
    <w:rsid w:val="003335D6"/>
    <w:rsid w:val="003336F9"/>
    <w:rsid w:val="00333A2D"/>
    <w:rsid w:val="00333C0C"/>
    <w:rsid w:val="00333C1B"/>
    <w:rsid w:val="00333CE6"/>
    <w:rsid w:val="0033401D"/>
    <w:rsid w:val="003340C2"/>
    <w:rsid w:val="0033414F"/>
    <w:rsid w:val="003341AD"/>
    <w:rsid w:val="00334247"/>
    <w:rsid w:val="0033436D"/>
    <w:rsid w:val="00334916"/>
    <w:rsid w:val="00334CAD"/>
    <w:rsid w:val="00334CCE"/>
    <w:rsid w:val="00334E47"/>
    <w:rsid w:val="003352C1"/>
    <w:rsid w:val="00335420"/>
    <w:rsid w:val="003357D4"/>
    <w:rsid w:val="00335BDE"/>
    <w:rsid w:val="00335C51"/>
    <w:rsid w:val="00335E60"/>
    <w:rsid w:val="00335FD2"/>
    <w:rsid w:val="00336087"/>
    <w:rsid w:val="003360C2"/>
    <w:rsid w:val="0033616E"/>
    <w:rsid w:val="003361C3"/>
    <w:rsid w:val="00336312"/>
    <w:rsid w:val="00336323"/>
    <w:rsid w:val="00336468"/>
    <w:rsid w:val="003365A7"/>
    <w:rsid w:val="00336754"/>
    <w:rsid w:val="0033682B"/>
    <w:rsid w:val="003368B6"/>
    <w:rsid w:val="003368CC"/>
    <w:rsid w:val="00336AAB"/>
    <w:rsid w:val="00336DED"/>
    <w:rsid w:val="0033710C"/>
    <w:rsid w:val="0033765E"/>
    <w:rsid w:val="003376FA"/>
    <w:rsid w:val="0033775C"/>
    <w:rsid w:val="00337805"/>
    <w:rsid w:val="003378F0"/>
    <w:rsid w:val="0033793A"/>
    <w:rsid w:val="00337BF5"/>
    <w:rsid w:val="00337CFA"/>
    <w:rsid w:val="00337DD1"/>
    <w:rsid w:val="00337EC7"/>
    <w:rsid w:val="00337F23"/>
    <w:rsid w:val="00337FAF"/>
    <w:rsid w:val="00340085"/>
    <w:rsid w:val="0034015C"/>
    <w:rsid w:val="00340186"/>
    <w:rsid w:val="00340187"/>
    <w:rsid w:val="0034018B"/>
    <w:rsid w:val="003404E2"/>
    <w:rsid w:val="00340878"/>
    <w:rsid w:val="003408C3"/>
    <w:rsid w:val="00340BA3"/>
    <w:rsid w:val="00340BE1"/>
    <w:rsid w:val="00340C60"/>
    <w:rsid w:val="00340CCF"/>
    <w:rsid w:val="00340E1D"/>
    <w:rsid w:val="00340E22"/>
    <w:rsid w:val="003410FD"/>
    <w:rsid w:val="00341163"/>
    <w:rsid w:val="0034138F"/>
    <w:rsid w:val="00341436"/>
    <w:rsid w:val="003415B3"/>
    <w:rsid w:val="00341757"/>
    <w:rsid w:val="00341CAC"/>
    <w:rsid w:val="00341E56"/>
    <w:rsid w:val="00341FA3"/>
    <w:rsid w:val="003421E9"/>
    <w:rsid w:val="00342488"/>
    <w:rsid w:val="003425B6"/>
    <w:rsid w:val="003427CC"/>
    <w:rsid w:val="0034289A"/>
    <w:rsid w:val="00342B47"/>
    <w:rsid w:val="00342B69"/>
    <w:rsid w:val="00342B6F"/>
    <w:rsid w:val="00342C5E"/>
    <w:rsid w:val="00342CFF"/>
    <w:rsid w:val="00342EA8"/>
    <w:rsid w:val="00342F29"/>
    <w:rsid w:val="003430BB"/>
    <w:rsid w:val="00343177"/>
    <w:rsid w:val="00343367"/>
    <w:rsid w:val="0034338F"/>
    <w:rsid w:val="00343723"/>
    <w:rsid w:val="0034378D"/>
    <w:rsid w:val="00343A5B"/>
    <w:rsid w:val="00343A94"/>
    <w:rsid w:val="00343B6D"/>
    <w:rsid w:val="00343BBC"/>
    <w:rsid w:val="00343BDE"/>
    <w:rsid w:val="00343C80"/>
    <w:rsid w:val="00343D60"/>
    <w:rsid w:val="00344365"/>
    <w:rsid w:val="003444FD"/>
    <w:rsid w:val="00344734"/>
    <w:rsid w:val="00344793"/>
    <w:rsid w:val="003447B5"/>
    <w:rsid w:val="003447EF"/>
    <w:rsid w:val="00344AE3"/>
    <w:rsid w:val="00344C84"/>
    <w:rsid w:val="00344D14"/>
    <w:rsid w:val="00344EF7"/>
    <w:rsid w:val="00345014"/>
    <w:rsid w:val="003451C8"/>
    <w:rsid w:val="003451E0"/>
    <w:rsid w:val="003456BE"/>
    <w:rsid w:val="0034574B"/>
    <w:rsid w:val="003457F2"/>
    <w:rsid w:val="00345B00"/>
    <w:rsid w:val="00345B2F"/>
    <w:rsid w:val="00345B7D"/>
    <w:rsid w:val="00345BE4"/>
    <w:rsid w:val="00345CC8"/>
    <w:rsid w:val="0034613E"/>
    <w:rsid w:val="00346174"/>
    <w:rsid w:val="003462CA"/>
    <w:rsid w:val="00346305"/>
    <w:rsid w:val="00346424"/>
    <w:rsid w:val="0034649E"/>
    <w:rsid w:val="00346557"/>
    <w:rsid w:val="00346629"/>
    <w:rsid w:val="0034683F"/>
    <w:rsid w:val="0034693D"/>
    <w:rsid w:val="00346EF8"/>
    <w:rsid w:val="00346F35"/>
    <w:rsid w:val="00346FA2"/>
    <w:rsid w:val="00346FB0"/>
    <w:rsid w:val="003470B9"/>
    <w:rsid w:val="003470E7"/>
    <w:rsid w:val="003473BE"/>
    <w:rsid w:val="00347566"/>
    <w:rsid w:val="00347649"/>
    <w:rsid w:val="003476D9"/>
    <w:rsid w:val="00347869"/>
    <w:rsid w:val="003478C1"/>
    <w:rsid w:val="0034791A"/>
    <w:rsid w:val="00347988"/>
    <w:rsid w:val="00347C0F"/>
    <w:rsid w:val="00347C1D"/>
    <w:rsid w:val="00347D54"/>
    <w:rsid w:val="00347E95"/>
    <w:rsid w:val="00347F0A"/>
    <w:rsid w:val="00347F1D"/>
    <w:rsid w:val="00350112"/>
    <w:rsid w:val="00350287"/>
    <w:rsid w:val="0035030B"/>
    <w:rsid w:val="003503A3"/>
    <w:rsid w:val="00350573"/>
    <w:rsid w:val="0035061E"/>
    <w:rsid w:val="0035064B"/>
    <w:rsid w:val="0035069D"/>
    <w:rsid w:val="00350783"/>
    <w:rsid w:val="00350ADA"/>
    <w:rsid w:val="00350B24"/>
    <w:rsid w:val="00350DDD"/>
    <w:rsid w:val="00351042"/>
    <w:rsid w:val="00351270"/>
    <w:rsid w:val="003512F1"/>
    <w:rsid w:val="00351300"/>
    <w:rsid w:val="0035130C"/>
    <w:rsid w:val="00351315"/>
    <w:rsid w:val="00351338"/>
    <w:rsid w:val="00351356"/>
    <w:rsid w:val="00351467"/>
    <w:rsid w:val="0035156F"/>
    <w:rsid w:val="003516B6"/>
    <w:rsid w:val="003517D4"/>
    <w:rsid w:val="00351848"/>
    <w:rsid w:val="00351877"/>
    <w:rsid w:val="003518B3"/>
    <w:rsid w:val="0035196F"/>
    <w:rsid w:val="00351C38"/>
    <w:rsid w:val="00351CA9"/>
    <w:rsid w:val="00351D07"/>
    <w:rsid w:val="00351E4C"/>
    <w:rsid w:val="00351FB7"/>
    <w:rsid w:val="00351FDF"/>
    <w:rsid w:val="003521B0"/>
    <w:rsid w:val="003521D8"/>
    <w:rsid w:val="003521E1"/>
    <w:rsid w:val="00352218"/>
    <w:rsid w:val="0035226E"/>
    <w:rsid w:val="00352344"/>
    <w:rsid w:val="0035245A"/>
    <w:rsid w:val="003525D1"/>
    <w:rsid w:val="0035261A"/>
    <w:rsid w:val="003526FF"/>
    <w:rsid w:val="00352873"/>
    <w:rsid w:val="003529E0"/>
    <w:rsid w:val="00352C2B"/>
    <w:rsid w:val="00352E9E"/>
    <w:rsid w:val="00352F0C"/>
    <w:rsid w:val="0035311D"/>
    <w:rsid w:val="00353301"/>
    <w:rsid w:val="00353474"/>
    <w:rsid w:val="003534CB"/>
    <w:rsid w:val="0035382D"/>
    <w:rsid w:val="0035388E"/>
    <w:rsid w:val="003539A5"/>
    <w:rsid w:val="00353A95"/>
    <w:rsid w:val="00353F15"/>
    <w:rsid w:val="00354179"/>
    <w:rsid w:val="00354204"/>
    <w:rsid w:val="0035438E"/>
    <w:rsid w:val="00354426"/>
    <w:rsid w:val="00354465"/>
    <w:rsid w:val="003546B4"/>
    <w:rsid w:val="00354844"/>
    <w:rsid w:val="00354870"/>
    <w:rsid w:val="00354878"/>
    <w:rsid w:val="003549F5"/>
    <w:rsid w:val="00354A06"/>
    <w:rsid w:val="00354CE8"/>
    <w:rsid w:val="00354D59"/>
    <w:rsid w:val="00354D71"/>
    <w:rsid w:val="00354D80"/>
    <w:rsid w:val="00354DD3"/>
    <w:rsid w:val="00354F05"/>
    <w:rsid w:val="00354F0B"/>
    <w:rsid w:val="00355035"/>
    <w:rsid w:val="003553B2"/>
    <w:rsid w:val="00355502"/>
    <w:rsid w:val="00355737"/>
    <w:rsid w:val="0035581D"/>
    <w:rsid w:val="003558EC"/>
    <w:rsid w:val="00355A61"/>
    <w:rsid w:val="00355B6F"/>
    <w:rsid w:val="00355C50"/>
    <w:rsid w:val="00355D9B"/>
    <w:rsid w:val="00355F93"/>
    <w:rsid w:val="00355FFF"/>
    <w:rsid w:val="00356073"/>
    <w:rsid w:val="003561E6"/>
    <w:rsid w:val="00356211"/>
    <w:rsid w:val="00356249"/>
    <w:rsid w:val="00356260"/>
    <w:rsid w:val="00356304"/>
    <w:rsid w:val="00356400"/>
    <w:rsid w:val="00356437"/>
    <w:rsid w:val="00356565"/>
    <w:rsid w:val="003566BF"/>
    <w:rsid w:val="00356746"/>
    <w:rsid w:val="00356818"/>
    <w:rsid w:val="0035685C"/>
    <w:rsid w:val="00356CA1"/>
    <w:rsid w:val="00356D09"/>
    <w:rsid w:val="00356D5F"/>
    <w:rsid w:val="00356D75"/>
    <w:rsid w:val="00356E73"/>
    <w:rsid w:val="00356FDF"/>
    <w:rsid w:val="00357152"/>
    <w:rsid w:val="00357293"/>
    <w:rsid w:val="0035784A"/>
    <w:rsid w:val="00357858"/>
    <w:rsid w:val="003578FB"/>
    <w:rsid w:val="003579A8"/>
    <w:rsid w:val="003579CA"/>
    <w:rsid w:val="00357B71"/>
    <w:rsid w:val="00357C22"/>
    <w:rsid w:val="00357C45"/>
    <w:rsid w:val="00357EDB"/>
    <w:rsid w:val="00360162"/>
    <w:rsid w:val="00360301"/>
    <w:rsid w:val="00360317"/>
    <w:rsid w:val="00360386"/>
    <w:rsid w:val="00360387"/>
    <w:rsid w:val="00360478"/>
    <w:rsid w:val="00360533"/>
    <w:rsid w:val="0036058E"/>
    <w:rsid w:val="0036078B"/>
    <w:rsid w:val="0036082C"/>
    <w:rsid w:val="00360AE8"/>
    <w:rsid w:val="00360C9B"/>
    <w:rsid w:val="00360D18"/>
    <w:rsid w:val="00360DBB"/>
    <w:rsid w:val="00360FE7"/>
    <w:rsid w:val="00361198"/>
    <w:rsid w:val="0036128C"/>
    <w:rsid w:val="003612FF"/>
    <w:rsid w:val="003614AD"/>
    <w:rsid w:val="0036151A"/>
    <w:rsid w:val="003616C1"/>
    <w:rsid w:val="0036180E"/>
    <w:rsid w:val="00361817"/>
    <w:rsid w:val="00361849"/>
    <w:rsid w:val="0036189F"/>
    <w:rsid w:val="00361953"/>
    <w:rsid w:val="00361A25"/>
    <w:rsid w:val="00361A50"/>
    <w:rsid w:val="00361ACE"/>
    <w:rsid w:val="00361C69"/>
    <w:rsid w:val="00361C6A"/>
    <w:rsid w:val="00361D13"/>
    <w:rsid w:val="00362170"/>
    <w:rsid w:val="003622DC"/>
    <w:rsid w:val="003623E3"/>
    <w:rsid w:val="003624BC"/>
    <w:rsid w:val="003624DC"/>
    <w:rsid w:val="003625C8"/>
    <w:rsid w:val="00362754"/>
    <w:rsid w:val="00362757"/>
    <w:rsid w:val="003627DE"/>
    <w:rsid w:val="00362AA3"/>
    <w:rsid w:val="00362ACC"/>
    <w:rsid w:val="00362B38"/>
    <w:rsid w:val="00362C81"/>
    <w:rsid w:val="00362DD7"/>
    <w:rsid w:val="00362E72"/>
    <w:rsid w:val="00362EF8"/>
    <w:rsid w:val="00363158"/>
    <w:rsid w:val="003631B3"/>
    <w:rsid w:val="0036350C"/>
    <w:rsid w:val="0036355B"/>
    <w:rsid w:val="0036365A"/>
    <w:rsid w:val="00363992"/>
    <w:rsid w:val="00363A54"/>
    <w:rsid w:val="00363B25"/>
    <w:rsid w:val="00363CD0"/>
    <w:rsid w:val="00363D87"/>
    <w:rsid w:val="00363DFF"/>
    <w:rsid w:val="00363FE3"/>
    <w:rsid w:val="00364175"/>
    <w:rsid w:val="00364330"/>
    <w:rsid w:val="0036449E"/>
    <w:rsid w:val="0036467F"/>
    <w:rsid w:val="00364704"/>
    <w:rsid w:val="00364781"/>
    <w:rsid w:val="00364E0D"/>
    <w:rsid w:val="00364EC0"/>
    <w:rsid w:val="00364F3D"/>
    <w:rsid w:val="0036503D"/>
    <w:rsid w:val="00365091"/>
    <w:rsid w:val="003651EC"/>
    <w:rsid w:val="00365318"/>
    <w:rsid w:val="00365432"/>
    <w:rsid w:val="00365492"/>
    <w:rsid w:val="003655CD"/>
    <w:rsid w:val="003656E8"/>
    <w:rsid w:val="00365892"/>
    <w:rsid w:val="00365EE1"/>
    <w:rsid w:val="00366141"/>
    <w:rsid w:val="00366164"/>
    <w:rsid w:val="0036617E"/>
    <w:rsid w:val="003663D3"/>
    <w:rsid w:val="0036663C"/>
    <w:rsid w:val="003666B9"/>
    <w:rsid w:val="003667BD"/>
    <w:rsid w:val="00366ABB"/>
    <w:rsid w:val="00366AF9"/>
    <w:rsid w:val="003671EE"/>
    <w:rsid w:val="0036745F"/>
    <w:rsid w:val="00367492"/>
    <w:rsid w:val="00367524"/>
    <w:rsid w:val="00367565"/>
    <w:rsid w:val="00367753"/>
    <w:rsid w:val="003677B5"/>
    <w:rsid w:val="00367811"/>
    <w:rsid w:val="0037003E"/>
    <w:rsid w:val="003701E2"/>
    <w:rsid w:val="00370211"/>
    <w:rsid w:val="0037026C"/>
    <w:rsid w:val="0037046C"/>
    <w:rsid w:val="00370640"/>
    <w:rsid w:val="00370668"/>
    <w:rsid w:val="00370849"/>
    <w:rsid w:val="003708E6"/>
    <w:rsid w:val="00370AFA"/>
    <w:rsid w:val="00370C24"/>
    <w:rsid w:val="00370C25"/>
    <w:rsid w:val="00370E57"/>
    <w:rsid w:val="00370EB6"/>
    <w:rsid w:val="00370FF3"/>
    <w:rsid w:val="003710DF"/>
    <w:rsid w:val="00371187"/>
    <w:rsid w:val="0037138E"/>
    <w:rsid w:val="00371539"/>
    <w:rsid w:val="003715A0"/>
    <w:rsid w:val="00371743"/>
    <w:rsid w:val="00371BEA"/>
    <w:rsid w:val="00371C7D"/>
    <w:rsid w:val="00371EEE"/>
    <w:rsid w:val="00371F9B"/>
    <w:rsid w:val="00371FE1"/>
    <w:rsid w:val="0037200F"/>
    <w:rsid w:val="003720CC"/>
    <w:rsid w:val="0037217A"/>
    <w:rsid w:val="00372194"/>
    <w:rsid w:val="003721A3"/>
    <w:rsid w:val="0037236B"/>
    <w:rsid w:val="0037247C"/>
    <w:rsid w:val="003724CF"/>
    <w:rsid w:val="00372722"/>
    <w:rsid w:val="0037278E"/>
    <w:rsid w:val="0037285F"/>
    <w:rsid w:val="00372AB0"/>
    <w:rsid w:val="00372D2D"/>
    <w:rsid w:val="00372D2F"/>
    <w:rsid w:val="00372D4F"/>
    <w:rsid w:val="003730DE"/>
    <w:rsid w:val="0037321E"/>
    <w:rsid w:val="00373283"/>
    <w:rsid w:val="003732D2"/>
    <w:rsid w:val="003733BE"/>
    <w:rsid w:val="003733D1"/>
    <w:rsid w:val="00373483"/>
    <w:rsid w:val="003735E0"/>
    <w:rsid w:val="00373833"/>
    <w:rsid w:val="003738B1"/>
    <w:rsid w:val="00373D43"/>
    <w:rsid w:val="00373D61"/>
    <w:rsid w:val="00373F87"/>
    <w:rsid w:val="00374347"/>
    <w:rsid w:val="003743F2"/>
    <w:rsid w:val="00374636"/>
    <w:rsid w:val="003746A8"/>
    <w:rsid w:val="00374739"/>
    <w:rsid w:val="0037492F"/>
    <w:rsid w:val="00374D0D"/>
    <w:rsid w:val="00374E13"/>
    <w:rsid w:val="00374EB9"/>
    <w:rsid w:val="00374EF7"/>
    <w:rsid w:val="0037507A"/>
    <w:rsid w:val="003750BE"/>
    <w:rsid w:val="00375120"/>
    <w:rsid w:val="00375157"/>
    <w:rsid w:val="003753D5"/>
    <w:rsid w:val="003757EC"/>
    <w:rsid w:val="00375A82"/>
    <w:rsid w:val="00375B35"/>
    <w:rsid w:val="00375C91"/>
    <w:rsid w:val="00375EF3"/>
    <w:rsid w:val="00375F11"/>
    <w:rsid w:val="00375FDA"/>
    <w:rsid w:val="00376175"/>
    <w:rsid w:val="003761EF"/>
    <w:rsid w:val="00376219"/>
    <w:rsid w:val="00376268"/>
    <w:rsid w:val="003762CB"/>
    <w:rsid w:val="00376478"/>
    <w:rsid w:val="00376532"/>
    <w:rsid w:val="00376A49"/>
    <w:rsid w:val="00376B6D"/>
    <w:rsid w:val="00376C0A"/>
    <w:rsid w:val="003772DF"/>
    <w:rsid w:val="00377340"/>
    <w:rsid w:val="00377381"/>
    <w:rsid w:val="00377702"/>
    <w:rsid w:val="00377A32"/>
    <w:rsid w:val="00377FBD"/>
    <w:rsid w:val="003803E1"/>
    <w:rsid w:val="0038045D"/>
    <w:rsid w:val="003804B1"/>
    <w:rsid w:val="0038052C"/>
    <w:rsid w:val="0038078C"/>
    <w:rsid w:val="00380ABE"/>
    <w:rsid w:val="00380C44"/>
    <w:rsid w:val="00380F6E"/>
    <w:rsid w:val="00380F8E"/>
    <w:rsid w:val="00381029"/>
    <w:rsid w:val="00381331"/>
    <w:rsid w:val="003813A4"/>
    <w:rsid w:val="0038141D"/>
    <w:rsid w:val="0038154A"/>
    <w:rsid w:val="003818A4"/>
    <w:rsid w:val="00381978"/>
    <w:rsid w:val="003819E2"/>
    <w:rsid w:val="00381C47"/>
    <w:rsid w:val="00381CA8"/>
    <w:rsid w:val="00381DB4"/>
    <w:rsid w:val="00381EE1"/>
    <w:rsid w:val="00382069"/>
    <w:rsid w:val="0038217B"/>
    <w:rsid w:val="0038236C"/>
    <w:rsid w:val="003828DE"/>
    <w:rsid w:val="003829E4"/>
    <w:rsid w:val="00382CA6"/>
    <w:rsid w:val="00382CF2"/>
    <w:rsid w:val="00382D65"/>
    <w:rsid w:val="00382EC3"/>
    <w:rsid w:val="00382FE8"/>
    <w:rsid w:val="0038317C"/>
    <w:rsid w:val="00383392"/>
    <w:rsid w:val="00383690"/>
    <w:rsid w:val="0038369C"/>
    <w:rsid w:val="0038373B"/>
    <w:rsid w:val="00383743"/>
    <w:rsid w:val="00383794"/>
    <w:rsid w:val="00383841"/>
    <w:rsid w:val="00383A01"/>
    <w:rsid w:val="00383A7B"/>
    <w:rsid w:val="00383B2C"/>
    <w:rsid w:val="00383CB8"/>
    <w:rsid w:val="00383D23"/>
    <w:rsid w:val="00383E29"/>
    <w:rsid w:val="00383E43"/>
    <w:rsid w:val="00383F8F"/>
    <w:rsid w:val="00383FF2"/>
    <w:rsid w:val="0038413F"/>
    <w:rsid w:val="00384167"/>
    <w:rsid w:val="00384172"/>
    <w:rsid w:val="003841E9"/>
    <w:rsid w:val="003842CE"/>
    <w:rsid w:val="00384372"/>
    <w:rsid w:val="003844D1"/>
    <w:rsid w:val="00384708"/>
    <w:rsid w:val="003847C4"/>
    <w:rsid w:val="00384A39"/>
    <w:rsid w:val="00384AE8"/>
    <w:rsid w:val="00384AE9"/>
    <w:rsid w:val="00384BB5"/>
    <w:rsid w:val="00384D6E"/>
    <w:rsid w:val="00384D89"/>
    <w:rsid w:val="00384E70"/>
    <w:rsid w:val="00384F11"/>
    <w:rsid w:val="003850AA"/>
    <w:rsid w:val="003851F8"/>
    <w:rsid w:val="00385292"/>
    <w:rsid w:val="00385329"/>
    <w:rsid w:val="0038538B"/>
    <w:rsid w:val="003854E1"/>
    <w:rsid w:val="0038554B"/>
    <w:rsid w:val="003856CF"/>
    <w:rsid w:val="003856F9"/>
    <w:rsid w:val="003857DB"/>
    <w:rsid w:val="00385935"/>
    <w:rsid w:val="0038597E"/>
    <w:rsid w:val="00385B05"/>
    <w:rsid w:val="00385F63"/>
    <w:rsid w:val="00386613"/>
    <w:rsid w:val="003868A5"/>
    <w:rsid w:val="003868E8"/>
    <w:rsid w:val="00386973"/>
    <w:rsid w:val="00386980"/>
    <w:rsid w:val="003869A3"/>
    <w:rsid w:val="003869E8"/>
    <w:rsid w:val="00386BAF"/>
    <w:rsid w:val="00386D47"/>
    <w:rsid w:val="00386D49"/>
    <w:rsid w:val="00386E05"/>
    <w:rsid w:val="003870E7"/>
    <w:rsid w:val="00387161"/>
    <w:rsid w:val="0038718C"/>
    <w:rsid w:val="003871EA"/>
    <w:rsid w:val="00387251"/>
    <w:rsid w:val="00387401"/>
    <w:rsid w:val="003874F9"/>
    <w:rsid w:val="003875FD"/>
    <w:rsid w:val="00387707"/>
    <w:rsid w:val="00387740"/>
    <w:rsid w:val="003877DA"/>
    <w:rsid w:val="003878E1"/>
    <w:rsid w:val="00387926"/>
    <w:rsid w:val="00387973"/>
    <w:rsid w:val="00387B00"/>
    <w:rsid w:val="00387D52"/>
    <w:rsid w:val="00387E38"/>
    <w:rsid w:val="00387E54"/>
    <w:rsid w:val="00387FB6"/>
    <w:rsid w:val="00387FBB"/>
    <w:rsid w:val="00390040"/>
    <w:rsid w:val="00390069"/>
    <w:rsid w:val="003901E9"/>
    <w:rsid w:val="00390205"/>
    <w:rsid w:val="00390279"/>
    <w:rsid w:val="00390341"/>
    <w:rsid w:val="00390373"/>
    <w:rsid w:val="00390436"/>
    <w:rsid w:val="00390580"/>
    <w:rsid w:val="00390645"/>
    <w:rsid w:val="0039095F"/>
    <w:rsid w:val="003909CA"/>
    <w:rsid w:val="00390A89"/>
    <w:rsid w:val="00390EEE"/>
    <w:rsid w:val="00390EEF"/>
    <w:rsid w:val="00390F0B"/>
    <w:rsid w:val="00391070"/>
    <w:rsid w:val="0039118F"/>
    <w:rsid w:val="003911BA"/>
    <w:rsid w:val="003912EA"/>
    <w:rsid w:val="0039130A"/>
    <w:rsid w:val="003913C0"/>
    <w:rsid w:val="00391467"/>
    <w:rsid w:val="0039179D"/>
    <w:rsid w:val="003917CA"/>
    <w:rsid w:val="003918DA"/>
    <w:rsid w:val="00391913"/>
    <w:rsid w:val="0039198A"/>
    <w:rsid w:val="003919D7"/>
    <w:rsid w:val="00391A17"/>
    <w:rsid w:val="00391E93"/>
    <w:rsid w:val="00391EB1"/>
    <w:rsid w:val="00391F49"/>
    <w:rsid w:val="00391F9B"/>
    <w:rsid w:val="00392071"/>
    <w:rsid w:val="003920A5"/>
    <w:rsid w:val="0039226F"/>
    <w:rsid w:val="003926ED"/>
    <w:rsid w:val="00392A1F"/>
    <w:rsid w:val="00392A4B"/>
    <w:rsid w:val="00392B1A"/>
    <w:rsid w:val="00392F1D"/>
    <w:rsid w:val="00392FBE"/>
    <w:rsid w:val="003930F0"/>
    <w:rsid w:val="0039316D"/>
    <w:rsid w:val="0039356B"/>
    <w:rsid w:val="00393689"/>
    <w:rsid w:val="00393696"/>
    <w:rsid w:val="003936F6"/>
    <w:rsid w:val="00393882"/>
    <w:rsid w:val="003938B8"/>
    <w:rsid w:val="003938D1"/>
    <w:rsid w:val="003938E0"/>
    <w:rsid w:val="00393A96"/>
    <w:rsid w:val="00393FF2"/>
    <w:rsid w:val="00394024"/>
    <w:rsid w:val="00394114"/>
    <w:rsid w:val="0039411F"/>
    <w:rsid w:val="00394200"/>
    <w:rsid w:val="0039424F"/>
    <w:rsid w:val="0039441C"/>
    <w:rsid w:val="0039443F"/>
    <w:rsid w:val="003945A5"/>
    <w:rsid w:val="003946EA"/>
    <w:rsid w:val="00394762"/>
    <w:rsid w:val="00394765"/>
    <w:rsid w:val="00394788"/>
    <w:rsid w:val="003947D7"/>
    <w:rsid w:val="00394967"/>
    <w:rsid w:val="00394AD7"/>
    <w:rsid w:val="00394DB5"/>
    <w:rsid w:val="00394E48"/>
    <w:rsid w:val="00394E8A"/>
    <w:rsid w:val="00395170"/>
    <w:rsid w:val="003952B3"/>
    <w:rsid w:val="003954CC"/>
    <w:rsid w:val="003954D8"/>
    <w:rsid w:val="00395549"/>
    <w:rsid w:val="003956BC"/>
    <w:rsid w:val="00395C3C"/>
    <w:rsid w:val="003961C8"/>
    <w:rsid w:val="0039641B"/>
    <w:rsid w:val="003964A9"/>
    <w:rsid w:val="003967F5"/>
    <w:rsid w:val="003968D9"/>
    <w:rsid w:val="0039699C"/>
    <w:rsid w:val="00396AD9"/>
    <w:rsid w:val="00396AEA"/>
    <w:rsid w:val="00396CE6"/>
    <w:rsid w:val="00396FFE"/>
    <w:rsid w:val="00397049"/>
    <w:rsid w:val="003970A3"/>
    <w:rsid w:val="003971F0"/>
    <w:rsid w:val="003972C6"/>
    <w:rsid w:val="0039737C"/>
    <w:rsid w:val="003977B7"/>
    <w:rsid w:val="0039784E"/>
    <w:rsid w:val="003978C6"/>
    <w:rsid w:val="00397AAF"/>
    <w:rsid w:val="00397C20"/>
    <w:rsid w:val="00397CA9"/>
    <w:rsid w:val="00397E79"/>
    <w:rsid w:val="00397FEB"/>
    <w:rsid w:val="003A0153"/>
    <w:rsid w:val="003A0155"/>
    <w:rsid w:val="003A01CA"/>
    <w:rsid w:val="003A024D"/>
    <w:rsid w:val="003A026E"/>
    <w:rsid w:val="003A02CA"/>
    <w:rsid w:val="003A033F"/>
    <w:rsid w:val="003A03CF"/>
    <w:rsid w:val="003A03E3"/>
    <w:rsid w:val="003A0510"/>
    <w:rsid w:val="003A075D"/>
    <w:rsid w:val="003A078E"/>
    <w:rsid w:val="003A0958"/>
    <w:rsid w:val="003A0A70"/>
    <w:rsid w:val="003A0AD9"/>
    <w:rsid w:val="003A0DBF"/>
    <w:rsid w:val="003A0E49"/>
    <w:rsid w:val="003A0E69"/>
    <w:rsid w:val="003A0EA8"/>
    <w:rsid w:val="003A1071"/>
    <w:rsid w:val="003A11AA"/>
    <w:rsid w:val="003A156C"/>
    <w:rsid w:val="003A16A7"/>
    <w:rsid w:val="003A183C"/>
    <w:rsid w:val="003A1934"/>
    <w:rsid w:val="003A1988"/>
    <w:rsid w:val="003A1AB8"/>
    <w:rsid w:val="003A1CAC"/>
    <w:rsid w:val="003A1D9F"/>
    <w:rsid w:val="003A1F14"/>
    <w:rsid w:val="003A21E6"/>
    <w:rsid w:val="003A223A"/>
    <w:rsid w:val="003A254A"/>
    <w:rsid w:val="003A2827"/>
    <w:rsid w:val="003A28D5"/>
    <w:rsid w:val="003A2B50"/>
    <w:rsid w:val="003A2B8B"/>
    <w:rsid w:val="003A2CA3"/>
    <w:rsid w:val="003A30E4"/>
    <w:rsid w:val="003A3164"/>
    <w:rsid w:val="003A31E5"/>
    <w:rsid w:val="003A3243"/>
    <w:rsid w:val="003A32C3"/>
    <w:rsid w:val="003A3333"/>
    <w:rsid w:val="003A34B7"/>
    <w:rsid w:val="003A366B"/>
    <w:rsid w:val="003A37DE"/>
    <w:rsid w:val="003A3867"/>
    <w:rsid w:val="003A3870"/>
    <w:rsid w:val="003A3872"/>
    <w:rsid w:val="003A395A"/>
    <w:rsid w:val="003A3C87"/>
    <w:rsid w:val="003A3D65"/>
    <w:rsid w:val="003A3D6E"/>
    <w:rsid w:val="003A405C"/>
    <w:rsid w:val="003A44A5"/>
    <w:rsid w:val="003A4589"/>
    <w:rsid w:val="003A4A51"/>
    <w:rsid w:val="003A4ABE"/>
    <w:rsid w:val="003A4B18"/>
    <w:rsid w:val="003A4DD4"/>
    <w:rsid w:val="003A4F11"/>
    <w:rsid w:val="003A52F7"/>
    <w:rsid w:val="003A5505"/>
    <w:rsid w:val="003A55E5"/>
    <w:rsid w:val="003A5615"/>
    <w:rsid w:val="003A574E"/>
    <w:rsid w:val="003A57F1"/>
    <w:rsid w:val="003A599A"/>
    <w:rsid w:val="003A5AB9"/>
    <w:rsid w:val="003A5C00"/>
    <w:rsid w:val="003A5C28"/>
    <w:rsid w:val="003A5D0C"/>
    <w:rsid w:val="003A5D33"/>
    <w:rsid w:val="003A600D"/>
    <w:rsid w:val="003A654C"/>
    <w:rsid w:val="003A6945"/>
    <w:rsid w:val="003A6AA0"/>
    <w:rsid w:val="003A6C0A"/>
    <w:rsid w:val="003A6C55"/>
    <w:rsid w:val="003A6C59"/>
    <w:rsid w:val="003A6DCC"/>
    <w:rsid w:val="003A6E32"/>
    <w:rsid w:val="003A6E42"/>
    <w:rsid w:val="003A70BF"/>
    <w:rsid w:val="003A70DD"/>
    <w:rsid w:val="003A71F9"/>
    <w:rsid w:val="003A7227"/>
    <w:rsid w:val="003A726D"/>
    <w:rsid w:val="003A739A"/>
    <w:rsid w:val="003A74B8"/>
    <w:rsid w:val="003A7B90"/>
    <w:rsid w:val="003A7C6D"/>
    <w:rsid w:val="003A7C9E"/>
    <w:rsid w:val="003A7F04"/>
    <w:rsid w:val="003B0174"/>
    <w:rsid w:val="003B0229"/>
    <w:rsid w:val="003B0253"/>
    <w:rsid w:val="003B02B5"/>
    <w:rsid w:val="003B0360"/>
    <w:rsid w:val="003B06DF"/>
    <w:rsid w:val="003B0755"/>
    <w:rsid w:val="003B07C6"/>
    <w:rsid w:val="003B0950"/>
    <w:rsid w:val="003B09D0"/>
    <w:rsid w:val="003B09F8"/>
    <w:rsid w:val="003B0B21"/>
    <w:rsid w:val="003B0BCF"/>
    <w:rsid w:val="003B0CEB"/>
    <w:rsid w:val="003B0DE0"/>
    <w:rsid w:val="003B1209"/>
    <w:rsid w:val="003B14B8"/>
    <w:rsid w:val="003B1684"/>
    <w:rsid w:val="003B1725"/>
    <w:rsid w:val="003B1815"/>
    <w:rsid w:val="003B1965"/>
    <w:rsid w:val="003B1975"/>
    <w:rsid w:val="003B1B66"/>
    <w:rsid w:val="003B1CAF"/>
    <w:rsid w:val="003B1DF2"/>
    <w:rsid w:val="003B2118"/>
    <w:rsid w:val="003B214D"/>
    <w:rsid w:val="003B26D7"/>
    <w:rsid w:val="003B2A6D"/>
    <w:rsid w:val="003B2AA6"/>
    <w:rsid w:val="003B2BE8"/>
    <w:rsid w:val="003B2D21"/>
    <w:rsid w:val="003B2FE6"/>
    <w:rsid w:val="003B3104"/>
    <w:rsid w:val="003B3116"/>
    <w:rsid w:val="003B31A0"/>
    <w:rsid w:val="003B3230"/>
    <w:rsid w:val="003B324B"/>
    <w:rsid w:val="003B3324"/>
    <w:rsid w:val="003B3387"/>
    <w:rsid w:val="003B33F3"/>
    <w:rsid w:val="003B34BB"/>
    <w:rsid w:val="003B35CA"/>
    <w:rsid w:val="003B35D8"/>
    <w:rsid w:val="003B36CA"/>
    <w:rsid w:val="003B36D6"/>
    <w:rsid w:val="003B399F"/>
    <w:rsid w:val="003B39D0"/>
    <w:rsid w:val="003B39D7"/>
    <w:rsid w:val="003B3AE6"/>
    <w:rsid w:val="003B3B2A"/>
    <w:rsid w:val="003B3D9D"/>
    <w:rsid w:val="003B3E68"/>
    <w:rsid w:val="003B3EC5"/>
    <w:rsid w:val="003B3EF5"/>
    <w:rsid w:val="003B3F49"/>
    <w:rsid w:val="003B3F95"/>
    <w:rsid w:val="003B401B"/>
    <w:rsid w:val="003B4049"/>
    <w:rsid w:val="003B4232"/>
    <w:rsid w:val="003B427D"/>
    <w:rsid w:val="003B429E"/>
    <w:rsid w:val="003B42A9"/>
    <w:rsid w:val="003B42D3"/>
    <w:rsid w:val="003B44C8"/>
    <w:rsid w:val="003B44C9"/>
    <w:rsid w:val="003B4692"/>
    <w:rsid w:val="003B46B8"/>
    <w:rsid w:val="003B4860"/>
    <w:rsid w:val="003B49B8"/>
    <w:rsid w:val="003B4D28"/>
    <w:rsid w:val="003B4DB6"/>
    <w:rsid w:val="003B4EA4"/>
    <w:rsid w:val="003B4FF0"/>
    <w:rsid w:val="003B5079"/>
    <w:rsid w:val="003B50C2"/>
    <w:rsid w:val="003B52B2"/>
    <w:rsid w:val="003B5545"/>
    <w:rsid w:val="003B556E"/>
    <w:rsid w:val="003B55DE"/>
    <w:rsid w:val="003B576E"/>
    <w:rsid w:val="003B5783"/>
    <w:rsid w:val="003B58FD"/>
    <w:rsid w:val="003B58FE"/>
    <w:rsid w:val="003B5AB0"/>
    <w:rsid w:val="003B5AEC"/>
    <w:rsid w:val="003B5C41"/>
    <w:rsid w:val="003B5C87"/>
    <w:rsid w:val="003B5E91"/>
    <w:rsid w:val="003B5E95"/>
    <w:rsid w:val="003B5FCB"/>
    <w:rsid w:val="003B60B2"/>
    <w:rsid w:val="003B619B"/>
    <w:rsid w:val="003B62F7"/>
    <w:rsid w:val="003B63B3"/>
    <w:rsid w:val="003B640D"/>
    <w:rsid w:val="003B6872"/>
    <w:rsid w:val="003B68CD"/>
    <w:rsid w:val="003B694D"/>
    <w:rsid w:val="003B69CF"/>
    <w:rsid w:val="003B6A56"/>
    <w:rsid w:val="003B6A5A"/>
    <w:rsid w:val="003B6B7D"/>
    <w:rsid w:val="003B6E2F"/>
    <w:rsid w:val="003B6E36"/>
    <w:rsid w:val="003B709A"/>
    <w:rsid w:val="003B7177"/>
    <w:rsid w:val="003B733C"/>
    <w:rsid w:val="003B7387"/>
    <w:rsid w:val="003B7524"/>
    <w:rsid w:val="003B75C5"/>
    <w:rsid w:val="003B78F1"/>
    <w:rsid w:val="003B78F8"/>
    <w:rsid w:val="003B79D3"/>
    <w:rsid w:val="003B7A5D"/>
    <w:rsid w:val="003B7D46"/>
    <w:rsid w:val="003B7EBB"/>
    <w:rsid w:val="003C00E9"/>
    <w:rsid w:val="003C011F"/>
    <w:rsid w:val="003C0178"/>
    <w:rsid w:val="003C0293"/>
    <w:rsid w:val="003C0326"/>
    <w:rsid w:val="003C04A3"/>
    <w:rsid w:val="003C0753"/>
    <w:rsid w:val="003C07D5"/>
    <w:rsid w:val="003C0813"/>
    <w:rsid w:val="003C0FD7"/>
    <w:rsid w:val="003C11F7"/>
    <w:rsid w:val="003C1385"/>
    <w:rsid w:val="003C140B"/>
    <w:rsid w:val="003C1574"/>
    <w:rsid w:val="003C16DD"/>
    <w:rsid w:val="003C17AC"/>
    <w:rsid w:val="003C17C9"/>
    <w:rsid w:val="003C17E7"/>
    <w:rsid w:val="003C1891"/>
    <w:rsid w:val="003C18C5"/>
    <w:rsid w:val="003C18FD"/>
    <w:rsid w:val="003C1913"/>
    <w:rsid w:val="003C1A15"/>
    <w:rsid w:val="003C1C97"/>
    <w:rsid w:val="003C1CDB"/>
    <w:rsid w:val="003C1E15"/>
    <w:rsid w:val="003C2007"/>
    <w:rsid w:val="003C2315"/>
    <w:rsid w:val="003C2385"/>
    <w:rsid w:val="003C258B"/>
    <w:rsid w:val="003C259E"/>
    <w:rsid w:val="003C26EF"/>
    <w:rsid w:val="003C27C0"/>
    <w:rsid w:val="003C27D7"/>
    <w:rsid w:val="003C282B"/>
    <w:rsid w:val="003C2964"/>
    <w:rsid w:val="003C296F"/>
    <w:rsid w:val="003C29AC"/>
    <w:rsid w:val="003C2B02"/>
    <w:rsid w:val="003C2B68"/>
    <w:rsid w:val="003C2D9F"/>
    <w:rsid w:val="003C2E8C"/>
    <w:rsid w:val="003C302B"/>
    <w:rsid w:val="003C3080"/>
    <w:rsid w:val="003C3090"/>
    <w:rsid w:val="003C31F6"/>
    <w:rsid w:val="003C32F1"/>
    <w:rsid w:val="003C34C9"/>
    <w:rsid w:val="003C355D"/>
    <w:rsid w:val="003C35AC"/>
    <w:rsid w:val="003C3650"/>
    <w:rsid w:val="003C36BB"/>
    <w:rsid w:val="003C37DD"/>
    <w:rsid w:val="003C38A4"/>
    <w:rsid w:val="003C3CE1"/>
    <w:rsid w:val="003C3E89"/>
    <w:rsid w:val="003C4042"/>
    <w:rsid w:val="003C4158"/>
    <w:rsid w:val="003C41A1"/>
    <w:rsid w:val="003C42E5"/>
    <w:rsid w:val="003C4363"/>
    <w:rsid w:val="003C46BE"/>
    <w:rsid w:val="003C4741"/>
    <w:rsid w:val="003C4751"/>
    <w:rsid w:val="003C47DF"/>
    <w:rsid w:val="003C489E"/>
    <w:rsid w:val="003C4A0D"/>
    <w:rsid w:val="003C4BFF"/>
    <w:rsid w:val="003C4CB6"/>
    <w:rsid w:val="003C4D83"/>
    <w:rsid w:val="003C5088"/>
    <w:rsid w:val="003C56A0"/>
    <w:rsid w:val="003C589C"/>
    <w:rsid w:val="003C5915"/>
    <w:rsid w:val="003C5B5E"/>
    <w:rsid w:val="003C5B7D"/>
    <w:rsid w:val="003C5D0A"/>
    <w:rsid w:val="003C5F14"/>
    <w:rsid w:val="003C5F55"/>
    <w:rsid w:val="003C6207"/>
    <w:rsid w:val="003C62A4"/>
    <w:rsid w:val="003C6354"/>
    <w:rsid w:val="003C6358"/>
    <w:rsid w:val="003C636A"/>
    <w:rsid w:val="003C6392"/>
    <w:rsid w:val="003C66FC"/>
    <w:rsid w:val="003C6A08"/>
    <w:rsid w:val="003C6BA2"/>
    <w:rsid w:val="003C6C92"/>
    <w:rsid w:val="003C6D19"/>
    <w:rsid w:val="003C7068"/>
    <w:rsid w:val="003C712C"/>
    <w:rsid w:val="003C71D4"/>
    <w:rsid w:val="003C732C"/>
    <w:rsid w:val="003C733B"/>
    <w:rsid w:val="003C75A7"/>
    <w:rsid w:val="003C795F"/>
    <w:rsid w:val="003C7A50"/>
    <w:rsid w:val="003C7ABA"/>
    <w:rsid w:val="003C7C11"/>
    <w:rsid w:val="003C7E91"/>
    <w:rsid w:val="003D0184"/>
    <w:rsid w:val="003D02DF"/>
    <w:rsid w:val="003D02F4"/>
    <w:rsid w:val="003D0609"/>
    <w:rsid w:val="003D0784"/>
    <w:rsid w:val="003D08AB"/>
    <w:rsid w:val="003D090A"/>
    <w:rsid w:val="003D092E"/>
    <w:rsid w:val="003D098E"/>
    <w:rsid w:val="003D0ACE"/>
    <w:rsid w:val="003D0C28"/>
    <w:rsid w:val="003D0DA8"/>
    <w:rsid w:val="003D0F57"/>
    <w:rsid w:val="003D0F6D"/>
    <w:rsid w:val="003D122D"/>
    <w:rsid w:val="003D13C7"/>
    <w:rsid w:val="003D13DE"/>
    <w:rsid w:val="003D13FE"/>
    <w:rsid w:val="003D15D4"/>
    <w:rsid w:val="003D185E"/>
    <w:rsid w:val="003D1914"/>
    <w:rsid w:val="003D1930"/>
    <w:rsid w:val="003D197A"/>
    <w:rsid w:val="003D1C52"/>
    <w:rsid w:val="003D1DF2"/>
    <w:rsid w:val="003D1E92"/>
    <w:rsid w:val="003D1EB3"/>
    <w:rsid w:val="003D20F1"/>
    <w:rsid w:val="003D2184"/>
    <w:rsid w:val="003D24C6"/>
    <w:rsid w:val="003D25F2"/>
    <w:rsid w:val="003D288C"/>
    <w:rsid w:val="003D29EE"/>
    <w:rsid w:val="003D2A57"/>
    <w:rsid w:val="003D2A9C"/>
    <w:rsid w:val="003D2F0D"/>
    <w:rsid w:val="003D2F80"/>
    <w:rsid w:val="003D3172"/>
    <w:rsid w:val="003D322E"/>
    <w:rsid w:val="003D35EC"/>
    <w:rsid w:val="003D3611"/>
    <w:rsid w:val="003D365E"/>
    <w:rsid w:val="003D3688"/>
    <w:rsid w:val="003D36D4"/>
    <w:rsid w:val="003D389E"/>
    <w:rsid w:val="003D3A78"/>
    <w:rsid w:val="003D3B93"/>
    <w:rsid w:val="003D3C14"/>
    <w:rsid w:val="003D4175"/>
    <w:rsid w:val="003D41B5"/>
    <w:rsid w:val="003D41E7"/>
    <w:rsid w:val="003D42BB"/>
    <w:rsid w:val="003D4324"/>
    <w:rsid w:val="003D4543"/>
    <w:rsid w:val="003D4602"/>
    <w:rsid w:val="003D4B0B"/>
    <w:rsid w:val="003D4B56"/>
    <w:rsid w:val="003D4FAE"/>
    <w:rsid w:val="003D5144"/>
    <w:rsid w:val="003D51A4"/>
    <w:rsid w:val="003D5246"/>
    <w:rsid w:val="003D5446"/>
    <w:rsid w:val="003D56D4"/>
    <w:rsid w:val="003D5880"/>
    <w:rsid w:val="003D5895"/>
    <w:rsid w:val="003D5916"/>
    <w:rsid w:val="003D5A09"/>
    <w:rsid w:val="003D5AEA"/>
    <w:rsid w:val="003D5AFA"/>
    <w:rsid w:val="003D5B58"/>
    <w:rsid w:val="003D5B9E"/>
    <w:rsid w:val="003D5BB7"/>
    <w:rsid w:val="003D5D51"/>
    <w:rsid w:val="003D5E55"/>
    <w:rsid w:val="003D6130"/>
    <w:rsid w:val="003D6150"/>
    <w:rsid w:val="003D639F"/>
    <w:rsid w:val="003D64AF"/>
    <w:rsid w:val="003D683B"/>
    <w:rsid w:val="003D69F1"/>
    <w:rsid w:val="003D6B43"/>
    <w:rsid w:val="003D6B7A"/>
    <w:rsid w:val="003D6C79"/>
    <w:rsid w:val="003D6D0D"/>
    <w:rsid w:val="003D6F73"/>
    <w:rsid w:val="003D7178"/>
    <w:rsid w:val="003D71BA"/>
    <w:rsid w:val="003D7249"/>
    <w:rsid w:val="003D7251"/>
    <w:rsid w:val="003D755D"/>
    <w:rsid w:val="003D77A7"/>
    <w:rsid w:val="003D77E2"/>
    <w:rsid w:val="003D795E"/>
    <w:rsid w:val="003D7C23"/>
    <w:rsid w:val="003D7D48"/>
    <w:rsid w:val="003D7F64"/>
    <w:rsid w:val="003E0024"/>
    <w:rsid w:val="003E0174"/>
    <w:rsid w:val="003E01B9"/>
    <w:rsid w:val="003E0427"/>
    <w:rsid w:val="003E05C2"/>
    <w:rsid w:val="003E0701"/>
    <w:rsid w:val="003E0729"/>
    <w:rsid w:val="003E07A4"/>
    <w:rsid w:val="003E07B3"/>
    <w:rsid w:val="003E09FA"/>
    <w:rsid w:val="003E0AEC"/>
    <w:rsid w:val="003E0EF4"/>
    <w:rsid w:val="003E0F1A"/>
    <w:rsid w:val="003E12F2"/>
    <w:rsid w:val="003E1335"/>
    <w:rsid w:val="003E1368"/>
    <w:rsid w:val="003E17F7"/>
    <w:rsid w:val="003E19A4"/>
    <w:rsid w:val="003E1AE3"/>
    <w:rsid w:val="003E1B5B"/>
    <w:rsid w:val="003E1BC3"/>
    <w:rsid w:val="003E1EF6"/>
    <w:rsid w:val="003E1EFF"/>
    <w:rsid w:val="003E1F20"/>
    <w:rsid w:val="003E1F41"/>
    <w:rsid w:val="003E2266"/>
    <w:rsid w:val="003E2281"/>
    <w:rsid w:val="003E235A"/>
    <w:rsid w:val="003E256F"/>
    <w:rsid w:val="003E2925"/>
    <w:rsid w:val="003E29BE"/>
    <w:rsid w:val="003E2B5C"/>
    <w:rsid w:val="003E2D03"/>
    <w:rsid w:val="003E2D6D"/>
    <w:rsid w:val="003E3010"/>
    <w:rsid w:val="003E30C6"/>
    <w:rsid w:val="003E31A2"/>
    <w:rsid w:val="003E31C3"/>
    <w:rsid w:val="003E32F9"/>
    <w:rsid w:val="003E3368"/>
    <w:rsid w:val="003E33E8"/>
    <w:rsid w:val="003E3435"/>
    <w:rsid w:val="003E35DA"/>
    <w:rsid w:val="003E36B4"/>
    <w:rsid w:val="003E3D9E"/>
    <w:rsid w:val="003E3EF2"/>
    <w:rsid w:val="003E3F19"/>
    <w:rsid w:val="003E4283"/>
    <w:rsid w:val="003E43EB"/>
    <w:rsid w:val="003E4939"/>
    <w:rsid w:val="003E49BB"/>
    <w:rsid w:val="003E49ED"/>
    <w:rsid w:val="003E49FC"/>
    <w:rsid w:val="003E4D74"/>
    <w:rsid w:val="003E4DA9"/>
    <w:rsid w:val="003E4DE0"/>
    <w:rsid w:val="003E4F76"/>
    <w:rsid w:val="003E4F90"/>
    <w:rsid w:val="003E4FC8"/>
    <w:rsid w:val="003E5138"/>
    <w:rsid w:val="003E516C"/>
    <w:rsid w:val="003E54FF"/>
    <w:rsid w:val="003E5745"/>
    <w:rsid w:val="003E57C7"/>
    <w:rsid w:val="003E592C"/>
    <w:rsid w:val="003E5AB5"/>
    <w:rsid w:val="003E5B7C"/>
    <w:rsid w:val="003E5BD3"/>
    <w:rsid w:val="003E5C15"/>
    <w:rsid w:val="003E5C87"/>
    <w:rsid w:val="003E5C9B"/>
    <w:rsid w:val="003E5CF5"/>
    <w:rsid w:val="003E5ED7"/>
    <w:rsid w:val="003E5EDA"/>
    <w:rsid w:val="003E5F73"/>
    <w:rsid w:val="003E60E7"/>
    <w:rsid w:val="003E6163"/>
    <w:rsid w:val="003E616B"/>
    <w:rsid w:val="003E61F0"/>
    <w:rsid w:val="003E63EB"/>
    <w:rsid w:val="003E651F"/>
    <w:rsid w:val="003E65F7"/>
    <w:rsid w:val="003E66AA"/>
    <w:rsid w:val="003E673A"/>
    <w:rsid w:val="003E6756"/>
    <w:rsid w:val="003E67E5"/>
    <w:rsid w:val="003E6AF5"/>
    <w:rsid w:val="003E6B0B"/>
    <w:rsid w:val="003E6BE9"/>
    <w:rsid w:val="003E6DA1"/>
    <w:rsid w:val="003E6E35"/>
    <w:rsid w:val="003E6E99"/>
    <w:rsid w:val="003E70C5"/>
    <w:rsid w:val="003E70E5"/>
    <w:rsid w:val="003E71FB"/>
    <w:rsid w:val="003E7223"/>
    <w:rsid w:val="003E72EF"/>
    <w:rsid w:val="003E74FF"/>
    <w:rsid w:val="003E76C3"/>
    <w:rsid w:val="003E77BA"/>
    <w:rsid w:val="003E78B2"/>
    <w:rsid w:val="003E7E42"/>
    <w:rsid w:val="003F00BF"/>
    <w:rsid w:val="003F028C"/>
    <w:rsid w:val="003F037F"/>
    <w:rsid w:val="003F03D2"/>
    <w:rsid w:val="003F0601"/>
    <w:rsid w:val="003F07EE"/>
    <w:rsid w:val="003F0A0A"/>
    <w:rsid w:val="003F0AED"/>
    <w:rsid w:val="003F0B0A"/>
    <w:rsid w:val="003F0C1C"/>
    <w:rsid w:val="003F0C38"/>
    <w:rsid w:val="003F10C0"/>
    <w:rsid w:val="003F10C5"/>
    <w:rsid w:val="003F1112"/>
    <w:rsid w:val="003F13E8"/>
    <w:rsid w:val="003F1418"/>
    <w:rsid w:val="003F1436"/>
    <w:rsid w:val="003F151D"/>
    <w:rsid w:val="003F17BC"/>
    <w:rsid w:val="003F18E5"/>
    <w:rsid w:val="003F1BC0"/>
    <w:rsid w:val="003F1BCF"/>
    <w:rsid w:val="003F1BD0"/>
    <w:rsid w:val="003F1E54"/>
    <w:rsid w:val="003F200D"/>
    <w:rsid w:val="003F2016"/>
    <w:rsid w:val="003F2042"/>
    <w:rsid w:val="003F214F"/>
    <w:rsid w:val="003F2298"/>
    <w:rsid w:val="003F22B2"/>
    <w:rsid w:val="003F22EC"/>
    <w:rsid w:val="003F2390"/>
    <w:rsid w:val="003F2393"/>
    <w:rsid w:val="003F24A4"/>
    <w:rsid w:val="003F24C4"/>
    <w:rsid w:val="003F2637"/>
    <w:rsid w:val="003F2688"/>
    <w:rsid w:val="003F27E5"/>
    <w:rsid w:val="003F28F1"/>
    <w:rsid w:val="003F290E"/>
    <w:rsid w:val="003F295B"/>
    <w:rsid w:val="003F29F9"/>
    <w:rsid w:val="003F2BE7"/>
    <w:rsid w:val="003F2E95"/>
    <w:rsid w:val="003F3004"/>
    <w:rsid w:val="003F31B6"/>
    <w:rsid w:val="003F32E1"/>
    <w:rsid w:val="003F3378"/>
    <w:rsid w:val="003F3804"/>
    <w:rsid w:val="003F3883"/>
    <w:rsid w:val="003F38CF"/>
    <w:rsid w:val="003F398D"/>
    <w:rsid w:val="003F39E0"/>
    <w:rsid w:val="003F3A90"/>
    <w:rsid w:val="003F3B5A"/>
    <w:rsid w:val="003F3B8D"/>
    <w:rsid w:val="003F3D68"/>
    <w:rsid w:val="003F3EEB"/>
    <w:rsid w:val="003F406E"/>
    <w:rsid w:val="003F40D5"/>
    <w:rsid w:val="003F41DE"/>
    <w:rsid w:val="003F4457"/>
    <w:rsid w:val="003F4515"/>
    <w:rsid w:val="003F465B"/>
    <w:rsid w:val="003F4666"/>
    <w:rsid w:val="003F4756"/>
    <w:rsid w:val="003F47F3"/>
    <w:rsid w:val="003F4971"/>
    <w:rsid w:val="003F4A01"/>
    <w:rsid w:val="003F4A4F"/>
    <w:rsid w:val="003F4A56"/>
    <w:rsid w:val="003F4A5D"/>
    <w:rsid w:val="003F4D6F"/>
    <w:rsid w:val="003F4E82"/>
    <w:rsid w:val="003F4E99"/>
    <w:rsid w:val="003F4EB4"/>
    <w:rsid w:val="003F4EB5"/>
    <w:rsid w:val="003F4F46"/>
    <w:rsid w:val="003F5079"/>
    <w:rsid w:val="003F512C"/>
    <w:rsid w:val="003F51E1"/>
    <w:rsid w:val="003F51E5"/>
    <w:rsid w:val="003F52F0"/>
    <w:rsid w:val="003F53B9"/>
    <w:rsid w:val="003F5493"/>
    <w:rsid w:val="003F5615"/>
    <w:rsid w:val="003F5907"/>
    <w:rsid w:val="003F5916"/>
    <w:rsid w:val="003F59DC"/>
    <w:rsid w:val="003F5B58"/>
    <w:rsid w:val="003F5CE6"/>
    <w:rsid w:val="003F5E72"/>
    <w:rsid w:val="003F5FA3"/>
    <w:rsid w:val="003F6156"/>
    <w:rsid w:val="003F623F"/>
    <w:rsid w:val="003F63F6"/>
    <w:rsid w:val="003F66A8"/>
    <w:rsid w:val="003F674E"/>
    <w:rsid w:val="003F686C"/>
    <w:rsid w:val="003F68C1"/>
    <w:rsid w:val="003F692E"/>
    <w:rsid w:val="003F6A4C"/>
    <w:rsid w:val="003F6A9E"/>
    <w:rsid w:val="003F6B8E"/>
    <w:rsid w:val="003F6BBF"/>
    <w:rsid w:val="003F6C01"/>
    <w:rsid w:val="003F6CFB"/>
    <w:rsid w:val="003F6DA6"/>
    <w:rsid w:val="003F6E39"/>
    <w:rsid w:val="003F7483"/>
    <w:rsid w:val="003F74DC"/>
    <w:rsid w:val="003F767E"/>
    <w:rsid w:val="003F769A"/>
    <w:rsid w:val="003F794D"/>
    <w:rsid w:val="003F7A3E"/>
    <w:rsid w:val="003F7BB8"/>
    <w:rsid w:val="003F7C4E"/>
    <w:rsid w:val="003F7E70"/>
    <w:rsid w:val="003F7EAA"/>
    <w:rsid w:val="00400179"/>
    <w:rsid w:val="00400213"/>
    <w:rsid w:val="00400263"/>
    <w:rsid w:val="00400328"/>
    <w:rsid w:val="00400399"/>
    <w:rsid w:val="00400437"/>
    <w:rsid w:val="00400712"/>
    <w:rsid w:val="00400771"/>
    <w:rsid w:val="00400840"/>
    <w:rsid w:val="004009C5"/>
    <w:rsid w:val="00400C05"/>
    <w:rsid w:val="00400CBB"/>
    <w:rsid w:val="00400D99"/>
    <w:rsid w:val="00401027"/>
    <w:rsid w:val="004014EB"/>
    <w:rsid w:val="00401562"/>
    <w:rsid w:val="00401A27"/>
    <w:rsid w:val="00401B06"/>
    <w:rsid w:val="00401DB6"/>
    <w:rsid w:val="00401E53"/>
    <w:rsid w:val="00401F78"/>
    <w:rsid w:val="004020AE"/>
    <w:rsid w:val="004020C9"/>
    <w:rsid w:val="004024F3"/>
    <w:rsid w:val="00402C74"/>
    <w:rsid w:val="00402CE5"/>
    <w:rsid w:val="00402D43"/>
    <w:rsid w:val="00402D53"/>
    <w:rsid w:val="00402DCB"/>
    <w:rsid w:val="00402E5C"/>
    <w:rsid w:val="00402EE6"/>
    <w:rsid w:val="00402F49"/>
    <w:rsid w:val="00402FD5"/>
    <w:rsid w:val="00403141"/>
    <w:rsid w:val="00403234"/>
    <w:rsid w:val="004032AA"/>
    <w:rsid w:val="00403369"/>
    <w:rsid w:val="004035AA"/>
    <w:rsid w:val="004035D9"/>
    <w:rsid w:val="0040373D"/>
    <w:rsid w:val="004037AB"/>
    <w:rsid w:val="004037C8"/>
    <w:rsid w:val="004038BB"/>
    <w:rsid w:val="004038DA"/>
    <w:rsid w:val="004038E0"/>
    <w:rsid w:val="004038F8"/>
    <w:rsid w:val="00403EED"/>
    <w:rsid w:val="00403FA7"/>
    <w:rsid w:val="00404035"/>
    <w:rsid w:val="00404094"/>
    <w:rsid w:val="004040D5"/>
    <w:rsid w:val="00404267"/>
    <w:rsid w:val="00404287"/>
    <w:rsid w:val="0040429A"/>
    <w:rsid w:val="00404418"/>
    <w:rsid w:val="00404925"/>
    <w:rsid w:val="004049A6"/>
    <w:rsid w:val="00404A3B"/>
    <w:rsid w:val="00404BFD"/>
    <w:rsid w:val="00404C25"/>
    <w:rsid w:val="00404D5E"/>
    <w:rsid w:val="00404E87"/>
    <w:rsid w:val="00405453"/>
    <w:rsid w:val="0040558D"/>
    <w:rsid w:val="00405653"/>
    <w:rsid w:val="0040587F"/>
    <w:rsid w:val="0040596E"/>
    <w:rsid w:val="004059DE"/>
    <w:rsid w:val="00405B21"/>
    <w:rsid w:val="00405C57"/>
    <w:rsid w:val="00405D15"/>
    <w:rsid w:val="00405DF3"/>
    <w:rsid w:val="00405F0B"/>
    <w:rsid w:val="00405F62"/>
    <w:rsid w:val="0040631B"/>
    <w:rsid w:val="0040658F"/>
    <w:rsid w:val="004067B5"/>
    <w:rsid w:val="004067C6"/>
    <w:rsid w:val="004067D0"/>
    <w:rsid w:val="004068CC"/>
    <w:rsid w:val="00406911"/>
    <w:rsid w:val="00406989"/>
    <w:rsid w:val="00406A69"/>
    <w:rsid w:val="00406C17"/>
    <w:rsid w:val="00406D19"/>
    <w:rsid w:val="00407314"/>
    <w:rsid w:val="00407347"/>
    <w:rsid w:val="0040742A"/>
    <w:rsid w:val="004074B0"/>
    <w:rsid w:val="00407681"/>
    <w:rsid w:val="0040789B"/>
    <w:rsid w:val="00407A12"/>
    <w:rsid w:val="00407A27"/>
    <w:rsid w:val="00407A8B"/>
    <w:rsid w:val="00407D7B"/>
    <w:rsid w:val="00407E61"/>
    <w:rsid w:val="00407EC7"/>
    <w:rsid w:val="00407EF9"/>
    <w:rsid w:val="004100D6"/>
    <w:rsid w:val="00410122"/>
    <w:rsid w:val="0041020B"/>
    <w:rsid w:val="004102FC"/>
    <w:rsid w:val="004103B5"/>
    <w:rsid w:val="00410420"/>
    <w:rsid w:val="00410514"/>
    <w:rsid w:val="004106E1"/>
    <w:rsid w:val="00410824"/>
    <w:rsid w:val="00410880"/>
    <w:rsid w:val="0041088B"/>
    <w:rsid w:val="004109E8"/>
    <w:rsid w:val="00410ADF"/>
    <w:rsid w:val="00410B4E"/>
    <w:rsid w:val="00410D6F"/>
    <w:rsid w:val="00411190"/>
    <w:rsid w:val="0041121B"/>
    <w:rsid w:val="00411239"/>
    <w:rsid w:val="0041144B"/>
    <w:rsid w:val="004114A3"/>
    <w:rsid w:val="00411575"/>
    <w:rsid w:val="0041159D"/>
    <w:rsid w:val="00411753"/>
    <w:rsid w:val="004117AD"/>
    <w:rsid w:val="004118CB"/>
    <w:rsid w:val="00411A83"/>
    <w:rsid w:val="00411B07"/>
    <w:rsid w:val="00411B9D"/>
    <w:rsid w:val="00411CE4"/>
    <w:rsid w:val="00411E57"/>
    <w:rsid w:val="00411FE8"/>
    <w:rsid w:val="00412065"/>
    <w:rsid w:val="004120FD"/>
    <w:rsid w:val="004122F0"/>
    <w:rsid w:val="004123A3"/>
    <w:rsid w:val="004123B2"/>
    <w:rsid w:val="00412511"/>
    <w:rsid w:val="00412699"/>
    <w:rsid w:val="0041273E"/>
    <w:rsid w:val="00412967"/>
    <w:rsid w:val="004129BC"/>
    <w:rsid w:val="00412A27"/>
    <w:rsid w:val="00412D5C"/>
    <w:rsid w:val="00412F01"/>
    <w:rsid w:val="0041302B"/>
    <w:rsid w:val="004130AE"/>
    <w:rsid w:val="004132B2"/>
    <w:rsid w:val="004137DD"/>
    <w:rsid w:val="00413954"/>
    <w:rsid w:val="00413A7A"/>
    <w:rsid w:val="00413B35"/>
    <w:rsid w:val="00413DD3"/>
    <w:rsid w:val="0041406A"/>
    <w:rsid w:val="0041414B"/>
    <w:rsid w:val="0041421A"/>
    <w:rsid w:val="004142DF"/>
    <w:rsid w:val="0041448A"/>
    <w:rsid w:val="004145CF"/>
    <w:rsid w:val="00414621"/>
    <w:rsid w:val="00414901"/>
    <w:rsid w:val="00414A31"/>
    <w:rsid w:val="00414B1D"/>
    <w:rsid w:val="00414B25"/>
    <w:rsid w:val="00414CD0"/>
    <w:rsid w:val="00414DB4"/>
    <w:rsid w:val="00414DBD"/>
    <w:rsid w:val="00414FF3"/>
    <w:rsid w:val="004151B6"/>
    <w:rsid w:val="0041559D"/>
    <w:rsid w:val="00415636"/>
    <w:rsid w:val="004156BF"/>
    <w:rsid w:val="00415865"/>
    <w:rsid w:val="00415998"/>
    <w:rsid w:val="00415AC3"/>
    <w:rsid w:val="00415B41"/>
    <w:rsid w:val="00415D6A"/>
    <w:rsid w:val="00415EBE"/>
    <w:rsid w:val="00415F23"/>
    <w:rsid w:val="00415F8C"/>
    <w:rsid w:val="00416082"/>
    <w:rsid w:val="004161E5"/>
    <w:rsid w:val="00416254"/>
    <w:rsid w:val="004164DF"/>
    <w:rsid w:val="00416C25"/>
    <w:rsid w:val="004173AA"/>
    <w:rsid w:val="00417518"/>
    <w:rsid w:val="00417575"/>
    <w:rsid w:val="004176A1"/>
    <w:rsid w:val="0041773B"/>
    <w:rsid w:val="00417892"/>
    <w:rsid w:val="0041798A"/>
    <w:rsid w:val="00417C41"/>
    <w:rsid w:val="00417C9D"/>
    <w:rsid w:val="00417DBE"/>
    <w:rsid w:val="00417DF0"/>
    <w:rsid w:val="00417ED3"/>
    <w:rsid w:val="00417F8F"/>
    <w:rsid w:val="00417FAE"/>
    <w:rsid w:val="00420063"/>
    <w:rsid w:val="004200E1"/>
    <w:rsid w:val="0042013D"/>
    <w:rsid w:val="0042030C"/>
    <w:rsid w:val="00420413"/>
    <w:rsid w:val="00420512"/>
    <w:rsid w:val="0042051E"/>
    <w:rsid w:val="00420729"/>
    <w:rsid w:val="00420893"/>
    <w:rsid w:val="004208BD"/>
    <w:rsid w:val="00420BDF"/>
    <w:rsid w:val="00420CA2"/>
    <w:rsid w:val="00421209"/>
    <w:rsid w:val="0042124E"/>
    <w:rsid w:val="0042127D"/>
    <w:rsid w:val="0042129C"/>
    <w:rsid w:val="00421369"/>
    <w:rsid w:val="0042150C"/>
    <w:rsid w:val="004217CC"/>
    <w:rsid w:val="004217DE"/>
    <w:rsid w:val="00421852"/>
    <w:rsid w:val="00421893"/>
    <w:rsid w:val="004218A9"/>
    <w:rsid w:val="00421BA8"/>
    <w:rsid w:val="00421D66"/>
    <w:rsid w:val="00421DD0"/>
    <w:rsid w:val="00421DDB"/>
    <w:rsid w:val="00422043"/>
    <w:rsid w:val="00422078"/>
    <w:rsid w:val="004224C0"/>
    <w:rsid w:val="004227CD"/>
    <w:rsid w:val="00422B4E"/>
    <w:rsid w:val="00422F7C"/>
    <w:rsid w:val="004232CC"/>
    <w:rsid w:val="0042346A"/>
    <w:rsid w:val="00423636"/>
    <w:rsid w:val="00423735"/>
    <w:rsid w:val="00423773"/>
    <w:rsid w:val="004238F6"/>
    <w:rsid w:val="004238FC"/>
    <w:rsid w:val="00423999"/>
    <w:rsid w:val="00423C60"/>
    <w:rsid w:val="00423CC8"/>
    <w:rsid w:val="00423D41"/>
    <w:rsid w:val="00423D6D"/>
    <w:rsid w:val="00423FD7"/>
    <w:rsid w:val="00424118"/>
    <w:rsid w:val="004242B1"/>
    <w:rsid w:val="00424350"/>
    <w:rsid w:val="004244A7"/>
    <w:rsid w:val="004244F5"/>
    <w:rsid w:val="004245B4"/>
    <w:rsid w:val="00424749"/>
    <w:rsid w:val="004247A4"/>
    <w:rsid w:val="004248CC"/>
    <w:rsid w:val="004249BD"/>
    <w:rsid w:val="00424A44"/>
    <w:rsid w:val="00424B02"/>
    <w:rsid w:val="00424B04"/>
    <w:rsid w:val="00424CE4"/>
    <w:rsid w:val="00424D22"/>
    <w:rsid w:val="00424D36"/>
    <w:rsid w:val="00424DCF"/>
    <w:rsid w:val="00425097"/>
    <w:rsid w:val="004251A5"/>
    <w:rsid w:val="00425292"/>
    <w:rsid w:val="004254A7"/>
    <w:rsid w:val="00425519"/>
    <w:rsid w:val="0042568F"/>
    <w:rsid w:val="00425772"/>
    <w:rsid w:val="00425ABE"/>
    <w:rsid w:val="00425C8D"/>
    <w:rsid w:val="00425CE7"/>
    <w:rsid w:val="00425E6F"/>
    <w:rsid w:val="004260A6"/>
    <w:rsid w:val="0042610C"/>
    <w:rsid w:val="00426117"/>
    <w:rsid w:val="0042624D"/>
    <w:rsid w:val="00426696"/>
    <w:rsid w:val="004267B4"/>
    <w:rsid w:val="004268A0"/>
    <w:rsid w:val="00426A34"/>
    <w:rsid w:val="00426AA7"/>
    <w:rsid w:val="00426CED"/>
    <w:rsid w:val="00427120"/>
    <w:rsid w:val="00427175"/>
    <w:rsid w:val="0042719D"/>
    <w:rsid w:val="004271CE"/>
    <w:rsid w:val="0042721C"/>
    <w:rsid w:val="0042725A"/>
    <w:rsid w:val="004273CB"/>
    <w:rsid w:val="004278E0"/>
    <w:rsid w:val="00427AD0"/>
    <w:rsid w:val="00427F50"/>
    <w:rsid w:val="004300E6"/>
    <w:rsid w:val="004303D7"/>
    <w:rsid w:val="0043047C"/>
    <w:rsid w:val="004305C4"/>
    <w:rsid w:val="00430771"/>
    <w:rsid w:val="004307A7"/>
    <w:rsid w:val="0043083C"/>
    <w:rsid w:val="004308D3"/>
    <w:rsid w:val="00430979"/>
    <w:rsid w:val="00430BFF"/>
    <w:rsid w:val="00430DA1"/>
    <w:rsid w:val="00430FB0"/>
    <w:rsid w:val="0043127E"/>
    <w:rsid w:val="004312E9"/>
    <w:rsid w:val="004318BB"/>
    <w:rsid w:val="00431A04"/>
    <w:rsid w:val="00431A5E"/>
    <w:rsid w:val="00431CF8"/>
    <w:rsid w:val="00431EA1"/>
    <w:rsid w:val="004320A2"/>
    <w:rsid w:val="00432111"/>
    <w:rsid w:val="004321D2"/>
    <w:rsid w:val="00432237"/>
    <w:rsid w:val="00432249"/>
    <w:rsid w:val="00432377"/>
    <w:rsid w:val="00432427"/>
    <w:rsid w:val="00432478"/>
    <w:rsid w:val="004324C1"/>
    <w:rsid w:val="00432755"/>
    <w:rsid w:val="00432827"/>
    <w:rsid w:val="0043285E"/>
    <w:rsid w:val="00432DE2"/>
    <w:rsid w:val="00432F4A"/>
    <w:rsid w:val="00432FCF"/>
    <w:rsid w:val="00433070"/>
    <w:rsid w:val="00433566"/>
    <w:rsid w:val="004335D4"/>
    <w:rsid w:val="00433906"/>
    <w:rsid w:val="00433A44"/>
    <w:rsid w:val="00433BAB"/>
    <w:rsid w:val="00433CE9"/>
    <w:rsid w:val="00433D88"/>
    <w:rsid w:val="00433DDD"/>
    <w:rsid w:val="00433DE7"/>
    <w:rsid w:val="00433F94"/>
    <w:rsid w:val="00434092"/>
    <w:rsid w:val="0043422A"/>
    <w:rsid w:val="004342A1"/>
    <w:rsid w:val="0043436D"/>
    <w:rsid w:val="004343D2"/>
    <w:rsid w:val="004343DE"/>
    <w:rsid w:val="004344B8"/>
    <w:rsid w:val="0043465F"/>
    <w:rsid w:val="00434727"/>
    <w:rsid w:val="00434A4F"/>
    <w:rsid w:val="00434B15"/>
    <w:rsid w:val="00434D28"/>
    <w:rsid w:val="00434FD5"/>
    <w:rsid w:val="00435213"/>
    <w:rsid w:val="00435224"/>
    <w:rsid w:val="004354F2"/>
    <w:rsid w:val="00435535"/>
    <w:rsid w:val="004357D4"/>
    <w:rsid w:val="0043581A"/>
    <w:rsid w:val="0043584D"/>
    <w:rsid w:val="004358AE"/>
    <w:rsid w:val="00435B27"/>
    <w:rsid w:val="00435D40"/>
    <w:rsid w:val="00435DF3"/>
    <w:rsid w:val="00435E48"/>
    <w:rsid w:val="00435F6F"/>
    <w:rsid w:val="0043623F"/>
    <w:rsid w:val="004363C8"/>
    <w:rsid w:val="004363EF"/>
    <w:rsid w:val="0043645F"/>
    <w:rsid w:val="00436654"/>
    <w:rsid w:val="00436657"/>
    <w:rsid w:val="0043686E"/>
    <w:rsid w:val="00436D97"/>
    <w:rsid w:val="00436E64"/>
    <w:rsid w:val="00437273"/>
    <w:rsid w:val="004372E3"/>
    <w:rsid w:val="0043766D"/>
    <w:rsid w:val="0043780C"/>
    <w:rsid w:val="00437832"/>
    <w:rsid w:val="00437888"/>
    <w:rsid w:val="0043791F"/>
    <w:rsid w:val="00437AA8"/>
    <w:rsid w:val="00437C35"/>
    <w:rsid w:val="00437D97"/>
    <w:rsid w:val="00437F6D"/>
    <w:rsid w:val="00440191"/>
    <w:rsid w:val="0044027B"/>
    <w:rsid w:val="004407CB"/>
    <w:rsid w:val="004407FA"/>
    <w:rsid w:val="00440C10"/>
    <w:rsid w:val="00440D42"/>
    <w:rsid w:val="00440D90"/>
    <w:rsid w:val="00440DB6"/>
    <w:rsid w:val="00440E51"/>
    <w:rsid w:val="00440F52"/>
    <w:rsid w:val="00440FC9"/>
    <w:rsid w:val="004411C6"/>
    <w:rsid w:val="00441245"/>
    <w:rsid w:val="004412AE"/>
    <w:rsid w:val="004412B3"/>
    <w:rsid w:val="004412C9"/>
    <w:rsid w:val="004412EA"/>
    <w:rsid w:val="0044140F"/>
    <w:rsid w:val="004414C4"/>
    <w:rsid w:val="004415D9"/>
    <w:rsid w:val="004416B0"/>
    <w:rsid w:val="004416CE"/>
    <w:rsid w:val="00441BA1"/>
    <w:rsid w:val="00441DEE"/>
    <w:rsid w:val="004421BC"/>
    <w:rsid w:val="00442294"/>
    <w:rsid w:val="004422BA"/>
    <w:rsid w:val="004423C1"/>
    <w:rsid w:val="004424CE"/>
    <w:rsid w:val="0044258C"/>
    <w:rsid w:val="004425CF"/>
    <w:rsid w:val="00442637"/>
    <w:rsid w:val="00442674"/>
    <w:rsid w:val="0044272A"/>
    <w:rsid w:val="00442808"/>
    <w:rsid w:val="004428EB"/>
    <w:rsid w:val="00442AE3"/>
    <w:rsid w:val="00442B4A"/>
    <w:rsid w:val="00442BBA"/>
    <w:rsid w:val="00442C70"/>
    <w:rsid w:val="00442F51"/>
    <w:rsid w:val="00442FDE"/>
    <w:rsid w:val="0044305D"/>
    <w:rsid w:val="00443303"/>
    <w:rsid w:val="0044335F"/>
    <w:rsid w:val="0044349B"/>
    <w:rsid w:val="0044362D"/>
    <w:rsid w:val="004437AC"/>
    <w:rsid w:val="004438B5"/>
    <w:rsid w:val="004438D0"/>
    <w:rsid w:val="0044395C"/>
    <w:rsid w:val="00443A46"/>
    <w:rsid w:val="00443B56"/>
    <w:rsid w:val="004443DA"/>
    <w:rsid w:val="0044454B"/>
    <w:rsid w:val="00444550"/>
    <w:rsid w:val="00444669"/>
    <w:rsid w:val="00444BE0"/>
    <w:rsid w:val="00444BF0"/>
    <w:rsid w:val="00444C7D"/>
    <w:rsid w:val="00444CE4"/>
    <w:rsid w:val="00444E95"/>
    <w:rsid w:val="00444F2C"/>
    <w:rsid w:val="0044504A"/>
    <w:rsid w:val="00445205"/>
    <w:rsid w:val="004452E8"/>
    <w:rsid w:val="0044540A"/>
    <w:rsid w:val="00445916"/>
    <w:rsid w:val="00445B20"/>
    <w:rsid w:val="00445B3B"/>
    <w:rsid w:val="00445DC5"/>
    <w:rsid w:val="00445E20"/>
    <w:rsid w:val="00445E5E"/>
    <w:rsid w:val="00445F64"/>
    <w:rsid w:val="0044624D"/>
    <w:rsid w:val="00446451"/>
    <w:rsid w:val="0044647D"/>
    <w:rsid w:val="004464F1"/>
    <w:rsid w:val="0044668A"/>
    <w:rsid w:val="00446855"/>
    <w:rsid w:val="004468AF"/>
    <w:rsid w:val="0044693F"/>
    <w:rsid w:val="00446B02"/>
    <w:rsid w:val="00446B14"/>
    <w:rsid w:val="00446CB4"/>
    <w:rsid w:val="00446CD8"/>
    <w:rsid w:val="00446DFF"/>
    <w:rsid w:val="004470C2"/>
    <w:rsid w:val="00447107"/>
    <w:rsid w:val="00447194"/>
    <w:rsid w:val="0044748D"/>
    <w:rsid w:val="00447512"/>
    <w:rsid w:val="004476F2"/>
    <w:rsid w:val="0044781D"/>
    <w:rsid w:val="00447821"/>
    <w:rsid w:val="00447A67"/>
    <w:rsid w:val="00447AAB"/>
    <w:rsid w:val="00447BFD"/>
    <w:rsid w:val="00447C8A"/>
    <w:rsid w:val="00447D4D"/>
    <w:rsid w:val="00447D7B"/>
    <w:rsid w:val="00447DE2"/>
    <w:rsid w:val="00447DFA"/>
    <w:rsid w:val="00447E00"/>
    <w:rsid w:val="00447E06"/>
    <w:rsid w:val="00447EBB"/>
    <w:rsid w:val="00447ED2"/>
    <w:rsid w:val="004500AD"/>
    <w:rsid w:val="004500D5"/>
    <w:rsid w:val="00450351"/>
    <w:rsid w:val="004505CA"/>
    <w:rsid w:val="00450745"/>
    <w:rsid w:val="004507C0"/>
    <w:rsid w:val="00450866"/>
    <w:rsid w:val="00450BB6"/>
    <w:rsid w:val="00450E97"/>
    <w:rsid w:val="00450F8B"/>
    <w:rsid w:val="00451210"/>
    <w:rsid w:val="0045121F"/>
    <w:rsid w:val="0045132E"/>
    <w:rsid w:val="004515C6"/>
    <w:rsid w:val="00451609"/>
    <w:rsid w:val="00451683"/>
    <w:rsid w:val="004516B2"/>
    <w:rsid w:val="00451833"/>
    <w:rsid w:val="00451850"/>
    <w:rsid w:val="0045187B"/>
    <w:rsid w:val="00451A69"/>
    <w:rsid w:val="00451B9D"/>
    <w:rsid w:val="00451D8D"/>
    <w:rsid w:val="00451E47"/>
    <w:rsid w:val="00451E88"/>
    <w:rsid w:val="00451F05"/>
    <w:rsid w:val="00452048"/>
    <w:rsid w:val="00452122"/>
    <w:rsid w:val="004522A9"/>
    <w:rsid w:val="0045243D"/>
    <w:rsid w:val="0045246F"/>
    <w:rsid w:val="0045252A"/>
    <w:rsid w:val="004525C1"/>
    <w:rsid w:val="00452668"/>
    <w:rsid w:val="00452863"/>
    <w:rsid w:val="0045291E"/>
    <w:rsid w:val="0045298B"/>
    <w:rsid w:val="004529BD"/>
    <w:rsid w:val="00452A93"/>
    <w:rsid w:val="00452AA6"/>
    <w:rsid w:val="00452B61"/>
    <w:rsid w:val="00452BAA"/>
    <w:rsid w:val="00452BD1"/>
    <w:rsid w:val="00452C7E"/>
    <w:rsid w:val="00452D03"/>
    <w:rsid w:val="00452F3E"/>
    <w:rsid w:val="00452F48"/>
    <w:rsid w:val="00453265"/>
    <w:rsid w:val="004532E7"/>
    <w:rsid w:val="0045344A"/>
    <w:rsid w:val="00453601"/>
    <w:rsid w:val="00453702"/>
    <w:rsid w:val="00453AA5"/>
    <w:rsid w:val="00453B43"/>
    <w:rsid w:val="00453C66"/>
    <w:rsid w:val="00453CEC"/>
    <w:rsid w:val="00453D1D"/>
    <w:rsid w:val="00453F2C"/>
    <w:rsid w:val="0045412B"/>
    <w:rsid w:val="004541E0"/>
    <w:rsid w:val="0045421F"/>
    <w:rsid w:val="004542A7"/>
    <w:rsid w:val="00454318"/>
    <w:rsid w:val="00454387"/>
    <w:rsid w:val="004544ED"/>
    <w:rsid w:val="004546CB"/>
    <w:rsid w:val="0045472F"/>
    <w:rsid w:val="00454B19"/>
    <w:rsid w:val="00454B1E"/>
    <w:rsid w:val="00454C2F"/>
    <w:rsid w:val="00454E68"/>
    <w:rsid w:val="00455054"/>
    <w:rsid w:val="004551F8"/>
    <w:rsid w:val="004553D6"/>
    <w:rsid w:val="00455473"/>
    <w:rsid w:val="00455607"/>
    <w:rsid w:val="004556AD"/>
    <w:rsid w:val="00455708"/>
    <w:rsid w:val="004559B5"/>
    <w:rsid w:val="00455A9C"/>
    <w:rsid w:val="00455BBA"/>
    <w:rsid w:val="00455CDF"/>
    <w:rsid w:val="00455D11"/>
    <w:rsid w:val="00455F0A"/>
    <w:rsid w:val="004560CA"/>
    <w:rsid w:val="0045615B"/>
    <w:rsid w:val="0045630A"/>
    <w:rsid w:val="0045658B"/>
    <w:rsid w:val="00456652"/>
    <w:rsid w:val="004566B2"/>
    <w:rsid w:val="00456851"/>
    <w:rsid w:val="00456966"/>
    <w:rsid w:val="0045697F"/>
    <w:rsid w:val="004569BD"/>
    <w:rsid w:val="004569C5"/>
    <w:rsid w:val="00456ABD"/>
    <w:rsid w:val="00456C79"/>
    <w:rsid w:val="00456E32"/>
    <w:rsid w:val="0045715F"/>
    <w:rsid w:val="0045734B"/>
    <w:rsid w:val="0045756A"/>
    <w:rsid w:val="0045758F"/>
    <w:rsid w:val="00457613"/>
    <w:rsid w:val="004576E3"/>
    <w:rsid w:val="00457A2A"/>
    <w:rsid w:val="00457DF6"/>
    <w:rsid w:val="00457EDA"/>
    <w:rsid w:val="00457F92"/>
    <w:rsid w:val="004601D0"/>
    <w:rsid w:val="0046041C"/>
    <w:rsid w:val="00460487"/>
    <w:rsid w:val="0046063E"/>
    <w:rsid w:val="004607A5"/>
    <w:rsid w:val="004608D1"/>
    <w:rsid w:val="004608F0"/>
    <w:rsid w:val="00460A52"/>
    <w:rsid w:val="00460A95"/>
    <w:rsid w:val="00460AA3"/>
    <w:rsid w:val="00460D2C"/>
    <w:rsid w:val="00460D4A"/>
    <w:rsid w:val="00460D8E"/>
    <w:rsid w:val="00460E6C"/>
    <w:rsid w:val="00460F33"/>
    <w:rsid w:val="00461005"/>
    <w:rsid w:val="00461022"/>
    <w:rsid w:val="004610F6"/>
    <w:rsid w:val="004611E7"/>
    <w:rsid w:val="00461371"/>
    <w:rsid w:val="00461412"/>
    <w:rsid w:val="00461542"/>
    <w:rsid w:val="0046163B"/>
    <w:rsid w:val="00461713"/>
    <w:rsid w:val="00461759"/>
    <w:rsid w:val="00461824"/>
    <w:rsid w:val="00461884"/>
    <w:rsid w:val="004618E7"/>
    <w:rsid w:val="00461A05"/>
    <w:rsid w:val="00461A1A"/>
    <w:rsid w:val="00461A2C"/>
    <w:rsid w:val="00461BDE"/>
    <w:rsid w:val="00461DEB"/>
    <w:rsid w:val="00461E8A"/>
    <w:rsid w:val="00461ED8"/>
    <w:rsid w:val="00461F1C"/>
    <w:rsid w:val="00461F49"/>
    <w:rsid w:val="00461F63"/>
    <w:rsid w:val="00462150"/>
    <w:rsid w:val="00462210"/>
    <w:rsid w:val="00462338"/>
    <w:rsid w:val="00462392"/>
    <w:rsid w:val="00462421"/>
    <w:rsid w:val="00462462"/>
    <w:rsid w:val="004625EA"/>
    <w:rsid w:val="00462664"/>
    <w:rsid w:val="0046272B"/>
    <w:rsid w:val="0046275E"/>
    <w:rsid w:val="004627A0"/>
    <w:rsid w:val="0046281D"/>
    <w:rsid w:val="004628D6"/>
    <w:rsid w:val="004628F5"/>
    <w:rsid w:val="00462925"/>
    <w:rsid w:val="00462CBF"/>
    <w:rsid w:val="00462CFD"/>
    <w:rsid w:val="0046313C"/>
    <w:rsid w:val="004632E1"/>
    <w:rsid w:val="004632E4"/>
    <w:rsid w:val="0046334D"/>
    <w:rsid w:val="004633CE"/>
    <w:rsid w:val="0046341A"/>
    <w:rsid w:val="00463763"/>
    <w:rsid w:val="0046394C"/>
    <w:rsid w:val="004639A3"/>
    <w:rsid w:val="00463DC7"/>
    <w:rsid w:val="00463E63"/>
    <w:rsid w:val="00463F1A"/>
    <w:rsid w:val="004640BE"/>
    <w:rsid w:val="0046413F"/>
    <w:rsid w:val="00464193"/>
    <w:rsid w:val="0046438B"/>
    <w:rsid w:val="00464402"/>
    <w:rsid w:val="00464421"/>
    <w:rsid w:val="00464663"/>
    <w:rsid w:val="0046494F"/>
    <w:rsid w:val="004649F0"/>
    <w:rsid w:val="00464A0C"/>
    <w:rsid w:val="00464A0F"/>
    <w:rsid w:val="00464ABE"/>
    <w:rsid w:val="00464C40"/>
    <w:rsid w:val="00464E5E"/>
    <w:rsid w:val="00464F81"/>
    <w:rsid w:val="004650A6"/>
    <w:rsid w:val="00465125"/>
    <w:rsid w:val="00465173"/>
    <w:rsid w:val="0046564F"/>
    <w:rsid w:val="004656C0"/>
    <w:rsid w:val="004656C1"/>
    <w:rsid w:val="0046589A"/>
    <w:rsid w:val="004659CD"/>
    <w:rsid w:val="00465B1A"/>
    <w:rsid w:val="00465B99"/>
    <w:rsid w:val="00465C72"/>
    <w:rsid w:val="00465D5E"/>
    <w:rsid w:val="00465FB4"/>
    <w:rsid w:val="00466196"/>
    <w:rsid w:val="00466456"/>
    <w:rsid w:val="004666E6"/>
    <w:rsid w:val="00466A51"/>
    <w:rsid w:val="00466C86"/>
    <w:rsid w:val="00466CF7"/>
    <w:rsid w:val="0046710F"/>
    <w:rsid w:val="004672BE"/>
    <w:rsid w:val="004675D1"/>
    <w:rsid w:val="004675ED"/>
    <w:rsid w:val="00467607"/>
    <w:rsid w:val="004676FE"/>
    <w:rsid w:val="004677C5"/>
    <w:rsid w:val="00467944"/>
    <w:rsid w:val="00467B83"/>
    <w:rsid w:val="00467C3C"/>
    <w:rsid w:val="00467D08"/>
    <w:rsid w:val="00467F96"/>
    <w:rsid w:val="00470268"/>
    <w:rsid w:val="00470412"/>
    <w:rsid w:val="0047043E"/>
    <w:rsid w:val="00470473"/>
    <w:rsid w:val="00470508"/>
    <w:rsid w:val="0047077F"/>
    <w:rsid w:val="00470875"/>
    <w:rsid w:val="00470A72"/>
    <w:rsid w:val="00470B21"/>
    <w:rsid w:val="00470C2C"/>
    <w:rsid w:val="00470D64"/>
    <w:rsid w:val="00470EFF"/>
    <w:rsid w:val="0047105D"/>
    <w:rsid w:val="004712E9"/>
    <w:rsid w:val="00471328"/>
    <w:rsid w:val="004713C9"/>
    <w:rsid w:val="0047178A"/>
    <w:rsid w:val="00471855"/>
    <w:rsid w:val="00471A60"/>
    <w:rsid w:val="00471AAF"/>
    <w:rsid w:val="00471BDD"/>
    <w:rsid w:val="00471C29"/>
    <w:rsid w:val="00471C3C"/>
    <w:rsid w:val="00471E56"/>
    <w:rsid w:val="00471EF5"/>
    <w:rsid w:val="00471F94"/>
    <w:rsid w:val="00472001"/>
    <w:rsid w:val="004721E3"/>
    <w:rsid w:val="00472293"/>
    <w:rsid w:val="004722E7"/>
    <w:rsid w:val="004723D7"/>
    <w:rsid w:val="004724C1"/>
    <w:rsid w:val="0047250E"/>
    <w:rsid w:val="0047293B"/>
    <w:rsid w:val="00472BB4"/>
    <w:rsid w:val="00472E6F"/>
    <w:rsid w:val="00472E9F"/>
    <w:rsid w:val="00472EC2"/>
    <w:rsid w:val="00472EFF"/>
    <w:rsid w:val="00473347"/>
    <w:rsid w:val="0047335B"/>
    <w:rsid w:val="00473767"/>
    <w:rsid w:val="00473865"/>
    <w:rsid w:val="00473B0F"/>
    <w:rsid w:val="00473C19"/>
    <w:rsid w:val="00473E06"/>
    <w:rsid w:val="00473F8C"/>
    <w:rsid w:val="00474013"/>
    <w:rsid w:val="0047411D"/>
    <w:rsid w:val="004744CA"/>
    <w:rsid w:val="00474632"/>
    <w:rsid w:val="0047467E"/>
    <w:rsid w:val="00474756"/>
    <w:rsid w:val="004747F3"/>
    <w:rsid w:val="004749E1"/>
    <w:rsid w:val="004749EA"/>
    <w:rsid w:val="004749FE"/>
    <w:rsid w:val="00474C9C"/>
    <w:rsid w:val="00474CC5"/>
    <w:rsid w:val="00474DA7"/>
    <w:rsid w:val="00474F24"/>
    <w:rsid w:val="00474F96"/>
    <w:rsid w:val="004750B1"/>
    <w:rsid w:val="004750D3"/>
    <w:rsid w:val="0047512D"/>
    <w:rsid w:val="00475176"/>
    <w:rsid w:val="0047524B"/>
    <w:rsid w:val="00475295"/>
    <w:rsid w:val="00475483"/>
    <w:rsid w:val="0047559A"/>
    <w:rsid w:val="004755AC"/>
    <w:rsid w:val="004757E8"/>
    <w:rsid w:val="004758FC"/>
    <w:rsid w:val="004759B0"/>
    <w:rsid w:val="00475B35"/>
    <w:rsid w:val="00475B93"/>
    <w:rsid w:val="00475BBB"/>
    <w:rsid w:val="00475DDD"/>
    <w:rsid w:val="00475EDE"/>
    <w:rsid w:val="00475F00"/>
    <w:rsid w:val="00476318"/>
    <w:rsid w:val="0047637D"/>
    <w:rsid w:val="00476739"/>
    <w:rsid w:val="004767C0"/>
    <w:rsid w:val="00476857"/>
    <w:rsid w:val="0047694D"/>
    <w:rsid w:val="00476A43"/>
    <w:rsid w:val="00476B02"/>
    <w:rsid w:val="00476B20"/>
    <w:rsid w:val="00476C0F"/>
    <w:rsid w:val="00476C8B"/>
    <w:rsid w:val="00476E27"/>
    <w:rsid w:val="00476E61"/>
    <w:rsid w:val="0047709C"/>
    <w:rsid w:val="004771A3"/>
    <w:rsid w:val="00477251"/>
    <w:rsid w:val="004772CA"/>
    <w:rsid w:val="00477431"/>
    <w:rsid w:val="004774CC"/>
    <w:rsid w:val="00477756"/>
    <w:rsid w:val="004778C6"/>
    <w:rsid w:val="0047791B"/>
    <w:rsid w:val="004779FF"/>
    <w:rsid w:val="00477D40"/>
    <w:rsid w:val="00477FAA"/>
    <w:rsid w:val="00477FAD"/>
    <w:rsid w:val="00477FE3"/>
    <w:rsid w:val="00477FE9"/>
    <w:rsid w:val="00477FED"/>
    <w:rsid w:val="00480222"/>
    <w:rsid w:val="00480344"/>
    <w:rsid w:val="004804D5"/>
    <w:rsid w:val="0048051A"/>
    <w:rsid w:val="00480525"/>
    <w:rsid w:val="004805D6"/>
    <w:rsid w:val="004807F7"/>
    <w:rsid w:val="004808E1"/>
    <w:rsid w:val="004809FA"/>
    <w:rsid w:val="00480C96"/>
    <w:rsid w:val="00480E4E"/>
    <w:rsid w:val="004811CC"/>
    <w:rsid w:val="00481210"/>
    <w:rsid w:val="00481428"/>
    <w:rsid w:val="004814DC"/>
    <w:rsid w:val="004816BA"/>
    <w:rsid w:val="00481814"/>
    <w:rsid w:val="004819EC"/>
    <w:rsid w:val="00481AF1"/>
    <w:rsid w:val="00481DCC"/>
    <w:rsid w:val="00481E27"/>
    <w:rsid w:val="00482102"/>
    <w:rsid w:val="004824B3"/>
    <w:rsid w:val="00482618"/>
    <w:rsid w:val="00482ABB"/>
    <w:rsid w:val="00482D79"/>
    <w:rsid w:val="00482D82"/>
    <w:rsid w:val="00482D8A"/>
    <w:rsid w:val="00482DD2"/>
    <w:rsid w:val="00482E29"/>
    <w:rsid w:val="00482E51"/>
    <w:rsid w:val="00483028"/>
    <w:rsid w:val="00483123"/>
    <w:rsid w:val="004831A8"/>
    <w:rsid w:val="004831DF"/>
    <w:rsid w:val="00483251"/>
    <w:rsid w:val="0048357C"/>
    <w:rsid w:val="004835BD"/>
    <w:rsid w:val="004836E4"/>
    <w:rsid w:val="00483D2C"/>
    <w:rsid w:val="00484091"/>
    <w:rsid w:val="004841A4"/>
    <w:rsid w:val="004842B2"/>
    <w:rsid w:val="0048440A"/>
    <w:rsid w:val="00484424"/>
    <w:rsid w:val="0048450C"/>
    <w:rsid w:val="00484643"/>
    <w:rsid w:val="00484902"/>
    <w:rsid w:val="00484948"/>
    <w:rsid w:val="00484B2F"/>
    <w:rsid w:val="00484C76"/>
    <w:rsid w:val="00484FB1"/>
    <w:rsid w:val="00484FD4"/>
    <w:rsid w:val="0048522F"/>
    <w:rsid w:val="0048549D"/>
    <w:rsid w:val="0048553B"/>
    <w:rsid w:val="004857A8"/>
    <w:rsid w:val="004858BD"/>
    <w:rsid w:val="004858DE"/>
    <w:rsid w:val="00485960"/>
    <w:rsid w:val="00485A21"/>
    <w:rsid w:val="00485E29"/>
    <w:rsid w:val="00486045"/>
    <w:rsid w:val="00486063"/>
    <w:rsid w:val="004862DB"/>
    <w:rsid w:val="004863C3"/>
    <w:rsid w:val="00486703"/>
    <w:rsid w:val="00486894"/>
    <w:rsid w:val="00486B14"/>
    <w:rsid w:val="00486B26"/>
    <w:rsid w:val="004870A2"/>
    <w:rsid w:val="00487177"/>
    <w:rsid w:val="0048720A"/>
    <w:rsid w:val="0048747E"/>
    <w:rsid w:val="004874D4"/>
    <w:rsid w:val="00487587"/>
    <w:rsid w:val="004877EB"/>
    <w:rsid w:val="00487852"/>
    <w:rsid w:val="00487A72"/>
    <w:rsid w:val="00487DB2"/>
    <w:rsid w:val="00487E84"/>
    <w:rsid w:val="00487EC6"/>
    <w:rsid w:val="00487F16"/>
    <w:rsid w:val="00487F20"/>
    <w:rsid w:val="00487FF1"/>
    <w:rsid w:val="00490207"/>
    <w:rsid w:val="00490263"/>
    <w:rsid w:val="00490424"/>
    <w:rsid w:val="004905F5"/>
    <w:rsid w:val="0049085D"/>
    <w:rsid w:val="00490A64"/>
    <w:rsid w:val="00490AAA"/>
    <w:rsid w:val="00490BC5"/>
    <w:rsid w:val="004912E8"/>
    <w:rsid w:val="0049153E"/>
    <w:rsid w:val="004917F3"/>
    <w:rsid w:val="004918A1"/>
    <w:rsid w:val="0049193B"/>
    <w:rsid w:val="00491A27"/>
    <w:rsid w:val="00491B65"/>
    <w:rsid w:val="00491B82"/>
    <w:rsid w:val="00491C12"/>
    <w:rsid w:val="00491CFB"/>
    <w:rsid w:val="00491D3D"/>
    <w:rsid w:val="00492291"/>
    <w:rsid w:val="004924D7"/>
    <w:rsid w:val="004927BC"/>
    <w:rsid w:val="0049283D"/>
    <w:rsid w:val="00492920"/>
    <w:rsid w:val="00492934"/>
    <w:rsid w:val="00492B91"/>
    <w:rsid w:val="00492CE4"/>
    <w:rsid w:val="00492CE5"/>
    <w:rsid w:val="00492D52"/>
    <w:rsid w:val="00492D66"/>
    <w:rsid w:val="00492DC4"/>
    <w:rsid w:val="00492E74"/>
    <w:rsid w:val="00492EDC"/>
    <w:rsid w:val="0049333D"/>
    <w:rsid w:val="0049342A"/>
    <w:rsid w:val="0049343E"/>
    <w:rsid w:val="00493470"/>
    <w:rsid w:val="004935E1"/>
    <w:rsid w:val="00493644"/>
    <w:rsid w:val="0049368C"/>
    <w:rsid w:val="00493762"/>
    <w:rsid w:val="004938C7"/>
    <w:rsid w:val="004939D4"/>
    <w:rsid w:val="00493B6F"/>
    <w:rsid w:val="00493BAD"/>
    <w:rsid w:val="00493C0F"/>
    <w:rsid w:val="00493C2B"/>
    <w:rsid w:val="00493C86"/>
    <w:rsid w:val="00493D7C"/>
    <w:rsid w:val="00493DE4"/>
    <w:rsid w:val="00493DE6"/>
    <w:rsid w:val="00493E01"/>
    <w:rsid w:val="0049401F"/>
    <w:rsid w:val="00494137"/>
    <w:rsid w:val="00494209"/>
    <w:rsid w:val="0049449A"/>
    <w:rsid w:val="0049465B"/>
    <w:rsid w:val="00494670"/>
    <w:rsid w:val="00494687"/>
    <w:rsid w:val="00494768"/>
    <w:rsid w:val="004947E4"/>
    <w:rsid w:val="00494897"/>
    <w:rsid w:val="00494BC6"/>
    <w:rsid w:val="00494C4C"/>
    <w:rsid w:val="00494CCF"/>
    <w:rsid w:val="00494D7C"/>
    <w:rsid w:val="00494E4A"/>
    <w:rsid w:val="00494FC2"/>
    <w:rsid w:val="00494FFE"/>
    <w:rsid w:val="0049503D"/>
    <w:rsid w:val="00495069"/>
    <w:rsid w:val="00495078"/>
    <w:rsid w:val="004952C6"/>
    <w:rsid w:val="0049532B"/>
    <w:rsid w:val="004953CC"/>
    <w:rsid w:val="00495628"/>
    <w:rsid w:val="004956EC"/>
    <w:rsid w:val="00495753"/>
    <w:rsid w:val="00495AB6"/>
    <w:rsid w:val="00495BEA"/>
    <w:rsid w:val="00495F30"/>
    <w:rsid w:val="00495FBF"/>
    <w:rsid w:val="00496063"/>
    <w:rsid w:val="0049656D"/>
    <w:rsid w:val="004969C8"/>
    <w:rsid w:val="004969E2"/>
    <w:rsid w:val="00496A46"/>
    <w:rsid w:val="00496CF0"/>
    <w:rsid w:val="00496D22"/>
    <w:rsid w:val="00496D9A"/>
    <w:rsid w:val="00496DF8"/>
    <w:rsid w:val="0049705A"/>
    <w:rsid w:val="004970CA"/>
    <w:rsid w:val="00497121"/>
    <w:rsid w:val="004972CF"/>
    <w:rsid w:val="004973B5"/>
    <w:rsid w:val="00497658"/>
    <w:rsid w:val="004978CD"/>
    <w:rsid w:val="00497A1D"/>
    <w:rsid w:val="00497C85"/>
    <w:rsid w:val="00497CBB"/>
    <w:rsid w:val="00497D18"/>
    <w:rsid w:val="00497EE1"/>
    <w:rsid w:val="004A01CC"/>
    <w:rsid w:val="004A021F"/>
    <w:rsid w:val="004A047B"/>
    <w:rsid w:val="004A053F"/>
    <w:rsid w:val="004A05C6"/>
    <w:rsid w:val="004A0667"/>
    <w:rsid w:val="004A079E"/>
    <w:rsid w:val="004A099C"/>
    <w:rsid w:val="004A0A18"/>
    <w:rsid w:val="004A0AF8"/>
    <w:rsid w:val="004A10F0"/>
    <w:rsid w:val="004A13B5"/>
    <w:rsid w:val="004A1462"/>
    <w:rsid w:val="004A14EA"/>
    <w:rsid w:val="004A1600"/>
    <w:rsid w:val="004A1718"/>
    <w:rsid w:val="004A1942"/>
    <w:rsid w:val="004A19AF"/>
    <w:rsid w:val="004A19BF"/>
    <w:rsid w:val="004A1D2C"/>
    <w:rsid w:val="004A1FF9"/>
    <w:rsid w:val="004A2574"/>
    <w:rsid w:val="004A25BB"/>
    <w:rsid w:val="004A26FC"/>
    <w:rsid w:val="004A2727"/>
    <w:rsid w:val="004A278D"/>
    <w:rsid w:val="004A29CA"/>
    <w:rsid w:val="004A2C3D"/>
    <w:rsid w:val="004A2D2A"/>
    <w:rsid w:val="004A2E7D"/>
    <w:rsid w:val="004A2E9C"/>
    <w:rsid w:val="004A2FCC"/>
    <w:rsid w:val="004A308A"/>
    <w:rsid w:val="004A31B7"/>
    <w:rsid w:val="004A35B2"/>
    <w:rsid w:val="004A3726"/>
    <w:rsid w:val="004A375F"/>
    <w:rsid w:val="004A377D"/>
    <w:rsid w:val="004A4077"/>
    <w:rsid w:val="004A408D"/>
    <w:rsid w:val="004A40F8"/>
    <w:rsid w:val="004A4127"/>
    <w:rsid w:val="004A4238"/>
    <w:rsid w:val="004A4277"/>
    <w:rsid w:val="004A42FD"/>
    <w:rsid w:val="004A461E"/>
    <w:rsid w:val="004A4645"/>
    <w:rsid w:val="004A47A8"/>
    <w:rsid w:val="004A47AA"/>
    <w:rsid w:val="004A48F3"/>
    <w:rsid w:val="004A4968"/>
    <w:rsid w:val="004A4B23"/>
    <w:rsid w:val="004A4C88"/>
    <w:rsid w:val="004A4CA2"/>
    <w:rsid w:val="004A50A4"/>
    <w:rsid w:val="004A5188"/>
    <w:rsid w:val="004A51EC"/>
    <w:rsid w:val="004A51F3"/>
    <w:rsid w:val="004A52C7"/>
    <w:rsid w:val="004A5364"/>
    <w:rsid w:val="004A54A9"/>
    <w:rsid w:val="004A5579"/>
    <w:rsid w:val="004A5844"/>
    <w:rsid w:val="004A58EE"/>
    <w:rsid w:val="004A5943"/>
    <w:rsid w:val="004A595A"/>
    <w:rsid w:val="004A5A6B"/>
    <w:rsid w:val="004A5F92"/>
    <w:rsid w:val="004A5FF1"/>
    <w:rsid w:val="004A617C"/>
    <w:rsid w:val="004A648B"/>
    <w:rsid w:val="004A6505"/>
    <w:rsid w:val="004A65BD"/>
    <w:rsid w:val="004A6606"/>
    <w:rsid w:val="004A66AE"/>
    <w:rsid w:val="004A677E"/>
    <w:rsid w:val="004A6A05"/>
    <w:rsid w:val="004A6B05"/>
    <w:rsid w:val="004A6DE1"/>
    <w:rsid w:val="004A6DF6"/>
    <w:rsid w:val="004A712B"/>
    <w:rsid w:val="004A7313"/>
    <w:rsid w:val="004A7391"/>
    <w:rsid w:val="004A739C"/>
    <w:rsid w:val="004A75CF"/>
    <w:rsid w:val="004A761C"/>
    <w:rsid w:val="004A76C6"/>
    <w:rsid w:val="004A76CE"/>
    <w:rsid w:val="004A76FE"/>
    <w:rsid w:val="004A7772"/>
    <w:rsid w:val="004A77B4"/>
    <w:rsid w:val="004A77FF"/>
    <w:rsid w:val="004A787B"/>
    <w:rsid w:val="004A78A1"/>
    <w:rsid w:val="004A7A18"/>
    <w:rsid w:val="004A7B02"/>
    <w:rsid w:val="004A7BF0"/>
    <w:rsid w:val="004A7C5E"/>
    <w:rsid w:val="004A7C75"/>
    <w:rsid w:val="004A7E1F"/>
    <w:rsid w:val="004A7E5B"/>
    <w:rsid w:val="004A7EF2"/>
    <w:rsid w:val="004B004A"/>
    <w:rsid w:val="004B004E"/>
    <w:rsid w:val="004B030E"/>
    <w:rsid w:val="004B0406"/>
    <w:rsid w:val="004B0A20"/>
    <w:rsid w:val="004B0D21"/>
    <w:rsid w:val="004B0D24"/>
    <w:rsid w:val="004B110A"/>
    <w:rsid w:val="004B11F4"/>
    <w:rsid w:val="004B13C3"/>
    <w:rsid w:val="004B143E"/>
    <w:rsid w:val="004B1459"/>
    <w:rsid w:val="004B160B"/>
    <w:rsid w:val="004B1811"/>
    <w:rsid w:val="004B1AA1"/>
    <w:rsid w:val="004B1B6D"/>
    <w:rsid w:val="004B1D97"/>
    <w:rsid w:val="004B1DD7"/>
    <w:rsid w:val="004B21DE"/>
    <w:rsid w:val="004B2228"/>
    <w:rsid w:val="004B241A"/>
    <w:rsid w:val="004B25D8"/>
    <w:rsid w:val="004B275D"/>
    <w:rsid w:val="004B276E"/>
    <w:rsid w:val="004B277A"/>
    <w:rsid w:val="004B27CF"/>
    <w:rsid w:val="004B27E7"/>
    <w:rsid w:val="004B289A"/>
    <w:rsid w:val="004B2C0E"/>
    <w:rsid w:val="004B2CE3"/>
    <w:rsid w:val="004B2D6F"/>
    <w:rsid w:val="004B2E69"/>
    <w:rsid w:val="004B301B"/>
    <w:rsid w:val="004B303E"/>
    <w:rsid w:val="004B3186"/>
    <w:rsid w:val="004B352F"/>
    <w:rsid w:val="004B3702"/>
    <w:rsid w:val="004B385F"/>
    <w:rsid w:val="004B397E"/>
    <w:rsid w:val="004B3BC4"/>
    <w:rsid w:val="004B3D85"/>
    <w:rsid w:val="004B3F05"/>
    <w:rsid w:val="004B4061"/>
    <w:rsid w:val="004B4145"/>
    <w:rsid w:val="004B45B8"/>
    <w:rsid w:val="004B4619"/>
    <w:rsid w:val="004B4645"/>
    <w:rsid w:val="004B4864"/>
    <w:rsid w:val="004B48D8"/>
    <w:rsid w:val="004B4953"/>
    <w:rsid w:val="004B4A53"/>
    <w:rsid w:val="004B4AFC"/>
    <w:rsid w:val="004B4BFB"/>
    <w:rsid w:val="004B4CBC"/>
    <w:rsid w:val="004B4EE0"/>
    <w:rsid w:val="004B4EF0"/>
    <w:rsid w:val="004B4F32"/>
    <w:rsid w:val="004B5032"/>
    <w:rsid w:val="004B5036"/>
    <w:rsid w:val="004B5219"/>
    <w:rsid w:val="004B53BC"/>
    <w:rsid w:val="004B5575"/>
    <w:rsid w:val="004B58FA"/>
    <w:rsid w:val="004B5A45"/>
    <w:rsid w:val="004B5AF7"/>
    <w:rsid w:val="004B6094"/>
    <w:rsid w:val="004B6170"/>
    <w:rsid w:val="004B61CD"/>
    <w:rsid w:val="004B621C"/>
    <w:rsid w:val="004B6258"/>
    <w:rsid w:val="004B6277"/>
    <w:rsid w:val="004B639A"/>
    <w:rsid w:val="004B640F"/>
    <w:rsid w:val="004B664C"/>
    <w:rsid w:val="004B66AE"/>
    <w:rsid w:val="004B66F1"/>
    <w:rsid w:val="004B67E4"/>
    <w:rsid w:val="004B6AD5"/>
    <w:rsid w:val="004B6BC4"/>
    <w:rsid w:val="004B6C72"/>
    <w:rsid w:val="004B7039"/>
    <w:rsid w:val="004B73AD"/>
    <w:rsid w:val="004B7414"/>
    <w:rsid w:val="004B74EB"/>
    <w:rsid w:val="004B755B"/>
    <w:rsid w:val="004B760D"/>
    <w:rsid w:val="004B764B"/>
    <w:rsid w:val="004B78A8"/>
    <w:rsid w:val="004B79F8"/>
    <w:rsid w:val="004B7B24"/>
    <w:rsid w:val="004B7B78"/>
    <w:rsid w:val="004B7CFE"/>
    <w:rsid w:val="004B7D5B"/>
    <w:rsid w:val="004B7EA1"/>
    <w:rsid w:val="004B7F79"/>
    <w:rsid w:val="004B7F88"/>
    <w:rsid w:val="004C021A"/>
    <w:rsid w:val="004C0235"/>
    <w:rsid w:val="004C03AA"/>
    <w:rsid w:val="004C0437"/>
    <w:rsid w:val="004C053B"/>
    <w:rsid w:val="004C0591"/>
    <w:rsid w:val="004C071D"/>
    <w:rsid w:val="004C0FB8"/>
    <w:rsid w:val="004C117D"/>
    <w:rsid w:val="004C117F"/>
    <w:rsid w:val="004C121C"/>
    <w:rsid w:val="004C1220"/>
    <w:rsid w:val="004C13C4"/>
    <w:rsid w:val="004C1591"/>
    <w:rsid w:val="004C15AA"/>
    <w:rsid w:val="004C1654"/>
    <w:rsid w:val="004C190E"/>
    <w:rsid w:val="004C1AA9"/>
    <w:rsid w:val="004C1C97"/>
    <w:rsid w:val="004C1DE5"/>
    <w:rsid w:val="004C1F37"/>
    <w:rsid w:val="004C215D"/>
    <w:rsid w:val="004C21EE"/>
    <w:rsid w:val="004C2334"/>
    <w:rsid w:val="004C2523"/>
    <w:rsid w:val="004C26C5"/>
    <w:rsid w:val="004C29C5"/>
    <w:rsid w:val="004C2B7E"/>
    <w:rsid w:val="004C2DB6"/>
    <w:rsid w:val="004C3055"/>
    <w:rsid w:val="004C311A"/>
    <w:rsid w:val="004C314F"/>
    <w:rsid w:val="004C3355"/>
    <w:rsid w:val="004C34AD"/>
    <w:rsid w:val="004C34C4"/>
    <w:rsid w:val="004C34DC"/>
    <w:rsid w:val="004C3606"/>
    <w:rsid w:val="004C39D4"/>
    <w:rsid w:val="004C3A24"/>
    <w:rsid w:val="004C3BF9"/>
    <w:rsid w:val="004C3CA7"/>
    <w:rsid w:val="004C3CF4"/>
    <w:rsid w:val="004C3E93"/>
    <w:rsid w:val="004C3F61"/>
    <w:rsid w:val="004C3FD6"/>
    <w:rsid w:val="004C4067"/>
    <w:rsid w:val="004C4222"/>
    <w:rsid w:val="004C437E"/>
    <w:rsid w:val="004C43EA"/>
    <w:rsid w:val="004C4441"/>
    <w:rsid w:val="004C4442"/>
    <w:rsid w:val="004C44A7"/>
    <w:rsid w:val="004C454C"/>
    <w:rsid w:val="004C45F6"/>
    <w:rsid w:val="004C4667"/>
    <w:rsid w:val="004C47D9"/>
    <w:rsid w:val="004C4D7C"/>
    <w:rsid w:val="004C4E0C"/>
    <w:rsid w:val="004C4E88"/>
    <w:rsid w:val="004C4F1D"/>
    <w:rsid w:val="004C4F6F"/>
    <w:rsid w:val="004C5189"/>
    <w:rsid w:val="004C538C"/>
    <w:rsid w:val="004C581C"/>
    <w:rsid w:val="004C5B5E"/>
    <w:rsid w:val="004C5B86"/>
    <w:rsid w:val="004C5C85"/>
    <w:rsid w:val="004C5EA2"/>
    <w:rsid w:val="004C6101"/>
    <w:rsid w:val="004C619F"/>
    <w:rsid w:val="004C6397"/>
    <w:rsid w:val="004C65B3"/>
    <w:rsid w:val="004C6621"/>
    <w:rsid w:val="004C688A"/>
    <w:rsid w:val="004C68DA"/>
    <w:rsid w:val="004C68E9"/>
    <w:rsid w:val="004C692A"/>
    <w:rsid w:val="004C6964"/>
    <w:rsid w:val="004C6B73"/>
    <w:rsid w:val="004C6CE6"/>
    <w:rsid w:val="004C6D3B"/>
    <w:rsid w:val="004C708E"/>
    <w:rsid w:val="004C713F"/>
    <w:rsid w:val="004C7181"/>
    <w:rsid w:val="004C7440"/>
    <w:rsid w:val="004C7710"/>
    <w:rsid w:val="004C7B33"/>
    <w:rsid w:val="004C7EB9"/>
    <w:rsid w:val="004D038E"/>
    <w:rsid w:val="004D0553"/>
    <w:rsid w:val="004D05BE"/>
    <w:rsid w:val="004D0711"/>
    <w:rsid w:val="004D072A"/>
    <w:rsid w:val="004D0CA1"/>
    <w:rsid w:val="004D0D51"/>
    <w:rsid w:val="004D0D59"/>
    <w:rsid w:val="004D125F"/>
    <w:rsid w:val="004D134F"/>
    <w:rsid w:val="004D13F8"/>
    <w:rsid w:val="004D14C0"/>
    <w:rsid w:val="004D14F3"/>
    <w:rsid w:val="004D1500"/>
    <w:rsid w:val="004D15F6"/>
    <w:rsid w:val="004D1600"/>
    <w:rsid w:val="004D16A9"/>
    <w:rsid w:val="004D16C4"/>
    <w:rsid w:val="004D1B0B"/>
    <w:rsid w:val="004D1D04"/>
    <w:rsid w:val="004D1E0B"/>
    <w:rsid w:val="004D1EFB"/>
    <w:rsid w:val="004D1F0A"/>
    <w:rsid w:val="004D1FCD"/>
    <w:rsid w:val="004D2168"/>
    <w:rsid w:val="004D24B9"/>
    <w:rsid w:val="004D24E4"/>
    <w:rsid w:val="004D2555"/>
    <w:rsid w:val="004D26A0"/>
    <w:rsid w:val="004D2737"/>
    <w:rsid w:val="004D276D"/>
    <w:rsid w:val="004D297E"/>
    <w:rsid w:val="004D29D5"/>
    <w:rsid w:val="004D2A54"/>
    <w:rsid w:val="004D2A7E"/>
    <w:rsid w:val="004D2C2B"/>
    <w:rsid w:val="004D2E25"/>
    <w:rsid w:val="004D306A"/>
    <w:rsid w:val="004D30CA"/>
    <w:rsid w:val="004D3122"/>
    <w:rsid w:val="004D3171"/>
    <w:rsid w:val="004D32CA"/>
    <w:rsid w:val="004D32F0"/>
    <w:rsid w:val="004D3444"/>
    <w:rsid w:val="004D36AE"/>
    <w:rsid w:val="004D3716"/>
    <w:rsid w:val="004D3837"/>
    <w:rsid w:val="004D39AE"/>
    <w:rsid w:val="004D3A1D"/>
    <w:rsid w:val="004D3C6C"/>
    <w:rsid w:val="004D3D3A"/>
    <w:rsid w:val="004D3D85"/>
    <w:rsid w:val="004D4016"/>
    <w:rsid w:val="004D462D"/>
    <w:rsid w:val="004D4777"/>
    <w:rsid w:val="004D477F"/>
    <w:rsid w:val="004D47C5"/>
    <w:rsid w:val="004D487A"/>
    <w:rsid w:val="004D49E8"/>
    <w:rsid w:val="004D4A11"/>
    <w:rsid w:val="004D4AF5"/>
    <w:rsid w:val="004D4C6F"/>
    <w:rsid w:val="004D4D36"/>
    <w:rsid w:val="004D4DC5"/>
    <w:rsid w:val="004D4DFD"/>
    <w:rsid w:val="004D4EB6"/>
    <w:rsid w:val="004D4EBD"/>
    <w:rsid w:val="004D5066"/>
    <w:rsid w:val="004D538D"/>
    <w:rsid w:val="004D544B"/>
    <w:rsid w:val="004D54C4"/>
    <w:rsid w:val="004D555A"/>
    <w:rsid w:val="004D57A2"/>
    <w:rsid w:val="004D57CF"/>
    <w:rsid w:val="004D5B09"/>
    <w:rsid w:val="004D5B5F"/>
    <w:rsid w:val="004D5DD4"/>
    <w:rsid w:val="004D5DDB"/>
    <w:rsid w:val="004D60D3"/>
    <w:rsid w:val="004D61E9"/>
    <w:rsid w:val="004D6246"/>
    <w:rsid w:val="004D626E"/>
    <w:rsid w:val="004D62DA"/>
    <w:rsid w:val="004D6419"/>
    <w:rsid w:val="004D65A6"/>
    <w:rsid w:val="004D6603"/>
    <w:rsid w:val="004D69D8"/>
    <w:rsid w:val="004D6B78"/>
    <w:rsid w:val="004D6BB8"/>
    <w:rsid w:val="004D6CFD"/>
    <w:rsid w:val="004D6DA2"/>
    <w:rsid w:val="004D6DB8"/>
    <w:rsid w:val="004D6E82"/>
    <w:rsid w:val="004D6F1E"/>
    <w:rsid w:val="004D7053"/>
    <w:rsid w:val="004D7120"/>
    <w:rsid w:val="004D7389"/>
    <w:rsid w:val="004D76FA"/>
    <w:rsid w:val="004D787E"/>
    <w:rsid w:val="004D78C4"/>
    <w:rsid w:val="004D792C"/>
    <w:rsid w:val="004D7ABE"/>
    <w:rsid w:val="004D7B19"/>
    <w:rsid w:val="004D7C8B"/>
    <w:rsid w:val="004D7D73"/>
    <w:rsid w:val="004D7EDE"/>
    <w:rsid w:val="004D7EF9"/>
    <w:rsid w:val="004D7F61"/>
    <w:rsid w:val="004D7FCF"/>
    <w:rsid w:val="004E0013"/>
    <w:rsid w:val="004E00AA"/>
    <w:rsid w:val="004E0152"/>
    <w:rsid w:val="004E01D2"/>
    <w:rsid w:val="004E0398"/>
    <w:rsid w:val="004E0592"/>
    <w:rsid w:val="004E069B"/>
    <w:rsid w:val="004E0702"/>
    <w:rsid w:val="004E0787"/>
    <w:rsid w:val="004E0D4B"/>
    <w:rsid w:val="004E0EC2"/>
    <w:rsid w:val="004E0F06"/>
    <w:rsid w:val="004E0F84"/>
    <w:rsid w:val="004E1137"/>
    <w:rsid w:val="004E12A2"/>
    <w:rsid w:val="004E1377"/>
    <w:rsid w:val="004E13FF"/>
    <w:rsid w:val="004E1534"/>
    <w:rsid w:val="004E17AF"/>
    <w:rsid w:val="004E17D1"/>
    <w:rsid w:val="004E1931"/>
    <w:rsid w:val="004E1A5F"/>
    <w:rsid w:val="004E1AA4"/>
    <w:rsid w:val="004E1BBB"/>
    <w:rsid w:val="004E1DC9"/>
    <w:rsid w:val="004E1E00"/>
    <w:rsid w:val="004E1F43"/>
    <w:rsid w:val="004E1FF1"/>
    <w:rsid w:val="004E2132"/>
    <w:rsid w:val="004E2237"/>
    <w:rsid w:val="004E2347"/>
    <w:rsid w:val="004E23A9"/>
    <w:rsid w:val="004E23B5"/>
    <w:rsid w:val="004E2764"/>
    <w:rsid w:val="004E28F6"/>
    <w:rsid w:val="004E2A37"/>
    <w:rsid w:val="004E2BCB"/>
    <w:rsid w:val="004E2C9F"/>
    <w:rsid w:val="004E2CF4"/>
    <w:rsid w:val="004E2D2A"/>
    <w:rsid w:val="004E2E00"/>
    <w:rsid w:val="004E2E98"/>
    <w:rsid w:val="004E2FB2"/>
    <w:rsid w:val="004E2FF9"/>
    <w:rsid w:val="004E30FF"/>
    <w:rsid w:val="004E31F4"/>
    <w:rsid w:val="004E33E7"/>
    <w:rsid w:val="004E35DE"/>
    <w:rsid w:val="004E3655"/>
    <w:rsid w:val="004E3698"/>
    <w:rsid w:val="004E37DE"/>
    <w:rsid w:val="004E3827"/>
    <w:rsid w:val="004E394E"/>
    <w:rsid w:val="004E3A59"/>
    <w:rsid w:val="004E3CC6"/>
    <w:rsid w:val="004E3ED1"/>
    <w:rsid w:val="004E3FA5"/>
    <w:rsid w:val="004E406B"/>
    <w:rsid w:val="004E4119"/>
    <w:rsid w:val="004E413F"/>
    <w:rsid w:val="004E4169"/>
    <w:rsid w:val="004E4233"/>
    <w:rsid w:val="004E4407"/>
    <w:rsid w:val="004E442E"/>
    <w:rsid w:val="004E4439"/>
    <w:rsid w:val="004E44B5"/>
    <w:rsid w:val="004E483F"/>
    <w:rsid w:val="004E4993"/>
    <w:rsid w:val="004E4BCD"/>
    <w:rsid w:val="004E4C75"/>
    <w:rsid w:val="004E4CB1"/>
    <w:rsid w:val="004E4D34"/>
    <w:rsid w:val="004E4ED5"/>
    <w:rsid w:val="004E4FB2"/>
    <w:rsid w:val="004E55F7"/>
    <w:rsid w:val="004E5728"/>
    <w:rsid w:val="004E586F"/>
    <w:rsid w:val="004E5B1A"/>
    <w:rsid w:val="004E5B87"/>
    <w:rsid w:val="004E5C81"/>
    <w:rsid w:val="004E5D9D"/>
    <w:rsid w:val="004E6184"/>
    <w:rsid w:val="004E61D0"/>
    <w:rsid w:val="004E6392"/>
    <w:rsid w:val="004E6396"/>
    <w:rsid w:val="004E63A3"/>
    <w:rsid w:val="004E6408"/>
    <w:rsid w:val="004E65F4"/>
    <w:rsid w:val="004E67DF"/>
    <w:rsid w:val="004E6892"/>
    <w:rsid w:val="004E6903"/>
    <w:rsid w:val="004E696E"/>
    <w:rsid w:val="004E6990"/>
    <w:rsid w:val="004E69B5"/>
    <w:rsid w:val="004E6A42"/>
    <w:rsid w:val="004E6C41"/>
    <w:rsid w:val="004E6D47"/>
    <w:rsid w:val="004E6DAC"/>
    <w:rsid w:val="004E7078"/>
    <w:rsid w:val="004E7242"/>
    <w:rsid w:val="004E7335"/>
    <w:rsid w:val="004E75CA"/>
    <w:rsid w:val="004E7641"/>
    <w:rsid w:val="004E76BC"/>
    <w:rsid w:val="004E7721"/>
    <w:rsid w:val="004E7961"/>
    <w:rsid w:val="004E79E1"/>
    <w:rsid w:val="004E7AA1"/>
    <w:rsid w:val="004E7C07"/>
    <w:rsid w:val="004E7D49"/>
    <w:rsid w:val="004E7E31"/>
    <w:rsid w:val="004F004F"/>
    <w:rsid w:val="004F010C"/>
    <w:rsid w:val="004F05CC"/>
    <w:rsid w:val="004F072D"/>
    <w:rsid w:val="004F07D3"/>
    <w:rsid w:val="004F0B2C"/>
    <w:rsid w:val="004F0BAA"/>
    <w:rsid w:val="004F0CD8"/>
    <w:rsid w:val="004F0D0B"/>
    <w:rsid w:val="004F0DA7"/>
    <w:rsid w:val="004F0E22"/>
    <w:rsid w:val="004F0E93"/>
    <w:rsid w:val="004F10BA"/>
    <w:rsid w:val="004F11F1"/>
    <w:rsid w:val="004F12E7"/>
    <w:rsid w:val="004F16D9"/>
    <w:rsid w:val="004F1717"/>
    <w:rsid w:val="004F1866"/>
    <w:rsid w:val="004F1A2E"/>
    <w:rsid w:val="004F1CB4"/>
    <w:rsid w:val="004F2579"/>
    <w:rsid w:val="004F2B8B"/>
    <w:rsid w:val="004F2CFE"/>
    <w:rsid w:val="004F2D91"/>
    <w:rsid w:val="004F31BC"/>
    <w:rsid w:val="004F3616"/>
    <w:rsid w:val="004F36FE"/>
    <w:rsid w:val="004F373E"/>
    <w:rsid w:val="004F395A"/>
    <w:rsid w:val="004F3C0A"/>
    <w:rsid w:val="004F3C3D"/>
    <w:rsid w:val="004F3CDE"/>
    <w:rsid w:val="004F3DAA"/>
    <w:rsid w:val="004F3E14"/>
    <w:rsid w:val="004F3EA4"/>
    <w:rsid w:val="004F3EA9"/>
    <w:rsid w:val="004F3F79"/>
    <w:rsid w:val="004F40E2"/>
    <w:rsid w:val="004F427C"/>
    <w:rsid w:val="004F4419"/>
    <w:rsid w:val="004F44DC"/>
    <w:rsid w:val="004F491A"/>
    <w:rsid w:val="004F4954"/>
    <w:rsid w:val="004F4A0B"/>
    <w:rsid w:val="004F4A13"/>
    <w:rsid w:val="004F4C30"/>
    <w:rsid w:val="004F4DFB"/>
    <w:rsid w:val="004F5112"/>
    <w:rsid w:val="004F5128"/>
    <w:rsid w:val="004F5199"/>
    <w:rsid w:val="004F5498"/>
    <w:rsid w:val="004F564D"/>
    <w:rsid w:val="004F5711"/>
    <w:rsid w:val="004F581A"/>
    <w:rsid w:val="004F5892"/>
    <w:rsid w:val="004F5B67"/>
    <w:rsid w:val="004F5C20"/>
    <w:rsid w:val="004F5EC7"/>
    <w:rsid w:val="004F603D"/>
    <w:rsid w:val="004F618F"/>
    <w:rsid w:val="004F61A3"/>
    <w:rsid w:val="004F6441"/>
    <w:rsid w:val="004F644A"/>
    <w:rsid w:val="004F6493"/>
    <w:rsid w:val="004F6581"/>
    <w:rsid w:val="004F66C3"/>
    <w:rsid w:val="004F670C"/>
    <w:rsid w:val="004F6817"/>
    <w:rsid w:val="004F6858"/>
    <w:rsid w:val="004F6925"/>
    <w:rsid w:val="004F6B14"/>
    <w:rsid w:val="004F6D12"/>
    <w:rsid w:val="004F6DDD"/>
    <w:rsid w:val="004F6E47"/>
    <w:rsid w:val="004F6F1B"/>
    <w:rsid w:val="004F6F50"/>
    <w:rsid w:val="004F6FFB"/>
    <w:rsid w:val="004F711B"/>
    <w:rsid w:val="004F727E"/>
    <w:rsid w:val="004F72BE"/>
    <w:rsid w:val="004F73BC"/>
    <w:rsid w:val="004F788E"/>
    <w:rsid w:val="004F7DD1"/>
    <w:rsid w:val="004F7F5E"/>
    <w:rsid w:val="004F7F87"/>
    <w:rsid w:val="0050015C"/>
    <w:rsid w:val="005005E4"/>
    <w:rsid w:val="0050065A"/>
    <w:rsid w:val="0050073B"/>
    <w:rsid w:val="00500925"/>
    <w:rsid w:val="00500C46"/>
    <w:rsid w:val="00500C7E"/>
    <w:rsid w:val="00500D6E"/>
    <w:rsid w:val="00500DA2"/>
    <w:rsid w:val="00500EA1"/>
    <w:rsid w:val="0050100C"/>
    <w:rsid w:val="0050101A"/>
    <w:rsid w:val="00501040"/>
    <w:rsid w:val="005010FE"/>
    <w:rsid w:val="00501352"/>
    <w:rsid w:val="005013CE"/>
    <w:rsid w:val="005017AF"/>
    <w:rsid w:val="00501CA2"/>
    <w:rsid w:val="00501D84"/>
    <w:rsid w:val="00501DDB"/>
    <w:rsid w:val="00501E32"/>
    <w:rsid w:val="00502265"/>
    <w:rsid w:val="00502286"/>
    <w:rsid w:val="005022B7"/>
    <w:rsid w:val="005023CD"/>
    <w:rsid w:val="0050246C"/>
    <w:rsid w:val="005024A7"/>
    <w:rsid w:val="005025B8"/>
    <w:rsid w:val="005025C0"/>
    <w:rsid w:val="005025CB"/>
    <w:rsid w:val="0050262B"/>
    <w:rsid w:val="0050264B"/>
    <w:rsid w:val="00502ECE"/>
    <w:rsid w:val="00503013"/>
    <w:rsid w:val="00503213"/>
    <w:rsid w:val="00503439"/>
    <w:rsid w:val="005036FD"/>
    <w:rsid w:val="00503711"/>
    <w:rsid w:val="005038D7"/>
    <w:rsid w:val="00503AB5"/>
    <w:rsid w:val="00503AD0"/>
    <w:rsid w:val="00503CE4"/>
    <w:rsid w:val="00503F84"/>
    <w:rsid w:val="00503FC2"/>
    <w:rsid w:val="00504031"/>
    <w:rsid w:val="005040CF"/>
    <w:rsid w:val="0050410D"/>
    <w:rsid w:val="005041C6"/>
    <w:rsid w:val="00504220"/>
    <w:rsid w:val="005042B7"/>
    <w:rsid w:val="0050458F"/>
    <w:rsid w:val="0050466A"/>
    <w:rsid w:val="0050471B"/>
    <w:rsid w:val="00504750"/>
    <w:rsid w:val="00504960"/>
    <w:rsid w:val="00504A0E"/>
    <w:rsid w:val="00504A2B"/>
    <w:rsid w:val="00504B58"/>
    <w:rsid w:val="00504C18"/>
    <w:rsid w:val="00504CBA"/>
    <w:rsid w:val="00504EA1"/>
    <w:rsid w:val="00505000"/>
    <w:rsid w:val="0050524F"/>
    <w:rsid w:val="0050530F"/>
    <w:rsid w:val="00505450"/>
    <w:rsid w:val="005055CD"/>
    <w:rsid w:val="0050569C"/>
    <w:rsid w:val="005056EE"/>
    <w:rsid w:val="0050599F"/>
    <w:rsid w:val="00505A19"/>
    <w:rsid w:val="00505A91"/>
    <w:rsid w:val="00505AD0"/>
    <w:rsid w:val="00505C1D"/>
    <w:rsid w:val="00505F61"/>
    <w:rsid w:val="00506055"/>
    <w:rsid w:val="005060B9"/>
    <w:rsid w:val="0050610A"/>
    <w:rsid w:val="005061B0"/>
    <w:rsid w:val="0050625B"/>
    <w:rsid w:val="005064C5"/>
    <w:rsid w:val="0050655D"/>
    <w:rsid w:val="005065D2"/>
    <w:rsid w:val="005065E5"/>
    <w:rsid w:val="0050664E"/>
    <w:rsid w:val="005068A2"/>
    <w:rsid w:val="00506B56"/>
    <w:rsid w:val="00506DA7"/>
    <w:rsid w:val="00506DC6"/>
    <w:rsid w:val="00506DE0"/>
    <w:rsid w:val="00506E7E"/>
    <w:rsid w:val="00507051"/>
    <w:rsid w:val="00507287"/>
    <w:rsid w:val="005073A8"/>
    <w:rsid w:val="005073B7"/>
    <w:rsid w:val="0050743D"/>
    <w:rsid w:val="00507780"/>
    <w:rsid w:val="00507B64"/>
    <w:rsid w:val="00507FC4"/>
    <w:rsid w:val="00507FCA"/>
    <w:rsid w:val="005102A9"/>
    <w:rsid w:val="0051031E"/>
    <w:rsid w:val="00510334"/>
    <w:rsid w:val="00510400"/>
    <w:rsid w:val="005104C5"/>
    <w:rsid w:val="00510506"/>
    <w:rsid w:val="00510994"/>
    <w:rsid w:val="00510D8B"/>
    <w:rsid w:val="00510DE2"/>
    <w:rsid w:val="00510E8E"/>
    <w:rsid w:val="00510F62"/>
    <w:rsid w:val="00511396"/>
    <w:rsid w:val="00511662"/>
    <w:rsid w:val="005117F5"/>
    <w:rsid w:val="0051188F"/>
    <w:rsid w:val="00511940"/>
    <w:rsid w:val="005119C6"/>
    <w:rsid w:val="00511B76"/>
    <w:rsid w:val="00511C3F"/>
    <w:rsid w:val="00511C9F"/>
    <w:rsid w:val="00511CF6"/>
    <w:rsid w:val="00511F62"/>
    <w:rsid w:val="00512168"/>
    <w:rsid w:val="0051233D"/>
    <w:rsid w:val="00512343"/>
    <w:rsid w:val="00512376"/>
    <w:rsid w:val="00512457"/>
    <w:rsid w:val="0051246E"/>
    <w:rsid w:val="0051251E"/>
    <w:rsid w:val="005126B1"/>
    <w:rsid w:val="005126E9"/>
    <w:rsid w:val="005127E3"/>
    <w:rsid w:val="0051283B"/>
    <w:rsid w:val="005129D5"/>
    <w:rsid w:val="00512B82"/>
    <w:rsid w:val="00512D5A"/>
    <w:rsid w:val="00512D72"/>
    <w:rsid w:val="00512E20"/>
    <w:rsid w:val="00512E62"/>
    <w:rsid w:val="00512F08"/>
    <w:rsid w:val="00512FA3"/>
    <w:rsid w:val="005131C2"/>
    <w:rsid w:val="005132C6"/>
    <w:rsid w:val="00513317"/>
    <w:rsid w:val="00513824"/>
    <w:rsid w:val="00513860"/>
    <w:rsid w:val="0051389A"/>
    <w:rsid w:val="00513C27"/>
    <w:rsid w:val="00513C4F"/>
    <w:rsid w:val="00513D06"/>
    <w:rsid w:val="00513D9D"/>
    <w:rsid w:val="00513EA3"/>
    <w:rsid w:val="0051426E"/>
    <w:rsid w:val="00514284"/>
    <w:rsid w:val="005143B3"/>
    <w:rsid w:val="0051452B"/>
    <w:rsid w:val="00514566"/>
    <w:rsid w:val="005145D0"/>
    <w:rsid w:val="00514694"/>
    <w:rsid w:val="005147C1"/>
    <w:rsid w:val="005147D2"/>
    <w:rsid w:val="00514938"/>
    <w:rsid w:val="00514980"/>
    <w:rsid w:val="00514A0F"/>
    <w:rsid w:val="00514B0F"/>
    <w:rsid w:val="00514C92"/>
    <w:rsid w:val="00514D08"/>
    <w:rsid w:val="00514D38"/>
    <w:rsid w:val="00514F3A"/>
    <w:rsid w:val="00515155"/>
    <w:rsid w:val="005153D2"/>
    <w:rsid w:val="00515528"/>
    <w:rsid w:val="0051585D"/>
    <w:rsid w:val="00515AC6"/>
    <w:rsid w:val="005160DD"/>
    <w:rsid w:val="00516194"/>
    <w:rsid w:val="005162D1"/>
    <w:rsid w:val="00516399"/>
    <w:rsid w:val="00516463"/>
    <w:rsid w:val="00516537"/>
    <w:rsid w:val="005165CA"/>
    <w:rsid w:val="00516D58"/>
    <w:rsid w:val="00516E54"/>
    <w:rsid w:val="00516EA5"/>
    <w:rsid w:val="00517192"/>
    <w:rsid w:val="00517374"/>
    <w:rsid w:val="0051754D"/>
    <w:rsid w:val="00517578"/>
    <w:rsid w:val="005175E1"/>
    <w:rsid w:val="005177C3"/>
    <w:rsid w:val="005177E9"/>
    <w:rsid w:val="00517A35"/>
    <w:rsid w:val="00517A8B"/>
    <w:rsid w:val="00517B5D"/>
    <w:rsid w:val="00517D01"/>
    <w:rsid w:val="0052012F"/>
    <w:rsid w:val="0052016A"/>
    <w:rsid w:val="0052035C"/>
    <w:rsid w:val="0052036B"/>
    <w:rsid w:val="005203D3"/>
    <w:rsid w:val="00520408"/>
    <w:rsid w:val="00520414"/>
    <w:rsid w:val="005204ED"/>
    <w:rsid w:val="00520589"/>
    <w:rsid w:val="005205F2"/>
    <w:rsid w:val="005206DB"/>
    <w:rsid w:val="00520715"/>
    <w:rsid w:val="00520735"/>
    <w:rsid w:val="005207C9"/>
    <w:rsid w:val="005208E0"/>
    <w:rsid w:val="005209A9"/>
    <w:rsid w:val="00520A7F"/>
    <w:rsid w:val="00520BF5"/>
    <w:rsid w:val="00520E59"/>
    <w:rsid w:val="005210CD"/>
    <w:rsid w:val="00521177"/>
    <w:rsid w:val="00521179"/>
    <w:rsid w:val="00521191"/>
    <w:rsid w:val="0052126A"/>
    <w:rsid w:val="005212AF"/>
    <w:rsid w:val="0052166C"/>
    <w:rsid w:val="00521A63"/>
    <w:rsid w:val="00521A99"/>
    <w:rsid w:val="00521DB2"/>
    <w:rsid w:val="00521DCD"/>
    <w:rsid w:val="00521F10"/>
    <w:rsid w:val="0052213D"/>
    <w:rsid w:val="0052214C"/>
    <w:rsid w:val="005222D4"/>
    <w:rsid w:val="0052230C"/>
    <w:rsid w:val="005223F0"/>
    <w:rsid w:val="005224B6"/>
    <w:rsid w:val="00522547"/>
    <w:rsid w:val="005227E8"/>
    <w:rsid w:val="00522935"/>
    <w:rsid w:val="00522974"/>
    <w:rsid w:val="00522AAF"/>
    <w:rsid w:val="00522ABB"/>
    <w:rsid w:val="00522AC0"/>
    <w:rsid w:val="00522C40"/>
    <w:rsid w:val="00522CBC"/>
    <w:rsid w:val="00522CFE"/>
    <w:rsid w:val="00522E59"/>
    <w:rsid w:val="00522FFD"/>
    <w:rsid w:val="005230C5"/>
    <w:rsid w:val="0052319E"/>
    <w:rsid w:val="005231A7"/>
    <w:rsid w:val="0052326C"/>
    <w:rsid w:val="00523320"/>
    <w:rsid w:val="00523455"/>
    <w:rsid w:val="0052347D"/>
    <w:rsid w:val="00523682"/>
    <w:rsid w:val="005237D4"/>
    <w:rsid w:val="00523A1B"/>
    <w:rsid w:val="00523A46"/>
    <w:rsid w:val="00523AD7"/>
    <w:rsid w:val="00523BC7"/>
    <w:rsid w:val="00523BD0"/>
    <w:rsid w:val="00523EBC"/>
    <w:rsid w:val="00524055"/>
    <w:rsid w:val="0052437B"/>
    <w:rsid w:val="00524521"/>
    <w:rsid w:val="005246CC"/>
    <w:rsid w:val="00524718"/>
    <w:rsid w:val="00524739"/>
    <w:rsid w:val="005249DC"/>
    <w:rsid w:val="00524A50"/>
    <w:rsid w:val="00524C10"/>
    <w:rsid w:val="00524C1B"/>
    <w:rsid w:val="00524D30"/>
    <w:rsid w:val="00524DBC"/>
    <w:rsid w:val="00525016"/>
    <w:rsid w:val="005251BD"/>
    <w:rsid w:val="0052535A"/>
    <w:rsid w:val="0052536D"/>
    <w:rsid w:val="005254D1"/>
    <w:rsid w:val="00525758"/>
    <w:rsid w:val="0052586B"/>
    <w:rsid w:val="005258B6"/>
    <w:rsid w:val="00525AE6"/>
    <w:rsid w:val="00525CF6"/>
    <w:rsid w:val="00525D34"/>
    <w:rsid w:val="00525EA0"/>
    <w:rsid w:val="00525EAB"/>
    <w:rsid w:val="00525F44"/>
    <w:rsid w:val="00526007"/>
    <w:rsid w:val="00526130"/>
    <w:rsid w:val="00526340"/>
    <w:rsid w:val="00526347"/>
    <w:rsid w:val="0052646B"/>
    <w:rsid w:val="00526550"/>
    <w:rsid w:val="0052684F"/>
    <w:rsid w:val="00526DCF"/>
    <w:rsid w:val="00526E11"/>
    <w:rsid w:val="00526ED2"/>
    <w:rsid w:val="00526F37"/>
    <w:rsid w:val="00526F90"/>
    <w:rsid w:val="00527292"/>
    <w:rsid w:val="005273F6"/>
    <w:rsid w:val="00527738"/>
    <w:rsid w:val="00527990"/>
    <w:rsid w:val="00527A96"/>
    <w:rsid w:val="00527A9C"/>
    <w:rsid w:val="00527B4B"/>
    <w:rsid w:val="00527B5C"/>
    <w:rsid w:val="00527D6F"/>
    <w:rsid w:val="00527EEA"/>
    <w:rsid w:val="00527FC2"/>
    <w:rsid w:val="00530131"/>
    <w:rsid w:val="005301F5"/>
    <w:rsid w:val="00530449"/>
    <w:rsid w:val="0053045D"/>
    <w:rsid w:val="005304E2"/>
    <w:rsid w:val="005305F0"/>
    <w:rsid w:val="00530A63"/>
    <w:rsid w:val="00530B64"/>
    <w:rsid w:val="00530E5B"/>
    <w:rsid w:val="00530E66"/>
    <w:rsid w:val="00531059"/>
    <w:rsid w:val="00531097"/>
    <w:rsid w:val="005310BF"/>
    <w:rsid w:val="0053115C"/>
    <w:rsid w:val="005311E0"/>
    <w:rsid w:val="0053141C"/>
    <w:rsid w:val="00531594"/>
    <w:rsid w:val="00531873"/>
    <w:rsid w:val="005318F8"/>
    <w:rsid w:val="00531B36"/>
    <w:rsid w:val="00531C20"/>
    <w:rsid w:val="00531C3B"/>
    <w:rsid w:val="00531C68"/>
    <w:rsid w:val="00531D28"/>
    <w:rsid w:val="00531D6D"/>
    <w:rsid w:val="00531E7C"/>
    <w:rsid w:val="00531EAA"/>
    <w:rsid w:val="00531EBD"/>
    <w:rsid w:val="00531EFF"/>
    <w:rsid w:val="0053208D"/>
    <w:rsid w:val="005320F0"/>
    <w:rsid w:val="00532167"/>
    <w:rsid w:val="0053225A"/>
    <w:rsid w:val="005322C1"/>
    <w:rsid w:val="0053235D"/>
    <w:rsid w:val="005323B9"/>
    <w:rsid w:val="0053250B"/>
    <w:rsid w:val="00532578"/>
    <w:rsid w:val="0053257C"/>
    <w:rsid w:val="00532BAC"/>
    <w:rsid w:val="00532C42"/>
    <w:rsid w:val="00532C4B"/>
    <w:rsid w:val="00532CB4"/>
    <w:rsid w:val="00532D3F"/>
    <w:rsid w:val="00532DA4"/>
    <w:rsid w:val="00532E29"/>
    <w:rsid w:val="00533050"/>
    <w:rsid w:val="005331D3"/>
    <w:rsid w:val="0053351B"/>
    <w:rsid w:val="00533653"/>
    <w:rsid w:val="005337C7"/>
    <w:rsid w:val="00533A51"/>
    <w:rsid w:val="00533C70"/>
    <w:rsid w:val="00533F43"/>
    <w:rsid w:val="005340A3"/>
    <w:rsid w:val="005340C9"/>
    <w:rsid w:val="0053420B"/>
    <w:rsid w:val="005342AB"/>
    <w:rsid w:val="005342B0"/>
    <w:rsid w:val="00534426"/>
    <w:rsid w:val="00534517"/>
    <w:rsid w:val="00534577"/>
    <w:rsid w:val="0053458D"/>
    <w:rsid w:val="005345B0"/>
    <w:rsid w:val="005347CF"/>
    <w:rsid w:val="005347D6"/>
    <w:rsid w:val="005349A3"/>
    <w:rsid w:val="00534A22"/>
    <w:rsid w:val="00534CB4"/>
    <w:rsid w:val="00534D17"/>
    <w:rsid w:val="00534DBB"/>
    <w:rsid w:val="0053506E"/>
    <w:rsid w:val="005350DE"/>
    <w:rsid w:val="00535170"/>
    <w:rsid w:val="005352FE"/>
    <w:rsid w:val="005353A7"/>
    <w:rsid w:val="00535405"/>
    <w:rsid w:val="005355B5"/>
    <w:rsid w:val="00535629"/>
    <w:rsid w:val="00535D28"/>
    <w:rsid w:val="00535DA6"/>
    <w:rsid w:val="00535F22"/>
    <w:rsid w:val="005364FA"/>
    <w:rsid w:val="00536601"/>
    <w:rsid w:val="005367CB"/>
    <w:rsid w:val="005368AF"/>
    <w:rsid w:val="005368C9"/>
    <w:rsid w:val="0053695E"/>
    <w:rsid w:val="00536D54"/>
    <w:rsid w:val="00536DFA"/>
    <w:rsid w:val="00536E31"/>
    <w:rsid w:val="00536E62"/>
    <w:rsid w:val="00536EF7"/>
    <w:rsid w:val="00536FA2"/>
    <w:rsid w:val="00536FCD"/>
    <w:rsid w:val="005371EB"/>
    <w:rsid w:val="0053735C"/>
    <w:rsid w:val="005373D5"/>
    <w:rsid w:val="00537586"/>
    <w:rsid w:val="00537714"/>
    <w:rsid w:val="00537735"/>
    <w:rsid w:val="00537A1E"/>
    <w:rsid w:val="00537A3A"/>
    <w:rsid w:val="00537D54"/>
    <w:rsid w:val="00537E62"/>
    <w:rsid w:val="0054012B"/>
    <w:rsid w:val="00540141"/>
    <w:rsid w:val="00540236"/>
    <w:rsid w:val="005402FB"/>
    <w:rsid w:val="00540331"/>
    <w:rsid w:val="00540396"/>
    <w:rsid w:val="005403D7"/>
    <w:rsid w:val="0054040E"/>
    <w:rsid w:val="00540484"/>
    <w:rsid w:val="0054059C"/>
    <w:rsid w:val="005407F8"/>
    <w:rsid w:val="0054086A"/>
    <w:rsid w:val="0054086F"/>
    <w:rsid w:val="00540ACC"/>
    <w:rsid w:val="00540AFE"/>
    <w:rsid w:val="00540C32"/>
    <w:rsid w:val="00540D05"/>
    <w:rsid w:val="00540D9B"/>
    <w:rsid w:val="00540DA4"/>
    <w:rsid w:val="00541058"/>
    <w:rsid w:val="005410FE"/>
    <w:rsid w:val="00541590"/>
    <w:rsid w:val="00541721"/>
    <w:rsid w:val="00541780"/>
    <w:rsid w:val="0054192D"/>
    <w:rsid w:val="00541941"/>
    <w:rsid w:val="00541A86"/>
    <w:rsid w:val="00541CA4"/>
    <w:rsid w:val="00541D84"/>
    <w:rsid w:val="00542040"/>
    <w:rsid w:val="00542154"/>
    <w:rsid w:val="00542182"/>
    <w:rsid w:val="005425E1"/>
    <w:rsid w:val="00542744"/>
    <w:rsid w:val="005427A3"/>
    <w:rsid w:val="0054280C"/>
    <w:rsid w:val="00542890"/>
    <w:rsid w:val="0054294A"/>
    <w:rsid w:val="00542998"/>
    <w:rsid w:val="00542D0F"/>
    <w:rsid w:val="00542E3F"/>
    <w:rsid w:val="00542E51"/>
    <w:rsid w:val="00542EB8"/>
    <w:rsid w:val="0054311E"/>
    <w:rsid w:val="005432A5"/>
    <w:rsid w:val="0054373A"/>
    <w:rsid w:val="0054377D"/>
    <w:rsid w:val="005437DF"/>
    <w:rsid w:val="00543988"/>
    <w:rsid w:val="00543B0B"/>
    <w:rsid w:val="00543CE2"/>
    <w:rsid w:val="00543DF7"/>
    <w:rsid w:val="00543E67"/>
    <w:rsid w:val="00543E86"/>
    <w:rsid w:val="00543F1C"/>
    <w:rsid w:val="0054414B"/>
    <w:rsid w:val="005441EE"/>
    <w:rsid w:val="00544453"/>
    <w:rsid w:val="0054458C"/>
    <w:rsid w:val="00544617"/>
    <w:rsid w:val="00544680"/>
    <w:rsid w:val="00544834"/>
    <w:rsid w:val="00544969"/>
    <w:rsid w:val="00544A99"/>
    <w:rsid w:val="00544B2C"/>
    <w:rsid w:val="00544DB8"/>
    <w:rsid w:val="0054518D"/>
    <w:rsid w:val="00545345"/>
    <w:rsid w:val="00545464"/>
    <w:rsid w:val="00545558"/>
    <w:rsid w:val="005456BA"/>
    <w:rsid w:val="00545899"/>
    <w:rsid w:val="005458E3"/>
    <w:rsid w:val="00545925"/>
    <w:rsid w:val="00545960"/>
    <w:rsid w:val="00545B5D"/>
    <w:rsid w:val="00545C3C"/>
    <w:rsid w:val="00545EFD"/>
    <w:rsid w:val="005460B5"/>
    <w:rsid w:val="005463EE"/>
    <w:rsid w:val="005464F2"/>
    <w:rsid w:val="0054665E"/>
    <w:rsid w:val="00546674"/>
    <w:rsid w:val="0054668B"/>
    <w:rsid w:val="0054669B"/>
    <w:rsid w:val="005467A6"/>
    <w:rsid w:val="0054699A"/>
    <w:rsid w:val="00546B11"/>
    <w:rsid w:val="00546D33"/>
    <w:rsid w:val="00546EE5"/>
    <w:rsid w:val="00547138"/>
    <w:rsid w:val="0054713B"/>
    <w:rsid w:val="005472DC"/>
    <w:rsid w:val="0054762F"/>
    <w:rsid w:val="005476FA"/>
    <w:rsid w:val="00547710"/>
    <w:rsid w:val="00547790"/>
    <w:rsid w:val="00547884"/>
    <w:rsid w:val="005478DC"/>
    <w:rsid w:val="0054799E"/>
    <w:rsid w:val="005479C6"/>
    <w:rsid w:val="00547A75"/>
    <w:rsid w:val="00547A8A"/>
    <w:rsid w:val="00547BC8"/>
    <w:rsid w:val="00547C0C"/>
    <w:rsid w:val="00547D24"/>
    <w:rsid w:val="00547E1B"/>
    <w:rsid w:val="00547EBA"/>
    <w:rsid w:val="00547F84"/>
    <w:rsid w:val="00550196"/>
    <w:rsid w:val="0055033C"/>
    <w:rsid w:val="0055039D"/>
    <w:rsid w:val="0055047D"/>
    <w:rsid w:val="005504C0"/>
    <w:rsid w:val="00550565"/>
    <w:rsid w:val="0055056F"/>
    <w:rsid w:val="005509C1"/>
    <w:rsid w:val="00550BA9"/>
    <w:rsid w:val="00550D17"/>
    <w:rsid w:val="00550E4A"/>
    <w:rsid w:val="00551266"/>
    <w:rsid w:val="005512F0"/>
    <w:rsid w:val="00551623"/>
    <w:rsid w:val="005516A2"/>
    <w:rsid w:val="0055190F"/>
    <w:rsid w:val="005519C8"/>
    <w:rsid w:val="00551E26"/>
    <w:rsid w:val="00551F06"/>
    <w:rsid w:val="00551F17"/>
    <w:rsid w:val="00551FBB"/>
    <w:rsid w:val="005523A8"/>
    <w:rsid w:val="00552AAE"/>
    <w:rsid w:val="00552C7E"/>
    <w:rsid w:val="00552DAB"/>
    <w:rsid w:val="00552EAF"/>
    <w:rsid w:val="00552FB5"/>
    <w:rsid w:val="00553005"/>
    <w:rsid w:val="005530B5"/>
    <w:rsid w:val="0055314E"/>
    <w:rsid w:val="00553269"/>
    <w:rsid w:val="00553389"/>
    <w:rsid w:val="005535B3"/>
    <w:rsid w:val="0055361D"/>
    <w:rsid w:val="0055361F"/>
    <w:rsid w:val="0055368C"/>
    <w:rsid w:val="0055377B"/>
    <w:rsid w:val="0055378D"/>
    <w:rsid w:val="005538CA"/>
    <w:rsid w:val="005538E7"/>
    <w:rsid w:val="00553A4F"/>
    <w:rsid w:val="00553CDD"/>
    <w:rsid w:val="00553F78"/>
    <w:rsid w:val="0055400D"/>
    <w:rsid w:val="0055440B"/>
    <w:rsid w:val="005544DB"/>
    <w:rsid w:val="005545E7"/>
    <w:rsid w:val="00554837"/>
    <w:rsid w:val="00554B63"/>
    <w:rsid w:val="00554DB7"/>
    <w:rsid w:val="00554F52"/>
    <w:rsid w:val="00555068"/>
    <w:rsid w:val="00555259"/>
    <w:rsid w:val="005553DA"/>
    <w:rsid w:val="00555450"/>
    <w:rsid w:val="005554B2"/>
    <w:rsid w:val="005555A6"/>
    <w:rsid w:val="005556DD"/>
    <w:rsid w:val="00555840"/>
    <w:rsid w:val="0055584C"/>
    <w:rsid w:val="00555945"/>
    <w:rsid w:val="00555AF9"/>
    <w:rsid w:val="00555F14"/>
    <w:rsid w:val="00556299"/>
    <w:rsid w:val="005563EE"/>
    <w:rsid w:val="0055660C"/>
    <w:rsid w:val="005566F5"/>
    <w:rsid w:val="005569E7"/>
    <w:rsid w:val="00556A0F"/>
    <w:rsid w:val="00556A3D"/>
    <w:rsid w:val="00556AAF"/>
    <w:rsid w:val="00556CAC"/>
    <w:rsid w:val="00556CB4"/>
    <w:rsid w:val="00557402"/>
    <w:rsid w:val="005574C6"/>
    <w:rsid w:val="0055753C"/>
    <w:rsid w:val="005575C4"/>
    <w:rsid w:val="005575E0"/>
    <w:rsid w:val="00557670"/>
    <w:rsid w:val="005576BB"/>
    <w:rsid w:val="005576D5"/>
    <w:rsid w:val="0055791C"/>
    <w:rsid w:val="00557C3D"/>
    <w:rsid w:val="00557DD0"/>
    <w:rsid w:val="0056031F"/>
    <w:rsid w:val="005603AC"/>
    <w:rsid w:val="005603B4"/>
    <w:rsid w:val="0056051F"/>
    <w:rsid w:val="0056076B"/>
    <w:rsid w:val="00560854"/>
    <w:rsid w:val="0056089A"/>
    <w:rsid w:val="0056092E"/>
    <w:rsid w:val="005610B4"/>
    <w:rsid w:val="005611E0"/>
    <w:rsid w:val="00561269"/>
    <w:rsid w:val="005612A1"/>
    <w:rsid w:val="00561595"/>
    <w:rsid w:val="005617EF"/>
    <w:rsid w:val="005619AE"/>
    <w:rsid w:val="00561B53"/>
    <w:rsid w:val="00561BE9"/>
    <w:rsid w:val="00561C41"/>
    <w:rsid w:val="00561CEF"/>
    <w:rsid w:val="00561F16"/>
    <w:rsid w:val="00561F6E"/>
    <w:rsid w:val="00562482"/>
    <w:rsid w:val="005626A8"/>
    <w:rsid w:val="00562D61"/>
    <w:rsid w:val="00562DC7"/>
    <w:rsid w:val="005631E6"/>
    <w:rsid w:val="00563283"/>
    <w:rsid w:val="00563343"/>
    <w:rsid w:val="00563459"/>
    <w:rsid w:val="005636B9"/>
    <w:rsid w:val="005637A0"/>
    <w:rsid w:val="0056381F"/>
    <w:rsid w:val="00563977"/>
    <w:rsid w:val="00563A10"/>
    <w:rsid w:val="00563ACB"/>
    <w:rsid w:val="00563B0D"/>
    <w:rsid w:val="00563B34"/>
    <w:rsid w:val="00563B3C"/>
    <w:rsid w:val="00563C32"/>
    <w:rsid w:val="00563C49"/>
    <w:rsid w:val="00563CAB"/>
    <w:rsid w:val="00563CD5"/>
    <w:rsid w:val="00563CE0"/>
    <w:rsid w:val="00563D6B"/>
    <w:rsid w:val="00563D9D"/>
    <w:rsid w:val="00563E66"/>
    <w:rsid w:val="00563F73"/>
    <w:rsid w:val="0056407A"/>
    <w:rsid w:val="00564203"/>
    <w:rsid w:val="00564415"/>
    <w:rsid w:val="00564545"/>
    <w:rsid w:val="00564553"/>
    <w:rsid w:val="0056457C"/>
    <w:rsid w:val="005645BC"/>
    <w:rsid w:val="00564655"/>
    <w:rsid w:val="00564674"/>
    <w:rsid w:val="0056468F"/>
    <w:rsid w:val="005646E4"/>
    <w:rsid w:val="005648D7"/>
    <w:rsid w:val="00564925"/>
    <w:rsid w:val="00564B28"/>
    <w:rsid w:val="00564B53"/>
    <w:rsid w:val="00564C3E"/>
    <w:rsid w:val="00564DA4"/>
    <w:rsid w:val="00564E83"/>
    <w:rsid w:val="00564FBF"/>
    <w:rsid w:val="005651C1"/>
    <w:rsid w:val="005654E5"/>
    <w:rsid w:val="0056553F"/>
    <w:rsid w:val="0056586E"/>
    <w:rsid w:val="00565C62"/>
    <w:rsid w:val="00565E44"/>
    <w:rsid w:val="00565ECE"/>
    <w:rsid w:val="00565F44"/>
    <w:rsid w:val="00565F6E"/>
    <w:rsid w:val="00566036"/>
    <w:rsid w:val="00566177"/>
    <w:rsid w:val="00566349"/>
    <w:rsid w:val="005666E0"/>
    <w:rsid w:val="0056670D"/>
    <w:rsid w:val="005669F8"/>
    <w:rsid w:val="00566AB3"/>
    <w:rsid w:val="00566EF6"/>
    <w:rsid w:val="0056704C"/>
    <w:rsid w:val="00567172"/>
    <w:rsid w:val="00567177"/>
    <w:rsid w:val="00567215"/>
    <w:rsid w:val="005672E0"/>
    <w:rsid w:val="005674F4"/>
    <w:rsid w:val="00567675"/>
    <w:rsid w:val="00567710"/>
    <w:rsid w:val="00567748"/>
    <w:rsid w:val="005677C9"/>
    <w:rsid w:val="005678BD"/>
    <w:rsid w:val="00567921"/>
    <w:rsid w:val="00567955"/>
    <w:rsid w:val="00567B31"/>
    <w:rsid w:val="00567B69"/>
    <w:rsid w:val="00567CF6"/>
    <w:rsid w:val="00567D13"/>
    <w:rsid w:val="00567E06"/>
    <w:rsid w:val="00567E0D"/>
    <w:rsid w:val="00570112"/>
    <w:rsid w:val="00570159"/>
    <w:rsid w:val="00570172"/>
    <w:rsid w:val="005701B3"/>
    <w:rsid w:val="005702CF"/>
    <w:rsid w:val="005702D6"/>
    <w:rsid w:val="005704A0"/>
    <w:rsid w:val="005704BC"/>
    <w:rsid w:val="005705D0"/>
    <w:rsid w:val="005706D4"/>
    <w:rsid w:val="005707C7"/>
    <w:rsid w:val="00570966"/>
    <w:rsid w:val="00570B58"/>
    <w:rsid w:val="00570D9D"/>
    <w:rsid w:val="00570DC3"/>
    <w:rsid w:val="00570F9A"/>
    <w:rsid w:val="0057110F"/>
    <w:rsid w:val="00571239"/>
    <w:rsid w:val="00571383"/>
    <w:rsid w:val="00571560"/>
    <w:rsid w:val="005716BC"/>
    <w:rsid w:val="00571708"/>
    <w:rsid w:val="00571721"/>
    <w:rsid w:val="00571B43"/>
    <w:rsid w:val="00571CD4"/>
    <w:rsid w:val="00571D29"/>
    <w:rsid w:val="00571DFB"/>
    <w:rsid w:val="00572132"/>
    <w:rsid w:val="0057221E"/>
    <w:rsid w:val="0057234D"/>
    <w:rsid w:val="00572424"/>
    <w:rsid w:val="005724A6"/>
    <w:rsid w:val="0057253F"/>
    <w:rsid w:val="005725A2"/>
    <w:rsid w:val="005726A5"/>
    <w:rsid w:val="00572713"/>
    <w:rsid w:val="0057274C"/>
    <w:rsid w:val="0057284C"/>
    <w:rsid w:val="00572855"/>
    <w:rsid w:val="005729D7"/>
    <w:rsid w:val="00572A5D"/>
    <w:rsid w:val="00572B95"/>
    <w:rsid w:val="00572CEA"/>
    <w:rsid w:val="00572DDF"/>
    <w:rsid w:val="00572F93"/>
    <w:rsid w:val="00572FC8"/>
    <w:rsid w:val="005733D3"/>
    <w:rsid w:val="0057340F"/>
    <w:rsid w:val="005734C6"/>
    <w:rsid w:val="0057379E"/>
    <w:rsid w:val="00573B9B"/>
    <w:rsid w:val="00573FF6"/>
    <w:rsid w:val="0057427F"/>
    <w:rsid w:val="005742B9"/>
    <w:rsid w:val="00574490"/>
    <w:rsid w:val="005746E1"/>
    <w:rsid w:val="005746F4"/>
    <w:rsid w:val="00574713"/>
    <w:rsid w:val="005749D9"/>
    <w:rsid w:val="005749FF"/>
    <w:rsid w:val="00574A1F"/>
    <w:rsid w:val="00574DBD"/>
    <w:rsid w:val="00574DF9"/>
    <w:rsid w:val="005752A8"/>
    <w:rsid w:val="00575515"/>
    <w:rsid w:val="005755A8"/>
    <w:rsid w:val="00575700"/>
    <w:rsid w:val="00575753"/>
    <w:rsid w:val="005757AF"/>
    <w:rsid w:val="005757EC"/>
    <w:rsid w:val="00575893"/>
    <w:rsid w:val="00575ADE"/>
    <w:rsid w:val="00575CAC"/>
    <w:rsid w:val="00575CBC"/>
    <w:rsid w:val="00575D43"/>
    <w:rsid w:val="00575E8F"/>
    <w:rsid w:val="00575EEB"/>
    <w:rsid w:val="00575FBE"/>
    <w:rsid w:val="005762D1"/>
    <w:rsid w:val="00576328"/>
    <w:rsid w:val="00576428"/>
    <w:rsid w:val="00576791"/>
    <w:rsid w:val="005767B2"/>
    <w:rsid w:val="005767D2"/>
    <w:rsid w:val="005767E7"/>
    <w:rsid w:val="00576843"/>
    <w:rsid w:val="00576AA4"/>
    <w:rsid w:val="00576B90"/>
    <w:rsid w:val="00576DC5"/>
    <w:rsid w:val="00576F4D"/>
    <w:rsid w:val="00576FB2"/>
    <w:rsid w:val="00577123"/>
    <w:rsid w:val="005771F7"/>
    <w:rsid w:val="00577274"/>
    <w:rsid w:val="00577572"/>
    <w:rsid w:val="00577579"/>
    <w:rsid w:val="00577745"/>
    <w:rsid w:val="00577774"/>
    <w:rsid w:val="00577869"/>
    <w:rsid w:val="005778BE"/>
    <w:rsid w:val="00577A11"/>
    <w:rsid w:val="00577B2D"/>
    <w:rsid w:val="00577BCA"/>
    <w:rsid w:val="00577D66"/>
    <w:rsid w:val="00577E48"/>
    <w:rsid w:val="0058002E"/>
    <w:rsid w:val="00580215"/>
    <w:rsid w:val="0058026D"/>
    <w:rsid w:val="00580288"/>
    <w:rsid w:val="005802D1"/>
    <w:rsid w:val="00580353"/>
    <w:rsid w:val="005803CB"/>
    <w:rsid w:val="00580676"/>
    <w:rsid w:val="0058067C"/>
    <w:rsid w:val="005807E5"/>
    <w:rsid w:val="005808B0"/>
    <w:rsid w:val="0058095E"/>
    <w:rsid w:val="00580A8B"/>
    <w:rsid w:val="00580D9F"/>
    <w:rsid w:val="00580E92"/>
    <w:rsid w:val="00580EE3"/>
    <w:rsid w:val="00581090"/>
    <w:rsid w:val="0058124E"/>
    <w:rsid w:val="0058144A"/>
    <w:rsid w:val="00581592"/>
    <w:rsid w:val="00581632"/>
    <w:rsid w:val="0058168D"/>
    <w:rsid w:val="005817A1"/>
    <w:rsid w:val="005818F1"/>
    <w:rsid w:val="00581917"/>
    <w:rsid w:val="00581993"/>
    <w:rsid w:val="00581E70"/>
    <w:rsid w:val="00581FCC"/>
    <w:rsid w:val="00582076"/>
    <w:rsid w:val="00582177"/>
    <w:rsid w:val="005821C0"/>
    <w:rsid w:val="005824FA"/>
    <w:rsid w:val="00582568"/>
    <w:rsid w:val="005825D8"/>
    <w:rsid w:val="0058280C"/>
    <w:rsid w:val="00582861"/>
    <w:rsid w:val="00582976"/>
    <w:rsid w:val="00582AA7"/>
    <w:rsid w:val="00582B4B"/>
    <w:rsid w:val="00582CE1"/>
    <w:rsid w:val="00582DE9"/>
    <w:rsid w:val="00582FB4"/>
    <w:rsid w:val="005833DF"/>
    <w:rsid w:val="00583759"/>
    <w:rsid w:val="005837E3"/>
    <w:rsid w:val="005837F5"/>
    <w:rsid w:val="0058380A"/>
    <w:rsid w:val="0058382F"/>
    <w:rsid w:val="00583943"/>
    <w:rsid w:val="00583AB5"/>
    <w:rsid w:val="00583AE9"/>
    <w:rsid w:val="00583DBA"/>
    <w:rsid w:val="00583DE3"/>
    <w:rsid w:val="00583F8B"/>
    <w:rsid w:val="00583FB5"/>
    <w:rsid w:val="00584084"/>
    <w:rsid w:val="0058423B"/>
    <w:rsid w:val="0058451C"/>
    <w:rsid w:val="0058476D"/>
    <w:rsid w:val="005847A9"/>
    <w:rsid w:val="005848BA"/>
    <w:rsid w:val="00584986"/>
    <w:rsid w:val="00584B9F"/>
    <w:rsid w:val="00584E4C"/>
    <w:rsid w:val="0058528C"/>
    <w:rsid w:val="00585300"/>
    <w:rsid w:val="00585B9F"/>
    <w:rsid w:val="00585C59"/>
    <w:rsid w:val="00585C8A"/>
    <w:rsid w:val="00585D4B"/>
    <w:rsid w:val="00585D64"/>
    <w:rsid w:val="00586054"/>
    <w:rsid w:val="005860D5"/>
    <w:rsid w:val="005863D6"/>
    <w:rsid w:val="00586542"/>
    <w:rsid w:val="0058686D"/>
    <w:rsid w:val="00586B62"/>
    <w:rsid w:val="00586CA7"/>
    <w:rsid w:val="00586CFB"/>
    <w:rsid w:val="00586D85"/>
    <w:rsid w:val="00586DA5"/>
    <w:rsid w:val="00586F63"/>
    <w:rsid w:val="00586FD6"/>
    <w:rsid w:val="005871DF"/>
    <w:rsid w:val="0058740F"/>
    <w:rsid w:val="005874EE"/>
    <w:rsid w:val="00587546"/>
    <w:rsid w:val="005875C5"/>
    <w:rsid w:val="00587672"/>
    <w:rsid w:val="005876D5"/>
    <w:rsid w:val="00587B5B"/>
    <w:rsid w:val="00587B75"/>
    <w:rsid w:val="00587C7D"/>
    <w:rsid w:val="00587E2D"/>
    <w:rsid w:val="00590001"/>
    <w:rsid w:val="00590064"/>
    <w:rsid w:val="005902DA"/>
    <w:rsid w:val="00590445"/>
    <w:rsid w:val="005904A1"/>
    <w:rsid w:val="0059064B"/>
    <w:rsid w:val="0059068E"/>
    <w:rsid w:val="005907B5"/>
    <w:rsid w:val="00590B8B"/>
    <w:rsid w:val="00590BE4"/>
    <w:rsid w:val="00590CD6"/>
    <w:rsid w:val="00590D0F"/>
    <w:rsid w:val="00590E47"/>
    <w:rsid w:val="005910B7"/>
    <w:rsid w:val="005910BC"/>
    <w:rsid w:val="005910E4"/>
    <w:rsid w:val="00591381"/>
    <w:rsid w:val="00591532"/>
    <w:rsid w:val="0059164A"/>
    <w:rsid w:val="0059180E"/>
    <w:rsid w:val="00591856"/>
    <w:rsid w:val="00591A3C"/>
    <w:rsid w:val="00591BE2"/>
    <w:rsid w:val="00591C49"/>
    <w:rsid w:val="00591CDB"/>
    <w:rsid w:val="00591D34"/>
    <w:rsid w:val="00591E51"/>
    <w:rsid w:val="00591E8B"/>
    <w:rsid w:val="0059204C"/>
    <w:rsid w:val="00592515"/>
    <w:rsid w:val="00592523"/>
    <w:rsid w:val="00592686"/>
    <w:rsid w:val="005926DB"/>
    <w:rsid w:val="00592874"/>
    <w:rsid w:val="005929A6"/>
    <w:rsid w:val="00592AD9"/>
    <w:rsid w:val="00592C25"/>
    <w:rsid w:val="00592D46"/>
    <w:rsid w:val="00592F7C"/>
    <w:rsid w:val="0059302E"/>
    <w:rsid w:val="00593345"/>
    <w:rsid w:val="00593353"/>
    <w:rsid w:val="005939FF"/>
    <w:rsid w:val="00593B03"/>
    <w:rsid w:val="00593DAE"/>
    <w:rsid w:val="00593F29"/>
    <w:rsid w:val="00593FF4"/>
    <w:rsid w:val="00594053"/>
    <w:rsid w:val="0059409B"/>
    <w:rsid w:val="005940D1"/>
    <w:rsid w:val="00594139"/>
    <w:rsid w:val="00594175"/>
    <w:rsid w:val="0059426F"/>
    <w:rsid w:val="005942D8"/>
    <w:rsid w:val="005943BF"/>
    <w:rsid w:val="005946F6"/>
    <w:rsid w:val="00594855"/>
    <w:rsid w:val="00594D12"/>
    <w:rsid w:val="00594E32"/>
    <w:rsid w:val="00594FF6"/>
    <w:rsid w:val="00595024"/>
    <w:rsid w:val="0059502B"/>
    <w:rsid w:val="0059569E"/>
    <w:rsid w:val="005956EF"/>
    <w:rsid w:val="005958C5"/>
    <w:rsid w:val="005958F0"/>
    <w:rsid w:val="00595981"/>
    <w:rsid w:val="005959B2"/>
    <w:rsid w:val="00595A29"/>
    <w:rsid w:val="00595B5C"/>
    <w:rsid w:val="00595BBF"/>
    <w:rsid w:val="00595EA2"/>
    <w:rsid w:val="005961A1"/>
    <w:rsid w:val="005961DB"/>
    <w:rsid w:val="00596375"/>
    <w:rsid w:val="005964E1"/>
    <w:rsid w:val="00596543"/>
    <w:rsid w:val="005965D0"/>
    <w:rsid w:val="00596663"/>
    <w:rsid w:val="005966B8"/>
    <w:rsid w:val="00596703"/>
    <w:rsid w:val="005967A4"/>
    <w:rsid w:val="00596970"/>
    <w:rsid w:val="00596B8E"/>
    <w:rsid w:val="00596CC7"/>
    <w:rsid w:val="00596E08"/>
    <w:rsid w:val="0059725B"/>
    <w:rsid w:val="005972B6"/>
    <w:rsid w:val="005973E0"/>
    <w:rsid w:val="00597448"/>
    <w:rsid w:val="005974ED"/>
    <w:rsid w:val="00597598"/>
    <w:rsid w:val="0059763F"/>
    <w:rsid w:val="0059773E"/>
    <w:rsid w:val="00597790"/>
    <w:rsid w:val="005978AB"/>
    <w:rsid w:val="00597924"/>
    <w:rsid w:val="00597DE1"/>
    <w:rsid w:val="005A0046"/>
    <w:rsid w:val="005A01F2"/>
    <w:rsid w:val="005A03F3"/>
    <w:rsid w:val="005A04DC"/>
    <w:rsid w:val="005A0659"/>
    <w:rsid w:val="005A06E2"/>
    <w:rsid w:val="005A097A"/>
    <w:rsid w:val="005A0AAE"/>
    <w:rsid w:val="005A0AE8"/>
    <w:rsid w:val="005A0D2B"/>
    <w:rsid w:val="005A0F92"/>
    <w:rsid w:val="005A0F94"/>
    <w:rsid w:val="005A11F2"/>
    <w:rsid w:val="005A1251"/>
    <w:rsid w:val="005A1337"/>
    <w:rsid w:val="005A147A"/>
    <w:rsid w:val="005A1515"/>
    <w:rsid w:val="005A1684"/>
    <w:rsid w:val="005A1705"/>
    <w:rsid w:val="005A17DF"/>
    <w:rsid w:val="005A17FA"/>
    <w:rsid w:val="005A1800"/>
    <w:rsid w:val="005A1817"/>
    <w:rsid w:val="005A193C"/>
    <w:rsid w:val="005A1961"/>
    <w:rsid w:val="005A1B67"/>
    <w:rsid w:val="005A1BB9"/>
    <w:rsid w:val="005A1BEC"/>
    <w:rsid w:val="005A1BEE"/>
    <w:rsid w:val="005A1C6E"/>
    <w:rsid w:val="005A1C9D"/>
    <w:rsid w:val="005A1DAA"/>
    <w:rsid w:val="005A1DB5"/>
    <w:rsid w:val="005A1DB9"/>
    <w:rsid w:val="005A1F59"/>
    <w:rsid w:val="005A209B"/>
    <w:rsid w:val="005A20BE"/>
    <w:rsid w:val="005A255D"/>
    <w:rsid w:val="005A25AD"/>
    <w:rsid w:val="005A28EE"/>
    <w:rsid w:val="005A2984"/>
    <w:rsid w:val="005A29B5"/>
    <w:rsid w:val="005A3017"/>
    <w:rsid w:val="005A301F"/>
    <w:rsid w:val="005A31F8"/>
    <w:rsid w:val="005A3314"/>
    <w:rsid w:val="005A331D"/>
    <w:rsid w:val="005A3738"/>
    <w:rsid w:val="005A3A94"/>
    <w:rsid w:val="005A3B2A"/>
    <w:rsid w:val="005A3CA7"/>
    <w:rsid w:val="005A3D62"/>
    <w:rsid w:val="005A3E23"/>
    <w:rsid w:val="005A3F5B"/>
    <w:rsid w:val="005A428C"/>
    <w:rsid w:val="005A4432"/>
    <w:rsid w:val="005A459A"/>
    <w:rsid w:val="005A4850"/>
    <w:rsid w:val="005A48DA"/>
    <w:rsid w:val="005A48EA"/>
    <w:rsid w:val="005A491E"/>
    <w:rsid w:val="005A49AB"/>
    <w:rsid w:val="005A49ED"/>
    <w:rsid w:val="005A4A49"/>
    <w:rsid w:val="005A4B96"/>
    <w:rsid w:val="005A4F88"/>
    <w:rsid w:val="005A501D"/>
    <w:rsid w:val="005A54C0"/>
    <w:rsid w:val="005A55A8"/>
    <w:rsid w:val="005A5716"/>
    <w:rsid w:val="005A5874"/>
    <w:rsid w:val="005A5985"/>
    <w:rsid w:val="005A5A50"/>
    <w:rsid w:val="005A5BAA"/>
    <w:rsid w:val="005A5BB8"/>
    <w:rsid w:val="005A5CA8"/>
    <w:rsid w:val="005A5FA1"/>
    <w:rsid w:val="005A630B"/>
    <w:rsid w:val="005A6419"/>
    <w:rsid w:val="005A65AF"/>
    <w:rsid w:val="005A668A"/>
    <w:rsid w:val="005A680E"/>
    <w:rsid w:val="005A6A07"/>
    <w:rsid w:val="005A6C4A"/>
    <w:rsid w:val="005A6D71"/>
    <w:rsid w:val="005A73CA"/>
    <w:rsid w:val="005A748F"/>
    <w:rsid w:val="005A75E9"/>
    <w:rsid w:val="005A7704"/>
    <w:rsid w:val="005A7985"/>
    <w:rsid w:val="005A7989"/>
    <w:rsid w:val="005A79B7"/>
    <w:rsid w:val="005A7A60"/>
    <w:rsid w:val="005A7AAC"/>
    <w:rsid w:val="005A7E48"/>
    <w:rsid w:val="005A7EF2"/>
    <w:rsid w:val="005A7F2C"/>
    <w:rsid w:val="005B0218"/>
    <w:rsid w:val="005B025D"/>
    <w:rsid w:val="005B0377"/>
    <w:rsid w:val="005B0988"/>
    <w:rsid w:val="005B0C93"/>
    <w:rsid w:val="005B0D8E"/>
    <w:rsid w:val="005B0E5B"/>
    <w:rsid w:val="005B0F9C"/>
    <w:rsid w:val="005B1028"/>
    <w:rsid w:val="005B1167"/>
    <w:rsid w:val="005B1296"/>
    <w:rsid w:val="005B1332"/>
    <w:rsid w:val="005B1786"/>
    <w:rsid w:val="005B1A40"/>
    <w:rsid w:val="005B1A65"/>
    <w:rsid w:val="005B1BC5"/>
    <w:rsid w:val="005B1CA3"/>
    <w:rsid w:val="005B1DE2"/>
    <w:rsid w:val="005B1DEF"/>
    <w:rsid w:val="005B1FDC"/>
    <w:rsid w:val="005B2028"/>
    <w:rsid w:val="005B219C"/>
    <w:rsid w:val="005B2486"/>
    <w:rsid w:val="005B26DC"/>
    <w:rsid w:val="005B2AF7"/>
    <w:rsid w:val="005B2CC8"/>
    <w:rsid w:val="005B2CF1"/>
    <w:rsid w:val="005B2E72"/>
    <w:rsid w:val="005B304A"/>
    <w:rsid w:val="005B3160"/>
    <w:rsid w:val="005B335C"/>
    <w:rsid w:val="005B33A9"/>
    <w:rsid w:val="005B3530"/>
    <w:rsid w:val="005B35AD"/>
    <w:rsid w:val="005B3904"/>
    <w:rsid w:val="005B3A38"/>
    <w:rsid w:val="005B3A9B"/>
    <w:rsid w:val="005B3B18"/>
    <w:rsid w:val="005B3FB1"/>
    <w:rsid w:val="005B4060"/>
    <w:rsid w:val="005B429A"/>
    <w:rsid w:val="005B43A0"/>
    <w:rsid w:val="005B4445"/>
    <w:rsid w:val="005B451D"/>
    <w:rsid w:val="005B45EB"/>
    <w:rsid w:val="005B464F"/>
    <w:rsid w:val="005B484B"/>
    <w:rsid w:val="005B49B5"/>
    <w:rsid w:val="005B4AF6"/>
    <w:rsid w:val="005B4B79"/>
    <w:rsid w:val="005B4CF6"/>
    <w:rsid w:val="005B4DBC"/>
    <w:rsid w:val="005B4F3E"/>
    <w:rsid w:val="005B4F82"/>
    <w:rsid w:val="005B5065"/>
    <w:rsid w:val="005B51C2"/>
    <w:rsid w:val="005B5203"/>
    <w:rsid w:val="005B5593"/>
    <w:rsid w:val="005B56A6"/>
    <w:rsid w:val="005B5AC5"/>
    <w:rsid w:val="005B5BC7"/>
    <w:rsid w:val="005B5C4B"/>
    <w:rsid w:val="005B5F3F"/>
    <w:rsid w:val="005B600B"/>
    <w:rsid w:val="005B612F"/>
    <w:rsid w:val="005B622F"/>
    <w:rsid w:val="005B6251"/>
    <w:rsid w:val="005B62AD"/>
    <w:rsid w:val="005B6530"/>
    <w:rsid w:val="005B6724"/>
    <w:rsid w:val="005B6A6D"/>
    <w:rsid w:val="005B6AC8"/>
    <w:rsid w:val="005B6AFB"/>
    <w:rsid w:val="005B6B1B"/>
    <w:rsid w:val="005B6B2F"/>
    <w:rsid w:val="005B6B3A"/>
    <w:rsid w:val="005B6C8C"/>
    <w:rsid w:val="005B6DDE"/>
    <w:rsid w:val="005B6E4C"/>
    <w:rsid w:val="005B7025"/>
    <w:rsid w:val="005B705B"/>
    <w:rsid w:val="005B71B0"/>
    <w:rsid w:val="005B76D3"/>
    <w:rsid w:val="005B76E1"/>
    <w:rsid w:val="005B7754"/>
    <w:rsid w:val="005B77A6"/>
    <w:rsid w:val="005B7897"/>
    <w:rsid w:val="005B7998"/>
    <w:rsid w:val="005B7C00"/>
    <w:rsid w:val="005B7C4E"/>
    <w:rsid w:val="005C04C1"/>
    <w:rsid w:val="005C0532"/>
    <w:rsid w:val="005C056E"/>
    <w:rsid w:val="005C05C1"/>
    <w:rsid w:val="005C0792"/>
    <w:rsid w:val="005C09CE"/>
    <w:rsid w:val="005C0A4B"/>
    <w:rsid w:val="005C0B1D"/>
    <w:rsid w:val="005C0BB3"/>
    <w:rsid w:val="005C0E4C"/>
    <w:rsid w:val="005C0E68"/>
    <w:rsid w:val="005C1071"/>
    <w:rsid w:val="005C1336"/>
    <w:rsid w:val="005C14F6"/>
    <w:rsid w:val="005C16AA"/>
    <w:rsid w:val="005C1A14"/>
    <w:rsid w:val="005C1A29"/>
    <w:rsid w:val="005C1BA0"/>
    <w:rsid w:val="005C1D03"/>
    <w:rsid w:val="005C1E2E"/>
    <w:rsid w:val="005C1FDA"/>
    <w:rsid w:val="005C1FF7"/>
    <w:rsid w:val="005C2197"/>
    <w:rsid w:val="005C23CE"/>
    <w:rsid w:val="005C2624"/>
    <w:rsid w:val="005C2838"/>
    <w:rsid w:val="005C2874"/>
    <w:rsid w:val="005C28B6"/>
    <w:rsid w:val="005C28F2"/>
    <w:rsid w:val="005C2996"/>
    <w:rsid w:val="005C2BB6"/>
    <w:rsid w:val="005C2D40"/>
    <w:rsid w:val="005C30EA"/>
    <w:rsid w:val="005C342B"/>
    <w:rsid w:val="005C3670"/>
    <w:rsid w:val="005C3817"/>
    <w:rsid w:val="005C397F"/>
    <w:rsid w:val="005C3A0D"/>
    <w:rsid w:val="005C3B59"/>
    <w:rsid w:val="005C3B6C"/>
    <w:rsid w:val="005C3C0A"/>
    <w:rsid w:val="005C3C4C"/>
    <w:rsid w:val="005C3C57"/>
    <w:rsid w:val="005C3EFB"/>
    <w:rsid w:val="005C4062"/>
    <w:rsid w:val="005C4622"/>
    <w:rsid w:val="005C49C2"/>
    <w:rsid w:val="005C4A72"/>
    <w:rsid w:val="005C4A78"/>
    <w:rsid w:val="005C4C39"/>
    <w:rsid w:val="005C4CE0"/>
    <w:rsid w:val="005C4E50"/>
    <w:rsid w:val="005C4E7A"/>
    <w:rsid w:val="005C513B"/>
    <w:rsid w:val="005C5141"/>
    <w:rsid w:val="005C521D"/>
    <w:rsid w:val="005C52CA"/>
    <w:rsid w:val="005C5388"/>
    <w:rsid w:val="005C53D3"/>
    <w:rsid w:val="005C53E8"/>
    <w:rsid w:val="005C5462"/>
    <w:rsid w:val="005C5621"/>
    <w:rsid w:val="005C565E"/>
    <w:rsid w:val="005C56F2"/>
    <w:rsid w:val="005C5872"/>
    <w:rsid w:val="005C58B8"/>
    <w:rsid w:val="005C5941"/>
    <w:rsid w:val="005C595C"/>
    <w:rsid w:val="005C5A1F"/>
    <w:rsid w:val="005C5C1B"/>
    <w:rsid w:val="005C5D6E"/>
    <w:rsid w:val="005C5DFE"/>
    <w:rsid w:val="005C5F56"/>
    <w:rsid w:val="005C6062"/>
    <w:rsid w:val="005C64F1"/>
    <w:rsid w:val="005C6539"/>
    <w:rsid w:val="005C659E"/>
    <w:rsid w:val="005C66AE"/>
    <w:rsid w:val="005C6781"/>
    <w:rsid w:val="005C6913"/>
    <w:rsid w:val="005C69AA"/>
    <w:rsid w:val="005C6A64"/>
    <w:rsid w:val="005C6A8A"/>
    <w:rsid w:val="005C6BEB"/>
    <w:rsid w:val="005C6C68"/>
    <w:rsid w:val="005C6FA9"/>
    <w:rsid w:val="005C714E"/>
    <w:rsid w:val="005C71D3"/>
    <w:rsid w:val="005C7824"/>
    <w:rsid w:val="005C7842"/>
    <w:rsid w:val="005C7B33"/>
    <w:rsid w:val="005C7BEF"/>
    <w:rsid w:val="005C7C68"/>
    <w:rsid w:val="005C7D03"/>
    <w:rsid w:val="005C7DF7"/>
    <w:rsid w:val="005C7F85"/>
    <w:rsid w:val="005D005D"/>
    <w:rsid w:val="005D0172"/>
    <w:rsid w:val="005D0210"/>
    <w:rsid w:val="005D0310"/>
    <w:rsid w:val="005D03FE"/>
    <w:rsid w:val="005D05F6"/>
    <w:rsid w:val="005D1320"/>
    <w:rsid w:val="005D1558"/>
    <w:rsid w:val="005D170F"/>
    <w:rsid w:val="005D173A"/>
    <w:rsid w:val="005D184C"/>
    <w:rsid w:val="005D18C5"/>
    <w:rsid w:val="005D197D"/>
    <w:rsid w:val="005D1BDC"/>
    <w:rsid w:val="005D1DAD"/>
    <w:rsid w:val="005D1E1C"/>
    <w:rsid w:val="005D1E2B"/>
    <w:rsid w:val="005D1FA6"/>
    <w:rsid w:val="005D202C"/>
    <w:rsid w:val="005D2172"/>
    <w:rsid w:val="005D21BB"/>
    <w:rsid w:val="005D2345"/>
    <w:rsid w:val="005D237B"/>
    <w:rsid w:val="005D2390"/>
    <w:rsid w:val="005D25EF"/>
    <w:rsid w:val="005D27BC"/>
    <w:rsid w:val="005D27FD"/>
    <w:rsid w:val="005D28C6"/>
    <w:rsid w:val="005D28FB"/>
    <w:rsid w:val="005D2C69"/>
    <w:rsid w:val="005D2C79"/>
    <w:rsid w:val="005D3089"/>
    <w:rsid w:val="005D30A0"/>
    <w:rsid w:val="005D31BB"/>
    <w:rsid w:val="005D3353"/>
    <w:rsid w:val="005D3389"/>
    <w:rsid w:val="005D33C8"/>
    <w:rsid w:val="005D33D1"/>
    <w:rsid w:val="005D34AC"/>
    <w:rsid w:val="005D35E8"/>
    <w:rsid w:val="005D3665"/>
    <w:rsid w:val="005D36CF"/>
    <w:rsid w:val="005D36F5"/>
    <w:rsid w:val="005D37CA"/>
    <w:rsid w:val="005D3898"/>
    <w:rsid w:val="005D399B"/>
    <w:rsid w:val="005D3A19"/>
    <w:rsid w:val="005D3A1D"/>
    <w:rsid w:val="005D3B1B"/>
    <w:rsid w:val="005D3B59"/>
    <w:rsid w:val="005D3E5F"/>
    <w:rsid w:val="005D3F46"/>
    <w:rsid w:val="005D410E"/>
    <w:rsid w:val="005D4403"/>
    <w:rsid w:val="005D44EF"/>
    <w:rsid w:val="005D4818"/>
    <w:rsid w:val="005D482A"/>
    <w:rsid w:val="005D4A43"/>
    <w:rsid w:val="005D4AD8"/>
    <w:rsid w:val="005D4C06"/>
    <w:rsid w:val="005D4C9D"/>
    <w:rsid w:val="005D4FD1"/>
    <w:rsid w:val="005D509F"/>
    <w:rsid w:val="005D5143"/>
    <w:rsid w:val="005D52BA"/>
    <w:rsid w:val="005D52F7"/>
    <w:rsid w:val="005D539F"/>
    <w:rsid w:val="005D553F"/>
    <w:rsid w:val="005D5702"/>
    <w:rsid w:val="005D57E4"/>
    <w:rsid w:val="005D59E7"/>
    <w:rsid w:val="005D5A3B"/>
    <w:rsid w:val="005D5AAA"/>
    <w:rsid w:val="005D5AF1"/>
    <w:rsid w:val="005D5BB2"/>
    <w:rsid w:val="005D5E66"/>
    <w:rsid w:val="005D5EAF"/>
    <w:rsid w:val="005D5F02"/>
    <w:rsid w:val="005D6249"/>
    <w:rsid w:val="005D66C2"/>
    <w:rsid w:val="005D676A"/>
    <w:rsid w:val="005D682A"/>
    <w:rsid w:val="005D682D"/>
    <w:rsid w:val="005D683F"/>
    <w:rsid w:val="005D6927"/>
    <w:rsid w:val="005D698F"/>
    <w:rsid w:val="005D6A4C"/>
    <w:rsid w:val="005D6B3B"/>
    <w:rsid w:val="005D6C9F"/>
    <w:rsid w:val="005D6D2E"/>
    <w:rsid w:val="005D6DEA"/>
    <w:rsid w:val="005D6E8E"/>
    <w:rsid w:val="005D6EAF"/>
    <w:rsid w:val="005D7378"/>
    <w:rsid w:val="005D73EE"/>
    <w:rsid w:val="005D766B"/>
    <w:rsid w:val="005D7696"/>
    <w:rsid w:val="005D76AA"/>
    <w:rsid w:val="005D76F8"/>
    <w:rsid w:val="005D77D1"/>
    <w:rsid w:val="005D796B"/>
    <w:rsid w:val="005D79AC"/>
    <w:rsid w:val="005D79FB"/>
    <w:rsid w:val="005D7AD5"/>
    <w:rsid w:val="005D7BD2"/>
    <w:rsid w:val="005D7C95"/>
    <w:rsid w:val="005D7D53"/>
    <w:rsid w:val="005D7DC4"/>
    <w:rsid w:val="005D7E08"/>
    <w:rsid w:val="005E0083"/>
    <w:rsid w:val="005E018F"/>
    <w:rsid w:val="005E01B9"/>
    <w:rsid w:val="005E01C7"/>
    <w:rsid w:val="005E0452"/>
    <w:rsid w:val="005E068B"/>
    <w:rsid w:val="005E089B"/>
    <w:rsid w:val="005E08CB"/>
    <w:rsid w:val="005E0A04"/>
    <w:rsid w:val="005E0A0A"/>
    <w:rsid w:val="005E0A32"/>
    <w:rsid w:val="005E0A93"/>
    <w:rsid w:val="005E0BB6"/>
    <w:rsid w:val="005E0BBA"/>
    <w:rsid w:val="005E0C85"/>
    <w:rsid w:val="005E0CB9"/>
    <w:rsid w:val="005E0DF4"/>
    <w:rsid w:val="005E0E47"/>
    <w:rsid w:val="005E0FA3"/>
    <w:rsid w:val="005E0FD5"/>
    <w:rsid w:val="005E1272"/>
    <w:rsid w:val="005E134A"/>
    <w:rsid w:val="005E1729"/>
    <w:rsid w:val="005E17F4"/>
    <w:rsid w:val="005E1BAD"/>
    <w:rsid w:val="005E1E1D"/>
    <w:rsid w:val="005E1F22"/>
    <w:rsid w:val="005E2038"/>
    <w:rsid w:val="005E204E"/>
    <w:rsid w:val="005E215F"/>
    <w:rsid w:val="005E2232"/>
    <w:rsid w:val="005E226F"/>
    <w:rsid w:val="005E2507"/>
    <w:rsid w:val="005E27EF"/>
    <w:rsid w:val="005E28DF"/>
    <w:rsid w:val="005E28FA"/>
    <w:rsid w:val="005E29A3"/>
    <w:rsid w:val="005E29A7"/>
    <w:rsid w:val="005E29CD"/>
    <w:rsid w:val="005E2A08"/>
    <w:rsid w:val="005E2C4D"/>
    <w:rsid w:val="005E2C6E"/>
    <w:rsid w:val="005E2DC7"/>
    <w:rsid w:val="005E2EFC"/>
    <w:rsid w:val="005E2F48"/>
    <w:rsid w:val="005E3063"/>
    <w:rsid w:val="005E30DC"/>
    <w:rsid w:val="005E335B"/>
    <w:rsid w:val="005E3431"/>
    <w:rsid w:val="005E34D0"/>
    <w:rsid w:val="005E3547"/>
    <w:rsid w:val="005E35B7"/>
    <w:rsid w:val="005E35CF"/>
    <w:rsid w:val="005E3645"/>
    <w:rsid w:val="005E367A"/>
    <w:rsid w:val="005E3741"/>
    <w:rsid w:val="005E3751"/>
    <w:rsid w:val="005E3784"/>
    <w:rsid w:val="005E37BC"/>
    <w:rsid w:val="005E37DD"/>
    <w:rsid w:val="005E3BA6"/>
    <w:rsid w:val="005E4011"/>
    <w:rsid w:val="005E40E9"/>
    <w:rsid w:val="005E413B"/>
    <w:rsid w:val="005E4573"/>
    <w:rsid w:val="005E45A8"/>
    <w:rsid w:val="005E45D9"/>
    <w:rsid w:val="005E4655"/>
    <w:rsid w:val="005E494E"/>
    <w:rsid w:val="005E49CF"/>
    <w:rsid w:val="005E4B14"/>
    <w:rsid w:val="005E4B37"/>
    <w:rsid w:val="005E4BC8"/>
    <w:rsid w:val="005E4D41"/>
    <w:rsid w:val="005E5020"/>
    <w:rsid w:val="005E525A"/>
    <w:rsid w:val="005E531F"/>
    <w:rsid w:val="005E5333"/>
    <w:rsid w:val="005E53BA"/>
    <w:rsid w:val="005E54DF"/>
    <w:rsid w:val="005E5556"/>
    <w:rsid w:val="005E5583"/>
    <w:rsid w:val="005E55F3"/>
    <w:rsid w:val="005E5612"/>
    <w:rsid w:val="005E567F"/>
    <w:rsid w:val="005E5752"/>
    <w:rsid w:val="005E5A2E"/>
    <w:rsid w:val="005E5A3D"/>
    <w:rsid w:val="005E5A5F"/>
    <w:rsid w:val="005E5AC6"/>
    <w:rsid w:val="005E5CA4"/>
    <w:rsid w:val="005E5E85"/>
    <w:rsid w:val="005E5EBC"/>
    <w:rsid w:val="005E5EF8"/>
    <w:rsid w:val="005E5F4B"/>
    <w:rsid w:val="005E62E6"/>
    <w:rsid w:val="005E640D"/>
    <w:rsid w:val="005E64AB"/>
    <w:rsid w:val="005E6711"/>
    <w:rsid w:val="005E67E5"/>
    <w:rsid w:val="005E6890"/>
    <w:rsid w:val="005E691B"/>
    <w:rsid w:val="005E6AC1"/>
    <w:rsid w:val="005E6BBC"/>
    <w:rsid w:val="005E6C07"/>
    <w:rsid w:val="005E6D4E"/>
    <w:rsid w:val="005E6E57"/>
    <w:rsid w:val="005E6F62"/>
    <w:rsid w:val="005E6FDD"/>
    <w:rsid w:val="005E706C"/>
    <w:rsid w:val="005E70C0"/>
    <w:rsid w:val="005E70F5"/>
    <w:rsid w:val="005E72D5"/>
    <w:rsid w:val="005E73AD"/>
    <w:rsid w:val="005E78A5"/>
    <w:rsid w:val="005E78AD"/>
    <w:rsid w:val="005E78BC"/>
    <w:rsid w:val="005E7B81"/>
    <w:rsid w:val="005E7C9E"/>
    <w:rsid w:val="005F0158"/>
    <w:rsid w:val="005F0162"/>
    <w:rsid w:val="005F0265"/>
    <w:rsid w:val="005F0272"/>
    <w:rsid w:val="005F03AE"/>
    <w:rsid w:val="005F040F"/>
    <w:rsid w:val="005F04F8"/>
    <w:rsid w:val="005F0509"/>
    <w:rsid w:val="005F05CB"/>
    <w:rsid w:val="005F065B"/>
    <w:rsid w:val="005F0966"/>
    <w:rsid w:val="005F0AAF"/>
    <w:rsid w:val="005F0CA0"/>
    <w:rsid w:val="005F0D85"/>
    <w:rsid w:val="005F0DDA"/>
    <w:rsid w:val="005F0E43"/>
    <w:rsid w:val="005F0E5E"/>
    <w:rsid w:val="005F0E7A"/>
    <w:rsid w:val="005F0F0E"/>
    <w:rsid w:val="005F1008"/>
    <w:rsid w:val="005F11C6"/>
    <w:rsid w:val="005F1260"/>
    <w:rsid w:val="005F1309"/>
    <w:rsid w:val="005F15AF"/>
    <w:rsid w:val="005F15BC"/>
    <w:rsid w:val="005F15FA"/>
    <w:rsid w:val="005F16EC"/>
    <w:rsid w:val="005F1701"/>
    <w:rsid w:val="005F1A29"/>
    <w:rsid w:val="005F1A95"/>
    <w:rsid w:val="005F1AC6"/>
    <w:rsid w:val="005F1B29"/>
    <w:rsid w:val="005F1F8D"/>
    <w:rsid w:val="005F222E"/>
    <w:rsid w:val="005F2382"/>
    <w:rsid w:val="005F23A4"/>
    <w:rsid w:val="005F2414"/>
    <w:rsid w:val="005F25F9"/>
    <w:rsid w:val="005F2894"/>
    <w:rsid w:val="005F2906"/>
    <w:rsid w:val="005F2ACF"/>
    <w:rsid w:val="005F3353"/>
    <w:rsid w:val="005F37F1"/>
    <w:rsid w:val="005F3886"/>
    <w:rsid w:val="005F39CA"/>
    <w:rsid w:val="005F3DC5"/>
    <w:rsid w:val="005F3E82"/>
    <w:rsid w:val="005F3E94"/>
    <w:rsid w:val="005F3F7F"/>
    <w:rsid w:val="005F3FC5"/>
    <w:rsid w:val="005F410B"/>
    <w:rsid w:val="005F416A"/>
    <w:rsid w:val="005F44F9"/>
    <w:rsid w:val="005F4539"/>
    <w:rsid w:val="005F45B5"/>
    <w:rsid w:val="005F462C"/>
    <w:rsid w:val="005F468A"/>
    <w:rsid w:val="005F46B4"/>
    <w:rsid w:val="005F497C"/>
    <w:rsid w:val="005F4BCE"/>
    <w:rsid w:val="005F4CBC"/>
    <w:rsid w:val="005F4CF9"/>
    <w:rsid w:val="005F4DD9"/>
    <w:rsid w:val="005F4E68"/>
    <w:rsid w:val="005F4E8E"/>
    <w:rsid w:val="005F50A9"/>
    <w:rsid w:val="005F528B"/>
    <w:rsid w:val="005F56CF"/>
    <w:rsid w:val="005F5D2B"/>
    <w:rsid w:val="005F5D88"/>
    <w:rsid w:val="005F5F06"/>
    <w:rsid w:val="005F6019"/>
    <w:rsid w:val="005F6127"/>
    <w:rsid w:val="005F612E"/>
    <w:rsid w:val="005F6162"/>
    <w:rsid w:val="005F62C2"/>
    <w:rsid w:val="005F63D9"/>
    <w:rsid w:val="005F66DA"/>
    <w:rsid w:val="005F685B"/>
    <w:rsid w:val="005F6C99"/>
    <w:rsid w:val="005F6EBB"/>
    <w:rsid w:val="005F6F67"/>
    <w:rsid w:val="005F703A"/>
    <w:rsid w:val="005F7440"/>
    <w:rsid w:val="005F746C"/>
    <w:rsid w:val="005F7632"/>
    <w:rsid w:val="005F79B2"/>
    <w:rsid w:val="005F7BDD"/>
    <w:rsid w:val="005F7C0C"/>
    <w:rsid w:val="005F7D34"/>
    <w:rsid w:val="0060002D"/>
    <w:rsid w:val="006000D2"/>
    <w:rsid w:val="00600259"/>
    <w:rsid w:val="00600455"/>
    <w:rsid w:val="006005AB"/>
    <w:rsid w:val="006005DD"/>
    <w:rsid w:val="0060080D"/>
    <w:rsid w:val="00600B0B"/>
    <w:rsid w:val="00600D60"/>
    <w:rsid w:val="00600D9B"/>
    <w:rsid w:val="00600F29"/>
    <w:rsid w:val="00600F40"/>
    <w:rsid w:val="00601070"/>
    <w:rsid w:val="0060118E"/>
    <w:rsid w:val="00601252"/>
    <w:rsid w:val="006014A4"/>
    <w:rsid w:val="006017D8"/>
    <w:rsid w:val="006017DD"/>
    <w:rsid w:val="006017FF"/>
    <w:rsid w:val="00601827"/>
    <w:rsid w:val="00601855"/>
    <w:rsid w:val="0060186E"/>
    <w:rsid w:val="006018E2"/>
    <w:rsid w:val="00601952"/>
    <w:rsid w:val="00601967"/>
    <w:rsid w:val="00601973"/>
    <w:rsid w:val="00601A67"/>
    <w:rsid w:val="00601A73"/>
    <w:rsid w:val="00601A81"/>
    <w:rsid w:val="00601B3F"/>
    <w:rsid w:val="00601F66"/>
    <w:rsid w:val="00601F8B"/>
    <w:rsid w:val="0060200C"/>
    <w:rsid w:val="006020EB"/>
    <w:rsid w:val="0060251A"/>
    <w:rsid w:val="006025D9"/>
    <w:rsid w:val="00602687"/>
    <w:rsid w:val="006026FC"/>
    <w:rsid w:val="0060309B"/>
    <w:rsid w:val="006034E0"/>
    <w:rsid w:val="00603AD3"/>
    <w:rsid w:val="00603CDE"/>
    <w:rsid w:val="00603D62"/>
    <w:rsid w:val="00603D72"/>
    <w:rsid w:val="00603D81"/>
    <w:rsid w:val="00603D85"/>
    <w:rsid w:val="00603FD4"/>
    <w:rsid w:val="00604628"/>
    <w:rsid w:val="00604686"/>
    <w:rsid w:val="006048B6"/>
    <w:rsid w:val="006048D8"/>
    <w:rsid w:val="006048EE"/>
    <w:rsid w:val="00604B4A"/>
    <w:rsid w:val="00604C6D"/>
    <w:rsid w:val="00604C6F"/>
    <w:rsid w:val="00604D8E"/>
    <w:rsid w:val="00604EA4"/>
    <w:rsid w:val="00605182"/>
    <w:rsid w:val="006051B1"/>
    <w:rsid w:val="006053A6"/>
    <w:rsid w:val="00605822"/>
    <w:rsid w:val="0060591B"/>
    <w:rsid w:val="0060598C"/>
    <w:rsid w:val="00605998"/>
    <w:rsid w:val="006059E4"/>
    <w:rsid w:val="00605BE5"/>
    <w:rsid w:val="00605E62"/>
    <w:rsid w:val="00605E77"/>
    <w:rsid w:val="00605F63"/>
    <w:rsid w:val="00605FBC"/>
    <w:rsid w:val="00606251"/>
    <w:rsid w:val="00606455"/>
    <w:rsid w:val="00606528"/>
    <w:rsid w:val="00606696"/>
    <w:rsid w:val="006066FF"/>
    <w:rsid w:val="00606787"/>
    <w:rsid w:val="00606A7E"/>
    <w:rsid w:val="00606BF1"/>
    <w:rsid w:val="00606C00"/>
    <w:rsid w:val="00606C4B"/>
    <w:rsid w:val="00606C68"/>
    <w:rsid w:val="00606D31"/>
    <w:rsid w:val="00606D71"/>
    <w:rsid w:val="00606E3C"/>
    <w:rsid w:val="006071F1"/>
    <w:rsid w:val="00607374"/>
    <w:rsid w:val="006074AD"/>
    <w:rsid w:val="00607567"/>
    <w:rsid w:val="00607775"/>
    <w:rsid w:val="006077D6"/>
    <w:rsid w:val="00607949"/>
    <w:rsid w:val="006079E9"/>
    <w:rsid w:val="006079FF"/>
    <w:rsid w:val="00610050"/>
    <w:rsid w:val="006108B6"/>
    <w:rsid w:val="006109F5"/>
    <w:rsid w:val="00610A0F"/>
    <w:rsid w:val="00610C50"/>
    <w:rsid w:val="00610CEE"/>
    <w:rsid w:val="00610D25"/>
    <w:rsid w:val="00610F0A"/>
    <w:rsid w:val="00611365"/>
    <w:rsid w:val="006114AB"/>
    <w:rsid w:val="00611651"/>
    <w:rsid w:val="006119F4"/>
    <w:rsid w:val="00611AD3"/>
    <w:rsid w:val="00611FB8"/>
    <w:rsid w:val="006123D3"/>
    <w:rsid w:val="00612483"/>
    <w:rsid w:val="00612918"/>
    <w:rsid w:val="0061291A"/>
    <w:rsid w:val="00612BDB"/>
    <w:rsid w:val="00612D4D"/>
    <w:rsid w:val="00612D73"/>
    <w:rsid w:val="00612F37"/>
    <w:rsid w:val="00612F43"/>
    <w:rsid w:val="0061328D"/>
    <w:rsid w:val="006132B0"/>
    <w:rsid w:val="00613394"/>
    <w:rsid w:val="00613495"/>
    <w:rsid w:val="00613517"/>
    <w:rsid w:val="00613624"/>
    <w:rsid w:val="00613857"/>
    <w:rsid w:val="00613905"/>
    <w:rsid w:val="006139C3"/>
    <w:rsid w:val="00613B59"/>
    <w:rsid w:val="00613CF3"/>
    <w:rsid w:val="00614277"/>
    <w:rsid w:val="0061439E"/>
    <w:rsid w:val="006143C1"/>
    <w:rsid w:val="00614505"/>
    <w:rsid w:val="00614A7C"/>
    <w:rsid w:val="00614C1A"/>
    <w:rsid w:val="00614C85"/>
    <w:rsid w:val="00614CF5"/>
    <w:rsid w:val="00614DBC"/>
    <w:rsid w:val="00614FA9"/>
    <w:rsid w:val="00615208"/>
    <w:rsid w:val="00615369"/>
    <w:rsid w:val="0061543A"/>
    <w:rsid w:val="00615527"/>
    <w:rsid w:val="00615613"/>
    <w:rsid w:val="00615623"/>
    <w:rsid w:val="006158BF"/>
    <w:rsid w:val="006159B1"/>
    <w:rsid w:val="00615A37"/>
    <w:rsid w:val="00615AC1"/>
    <w:rsid w:val="00615BF1"/>
    <w:rsid w:val="00615DB6"/>
    <w:rsid w:val="00615DBD"/>
    <w:rsid w:val="00615F3D"/>
    <w:rsid w:val="00615F6A"/>
    <w:rsid w:val="00615FFF"/>
    <w:rsid w:val="00616013"/>
    <w:rsid w:val="00616047"/>
    <w:rsid w:val="006160E1"/>
    <w:rsid w:val="0061635E"/>
    <w:rsid w:val="00616577"/>
    <w:rsid w:val="00616615"/>
    <w:rsid w:val="00616667"/>
    <w:rsid w:val="00616717"/>
    <w:rsid w:val="00616845"/>
    <w:rsid w:val="00616869"/>
    <w:rsid w:val="00616957"/>
    <w:rsid w:val="00616D3E"/>
    <w:rsid w:val="0061706B"/>
    <w:rsid w:val="00617099"/>
    <w:rsid w:val="00617172"/>
    <w:rsid w:val="00617475"/>
    <w:rsid w:val="0061771F"/>
    <w:rsid w:val="006177FF"/>
    <w:rsid w:val="00617A1B"/>
    <w:rsid w:val="00617A38"/>
    <w:rsid w:val="00617AF4"/>
    <w:rsid w:val="00617C59"/>
    <w:rsid w:val="00617C60"/>
    <w:rsid w:val="00617D50"/>
    <w:rsid w:val="00617D99"/>
    <w:rsid w:val="00617DF6"/>
    <w:rsid w:val="00617E09"/>
    <w:rsid w:val="00617E1C"/>
    <w:rsid w:val="00617F70"/>
    <w:rsid w:val="0062010D"/>
    <w:rsid w:val="0062017B"/>
    <w:rsid w:val="0062028C"/>
    <w:rsid w:val="006203E1"/>
    <w:rsid w:val="00620442"/>
    <w:rsid w:val="006204A5"/>
    <w:rsid w:val="0062066C"/>
    <w:rsid w:val="00620A54"/>
    <w:rsid w:val="00620F1D"/>
    <w:rsid w:val="00620F6F"/>
    <w:rsid w:val="00620FFF"/>
    <w:rsid w:val="00621230"/>
    <w:rsid w:val="00621444"/>
    <w:rsid w:val="00621464"/>
    <w:rsid w:val="006216CE"/>
    <w:rsid w:val="006217F6"/>
    <w:rsid w:val="00621887"/>
    <w:rsid w:val="00621A7A"/>
    <w:rsid w:val="00621AD7"/>
    <w:rsid w:val="00621AF2"/>
    <w:rsid w:val="00621AF4"/>
    <w:rsid w:val="00621BD5"/>
    <w:rsid w:val="00621C1F"/>
    <w:rsid w:val="00621CD3"/>
    <w:rsid w:val="00621D43"/>
    <w:rsid w:val="00622022"/>
    <w:rsid w:val="006220F0"/>
    <w:rsid w:val="00622293"/>
    <w:rsid w:val="0062237E"/>
    <w:rsid w:val="006225FC"/>
    <w:rsid w:val="006226C1"/>
    <w:rsid w:val="0062279B"/>
    <w:rsid w:val="006227A6"/>
    <w:rsid w:val="00622802"/>
    <w:rsid w:val="00622854"/>
    <w:rsid w:val="006228EE"/>
    <w:rsid w:val="006228FB"/>
    <w:rsid w:val="00622919"/>
    <w:rsid w:val="00622CB4"/>
    <w:rsid w:val="00622DE5"/>
    <w:rsid w:val="00622E59"/>
    <w:rsid w:val="00622E7C"/>
    <w:rsid w:val="00622EFC"/>
    <w:rsid w:val="00622FF0"/>
    <w:rsid w:val="006230C6"/>
    <w:rsid w:val="006230CD"/>
    <w:rsid w:val="0062332D"/>
    <w:rsid w:val="006233ED"/>
    <w:rsid w:val="0062370C"/>
    <w:rsid w:val="00623920"/>
    <w:rsid w:val="0062399D"/>
    <w:rsid w:val="00623A7D"/>
    <w:rsid w:val="00623D6D"/>
    <w:rsid w:val="00623DDE"/>
    <w:rsid w:val="00623EA6"/>
    <w:rsid w:val="00623EF8"/>
    <w:rsid w:val="00623F6D"/>
    <w:rsid w:val="00623FF5"/>
    <w:rsid w:val="006241DC"/>
    <w:rsid w:val="00624423"/>
    <w:rsid w:val="00624503"/>
    <w:rsid w:val="0062461B"/>
    <w:rsid w:val="00624729"/>
    <w:rsid w:val="006247DC"/>
    <w:rsid w:val="00624809"/>
    <w:rsid w:val="00624DAF"/>
    <w:rsid w:val="00624E37"/>
    <w:rsid w:val="006250A3"/>
    <w:rsid w:val="006251CB"/>
    <w:rsid w:val="00625293"/>
    <w:rsid w:val="006253A7"/>
    <w:rsid w:val="006254BC"/>
    <w:rsid w:val="006255DE"/>
    <w:rsid w:val="0062578E"/>
    <w:rsid w:val="006259BB"/>
    <w:rsid w:val="00625A43"/>
    <w:rsid w:val="00625B7D"/>
    <w:rsid w:val="00625BBE"/>
    <w:rsid w:val="00625BD3"/>
    <w:rsid w:val="00625C6C"/>
    <w:rsid w:val="00625D31"/>
    <w:rsid w:val="00625DB8"/>
    <w:rsid w:val="00625E10"/>
    <w:rsid w:val="00625E30"/>
    <w:rsid w:val="00626192"/>
    <w:rsid w:val="0062626C"/>
    <w:rsid w:val="0062647E"/>
    <w:rsid w:val="00626678"/>
    <w:rsid w:val="006266CF"/>
    <w:rsid w:val="006268D7"/>
    <w:rsid w:val="00626912"/>
    <w:rsid w:val="00626ACA"/>
    <w:rsid w:val="00626C8A"/>
    <w:rsid w:val="00626E7E"/>
    <w:rsid w:val="00626F27"/>
    <w:rsid w:val="0062713C"/>
    <w:rsid w:val="00627153"/>
    <w:rsid w:val="00627482"/>
    <w:rsid w:val="006275B3"/>
    <w:rsid w:val="0062762F"/>
    <w:rsid w:val="00627811"/>
    <w:rsid w:val="0062781E"/>
    <w:rsid w:val="00627893"/>
    <w:rsid w:val="006279DE"/>
    <w:rsid w:val="00627A1E"/>
    <w:rsid w:val="00627C01"/>
    <w:rsid w:val="00627E05"/>
    <w:rsid w:val="00627ED9"/>
    <w:rsid w:val="00630187"/>
    <w:rsid w:val="006302FF"/>
    <w:rsid w:val="00630327"/>
    <w:rsid w:val="00630442"/>
    <w:rsid w:val="006304EE"/>
    <w:rsid w:val="00630534"/>
    <w:rsid w:val="00630828"/>
    <w:rsid w:val="00630845"/>
    <w:rsid w:val="00630D99"/>
    <w:rsid w:val="00630EB1"/>
    <w:rsid w:val="00630F8B"/>
    <w:rsid w:val="00630FB3"/>
    <w:rsid w:val="006313B3"/>
    <w:rsid w:val="006313BF"/>
    <w:rsid w:val="00631444"/>
    <w:rsid w:val="006314AA"/>
    <w:rsid w:val="00631530"/>
    <w:rsid w:val="0063164C"/>
    <w:rsid w:val="006317DA"/>
    <w:rsid w:val="0063197B"/>
    <w:rsid w:val="00631A78"/>
    <w:rsid w:val="00631B56"/>
    <w:rsid w:val="00631CE0"/>
    <w:rsid w:val="00632006"/>
    <w:rsid w:val="00632159"/>
    <w:rsid w:val="00632356"/>
    <w:rsid w:val="0063284E"/>
    <w:rsid w:val="006328BD"/>
    <w:rsid w:val="00632B1B"/>
    <w:rsid w:val="00632E19"/>
    <w:rsid w:val="00632EE6"/>
    <w:rsid w:val="006331BF"/>
    <w:rsid w:val="006333D5"/>
    <w:rsid w:val="006333F4"/>
    <w:rsid w:val="00633405"/>
    <w:rsid w:val="0063345C"/>
    <w:rsid w:val="0063351C"/>
    <w:rsid w:val="00633584"/>
    <w:rsid w:val="00633ABA"/>
    <w:rsid w:val="00633B66"/>
    <w:rsid w:val="00633BB8"/>
    <w:rsid w:val="00633C53"/>
    <w:rsid w:val="00633CEE"/>
    <w:rsid w:val="00633D0E"/>
    <w:rsid w:val="00633F49"/>
    <w:rsid w:val="00634125"/>
    <w:rsid w:val="006341A1"/>
    <w:rsid w:val="006342B0"/>
    <w:rsid w:val="00634329"/>
    <w:rsid w:val="0063445A"/>
    <w:rsid w:val="00634513"/>
    <w:rsid w:val="0063453E"/>
    <w:rsid w:val="006345C6"/>
    <w:rsid w:val="00634724"/>
    <w:rsid w:val="006347D3"/>
    <w:rsid w:val="00634AC0"/>
    <w:rsid w:val="00634BBB"/>
    <w:rsid w:val="00634F0F"/>
    <w:rsid w:val="00634F42"/>
    <w:rsid w:val="00634F83"/>
    <w:rsid w:val="00634FC2"/>
    <w:rsid w:val="0063504B"/>
    <w:rsid w:val="006351CF"/>
    <w:rsid w:val="00635809"/>
    <w:rsid w:val="00635DAA"/>
    <w:rsid w:val="00635EF7"/>
    <w:rsid w:val="0063624F"/>
    <w:rsid w:val="00636361"/>
    <w:rsid w:val="006363AF"/>
    <w:rsid w:val="00636447"/>
    <w:rsid w:val="0063645E"/>
    <w:rsid w:val="00636476"/>
    <w:rsid w:val="00636555"/>
    <w:rsid w:val="006366AF"/>
    <w:rsid w:val="006366D6"/>
    <w:rsid w:val="006366E2"/>
    <w:rsid w:val="00636703"/>
    <w:rsid w:val="006367F2"/>
    <w:rsid w:val="00636805"/>
    <w:rsid w:val="006368C9"/>
    <w:rsid w:val="00636B3A"/>
    <w:rsid w:val="00636B48"/>
    <w:rsid w:val="00636D14"/>
    <w:rsid w:val="006374AC"/>
    <w:rsid w:val="006374C8"/>
    <w:rsid w:val="00637564"/>
    <w:rsid w:val="00637720"/>
    <w:rsid w:val="00637759"/>
    <w:rsid w:val="00637873"/>
    <w:rsid w:val="00637929"/>
    <w:rsid w:val="00637B07"/>
    <w:rsid w:val="00637BE7"/>
    <w:rsid w:val="00637D5D"/>
    <w:rsid w:val="00637D87"/>
    <w:rsid w:val="00637F22"/>
    <w:rsid w:val="006400FC"/>
    <w:rsid w:val="0064021E"/>
    <w:rsid w:val="00640259"/>
    <w:rsid w:val="006406C7"/>
    <w:rsid w:val="00640743"/>
    <w:rsid w:val="0064079E"/>
    <w:rsid w:val="006407B0"/>
    <w:rsid w:val="006407C4"/>
    <w:rsid w:val="006407D5"/>
    <w:rsid w:val="00640997"/>
    <w:rsid w:val="00640AB7"/>
    <w:rsid w:val="00640C6D"/>
    <w:rsid w:val="00640D39"/>
    <w:rsid w:val="0064105B"/>
    <w:rsid w:val="00641200"/>
    <w:rsid w:val="0064125A"/>
    <w:rsid w:val="006412FB"/>
    <w:rsid w:val="00641447"/>
    <w:rsid w:val="006417C0"/>
    <w:rsid w:val="006417D7"/>
    <w:rsid w:val="006418EB"/>
    <w:rsid w:val="00641CD0"/>
    <w:rsid w:val="00641D60"/>
    <w:rsid w:val="00641DAF"/>
    <w:rsid w:val="00641ED2"/>
    <w:rsid w:val="00641F38"/>
    <w:rsid w:val="00641F78"/>
    <w:rsid w:val="0064201F"/>
    <w:rsid w:val="00642202"/>
    <w:rsid w:val="006423BC"/>
    <w:rsid w:val="006425CE"/>
    <w:rsid w:val="00642678"/>
    <w:rsid w:val="00642703"/>
    <w:rsid w:val="00642724"/>
    <w:rsid w:val="006427F6"/>
    <w:rsid w:val="0064287D"/>
    <w:rsid w:val="00642AB3"/>
    <w:rsid w:val="00642BCA"/>
    <w:rsid w:val="00642F1A"/>
    <w:rsid w:val="00643256"/>
    <w:rsid w:val="006433F6"/>
    <w:rsid w:val="00643401"/>
    <w:rsid w:val="00643606"/>
    <w:rsid w:val="006436F6"/>
    <w:rsid w:val="00643ABF"/>
    <w:rsid w:val="00643B10"/>
    <w:rsid w:val="00643B12"/>
    <w:rsid w:val="00643B67"/>
    <w:rsid w:val="00643B6B"/>
    <w:rsid w:val="00643BBF"/>
    <w:rsid w:val="00643C9C"/>
    <w:rsid w:val="00643DAC"/>
    <w:rsid w:val="00643F45"/>
    <w:rsid w:val="0064403B"/>
    <w:rsid w:val="006440AB"/>
    <w:rsid w:val="006440EC"/>
    <w:rsid w:val="00644181"/>
    <w:rsid w:val="0064432F"/>
    <w:rsid w:val="006443D4"/>
    <w:rsid w:val="006443D9"/>
    <w:rsid w:val="0064469A"/>
    <w:rsid w:val="006447F8"/>
    <w:rsid w:val="00644851"/>
    <w:rsid w:val="00644860"/>
    <w:rsid w:val="0064496D"/>
    <w:rsid w:val="00644B88"/>
    <w:rsid w:val="00644BAE"/>
    <w:rsid w:val="00644BF8"/>
    <w:rsid w:val="00644C3B"/>
    <w:rsid w:val="00644F26"/>
    <w:rsid w:val="00644F8C"/>
    <w:rsid w:val="00645001"/>
    <w:rsid w:val="00645075"/>
    <w:rsid w:val="006450CF"/>
    <w:rsid w:val="0064512B"/>
    <w:rsid w:val="00645197"/>
    <w:rsid w:val="006452AC"/>
    <w:rsid w:val="006452E1"/>
    <w:rsid w:val="00645315"/>
    <w:rsid w:val="0064552A"/>
    <w:rsid w:val="0064581C"/>
    <w:rsid w:val="00645885"/>
    <w:rsid w:val="00645BA0"/>
    <w:rsid w:val="00645BBF"/>
    <w:rsid w:val="00645F1D"/>
    <w:rsid w:val="00645F5D"/>
    <w:rsid w:val="00646562"/>
    <w:rsid w:val="00646642"/>
    <w:rsid w:val="00646705"/>
    <w:rsid w:val="0064672B"/>
    <w:rsid w:val="0064673D"/>
    <w:rsid w:val="00646C6B"/>
    <w:rsid w:val="00646DAF"/>
    <w:rsid w:val="00647004"/>
    <w:rsid w:val="00647190"/>
    <w:rsid w:val="0064721F"/>
    <w:rsid w:val="00647366"/>
    <w:rsid w:val="00647A49"/>
    <w:rsid w:val="00647ABE"/>
    <w:rsid w:val="00647C1C"/>
    <w:rsid w:val="00647D37"/>
    <w:rsid w:val="00647E41"/>
    <w:rsid w:val="00647FE1"/>
    <w:rsid w:val="00647FF1"/>
    <w:rsid w:val="006500D4"/>
    <w:rsid w:val="00650481"/>
    <w:rsid w:val="006505B5"/>
    <w:rsid w:val="0065060B"/>
    <w:rsid w:val="00650652"/>
    <w:rsid w:val="00650660"/>
    <w:rsid w:val="00650686"/>
    <w:rsid w:val="006507C4"/>
    <w:rsid w:val="0065098B"/>
    <w:rsid w:val="00650C1A"/>
    <w:rsid w:val="00650D55"/>
    <w:rsid w:val="00650E81"/>
    <w:rsid w:val="00650F2D"/>
    <w:rsid w:val="00650FE1"/>
    <w:rsid w:val="0065135A"/>
    <w:rsid w:val="00651436"/>
    <w:rsid w:val="0065149B"/>
    <w:rsid w:val="006514B8"/>
    <w:rsid w:val="006514DE"/>
    <w:rsid w:val="006516B3"/>
    <w:rsid w:val="00651739"/>
    <w:rsid w:val="00651815"/>
    <w:rsid w:val="00651A4C"/>
    <w:rsid w:val="00651BE8"/>
    <w:rsid w:val="00651C22"/>
    <w:rsid w:val="00651C80"/>
    <w:rsid w:val="00651D82"/>
    <w:rsid w:val="00651E26"/>
    <w:rsid w:val="00651FCB"/>
    <w:rsid w:val="00652068"/>
    <w:rsid w:val="00652179"/>
    <w:rsid w:val="00652339"/>
    <w:rsid w:val="00652638"/>
    <w:rsid w:val="00652772"/>
    <w:rsid w:val="00652875"/>
    <w:rsid w:val="00652A8D"/>
    <w:rsid w:val="00652AC3"/>
    <w:rsid w:val="00652D79"/>
    <w:rsid w:val="00652DBB"/>
    <w:rsid w:val="00652DEA"/>
    <w:rsid w:val="00652E23"/>
    <w:rsid w:val="00652EC9"/>
    <w:rsid w:val="00652F3E"/>
    <w:rsid w:val="00653153"/>
    <w:rsid w:val="006531C7"/>
    <w:rsid w:val="0065333F"/>
    <w:rsid w:val="00653582"/>
    <w:rsid w:val="00653653"/>
    <w:rsid w:val="006536D0"/>
    <w:rsid w:val="0065376A"/>
    <w:rsid w:val="00653C36"/>
    <w:rsid w:val="00653C39"/>
    <w:rsid w:val="00653D2C"/>
    <w:rsid w:val="00653E47"/>
    <w:rsid w:val="00653EA5"/>
    <w:rsid w:val="00653F36"/>
    <w:rsid w:val="00654108"/>
    <w:rsid w:val="006544B6"/>
    <w:rsid w:val="00654656"/>
    <w:rsid w:val="00654838"/>
    <w:rsid w:val="0065485E"/>
    <w:rsid w:val="006549C8"/>
    <w:rsid w:val="00654AD1"/>
    <w:rsid w:val="00654B4C"/>
    <w:rsid w:val="00654B57"/>
    <w:rsid w:val="00654D59"/>
    <w:rsid w:val="00654DBB"/>
    <w:rsid w:val="00654E1C"/>
    <w:rsid w:val="00655149"/>
    <w:rsid w:val="0065541C"/>
    <w:rsid w:val="00655507"/>
    <w:rsid w:val="0065552C"/>
    <w:rsid w:val="00655A5A"/>
    <w:rsid w:val="0065600E"/>
    <w:rsid w:val="006561AB"/>
    <w:rsid w:val="006562C3"/>
    <w:rsid w:val="006563E6"/>
    <w:rsid w:val="006567F6"/>
    <w:rsid w:val="006568B9"/>
    <w:rsid w:val="00656B27"/>
    <w:rsid w:val="00656B3A"/>
    <w:rsid w:val="00656B89"/>
    <w:rsid w:val="00656E7F"/>
    <w:rsid w:val="006570AB"/>
    <w:rsid w:val="006570B4"/>
    <w:rsid w:val="0065710C"/>
    <w:rsid w:val="0065736E"/>
    <w:rsid w:val="006575A2"/>
    <w:rsid w:val="006575D6"/>
    <w:rsid w:val="0065760A"/>
    <w:rsid w:val="00657682"/>
    <w:rsid w:val="006576A9"/>
    <w:rsid w:val="0065775E"/>
    <w:rsid w:val="00657822"/>
    <w:rsid w:val="00657A23"/>
    <w:rsid w:val="00657B1F"/>
    <w:rsid w:val="00657B9C"/>
    <w:rsid w:val="00657E8F"/>
    <w:rsid w:val="00657ED3"/>
    <w:rsid w:val="00657FF2"/>
    <w:rsid w:val="006600C1"/>
    <w:rsid w:val="006601C3"/>
    <w:rsid w:val="0066034E"/>
    <w:rsid w:val="00660574"/>
    <w:rsid w:val="006605AE"/>
    <w:rsid w:val="006606AD"/>
    <w:rsid w:val="006606E1"/>
    <w:rsid w:val="0066072B"/>
    <w:rsid w:val="006607E5"/>
    <w:rsid w:val="00660856"/>
    <w:rsid w:val="00660942"/>
    <w:rsid w:val="00660AB8"/>
    <w:rsid w:val="00660B85"/>
    <w:rsid w:val="00660C09"/>
    <w:rsid w:val="00660C35"/>
    <w:rsid w:val="00660D58"/>
    <w:rsid w:val="00660EA2"/>
    <w:rsid w:val="006610C3"/>
    <w:rsid w:val="00661107"/>
    <w:rsid w:val="00661216"/>
    <w:rsid w:val="0066137C"/>
    <w:rsid w:val="00661424"/>
    <w:rsid w:val="00661757"/>
    <w:rsid w:val="0066187E"/>
    <w:rsid w:val="00661981"/>
    <w:rsid w:val="006619AD"/>
    <w:rsid w:val="006619B1"/>
    <w:rsid w:val="00661A0F"/>
    <w:rsid w:val="00661AEF"/>
    <w:rsid w:val="00661C1C"/>
    <w:rsid w:val="00661CE6"/>
    <w:rsid w:val="00661D1E"/>
    <w:rsid w:val="00661DC4"/>
    <w:rsid w:val="00661DEF"/>
    <w:rsid w:val="00661E50"/>
    <w:rsid w:val="00661E5A"/>
    <w:rsid w:val="00662042"/>
    <w:rsid w:val="006620D0"/>
    <w:rsid w:val="00662451"/>
    <w:rsid w:val="0066248B"/>
    <w:rsid w:val="00662C35"/>
    <w:rsid w:val="00662D69"/>
    <w:rsid w:val="00662F24"/>
    <w:rsid w:val="0066314A"/>
    <w:rsid w:val="006632C4"/>
    <w:rsid w:val="006634B6"/>
    <w:rsid w:val="0066357E"/>
    <w:rsid w:val="00663672"/>
    <w:rsid w:val="00663765"/>
    <w:rsid w:val="006638E5"/>
    <w:rsid w:val="00663918"/>
    <w:rsid w:val="00663A9B"/>
    <w:rsid w:val="00663BF5"/>
    <w:rsid w:val="00663EBB"/>
    <w:rsid w:val="00663EF2"/>
    <w:rsid w:val="00664293"/>
    <w:rsid w:val="00664344"/>
    <w:rsid w:val="006643FD"/>
    <w:rsid w:val="00664507"/>
    <w:rsid w:val="00664568"/>
    <w:rsid w:val="006645CF"/>
    <w:rsid w:val="00664BBC"/>
    <w:rsid w:val="00665163"/>
    <w:rsid w:val="00665394"/>
    <w:rsid w:val="006653FD"/>
    <w:rsid w:val="00665529"/>
    <w:rsid w:val="00665624"/>
    <w:rsid w:val="0066567E"/>
    <w:rsid w:val="006658CB"/>
    <w:rsid w:val="00665C6D"/>
    <w:rsid w:val="00665E0B"/>
    <w:rsid w:val="00666035"/>
    <w:rsid w:val="00666171"/>
    <w:rsid w:val="006661A6"/>
    <w:rsid w:val="006661DB"/>
    <w:rsid w:val="0066624E"/>
    <w:rsid w:val="006663BE"/>
    <w:rsid w:val="00666462"/>
    <w:rsid w:val="0066664D"/>
    <w:rsid w:val="00666658"/>
    <w:rsid w:val="00666686"/>
    <w:rsid w:val="006669D0"/>
    <w:rsid w:val="006669FA"/>
    <w:rsid w:val="00666A12"/>
    <w:rsid w:val="00666A65"/>
    <w:rsid w:val="00666AA8"/>
    <w:rsid w:val="00666C35"/>
    <w:rsid w:val="00666D12"/>
    <w:rsid w:val="00666D22"/>
    <w:rsid w:val="00666F85"/>
    <w:rsid w:val="00666F9A"/>
    <w:rsid w:val="00667047"/>
    <w:rsid w:val="0066707A"/>
    <w:rsid w:val="006670D4"/>
    <w:rsid w:val="006671A5"/>
    <w:rsid w:val="006672C0"/>
    <w:rsid w:val="006672E0"/>
    <w:rsid w:val="00667333"/>
    <w:rsid w:val="00667378"/>
    <w:rsid w:val="006673F8"/>
    <w:rsid w:val="006674C4"/>
    <w:rsid w:val="006674E9"/>
    <w:rsid w:val="0066753A"/>
    <w:rsid w:val="006678CB"/>
    <w:rsid w:val="00667A0D"/>
    <w:rsid w:val="00667C41"/>
    <w:rsid w:val="00667CD6"/>
    <w:rsid w:val="00667D5F"/>
    <w:rsid w:val="00667EFC"/>
    <w:rsid w:val="00670005"/>
    <w:rsid w:val="00670166"/>
    <w:rsid w:val="006701BA"/>
    <w:rsid w:val="006701E0"/>
    <w:rsid w:val="006702A9"/>
    <w:rsid w:val="0067032B"/>
    <w:rsid w:val="006703C2"/>
    <w:rsid w:val="0067052A"/>
    <w:rsid w:val="0067056D"/>
    <w:rsid w:val="0067070C"/>
    <w:rsid w:val="00670831"/>
    <w:rsid w:val="00670872"/>
    <w:rsid w:val="0067089B"/>
    <w:rsid w:val="0067093C"/>
    <w:rsid w:val="00670AB3"/>
    <w:rsid w:val="00670AD1"/>
    <w:rsid w:val="00670AE7"/>
    <w:rsid w:val="00670D4A"/>
    <w:rsid w:val="00670D8B"/>
    <w:rsid w:val="00670DB6"/>
    <w:rsid w:val="00670EF2"/>
    <w:rsid w:val="00670F3E"/>
    <w:rsid w:val="00670F77"/>
    <w:rsid w:val="006710B6"/>
    <w:rsid w:val="006712D9"/>
    <w:rsid w:val="0067137C"/>
    <w:rsid w:val="006714EC"/>
    <w:rsid w:val="0067163B"/>
    <w:rsid w:val="0067169B"/>
    <w:rsid w:val="006716EA"/>
    <w:rsid w:val="00671809"/>
    <w:rsid w:val="00671811"/>
    <w:rsid w:val="00671832"/>
    <w:rsid w:val="00671908"/>
    <w:rsid w:val="00671994"/>
    <w:rsid w:val="00671E4A"/>
    <w:rsid w:val="00671EBB"/>
    <w:rsid w:val="00671EF6"/>
    <w:rsid w:val="00671F74"/>
    <w:rsid w:val="006722A8"/>
    <w:rsid w:val="00672403"/>
    <w:rsid w:val="0067246A"/>
    <w:rsid w:val="00672531"/>
    <w:rsid w:val="006725F8"/>
    <w:rsid w:val="0067262A"/>
    <w:rsid w:val="00672753"/>
    <w:rsid w:val="006728D6"/>
    <w:rsid w:val="00672ADF"/>
    <w:rsid w:val="00672CD2"/>
    <w:rsid w:val="00672D79"/>
    <w:rsid w:val="00672EEE"/>
    <w:rsid w:val="00672FC6"/>
    <w:rsid w:val="00673199"/>
    <w:rsid w:val="006731A0"/>
    <w:rsid w:val="0067330B"/>
    <w:rsid w:val="0067370D"/>
    <w:rsid w:val="00673937"/>
    <w:rsid w:val="00673AFC"/>
    <w:rsid w:val="00673C09"/>
    <w:rsid w:val="00673EEF"/>
    <w:rsid w:val="0067433E"/>
    <w:rsid w:val="0067459A"/>
    <w:rsid w:val="006747CB"/>
    <w:rsid w:val="0067485A"/>
    <w:rsid w:val="0067486D"/>
    <w:rsid w:val="006748A5"/>
    <w:rsid w:val="0067495D"/>
    <w:rsid w:val="00674992"/>
    <w:rsid w:val="00674D04"/>
    <w:rsid w:val="00674FB9"/>
    <w:rsid w:val="00674FFE"/>
    <w:rsid w:val="006751E9"/>
    <w:rsid w:val="006753BD"/>
    <w:rsid w:val="006753BE"/>
    <w:rsid w:val="006754C2"/>
    <w:rsid w:val="006755B6"/>
    <w:rsid w:val="00675664"/>
    <w:rsid w:val="006756E6"/>
    <w:rsid w:val="00675760"/>
    <w:rsid w:val="006758F8"/>
    <w:rsid w:val="00675B78"/>
    <w:rsid w:val="00675CDA"/>
    <w:rsid w:val="00675CFF"/>
    <w:rsid w:val="00676046"/>
    <w:rsid w:val="00676052"/>
    <w:rsid w:val="006760F9"/>
    <w:rsid w:val="006760FD"/>
    <w:rsid w:val="00676212"/>
    <w:rsid w:val="00676458"/>
    <w:rsid w:val="00676793"/>
    <w:rsid w:val="006768A5"/>
    <w:rsid w:val="006769CB"/>
    <w:rsid w:val="00676A6B"/>
    <w:rsid w:val="00676AEA"/>
    <w:rsid w:val="00676EEB"/>
    <w:rsid w:val="00677171"/>
    <w:rsid w:val="006773B7"/>
    <w:rsid w:val="0067742D"/>
    <w:rsid w:val="0067773B"/>
    <w:rsid w:val="00677808"/>
    <w:rsid w:val="0067785C"/>
    <w:rsid w:val="00677A6D"/>
    <w:rsid w:val="00677A9C"/>
    <w:rsid w:val="00677B4E"/>
    <w:rsid w:val="00677E37"/>
    <w:rsid w:val="00677FF8"/>
    <w:rsid w:val="006800AE"/>
    <w:rsid w:val="006804FF"/>
    <w:rsid w:val="0068067F"/>
    <w:rsid w:val="006808C1"/>
    <w:rsid w:val="0068091D"/>
    <w:rsid w:val="00680945"/>
    <w:rsid w:val="0068096D"/>
    <w:rsid w:val="00680C9A"/>
    <w:rsid w:val="00680CA0"/>
    <w:rsid w:val="00680D66"/>
    <w:rsid w:val="00681001"/>
    <w:rsid w:val="00681028"/>
    <w:rsid w:val="00681072"/>
    <w:rsid w:val="00681099"/>
    <w:rsid w:val="006813BA"/>
    <w:rsid w:val="0068146D"/>
    <w:rsid w:val="0068149B"/>
    <w:rsid w:val="0068159B"/>
    <w:rsid w:val="00681633"/>
    <w:rsid w:val="00681716"/>
    <w:rsid w:val="00681989"/>
    <w:rsid w:val="00681BD6"/>
    <w:rsid w:val="00681CE2"/>
    <w:rsid w:val="00681D84"/>
    <w:rsid w:val="00681E44"/>
    <w:rsid w:val="00681E7D"/>
    <w:rsid w:val="00681ED5"/>
    <w:rsid w:val="00681F5F"/>
    <w:rsid w:val="0068202C"/>
    <w:rsid w:val="00682624"/>
    <w:rsid w:val="00682688"/>
    <w:rsid w:val="006826EF"/>
    <w:rsid w:val="00682788"/>
    <w:rsid w:val="00682C90"/>
    <w:rsid w:val="00682CA0"/>
    <w:rsid w:val="00682ED8"/>
    <w:rsid w:val="006830D0"/>
    <w:rsid w:val="00683105"/>
    <w:rsid w:val="0068310F"/>
    <w:rsid w:val="0068319E"/>
    <w:rsid w:val="0068329A"/>
    <w:rsid w:val="006832CC"/>
    <w:rsid w:val="0068342F"/>
    <w:rsid w:val="006834F9"/>
    <w:rsid w:val="006836AD"/>
    <w:rsid w:val="00683850"/>
    <w:rsid w:val="00683A95"/>
    <w:rsid w:val="00683BA8"/>
    <w:rsid w:val="00683EB6"/>
    <w:rsid w:val="00684186"/>
    <w:rsid w:val="00684198"/>
    <w:rsid w:val="0068437E"/>
    <w:rsid w:val="00684455"/>
    <w:rsid w:val="006845E8"/>
    <w:rsid w:val="0068461D"/>
    <w:rsid w:val="00684637"/>
    <w:rsid w:val="00684861"/>
    <w:rsid w:val="0068490F"/>
    <w:rsid w:val="0068496F"/>
    <w:rsid w:val="006849CB"/>
    <w:rsid w:val="00684E2B"/>
    <w:rsid w:val="00685093"/>
    <w:rsid w:val="00685167"/>
    <w:rsid w:val="006853A4"/>
    <w:rsid w:val="006853EB"/>
    <w:rsid w:val="006855BD"/>
    <w:rsid w:val="00685668"/>
    <w:rsid w:val="006856A3"/>
    <w:rsid w:val="006857CF"/>
    <w:rsid w:val="0068582E"/>
    <w:rsid w:val="0068592A"/>
    <w:rsid w:val="00685A0F"/>
    <w:rsid w:val="00685A5E"/>
    <w:rsid w:val="00685BEB"/>
    <w:rsid w:val="00685F8D"/>
    <w:rsid w:val="006860FB"/>
    <w:rsid w:val="00686232"/>
    <w:rsid w:val="0068643C"/>
    <w:rsid w:val="00686952"/>
    <w:rsid w:val="00686A68"/>
    <w:rsid w:val="00686C56"/>
    <w:rsid w:val="00686D06"/>
    <w:rsid w:val="00686D8B"/>
    <w:rsid w:val="00686E77"/>
    <w:rsid w:val="00686FC8"/>
    <w:rsid w:val="00687177"/>
    <w:rsid w:val="00687337"/>
    <w:rsid w:val="0068737B"/>
    <w:rsid w:val="00687425"/>
    <w:rsid w:val="006874AD"/>
    <w:rsid w:val="0068754B"/>
    <w:rsid w:val="00687679"/>
    <w:rsid w:val="00687810"/>
    <w:rsid w:val="00687923"/>
    <w:rsid w:val="00687957"/>
    <w:rsid w:val="00687C64"/>
    <w:rsid w:val="00687C78"/>
    <w:rsid w:val="00687CC0"/>
    <w:rsid w:val="00687CFA"/>
    <w:rsid w:val="00687E0F"/>
    <w:rsid w:val="00687F7F"/>
    <w:rsid w:val="00687FE9"/>
    <w:rsid w:val="006900F4"/>
    <w:rsid w:val="0069020C"/>
    <w:rsid w:val="00690215"/>
    <w:rsid w:val="0069031E"/>
    <w:rsid w:val="00690518"/>
    <w:rsid w:val="0069051C"/>
    <w:rsid w:val="0069068B"/>
    <w:rsid w:val="006906BF"/>
    <w:rsid w:val="006906ED"/>
    <w:rsid w:val="006907B0"/>
    <w:rsid w:val="006908F2"/>
    <w:rsid w:val="00690A42"/>
    <w:rsid w:val="00690D73"/>
    <w:rsid w:val="00690F2F"/>
    <w:rsid w:val="006910CC"/>
    <w:rsid w:val="006910F1"/>
    <w:rsid w:val="006911AD"/>
    <w:rsid w:val="00691346"/>
    <w:rsid w:val="006913FB"/>
    <w:rsid w:val="006915F1"/>
    <w:rsid w:val="00691A59"/>
    <w:rsid w:val="00691CC6"/>
    <w:rsid w:val="00691F36"/>
    <w:rsid w:val="00691F9C"/>
    <w:rsid w:val="006920FE"/>
    <w:rsid w:val="00692149"/>
    <w:rsid w:val="006922A0"/>
    <w:rsid w:val="00692540"/>
    <w:rsid w:val="0069263A"/>
    <w:rsid w:val="00692921"/>
    <w:rsid w:val="00692A85"/>
    <w:rsid w:val="00692AEE"/>
    <w:rsid w:val="00692B18"/>
    <w:rsid w:val="00692BB6"/>
    <w:rsid w:val="00692BC8"/>
    <w:rsid w:val="00692CD2"/>
    <w:rsid w:val="006930E8"/>
    <w:rsid w:val="006930FF"/>
    <w:rsid w:val="00693207"/>
    <w:rsid w:val="006932BA"/>
    <w:rsid w:val="00693408"/>
    <w:rsid w:val="006936D7"/>
    <w:rsid w:val="00693B04"/>
    <w:rsid w:val="00693BDC"/>
    <w:rsid w:val="00693CD2"/>
    <w:rsid w:val="00693D6C"/>
    <w:rsid w:val="00694356"/>
    <w:rsid w:val="00694369"/>
    <w:rsid w:val="006944C0"/>
    <w:rsid w:val="00694695"/>
    <w:rsid w:val="00694A90"/>
    <w:rsid w:val="00694ACE"/>
    <w:rsid w:val="00694C9A"/>
    <w:rsid w:val="00694ED7"/>
    <w:rsid w:val="00694F23"/>
    <w:rsid w:val="00695109"/>
    <w:rsid w:val="0069526E"/>
    <w:rsid w:val="00695574"/>
    <w:rsid w:val="0069557E"/>
    <w:rsid w:val="006956E1"/>
    <w:rsid w:val="00695736"/>
    <w:rsid w:val="0069590B"/>
    <w:rsid w:val="00695D51"/>
    <w:rsid w:val="00695DF1"/>
    <w:rsid w:val="00695E7E"/>
    <w:rsid w:val="00695ED4"/>
    <w:rsid w:val="00696590"/>
    <w:rsid w:val="006966AC"/>
    <w:rsid w:val="006966B4"/>
    <w:rsid w:val="00696799"/>
    <w:rsid w:val="006968D6"/>
    <w:rsid w:val="006968F6"/>
    <w:rsid w:val="00696A06"/>
    <w:rsid w:val="00696A71"/>
    <w:rsid w:val="00696BE2"/>
    <w:rsid w:val="00696D80"/>
    <w:rsid w:val="00696FC2"/>
    <w:rsid w:val="006970C4"/>
    <w:rsid w:val="00697215"/>
    <w:rsid w:val="0069750F"/>
    <w:rsid w:val="006975F7"/>
    <w:rsid w:val="00697987"/>
    <w:rsid w:val="00697D43"/>
    <w:rsid w:val="00697E3A"/>
    <w:rsid w:val="00697FBB"/>
    <w:rsid w:val="006A0139"/>
    <w:rsid w:val="006A01C9"/>
    <w:rsid w:val="006A033F"/>
    <w:rsid w:val="006A0413"/>
    <w:rsid w:val="006A0469"/>
    <w:rsid w:val="006A0487"/>
    <w:rsid w:val="006A0492"/>
    <w:rsid w:val="006A0614"/>
    <w:rsid w:val="006A0668"/>
    <w:rsid w:val="006A091D"/>
    <w:rsid w:val="006A0AE4"/>
    <w:rsid w:val="006A0BE5"/>
    <w:rsid w:val="006A0F7F"/>
    <w:rsid w:val="006A116F"/>
    <w:rsid w:val="006A175C"/>
    <w:rsid w:val="006A1839"/>
    <w:rsid w:val="006A19D2"/>
    <w:rsid w:val="006A1A05"/>
    <w:rsid w:val="006A1CEF"/>
    <w:rsid w:val="006A1DB5"/>
    <w:rsid w:val="006A1DFA"/>
    <w:rsid w:val="006A1E4B"/>
    <w:rsid w:val="006A2163"/>
    <w:rsid w:val="006A2178"/>
    <w:rsid w:val="006A2449"/>
    <w:rsid w:val="006A24FA"/>
    <w:rsid w:val="006A2534"/>
    <w:rsid w:val="006A25D7"/>
    <w:rsid w:val="006A2604"/>
    <w:rsid w:val="006A279F"/>
    <w:rsid w:val="006A2860"/>
    <w:rsid w:val="006A2905"/>
    <w:rsid w:val="006A2965"/>
    <w:rsid w:val="006A298D"/>
    <w:rsid w:val="006A2995"/>
    <w:rsid w:val="006A2DE3"/>
    <w:rsid w:val="006A3005"/>
    <w:rsid w:val="006A30F3"/>
    <w:rsid w:val="006A324A"/>
    <w:rsid w:val="006A357B"/>
    <w:rsid w:val="006A3A06"/>
    <w:rsid w:val="006A3B72"/>
    <w:rsid w:val="006A3D07"/>
    <w:rsid w:val="006A4268"/>
    <w:rsid w:val="006A4367"/>
    <w:rsid w:val="006A43D4"/>
    <w:rsid w:val="006A43E3"/>
    <w:rsid w:val="006A461D"/>
    <w:rsid w:val="006A476B"/>
    <w:rsid w:val="006A4BAD"/>
    <w:rsid w:val="006A4BE1"/>
    <w:rsid w:val="006A4C89"/>
    <w:rsid w:val="006A4CC6"/>
    <w:rsid w:val="006A4F8F"/>
    <w:rsid w:val="006A4FEC"/>
    <w:rsid w:val="006A507A"/>
    <w:rsid w:val="006A516A"/>
    <w:rsid w:val="006A5182"/>
    <w:rsid w:val="006A52C8"/>
    <w:rsid w:val="006A56F9"/>
    <w:rsid w:val="006A573F"/>
    <w:rsid w:val="006A580E"/>
    <w:rsid w:val="006A581D"/>
    <w:rsid w:val="006A59EF"/>
    <w:rsid w:val="006A5B90"/>
    <w:rsid w:val="006A5BA4"/>
    <w:rsid w:val="006A5E6B"/>
    <w:rsid w:val="006A5F66"/>
    <w:rsid w:val="006A6380"/>
    <w:rsid w:val="006A6652"/>
    <w:rsid w:val="006A67AC"/>
    <w:rsid w:val="006A6AF4"/>
    <w:rsid w:val="006A6CC4"/>
    <w:rsid w:val="006A6D89"/>
    <w:rsid w:val="006A6DD8"/>
    <w:rsid w:val="006A6F58"/>
    <w:rsid w:val="006A7107"/>
    <w:rsid w:val="006A715E"/>
    <w:rsid w:val="006A71CF"/>
    <w:rsid w:val="006A728F"/>
    <w:rsid w:val="006A7310"/>
    <w:rsid w:val="006A733B"/>
    <w:rsid w:val="006A74F1"/>
    <w:rsid w:val="006A754F"/>
    <w:rsid w:val="006A76DD"/>
    <w:rsid w:val="006A7A0A"/>
    <w:rsid w:val="006A7B2D"/>
    <w:rsid w:val="006A7BCB"/>
    <w:rsid w:val="006A7D2E"/>
    <w:rsid w:val="006A7EA9"/>
    <w:rsid w:val="006A7F59"/>
    <w:rsid w:val="006B009E"/>
    <w:rsid w:val="006B00DA"/>
    <w:rsid w:val="006B0381"/>
    <w:rsid w:val="006B03AD"/>
    <w:rsid w:val="006B04BE"/>
    <w:rsid w:val="006B0572"/>
    <w:rsid w:val="006B05A5"/>
    <w:rsid w:val="006B0942"/>
    <w:rsid w:val="006B0970"/>
    <w:rsid w:val="006B097E"/>
    <w:rsid w:val="006B0AD4"/>
    <w:rsid w:val="006B0C89"/>
    <w:rsid w:val="006B0CC3"/>
    <w:rsid w:val="006B0DD9"/>
    <w:rsid w:val="006B100F"/>
    <w:rsid w:val="006B1195"/>
    <w:rsid w:val="006B131A"/>
    <w:rsid w:val="006B1343"/>
    <w:rsid w:val="006B13C1"/>
    <w:rsid w:val="006B1550"/>
    <w:rsid w:val="006B1716"/>
    <w:rsid w:val="006B17DF"/>
    <w:rsid w:val="006B1892"/>
    <w:rsid w:val="006B1B7D"/>
    <w:rsid w:val="006B1B86"/>
    <w:rsid w:val="006B1BF1"/>
    <w:rsid w:val="006B1E86"/>
    <w:rsid w:val="006B1FD7"/>
    <w:rsid w:val="006B2052"/>
    <w:rsid w:val="006B2511"/>
    <w:rsid w:val="006B2528"/>
    <w:rsid w:val="006B2681"/>
    <w:rsid w:val="006B2A7E"/>
    <w:rsid w:val="006B2A81"/>
    <w:rsid w:val="006B2BD5"/>
    <w:rsid w:val="006B2C0F"/>
    <w:rsid w:val="006B2D87"/>
    <w:rsid w:val="006B3063"/>
    <w:rsid w:val="006B31BF"/>
    <w:rsid w:val="006B32AF"/>
    <w:rsid w:val="006B356D"/>
    <w:rsid w:val="006B3608"/>
    <w:rsid w:val="006B36F1"/>
    <w:rsid w:val="006B386B"/>
    <w:rsid w:val="006B3959"/>
    <w:rsid w:val="006B39E3"/>
    <w:rsid w:val="006B3B8A"/>
    <w:rsid w:val="006B3C02"/>
    <w:rsid w:val="006B3D20"/>
    <w:rsid w:val="006B3D91"/>
    <w:rsid w:val="006B3E30"/>
    <w:rsid w:val="006B4054"/>
    <w:rsid w:val="006B40F2"/>
    <w:rsid w:val="006B4351"/>
    <w:rsid w:val="006B43A4"/>
    <w:rsid w:val="006B4571"/>
    <w:rsid w:val="006B4632"/>
    <w:rsid w:val="006B4769"/>
    <w:rsid w:val="006B47B9"/>
    <w:rsid w:val="006B4815"/>
    <w:rsid w:val="006B48B4"/>
    <w:rsid w:val="006B4928"/>
    <w:rsid w:val="006B497B"/>
    <w:rsid w:val="006B49E8"/>
    <w:rsid w:val="006B4A7F"/>
    <w:rsid w:val="006B4B12"/>
    <w:rsid w:val="006B4B24"/>
    <w:rsid w:val="006B4C9C"/>
    <w:rsid w:val="006B4D04"/>
    <w:rsid w:val="006B4D54"/>
    <w:rsid w:val="006B511A"/>
    <w:rsid w:val="006B51A8"/>
    <w:rsid w:val="006B52D9"/>
    <w:rsid w:val="006B544C"/>
    <w:rsid w:val="006B5563"/>
    <w:rsid w:val="006B55E9"/>
    <w:rsid w:val="006B5748"/>
    <w:rsid w:val="006B57D0"/>
    <w:rsid w:val="006B58F7"/>
    <w:rsid w:val="006B5A4C"/>
    <w:rsid w:val="006B5B68"/>
    <w:rsid w:val="006B5DCE"/>
    <w:rsid w:val="006B6024"/>
    <w:rsid w:val="006B6076"/>
    <w:rsid w:val="006B609C"/>
    <w:rsid w:val="006B632A"/>
    <w:rsid w:val="006B636A"/>
    <w:rsid w:val="006B63E2"/>
    <w:rsid w:val="006B64D2"/>
    <w:rsid w:val="006B65B7"/>
    <w:rsid w:val="006B6897"/>
    <w:rsid w:val="006B6AB0"/>
    <w:rsid w:val="006B6CCC"/>
    <w:rsid w:val="006B6CE1"/>
    <w:rsid w:val="006B6CF5"/>
    <w:rsid w:val="006B6D8D"/>
    <w:rsid w:val="006B700E"/>
    <w:rsid w:val="006B722B"/>
    <w:rsid w:val="006B7484"/>
    <w:rsid w:val="006B7AB9"/>
    <w:rsid w:val="006B7DC6"/>
    <w:rsid w:val="006B7DF2"/>
    <w:rsid w:val="006B7FB2"/>
    <w:rsid w:val="006C03A5"/>
    <w:rsid w:val="006C088F"/>
    <w:rsid w:val="006C0971"/>
    <w:rsid w:val="006C0A65"/>
    <w:rsid w:val="006C0A9C"/>
    <w:rsid w:val="006C0C43"/>
    <w:rsid w:val="006C0E45"/>
    <w:rsid w:val="006C0E56"/>
    <w:rsid w:val="006C0EF8"/>
    <w:rsid w:val="006C130C"/>
    <w:rsid w:val="006C14B2"/>
    <w:rsid w:val="006C1505"/>
    <w:rsid w:val="006C1790"/>
    <w:rsid w:val="006C1D03"/>
    <w:rsid w:val="006C1D46"/>
    <w:rsid w:val="006C1D5A"/>
    <w:rsid w:val="006C1DE8"/>
    <w:rsid w:val="006C2011"/>
    <w:rsid w:val="006C2130"/>
    <w:rsid w:val="006C2180"/>
    <w:rsid w:val="006C228A"/>
    <w:rsid w:val="006C28D6"/>
    <w:rsid w:val="006C2978"/>
    <w:rsid w:val="006C2ACA"/>
    <w:rsid w:val="006C2ADE"/>
    <w:rsid w:val="006C303D"/>
    <w:rsid w:val="006C3219"/>
    <w:rsid w:val="006C3236"/>
    <w:rsid w:val="006C3359"/>
    <w:rsid w:val="006C3444"/>
    <w:rsid w:val="006C3567"/>
    <w:rsid w:val="006C37D6"/>
    <w:rsid w:val="006C38BD"/>
    <w:rsid w:val="006C38EB"/>
    <w:rsid w:val="006C3908"/>
    <w:rsid w:val="006C3BA1"/>
    <w:rsid w:val="006C438C"/>
    <w:rsid w:val="006C4459"/>
    <w:rsid w:val="006C44C3"/>
    <w:rsid w:val="006C4682"/>
    <w:rsid w:val="006C480B"/>
    <w:rsid w:val="006C486E"/>
    <w:rsid w:val="006C49B2"/>
    <w:rsid w:val="006C49B9"/>
    <w:rsid w:val="006C4BB7"/>
    <w:rsid w:val="006C4C09"/>
    <w:rsid w:val="006C4D6A"/>
    <w:rsid w:val="006C51A3"/>
    <w:rsid w:val="006C52DE"/>
    <w:rsid w:val="006C5316"/>
    <w:rsid w:val="006C59C5"/>
    <w:rsid w:val="006C5B21"/>
    <w:rsid w:val="006C5C96"/>
    <w:rsid w:val="006C5D3B"/>
    <w:rsid w:val="006C5E87"/>
    <w:rsid w:val="006C5E9D"/>
    <w:rsid w:val="006C5EB2"/>
    <w:rsid w:val="006C5EFB"/>
    <w:rsid w:val="006C5F61"/>
    <w:rsid w:val="006C5F75"/>
    <w:rsid w:val="006C6169"/>
    <w:rsid w:val="006C61B9"/>
    <w:rsid w:val="006C6388"/>
    <w:rsid w:val="006C63B1"/>
    <w:rsid w:val="006C646F"/>
    <w:rsid w:val="006C64A2"/>
    <w:rsid w:val="006C6560"/>
    <w:rsid w:val="006C65AE"/>
    <w:rsid w:val="006C667B"/>
    <w:rsid w:val="006C67BB"/>
    <w:rsid w:val="006C68C2"/>
    <w:rsid w:val="006C6B7F"/>
    <w:rsid w:val="006C6CAF"/>
    <w:rsid w:val="006C6D79"/>
    <w:rsid w:val="006C7009"/>
    <w:rsid w:val="006C7094"/>
    <w:rsid w:val="006C7153"/>
    <w:rsid w:val="006C722E"/>
    <w:rsid w:val="006C74A8"/>
    <w:rsid w:val="006C74D0"/>
    <w:rsid w:val="006C7994"/>
    <w:rsid w:val="006C7B3F"/>
    <w:rsid w:val="006D0163"/>
    <w:rsid w:val="006D0584"/>
    <w:rsid w:val="006D08D3"/>
    <w:rsid w:val="006D0AAA"/>
    <w:rsid w:val="006D0B6F"/>
    <w:rsid w:val="006D0C61"/>
    <w:rsid w:val="006D0C80"/>
    <w:rsid w:val="006D0CCC"/>
    <w:rsid w:val="006D0CF7"/>
    <w:rsid w:val="006D0D17"/>
    <w:rsid w:val="006D0D9B"/>
    <w:rsid w:val="006D0E12"/>
    <w:rsid w:val="006D1341"/>
    <w:rsid w:val="006D156A"/>
    <w:rsid w:val="006D15CC"/>
    <w:rsid w:val="006D15CD"/>
    <w:rsid w:val="006D17B5"/>
    <w:rsid w:val="006D19EA"/>
    <w:rsid w:val="006D19FD"/>
    <w:rsid w:val="006D1AD5"/>
    <w:rsid w:val="006D1B5D"/>
    <w:rsid w:val="006D1BA0"/>
    <w:rsid w:val="006D1D64"/>
    <w:rsid w:val="006D1DB6"/>
    <w:rsid w:val="006D20B4"/>
    <w:rsid w:val="006D24AF"/>
    <w:rsid w:val="006D257C"/>
    <w:rsid w:val="006D2613"/>
    <w:rsid w:val="006D261E"/>
    <w:rsid w:val="006D27A6"/>
    <w:rsid w:val="006D2B06"/>
    <w:rsid w:val="006D2B81"/>
    <w:rsid w:val="006D2CB0"/>
    <w:rsid w:val="006D2D62"/>
    <w:rsid w:val="006D2D84"/>
    <w:rsid w:val="006D2E6C"/>
    <w:rsid w:val="006D2F6D"/>
    <w:rsid w:val="006D30CB"/>
    <w:rsid w:val="006D31E1"/>
    <w:rsid w:val="006D337F"/>
    <w:rsid w:val="006D34B3"/>
    <w:rsid w:val="006D34B5"/>
    <w:rsid w:val="006D352D"/>
    <w:rsid w:val="006D35B2"/>
    <w:rsid w:val="006D36A1"/>
    <w:rsid w:val="006D36F3"/>
    <w:rsid w:val="006D37D7"/>
    <w:rsid w:val="006D3862"/>
    <w:rsid w:val="006D3923"/>
    <w:rsid w:val="006D3C6A"/>
    <w:rsid w:val="006D3D69"/>
    <w:rsid w:val="006D3D72"/>
    <w:rsid w:val="006D40C4"/>
    <w:rsid w:val="006D442B"/>
    <w:rsid w:val="006D44D6"/>
    <w:rsid w:val="006D4601"/>
    <w:rsid w:val="006D472E"/>
    <w:rsid w:val="006D473B"/>
    <w:rsid w:val="006D4876"/>
    <w:rsid w:val="006D49F8"/>
    <w:rsid w:val="006D4ACE"/>
    <w:rsid w:val="006D4D89"/>
    <w:rsid w:val="006D4DD2"/>
    <w:rsid w:val="006D500C"/>
    <w:rsid w:val="006D5029"/>
    <w:rsid w:val="006D5268"/>
    <w:rsid w:val="006D549E"/>
    <w:rsid w:val="006D54DF"/>
    <w:rsid w:val="006D5733"/>
    <w:rsid w:val="006D582A"/>
    <w:rsid w:val="006D5D01"/>
    <w:rsid w:val="006D671D"/>
    <w:rsid w:val="006D693D"/>
    <w:rsid w:val="006D6A90"/>
    <w:rsid w:val="006D6C08"/>
    <w:rsid w:val="006D6D5C"/>
    <w:rsid w:val="006D6DE0"/>
    <w:rsid w:val="006D7022"/>
    <w:rsid w:val="006D70C1"/>
    <w:rsid w:val="006D71AF"/>
    <w:rsid w:val="006D76A1"/>
    <w:rsid w:val="006D76E1"/>
    <w:rsid w:val="006D777B"/>
    <w:rsid w:val="006D7787"/>
    <w:rsid w:val="006D77BC"/>
    <w:rsid w:val="006D7880"/>
    <w:rsid w:val="006D7ACE"/>
    <w:rsid w:val="006D7CFD"/>
    <w:rsid w:val="006D7DE9"/>
    <w:rsid w:val="006D7F8C"/>
    <w:rsid w:val="006E0202"/>
    <w:rsid w:val="006E0699"/>
    <w:rsid w:val="006E07C7"/>
    <w:rsid w:val="006E08A1"/>
    <w:rsid w:val="006E08C5"/>
    <w:rsid w:val="006E08CE"/>
    <w:rsid w:val="006E0935"/>
    <w:rsid w:val="006E0B54"/>
    <w:rsid w:val="006E0C9F"/>
    <w:rsid w:val="006E0CF0"/>
    <w:rsid w:val="006E0DA6"/>
    <w:rsid w:val="006E0FEE"/>
    <w:rsid w:val="006E0FFD"/>
    <w:rsid w:val="006E10DA"/>
    <w:rsid w:val="006E11CD"/>
    <w:rsid w:val="006E136F"/>
    <w:rsid w:val="006E13C9"/>
    <w:rsid w:val="006E13E2"/>
    <w:rsid w:val="006E144A"/>
    <w:rsid w:val="006E15A4"/>
    <w:rsid w:val="006E172E"/>
    <w:rsid w:val="006E1733"/>
    <w:rsid w:val="006E17F8"/>
    <w:rsid w:val="006E198D"/>
    <w:rsid w:val="006E1A79"/>
    <w:rsid w:val="006E1C54"/>
    <w:rsid w:val="006E1DC7"/>
    <w:rsid w:val="006E1FE3"/>
    <w:rsid w:val="006E201B"/>
    <w:rsid w:val="006E214F"/>
    <w:rsid w:val="006E2276"/>
    <w:rsid w:val="006E233D"/>
    <w:rsid w:val="006E235E"/>
    <w:rsid w:val="006E26AF"/>
    <w:rsid w:val="006E27F3"/>
    <w:rsid w:val="006E293D"/>
    <w:rsid w:val="006E29CB"/>
    <w:rsid w:val="006E29D3"/>
    <w:rsid w:val="006E2A98"/>
    <w:rsid w:val="006E2CF8"/>
    <w:rsid w:val="006E2D97"/>
    <w:rsid w:val="006E2DCD"/>
    <w:rsid w:val="006E3140"/>
    <w:rsid w:val="006E3294"/>
    <w:rsid w:val="006E34F8"/>
    <w:rsid w:val="006E35F5"/>
    <w:rsid w:val="006E3AFA"/>
    <w:rsid w:val="006E3D43"/>
    <w:rsid w:val="006E3E26"/>
    <w:rsid w:val="006E3EC2"/>
    <w:rsid w:val="006E3ECE"/>
    <w:rsid w:val="006E401F"/>
    <w:rsid w:val="006E40D3"/>
    <w:rsid w:val="006E424C"/>
    <w:rsid w:val="006E4663"/>
    <w:rsid w:val="006E482B"/>
    <w:rsid w:val="006E492C"/>
    <w:rsid w:val="006E4A4F"/>
    <w:rsid w:val="006E4A64"/>
    <w:rsid w:val="006E4E6D"/>
    <w:rsid w:val="006E4EFB"/>
    <w:rsid w:val="006E4FDA"/>
    <w:rsid w:val="006E4FF6"/>
    <w:rsid w:val="006E5088"/>
    <w:rsid w:val="006E50CD"/>
    <w:rsid w:val="006E5146"/>
    <w:rsid w:val="006E5216"/>
    <w:rsid w:val="006E5455"/>
    <w:rsid w:val="006E545B"/>
    <w:rsid w:val="006E5490"/>
    <w:rsid w:val="006E5621"/>
    <w:rsid w:val="006E5690"/>
    <w:rsid w:val="006E5984"/>
    <w:rsid w:val="006E5A26"/>
    <w:rsid w:val="006E5AB7"/>
    <w:rsid w:val="006E5B55"/>
    <w:rsid w:val="006E5EC3"/>
    <w:rsid w:val="006E5F11"/>
    <w:rsid w:val="006E6005"/>
    <w:rsid w:val="006E6018"/>
    <w:rsid w:val="006E6025"/>
    <w:rsid w:val="006E6475"/>
    <w:rsid w:val="006E67C9"/>
    <w:rsid w:val="006E69FF"/>
    <w:rsid w:val="006E6B37"/>
    <w:rsid w:val="006E6BAC"/>
    <w:rsid w:val="006E6CBC"/>
    <w:rsid w:val="006E6DE6"/>
    <w:rsid w:val="006E6F57"/>
    <w:rsid w:val="006E7193"/>
    <w:rsid w:val="006E7384"/>
    <w:rsid w:val="006E73B9"/>
    <w:rsid w:val="006E73F7"/>
    <w:rsid w:val="006E741A"/>
    <w:rsid w:val="006E74DF"/>
    <w:rsid w:val="006E7672"/>
    <w:rsid w:val="006E7C2C"/>
    <w:rsid w:val="006E7CEB"/>
    <w:rsid w:val="006E7F9A"/>
    <w:rsid w:val="006E7FE5"/>
    <w:rsid w:val="006F0033"/>
    <w:rsid w:val="006F023B"/>
    <w:rsid w:val="006F0371"/>
    <w:rsid w:val="006F03E2"/>
    <w:rsid w:val="006F0468"/>
    <w:rsid w:val="006F0A4F"/>
    <w:rsid w:val="006F0A84"/>
    <w:rsid w:val="006F0AE5"/>
    <w:rsid w:val="006F0C64"/>
    <w:rsid w:val="006F0DC0"/>
    <w:rsid w:val="006F0FC2"/>
    <w:rsid w:val="006F1096"/>
    <w:rsid w:val="006F10AB"/>
    <w:rsid w:val="006F10F2"/>
    <w:rsid w:val="006F1220"/>
    <w:rsid w:val="006F1320"/>
    <w:rsid w:val="006F159B"/>
    <w:rsid w:val="006F15F8"/>
    <w:rsid w:val="006F1646"/>
    <w:rsid w:val="006F17AC"/>
    <w:rsid w:val="006F180F"/>
    <w:rsid w:val="006F1CF0"/>
    <w:rsid w:val="006F1D4C"/>
    <w:rsid w:val="006F2224"/>
    <w:rsid w:val="006F24C9"/>
    <w:rsid w:val="006F269A"/>
    <w:rsid w:val="006F28AF"/>
    <w:rsid w:val="006F28F8"/>
    <w:rsid w:val="006F2906"/>
    <w:rsid w:val="006F2955"/>
    <w:rsid w:val="006F2985"/>
    <w:rsid w:val="006F2A0B"/>
    <w:rsid w:val="006F2BE1"/>
    <w:rsid w:val="006F2C47"/>
    <w:rsid w:val="006F2CB9"/>
    <w:rsid w:val="006F2D70"/>
    <w:rsid w:val="006F2DC6"/>
    <w:rsid w:val="006F2F1F"/>
    <w:rsid w:val="006F2F78"/>
    <w:rsid w:val="006F3021"/>
    <w:rsid w:val="006F31ED"/>
    <w:rsid w:val="006F320D"/>
    <w:rsid w:val="006F3293"/>
    <w:rsid w:val="006F3297"/>
    <w:rsid w:val="006F3307"/>
    <w:rsid w:val="006F356E"/>
    <w:rsid w:val="006F39CD"/>
    <w:rsid w:val="006F39FB"/>
    <w:rsid w:val="006F3ACD"/>
    <w:rsid w:val="006F3AEF"/>
    <w:rsid w:val="006F3B36"/>
    <w:rsid w:val="006F3CEB"/>
    <w:rsid w:val="006F3E42"/>
    <w:rsid w:val="006F3F85"/>
    <w:rsid w:val="006F43C5"/>
    <w:rsid w:val="006F466E"/>
    <w:rsid w:val="006F48D6"/>
    <w:rsid w:val="006F494B"/>
    <w:rsid w:val="006F4B2B"/>
    <w:rsid w:val="006F4C31"/>
    <w:rsid w:val="006F4C56"/>
    <w:rsid w:val="006F4D63"/>
    <w:rsid w:val="006F4DD9"/>
    <w:rsid w:val="006F4DFD"/>
    <w:rsid w:val="006F505C"/>
    <w:rsid w:val="006F52F1"/>
    <w:rsid w:val="006F5352"/>
    <w:rsid w:val="006F5665"/>
    <w:rsid w:val="006F5C89"/>
    <w:rsid w:val="006F5CEF"/>
    <w:rsid w:val="006F5E7D"/>
    <w:rsid w:val="006F5FE3"/>
    <w:rsid w:val="006F600E"/>
    <w:rsid w:val="006F6133"/>
    <w:rsid w:val="006F6156"/>
    <w:rsid w:val="006F6171"/>
    <w:rsid w:val="006F61C4"/>
    <w:rsid w:val="006F6325"/>
    <w:rsid w:val="006F6478"/>
    <w:rsid w:val="006F67C7"/>
    <w:rsid w:val="006F6B0E"/>
    <w:rsid w:val="006F6C52"/>
    <w:rsid w:val="006F6CA0"/>
    <w:rsid w:val="006F6D72"/>
    <w:rsid w:val="006F6E5F"/>
    <w:rsid w:val="006F7063"/>
    <w:rsid w:val="006F70EA"/>
    <w:rsid w:val="006F72D6"/>
    <w:rsid w:val="006F74A4"/>
    <w:rsid w:val="006F75CE"/>
    <w:rsid w:val="006F76E0"/>
    <w:rsid w:val="006F772D"/>
    <w:rsid w:val="006F7927"/>
    <w:rsid w:val="006F7B75"/>
    <w:rsid w:val="007000D1"/>
    <w:rsid w:val="0070013F"/>
    <w:rsid w:val="007002EA"/>
    <w:rsid w:val="00700363"/>
    <w:rsid w:val="007004DA"/>
    <w:rsid w:val="00700516"/>
    <w:rsid w:val="0070069D"/>
    <w:rsid w:val="00700E10"/>
    <w:rsid w:val="00701326"/>
    <w:rsid w:val="00701560"/>
    <w:rsid w:val="00701602"/>
    <w:rsid w:val="0070160A"/>
    <w:rsid w:val="007016A6"/>
    <w:rsid w:val="00701995"/>
    <w:rsid w:val="00701AA9"/>
    <w:rsid w:val="00701B42"/>
    <w:rsid w:val="00701C57"/>
    <w:rsid w:val="00701DA4"/>
    <w:rsid w:val="00701F21"/>
    <w:rsid w:val="007021ED"/>
    <w:rsid w:val="00702310"/>
    <w:rsid w:val="007026AA"/>
    <w:rsid w:val="00702742"/>
    <w:rsid w:val="007027BA"/>
    <w:rsid w:val="00702969"/>
    <w:rsid w:val="007029B6"/>
    <w:rsid w:val="00702C9C"/>
    <w:rsid w:val="0070312C"/>
    <w:rsid w:val="007032DE"/>
    <w:rsid w:val="007037B4"/>
    <w:rsid w:val="007037B7"/>
    <w:rsid w:val="00703871"/>
    <w:rsid w:val="00703998"/>
    <w:rsid w:val="00703AF3"/>
    <w:rsid w:val="00703AF4"/>
    <w:rsid w:val="00703B87"/>
    <w:rsid w:val="00703CCB"/>
    <w:rsid w:val="00703DCB"/>
    <w:rsid w:val="00703F22"/>
    <w:rsid w:val="0070406A"/>
    <w:rsid w:val="007042AD"/>
    <w:rsid w:val="0070441D"/>
    <w:rsid w:val="0070455E"/>
    <w:rsid w:val="007045A1"/>
    <w:rsid w:val="007045AD"/>
    <w:rsid w:val="007045CA"/>
    <w:rsid w:val="007046C8"/>
    <w:rsid w:val="00704758"/>
    <w:rsid w:val="00704780"/>
    <w:rsid w:val="00704BA4"/>
    <w:rsid w:val="00704BFC"/>
    <w:rsid w:val="00704C99"/>
    <w:rsid w:val="00704E6B"/>
    <w:rsid w:val="00705072"/>
    <w:rsid w:val="00705237"/>
    <w:rsid w:val="00705254"/>
    <w:rsid w:val="0070545E"/>
    <w:rsid w:val="0070554B"/>
    <w:rsid w:val="007055BB"/>
    <w:rsid w:val="00705703"/>
    <w:rsid w:val="007057FA"/>
    <w:rsid w:val="00705907"/>
    <w:rsid w:val="0070592C"/>
    <w:rsid w:val="00705998"/>
    <w:rsid w:val="007059DF"/>
    <w:rsid w:val="007059E3"/>
    <w:rsid w:val="00705B5B"/>
    <w:rsid w:val="00705C5D"/>
    <w:rsid w:val="00705F0C"/>
    <w:rsid w:val="00705FAD"/>
    <w:rsid w:val="0070608F"/>
    <w:rsid w:val="00706256"/>
    <w:rsid w:val="007063BC"/>
    <w:rsid w:val="007064A5"/>
    <w:rsid w:val="00706517"/>
    <w:rsid w:val="0070678D"/>
    <w:rsid w:val="0070698F"/>
    <w:rsid w:val="007069EF"/>
    <w:rsid w:val="00706A99"/>
    <w:rsid w:val="00706AF9"/>
    <w:rsid w:val="00706B06"/>
    <w:rsid w:val="00706FF4"/>
    <w:rsid w:val="00707171"/>
    <w:rsid w:val="007071B2"/>
    <w:rsid w:val="007071C0"/>
    <w:rsid w:val="00707260"/>
    <w:rsid w:val="0070739F"/>
    <w:rsid w:val="007073DB"/>
    <w:rsid w:val="0070743C"/>
    <w:rsid w:val="007075C7"/>
    <w:rsid w:val="007078C5"/>
    <w:rsid w:val="00707AD3"/>
    <w:rsid w:val="00707C62"/>
    <w:rsid w:val="00707E37"/>
    <w:rsid w:val="0071009E"/>
    <w:rsid w:val="00710453"/>
    <w:rsid w:val="0071057A"/>
    <w:rsid w:val="00710667"/>
    <w:rsid w:val="00710920"/>
    <w:rsid w:val="00710B6C"/>
    <w:rsid w:val="00710F36"/>
    <w:rsid w:val="007111AA"/>
    <w:rsid w:val="0071136A"/>
    <w:rsid w:val="00711392"/>
    <w:rsid w:val="007113D4"/>
    <w:rsid w:val="00711637"/>
    <w:rsid w:val="007117C7"/>
    <w:rsid w:val="0071198F"/>
    <w:rsid w:val="00711996"/>
    <w:rsid w:val="00711D74"/>
    <w:rsid w:val="00711EE7"/>
    <w:rsid w:val="00711FA6"/>
    <w:rsid w:val="007122FC"/>
    <w:rsid w:val="00712361"/>
    <w:rsid w:val="0071239A"/>
    <w:rsid w:val="007125DF"/>
    <w:rsid w:val="007126D4"/>
    <w:rsid w:val="00712777"/>
    <w:rsid w:val="00712806"/>
    <w:rsid w:val="007128F4"/>
    <w:rsid w:val="007129FC"/>
    <w:rsid w:val="00712AD7"/>
    <w:rsid w:val="00712B3D"/>
    <w:rsid w:val="00712B6F"/>
    <w:rsid w:val="00712BBF"/>
    <w:rsid w:val="00712BF1"/>
    <w:rsid w:val="00712EB5"/>
    <w:rsid w:val="00712F4F"/>
    <w:rsid w:val="00712F8E"/>
    <w:rsid w:val="007130EE"/>
    <w:rsid w:val="0071320C"/>
    <w:rsid w:val="0071346F"/>
    <w:rsid w:val="0071348B"/>
    <w:rsid w:val="00713669"/>
    <w:rsid w:val="007136CA"/>
    <w:rsid w:val="0071398C"/>
    <w:rsid w:val="00713A86"/>
    <w:rsid w:val="00713BA7"/>
    <w:rsid w:val="00713BE0"/>
    <w:rsid w:val="00713D84"/>
    <w:rsid w:val="00713D86"/>
    <w:rsid w:val="00713F65"/>
    <w:rsid w:val="00713FFD"/>
    <w:rsid w:val="00714053"/>
    <w:rsid w:val="007140E0"/>
    <w:rsid w:val="00714625"/>
    <w:rsid w:val="0071464A"/>
    <w:rsid w:val="00714734"/>
    <w:rsid w:val="007147A7"/>
    <w:rsid w:val="007147B1"/>
    <w:rsid w:val="007148E9"/>
    <w:rsid w:val="00714E00"/>
    <w:rsid w:val="00714E13"/>
    <w:rsid w:val="00714FBF"/>
    <w:rsid w:val="00715067"/>
    <w:rsid w:val="007150CC"/>
    <w:rsid w:val="00715264"/>
    <w:rsid w:val="007152CB"/>
    <w:rsid w:val="00715335"/>
    <w:rsid w:val="00715423"/>
    <w:rsid w:val="00715649"/>
    <w:rsid w:val="00715689"/>
    <w:rsid w:val="00715A03"/>
    <w:rsid w:val="00715A96"/>
    <w:rsid w:val="00715B4F"/>
    <w:rsid w:val="00715D01"/>
    <w:rsid w:val="00715D18"/>
    <w:rsid w:val="00715F34"/>
    <w:rsid w:val="00716066"/>
    <w:rsid w:val="007160D8"/>
    <w:rsid w:val="00716250"/>
    <w:rsid w:val="00716363"/>
    <w:rsid w:val="007163E4"/>
    <w:rsid w:val="00716474"/>
    <w:rsid w:val="007166E6"/>
    <w:rsid w:val="0071686E"/>
    <w:rsid w:val="00716DE8"/>
    <w:rsid w:val="00716E2B"/>
    <w:rsid w:val="00716E97"/>
    <w:rsid w:val="00717153"/>
    <w:rsid w:val="00717164"/>
    <w:rsid w:val="00717214"/>
    <w:rsid w:val="00717469"/>
    <w:rsid w:val="007174C8"/>
    <w:rsid w:val="00717548"/>
    <w:rsid w:val="0071790F"/>
    <w:rsid w:val="00717980"/>
    <w:rsid w:val="007179B5"/>
    <w:rsid w:val="00717A62"/>
    <w:rsid w:val="00717AC1"/>
    <w:rsid w:val="00717AD2"/>
    <w:rsid w:val="00717AF5"/>
    <w:rsid w:val="00717DCF"/>
    <w:rsid w:val="0072022F"/>
    <w:rsid w:val="00720402"/>
    <w:rsid w:val="00720507"/>
    <w:rsid w:val="0072053B"/>
    <w:rsid w:val="007205FE"/>
    <w:rsid w:val="00720697"/>
    <w:rsid w:val="0072085A"/>
    <w:rsid w:val="007208C7"/>
    <w:rsid w:val="007209E0"/>
    <w:rsid w:val="00720C62"/>
    <w:rsid w:val="00720D5B"/>
    <w:rsid w:val="00720E4B"/>
    <w:rsid w:val="0072136F"/>
    <w:rsid w:val="007215FE"/>
    <w:rsid w:val="0072181F"/>
    <w:rsid w:val="0072186C"/>
    <w:rsid w:val="00721A82"/>
    <w:rsid w:val="00721B6F"/>
    <w:rsid w:val="00721EF0"/>
    <w:rsid w:val="00721F46"/>
    <w:rsid w:val="0072217F"/>
    <w:rsid w:val="0072221F"/>
    <w:rsid w:val="0072226B"/>
    <w:rsid w:val="0072229B"/>
    <w:rsid w:val="0072247F"/>
    <w:rsid w:val="0072251B"/>
    <w:rsid w:val="00722741"/>
    <w:rsid w:val="0072275C"/>
    <w:rsid w:val="00722883"/>
    <w:rsid w:val="0072292F"/>
    <w:rsid w:val="00722997"/>
    <w:rsid w:val="00722B1C"/>
    <w:rsid w:val="00722B50"/>
    <w:rsid w:val="00722C16"/>
    <w:rsid w:val="00722C79"/>
    <w:rsid w:val="00722CBD"/>
    <w:rsid w:val="00722CFC"/>
    <w:rsid w:val="00722F79"/>
    <w:rsid w:val="0072303D"/>
    <w:rsid w:val="007230ED"/>
    <w:rsid w:val="00723217"/>
    <w:rsid w:val="007234BF"/>
    <w:rsid w:val="0072350A"/>
    <w:rsid w:val="00723583"/>
    <w:rsid w:val="00723606"/>
    <w:rsid w:val="007236FA"/>
    <w:rsid w:val="007239D4"/>
    <w:rsid w:val="00723B34"/>
    <w:rsid w:val="00723B7A"/>
    <w:rsid w:val="00723E9E"/>
    <w:rsid w:val="00723ECF"/>
    <w:rsid w:val="00723FDE"/>
    <w:rsid w:val="007241F1"/>
    <w:rsid w:val="007244DA"/>
    <w:rsid w:val="0072456F"/>
    <w:rsid w:val="0072462C"/>
    <w:rsid w:val="00724860"/>
    <w:rsid w:val="007248C1"/>
    <w:rsid w:val="0072493A"/>
    <w:rsid w:val="0072499F"/>
    <w:rsid w:val="00724AC3"/>
    <w:rsid w:val="00724DBB"/>
    <w:rsid w:val="00724DDB"/>
    <w:rsid w:val="00724F4B"/>
    <w:rsid w:val="00724FB3"/>
    <w:rsid w:val="007252F7"/>
    <w:rsid w:val="00725329"/>
    <w:rsid w:val="0072544B"/>
    <w:rsid w:val="00725533"/>
    <w:rsid w:val="007256BA"/>
    <w:rsid w:val="007257F7"/>
    <w:rsid w:val="00725AE2"/>
    <w:rsid w:val="00725C4E"/>
    <w:rsid w:val="00725C92"/>
    <w:rsid w:val="00725CF9"/>
    <w:rsid w:val="00725E3C"/>
    <w:rsid w:val="00725E5A"/>
    <w:rsid w:val="00725EFA"/>
    <w:rsid w:val="00726047"/>
    <w:rsid w:val="0072604B"/>
    <w:rsid w:val="007261BE"/>
    <w:rsid w:val="007261FB"/>
    <w:rsid w:val="007263EF"/>
    <w:rsid w:val="0072653B"/>
    <w:rsid w:val="007266D0"/>
    <w:rsid w:val="00726745"/>
    <w:rsid w:val="00726764"/>
    <w:rsid w:val="007268FC"/>
    <w:rsid w:val="00726B09"/>
    <w:rsid w:val="00726C08"/>
    <w:rsid w:val="00726C79"/>
    <w:rsid w:val="00726E3C"/>
    <w:rsid w:val="00726F97"/>
    <w:rsid w:val="00727163"/>
    <w:rsid w:val="007271B0"/>
    <w:rsid w:val="00727206"/>
    <w:rsid w:val="007272DA"/>
    <w:rsid w:val="0072737E"/>
    <w:rsid w:val="007274BB"/>
    <w:rsid w:val="0072776D"/>
    <w:rsid w:val="00727791"/>
    <w:rsid w:val="0072786F"/>
    <w:rsid w:val="00727896"/>
    <w:rsid w:val="0072790B"/>
    <w:rsid w:val="007279BD"/>
    <w:rsid w:val="007279D1"/>
    <w:rsid w:val="00727A68"/>
    <w:rsid w:val="00727DD1"/>
    <w:rsid w:val="00727EB6"/>
    <w:rsid w:val="00727FE8"/>
    <w:rsid w:val="00727FFE"/>
    <w:rsid w:val="00730437"/>
    <w:rsid w:val="0073043C"/>
    <w:rsid w:val="007306CA"/>
    <w:rsid w:val="0073075C"/>
    <w:rsid w:val="007308F7"/>
    <w:rsid w:val="007309B3"/>
    <w:rsid w:val="007309B9"/>
    <w:rsid w:val="00730EB4"/>
    <w:rsid w:val="00730ED7"/>
    <w:rsid w:val="00731027"/>
    <w:rsid w:val="00731229"/>
    <w:rsid w:val="0073125F"/>
    <w:rsid w:val="00731323"/>
    <w:rsid w:val="00731480"/>
    <w:rsid w:val="00731547"/>
    <w:rsid w:val="00731A97"/>
    <w:rsid w:val="00731AD5"/>
    <w:rsid w:val="00731AF5"/>
    <w:rsid w:val="00731D18"/>
    <w:rsid w:val="007320D3"/>
    <w:rsid w:val="007320E4"/>
    <w:rsid w:val="00732756"/>
    <w:rsid w:val="00732802"/>
    <w:rsid w:val="00732927"/>
    <w:rsid w:val="00732AF6"/>
    <w:rsid w:val="00732BD2"/>
    <w:rsid w:val="00732F06"/>
    <w:rsid w:val="00732F5D"/>
    <w:rsid w:val="00733096"/>
    <w:rsid w:val="007331ED"/>
    <w:rsid w:val="00733270"/>
    <w:rsid w:val="007333B6"/>
    <w:rsid w:val="007336B6"/>
    <w:rsid w:val="007336E6"/>
    <w:rsid w:val="00733942"/>
    <w:rsid w:val="00733F3F"/>
    <w:rsid w:val="00733F7B"/>
    <w:rsid w:val="00733F80"/>
    <w:rsid w:val="00733FBB"/>
    <w:rsid w:val="00733FF1"/>
    <w:rsid w:val="0073405C"/>
    <w:rsid w:val="00734143"/>
    <w:rsid w:val="007341DE"/>
    <w:rsid w:val="007341F2"/>
    <w:rsid w:val="0073421A"/>
    <w:rsid w:val="00734288"/>
    <w:rsid w:val="00734439"/>
    <w:rsid w:val="0073460E"/>
    <w:rsid w:val="007346EC"/>
    <w:rsid w:val="00734963"/>
    <w:rsid w:val="007349CD"/>
    <w:rsid w:val="00734A94"/>
    <w:rsid w:val="00734B92"/>
    <w:rsid w:val="00734E34"/>
    <w:rsid w:val="00734F56"/>
    <w:rsid w:val="00734F5A"/>
    <w:rsid w:val="0073544D"/>
    <w:rsid w:val="0073554E"/>
    <w:rsid w:val="007356B3"/>
    <w:rsid w:val="007357AE"/>
    <w:rsid w:val="007359EF"/>
    <w:rsid w:val="00735C83"/>
    <w:rsid w:val="00735C98"/>
    <w:rsid w:val="00735F18"/>
    <w:rsid w:val="00735FB0"/>
    <w:rsid w:val="00736001"/>
    <w:rsid w:val="00736190"/>
    <w:rsid w:val="00736580"/>
    <w:rsid w:val="007368D2"/>
    <w:rsid w:val="0073698B"/>
    <w:rsid w:val="007369D8"/>
    <w:rsid w:val="00736A17"/>
    <w:rsid w:val="00736C7A"/>
    <w:rsid w:val="00736D3E"/>
    <w:rsid w:val="00736E8F"/>
    <w:rsid w:val="00736EC1"/>
    <w:rsid w:val="007370B7"/>
    <w:rsid w:val="007370D8"/>
    <w:rsid w:val="007370E3"/>
    <w:rsid w:val="00737132"/>
    <w:rsid w:val="007372E9"/>
    <w:rsid w:val="007373EE"/>
    <w:rsid w:val="0073742C"/>
    <w:rsid w:val="00737446"/>
    <w:rsid w:val="007374F6"/>
    <w:rsid w:val="007377E0"/>
    <w:rsid w:val="0073788C"/>
    <w:rsid w:val="007378F2"/>
    <w:rsid w:val="00737C48"/>
    <w:rsid w:val="00737C5E"/>
    <w:rsid w:val="00737D55"/>
    <w:rsid w:val="00737DBE"/>
    <w:rsid w:val="00737F75"/>
    <w:rsid w:val="007401DE"/>
    <w:rsid w:val="00740272"/>
    <w:rsid w:val="007402BE"/>
    <w:rsid w:val="007403D8"/>
    <w:rsid w:val="00740478"/>
    <w:rsid w:val="007406DC"/>
    <w:rsid w:val="007406EB"/>
    <w:rsid w:val="0074084A"/>
    <w:rsid w:val="00740A2B"/>
    <w:rsid w:val="00740B66"/>
    <w:rsid w:val="00740CF8"/>
    <w:rsid w:val="00740D78"/>
    <w:rsid w:val="00740EDA"/>
    <w:rsid w:val="00740F10"/>
    <w:rsid w:val="00740F9F"/>
    <w:rsid w:val="00740FB4"/>
    <w:rsid w:val="00741190"/>
    <w:rsid w:val="0074130C"/>
    <w:rsid w:val="00741320"/>
    <w:rsid w:val="00741413"/>
    <w:rsid w:val="0074158F"/>
    <w:rsid w:val="0074164E"/>
    <w:rsid w:val="007416EA"/>
    <w:rsid w:val="007417E3"/>
    <w:rsid w:val="00741ABB"/>
    <w:rsid w:val="00741AF5"/>
    <w:rsid w:val="00741B7C"/>
    <w:rsid w:val="00741E9C"/>
    <w:rsid w:val="0074207B"/>
    <w:rsid w:val="007420C0"/>
    <w:rsid w:val="00742133"/>
    <w:rsid w:val="0074215C"/>
    <w:rsid w:val="00742257"/>
    <w:rsid w:val="007422BC"/>
    <w:rsid w:val="00742343"/>
    <w:rsid w:val="00742402"/>
    <w:rsid w:val="007427FC"/>
    <w:rsid w:val="007428D0"/>
    <w:rsid w:val="00742E66"/>
    <w:rsid w:val="007433E8"/>
    <w:rsid w:val="0074353B"/>
    <w:rsid w:val="007435AC"/>
    <w:rsid w:val="00743620"/>
    <w:rsid w:val="007436B4"/>
    <w:rsid w:val="007437F8"/>
    <w:rsid w:val="00743BAE"/>
    <w:rsid w:val="00743CB2"/>
    <w:rsid w:val="00743CFA"/>
    <w:rsid w:val="00743D27"/>
    <w:rsid w:val="00743DD3"/>
    <w:rsid w:val="00743EDF"/>
    <w:rsid w:val="00744068"/>
    <w:rsid w:val="0074417D"/>
    <w:rsid w:val="007441F5"/>
    <w:rsid w:val="00744262"/>
    <w:rsid w:val="00744375"/>
    <w:rsid w:val="00744389"/>
    <w:rsid w:val="00744458"/>
    <w:rsid w:val="00744573"/>
    <w:rsid w:val="007445A1"/>
    <w:rsid w:val="007445CD"/>
    <w:rsid w:val="00744849"/>
    <w:rsid w:val="007448A4"/>
    <w:rsid w:val="00744AC2"/>
    <w:rsid w:val="00744DA1"/>
    <w:rsid w:val="00744EFD"/>
    <w:rsid w:val="0074503E"/>
    <w:rsid w:val="00745629"/>
    <w:rsid w:val="007457F5"/>
    <w:rsid w:val="00745A7F"/>
    <w:rsid w:val="00745C07"/>
    <w:rsid w:val="00745C63"/>
    <w:rsid w:val="00745DEA"/>
    <w:rsid w:val="00745EBD"/>
    <w:rsid w:val="00745ED1"/>
    <w:rsid w:val="00746028"/>
    <w:rsid w:val="007461F0"/>
    <w:rsid w:val="007463B6"/>
    <w:rsid w:val="007463ED"/>
    <w:rsid w:val="00746405"/>
    <w:rsid w:val="007464CD"/>
    <w:rsid w:val="00746548"/>
    <w:rsid w:val="007465FA"/>
    <w:rsid w:val="00746887"/>
    <w:rsid w:val="00746A54"/>
    <w:rsid w:val="00746C1C"/>
    <w:rsid w:val="00746C3B"/>
    <w:rsid w:val="00746CB2"/>
    <w:rsid w:val="00746DBC"/>
    <w:rsid w:val="00746E74"/>
    <w:rsid w:val="00746F31"/>
    <w:rsid w:val="00746FFA"/>
    <w:rsid w:val="00747104"/>
    <w:rsid w:val="007471F0"/>
    <w:rsid w:val="00747379"/>
    <w:rsid w:val="007473F6"/>
    <w:rsid w:val="007477B3"/>
    <w:rsid w:val="00747AF4"/>
    <w:rsid w:val="00747BC4"/>
    <w:rsid w:val="00747EC5"/>
    <w:rsid w:val="00747F4C"/>
    <w:rsid w:val="00750077"/>
    <w:rsid w:val="00750155"/>
    <w:rsid w:val="0075023C"/>
    <w:rsid w:val="0075028E"/>
    <w:rsid w:val="0075034A"/>
    <w:rsid w:val="0075037C"/>
    <w:rsid w:val="007506DF"/>
    <w:rsid w:val="007507AE"/>
    <w:rsid w:val="007507D2"/>
    <w:rsid w:val="007508A8"/>
    <w:rsid w:val="00750A4A"/>
    <w:rsid w:val="00750D54"/>
    <w:rsid w:val="00750D96"/>
    <w:rsid w:val="00750D9D"/>
    <w:rsid w:val="00750FE8"/>
    <w:rsid w:val="00751221"/>
    <w:rsid w:val="0075125B"/>
    <w:rsid w:val="0075147D"/>
    <w:rsid w:val="007515FD"/>
    <w:rsid w:val="007518A8"/>
    <w:rsid w:val="007518BB"/>
    <w:rsid w:val="007519C3"/>
    <w:rsid w:val="00751A17"/>
    <w:rsid w:val="00751B7E"/>
    <w:rsid w:val="00751DA1"/>
    <w:rsid w:val="00751E54"/>
    <w:rsid w:val="00752068"/>
    <w:rsid w:val="007520ED"/>
    <w:rsid w:val="00752118"/>
    <w:rsid w:val="007521BF"/>
    <w:rsid w:val="00752215"/>
    <w:rsid w:val="007522E4"/>
    <w:rsid w:val="0075233F"/>
    <w:rsid w:val="0075241C"/>
    <w:rsid w:val="00752559"/>
    <w:rsid w:val="007525FF"/>
    <w:rsid w:val="007526E6"/>
    <w:rsid w:val="00752978"/>
    <w:rsid w:val="00752AD7"/>
    <w:rsid w:val="00752B82"/>
    <w:rsid w:val="00752B9C"/>
    <w:rsid w:val="00752D9E"/>
    <w:rsid w:val="00752ECE"/>
    <w:rsid w:val="00753150"/>
    <w:rsid w:val="007531AD"/>
    <w:rsid w:val="00753271"/>
    <w:rsid w:val="0075339E"/>
    <w:rsid w:val="007535C1"/>
    <w:rsid w:val="0075361B"/>
    <w:rsid w:val="00753A4F"/>
    <w:rsid w:val="00753ADC"/>
    <w:rsid w:val="00753B87"/>
    <w:rsid w:val="00753BC7"/>
    <w:rsid w:val="00753E20"/>
    <w:rsid w:val="00753E3A"/>
    <w:rsid w:val="00753F19"/>
    <w:rsid w:val="00753F95"/>
    <w:rsid w:val="0075418D"/>
    <w:rsid w:val="0075424D"/>
    <w:rsid w:val="00754327"/>
    <w:rsid w:val="007543DE"/>
    <w:rsid w:val="00754403"/>
    <w:rsid w:val="00754476"/>
    <w:rsid w:val="00754758"/>
    <w:rsid w:val="00754767"/>
    <w:rsid w:val="007549C2"/>
    <w:rsid w:val="00754A37"/>
    <w:rsid w:val="00754CE7"/>
    <w:rsid w:val="00754D6B"/>
    <w:rsid w:val="00754EB4"/>
    <w:rsid w:val="007551F5"/>
    <w:rsid w:val="007554FB"/>
    <w:rsid w:val="0075553C"/>
    <w:rsid w:val="00755558"/>
    <w:rsid w:val="007555D5"/>
    <w:rsid w:val="00755C9D"/>
    <w:rsid w:val="00755CC3"/>
    <w:rsid w:val="00756045"/>
    <w:rsid w:val="0075638A"/>
    <w:rsid w:val="007563E4"/>
    <w:rsid w:val="007564DB"/>
    <w:rsid w:val="007565A9"/>
    <w:rsid w:val="00756771"/>
    <w:rsid w:val="00756880"/>
    <w:rsid w:val="007569E0"/>
    <w:rsid w:val="00756B31"/>
    <w:rsid w:val="00756C74"/>
    <w:rsid w:val="00756D58"/>
    <w:rsid w:val="00756E15"/>
    <w:rsid w:val="00756EF2"/>
    <w:rsid w:val="00756F82"/>
    <w:rsid w:val="007575EC"/>
    <w:rsid w:val="00757667"/>
    <w:rsid w:val="007576CD"/>
    <w:rsid w:val="00757AC3"/>
    <w:rsid w:val="00757B00"/>
    <w:rsid w:val="00757B2B"/>
    <w:rsid w:val="00757B8B"/>
    <w:rsid w:val="0076022B"/>
    <w:rsid w:val="007604DF"/>
    <w:rsid w:val="0076057D"/>
    <w:rsid w:val="0076070D"/>
    <w:rsid w:val="00760963"/>
    <w:rsid w:val="007609D4"/>
    <w:rsid w:val="00760A58"/>
    <w:rsid w:val="00760ABC"/>
    <w:rsid w:val="00760C83"/>
    <w:rsid w:val="007610FB"/>
    <w:rsid w:val="007611F0"/>
    <w:rsid w:val="007612BE"/>
    <w:rsid w:val="00761692"/>
    <w:rsid w:val="007618B3"/>
    <w:rsid w:val="007618DA"/>
    <w:rsid w:val="00761AEE"/>
    <w:rsid w:val="00761E27"/>
    <w:rsid w:val="00761F19"/>
    <w:rsid w:val="00761FA9"/>
    <w:rsid w:val="00762032"/>
    <w:rsid w:val="007623B9"/>
    <w:rsid w:val="007624B8"/>
    <w:rsid w:val="00762706"/>
    <w:rsid w:val="007628F5"/>
    <w:rsid w:val="00762B00"/>
    <w:rsid w:val="00762B53"/>
    <w:rsid w:val="00762C0A"/>
    <w:rsid w:val="00762CDD"/>
    <w:rsid w:val="0076302F"/>
    <w:rsid w:val="0076308D"/>
    <w:rsid w:val="007630E5"/>
    <w:rsid w:val="0076325E"/>
    <w:rsid w:val="00763483"/>
    <w:rsid w:val="0076360C"/>
    <w:rsid w:val="0076361D"/>
    <w:rsid w:val="00763623"/>
    <w:rsid w:val="0076363A"/>
    <w:rsid w:val="00763686"/>
    <w:rsid w:val="00763989"/>
    <w:rsid w:val="00763B04"/>
    <w:rsid w:val="00763BB7"/>
    <w:rsid w:val="00763C06"/>
    <w:rsid w:val="00763C73"/>
    <w:rsid w:val="00763DB6"/>
    <w:rsid w:val="007640EA"/>
    <w:rsid w:val="00764120"/>
    <w:rsid w:val="00764124"/>
    <w:rsid w:val="00764218"/>
    <w:rsid w:val="007642CC"/>
    <w:rsid w:val="00764434"/>
    <w:rsid w:val="00764470"/>
    <w:rsid w:val="00764600"/>
    <w:rsid w:val="0076461C"/>
    <w:rsid w:val="007646B9"/>
    <w:rsid w:val="007646E9"/>
    <w:rsid w:val="007647BA"/>
    <w:rsid w:val="00764893"/>
    <w:rsid w:val="007648EF"/>
    <w:rsid w:val="0076492A"/>
    <w:rsid w:val="00764936"/>
    <w:rsid w:val="00764E15"/>
    <w:rsid w:val="00764EC5"/>
    <w:rsid w:val="00764FDF"/>
    <w:rsid w:val="0076500A"/>
    <w:rsid w:val="0076521F"/>
    <w:rsid w:val="00765401"/>
    <w:rsid w:val="00765892"/>
    <w:rsid w:val="007658C1"/>
    <w:rsid w:val="007658C8"/>
    <w:rsid w:val="00765A57"/>
    <w:rsid w:val="00765AE9"/>
    <w:rsid w:val="00765D14"/>
    <w:rsid w:val="00765F53"/>
    <w:rsid w:val="00765FCF"/>
    <w:rsid w:val="00766050"/>
    <w:rsid w:val="007660C9"/>
    <w:rsid w:val="0076635A"/>
    <w:rsid w:val="00766385"/>
    <w:rsid w:val="007663CB"/>
    <w:rsid w:val="00766555"/>
    <w:rsid w:val="00766595"/>
    <w:rsid w:val="00766640"/>
    <w:rsid w:val="00766681"/>
    <w:rsid w:val="00766968"/>
    <w:rsid w:val="00766BC9"/>
    <w:rsid w:val="00766BFE"/>
    <w:rsid w:val="00766F68"/>
    <w:rsid w:val="00767086"/>
    <w:rsid w:val="0076714B"/>
    <w:rsid w:val="007673AC"/>
    <w:rsid w:val="00767416"/>
    <w:rsid w:val="007675B7"/>
    <w:rsid w:val="0076771A"/>
    <w:rsid w:val="007677E9"/>
    <w:rsid w:val="00767822"/>
    <w:rsid w:val="00767A32"/>
    <w:rsid w:val="00767ACD"/>
    <w:rsid w:val="00767BB9"/>
    <w:rsid w:val="00767C00"/>
    <w:rsid w:val="00767C59"/>
    <w:rsid w:val="00767E1E"/>
    <w:rsid w:val="00767E43"/>
    <w:rsid w:val="00770129"/>
    <w:rsid w:val="0077048E"/>
    <w:rsid w:val="007705BB"/>
    <w:rsid w:val="0077062A"/>
    <w:rsid w:val="00770695"/>
    <w:rsid w:val="007706E5"/>
    <w:rsid w:val="00770728"/>
    <w:rsid w:val="00770772"/>
    <w:rsid w:val="007707D1"/>
    <w:rsid w:val="007707F6"/>
    <w:rsid w:val="00770ABE"/>
    <w:rsid w:val="00770CC3"/>
    <w:rsid w:val="00770D3E"/>
    <w:rsid w:val="00770E1B"/>
    <w:rsid w:val="00770EDC"/>
    <w:rsid w:val="00770F8B"/>
    <w:rsid w:val="00771061"/>
    <w:rsid w:val="0077139C"/>
    <w:rsid w:val="007713C3"/>
    <w:rsid w:val="0077160E"/>
    <w:rsid w:val="00771611"/>
    <w:rsid w:val="007717C9"/>
    <w:rsid w:val="00771887"/>
    <w:rsid w:val="00771BC9"/>
    <w:rsid w:val="00771F05"/>
    <w:rsid w:val="00771F44"/>
    <w:rsid w:val="0077249C"/>
    <w:rsid w:val="00772624"/>
    <w:rsid w:val="0077265F"/>
    <w:rsid w:val="00772783"/>
    <w:rsid w:val="00772798"/>
    <w:rsid w:val="007727C7"/>
    <w:rsid w:val="0077280C"/>
    <w:rsid w:val="007728D2"/>
    <w:rsid w:val="00772AC0"/>
    <w:rsid w:val="00772D83"/>
    <w:rsid w:val="00772E42"/>
    <w:rsid w:val="00772E95"/>
    <w:rsid w:val="0077303A"/>
    <w:rsid w:val="00773272"/>
    <w:rsid w:val="007736ED"/>
    <w:rsid w:val="00773964"/>
    <w:rsid w:val="00773ABD"/>
    <w:rsid w:val="00773CCC"/>
    <w:rsid w:val="00773D3D"/>
    <w:rsid w:val="00773DA5"/>
    <w:rsid w:val="00773E5F"/>
    <w:rsid w:val="00773FF8"/>
    <w:rsid w:val="00774204"/>
    <w:rsid w:val="00774512"/>
    <w:rsid w:val="00774763"/>
    <w:rsid w:val="00774784"/>
    <w:rsid w:val="00774800"/>
    <w:rsid w:val="007749A2"/>
    <w:rsid w:val="00774A54"/>
    <w:rsid w:val="00774ABC"/>
    <w:rsid w:val="00774C36"/>
    <w:rsid w:val="00774E30"/>
    <w:rsid w:val="00774F48"/>
    <w:rsid w:val="00774FC1"/>
    <w:rsid w:val="0077505A"/>
    <w:rsid w:val="007750B7"/>
    <w:rsid w:val="007750C6"/>
    <w:rsid w:val="00775304"/>
    <w:rsid w:val="00775361"/>
    <w:rsid w:val="00775564"/>
    <w:rsid w:val="0077569D"/>
    <w:rsid w:val="007758C8"/>
    <w:rsid w:val="00775987"/>
    <w:rsid w:val="00775B23"/>
    <w:rsid w:val="00775D23"/>
    <w:rsid w:val="00775D57"/>
    <w:rsid w:val="00775DE2"/>
    <w:rsid w:val="00775E4D"/>
    <w:rsid w:val="00776204"/>
    <w:rsid w:val="007762CD"/>
    <w:rsid w:val="007763A4"/>
    <w:rsid w:val="0077642C"/>
    <w:rsid w:val="00776451"/>
    <w:rsid w:val="00776550"/>
    <w:rsid w:val="00776577"/>
    <w:rsid w:val="007766C6"/>
    <w:rsid w:val="007767C7"/>
    <w:rsid w:val="007768D5"/>
    <w:rsid w:val="007768D6"/>
    <w:rsid w:val="00776CCF"/>
    <w:rsid w:val="00776F8F"/>
    <w:rsid w:val="0077708F"/>
    <w:rsid w:val="00777220"/>
    <w:rsid w:val="007772A7"/>
    <w:rsid w:val="0077736F"/>
    <w:rsid w:val="00777463"/>
    <w:rsid w:val="007774FB"/>
    <w:rsid w:val="00777590"/>
    <w:rsid w:val="00777670"/>
    <w:rsid w:val="007776B5"/>
    <w:rsid w:val="007777D9"/>
    <w:rsid w:val="0077798F"/>
    <w:rsid w:val="007779DA"/>
    <w:rsid w:val="00777A8C"/>
    <w:rsid w:val="00777BDF"/>
    <w:rsid w:val="00777CC5"/>
    <w:rsid w:val="00777E3A"/>
    <w:rsid w:val="00777F0F"/>
    <w:rsid w:val="00780036"/>
    <w:rsid w:val="007800D2"/>
    <w:rsid w:val="00780135"/>
    <w:rsid w:val="00780882"/>
    <w:rsid w:val="007809C1"/>
    <w:rsid w:val="00780B10"/>
    <w:rsid w:val="00780E53"/>
    <w:rsid w:val="00780E8F"/>
    <w:rsid w:val="00780F4D"/>
    <w:rsid w:val="00780FC5"/>
    <w:rsid w:val="0078102B"/>
    <w:rsid w:val="007810E8"/>
    <w:rsid w:val="00781299"/>
    <w:rsid w:val="0078137B"/>
    <w:rsid w:val="00781565"/>
    <w:rsid w:val="00781790"/>
    <w:rsid w:val="00781812"/>
    <w:rsid w:val="00781B4E"/>
    <w:rsid w:val="00781B80"/>
    <w:rsid w:val="00781D7C"/>
    <w:rsid w:val="00781F7B"/>
    <w:rsid w:val="0078202E"/>
    <w:rsid w:val="00782156"/>
    <w:rsid w:val="00782295"/>
    <w:rsid w:val="007824DD"/>
    <w:rsid w:val="007825D7"/>
    <w:rsid w:val="007829C3"/>
    <w:rsid w:val="00782E26"/>
    <w:rsid w:val="007832A1"/>
    <w:rsid w:val="007836B3"/>
    <w:rsid w:val="0078379B"/>
    <w:rsid w:val="007838F7"/>
    <w:rsid w:val="0078398C"/>
    <w:rsid w:val="00783AF8"/>
    <w:rsid w:val="00783B60"/>
    <w:rsid w:val="00783D28"/>
    <w:rsid w:val="00783DA1"/>
    <w:rsid w:val="00783ED0"/>
    <w:rsid w:val="00783F73"/>
    <w:rsid w:val="00784118"/>
    <w:rsid w:val="00784158"/>
    <w:rsid w:val="00784326"/>
    <w:rsid w:val="007843EF"/>
    <w:rsid w:val="00784518"/>
    <w:rsid w:val="007847BC"/>
    <w:rsid w:val="00784A2F"/>
    <w:rsid w:val="00784CC4"/>
    <w:rsid w:val="00784D3B"/>
    <w:rsid w:val="00784DAE"/>
    <w:rsid w:val="00784EA4"/>
    <w:rsid w:val="00785263"/>
    <w:rsid w:val="007854F8"/>
    <w:rsid w:val="00785569"/>
    <w:rsid w:val="007856EF"/>
    <w:rsid w:val="007857AD"/>
    <w:rsid w:val="007857BB"/>
    <w:rsid w:val="00785868"/>
    <w:rsid w:val="00785962"/>
    <w:rsid w:val="007859E5"/>
    <w:rsid w:val="00785A3F"/>
    <w:rsid w:val="00785AEC"/>
    <w:rsid w:val="00785CD2"/>
    <w:rsid w:val="00785D99"/>
    <w:rsid w:val="00785EB5"/>
    <w:rsid w:val="00785FBA"/>
    <w:rsid w:val="00786376"/>
    <w:rsid w:val="007863D1"/>
    <w:rsid w:val="00786621"/>
    <w:rsid w:val="007867D5"/>
    <w:rsid w:val="0078694B"/>
    <w:rsid w:val="007869C1"/>
    <w:rsid w:val="00786A3C"/>
    <w:rsid w:val="00786B53"/>
    <w:rsid w:val="00786D24"/>
    <w:rsid w:val="00786E7E"/>
    <w:rsid w:val="007871F3"/>
    <w:rsid w:val="007877C0"/>
    <w:rsid w:val="00787893"/>
    <w:rsid w:val="007878D8"/>
    <w:rsid w:val="007879B9"/>
    <w:rsid w:val="007879EC"/>
    <w:rsid w:val="00787ACA"/>
    <w:rsid w:val="00787F4A"/>
    <w:rsid w:val="00787FE7"/>
    <w:rsid w:val="00790374"/>
    <w:rsid w:val="0079049A"/>
    <w:rsid w:val="00790917"/>
    <w:rsid w:val="00790958"/>
    <w:rsid w:val="00790A03"/>
    <w:rsid w:val="00790B67"/>
    <w:rsid w:val="00790C2A"/>
    <w:rsid w:val="00790CC7"/>
    <w:rsid w:val="00790CFF"/>
    <w:rsid w:val="00790D66"/>
    <w:rsid w:val="00790EB2"/>
    <w:rsid w:val="00790FA3"/>
    <w:rsid w:val="007910DD"/>
    <w:rsid w:val="0079118E"/>
    <w:rsid w:val="007914D2"/>
    <w:rsid w:val="00791506"/>
    <w:rsid w:val="00791627"/>
    <w:rsid w:val="007919BB"/>
    <w:rsid w:val="00791D57"/>
    <w:rsid w:val="00791ED4"/>
    <w:rsid w:val="00791EEC"/>
    <w:rsid w:val="00791F25"/>
    <w:rsid w:val="00792073"/>
    <w:rsid w:val="00792091"/>
    <w:rsid w:val="00792123"/>
    <w:rsid w:val="0079282C"/>
    <w:rsid w:val="007928EB"/>
    <w:rsid w:val="00792B10"/>
    <w:rsid w:val="00792B5E"/>
    <w:rsid w:val="00792BDE"/>
    <w:rsid w:val="00792CF0"/>
    <w:rsid w:val="00792DE6"/>
    <w:rsid w:val="00792F0B"/>
    <w:rsid w:val="00792F23"/>
    <w:rsid w:val="00792F5D"/>
    <w:rsid w:val="007932CD"/>
    <w:rsid w:val="007932D6"/>
    <w:rsid w:val="00793569"/>
    <w:rsid w:val="007935DD"/>
    <w:rsid w:val="00793687"/>
    <w:rsid w:val="00793AD6"/>
    <w:rsid w:val="00793AE4"/>
    <w:rsid w:val="00793D6B"/>
    <w:rsid w:val="00793FA5"/>
    <w:rsid w:val="007940A2"/>
    <w:rsid w:val="007941EF"/>
    <w:rsid w:val="0079431E"/>
    <w:rsid w:val="00794587"/>
    <w:rsid w:val="007946E2"/>
    <w:rsid w:val="0079470D"/>
    <w:rsid w:val="00794935"/>
    <w:rsid w:val="00794963"/>
    <w:rsid w:val="00794C69"/>
    <w:rsid w:val="00794D16"/>
    <w:rsid w:val="00794F65"/>
    <w:rsid w:val="00795009"/>
    <w:rsid w:val="0079508E"/>
    <w:rsid w:val="00795119"/>
    <w:rsid w:val="0079516B"/>
    <w:rsid w:val="0079521D"/>
    <w:rsid w:val="007954F6"/>
    <w:rsid w:val="00795551"/>
    <w:rsid w:val="007956EA"/>
    <w:rsid w:val="0079570E"/>
    <w:rsid w:val="00795735"/>
    <w:rsid w:val="00795763"/>
    <w:rsid w:val="007957AA"/>
    <w:rsid w:val="00795856"/>
    <w:rsid w:val="00795935"/>
    <w:rsid w:val="00795B1F"/>
    <w:rsid w:val="00795B27"/>
    <w:rsid w:val="00795BE8"/>
    <w:rsid w:val="00795D31"/>
    <w:rsid w:val="00795D4B"/>
    <w:rsid w:val="00795E18"/>
    <w:rsid w:val="00795F99"/>
    <w:rsid w:val="00796032"/>
    <w:rsid w:val="007960D3"/>
    <w:rsid w:val="00796166"/>
    <w:rsid w:val="007963BD"/>
    <w:rsid w:val="00796478"/>
    <w:rsid w:val="00796489"/>
    <w:rsid w:val="007964BA"/>
    <w:rsid w:val="00796826"/>
    <w:rsid w:val="00796889"/>
    <w:rsid w:val="007968BC"/>
    <w:rsid w:val="007969EB"/>
    <w:rsid w:val="00796A4F"/>
    <w:rsid w:val="00796D3F"/>
    <w:rsid w:val="00796DEA"/>
    <w:rsid w:val="00796E37"/>
    <w:rsid w:val="00796EED"/>
    <w:rsid w:val="0079712C"/>
    <w:rsid w:val="007971A8"/>
    <w:rsid w:val="007974C0"/>
    <w:rsid w:val="00797736"/>
    <w:rsid w:val="007978B6"/>
    <w:rsid w:val="00797938"/>
    <w:rsid w:val="007979C9"/>
    <w:rsid w:val="00797EFC"/>
    <w:rsid w:val="00797F48"/>
    <w:rsid w:val="007A007D"/>
    <w:rsid w:val="007A0374"/>
    <w:rsid w:val="007A038D"/>
    <w:rsid w:val="007A0396"/>
    <w:rsid w:val="007A0413"/>
    <w:rsid w:val="007A049C"/>
    <w:rsid w:val="007A05BA"/>
    <w:rsid w:val="007A05C3"/>
    <w:rsid w:val="007A0661"/>
    <w:rsid w:val="007A076D"/>
    <w:rsid w:val="007A08F8"/>
    <w:rsid w:val="007A08FF"/>
    <w:rsid w:val="007A0BB4"/>
    <w:rsid w:val="007A0C09"/>
    <w:rsid w:val="007A0EDE"/>
    <w:rsid w:val="007A0F06"/>
    <w:rsid w:val="007A0FD7"/>
    <w:rsid w:val="007A12A6"/>
    <w:rsid w:val="007A1314"/>
    <w:rsid w:val="007A16A0"/>
    <w:rsid w:val="007A16F7"/>
    <w:rsid w:val="007A17C0"/>
    <w:rsid w:val="007A1887"/>
    <w:rsid w:val="007A18C7"/>
    <w:rsid w:val="007A1B9C"/>
    <w:rsid w:val="007A1CAD"/>
    <w:rsid w:val="007A1E38"/>
    <w:rsid w:val="007A1E92"/>
    <w:rsid w:val="007A1FE8"/>
    <w:rsid w:val="007A206C"/>
    <w:rsid w:val="007A22D2"/>
    <w:rsid w:val="007A24CE"/>
    <w:rsid w:val="007A2501"/>
    <w:rsid w:val="007A2652"/>
    <w:rsid w:val="007A28CA"/>
    <w:rsid w:val="007A291E"/>
    <w:rsid w:val="007A293D"/>
    <w:rsid w:val="007A2B43"/>
    <w:rsid w:val="007A2C25"/>
    <w:rsid w:val="007A2C46"/>
    <w:rsid w:val="007A2DB5"/>
    <w:rsid w:val="007A2F09"/>
    <w:rsid w:val="007A2F91"/>
    <w:rsid w:val="007A306F"/>
    <w:rsid w:val="007A3127"/>
    <w:rsid w:val="007A31A3"/>
    <w:rsid w:val="007A33E5"/>
    <w:rsid w:val="007A3413"/>
    <w:rsid w:val="007A34F2"/>
    <w:rsid w:val="007A3519"/>
    <w:rsid w:val="007A39E0"/>
    <w:rsid w:val="007A3A57"/>
    <w:rsid w:val="007A3ABF"/>
    <w:rsid w:val="007A3B16"/>
    <w:rsid w:val="007A3DBB"/>
    <w:rsid w:val="007A4086"/>
    <w:rsid w:val="007A40A6"/>
    <w:rsid w:val="007A4228"/>
    <w:rsid w:val="007A4414"/>
    <w:rsid w:val="007A46BC"/>
    <w:rsid w:val="007A49AA"/>
    <w:rsid w:val="007A4A28"/>
    <w:rsid w:val="007A4A6F"/>
    <w:rsid w:val="007A4AC1"/>
    <w:rsid w:val="007A4B27"/>
    <w:rsid w:val="007A4E7D"/>
    <w:rsid w:val="007A4FE3"/>
    <w:rsid w:val="007A5098"/>
    <w:rsid w:val="007A518C"/>
    <w:rsid w:val="007A519A"/>
    <w:rsid w:val="007A5239"/>
    <w:rsid w:val="007A560A"/>
    <w:rsid w:val="007A5615"/>
    <w:rsid w:val="007A5675"/>
    <w:rsid w:val="007A58B8"/>
    <w:rsid w:val="007A58F6"/>
    <w:rsid w:val="007A5944"/>
    <w:rsid w:val="007A5956"/>
    <w:rsid w:val="007A5971"/>
    <w:rsid w:val="007A59DA"/>
    <w:rsid w:val="007A5AF8"/>
    <w:rsid w:val="007A5F07"/>
    <w:rsid w:val="007A6028"/>
    <w:rsid w:val="007A6066"/>
    <w:rsid w:val="007A60A3"/>
    <w:rsid w:val="007A60A5"/>
    <w:rsid w:val="007A6216"/>
    <w:rsid w:val="007A6308"/>
    <w:rsid w:val="007A6488"/>
    <w:rsid w:val="007A672D"/>
    <w:rsid w:val="007A6779"/>
    <w:rsid w:val="007A6874"/>
    <w:rsid w:val="007A6908"/>
    <w:rsid w:val="007A6C5E"/>
    <w:rsid w:val="007A6D03"/>
    <w:rsid w:val="007A6D07"/>
    <w:rsid w:val="007A6E64"/>
    <w:rsid w:val="007A7003"/>
    <w:rsid w:val="007A70B1"/>
    <w:rsid w:val="007A7151"/>
    <w:rsid w:val="007A7254"/>
    <w:rsid w:val="007A736E"/>
    <w:rsid w:val="007A73FB"/>
    <w:rsid w:val="007A741A"/>
    <w:rsid w:val="007A759F"/>
    <w:rsid w:val="007A75A4"/>
    <w:rsid w:val="007A7634"/>
    <w:rsid w:val="007A7768"/>
    <w:rsid w:val="007A77D5"/>
    <w:rsid w:val="007A7916"/>
    <w:rsid w:val="007A793C"/>
    <w:rsid w:val="007A7A5B"/>
    <w:rsid w:val="007A7B1D"/>
    <w:rsid w:val="007A7B1E"/>
    <w:rsid w:val="007A7B4D"/>
    <w:rsid w:val="007A7BAB"/>
    <w:rsid w:val="007A7CE7"/>
    <w:rsid w:val="007A7E05"/>
    <w:rsid w:val="007A7EF5"/>
    <w:rsid w:val="007B04B5"/>
    <w:rsid w:val="007B04E4"/>
    <w:rsid w:val="007B05A0"/>
    <w:rsid w:val="007B06A8"/>
    <w:rsid w:val="007B08DF"/>
    <w:rsid w:val="007B08E8"/>
    <w:rsid w:val="007B0948"/>
    <w:rsid w:val="007B09A7"/>
    <w:rsid w:val="007B0ACB"/>
    <w:rsid w:val="007B0C74"/>
    <w:rsid w:val="007B0C7B"/>
    <w:rsid w:val="007B0FEC"/>
    <w:rsid w:val="007B11A2"/>
    <w:rsid w:val="007B1283"/>
    <w:rsid w:val="007B1466"/>
    <w:rsid w:val="007B1760"/>
    <w:rsid w:val="007B1AF0"/>
    <w:rsid w:val="007B1D2C"/>
    <w:rsid w:val="007B1E44"/>
    <w:rsid w:val="007B1EB5"/>
    <w:rsid w:val="007B1EDC"/>
    <w:rsid w:val="007B225C"/>
    <w:rsid w:val="007B23A9"/>
    <w:rsid w:val="007B261F"/>
    <w:rsid w:val="007B2625"/>
    <w:rsid w:val="007B277C"/>
    <w:rsid w:val="007B2816"/>
    <w:rsid w:val="007B2A82"/>
    <w:rsid w:val="007B2B54"/>
    <w:rsid w:val="007B2BAE"/>
    <w:rsid w:val="007B2CE9"/>
    <w:rsid w:val="007B3241"/>
    <w:rsid w:val="007B3660"/>
    <w:rsid w:val="007B37AD"/>
    <w:rsid w:val="007B3A90"/>
    <w:rsid w:val="007B3AC0"/>
    <w:rsid w:val="007B3B59"/>
    <w:rsid w:val="007B3B80"/>
    <w:rsid w:val="007B3B86"/>
    <w:rsid w:val="007B3C54"/>
    <w:rsid w:val="007B3E84"/>
    <w:rsid w:val="007B403D"/>
    <w:rsid w:val="007B40CC"/>
    <w:rsid w:val="007B481B"/>
    <w:rsid w:val="007B4847"/>
    <w:rsid w:val="007B496B"/>
    <w:rsid w:val="007B4AA9"/>
    <w:rsid w:val="007B4C12"/>
    <w:rsid w:val="007B4F94"/>
    <w:rsid w:val="007B50A9"/>
    <w:rsid w:val="007B544F"/>
    <w:rsid w:val="007B5462"/>
    <w:rsid w:val="007B553D"/>
    <w:rsid w:val="007B55AB"/>
    <w:rsid w:val="007B5710"/>
    <w:rsid w:val="007B58A7"/>
    <w:rsid w:val="007B58D6"/>
    <w:rsid w:val="007B59FC"/>
    <w:rsid w:val="007B5B4C"/>
    <w:rsid w:val="007B5D1D"/>
    <w:rsid w:val="007B5DC2"/>
    <w:rsid w:val="007B5DE7"/>
    <w:rsid w:val="007B5E65"/>
    <w:rsid w:val="007B5EEE"/>
    <w:rsid w:val="007B60D1"/>
    <w:rsid w:val="007B61B8"/>
    <w:rsid w:val="007B63E5"/>
    <w:rsid w:val="007B6429"/>
    <w:rsid w:val="007B656C"/>
    <w:rsid w:val="007B6593"/>
    <w:rsid w:val="007B65B6"/>
    <w:rsid w:val="007B65DF"/>
    <w:rsid w:val="007B67CD"/>
    <w:rsid w:val="007B68CB"/>
    <w:rsid w:val="007B6AA1"/>
    <w:rsid w:val="007B6C12"/>
    <w:rsid w:val="007B6C59"/>
    <w:rsid w:val="007B6C7B"/>
    <w:rsid w:val="007B6D67"/>
    <w:rsid w:val="007B708D"/>
    <w:rsid w:val="007B7265"/>
    <w:rsid w:val="007B7326"/>
    <w:rsid w:val="007B7612"/>
    <w:rsid w:val="007B76A5"/>
    <w:rsid w:val="007B7D50"/>
    <w:rsid w:val="007C0097"/>
    <w:rsid w:val="007C0383"/>
    <w:rsid w:val="007C04A8"/>
    <w:rsid w:val="007C04BD"/>
    <w:rsid w:val="007C06C5"/>
    <w:rsid w:val="007C06EB"/>
    <w:rsid w:val="007C0808"/>
    <w:rsid w:val="007C09F7"/>
    <w:rsid w:val="007C0E48"/>
    <w:rsid w:val="007C0FD9"/>
    <w:rsid w:val="007C1291"/>
    <w:rsid w:val="007C1408"/>
    <w:rsid w:val="007C1650"/>
    <w:rsid w:val="007C16BC"/>
    <w:rsid w:val="007C18E0"/>
    <w:rsid w:val="007C19F0"/>
    <w:rsid w:val="007C1A3E"/>
    <w:rsid w:val="007C1AED"/>
    <w:rsid w:val="007C1B30"/>
    <w:rsid w:val="007C1C27"/>
    <w:rsid w:val="007C1D37"/>
    <w:rsid w:val="007C1DAF"/>
    <w:rsid w:val="007C1EFF"/>
    <w:rsid w:val="007C20BC"/>
    <w:rsid w:val="007C2264"/>
    <w:rsid w:val="007C2598"/>
    <w:rsid w:val="007C2748"/>
    <w:rsid w:val="007C2902"/>
    <w:rsid w:val="007C2A01"/>
    <w:rsid w:val="007C2C9D"/>
    <w:rsid w:val="007C2D6E"/>
    <w:rsid w:val="007C2E56"/>
    <w:rsid w:val="007C2F4D"/>
    <w:rsid w:val="007C308F"/>
    <w:rsid w:val="007C3129"/>
    <w:rsid w:val="007C3155"/>
    <w:rsid w:val="007C3342"/>
    <w:rsid w:val="007C35A3"/>
    <w:rsid w:val="007C36F3"/>
    <w:rsid w:val="007C3749"/>
    <w:rsid w:val="007C38E4"/>
    <w:rsid w:val="007C3B84"/>
    <w:rsid w:val="007C3B88"/>
    <w:rsid w:val="007C3BFC"/>
    <w:rsid w:val="007C3CE0"/>
    <w:rsid w:val="007C3E4F"/>
    <w:rsid w:val="007C41D8"/>
    <w:rsid w:val="007C4272"/>
    <w:rsid w:val="007C428D"/>
    <w:rsid w:val="007C42C3"/>
    <w:rsid w:val="007C438D"/>
    <w:rsid w:val="007C4626"/>
    <w:rsid w:val="007C47C4"/>
    <w:rsid w:val="007C4862"/>
    <w:rsid w:val="007C4ABB"/>
    <w:rsid w:val="007C4CFC"/>
    <w:rsid w:val="007C4EC0"/>
    <w:rsid w:val="007C4FCF"/>
    <w:rsid w:val="007C5088"/>
    <w:rsid w:val="007C5291"/>
    <w:rsid w:val="007C52F9"/>
    <w:rsid w:val="007C54C8"/>
    <w:rsid w:val="007C54F7"/>
    <w:rsid w:val="007C55CA"/>
    <w:rsid w:val="007C55FA"/>
    <w:rsid w:val="007C561F"/>
    <w:rsid w:val="007C568A"/>
    <w:rsid w:val="007C56D6"/>
    <w:rsid w:val="007C56EC"/>
    <w:rsid w:val="007C57C0"/>
    <w:rsid w:val="007C58E7"/>
    <w:rsid w:val="007C5951"/>
    <w:rsid w:val="007C5A8E"/>
    <w:rsid w:val="007C5AED"/>
    <w:rsid w:val="007C5B3F"/>
    <w:rsid w:val="007C5BD2"/>
    <w:rsid w:val="007C5D78"/>
    <w:rsid w:val="007C5E4A"/>
    <w:rsid w:val="007C5F0C"/>
    <w:rsid w:val="007C5F5E"/>
    <w:rsid w:val="007C6178"/>
    <w:rsid w:val="007C631C"/>
    <w:rsid w:val="007C633A"/>
    <w:rsid w:val="007C63AE"/>
    <w:rsid w:val="007C66A1"/>
    <w:rsid w:val="007C66B9"/>
    <w:rsid w:val="007C686C"/>
    <w:rsid w:val="007C688C"/>
    <w:rsid w:val="007C697B"/>
    <w:rsid w:val="007C69CA"/>
    <w:rsid w:val="007C69D1"/>
    <w:rsid w:val="007C6ABD"/>
    <w:rsid w:val="007C6ACE"/>
    <w:rsid w:val="007C6B6C"/>
    <w:rsid w:val="007C6B9D"/>
    <w:rsid w:val="007C6D3B"/>
    <w:rsid w:val="007C6D72"/>
    <w:rsid w:val="007C6E2C"/>
    <w:rsid w:val="007C6F72"/>
    <w:rsid w:val="007C7026"/>
    <w:rsid w:val="007C7213"/>
    <w:rsid w:val="007C7296"/>
    <w:rsid w:val="007C7462"/>
    <w:rsid w:val="007C7651"/>
    <w:rsid w:val="007C792D"/>
    <w:rsid w:val="007C7DB8"/>
    <w:rsid w:val="007C7DD4"/>
    <w:rsid w:val="007D0296"/>
    <w:rsid w:val="007D02CA"/>
    <w:rsid w:val="007D0507"/>
    <w:rsid w:val="007D05B1"/>
    <w:rsid w:val="007D0644"/>
    <w:rsid w:val="007D06D5"/>
    <w:rsid w:val="007D0B32"/>
    <w:rsid w:val="007D0B54"/>
    <w:rsid w:val="007D0B9B"/>
    <w:rsid w:val="007D0F33"/>
    <w:rsid w:val="007D0FEB"/>
    <w:rsid w:val="007D1020"/>
    <w:rsid w:val="007D1269"/>
    <w:rsid w:val="007D1365"/>
    <w:rsid w:val="007D1373"/>
    <w:rsid w:val="007D15E2"/>
    <w:rsid w:val="007D18C1"/>
    <w:rsid w:val="007D1A10"/>
    <w:rsid w:val="007D1B02"/>
    <w:rsid w:val="007D1BCA"/>
    <w:rsid w:val="007D1BF8"/>
    <w:rsid w:val="007D1D12"/>
    <w:rsid w:val="007D20B8"/>
    <w:rsid w:val="007D2166"/>
    <w:rsid w:val="007D21A6"/>
    <w:rsid w:val="007D21F3"/>
    <w:rsid w:val="007D2212"/>
    <w:rsid w:val="007D22D1"/>
    <w:rsid w:val="007D2419"/>
    <w:rsid w:val="007D2569"/>
    <w:rsid w:val="007D26A8"/>
    <w:rsid w:val="007D2716"/>
    <w:rsid w:val="007D281E"/>
    <w:rsid w:val="007D2B38"/>
    <w:rsid w:val="007D2D8F"/>
    <w:rsid w:val="007D2DA4"/>
    <w:rsid w:val="007D2DE5"/>
    <w:rsid w:val="007D2EAD"/>
    <w:rsid w:val="007D2EC1"/>
    <w:rsid w:val="007D3209"/>
    <w:rsid w:val="007D329F"/>
    <w:rsid w:val="007D32BE"/>
    <w:rsid w:val="007D33B5"/>
    <w:rsid w:val="007D36B4"/>
    <w:rsid w:val="007D3905"/>
    <w:rsid w:val="007D39DD"/>
    <w:rsid w:val="007D3A61"/>
    <w:rsid w:val="007D3AA9"/>
    <w:rsid w:val="007D3AE4"/>
    <w:rsid w:val="007D404C"/>
    <w:rsid w:val="007D411F"/>
    <w:rsid w:val="007D4121"/>
    <w:rsid w:val="007D4471"/>
    <w:rsid w:val="007D464C"/>
    <w:rsid w:val="007D4689"/>
    <w:rsid w:val="007D4DE6"/>
    <w:rsid w:val="007D4E5F"/>
    <w:rsid w:val="007D4FCD"/>
    <w:rsid w:val="007D5007"/>
    <w:rsid w:val="007D50E0"/>
    <w:rsid w:val="007D514B"/>
    <w:rsid w:val="007D515D"/>
    <w:rsid w:val="007D53C5"/>
    <w:rsid w:val="007D56C6"/>
    <w:rsid w:val="007D57F3"/>
    <w:rsid w:val="007D5823"/>
    <w:rsid w:val="007D585A"/>
    <w:rsid w:val="007D5D46"/>
    <w:rsid w:val="007D5F7F"/>
    <w:rsid w:val="007D616C"/>
    <w:rsid w:val="007D6256"/>
    <w:rsid w:val="007D62C8"/>
    <w:rsid w:val="007D63A0"/>
    <w:rsid w:val="007D63B2"/>
    <w:rsid w:val="007D6609"/>
    <w:rsid w:val="007D67C7"/>
    <w:rsid w:val="007D6845"/>
    <w:rsid w:val="007D691B"/>
    <w:rsid w:val="007D6A5E"/>
    <w:rsid w:val="007D6B04"/>
    <w:rsid w:val="007D6B6B"/>
    <w:rsid w:val="007D6B8C"/>
    <w:rsid w:val="007D6D24"/>
    <w:rsid w:val="007D6E35"/>
    <w:rsid w:val="007D6E6F"/>
    <w:rsid w:val="007D73B6"/>
    <w:rsid w:val="007D7436"/>
    <w:rsid w:val="007D744C"/>
    <w:rsid w:val="007D751E"/>
    <w:rsid w:val="007D765A"/>
    <w:rsid w:val="007D796F"/>
    <w:rsid w:val="007D7A71"/>
    <w:rsid w:val="007D7A84"/>
    <w:rsid w:val="007D7AC6"/>
    <w:rsid w:val="007D7BAE"/>
    <w:rsid w:val="007D7BD2"/>
    <w:rsid w:val="007D7E98"/>
    <w:rsid w:val="007D7ECB"/>
    <w:rsid w:val="007D7F29"/>
    <w:rsid w:val="007E0264"/>
    <w:rsid w:val="007E05D3"/>
    <w:rsid w:val="007E0611"/>
    <w:rsid w:val="007E07F7"/>
    <w:rsid w:val="007E084B"/>
    <w:rsid w:val="007E0885"/>
    <w:rsid w:val="007E0985"/>
    <w:rsid w:val="007E09D7"/>
    <w:rsid w:val="007E09E0"/>
    <w:rsid w:val="007E0B8B"/>
    <w:rsid w:val="007E0BE8"/>
    <w:rsid w:val="007E0CEB"/>
    <w:rsid w:val="007E0D18"/>
    <w:rsid w:val="007E0D92"/>
    <w:rsid w:val="007E0DB6"/>
    <w:rsid w:val="007E0DED"/>
    <w:rsid w:val="007E0F8E"/>
    <w:rsid w:val="007E13F8"/>
    <w:rsid w:val="007E1467"/>
    <w:rsid w:val="007E1468"/>
    <w:rsid w:val="007E157B"/>
    <w:rsid w:val="007E16CC"/>
    <w:rsid w:val="007E16FF"/>
    <w:rsid w:val="007E1795"/>
    <w:rsid w:val="007E1851"/>
    <w:rsid w:val="007E19A5"/>
    <w:rsid w:val="007E19AA"/>
    <w:rsid w:val="007E1BFE"/>
    <w:rsid w:val="007E1C2E"/>
    <w:rsid w:val="007E1C39"/>
    <w:rsid w:val="007E1C95"/>
    <w:rsid w:val="007E1D71"/>
    <w:rsid w:val="007E22C9"/>
    <w:rsid w:val="007E230E"/>
    <w:rsid w:val="007E231D"/>
    <w:rsid w:val="007E27B3"/>
    <w:rsid w:val="007E2EB2"/>
    <w:rsid w:val="007E3305"/>
    <w:rsid w:val="007E3371"/>
    <w:rsid w:val="007E3631"/>
    <w:rsid w:val="007E3677"/>
    <w:rsid w:val="007E3873"/>
    <w:rsid w:val="007E38A1"/>
    <w:rsid w:val="007E3B0E"/>
    <w:rsid w:val="007E3B64"/>
    <w:rsid w:val="007E3B6D"/>
    <w:rsid w:val="007E3CC8"/>
    <w:rsid w:val="007E3D05"/>
    <w:rsid w:val="007E3E4B"/>
    <w:rsid w:val="007E3FEF"/>
    <w:rsid w:val="007E412F"/>
    <w:rsid w:val="007E41D5"/>
    <w:rsid w:val="007E4296"/>
    <w:rsid w:val="007E4378"/>
    <w:rsid w:val="007E4391"/>
    <w:rsid w:val="007E489D"/>
    <w:rsid w:val="007E4C66"/>
    <w:rsid w:val="007E4C7F"/>
    <w:rsid w:val="007E4D10"/>
    <w:rsid w:val="007E4DF5"/>
    <w:rsid w:val="007E4E48"/>
    <w:rsid w:val="007E4F41"/>
    <w:rsid w:val="007E5023"/>
    <w:rsid w:val="007E5041"/>
    <w:rsid w:val="007E5046"/>
    <w:rsid w:val="007E5176"/>
    <w:rsid w:val="007E5347"/>
    <w:rsid w:val="007E534D"/>
    <w:rsid w:val="007E548D"/>
    <w:rsid w:val="007E5554"/>
    <w:rsid w:val="007E5579"/>
    <w:rsid w:val="007E5650"/>
    <w:rsid w:val="007E565D"/>
    <w:rsid w:val="007E5698"/>
    <w:rsid w:val="007E56EA"/>
    <w:rsid w:val="007E57CE"/>
    <w:rsid w:val="007E580E"/>
    <w:rsid w:val="007E5A52"/>
    <w:rsid w:val="007E5ACF"/>
    <w:rsid w:val="007E5AFE"/>
    <w:rsid w:val="007E5B11"/>
    <w:rsid w:val="007E5B9D"/>
    <w:rsid w:val="007E5DD1"/>
    <w:rsid w:val="007E5E5B"/>
    <w:rsid w:val="007E5E9F"/>
    <w:rsid w:val="007E5EE9"/>
    <w:rsid w:val="007E6013"/>
    <w:rsid w:val="007E60B9"/>
    <w:rsid w:val="007E6569"/>
    <w:rsid w:val="007E660B"/>
    <w:rsid w:val="007E672E"/>
    <w:rsid w:val="007E686D"/>
    <w:rsid w:val="007E6975"/>
    <w:rsid w:val="007E6A2A"/>
    <w:rsid w:val="007E6C56"/>
    <w:rsid w:val="007E7006"/>
    <w:rsid w:val="007E7023"/>
    <w:rsid w:val="007E7191"/>
    <w:rsid w:val="007E73FC"/>
    <w:rsid w:val="007E7560"/>
    <w:rsid w:val="007E7E12"/>
    <w:rsid w:val="007E7F61"/>
    <w:rsid w:val="007E7F78"/>
    <w:rsid w:val="007F00F7"/>
    <w:rsid w:val="007F020E"/>
    <w:rsid w:val="007F02F2"/>
    <w:rsid w:val="007F0307"/>
    <w:rsid w:val="007F04C2"/>
    <w:rsid w:val="007F054C"/>
    <w:rsid w:val="007F061F"/>
    <w:rsid w:val="007F0786"/>
    <w:rsid w:val="007F093A"/>
    <w:rsid w:val="007F0A45"/>
    <w:rsid w:val="007F0B01"/>
    <w:rsid w:val="007F0C71"/>
    <w:rsid w:val="007F0F6B"/>
    <w:rsid w:val="007F0F88"/>
    <w:rsid w:val="007F11E1"/>
    <w:rsid w:val="007F1243"/>
    <w:rsid w:val="007F13E3"/>
    <w:rsid w:val="007F13ED"/>
    <w:rsid w:val="007F153A"/>
    <w:rsid w:val="007F157E"/>
    <w:rsid w:val="007F169B"/>
    <w:rsid w:val="007F16A8"/>
    <w:rsid w:val="007F16B3"/>
    <w:rsid w:val="007F1702"/>
    <w:rsid w:val="007F179B"/>
    <w:rsid w:val="007F1819"/>
    <w:rsid w:val="007F1ABD"/>
    <w:rsid w:val="007F1B72"/>
    <w:rsid w:val="007F1BA5"/>
    <w:rsid w:val="007F1BE2"/>
    <w:rsid w:val="007F1E8D"/>
    <w:rsid w:val="007F1FDA"/>
    <w:rsid w:val="007F20C6"/>
    <w:rsid w:val="007F2334"/>
    <w:rsid w:val="007F235E"/>
    <w:rsid w:val="007F2600"/>
    <w:rsid w:val="007F26DA"/>
    <w:rsid w:val="007F270E"/>
    <w:rsid w:val="007F2711"/>
    <w:rsid w:val="007F2AE5"/>
    <w:rsid w:val="007F2CA7"/>
    <w:rsid w:val="007F2E46"/>
    <w:rsid w:val="007F2E69"/>
    <w:rsid w:val="007F31C0"/>
    <w:rsid w:val="007F336F"/>
    <w:rsid w:val="007F345F"/>
    <w:rsid w:val="007F3463"/>
    <w:rsid w:val="007F3483"/>
    <w:rsid w:val="007F34C2"/>
    <w:rsid w:val="007F34C6"/>
    <w:rsid w:val="007F35A9"/>
    <w:rsid w:val="007F35F9"/>
    <w:rsid w:val="007F37B4"/>
    <w:rsid w:val="007F38EF"/>
    <w:rsid w:val="007F3920"/>
    <w:rsid w:val="007F39FE"/>
    <w:rsid w:val="007F3C5A"/>
    <w:rsid w:val="007F3CE5"/>
    <w:rsid w:val="007F3EEE"/>
    <w:rsid w:val="007F3F16"/>
    <w:rsid w:val="007F3F38"/>
    <w:rsid w:val="007F405F"/>
    <w:rsid w:val="007F409A"/>
    <w:rsid w:val="007F40C9"/>
    <w:rsid w:val="007F42FE"/>
    <w:rsid w:val="007F43AB"/>
    <w:rsid w:val="007F447E"/>
    <w:rsid w:val="007F464F"/>
    <w:rsid w:val="007F47C3"/>
    <w:rsid w:val="007F482A"/>
    <w:rsid w:val="007F49B9"/>
    <w:rsid w:val="007F4BB0"/>
    <w:rsid w:val="007F4D48"/>
    <w:rsid w:val="007F5184"/>
    <w:rsid w:val="007F51BB"/>
    <w:rsid w:val="007F5245"/>
    <w:rsid w:val="007F5637"/>
    <w:rsid w:val="007F5661"/>
    <w:rsid w:val="007F579F"/>
    <w:rsid w:val="007F59BA"/>
    <w:rsid w:val="007F5A24"/>
    <w:rsid w:val="007F5A2B"/>
    <w:rsid w:val="007F5A52"/>
    <w:rsid w:val="007F5A6F"/>
    <w:rsid w:val="007F5A87"/>
    <w:rsid w:val="007F5D59"/>
    <w:rsid w:val="007F5EB8"/>
    <w:rsid w:val="007F5F4A"/>
    <w:rsid w:val="007F6003"/>
    <w:rsid w:val="007F6288"/>
    <w:rsid w:val="007F62D5"/>
    <w:rsid w:val="007F6351"/>
    <w:rsid w:val="007F63BC"/>
    <w:rsid w:val="007F654D"/>
    <w:rsid w:val="007F67E5"/>
    <w:rsid w:val="007F685E"/>
    <w:rsid w:val="007F6979"/>
    <w:rsid w:val="007F6A0A"/>
    <w:rsid w:val="007F6BD2"/>
    <w:rsid w:val="007F6BF0"/>
    <w:rsid w:val="007F6DE6"/>
    <w:rsid w:val="007F6E9C"/>
    <w:rsid w:val="007F6F52"/>
    <w:rsid w:val="007F7030"/>
    <w:rsid w:val="007F71BF"/>
    <w:rsid w:val="007F72E6"/>
    <w:rsid w:val="007F73A5"/>
    <w:rsid w:val="007F754D"/>
    <w:rsid w:val="007F755B"/>
    <w:rsid w:val="007F764E"/>
    <w:rsid w:val="007F7777"/>
    <w:rsid w:val="007F77A8"/>
    <w:rsid w:val="007F77E1"/>
    <w:rsid w:val="007F78D5"/>
    <w:rsid w:val="007F796F"/>
    <w:rsid w:val="007F7A95"/>
    <w:rsid w:val="007F7A99"/>
    <w:rsid w:val="007F7C3F"/>
    <w:rsid w:val="007F7C41"/>
    <w:rsid w:val="007F7CA8"/>
    <w:rsid w:val="007F7D47"/>
    <w:rsid w:val="007F7DC7"/>
    <w:rsid w:val="0080002A"/>
    <w:rsid w:val="008000C0"/>
    <w:rsid w:val="00800405"/>
    <w:rsid w:val="00800541"/>
    <w:rsid w:val="00800617"/>
    <w:rsid w:val="008008BB"/>
    <w:rsid w:val="008008C3"/>
    <w:rsid w:val="00800916"/>
    <w:rsid w:val="008009FC"/>
    <w:rsid w:val="00800B3A"/>
    <w:rsid w:val="00800C21"/>
    <w:rsid w:val="00800D0B"/>
    <w:rsid w:val="00800E27"/>
    <w:rsid w:val="00801096"/>
    <w:rsid w:val="008011FF"/>
    <w:rsid w:val="0080129D"/>
    <w:rsid w:val="00801449"/>
    <w:rsid w:val="008015BC"/>
    <w:rsid w:val="008016F2"/>
    <w:rsid w:val="00801761"/>
    <w:rsid w:val="008017FA"/>
    <w:rsid w:val="00801903"/>
    <w:rsid w:val="00801943"/>
    <w:rsid w:val="00801EB5"/>
    <w:rsid w:val="00801FBB"/>
    <w:rsid w:val="00801FBE"/>
    <w:rsid w:val="0080241B"/>
    <w:rsid w:val="00802532"/>
    <w:rsid w:val="0080260C"/>
    <w:rsid w:val="00802767"/>
    <w:rsid w:val="00802827"/>
    <w:rsid w:val="00802B35"/>
    <w:rsid w:val="00802B59"/>
    <w:rsid w:val="00802C70"/>
    <w:rsid w:val="00802F6C"/>
    <w:rsid w:val="008030EE"/>
    <w:rsid w:val="00803129"/>
    <w:rsid w:val="00803291"/>
    <w:rsid w:val="00803368"/>
    <w:rsid w:val="00803374"/>
    <w:rsid w:val="008033F2"/>
    <w:rsid w:val="008036B5"/>
    <w:rsid w:val="00803B3C"/>
    <w:rsid w:val="00803C51"/>
    <w:rsid w:val="00803D1D"/>
    <w:rsid w:val="00803D5C"/>
    <w:rsid w:val="00803E45"/>
    <w:rsid w:val="00803F76"/>
    <w:rsid w:val="00803FE6"/>
    <w:rsid w:val="00804085"/>
    <w:rsid w:val="00804396"/>
    <w:rsid w:val="00804429"/>
    <w:rsid w:val="00804768"/>
    <w:rsid w:val="00804819"/>
    <w:rsid w:val="008049FB"/>
    <w:rsid w:val="00804C7B"/>
    <w:rsid w:val="00804EC5"/>
    <w:rsid w:val="00805276"/>
    <w:rsid w:val="0080527C"/>
    <w:rsid w:val="0080540C"/>
    <w:rsid w:val="00805469"/>
    <w:rsid w:val="00805560"/>
    <w:rsid w:val="008055C0"/>
    <w:rsid w:val="008056B0"/>
    <w:rsid w:val="0080572A"/>
    <w:rsid w:val="0080580A"/>
    <w:rsid w:val="00805818"/>
    <w:rsid w:val="00805855"/>
    <w:rsid w:val="00805A96"/>
    <w:rsid w:val="00805B02"/>
    <w:rsid w:val="00805C7D"/>
    <w:rsid w:val="00805C85"/>
    <w:rsid w:val="00805D82"/>
    <w:rsid w:val="00805E14"/>
    <w:rsid w:val="00805E7F"/>
    <w:rsid w:val="00805E89"/>
    <w:rsid w:val="0080612D"/>
    <w:rsid w:val="0080624D"/>
    <w:rsid w:val="00806292"/>
    <w:rsid w:val="0080641E"/>
    <w:rsid w:val="0080678B"/>
    <w:rsid w:val="00806A18"/>
    <w:rsid w:val="00806A8F"/>
    <w:rsid w:val="00806D8E"/>
    <w:rsid w:val="0080705B"/>
    <w:rsid w:val="0080708E"/>
    <w:rsid w:val="008070E4"/>
    <w:rsid w:val="008070F0"/>
    <w:rsid w:val="00807159"/>
    <w:rsid w:val="00807221"/>
    <w:rsid w:val="0080733D"/>
    <w:rsid w:val="008073F3"/>
    <w:rsid w:val="0080764D"/>
    <w:rsid w:val="0080771C"/>
    <w:rsid w:val="00807823"/>
    <w:rsid w:val="00807A0C"/>
    <w:rsid w:val="00807BF3"/>
    <w:rsid w:val="00807CFA"/>
    <w:rsid w:val="00807DD6"/>
    <w:rsid w:val="00807EC0"/>
    <w:rsid w:val="00807F84"/>
    <w:rsid w:val="0081009B"/>
    <w:rsid w:val="0081012B"/>
    <w:rsid w:val="00810130"/>
    <w:rsid w:val="008101C5"/>
    <w:rsid w:val="00810284"/>
    <w:rsid w:val="008102C1"/>
    <w:rsid w:val="008106A1"/>
    <w:rsid w:val="00810734"/>
    <w:rsid w:val="00810755"/>
    <w:rsid w:val="0081095A"/>
    <w:rsid w:val="00810A03"/>
    <w:rsid w:val="00810A62"/>
    <w:rsid w:val="00810BBB"/>
    <w:rsid w:val="00810FD0"/>
    <w:rsid w:val="00810FD1"/>
    <w:rsid w:val="008110BC"/>
    <w:rsid w:val="008110BD"/>
    <w:rsid w:val="008110F5"/>
    <w:rsid w:val="00811149"/>
    <w:rsid w:val="00811336"/>
    <w:rsid w:val="008113A3"/>
    <w:rsid w:val="0081153F"/>
    <w:rsid w:val="0081160A"/>
    <w:rsid w:val="00811850"/>
    <w:rsid w:val="00811C66"/>
    <w:rsid w:val="00811C82"/>
    <w:rsid w:val="00811D70"/>
    <w:rsid w:val="00811DDD"/>
    <w:rsid w:val="00811E23"/>
    <w:rsid w:val="00811F42"/>
    <w:rsid w:val="008120E2"/>
    <w:rsid w:val="00812138"/>
    <w:rsid w:val="00812D92"/>
    <w:rsid w:val="00813108"/>
    <w:rsid w:val="00813246"/>
    <w:rsid w:val="008132E3"/>
    <w:rsid w:val="0081346D"/>
    <w:rsid w:val="0081359D"/>
    <w:rsid w:val="00813625"/>
    <w:rsid w:val="008137B6"/>
    <w:rsid w:val="00813814"/>
    <w:rsid w:val="008138F4"/>
    <w:rsid w:val="0081390C"/>
    <w:rsid w:val="00813968"/>
    <w:rsid w:val="0081399C"/>
    <w:rsid w:val="00813E12"/>
    <w:rsid w:val="00813E32"/>
    <w:rsid w:val="0081453A"/>
    <w:rsid w:val="0081498A"/>
    <w:rsid w:val="00814CAF"/>
    <w:rsid w:val="00814DDE"/>
    <w:rsid w:val="00814F1A"/>
    <w:rsid w:val="00814FCA"/>
    <w:rsid w:val="0081501F"/>
    <w:rsid w:val="008151D8"/>
    <w:rsid w:val="00815370"/>
    <w:rsid w:val="008155AA"/>
    <w:rsid w:val="00815790"/>
    <w:rsid w:val="00815A5C"/>
    <w:rsid w:val="00815B96"/>
    <w:rsid w:val="00815DD9"/>
    <w:rsid w:val="00815E38"/>
    <w:rsid w:val="00815E71"/>
    <w:rsid w:val="00815EB7"/>
    <w:rsid w:val="00815F9C"/>
    <w:rsid w:val="008162DE"/>
    <w:rsid w:val="0081630A"/>
    <w:rsid w:val="00816470"/>
    <w:rsid w:val="00816485"/>
    <w:rsid w:val="008165A6"/>
    <w:rsid w:val="00816796"/>
    <w:rsid w:val="00816B5F"/>
    <w:rsid w:val="00816D7B"/>
    <w:rsid w:val="00816D7F"/>
    <w:rsid w:val="00816F0C"/>
    <w:rsid w:val="00816FA8"/>
    <w:rsid w:val="008170BC"/>
    <w:rsid w:val="008172B2"/>
    <w:rsid w:val="008173D9"/>
    <w:rsid w:val="0081740E"/>
    <w:rsid w:val="00817585"/>
    <w:rsid w:val="00817810"/>
    <w:rsid w:val="0081798E"/>
    <w:rsid w:val="008179CB"/>
    <w:rsid w:val="00817BA3"/>
    <w:rsid w:val="00817CD9"/>
    <w:rsid w:val="00817D97"/>
    <w:rsid w:val="00817EB8"/>
    <w:rsid w:val="00817FFA"/>
    <w:rsid w:val="0082012D"/>
    <w:rsid w:val="00820187"/>
    <w:rsid w:val="008201C6"/>
    <w:rsid w:val="008203BE"/>
    <w:rsid w:val="0082047F"/>
    <w:rsid w:val="008204C8"/>
    <w:rsid w:val="00820520"/>
    <w:rsid w:val="008205D1"/>
    <w:rsid w:val="0082071B"/>
    <w:rsid w:val="008208E5"/>
    <w:rsid w:val="00820B87"/>
    <w:rsid w:val="00820CE2"/>
    <w:rsid w:val="00820D19"/>
    <w:rsid w:val="00820D3E"/>
    <w:rsid w:val="00820D68"/>
    <w:rsid w:val="00820FA7"/>
    <w:rsid w:val="0082110E"/>
    <w:rsid w:val="00821404"/>
    <w:rsid w:val="0082152C"/>
    <w:rsid w:val="00821757"/>
    <w:rsid w:val="00821781"/>
    <w:rsid w:val="00821853"/>
    <w:rsid w:val="00821949"/>
    <w:rsid w:val="00821B31"/>
    <w:rsid w:val="00821DC8"/>
    <w:rsid w:val="00821DDE"/>
    <w:rsid w:val="00822253"/>
    <w:rsid w:val="008222DE"/>
    <w:rsid w:val="008226D8"/>
    <w:rsid w:val="00822765"/>
    <w:rsid w:val="00822804"/>
    <w:rsid w:val="00822873"/>
    <w:rsid w:val="00822DD3"/>
    <w:rsid w:val="0082311B"/>
    <w:rsid w:val="00823297"/>
    <w:rsid w:val="008234E0"/>
    <w:rsid w:val="00823530"/>
    <w:rsid w:val="00823568"/>
    <w:rsid w:val="00823D23"/>
    <w:rsid w:val="00823D62"/>
    <w:rsid w:val="00823E3F"/>
    <w:rsid w:val="00823F25"/>
    <w:rsid w:val="00823F27"/>
    <w:rsid w:val="00823FEA"/>
    <w:rsid w:val="0082419C"/>
    <w:rsid w:val="00824209"/>
    <w:rsid w:val="008243B7"/>
    <w:rsid w:val="008245B4"/>
    <w:rsid w:val="008248D8"/>
    <w:rsid w:val="00824AD9"/>
    <w:rsid w:val="00824B71"/>
    <w:rsid w:val="00824C6E"/>
    <w:rsid w:val="00824D5E"/>
    <w:rsid w:val="00824EE0"/>
    <w:rsid w:val="008251F5"/>
    <w:rsid w:val="00825208"/>
    <w:rsid w:val="0082539D"/>
    <w:rsid w:val="008253B3"/>
    <w:rsid w:val="0082550E"/>
    <w:rsid w:val="008255B3"/>
    <w:rsid w:val="00825848"/>
    <w:rsid w:val="0082585A"/>
    <w:rsid w:val="0082599C"/>
    <w:rsid w:val="008259BC"/>
    <w:rsid w:val="008259C2"/>
    <w:rsid w:val="00825CBE"/>
    <w:rsid w:val="00825CCC"/>
    <w:rsid w:val="00825DB4"/>
    <w:rsid w:val="0082607B"/>
    <w:rsid w:val="00826089"/>
    <w:rsid w:val="008261C1"/>
    <w:rsid w:val="008262C3"/>
    <w:rsid w:val="00826396"/>
    <w:rsid w:val="00826487"/>
    <w:rsid w:val="00826586"/>
    <w:rsid w:val="0082659E"/>
    <w:rsid w:val="008265B6"/>
    <w:rsid w:val="008265F1"/>
    <w:rsid w:val="0082664A"/>
    <w:rsid w:val="0082680B"/>
    <w:rsid w:val="008268A2"/>
    <w:rsid w:val="00826C9F"/>
    <w:rsid w:val="00826CE2"/>
    <w:rsid w:val="00826CE5"/>
    <w:rsid w:val="00826D7C"/>
    <w:rsid w:val="00826E65"/>
    <w:rsid w:val="00826F0E"/>
    <w:rsid w:val="00826F64"/>
    <w:rsid w:val="00826F71"/>
    <w:rsid w:val="00827090"/>
    <w:rsid w:val="00827181"/>
    <w:rsid w:val="00827280"/>
    <w:rsid w:val="0082735A"/>
    <w:rsid w:val="0082736D"/>
    <w:rsid w:val="008274EA"/>
    <w:rsid w:val="0082785F"/>
    <w:rsid w:val="00827A3A"/>
    <w:rsid w:val="00827AD2"/>
    <w:rsid w:val="00827B98"/>
    <w:rsid w:val="008301C3"/>
    <w:rsid w:val="00830232"/>
    <w:rsid w:val="0083067C"/>
    <w:rsid w:val="008306CC"/>
    <w:rsid w:val="008308E1"/>
    <w:rsid w:val="00830A10"/>
    <w:rsid w:val="00830AB8"/>
    <w:rsid w:val="00830B88"/>
    <w:rsid w:val="00830BE6"/>
    <w:rsid w:val="00830C08"/>
    <w:rsid w:val="00830D0E"/>
    <w:rsid w:val="0083112B"/>
    <w:rsid w:val="00831130"/>
    <w:rsid w:val="008313AE"/>
    <w:rsid w:val="008317D1"/>
    <w:rsid w:val="00831873"/>
    <w:rsid w:val="008318B5"/>
    <w:rsid w:val="00831953"/>
    <w:rsid w:val="00831C72"/>
    <w:rsid w:val="00831E87"/>
    <w:rsid w:val="00831EE5"/>
    <w:rsid w:val="00831F3C"/>
    <w:rsid w:val="008320E1"/>
    <w:rsid w:val="00832184"/>
    <w:rsid w:val="00832297"/>
    <w:rsid w:val="008322E6"/>
    <w:rsid w:val="008322EE"/>
    <w:rsid w:val="0083237B"/>
    <w:rsid w:val="008324AC"/>
    <w:rsid w:val="008324B2"/>
    <w:rsid w:val="008324F3"/>
    <w:rsid w:val="0083269A"/>
    <w:rsid w:val="00832A60"/>
    <w:rsid w:val="00832B16"/>
    <w:rsid w:val="00832B6F"/>
    <w:rsid w:val="00832C48"/>
    <w:rsid w:val="00832D22"/>
    <w:rsid w:val="00833020"/>
    <w:rsid w:val="008331A5"/>
    <w:rsid w:val="008332AF"/>
    <w:rsid w:val="008332D7"/>
    <w:rsid w:val="0083331B"/>
    <w:rsid w:val="0083347E"/>
    <w:rsid w:val="0083367D"/>
    <w:rsid w:val="0083388E"/>
    <w:rsid w:val="00833B5C"/>
    <w:rsid w:val="00833B72"/>
    <w:rsid w:val="00833D2A"/>
    <w:rsid w:val="00833D82"/>
    <w:rsid w:val="00833E39"/>
    <w:rsid w:val="00833FF5"/>
    <w:rsid w:val="0083405F"/>
    <w:rsid w:val="008341DD"/>
    <w:rsid w:val="008342C6"/>
    <w:rsid w:val="008343FF"/>
    <w:rsid w:val="0083443B"/>
    <w:rsid w:val="008345EF"/>
    <w:rsid w:val="00834646"/>
    <w:rsid w:val="008347EB"/>
    <w:rsid w:val="008348FE"/>
    <w:rsid w:val="008349CC"/>
    <w:rsid w:val="008351C8"/>
    <w:rsid w:val="008352A8"/>
    <w:rsid w:val="00835338"/>
    <w:rsid w:val="008353A5"/>
    <w:rsid w:val="00835446"/>
    <w:rsid w:val="00835494"/>
    <w:rsid w:val="008357FA"/>
    <w:rsid w:val="008358A0"/>
    <w:rsid w:val="00835963"/>
    <w:rsid w:val="00835975"/>
    <w:rsid w:val="00835996"/>
    <w:rsid w:val="008359FB"/>
    <w:rsid w:val="00835B7C"/>
    <w:rsid w:val="00835C9E"/>
    <w:rsid w:val="00835D24"/>
    <w:rsid w:val="00835E02"/>
    <w:rsid w:val="00835F64"/>
    <w:rsid w:val="00835F6B"/>
    <w:rsid w:val="008361B2"/>
    <w:rsid w:val="00836262"/>
    <w:rsid w:val="008364F6"/>
    <w:rsid w:val="00836559"/>
    <w:rsid w:val="00836627"/>
    <w:rsid w:val="00836651"/>
    <w:rsid w:val="0083675A"/>
    <w:rsid w:val="00836A53"/>
    <w:rsid w:val="00836B04"/>
    <w:rsid w:val="00836BB4"/>
    <w:rsid w:val="00836BC7"/>
    <w:rsid w:val="00836D78"/>
    <w:rsid w:val="00836EA1"/>
    <w:rsid w:val="00836F62"/>
    <w:rsid w:val="00837011"/>
    <w:rsid w:val="0083704B"/>
    <w:rsid w:val="00837066"/>
    <w:rsid w:val="008370C5"/>
    <w:rsid w:val="00837269"/>
    <w:rsid w:val="00837388"/>
    <w:rsid w:val="008373E7"/>
    <w:rsid w:val="00837496"/>
    <w:rsid w:val="00837642"/>
    <w:rsid w:val="008376B4"/>
    <w:rsid w:val="0083770D"/>
    <w:rsid w:val="0083774B"/>
    <w:rsid w:val="00837787"/>
    <w:rsid w:val="0083781C"/>
    <w:rsid w:val="00837879"/>
    <w:rsid w:val="00837A33"/>
    <w:rsid w:val="00840039"/>
    <w:rsid w:val="0084011A"/>
    <w:rsid w:val="00840234"/>
    <w:rsid w:val="0084035B"/>
    <w:rsid w:val="008403DC"/>
    <w:rsid w:val="008404BF"/>
    <w:rsid w:val="00840605"/>
    <w:rsid w:val="00840704"/>
    <w:rsid w:val="008407CC"/>
    <w:rsid w:val="00840886"/>
    <w:rsid w:val="00840952"/>
    <w:rsid w:val="00840C2B"/>
    <w:rsid w:val="00840DB8"/>
    <w:rsid w:val="00840E21"/>
    <w:rsid w:val="00840EF0"/>
    <w:rsid w:val="00840F5F"/>
    <w:rsid w:val="00841736"/>
    <w:rsid w:val="0084173A"/>
    <w:rsid w:val="008417C2"/>
    <w:rsid w:val="00841909"/>
    <w:rsid w:val="008419FA"/>
    <w:rsid w:val="00841AA3"/>
    <w:rsid w:val="00841C52"/>
    <w:rsid w:val="00841F24"/>
    <w:rsid w:val="008423F1"/>
    <w:rsid w:val="0084245C"/>
    <w:rsid w:val="00842614"/>
    <w:rsid w:val="0084262F"/>
    <w:rsid w:val="00842B37"/>
    <w:rsid w:val="00842B9D"/>
    <w:rsid w:val="00842BE9"/>
    <w:rsid w:val="00842C6C"/>
    <w:rsid w:val="00842CC0"/>
    <w:rsid w:val="00842F0E"/>
    <w:rsid w:val="00842FC6"/>
    <w:rsid w:val="008430B3"/>
    <w:rsid w:val="00843122"/>
    <w:rsid w:val="0084328E"/>
    <w:rsid w:val="008434B4"/>
    <w:rsid w:val="008434C4"/>
    <w:rsid w:val="008435B2"/>
    <w:rsid w:val="008435C0"/>
    <w:rsid w:val="008436FC"/>
    <w:rsid w:val="00843A6E"/>
    <w:rsid w:val="00843A70"/>
    <w:rsid w:val="00843B2A"/>
    <w:rsid w:val="00843B59"/>
    <w:rsid w:val="00843CBA"/>
    <w:rsid w:val="00843E69"/>
    <w:rsid w:val="008440C3"/>
    <w:rsid w:val="00844159"/>
    <w:rsid w:val="008441AC"/>
    <w:rsid w:val="0084435B"/>
    <w:rsid w:val="00844798"/>
    <w:rsid w:val="00844916"/>
    <w:rsid w:val="00844A4E"/>
    <w:rsid w:val="00844E19"/>
    <w:rsid w:val="00844E3C"/>
    <w:rsid w:val="00844E92"/>
    <w:rsid w:val="00844EE0"/>
    <w:rsid w:val="00844EFF"/>
    <w:rsid w:val="00845055"/>
    <w:rsid w:val="00845103"/>
    <w:rsid w:val="008452F1"/>
    <w:rsid w:val="00845324"/>
    <w:rsid w:val="00845424"/>
    <w:rsid w:val="0084542C"/>
    <w:rsid w:val="0084549A"/>
    <w:rsid w:val="008455A7"/>
    <w:rsid w:val="008455C3"/>
    <w:rsid w:val="008456EE"/>
    <w:rsid w:val="0084573A"/>
    <w:rsid w:val="008457C4"/>
    <w:rsid w:val="0084582C"/>
    <w:rsid w:val="008459AA"/>
    <w:rsid w:val="00845A46"/>
    <w:rsid w:val="00845CA9"/>
    <w:rsid w:val="00845E20"/>
    <w:rsid w:val="00845E2E"/>
    <w:rsid w:val="0084615D"/>
    <w:rsid w:val="00846211"/>
    <w:rsid w:val="00846221"/>
    <w:rsid w:val="00846527"/>
    <w:rsid w:val="0084653F"/>
    <w:rsid w:val="008465D4"/>
    <w:rsid w:val="008466BB"/>
    <w:rsid w:val="008467E4"/>
    <w:rsid w:val="00846938"/>
    <w:rsid w:val="00846997"/>
    <w:rsid w:val="00846A96"/>
    <w:rsid w:val="00846CC8"/>
    <w:rsid w:val="00846D43"/>
    <w:rsid w:val="00847061"/>
    <w:rsid w:val="008473C6"/>
    <w:rsid w:val="0084747C"/>
    <w:rsid w:val="00847488"/>
    <w:rsid w:val="0084748D"/>
    <w:rsid w:val="00847523"/>
    <w:rsid w:val="00847718"/>
    <w:rsid w:val="00847949"/>
    <w:rsid w:val="008479AC"/>
    <w:rsid w:val="00847BD2"/>
    <w:rsid w:val="00847BE5"/>
    <w:rsid w:val="00847D0E"/>
    <w:rsid w:val="00847D87"/>
    <w:rsid w:val="00847DF6"/>
    <w:rsid w:val="008500B4"/>
    <w:rsid w:val="008500EB"/>
    <w:rsid w:val="0085022A"/>
    <w:rsid w:val="0085045E"/>
    <w:rsid w:val="008504AE"/>
    <w:rsid w:val="008505BF"/>
    <w:rsid w:val="008506A4"/>
    <w:rsid w:val="0085077B"/>
    <w:rsid w:val="008509A2"/>
    <w:rsid w:val="00850BFB"/>
    <w:rsid w:val="00850E1A"/>
    <w:rsid w:val="00850F37"/>
    <w:rsid w:val="0085112E"/>
    <w:rsid w:val="008511CB"/>
    <w:rsid w:val="008511D5"/>
    <w:rsid w:val="00851241"/>
    <w:rsid w:val="00851421"/>
    <w:rsid w:val="00851590"/>
    <w:rsid w:val="00851AA0"/>
    <w:rsid w:val="00851AD2"/>
    <w:rsid w:val="00851C97"/>
    <w:rsid w:val="00851CA5"/>
    <w:rsid w:val="00851D1D"/>
    <w:rsid w:val="00851D6B"/>
    <w:rsid w:val="00851DA2"/>
    <w:rsid w:val="00851EFB"/>
    <w:rsid w:val="00851F45"/>
    <w:rsid w:val="00851F4B"/>
    <w:rsid w:val="00851F8A"/>
    <w:rsid w:val="00852088"/>
    <w:rsid w:val="0085213E"/>
    <w:rsid w:val="0085229B"/>
    <w:rsid w:val="00852377"/>
    <w:rsid w:val="0085260E"/>
    <w:rsid w:val="0085264A"/>
    <w:rsid w:val="00852883"/>
    <w:rsid w:val="00852979"/>
    <w:rsid w:val="0085299D"/>
    <w:rsid w:val="00852B06"/>
    <w:rsid w:val="00852FE1"/>
    <w:rsid w:val="0085304A"/>
    <w:rsid w:val="00853150"/>
    <w:rsid w:val="008532FA"/>
    <w:rsid w:val="0085332E"/>
    <w:rsid w:val="0085336A"/>
    <w:rsid w:val="0085346A"/>
    <w:rsid w:val="00853497"/>
    <w:rsid w:val="008534E7"/>
    <w:rsid w:val="0085355E"/>
    <w:rsid w:val="008535FB"/>
    <w:rsid w:val="008536CC"/>
    <w:rsid w:val="00853779"/>
    <w:rsid w:val="008539F4"/>
    <w:rsid w:val="00853D1A"/>
    <w:rsid w:val="00853D8A"/>
    <w:rsid w:val="00853E6E"/>
    <w:rsid w:val="00853FF8"/>
    <w:rsid w:val="008545FB"/>
    <w:rsid w:val="008547CA"/>
    <w:rsid w:val="008549AF"/>
    <w:rsid w:val="00854A3B"/>
    <w:rsid w:val="00854AA1"/>
    <w:rsid w:val="00854B57"/>
    <w:rsid w:val="00854C02"/>
    <w:rsid w:val="00854C7A"/>
    <w:rsid w:val="00854CCC"/>
    <w:rsid w:val="00854E5D"/>
    <w:rsid w:val="00854E9C"/>
    <w:rsid w:val="0085506D"/>
    <w:rsid w:val="008550B3"/>
    <w:rsid w:val="00855300"/>
    <w:rsid w:val="00855702"/>
    <w:rsid w:val="00855833"/>
    <w:rsid w:val="00855A1A"/>
    <w:rsid w:val="00855ABD"/>
    <w:rsid w:val="00855C2F"/>
    <w:rsid w:val="00855FBF"/>
    <w:rsid w:val="00856132"/>
    <w:rsid w:val="0085619F"/>
    <w:rsid w:val="008562D5"/>
    <w:rsid w:val="0085661E"/>
    <w:rsid w:val="0085678E"/>
    <w:rsid w:val="008567B2"/>
    <w:rsid w:val="008567E6"/>
    <w:rsid w:val="00856C87"/>
    <w:rsid w:val="00856D8A"/>
    <w:rsid w:val="00856EA8"/>
    <w:rsid w:val="00856F2D"/>
    <w:rsid w:val="00856F58"/>
    <w:rsid w:val="00857120"/>
    <w:rsid w:val="00857314"/>
    <w:rsid w:val="008576B0"/>
    <w:rsid w:val="00857731"/>
    <w:rsid w:val="00857961"/>
    <w:rsid w:val="008579AA"/>
    <w:rsid w:val="008579D5"/>
    <w:rsid w:val="00857A3E"/>
    <w:rsid w:val="00857D74"/>
    <w:rsid w:val="00857E26"/>
    <w:rsid w:val="00857E7A"/>
    <w:rsid w:val="00857FDA"/>
    <w:rsid w:val="0086011D"/>
    <w:rsid w:val="00860424"/>
    <w:rsid w:val="008604A3"/>
    <w:rsid w:val="008604BF"/>
    <w:rsid w:val="00860642"/>
    <w:rsid w:val="008606A9"/>
    <w:rsid w:val="00860798"/>
    <w:rsid w:val="008607B3"/>
    <w:rsid w:val="00860A23"/>
    <w:rsid w:val="00860AAC"/>
    <w:rsid w:val="00860ABE"/>
    <w:rsid w:val="00860B38"/>
    <w:rsid w:val="00861002"/>
    <w:rsid w:val="0086128B"/>
    <w:rsid w:val="0086129F"/>
    <w:rsid w:val="0086147D"/>
    <w:rsid w:val="00861570"/>
    <w:rsid w:val="008615C0"/>
    <w:rsid w:val="008615C2"/>
    <w:rsid w:val="008615F9"/>
    <w:rsid w:val="008618D5"/>
    <w:rsid w:val="0086194E"/>
    <w:rsid w:val="0086198B"/>
    <w:rsid w:val="00861B09"/>
    <w:rsid w:val="00861CB8"/>
    <w:rsid w:val="00861D72"/>
    <w:rsid w:val="00861D96"/>
    <w:rsid w:val="00861EEB"/>
    <w:rsid w:val="00861EF3"/>
    <w:rsid w:val="00861FE3"/>
    <w:rsid w:val="00861FF0"/>
    <w:rsid w:val="008621CD"/>
    <w:rsid w:val="00862267"/>
    <w:rsid w:val="008622B9"/>
    <w:rsid w:val="008623DE"/>
    <w:rsid w:val="008623F5"/>
    <w:rsid w:val="0086252D"/>
    <w:rsid w:val="00862606"/>
    <w:rsid w:val="0086265D"/>
    <w:rsid w:val="0086284B"/>
    <w:rsid w:val="00862901"/>
    <w:rsid w:val="008629A1"/>
    <w:rsid w:val="008629EC"/>
    <w:rsid w:val="00862A26"/>
    <w:rsid w:val="00862A5F"/>
    <w:rsid w:val="00862A94"/>
    <w:rsid w:val="00862AFA"/>
    <w:rsid w:val="00862BF6"/>
    <w:rsid w:val="00862E7B"/>
    <w:rsid w:val="0086320F"/>
    <w:rsid w:val="00863266"/>
    <w:rsid w:val="0086351A"/>
    <w:rsid w:val="008637EE"/>
    <w:rsid w:val="008638A5"/>
    <w:rsid w:val="008638E2"/>
    <w:rsid w:val="00863A07"/>
    <w:rsid w:val="00863A16"/>
    <w:rsid w:val="00863C64"/>
    <w:rsid w:val="00863DFB"/>
    <w:rsid w:val="00863EA3"/>
    <w:rsid w:val="00863EA9"/>
    <w:rsid w:val="00863FBF"/>
    <w:rsid w:val="00863FDC"/>
    <w:rsid w:val="0086415C"/>
    <w:rsid w:val="00864194"/>
    <w:rsid w:val="0086435F"/>
    <w:rsid w:val="008648AA"/>
    <w:rsid w:val="008649EF"/>
    <w:rsid w:val="00864A3B"/>
    <w:rsid w:val="00864B45"/>
    <w:rsid w:val="00864E54"/>
    <w:rsid w:val="00864E65"/>
    <w:rsid w:val="00864F1D"/>
    <w:rsid w:val="00864F21"/>
    <w:rsid w:val="00864F3B"/>
    <w:rsid w:val="008650B4"/>
    <w:rsid w:val="008651CF"/>
    <w:rsid w:val="00865223"/>
    <w:rsid w:val="00865251"/>
    <w:rsid w:val="008652A5"/>
    <w:rsid w:val="00865485"/>
    <w:rsid w:val="00865596"/>
    <w:rsid w:val="0086584C"/>
    <w:rsid w:val="00865A17"/>
    <w:rsid w:val="00865D64"/>
    <w:rsid w:val="00865F31"/>
    <w:rsid w:val="00866088"/>
    <w:rsid w:val="00866109"/>
    <w:rsid w:val="00866111"/>
    <w:rsid w:val="00866476"/>
    <w:rsid w:val="008664E5"/>
    <w:rsid w:val="0086657D"/>
    <w:rsid w:val="008666CE"/>
    <w:rsid w:val="008666E6"/>
    <w:rsid w:val="00866A99"/>
    <w:rsid w:val="00866BD3"/>
    <w:rsid w:val="00866BEC"/>
    <w:rsid w:val="00866C92"/>
    <w:rsid w:val="00866CBB"/>
    <w:rsid w:val="00866CCC"/>
    <w:rsid w:val="00866D52"/>
    <w:rsid w:val="00866D59"/>
    <w:rsid w:val="00866F5E"/>
    <w:rsid w:val="00867021"/>
    <w:rsid w:val="008670AF"/>
    <w:rsid w:val="00867566"/>
    <w:rsid w:val="00867728"/>
    <w:rsid w:val="0086783E"/>
    <w:rsid w:val="0086786C"/>
    <w:rsid w:val="00867A22"/>
    <w:rsid w:val="00867A72"/>
    <w:rsid w:val="00867DC7"/>
    <w:rsid w:val="00867F8E"/>
    <w:rsid w:val="0087007D"/>
    <w:rsid w:val="00870595"/>
    <w:rsid w:val="00870710"/>
    <w:rsid w:val="00870763"/>
    <w:rsid w:val="00870853"/>
    <w:rsid w:val="008708D4"/>
    <w:rsid w:val="008709FE"/>
    <w:rsid w:val="00870AA4"/>
    <w:rsid w:val="00870B2C"/>
    <w:rsid w:val="00870B5F"/>
    <w:rsid w:val="00870C5C"/>
    <w:rsid w:val="00870D86"/>
    <w:rsid w:val="00870EB3"/>
    <w:rsid w:val="00870F74"/>
    <w:rsid w:val="008712C9"/>
    <w:rsid w:val="008713FE"/>
    <w:rsid w:val="008715FB"/>
    <w:rsid w:val="00871B44"/>
    <w:rsid w:val="00871BED"/>
    <w:rsid w:val="00871E96"/>
    <w:rsid w:val="00872038"/>
    <w:rsid w:val="00872069"/>
    <w:rsid w:val="0087208C"/>
    <w:rsid w:val="00872774"/>
    <w:rsid w:val="008727A8"/>
    <w:rsid w:val="00872943"/>
    <w:rsid w:val="008729C4"/>
    <w:rsid w:val="00872A30"/>
    <w:rsid w:val="00872E51"/>
    <w:rsid w:val="00872FBF"/>
    <w:rsid w:val="00873048"/>
    <w:rsid w:val="00873231"/>
    <w:rsid w:val="0087329B"/>
    <w:rsid w:val="008734BF"/>
    <w:rsid w:val="0087375A"/>
    <w:rsid w:val="00873850"/>
    <w:rsid w:val="008738C0"/>
    <w:rsid w:val="00873992"/>
    <w:rsid w:val="00873B3E"/>
    <w:rsid w:val="00873B43"/>
    <w:rsid w:val="00873E16"/>
    <w:rsid w:val="00873FA3"/>
    <w:rsid w:val="00873FE0"/>
    <w:rsid w:val="00874271"/>
    <w:rsid w:val="00874BB5"/>
    <w:rsid w:val="00874BCC"/>
    <w:rsid w:val="00874C0F"/>
    <w:rsid w:val="00874CC8"/>
    <w:rsid w:val="00874D23"/>
    <w:rsid w:val="00874E2D"/>
    <w:rsid w:val="00875364"/>
    <w:rsid w:val="00875401"/>
    <w:rsid w:val="00875689"/>
    <w:rsid w:val="008757A6"/>
    <w:rsid w:val="0087599E"/>
    <w:rsid w:val="00875A28"/>
    <w:rsid w:val="00875A9B"/>
    <w:rsid w:val="00875C23"/>
    <w:rsid w:val="00875EBD"/>
    <w:rsid w:val="00875F18"/>
    <w:rsid w:val="00876287"/>
    <w:rsid w:val="0087635E"/>
    <w:rsid w:val="008764D7"/>
    <w:rsid w:val="00876690"/>
    <w:rsid w:val="00876731"/>
    <w:rsid w:val="00876780"/>
    <w:rsid w:val="008768B8"/>
    <w:rsid w:val="0087694A"/>
    <w:rsid w:val="00876E36"/>
    <w:rsid w:val="00877263"/>
    <w:rsid w:val="008774BC"/>
    <w:rsid w:val="0087750A"/>
    <w:rsid w:val="0087754D"/>
    <w:rsid w:val="008775EA"/>
    <w:rsid w:val="00877666"/>
    <w:rsid w:val="00877690"/>
    <w:rsid w:val="00877A1A"/>
    <w:rsid w:val="00877A89"/>
    <w:rsid w:val="00877CEF"/>
    <w:rsid w:val="00877D36"/>
    <w:rsid w:val="008800B2"/>
    <w:rsid w:val="0088023C"/>
    <w:rsid w:val="00880328"/>
    <w:rsid w:val="00880360"/>
    <w:rsid w:val="0088045D"/>
    <w:rsid w:val="008804A7"/>
    <w:rsid w:val="00880525"/>
    <w:rsid w:val="008805E1"/>
    <w:rsid w:val="008806E1"/>
    <w:rsid w:val="00880785"/>
    <w:rsid w:val="008809C9"/>
    <w:rsid w:val="00880A88"/>
    <w:rsid w:val="00880ADA"/>
    <w:rsid w:val="00880AEB"/>
    <w:rsid w:val="00880C46"/>
    <w:rsid w:val="00880C67"/>
    <w:rsid w:val="00880D61"/>
    <w:rsid w:val="00881082"/>
    <w:rsid w:val="0088113E"/>
    <w:rsid w:val="008811E8"/>
    <w:rsid w:val="00881505"/>
    <w:rsid w:val="00881581"/>
    <w:rsid w:val="00881688"/>
    <w:rsid w:val="008816C1"/>
    <w:rsid w:val="00881A13"/>
    <w:rsid w:val="00881BD1"/>
    <w:rsid w:val="00881C70"/>
    <w:rsid w:val="00881C78"/>
    <w:rsid w:val="00881D1D"/>
    <w:rsid w:val="00881E3B"/>
    <w:rsid w:val="00881E75"/>
    <w:rsid w:val="00882314"/>
    <w:rsid w:val="00882451"/>
    <w:rsid w:val="008824CB"/>
    <w:rsid w:val="0088263A"/>
    <w:rsid w:val="00882706"/>
    <w:rsid w:val="008829C4"/>
    <w:rsid w:val="00882A1E"/>
    <w:rsid w:val="00882C10"/>
    <w:rsid w:val="00882F4B"/>
    <w:rsid w:val="00882F62"/>
    <w:rsid w:val="00882FE1"/>
    <w:rsid w:val="00883133"/>
    <w:rsid w:val="00883241"/>
    <w:rsid w:val="008833BC"/>
    <w:rsid w:val="008833DE"/>
    <w:rsid w:val="0088344C"/>
    <w:rsid w:val="008834B2"/>
    <w:rsid w:val="008836E3"/>
    <w:rsid w:val="008836F8"/>
    <w:rsid w:val="008837BA"/>
    <w:rsid w:val="00883874"/>
    <w:rsid w:val="008838EA"/>
    <w:rsid w:val="00883DA9"/>
    <w:rsid w:val="00883E63"/>
    <w:rsid w:val="00883ECC"/>
    <w:rsid w:val="00883FD3"/>
    <w:rsid w:val="0088409A"/>
    <w:rsid w:val="0088415E"/>
    <w:rsid w:val="00884245"/>
    <w:rsid w:val="00884274"/>
    <w:rsid w:val="008842ED"/>
    <w:rsid w:val="00884354"/>
    <w:rsid w:val="008843B7"/>
    <w:rsid w:val="008843FF"/>
    <w:rsid w:val="00884837"/>
    <w:rsid w:val="0088493A"/>
    <w:rsid w:val="008849B1"/>
    <w:rsid w:val="00884ABA"/>
    <w:rsid w:val="00884AD9"/>
    <w:rsid w:val="00884B1A"/>
    <w:rsid w:val="00884C6B"/>
    <w:rsid w:val="00884CBE"/>
    <w:rsid w:val="00884D56"/>
    <w:rsid w:val="00884F53"/>
    <w:rsid w:val="00884F63"/>
    <w:rsid w:val="00884F9E"/>
    <w:rsid w:val="00885020"/>
    <w:rsid w:val="008850F6"/>
    <w:rsid w:val="00885146"/>
    <w:rsid w:val="008851BB"/>
    <w:rsid w:val="00885463"/>
    <w:rsid w:val="0088565D"/>
    <w:rsid w:val="00885839"/>
    <w:rsid w:val="00885855"/>
    <w:rsid w:val="008859DD"/>
    <w:rsid w:val="00885A1C"/>
    <w:rsid w:val="00885AC8"/>
    <w:rsid w:val="00885B84"/>
    <w:rsid w:val="00885C80"/>
    <w:rsid w:val="00885E01"/>
    <w:rsid w:val="00885E49"/>
    <w:rsid w:val="00885F07"/>
    <w:rsid w:val="00886135"/>
    <w:rsid w:val="0088631E"/>
    <w:rsid w:val="008863F4"/>
    <w:rsid w:val="008866AE"/>
    <w:rsid w:val="008866AF"/>
    <w:rsid w:val="00886A33"/>
    <w:rsid w:val="00886C53"/>
    <w:rsid w:val="00887126"/>
    <w:rsid w:val="00887246"/>
    <w:rsid w:val="008873CA"/>
    <w:rsid w:val="00887415"/>
    <w:rsid w:val="00887513"/>
    <w:rsid w:val="00887538"/>
    <w:rsid w:val="00887784"/>
    <w:rsid w:val="008877C8"/>
    <w:rsid w:val="0088781C"/>
    <w:rsid w:val="008878BD"/>
    <w:rsid w:val="008879A2"/>
    <w:rsid w:val="00887A5F"/>
    <w:rsid w:val="00887B19"/>
    <w:rsid w:val="00887B46"/>
    <w:rsid w:val="00887B85"/>
    <w:rsid w:val="00887C05"/>
    <w:rsid w:val="00887F4B"/>
    <w:rsid w:val="00887F4F"/>
    <w:rsid w:val="00887F86"/>
    <w:rsid w:val="008901AB"/>
    <w:rsid w:val="00890250"/>
    <w:rsid w:val="0089026E"/>
    <w:rsid w:val="00890290"/>
    <w:rsid w:val="008903E9"/>
    <w:rsid w:val="0089041B"/>
    <w:rsid w:val="00890439"/>
    <w:rsid w:val="008906CF"/>
    <w:rsid w:val="0089070A"/>
    <w:rsid w:val="008907C7"/>
    <w:rsid w:val="0089085F"/>
    <w:rsid w:val="00890A6C"/>
    <w:rsid w:val="00890AA4"/>
    <w:rsid w:val="00890B55"/>
    <w:rsid w:val="00890BA2"/>
    <w:rsid w:val="00890CBE"/>
    <w:rsid w:val="00890D39"/>
    <w:rsid w:val="00890DB8"/>
    <w:rsid w:val="00890DD4"/>
    <w:rsid w:val="00890E28"/>
    <w:rsid w:val="00890F0D"/>
    <w:rsid w:val="00890F42"/>
    <w:rsid w:val="008910DB"/>
    <w:rsid w:val="00891262"/>
    <w:rsid w:val="00891299"/>
    <w:rsid w:val="008912A5"/>
    <w:rsid w:val="008912B6"/>
    <w:rsid w:val="008914BC"/>
    <w:rsid w:val="0089172F"/>
    <w:rsid w:val="00891939"/>
    <w:rsid w:val="00891A9E"/>
    <w:rsid w:val="00891DA7"/>
    <w:rsid w:val="00892210"/>
    <w:rsid w:val="008922C2"/>
    <w:rsid w:val="008924C5"/>
    <w:rsid w:val="0089258E"/>
    <w:rsid w:val="00892633"/>
    <w:rsid w:val="008926BB"/>
    <w:rsid w:val="008928C8"/>
    <w:rsid w:val="0089294A"/>
    <w:rsid w:val="00892CA0"/>
    <w:rsid w:val="00892CF8"/>
    <w:rsid w:val="00892D05"/>
    <w:rsid w:val="00892DEA"/>
    <w:rsid w:val="00892DFC"/>
    <w:rsid w:val="008930CF"/>
    <w:rsid w:val="0089313A"/>
    <w:rsid w:val="008931D1"/>
    <w:rsid w:val="00893428"/>
    <w:rsid w:val="00893448"/>
    <w:rsid w:val="0089359A"/>
    <w:rsid w:val="008935E3"/>
    <w:rsid w:val="00893634"/>
    <w:rsid w:val="00893893"/>
    <w:rsid w:val="008939C2"/>
    <w:rsid w:val="00893A16"/>
    <w:rsid w:val="00893AF8"/>
    <w:rsid w:val="00893C69"/>
    <w:rsid w:val="00893D8A"/>
    <w:rsid w:val="00893D8B"/>
    <w:rsid w:val="00893EBE"/>
    <w:rsid w:val="00893F84"/>
    <w:rsid w:val="0089403C"/>
    <w:rsid w:val="00894456"/>
    <w:rsid w:val="008944FF"/>
    <w:rsid w:val="0089462C"/>
    <w:rsid w:val="008947FC"/>
    <w:rsid w:val="008949FD"/>
    <w:rsid w:val="00894A51"/>
    <w:rsid w:val="00894C43"/>
    <w:rsid w:val="00894D23"/>
    <w:rsid w:val="00894D49"/>
    <w:rsid w:val="008950BD"/>
    <w:rsid w:val="008950ED"/>
    <w:rsid w:val="008952A1"/>
    <w:rsid w:val="008953A2"/>
    <w:rsid w:val="008953D4"/>
    <w:rsid w:val="00895404"/>
    <w:rsid w:val="008955B6"/>
    <w:rsid w:val="0089560C"/>
    <w:rsid w:val="00895883"/>
    <w:rsid w:val="00895922"/>
    <w:rsid w:val="00895A5A"/>
    <w:rsid w:val="00895C1C"/>
    <w:rsid w:val="00895C8A"/>
    <w:rsid w:val="00895CAD"/>
    <w:rsid w:val="008964CD"/>
    <w:rsid w:val="00896808"/>
    <w:rsid w:val="00896FC5"/>
    <w:rsid w:val="008970E0"/>
    <w:rsid w:val="0089711A"/>
    <w:rsid w:val="00897231"/>
    <w:rsid w:val="008972FA"/>
    <w:rsid w:val="0089734E"/>
    <w:rsid w:val="0089740F"/>
    <w:rsid w:val="00897432"/>
    <w:rsid w:val="0089770E"/>
    <w:rsid w:val="0089778E"/>
    <w:rsid w:val="00897861"/>
    <w:rsid w:val="008978DD"/>
    <w:rsid w:val="00897AD8"/>
    <w:rsid w:val="00897BE7"/>
    <w:rsid w:val="00897C34"/>
    <w:rsid w:val="00897DB7"/>
    <w:rsid w:val="00897E86"/>
    <w:rsid w:val="00897F3F"/>
    <w:rsid w:val="00897FE8"/>
    <w:rsid w:val="008A00E1"/>
    <w:rsid w:val="008A0174"/>
    <w:rsid w:val="008A01DA"/>
    <w:rsid w:val="008A02DB"/>
    <w:rsid w:val="008A0613"/>
    <w:rsid w:val="008A0636"/>
    <w:rsid w:val="008A08A6"/>
    <w:rsid w:val="008A0B12"/>
    <w:rsid w:val="008A113A"/>
    <w:rsid w:val="008A1574"/>
    <w:rsid w:val="008A15DC"/>
    <w:rsid w:val="008A1623"/>
    <w:rsid w:val="008A17E6"/>
    <w:rsid w:val="008A1A97"/>
    <w:rsid w:val="008A1B04"/>
    <w:rsid w:val="008A1B24"/>
    <w:rsid w:val="008A1DBE"/>
    <w:rsid w:val="008A219F"/>
    <w:rsid w:val="008A224A"/>
    <w:rsid w:val="008A2257"/>
    <w:rsid w:val="008A2372"/>
    <w:rsid w:val="008A241C"/>
    <w:rsid w:val="008A24BB"/>
    <w:rsid w:val="008A253F"/>
    <w:rsid w:val="008A2584"/>
    <w:rsid w:val="008A28B5"/>
    <w:rsid w:val="008A28C3"/>
    <w:rsid w:val="008A29A6"/>
    <w:rsid w:val="008A2A7B"/>
    <w:rsid w:val="008A2A92"/>
    <w:rsid w:val="008A2B08"/>
    <w:rsid w:val="008A2B36"/>
    <w:rsid w:val="008A2B9F"/>
    <w:rsid w:val="008A2BF4"/>
    <w:rsid w:val="008A2C16"/>
    <w:rsid w:val="008A2C41"/>
    <w:rsid w:val="008A2D24"/>
    <w:rsid w:val="008A2E03"/>
    <w:rsid w:val="008A2E6B"/>
    <w:rsid w:val="008A2E79"/>
    <w:rsid w:val="008A2ECE"/>
    <w:rsid w:val="008A2FD1"/>
    <w:rsid w:val="008A34CD"/>
    <w:rsid w:val="008A3730"/>
    <w:rsid w:val="008A38B1"/>
    <w:rsid w:val="008A393A"/>
    <w:rsid w:val="008A3B54"/>
    <w:rsid w:val="008A3C08"/>
    <w:rsid w:val="008A3ED4"/>
    <w:rsid w:val="008A42EC"/>
    <w:rsid w:val="008A42F9"/>
    <w:rsid w:val="008A4382"/>
    <w:rsid w:val="008A439C"/>
    <w:rsid w:val="008A4475"/>
    <w:rsid w:val="008A4542"/>
    <w:rsid w:val="008A45F5"/>
    <w:rsid w:val="008A4654"/>
    <w:rsid w:val="008A4851"/>
    <w:rsid w:val="008A49F3"/>
    <w:rsid w:val="008A4A24"/>
    <w:rsid w:val="008A4A2F"/>
    <w:rsid w:val="008A4B17"/>
    <w:rsid w:val="008A4E27"/>
    <w:rsid w:val="008A4E48"/>
    <w:rsid w:val="008A4EF3"/>
    <w:rsid w:val="008A50CE"/>
    <w:rsid w:val="008A5236"/>
    <w:rsid w:val="008A528F"/>
    <w:rsid w:val="008A5325"/>
    <w:rsid w:val="008A5602"/>
    <w:rsid w:val="008A56AA"/>
    <w:rsid w:val="008A574D"/>
    <w:rsid w:val="008A5908"/>
    <w:rsid w:val="008A5927"/>
    <w:rsid w:val="008A59D9"/>
    <w:rsid w:val="008A5A6B"/>
    <w:rsid w:val="008A5B8F"/>
    <w:rsid w:val="008A5C44"/>
    <w:rsid w:val="008A5D48"/>
    <w:rsid w:val="008A63CB"/>
    <w:rsid w:val="008A644B"/>
    <w:rsid w:val="008A64A4"/>
    <w:rsid w:val="008A64C8"/>
    <w:rsid w:val="008A66F2"/>
    <w:rsid w:val="008A69F7"/>
    <w:rsid w:val="008A6A4E"/>
    <w:rsid w:val="008A6BA1"/>
    <w:rsid w:val="008A6C57"/>
    <w:rsid w:val="008A6D5E"/>
    <w:rsid w:val="008A6D9F"/>
    <w:rsid w:val="008A70E8"/>
    <w:rsid w:val="008A7109"/>
    <w:rsid w:val="008A72D4"/>
    <w:rsid w:val="008A73A1"/>
    <w:rsid w:val="008A7405"/>
    <w:rsid w:val="008A75DB"/>
    <w:rsid w:val="008A773B"/>
    <w:rsid w:val="008A77BC"/>
    <w:rsid w:val="008A77E7"/>
    <w:rsid w:val="008A780E"/>
    <w:rsid w:val="008A79F8"/>
    <w:rsid w:val="008A7A5D"/>
    <w:rsid w:val="008A7CB9"/>
    <w:rsid w:val="008A7D3C"/>
    <w:rsid w:val="008A7DE8"/>
    <w:rsid w:val="008B0020"/>
    <w:rsid w:val="008B0050"/>
    <w:rsid w:val="008B0071"/>
    <w:rsid w:val="008B02B5"/>
    <w:rsid w:val="008B0317"/>
    <w:rsid w:val="008B0571"/>
    <w:rsid w:val="008B05C5"/>
    <w:rsid w:val="008B05E3"/>
    <w:rsid w:val="008B0692"/>
    <w:rsid w:val="008B06AE"/>
    <w:rsid w:val="008B06E4"/>
    <w:rsid w:val="008B0A62"/>
    <w:rsid w:val="008B0AF2"/>
    <w:rsid w:val="008B0BD1"/>
    <w:rsid w:val="008B0C8B"/>
    <w:rsid w:val="008B0CC5"/>
    <w:rsid w:val="008B0D3D"/>
    <w:rsid w:val="008B0DD9"/>
    <w:rsid w:val="008B0DF3"/>
    <w:rsid w:val="008B0E5C"/>
    <w:rsid w:val="008B0FDF"/>
    <w:rsid w:val="008B1520"/>
    <w:rsid w:val="008B1873"/>
    <w:rsid w:val="008B1965"/>
    <w:rsid w:val="008B19B4"/>
    <w:rsid w:val="008B1AEC"/>
    <w:rsid w:val="008B1AFF"/>
    <w:rsid w:val="008B1BF2"/>
    <w:rsid w:val="008B1C0A"/>
    <w:rsid w:val="008B1C96"/>
    <w:rsid w:val="008B1CD0"/>
    <w:rsid w:val="008B1F1B"/>
    <w:rsid w:val="008B1F3C"/>
    <w:rsid w:val="008B1F4C"/>
    <w:rsid w:val="008B204C"/>
    <w:rsid w:val="008B252E"/>
    <w:rsid w:val="008B25CD"/>
    <w:rsid w:val="008B273E"/>
    <w:rsid w:val="008B277B"/>
    <w:rsid w:val="008B283D"/>
    <w:rsid w:val="008B29EF"/>
    <w:rsid w:val="008B2C4E"/>
    <w:rsid w:val="008B2E2F"/>
    <w:rsid w:val="008B2F7A"/>
    <w:rsid w:val="008B2FAC"/>
    <w:rsid w:val="008B30CD"/>
    <w:rsid w:val="008B3227"/>
    <w:rsid w:val="008B33F0"/>
    <w:rsid w:val="008B3492"/>
    <w:rsid w:val="008B34AF"/>
    <w:rsid w:val="008B369B"/>
    <w:rsid w:val="008B384C"/>
    <w:rsid w:val="008B3925"/>
    <w:rsid w:val="008B4208"/>
    <w:rsid w:val="008B4350"/>
    <w:rsid w:val="008B43EB"/>
    <w:rsid w:val="008B4459"/>
    <w:rsid w:val="008B44CF"/>
    <w:rsid w:val="008B45FE"/>
    <w:rsid w:val="008B4627"/>
    <w:rsid w:val="008B4643"/>
    <w:rsid w:val="008B49F2"/>
    <w:rsid w:val="008B4BB1"/>
    <w:rsid w:val="008B4BC6"/>
    <w:rsid w:val="008B4D28"/>
    <w:rsid w:val="008B4D2F"/>
    <w:rsid w:val="008B4FDC"/>
    <w:rsid w:val="008B507B"/>
    <w:rsid w:val="008B54E5"/>
    <w:rsid w:val="008B576B"/>
    <w:rsid w:val="008B57C8"/>
    <w:rsid w:val="008B5B4E"/>
    <w:rsid w:val="008B5BCC"/>
    <w:rsid w:val="008B602E"/>
    <w:rsid w:val="008B60CB"/>
    <w:rsid w:val="008B64F7"/>
    <w:rsid w:val="008B65A5"/>
    <w:rsid w:val="008B6827"/>
    <w:rsid w:val="008B6A69"/>
    <w:rsid w:val="008B6AC6"/>
    <w:rsid w:val="008B6C71"/>
    <w:rsid w:val="008B6CDF"/>
    <w:rsid w:val="008B6DE9"/>
    <w:rsid w:val="008B6E0A"/>
    <w:rsid w:val="008B6E64"/>
    <w:rsid w:val="008B7052"/>
    <w:rsid w:val="008B7460"/>
    <w:rsid w:val="008B74EA"/>
    <w:rsid w:val="008B75C5"/>
    <w:rsid w:val="008B7643"/>
    <w:rsid w:val="008B7670"/>
    <w:rsid w:val="008B7687"/>
    <w:rsid w:val="008B796B"/>
    <w:rsid w:val="008B7A63"/>
    <w:rsid w:val="008B7B98"/>
    <w:rsid w:val="008B7DB3"/>
    <w:rsid w:val="008B7DFA"/>
    <w:rsid w:val="008B7FEB"/>
    <w:rsid w:val="008C017C"/>
    <w:rsid w:val="008C02A9"/>
    <w:rsid w:val="008C0483"/>
    <w:rsid w:val="008C0607"/>
    <w:rsid w:val="008C097C"/>
    <w:rsid w:val="008C0A29"/>
    <w:rsid w:val="008C0AA4"/>
    <w:rsid w:val="008C0BE8"/>
    <w:rsid w:val="008C0C9D"/>
    <w:rsid w:val="008C0F1C"/>
    <w:rsid w:val="008C0F76"/>
    <w:rsid w:val="008C1034"/>
    <w:rsid w:val="008C132A"/>
    <w:rsid w:val="008C148B"/>
    <w:rsid w:val="008C1522"/>
    <w:rsid w:val="008C15E9"/>
    <w:rsid w:val="008C15FF"/>
    <w:rsid w:val="008C16AB"/>
    <w:rsid w:val="008C177D"/>
    <w:rsid w:val="008C1823"/>
    <w:rsid w:val="008C18B6"/>
    <w:rsid w:val="008C1A1E"/>
    <w:rsid w:val="008C1BD9"/>
    <w:rsid w:val="008C1F32"/>
    <w:rsid w:val="008C201E"/>
    <w:rsid w:val="008C2028"/>
    <w:rsid w:val="008C203A"/>
    <w:rsid w:val="008C2229"/>
    <w:rsid w:val="008C236F"/>
    <w:rsid w:val="008C264F"/>
    <w:rsid w:val="008C26C8"/>
    <w:rsid w:val="008C2743"/>
    <w:rsid w:val="008C2B2A"/>
    <w:rsid w:val="008C2BC4"/>
    <w:rsid w:val="008C2C4E"/>
    <w:rsid w:val="008C2D02"/>
    <w:rsid w:val="008C2E24"/>
    <w:rsid w:val="008C318C"/>
    <w:rsid w:val="008C3382"/>
    <w:rsid w:val="008C3453"/>
    <w:rsid w:val="008C3466"/>
    <w:rsid w:val="008C3535"/>
    <w:rsid w:val="008C36B3"/>
    <w:rsid w:val="008C38DD"/>
    <w:rsid w:val="008C3AC9"/>
    <w:rsid w:val="008C3ACA"/>
    <w:rsid w:val="008C3B64"/>
    <w:rsid w:val="008C3B7D"/>
    <w:rsid w:val="008C3C36"/>
    <w:rsid w:val="008C3CF4"/>
    <w:rsid w:val="008C3E03"/>
    <w:rsid w:val="008C403C"/>
    <w:rsid w:val="008C4276"/>
    <w:rsid w:val="008C43CB"/>
    <w:rsid w:val="008C4549"/>
    <w:rsid w:val="008C465C"/>
    <w:rsid w:val="008C46E2"/>
    <w:rsid w:val="008C4730"/>
    <w:rsid w:val="008C47EA"/>
    <w:rsid w:val="008C4811"/>
    <w:rsid w:val="008C4847"/>
    <w:rsid w:val="008C4861"/>
    <w:rsid w:val="008C489E"/>
    <w:rsid w:val="008C4968"/>
    <w:rsid w:val="008C49D0"/>
    <w:rsid w:val="008C4C48"/>
    <w:rsid w:val="008C4CB1"/>
    <w:rsid w:val="008C4E3D"/>
    <w:rsid w:val="008C4E69"/>
    <w:rsid w:val="008C4E91"/>
    <w:rsid w:val="008C4F57"/>
    <w:rsid w:val="008C505E"/>
    <w:rsid w:val="008C5124"/>
    <w:rsid w:val="008C5209"/>
    <w:rsid w:val="008C5294"/>
    <w:rsid w:val="008C52BE"/>
    <w:rsid w:val="008C59D6"/>
    <w:rsid w:val="008C5A9A"/>
    <w:rsid w:val="008C5B0F"/>
    <w:rsid w:val="008C5E6A"/>
    <w:rsid w:val="008C6001"/>
    <w:rsid w:val="008C6092"/>
    <w:rsid w:val="008C6183"/>
    <w:rsid w:val="008C61D3"/>
    <w:rsid w:val="008C62BC"/>
    <w:rsid w:val="008C6647"/>
    <w:rsid w:val="008C6835"/>
    <w:rsid w:val="008C6B6B"/>
    <w:rsid w:val="008C6EC6"/>
    <w:rsid w:val="008C6EFB"/>
    <w:rsid w:val="008C700F"/>
    <w:rsid w:val="008C7074"/>
    <w:rsid w:val="008C72A6"/>
    <w:rsid w:val="008C72B2"/>
    <w:rsid w:val="008C72D6"/>
    <w:rsid w:val="008C72FB"/>
    <w:rsid w:val="008C772B"/>
    <w:rsid w:val="008C772D"/>
    <w:rsid w:val="008C77A5"/>
    <w:rsid w:val="008C7B81"/>
    <w:rsid w:val="008C7C17"/>
    <w:rsid w:val="008C7DF1"/>
    <w:rsid w:val="008C7E61"/>
    <w:rsid w:val="008C7FAB"/>
    <w:rsid w:val="008D0508"/>
    <w:rsid w:val="008D0608"/>
    <w:rsid w:val="008D0681"/>
    <w:rsid w:val="008D09A0"/>
    <w:rsid w:val="008D0AFC"/>
    <w:rsid w:val="008D0B00"/>
    <w:rsid w:val="008D0CC3"/>
    <w:rsid w:val="008D0DAA"/>
    <w:rsid w:val="008D0F23"/>
    <w:rsid w:val="008D0FBB"/>
    <w:rsid w:val="008D1024"/>
    <w:rsid w:val="008D1090"/>
    <w:rsid w:val="008D111D"/>
    <w:rsid w:val="008D148D"/>
    <w:rsid w:val="008D15AA"/>
    <w:rsid w:val="008D16B1"/>
    <w:rsid w:val="008D1998"/>
    <w:rsid w:val="008D19D8"/>
    <w:rsid w:val="008D1C5F"/>
    <w:rsid w:val="008D1C99"/>
    <w:rsid w:val="008D1DA9"/>
    <w:rsid w:val="008D1E60"/>
    <w:rsid w:val="008D1FA0"/>
    <w:rsid w:val="008D22C4"/>
    <w:rsid w:val="008D22DB"/>
    <w:rsid w:val="008D25D4"/>
    <w:rsid w:val="008D25FC"/>
    <w:rsid w:val="008D272A"/>
    <w:rsid w:val="008D2B78"/>
    <w:rsid w:val="008D2C37"/>
    <w:rsid w:val="008D2DAC"/>
    <w:rsid w:val="008D38E4"/>
    <w:rsid w:val="008D38E9"/>
    <w:rsid w:val="008D3D0A"/>
    <w:rsid w:val="008D3DF8"/>
    <w:rsid w:val="008D3F98"/>
    <w:rsid w:val="008D3FBC"/>
    <w:rsid w:val="008D41A1"/>
    <w:rsid w:val="008D42DC"/>
    <w:rsid w:val="008D43E4"/>
    <w:rsid w:val="008D453D"/>
    <w:rsid w:val="008D460C"/>
    <w:rsid w:val="008D46B9"/>
    <w:rsid w:val="008D4785"/>
    <w:rsid w:val="008D4899"/>
    <w:rsid w:val="008D4A39"/>
    <w:rsid w:val="008D4A5C"/>
    <w:rsid w:val="008D4A72"/>
    <w:rsid w:val="008D4BC1"/>
    <w:rsid w:val="008D4C9C"/>
    <w:rsid w:val="008D4DC4"/>
    <w:rsid w:val="008D4F87"/>
    <w:rsid w:val="008D501B"/>
    <w:rsid w:val="008D5092"/>
    <w:rsid w:val="008D50B5"/>
    <w:rsid w:val="008D52B7"/>
    <w:rsid w:val="008D52F9"/>
    <w:rsid w:val="008D5643"/>
    <w:rsid w:val="008D5AB6"/>
    <w:rsid w:val="008D5B04"/>
    <w:rsid w:val="008D5DC5"/>
    <w:rsid w:val="008D61BF"/>
    <w:rsid w:val="008D6437"/>
    <w:rsid w:val="008D657A"/>
    <w:rsid w:val="008D66AA"/>
    <w:rsid w:val="008D6717"/>
    <w:rsid w:val="008D6826"/>
    <w:rsid w:val="008D682F"/>
    <w:rsid w:val="008D688D"/>
    <w:rsid w:val="008D6ADE"/>
    <w:rsid w:val="008D6E5C"/>
    <w:rsid w:val="008D709A"/>
    <w:rsid w:val="008D73AC"/>
    <w:rsid w:val="008D7427"/>
    <w:rsid w:val="008D7510"/>
    <w:rsid w:val="008D75C0"/>
    <w:rsid w:val="008D75C2"/>
    <w:rsid w:val="008D76B3"/>
    <w:rsid w:val="008D76FE"/>
    <w:rsid w:val="008D77BF"/>
    <w:rsid w:val="008D7B75"/>
    <w:rsid w:val="008D7BCC"/>
    <w:rsid w:val="008D7C1C"/>
    <w:rsid w:val="008D7D74"/>
    <w:rsid w:val="008D7DAD"/>
    <w:rsid w:val="008D7DE1"/>
    <w:rsid w:val="008D7E83"/>
    <w:rsid w:val="008E0029"/>
    <w:rsid w:val="008E00CB"/>
    <w:rsid w:val="008E00D9"/>
    <w:rsid w:val="008E0370"/>
    <w:rsid w:val="008E06BD"/>
    <w:rsid w:val="008E0AFF"/>
    <w:rsid w:val="008E0C10"/>
    <w:rsid w:val="008E0C5A"/>
    <w:rsid w:val="008E0D51"/>
    <w:rsid w:val="008E0D7C"/>
    <w:rsid w:val="008E0E84"/>
    <w:rsid w:val="008E10F3"/>
    <w:rsid w:val="008E126E"/>
    <w:rsid w:val="008E13D6"/>
    <w:rsid w:val="008E1451"/>
    <w:rsid w:val="008E1704"/>
    <w:rsid w:val="008E17DD"/>
    <w:rsid w:val="008E19B6"/>
    <w:rsid w:val="008E19FE"/>
    <w:rsid w:val="008E1A05"/>
    <w:rsid w:val="008E1B75"/>
    <w:rsid w:val="008E1BED"/>
    <w:rsid w:val="008E1BF2"/>
    <w:rsid w:val="008E1C15"/>
    <w:rsid w:val="008E1C2C"/>
    <w:rsid w:val="008E1EDD"/>
    <w:rsid w:val="008E1FA4"/>
    <w:rsid w:val="008E21D7"/>
    <w:rsid w:val="008E273C"/>
    <w:rsid w:val="008E291C"/>
    <w:rsid w:val="008E2B19"/>
    <w:rsid w:val="008E2B6F"/>
    <w:rsid w:val="008E3004"/>
    <w:rsid w:val="008E30D7"/>
    <w:rsid w:val="008E353D"/>
    <w:rsid w:val="008E3961"/>
    <w:rsid w:val="008E3A29"/>
    <w:rsid w:val="008E3F3C"/>
    <w:rsid w:val="008E3FAA"/>
    <w:rsid w:val="008E417E"/>
    <w:rsid w:val="008E41F3"/>
    <w:rsid w:val="008E4314"/>
    <w:rsid w:val="008E455E"/>
    <w:rsid w:val="008E4A02"/>
    <w:rsid w:val="008E4AB4"/>
    <w:rsid w:val="008E4ABA"/>
    <w:rsid w:val="008E4AFE"/>
    <w:rsid w:val="008E4D7D"/>
    <w:rsid w:val="008E4DA8"/>
    <w:rsid w:val="008E5318"/>
    <w:rsid w:val="008E53DF"/>
    <w:rsid w:val="008E56C0"/>
    <w:rsid w:val="008E57F7"/>
    <w:rsid w:val="008E5A8A"/>
    <w:rsid w:val="008E5B60"/>
    <w:rsid w:val="008E5D15"/>
    <w:rsid w:val="008E5D73"/>
    <w:rsid w:val="008E5E81"/>
    <w:rsid w:val="008E6065"/>
    <w:rsid w:val="008E6284"/>
    <w:rsid w:val="008E6421"/>
    <w:rsid w:val="008E6438"/>
    <w:rsid w:val="008E659D"/>
    <w:rsid w:val="008E65E3"/>
    <w:rsid w:val="008E6662"/>
    <w:rsid w:val="008E6814"/>
    <w:rsid w:val="008E6C05"/>
    <w:rsid w:val="008E6C6F"/>
    <w:rsid w:val="008E6F8C"/>
    <w:rsid w:val="008E7267"/>
    <w:rsid w:val="008E75D7"/>
    <w:rsid w:val="008E767C"/>
    <w:rsid w:val="008E76BF"/>
    <w:rsid w:val="008E7723"/>
    <w:rsid w:val="008E79AC"/>
    <w:rsid w:val="008F00A4"/>
    <w:rsid w:val="008F0143"/>
    <w:rsid w:val="008F01B6"/>
    <w:rsid w:val="008F02B2"/>
    <w:rsid w:val="008F02BF"/>
    <w:rsid w:val="008F043D"/>
    <w:rsid w:val="008F0690"/>
    <w:rsid w:val="008F0937"/>
    <w:rsid w:val="008F0A0C"/>
    <w:rsid w:val="008F0ADE"/>
    <w:rsid w:val="008F0B26"/>
    <w:rsid w:val="008F0C60"/>
    <w:rsid w:val="008F0E90"/>
    <w:rsid w:val="008F0E9E"/>
    <w:rsid w:val="008F15C3"/>
    <w:rsid w:val="008F165B"/>
    <w:rsid w:val="008F16CF"/>
    <w:rsid w:val="008F16DF"/>
    <w:rsid w:val="008F19B5"/>
    <w:rsid w:val="008F19C9"/>
    <w:rsid w:val="008F19D0"/>
    <w:rsid w:val="008F1BFE"/>
    <w:rsid w:val="008F1C14"/>
    <w:rsid w:val="008F1D0F"/>
    <w:rsid w:val="008F1D76"/>
    <w:rsid w:val="008F1E5A"/>
    <w:rsid w:val="008F1E6E"/>
    <w:rsid w:val="008F2077"/>
    <w:rsid w:val="008F20D9"/>
    <w:rsid w:val="008F20DA"/>
    <w:rsid w:val="008F21E4"/>
    <w:rsid w:val="008F2268"/>
    <w:rsid w:val="008F22B1"/>
    <w:rsid w:val="008F2519"/>
    <w:rsid w:val="008F25AD"/>
    <w:rsid w:val="008F26DC"/>
    <w:rsid w:val="008F2758"/>
    <w:rsid w:val="008F2773"/>
    <w:rsid w:val="008F27E6"/>
    <w:rsid w:val="008F2C12"/>
    <w:rsid w:val="008F2D2F"/>
    <w:rsid w:val="008F2D6F"/>
    <w:rsid w:val="008F2EE6"/>
    <w:rsid w:val="008F2EEF"/>
    <w:rsid w:val="008F3003"/>
    <w:rsid w:val="008F3168"/>
    <w:rsid w:val="008F324E"/>
    <w:rsid w:val="008F3289"/>
    <w:rsid w:val="008F35A7"/>
    <w:rsid w:val="008F3646"/>
    <w:rsid w:val="008F3690"/>
    <w:rsid w:val="008F3747"/>
    <w:rsid w:val="008F3859"/>
    <w:rsid w:val="008F38B4"/>
    <w:rsid w:val="008F397C"/>
    <w:rsid w:val="008F3C05"/>
    <w:rsid w:val="008F3D53"/>
    <w:rsid w:val="008F3F07"/>
    <w:rsid w:val="008F3F51"/>
    <w:rsid w:val="008F406E"/>
    <w:rsid w:val="008F4146"/>
    <w:rsid w:val="008F42A9"/>
    <w:rsid w:val="008F435A"/>
    <w:rsid w:val="008F44CB"/>
    <w:rsid w:val="008F4693"/>
    <w:rsid w:val="008F47F1"/>
    <w:rsid w:val="008F48B7"/>
    <w:rsid w:val="008F498A"/>
    <w:rsid w:val="008F4AC2"/>
    <w:rsid w:val="008F4B55"/>
    <w:rsid w:val="008F4C28"/>
    <w:rsid w:val="008F4C78"/>
    <w:rsid w:val="008F4CBC"/>
    <w:rsid w:val="008F5087"/>
    <w:rsid w:val="008F509C"/>
    <w:rsid w:val="008F525F"/>
    <w:rsid w:val="008F52A6"/>
    <w:rsid w:val="008F5348"/>
    <w:rsid w:val="008F570D"/>
    <w:rsid w:val="008F5A62"/>
    <w:rsid w:val="008F5A9C"/>
    <w:rsid w:val="008F5AC0"/>
    <w:rsid w:val="008F5C5A"/>
    <w:rsid w:val="008F5C73"/>
    <w:rsid w:val="008F5CC7"/>
    <w:rsid w:val="008F5CFB"/>
    <w:rsid w:val="008F5EDF"/>
    <w:rsid w:val="008F6122"/>
    <w:rsid w:val="008F6450"/>
    <w:rsid w:val="008F65A5"/>
    <w:rsid w:val="008F65B8"/>
    <w:rsid w:val="008F6751"/>
    <w:rsid w:val="008F680D"/>
    <w:rsid w:val="008F6BD1"/>
    <w:rsid w:val="008F6F69"/>
    <w:rsid w:val="008F7049"/>
    <w:rsid w:val="008F729E"/>
    <w:rsid w:val="008F72B0"/>
    <w:rsid w:val="008F7310"/>
    <w:rsid w:val="008F746B"/>
    <w:rsid w:val="008F7492"/>
    <w:rsid w:val="008F7507"/>
    <w:rsid w:val="008F762E"/>
    <w:rsid w:val="008F77DA"/>
    <w:rsid w:val="008F7990"/>
    <w:rsid w:val="008F7B0B"/>
    <w:rsid w:val="008F7FFD"/>
    <w:rsid w:val="0090007B"/>
    <w:rsid w:val="0090009C"/>
    <w:rsid w:val="009000F5"/>
    <w:rsid w:val="0090015A"/>
    <w:rsid w:val="009004B0"/>
    <w:rsid w:val="00900565"/>
    <w:rsid w:val="0090060A"/>
    <w:rsid w:val="00900672"/>
    <w:rsid w:val="00900720"/>
    <w:rsid w:val="00900AC6"/>
    <w:rsid w:val="00900AE9"/>
    <w:rsid w:val="00900BFA"/>
    <w:rsid w:val="00900C8F"/>
    <w:rsid w:val="00900CCD"/>
    <w:rsid w:val="00900DA9"/>
    <w:rsid w:val="00900EAA"/>
    <w:rsid w:val="00900FA8"/>
    <w:rsid w:val="00900FD0"/>
    <w:rsid w:val="00901034"/>
    <w:rsid w:val="00901102"/>
    <w:rsid w:val="00901224"/>
    <w:rsid w:val="009012AF"/>
    <w:rsid w:val="009012D1"/>
    <w:rsid w:val="0090146F"/>
    <w:rsid w:val="009014E8"/>
    <w:rsid w:val="00901631"/>
    <w:rsid w:val="0090169F"/>
    <w:rsid w:val="00901A4F"/>
    <w:rsid w:val="00901A78"/>
    <w:rsid w:val="00901ABE"/>
    <w:rsid w:val="00901C9B"/>
    <w:rsid w:val="00901DE9"/>
    <w:rsid w:val="00901F4D"/>
    <w:rsid w:val="00901F73"/>
    <w:rsid w:val="00902045"/>
    <w:rsid w:val="00902443"/>
    <w:rsid w:val="009025A9"/>
    <w:rsid w:val="009025F2"/>
    <w:rsid w:val="0090272E"/>
    <w:rsid w:val="00902773"/>
    <w:rsid w:val="0090278D"/>
    <w:rsid w:val="009029C8"/>
    <w:rsid w:val="00902C58"/>
    <w:rsid w:val="00902EAD"/>
    <w:rsid w:val="00902F63"/>
    <w:rsid w:val="0090312E"/>
    <w:rsid w:val="0090316E"/>
    <w:rsid w:val="009032B6"/>
    <w:rsid w:val="009032FB"/>
    <w:rsid w:val="00903372"/>
    <w:rsid w:val="009033E4"/>
    <w:rsid w:val="00903409"/>
    <w:rsid w:val="00903467"/>
    <w:rsid w:val="009036B5"/>
    <w:rsid w:val="00903792"/>
    <w:rsid w:val="00903823"/>
    <w:rsid w:val="00903945"/>
    <w:rsid w:val="00903A96"/>
    <w:rsid w:val="00903AB5"/>
    <w:rsid w:val="0090400E"/>
    <w:rsid w:val="009043F2"/>
    <w:rsid w:val="00904455"/>
    <w:rsid w:val="009045C0"/>
    <w:rsid w:val="009045CE"/>
    <w:rsid w:val="0090462E"/>
    <w:rsid w:val="0090469D"/>
    <w:rsid w:val="009046C6"/>
    <w:rsid w:val="0090488D"/>
    <w:rsid w:val="0090496F"/>
    <w:rsid w:val="009049C0"/>
    <w:rsid w:val="00904C00"/>
    <w:rsid w:val="00904D67"/>
    <w:rsid w:val="00904DAB"/>
    <w:rsid w:val="00904E5D"/>
    <w:rsid w:val="00904E8C"/>
    <w:rsid w:val="00904F4C"/>
    <w:rsid w:val="00904F7F"/>
    <w:rsid w:val="00904FDA"/>
    <w:rsid w:val="00904FE7"/>
    <w:rsid w:val="009051CD"/>
    <w:rsid w:val="009051EE"/>
    <w:rsid w:val="0090528B"/>
    <w:rsid w:val="0090529C"/>
    <w:rsid w:val="0090542E"/>
    <w:rsid w:val="0090553C"/>
    <w:rsid w:val="0090566E"/>
    <w:rsid w:val="009056A3"/>
    <w:rsid w:val="0090579D"/>
    <w:rsid w:val="0090581E"/>
    <w:rsid w:val="00905A98"/>
    <w:rsid w:val="00905CF5"/>
    <w:rsid w:val="00905FDD"/>
    <w:rsid w:val="00906067"/>
    <w:rsid w:val="00906359"/>
    <w:rsid w:val="00906420"/>
    <w:rsid w:val="00906427"/>
    <w:rsid w:val="0090683B"/>
    <w:rsid w:val="00906A96"/>
    <w:rsid w:val="00906B6D"/>
    <w:rsid w:val="00906F2D"/>
    <w:rsid w:val="00907137"/>
    <w:rsid w:val="00907605"/>
    <w:rsid w:val="009077D6"/>
    <w:rsid w:val="00907848"/>
    <w:rsid w:val="00907A73"/>
    <w:rsid w:val="00907B45"/>
    <w:rsid w:val="00907C18"/>
    <w:rsid w:val="00907D9C"/>
    <w:rsid w:val="009102E2"/>
    <w:rsid w:val="009103E0"/>
    <w:rsid w:val="0091042A"/>
    <w:rsid w:val="009106D4"/>
    <w:rsid w:val="0091093D"/>
    <w:rsid w:val="00910972"/>
    <w:rsid w:val="009109D2"/>
    <w:rsid w:val="00910A35"/>
    <w:rsid w:val="00910A7E"/>
    <w:rsid w:val="00910D6A"/>
    <w:rsid w:val="009111F7"/>
    <w:rsid w:val="009113A6"/>
    <w:rsid w:val="009113F2"/>
    <w:rsid w:val="00911420"/>
    <w:rsid w:val="00911437"/>
    <w:rsid w:val="00911513"/>
    <w:rsid w:val="00911577"/>
    <w:rsid w:val="009115EA"/>
    <w:rsid w:val="00911637"/>
    <w:rsid w:val="009117E2"/>
    <w:rsid w:val="009118DC"/>
    <w:rsid w:val="00911B3E"/>
    <w:rsid w:val="00911EE2"/>
    <w:rsid w:val="00911F4E"/>
    <w:rsid w:val="00911F5E"/>
    <w:rsid w:val="00912208"/>
    <w:rsid w:val="009125A7"/>
    <w:rsid w:val="009128B9"/>
    <w:rsid w:val="00912B90"/>
    <w:rsid w:val="00912BB1"/>
    <w:rsid w:val="00912BDB"/>
    <w:rsid w:val="00912BFE"/>
    <w:rsid w:val="00912C58"/>
    <w:rsid w:val="00912C5C"/>
    <w:rsid w:val="00912D88"/>
    <w:rsid w:val="00912E2B"/>
    <w:rsid w:val="0091303B"/>
    <w:rsid w:val="00913093"/>
    <w:rsid w:val="0091349E"/>
    <w:rsid w:val="009138B4"/>
    <w:rsid w:val="009139C7"/>
    <w:rsid w:val="00913A2F"/>
    <w:rsid w:val="00913D86"/>
    <w:rsid w:val="00913E15"/>
    <w:rsid w:val="00913E97"/>
    <w:rsid w:val="00913EE9"/>
    <w:rsid w:val="00913FDA"/>
    <w:rsid w:val="00914009"/>
    <w:rsid w:val="0091407A"/>
    <w:rsid w:val="00914127"/>
    <w:rsid w:val="00914245"/>
    <w:rsid w:val="009144B2"/>
    <w:rsid w:val="0091479E"/>
    <w:rsid w:val="009147EE"/>
    <w:rsid w:val="0091492B"/>
    <w:rsid w:val="00914A6C"/>
    <w:rsid w:val="00914A7A"/>
    <w:rsid w:val="00914A9B"/>
    <w:rsid w:val="00914AAC"/>
    <w:rsid w:val="00914C18"/>
    <w:rsid w:val="00914C64"/>
    <w:rsid w:val="00914DDC"/>
    <w:rsid w:val="00914E45"/>
    <w:rsid w:val="00915070"/>
    <w:rsid w:val="00915223"/>
    <w:rsid w:val="009153F3"/>
    <w:rsid w:val="00915426"/>
    <w:rsid w:val="009154D5"/>
    <w:rsid w:val="0091568F"/>
    <w:rsid w:val="00915A27"/>
    <w:rsid w:val="00915A34"/>
    <w:rsid w:val="00915F22"/>
    <w:rsid w:val="00915F43"/>
    <w:rsid w:val="00916114"/>
    <w:rsid w:val="00916204"/>
    <w:rsid w:val="00916279"/>
    <w:rsid w:val="00916428"/>
    <w:rsid w:val="009164EF"/>
    <w:rsid w:val="0091671F"/>
    <w:rsid w:val="009168AB"/>
    <w:rsid w:val="009168F7"/>
    <w:rsid w:val="00916963"/>
    <w:rsid w:val="009169B3"/>
    <w:rsid w:val="009169CC"/>
    <w:rsid w:val="00916BA9"/>
    <w:rsid w:val="00916CF0"/>
    <w:rsid w:val="0091703E"/>
    <w:rsid w:val="009171EC"/>
    <w:rsid w:val="00917387"/>
    <w:rsid w:val="00917706"/>
    <w:rsid w:val="00917951"/>
    <w:rsid w:val="00917AEA"/>
    <w:rsid w:val="00917AF2"/>
    <w:rsid w:val="00917B26"/>
    <w:rsid w:val="00917D83"/>
    <w:rsid w:val="00917E74"/>
    <w:rsid w:val="00917F59"/>
    <w:rsid w:val="00920320"/>
    <w:rsid w:val="00920366"/>
    <w:rsid w:val="009203E3"/>
    <w:rsid w:val="009205D9"/>
    <w:rsid w:val="0092088A"/>
    <w:rsid w:val="00920A57"/>
    <w:rsid w:val="00920AA0"/>
    <w:rsid w:val="00920C36"/>
    <w:rsid w:val="00920CC7"/>
    <w:rsid w:val="00920CCD"/>
    <w:rsid w:val="0092103E"/>
    <w:rsid w:val="00921091"/>
    <w:rsid w:val="0092123C"/>
    <w:rsid w:val="0092130B"/>
    <w:rsid w:val="009213E7"/>
    <w:rsid w:val="0092157C"/>
    <w:rsid w:val="0092174F"/>
    <w:rsid w:val="00921961"/>
    <w:rsid w:val="00921A8F"/>
    <w:rsid w:val="00921CF8"/>
    <w:rsid w:val="00921E03"/>
    <w:rsid w:val="00921E84"/>
    <w:rsid w:val="00921EFB"/>
    <w:rsid w:val="009220EB"/>
    <w:rsid w:val="0092217C"/>
    <w:rsid w:val="00922203"/>
    <w:rsid w:val="009222EC"/>
    <w:rsid w:val="0092236C"/>
    <w:rsid w:val="00922505"/>
    <w:rsid w:val="0092266A"/>
    <w:rsid w:val="0092271B"/>
    <w:rsid w:val="0092271E"/>
    <w:rsid w:val="00922874"/>
    <w:rsid w:val="009228FD"/>
    <w:rsid w:val="00922959"/>
    <w:rsid w:val="0092297C"/>
    <w:rsid w:val="009229E7"/>
    <w:rsid w:val="00922A23"/>
    <w:rsid w:val="00923191"/>
    <w:rsid w:val="009231DC"/>
    <w:rsid w:val="009232CC"/>
    <w:rsid w:val="0092333E"/>
    <w:rsid w:val="009234FA"/>
    <w:rsid w:val="00923563"/>
    <w:rsid w:val="0092358B"/>
    <w:rsid w:val="00923706"/>
    <w:rsid w:val="00923A0F"/>
    <w:rsid w:val="00923A12"/>
    <w:rsid w:val="00923A3E"/>
    <w:rsid w:val="00923AE5"/>
    <w:rsid w:val="00923BFC"/>
    <w:rsid w:val="009240C8"/>
    <w:rsid w:val="00924141"/>
    <w:rsid w:val="00924165"/>
    <w:rsid w:val="00924434"/>
    <w:rsid w:val="00924533"/>
    <w:rsid w:val="00924708"/>
    <w:rsid w:val="0092479B"/>
    <w:rsid w:val="0092481C"/>
    <w:rsid w:val="00924890"/>
    <w:rsid w:val="00924B0D"/>
    <w:rsid w:val="00924B4F"/>
    <w:rsid w:val="00924C6D"/>
    <w:rsid w:val="00924D11"/>
    <w:rsid w:val="00924EFA"/>
    <w:rsid w:val="00924F38"/>
    <w:rsid w:val="00924F7B"/>
    <w:rsid w:val="0092518F"/>
    <w:rsid w:val="009251DC"/>
    <w:rsid w:val="009252BD"/>
    <w:rsid w:val="00925342"/>
    <w:rsid w:val="009254BE"/>
    <w:rsid w:val="00925581"/>
    <w:rsid w:val="00925672"/>
    <w:rsid w:val="009256FC"/>
    <w:rsid w:val="00925789"/>
    <w:rsid w:val="009257DE"/>
    <w:rsid w:val="009259F6"/>
    <w:rsid w:val="00925AAD"/>
    <w:rsid w:val="00925B84"/>
    <w:rsid w:val="00925DD7"/>
    <w:rsid w:val="00925DF4"/>
    <w:rsid w:val="00925EF7"/>
    <w:rsid w:val="009260D3"/>
    <w:rsid w:val="009260D4"/>
    <w:rsid w:val="0092626F"/>
    <w:rsid w:val="009262D8"/>
    <w:rsid w:val="009263A3"/>
    <w:rsid w:val="00926434"/>
    <w:rsid w:val="0092645B"/>
    <w:rsid w:val="00926479"/>
    <w:rsid w:val="00926586"/>
    <w:rsid w:val="009265EA"/>
    <w:rsid w:val="00926712"/>
    <w:rsid w:val="009269A2"/>
    <w:rsid w:val="009269B8"/>
    <w:rsid w:val="00926A6D"/>
    <w:rsid w:val="00926AEE"/>
    <w:rsid w:val="00926AF4"/>
    <w:rsid w:val="00926B73"/>
    <w:rsid w:val="00926B7D"/>
    <w:rsid w:val="00926C53"/>
    <w:rsid w:val="00926DB7"/>
    <w:rsid w:val="00926E37"/>
    <w:rsid w:val="00926F10"/>
    <w:rsid w:val="009271DA"/>
    <w:rsid w:val="0092730E"/>
    <w:rsid w:val="00927347"/>
    <w:rsid w:val="009275A0"/>
    <w:rsid w:val="0092766A"/>
    <w:rsid w:val="0092787F"/>
    <w:rsid w:val="00927AA5"/>
    <w:rsid w:val="00927E76"/>
    <w:rsid w:val="00927E89"/>
    <w:rsid w:val="00927E9C"/>
    <w:rsid w:val="00930328"/>
    <w:rsid w:val="009305B0"/>
    <w:rsid w:val="009306AD"/>
    <w:rsid w:val="009306B6"/>
    <w:rsid w:val="009306D5"/>
    <w:rsid w:val="009307C1"/>
    <w:rsid w:val="00930829"/>
    <w:rsid w:val="00930D28"/>
    <w:rsid w:val="00930D34"/>
    <w:rsid w:val="00930D6B"/>
    <w:rsid w:val="00930E12"/>
    <w:rsid w:val="00930F70"/>
    <w:rsid w:val="0093100E"/>
    <w:rsid w:val="00931016"/>
    <w:rsid w:val="00931111"/>
    <w:rsid w:val="0093115C"/>
    <w:rsid w:val="009311C2"/>
    <w:rsid w:val="00931689"/>
    <w:rsid w:val="009317F4"/>
    <w:rsid w:val="009318AE"/>
    <w:rsid w:val="00931A62"/>
    <w:rsid w:val="00931B44"/>
    <w:rsid w:val="00931C56"/>
    <w:rsid w:val="00931C6E"/>
    <w:rsid w:val="00931F35"/>
    <w:rsid w:val="00931F7F"/>
    <w:rsid w:val="00932267"/>
    <w:rsid w:val="009322EF"/>
    <w:rsid w:val="00932601"/>
    <w:rsid w:val="009326FC"/>
    <w:rsid w:val="00932979"/>
    <w:rsid w:val="00932A6B"/>
    <w:rsid w:val="00932AB5"/>
    <w:rsid w:val="00932B8C"/>
    <w:rsid w:val="00932D5B"/>
    <w:rsid w:val="00932F4E"/>
    <w:rsid w:val="0093300E"/>
    <w:rsid w:val="0093301D"/>
    <w:rsid w:val="009330CA"/>
    <w:rsid w:val="00933228"/>
    <w:rsid w:val="009335D7"/>
    <w:rsid w:val="00933697"/>
    <w:rsid w:val="009336FD"/>
    <w:rsid w:val="00933781"/>
    <w:rsid w:val="00933A1C"/>
    <w:rsid w:val="00933AD4"/>
    <w:rsid w:val="00933B0C"/>
    <w:rsid w:val="00933B68"/>
    <w:rsid w:val="00933BD6"/>
    <w:rsid w:val="00933BE7"/>
    <w:rsid w:val="00933C78"/>
    <w:rsid w:val="00933D1F"/>
    <w:rsid w:val="00933ED7"/>
    <w:rsid w:val="00933FCA"/>
    <w:rsid w:val="009341DC"/>
    <w:rsid w:val="0093423A"/>
    <w:rsid w:val="00934350"/>
    <w:rsid w:val="0093443E"/>
    <w:rsid w:val="009347E6"/>
    <w:rsid w:val="00934802"/>
    <w:rsid w:val="00934955"/>
    <w:rsid w:val="009349B9"/>
    <w:rsid w:val="00934B68"/>
    <w:rsid w:val="00934B72"/>
    <w:rsid w:val="00934C86"/>
    <w:rsid w:val="00934D13"/>
    <w:rsid w:val="00934D1F"/>
    <w:rsid w:val="00935128"/>
    <w:rsid w:val="009352E1"/>
    <w:rsid w:val="009353BD"/>
    <w:rsid w:val="00935472"/>
    <w:rsid w:val="00935591"/>
    <w:rsid w:val="00935678"/>
    <w:rsid w:val="009357C4"/>
    <w:rsid w:val="0093586B"/>
    <w:rsid w:val="00935910"/>
    <w:rsid w:val="00935943"/>
    <w:rsid w:val="00935A9B"/>
    <w:rsid w:val="00935AD2"/>
    <w:rsid w:val="00935B4E"/>
    <w:rsid w:val="00935B8B"/>
    <w:rsid w:val="00935D94"/>
    <w:rsid w:val="00935E47"/>
    <w:rsid w:val="00935F28"/>
    <w:rsid w:val="00935F71"/>
    <w:rsid w:val="00936300"/>
    <w:rsid w:val="00936326"/>
    <w:rsid w:val="0093643E"/>
    <w:rsid w:val="00936486"/>
    <w:rsid w:val="009364B2"/>
    <w:rsid w:val="00936905"/>
    <w:rsid w:val="00936AB0"/>
    <w:rsid w:val="00936DDC"/>
    <w:rsid w:val="00936EE6"/>
    <w:rsid w:val="00936F14"/>
    <w:rsid w:val="009371AA"/>
    <w:rsid w:val="009371F0"/>
    <w:rsid w:val="0093720C"/>
    <w:rsid w:val="0093721C"/>
    <w:rsid w:val="0093772F"/>
    <w:rsid w:val="0093781E"/>
    <w:rsid w:val="00937853"/>
    <w:rsid w:val="009378ED"/>
    <w:rsid w:val="009379E9"/>
    <w:rsid w:val="00937BFD"/>
    <w:rsid w:val="00937D48"/>
    <w:rsid w:val="009401EE"/>
    <w:rsid w:val="00940359"/>
    <w:rsid w:val="00940370"/>
    <w:rsid w:val="009404A0"/>
    <w:rsid w:val="00940953"/>
    <w:rsid w:val="00940961"/>
    <w:rsid w:val="009409D3"/>
    <w:rsid w:val="00940A60"/>
    <w:rsid w:val="00940A75"/>
    <w:rsid w:val="00940B8C"/>
    <w:rsid w:val="00940C24"/>
    <w:rsid w:val="00940C78"/>
    <w:rsid w:val="00940CB1"/>
    <w:rsid w:val="00940D04"/>
    <w:rsid w:val="00940D65"/>
    <w:rsid w:val="00940E87"/>
    <w:rsid w:val="00940EA1"/>
    <w:rsid w:val="0094101E"/>
    <w:rsid w:val="0094148C"/>
    <w:rsid w:val="00941607"/>
    <w:rsid w:val="00941708"/>
    <w:rsid w:val="0094174C"/>
    <w:rsid w:val="00941C9D"/>
    <w:rsid w:val="00941ED2"/>
    <w:rsid w:val="0094203E"/>
    <w:rsid w:val="009420EB"/>
    <w:rsid w:val="00942113"/>
    <w:rsid w:val="009421FA"/>
    <w:rsid w:val="00942240"/>
    <w:rsid w:val="009423A7"/>
    <w:rsid w:val="0094250D"/>
    <w:rsid w:val="009425AD"/>
    <w:rsid w:val="009426F5"/>
    <w:rsid w:val="0094277A"/>
    <w:rsid w:val="009427A5"/>
    <w:rsid w:val="00942890"/>
    <w:rsid w:val="00942A3F"/>
    <w:rsid w:val="00942B27"/>
    <w:rsid w:val="00942BF6"/>
    <w:rsid w:val="00942C1D"/>
    <w:rsid w:val="00942CCC"/>
    <w:rsid w:val="00942F93"/>
    <w:rsid w:val="00942FF5"/>
    <w:rsid w:val="009430A6"/>
    <w:rsid w:val="00943396"/>
    <w:rsid w:val="00943484"/>
    <w:rsid w:val="0094363B"/>
    <w:rsid w:val="00943B0F"/>
    <w:rsid w:val="00943D62"/>
    <w:rsid w:val="00943E38"/>
    <w:rsid w:val="00943F2E"/>
    <w:rsid w:val="00943FFC"/>
    <w:rsid w:val="00944040"/>
    <w:rsid w:val="009444B6"/>
    <w:rsid w:val="0094463F"/>
    <w:rsid w:val="0094481C"/>
    <w:rsid w:val="00944863"/>
    <w:rsid w:val="00944874"/>
    <w:rsid w:val="009448C4"/>
    <w:rsid w:val="00944C6B"/>
    <w:rsid w:val="00944CD9"/>
    <w:rsid w:val="00944E89"/>
    <w:rsid w:val="00944F5C"/>
    <w:rsid w:val="00944F96"/>
    <w:rsid w:val="00944FC6"/>
    <w:rsid w:val="00944FDB"/>
    <w:rsid w:val="00945395"/>
    <w:rsid w:val="009453B2"/>
    <w:rsid w:val="00945432"/>
    <w:rsid w:val="009454C2"/>
    <w:rsid w:val="0094566E"/>
    <w:rsid w:val="009456DB"/>
    <w:rsid w:val="009457FE"/>
    <w:rsid w:val="00945887"/>
    <w:rsid w:val="00945892"/>
    <w:rsid w:val="00945CDE"/>
    <w:rsid w:val="00945EDC"/>
    <w:rsid w:val="00945F32"/>
    <w:rsid w:val="00946077"/>
    <w:rsid w:val="00946564"/>
    <w:rsid w:val="009465BD"/>
    <w:rsid w:val="009466DC"/>
    <w:rsid w:val="0094684A"/>
    <w:rsid w:val="0094687A"/>
    <w:rsid w:val="00946A8C"/>
    <w:rsid w:val="00946AC1"/>
    <w:rsid w:val="00946CFD"/>
    <w:rsid w:val="00946F2A"/>
    <w:rsid w:val="00946FC9"/>
    <w:rsid w:val="009471A6"/>
    <w:rsid w:val="00947298"/>
    <w:rsid w:val="00947370"/>
    <w:rsid w:val="00947406"/>
    <w:rsid w:val="00947424"/>
    <w:rsid w:val="009476EC"/>
    <w:rsid w:val="0094780D"/>
    <w:rsid w:val="00947913"/>
    <w:rsid w:val="00947A29"/>
    <w:rsid w:val="00947BBA"/>
    <w:rsid w:val="00947BC3"/>
    <w:rsid w:val="00947C35"/>
    <w:rsid w:val="00947E1E"/>
    <w:rsid w:val="00947E8C"/>
    <w:rsid w:val="0095000C"/>
    <w:rsid w:val="009502AE"/>
    <w:rsid w:val="009502CF"/>
    <w:rsid w:val="0095030A"/>
    <w:rsid w:val="009505C1"/>
    <w:rsid w:val="009505EF"/>
    <w:rsid w:val="0095061D"/>
    <w:rsid w:val="0095087A"/>
    <w:rsid w:val="00950AD9"/>
    <w:rsid w:val="00950BC4"/>
    <w:rsid w:val="00950E29"/>
    <w:rsid w:val="00950E56"/>
    <w:rsid w:val="00951194"/>
    <w:rsid w:val="00951243"/>
    <w:rsid w:val="0095131B"/>
    <w:rsid w:val="009513AB"/>
    <w:rsid w:val="00951554"/>
    <w:rsid w:val="00951563"/>
    <w:rsid w:val="009516EF"/>
    <w:rsid w:val="0095174F"/>
    <w:rsid w:val="009517F2"/>
    <w:rsid w:val="009519EE"/>
    <w:rsid w:val="00951A0A"/>
    <w:rsid w:val="00951B6E"/>
    <w:rsid w:val="00951CF0"/>
    <w:rsid w:val="00951D0B"/>
    <w:rsid w:val="00951E52"/>
    <w:rsid w:val="00951E7D"/>
    <w:rsid w:val="00951F27"/>
    <w:rsid w:val="00951FB8"/>
    <w:rsid w:val="009520DA"/>
    <w:rsid w:val="009522F8"/>
    <w:rsid w:val="00952388"/>
    <w:rsid w:val="00952389"/>
    <w:rsid w:val="00952467"/>
    <w:rsid w:val="009524C4"/>
    <w:rsid w:val="0095254A"/>
    <w:rsid w:val="009525B8"/>
    <w:rsid w:val="009529EA"/>
    <w:rsid w:val="00952A61"/>
    <w:rsid w:val="00952B38"/>
    <w:rsid w:val="00952DBE"/>
    <w:rsid w:val="00952F9E"/>
    <w:rsid w:val="00952FAC"/>
    <w:rsid w:val="0095308E"/>
    <w:rsid w:val="00953252"/>
    <w:rsid w:val="009532D1"/>
    <w:rsid w:val="0095365B"/>
    <w:rsid w:val="009536F0"/>
    <w:rsid w:val="0095390F"/>
    <w:rsid w:val="00953947"/>
    <w:rsid w:val="00953956"/>
    <w:rsid w:val="009539C3"/>
    <w:rsid w:val="009539E6"/>
    <w:rsid w:val="00953B17"/>
    <w:rsid w:val="00953CE8"/>
    <w:rsid w:val="00953D16"/>
    <w:rsid w:val="00953D21"/>
    <w:rsid w:val="00953DA6"/>
    <w:rsid w:val="0095432B"/>
    <w:rsid w:val="00954344"/>
    <w:rsid w:val="0095447B"/>
    <w:rsid w:val="009545F9"/>
    <w:rsid w:val="00954659"/>
    <w:rsid w:val="00954669"/>
    <w:rsid w:val="00954ABA"/>
    <w:rsid w:val="00954AD4"/>
    <w:rsid w:val="00954B46"/>
    <w:rsid w:val="00954BFF"/>
    <w:rsid w:val="00954C54"/>
    <w:rsid w:val="00954F47"/>
    <w:rsid w:val="00955103"/>
    <w:rsid w:val="0095516A"/>
    <w:rsid w:val="00955196"/>
    <w:rsid w:val="009551F2"/>
    <w:rsid w:val="009554F0"/>
    <w:rsid w:val="009554FF"/>
    <w:rsid w:val="0095566D"/>
    <w:rsid w:val="009556FD"/>
    <w:rsid w:val="009557BD"/>
    <w:rsid w:val="009558A8"/>
    <w:rsid w:val="0095591F"/>
    <w:rsid w:val="00955B18"/>
    <w:rsid w:val="00955C14"/>
    <w:rsid w:val="00955C9F"/>
    <w:rsid w:val="00955CD3"/>
    <w:rsid w:val="00955CE8"/>
    <w:rsid w:val="00955E82"/>
    <w:rsid w:val="0095604B"/>
    <w:rsid w:val="009561ED"/>
    <w:rsid w:val="00956233"/>
    <w:rsid w:val="00956258"/>
    <w:rsid w:val="00956945"/>
    <w:rsid w:val="00956C9F"/>
    <w:rsid w:val="00956EF4"/>
    <w:rsid w:val="00956FA0"/>
    <w:rsid w:val="009570E0"/>
    <w:rsid w:val="00957969"/>
    <w:rsid w:val="00957996"/>
    <w:rsid w:val="00957A24"/>
    <w:rsid w:val="00957A4F"/>
    <w:rsid w:val="00957C59"/>
    <w:rsid w:val="00957DE1"/>
    <w:rsid w:val="00957DF2"/>
    <w:rsid w:val="00957E0F"/>
    <w:rsid w:val="00957E2C"/>
    <w:rsid w:val="00957E2F"/>
    <w:rsid w:val="009601E3"/>
    <w:rsid w:val="0096030F"/>
    <w:rsid w:val="00960397"/>
    <w:rsid w:val="0096041C"/>
    <w:rsid w:val="0096082E"/>
    <w:rsid w:val="009608A3"/>
    <w:rsid w:val="00960922"/>
    <w:rsid w:val="00960990"/>
    <w:rsid w:val="00960C15"/>
    <w:rsid w:val="00960C45"/>
    <w:rsid w:val="00960E28"/>
    <w:rsid w:val="00960ECC"/>
    <w:rsid w:val="00960F3C"/>
    <w:rsid w:val="00960F5B"/>
    <w:rsid w:val="00960FB3"/>
    <w:rsid w:val="00961013"/>
    <w:rsid w:val="00961152"/>
    <w:rsid w:val="009612F5"/>
    <w:rsid w:val="00961311"/>
    <w:rsid w:val="00961327"/>
    <w:rsid w:val="00961812"/>
    <w:rsid w:val="009618D8"/>
    <w:rsid w:val="0096194A"/>
    <w:rsid w:val="009619F2"/>
    <w:rsid w:val="00961DA3"/>
    <w:rsid w:val="00961FF7"/>
    <w:rsid w:val="009620AC"/>
    <w:rsid w:val="009621D4"/>
    <w:rsid w:val="00962234"/>
    <w:rsid w:val="0096236A"/>
    <w:rsid w:val="0096239F"/>
    <w:rsid w:val="00962444"/>
    <w:rsid w:val="009626CA"/>
    <w:rsid w:val="009627C0"/>
    <w:rsid w:val="00962D08"/>
    <w:rsid w:val="00962D65"/>
    <w:rsid w:val="00962F19"/>
    <w:rsid w:val="00962F35"/>
    <w:rsid w:val="00962F90"/>
    <w:rsid w:val="00963078"/>
    <w:rsid w:val="009633A8"/>
    <w:rsid w:val="00963629"/>
    <w:rsid w:val="0096398C"/>
    <w:rsid w:val="009639F3"/>
    <w:rsid w:val="00963A13"/>
    <w:rsid w:val="00963A79"/>
    <w:rsid w:val="00963DBD"/>
    <w:rsid w:val="00963E47"/>
    <w:rsid w:val="00963EDF"/>
    <w:rsid w:val="00964059"/>
    <w:rsid w:val="00964105"/>
    <w:rsid w:val="009643BE"/>
    <w:rsid w:val="0096445C"/>
    <w:rsid w:val="009645BA"/>
    <w:rsid w:val="009648C0"/>
    <w:rsid w:val="009648F9"/>
    <w:rsid w:val="00964C33"/>
    <w:rsid w:val="00964C5B"/>
    <w:rsid w:val="00964C6E"/>
    <w:rsid w:val="00964D95"/>
    <w:rsid w:val="00965284"/>
    <w:rsid w:val="0096540A"/>
    <w:rsid w:val="0096549F"/>
    <w:rsid w:val="009654B7"/>
    <w:rsid w:val="009655FF"/>
    <w:rsid w:val="009656D7"/>
    <w:rsid w:val="009657F6"/>
    <w:rsid w:val="00965AA3"/>
    <w:rsid w:val="00965D7A"/>
    <w:rsid w:val="00965DFE"/>
    <w:rsid w:val="00965E01"/>
    <w:rsid w:val="00965F5C"/>
    <w:rsid w:val="00966509"/>
    <w:rsid w:val="00966666"/>
    <w:rsid w:val="009668ED"/>
    <w:rsid w:val="00966965"/>
    <w:rsid w:val="0096697C"/>
    <w:rsid w:val="009669C7"/>
    <w:rsid w:val="00966A82"/>
    <w:rsid w:val="00966CED"/>
    <w:rsid w:val="00966D23"/>
    <w:rsid w:val="00966E1B"/>
    <w:rsid w:val="00966E9E"/>
    <w:rsid w:val="00966EDA"/>
    <w:rsid w:val="00966EFF"/>
    <w:rsid w:val="00967005"/>
    <w:rsid w:val="009671D9"/>
    <w:rsid w:val="0096721D"/>
    <w:rsid w:val="009673AA"/>
    <w:rsid w:val="009673B1"/>
    <w:rsid w:val="00967541"/>
    <w:rsid w:val="0096797B"/>
    <w:rsid w:val="00967B31"/>
    <w:rsid w:val="00967C63"/>
    <w:rsid w:val="0097003D"/>
    <w:rsid w:val="00970045"/>
    <w:rsid w:val="00970149"/>
    <w:rsid w:val="00970353"/>
    <w:rsid w:val="00970377"/>
    <w:rsid w:val="009704E6"/>
    <w:rsid w:val="009707CF"/>
    <w:rsid w:val="009707E8"/>
    <w:rsid w:val="009707F3"/>
    <w:rsid w:val="00970897"/>
    <w:rsid w:val="00970A2B"/>
    <w:rsid w:val="00970A2D"/>
    <w:rsid w:val="00970AB8"/>
    <w:rsid w:val="00970B23"/>
    <w:rsid w:val="00970C02"/>
    <w:rsid w:val="00970D4F"/>
    <w:rsid w:val="00970ED0"/>
    <w:rsid w:val="00971095"/>
    <w:rsid w:val="0097118E"/>
    <w:rsid w:val="009712CC"/>
    <w:rsid w:val="00971377"/>
    <w:rsid w:val="00971480"/>
    <w:rsid w:val="009714C3"/>
    <w:rsid w:val="009714C6"/>
    <w:rsid w:val="009715D4"/>
    <w:rsid w:val="009715DE"/>
    <w:rsid w:val="009716C8"/>
    <w:rsid w:val="009719DF"/>
    <w:rsid w:val="009719E6"/>
    <w:rsid w:val="00971BE6"/>
    <w:rsid w:val="00971CE5"/>
    <w:rsid w:val="00971E4D"/>
    <w:rsid w:val="00971FD4"/>
    <w:rsid w:val="00972145"/>
    <w:rsid w:val="009721FB"/>
    <w:rsid w:val="0097220C"/>
    <w:rsid w:val="00972556"/>
    <w:rsid w:val="0097259B"/>
    <w:rsid w:val="00972AF1"/>
    <w:rsid w:val="00972B1D"/>
    <w:rsid w:val="00972D06"/>
    <w:rsid w:val="00972E44"/>
    <w:rsid w:val="00973147"/>
    <w:rsid w:val="009731FC"/>
    <w:rsid w:val="00973205"/>
    <w:rsid w:val="009732F8"/>
    <w:rsid w:val="00973315"/>
    <w:rsid w:val="009733AF"/>
    <w:rsid w:val="00973452"/>
    <w:rsid w:val="009734E6"/>
    <w:rsid w:val="0097381F"/>
    <w:rsid w:val="00973A79"/>
    <w:rsid w:val="00973BC4"/>
    <w:rsid w:val="00973BE3"/>
    <w:rsid w:val="00973C6F"/>
    <w:rsid w:val="00973CB6"/>
    <w:rsid w:val="00973DF4"/>
    <w:rsid w:val="00974136"/>
    <w:rsid w:val="009741E8"/>
    <w:rsid w:val="00974238"/>
    <w:rsid w:val="00974622"/>
    <w:rsid w:val="00974665"/>
    <w:rsid w:val="0097467E"/>
    <w:rsid w:val="00974744"/>
    <w:rsid w:val="00974866"/>
    <w:rsid w:val="00974B25"/>
    <w:rsid w:val="00974B90"/>
    <w:rsid w:val="0097508C"/>
    <w:rsid w:val="009750A0"/>
    <w:rsid w:val="00975305"/>
    <w:rsid w:val="00975409"/>
    <w:rsid w:val="0097544A"/>
    <w:rsid w:val="009755F4"/>
    <w:rsid w:val="00975648"/>
    <w:rsid w:val="00975841"/>
    <w:rsid w:val="009759FE"/>
    <w:rsid w:val="00975E12"/>
    <w:rsid w:val="00975FBF"/>
    <w:rsid w:val="00976319"/>
    <w:rsid w:val="0097633F"/>
    <w:rsid w:val="00976611"/>
    <w:rsid w:val="00976756"/>
    <w:rsid w:val="0097680C"/>
    <w:rsid w:val="009768E0"/>
    <w:rsid w:val="00976A03"/>
    <w:rsid w:val="00976AE0"/>
    <w:rsid w:val="00976B92"/>
    <w:rsid w:val="00976D94"/>
    <w:rsid w:val="00976DC6"/>
    <w:rsid w:val="00976E40"/>
    <w:rsid w:val="00977071"/>
    <w:rsid w:val="00977179"/>
    <w:rsid w:val="009771E9"/>
    <w:rsid w:val="00977320"/>
    <w:rsid w:val="009773A8"/>
    <w:rsid w:val="009773C3"/>
    <w:rsid w:val="009775BE"/>
    <w:rsid w:val="0097766F"/>
    <w:rsid w:val="009777CB"/>
    <w:rsid w:val="00977924"/>
    <w:rsid w:val="0097795C"/>
    <w:rsid w:val="00977B74"/>
    <w:rsid w:val="00977CD2"/>
    <w:rsid w:val="00977E28"/>
    <w:rsid w:val="00977E3A"/>
    <w:rsid w:val="00977E61"/>
    <w:rsid w:val="00977E8B"/>
    <w:rsid w:val="00977F82"/>
    <w:rsid w:val="0098011C"/>
    <w:rsid w:val="00980490"/>
    <w:rsid w:val="009804EA"/>
    <w:rsid w:val="0098065A"/>
    <w:rsid w:val="00980999"/>
    <w:rsid w:val="00980AF3"/>
    <w:rsid w:val="00980B15"/>
    <w:rsid w:val="00980D10"/>
    <w:rsid w:val="00980DCF"/>
    <w:rsid w:val="00980E20"/>
    <w:rsid w:val="00980F21"/>
    <w:rsid w:val="0098107E"/>
    <w:rsid w:val="00981148"/>
    <w:rsid w:val="0098127F"/>
    <w:rsid w:val="0098129A"/>
    <w:rsid w:val="0098134C"/>
    <w:rsid w:val="0098144E"/>
    <w:rsid w:val="009816A0"/>
    <w:rsid w:val="00981753"/>
    <w:rsid w:val="009817ED"/>
    <w:rsid w:val="00981804"/>
    <w:rsid w:val="0098184B"/>
    <w:rsid w:val="0098190C"/>
    <w:rsid w:val="00981928"/>
    <w:rsid w:val="009819A7"/>
    <w:rsid w:val="00981B11"/>
    <w:rsid w:val="00981BB6"/>
    <w:rsid w:val="00981D8C"/>
    <w:rsid w:val="00981F9C"/>
    <w:rsid w:val="009820DC"/>
    <w:rsid w:val="009822EF"/>
    <w:rsid w:val="0098240F"/>
    <w:rsid w:val="009825E9"/>
    <w:rsid w:val="00982665"/>
    <w:rsid w:val="00982682"/>
    <w:rsid w:val="00982B34"/>
    <w:rsid w:val="00982B55"/>
    <w:rsid w:val="00982B98"/>
    <w:rsid w:val="00982D94"/>
    <w:rsid w:val="00982DBA"/>
    <w:rsid w:val="00982DFE"/>
    <w:rsid w:val="00982EC8"/>
    <w:rsid w:val="00982F52"/>
    <w:rsid w:val="0098320F"/>
    <w:rsid w:val="0098331B"/>
    <w:rsid w:val="0098346F"/>
    <w:rsid w:val="00983529"/>
    <w:rsid w:val="009835B0"/>
    <w:rsid w:val="00983647"/>
    <w:rsid w:val="009836BF"/>
    <w:rsid w:val="00983703"/>
    <w:rsid w:val="009838FF"/>
    <w:rsid w:val="00983B5A"/>
    <w:rsid w:val="00983DD4"/>
    <w:rsid w:val="0098414F"/>
    <w:rsid w:val="0098419F"/>
    <w:rsid w:val="00984375"/>
    <w:rsid w:val="009843F1"/>
    <w:rsid w:val="00984557"/>
    <w:rsid w:val="009846E9"/>
    <w:rsid w:val="0098473E"/>
    <w:rsid w:val="0098478D"/>
    <w:rsid w:val="009847B4"/>
    <w:rsid w:val="009847DA"/>
    <w:rsid w:val="00984817"/>
    <w:rsid w:val="00984927"/>
    <w:rsid w:val="00984A8B"/>
    <w:rsid w:val="00984D2F"/>
    <w:rsid w:val="00984E02"/>
    <w:rsid w:val="00985223"/>
    <w:rsid w:val="009852C2"/>
    <w:rsid w:val="0098542D"/>
    <w:rsid w:val="0098546C"/>
    <w:rsid w:val="009855DA"/>
    <w:rsid w:val="009856E9"/>
    <w:rsid w:val="00985775"/>
    <w:rsid w:val="00985BE5"/>
    <w:rsid w:val="00986181"/>
    <w:rsid w:val="00986263"/>
    <w:rsid w:val="009862B5"/>
    <w:rsid w:val="009862D3"/>
    <w:rsid w:val="00986372"/>
    <w:rsid w:val="00986624"/>
    <w:rsid w:val="009866E5"/>
    <w:rsid w:val="0098685B"/>
    <w:rsid w:val="00986B5E"/>
    <w:rsid w:val="00986B8E"/>
    <w:rsid w:val="00986C15"/>
    <w:rsid w:val="00986CA8"/>
    <w:rsid w:val="00986DE3"/>
    <w:rsid w:val="00986EDA"/>
    <w:rsid w:val="00987096"/>
    <w:rsid w:val="009870DB"/>
    <w:rsid w:val="009870FE"/>
    <w:rsid w:val="00987170"/>
    <w:rsid w:val="009871D5"/>
    <w:rsid w:val="009872A8"/>
    <w:rsid w:val="009872FE"/>
    <w:rsid w:val="00987480"/>
    <w:rsid w:val="00987512"/>
    <w:rsid w:val="00987958"/>
    <w:rsid w:val="009879F7"/>
    <w:rsid w:val="00987AD9"/>
    <w:rsid w:val="00987C9A"/>
    <w:rsid w:val="00987E4C"/>
    <w:rsid w:val="00987E5E"/>
    <w:rsid w:val="00987F33"/>
    <w:rsid w:val="00990225"/>
    <w:rsid w:val="00990237"/>
    <w:rsid w:val="0099025A"/>
    <w:rsid w:val="00990273"/>
    <w:rsid w:val="0099032E"/>
    <w:rsid w:val="0099034E"/>
    <w:rsid w:val="00990387"/>
    <w:rsid w:val="00990390"/>
    <w:rsid w:val="009903AA"/>
    <w:rsid w:val="009903F2"/>
    <w:rsid w:val="0099055E"/>
    <w:rsid w:val="0099078F"/>
    <w:rsid w:val="009907D9"/>
    <w:rsid w:val="009908A5"/>
    <w:rsid w:val="00990A6F"/>
    <w:rsid w:val="00990A85"/>
    <w:rsid w:val="00990AB6"/>
    <w:rsid w:val="00990C6B"/>
    <w:rsid w:val="00990C7E"/>
    <w:rsid w:val="00990D15"/>
    <w:rsid w:val="00990E63"/>
    <w:rsid w:val="00990F78"/>
    <w:rsid w:val="00991057"/>
    <w:rsid w:val="009911D5"/>
    <w:rsid w:val="009912E7"/>
    <w:rsid w:val="00991381"/>
    <w:rsid w:val="00991419"/>
    <w:rsid w:val="009915AF"/>
    <w:rsid w:val="009915C5"/>
    <w:rsid w:val="00991705"/>
    <w:rsid w:val="0099172B"/>
    <w:rsid w:val="00991962"/>
    <w:rsid w:val="00991D4A"/>
    <w:rsid w:val="00991E5B"/>
    <w:rsid w:val="00991EBF"/>
    <w:rsid w:val="009920DE"/>
    <w:rsid w:val="009920FA"/>
    <w:rsid w:val="00992542"/>
    <w:rsid w:val="009926C8"/>
    <w:rsid w:val="00992D05"/>
    <w:rsid w:val="00992EAE"/>
    <w:rsid w:val="00992F06"/>
    <w:rsid w:val="0099301E"/>
    <w:rsid w:val="00993179"/>
    <w:rsid w:val="009931BB"/>
    <w:rsid w:val="009931E6"/>
    <w:rsid w:val="009932AD"/>
    <w:rsid w:val="0099349D"/>
    <w:rsid w:val="0099359A"/>
    <w:rsid w:val="00993637"/>
    <w:rsid w:val="009937E2"/>
    <w:rsid w:val="0099387D"/>
    <w:rsid w:val="009938DC"/>
    <w:rsid w:val="00993B4F"/>
    <w:rsid w:val="00993B79"/>
    <w:rsid w:val="00993C58"/>
    <w:rsid w:val="00993CC9"/>
    <w:rsid w:val="00993E41"/>
    <w:rsid w:val="00993E95"/>
    <w:rsid w:val="00993EF4"/>
    <w:rsid w:val="00993F26"/>
    <w:rsid w:val="00993F43"/>
    <w:rsid w:val="0099440F"/>
    <w:rsid w:val="0099444C"/>
    <w:rsid w:val="00994457"/>
    <w:rsid w:val="009945FF"/>
    <w:rsid w:val="00994602"/>
    <w:rsid w:val="00994719"/>
    <w:rsid w:val="00994860"/>
    <w:rsid w:val="009948E0"/>
    <w:rsid w:val="0099492C"/>
    <w:rsid w:val="00994B36"/>
    <w:rsid w:val="00994B82"/>
    <w:rsid w:val="00994D6A"/>
    <w:rsid w:val="00995218"/>
    <w:rsid w:val="00995231"/>
    <w:rsid w:val="009953E6"/>
    <w:rsid w:val="00995408"/>
    <w:rsid w:val="00995427"/>
    <w:rsid w:val="0099571A"/>
    <w:rsid w:val="0099571C"/>
    <w:rsid w:val="00995782"/>
    <w:rsid w:val="0099578C"/>
    <w:rsid w:val="009957D5"/>
    <w:rsid w:val="009958D1"/>
    <w:rsid w:val="009958ED"/>
    <w:rsid w:val="00995A42"/>
    <w:rsid w:val="00995A51"/>
    <w:rsid w:val="00995B21"/>
    <w:rsid w:val="00995C02"/>
    <w:rsid w:val="00995EB7"/>
    <w:rsid w:val="00995EC7"/>
    <w:rsid w:val="00996030"/>
    <w:rsid w:val="009960DA"/>
    <w:rsid w:val="00996267"/>
    <w:rsid w:val="0099649C"/>
    <w:rsid w:val="009964D5"/>
    <w:rsid w:val="009964DB"/>
    <w:rsid w:val="0099687A"/>
    <w:rsid w:val="0099692A"/>
    <w:rsid w:val="00996937"/>
    <w:rsid w:val="0099693E"/>
    <w:rsid w:val="009969C5"/>
    <w:rsid w:val="00996A3F"/>
    <w:rsid w:val="00996A94"/>
    <w:rsid w:val="00996ABE"/>
    <w:rsid w:val="00996AE8"/>
    <w:rsid w:val="00996FB7"/>
    <w:rsid w:val="009971AF"/>
    <w:rsid w:val="009971CA"/>
    <w:rsid w:val="009972D0"/>
    <w:rsid w:val="00997428"/>
    <w:rsid w:val="00997CC9"/>
    <w:rsid w:val="00997D2B"/>
    <w:rsid w:val="00997E09"/>
    <w:rsid w:val="00997E97"/>
    <w:rsid w:val="00997FE2"/>
    <w:rsid w:val="009A0014"/>
    <w:rsid w:val="009A0091"/>
    <w:rsid w:val="009A00CA"/>
    <w:rsid w:val="009A0185"/>
    <w:rsid w:val="009A0375"/>
    <w:rsid w:val="009A07DB"/>
    <w:rsid w:val="009A07FF"/>
    <w:rsid w:val="009A085E"/>
    <w:rsid w:val="009A08F0"/>
    <w:rsid w:val="009A0A84"/>
    <w:rsid w:val="009A0ABC"/>
    <w:rsid w:val="009A0BBE"/>
    <w:rsid w:val="009A0CFD"/>
    <w:rsid w:val="009A0D0A"/>
    <w:rsid w:val="009A0D11"/>
    <w:rsid w:val="009A10AD"/>
    <w:rsid w:val="009A1205"/>
    <w:rsid w:val="009A12DA"/>
    <w:rsid w:val="009A1356"/>
    <w:rsid w:val="009A13CE"/>
    <w:rsid w:val="009A1544"/>
    <w:rsid w:val="009A159B"/>
    <w:rsid w:val="009A163B"/>
    <w:rsid w:val="009A17AA"/>
    <w:rsid w:val="009A185A"/>
    <w:rsid w:val="009A18EE"/>
    <w:rsid w:val="009A1963"/>
    <w:rsid w:val="009A1A52"/>
    <w:rsid w:val="009A1AB8"/>
    <w:rsid w:val="009A1B8A"/>
    <w:rsid w:val="009A1BD3"/>
    <w:rsid w:val="009A1C2E"/>
    <w:rsid w:val="009A1C42"/>
    <w:rsid w:val="009A1C65"/>
    <w:rsid w:val="009A1CD4"/>
    <w:rsid w:val="009A1CF0"/>
    <w:rsid w:val="009A1D4A"/>
    <w:rsid w:val="009A1E8D"/>
    <w:rsid w:val="009A1F3C"/>
    <w:rsid w:val="009A201E"/>
    <w:rsid w:val="009A2058"/>
    <w:rsid w:val="009A20B5"/>
    <w:rsid w:val="009A2208"/>
    <w:rsid w:val="009A2304"/>
    <w:rsid w:val="009A2406"/>
    <w:rsid w:val="009A2425"/>
    <w:rsid w:val="009A2583"/>
    <w:rsid w:val="009A2676"/>
    <w:rsid w:val="009A273A"/>
    <w:rsid w:val="009A279F"/>
    <w:rsid w:val="009A2968"/>
    <w:rsid w:val="009A2A9F"/>
    <w:rsid w:val="009A2B3F"/>
    <w:rsid w:val="009A2D1D"/>
    <w:rsid w:val="009A2D89"/>
    <w:rsid w:val="009A2E16"/>
    <w:rsid w:val="009A2E35"/>
    <w:rsid w:val="009A2FFA"/>
    <w:rsid w:val="009A3022"/>
    <w:rsid w:val="009A30BA"/>
    <w:rsid w:val="009A3434"/>
    <w:rsid w:val="009A347A"/>
    <w:rsid w:val="009A34A9"/>
    <w:rsid w:val="009A35B5"/>
    <w:rsid w:val="009A35D8"/>
    <w:rsid w:val="009A3C08"/>
    <w:rsid w:val="009A3EB0"/>
    <w:rsid w:val="009A408D"/>
    <w:rsid w:val="009A40C7"/>
    <w:rsid w:val="009A4285"/>
    <w:rsid w:val="009A4387"/>
    <w:rsid w:val="009A45AB"/>
    <w:rsid w:val="009A45AE"/>
    <w:rsid w:val="009A47CF"/>
    <w:rsid w:val="009A4A39"/>
    <w:rsid w:val="009A4A5F"/>
    <w:rsid w:val="009A4BAB"/>
    <w:rsid w:val="009A4C4D"/>
    <w:rsid w:val="009A4D8A"/>
    <w:rsid w:val="009A4DBE"/>
    <w:rsid w:val="009A51D0"/>
    <w:rsid w:val="009A5552"/>
    <w:rsid w:val="009A555C"/>
    <w:rsid w:val="009A5686"/>
    <w:rsid w:val="009A5785"/>
    <w:rsid w:val="009A5A08"/>
    <w:rsid w:val="009A5D1D"/>
    <w:rsid w:val="009A5D62"/>
    <w:rsid w:val="009A5EB8"/>
    <w:rsid w:val="009A5ED6"/>
    <w:rsid w:val="009A5EE4"/>
    <w:rsid w:val="009A5F3F"/>
    <w:rsid w:val="009A5FB6"/>
    <w:rsid w:val="009A6094"/>
    <w:rsid w:val="009A61ED"/>
    <w:rsid w:val="009A620A"/>
    <w:rsid w:val="009A62A7"/>
    <w:rsid w:val="009A6675"/>
    <w:rsid w:val="009A6730"/>
    <w:rsid w:val="009A6973"/>
    <w:rsid w:val="009A6A01"/>
    <w:rsid w:val="009A6C11"/>
    <w:rsid w:val="009A6DCB"/>
    <w:rsid w:val="009A6FC9"/>
    <w:rsid w:val="009A6FF6"/>
    <w:rsid w:val="009A6FF8"/>
    <w:rsid w:val="009A72EF"/>
    <w:rsid w:val="009A7360"/>
    <w:rsid w:val="009A73C8"/>
    <w:rsid w:val="009A73D4"/>
    <w:rsid w:val="009A73D6"/>
    <w:rsid w:val="009A749E"/>
    <w:rsid w:val="009A75AF"/>
    <w:rsid w:val="009A76CA"/>
    <w:rsid w:val="009A7821"/>
    <w:rsid w:val="009A7945"/>
    <w:rsid w:val="009A7946"/>
    <w:rsid w:val="009A795F"/>
    <w:rsid w:val="009A79B5"/>
    <w:rsid w:val="009A7A32"/>
    <w:rsid w:val="009A7AC5"/>
    <w:rsid w:val="009A7BC2"/>
    <w:rsid w:val="009A7CB6"/>
    <w:rsid w:val="009A7CCD"/>
    <w:rsid w:val="009A7CE9"/>
    <w:rsid w:val="009A7D24"/>
    <w:rsid w:val="009B002D"/>
    <w:rsid w:val="009B0116"/>
    <w:rsid w:val="009B03CE"/>
    <w:rsid w:val="009B0696"/>
    <w:rsid w:val="009B0755"/>
    <w:rsid w:val="009B0841"/>
    <w:rsid w:val="009B08FF"/>
    <w:rsid w:val="009B0A05"/>
    <w:rsid w:val="009B0BC8"/>
    <w:rsid w:val="009B0CA9"/>
    <w:rsid w:val="009B0DC2"/>
    <w:rsid w:val="009B10A3"/>
    <w:rsid w:val="009B1106"/>
    <w:rsid w:val="009B11C3"/>
    <w:rsid w:val="009B14A3"/>
    <w:rsid w:val="009B14E7"/>
    <w:rsid w:val="009B153E"/>
    <w:rsid w:val="009B1581"/>
    <w:rsid w:val="009B18E1"/>
    <w:rsid w:val="009B18F5"/>
    <w:rsid w:val="009B196D"/>
    <w:rsid w:val="009B199C"/>
    <w:rsid w:val="009B1B7D"/>
    <w:rsid w:val="009B1F8A"/>
    <w:rsid w:val="009B20A3"/>
    <w:rsid w:val="009B223E"/>
    <w:rsid w:val="009B244F"/>
    <w:rsid w:val="009B2572"/>
    <w:rsid w:val="009B25D4"/>
    <w:rsid w:val="009B268C"/>
    <w:rsid w:val="009B26B9"/>
    <w:rsid w:val="009B289D"/>
    <w:rsid w:val="009B2A04"/>
    <w:rsid w:val="009B2A46"/>
    <w:rsid w:val="009B2AF9"/>
    <w:rsid w:val="009B2B29"/>
    <w:rsid w:val="009B2B67"/>
    <w:rsid w:val="009B2C56"/>
    <w:rsid w:val="009B2D38"/>
    <w:rsid w:val="009B2F31"/>
    <w:rsid w:val="009B329F"/>
    <w:rsid w:val="009B334C"/>
    <w:rsid w:val="009B3415"/>
    <w:rsid w:val="009B3544"/>
    <w:rsid w:val="009B355E"/>
    <w:rsid w:val="009B35AF"/>
    <w:rsid w:val="009B3733"/>
    <w:rsid w:val="009B3791"/>
    <w:rsid w:val="009B3C40"/>
    <w:rsid w:val="009B3DB9"/>
    <w:rsid w:val="009B3E93"/>
    <w:rsid w:val="009B3EA3"/>
    <w:rsid w:val="009B3EEA"/>
    <w:rsid w:val="009B3F13"/>
    <w:rsid w:val="009B407A"/>
    <w:rsid w:val="009B407C"/>
    <w:rsid w:val="009B40E9"/>
    <w:rsid w:val="009B418A"/>
    <w:rsid w:val="009B447C"/>
    <w:rsid w:val="009B44C0"/>
    <w:rsid w:val="009B4652"/>
    <w:rsid w:val="009B47A0"/>
    <w:rsid w:val="009B49BF"/>
    <w:rsid w:val="009B49CA"/>
    <w:rsid w:val="009B49F3"/>
    <w:rsid w:val="009B4A8F"/>
    <w:rsid w:val="009B4A9F"/>
    <w:rsid w:val="009B4B24"/>
    <w:rsid w:val="009B4CED"/>
    <w:rsid w:val="009B4E8F"/>
    <w:rsid w:val="009B4F45"/>
    <w:rsid w:val="009B507C"/>
    <w:rsid w:val="009B5082"/>
    <w:rsid w:val="009B53A8"/>
    <w:rsid w:val="009B5439"/>
    <w:rsid w:val="009B5792"/>
    <w:rsid w:val="009B57C2"/>
    <w:rsid w:val="009B58C8"/>
    <w:rsid w:val="009B599B"/>
    <w:rsid w:val="009B5A3C"/>
    <w:rsid w:val="009B5C37"/>
    <w:rsid w:val="009B5E28"/>
    <w:rsid w:val="009B6003"/>
    <w:rsid w:val="009B6014"/>
    <w:rsid w:val="009B60B1"/>
    <w:rsid w:val="009B60BE"/>
    <w:rsid w:val="009B62EE"/>
    <w:rsid w:val="009B63CE"/>
    <w:rsid w:val="009B6554"/>
    <w:rsid w:val="009B67AE"/>
    <w:rsid w:val="009B67E8"/>
    <w:rsid w:val="009B6903"/>
    <w:rsid w:val="009B6A49"/>
    <w:rsid w:val="009B6B67"/>
    <w:rsid w:val="009B6DD9"/>
    <w:rsid w:val="009B6E83"/>
    <w:rsid w:val="009B6FF3"/>
    <w:rsid w:val="009B703C"/>
    <w:rsid w:val="009B718F"/>
    <w:rsid w:val="009B71CB"/>
    <w:rsid w:val="009B72A2"/>
    <w:rsid w:val="009B74AA"/>
    <w:rsid w:val="009B74B5"/>
    <w:rsid w:val="009B761D"/>
    <w:rsid w:val="009B786C"/>
    <w:rsid w:val="009B793C"/>
    <w:rsid w:val="009B7C4F"/>
    <w:rsid w:val="009B7DE2"/>
    <w:rsid w:val="009B7E9D"/>
    <w:rsid w:val="009C0002"/>
    <w:rsid w:val="009C00D9"/>
    <w:rsid w:val="009C01A0"/>
    <w:rsid w:val="009C01A3"/>
    <w:rsid w:val="009C01AB"/>
    <w:rsid w:val="009C02ED"/>
    <w:rsid w:val="009C0304"/>
    <w:rsid w:val="009C0338"/>
    <w:rsid w:val="009C0433"/>
    <w:rsid w:val="009C04FD"/>
    <w:rsid w:val="009C06A8"/>
    <w:rsid w:val="009C07EB"/>
    <w:rsid w:val="009C0A01"/>
    <w:rsid w:val="009C0A6F"/>
    <w:rsid w:val="009C0C30"/>
    <w:rsid w:val="009C104C"/>
    <w:rsid w:val="009C10F0"/>
    <w:rsid w:val="009C11F2"/>
    <w:rsid w:val="009C147C"/>
    <w:rsid w:val="009C163D"/>
    <w:rsid w:val="009C171D"/>
    <w:rsid w:val="009C1745"/>
    <w:rsid w:val="009C188F"/>
    <w:rsid w:val="009C18D0"/>
    <w:rsid w:val="009C1B92"/>
    <w:rsid w:val="009C1CE7"/>
    <w:rsid w:val="009C1F6F"/>
    <w:rsid w:val="009C244E"/>
    <w:rsid w:val="009C26F4"/>
    <w:rsid w:val="009C2769"/>
    <w:rsid w:val="009C2773"/>
    <w:rsid w:val="009C2814"/>
    <w:rsid w:val="009C28B0"/>
    <w:rsid w:val="009C2A3A"/>
    <w:rsid w:val="009C2BE0"/>
    <w:rsid w:val="009C2C54"/>
    <w:rsid w:val="009C2CD4"/>
    <w:rsid w:val="009C2DB5"/>
    <w:rsid w:val="009C3140"/>
    <w:rsid w:val="009C33E9"/>
    <w:rsid w:val="009C33EA"/>
    <w:rsid w:val="009C3637"/>
    <w:rsid w:val="009C36E5"/>
    <w:rsid w:val="009C3829"/>
    <w:rsid w:val="009C3B33"/>
    <w:rsid w:val="009C3BC4"/>
    <w:rsid w:val="009C3D88"/>
    <w:rsid w:val="009C3E04"/>
    <w:rsid w:val="009C3E12"/>
    <w:rsid w:val="009C3FA1"/>
    <w:rsid w:val="009C3FB1"/>
    <w:rsid w:val="009C4145"/>
    <w:rsid w:val="009C4307"/>
    <w:rsid w:val="009C4346"/>
    <w:rsid w:val="009C4545"/>
    <w:rsid w:val="009C45A2"/>
    <w:rsid w:val="009C474B"/>
    <w:rsid w:val="009C4754"/>
    <w:rsid w:val="009C4852"/>
    <w:rsid w:val="009C4B28"/>
    <w:rsid w:val="009C4C18"/>
    <w:rsid w:val="009C4DAE"/>
    <w:rsid w:val="009C4E62"/>
    <w:rsid w:val="009C4E68"/>
    <w:rsid w:val="009C4F81"/>
    <w:rsid w:val="009C4FF0"/>
    <w:rsid w:val="009C5050"/>
    <w:rsid w:val="009C54EC"/>
    <w:rsid w:val="009C561E"/>
    <w:rsid w:val="009C57B5"/>
    <w:rsid w:val="009C58CE"/>
    <w:rsid w:val="009C5A0C"/>
    <w:rsid w:val="009C5B25"/>
    <w:rsid w:val="009C5CE4"/>
    <w:rsid w:val="009C5E1D"/>
    <w:rsid w:val="009C5E4A"/>
    <w:rsid w:val="009C60AE"/>
    <w:rsid w:val="009C6140"/>
    <w:rsid w:val="009C6253"/>
    <w:rsid w:val="009C6405"/>
    <w:rsid w:val="009C658E"/>
    <w:rsid w:val="009C6816"/>
    <w:rsid w:val="009C6856"/>
    <w:rsid w:val="009C6E42"/>
    <w:rsid w:val="009C6F33"/>
    <w:rsid w:val="009C71B0"/>
    <w:rsid w:val="009C72AC"/>
    <w:rsid w:val="009C72DA"/>
    <w:rsid w:val="009C7527"/>
    <w:rsid w:val="009C78FA"/>
    <w:rsid w:val="009C79A1"/>
    <w:rsid w:val="009C79BD"/>
    <w:rsid w:val="009C7B10"/>
    <w:rsid w:val="009C7EAC"/>
    <w:rsid w:val="009C7F5D"/>
    <w:rsid w:val="009C7FD1"/>
    <w:rsid w:val="009D0309"/>
    <w:rsid w:val="009D08BF"/>
    <w:rsid w:val="009D08EF"/>
    <w:rsid w:val="009D0935"/>
    <w:rsid w:val="009D0976"/>
    <w:rsid w:val="009D0A0B"/>
    <w:rsid w:val="009D0B3B"/>
    <w:rsid w:val="009D0B4A"/>
    <w:rsid w:val="009D0B97"/>
    <w:rsid w:val="009D0BA6"/>
    <w:rsid w:val="009D0BFC"/>
    <w:rsid w:val="009D0CE2"/>
    <w:rsid w:val="009D0D81"/>
    <w:rsid w:val="009D0E33"/>
    <w:rsid w:val="009D0F1B"/>
    <w:rsid w:val="009D0FC0"/>
    <w:rsid w:val="009D1142"/>
    <w:rsid w:val="009D11E5"/>
    <w:rsid w:val="009D17A7"/>
    <w:rsid w:val="009D17C7"/>
    <w:rsid w:val="009D181B"/>
    <w:rsid w:val="009D1820"/>
    <w:rsid w:val="009D18B3"/>
    <w:rsid w:val="009D198A"/>
    <w:rsid w:val="009D1A2C"/>
    <w:rsid w:val="009D1F3F"/>
    <w:rsid w:val="009D1F51"/>
    <w:rsid w:val="009D1F52"/>
    <w:rsid w:val="009D2013"/>
    <w:rsid w:val="009D205F"/>
    <w:rsid w:val="009D2253"/>
    <w:rsid w:val="009D22CC"/>
    <w:rsid w:val="009D23CE"/>
    <w:rsid w:val="009D25A1"/>
    <w:rsid w:val="009D2729"/>
    <w:rsid w:val="009D2765"/>
    <w:rsid w:val="009D27CD"/>
    <w:rsid w:val="009D2A40"/>
    <w:rsid w:val="009D2BD8"/>
    <w:rsid w:val="009D2F21"/>
    <w:rsid w:val="009D2FAA"/>
    <w:rsid w:val="009D3139"/>
    <w:rsid w:val="009D324A"/>
    <w:rsid w:val="009D3299"/>
    <w:rsid w:val="009D34CA"/>
    <w:rsid w:val="009D359A"/>
    <w:rsid w:val="009D35F3"/>
    <w:rsid w:val="009D36DD"/>
    <w:rsid w:val="009D37B1"/>
    <w:rsid w:val="009D3895"/>
    <w:rsid w:val="009D38BE"/>
    <w:rsid w:val="009D3A29"/>
    <w:rsid w:val="009D3A35"/>
    <w:rsid w:val="009D3B73"/>
    <w:rsid w:val="009D3D5D"/>
    <w:rsid w:val="009D3EF0"/>
    <w:rsid w:val="009D403B"/>
    <w:rsid w:val="009D4044"/>
    <w:rsid w:val="009D407E"/>
    <w:rsid w:val="009D40BC"/>
    <w:rsid w:val="009D40C2"/>
    <w:rsid w:val="009D41A0"/>
    <w:rsid w:val="009D41DE"/>
    <w:rsid w:val="009D4297"/>
    <w:rsid w:val="009D4380"/>
    <w:rsid w:val="009D46FB"/>
    <w:rsid w:val="009D4966"/>
    <w:rsid w:val="009D4B29"/>
    <w:rsid w:val="009D4DC4"/>
    <w:rsid w:val="009D4DD9"/>
    <w:rsid w:val="009D4DF2"/>
    <w:rsid w:val="009D4E10"/>
    <w:rsid w:val="009D4EB9"/>
    <w:rsid w:val="009D4FD0"/>
    <w:rsid w:val="009D523D"/>
    <w:rsid w:val="009D535E"/>
    <w:rsid w:val="009D53B3"/>
    <w:rsid w:val="009D5419"/>
    <w:rsid w:val="009D545D"/>
    <w:rsid w:val="009D5497"/>
    <w:rsid w:val="009D566A"/>
    <w:rsid w:val="009D5780"/>
    <w:rsid w:val="009D58AC"/>
    <w:rsid w:val="009D58BC"/>
    <w:rsid w:val="009D58C8"/>
    <w:rsid w:val="009D58F7"/>
    <w:rsid w:val="009D59C7"/>
    <w:rsid w:val="009D5E7C"/>
    <w:rsid w:val="009D60B6"/>
    <w:rsid w:val="009D6149"/>
    <w:rsid w:val="009D63E1"/>
    <w:rsid w:val="009D6560"/>
    <w:rsid w:val="009D6705"/>
    <w:rsid w:val="009D672C"/>
    <w:rsid w:val="009D6764"/>
    <w:rsid w:val="009D69B4"/>
    <w:rsid w:val="009D6AAA"/>
    <w:rsid w:val="009D6AEE"/>
    <w:rsid w:val="009D6B36"/>
    <w:rsid w:val="009D6C7B"/>
    <w:rsid w:val="009D6C8E"/>
    <w:rsid w:val="009D6CE3"/>
    <w:rsid w:val="009D6D53"/>
    <w:rsid w:val="009D6DC8"/>
    <w:rsid w:val="009D6F9F"/>
    <w:rsid w:val="009D6FE7"/>
    <w:rsid w:val="009D715B"/>
    <w:rsid w:val="009D71E7"/>
    <w:rsid w:val="009D7390"/>
    <w:rsid w:val="009D754A"/>
    <w:rsid w:val="009D76A3"/>
    <w:rsid w:val="009D76F0"/>
    <w:rsid w:val="009D775A"/>
    <w:rsid w:val="009D7970"/>
    <w:rsid w:val="009D7A36"/>
    <w:rsid w:val="009D7A4A"/>
    <w:rsid w:val="009D7ABA"/>
    <w:rsid w:val="009D7DE4"/>
    <w:rsid w:val="009D7E28"/>
    <w:rsid w:val="009D7EF8"/>
    <w:rsid w:val="009D7F39"/>
    <w:rsid w:val="009E0131"/>
    <w:rsid w:val="009E013F"/>
    <w:rsid w:val="009E064A"/>
    <w:rsid w:val="009E09E8"/>
    <w:rsid w:val="009E0A0C"/>
    <w:rsid w:val="009E0B96"/>
    <w:rsid w:val="009E0C59"/>
    <w:rsid w:val="009E0CBA"/>
    <w:rsid w:val="009E0CCA"/>
    <w:rsid w:val="009E1116"/>
    <w:rsid w:val="009E1261"/>
    <w:rsid w:val="009E1331"/>
    <w:rsid w:val="009E136D"/>
    <w:rsid w:val="009E1605"/>
    <w:rsid w:val="009E1785"/>
    <w:rsid w:val="009E17C7"/>
    <w:rsid w:val="009E1923"/>
    <w:rsid w:val="009E1B42"/>
    <w:rsid w:val="009E1BD2"/>
    <w:rsid w:val="009E1C62"/>
    <w:rsid w:val="009E2162"/>
    <w:rsid w:val="009E23A6"/>
    <w:rsid w:val="009E23AC"/>
    <w:rsid w:val="009E24F7"/>
    <w:rsid w:val="009E25D6"/>
    <w:rsid w:val="009E270F"/>
    <w:rsid w:val="009E27CE"/>
    <w:rsid w:val="009E27EC"/>
    <w:rsid w:val="009E28F9"/>
    <w:rsid w:val="009E2997"/>
    <w:rsid w:val="009E29C4"/>
    <w:rsid w:val="009E2A96"/>
    <w:rsid w:val="009E2B84"/>
    <w:rsid w:val="009E2D1D"/>
    <w:rsid w:val="009E3055"/>
    <w:rsid w:val="009E3265"/>
    <w:rsid w:val="009E328C"/>
    <w:rsid w:val="009E32B8"/>
    <w:rsid w:val="009E362D"/>
    <w:rsid w:val="009E3638"/>
    <w:rsid w:val="009E36FB"/>
    <w:rsid w:val="009E3762"/>
    <w:rsid w:val="009E3824"/>
    <w:rsid w:val="009E384A"/>
    <w:rsid w:val="009E3BA4"/>
    <w:rsid w:val="009E3C1D"/>
    <w:rsid w:val="009E3EB7"/>
    <w:rsid w:val="009E3F3F"/>
    <w:rsid w:val="009E41D0"/>
    <w:rsid w:val="009E41E1"/>
    <w:rsid w:val="009E41EC"/>
    <w:rsid w:val="009E42DE"/>
    <w:rsid w:val="009E434C"/>
    <w:rsid w:val="009E4405"/>
    <w:rsid w:val="009E46A3"/>
    <w:rsid w:val="009E4705"/>
    <w:rsid w:val="009E470F"/>
    <w:rsid w:val="009E47AF"/>
    <w:rsid w:val="009E47D0"/>
    <w:rsid w:val="009E47FF"/>
    <w:rsid w:val="009E480E"/>
    <w:rsid w:val="009E4862"/>
    <w:rsid w:val="009E4900"/>
    <w:rsid w:val="009E4C23"/>
    <w:rsid w:val="009E4C7D"/>
    <w:rsid w:val="009E4FBB"/>
    <w:rsid w:val="009E52FD"/>
    <w:rsid w:val="009E5328"/>
    <w:rsid w:val="009E563D"/>
    <w:rsid w:val="009E56EF"/>
    <w:rsid w:val="009E58C5"/>
    <w:rsid w:val="009E5C64"/>
    <w:rsid w:val="009E5CFC"/>
    <w:rsid w:val="009E5F0F"/>
    <w:rsid w:val="009E6035"/>
    <w:rsid w:val="009E6043"/>
    <w:rsid w:val="009E6100"/>
    <w:rsid w:val="009E64D0"/>
    <w:rsid w:val="009E65B5"/>
    <w:rsid w:val="009E6695"/>
    <w:rsid w:val="009E678A"/>
    <w:rsid w:val="009E69A7"/>
    <w:rsid w:val="009E6A20"/>
    <w:rsid w:val="009E6B5B"/>
    <w:rsid w:val="009E6C37"/>
    <w:rsid w:val="009E6C70"/>
    <w:rsid w:val="009E6EF3"/>
    <w:rsid w:val="009E6F13"/>
    <w:rsid w:val="009E6FAA"/>
    <w:rsid w:val="009E7093"/>
    <w:rsid w:val="009E70DC"/>
    <w:rsid w:val="009E7543"/>
    <w:rsid w:val="009E7547"/>
    <w:rsid w:val="009E7590"/>
    <w:rsid w:val="009E75E7"/>
    <w:rsid w:val="009E7753"/>
    <w:rsid w:val="009E7788"/>
    <w:rsid w:val="009E7969"/>
    <w:rsid w:val="009E79E6"/>
    <w:rsid w:val="009E7AA5"/>
    <w:rsid w:val="009E7BF2"/>
    <w:rsid w:val="009E7D0A"/>
    <w:rsid w:val="009E7E0D"/>
    <w:rsid w:val="009F0156"/>
    <w:rsid w:val="009F0385"/>
    <w:rsid w:val="009F05BE"/>
    <w:rsid w:val="009F0958"/>
    <w:rsid w:val="009F0B51"/>
    <w:rsid w:val="009F0D6D"/>
    <w:rsid w:val="009F0E4E"/>
    <w:rsid w:val="009F0F5D"/>
    <w:rsid w:val="009F0FAA"/>
    <w:rsid w:val="009F128D"/>
    <w:rsid w:val="009F1379"/>
    <w:rsid w:val="009F15F3"/>
    <w:rsid w:val="009F160D"/>
    <w:rsid w:val="009F18D6"/>
    <w:rsid w:val="009F1980"/>
    <w:rsid w:val="009F1B3D"/>
    <w:rsid w:val="009F1E35"/>
    <w:rsid w:val="009F2067"/>
    <w:rsid w:val="009F21D3"/>
    <w:rsid w:val="009F224E"/>
    <w:rsid w:val="009F2622"/>
    <w:rsid w:val="009F2794"/>
    <w:rsid w:val="009F2987"/>
    <w:rsid w:val="009F2BD4"/>
    <w:rsid w:val="009F2C99"/>
    <w:rsid w:val="009F2E23"/>
    <w:rsid w:val="009F2E5C"/>
    <w:rsid w:val="009F2F33"/>
    <w:rsid w:val="009F310C"/>
    <w:rsid w:val="009F3133"/>
    <w:rsid w:val="009F3151"/>
    <w:rsid w:val="009F317B"/>
    <w:rsid w:val="009F32D6"/>
    <w:rsid w:val="009F33B5"/>
    <w:rsid w:val="009F34DF"/>
    <w:rsid w:val="009F38CD"/>
    <w:rsid w:val="009F39F4"/>
    <w:rsid w:val="009F3A3C"/>
    <w:rsid w:val="009F3B1A"/>
    <w:rsid w:val="009F3BE3"/>
    <w:rsid w:val="009F3E01"/>
    <w:rsid w:val="009F3E30"/>
    <w:rsid w:val="009F44E8"/>
    <w:rsid w:val="009F4646"/>
    <w:rsid w:val="009F472E"/>
    <w:rsid w:val="009F47E8"/>
    <w:rsid w:val="009F4822"/>
    <w:rsid w:val="009F4906"/>
    <w:rsid w:val="009F4AE6"/>
    <w:rsid w:val="009F4B87"/>
    <w:rsid w:val="009F4BCA"/>
    <w:rsid w:val="009F4C06"/>
    <w:rsid w:val="009F4E9A"/>
    <w:rsid w:val="009F4F51"/>
    <w:rsid w:val="009F5252"/>
    <w:rsid w:val="009F5286"/>
    <w:rsid w:val="009F5341"/>
    <w:rsid w:val="009F5355"/>
    <w:rsid w:val="009F55E6"/>
    <w:rsid w:val="009F58A4"/>
    <w:rsid w:val="009F5A05"/>
    <w:rsid w:val="009F5B27"/>
    <w:rsid w:val="009F5D68"/>
    <w:rsid w:val="009F5E45"/>
    <w:rsid w:val="009F5E91"/>
    <w:rsid w:val="009F5F39"/>
    <w:rsid w:val="009F61C9"/>
    <w:rsid w:val="009F6200"/>
    <w:rsid w:val="009F6277"/>
    <w:rsid w:val="009F62CA"/>
    <w:rsid w:val="009F6387"/>
    <w:rsid w:val="009F6448"/>
    <w:rsid w:val="009F6647"/>
    <w:rsid w:val="009F66A3"/>
    <w:rsid w:val="009F66C4"/>
    <w:rsid w:val="009F69C6"/>
    <w:rsid w:val="009F6A12"/>
    <w:rsid w:val="009F6AF1"/>
    <w:rsid w:val="009F6CD1"/>
    <w:rsid w:val="009F6E25"/>
    <w:rsid w:val="009F70E7"/>
    <w:rsid w:val="009F736E"/>
    <w:rsid w:val="009F7552"/>
    <w:rsid w:val="009F759F"/>
    <w:rsid w:val="009F75B5"/>
    <w:rsid w:val="009F7890"/>
    <w:rsid w:val="00A0000D"/>
    <w:rsid w:val="00A000ED"/>
    <w:rsid w:val="00A0020E"/>
    <w:rsid w:val="00A002BB"/>
    <w:rsid w:val="00A0031F"/>
    <w:rsid w:val="00A00482"/>
    <w:rsid w:val="00A009E4"/>
    <w:rsid w:val="00A00B9D"/>
    <w:rsid w:val="00A00C8E"/>
    <w:rsid w:val="00A00EA8"/>
    <w:rsid w:val="00A0118D"/>
    <w:rsid w:val="00A011BF"/>
    <w:rsid w:val="00A0136D"/>
    <w:rsid w:val="00A0143B"/>
    <w:rsid w:val="00A01816"/>
    <w:rsid w:val="00A018A2"/>
    <w:rsid w:val="00A0196B"/>
    <w:rsid w:val="00A01A42"/>
    <w:rsid w:val="00A01BD5"/>
    <w:rsid w:val="00A01F17"/>
    <w:rsid w:val="00A01F90"/>
    <w:rsid w:val="00A01FC2"/>
    <w:rsid w:val="00A02001"/>
    <w:rsid w:val="00A020FD"/>
    <w:rsid w:val="00A0217E"/>
    <w:rsid w:val="00A02205"/>
    <w:rsid w:val="00A0227D"/>
    <w:rsid w:val="00A02362"/>
    <w:rsid w:val="00A024A0"/>
    <w:rsid w:val="00A02566"/>
    <w:rsid w:val="00A0260E"/>
    <w:rsid w:val="00A0279A"/>
    <w:rsid w:val="00A027A5"/>
    <w:rsid w:val="00A0299C"/>
    <w:rsid w:val="00A029BC"/>
    <w:rsid w:val="00A02A27"/>
    <w:rsid w:val="00A02BBC"/>
    <w:rsid w:val="00A02BD3"/>
    <w:rsid w:val="00A02CEA"/>
    <w:rsid w:val="00A02DB6"/>
    <w:rsid w:val="00A02DCA"/>
    <w:rsid w:val="00A02E5C"/>
    <w:rsid w:val="00A02FE4"/>
    <w:rsid w:val="00A02FFC"/>
    <w:rsid w:val="00A03096"/>
    <w:rsid w:val="00A03182"/>
    <w:rsid w:val="00A03240"/>
    <w:rsid w:val="00A03285"/>
    <w:rsid w:val="00A03487"/>
    <w:rsid w:val="00A03805"/>
    <w:rsid w:val="00A0390A"/>
    <w:rsid w:val="00A03A8E"/>
    <w:rsid w:val="00A03B28"/>
    <w:rsid w:val="00A03B74"/>
    <w:rsid w:val="00A03BB8"/>
    <w:rsid w:val="00A03C8A"/>
    <w:rsid w:val="00A03CB0"/>
    <w:rsid w:val="00A03DF9"/>
    <w:rsid w:val="00A040A0"/>
    <w:rsid w:val="00A042BC"/>
    <w:rsid w:val="00A0457F"/>
    <w:rsid w:val="00A04586"/>
    <w:rsid w:val="00A045CD"/>
    <w:rsid w:val="00A0462C"/>
    <w:rsid w:val="00A04635"/>
    <w:rsid w:val="00A04935"/>
    <w:rsid w:val="00A04A06"/>
    <w:rsid w:val="00A04ACC"/>
    <w:rsid w:val="00A04BF2"/>
    <w:rsid w:val="00A04D3D"/>
    <w:rsid w:val="00A04EBB"/>
    <w:rsid w:val="00A04F50"/>
    <w:rsid w:val="00A04FAC"/>
    <w:rsid w:val="00A04FDD"/>
    <w:rsid w:val="00A0506B"/>
    <w:rsid w:val="00A05088"/>
    <w:rsid w:val="00A052AC"/>
    <w:rsid w:val="00A0555D"/>
    <w:rsid w:val="00A05660"/>
    <w:rsid w:val="00A05A3E"/>
    <w:rsid w:val="00A05C9C"/>
    <w:rsid w:val="00A05CF8"/>
    <w:rsid w:val="00A05D52"/>
    <w:rsid w:val="00A05EDF"/>
    <w:rsid w:val="00A06262"/>
    <w:rsid w:val="00A062C4"/>
    <w:rsid w:val="00A062C6"/>
    <w:rsid w:val="00A0634C"/>
    <w:rsid w:val="00A063C8"/>
    <w:rsid w:val="00A06545"/>
    <w:rsid w:val="00A06601"/>
    <w:rsid w:val="00A066C3"/>
    <w:rsid w:val="00A06765"/>
    <w:rsid w:val="00A06AD6"/>
    <w:rsid w:val="00A06B0C"/>
    <w:rsid w:val="00A06B61"/>
    <w:rsid w:val="00A06D04"/>
    <w:rsid w:val="00A06D99"/>
    <w:rsid w:val="00A0724D"/>
    <w:rsid w:val="00A0747A"/>
    <w:rsid w:val="00A074BE"/>
    <w:rsid w:val="00A075BC"/>
    <w:rsid w:val="00A075FC"/>
    <w:rsid w:val="00A077D5"/>
    <w:rsid w:val="00A078A2"/>
    <w:rsid w:val="00A0796C"/>
    <w:rsid w:val="00A07A2D"/>
    <w:rsid w:val="00A07A62"/>
    <w:rsid w:val="00A07D3C"/>
    <w:rsid w:val="00A07DC8"/>
    <w:rsid w:val="00A07EC0"/>
    <w:rsid w:val="00A07F0A"/>
    <w:rsid w:val="00A07F42"/>
    <w:rsid w:val="00A07F7C"/>
    <w:rsid w:val="00A100FB"/>
    <w:rsid w:val="00A10113"/>
    <w:rsid w:val="00A10289"/>
    <w:rsid w:val="00A10506"/>
    <w:rsid w:val="00A10617"/>
    <w:rsid w:val="00A106DA"/>
    <w:rsid w:val="00A1099F"/>
    <w:rsid w:val="00A10B31"/>
    <w:rsid w:val="00A10C1B"/>
    <w:rsid w:val="00A10CEE"/>
    <w:rsid w:val="00A10D35"/>
    <w:rsid w:val="00A10DB0"/>
    <w:rsid w:val="00A10F18"/>
    <w:rsid w:val="00A1115B"/>
    <w:rsid w:val="00A1132B"/>
    <w:rsid w:val="00A11516"/>
    <w:rsid w:val="00A117BC"/>
    <w:rsid w:val="00A119B7"/>
    <w:rsid w:val="00A119FF"/>
    <w:rsid w:val="00A11A5E"/>
    <w:rsid w:val="00A11F03"/>
    <w:rsid w:val="00A12183"/>
    <w:rsid w:val="00A1222E"/>
    <w:rsid w:val="00A12274"/>
    <w:rsid w:val="00A12292"/>
    <w:rsid w:val="00A12706"/>
    <w:rsid w:val="00A1276A"/>
    <w:rsid w:val="00A1276D"/>
    <w:rsid w:val="00A128A4"/>
    <w:rsid w:val="00A128F5"/>
    <w:rsid w:val="00A12B1F"/>
    <w:rsid w:val="00A12B54"/>
    <w:rsid w:val="00A12D83"/>
    <w:rsid w:val="00A12E17"/>
    <w:rsid w:val="00A12F4E"/>
    <w:rsid w:val="00A130CB"/>
    <w:rsid w:val="00A13A2C"/>
    <w:rsid w:val="00A13A90"/>
    <w:rsid w:val="00A13B86"/>
    <w:rsid w:val="00A13BCC"/>
    <w:rsid w:val="00A140E8"/>
    <w:rsid w:val="00A140E9"/>
    <w:rsid w:val="00A14182"/>
    <w:rsid w:val="00A1418D"/>
    <w:rsid w:val="00A141A1"/>
    <w:rsid w:val="00A14290"/>
    <w:rsid w:val="00A142DA"/>
    <w:rsid w:val="00A14328"/>
    <w:rsid w:val="00A1439E"/>
    <w:rsid w:val="00A143AB"/>
    <w:rsid w:val="00A144E4"/>
    <w:rsid w:val="00A146F0"/>
    <w:rsid w:val="00A14902"/>
    <w:rsid w:val="00A14943"/>
    <w:rsid w:val="00A14954"/>
    <w:rsid w:val="00A149D0"/>
    <w:rsid w:val="00A14AED"/>
    <w:rsid w:val="00A14DE7"/>
    <w:rsid w:val="00A14F8B"/>
    <w:rsid w:val="00A14FB2"/>
    <w:rsid w:val="00A151BA"/>
    <w:rsid w:val="00A151CE"/>
    <w:rsid w:val="00A15269"/>
    <w:rsid w:val="00A15290"/>
    <w:rsid w:val="00A152E4"/>
    <w:rsid w:val="00A15388"/>
    <w:rsid w:val="00A1546A"/>
    <w:rsid w:val="00A1570C"/>
    <w:rsid w:val="00A15715"/>
    <w:rsid w:val="00A15725"/>
    <w:rsid w:val="00A15778"/>
    <w:rsid w:val="00A15786"/>
    <w:rsid w:val="00A1586B"/>
    <w:rsid w:val="00A15958"/>
    <w:rsid w:val="00A159F1"/>
    <w:rsid w:val="00A15AFD"/>
    <w:rsid w:val="00A15B72"/>
    <w:rsid w:val="00A15B82"/>
    <w:rsid w:val="00A15C45"/>
    <w:rsid w:val="00A15C47"/>
    <w:rsid w:val="00A15E38"/>
    <w:rsid w:val="00A1617F"/>
    <w:rsid w:val="00A163CF"/>
    <w:rsid w:val="00A1641A"/>
    <w:rsid w:val="00A1649B"/>
    <w:rsid w:val="00A16542"/>
    <w:rsid w:val="00A16586"/>
    <w:rsid w:val="00A166E4"/>
    <w:rsid w:val="00A167F0"/>
    <w:rsid w:val="00A16ACC"/>
    <w:rsid w:val="00A16AE9"/>
    <w:rsid w:val="00A16D7C"/>
    <w:rsid w:val="00A16DF2"/>
    <w:rsid w:val="00A17089"/>
    <w:rsid w:val="00A170E2"/>
    <w:rsid w:val="00A17198"/>
    <w:rsid w:val="00A17277"/>
    <w:rsid w:val="00A1737C"/>
    <w:rsid w:val="00A1749C"/>
    <w:rsid w:val="00A1782F"/>
    <w:rsid w:val="00A17846"/>
    <w:rsid w:val="00A178FF"/>
    <w:rsid w:val="00A1795A"/>
    <w:rsid w:val="00A179D8"/>
    <w:rsid w:val="00A17A8C"/>
    <w:rsid w:val="00A17B0E"/>
    <w:rsid w:val="00A17B75"/>
    <w:rsid w:val="00A17C6E"/>
    <w:rsid w:val="00A17CC7"/>
    <w:rsid w:val="00A17FE3"/>
    <w:rsid w:val="00A202A6"/>
    <w:rsid w:val="00A203DB"/>
    <w:rsid w:val="00A2045F"/>
    <w:rsid w:val="00A208F7"/>
    <w:rsid w:val="00A2093F"/>
    <w:rsid w:val="00A209A7"/>
    <w:rsid w:val="00A20A31"/>
    <w:rsid w:val="00A20BAC"/>
    <w:rsid w:val="00A20E09"/>
    <w:rsid w:val="00A20E9C"/>
    <w:rsid w:val="00A20F17"/>
    <w:rsid w:val="00A20F84"/>
    <w:rsid w:val="00A215A1"/>
    <w:rsid w:val="00A2161E"/>
    <w:rsid w:val="00A21687"/>
    <w:rsid w:val="00A21ACC"/>
    <w:rsid w:val="00A21B72"/>
    <w:rsid w:val="00A21B92"/>
    <w:rsid w:val="00A21C87"/>
    <w:rsid w:val="00A21E3A"/>
    <w:rsid w:val="00A21E43"/>
    <w:rsid w:val="00A2200D"/>
    <w:rsid w:val="00A22022"/>
    <w:rsid w:val="00A2206F"/>
    <w:rsid w:val="00A221A5"/>
    <w:rsid w:val="00A2231D"/>
    <w:rsid w:val="00A22512"/>
    <w:rsid w:val="00A2260F"/>
    <w:rsid w:val="00A22732"/>
    <w:rsid w:val="00A22B92"/>
    <w:rsid w:val="00A22C4B"/>
    <w:rsid w:val="00A22C67"/>
    <w:rsid w:val="00A22DC2"/>
    <w:rsid w:val="00A22EC6"/>
    <w:rsid w:val="00A23216"/>
    <w:rsid w:val="00A2324B"/>
    <w:rsid w:val="00A232AF"/>
    <w:rsid w:val="00A23444"/>
    <w:rsid w:val="00A234DA"/>
    <w:rsid w:val="00A23578"/>
    <w:rsid w:val="00A2359C"/>
    <w:rsid w:val="00A235D9"/>
    <w:rsid w:val="00A2363D"/>
    <w:rsid w:val="00A23694"/>
    <w:rsid w:val="00A2387E"/>
    <w:rsid w:val="00A23C07"/>
    <w:rsid w:val="00A23C19"/>
    <w:rsid w:val="00A23DDF"/>
    <w:rsid w:val="00A23DF4"/>
    <w:rsid w:val="00A23FC5"/>
    <w:rsid w:val="00A23FCB"/>
    <w:rsid w:val="00A2408C"/>
    <w:rsid w:val="00A24247"/>
    <w:rsid w:val="00A242B1"/>
    <w:rsid w:val="00A24311"/>
    <w:rsid w:val="00A2432B"/>
    <w:rsid w:val="00A243DC"/>
    <w:rsid w:val="00A243EC"/>
    <w:rsid w:val="00A2452D"/>
    <w:rsid w:val="00A2454A"/>
    <w:rsid w:val="00A24711"/>
    <w:rsid w:val="00A248F1"/>
    <w:rsid w:val="00A24EF1"/>
    <w:rsid w:val="00A24F90"/>
    <w:rsid w:val="00A24FBC"/>
    <w:rsid w:val="00A252B7"/>
    <w:rsid w:val="00A257E8"/>
    <w:rsid w:val="00A25811"/>
    <w:rsid w:val="00A25833"/>
    <w:rsid w:val="00A25873"/>
    <w:rsid w:val="00A259F1"/>
    <w:rsid w:val="00A25AEF"/>
    <w:rsid w:val="00A25FA2"/>
    <w:rsid w:val="00A25FDB"/>
    <w:rsid w:val="00A2626B"/>
    <w:rsid w:val="00A2633A"/>
    <w:rsid w:val="00A2635C"/>
    <w:rsid w:val="00A26478"/>
    <w:rsid w:val="00A2658D"/>
    <w:rsid w:val="00A265AC"/>
    <w:rsid w:val="00A2663D"/>
    <w:rsid w:val="00A26667"/>
    <w:rsid w:val="00A26784"/>
    <w:rsid w:val="00A267B5"/>
    <w:rsid w:val="00A2683B"/>
    <w:rsid w:val="00A26CB6"/>
    <w:rsid w:val="00A26D8E"/>
    <w:rsid w:val="00A26E29"/>
    <w:rsid w:val="00A26EB9"/>
    <w:rsid w:val="00A26EBC"/>
    <w:rsid w:val="00A26FFE"/>
    <w:rsid w:val="00A27150"/>
    <w:rsid w:val="00A2728E"/>
    <w:rsid w:val="00A275B5"/>
    <w:rsid w:val="00A27642"/>
    <w:rsid w:val="00A27B69"/>
    <w:rsid w:val="00A27D4C"/>
    <w:rsid w:val="00A27D7F"/>
    <w:rsid w:val="00A27EA9"/>
    <w:rsid w:val="00A27FC5"/>
    <w:rsid w:val="00A304D7"/>
    <w:rsid w:val="00A305DE"/>
    <w:rsid w:val="00A3060D"/>
    <w:rsid w:val="00A3075E"/>
    <w:rsid w:val="00A307DB"/>
    <w:rsid w:val="00A3092D"/>
    <w:rsid w:val="00A30D6F"/>
    <w:rsid w:val="00A30EAF"/>
    <w:rsid w:val="00A3107F"/>
    <w:rsid w:val="00A310BC"/>
    <w:rsid w:val="00A313DC"/>
    <w:rsid w:val="00A315B0"/>
    <w:rsid w:val="00A3164D"/>
    <w:rsid w:val="00A31678"/>
    <w:rsid w:val="00A3169B"/>
    <w:rsid w:val="00A3178C"/>
    <w:rsid w:val="00A31829"/>
    <w:rsid w:val="00A31863"/>
    <w:rsid w:val="00A318FD"/>
    <w:rsid w:val="00A319B0"/>
    <w:rsid w:val="00A31C0D"/>
    <w:rsid w:val="00A31F23"/>
    <w:rsid w:val="00A31FA5"/>
    <w:rsid w:val="00A32009"/>
    <w:rsid w:val="00A320B5"/>
    <w:rsid w:val="00A3219A"/>
    <w:rsid w:val="00A321AD"/>
    <w:rsid w:val="00A3251C"/>
    <w:rsid w:val="00A325F9"/>
    <w:rsid w:val="00A327A8"/>
    <w:rsid w:val="00A32C6B"/>
    <w:rsid w:val="00A32D46"/>
    <w:rsid w:val="00A32F28"/>
    <w:rsid w:val="00A33105"/>
    <w:rsid w:val="00A33196"/>
    <w:rsid w:val="00A331CD"/>
    <w:rsid w:val="00A332A5"/>
    <w:rsid w:val="00A333D6"/>
    <w:rsid w:val="00A33996"/>
    <w:rsid w:val="00A33A89"/>
    <w:rsid w:val="00A33C8F"/>
    <w:rsid w:val="00A33DD4"/>
    <w:rsid w:val="00A34020"/>
    <w:rsid w:val="00A34447"/>
    <w:rsid w:val="00A34463"/>
    <w:rsid w:val="00A345E4"/>
    <w:rsid w:val="00A3488C"/>
    <w:rsid w:val="00A348A8"/>
    <w:rsid w:val="00A34C12"/>
    <w:rsid w:val="00A34DD4"/>
    <w:rsid w:val="00A34E11"/>
    <w:rsid w:val="00A34E59"/>
    <w:rsid w:val="00A34F17"/>
    <w:rsid w:val="00A3514D"/>
    <w:rsid w:val="00A355D8"/>
    <w:rsid w:val="00A35650"/>
    <w:rsid w:val="00A35735"/>
    <w:rsid w:val="00A35887"/>
    <w:rsid w:val="00A35899"/>
    <w:rsid w:val="00A359C2"/>
    <w:rsid w:val="00A35C5F"/>
    <w:rsid w:val="00A35D0A"/>
    <w:rsid w:val="00A35D3D"/>
    <w:rsid w:val="00A35D78"/>
    <w:rsid w:val="00A35D8A"/>
    <w:rsid w:val="00A35DC6"/>
    <w:rsid w:val="00A35DE8"/>
    <w:rsid w:val="00A35E53"/>
    <w:rsid w:val="00A35E87"/>
    <w:rsid w:val="00A35EE4"/>
    <w:rsid w:val="00A35EEE"/>
    <w:rsid w:val="00A35F30"/>
    <w:rsid w:val="00A35F9F"/>
    <w:rsid w:val="00A361DE"/>
    <w:rsid w:val="00A36262"/>
    <w:rsid w:val="00A36610"/>
    <w:rsid w:val="00A36876"/>
    <w:rsid w:val="00A3692E"/>
    <w:rsid w:val="00A369F0"/>
    <w:rsid w:val="00A36A9E"/>
    <w:rsid w:val="00A36B61"/>
    <w:rsid w:val="00A36B98"/>
    <w:rsid w:val="00A36C79"/>
    <w:rsid w:val="00A36DC7"/>
    <w:rsid w:val="00A36E41"/>
    <w:rsid w:val="00A37141"/>
    <w:rsid w:val="00A372DC"/>
    <w:rsid w:val="00A3736C"/>
    <w:rsid w:val="00A37430"/>
    <w:rsid w:val="00A3743B"/>
    <w:rsid w:val="00A37673"/>
    <w:rsid w:val="00A377B7"/>
    <w:rsid w:val="00A378FD"/>
    <w:rsid w:val="00A37981"/>
    <w:rsid w:val="00A37A8D"/>
    <w:rsid w:val="00A37C67"/>
    <w:rsid w:val="00A37C75"/>
    <w:rsid w:val="00A37E7F"/>
    <w:rsid w:val="00A40102"/>
    <w:rsid w:val="00A4014A"/>
    <w:rsid w:val="00A402CA"/>
    <w:rsid w:val="00A403AF"/>
    <w:rsid w:val="00A404F5"/>
    <w:rsid w:val="00A4077A"/>
    <w:rsid w:val="00A40961"/>
    <w:rsid w:val="00A40A2C"/>
    <w:rsid w:val="00A40AA1"/>
    <w:rsid w:val="00A40AF3"/>
    <w:rsid w:val="00A40AFC"/>
    <w:rsid w:val="00A40BBE"/>
    <w:rsid w:val="00A40E53"/>
    <w:rsid w:val="00A40FFC"/>
    <w:rsid w:val="00A41131"/>
    <w:rsid w:val="00A41246"/>
    <w:rsid w:val="00A4131E"/>
    <w:rsid w:val="00A41403"/>
    <w:rsid w:val="00A4145A"/>
    <w:rsid w:val="00A41575"/>
    <w:rsid w:val="00A417F4"/>
    <w:rsid w:val="00A4187F"/>
    <w:rsid w:val="00A41923"/>
    <w:rsid w:val="00A419DA"/>
    <w:rsid w:val="00A41A6D"/>
    <w:rsid w:val="00A41D07"/>
    <w:rsid w:val="00A41D19"/>
    <w:rsid w:val="00A41E89"/>
    <w:rsid w:val="00A41FD7"/>
    <w:rsid w:val="00A421E4"/>
    <w:rsid w:val="00A4223C"/>
    <w:rsid w:val="00A42346"/>
    <w:rsid w:val="00A42417"/>
    <w:rsid w:val="00A424B9"/>
    <w:rsid w:val="00A425B8"/>
    <w:rsid w:val="00A42792"/>
    <w:rsid w:val="00A42989"/>
    <w:rsid w:val="00A42B13"/>
    <w:rsid w:val="00A42DA1"/>
    <w:rsid w:val="00A42EE5"/>
    <w:rsid w:val="00A42F3F"/>
    <w:rsid w:val="00A42F61"/>
    <w:rsid w:val="00A43020"/>
    <w:rsid w:val="00A43039"/>
    <w:rsid w:val="00A431A2"/>
    <w:rsid w:val="00A43253"/>
    <w:rsid w:val="00A4325F"/>
    <w:rsid w:val="00A432A7"/>
    <w:rsid w:val="00A43445"/>
    <w:rsid w:val="00A434A2"/>
    <w:rsid w:val="00A436A2"/>
    <w:rsid w:val="00A43711"/>
    <w:rsid w:val="00A43763"/>
    <w:rsid w:val="00A438FC"/>
    <w:rsid w:val="00A43945"/>
    <w:rsid w:val="00A43977"/>
    <w:rsid w:val="00A43B24"/>
    <w:rsid w:val="00A43BB2"/>
    <w:rsid w:val="00A43EF8"/>
    <w:rsid w:val="00A43FA3"/>
    <w:rsid w:val="00A43FAD"/>
    <w:rsid w:val="00A440FC"/>
    <w:rsid w:val="00A44457"/>
    <w:rsid w:val="00A4448B"/>
    <w:rsid w:val="00A444E9"/>
    <w:rsid w:val="00A44733"/>
    <w:rsid w:val="00A447F0"/>
    <w:rsid w:val="00A44911"/>
    <w:rsid w:val="00A44949"/>
    <w:rsid w:val="00A44AF8"/>
    <w:rsid w:val="00A44B93"/>
    <w:rsid w:val="00A44D83"/>
    <w:rsid w:val="00A4505D"/>
    <w:rsid w:val="00A45131"/>
    <w:rsid w:val="00A4530B"/>
    <w:rsid w:val="00A454D9"/>
    <w:rsid w:val="00A45577"/>
    <w:rsid w:val="00A456BA"/>
    <w:rsid w:val="00A4571F"/>
    <w:rsid w:val="00A459FA"/>
    <w:rsid w:val="00A45A5B"/>
    <w:rsid w:val="00A45AAC"/>
    <w:rsid w:val="00A45AFF"/>
    <w:rsid w:val="00A45C17"/>
    <w:rsid w:val="00A45C70"/>
    <w:rsid w:val="00A45CE6"/>
    <w:rsid w:val="00A45CEF"/>
    <w:rsid w:val="00A45F26"/>
    <w:rsid w:val="00A45FCF"/>
    <w:rsid w:val="00A4611F"/>
    <w:rsid w:val="00A464B9"/>
    <w:rsid w:val="00A4654A"/>
    <w:rsid w:val="00A4659E"/>
    <w:rsid w:val="00A46678"/>
    <w:rsid w:val="00A466DC"/>
    <w:rsid w:val="00A4671D"/>
    <w:rsid w:val="00A467F7"/>
    <w:rsid w:val="00A4694F"/>
    <w:rsid w:val="00A4697D"/>
    <w:rsid w:val="00A469A8"/>
    <w:rsid w:val="00A46A49"/>
    <w:rsid w:val="00A46B39"/>
    <w:rsid w:val="00A46F3E"/>
    <w:rsid w:val="00A47046"/>
    <w:rsid w:val="00A470B0"/>
    <w:rsid w:val="00A47163"/>
    <w:rsid w:val="00A47296"/>
    <w:rsid w:val="00A4729B"/>
    <w:rsid w:val="00A47384"/>
    <w:rsid w:val="00A474A2"/>
    <w:rsid w:val="00A47521"/>
    <w:rsid w:val="00A4767C"/>
    <w:rsid w:val="00A47727"/>
    <w:rsid w:val="00A477A6"/>
    <w:rsid w:val="00A47899"/>
    <w:rsid w:val="00A47C45"/>
    <w:rsid w:val="00A47C4C"/>
    <w:rsid w:val="00A47D8C"/>
    <w:rsid w:val="00A50158"/>
    <w:rsid w:val="00A50242"/>
    <w:rsid w:val="00A502AF"/>
    <w:rsid w:val="00A50453"/>
    <w:rsid w:val="00A50619"/>
    <w:rsid w:val="00A507B9"/>
    <w:rsid w:val="00A50830"/>
    <w:rsid w:val="00A508BC"/>
    <w:rsid w:val="00A50926"/>
    <w:rsid w:val="00A50B60"/>
    <w:rsid w:val="00A50C17"/>
    <w:rsid w:val="00A50FB9"/>
    <w:rsid w:val="00A51184"/>
    <w:rsid w:val="00A512BE"/>
    <w:rsid w:val="00A513B1"/>
    <w:rsid w:val="00A5162F"/>
    <w:rsid w:val="00A51672"/>
    <w:rsid w:val="00A51733"/>
    <w:rsid w:val="00A5188A"/>
    <w:rsid w:val="00A5189C"/>
    <w:rsid w:val="00A519C4"/>
    <w:rsid w:val="00A519E8"/>
    <w:rsid w:val="00A51AD0"/>
    <w:rsid w:val="00A51CE6"/>
    <w:rsid w:val="00A51EC6"/>
    <w:rsid w:val="00A5209A"/>
    <w:rsid w:val="00A522E1"/>
    <w:rsid w:val="00A523F7"/>
    <w:rsid w:val="00A5265E"/>
    <w:rsid w:val="00A52857"/>
    <w:rsid w:val="00A528C7"/>
    <w:rsid w:val="00A529CA"/>
    <w:rsid w:val="00A52C10"/>
    <w:rsid w:val="00A52CF3"/>
    <w:rsid w:val="00A52E0F"/>
    <w:rsid w:val="00A53255"/>
    <w:rsid w:val="00A5327C"/>
    <w:rsid w:val="00A53B08"/>
    <w:rsid w:val="00A53B54"/>
    <w:rsid w:val="00A53B98"/>
    <w:rsid w:val="00A53CC8"/>
    <w:rsid w:val="00A53DFF"/>
    <w:rsid w:val="00A53FE5"/>
    <w:rsid w:val="00A54145"/>
    <w:rsid w:val="00A541F1"/>
    <w:rsid w:val="00A541FB"/>
    <w:rsid w:val="00A542BE"/>
    <w:rsid w:val="00A54306"/>
    <w:rsid w:val="00A5431C"/>
    <w:rsid w:val="00A54748"/>
    <w:rsid w:val="00A54B3B"/>
    <w:rsid w:val="00A54C8B"/>
    <w:rsid w:val="00A54CCD"/>
    <w:rsid w:val="00A54EFA"/>
    <w:rsid w:val="00A54F23"/>
    <w:rsid w:val="00A54FDA"/>
    <w:rsid w:val="00A5508B"/>
    <w:rsid w:val="00A55224"/>
    <w:rsid w:val="00A55233"/>
    <w:rsid w:val="00A552AD"/>
    <w:rsid w:val="00A552E6"/>
    <w:rsid w:val="00A5546A"/>
    <w:rsid w:val="00A55499"/>
    <w:rsid w:val="00A55720"/>
    <w:rsid w:val="00A55929"/>
    <w:rsid w:val="00A55AF2"/>
    <w:rsid w:val="00A55BC6"/>
    <w:rsid w:val="00A55DD5"/>
    <w:rsid w:val="00A55E5F"/>
    <w:rsid w:val="00A55E8D"/>
    <w:rsid w:val="00A55EAB"/>
    <w:rsid w:val="00A56006"/>
    <w:rsid w:val="00A561D0"/>
    <w:rsid w:val="00A56284"/>
    <w:rsid w:val="00A563D8"/>
    <w:rsid w:val="00A565A5"/>
    <w:rsid w:val="00A5663D"/>
    <w:rsid w:val="00A567BF"/>
    <w:rsid w:val="00A5693D"/>
    <w:rsid w:val="00A569E6"/>
    <w:rsid w:val="00A56D15"/>
    <w:rsid w:val="00A56D4F"/>
    <w:rsid w:val="00A56DEA"/>
    <w:rsid w:val="00A57059"/>
    <w:rsid w:val="00A5706F"/>
    <w:rsid w:val="00A5708A"/>
    <w:rsid w:val="00A570D1"/>
    <w:rsid w:val="00A573A6"/>
    <w:rsid w:val="00A57425"/>
    <w:rsid w:val="00A575E0"/>
    <w:rsid w:val="00A575EC"/>
    <w:rsid w:val="00A5777C"/>
    <w:rsid w:val="00A577BB"/>
    <w:rsid w:val="00A57859"/>
    <w:rsid w:val="00A57BDA"/>
    <w:rsid w:val="00A57DD5"/>
    <w:rsid w:val="00A57E18"/>
    <w:rsid w:val="00A6027C"/>
    <w:rsid w:val="00A60306"/>
    <w:rsid w:val="00A60461"/>
    <w:rsid w:val="00A604FB"/>
    <w:rsid w:val="00A605E0"/>
    <w:rsid w:val="00A606C2"/>
    <w:rsid w:val="00A6093F"/>
    <w:rsid w:val="00A60A5A"/>
    <w:rsid w:val="00A60B30"/>
    <w:rsid w:val="00A60C18"/>
    <w:rsid w:val="00A60D15"/>
    <w:rsid w:val="00A61002"/>
    <w:rsid w:val="00A6129E"/>
    <w:rsid w:val="00A61313"/>
    <w:rsid w:val="00A61413"/>
    <w:rsid w:val="00A614E1"/>
    <w:rsid w:val="00A61501"/>
    <w:rsid w:val="00A61631"/>
    <w:rsid w:val="00A617D9"/>
    <w:rsid w:val="00A61823"/>
    <w:rsid w:val="00A61929"/>
    <w:rsid w:val="00A61DC8"/>
    <w:rsid w:val="00A61EA4"/>
    <w:rsid w:val="00A61EEB"/>
    <w:rsid w:val="00A61F15"/>
    <w:rsid w:val="00A61F46"/>
    <w:rsid w:val="00A62076"/>
    <w:rsid w:val="00A620F8"/>
    <w:rsid w:val="00A621A0"/>
    <w:rsid w:val="00A622DD"/>
    <w:rsid w:val="00A62522"/>
    <w:rsid w:val="00A6259F"/>
    <w:rsid w:val="00A626AB"/>
    <w:rsid w:val="00A62788"/>
    <w:rsid w:val="00A627FE"/>
    <w:rsid w:val="00A628F9"/>
    <w:rsid w:val="00A62AB1"/>
    <w:rsid w:val="00A62B62"/>
    <w:rsid w:val="00A62BF3"/>
    <w:rsid w:val="00A62CA3"/>
    <w:rsid w:val="00A62D37"/>
    <w:rsid w:val="00A62DB7"/>
    <w:rsid w:val="00A62FDD"/>
    <w:rsid w:val="00A63021"/>
    <w:rsid w:val="00A630C1"/>
    <w:rsid w:val="00A63311"/>
    <w:rsid w:val="00A633AE"/>
    <w:rsid w:val="00A63452"/>
    <w:rsid w:val="00A6365E"/>
    <w:rsid w:val="00A637ED"/>
    <w:rsid w:val="00A63842"/>
    <w:rsid w:val="00A6389C"/>
    <w:rsid w:val="00A63977"/>
    <w:rsid w:val="00A63A4E"/>
    <w:rsid w:val="00A63D3F"/>
    <w:rsid w:val="00A6435A"/>
    <w:rsid w:val="00A64805"/>
    <w:rsid w:val="00A6495F"/>
    <w:rsid w:val="00A649BE"/>
    <w:rsid w:val="00A64B3F"/>
    <w:rsid w:val="00A64D25"/>
    <w:rsid w:val="00A64E8B"/>
    <w:rsid w:val="00A65034"/>
    <w:rsid w:val="00A651E8"/>
    <w:rsid w:val="00A654B5"/>
    <w:rsid w:val="00A658CA"/>
    <w:rsid w:val="00A6593F"/>
    <w:rsid w:val="00A65BB6"/>
    <w:rsid w:val="00A66003"/>
    <w:rsid w:val="00A660DE"/>
    <w:rsid w:val="00A6612E"/>
    <w:rsid w:val="00A6616C"/>
    <w:rsid w:val="00A6627A"/>
    <w:rsid w:val="00A662DC"/>
    <w:rsid w:val="00A662FD"/>
    <w:rsid w:val="00A663BE"/>
    <w:rsid w:val="00A66564"/>
    <w:rsid w:val="00A66597"/>
    <w:rsid w:val="00A66677"/>
    <w:rsid w:val="00A6677D"/>
    <w:rsid w:val="00A66936"/>
    <w:rsid w:val="00A669BD"/>
    <w:rsid w:val="00A66AD0"/>
    <w:rsid w:val="00A66DF2"/>
    <w:rsid w:val="00A66E5A"/>
    <w:rsid w:val="00A6715C"/>
    <w:rsid w:val="00A67344"/>
    <w:rsid w:val="00A6736D"/>
    <w:rsid w:val="00A673E7"/>
    <w:rsid w:val="00A67492"/>
    <w:rsid w:val="00A6753C"/>
    <w:rsid w:val="00A67791"/>
    <w:rsid w:val="00A67980"/>
    <w:rsid w:val="00A67B32"/>
    <w:rsid w:val="00A67C2C"/>
    <w:rsid w:val="00A67C6A"/>
    <w:rsid w:val="00A67D6F"/>
    <w:rsid w:val="00A67D95"/>
    <w:rsid w:val="00A70030"/>
    <w:rsid w:val="00A70082"/>
    <w:rsid w:val="00A700E3"/>
    <w:rsid w:val="00A700F5"/>
    <w:rsid w:val="00A7020A"/>
    <w:rsid w:val="00A70428"/>
    <w:rsid w:val="00A7042E"/>
    <w:rsid w:val="00A70630"/>
    <w:rsid w:val="00A70637"/>
    <w:rsid w:val="00A706D9"/>
    <w:rsid w:val="00A70BCE"/>
    <w:rsid w:val="00A70D12"/>
    <w:rsid w:val="00A70D96"/>
    <w:rsid w:val="00A70E85"/>
    <w:rsid w:val="00A70F42"/>
    <w:rsid w:val="00A70F78"/>
    <w:rsid w:val="00A712F1"/>
    <w:rsid w:val="00A712FA"/>
    <w:rsid w:val="00A71702"/>
    <w:rsid w:val="00A717D9"/>
    <w:rsid w:val="00A7180A"/>
    <w:rsid w:val="00A718CA"/>
    <w:rsid w:val="00A71965"/>
    <w:rsid w:val="00A71B36"/>
    <w:rsid w:val="00A71BDA"/>
    <w:rsid w:val="00A71C9D"/>
    <w:rsid w:val="00A71D84"/>
    <w:rsid w:val="00A71F16"/>
    <w:rsid w:val="00A72159"/>
    <w:rsid w:val="00A722D9"/>
    <w:rsid w:val="00A723E3"/>
    <w:rsid w:val="00A72408"/>
    <w:rsid w:val="00A7251B"/>
    <w:rsid w:val="00A72532"/>
    <w:rsid w:val="00A72816"/>
    <w:rsid w:val="00A72AE7"/>
    <w:rsid w:val="00A72BEC"/>
    <w:rsid w:val="00A72CA0"/>
    <w:rsid w:val="00A72DAD"/>
    <w:rsid w:val="00A72E17"/>
    <w:rsid w:val="00A72F1D"/>
    <w:rsid w:val="00A72F3F"/>
    <w:rsid w:val="00A72FA4"/>
    <w:rsid w:val="00A73150"/>
    <w:rsid w:val="00A7336C"/>
    <w:rsid w:val="00A7375D"/>
    <w:rsid w:val="00A73A73"/>
    <w:rsid w:val="00A73CA0"/>
    <w:rsid w:val="00A73CDE"/>
    <w:rsid w:val="00A73EBF"/>
    <w:rsid w:val="00A74473"/>
    <w:rsid w:val="00A744DD"/>
    <w:rsid w:val="00A74547"/>
    <w:rsid w:val="00A745B7"/>
    <w:rsid w:val="00A745EA"/>
    <w:rsid w:val="00A74622"/>
    <w:rsid w:val="00A74632"/>
    <w:rsid w:val="00A74B13"/>
    <w:rsid w:val="00A74B5E"/>
    <w:rsid w:val="00A74D13"/>
    <w:rsid w:val="00A74D62"/>
    <w:rsid w:val="00A750C0"/>
    <w:rsid w:val="00A75156"/>
    <w:rsid w:val="00A7517A"/>
    <w:rsid w:val="00A75266"/>
    <w:rsid w:val="00A7553A"/>
    <w:rsid w:val="00A75663"/>
    <w:rsid w:val="00A75665"/>
    <w:rsid w:val="00A75668"/>
    <w:rsid w:val="00A75695"/>
    <w:rsid w:val="00A757EF"/>
    <w:rsid w:val="00A7597E"/>
    <w:rsid w:val="00A75CD2"/>
    <w:rsid w:val="00A75DF0"/>
    <w:rsid w:val="00A75EE5"/>
    <w:rsid w:val="00A75F3C"/>
    <w:rsid w:val="00A765D4"/>
    <w:rsid w:val="00A767FE"/>
    <w:rsid w:val="00A76AB6"/>
    <w:rsid w:val="00A76AD5"/>
    <w:rsid w:val="00A76D21"/>
    <w:rsid w:val="00A77282"/>
    <w:rsid w:val="00A7756E"/>
    <w:rsid w:val="00A775B9"/>
    <w:rsid w:val="00A77667"/>
    <w:rsid w:val="00A776E0"/>
    <w:rsid w:val="00A777F1"/>
    <w:rsid w:val="00A77823"/>
    <w:rsid w:val="00A77B84"/>
    <w:rsid w:val="00A77C5A"/>
    <w:rsid w:val="00A80271"/>
    <w:rsid w:val="00A8027F"/>
    <w:rsid w:val="00A80826"/>
    <w:rsid w:val="00A80A4F"/>
    <w:rsid w:val="00A80AAA"/>
    <w:rsid w:val="00A80CBB"/>
    <w:rsid w:val="00A80CCF"/>
    <w:rsid w:val="00A80F39"/>
    <w:rsid w:val="00A81315"/>
    <w:rsid w:val="00A81388"/>
    <w:rsid w:val="00A81855"/>
    <w:rsid w:val="00A81D50"/>
    <w:rsid w:val="00A81E76"/>
    <w:rsid w:val="00A81F68"/>
    <w:rsid w:val="00A8206A"/>
    <w:rsid w:val="00A820FF"/>
    <w:rsid w:val="00A8226A"/>
    <w:rsid w:val="00A82346"/>
    <w:rsid w:val="00A82444"/>
    <w:rsid w:val="00A82450"/>
    <w:rsid w:val="00A8254B"/>
    <w:rsid w:val="00A82724"/>
    <w:rsid w:val="00A82730"/>
    <w:rsid w:val="00A82884"/>
    <w:rsid w:val="00A82A24"/>
    <w:rsid w:val="00A82E08"/>
    <w:rsid w:val="00A82E1D"/>
    <w:rsid w:val="00A82F91"/>
    <w:rsid w:val="00A83147"/>
    <w:rsid w:val="00A8320F"/>
    <w:rsid w:val="00A834AB"/>
    <w:rsid w:val="00A835A8"/>
    <w:rsid w:val="00A835B7"/>
    <w:rsid w:val="00A8386A"/>
    <w:rsid w:val="00A83929"/>
    <w:rsid w:val="00A83994"/>
    <w:rsid w:val="00A83B72"/>
    <w:rsid w:val="00A83B96"/>
    <w:rsid w:val="00A83B9C"/>
    <w:rsid w:val="00A83C2F"/>
    <w:rsid w:val="00A83C3C"/>
    <w:rsid w:val="00A83CBD"/>
    <w:rsid w:val="00A83CC8"/>
    <w:rsid w:val="00A83D89"/>
    <w:rsid w:val="00A83F6D"/>
    <w:rsid w:val="00A8405A"/>
    <w:rsid w:val="00A8416B"/>
    <w:rsid w:val="00A843AE"/>
    <w:rsid w:val="00A8480C"/>
    <w:rsid w:val="00A848F9"/>
    <w:rsid w:val="00A848FC"/>
    <w:rsid w:val="00A84ACE"/>
    <w:rsid w:val="00A84BD2"/>
    <w:rsid w:val="00A850D2"/>
    <w:rsid w:val="00A852DD"/>
    <w:rsid w:val="00A854EA"/>
    <w:rsid w:val="00A859E0"/>
    <w:rsid w:val="00A85D80"/>
    <w:rsid w:val="00A85D98"/>
    <w:rsid w:val="00A85E39"/>
    <w:rsid w:val="00A85EB0"/>
    <w:rsid w:val="00A85EFD"/>
    <w:rsid w:val="00A85F4C"/>
    <w:rsid w:val="00A85F79"/>
    <w:rsid w:val="00A862D6"/>
    <w:rsid w:val="00A86432"/>
    <w:rsid w:val="00A864A0"/>
    <w:rsid w:val="00A86568"/>
    <w:rsid w:val="00A86790"/>
    <w:rsid w:val="00A867FA"/>
    <w:rsid w:val="00A8698B"/>
    <w:rsid w:val="00A86A0B"/>
    <w:rsid w:val="00A86A90"/>
    <w:rsid w:val="00A86B37"/>
    <w:rsid w:val="00A86C9B"/>
    <w:rsid w:val="00A86EB9"/>
    <w:rsid w:val="00A86EEA"/>
    <w:rsid w:val="00A87412"/>
    <w:rsid w:val="00A87516"/>
    <w:rsid w:val="00A87540"/>
    <w:rsid w:val="00A876B4"/>
    <w:rsid w:val="00A876B7"/>
    <w:rsid w:val="00A87781"/>
    <w:rsid w:val="00A87818"/>
    <w:rsid w:val="00A8784E"/>
    <w:rsid w:val="00A87A81"/>
    <w:rsid w:val="00A87AAB"/>
    <w:rsid w:val="00A87B19"/>
    <w:rsid w:val="00A87E2B"/>
    <w:rsid w:val="00A87E8F"/>
    <w:rsid w:val="00A87EA7"/>
    <w:rsid w:val="00A87F7E"/>
    <w:rsid w:val="00A90350"/>
    <w:rsid w:val="00A90395"/>
    <w:rsid w:val="00A90490"/>
    <w:rsid w:val="00A90497"/>
    <w:rsid w:val="00A905F9"/>
    <w:rsid w:val="00A907CB"/>
    <w:rsid w:val="00A90846"/>
    <w:rsid w:val="00A908C1"/>
    <w:rsid w:val="00A909CE"/>
    <w:rsid w:val="00A90B1F"/>
    <w:rsid w:val="00A90CA0"/>
    <w:rsid w:val="00A90DA6"/>
    <w:rsid w:val="00A90EA0"/>
    <w:rsid w:val="00A90F14"/>
    <w:rsid w:val="00A91026"/>
    <w:rsid w:val="00A9109F"/>
    <w:rsid w:val="00A9115B"/>
    <w:rsid w:val="00A912FA"/>
    <w:rsid w:val="00A91315"/>
    <w:rsid w:val="00A91560"/>
    <w:rsid w:val="00A916D5"/>
    <w:rsid w:val="00A918FF"/>
    <w:rsid w:val="00A91A0D"/>
    <w:rsid w:val="00A91A16"/>
    <w:rsid w:val="00A91A6F"/>
    <w:rsid w:val="00A91ABD"/>
    <w:rsid w:val="00A91C99"/>
    <w:rsid w:val="00A91CBA"/>
    <w:rsid w:val="00A91D85"/>
    <w:rsid w:val="00A91FE8"/>
    <w:rsid w:val="00A920C0"/>
    <w:rsid w:val="00A9227A"/>
    <w:rsid w:val="00A92307"/>
    <w:rsid w:val="00A9232A"/>
    <w:rsid w:val="00A92347"/>
    <w:rsid w:val="00A9241E"/>
    <w:rsid w:val="00A92504"/>
    <w:rsid w:val="00A925B3"/>
    <w:rsid w:val="00A925CC"/>
    <w:rsid w:val="00A928A2"/>
    <w:rsid w:val="00A92977"/>
    <w:rsid w:val="00A92A7C"/>
    <w:rsid w:val="00A92ACD"/>
    <w:rsid w:val="00A92B61"/>
    <w:rsid w:val="00A92C32"/>
    <w:rsid w:val="00A92D73"/>
    <w:rsid w:val="00A92EAD"/>
    <w:rsid w:val="00A92FC1"/>
    <w:rsid w:val="00A930D1"/>
    <w:rsid w:val="00A93169"/>
    <w:rsid w:val="00A931BC"/>
    <w:rsid w:val="00A93282"/>
    <w:rsid w:val="00A932CE"/>
    <w:rsid w:val="00A935DB"/>
    <w:rsid w:val="00A935F1"/>
    <w:rsid w:val="00A937FE"/>
    <w:rsid w:val="00A93845"/>
    <w:rsid w:val="00A93B10"/>
    <w:rsid w:val="00A93C5E"/>
    <w:rsid w:val="00A93D4D"/>
    <w:rsid w:val="00A93E14"/>
    <w:rsid w:val="00A93E26"/>
    <w:rsid w:val="00A94062"/>
    <w:rsid w:val="00A94096"/>
    <w:rsid w:val="00A94184"/>
    <w:rsid w:val="00A9422F"/>
    <w:rsid w:val="00A94266"/>
    <w:rsid w:val="00A9465D"/>
    <w:rsid w:val="00A9474F"/>
    <w:rsid w:val="00A947C5"/>
    <w:rsid w:val="00A9492F"/>
    <w:rsid w:val="00A94AB9"/>
    <w:rsid w:val="00A94C4E"/>
    <w:rsid w:val="00A94CC0"/>
    <w:rsid w:val="00A94D5A"/>
    <w:rsid w:val="00A94D8E"/>
    <w:rsid w:val="00A94E83"/>
    <w:rsid w:val="00A94EB7"/>
    <w:rsid w:val="00A94FDC"/>
    <w:rsid w:val="00A9506B"/>
    <w:rsid w:val="00A950E1"/>
    <w:rsid w:val="00A9518E"/>
    <w:rsid w:val="00A951B7"/>
    <w:rsid w:val="00A952F2"/>
    <w:rsid w:val="00A9532E"/>
    <w:rsid w:val="00A95485"/>
    <w:rsid w:val="00A9565D"/>
    <w:rsid w:val="00A958C3"/>
    <w:rsid w:val="00A95939"/>
    <w:rsid w:val="00A95A67"/>
    <w:rsid w:val="00A95ABE"/>
    <w:rsid w:val="00A95AEB"/>
    <w:rsid w:val="00A95D4C"/>
    <w:rsid w:val="00A95DC2"/>
    <w:rsid w:val="00A95E69"/>
    <w:rsid w:val="00A95EF5"/>
    <w:rsid w:val="00A95F48"/>
    <w:rsid w:val="00A960C8"/>
    <w:rsid w:val="00A9633D"/>
    <w:rsid w:val="00A9638D"/>
    <w:rsid w:val="00A966B3"/>
    <w:rsid w:val="00A968D8"/>
    <w:rsid w:val="00A96B48"/>
    <w:rsid w:val="00A96BBC"/>
    <w:rsid w:val="00A96CF4"/>
    <w:rsid w:val="00A96EB4"/>
    <w:rsid w:val="00A96EDE"/>
    <w:rsid w:val="00A970CB"/>
    <w:rsid w:val="00A97164"/>
    <w:rsid w:val="00A971EF"/>
    <w:rsid w:val="00A972F3"/>
    <w:rsid w:val="00A973C3"/>
    <w:rsid w:val="00A97433"/>
    <w:rsid w:val="00A97482"/>
    <w:rsid w:val="00A97555"/>
    <w:rsid w:val="00A975B3"/>
    <w:rsid w:val="00A976E8"/>
    <w:rsid w:val="00A9780C"/>
    <w:rsid w:val="00A9785B"/>
    <w:rsid w:val="00A9796C"/>
    <w:rsid w:val="00A97AA2"/>
    <w:rsid w:val="00A97C89"/>
    <w:rsid w:val="00A97D23"/>
    <w:rsid w:val="00A97D3D"/>
    <w:rsid w:val="00A97D55"/>
    <w:rsid w:val="00A97E16"/>
    <w:rsid w:val="00A97E41"/>
    <w:rsid w:val="00A97E91"/>
    <w:rsid w:val="00AA0103"/>
    <w:rsid w:val="00AA05E0"/>
    <w:rsid w:val="00AA07A9"/>
    <w:rsid w:val="00AA07AB"/>
    <w:rsid w:val="00AA07F0"/>
    <w:rsid w:val="00AA092A"/>
    <w:rsid w:val="00AA09A1"/>
    <w:rsid w:val="00AA0D90"/>
    <w:rsid w:val="00AA0E21"/>
    <w:rsid w:val="00AA0F49"/>
    <w:rsid w:val="00AA104C"/>
    <w:rsid w:val="00AA11FE"/>
    <w:rsid w:val="00AA122D"/>
    <w:rsid w:val="00AA1380"/>
    <w:rsid w:val="00AA13B5"/>
    <w:rsid w:val="00AA1486"/>
    <w:rsid w:val="00AA14A7"/>
    <w:rsid w:val="00AA1845"/>
    <w:rsid w:val="00AA1982"/>
    <w:rsid w:val="00AA19A4"/>
    <w:rsid w:val="00AA19D7"/>
    <w:rsid w:val="00AA1CEA"/>
    <w:rsid w:val="00AA1D4D"/>
    <w:rsid w:val="00AA1DD0"/>
    <w:rsid w:val="00AA1F86"/>
    <w:rsid w:val="00AA2136"/>
    <w:rsid w:val="00AA21A1"/>
    <w:rsid w:val="00AA2451"/>
    <w:rsid w:val="00AA2491"/>
    <w:rsid w:val="00AA2568"/>
    <w:rsid w:val="00AA2951"/>
    <w:rsid w:val="00AA2A24"/>
    <w:rsid w:val="00AA2E9C"/>
    <w:rsid w:val="00AA30BD"/>
    <w:rsid w:val="00AA317A"/>
    <w:rsid w:val="00AA3288"/>
    <w:rsid w:val="00AA33C2"/>
    <w:rsid w:val="00AA3489"/>
    <w:rsid w:val="00AA3587"/>
    <w:rsid w:val="00AA38DE"/>
    <w:rsid w:val="00AA3B77"/>
    <w:rsid w:val="00AA3BA7"/>
    <w:rsid w:val="00AA3C25"/>
    <w:rsid w:val="00AA3C4B"/>
    <w:rsid w:val="00AA3CC1"/>
    <w:rsid w:val="00AA3D30"/>
    <w:rsid w:val="00AA3DCF"/>
    <w:rsid w:val="00AA3E84"/>
    <w:rsid w:val="00AA4144"/>
    <w:rsid w:val="00AA4360"/>
    <w:rsid w:val="00AA447C"/>
    <w:rsid w:val="00AA46A1"/>
    <w:rsid w:val="00AA46E6"/>
    <w:rsid w:val="00AA4736"/>
    <w:rsid w:val="00AA4852"/>
    <w:rsid w:val="00AA491D"/>
    <w:rsid w:val="00AA4A03"/>
    <w:rsid w:val="00AA4AC9"/>
    <w:rsid w:val="00AA4B6F"/>
    <w:rsid w:val="00AA4F67"/>
    <w:rsid w:val="00AA526A"/>
    <w:rsid w:val="00AA52FA"/>
    <w:rsid w:val="00AA5321"/>
    <w:rsid w:val="00AA5342"/>
    <w:rsid w:val="00AA5347"/>
    <w:rsid w:val="00AA538D"/>
    <w:rsid w:val="00AA5908"/>
    <w:rsid w:val="00AA5965"/>
    <w:rsid w:val="00AA59EE"/>
    <w:rsid w:val="00AA59EF"/>
    <w:rsid w:val="00AA5CC4"/>
    <w:rsid w:val="00AA5DC7"/>
    <w:rsid w:val="00AA6126"/>
    <w:rsid w:val="00AA622F"/>
    <w:rsid w:val="00AA629A"/>
    <w:rsid w:val="00AA6460"/>
    <w:rsid w:val="00AA68D2"/>
    <w:rsid w:val="00AA6A52"/>
    <w:rsid w:val="00AA6D52"/>
    <w:rsid w:val="00AA7349"/>
    <w:rsid w:val="00AA73EF"/>
    <w:rsid w:val="00AA744C"/>
    <w:rsid w:val="00AA74C3"/>
    <w:rsid w:val="00AA7675"/>
    <w:rsid w:val="00AA76FB"/>
    <w:rsid w:val="00AA7B84"/>
    <w:rsid w:val="00AA7BC8"/>
    <w:rsid w:val="00AA7C15"/>
    <w:rsid w:val="00AA7DEF"/>
    <w:rsid w:val="00AA7F4E"/>
    <w:rsid w:val="00AA7F72"/>
    <w:rsid w:val="00AB001C"/>
    <w:rsid w:val="00AB01E3"/>
    <w:rsid w:val="00AB02CD"/>
    <w:rsid w:val="00AB02D4"/>
    <w:rsid w:val="00AB0408"/>
    <w:rsid w:val="00AB0630"/>
    <w:rsid w:val="00AB0863"/>
    <w:rsid w:val="00AB0873"/>
    <w:rsid w:val="00AB08A3"/>
    <w:rsid w:val="00AB08E0"/>
    <w:rsid w:val="00AB0B96"/>
    <w:rsid w:val="00AB0C05"/>
    <w:rsid w:val="00AB0DAD"/>
    <w:rsid w:val="00AB0E8D"/>
    <w:rsid w:val="00AB0F9A"/>
    <w:rsid w:val="00AB0FD0"/>
    <w:rsid w:val="00AB10B1"/>
    <w:rsid w:val="00AB10C5"/>
    <w:rsid w:val="00AB11BA"/>
    <w:rsid w:val="00AB134E"/>
    <w:rsid w:val="00AB1373"/>
    <w:rsid w:val="00AB137D"/>
    <w:rsid w:val="00AB138C"/>
    <w:rsid w:val="00AB150E"/>
    <w:rsid w:val="00AB1581"/>
    <w:rsid w:val="00AB15B9"/>
    <w:rsid w:val="00AB15D0"/>
    <w:rsid w:val="00AB1694"/>
    <w:rsid w:val="00AB18B3"/>
    <w:rsid w:val="00AB1961"/>
    <w:rsid w:val="00AB19CA"/>
    <w:rsid w:val="00AB1A40"/>
    <w:rsid w:val="00AB1AD1"/>
    <w:rsid w:val="00AB1BDE"/>
    <w:rsid w:val="00AB1BFB"/>
    <w:rsid w:val="00AB1DE4"/>
    <w:rsid w:val="00AB1EA8"/>
    <w:rsid w:val="00AB1F42"/>
    <w:rsid w:val="00AB20CA"/>
    <w:rsid w:val="00AB22E2"/>
    <w:rsid w:val="00AB2397"/>
    <w:rsid w:val="00AB247A"/>
    <w:rsid w:val="00AB257F"/>
    <w:rsid w:val="00AB28A2"/>
    <w:rsid w:val="00AB297E"/>
    <w:rsid w:val="00AB29FF"/>
    <w:rsid w:val="00AB2A23"/>
    <w:rsid w:val="00AB2A50"/>
    <w:rsid w:val="00AB2A89"/>
    <w:rsid w:val="00AB2C20"/>
    <w:rsid w:val="00AB2C65"/>
    <w:rsid w:val="00AB2DF3"/>
    <w:rsid w:val="00AB2DFD"/>
    <w:rsid w:val="00AB2E9E"/>
    <w:rsid w:val="00AB2ED8"/>
    <w:rsid w:val="00AB2F48"/>
    <w:rsid w:val="00AB3355"/>
    <w:rsid w:val="00AB3377"/>
    <w:rsid w:val="00AB3520"/>
    <w:rsid w:val="00AB35C2"/>
    <w:rsid w:val="00AB35E1"/>
    <w:rsid w:val="00AB3725"/>
    <w:rsid w:val="00AB3962"/>
    <w:rsid w:val="00AB3AF7"/>
    <w:rsid w:val="00AB3AFE"/>
    <w:rsid w:val="00AB3C29"/>
    <w:rsid w:val="00AB3C62"/>
    <w:rsid w:val="00AB3CDF"/>
    <w:rsid w:val="00AB3CE2"/>
    <w:rsid w:val="00AB3D19"/>
    <w:rsid w:val="00AB3E22"/>
    <w:rsid w:val="00AB3E39"/>
    <w:rsid w:val="00AB3F55"/>
    <w:rsid w:val="00AB3F7D"/>
    <w:rsid w:val="00AB4576"/>
    <w:rsid w:val="00AB4583"/>
    <w:rsid w:val="00AB4592"/>
    <w:rsid w:val="00AB45A2"/>
    <w:rsid w:val="00AB4793"/>
    <w:rsid w:val="00AB48B7"/>
    <w:rsid w:val="00AB48CA"/>
    <w:rsid w:val="00AB4A4F"/>
    <w:rsid w:val="00AB4A7C"/>
    <w:rsid w:val="00AB4AEB"/>
    <w:rsid w:val="00AB4CCC"/>
    <w:rsid w:val="00AB4D3C"/>
    <w:rsid w:val="00AB4D68"/>
    <w:rsid w:val="00AB4E03"/>
    <w:rsid w:val="00AB4E9E"/>
    <w:rsid w:val="00AB4EA1"/>
    <w:rsid w:val="00AB4EBE"/>
    <w:rsid w:val="00AB4F62"/>
    <w:rsid w:val="00AB501C"/>
    <w:rsid w:val="00AB5060"/>
    <w:rsid w:val="00AB55BB"/>
    <w:rsid w:val="00AB5652"/>
    <w:rsid w:val="00AB5874"/>
    <w:rsid w:val="00AB59AC"/>
    <w:rsid w:val="00AB5D2E"/>
    <w:rsid w:val="00AB5DB5"/>
    <w:rsid w:val="00AB5E2C"/>
    <w:rsid w:val="00AB5F88"/>
    <w:rsid w:val="00AB61AA"/>
    <w:rsid w:val="00AB626D"/>
    <w:rsid w:val="00AB62CC"/>
    <w:rsid w:val="00AB6352"/>
    <w:rsid w:val="00AB64B5"/>
    <w:rsid w:val="00AB66E6"/>
    <w:rsid w:val="00AB6760"/>
    <w:rsid w:val="00AB6765"/>
    <w:rsid w:val="00AB6823"/>
    <w:rsid w:val="00AB6982"/>
    <w:rsid w:val="00AB6D8A"/>
    <w:rsid w:val="00AB6EED"/>
    <w:rsid w:val="00AB6F62"/>
    <w:rsid w:val="00AB7067"/>
    <w:rsid w:val="00AB725A"/>
    <w:rsid w:val="00AB7461"/>
    <w:rsid w:val="00AB7715"/>
    <w:rsid w:val="00AB77E5"/>
    <w:rsid w:val="00AB793E"/>
    <w:rsid w:val="00AB79FB"/>
    <w:rsid w:val="00AB7A1B"/>
    <w:rsid w:val="00AB7B7F"/>
    <w:rsid w:val="00AB7DDC"/>
    <w:rsid w:val="00AB7F6D"/>
    <w:rsid w:val="00AC00E4"/>
    <w:rsid w:val="00AC0110"/>
    <w:rsid w:val="00AC014A"/>
    <w:rsid w:val="00AC027A"/>
    <w:rsid w:val="00AC02C2"/>
    <w:rsid w:val="00AC02EE"/>
    <w:rsid w:val="00AC036A"/>
    <w:rsid w:val="00AC0378"/>
    <w:rsid w:val="00AC03D1"/>
    <w:rsid w:val="00AC04B2"/>
    <w:rsid w:val="00AC04EC"/>
    <w:rsid w:val="00AC05DF"/>
    <w:rsid w:val="00AC0A93"/>
    <w:rsid w:val="00AC0B22"/>
    <w:rsid w:val="00AC0C11"/>
    <w:rsid w:val="00AC10EA"/>
    <w:rsid w:val="00AC1154"/>
    <w:rsid w:val="00AC1287"/>
    <w:rsid w:val="00AC155F"/>
    <w:rsid w:val="00AC159F"/>
    <w:rsid w:val="00AC1680"/>
    <w:rsid w:val="00AC1790"/>
    <w:rsid w:val="00AC17FA"/>
    <w:rsid w:val="00AC180F"/>
    <w:rsid w:val="00AC1C76"/>
    <w:rsid w:val="00AC1DAA"/>
    <w:rsid w:val="00AC1F89"/>
    <w:rsid w:val="00AC2056"/>
    <w:rsid w:val="00AC2091"/>
    <w:rsid w:val="00AC22B2"/>
    <w:rsid w:val="00AC2511"/>
    <w:rsid w:val="00AC254D"/>
    <w:rsid w:val="00AC26B6"/>
    <w:rsid w:val="00AC2701"/>
    <w:rsid w:val="00AC28DB"/>
    <w:rsid w:val="00AC28EA"/>
    <w:rsid w:val="00AC28EE"/>
    <w:rsid w:val="00AC2A54"/>
    <w:rsid w:val="00AC2AF4"/>
    <w:rsid w:val="00AC2BC6"/>
    <w:rsid w:val="00AC2C03"/>
    <w:rsid w:val="00AC2C0E"/>
    <w:rsid w:val="00AC2C64"/>
    <w:rsid w:val="00AC2E61"/>
    <w:rsid w:val="00AC2E7E"/>
    <w:rsid w:val="00AC305D"/>
    <w:rsid w:val="00AC30E8"/>
    <w:rsid w:val="00AC332E"/>
    <w:rsid w:val="00AC33AE"/>
    <w:rsid w:val="00AC3486"/>
    <w:rsid w:val="00AC3612"/>
    <w:rsid w:val="00AC36E2"/>
    <w:rsid w:val="00AC38E1"/>
    <w:rsid w:val="00AC391D"/>
    <w:rsid w:val="00AC39B2"/>
    <w:rsid w:val="00AC3C3B"/>
    <w:rsid w:val="00AC3C4E"/>
    <w:rsid w:val="00AC3E85"/>
    <w:rsid w:val="00AC3F7A"/>
    <w:rsid w:val="00AC3FC3"/>
    <w:rsid w:val="00AC40CF"/>
    <w:rsid w:val="00AC4206"/>
    <w:rsid w:val="00AC441B"/>
    <w:rsid w:val="00AC44A5"/>
    <w:rsid w:val="00AC44BA"/>
    <w:rsid w:val="00AC453F"/>
    <w:rsid w:val="00AC459E"/>
    <w:rsid w:val="00AC4622"/>
    <w:rsid w:val="00AC467C"/>
    <w:rsid w:val="00AC487D"/>
    <w:rsid w:val="00AC4B4C"/>
    <w:rsid w:val="00AC4BE6"/>
    <w:rsid w:val="00AC4C57"/>
    <w:rsid w:val="00AC4C9C"/>
    <w:rsid w:val="00AC4DA2"/>
    <w:rsid w:val="00AC4E7D"/>
    <w:rsid w:val="00AC508A"/>
    <w:rsid w:val="00AC5174"/>
    <w:rsid w:val="00AC52B8"/>
    <w:rsid w:val="00AC560E"/>
    <w:rsid w:val="00AC5737"/>
    <w:rsid w:val="00AC583F"/>
    <w:rsid w:val="00AC5925"/>
    <w:rsid w:val="00AC5974"/>
    <w:rsid w:val="00AC5AD9"/>
    <w:rsid w:val="00AC5C2F"/>
    <w:rsid w:val="00AC5C36"/>
    <w:rsid w:val="00AC5E40"/>
    <w:rsid w:val="00AC5E66"/>
    <w:rsid w:val="00AC5EEC"/>
    <w:rsid w:val="00AC618F"/>
    <w:rsid w:val="00AC61C0"/>
    <w:rsid w:val="00AC6281"/>
    <w:rsid w:val="00AC63C5"/>
    <w:rsid w:val="00AC6468"/>
    <w:rsid w:val="00AC6524"/>
    <w:rsid w:val="00AC6B72"/>
    <w:rsid w:val="00AC6C9C"/>
    <w:rsid w:val="00AC6DB8"/>
    <w:rsid w:val="00AC6EB7"/>
    <w:rsid w:val="00AC7093"/>
    <w:rsid w:val="00AC716C"/>
    <w:rsid w:val="00AC7252"/>
    <w:rsid w:val="00AC72C0"/>
    <w:rsid w:val="00AC739F"/>
    <w:rsid w:val="00AC764C"/>
    <w:rsid w:val="00AC7780"/>
    <w:rsid w:val="00AC7AFB"/>
    <w:rsid w:val="00AC7BE6"/>
    <w:rsid w:val="00AC7C67"/>
    <w:rsid w:val="00AC7E29"/>
    <w:rsid w:val="00AC7E32"/>
    <w:rsid w:val="00AC7E9D"/>
    <w:rsid w:val="00AD0000"/>
    <w:rsid w:val="00AD0308"/>
    <w:rsid w:val="00AD03D3"/>
    <w:rsid w:val="00AD0458"/>
    <w:rsid w:val="00AD06C2"/>
    <w:rsid w:val="00AD08CE"/>
    <w:rsid w:val="00AD091A"/>
    <w:rsid w:val="00AD0AD3"/>
    <w:rsid w:val="00AD0CC4"/>
    <w:rsid w:val="00AD0D36"/>
    <w:rsid w:val="00AD1119"/>
    <w:rsid w:val="00AD1152"/>
    <w:rsid w:val="00AD1153"/>
    <w:rsid w:val="00AD1163"/>
    <w:rsid w:val="00AD13BF"/>
    <w:rsid w:val="00AD1417"/>
    <w:rsid w:val="00AD16BE"/>
    <w:rsid w:val="00AD1720"/>
    <w:rsid w:val="00AD18AE"/>
    <w:rsid w:val="00AD1921"/>
    <w:rsid w:val="00AD1ABB"/>
    <w:rsid w:val="00AD1D1F"/>
    <w:rsid w:val="00AD1E06"/>
    <w:rsid w:val="00AD1E8D"/>
    <w:rsid w:val="00AD1FEC"/>
    <w:rsid w:val="00AD227E"/>
    <w:rsid w:val="00AD29EE"/>
    <w:rsid w:val="00AD2A77"/>
    <w:rsid w:val="00AD2C28"/>
    <w:rsid w:val="00AD2F1B"/>
    <w:rsid w:val="00AD3043"/>
    <w:rsid w:val="00AD30A5"/>
    <w:rsid w:val="00AD3158"/>
    <w:rsid w:val="00AD32AA"/>
    <w:rsid w:val="00AD330D"/>
    <w:rsid w:val="00AD3314"/>
    <w:rsid w:val="00AD3385"/>
    <w:rsid w:val="00AD34C4"/>
    <w:rsid w:val="00AD3529"/>
    <w:rsid w:val="00AD3540"/>
    <w:rsid w:val="00AD35CE"/>
    <w:rsid w:val="00AD3810"/>
    <w:rsid w:val="00AD3812"/>
    <w:rsid w:val="00AD3ADA"/>
    <w:rsid w:val="00AD3B97"/>
    <w:rsid w:val="00AD3CBE"/>
    <w:rsid w:val="00AD3D44"/>
    <w:rsid w:val="00AD3E5D"/>
    <w:rsid w:val="00AD412D"/>
    <w:rsid w:val="00AD41E3"/>
    <w:rsid w:val="00AD423A"/>
    <w:rsid w:val="00AD429F"/>
    <w:rsid w:val="00AD432F"/>
    <w:rsid w:val="00AD44A2"/>
    <w:rsid w:val="00AD483B"/>
    <w:rsid w:val="00AD484C"/>
    <w:rsid w:val="00AD488A"/>
    <w:rsid w:val="00AD49A8"/>
    <w:rsid w:val="00AD4BF8"/>
    <w:rsid w:val="00AD4C21"/>
    <w:rsid w:val="00AD4CA8"/>
    <w:rsid w:val="00AD4CD4"/>
    <w:rsid w:val="00AD4CE5"/>
    <w:rsid w:val="00AD4E69"/>
    <w:rsid w:val="00AD4EDA"/>
    <w:rsid w:val="00AD4EF3"/>
    <w:rsid w:val="00AD5020"/>
    <w:rsid w:val="00AD52BD"/>
    <w:rsid w:val="00AD5307"/>
    <w:rsid w:val="00AD530D"/>
    <w:rsid w:val="00AD53D9"/>
    <w:rsid w:val="00AD54FE"/>
    <w:rsid w:val="00AD5ADB"/>
    <w:rsid w:val="00AD5AE3"/>
    <w:rsid w:val="00AD5BD7"/>
    <w:rsid w:val="00AD5C69"/>
    <w:rsid w:val="00AD6156"/>
    <w:rsid w:val="00AD63E4"/>
    <w:rsid w:val="00AD64EB"/>
    <w:rsid w:val="00AD656D"/>
    <w:rsid w:val="00AD6812"/>
    <w:rsid w:val="00AD6884"/>
    <w:rsid w:val="00AD6A54"/>
    <w:rsid w:val="00AD6B04"/>
    <w:rsid w:val="00AD6B27"/>
    <w:rsid w:val="00AD6B2D"/>
    <w:rsid w:val="00AD6C66"/>
    <w:rsid w:val="00AD6C7F"/>
    <w:rsid w:val="00AD6E00"/>
    <w:rsid w:val="00AD70F5"/>
    <w:rsid w:val="00AD712B"/>
    <w:rsid w:val="00AD7172"/>
    <w:rsid w:val="00AD7184"/>
    <w:rsid w:val="00AD736F"/>
    <w:rsid w:val="00AD73C9"/>
    <w:rsid w:val="00AD7584"/>
    <w:rsid w:val="00AD794F"/>
    <w:rsid w:val="00AD7A49"/>
    <w:rsid w:val="00AD7CAE"/>
    <w:rsid w:val="00AD7CC5"/>
    <w:rsid w:val="00AD7D82"/>
    <w:rsid w:val="00AD7E9E"/>
    <w:rsid w:val="00AE02BC"/>
    <w:rsid w:val="00AE0458"/>
    <w:rsid w:val="00AE0679"/>
    <w:rsid w:val="00AE08AD"/>
    <w:rsid w:val="00AE092E"/>
    <w:rsid w:val="00AE0963"/>
    <w:rsid w:val="00AE09B3"/>
    <w:rsid w:val="00AE0B14"/>
    <w:rsid w:val="00AE0B28"/>
    <w:rsid w:val="00AE0B79"/>
    <w:rsid w:val="00AE0C5E"/>
    <w:rsid w:val="00AE0CF1"/>
    <w:rsid w:val="00AE0FAA"/>
    <w:rsid w:val="00AE0FCD"/>
    <w:rsid w:val="00AE1726"/>
    <w:rsid w:val="00AE17E7"/>
    <w:rsid w:val="00AE19F9"/>
    <w:rsid w:val="00AE1A40"/>
    <w:rsid w:val="00AE1AD5"/>
    <w:rsid w:val="00AE1C0B"/>
    <w:rsid w:val="00AE20D4"/>
    <w:rsid w:val="00AE20F6"/>
    <w:rsid w:val="00AE21CA"/>
    <w:rsid w:val="00AE22CE"/>
    <w:rsid w:val="00AE22F4"/>
    <w:rsid w:val="00AE24DD"/>
    <w:rsid w:val="00AE2725"/>
    <w:rsid w:val="00AE287C"/>
    <w:rsid w:val="00AE28FD"/>
    <w:rsid w:val="00AE291F"/>
    <w:rsid w:val="00AE2942"/>
    <w:rsid w:val="00AE2A5D"/>
    <w:rsid w:val="00AE2AE0"/>
    <w:rsid w:val="00AE2B91"/>
    <w:rsid w:val="00AE2E90"/>
    <w:rsid w:val="00AE2F7C"/>
    <w:rsid w:val="00AE305D"/>
    <w:rsid w:val="00AE356A"/>
    <w:rsid w:val="00AE35B8"/>
    <w:rsid w:val="00AE376C"/>
    <w:rsid w:val="00AE3849"/>
    <w:rsid w:val="00AE3869"/>
    <w:rsid w:val="00AE3B18"/>
    <w:rsid w:val="00AE3B5A"/>
    <w:rsid w:val="00AE3B96"/>
    <w:rsid w:val="00AE3CAF"/>
    <w:rsid w:val="00AE3CB7"/>
    <w:rsid w:val="00AE3D1C"/>
    <w:rsid w:val="00AE3EA2"/>
    <w:rsid w:val="00AE3F51"/>
    <w:rsid w:val="00AE4094"/>
    <w:rsid w:val="00AE46C0"/>
    <w:rsid w:val="00AE4ACB"/>
    <w:rsid w:val="00AE4BF9"/>
    <w:rsid w:val="00AE4E6F"/>
    <w:rsid w:val="00AE4F08"/>
    <w:rsid w:val="00AE523E"/>
    <w:rsid w:val="00AE526D"/>
    <w:rsid w:val="00AE53E2"/>
    <w:rsid w:val="00AE53FB"/>
    <w:rsid w:val="00AE551E"/>
    <w:rsid w:val="00AE57B7"/>
    <w:rsid w:val="00AE5863"/>
    <w:rsid w:val="00AE58EC"/>
    <w:rsid w:val="00AE5B3A"/>
    <w:rsid w:val="00AE6302"/>
    <w:rsid w:val="00AE641C"/>
    <w:rsid w:val="00AE65CF"/>
    <w:rsid w:val="00AE662E"/>
    <w:rsid w:val="00AE6661"/>
    <w:rsid w:val="00AE6679"/>
    <w:rsid w:val="00AE6740"/>
    <w:rsid w:val="00AE6A30"/>
    <w:rsid w:val="00AE6AC7"/>
    <w:rsid w:val="00AE6BDC"/>
    <w:rsid w:val="00AE6D95"/>
    <w:rsid w:val="00AE6DB9"/>
    <w:rsid w:val="00AE6F8F"/>
    <w:rsid w:val="00AE6FCD"/>
    <w:rsid w:val="00AE7257"/>
    <w:rsid w:val="00AE73D5"/>
    <w:rsid w:val="00AE7503"/>
    <w:rsid w:val="00AE76D3"/>
    <w:rsid w:val="00AE7780"/>
    <w:rsid w:val="00AE7865"/>
    <w:rsid w:val="00AE795B"/>
    <w:rsid w:val="00AE7B1B"/>
    <w:rsid w:val="00AE7B30"/>
    <w:rsid w:val="00AE7D97"/>
    <w:rsid w:val="00AE7E47"/>
    <w:rsid w:val="00AE7F8C"/>
    <w:rsid w:val="00AF00C3"/>
    <w:rsid w:val="00AF0205"/>
    <w:rsid w:val="00AF028F"/>
    <w:rsid w:val="00AF0294"/>
    <w:rsid w:val="00AF02BE"/>
    <w:rsid w:val="00AF046C"/>
    <w:rsid w:val="00AF0A95"/>
    <w:rsid w:val="00AF0C3F"/>
    <w:rsid w:val="00AF0C7B"/>
    <w:rsid w:val="00AF0DA7"/>
    <w:rsid w:val="00AF0DB7"/>
    <w:rsid w:val="00AF0F6B"/>
    <w:rsid w:val="00AF0F81"/>
    <w:rsid w:val="00AF1094"/>
    <w:rsid w:val="00AF1588"/>
    <w:rsid w:val="00AF163F"/>
    <w:rsid w:val="00AF18E5"/>
    <w:rsid w:val="00AF1B07"/>
    <w:rsid w:val="00AF1B38"/>
    <w:rsid w:val="00AF1C8F"/>
    <w:rsid w:val="00AF2001"/>
    <w:rsid w:val="00AF2149"/>
    <w:rsid w:val="00AF2239"/>
    <w:rsid w:val="00AF22E8"/>
    <w:rsid w:val="00AF279E"/>
    <w:rsid w:val="00AF2805"/>
    <w:rsid w:val="00AF29FE"/>
    <w:rsid w:val="00AF2C03"/>
    <w:rsid w:val="00AF2D5A"/>
    <w:rsid w:val="00AF2D95"/>
    <w:rsid w:val="00AF31EB"/>
    <w:rsid w:val="00AF3299"/>
    <w:rsid w:val="00AF339E"/>
    <w:rsid w:val="00AF3450"/>
    <w:rsid w:val="00AF34A7"/>
    <w:rsid w:val="00AF35C1"/>
    <w:rsid w:val="00AF37EC"/>
    <w:rsid w:val="00AF37F3"/>
    <w:rsid w:val="00AF386C"/>
    <w:rsid w:val="00AF39AF"/>
    <w:rsid w:val="00AF3B47"/>
    <w:rsid w:val="00AF3C7C"/>
    <w:rsid w:val="00AF3EC1"/>
    <w:rsid w:val="00AF4278"/>
    <w:rsid w:val="00AF427A"/>
    <w:rsid w:val="00AF4594"/>
    <w:rsid w:val="00AF45D8"/>
    <w:rsid w:val="00AF4968"/>
    <w:rsid w:val="00AF4979"/>
    <w:rsid w:val="00AF4BBB"/>
    <w:rsid w:val="00AF4BDB"/>
    <w:rsid w:val="00AF4BF5"/>
    <w:rsid w:val="00AF4E47"/>
    <w:rsid w:val="00AF4E55"/>
    <w:rsid w:val="00AF4EA4"/>
    <w:rsid w:val="00AF534B"/>
    <w:rsid w:val="00AF5391"/>
    <w:rsid w:val="00AF5548"/>
    <w:rsid w:val="00AF588C"/>
    <w:rsid w:val="00AF5A30"/>
    <w:rsid w:val="00AF5BFA"/>
    <w:rsid w:val="00AF5E7A"/>
    <w:rsid w:val="00AF60DF"/>
    <w:rsid w:val="00AF63C3"/>
    <w:rsid w:val="00AF63FF"/>
    <w:rsid w:val="00AF65FF"/>
    <w:rsid w:val="00AF6630"/>
    <w:rsid w:val="00AF6670"/>
    <w:rsid w:val="00AF6735"/>
    <w:rsid w:val="00AF6775"/>
    <w:rsid w:val="00AF680A"/>
    <w:rsid w:val="00AF6829"/>
    <w:rsid w:val="00AF6835"/>
    <w:rsid w:val="00AF688B"/>
    <w:rsid w:val="00AF695A"/>
    <w:rsid w:val="00AF6CB9"/>
    <w:rsid w:val="00AF6FAF"/>
    <w:rsid w:val="00AF7302"/>
    <w:rsid w:val="00AF7461"/>
    <w:rsid w:val="00AF754E"/>
    <w:rsid w:val="00AF772D"/>
    <w:rsid w:val="00AF7AA3"/>
    <w:rsid w:val="00AF7BDA"/>
    <w:rsid w:val="00AF7D95"/>
    <w:rsid w:val="00AF7EC4"/>
    <w:rsid w:val="00AF7F7C"/>
    <w:rsid w:val="00B0008F"/>
    <w:rsid w:val="00B000AF"/>
    <w:rsid w:val="00B00386"/>
    <w:rsid w:val="00B00650"/>
    <w:rsid w:val="00B00712"/>
    <w:rsid w:val="00B00939"/>
    <w:rsid w:val="00B00991"/>
    <w:rsid w:val="00B009AD"/>
    <w:rsid w:val="00B00CDE"/>
    <w:rsid w:val="00B00D63"/>
    <w:rsid w:val="00B00D6B"/>
    <w:rsid w:val="00B010D7"/>
    <w:rsid w:val="00B0113B"/>
    <w:rsid w:val="00B01187"/>
    <w:rsid w:val="00B0124B"/>
    <w:rsid w:val="00B01325"/>
    <w:rsid w:val="00B01374"/>
    <w:rsid w:val="00B01580"/>
    <w:rsid w:val="00B018B5"/>
    <w:rsid w:val="00B01A0B"/>
    <w:rsid w:val="00B01C0D"/>
    <w:rsid w:val="00B01C9C"/>
    <w:rsid w:val="00B01D95"/>
    <w:rsid w:val="00B02049"/>
    <w:rsid w:val="00B02062"/>
    <w:rsid w:val="00B0216A"/>
    <w:rsid w:val="00B02328"/>
    <w:rsid w:val="00B0246A"/>
    <w:rsid w:val="00B0249F"/>
    <w:rsid w:val="00B02573"/>
    <w:rsid w:val="00B02763"/>
    <w:rsid w:val="00B027B5"/>
    <w:rsid w:val="00B0292C"/>
    <w:rsid w:val="00B02AA2"/>
    <w:rsid w:val="00B02B3A"/>
    <w:rsid w:val="00B02BFB"/>
    <w:rsid w:val="00B02E0A"/>
    <w:rsid w:val="00B03010"/>
    <w:rsid w:val="00B030E6"/>
    <w:rsid w:val="00B030F6"/>
    <w:rsid w:val="00B030F7"/>
    <w:rsid w:val="00B03195"/>
    <w:rsid w:val="00B033A4"/>
    <w:rsid w:val="00B033FC"/>
    <w:rsid w:val="00B034EC"/>
    <w:rsid w:val="00B03770"/>
    <w:rsid w:val="00B0389B"/>
    <w:rsid w:val="00B0409E"/>
    <w:rsid w:val="00B0422A"/>
    <w:rsid w:val="00B04296"/>
    <w:rsid w:val="00B043D6"/>
    <w:rsid w:val="00B0450F"/>
    <w:rsid w:val="00B04676"/>
    <w:rsid w:val="00B04802"/>
    <w:rsid w:val="00B04882"/>
    <w:rsid w:val="00B04974"/>
    <w:rsid w:val="00B049B8"/>
    <w:rsid w:val="00B04A31"/>
    <w:rsid w:val="00B04AB3"/>
    <w:rsid w:val="00B04C03"/>
    <w:rsid w:val="00B04E2A"/>
    <w:rsid w:val="00B04E59"/>
    <w:rsid w:val="00B04F4A"/>
    <w:rsid w:val="00B05153"/>
    <w:rsid w:val="00B0527E"/>
    <w:rsid w:val="00B05285"/>
    <w:rsid w:val="00B05380"/>
    <w:rsid w:val="00B05849"/>
    <w:rsid w:val="00B05A5D"/>
    <w:rsid w:val="00B05ACE"/>
    <w:rsid w:val="00B05B01"/>
    <w:rsid w:val="00B05B2B"/>
    <w:rsid w:val="00B05CD5"/>
    <w:rsid w:val="00B05E03"/>
    <w:rsid w:val="00B05FB5"/>
    <w:rsid w:val="00B0601C"/>
    <w:rsid w:val="00B06094"/>
    <w:rsid w:val="00B060C2"/>
    <w:rsid w:val="00B062CA"/>
    <w:rsid w:val="00B06304"/>
    <w:rsid w:val="00B063D4"/>
    <w:rsid w:val="00B06490"/>
    <w:rsid w:val="00B0657A"/>
    <w:rsid w:val="00B0667B"/>
    <w:rsid w:val="00B068DC"/>
    <w:rsid w:val="00B06928"/>
    <w:rsid w:val="00B06BDE"/>
    <w:rsid w:val="00B06C07"/>
    <w:rsid w:val="00B06D95"/>
    <w:rsid w:val="00B06DAE"/>
    <w:rsid w:val="00B06E89"/>
    <w:rsid w:val="00B06F66"/>
    <w:rsid w:val="00B07128"/>
    <w:rsid w:val="00B07233"/>
    <w:rsid w:val="00B07848"/>
    <w:rsid w:val="00B07A7C"/>
    <w:rsid w:val="00B07B9B"/>
    <w:rsid w:val="00B07BDE"/>
    <w:rsid w:val="00B07BEF"/>
    <w:rsid w:val="00B07E48"/>
    <w:rsid w:val="00B07F93"/>
    <w:rsid w:val="00B07FFC"/>
    <w:rsid w:val="00B10083"/>
    <w:rsid w:val="00B101B5"/>
    <w:rsid w:val="00B10381"/>
    <w:rsid w:val="00B103AF"/>
    <w:rsid w:val="00B10464"/>
    <w:rsid w:val="00B10486"/>
    <w:rsid w:val="00B104AC"/>
    <w:rsid w:val="00B105B3"/>
    <w:rsid w:val="00B10880"/>
    <w:rsid w:val="00B10AE6"/>
    <w:rsid w:val="00B10B09"/>
    <w:rsid w:val="00B10BF1"/>
    <w:rsid w:val="00B110B2"/>
    <w:rsid w:val="00B11105"/>
    <w:rsid w:val="00B1129E"/>
    <w:rsid w:val="00B1145E"/>
    <w:rsid w:val="00B1154A"/>
    <w:rsid w:val="00B115C4"/>
    <w:rsid w:val="00B1177E"/>
    <w:rsid w:val="00B117E8"/>
    <w:rsid w:val="00B118F0"/>
    <w:rsid w:val="00B118F1"/>
    <w:rsid w:val="00B11923"/>
    <w:rsid w:val="00B1193B"/>
    <w:rsid w:val="00B11FCF"/>
    <w:rsid w:val="00B120F9"/>
    <w:rsid w:val="00B12278"/>
    <w:rsid w:val="00B12391"/>
    <w:rsid w:val="00B123F3"/>
    <w:rsid w:val="00B1243F"/>
    <w:rsid w:val="00B12468"/>
    <w:rsid w:val="00B124BA"/>
    <w:rsid w:val="00B1274B"/>
    <w:rsid w:val="00B12774"/>
    <w:rsid w:val="00B1287C"/>
    <w:rsid w:val="00B12BB9"/>
    <w:rsid w:val="00B12C8D"/>
    <w:rsid w:val="00B12DD1"/>
    <w:rsid w:val="00B13143"/>
    <w:rsid w:val="00B13235"/>
    <w:rsid w:val="00B13478"/>
    <w:rsid w:val="00B13540"/>
    <w:rsid w:val="00B135B3"/>
    <w:rsid w:val="00B1366E"/>
    <w:rsid w:val="00B137F3"/>
    <w:rsid w:val="00B138C6"/>
    <w:rsid w:val="00B138CE"/>
    <w:rsid w:val="00B1392F"/>
    <w:rsid w:val="00B1394D"/>
    <w:rsid w:val="00B13BEA"/>
    <w:rsid w:val="00B13C1E"/>
    <w:rsid w:val="00B13CCB"/>
    <w:rsid w:val="00B13DFF"/>
    <w:rsid w:val="00B14026"/>
    <w:rsid w:val="00B140BC"/>
    <w:rsid w:val="00B140BF"/>
    <w:rsid w:val="00B14112"/>
    <w:rsid w:val="00B14517"/>
    <w:rsid w:val="00B146EC"/>
    <w:rsid w:val="00B147E0"/>
    <w:rsid w:val="00B1489E"/>
    <w:rsid w:val="00B148A1"/>
    <w:rsid w:val="00B148C7"/>
    <w:rsid w:val="00B14AFA"/>
    <w:rsid w:val="00B14BE7"/>
    <w:rsid w:val="00B14DD9"/>
    <w:rsid w:val="00B14F8B"/>
    <w:rsid w:val="00B14FF6"/>
    <w:rsid w:val="00B15072"/>
    <w:rsid w:val="00B150A6"/>
    <w:rsid w:val="00B15197"/>
    <w:rsid w:val="00B15206"/>
    <w:rsid w:val="00B15208"/>
    <w:rsid w:val="00B15275"/>
    <w:rsid w:val="00B153A2"/>
    <w:rsid w:val="00B153ED"/>
    <w:rsid w:val="00B1560F"/>
    <w:rsid w:val="00B156FB"/>
    <w:rsid w:val="00B158B2"/>
    <w:rsid w:val="00B15BED"/>
    <w:rsid w:val="00B15C06"/>
    <w:rsid w:val="00B15C18"/>
    <w:rsid w:val="00B15CAB"/>
    <w:rsid w:val="00B15DC8"/>
    <w:rsid w:val="00B15FB7"/>
    <w:rsid w:val="00B16076"/>
    <w:rsid w:val="00B161A5"/>
    <w:rsid w:val="00B1639B"/>
    <w:rsid w:val="00B16454"/>
    <w:rsid w:val="00B16484"/>
    <w:rsid w:val="00B167D9"/>
    <w:rsid w:val="00B16837"/>
    <w:rsid w:val="00B16A47"/>
    <w:rsid w:val="00B16AE0"/>
    <w:rsid w:val="00B16B4C"/>
    <w:rsid w:val="00B16C56"/>
    <w:rsid w:val="00B16F10"/>
    <w:rsid w:val="00B1704A"/>
    <w:rsid w:val="00B175EC"/>
    <w:rsid w:val="00B176B1"/>
    <w:rsid w:val="00B179CB"/>
    <w:rsid w:val="00B17A1E"/>
    <w:rsid w:val="00B17BF4"/>
    <w:rsid w:val="00B17E0A"/>
    <w:rsid w:val="00B17E1C"/>
    <w:rsid w:val="00B17E74"/>
    <w:rsid w:val="00B17F23"/>
    <w:rsid w:val="00B20236"/>
    <w:rsid w:val="00B2035C"/>
    <w:rsid w:val="00B20737"/>
    <w:rsid w:val="00B209E1"/>
    <w:rsid w:val="00B20C40"/>
    <w:rsid w:val="00B20D0E"/>
    <w:rsid w:val="00B20E0C"/>
    <w:rsid w:val="00B20F80"/>
    <w:rsid w:val="00B21036"/>
    <w:rsid w:val="00B21063"/>
    <w:rsid w:val="00B2107D"/>
    <w:rsid w:val="00B21678"/>
    <w:rsid w:val="00B21860"/>
    <w:rsid w:val="00B2191D"/>
    <w:rsid w:val="00B219A1"/>
    <w:rsid w:val="00B21A85"/>
    <w:rsid w:val="00B21AFC"/>
    <w:rsid w:val="00B21B5D"/>
    <w:rsid w:val="00B21C85"/>
    <w:rsid w:val="00B21FE6"/>
    <w:rsid w:val="00B21FFB"/>
    <w:rsid w:val="00B2204C"/>
    <w:rsid w:val="00B221D7"/>
    <w:rsid w:val="00B2243B"/>
    <w:rsid w:val="00B22455"/>
    <w:rsid w:val="00B224B5"/>
    <w:rsid w:val="00B224E1"/>
    <w:rsid w:val="00B22612"/>
    <w:rsid w:val="00B22688"/>
    <w:rsid w:val="00B2295D"/>
    <w:rsid w:val="00B22BBA"/>
    <w:rsid w:val="00B22C43"/>
    <w:rsid w:val="00B22CBB"/>
    <w:rsid w:val="00B22DDD"/>
    <w:rsid w:val="00B22E67"/>
    <w:rsid w:val="00B22F78"/>
    <w:rsid w:val="00B22FC6"/>
    <w:rsid w:val="00B23002"/>
    <w:rsid w:val="00B2313E"/>
    <w:rsid w:val="00B23197"/>
    <w:rsid w:val="00B23256"/>
    <w:rsid w:val="00B23350"/>
    <w:rsid w:val="00B23723"/>
    <w:rsid w:val="00B23953"/>
    <w:rsid w:val="00B23AB2"/>
    <w:rsid w:val="00B23C05"/>
    <w:rsid w:val="00B23CB6"/>
    <w:rsid w:val="00B23F0C"/>
    <w:rsid w:val="00B24188"/>
    <w:rsid w:val="00B241F0"/>
    <w:rsid w:val="00B24475"/>
    <w:rsid w:val="00B24484"/>
    <w:rsid w:val="00B2479A"/>
    <w:rsid w:val="00B247BA"/>
    <w:rsid w:val="00B24825"/>
    <w:rsid w:val="00B2496A"/>
    <w:rsid w:val="00B24A67"/>
    <w:rsid w:val="00B24CD9"/>
    <w:rsid w:val="00B24CFA"/>
    <w:rsid w:val="00B24D5E"/>
    <w:rsid w:val="00B24D87"/>
    <w:rsid w:val="00B24E4F"/>
    <w:rsid w:val="00B24E58"/>
    <w:rsid w:val="00B24E80"/>
    <w:rsid w:val="00B24EE4"/>
    <w:rsid w:val="00B25287"/>
    <w:rsid w:val="00B252BB"/>
    <w:rsid w:val="00B2545B"/>
    <w:rsid w:val="00B25472"/>
    <w:rsid w:val="00B25636"/>
    <w:rsid w:val="00B257A6"/>
    <w:rsid w:val="00B25816"/>
    <w:rsid w:val="00B258E8"/>
    <w:rsid w:val="00B25964"/>
    <w:rsid w:val="00B259AE"/>
    <w:rsid w:val="00B25A45"/>
    <w:rsid w:val="00B25F26"/>
    <w:rsid w:val="00B25F39"/>
    <w:rsid w:val="00B260F8"/>
    <w:rsid w:val="00B26210"/>
    <w:rsid w:val="00B2635D"/>
    <w:rsid w:val="00B263CF"/>
    <w:rsid w:val="00B2645F"/>
    <w:rsid w:val="00B265CF"/>
    <w:rsid w:val="00B2669B"/>
    <w:rsid w:val="00B26960"/>
    <w:rsid w:val="00B269DB"/>
    <w:rsid w:val="00B26A93"/>
    <w:rsid w:val="00B26AED"/>
    <w:rsid w:val="00B26B61"/>
    <w:rsid w:val="00B26BDB"/>
    <w:rsid w:val="00B26C22"/>
    <w:rsid w:val="00B26F86"/>
    <w:rsid w:val="00B270A0"/>
    <w:rsid w:val="00B27444"/>
    <w:rsid w:val="00B27636"/>
    <w:rsid w:val="00B27722"/>
    <w:rsid w:val="00B27848"/>
    <w:rsid w:val="00B27929"/>
    <w:rsid w:val="00B279F4"/>
    <w:rsid w:val="00B27AF2"/>
    <w:rsid w:val="00B27B4E"/>
    <w:rsid w:val="00B27C02"/>
    <w:rsid w:val="00B27E1C"/>
    <w:rsid w:val="00B30014"/>
    <w:rsid w:val="00B30240"/>
    <w:rsid w:val="00B30243"/>
    <w:rsid w:val="00B302C1"/>
    <w:rsid w:val="00B3031E"/>
    <w:rsid w:val="00B306DB"/>
    <w:rsid w:val="00B30770"/>
    <w:rsid w:val="00B30869"/>
    <w:rsid w:val="00B30A78"/>
    <w:rsid w:val="00B30B59"/>
    <w:rsid w:val="00B30BDE"/>
    <w:rsid w:val="00B30C43"/>
    <w:rsid w:val="00B30D8D"/>
    <w:rsid w:val="00B30E39"/>
    <w:rsid w:val="00B30E54"/>
    <w:rsid w:val="00B30FA9"/>
    <w:rsid w:val="00B31042"/>
    <w:rsid w:val="00B31062"/>
    <w:rsid w:val="00B310F6"/>
    <w:rsid w:val="00B3130F"/>
    <w:rsid w:val="00B313CE"/>
    <w:rsid w:val="00B31548"/>
    <w:rsid w:val="00B3158E"/>
    <w:rsid w:val="00B317B3"/>
    <w:rsid w:val="00B3189A"/>
    <w:rsid w:val="00B31CE3"/>
    <w:rsid w:val="00B31CE9"/>
    <w:rsid w:val="00B31DC7"/>
    <w:rsid w:val="00B31E17"/>
    <w:rsid w:val="00B31E9B"/>
    <w:rsid w:val="00B321CF"/>
    <w:rsid w:val="00B325C3"/>
    <w:rsid w:val="00B32616"/>
    <w:rsid w:val="00B3264C"/>
    <w:rsid w:val="00B326E4"/>
    <w:rsid w:val="00B32775"/>
    <w:rsid w:val="00B32782"/>
    <w:rsid w:val="00B32B50"/>
    <w:rsid w:val="00B32B9C"/>
    <w:rsid w:val="00B32F71"/>
    <w:rsid w:val="00B32FEF"/>
    <w:rsid w:val="00B33797"/>
    <w:rsid w:val="00B33AB9"/>
    <w:rsid w:val="00B33AD2"/>
    <w:rsid w:val="00B33B8C"/>
    <w:rsid w:val="00B33BD0"/>
    <w:rsid w:val="00B33C7D"/>
    <w:rsid w:val="00B33F9C"/>
    <w:rsid w:val="00B340EE"/>
    <w:rsid w:val="00B34196"/>
    <w:rsid w:val="00B341CB"/>
    <w:rsid w:val="00B342D8"/>
    <w:rsid w:val="00B343AE"/>
    <w:rsid w:val="00B34418"/>
    <w:rsid w:val="00B3478F"/>
    <w:rsid w:val="00B34A58"/>
    <w:rsid w:val="00B34D3F"/>
    <w:rsid w:val="00B34F10"/>
    <w:rsid w:val="00B350AF"/>
    <w:rsid w:val="00B3527E"/>
    <w:rsid w:val="00B354CB"/>
    <w:rsid w:val="00B3573E"/>
    <w:rsid w:val="00B3579C"/>
    <w:rsid w:val="00B357EA"/>
    <w:rsid w:val="00B359CA"/>
    <w:rsid w:val="00B35B84"/>
    <w:rsid w:val="00B35BC1"/>
    <w:rsid w:val="00B35DCB"/>
    <w:rsid w:val="00B35E60"/>
    <w:rsid w:val="00B35F7F"/>
    <w:rsid w:val="00B35FB0"/>
    <w:rsid w:val="00B36166"/>
    <w:rsid w:val="00B3625D"/>
    <w:rsid w:val="00B3634E"/>
    <w:rsid w:val="00B3645E"/>
    <w:rsid w:val="00B369FF"/>
    <w:rsid w:val="00B36AA1"/>
    <w:rsid w:val="00B36B64"/>
    <w:rsid w:val="00B36C47"/>
    <w:rsid w:val="00B36C67"/>
    <w:rsid w:val="00B36D73"/>
    <w:rsid w:val="00B36F28"/>
    <w:rsid w:val="00B3710F"/>
    <w:rsid w:val="00B3775D"/>
    <w:rsid w:val="00B37877"/>
    <w:rsid w:val="00B37A9A"/>
    <w:rsid w:val="00B37BF7"/>
    <w:rsid w:val="00B37D42"/>
    <w:rsid w:val="00B401AC"/>
    <w:rsid w:val="00B401B1"/>
    <w:rsid w:val="00B40582"/>
    <w:rsid w:val="00B4063B"/>
    <w:rsid w:val="00B406A4"/>
    <w:rsid w:val="00B406CC"/>
    <w:rsid w:val="00B407F3"/>
    <w:rsid w:val="00B407F7"/>
    <w:rsid w:val="00B40B36"/>
    <w:rsid w:val="00B40C28"/>
    <w:rsid w:val="00B40C3D"/>
    <w:rsid w:val="00B40C8C"/>
    <w:rsid w:val="00B40F56"/>
    <w:rsid w:val="00B41092"/>
    <w:rsid w:val="00B410F7"/>
    <w:rsid w:val="00B411FE"/>
    <w:rsid w:val="00B41776"/>
    <w:rsid w:val="00B41917"/>
    <w:rsid w:val="00B41935"/>
    <w:rsid w:val="00B41CA7"/>
    <w:rsid w:val="00B41D19"/>
    <w:rsid w:val="00B41F0E"/>
    <w:rsid w:val="00B42015"/>
    <w:rsid w:val="00B42067"/>
    <w:rsid w:val="00B4209E"/>
    <w:rsid w:val="00B42106"/>
    <w:rsid w:val="00B42296"/>
    <w:rsid w:val="00B42483"/>
    <w:rsid w:val="00B425ED"/>
    <w:rsid w:val="00B42656"/>
    <w:rsid w:val="00B42837"/>
    <w:rsid w:val="00B42AF0"/>
    <w:rsid w:val="00B42B8A"/>
    <w:rsid w:val="00B42BA1"/>
    <w:rsid w:val="00B42BFB"/>
    <w:rsid w:val="00B42C1C"/>
    <w:rsid w:val="00B42EA6"/>
    <w:rsid w:val="00B42ED2"/>
    <w:rsid w:val="00B42FE0"/>
    <w:rsid w:val="00B43023"/>
    <w:rsid w:val="00B4323B"/>
    <w:rsid w:val="00B43432"/>
    <w:rsid w:val="00B434F8"/>
    <w:rsid w:val="00B437B1"/>
    <w:rsid w:val="00B437D8"/>
    <w:rsid w:val="00B437FA"/>
    <w:rsid w:val="00B4385F"/>
    <w:rsid w:val="00B438A7"/>
    <w:rsid w:val="00B4391A"/>
    <w:rsid w:val="00B439FD"/>
    <w:rsid w:val="00B43A10"/>
    <w:rsid w:val="00B43A18"/>
    <w:rsid w:val="00B43D2E"/>
    <w:rsid w:val="00B43DCE"/>
    <w:rsid w:val="00B43EB4"/>
    <w:rsid w:val="00B440BA"/>
    <w:rsid w:val="00B44127"/>
    <w:rsid w:val="00B442FA"/>
    <w:rsid w:val="00B4430C"/>
    <w:rsid w:val="00B44319"/>
    <w:rsid w:val="00B445CF"/>
    <w:rsid w:val="00B44829"/>
    <w:rsid w:val="00B4491B"/>
    <w:rsid w:val="00B44983"/>
    <w:rsid w:val="00B449B5"/>
    <w:rsid w:val="00B449CB"/>
    <w:rsid w:val="00B44CD1"/>
    <w:rsid w:val="00B44F80"/>
    <w:rsid w:val="00B45267"/>
    <w:rsid w:val="00B454CE"/>
    <w:rsid w:val="00B45661"/>
    <w:rsid w:val="00B458A7"/>
    <w:rsid w:val="00B458D2"/>
    <w:rsid w:val="00B45BF3"/>
    <w:rsid w:val="00B45C05"/>
    <w:rsid w:val="00B45CCF"/>
    <w:rsid w:val="00B45E96"/>
    <w:rsid w:val="00B45EDD"/>
    <w:rsid w:val="00B45F6D"/>
    <w:rsid w:val="00B464DB"/>
    <w:rsid w:val="00B4653E"/>
    <w:rsid w:val="00B465B1"/>
    <w:rsid w:val="00B4678E"/>
    <w:rsid w:val="00B467F9"/>
    <w:rsid w:val="00B46835"/>
    <w:rsid w:val="00B4695D"/>
    <w:rsid w:val="00B46F55"/>
    <w:rsid w:val="00B472BE"/>
    <w:rsid w:val="00B47351"/>
    <w:rsid w:val="00B47405"/>
    <w:rsid w:val="00B47487"/>
    <w:rsid w:val="00B47656"/>
    <w:rsid w:val="00B477BC"/>
    <w:rsid w:val="00B47870"/>
    <w:rsid w:val="00B47A02"/>
    <w:rsid w:val="00B47A49"/>
    <w:rsid w:val="00B47B93"/>
    <w:rsid w:val="00B47BF9"/>
    <w:rsid w:val="00B47C52"/>
    <w:rsid w:val="00B47C67"/>
    <w:rsid w:val="00B47D00"/>
    <w:rsid w:val="00B47D0D"/>
    <w:rsid w:val="00B5004C"/>
    <w:rsid w:val="00B50342"/>
    <w:rsid w:val="00B504BA"/>
    <w:rsid w:val="00B504CD"/>
    <w:rsid w:val="00B5058B"/>
    <w:rsid w:val="00B50678"/>
    <w:rsid w:val="00B50717"/>
    <w:rsid w:val="00B5080D"/>
    <w:rsid w:val="00B5082D"/>
    <w:rsid w:val="00B50848"/>
    <w:rsid w:val="00B5093C"/>
    <w:rsid w:val="00B509B4"/>
    <w:rsid w:val="00B50B2E"/>
    <w:rsid w:val="00B50BE6"/>
    <w:rsid w:val="00B50C1D"/>
    <w:rsid w:val="00B50E1E"/>
    <w:rsid w:val="00B50E2E"/>
    <w:rsid w:val="00B50E70"/>
    <w:rsid w:val="00B50F25"/>
    <w:rsid w:val="00B5113E"/>
    <w:rsid w:val="00B51287"/>
    <w:rsid w:val="00B5176E"/>
    <w:rsid w:val="00B517D7"/>
    <w:rsid w:val="00B5183D"/>
    <w:rsid w:val="00B51A6D"/>
    <w:rsid w:val="00B51B33"/>
    <w:rsid w:val="00B51C15"/>
    <w:rsid w:val="00B51E15"/>
    <w:rsid w:val="00B51F84"/>
    <w:rsid w:val="00B51FC9"/>
    <w:rsid w:val="00B52087"/>
    <w:rsid w:val="00B520CC"/>
    <w:rsid w:val="00B5217B"/>
    <w:rsid w:val="00B521A0"/>
    <w:rsid w:val="00B522B7"/>
    <w:rsid w:val="00B52338"/>
    <w:rsid w:val="00B52395"/>
    <w:rsid w:val="00B524B8"/>
    <w:rsid w:val="00B5255A"/>
    <w:rsid w:val="00B52688"/>
    <w:rsid w:val="00B52BF8"/>
    <w:rsid w:val="00B52C51"/>
    <w:rsid w:val="00B52CA4"/>
    <w:rsid w:val="00B52F46"/>
    <w:rsid w:val="00B52FF0"/>
    <w:rsid w:val="00B530B1"/>
    <w:rsid w:val="00B530DA"/>
    <w:rsid w:val="00B532B7"/>
    <w:rsid w:val="00B532C9"/>
    <w:rsid w:val="00B5389E"/>
    <w:rsid w:val="00B53973"/>
    <w:rsid w:val="00B539D5"/>
    <w:rsid w:val="00B53CA7"/>
    <w:rsid w:val="00B53E1A"/>
    <w:rsid w:val="00B53E6D"/>
    <w:rsid w:val="00B540E6"/>
    <w:rsid w:val="00B543D7"/>
    <w:rsid w:val="00B543DF"/>
    <w:rsid w:val="00B546C5"/>
    <w:rsid w:val="00B54734"/>
    <w:rsid w:val="00B548C1"/>
    <w:rsid w:val="00B54B51"/>
    <w:rsid w:val="00B54BC6"/>
    <w:rsid w:val="00B54D33"/>
    <w:rsid w:val="00B54E4C"/>
    <w:rsid w:val="00B54E5E"/>
    <w:rsid w:val="00B55048"/>
    <w:rsid w:val="00B55060"/>
    <w:rsid w:val="00B55094"/>
    <w:rsid w:val="00B55139"/>
    <w:rsid w:val="00B5553E"/>
    <w:rsid w:val="00B5554A"/>
    <w:rsid w:val="00B5566C"/>
    <w:rsid w:val="00B557B8"/>
    <w:rsid w:val="00B5599F"/>
    <w:rsid w:val="00B559B0"/>
    <w:rsid w:val="00B55C3B"/>
    <w:rsid w:val="00B55E80"/>
    <w:rsid w:val="00B55F48"/>
    <w:rsid w:val="00B5614D"/>
    <w:rsid w:val="00B56173"/>
    <w:rsid w:val="00B56188"/>
    <w:rsid w:val="00B561A2"/>
    <w:rsid w:val="00B563E3"/>
    <w:rsid w:val="00B56674"/>
    <w:rsid w:val="00B56773"/>
    <w:rsid w:val="00B567BF"/>
    <w:rsid w:val="00B56847"/>
    <w:rsid w:val="00B568DC"/>
    <w:rsid w:val="00B56C5C"/>
    <w:rsid w:val="00B56DF6"/>
    <w:rsid w:val="00B57030"/>
    <w:rsid w:val="00B571E3"/>
    <w:rsid w:val="00B576DB"/>
    <w:rsid w:val="00B5779F"/>
    <w:rsid w:val="00B577DF"/>
    <w:rsid w:val="00B577FD"/>
    <w:rsid w:val="00B578F1"/>
    <w:rsid w:val="00B5793D"/>
    <w:rsid w:val="00B57BD4"/>
    <w:rsid w:val="00B57BF1"/>
    <w:rsid w:val="00B57BFB"/>
    <w:rsid w:val="00B57D3B"/>
    <w:rsid w:val="00B57DD8"/>
    <w:rsid w:val="00B57FA4"/>
    <w:rsid w:val="00B6039D"/>
    <w:rsid w:val="00B6053E"/>
    <w:rsid w:val="00B60577"/>
    <w:rsid w:val="00B605AD"/>
    <w:rsid w:val="00B605DF"/>
    <w:rsid w:val="00B6074B"/>
    <w:rsid w:val="00B607C0"/>
    <w:rsid w:val="00B60819"/>
    <w:rsid w:val="00B608A8"/>
    <w:rsid w:val="00B60957"/>
    <w:rsid w:val="00B609C1"/>
    <w:rsid w:val="00B60A0C"/>
    <w:rsid w:val="00B60A14"/>
    <w:rsid w:val="00B60BE1"/>
    <w:rsid w:val="00B60E14"/>
    <w:rsid w:val="00B6109D"/>
    <w:rsid w:val="00B611EB"/>
    <w:rsid w:val="00B6121F"/>
    <w:rsid w:val="00B61400"/>
    <w:rsid w:val="00B61411"/>
    <w:rsid w:val="00B61496"/>
    <w:rsid w:val="00B61694"/>
    <w:rsid w:val="00B616AF"/>
    <w:rsid w:val="00B61AE9"/>
    <w:rsid w:val="00B61D0C"/>
    <w:rsid w:val="00B61E92"/>
    <w:rsid w:val="00B622E1"/>
    <w:rsid w:val="00B6239A"/>
    <w:rsid w:val="00B623E6"/>
    <w:rsid w:val="00B6261C"/>
    <w:rsid w:val="00B62839"/>
    <w:rsid w:val="00B62949"/>
    <w:rsid w:val="00B62961"/>
    <w:rsid w:val="00B629C8"/>
    <w:rsid w:val="00B62C7B"/>
    <w:rsid w:val="00B62FF2"/>
    <w:rsid w:val="00B6339E"/>
    <w:rsid w:val="00B63412"/>
    <w:rsid w:val="00B63438"/>
    <w:rsid w:val="00B6361E"/>
    <w:rsid w:val="00B63682"/>
    <w:rsid w:val="00B6372F"/>
    <w:rsid w:val="00B63AB5"/>
    <w:rsid w:val="00B63B12"/>
    <w:rsid w:val="00B63C51"/>
    <w:rsid w:val="00B63C8B"/>
    <w:rsid w:val="00B63FC3"/>
    <w:rsid w:val="00B64104"/>
    <w:rsid w:val="00B64188"/>
    <w:rsid w:val="00B642C9"/>
    <w:rsid w:val="00B64305"/>
    <w:rsid w:val="00B64366"/>
    <w:rsid w:val="00B64396"/>
    <w:rsid w:val="00B64437"/>
    <w:rsid w:val="00B64586"/>
    <w:rsid w:val="00B64814"/>
    <w:rsid w:val="00B6488C"/>
    <w:rsid w:val="00B64B50"/>
    <w:rsid w:val="00B64BA9"/>
    <w:rsid w:val="00B64DC2"/>
    <w:rsid w:val="00B64DFE"/>
    <w:rsid w:val="00B64F6B"/>
    <w:rsid w:val="00B65018"/>
    <w:rsid w:val="00B6505F"/>
    <w:rsid w:val="00B65150"/>
    <w:rsid w:val="00B653BF"/>
    <w:rsid w:val="00B6544F"/>
    <w:rsid w:val="00B655E7"/>
    <w:rsid w:val="00B65706"/>
    <w:rsid w:val="00B657C4"/>
    <w:rsid w:val="00B65801"/>
    <w:rsid w:val="00B65813"/>
    <w:rsid w:val="00B6595D"/>
    <w:rsid w:val="00B65AE9"/>
    <w:rsid w:val="00B65B8A"/>
    <w:rsid w:val="00B65DC4"/>
    <w:rsid w:val="00B65E59"/>
    <w:rsid w:val="00B65E78"/>
    <w:rsid w:val="00B66105"/>
    <w:rsid w:val="00B66254"/>
    <w:rsid w:val="00B66591"/>
    <w:rsid w:val="00B66618"/>
    <w:rsid w:val="00B66672"/>
    <w:rsid w:val="00B66B1B"/>
    <w:rsid w:val="00B66B58"/>
    <w:rsid w:val="00B66BE2"/>
    <w:rsid w:val="00B66D87"/>
    <w:rsid w:val="00B67019"/>
    <w:rsid w:val="00B67103"/>
    <w:rsid w:val="00B672F1"/>
    <w:rsid w:val="00B67394"/>
    <w:rsid w:val="00B67442"/>
    <w:rsid w:val="00B677D1"/>
    <w:rsid w:val="00B67A06"/>
    <w:rsid w:val="00B67B0C"/>
    <w:rsid w:val="00B67BD5"/>
    <w:rsid w:val="00B67BE0"/>
    <w:rsid w:val="00B67C15"/>
    <w:rsid w:val="00B67CD0"/>
    <w:rsid w:val="00B67D25"/>
    <w:rsid w:val="00B67D69"/>
    <w:rsid w:val="00B67DA8"/>
    <w:rsid w:val="00B67DC6"/>
    <w:rsid w:val="00B67DF2"/>
    <w:rsid w:val="00B67EF6"/>
    <w:rsid w:val="00B67FA1"/>
    <w:rsid w:val="00B700A1"/>
    <w:rsid w:val="00B701B3"/>
    <w:rsid w:val="00B70224"/>
    <w:rsid w:val="00B70230"/>
    <w:rsid w:val="00B702DB"/>
    <w:rsid w:val="00B703C3"/>
    <w:rsid w:val="00B70631"/>
    <w:rsid w:val="00B706D7"/>
    <w:rsid w:val="00B708AC"/>
    <w:rsid w:val="00B70A3C"/>
    <w:rsid w:val="00B70A85"/>
    <w:rsid w:val="00B70CD5"/>
    <w:rsid w:val="00B70E28"/>
    <w:rsid w:val="00B70FFE"/>
    <w:rsid w:val="00B7108E"/>
    <w:rsid w:val="00B71124"/>
    <w:rsid w:val="00B714E0"/>
    <w:rsid w:val="00B7172F"/>
    <w:rsid w:val="00B718C8"/>
    <w:rsid w:val="00B71A53"/>
    <w:rsid w:val="00B71A98"/>
    <w:rsid w:val="00B71D10"/>
    <w:rsid w:val="00B71DBB"/>
    <w:rsid w:val="00B71F5A"/>
    <w:rsid w:val="00B71F83"/>
    <w:rsid w:val="00B7206C"/>
    <w:rsid w:val="00B72457"/>
    <w:rsid w:val="00B724D5"/>
    <w:rsid w:val="00B7250F"/>
    <w:rsid w:val="00B7261E"/>
    <w:rsid w:val="00B7266B"/>
    <w:rsid w:val="00B72811"/>
    <w:rsid w:val="00B72898"/>
    <w:rsid w:val="00B72E17"/>
    <w:rsid w:val="00B72E3E"/>
    <w:rsid w:val="00B72ED6"/>
    <w:rsid w:val="00B732F2"/>
    <w:rsid w:val="00B73310"/>
    <w:rsid w:val="00B73573"/>
    <w:rsid w:val="00B73638"/>
    <w:rsid w:val="00B738B5"/>
    <w:rsid w:val="00B739CE"/>
    <w:rsid w:val="00B73CCF"/>
    <w:rsid w:val="00B73D55"/>
    <w:rsid w:val="00B73D69"/>
    <w:rsid w:val="00B73DBA"/>
    <w:rsid w:val="00B73E02"/>
    <w:rsid w:val="00B7401A"/>
    <w:rsid w:val="00B7402C"/>
    <w:rsid w:val="00B740C9"/>
    <w:rsid w:val="00B745A5"/>
    <w:rsid w:val="00B74603"/>
    <w:rsid w:val="00B74ADB"/>
    <w:rsid w:val="00B74B22"/>
    <w:rsid w:val="00B74EA5"/>
    <w:rsid w:val="00B7507D"/>
    <w:rsid w:val="00B75287"/>
    <w:rsid w:val="00B7536D"/>
    <w:rsid w:val="00B753D3"/>
    <w:rsid w:val="00B7547C"/>
    <w:rsid w:val="00B75487"/>
    <w:rsid w:val="00B7555A"/>
    <w:rsid w:val="00B757CD"/>
    <w:rsid w:val="00B758FC"/>
    <w:rsid w:val="00B7599B"/>
    <w:rsid w:val="00B75A02"/>
    <w:rsid w:val="00B75A39"/>
    <w:rsid w:val="00B75B16"/>
    <w:rsid w:val="00B75B2C"/>
    <w:rsid w:val="00B75BD0"/>
    <w:rsid w:val="00B75C9F"/>
    <w:rsid w:val="00B75D46"/>
    <w:rsid w:val="00B76129"/>
    <w:rsid w:val="00B7617D"/>
    <w:rsid w:val="00B765E4"/>
    <w:rsid w:val="00B76622"/>
    <w:rsid w:val="00B767C3"/>
    <w:rsid w:val="00B768D1"/>
    <w:rsid w:val="00B76C5E"/>
    <w:rsid w:val="00B76E3A"/>
    <w:rsid w:val="00B771A5"/>
    <w:rsid w:val="00B77224"/>
    <w:rsid w:val="00B77232"/>
    <w:rsid w:val="00B7724F"/>
    <w:rsid w:val="00B772AD"/>
    <w:rsid w:val="00B77365"/>
    <w:rsid w:val="00B77387"/>
    <w:rsid w:val="00B773AE"/>
    <w:rsid w:val="00B773FC"/>
    <w:rsid w:val="00B774D4"/>
    <w:rsid w:val="00B775BE"/>
    <w:rsid w:val="00B7766A"/>
    <w:rsid w:val="00B77812"/>
    <w:rsid w:val="00B778A0"/>
    <w:rsid w:val="00B77ACA"/>
    <w:rsid w:val="00B77CBB"/>
    <w:rsid w:val="00B77E1A"/>
    <w:rsid w:val="00B77E55"/>
    <w:rsid w:val="00B77E8C"/>
    <w:rsid w:val="00B77FC4"/>
    <w:rsid w:val="00B80009"/>
    <w:rsid w:val="00B80062"/>
    <w:rsid w:val="00B800DA"/>
    <w:rsid w:val="00B800E5"/>
    <w:rsid w:val="00B80178"/>
    <w:rsid w:val="00B802C6"/>
    <w:rsid w:val="00B807D3"/>
    <w:rsid w:val="00B80895"/>
    <w:rsid w:val="00B80914"/>
    <w:rsid w:val="00B80915"/>
    <w:rsid w:val="00B80924"/>
    <w:rsid w:val="00B809DF"/>
    <w:rsid w:val="00B80B2A"/>
    <w:rsid w:val="00B80BB7"/>
    <w:rsid w:val="00B80CC9"/>
    <w:rsid w:val="00B80D06"/>
    <w:rsid w:val="00B80E42"/>
    <w:rsid w:val="00B810DB"/>
    <w:rsid w:val="00B81150"/>
    <w:rsid w:val="00B814B0"/>
    <w:rsid w:val="00B8155E"/>
    <w:rsid w:val="00B815A5"/>
    <w:rsid w:val="00B815AB"/>
    <w:rsid w:val="00B817D6"/>
    <w:rsid w:val="00B81828"/>
    <w:rsid w:val="00B81A05"/>
    <w:rsid w:val="00B81B31"/>
    <w:rsid w:val="00B81CF1"/>
    <w:rsid w:val="00B81D32"/>
    <w:rsid w:val="00B81F26"/>
    <w:rsid w:val="00B824A6"/>
    <w:rsid w:val="00B824EA"/>
    <w:rsid w:val="00B8261D"/>
    <w:rsid w:val="00B8276F"/>
    <w:rsid w:val="00B82829"/>
    <w:rsid w:val="00B8282E"/>
    <w:rsid w:val="00B82979"/>
    <w:rsid w:val="00B829AF"/>
    <w:rsid w:val="00B82C09"/>
    <w:rsid w:val="00B82CC8"/>
    <w:rsid w:val="00B82DE7"/>
    <w:rsid w:val="00B82E4E"/>
    <w:rsid w:val="00B82E5F"/>
    <w:rsid w:val="00B82E80"/>
    <w:rsid w:val="00B82EA5"/>
    <w:rsid w:val="00B82EAB"/>
    <w:rsid w:val="00B8319D"/>
    <w:rsid w:val="00B83463"/>
    <w:rsid w:val="00B83563"/>
    <w:rsid w:val="00B83917"/>
    <w:rsid w:val="00B839D6"/>
    <w:rsid w:val="00B83ABA"/>
    <w:rsid w:val="00B83C81"/>
    <w:rsid w:val="00B83DA6"/>
    <w:rsid w:val="00B83E2A"/>
    <w:rsid w:val="00B83E75"/>
    <w:rsid w:val="00B83EF0"/>
    <w:rsid w:val="00B83F36"/>
    <w:rsid w:val="00B83F4A"/>
    <w:rsid w:val="00B842E7"/>
    <w:rsid w:val="00B84335"/>
    <w:rsid w:val="00B843B4"/>
    <w:rsid w:val="00B84446"/>
    <w:rsid w:val="00B847E1"/>
    <w:rsid w:val="00B8485B"/>
    <w:rsid w:val="00B849BA"/>
    <w:rsid w:val="00B84ABD"/>
    <w:rsid w:val="00B84B33"/>
    <w:rsid w:val="00B84B7A"/>
    <w:rsid w:val="00B84D1E"/>
    <w:rsid w:val="00B84D5F"/>
    <w:rsid w:val="00B84ECA"/>
    <w:rsid w:val="00B85072"/>
    <w:rsid w:val="00B850B2"/>
    <w:rsid w:val="00B850DB"/>
    <w:rsid w:val="00B85116"/>
    <w:rsid w:val="00B8527B"/>
    <w:rsid w:val="00B852C9"/>
    <w:rsid w:val="00B8533A"/>
    <w:rsid w:val="00B853EF"/>
    <w:rsid w:val="00B854FB"/>
    <w:rsid w:val="00B85543"/>
    <w:rsid w:val="00B858E7"/>
    <w:rsid w:val="00B85C61"/>
    <w:rsid w:val="00B85D04"/>
    <w:rsid w:val="00B85D42"/>
    <w:rsid w:val="00B86069"/>
    <w:rsid w:val="00B860BC"/>
    <w:rsid w:val="00B864DF"/>
    <w:rsid w:val="00B86585"/>
    <w:rsid w:val="00B865E1"/>
    <w:rsid w:val="00B86648"/>
    <w:rsid w:val="00B868D1"/>
    <w:rsid w:val="00B8690A"/>
    <w:rsid w:val="00B86A76"/>
    <w:rsid w:val="00B86A91"/>
    <w:rsid w:val="00B86AC1"/>
    <w:rsid w:val="00B86AD3"/>
    <w:rsid w:val="00B86AF2"/>
    <w:rsid w:val="00B86B2D"/>
    <w:rsid w:val="00B86CA3"/>
    <w:rsid w:val="00B86DAE"/>
    <w:rsid w:val="00B86E0F"/>
    <w:rsid w:val="00B86FB7"/>
    <w:rsid w:val="00B86FF3"/>
    <w:rsid w:val="00B870C9"/>
    <w:rsid w:val="00B87119"/>
    <w:rsid w:val="00B871BA"/>
    <w:rsid w:val="00B871DA"/>
    <w:rsid w:val="00B8722C"/>
    <w:rsid w:val="00B87312"/>
    <w:rsid w:val="00B87335"/>
    <w:rsid w:val="00B8742A"/>
    <w:rsid w:val="00B874B2"/>
    <w:rsid w:val="00B87835"/>
    <w:rsid w:val="00B87851"/>
    <w:rsid w:val="00B878CE"/>
    <w:rsid w:val="00B87B05"/>
    <w:rsid w:val="00B87D9B"/>
    <w:rsid w:val="00B87E9D"/>
    <w:rsid w:val="00B90047"/>
    <w:rsid w:val="00B90097"/>
    <w:rsid w:val="00B901E0"/>
    <w:rsid w:val="00B902B8"/>
    <w:rsid w:val="00B9033F"/>
    <w:rsid w:val="00B90360"/>
    <w:rsid w:val="00B903FE"/>
    <w:rsid w:val="00B905D9"/>
    <w:rsid w:val="00B906BF"/>
    <w:rsid w:val="00B90713"/>
    <w:rsid w:val="00B90730"/>
    <w:rsid w:val="00B90926"/>
    <w:rsid w:val="00B90AFB"/>
    <w:rsid w:val="00B90B40"/>
    <w:rsid w:val="00B90C36"/>
    <w:rsid w:val="00B90C68"/>
    <w:rsid w:val="00B90D0E"/>
    <w:rsid w:val="00B90DA7"/>
    <w:rsid w:val="00B90DF9"/>
    <w:rsid w:val="00B90E43"/>
    <w:rsid w:val="00B90E85"/>
    <w:rsid w:val="00B90ED8"/>
    <w:rsid w:val="00B90F93"/>
    <w:rsid w:val="00B912F6"/>
    <w:rsid w:val="00B91304"/>
    <w:rsid w:val="00B91308"/>
    <w:rsid w:val="00B91461"/>
    <w:rsid w:val="00B91607"/>
    <w:rsid w:val="00B91855"/>
    <w:rsid w:val="00B91D42"/>
    <w:rsid w:val="00B91E29"/>
    <w:rsid w:val="00B91E3A"/>
    <w:rsid w:val="00B91EC8"/>
    <w:rsid w:val="00B91EDF"/>
    <w:rsid w:val="00B91F1F"/>
    <w:rsid w:val="00B920CC"/>
    <w:rsid w:val="00B920D2"/>
    <w:rsid w:val="00B9211F"/>
    <w:rsid w:val="00B9256F"/>
    <w:rsid w:val="00B92638"/>
    <w:rsid w:val="00B9263C"/>
    <w:rsid w:val="00B927E9"/>
    <w:rsid w:val="00B9284A"/>
    <w:rsid w:val="00B92B4C"/>
    <w:rsid w:val="00B92C32"/>
    <w:rsid w:val="00B92C75"/>
    <w:rsid w:val="00B92D0B"/>
    <w:rsid w:val="00B92DCE"/>
    <w:rsid w:val="00B92DF4"/>
    <w:rsid w:val="00B93002"/>
    <w:rsid w:val="00B930BB"/>
    <w:rsid w:val="00B93117"/>
    <w:rsid w:val="00B932A6"/>
    <w:rsid w:val="00B9336A"/>
    <w:rsid w:val="00B9386F"/>
    <w:rsid w:val="00B938A2"/>
    <w:rsid w:val="00B93E08"/>
    <w:rsid w:val="00B93E86"/>
    <w:rsid w:val="00B93EB1"/>
    <w:rsid w:val="00B943CE"/>
    <w:rsid w:val="00B943F4"/>
    <w:rsid w:val="00B94490"/>
    <w:rsid w:val="00B944A0"/>
    <w:rsid w:val="00B944A6"/>
    <w:rsid w:val="00B94586"/>
    <w:rsid w:val="00B9458F"/>
    <w:rsid w:val="00B946C7"/>
    <w:rsid w:val="00B9480D"/>
    <w:rsid w:val="00B94B62"/>
    <w:rsid w:val="00B94C3A"/>
    <w:rsid w:val="00B94C6B"/>
    <w:rsid w:val="00B94D02"/>
    <w:rsid w:val="00B9521D"/>
    <w:rsid w:val="00B95362"/>
    <w:rsid w:val="00B95606"/>
    <w:rsid w:val="00B95767"/>
    <w:rsid w:val="00B95837"/>
    <w:rsid w:val="00B95A1B"/>
    <w:rsid w:val="00B95C06"/>
    <w:rsid w:val="00B95DB1"/>
    <w:rsid w:val="00B95E0B"/>
    <w:rsid w:val="00B95E4A"/>
    <w:rsid w:val="00B95E8E"/>
    <w:rsid w:val="00B961A0"/>
    <w:rsid w:val="00B961AB"/>
    <w:rsid w:val="00B962F6"/>
    <w:rsid w:val="00B9638D"/>
    <w:rsid w:val="00B96440"/>
    <w:rsid w:val="00B96974"/>
    <w:rsid w:val="00B969A5"/>
    <w:rsid w:val="00B96C82"/>
    <w:rsid w:val="00B96E72"/>
    <w:rsid w:val="00B96E8F"/>
    <w:rsid w:val="00B97055"/>
    <w:rsid w:val="00B9716D"/>
    <w:rsid w:val="00B973AC"/>
    <w:rsid w:val="00B974E0"/>
    <w:rsid w:val="00B97657"/>
    <w:rsid w:val="00B9784B"/>
    <w:rsid w:val="00B979A3"/>
    <w:rsid w:val="00B97F09"/>
    <w:rsid w:val="00BA00C8"/>
    <w:rsid w:val="00BA04B4"/>
    <w:rsid w:val="00BA0548"/>
    <w:rsid w:val="00BA0723"/>
    <w:rsid w:val="00BA07ED"/>
    <w:rsid w:val="00BA0816"/>
    <w:rsid w:val="00BA0997"/>
    <w:rsid w:val="00BA09C0"/>
    <w:rsid w:val="00BA09CB"/>
    <w:rsid w:val="00BA0A67"/>
    <w:rsid w:val="00BA0B49"/>
    <w:rsid w:val="00BA0BF8"/>
    <w:rsid w:val="00BA0E91"/>
    <w:rsid w:val="00BA1165"/>
    <w:rsid w:val="00BA1874"/>
    <w:rsid w:val="00BA1989"/>
    <w:rsid w:val="00BA19FC"/>
    <w:rsid w:val="00BA1B19"/>
    <w:rsid w:val="00BA1CFE"/>
    <w:rsid w:val="00BA1D88"/>
    <w:rsid w:val="00BA1ED8"/>
    <w:rsid w:val="00BA1F65"/>
    <w:rsid w:val="00BA231F"/>
    <w:rsid w:val="00BA237D"/>
    <w:rsid w:val="00BA2579"/>
    <w:rsid w:val="00BA27FD"/>
    <w:rsid w:val="00BA28B2"/>
    <w:rsid w:val="00BA2EE3"/>
    <w:rsid w:val="00BA3013"/>
    <w:rsid w:val="00BA3100"/>
    <w:rsid w:val="00BA330E"/>
    <w:rsid w:val="00BA3369"/>
    <w:rsid w:val="00BA3383"/>
    <w:rsid w:val="00BA3462"/>
    <w:rsid w:val="00BA3579"/>
    <w:rsid w:val="00BA35C3"/>
    <w:rsid w:val="00BA35D2"/>
    <w:rsid w:val="00BA3AF0"/>
    <w:rsid w:val="00BA3B04"/>
    <w:rsid w:val="00BA3B36"/>
    <w:rsid w:val="00BA3BAE"/>
    <w:rsid w:val="00BA3BF0"/>
    <w:rsid w:val="00BA3C12"/>
    <w:rsid w:val="00BA3CEF"/>
    <w:rsid w:val="00BA3D40"/>
    <w:rsid w:val="00BA3D57"/>
    <w:rsid w:val="00BA41F8"/>
    <w:rsid w:val="00BA4382"/>
    <w:rsid w:val="00BA43B9"/>
    <w:rsid w:val="00BA443F"/>
    <w:rsid w:val="00BA44AD"/>
    <w:rsid w:val="00BA4675"/>
    <w:rsid w:val="00BA49E2"/>
    <w:rsid w:val="00BA4BA2"/>
    <w:rsid w:val="00BA4C11"/>
    <w:rsid w:val="00BA4E7D"/>
    <w:rsid w:val="00BA4EF2"/>
    <w:rsid w:val="00BA4F57"/>
    <w:rsid w:val="00BA511F"/>
    <w:rsid w:val="00BA53A5"/>
    <w:rsid w:val="00BA544D"/>
    <w:rsid w:val="00BA54A5"/>
    <w:rsid w:val="00BA5508"/>
    <w:rsid w:val="00BA55A4"/>
    <w:rsid w:val="00BA56F3"/>
    <w:rsid w:val="00BA5909"/>
    <w:rsid w:val="00BA59D2"/>
    <w:rsid w:val="00BA5E65"/>
    <w:rsid w:val="00BA5FDA"/>
    <w:rsid w:val="00BA6001"/>
    <w:rsid w:val="00BA6625"/>
    <w:rsid w:val="00BA6743"/>
    <w:rsid w:val="00BA6898"/>
    <w:rsid w:val="00BA68A5"/>
    <w:rsid w:val="00BA6924"/>
    <w:rsid w:val="00BA69C8"/>
    <w:rsid w:val="00BA69E8"/>
    <w:rsid w:val="00BA6AF5"/>
    <w:rsid w:val="00BA6AF8"/>
    <w:rsid w:val="00BA6C6E"/>
    <w:rsid w:val="00BA6E23"/>
    <w:rsid w:val="00BA6E4B"/>
    <w:rsid w:val="00BA6EAB"/>
    <w:rsid w:val="00BA70CA"/>
    <w:rsid w:val="00BA71A2"/>
    <w:rsid w:val="00BA7438"/>
    <w:rsid w:val="00BA753B"/>
    <w:rsid w:val="00BA7562"/>
    <w:rsid w:val="00BA7651"/>
    <w:rsid w:val="00BA7663"/>
    <w:rsid w:val="00BA790F"/>
    <w:rsid w:val="00BA7B03"/>
    <w:rsid w:val="00BA7EA7"/>
    <w:rsid w:val="00BA7F0A"/>
    <w:rsid w:val="00BA7F34"/>
    <w:rsid w:val="00BA7F4C"/>
    <w:rsid w:val="00BA7F7B"/>
    <w:rsid w:val="00BB032A"/>
    <w:rsid w:val="00BB041A"/>
    <w:rsid w:val="00BB049D"/>
    <w:rsid w:val="00BB0610"/>
    <w:rsid w:val="00BB0B90"/>
    <w:rsid w:val="00BB0BFD"/>
    <w:rsid w:val="00BB0C46"/>
    <w:rsid w:val="00BB0C60"/>
    <w:rsid w:val="00BB0DBC"/>
    <w:rsid w:val="00BB0DD2"/>
    <w:rsid w:val="00BB0EAD"/>
    <w:rsid w:val="00BB0F2C"/>
    <w:rsid w:val="00BB0FD3"/>
    <w:rsid w:val="00BB1131"/>
    <w:rsid w:val="00BB11E4"/>
    <w:rsid w:val="00BB1268"/>
    <w:rsid w:val="00BB1325"/>
    <w:rsid w:val="00BB13E3"/>
    <w:rsid w:val="00BB1581"/>
    <w:rsid w:val="00BB1667"/>
    <w:rsid w:val="00BB1825"/>
    <w:rsid w:val="00BB1A52"/>
    <w:rsid w:val="00BB1BDE"/>
    <w:rsid w:val="00BB1C02"/>
    <w:rsid w:val="00BB1CC7"/>
    <w:rsid w:val="00BB1D01"/>
    <w:rsid w:val="00BB2009"/>
    <w:rsid w:val="00BB205D"/>
    <w:rsid w:val="00BB2111"/>
    <w:rsid w:val="00BB231B"/>
    <w:rsid w:val="00BB233D"/>
    <w:rsid w:val="00BB2406"/>
    <w:rsid w:val="00BB2425"/>
    <w:rsid w:val="00BB24A7"/>
    <w:rsid w:val="00BB2883"/>
    <w:rsid w:val="00BB2B28"/>
    <w:rsid w:val="00BB2BBF"/>
    <w:rsid w:val="00BB2C57"/>
    <w:rsid w:val="00BB2CE6"/>
    <w:rsid w:val="00BB2F30"/>
    <w:rsid w:val="00BB3130"/>
    <w:rsid w:val="00BB31B5"/>
    <w:rsid w:val="00BB32BC"/>
    <w:rsid w:val="00BB32E1"/>
    <w:rsid w:val="00BB3303"/>
    <w:rsid w:val="00BB3375"/>
    <w:rsid w:val="00BB3380"/>
    <w:rsid w:val="00BB3394"/>
    <w:rsid w:val="00BB3537"/>
    <w:rsid w:val="00BB3780"/>
    <w:rsid w:val="00BB38CD"/>
    <w:rsid w:val="00BB38FA"/>
    <w:rsid w:val="00BB3926"/>
    <w:rsid w:val="00BB39ED"/>
    <w:rsid w:val="00BB3A25"/>
    <w:rsid w:val="00BB3A70"/>
    <w:rsid w:val="00BB3ABF"/>
    <w:rsid w:val="00BB3AC5"/>
    <w:rsid w:val="00BB3E5E"/>
    <w:rsid w:val="00BB3FA2"/>
    <w:rsid w:val="00BB3FAF"/>
    <w:rsid w:val="00BB4136"/>
    <w:rsid w:val="00BB4236"/>
    <w:rsid w:val="00BB430E"/>
    <w:rsid w:val="00BB44A0"/>
    <w:rsid w:val="00BB4597"/>
    <w:rsid w:val="00BB4966"/>
    <w:rsid w:val="00BB4AF9"/>
    <w:rsid w:val="00BB4B50"/>
    <w:rsid w:val="00BB4B5C"/>
    <w:rsid w:val="00BB4C01"/>
    <w:rsid w:val="00BB4C17"/>
    <w:rsid w:val="00BB4C4D"/>
    <w:rsid w:val="00BB4D30"/>
    <w:rsid w:val="00BB4E34"/>
    <w:rsid w:val="00BB4E96"/>
    <w:rsid w:val="00BB51B2"/>
    <w:rsid w:val="00BB51FC"/>
    <w:rsid w:val="00BB522F"/>
    <w:rsid w:val="00BB530A"/>
    <w:rsid w:val="00BB5383"/>
    <w:rsid w:val="00BB5A5D"/>
    <w:rsid w:val="00BB5AC9"/>
    <w:rsid w:val="00BB5C64"/>
    <w:rsid w:val="00BB5C89"/>
    <w:rsid w:val="00BB5D09"/>
    <w:rsid w:val="00BB5ECF"/>
    <w:rsid w:val="00BB5FE1"/>
    <w:rsid w:val="00BB645D"/>
    <w:rsid w:val="00BB676F"/>
    <w:rsid w:val="00BB6B57"/>
    <w:rsid w:val="00BB6BA5"/>
    <w:rsid w:val="00BB6C81"/>
    <w:rsid w:val="00BB6CBE"/>
    <w:rsid w:val="00BB6E53"/>
    <w:rsid w:val="00BB70AE"/>
    <w:rsid w:val="00BB70BF"/>
    <w:rsid w:val="00BB70C8"/>
    <w:rsid w:val="00BB7222"/>
    <w:rsid w:val="00BB733A"/>
    <w:rsid w:val="00BB7361"/>
    <w:rsid w:val="00BB73E2"/>
    <w:rsid w:val="00BB766D"/>
    <w:rsid w:val="00BB780D"/>
    <w:rsid w:val="00BB7B58"/>
    <w:rsid w:val="00BB7F7C"/>
    <w:rsid w:val="00BC005A"/>
    <w:rsid w:val="00BC013B"/>
    <w:rsid w:val="00BC0492"/>
    <w:rsid w:val="00BC067B"/>
    <w:rsid w:val="00BC06B3"/>
    <w:rsid w:val="00BC091B"/>
    <w:rsid w:val="00BC0B5B"/>
    <w:rsid w:val="00BC0C43"/>
    <w:rsid w:val="00BC0E03"/>
    <w:rsid w:val="00BC0E6A"/>
    <w:rsid w:val="00BC0E7C"/>
    <w:rsid w:val="00BC0E91"/>
    <w:rsid w:val="00BC0F11"/>
    <w:rsid w:val="00BC0F89"/>
    <w:rsid w:val="00BC0F94"/>
    <w:rsid w:val="00BC1288"/>
    <w:rsid w:val="00BC13FB"/>
    <w:rsid w:val="00BC1522"/>
    <w:rsid w:val="00BC15CE"/>
    <w:rsid w:val="00BC16C5"/>
    <w:rsid w:val="00BC16C6"/>
    <w:rsid w:val="00BC17A1"/>
    <w:rsid w:val="00BC1850"/>
    <w:rsid w:val="00BC1887"/>
    <w:rsid w:val="00BC197E"/>
    <w:rsid w:val="00BC19EB"/>
    <w:rsid w:val="00BC1A18"/>
    <w:rsid w:val="00BC1C69"/>
    <w:rsid w:val="00BC1C7B"/>
    <w:rsid w:val="00BC1D20"/>
    <w:rsid w:val="00BC1E38"/>
    <w:rsid w:val="00BC1FA6"/>
    <w:rsid w:val="00BC20D7"/>
    <w:rsid w:val="00BC21E5"/>
    <w:rsid w:val="00BC2392"/>
    <w:rsid w:val="00BC23AD"/>
    <w:rsid w:val="00BC24B8"/>
    <w:rsid w:val="00BC2630"/>
    <w:rsid w:val="00BC2846"/>
    <w:rsid w:val="00BC28C4"/>
    <w:rsid w:val="00BC294F"/>
    <w:rsid w:val="00BC29F5"/>
    <w:rsid w:val="00BC2C12"/>
    <w:rsid w:val="00BC2C35"/>
    <w:rsid w:val="00BC2C5E"/>
    <w:rsid w:val="00BC2CCE"/>
    <w:rsid w:val="00BC2E19"/>
    <w:rsid w:val="00BC2E6E"/>
    <w:rsid w:val="00BC2F53"/>
    <w:rsid w:val="00BC2FF9"/>
    <w:rsid w:val="00BC300E"/>
    <w:rsid w:val="00BC31B2"/>
    <w:rsid w:val="00BC34B9"/>
    <w:rsid w:val="00BC34C5"/>
    <w:rsid w:val="00BC3579"/>
    <w:rsid w:val="00BC3A8A"/>
    <w:rsid w:val="00BC3B3D"/>
    <w:rsid w:val="00BC3B76"/>
    <w:rsid w:val="00BC3C22"/>
    <w:rsid w:val="00BC3E63"/>
    <w:rsid w:val="00BC3FDF"/>
    <w:rsid w:val="00BC4232"/>
    <w:rsid w:val="00BC44D7"/>
    <w:rsid w:val="00BC4528"/>
    <w:rsid w:val="00BC4563"/>
    <w:rsid w:val="00BC4593"/>
    <w:rsid w:val="00BC462F"/>
    <w:rsid w:val="00BC4709"/>
    <w:rsid w:val="00BC4800"/>
    <w:rsid w:val="00BC48A2"/>
    <w:rsid w:val="00BC4A28"/>
    <w:rsid w:val="00BC4B9B"/>
    <w:rsid w:val="00BC4DDC"/>
    <w:rsid w:val="00BC4F20"/>
    <w:rsid w:val="00BC4F64"/>
    <w:rsid w:val="00BC5308"/>
    <w:rsid w:val="00BC5400"/>
    <w:rsid w:val="00BC5570"/>
    <w:rsid w:val="00BC5700"/>
    <w:rsid w:val="00BC5869"/>
    <w:rsid w:val="00BC5927"/>
    <w:rsid w:val="00BC5BB1"/>
    <w:rsid w:val="00BC5BFA"/>
    <w:rsid w:val="00BC5CCA"/>
    <w:rsid w:val="00BC5EDC"/>
    <w:rsid w:val="00BC5F80"/>
    <w:rsid w:val="00BC5FB7"/>
    <w:rsid w:val="00BC5FCE"/>
    <w:rsid w:val="00BC62A7"/>
    <w:rsid w:val="00BC62EA"/>
    <w:rsid w:val="00BC634D"/>
    <w:rsid w:val="00BC643A"/>
    <w:rsid w:val="00BC6600"/>
    <w:rsid w:val="00BC6647"/>
    <w:rsid w:val="00BC67B8"/>
    <w:rsid w:val="00BC69AB"/>
    <w:rsid w:val="00BC69E0"/>
    <w:rsid w:val="00BC6A60"/>
    <w:rsid w:val="00BC6A7D"/>
    <w:rsid w:val="00BC6C35"/>
    <w:rsid w:val="00BC6D9E"/>
    <w:rsid w:val="00BC6E5C"/>
    <w:rsid w:val="00BC6E7B"/>
    <w:rsid w:val="00BC6EA9"/>
    <w:rsid w:val="00BC6F33"/>
    <w:rsid w:val="00BC6FA7"/>
    <w:rsid w:val="00BC7315"/>
    <w:rsid w:val="00BC74CF"/>
    <w:rsid w:val="00BC7529"/>
    <w:rsid w:val="00BC7643"/>
    <w:rsid w:val="00BC774E"/>
    <w:rsid w:val="00BC7890"/>
    <w:rsid w:val="00BC7951"/>
    <w:rsid w:val="00BC7C09"/>
    <w:rsid w:val="00BC7F2C"/>
    <w:rsid w:val="00BC7F96"/>
    <w:rsid w:val="00BD00E1"/>
    <w:rsid w:val="00BD0203"/>
    <w:rsid w:val="00BD026E"/>
    <w:rsid w:val="00BD028A"/>
    <w:rsid w:val="00BD04CF"/>
    <w:rsid w:val="00BD0625"/>
    <w:rsid w:val="00BD062C"/>
    <w:rsid w:val="00BD06C7"/>
    <w:rsid w:val="00BD073D"/>
    <w:rsid w:val="00BD0CE5"/>
    <w:rsid w:val="00BD0E66"/>
    <w:rsid w:val="00BD0FA6"/>
    <w:rsid w:val="00BD1483"/>
    <w:rsid w:val="00BD1565"/>
    <w:rsid w:val="00BD164F"/>
    <w:rsid w:val="00BD165F"/>
    <w:rsid w:val="00BD1803"/>
    <w:rsid w:val="00BD1DC4"/>
    <w:rsid w:val="00BD1FCE"/>
    <w:rsid w:val="00BD1FDB"/>
    <w:rsid w:val="00BD22C4"/>
    <w:rsid w:val="00BD2388"/>
    <w:rsid w:val="00BD23A4"/>
    <w:rsid w:val="00BD23F7"/>
    <w:rsid w:val="00BD2419"/>
    <w:rsid w:val="00BD2524"/>
    <w:rsid w:val="00BD2584"/>
    <w:rsid w:val="00BD295E"/>
    <w:rsid w:val="00BD2ABF"/>
    <w:rsid w:val="00BD2C9E"/>
    <w:rsid w:val="00BD2D2D"/>
    <w:rsid w:val="00BD32F8"/>
    <w:rsid w:val="00BD35A2"/>
    <w:rsid w:val="00BD39E3"/>
    <w:rsid w:val="00BD3CE2"/>
    <w:rsid w:val="00BD3ED2"/>
    <w:rsid w:val="00BD4046"/>
    <w:rsid w:val="00BD415F"/>
    <w:rsid w:val="00BD4355"/>
    <w:rsid w:val="00BD43DE"/>
    <w:rsid w:val="00BD442A"/>
    <w:rsid w:val="00BD444F"/>
    <w:rsid w:val="00BD45E4"/>
    <w:rsid w:val="00BD4746"/>
    <w:rsid w:val="00BD4A7F"/>
    <w:rsid w:val="00BD4BDD"/>
    <w:rsid w:val="00BD4BE9"/>
    <w:rsid w:val="00BD4D2D"/>
    <w:rsid w:val="00BD4E8A"/>
    <w:rsid w:val="00BD4F63"/>
    <w:rsid w:val="00BD5067"/>
    <w:rsid w:val="00BD50AA"/>
    <w:rsid w:val="00BD52B5"/>
    <w:rsid w:val="00BD5447"/>
    <w:rsid w:val="00BD5487"/>
    <w:rsid w:val="00BD5522"/>
    <w:rsid w:val="00BD555A"/>
    <w:rsid w:val="00BD57D3"/>
    <w:rsid w:val="00BD5BAE"/>
    <w:rsid w:val="00BD5C33"/>
    <w:rsid w:val="00BD5EBB"/>
    <w:rsid w:val="00BD5FA3"/>
    <w:rsid w:val="00BD601E"/>
    <w:rsid w:val="00BD60C1"/>
    <w:rsid w:val="00BD6113"/>
    <w:rsid w:val="00BD67FA"/>
    <w:rsid w:val="00BD6ACB"/>
    <w:rsid w:val="00BD6AF9"/>
    <w:rsid w:val="00BD6B62"/>
    <w:rsid w:val="00BD6BB1"/>
    <w:rsid w:val="00BD6C94"/>
    <w:rsid w:val="00BD6CBB"/>
    <w:rsid w:val="00BD6E77"/>
    <w:rsid w:val="00BD7241"/>
    <w:rsid w:val="00BD777A"/>
    <w:rsid w:val="00BD786B"/>
    <w:rsid w:val="00BD7A58"/>
    <w:rsid w:val="00BD7D70"/>
    <w:rsid w:val="00BD7D75"/>
    <w:rsid w:val="00BD7D7C"/>
    <w:rsid w:val="00BD7E06"/>
    <w:rsid w:val="00BD7F37"/>
    <w:rsid w:val="00BD7FB3"/>
    <w:rsid w:val="00BE0053"/>
    <w:rsid w:val="00BE011C"/>
    <w:rsid w:val="00BE021F"/>
    <w:rsid w:val="00BE034E"/>
    <w:rsid w:val="00BE08E9"/>
    <w:rsid w:val="00BE096E"/>
    <w:rsid w:val="00BE0AD3"/>
    <w:rsid w:val="00BE0B47"/>
    <w:rsid w:val="00BE0D22"/>
    <w:rsid w:val="00BE0E78"/>
    <w:rsid w:val="00BE0F0B"/>
    <w:rsid w:val="00BE0F74"/>
    <w:rsid w:val="00BE0FBD"/>
    <w:rsid w:val="00BE1129"/>
    <w:rsid w:val="00BE116F"/>
    <w:rsid w:val="00BE1202"/>
    <w:rsid w:val="00BE12D7"/>
    <w:rsid w:val="00BE131C"/>
    <w:rsid w:val="00BE151F"/>
    <w:rsid w:val="00BE1521"/>
    <w:rsid w:val="00BE15C1"/>
    <w:rsid w:val="00BE1612"/>
    <w:rsid w:val="00BE19E9"/>
    <w:rsid w:val="00BE1A3A"/>
    <w:rsid w:val="00BE1A50"/>
    <w:rsid w:val="00BE1B0E"/>
    <w:rsid w:val="00BE1D5F"/>
    <w:rsid w:val="00BE1F05"/>
    <w:rsid w:val="00BE2244"/>
    <w:rsid w:val="00BE2692"/>
    <w:rsid w:val="00BE2B8E"/>
    <w:rsid w:val="00BE2CFE"/>
    <w:rsid w:val="00BE2D86"/>
    <w:rsid w:val="00BE3098"/>
    <w:rsid w:val="00BE30BF"/>
    <w:rsid w:val="00BE30DB"/>
    <w:rsid w:val="00BE34B2"/>
    <w:rsid w:val="00BE359E"/>
    <w:rsid w:val="00BE36DB"/>
    <w:rsid w:val="00BE3798"/>
    <w:rsid w:val="00BE37E4"/>
    <w:rsid w:val="00BE38A3"/>
    <w:rsid w:val="00BE3923"/>
    <w:rsid w:val="00BE3A67"/>
    <w:rsid w:val="00BE3B89"/>
    <w:rsid w:val="00BE3E6E"/>
    <w:rsid w:val="00BE3EE1"/>
    <w:rsid w:val="00BE3F3F"/>
    <w:rsid w:val="00BE4016"/>
    <w:rsid w:val="00BE424E"/>
    <w:rsid w:val="00BE436C"/>
    <w:rsid w:val="00BE43BA"/>
    <w:rsid w:val="00BE44FB"/>
    <w:rsid w:val="00BE498B"/>
    <w:rsid w:val="00BE498C"/>
    <w:rsid w:val="00BE4AC3"/>
    <w:rsid w:val="00BE4C91"/>
    <w:rsid w:val="00BE4D4A"/>
    <w:rsid w:val="00BE4DEB"/>
    <w:rsid w:val="00BE4E35"/>
    <w:rsid w:val="00BE4F08"/>
    <w:rsid w:val="00BE4F20"/>
    <w:rsid w:val="00BE4FB9"/>
    <w:rsid w:val="00BE50E3"/>
    <w:rsid w:val="00BE5302"/>
    <w:rsid w:val="00BE5346"/>
    <w:rsid w:val="00BE537E"/>
    <w:rsid w:val="00BE53FF"/>
    <w:rsid w:val="00BE547B"/>
    <w:rsid w:val="00BE585E"/>
    <w:rsid w:val="00BE5D28"/>
    <w:rsid w:val="00BE5E63"/>
    <w:rsid w:val="00BE5F77"/>
    <w:rsid w:val="00BE5FB4"/>
    <w:rsid w:val="00BE61C1"/>
    <w:rsid w:val="00BE61E4"/>
    <w:rsid w:val="00BE62CC"/>
    <w:rsid w:val="00BE6353"/>
    <w:rsid w:val="00BE64F4"/>
    <w:rsid w:val="00BE6595"/>
    <w:rsid w:val="00BE6650"/>
    <w:rsid w:val="00BE66F3"/>
    <w:rsid w:val="00BE6714"/>
    <w:rsid w:val="00BE671D"/>
    <w:rsid w:val="00BE67DA"/>
    <w:rsid w:val="00BE67FB"/>
    <w:rsid w:val="00BE6A24"/>
    <w:rsid w:val="00BE6A95"/>
    <w:rsid w:val="00BE6C09"/>
    <w:rsid w:val="00BE6C11"/>
    <w:rsid w:val="00BE6CCF"/>
    <w:rsid w:val="00BE6E9C"/>
    <w:rsid w:val="00BE6ED1"/>
    <w:rsid w:val="00BE6EF8"/>
    <w:rsid w:val="00BE6F68"/>
    <w:rsid w:val="00BE6FBB"/>
    <w:rsid w:val="00BE6FFE"/>
    <w:rsid w:val="00BE70E4"/>
    <w:rsid w:val="00BE73FC"/>
    <w:rsid w:val="00BE75F6"/>
    <w:rsid w:val="00BE77D4"/>
    <w:rsid w:val="00BE7839"/>
    <w:rsid w:val="00BE78A8"/>
    <w:rsid w:val="00BE7A8B"/>
    <w:rsid w:val="00BF0112"/>
    <w:rsid w:val="00BF029F"/>
    <w:rsid w:val="00BF048E"/>
    <w:rsid w:val="00BF0852"/>
    <w:rsid w:val="00BF0863"/>
    <w:rsid w:val="00BF0E63"/>
    <w:rsid w:val="00BF0E6F"/>
    <w:rsid w:val="00BF0EB1"/>
    <w:rsid w:val="00BF0FBE"/>
    <w:rsid w:val="00BF1027"/>
    <w:rsid w:val="00BF103B"/>
    <w:rsid w:val="00BF1075"/>
    <w:rsid w:val="00BF1184"/>
    <w:rsid w:val="00BF1460"/>
    <w:rsid w:val="00BF1484"/>
    <w:rsid w:val="00BF1556"/>
    <w:rsid w:val="00BF1598"/>
    <w:rsid w:val="00BF16E3"/>
    <w:rsid w:val="00BF17A4"/>
    <w:rsid w:val="00BF1871"/>
    <w:rsid w:val="00BF18F1"/>
    <w:rsid w:val="00BF1909"/>
    <w:rsid w:val="00BF1B03"/>
    <w:rsid w:val="00BF1EB3"/>
    <w:rsid w:val="00BF2293"/>
    <w:rsid w:val="00BF22CE"/>
    <w:rsid w:val="00BF24C2"/>
    <w:rsid w:val="00BF2555"/>
    <w:rsid w:val="00BF2559"/>
    <w:rsid w:val="00BF29E1"/>
    <w:rsid w:val="00BF2A11"/>
    <w:rsid w:val="00BF2A30"/>
    <w:rsid w:val="00BF2AAF"/>
    <w:rsid w:val="00BF2BE2"/>
    <w:rsid w:val="00BF2D11"/>
    <w:rsid w:val="00BF2D3A"/>
    <w:rsid w:val="00BF2EE6"/>
    <w:rsid w:val="00BF2F23"/>
    <w:rsid w:val="00BF2FAD"/>
    <w:rsid w:val="00BF3166"/>
    <w:rsid w:val="00BF3208"/>
    <w:rsid w:val="00BF33D3"/>
    <w:rsid w:val="00BF36E1"/>
    <w:rsid w:val="00BF37B0"/>
    <w:rsid w:val="00BF37CD"/>
    <w:rsid w:val="00BF393E"/>
    <w:rsid w:val="00BF39AD"/>
    <w:rsid w:val="00BF39DC"/>
    <w:rsid w:val="00BF3A4A"/>
    <w:rsid w:val="00BF3AFC"/>
    <w:rsid w:val="00BF3BCC"/>
    <w:rsid w:val="00BF3E8D"/>
    <w:rsid w:val="00BF3F19"/>
    <w:rsid w:val="00BF3FCB"/>
    <w:rsid w:val="00BF4060"/>
    <w:rsid w:val="00BF4161"/>
    <w:rsid w:val="00BF42ED"/>
    <w:rsid w:val="00BF4373"/>
    <w:rsid w:val="00BF4512"/>
    <w:rsid w:val="00BF453D"/>
    <w:rsid w:val="00BF483B"/>
    <w:rsid w:val="00BF48DC"/>
    <w:rsid w:val="00BF49C0"/>
    <w:rsid w:val="00BF4F3C"/>
    <w:rsid w:val="00BF4FAE"/>
    <w:rsid w:val="00BF538F"/>
    <w:rsid w:val="00BF540E"/>
    <w:rsid w:val="00BF54E3"/>
    <w:rsid w:val="00BF56DA"/>
    <w:rsid w:val="00BF5738"/>
    <w:rsid w:val="00BF5911"/>
    <w:rsid w:val="00BF5958"/>
    <w:rsid w:val="00BF59F9"/>
    <w:rsid w:val="00BF5D2E"/>
    <w:rsid w:val="00BF5E9B"/>
    <w:rsid w:val="00BF6131"/>
    <w:rsid w:val="00BF61D9"/>
    <w:rsid w:val="00BF6215"/>
    <w:rsid w:val="00BF6248"/>
    <w:rsid w:val="00BF6360"/>
    <w:rsid w:val="00BF6687"/>
    <w:rsid w:val="00BF6754"/>
    <w:rsid w:val="00BF6921"/>
    <w:rsid w:val="00BF6A45"/>
    <w:rsid w:val="00BF6AA9"/>
    <w:rsid w:val="00BF6D38"/>
    <w:rsid w:val="00BF6D94"/>
    <w:rsid w:val="00BF6DDF"/>
    <w:rsid w:val="00BF6E14"/>
    <w:rsid w:val="00BF6FE3"/>
    <w:rsid w:val="00BF7013"/>
    <w:rsid w:val="00BF70A0"/>
    <w:rsid w:val="00BF71D4"/>
    <w:rsid w:val="00BF7273"/>
    <w:rsid w:val="00BF73F9"/>
    <w:rsid w:val="00BF745E"/>
    <w:rsid w:val="00BF74A4"/>
    <w:rsid w:val="00BF76D2"/>
    <w:rsid w:val="00BF780B"/>
    <w:rsid w:val="00BF78EB"/>
    <w:rsid w:val="00BF7AD4"/>
    <w:rsid w:val="00BF7D4D"/>
    <w:rsid w:val="00BF7E4B"/>
    <w:rsid w:val="00C00063"/>
    <w:rsid w:val="00C00065"/>
    <w:rsid w:val="00C001D8"/>
    <w:rsid w:val="00C001F7"/>
    <w:rsid w:val="00C00341"/>
    <w:rsid w:val="00C00356"/>
    <w:rsid w:val="00C00638"/>
    <w:rsid w:val="00C006A7"/>
    <w:rsid w:val="00C006F5"/>
    <w:rsid w:val="00C00942"/>
    <w:rsid w:val="00C00A29"/>
    <w:rsid w:val="00C00A5E"/>
    <w:rsid w:val="00C00B15"/>
    <w:rsid w:val="00C00BCF"/>
    <w:rsid w:val="00C00BEF"/>
    <w:rsid w:val="00C00C82"/>
    <w:rsid w:val="00C00E22"/>
    <w:rsid w:val="00C00EF4"/>
    <w:rsid w:val="00C010B1"/>
    <w:rsid w:val="00C01109"/>
    <w:rsid w:val="00C0133B"/>
    <w:rsid w:val="00C01705"/>
    <w:rsid w:val="00C01768"/>
    <w:rsid w:val="00C01AFF"/>
    <w:rsid w:val="00C01C46"/>
    <w:rsid w:val="00C01DB6"/>
    <w:rsid w:val="00C01DEF"/>
    <w:rsid w:val="00C01E11"/>
    <w:rsid w:val="00C01FFD"/>
    <w:rsid w:val="00C020BA"/>
    <w:rsid w:val="00C020FB"/>
    <w:rsid w:val="00C02109"/>
    <w:rsid w:val="00C02323"/>
    <w:rsid w:val="00C024FA"/>
    <w:rsid w:val="00C02717"/>
    <w:rsid w:val="00C02880"/>
    <w:rsid w:val="00C0293F"/>
    <w:rsid w:val="00C02B45"/>
    <w:rsid w:val="00C02B50"/>
    <w:rsid w:val="00C02CED"/>
    <w:rsid w:val="00C02F37"/>
    <w:rsid w:val="00C03062"/>
    <w:rsid w:val="00C030C2"/>
    <w:rsid w:val="00C03220"/>
    <w:rsid w:val="00C03336"/>
    <w:rsid w:val="00C033A3"/>
    <w:rsid w:val="00C033C8"/>
    <w:rsid w:val="00C03402"/>
    <w:rsid w:val="00C035B8"/>
    <w:rsid w:val="00C0364D"/>
    <w:rsid w:val="00C03813"/>
    <w:rsid w:val="00C03815"/>
    <w:rsid w:val="00C0393D"/>
    <w:rsid w:val="00C03D39"/>
    <w:rsid w:val="00C03DA3"/>
    <w:rsid w:val="00C03DD4"/>
    <w:rsid w:val="00C03E70"/>
    <w:rsid w:val="00C03ED4"/>
    <w:rsid w:val="00C03F55"/>
    <w:rsid w:val="00C03F93"/>
    <w:rsid w:val="00C04154"/>
    <w:rsid w:val="00C0416E"/>
    <w:rsid w:val="00C04310"/>
    <w:rsid w:val="00C045EC"/>
    <w:rsid w:val="00C047E6"/>
    <w:rsid w:val="00C04CB4"/>
    <w:rsid w:val="00C04D29"/>
    <w:rsid w:val="00C04DDD"/>
    <w:rsid w:val="00C04FFA"/>
    <w:rsid w:val="00C0515E"/>
    <w:rsid w:val="00C0516D"/>
    <w:rsid w:val="00C0528D"/>
    <w:rsid w:val="00C054C6"/>
    <w:rsid w:val="00C05613"/>
    <w:rsid w:val="00C0565D"/>
    <w:rsid w:val="00C05768"/>
    <w:rsid w:val="00C057A5"/>
    <w:rsid w:val="00C057D1"/>
    <w:rsid w:val="00C059B2"/>
    <w:rsid w:val="00C059D8"/>
    <w:rsid w:val="00C05A4C"/>
    <w:rsid w:val="00C0607E"/>
    <w:rsid w:val="00C06187"/>
    <w:rsid w:val="00C061C5"/>
    <w:rsid w:val="00C061EF"/>
    <w:rsid w:val="00C06404"/>
    <w:rsid w:val="00C065DC"/>
    <w:rsid w:val="00C066F8"/>
    <w:rsid w:val="00C0680D"/>
    <w:rsid w:val="00C06914"/>
    <w:rsid w:val="00C06B4B"/>
    <w:rsid w:val="00C06BCA"/>
    <w:rsid w:val="00C06E2E"/>
    <w:rsid w:val="00C06EF1"/>
    <w:rsid w:val="00C06F08"/>
    <w:rsid w:val="00C070BA"/>
    <w:rsid w:val="00C0728F"/>
    <w:rsid w:val="00C072D4"/>
    <w:rsid w:val="00C07381"/>
    <w:rsid w:val="00C07518"/>
    <w:rsid w:val="00C0777A"/>
    <w:rsid w:val="00C07875"/>
    <w:rsid w:val="00C0796F"/>
    <w:rsid w:val="00C079AF"/>
    <w:rsid w:val="00C079F7"/>
    <w:rsid w:val="00C07AB0"/>
    <w:rsid w:val="00C07BB9"/>
    <w:rsid w:val="00C07C20"/>
    <w:rsid w:val="00C100AD"/>
    <w:rsid w:val="00C10153"/>
    <w:rsid w:val="00C101C3"/>
    <w:rsid w:val="00C10228"/>
    <w:rsid w:val="00C103C9"/>
    <w:rsid w:val="00C106B7"/>
    <w:rsid w:val="00C107BE"/>
    <w:rsid w:val="00C109EC"/>
    <w:rsid w:val="00C10A20"/>
    <w:rsid w:val="00C10A3D"/>
    <w:rsid w:val="00C10B8F"/>
    <w:rsid w:val="00C10C0D"/>
    <w:rsid w:val="00C10D14"/>
    <w:rsid w:val="00C10D5F"/>
    <w:rsid w:val="00C10EF4"/>
    <w:rsid w:val="00C10F35"/>
    <w:rsid w:val="00C10F59"/>
    <w:rsid w:val="00C1105B"/>
    <w:rsid w:val="00C11239"/>
    <w:rsid w:val="00C1147E"/>
    <w:rsid w:val="00C1176E"/>
    <w:rsid w:val="00C117BF"/>
    <w:rsid w:val="00C119B1"/>
    <w:rsid w:val="00C11ABF"/>
    <w:rsid w:val="00C11C18"/>
    <w:rsid w:val="00C11D55"/>
    <w:rsid w:val="00C11DB8"/>
    <w:rsid w:val="00C11FEC"/>
    <w:rsid w:val="00C1207B"/>
    <w:rsid w:val="00C121B9"/>
    <w:rsid w:val="00C122AD"/>
    <w:rsid w:val="00C12400"/>
    <w:rsid w:val="00C1254B"/>
    <w:rsid w:val="00C125E4"/>
    <w:rsid w:val="00C126A9"/>
    <w:rsid w:val="00C12912"/>
    <w:rsid w:val="00C12A2A"/>
    <w:rsid w:val="00C12A82"/>
    <w:rsid w:val="00C12AF4"/>
    <w:rsid w:val="00C12AF9"/>
    <w:rsid w:val="00C12CA0"/>
    <w:rsid w:val="00C12CC3"/>
    <w:rsid w:val="00C12D05"/>
    <w:rsid w:val="00C12D40"/>
    <w:rsid w:val="00C12D4C"/>
    <w:rsid w:val="00C1395D"/>
    <w:rsid w:val="00C13AA0"/>
    <w:rsid w:val="00C13AC4"/>
    <w:rsid w:val="00C13B05"/>
    <w:rsid w:val="00C13D0C"/>
    <w:rsid w:val="00C13F53"/>
    <w:rsid w:val="00C14021"/>
    <w:rsid w:val="00C14133"/>
    <w:rsid w:val="00C14206"/>
    <w:rsid w:val="00C14223"/>
    <w:rsid w:val="00C143B3"/>
    <w:rsid w:val="00C143BB"/>
    <w:rsid w:val="00C14640"/>
    <w:rsid w:val="00C1467E"/>
    <w:rsid w:val="00C147D3"/>
    <w:rsid w:val="00C14904"/>
    <w:rsid w:val="00C14A07"/>
    <w:rsid w:val="00C14C5D"/>
    <w:rsid w:val="00C14DA4"/>
    <w:rsid w:val="00C14ED5"/>
    <w:rsid w:val="00C14F81"/>
    <w:rsid w:val="00C14FE8"/>
    <w:rsid w:val="00C151DF"/>
    <w:rsid w:val="00C154CD"/>
    <w:rsid w:val="00C15637"/>
    <w:rsid w:val="00C158F6"/>
    <w:rsid w:val="00C1591B"/>
    <w:rsid w:val="00C15CD2"/>
    <w:rsid w:val="00C15E88"/>
    <w:rsid w:val="00C15ECE"/>
    <w:rsid w:val="00C15F4D"/>
    <w:rsid w:val="00C15F63"/>
    <w:rsid w:val="00C15FE8"/>
    <w:rsid w:val="00C1606E"/>
    <w:rsid w:val="00C160B7"/>
    <w:rsid w:val="00C165F3"/>
    <w:rsid w:val="00C16615"/>
    <w:rsid w:val="00C166E7"/>
    <w:rsid w:val="00C167BF"/>
    <w:rsid w:val="00C167F8"/>
    <w:rsid w:val="00C16A7E"/>
    <w:rsid w:val="00C16C4B"/>
    <w:rsid w:val="00C16C77"/>
    <w:rsid w:val="00C16FE9"/>
    <w:rsid w:val="00C1702F"/>
    <w:rsid w:val="00C170B6"/>
    <w:rsid w:val="00C1711D"/>
    <w:rsid w:val="00C17237"/>
    <w:rsid w:val="00C17378"/>
    <w:rsid w:val="00C173E0"/>
    <w:rsid w:val="00C175CE"/>
    <w:rsid w:val="00C17743"/>
    <w:rsid w:val="00C178B1"/>
    <w:rsid w:val="00C1797E"/>
    <w:rsid w:val="00C179A8"/>
    <w:rsid w:val="00C17B4D"/>
    <w:rsid w:val="00C17B6E"/>
    <w:rsid w:val="00C17BDB"/>
    <w:rsid w:val="00C17C6E"/>
    <w:rsid w:val="00C20211"/>
    <w:rsid w:val="00C203C1"/>
    <w:rsid w:val="00C203F9"/>
    <w:rsid w:val="00C20564"/>
    <w:rsid w:val="00C205C7"/>
    <w:rsid w:val="00C20B77"/>
    <w:rsid w:val="00C20B96"/>
    <w:rsid w:val="00C20C00"/>
    <w:rsid w:val="00C20CA8"/>
    <w:rsid w:val="00C20CEF"/>
    <w:rsid w:val="00C20D37"/>
    <w:rsid w:val="00C210D5"/>
    <w:rsid w:val="00C21146"/>
    <w:rsid w:val="00C211FC"/>
    <w:rsid w:val="00C212BE"/>
    <w:rsid w:val="00C21386"/>
    <w:rsid w:val="00C21555"/>
    <w:rsid w:val="00C21685"/>
    <w:rsid w:val="00C217DB"/>
    <w:rsid w:val="00C2194B"/>
    <w:rsid w:val="00C219D1"/>
    <w:rsid w:val="00C21A24"/>
    <w:rsid w:val="00C21B05"/>
    <w:rsid w:val="00C21CA9"/>
    <w:rsid w:val="00C21D1F"/>
    <w:rsid w:val="00C21E07"/>
    <w:rsid w:val="00C21F9C"/>
    <w:rsid w:val="00C22033"/>
    <w:rsid w:val="00C22048"/>
    <w:rsid w:val="00C2234B"/>
    <w:rsid w:val="00C223F5"/>
    <w:rsid w:val="00C22908"/>
    <w:rsid w:val="00C229AD"/>
    <w:rsid w:val="00C22B01"/>
    <w:rsid w:val="00C22B6B"/>
    <w:rsid w:val="00C22D69"/>
    <w:rsid w:val="00C22E00"/>
    <w:rsid w:val="00C22E24"/>
    <w:rsid w:val="00C22EA8"/>
    <w:rsid w:val="00C233F7"/>
    <w:rsid w:val="00C23400"/>
    <w:rsid w:val="00C234D0"/>
    <w:rsid w:val="00C23564"/>
    <w:rsid w:val="00C235C6"/>
    <w:rsid w:val="00C235D0"/>
    <w:rsid w:val="00C23728"/>
    <w:rsid w:val="00C23DB7"/>
    <w:rsid w:val="00C23E35"/>
    <w:rsid w:val="00C23F01"/>
    <w:rsid w:val="00C24029"/>
    <w:rsid w:val="00C240C5"/>
    <w:rsid w:val="00C2438D"/>
    <w:rsid w:val="00C24432"/>
    <w:rsid w:val="00C2447A"/>
    <w:rsid w:val="00C245BF"/>
    <w:rsid w:val="00C245D9"/>
    <w:rsid w:val="00C247E3"/>
    <w:rsid w:val="00C248A6"/>
    <w:rsid w:val="00C248DD"/>
    <w:rsid w:val="00C24985"/>
    <w:rsid w:val="00C24AD0"/>
    <w:rsid w:val="00C24BAE"/>
    <w:rsid w:val="00C24D92"/>
    <w:rsid w:val="00C24DD6"/>
    <w:rsid w:val="00C24FFE"/>
    <w:rsid w:val="00C25475"/>
    <w:rsid w:val="00C2554D"/>
    <w:rsid w:val="00C2560F"/>
    <w:rsid w:val="00C2570C"/>
    <w:rsid w:val="00C258B9"/>
    <w:rsid w:val="00C25BCD"/>
    <w:rsid w:val="00C25C6A"/>
    <w:rsid w:val="00C25D33"/>
    <w:rsid w:val="00C25FEB"/>
    <w:rsid w:val="00C26057"/>
    <w:rsid w:val="00C261FD"/>
    <w:rsid w:val="00C26478"/>
    <w:rsid w:val="00C26484"/>
    <w:rsid w:val="00C26779"/>
    <w:rsid w:val="00C267CC"/>
    <w:rsid w:val="00C267EA"/>
    <w:rsid w:val="00C26ABC"/>
    <w:rsid w:val="00C26BA4"/>
    <w:rsid w:val="00C26CA1"/>
    <w:rsid w:val="00C26CF4"/>
    <w:rsid w:val="00C26CF6"/>
    <w:rsid w:val="00C26D66"/>
    <w:rsid w:val="00C26EB7"/>
    <w:rsid w:val="00C27148"/>
    <w:rsid w:val="00C27165"/>
    <w:rsid w:val="00C271A7"/>
    <w:rsid w:val="00C273A4"/>
    <w:rsid w:val="00C2745E"/>
    <w:rsid w:val="00C27492"/>
    <w:rsid w:val="00C274B3"/>
    <w:rsid w:val="00C27528"/>
    <w:rsid w:val="00C2759D"/>
    <w:rsid w:val="00C275F2"/>
    <w:rsid w:val="00C27892"/>
    <w:rsid w:val="00C279AC"/>
    <w:rsid w:val="00C27D0A"/>
    <w:rsid w:val="00C27E56"/>
    <w:rsid w:val="00C27FE5"/>
    <w:rsid w:val="00C300B9"/>
    <w:rsid w:val="00C300D8"/>
    <w:rsid w:val="00C301C1"/>
    <w:rsid w:val="00C30328"/>
    <w:rsid w:val="00C303F7"/>
    <w:rsid w:val="00C30448"/>
    <w:rsid w:val="00C305BA"/>
    <w:rsid w:val="00C30609"/>
    <w:rsid w:val="00C30717"/>
    <w:rsid w:val="00C3071D"/>
    <w:rsid w:val="00C308F5"/>
    <w:rsid w:val="00C30906"/>
    <w:rsid w:val="00C3093A"/>
    <w:rsid w:val="00C30940"/>
    <w:rsid w:val="00C30AA9"/>
    <w:rsid w:val="00C30B81"/>
    <w:rsid w:val="00C30E09"/>
    <w:rsid w:val="00C31096"/>
    <w:rsid w:val="00C315B1"/>
    <w:rsid w:val="00C31637"/>
    <w:rsid w:val="00C317F0"/>
    <w:rsid w:val="00C31875"/>
    <w:rsid w:val="00C318F0"/>
    <w:rsid w:val="00C31912"/>
    <w:rsid w:val="00C31AD4"/>
    <w:rsid w:val="00C31BE5"/>
    <w:rsid w:val="00C31C7E"/>
    <w:rsid w:val="00C31C85"/>
    <w:rsid w:val="00C31E01"/>
    <w:rsid w:val="00C31F83"/>
    <w:rsid w:val="00C31FDF"/>
    <w:rsid w:val="00C3204D"/>
    <w:rsid w:val="00C32354"/>
    <w:rsid w:val="00C32407"/>
    <w:rsid w:val="00C324A0"/>
    <w:rsid w:val="00C32638"/>
    <w:rsid w:val="00C32719"/>
    <w:rsid w:val="00C327CF"/>
    <w:rsid w:val="00C32801"/>
    <w:rsid w:val="00C32A5D"/>
    <w:rsid w:val="00C32B82"/>
    <w:rsid w:val="00C32C77"/>
    <w:rsid w:val="00C32CCC"/>
    <w:rsid w:val="00C32F8B"/>
    <w:rsid w:val="00C3310A"/>
    <w:rsid w:val="00C3323F"/>
    <w:rsid w:val="00C332CA"/>
    <w:rsid w:val="00C3359A"/>
    <w:rsid w:val="00C3376A"/>
    <w:rsid w:val="00C33897"/>
    <w:rsid w:val="00C33917"/>
    <w:rsid w:val="00C339AA"/>
    <w:rsid w:val="00C33BC1"/>
    <w:rsid w:val="00C33BCD"/>
    <w:rsid w:val="00C33EC0"/>
    <w:rsid w:val="00C33FCE"/>
    <w:rsid w:val="00C33FCF"/>
    <w:rsid w:val="00C3401B"/>
    <w:rsid w:val="00C34159"/>
    <w:rsid w:val="00C34160"/>
    <w:rsid w:val="00C341A5"/>
    <w:rsid w:val="00C342CD"/>
    <w:rsid w:val="00C34329"/>
    <w:rsid w:val="00C344A8"/>
    <w:rsid w:val="00C345BD"/>
    <w:rsid w:val="00C3461C"/>
    <w:rsid w:val="00C3472C"/>
    <w:rsid w:val="00C347AB"/>
    <w:rsid w:val="00C34909"/>
    <w:rsid w:val="00C34ED5"/>
    <w:rsid w:val="00C35019"/>
    <w:rsid w:val="00C35041"/>
    <w:rsid w:val="00C35065"/>
    <w:rsid w:val="00C3512A"/>
    <w:rsid w:val="00C35133"/>
    <w:rsid w:val="00C35870"/>
    <w:rsid w:val="00C3589D"/>
    <w:rsid w:val="00C358A2"/>
    <w:rsid w:val="00C35AA5"/>
    <w:rsid w:val="00C35B71"/>
    <w:rsid w:val="00C35C2F"/>
    <w:rsid w:val="00C3617A"/>
    <w:rsid w:val="00C36197"/>
    <w:rsid w:val="00C36424"/>
    <w:rsid w:val="00C365C8"/>
    <w:rsid w:val="00C3660E"/>
    <w:rsid w:val="00C3666D"/>
    <w:rsid w:val="00C36C2F"/>
    <w:rsid w:val="00C36CC0"/>
    <w:rsid w:val="00C36F8C"/>
    <w:rsid w:val="00C37136"/>
    <w:rsid w:val="00C371C6"/>
    <w:rsid w:val="00C3722E"/>
    <w:rsid w:val="00C37279"/>
    <w:rsid w:val="00C37431"/>
    <w:rsid w:val="00C374C7"/>
    <w:rsid w:val="00C3758F"/>
    <w:rsid w:val="00C377DE"/>
    <w:rsid w:val="00C378DF"/>
    <w:rsid w:val="00C378F7"/>
    <w:rsid w:val="00C3797A"/>
    <w:rsid w:val="00C37AA6"/>
    <w:rsid w:val="00C37B3E"/>
    <w:rsid w:val="00C37B6C"/>
    <w:rsid w:val="00C37BBE"/>
    <w:rsid w:val="00C37C47"/>
    <w:rsid w:val="00C37C69"/>
    <w:rsid w:val="00C37FE3"/>
    <w:rsid w:val="00C403AF"/>
    <w:rsid w:val="00C40596"/>
    <w:rsid w:val="00C4061B"/>
    <w:rsid w:val="00C4076C"/>
    <w:rsid w:val="00C408BA"/>
    <w:rsid w:val="00C40ADF"/>
    <w:rsid w:val="00C40B75"/>
    <w:rsid w:val="00C40D51"/>
    <w:rsid w:val="00C40DBF"/>
    <w:rsid w:val="00C40FBA"/>
    <w:rsid w:val="00C40FF7"/>
    <w:rsid w:val="00C41022"/>
    <w:rsid w:val="00C41171"/>
    <w:rsid w:val="00C41374"/>
    <w:rsid w:val="00C4139C"/>
    <w:rsid w:val="00C41402"/>
    <w:rsid w:val="00C41409"/>
    <w:rsid w:val="00C41882"/>
    <w:rsid w:val="00C41A29"/>
    <w:rsid w:val="00C41A51"/>
    <w:rsid w:val="00C41A9E"/>
    <w:rsid w:val="00C41AD2"/>
    <w:rsid w:val="00C41B89"/>
    <w:rsid w:val="00C41C3F"/>
    <w:rsid w:val="00C41E46"/>
    <w:rsid w:val="00C41F80"/>
    <w:rsid w:val="00C42000"/>
    <w:rsid w:val="00C42060"/>
    <w:rsid w:val="00C42120"/>
    <w:rsid w:val="00C42144"/>
    <w:rsid w:val="00C42202"/>
    <w:rsid w:val="00C42287"/>
    <w:rsid w:val="00C42342"/>
    <w:rsid w:val="00C423D2"/>
    <w:rsid w:val="00C42490"/>
    <w:rsid w:val="00C427E4"/>
    <w:rsid w:val="00C42AEF"/>
    <w:rsid w:val="00C42BF4"/>
    <w:rsid w:val="00C42E02"/>
    <w:rsid w:val="00C42E83"/>
    <w:rsid w:val="00C42F61"/>
    <w:rsid w:val="00C42FC0"/>
    <w:rsid w:val="00C43176"/>
    <w:rsid w:val="00C4318C"/>
    <w:rsid w:val="00C43426"/>
    <w:rsid w:val="00C43599"/>
    <w:rsid w:val="00C435DC"/>
    <w:rsid w:val="00C436D1"/>
    <w:rsid w:val="00C43800"/>
    <w:rsid w:val="00C438A9"/>
    <w:rsid w:val="00C43DAE"/>
    <w:rsid w:val="00C43EC2"/>
    <w:rsid w:val="00C43EDF"/>
    <w:rsid w:val="00C43F71"/>
    <w:rsid w:val="00C43FB9"/>
    <w:rsid w:val="00C4410B"/>
    <w:rsid w:val="00C441EC"/>
    <w:rsid w:val="00C44224"/>
    <w:rsid w:val="00C443C5"/>
    <w:rsid w:val="00C44483"/>
    <w:rsid w:val="00C4461D"/>
    <w:rsid w:val="00C4488F"/>
    <w:rsid w:val="00C4498E"/>
    <w:rsid w:val="00C449C7"/>
    <w:rsid w:val="00C44B31"/>
    <w:rsid w:val="00C44CC3"/>
    <w:rsid w:val="00C44CD0"/>
    <w:rsid w:val="00C44EE3"/>
    <w:rsid w:val="00C44F80"/>
    <w:rsid w:val="00C44FB0"/>
    <w:rsid w:val="00C45057"/>
    <w:rsid w:val="00C451B3"/>
    <w:rsid w:val="00C45276"/>
    <w:rsid w:val="00C4527C"/>
    <w:rsid w:val="00C454BF"/>
    <w:rsid w:val="00C4558D"/>
    <w:rsid w:val="00C45591"/>
    <w:rsid w:val="00C455FE"/>
    <w:rsid w:val="00C45AEB"/>
    <w:rsid w:val="00C45AFD"/>
    <w:rsid w:val="00C45B7E"/>
    <w:rsid w:val="00C45B8C"/>
    <w:rsid w:val="00C45CD5"/>
    <w:rsid w:val="00C45E57"/>
    <w:rsid w:val="00C45EC8"/>
    <w:rsid w:val="00C46062"/>
    <w:rsid w:val="00C46063"/>
    <w:rsid w:val="00C4617F"/>
    <w:rsid w:val="00C46253"/>
    <w:rsid w:val="00C462B4"/>
    <w:rsid w:val="00C4633D"/>
    <w:rsid w:val="00C46803"/>
    <w:rsid w:val="00C46913"/>
    <w:rsid w:val="00C469D7"/>
    <w:rsid w:val="00C46AC6"/>
    <w:rsid w:val="00C46AF9"/>
    <w:rsid w:val="00C46B63"/>
    <w:rsid w:val="00C46FE3"/>
    <w:rsid w:val="00C47143"/>
    <w:rsid w:val="00C47175"/>
    <w:rsid w:val="00C471BC"/>
    <w:rsid w:val="00C4722F"/>
    <w:rsid w:val="00C47319"/>
    <w:rsid w:val="00C4746C"/>
    <w:rsid w:val="00C47791"/>
    <w:rsid w:val="00C47825"/>
    <w:rsid w:val="00C47873"/>
    <w:rsid w:val="00C478C4"/>
    <w:rsid w:val="00C47A20"/>
    <w:rsid w:val="00C47A9F"/>
    <w:rsid w:val="00C47B4B"/>
    <w:rsid w:val="00C47CBE"/>
    <w:rsid w:val="00C47CFD"/>
    <w:rsid w:val="00C50188"/>
    <w:rsid w:val="00C5038A"/>
    <w:rsid w:val="00C503CC"/>
    <w:rsid w:val="00C503F3"/>
    <w:rsid w:val="00C5079B"/>
    <w:rsid w:val="00C50826"/>
    <w:rsid w:val="00C50850"/>
    <w:rsid w:val="00C509D8"/>
    <w:rsid w:val="00C50BD7"/>
    <w:rsid w:val="00C50C9C"/>
    <w:rsid w:val="00C50EDC"/>
    <w:rsid w:val="00C50F24"/>
    <w:rsid w:val="00C50FC3"/>
    <w:rsid w:val="00C5117C"/>
    <w:rsid w:val="00C511B6"/>
    <w:rsid w:val="00C511E8"/>
    <w:rsid w:val="00C512C7"/>
    <w:rsid w:val="00C513D4"/>
    <w:rsid w:val="00C5166E"/>
    <w:rsid w:val="00C517C1"/>
    <w:rsid w:val="00C518DC"/>
    <w:rsid w:val="00C51BED"/>
    <w:rsid w:val="00C51CDF"/>
    <w:rsid w:val="00C51D8D"/>
    <w:rsid w:val="00C51F51"/>
    <w:rsid w:val="00C52013"/>
    <w:rsid w:val="00C5212F"/>
    <w:rsid w:val="00C522A1"/>
    <w:rsid w:val="00C52502"/>
    <w:rsid w:val="00C5251C"/>
    <w:rsid w:val="00C52558"/>
    <w:rsid w:val="00C526BE"/>
    <w:rsid w:val="00C528BB"/>
    <w:rsid w:val="00C52AEA"/>
    <w:rsid w:val="00C52BAF"/>
    <w:rsid w:val="00C52E19"/>
    <w:rsid w:val="00C53125"/>
    <w:rsid w:val="00C531CC"/>
    <w:rsid w:val="00C53251"/>
    <w:rsid w:val="00C533C4"/>
    <w:rsid w:val="00C53593"/>
    <w:rsid w:val="00C5377F"/>
    <w:rsid w:val="00C537E1"/>
    <w:rsid w:val="00C53811"/>
    <w:rsid w:val="00C53900"/>
    <w:rsid w:val="00C53970"/>
    <w:rsid w:val="00C53A5B"/>
    <w:rsid w:val="00C53C69"/>
    <w:rsid w:val="00C53D45"/>
    <w:rsid w:val="00C53D7A"/>
    <w:rsid w:val="00C53FDA"/>
    <w:rsid w:val="00C542C8"/>
    <w:rsid w:val="00C54342"/>
    <w:rsid w:val="00C54415"/>
    <w:rsid w:val="00C544B0"/>
    <w:rsid w:val="00C54EEA"/>
    <w:rsid w:val="00C54F3B"/>
    <w:rsid w:val="00C55025"/>
    <w:rsid w:val="00C5520F"/>
    <w:rsid w:val="00C55245"/>
    <w:rsid w:val="00C55371"/>
    <w:rsid w:val="00C55455"/>
    <w:rsid w:val="00C55774"/>
    <w:rsid w:val="00C557D1"/>
    <w:rsid w:val="00C558AA"/>
    <w:rsid w:val="00C55BD2"/>
    <w:rsid w:val="00C55C6E"/>
    <w:rsid w:val="00C55E1E"/>
    <w:rsid w:val="00C55EA2"/>
    <w:rsid w:val="00C56218"/>
    <w:rsid w:val="00C5631E"/>
    <w:rsid w:val="00C56389"/>
    <w:rsid w:val="00C56444"/>
    <w:rsid w:val="00C56520"/>
    <w:rsid w:val="00C56905"/>
    <w:rsid w:val="00C56C70"/>
    <w:rsid w:val="00C56FBB"/>
    <w:rsid w:val="00C57085"/>
    <w:rsid w:val="00C572D5"/>
    <w:rsid w:val="00C572FF"/>
    <w:rsid w:val="00C57587"/>
    <w:rsid w:val="00C57B1D"/>
    <w:rsid w:val="00C57D2B"/>
    <w:rsid w:val="00C57D7A"/>
    <w:rsid w:val="00C60153"/>
    <w:rsid w:val="00C60334"/>
    <w:rsid w:val="00C605BF"/>
    <w:rsid w:val="00C60691"/>
    <w:rsid w:val="00C60894"/>
    <w:rsid w:val="00C609AE"/>
    <w:rsid w:val="00C60C1A"/>
    <w:rsid w:val="00C60C96"/>
    <w:rsid w:val="00C610D6"/>
    <w:rsid w:val="00C614AF"/>
    <w:rsid w:val="00C61561"/>
    <w:rsid w:val="00C61575"/>
    <w:rsid w:val="00C617A3"/>
    <w:rsid w:val="00C6188B"/>
    <w:rsid w:val="00C62006"/>
    <w:rsid w:val="00C620E5"/>
    <w:rsid w:val="00C62124"/>
    <w:rsid w:val="00C622A8"/>
    <w:rsid w:val="00C624CC"/>
    <w:rsid w:val="00C62537"/>
    <w:rsid w:val="00C626EA"/>
    <w:rsid w:val="00C627F0"/>
    <w:rsid w:val="00C62837"/>
    <w:rsid w:val="00C6285F"/>
    <w:rsid w:val="00C629B8"/>
    <w:rsid w:val="00C62A0E"/>
    <w:rsid w:val="00C62A9F"/>
    <w:rsid w:val="00C62ABB"/>
    <w:rsid w:val="00C62CB4"/>
    <w:rsid w:val="00C6312A"/>
    <w:rsid w:val="00C63308"/>
    <w:rsid w:val="00C6330E"/>
    <w:rsid w:val="00C633EA"/>
    <w:rsid w:val="00C634A1"/>
    <w:rsid w:val="00C63732"/>
    <w:rsid w:val="00C63849"/>
    <w:rsid w:val="00C639E2"/>
    <w:rsid w:val="00C63CF9"/>
    <w:rsid w:val="00C63E84"/>
    <w:rsid w:val="00C640B4"/>
    <w:rsid w:val="00C64140"/>
    <w:rsid w:val="00C64321"/>
    <w:rsid w:val="00C643DE"/>
    <w:rsid w:val="00C645D8"/>
    <w:rsid w:val="00C6465C"/>
    <w:rsid w:val="00C64714"/>
    <w:rsid w:val="00C649C8"/>
    <w:rsid w:val="00C64B64"/>
    <w:rsid w:val="00C64C93"/>
    <w:rsid w:val="00C64F7D"/>
    <w:rsid w:val="00C64FB9"/>
    <w:rsid w:val="00C65102"/>
    <w:rsid w:val="00C6522A"/>
    <w:rsid w:val="00C65330"/>
    <w:rsid w:val="00C654C4"/>
    <w:rsid w:val="00C65769"/>
    <w:rsid w:val="00C65890"/>
    <w:rsid w:val="00C658CF"/>
    <w:rsid w:val="00C659D6"/>
    <w:rsid w:val="00C65A1D"/>
    <w:rsid w:val="00C660BC"/>
    <w:rsid w:val="00C660D9"/>
    <w:rsid w:val="00C6611B"/>
    <w:rsid w:val="00C6622F"/>
    <w:rsid w:val="00C66235"/>
    <w:rsid w:val="00C6629A"/>
    <w:rsid w:val="00C66413"/>
    <w:rsid w:val="00C66448"/>
    <w:rsid w:val="00C664B0"/>
    <w:rsid w:val="00C664B1"/>
    <w:rsid w:val="00C66594"/>
    <w:rsid w:val="00C66645"/>
    <w:rsid w:val="00C66691"/>
    <w:rsid w:val="00C666C2"/>
    <w:rsid w:val="00C66775"/>
    <w:rsid w:val="00C6686F"/>
    <w:rsid w:val="00C668A2"/>
    <w:rsid w:val="00C66975"/>
    <w:rsid w:val="00C66A54"/>
    <w:rsid w:val="00C66E92"/>
    <w:rsid w:val="00C67075"/>
    <w:rsid w:val="00C671D1"/>
    <w:rsid w:val="00C6727A"/>
    <w:rsid w:val="00C673E5"/>
    <w:rsid w:val="00C673E6"/>
    <w:rsid w:val="00C6767A"/>
    <w:rsid w:val="00C6768C"/>
    <w:rsid w:val="00C6779D"/>
    <w:rsid w:val="00C678A4"/>
    <w:rsid w:val="00C67922"/>
    <w:rsid w:val="00C67BA2"/>
    <w:rsid w:val="00C67C3D"/>
    <w:rsid w:val="00C67D1A"/>
    <w:rsid w:val="00C67E2D"/>
    <w:rsid w:val="00C67E85"/>
    <w:rsid w:val="00C700FA"/>
    <w:rsid w:val="00C7012E"/>
    <w:rsid w:val="00C702B1"/>
    <w:rsid w:val="00C7038D"/>
    <w:rsid w:val="00C70476"/>
    <w:rsid w:val="00C704FC"/>
    <w:rsid w:val="00C705CA"/>
    <w:rsid w:val="00C705F7"/>
    <w:rsid w:val="00C70721"/>
    <w:rsid w:val="00C707D4"/>
    <w:rsid w:val="00C7081D"/>
    <w:rsid w:val="00C709A1"/>
    <w:rsid w:val="00C70A4F"/>
    <w:rsid w:val="00C70A61"/>
    <w:rsid w:val="00C70CB3"/>
    <w:rsid w:val="00C70CFA"/>
    <w:rsid w:val="00C70D27"/>
    <w:rsid w:val="00C70EE5"/>
    <w:rsid w:val="00C70F3F"/>
    <w:rsid w:val="00C7102E"/>
    <w:rsid w:val="00C711C7"/>
    <w:rsid w:val="00C712FC"/>
    <w:rsid w:val="00C718A6"/>
    <w:rsid w:val="00C719BB"/>
    <w:rsid w:val="00C71CBB"/>
    <w:rsid w:val="00C71CD8"/>
    <w:rsid w:val="00C71D48"/>
    <w:rsid w:val="00C71E65"/>
    <w:rsid w:val="00C71F08"/>
    <w:rsid w:val="00C71FF5"/>
    <w:rsid w:val="00C720BE"/>
    <w:rsid w:val="00C720C3"/>
    <w:rsid w:val="00C7212B"/>
    <w:rsid w:val="00C72225"/>
    <w:rsid w:val="00C722B3"/>
    <w:rsid w:val="00C7237D"/>
    <w:rsid w:val="00C724BC"/>
    <w:rsid w:val="00C72596"/>
    <w:rsid w:val="00C72630"/>
    <w:rsid w:val="00C72679"/>
    <w:rsid w:val="00C72A6F"/>
    <w:rsid w:val="00C72AC5"/>
    <w:rsid w:val="00C72ADE"/>
    <w:rsid w:val="00C72B4F"/>
    <w:rsid w:val="00C72B5F"/>
    <w:rsid w:val="00C72C2E"/>
    <w:rsid w:val="00C72C55"/>
    <w:rsid w:val="00C72E27"/>
    <w:rsid w:val="00C7316E"/>
    <w:rsid w:val="00C732EA"/>
    <w:rsid w:val="00C73658"/>
    <w:rsid w:val="00C73733"/>
    <w:rsid w:val="00C7378E"/>
    <w:rsid w:val="00C7382F"/>
    <w:rsid w:val="00C739AD"/>
    <w:rsid w:val="00C739D7"/>
    <w:rsid w:val="00C739DC"/>
    <w:rsid w:val="00C73CC7"/>
    <w:rsid w:val="00C73E32"/>
    <w:rsid w:val="00C73E8A"/>
    <w:rsid w:val="00C73F3C"/>
    <w:rsid w:val="00C74100"/>
    <w:rsid w:val="00C741E7"/>
    <w:rsid w:val="00C742A9"/>
    <w:rsid w:val="00C743E0"/>
    <w:rsid w:val="00C744F1"/>
    <w:rsid w:val="00C74668"/>
    <w:rsid w:val="00C74735"/>
    <w:rsid w:val="00C748CE"/>
    <w:rsid w:val="00C74A2F"/>
    <w:rsid w:val="00C74AC8"/>
    <w:rsid w:val="00C74D12"/>
    <w:rsid w:val="00C74EB0"/>
    <w:rsid w:val="00C75195"/>
    <w:rsid w:val="00C75286"/>
    <w:rsid w:val="00C7553E"/>
    <w:rsid w:val="00C7554E"/>
    <w:rsid w:val="00C75870"/>
    <w:rsid w:val="00C75959"/>
    <w:rsid w:val="00C75A35"/>
    <w:rsid w:val="00C75A78"/>
    <w:rsid w:val="00C75AC5"/>
    <w:rsid w:val="00C75AE5"/>
    <w:rsid w:val="00C75B06"/>
    <w:rsid w:val="00C75E1F"/>
    <w:rsid w:val="00C75EA0"/>
    <w:rsid w:val="00C763B0"/>
    <w:rsid w:val="00C76648"/>
    <w:rsid w:val="00C76933"/>
    <w:rsid w:val="00C76A5A"/>
    <w:rsid w:val="00C76ABA"/>
    <w:rsid w:val="00C76C6F"/>
    <w:rsid w:val="00C76C73"/>
    <w:rsid w:val="00C76CD0"/>
    <w:rsid w:val="00C77085"/>
    <w:rsid w:val="00C77205"/>
    <w:rsid w:val="00C772C0"/>
    <w:rsid w:val="00C77340"/>
    <w:rsid w:val="00C7740E"/>
    <w:rsid w:val="00C77417"/>
    <w:rsid w:val="00C774C7"/>
    <w:rsid w:val="00C775E9"/>
    <w:rsid w:val="00C779C7"/>
    <w:rsid w:val="00C77A8C"/>
    <w:rsid w:val="00C77C30"/>
    <w:rsid w:val="00C77EC6"/>
    <w:rsid w:val="00C77F4B"/>
    <w:rsid w:val="00C77F9F"/>
    <w:rsid w:val="00C77FD8"/>
    <w:rsid w:val="00C80102"/>
    <w:rsid w:val="00C8061E"/>
    <w:rsid w:val="00C80632"/>
    <w:rsid w:val="00C806D7"/>
    <w:rsid w:val="00C806E5"/>
    <w:rsid w:val="00C80725"/>
    <w:rsid w:val="00C80762"/>
    <w:rsid w:val="00C807A6"/>
    <w:rsid w:val="00C807E8"/>
    <w:rsid w:val="00C808C6"/>
    <w:rsid w:val="00C808DB"/>
    <w:rsid w:val="00C80924"/>
    <w:rsid w:val="00C80B02"/>
    <w:rsid w:val="00C80C83"/>
    <w:rsid w:val="00C80D94"/>
    <w:rsid w:val="00C80E4B"/>
    <w:rsid w:val="00C80E8D"/>
    <w:rsid w:val="00C80F00"/>
    <w:rsid w:val="00C80F20"/>
    <w:rsid w:val="00C80FFB"/>
    <w:rsid w:val="00C810B4"/>
    <w:rsid w:val="00C8123A"/>
    <w:rsid w:val="00C812C3"/>
    <w:rsid w:val="00C815A4"/>
    <w:rsid w:val="00C818AE"/>
    <w:rsid w:val="00C8193B"/>
    <w:rsid w:val="00C8195C"/>
    <w:rsid w:val="00C819E6"/>
    <w:rsid w:val="00C81D1C"/>
    <w:rsid w:val="00C81D31"/>
    <w:rsid w:val="00C8201F"/>
    <w:rsid w:val="00C823C1"/>
    <w:rsid w:val="00C823DA"/>
    <w:rsid w:val="00C826E2"/>
    <w:rsid w:val="00C82764"/>
    <w:rsid w:val="00C82A4F"/>
    <w:rsid w:val="00C82BB3"/>
    <w:rsid w:val="00C82CD4"/>
    <w:rsid w:val="00C82CF5"/>
    <w:rsid w:val="00C82FB1"/>
    <w:rsid w:val="00C83213"/>
    <w:rsid w:val="00C83229"/>
    <w:rsid w:val="00C83279"/>
    <w:rsid w:val="00C83333"/>
    <w:rsid w:val="00C835F7"/>
    <w:rsid w:val="00C8381E"/>
    <w:rsid w:val="00C83BE9"/>
    <w:rsid w:val="00C83BFE"/>
    <w:rsid w:val="00C83C75"/>
    <w:rsid w:val="00C83DEB"/>
    <w:rsid w:val="00C8401D"/>
    <w:rsid w:val="00C8419A"/>
    <w:rsid w:val="00C84466"/>
    <w:rsid w:val="00C84B2A"/>
    <w:rsid w:val="00C84BC1"/>
    <w:rsid w:val="00C84C50"/>
    <w:rsid w:val="00C85067"/>
    <w:rsid w:val="00C85394"/>
    <w:rsid w:val="00C854C4"/>
    <w:rsid w:val="00C854DA"/>
    <w:rsid w:val="00C85506"/>
    <w:rsid w:val="00C85739"/>
    <w:rsid w:val="00C857F2"/>
    <w:rsid w:val="00C85879"/>
    <w:rsid w:val="00C85AA5"/>
    <w:rsid w:val="00C8611F"/>
    <w:rsid w:val="00C86210"/>
    <w:rsid w:val="00C8637B"/>
    <w:rsid w:val="00C86672"/>
    <w:rsid w:val="00C8675B"/>
    <w:rsid w:val="00C867B0"/>
    <w:rsid w:val="00C86B81"/>
    <w:rsid w:val="00C86C85"/>
    <w:rsid w:val="00C86E58"/>
    <w:rsid w:val="00C86F7D"/>
    <w:rsid w:val="00C87445"/>
    <w:rsid w:val="00C875C3"/>
    <w:rsid w:val="00C8779E"/>
    <w:rsid w:val="00C87906"/>
    <w:rsid w:val="00C87A10"/>
    <w:rsid w:val="00C87AC0"/>
    <w:rsid w:val="00C87B95"/>
    <w:rsid w:val="00C90138"/>
    <w:rsid w:val="00C9047F"/>
    <w:rsid w:val="00C9063C"/>
    <w:rsid w:val="00C906BD"/>
    <w:rsid w:val="00C90789"/>
    <w:rsid w:val="00C90841"/>
    <w:rsid w:val="00C90946"/>
    <w:rsid w:val="00C909FE"/>
    <w:rsid w:val="00C90B8B"/>
    <w:rsid w:val="00C90D1D"/>
    <w:rsid w:val="00C90D61"/>
    <w:rsid w:val="00C90EC0"/>
    <w:rsid w:val="00C90EDC"/>
    <w:rsid w:val="00C9134C"/>
    <w:rsid w:val="00C9158E"/>
    <w:rsid w:val="00C916B9"/>
    <w:rsid w:val="00C917A7"/>
    <w:rsid w:val="00C9185E"/>
    <w:rsid w:val="00C91C34"/>
    <w:rsid w:val="00C91CEC"/>
    <w:rsid w:val="00C91EA3"/>
    <w:rsid w:val="00C91F41"/>
    <w:rsid w:val="00C92140"/>
    <w:rsid w:val="00C923A9"/>
    <w:rsid w:val="00C925E4"/>
    <w:rsid w:val="00C927C7"/>
    <w:rsid w:val="00C92B40"/>
    <w:rsid w:val="00C92BD8"/>
    <w:rsid w:val="00C92C96"/>
    <w:rsid w:val="00C92EB4"/>
    <w:rsid w:val="00C92F01"/>
    <w:rsid w:val="00C92F2B"/>
    <w:rsid w:val="00C92F8D"/>
    <w:rsid w:val="00C92FC2"/>
    <w:rsid w:val="00C93213"/>
    <w:rsid w:val="00C93471"/>
    <w:rsid w:val="00C939B5"/>
    <w:rsid w:val="00C93A98"/>
    <w:rsid w:val="00C93B15"/>
    <w:rsid w:val="00C93B4F"/>
    <w:rsid w:val="00C93D58"/>
    <w:rsid w:val="00C93F3C"/>
    <w:rsid w:val="00C94098"/>
    <w:rsid w:val="00C9412B"/>
    <w:rsid w:val="00C942A8"/>
    <w:rsid w:val="00C94586"/>
    <w:rsid w:val="00C946AB"/>
    <w:rsid w:val="00C94836"/>
    <w:rsid w:val="00C94990"/>
    <w:rsid w:val="00C94AC8"/>
    <w:rsid w:val="00C94CB9"/>
    <w:rsid w:val="00C94E4C"/>
    <w:rsid w:val="00C94F16"/>
    <w:rsid w:val="00C94FC8"/>
    <w:rsid w:val="00C951B4"/>
    <w:rsid w:val="00C952A7"/>
    <w:rsid w:val="00C95597"/>
    <w:rsid w:val="00C955C9"/>
    <w:rsid w:val="00C9582C"/>
    <w:rsid w:val="00C95843"/>
    <w:rsid w:val="00C95943"/>
    <w:rsid w:val="00C95A3D"/>
    <w:rsid w:val="00C95ADD"/>
    <w:rsid w:val="00C95DF8"/>
    <w:rsid w:val="00C95EEC"/>
    <w:rsid w:val="00C960A3"/>
    <w:rsid w:val="00C961B8"/>
    <w:rsid w:val="00C962A8"/>
    <w:rsid w:val="00C963B1"/>
    <w:rsid w:val="00C965DF"/>
    <w:rsid w:val="00C9674A"/>
    <w:rsid w:val="00C96A5D"/>
    <w:rsid w:val="00C96ADF"/>
    <w:rsid w:val="00C96AE8"/>
    <w:rsid w:val="00C96D64"/>
    <w:rsid w:val="00C96DBF"/>
    <w:rsid w:val="00C96DD1"/>
    <w:rsid w:val="00C96DDA"/>
    <w:rsid w:val="00C96F3E"/>
    <w:rsid w:val="00C970D5"/>
    <w:rsid w:val="00C970D8"/>
    <w:rsid w:val="00C971FA"/>
    <w:rsid w:val="00C97294"/>
    <w:rsid w:val="00C972D6"/>
    <w:rsid w:val="00C97427"/>
    <w:rsid w:val="00C975BA"/>
    <w:rsid w:val="00C9761E"/>
    <w:rsid w:val="00C9764C"/>
    <w:rsid w:val="00C9767B"/>
    <w:rsid w:val="00C97683"/>
    <w:rsid w:val="00C976AB"/>
    <w:rsid w:val="00C977C9"/>
    <w:rsid w:val="00C97948"/>
    <w:rsid w:val="00C979DE"/>
    <w:rsid w:val="00C97E5B"/>
    <w:rsid w:val="00C97E7C"/>
    <w:rsid w:val="00C97EE9"/>
    <w:rsid w:val="00C97FE6"/>
    <w:rsid w:val="00CA020F"/>
    <w:rsid w:val="00CA0231"/>
    <w:rsid w:val="00CA0250"/>
    <w:rsid w:val="00CA04BA"/>
    <w:rsid w:val="00CA05E8"/>
    <w:rsid w:val="00CA080D"/>
    <w:rsid w:val="00CA08C0"/>
    <w:rsid w:val="00CA08E7"/>
    <w:rsid w:val="00CA0914"/>
    <w:rsid w:val="00CA0C5E"/>
    <w:rsid w:val="00CA0D68"/>
    <w:rsid w:val="00CA0DBD"/>
    <w:rsid w:val="00CA1130"/>
    <w:rsid w:val="00CA1157"/>
    <w:rsid w:val="00CA130E"/>
    <w:rsid w:val="00CA163A"/>
    <w:rsid w:val="00CA1753"/>
    <w:rsid w:val="00CA1791"/>
    <w:rsid w:val="00CA17A6"/>
    <w:rsid w:val="00CA17B3"/>
    <w:rsid w:val="00CA1956"/>
    <w:rsid w:val="00CA19B3"/>
    <w:rsid w:val="00CA1A95"/>
    <w:rsid w:val="00CA1B0E"/>
    <w:rsid w:val="00CA1B7D"/>
    <w:rsid w:val="00CA1B8D"/>
    <w:rsid w:val="00CA1D5E"/>
    <w:rsid w:val="00CA22EF"/>
    <w:rsid w:val="00CA2411"/>
    <w:rsid w:val="00CA25E8"/>
    <w:rsid w:val="00CA2690"/>
    <w:rsid w:val="00CA28AA"/>
    <w:rsid w:val="00CA28BE"/>
    <w:rsid w:val="00CA2A27"/>
    <w:rsid w:val="00CA2C86"/>
    <w:rsid w:val="00CA2DBC"/>
    <w:rsid w:val="00CA2E46"/>
    <w:rsid w:val="00CA2E9B"/>
    <w:rsid w:val="00CA2EED"/>
    <w:rsid w:val="00CA3020"/>
    <w:rsid w:val="00CA30B4"/>
    <w:rsid w:val="00CA311C"/>
    <w:rsid w:val="00CA320E"/>
    <w:rsid w:val="00CA3346"/>
    <w:rsid w:val="00CA33B8"/>
    <w:rsid w:val="00CA33FE"/>
    <w:rsid w:val="00CA3479"/>
    <w:rsid w:val="00CA3480"/>
    <w:rsid w:val="00CA3582"/>
    <w:rsid w:val="00CA3589"/>
    <w:rsid w:val="00CA358C"/>
    <w:rsid w:val="00CA3660"/>
    <w:rsid w:val="00CA3891"/>
    <w:rsid w:val="00CA3B89"/>
    <w:rsid w:val="00CA3F78"/>
    <w:rsid w:val="00CA4029"/>
    <w:rsid w:val="00CA41AC"/>
    <w:rsid w:val="00CA43C5"/>
    <w:rsid w:val="00CA452D"/>
    <w:rsid w:val="00CA4555"/>
    <w:rsid w:val="00CA4611"/>
    <w:rsid w:val="00CA47BE"/>
    <w:rsid w:val="00CA47DD"/>
    <w:rsid w:val="00CA4809"/>
    <w:rsid w:val="00CA482A"/>
    <w:rsid w:val="00CA4E01"/>
    <w:rsid w:val="00CA4EAF"/>
    <w:rsid w:val="00CA5086"/>
    <w:rsid w:val="00CA50B1"/>
    <w:rsid w:val="00CA5148"/>
    <w:rsid w:val="00CA5273"/>
    <w:rsid w:val="00CA527E"/>
    <w:rsid w:val="00CA5477"/>
    <w:rsid w:val="00CA56D3"/>
    <w:rsid w:val="00CA5777"/>
    <w:rsid w:val="00CA578E"/>
    <w:rsid w:val="00CA585F"/>
    <w:rsid w:val="00CA587E"/>
    <w:rsid w:val="00CA58FC"/>
    <w:rsid w:val="00CA5B20"/>
    <w:rsid w:val="00CA5D05"/>
    <w:rsid w:val="00CA5D09"/>
    <w:rsid w:val="00CA5D3B"/>
    <w:rsid w:val="00CA5F6B"/>
    <w:rsid w:val="00CA5FD3"/>
    <w:rsid w:val="00CA600E"/>
    <w:rsid w:val="00CA6046"/>
    <w:rsid w:val="00CA61CA"/>
    <w:rsid w:val="00CA620B"/>
    <w:rsid w:val="00CA6466"/>
    <w:rsid w:val="00CA65E2"/>
    <w:rsid w:val="00CA696F"/>
    <w:rsid w:val="00CA6979"/>
    <w:rsid w:val="00CA69D2"/>
    <w:rsid w:val="00CA6A76"/>
    <w:rsid w:val="00CA6B20"/>
    <w:rsid w:val="00CA6B75"/>
    <w:rsid w:val="00CA6C62"/>
    <w:rsid w:val="00CA6F44"/>
    <w:rsid w:val="00CA6F75"/>
    <w:rsid w:val="00CA7554"/>
    <w:rsid w:val="00CA76A0"/>
    <w:rsid w:val="00CA78E5"/>
    <w:rsid w:val="00CA7A51"/>
    <w:rsid w:val="00CA7B0D"/>
    <w:rsid w:val="00CA7B8D"/>
    <w:rsid w:val="00CA7CD2"/>
    <w:rsid w:val="00CB006F"/>
    <w:rsid w:val="00CB014C"/>
    <w:rsid w:val="00CB019F"/>
    <w:rsid w:val="00CB01E8"/>
    <w:rsid w:val="00CB021F"/>
    <w:rsid w:val="00CB0566"/>
    <w:rsid w:val="00CB0D00"/>
    <w:rsid w:val="00CB0F0A"/>
    <w:rsid w:val="00CB116F"/>
    <w:rsid w:val="00CB1196"/>
    <w:rsid w:val="00CB11D9"/>
    <w:rsid w:val="00CB11EA"/>
    <w:rsid w:val="00CB130F"/>
    <w:rsid w:val="00CB1428"/>
    <w:rsid w:val="00CB1664"/>
    <w:rsid w:val="00CB1683"/>
    <w:rsid w:val="00CB1829"/>
    <w:rsid w:val="00CB196F"/>
    <w:rsid w:val="00CB19BF"/>
    <w:rsid w:val="00CB1CA5"/>
    <w:rsid w:val="00CB1F9F"/>
    <w:rsid w:val="00CB20B3"/>
    <w:rsid w:val="00CB23EB"/>
    <w:rsid w:val="00CB244C"/>
    <w:rsid w:val="00CB247F"/>
    <w:rsid w:val="00CB266A"/>
    <w:rsid w:val="00CB28B6"/>
    <w:rsid w:val="00CB2966"/>
    <w:rsid w:val="00CB2B6A"/>
    <w:rsid w:val="00CB2D89"/>
    <w:rsid w:val="00CB2DE0"/>
    <w:rsid w:val="00CB2E61"/>
    <w:rsid w:val="00CB3158"/>
    <w:rsid w:val="00CB319A"/>
    <w:rsid w:val="00CB3219"/>
    <w:rsid w:val="00CB3375"/>
    <w:rsid w:val="00CB349C"/>
    <w:rsid w:val="00CB3621"/>
    <w:rsid w:val="00CB36B0"/>
    <w:rsid w:val="00CB3E93"/>
    <w:rsid w:val="00CB3E9A"/>
    <w:rsid w:val="00CB3F74"/>
    <w:rsid w:val="00CB3FE1"/>
    <w:rsid w:val="00CB41E0"/>
    <w:rsid w:val="00CB4252"/>
    <w:rsid w:val="00CB4268"/>
    <w:rsid w:val="00CB4300"/>
    <w:rsid w:val="00CB43DF"/>
    <w:rsid w:val="00CB446A"/>
    <w:rsid w:val="00CB45F9"/>
    <w:rsid w:val="00CB4646"/>
    <w:rsid w:val="00CB47BD"/>
    <w:rsid w:val="00CB4D68"/>
    <w:rsid w:val="00CB4E59"/>
    <w:rsid w:val="00CB4FA7"/>
    <w:rsid w:val="00CB50D3"/>
    <w:rsid w:val="00CB5111"/>
    <w:rsid w:val="00CB512E"/>
    <w:rsid w:val="00CB5279"/>
    <w:rsid w:val="00CB5591"/>
    <w:rsid w:val="00CB55D1"/>
    <w:rsid w:val="00CB57C1"/>
    <w:rsid w:val="00CB5819"/>
    <w:rsid w:val="00CB5893"/>
    <w:rsid w:val="00CB5C04"/>
    <w:rsid w:val="00CB5D23"/>
    <w:rsid w:val="00CB5FB3"/>
    <w:rsid w:val="00CB600F"/>
    <w:rsid w:val="00CB60D7"/>
    <w:rsid w:val="00CB6428"/>
    <w:rsid w:val="00CB64F9"/>
    <w:rsid w:val="00CB654E"/>
    <w:rsid w:val="00CB662C"/>
    <w:rsid w:val="00CB6648"/>
    <w:rsid w:val="00CB6872"/>
    <w:rsid w:val="00CB68C1"/>
    <w:rsid w:val="00CB6A08"/>
    <w:rsid w:val="00CB6B6A"/>
    <w:rsid w:val="00CB6D6A"/>
    <w:rsid w:val="00CB6D80"/>
    <w:rsid w:val="00CB6DC2"/>
    <w:rsid w:val="00CB6E59"/>
    <w:rsid w:val="00CB6ED3"/>
    <w:rsid w:val="00CB714A"/>
    <w:rsid w:val="00CB72E1"/>
    <w:rsid w:val="00CB7342"/>
    <w:rsid w:val="00CB736C"/>
    <w:rsid w:val="00CB743E"/>
    <w:rsid w:val="00CB753F"/>
    <w:rsid w:val="00CB75CE"/>
    <w:rsid w:val="00CB77FD"/>
    <w:rsid w:val="00CB78AB"/>
    <w:rsid w:val="00CB7BAB"/>
    <w:rsid w:val="00CB7BB4"/>
    <w:rsid w:val="00CB7BF5"/>
    <w:rsid w:val="00CB7C8D"/>
    <w:rsid w:val="00CB7D87"/>
    <w:rsid w:val="00CB7F4F"/>
    <w:rsid w:val="00CB7F92"/>
    <w:rsid w:val="00CB7FB8"/>
    <w:rsid w:val="00CC0101"/>
    <w:rsid w:val="00CC054D"/>
    <w:rsid w:val="00CC079C"/>
    <w:rsid w:val="00CC07DE"/>
    <w:rsid w:val="00CC08CE"/>
    <w:rsid w:val="00CC0931"/>
    <w:rsid w:val="00CC0995"/>
    <w:rsid w:val="00CC0C18"/>
    <w:rsid w:val="00CC0C90"/>
    <w:rsid w:val="00CC0E5D"/>
    <w:rsid w:val="00CC0ED1"/>
    <w:rsid w:val="00CC0F45"/>
    <w:rsid w:val="00CC0F48"/>
    <w:rsid w:val="00CC0FB8"/>
    <w:rsid w:val="00CC104B"/>
    <w:rsid w:val="00CC10B4"/>
    <w:rsid w:val="00CC11C5"/>
    <w:rsid w:val="00CC1295"/>
    <w:rsid w:val="00CC131F"/>
    <w:rsid w:val="00CC143B"/>
    <w:rsid w:val="00CC156A"/>
    <w:rsid w:val="00CC1800"/>
    <w:rsid w:val="00CC1847"/>
    <w:rsid w:val="00CC1D3F"/>
    <w:rsid w:val="00CC1DD6"/>
    <w:rsid w:val="00CC1F02"/>
    <w:rsid w:val="00CC1FE4"/>
    <w:rsid w:val="00CC1FFF"/>
    <w:rsid w:val="00CC21C0"/>
    <w:rsid w:val="00CC22E5"/>
    <w:rsid w:val="00CC2478"/>
    <w:rsid w:val="00CC24EA"/>
    <w:rsid w:val="00CC24EC"/>
    <w:rsid w:val="00CC2518"/>
    <w:rsid w:val="00CC2550"/>
    <w:rsid w:val="00CC25E2"/>
    <w:rsid w:val="00CC2685"/>
    <w:rsid w:val="00CC26E8"/>
    <w:rsid w:val="00CC2912"/>
    <w:rsid w:val="00CC2BA0"/>
    <w:rsid w:val="00CC2E5E"/>
    <w:rsid w:val="00CC3039"/>
    <w:rsid w:val="00CC3111"/>
    <w:rsid w:val="00CC33C7"/>
    <w:rsid w:val="00CC3815"/>
    <w:rsid w:val="00CC3AB5"/>
    <w:rsid w:val="00CC3E9B"/>
    <w:rsid w:val="00CC40F6"/>
    <w:rsid w:val="00CC4167"/>
    <w:rsid w:val="00CC4324"/>
    <w:rsid w:val="00CC434F"/>
    <w:rsid w:val="00CC4398"/>
    <w:rsid w:val="00CC439B"/>
    <w:rsid w:val="00CC4479"/>
    <w:rsid w:val="00CC44D4"/>
    <w:rsid w:val="00CC4621"/>
    <w:rsid w:val="00CC47E6"/>
    <w:rsid w:val="00CC4991"/>
    <w:rsid w:val="00CC4A75"/>
    <w:rsid w:val="00CC4AA2"/>
    <w:rsid w:val="00CC4C6A"/>
    <w:rsid w:val="00CC4D2F"/>
    <w:rsid w:val="00CC4D7B"/>
    <w:rsid w:val="00CC4DF4"/>
    <w:rsid w:val="00CC4FCC"/>
    <w:rsid w:val="00CC5205"/>
    <w:rsid w:val="00CC5212"/>
    <w:rsid w:val="00CC5327"/>
    <w:rsid w:val="00CC537D"/>
    <w:rsid w:val="00CC5428"/>
    <w:rsid w:val="00CC5452"/>
    <w:rsid w:val="00CC5555"/>
    <w:rsid w:val="00CC55F1"/>
    <w:rsid w:val="00CC5817"/>
    <w:rsid w:val="00CC582D"/>
    <w:rsid w:val="00CC58BC"/>
    <w:rsid w:val="00CC59F5"/>
    <w:rsid w:val="00CC5A93"/>
    <w:rsid w:val="00CC5B22"/>
    <w:rsid w:val="00CC5B25"/>
    <w:rsid w:val="00CC5E6C"/>
    <w:rsid w:val="00CC5EA7"/>
    <w:rsid w:val="00CC5F19"/>
    <w:rsid w:val="00CC5FDE"/>
    <w:rsid w:val="00CC601C"/>
    <w:rsid w:val="00CC6052"/>
    <w:rsid w:val="00CC6202"/>
    <w:rsid w:val="00CC63F8"/>
    <w:rsid w:val="00CC64D1"/>
    <w:rsid w:val="00CC664F"/>
    <w:rsid w:val="00CC665E"/>
    <w:rsid w:val="00CC667D"/>
    <w:rsid w:val="00CC6683"/>
    <w:rsid w:val="00CC67D1"/>
    <w:rsid w:val="00CC6A21"/>
    <w:rsid w:val="00CC6CA8"/>
    <w:rsid w:val="00CC6D3A"/>
    <w:rsid w:val="00CC6DC5"/>
    <w:rsid w:val="00CC6E44"/>
    <w:rsid w:val="00CC6F7E"/>
    <w:rsid w:val="00CC6F99"/>
    <w:rsid w:val="00CC70B8"/>
    <w:rsid w:val="00CC755B"/>
    <w:rsid w:val="00CC77C9"/>
    <w:rsid w:val="00CC78CC"/>
    <w:rsid w:val="00CC7BDE"/>
    <w:rsid w:val="00CC7C6A"/>
    <w:rsid w:val="00CC7CAF"/>
    <w:rsid w:val="00CD0219"/>
    <w:rsid w:val="00CD0252"/>
    <w:rsid w:val="00CD032A"/>
    <w:rsid w:val="00CD035A"/>
    <w:rsid w:val="00CD03DF"/>
    <w:rsid w:val="00CD040D"/>
    <w:rsid w:val="00CD0540"/>
    <w:rsid w:val="00CD0647"/>
    <w:rsid w:val="00CD0767"/>
    <w:rsid w:val="00CD08E4"/>
    <w:rsid w:val="00CD098B"/>
    <w:rsid w:val="00CD0AA5"/>
    <w:rsid w:val="00CD0AD2"/>
    <w:rsid w:val="00CD0B58"/>
    <w:rsid w:val="00CD0C93"/>
    <w:rsid w:val="00CD0CE2"/>
    <w:rsid w:val="00CD0DDC"/>
    <w:rsid w:val="00CD0F1F"/>
    <w:rsid w:val="00CD0FC2"/>
    <w:rsid w:val="00CD0FCB"/>
    <w:rsid w:val="00CD12AC"/>
    <w:rsid w:val="00CD1355"/>
    <w:rsid w:val="00CD15A5"/>
    <w:rsid w:val="00CD1617"/>
    <w:rsid w:val="00CD17D9"/>
    <w:rsid w:val="00CD1852"/>
    <w:rsid w:val="00CD1991"/>
    <w:rsid w:val="00CD1A0C"/>
    <w:rsid w:val="00CD1C79"/>
    <w:rsid w:val="00CD1D53"/>
    <w:rsid w:val="00CD1DEA"/>
    <w:rsid w:val="00CD1DED"/>
    <w:rsid w:val="00CD1DFE"/>
    <w:rsid w:val="00CD21B0"/>
    <w:rsid w:val="00CD2216"/>
    <w:rsid w:val="00CD2350"/>
    <w:rsid w:val="00CD24D4"/>
    <w:rsid w:val="00CD2797"/>
    <w:rsid w:val="00CD27A2"/>
    <w:rsid w:val="00CD289A"/>
    <w:rsid w:val="00CD28A2"/>
    <w:rsid w:val="00CD28BA"/>
    <w:rsid w:val="00CD2A01"/>
    <w:rsid w:val="00CD2A1D"/>
    <w:rsid w:val="00CD2B0A"/>
    <w:rsid w:val="00CD2B38"/>
    <w:rsid w:val="00CD2B8A"/>
    <w:rsid w:val="00CD2BC1"/>
    <w:rsid w:val="00CD2D01"/>
    <w:rsid w:val="00CD2E2C"/>
    <w:rsid w:val="00CD2F15"/>
    <w:rsid w:val="00CD3037"/>
    <w:rsid w:val="00CD308C"/>
    <w:rsid w:val="00CD3097"/>
    <w:rsid w:val="00CD31B8"/>
    <w:rsid w:val="00CD31DE"/>
    <w:rsid w:val="00CD320F"/>
    <w:rsid w:val="00CD3551"/>
    <w:rsid w:val="00CD35D4"/>
    <w:rsid w:val="00CD3743"/>
    <w:rsid w:val="00CD3754"/>
    <w:rsid w:val="00CD38DF"/>
    <w:rsid w:val="00CD3A63"/>
    <w:rsid w:val="00CD3C4B"/>
    <w:rsid w:val="00CD3EBA"/>
    <w:rsid w:val="00CD3F32"/>
    <w:rsid w:val="00CD3F4F"/>
    <w:rsid w:val="00CD3FCE"/>
    <w:rsid w:val="00CD40AE"/>
    <w:rsid w:val="00CD4122"/>
    <w:rsid w:val="00CD4172"/>
    <w:rsid w:val="00CD41C7"/>
    <w:rsid w:val="00CD41FB"/>
    <w:rsid w:val="00CD42D4"/>
    <w:rsid w:val="00CD447F"/>
    <w:rsid w:val="00CD44FB"/>
    <w:rsid w:val="00CD450B"/>
    <w:rsid w:val="00CD4526"/>
    <w:rsid w:val="00CD47EF"/>
    <w:rsid w:val="00CD4ABA"/>
    <w:rsid w:val="00CD4BFC"/>
    <w:rsid w:val="00CD4C50"/>
    <w:rsid w:val="00CD4E0A"/>
    <w:rsid w:val="00CD4E18"/>
    <w:rsid w:val="00CD4E91"/>
    <w:rsid w:val="00CD4ECC"/>
    <w:rsid w:val="00CD4F8E"/>
    <w:rsid w:val="00CD50C3"/>
    <w:rsid w:val="00CD50D3"/>
    <w:rsid w:val="00CD50E2"/>
    <w:rsid w:val="00CD51C0"/>
    <w:rsid w:val="00CD51C9"/>
    <w:rsid w:val="00CD52CE"/>
    <w:rsid w:val="00CD5455"/>
    <w:rsid w:val="00CD5590"/>
    <w:rsid w:val="00CD5949"/>
    <w:rsid w:val="00CD5A2F"/>
    <w:rsid w:val="00CD5C5D"/>
    <w:rsid w:val="00CD5C9F"/>
    <w:rsid w:val="00CD5D40"/>
    <w:rsid w:val="00CD5D69"/>
    <w:rsid w:val="00CD6065"/>
    <w:rsid w:val="00CD6249"/>
    <w:rsid w:val="00CD658C"/>
    <w:rsid w:val="00CD671C"/>
    <w:rsid w:val="00CD67C9"/>
    <w:rsid w:val="00CD6821"/>
    <w:rsid w:val="00CD6AB3"/>
    <w:rsid w:val="00CD6B99"/>
    <w:rsid w:val="00CD6C7C"/>
    <w:rsid w:val="00CD6CC5"/>
    <w:rsid w:val="00CD6D06"/>
    <w:rsid w:val="00CD6D78"/>
    <w:rsid w:val="00CD6DB4"/>
    <w:rsid w:val="00CD6DE5"/>
    <w:rsid w:val="00CD6E36"/>
    <w:rsid w:val="00CD6E3A"/>
    <w:rsid w:val="00CD7223"/>
    <w:rsid w:val="00CD732B"/>
    <w:rsid w:val="00CD744B"/>
    <w:rsid w:val="00CD7595"/>
    <w:rsid w:val="00CD7629"/>
    <w:rsid w:val="00CD7812"/>
    <w:rsid w:val="00CD7879"/>
    <w:rsid w:val="00CD78E7"/>
    <w:rsid w:val="00CD7A37"/>
    <w:rsid w:val="00CD7C51"/>
    <w:rsid w:val="00CD7C62"/>
    <w:rsid w:val="00CD7C87"/>
    <w:rsid w:val="00CD7EFE"/>
    <w:rsid w:val="00CE0035"/>
    <w:rsid w:val="00CE0048"/>
    <w:rsid w:val="00CE005A"/>
    <w:rsid w:val="00CE00B8"/>
    <w:rsid w:val="00CE00E7"/>
    <w:rsid w:val="00CE01AB"/>
    <w:rsid w:val="00CE01FE"/>
    <w:rsid w:val="00CE05A6"/>
    <w:rsid w:val="00CE05F1"/>
    <w:rsid w:val="00CE06E7"/>
    <w:rsid w:val="00CE0800"/>
    <w:rsid w:val="00CE0A12"/>
    <w:rsid w:val="00CE0A42"/>
    <w:rsid w:val="00CE0DE1"/>
    <w:rsid w:val="00CE0FC4"/>
    <w:rsid w:val="00CE101D"/>
    <w:rsid w:val="00CE1173"/>
    <w:rsid w:val="00CE13B4"/>
    <w:rsid w:val="00CE14AD"/>
    <w:rsid w:val="00CE14DF"/>
    <w:rsid w:val="00CE14ED"/>
    <w:rsid w:val="00CE1532"/>
    <w:rsid w:val="00CE18C3"/>
    <w:rsid w:val="00CE18C7"/>
    <w:rsid w:val="00CE19F7"/>
    <w:rsid w:val="00CE1C8E"/>
    <w:rsid w:val="00CE2003"/>
    <w:rsid w:val="00CE233B"/>
    <w:rsid w:val="00CE23A2"/>
    <w:rsid w:val="00CE240D"/>
    <w:rsid w:val="00CE258F"/>
    <w:rsid w:val="00CE2620"/>
    <w:rsid w:val="00CE264C"/>
    <w:rsid w:val="00CE283D"/>
    <w:rsid w:val="00CE29EF"/>
    <w:rsid w:val="00CE2B39"/>
    <w:rsid w:val="00CE2BA4"/>
    <w:rsid w:val="00CE2BC0"/>
    <w:rsid w:val="00CE2C23"/>
    <w:rsid w:val="00CE2D2F"/>
    <w:rsid w:val="00CE2E44"/>
    <w:rsid w:val="00CE2F8E"/>
    <w:rsid w:val="00CE3049"/>
    <w:rsid w:val="00CE31C4"/>
    <w:rsid w:val="00CE31D5"/>
    <w:rsid w:val="00CE339C"/>
    <w:rsid w:val="00CE35B4"/>
    <w:rsid w:val="00CE3692"/>
    <w:rsid w:val="00CE36C3"/>
    <w:rsid w:val="00CE3739"/>
    <w:rsid w:val="00CE37C0"/>
    <w:rsid w:val="00CE3936"/>
    <w:rsid w:val="00CE39AB"/>
    <w:rsid w:val="00CE3C08"/>
    <w:rsid w:val="00CE3CF4"/>
    <w:rsid w:val="00CE3D94"/>
    <w:rsid w:val="00CE3E28"/>
    <w:rsid w:val="00CE3F3D"/>
    <w:rsid w:val="00CE3F5A"/>
    <w:rsid w:val="00CE40A7"/>
    <w:rsid w:val="00CE40B8"/>
    <w:rsid w:val="00CE4187"/>
    <w:rsid w:val="00CE42E0"/>
    <w:rsid w:val="00CE43A1"/>
    <w:rsid w:val="00CE4639"/>
    <w:rsid w:val="00CE47A2"/>
    <w:rsid w:val="00CE4836"/>
    <w:rsid w:val="00CE4A18"/>
    <w:rsid w:val="00CE4C4D"/>
    <w:rsid w:val="00CE4FE3"/>
    <w:rsid w:val="00CE5000"/>
    <w:rsid w:val="00CE5096"/>
    <w:rsid w:val="00CE54C3"/>
    <w:rsid w:val="00CE56FF"/>
    <w:rsid w:val="00CE571B"/>
    <w:rsid w:val="00CE5A06"/>
    <w:rsid w:val="00CE5F9C"/>
    <w:rsid w:val="00CE6056"/>
    <w:rsid w:val="00CE61B2"/>
    <w:rsid w:val="00CE61CF"/>
    <w:rsid w:val="00CE6421"/>
    <w:rsid w:val="00CE6599"/>
    <w:rsid w:val="00CE66E5"/>
    <w:rsid w:val="00CE67DE"/>
    <w:rsid w:val="00CE6B93"/>
    <w:rsid w:val="00CE6C25"/>
    <w:rsid w:val="00CE6D50"/>
    <w:rsid w:val="00CE70AF"/>
    <w:rsid w:val="00CE7178"/>
    <w:rsid w:val="00CE7651"/>
    <w:rsid w:val="00CE772F"/>
    <w:rsid w:val="00CE78F3"/>
    <w:rsid w:val="00CE7909"/>
    <w:rsid w:val="00CE790F"/>
    <w:rsid w:val="00CE79A9"/>
    <w:rsid w:val="00CE7A9E"/>
    <w:rsid w:val="00CE7E3B"/>
    <w:rsid w:val="00CF0046"/>
    <w:rsid w:val="00CF005B"/>
    <w:rsid w:val="00CF0167"/>
    <w:rsid w:val="00CF03DF"/>
    <w:rsid w:val="00CF0555"/>
    <w:rsid w:val="00CF0602"/>
    <w:rsid w:val="00CF065A"/>
    <w:rsid w:val="00CF06BF"/>
    <w:rsid w:val="00CF08E3"/>
    <w:rsid w:val="00CF09A9"/>
    <w:rsid w:val="00CF0A8C"/>
    <w:rsid w:val="00CF0CCB"/>
    <w:rsid w:val="00CF0E67"/>
    <w:rsid w:val="00CF0F2C"/>
    <w:rsid w:val="00CF122C"/>
    <w:rsid w:val="00CF13A2"/>
    <w:rsid w:val="00CF15C0"/>
    <w:rsid w:val="00CF1721"/>
    <w:rsid w:val="00CF1722"/>
    <w:rsid w:val="00CF174F"/>
    <w:rsid w:val="00CF17F7"/>
    <w:rsid w:val="00CF1CB6"/>
    <w:rsid w:val="00CF1FB5"/>
    <w:rsid w:val="00CF2003"/>
    <w:rsid w:val="00CF206B"/>
    <w:rsid w:val="00CF2273"/>
    <w:rsid w:val="00CF238F"/>
    <w:rsid w:val="00CF2391"/>
    <w:rsid w:val="00CF253F"/>
    <w:rsid w:val="00CF29DD"/>
    <w:rsid w:val="00CF2A98"/>
    <w:rsid w:val="00CF2AEC"/>
    <w:rsid w:val="00CF2B22"/>
    <w:rsid w:val="00CF2C32"/>
    <w:rsid w:val="00CF2C43"/>
    <w:rsid w:val="00CF2E4E"/>
    <w:rsid w:val="00CF2ED4"/>
    <w:rsid w:val="00CF2FC8"/>
    <w:rsid w:val="00CF2FD8"/>
    <w:rsid w:val="00CF306F"/>
    <w:rsid w:val="00CF318B"/>
    <w:rsid w:val="00CF324E"/>
    <w:rsid w:val="00CF336A"/>
    <w:rsid w:val="00CF341F"/>
    <w:rsid w:val="00CF38B3"/>
    <w:rsid w:val="00CF38F4"/>
    <w:rsid w:val="00CF3ADF"/>
    <w:rsid w:val="00CF3BFE"/>
    <w:rsid w:val="00CF3C89"/>
    <w:rsid w:val="00CF3CCF"/>
    <w:rsid w:val="00CF3D1B"/>
    <w:rsid w:val="00CF3DE0"/>
    <w:rsid w:val="00CF3DFC"/>
    <w:rsid w:val="00CF3E07"/>
    <w:rsid w:val="00CF3E10"/>
    <w:rsid w:val="00CF3E4D"/>
    <w:rsid w:val="00CF4103"/>
    <w:rsid w:val="00CF424B"/>
    <w:rsid w:val="00CF42E8"/>
    <w:rsid w:val="00CF4398"/>
    <w:rsid w:val="00CF4492"/>
    <w:rsid w:val="00CF449D"/>
    <w:rsid w:val="00CF45AE"/>
    <w:rsid w:val="00CF4614"/>
    <w:rsid w:val="00CF4623"/>
    <w:rsid w:val="00CF46FB"/>
    <w:rsid w:val="00CF4A1D"/>
    <w:rsid w:val="00CF4B14"/>
    <w:rsid w:val="00CF4B26"/>
    <w:rsid w:val="00CF4B52"/>
    <w:rsid w:val="00CF4BC1"/>
    <w:rsid w:val="00CF4BEF"/>
    <w:rsid w:val="00CF4BF0"/>
    <w:rsid w:val="00CF4E1A"/>
    <w:rsid w:val="00CF4E40"/>
    <w:rsid w:val="00CF4ED3"/>
    <w:rsid w:val="00CF4F56"/>
    <w:rsid w:val="00CF503B"/>
    <w:rsid w:val="00CF529C"/>
    <w:rsid w:val="00CF531C"/>
    <w:rsid w:val="00CF5359"/>
    <w:rsid w:val="00CF5458"/>
    <w:rsid w:val="00CF562B"/>
    <w:rsid w:val="00CF5683"/>
    <w:rsid w:val="00CF56C9"/>
    <w:rsid w:val="00CF5794"/>
    <w:rsid w:val="00CF57FF"/>
    <w:rsid w:val="00CF5862"/>
    <w:rsid w:val="00CF59B4"/>
    <w:rsid w:val="00CF5E33"/>
    <w:rsid w:val="00CF5EEC"/>
    <w:rsid w:val="00CF5F1E"/>
    <w:rsid w:val="00CF5F20"/>
    <w:rsid w:val="00CF60E6"/>
    <w:rsid w:val="00CF62CE"/>
    <w:rsid w:val="00CF62D7"/>
    <w:rsid w:val="00CF6398"/>
    <w:rsid w:val="00CF6480"/>
    <w:rsid w:val="00CF65D9"/>
    <w:rsid w:val="00CF6883"/>
    <w:rsid w:val="00CF69A9"/>
    <w:rsid w:val="00CF69C1"/>
    <w:rsid w:val="00CF6A88"/>
    <w:rsid w:val="00CF71FC"/>
    <w:rsid w:val="00CF72AB"/>
    <w:rsid w:val="00CF72B8"/>
    <w:rsid w:val="00CF779C"/>
    <w:rsid w:val="00CF78A3"/>
    <w:rsid w:val="00CF7AA1"/>
    <w:rsid w:val="00CF7B0B"/>
    <w:rsid w:val="00CF7B4D"/>
    <w:rsid w:val="00CF7C3A"/>
    <w:rsid w:val="00CF7CBA"/>
    <w:rsid w:val="00CF7D54"/>
    <w:rsid w:val="00CF7D6A"/>
    <w:rsid w:val="00CF7E05"/>
    <w:rsid w:val="00CF7E13"/>
    <w:rsid w:val="00CF7EBF"/>
    <w:rsid w:val="00CF7F8F"/>
    <w:rsid w:val="00D002F8"/>
    <w:rsid w:val="00D0030F"/>
    <w:rsid w:val="00D003F3"/>
    <w:rsid w:val="00D00432"/>
    <w:rsid w:val="00D0084B"/>
    <w:rsid w:val="00D00985"/>
    <w:rsid w:val="00D00D10"/>
    <w:rsid w:val="00D00DFD"/>
    <w:rsid w:val="00D00E1B"/>
    <w:rsid w:val="00D00E26"/>
    <w:rsid w:val="00D00EBF"/>
    <w:rsid w:val="00D01022"/>
    <w:rsid w:val="00D0115E"/>
    <w:rsid w:val="00D0124D"/>
    <w:rsid w:val="00D01272"/>
    <w:rsid w:val="00D015FC"/>
    <w:rsid w:val="00D019F6"/>
    <w:rsid w:val="00D01CD6"/>
    <w:rsid w:val="00D01CF3"/>
    <w:rsid w:val="00D01D88"/>
    <w:rsid w:val="00D01E4C"/>
    <w:rsid w:val="00D02099"/>
    <w:rsid w:val="00D020F5"/>
    <w:rsid w:val="00D021B3"/>
    <w:rsid w:val="00D02231"/>
    <w:rsid w:val="00D022F7"/>
    <w:rsid w:val="00D026F1"/>
    <w:rsid w:val="00D02726"/>
    <w:rsid w:val="00D027B8"/>
    <w:rsid w:val="00D02946"/>
    <w:rsid w:val="00D02A0E"/>
    <w:rsid w:val="00D02CBC"/>
    <w:rsid w:val="00D02D96"/>
    <w:rsid w:val="00D02E48"/>
    <w:rsid w:val="00D02FE7"/>
    <w:rsid w:val="00D03225"/>
    <w:rsid w:val="00D0333B"/>
    <w:rsid w:val="00D033BA"/>
    <w:rsid w:val="00D03545"/>
    <w:rsid w:val="00D038C1"/>
    <w:rsid w:val="00D03A49"/>
    <w:rsid w:val="00D03EB0"/>
    <w:rsid w:val="00D03F6B"/>
    <w:rsid w:val="00D04031"/>
    <w:rsid w:val="00D04274"/>
    <w:rsid w:val="00D0433D"/>
    <w:rsid w:val="00D043B4"/>
    <w:rsid w:val="00D043E1"/>
    <w:rsid w:val="00D04660"/>
    <w:rsid w:val="00D046ED"/>
    <w:rsid w:val="00D04767"/>
    <w:rsid w:val="00D04786"/>
    <w:rsid w:val="00D049D4"/>
    <w:rsid w:val="00D04A80"/>
    <w:rsid w:val="00D04C91"/>
    <w:rsid w:val="00D04D61"/>
    <w:rsid w:val="00D04F72"/>
    <w:rsid w:val="00D0516F"/>
    <w:rsid w:val="00D05217"/>
    <w:rsid w:val="00D0529C"/>
    <w:rsid w:val="00D05316"/>
    <w:rsid w:val="00D0533D"/>
    <w:rsid w:val="00D0545A"/>
    <w:rsid w:val="00D0559E"/>
    <w:rsid w:val="00D055CE"/>
    <w:rsid w:val="00D055EB"/>
    <w:rsid w:val="00D05834"/>
    <w:rsid w:val="00D05893"/>
    <w:rsid w:val="00D0599E"/>
    <w:rsid w:val="00D05A38"/>
    <w:rsid w:val="00D05A7F"/>
    <w:rsid w:val="00D05B84"/>
    <w:rsid w:val="00D05BDE"/>
    <w:rsid w:val="00D05BFC"/>
    <w:rsid w:val="00D05CC5"/>
    <w:rsid w:val="00D05EE7"/>
    <w:rsid w:val="00D061EC"/>
    <w:rsid w:val="00D0625A"/>
    <w:rsid w:val="00D062B2"/>
    <w:rsid w:val="00D06580"/>
    <w:rsid w:val="00D06679"/>
    <w:rsid w:val="00D066E5"/>
    <w:rsid w:val="00D067F1"/>
    <w:rsid w:val="00D06867"/>
    <w:rsid w:val="00D068A1"/>
    <w:rsid w:val="00D068E1"/>
    <w:rsid w:val="00D06942"/>
    <w:rsid w:val="00D06BC7"/>
    <w:rsid w:val="00D06E2A"/>
    <w:rsid w:val="00D0701F"/>
    <w:rsid w:val="00D07066"/>
    <w:rsid w:val="00D07196"/>
    <w:rsid w:val="00D071D0"/>
    <w:rsid w:val="00D0742C"/>
    <w:rsid w:val="00D07526"/>
    <w:rsid w:val="00D076D6"/>
    <w:rsid w:val="00D07BE4"/>
    <w:rsid w:val="00D07C26"/>
    <w:rsid w:val="00D10131"/>
    <w:rsid w:val="00D1022A"/>
    <w:rsid w:val="00D102EB"/>
    <w:rsid w:val="00D10367"/>
    <w:rsid w:val="00D105C6"/>
    <w:rsid w:val="00D10692"/>
    <w:rsid w:val="00D10AD1"/>
    <w:rsid w:val="00D10B05"/>
    <w:rsid w:val="00D10B4A"/>
    <w:rsid w:val="00D10E53"/>
    <w:rsid w:val="00D10EEF"/>
    <w:rsid w:val="00D11058"/>
    <w:rsid w:val="00D11066"/>
    <w:rsid w:val="00D11077"/>
    <w:rsid w:val="00D11127"/>
    <w:rsid w:val="00D111D8"/>
    <w:rsid w:val="00D1134F"/>
    <w:rsid w:val="00D114BD"/>
    <w:rsid w:val="00D11501"/>
    <w:rsid w:val="00D11528"/>
    <w:rsid w:val="00D11563"/>
    <w:rsid w:val="00D11784"/>
    <w:rsid w:val="00D1188F"/>
    <w:rsid w:val="00D11928"/>
    <w:rsid w:val="00D11955"/>
    <w:rsid w:val="00D11A52"/>
    <w:rsid w:val="00D11ABE"/>
    <w:rsid w:val="00D11BA5"/>
    <w:rsid w:val="00D11BDF"/>
    <w:rsid w:val="00D11FC1"/>
    <w:rsid w:val="00D120E4"/>
    <w:rsid w:val="00D1212F"/>
    <w:rsid w:val="00D1233D"/>
    <w:rsid w:val="00D1242E"/>
    <w:rsid w:val="00D124BD"/>
    <w:rsid w:val="00D1251A"/>
    <w:rsid w:val="00D12561"/>
    <w:rsid w:val="00D125EC"/>
    <w:rsid w:val="00D12694"/>
    <w:rsid w:val="00D127F1"/>
    <w:rsid w:val="00D1297E"/>
    <w:rsid w:val="00D129BC"/>
    <w:rsid w:val="00D12D94"/>
    <w:rsid w:val="00D13028"/>
    <w:rsid w:val="00D1303F"/>
    <w:rsid w:val="00D1309E"/>
    <w:rsid w:val="00D130FC"/>
    <w:rsid w:val="00D13176"/>
    <w:rsid w:val="00D131B2"/>
    <w:rsid w:val="00D1324D"/>
    <w:rsid w:val="00D133EE"/>
    <w:rsid w:val="00D133FF"/>
    <w:rsid w:val="00D13554"/>
    <w:rsid w:val="00D135C3"/>
    <w:rsid w:val="00D139A4"/>
    <w:rsid w:val="00D13A84"/>
    <w:rsid w:val="00D13AF8"/>
    <w:rsid w:val="00D13B38"/>
    <w:rsid w:val="00D13BC6"/>
    <w:rsid w:val="00D13C35"/>
    <w:rsid w:val="00D13D47"/>
    <w:rsid w:val="00D13E33"/>
    <w:rsid w:val="00D13ED1"/>
    <w:rsid w:val="00D1442C"/>
    <w:rsid w:val="00D144BC"/>
    <w:rsid w:val="00D14729"/>
    <w:rsid w:val="00D14A1A"/>
    <w:rsid w:val="00D14AC5"/>
    <w:rsid w:val="00D14C20"/>
    <w:rsid w:val="00D14C26"/>
    <w:rsid w:val="00D14CC1"/>
    <w:rsid w:val="00D14CD0"/>
    <w:rsid w:val="00D14E94"/>
    <w:rsid w:val="00D14F5A"/>
    <w:rsid w:val="00D15065"/>
    <w:rsid w:val="00D15105"/>
    <w:rsid w:val="00D1510D"/>
    <w:rsid w:val="00D152C2"/>
    <w:rsid w:val="00D156C8"/>
    <w:rsid w:val="00D15720"/>
    <w:rsid w:val="00D1580C"/>
    <w:rsid w:val="00D1585D"/>
    <w:rsid w:val="00D15CF3"/>
    <w:rsid w:val="00D1609F"/>
    <w:rsid w:val="00D160D5"/>
    <w:rsid w:val="00D162A6"/>
    <w:rsid w:val="00D16354"/>
    <w:rsid w:val="00D1645E"/>
    <w:rsid w:val="00D16496"/>
    <w:rsid w:val="00D165AB"/>
    <w:rsid w:val="00D16738"/>
    <w:rsid w:val="00D1683F"/>
    <w:rsid w:val="00D169B8"/>
    <w:rsid w:val="00D16D89"/>
    <w:rsid w:val="00D17073"/>
    <w:rsid w:val="00D173BF"/>
    <w:rsid w:val="00D17447"/>
    <w:rsid w:val="00D17558"/>
    <w:rsid w:val="00D17658"/>
    <w:rsid w:val="00D1767C"/>
    <w:rsid w:val="00D177B7"/>
    <w:rsid w:val="00D177BA"/>
    <w:rsid w:val="00D177F7"/>
    <w:rsid w:val="00D17849"/>
    <w:rsid w:val="00D178BA"/>
    <w:rsid w:val="00D178EE"/>
    <w:rsid w:val="00D17A53"/>
    <w:rsid w:val="00D17C0D"/>
    <w:rsid w:val="00D17CD5"/>
    <w:rsid w:val="00D17CE3"/>
    <w:rsid w:val="00D17EFD"/>
    <w:rsid w:val="00D200D8"/>
    <w:rsid w:val="00D20117"/>
    <w:rsid w:val="00D20233"/>
    <w:rsid w:val="00D2028B"/>
    <w:rsid w:val="00D20373"/>
    <w:rsid w:val="00D2062D"/>
    <w:rsid w:val="00D2067E"/>
    <w:rsid w:val="00D206A7"/>
    <w:rsid w:val="00D20725"/>
    <w:rsid w:val="00D20766"/>
    <w:rsid w:val="00D207A1"/>
    <w:rsid w:val="00D20837"/>
    <w:rsid w:val="00D20889"/>
    <w:rsid w:val="00D20B96"/>
    <w:rsid w:val="00D20CDE"/>
    <w:rsid w:val="00D20DC7"/>
    <w:rsid w:val="00D20EBC"/>
    <w:rsid w:val="00D20F6D"/>
    <w:rsid w:val="00D20F9C"/>
    <w:rsid w:val="00D210DC"/>
    <w:rsid w:val="00D21200"/>
    <w:rsid w:val="00D21350"/>
    <w:rsid w:val="00D21479"/>
    <w:rsid w:val="00D214C6"/>
    <w:rsid w:val="00D21709"/>
    <w:rsid w:val="00D21713"/>
    <w:rsid w:val="00D21852"/>
    <w:rsid w:val="00D21914"/>
    <w:rsid w:val="00D21960"/>
    <w:rsid w:val="00D21998"/>
    <w:rsid w:val="00D21A88"/>
    <w:rsid w:val="00D21B71"/>
    <w:rsid w:val="00D21DAB"/>
    <w:rsid w:val="00D21E5B"/>
    <w:rsid w:val="00D2220D"/>
    <w:rsid w:val="00D22243"/>
    <w:rsid w:val="00D224BE"/>
    <w:rsid w:val="00D22645"/>
    <w:rsid w:val="00D22C4C"/>
    <w:rsid w:val="00D22CB6"/>
    <w:rsid w:val="00D22E87"/>
    <w:rsid w:val="00D22EE9"/>
    <w:rsid w:val="00D22F48"/>
    <w:rsid w:val="00D22F97"/>
    <w:rsid w:val="00D23089"/>
    <w:rsid w:val="00D23321"/>
    <w:rsid w:val="00D2333D"/>
    <w:rsid w:val="00D233DB"/>
    <w:rsid w:val="00D234EE"/>
    <w:rsid w:val="00D2367D"/>
    <w:rsid w:val="00D23685"/>
    <w:rsid w:val="00D239CF"/>
    <w:rsid w:val="00D239D2"/>
    <w:rsid w:val="00D23A01"/>
    <w:rsid w:val="00D23ABC"/>
    <w:rsid w:val="00D23BC6"/>
    <w:rsid w:val="00D23D73"/>
    <w:rsid w:val="00D23E03"/>
    <w:rsid w:val="00D24008"/>
    <w:rsid w:val="00D241B0"/>
    <w:rsid w:val="00D2424C"/>
    <w:rsid w:val="00D24295"/>
    <w:rsid w:val="00D24502"/>
    <w:rsid w:val="00D24518"/>
    <w:rsid w:val="00D246EC"/>
    <w:rsid w:val="00D24716"/>
    <w:rsid w:val="00D2494E"/>
    <w:rsid w:val="00D2496A"/>
    <w:rsid w:val="00D24A57"/>
    <w:rsid w:val="00D24C6F"/>
    <w:rsid w:val="00D24E21"/>
    <w:rsid w:val="00D24ECF"/>
    <w:rsid w:val="00D25029"/>
    <w:rsid w:val="00D2506F"/>
    <w:rsid w:val="00D25116"/>
    <w:rsid w:val="00D254CD"/>
    <w:rsid w:val="00D2578F"/>
    <w:rsid w:val="00D25896"/>
    <w:rsid w:val="00D25C2C"/>
    <w:rsid w:val="00D25E41"/>
    <w:rsid w:val="00D25FC1"/>
    <w:rsid w:val="00D260B7"/>
    <w:rsid w:val="00D2638B"/>
    <w:rsid w:val="00D264CB"/>
    <w:rsid w:val="00D2674C"/>
    <w:rsid w:val="00D2676B"/>
    <w:rsid w:val="00D267C7"/>
    <w:rsid w:val="00D26881"/>
    <w:rsid w:val="00D269D7"/>
    <w:rsid w:val="00D26A3C"/>
    <w:rsid w:val="00D26A4C"/>
    <w:rsid w:val="00D26AF8"/>
    <w:rsid w:val="00D26B22"/>
    <w:rsid w:val="00D26CB4"/>
    <w:rsid w:val="00D26D15"/>
    <w:rsid w:val="00D26D25"/>
    <w:rsid w:val="00D26D3A"/>
    <w:rsid w:val="00D26F27"/>
    <w:rsid w:val="00D27082"/>
    <w:rsid w:val="00D2709C"/>
    <w:rsid w:val="00D272C7"/>
    <w:rsid w:val="00D27448"/>
    <w:rsid w:val="00D27469"/>
    <w:rsid w:val="00D27544"/>
    <w:rsid w:val="00D275A0"/>
    <w:rsid w:val="00D278BD"/>
    <w:rsid w:val="00D2799F"/>
    <w:rsid w:val="00D27A05"/>
    <w:rsid w:val="00D27B2C"/>
    <w:rsid w:val="00D27B78"/>
    <w:rsid w:val="00D27E47"/>
    <w:rsid w:val="00D300BC"/>
    <w:rsid w:val="00D30448"/>
    <w:rsid w:val="00D3047F"/>
    <w:rsid w:val="00D30484"/>
    <w:rsid w:val="00D304F2"/>
    <w:rsid w:val="00D305A3"/>
    <w:rsid w:val="00D30621"/>
    <w:rsid w:val="00D306BE"/>
    <w:rsid w:val="00D30741"/>
    <w:rsid w:val="00D3082F"/>
    <w:rsid w:val="00D30B2C"/>
    <w:rsid w:val="00D30F9C"/>
    <w:rsid w:val="00D31058"/>
    <w:rsid w:val="00D31088"/>
    <w:rsid w:val="00D31121"/>
    <w:rsid w:val="00D312A3"/>
    <w:rsid w:val="00D312B7"/>
    <w:rsid w:val="00D31371"/>
    <w:rsid w:val="00D3147B"/>
    <w:rsid w:val="00D314CC"/>
    <w:rsid w:val="00D3151C"/>
    <w:rsid w:val="00D31597"/>
    <w:rsid w:val="00D31752"/>
    <w:rsid w:val="00D31812"/>
    <w:rsid w:val="00D31876"/>
    <w:rsid w:val="00D31DB3"/>
    <w:rsid w:val="00D31E12"/>
    <w:rsid w:val="00D31E5A"/>
    <w:rsid w:val="00D31F5F"/>
    <w:rsid w:val="00D3203B"/>
    <w:rsid w:val="00D321E8"/>
    <w:rsid w:val="00D32251"/>
    <w:rsid w:val="00D323DE"/>
    <w:rsid w:val="00D3254E"/>
    <w:rsid w:val="00D32786"/>
    <w:rsid w:val="00D3290B"/>
    <w:rsid w:val="00D32917"/>
    <w:rsid w:val="00D329F6"/>
    <w:rsid w:val="00D32C9E"/>
    <w:rsid w:val="00D32CEE"/>
    <w:rsid w:val="00D32EC3"/>
    <w:rsid w:val="00D32F1E"/>
    <w:rsid w:val="00D32F28"/>
    <w:rsid w:val="00D33083"/>
    <w:rsid w:val="00D3312E"/>
    <w:rsid w:val="00D33421"/>
    <w:rsid w:val="00D33449"/>
    <w:rsid w:val="00D336CF"/>
    <w:rsid w:val="00D3372B"/>
    <w:rsid w:val="00D33969"/>
    <w:rsid w:val="00D33976"/>
    <w:rsid w:val="00D33C99"/>
    <w:rsid w:val="00D33E50"/>
    <w:rsid w:val="00D33F2A"/>
    <w:rsid w:val="00D34002"/>
    <w:rsid w:val="00D34076"/>
    <w:rsid w:val="00D34284"/>
    <w:rsid w:val="00D3434C"/>
    <w:rsid w:val="00D34359"/>
    <w:rsid w:val="00D34474"/>
    <w:rsid w:val="00D344FB"/>
    <w:rsid w:val="00D34533"/>
    <w:rsid w:val="00D346DD"/>
    <w:rsid w:val="00D3481F"/>
    <w:rsid w:val="00D34A40"/>
    <w:rsid w:val="00D34AB9"/>
    <w:rsid w:val="00D34B87"/>
    <w:rsid w:val="00D34BF6"/>
    <w:rsid w:val="00D34CBB"/>
    <w:rsid w:val="00D34F10"/>
    <w:rsid w:val="00D350E9"/>
    <w:rsid w:val="00D35196"/>
    <w:rsid w:val="00D35218"/>
    <w:rsid w:val="00D3530B"/>
    <w:rsid w:val="00D35353"/>
    <w:rsid w:val="00D35361"/>
    <w:rsid w:val="00D35407"/>
    <w:rsid w:val="00D354CF"/>
    <w:rsid w:val="00D35536"/>
    <w:rsid w:val="00D3562B"/>
    <w:rsid w:val="00D3567E"/>
    <w:rsid w:val="00D3579A"/>
    <w:rsid w:val="00D3582F"/>
    <w:rsid w:val="00D35897"/>
    <w:rsid w:val="00D359DF"/>
    <w:rsid w:val="00D35AC6"/>
    <w:rsid w:val="00D35CD1"/>
    <w:rsid w:val="00D35D9B"/>
    <w:rsid w:val="00D35E8A"/>
    <w:rsid w:val="00D35FBF"/>
    <w:rsid w:val="00D36026"/>
    <w:rsid w:val="00D36043"/>
    <w:rsid w:val="00D36237"/>
    <w:rsid w:val="00D3638A"/>
    <w:rsid w:val="00D363AB"/>
    <w:rsid w:val="00D364D8"/>
    <w:rsid w:val="00D364E7"/>
    <w:rsid w:val="00D3661C"/>
    <w:rsid w:val="00D366EE"/>
    <w:rsid w:val="00D36714"/>
    <w:rsid w:val="00D3675D"/>
    <w:rsid w:val="00D369D5"/>
    <w:rsid w:val="00D36A52"/>
    <w:rsid w:val="00D36ADC"/>
    <w:rsid w:val="00D36D61"/>
    <w:rsid w:val="00D36DAC"/>
    <w:rsid w:val="00D36E42"/>
    <w:rsid w:val="00D36FC2"/>
    <w:rsid w:val="00D371AE"/>
    <w:rsid w:val="00D37435"/>
    <w:rsid w:val="00D37658"/>
    <w:rsid w:val="00D3766B"/>
    <w:rsid w:val="00D376A3"/>
    <w:rsid w:val="00D378BA"/>
    <w:rsid w:val="00D37CB7"/>
    <w:rsid w:val="00D37E06"/>
    <w:rsid w:val="00D4035D"/>
    <w:rsid w:val="00D403B8"/>
    <w:rsid w:val="00D40587"/>
    <w:rsid w:val="00D4060C"/>
    <w:rsid w:val="00D40643"/>
    <w:rsid w:val="00D40877"/>
    <w:rsid w:val="00D40932"/>
    <w:rsid w:val="00D409FE"/>
    <w:rsid w:val="00D40A97"/>
    <w:rsid w:val="00D40E96"/>
    <w:rsid w:val="00D40ED5"/>
    <w:rsid w:val="00D40EDE"/>
    <w:rsid w:val="00D41087"/>
    <w:rsid w:val="00D41190"/>
    <w:rsid w:val="00D412E0"/>
    <w:rsid w:val="00D4131F"/>
    <w:rsid w:val="00D4139A"/>
    <w:rsid w:val="00D416E6"/>
    <w:rsid w:val="00D41747"/>
    <w:rsid w:val="00D417D2"/>
    <w:rsid w:val="00D41863"/>
    <w:rsid w:val="00D418BB"/>
    <w:rsid w:val="00D41928"/>
    <w:rsid w:val="00D41A66"/>
    <w:rsid w:val="00D41A77"/>
    <w:rsid w:val="00D41AD9"/>
    <w:rsid w:val="00D41CB6"/>
    <w:rsid w:val="00D41D3F"/>
    <w:rsid w:val="00D41E0E"/>
    <w:rsid w:val="00D41FE8"/>
    <w:rsid w:val="00D42070"/>
    <w:rsid w:val="00D421BC"/>
    <w:rsid w:val="00D42284"/>
    <w:rsid w:val="00D4234D"/>
    <w:rsid w:val="00D423B8"/>
    <w:rsid w:val="00D4280E"/>
    <w:rsid w:val="00D428EF"/>
    <w:rsid w:val="00D42950"/>
    <w:rsid w:val="00D429E9"/>
    <w:rsid w:val="00D42D21"/>
    <w:rsid w:val="00D431CD"/>
    <w:rsid w:val="00D4330D"/>
    <w:rsid w:val="00D43318"/>
    <w:rsid w:val="00D434C5"/>
    <w:rsid w:val="00D434DC"/>
    <w:rsid w:val="00D43506"/>
    <w:rsid w:val="00D43684"/>
    <w:rsid w:val="00D437D5"/>
    <w:rsid w:val="00D43988"/>
    <w:rsid w:val="00D439B8"/>
    <w:rsid w:val="00D43E6B"/>
    <w:rsid w:val="00D43F26"/>
    <w:rsid w:val="00D43FC3"/>
    <w:rsid w:val="00D442C2"/>
    <w:rsid w:val="00D44400"/>
    <w:rsid w:val="00D44447"/>
    <w:rsid w:val="00D4447F"/>
    <w:rsid w:val="00D4451E"/>
    <w:rsid w:val="00D4453F"/>
    <w:rsid w:val="00D44542"/>
    <w:rsid w:val="00D44569"/>
    <w:rsid w:val="00D4492A"/>
    <w:rsid w:val="00D44AD0"/>
    <w:rsid w:val="00D44C18"/>
    <w:rsid w:val="00D44DD8"/>
    <w:rsid w:val="00D44E77"/>
    <w:rsid w:val="00D44F5E"/>
    <w:rsid w:val="00D44FBB"/>
    <w:rsid w:val="00D454CC"/>
    <w:rsid w:val="00D455C9"/>
    <w:rsid w:val="00D455CC"/>
    <w:rsid w:val="00D4583D"/>
    <w:rsid w:val="00D45857"/>
    <w:rsid w:val="00D45BC9"/>
    <w:rsid w:val="00D45CC9"/>
    <w:rsid w:val="00D45D0A"/>
    <w:rsid w:val="00D45EB5"/>
    <w:rsid w:val="00D45F23"/>
    <w:rsid w:val="00D46475"/>
    <w:rsid w:val="00D4661A"/>
    <w:rsid w:val="00D4665E"/>
    <w:rsid w:val="00D46A6A"/>
    <w:rsid w:val="00D46C08"/>
    <w:rsid w:val="00D46C13"/>
    <w:rsid w:val="00D46CF5"/>
    <w:rsid w:val="00D46EFA"/>
    <w:rsid w:val="00D4709C"/>
    <w:rsid w:val="00D471E0"/>
    <w:rsid w:val="00D47374"/>
    <w:rsid w:val="00D4748A"/>
    <w:rsid w:val="00D474E3"/>
    <w:rsid w:val="00D474FF"/>
    <w:rsid w:val="00D47590"/>
    <w:rsid w:val="00D47639"/>
    <w:rsid w:val="00D47850"/>
    <w:rsid w:val="00D478F2"/>
    <w:rsid w:val="00D47A16"/>
    <w:rsid w:val="00D47A78"/>
    <w:rsid w:val="00D47CCE"/>
    <w:rsid w:val="00D5002D"/>
    <w:rsid w:val="00D5032B"/>
    <w:rsid w:val="00D507C1"/>
    <w:rsid w:val="00D507D6"/>
    <w:rsid w:val="00D50914"/>
    <w:rsid w:val="00D5095D"/>
    <w:rsid w:val="00D50A58"/>
    <w:rsid w:val="00D50B2C"/>
    <w:rsid w:val="00D50B58"/>
    <w:rsid w:val="00D50E69"/>
    <w:rsid w:val="00D51196"/>
    <w:rsid w:val="00D51229"/>
    <w:rsid w:val="00D5137B"/>
    <w:rsid w:val="00D514E4"/>
    <w:rsid w:val="00D5150B"/>
    <w:rsid w:val="00D5153E"/>
    <w:rsid w:val="00D515BF"/>
    <w:rsid w:val="00D51622"/>
    <w:rsid w:val="00D5165A"/>
    <w:rsid w:val="00D51726"/>
    <w:rsid w:val="00D51775"/>
    <w:rsid w:val="00D519A3"/>
    <w:rsid w:val="00D51DF0"/>
    <w:rsid w:val="00D525FF"/>
    <w:rsid w:val="00D528FE"/>
    <w:rsid w:val="00D52BA0"/>
    <w:rsid w:val="00D52CF2"/>
    <w:rsid w:val="00D52DC9"/>
    <w:rsid w:val="00D52E3F"/>
    <w:rsid w:val="00D52E63"/>
    <w:rsid w:val="00D52F64"/>
    <w:rsid w:val="00D52F96"/>
    <w:rsid w:val="00D53002"/>
    <w:rsid w:val="00D53191"/>
    <w:rsid w:val="00D53330"/>
    <w:rsid w:val="00D53646"/>
    <w:rsid w:val="00D53651"/>
    <w:rsid w:val="00D5378F"/>
    <w:rsid w:val="00D537CD"/>
    <w:rsid w:val="00D53826"/>
    <w:rsid w:val="00D53904"/>
    <w:rsid w:val="00D5398C"/>
    <w:rsid w:val="00D539C1"/>
    <w:rsid w:val="00D53BEA"/>
    <w:rsid w:val="00D53F14"/>
    <w:rsid w:val="00D53FDF"/>
    <w:rsid w:val="00D54100"/>
    <w:rsid w:val="00D543BD"/>
    <w:rsid w:val="00D543CD"/>
    <w:rsid w:val="00D549EE"/>
    <w:rsid w:val="00D54B55"/>
    <w:rsid w:val="00D54D3D"/>
    <w:rsid w:val="00D54DE5"/>
    <w:rsid w:val="00D54FE8"/>
    <w:rsid w:val="00D5508A"/>
    <w:rsid w:val="00D55177"/>
    <w:rsid w:val="00D5520A"/>
    <w:rsid w:val="00D5528A"/>
    <w:rsid w:val="00D5568F"/>
    <w:rsid w:val="00D55C15"/>
    <w:rsid w:val="00D55CED"/>
    <w:rsid w:val="00D55E47"/>
    <w:rsid w:val="00D55EEB"/>
    <w:rsid w:val="00D55FCB"/>
    <w:rsid w:val="00D5618B"/>
    <w:rsid w:val="00D562FE"/>
    <w:rsid w:val="00D5630B"/>
    <w:rsid w:val="00D563DB"/>
    <w:rsid w:val="00D564F3"/>
    <w:rsid w:val="00D566D3"/>
    <w:rsid w:val="00D56757"/>
    <w:rsid w:val="00D5684D"/>
    <w:rsid w:val="00D56A8C"/>
    <w:rsid w:val="00D56BF2"/>
    <w:rsid w:val="00D56F61"/>
    <w:rsid w:val="00D57043"/>
    <w:rsid w:val="00D5713E"/>
    <w:rsid w:val="00D5717E"/>
    <w:rsid w:val="00D571C4"/>
    <w:rsid w:val="00D572BA"/>
    <w:rsid w:val="00D572C3"/>
    <w:rsid w:val="00D575D1"/>
    <w:rsid w:val="00D57804"/>
    <w:rsid w:val="00D57A13"/>
    <w:rsid w:val="00D57A2A"/>
    <w:rsid w:val="00D57AF0"/>
    <w:rsid w:val="00D57B98"/>
    <w:rsid w:val="00D57D27"/>
    <w:rsid w:val="00D57EEB"/>
    <w:rsid w:val="00D57F4D"/>
    <w:rsid w:val="00D60067"/>
    <w:rsid w:val="00D60073"/>
    <w:rsid w:val="00D60165"/>
    <w:rsid w:val="00D601AC"/>
    <w:rsid w:val="00D60451"/>
    <w:rsid w:val="00D60575"/>
    <w:rsid w:val="00D605CE"/>
    <w:rsid w:val="00D6080B"/>
    <w:rsid w:val="00D608EB"/>
    <w:rsid w:val="00D60954"/>
    <w:rsid w:val="00D60A9B"/>
    <w:rsid w:val="00D60AF2"/>
    <w:rsid w:val="00D60B0E"/>
    <w:rsid w:val="00D60D15"/>
    <w:rsid w:val="00D60D7D"/>
    <w:rsid w:val="00D60E20"/>
    <w:rsid w:val="00D60EA2"/>
    <w:rsid w:val="00D60F59"/>
    <w:rsid w:val="00D610B2"/>
    <w:rsid w:val="00D61168"/>
    <w:rsid w:val="00D6128B"/>
    <w:rsid w:val="00D613DE"/>
    <w:rsid w:val="00D614A3"/>
    <w:rsid w:val="00D615E5"/>
    <w:rsid w:val="00D616DD"/>
    <w:rsid w:val="00D617C5"/>
    <w:rsid w:val="00D6180D"/>
    <w:rsid w:val="00D61879"/>
    <w:rsid w:val="00D61B32"/>
    <w:rsid w:val="00D61C4F"/>
    <w:rsid w:val="00D61CBE"/>
    <w:rsid w:val="00D61D3A"/>
    <w:rsid w:val="00D61E70"/>
    <w:rsid w:val="00D61F20"/>
    <w:rsid w:val="00D62007"/>
    <w:rsid w:val="00D62108"/>
    <w:rsid w:val="00D62190"/>
    <w:rsid w:val="00D62329"/>
    <w:rsid w:val="00D6240D"/>
    <w:rsid w:val="00D6252F"/>
    <w:rsid w:val="00D6259C"/>
    <w:rsid w:val="00D62654"/>
    <w:rsid w:val="00D62863"/>
    <w:rsid w:val="00D629AE"/>
    <w:rsid w:val="00D62B18"/>
    <w:rsid w:val="00D62D50"/>
    <w:rsid w:val="00D62F13"/>
    <w:rsid w:val="00D6306B"/>
    <w:rsid w:val="00D6313D"/>
    <w:rsid w:val="00D631C4"/>
    <w:rsid w:val="00D63321"/>
    <w:rsid w:val="00D633D1"/>
    <w:rsid w:val="00D633F2"/>
    <w:rsid w:val="00D634B6"/>
    <w:rsid w:val="00D63501"/>
    <w:rsid w:val="00D63687"/>
    <w:rsid w:val="00D637E5"/>
    <w:rsid w:val="00D63885"/>
    <w:rsid w:val="00D63A4C"/>
    <w:rsid w:val="00D63A91"/>
    <w:rsid w:val="00D63B9D"/>
    <w:rsid w:val="00D63BA8"/>
    <w:rsid w:val="00D63BC7"/>
    <w:rsid w:val="00D63CA9"/>
    <w:rsid w:val="00D63D36"/>
    <w:rsid w:val="00D6434E"/>
    <w:rsid w:val="00D64383"/>
    <w:rsid w:val="00D6439D"/>
    <w:rsid w:val="00D645D5"/>
    <w:rsid w:val="00D64617"/>
    <w:rsid w:val="00D6489F"/>
    <w:rsid w:val="00D648CE"/>
    <w:rsid w:val="00D64994"/>
    <w:rsid w:val="00D649FD"/>
    <w:rsid w:val="00D64B70"/>
    <w:rsid w:val="00D64E03"/>
    <w:rsid w:val="00D64E48"/>
    <w:rsid w:val="00D65005"/>
    <w:rsid w:val="00D650E5"/>
    <w:rsid w:val="00D6514F"/>
    <w:rsid w:val="00D6540C"/>
    <w:rsid w:val="00D65662"/>
    <w:rsid w:val="00D65B0A"/>
    <w:rsid w:val="00D65B3B"/>
    <w:rsid w:val="00D65B9E"/>
    <w:rsid w:val="00D65C2D"/>
    <w:rsid w:val="00D65D8B"/>
    <w:rsid w:val="00D65EE1"/>
    <w:rsid w:val="00D66022"/>
    <w:rsid w:val="00D660E0"/>
    <w:rsid w:val="00D66172"/>
    <w:rsid w:val="00D6630E"/>
    <w:rsid w:val="00D6631C"/>
    <w:rsid w:val="00D6635E"/>
    <w:rsid w:val="00D66556"/>
    <w:rsid w:val="00D66618"/>
    <w:rsid w:val="00D66623"/>
    <w:rsid w:val="00D66861"/>
    <w:rsid w:val="00D668A2"/>
    <w:rsid w:val="00D66911"/>
    <w:rsid w:val="00D66E22"/>
    <w:rsid w:val="00D66FAD"/>
    <w:rsid w:val="00D66FC4"/>
    <w:rsid w:val="00D67008"/>
    <w:rsid w:val="00D6705C"/>
    <w:rsid w:val="00D670C3"/>
    <w:rsid w:val="00D671C5"/>
    <w:rsid w:val="00D67267"/>
    <w:rsid w:val="00D67359"/>
    <w:rsid w:val="00D676DD"/>
    <w:rsid w:val="00D67AC4"/>
    <w:rsid w:val="00D67B26"/>
    <w:rsid w:val="00D67BB8"/>
    <w:rsid w:val="00D67BEF"/>
    <w:rsid w:val="00D67C26"/>
    <w:rsid w:val="00D67EEF"/>
    <w:rsid w:val="00D70245"/>
    <w:rsid w:val="00D702E5"/>
    <w:rsid w:val="00D705BE"/>
    <w:rsid w:val="00D70665"/>
    <w:rsid w:val="00D709CC"/>
    <w:rsid w:val="00D70B7A"/>
    <w:rsid w:val="00D70BE6"/>
    <w:rsid w:val="00D70C43"/>
    <w:rsid w:val="00D70F51"/>
    <w:rsid w:val="00D7102B"/>
    <w:rsid w:val="00D71053"/>
    <w:rsid w:val="00D7109E"/>
    <w:rsid w:val="00D710EB"/>
    <w:rsid w:val="00D713C0"/>
    <w:rsid w:val="00D714F1"/>
    <w:rsid w:val="00D71507"/>
    <w:rsid w:val="00D715B5"/>
    <w:rsid w:val="00D71769"/>
    <w:rsid w:val="00D718E9"/>
    <w:rsid w:val="00D71A5A"/>
    <w:rsid w:val="00D71C0E"/>
    <w:rsid w:val="00D71C88"/>
    <w:rsid w:val="00D71E26"/>
    <w:rsid w:val="00D72069"/>
    <w:rsid w:val="00D72159"/>
    <w:rsid w:val="00D7234D"/>
    <w:rsid w:val="00D723DF"/>
    <w:rsid w:val="00D723F7"/>
    <w:rsid w:val="00D724FC"/>
    <w:rsid w:val="00D726BC"/>
    <w:rsid w:val="00D7270F"/>
    <w:rsid w:val="00D728EF"/>
    <w:rsid w:val="00D72B6B"/>
    <w:rsid w:val="00D72BCF"/>
    <w:rsid w:val="00D72D6B"/>
    <w:rsid w:val="00D72E42"/>
    <w:rsid w:val="00D73187"/>
    <w:rsid w:val="00D73195"/>
    <w:rsid w:val="00D733A7"/>
    <w:rsid w:val="00D734A2"/>
    <w:rsid w:val="00D7358E"/>
    <w:rsid w:val="00D735B0"/>
    <w:rsid w:val="00D7366A"/>
    <w:rsid w:val="00D736D8"/>
    <w:rsid w:val="00D73776"/>
    <w:rsid w:val="00D73808"/>
    <w:rsid w:val="00D73961"/>
    <w:rsid w:val="00D73A26"/>
    <w:rsid w:val="00D74097"/>
    <w:rsid w:val="00D74171"/>
    <w:rsid w:val="00D7418F"/>
    <w:rsid w:val="00D741AD"/>
    <w:rsid w:val="00D741C0"/>
    <w:rsid w:val="00D74274"/>
    <w:rsid w:val="00D74368"/>
    <w:rsid w:val="00D743C9"/>
    <w:rsid w:val="00D7450F"/>
    <w:rsid w:val="00D7453F"/>
    <w:rsid w:val="00D74551"/>
    <w:rsid w:val="00D745C8"/>
    <w:rsid w:val="00D74642"/>
    <w:rsid w:val="00D7478D"/>
    <w:rsid w:val="00D747B7"/>
    <w:rsid w:val="00D74904"/>
    <w:rsid w:val="00D74C5D"/>
    <w:rsid w:val="00D74CA3"/>
    <w:rsid w:val="00D74CDE"/>
    <w:rsid w:val="00D74E8B"/>
    <w:rsid w:val="00D74E8E"/>
    <w:rsid w:val="00D7509A"/>
    <w:rsid w:val="00D75342"/>
    <w:rsid w:val="00D755D7"/>
    <w:rsid w:val="00D75668"/>
    <w:rsid w:val="00D756D6"/>
    <w:rsid w:val="00D75795"/>
    <w:rsid w:val="00D757E4"/>
    <w:rsid w:val="00D757EF"/>
    <w:rsid w:val="00D75908"/>
    <w:rsid w:val="00D75927"/>
    <w:rsid w:val="00D75C62"/>
    <w:rsid w:val="00D75C96"/>
    <w:rsid w:val="00D75D00"/>
    <w:rsid w:val="00D75D7E"/>
    <w:rsid w:val="00D75EBC"/>
    <w:rsid w:val="00D75F7B"/>
    <w:rsid w:val="00D75F7D"/>
    <w:rsid w:val="00D761DA"/>
    <w:rsid w:val="00D76245"/>
    <w:rsid w:val="00D7635B"/>
    <w:rsid w:val="00D763CC"/>
    <w:rsid w:val="00D76477"/>
    <w:rsid w:val="00D765C6"/>
    <w:rsid w:val="00D765F3"/>
    <w:rsid w:val="00D769DB"/>
    <w:rsid w:val="00D76B8F"/>
    <w:rsid w:val="00D76DE8"/>
    <w:rsid w:val="00D76DE9"/>
    <w:rsid w:val="00D76F07"/>
    <w:rsid w:val="00D76FBB"/>
    <w:rsid w:val="00D770DB"/>
    <w:rsid w:val="00D7744B"/>
    <w:rsid w:val="00D776F3"/>
    <w:rsid w:val="00D7773B"/>
    <w:rsid w:val="00D77A24"/>
    <w:rsid w:val="00D77C18"/>
    <w:rsid w:val="00D77E47"/>
    <w:rsid w:val="00D77E56"/>
    <w:rsid w:val="00D77F62"/>
    <w:rsid w:val="00D80001"/>
    <w:rsid w:val="00D801DD"/>
    <w:rsid w:val="00D802D2"/>
    <w:rsid w:val="00D804D2"/>
    <w:rsid w:val="00D8050E"/>
    <w:rsid w:val="00D80599"/>
    <w:rsid w:val="00D805F6"/>
    <w:rsid w:val="00D8076D"/>
    <w:rsid w:val="00D807E3"/>
    <w:rsid w:val="00D80BA7"/>
    <w:rsid w:val="00D80C2F"/>
    <w:rsid w:val="00D80D0C"/>
    <w:rsid w:val="00D80D7F"/>
    <w:rsid w:val="00D80E26"/>
    <w:rsid w:val="00D81057"/>
    <w:rsid w:val="00D811B1"/>
    <w:rsid w:val="00D81237"/>
    <w:rsid w:val="00D81238"/>
    <w:rsid w:val="00D8130F"/>
    <w:rsid w:val="00D81401"/>
    <w:rsid w:val="00D81492"/>
    <w:rsid w:val="00D8151D"/>
    <w:rsid w:val="00D815C0"/>
    <w:rsid w:val="00D8174B"/>
    <w:rsid w:val="00D81A91"/>
    <w:rsid w:val="00D81D15"/>
    <w:rsid w:val="00D81F2E"/>
    <w:rsid w:val="00D81F41"/>
    <w:rsid w:val="00D82091"/>
    <w:rsid w:val="00D824B0"/>
    <w:rsid w:val="00D824E2"/>
    <w:rsid w:val="00D826BA"/>
    <w:rsid w:val="00D82863"/>
    <w:rsid w:val="00D82D3C"/>
    <w:rsid w:val="00D82D9E"/>
    <w:rsid w:val="00D82DB0"/>
    <w:rsid w:val="00D82EAB"/>
    <w:rsid w:val="00D82EED"/>
    <w:rsid w:val="00D82FB8"/>
    <w:rsid w:val="00D833A8"/>
    <w:rsid w:val="00D83913"/>
    <w:rsid w:val="00D83995"/>
    <w:rsid w:val="00D839A5"/>
    <w:rsid w:val="00D83D4F"/>
    <w:rsid w:val="00D83D8A"/>
    <w:rsid w:val="00D83DF1"/>
    <w:rsid w:val="00D83E6A"/>
    <w:rsid w:val="00D83F57"/>
    <w:rsid w:val="00D83F67"/>
    <w:rsid w:val="00D840D2"/>
    <w:rsid w:val="00D84141"/>
    <w:rsid w:val="00D842DF"/>
    <w:rsid w:val="00D84319"/>
    <w:rsid w:val="00D84519"/>
    <w:rsid w:val="00D8458B"/>
    <w:rsid w:val="00D846D4"/>
    <w:rsid w:val="00D84916"/>
    <w:rsid w:val="00D84918"/>
    <w:rsid w:val="00D84A0C"/>
    <w:rsid w:val="00D84A20"/>
    <w:rsid w:val="00D84A4C"/>
    <w:rsid w:val="00D84C12"/>
    <w:rsid w:val="00D84EAF"/>
    <w:rsid w:val="00D84EF4"/>
    <w:rsid w:val="00D84F43"/>
    <w:rsid w:val="00D85477"/>
    <w:rsid w:val="00D857E1"/>
    <w:rsid w:val="00D8583E"/>
    <w:rsid w:val="00D85B3A"/>
    <w:rsid w:val="00D85BFB"/>
    <w:rsid w:val="00D85C26"/>
    <w:rsid w:val="00D85D4D"/>
    <w:rsid w:val="00D86292"/>
    <w:rsid w:val="00D863F1"/>
    <w:rsid w:val="00D8649C"/>
    <w:rsid w:val="00D864BD"/>
    <w:rsid w:val="00D864CD"/>
    <w:rsid w:val="00D86653"/>
    <w:rsid w:val="00D866D5"/>
    <w:rsid w:val="00D8673E"/>
    <w:rsid w:val="00D86745"/>
    <w:rsid w:val="00D86A12"/>
    <w:rsid w:val="00D86A46"/>
    <w:rsid w:val="00D86B8B"/>
    <w:rsid w:val="00D86CF5"/>
    <w:rsid w:val="00D86E60"/>
    <w:rsid w:val="00D86F1C"/>
    <w:rsid w:val="00D87004"/>
    <w:rsid w:val="00D871C6"/>
    <w:rsid w:val="00D871F5"/>
    <w:rsid w:val="00D87282"/>
    <w:rsid w:val="00D87323"/>
    <w:rsid w:val="00D87426"/>
    <w:rsid w:val="00D87650"/>
    <w:rsid w:val="00D879A1"/>
    <w:rsid w:val="00D87A45"/>
    <w:rsid w:val="00D87B01"/>
    <w:rsid w:val="00D87B44"/>
    <w:rsid w:val="00D87C7B"/>
    <w:rsid w:val="00D87CD4"/>
    <w:rsid w:val="00D87D61"/>
    <w:rsid w:val="00D87DB0"/>
    <w:rsid w:val="00D87E71"/>
    <w:rsid w:val="00D9004F"/>
    <w:rsid w:val="00D9007B"/>
    <w:rsid w:val="00D90090"/>
    <w:rsid w:val="00D901D6"/>
    <w:rsid w:val="00D9021C"/>
    <w:rsid w:val="00D90259"/>
    <w:rsid w:val="00D90594"/>
    <w:rsid w:val="00D9062A"/>
    <w:rsid w:val="00D906B6"/>
    <w:rsid w:val="00D907AE"/>
    <w:rsid w:val="00D908D7"/>
    <w:rsid w:val="00D9097B"/>
    <w:rsid w:val="00D909A9"/>
    <w:rsid w:val="00D90AA1"/>
    <w:rsid w:val="00D90B31"/>
    <w:rsid w:val="00D90C15"/>
    <w:rsid w:val="00D90C43"/>
    <w:rsid w:val="00D90D6A"/>
    <w:rsid w:val="00D9110C"/>
    <w:rsid w:val="00D911D9"/>
    <w:rsid w:val="00D91239"/>
    <w:rsid w:val="00D91424"/>
    <w:rsid w:val="00D91456"/>
    <w:rsid w:val="00D91499"/>
    <w:rsid w:val="00D915DC"/>
    <w:rsid w:val="00D916C2"/>
    <w:rsid w:val="00D918D2"/>
    <w:rsid w:val="00D9193E"/>
    <w:rsid w:val="00D91A09"/>
    <w:rsid w:val="00D91B78"/>
    <w:rsid w:val="00D91EC8"/>
    <w:rsid w:val="00D92011"/>
    <w:rsid w:val="00D92087"/>
    <w:rsid w:val="00D920C5"/>
    <w:rsid w:val="00D922BE"/>
    <w:rsid w:val="00D924D0"/>
    <w:rsid w:val="00D9252A"/>
    <w:rsid w:val="00D925F6"/>
    <w:rsid w:val="00D92623"/>
    <w:rsid w:val="00D9267F"/>
    <w:rsid w:val="00D92844"/>
    <w:rsid w:val="00D928D4"/>
    <w:rsid w:val="00D92A5B"/>
    <w:rsid w:val="00D92AA1"/>
    <w:rsid w:val="00D92F67"/>
    <w:rsid w:val="00D93016"/>
    <w:rsid w:val="00D93126"/>
    <w:rsid w:val="00D9313F"/>
    <w:rsid w:val="00D931BA"/>
    <w:rsid w:val="00D93286"/>
    <w:rsid w:val="00D93439"/>
    <w:rsid w:val="00D93550"/>
    <w:rsid w:val="00D935AB"/>
    <w:rsid w:val="00D937BF"/>
    <w:rsid w:val="00D938AB"/>
    <w:rsid w:val="00D93A15"/>
    <w:rsid w:val="00D93A2C"/>
    <w:rsid w:val="00D93B13"/>
    <w:rsid w:val="00D93B39"/>
    <w:rsid w:val="00D93B54"/>
    <w:rsid w:val="00D94220"/>
    <w:rsid w:val="00D94427"/>
    <w:rsid w:val="00D94681"/>
    <w:rsid w:val="00D94BF1"/>
    <w:rsid w:val="00D94C48"/>
    <w:rsid w:val="00D94F13"/>
    <w:rsid w:val="00D95014"/>
    <w:rsid w:val="00D9505D"/>
    <w:rsid w:val="00D9506F"/>
    <w:rsid w:val="00D9519B"/>
    <w:rsid w:val="00D953F2"/>
    <w:rsid w:val="00D9550D"/>
    <w:rsid w:val="00D955C7"/>
    <w:rsid w:val="00D95796"/>
    <w:rsid w:val="00D95C14"/>
    <w:rsid w:val="00D95D1F"/>
    <w:rsid w:val="00D960F6"/>
    <w:rsid w:val="00D963A8"/>
    <w:rsid w:val="00D96444"/>
    <w:rsid w:val="00D965F4"/>
    <w:rsid w:val="00D969CD"/>
    <w:rsid w:val="00D96A0D"/>
    <w:rsid w:val="00D96A1E"/>
    <w:rsid w:val="00D96E58"/>
    <w:rsid w:val="00D96EC8"/>
    <w:rsid w:val="00D96F22"/>
    <w:rsid w:val="00D97132"/>
    <w:rsid w:val="00D97280"/>
    <w:rsid w:val="00D972D0"/>
    <w:rsid w:val="00D974E9"/>
    <w:rsid w:val="00D97552"/>
    <w:rsid w:val="00D975D1"/>
    <w:rsid w:val="00D9768D"/>
    <w:rsid w:val="00D979E5"/>
    <w:rsid w:val="00D97A93"/>
    <w:rsid w:val="00D97ACB"/>
    <w:rsid w:val="00D97C57"/>
    <w:rsid w:val="00D97EFB"/>
    <w:rsid w:val="00D97F87"/>
    <w:rsid w:val="00DA011D"/>
    <w:rsid w:val="00DA0202"/>
    <w:rsid w:val="00DA026A"/>
    <w:rsid w:val="00DA03DA"/>
    <w:rsid w:val="00DA06A4"/>
    <w:rsid w:val="00DA06DE"/>
    <w:rsid w:val="00DA07B4"/>
    <w:rsid w:val="00DA0A9C"/>
    <w:rsid w:val="00DA0AF9"/>
    <w:rsid w:val="00DA0DFB"/>
    <w:rsid w:val="00DA0E87"/>
    <w:rsid w:val="00DA0F4A"/>
    <w:rsid w:val="00DA0FB3"/>
    <w:rsid w:val="00DA10A2"/>
    <w:rsid w:val="00DA14BA"/>
    <w:rsid w:val="00DA16BC"/>
    <w:rsid w:val="00DA1746"/>
    <w:rsid w:val="00DA179A"/>
    <w:rsid w:val="00DA1847"/>
    <w:rsid w:val="00DA18A6"/>
    <w:rsid w:val="00DA1B76"/>
    <w:rsid w:val="00DA1BE9"/>
    <w:rsid w:val="00DA1C58"/>
    <w:rsid w:val="00DA1D2C"/>
    <w:rsid w:val="00DA1D3D"/>
    <w:rsid w:val="00DA1D5C"/>
    <w:rsid w:val="00DA1D86"/>
    <w:rsid w:val="00DA1D90"/>
    <w:rsid w:val="00DA200A"/>
    <w:rsid w:val="00DA249B"/>
    <w:rsid w:val="00DA2939"/>
    <w:rsid w:val="00DA2986"/>
    <w:rsid w:val="00DA2A2B"/>
    <w:rsid w:val="00DA2AC3"/>
    <w:rsid w:val="00DA2D41"/>
    <w:rsid w:val="00DA2E1D"/>
    <w:rsid w:val="00DA31DE"/>
    <w:rsid w:val="00DA3243"/>
    <w:rsid w:val="00DA3291"/>
    <w:rsid w:val="00DA334D"/>
    <w:rsid w:val="00DA340A"/>
    <w:rsid w:val="00DA3418"/>
    <w:rsid w:val="00DA352F"/>
    <w:rsid w:val="00DA3696"/>
    <w:rsid w:val="00DA3781"/>
    <w:rsid w:val="00DA3A9B"/>
    <w:rsid w:val="00DA3B3F"/>
    <w:rsid w:val="00DA3B94"/>
    <w:rsid w:val="00DA3C15"/>
    <w:rsid w:val="00DA3D84"/>
    <w:rsid w:val="00DA3E17"/>
    <w:rsid w:val="00DA4065"/>
    <w:rsid w:val="00DA409D"/>
    <w:rsid w:val="00DA429E"/>
    <w:rsid w:val="00DA451D"/>
    <w:rsid w:val="00DA45DC"/>
    <w:rsid w:val="00DA46A9"/>
    <w:rsid w:val="00DA46F4"/>
    <w:rsid w:val="00DA475A"/>
    <w:rsid w:val="00DA477B"/>
    <w:rsid w:val="00DA4AFC"/>
    <w:rsid w:val="00DA4B25"/>
    <w:rsid w:val="00DA4B31"/>
    <w:rsid w:val="00DA4C9A"/>
    <w:rsid w:val="00DA4D86"/>
    <w:rsid w:val="00DA4E6B"/>
    <w:rsid w:val="00DA502F"/>
    <w:rsid w:val="00DA5284"/>
    <w:rsid w:val="00DA54B4"/>
    <w:rsid w:val="00DA5850"/>
    <w:rsid w:val="00DA58B2"/>
    <w:rsid w:val="00DA5A40"/>
    <w:rsid w:val="00DA5C85"/>
    <w:rsid w:val="00DA5D2A"/>
    <w:rsid w:val="00DA5D5F"/>
    <w:rsid w:val="00DA5EC5"/>
    <w:rsid w:val="00DA5F28"/>
    <w:rsid w:val="00DA5F95"/>
    <w:rsid w:val="00DA6195"/>
    <w:rsid w:val="00DA61E6"/>
    <w:rsid w:val="00DA6333"/>
    <w:rsid w:val="00DA6452"/>
    <w:rsid w:val="00DA648B"/>
    <w:rsid w:val="00DA6826"/>
    <w:rsid w:val="00DA68E0"/>
    <w:rsid w:val="00DA695D"/>
    <w:rsid w:val="00DA69AC"/>
    <w:rsid w:val="00DA6A96"/>
    <w:rsid w:val="00DA6FC3"/>
    <w:rsid w:val="00DA70DE"/>
    <w:rsid w:val="00DA780A"/>
    <w:rsid w:val="00DA7A85"/>
    <w:rsid w:val="00DA7B30"/>
    <w:rsid w:val="00DA7D46"/>
    <w:rsid w:val="00DA7DE1"/>
    <w:rsid w:val="00DB003F"/>
    <w:rsid w:val="00DB0146"/>
    <w:rsid w:val="00DB042C"/>
    <w:rsid w:val="00DB0600"/>
    <w:rsid w:val="00DB0694"/>
    <w:rsid w:val="00DB07C2"/>
    <w:rsid w:val="00DB097F"/>
    <w:rsid w:val="00DB0A86"/>
    <w:rsid w:val="00DB0BA9"/>
    <w:rsid w:val="00DB0CEF"/>
    <w:rsid w:val="00DB0DE8"/>
    <w:rsid w:val="00DB0F4F"/>
    <w:rsid w:val="00DB11A0"/>
    <w:rsid w:val="00DB1289"/>
    <w:rsid w:val="00DB1303"/>
    <w:rsid w:val="00DB13EE"/>
    <w:rsid w:val="00DB15C4"/>
    <w:rsid w:val="00DB17B3"/>
    <w:rsid w:val="00DB18A1"/>
    <w:rsid w:val="00DB18C5"/>
    <w:rsid w:val="00DB1930"/>
    <w:rsid w:val="00DB1A2A"/>
    <w:rsid w:val="00DB1A69"/>
    <w:rsid w:val="00DB1B73"/>
    <w:rsid w:val="00DB1D8F"/>
    <w:rsid w:val="00DB1E0A"/>
    <w:rsid w:val="00DB1F12"/>
    <w:rsid w:val="00DB210A"/>
    <w:rsid w:val="00DB21DB"/>
    <w:rsid w:val="00DB2353"/>
    <w:rsid w:val="00DB24F9"/>
    <w:rsid w:val="00DB25DC"/>
    <w:rsid w:val="00DB2652"/>
    <w:rsid w:val="00DB2733"/>
    <w:rsid w:val="00DB2797"/>
    <w:rsid w:val="00DB2845"/>
    <w:rsid w:val="00DB2C4F"/>
    <w:rsid w:val="00DB30D6"/>
    <w:rsid w:val="00DB331E"/>
    <w:rsid w:val="00DB3349"/>
    <w:rsid w:val="00DB3543"/>
    <w:rsid w:val="00DB35A1"/>
    <w:rsid w:val="00DB36E0"/>
    <w:rsid w:val="00DB36E4"/>
    <w:rsid w:val="00DB384D"/>
    <w:rsid w:val="00DB389E"/>
    <w:rsid w:val="00DB38D4"/>
    <w:rsid w:val="00DB38FE"/>
    <w:rsid w:val="00DB3980"/>
    <w:rsid w:val="00DB39EC"/>
    <w:rsid w:val="00DB3B99"/>
    <w:rsid w:val="00DB3D1A"/>
    <w:rsid w:val="00DB41D0"/>
    <w:rsid w:val="00DB447A"/>
    <w:rsid w:val="00DB4542"/>
    <w:rsid w:val="00DB47D3"/>
    <w:rsid w:val="00DB48D2"/>
    <w:rsid w:val="00DB4A5A"/>
    <w:rsid w:val="00DB4F59"/>
    <w:rsid w:val="00DB5107"/>
    <w:rsid w:val="00DB561F"/>
    <w:rsid w:val="00DB571D"/>
    <w:rsid w:val="00DB598A"/>
    <w:rsid w:val="00DB5CC0"/>
    <w:rsid w:val="00DB5DE4"/>
    <w:rsid w:val="00DB5DE5"/>
    <w:rsid w:val="00DB5E00"/>
    <w:rsid w:val="00DB5F34"/>
    <w:rsid w:val="00DB6460"/>
    <w:rsid w:val="00DB64D2"/>
    <w:rsid w:val="00DB6581"/>
    <w:rsid w:val="00DB659E"/>
    <w:rsid w:val="00DB66F6"/>
    <w:rsid w:val="00DB67ED"/>
    <w:rsid w:val="00DB6850"/>
    <w:rsid w:val="00DB687B"/>
    <w:rsid w:val="00DB6B44"/>
    <w:rsid w:val="00DB6C87"/>
    <w:rsid w:val="00DB6E1E"/>
    <w:rsid w:val="00DB7098"/>
    <w:rsid w:val="00DB7121"/>
    <w:rsid w:val="00DB74FD"/>
    <w:rsid w:val="00DB7516"/>
    <w:rsid w:val="00DB76E0"/>
    <w:rsid w:val="00DB77A7"/>
    <w:rsid w:val="00DB785D"/>
    <w:rsid w:val="00DB7AF2"/>
    <w:rsid w:val="00DB7B1C"/>
    <w:rsid w:val="00DB7D97"/>
    <w:rsid w:val="00DB7EDE"/>
    <w:rsid w:val="00DC011D"/>
    <w:rsid w:val="00DC03A8"/>
    <w:rsid w:val="00DC03C9"/>
    <w:rsid w:val="00DC044C"/>
    <w:rsid w:val="00DC0450"/>
    <w:rsid w:val="00DC04ED"/>
    <w:rsid w:val="00DC053E"/>
    <w:rsid w:val="00DC061C"/>
    <w:rsid w:val="00DC064A"/>
    <w:rsid w:val="00DC0739"/>
    <w:rsid w:val="00DC0826"/>
    <w:rsid w:val="00DC0C2E"/>
    <w:rsid w:val="00DC0CAD"/>
    <w:rsid w:val="00DC0E25"/>
    <w:rsid w:val="00DC1011"/>
    <w:rsid w:val="00DC11A5"/>
    <w:rsid w:val="00DC11CE"/>
    <w:rsid w:val="00DC15BA"/>
    <w:rsid w:val="00DC17A8"/>
    <w:rsid w:val="00DC1ABE"/>
    <w:rsid w:val="00DC1AC1"/>
    <w:rsid w:val="00DC1D72"/>
    <w:rsid w:val="00DC1D73"/>
    <w:rsid w:val="00DC1D7B"/>
    <w:rsid w:val="00DC1DB8"/>
    <w:rsid w:val="00DC1EFD"/>
    <w:rsid w:val="00DC2001"/>
    <w:rsid w:val="00DC2200"/>
    <w:rsid w:val="00DC269B"/>
    <w:rsid w:val="00DC2954"/>
    <w:rsid w:val="00DC2CCC"/>
    <w:rsid w:val="00DC2EFC"/>
    <w:rsid w:val="00DC31CE"/>
    <w:rsid w:val="00DC34FE"/>
    <w:rsid w:val="00DC3722"/>
    <w:rsid w:val="00DC37C9"/>
    <w:rsid w:val="00DC3919"/>
    <w:rsid w:val="00DC3A0A"/>
    <w:rsid w:val="00DC3D42"/>
    <w:rsid w:val="00DC3E27"/>
    <w:rsid w:val="00DC3EC8"/>
    <w:rsid w:val="00DC4098"/>
    <w:rsid w:val="00DC42A7"/>
    <w:rsid w:val="00DC42E1"/>
    <w:rsid w:val="00DC4357"/>
    <w:rsid w:val="00DC463D"/>
    <w:rsid w:val="00DC46D4"/>
    <w:rsid w:val="00DC4839"/>
    <w:rsid w:val="00DC486F"/>
    <w:rsid w:val="00DC4A1D"/>
    <w:rsid w:val="00DC4BAC"/>
    <w:rsid w:val="00DC4BED"/>
    <w:rsid w:val="00DC4D36"/>
    <w:rsid w:val="00DC4DB0"/>
    <w:rsid w:val="00DC505E"/>
    <w:rsid w:val="00DC5252"/>
    <w:rsid w:val="00DC525E"/>
    <w:rsid w:val="00DC5436"/>
    <w:rsid w:val="00DC55FD"/>
    <w:rsid w:val="00DC560C"/>
    <w:rsid w:val="00DC561B"/>
    <w:rsid w:val="00DC564A"/>
    <w:rsid w:val="00DC56AD"/>
    <w:rsid w:val="00DC56B6"/>
    <w:rsid w:val="00DC56C1"/>
    <w:rsid w:val="00DC5908"/>
    <w:rsid w:val="00DC5976"/>
    <w:rsid w:val="00DC5AB5"/>
    <w:rsid w:val="00DC5AEA"/>
    <w:rsid w:val="00DC5B56"/>
    <w:rsid w:val="00DC5F4D"/>
    <w:rsid w:val="00DC612C"/>
    <w:rsid w:val="00DC61E2"/>
    <w:rsid w:val="00DC6523"/>
    <w:rsid w:val="00DC654B"/>
    <w:rsid w:val="00DC659A"/>
    <w:rsid w:val="00DC65F0"/>
    <w:rsid w:val="00DC66A3"/>
    <w:rsid w:val="00DC66FC"/>
    <w:rsid w:val="00DC67B2"/>
    <w:rsid w:val="00DC67CF"/>
    <w:rsid w:val="00DC680F"/>
    <w:rsid w:val="00DC6A08"/>
    <w:rsid w:val="00DC6B66"/>
    <w:rsid w:val="00DC6BED"/>
    <w:rsid w:val="00DC6C74"/>
    <w:rsid w:val="00DC6CEE"/>
    <w:rsid w:val="00DC6CF2"/>
    <w:rsid w:val="00DC6FC4"/>
    <w:rsid w:val="00DC7003"/>
    <w:rsid w:val="00DC7078"/>
    <w:rsid w:val="00DC70DF"/>
    <w:rsid w:val="00DC718E"/>
    <w:rsid w:val="00DC7200"/>
    <w:rsid w:val="00DC7399"/>
    <w:rsid w:val="00DC7458"/>
    <w:rsid w:val="00DC7595"/>
    <w:rsid w:val="00DC7607"/>
    <w:rsid w:val="00DC7623"/>
    <w:rsid w:val="00DC7667"/>
    <w:rsid w:val="00DC78EB"/>
    <w:rsid w:val="00DC7B44"/>
    <w:rsid w:val="00DC7BB4"/>
    <w:rsid w:val="00DC7E34"/>
    <w:rsid w:val="00DD0044"/>
    <w:rsid w:val="00DD017C"/>
    <w:rsid w:val="00DD02EE"/>
    <w:rsid w:val="00DD03F6"/>
    <w:rsid w:val="00DD055C"/>
    <w:rsid w:val="00DD05FB"/>
    <w:rsid w:val="00DD0892"/>
    <w:rsid w:val="00DD0A9B"/>
    <w:rsid w:val="00DD0C67"/>
    <w:rsid w:val="00DD0D1C"/>
    <w:rsid w:val="00DD0E42"/>
    <w:rsid w:val="00DD1051"/>
    <w:rsid w:val="00DD1355"/>
    <w:rsid w:val="00DD13B9"/>
    <w:rsid w:val="00DD1691"/>
    <w:rsid w:val="00DD1780"/>
    <w:rsid w:val="00DD1A5C"/>
    <w:rsid w:val="00DD1A68"/>
    <w:rsid w:val="00DD1B0C"/>
    <w:rsid w:val="00DD1B31"/>
    <w:rsid w:val="00DD1BE8"/>
    <w:rsid w:val="00DD1CBF"/>
    <w:rsid w:val="00DD1E3A"/>
    <w:rsid w:val="00DD1F9A"/>
    <w:rsid w:val="00DD276A"/>
    <w:rsid w:val="00DD29D2"/>
    <w:rsid w:val="00DD2BA1"/>
    <w:rsid w:val="00DD2CE7"/>
    <w:rsid w:val="00DD2E1A"/>
    <w:rsid w:val="00DD2E29"/>
    <w:rsid w:val="00DD2F17"/>
    <w:rsid w:val="00DD2FA5"/>
    <w:rsid w:val="00DD3068"/>
    <w:rsid w:val="00DD3167"/>
    <w:rsid w:val="00DD3206"/>
    <w:rsid w:val="00DD3249"/>
    <w:rsid w:val="00DD325B"/>
    <w:rsid w:val="00DD3270"/>
    <w:rsid w:val="00DD32DD"/>
    <w:rsid w:val="00DD3BAC"/>
    <w:rsid w:val="00DD40E1"/>
    <w:rsid w:val="00DD40F5"/>
    <w:rsid w:val="00DD419D"/>
    <w:rsid w:val="00DD4350"/>
    <w:rsid w:val="00DD4503"/>
    <w:rsid w:val="00DD4744"/>
    <w:rsid w:val="00DD4817"/>
    <w:rsid w:val="00DD4865"/>
    <w:rsid w:val="00DD48CE"/>
    <w:rsid w:val="00DD4906"/>
    <w:rsid w:val="00DD4974"/>
    <w:rsid w:val="00DD4A73"/>
    <w:rsid w:val="00DD4B96"/>
    <w:rsid w:val="00DD4CEC"/>
    <w:rsid w:val="00DD4DE7"/>
    <w:rsid w:val="00DD4EE1"/>
    <w:rsid w:val="00DD4F80"/>
    <w:rsid w:val="00DD52B5"/>
    <w:rsid w:val="00DD52E6"/>
    <w:rsid w:val="00DD536C"/>
    <w:rsid w:val="00DD5474"/>
    <w:rsid w:val="00DD5643"/>
    <w:rsid w:val="00DD5698"/>
    <w:rsid w:val="00DD5A3C"/>
    <w:rsid w:val="00DD5CFF"/>
    <w:rsid w:val="00DD5F2C"/>
    <w:rsid w:val="00DD5FA8"/>
    <w:rsid w:val="00DD60F0"/>
    <w:rsid w:val="00DD6205"/>
    <w:rsid w:val="00DD6296"/>
    <w:rsid w:val="00DD63A9"/>
    <w:rsid w:val="00DD65BB"/>
    <w:rsid w:val="00DD6980"/>
    <w:rsid w:val="00DD6A0C"/>
    <w:rsid w:val="00DD6B31"/>
    <w:rsid w:val="00DD6D72"/>
    <w:rsid w:val="00DD6F32"/>
    <w:rsid w:val="00DD6F34"/>
    <w:rsid w:val="00DD6F88"/>
    <w:rsid w:val="00DD7158"/>
    <w:rsid w:val="00DD71A7"/>
    <w:rsid w:val="00DD72BB"/>
    <w:rsid w:val="00DD739F"/>
    <w:rsid w:val="00DD75BB"/>
    <w:rsid w:val="00DD7648"/>
    <w:rsid w:val="00DD76BA"/>
    <w:rsid w:val="00DD79AD"/>
    <w:rsid w:val="00DD7C55"/>
    <w:rsid w:val="00DD7C95"/>
    <w:rsid w:val="00DD7CFC"/>
    <w:rsid w:val="00DE00A7"/>
    <w:rsid w:val="00DE01FD"/>
    <w:rsid w:val="00DE0306"/>
    <w:rsid w:val="00DE0691"/>
    <w:rsid w:val="00DE07FF"/>
    <w:rsid w:val="00DE0892"/>
    <w:rsid w:val="00DE09EF"/>
    <w:rsid w:val="00DE0B02"/>
    <w:rsid w:val="00DE0C8B"/>
    <w:rsid w:val="00DE0DB9"/>
    <w:rsid w:val="00DE0DE0"/>
    <w:rsid w:val="00DE0F96"/>
    <w:rsid w:val="00DE0FA7"/>
    <w:rsid w:val="00DE0FFF"/>
    <w:rsid w:val="00DE1062"/>
    <w:rsid w:val="00DE1092"/>
    <w:rsid w:val="00DE1175"/>
    <w:rsid w:val="00DE134C"/>
    <w:rsid w:val="00DE1509"/>
    <w:rsid w:val="00DE158B"/>
    <w:rsid w:val="00DE15E4"/>
    <w:rsid w:val="00DE15F6"/>
    <w:rsid w:val="00DE1783"/>
    <w:rsid w:val="00DE1A82"/>
    <w:rsid w:val="00DE1B1D"/>
    <w:rsid w:val="00DE1B5D"/>
    <w:rsid w:val="00DE1C7A"/>
    <w:rsid w:val="00DE1D89"/>
    <w:rsid w:val="00DE1E7E"/>
    <w:rsid w:val="00DE1EB4"/>
    <w:rsid w:val="00DE1F86"/>
    <w:rsid w:val="00DE20AC"/>
    <w:rsid w:val="00DE252C"/>
    <w:rsid w:val="00DE268C"/>
    <w:rsid w:val="00DE2753"/>
    <w:rsid w:val="00DE27FB"/>
    <w:rsid w:val="00DE2C17"/>
    <w:rsid w:val="00DE2DA0"/>
    <w:rsid w:val="00DE2DA2"/>
    <w:rsid w:val="00DE2DD5"/>
    <w:rsid w:val="00DE3298"/>
    <w:rsid w:val="00DE3323"/>
    <w:rsid w:val="00DE3336"/>
    <w:rsid w:val="00DE335E"/>
    <w:rsid w:val="00DE33F9"/>
    <w:rsid w:val="00DE36FB"/>
    <w:rsid w:val="00DE372C"/>
    <w:rsid w:val="00DE376F"/>
    <w:rsid w:val="00DE3813"/>
    <w:rsid w:val="00DE3890"/>
    <w:rsid w:val="00DE398D"/>
    <w:rsid w:val="00DE3CEE"/>
    <w:rsid w:val="00DE412C"/>
    <w:rsid w:val="00DE4191"/>
    <w:rsid w:val="00DE439E"/>
    <w:rsid w:val="00DE4505"/>
    <w:rsid w:val="00DE457E"/>
    <w:rsid w:val="00DE474E"/>
    <w:rsid w:val="00DE4979"/>
    <w:rsid w:val="00DE4B81"/>
    <w:rsid w:val="00DE4CAB"/>
    <w:rsid w:val="00DE4FF5"/>
    <w:rsid w:val="00DE5000"/>
    <w:rsid w:val="00DE5245"/>
    <w:rsid w:val="00DE52EF"/>
    <w:rsid w:val="00DE53A8"/>
    <w:rsid w:val="00DE552E"/>
    <w:rsid w:val="00DE5595"/>
    <w:rsid w:val="00DE572E"/>
    <w:rsid w:val="00DE57F2"/>
    <w:rsid w:val="00DE5BDE"/>
    <w:rsid w:val="00DE5C30"/>
    <w:rsid w:val="00DE5CE3"/>
    <w:rsid w:val="00DE61C9"/>
    <w:rsid w:val="00DE6370"/>
    <w:rsid w:val="00DE6485"/>
    <w:rsid w:val="00DE660D"/>
    <w:rsid w:val="00DE67CA"/>
    <w:rsid w:val="00DE69C0"/>
    <w:rsid w:val="00DE6CBB"/>
    <w:rsid w:val="00DE6DA8"/>
    <w:rsid w:val="00DE6E5F"/>
    <w:rsid w:val="00DE6EA9"/>
    <w:rsid w:val="00DE6F29"/>
    <w:rsid w:val="00DE738E"/>
    <w:rsid w:val="00DE73EA"/>
    <w:rsid w:val="00DE74F2"/>
    <w:rsid w:val="00DE7830"/>
    <w:rsid w:val="00DE787B"/>
    <w:rsid w:val="00DF0134"/>
    <w:rsid w:val="00DF0169"/>
    <w:rsid w:val="00DF03C6"/>
    <w:rsid w:val="00DF0413"/>
    <w:rsid w:val="00DF056F"/>
    <w:rsid w:val="00DF06C1"/>
    <w:rsid w:val="00DF0926"/>
    <w:rsid w:val="00DF09EE"/>
    <w:rsid w:val="00DF0A6C"/>
    <w:rsid w:val="00DF0B98"/>
    <w:rsid w:val="00DF0D00"/>
    <w:rsid w:val="00DF0DCC"/>
    <w:rsid w:val="00DF115A"/>
    <w:rsid w:val="00DF165D"/>
    <w:rsid w:val="00DF1855"/>
    <w:rsid w:val="00DF1A38"/>
    <w:rsid w:val="00DF1A8B"/>
    <w:rsid w:val="00DF1B60"/>
    <w:rsid w:val="00DF1E44"/>
    <w:rsid w:val="00DF216A"/>
    <w:rsid w:val="00DF21AC"/>
    <w:rsid w:val="00DF2358"/>
    <w:rsid w:val="00DF246D"/>
    <w:rsid w:val="00DF260B"/>
    <w:rsid w:val="00DF2778"/>
    <w:rsid w:val="00DF280C"/>
    <w:rsid w:val="00DF2D93"/>
    <w:rsid w:val="00DF2F61"/>
    <w:rsid w:val="00DF3011"/>
    <w:rsid w:val="00DF316F"/>
    <w:rsid w:val="00DF3618"/>
    <w:rsid w:val="00DF3737"/>
    <w:rsid w:val="00DF3833"/>
    <w:rsid w:val="00DF384B"/>
    <w:rsid w:val="00DF389B"/>
    <w:rsid w:val="00DF3948"/>
    <w:rsid w:val="00DF3AAF"/>
    <w:rsid w:val="00DF3D61"/>
    <w:rsid w:val="00DF3FC7"/>
    <w:rsid w:val="00DF40AB"/>
    <w:rsid w:val="00DF4265"/>
    <w:rsid w:val="00DF429C"/>
    <w:rsid w:val="00DF42C4"/>
    <w:rsid w:val="00DF43D1"/>
    <w:rsid w:val="00DF4554"/>
    <w:rsid w:val="00DF47A0"/>
    <w:rsid w:val="00DF483B"/>
    <w:rsid w:val="00DF48A8"/>
    <w:rsid w:val="00DF4959"/>
    <w:rsid w:val="00DF4A44"/>
    <w:rsid w:val="00DF4B30"/>
    <w:rsid w:val="00DF4B81"/>
    <w:rsid w:val="00DF4BAA"/>
    <w:rsid w:val="00DF4C7C"/>
    <w:rsid w:val="00DF4C9D"/>
    <w:rsid w:val="00DF4D5E"/>
    <w:rsid w:val="00DF4F5D"/>
    <w:rsid w:val="00DF4F90"/>
    <w:rsid w:val="00DF4F96"/>
    <w:rsid w:val="00DF5225"/>
    <w:rsid w:val="00DF52E2"/>
    <w:rsid w:val="00DF53ED"/>
    <w:rsid w:val="00DF57A9"/>
    <w:rsid w:val="00DF5B5C"/>
    <w:rsid w:val="00DF5E3C"/>
    <w:rsid w:val="00DF5F2E"/>
    <w:rsid w:val="00DF61ED"/>
    <w:rsid w:val="00DF64D0"/>
    <w:rsid w:val="00DF65C7"/>
    <w:rsid w:val="00DF6611"/>
    <w:rsid w:val="00DF66A8"/>
    <w:rsid w:val="00DF67A8"/>
    <w:rsid w:val="00DF6862"/>
    <w:rsid w:val="00DF6863"/>
    <w:rsid w:val="00DF69AF"/>
    <w:rsid w:val="00DF6B94"/>
    <w:rsid w:val="00DF6BEF"/>
    <w:rsid w:val="00DF6FB6"/>
    <w:rsid w:val="00DF704E"/>
    <w:rsid w:val="00DF705C"/>
    <w:rsid w:val="00DF72A7"/>
    <w:rsid w:val="00DF73F7"/>
    <w:rsid w:val="00DF7602"/>
    <w:rsid w:val="00DF7661"/>
    <w:rsid w:val="00DF76D7"/>
    <w:rsid w:val="00DF7871"/>
    <w:rsid w:val="00DF7BE8"/>
    <w:rsid w:val="00DF7CF7"/>
    <w:rsid w:val="00DF7E36"/>
    <w:rsid w:val="00DF7EA4"/>
    <w:rsid w:val="00E00183"/>
    <w:rsid w:val="00E001CB"/>
    <w:rsid w:val="00E0021F"/>
    <w:rsid w:val="00E002C4"/>
    <w:rsid w:val="00E00349"/>
    <w:rsid w:val="00E00472"/>
    <w:rsid w:val="00E004C1"/>
    <w:rsid w:val="00E0069C"/>
    <w:rsid w:val="00E007EB"/>
    <w:rsid w:val="00E008A1"/>
    <w:rsid w:val="00E00957"/>
    <w:rsid w:val="00E009DE"/>
    <w:rsid w:val="00E00B47"/>
    <w:rsid w:val="00E00DAF"/>
    <w:rsid w:val="00E00DB2"/>
    <w:rsid w:val="00E00F37"/>
    <w:rsid w:val="00E00FB0"/>
    <w:rsid w:val="00E0110A"/>
    <w:rsid w:val="00E01243"/>
    <w:rsid w:val="00E013CA"/>
    <w:rsid w:val="00E01467"/>
    <w:rsid w:val="00E017C0"/>
    <w:rsid w:val="00E017CB"/>
    <w:rsid w:val="00E0182F"/>
    <w:rsid w:val="00E01A86"/>
    <w:rsid w:val="00E0206A"/>
    <w:rsid w:val="00E0232B"/>
    <w:rsid w:val="00E0246F"/>
    <w:rsid w:val="00E025C5"/>
    <w:rsid w:val="00E026C9"/>
    <w:rsid w:val="00E0274D"/>
    <w:rsid w:val="00E02761"/>
    <w:rsid w:val="00E027D1"/>
    <w:rsid w:val="00E0299F"/>
    <w:rsid w:val="00E02A8D"/>
    <w:rsid w:val="00E02BE7"/>
    <w:rsid w:val="00E02BEE"/>
    <w:rsid w:val="00E02FAE"/>
    <w:rsid w:val="00E031BF"/>
    <w:rsid w:val="00E033AC"/>
    <w:rsid w:val="00E03561"/>
    <w:rsid w:val="00E035E0"/>
    <w:rsid w:val="00E03663"/>
    <w:rsid w:val="00E039AA"/>
    <w:rsid w:val="00E03B18"/>
    <w:rsid w:val="00E03E5A"/>
    <w:rsid w:val="00E03E76"/>
    <w:rsid w:val="00E03F41"/>
    <w:rsid w:val="00E040D2"/>
    <w:rsid w:val="00E040D9"/>
    <w:rsid w:val="00E043F6"/>
    <w:rsid w:val="00E04516"/>
    <w:rsid w:val="00E04535"/>
    <w:rsid w:val="00E04566"/>
    <w:rsid w:val="00E047CB"/>
    <w:rsid w:val="00E04950"/>
    <w:rsid w:val="00E04A37"/>
    <w:rsid w:val="00E04A6B"/>
    <w:rsid w:val="00E04AA3"/>
    <w:rsid w:val="00E04AD7"/>
    <w:rsid w:val="00E04D0D"/>
    <w:rsid w:val="00E04F61"/>
    <w:rsid w:val="00E0522E"/>
    <w:rsid w:val="00E052F0"/>
    <w:rsid w:val="00E05324"/>
    <w:rsid w:val="00E0541C"/>
    <w:rsid w:val="00E054B6"/>
    <w:rsid w:val="00E05675"/>
    <w:rsid w:val="00E057BF"/>
    <w:rsid w:val="00E057E6"/>
    <w:rsid w:val="00E05887"/>
    <w:rsid w:val="00E058F6"/>
    <w:rsid w:val="00E05D6B"/>
    <w:rsid w:val="00E05DCF"/>
    <w:rsid w:val="00E05F96"/>
    <w:rsid w:val="00E0607C"/>
    <w:rsid w:val="00E060AE"/>
    <w:rsid w:val="00E0620E"/>
    <w:rsid w:val="00E0627A"/>
    <w:rsid w:val="00E064DC"/>
    <w:rsid w:val="00E06581"/>
    <w:rsid w:val="00E066A3"/>
    <w:rsid w:val="00E06756"/>
    <w:rsid w:val="00E06A73"/>
    <w:rsid w:val="00E06AAF"/>
    <w:rsid w:val="00E06D56"/>
    <w:rsid w:val="00E06DCD"/>
    <w:rsid w:val="00E06E6B"/>
    <w:rsid w:val="00E06F8C"/>
    <w:rsid w:val="00E07033"/>
    <w:rsid w:val="00E070A2"/>
    <w:rsid w:val="00E07122"/>
    <w:rsid w:val="00E0729D"/>
    <w:rsid w:val="00E07328"/>
    <w:rsid w:val="00E078B4"/>
    <w:rsid w:val="00E07CCB"/>
    <w:rsid w:val="00E07F76"/>
    <w:rsid w:val="00E10081"/>
    <w:rsid w:val="00E102F3"/>
    <w:rsid w:val="00E10329"/>
    <w:rsid w:val="00E1083E"/>
    <w:rsid w:val="00E109EB"/>
    <w:rsid w:val="00E10C09"/>
    <w:rsid w:val="00E10D80"/>
    <w:rsid w:val="00E10F8C"/>
    <w:rsid w:val="00E110D7"/>
    <w:rsid w:val="00E112A6"/>
    <w:rsid w:val="00E11306"/>
    <w:rsid w:val="00E11416"/>
    <w:rsid w:val="00E116E1"/>
    <w:rsid w:val="00E11757"/>
    <w:rsid w:val="00E11821"/>
    <w:rsid w:val="00E11830"/>
    <w:rsid w:val="00E11874"/>
    <w:rsid w:val="00E118F2"/>
    <w:rsid w:val="00E119B3"/>
    <w:rsid w:val="00E119F8"/>
    <w:rsid w:val="00E11AD7"/>
    <w:rsid w:val="00E11AF9"/>
    <w:rsid w:val="00E12014"/>
    <w:rsid w:val="00E121FD"/>
    <w:rsid w:val="00E124F9"/>
    <w:rsid w:val="00E12802"/>
    <w:rsid w:val="00E12866"/>
    <w:rsid w:val="00E12908"/>
    <w:rsid w:val="00E12988"/>
    <w:rsid w:val="00E12A38"/>
    <w:rsid w:val="00E12B10"/>
    <w:rsid w:val="00E12CE1"/>
    <w:rsid w:val="00E12D72"/>
    <w:rsid w:val="00E12E5F"/>
    <w:rsid w:val="00E13064"/>
    <w:rsid w:val="00E13247"/>
    <w:rsid w:val="00E1334D"/>
    <w:rsid w:val="00E13359"/>
    <w:rsid w:val="00E1336B"/>
    <w:rsid w:val="00E1340F"/>
    <w:rsid w:val="00E134B5"/>
    <w:rsid w:val="00E13542"/>
    <w:rsid w:val="00E1363E"/>
    <w:rsid w:val="00E13698"/>
    <w:rsid w:val="00E136D0"/>
    <w:rsid w:val="00E136DA"/>
    <w:rsid w:val="00E136FD"/>
    <w:rsid w:val="00E13720"/>
    <w:rsid w:val="00E13732"/>
    <w:rsid w:val="00E13767"/>
    <w:rsid w:val="00E137BE"/>
    <w:rsid w:val="00E137DE"/>
    <w:rsid w:val="00E13B19"/>
    <w:rsid w:val="00E13C54"/>
    <w:rsid w:val="00E13D4A"/>
    <w:rsid w:val="00E13DF7"/>
    <w:rsid w:val="00E13EBF"/>
    <w:rsid w:val="00E13ED8"/>
    <w:rsid w:val="00E13F3E"/>
    <w:rsid w:val="00E1400C"/>
    <w:rsid w:val="00E14155"/>
    <w:rsid w:val="00E1433B"/>
    <w:rsid w:val="00E145A2"/>
    <w:rsid w:val="00E1465C"/>
    <w:rsid w:val="00E14772"/>
    <w:rsid w:val="00E148A0"/>
    <w:rsid w:val="00E149BB"/>
    <w:rsid w:val="00E14A74"/>
    <w:rsid w:val="00E14B2D"/>
    <w:rsid w:val="00E14C23"/>
    <w:rsid w:val="00E14C85"/>
    <w:rsid w:val="00E14CD0"/>
    <w:rsid w:val="00E14D32"/>
    <w:rsid w:val="00E14ECD"/>
    <w:rsid w:val="00E1503B"/>
    <w:rsid w:val="00E1524F"/>
    <w:rsid w:val="00E152C6"/>
    <w:rsid w:val="00E1533F"/>
    <w:rsid w:val="00E15385"/>
    <w:rsid w:val="00E155CA"/>
    <w:rsid w:val="00E155E8"/>
    <w:rsid w:val="00E15645"/>
    <w:rsid w:val="00E15654"/>
    <w:rsid w:val="00E156C3"/>
    <w:rsid w:val="00E1573B"/>
    <w:rsid w:val="00E158BD"/>
    <w:rsid w:val="00E15982"/>
    <w:rsid w:val="00E15AB4"/>
    <w:rsid w:val="00E15B0A"/>
    <w:rsid w:val="00E15B2B"/>
    <w:rsid w:val="00E15B68"/>
    <w:rsid w:val="00E15BDB"/>
    <w:rsid w:val="00E15C1F"/>
    <w:rsid w:val="00E15DA4"/>
    <w:rsid w:val="00E15EF2"/>
    <w:rsid w:val="00E160D6"/>
    <w:rsid w:val="00E16148"/>
    <w:rsid w:val="00E161E0"/>
    <w:rsid w:val="00E163FA"/>
    <w:rsid w:val="00E1657B"/>
    <w:rsid w:val="00E16612"/>
    <w:rsid w:val="00E16852"/>
    <w:rsid w:val="00E16C89"/>
    <w:rsid w:val="00E16DFE"/>
    <w:rsid w:val="00E16E0A"/>
    <w:rsid w:val="00E16EEE"/>
    <w:rsid w:val="00E17070"/>
    <w:rsid w:val="00E17325"/>
    <w:rsid w:val="00E1737E"/>
    <w:rsid w:val="00E173E9"/>
    <w:rsid w:val="00E1749D"/>
    <w:rsid w:val="00E17701"/>
    <w:rsid w:val="00E17966"/>
    <w:rsid w:val="00E179BE"/>
    <w:rsid w:val="00E179CB"/>
    <w:rsid w:val="00E179E6"/>
    <w:rsid w:val="00E17A35"/>
    <w:rsid w:val="00E17B1F"/>
    <w:rsid w:val="00E17BA6"/>
    <w:rsid w:val="00E17BAE"/>
    <w:rsid w:val="00E17C63"/>
    <w:rsid w:val="00E17DF6"/>
    <w:rsid w:val="00E17EBC"/>
    <w:rsid w:val="00E2005C"/>
    <w:rsid w:val="00E200B9"/>
    <w:rsid w:val="00E2016B"/>
    <w:rsid w:val="00E201B1"/>
    <w:rsid w:val="00E202B0"/>
    <w:rsid w:val="00E2031B"/>
    <w:rsid w:val="00E203AC"/>
    <w:rsid w:val="00E20539"/>
    <w:rsid w:val="00E2058A"/>
    <w:rsid w:val="00E20595"/>
    <w:rsid w:val="00E20698"/>
    <w:rsid w:val="00E206A6"/>
    <w:rsid w:val="00E206F0"/>
    <w:rsid w:val="00E20813"/>
    <w:rsid w:val="00E209ED"/>
    <w:rsid w:val="00E20AA7"/>
    <w:rsid w:val="00E20BC6"/>
    <w:rsid w:val="00E20CBE"/>
    <w:rsid w:val="00E20CF9"/>
    <w:rsid w:val="00E20ED9"/>
    <w:rsid w:val="00E21175"/>
    <w:rsid w:val="00E21319"/>
    <w:rsid w:val="00E215D7"/>
    <w:rsid w:val="00E215F0"/>
    <w:rsid w:val="00E21787"/>
    <w:rsid w:val="00E218ED"/>
    <w:rsid w:val="00E21A41"/>
    <w:rsid w:val="00E21C0F"/>
    <w:rsid w:val="00E21C53"/>
    <w:rsid w:val="00E220E3"/>
    <w:rsid w:val="00E22181"/>
    <w:rsid w:val="00E2235A"/>
    <w:rsid w:val="00E225BA"/>
    <w:rsid w:val="00E228D9"/>
    <w:rsid w:val="00E22C6C"/>
    <w:rsid w:val="00E22D22"/>
    <w:rsid w:val="00E22F1B"/>
    <w:rsid w:val="00E22F5B"/>
    <w:rsid w:val="00E23096"/>
    <w:rsid w:val="00E230C4"/>
    <w:rsid w:val="00E2314A"/>
    <w:rsid w:val="00E2320E"/>
    <w:rsid w:val="00E23337"/>
    <w:rsid w:val="00E23463"/>
    <w:rsid w:val="00E235DE"/>
    <w:rsid w:val="00E237C6"/>
    <w:rsid w:val="00E238E3"/>
    <w:rsid w:val="00E23AFE"/>
    <w:rsid w:val="00E23B60"/>
    <w:rsid w:val="00E241CE"/>
    <w:rsid w:val="00E24222"/>
    <w:rsid w:val="00E242B0"/>
    <w:rsid w:val="00E242FD"/>
    <w:rsid w:val="00E2439C"/>
    <w:rsid w:val="00E24470"/>
    <w:rsid w:val="00E2449C"/>
    <w:rsid w:val="00E24670"/>
    <w:rsid w:val="00E246B8"/>
    <w:rsid w:val="00E2496A"/>
    <w:rsid w:val="00E24AA5"/>
    <w:rsid w:val="00E24CA7"/>
    <w:rsid w:val="00E25052"/>
    <w:rsid w:val="00E25070"/>
    <w:rsid w:val="00E25410"/>
    <w:rsid w:val="00E255BF"/>
    <w:rsid w:val="00E256BF"/>
    <w:rsid w:val="00E25787"/>
    <w:rsid w:val="00E25858"/>
    <w:rsid w:val="00E25BCC"/>
    <w:rsid w:val="00E25CD7"/>
    <w:rsid w:val="00E25DF7"/>
    <w:rsid w:val="00E25F33"/>
    <w:rsid w:val="00E25F49"/>
    <w:rsid w:val="00E25FAB"/>
    <w:rsid w:val="00E2618C"/>
    <w:rsid w:val="00E262AD"/>
    <w:rsid w:val="00E26441"/>
    <w:rsid w:val="00E264FE"/>
    <w:rsid w:val="00E2662A"/>
    <w:rsid w:val="00E267EA"/>
    <w:rsid w:val="00E26847"/>
    <w:rsid w:val="00E268B0"/>
    <w:rsid w:val="00E26928"/>
    <w:rsid w:val="00E26979"/>
    <w:rsid w:val="00E26986"/>
    <w:rsid w:val="00E26BB0"/>
    <w:rsid w:val="00E26D85"/>
    <w:rsid w:val="00E26E20"/>
    <w:rsid w:val="00E26E64"/>
    <w:rsid w:val="00E26EE6"/>
    <w:rsid w:val="00E2704A"/>
    <w:rsid w:val="00E2727F"/>
    <w:rsid w:val="00E273CA"/>
    <w:rsid w:val="00E274B8"/>
    <w:rsid w:val="00E27537"/>
    <w:rsid w:val="00E275FE"/>
    <w:rsid w:val="00E276CC"/>
    <w:rsid w:val="00E277D8"/>
    <w:rsid w:val="00E279B3"/>
    <w:rsid w:val="00E27C62"/>
    <w:rsid w:val="00E27F54"/>
    <w:rsid w:val="00E27F55"/>
    <w:rsid w:val="00E27F9F"/>
    <w:rsid w:val="00E3002A"/>
    <w:rsid w:val="00E300BC"/>
    <w:rsid w:val="00E30220"/>
    <w:rsid w:val="00E30399"/>
    <w:rsid w:val="00E304BC"/>
    <w:rsid w:val="00E3066D"/>
    <w:rsid w:val="00E30699"/>
    <w:rsid w:val="00E309B5"/>
    <w:rsid w:val="00E30A91"/>
    <w:rsid w:val="00E30B7B"/>
    <w:rsid w:val="00E30DE6"/>
    <w:rsid w:val="00E30E6A"/>
    <w:rsid w:val="00E30F5D"/>
    <w:rsid w:val="00E3122F"/>
    <w:rsid w:val="00E31474"/>
    <w:rsid w:val="00E31483"/>
    <w:rsid w:val="00E314A8"/>
    <w:rsid w:val="00E317CA"/>
    <w:rsid w:val="00E317F3"/>
    <w:rsid w:val="00E318A7"/>
    <w:rsid w:val="00E31B5E"/>
    <w:rsid w:val="00E31B6D"/>
    <w:rsid w:val="00E31B7F"/>
    <w:rsid w:val="00E31BB1"/>
    <w:rsid w:val="00E31C67"/>
    <w:rsid w:val="00E31CF4"/>
    <w:rsid w:val="00E31D60"/>
    <w:rsid w:val="00E31D64"/>
    <w:rsid w:val="00E31DC5"/>
    <w:rsid w:val="00E32276"/>
    <w:rsid w:val="00E32321"/>
    <w:rsid w:val="00E32560"/>
    <w:rsid w:val="00E32583"/>
    <w:rsid w:val="00E325FB"/>
    <w:rsid w:val="00E3289F"/>
    <w:rsid w:val="00E329C3"/>
    <w:rsid w:val="00E329F1"/>
    <w:rsid w:val="00E32ADA"/>
    <w:rsid w:val="00E32B0E"/>
    <w:rsid w:val="00E32BE5"/>
    <w:rsid w:val="00E32C9F"/>
    <w:rsid w:val="00E32D4B"/>
    <w:rsid w:val="00E32D5A"/>
    <w:rsid w:val="00E32E81"/>
    <w:rsid w:val="00E32FD4"/>
    <w:rsid w:val="00E33009"/>
    <w:rsid w:val="00E33066"/>
    <w:rsid w:val="00E330DD"/>
    <w:rsid w:val="00E330FA"/>
    <w:rsid w:val="00E331D0"/>
    <w:rsid w:val="00E338A5"/>
    <w:rsid w:val="00E338EC"/>
    <w:rsid w:val="00E33ABC"/>
    <w:rsid w:val="00E33C35"/>
    <w:rsid w:val="00E33C36"/>
    <w:rsid w:val="00E33D51"/>
    <w:rsid w:val="00E33DA5"/>
    <w:rsid w:val="00E33E4C"/>
    <w:rsid w:val="00E33F38"/>
    <w:rsid w:val="00E34120"/>
    <w:rsid w:val="00E34344"/>
    <w:rsid w:val="00E34380"/>
    <w:rsid w:val="00E345C8"/>
    <w:rsid w:val="00E34693"/>
    <w:rsid w:val="00E34836"/>
    <w:rsid w:val="00E348AD"/>
    <w:rsid w:val="00E349EE"/>
    <w:rsid w:val="00E34A73"/>
    <w:rsid w:val="00E34E78"/>
    <w:rsid w:val="00E34EA5"/>
    <w:rsid w:val="00E35231"/>
    <w:rsid w:val="00E3541D"/>
    <w:rsid w:val="00E355BD"/>
    <w:rsid w:val="00E3564E"/>
    <w:rsid w:val="00E356AF"/>
    <w:rsid w:val="00E3589A"/>
    <w:rsid w:val="00E358BB"/>
    <w:rsid w:val="00E35994"/>
    <w:rsid w:val="00E35BE7"/>
    <w:rsid w:val="00E35D72"/>
    <w:rsid w:val="00E35DED"/>
    <w:rsid w:val="00E362A2"/>
    <w:rsid w:val="00E362A4"/>
    <w:rsid w:val="00E36431"/>
    <w:rsid w:val="00E36832"/>
    <w:rsid w:val="00E3683C"/>
    <w:rsid w:val="00E3685B"/>
    <w:rsid w:val="00E3686A"/>
    <w:rsid w:val="00E36A56"/>
    <w:rsid w:val="00E36A83"/>
    <w:rsid w:val="00E36BD1"/>
    <w:rsid w:val="00E36FEE"/>
    <w:rsid w:val="00E37150"/>
    <w:rsid w:val="00E3731A"/>
    <w:rsid w:val="00E3736B"/>
    <w:rsid w:val="00E373CE"/>
    <w:rsid w:val="00E3776A"/>
    <w:rsid w:val="00E3790E"/>
    <w:rsid w:val="00E3794E"/>
    <w:rsid w:val="00E37984"/>
    <w:rsid w:val="00E3799D"/>
    <w:rsid w:val="00E37A4A"/>
    <w:rsid w:val="00E37AD3"/>
    <w:rsid w:val="00E37B0E"/>
    <w:rsid w:val="00E37BA7"/>
    <w:rsid w:val="00E37EAF"/>
    <w:rsid w:val="00E37EF9"/>
    <w:rsid w:val="00E37F37"/>
    <w:rsid w:val="00E37F50"/>
    <w:rsid w:val="00E37F64"/>
    <w:rsid w:val="00E37F9A"/>
    <w:rsid w:val="00E400F7"/>
    <w:rsid w:val="00E4015B"/>
    <w:rsid w:val="00E4036A"/>
    <w:rsid w:val="00E403FF"/>
    <w:rsid w:val="00E406A6"/>
    <w:rsid w:val="00E407C7"/>
    <w:rsid w:val="00E409C5"/>
    <w:rsid w:val="00E40A27"/>
    <w:rsid w:val="00E40AC7"/>
    <w:rsid w:val="00E40BA2"/>
    <w:rsid w:val="00E40BBF"/>
    <w:rsid w:val="00E40BCE"/>
    <w:rsid w:val="00E40C31"/>
    <w:rsid w:val="00E40D91"/>
    <w:rsid w:val="00E40FC3"/>
    <w:rsid w:val="00E411E9"/>
    <w:rsid w:val="00E41223"/>
    <w:rsid w:val="00E4146B"/>
    <w:rsid w:val="00E41877"/>
    <w:rsid w:val="00E41980"/>
    <w:rsid w:val="00E41B44"/>
    <w:rsid w:val="00E41D47"/>
    <w:rsid w:val="00E4201E"/>
    <w:rsid w:val="00E42038"/>
    <w:rsid w:val="00E42078"/>
    <w:rsid w:val="00E42282"/>
    <w:rsid w:val="00E422EC"/>
    <w:rsid w:val="00E42509"/>
    <w:rsid w:val="00E42525"/>
    <w:rsid w:val="00E4267B"/>
    <w:rsid w:val="00E4280E"/>
    <w:rsid w:val="00E4297E"/>
    <w:rsid w:val="00E42998"/>
    <w:rsid w:val="00E42B08"/>
    <w:rsid w:val="00E42B2D"/>
    <w:rsid w:val="00E42D0A"/>
    <w:rsid w:val="00E42D6C"/>
    <w:rsid w:val="00E4329D"/>
    <w:rsid w:val="00E432AA"/>
    <w:rsid w:val="00E4330F"/>
    <w:rsid w:val="00E4346A"/>
    <w:rsid w:val="00E43509"/>
    <w:rsid w:val="00E4364B"/>
    <w:rsid w:val="00E437C9"/>
    <w:rsid w:val="00E438A8"/>
    <w:rsid w:val="00E43B08"/>
    <w:rsid w:val="00E44080"/>
    <w:rsid w:val="00E4421A"/>
    <w:rsid w:val="00E442E0"/>
    <w:rsid w:val="00E44354"/>
    <w:rsid w:val="00E44416"/>
    <w:rsid w:val="00E444DD"/>
    <w:rsid w:val="00E445C7"/>
    <w:rsid w:val="00E44968"/>
    <w:rsid w:val="00E44971"/>
    <w:rsid w:val="00E4499A"/>
    <w:rsid w:val="00E44C65"/>
    <w:rsid w:val="00E44D9B"/>
    <w:rsid w:val="00E450C5"/>
    <w:rsid w:val="00E45197"/>
    <w:rsid w:val="00E452F1"/>
    <w:rsid w:val="00E45311"/>
    <w:rsid w:val="00E453A5"/>
    <w:rsid w:val="00E45480"/>
    <w:rsid w:val="00E45532"/>
    <w:rsid w:val="00E45747"/>
    <w:rsid w:val="00E45854"/>
    <w:rsid w:val="00E4595E"/>
    <w:rsid w:val="00E45B72"/>
    <w:rsid w:val="00E45C95"/>
    <w:rsid w:val="00E45D41"/>
    <w:rsid w:val="00E45D6E"/>
    <w:rsid w:val="00E4604D"/>
    <w:rsid w:val="00E4614B"/>
    <w:rsid w:val="00E461B9"/>
    <w:rsid w:val="00E465D8"/>
    <w:rsid w:val="00E466AE"/>
    <w:rsid w:val="00E468A2"/>
    <w:rsid w:val="00E468E8"/>
    <w:rsid w:val="00E468EF"/>
    <w:rsid w:val="00E46BFF"/>
    <w:rsid w:val="00E46DFB"/>
    <w:rsid w:val="00E47063"/>
    <w:rsid w:val="00E473C5"/>
    <w:rsid w:val="00E47486"/>
    <w:rsid w:val="00E47519"/>
    <w:rsid w:val="00E47621"/>
    <w:rsid w:val="00E477AB"/>
    <w:rsid w:val="00E478C2"/>
    <w:rsid w:val="00E478E7"/>
    <w:rsid w:val="00E47B2C"/>
    <w:rsid w:val="00E47D13"/>
    <w:rsid w:val="00E47E95"/>
    <w:rsid w:val="00E47FC4"/>
    <w:rsid w:val="00E500CE"/>
    <w:rsid w:val="00E50131"/>
    <w:rsid w:val="00E501D6"/>
    <w:rsid w:val="00E5044C"/>
    <w:rsid w:val="00E50675"/>
    <w:rsid w:val="00E5078D"/>
    <w:rsid w:val="00E508E5"/>
    <w:rsid w:val="00E5092F"/>
    <w:rsid w:val="00E509F1"/>
    <w:rsid w:val="00E50A38"/>
    <w:rsid w:val="00E50A57"/>
    <w:rsid w:val="00E50B3F"/>
    <w:rsid w:val="00E5117C"/>
    <w:rsid w:val="00E51399"/>
    <w:rsid w:val="00E514F0"/>
    <w:rsid w:val="00E51513"/>
    <w:rsid w:val="00E51870"/>
    <w:rsid w:val="00E519C8"/>
    <w:rsid w:val="00E519C9"/>
    <w:rsid w:val="00E51B12"/>
    <w:rsid w:val="00E522EE"/>
    <w:rsid w:val="00E5232A"/>
    <w:rsid w:val="00E523A2"/>
    <w:rsid w:val="00E5244D"/>
    <w:rsid w:val="00E52893"/>
    <w:rsid w:val="00E529FB"/>
    <w:rsid w:val="00E52B53"/>
    <w:rsid w:val="00E5309C"/>
    <w:rsid w:val="00E530A0"/>
    <w:rsid w:val="00E531B6"/>
    <w:rsid w:val="00E531CB"/>
    <w:rsid w:val="00E533A2"/>
    <w:rsid w:val="00E534BD"/>
    <w:rsid w:val="00E535FE"/>
    <w:rsid w:val="00E53767"/>
    <w:rsid w:val="00E537B7"/>
    <w:rsid w:val="00E539CA"/>
    <w:rsid w:val="00E53E62"/>
    <w:rsid w:val="00E53EC1"/>
    <w:rsid w:val="00E53F42"/>
    <w:rsid w:val="00E5457C"/>
    <w:rsid w:val="00E5471D"/>
    <w:rsid w:val="00E54A48"/>
    <w:rsid w:val="00E54C38"/>
    <w:rsid w:val="00E54CA0"/>
    <w:rsid w:val="00E54CB4"/>
    <w:rsid w:val="00E54CDB"/>
    <w:rsid w:val="00E54D0C"/>
    <w:rsid w:val="00E54D78"/>
    <w:rsid w:val="00E54E04"/>
    <w:rsid w:val="00E54E34"/>
    <w:rsid w:val="00E55040"/>
    <w:rsid w:val="00E55059"/>
    <w:rsid w:val="00E550D2"/>
    <w:rsid w:val="00E551D8"/>
    <w:rsid w:val="00E5534F"/>
    <w:rsid w:val="00E5558C"/>
    <w:rsid w:val="00E556D8"/>
    <w:rsid w:val="00E559AF"/>
    <w:rsid w:val="00E55BC3"/>
    <w:rsid w:val="00E56021"/>
    <w:rsid w:val="00E56091"/>
    <w:rsid w:val="00E5618F"/>
    <w:rsid w:val="00E562B7"/>
    <w:rsid w:val="00E562FC"/>
    <w:rsid w:val="00E56339"/>
    <w:rsid w:val="00E56377"/>
    <w:rsid w:val="00E563D9"/>
    <w:rsid w:val="00E565CE"/>
    <w:rsid w:val="00E56765"/>
    <w:rsid w:val="00E56A83"/>
    <w:rsid w:val="00E56B76"/>
    <w:rsid w:val="00E56BA4"/>
    <w:rsid w:val="00E56BDF"/>
    <w:rsid w:val="00E56D85"/>
    <w:rsid w:val="00E56E14"/>
    <w:rsid w:val="00E56F93"/>
    <w:rsid w:val="00E56FA1"/>
    <w:rsid w:val="00E56FDA"/>
    <w:rsid w:val="00E573BE"/>
    <w:rsid w:val="00E5749C"/>
    <w:rsid w:val="00E575E5"/>
    <w:rsid w:val="00E5773B"/>
    <w:rsid w:val="00E578DC"/>
    <w:rsid w:val="00E5798F"/>
    <w:rsid w:val="00E57B3C"/>
    <w:rsid w:val="00E57B5B"/>
    <w:rsid w:val="00E57B79"/>
    <w:rsid w:val="00E57F7D"/>
    <w:rsid w:val="00E57FFA"/>
    <w:rsid w:val="00E60008"/>
    <w:rsid w:val="00E6002E"/>
    <w:rsid w:val="00E6009C"/>
    <w:rsid w:val="00E602C4"/>
    <w:rsid w:val="00E6041D"/>
    <w:rsid w:val="00E6067E"/>
    <w:rsid w:val="00E60688"/>
    <w:rsid w:val="00E60690"/>
    <w:rsid w:val="00E60705"/>
    <w:rsid w:val="00E6084C"/>
    <w:rsid w:val="00E60BB0"/>
    <w:rsid w:val="00E60C3D"/>
    <w:rsid w:val="00E60C80"/>
    <w:rsid w:val="00E60FFC"/>
    <w:rsid w:val="00E61110"/>
    <w:rsid w:val="00E6111D"/>
    <w:rsid w:val="00E61150"/>
    <w:rsid w:val="00E6147A"/>
    <w:rsid w:val="00E614F8"/>
    <w:rsid w:val="00E61702"/>
    <w:rsid w:val="00E61827"/>
    <w:rsid w:val="00E61872"/>
    <w:rsid w:val="00E618D8"/>
    <w:rsid w:val="00E61A17"/>
    <w:rsid w:val="00E61B05"/>
    <w:rsid w:val="00E622AB"/>
    <w:rsid w:val="00E622CD"/>
    <w:rsid w:val="00E62395"/>
    <w:rsid w:val="00E623FD"/>
    <w:rsid w:val="00E62414"/>
    <w:rsid w:val="00E62522"/>
    <w:rsid w:val="00E62BC7"/>
    <w:rsid w:val="00E62C19"/>
    <w:rsid w:val="00E62CBC"/>
    <w:rsid w:val="00E62D71"/>
    <w:rsid w:val="00E62FD0"/>
    <w:rsid w:val="00E6312D"/>
    <w:rsid w:val="00E631B3"/>
    <w:rsid w:val="00E631E7"/>
    <w:rsid w:val="00E6333D"/>
    <w:rsid w:val="00E633A5"/>
    <w:rsid w:val="00E63421"/>
    <w:rsid w:val="00E634BF"/>
    <w:rsid w:val="00E63583"/>
    <w:rsid w:val="00E6364B"/>
    <w:rsid w:val="00E636F3"/>
    <w:rsid w:val="00E63874"/>
    <w:rsid w:val="00E639DA"/>
    <w:rsid w:val="00E63A4D"/>
    <w:rsid w:val="00E63E88"/>
    <w:rsid w:val="00E643FD"/>
    <w:rsid w:val="00E64449"/>
    <w:rsid w:val="00E6445E"/>
    <w:rsid w:val="00E6453C"/>
    <w:rsid w:val="00E64550"/>
    <w:rsid w:val="00E645A2"/>
    <w:rsid w:val="00E6477A"/>
    <w:rsid w:val="00E64852"/>
    <w:rsid w:val="00E64B7D"/>
    <w:rsid w:val="00E64BEC"/>
    <w:rsid w:val="00E64CBA"/>
    <w:rsid w:val="00E64E0C"/>
    <w:rsid w:val="00E64E24"/>
    <w:rsid w:val="00E64FA6"/>
    <w:rsid w:val="00E64FB8"/>
    <w:rsid w:val="00E65161"/>
    <w:rsid w:val="00E65416"/>
    <w:rsid w:val="00E656DF"/>
    <w:rsid w:val="00E65AA7"/>
    <w:rsid w:val="00E65BA0"/>
    <w:rsid w:val="00E66102"/>
    <w:rsid w:val="00E661D3"/>
    <w:rsid w:val="00E66465"/>
    <w:rsid w:val="00E6659E"/>
    <w:rsid w:val="00E6666D"/>
    <w:rsid w:val="00E6668F"/>
    <w:rsid w:val="00E66768"/>
    <w:rsid w:val="00E66793"/>
    <w:rsid w:val="00E667D7"/>
    <w:rsid w:val="00E66A8C"/>
    <w:rsid w:val="00E66AD9"/>
    <w:rsid w:val="00E66BF2"/>
    <w:rsid w:val="00E671B6"/>
    <w:rsid w:val="00E672B7"/>
    <w:rsid w:val="00E6742A"/>
    <w:rsid w:val="00E6749D"/>
    <w:rsid w:val="00E674A5"/>
    <w:rsid w:val="00E67629"/>
    <w:rsid w:val="00E67759"/>
    <w:rsid w:val="00E6791C"/>
    <w:rsid w:val="00E67923"/>
    <w:rsid w:val="00E67A8A"/>
    <w:rsid w:val="00E67C1D"/>
    <w:rsid w:val="00E67CCE"/>
    <w:rsid w:val="00E67D1A"/>
    <w:rsid w:val="00E67D30"/>
    <w:rsid w:val="00E67DE4"/>
    <w:rsid w:val="00E67E3D"/>
    <w:rsid w:val="00E7010B"/>
    <w:rsid w:val="00E70386"/>
    <w:rsid w:val="00E703D8"/>
    <w:rsid w:val="00E70887"/>
    <w:rsid w:val="00E7094E"/>
    <w:rsid w:val="00E70AE6"/>
    <w:rsid w:val="00E71206"/>
    <w:rsid w:val="00E713C6"/>
    <w:rsid w:val="00E713EC"/>
    <w:rsid w:val="00E71420"/>
    <w:rsid w:val="00E714B8"/>
    <w:rsid w:val="00E715A5"/>
    <w:rsid w:val="00E71681"/>
    <w:rsid w:val="00E71787"/>
    <w:rsid w:val="00E7194F"/>
    <w:rsid w:val="00E719EA"/>
    <w:rsid w:val="00E71A1C"/>
    <w:rsid w:val="00E71B5D"/>
    <w:rsid w:val="00E71C85"/>
    <w:rsid w:val="00E71E40"/>
    <w:rsid w:val="00E71FF3"/>
    <w:rsid w:val="00E7242A"/>
    <w:rsid w:val="00E725D9"/>
    <w:rsid w:val="00E72724"/>
    <w:rsid w:val="00E72818"/>
    <w:rsid w:val="00E72831"/>
    <w:rsid w:val="00E7283C"/>
    <w:rsid w:val="00E72C02"/>
    <w:rsid w:val="00E72C69"/>
    <w:rsid w:val="00E72E4D"/>
    <w:rsid w:val="00E72FA2"/>
    <w:rsid w:val="00E72FCA"/>
    <w:rsid w:val="00E7324F"/>
    <w:rsid w:val="00E732DA"/>
    <w:rsid w:val="00E732E9"/>
    <w:rsid w:val="00E73465"/>
    <w:rsid w:val="00E73592"/>
    <w:rsid w:val="00E73635"/>
    <w:rsid w:val="00E736A3"/>
    <w:rsid w:val="00E737A3"/>
    <w:rsid w:val="00E73834"/>
    <w:rsid w:val="00E7397D"/>
    <w:rsid w:val="00E73B5C"/>
    <w:rsid w:val="00E73D48"/>
    <w:rsid w:val="00E73F4A"/>
    <w:rsid w:val="00E74030"/>
    <w:rsid w:val="00E740D2"/>
    <w:rsid w:val="00E742CD"/>
    <w:rsid w:val="00E744B7"/>
    <w:rsid w:val="00E74ADF"/>
    <w:rsid w:val="00E74AEF"/>
    <w:rsid w:val="00E74B99"/>
    <w:rsid w:val="00E74D0E"/>
    <w:rsid w:val="00E74DB0"/>
    <w:rsid w:val="00E74DB3"/>
    <w:rsid w:val="00E753CE"/>
    <w:rsid w:val="00E755B4"/>
    <w:rsid w:val="00E7566C"/>
    <w:rsid w:val="00E75972"/>
    <w:rsid w:val="00E75C09"/>
    <w:rsid w:val="00E75C65"/>
    <w:rsid w:val="00E75C96"/>
    <w:rsid w:val="00E75D9C"/>
    <w:rsid w:val="00E75E3E"/>
    <w:rsid w:val="00E76556"/>
    <w:rsid w:val="00E7670D"/>
    <w:rsid w:val="00E768A4"/>
    <w:rsid w:val="00E76981"/>
    <w:rsid w:val="00E76BD6"/>
    <w:rsid w:val="00E76DC4"/>
    <w:rsid w:val="00E76E6F"/>
    <w:rsid w:val="00E76E9F"/>
    <w:rsid w:val="00E770B7"/>
    <w:rsid w:val="00E770C6"/>
    <w:rsid w:val="00E77268"/>
    <w:rsid w:val="00E77285"/>
    <w:rsid w:val="00E77338"/>
    <w:rsid w:val="00E7738A"/>
    <w:rsid w:val="00E77421"/>
    <w:rsid w:val="00E775EF"/>
    <w:rsid w:val="00E7764D"/>
    <w:rsid w:val="00E776D7"/>
    <w:rsid w:val="00E779B7"/>
    <w:rsid w:val="00E77CE5"/>
    <w:rsid w:val="00E77D8D"/>
    <w:rsid w:val="00E77E25"/>
    <w:rsid w:val="00E77E65"/>
    <w:rsid w:val="00E80072"/>
    <w:rsid w:val="00E803DC"/>
    <w:rsid w:val="00E80486"/>
    <w:rsid w:val="00E80562"/>
    <w:rsid w:val="00E805AB"/>
    <w:rsid w:val="00E805BF"/>
    <w:rsid w:val="00E806AF"/>
    <w:rsid w:val="00E807BE"/>
    <w:rsid w:val="00E8080F"/>
    <w:rsid w:val="00E808DC"/>
    <w:rsid w:val="00E809F8"/>
    <w:rsid w:val="00E80AEE"/>
    <w:rsid w:val="00E80B39"/>
    <w:rsid w:val="00E80D11"/>
    <w:rsid w:val="00E812AC"/>
    <w:rsid w:val="00E813C9"/>
    <w:rsid w:val="00E8148B"/>
    <w:rsid w:val="00E814CE"/>
    <w:rsid w:val="00E81552"/>
    <w:rsid w:val="00E817AB"/>
    <w:rsid w:val="00E8186B"/>
    <w:rsid w:val="00E81913"/>
    <w:rsid w:val="00E81BB9"/>
    <w:rsid w:val="00E81C22"/>
    <w:rsid w:val="00E82140"/>
    <w:rsid w:val="00E82168"/>
    <w:rsid w:val="00E821BF"/>
    <w:rsid w:val="00E82339"/>
    <w:rsid w:val="00E8233A"/>
    <w:rsid w:val="00E823B8"/>
    <w:rsid w:val="00E82479"/>
    <w:rsid w:val="00E824C7"/>
    <w:rsid w:val="00E82657"/>
    <w:rsid w:val="00E828F7"/>
    <w:rsid w:val="00E829F7"/>
    <w:rsid w:val="00E82ADB"/>
    <w:rsid w:val="00E82D11"/>
    <w:rsid w:val="00E830FC"/>
    <w:rsid w:val="00E8348D"/>
    <w:rsid w:val="00E834AE"/>
    <w:rsid w:val="00E834DC"/>
    <w:rsid w:val="00E834E0"/>
    <w:rsid w:val="00E834F2"/>
    <w:rsid w:val="00E83539"/>
    <w:rsid w:val="00E8367E"/>
    <w:rsid w:val="00E836CC"/>
    <w:rsid w:val="00E8382E"/>
    <w:rsid w:val="00E8385B"/>
    <w:rsid w:val="00E83B14"/>
    <w:rsid w:val="00E83B1C"/>
    <w:rsid w:val="00E83CC5"/>
    <w:rsid w:val="00E83FAE"/>
    <w:rsid w:val="00E84383"/>
    <w:rsid w:val="00E843C5"/>
    <w:rsid w:val="00E84504"/>
    <w:rsid w:val="00E8459F"/>
    <w:rsid w:val="00E846E5"/>
    <w:rsid w:val="00E847CE"/>
    <w:rsid w:val="00E849B2"/>
    <w:rsid w:val="00E849C5"/>
    <w:rsid w:val="00E84B65"/>
    <w:rsid w:val="00E84BAA"/>
    <w:rsid w:val="00E84BFF"/>
    <w:rsid w:val="00E84C70"/>
    <w:rsid w:val="00E8502F"/>
    <w:rsid w:val="00E85052"/>
    <w:rsid w:val="00E850B8"/>
    <w:rsid w:val="00E85611"/>
    <w:rsid w:val="00E85641"/>
    <w:rsid w:val="00E85703"/>
    <w:rsid w:val="00E8589B"/>
    <w:rsid w:val="00E85AB7"/>
    <w:rsid w:val="00E85AE0"/>
    <w:rsid w:val="00E85B7C"/>
    <w:rsid w:val="00E85C2A"/>
    <w:rsid w:val="00E85D8C"/>
    <w:rsid w:val="00E85F49"/>
    <w:rsid w:val="00E86120"/>
    <w:rsid w:val="00E86242"/>
    <w:rsid w:val="00E86327"/>
    <w:rsid w:val="00E8643D"/>
    <w:rsid w:val="00E865B5"/>
    <w:rsid w:val="00E865F5"/>
    <w:rsid w:val="00E86671"/>
    <w:rsid w:val="00E8688A"/>
    <w:rsid w:val="00E8696F"/>
    <w:rsid w:val="00E86980"/>
    <w:rsid w:val="00E86B01"/>
    <w:rsid w:val="00E86C81"/>
    <w:rsid w:val="00E86DE6"/>
    <w:rsid w:val="00E870A7"/>
    <w:rsid w:val="00E872C0"/>
    <w:rsid w:val="00E87399"/>
    <w:rsid w:val="00E874F9"/>
    <w:rsid w:val="00E87993"/>
    <w:rsid w:val="00E87B20"/>
    <w:rsid w:val="00E87BC4"/>
    <w:rsid w:val="00E87C87"/>
    <w:rsid w:val="00E900B6"/>
    <w:rsid w:val="00E900DB"/>
    <w:rsid w:val="00E90177"/>
    <w:rsid w:val="00E903DB"/>
    <w:rsid w:val="00E90571"/>
    <w:rsid w:val="00E9057F"/>
    <w:rsid w:val="00E90701"/>
    <w:rsid w:val="00E907B7"/>
    <w:rsid w:val="00E9095F"/>
    <w:rsid w:val="00E90A64"/>
    <w:rsid w:val="00E90E01"/>
    <w:rsid w:val="00E90E36"/>
    <w:rsid w:val="00E91098"/>
    <w:rsid w:val="00E91211"/>
    <w:rsid w:val="00E9139E"/>
    <w:rsid w:val="00E91569"/>
    <w:rsid w:val="00E9161F"/>
    <w:rsid w:val="00E91623"/>
    <w:rsid w:val="00E9165C"/>
    <w:rsid w:val="00E917F3"/>
    <w:rsid w:val="00E91917"/>
    <w:rsid w:val="00E91922"/>
    <w:rsid w:val="00E91A73"/>
    <w:rsid w:val="00E91C09"/>
    <w:rsid w:val="00E91C0D"/>
    <w:rsid w:val="00E91D0D"/>
    <w:rsid w:val="00E91D6B"/>
    <w:rsid w:val="00E91ED5"/>
    <w:rsid w:val="00E91F13"/>
    <w:rsid w:val="00E92688"/>
    <w:rsid w:val="00E926A0"/>
    <w:rsid w:val="00E926C7"/>
    <w:rsid w:val="00E92B76"/>
    <w:rsid w:val="00E92BE8"/>
    <w:rsid w:val="00E92CD6"/>
    <w:rsid w:val="00E92D27"/>
    <w:rsid w:val="00E92E0C"/>
    <w:rsid w:val="00E92F52"/>
    <w:rsid w:val="00E92F68"/>
    <w:rsid w:val="00E92FA1"/>
    <w:rsid w:val="00E93062"/>
    <w:rsid w:val="00E93237"/>
    <w:rsid w:val="00E93354"/>
    <w:rsid w:val="00E9362C"/>
    <w:rsid w:val="00E936E3"/>
    <w:rsid w:val="00E93B79"/>
    <w:rsid w:val="00E93CA8"/>
    <w:rsid w:val="00E93D4A"/>
    <w:rsid w:val="00E93E3E"/>
    <w:rsid w:val="00E942CB"/>
    <w:rsid w:val="00E943E2"/>
    <w:rsid w:val="00E94483"/>
    <w:rsid w:val="00E94819"/>
    <w:rsid w:val="00E948ED"/>
    <w:rsid w:val="00E94A8C"/>
    <w:rsid w:val="00E94CF7"/>
    <w:rsid w:val="00E94CFD"/>
    <w:rsid w:val="00E94DDF"/>
    <w:rsid w:val="00E94E3E"/>
    <w:rsid w:val="00E94E5B"/>
    <w:rsid w:val="00E94EEE"/>
    <w:rsid w:val="00E950DC"/>
    <w:rsid w:val="00E9521F"/>
    <w:rsid w:val="00E9525C"/>
    <w:rsid w:val="00E9530D"/>
    <w:rsid w:val="00E95407"/>
    <w:rsid w:val="00E955DF"/>
    <w:rsid w:val="00E95729"/>
    <w:rsid w:val="00E95881"/>
    <w:rsid w:val="00E959F4"/>
    <w:rsid w:val="00E95B46"/>
    <w:rsid w:val="00E95B94"/>
    <w:rsid w:val="00E95D7A"/>
    <w:rsid w:val="00E95E66"/>
    <w:rsid w:val="00E9623F"/>
    <w:rsid w:val="00E962B4"/>
    <w:rsid w:val="00E963B3"/>
    <w:rsid w:val="00E965AB"/>
    <w:rsid w:val="00E967BB"/>
    <w:rsid w:val="00E969B5"/>
    <w:rsid w:val="00E969E7"/>
    <w:rsid w:val="00E96CA6"/>
    <w:rsid w:val="00E96E00"/>
    <w:rsid w:val="00E96E2C"/>
    <w:rsid w:val="00E96FA9"/>
    <w:rsid w:val="00E971AB"/>
    <w:rsid w:val="00E97232"/>
    <w:rsid w:val="00E97580"/>
    <w:rsid w:val="00E977E5"/>
    <w:rsid w:val="00E978AC"/>
    <w:rsid w:val="00E9791F"/>
    <w:rsid w:val="00E979DD"/>
    <w:rsid w:val="00E97C8F"/>
    <w:rsid w:val="00E97EA3"/>
    <w:rsid w:val="00E97FC6"/>
    <w:rsid w:val="00EA00DB"/>
    <w:rsid w:val="00EA0148"/>
    <w:rsid w:val="00EA0274"/>
    <w:rsid w:val="00EA02F9"/>
    <w:rsid w:val="00EA0431"/>
    <w:rsid w:val="00EA0441"/>
    <w:rsid w:val="00EA0577"/>
    <w:rsid w:val="00EA0610"/>
    <w:rsid w:val="00EA064E"/>
    <w:rsid w:val="00EA0692"/>
    <w:rsid w:val="00EA0835"/>
    <w:rsid w:val="00EA08B7"/>
    <w:rsid w:val="00EA0A4D"/>
    <w:rsid w:val="00EA0A8B"/>
    <w:rsid w:val="00EA0B16"/>
    <w:rsid w:val="00EA0D63"/>
    <w:rsid w:val="00EA0DF8"/>
    <w:rsid w:val="00EA0F59"/>
    <w:rsid w:val="00EA10F5"/>
    <w:rsid w:val="00EA174C"/>
    <w:rsid w:val="00EA176A"/>
    <w:rsid w:val="00EA18F3"/>
    <w:rsid w:val="00EA1C4E"/>
    <w:rsid w:val="00EA1DA8"/>
    <w:rsid w:val="00EA1DE2"/>
    <w:rsid w:val="00EA1E10"/>
    <w:rsid w:val="00EA1E5A"/>
    <w:rsid w:val="00EA1F69"/>
    <w:rsid w:val="00EA21CD"/>
    <w:rsid w:val="00EA224F"/>
    <w:rsid w:val="00EA2269"/>
    <w:rsid w:val="00EA25D3"/>
    <w:rsid w:val="00EA2670"/>
    <w:rsid w:val="00EA26CC"/>
    <w:rsid w:val="00EA2708"/>
    <w:rsid w:val="00EA2905"/>
    <w:rsid w:val="00EA2BA7"/>
    <w:rsid w:val="00EA2C2B"/>
    <w:rsid w:val="00EA2F6E"/>
    <w:rsid w:val="00EA2F99"/>
    <w:rsid w:val="00EA307A"/>
    <w:rsid w:val="00EA3379"/>
    <w:rsid w:val="00EA3538"/>
    <w:rsid w:val="00EA368D"/>
    <w:rsid w:val="00EA386E"/>
    <w:rsid w:val="00EA3B68"/>
    <w:rsid w:val="00EA3F2F"/>
    <w:rsid w:val="00EA420E"/>
    <w:rsid w:val="00EA42DD"/>
    <w:rsid w:val="00EA4409"/>
    <w:rsid w:val="00EA44C7"/>
    <w:rsid w:val="00EA455C"/>
    <w:rsid w:val="00EA45D5"/>
    <w:rsid w:val="00EA4634"/>
    <w:rsid w:val="00EA4678"/>
    <w:rsid w:val="00EA4685"/>
    <w:rsid w:val="00EA46D3"/>
    <w:rsid w:val="00EA4849"/>
    <w:rsid w:val="00EA4A16"/>
    <w:rsid w:val="00EA4A29"/>
    <w:rsid w:val="00EA4C0F"/>
    <w:rsid w:val="00EA4C73"/>
    <w:rsid w:val="00EA4D18"/>
    <w:rsid w:val="00EA4E4A"/>
    <w:rsid w:val="00EA4E69"/>
    <w:rsid w:val="00EA4EC5"/>
    <w:rsid w:val="00EA4F11"/>
    <w:rsid w:val="00EA5002"/>
    <w:rsid w:val="00EA5177"/>
    <w:rsid w:val="00EA51BA"/>
    <w:rsid w:val="00EA51EC"/>
    <w:rsid w:val="00EA5204"/>
    <w:rsid w:val="00EA52DD"/>
    <w:rsid w:val="00EA530E"/>
    <w:rsid w:val="00EA53EB"/>
    <w:rsid w:val="00EA559E"/>
    <w:rsid w:val="00EA571C"/>
    <w:rsid w:val="00EA5730"/>
    <w:rsid w:val="00EA57B2"/>
    <w:rsid w:val="00EA588E"/>
    <w:rsid w:val="00EA59D6"/>
    <w:rsid w:val="00EA5C5C"/>
    <w:rsid w:val="00EA5D30"/>
    <w:rsid w:val="00EA5E59"/>
    <w:rsid w:val="00EA5E7B"/>
    <w:rsid w:val="00EA5EBA"/>
    <w:rsid w:val="00EA5F6F"/>
    <w:rsid w:val="00EA5FA3"/>
    <w:rsid w:val="00EA611F"/>
    <w:rsid w:val="00EA6542"/>
    <w:rsid w:val="00EA656D"/>
    <w:rsid w:val="00EA65D7"/>
    <w:rsid w:val="00EA67DF"/>
    <w:rsid w:val="00EA6AD4"/>
    <w:rsid w:val="00EA6BB1"/>
    <w:rsid w:val="00EA6CD4"/>
    <w:rsid w:val="00EA6D50"/>
    <w:rsid w:val="00EA6D74"/>
    <w:rsid w:val="00EA6E99"/>
    <w:rsid w:val="00EA7020"/>
    <w:rsid w:val="00EA710B"/>
    <w:rsid w:val="00EA71FD"/>
    <w:rsid w:val="00EA7216"/>
    <w:rsid w:val="00EA7235"/>
    <w:rsid w:val="00EA7263"/>
    <w:rsid w:val="00EA73A0"/>
    <w:rsid w:val="00EA7406"/>
    <w:rsid w:val="00EA745E"/>
    <w:rsid w:val="00EA74DD"/>
    <w:rsid w:val="00EA754E"/>
    <w:rsid w:val="00EA75D3"/>
    <w:rsid w:val="00EA763C"/>
    <w:rsid w:val="00EA78C2"/>
    <w:rsid w:val="00EA797D"/>
    <w:rsid w:val="00EA7993"/>
    <w:rsid w:val="00EA79E7"/>
    <w:rsid w:val="00EA7B19"/>
    <w:rsid w:val="00EA7D76"/>
    <w:rsid w:val="00EA7D96"/>
    <w:rsid w:val="00EA7EFA"/>
    <w:rsid w:val="00EA7F10"/>
    <w:rsid w:val="00EB0048"/>
    <w:rsid w:val="00EB01AD"/>
    <w:rsid w:val="00EB038C"/>
    <w:rsid w:val="00EB0450"/>
    <w:rsid w:val="00EB0533"/>
    <w:rsid w:val="00EB07BE"/>
    <w:rsid w:val="00EB0854"/>
    <w:rsid w:val="00EB09C5"/>
    <w:rsid w:val="00EB0A2B"/>
    <w:rsid w:val="00EB0BCA"/>
    <w:rsid w:val="00EB0D01"/>
    <w:rsid w:val="00EB0F72"/>
    <w:rsid w:val="00EB0FB5"/>
    <w:rsid w:val="00EB1017"/>
    <w:rsid w:val="00EB1053"/>
    <w:rsid w:val="00EB10AB"/>
    <w:rsid w:val="00EB11BB"/>
    <w:rsid w:val="00EB15BA"/>
    <w:rsid w:val="00EB1941"/>
    <w:rsid w:val="00EB1B9B"/>
    <w:rsid w:val="00EB1E3B"/>
    <w:rsid w:val="00EB1F68"/>
    <w:rsid w:val="00EB21F1"/>
    <w:rsid w:val="00EB23E8"/>
    <w:rsid w:val="00EB2453"/>
    <w:rsid w:val="00EB2651"/>
    <w:rsid w:val="00EB2691"/>
    <w:rsid w:val="00EB2699"/>
    <w:rsid w:val="00EB28B7"/>
    <w:rsid w:val="00EB2B0B"/>
    <w:rsid w:val="00EB31F2"/>
    <w:rsid w:val="00EB325B"/>
    <w:rsid w:val="00EB33CF"/>
    <w:rsid w:val="00EB3564"/>
    <w:rsid w:val="00EB36DF"/>
    <w:rsid w:val="00EB37B2"/>
    <w:rsid w:val="00EB37E3"/>
    <w:rsid w:val="00EB3992"/>
    <w:rsid w:val="00EB39C1"/>
    <w:rsid w:val="00EB3DFE"/>
    <w:rsid w:val="00EB3E59"/>
    <w:rsid w:val="00EB3EC3"/>
    <w:rsid w:val="00EB3F47"/>
    <w:rsid w:val="00EB41A4"/>
    <w:rsid w:val="00EB4410"/>
    <w:rsid w:val="00EB4539"/>
    <w:rsid w:val="00EB468F"/>
    <w:rsid w:val="00EB48E5"/>
    <w:rsid w:val="00EB4974"/>
    <w:rsid w:val="00EB4C95"/>
    <w:rsid w:val="00EB4F3C"/>
    <w:rsid w:val="00EB535E"/>
    <w:rsid w:val="00EB558B"/>
    <w:rsid w:val="00EB5719"/>
    <w:rsid w:val="00EB58D4"/>
    <w:rsid w:val="00EB59B9"/>
    <w:rsid w:val="00EB5B67"/>
    <w:rsid w:val="00EB5C1B"/>
    <w:rsid w:val="00EB5D11"/>
    <w:rsid w:val="00EB5FA6"/>
    <w:rsid w:val="00EB6087"/>
    <w:rsid w:val="00EB610B"/>
    <w:rsid w:val="00EB61F2"/>
    <w:rsid w:val="00EB6264"/>
    <w:rsid w:val="00EB6321"/>
    <w:rsid w:val="00EB637C"/>
    <w:rsid w:val="00EB63F6"/>
    <w:rsid w:val="00EB64ED"/>
    <w:rsid w:val="00EB65EF"/>
    <w:rsid w:val="00EB684F"/>
    <w:rsid w:val="00EB6950"/>
    <w:rsid w:val="00EB69D8"/>
    <w:rsid w:val="00EB6B59"/>
    <w:rsid w:val="00EB6E70"/>
    <w:rsid w:val="00EB6E8B"/>
    <w:rsid w:val="00EB6ED5"/>
    <w:rsid w:val="00EB708E"/>
    <w:rsid w:val="00EB729B"/>
    <w:rsid w:val="00EB730F"/>
    <w:rsid w:val="00EB73C9"/>
    <w:rsid w:val="00EB767D"/>
    <w:rsid w:val="00EB78A2"/>
    <w:rsid w:val="00EB7AF2"/>
    <w:rsid w:val="00EB7BBE"/>
    <w:rsid w:val="00EB7D28"/>
    <w:rsid w:val="00EB7E31"/>
    <w:rsid w:val="00EC0041"/>
    <w:rsid w:val="00EC007E"/>
    <w:rsid w:val="00EC0145"/>
    <w:rsid w:val="00EC0275"/>
    <w:rsid w:val="00EC02CC"/>
    <w:rsid w:val="00EC03D6"/>
    <w:rsid w:val="00EC05C8"/>
    <w:rsid w:val="00EC06F6"/>
    <w:rsid w:val="00EC074D"/>
    <w:rsid w:val="00EC0854"/>
    <w:rsid w:val="00EC08BB"/>
    <w:rsid w:val="00EC095F"/>
    <w:rsid w:val="00EC0990"/>
    <w:rsid w:val="00EC0BA3"/>
    <w:rsid w:val="00EC0FB9"/>
    <w:rsid w:val="00EC1210"/>
    <w:rsid w:val="00EC1367"/>
    <w:rsid w:val="00EC137F"/>
    <w:rsid w:val="00EC1408"/>
    <w:rsid w:val="00EC1466"/>
    <w:rsid w:val="00EC15E1"/>
    <w:rsid w:val="00EC1666"/>
    <w:rsid w:val="00EC17E3"/>
    <w:rsid w:val="00EC188E"/>
    <w:rsid w:val="00EC19A2"/>
    <w:rsid w:val="00EC1AFA"/>
    <w:rsid w:val="00EC1BF8"/>
    <w:rsid w:val="00EC1CBC"/>
    <w:rsid w:val="00EC1D4D"/>
    <w:rsid w:val="00EC1ED7"/>
    <w:rsid w:val="00EC1EF0"/>
    <w:rsid w:val="00EC2097"/>
    <w:rsid w:val="00EC21E3"/>
    <w:rsid w:val="00EC23AB"/>
    <w:rsid w:val="00EC259D"/>
    <w:rsid w:val="00EC263B"/>
    <w:rsid w:val="00EC2788"/>
    <w:rsid w:val="00EC2835"/>
    <w:rsid w:val="00EC2A7A"/>
    <w:rsid w:val="00EC2B7B"/>
    <w:rsid w:val="00EC2BA0"/>
    <w:rsid w:val="00EC2BE9"/>
    <w:rsid w:val="00EC2BEA"/>
    <w:rsid w:val="00EC2CB3"/>
    <w:rsid w:val="00EC2D34"/>
    <w:rsid w:val="00EC2D36"/>
    <w:rsid w:val="00EC2D37"/>
    <w:rsid w:val="00EC3065"/>
    <w:rsid w:val="00EC3557"/>
    <w:rsid w:val="00EC3616"/>
    <w:rsid w:val="00EC36CC"/>
    <w:rsid w:val="00EC3841"/>
    <w:rsid w:val="00EC38BE"/>
    <w:rsid w:val="00EC3C44"/>
    <w:rsid w:val="00EC3CB4"/>
    <w:rsid w:val="00EC3D72"/>
    <w:rsid w:val="00EC3ED3"/>
    <w:rsid w:val="00EC3F90"/>
    <w:rsid w:val="00EC400F"/>
    <w:rsid w:val="00EC40AC"/>
    <w:rsid w:val="00EC40E7"/>
    <w:rsid w:val="00EC4171"/>
    <w:rsid w:val="00EC4687"/>
    <w:rsid w:val="00EC46EF"/>
    <w:rsid w:val="00EC4722"/>
    <w:rsid w:val="00EC4C25"/>
    <w:rsid w:val="00EC4C56"/>
    <w:rsid w:val="00EC4DD7"/>
    <w:rsid w:val="00EC4E76"/>
    <w:rsid w:val="00EC4FA3"/>
    <w:rsid w:val="00EC518B"/>
    <w:rsid w:val="00EC51F9"/>
    <w:rsid w:val="00EC52C8"/>
    <w:rsid w:val="00EC53FC"/>
    <w:rsid w:val="00EC5464"/>
    <w:rsid w:val="00EC5793"/>
    <w:rsid w:val="00EC5928"/>
    <w:rsid w:val="00EC5A65"/>
    <w:rsid w:val="00EC5BAF"/>
    <w:rsid w:val="00EC5BD4"/>
    <w:rsid w:val="00EC5F3D"/>
    <w:rsid w:val="00EC60D4"/>
    <w:rsid w:val="00EC637B"/>
    <w:rsid w:val="00EC6383"/>
    <w:rsid w:val="00EC6482"/>
    <w:rsid w:val="00EC68BD"/>
    <w:rsid w:val="00EC6B1E"/>
    <w:rsid w:val="00EC6ED1"/>
    <w:rsid w:val="00EC6ED4"/>
    <w:rsid w:val="00EC6F05"/>
    <w:rsid w:val="00EC6F2A"/>
    <w:rsid w:val="00EC6F5D"/>
    <w:rsid w:val="00EC6F8B"/>
    <w:rsid w:val="00EC71E2"/>
    <w:rsid w:val="00EC7201"/>
    <w:rsid w:val="00EC728D"/>
    <w:rsid w:val="00EC72DE"/>
    <w:rsid w:val="00EC757C"/>
    <w:rsid w:val="00EC7593"/>
    <w:rsid w:val="00EC75F0"/>
    <w:rsid w:val="00EC7682"/>
    <w:rsid w:val="00EC7E66"/>
    <w:rsid w:val="00ED0146"/>
    <w:rsid w:val="00ED015E"/>
    <w:rsid w:val="00ED028D"/>
    <w:rsid w:val="00ED029B"/>
    <w:rsid w:val="00ED02C5"/>
    <w:rsid w:val="00ED02FB"/>
    <w:rsid w:val="00ED06D9"/>
    <w:rsid w:val="00ED0922"/>
    <w:rsid w:val="00ED0A31"/>
    <w:rsid w:val="00ED0B15"/>
    <w:rsid w:val="00ED0B5B"/>
    <w:rsid w:val="00ED0BF7"/>
    <w:rsid w:val="00ED0C34"/>
    <w:rsid w:val="00ED0C39"/>
    <w:rsid w:val="00ED1134"/>
    <w:rsid w:val="00ED11F2"/>
    <w:rsid w:val="00ED1530"/>
    <w:rsid w:val="00ED15F2"/>
    <w:rsid w:val="00ED1786"/>
    <w:rsid w:val="00ED1884"/>
    <w:rsid w:val="00ED1993"/>
    <w:rsid w:val="00ED1B02"/>
    <w:rsid w:val="00ED1C11"/>
    <w:rsid w:val="00ED1CE4"/>
    <w:rsid w:val="00ED206F"/>
    <w:rsid w:val="00ED20AC"/>
    <w:rsid w:val="00ED20AD"/>
    <w:rsid w:val="00ED2300"/>
    <w:rsid w:val="00ED2320"/>
    <w:rsid w:val="00ED26B8"/>
    <w:rsid w:val="00ED2884"/>
    <w:rsid w:val="00ED29E1"/>
    <w:rsid w:val="00ED2A9B"/>
    <w:rsid w:val="00ED2E3B"/>
    <w:rsid w:val="00ED2ECE"/>
    <w:rsid w:val="00ED300F"/>
    <w:rsid w:val="00ED31C5"/>
    <w:rsid w:val="00ED331E"/>
    <w:rsid w:val="00ED33C8"/>
    <w:rsid w:val="00ED3453"/>
    <w:rsid w:val="00ED3463"/>
    <w:rsid w:val="00ED3592"/>
    <w:rsid w:val="00ED35C2"/>
    <w:rsid w:val="00ED39F5"/>
    <w:rsid w:val="00ED3C8D"/>
    <w:rsid w:val="00ED3DE9"/>
    <w:rsid w:val="00ED3DF2"/>
    <w:rsid w:val="00ED3EB5"/>
    <w:rsid w:val="00ED3EE1"/>
    <w:rsid w:val="00ED3F7E"/>
    <w:rsid w:val="00ED3FBB"/>
    <w:rsid w:val="00ED406B"/>
    <w:rsid w:val="00ED4269"/>
    <w:rsid w:val="00ED4357"/>
    <w:rsid w:val="00ED43FF"/>
    <w:rsid w:val="00ED4557"/>
    <w:rsid w:val="00ED4767"/>
    <w:rsid w:val="00ED4929"/>
    <w:rsid w:val="00ED49C8"/>
    <w:rsid w:val="00ED4AC8"/>
    <w:rsid w:val="00ED4C7D"/>
    <w:rsid w:val="00ED52E9"/>
    <w:rsid w:val="00ED541A"/>
    <w:rsid w:val="00ED543F"/>
    <w:rsid w:val="00ED55A7"/>
    <w:rsid w:val="00ED5685"/>
    <w:rsid w:val="00ED569C"/>
    <w:rsid w:val="00ED5B37"/>
    <w:rsid w:val="00ED5B50"/>
    <w:rsid w:val="00ED5F6E"/>
    <w:rsid w:val="00ED6056"/>
    <w:rsid w:val="00ED61E7"/>
    <w:rsid w:val="00ED62F5"/>
    <w:rsid w:val="00ED62FB"/>
    <w:rsid w:val="00ED64AE"/>
    <w:rsid w:val="00ED6606"/>
    <w:rsid w:val="00ED68D6"/>
    <w:rsid w:val="00ED69D4"/>
    <w:rsid w:val="00ED6A08"/>
    <w:rsid w:val="00ED6A62"/>
    <w:rsid w:val="00ED6B59"/>
    <w:rsid w:val="00ED6B7A"/>
    <w:rsid w:val="00ED6ED5"/>
    <w:rsid w:val="00ED7065"/>
    <w:rsid w:val="00ED7099"/>
    <w:rsid w:val="00ED70BA"/>
    <w:rsid w:val="00ED7114"/>
    <w:rsid w:val="00ED71CF"/>
    <w:rsid w:val="00ED7224"/>
    <w:rsid w:val="00ED7273"/>
    <w:rsid w:val="00ED738B"/>
    <w:rsid w:val="00ED73EA"/>
    <w:rsid w:val="00ED75EA"/>
    <w:rsid w:val="00ED76BD"/>
    <w:rsid w:val="00ED79FE"/>
    <w:rsid w:val="00ED7A41"/>
    <w:rsid w:val="00ED7B36"/>
    <w:rsid w:val="00ED7B4F"/>
    <w:rsid w:val="00ED7E48"/>
    <w:rsid w:val="00ED7EC5"/>
    <w:rsid w:val="00ED7FE7"/>
    <w:rsid w:val="00EE0032"/>
    <w:rsid w:val="00EE003A"/>
    <w:rsid w:val="00EE0288"/>
    <w:rsid w:val="00EE04C0"/>
    <w:rsid w:val="00EE068A"/>
    <w:rsid w:val="00EE083A"/>
    <w:rsid w:val="00EE0BB8"/>
    <w:rsid w:val="00EE0D10"/>
    <w:rsid w:val="00EE0F0C"/>
    <w:rsid w:val="00EE101B"/>
    <w:rsid w:val="00EE1069"/>
    <w:rsid w:val="00EE1115"/>
    <w:rsid w:val="00EE1245"/>
    <w:rsid w:val="00EE1294"/>
    <w:rsid w:val="00EE131C"/>
    <w:rsid w:val="00EE14EF"/>
    <w:rsid w:val="00EE15B9"/>
    <w:rsid w:val="00EE1884"/>
    <w:rsid w:val="00EE1904"/>
    <w:rsid w:val="00EE228F"/>
    <w:rsid w:val="00EE2299"/>
    <w:rsid w:val="00EE22B3"/>
    <w:rsid w:val="00EE2412"/>
    <w:rsid w:val="00EE2543"/>
    <w:rsid w:val="00EE2709"/>
    <w:rsid w:val="00EE274B"/>
    <w:rsid w:val="00EE2791"/>
    <w:rsid w:val="00EE2C75"/>
    <w:rsid w:val="00EE2D1E"/>
    <w:rsid w:val="00EE2E79"/>
    <w:rsid w:val="00EE3068"/>
    <w:rsid w:val="00EE3160"/>
    <w:rsid w:val="00EE32A0"/>
    <w:rsid w:val="00EE341D"/>
    <w:rsid w:val="00EE355C"/>
    <w:rsid w:val="00EE3B75"/>
    <w:rsid w:val="00EE3BDC"/>
    <w:rsid w:val="00EE3E53"/>
    <w:rsid w:val="00EE3E62"/>
    <w:rsid w:val="00EE3F0B"/>
    <w:rsid w:val="00EE3F4E"/>
    <w:rsid w:val="00EE3FB4"/>
    <w:rsid w:val="00EE4130"/>
    <w:rsid w:val="00EE4167"/>
    <w:rsid w:val="00EE4245"/>
    <w:rsid w:val="00EE429D"/>
    <w:rsid w:val="00EE42CD"/>
    <w:rsid w:val="00EE436A"/>
    <w:rsid w:val="00EE4401"/>
    <w:rsid w:val="00EE449D"/>
    <w:rsid w:val="00EE459A"/>
    <w:rsid w:val="00EE4604"/>
    <w:rsid w:val="00EE4673"/>
    <w:rsid w:val="00EE484E"/>
    <w:rsid w:val="00EE4939"/>
    <w:rsid w:val="00EE4AEF"/>
    <w:rsid w:val="00EE4B96"/>
    <w:rsid w:val="00EE4C33"/>
    <w:rsid w:val="00EE5069"/>
    <w:rsid w:val="00EE5081"/>
    <w:rsid w:val="00EE52BA"/>
    <w:rsid w:val="00EE5302"/>
    <w:rsid w:val="00EE5716"/>
    <w:rsid w:val="00EE57C2"/>
    <w:rsid w:val="00EE5848"/>
    <w:rsid w:val="00EE5A06"/>
    <w:rsid w:val="00EE5B4D"/>
    <w:rsid w:val="00EE5C9A"/>
    <w:rsid w:val="00EE5EA7"/>
    <w:rsid w:val="00EE5F3E"/>
    <w:rsid w:val="00EE622B"/>
    <w:rsid w:val="00EE6452"/>
    <w:rsid w:val="00EE6556"/>
    <w:rsid w:val="00EE6615"/>
    <w:rsid w:val="00EE66F4"/>
    <w:rsid w:val="00EE67C4"/>
    <w:rsid w:val="00EE682A"/>
    <w:rsid w:val="00EE6903"/>
    <w:rsid w:val="00EE6971"/>
    <w:rsid w:val="00EE6980"/>
    <w:rsid w:val="00EE6AA0"/>
    <w:rsid w:val="00EE6CE9"/>
    <w:rsid w:val="00EE6DCF"/>
    <w:rsid w:val="00EE6DE6"/>
    <w:rsid w:val="00EE7025"/>
    <w:rsid w:val="00EE7034"/>
    <w:rsid w:val="00EE705D"/>
    <w:rsid w:val="00EE7110"/>
    <w:rsid w:val="00EE71B8"/>
    <w:rsid w:val="00EE71D4"/>
    <w:rsid w:val="00EE71DE"/>
    <w:rsid w:val="00EE7554"/>
    <w:rsid w:val="00EE75F3"/>
    <w:rsid w:val="00EE7742"/>
    <w:rsid w:val="00EE79DF"/>
    <w:rsid w:val="00EE79E0"/>
    <w:rsid w:val="00EE79E6"/>
    <w:rsid w:val="00EE7AFC"/>
    <w:rsid w:val="00EE7F1A"/>
    <w:rsid w:val="00EE7FF2"/>
    <w:rsid w:val="00EE7FFA"/>
    <w:rsid w:val="00EF005F"/>
    <w:rsid w:val="00EF0089"/>
    <w:rsid w:val="00EF012B"/>
    <w:rsid w:val="00EF0495"/>
    <w:rsid w:val="00EF055A"/>
    <w:rsid w:val="00EF062B"/>
    <w:rsid w:val="00EF0663"/>
    <w:rsid w:val="00EF07A9"/>
    <w:rsid w:val="00EF09DE"/>
    <w:rsid w:val="00EF0A5E"/>
    <w:rsid w:val="00EF0A7C"/>
    <w:rsid w:val="00EF0DB8"/>
    <w:rsid w:val="00EF112C"/>
    <w:rsid w:val="00EF12BA"/>
    <w:rsid w:val="00EF13DB"/>
    <w:rsid w:val="00EF14EF"/>
    <w:rsid w:val="00EF1575"/>
    <w:rsid w:val="00EF157B"/>
    <w:rsid w:val="00EF17F4"/>
    <w:rsid w:val="00EF1839"/>
    <w:rsid w:val="00EF193A"/>
    <w:rsid w:val="00EF1C7B"/>
    <w:rsid w:val="00EF1E01"/>
    <w:rsid w:val="00EF20B1"/>
    <w:rsid w:val="00EF21A7"/>
    <w:rsid w:val="00EF22B0"/>
    <w:rsid w:val="00EF23FB"/>
    <w:rsid w:val="00EF245C"/>
    <w:rsid w:val="00EF24AC"/>
    <w:rsid w:val="00EF2561"/>
    <w:rsid w:val="00EF2589"/>
    <w:rsid w:val="00EF2669"/>
    <w:rsid w:val="00EF28A2"/>
    <w:rsid w:val="00EF2969"/>
    <w:rsid w:val="00EF2B0D"/>
    <w:rsid w:val="00EF2B72"/>
    <w:rsid w:val="00EF2C1B"/>
    <w:rsid w:val="00EF2CB0"/>
    <w:rsid w:val="00EF2E7A"/>
    <w:rsid w:val="00EF2FA7"/>
    <w:rsid w:val="00EF2FB4"/>
    <w:rsid w:val="00EF2FC3"/>
    <w:rsid w:val="00EF3014"/>
    <w:rsid w:val="00EF30C8"/>
    <w:rsid w:val="00EF326C"/>
    <w:rsid w:val="00EF331C"/>
    <w:rsid w:val="00EF339B"/>
    <w:rsid w:val="00EF3528"/>
    <w:rsid w:val="00EF35AF"/>
    <w:rsid w:val="00EF374E"/>
    <w:rsid w:val="00EF37C6"/>
    <w:rsid w:val="00EF3883"/>
    <w:rsid w:val="00EF38FC"/>
    <w:rsid w:val="00EF3ECB"/>
    <w:rsid w:val="00EF3FBD"/>
    <w:rsid w:val="00EF40F4"/>
    <w:rsid w:val="00EF4102"/>
    <w:rsid w:val="00EF411D"/>
    <w:rsid w:val="00EF41FD"/>
    <w:rsid w:val="00EF42F4"/>
    <w:rsid w:val="00EF439D"/>
    <w:rsid w:val="00EF43A6"/>
    <w:rsid w:val="00EF444A"/>
    <w:rsid w:val="00EF4609"/>
    <w:rsid w:val="00EF4624"/>
    <w:rsid w:val="00EF46F7"/>
    <w:rsid w:val="00EF48EC"/>
    <w:rsid w:val="00EF4962"/>
    <w:rsid w:val="00EF4998"/>
    <w:rsid w:val="00EF4A12"/>
    <w:rsid w:val="00EF4A50"/>
    <w:rsid w:val="00EF4C81"/>
    <w:rsid w:val="00EF4D28"/>
    <w:rsid w:val="00EF4E8F"/>
    <w:rsid w:val="00EF4F63"/>
    <w:rsid w:val="00EF4F85"/>
    <w:rsid w:val="00EF507A"/>
    <w:rsid w:val="00EF51A9"/>
    <w:rsid w:val="00EF51D1"/>
    <w:rsid w:val="00EF523A"/>
    <w:rsid w:val="00EF5562"/>
    <w:rsid w:val="00EF55CB"/>
    <w:rsid w:val="00EF577B"/>
    <w:rsid w:val="00EF5964"/>
    <w:rsid w:val="00EF59B3"/>
    <w:rsid w:val="00EF5DB7"/>
    <w:rsid w:val="00EF5DDC"/>
    <w:rsid w:val="00EF61BD"/>
    <w:rsid w:val="00EF62E9"/>
    <w:rsid w:val="00EF62F4"/>
    <w:rsid w:val="00EF6342"/>
    <w:rsid w:val="00EF6384"/>
    <w:rsid w:val="00EF6550"/>
    <w:rsid w:val="00EF65B1"/>
    <w:rsid w:val="00EF669C"/>
    <w:rsid w:val="00EF6B88"/>
    <w:rsid w:val="00EF6EA4"/>
    <w:rsid w:val="00EF7014"/>
    <w:rsid w:val="00EF717E"/>
    <w:rsid w:val="00EF71E0"/>
    <w:rsid w:val="00EF736F"/>
    <w:rsid w:val="00EF75BF"/>
    <w:rsid w:val="00EF7605"/>
    <w:rsid w:val="00EF769C"/>
    <w:rsid w:val="00EF772E"/>
    <w:rsid w:val="00EF785A"/>
    <w:rsid w:val="00EF785D"/>
    <w:rsid w:val="00EF7A79"/>
    <w:rsid w:val="00EF7C45"/>
    <w:rsid w:val="00EF7D6B"/>
    <w:rsid w:val="00EF7E03"/>
    <w:rsid w:val="00F0002F"/>
    <w:rsid w:val="00F00038"/>
    <w:rsid w:val="00F000EA"/>
    <w:rsid w:val="00F0043B"/>
    <w:rsid w:val="00F004C3"/>
    <w:rsid w:val="00F004D6"/>
    <w:rsid w:val="00F00669"/>
    <w:rsid w:val="00F00711"/>
    <w:rsid w:val="00F00948"/>
    <w:rsid w:val="00F009A8"/>
    <w:rsid w:val="00F00B2C"/>
    <w:rsid w:val="00F00BF9"/>
    <w:rsid w:val="00F00D73"/>
    <w:rsid w:val="00F00DD9"/>
    <w:rsid w:val="00F00E1B"/>
    <w:rsid w:val="00F00E4A"/>
    <w:rsid w:val="00F00F9C"/>
    <w:rsid w:val="00F010F8"/>
    <w:rsid w:val="00F012B5"/>
    <w:rsid w:val="00F01422"/>
    <w:rsid w:val="00F01562"/>
    <w:rsid w:val="00F01698"/>
    <w:rsid w:val="00F01828"/>
    <w:rsid w:val="00F0187F"/>
    <w:rsid w:val="00F019C5"/>
    <w:rsid w:val="00F01A99"/>
    <w:rsid w:val="00F01AF5"/>
    <w:rsid w:val="00F01B31"/>
    <w:rsid w:val="00F0231C"/>
    <w:rsid w:val="00F0264A"/>
    <w:rsid w:val="00F026D5"/>
    <w:rsid w:val="00F02771"/>
    <w:rsid w:val="00F027EA"/>
    <w:rsid w:val="00F02A7C"/>
    <w:rsid w:val="00F02CC9"/>
    <w:rsid w:val="00F02DA0"/>
    <w:rsid w:val="00F02FD7"/>
    <w:rsid w:val="00F0319F"/>
    <w:rsid w:val="00F031C7"/>
    <w:rsid w:val="00F0328A"/>
    <w:rsid w:val="00F03816"/>
    <w:rsid w:val="00F038BE"/>
    <w:rsid w:val="00F03A10"/>
    <w:rsid w:val="00F03A46"/>
    <w:rsid w:val="00F03B1C"/>
    <w:rsid w:val="00F03B8B"/>
    <w:rsid w:val="00F03CE4"/>
    <w:rsid w:val="00F04115"/>
    <w:rsid w:val="00F043F0"/>
    <w:rsid w:val="00F046E7"/>
    <w:rsid w:val="00F04883"/>
    <w:rsid w:val="00F04D76"/>
    <w:rsid w:val="00F04E09"/>
    <w:rsid w:val="00F04F56"/>
    <w:rsid w:val="00F05042"/>
    <w:rsid w:val="00F054C6"/>
    <w:rsid w:val="00F05535"/>
    <w:rsid w:val="00F05761"/>
    <w:rsid w:val="00F0582B"/>
    <w:rsid w:val="00F0598C"/>
    <w:rsid w:val="00F05A1E"/>
    <w:rsid w:val="00F05A95"/>
    <w:rsid w:val="00F05AAB"/>
    <w:rsid w:val="00F05B6B"/>
    <w:rsid w:val="00F05C08"/>
    <w:rsid w:val="00F05C87"/>
    <w:rsid w:val="00F05CDE"/>
    <w:rsid w:val="00F05D4E"/>
    <w:rsid w:val="00F05DC2"/>
    <w:rsid w:val="00F05EC8"/>
    <w:rsid w:val="00F05F18"/>
    <w:rsid w:val="00F05F1A"/>
    <w:rsid w:val="00F05FB9"/>
    <w:rsid w:val="00F060D6"/>
    <w:rsid w:val="00F062D1"/>
    <w:rsid w:val="00F06395"/>
    <w:rsid w:val="00F0640F"/>
    <w:rsid w:val="00F064DC"/>
    <w:rsid w:val="00F0662C"/>
    <w:rsid w:val="00F0667F"/>
    <w:rsid w:val="00F0670A"/>
    <w:rsid w:val="00F0688C"/>
    <w:rsid w:val="00F06912"/>
    <w:rsid w:val="00F06ACF"/>
    <w:rsid w:val="00F06AF9"/>
    <w:rsid w:val="00F06B4D"/>
    <w:rsid w:val="00F06D77"/>
    <w:rsid w:val="00F06DB9"/>
    <w:rsid w:val="00F06EB4"/>
    <w:rsid w:val="00F06EBA"/>
    <w:rsid w:val="00F06EDC"/>
    <w:rsid w:val="00F06FDD"/>
    <w:rsid w:val="00F07001"/>
    <w:rsid w:val="00F0702B"/>
    <w:rsid w:val="00F07085"/>
    <w:rsid w:val="00F071D6"/>
    <w:rsid w:val="00F0735A"/>
    <w:rsid w:val="00F073DC"/>
    <w:rsid w:val="00F076B2"/>
    <w:rsid w:val="00F07B16"/>
    <w:rsid w:val="00F07CBF"/>
    <w:rsid w:val="00F07DB3"/>
    <w:rsid w:val="00F07DD2"/>
    <w:rsid w:val="00F07EFC"/>
    <w:rsid w:val="00F1009A"/>
    <w:rsid w:val="00F100DB"/>
    <w:rsid w:val="00F1010C"/>
    <w:rsid w:val="00F1013F"/>
    <w:rsid w:val="00F10176"/>
    <w:rsid w:val="00F1024C"/>
    <w:rsid w:val="00F10280"/>
    <w:rsid w:val="00F103A9"/>
    <w:rsid w:val="00F103B6"/>
    <w:rsid w:val="00F103F6"/>
    <w:rsid w:val="00F10464"/>
    <w:rsid w:val="00F1052F"/>
    <w:rsid w:val="00F10581"/>
    <w:rsid w:val="00F105BC"/>
    <w:rsid w:val="00F10679"/>
    <w:rsid w:val="00F106E6"/>
    <w:rsid w:val="00F107CD"/>
    <w:rsid w:val="00F108C2"/>
    <w:rsid w:val="00F109C0"/>
    <w:rsid w:val="00F10AE6"/>
    <w:rsid w:val="00F10B4E"/>
    <w:rsid w:val="00F10CD2"/>
    <w:rsid w:val="00F10D17"/>
    <w:rsid w:val="00F10F57"/>
    <w:rsid w:val="00F110FC"/>
    <w:rsid w:val="00F112DF"/>
    <w:rsid w:val="00F115E1"/>
    <w:rsid w:val="00F11638"/>
    <w:rsid w:val="00F1172E"/>
    <w:rsid w:val="00F117BD"/>
    <w:rsid w:val="00F117FB"/>
    <w:rsid w:val="00F117FF"/>
    <w:rsid w:val="00F11896"/>
    <w:rsid w:val="00F11A15"/>
    <w:rsid w:val="00F11AF6"/>
    <w:rsid w:val="00F11B13"/>
    <w:rsid w:val="00F11B78"/>
    <w:rsid w:val="00F11BB3"/>
    <w:rsid w:val="00F11E36"/>
    <w:rsid w:val="00F11EF4"/>
    <w:rsid w:val="00F121A7"/>
    <w:rsid w:val="00F12230"/>
    <w:rsid w:val="00F12323"/>
    <w:rsid w:val="00F1257E"/>
    <w:rsid w:val="00F12693"/>
    <w:rsid w:val="00F126A2"/>
    <w:rsid w:val="00F127DB"/>
    <w:rsid w:val="00F12842"/>
    <w:rsid w:val="00F12848"/>
    <w:rsid w:val="00F1288D"/>
    <w:rsid w:val="00F12B0C"/>
    <w:rsid w:val="00F12B7B"/>
    <w:rsid w:val="00F12CC6"/>
    <w:rsid w:val="00F12CCB"/>
    <w:rsid w:val="00F12D05"/>
    <w:rsid w:val="00F12DA6"/>
    <w:rsid w:val="00F12ED2"/>
    <w:rsid w:val="00F12F01"/>
    <w:rsid w:val="00F12F5B"/>
    <w:rsid w:val="00F130F2"/>
    <w:rsid w:val="00F13179"/>
    <w:rsid w:val="00F1343A"/>
    <w:rsid w:val="00F134C4"/>
    <w:rsid w:val="00F13505"/>
    <w:rsid w:val="00F1357B"/>
    <w:rsid w:val="00F136A0"/>
    <w:rsid w:val="00F13798"/>
    <w:rsid w:val="00F137D6"/>
    <w:rsid w:val="00F13CC3"/>
    <w:rsid w:val="00F13D61"/>
    <w:rsid w:val="00F13EAC"/>
    <w:rsid w:val="00F13F35"/>
    <w:rsid w:val="00F14040"/>
    <w:rsid w:val="00F1436C"/>
    <w:rsid w:val="00F1459D"/>
    <w:rsid w:val="00F148E8"/>
    <w:rsid w:val="00F14981"/>
    <w:rsid w:val="00F14AE4"/>
    <w:rsid w:val="00F14C94"/>
    <w:rsid w:val="00F14F6C"/>
    <w:rsid w:val="00F14F9D"/>
    <w:rsid w:val="00F1500B"/>
    <w:rsid w:val="00F15248"/>
    <w:rsid w:val="00F154FF"/>
    <w:rsid w:val="00F157D6"/>
    <w:rsid w:val="00F15816"/>
    <w:rsid w:val="00F1587C"/>
    <w:rsid w:val="00F158C9"/>
    <w:rsid w:val="00F15940"/>
    <w:rsid w:val="00F15A1F"/>
    <w:rsid w:val="00F161BD"/>
    <w:rsid w:val="00F161E6"/>
    <w:rsid w:val="00F1620D"/>
    <w:rsid w:val="00F1626A"/>
    <w:rsid w:val="00F16696"/>
    <w:rsid w:val="00F16883"/>
    <w:rsid w:val="00F169D6"/>
    <w:rsid w:val="00F16A6F"/>
    <w:rsid w:val="00F16B92"/>
    <w:rsid w:val="00F16C17"/>
    <w:rsid w:val="00F16C57"/>
    <w:rsid w:val="00F16CAB"/>
    <w:rsid w:val="00F16DCD"/>
    <w:rsid w:val="00F16E7E"/>
    <w:rsid w:val="00F16F19"/>
    <w:rsid w:val="00F16FA1"/>
    <w:rsid w:val="00F1741B"/>
    <w:rsid w:val="00F1764E"/>
    <w:rsid w:val="00F1772E"/>
    <w:rsid w:val="00F17A4B"/>
    <w:rsid w:val="00F17BE0"/>
    <w:rsid w:val="00F17C35"/>
    <w:rsid w:val="00F17F9E"/>
    <w:rsid w:val="00F17FAB"/>
    <w:rsid w:val="00F200DF"/>
    <w:rsid w:val="00F2015E"/>
    <w:rsid w:val="00F20174"/>
    <w:rsid w:val="00F2028C"/>
    <w:rsid w:val="00F20358"/>
    <w:rsid w:val="00F203B2"/>
    <w:rsid w:val="00F20426"/>
    <w:rsid w:val="00F20509"/>
    <w:rsid w:val="00F20716"/>
    <w:rsid w:val="00F20827"/>
    <w:rsid w:val="00F2086D"/>
    <w:rsid w:val="00F209AE"/>
    <w:rsid w:val="00F20C20"/>
    <w:rsid w:val="00F20DEB"/>
    <w:rsid w:val="00F20F32"/>
    <w:rsid w:val="00F21090"/>
    <w:rsid w:val="00F21149"/>
    <w:rsid w:val="00F211B5"/>
    <w:rsid w:val="00F2127B"/>
    <w:rsid w:val="00F212D9"/>
    <w:rsid w:val="00F213BD"/>
    <w:rsid w:val="00F217EA"/>
    <w:rsid w:val="00F2183C"/>
    <w:rsid w:val="00F21A28"/>
    <w:rsid w:val="00F21C07"/>
    <w:rsid w:val="00F21E3D"/>
    <w:rsid w:val="00F21F4B"/>
    <w:rsid w:val="00F22147"/>
    <w:rsid w:val="00F22188"/>
    <w:rsid w:val="00F2219B"/>
    <w:rsid w:val="00F22339"/>
    <w:rsid w:val="00F2246C"/>
    <w:rsid w:val="00F225A3"/>
    <w:rsid w:val="00F2285E"/>
    <w:rsid w:val="00F22930"/>
    <w:rsid w:val="00F229A3"/>
    <w:rsid w:val="00F22A10"/>
    <w:rsid w:val="00F22B45"/>
    <w:rsid w:val="00F22BCF"/>
    <w:rsid w:val="00F22BDC"/>
    <w:rsid w:val="00F22C98"/>
    <w:rsid w:val="00F22DAC"/>
    <w:rsid w:val="00F22F19"/>
    <w:rsid w:val="00F22F91"/>
    <w:rsid w:val="00F2309A"/>
    <w:rsid w:val="00F2328F"/>
    <w:rsid w:val="00F233F9"/>
    <w:rsid w:val="00F2353A"/>
    <w:rsid w:val="00F2356B"/>
    <w:rsid w:val="00F23584"/>
    <w:rsid w:val="00F23658"/>
    <w:rsid w:val="00F2368F"/>
    <w:rsid w:val="00F23811"/>
    <w:rsid w:val="00F238C3"/>
    <w:rsid w:val="00F2391E"/>
    <w:rsid w:val="00F239DA"/>
    <w:rsid w:val="00F23A75"/>
    <w:rsid w:val="00F23BA0"/>
    <w:rsid w:val="00F23C07"/>
    <w:rsid w:val="00F23D57"/>
    <w:rsid w:val="00F23D5F"/>
    <w:rsid w:val="00F23DC7"/>
    <w:rsid w:val="00F23DE3"/>
    <w:rsid w:val="00F240B5"/>
    <w:rsid w:val="00F240F8"/>
    <w:rsid w:val="00F2435B"/>
    <w:rsid w:val="00F247BC"/>
    <w:rsid w:val="00F247BF"/>
    <w:rsid w:val="00F24935"/>
    <w:rsid w:val="00F2499B"/>
    <w:rsid w:val="00F24B21"/>
    <w:rsid w:val="00F24B67"/>
    <w:rsid w:val="00F24E82"/>
    <w:rsid w:val="00F24FD8"/>
    <w:rsid w:val="00F2503B"/>
    <w:rsid w:val="00F2531F"/>
    <w:rsid w:val="00F253CE"/>
    <w:rsid w:val="00F254A7"/>
    <w:rsid w:val="00F254CC"/>
    <w:rsid w:val="00F25532"/>
    <w:rsid w:val="00F25905"/>
    <w:rsid w:val="00F25A60"/>
    <w:rsid w:val="00F25AA1"/>
    <w:rsid w:val="00F25C23"/>
    <w:rsid w:val="00F25DB7"/>
    <w:rsid w:val="00F25F7C"/>
    <w:rsid w:val="00F25FA4"/>
    <w:rsid w:val="00F261EF"/>
    <w:rsid w:val="00F2646C"/>
    <w:rsid w:val="00F26471"/>
    <w:rsid w:val="00F26496"/>
    <w:rsid w:val="00F267E8"/>
    <w:rsid w:val="00F269C8"/>
    <w:rsid w:val="00F26AF7"/>
    <w:rsid w:val="00F26C0A"/>
    <w:rsid w:val="00F26C46"/>
    <w:rsid w:val="00F26DE1"/>
    <w:rsid w:val="00F26EF2"/>
    <w:rsid w:val="00F26FD0"/>
    <w:rsid w:val="00F27569"/>
    <w:rsid w:val="00F27C1E"/>
    <w:rsid w:val="00F27D67"/>
    <w:rsid w:val="00F27E35"/>
    <w:rsid w:val="00F27F39"/>
    <w:rsid w:val="00F30040"/>
    <w:rsid w:val="00F30453"/>
    <w:rsid w:val="00F3047D"/>
    <w:rsid w:val="00F304C6"/>
    <w:rsid w:val="00F30505"/>
    <w:rsid w:val="00F30590"/>
    <w:rsid w:val="00F305A4"/>
    <w:rsid w:val="00F30725"/>
    <w:rsid w:val="00F307CC"/>
    <w:rsid w:val="00F307F2"/>
    <w:rsid w:val="00F30846"/>
    <w:rsid w:val="00F3088C"/>
    <w:rsid w:val="00F308B2"/>
    <w:rsid w:val="00F30A9E"/>
    <w:rsid w:val="00F30B33"/>
    <w:rsid w:val="00F30D4D"/>
    <w:rsid w:val="00F30D91"/>
    <w:rsid w:val="00F30D9D"/>
    <w:rsid w:val="00F30E93"/>
    <w:rsid w:val="00F30EE9"/>
    <w:rsid w:val="00F30F03"/>
    <w:rsid w:val="00F3108F"/>
    <w:rsid w:val="00F3113D"/>
    <w:rsid w:val="00F31284"/>
    <w:rsid w:val="00F312AC"/>
    <w:rsid w:val="00F31340"/>
    <w:rsid w:val="00F316C9"/>
    <w:rsid w:val="00F31A72"/>
    <w:rsid w:val="00F31B08"/>
    <w:rsid w:val="00F31CD2"/>
    <w:rsid w:val="00F31E09"/>
    <w:rsid w:val="00F31F49"/>
    <w:rsid w:val="00F3227E"/>
    <w:rsid w:val="00F326F1"/>
    <w:rsid w:val="00F326F6"/>
    <w:rsid w:val="00F32780"/>
    <w:rsid w:val="00F32B07"/>
    <w:rsid w:val="00F32B34"/>
    <w:rsid w:val="00F32BDE"/>
    <w:rsid w:val="00F32BF0"/>
    <w:rsid w:val="00F32F4E"/>
    <w:rsid w:val="00F33105"/>
    <w:rsid w:val="00F33214"/>
    <w:rsid w:val="00F33245"/>
    <w:rsid w:val="00F33337"/>
    <w:rsid w:val="00F335D0"/>
    <w:rsid w:val="00F33624"/>
    <w:rsid w:val="00F3366B"/>
    <w:rsid w:val="00F336A7"/>
    <w:rsid w:val="00F336BF"/>
    <w:rsid w:val="00F33851"/>
    <w:rsid w:val="00F339CB"/>
    <w:rsid w:val="00F33A96"/>
    <w:rsid w:val="00F33BE9"/>
    <w:rsid w:val="00F33C84"/>
    <w:rsid w:val="00F33E01"/>
    <w:rsid w:val="00F33F9C"/>
    <w:rsid w:val="00F33FB5"/>
    <w:rsid w:val="00F33FFC"/>
    <w:rsid w:val="00F34106"/>
    <w:rsid w:val="00F34115"/>
    <w:rsid w:val="00F34341"/>
    <w:rsid w:val="00F3444A"/>
    <w:rsid w:val="00F34488"/>
    <w:rsid w:val="00F3481C"/>
    <w:rsid w:val="00F34BA4"/>
    <w:rsid w:val="00F34E39"/>
    <w:rsid w:val="00F34E97"/>
    <w:rsid w:val="00F35005"/>
    <w:rsid w:val="00F3517F"/>
    <w:rsid w:val="00F352C4"/>
    <w:rsid w:val="00F353D9"/>
    <w:rsid w:val="00F35474"/>
    <w:rsid w:val="00F35668"/>
    <w:rsid w:val="00F3609E"/>
    <w:rsid w:val="00F36111"/>
    <w:rsid w:val="00F361D7"/>
    <w:rsid w:val="00F36258"/>
    <w:rsid w:val="00F3625F"/>
    <w:rsid w:val="00F362E0"/>
    <w:rsid w:val="00F36483"/>
    <w:rsid w:val="00F3657C"/>
    <w:rsid w:val="00F365E1"/>
    <w:rsid w:val="00F368A6"/>
    <w:rsid w:val="00F370DA"/>
    <w:rsid w:val="00F37391"/>
    <w:rsid w:val="00F374C8"/>
    <w:rsid w:val="00F37607"/>
    <w:rsid w:val="00F37778"/>
    <w:rsid w:val="00F377DC"/>
    <w:rsid w:val="00F37AAC"/>
    <w:rsid w:val="00F37BF0"/>
    <w:rsid w:val="00F40137"/>
    <w:rsid w:val="00F40209"/>
    <w:rsid w:val="00F40284"/>
    <w:rsid w:val="00F40411"/>
    <w:rsid w:val="00F40678"/>
    <w:rsid w:val="00F40785"/>
    <w:rsid w:val="00F408B6"/>
    <w:rsid w:val="00F4090A"/>
    <w:rsid w:val="00F40917"/>
    <w:rsid w:val="00F40ADC"/>
    <w:rsid w:val="00F40AFD"/>
    <w:rsid w:val="00F40BAA"/>
    <w:rsid w:val="00F40EC6"/>
    <w:rsid w:val="00F40F8B"/>
    <w:rsid w:val="00F40F90"/>
    <w:rsid w:val="00F40FF8"/>
    <w:rsid w:val="00F412CA"/>
    <w:rsid w:val="00F413A9"/>
    <w:rsid w:val="00F41446"/>
    <w:rsid w:val="00F414C5"/>
    <w:rsid w:val="00F41792"/>
    <w:rsid w:val="00F41A2F"/>
    <w:rsid w:val="00F41B43"/>
    <w:rsid w:val="00F41D36"/>
    <w:rsid w:val="00F41D5F"/>
    <w:rsid w:val="00F41EE6"/>
    <w:rsid w:val="00F41FD2"/>
    <w:rsid w:val="00F421FD"/>
    <w:rsid w:val="00F4224F"/>
    <w:rsid w:val="00F423B0"/>
    <w:rsid w:val="00F42509"/>
    <w:rsid w:val="00F426DA"/>
    <w:rsid w:val="00F4276B"/>
    <w:rsid w:val="00F428EA"/>
    <w:rsid w:val="00F42A9B"/>
    <w:rsid w:val="00F42B83"/>
    <w:rsid w:val="00F42B94"/>
    <w:rsid w:val="00F42E26"/>
    <w:rsid w:val="00F42FBA"/>
    <w:rsid w:val="00F430A1"/>
    <w:rsid w:val="00F4318B"/>
    <w:rsid w:val="00F43278"/>
    <w:rsid w:val="00F432BD"/>
    <w:rsid w:val="00F433AB"/>
    <w:rsid w:val="00F433DA"/>
    <w:rsid w:val="00F439FF"/>
    <w:rsid w:val="00F43AD7"/>
    <w:rsid w:val="00F43AEC"/>
    <w:rsid w:val="00F43B70"/>
    <w:rsid w:val="00F43C2B"/>
    <w:rsid w:val="00F43C37"/>
    <w:rsid w:val="00F43C70"/>
    <w:rsid w:val="00F43DB1"/>
    <w:rsid w:val="00F43F1B"/>
    <w:rsid w:val="00F43F8C"/>
    <w:rsid w:val="00F4406E"/>
    <w:rsid w:val="00F442C9"/>
    <w:rsid w:val="00F4431A"/>
    <w:rsid w:val="00F445F2"/>
    <w:rsid w:val="00F44751"/>
    <w:rsid w:val="00F447D1"/>
    <w:rsid w:val="00F44A0A"/>
    <w:rsid w:val="00F44C57"/>
    <w:rsid w:val="00F44DE3"/>
    <w:rsid w:val="00F44EBF"/>
    <w:rsid w:val="00F44F7E"/>
    <w:rsid w:val="00F4508E"/>
    <w:rsid w:val="00F4529F"/>
    <w:rsid w:val="00F452BF"/>
    <w:rsid w:val="00F452CF"/>
    <w:rsid w:val="00F45858"/>
    <w:rsid w:val="00F45CC8"/>
    <w:rsid w:val="00F46128"/>
    <w:rsid w:val="00F462E4"/>
    <w:rsid w:val="00F467C7"/>
    <w:rsid w:val="00F46804"/>
    <w:rsid w:val="00F46899"/>
    <w:rsid w:val="00F46E37"/>
    <w:rsid w:val="00F46E4C"/>
    <w:rsid w:val="00F47052"/>
    <w:rsid w:val="00F472E9"/>
    <w:rsid w:val="00F474C0"/>
    <w:rsid w:val="00F475B7"/>
    <w:rsid w:val="00F4779F"/>
    <w:rsid w:val="00F477FF"/>
    <w:rsid w:val="00F478F3"/>
    <w:rsid w:val="00F479B6"/>
    <w:rsid w:val="00F479E8"/>
    <w:rsid w:val="00F479F5"/>
    <w:rsid w:val="00F47B85"/>
    <w:rsid w:val="00F47BC7"/>
    <w:rsid w:val="00F47DFD"/>
    <w:rsid w:val="00F47F1D"/>
    <w:rsid w:val="00F500D1"/>
    <w:rsid w:val="00F501C6"/>
    <w:rsid w:val="00F50253"/>
    <w:rsid w:val="00F502B9"/>
    <w:rsid w:val="00F502D3"/>
    <w:rsid w:val="00F505BB"/>
    <w:rsid w:val="00F50692"/>
    <w:rsid w:val="00F507D8"/>
    <w:rsid w:val="00F50845"/>
    <w:rsid w:val="00F50C21"/>
    <w:rsid w:val="00F50C90"/>
    <w:rsid w:val="00F50C96"/>
    <w:rsid w:val="00F50D01"/>
    <w:rsid w:val="00F50DB9"/>
    <w:rsid w:val="00F50EE7"/>
    <w:rsid w:val="00F5122C"/>
    <w:rsid w:val="00F51250"/>
    <w:rsid w:val="00F512D6"/>
    <w:rsid w:val="00F5138A"/>
    <w:rsid w:val="00F513F3"/>
    <w:rsid w:val="00F51417"/>
    <w:rsid w:val="00F51418"/>
    <w:rsid w:val="00F51646"/>
    <w:rsid w:val="00F51663"/>
    <w:rsid w:val="00F51AC6"/>
    <w:rsid w:val="00F51C81"/>
    <w:rsid w:val="00F51DB0"/>
    <w:rsid w:val="00F51DF1"/>
    <w:rsid w:val="00F51E10"/>
    <w:rsid w:val="00F51FA3"/>
    <w:rsid w:val="00F51FFA"/>
    <w:rsid w:val="00F5219C"/>
    <w:rsid w:val="00F5226A"/>
    <w:rsid w:val="00F522C8"/>
    <w:rsid w:val="00F522FA"/>
    <w:rsid w:val="00F5237C"/>
    <w:rsid w:val="00F525B9"/>
    <w:rsid w:val="00F525E0"/>
    <w:rsid w:val="00F5291A"/>
    <w:rsid w:val="00F52A0A"/>
    <w:rsid w:val="00F52AAF"/>
    <w:rsid w:val="00F52B5B"/>
    <w:rsid w:val="00F52F9D"/>
    <w:rsid w:val="00F530AD"/>
    <w:rsid w:val="00F530CD"/>
    <w:rsid w:val="00F53106"/>
    <w:rsid w:val="00F53323"/>
    <w:rsid w:val="00F53446"/>
    <w:rsid w:val="00F5344B"/>
    <w:rsid w:val="00F5354D"/>
    <w:rsid w:val="00F5363D"/>
    <w:rsid w:val="00F536D1"/>
    <w:rsid w:val="00F539CD"/>
    <w:rsid w:val="00F53B27"/>
    <w:rsid w:val="00F53CA7"/>
    <w:rsid w:val="00F53CB2"/>
    <w:rsid w:val="00F53CD9"/>
    <w:rsid w:val="00F53CF4"/>
    <w:rsid w:val="00F53E34"/>
    <w:rsid w:val="00F5402F"/>
    <w:rsid w:val="00F540B2"/>
    <w:rsid w:val="00F540C8"/>
    <w:rsid w:val="00F540E4"/>
    <w:rsid w:val="00F542A9"/>
    <w:rsid w:val="00F542EB"/>
    <w:rsid w:val="00F54360"/>
    <w:rsid w:val="00F5449C"/>
    <w:rsid w:val="00F54555"/>
    <w:rsid w:val="00F545A7"/>
    <w:rsid w:val="00F5466C"/>
    <w:rsid w:val="00F547C1"/>
    <w:rsid w:val="00F54905"/>
    <w:rsid w:val="00F54A14"/>
    <w:rsid w:val="00F54AA9"/>
    <w:rsid w:val="00F54D27"/>
    <w:rsid w:val="00F54E9E"/>
    <w:rsid w:val="00F54F27"/>
    <w:rsid w:val="00F554ED"/>
    <w:rsid w:val="00F55626"/>
    <w:rsid w:val="00F55652"/>
    <w:rsid w:val="00F55670"/>
    <w:rsid w:val="00F55920"/>
    <w:rsid w:val="00F55B1D"/>
    <w:rsid w:val="00F55E25"/>
    <w:rsid w:val="00F55F85"/>
    <w:rsid w:val="00F55FC3"/>
    <w:rsid w:val="00F55FE4"/>
    <w:rsid w:val="00F5614F"/>
    <w:rsid w:val="00F56684"/>
    <w:rsid w:val="00F56AA1"/>
    <w:rsid w:val="00F56E4D"/>
    <w:rsid w:val="00F56F0B"/>
    <w:rsid w:val="00F56FF0"/>
    <w:rsid w:val="00F5727D"/>
    <w:rsid w:val="00F57422"/>
    <w:rsid w:val="00F57465"/>
    <w:rsid w:val="00F577F3"/>
    <w:rsid w:val="00F578EA"/>
    <w:rsid w:val="00F579A8"/>
    <w:rsid w:val="00F57A10"/>
    <w:rsid w:val="00F57EC7"/>
    <w:rsid w:val="00F57EE2"/>
    <w:rsid w:val="00F57EF8"/>
    <w:rsid w:val="00F57F32"/>
    <w:rsid w:val="00F57F3C"/>
    <w:rsid w:val="00F6013F"/>
    <w:rsid w:val="00F60357"/>
    <w:rsid w:val="00F6053F"/>
    <w:rsid w:val="00F606A4"/>
    <w:rsid w:val="00F607B0"/>
    <w:rsid w:val="00F608DC"/>
    <w:rsid w:val="00F608F6"/>
    <w:rsid w:val="00F60901"/>
    <w:rsid w:val="00F60A04"/>
    <w:rsid w:val="00F60CEB"/>
    <w:rsid w:val="00F60F06"/>
    <w:rsid w:val="00F60F53"/>
    <w:rsid w:val="00F610AC"/>
    <w:rsid w:val="00F611AC"/>
    <w:rsid w:val="00F61267"/>
    <w:rsid w:val="00F61497"/>
    <w:rsid w:val="00F6154B"/>
    <w:rsid w:val="00F61565"/>
    <w:rsid w:val="00F61657"/>
    <w:rsid w:val="00F616C1"/>
    <w:rsid w:val="00F616C4"/>
    <w:rsid w:val="00F6186F"/>
    <w:rsid w:val="00F618B1"/>
    <w:rsid w:val="00F61A0E"/>
    <w:rsid w:val="00F61C8B"/>
    <w:rsid w:val="00F61D98"/>
    <w:rsid w:val="00F61DF6"/>
    <w:rsid w:val="00F61FB1"/>
    <w:rsid w:val="00F61FBD"/>
    <w:rsid w:val="00F62054"/>
    <w:rsid w:val="00F621AB"/>
    <w:rsid w:val="00F62402"/>
    <w:rsid w:val="00F6244F"/>
    <w:rsid w:val="00F624B8"/>
    <w:rsid w:val="00F62707"/>
    <w:rsid w:val="00F62727"/>
    <w:rsid w:val="00F6282D"/>
    <w:rsid w:val="00F62953"/>
    <w:rsid w:val="00F62C15"/>
    <w:rsid w:val="00F62CE0"/>
    <w:rsid w:val="00F62CEC"/>
    <w:rsid w:val="00F62D55"/>
    <w:rsid w:val="00F62E0D"/>
    <w:rsid w:val="00F62FAD"/>
    <w:rsid w:val="00F63023"/>
    <w:rsid w:val="00F63221"/>
    <w:rsid w:val="00F634EE"/>
    <w:rsid w:val="00F634FF"/>
    <w:rsid w:val="00F63518"/>
    <w:rsid w:val="00F63647"/>
    <w:rsid w:val="00F636AC"/>
    <w:rsid w:val="00F636B5"/>
    <w:rsid w:val="00F63943"/>
    <w:rsid w:val="00F639D4"/>
    <w:rsid w:val="00F63CF7"/>
    <w:rsid w:val="00F63D4C"/>
    <w:rsid w:val="00F63FB8"/>
    <w:rsid w:val="00F63FF6"/>
    <w:rsid w:val="00F64041"/>
    <w:rsid w:val="00F64138"/>
    <w:rsid w:val="00F6437C"/>
    <w:rsid w:val="00F64548"/>
    <w:rsid w:val="00F64628"/>
    <w:rsid w:val="00F64830"/>
    <w:rsid w:val="00F64921"/>
    <w:rsid w:val="00F64A94"/>
    <w:rsid w:val="00F64ABB"/>
    <w:rsid w:val="00F64AD8"/>
    <w:rsid w:val="00F64D71"/>
    <w:rsid w:val="00F64DD7"/>
    <w:rsid w:val="00F64F6D"/>
    <w:rsid w:val="00F651BB"/>
    <w:rsid w:val="00F655D5"/>
    <w:rsid w:val="00F656F0"/>
    <w:rsid w:val="00F6578F"/>
    <w:rsid w:val="00F659F5"/>
    <w:rsid w:val="00F65ABA"/>
    <w:rsid w:val="00F65B74"/>
    <w:rsid w:val="00F65CCA"/>
    <w:rsid w:val="00F65CD7"/>
    <w:rsid w:val="00F65D8C"/>
    <w:rsid w:val="00F65E84"/>
    <w:rsid w:val="00F6612E"/>
    <w:rsid w:val="00F66134"/>
    <w:rsid w:val="00F661B5"/>
    <w:rsid w:val="00F66288"/>
    <w:rsid w:val="00F66392"/>
    <w:rsid w:val="00F6645D"/>
    <w:rsid w:val="00F666BA"/>
    <w:rsid w:val="00F66805"/>
    <w:rsid w:val="00F668A0"/>
    <w:rsid w:val="00F66A34"/>
    <w:rsid w:val="00F66ADF"/>
    <w:rsid w:val="00F66BD1"/>
    <w:rsid w:val="00F66D48"/>
    <w:rsid w:val="00F66E5A"/>
    <w:rsid w:val="00F66E61"/>
    <w:rsid w:val="00F66ED3"/>
    <w:rsid w:val="00F67121"/>
    <w:rsid w:val="00F671C2"/>
    <w:rsid w:val="00F6737D"/>
    <w:rsid w:val="00F673EC"/>
    <w:rsid w:val="00F6745D"/>
    <w:rsid w:val="00F67631"/>
    <w:rsid w:val="00F67790"/>
    <w:rsid w:val="00F677CC"/>
    <w:rsid w:val="00F678A9"/>
    <w:rsid w:val="00F679E3"/>
    <w:rsid w:val="00F67A31"/>
    <w:rsid w:val="00F67A4D"/>
    <w:rsid w:val="00F67D59"/>
    <w:rsid w:val="00F67D5F"/>
    <w:rsid w:val="00F67DB9"/>
    <w:rsid w:val="00F67F69"/>
    <w:rsid w:val="00F7010B"/>
    <w:rsid w:val="00F70234"/>
    <w:rsid w:val="00F703A6"/>
    <w:rsid w:val="00F703B7"/>
    <w:rsid w:val="00F7042A"/>
    <w:rsid w:val="00F70524"/>
    <w:rsid w:val="00F70647"/>
    <w:rsid w:val="00F7065E"/>
    <w:rsid w:val="00F708DF"/>
    <w:rsid w:val="00F70CA8"/>
    <w:rsid w:val="00F70CC4"/>
    <w:rsid w:val="00F70E30"/>
    <w:rsid w:val="00F70EDE"/>
    <w:rsid w:val="00F70FBA"/>
    <w:rsid w:val="00F7106C"/>
    <w:rsid w:val="00F710B4"/>
    <w:rsid w:val="00F7118F"/>
    <w:rsid w:val="00F712C0"/>
    <w:rsid w:val="00F7143C"/>
    <w:rsid w:val="00F7154A"/>
    <w:rsid w:val="00F717A3"/>
    <w:rsid w:val="00F717B7"/>
    <w:rsid w:val="00F7186B"/>
    <w:rsid w:val="00F71901"/>
    <w:rsid w:val="00F71939"/>
    <w:rsid w:val="00F71A0E"/>
    <w:rsid w:val="00F71AF3"/>
    <w:rsid w:val="00F71CBF"/>
    <w:rsid w:val="00F71EDD"/>
    <w:rsid w:val="00F71EF2"/>
    <w:rsid w:val="00F71F69"/>
    <w:rsid w:val="00F72128"/>
    <w:rsid w:val="00F721A4"/>
    <w:rsid w:val="00F722C4"/>
    <w:rsid w:val="00F722F9"/>
    <w:rsid w:val="00F724DD"/>
    <w:rsid w:val="00F72702"/>
    <w:rsid w:val="00F72A7A"/>
    <w:rsid w:val="00F72B94"/>
    <w:rsid w:val="00F72CD3"/>
    <w:rsid w:val="00F72EB7"/>
    <w:rsid w:val="00F72EEE"/>
    <w:rsid w:val="00F7329B"/>
    <w:rsid w:val="00F733A3"/>
    <w:rsid w:val="00F73405"/>
    <w:rsid w:val="00F734F5"/>
    <w:rsid w:val="00F73514"/>
    <w:rsid w:val="00F7366F"/>
    <w:rsid w:val="00F7370F"/>
    <w:rsid w:val="00F7385A"/>
    <w:rsid w:val="00F739BA"/>
    <w:rsid w:val="00F73C1B"/>
    <w:rsid w:val="00F73C68"/>
    <w:rsid w:val="00F73C83"/>
    <w:rsid w:val="00F73E09"/>
    <w:rsid w:val="00F740D9"/>
    <w:rsid w:val="00F74115"/>
    <w:rsid w:val="00F7420D"/>
    <w:rsid w:val="00F743EF"/>
    <w:rsid w:val="00F74415"/>
    <w:rsid w:val="00F7452E"/>
    <w:rsid w:val="00F7458E"/>
    <w:rsid w:val="00F74718"/>
    <w:rsid w:val="00F748E9"/>
    <w:rsid w:val="00F74959"/>
    <w:rsid w:val="00F749F2"/>
    <w:rsid w:val="00F74A6E"/>
    <w:rsid w:val="00F74ECC"/>
    <w:rsid w:val="00F74F96"/>
    <w:rsid w:val="00F750DA"/>
    <w:rsid w:val="00F753DD"/>
    <w:rsid w:val="00F75C05"/>
    <w:rsid w:val="00F75C67"/>
    <w:rsid w:val="00F75D03"/>
    <w:rsid w:val="00F75E5A"/>
    <w:rsid w:val="00F75F58"/>
    <w:rsid w:val="00F75FB0"/>
    <w:rsid w:val="00F761D8"/>
    <w:rsid w:val="00F7630F"/>
    <w:rsid w:val="00F7632C"/>
    <w:rsid w:val="00F766FC"/>
    <w:rsid w:val="00F7677E"/>
    <w:rsid w:val="00F76845"/>
    <w:rsid w:val="00F76924"/>
    <w:rsid w:val="00F76948"/>
    <w:rsid w:val="00F7696D"/>
    <w:rsid w:val="00F76B82"/>
    <w:rsid w:val="00F76C47"/>
    <w:rsid w:val="00F76CE3"/>
    <w:rsid w:val="00F76E98"/>
    <w:rsid w:val="00F76F00"/>
    <w:rsid w:val="00F76F51"/>
    <w:rsid w:val="00F77112"/>
    <w:rsid w:val="00F7721A"/>
    <w:rsid w:val="00F7722E"/>
    <w:rsid w:val="00F7722F"/>
    <w:rsid w:val="00F77245"/>
    <w:rsid w:val="00F775F3"/>
    <w:rsid w:val="00F779E2"/>
    <w:rsid w:val="00F77A30"/>
    <w:rsid w:val="00F77D2A"/>
    <w:rsid w:val="00F77D3D"/>
    <w:rsid w:val="00F77DB5"/>
    <w:rsid w:val="00F77F89"/>
    <w:rsid w:val="00F801A6"/>
    <w:rsid w:val="00F8027B"/>
    <w:rsid w:val="00F80316"/>
    <w:rsid w:val="00F80376"/>
    <w:rsid w:val="00F80421"/>
    <w:rsid w:val="00F80450"/>
    <w:rsid w:val="00F805F1"/>
    <w:rsid w:val="00F809FE"/>
    <w:rsid w:val="00F80A09"/>
    <w:rsid w:val="00F80C90"/>
    <w:rsid w:val="00F80D50"/>
    <w:rsid w:val="00F80D59"/>
    <w:rsid w:val="00F80D79"/>
    <w:rsid w:val="00F80E78"/>
    <w:rsid w:val="00F80FAE"/>
    <w:rsid w:val="00F81027"/>
    <w:rsid w:val="00F81296"/>
    <w:rsid w:val="00F8136F"/>
    <w:rsid w:val="00F8147D"/>
    <w:rsid w:val="00F815D4"/>
    <w:rsid w:val="00F8170C"/>
    <w:rsid w:val="00F81765"/>
    <w:rsid w:val="00F818FD"/>
    <w:rsid w:val="00F81B0D"/>
    <w:rsid w:val="00F81F88"/>
    <w:rsid w:val="00F8214F"/>
    <w:rsid w:val="00F82264"/>
    <w:rsid w:val="00F82307"/>
    <w:rsid w:val="00F82335"/>
    <w:rsid w:val="00F82366"/>
    <w:rsid w:val="00F8245F"/>
    <w:rsid w:val="00F82569"/>
    <w:rsid w:val="00F82577"/>
    <w:rsid w:val="00F825A8"/>
    <w:rsid w:val="00F82965"/>
    <w:rsid w:val="00F82972"/>
    <w:rsid w:val="00F82B79"/>
    <w:rsid w:val="00F82BB1"/>
    <w:rsid w:val="00F82ECC"/>
    <w:rsid w:val="00F82EF0"/>
    <w:rsid w:val="00F8310C"/>
    <w:rsid w:val="00F8323B"/>
    <w:rsid w:val="00F832DA"/>
    <w:rsid w:val="00F835DD"/>
    <w:rsid w:val="00F83608"/>
    <w:rsid w:val="00F8360C"/>
    <w:rsid w:val="00F8362B"/>
    <w:rsid w:val="00F83952"/>
    <w:rsid w:val="00F83A57"/>
    <w:rsid w:val="00F83B52"/>
    <w:rsid w:val="00F83E4D"/>
    <w:rsid w:val="00F83EF5"/>
    <w:rsid w:val="00F8402E"/>
    <w:rsid w:val="00F84082"/>
    <w:rsid w:val="00F84106"/>
    <w:rsid w:val="00F841C9"/>
    <w:rsid w:val="00F84227"/>
    <w:rsid w:val="00F84269"/>
    <w:rsid w:val="00F84741"/>
    <w:rsid w:val="00F84803"/>
    <w:rsid w:val="00F8496A"/>
    <w:rsid w:val="00F84C96"/>
    <w:rsid w:val="00F84CA3"/>
    <w:rsid w:val="00F84E58"/>
    <w:rsid w:val="00F850CE"/>
    <w:rsid w:val="00F853C8"/>
    <w:rsid w:val="00F853ED"/>
    <w:rsid w:val="00F8543D"/>
    <w:rsid w:val="00F8552E"/>
    <w:rsid w:val="00F85847"/>
    <w:rsid w:val="00F85A18"/>
    <w:rsid w:val="00F85A1C"/>
    <w:rsid w:val="00F85A90"/>
    <w:rsid w:val="00F85C1B"/>
    <w:rsid w:val="00F85CA2"/>
    <w:rsid w:val="00F85CB6"/>
    <w:rsid w:val="00F85E0F"/>
    <w:rsid w:val="00F85F93"/>
    <w:rsid w:val="00F85FC1"/>
    <w:rsid w:val="00F860C7"/>
    <w:rsid w:val="00F86454"/>
    <w:rsid w:val="00F8658B"/>
    <w:rsid w:val="00F8680B"/>
    <w:rsid w:val="00F86860"/>
    <w:rsid w:val="00F8688D"/>
    <w:rsid w:val="00F86981"/>
    <w:rsid w:val="00F869FA"/>
    <w:rsid w:val="00F86A74"/>
    <w:rsid w:val="00F86B9A"/>
    <w:rsid w:val="00F86BC2"/>
    <w:rsid w:val="00F86C02"/>
    <w:rsid w:val="00F86D2E"/>
    <w:rsid w:val="00F86F23"/>
    <w:rsid w:val="00F86F6C"/>
    <w:rsid w:val="00F871D6"/>
    <w:rsid w:val="00F87449"/>
    <w:rsid w:val="00F8745B"/>
    <w:rsid w:val="00F87627"/>
    <w:rsid w:val="00F87843"/>
    <w:rsid w:val="00F879CC"/>
    <w:rsid w:val="00F87A4F"/>
    <w:rsid w:val="00F87B69"/>
    <w:rsid w:val="00F87F77"/>
    <w:rsid w:val="00F87F82"/>
    <w:rsid w:val="00F901C3"/>
    <w:rsid w:val="00F901D2"/>
    <w:rsid w:val="00F90308"/>
    <w:rsid w:val="00F9036C"/>
    <w:rsid w:val="00F9037E"/>
    <w:rsid w:val="00F903AA"/>
    <w:rsid w:val="00F9064F"/>
    <w:rsid w:val="00F90686"/>
    <w:rsid w:val="00F90813"/>
    <w:rsid w:val="00F908EB"/>
    <w:rsid w:val="00F90990"/>
    <w:rsid w:val="00F909DD"/>
    <w:rsid w:val="00F909E3"/>
    <w:rsid w:val="00F90AE6"/>
    <w:rsid w:val="00F90B65"/>
    <w:rsid w:val="00F90E8F"/>
    <w:rsid w:val="00F91041"/>
    <w:rsid w:val="00F911E1"/>
    <w:rsid w:val="00F9120A"/>
    <w:rsid w:val="00F91275"/>
    <w:rsid w:val="00F915B4"/>
    <w:rsid w:val="00F915C6"/>
    <w:rsid w:val="00F9176A"/>
    <w:rsid w:val="00F9183F"/>
    <w:rsid w:val="00F91887"/>
    <w:rsid w:val="00F919AD"/>
    <w:rsid w:val="00F91D49"/>
    <w:rsid w:val="00F91D89"/>
    <w:rsid w:val="00F925AC"/>
    <w:rsid w:val="00F925DD"/>
    <w:rsid w:val="00F926A9"/>
    <w:rsid w:val="00F92896"/>
    <w:rsid w:val="00F92A9E"/>
    <w:rsid w:val="00F92B14"/>
    <w:rsid w:val="00F92B43"/>
    <w:rsid w:val="00F92C7E"/>
    <w:rsid w:val="00F92CA7"/>
    <w:rsid w:val="00F92CA9"/>
    <w:rsid w:val="00F92CED"/>
    <w:rsid w:val="00F9307D"/>
    <w:rsid w:val="00F93111"/>
    <w:rsid w:val="00F93228"/>
    <w:rsid w:val="00F932C6"/>
    <w:rsid w:val="00F9332C"/>
    <w:rsid w:val="00F93524"/>
    <w:rsid w:val="00F93670"/>
    <w:rsid w:val="00F936A1"/>
    <w:rsid w:val="00F9370C"/>
    <w:rsid w:val="00F93A1B"/>
    <w:rsid w:val="00F93B7D"/>
    <w:rsid w:val="00F93C00"/>
    <w:rsid w:val="00F93C74"/>
    <w:rsid w:val="00F93D4F"/>
    <w:rsid w:val="00F93E42"/>
    <w:rsid w:val="00F93F89"/>
    <w:rsid w:val="00F94220"/>
    <w:rsid w:val="00F943FD"/>
    <w:rsid w:val="00F94499"/>
    <w:rsid w:val="00F944E7"/>
    <w:rsid w:val="00F945D5"/>
    <w:rsid w:val="00F9473E"/>
    <w:rsid w:val="00F94907"/>
    <w:rsid w:val="00F94A3B"/>
    <w:rsid w:val="00F94A88"/>
    <w:rsid w:val="00F94AAB"/>
    <w:rsid w:val="00F94BA9"/>
    <w:rsid w:val="00F95307"/>
    <w:rsid w:val="00F955B6"/>
    <w:rsid w:val="00F95615"/>
    <w:rsid w:val="00F95731"/>
    <w:rsid w:val="00F95830"/>
    <w:rsid w:val="00F958C3"/>
    <w:rsid w:val="00F95976"/>
    <w:rsid w:val="00F95991"/>
    <w:rsid w:val="00F95A20"/>
    <w:rsid w:val="00F95ADC"/>
    <w:rsid w:val="00F95AE3"/>
    <w:rsid w:val="00F95B5A"/>
    <w:rsid w:val="00F95D82"/>
    <w:rsid w:val="00F96053"/>
    <w:rsid w:val="00F96068"/>
    <w:rsid w:val="00F960B4"/>
    <w:rsid w:val="00F961AE"/>
    <w:rsid w:val="00F964EA"/>
    <w:rsid w:val="00F966CF"/>
    <w:rsid w:val="00F96783"/>
    <w:rsid w:val="00F968EF"/>
    <w:rsid w:val="00F96A8A"/>
    <w:rsid w:val="00F96BB6"/>
    <w:rsid w:val="00F96D5B"/>
    <w:rsid w:val="00F96DCF"/>
    <w:rsid w:val="00F96E88"/>
    <w:rsid w:val="00F96EDE"/>
    <w:rsid w:val="00F96EF1"/>
    <w:rsid w:val="00F96FA5"/>
    <w:rsid w:val="00F9723F"/>
    <w:rsid w:val="00F97480"/>
    <w:rsid w:val="00F97512"/>
    <w:rsid w:val="00F97528"/>
    <w:rsid w:val="00F975E0"/>
    <w:rsid w:val="00F97A6D"/>
    <w:rsid w:val="00F97B5A"/>
    <w:rsid w:val="00F97F6C"/>
    <w:rsid w:val="00FA00C9"/>
    <w:rsid w:val="00FA0116"/>
    <w:rsid w:val="00FA01A3"/>
    <w:rsid w:val="00FA0227"/>
    <w:rsid w:val="00FA0691"/>
    <w:rsid w:val="00FA06F3"/>
    <w:rsid w:val="00FA09E8"/>
    <w:rsid w:val="00FA0D57"/>
    <w:rsid w:val="00FA0D98"/>
    <w:rsid w:val="00FA0DF1"/>
    <w:rsid w:val="00FA102A"/>
    <w:rsid w:val="00FA1038"/>
    <w:rsid w:val="00FA1114"/>
    <w:rsid w:val="00FA13BA"/>
    <w:rsid w:val="00FA1597"/>
    <w:rsid w:val="00FA1683"/>
    <w:rsid w:val="00FA19BB"/>
    <w:rsid w:val="00FA1A2B"/>
    <w:rsid w:val="00FA1BDA"/>
    <w:rsid w:val="00FA1C25"/>
    <w:rsid w:val="00FA1D22"/>
    <w:rsid w:val="00FA1D85"/>
    <w:rsid w:val="00FA1F8A"/>
    <w:rsid w:val="00FA1F9F"/>
    <w:rsid w:val="00FA2061"/>
    <w:rsid w:val="00FA2388"/>
    <w:rsid w:val="00FA24F9"/>
    <w:rsid w:val="00FA258B"/>
    <w:rsid w:val="00FA25D4"/>
    <w:rsid w:val="00FA25F7"/>
    <w:rsid w:val="00FA2623"/>
    <w:rsid w:val="00FA2673"/>
    <w:rsid w:val="00FA267F"/>
    <w:rsid w:val="00FA2699"/>
    <w:rsid w:val="00FA27E7"/>
    <w:rsid w:val="00FA2822"/>
    <w:rsid w:val="00FA2853"/>
    <w:rsid w:val="00FA2962"/>
    <w:rsid w:val="00FA2975"/>
    <w:rsid w:val="00FA2A59"/>
    <w:rsid w:val="00FA2A92"/>
    <w:rsid w:val="00FA2AE9"/>
    <w:rsid w:val="00FA2B17"/>
    <w:rsid w:val="00FA2C3E"/>
    <w:rsid w:val="00FA2D49"/>
    <w:rsid w:val="00FA2DDC"/>
    <w:rsid w:val="00FA2EBF"/>
    <w:rsid w:val="00FA2F6F"/>
    <w:rsid w:val="00FA301D"/>
    <w:rsid w:val="00FA313E"/>
    <w:rsid w:val="00FA31F5"/>
    <w:rsid w:val="00FA33A2"/>
    <w:rsid w:val="00FA34B3"/>
    <w:rsid w:val="00FA3512"/>
    <w:rsid w:val="00FA35E9"/>
    <w:rsid w:val="00FA3FD9"/>
    <w:rsid w:val="00FA3FEC"/>
    <w:rsid w:val="00FA414C"/>
    <w:rsid w:val="00FA4161"/>
    <w:rsid w:val="00FA4197"/>
    <w:rsid w:val="00FA426F"/>
    <w:rsid w:val="00FA428A"/>
    <w:rsid w:val="00FA42F7"/>
    <w:rsid w:val="00FA43E5"/>
    <w:rsid w:val="00FA44B9"/>
    <w:rsid w:val="00FA4593"/>
    <w:rsid w:val="00FA473F"/>
    <w:rsid w:val="00FA4810"/>
    <w:rsid w:val="00FA4ADD"/>
    <w:rsid w:val="00FA4AEA"/>
    <w:rsid w:val="00FA4BC3"/>
    <w:rsid w:val="00FA4DEE"/>
    <w:rsid w:val="00FA4E8C"/>
    <w:rsid w:val="00FA5212"/>
    <w:rsid w:val="00FA5384"/>
    <w:rsid w:val="00FA54A2"/>
    <w:rsid w:val="00FA5525"/>
    <w:rsid w:val="00FA5935"/>
    <w:rsid w:val="00FA59E8"/>
    <w:rsid w:val="00FA5A4B"/>
    <w:rsid w:val="00FA5CB5"/>
    <w:rsid w:val="00FA5DF5"/>
    <w:rsid w:val="00FA5EF5"/>
    <w:rsid w:val="00FA6032"/>
    <w:rsid w:val="00FA6074"/>
    <w:rsid w:val="00FA6079"/>
    <w:rsid w:val="00FA6149"/>
    <w:rsid w:val="00FA61B3"/>
    <w:rsid w:val="00FA6396"/>
    <w:rsid w:val="00FA6483"/>
    <w:rsid w:val="00FA65C5"/>
    <w:rsid w:val="00FA6624"/>
    <w:rsid w:val="00FA6672"/>
    <w:rsid w:val="00FA6B6F"/>
    <w:rsid w:val="00FA6BF8"/>
    <w:rsid w:val="00FA6D76"/>
    <w:rsid w:val="00FA6EC7"/>
    <w:rsid w:val="00FA7048"/>
    <w:rsid w:val="00FA70D9"/>
    <w:rsid w:val="00FA71B5"/>
    <w:rsid w:val="00FA75E8"/>
    <w:rsid w:val="00FA770F"/>
    <w:rsid w:val="00FA785A"/>
    <w:rsid w:val="00FA7F80"/>
    <w:rsid w:val="00FB007F"/>
    <w:rsid w:val="00FB00A2"/>
    <w:rsid w:val="00FB013F"/>
    <w:rsid w:val="00FB01A8"/>
    <w:rsid w:val="00FB0287"/>
    <w:rsid w:val="00FB02BD"/>
    <w:rsid w:val="00FB02C2"/>
    <w:rsid w:val="00FB02F7"/>
    <w:rsid w:val="00FB0A31"/>
    <w:rsid w:val="00FB0BFF"/>
    <w:rsid w:val="00FB0C48"/>
    <w:rsid w:val="00FB0EAA"/>
    <w:rsid w:val="00FB0F52"/>
    <w:rsid w:val="00FB115D"/>
    <w:rsid w:val="00FB1342"/>
    <w:rsid w:val="00FB1345"/>
    <w:rsid w:val="00FB1394"/>
    <w:rsid w:val="00FB14A5"/>
    <w:rsid w:val="00FB14BA"/>
    <w:rsid w:val="00FB157E"/>
    <w:rsid w:val="00FB164F"/>
    <w:rsid w:val="00FB169E"/>
    <w:rsid w:val="00FB1721"/>
    <w:rsid w:val="00FB1726"/>
    <w:rsid w:val="00FB173F"/>
    <w:rsid w:val="00FB1853"/>
    <w:rsid w:val="00FB1863"/>
    <w:rsid w:val="00FB1B6D"/>
    <w:rsid w:val="00FB1B9E"/>
    <w:rsid w:val="00FB1C77"/>
    <w:rsid w:val="00FB2004"/>
    <w:rsid w:val="00FB22AC"/>
    <w:rsid w:val="00FB22C8"/>
    <w:rsid w:val="00FB2480"/>
    <w:rsid w:val="00FB257E"/>
    <w:rsid w:val="00FB25A8"/>
    <w:rsid w:val="00FB2711"/>
    <w:rsid w:val="00FB273B"/>
    <w:rsid w:val="00FB2773"/>
    <w:rsid w:val="00FB2839"/>
    <w:rsid w:val="00FB2C58"/>
    <w:rsid w:val="00FB2CFF"/>
    <w:rsid w:val="00FB2D87"/>
    <w:rsid w:val="00FB2D8E"/>
    <w:rsid w:val="00FB2F94"/>
    <w:rsid w:val="00FB3111"/>
    <w:rsid w:val="00FB31DD"/>
    <w:rsid w:val="00FB344C"/>
    <w:rsid w:val="00FB3490"/>
    <w:rsid w:val="00FB357D"/>
    <w:rsid w:val="00FB35ED"/>
    <w:rsid w:val="00FB3996"/>
    <w:rsid w:val="00FB3AB0"/>
    <w:rsid w:val="00FB3B6A"/>
    <w:rsid w:val="00FB3BC8"/>
    <w:rsid w:val="00FB3C24"/>
    <w:rsid w:val="00FB3F5A"/>
    <w:rsid w:val="00FB4025"/>
    <w:rsid w:val="00FB4093"/>
    <w:rsid w:val="00FB4155"/>
    <w:rsid w:val="00FB4162"/>
    <w:rsid w:val="00FB4182"/>
    <w:rsid w:val="00FB4324"/>
    <w:rsid w:val="00FB444F"/>
    <w:rsid w:val="00FB48FE"/>
    <w:rsid w:val="00FB4CFA"/>
    <w:rsid w:val="00FB4D13"/>
    <w:rsid w:val="00FB4EB1"/>
    <w:rsid w:val="00FB5024"/>
    <w:rsid w:val="00FB5088"/>
    <w:rsid w:val="00FB50F2"/>
    <w:rsid w:val="00FB5227"/>
    <w:rsid w:val="00FB542F"/>
    <w:rsid w:val="00FB56E4"/>
    <w:rsid w:val="00FB57D6"/>
    <w:rsid w:val="00FB5875"/>
    <w:rsid w:val="00FB598B"/>
    <w:rsid w:val="00FB5B03"/>
    <w:rsid w:val="00FB5C44"/>
    <w:rsid w:val="00FB614D"/>
    <w:rsid w:val="00FB6218"/>
    <w:rsid w:val="00FB62C6"/>
    <w:rsid w:val="00FB6302"/>
    <w:rsid w:val="00FB63E6"/>
    <w:rsid w:val="00FB6592"/>
    <w:rsid w:val="00FB6626"/>
    <w:rsid w:val="00FB69BD"/>
    <w:rsid w:val="00FB6C24"/>
    <w:rsid w:val="00FB6CF2"/>
    <w:rsid w:val="00FB6EEB"/>
    <w:rsid w:val="00FB6F7C"/>
    <w:rsid w:val="00FB6F8A"/>
    <w:rsid w:val="00FB70E4"/>
    <w:rsid w:val="00FB7152"/>
    <w:rsid w:val="00FB72A6"/>
    <w:rsid w:val="00FB7342"/>
    <w:rsid w:val="00FB7356"/>
    <w:rsid w:val="00FB765D"/>
    <w:rsid w:val="00FB76B4"/>
    <w:rsid w:val="00FB7940"/>
    <w:rsid w:val="00FB7B40"/>
    <w:rsid w:val="00FB7B55"/>
    <w:rsid w:val="00FB7C6E"/>
    <w:rsid w:val="00FB7C85"/>
    <w:rsid w:val="00FB7CD7"/>
    <w:rsid w:val="00FC0077"/>
    <w:rsid w:val="00FC0082"/>
    <w:rsid w:val="00FC0099"/>
    <w:rsid w:val="00FC033C"/>
    <w:rsid w:val="00FC0341"/>
    <w:rsid w:val="00FC0695"/>
    <w:rsid w:val="00FC08FF"/>
    <w:rsid w:val="00FC0A74"/>
    <w:rsid w:val="00FC0B49"/>
    <w:rsid w:val="00FC0CD1"/>
    <w:rsid w:val="00FC0F93"/>
    <w:rsid w:val="00FC0FFA"/>
    <w:rsid w:val="00FC100D"/>
    <w:rsid w:val="00FC1170"/>
    <w:rsid w:val="00FC133E"/>
    <w:rsid w:val="00FC14C5"/>
    <w:rsid w:val="00FC17D4"/>
    <w:rsid w:val="00FC1C07"/>
    <w:rsid w:val="00FC1D01"/>
    <w:rsid w:val="00FC1D36"/>
    <w:rsid w:val="00FC1D60"/>
    <w:rsid w:val="00FC1DF9"/>
    <w:rsid w:val="00FC1E47"/>
    <w:rsid w:val="00FC1F1C"/>
    <w:rsid w:val="00FC1F98"/>
    <w:rsid w:val="00FC20C0"/>
    <w:rsid w:val="00FC213B"/>
    <w:rsid w:val="00FC2365"/>
    <w:rsid w:val="00FC25C2"/>
    <w:rsid w:val="00FC2998"/>
    <w:rsid w:val="00FC2AAB"/>
    <w:rsid w:val="00FC2AC3"/>
    <w:rsid w:val="00FC2B21"/>
    <w:rsid w:val="00FC2D18"/>
    <w:rsid w:val="00FC2E5B"/>
    <w:rsid w:val="00FC2E60"/>
    <w:rsid w:val="00FC2EB8"/>
    <w:rsid w:val="00FC2F81"/>
    <w:rsid w:val="00FC2FF9"/>
    <w:rsid w:val="00FC2FFB"/>
    <w:rsid w:val="00FC32BB"/>
    <w:rsid w:val="00FC35DE"/>
    <w:rsid w:val="00FC3A3E"/>
    <w:rsid w:val="00FC3C2B"/>
    <w:rsid w:val="00FC3CC5"/>
    <w:rsid w:val="00FC3F2B"/>
    <w:rsid w:val="00FC40F1"/>
    <w:rsid w:val="00FC412F"/>
    <w:rsid w:val="00FC440E"/>
    <w:rsid w:val="00FC4425"/>
    <w:rsid w:val="00FC467D"/>
    <w:rsid w:val="00FC46EF"/>
    <w:rsid w:val="00FC4771"/>
    <w:rsid w:val="00FC4881"/>
    <w:rsid w:val="00FC4991"/>
    <w:rsid w:val="00FC4B57"/>
    <w:rsid w:val="00FC4BDF"/>
    <w:rsid w:val="00FC4DFB"/>
    <w:rsid w:val="00FC4EE7"/>
    <w:rsid w:val="00FC4F1D"/>
    <w:rsid w:val="00FC5091"/>
    <w:rsid w:val="00FC510B"/>
    <w:rsid w:val="00FC5121"/>
    <w:rsid w:val="00FC522A"/>
    <w:rsid w:val="00FC5241"/>
    <w:rsid w:val="00FC54F4"/>
    <w:rsid w:val="00FC5540"/>
    <w:rsid w:val="00FC5574"/>
    <w:rsid w:val="00FC5661"/>
    <w:rsid w:val="00FC5704"/>
    <w:rsid w:val="00FC57C5"/>
    <w:rsid w:val="00FC59D3"/>
    <w:rsid w:val="00FC5A49"/>
    <w:rsid w:val="00FC5E87"/>
    <w:rsid w:val="00FC5F4C"/>
    <w:rsid w:val="00FC6130"/>
    <w:rsid w:val="00FC62B2"/>
    <w:rsid w:val="00FC62C1"/>
    <w:rsid w:val="00FC6555"/>
    <w:rsid w:val="00FC6801"/>
    <w:rsid w:val="00FC6954"/>
    <w:rsid w:val="00FC6A32"/>
    <w:rsid w:val="00FC6A41"/>
    <w:rsid w:val="00FC6A79"/>
    <w:rsid w:val="00FC6C56"/>
    <w:rsid w:val="00FC6DCE"/>
    <w:rsid w:val="00FC6EDC"/>
    <w:rsid w:val="00FC72DE"/>
    <w:rsid w:val="00FC749D"/>
    <w:rsid w:val="00FC75B3"/>
    <w:rsid w:val="00FC7ABE"/>
    <w:rsid w:val="00FC7AE7"/>
    <w:rsid w:val="00FC7B08"/>
    <w:rsid w:val="00FC7B4E"/>
    <w:rsid w:val="00FC7C25"/>
    <w:rsid w:val="00FC7E73"/>
    <w:rsid w:val="00FC7F7F"/>
    <w:rsid w:val="00FD0416"/>
    <w:rsid w:val="00FD05AE"/>
    <w:rsid w:val="00FD060C"/>
    <w:rsid w:val="00FD0613"/>
    <w:rsid w:val="00FD0818"/>
    <w:rsid w:val="00FD0971"/>
    <w:rsid w:val="00FD0A1B"/>
    <w:rsid w:val="00FD0A3C"/>
    <w:rsid w:val="00FD0B7C"/>
    <w:rsid w:val="00FD0BA5"/>
    <w:rsid w:val="00FD0E7E"/>
    <w:rsid w:val="00FD1277"/>
    <w:rsid w:val="00FD1353"/>
    <w:rsid w:val="00FD13D6"/>
    <w:rsid w:val="00FD1454"/>
    <w:rsid w:val="00FD16C4"/>
    <w:rsid w:val="00FD172A"/>
    <w:rsid w:val="00FD19CA"/>
    <w:rsid w:val="00FD1A07"/>
    <w:rsid w:val="00FD1A35"/>
    <w:rsid w:val="00FD1A64"/>
    <w:rsid w:val="00FD1D99"/>
    <w:rsid w:val="00FD1E39"/>
    <w:rsid w:val="00FD1E56"/>
    <w:rsid w:val="00FD1F50"/>
    <w:rsid w:val="00FD1F5E"/>
    <w:rsid w:val="00FD201B"/>
    <w:rsid w:val="00FD2099"/>
    <w:rsid w:val="00FD2192"/>
    <w:rsid w:val="00FD21F7"/>
    <w:rsid w:val="00FD220F"/>
    <w:rsid w:val="00FD242A"/>
    <w:rsid w:val="00FD246B"/>
    <w:rsid w:val="00FD24BA"/>
    <w:rsid w:val="00FD24FF"/>
    <w:rsid w:val="00FD26B2"/>
    <w:rsid w:val="00FD28E4"/>
    <w:rsid w:val="00FD2979"/>
    <w:rsid w:val="00FD2C50"/>
    <w:rsid w:val="00FD2E83"/>
    <w:rsid w:val="00FD2EC2"/>
    <w:rsid w:val="00FD2F2F"/>
    <w:rsid w:val="00FD305A"/>
    <w:rsid w:val="00FD3095"/>
    <w:rsid w:val="00FD30C5"/>
    <w:rsid w:val="00FD3293"/>
    <w:rsid w:val="00FD3409"/>
    <w:rsid w:val="00FD3596"/>
    <w:rsid w:val="00FD363E"/>
    <w:rsid w:val="00FD37AE"/>
    <w:rsid w:val="00FD393D"/>
    <w:rsid w:val="00FD3977"/>
    <w:rsid w:val="00FD39B4"/>
    <w:rsid w:val="00FD39FA"/>
    <w:rsid w:val="00FD3B86"/>
    <w:rsid w:val="00FD3C63"/>
    <w:rsid w:val="00FD3D18"/>
    <w:rsid w:val="00FD3FBF"/>
    <w:rsid w:val="00FD40CE"/>
    <w:rsid w:val="00FD43F8"/>
    <w:rsid w:val="00FD4403"/>
    <w:rsid w:val="00FD457D"/>
    <w:rsid w:val="00FD46DB"/>
    <w:rsid w:val="00FD473E"/>
    <w:rsid w:val="00FD4754"/>
    <w:rsid w:val="00FD489E"/>
    <w:rsid w:val="00FD48A2"/>
    <w:rsid w:val="00FD508E"/>
    <w:rsid w:val="00FD511F"/>
    <w:rsid w:val="00FD5154"/>
    <w:rsid w:val="00FD523A"/>
    <w:rsid w:val="00FD591B"/>
    <w:rsid w:val="00FD5E89"/>
    <w:rsid w:val="00FD6005"/>
    <w:rsid w:val="00FD6084"/>
    <w:rsid w:val="00FD60B2"/>
    <w:rsid w:val="00FD61F3"/>
    <w:rsid w:val="00FD6329"/>
    <w:rsid w:val="00FD6405"/>
    <w:rsid w:val="00FD65D9"/>
    <w:rsid w:val="00FD6624"/>
    <w:rsid w:val="00FD6805"/>
    <w:rsid w:val="00FD6912"/>
    <w:rsid w:val="00FD6CD4"/>
    <w:rsid w:val="00FD7156"/>
    <w:rsid w:val="00FD733A"/>
    <w:rsid w:val="00FD75D9"/>
    <w:rsid w:val="00FD768C"/>
    <w:rsid w:val="00FD77FF"/>
    <w:rsid w:val="00FD7835"/>
    <w:rsid w:val="00FD78F5"/>
    <w:rsid w:val="00FD7A92"/>
    <w:rsid w:val="00FD7AC2"/>
    <w:rsid w:val="00FD7CA8"/>
    <w:rsid w:val="00FD7F5E"/>
    <w:rsid w:val="00FE00DA"/>
    <w:rsid w:val="00FE02C9"/>
    <w:rsid w:val="00FE0305"/>
    <w:rsid w:val="00FE05F9"/>
    <w:rsid w:val="00FE0633"/>
    <w:rsid w:val="00FE06FC"/>
    <w:rsid w:val="00FE073C"/>
    <w:rsid w:val="00FE0803"/>
    <w:rsid w:val="00FE0983"/>
    <w:rsid w:val="00FE0A78"/>
    <w:rsid w:val="00FE0BC4"/>
    <w:rsid w:val="00FE1097"/>
    <w:rsid w:val="00FE1249"/>
    <w:rsid w:val="00FE1394"/>
    <w:rsid w:val="00FE1453"/>
    <w:rsid w:val="00FE1603"/>
    <w:rsid w:val="00FE1753"/>
    <w:rsid w:val="00FE186D"/>
    <w:rsid w:val="00FE1976"/>
    <w:rsid w:val="00FE19EF"/>
    <w:rsid w:val="00FE1ACC"/>
    <w:rsid w:val="00FE1AD7"/>
    <w:rsid w:val="00FE1AF2"/>
    <w:rsid w:val="00FE1B75"/>
    <w:rsid w:val="00FE1D60"/>
    <w:rsid w:val="00FE25AE"/>
    <w:rsid w:val="00FE292F"/>
    <w:rsid w:val="00FE29BB"/>
    <w:rsid w:val="00FE2A6B"/>
    <w:rsid w:val="00FE2A81"/>
    <w:rsid w:val="00FE2A86"/>
    <w:rsid w:val="00FE2AEA"/>
    <w:rsid w:val="00FE2DAC"/>
    <w:rsid w:val="00FE2E08"/>
    <w:rsid w:val="00FE2E16"/>
    <w:rsid w:val="00FE31BA"/>
    <w:rsid w:val="00FE32AA"/>
    <w:rsid w:val="00FE3334"/>
    <w:rsid w:val="00FE33C3"/>
    <w:rsid w:val="00FE355C"/>
    <w:rsid w:val="00FE37CE"/>
    <w:rsid w:val="00FE37D9"/>
    <w:rsid w:val="00FE3AA8"/>
    <w:rsid w:val="00FE3B3C"/>
    <w:rsid w:val="00FE3BFB"/>
    <w:rsid w:val="00FE3C10"/>
    <w:rsid w:val="00FE3C1D"/>
    <w:rsid w:val="00FE3C5E"/>
    <w:rsid w:val="00FE3CC7"/>
    <w:rsid w:val="00FE3F90"/>
    <w:rsid w:val="00FE4228"/>
    <w:rsid w:val="00FE4236"/>
    <w:rsid w:val="00FE43B5"/>
    <w:rsid w:val="00FE47BC"/>
    <w:rsid w:val="00FE48D9"/>
    <w:rsid w:val="00FE4D42"/>
    <w:rsid w:val="00FE4D83"/>
    <w:rsid w:val="00FE4D8F"/>
    <w:rsid w:val="00FE4DF1"/>
    <w:rsid w:val="00FE4F98"/>
    <w:rsid w:val="00FE4FCD"/>
    <w:rsid w:val="00FE51BC"/>
    <w:rsid w:val="00FE51C5"/>
    <w:rsid w:val="00FE5229"/>
    <w:rsid w:val="00FE525A"/>
    <w:rsid w:val="00FE5393"/>
    <w:rsid w:val="00FE54E3"/>
    <w:rsid w:val="00FE5682"/>
    <w:rsid w:val="00FE5719"/>
    <w:rsid w:val="00FE5724"/>
    <w:rsid w:val="00FE57B7"/>
    <w:rsid w:val="00FE58F2"/>
    <w:rsid w:val="00FE59D0"/>
    <w:rsid w:val="00FE59FD"/>
    <w:rsid w:val="00FE5ABD"/>
    <w:rsid w:val="00FE5B62"/>
    <w:rsid w:val="00FE5DC9"/>
    <w:rsid w:val="00FE5E74"/>
    <w:rsid w:val="00FE5E90"/>
    <w:rsid w:val="00FE5F42"/>
    <w:rsid w:val="00FE5F8D"/>
    <w:rsid w:val="00FE6181"/>
    <w:rsid w:val="00FE63B1"/>
    <w:rsid w:val="00FE64F5"/>
    <w:rsid w:val="00FE6501"/>
    <w:rsid w:val="00FE6C86"/>
    <w:rsid w:val="00FE7065"/>
    <w:rsid w:val="00FE71B9"/>
    <w:rsid w:val="00FE7478"/>
    <w:rsid w:val="00FE769C"/>
    <w:rsid w:val="00FE77BF"/>
    <w:rsid w:val="00FE77F5"/>
    <w:rsid w:val="00FE7D41"/>
    <w:rsid w:val="00FE7F77"/>
    <w:rsid w:val="00FF0114"/>
    <w:rsid w:val="00FF021D"/>
    <w:rsid w:val="00FF035C"/>
    <w:rsid w:val="00FF0547"/>
    <w:rsid w:val="00FF0A00"/>
    <w:rsid w:val="00FF0A3D"/>
    <w:rsid w:val="00FF0A7B"/>
    <w:rsid w:val="00FF0B07"/>
    <w:rsid w:val="00FF0B3A"/>
    <w:rsid w:val="00FF0EC3"/>
    <w:rsid w:val="00FF0F11"/>
    <w:rsid w:val="00FF1093"/>
    <w:rsid w:val="00FF121A"/>
    <w:rsid w:val="00FF121D"/>
    <w:rsid w:val="00FF13C4"/>
    <w:rsid w:val="00FF13D2"/>
    <w:rsid w:val="00FF1598"/>
    <w:rsid w:val="00FF16F5"/>
    <w:rsid w:val="00FF1767"/>
    <w:rsid w:val="00FF17F9"/>
    <w:rsid w:val="00FF18DE"/>
    <w:rsid w:val="00FF1948"/>
    <w:rsid w:val="00FF1A37"/>
    <w:rsid w:val="00FF1A3D"/>
    <w:rsid w:val="00FF1A81"/>
    <w:rsid w:val="00FF1B0D"/>
    <w:rsid w:val="00FF1B67"/>
    <w:rsid w:val="00FF1BE8"/>
    <w:rsid w:val="00FF1C99"/>
    <w:rsid w:val="00FF1EF4"/>
    <w:rsid w:val="00FF1F98"/>
    <w:rsid w:val="00FF1FE8"/>
    <w:rsid w:val="00FF2103"/>
    <w:rsid w:val="00FF22D7"/>
    <w:rsid w:val="00FF2344"/>
    <w:rsid w:val="00FF2551"/>
    <w:rsid w:val="00FF259E"/>
    <w:rsid w:val="00FF2BC9"/>
    <w:rsid w:val="00FF2C02"/>
    <w:rsid w:val="00FF2D3E"/>
    <w:rsid w:val="00FF2FF9"/>
    <w:rsid w:val="00FF3307"/>
    <w:rsid w:val="00FF336D"/>
    <w:rsid w:val="00FF3405"/>
    <w:rsid w:val="00FF3547"/>
    <w:rsid w:val="00FF3608"/>
    <w:rsid w:val="00FF3686"/>
    <w:rsid w:val="00FF3823"/>
    <w:rsid w:val="00FF3B4C"/>
    <w:rsid w:val="00FF3B58"/>
    <w:rsid w:val="00FF3BAA"/>
    <w:rsid w:val="00FF3DE3"/>
    <w:rsid w:val="00FF3F01"/>
    <w:rsid w:val="00FF40AC"/>
    <w:rsid w:val="00FF422A"/>
    <w:rsid w:val="00FF44B6"/>
    <w:rsid w:val="00FF45D9"/>
    <w:rsid w:val="00FF4688"/>
    <w:rsid w:val="00FF472D"/>
    <w:rsid w:val="00FF480A"/>
    <w:rsid w:val="00FF4A02"/>
    <w:rsid w:val="00FF4AB0"/>
    <w:rsid w:val="00FF4E09"/>
    <w:rsid w:val="00FF4F96"/>
    <w:rsid w:val="00FF5214"/>
    <w:rsid w:val="00FF524C"/>
    <w:rsid w:val="00FF527D"/>
    <w:rsid w:val="00FF52A2"/>
    <w:rsid w:val="00FF54BD"/>
    <w:rsid w:val="00FF55E8"/>
    <w:rsid w:val="00FF5719"/>
    <w:rsid w:val="00FF59B5"/>
    <w:rsid w:val="00FF5A2C"/>
    <w:rsid w:val="00FF5C13"/>
    <w:rsid w:val="00FF5EED"/>
    <w:rsid w:val="00FF5FB8"/>
    <w:rsid w:val="00FF5FE9"/>
    <w:rsid w:val="00FF63EB"/>
    <w:rsid w:val="00FF64FA"/>
    <w:rsid w:val="00FF6610"/>
    <w:rsid w:val="00FF663F"/>
    <w:rsid w:val="00FF6846"/>
    <w:rsid w:val="00FF698B"/>
    <w:rsid w:val="00FF6A29"/>
    <w:rsid w:val="00FF6AC1"/>
    <w:rsid w:val="00FF6AE9"/>
    <w:rsid w:val="00FF6D2F"/>
    <w:rsid w:val="00FF6E5C"/>
    <w:rsid w:val="00FF6E6B"/>
    <w:rsid w:val="00FF6FD1"/>
    <w:rsid w:val="00FF7129"/>
    <w:rsid w:val="00FF7152"/>
    <w:rsid w:val="00FF71BF"/>
    <w:rsid w:val="00FF72D6"/>
    <w:rsid w:val="00FF7392"/>
    <w:rsid w:val="00FF73A1"/>
    <w:rsid w:val="00FF7454"/>
    <w:rsid w:val="00FF7473"/>
    <w:rsid w:val="00FF7793"/>
    <w:rsid w:val="00FF7984"/>
    <w:rsid w:val="00FF7987"/>
    <w:rsid w:val="00FF7B72"/>
    <w:rsid w:val="00FF7E82"/>
    <w:rsid w:val="00FF7FE7"/>
    <w:rsid w:val="01033506"/>
    <w:rsid w:val="015A770E"/>
    <w:rsid w:val="01735E24"/>
    <w:rsid w:val="03C64B99"/>
    <w:rsid w:val="04AB380F"/>
    <w:rsid w:val="058D580C"/>
    <w:rsid w:val="05DB2490"/>
    <w:rsid w:val="06395B76"/>
    <w:rsid w:val="082D599F"/>
    <w:rsid w:val="0A466337"/>
    <w:rsid w:val="0BB06AC4"/>
    <w:rsid w:val="0C0D68E9"/>
    <w:rsid w:val="0D2D427D"/>
    <w:rsid w:val="0D672E6B"/>
    <w:rsid w:val="0E700835"/>
    <w:rsid w:val="0F530D12"/>
    <w:rsid w:val="10311304"/>
    <w:rsid w:val="10E7473E"/>
    <w:rsid w:val="11A97FB0"/>
    <w:rsid w:val="11C2515E"/>
    <w:rsid w:val="13593BFA"/>
    <w:rsid w:val="169F5C2B"/>
    <w:rsid w:val="16AF260D"/>
    <w:rsid w:val="18D02045"/>
    <w:rsid w:val="1AFC102B"/>
    <w:rsid w:val="1C0E29E3"/>
    <w:rsid w:val="1C224CAA"/>
    <w:rsid w:val="1C2E5994"/>
    <w:rsid w:val="1D630931"/>
    <w:rsid w:val="1D870665"/>
    <w:rsid w:val="1FF15C4B"/>
    <w:rsid w:val="21E3697B"/>
    <w:rsid w:val="24077187"/>
    <w:rsid w:val="249D1C25"/>
    <w:rsid w:val="254C47A5"/>
    <w:rsid w:val="264C534C"/>
    <w:rsid w:val="274B65E2"/>
    <w:rsid w:val="27C80153"/>
    <w:rsid w:val="281A3A3B"/>
    <w:rsid w:val="28344DCF"/>
    <w:rsid w:val="28CA58D7"/>
    <w:rsid w:val="295B3FA2"/>
    <w:rsid w:val="2B9463F2"/>
    <w:rsid w:val="2BA43B5A"/>
    <w:rsid w:val="2CFC2BA7"/>
    <w:rsid w:val="2ED47338"/>
    <w:rsid w:val="2F314869"/>
    <w:rsid w:val="2F737343"/>
    <w:rsid w:val="30CC66F9"/>
    <w:rsid w:val="32157AC3"/>
    <w:rsid w:val="325707E5"/>
    <w:rsid w:val="33471E1C"/>
    <w:rsid w:val="33897C91"/>
    <w:rsid w:val="36E66061"/>
    <w:rsid w:val="36F9267D"/>
    <w:rsid w:val="37771786"/>
    <w:rsid w:val="38AB2D70"/>
    <w:rsid w:val="3B73578E"/>
    <w:rsid w:val="3B8A6F03"/>
    <w:rsid w:val="3D1B3A2B"/>
    <w:rsid w:val="3E755B6E"/>
    <w:rsid w:val="3EB642BC"/>
    <w:rsid w:val="3F5A09EE"/>
    <w:rsid w:val="3FCE136D"/>
    <w:rsid w:val="402B6146"/>
    <w:rsid w:val="413A188C"/>
    <w:rsid w:val="43BE6A9D"/>
    <w:rsid w:val="44F21F78"/>
    <w:rsid w:val="456C1BB8"/>
    <w:rsid w:val="457432BE"/>
    <w:rsid w:val="45CD4F53"/>
    <w:rsid w:val="46981149"/>
    <w:rsid w:val="487B500E"/>
    <w:rsid w:val="4937232A"/>
    <w:rsid w:val="497C7464"/>
    <w:rsid w:val="4A44289C"/>
    <w:rsid w:val="4AB02166"/>
    <w:rsid w:val="4AED413E"/>
    <w:rsid w:val="4B0700A9"/>
    <w:rsid w:val="4B843F10"/>
    <w:rsid w:val="4C3D2E05"/>
    <w:rsid w:val="4DC27E3D"/>
    <w:rsid w:val="4E7130A9"/>
    <w:rsid w:val="4F0B372A"/>
    <w:rsid w:val="50415A3F"/>
    <w:rsid w:val="50573DDE"/>
    <w:rsid w:val="516B268C"/>
    <w:rsid w:val="52BB5B92"/>
    <w:rsid w:val="52FF0303"/>
    <w:rsid w:val="54270266"/>
    <w:rsid w:val="5451696E"/>
    <w:rsid w:val="572D7905"/>
    <w:rsid w:val="58D21E2A"/>
    <w:rsid w:val="5A1E2E5B"/>
    <w:rsid w:val="5AB25C20"/>
    <w:rsid w:val="5BCD32B0"/>
    <w:rsid w:val="5BE00B88"/>
    <w:rsid w:val="5C3831B3"/>
    <w:rsid w:val="5CD53651"/>
    <w:rsid w:val="5D626702"/>
    <w:rsid w:val="5E405C3D"/>
    <w:rsid w:val="5E476EFF"/>
    <w:rsid w:val="5F691D54"/>
    <w:rsid w:val="5F9075AB"/>
    <w:rsid w:val="611D5B46"/>
    <w:rsid w:val="61714129"/>
    <w:rsid w:val="62293E5F"/>
    <w:rsid w:val="628C1739"/>
    <w:rsid w:val="62DB0D24"/>
    <w:rsid w:val="633145C7"/>
    <w:rsid w:val="636944CA"/>
    <w:rsid w:val="63AA2637"/>
    <w:rsid w:val="64637B9D"/>
    <w:rsid w:val="65112F28"/>
    <w:rsid w:val="665A0E1C"/>
    <w:rsid w:val="66B036D0"/>
    <w:rsid w:val="66B043F8"/>
    <w:rsid w:val="68F47CA3"/>
    <w:rsid w:val="6E2B572F"/>
    <w:rsid w:val="6F0A72BD"/>
    <w:rsid w:val="6FDF05DF"/>
    <w:rsid w:val="72BC0BDD"/>
    <w:rsid w:val="7571613D"/>
    <w:rsid w:val="767D6515"/>
    <w:rsid w:val="76D273FD"/>
    <w:rsid w:val="771579A0"/>
    <w:rsid w:val="77573C81"/>
    <w:rsid w:val="78571CB2"/>
    <w:rsid w:val="79982A91"/>
    <w:rsid w:val="7AEE0B65"/>
    <w:rsid w:val="7B0F0931"/>
    <w:rsid w:val="7B1B4CA0"/>
    <w:rsid w:val="7B47511D"/>
    <w:rsid w:val="7E727012"/>
    <w:rsid w:val="7F4F06A7"/>
    <w:rsid w:val="7FFD29D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81" fillcolor="white">
      <v:fill color="white"/>
    </o:shapedefaults>
    <o:shapelayout v:ext="edit">
      <o:idmap v:ext="edit" data="1,3"/>
      <o:rules v:ext="edit">
        <o:r id="V:Rule1" type="connector" idref="#_x0000_s1570"/>
        <o:r id="V:Rule2" type="connector" idref="#_x0000_s1813"/>
        <o:r id="V:Rule3" type="connector" idref="#_x0000_s1659"/>
        <o:r id="V:Rule4" type="connector" idref="#_x0000_s1805"/>
        <o:r id="V:Rule5" type="connector" idref="#_x0000_s1566"/>
        <o:r id="V:Rule6" type="connector" idref="#_x0000_s1809"/>
        <o:r id="V:Rule7" type="connector" idref="#_x0000_s1561"/>
        <o:r id="V:Rule8" type="connector" idref="#_x0000_s1575"/>
      </o:rules>
    </o:shapelayout>
  </w:shapeDefaults>
  <w:decimalSymbol w:val="."/>
  <w:listSeparator w:val=","/>
  <w14:docId w14:val="47E1919C"/>
  <w15:docId w15:val="{3DA02678-F200-41B5-AA50-32A587045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qFormat="1"/>
    <w:lsdException w:name="table of authorities" w:semiHidden="1" w:qFormat="1"/>
    <w:lsdException w:name="macro" w:semiHidden="1" w:unhideWhenUsed="1" w:qFormat="1"/>
    <w:lsdException w:name="toa heading" w:semiHidden="1" w:unhideWhenUsed="1" w:qFormat="1"/>
    <w:lsdException w:name="List" w:qFormat="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qFormat="1"/>
    <w:lsdException w:name="List Continue 4" w:qFormat="1"/>
    <w:lsdException w:name="List Continue 5"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qFormat="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C223F5"/>
    <w:pPr>
      <w:widowControl w:val="0"/>
      <w:jc w:val="both"/>
    </w:pPr>
    <w:rPr>
      <w:kern w:val="2"/>
      <w:sz w:val="21"/>
      <w:szCs w:val="24"/>
    </w:rPr>
  </w:style>
  <w:style w:type="paragraph" w:styleId="1">
    <w:name w:val="heading 1"/>
    <w:basedOn w:val="a"/>
    <w:next w:val="a"/>
    <w:link w:val="10"/>
    <w:qFormat/>
    <w:rsid w:val="00C223F5"/>
    <w:pPr>
      <w:keepNext/>
      <w:keepLines/>
      <w:numPr>
        <w:numId w:val="1"/>
      </w:numPr>
      <w:spacing w:before="340" w:after="330" w:line="300" w:lineRule="auto"/>
      <w:outlineLvl w:val="0"/>
    </w:pPr>
    <w:rPr>
      <w:rFonts w:eastAsia="黑体"/>
      <w:bCs/>
      <w:kern w:val="44"/>
      <w:sz w:val="32"/>
      <w:szCs w:val="44"/>
    </w:rPr>
  </w:style>
  <w:style w:type="paragraph" w:styleId="2">
    <w:name w:val="heading 2"/>
    <w:basedOn w:val="a"/>
    <w:next w:val="a"/>
    <w:link w:val="20"/>
    <w:qFormat/>
    <w:rsid w:val="00C223F5"/>
    <w:pPr>
      <w:keepNext/>
      <w:keepLines/>
      <w:numPr>
        <w:ilvl w:val="1"/>
        <w:numId w:val="1"/>
      </w:numPr>
      <w:tabs>
        <w:tab w:val="left" w:pos="432"/>
      </w:tabs>
      <w:spacing w:before="260" w:after="260" w:line="300" w:lineRule="auto"/>
      <w:outlineLvl w:val="1"/>
    </w:pPr>
    <w:rPr>
      <w:rFonts w:ascii="Arial" w:eastAsia="楷体_GB2312" w:hAnsi="Arial"/>
      <w:bCs/>
      <w:sz w:val="30"/>
      <w:szCs w:val="32"/>
    </w:rPr>
  </w:style>
  <w:style w:type="paragraph" w:styleId="3">
    <w:name w:val="heading 3"/>
    <w:basedOn w:val="a"/>
    <w:next w:val="a"/>
    <w:link w:val="30"/>
    <w:qFormat/>
    <w:rsid w:val="00C223F5"/>
    <w:pPr>
      <w:keepNext/>
      <w:keepLines/>
      <w:numPr>
        <w:ilvl w:val="2"/>
        <w:numId w:val="1"/>
      </w:numPr>
      <w:tabs>
        <w:tab w:val="left" w:pos="432"/>
      </w:tabs>
      <w:spacing w:before="260" w:after="260" w:line="416" w:lineRule="auto"/>
      <w:outlineLvl w:val="2"/>
    </w:pPr>
    <w:rPr>
      <w:rFonts w:eastAsia="仿宋_GB2312"/>
      <w:bCs/>
      <w:sz w:val="24"/>
      <w:szCs w:val="32"/>
    </w:rPr>
  </w:style>
  <w:style w:type="paragraph" w:styleId="4">
    <w:name w:val="heading 4"/>
    <w:basedOn w:val="a"/>
    <w:next w:val="a"/>
    <w:link w:val="40"/>
    <w:qFormat/>
    <w:rsid w:val="00C223F5"/>
    <w:pPr>
      <w:keepNext/>
      <w:keepLines/>
      <w:spacing w:before="280" w:after="290" w:line="376" w:lineRule="auto"/>
      <w:outlineLvl w:val="3"/>
    </w:pPr>
    <w:rPr>
      <w:bCs/>
      <w:sz w:val="24"/>
      <w:szCs w:val="28"/>
    </w:rPr>
  </w:style>
  <w:style w:type="paragraph" w:styleId="5">
    <w:name w:val="heading 5"/>
    <w:basedOn w:val="a"/>
    <w:next w:val="a"/>
    <w:link w:val="50"/>
    <w:qFormat/>
    <w:rsid w:val="00C223F5"/>
    <w:pPr>
      <w:keepNext/>
      <w:keepLines/>
      <w:numPr>
        <w:ilvl w:val="4"/>
        <w:numId w:val="1"/>
      </w:numPr>
      <w:spacing w:before="280" w:after="290" w:line="376" w:lineRule="auto"/>
      <w:outlineLvl w:val="4"/>
    </w:pPr>
    <w:rPr>
      <w:b/>
      <w:bCs/>
      <w:sz w:val="24"/>
      <w:szCs w:val="28"/>
    </w:rPr>
  </w:style>
  <w:style w:type="paragraph" w:styleId="6">
    <w:name w:val="heading 6"/>
    <w:basedOn w:val="a"/>
    <w:next w:val="a"/>
    <w:link w:val="60"/>
    <w:qFormat/>
    <w:rsid w:val="00C223F5"/>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link w:val="70"/>
    <w:qFormat/>
    <w:rsid w:val="00C223F5"/>
    <w:pPr>
      <w:keepNext/>
      <w:keepLines/>
      <w:numPr>
        <w:ilvl w:val="6"/>
        <w:numId w:val="1"/>
      </w:numPr>
      <w:spacing w:before="240" w:after="64" w:line="320" w:lineRule="auto"/>
      <w:outlineLvl w:val="6"/>
    </w:pPr>
    <w:rPr>
      <w:b/>
      <w:bCs/>
      <w:sz w:val="24"/>
    </w:rPr>
  </w:style>
  <w:style w:type="paragraph" w:styleId="8">
    <w:name w:val="heading 8"/>
    <w:basedOn w:val="a"/>
    <w:next w:val="a"/>
    <w:link w:val="80"/>
    <w:qFormat/>
    <w:rsid w:val="00C223F5"/>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0"/>
    <w:qFormat/>
    <w:rsid w:val="00C223F5"/>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qFormat/>
    <w:rsid w:val="00C223F5"/>
    <w:pPr>
      <w:ind w:leftChars="400" w:left="100" w:hangingChars="200" w:hanging="200"/>
    </w:pPr>
  </w:style>
  <w:style w:type="paragraph" w:styleId="a3">
    <w:name w:val="annotation subject"/>
    <w:basedOn w:val="a4"/>
    <w:next w:val="a4"/>
    <w:link w:val="a5"/>
    <w:qFormat/>
    <w:rsid w:val="00C223F5"/>
    <w:rPr>
      <w:b/>
      <w:bCs/>
    </w:rPr>
  </w:style>
  <w:style w:type="paragraph" w:styleId="a4">
    <w:name w:val="annotation text"/>
    <w:basedOn w:val="a"/>
    <w:link w:val="a6"/>
    <w:qFormat/>
    <w:rsid w:val="00C223F5"/>
    <w:pPr>
      <w:jc w:val="left"/>
    </w:pPr>
  </w:style>
  <w:style w:type="paragraph" w:styleId="TOC7">
    <w:name w:val="toc 7"/>
    <w:basedOn w:val="a"/>
    <w:next w:val="a"/>
    <w:uiPriority w:val="39"/>
    <w:qFormat/>
    <w:rsid w:val="00C223F5"/>
    <w:pPr>
      <w:ind w:left="1260"/>
      <w:jc w:val="left"/>
    </w:pPr>
    <w:rPr>
      <w:sz w:val="18"/>
      <w:szCs w:val="18"/>
    </w:rPr>
  </w:style>
  <w:style w:type="paragraph" w:styleId="a7">
    <w:name w:val="Body Text First Indent"/>
    <w:basedOn w:val="a8"/>
    <w:link w:val="a9"/>
    <w:qFormat/>
    <w:rsid w:val="00C223F5"/>
    <w:pPr>
      <w:spacing w:after="120"/>
      <w:ind w:firstLine="420"/>
      <w:jc w:val="both"/>
    </w:pPr>
    <w:rPr>
      <w:b w:val="0"/>
      <w:bCs w:val="0"/>
    </w:rPr>
  </w:style>
  <w:style w:type="paragraph" w:styleId="a8">
    <w:name w:val="Body Text"/>
    <w:basedOn w:val="a"/>
    <w:link w:val="aa"/>
    <w:qFormat/>
    <w:rsid w:val="00C223F5"/>
    <w:pPr>
      <w:jc w:val="center"/>
    </w:pPr>
    <w:rPr>
      <w:b/>
      <w:bCs/>
    </w:rPr>
  </w:style>
  <w:style w:type="paragraph" w:styleId="21">
    <w:name w:val="List Number 2"/>
    <w:basedOn w:val="a"/>
    <w:qFormat/>
    <w:rsid w:val="00C223F5"/>
    <w:pPr>
      <w:tabs>
        <w:tab w:val="left" w:pos="780"/>
      </w:tabs>
      <w:ind w:leftChars="200" w:left="780" w:hangingChars="200" w:hanging="360"/>
    </w:pPr>
  </w:style>
  <w:style w:type="paragraph" w:styleId="ab">
    <w:name w:val="table of authorities"/>
    <w:basedOn w:val="a"/>
    <w:next w:val="a"/>
    <w:semiHidden/>
    <w:qFormat/>
    <w:rsid w:val="00C223F5"/>
    <w:pPr>
      <w:ind w:leftChars="200" w:left="420"/>
    </w:pPr>
  </w:style>
  <w:style w:type="paragraph" w:styleId="ac">
    <w:name w:val="macro"/>
    <w:semiHidden/>
    <w:qFormat/>
    <w:rsid w:val="00C223F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d">
    <w:name w:val="Note Heading"/>
    <w:basedOn w:val="a"/>
    <w:next w:val="a"/>
    <w:link w:val="ae"/>
    <w:qFormat/>
    <w:rsid w:val="00C223F5"/>
    <w:pPr>
      <w:spacing w:before="240" w:after="120" w:line="440" w:lineRule="atLeast"/>
      <w:jc w:val="center"/>
    </w:pPr>
    <w:rPr>
      <w:rFonts w:ascii="宋体" w:hAnsi="宋体"/>
      <w:sz w:val="28"/>
      <w:szCs w:val="20"/>
    </w:rPr>
  </w:style>
  <w:style w:type="paragraph" w:styleId="41">
    <w:name w:val="List Bullet 4"/>
    <w:basedOn w:val="a"/>
    <w:qFormat/>
    <w:rsid w:val="00C223F5"/>
    <w:pPr>
      <w:tabs>
        <w:tab w:val="left" w:pos="1620"/>
      </w:tabs>
      <w:ind w:leftChars="600" w:left="1620" w:hangingChars="200" w:hanging="360"/>
    </w:pPr>
  </w:style>
  <w:style w:type="paragraph" w:styleId="81">
    <w:name w:val="index 8"/>
    <w:basedOn w:val="a"/>
    <w:next w:val="a"/>
    <w:qFormat/>
    <w:rsid w:val="00C223F5"/>
    <w:pPr>
      <w:ind w:leftChars="1400" w:left="1400"/>
    </w:pPr>
  </w:style>
  <w:style w:type="paragraph" w:styleId="af">
    <w:name w:val="E-mail Signature"/>
    <w:basedOn w:val="a"/>
    <w:qFormat/>
    <w:rsid w:val="00C223F5"/>
  </w:style>
  <w:style w:type="paragraph" w:styleId="af0">
    <w:name w:val="List Number"/>
    <w:basedOn w:val="a"/>
    <w:qFormat/>
    <w:rsid w:val="00C223F5"/>
    <w:pPr>
      <w:tabs>
        <w:tab w:val="left" w:pos="360"/>
      </w:tabs>
      <w:ind w:left="360" w:hangingChars="200" w:hanging="360"/>
    </w:pPr>
  </w:style>
  <w:style w:type="paragraph" w:styleId="af1">
    <w:name w:val="Normal Indent"/>
    <w:basedOn w:val="a"/>
    <w:link w:val="af2"/>
    <w:qFormat/>
    <w:rsid w:val="00C223F5"/>
    <w:pPr>
      <w:ind w:firstLine="420"/>
    </w:pPr>
    <w:rPr>
      <w:szCs w:val="20"/>
    </w:rPr>
  </w:style>
  <w:style w:type="paragraph" w:styleId="af3">
    <w:name w:val="caption"/>
    <w:basedOn w:val="a"/>
    <w:next w:val="a"/>
    <w:link w:val="af4"/>
    <w:qFormat/>
    <w:rsid w:val="00C223F5"/>
    <w:rPr>
      <w:rFonts w:ascii="Arial" w:eastAsia="黑体" w:hAnsi="Arial" w:cs="Arial"/>
      <w:sz w:val="20"/>
      <w:szCs w:val="20"/>
    </w:rPr>
  </w:style>
  <w:style w:type="paragraph" w:styleId="51">
    <w:name w:val="index 5"/>
    <w:basedOn w:val="a"/>
    <w:next w:val="a"/>
    <w:qFormat/>
    <w:rsid w:val="00C223F5"/>
    <w:pPr>
      <w:ind w:leftChars="800" w:left="800"/>
    </w:pPr>
  </w:style>
  <w:style w:type="paragraph" w:styleId="af5">
    <w:name w:val="List Bullet"/>
    <w:basedOn w:val="a"/>
    <w:qFormat/>
    <w:rsid w:val="00C223F5"/>
    <w:pPr>
      <w:tabs>
        <w:tab w:val="left" w:pos="360"/>
      </w:tabs>
      <w:ind w:left="360" w:hangingChars="200" w:hanging="360"/>
    </w:pPr>
    <w:rPr>
      <w:rFonts w:ascii="黑体" w:eastAsia="黑体"/>
      <w:spacing w:val="-20"/>
      <w:w w:val="150"/>
      <w:kern w:val="13"/>
      <w:sz w:val="28"/>
      <w:szCs w:val="20"/>
    </w:rPr>
  </w:style>
  <w:style w:type="paragraph" w:styleId="af6">
    <w:name w:val="envelope address"/>
    <w:basedOn w:val="a"/>
    <w:qFormat/>
    <w:rsid w:val="00C223F5"/>
    <w:pPr>
      <w:framePr w:w="7920" w:h="1980" w:hRule="exact" w:hSpace="180" w:wrap="around" w:hAnchor="page" w:xAlign="center" w:yAlign="bottom"/>
      <w:snapToGrid w:val="0"/>
      <w:ind w:leftChars="1400" w:left="100"/>
    </w:pPr>
    <w:rPr>
      <w:rFonts w:ascii="Arial" w:hAnsi="Arial" w:cs="Arial"/>
      <w:sz w:val="24"/>
    </w:rPr>
  </w:style>
  <w:style w:type="paragraph" w:styleId="af7">
    <w:name w:val="Document Map"/>
    <w:basedOn w:val="a"/>
    <w:link w:val="af8"/>
    <w:qFormat/>
    <w:rsid w:val="00C223F5"/>
    <w:pPr>
      <w:shd w:val="clear" w:color="auto" w:fill="000080"/>
    </w:pPr>
  </w:style>
  <w:style w:type="paragraph" w:styleId="af9">
    <w:name w:val="toa heading"/>
    <w:basedOn w:val="a"/>
    <w:next w:val="a"/>
    <w:semiHidden/>
    <w:qFormat/>
    <w:rsid w:val="00C223F5"/>
    <w:pPr>
      <w:spacing w:before="120"/>
    </w:pPr>
    <w:rPr>
      <w:rFonts w:ascii="Arial" w:hAnsi="Arial" w:cs="Arial"/>
      <w:sz w:val="24"/>
    </w:rPr>
  </w:style>
  <w:style w:type="paragraph" w:styleId="61">
    <w:name w:val="index 6"/>
    <w:basedOn w:val="a"/>
    <w:next w:val="a"/>
    <w:semiHidden/>
    <w:qFormat/>
    <w:rsid w:val="00C223F5"/>
    <w:pPr>
      <w:ind w:leftChars="1000" w:left="1000"/>
    </w:pPr>
  </w:style>
  <w:style w:type="paragraph" w:styleId="afa">
    <w:name w:val="Salutation"/>
    <w:basedOn w:val="a"/>
    <w:next w:val="a"/>
    <w:link w:val="afb"/>
    <w:qFormat/>
    <w:rsid w:val="00C223F5"/>
  </w:style>
  <w:style w:type="paragraph" w:styleId="32">
    <w:name w:val="Body Text 3"/>
    <w:basedOn w:val="a"/>
    <w:qFormat/>
    <w:rsid w:val="00C223F5"/>
    <w:pPr>
      <w:spacing w:after="120"/>
    </w:pPr>
    <w:rPr>
      <w:sz w:val="16"/>
      <w:szCs w:val="16"/>
    </w:rPr>
  </w:style>
  <w:style w:type="paragraph" w:styleId="afc">
    <w:name w:val="Closing"/>
    <w:basedOn w:val="a"/>
    <w:qFormat/>
    <w:rsid w:val="00C223F5"/>
    <w:pPr>
      <w:ind w:leftChars="2100" w:left="100"/>
    </w:pPr>
  </w:style>
  <w:style w:type="paragraph" w:styleId="33">
    <w:name w:val="List Bullet 3"/>
    <w:basedOn w:val="a"/>
    <w:qFormat/>
    <w:rsid w:val="00C223F5"/>
    <w:pPr>
      <w:tabs>
        <w:tab w:val="left" w:pos="1200"/>
      </w:tabs>
      <w:ind w:leftChars="400" w:left="1200" w:hangingChars="200" w:hanging="360"/>
    </w:pPr>
  </w:style>
  <w:style w:type="paragraph" w:styleId="afd">
    <w:name w:val="Body Text Indent"/>
    <w:basedOn w:val="a"/>
    <w:link w:val="afe"/>
    <w:qFormat/>
    <w:rsid w:val="00C223F5"/>
    <w:pPr>
      <w:ind w:firstLineChars="200" w:firstLine="560"/>
    </w:pPr>
    <w:rPr>
      <w:sz w:val="28"/>
    </w:rPr>
  </w:style>
  <w:style w:type="paragraph" w:styleId="34">
    <w:name w:val="List Number 3"/>
    <w:basedOn w:val="a"/>
    <w:qFormat/>
    <w:rsid w:val="00C223F5"/>
    <w:pPr>
      <w:tabs>
        <w:tab w:val="left" w:pos="1200"/>
      </w:tabs>
      <w:ind w:leftChars="400" w:left="1200" w:hangingChars="200" w:hanging="360"/>
    </w:pPr>
  </w:style>
  <w:style w:type="paragraph" w:styleId="22">
    <w:name w:val="List 2"/>
    <w:basedOn w:val="a"/>
    <w:qFormat/>
    <w:rsid w:val="00C223F5"/>
    <w:pPr>
      <w:ind w:leftChars="200" w:left="100" w:hangingChars="200" w:hanging="200"/>
    </w:pPr>
  </w:style>
  <w:style w:type="paragraph" w:styleId="aff">
    <w:name w:val="List Continue"/>
    <w:basedOn w:val="a"/>
    <w:qFormat/>
    <w:rsid w:val="00C223F5"/>
    <w:pPr>
      <w:spacing w:after="120"/>
      <w:ind w:leftChars="200" w:left="420"/>
    </w:pPr>
  </w:style>
  <w:style w:type="paragraph" w:styleId="aff0">
    <w:name w:val="Block Text"/>
    <w:basedOn w:val="a"/>
    <w:qFormat/>
    <w:rsid w:val="00C223F5"/>
    <w:pPr>
      <w:tabs>
        <w:tab w:val="left" w:pos="210"/>
        <w:tab w:val="left" w:pos="1050"/>
        <w:tab w:val="left" w:pos="1155"/>
        <w:tab w:val="left" w:pos="1365"/>
      </w:tabs>
      <w:ind w:left="210" w:right="-394" w:firstLine="525"/>
    </w:pPr>
    <w:rPr>
      <w:sz w:val="32"/>
      <w:szCs w:val="20"/>
    </w:rPr>
  </w:style>
  <w:style w:type="paragraph" w:styleId="23">
    <w:name w:val="List Bullet 2"/>
    <w:basedOn w:val="a"/>
    <w:qFormat/>
    <w:rsid w:val="00C223F5"/>
    <w:pPr>
      <w:tabs>
        <w:tab w:val="left" w:pos="780"/>
      </w:tabs>
      <w:ind w:leftChars="200" w:left="780" w:hangingChars="200" w:hanging="360"/>
    </w:pPr>
  </w:style>
  <w:style w:type="paragraph" w:styleId="HTML">
    <w:name w:val="HTML Address"/>
    <w:basedOn w:val="a"/>
    <w:qFormat/>
    <w:rsid w:val="00C223F5"/>
    <w:rPr>
      <w:i/>
      <w:iCs/>
    </w:rPr>
  </w:style>
  <w:style w:type="paragraph" w:styleId="42">
    <w:name w:val="index 4"/>
    <w:basedOn w:val="a"/>
    <w:next w:val="a"/>
    <w:qFormat/>
    <w:rsid w:val="00C223F5"/>
    <w:pPr>
      <w:ind w:leftChars="600" w:left="600"/>
    </w:pPr>
  </w:style>
  <w:style w:type="paragraph" w:styleId="TOC5">
    <w:name w:val="toc 5"/>
    <w:basedOn w:val="a"/>
    <w:next w:val="a"/>
    <w:uiPriority w:val="39"/>
    <w:qFormat/>
    <w:rsid w:val="00C223F5"/>
    <w:pPr>
      <w:ind w:left="840"/>
      <w:jc w:val="left"/>
    </w:pPr>
    <w:rPr>
      <w:sz w:val="18"/>
      <w:szCs w:val="18"/>
    </w:rPr>
  </w:style>
  <w:style w:type="paragraph" w:styleId="TOC3">
    <w:name w:val="toc 3"/>
    <w:basedOn w:val="a"/>
    <w:next w:val="a"/>
    <w:uiPriority w:val="39"/>
    <w:qFormat/>
    <w:rsid w:val="00C223F5"/>
    <w:pPr>
      <w:ind w:left="420"/>
      <w:jc w:val="left"/>
    </w:pPr>
    <w:rPr>
      <w:i/>
      <w:iCs/>
      <w:sz w:val="20"/>
      <w:szCs w:val="20"/>
    </w:rPr>
  </w:style>
  <w:style w:type="paragraph" w:styleId="aff1">
    <w:name w:val="Plain Text"/>
    <w:basedOn w:val="a"/>
    <w:link w:val="aff2"/>
    <w:qFormat/>
    <w:rsid w:val="00C223F5"/>
    <w:pPr>
      <w:widowControl/>
      <w:tabs>
        <w:tab w:val="left" w:pos="5781"/>
      </w:tabs>
      <w:spacing w:line="300" w:lineRule="auto"/>
      <w:ind w:left="5781" w:hanging="425"/>
    </w:pPr>
    <w:rPr>
      <w:sz w:val="24"/>
      <w:szCs w:val="20"/>
    </w:rPr>
  </w:style>
  <w:style w:type="paragraph" w:styleId="52">
    <w:name w:val="List Bullet 5"/>
    <w:basedOn w:val="a"/>
    <w:qFormat/>
    <w:rsid w:val="00C223F5"/>
    <w:pPr>
      <w:tabs>
        <w:tab w:val="left" w:pos="2040"/>
      </w:tabs>
      <w:ind w:leftChars="800" w:left="2040" w:hangingChars="200" w:hanging="360"/>
    </w:pPr>
  </w:style>
  <w:style w:type="paragraph" w:styleId="43">
    <w:name w:val="List Number 4"/>
    <w:basedOn w:val="a"/>
    <w:qFormat/>
    <w:rsid w:val="00C223F5"/>
    <w:pPr>
      <w:tabs>
        <w:tab w:val="left" w:pos="1620"/>
      </w:tabs>
      <w:ind w:leftChars="600" w:left="1620" w:hangingChars="200" w:hanging="360"/>
    </w:pPr>
  </w:style>
  <w:style w:type="paragraph" w:styleId="TOC8">
    <w:name w:val="toc 8"/>
    <w:basedOn w:val="a"/>
    <w:next w:val="a"/>
    <w:uiPriority w:val="39"/>
    <w:qFormat/>
    <w:rsid w:val="00C223F5"/>
    <w:pPr>
      <w:ind w:left="1470"/>
      <w:jc w:val="left"/>
    </w:pPr>
    <w:rPr>
      <w:sz w:val="18"/>
      <w:szCs w:val="18"/>
    </w:rPr>
  </w:style>
  <w:style w:type="paragraph" w:styleId="35">
    <w:name w:val="index 3"/>
    <w:basedOn w:val="a"/>
    <w:next w:val="a"/>
    <w:semiHidden/>
    <w:rsid w:val="00C223F5"/>
    <w:pPr>
      <w:ind w:leftChars="400" w:left="400"/>
    </w:pPr>
  </w:style>
  <w:style w:type="paragraph" w:styleId="aff3">
    <w:name w:val="Date"/>
    <w:basedOn w:val="a"/>
    <w:next w:val="a"/>
    <w:link w:val="aff4"/>
    <w:qFormat/>
    <w:rsid w:val="00C223F5"/>
    <w:pPr>
      <w:ind w:leftChars="2500" w:left="100"/>
    </w:pPr>
    <w:rPr>
      <w:sz w:val="24"/>
    </w:rPr>
  </w:style>
  <w:style w:type="paragraph" w:styleId="24">
    <w:name w:val="Body Text Indent 2"/>
    <w:aliases w:val="正文文字缩进 2,正文文字缩进 21,Body Text Indent 2,Char Char Char,Char Char Char Char Char Char Char Char Char"/>
    <w:basedOn w:val="a"/>
    <w:qFormat/>
    <w:rsid w:val="00C223F5"/>
    <w:pPr>
      <w:spacing w:line="360" w:lineRule="auto"/>
      <w:ind w:firstLineChars="200" w:firstLine="480"/>
    </w:pPr>
    <w:rPr>
      <w:sz w:val="24"/>
    </w:rPr>
  </w:style>
  <w:style w:type="paragraph" w:styleId="aff5">
    <w:name w:val="endnote text"/>
    <w:basedOn w:val="a"/>
    <w:semiHidden/>
    <w:qFormat/>
    <w:rsid w:val="00C223F5"/>
    <w:pPr>
      <w:snapToGrid w:val="0"/>
      <w:jc w:val="left"/>
    </w:pPr>
  </w:style>
  <w:style w:type="paragraph" w:styleId="53">
    <w:name w:val="List Continue 5"/>
    <w:basedOn w:val="a"/>
    <w:qFormat/>
    <w:rsid w:val="00C223F5"/>
    <w:pPr>
      <w:spacing w:after="120"/>
      <w:ind w:leftChars="1000" w:left="2100"/>
    </w:pPr>
  </w:style>
  <w:style w:type="paragraph" w:styleId="aff6">
    <w:name w:val="Balloon Text"/>
    <w:basedOn w:val="a"/>
    <w:link w:val="aff7"/>
    <w:qFormat/>
    <w:rsid w:val="00C223F5"/>
    <w:rPr>
      <w:sz w:val="18"/>
      <w:szCs w:val="18"/>
    </w:rPr>
  </w:style>
  <w:style w:type="paragraph" w:styleId="aff8">
    <w:name w:val="footer"/>
    <w:basedOn w:val="a"/>
    <w:link w:val="aff9"/>
    <w:qFormat/>
    <w:rsid w:val="00C223F5"/>
    <w:pPr>
      <w:tabs>
        <w:tab w:val="center" w:pos="4153"/>
        <w:tab w:val="right" w:pos="8306"/>
      </w:tabs>
      <w:snapToGrid w:val="0"/>
      <w:jc w:val="left"/>
    </w:pPr>
    <w:rPr>
      <w:sz w:val="18"/>
      <w:szCs w:val="18"/>
    </w:rPr>
  </w:style>
  <w:style w:type="paragraph" w:styleId="affa">
    <w:name w:val="envelope return"/>
    <w:basedOn w:val="a"/>
    <w:qFormat/>
    <w:rsid w:val="00C223F5"/>
    <w:pPr>
      <w:snapToGrid w:val="0"/>
    </w:pPr>
    <w:rPr>
      <w:rFonts w:ascii="Arial" w:hAnsi="Arial" w:cs="Arial"/>
    </w:rPr>
  </w:style>
  <w:style w:type="paragraph" w:styleId="25">
    <w:name w:val="Body Text First Indent 2"/>
    <w:basedOn w:val="afd"/>
    <w:qFormat/>
    <w:rsid w:val="00C223F5"/>
    <w:pPr>
      <w:spacing w:after="120"/>
      <w:ind w:leftChars="200" w:left="420" w:firstLine="420"/>
    </w:pPr>
    <w:rPr>
      <w:sz w:val="21"/>
    </w:rPr>
  </w:style>
  <w:style w:type="paragraph" w:styleId="affb">
    <w:name w:val="header"/>
    <w:basedOn w:val="a"/>
    <w:link w:val="affc"/>
    <w:qFormat/>
    <w:rsid w:val="00C223F5"/>
    <w:pPr>
      <w:pBdr>
        <w:bottom w:val="single" w:sz="6" w:space="1" w:color="auto"/>
      </w:pBdr>
      <w:tabs>
        <w:tab w:val="center" w:pos="4153"/>
        <w:tab w:val="right" w:pos="8306"/>
      </w:tabs>
      <w:snapToGrid w:val="0"/>
      <w:jc w:val="center"/>
    </w:pPr>
    <w:rPr>
      <w:sz w:val="18"/>
      <w:szCs w:val="18"/>
    </w:rPr>
  </w:style>
  <w:style w:type="paragraph" w:styleId="affd">
    <w:name w:val="Signature"/>
    <w:basedOn w:val="a"/>
    <w:qFormat/>
    <w:rsid w:val="00C223F5"/>
    <w:pPr>
      <w:ind w:leftChars="2100" w:left="100"/>
    </w:pPr>
  </w:style>
  <w:style w:type="paragraph" w:styleId="TOC1">
    <w:name w:val="toc 1"/>
    <w:basedOn w:val="a"/>
    <w:next w:val="a"/>
    <w:uiPriority w:val="39"/>
    <w:qFormat/>
    <w:rsid w:val="00C223F5"/>
    <w:pPr>
      <w:tabs>
        <w:tab w:val="right" w:leader="dot" w:pos="8302"/>
      </w:tabs>
      <w:spacing w:before="120" w:after="120" w:line="360" w:lineRule="auto"/>
      <w:jc w:val="center"/>
    </w:pPr>
    <w:rPr>
      <w:rFonts w:ascii="黑体" w:eastAsia="黑体"/>
      <w:b/>
      <w:bCs/>
      <w:caps/>
      <w:sz w:val="30"/>
      <w:szCs w:val="30"/>
    </w:rPr>
  </w:style>
  <w:style w:type="paragraph" w:styleId="44">
    <w:name w:val="List Continue 4"/>
    <w:basedOn w:val="a"/>
    <w:qFormat/>
    <w:rsid w:val="00C223F5"/>
    <w:pPr>
      <w:spacing w:after="120"/>
      <w:ind w:leftChars="800" w:left="1680"/>
    </w:pPr>
  </w:style>
  <w:style w:type="paragraph" w:styleId="TOC4">
    <w:name w:val="toc 4"/>
    <w:basedOn w:val="a"/>
    <w:next w:val="a"/>
    <w:uiPriority w:val="39"/>
    <w:qFormat/>
    <w:rsid w:val="00C223F5"/>
    <w:pPr>
      <w:ind w:left="630"/>
      <w:jc w:val="left"/>
    </w:pPr>
    <w:rPr>
      <w:sz w:val="18"/>
      <w:szCs w:val="18"/>
    </w:rPr>
  </w:style>
  <w:style w:type="paragraph" w:styleId="affe">
    <w:name w:val="index heading"/>
    <w:basedOn w:val="a"/>
    <w:next w:val="11"/>
    <w:rsid w:val="00C223F5"/>
    <w:rPr>
      <w:rFonts w:ascii="Arial" w:hAnsi="Arial" w:cs="Arial"/>
      <w:b/>
      <w:bCs/>
    </w:rPr>
  </w:style>
  <w:style w:type="paragraph" w:styleId="11">
    <w:name w:val="index 1"/>
    <w:basedOn w:val="a"/>
    <w:next w:val="a"/>
    <w:qFormat/>
    <w:rsid w:val="00C223F5"/>
  </w:style>
  <w:style w:type="paragraph" w:styleId="afff">
    <w:name w:val="Subtitle"/>
    <w:basedOn w:val="a"/>
    <w:qFormat/>
    <w:rsid w:val="00C223F5"/>
    <w:pPr>
      <w:spacing w:before="240" w:after="60" w:line="312" w:lineRule="auto"/>
      <w:jc w:val="center"/>
      <w:outlineLvl w:val="1"/>
    </w:pPr>
    <w:rPr>
      <w:rFonts w:ascii="Arial" w:hAnsi="Arial" w:cs="Arial"/>
      <w:b/>
      <w:bCs/>
      <w:kern w:val="28"/>
      <w:sz w:val="32"/>
      <w:szCs w:val="32"/>
    </w:rPr>
  </w:style>
  <w:style w:type="paragraph" w:styleId="54">
    <w:name w:val="List Number 5"/>
    <w:basedOn w:val="a"/>
    <w:qFormat/>
    <w:rsid w:val="00C223F5"/>
    <w:pPr>
      <w:tabs>
        <w:tab w:val="left" w:pos="2040"/>
      </w:tabs>
      <w:ind w:leftChars="800" w:left="2040" w:hangingChars="200" w:hanging="360"/>
    </w:pPr>
  </w:style>
  <w:style w:type="paragraph" w:styleId="afff0">
    <w:name w:val="List"/>
    <w:basedOn w:val="a"/>
    <w:qFormat/>
    <w:rsid w:val="00C223F5"/>
    <w:pPr>
      <w:ind w:left="200" w:hangingChars="200" w:hanging="200"/>
    </w:pPr>
  </w:style>
  <w:style w:type="paragraph" w:styleId="afff1">
    <w:name w:val="footnote text"/>
    <w:basedOn w:val="a"/>
    <w:qFormat/>
    <w:rsid w:val="00C223F5"/>
    <w:pPr>
      <w:snapToGrid w:val="0"/>
      <w:jc w:val="left"/>
    </w:pPr>
    <w:rPr>
      <w:sz w:val="18"/>
      <w:szCs w:val="18"/>
    </w:rPr>
  </w:style>
  <w:style w:type="paragraph" w:styleId="TOC6">
    <w:name w:val="toc 6"/>
    <w:basedOn w:val="a"/>
    <w:next w:val="a"/>
    <w:uiPriority w:val="39"/>
    <w:qFormat/>
    <w:rsid w:val="00C223F5"/>
    <w:pPr>
      <w:ind w:left="1050"/>
      <w:jc w:val="left"/>
    </w:pPr>
    <w:rPr>
      <w:sz w:val="18"/>
      <w:szCs w:val="18"/>
    </w:rPr>
  </w:style>
  <w:style w:type="paragraph" w:styleId="55">
    <w:name w:val="List 5"/>
    <w:basedOn w:val="a"/>
    <w:qFormat/>
    <w:rsid w:val="00C223F5"/>
    <w:pPr>
      <w:ind w:leftChars="800" w:left="100" w:hangingChars="200" w:hanging="200"/>
    </w:pPr>
  </w:style>
  <w:style w:type="paragraph" w:styleId="36">
    <w:name w:val="Body Text Indent 3"/>
    <w:basedOn w:val="a"/>
    <w:link w:val="37"/>
    <w:qFormat/>
    <w:rsid w:val="00C223F5"/>
    <w:pPr>
      <w:spacing w:line="360" w:lineRule="auto"/>
      <w:ind w:firstLineChars="225" w:firstLine="540"/>
    </w:pPr>
    <w:rPr>
      <w:sz w:val="24"/>
    </w:rPr>
  </w:style>
  <w:style w:type="paragraph" w:styleId="71">
    <w:name w:val="index 7"/>
    <w:basedOn w:val="a"/>
    <w:next w:val="a"/>
    <w:qFormat/>
    <w:rsid w:val="00C223F5"/>
    <w:pPr>
      <w:ind w:leftChars="1200" w:left="1200"/>
    </w:pPr>
  </w:style>
  <w:style w:type="paragraph" w:styleId="91">
    <w:name w:val="index 9"/>
    <w:basedOn w:val="a"/>
    <w:next w:val="a"/>
    <w:qFormat/>
    <w:rsid w:val="00C223F5"/>
    <w:pPr>
      <w:ind w:leftChars="1600" w:left="1600"/>
    </w:pPr>
  </w:style>
  <w:style w:type="paragraph" w:styleId="afff2">
    <w:name w:val="table of figures"/>
    <w:basedOn w:val="a"/>
    <w:next w:val="a"/>
    <w:qFormat/>
    <w:rsid w:val="00C223F5"/>
    <w:pPr>
      <w:ind w:leftChars="200" w:left="200" w:hangingChars="200" w:hanging="200"/>
    </w:pPr>
  </w:style>
  <w:style w:type="paragraph" w:styleId="TOC2">
    <w:name w:val="toc 2"/>
    <w:basedOn w:val="a"/>
    <w:next w:val="a"/>
    <w:uiPriority w:val="39"/>
    <w:qFormat/>
    <w:rsid w:val="00C223F5"/>
    <w:pPr>
      <w:tabs>
        <w:tab w:val="right" w:leader="dot" w:pos="9060"/>
      </w:tabs>
      <w:spacing w:after="156" w:line="360" w:lineRule="auto"/>
    </w:pPr>
    <w:rPr>
      <w:rFonts w:eastAsia="黑体"/>
      <w:smallCaps/>
      <w:sz w:val="28"/>
      <w:szCs w:val="28"/>
    </w:rPr>
  </w:style>
  <w:style w:type="paragraph" w:styleId="TOC9">
    <w:name w:val="toc 9"/>
    <w:basedOn w:val="a"/>
    <w:next w:val="a"/>
    <w:uiPriority w:val="39"/>
    <w:qFormat/>
    <w:rsid w:val="00C223F5"/>
    <w:pPr>
      <w:ind w:left="1680"/>
      <w:jc w:val="left"/>
    </w:pPr>
    <w:rPr>
      <w:sz w:val="18"/>
      <w:szCs w:val="18"/>
    </w:rPr>
  </w:style>
  <w:style w:type="paragraph" w:styleId="26">
    <w:name w:val="Body Text 2"/>
    <w:basedOn w:val="a"/>
    <w:link w:val="27"/>
    <w:qFormat/>
    <w:rsid w:val="00C223F5"/>
    <w:pPr>
      <w:widowControl/>
      <w:spacing w:line="360" w:lineRule="auto"/>
      <w:jc w:val="left"/>
    </w:pPr>
    <w:rPr>
      <w:rFonts w:ascii="宋体" w:hAnsi="宋体" w:hint="eastAsia"/>
      <w:kern w:val="0"/>
      <w:sz w:val="24"/>
      <w:szCs w:val="20"/>
    </w:rPr>
  </w:style>
  <w:style w:type="paragraph" w:styleId="45">
    <w:name w:val="List 4"/>
    <w:basedOn w:val="a"/>
    <w:qFormat/>
    <w:rsid w:val="00C223F5"/>
    <w:pPr>
      <w:ind w:leftChars="600" w:left="100" w:hangingChars="200" w:hanging="200"/>
    </w:pPr>
  </w:style>
  <w:style w:type="paragraph" w:styleId="28">
    <w:name w:val="List Continue 2"/>
    <w:basedOn w:val="a"/>
    <w:qFormat/>
    <w:rsid w:val="00C223F5"/>
    <w:pPr>
      <w:spacing w:after="120"/>
      <w:ind w:leftChars="400" w:left="840"/>
    </w:pPr>
  </w:style>
  <w:style w:type="paragraph" w:styleId="afff3">
    <w:name w:val="Message Header"/>
    <w:basedOn w:val="a"/>
    <w:qFormat/>
    <w:rsid w:val="00C223F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HTML0">
    <w:name w:val="HTML Preformatted"/>
    <w:basedOn w:val="a"/>
    <w:qFormat/>
    <w:rsid w:val="00C223F5"/>
    <w:rPr>
      <w:rFonts w:ascii="Courier New" w:hAnsi="Courier New" w:cs="Courier New"/>
      <w:sz w:val="20"/>
      <w:szCs w:val="20"/>
    </w:rPr>
  </w:style>
  <w:style w:type="paragraph" w:styleId="afff4">
    <w:name w:val="Normal (Web)"/>
    <w:basedOn w:val="a"/>
    <w:uiPriority w:val="99"/>
    <w:qFormat/>
    <w:rsid w:val="00C223F5"/>
    <w:pPr>
      <w:widowControl/>
      <w:spacing w:before="100" w:beforeAutospacing="1" w:after="100" w:afterAutospacing="1"/>
    </w:pPr>
    <w:rPr>
      <w:rFonts w:ascii="宋体" w:hAnsi="宋体"/>
      <w:kern w:val="0"/>
      <w:sz w:val="24"/>
      <w:szCs w:val="20"/>
    </w:rPr>
  </w:style>
  <w:style w:type="paragraph" w:styleId="38">
    <w:name w:val="List Continue 3"/>
    <w:basedOn w:val="a"/>
    <w:rsid w:val="00C223F5"/>
    <w:pPr>
      <w:spacing w:after="120"/>
      <w:ind w:leftChars="600" w:left="1260"/>
    </w:pPr>
  </w:style>
  <w:style w:type="paragraph" w:styleId="29">
    <w:name w:val="index 2"/>
    <w:basedOn w:val="a"/>
    <w:next w:val="a"/>
    <w:qFormat/>
    <w:rsid w:val="00C223F5"/>
    <w:pPr>
      <w:ind w:leftChars="200" w:left="200"/>
    </w:pPr>
  </w:style>
  <w:style w:type="paragraph" w:styleId="afff5">
    <w:name w:val="Title"/>
    <w:basedOn w:val="a"/>
    <w:link w:val="afff6"/>
    <w:qFormat/>
    <w:rsid w:val="00C223F5"/>
    <w:pPr>
      <w:spacing w:before="240" w:after="60"/>
      <w:jc w:val="center"/>
      <w:outlineLvl w:val="0"/>
    </w:pPr>
    <w:rPr>
      <w:rFonts w:ascii="Arial" w:hAnsi="Arial" w:cs="Arial"/>
      <w:b/>
      <w:bCs/>
      <w:sz w:val="32"/>
      <w:szCs w:val="32"/>
    </w:rPr>
  </w:style>
  <w:style w:type="character" w:styleId="afff7">
    <w:name w:val="Strong"/>
    <w:basedOn w:val="a0"/>
    <w:qFormat/>
    <w:rsid w:val="00C223F5"/>
    <w:rPr>
      <w:b/>
      <w:bCs/>
    </w:rPr>
  </w:style>
  <w:style w:type="character" w:styleId="afff8">
    <w:name w:val="page number"/>
    <w:basedOn w:val="a0"/>
    <w:qFormat/>
    <w:rsid w:val="00C223F5"/>
  </w:style>
  <w:style w:type="character" w:styleId="afff9">
    <w:name w:val="FollowedHyperlink"/>
    <w:basedOn w:val="a0"/>
    <w:qFormat/>
    <w:rsid w:val="00C223F5"/>
    <w:rPr>
      <w:color w:val="800080"/>
      <w:u w:val="single"/>
    </w:rPr>
  </w:style>
  <w:style w:type="character" w:styleId="afffa">
    <w:name w:val="Emphasis"/>
    <w:basedOn w:val="a0"/>
    <w:qFormat/>
    <w:rsid w:val="00C223F5"/>
    <w:rPr>
      <w:color w:val="CC0000"/>
    </w:rPr>
  </w:style>
  <w:style w:type="character" w:styleId="afffb">
    <w:name w:val="line number"/>
    <w:basedOn w:val="a0"/>
    <w:qFormat/>
    <w:rsid w:val="00C223F5"/>
  </w:style>
  <w:style w:type="character" w:styleId="afffc">
    <w:name w:val="Hyperlink"/>
    <w:basedOn w:val="a0"/>
    <w:uiPriority w:val="99"/>
    <w:qFormat/>
    <w:rsid w:val="00C223F5"/>
    <w:rPr>
      <w:color w:val="0000FF"/>
      <w:u w:val="single"/>
    </w:rPr>
  </w:style>
  <w:style w:type="character" w:styleId="afffd">
    <w:name w:val="annotation reference"/>
    <w:basedOn w:val="a0"/>
    <w:qFormat/>
    <w:rsid w:val="00C223F5"/>
    <w:rPr>
      <w:sz w:val="21"/>
      <w:szCs w:val="21"/>
    </w:rPr>
  </w:style>
  <w:style w:type="table" w:styleId="afffe">
    <w:name w:val="Table Grid"/>
    <w:basedOn w:val="a1"/>
    <w:uiPriority w:val="59"/>
    <w:qFormat/>
    <w:rsid w:val="00C223F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
    <w:name w:val="Table Theme"/>
    <w:basedOn w:val="a1"/>
    <w:qFormat/>
    <w:rsid w:val="00C223F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0">
    <w:name w:val="Table Elegant"/>
    <w:basedOn w:val="a1"/>
    <w:qFormat/>
    <w:rsid w:val="00C223F5"/>
    <w:pPr>
      <w:spacing w:line="357"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56">
    <w:name w:val="Table Grid 5"/>
    <w:basedOn w:val="a1"/>
    <w:qFormat/>
    <w:rsid w:val="00C223F5"/>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2">
    <w:name w:val="Table Grid 6"/>
    <w:basedOn w:val="a1"/>
    <w:qFormat/>
    <w:rsid w:val="00C223F5"/>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1"/>
    <w:qFormat/>
    <w:rsid w:val="00C223F5"/>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paragraph" w:customStyle="1" w:styleId="30505">
    <w:name w:val="样式 标题 3 + 段前: 0.5 行 段后: 0.5 行"/>
    <w:basedOn w:val="3"/>
    <w:qFormat/>
    <w:rsid w:val="00C223F5"/>
    <w:pPr>
      <w:tabs>
        <w:tab w:val="clear" w:pos="1276"/>
        <w:tab w:val="left" w:pos="630"/>
        <w:tab w:val="left" w:pos="680"/>
        <w:tab w:val="left" w:pos="963"/>
      </w:tabs>
      <w:spacing w:before="0" w:after="0" w:line="360" w:lineRule="auto"/>
      <w:ind w:left="720" w:hanging="720"/>
    </w:pPr>
    <w:rPr>
      <w:rFonts w:eastAsia="宋体" w:cs="宋体"/>
      <w:b/>
      <w:sz w:val="28"/>
      <w:szCs w:val="28"/>
    </w:rPr>
  </w:style>
  <w:style w:type="character" w:customStyle="1" w:styleId="10">
    <w:name w:val="标题 1 字符"/>
    <w:basedOn w:val="a0"/>
    <w:link w:val="1"/>
    <w:qFormat/>
    <w:rsid w:val="00C223F5"/>
    <w:rPr>
      <w:rFonts w:eastAsia="黑体"/>
      <w:bCs/>
      <w:kern w:val="44"/>
      <w:sz w:val="32"/>
      <w:szCs w:val="44"/>
    </w:rPr>
  </w:style>
  <w:style w:type="character" w:customStyle="1" w:styleId="20">
    <w:name w:val="标题 2 字符"/>
    <w:basedOn w:val="a0"/>
    <w:link w:val="2"/>
    <w:qFormat/>
    <w:rsid w:val="00C223F5"/>
    <w:rPr>
      <w:rFonts w:ascii="Arial" w:eastAsia="楷体_GB2312" w:hAnsi="Arial"/>
      <w:bCs/>
      <w:kern w:val="2"/>
      <w:sz w:val="30"/>
      <w:szCs w:val="32"/>
    </w:rPr>
  </w:style>
  <w:style w:type="character" w:customStyle="1" w:styleId="30">
    <w:name w:val="标题 3 字符"/>
    <w:basedOn w:val="a0"/>
    <w:link w:val="3"/>
    <w:qFormat/>
    <w:rsid w:val="00C223F5"/>
    <w:rPr>
      <w:rFonts w:eastAsia="仿宋_GB2312"/>
      <w:bCs/>
      <w:kern w:val="2"/>
      <w:sz w:val="24"/>
      <w:szCs w:val="32"/>
    </w:rPr>
  </w:style>
  <w:style w:type="character" w:customStyle="1" w:styleId="40">
    <w:name w:val="标题 4 字符"/>
    <w:basedOn w:val="a0"/>
    <w:link w:val="4"/>
    <w:qFormat/>
    <w:locked/>
    <w:rsid w:val="00C223F5"/>
    <w:rPr>
      <w:rFonts w:eastAsia="宋体"/>
      <w:bCs/>
      <w:kern w:val="2"/>
      <w:sz w:val="24"/>
      <w:szCs w:val="28"/>
      <w:lang w:val="en-US" w:eastAsia="zh-CN" w:bidi="ar-SA"/>
    </w:rPr>
  </w:style>
  <w:style w:type="character" w:customStyle="1" w:styleId="50">
    <w:name w:val="标题 5 字符"/>
    <w:basedOn w:val="a0"/>
    <w:link w:val="5"/>
    <w:qFormat/>
    <w:rsid w:val="00C223F5"/>
    <w:rPr>
      <w:b/>
      <w:bCs/>
      <w:kern w:val="2"/>
      <w:sz w:val="24"/>
      <w:szCs w:val="28"/>
    </w:rPr>
  </w:style>
  <w:style w:type="character" w:customStyle="1" w:styleId="60">
    <w:name w:val="标题 6 字符"/>
    <w:basedOn w:val="a0"/>
    <w:link w:val="6"/>
    <w:qFormat/>
    <w:locked/>
    <w:rsid w:val="00C223F5"/>
    <w:rPr>
      <w:rFonts w:ascii="Arial" w:eastAsia="黑体" w:hAnsi="Arial"/>
      <w:b/>
      <w:bCs/>
      <w:kern w:val="2"/>
      <w:sz w:val="24"/>
      <w:szCs w:val="24"/>
    </w:rPr>
  </w:style>
  <w:style w:type="character" w:customStyle="1" w:styleId="70">
    <w:name w:val="标题 7 字符"/>
    <w:basedOn w:val="a0"/>
    <w:link w:val="7"/>
    <w:qFormat/>
    <w:locked/>
    <w:rsid w:val="00C223F5"/>
    <w:rPr>
      <w:b/>
      <w:bCs/>
      <w:kern w:val="2"/>
      <w:sz w:val="24"/>
      <w:szCs w:val="24"/>
    </w:rPr>
  </w:style>
  <w:style w:type="character" w:customStyle="1" w:styleId="80">
    <w:name w:val="标题 8 字符"/>
    <w:basedOn w:val="a0"/>
    <w:link w:val="8"/>
    <w:qFormat/>
    <w:rsid w:val="00C223F5"/>
    <w:rPr>
      <w:rFonts w:ascii="Arial" w:eastAsia="黑体" w:hAnsi="Arial"/>
      <w:kern w:val="2"/>
      <w:sz w:val="24"/>
      <w:szCs w:val="24"/>
    </w:rPr>
  </w:style>
  <w:style w:type="character" w:customStyle="1" w:styleId="90">
    <w:name w:val="标题 9 字符"/>
    <w:basedOn w:val="a0"/>
    <w:link w:val="9"/>
    <w:qFormat/>
    <w:rsid w:val="00C223F5"/>
    <w:rPr>
      <w:rFonts w:ascii="Arial" w:eastAsia="黑体" w:hAnsi="Arial"/>
      <w:kern w:val="2"/>
      <w:sz w:val="21"/>
      <w:szCs w:val="21"/>
    </w:rPr>
  </w:style>
  <w:style w:type="paragraph" w:customStyle="1" w:styleId="CharCharChar1Char">
    <w:name w:val="Char Char Char1 Char"/>
    <w:basedOn w:val="a"/>
    <w:next w:val="a"/>
    <w:qFormat/>
    <w:rsid w:val="00C223F5"/>
    <w:pPr>
      <w:spacing w:line="360" w:lineRule="auto"/>
      <w:ind w:firstLineChars="200" w:firstLine="200"/>
    </w:pPr>
    <w:rPr>
      <w:rFonts w:ascii="宋体" w:eastAsia="汉鼎简书宋" w:hAnsi="宋体" w:cs="宋体"/>
      <w:sz w:val="24"/>
    </w:rPr>
  </w:style>
  <w:style w:type="character" w:customStyle="1" w:styleId="af8">
    <w:name w:val="文档结构图 字符"/>
    <w:basedOn w:val="a0"/>
    <w:link w:val="af7"/>
    <w:qFormat/>
    <w:rsid w:val="00C223F5"/>
    <w:rPr>
      <w:kern w:val="2"/>
      <w:sz w:val="21"/>
      <w:szCs w:val="24"/>
      <w:shd w:val="clear" w:color="auto" w:fill="000080"/>
    </w:rPr>
  </w:style>
  <w:style w:type="paragraph" w:customStyle="1" w:styleId="12">
    <w:name w:val="样式1"/>
    <w:basedOn w:val="a"/>
    <w:qFormat/>
    <w:rsid w:val="00C223F5"/>
    <w:pPr>
      <w:tabs>
        <w:tab w:val="left" w:pos="360"/>
      </w:tabs>
      <w:spacing w:line="300" w:lineRule="auto"/>
      <w:ind w:left="360" w:hanging="360"/>
    </w:pPr>
    <w:rPr>
      <w:sz w:val="24"/>
    </w:rPr>
  </w:style>
  <w:style w:type="character" w:customStyle="1" w:styleId="affc">
    <w:name w:val="页眉 字符"/>
    <w:link w:val="affb"/>
    <w:qFormat/>
    <w:rsid w:val="00C223F5"/>
    <w:rPr>
      <w:rFonts w:eastAsia="宋体"/>
      <w:kern w:val="2"/>
      <w:sz w:val="18"/>
      <w:szCs w:val="18"/>
      <w:lang w:val="en-US" w:eastAsia="zh-CN" w:bidi="ar-SA"/>
    </w:rPr>
  </w:style>
  <w:style w:type="character" w:customStyle="1" w:styleId="37">
    <w:name w:val="正文文本缩进 3 字符"/>
    <w:basedOn w:val="a0"/>
    <w:link w:val="36"/>
    <w:qFormat/>
    <w:locked/>
    <w:rsid w:val="00C223F5"/>
    <w:rPr>
      <w:rFonts w:eastAsia="宋体"/>
      <w:kern w:val="2"/>
      <w:sz w:val="24"/>
      <w:szCs w:val="24"/>
      <w:lang w:val="en-US" w:eastAsia="zh-CN" w:bidi="ar-SA"/>
    </w:rPr>
  </w:style>
  <w:style w:type="character" w:customStyle="1" w:styleId="afe">
    <w:name w:val="正文文本缩进 字符"/>
    <w:basedOn w:val="a0"/>
    <w:link w:val="afd"/>
    <w:qFormat/>
    <w:rsid w:val="00C223F5"/>
    <w:rPr>
      <w:rFonts w:eastAsia="宋体"/>
      <w:kern w:val="2"/>
      <w:sz w:val="28"/>
      <w:szCs w:val="24"/>
      <w:lang w:val="en-US" w:eastAsia="zh-CN" w:bidi="ar-SA"/>
    </w:rPr>
  </w:style>
  <w:style w:type="character" w:customStyle="1" w:styleId="aff2">
    <w:name w:val="纯文本 字符"/>
    <w:basedOn w:val="a0"/>
    <w:link w:val="aff1"/>
    <w:qFormat/>
    <w:rsid w:val="00C223F5"/>
    <w:rPr>
      <w:kern w:val="2"/>
      <w:sz w:val="24"/>
    </w:rPr>
  </w:style>
  <w:style w:type="character" w:customStyle="1" w:styleId="aa">
    <w:name w:val="正文文本 字符"/>
    <w:basedOn w:val="a0"/>
    <w:link w:val="a8"/>
    <w:qFormat/>
    <w:locked/>
    <w:rsid w:val="00C223F5"/>
    <w:rPr>
      <w:rFonts w:eastAsia="宋体"/>
      <w:b/>
      <w:bCs/>
      <w:kern w:val="2"/>
      <w:sz w:val="21"/>
      <w:szCs w:val="24"/>
      <w:lang w:val="en-US" w:eastAsia="zh-CN" w:bidi="ar-SA"/>
    </w:rPr>
  </w:style>
  <w:style w:type="paragraph" w:customStyle="1" w:styleId="xl48">
    <w:name w:val="xl48"/>
    <w:basedOn w:val="a"/>
    <w:qFormat/>
    <w:rsid w:val="00C223F5"/>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character" w:customStyle="1" w:styleId="27">
    <w:name w:val="正文文本 2 字符"/>
    <w:basedOn w:val="a0"/>
    <w:link w:val="26"/>
    <w:qFormat/>
    <w:rsid w:val="00C223F5"/>
    <w:rPr>
      <w:rFonts w:ascii="宋体" w:hAnsi="宋体"/>
      <w:sz w:val="24"/>
    </w:rPr>
  </w:style>
  <w:style w:type="character" w:customStyle="1" w:styleId="aff9">
    <w:name w:val="页脚 字符"/>
    <w:link w:val="aff8"/>
    <w:qFormat/>
    <w:rsid w:val="00C223F5"/>
    <w:rPr>
      <w:rFonts w:eastAsia="宋体"/>
      <w:kern w:val="2"/>
      <w:sz w:val="18"/>
      <w:szCs w:val="18"/>
      <w:lang w:val="en-US" w:eastAsia="zh-CN" w:bidi="ar-SA"/>
    </w:rPr>
  </w:style>
  <w:style w:type="paragraph" w:customStyle="1" w:styleId="xl26">
    <w:name w:val="xl26"/>
    <w:basedOn w:val="a"/>
    <w:qFormat/>
    <w:rsid w:val="00C223F5"/>
    <w:pPr>
      <w:widowControl/>
      <w:spacing w:before="100" w:after="100"/>
      <w:jc w:val="center"/>
    </w:pPr>
    <w:rPr>
      <w:kern w:val="0"/>
      <w:szCs w:val="20"/>
    </w:rPr>
  </w:style>
  <w:style w:type="paragraph" w:customStyle="1" w:styleId="affff1">
    <w:name w:val="表文字"/>
    <w:link w:val="Char1"/>
    <w:qFormat/>
    <w:rsid w:val="00C223F5"/>
    <w:pPr>
      <w:spacing w:line="300" w:lineRule="exact"/>
    </w:pPr>
    <w:rPr>
      <w:sz w:val="21"/>
      <w:szCs w:val="21"/>
    </w:rPr>
  </w:style>
  <w:style w:type="character" w:customStyle="1" w:styleId="Char1">
    <w:name w:val="表文字 Char1"/>
    <w:basedOn w:val="a0"/>
    <w:link w:val="affff1"/>
    <w:qFormat/>
    <w:rsid w:val="00C223F5"/>
    <w:rPr>
      <w:sz w:val="21"/>
      <w:szCs w:val="21"/>
      <w:lang w:val="en-US" w:eastAsia="zh-CN" w:bidi="ar-SA"/>
    </w:rPr>
  </w:style>
  <w:style w:type="paragraph" w:customStyle="1" w:styleId="xl46">
    <w:name w:val="xl46"/>
    <w:basedOn w:val="a"/>
    <w:qFormat/>
    <w:rsid w:val="00C223F5"/>
    <w:pPr>
      <w:widowControl/>
      <w:pBdr>
        <w:left w:val="single" w:sz="4" w:space="0" w:color="auto"/>
        <w:right w:val="single" w:sz="4" w:space="0" w:color="auto"/>
      </w:pBdr>
      <w:spacing w:before="100" w:beforeAutospacing="1" w:after="100" w:afterAutospacing="1"/>
      <w:jc w:val="center"/>
      <w:textAlignment w:val="center"/>
    </w:pPr>
    <w:rPr>
      <w:rFonts w:ascii="宋体" w:hAnsi="宋体"/>
      <w:snapToGrid w:val="0"/>
      <w:color w:val="000000"/>
      <w:kern w:val="0"/>
      <w:sz w:val="24"/>
    </w:rPr>
  </w:style>
  <w:style w:type="paragraph" w:customStyle="1" w:styleId="affff2">
    <w:name w:val="表头"/>
    <w:basedOn w:val="a"/>
    <w:next w:val="a"/>
    <w:qFormat/>
    <w:rsid w:val="00C223F5"/>
    <w:pPr>
      <w:snapToGrid w:val="0"/>
      <w:spacing w:before="240" w:afterLines="50"/>
      <w:jc w:val="center"/>
    </w:pPr>
    <w:rPr>
      <w:b/>
      <w:bCs/>
      <w:snapToGrid w:val="0"/>
      <w:kern w:val="32"/>
    </w:rPr>
  </w:style>
  <w:style w:type="paragraph" w:customStyle="1" w:styleId="affff3">
    <w:name w:val="表格"/>
    <w:basedOn w:val="a"/>
    <w:link w:val="Char"/>
    <w:qFormat/>
    <w:rsid w:val="00C223F5"/>
    <w:pPr>
      <w:keepLines/>
      <w:adjustRightInd w:val="0"/>
      <w:snapToGrid w:val="0"/>
      <w:jc w:val="center"/>
    </w:pPr>
    <w:rPr>
      <w:snapToGrid w:val="0"/>
      <w:color w:val="000000"/>
    </w:rPr>
  </w:style>
  <w:style w:type="character" w:customStyle="1" w:styleId="Char">
    <w:name w:val="表格 Char"/>
    <w:link w:val="affff3"/>
    <w:qFormat/>
    <w:rsid w:val="00C223F5"/>
    <w:rPr>
      <w:snapToGrid w:val="0"/>
      <w:color w:val="000000"/>
      <w:kern w:val="2"/>
      <w:sz w:val="21"/>
      <w:szCs w:val="24"/>
    </w:rPr>
  </w:style>
  <w:style w:type="character" w:customStyle="1" w:styleId="af2">
    <w:name w:val="正文缩进 字符"/>
    <w:basedOn w:val="a0"/>
    <w:link w:val="af1"/>
    <w:qFormat/>
    <w:rsid w:val="00C223F5"/>
    <w:rPr>
      <w:rFonts w:eastAsia="宋体"/>
      <w:kern w:val="2"/>
      <w:sz w:val="21"/>
      <w:lang w:val="en-US" w:eastAsia="zh-CN" w:bidi="ar-SA"/>
    </w:rPr>
  </w:style>
  <w:style w:type="character" w:customStyle="1" w:styleId="aff4">
    <w:name w:val="日期 字符"/>
    <w:basedOn w:val="a0"/>
    <w:link w:val="aff3"/>
    <w:qFormat/>
    <w:rsid w:val="00C223F5"/>
    <w:rPr>
      <w:kern w:val="2"/>
      <w:sz w:val="24"/>
      <w:szCs w:val="24"/>
    </w:rPr>
  </w:style>
  <w:style w:type="paragraph" w:customStyle="1" w:styleId="CharCharChar1CharCharCharChar">
    <w:name w:val="Char Char Char1 Char Char Char Char"/>
    <w:basedOn w:val="a"/>
    <w:next w:val="a"/>
    <w:qFormat/>
    <w:rsid w:val="00C223F5"/>
    <w:pPr>
      <w:spacing w:line="360" w:lineRule="auto"/>
      <w:ind w:firstLineChars="200" w:firstLine="200"/>
    </w:pPr>
    <w:rPr>
      <w:rFonts w:ascii="宋体" w:eastAsia="汉鼎简书宋" w:hAnsi="宋体" w:cs="宋体"/>
      <w:sz w:val="24"/>
    </w:rPr>
  </w:style>
  <w:style w:type="paragraph" w:customStyle="1" w:styleId="Char2">
    <w:name w:val="Char2"/>
    <w:basedOn w:val="a"/>
    <w:qFormat/>
    <w:rsid w:val="00C223F5"/>
  </w:style>
  <w:style w:type="paragraph" w:customStyle="1" w:styleId="ParaCharCharCharChar">
    <w:name w:val="默认段落字体 Para Char Char Char Char"/>
    <w:basedOn w:val="a"/>
    <w:qFormat/>
    <w:rsid w:val="00C223F5"/>
  </w:style>
  <w:style w:type="paragraph" w:customStyle="1" w:styleId="affff4">
    <w:name w:val="封面正文"/>
    <w:qFormat/>
    <w:rsid w:val="00C223F5"/>
    <w:pPr>
      <w:jc w:val="both"/>
    </w:pPr>
  </w:style>
  <w:style w:type="paragraph" w:customStyle="1" w:styleId="affff5">
    <w:name w:val="小节标题"/>
    <w:basedOn w:val="a"/>
    <w:next w:val="a"/>
    <w:qFormat/>
    <w:rsid w:val="00C223F5"/>
    <w:pPr>
      <w:widowControl/>
      <w:spacing w:before="175" w:after="102" w:line="351" w:lineRule="atLeast"/>
      <w:textAlignment w:val="baseline"/>
    </w:pPr>
    <w:rPr>
      <w:rFonts w:eastAsia="黑体"/>
      <w:color w:val="000000"/>
      <w:kern w:val="0"/>
      <w:szCs w:val="20"/>
      <w:u w:color="000000"/>
    </w:rPr>
  </w:style>
  <w:style w:type="character" w:customStyle="1" w:styleId="t11">
    <w:name w:val="t11"/>
    <w:basedOn w:val="a0"/>
    <w:qFormat/>
    <w:rsid w:val="00C223F5"/>
    <w:rPr>
      <w:b/>
      <w:bCs/>
      <w:sz w:val="24"/>
      <w:szCs w:val="24"/>
      <w:shd w:val="clear" w:color="auto" w:fill="FFFFFF"/>
    </w:rPr>
  </w:style>
  <w:style w:type="character" w:customStyle="1" w:styleId="arr1">
    <w:name w:val="arr1"/>
    <w:basedOn w:val="a0"/>
    <w:qFormat/>
    <w:rsid w:val="00C223F5"/>
  </w:style>
  <w:style w:type="paragraph" w:customStyle="1" w:styleId="affff6">
    <w:name w:val="简单回函地址"/>
    <w:basedOn w:val="a"/>
    <w:qFormat/>
    <w:rsid w:val="00C223F5"/>
    <w:rPr>
      <w:rFonts w:eastAsia="仿宋_GB2312"/>
      <w:szCs w:val="20"/>
    </w:rPr>
  </w:style>
  <w:style w:type="paragraph" w:customStyle="1" w:styleId="Char0">
    <w:name w:val="表头 Char"/>
    <w:basedOn w:val="a"/>
    <w:next w:val="a"/>
    <w:rsid w:val="00C223F5"/>
    <w:pPr>
      <w:snapToGrid w:val="0"/>
      <w:spacing w:before="240" w:after="240"/>
      <w:jc w:val="center"/>
    </w:pPr>
    <w:rPr>
      <w:rFonts w:ascii="宋体" w:eastAsia="汉鼎简书宋" w:hAnsi="宋体" w:cs="宋体"/>
      <w:b/>
      <w:bCs/>
      <w:kern w:val="32"/>
      <w:sz w:val="24"/>
      <w:szCs w:val="28"/>
    </w:rPr>
  </w:style>
  <w:style w:type="paragraph" w:customStyle="1" w:styleId="ParaChar">
    <w:name w:val="默认段落字体 Para Char"/>
    <w:basedOn w:val="a"/>
    <w:qFormat/>
    <w:rsid w:val="00C223F5"/>
    <w:pPr>
      <w:spacing w:line="360" w:lineRule="auto"/>
      <w:ind w:firstLineChars="200" w:firstLine="200"/>
    </w:pPr>
    <w:rPr>
      <w:rFonts w:ascii="宋体" w:hAnsi="宋体" w:cs="宋体"/>
      <w:sz w:val="24"/>
    </w:rPr>
  </w:style>
  <w:style w:type="character" w:customStyle="1" w:styleId="a9">
    <w:name w:val="正文文本首行缩进 字符"/>
    <w:basedOn w:val="aa"/>
    <w:link w:val="a7"/>
    <w:qFormat/>
    <w:rsid w:val="00C223F5"/>
    <w:rPr>
      <w:rFonts w:eastAsia="宋体"/>
      <w:b/>
      <w:bCs/>
      <w:kern w:val="2"/>
      <w:sz w:val="21"/>
      <w:szCs w:val="24"/>
      <w:lang w:val="en-US" w:eastAsia="zh-CN" w:bidi="ar-SA"/>
    </w:rPr>
  </w:style>
  <w:style w:type="paragraph" w:customStyle="1" w:styleId="affff7">
    <w:name w:val="地质报告第  节"/>
    <w:basedOn w:val="a"/>
    <w:qFormat/>
    <w:rsid w:val="00C223F5"/>
    <w:pPr>
      <w:spacing w:before="160" w:after="120"/>
      <w:jc w:val="center"/>
    </w:pPr>
    <w:rPr>
      <w:rFonts w:ascii="黑体" w:eastAsia="黑体"/>
      <w:kern w:val="13"/>
      <w:sz w:val="28"/>
      <w:szCs w:val="20"/>
    </w:rPr>
  </w:style>
  <w:style w:type="paragraph" w:customStyle="1" w:styleId="xl40">
    <w:name w:val="xl40"/>
    <w:basedOn w:val="a"/>
    <w:qFormat/>
    <w:rsid w:val="00C223F5"/>
    <w:pPr>
      <w:widowControl/>
      <w:spacing w:before="100" w:beforeAutospacing="1" w:after="100" w:afterAutospacing="1"/>
      <w:jc w:val="center"/>
    </w:pPr>
    <w:rPr>
      <w:rFonts w:ascii="Arial Unicode MS" w:eastAsia="Arial Unicode MS" w:hAnsi="Arial Unicode MS" w:cs="Arial Unicode MS"/>
      <w:kern w:val="0"/>
      <w:sz w:val="24"/>
    </w:rPr>
  </w:style>
  <w:style w:type="paragraph" w:customStyle="1" w:styleId="13">
    <w:name w:val="表1"/>
    <w:next w:val="a"/>
    <w:qFormat/>
    <w:rsid w:val="00C223F5"/>
    <w:pPr>
      <w:adjustRightInd w:val="0"/>
      <w:snapToGrid w:val="0"/>
      <w:jc w:val="center"/>
    </w:pPr>
    <w:rPr>
      <w:sz w:val="21"/>
    </w:rPr>
  </w:style>
  <w:style w:type="paragraph" w:customStyle="1" w:styleId="CharCharChar2Char">
    <w:name w:val="Char Char Char2 Char"/>
    <w:basedOn w:val="a"/>
    <w:qFormat/>
    <w:rsid w:val="00C223F5"/>
    <w:pPr>
      <w:spacing w:line="360" w:lineRule="auto"/>
      <w:ind w:firstLineChars="200" w:firstLine="200"/>
    </w:pPr>
    <w:rPr>
      <w:rFonts w:ascii="宋体" w:hAnsi="宋体" w:cs="宋体"/>
      <w:sz w:val="24"/>
    </w:rPr>
  </w:style>
  <w:style w:type="character" w:customStyle="1" w:styleId="CharChar9">
    <w:name w:val="Char Char9"/>
    <w:basedOn w:val="a0"/>
    <w:qFormat/>
    <w:rsid w:val="00C223F5"/>
    <w:rPr>
      <w:rFonts w:eastAsia="宋体"/>
      <w:kern w:val="2"/>
      <w:sz w:val="28"/>
      <w:szCs w:val="24"/>
      <w:lang w:val="en-US" w:eastAsia="zh-CN" w:bidi="ar-SA"/>
    </w:rPr>
  </w:style>
  <w:style w:type="paragraph" w:customStyle="1" w:styleId="CharCharChar3Char">
    <w:name w:val="Char Char Char3 Char"/>
    <w:basedOn w:val="a"/>
    <w:next w:val="a"/>
    <w:qFormat/>
    <w:rsid w:val="00C223F5"/>
    <w:pPr>
      <w:spacing w:line="360" w:lineRule="auto"/>
      <w:ind w:firstLineChars="200" w:firstLine="200"/>
    </w:pPr>
    <w:rPr>
      <w:rFonts w:ascii="宋体" w:hAnsi="宋体" w:cs="宋体"/>
      <w:sz w:val="24"/>
    </w:rPr>
  </w:style>
  <w:style w:type="paragraph" w:customStyle="1" w:styleId="Default">
    <w:name w:val="Default"/>
    <w:qFormat/>
    <w:rsid w:val="00C223F5"/>
    <w:pPr>
      <w:widowControl w:val="0"/>
      <w:autoSpaceDE w:val="0"/>
      <w:autoSpaceDN w:val="0"/>
      <w:adjustRightInd w:val="0"/>
    </w:pPr>
    <w:rPr>
      <w:rFonts w:ascii="宋体" w:cs="宋体"/>
      <w:color w:val="000000"/>
      <w:sz w:val="24"/>
      <w:szCs w:val="24"/>
    </w:rPr>
  </w:style>
  <w:style w:type="paragraph" w:customStyle="1" w:styleId="82">
    <w:name w:val="样式8"/>
    <w:basedOn w:val="a"/>
    <w:qFormat/>
    <w:rsid w:val="00C223F5"/>
    <w:pPr>
      <w:ind w:firstLine="499"/>
    </w:pPr>
    <w:rPr>
      <w:rFonts w:ascii="宋体"/>
      <w:sz w:val="28"/>
      <w:szCs w:val="20"/>
    </w:rPr>
  </w:style>
  <w:style w:type="paragraph" w:customStyle="1" w:styleId="affff8">
    <w:name w:val="章标题"/>
    <w:basedOn w:val="a"/>
    <w:next w:val="a"/>
    <w:qFormat/>
    <w:rsid w:val="00C223F5"/>
    <w:pPr>
      <w:widowControl/>
      <w:spacing w:before="158" w:after="153" w:line="323" w:lineRule="atLeast"/>
      <w:jc w:val="center"/>
      <w:textAlignment w:val="baseline"/>
    </w:pPr>
    <w:rPr>
      <w:rFonts w:ascii="Arial" w:eastAsia="黑体"/>
      <w:color w:val="000000"/>
      <w:kern w:val="0"/>
      <w:sz w:val="31"/>
      <w:szCs w:val="20"/>
      <w:u w:color="000000"/>
    </w:rPr>
  </w:style>
  <w:style w:type="paragraph" w:customStyle="1" w:styleId="CharCharCharCharCharCharCharCharCharChar">
    <w:name w:val="Char Char Char Char Char Char Char Char Char Char"/>
    <w:basedOn w:val="a"/>
    <w:qFormat/>
    <w:rsid w:val="00C223F5"/>
    <w:pPr>
      <w:spacing w:line="360" w:lineRule="auto"/>
      <w:ind w:firstLineChars="200" w:firstLine="200"/>
    </w:pPr>
    <w:rPr>
      <w:rFonts w:ascii="宋体" w:hAnsi="宋体" w:cs="宋体"/>
      <w:sz w:val="24"/>
    </w:rPr>
  </w:style>
  <w:style w:type="paragraph" w:customStyle="1" w:styleId="090120">
    <w:name w:val="090120正文样式"/>
    <w:basedOn w:val="a"/>
    <w:link w:val="090120Char"/>
    <w:qFormat/>
    <w:rsid w:val="00C223F5"/>
    <w:pPr>
      <w:tabs>
        <w:tab w:val="left" w:pos="3052"/>
      </w:tabs>
      <w:adjustRightInd w:val="0"/>
      <w:snapToGrid w:val="0"/>
      <w:spacing w:line="360" w:lineRule="auto"/>
      <w:ind w:firstLineChars="200" w:firstLine="480"/>
      <w:textAlignment w:val="center"/>
    </w:pPr>
    <w:rPr>
      <w:snapToGrid w:val="0"/>
      <w:color w:val="0000FF"/>
      <w:sz w:val="24"/>
      <w:lang w:val="zh-CN"/>
    </w:rPr>
  </w:style>
  <w:style w:type="character" w:customStyle="1" w:styleId="090120Char">
    <w:name w:val="090120正文样式 Char"/>
    <w:basedOn w:val="a0"/>
    <w:link w:val="090120"/>
    <w:qFormat/>
    <w:rsid w:val="00C223F5"/>
    <w:rPr>
      <w:rFonts w:eastAsia="宋体"/>
      <w:snapToGrid w:val="0"/>
      <w:color w:val="0000FF"/>
      <w:kern w:val="2"/>
      <w:sz w:val="24"/>
      <w:szCs w:val="24"/>
      <w:lang w:val="zh-CN" w:eastAsia="zh-CN" w:bidi="ar-SA"/>
    </w:rPr>
  </w:style>
  <w:style w:type="paragraph" w:customStyle="1" w:styleId="130">
    <w:name w:val="1.3行"/>
    <w:basedOn w:val="a"/>
    <w:qFormat/>
    <w:rsid w:val="00C223F5"/>
    <w:pPr>
      <w:adjustRightInd w:val="0"/>
      <w:snapToGrid w:val="0"/>
      <w:spacing w:line="360" w:lineRule="auto"/>
      <w:ind w:firstLineChars="200" w:firstLine="480"/>
    </w:pPr>
    <w:rPr>
      <w:snapToGrid w:val="0"/>
      <w:color w:val="0000FF"/>
      <w:sz w:val="24"/>
      <w:lang w:val="zh-CN"/>
    </w:rPr>
  </w:style>
  <w:style w:type="paragraph" w:customStyle="1" w:styleId="03">
    <w:name w:val="字紧0.3"/>
    <w:basedOn w:val="a"/>
    <w:link w:val="03Char1"/>
    <w:qFormat/>
    <w:rsid w:val="00C223F5"/>
    <w:pPr>
      <w:adjustRightInd w:val="0"/>
      <w:snapToGrid w:val="0"/>
      <w:spacing w:line="360" w:lineRule="auto"/>
      <w:ind w:firstLineChars="192" w:firstLine="536"/>
    </w:pPr>
    <w:rPr>
      <w:rFonts w:ascii="宋体" w:hAnsi="宋体"/>
      <w:snapToGrid w:val="0"/>
      <w:spacing w:val="-6"/>
      <w:kern w:val="0"/>
      <w:sz w:val="28"/>
      <w:szCs w:val="28"/>
      <w:lang w:val="zh-CN"/>
    </w:rPr>
  </w:style>
  <w:style w:type="character" w:customStyle="1" w:styleId="03Char1">
    <w:name w:val="字紧0.3 Char1"/>
    <w:basedOn w:val="a0"/>
    <w:link w:val="03"/>
    <w:qFormat/>
    <w:rsid w:val="00C223F5"/>
    <w:rPr>
      <w:rFonts w:ascii="宋体" w:eastAsia="宋体" w:hAnsi="宋体"/>
      <w:snapToGrid w:val="0"/>
      <w:spacing w:val="-6"/>
      <w:sz w:val="28"/>
      <w:szCs w:val="28"/>
      <w:lang w:val="zh-CN" w:eastAsia="zh-CN" w:bidi="ar-SA"/>
    </w:rPr>
  </w:style>
  <w:style w:type="character" w:customStyle="1" w:styleId="CharChar4">
    <w:name w:val="Char Char4"/>
    <w:basedOn w:val="a0"/>
    <w:qFormat/>
    <w:rsid w:val="00C223F5"/>
    <w:rPr>
      <w:rFonts w:ascii="仿宋_GB2312" w:eastAsia="仿宋_GB2312" w:hAnsi="宋体"/>
      <w:snapToGrid w:val="0"/>
      <w:sz w:val="21"/>
      <w:lang w:val="en-US" w:eastAsia="zh-CN"/>
    </w:rPr>
  </w:style>
  <w:style w:type="paragraph" w:customStyle="1" w:styleId="xl44">
    <w:name w:val="xl44"/>
    <w:basedOn w:val="a"/>
    <w:qFormat/>
    <w:rsid w:val="00C223F5"/>
    <w:pPr>
      <w:widowControl/>
      <w:pBdr>
        <w:left w:val="single" w:sz="4" w:space="0" w:color="auto"/>
        <w:right w:val="single" w:sz="4" w:space="0" w:color="auto"/>
      </w:pBdr>
      <w:spacing w:before="100" w:beforeAutospacing="1" w:after="100" w:afterAutospacing="1"/>
      <w:jc w:val="center"/>
      <w:textAlignment w:val="center"/>
    </w:pPr>
    <w:rPr>
      <w:rFonts w:eastAsia="Arial Unicode MS"/>
      <w:kern w:val="0"/>
      <w:szCs w:val="21"/>
    </w:rPr>
  </w:style>
  <w:style w:type="paragraph" w:customStyle="1" w:styleId="15">
    <w:name w:val="1.5行"/>
    <w:basedOn w:val="a"/>
    <w:qFormat/>
    <w:rsid w:val="00C223F5"/>
    <w:pPr>
      <w:adjustRightInd w:val="0"/>
      <w:snapToGrid w:val="0"/>
      <w:spacing w:line="360" w:lineRule="auto"/>
      <w:ind w:firstLineChars="200" w:firstLine="560"/>
    </w:pPr>
    <w:rPr>
      <w:rFonts w:ascii="宋体" w:hAnsi="宋体"/>
      <w:snapToGrid w:val="0"/>
      <w:kern w:val="0"/>
      <w:sz w:val="28"/>
      <w:szCs w:val="28"/>
    </w:rPr>
  </w:style>
  <w:style w:type="character" w:customStyle="1" w:styleId="a6">
    <w:name w:val="批注文字 字符"/>
    <w:basedOn w:val="a0"/>
    <w:link w:val="a4"/>
    <w:qFormat/>
    <w:rsid w:val="00C223F5"/>
    <w:rPr>
      <w:rFonts w:eastAsia="宋体"/>
      <w:kern w:val="2"/>
      <w:sz w:val="21"/>
      <w:szCs w:val="24"/>
      <w:lang w:val="en-US" w:eastAsia="zh-CN" w:bidi="ar-SA"/>
    </w:rPr>
  </w:style>
  <w:style w:type="paragraph" w:customStyle="1" w:styleId="xl34">
    <w:name w:val="xl34"/>
    <w:basedOn w:val="a"/>
    <w:qFormat/>
    <w:rsid w:val="00C223F5"/>
    <w:pPr>
      <w:widowControl/>
      <w:pBdr>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f9">
    <w:name w:val="三级标题"/>
    <w:basedOn w:val="a"/>
    <w:semiHidden/>
    <w:qFormat/>
    <w:rsid w:val="00C223F5"/>
    <w:rPr>
      <w:rFonts w:eastAsia="黑体"/>
      <w:bCs/>
      <w:sz w:val="28"/>
    </w:rPr>
  </w:style>
  <w:style w:type="character" w:customStyle="1" w:styleId="ae">
    <w:name w:val="注释标题 字符"/>
    <w:basedOn w:val="a0"/>
    <w:link w:val="ad"/>
    <w:qFormat/>
    <w:rsid w:val="00C223F5"/>
    <w:rPr>
      <w:rFonts w:ascii="宋体" w:eastAsia="宋体" w:hAnsi="宋体"/>
      <w:kern w:val="2"/>
      <w:sz w:val="28"/>
      <w:lang w:val="en-US" w:eastAsia="zh-CN" w:bidi="ar-SA"/>
    </w:rPr>
  </w:style>
  <w:style w:type="paragraph" w:customStyle="1" w:styleId="xl55">
    <w:name w:val="xl55"/>
    <w:basedOn w:val="a"/>
    <w:qFormat/>
    <w:rsid w:val="00C223F5"/>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character" w:customStyle="1" w:styleId="05Char">
    <w:name w:val="字紧0.5 Char"/>
    <w:basedOn w:val="a0"/>
    <w:link w:val="05"/>
    <w:semiHidden/>
    <w:qFormat/>
    <w:rsid w:val="00C223F5"/>
    <w:rPr>
      <w:rFonts w:ascii="宋体" w:eastAsia="宋体" w:hAnsi="宋体"/>
      <w:snapToGrid w:val="0"/>
      <w:spacing w:val="-10"/>
      <w:sz w:val="28"/>
      <w:szCs w:val="28"/>
      <w:lang w:val="en-US" w:eastAsia="zh-CN" w:bidi="ar-SA"/>
    </w:rPr>
  </w:style>
  <w:style w:type="paragraph" w:customStyle="1" w:styleId="05">
    <w:name w:val="字紧0.5"/>
    <w:basedOn w:val="080508"/>
    <w:link w:val="05Char"/>
    <w:semiHidden/>
    <w:qFormat/>
    <w:rsid w:val="00C223F5"/>
    <w:pPr>
      <w:spacing w:line="336" w:lineRule="auto"/>
      <w:ind w:firstLine="560"/>
    </w:pPr>
    <w:rPr>
      <w:rFonts w:ascii="宋体" w:hAnsi="宋体"/>
      <w:spacing w:val="-10"/>
      <w:sz w:val="28"/>
      <w:szCs w:val="28"/>
    </w:rPr>
  </w:style>
  <w:style w:type="paragraph" w:customStyle="1" w:styleId="080508">
    <w:name w:val="080508正文样式"/>
    <w:basedOn w:val="a"/>
    <w:link w:val="080508CharChar"/>
    <w:semiHidden/>
    <w:qFormat/>
    <w:rsid w:val="00C223F5"/>
    <w:pPr>
      <w:adjustRightInd w:val="0"/>
      <w:snapToGrid w:val="0"/>
      <w:spacing w:line="360" w:lineRule="auto"/>
      <w:ind w:firstLineChars="200" w:firstLine="480"/>
    </w:pPr>
    <w:rPr>
      <w:snapToGrid w:val="0"/>
      <w:sz w:val="24"/>
    </w:rPr>
  </w:style>
  <w:style w:type="character" w:customStyle="1" w:styleId="080508CharChar">
    <w:name w:val="080508正文样式 Char Char"/>
    <w:basedOn w:val="a0"/>
    <w:link w:val="080508"/>
    <w:qFormat/>
    <w:rsid w:val="00C223F5"/>
    <w:rPr>
      <w:rFonts w:eastAsia="宋体"/>
      <w:snapToGrid w:val="0"/>
      <w:kern w:val="2"/>
      <w:sz w:val="24"/>
      <w:szCs w:val="24"/>
      <w:lang w:val="en-US" w:eastAsia="zh-CN" w:bidi="ar-SA"/>
    </w:rPr>
  </w:style>
  <w:style w:type="paragraph" w:customStyle="1" w:styleId="061209">
    <w:name w:val="061209正文样式"/>
    <w:basedOn w:val="af1"/>
    <w:link w:val="061209CharChar"/>
    <w:semiHidden/>
    <w:qFormat/>
    <w:rsid w:val="00C223F5"/>
    <w:pPr>
      <w:adjustRightInd w:val="0"/>
      <w:snapToGrid w:val="0"/>
      <w:spacing w:line="336" w:lineRule="auto"/>
      <w:ind w:firstLineChars="200" w:firstLine="560"/>
      <w:textAlignment w:val="center"/>
    </w:pPr>
    <w:rPr>
      <w:rFonts w:ascii="宋体" w:hAnsi="Arial Narrow"/>
      <w:snapToGrid w:val="0"/>
      <w:kern w:val="0"/>
      <w:sz w:val="28"/>
      <w:szCs w:val="28"/>
    </w:rPr>
  </w:style>
  <w:style w:type="character" w:customStyle="1" w:styleId="061209CharChar">
    <w:name w:val="061209正文样式 Char Char"/>
    <w:basedOn w:val="a0"/>
    <w:link w:val="061209"/>
    <w:qFormat/>
    <w:rsid w:val="00C223F5"/>
    <w:rPr>
      <w:rFonts w:ascii="宋体" w:eastAsia="宋体" w:hAnsi="Arial Narrow"/>
      <w:snapToGrid w:val="0"/>
      <w:sz w:val="28"/>
      <w:szCs w:val="28"/>
      <w:lang w:val="en-US" w:eastAsia="zh-CN" w:bidi="ar-SA"/>
    </w:rPr>
  </w:style>
  <w:style w:type="paragraph" w:customStyle="1" w:styleId="02">
    <w:name w:val="字紧0.2"/>
    <w:basedOn w:val="a"/>
    <w:link w:val="02Char1"/>
    <w:semiHidden/>
    <w:qFormat/>
    <w:rsid w:val="00C223F5"/>
    <w:pPr>
      <w:adjustRightInd w:val="0"/>
      <w:snapToGrid w:val="0"/>
      <w:spacing w:line="336" w:lineRule="auto"/>
      <w:ind w:firstLineChars="200" w:firstLine="200"/>
    </w:pPr>
    <w:rPr>
      <w:rFonts w:ascii="宋体" w:hAnsi="宋体"/>
      <w:snapToGrid w:val="0"/>
      <w:spacing w:val="-4"/>
      <w:kern w:val="0"/>
      <w:sz w:val="28"/>
      <w:szCs w:val="28"/>
    </w:rPr>
  </w:style>
  <w:style w:type="character" w:customStyle="1" w:styleId="02Char1">
    <w:name w:val="字紧0.2 Char1"/>
    <w:basedOn w:val="a0"/>
    <w:link w:val="02"/>
    <w:qFormat/>
    <w:rsid w:val="00C223F5"/>
    <w:rPr>
      <w:rFonts w:ascii="宋体" w:eastAsia="宋体" w:hAnsi="宋体"/>
      <w:snapToGrid w:val="0"/>
      <w:spacing w:val="-4"/>
      <w:sz w:val="28"/>
      <w:szCs w:val="28"/>
      <w:lang w:val="en-US" w:eastAsia="zh-CN" w:bidi="ar-SA"/>
    </w:rPr>
  </w:style>
  <w:style w:type="character" w:customStyle="1" w:styleId="03Char">
    <w:name w:val="字紧0.3 Char"/>
    <w:basedOn w:val="a0"/>
    <w:semiHidden/>
    <w:qFormat/>
    <w:rsid w:val="00C223F5"/>
    <w:rPr>
      <w:rFonts w:ascii="宋体" w:eastAsia="宋体" w:hAnsi="ˎ̥"/>
      <w:snapToGrid w:val="0"/>
      <w:spacing w:val="-6"/>
      <w:sz w:val="28"/>
      <w:szCs w:val="28"/>
      <w:lang w:val="en-US" w:eastAsia="zh-CN" w:bidi="ar-SA"/>
    </w:rPr>
  </w:style>
  <w:style w:type="character" w:customStyle="1" w:styleId="02Char">
    <w:name w:val="字紧0.2 Char"/>
    <w:basedOn w:val="a0"/>
    <w:semiHidden/>
    <w:qFormat/>
    <w:rsid w:val="00C223F5"/>
    <w:rPr>
      <w:rFonts w:ascii="宋体" w:eastAsia="宋体" w:hAnsi="宋体"/>
      <w:snapToGrid w:val="0"/>
      <w:spacing w:val="-4"/>
      <w:sz w:val="28"/>
      <w:szCs w:val="28"/>
      <w:lang w:val="en-US" w:eastAsia="zh-CN" w:bidi="ar-SA"/>
    </w:rPr>
  </w:style>
  <w:style w:type="paragraph" w:customStyle="1" w:styleId="2a">
    <w:name w:val="样式 首行缩进:  2 字符"/>
    <w:basedOn w:val="a"/>
    <w:qFormat/>
    <w:rsid w:val="00C223F5"/>
    <w:pPr>
      <w:topLinePunct/>
      <w:spacing w:line="360" w:lineRule="auto"/>
      <w:ind w:firstLineChars="200" w:firstLine="480"/>
    </w:pPr>
    <w:rPr>
      <w:sz w:val="24"/>
      <w:szCs w:val="28"/>
    </w:rPr>
  </w:style>
  <w:style w:type="character" w:customStyle="1" w:styleId="Char20">
    <w:name w:val="普通文字 Char2"/>
    <w:basedOn w:val="a0"/>
    <w:qFormat/>
    <w:rsid w:val="00C223F5"/>
    <w:rPr>
      <w:rFonts w:ascii="宋体" w:eastAsia="宋体" w:hAnsi="Courier New"/>
      <w:kern w:val="2"/>
      <w:sz w:val="21"/>
      <w:lang w:val="en-US" w:eastAsia="zh-CN" w:bidi="ar-SA"/>
    </w:rPr>
  </w:style>
  <w:style w:type="paragraph" w:customStyle="1" w:styleId="CharCharChar2Char2">
    <w:name w:val="Char Char Char2 Char2"/>
    <w:basedOn w:val="a"/>
    <w:qFormat/>
    <w:rsid w:val="00C223F5"/>
    <w:pPr>
      <w:spacing w:line="360" w:lineRule="auto"/>
      <w:ind w:firstLineChars="200" w:firstLine="200"/>
    </w:pPr>
    <w:rPr>
      <w:rFonts w:ascii="宋体" w:hAnsi="宋体" w:cs="宋体"/>
      <w:sz w:val="24"/>
    </w:rPr>
  </w:style>
  <w:style w:type="paragraph" w:customStyle="1" w:styleId="211112W2112Se">
    <w:name w:val="样式 标题 2节标题 1.11.1标题2W21.1标题 2Se + 加粗"/>
    <w:basedOn w:val="2"/>
    <w:qFormat/>
    <w:rsid w:val="00C223F5"/>
    <w:pPr>
      <w:numPr>
        <w:ilvl w:val="0"/>
        <w:numId w:val="0"/>
      </w:numPr>
      <w:spacing w:line="240" w:lineRule="auto"/>
    </w:pPr>
    <w:rPr>
      <w:rFonts w:eastAsia="宋体"/>
      <w:b/>
      <w:sz w:val="24"/>
    </w:rPr>
  </w:style>
  <w:style w:type="character" w:customStyle="1" w:styleId="affffa">
    <w:name w:val="样式 (中文) 黑体 小四"/>
    <w:basedOn w:val="a0"/>
    <w:qFormat/>
    <w:rsid w:val="00C223F5"/>
    <w:rPr>
      <w:rFonts w:eastAsia="黑体"/>
      <w:b/>
      <w:sz w:val="24"/>
    </w:rPr>
  </w:style>
  <w:style w:type="paragraph" w:customStyle="1" w:styleId="39">
    <w:name w:val="样式 样式 标题 3 + (中文) 黑体 小四 + 非加粗"/>
    <w:basedOn w:val="a"/>
    <w:link w:val="3Char"/>
    <w:qFormat/>
    <w:rsid w:val="00C223F5"/>
    <w:pPr>
      <w:keepNext/>
      <w:keepLines/>
      <w:spacing w:before="260" w:after="260"/>
      <w:outlineLvl w:val="2"/>
    </w:pPr>
    <w:rPr>
      <w:b/>
      <w:sz w:val="24"/>
      <w:szCs w:val="32"/>
    </w:rPr>
  </w:style>
  <w:style w:type="character" w:customStyle="1" w:styleId="3Char">
    <w:name w:val="样式 样式 标题 3 + (中文) 黑体 小四 + 非加粗 Char"/>
    <w:basedOn w:val="a0"/>
    <w:link w:val="39"/>
    <w:qFormat/>
    <w:rsid w:val="00C223F5"/>
    <w:rPr>
      <w:rFonts w:eastAsia="宋体"/>
      <w:b/>
      <w:kern w:val="2"/>
      <w:sz w:val="24"/>
      <w:szCs w:val="32"/>
      <w:lang w:val="en-US" w:eastAsia="zh-CN" w:bidi="ar-SA"/>
    </w:rPr>
  </w:style>
  <w:style w:type="character" w:customStyle="1" w:styleId="afff6">
    <w:name w:val="标题 字符"/>
    <w:basedOn w:val="a0"/>
    <w:link w:val="afff5"/>
    <w:qFormat/>
    <w:rsid w:val="00C223F5"/>
    <w:rPr>
      <w:rFonts w:ascii="Arial" w:hAnsi="Arial" w:cs="Arial"/>
      <w:b/>
      <w:bCs/>
      <w:kern w:val="2"/>
      <w:sz w:val="32"/>
      <w:szCs w:val="32"/>
    </w:rPr>
  </w:style>
  <w:style w:type="character" w:customStyle="1" w:styleId="afb">
    <w:name w:val="称呼 字符"/>
    <w:basedOn w:val="a0"/>
    <w:link w:val="afa"/>
    <w:qFormat/>
    <w:rsid w:val="00C223F5"/>
    <w:rPr>
      <w:kern w:val="2"/>
      <w:sz w:val="21"/>
      <w:szCs w:val="24"/>
    </w:rPr>
  </w:style>
  <w:style w:type="character" w:customStyle="1" w:styleId="aff7">
    <w:name w:val="批注框文本 字符"/>
    <w:basedOn w:val="a0"/>
    <w:link w:val="aff6"/>
    <w:qFormat/>
    <w:rsid w:val="00C223F5"/>
    <w:rPr>
      <w:kern w:val="2"/>
      <w:sz w:val="18"/>
      <w:szCs w:val="18"/>
    </w:rPr>
  </w:style>
  <w:style w:type="character" w:customStyle="1" w:styleId="a5">
    <w:name w:val="批注主题 字符"/>
    <w:basedOn w:val="a6"/>
    <w:link w:val="a3"/>
    <w:qFormat/>
    <w:rsid w:val="00C223F5"/>
    <w:rPr>
      <w:rFonts w:eastAsia="宋体"/>
      <w:b/>
      <w:bCs/>
      <w:kern w:val="2"/>
      <w:sz w:val="21"/>
      <w:szCs w:val="24"/>
      <w:lang w:val="en-US" w:eastAsia="zh-CN" w:bidi="ar-SA"/>
    </w:rPr>
  </w:style>
  <w:style w:type="character" w:customStyle="1" w:styleId="af4">
    <w:name w:val="题注 字符"/>
    <w:basedOn w:val="a0"/>
    <w:link w:val="af3"/>
    <w:qFormat/>
    <w:rsid w:val="00C223F5"/>
    <w:rPr>
      <w:rFonts w:ascii="Arial" w:eastAsia="黑体" w:hAnsi="Arial" w:cs="Arial"/>
      <w:kern w:val="2"/>
      <w:lang w:val="en-US" w:eastAsia="zh-CN" w:bidi="ar-SA"/>
    </w:rPr>
  </w:style>
  <w:style w:type="paragraph" w:customStyle="1" w:styleId="CharCharCharCharCharCharChar">
    <w:name w:val="Char Char Char Char Char Char Char"/>
    <w:basedOn w:val="a"/>
    <w:qFormat/>
    <w:rsid w:val="00C223F5"/>
    <w:rPr>
      <w:rFonts w:ascii="Tahoma" w:hAnsi="Tahoma" w:cs="仿宋_GB2312"/>
      <w:sz w:val="24"/>
      <w:szCs w:val="28"/>
    </w:rPr>
  </w:style>
  <w:style w:type="paragraph" w:customStyle="1" w:styleId="3a">
    <w:name w:val="正文3"/>
    <w:basedOn w:val="a"/>
    <w:next w:val="a"/>
    <w:link w:val="CharChar"/>
    <w:qFormat/>
    <w:rsid w:val="00C223F5"/>
    <w:pPr>
      <w:spacing w:line="529" w:lineRule="exact"/>
      <w:ind w:firstLineChars="200" w:firstLine="480"/>
    </w:pPr>
    <w:rPr>
      <w:kern w:val="24"/>
      <w:sz w:val="24"/>
      <w:szCs w:val="28"/>
    </w:rPr>
  </w:style>
  <w:style w:type="character" w:customStyle="1" w:styleId="CharChar">
    <w:name w:val="正文 Char Char"/>
    <w:basedOn w:val="a0"/>
    <w:link w:val="3a"/>
    <w:qFormat/>
    <w:rsid w:val="00C223F5"/>
    <w:rPr>
      <w:kern w:val="24"/>
      <w:sz w:val="24"/>
      <w:szCs w:val="28"/>
    </w:rPr>
  </w:style>
  <w:style w:type="paragraph" w:customStyle="1" w:styleId="63">
    <w:name w:val="样式6"/>
    <w:basedOn w:val="a"/>
    <w:link w:val="6CharChar"/>
    <w:qFormat/>
    <w:rsid w:val="00C223F5"/>
    <w:pPr>
      <w:snapToGrid w:val="0"/>
      <w:spacing w:line="360" w:lineRule="auto"/>
      <w:ind w:firstLineChars="200" w:firstLine="480"/>
      <w:jc w:val="left"/>
    </w:pPr>
    <w:rPr>
      <w:rFonts w:ascii="宋体" w:hAnsi="宋体" w:cs="宋体"/>
      <w:bCs/>
      <w:snapToGrid w:val="0"/>
      <w:kern w:val="24"/>
      <w:sz w:val="24"/>
      <w:lang w:val="zh-CN"/>
    </w:rPr>
  </w:style>
  <w:style w:type="character" w:customStyle="1" w:styleId="6CharChar">
    <w:name w:val="样式6 Char Char"/>
    <w:basedOn w:val="a0"/>
    <w:link w:val="63"/>
    <w:qFormat/>
    <w:rsid w:val="00C223F5"/>
    <w:rPr>
      <w:rFonts w:ascii="宋体" w:eastAsia="宋体" w:hAnsi="宋体" w:cs="宋体"/>
      <w:bCs/>
      <w:snapToGrid w:val="0"/>
      <w:kern w:val="24"/>
      <w:sz w:val="24"/>
      <w:szCs w:val="24"/>
      <w:lang w:val="zh-CN" w:eastAsia="zh-CN" w:bidi="ar-SA"/>
    </w:rPr>
  </w:style>
  <w:style w:type="paragraph" w:customStyle="1" w:styleId="Char10">
    <w:name w:val="Char1"/>
    <w:basedOn w:val="a"/>
    <w:qFormat/>
    <w:rsid w:val="00C223F5"/>
  </w:style>
  <w:style w:type="character" w:customStyle="1" w:styleId="1026Char">
    <w:name w:val="10.26 Char"/>
    <w:basedOn w:val="a0"/>
    <w:link w:val="1026"/>
    <w:qFormat/>
    <w:rsid w:val="00C223F5"/>
    <w:rPr>
      <w:rFonts w:eastAsia="宋体"/>
      <w:snapToGrid w:val="0"/>
      <w:sz w:val="28"/>
      <w:szCs w:val="24"/>
      <w:lang w:val="en-US" w:eastAsia="zh-CN" w:bidi="ar-SA"/>
    </w:rPr>
  </w:style>
  <w:style w:type="paragraph" w:customStyle="1" w:styleId="1026">
    <w:name w:val="10.26"/>
    <w:basedOn w:val="a"/>
    <w:link w:val="1026Char"/>
    <w:qFormat/>
    <w:rsid w:val="00C223F5"/>
    <w:pPr>
      <w:adjustRightInd w:val="0"/>
      <w:snapToGrid w:val="0"/>
      <w:spacing w:line="336" w:lineRule="auto"/>
      <w:ind w:firstLineChars="200" w:firstLine="200"/>
    </w:pPr>
    <w:rPr>
      <w:snapToGrid w:val="0"/>
      <w:kern w:val="0"/>
      <w:sz w:val="28"/>
    </w:rPr>
  </w:style>
  <w:style w:type="paragraph" w:customStyle="1" w:styleId="131">
    <w:name w:val="行1.3"/>
    <w:basedOn w:val="080508"/>
    <w:link w:val="13Char"/>
    <w:qFormat/>
    <w:rsid w:val="00C223F5"/>
    <w:pPr>
      <w:spacing w:line="240" w:lineRule="auto"/>
      <w:ind w:firstLineChars="0" w:firstLine="0"/>
    </w:pPr>
  </w:style>
  <w:style w:type="character" w:customStyle="1" w:styleId="13Char">
    <w:name w:val="行1.3 Char"/>
    <w:basedOn w:val="02Char"/>
    <w:link w:val="131"/>
    <w:qFormat/>
    <w:rsid w:val="00C223F5"/>
    <w:rPr>
      <w:rFonts w:ascii="宋体" w:eastAsia="宋体" w:hAnsi="宋体"/>
      <w:snapToGrid w:val="0"/>
      <w:spacing w:val="-4"/>
      <w:sz w:val="24"/>
      <w:szCs w:val="24"/>
      <w:lang w:val="en-US" w:eastAsia="zh-CN" w:bidi="ar-SA"/>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
    <w:next w:val="a"/>
    <w:qFormat/>
    <w:rsid w:val="00C223F5"/>
    <w:pPr>
      <w:spacing w:line="360" w:lineRule="auto"/>
      <w:ind w:firstLineChars="200" w:firstLine="200"/>
    </w:pPr>
    <w:rPr>
      <w:rFonts w:ascii="宋体" w:hAnsi="宋体" w:cs="宋体"/>
      <w:snapToGrid w:val="0"/>
      <w:kern w:val="0"/>
      <w:sz w:val="24"/>
    </w:rPr>
  </w:style>
  <w:style w:type="paragraph" w:customStyle="1" w:styleId="xl24">
    <w:name w:val="xl24"/>
    <w:basedOn w:val="a"/>
    <w:qFormat/>
    <w:rsid w:val="00C223F5"/>
    <w:pPr>
      <w:widowControl/>
      <w:spacing w:before="100" w:beforeAutospacing="1" w:after="100" w:afterAutospacing="1"/>
      <w:jc w:val="center"/>
    </w:pPr>
    <w:rPr>
      <w:rFonts w:ascii="Arial Unicode MS" w:hAnsi="Arial Unicode MS"/>
      <w:kern w:val="0"/>
      <w:sz w:val="20"/>
      <w:szCs w:val="20"/>
    </w:rPr>
  </w:style>
  <w:style w:type="character" w:customStyle="1" w:styleId="CharChar13">
    <w:name w:val="Char Char13"/>
    <w:basedOn w:val="a0"/>
    <w:qFormat/>
    <w:rsid w:val="00C223F5"/>
    <w:rPr>
      <w:rFonts w:eastAsia="仿宋_GB2312"/>
      <w:bCs/>
      <w:kern w:val="2"/>
      <w:sz w:val="24"/>
      <w:szCs w:val="32"/>
      <w:lang w:val="en-US" w:eastAsia="zh-CN" w:bidi="ar-SA"/>
    </w:rPr>
  </w:style>
  <w:style w:type="paragraph" w:customStyle="1" w:styleId="xl63">
    <w:name w:val="xl63"/>
    <w:basedOn w:val="a"/>
    <w:qFormat/>
    <w:rsid w:val="00C223F5"/>
    <w:pPr>
      <w:widowControl/>
      <w:spacing w:before="100" w:after="100"/>
      <w:jc w:val="center"/>
      <w:textAlignment w:val="center"/>
    </w:pPr>
    <w:rPr>
      <w:rFonts w:ascii="黑体" w:eastAsia="黑体" w:hAnsi="宋体" w:hint="eastAsia"/>
      <w:kern w:val="0"/>
      <w:sz w:val="24"/>
      <w:szCs w:val="20"/>
    </w:rPr>
  </w:style>
  <w:style w:type="paragraph" w:customStyle="1" w:styleId="xl28">
    <w:name w:val="xl28"/>
    <w:basedOn w:val="a"/>
    <w:qFormat/>
    <w:rsid w:val="00C223F5"/>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2b">
    <w:name w:val="样式2"/>
    <w:basedOn w:val="aff1"/>
    <w:qFormat/>
    <w:rsid w:val="00C223F5"/>
    <w:pPr>
      <w:widowControl w:val="0"/>
      <w:tabs>
        <w:tab w:val="clear" w:pos="5781"/>
      </w:tabs>
      <w:spacing w:line="1440" w:lineRule="auto"/>
      <w:ind w:left="0" w:firstLineChars="171" w:firstLine="171"/>
      <w:jc w:val="center"/>
    </w:pPr>
    <w:rPr>
      <w:rFonts w:ascii="宋体" w:hAnsi="Courier New" w:cs="Courier New"/>
      <w:b/>
      <w:outline/>
      <w:sz w:val="30"/>
      <w:szCs w:val="21"/>
    </w:rPr>
  </w:style>
  <w:style w:type="paragraph" w:customStyle="1" w:styleId="xl33">
    <w:name w:val="xl33"/>
    <w:basedOn w:val="a"/>
    <w:qFormat/>
    <w:rsid w:val="00C223F5"/>
    <w:pPr>
      <w:widowControl/>
      <w:pBdr>
        <w:bottom w:val="single" w:sz="4" w:space="0" w:color="auto"/>
      </w:pBdr>
      <w:spacing w:before="100" w:beforeAutospacing="1" w:after="100" w:afterAutospacing="1"/>
      <w:jc w:val="left"/>
      <w:textAlignment w:val="center"/>
    </w:pPr>
    <w:rPr>
      <w:kern w:val="0"/>
      <w:sz w:val="28"/>
      <w:szCs w:val="28"/>
    </w:rPr>
  </w:style>
  <w:style w:type="paragraph" w:customStyle="1" w:styleId="3b">
    <w:name w:val="3"/>
    <w:basedOn w:val="a"/>
    <w:next w:val="aff1"/>
    <w:qFormat/>
    <w:rsid w:val="00C223F5"/>
    <w:rPr>
      <w:rFonts w:ascii="宋体" w:hAnsi="Courier New" w:cs="黑体"/>
      <w:szCs w:val="21"/>
    </w:rPr>
  </w:style>
  <w:style w:type="paragraph" w:customStyle="1" w:styleId="affffb">
    <w:name w:val="图、表头文字"/>
    <w:basedOn w:val="a"/>
    <w:qFormat/>
    <w:rsid w:val="00C223F5"/>
    <w:pPr>
      <w:autoSpaceDE w:val="0"/>
      <w:autoSpaceDN w:val="0"/>
      <w:adjustRightInd w:val="0"/>
      <w:spacing w:before="80" w:after="80"/>
      <w:jc w:val="center"/>
      <w:textAlignment w:val="baseline"/>
    </w:pPr>
    <w:rPr>
      <w:rFonts w:ascii="黑体" w:eastAsia="黑体"/>
      <w:kern w:val="0"/>
      <w:szCs w:val="20"/>
    </w:rPr>
  </w:style>
  <w:style w:type="paragraph" w:customStyle="1" w:styleId="affffc">
    <w:name w:val="宁扬"/>
    <w:basedOn w:val="a"/>
    <w:qFormat/>
    <w:rsid w:val="00C223F5"/>
    <w:pPr>
      <w:spacing w:line="500" w:lineRule="exact"/>
      <w:ind w:firstLineChars="200" w:firstLine="200"/>
    </w:pPr>
    <w:rPr>
      <w:rFonts w:ascii="仿宋_GB2312" w:eastAsia="仿宋_GB2312"/>
      <w:sz w:val="28"/>
    </w:rPr>
  </w:style>
  <w:style w:type="paragraph" w:customStyle="1" w:styleId="title4">
    <w:name w:val="title4"/>
    <w:basedOn w:val="a"/>
    <w:qFormat/>
    <w:rsid w:val="00C223F5"/>
    <w:pPr>
      <w:tabs>
        <w:tab w:val="left" w:pos="432"/>
      </w:tabs>
      <w:spacing w:beforeLines="50" w:line="480" w:lineRule="atLeast"/>
      <w:ind w:left="432" w:hanging="432"/>
    </w:pPr>
    <w:rPr>
      <w:b/>
      <w:sz w:val="28"/>
    </w:rPr>
  </w:style>
  <w:style w:type="paragraph" w:customStyle="1" w:styleId="affffd">
    <w:name w:val="图表头"/>
    <w:basedOn w:val="a"/>
    <w:qFormat/>
    <w:rsid w:val="00C223F5"/>
    <w:pPr>
      <w:adjustRightInd w:val="0"/>
      <w:spacing w:line="360" w:lineRule="auto"/>
      <w:jc w:val="center"/>
      <w:textAlignment w:val="baseline"/>
    </w:pPr>
    <w:rPr>
      <w:rFonts w:ascii="黑体" w:eastAsia="黑体"/>
      <w:spacing w:val="5"/>
      <w:kern w:val="0"/>
    </w:rPr>
  </w:style>
  <w:style w:type="paragraph" w:customStyle="1" w:styleId="CF">
    <w:name w:val="CF统计表中文字"/>
    <w:basedOn w:val="a"/>
    <w:qFormat/>
    <w:rsid w:val="00C223F5"/>
    <w:pPr>
      <w:spacing w:line="360" w:lineRule="exact"/>
      <w:jc w:val="center"/>
    </w:pPr>
    <w:rPr>
      <w:w w:val="90"/>
      <w:szCs w:val="20"/>
    </w:rPr>
  </w:style>
  <w:style w:type="paragraph" w:customStyle="1" w:styleId="xl29">
    <w:name w:val="xl29"/>
    <w:basedOn w:val="a"/>
    <w:qFormat/>
    <w:rsid w:val="00C223F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ourier New"/>
      <w:kern w:val="0"/>
      <w:sz w:val="24"/>
    </w:rPr>
  </w:style>
  <w:style w:type="paragraph" w:customStyle="1" w:styleId="xl54">
    <w:name w:val="xl54"/>
    <w:basedOn w:val="a"/>
    <w:qFormat/>
    <w:rsid w:val="00C223F5"/>
    <w:pPr>
      <w:widowControl/>
      <w:spacing w:before="100" w:beforeAutospacing="1" w:after="100" w:afterAutospacing="1"/>
      <w:jc w:val="center"/>
      <w:textAlignment w:val="center"/>
    </w:pPr>
    <w:rPr>
      <w:rFonts w:ascii="黑体" w:eastAsia="黑体" w:hAnsi="Arial Unicode MS" w:hint="eastAsia"/>
      <w:kern w:val="0"/>
      <w:sz w:val="28"/>
      <w:szCs w:val="20"/>
    </w:rPr>
  </w:style>
  <w:style w:type="paragraph" w:customStyle="1" w:styleId="xl37">
    <w:name w:val="xl37"/>
    <w:basedOn w:val="a"/>
    <w:qFormat/>
    <w:rsid w:val="00C223F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0"/>
    </w:rPr>
  </w:style>
  <w:style w:type="paragraph" w:customStyle="1" w:styleId="abcd">
    <w:name w:val="abcd"/>
    <w:basedOn w:val="a"/>
    <w:qFormat/>
    <w:rsid w:val="00C223F5"/>
    <w:pPr>
      <w:tabs>
        <w:tab w:val="left" w:pos="840"/>
      </w:tabs>
      <w:autoSpaceDN w:val="0"/>
      <w:spacing w:before="60" w:line="264" w:lineRule="auto"/>
      <w:jc w:val="center"/>
    </w:pPr>
    <w:rPr>
      <w:rFonts w:eastAsia="幼圆"/>
      <w:b/>
      <w:kern w:val="0"/>
      <w:sz w:val="52"/>
      <w:szCs w:val="20"/>
    </w:rPr>
  </w:style>
  <w:style w:type="paragraph" w:customStyle="1" w:styleId="14">
    <w:name w:val="纯文本1"/>
    <w:basedOn w:val="a"/>
    <w:qFormat/>
    <w:rsid w:val="00C223F5"/>
    <w:pPr>
      <w:adjustRightInd w:val="0"/>
      <w:textAlignment w:val="baseline"/>
    </w:pPr>
    <w:rPr>
      <w:rFonts w:ascii="宋体" w:hAnsi="Courier New"/>
      <w:szCs w:val="20"/>
    </w:rPr>
  </w:style>
  <w:style w:type="paragraph" w:customStyle="1" w:styleId="xl36">
    <w:name w:val="xl36"/>
    <w:basedOn w:val="a"/>
    <w:qFormat/>
    <w:rsid w:val="00C223F5"/>
    <w:pPr>
      <w:widowControl/>
      <w:pBdr>
        <w:bottom w:val="single" w:sz="4" w:space="0" w:color="auto"/>
      </w:pBdr>
      <w:tabs>
        <w:tab w:val="left" w:pos="360"/>
        <w:tab w:val="left" w:pos="600"/>
      </w:tabs>
      <w:spacing w:before="100" w:beforeAutospacing="1" w:after="100" w:afterAutospacing="1"/>
      <w:jc w:val="right"/>
      <w:textAlignment w:val="center"/>
    </w:pPr>
    <w:rPr>
      <w:rFonts w:ascii="宋体" w:hAnsi="宋体"/>
      <w:kern w:val="0"/>
      <w:sz w:val="24"/>
      <w:szCs w:val="20"/>
    </w:rPr>
  </w:style>
  <w:style w:type="paragraph" w:customStyle="1" w:styleId="graphic">
    <w:name w:val="graphic"/>
    <w:basedOn w:val="a"/>
    <w:qFormat/>
    <w:rsid w:val="00C223F5"/>
    <w:pPr>
      <w:widowControl/>
      <w:tabs>
        <w:tab w:val="left" w:pos="-720"/>
      </w:tabs>
      <w:overflowPunct w:val="0"/>
      <w:autoSpaceDE w:val="0"/>
      <w:autoSpaceDN w:val="0"/>
      <w:adjustRightInd w:val="0"/>
      <w:snapToGrid w:val="0"/>
      <w:spacing w:line="360" w:lineRule="auto"/>
      <w:jc w:val="center"/>
      <w:textAlignment w:val="baseline"/>
    </w:pPr>
    <w:rPr>
      <w:kern w:val="0"/>
      <w:sz w:val="24"/>
      <w:szCs w:val="20"/>
      <w:lang w:eastAsia="en-US"/>
    </w:rPr>
  </w:style>
  <w:style w:type="paragraph" w:customStyle="1" w:styleId="affffe">
    <w:name w:val="表样式"/>
    <w:basedOn w:val="a"/>
    <w:link w:val="Char3"/>
    <w:qFormat/>
    <w:rsid w:val="00C223F5"/>
    <w:pPr>
      <w:jc w:val="center"/>
    </w:pPr>
    <w:rPr>
      <w:rFonts w:ascii="仿宋_GB2312" w:eastAsia="黑体"/>
    </w:rPr>
  </w:style>
  <w:style w:type="character" w:customStyle="1" w:styleId="Char3">
    <w:name w:val="表样式 Char"/>
    <w:basedOn w:val="a0"/>
    <w:link w:val="affffe"/>
    <w:qFormat/>
    <w:rsid w:val="00C223F5"/>
    <w:rPr>
      <w:rFonts w:ascii="仿宋_GB2312" w:eastAsia="黑体"/>
      <w:kern w:val="2"/>
      <w:sz w:val="21"/>
      <w:szCs w:val="24"/>
      <w:lang w:val="en-US" w:eastAsia="zh-CN" w:bidi="ar-SA"/>
    </w:rPr>
  </w:style>
  <w:style w:type="paragraph" w:customStyle="1" w:styleId="CharCharChar">
    <w:name w:val="二级标题 Char Char Char"/>
    <w:basedOn w:val="a"/>
    <w:next w:val="a"/>
    <w:qFormat/>
    <w:rsid w:val="00C223F5"/>
    <w:pPr>
      <w:spacing w:line="529" w:lineRule="exact"/>
      <w:ind w:firstLineChars="200" w:firstLine="200"/>
    </w:pPr>
    <w:rPr>
      <w:rFonts w:ascii="宋体" w:hAnsi="宋体" w:cs="宋体"/>
      <w:sz w:val="24"/>
    </w:rPr>
  </w:style>
  <w:style w:type="paragraph" w:customStyle="1" w:styleId="font5">
    <w:name w:val="font5"/>
    <w:basedOn w:val="a"/>
    <w:qFormat/>
    <w:rsid w:val="00C223F5"/>
    <w:pPr>
      <w:widowControl/>
      <w:spacing w:before="100" w:beforeAutospacing="1" w:after="100" w:afterAutospacing="1"/>
      <w:jc w:val="left"/>
    </w:pPr>
    <w:rPr>
      <w:rFonts w:ascii="宋体" w:hAnsi="宋体" w:hint="eastAsia"/>
      <w:kern w:val="0"/>
      <w:sz w:val="24"/>
    </w:rPr>
  </w:style>
  <w:style w:type="paragraph" w:customStyle="1" w:styleId="ParaCharCharCharCharCharCharChar">
    <w:name w:val="默认段落字体 Para Char Char Char Char Char Char Char"/>
    <w:basedOn w:val="a"/>
    <w:qFormat/>
    <w:rsid w:val="00C223F5"/>
    <w:rPr>
      <w:rFonts w:ascii="Tahoma" w:hAnsi="Tahoma"/>
      <w:sz w:val="24"/>
      <w:szCs w:val="20"/>
    </w:rPr>
  </w:style>
  <w:style w:type="paragraph" w:styleId="afffff">
    <w:name w:val="List Paragraph"/>
    <w:basedOn w:val="a"/>
    <w:qFormat/>
    <w:rsid w:val="00C223F5"/>
    <w:pPr>
      <w:ind w:firstLineChars="200" w:firstLine="420"/>
    </w:pPr>
    <w:rPr>
      <w:rFonts w:ascii="Calibri" w:hAnsi="Calibri"/>
      <w:szCs w:val="22"/>
    </w:rPr>
  </w:style>
  <w:style w:type="paragraph" w:styleId="afffff0">
    <w:name w:val="No Spacing"/>
    <w:uiPriority w:val="1"/>
    <w:qFormat/>
    <w:rsid w:val="00C223F5"/>
    <w:pPr>
      <w:widowControl w:val="0"/>
      <w:adjustRightInd w:val="0"/>
      <w:snapToGrid w:val="0"/>
      <w:jc w:val="center"/>
    </w:pPr>
    <w:rPr>
      <w:kern w:val="2"/>
      <w:sz w:val="24"/>
      <w:szCs w:val="24"/>
    </w:rPr>
  </w:style>
  <w:style w:type="paragraph" w:customStyle="1" w:styleId="0622">
    <w:name w:val="正文样式0622"/>
    <w:basedOn w:val="36"/>
    <w:semiHidden/>
    <w:qFormat/>
    <w:rsid w:val="00C223F5"/>
    <w:pPr>
      <w:adjustRightInd w:val="0"/>
      <w:snapToGrid w:val="0"/>
      <w:spacing w:line="336" w:lineRule="auto"/>
      <w:ind w:firstLineChars="200" w:firstLine="200"/>
    </w:pPr>
    <w:rPr>
      <w:sz w:val="28"/>
    </w:rPr>
  </w:style>
  <w:style w:type="paragraph" w:customStyle="1" w:styleId="afffff1">
    <w:name w:val="表头样式"/>
    <w:basedOn w:val="080508"/>
    <w:link w:val="Char4"/>
    <w:qFormat/>
    <w:rsid w:val="00C223F5"/>
    <w:pPr>
      <w:spacing w:line="240" w:lineRule="auto"/>
      <w:ind w:firstLineChars="191" w:firstLine="537"/>
    </w:pPr>
    <w:rPr>
      <w:b/>
      <w:szCs w:val="28"/>
    </w:rPr>
  </w:style>
  <w:style w:type="character" w:customStyle="1" w:styleId="Char4">
    <w:name w:val="表头样式 Char"/>
    <w:basedOn w:val="a0"/>
    <w:link w:val="afffff1"/>
    <w:qFormat/>
    <w:rsid w:val="00C223F5"/>
    <w:rPr>
      <w:rFonts w:eastAsia="宋体"/>
      <w:b/>
      <w:snapToGrid w:val="0"/>
      <w:sz w:val="24"/>
      <w:szCs w:val="28"/>
      <w:lang w:val="en-US" w:eastAsia="zh-CN" w:bidi="ar-SA"/>
    </w:rPr>
  </w:style>
  <w:style w:type="paragraph" w:customStyle="1" w:styleId="afffff2">
    <w:name w:val="我的格式"/>
    <w:basedOn w:val="a"/>
    <w:qFormat/>
    <w:rsid w:val="00C223F5"/>
    <w:pPr>
      <w:widowControl/>
      <w:snapToGrid w:val="0"/>
      <w:spacing w:line="500" w:lineRule="exact"/>
      <w:ind w:firstLineChars="200" w:firstLine="200"/>
    </w:pPr>
    <w:rPr>
      <w:rFonts w:ascii="宋体" w:hAnsi="宋体"/>
      <w:kern w:val="0"/>
      <w:sz w:val="28"/>
      <w:szCs w:val="28"/>
    </w:rPr>
  </w:style>
  <w:style w:type="paragraph" w:customStyle="1" w:styleId="001">
    <w:name w:val="001"/>
    <w:basedOn w:val="a"/>
    <w:link w:val="001Char"/>
    <w:qFormat/>
    <w:rsid w:val="00C223F5"/>
    <w:pPr>
      <w:adjustRightInd w:val="0"/>
      <w:snapToGrid w:val="0"/>
      <w:spacing w:line="560" w:lineRule="exact"/>
      <w:ind w:firstLineChars="200" w:firstLine="200"/>
    </w:pPr>
    <w:rPr>
      <w:snapToGrid w:val="0"/>
      <w:color w:val="FF00FF"/>
      <w:spacing w:val="-4"/>
      <w:kern w:val="24"/>
      <w:sz w:val="28"/>
      <w:szCs w:val="28"/>
    </w:rPr>
  </w:style>
  <w:style w:type="character" w:customStyle="1" w:styleId="001Char">
    <w:name w:val="001 Char"/>
    <w:basedOn w:val="a0"/>
    <w:link w:val="001"/>
    <w:qFormat/>
    <w:rsid w:val="00C223F5"/>
    <w:rPr>
      <w:rFonts w:eastAsia="宋体"/>
      <w:snapToGrid w:val="0"/>
      <w:color w:val="FF00FF"/>
      <w:spacing w:val="-4"/>
      <w:kern w:val="24"/>
      <w:sz w:val="28"/>
      <w:szCs w:val="28"/>
      <w:lang w:val="en-US" w:eastAsia="zh-CN" w:bidi="ar-SA"/>
    </w:rPr>
  </w:style>
  <w:style w:type="paragraph" w:customStyle="1" w:styleId="16">
    <w:name w:val="列出段落1"/>
    <w:basedOn w:val="a"/>
    <w:qFormat/>
    <w:rsid w:val="00C223F5"/>
    <w:pPr>
      <w:ind w:firstLineChars="200" w:firstLine="420"/>
    </w:pPr>
    <w:rPr>
      <w:rFonts w:ascii="Calibri" w:hAnsi="Calibri"/>
      <w:szCs w:val="22"/>
    </w:rPr>
  </w:style>
  <w:style w:type="paragraph" w:customStyle="1" w:styleId="CharCharChar1Char7">
    <w:name w:val="Char Char Char1 Char7"/>
    <w:basedOn w:val="a"/>
    <w:next w:val="a"/>
    <w:qFormat/>
    <w:rsid w:val="00C223F5"/>
    <w:pPr>
      <w:spacing w:line="360" w:lineRule="auto"/>
      <w:ind w:firstLineChars="200" w:firstLine="200"/>
    </w:pPr>
    <w:rPr>
      <w:rFonts w:ascii="宋体" w:eastAsia="汉鼎简书宋" w:hAnsi="宋体" w:cs="宋体"/>
      <w:sz w:val="24"/>
    </w:rPr>
  </w:style>
  <w:style w:type="character" w:customStyle="1" w:styleId="content">
    <w:name w:val="content"/>
    <w:basedOn w:val="a0"/>
    <w:qFormat/>
    <w:rsid w:val="00C223F5"/>
    <w:rPr>
      <w:color w:val="000000"/>
      <w:sz w:val="21"/>
      <w:szCs w:val="21"/>
    </w:rPr>
  </w:style>
  <w:style w:type="paragraph" w:customStyle="1" w:styleId="Char1CharCharChar">
    <w:name w:val="Char1 Char Char Char"/>
    <w:basedOn w:val="a"/>
    <w:qFormat/>
    <w:rsid w:val="00C223F5"/>
  </w:style>
  <w:style w:type="character" w:customStyle="1" w:styleId="2CharChar2">
    <w:name w:val="标题 2 Char Char2"/>
    <w:basedOn w:val="a0"/>
    <w:qFormat/>
    <w:rsid w:val="00C223F5"/>
    <w:rPr>
      <w:rFonts w:ascii="Arial" w:eastAsia="楷体_GB2312" w:hAnsi="Arial"/>
      <w:bCs/>
      <w:kern w:val="2"/>
      <w:sz w:val="30"/>
      <w:szCs w:val="32"/>
    </w:rPr>
  </w:style>
  <w:style w:type="paragraph" w:customStyle="1" w:styleId="10Char">
    <w:name w:val="10 Char"/>
    <w:basedOn w:val="a"/>
    <w:qFormat/>
    <w:rsid w:val="00C223F5"/>
    <w:rPr>
      <w:rFonts w:ascii="宋体"/>
      <w:color w:val="000000"/>
      <w:sz w:val="24"/>
      <w:szCs w:val="20"/>
    </w:rPr>
  </w:style>
  <w:style w:type="paragraph" w:customStyle="1" w:styleId="afffff3">
    <w:name w:val="表格正文"/>
    <w:basedOn w:val="a"/>
    <w:link w:val="Char5"/>
    <w:qFormat/>
    <w:rsid w:val="00C223F5"/>
    <w:pPr>
      <w:jc w:val="center"/>
    </w:pPr>
    <w:rPr>
      <w:kern w:val="0"/>
      <w:szCs w:val="20"/>
    </w:rPr>
  </w:style>
  <w:style w:type="character" w:customStyle="1" w:styleId="Char5">
    <w:name w:val="表格正文 Char"/>
    <w:basedOn w:val="a0"/>
    <w:link w:val="afffff3"/>
    <w:qFormat/>
    <w:rsid w:val="00C223F5"/>
    <w:rPr>
      <w:rFonts w:eastAsia="宋体"/>
      <w:sz w:val="21"/>
      <w:lang w:val="en-US" w:eastAsia="zh-CN" w:bidi="ar-SA"/>
    </w:rPr>
  </w:style>
  <w:style w:type="character" w:customStyle="1" w:styleId="st1">
    <w:name w:val="st1"/>
    <w:basedOn w:val="a0"/>
    <w:qFormat/>
    <w:rsid w:val="00C223F5"/>
  </w:style>
  <w:style w:type="paragraph" w:customStyle="1" w:styleId="CharCharCharCharCharCharCharCharCharCharCharCharChar">
    <w:name w:val="Char Char Char Char Char Char Char Char Char Char Char Char Char"/>
    <w:basedOn w:val="a"/>
    <w:qFormat/>
    <w:rsid w:val="00C223F5"/>
    <w:rPr>
      <w:rFonts w:ascii="仿宋_GB2312" w:eastAsia="仿宋_GB2312"/>
      <w:sz w:val="32"/>
      <w:szCs w:val="32"/>
    </w:rPr>
  </w:style>
  <w:style w:type="character" w:customStyle="1" w:styleId="Char6">
    <w:name w:val="王正超正文 Char"/>
    <w:basedOn w:val="a0"/>
    <w:link w:val="afffff4"/>
    <w:qFormat/>
    <w:rsid w:val="00C223F5"/>
    <w:rPr>
      <w:rFonts w:ascii="宋体" w:eastAsia="宋体"/>
      <w:sz w:val="24"/>
      <w:szCs w:val="24"/>
      <w:lang w:val="en-US" w:eastAsia="zh-CN" w:bidi="ar-SA"/>
    </w:rPr>
  </w:style>
  <w:style w:type="paragraph" w:customStyle="1" w:styleId="afffff4">
    <w:name w:val="王正超正文"/>
    <w:basedOn w:val="a"/>
    <w:link w:val="Char6"/>
    <w:qFormat/>
    <w:rsid w:val="00C223F5"/>
    <w:pPr>
      <w:spacing w:line="480" w:lineRule="exact"/>
      <w:ind w:firstLineChars="200" w:firstLine="200"/>
    </w:pPr>
    <w:rPr>
      <w:rFonts w:ascii="宋体"/>
      <w:kern w:val="0"/>
      <w:sz w:val="24"/>
    </w:rPr>
  </w:style>
  <w:style w:type="paragraph" w:customStyle="1" w:styleId="afffff5">
    <w:name w:val="王正超表格"/>
    <w:basedOn w:val="afffff4"/>
    <w:next w:val="afffff4"/>
    <w:qFormat/>
    <w:rsid w:val="00C223F5"/>
    <w:pPr>
      <w:adjustRightInd w:val="0"/>
      <w:snapToGrid w:val="0"/>
      <w:spacing w:line="240" w:lineRule="auto"/>
      <w:ind w:firstLineChars="0" w:firstLine="0"/>
      <w:jc w:val="center"/>
    </w:pPr>
    <w:rPr>
      <w:rFonts w:hAnsi="宋体"/>
      <w:sz w:val="21"/>
      <w:szCs w:val="21"/>
    </w:rPr>
  </w:style>
  <w:style w:type="paragraph" w:customStyle="1" w:styleId="font0">
    <w:name w:val="font0"/>
    <w:basedOn w:val="a"/>
    <w:qFormat/>
    <w:rsid w:val="00C223F5"/>
    <w:pPr>
      <w:widowControl/>
      <w:spacing w:before="100" w:beforeAutospacing="1" w:after="100" w:afterAutospacing="1"/>
      <w:jc w:val="left"/>
    </w:pPr>
    <w:rPr>
      <w:rFonts w:ascii="宋体" w:hAnsi="宋体" w:hint="eastAsia"/>
      <w:kern w:val="0"/>
      <w:sz w:val="24"/>
    </w:rPr>
  </w:style>
  <w:style w:type="paragraph" w:customStyle="1" w:styleId="afffff6">
    <w:name w:val="基准页眉样式"/>
    <w:basedOn w:val="a8"/>
    <w:qFormat/>
    <w:rsid w:val="00C223F5"/>
    <w:pPr>
      <w:keepLines/>
      <w:widowControl/>
      <w:tabs>
        <w:tab w:val="center" w:pos="-18551"/>
        <w:tab w:val="right" w:pos="4320"/>
      </w:tabs>
      <w:spacing w:line="240" w:lineRule="atLeast"/>
    </w:pPr>
    <w:rPr>
      <w:rFonts w:ascii="Garamond" w:hAnsi="Garamond"/>
      <w:b w:val="0"/>
      <w:bCs w:val="0"/>
      <w:smallCaps/>
      <w:spacing w:val="15"/>
      <w:kern w:val="0"/>
      <w:szCs w:val="20"/>
    </w:rPr>
  </w:style>
  <w:style w:type="paragraph" w:customStyle="1" w:styleId="xl32">
    <w:name w:val="xl32"/>
    <w:basedOn w:val="a"/>
    <w:qFormat/>
    <w:rsid w:val="00C223F5"/>
    <w:pPr>
      <w:spacing w:before="100" w:beforeAutospacing="1" w:after="100" w:afterAutospacing="1"/>
      <w:jc w:val="center"/>
    </w:pPr>
    <w:rPr>
      <w:rFonts w:ascii="宋体" w:hAnsi="宋体"/>
      <w:color w:val="000000"/>
      <w:sz w:val="24"/>
      <w:szCs w:val="20"/>
    </w:rPr>
  </w:style>
  <w:style w:type="paragraph" w:customStyle="1" w:styleId="3c">
    <w:name w:val="王正超3级"/>
    <w:basedOn w:val="afffff4"/>
    <w:next w:val="afffff4"/>
    <w:link w:val="3Char0"/>
    <w:qFormat/>
    <w:rsid w:val="00C223F5"/>
    <w:pPr>
      <w:outlineLvl w:val="2"/>
    </w:pPr>
    <w:rPr>
      <w:rFonts w:hAnsi="宋体"/>
      <w:b/>
    </w:rPr>
  </w:style>
  <w:style w:type="character" w:customStyle="1" w:styleId="3Char0">
    <w:name w:val="王正超3级 Char"/>
    <w:basedOn w:val="Char6"/>
    <w:link w:val="3c"/>
    <w:qFormat/>
    <w:rsid w:val="00C223F5"/>
    <w:rPr>
      <w:rFonts w:ascii="宋体" w:eastAsia="宋体" w:hAnsi="宋体"/>
      <w:b/>
      <w:sz w:val="24"/>
      <w:szCs w:val="24"/>
      <w:lang w:val="en-US" w:eastAsia="zh-CN" w:bidi="ar-SA"/>
    </w:rPr>
  </w:style>
  <w:style w:type="paragraph" w:customStyle="1" w:styleId="wangzheng">
    <w:name w:val="wangzheng"/>
    <w:basedOn w:val="a"/>
    <w:link w:val="wangzhengCharChar"/>
    <w:qFormat/>
    <w:rsid w:val="00C223F5"/>
    <w:pPr>
      <w:spacing w:line="500" w:lineRule="exact"/>
      <w:ind w:firstLineChars="200" w:firstLine="480"/>
    </w:pPr>
    <w:rPr>
      <w:rFonts w:ascii="宋体" w:hAnsi="宋体" w:cs="宋体"/>
      <w:kern w:val="0"/>
      <w:sz w:val="24"/>
      <w:szCs w:val="20"/>
    </w:rPr>
  </w:style>
  <w:style w:type="character" w:customStyle="1" w:styleId="wangzhengCharChar">
    <w:name w:val="wangzheng Char Char"/>
    <w:basedOn w:val="a0"/>
    <w:link w:val="wangzheng"/>
    <w:qFormat/>
    <w:rsid w:val="00C223F5"/>
    <w:rPr>
      <w:rFonts w:ascii="宋体" w:eastAsia="宋体" w:hAnsi="宋体" w:cs="宋体"/>
      <w:sz w:val="24"/>
      <w:lang w:val="en-US" w:eastAsia="zh-CN" w:bidi="ar-SA"/>
    </w:rPr>
  </w:style>
  <w:style w:type="paragraph" w:customStyle="1" w:styleId="p0">
    <w:name w:val="p0"/>
    <w:basedOn w:val="a"/>
    <w:qFormat/>
    <w:rsid w:val="00C223F5"/>
    <w:pPr>
      <w:widowControl/>
      <w:snapToGrid w:val="0"/>
      <w:spacing w:line="529" w:lineRule="atLeast"/>
      <w:ind w:firstLine="420"/>
    </w:pPr>
    <w:rPr>
      <w:kern w:val="0"/>
      <w:sz w:val="24"/>
      <w:szCs w:val="20"/>
    </w:rPr>
  </w:style>
  <w:style w:type="paragraph" w:customStyle="1" w:styleId="17">
    <w:name w:val="1"/>
    <w:basedOn w:val="a"/>
    <w:next w:val="afd"/>
    <w:qFormat/>
    <w:rsid w:val="00C223F5"/>
    <w:pPr>
      <w:spacing w:line="300" w:lineRule="auto"/>
      <w:ind w:firstLineChars="200" w:firstLine="480"/>
    </w:pPr>
    <w:rPr>
      <w:sz w:val="24"/>
      <w:szCs w:val="20"/>
    </w:rPr>
  </w:style>
  <w:style w:type="paragraph" w:customStyle="1" w:styleId="211112Majorb22CharCharChar2Char3">
    <w:name w:val="样式 标题 2节标题 1.11.1标题2Majorb2标题 2 Char Char Char标题 2 Char3号..."/>
    <w:basedOn w:val="2"/>
    <w:qFormat/>
    <w:rsid w:val="00C223F5"/>
    <w:pPr>
      <w:keepNext w:val="0"/>
      <w:keepLines w:val="0"/>
      <w:numPr>
        <w:ilvl w:val="0"/>
        <w:numId w:val="0"/>
      </w:numPr>
      <w:snapToGrid w:val="0"/>
      <w:spacing w:before="0" w:after="0" w:line="560" w:lineRule="exact"/>
    </w:pPr>
    <w:rPr>
      <w:rFonts w:ascii="Times New Roman" w:eastAsia="黑体" w:hAnsi="Times New Roman" w:cs="宋体"/>
      <w:bCs w:val="0"/>
      <w:color w:val="FF0000"/>
      <w:kern w:val="0"/>
      <w:sz w:val="32"/>
    </w:rPr>
  </w:style>
  <w:style w:type="character" w:customStyle="1" w:styleId="3Char1111CharBSH-3CharTimesNewRoman">
    <w:name w:val="样式 标题 3 Char1条标题1.1.1 CharBSH-3 Char + Times New Roman 小三"/>
    <w:basedOn w:val="a0"/>
    <w:qFormat/>
    <w:rsid w:val="00C223F5"/>
    <w:rPr>
      <w:rFonts w:ascii="Times New Roman" w:eastAsia="黑体" w:hAnsi="Times New Roman" w:cs="Times New Roman" w:hint="default"/>
      <w:bCs/>
      <w:color w:val="008000"/>
      <w:kern w:val="2"/>
      <w:sz w:val="30"/>
      <w:szCs w:val="30"/>
      <w:lang w:val="en-US" w:eastAsia="zh-CN" w:bidi="ar-SA"/>
    </w:rPr>
  </w:style>
  <w:style w:type="paragraph" w:customStyle="1" w:styleId="3111BSH-3">
    <w:name w:val="样式 标题 3条标题1.1.1BSH-3 + 字距调整小四"/>
    <w:basedOn w:val="3"/>
    <w:link w:val="3111BSH-3Char"/>
    <w:qFormat/>
    <w:rsid w:val="00C223F5"/>
    <w:pPr>
      <w:numPr>
        <w:ilvl w:val="0"/>
        <w:numId w:val="0"/>
      </w:numPr>
      <w:spacing w:before="0" w:after="0" w:line="550" w:lineRule="exact"/>
      <w:jc w:val="left"/>
    </w:pPr>
    <w:rPr>
      <w:rFonts w:eastAsia="黑体"/>
      <w:bCs w:val="0"/>
      <w:color w:val="FF0000"/>
      <w:kern w:val="24"/>
      <w:sz w:val="30"/>
      <w:szCs w:val="30"/>
    </w:rPr>
  </w:style>
  <w:style w:type="character" w:customStyle="1" w:styleId="3111BSH-3Char">
    <w:name w:val="样式 标题 3条标题1.1.1BSH-3 + 字距调整小四 Char"/>
    <w:basedOn w:val="a0"/>
    <w:link w:val="3111BSH-3"/>
    <w:qFormat/>
    <w:rsid w:val="00C223F5"/>
    <w:rPr>
      <w:rFonts w:eastAsia="黑体"/>
      <w:color w:val="FF0000"/>
      <w:kern w:val="24"/>
      <w:sz w:val="30"/>
      <w:szCs w:val="30"/>
      <w:lang w:val="en-US" w:eastAsia="zh-CN" w:bidi="ar-SA"/>
    </w:rPr>
  </w:style>
  <w:style w:type="paragraph" w:customStyle="1" w:styleId="xl65">
    <w:name w:val="xl65"/>
    <w:basedOn w:val="a"/>
    <w:qFormat/>
    <w:rsid w:val="00C223F5"/>
    <w:pPr>
      <w:widowControl/>
      <w:pBdr>
        <w:left w:val="single" w:sz="4" w:space="0" w:color="auto"/>
        <w:right w:val="single" w:sz="4" w:space="0" w:color="auto"/>
      </w:pBdr>
      <w:spacing w:before="100" w:beforeAutospacing="1" w:after="100" w:afterAutospacing="1"/>
    </w:pPr>
    <w:rPr>
      <w:rFonts w:ascii="Arial Unicode MS" w:hAnsi="Arial Unicode MS"/>
      <w:kern w:val="0"/>
      <w:szCs w:val="20"/>
    </w:rPr>
  </w:style>
  <w:style w:type="paragraph" w:customStyle="1" w:styleId="2226">
    <w:name w:val="样式 标题 2 + (中文) 宋体 首行缩进:  2 字符 行距: 固定值 26 磅"/>
    <w:basedOn w:val="2"/>
    <w:qFormat/>
    <w:rsid w:val="00C223F5"/>
    <w:pPr>
      <w:numPr>
        <w:ilvl w:val="0"/>
        <w:numId w:val="0"/>
      </w:numPr>
      <w:spacing w:beforeLines="100" w:after="0" w:line="520" w:lineRule="exact"/>
    </w:pPr>
    <w:rPr>
      <w:rFonts w:ascii="Times New Roman" w:eastAsia="宋体" w:hAnsi="Times New Roman" w:cs="宋体"/>
      <w:bCs w:val="0"/>
      <w:sz w:val="28"/>
      <w:szCs w:val="20"/>
    </w:rPr>
  </w:style>
  <w:style w:type="paragraph" w:customStyle="1" w:styleId="30026">
    <w:name w:val="样式 标题 3 + 四号 非加粗 段前: 0 磅 段后: 0 磅 行距: 固定值 26 磅"/>
    <w:basedOn w:val="3"/>
    <w:qFormat/>
    <w:rsid w:val="00C223F5"/>
    <w:pPr>
      <w:numPr>
        <w:ilvl w:val="0"/>
        <w:numId w:val="0"/>
      </w:numPr>
      <w:spacing w:beforeLines="50" w:after="0" w:line="520" w:lineRule="exact"/>
    </w:pPr>
    <w:rPr>
      <w:rFonts w:eastAsia="宋体" w:cs="宋体"/>
      <w:bCs w:val="0"/>
      <w:sz w:val="28"/>
      <w:szCs w:val="20"/>
    </w:rPr>
  </w:style>
  <w:style w:type="paragraph" w:customStyle="1" w:styleId="hb1">
    <w:name w:val="!hb1"/>
    <w:link w:val="hb1Char"/>
    <w:qFormat/>
    <w:rsid w:val="00C223F5"/>
    <w:pPr>
      <w:widowControl w:val="0"/>
      <w:adjustRightInd w:val="0"/>
      <w:spacing w:line="360" w:lineRule="auto"/>
      <w:ind w:firstLineChars="200" w:firstLine="200"/>
      <w:jc w:val="both"/>
      <w:textAlignment w:val="baseline"/>
    </w:pPr>
    <w:rPr>
      <w:rFonts w:cs="黑体"/>
      <w:bCs/>
      <w:kern w:val="44"/>
      <w:sz w:val="24"/>
      <w:szCs w:val="32"/>
    </w:rPr>
  </w:style>
  <w:style w:type="character" w:customStyle="1" w:styleId="hb1Char">
    <w:name w:val="!hb1 Char"/>
    <w:basedOn w:val="a0"/>
    <w:link w:val="hb1"/>
    <w:qFormat/>
    <w:rsid w:val="00C223F5"/>
    <w:rPr>
      <w:rFonts w:cs="黑体"/>
      <w:bCs/>
      <w:kern w:val="44"/>
      <w:sz w:val="24"/>
      <w:szCs w:val="32"/>
      <w:lang w:val="en-US" w:eastAsia="zh-CN" w:bidi="ar-SA"/>
    </w:rPr>
  </w:style>
  <w:style w:type="paragraph" w:customStyle="1" w:styleId="64">
    <w:name w:val="6"/>
    <w:basedOn w:val="a"/>
    <w:next w:val="24"/>
    <w:qFormat/>
    <w:rsid w:val="00C223F5"/>
    <w:pPr>
      <w:ind w:firstLine="555"/>
      <w:jc w:val="left"/>
    </w:pPr>
    <w:rPr>
      <w:sz w:val="28"/>
    </w:rPr>
  </w:style>
  <w:style w:type="paragraph" w:customStyle="1" w:styleId="afffff7">
    <w:name w:val="表号"/>
    <w:qFormat/>
    <w:rsid w:val="00C223F5"/>
    <w:pPr>
      <w:adjustRightInd w:val="0"/>
      <w:snapToGrid w:val="0"/>
      <w:spacing w:line="240" w:lineRule="atLeast"/>
      <w:jc w:val="both"/>
      <w:outlineLvl w:val="4"/>
    </w:pPr>
    <w:rPr>
      <w:sz w:val="24"/>
      <w:szCs w:val="24"/>
    </w:rPr>
  </w:style>
  <w:style w:type="paragraph" w:customStyle="1" w:styleId="afffff8">
    <w:name w:val="新正文（耿）"/>
    <w:basedOn w:val="a"/>
    <w:link w:val="CharChar0"/>
    <w:qFormat/>
    <w:rsid w:val="00C223F5"/>
    <w:pPr>
      <w:suppressAutoHyphens/>
      <w:topLinePunct/>
      <w:adjustRightInd w:val="0"/>
      <w:ind w:firstLineChars="200" w:firstLine="200"/>
      <w:textAlignment w:val="center"/>
    </w:pPr>
    <w:rPr>
      <w:rFonts w:ascii="Arial Narrow" w:hAnsi="Arial Narrow"/>
      <w:snapToGrid w:val="0"/>
      <w:color w:val="000000"/>
      <w:kern w:val="16"/>
      <w:sz w:val="24"/>
    </w:rPr>
  </w:style>
  <w:style w:type="character" w:customStyle="1" w:styleId="CharChar0">
    <w:name w:val="新正文（耿） Char Char"/>
    <w:basedOn w:val="a0"/>
    <w:link w:val="afffff8"/>
    <w:qFormat/>
    <w:rsid w:val="00C223F5"/>
    <w:rPr>
      <w:rFonts w:ascii="Arial Narrow" w:eastAsia="宋体" w:hAnsi="Arial Narrow"/>
      <w:snapToGrid w:val="0"/>
      <w:color w:val="000000"/>
      <w:kern w:val="16"/>
      <w:sz w:val="24"/>
      <w:szCs w:val="24"/>
      <w:lang w:val="en-US" w:eastAsia="zh-CN" w:bidi="ar-SA"/>
    </w:rPr>
  </w:style>
  <w:style w:type="paragraph" w:customStyle="1" w:styleId="CharCharChar1CharCharCharCharCharCharChar">
    <w:name w:val="Char Char Char1 Char Char Char Char Char Char Char"/>
    <w:basedOn w:val="a"/>
    <w:qFormat/>
    <w:rsid w:val="00C223F5"/>
  </w:style>
  <w:style w:type="character" w:customStyle="1" w:styleId="Char7">
    <w:name w:val="纯文本 Char"/>
    <w:basedOn w:val="a0"/>
    <w:qFormat/>
    <w:rsid w:val="00C223F5"/>
    <w:rPr>
      <w:rFonts w:ascii="宋体" w:eastAsia="宋体" w:hAnsi="Courier New"/>
      <w:kern w:val="2"/>
      <w:sz w:val="21"/>
      <w:lang w:val="en-US" w:eastAsia="zh-CN" w:bidi="ar-SA"/>
    </w:rPr>
  </w:style>
  <w:style w:type="paragraph" w:customStyle="1" w:styleId="CharCharCharCharCharCharChar2">
    <w:name w:val="Char Char Char Char Char Char Char2"/>
    <w:basedOn w:val="a"/>
    <w:qFormat/>
    <w:rsid w:val="00C223F5"/>
    <w:rPr>
      <w:rFonts w:ascii="Tahoma" w:hAnsi="Tahoma"/>
      <w:sz w:val="24"/>
      <w:szCs w:val="20"/>
    </w:rPr>
  </w:style>
  <w:style w:type="paragraph" w:customStyle="1" w:styleId="hp">
    <w:name w:val="！hp"/>
    <w:basedOn w:val="a"/>
    <w:qFormat/>
    <w:rsid w:val="00C223F5"/>
    <w:pPr>
      <w:spacing w:line="360" w:lineRule="auto"/>
      <w:ind w:firstLineChars="200" w:firstLine="200"/>
    </w:pPr>
    <w:rPr>
      <w:sz w:val="24"/>
    </w:rPr>
  </w:style>
  <w:style w:type="paragraph" w:customStyle="1" w:styleId="Char30">
    <w:name w:val="Char3"/>
    <w:basedOn w:val="a"/>
    <w:qFormat/>
    <w:rsid w:val="00C223F5"/>
    <w:pPr>
      <w:spacing w:line="360" w:lineRule="auto"/>
      <w:ind w:firstLineChars="200" w:firstLine="200"/>
    </w:pPr>
    <w:rPr>
      <w:rFonts w:ascii="宋体" w:hAnsi="宋体" w:cs="宋体"/>
      <w:sz w:val="24"/>
    </w:rPr>
  </w:style>
  <w:style w:type="paragraph" w:customStyle="1" w:styleId="afffff9">
    <w:name w:val="文本"/>
    <w:basedOn w:val="a"/>
    <w:qFormat/>
    <w:rsid w:val="00C223F5"/>
    <w:pPr>
      <w:adjustRightInd w:val="0"/>
      <w:snapToGrid w:val="0"/>
      <w:spacing w:line="280" w:lineRule="exact"/>
      <w:ind w:firstLineChars="200" w:firstLine="420"/>
    </w:pPr>
    <w:rPr>
      <w:rFonts w:ascii="宋体" w:cs="宋体"/>
      <w:sz w:val="28"/>
      <w:szCs w:val="28"/>
    </w:rPr>
  </w:style>
  <w:style w:type="paragraph" w:customStyle="1" w:styleId="p16">
    <w:name w:val="p16"/>
    <w:basedOn w:val="a"/>
    <w:qFormat/>
    <w:rsid w:val="00C223F5"/>
    <w:pPr>
      <w:widowControl/>
      <w:spacing w:line="360" w:lineRule="auto"/>
      <w:ind w:firstLine="480"/>
    </w:pPr>
    <w:rPr>
      <w:kern w:val="0"/>
      <w:sz w:val="28"/>
      <w:szCs w:val="20"/>
    </w:rPr>
  </w:style>
  <w:style w:type="paragraph" w:customStyle="1" w:styleId="p15">
    <w:name w:val="p15"/>
    <w:basedOn w:val="a"/>
    <w:qFormat/>
    <w:rsid w:val="00C223F5"/>
    <w:pPr>
      <w:widowControl/>
    </w:pPr>
    <w:rPr>
      <w:rFonts w:hAnsi="宋体"/>
      <w:kern w:val="0"/>
      <w:szCs w:val="20"/>
    </w:rPr>
  </w:style>
  <w:style w:type="paragraph" w:customStyle="1" w:styleId="3NewNew">
    <w:name w:val="标题 3 New New"/>
    <w:basedOn w:val="a"/>
    <w:qFormat/>
    <w:rsid w:val="00C223F5"/>
    <w:pPr>
      <w:widowControl/>
      <w:tabs>
        <w:tab w:val="left" w:pos="720"/>
      </w:tabs>
      <w:ind w:left="720" w:hanging="720"/>
      <w:jc w:val="left"/>
    </w:pPr>
    <w:rPr>
      <w:kern w:val="0"/>
      <w:sz w:val="24"/>
    </w:rPr>
  </w:style>
  <w:style w:type="paragraph" w:customStyle="1" w:styleId="afffffa">
    <w:name w:val="清除格式"/>
    <w:basedOn w:val="a"/>
    <w:qFormat/>
    <w:rsid w:val="00C223F5"/>
    <w:pPr>
      <w:ind w:leftChars="-50" w:left="-50" w:hangingChars="50" w:hanging="105"/>
      <w:jc w:val="center"/>
    </w:pPr>
    <w:rPr>
      <w:rFonts w:ascii="宋体"/>
      <w:b/>
      <w:color w:val="000000"/>
      <w:szCs w:val="21"/>
    </w:rPr>
  </w:style>
  <w:style w:type="paragraph" w:customStyle="1" w:styleId="3333">
    <w:name w:val="3333"/>
    <w:basedOn w:val="a"/>
    <w:next w:val="aff1"/>
    <w:link w:val="3333Char"/>
    <w:qFormat/>
    <w:rsid w:val="00C223F5"/>
    <w:pPr>
      <w:spacing w:line="360" w:lineRule="auto"/>
    </w:pPr>
    <w:rPr>
      <w:rFonts w:ascii="宋体" w:hAnsi="Courier New" w:cs="黑体"/>
      <w:sz w:val="24"/>
      <w:szCs w:val="21"/>
    </w:rPr>
  </w:style>
  <w:style w:type="character" w:customStyle="1" w:styleId="3333Char">
    <w:name w:val="3333 Char"/>
    <w:basedOn w:val="a0"/>
    <w:link w:val="3333"/>
    <w:qFormat/>
    <w:rsid w:val="00C223F5"/>
    <w:rPr>
      <w:rFonts w:ascii="宋体" w:eastAsia="宋体" w:hAnsi="Courier New" w:cs="黑体"/>
      <w:kern w:val="2"/>
      <w:sz w:val="24"/>
      <w:szCs w:val="21"/>
      <w:lang w:val="en-US" w:eastAsia="zh-CN" w:bidi="ar-SA"/>
    </w:rPr>
  </w:style>
  <w:style w:type="paragraph" w:customStyle="1" w:styleId="250">
    <w:name w:val="样式 宋体 四号 行距: 固定值 25 磅"/>
    <w:basedOn w:val="a"/>
    <w:qFormat/>
    <w:rsid w:val="00C223F5"/>
    <w:pPr>
      <w:spacing w:line="500" w:lineRule="exact"/>
      <w:ind w:firstLineChars="200" w:firstLine="560"/>
    </w:pPr>
    <w:rPr>
      <w:rFonts w:ascii="宋体" w:hAnsi="宋体"/>
      <w:sz w:val="24"/>
    </w:rPr>
  </w:style>
  <w:style w:type="character" w:customStyle="1" w:styleId="Footer1Char">
    <w:name w:val="Footer1 Char"/>
    <w:basedOn w:val="a0"/>
    <w:qFormat/>
    <w:rsid w:val="00C223F5"/>
    <w:rPr>
      <w:rFonts w:eastAsia="宋体"/>
      <w:kern w:val="2"/>
      <w:sz w:val="18"/>
      <w:szCs w:val="18"/>
      <w:lang w:val="en-US" w:eastAsia="zh-CN" w:bidi="ar-SA"/>
    </w:rPr>
  </w:style>
  <w:style w:type="paragraph" w:customStyle="1" w:styleId="YZMCharCharCharChar">
    <w:name w:val="YZM段落内容 Char Char Char Char"/>
    <w:basedOn w:val="a"/>
    <w:qFormat/>
    <w:rsid w:val="00C223F5"/>
    <w:pPr>
      <w:overflowPunct w:val="0"/>
      <w:topLinePunct/>
      <w:adjustRightInd w:val="0"/>
      <w:spacing w:line="530" w:lineRule="exact"/>
      <w:jc w:val="center"/>
      <w:textAlignment w:val="baseline"/>
    </w:pPr>
    <w:rPr>
      <w:rFonts w:ascii="黑体" w:eastAsia="黑体" w:hAnsi="宋体"/>
      <w:b/>
      <w:kern w:val="0"/>
      <w:sz w:val="28"/>
      <w:szCs w:val="28"/>
    </w:rPr>
  </w:style>
  <w:style w:type="paragraph" w:customStyle="1" w:styleId="e">
    <w:name w:val="e"/>
    <w:basedOn w:val="a"/>
    <w:qFormat/>
    <w:rsid w:val="00C223F5"/>
    <w:pPr>
      <w:adjustRightInd w:val="0"/>
      <w:jc w:val="left"/>
      <w:textAlignment w:val="baseline"/>
    </w:pPr>
    <w:rPr>
      <w:rFonts w:ascii="宋体" w:hAnsi="宋体"/>
      <w:kern w:val="0"/>
      <w:szCs w:val="20"/>
    </w:rPr>
  </w:style>
  <w:style w:type="character" w:customStyle="1" w:styleId="3-Char">
    <w:name w:val="标题 3-王鹏 Char"/>
    <w:basedOn w:val="a0"/>
    <w:qFormat/>
    <w:rsid w:val="00C223F5"/>
    <w:rPr>
      <w:b/>
      <w:bCs/>
      <w:kern w:val="2"/>
      <w:sz w:val="32"/>
      <w:szCs w:val="32"/>
    </w:rPr>
  </w:style>
  <w:style w:type="paragraph" w:customStyle="1" w:styleId="CharChar6CharCharCharChar">
    <w:name w:val="Char Char6 Char Char Char Char"/>
    <w:basedOn w:val="a"/>
    <w:next w:val="a"/>
    <w:qFormat/>
    <w:rsid w:val="00C223F5"/>
    <w:pPr>
      <w:spacing w:line="360" w:lineRule="auto"/>
      <w:ind w:firstLineChars="200" w:firstLine="200"/>
    </w:pPr>
    <w:rPr>
      <w:rFonts w:ascii="宋体" w:eastAsia="仿宋_GB2312" w:hAnsi="宋体" w:cs="宋体"/>
      <w:sz w:val="30"/>
    </w:rPr>
  </w:style>
  <w:style w:type="character" w:customStyle="1" w:styleId="Char8">
    <w:name w:val="正文 Char"/>
    <w:basedOn w:val="a0"/>
    <w:qFormat/>
    <w:rsid w:val="00C223F5"/>
    <w:rPr>
      <w:rFonts w:ascii="Times New Roman" w:hAnsi="Times New Roman" w:cs="Courier New"/>
      <w:kern w:val="2"/>
      <w:sz w:val="24"/>
      <w:szCs w:val="21"/>
    </w:rPr>
  </w:style>
  <w:style w:type="paragraph" w:customStyle="1" w:styleId="afffffb">
    <w:name w:val="标题三"/>
    <w:basedOn w:val="3"/>
    <w:next w:val="a"/>
    <w:link w:val="Char9"/>
    <w:qFormat/>
    <w:rsid w:val="00C223F5"/>
    <w:pPr>
      <w:widowControl/>
      <w:numPr>
        <w:ilvl w:val="0"/>
        <w:numId w:val="0"/>
      </w:numPr>
      <w:spacing w:before="0" w:after="0" w:line="360" w:lineRule="auto"/>
    </w:pPr>
    <w:rPr>
      <w:rFonts w:eastAsia="宋体"/>
      <w:b/>
      <w:bCs w:val="0"/>
    </w:rPr>
  </w:style>
  <w:style w:type="character" w:customStyle="1" w:styleId="Char9">
    <w:name w:val="标题三 Char"/>
    <w:basedOn w:val="a0"/>
    <w:link w:val="afffffb"/>
    <w:qFormat/>
    <w:rsid w:val="00C223F5"/>
    <w:rPr>
      <w:rFonts w:eastAsia="宋体"/>
      <w:b/>
      <w:kern w:val="2"/>
      <w:sz w:val="24"/>
      <w:szCs w:val="32"/>
      <w:lang w:val="en-US" w:eastAsia="zh-CN" w:bidi="ar-SA"/>
    </w:rPr>
  </w:style>
  <w:style w:type="character" w:customStyle="1" w:styleId="c1">
    <w:name w:val="c1"/>
    <w:basedOn w:val="a0"/>
    <w:qFormat/>
    <w:rsid w:val="00C223F5"/>
    <w:rPr>
      <w:rFonts w:ascii="ˎ̥" w:hAnsi="ˎ̥" w:hint="default"/>
      <w:color w:val="000000"/>
      <w:sz w:val="21"/>
      <w:szCs w:val="21"/>
      <w:u w:val="none"/>
    </w:rPr>
  </w:style>
  <w:style w:type="character" w:customStyle="1" w:styleId="BGCharChar">
    <w:name w:val="!BG_正文 Char Char"/>
    <w:basedOn w:val="a0"/>
    <w:link w:val="BG"/>
    <w:qFormat/>
    <w:rsid w:val="00C223F5"/>
    <w:rPr>
      <w:kern w:val="2"/>
      <w:sz w:val="24"/>
      <w:szCs w:val="24"/>
    </w:rPr>
  </w:style>
  <w:style w:type="paragraph" w:customStyle="1" w:styleId="BG">
    <w:name w:val="!BG_正文"/>
    <w:basedOn w:val="a"/>
    <w:link w:val="BGCharChar"/>
    <w:qFormat/>
    <w:rsid w:val="00C223F5"/>
    <w:pPr>
      <w:tabs>
        <w:tab w:val="left" w:pos="360"/>
        <w:tab w:val="left" w:pos="540"/>
      </w:tabs>
      <w:spacing w:line="360" w:lineRule="auto"/>
      <w:ind w:firstLineChars="200" w:firstLine="200"/>
    </w:pPr>
    <w:rPr>
      <w:sz w:val="24"/>
    </w:rPr>
  </w:style>
  <w:style w:type="paragraph" w:customStyle="1" w:styleId="BG0">
    <w:name w:val="!BG_表注"/>
    <w:basedOn w:val="a"/>
    <w:link w:val="BGChar"/>
    <w:qFormat/>
    <w:rsid w:val="00C223F5"/>
    <w:pPr>
      <w:jc w:val="center"/>
    </w:pPr>
    <w:rPr>
      <w:b/>
      <w:sz w:val="24"/>
    </w:rPr>
  </w:style>
  <w:style w:type="character" w:customStyle="1" w:styleId="BGChar">
    <w:name w:val="!BG_表注 Char"/>
    <w:basedOn w:val="a0"/>
    <w:link w:val="BG0"/>
    <w:qFormat/>
    <w:rsid w:val="00C223F5"/>
    <w:rPr>
      <w:b/>
      <w:kern w:val="2"/>
      <w:sz w:val="24"/>
      <w:szCs w:val="24"/>
    </w:rPr>
  </w:style>
  <w:style w:type="paragraph" w:customStyle="1" w:styleId="afffffc">
    <w:name w:val="煤炭资源普查报告格式"/>
    <w:basedOn w:val="a"/>
    <w:qFormat/>
    <w:rsid w:val="00C223F5"/>
    <w:pPr>
      <w:spacing w:line="500" w:lineRule="exact"/>
      <w:ind w:firstLineChars="200" w:firstLine="200"/>
    </w:pPr>
    <w:rPr>
      <w:sz w:val="28"/>
      <w:szCs w:val="28"/>
    </w:rPr>
  </w:style>
  <w:style w:type="paragraph" w:customStyle="1" w:styleId="3CharChar1110311111">
    <w:name w:val="样式 样式 标题 3Char Char小标题小节标题条，（一）一行标题1.1.1标题03条标题1.1.1白鹤滩标...1 + 右...1"/>
    <w:basedOn w:val="a"/>
    <w:qFormat/>
    <w:rsid w:val="00C223F5"/>
    <w:pPr>
      <w:keepNext/>
      <w:keepLines/>
      <w:tabs>
        <w:tab w:val="left" w:pos="735"/>
        <w:tab w:val="left" w:pos="1740"/>
      </w:tabs>
      <w:spacing w:line="360" w:lineRule="auto"/>
      <w:ind w:left="1740" w:hanging="420"/>
      <w:outlineLvl w:val="2"/>
    </w:pPr>
    <w:rPr>
      <w:rFonts w:cs="宋体"/>
      <w:b/>
      <w:bCs/>
      <w:sz w:val="28"/>
      <w:szCs w:val="28"/>
    </w:rPr>
  </w:style>
  <w:style w:type="paragraph" w:customStyle="1" w:styleId="0905">
    <w:name w:val="0905正文样式"/>
    <w:basedOn w:val="a"/>
    <w:link w:val="0905Char"/>
    <w:qFormat/>
    <w:rsid w:val="00C223F5"/>
    <w:pPr>
      <w:adjustRightInd w:val="0"/>
      <w:snapToGrid w:val="0"/>
      <w:spacing w:line="336" w:lineRule="auto"/>
      <w:ind w:firstLineChars="200" w:firstLine="200"/>
    </w:pPr>
    <w:rPr>
      <w:rFonts w:hAnsi="宋体"/>
      <w:sz w:val="28"/>
      <w:szCs w:val="28"/>
    </w:rPr>
  </w:style>
  <w:style w:type="character" w:customStyle="1" w:styleId="0905Char">
    <w:name w:val="0905正文样式 Char"/>
    <w:link w:val="0905"/>
    <w:qFormat/>
    <w:rsid w:val="00C223F5"/>
    <w:rPr>
      <w:rFonts w:hAnsi="宋体"/>
      <w:kern w:val="2"/>
      <w:sz w:val="28"/>
      <w:szCs w:val="28"/>
    </w:rPr>
  </w:style>
  <w:style w:type="character" w:customStyle="1" w:styleId="afffffd">
    <w:name w:val="链接"/>
    <w:basedOn w:val="a0"/>
    <w:qFormat/>
    <w:rsid w:val="00C223F5"/>
    <w:rPr>
      <w:rFonts w:ascii="Times New Roman" w:eastAsia="宋体"/>
      <w:color w:val="0000FF"/>
      <w:sz w:val="21"/>
      <w:u w:val="single" w:color="0000FF"/>
      <w:vertAlign w:val="baseline"/>
      <w:lang w:val="en-US" w:eastAsia="zh-CN"/>
    </w:rPr>
  </w:style>
  <w:style w:type="character" w:customStyle="1" w:styleId="datatitle1">
    <w:name w:val="datatitle1"/>
    <w:basedOn w:val="a0"/>
    <w:qFormat/>
    <w:rsid w:val="00C223F5"/>
    <w:rPr>
      <w:b/>
      <w:bCs/>
      <w:color w:val="10619F"/>
      <w:sz w:val="21"/>
      <w:szCs w:val="21"/>
    </w:rPr>
  </w:style>
  <w:style w:type="character" w:customStyle="1" w:styleId="3333CharChar">
    <w:name w:val="3333 Char Char"/>
    <w:basedOn w:val="a0"/>
    <w:qFormat/>
    <w:rsid w:val="00C223F5"/>
    <w:rPr>
      <w:rFonts w:ascii="宋体" w:eastAsia="宋体" w:hAnsi="Courier New" w:cs="黑体"/>
      <w:kern w:val="2"/>
      <w:sz w:val="24"/>
      <w:szCs w:val="21"/>
      <w:lang w:val="en-US" w:eastAsia="zh-CN" w:bidi="ar-SA"/>
    </w:rPr>
  </w:style>
  <w:style w:type="character" w:customStyle="1" w:styleId="Chara">
    <w:name w:val="引用 Char"/>
    <w:basedOn w:val="a0"/>
    <w:qFormat/>
    <w:rsid w:val="00C223F5"/>
    <w:rPr>
      <w:rFonts w:ascii="Calibri" w:hAnsi="Calibri"/>
      <w:i/>
      <w:iCs/>
      <w:color w:val="000000"/>
      <w:sz w:val="22"/>
      <w:szCs w:val="22"/>
      <w:lang w:eastAsia="en-US" w:bidi="en-US"/>
    </w:rPr>
  </w:style>
  <w:style w:type="paragraph" w:styleId="afffffe">
    <w:name w:val="Quote"/>
    <w:basedOn w:val="a"/>
    <w:next w:val="a"/>
    <w:link w:val="affffff"/>
    <w:qFormat/>
    <w:rsid w:val="00C223F5"/>
    <w:pPr>
      <w:widowControl/>
      <w:spacing w:after="200" w:line="276" w:lineRule="auto"/>
      <w:jc w:val="left"/>
    </w:pPr>
    <w:rPr>
      <w:rFonts w:ascii="Calibri" w:hAnsi="Calibri"/>
      <w:i/>
      <w:iCs/>
      <w:color w:val="000000"/>
      <w:kern w:val="0"/>
      <w:sz w:val="22"/>
      <w:szCs w:val="22"/>
      <w:lang w:eastAsia="en-US" w:bidi="en-US"/>
    </w:rPr>
  </w:style>
  <w:style w:type="character" w:customStyle="1" w:styleId="affffff">
    <w:name w:val="引用 字符"/>
    <w:basedOn w:val="a0"/>
    <w:link w:val="afffffe"/>
    <w:qFormat/>
    <w:rsid w:val="00C223F5"/>
    <w:rPr>
      <w:i/>
      <w:iCs/>
      <w:color w:val="000000"/>
      <w:kern w:val="2"/>
      <w:sz w:val="21"/>
      <w:szCs w:val="24"/>
    </w:rPr>
  </w:style>
  <w:style w:type="character" w:customStyle="1" w:styleId="001CharChar">
    <w:name w:val="001 Char Char"/>
    <w:basedOn w:val="a0"/>
    <w:qFormat/>
    <w:rsid w:val="00C223F5"/>
    <w:rPr>
      <w:snapToGrid w:val="0"/>
      <w:spacing w:val="-4"/>
      <w:kern w:val="2"/>
      <w:sz w:val="28"/>
    </w:rPr>
  </w:style>
  <w:style w:type="character" w:customStyle="1" w:styleId="CharChar8">
    <w:name w:val="Char Char8"/>
    <w:basedOn w:val="a0"/>
    <w:qFormat/>
    <w:rsid w:val="00C223F5"/>
    <w:rPr>
      <w:rFonts w:eastAsia="宋体"/>
      <w:b/>
      <w:bCs/>
      <w:kern w:val="2"/>
      <w:sz w:val="21"/>
      <w:szCs w:val="24"/>
      <w:lang w:val="en-US" w:eastAsia="zh-CN" w:bidi="ar-SA"/>
    </w:rPr>
  </w:style>
  <w:style w:type="character" w:customStyle="1" w:styleId="1Char">
    <w:name w:val="页眉1 Char"/>
    <w:qFormat/>
    <w:rsid w:val="00C223F5"/>
    <w:rPr>
      <w:rFonts w:eastAsia="宋体"/>
      <w:kern w:val="2"/>
      <w:sz w:val="18"/>
      <w:szCs w:val="18"/>
      <w:lang w:val="en-US" w:eastAsia="zh-CN" w:bidi="ar-SA"/>
    </w:rPr>
  </w:style>
  <w:style w:type="character" w:customStyle="1" w:styleId="zwCharChar">
    <w:name w:val="zw Char Char"/>
    <w:link w:val="zw"/>
    <w:qFormat/>
    <w:rsid w:val="00C223F5"/>
    <w:rPr>
      <w:rFonts w:cs="宋体"/>
      <w:kern w:val="2"/>
      <w:sz w:val="28"/>
    </w:rPr>
  </w:style>
  <w:style w:type="paragraph" w:customStyle="1" w:styleId="zw">
    <w:name w:val="zw"/>
    <w:basedOn w:val="a"/>
    <w:link w:val="zwCharChar"/>
    <w:qFormat/>
    <w:rsid w:val="00C223F5"/>
    <w:pPr>
      <w:adjustRightInd w:val="0"/>
      <w:snapToGrid w:val="0"/>
      <w:spacing w:line="360" w:lineRule="auto"/>
      <w:ind w:firstLineChars="200" w:firstLine="560"/>
    </w:pPr>
    <w:rPr>
      <w:sz w:val="28"/>
      <w:szCs w:val="20"/>
    </w:rPr>
  </w:style>
  <w:style w:type="character" w:customStyle="1" w:styleId="110">
    <w:name w:val="纯文本11"/>
    <w:basedOn w:val="a0"/>
    <w:qFormat/>
    <w:rsid w:val="00C223F5"/>
    <w:rPr>
      <w:rFonts w:ascii="宋体" w:eastAsia="宋体" w:hAnsi="Courier New" w:cs="Courier New"/>
      <w:kern w:val="2"/>
      <w:sz w:val="21"/>
      <w:szCs w:val="21"/>
      <w:lang w:val="en-US" w:eastAsia="zh-CN" w:bidi="ar-SA"/>
    </w:rPr>
  </w:style>
  <w:style w:type="character" w:customStyle="1" w:styleId="hb1CharChar">
    <w:name w:val="!hb1 Char Char"/>
    <w:basedOn w:val="a0"/>
    <w:qFormat/>
    <w:rsid w:val="00C223F5"/>
    <w:rPr>
      <w:rFonts w:cs="黑体"/>
      <w:bCs/>
      <w:kern w:val="44"/>
      <w:sz w:val="24"/>
      <w:szCs w:val="32"/>
      <w:lang w:val="en-US" w:eastAsia="zh-CN" w:bidi="ar-SA"/>
    </w:rPr>
  </w:style>
  <w:style w:type="character" w:customStyle="1" w:styleId="0856615CharChar">
    <w:name w:val="样式 小四 非加粗 首行缩进:  0.85 厘米 段前: 6 磅 段后: 6 磅 行距: 1.5 倍行距 Char Char"/>
    <w:basedOn w:val="a0"/>
    <w:link w:val="0856615"/>
    <w:qFormat/>
    <w:rsid w:val="00C223F5"/>
    <w:rPr>
      <w:rFonts w:cs="宋体"/>
      <w:kern w:val="2"/>
      <w:sz w:val="28"/>
      <w:szCs w:val="28"/>
    </w:rPr>
  </w:style>
  <w:style w:type="paragraph" w:customStyle="1" w:styleId="0856615">
    <w:name w:val="样式 小四 非加粗 首行缩进:  0.85 厘米 段前: 6 磅 段后: 6 磅 行距: 1.5 倍行距"/>
    <w:basedOn w:val="a"/>
    <w:link w:val="0856615CharChar"/>
    <w:qFormat/>
    <w:rsid w:val="00C223F5"/>
    <w:pPr>
      <w:spacing w:line="500" w:lineRule="atLeast"/>
      <w:ind w:firstLine="561"/>
    </w:pPr>
    <w:rPr>
      <w:rFonts w:cs="宋体"/>
      <w:sz w:val="28"/>
      <w:szCs w:val="28"/>
    </w:rPr>
  </w:style>
  <w:style w:type="paragraph" w:customStyle="1" w:styleId="CC">
    <w:name w:val="CC地震报告表格名式样"/>
    <w:basedOn w:val="a"/>
    <w:qFormat/>
    <w:rsid w:val="00C223F5"/>
    <w:pPr>
      <w:spacing w:afterLines="50" w:line="460" w:lineRule="exact"/>
      <w:jc w:val="center"/>
    </w:pPr>
    <w:rPr>
      <w:rFonts w:eastAsia="黑体" w:cs="Arial"/>
      <w:bCs/>
      <w:w w:val="90"/>
      <w:szCs w:val="32"/>
    </w:rPr>
  </w:style>
  <w:style w:type="paragraph" w:customStyle="1" w:styleId="Char21">
    <w:name w:val="Char21"/>
    <w:basedOn w:val="a"/>
    <w:qFormat/>
    <w:rsid w:val="00C223F5"/>
  </w:style>
  <w:style w:type="paragraph" w:customStyle="1" w:styleId="CharCharChar1CharCharCharChar2">
    <w:name w:val="Char Char Char1 Char Char Char Char2"/>
    <w:basedOn w:val="a"/>
    <w:next w:val="a"/>
    <w:qFormat/>
    <w:rsid w:val="00C223F5"/>
    <w:pPr>
      <w:spacing w:line="360" w:lineRule="auto"/>
      <w:ind w:firstLineChars="200" w:firstLine="200"/>
    </w:pPr>
    <w:rPr>
      <w:rFonts w:ascii="宋体" w:eastAsia="汉鼎简书宋" w:hAnsi="宋体" w:cs="宋体"/>
      <w:sz w:val="24"/>
    </w:rPr>
  </w:style>
  <w:style w:type="paragraph" w:customStyle="1" w:styleId="CharCharChar1Char4">
    <w:name w:val="Char Char Char1 Char4"/>
    <w:basedOn w:val="a"/>
    <w:next w:val="a"/>
    <w:qFormat/>
    <w:rsid w:val="00C223F5"/>
    <w:pPr>
      <w:spacing w:line="360" w:lineRule="auto"/>
      <w:ind w:firstLineChars="200" w:firstLine="200"/>
    </w:pPr>
    <w:rPr>
      <w:rFonts w:ascii="宋体" w:eastAsia="汉鼎简书宋" w:hAnsi="宋体" w:cs="宋体"/>
      <w:sz w:val="24"/>
    </w:rPr>
  </w:style>
  <w:style w:type="paragraph" w:customStyle="1" w:styleId="CharCharChar1CharCharCharChar1">
    <w:name w:val="Char Char Char1 Char Char Char Char1"/>
    <w:basedOn w:val="a"/>
    <w:next w:val="a"/>
    <w:qFormat/>
    <w:rsid w:val="00C223F5"/>
    <w:pPr>
      <w:spacing w:line="360" w:lineRule="auto"/>
      <w:ind w:firstLineChars="200" w:firstLine="200"/>
    </w:pPr>
    <w:rPr>
      <w:rFonts w:ascii="宋体" w:eastAsia="汉鼎简书宋" w:hAnsi="宋体" w:cs="宋体"/>
      <w:sz w:val="24"/>
    </w:rPr>
  </w:style>
  <w:style w:type="paragraph" w:customStyle="1" w:styleId="CharCharCharChar">
    <w:name w:val="表文字 Char Char Char Char"/>
    <w:link w:val="CharCharCharCharChar"/>
    <w:qFormat/>
    <w:rsid w:val="00C223F5"/>
    <w:pPr>
      <w:spacing w:line="300" w:lineRule="exact"/>
    </w:pPr>
    <w:rPr>
      <w:kern w:val="2"/>
      <w:sz w:val="21"/>
      <w:szCs w:val="21"/>
    </w:rPr>
  </w:style>
  <w:style w:type="character" w:customStyle="1" w:styleId="CharCharCharCharChar">
    <w:name w:val="表文字 Char Char Char Char Char"/>
    <w:link w:val="CharCharCharChar"/>
    <w:qFormat/>
    <w:rsid w:val="00C223F5"/>
    <w:rPr>
      <w:kern w:val="2"/>
      <w:sz w:val="21"/>
      <w:szCs w:val="21"/>
    </w:rPr>
  </w:style>
  <w:style w:type="paragraph" w:customStyle="1" w:styleId="indent1">
    <w:name w:val="indent1"/>
    <w:basedOn w:val="a"/>
    <w:qFormat/>
    <w:rsid w:val="00C223F5"/>
    <w:pPr>
      <w:widowControl/>
      <w:spacing w:before="120" w:after="120" w:line="336" w:lineRule="auto"/>
      <w:ind w:firstLine="480"/>
      <w:jc w:val="left"/>
    </w:pPr>
    <w:rPr>
      <w:rFonts w:ascii="Arial" w:hAnsi="Arial" w:cs="Arial"/>
      <w:kern w:val="0"/>
      <w:szCs w:val="21"/>
    </w:rPr>
  </w:style>
  <w:style w:type="paragraph" w:customStyle="1" w:styleId="affffff0">
    <w:name w:val="地质报告第  章"/>
    <w:basedOn w:val="a"/>
    <w:qFormat/>
    <w:rsid w:val="00C223F5"/>
    <w:pPr>
      <w:spacing w:before="200" w:after="160"/>
      <w:jc w:val="center"/>
    </w:pPr>
    <w:rPr>
      <w:rFonts w:ascii="黑体" w:eastAsia="黑体"/>
      <w:b/>
      <w:spacing w:val="-20"/>
      <w:w w:val="150"/>
      <w:kern w:val="13"/>
      <w:sz w:val="36"/>
      <w:szCs w:val="20"/>
    </w:rPr>
  </w:style>
  <w:style w:type="paragraph" w:customStyle="1" w:styleId="CM61">
    <w:name w:val="CM61"/>
    <w:basedOn w:val="Default"/>
    <w:next w:val="Default"/>
    <w:qFormat/>
    <w:rsid w:val="00C223F5"/>
    <w:pPr>
      <w:spacing w:after="113"/>
    </w:pPr>
    <w:rPr>
      <w:rFonts w:cs="Times New Roman"/>
      <w:color w:val="auto"/>
    </w:rPr>
  </w:style>
  <w:style w:type="paragraph" w:customStyle="1" w:styleId="222">
    <w:name w:val="222"/>
    <w:basedOn w:val="a"/>
    <w:next w:val="afd"/>
    <w:qFormat/>
    <w:rsid w:val="00C223F5"/>
    <w:pPr>
      <w:spacing w:line="300" w:lineRule="auto"/>
      <w:ind w:firstLine="482"/>
      <w:outlineLvl w:val="2"/>
    </w:pPr>
    <w:rPr>
      <w:rFonts w:eastAsia="华文细黑"/>
      <w:sz w:val="24"/>
      <w:szCs w:val="20"/>
    </w:rPr>
  </w:style>
  <w:style w:type="paragraph" w:customStyle="1" w:styleId="CM64">
    <w:name w:val="CM64"/>
    <w:basedOn w:val="Default"/>
    <w:next w:val="Default"/>
    <w:qFormat/>
    <w:rsid w:val="00C223F5"/>
    <w:pPr>
      <w:spacing w:after="178"/>
    </w:pPr>
    <w:rPr>
      <w:rFonts w:cs="Times New Roman"/>
      <w:color w:val="auto"/>
    </w:rPr>
  </w:style>
  <w:style w:type="paragraph" w:customStyle="1" w:styleId="CM5">
    <w:name w:val="CM5"/>
    <w:basedOn w:val="Default"/>
    <w:next w:val="Default"/>
    <w:qFormat/>
    <w:rsid w:val="00C223F5"/>
    <w:pPr>
      <w:spacing w:line="468" w:lineRule="atLeast"/>
    </w:pPr>
    <w:rPr>
      <w:rFonts w:cs="Times New Roman"/>
      <w:color w:val="auto"/>
    </w:rPr>
  </w:style>
  <w:style w:type="paragraph" w:customStyle="1" w:styleId="CM22">
    <w:name w:val="CM22"/>
    <w:basedOn w:val="Default"/>
    <w:next w:val="Default"/>
    <w:qFormat/>
    <w:rsid w:val="00C223F5"/>
    <w:rPr>
      <w:rFonts w:cs="Times New Roman"/>
      <w:color w:val="auto"/>
    </w:rPr>
  </w:style>
  <w:style w:type="paragraph" w:customStyle="1" w:styleId="TOC10">
    <w:name w:val="TOC 标题1"/>
    <w:basedOn w:val="1"/>
    <w:next w:val="a"/>
    <w:qFormat/>
    <w:rsid w:val="00C223F5"/>
    <w:pPr>
      <w:widowControl/>
      <w:numPr>
        <w:numId w:val="0"/>
      </w:numPr>
      <w:spacing w:before="480" w:after="0" w:line="276" w:lineRule="auto"/>
      <w:jc w:val="left"/>
      <w:outlineLvl w:val="9"/>
    </w:pPr>
    <w:rPr>
      <w:rFonts w:ascii="Cambria" w:eastAsia="宋体" w:hAnsi="Cambria"/>
      <w:b/>
      <w:color w:val="365F91"/>
      <w:kern w:val="0"/>
      <w:sz w:val="28"/>
      <w:szCs w:val="28"/>
    </w:rPr>
  </w:style>
  <w:style w:type="paragraph" w:customStyle="1" w:styleId="CharCharCharCharCharCharCharCharCharCharCharCharChar2">
    <w:name w:val="Char Char Char Char Char Char Char Char Char Char Char Char Char2"/>
    <w:basedOn w:val="a"/>
    <w:qFormat/>
    <w:rsid w:val="00C223F5"/>
    <w:rPr>
      <w:rFonts w:ascii="仿宋_GB2312" w:eastAsia="仿宋_GB2312"/>
      <w:sz w:val="32"/>
      <w:szCs w:val="32"/>
    </w:rPr>
  </w:style>
  <w:style w:type="paragraph" w:customStyle="1" w:styleId="CharCharCharCharChar2CharCharCharChar">
    <w:name w:val="Char Char Char Char Char2 Char Char Char Char"/>
    <w:basedOn w:val="a"/>
    <w:qFormat/>
    <w:rsid w:val="00C223F5"/>
    <w:pPr>
      <w:adjustRightInd w:val="0"/>
      <w:snapToGrid w:val="0"/>
      <w:spacing w:line="360" w:lineRule="auto"/>
      <w:ind w:firstLineChars="200" w:firstLine="200"/>
    </w:pPr>
    <w:rPr>
      <w:szCs w:val="20"/>
    </w:rPr>
  </w:style>
  <w:style w:type="paragraph" w:customStyle="1" w:styleId="CharCharCharCharCharCharChar1">
    <w:name w:val="Char Char Char Char Char Char Char1"/>
    <w:basedOn w:val="a"/>
    <w:qFormat/>
    <w:rsid w:val="00C223F5"/>
    <w:rPr>
      <w:rFonts w:ascii="Tahoma" w:hAnsi="Tahoma" w:cs="仿宋_GB2312"/>
      <w:sz w:val="24"/>
      <w:szCs w:val="28"/>
    </w:rPr>
  </w:style>
  <w:style w:type="paragraph" w:customStyle="1" w:styleId="CharCharCharCharChar2CharCharCharChar1">
    <w:name w:val="Char Char Char Char Char2 Char Char Char Char1"/>
    <w:basedOn w:val="a"/>
    <w:qFormat/>
    <w:rsid w:val="00C223F5"/>
    <w:pPr>
      <w:adjustRightInd w:val="0"/>
      <w:snapToGrid w:val="0"/>
      <w:spacing w:line="360" w:lineRule="auto"/>
      <w:ind w:firstLineChars="200" w:firstLine="200"/>
    </w:pPr>
    <w:rPr>
      <w:szCs w:val="20"/>
    </w:rPr>
  </w:style>
  <w:style w:type="paragraph" w:customStyle="1" w:styleId="reader-word-layer">
    <w:name w:val="reader-word-layer"/>
    <w:basedOn w:val="a"/>
    <w:qFormat/>
    <w:rsid w:val="00C223F5"/>
    <w:pPr>
      <w:widowControl/>
      <w:spacing w:before="100" w:beforeAutospacing="1" w:after="100" w:afterAutospacing="1"/>
      <w:jc w:val="left"/>
    </w:pPr>
    <w:rPr>
      <w:rFonts w:ascii="宋体" w:hAnsi="宋体" w:cs="宋体"/>
      <w:kern w:val="0"/>
      <w:sz w:val="24"/>
    </w:rPr>
  </w:style>
  <w:style w:type="paragraph" w:customStyle="1" w:styleId="18">
    <w:name w:val="无间隔1"/>
    <w:basedOn w:val="a"/>
    <w:link w:val="Charb"/>
    <w:uiPriority w:val="1"/>
    <w:qFormat/>
    <w:rsid w:val="00C223F5"/>
    <w:pPr>
      <w:ind w:firstLineChars="200" w:firstLine="200"/>
      <w:jc w:val="center"/>
    </w:pPr>
    <w:rPr>
      <w:b/>
      <w:color w:val="000000"/>
      <w:szCs w:val="22"/>
    </w:rPr>
  </w:style>
  <w:style w:type="character" w:customStyle="1" w:styleId="Charb">
    <w:name w:val="图表名称 Char"/>
    <w:link w:val="18"/>
    <w:qFormat/>
    <w:rsid w:val="00C223F5"/>
    <w:rPr>
      <w:b/>
      <w:color w:val="000000"/>
      <w:kern w:val="2"/>
      <w:sz w:val="21"/>
      <w:szCs w:val="22"/>
    </w:rPr>
  </w:style>
  <w:style w:type="paragraph" w:customStyle="1" w:styleId="Char50">
    <w:name w:val="Char5"/>
    <w:basedOn w:val="a"/>
    <w:qFormat/>
    <w:rsid w:val="00C223F5"/>
    <w:pPr>
      <w:spacing w:line="360" w:lineRule="auto"/>
      <w:ind w:firstLineChars="200" w:firstLine="200"/>
    </w:pPr>
  </w:style>
  <w:style w:type="paragraph" w:customStyle="1" w:styleId="Char1CharCharCharCharCharCharCharCharCharCharCharCharCharCharCharCharCharCharCharCharChar">
    <w:name w:val="Char1 Char Char Char Char Char Char Char Char Char Char Char Char Char Char Char Char Char Char Char Char Char"/>
    <w:basedOn w:val="af7"/>
    <w:qFormat/>
    <w:rsid w:val="00C223F5"/>
    <w:pPr>
      <w:adjustRightInd w:val="0"/>
      <w:spacing w:line="436" w:lineRule="exact"/>
      <w:ind w:left="357"/>
      <w:jc w:val="left"/>
      <w:outlineLvl w:val="3"/>
    </w:pPr>
    <w:rPr>
      <w:szCs w:val="20"/>
    </w:rPr>
  </w:style>
  <w:style w:type="paragraph" w:customStyle="1" w:styleId="CharCharChar1CharCharCharCharCharCharChar3">
    <w:name w:val="Char Char Char1 Char Char Char Char Char Char Char3"/>
    <w:basedOn w:val="a"/>
    <w:next w:val="a"/>
    <w:qFormat/>
    <w:rsid w:val="00C223F5"/>
    <w:pPr>
      <w:spacing w:line="360" w:lineRule="auto"/>
      <w:ind w:firstLineChars="200" w:firstLine="200"/>
    </w:pPr>
    <w:rPr>
      <w:rFonts w:ascii="宋体" w:hAnsi="宋体" w:cs="宋体"/>
      <w:sz w:val="24"/>
    </w:rPr>
  </w:style>
  <w:style w:type="paragraph" w:customStyle="1" w:styleId="affffff1">
    <w:name w:val="龙飞"/>
    <w:basedOn w:val="a"/>
    <w:qFormat/>
    <w:rsid w:val="00C223F5"/>
    <w:pPr>
      <w:spacing w:line="360" w:lineRule="auto"/>
      <w:ind w:firstLineChars="200" w:firstLine="200"/>
    </w:pPr>
    <w:rPr>
      <w:rFonts w:ascii="宋体" w:hAnsi="宋体" w:cs="宋体"/>
      <w:sz w:val="24"/>
    </w:rPr>
  </w:style>
  <w:style w:type="character" w:customStyle="1" w:styleId="Char11">
    <w:name w:val="标题 Char1"/>
    <w:basedOn w:val="a0"/>
    <w:uiPriority w:val="10"/>
    <w:qFormat/>
    <w:rsid w:val="00C223F5"/>
    <w:rPr>
      <w:rFonts w:ascii="Cambria" w:eastAsia="宋体" w:hAnsi="Cambria" w:cs="Times New Roman"/>
      <w:b/>
      <w:bCs/>
      <w:sz w:val="32"/>
      <w:szCs w:val="32"/>
    </w:rPr>
  </w:style>
  <w:style w:type="character" w:customStyle="1" w:styleId="Char22">
    <w:name w:val="引用 Char2"/>
    <w:basedOn w:val="a0"/>
    <w:uiPriority w:val="29"/>
    <w:qFormat/>
    <w:rsid w:val="00C223F5"/>
    <w:rPr>
      <w:i/>
      <w:iCs/>
      <w:color w:val="000000"/>
    </w:rPr>
  </w:style>
  <w:style w:type="paragraph" w:customStyle="1" w:styleId="CharCharCharCharCharCharCharCharCharCharCharCharChar1">
    <w:name w:val="Char Char Char Char Char Char Char Char Char Char Char Char Char1"/>
    <w:basedOn w:val="a"/>
    <w:qFormat/>
    <w:rsid w:val="00C223F5"/>
    <w:rPr>
      <w:rFonts w:ascii="仿宋_GB2312" w:eastAsia="仿宋_GB2312"/>
      <w:sz w:val="32"/>
      <w:szCs w:val="32"/>
    </w:rPr>
  </w:style>
  <w:style w:type="paragraph" w:customStyle="1" w:styleId="CharCharChar1CharCharCharCharCharCharChar2">
    <w:name w:val="Char Char Char1 Char Char Char Char Char Char Char2"/>
    <w:basedOn w:val="a"/>
    <w:qFormat/>
    <w:rsid w:val="00C223F5"/>
  </w:style>
  <w:style w:type="paragraph" w:customStyle="1" w:styleId="CharCharChar1CharCharCharCharCharCharChar1">
    <w:name w:val="Char Char Char1 Char Char Char Char Char Char Char1"/>
    <w:basedOn w:val="a"/>
    <w:qFormat/>
    <w:rsid w:val="00C223F5"/>
  </w:style>
  <w:style w:type="paragraph" w:customStyle="1" w:styleId="Char40">
    <w:name w:val="Char4"/>
    <w:basedOn w:val="a"/>
    <w:qFormat/>
    <w:rsid w:val="00C223F5"/>
    <w:pPr>
      <w:spacing w:line="360" w:lineRule="auto"/>
      <w:ind w:firstLineChars="200" w:firstLine="200"/>
    </w:pPr>
  </w:style>
  <w:style w:type="paragraph" w:customStyle="1" w:styleId="Char31">
    <w:name w:val="Char31"/>
    <w:basedOn w:val="a"/>
    <w:qFormat/>
    <w:rsid w:val="00C223F5"/>
    <w:pPr>
      <w:spacing w:line="360" w:lineRule="auto"/>
      <w:ind w:firstLineChars="200" w:firstLine="200"/>
    </w:pPr>
  </w:style>
  <w:style w:type="paragraph" w:customStyle="1" w:styleId="CharCharCharCharCharCharCharCharChar5">
    <w:name w:val="Char Char Char Char Char Char Char Char Char5"/>
    <w:basedOn w:val="a"/>
    <w:qFormat/>
    <w:rsid w:val="00C223F5"/>
  </w:style>
  <w:style w:type="paragraph" w:customStyle="1" w:styleId="CharCharChar1Char3">
    <w:name w:val="Char Char Char1 Char3"/>
    <w:basedOn w:val="a"/>
    <w:next w:val="a"/>
    <w:qFormat/>
    <w:rsid w:val="00C223F5"/>
    <w:pPr>
      <w:spacing w:line="360" w:lineRule="auto"/>
      <w:ind w:firstLineChars="200" w:firstLine="200"/>
    </w:pPr>
    <w:rPr>
      <w:rFonts w:ascii="宋体" w:eastAsia="汉鼎简书宋" w:hAnsi="宋体" w:cs="宋体"/>
      <w:sz w:val="24"/>
    </w:rPr>
  </w:style>
  <w:style w:type="paragraph" w:customStyle="1" w:styleId="affffff2">
    <w:name w:val="龙正文表格"/>
    <w:basedOn w:val="a"/>
    <w:link w:val="Charc"/>
    <w:qFormat/>
    <w:rsid w:val="00C223F5"/>
    <w:pPr>
      <w:autoSpaceDE w:val="0"/>
      <w:autoSpaceDN w:val="0"/>
      <w:adjustRightInd w:val="0"/>
      <w:jc w:val="center"/>
    </w:pPr>
    <w:rPr>
      <w:rFonts w:hAnsi="宋体"/>
      <w:kern w:val="0"/>
      <w:szCs w:val="21"/>
    </w:rPr>
  </w:style>
  <w:style w:type="character" w:customStyle="1" w:styleId="Charc">
    <w:name w:val="龙正文表格 Char"/>
    <w:basedOn w:val="a0"/>
    <w:link w:val="affffff2"/>
    <w:qFormat/>
    <w:rsid w:val="00C223F5"/>
    <w:rPr>
      <w:rFonts w:hAnsi="宋体"/>
      <w:sz w:val="21"/>
      <w:szCs w:val="21"/>
    </w:rPr>
  </w:style>
  <w:style w:type="paragraph" w:customStyle="1" w:styleId="CharCharCharCharCharCharCharCharChar4">
    <w:name w:val="Char Char Char Char Char Char Char Char Char4"/>
    <w:basedOn w:val="a"/>
    <w:qFormat/>
    <w:rsid w:val="00C223F5"/>
  </w:style>
  <w:style w:type="paragraph" w:customStyle="1" w:styleId="CharCharCharCharCharCharCharCharChar3">
    <w:name w:val="Char Char Char Char Char Char Char Char Char3"/>
    <w:basedOn w:val="a"/>
    <w:qFormat/>
    <w:rsid w:val="00C223F5"/>
  </w:style>
  <w:style w:type="paragraph" w:customStyle="1" w:styleId="0">
    <w:name w:val="龙0正文"/>
    <w:basedOn w:val="a"/>
    <w:link w:val="0Char"/>
    <w:qFormat/>
    <w:rsid w:val="00C223F5"/>
    <w:pPr>
      <w:tabs>
        <w:tab w:val="left" w:pos="0"/>
        <w:tab w:val="left" w:pos="7012"/>
      </w:tabs>
      <w:autoSpaceDE w:val="0"/>
      <w:autoSpaceDN w:val="0"/>
      <w:spacing w:line="360" w:lineRule="auto"/>
      <w:ind w:firstLineChars="200" w:firstLine="200"/>
    </w:pPr>
    <w:rPr>
      <w:rFonts w:ascii="宋体" w:hAnsi="宋体"/>
      <w:kern w:val="0"/>
      <w:sz w:val="24"/>
    </w:rPr>
  </w:style>
  <w:style w:type="character" w:customStyle="1" w:styleId="0Char">
    <w:name w:val="龙0正文 Char"/>
    <w:link w:val="0"/>
    <w:qFormat/>
    <w:rsid w:val="00C223F5"/>
    <w:rPr>
      <w:rFonts w:ascii="宋体" w:hAnsi="宋体"/>
      <w:sz w:val="24"/>
      <w:szCs w:val="24"/>
    </w:rPr>
  </w:style>
  <w:style w:type="character" w:customStyle="1" w:styleId="Chard">
    <w:name w:val="表文字 Char"/>
    <w:qFormat/>
    <w:rsid w:val="00C223F5"/>
    <w:rPr>
      <w:sz w:val="21"/>
      <w:szCs w:val="21"/>
      <w:lang w:val="en-US" w:eastAsia="zh-CN" w:bidi="ar-SA"/>
    </w:rPr>
  </w:style>
  <w:style w:type="paragraph" w:customStyle="1" w:styleId="affffff3">
    <w:name w:val="页眉自建"/>
    <w:basedOn w:val="affb"/>
    <w:qFormat/>
    <w:rsid w:val="00C223F5"/>
    <w:pPr>
      <w:pBdr>
        <w:bottom w:val="none" w:sz="0" w:space="0" w:color="auto"/>
      </w:pBdr>
      <w:tabs>
        <w:tab w:val="clear" w:pos="4153"/>
        <w:tab w:val="clear" w:pos="8306"/>
      </w:tabs>
      <w:adjustRightInd w:val="0"/>
    </w:pPr>
    <w:rPr>
      <w:rFonts w:ascii="宋体" w:hAnsi="宋体"/>
      <w:color w:val="0000FF"/>
      <w:position w:val="-22"/>
      <w:sz w:val="21"/>
      <w:szCs w:val="21"/>
    </w:rPr>
  </w:style>
  <w:style w:type="paragraph" w:customStyle="1" w:styleId="affffff4">
    <w:name w:val="正式文本"/>
    <w:basedOn w:val="a"/>
    <w:link w:val="Chare"/>
    <w:qFormat/>
    <w:rsid w:val="00C223F5"/>
    <w:pPr>
      <w:spacing w:line="540" w:lineRule="exact"/>
      <w:ind w:firstLineChars="200" w:firstLine="200"/>
    </w:pPr>
    <w:rPr>
      <w:rFonts w:ascii="宋体" w:hAnsi="Arial Narrow"/>
      <w:sz w:val="28"/>
    </w:rPr>
  </w:style>
  <w:style w:type="character" w:customStyle="1" w:styleId="Chare">
    <w:name w:val="正式文本 Char"/>
    <w:link w:val="affffff4"/>
    <w:qFormat/>
    <w:rsid w:val="00C223F5"/>
    <w:rPr>
      <w:rFonts w:ascii="宋体" w:hAnsi="Arial Narrow"/>
      <w:kern w:val="2"/>
      <w:sz w:val="28"/>
      <w:szCs w:val="24"/>
    </w:rPr>
  </w:style>
  <w:style w:type="paragraph" w:customStyle="1" w:styleId="150">
    <w:name w:val="样式15"/>
    <w:basedOn w:val="3"/>
    <w:link w:val="15Char"/>
    <w:qFormat/>
    <w:rsid w:val="00C223F5"/>
    <w:pPr>
      <w:numPr>
        <w:ilvl w:val="0"/>
        <w:numId w:val="0"/>
      </w:numPr>
      <w:spacing w:before="60" w:after="60" w:line="360" w:lineRule="auto"/>
      <w:jc w:val="left"/>
    </w:pPr>
    <w:rPr>
      <w:rFonts w:eastAsia="宋体"/>
      <w:b/>
      <w:sz w:val="28"/>
      <w:szCs w:val="28"/>
    </w:rPr>
  </w:style>
  <w:style w:type="character" w:customStyle="1" w:styleId="15Char">
    <w:name w:val="样式15 Char"/>
    <w:link w:val="150"/>
    <w:semiHidden/>
    <w:qFormat/>
    <w:rsid w:val="00C223F5"/>
    <w:rPr>
      <w:b/>
      <w:bCs/>
      <w:kern w:val="2"/>
      <w:sz w:val="28"/>
      <w:szCs w:val="28"/>
    </w:rPr>
  </w:style>
  <w:style w:type="paragraph" w:customStyle="1" w:styleId="affffff5">
    <w:name w:val="a正文"/>
    <w:basedOn w:val="a"/>
    <w:qFormat/>
    <w:rsid w:val="00C223F5"/>
    <w:pPr>
      <w:spacing w:line="360" w:lineRule="auto"/>
      <w:ind w:firstLineChars="200" w:firstLine="200"/>
    </w:pPr>
    <w:rPr>
      <w:sz w:val="24"/>
    </w:rPr>
  </w:style>
  <w:style w:type="paragraph" w:customStyle="1" w:styleId="CharCharCharCharCharCharCharCharChar2">
    <w:name w:val="Char Char Char Char Char Char Char Char Char2"/>
    <w:basedOn w:val="a"/>
    <w:qFormat/>
    <w:rsid w:val="00C223F5"/>
  </w:style>
  <w:style w:type="paragraph" w:customStyle="1" w:styleId="Char110">
    <w:name w:val="Char11"/>
    <w:basedOn w:val="a"/>
    <w:qFormat/>
    <w:rsid w:val="00C223F5"/>
    <w:pPr>
      <w:spacing w:line="360" w:lineRule="auto"/>
      <w:ind w:firstLineChars="200" w:firstLine="200"/>
    </w:pPr>
    <w:rPr>
      <w:rFonts w:ascii="宋体" w:hAnsi="宋体" w:cs="宋体"/>
      <w:sz w:val="24"/>
    </w:rPr>
  </w:style>
  <w:style w:type="paragraph" w:customStyle="1" w:styleId="WPSPlain">
    <w:name w:val="WPS Plain"/>
    <w:qFormat/>
    <w:rsid w:val="00C223F5"/>
  </w:style>
  <w:style w:type="paragraph" w:customStyle="1" w:styleId="11111">
    <w:name w:val="11111"/>
    <w:basedOn w:val="a"/>
    <w:qFormat/>
    <w:rsid w:val="00C223F5"/>
    <w:pPr>
      <w:spacing w:line="460" w:lineRule="exact"/>
      <w:ind w:firstLineChars="200" w:firstLine="200"/>
    </w:pPr>
    <w:rPr>
      <w:rFonts w:ascii="仿宋_GB2312" w:eastAsia="仿宋_GB2312" w:hAnsi="仿宋_GB2312"/>
      <w:kern w:val="0"/>
      <w:sz w:val="24"/>
    </w:rPr>
  </w:style>
  <w:style w:type="character" w:customStyle="1" w:styleId="0CharChar">
    <w:name w:val="龙0正文 Char Char"/>
    <w:qFormat/>
    <w:rsid w:val="00C223F5"/>
    <w:rPr>
      <w:rFonts w:ascii="宋体" w:eastAsia="宋体" w:hAnsi="宋体" w:cs="宋体"/>
      <w:sz w:val="24"/>
      <w:szCs w:val="24"/>
    </w:rPr>
  </w:style>
  <w:style w:type="character" w:customStyle="1" w:styleId="3CharChar">
    <w:name w:val="龙3 Char Char"/>
    <w:link w:val="3d"/>
    <w:qFormat/>
    <w:rsid w:val="00C223F5"/>
    <w:rPr>
      <w:b/>
      <w:bCs/>
      <w:sz w:val="30"/>
      <w:szCs w:val="30"/>
    </w:rPr>
  </w:style>
  <w:style w:type="paragraph" w:customStyle="1" w:styleId="3d">
    <w:name w:val="龙3"/>
    <w:basedOn w:val="a"/>
    <w:link w:val="3CharChar"/>
    <w:qFormat/>
    <w:rsid w:val="00C223F5"/>
    <w:pPr>
      <w:spacing w:before="120" w:after="120" w:line="360" w:lineRule="auto"/>
      <w:jc w:val="left"/>
      <w:outlineLvl w:val="2"/>
    </w:pPr>
    <w:rPr>
      <w:b/>
      <w:bCs/>
      <w:kern w:val="0"/>
      <w:sz w:val="30"/>
      <w:szCs w:val="30"/>
    </w:rPr>
  </w:style>
  <w:style w:type="paragraph" w:customStyle="1" w:styleId="CharCharChar1Char2">
    <w:name w:val="Char Char Char1 Char2"/>
    <w:basedOn w:val="a"/>
    <w:next w:val="a"/>
    <w:qFormat/>
    <w:rsid w:val="00C223F5"/>
    <w:pPr>
      <w:spacing w:line="360" w:lineRule="auto"/>
      <w:ind w:firstLineChars="200" w:firstLine="200"/>
    </w:pPr>
    <w:rPr>
      <w:rFonts w:ascii="宋体" w:eastAsia="汉鼎简书宋" w:hAnsi="宋体" w:cs="宋体"/>
      <w:sz w:val="24"/>
    </w:rPr>
  </w:style>
  <w:style w:type="paragraph" w:customStyle="1" w:styleId="TableParagraph">
    <w:name w:val="Table Paragraph"/>
    <w:basedOn w:val="a"/>
    <w:uiPriority w:val="1"/>
    <w:qFormat/>
    <w:rsid w:val="00C223F5"/>
    <w:pPr>
      <w:autoSpaceDE w:val="0"/>
      <w:autoSpaceDN w:val="0"/>
      <w:adjustRightInd w:val="0"/>
      <w:jc w:val="left"/>
    </w:pPr>
    <w:rPr>
      <w:kern w:val="0"/>
      <w:sz w:val="24"/>
    </w:rPr>
  </w:style>
  <w:style w:type="paragraph" w:customStyle="1" w:styleId="affffff6">
    <w:name w:val="环保正文"/>
    <w:basedOn w:val="a"/>
    <w:link w:val="Charf"/>
    <w:semiHidden/>
    <w:qFormat/>
    <w:rsid w:val="00C223F5"/>
    <w:pPr>
      <w:tabs>
        <w:tab w:val="left" w:pos="0"/>
        <w:tab w:val="left" w:pos="7012"/>
      </w:tabs>
      <w:autoSpaceDE w:val="0"/>
      <w:autoSpaceDN w:val="0"/>
      <w:spacing w:line="360" w:lineRule="auto"/>
      <w:ind w:firstLineChars="200" w:firstLine="200"/>
    </w:pPr>
    <w:rPr>
      <w:sz w:val="24"/>
    </w:rPr>
  </w:style>
  <w:style w:type="character" w:customStyle="1" w:styleId="Charf">
    <w:name w:val="环保正文 Char"/>
    <w:link w:val="affffff6"/>
    <w:semiHidden/>
    <w:qFormat/>
    <w:rsid w:val="00C223F5"/>
    <w:rPr>
      <w:kern w:val="2"/>
      <w:sz w:val="24"/>
      <w:szCs w:val="24"/>
    </w:rPr>
  </w:style>
  <w:style w:type="paragraph" w:customStyle="1" w:styleId="CharCharChar1Char1">
    <w:name w:val="Char Char Char1 Char1"/>
    <w:basedOn w:val="a"/>
    <w:next w:val="a"/>
    <w:qFormat/>
    <w:rsid w:val="00C223F5"/>
    <w:pPr>
      <w:spacing w:line="360" w:lineRule="auto"/>
      <w:ind w:firstLineChars="200" w:firstLine="200"/>
    </w:pPr>
    <w:rPr>
      <w:rFonts w:ascii="宋体" w:eastAsia="汉鼎简书宋" w:hAnsi="宋体" w:cs="宋体"/>
      <w:sz w:val="24"/>
    </w:rPr>
  </w:style>
  <w:style w:type="paragraph" w:customStyle="1" w:styleId="CharCharCharCharCharCharCharCharChar1">
    <w:name w:val="Char Char Char Char Char Char Char Char Char1"/>
    <w:basedOn w:val="a"/>
    <w:qFormat/>
    <w:rsid w:val="00C223F5"/>
  </w:style>
  <w:style w:type="paragraph" w:customStyle="1" w:styleId="CharCharCharCharCharCharCharCharChar6">
    <w:name w:val="Char Char Char Char Char Char Char Char Char6"/>
    <w:basedOn w:val="a"/>
    <w:qFormat/>
    <w:rsid w:val="00C223F5"/>
  </w:style>
  <w:style w:type="character" w:customStyle="1" w:styleId="t31">
    <w:name w:val="t31"/>
    <w:qFormat/>
    <w:rsid w:val="00C223F5"/>
    <w:rPr>
      <w:sz w:val="18"/>
      <w:szCs w:val="18"/>
    </w:rPr>
  </w:style>
  <w:style w:type="paragraph" w:customStyle="1" w:styleId="CharCharChar1Char6">
    <w:name w:val="Char Char Char1 Char6"/>
    <w:basedOn w:val="a"/>
    <w:next w:val="a"/>
    <w:qFormat/>
    <w:rsid w:val="00C223F5"/>
    <w:pPr>
      <w:spacing w:line="360" w:lineRule="auto"/>
      <w:ind w:firstLineChars="200" w:firstLine="200"/>
    </w:pPr>
    <w:rPr>
      <w:rFonts w:ascii="宋体" w:eastAsia="汉鼎简书宋" w:hAnsi="宋体" w:cs="宋体"/>
      <w:sz w:val="24"/>
    </w:rPr>
  </w:style>
  <w:style w:type="paragraph" w:customStyle="1" w:styleId="3Char-097">
    <w:name w:val="样式 标题 3Char小标题小节标题条，（一）一 + 宋体 加粗 黑色 左侧:  -0.97 厘米 首行缩进:..."/>
    <w:basedOn w:val="3"/>
    <w:qFormat/>
    <w:rsid w:val="00C223F5"/>
    <w:pPr>
      <w:keepLines w:val="0"/>
      <w:widowControl/>
      <w:numPr>
        <w:ilvl w:val="0"/>
        <w:numId w:val="0"/>
      </w:numPr>
      <w:tabs>
        <w:tab w:val="left" w:pos="720"/>
      </w:tabs>
      <w:spacing w:before="0" w:after="0" w:line="360" w:lineRule="auto"/>
      <w:jc w:val="left"/>
    </w:pPr>
    <w:rPr>
      <w:rFonts w:ascii="宋体" w:eastAsia="宋体" w:hAnsi="宋体" w:cs="宋体"/>
      <w:snapToGrid w:val="0"/>
      <w:color w:val="000000"/>
      <w:kern w:val="0"/>
      <w:sz w:val="28"/>
      <w:szCs w:val="20"/>
    </w:rPr>
  </w:style>
  <w:style w:type="paragraph" w:customStyle="1" w:styleId="CharCharChar1Char5">
    <w:name w:val="Char Char Char1 Char5"/>
    <w:basedOn w:val="a"/>
    <w:next w:val="a"/>
    <w:qFormat/>
    <w:rsid w:val="00C223F5"/>
    <w:pPr>
      <w:spacing w:line="360" w:lineRule="auto"/>
      <w:ind w:firstLineChars="200" w:firstLine="200"/>
    </w:pPr>
    <w:rPr>
      <w:rFonts w:ascii="宋体" w:eastAsia="汉鼎简书宋" w:hAnsi="宋体" w:cs="宋体"/>
      <w:sz w:val="24"/>
    </w:rPr>
  </w:style>
  <w:style w:type="paragraph" w:customStyle="1" w:styleId="affffff7">
    <w:name w:val="方案表格"/>
    <w:link w:val="Charf0"/>
    <w:qFormat/>
    <w:rsid w:val="00C223F5"/>
    <w:pPr>
      <w:jc w:val="center"/>
    </w:pPr>
    <w:rPr>
      <w:color w:val="000000"/>
    </w:rPr>
  </w:style>
  <w:style w:type="character" w:customStyle="1" w:styleId="Charf0">
    <w:name w:val="方案表格 Char"/>
    <w:link w:val="affffff7"/>
    <w:qFormat/>
    <w:rsid w:val="00C223F5"/>
    <w:rPr>
      <w:color w:val="000000"/>
      <w:lang w:val="en-US" w:eastAsia="zh-CN" w:bidi="ar-SA"/>
    </w:rPr>
  </w:style>
  <w:style w:type="paragraph" w:customStyle="1" w:styleId="hb3">
    <w:name w:val="hb3"/>
    <w:basedOn w:val="3"/>
    <w:link w:val="hb3Char"/>
    <w:qFormat/>
    <w:rsid w:val="00C223F5"/>
    <w:pPr>
      <w:numPr>
        <w:numId w:val="0"/>
      </w:numPr>
      <w:tabs>
        <w:tab w:val="left" w:pos="709"/>
      </w:tabs>
      <w:adjustRightInd w:val="0"/>
      <w:spacing w:line="240" w:lineRule="auto"/>
      <w:ind w:left="709" w:hanging="709"/>
      <w:jc w:val="left"/>
      <w:textAlignment w:val="baseline"/>
    </w:pPr>
    <w:rPr>
      <w:rFonts w:ascii="宋体" w:eastAsia="宋体" w:hAnsi="宋体"/>
      <w:bCs w:val="0"/>
      <w:kern w:val="0"/>
      <w:szCs w:val="24"/>
    </w:rPr>
  </w:style>
  <w:style w:type="character" w:customStyle="1" w:styleId="hb3Char">
    <w:name w:val="hb3 Char"/>
    <w:link w:val="hb3"/>
    <w:qFormat/>
    <w:rsid w:val="00C223F5"/>
    <w:rPr>
      <w:rFonts w:ascii="宋体" w:hAnsi="宋体"/>
      <w:sz w:val="24"/>
      <w:szCs w:val="24"/>
    </w:rPr>
  </w:style>
  <w:style w:type="paragraph" w:customStyle="1" w:styleId="CharCharCharCharCharCharCharCharCharCharCharCharCharCharCharCharCharChar1CharCharCharCharCharCharCharCharCharCharCharCharCharCharCharChar1">
    <w:name w:val="Char Char Char Char Char Char Char Char Char Char Char Char Char Char Char Char Char Char1 Char Char Char Char Char Char Char Char Char Char Char Char Char Char Char Char1"/>
    <w:basedOn w:val="a"/>
    <w:next w:val="a"/>
    <w:qFormat/>
    <w:rsid w:val="00C223F5"/>
    <w:pPr>
      <w:spacing w:line="360" w:lineRule="auto"/>
      <w:ind w:firstLineChars="200" w:firstLine="200"/>
    </w:pPr>
    <w:rPr>
      <w:rFonts w:ascii="宋体" w:hAnsi="宋体" w:cs="宋体"/>
      <w:snapToGrid w:val="0"/>
      <w:kern w:val="0"/>
      <w:sz w:val="24"/>
    </w:rPr>
  </w:style>
  <w:style w:type="character" w:customStyle="1" w:styleId="Charf1">
    <w:name w:val="报告正文 Char"/>
    <w:link w:val="affffff8"/>
    <w:qFormat/>
    <w:rsid w:val="00C223F5"/>
    <w:rPr>
      <w:rFonts w:ascii="仿宋_GB2312" w:eastAsia="仿宋_GB2312" w:hAnsi="Arial Narrow"/>
      <w:color w:val="0070C0"/>
      <w:kern w:val="2"/>
      <w:sz w:val="28"/>
      <w:szCs w:val="24"/>
    </w:rPr>
  </w:style>
  <w:style w:type="paragraph" w:customStyle="1" w:styleId="affffff8">
    <w:name w:val="报告正文"/>
    <w:basedOn w:val="a"/>
    <w:link w:val="Charf1"/>
    <w:qFormat/>
    <w:rsid w:val="00C223F5"/>
    <w:pPr>
      <w:tabs>
        <w:tab w:val="left" w:pos="1800"/>
      </w:tabs>
      <w:spacing w:line="360" w:lineRule="auto"/>
      <w:ind w:firstLineChars="200" w:firstLine="560"/>
    </w:pPr>
    <w:rPr>
      <w:rFonts w:ascii="仿宋_GB2312" w:eastAsia="仿宋_GB2312" w:hAnsi="Arial Narrow"/>
      <w:color w:val="0070C0"/>
      <w:sz w:val="28"/>
    </w:rPr>
  </w:style>
  <w:style w:type="paragraph" w:customStyle="1" w:styleId="affffff9">
    <w:name w:val="正文样式"/>
    <w:basedOn w:val="a"/>
    <w:link w:val="Char23"/>
    <w:qFormat/>
    <w:rsid w:val="00C223F5"/>
    <w:pPr>
      <w:spacing w:line="360" w:lineRule="auto"/>
      <w:ind w:firstLineChars="200" w:firstLine="480"/>
    </w:pPr>
    <w:rPr>
      <w:rFonts w:ascii="宋体" w:hAnsi="宋体"/>
      <w:sz w:val="24"/>
    </w:rPr>
  </w:style>
  <w:style w:type="character" w:customStyle="1" w:styleId="Char23">
    <w:name w:val="正文样式 Char2"/>
    <w:link w:val="affffff9"/>
    <w:qFormat/>
    <w:rsid w:val="00C223F5"/>
    <w:rPr>
      <w:rFonts w:ascii="宋体" w:hAnsi="宋体"/>
      <w:kern w:val="2"/>
      <w:sz w:val="24"/>
      <w:szCs w:val="24"/>
    </w:rPr>
  </w:style>
  <w:style w:type="paragraph" w:customStyle="1" w:styleId="zjm">
    <w:name w:val="zjm"/>
    <w:basedOn w:val="a"/>
    <w:next w:val="a"/>
    <w:qFormat/>
    <w:rsid w:val="00C223F5"/>
    <w:pPr>
      <w:spacing w:line="360" w:lineRule="auto"/>
      <w:ind w:firstLineChars="200" w:firstLine="200"/>
    </w:pPr>
    <w:rPr>
      <w:rFonts w:ascii="宋体" w:eastAsia="仿宋_GB2312" w:hAnsi="宋体" w:cs="宋体"/>
      <w:sz w:val="30"/>
    </w:rPr>
  </w:style>
  <w:style w:type="paragraph" w:customStyle="1" w:styleId="affffffa">
    <w:name w:val="初设正文"/>
    <w:basedOn w:val="a"/>
    <w:qFormat/>
    <w:rsid w:val="00C223F5"/>
    <w:pPr>
      <w:spacing w:line="360" w:lineRule="auto"/>
      <w:ind w:firstLineChars="200" w:firstLine="200"/>
      <w:jc w:val="left"/>
    </w:pPr>
    <w:rPr>
      <w:kern w:val="0"/>
      <w:sz w:val="24"/>
      <w:szCs w:val="20"/>
    </w:rPr>
  </w:style>
  <w:style w:type="paragraph" w:customStyle="1" w:styleId="3e">
    <w:name w:val="标题3"/>
    <w:basedOn w:val="a"/>
    <w:qFormat/>
    <w:rsid w:val="00C223F5"/>
    <w:rPr>
      <w:sz w:val="24"/>
    </w:rPr>
  </w:style>
  <w:style w:type="paragraph" w:customStyle="1" w:styleId="hb4">
    <w:name w:val="hb4"/>
    <w:basedOn w:val="a"/>
    <w:link w:val="hb4Char"/>
    <w:qFormat/>
    <w:rsid w:val="00C223F5"/>
    <w:pPr>
      <w:keepNext/>
      <w:keepLines/>
      <w:spacing w:beforeLines="50" w:afterLines="50" w:line="529" w:lineRule="exact"/>
      <w:outlineLvl w:val="3"/>
    </w:pPr>
    <w:rPr>
      <w:rFonts w:hAnsi="Arial" w:cs="宋体"/>
      <w:b/>
      <w:bCs/>
      <w:kern w:val="24"/>
      <w:sz w:val="24"/>
      <w:szCs w:val="20"/>
    </w:rPr>
  </w:style>
  <w:style w:type="character" w:customStyle="1" w:styleId="hb4Char">
    <w:name w:val="hb4 Char"/>
    <w:link w:val="hb4"/>
    <w:qFormat/>
    <w:locked/>
    <w:rsid w:val="00C223F5"/>
    <w:rPr>
      <w:rFonts w:hAnsi="Arial" w:cs="宋体"/>
      <w:b/>
      <w:bCs/>
      <w:kern w:val="24"/>
      <w:sz w:val="24"/>
    </w:rPr>
  </w:style>
  <w:style w:type="paragraph" w:customStyle="1" w:styleId="affffffb">
    <w:name w:val="标题一"/>
    <w:basedOn w:val="a"/>
    <w:next w:val="a"/>
    <w:qFormat/>
    <w:rsid w:val="00C223F5"/>
    <w:pPr>
      <w:spacing w:line="500" w:lineRule="exact"/>
      <w:ind w:firstLineChars="200" w:firstLine="200"/>
    </w:pPr>
    <w:rPr>
      <w:rFonts w:ascii="黑体" w:eastAsia="黑体" w:hAnsi="Arial Narrow"/>
      <w:b/>
      <w:sz w:val="24"/>
    </w:rPr>
  </w:style>
  <w:style w:type="paragraph" w:customStyle="1" w:styleId="2c">
    <w:name w:val="表内容2"/>
    <w:basedOn w:val="a"/>
    <w:link w:val="2Char"/>
    <w:qFormat/>
    <w:rsid w:val="00C223F5"/>
    <w:pPr>
      <w:jc w:val="center"/>
    </w:pPr>
    <w:rPr>
      <w:rFonts w:cs="宋体"/>
      <w:szCs w:val="21"/>
    </w:rPr>
  </w:style>
  <w:style w:type="character" w:customStyle="1" w:styleId="2Char">
    <w:name w:val="表内容2 Char"/>
    <w:link w:val="2c"/>
    <w:qFormat/>
    <w:rsid w:val="00C223F5"/>
    <w:rPr>
      <w:rFonts w:cs="宋体"/>
      <w:kern w:val="2"/>
      <w:sz w:val="21"/>
      <w:szCs w:val="21"/>
    </w:rPr>
  </w:style>
  <w:style w:type="paragraph" w:customStyle="1" w:styleId="affffffc">
    <w:name w:val="正文斜体"/>
    <w:basedOn w:val="a8"/>
    <w:link w:val="Charf2"/>
    <w:qFormat/>
    <w:rsid w:val="00C223F5"/>
    <w:pPr>
      <w:spacing w:line="324" w:lineRule="auto"/>
      <w:ind w:firstLineChars="200" w:firstLine="480"/>
      <w:jc w:val="both"/>
    </w:pPr>
    <w:rPr>
      <w:b w:val="0"/>
      <w:bCs w:val="0"/>
      <w:i/>
      <w:sz w:val="24"/>
    </w:rPr>
  </w:style>
  <w:style w:type="character" w:customStyle="1" w:styleId="Charf2">
    <w:name w:val="正文斜体 Char"/>
    <w:link w:val="affffffc"/>
    <w:qFormat/>
    <w:rsid w:val="00C223F5"/>
    <w:rPr>
      <w:i/>
      <w:kern w:val="2"/>
      <w:sz w:val="24"/>
      <w:szCs w:val="24"/>
    </w:rPr>
  </w:style>
  <w:style w:type="paragraph" w:customStyle="1" w:styleId="19">
    <w:name w:val="表内容1"/>
    <w:basedOn w:val="a"/>
    <w:qFormat/>
    <w:rsid w:val="00C223F5"/>
    <w:pPr>
      <w:autoSpaceDE w:val="0"/>
      <w:autoSpaceDN w:val="0"/>
      <w:adjustRightInd w:val="0"/>
      <w:snapToGrid w:val="0"/>
    </w:pPr>
    <w:rPr>
      <w:spacing w:val="-5"/>
      <w:kern w:val="0"/>
      <w:sz w:val="18"/>
      <w:szCs w:val="18"/>
      <w:lang w:val="zh-CN"/>
    </w:rPr>
  </w:style>
  <w:style w:type="paragraph" w:customStyle="1" w:styleId="affffffd">
    <w:name w:val="表内容斜体"/>
    <w:basedOn w:val="2c"/>
    <w:link w:val="Charf3"/>
    <w:qFormat/>
    <w:rsid w:val="00C223F5"/>
    <w:rPr>
      <w:i/>
    </w:rPr>
  </w:style>
  <w:style w:type="character" w:customStyle="1" w:styleId="Charf3">
    <w:name w:val="表内容斜体 Char"/>
    <w:link w:val="affffffd"/>
    <w:qFormat/>
    <w:rsid w:val="00C223F5"/>
    <w:rPr>
      <w:rFonts w:cs="宋体"/>
      <w:i/>
      <w:kern w:val="2"/>
      <w:sz w:val="21"/>
      <w:szCs w:val="21"/>
    </w:rPr>
  </w:style>
  <w:style w:type="paragraph" w:customStyle="1" w:styleId="3f">
    <w:name w:val="表内容3"/>
    <w:basedOn w:val="2c"/>
    <w:link w:val="3Char1"/>
    <w:qFormat/>
    <w:rsid w:val="00C223F5"/>
    <w:rPr>
      <w:u w:val="single"/>
    </w:rPr>
  </w:style>
  <w:style w:type="character" w:customStyle="1" w:styleId="3Char1">
    <w:name w:val="表内容3 Char"/>
    <w:link w:val="3f"/>
    <w:qFormat/>
    <w:rsid w:val="00C223F5"/>
    <w:rPr>
      <w:rFonts w:cs="宋体"/>
      <w:kern w:val="2"/>
      <w:sz w:val="21"/>
      <w:szCs w:val="21"/>
      <w:u w:val="single"/>
    </w:rPr>
  </w:style>
  <w:style w:type="paragraph" w:customStyle="1" w:styleId="affffffe">
    <w:name w:val="表内容"/>
    <w:basedOn w:val="a"/>
    <w:link w:val="Charf4"/>
    <w:qFormat/>
    <w:rsid w:val="00C223F5"/>
    <w:pPr>
      <w:jc w:val="center"/>
    </w:pPr>
    <w:rPr>
      <w:szCs w:val="21"/>
    </w:rPr>
  </w:style>
  <w:style w:type="character" w:customStyle="1" w:styleId="Charf4">
    <w:name w:val="表内容 Char"/>
    <w:link w:val="affffffe"/>
    <w:qFormat/>
    <w:rsid w:val="00C223F5"/>
    <w:rPr>
      <w:kern w:val="2"/>
      <w:sz w:val="21"/>
      <w:szCs w:val="21"/>
    </w:rPr>
  </w:style>
  <w:style w:type="paragraph" w:customStyle="1" w:styleId="afffffff">
    <w:name w:val="图名"/>
    <w:basedOn w:val="a"/>
    <w:qFormat/>
    <w:rsid w:val="00C223F5"/>
    <w:pPr>
      <w:spacing w:beforeLines="50" w:line="360" w:lineRule="auto"/>
      <w:jc w:val="center"/>
    </w:pPr>
    <w:rPr>
      <w:rFonts w:cs="宋体"/>
      <w:color w:val="000000"/>
      <w:szCs w:val="21"/>
    </w:rPr>
  </w:style>
  <w:style w:type="paragraph" w:customStyle="1" w:styleId="afffffff0">
    <w:name w:val="表格字"/>
    <w:basedOn w:val="a"/>
    <w:qFormat/>
    <w:rsid w:val="00C223F5"/>
    <w:pPr>
      <w:jc w:val="center"/>
    </w:pPr>
    <w:rPr>
      <w:rFonts w:ascii="Arial Narrow" w:eastAsia="汉鼎简书宋" w:hAnsi="Arial Narrow"/>
      <w:szCs w:val="21"/>
    </w:rPr>
  </w:style>
  <w:style w:type="paragraph" w:customStyle="1" w:styleId="afffffff1">
    <w:name w:val="表格标题"/>
    <w:basedOn w:val="affffff4"/>
    <w:next w:val="a"/>
    <w:link w:val="Charf5"/>
    <w:qFormat/>
    <w:rsid w:val="00C223F5"/>
    <w:pPr>
      <w:spacing w:line="240" w:lineRule="atLeast"/>
      <w:ind w:firstLineChars="0" w:firstLine="0"/>
      <w:jc w:val="center"/>
    </w:pPr>
    <w:rPr>
      <w:rFonts w:ascii="Arial Narrow" w:eastAsia="黑体"/>
      <w:b/>
      <w:sz w:val="24"/>
    </w:rPr>
  </w:style>
  <w:style w:type="character" w:customStyle="1" w:styleId="Charf5">
    <w:name w:val="表格标题 Char"/>
    <w:link w:val="afffffff1"/>
    <w:qFormat/>
    <w:rsid w:val="00C223F5"/>
    <w:rPr>
      <w:rFonts w:ascii="Arial Narrow" w:eastAsia="黑体" w:hAnsi="Arial Narrow"/>
      <w:b/>
      <w:kern w:val="2"/>
      <w:sz w:val="24"/>
      <w:szCs w:val="24"/>
    </w:rPr>
  </w:style>
  <w:style w:type="paragraph" w:customStyle="1" w:styleId="afffffff2">
    <w:name w:val="表名"/>
    <w:basedOn w:val="a"/>
    <w:qFormat/>
    <w:rsid w:val="00C223F5"/>
    <w:pPr>
      <w:spacing w:line="360" w:lineRule="auto"/>
      <w:jc w:val="center"/>
    </w:pPr>
    <w:rPr>
      <w:rFonts w:eastAsia="黑体" w:cs="宋体"/>
      <w:szCs w:val="21"/>
    </w:rPr>
  </w:style>
  <w:style w:type="paragraph" w:customStyle="1" w:styleId="CharChar2">
    <w:name w:val="Char Char2"/>
    <w:basedOn w:val="a"/>
    <w:next w:val="a"/>
    <w:qFormat/>
    <w:rsid w:val="00C223F5"/>
    <w:pPr>
      <w:spacing w:line="529" w:lineRule="exact"/>
      <w:ind w:firstLineChars="200" w:firstLine="200"/>
    </w:pPr>
    <w:rPr>
      <w:rFonts w:ascii="宋体" w:hAnsi="宋体" w:cs="宋体"/>
      <w:sz w:val="24"/>
    </w:rPr>
  </w:style>
  <w:style w:type="paragraph" w:customStyle="1" w:styleId="dh">
    <w:name w:val="正文dh"/>
    <w:basedOn w:val="a"/>
    <w:qFormat/>
    <w:rsid w:val="00C223F5"/>
    <w:pPr>
      <w:spacing w:line="520" w:lineRule="exact"/>
      <w:ind w:firstLine="482"/>
    </w:pPr>
    <w:rPr>
      <w:rFonts w:ascii="宋体"/>
      <w:sz w:val="24"/>
      <w:szCs w:val="20"/>
    </w:rPr>
  </w:style>
  <w:style w:type="paragraph" w:customStyle="1" w:styleId="3f0">
    <w:name w:val="样式 首行缩进:  3 字符"/>
    <w:basedOn w:val="a"/>
    <w:qFormat/>
    <w:rsid w:val="00C223F5"/>
    <w:pPr>
      <w:ind w:firstLineChars="300" w:firstLine="720"/>
    </w:pPr>
    <w:rPr>
      <w:rFonts w:cs="宋体"/>
      <w:sz w:val="24"/>
      <w:szCs w:val="20"/>
    </w:rPr>
  </w:style>
  <w:style w:type="paragraph" w:customStyle="1" w:styleId="font7">
    <w:name w:val="font7"/>
    <w:basedOn w:val="a"/>
    <w:qFormat/>
    <w:rsid w:val="00C223F5"/>
    <w:pPr>
      <w:widowControl/>
      <w:spacing w:before="100" w:beforeAutospacing="1" w:after="100" w:afterAutospacing="1"/>
      <w:jc w:val="left"/>
    </w:pPr>
    <w:rPr>
      <w:rFonts w:ascii="宋体" w:hAnsi="宋体" w:cs="Arial Unicode MS" w:hint="eastAsia"/>
      <w:kern w:val="0"/>
      <w:sz w:val="18"/>
      <w:szCs w:val="18"/>
    </w:rPr>
  </w:style>
  <w:style w:type="paragraph" w:customStyle="1" w:styleId="hb2">
    <w:name w:val="hb2"/>
    <w:basedOn w:val="2"/>
    <w:link w:val="hb2CharChar"/>
    <w:qFormat/>
    <w:rsid w:val="00C223F5"/>
    <w:pPr>
      <w:numPr>
        <w:numId w:val="0"/>
      </w:numPr>
      <w:adjustRightInd w:val="0"/>
      <w:spacing w:before="360" w:after="180" w:line="416" w:lineRule="atLeast"/>
      <w:ind w:left="576" w:hanging="576"/>
      <w:textAlignment w:val="baseline"/>
    </w:pPr>
    <w:rPr>
      <w:rFonts w:ascii="Times New Roman" w:eastAsia="宋体" w:hAnsi="Times New Roman" w:cs="Arial"/>
      <w:b/>
      <w:kern w:val="0"/>
      <w:sz w:val="28"/>
      <w:szCs w:val="28"/>
    </w:rPr>
  </w:style>
  <w:style w:type="character" w:customStyle="1" w:styleId="hb2CharChar">
    <w:name w:val="hb2 Char Char"/>
    <w:link w:val="hb2"/>
    <w:qFormat/>
    <w:rsid w:val="00C223F5"/>
    <w:rPr>
      <w:rFonts w:cs="Arial"/>
      <w:b/>
      <w:bCs/>
      <w:sz w:val="28"/>
      <w:szCs w:val="28"/>
    </w:rPr>
  </w:style>
  <w:style w:type="paragraph" w:customStyle="1" w:styleId="CharCharChar2CharCharCharChar">
    <w:name w:val="Char Char Char2 Char Char Char Char"/>
    <w:basedOn w:val="a"/>
    <w:qFormat/>
    <w:rsid w:val="00C223F5"/>
    <w:pPr>
      <w:adjustRightInd w:val="0"/>
      <w:spacing w:line="360" w:lineRule="auto"/>
      <w:ind w:firstLineChars="200" w:firstLine="200"/>
      <w:textAlignment w:val="baseline"/>
    </w:pPr>
    <w:rPr>
      <w:kern w:val="0"/>
      <w:sz w:val="24"/>
    </w:rPr>
  </w:style>
  <w:style w:type="paragraph" w:customStyle="1" w:styleId="400">
    <w:name w:val="样式 黑体 一号 加粗 居中 行距: 固定值 40 磅"/>
    <w:basedOn w:val="a"/>
    <w:qFormat/>
    <w:rsid w:val="00C223F5"/>
    <w:pPr>
      <w:spacing w:line="800" w:lineRule="exact"/>
      <w:jc w:val="center"/>
    </w:pPr>
    <w:rPr>
      <w:rFonts w:ascii="黑体" w:eastAsia="黑体" w:cs="宋体"/>
      <w:b/>
      <w:bCs/>
      <w:spacing w:val="40"/>
      <w:sz w:val="72"/>
      <w:szCs w:val="20"/>
    </w:rPr>
  </w:style>
  <w:style w:type="paragraph" w:customStyle="1" w:styleId="hb10">
    <w:name w:val="hb1"/>
    <w:basedOn w:val="1"/>
    <w:qFormat/>
    <w:rsid w:val="00C223F5"/>
    <w:pPr>
      <w:numPr>
        <w:numId w:val="0"/>
      </w:numPr>
      <w:adjustRightInd w:val="0"/>
      <w:spacing w:line="578" w:lineRule="atLeast"/>
      <w:jc w:val="center"/>
      <w:textAlignment w:val="baseline"/>
    </w:pPr>
    <w:rPr>
      <w:rFonts w:cs="黑体"/>
      <w:b/>
      <w:szCs w:val="32"/>
    </w:rPr>
  </w:style>
  <w:style w:type="paragraph" w:customStyle="1" w:styleId="afffffff3">
    <w:name w:val="正文 + 宋体"/>
    <w:basedOn w:val="a"/>
    <w:qFormat/>
    <w:rsid w:val="00C223F5"/>
    <w:pPr>
      <w:adjustRightInd w:val="0"/>
      <w:spacing w:line="520" w:lineRule="exact"/>
      <w:ind w:firstLineChars="200" w:firstLine="200"/>
      <w:textAlignment w:val="baseline"/>
    </w:pPr>
    <w:rPr>
      <w:rFonts w:ascii="宋体" w:cs="宋体"/>
      <w:kern w:val="0"/>
      <w:sz w:val="24"/>
    </w:rPr>
  </w:style>
  <w:style w:type="paragraph" w:customStyle="1" w:styleId="afffffff4">
    <w:name w:val="表文字（小行距）"/>
    <w:basedOn w:val="affff1"/>
    <w:qFormat/>
    <w:rsid w:val="00C223F5"/>
    <w:pPr>
      <w:widowControl w:val="0"/>
      <w:adjustRightInd w:val="0"/>
      <w:spacing w:line="240" w:lineRule="exact"/>
      <w:jc w:val="center"/>
      <w:textAlignment w:val="baseline"/>
    </w:pPr>
  </w:style>
  <w:style w:type="paragraph" w:customStyle="1" w:styleId="afffffff5">
    <w:name w:val="样式 日期 + 黑体"/>
    <w:basedOn w:val="aff3"/>
    <w:qFormat/>
    <w:rsid w:val="00C223F5"/>
    <w:pPr>
      <w:spacing w:line="500" w:lineRule="exact"/>
      <w:ind w:leftChars="0" w:left="0"/>
    </w:pPr>
    <w:rPr>
      <w:rFonts w:ascii="黑体" w:eastAsia="黑体"/>
      <w:b/>
      <w:spacing w:val="40"/>
      <w:sz w:val="30"/>
      <w:szCs w:val="30"/>
    </w:rPr>
  </w:style>
  <w:style w:type="paragraph" w:customStyle="1" w:styleId="111">
    <w:name w:val="样式11"/>
    <w:basedOn w:val="aff1"/>
    <w:qFormat/>
    <w:rsid w:val="00C223F5"/>
    <w:pPr>
      <w:widowControl w:val="0"/>
      <w:tabs>
        <w:tab w:val="clear" w:pos="5781"/>
        <w:tab w:val="left" w:pos="1431"/>
      </w:tabs>
      <w:adjustRightInd w:val="0"/>
      <w:snapToGrid w:val="0"/>
      <w:spacing w:line="500" w:lineRule="exact"/>
      <w:ind w:left="0" w:firstLineChars="200" w:firstLine="200"/>
      <w:jc w:val="center"/>
    </w:pPr>
    <w:rPr>
      <w:rFonts w:ascii="黑体" w:eastAsia="黑体" w:cs="黑体"/>
      <w:b/>
      <w:bCs/>
      <w:sz w:val="32"/>
      <w:szCs w:val="32"/>
    </w:rPr>
  </w:style>
  <w:style w:type="paragraph" w:customStyle="1" w:styleId="xl22">
    <w:name w:val="xl22"/>
    <w:basedOn w:val="a"/>
    <w:qFormat/>
    <w:rsid w:val="00C223F5"/>
    <w:pPr>
      <w:widowControl/>
      <w:adjustRightInd w:val="0"/>
      <w:snapToGrid w:val="0"/>
      <w:spacing w:before="100" w:beforeAutospacing="1" w:after="100" w:afterAutospacing="1" w:line="500" w:lineRule="exact"/>
      <w:ind w:firstLineChars="200" w:firstLine="200"/>
      <w:jc w:val="center"/>
    </w:pPr>
    <w:rPr>
      <w:rFonts w:ascii="Arial Unicode MS" w:eastAsia="Arial Unicode MS" w:hAnsi="Arial Unicode MS" w:cs="Arial Unicode MS"/>
      <w:kern w:val="0"/>
      <w:sz w:val="24"/>
    </w:rPr>
  </w:style>
  <w:style w:type="paragraph" w:customStyle="1" w:styleId="57">
    <w:name w:val="样式5"/>
    <w:basedOn w:val="1"/>
    <w:qFormat/>
    <w:rsid w:val="00C223F5"/>
    <w:pPr>
      <w:numPr>
        <w:numId w:val="0"/>
      </w:numPr>
      <w:spacing w:before="120" w:after="120" w:line="500" w:lineRule="exact"/>
      <w:ind w:firstLineChars="200" w:firstLine="200"/>
      <w:jc w:val="center"/>
    </w:pPr>
    <w:rPr>
      <w:bCs w:val="0"/>
      <w:sz w:val="44"/>
    </w:rPr>
  </w:style>
  <w:style w:type="paragraph" w:customStyle="1" w:styleId="100">
    <w:name w:val="样式10"/>
    <w:basedOn w:val="aff1"/>
    <w:qFormat/>
    <w:rsid w:val="00C223F5"/>
    <w:pPr>
      <w:widowControl w:val="0"/>
      <w:tabs>
        <w:tab w:val="clear" w:pos="5781"/>
        <w:tab w:val="left" w:pos="1431"/>
      </w:tabs>
      <w:spacing w:after="120" w:line="500" w:lineRule="exact"/>
      <w:ind w:left="0" w:firstLineChars="200" w:firstLine="200"/>
    </w:pPr>
    <w:rPr>
      <w:rFonts w:ascii="黑体" w:eastAsia="黑体" w:cs="黑体"/>
      <w:b/>
      <w:bCs/>
      <w:sz w:val="32"/>
      <w:szCs w:val="32"/>
    </w:rPr>
  </w:style>
  <w:style w:type="paragraph" w:customStyle="1" w:styleId="xl31">
    <w:name w:val="xl31"/>
    <w:basedOn w:val="a"/>
    <w:qFormat/>
    <w:rsid w:val="00C223F5"/>
    <w:pPr>
      <w:widowControl/>
      <w:pBdr>
        <w:bottom w:val="single" w:sz="4" w:space="0" w:color="auto"/>
        <w:right w:val="single" w:sz="4" w:space="0" w:color="auto"/>
      </w:pBdr>
      <w:spacing w:before="100" w:beforeAutospacing="1" w:after="100" w:afterAutospacing="1"/>
      <w:ind w:firstLineChars="200" w:firstLine="200"/>
      <w:textAlignment w:val="top"/>
    </w:pPr>
    <w:rPr>
      <w:rFonts w:ascii="Arial Unicode MS" w:eastAsia="Arial Unicode MS" w:hAnsi="Arial Unicode MS" w:cs="Arial Unicode MS"/>
      <w:kern w:val="0"/>
      <w:szCs w:val="21"/>
    </w:rPr>
  </w:style>
  <w:style w:type="paragraph" w:customStyle="1" w:styleId="afffffff6">
    <w:name w:val="环保节标题"/>
    <w:basedOn w:val="a"/>
    <w:qFormat/>
    <w:rsid w:val="00C223F5"/>
    <w:pPr>
      <w:keepNext/>
      <w:keepLines/>
      <w:adjustRightInd w:val="0"/>
      <w:spacing w:before="260" w:after="260" w:line="416" w:lineRule="atLeast"/>
      <w:ind w:firstLineChars="200" w:firstLine="200"/>
      <w:textAlignment w:val="baseline"/>
      <w:outlineLvl w:val="2"/>
    </w:pPr>
    <w:rPr>
      <w:kern w:val="0"/>
      <w:sz w:val="24"/>
    </w:rPr>
  </w:style>
  <w:style w:type="paragraph" w:customStyle="1" w:styleId="afffffff7">
    <w:name w:val="环保章标题"/>
    <w:basedOn w:val="3"/>
    <w:qFormat/>
    <w:rsid w:val="00C223F5"/>
    <w:pPr>
      <w:numPr>
        <w:numId w:val="0"/>
      </w:numPr>
      <w:adjustRightInd w:val="0"/>
      <w:spacing w:line="416" w:lineRule="atLeast"/>
      <w:ind w:firstLineChars="200" w:firstLine="200"/>
      <w:textAlignment w:val="baseline"/>
    </w:pPr>
    <w:rPr>
      <w:rFonts w:eastAsia="宋体"/>
      <w:b/>
      <w:kern w:val="0"/>
      <w:sz w:val="28"/>
      <w:szCs w:val="28"/>
    </w:rPr>
  </w:style>
  <w:style w:type="paragraph" w:customStyle="1" w:styleId="200">
    <w:name w:val="样式 行距: 最小值 20 磅"/>
    <w:basedOn w:val="a"/>
    <w:next w:val="a8"/>
    <w:qFormat/>
    <w:rsid w:val="00C223F5"/>
    <w:pPr>
      <w:adjustRightInd w:val="0"/>
      <w:spacing w:line="400" w:lineRule="atLeast"/>
      <w:ind w:firstLineChars="200" w:firstLine="200"/>
      <w:textAlignment w:val="baseline"/>
    </w:pPr>
    <w:rPr>
      <w:kern w:val="0"/>
      <w:sz w:val="24"/>
    </w:rPr>
  </w:style>
  <w:style w:type="paragraph" w:customStyle="1" w:styleId="46">
    <w:name w:val="4"/>
    <w:basedOn w:val="a"/>
    <w:next w:val="af1"/>
    <w:qFormat/>
    <w:rsid w:val="00C223F5"/>
    <w:pPr>
      <w:ind w:firstLineChars="200" w:firstLine="200"/>
    </w:pPr>
    <w:rPr>
      <w:szCs w:val="21"/>
    </w:rPr>
  </w:style>
  <w:style w:type="paragraph" w:customStyle="1" w:styleId="215">
    <w:name w:val="样式 首行缩进:  2 字符 行距: 固定值 15 磅"/>
    <w:basedOn w:val="a"/>
    <w:qFormat/>
    <w:rsid w:val="00C223F5"/>
    <w:pPr>
      <w:spacing w:line="400" w:lineRule="exact"/>
      <w:ind w:firstLineChars="200" w:firstLine="200"/>
    </w:pPr>
    <w:rPr>
      <w:sz w:val="28"/>
      <w:szCs w:val="28"/>
    </w:rPr>
  </w:style>
  <w:style w:type="paragraph" w:customStyle="1" w:styleId="font6">
    <w:name w:val="font6"/>
    <w:basedOn w:val="a"/>
    <w:qFormat/>
    <w:rsid w:val="00C223F5"/>
    <w:pPr>
      <w:widowControl/>
      <w:spacing w:before="100" w:beforeAutospacing="1" w:after="100" w:afterAutospacing="1"/>
      <w:ind w:firstLineChars="200" w:firstLine="200"/>
    </w:pPr>
    <w:rPr>
      <w:kern w:val="0"/>
      <w:sz w:val="20"/>
      <w:szCs w:val="20"/>
    </w:rPr>
  </w:style>
  <w:style w:type="paragraph" w:customStyle="1" w:styleId="xl30">
    <w:name w:val="xl30"/>
    <w:basedOn w:val="a"/>
    <w:qFormat/>
    <w:rsid w:val="00C223F5"/>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cs="宋体"/>
      <w:kern w:val="0"/>
      <w:sz w:val="20"/>
      <w:szCs w:val="20"/>
    </w:rPr>
  </w:style>
  <w:style w:type="paragraph" w:customStyle="1" w:styleId="xl35">
    <w:name w:val="xl35"/>
    <w:basedOn w:val="a"/>
    <w:qFormat/>
    <w:rsid w:val="00C223F5"/>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cs="宋体"/>
      <w:kern w:val="0"/>
      <w:sz w:val="20"/>
      <w:szCs w:val="20"/>
    </w:rPr>
  </w:style>
  <w:style w:type="paragraph" w:customStyle="1" w:styleId="xl38">
    <w:name w:val="xl38"/>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cs="宋体"/>
      <w:kern w:val="0"/>
      <w:sz w:val="20"/>
      <w:szCs w:val="20"/>
    </w:rPr>
  </w:style>
  <w:style w:type="paragraph" w:customStyle="1" w:styleId="xl39">
    <w:name w:val="xl39"/>
    <w:basedOn w:val="a"/>
    <w:qFormat/>
    <w:rsid w:val="00C223F5"/>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200"/>
      <w:jc w:val="center"/>
      <w:textAlignment w:val="center"/>
    </w:pPr>
    <w:rPr>
      <w:rFonts w:ascii="宋体" w:cs="宋体"/>
      <w:kern w:val="0"/>
      <w:sz w:val="20"/>
      <w:szCs w:val="20"/>
    </w:rPr>
  </w:style>
  <w:style w:type="paragraph" w:customStyle="1" w:styleId="xl41">
    <w:name w:val="xl41"/>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kern w:val="0"/>
      <w:sz w:val="20"/>
      <w:szCs w:val="20"/>
    </w:rPr>
  </w:style>
  <w:style w:type="paragraph" w:customStyle="1" w:styleId="xl42">
    <w:name w:val="xl42"/>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cs="宋体"/>
      <w:kern w:val="0"/>
      <w:sz w:val="20"/>
      <w:szCs w:val="20"/>
    </w:rPr>
  </w:style>
  <w:style w:type="paragraph" w:customStyle="1" w:styleId="xl43">
    <w:name w:val="xl43"/>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pPr>
    <w:rPr>
      <w:rFonts w:ascii="宋体" w:cs="宋体"/>
      <w:kern w:val="0"/>
      <w:sz w:val="20"/>
      <w:szCs w:val="20"/>
    </w:rPr>
  </w:style>
  <w:style w:type="paragraph" w:customStyle="1" w:styleId="xl45">
    <w:name w:val="xl45"/>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宋体" w:cs="宋体"/>
      <w:kern w:val="0"/>
      <w:sz w:val="20"/>
      <w:szCs w:val="20"/>
    </w:rPr>
  </w:style>
  <w:style w:type="paragraph" w:customStyle="1" w:styleId="xl47">
    <w:name w:val="xl47"/>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cs="宋体"/>
      <w:kern w:val="0"/>
      <w:sz w:val="20"/>
      <w:szCs w:val="20"/>
    </w:rPr>
  </w:style>
  <w:style w:type="paragraph" w:customStyle="1" w:styleId="xl49">
    <w:name w:val="xl49"/>
    <w:basedOn w:val="a"/>
    <w:qFormat/>
    <w:rsid w:val="00C223F5"/>
    <w:pPr>
      <w:widowControl/>
      <w:pBdr>
        <w:top w:val="single" w:sz="4" w:space="0" w:color="auto"/>
        <w:left w:val="single" w:sz="8" w:space="0" w:color="auto"/>
        <w:bottom w:val="single" w:sz="8" w:space="0" w:color="auto"/>
        <w:right w:val="single" w:sz="4" w:space="0" w:color="auto"/>
      </w:pBdr>
      <w:spacing w:before="100" w:beforeAutospacing="1" w:after="100" w:afterAutospacing="1"/>
      <w:ind w:firstLineChars="200" w:firstLine="200"/>
      <w:jc w:val="center"/>
      <w:textAlignment w:val="center"/>
    </w:pPr>
    <w:rPr>
      <w:rFonts w:ascii="宋体" w:cs="宋体"/>
      <w:kern w:val="0"/>
      <w:sz w:val="20"/>
      <w:szCs w:val="20"/>
    </w:rPr>
  </w:style>
  <w:style w:type="paragraph" w:customStyle="1" w:styleId="xl50">
    <w:name w:val="xl50"/>
    <w:basedOn w:val="a"/>
    <w:qFormat/>
    <w:rsid w:val="00C223F5"/>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200"/>
      <w:jc w:val="center"/>
      <w:textAlignment w:val="center"/>
    </w:pPr>
    <w:rPr>
      <w:rFonts w:ascii="宋体" w:cs="宋体"/>
      <w:kern w:val="0"/>
      <w:sz w:val="20"/>
      <w:szCs w:val="20"/>
    </w:rPr>
  </w:style>
  <w:style w:type="paragraph" w:customStyle="1" w:styleId="xl51">
    <w:name w:val="xl51"/>
    <w:basedOn w:val="a"/>
    <w:qFormat/>
    <w:rsid w:val="00C223F5"/>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200"/>
      <w:jc w:val="center"/>
      <w:textAlignment w:val="center"/>
    </w:pPr>
    <w:rPr>
      <w:rFonts w:ascii="宋体" w:cs="宋体"/>
      <w:kern w:val="0"/>
      <w:sz w:val="20"/>
      <w:szCs w:val="20"/>
    </w:rPr>
  </w:style>
  <w:style w:type="paragraph" w:customStyle="1" w:styleId="xl52">
    <w:name w:val="xl52"/>
    <w:basedOn w:val="a"/>
    <w:qFormat/>
    <w:rsid w:val="00C223F5"/>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200"/>
      <w:jc w:val="center"/>
      <w:textAlignment w:val="center"/>
    </w:pPr>
    <w:rPr>
      <w:rFonts w:ascii="宋体" w:cs="宋体"/>
      <w:kern w:val="0"/>
      <w:sz w:val="20"/>
      <w:szCs w:val="20"/>
    </w:rPr>
  </w:style>
  <w:style w:type="paragraph" w:customStyle="1" w:styleId="xl53">
    <w:name w:val="xl53"/>
    <w:basedOn w:val="a"/>
    <w:qFormat/>
    <w:rsid w:val="00C223F5"/>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Chars="200" w:firstLine="200"/>
      <w:jc w:val="center"/>
      <w:textAlignment w:val="center"/>
    </w:pPr>
    <w:rPr>
      <w:rFonts w:ascii="宋体" w:cs="宋体"/>
      <w:kern w:val="0"/>
      <w:sz w:val="20"/>
      <w:szCs w:val="20"/>
    </w:rPr>
  </w:style>
  <w:style w:type="paragraph" w:customStyle="1" w:styleId="afffffff8">
    <w:name w:val="图号"/>
    <w:basedOn w:val="11"/>
    <w:qFormat/>
    <w:rsid w:val="00C223F5"/>
    <w:pPr>
      <w:adjustRightInd w:val="0"/>
      <w:spacing w:line="529" w:lineRule="exact"/>
      <w:ind w:left="198"/>
      <w:textAlignment w:val="baseline"/>
    </w:pPr>
    <w:rPr>
      <w:b/>
      <w:bCs/>
      <w:kern w:val="32"/>
      <w:sz w:val="24"/>
    </w:rPr>
  </w:style>
  <w:style w:type="paragraph" w:customStyle="1" w:styleId="afffffff9">
    <w:name w:val="样式 图号 + 宋体"/>
    <w:basedOn w:val="afffffff8"/>
    <w:qFormat/>
    <w:rsid w:val="00C223F5"/>
    <w:pPr>
      <w:ind w:firstLineChars="200" w:firstLine="200"/>
    </w:pPr>
    <w:rPr>
      <w:rFonts w:ascii="宋体"/>
    </w:rPr>
  </w:style>
  <w:style w:type="paragraph" w:customStyle="1" w:styleId="hp1">
    <w:name w:val="hp1"/>
    <w:basedOn w:val="1"/>
    <w:qFormat/>
    <w:rsid w:val="00C223F5"/>
    <w:pPr>
      <w:numPr>
        <w:numId w:val="0"/>
      </w:numPr>
      <w:adjustRightInd w:val="0"/>
      <w:spacing w:line="578" w:lineRule="atLeast"/>
      <w:ind w:firstLine="880"/>
      <w:jc w:val="center"/>
      <w:textAlignment w:val="baseline"/>
    </w:pPr>
    <w:rPr>
      <w:rFonts w:ascii="黑体"/>
      <w:b/>
      <w:szCs w:val="28"/>
    </w:rPr>
  </w:style>
  <w:style w:type="paragraph" w:customStyle="1" w:styleId="hp2">
    <w:name w:val="hp2"/>
    <w:basedOn w:val="2"/>
    <w:qFormat/>
    <w:rsid w:val="00C223F5"/>
    <w:pPr>
      <w:numPr>
        <w:numId w:val="0"/>
      </w:numPr>
      <w:adjustRightInd w:val="0"/>
      <w:spacing w:line="416" w:lineRule="atLeast"/>
      <w:textAlignment w:val="baseline"/>
    </w:pPr>
    <w:rPr>
      <w:rFonts w:ascii="宋体" w:eastAsia="宋体"/>
      <w:b/>
      <w:bCs w:val="0"/>
      <w:kern w:val="0"/>
      <w:sz w:val="28"/>
      <w:szCs w:val="28"/>
    </w:rPr>
  </w:style>
  <w:style w:type="paragraph" w:customStyle="1" w:styleId="58">
    <w:name w:val="5"/>
    <w:basedOn w:val="a"/>
    <w:qFormat/>
    <w:rsid w:val="00C223F5"/>
    <w:pPr>
      <w:snapToGrid w:val="0"/>
      <w:spacing w:line="408" w:lineRule="auto"/>
      <w:ind w:left="-113" w:right="-510" w:firstLine="510"/>
    </w:pPr>
    <w:rPr>
      <w:sz w:val="24"/>
      <w:szCs w:val="20"/>
    </w:rPr>
  </w:style>
  <w:style w:type="paragraph" w:customStyle="1" w:styleId="hb405051">
    <w:name w:val="样式 hb4 + 段前: 0.5 行 段后: 0.5 行1"/>
    <w:basedOn w:val="hb4"/>
    <w:next w:val="hb4"/>
    <w:qFormat/>
    <w:rsid w:val="00C223F5"/>
    <w:pPr>
      <w:topLinePunct/>
      <w:spacing w:beforeLines="0" w:afterLines="0" w:line="300" w:lineRule="exact"/>
    </w:pPr>
    <w:rPr>
      <w:rFonts w:ascii="宋体"/>
      <w:b w:val="0"/>
      <w:bCs w:val="0"/>
      <w:color w:val="000000"/>
      <w:kern w:val="0"/>
    </w:rPr>
  </w:style>
  <w:style w:type="paragraph" w:customStyle="1" w:styleId="afffffffa">
    <w:name w:val="正文新"/>
    <w:basedOn w:val="af1"/>
    <w:qFormat/>
    <w:rsid w:val="00C223F5"/>
    <w:pPr>
      <w:topLinePunct/>
      <w:spacing w:line="500" w:lineRule="exact"/>
      <w:ind w:firstLineChars="200" w:firstLine="200"/>
    </w:pPr>
    <w:rPr>
      <w:rFonts w:ascii="宋体" w:cs="宋体"/>
      <w:sz w:val="24"/>
    </w:rPr>
  </w:style>
  <w:style w:type="paragraph" w:customStyle="1" w:styleId="hb40505">
    <w:name w:val="样式 hb4 + 段前: 0.5 行 段后: 0.5 行"/>
    <w:basedOn w:val="hb4"/>
    <w:next w:val="hb4"/>
    <w:qFormat/>
    <w:rsid w:val="00C223F5"/>
    <w:pPr>
      <w:topLinePunct/>
      <w:spacing w:beforeLines="0" w:afterLines="0" w:line="300" w:lineRule="exact"/>
    </w:pPr>
    <w:rPr>
      <w:rFonts w:ascii="宋体"/>
      <w:b w:val="0"/>
      <w:bCs w:val="0"/>
      <w:kern w:val="0"/>
    </w:rPr>
  </w:style>
  <w:style w:type="paragraph" w:customStyle="1" w:styleId="hb30">
    <w:name w:val="hb3新"/>
    <w:basedOn w:val="3"/>
    <w:qFormat/>
    <w:rsid w:val="00C223F5"/>
    <w:pPr>
      <w:numPr>
        <w:numId w:val="0"/>
      </w:numPr>
      <w:topLinePunct/>
      <w:adjustRightInd w:val="0"/>
      <w:spacing w:line="240" w:lineRule="auto"/>
      <w:ind w:firstLineChars="200" w:firstLine="200"/>
      <w:jc w:val="left"/>
      <w:textAlignment w:val="baseline"/>
    </w:pPr>
    <w:rPr>
      <w:rFonts w:ascii="宋体" w:eastAsia="宋体"/>
      <w:b/>
      <w:bCs w:val="0"/>
      <w:kern w:val="0"/>
      <w:szCs w:val="24"/>
    </w:rPr>
  </w:style>
  <w:style w:type="paragraph" w:customStyle="1" w:styleId="HP3">
    <w:name w:val="HP3"/>
    <w:basedOn w:val="3"/>
    <w:qFormat/>
    <w:rsid w:val="00C223F5"/>
    <w:pPr>
      <w:numPr>
        <w:numId w:val="0"/>
      </w:numPr>
      <w:spacing w:line="240" w:lineRule="auto"/>
      <w:jc w:val="left"/>
      <w:textAlignment w:val="baseline"/>
    </w:pPr>
    <w:rPr>
      <w:rFonts w:ascii="宋体" w:eastAsia="宋体" w:cs="宋体"/>
      <w:b/>
      <w:szCs w:val="24"/>
    </w:rPr>
  </w:style>
  <w:style w:type="paragraph" w:customStyle="1" w:styleId="360">
    <w:name w:val="样式 一号 加粗 居中 行距: 固定值 36 磅"/>
    <w:basedOn w:val="a"/>
    <w:qFormat/>
    <w:rsid w:val="00C223F5"/>
    <w:pPr>
      <w:spacing w:line="720" w:lineRule="exact"/>
      <w:jc w:val="center"/>
    </w:pPr>
    <w:rPr>
      <w:rFonts w:eastAsia="汉鼎简书宋" w:cs="宋体"/>
      <w:b/>
      <w:bCs/>
      <w:kern w:val="0"/>
      <w:sz w:val="48"/>
      <w:szCs w:val="48"/>
    </w:rPr>
  </w:style>
  <w:style w:type="paragraph" w:customStyle="1" w:styleId="hb40">
    <w:name w:val="样式 hb4 + 首行缩进:  0 厘米"/>
    <w:basedOn w:val="hb4"/>
    <w:qFormat/>
    <w:rsid w:val="00C223F5"/>
    <w:pPr>
      <w:spacing w:beforeLines="0" w:afterLines="0"/>
    </w:pPr>
    <w:rPr>
      <w:rFonts w:hAnsi="Times New Roman"/>
      <w:bCs w:val="0"/>
      <w:szCs w:val="24"/>
    </w:rPr>
  </w:style>
  <w:style w:type="paragraph" w:customStyle="1" w:styleId="47">
    <w:name w:val="样式4"/>
    <w:basedOn w:val="hb4"/>
    <w:qFormat/>
    <w:rsid w:val="00C223F5"/>
    <w:pPr>
      <w:spacing w:beforeLines="0" w:afterLines="0"/>
    </w:pPr>
    <w:rPr>
      <w:rFonts w:ascii="Arial"/>
      <w:bCs w:val="0"/>
      <w:szCs w:val="24"/>
    </w:rPr>
  </w:style>
  <w:style w:type="paragraph" w:customStyle="1" w:styleId="73">
    <w:name w:val="样式7"/>
    <w:basedOn w:val="hp1"/>
    <w:link w:val="7Char"/>
    <w:qFormat/>
    <w:rsid w:val="00C223F5"/>
    <w:pPr>
      <w:pageBreakBefore/>
      <w:ind w:firstLine="482"/>
    </w:pPr>
    <w:rPr>
      <w:rFonts w:eastAsia="宋体"/>
    </w:rPr>
  </w:style>
  <w:style w:type="paragraph" w:customStyle="1" w:styleId="20125">
    <w:name w:val="样式 (西文) 宋体 首行缩进:  2 字符 加宽量  0.1 磅 行距: 固定值 25 磅"/>
    <w:basedOn w:val="a"/>
    <w:qFormat/>
    <w:rsid w:val="00C223F5"/>
    <w:pPr>
      <w:topLinePunct/>
      <w:spacing w:line="500" w:lineRule="exact"/>
      <w:ind w:firstLineChars="200" w:firstLine="200"/>
    </w:pPr>
    <w:rPr>
      <w:rFonts w:ascii="宋体" w:eastAsia="汉鼎简书宋" w:hAnsi="宋体" w:cs="宋体"/>
      <w:spacing w:val="2"/>
      <w:sz w:val="24"/>
      <w:szCs w:val="20"/>
    </w:rPr>
  </w:style>
  <w:style w:type="paragraph" w:customStyle="1" w:styleId="hb405052">
    <w:name w:val="样式 hb4 + 段前: 0.5 行 段后: 0.5 行2"/>
    <w:basedOn w:val="hb4"/>
    <w:qFormat/>
    <w:rsid w:val="00C223F5"/>
    <w:pPr>
      <w:spacing w:beforeLines="0" w:afterLines="0"/>
    </w:pPr>
    <w:rPr>
      <w:rFonts w:ascii="Arial"/>
      <w:bCs w:val="0"/>
    </w:rPr>
  </w:style>
  <w:style w:type="paragraph" w:customStyle="1" w:styleId="hb4050526">
    <w:name w:val="样式 hb4 + 段前: 0.5 行 段后: 0.5 行 行距: 固定值 26 磅"/>
    <w:basedOn w:val="hb4"/>
    <w:qFormat/>
    <w:rsid w:val="00C223F5"/>
    <w:pPr>
      <w:spacing w:beforeLines="0" w:afterLines="0" w:line="520" w:lineRule="exact"/>
    </w:pPr>
    <w:rPr>
      <w:rFonts w:ascii="Arial"/>
      <w:bCs w:val="0"/>
    </w:rPr>
  </w:style>
  <w:style w:type="paragraph" w:customStyle="1" w:styleId="0850">
    <w:name w:val="样式 左侧:  0.85 厘米 首行缩进:  0 字符"/>
    <w:basedOn w:val="a"/>
    <w:qFormat/>
    <w:rsid w:val="00C223F5"/>
    <w:pPr>
      <w:topLinePunct/>
      <w:spacing w:line="529" w:lineRule="exact"/>
      <w:ind w:left="480"/>
    </w:pPr>
    <w:rPr>
      <w:rFonts w:eastAsia="汉鼎简书宋" w:cs="宋体"/>
      <w:sz w:val="24"/>
      <w:szCs w:val="20"/>
    </w:rPr>
  </w:style>
  <w:style w:type="paragraph" w:customStyle="1" w:styleId="kk50404">
    <w:name w:val="样式 kk5 + 段前: 0.4 行 段后: 0.4 行"/>
    <w:basedOn w:val="a"/>
    <w:qFormat/>
    <w:rsid w:val="00C223F5"/>
    <w:pPr>
      <w:keepNext/>
      <w:keepLines/>
      <w:spacing w:line="500" w:lineRule="exact"/>
      <w:ind w:firstLineChars="200" w:firstLine="200"/>
      <w:outlineLvl w:val="4"/>
    </w:pPr>
    <w:rPr>
      <w:rFonts w:ascii="宋体" w:cs="宋体"/>
      <w:sz w:val="24"/>
      <w:szCs w:val="20"/>
    </w:rPr>
  </w:style>
  <w:style w:type="paragraph" w:customStyle="1" w:styleId="099">
    <w:name w:val="样式 表号 + 首行缩进:  0.99 厘米"/>
    <w:basedOn w:val="afffff7"/>
    <w:qFormat/>
    <w:rsid w:val="00C223F5"/>
    <w:pPr>
      <w:spacing w:line="400" w:lineRule="exact"/>
      <w:ind w:firstLineChars="200" w:firstLine="200"/>
    </w:pPr>
    <w:rPr>
      <w:rFonts w:ascii="宋体" w:cs="宋体"/>
      <w:szCs w:val="20"/>
    </w:rPr>
  </w:style>
  <w:style w:type="paragraph" w:customStyle="1" w:styleId="0144">
    <w:name w:val="样式 正文 + 左侧:  0 厘米 悬挂缩进: 14.4 字符"/>
    <w:basedOn w:val="a"/>
    <w:qFormat/>
    <w:rsid w:val="00C223F5"/>
    <w:pPr>
      <w:widowControl/>
      <w:spacing w:line="529" w:lineRule="exact"/>
      <w:ind w:firstLineChars="200" w:firstLine="200"/>
      <w:jc w:val="left"/>
    </w:pPr>
    <w:rPr>
      <w:rFonts w:cs="宋体"/>
      <w:sz w:val="24"/>
      <w:szCs w:val="20"/>
    </w:rPr>
  </w:style>
  <w:style w:type="paragraph" w:customStyle="1" w:styleId="hb405053">
    <w:name w:val="样式 hb4 + 段前: 0.5 行 段后: 0.5 行3"/>
    <w:basedOn w:val="hb4"/>
    <w:qFormat/>
    <w:rsid w:val="00C223F5"/>
    <w:pPr>
      <w:spacing w:beforeLines="0" w:afterLines="0"/>
    </w:pPr>
    <w:rPr>
      <w:rFonts w:ascii="宋体"/>
      <w:bCs w:val="0"/>
      <w:kern w:val="2"/>
    </w:rPr>
  </w:style>
  <w:style w:type="paragraph" w:customStyle="1" w:styleId="2CharChar">
    <w:name w:val="样式2 Char Char"/>
    <w:basedOn w:val="a"/>
    <w:qFormat/>
    <w:rsid w:val="00C223F5"/>
    <w:pPr>
      <w:spacing w:line="520" w:lineRule="exact"/>
      <w:ind w:firstLineChars="200" w:firstLine="200"/>
    </w:pPr>
    <w:rPr>
      <w:rFonts w:ascii="宋体"/>
      <w:color w:val="FF0000"/>
      <w:sz w:val="28"/>
      <w:szCs w:val="28"/>
    </w:rPr>
  </w:style>
  <w:style w:type="paragraph" w:customStyle="1" w:styleId="alt2">
    <w:name w:val="alt+2 节"/>
    <w:basedOn w:val="2"/>
    <w:next w:val="a"/>
    <w:qFormat/>
    <w:rsid w:val="00C223F5"/>
    <w:pPr>
      <w:widowControl/>
      <w:numPr>
        <w:numId w:val="0"/>
      </w:numPr>
      <w:spacing w:beforeLines="50" w:afterLines="50" w:line="500" w:lineRule="exact"/>
      <w:jc w:val="left"/>
      <w:textAlignment w:val="baseline"/>
    </w:pPr>
    <w:rPr>
      <w:rFonts w:ascii="黑体" w:eastAsia="宋体" w:hAnsi="黑体"/>
      <w:b/>
      <w:kern w:val="0"/>
      <w:sz w:val="28"/>
      <w:szCs w:val="28"/>
      <w:u w:color="000000"/>
    </w:rPr>
  </w:style>
  <w:style w:type="paragraph" w:customStyle="1" w:styleId="GB2312">
    <w:name w:val="样式 宁扬 + 仿宋_GB2312"/>
    <w:basedOn w:val="a"/>
    <w:qFormat/>
    <w:rsid w:val="00C223F5"/>
    <w:pPr>
      <w:spacing w:line="500" w:lineRule="exact"/>
      <w:ind w:firstLineChars="200" w:firstLine="200"/>
    </w:pPr>
    <w:rPr>
      <w:rFonts w:ascii="仿宋_GB2312" w:eastAsia="仿宋_GB2312"/>
      <w:sz w:val="28"/>
      <w:szCs w:val="28"/>
    </w:rPr>
  </w:style>
  <w:style w:type="paragraph" w:customStyle="1" w:styleId="59">
    <w:name w:val="标题5"/>
    <w:basedOn w:val="a"/>
    <w:qFormat/>
    <w:rsid w:val="00C223F5"/>
    <w:pPr>
      <w:widowControl/>
      <w:spacing w:before="100" w:beforeAutospacing="1" w:after="100" w:afterAutospacing="1"/>
      <w:jc w:val="left"/>
    </w:pPr>
    <w:rPr>
      <w:rFonts w:ascii="宋体"/>
      <w:kern w:val="0"/>
      <w:sz w:val="24"/>
      <w:szCs w:val="20"/>
    </w:rPr>
  </w:style>
  <w:style w:type="paragraph" w:customStyle="1" w:styleId="BCD">
    <w:name w:val="BCD表内文稿"/>
    <w:basedOn w:val="a"/>
    <w:qFormat/>
    <w:rsid w:val="00C223F5"/>
    <w:pPr>
      <w:adjustRightInd w:val="0"/>
      <w:snapToGrid w:val="0"/>
      <w:spacing w:line="360" w:lineRule="exact"/>
      <w:jc w:val="center"/>
    </w:pPr>
    <w:rPr>
      <w:rFonts w:eastAsia="仿宋_GB2312"/>
      <w:w w:val="90"/>
      <w:sz w:val="24"/>
    </w:rPr>
  </w:style>
  <w:style w:type="paragraph" w:customStyle="1" w:styleId="2d">
    <w:name w:val="正文文字2"/>
    <w:basedOn w:val="a"/>
    <w:qFormat/>
    <w:rsid w:val="00C223F5"/>
    <w:pPr>
      <w:spacing w:line="360" w:lineRule="auto"/>
      <w:ind w:firstLineChars="200" w:firstLine="200"/>
    </w:pPr>
    <w:rPr>
      <w:sz w:val="24"/>
    </w:rPr>
  </w:style>
  <w:style w:type="paragraph" w:customStyle="1" w:styleId="xl25">
    <w:name w:val="xl25"/>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8"/>
      <w:szCs w:val="18"/>
    </w:rPr>
  </w:style>
  <w:style w:type="paragraph" w:customStyle="1" w:styleId="xl27">
    <w:name w:val="xl27"/>
    <w:basedOn w:val="a"/>
    <w:qFormat/>
    <w:rsid w:val="00C223F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kern w:val="0"/>
      <w:sz w:val="20"/>
      <w:szCs w:val="20"/>
    </w:rPr>
  </w:style>
  <w:style w:type="paragraph" w:customStyle="1" w:styleId="font8">
    <w:name w:val="font8"/>
    <w:basedOn w:val="a"/>
    <w:qFormat/>
    <w:rsid w:val="00C223F5"/>
    <w:pPr>
      <w:widowControl/>
      <w:spacing w:before="100" w:beforeAutospacing="1" w:after="100" w:afterAutospacing="1"/>
      <w:jc w:val="left"/>
    </w:pPr>
    <w:rPr>
      <w:rFonts w:eastAsia="Arial Unicode MS"/>
      <w:kern w:val="0"/>
      <w:sz w:val="24"/>
    </w:rPr>
  </w:style>
  <w:style w:type="paragraph" w:customStyle="1" w:styleId="92">
    <w:name w:val="样式9"/>
    <w:basedOn w:val="a"/>
    <w:qFormat/>
    <w:rsid w:val="00C223F5"/>
    <w:pPr>
      <w:spacing w:before="120" w:after="120" w:line="500" w:lineRule="exact"/>
    </w:pPr>
    <w:rPr>
      <w:rFonts w:ascii="黑体" w:eastAsia="黑体"/>
      <w:b/>
      <w:bCs/>
      <w:sz w:val="44"/>
    </w:rPr>
  </w:style>
  <w:style w:type="paragraph" w:customStyle="1" w:styleId="050">
    <w:name w:val="样式 图名 + 段前: 0.5 行"/>
    <w:basedOn w:val="afffffff"/>
    <w:qFormat/>
    <w:rsid w:val="00C223F5"/>
    <w:pPr>
      <w:spacing w:before="50" w:line="240" w:lineRule="auto"/>
    </w:pPr>
    <w:rPr>
      <w:rFonts w:ascii="黑体" w:eastAsia="黑体" w:cs="Times New Roman"/>
      <w:color w:val="auto"/>
      <w:spacing w:val="-10"/>
      <w:szCs w:val="20"/>
    </w:rPr>
  </w:style>
  <w:style w:type="paragraph" w:customStyle="1" w:styleId="Style97">
    <w:name w:val="_Style 97"/>
    <w:basedOn w:val="a"/>
    <w:next w:val="24"/>
    <w:qFormat/>
    <w:rsid w:val="00C223F5"/>
    <w:pPr>
      <w:tabs>
        <w:tab w:val="left" w:pos="5370"/>
      </w:tabs>
      <w:adjustRightInd w:val="0"/>
      <w:spacing w:line="360" w:lineRule="auto"/>
      <w:ind w:firstLine="480"/>
    </w:pPr>
    <w:rPr>
      <w:rFonts w:ascii="宋体"/>
      <w:sz w:val="24"/>
      <w:szCs w:val="20"/>
    </w:rPr>
  </w:style>
  <w:style w:type="paragraph" w:customStyle="1" w:styleId="xl58">
    <w:name w:val="xl58"/>
    <w:basedOn w:val="a"/>
    <w:qFormat/>
    <w:rsid w:val="00C223F5"/>
    <w:pPr>
      <w:pBdr>
        <w:left w:val="single" w:sz="4" w:space="0" w:color="auto"/>
        <w:bottom w:val="single" w:sz="4" w:space="0" w:color="000000"/>
        <w:right w:val="single" w:sz="4" w:space="0" w:color="auto"/>
      </w:pBdr>
      <w:spacing w:before="100" w:beforeAutospacing="1" w:after="100" w:afterAutospacing="1"/>
      <w:jc w:val="center"/>
    </w:pPr>
    <w:rPr>
      <w:rFonts w:ascii="Arial Unicode MS" w:eastAsia="Arial Unicode MS" w:hAnsi="Arial Unicode MS"/>
      <w:szCs w:val="20"/>
    </w:rPr>
  </w:style>
  <w:style w:type="paragraph" w:customStyle="1" w:styleId="font1">
    <w:name w:val="font1"/>
    <w:basedOn w:val="a"/>
    <w:qFormat/>
    <w:rsid w:val="00C223F5"/>
    <w:pPr>
      <w:widowControl/>
      <w:spacing w:before="100" w:beforeAutospacing="1" w:after="100" w:afterAutospacing="1"/>
      <w:jc w:val="left"/>
    </w:pPr>
    <w:rPr>
      <w:rFonts w:ascii="宋体"/>
      <w:kern w:val="0"/>
      <w:sz w:val="24"/>
    </w:rPr>
  </w:style>
  <w:style w:type="paragraph" w:customStyle="1" w:styleId="font9">
    <w:name w:val="font9"/>
    <w:basedOn w:val="a"/>
    <w:qFormat/>
    <w:rsid w:val="00C223F5"/>
    <w:pPr>
      <w:widowControl/>
      <w:spacing w:before="100" w:beforeAutospacing="1" w:after="100" w:afterAutospacing="1"/>
      <w:jc w:val="left"/>
    </w:pPr>
    <w:rPr>
      <w:kern w:val="0"/>
      <w:sz w:val="28"/>
      <w:szCs w:val="28"/>
    </w:rPr>
  </w:style>
  <w:style w:type="paragraph" w:customStyle="1" w:styleId="font10">
    <w:name w:val="font10"/>
    <w:basedOn w:val="a"/>
    <w:qFormat/>
    <w:rsid w:val="00C223F5"/>
    <w:pPr>
      <w:widowControl/>
      <w:spacing w:before="100" w:beforeAutospacing="1" w:after="100" w:afterAutospacing="1"/>
      <w:jc w:val="left"/>
    </w:pPr>
    <w:rPr>
      <w:kern w:val="0"/>
      <w:sz w:val="32"/>
      <w:szCs w:val="32"/>
    </w:rPr>
  </w:style>
  <w:style w:type="paragraph" w:customStyle="1" w:styleId="font11">
    <w:name w:val="font11"/>
    <w:basedOn w:val="a"/>
    <w:qFormat/>
    <w:rsid w:val="00C223F5"/>
    <w:pPr>
      <w:widowControl/>
      <w:spacing w:before="100" w:beforeAutospacing="1" w:after="100" w:afterAutospacing="1"/>
      <w:jc w:val="left"/>
    </w:pPr>
    <w:rPr>
      <w:kern w:val="0"/>
      <w:sz w:val="36"/>
      <w:szCs w:val="36"/>
    </w:rPr>
  </w:style>
  <w:style w:type="paragraph" w:customStyle="1" w:styleId="font12">
    <w:name w:val="font12"/>
    <w:basedOn w:val="a"/>
    <w:qFormat/>
    <w:rsid w:val="00C223F5"/>
    <w:pPr>
      <w:widowControl/>
      <w:spacing w:before="100" w:beforeAutospacing="1" w:after="100" w:afterAutospacing="1"/>
      <w:jc w:val="left"/>
    </w:pPr>
    <w:rPr>
      <w:rFonts w:ascii="宋体"/>
      <w:kern w:val="0"/>
      <w:sz w:val="36"/>
      <w:szCs w:val="36"/>
    </w:rPr>
  </w:style>
  <w:style w:type="paragraph" w:customStyle="1" w:styleId="xl23">
    <w:name w:val="xl23"/>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黑体"/>
      <w:kern w:val="0"/>
      <w:sz w:val="24"/>
    </w:rPr>
  </w:style>
  <w:style w:type="paragraph" w:customStyle="1" w:styleId="xl56">
    <w:name w:val="xl56"/>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0"/>
      <w:szCs w:val="20"/>
    </w:rPr>
  </w:style>
  <w:style w:type="paragraph" w:customStyle="1" w:styleId="xl57">
    <w:name w:val="xl57"/>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kern w:val="0"/>
      <w:sz w:val="20"/>
      <w:szCs w:val="20"/>
    </w:rPr>
  </w:style>
  <w:style w:type="paragraph" w:customStyle="1" w:styleId="xl59">
    <w:name w:val="xl59"/>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60">
    <w:name w:val="xl60"/>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2"/>
      <w:szCs w:val="22"/>
    </w:rPr>
  </w:style>
  <w:style w:type="paragraph" w:customStyle="1" w:styleId="xl61">
    <w:name w:val="xl61"/>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2">
    <w:name w:val="xl62"/>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64">
    <w:name w:val="xl64"/>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xl66">
    <w:name w:val="xl66"/>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xl67">
    <w:name w:val="xl67"/>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68">
    <w:name w:val="xl68"/>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69">
    <w:name w:val="xl69"/>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70">
    <w:name w:val="xl70"/>
    <w:basedOn w:val="a"/>
    <w:qFormat/>
    <w:rsid w:val="00C223F5"/>
    <w:pPr>
      <w:widowControl/>
      <w:spacing w:before="100" w:beforeAutospacing="1" w:after="100" w:afterAutospacing="1"/>
      <w:jc w:val="center"/>
    </w:pPr>
    <w:rPr>
      <w:rFonts w:ascii="Arial Unicode MS" w:eastAsia="Arial Unicode MS" w:hAnsi="Arial Unicode MS" w:cs="Arial Unicode MS"/>
      <w:kern w:val="0"/>
      <w:sz w:val="28"/>
      <w:szCs w:val="28"/>
    </w:rPr>
  </w:style>
  <w:style w:type="paragraph" w:customStyle="1" w:styleId="xl71">
    <w:name w:val="xl71"/>
    <w:basedOn w:val="a"/>
    <w:qFormat/>
    <w:rsid w:val="00C223F5"/>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72">
    <w:name w:val="xl72"/>
    <w:basedOn w:val="a"/>
    <w:qFormat/>
    <w:rsid w:val="00C223F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73">
    <w:name w:val="xl73"/>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74">
    <w:name w:val="xl74"/>
    <w:basedOn w:val="a"/>
    <w:qFormat/>
    <w:rsid w:val="00C223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75">
    <w:name w:val="xl75"/>
    <w:basedOn w:val="a"/>
    <w:qFormat/>
    <w:rsid w:val="00C223F5"/>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76">
    <w:name w:val="xl76"/>
    <w:basedOn w:val="a"/>
    <w:qFormat/>
    <w:rsid w:val="00C223F5"/>
    <w:pPr>
      <w:widowControl/>
      <w:pBdr>
        <w:top w:val="single" w:sz="4" w:space="0" w:color="auto"/>
        <w:left w:val="single" w:sz="4" w:space="0" w:color="auto"/>
      </w:pBdr>
      <w:spacing w:before="100" w:beforeAutospacing="1" w:after="100" w:afterAutospacing="1"/>
      <w:jc w:val="center"/>
      <w:textAlignment w:val="center"/>
    </w:pPr>
    <w:rPr>
      <w:rFonts w:ascii="宋体"/>
      <w:kern w:val="0"/>
      <w:sz w:val="20"/>
      <w:szCs w:val="20"/>
    </w:rPr>
  </w:style>
  <w:style w:type="paragraph" w:customStyle="1" w:styleId="xl77">
    <w:name w:val="xl77"/>
    <w:basedOn w:val="a"/>
    <w:qFormat/>
    <w:rsid w:val="00C223F5"/>
    <w:pPr>
      <w:widowControl/>
      <w:pBdr>
        <w:top w:val="single" w:sz="4" w:space="0" w:color="auto"/>
      </w:pBdr>
      <w:spacing w:before="100" w:beforeAutospacing="1" w:after="100" w:afterAutospacing="1"/>
      <w:jc w:val="center"/>
      <w:textAlignment w:val="center"/>
    </w:pPr>
    <w:rPr>
      <w:rFonts w:ascii="宋体"/>
      <w:kern w:val="0"/>
      <w:sz w:val="20"/>
      <w:szCs w:val="20"/>
    </w:rPr>
  </w:style>
  <w:style w:type="paragraph" w:customStyle="1" w:styleId="xl78">
    <w:name w:val="xl78"/>
    <w:basedOn w:val="a"/>
    <w:qFormat/>
    <w:rsid w:val="00C223F5"/>
    <w:pPr>
      <w:widowControl/>
      <w:pBdr>
        <w:top w:val="single" w:sz="4" w:space="0" w:color="auto"/>
        <w:right w:val="single" w:sz="4" w:space="0" w:color="auto"/>
      </w:pBdr>
      <w:spacing w:before="100" w:beforeAutospacing="1" w:after="100" w:afterAutospacing="1"/>
      <w:jc w:val="center"/>
      <w:textAlignment w:val="center"/>
    </w:pPr>
    <w:rPr>
      <w:rFonts w:ascii="宋体"/>
      <w:kern w:val="0"/>
      <w:sz w:val="20"/>
      <w:szCs w:val="20"/>
    </w:rPr>
  </w:style>
  <w:style w:type="paragraph" w:customStyle="1" w:styleId="xl79">
    <w:name w:val="xl79"/>
    <w:basedOn w:val="a"/>
    <w:qFormat/>
    <w:rsid w:val="00C223F5"/>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kern w:val="0"/>
      <w:sz w:val="20"/>
      <w:szCs w:val="20"/>
    </w:rPr>
  </w:style>
  <w:style w:type="paragraph" w:customStyle="1" w:styleId="xl80">
    <w:name w:val="xl80"/>
    <w:basedOn w:val="a"/>
    <w:qFormat/>
    <w:rsid w:val="00C223F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kern w:val="0"/>
      <w:sz w:val="20"/>
      <w:szCs w:val="20"/>
    </w:rPr>
  </w:style>
  <w:style w:type="paragraph" w:customStyle="1" w:styleId="270">
    <w:name w:val="样式  + 行距: 固定值 27 磅"/>
    <w:basedOn w:val="a"/>
    <w:qFormat/>
    <w:rsid w:val="00C223F5"/>
    <w:pPr>
      <w:spacing w:line="540" w:lineRule="exact"/>
      <w:ind w:firstLine="425"/>
    </w:pPr>
    <w:rPr>
      <w:sz w:val="24"/>
      <w:szCs w:val="20"/>
    </w:rPr>
  </w:style>
  <w:style w:type="paragraph" w:customStyle="1" w:styleId="1a">
    <w:name w:val="普通表格1"/>
    <w:qFormat/>
    <w:rsid w:val="00C223F5"/>
    <w:pPr>
      <w:spacing w:line="351" w:lineRule="atLeast"/>
      <w:ind w:firstLine="419"/>
      <w:jc w:val="both"/>
      <w:textAlignment w:val="baseline"/>
    </w:pPr>
    <w:rPr>
      <w:color w:val="000000"/>
      <w:sz w:val="21"/>
      <w:u w:color="000000"/>
    </w:rPr>
  </w:style>
  <w:style w:type="paragraph" w:customStyle="1" w:styleId="afffffffb">
    <w:name w:val="文章总标题"/>
    <w:basedOn w:val="a"/>
    <w:next w:val="afffffffc"/>
    <w:qFormat/>
    <w:rsid w:val="00C223F5"/>
    <w:pPr>
      <w:widowControl/>
      <w:spacing w:before="566" w:after="544" w:line="566" w:lineRule="atLeast"/>
      <w:jc w:val="center"/>
      <w:textAlignment w:val="baseline"/>
    </w:pPr>
    <w:rPr>
      <w:rFonts w:ascii="Arial" w:eastAsia="黑体" w:hAnsi="Arial"/>
      <w:color w:val="000000"/>
      <w:kern w:val="0"/>
      <w:sz w:val="54"/>
      <w:szCs w:val="20"/>
      <w:u w:color="000000"/>
    </w:rPr>
  </w:style>
  <w:style w:type="paragraph" w:customStyle="1" w:styleId="afffffffc">
    <w:name w:val="文章附标题"/>
    <w:basedOn w:val="a"/>
    <w:next w:val="affff8"/>
    <w:qFormat/>
    <w:rsid w:val="00C223F5"/>
    <w:pPr>
      <w:widowControl/>
      <w:spacing w:before="187" w:after="175" w:line="374" w:lineRule="atLeast"/>
      <w:jc w:val="center"/>
      <w:textAlignment w:val="baseline"/>
    </w:pPr>
    <w:rPr>
      <w:color w:val="000000"/>
      <w:kern w:val="0"/>
      <w:sz w:val="36"/>
      <w:szCs w:val="20"/>
      <w:u w:color="000000"/>
    </w:rPr>
  </w:style>
  <w:style w:type="paragraph" w:customStyle="1" w:styleId="afffffffd">
    <w:name w:val="目录标题"/>
    <w:basedOn w:val="a"/>
    <w:next w:val="a"/>
    <w:qFormat/>
    <w:rsid w:val="00C223F5"/>
    <w:pPr>
      <w:widowControl/>
      <w:spacing w:before="215" w:after="419" w:line="436" w:lineRule="atLeast"/>
      <w:ind w:firstLine="419"/>
      <w:jc w:val="center"/>
      <w:textAlignment w:val="baseline"/>
    </w:pPr>
    <w:rPr>
      <w:rFonts w:ascii="Arial" w:eastAsia="黑体" w:hAnsi="Arial"/>
      <w:color w:val="000000"/>
      <w:spacing w:val="283"/>
      <w:kern w:val="0"/>
      <w:sz w:val="42"/>
      <w:szCs w:val="20"/>
      <w:u w:color="000000"/>
    </w:rPr>
  </w:style>
  <w:style w:type="paragraph" w:customStyle="1" w:styleId="1b">
    <w:name w:val="目录1"/>
    <w:basedOn w:val="a"/>
    <w:next w:val="a"/>
    <w:qFormat/>
    <w:rsid w:val="00C223F5"/>
    <w:pPr>
      <w:widowControl/>
      <w:tabs>
        <w:tab w:val="left" w:leader="dot" w:pos="8503"/>
      </w:tabs>
      <w:spacing w:after="102" w:line="215" w:lineRule="atLeast"/>
      <w:ind w:firstLine="419"/>
      <w:jc w:val="left"/>
      <w:textAlignment w:val="baseline"/>
    </w:pPr>
    <w:rPr>
      <w:color w:val="000000"/>
      <w:kern w:val="0"/>
      <w:szCs w:val="20"/>
      <w:u w:color="000000"/>
    </w:rPr>
  </w:style>
  <w:style w:type="paragraph" w:customStyle="1" w:styleId="2e">
    <w:name w:val="目录2"/>
    <w:basedOn w:val="a"/>
    <w:next w:val="a"/>
    <w:qFormat/>
    <w:rsid w:val="00C223F5"/>
    <w:pPr>
      <w:widowControl/>
      <w:tabs>
        <w:tab w:val="left" w:leader="dot" w:pos="8503"/>
      </w:tabs>
      <w:spacing w:line="317" w:lineRule="atLeast"/>
      <w:ind w:left="419" w:firstLine="419"/>
      <w:textAlignment w:val="baseline"/>
    </w:pPr>
    <w:rPr>
      <w:color w:val="000000"/>
      <w:kern w:val="0"/>
      <w:szCs w:val="20"/>
      <w:u w:color="000000"/>
    </w:rPr>
  </w:style>
  <w:style w:type="paragraph" w:customStyle="1" w:styleId="48">
    <w:name w:val="目录4"/>
    <w:basedOn w:val="a"/>
    <w:next w:val="a"/>
    <w:qFormat/>
    <w:rsid w:val="00C223F5"/>
    <w:pPr>
      <w:widowControl/>
      <w:tabs>
        <w:tab w:val="left" w:leader="dot" w:pos="8503"/>
      </w:tabs>
      <w:spacing w:line="317" w:lineRule="atLeast"/>
      <w:ind w:left="419" w:firstLine="629"/>
      <w:textAlignment w:val="baseline"/>
    </w:pPr>
    <w:rPr>
      <w:color w:val="000000"/>
      <w:kern w:val="0"/>
      <w:szCs w:val="20"/>
      <w:u w:color="000000"/>
    </w:rPr>
  </w:style>
  <w:style w:type="paragraph" w:customStyle="1" w:styleId="3f1">
    <w:name w:val="目录3"/>
    <w:basedOn w:val="a"/>
    <w:next w:val="a"/>
    <w:qFormat/>
    <w:rsid w:val="00C223F5"/>
    <w:pPr>
      <w:widowControl/>
      <w:tabs>
        <w:tab w:val="left" w:leader="dot" w:pos="8503"/>
      </w:tabs>
      <w:spacing w:line="317" w:lineRule="atLeast"/>
      <w:ind w:left="419" w:firstLine="419"/>
      <w:textAlignment w:val="baseline"/>
    </w:pPr>
    <w:rPr>
      <w:color w:val="000000"/>
      <w:kern w:val="0"/>
      <w:szCs w:val="20"/>
      <w:u w:color="000000"/>
    </w:rPr>
  </w:style>
  <w:style w:type="paragraph" w:customStyle="1" w:styleId="1c">
    <w:name w:val="无列表1"/>
    <w:qFormat/>
    <w:rsid w:val="00C223F5"/>
    <w:pPr>
      <w:spacing w:line="351" w:lineRule="atLeast"/>
      <w:ind w:firstLine="419"/>
      <w:jc w:val="both"/>
      <w:textAlignment w:val="baseline"/>
    </w:pPr>
    <w:rPr>
      <w:color w:val="000000"/>
      <w:sz w:val="21"/>
      <w:u w:color="000000"/>
    </w:rPr>
  </w:style>
  <w:style w:type="paragraph" w:customStyle="1" w:styleId="1d">
    <w:name w:val="网格型1"/>
    <w:basedOn w:val="1a"/>
    <w:qFormat/>
    <w:rsid w:val="00C223F5"/>
  </w:style>
  <w:style w:type="paragraph" w:customStyle="1" w:styleId="afffffffe">
    <w:name w:val="自正文"/>
    <w:basedOn w:val="a"/>
    <w:qFormat/>
    <w:rsid w:val="00C223F5"/>
    <w:pPr>
      <w:spacing w:line="500" w:lineRule="exact"/>
      <w:ind w:firstLineChars="200" w:firstLine="200"/>
    </w:pPr>
    <w:rPr>
      <w:kern w:val="0"/>
      <w:sz w:val="24"/>
      <w:szCs w:val="20"/>
    </w:rPr>
  </w:style>
  <w:style w:type="paragraph" w:customStyle="1" w:styleId="alt1">
    <w:name w:val="alt+1 章名"/>
    <w:basedOn w:val="1"/>
    <w:next w:val="afffffffe"/>
    <w:qFormat/>
    <w:rsid w:val="00C223F5"/>
    <w:pPr>
      <w:numPr>
        <w:numId w:val="0"/>
      </w:numPr>
      <w:spacing w:before="0" w:after="0" w:line="500" w:lineRule="exact"/>
      <w:jc w:val="center"/>
    </w:pPr>
    <w:rPr>
      <w:b/>
    </w:rPr>
  </w:style>
  <w:style w:type="paragraph" w:customStyle="1" w:styleId="alt3">
    <w:name w:val="alt+3　段"/>
    <w:basedOn w:val="3"/>
    <w:next w:val="afffffffe"/>
    <w:qFormat/>
    <w:rsid w:val="00C223F5"/>
    <w:pPr>
      <w:numPr>
        <w:numId w:val="0"/>
      </w:numPr>
      <w:spacing w:before="0" w:after="0" w:line="500" w:lineRule="exact"/>
      <w:jc w:val="left"/>
    </w:pPr>
    <w:rPr>
      <w:rFonts w:ascii="Arial Narrow" w:eastAsia="宋体" w:hAnsi="Arial Narrow"/>
      <w:b/>
      <w:bCs w:val="0"/>
      <w:color w:val="000000"/>
      <w:kern w:val="0"/>
      <w:szCs w:val="24"/>
    </w:rPr>
  </w:style>
  <w:style w:type="paragraph" w:customStyle="1" w:styleId="00">
    <w:name w:val="样式0"/>
    <w:basedOn w:val="1"/>
    <w:qFormat/>
    <w:rsid w:val="00C223F5"/>
    <w:pPr>
      <w:numPr>
        <w:numId w:val="0"/>
      </w:numPr>
      <w:spacing w:line="578" w:lineRule="auto"/>
      <w:jc w:val="center"/>
    </w:pPr>
    <w:rPr>
      <w:rFonts w:ascii="黑体"/>
      <w:b/>
      <w:color w:val="000000"/>
      <w:kern w:val="2"/>
      <w:szCs w:val="32"/>
      <w:u w:color="000000"/>
    </w:rPr>
  </w:style>
  <w:style w:type="paragraph" w:customStyle="1" w:styleId="112">
    <w:name w:val="样式1.1"/>
    <w:basedOn w:val="2"/>
    <w:qFormat/>
    <w:rsid w:val="00C223F5"/>
    <w:pPr>
      <w:widowControl/>
      <w:numPr>
        <w:numId w:val="0"/>
      </w:numPr>
      <w:spacing w:before="120" w:after="120" w:line="416" w:lineRule="atLeast"/>
      <w:textAlignment w:val="baseline"/>
    </w:pPr>
    <w:rPr>
      <w:rFonts w:ascii="黑体" w:eastAsia="黑体"/>
      <w:b/>
      <w:color w:val="000000"/>
      <w:kern w:val="0"/>
      <w:sz w:val="28"/>
      <w:szCs w:val="28"/>
      <w:u w:color="000000"/>
    </w:rPr>
  </w:style>
  <w:style w:type="paragraph" w:customStyle="1" w:styleId="3f2">
    <w:name w:val="样式3"/>
    <w:basedOn w:val="3"/>
    <w:qFormat/>
    <w:rsid w:val="00C223F5"/>
    <w:pPr>
      <w:numPr>
        <w:numId w:val="0"/>
      </w:numPr>
      <w:spacing w:before="120" w:after="120" w:line="500" w:lineRule="exact"/>
      <w:jc w:val="left"/>
    </w:pPr>
    <w:rPr>
      <w:rFonts w:ascii="Arial Narrow" w:eastAsia="宋体" w:hAnsi="Arial Narrow"/>
      <w:b/>
      <w:bCs w:val="0"/>
      <w:color w:val="000000"/>
      <w:kern w:val="0"/>
      <w:sz w:val="28"/>
      <w:szCs w:val="24"/>
    </w:rPr>
  </w:style>
  <w:style w:type="paragraph" w:customStyle="1" w:styleId="1e">
    <w:name w:val="正文缩进1"/>
    <w:basedOn w:val="a"/>
    <w:qFormat/>
    <w:rsid w:val="00C223F5"/>
    <w:rPr>
      <w:szCs w:val="20"/>
    </w:rPr>
  </w:style>
  <w:style w:type="paragraph" w:customStyle="1" w:styleId="KopfzeileA4Q">
    <w:name w:val="KopfzeileA4Q"/>
    <w:basedOn w:val="a"/>
    <w:qFormat/>
    <w:rsid w:val="00C223F5"/>
    <w:pPr>
      <w:widowControl/>
      <w:tabs>
        <w:tab w:val="center" w:pos="7920"/>
        <w:tab w:val="left" w:pos="12240"/>
        <w:tab w:val="right" w:pos="15300"/>
      </w:tabs>
      <w:spacing w:line="240" w:lineRule="atLeast"/>
      <w:jc w:val="left"/>
    </w:pPr>
    <w:rPr>
      <w:rFonts w:ascii="Arial" w:hAnsi="Arial"/>
      <w:kern w:val="0"/>
      <w:sz w:val="20"/>
      <w:szCs w:val="20"/>
      <w:lang w:eastAsia="en-US"/>
    </w:rPr>
  </w:style>
  <w:style w:type="paragraph" w:customStyle="1" w:styleId="xl81">
    <w:name w:val="xl81"/>
    <w:basedOn w:val="a"/>
    <w:qFormat/>
    <w:rsid w:val="00C223F5"/>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82">
    <w:name w:val="xl82"/>
    <w:basedOn w:val="a"/>
    <w:qFormat/>
    <w:rsid w:val="00C223F5"/>
    <w:pPr>
      <w:widowControl/>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83">
    <w:name w:val="xl83"/>
    <w:basedOn w:val="a"/>
    <w:qFormat/>
    <w:rsid w:val="00C223F5"/>
    <w:pPr>
      <w:widowControl/>
      <w:pBdr>
        <w:top w:val="single" w:sz="4" w:space="0" w:color="auto"/>
        <w:bottom w:val="single" w:sz="4" w:space="0" w:color="auto"/>
        <w:right w:val="single" w:sz="4" w:space="0" w:color="000000"/>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84">
    <w:name w:val="xl84"/>
    <w:basedOn w:val="a"/>
    <w:qFormat/>
    <w:rsid w:val="00C223F5"/>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85">
    <w:name w:val="xl85"/>
    <w:basedOn w:val="a"/>
    <w:qFormat/>
    <w:rsid w:val="00C223F5"/>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86">
    <w:name w:val="xl86"/>
    <w:basedOn w:val="a"/>
    <w:qFormat/>
    <w:rsid w:val="00C223F5"/>
    <w:pPr>
      <w:widowControl/>
      <w:pBdr>
        <w:left w:val="single" w:sz="4" w:space="0" w:color="auto"/>
        <w:bottom w:val="single" w:sz="4" w:space="0" w:color="000000"/>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87">
    <w:name w:val="xl87"/>
    <w:basedOn w:val="a"/>
    <w:qFormat/>
    <w:rsid w:val="00C223F5"/>
    <w:pPr>
      <w:widowControl/>
      <w:shd w:val="clear" w:color="auto" w:fill="FFFFFF"/>
      <w:spacing w:before="100" w:beforeAutospacing="1" w:after="100" w:afterAutospacing="1"/>
      <w:jc w:val="center"/>
      <w:textAlignment w:val="center"/>
    </w:pPr>
    <w:rPr>
      <w:rFonts w:ascii="黑体" w:eastAsia="黑体"/>
      <w:b/>
      <w:bCs/>
      <w:color w:val="000000"/>
      <w:kern w:val="0"/>
      <w:sz w:val="32"/>
      <w:szCs w:val="32"/>
    </w:rPr>
  </w:style>
  <w:style w:type="paragraph" w:customStyle="1" w:styleId="xl88">
    <w:name w:val="xl88"/>
    <w:basedOn w:val="a"/>
    <w:qFormat/>
    <w:rsid w:val="00C223F5"/>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89">
    <w:name w:val="xl89"/>
    <w:basedOn w:val="a"/>
    <w:qFormat/>
    <w:rsid w:val="00C223F5"/>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90">
    <w:name w:val="xl90"/>
    <w:basedOn w:val="a"/>
    <w:qFormat/>
    <w:rsid w:val="00C223F5"/>
    <w:pPr>
      <w:widowControl/>
      <w:pBdr>
        <w:left w:val="single" w:sz="4" w:space="0" w:color="auto"/>
        <w:bottom w:val="single" w:sz="4" w:space="0" w:color="000000"/>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91">
    <w:name w:val="xl91"/>
    <w:basedOn w:val="a"/>
    <w:qFormat/>
    <w:rsid w:val="00C223F5"/>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92">
    <w:name w:val="xl92"/>
    <w:basedOn w:val="a"/>
    <w:qFormat/>
    <w:rsid w:val="00C223F5"/>
    <w:pPr>
      <w:widowControl/>
      <w:pBdr>
        <w:top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93">
    <w:name w:val="xl93"/>
    <w:basedOn w:val="a"/>
    <w:qFormat/>
    <w:rsid w:val="00C223F5"/>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94">
    <w:name w:val="xl94"/>
    <w:basedOn w:val="a"/>
    <w:qFormat/>
    <w:rsid w:val="00C223F5"/>
    <w:pPr>
      <w:widowControl/>
      <w:pBdr>
        <w:left w:val="single" w:sz="4" w:space="0" w:color="auto"/>
        <w:bottom w:val="single" w:sz="4" w:space="0" w:color="000000"/>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95">
    <w:name w:val="xl95"/>
    <w:basedOn w:val="a"/>
    <w:qFormat/>
    <w:rsid w:val="00C223F5"/>
    <w:pPr>
      <w:widowControl/>
      <w:pBdr>
        <w:bottom w:val="single" w:sz="4" w:space="0" w:color="000000"/>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96">
    <w:name w:val="xl96"/>
    <w:basedOn w:val="a"/>
    <w:qFormat/>
    <w:rsid w:val="00C223F5"/>
    <w:pPr>
      <w:widowControl/>
      <w:pBdr>
        <w:bottom w:val="single" w:sz="4" w:space="0" w:color="000000"/>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97">
    <w:name w:val="xl97"/>
    <w:basedOn w:val="a"/>
    <w:qFormat/>
    <w:rsid w:val="00C223F5"/>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font13">
    <w:name w:val="font13"/>
    <w:basedOn w:val="a"/>
    <w:qFormat/>
    <w:rsid w:val="00C223F5"/>
    <w:pPr>
      <w:widowControl/>
      <w:spacing w:before="100" w:beforeAutospacing="1" w:after="100" w:afterAutospacing="1"/>
      <w:jc w:val="left"/>
    </w:pPr>
    <w:rPr>
      <w:rFonts w:eastAsia="Arial Unicode MS"/>
      <w:color w:val="000000"/>
      <w:kern w:val="0"/>
      <w:sz w:val="22"/>
      <w:szCs w:val="22"/>
    </w:rPr>
  </w:style>
  <w:style w:type="paragraph" w:customStyle="1" w:styleId="affffffff">
    <w:name w:val="文章正文段落"/>
    <w:basedOn w:val="a"/>
    <w:qFormat/>
    <w:rsid w:val="00C223F5"/>
    <w:pPr>
      <w:spacing w:line="400" w:lineRule="exact"/>
    </w:pPr>
    <w:rPr>
      <w:w w:val="80"/>
      <w:sz w:val="24"/>
      <w:szCs w:val="20"/>
    </w:rPr>
  </w:style>
  <w:style w:type="paragraph" w:customStyle="1" w:styleId="affffffff0">
    <w:name w:val="段落排"/>
    <w:qFormat/>
    <w:rsid w:val="00C223F5"/>
    <w:pPr>
      <w:widowControl w:val="0"/>
      <w:topLinePunct/>
      <w:adjustRightInd w:val="0"/>
      <w:snapToGrid w:val="0"/>
      <w:spacing w:line="480" w:lineRule="auto"/>
      <w:ind w:firstLine="493"/>
      <w:textAlignment w:val="top"/>
    </w:pPr>
    <w:rPr>
      <w:rFonts w:ascii="宋体"/>
      <w:snapToGrid w:val="0"/>
      <w:spacing w:val="8"/>
      <w:sz w:val="24"/>
    </w:rPr>
  </w:style>
  <w:style w:type="paragraph" w:customStyle="1" w:styleId="2f">
    <w:name w:val="2"/>
    <w:basedOn w:val="a"/>
    <w:next w:val="a8"/>
    <w:qFormat/>
    <w:rsid w:val="00C223F5"/>
    <w:pPr>
      <w:widowControl/>
      <w:jc w:val="left"/>
    </w:pPr>
    <w:rPr>
      <w:rFonts w:ascii="宋体" w:cs="宋体"/>
      <w:kern w:val="0"/>
      <w:sz w:val="32"/>
      <w:szCs w:val="20"/>
    </w:rPr>
  </w:style>
  <w:style w:type="paragraph" w:customStyle="1" w:styleId="120">
    <w:name w:val="样式12"/>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132">
    <w:name w:val="样式13"/>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140">
    <w:name w:val="样式14"/>
    <w:basedOn w:val="1"/>
    <w:qFormat/>
    <w:rsid w:val="00C223F5"/>
    <w:pPr>
      <w:widowControl/>
      <w:numPr>
        <w:numId w:val="0"/>
      </w:numPr>
      <w:tabs>
        <w:tab w:val="left" w:pos="840"/>
      </w:tabs>
      <w:spacing w:line="500" w:lineRule="exact"/>
      <w:ind w:left="840" w:hanging="360"/>
      <w:jc w:val="center"/>
    </w:pPr>
    <w:rPr>
      <w:rFonts w:ascii="仿宋_GB2312" w:eastAsia="仿宋_GB2312" w:cs="宋体"/>
      <w:bCs w:val="0"/>
    </w:rPr>
  </w:style>
  <w:style w:type="paragraph" w:customStyle="1" w:styleId="160">
    <w:name w:val="样式16"/>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170">
    <w:name w:val="样式17"/>
    <w:basedOn w:val="1"/>
    <w:qFormat/>
    <w:rsid w:val="00C223F5"/>
    <w:pPr>
      <w:widowControl/>
      <w:numPr>
        <w:numId w:val="0"/>
      </w:numPr>
      <w:tabs>
        <w:tab w:val="left" w:pos="840"/>
      </w:tabs>
      <w:spacing w:line="500" w:lineRule="exact"/>
      <w:ind w:left="840" w:hanging="360"/>
      <w:jc w:val="center"/>
    </w:pPr>
    <w:rPr>
      <w:rFonts w:ascii="仿宋_GB2312" w:eastAsia="仿宋_GB2312" w:cs="宋体"/>
      <w:bCs w:val="0"/>
    </w:rPr>
  </w:style>
  <w:style w:type="paragraph" w:customStyle="1" w:styleId="180">
    <w:name w:val="样式18"/>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190">
    <w:name w:val="样式19"/>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201">
    <w:name w:val="样式20"/>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210">
    <w:name w:val="样式21"/>
    <w:basedOn w:val="1"/>
    <w:qFormat/>
    <w:rsid w:val="00C223F5"/>
    <w:pPr>
      <w:widowControl/>
      <w:numPr>
        <w:numId w:val="0"/>
      </w:numPr>
      <w:tabs>
        <w:tab w:val="left" w:pos="840"/>
      </w:tabs>
      <w:spacing w:line="500" w:lineRule="exact"/>
      <w:ind w:left="840" w:hanging="360"/>
      <w:jc w:val="center"/>
    </w:pPr>
    <w:rPr>
      <w:rFonts w:ascii="仿宋_GB2312" w:eastAsia="仿宋_GB2312" w:cs="宋体"/>
      <w:bCs w:val="0"/>
    </w:rPr>
  </w:style>
  <w:style w:type="paragraph" w:customStyle="1" w:styleId="220">
    <w:name w:val="样式22"/>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230">
    <w:name w:val="样式23"/>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240">
    <w:name w:val="样式24"/>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251">
    <w:name w:val="样式25"/>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260">
    <w:name w:val="样式26"/>
    <w:basedOn w:val="2"/>
    <w:qFormat/>
    <w:rsid w:val="00C223F5"/>
    <w:pPr>
      <w:widowControl/>
      <w:numPr>
        <w:numId w:val="0"/>
      </w:numPr>
      <w:tabs>
        <w:tab w:val="left" w:pos="1320"/>
      </w:tabs>
      <w:spacing w:before="200" w:after="100" w:line="500" w:lineRule="exact"/>
      <w:ind w:left="1320" w:hanging="420"/>
      <w:jc w:val="left"/>
    </w:pPr>
    <w:rPr>
      <w:rFonts w:ascii="仿宋_GB2312" w:eastAsia="仿宋_GB2312" w:cs="宋体"/>
      <w:b/>
      <w:color w:val="000000"/>
      <w:kern w:val="0"/>
      <w:sz w:val="32"/>
    </w:rPr>
  </w:style>
  <w:style w:type="paragraph" w:customStyle="1" w:styleId="271">
    <w:name w:val="样式27"/>
    <w:basedOn w:val="1"/>
    <w:qFormat/>
    <w:rsid w:val="00C223F5"/>
    <w:pPr>
      <w:widowControl/>
      <w:numPr>
        <w:numId w:val="0"/>
      </w:numPr>
      <w:tabs>
        <w:tab w:val="left" w:pos="840"/>
      </w:tabs>
      <w:spacing w:line="500" w:lineRule="exact"/>
      <w:ind w:left="840" w:hanging="360"/>
      <w:jc w:val="center"/>
    </w:pPr>
    <w:rPr>
      <w:rFonts w:ascii="仿宋_GB2312" w:eastAsia="仿宋_GB2312" w:cs="宋体"/>
      <w:bCs w:val="0"/>
    </w:rPr>
  </w:style>
  <w:style w:type="paragraph" w:customStyle="1" w:styleId="280">
    <w:name w:val="样式28"/>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290">
    <w:name w:val="样式29"/>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300">
    <w:name w:val="样式30"/>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310">
    <w:name w:val="样式31"/>
    <w:basedOn w:val="1"/>
    <w:qFormat/>
    <w:rsid w:val="00C223F5"/>
    <w:pPr>
      <w:widowControl/>
      <w:numPr>
        <w:numId w:val="0"/>
      </w:numPr>
      <w:tabs>
        <w:tab w:val="left" w:pos="840"/>
      </w:tabs>
      <w:spacing w:line="500" w:lineRule="exact"/>
      <w:ind w:left="840" w:hanging="360"/>
      <w:jc w:val="center"/>
    </w:pPr>
    <w:rPr>
      <w:rFonts w:ascii="仿宋_GB2312" w:eastAsia="仿宋_GB2312" w:cs="宋体"/>
      <w:bCs w:val="0"/>
    </w:rPr>
  </w:style>
  <w:style w:type="paragraph" w:customStyle="1" w:styleId="320">
    <w:name w:val="样式32"/>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330">
    <w:name w:val="样式33"/>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340">
    <w:name w:val="样式34"/>
    <w:basedOn w:val="2"/>
    <w:qFormat/>
    <w:rsid w:val="00C223F5"/>
    <w:pPr>
      <w:widowControl/>
      <w:numPr>
        <w:numId w:val="0"/>
      </w:numPr>
      <w:tabs>
        <w:tab w:val="left" w:pos="1320"/>
      </w:tabs>
      <w:spacing w:before="200" w:after="100" w:line="500" w:lineRule="exact"/>
      <w:ind w:left="1320" w:firstLineChars="200" w:firstLine="200"/>
      <w:jc w:val="left"/>
    </w:pPr>
    <w:rPr>
      <w:rFonts w:ascii="仿宋_GB2312" w:eastAsia="仿宋_GB2312" w:cs="宋体"/>
      <w:b/>
      <w:color w:val="000000"/>
      <w:kern w:val="0"/>
      <w:sz w:val="28"/>
    </w:rPr>
  </w:style>
  <w:style w:type="paragraph" w:customStyle="1" w:styleId="3222">
    <w:name w:val="样式 样式 样式 标题 3 + 首行缩进:  2 字符 + 首行缩进:  2 字符 + 首行缩进:  2 字符"/>
    <w:basedOn w:val="a"/>
    <w:qFormat/>
    <w:rsid w:val="00C223F5"/>
    <w:pPr>
      <w:keepNext/>
      <w:keepLines/>
      <w:widowControl/>
      <w:tabs>
        <w:tab w:val="left" w:pos="3808"/>
      </w:tabs>
      <w:spacing w:before="120" w:afterLines="50"/>
      <w:ind w:firstLineChars="200" w:firstLine="200"/>
      <w:jc w:val="left"/>
      <w:outlineLvl w:val="2"/>
    </w:pPr>
    <w:rPr>
      <w:rFonts w:ascii="黑体" w:eastAsia="黑体" w:cs="宋体"/>
      <w:b/>
      <w:kern w:val="0"/>
      <w:sz w:val="24"/>
      <w:szCs w:val="20"/>
    </w:rPr>
  </w:style>
  <w:style w:type="paragraph" w:customStyle="1" w:styleId="221">
    <w:name w:val="样式 正文文字缩进 2 + 加粗 首行缩进:  2 字符"/>
    <w:basedOn w:val="24"/>
    <w:qFormat/>
    <w:rsid w:val="00C223F5"/>
    <w:pPr>
      <w:widowControl/>
      <w:spacing w:line="240" w:lineRule="auto"/>
      <w:ind w:firstLine="200"/>
      <w:jc w:val="left"/>
    </w:pPr>
    <w:rPr>
      <w:rFonts w:ascii="黑体" w:eastAsia="黑体" w:cs="宋体"/>
      <w:bCs/>
      <w:spacing w:val="-6"/>
      <w:kern w:val="0"/>
      <w:szCs w:val="21"/>
    </w:rPr>
  </w:style>
  <w:style w:type="paragraph" w:customStyle="1" w:styleId="32052">
    <w:name w:val="样式 标题3 + 首行缩进:  2 字符 段前: 0.5 行2"/>
    <w:basedOn w:val="3e"/>
    <w:qFormat/>
    <w:rsid w:val="00C223F5"/>
    <w:pPr>
      <w:keepLines/>
      <w:widowControl/>
      <w:adjustRightInd w:val="0"/>
      <w:spacing w:line="360" w:lineRule="auto"/>
      <w:ind w:firstLineChars="200" w:firstLine="200"/>
      <w:jc w:val="left"/>
      <w:textAlignment w:val="baseline"/>
    </w:pPr>
    <w:rPr>
      <w:rFonts w:ascii="宋体" w:cs="宋体"/>
      <w:b/>
      <w:bCs/>
      <w:kern w:val="0"/>
      <w:sz w:val="30"/>
    </w:rPr>
  </w:style>
  <w:style w:type="paragraph" w:customStyle="1" w:styleId="affffffff1">
    <w:name w:val="新"/>
    <w:basedOn w:val="a"/>
    <w:next w:val="a"/>
    <w:qFormat/>
    <w:rsid w:val="00C223F5"/>
    <w:pPr>
      <w:widowControl/>
      <w:spacing w:line="500" w:lineRule="exact"/>
      <w:ind w:firstLineChars="200" w:firstLine="200"/>
      <w:jc w:val="left"/>
    </w:pPr>
    <w:rPr>
      <w:rFonts w:ascii="仿宋_GB2312" w:eastAsia="仿宋_GB2312" w:cs="宋体"/>
      <w:kern w:val="0"/>
      <w:sz w:val="28"/>
      <w:szCs w:val="28"/>
    </w:rPr>
  </w:style>
  <w:style w:type="paragraph" w:customStyle="1" w:styleId="affffffff2">
    <w:name w:val="公式"/>
    <w:basedOn w:val="a8"/>
    <w:qFormat/>
    <w:rsid w:val="00C223F5"/>
    <w:pPr>
      <w:widowControl/>
      <w:spacing w:line="360" w:lineRule="auto"/>
      <w:ind w:firstLineChars="600" w:firstLine="600"/>
      <w:jc w:val="left"/>
    </w:pPr>
    <w:rPr>
      <w:rFonts w:ascii="宋体" w:cs="宋体"/>
      <w:b w:val="0"/>
      <w:bCs w:val="0"/>
      <w:kern w:val="0"/>
      <w:sz w:val="24"/>
    </w:rPr>
  </w:style>
  <w:style w:type="paragraph" w:customStyle="1" w:styleId="1f">
    <w:name w:val="公式说明1"/>
    <w:basedOn w:val="a8"/>
    <w:qFormat/>
    <w:rsid w:val="00C223F5"/>
    <w:pPr>
      <w:widowControl/>
      <w:adjustRightInd w:val="0"/>
      <w:snapToGrid w:val="0"/>
      <w:spacing w:line="360" w:lineRule="auto"/>
      <w:jc w:val="left"/>
    </w:pPr>
    <w:rPr>
      <w:rFonts w:ascii="宋体" w:cs="宋体"/>
      <w:b w:val="0"/>
      <w:bCs w:val="0"/>
      <w:kern w:val="0"/>
      <w:sz w:val="24"/>
    </w:rPr>
  </w:style>
  <w:style w:type="paragraph" w:customStyle="1" w:styleId="2f0">
    <w:name w:val="公式说明2"/>
    <w:basedOn w:val="a8"/>
    <w:qFormat/>
    <w:rsid w:val="00C223F5"/>
    <w:pPr>
      <w:widowControl/>
      <w:adjustRightInd w:val="0"/>
      <w:snapToGrid w:val="0"/>
      <w:spacing w:line="360" w:lineRule="auto"/>
      <w:ind w:firstLineChars="300" w:firstLine="300"/>
      <w:jc w:val="left"/>
    </w:pPr>
    <w:rPr>
      <w:rFonts w:ascii="宋体" w:cs="宋体"/>
      <w:b w:val="0"/>
      <w:bCs w:val="0"/>
      <w:kern w:val="0"/>
      <w:sz w:val="24"/>
    </w:rPr>
  </w:style>
  <w:style w:type="paragraph" w:customStyle="1" w:styleId="32051">
    <w:name w:val="样式 标题3 + 首行缩进:  2 字符 段前: 0.5 行1"/>
    <w:basedOn w:val="a"/>
    <w:qFormat/>
    <w:rsid w:val="00C223F5"/>
    <w:pPr>
      <w:keepLines/>
      <w:widowControl/>
      <w:spacing w:beforeLines="50"/>
      <w:ind w:firstLineChars="200" w:firstLine="200"/>
      <w:jc w:val="left"/>
    </w:pPr>
    <w:rPr>
      <w:rFonts w:ascii="宋体" w:eastAsia="黑体" w:hAnsi="宋体" w:cs="宋体"/>
      <w:kern w:val="0"/>
      <w:sz w:val="24"/>
      <w:szCs w:val="20"/>
    </w:rPr>
  </w:style>
  <w:style w:type="paragraph" w:customStyle="1" w:styleId="32005">
    <w:name w:val="样式 样式 标题 3 + 首行缩进:  2 字符 段前: 0 磅 + 两端对齐 段前: 0.5 行"/>
    <w:basedOn w:val="a"/>
    <w:qFormat/>
    <w:rsid w:val="00C223F5"/>
    <w:pPr>
      <w:widowControl/>
      <w:tabs>
        <w:tab w:val="left" w:pos="5798"/>
      </w:tabs>
      <w:spacing w:beforeLines="50"/>
      <w:ind w:firstLineChars="200" w:firstLine="200"/>
      <w:jc w:val="left"/>
      <w:textAlignment w:val="top"/>
      <w:outlineLvl w:val="2"/>
    </w:pPr>
    <w:rPr>
      <w:rFonts w:ascii="黑体" w:eastAsia="黑体" w:cs="宋体"/>
      <w:b/>
      <w:bCs/>
      <w:kern w:val="0"/>
      <w:sz w:val="24"/>
    </w:rPr>
  </w:style>
  <w:style w:type="paragraph" w:customStyle="1" w:styleId="3CharChar0">
    <w:name w:val="3 Char Char"/>
    <w:basedOn w:val="a"/>
    <w:next w:val="aff1"/>
    <w:link w:val="3CharCharChar"/>
    <w:qFormat/>
    <w:rsid w:val="00C223F5"/>
    <w:pPr>
      <w:widowControl/>
      <w:jc w:val="left"/>
    </w:pPr>
    <w:rPr>
      <w:rFonts w:ascii="宋体" w:cs="黑体"/>
      <w:kern w:val="0"/>
      <w:sz w:val="24"/>
      <w:szCs w:val="21"/>
    </w:rPr>
  </w:style>
  <w:style w:type="character" w:customStyle="1" w:styleId="3CharCharChar">
    <w:name w:val="3 Char Char Char"/>
    <w:link w:val="3CharChar0"/>
    <w:qFormat/>
    <w:rsid w:val="00C223F5"/>
    <w:rPr>
      <w:rFonts w:ascii="宋体" w:cs="黑体"/>
      <w:sz w:val="24"/>
      <w:szCs w:val="21"/>
    </w:rPr>
  </w:style>
  <w:style w:type="paragraph" w:customStyle="1" w:styleId="3Char2">
    <w:name w:val="3 Char"/>
    <w:basedOn w:val="a"/>
    <w:next w:val="aff1"/>
    <w:qFormat/>
    <w:rsid w:val="00C223F5"/>
    <w:pPr>
      <w:widowControl/>
      <w:jc w:val="left"/>
    </w:pPr>
    <w:rPr>
      <w:rFonts w:ascii="宋体" w:cs="黑体"/>
      <w:kern w:val="0"/>
      <w:sz w:val="24"/>
      <w:szCs w:val="21"/>
    </w:rPr>
  </w:style>
  <w:style w:type="paragraph" w:customStyle="1" w:styleId="1010">
    <w:name w:val="样式 10 磅 下划线 居中 行距: 固定值 10 磅"/>
    <w:basedOn w:val="a"/>
    <w:qFormat/>
    <w:rsid w:val="00C223F5"/>
    <w:pPr>
      <w:spacing w:line="200" w:lineRule="exact"/>
      <w:jc w:val="center"/>
    </w:pPr>
    <w:rPr>
      <w:rFonts w:cs="宋体"/>
      <w:sz w:val="20"/>
      <w:szCs w:val="20"/>
    </w:rPr>
  </w:style>
  <w:style w:type="paragraph" w:customStyle="1" w:styleId="2f1">
    <w:name w:val="样式 普通文字 + 首行缩进:  2 字符"/>
    <w:basedOn w:val="aff1"/>
    <w:qFormat/>
    <w:rsid w:val="00C223F5"/>
    <w:pPr>
      <w:widowControl w:val="0"/>
      <w:tabs>
        <w:tab w:val="clear" w:pos="5781"/>
        <w:tab w:val="left" w:pos="1431"/>
      </w:tabs>
      <w:spacing w:line="240" w:lineRule="auto"/>
      <w:ind w:left="0" w:firstLineChars="200" w:firstLine="200"/>
    </w:pPr>
    <w:rPr>
      <w:rFonts w:ascii="宋体" w:cs="黑体"/>
      <w:b/>
      <w:color w:val="000000"/>
      <w:sz w:val="21"/>
      <w:szCs w:val="21"/>
    </w:rPr>
  </w:style>
  <w:style w:type="paragraph" w:customStyle="1" w:styleId="affffffff3">
    <w:name w:val="段落"/>
    <w:basedOn w:val="a"/>
    <w:qFormat/>
    <w:rsid w:val="00C223F5"/>
    <w:pPr>
      <w:ind w:firstLineChars="200" w:firstLine="200"/>
    </w:pPr>
    <w:rPr>
      <w:sz w:val="28"/>
    </w:rPr>
  </w:style>
  <w:style w:type="paragraph" w:customStyle="1" w:styleId="affffffff4">
    <w:name w:val="文章副标题"/>
    <w:basedOn w:val="a"/>
    <w:next w:val="affff8"/>
    <w:qFormat/>
    <w:rsid w:val="00C223F5"/>
    <w:pPr>
      <w:widowControl/>
      <w:spacing w:before="187" w:after="175" w:line="374" w:lineRule="atLeast"/>
      <w:jc w:val="center"/>
      <w:textAlignment w:val="baseline"/>
    </w:pPr>
    <w:rPr>
      <w:color w:val="000000"/>
      <w:kern w:val="0"/>
      <w:sz w:val="36"/>
      <w:szCs w:val="20"/>
      <w:u w:color="000000"/>
    </w:rPr>
  </w:style>
  <w:style w:type="paragraph" w:customStyle="1" w:styleId="font14">
    <w:name w:val="font14"/>
    <w:basedOn w:val="a"/>
    <w:qFormat/>
    <w:rsid w:val="00C223F5"/>
    <w:pPr>
      <w:widowControl/>
      <w:spacing w:before="100" w:beforeAutospacing="1" w:after="100" w:afterAutospacing="1"/>
      <w:jc w:val="left"/>
    </w:pPr>
    <w:rPr>
      <w:rFonts w:eastAsia="Arial Unicode MS"/>
      <w:kern w:val="0"/>
      <w:sz w:val="20"/>
      <w:szCs w:val="20"/>
      <w:u w:val="single"/>
    </w:rPr>
  </w:style>
  <w:style w:type="paragraph" w:customStyle="1" w:styleId="font15">
    <w:name w:val="font15"/>
    <w:basedOn w:val="a"/>
    <w:qFormat/>
    <w:rsid w:val="00C223F5"/>
    <w:pPr>
      <w:widowControl/>
      <w:spacing w:before="100" w:beforeAutospacing="1" w:after="100" w:afterAutospacing="1"/>
      <w:jc w:val="left"/>
    </w:pPr>
    <w:rPr>
      <w:rFonts w:ascii="宋体" w:cs="Arial Unicode MS"/>
      <w:color w:val="FF0000"/>
      <w:kern w:val="0"/>
      <w:sz w:val="20"/>
      <w:szCs w:val="20"/>
    </w:rPr>
  </w:style>
  <w:style w:type="paragraph" w:customStyle="1" w:styleId="font16">
    <w:name w:val="font16"/>
    <w:basedOn w:val="a"/>
    <w:qFormat/>
    <w:rsid w:val="00C223F5"/>
    <w:pPr>
      <w:widowControl/>
      <w:spacing w:before="100" w:beforeAutospacing="1" w:after="100" w:afterAutospacing="1"/>
      <w:jc w:val="left"/>
    </w:pPr>
    <w:rPr>
      <w:rFonts w:eastAsia="Arial Unicode MS"/>
      <w:color w:val="FF6600"/>
      <w:kern w:val="0"/>
      <w:sz w:val="20"/>
      <w:szCs w:val="20"/>
    </w:rPr>
  </w:style>
  <w:style w:type="paragraph" w:customStyle="1" w:styleId="dh0">
    <w:name w:val="页眉dh"/>
    <w:basedOn w:val="affb"/>
    <w:qFormat/>
    <w:rsid w:val="00C223F5"/>
    <w:pPr>
      <w:pBdr>
        <w:bottom w:val="single" w:sz="8" w:space="1" w:color="auto"/>
      </w:pBdr>
      <w:spacing w:line="240" w:lineRule="atLeast"/>
      <w:ind w:firstLine="482"/>
      <w:jc w:val="both"/>
    </w:pPr>
    <w:rPr>
      <w:rFonts w:ascii="隶书" w:eastAsia="隶书"/>
      <w:sz w:val="21"/>
      <w:szCs w:val="20"/>
    </w:rPr>
  </w:style>
  <w:style w:type="paragraph" w:customStyle="1" w:styleId="affffffff5">
    <w:name w:val="正文段落"/>
    <w:basedOn w:val="a"/>
    <w:qFormat/>
    <w:rsid w:val="00C223F5"/>
    <w:pPr>
      <w:topLinePunct/>
      <w:autoSpaceDN w:val="0"/>
      <w:adjustRightInd w:val="0"/>
      <w:spacing w:line="500" w:lineRule="exact"/>
      <w:ind w:firstLineChars="200" w:firstLine="200"/>
      <w:textAlignment w:val="baseline"/>
    </w:pPr>
    <w:rPr>
      <w:rFonts w:ascii="宋体"/>
      <w:kern w:val="0"/>
      <w:sz w:val="24"/>
    </w:rPr>
  </w:style>
  <w:style w:type="paragraph" w:customStyle="1" w:styleId="dh2">
    <w:name w:val="标题dh2"/>
    <w:basedOn w:val="a"/>
    <w:qFormat/>
    <w:rsid w:val="00C223F5"/>
    <w:pPr>
      <w:spacing w:line="520" w:lineRule="exact"/>
      <w:ind w:firstLine="482"/>
    </w:pPr>
    <w:rPr>
      <w:rFonts w:ascii="宋体"/>
      <w:b/>
      <w:sz w:val="28"/>
      <w:szCs w:val="20"/>
    </w:rPr>
  </w:style>
  <w:style w:type="paragraph" w:customStyle="1" w:styleId="E0">
    <w:name w:val="E评论意见正文式样"/>
    <w:basedOn w:val="a"/>
    <w:qFormat/>
    <w:rsid w:val="00C223F5"/>
    <w:pPr>
      <w:spacing w:line="460" w:lineRule="exact"/>
      <w:ind w:firstLineChars="200" w:firstLine="200"/>
    </w:pPr>
    <w:rPr>
      <w:rFonts w:eastAsia="仿宋_GB2312"/>
      <w:w w:val="90"/>
      <w:sz w:val="30"/>
    </w:rPr>
  </w:style>
  <w:style w:type="paragraph" w:customStyle="1" w:styleId="CharChar2CharCharCharChar">
    <w:name w:val="Char Char2 Char Char Char Char"/>
    <w:basedOn w:val="a"/>
    <w:qFormat/>
    <w:rsid w:val="00C223F5"/>
    <w:pPr>
      <w:spacing w:line="360" w:lineRule="auto"/>
    </w:pPr>
    <w:rPr>
      <w:rFonts w:ascii="宋体" w:hAnsi="宋体" w:cs="宋体"/>
      <w:sz w:val="24"/>
    </w:rPr>
  </w:style>
  <w:style w:type="paragraph" w:customStyle="1" w:styleId="5a">
    <w:name w:val="标题 5斜体"/>
    <w:basedOn w:val="5"/>
    <w:link w:val="5Char"/>
    <w:qFormat/>
    <w:rsid w:val="00C223F5"/>
    <w:pPr>
      <w:numPr>
        <w:ilvl w:val="0"/>
        <w:numId w:val="0"/>
      </w:numPr>
      <w:spacing w:before="0" w:after="0" w:line="324" w:lineRule="auto"/>
      <w:ind w:firstLineChars="200" w:firstLine="482"/>
    </w:pPr>
    <w:rPr>
      <w:rFonts w:eastAsia="楷体_GB2312"/>
      <w:bCs w:val="0"/>
      <w:i/>
      <w:szCs w:val="24"/>
    </w:rPr>
  </w:style>
  <w:style w:type="character" w:customStyle="1" w:styleId="5Char">
    <w:name w:val="标题 5斜体 Char"/>
    <w:link w:val="5a"/>
    <w:qFormat/>
    <w:rsid w:val="00C223F5"/>
    <w:rPr>
      <w:rFonts w:eastAsia="楷体_GB2312"/>
      <w:b/>
      <w:i/>
      <w:kern w:val="2"/>
      <w:sz w:val="24"/>
      <w:szCs w:val="24"/>
    </w:rPr>
  </w:style>
  <w:style w:type="paragraph" w:customStyle="1" w:styleId="350">
    <w:name w:val="样式35"/>
    <w:basedOn w:val="a"/>
    <w:qFormat/>
    <w:rsid w:val="00C223F5"/>
    <w:rPr>
      <w:rFonts w:ascii="黑体" w:eastAsia="黑体"/>
      <w:sz w:val="32"/>
      <w:szCs w:val="32"/>
    </w:rPr>
  </w:style>
  <w:style w:type="paragraph" w:customStyle="1" w:styleId="361">
    <w:name w:val="样式36"/>
    <w:basedOn w:val="a8"/>
    <w:next w:val="350"/>
    <w:qFormat/>
    <w:rsid w:val="00C223F5"/>
    <w:pPr>
      <w:spacing w:line="360" w:lineRule="auto"/>
      <w:ind w:firstLineChars="200" w:firstLine="480"/>
      <w:jc w:val="left"/>
    </w:pPr>
    <w:rPr>
      <w:rFonts w:cs="宋体"/>
      <w:bCs w:val="0"/>
      <w:sz w:val="30"/>
      <w:szCs w:val="30"/>
    </w:rPr>
  </w:style>
  <w:style w:type="paragraph" w:customStyle="1" w:styleId="3f3">
    <w:name w:val="样式 标题 3 + 粉红"/>
    <w:basedOn w:val="3"/>
    <w:qFormat/>
    <w:rsid w:val="00C223F5"/>
    <w:pPr>
      <w:numPr>
        <w:numId w:val="0"/>
      </w:numPr>
      <w:tabs>
        <w:tab w:val="left" w:pos="360"/>
        <w:tab w:val="left" w:pos="720"/>
        <w:tab w:val="left" w:pos="1069"/>
      </w:tabs>
      <w:adjustRightInd w:val="0"/>
      <w:spacing w:before="0" w:after="0" w:line="360" w:lineRule="auto"/>
      <w:jc w:val="left"/>
    </w:pPr>
    <w:rPr>
      <w:rFonts w:eastAsia="宋体"/>
      <w:b/>
      <w:szCs w:val="28"/>
    </w:rPr>
  </w:style>
  <w:style w:type="paragraph" w:customStyle="1" w:styleId="49">
    <w:name w:val="样式 标题 4 + 粉红"/>
    <w:basedOn w:val="4"/>
    <w:qFormat/>
    <w:rsid w:val="00C223F5"/>
    <w:pPr>
      <w:tabs>
        <w:tab w:val="left" w:pos="900"/>
      </w:tabs>
      <w:spacing w:before="0" w:after="0" w:line="360" w:lineRule="auto"/>
      <w:jc w:val="left"/>
    </w:pPr>
    <w:rPr>
      <w:b/>
      <w:bCs w:val="0"/>
      <w:color w:val="FF00FF"/>
      <w:szCs w:val="24"/>
    </w:rPr>
  </w:style>
  <w:style w:type="paragraph" w:customStyle="1" w:styleId="hb11">
    <w:name w:val="!hb标题1"/>
    <w:basedOn w:val="a"/>
    <w:qFormat/>
    <w:rsid w:val="00C223F5"/>
    <w:pPr>
      <w:widowControl/>
      <w:adjustRightInd w:val="0"/>
      <w:spacing w:line="360" w:lineRule="auto"/>
      <w:textAlignment w:val="baseline"/>
    </w:pPr>
    <w:rPr>
      <w:rFonts w:eastAsia="黑体" w:cs="黑体"/>
      <w:kern w:val="0"/>
      <w:sz w:val="32"/>
      <w:szCs w:val="32"/>
    </w:rPr>
  </w:style>
  <w:style w:type="paragraph" w:customStyle="1" w:styleId="0010">
    <w:name w:val="正文001"/>
    <w:basedOn w:val="a"/>
    <w:qFormat/>
    <w:rsid w:val="00C223F5"/>
    <w:pPr>
      <w:spacing w:before="60" w:line="420" w:lineRule="exact"/>
      <w:ind w:firstLine="482"/>
    </w:pPr>
    <w:rPr>
      <w:sz w:val="24"/>
      <w:szCs w:val="20"/>
    </w:rPr>
  </w:style>
  <w:style w:type="paragraph" w:customStyle="1" w:styleId="2BodyTextIndent20">
    <w:name w:val="样式 正文文本缩进 2Body Text Indent 2 + (中文) 黑体 四号 自动设置 居中 首行缩进:  0..."/>
    <w:basedOn w:val="24"/>
    <w:link w:val="2BodyTextIndent20Char"/>
    <w:semiHidden/>
    <w:qFormat/>
    <w:rsid w:val="00C223F5"/>
    <w:pPr>
      <w:spacing w:before="120" w:after="120" w:line="240" w:lineRule="auto"/>
      <w:ind w:firstLineChars="0" w:firstLine="0"/>
      <w:jc w:val="center"/>
    </w:pPr>
    <w:rPr>
      <w:rFonts w:eastAsia="黑体" w:cs="宋体"/>
      <w:spacing w:val="6"/>
      <w:sz w:val="28"/>
      <w:szCs w:val="20"/>
    </w:rPr>
  </w:style>
  <w:style w:type="character" w:customStyle="1" w:styleId="2BodyTextIndent20Char">
    <w:name w:val="样式 正文文本缩进 2Body Text Indent 2 + (中文) 黑体 四号 自动设置 居中 首行缩进:  0... Char"/>
    <w:link w:val="2BodyTextIndent20"/>
    <w:semiHidden/>
    <w:qFormat/>
    <w:rsid w:val="00C223F5"/>
    <w:rPr>
      <w:rFonts w:eastAsia="黑体" w:cs="宋体"/>
      <w:spacing w:val="6"/>
      <w:kern w:val="2"/>
      <w:sz w:val="28"/>
    </w:rPr>
  </w:style>
  <w:style w:type="paragraph" w:customStyle="1" w:styleId="9Char">
    <w:name w:val="9 Char"/>
    <w:basedOn w:val="a"/>
    <w:qFormat/>
    <w:rsid w:val="00C223F5"/>
    <w:pPr>
      <w:spacing w:line="360" w:lineRule="auto"/>
      <w:ind w:firstLineChars="200" w:firstLine="200"/>
    </w:pPr>
    <w:rPr>
      <w:rFonts w:ascii="宋体" w:hAnsi="宋体" w:cs="宋体"/>
      <w:sz w:val="24"/>
    </w:rPr>
  </w:style>
  <w:style w:type="paragraph" w:customStyle="1" w:styleId="01">
    <w:name w:val="正文01"/>
    <w:basedOn w:val="a"/>
    <w:qFormat/>
    <w:rsid w:val="00C223F5"/>
    <w:pPr>
      <w:spacing w:before="60" w:line="460" w:lineRule="exact"/>
      <w:ind w:firstLineChars="200" w:firstLine="200"/>
    </w:pPr>
    <w:rPr>
      <w:rFonts w:ascii="Arial" w:hAnsi="Arial"/>
      <w:bCs/>
      <w:sz w:val="24"/>
      <w:szCs w:val="28"/>
    </w:rPr>
  </w:style>
  <w:style w:type="paragraph" w:customStyle="1" w:styleId="000">
    <w:name w:val="样式000"/>
    <w:basedOn w:val="a"/>
    <w:qFormat/>
    <w:rsid w:val="00C223F5"/>
    <w:pPr>
      <w:spacing w:line="540" w:lineRule="exact"/>
      <w:ind w:firstLineChars="200" w:firstLine="480"/>
    </w:pPr>
    <w:rPr>
      <w:rFonts w:ascii="宋体" w:hAnsi="宋体"/>
      <w:color w:val="FF0000"/>
      <w:szCs w:val="20"/>
      <w:lang w:eastAsia="en-US"/>
    </w:rPr>
  </w:style>
  <w:style w:type="paragraph" w:customStyle="1" w:styleId="p18">
    <w:name w:val="p18"/>
    <w:basedOn w:val="a"/>
    <w:qFormat/>
    <w:rsid w:val="00C223F5"/>
    <w:pPr>
      <w:widowControl/>
    </w:pPr>
    <w:rPr>
      <w:kern w:val="0"/>
      <w:szCs w:val="20"/>
    </w:rPr>
  </w:style>
  <w:style w:type="paragraph" w:customStyle="1" w:styleId="1f0">
    <w:name w:val="表头1"/>
    <w:basedOn w:val="a"/>
    <w:next w:val="a"/>
    <w:qFormat/>
    <w:rsid w:val="00C223F5"/>
    <w:pPr>
      <w:tabs>
        <w:tab w:val="left" w:pos="605"/>
      </w:tabs>
      <w:adjustRightInd w:val="0"/>
      <w:snapToGrid w:val="0"/>
      <w:jc w:val="center"/>
    </w:pPr>
    <w:rPr>
      <w:rFonts w:eastAsia="黑体"/>
      <w:szCs w:val="20"/>
    </w:rPr>
  </w:style>
  <w:style w:type="paragraph" w:customStyle="1" w:styleId="133">
    <w:name w:val="1.3倍行距"/>
    <w:basedOn w:val="0905"/>
    <w:qFormat/>
    <w:rsid w:val="00C223F5"/>
    <w:pPr>
      <w:spacing w:line="312" w:lineRule="auto"/>
    </w:pPr>
    <w:rPr>
      <w:rFonts w:hAnsi="Times New Roman"/>
      <w:szCs w:val="20"/>
    </w:rPr>
  </w:style>
  <w:style w:type="paragraph" w:customStyle="1" w:styleId="002">
    <w:name w:val="002"/>
    <w:basedOn w:val="a"/>
    <w:qFormat/>
    <w:rsid w:val="00C223F5"/>
    <w:pPr>
      <w:adjustRightInd w:val="0"/>
      <w:snapToGrid w:val="0"/>
      <w:spacing w:line="336" w:lineRule="auto"/>
      <w:ind w:firstLineChars="200" w:firstLine="544"/>
    </w:pPr>
    <w:rPr>
      <w:snapToGrid w:val="0"/>
      <w:spacing w:val="-6"/>
      <w:kern w:val="0"/>
      <w:sz w:val="28"/>
      <w:szCs w:val="20"/>
    </w:rPr>
  </w:style>
  <w:style w:type="paragraph" w:customStyle="1" w:styleId="09050">
    <w:name w:val="0905表头样式"/>
    <w:basedOn w:val="a"/>
    <w:qFormat/>
    <w:rsid w:val="00C223F5"/>
    <w:pPr>
      <w:tabs>
        <w:tab w:val="left" w:pos="1575"/>
      </w:tabs>
      <w:adjustRightInd w:val="0"/>
      <w:snapToGrid w:val="0"/>
      <w:ind w:firstLineChars="200" w:firstLine="200"/>
    </w:pPr>
    <w:rPr>
      <w:rFonts w:hAnsi="宋体"/>
      <w:b/>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qFormat/>
    <w:rsid w:val="00C223F5"/>
    <w:pPr>
      <w:tabs>
        <w:tab w:val="left" w:pos="360"/>
      </w:tabs>
      <w:ind w:firstLine="420"/>
    </w:pPr>
  </w:style>
  <w:style w:type="paragraph" w:customStyle="1" w:styleId="CharChar41CharCharCharCharCharCharCharChar">
    <w:name w:val="Char Char41 Char Char Char Char Char Char Char Char"/>
    <w:basedOn w:val="a"/>
    <w:qFormat/>
    <w:rsid w:val="00C223F5"/>
    <w:rPr>
      <w:rFonts w:ascii="Tahoma" w:hAnsi="Tahoma"/>
      <w:sz w:val="24"/>
      <w:szCs w:val="20"/>
    </w:rPr>
  </w:style>
  <w:style w:type="paragraph" w:customStyle="1" w:styleId="4h4TimesNewRomanGB2312">
    <w:name w:val="样式 标题 4h4第三层条 + (西文) Times New Roman (中文) 仿宋_GB2312 小四 段前: ..."/>
    <w:basedOn w:val="4"/>
    <w:qFormat/>
    <w:rsid w:val="00C223F5"/>
    <w:pPr>
      <w:tabs>
        <w:tab w:val="left" w:pos="2175"/>
      </w:tabs>
      <w:spacing w:before="120" w:after="156" w:line="360" w:lineRule="auto"/>
      <w:ind w:left="2175" w:hanging="420"/>
    </w:pPr>
    <w:rPr>
      <w:rFonts w:eastAsia="仿宋_GB2312"/>
      <w:b/>
      <w:bCs w:val="0"/>
      <w:szCs w:val="20"/>
    </w:rPr>
  </w:style>
  <w:style w:type="paragraph" w:customStyle="1" w:styleId="2TimesNewRoman">
    <w:name w:val="样式 标题 2 + (符号) Times New Roman"/>
    <w:basedOn w:val="2"/>
    <w:qFormat/>
    <w:rsid w:val="00C223F5"/>
    <w:pPr>
      <w:numPr>
        <w:numId w:val="0"/>
      </w:numPr>
      <w:tabs>
        <w:tab w:val="left" w:pos="1335"/>
      </w:tabs>
      <w:spacing w:line="360" w:lineRule="auto"/>
      <w:ind w:left="1335" w:hanging="420"/>
    </w:pPr>
    <w:rPr>
      <w:rFonts w:ascii="Times New Roman" w:eastAsia="黑体" w:hAnsi="Times New Roman"/>
      <w:bCs w:val="0"/>
      <w:sz w:val="32"/>
      <w:szCs w:val="20"/>
    </w:rPr>
  </w:style>
  <w:style w:type="paragraph" w:customStyle="1" w:styleId="affffffff6">
    <w:name w:val="正文 宋体 小四"/>
    <w:basedOn w:val="a"/>
    <w:link w:val="Charf6"/>
    <w:qFormat/>
    <w:rsid w:val="00C223F5"/>
    <w:pPr>
      <w:spacing w:line="360" w:lineRule="auto"/>
      <w:ind w:firstLine="480"/>
    </w:pPr>
    <w:rPr>
      <w:rFonts w:ascii="宋体" w:hAnsi="宋体"/>
      <w:sz w:val="24"/>
      <w:szCs w:val="20"/>
    </w:rPr>
  </w:style>
  <w:style w:type="character" w:customStyle="1" w:styleId="Charf6">
    <w:name w:val="正文 宋体 小四 Char"/>
    <w:link w:val="affffffff6"/>
    <w:qFormat/>
    <w:rsid w:val="00C223F5"/>
    <w:rPr>
      <w:rFonts w:ascii="宋体" w:hAnsi="宋体"/>
      <w:kern w:val="2"/>
      <w:sz w:val="24"/>
    </w:rPr>
  </w:style>
  <w:style w:type="paragraph" w:customStyle="1" w:styleId="Style6">
    <w:name w:val="_Style 6"/>
    <w:basedOn w:val="a"/>
    <w:qFormat/>
    <w:rsid w:val="00C223F5"/>
    <w:pPr>
      <w:snapToGrid w:val="0"/>
      <w:spacing w:line="360" w:lineRule="auto"/>
      <w:ind w:firstLineChars="200" w:firstLine="200"/>
    </w:pPr>
    <w:rPr>
      <w:szCs w:val="20"/>
    </w:rPr>
  </w:style>
  <w:style w:type="paragraph" w:customStyle="1" w:styleId="1CharCharCharChar">
    <w:name w:val="1 Char Char Char Char"/>
    <w:basedOn w:val="a"/>
    <w:next w:val="a"/>
    <w:qFormat/>
    <w:rsid w:val="00C223F5"/>
    <w:pPr>
      <w:spacing w:line="360" w:lineRule="auto"/>
      <w:ind w:firstLineChars="200" w:firstLine="200"/>
    </w:pPr>
    <w:rPr>
      <w:rFonts w:ascii="宋体" w:hAnsi="宋体" w:cs="宋体"/>
      <w:sz w:val="24"/>
    </w:rPr>
  </w:style>
  <w:style w:type="paragraph" w:customStyle="1" w:styleId="21560">
    <w:name w:val="样式 标题 2 + 黑体 非加粗 黑色 段前: 15.6 磅 段后: 0 磅 行距: 单倍行距"/>
    <w:basedOn w:val="2"/>
    <w:qFormat/>
    <w:rsid w:val="00C223F5"/>
    <w:pPr>
      <w:numPr>
        <w:numId w:val="0"/>
      </w:numPr>
      <w:tabs>
        <w:tab w:val="clear" w:pos="576"/>
        <w:tab w:val="left" w:pos="567"/>
      </w:tabs>
      <w:spacing w:before="312" w:after="0" w:line="240" w:lineRule="auto"/>
    </w:pPr>
    <w:rPr>
      <w:rFonts w:ascii="黑体" w:eastAsia="宋体" w:hAnsi="宋体" w:cs="宋体"/>
      <w:b/>
      <w:bCs w:val="0"/>
      <w:color w:val="FF00FF"/>
      <w:szCs w:val="24"/>
    </w:rPr>
  </w:style>
  <w:style w:type="paragraph" w:customStyle="1" w:styleId="CharCharCharCharCharCharCharCharCharCharCharCharCharCharCharCharCharChar1CharCharCharCharCharCharCharCharCharCharCharCharCharCharCharCharCharCharChar1">
    <w:name w:val="Char Char Char Char Char Char Char Char Char Char Char Char Char Char Char Char Char Char1 Char Char Char Char Char Char Char Char Char Char Char Char Char Char Char Char Char Char Char1"/>
    <w:basedOn w:val="a"/>
    <w:next w:val="a"/>
    <w:qFormat/>
    <w:rsid w:val="00C223F5"/>
    <w:pPr>
      <w:spacing w:line="360" w:lineRule="auto"/>
      <w:ind w:firstLineChars="200" w:firstLine="200"/>
    </w:pPr>
    <w:rPr>
      <w:rFonts w:ascii="宋体" w:hAnsi="宋体" w:cs="宋体"/>
      <w:snapToGrid w:val="0"/>
      <w:kern w:val="0"/>
      <w:sz w:val="24"/>
    </w:rPr>
  </w:style>
  <w:style w:type="paragraph" w:customStyle="1" w:styleId="2f2">
    <w:name w:val="样式 标题 2 + (中文) 宋体 小三 粉红"/>
    <w:basedOn w:val="2"/>
    <w:qFormat/>
    <w:rsid w:val="00C223F5"/>
    <w:pPr>
      <w:numPr>
        <w:numId w:val="0"/>
      </w:numPr>
      <w:tabs>
        <w:tab w:val="clear" w:pos="576"/>
        <w:tab w:val="left" w:pos="567"/>
      </w:tabs>
      <w:spacing w:before="0" w:after="0" w:line="360" w:lineRule="auto"/>
      <w:ind w:left="567" w:hanging="567"/>
      <w:jc w:val="left"/>
      <w:textAlignment w:val="baseline"/>
    </w:pPr>
    <w:rPr>
      <w:rFonts w:ascii="Times New Roman" w:eastAsia="宋体" w:hAnsi="Times New Roman"/>
      <w:b/>
      <w:color w:val="FF00FF"/>
      <w:kern w:val="0"/>
      <w:szCs w:val="24"/>
    </w:rPr>
  </w:style>
  <w:style w:type="paragraph" w:customStyle="1" w:styleId="CharCharCharCharCharCharCharCharCharCharCharCharCharCharCharCharCharCharChar">
    <w:name w:val="Char Char Char Char Char Char Char Char Char Char Char Char Char Char Char Char Char Char Char"/>
    <w:basedOn w:val="a"/>
    <w:qFormat/>
    <w:rsid w:val="00C223F5"/>
  </w:style>
  <w:style w:type="paragraph" w:customStyle="1" w:styleId="378">
    <w:name w:val="样式 标题 3 + 黑体 四号 黑色 段前: 7.8 磅 行距: 单倍行距"/>
    <w:basedOn w:val="3"/>
    <w:qFormat/>
    <w:rsid w:val="00C223F5"/>
    <w:pPr>
      <w:numPr>
        <w:numId w:val="0"/>
      </w:numPr>
      <w:tabs>
        <w:tab w:val="left" w:pos="1484"/>
      </w:tabs>
      <w:spacing w:before="156" w:line="240" w:lineRule="auto"/>
      <w:ind w:left="1484" w:hanging="720"/>
    </w:pPr>
    <w:rPr>
      <w:rFonts w:ascii="黑体" w:eastAsia="宋体" w:hAnsi="黑体" w:cs="宋体"/>
      <w:b/>
      <w:color w:val="000000"/>
      <w:sz w:val="28"/>
      <w:szCs w:val="20"/>
    </w:rPr>
  </w:style>
  <w:style w:type="paragraph" w:customStyle="1" w:styleId="affffffff7">
    <w:name w:val="五号表格"/>
    <w:basedOn w:val="a"/>
    <w:qFormat/>
    <w:rsid w:val="00C223F5"/>
    <w:pPr>
      <w:spacing w:line="240" w:lineRule="atLeast"/>
      <w:jc w:val="center"/>
    </w:pPr>
  </w:style>
  <w:style w:type="paragraph" w:customStyle="1" w:styleId="CharCharCharCharCharCharCharCharChar1CharCharCharCharCharCharCharCharCharCharCharCharCharCharCharCharCharCharCharCharCharChar">
    <w:name w:val="Char Char Char Char Char Char Char Char Char1 Char Char Char Char Char Char Char Char Char Char Char Char Char Char Char Char Char Char Char Char Char Char"/>
    <w:basedOn w:val="1"/>
    <w:qFormat/>
    <w:rsid w:val="00C223F5"/>
    <w:pPr>
      <w:numPr>
        <w:numId w:val="0"/>
      </w:numPr>
      <w:snapToGrid w:val="0"/>
      <w:spacing w:before="240" w:after="240" w:line="348" w:lineRule="auto"/>
    </w:pPr>
    <w:rPr>
      <w:rFonts w:eastAsia="宋体"/>
      <w:b/>
      <w:sz w:val="44"/>
    </w:rPr>
  </w:style>
  <w:style w:type="paragraph" w:customStyle="1" w:styleId="CharCharCharCharCharCharCharCharCharCharCharCharCharCharCharCharCharChar1CharCharCharCharCharCharCharCharCharCharCharCharCharCharCharCharCharCharChar11">
    <w:name w:val="Char Char Char Char Char Char Char Char Char Char Char Char Char Char Char Char Char Char1 Char Char Char Char Char Char Char Char Char Char Char Char Char Char Char Char Char Char Char11"/>
    <w:basedOn w:val="a"/>
    <w:next w:val="a"/>
    <w:qFormat/>
    <w:rsid w:val="00C223F5"/>
    <w:pPr>
      <w:snapToGrid w:val="0"/>
      <w:spacing w:line="360" w:lineRule="auto"/>
      <w:ind w:firstLineChars="200" w:firstLine="200"/>
    </w:pPr>
    <w:rPr>
      <w:rFonts w:ascii="宋体" w:hAnsi="宋体" w:cs="宋体"/>
      <w:kern w:val="0"/>
      <w:sz w:val="24"/>
    </w:rPr>
  </w:style>
  <w:style w:type="paragraph" w:customStyle="1" w:styleId="4a">
    <w:name w:val="样式 样式 标题 4 + (中文) 宋体 小四 粉红 + 自动设置"/>
    <w:basedOn w:val="a"/>
    <w:qFormat/>
    <w:rsid w:val="00C223F5"/>
    <w:pPr>
      <w:keepNext/>
      <w:keepLines/>
      <w:tabs>
        <w:tab w:val="left" w:pos="864"/>
        <w:tab w:val="left" w:pos="900"/>
      </w:tabs>
      <w:spacing w:line="360" w:lineRule="auto"/>
      <w:jc w:val="left"/>
      <w:outlineLvl w:val="3"/>
    </w:pPr>
    <w:rPr>
      <w:b/>
      <w:bCs/>
      <w:sz w:val="24"/>
    </w:rPr>
  </w:style>
  <w:style w:type="paragraph" w:customStyle="1" w:styleId="z-1">
    <w:name w:val="z-窗体顶端1"/>
    <w:basedOn w:val="a"/>
    <w:next w:val="a"/>
    <w:hidden/>
    <w:unhideWhenUsed/>
    <w:qFormat/>
    <w:rsid w:val="00C223F5"/>
    <w:pPr>
      <w:widowControl/>
      <w:pBdr>
        <w:bottom w:val="single" w:sz="6" w:space="1" w:color="auto"/>
      </w:pBdr>
      <w:jc w:val="center"/>
    </w:pPr>
    <w:rPr>
      <w:rFonts w:ascii="Arial" w:hAnsi="Arial" w:cs="Arial"/>
      <w:vanish/>
      <w:kern w:val="0"/>
      <w:sz w:val="16"/>
      <w:szCs w:val="16"/>
    </w:rPr>
  </w:style>
  <w:style w:type="paragraph" w:customStyle="1" w:styleId="z-10">
    <w:name w:val="z-窗体底端1"/>
    <w:basedOn w:val="a"/>
    <w:next w:val="a"/>
    <w:hidden/>
    <w:unhideWhenUsed/>
    <w:qFormat/>
    <w:rsid w:val="00C223F5"/>
    <w:pPr>
      <w:widowControl/>
      <w:pBdr>
        <w:top w:val="single" w:sz="6" w:space="1" w:color="auto"/>
      </w:pBdr>
      <w:jc w:val="center"/>
    </w:pPr>
    <w:rPr>
      <w:rFonts w:ascii="Arial" w:hAnsi="Arial" w:cs="Arial"/>
      <w:vanish/>
      <w:kern w:val="0"/>
      <w:sz w:val="16"/>
      <w:szCs w:val="16"/>
    </w:rPr>
  </w:style>
  <w:style w:type="paragraph" w:customStyle="1" w:styleId="CharCharChar2Char1">
    <w:name w:val="Char Char Char2 Char1"/>
    <w:basedOn w:val="a"/>
    <w:qFormat/>
    <w:rsid w:val="00C223F5"/>
    <w:pPr>
      <w:spacing w:line="360" w:lineRule="auto"/>
      <w:ind w:firstLineChars="200" w:firstLine="200"/>
    </w:pPr>
    <w:rPr>
      <w:rFonts w:ascii="宋体" w:hAnsi="宋体" w:cs="宋体"/>
      <w:sz w:val="24"/>
    </w:rPr>
  </w:style>
  <w:style w:type="paragraph" w:customStyle="1" w:styleId="1f1">
    <w:name w:val="正文1"/>
    <w:basedOn w:val="a"/>
    <w:link w:val="1Char0"/>
    <w:qFormat/>
    <w:rsid w:val="00C223F5"/>
    <w:pPr>
      <w:spacing w:line="360" w:lineRule="auto"/>
      <w:ind w:firstLineChars="200" w:firstLine="480"/>
    </w:pPr>
    <w:rPr>
      <w:sz w:val="24"/>
      <w:szCs w:val="20"/>
    </w:rPr>
  </w:style>
  <w:style w:type="character" w:customStyle="1" w:styleId="1Char0">
    <w:name w:val="正文1 Char"/>
    <w:link w:val="1f1"/>
    <w:qFormat/>
    <w:rsid w:val="00C223F5"/>
    <w:rPr>
      <w:kern w:val="2"/>
      <w:sz w:val="24"/>
    </w:rPr>
  </w:style>
  <w:style w:type="paragraph" w:customStyle="1" w:styleId="113">
    <w:name w:val="列出段落11"/>
    <w:basedOn w:val="a"/>
    <w:qFormat/>
    <w:rsid w:val="00C223F5"/>
    <w:pPr>
      <w:ind w:firstLineChars="200" w:firstLine="420"/>
    </w:pPr>
    <w:rPr>
      <w:rFonts w:ascii="Calibri" w:hAnsi="Calibri"/>
      <w:szCs w:val="22"/>
    </w:rPr>
  </w:style>
  <w:style w:type="paragraph" w:customStyle="1" w:styleId="CharChar2CharCharCharCharCharChar">
    <w:name w:val="Char Char2 Char Char Char Char Char Char"/>
    <w:basedOn w:val="a"/>
    <w:qFormat/>
    <w:rsid w:val="00C223F5"/>
    <w:pPr>
      <w:spacing w:line="360" w:lineRule="auto"/>
      <w:ind w:firstLineChars="200" w:firstLine="200"/>
    </w:pPr>
  </w:style>
  <w:style w:type="paragraph" w:customStyle="1" w:styleId="BG3">
    <w:name w:val="!BG_标题3"/>
    <w:basedOn w:val="3"/>
    <w:qFormat/>
    <w:rsid w:val="00C223F5"/>
    <w:pPr>
      <w:tabs>
        <w:tab w:val="clear" w:pos="1276"/>
        <w:tab w:val="left" w:pos="720"/>
      </w:tabs>
      <w:spacing w:before="0" w:after="0" w:line="360" w:lineRule="auto"/>
      <w:ind w:left="0" w:firstLine="0"/>
      <w:jc w:val="left"/>
    </w:pPr>
    <w:rPr>
      <w:rFonts w:eastAsia="宋体"/>
      <w:b/>
      <w:bCs w:val="0"/>
      <w:sz w:val="28"/>
      <w:szCs w:val="28"/>
    </w:rPr>
  </w:style>
  <w:style w:type="paragraph" w:customStyle="1" w:styleId="BG2">
    <w:name w:val="!BG_标题2"/>
    <w:basedOn w:val="2"/>
    <w:qFormat/>
    <w:rsid w:val="00C223F5"/>
    <w:pPr>
      <w:spacing w:before="0" w:after="0" w:line="360" w:lineRule="auto"/>
      <w:ind w:left="-54" w:firstLine="0"/>
      <w:jc w:val="left"/>
    </w:pPr>
    <w:rPr>
      <w:rFonts w:ascii="Times New Roman" w:eastAsia="宋体" w:hAnsi="Times New Roman"/>
      <w:b/>
      <w:bCs w:val="0"/>
      <w:szCs w:val="30"/>
    </w:rPr>
  </w:style>
  <w:style w:type="paragraph" w:customStyle="1" w:styleId="3f4">
    <w:name w:val="样式3（代正文）"/>
    <w:link w:val="3Char3"/>
    <w:qFormat/>
    <w:rsid w:val="00C223F5"/>
    <w:pPr>
      <w:widowControl w:val="0"/>
      <w:adjustRightInd w:val="0"/>
      <w:snapToGrid w:val="0"/>
      <w:spacing w:line="420" w:lineRule="exact"/>
      <w:ind w:firstLineChars="200" w:firstLine="480"/>
      <w:jc w:val="both"/>
    </w:pPr>
    <w:rPr>
      <w:rFonts w:ascii="宋体" w:hAnsi="宋体"/>
      <w:snapToGrid w:val="0"/>
      <w:sz w:val="24"/>
      <w:szCs w:val="24"/>
    </w:rPr>
  </w:style>
  <w:style w:type="character" w:customStyle="1" w:styleId="3Char3">
    <w:name w:val="样式3（代正文） Char"/>
    <w:link w:val="3f4"/>
    <w:qFormat/>
    <w:rsid w:val="00C223F5"/>
    <w:rPr>
      <w:rFonts w:ascii="宋体" w:hAnsi="宋体"/>
      <w:snapToGrid w:val="0"/>
      <w:sz w:val="24"/>
      <w:szCs w:val="24"/>
    </w:rPr>
  </w:style>
  <w:style w:type="paragraph" w:customStyle="1" w:styleId="151">
    <w:name w:val="样式 四号 行距: 1.5 倍行距1"/>
    <w:basedOn w:val="a"/>
    <w:link w:val="151Char"/>
    <w:qFormat/>
    <w:rsid w:val="00C223F5"/>
    <w:pPr>
      <w:adjustRightInd w:val="0"/>
      <w:spacing w:line="360" w:lineRule="auto"/>
      <w:ind w:firstLineChars="200" w:firstLine="200"/>
      <w:textAlignment w:val="baseline"/>
    </w:pPr>
    <w:rPr>
      <w:kern w:val="0"/>
      <w:sz w:val="24"/>
      <w:szCs w:val="20"/>
    </w:rPr>
  </w:style>
  <w:style w:type="character" w:customStyle="1" w:styleId="151Char">
    <w:name w:val="样式 四号 行距: 1.5 倍行距1 Char"/>
    <w:link w:val="151"/>
    <w:qFormat/>
    <w:rsid w:val="00C223F5"/>
    <w:rPr>
      <w:sz w:val="24"/>
    </w:rPr>
  </w:style>
  <w:style w:type="paragraph" w:customStyle="1" w:styleId="1f2">
    <w:name w:val="正文样式1"/>
    <w:basedOn w:val="a"/>
    <w:link w:val="1Char1"/>
    <w:qFormat/>
    <w:rsid w:val="00C223F5"/>
    <w:pPr>
      <w:adjustRightInd w:val="0"/>
      <w:snapToGrid w:val="0"/>
      <w:spacing w:line="360" w:lineRule="auto"/>
      <w:ind w:firstLine="480"/>
    </w:pPr>
    <w:rPr>
      <w:kern w:val="0"/>
      <w:sz w:val="24"/>
    </w:rPr>
  </w:style>
  <w:style w:type="character" w:customStyle="1" w:styleId="1Char1">
    <w:name w:val="正文样式1 Char"/>
    <w:link w:val="1f2"/>
    <w:qFormat/>
    <w:rsid w:val="00C223F5"/>
    <w:rPr>
      <w:sz w:val="24"/>
      <w:szCs w:val="24"/>
    </w:rPr>
  </w:style>
  <w:style w:type="paragraph" w:customStyle="1" w:styleId="2010423">
    <w:name w:val="2010.4.23"/>
    <w:basedOn w:val="a"/>
    <w:link w:val="2010423CharChar"/>
    <w:qFormat/>
    <w:rsid w:val="00C223F5"/>
    <w:pPr>
      <w:adjustRightInd w:val="0"/>
      <w:snapToGrid w:val="0"/>
      <w:spacing w:line="336" w:lineRule="auto"/>
      <w:ind w:firstLineChars="200" w:firstLine="200"/>
    </w:pPr>
    <w:rPr>
      <w:rFonts w:ascii="宋体" w:hAnsi="宋体"/>
      <w:bCs/>
      <w:kern w:val="0"/>
      <w:sz w:val="20"/>
      <w:szCs w:val="32"/>
    </w:rPr>
  </w:style>
  <w:style w:type="character" w:customStyle="1" w:styleId="2010423CharChar">
    <w:name w:val="2010.4.23 Char Char"/>
    <w:link w:val="2010423"/>
    <w:qFormat/>
    <w:rsid w:val="00C223F5"/>
    <w:rPr>
      <w:rFonts w:ascii="宋体" w:hAnsi="宋体"/>
      <w:bCs/>
      <w:szCs w:val="32"/>
    </w:rPr>
  </w:style>
  <w:style w:type="paragraph" w:customStyle="1" w:styleId="BG4">
    <w:name w:val="!BG_标题4"/>
    <w:basedOn w:val="a"/>
    <w:link w:val="BG4CharChar"/>
    <w:qFormat/>
    <w:rsid w:val="00C223F5"/>
    <w:pPr>
      <w:keepNext/>
      <w:keepLines/>
      <w:tabs>
        <w:tab w:val="left" w:pos="0"/>
      </w:tabs>
      <w:spacing w:line="360" w:lineRule="auto"/>
      <w:jc w:val="left"/>
      <w:outlineLvl w:val="3"/>
    </w:pPr>
    <w:rPr>
      <w:b/>
      <w:sz w:val="24"/>
      <w:szCs w:val="28"/>
    </w:rPr>
  </w:style>
  <w:style w:type="paragraph" w:customStyle="1" w:styleId="BG1">
    <w:name w:val="!BG_标题1"/>
    <w:basedOn w:val="1"/>
    <w:qFormat/>
    <w:rsid w:val="00C223F5"/>
    <w:pPr>
      <w:numPr>
        <w:numId w:val="0"/>
      </w:numPr>
      <w:tabs>
        <w:tab w:val="left" w:pos="720"/>
      </w:tabs>
      <w:spacing w:before="0" w:after="0" w:line="360" w:lineRule="auto"/>
      <w:ind w:left="720" w:hanging="720"/>
      <w:jc w:val="left"/>
    </w:pPr>
    <w:rPr>
      <w:bCs w:val="0"/>
      <w:szCs w:val="32"/>
    </w:rPr>
  </w:style>
  <w:style w:type="character" w:customStyle="1" w:styleId="font2">
    <w:name w:val="font2"/>
    <w:qFormat/>
    <w:rsid w:val="00C223F5"/>
    <w:rPr>
      <w:rFonts w:ascii="宋体" w:eastAsia="宋体" w:hAnsi="宋体" w:hint="eastAsia"/>
      <w:color w:val="000000"/>
      <w:sz w:val="24"/>
      <w:szCs w:val="24"/>
    </w:rPr>
  </w:style>
  <w:style w:type="character" w:customStyle="1" w:styleId="hb2Char">
    <w:name w:val="hb2 Char"/>
    <w:qFormat/>
    <w:rsid w:val="00C223F5"/>
    <w:rPr>
      <w:rFonts w:ascii="宋体" w:eastAsia="宋体" w:cs="Arial"/>
      <w:b/>
      <w:bCs/>
      <w:kern w:val="2"/>
      <w:sz w:val="28"/>
      <w:szCs w:val="28"/>
      <w:lang w:val="en-US" w:eastAsia="zh-CN" w:bidi="ar-SA"/>
    </w:rPr>
  </w:style>
  <w:style w:type="character" w:customStyle="1" w:styleId="Char24">
    <w:name w:val="表头 Char2"/>
    <w:qFormat/>
    <w:rsid w:val="00C223F5"/>
    <w:rPr>
      <w:rFonts w:ascii="Arial Narrow" w:eastAsia="汉鼎简书宋" w:hAnsi="Arial Narrow"/>
      <w:b/>
      <w:kern w:val="2"/>
      <w:sz w:val="24"/>
      <w:szCs w:val="24"/>
      <w:lang w:eastAsia="zh-CN"/>
    </w:rPr>
  </w:style>
  <w:style w:type="character" w:customStyle="1" w:styleId="Charf7">
    <w:name w:val="正文 + 宋体 Char"/>
    <w:qFormat/>
    <w:rsid w:val="00C223F5"/>
    <w:rPr>
      <w:rFonts w:ascii="宋体" w:eastAsia="宋体" w:cs="宋体"/>
      <w:sz w:val="24"/>
      <w:szCs w:val="24"/>
      <w:lang w:val="en-US" w:eastAsia="zh-CN" w:bidi="ar-SA"/>
    </w:rPr>
  </w:style>
  <w:style w:type="character" w:customStyle="1" w:styleId="hb3CharChar">
    <w:name w:val="hb3 Char Char"/>
    <w:qFormat/>
    <w:rsid w:val="00C223F5"/>
    <w:rPr>
      <w:rFonts w:ascii="宋体" w:eastAsia="宋体"/>
      <w:b/>
      <w:bCs/>
      <w:sz w:val="24"/>
      <w:szCs w:val="32"/>
      <w:lang w:val="en-US" w:eastAsia="zh-CN"/>
    </w:rPr>
  </w:style>
  <w:style w:type="character" w:customStyle="1" w:styleId="l171">
    <w:name w:val="l171"/>
    <w:basedOn w:val="a0"/>
    <w:qFormat/>
    <w:rsid w:val="00C223F5"/>
  </w:style>
  <w:style w:type="character" w:customStyle="1" w:styleId="CharChar1">
    <w:name w:val="表头 Char Char"/>
    <w:qFormat/>
    <w:rsid w:val="00C223F5"/>
    <w:rPr>
      <w:rFonts w:eastAsia="黑体"/>
      <w:kern w:val="2"/>
      <w:sz w:val="21"/>
      <w:szCs w:val="24"/>
      <w:lang w:val="en-US" w:eastAsia="zh-CN"/>
    </w:rPr>
  </w:style>
  <w:style w:type="character" w:customStyle="1" w:styleId="ca-41">
    <w:name w:val="ca-41"/>
    <w:qFormat/>
    <w:rsid w:val="00C223F5"/>
    <w:rPr>
      <w:rFonts w:ascii="宋体" w:eastAsia="宋体"/>
      <w:color w:val="FF0000"/>
      <w:sz w:val="24"/>
      <w:szCs w:val="24"/>
    </w:rPr>
  </w:style>
  <w:style w:type="character" w:customStyle="1" w:styleId="4Char">
    <w:name w:val="标题4 Char"/>
    <w:qFormat/>
    <w:rsid w:val="00C223F5"/>
    <w:rPr>
      <w:rFonts w:ascii="黑体" w:eastAsia="黑体"/>
      <w:color w:val="000000"/>
      <w:kern w:val="21"/>
      <w:sz w:val="24"/>
      <w:szCs w:val="24"/>
      <w:lang w:val="en-US" w:eastAsia="zh-CN"/>
    </w:rPr>
  </w:style>
  <w:style w:type="character" w:customStyle="1" w:styleId="hb3Char1">
    <w:name w:val="hb3 Char1"/>
    <w:qFormat/>
    <w:rsid w:val="00C223F5"/>
    <w:rPr>
      <w:rFonts w:ascii="宋体" w:eastAsia="宋体" w:cs="宋体"/>
      <w:b/>
      <w:sz w:val="24"/>
      <w:szCs w:val="24"/>
      <w:lang w:val="en-US" w:eastAsia="zh-CN" w:bidi="ar-SA"/>
    </w:rPr>
  </w:style>
  <w:style w:type="character" w:customStyle="1" w:styleId="HBZW">
    <w:name w:val="HBZW"/>
    <w:qFormat/>
    <w:rsid w:val="00C223F5"/>
    <w:rPr>
      <w:rFonts w:ascii="宋体" w:eastAsia="宋体" w:cs="宋体"/>
      <w:kern w:val="0"/>
      <w:sz w:val="21"/>
      <w:szCs w:val="21"/>
      <w:lang w:val="en-US" w:eastAsia="zh-CN" w:bidi="ar-SA"/>
    </w:rPr>
  </w:style>
  <w:style w:type="character" w:customStyle="1" w:styleId="GB2312Char">
    <w:name w:val="样式 宁扬 + 仿宋_GB2312 Char"/>
    <w:qFormat/>
    <w:rsid w:val="00C223F5"/>
    <w:rPr>
      <w:rFonts w:ascii="仿宋_GB2312" w:eastAsia="仿宋_GB2312"/>
      <w:kern w:val="2"/>
      <w:sz w:val="28"/>
      <w:szCs w:val="28"/>
      <w:lang w:val="en-US" w:eastAsia="zh-CN"/>
    </w:rPr>
  </w:style>
  <w:style w:type="character" w:customStyle="1" w:styleId="neirong1">
    <w:name w:val="neirong1"/>
    <w:qFormat/>
    <w:rsid w:val="00C223F5"/>
    <w:rPr>
      <w:rFonts w:ascii="ˎ̥" w:hAnsi="ˎ̥"/>
      <w:sz w:val="21"/>
      <w:szCs w:val="21"/>
    </w:rPr>
  </w:style>
  <w:style w:type="character" w:customStyle="1" w:styleId="e011">
    <w:name w:val="e011"/>
    <w:qFormat/>
    <w:rsid w:val="00C223F5"/>
    <w:rPr>
      <w:sz w:val="21"/>
      <w:szCs w:val="21"/>
    </w:rPr>
  </w:style>
  <w:style w:type="character" w:customStyle="1" w:styleId="affffffff8">
    <w:name w:val="个人撰写风格"/>
    <w:qFormat/>
    <w:rsid w:val="00C223F5"/>
    <w:rPr>
      <w:rFonts w:ascii="Arial" w:eastAsia="宋体" w:hAnsi="Arial" w:cs="Arial"/>
      <w:color w:val="auto"/>
      <w:sz w:val="20"/>
      <w:lang w:bidi="ar-SA"/>
    </w:rPr>
  </w:style>
  <w:style w:type="character" w:customStyle="1" w:styleId="affffffff9">
    <w:name w:val="个人答复风格"/>
    <w:qFormat/>
    <w:rsid w:val="00C223F5"/>
    <w:rPr>
      <w:rFonts w:ascii="Arial" w:eastAsia="宋体" w:hAnsi="Arial" w:cs="Arial"/>
      <w:color w:val="auto"/>
      <w:sz w:val="20"/>
      <w:lang w:bidi="ar-SA"/>
    </w:rPr>
  </w:style>
  <w:style w:type="character" w:customStyle="1" w:styleId="px141">
    <w:name w:val="px141"/>
    <w:qFormat/>
    <w:rsid w:val="00C223F5"/>
    <w:rPr>
      <w:sz w:val="21"/>
      <w:szCs w:val="21"/>
    </w:rPr>
  </w:style>
  <w:style w:type="character" w:customStyle="1" w:styleId="main">
    <w:name w:val="main"/>
    <w:basedOn w:val="a0"/>
    <w:qFormat/>
    <w:rsid w:val="00C223F5"/>
  </w:style>
  <w:style w:type="character" w:customStyle="1" w:styleId="Charf8">
    <w:name w:val="表名 Char"/>
    <w:qFormat/>
    <w:rsid w:val="00C223F5"/>
    <w:rPr>
      <w:rFonts w:ascii="黑体" w:eastAsia="黑体"/>
      <w:b/>
      <w:bCs/>
      <w:kern w:val="2"/>
      <w:sz w:val="21"/>
      <w:szCs w:val="21"/>
      <w:lang w:val="en-US" w:eastAsia="zh-CN"/>
    </w:rPr>
  </w:style>
  <w:style w:type="character" w:customStyle="1" w:styleId="05Char0">
    <w:name w:val="样式 图名 + 段前: 0.5 行 Char"/>
    <w:qFormat/>
    <w:rsid w:val="00C223F5"/>
    <w:rPr>
      <w:rFonts w:ascii="黑体" w:eastAsia="黑体" w:cs="宋体"/>
      <w:spacing w:val="-10"/>
      <w:kern w:val="2"/>
      <w:sz w:val="21"/>
      <w:szCs w:val="21"/>
      <w:lang w:val="en-US" w:eastAsia="zh-CN" w:bidi="ar-SA"/>
    </w:rPr>
  </w:style>
  <w:style w:type="character" w:customStyle="1" w:styleId="Charf9">
    <w:name w:val="图名 Char"/>
    <w:qFormat/>
    <w:rsid w:val="00C223F5"/>
    <w:rPr>
      <w:rFonts w:ascii="黑体" w:eastAsia="黑体"/>
      <w:spacing w:val="-10"/>
      <w:kern w:val="2"/>
      <w:sz w:val="21"/>
      <w:szCs w:val="21"/>
      <w:lang w:val="en-US" w:eastAsia="zh-CN"/>
    </w:rPr>
  </w:style>
  <w:style w:type="character" w:customStyle="1" w:styleId="32005Char">
    <w:name w:val="样式 样式 标题 3 + 首行缩进:  2 字符 段前: 0 磅 + 两端对齐 段前: 0.5 行 Char"/>
    <w:qFormat/>
    <w:rsid w:val="00C223F5"/>
    <w:rPr>
      <w:rFonts w:ascii="黑体" w:eastAsia="黑体" w:cs="宋体"/>
      <w:b/>
      <w:bCs/>
      <w:kern w:val="2"/>
      <w:sz w:val="24"/>
      <w:szCs w:val="24"/>
      <w:lang w:val="en-US" w:eastAsia="zh-CN" w:bidi="ar-SA"/>
    </w:rPr>
  </w:style>
  <w:style w:type="character" w:customStyle="1" w:styleId="style41">
    <w:name w:val="style41"/>
    <w:qFormat/>
    <w:rsid w:val="00C223F5"/>
    <w:rPr>
      <w:sz w:val="21"/>
      <w:szCs w:val="21"/>
    </w:rPr>
  </w:style>
  <w:style w:type="character" w:customStyle="1" w:styleId="11Char">
    <w:name w:val="标题 11 Char"/>
    <w:qFormat/>
    <w:rsid w:val="00C223F5"/>
    <w:rPr>
      <w:b/>
      <w:kern w:val="44"/>
      <w:sz w:val="44"/>
    </w:rPr>
  </w:style>
  <w:style w:type="character" w:customStyle="1" w:styleId="Charfa">
    <w:name w:val="图号 Char"/>
    <w:qFormat/>
    <w:rsid w:val="00C223F5"/>
    <w:rPr>
      <w:rFonts w:eastAsia="宋体"/>
      <w:b/>
      <w:bCs/>
      <w:kern w:val="32"/>
      <w:sz w:val="24"/>
      <w:szCs w:val="24"/>
      <w:lang w:val="en-US" w:eastAsia="zh-CN"/>
    </w:rPr>
  </w:style>
  <w:style w:type="character" w:customStyle="1" w:styleId="ca-61">
    <w:name w:val="ca-61"/>
    <w:qFormat/>
    <w:rsid w:val="00C223F5"/>
    <w:rPr>
      <w:rFonts w:ascii="宋体" w:eastAsia="宋体"/>
      <w:color w:val="FF0000"/>
      <w:sz w:val="24"/>
      <w:szCs w:val="24"/>
    </w:rPr>
  </w:style>
  <w:style w:type="character" w:customStyle="1" w:styleId="CharChar3">
    <w:name w:val="表文字 Char Char"/>
    <w:qFormat/>
    <w:rsid w:val="00C223F5"/>
    <w:rPr>
      <w:rFonts w:eastAsia="汉鼎简书宋"/>
      <w:kern w:val="2"/>
      <w:sz w:val="21"/>
      <w:szCs w:val="21"/>
      <w:lang w:val="en-US" w:eastAsia="zh-CN" w:bidi="ar-SA"/>
    </w:rPr>
  </w:style>
  <w:style w:type="character" w:customStyle="1" w:styleId="4Char0">
    <w:name w:val="标题 4斜体 Char"/>
    <w:qFormat/>
    <w:rsid w:val="00C223F5"/>
    <w:rPr>
      <w:rFonts w:eastAsia="楷体_GB2312"/>
      <w:b/>
      <w:i/>
      <w:kern w:val="2"/>
      <w:sz w:val="24"/>
      <w:szCs w:val="24"/>
      <w:lang w:val="en-US" w:eastAsia="zh-CN" w:bidi="ar-SA"/>
    </w:rPr>
  </w:style>
  <w:style w:type="character" w:customStyle="1" w:styleId="f18bt">
    <w:name w:val="f18bt"/>
    <w:basedOn w:val="a0"/>
    <w:qFormat/>
    <w:rsid w:val="00C223F5"/>
  </w:style>
  <w:style w:type="character" w:customStyle="1" w:styleId="1858D7CFB-ED40-4347-BF05-701D383B685F">
    <w:name w:val="标题 1[858D7CFB-ED40-4347-BF05-701D383B685F]"/>
    <w:qFormat/>
    <w:rsid w:val="00C223F5"/>
    <w:rPr>
      <w:rFonts w:eastAsia="黑体"/>
      <w:kern w:val="44"/>
      <w:sz w:val="32"/>
      <w:szCs w:val="24"/>
      <w:lang w:val="en-US" w:eastAsia="zh-CN" w:bidi="ar-SA"/>
    </w:rPr>
  </w:style>
  <w:style w:type="character" w:customStyle="1" w:styleId="3858D7CFB-ED40-4347-BF05-701D383B685F1">
    <w:name w:val="标题 3[858D7CFB-ED40-4347-BF05-701D383B685F]1"/>
    <w:qFormat/>
    <w:rsid w:val="00C223F5"/>
    <w:rPr>
      <w:rFonts w:eastAsia="宋体"/>
      <w:b/>
      <w:kern w:val="2"/>
      <w:sz w:val="28"/>
      <w:szCs w:val="28"/>
      <w:lang w:val="en-US" w:eastAsia="zh-CN" w:bidi="ar-SA"/>
    </w:rPr>
  </w:style>
  <w:style w:type="character" w:customStyle="1" w:styleId="style71">
    <w:name w:val="style71"/>
    <w:qFormat/>
    <w:rsid w:val="00C223F5"/>
    <w:rPr>
      <w:b/>
      <w:bCs/>
      <w:color w:val="D70703"/>
      <w:sz w:val="21"/>
      <w:szCs w:val="21"/>
    </w:rPr>
  </w:style>
  <w:style w:type="character" w:customStyle="1" w:styleId="news11">
    <w:name w:val="news_11"/>
    <w:qFormat/>
    <w:rsid w:val="00C223F5"/>
    <w:rPr>
      <w:sz w:val="28"/>
      <w:szCs w:val="28"/>
    </w:rPr>
  </w:style>
  <w:style w:type="character" w:customStyle="1" w:styleId="unnamed1">
    <w:name w:val="unnamed1"/>
    <w:basedOn w:val="a0"/>
    <w:qFormat/>
    <w:rsid w:val="00C223F5"/>
  </w:style>
  <w:style w:type="character" w:customStyle="1" w:styleId="0905CharChar">
    <w:name w:val="0905正文样式 Char Char"/>
    <w:qFormat/>
    <w:rsid w:val="00C223F5"/>
    <w:rPr>
      <w:rFonts w:eastAsia="宋体"/>
      <w:kern w:val="2"/>
      <w:sz w:val="28"/>
      <w:lang w:val="en-US" w:eastAsia="zh-CN" w:bidi="ar-SA"/>
    </w:rPr>
  </w:style>
  <w:style w:type="character" w:customStyle="1" w:styleId="style31">
    <w:name w:val="style31"/>
    <w:qFormat/>
    <w:rsid w:val="00C223F5"/>
    <w:rPr>
      <w:b/>
      <w:bCs/>
      <w:sz w:val="24"/>
      <w:szCs w:val="24"/>
    </w:rPr>
  </w:style>
  <w:style w:type="character" w:customStyle="1" w:styleId="CharChar7">
    <w:name w:val="Char Char7"/>
    <w:qFormat/>
    <w:rsid w:val="00C223F5"/>
    <w:rPr>
      <w:rFonts w:eastAsia="宋体"/>
      <w:kern w:val="2"/>
      <w:sz w:val="18"/>
      <w:szCs w:val="18"/>
      <w:lang w:val="en-US" w:eastAsia="zh-CN" w:bidi="ar-SA"/>
    </w:rPr>
  </w:style>
  <w:style w:type="character" w:customStyle="1" w:styleId="zwChar">
    <w:name w:val="zw Char"/>
    <w:qFormat/>
    <w:rsid w:val="00C223F5"/>
    <w:rPr>
      <w:rFonts w:eastAsia="宋体" w:cs="宋体"/>
      <w:kern w:val="2"/>
      <w:sz w:val="28"/>
      <w:lang w:val="en-US" w:eastAsia="zh-CN" w:bidi="ar-SA"/>
    </w:rPr>
  </w:style>
  <w:style w:type="character" w:customStyle="1" w:styleId="CharChar6">
    <w:name w:val="Char Char6"/>
    <w:qFormat/>
    <w:rsid w:val="00C223F5"/>
    <w:rPr>
      <w:rFonts w:eastAsia="宋体"/>
      <w:kern w:val="2"/>
      <w:sz w:val="24"/>
      <w:szCs w:val="24"/>
      <w:lang w:val="en-US" w:eastAsia="zh-CN" w:bidi="ar-SA"/>
    </w:rPr>
  </w:style>
  <w:style w:type="character" w:customStyle="1" w:styleId="Char12">
    <w:name w:val="题注 Char1"/>
    <w:qFormat/>
    <w:rsid w:val="00C223F5"/>
    <w:rPr>
      <w:rFonts w:ascii="Arial" w:eastAsia="黑体" w:hAnsi="Arial" w:cs="Arial"/>
      <w:kern w:val="48"/>
      <w:lang w:val="en-US" w:eastAsia="zh-CN" w:bidi="ar-SA"/>
    </w:rPr>
  </w:style>
  <w:style w:type="character" w:customStyle="1" w:styleId="0856615Char">
    <w:name w:val="样式 小四 非加粗 首行缩进:  0.85 厘米 段前: 6 磅 段后: 6 磅 行距: 1.5 倍行距 Char"/>
    <w:qFormat/>
    <w:rsid w:val="00C223F5"/>
    <w:rPr>
      <w:rFonts w:eastAsia="宋体" w:cs="宋体"/>
      <w:kern w:val="2"/>
      <w:sz w:val="28"/>
      <w:szCs w:val="28"/>
      <w:lang w:val="en-US" w:eastAsia="zh-CN" w:bidi="ar-SA"/>
    </w:rPr>
  </w:style>
  <w:style w:type="character" w:customStyle="1" w:styleId="jfinfocont1">
    <w:name w:val="jf_info_cont1"/>
    <w:basedOn w:val="a0"/>
    <w:qFormat/>
    <w:rsid w:val="00C223F5"/>
  </w:style>
  <w:style w:type="character" w:customStyle="1" w:styleId="hcnr">
    <w:name w:val="hcnr"/>
    <w:basedOn w:val="a0"/>
    <w:qFormat/>
    <w:rsid w:val="00C223F5"/>
  </w:style>
  <w:style w:type="character" w:customStyle="1" w:styleId="headline-content2">
    <w:name w:val="headline-content2"/>
    <w:basedOn w:val="a0"/>
    <w:qFormat/>
    <w:rsid w:val="00C223F5"/>
  </w:style>
  <w:style w:type="character" w:customStyle="1" w:styleId="CharChar12">
    <w:name w:val="Char Char12"/>
    <w:qFormat/>
    <w:rsid w:val="00C223F5"/>
    <w:rPr>
      <w:rFonts w:ascii="Arial" w:eastAsia="楷体_GB2312" w:hAnsi="Arial"/>
      <w:bCs/>
      <w:kern w:val="2"/>
      <w:sz w:val="30"/>
      <w:szCs w:val="32"/>
      <w:lang w:val="en-US" w:eastAsia="zh-CN" w:bidi="ar-SA"/>
    </w:rPr>
  </w:style>
  <w:style w:type="character" w:customStyle="1" w:styleId="foCharChar">
    <w:name w:val="fo Char Char"/>
    <w:qFormat/>
    <w:rsid w:val="00C223F5"/>
    <w:rPr>
      <w:rFonts w:eastAsia="宋体"/>
      <w:kern w:val="2"/>
      <w:sz w:val="18"/>
      <w:szCs w:val="18"/>
      <w:lang w:val="en-US" w:eastAsia="zh-CN" w:bidi="ar-SA"/>
    </w:rPr>
  </w:style>
  <w:style w:type="character" w:customStyle="1" w:styleId="3858D7CFB-ED40-4347-BF05-701D383B685F">
    <w:name w:val="标题 3[858D7CFB-ED40-4347-BF05-701D383B685F]"/>
    <w:qFormat/>
    <w:rsid w:val="00C223F5"/>
    <w:rPr>
      <w:rFonts w:eastAsia="宋体"/>
      <w:b/>
      <w:bCs/>
      <w:kern w:val="2"/>
      <w:sz w:val="32"/>
      <w:szCs w:val="32"/>
      <w:lang w:val="en-US" w:eastAsia="zh-CN" w:bidi="ar-SA"/>
    </w:rPr>
  </w:style>
  <w:style w:type="character" w:customStyle="1" w:styleId="1858D7CFB-ED40-4347-BF05-701D383B685F1">
    <w:name w:val="标题 1[858D7CFB-ED40-4347-BF05-701D383B685F]1"/>
    <w:qFormat/>
    <w:rsid w:val="00C223F5"/>
    <w:rPr>
      <w:rFonts w:ascii="Times New Roman" w:eastAsia="黑体" w:hAnsi="Times New Roman"/>
      <w:b/>
      <w:color w:val="auto"/>
      <w:kern w:val="44"/>
      <w:sz w:val="32"/>
    </w:rPr>
  </w:style>
  <w:style w:type="character" w:customStyle="1" w:styleId="mod-titleml-5">
    <w:name w:val="mod-title ml-5"/>
    <w:basedOn w:val="a0"/>
    <w:qFormat/>
    <w:rsid w:val="00C223F5"/>
  </w:style>
  <w:style w:type="character" w:customStyle="1" w:styleId="apple-style-span">
    <w:name w:val="apple-style-span"/>
    <w:basedOn w:val="a0"/>
    <w:qFormat/>
    <w:rsid w:val="00C223F5"/>
  </w:style>
  <w:style w:type="character" w:customStyle="1" w:styleId="En-tte11Char1">
    <w:name w:val="En-tête 1.1 Char1"/>
    <w:qFormat/>
    <w:rsid w:val="00C223F5"/>
    <w:rPr>
      <w:sz w:val="18"/>
      <w:szCs w:val="18"/>
    </w:rPr>
  </w:style>
  <w:style w:type="character" w:customStyle="1" w:styleId="Char25">
    <w:name w:val="页脚 Char2"/>
    <w:uiPriority w:val="99"/>
    <w:qFormat/>
    <w:rsid w:val="00C223F5"/>
    <w:rPr>
      <w:kern w:val="2"/>
      <w:sz w:val="18"/>
      <w:szCs w:val="18"/>
    </w:rPr>
  </w:style>
  <w:style w:type="character" w:customStyle="1" w:styleId="7Char">
    <w:name w:val="样式7 Char"/>
    <w:link w:val="73"/>
    <w:qFormat/>
    <w:rsid w:val="00C223F5"/>
    <w:rPr>
      <w:rFonts w:ascii="黑体"/>
      <w:b/>
      <w:bCs/>
      <w:kern w:val="44"/>
      <w:sz w:val="32"/>
      <w:szCs w:val="28"/>
    </w:rPr>
  </w:style>
  <w:style w:type="character" w:customStyle="1" w:styleId="2CharChar0">
    <w:name w:val="样式 初设正文2 Char Char"/>
    <w:link w:val="2f3"/>
    <w:qFormat/>
    <w:rsid w:val="00C223F5"/>
    <w:rPr>
      <w:rFonts w:ascii="Arial Narrow" w:eastAsia="汉鼎简书宋" w:hAnsi="Arial Narrow" w:cs="宋体"/>
      <w:spacing w:val="-4"/>
      <w:sz w:val="24"/>
      <w:szCs w:val="24"/>
    </w:rPr>
  </w:style>
  <w:style w:type="paragraph" w:customStyle="1" w:styleId="2f3">
    <w:name w:val="样式 初设正文2"/>
    <w:basedOn w:val="a"/>
    <w:link w:val="2CharChar0"/>
    <w:qFormat/>
    <w:rsid w:val="00C223F5"/>
    <w:pPr>
      <w:snapToGrid w:val="0"/>
      <w:spacing w:line="500" w:lineRule="exact"/>
      <w:ind w:firstLineChars="200" w:firstLine="464"/>
    </w:pPr>
    <w:rPr>
      <w:rFonts w:ascii="Arial Narrow" w:eastAsia="汉鼎简书宋" w:hAnsi="Arial Narrow" w:cs="宋体"/>
      <w:spacing w:val="-4"/>
      <w:kern w:val="0"/>
      <w:sz w:val="24"/>
    </w:rPr>
  </w:style>
  <w:style w:type="character" w:customStyle="1" w:styleId="1f3">
    <w:name w:val="不明显参考1"/>
    <w:uiPriority w:val="31"/>
    <w:qFormat/>
    <w:rsid w:val="00C223F5"/>
    <w:rPr>
      <w:sz w:val="24"/>
      <w:szCs w:val="24"/>
      <w:u w:val="single"/>
    </w:rPr>
  </w:style>
  <w:style w:type="paragraph" w:customStyle="1" w:styleId="Tablename">
    <w:name w:val="Tablename"/>
    <w:basedOn w:val="D"/>
    <w:qFormat/>
    <w:rsid w:val="00C223F5"/>
    <w:pPr>
      <w:spacing w:line="240" w:lineRule="auto"/>
      <w:ind w:firstLineChars="0" w:firstLine="0"/>
      <w:jc w:val="center"/>
    </w:pPr>
    <w:rPr>
      <w:rFonts w:eastAsia="宋体"/>
      <w:b/>
      <w:sz w:val="21"/>
    </w:rPr>
  </w:style>
  <w:style w:type="paragraph" w:customStyle="1" w:styleId="D">
    <w:name w:val="D"/>
    <w:qFormat/>
    <w:rsid w:val="00C223F5"/>
    <w:pPr>
      <w:spacing w:line="360" w:lineRule="auto"/>
      <w:ind w:firstLineChars="200" w:firstLine="200"/>
      <w:jc w:val="both"/>
    </w:pPr>
    <w:rPr>
      <w:rFonts w:eastAsia="汉鼎简书宋"/>
      <w:snapToGrid w:val="0"/>
      <w:sz w:val="24"/>
      <w:szCs w:val="24"/>
    </w:rPr>
  </w:style>
  <w:style w:type="character" w:customStyle="1" w:styleId="Char26">
    <w:name w:val="正文缩进 Char2"/>
    <w:qFormat/>
    <w:rsid w:val="00C223F5"/>
    <w:rPr>
      <w:rFonts w:ascii="宋体" w:eastAsia="宋体" w:hAnsi="宋体"/>
      <w:bCs/>
      <w:spacing w:val="-2"/>
      <w:kern w:val="2"/>
      <w:sz w:val="30"/>
      <w:szCs w:val="28"/>
      <w:lang w:val="en-US" w:eastAsia="zh-CN" w:bidi="ar-SA"/>
    </w:rPr>
  </w:style>
  <w:style w:type="paragraph" w:customStyle="1" w:styleId="affffffffa">
    <w:name w:val="表文"/>
    <w:basedOn w:val="a"/>
    <w:next w:val="a"/>
    <w:qFormat/>
    <w:rsid w:val="00C223F5"/>
    <w:pPr>
      <w:widowControl/>
      <w:jc w:val="center"/>
    </w:pPr>
    <w:rPr>
      <w:rFonts w:cs="宋体"/>
      <w:kern w:val="0"/>
    </w:rPr>
  </w:style>
  <w:style w:type="character" w:styleId="affffffffb">
    <w:name w:val="Placeholder Text"/>
    <w:basedOn w:val="a0"/>
    <w:uiPriority w:val="99"/>
    <w:semiHidden/>
    <w:qFormat/>
    <w:rsid w:val="00C223F5"/>
    <w:rPr>
      <w:color w:val="808080"/>
    </w:rPr>
  </w:style>
  <w:style w:type="paragraph" w:customStyle="1" w:styleId="Char80">
    <w:name w:val="Char8"/>
    <w:basedOn w:val="a"/>
    <w:qFormat/>
    <w:rsid w:val="00C223F5"/>
    <w:pPr>
      <w:spacing w:line="360" w:lineRule="auto"/>
      <w:ind w:firstLineChars="200" w:firstLine="200"/>
    </w:pPr>
  </w:style>
  <w:style w:type="paragraph" w:customStyle="1" w:styleId="1f4">
    <w:name w:val="修订1"/>
    <w:hidden/>
    <w:uiPriority w:val="99"/>
    <w:semiHidden/>
    <w:qFormat/>
    <w:rsid w:val="00C223F5"/>
    <w:rPr>
      <w:kern w:val="2"/>
      <w:sz w:val="21"/>
      <w:szCs w:val="24"/>
    </w:rPr>
  </w:style>
  <w:style w:type="paragraph" w:customStyle="1" w:styleId="Char70">
    <w:name w:val="Char7"/>
    <w:basedOn w:val="a"/>
    <w:qFormat/>
    <w:rsid w:val="00C223F5"/>
    <w:pPr>
      <w:spacing w:line="360" w:lineRule="auto"/>
      <w:ind w:firstLineChars="200" w:firstLine="200"/>
    </w:pPr>
  </w:style>
  <w:style w:type="paragraph" w:customStyle="1" w:styleId="Char60">
    <w:name w:val="Char6"/>
    <w:basedOn w:val="a"/>
    <w:qFormat/>
    <w:rsid w:val="00C223F5"/>
    <w:pPr>
      <w:spacing w:line="360" w:lineRule="auto"/>
      <w:ind w:firstLineChars="200" w:firstLine="200"/>
    </w:pPr>
    <w:rPr>
      <w:rFonts w:ascii="宋体" w:hAnsi="宋体" w:cs="宋体"/>
      <w:sz w:val="24"/>
    </w:rPr>
  </w:style>
  <w:style w:type="character" w:customStyle="1" w:styleId="Charfb">
    <w:name w:val="文本正文 Char"/>
    <w:link w:val="affffffffc"/>
    <w:qFormat/>
    <w:rsid w:val="00C223F5"/>
    <w:rPr>
      <w:sz w:val="24"/>
    </w:rPr>
  </w:style>
  <w:style w:type="paragraph" w:customStyle="1" w:styleId="affffffffc">
    <w:name w:val="文本正文"/>
    <w:basedOn w:val="24"/>
    <w:link w:val="Charfb"/>
    <w:qFormat/>
    <w:rsid w:val="00C223F5"/>
    <w:pPr>
      <w:spacing w:beforeLines="50" w:afterLines="50"/>
      <w:ind w:firstLineChars="224" w:firstLine="538"/>
    </w:pPr>
    <w:rPr>
      <w:kern w:val="0"/>
      <w:szCs w:val="20"/>
    </w:rPr>
  </w:style>
  <w:style w:type="paragraph" w:customStyle="1" w:styleId="msonormalstyle1">
    <w:name w:val="msonormal style1"/>
    <w:basedOn w:val="a"/>
    <w:qFormat/>
    <w:rsid w:val="00C223F5"/>
    <w:pPr>
      <w:widowControl/>
      <w:spacing w:before="100" w:beforeAutospacing="1" w:after="100" w:afterAutospacing="1"/>
      <w:jc w:val="left"/>
    </w:pPr>
    <w:rPr>
      <w:rFonts w:ascii="宋体" w:hAnsi="宋体" w:cs="宋体"/>
      <w:color w:val="000000"/>
      <w:kern w:val="0"/>
      <w:sz w:val="24"/>
    </w:rPr>
  </w:style>
  <w:style w:type="character" w:customStyle="1" w:styleId="3CharChar2">
    <w:name w:val="标题 3 Char Char2"/>
    <w:qFormat/>
    <w:rsid w:val="00C223F5"/>
    <w:rPr>
      <w:rFonts w:ascii="宋体" w:eastAsia="黑体" w:hAnsi="宋体" w:cs="Arial"/>
      <w:color w:val="000000"/>
      <w:kern w:val="2"/>
      <w:sz w:val="28"/>
      <w:szCs w:val="28"/>
      <w:lang w:val="en-US" w:eastAsia="zh-CN" w:bidi="ar-SA"/>
    </w:rPr>
  </w:style>
  <w:style w:type="paragraph" w:customStyle="1" w:styleId="114">
    <w:name w:val="11"/>
    <w:basedOn w:val="a"/>
    <w:qFormat/>
    <w:rsid w:val="00C223F5"/>
    <w:pPr>
      <w:adjustRightInd w:val="0"/>
      <w:snapToGrid w:val="0"/>
      <w:spacing w:line="360" w:lineRule="auto"/>
      <w:ind w:firstLineChars="200" w:firstLine="480"/>
    </w:pPr>
    <w:rPr>
      <w:rFonts w:hAnsi="宋体"/>
      <w:sz w:val="24"/>
    </w:rPr>
  </w:style>
  <w:style w:type="paragraph" w:customStyle="1" w:styleId="affffffffd">
    <w:name w:val="!正文"/>
    <w:basedOn w:val="a"/>
    <w:qFormat/>
    <w:rsid w:val="00C223F5"/>
    <w:pPr>
      <w:adjustRightInd w:val="0"/>
      <w:snapToGrid w:val="0"/>
      <w:ind w:firstLine="480"/>
    </w:pPr>
    <w:rPr>
      <w:szCs w:val="21"/>
    </w:rPr>
  </w:style>
  <w:style w:type="paragraph" w:customStyle="1" w:styleId="affffffffe">
    <w:name w:val="表格字体"/>
    <w:basedOn w:val="a"/>
    <w:qFormat/>
    <w:rsid w:val="00C223F5"/>
    <w:pPr>
      <w:spacing w:line="240" w:lineRule="exact"/>
    </w:pPr>
    <w:rPr>
      <w:szCs w:val="21"/>
    </w:rPr>
  </w:style>
  <w:style w:type="character" w:customStyle="1" w:styleId="BG4CharChar">
    <w:name w:val="!BG_标题4 Char Char"/>
    <w:link w:val="BG4"/>
    <w:qFormat/>
    <w:rsid w:val="00C223F5"/>
    <w:rPr>
      <w:b/>
      <w:kern w:val="2"/>
      <w:sz w:val="24"/>
      <w:szCs w:val="28"/>
    </w:rPr>
  </w:style>
  <w:style w:type="character" w:customStyle="1" w:styleId="3CharCharChar0">
    <w:name w:val="王正超3级 Char Char Char"/>
    <w:qFormat/>
    <w:rsid w:val="00C223F5"/>
    <w:rPr>
      <w:rFonts w:ascii="宋体" w:eastAsia="宋体" w:hAnsi="宋体"/>
      <w:b/>
      <w:sz w:val="24"/>
      <w:szCs w:val="24"/>
      <w:lang w:val="en-US" w:eastAsia="zh-CN" w:bidi="ar-SA"/>
    </w:rPr>
  </w:style>
  <w:style w:type="paragraph" w:customStyle="1" w:styleId="83">
    <w:name w:val="8"/>
    <w:basedOn w:val="a"/>
    <w:next w:val="a"/>
    <w:qFormat/>
    <w:rsid w:val="00C223F5"/>
    <w:pPr>
      <w:spacing w:line="360" w:lineRule="auto"/>
      <w:ind w:firstLineChars="200" w:firstLine="200"/>
    </w:pPr>
    <w:rPr>
      <w:szCs w:val="20"/>
    </w:rPr>
  </w:style>
  <w:style w:type="character" w:customStyle="1" w:styleId="3Char4">
    <w:name w:val="标题 3 Char4"/>
    <w:basedOn w:val="a0"/>
    <w:qFormat/>
    <w:rsid w:val="00C223F5"/>
    <w:rPr>
      <w:rFonts w:eastAsia="仿宋_GB2312"/>
      <w:bCs/>
      <w:kern w:val="2"/>
      <w:sz w:val="24"/>
      <w:szCs w:val="32"/>
    </w:rPr>
  </w:style>
  <w:style w:type="character" w:customStyle="1" w:styleId="Char27">
    <w:name w:val="纯文本 Char2"/>
    <w:basedOn w:val="a0"/>
    <w:qFormat/>
    <w:rsid w:val="00C223F5"/>
    <w:rPr>
      <w:kern w:val="2"/>
      <w:sz w:val="24"/>
    </w:rPr>
  </w:style>
  <w:style w:type="character" w:customStyle="1" w:styleId="Char28">
    <w:name w:val="小标题 Char2"/>
    <w:basedOn w:val="a0"/>
    <w:qFormat/>
    <w:rsid w:val="00C223F5"/>
    <w:rPr>
      <w:rFonts w:eastAsia="宋体"/>
      <w:b/>
      <w:kern w:val="2"/>
      <w:sz w:val="28"/>
      <w:szCs w:val="28"/>
      <w:lang w:val="en-US" w:eastAsia="zh-CN" w:bidi="ar-SA"/>
    </w:rPr>
  </w:style>
  <w:style w:type="character" w:customStyle="1" w:styleId="4Char1">
    <w:name w:val="样式 标题 4 + (中文) 宋体 小四 粉红 Char"/>
    <w:link w:val="4b"/>
    <w:qFormat/>
    <w:rsid w:val="00C223F5"/>
    <w:rPr>
      <w:b/>
      <w:bCs/>
      <w:color w:val="FF00FF"/>
      <w:kern w:val="2"/>
      <w:sz w:val="24"/>
      <w:szCs w:val="24"/>
    </w:rPr>
  </w:style>
  <w:style w:type="paragraph" w:customStyle="1" w:styleId="4b">
    <w:name w:val="样式 标题 4 + (中文) 宋体 小四 粉红"/>
    <w:basedOn w:val="4"/>
    <w:link w:val="4Char1"/>
    <w:qFormat/>
    <w:rsid w:val="00C223F5"/>
    <w:pPr>
      <w:tabs>
        <w:tab w:val="left" w:pos="864"/>
      </w:tabs>
      <w:spacing w:before="0" w:after="0" w:line="360" w:lineRule="auto"/>
      <w:ind w:left="864" w:hanging="864"/>
    </w:pPr>
    <w:rPr>
      <w:b/>
      <w:color w:val="FF00FF"/>
      <w:szCs w:val="24"/>
    </w:rPr>
  </w:style>
  <w:style w:type="character" w:customStyle="1" w:styleId="1f5">
    <w:name w:val="标题1"/>
    <w:basedOn w:val="a0"/>
    <w:qFormat/>
    <w:rsid w:val="00C223F5"/>
  </w:style>
  <w:style w:type="paragraph" w:customStyle="1" w:styleId="CharChar5">
    <w:name w:val="批注框文本 Char Char"/>
    <w:basedOn w:val="a"/>
    <w:qFormat/>
    <w:rsid w:val="00C223F5"/>
    <w:rPr>
      <w:sz w:val="18"/>
    </w:rPr>
  </w:style>
  <w:style w:type="character" w:customStyle="1" w:styleId="Char71">
    <w:name w:val="Char71"/>
    <w:basedOn w:val="a0"/>
    <w:qFormat/>
    <w:rsid w:val="00C223F5"/>
    <w:rPr>
      <w:rFonts w:ascii="Times New Roman" w:eastAsia="宋体" w:hAnsi="Times New Roman"/>
    </w:rPr>
  </w:style>
  <w:style w:type="character" w:customStyle="1" w:styleId="Char61">
    <w:name w:val="Char61"/>
    <w:basedOn w:val="a0"/>
    <w:qFormat/>
    <w:rsid w:val="00C223F5"/>
    <w:rPr>
      <w:rFonts w:ascii="Times New Roman" w:eastAsia="宋体" w:hAnsi="Times New Roman"/>
      <w:sz w:val="16"/>
    </w:rPr>
  </w:style>
  <w:style w:type="paragraph" w:customStyle="1" w:styleId="1f6">
    <w:name w:val="样式 标题 1 + 三号 非加粗 粉红"/>
    <w:basedOn w:val="1"/>
    <w:qFormat/>
    <w:rsid w:val="00C223F5"/>
    <w:pPr>
      <w:tabs>
        <w:tab w:val="clear" w:pos="432"/>
        <w:tab w:val="left" w:pos="425"/>
      </w:tabs>
      <w:spacing w:beforeLines="50" w:afterLines="50" w:line="360" w:lineRule="auto"/>
      <w:ind w:left="425" w:hanging="425"/>
      <w:jc w:val="left"/>
    </w:pPr>
    <w:rPr>
      <w:bCs w:val="0"/>
      <w:color w:val="FF00FF"/>
      <w:szCs w:val="24"/>
    </w:rPr>
  </w:style>
  <w:style w:type="paragraph" w:customStyle="1" w:styleId="bbsp">
    <w:name w:val="bbsp"/>
    <w:basedOn w:val="a"/>
    <w:qFormat/>
    <w:rsid w:val="00C223F5"/>
    <w:pPr>
      <w:widowControl/>
      <w:spacing w:before="100" w:beforeAutospacing="1" w:after="100" w:afterAutospacing="1"/>
    </w:pPr>
    <w:rPr>
      <w:rFonts w:ascii="宋体" w:hAnsi="宋体"/>
      <w:kern w:val="0"/>
      <w:sz w:val="24"/>
      <w:szCs w:val="20"/>
    </w:rPr>
  </w:style>
  <w:style w:type="paragraph" w:customStyle="1" w:styleId="10505">
    <w:name w:val="样式 标题 1 + 三号 非加粗 粉红 段前: 0.5 行 段后: 0.5 行"/>
    <w:basedOn w:val="1"/>
    <w:qFormat/>
    <w:rsid w:val="00C223F5"/>
    <w:pPr>
      <w:tabs>
        <w:tab w:val="clear" w:pos="432"/>
        <w:tab w:val="left" w:pos="425"/>
      </w:tabs>
      <w:spacing w:before="0" w:after="0" w:line="360" w:lineRule="auto"/>
      <w:ind w:left="425" w:hanging="425"/>
      <w:jc w:val="left"/>
    </w:pPr>
    <w:rPr>
      <w:rFonts w:cs="宋体"/>
      <w:bCs w:val="0"/>
      <w:color w:val="FF00FF"/>
      <w:szCs w:val="20"/>
    </w:rPr>
  </w:style>
  <w:style w:type="paragraph" w:customStyle="1" w:styleId="Style33">
    <w:name w:val="_Style 33"/>
    <w:basedOn w:val="a"/>
    <w:next w:val="afff4"/>
    <w:qFormat/>
    <w:rsid w:val="00C223F5"/>
    <w:pPr>
      <w:widowControl/>
      <w:spacing w:before="100" w:beforeAutospacing="1" w:after="100" w:afterAutospacing="1"/>
      <w:jc w:val="left"/>
    </w:pPr>
    <w:rPr>
      <w:rFonts w:ascii="宋体" w:hAnsi="宋体"/>
      <w:kern w:val="0"/>
      <w:sz w:val="24"/>
      <w:szCs w:val="20"/>
    </w:rPr>
  </w:style>
  <w:style w:type="paragraph" w:customStyle="1" w:styleId="115">
    <w:name w:val="样式 标题 1 + 三号 非加粗 粉红1"/>
    <w:basedOn w:val="1"/>
    <w:qFormat/>
    <w:rsid w:val="00C223F5"/>
    <w:pPr>
      <w:tabs>
        <w:tab w:val="clear" w:pos="432"/>
        <w:tab w:val="left" w:pos="425"/>
      </w:tabs>
      <w:spacing w:beforeLines="50" w:afterLines="50" w:line="360" w:lineRule="auto"/>
      <w:ind w:left="425" w:hanging="425"/>
      <w:jc w:val="left"/>
    </w:pPr>
    <w:rPr>
      <w:bCs w:val="0"/>
      <w:color w:val="FF00FF"/>
      <w:szCs w:val="24"/>
    </w:rPr>
  </w:style>
  <w:style w:type="paragraph" w:customStyle="1" w:styleId="Style29">
    <w:name w:val="_Style 29"/>
    <w:basedOn w:val="a"/>
    <w:next w:val="afff4"/>
    <w:qFormat/>
    <w:rsid w:val="00C223F5"/>
    <w:pPr>
      <w:widowControl/>
      <w:spacing w:before="100" w:beforeAutospacing="1" w:after="100" w:afterAutospacing="1"/>
      <w:jc w:val="left"/>
    </w:pPr>
    <w:rPr>
      <w:rFonts w:ascii="宋体" w:hAnsi="宋体"/>
      <w:kern w:val="0"/>
      <w:sz w:val="24"/>
      <w:szCs w:val="20"/>
    </w:rPr>
  </w:style>
  <w:style w:type="paragraph" w:customStyle="1" w:styleId="4TimesNewRoman">
    <w:name w:val="样式 标题 4 + Times New Roman 自动设置"/>
    <w:basedOn w:val="4"/>
    <w:qFormat/>
    <w:rsid w:val="00C223F5"/>
    <w:pPr>
      <w:tabs>
        <w:tab w:val="left" w:pos="900"/>
        <w:tab w:val="left" w:pos="1031"/>
      </w:tabs>
      <w:spacing w:beforeLines="50" w:after="0" w:line="360" w:lineRule="auto"/>
    </w:pPr>
    <w:rPr>
      <w:szCs w:val="24"/>
    </w:rPr>
  </w:style>
  <w:style w:type="paragraph" w:customStyle="1" w:styleId="40505">
    <w:name w:val="样式 标题 4 + (符号) 宋体 段前: 0.5 行 段后: 0.5 行"/>
    <w:basedOn w:val="4"/>
    <w:qFormat/>
    <w:rsid w:val="00C223F5"/>
    <w:pPr>
      <w:tabs>
        <w:tab w:val="left" w:pos="864"/>
        <w:tab w:val="left" w:pos="1031"/>
      </w:tabs>
      <w:spacing w:before="0" w:after="0" w:line="360" w:lineRule="auto"/>
      <w:ind w:left="862" w:hanging="862"/>
    </w:pPr>
    <w:rPr>
      <w:rFonts w:hAnsi="宋体" w:cs="宋体"/>
      <w:b/>
      <w:szCs w:val="24"/>
    </w:rPr>
  </w:style>
  <w:style w:type="paragraph" w:customStyle="1" w:styleId="CharCharCharCharCharCharChar3">
    <w:name w:val="Char Char Char Char Char Char Char3"/>
    <w:basedOn w:val="a"/>
    <w:qFormat/>
    <w:rsid w:val="00C223F5"/>
  </w:style>
  <w:style w:type="paragraph" w:customStyle="1" w:styleId="CharCharChar1Char8">
    <w:name w:val="Char Char Char1 Char8"/>
    <w:basedOn w:val="a"/>
    <w:next w:val="a"/>
    <w:qFormat/>
    <w:rsid w:val="00C223F5"/>
    <w:pPr>
      <w:spacing w:line="360" w:lineRule="auto"/>
      <w:ind w:firstLineChars="200" w:firstLine="200"/>
    </w:pPr>
    <w:rPr>
      <w:rFonts w:ascii="宋体" w:eastAsia="汉鼎简书宋" w:hAnsi="宋体" w:cs="宋体"/>
      <w:sz w:val="24"/>
    </w:rPr>
  </w:style>
  <w:style w:type="paragraph" w:customStyle="1" w:styleId="105050">
    <w:name w:val="样式 标题 1 + 段前: 0.5 行 段后: 0.5 行"/>
    <w:basedOn w:val="1"/>
    <w:qFormat/>
    <w:rsid w:val="00C223F5"/>
    <w:pPr>
      <w:tabs>
        <w:tab w:val="clear" w:pos="432"/>
        <w:tab w:val="left" w:pos="425"/>
      </w:tabs>
      <w:spacing w:before="0" w:after="0" w:line="360" w:lineRule="auto"/>
      <w:ind w:left="0" w:firstLine="0"/>
      <w:jc w:val="left"/>
    </w:pPr>
    <w:rPr>
      <w:rFonts w:cs="宋体"/>
      <w:b/>
      <w:szCs w:val="20"/>
    </w:rPr>
  </w:style>
  <w:style w:type="paragraph" w:customStyle="1" w:styleId="20066">
    <w:name w:val="样式 标题 2 + 左侧:  0 厘米 首行缩进:  0 厘米 段前: 6 磅 段后: 6 磅"/>
    <w:basedOn w:val="2"/>
    <w:qFormat/>
    <w:rsid w:val="00C223F5"/>
    <w:pPr>
      <w:tabs>
        <w:tab w:val="clear" w:pos="576"/>
        <w:tab w:val="left" w:pos="567"/>
      </w:tabs>
      <w:spacing w:before="0" w:after="0" w:line="360" w:lineRule="auto"/>
      <w:ind w:left="567" w:hanging="567"/>
      <w:textAlignment w:val="baseline"/>
    </w:pPr>
    <w:rPr>
      <w:rFonts w:ascii="Times New Roman" w:eastAsia="宋体" w:hAnsi="Times New Roman" w:cs="宋体"/>
      <w:b/>
      <w:color w:val="FF00FF"/>
      <w:szCs w:val="24"/>
    </w:rPr>
  </w:style>
  <w:style w:type="paragraph" w:customStyle="1" w:styleId="CharCharCharCharCharCharCharCharCharCharCharCharCharCharCharCharCharCharChar1">
    <w:name w:val="Char Char Char Char Char Char Char Char Char Char Char Char Char Char Char Char Char Char Char1"/>
    <w:basedOn w:val="a"/>
    <w:qFormat/>
    <w:rsid w:val="00C223F5"/>
    <w:rPr>
      <w:szCs w:val="20"/>
    </w:rPr>
  </w:style>
  <w:style w:type="paragraph" w:customStyle="1" w:styleId="93">
    <w:name w:val="9"/>
    <w:basedOn w:val="a"/>
    <w:next w:val="aff1"/>
    <w:qFormat/>
    <w:rsid w:val="00C223F5"/>
    <w:pPr>
      <w:spacing w:line="520" w:lineRule="exact"/>
      <w:ind w:left="930"/>
    </w:pPr>
    <w:rPr>
      <w:rFonts w:ascii="宋体" w:hAnsi="Courier New" w:cs="Century"/>
      <w:sz w:val="24"/>
      <w:szCs w:val="21"/>
    </w:rPr>
  </w:style>
  <w:style w:type="character" w:customStyle="1" w:styleId="CharChar24">
    <w:name w:val="Char Char24"/>
    <w:basedOn w:val="a0"/>
    <w:qFormat/>
    <w:rsid w:val="00C223F5"/>
    <w:rPr>
      <w:rFonts w:eastAsia="黑体"/>
      <w:b/>
      <w:kern w:val="44"/>
      <w:sz w:val="36"/>
      <w:szCs w:val="24"/>
      <w:lang w:val="en-US" w:eastAsia="zh-CN" w:bidi="ar-SA"/>
    </w:rPr>
  </w:style>
  <w:style w:type="character" w:customStyle="1" w:styleId="CharChar23">
    <w:name w:val="Char Char23"/>
    <w:basedOn w:val="a0"/>
    <w:qFormat/>
    <w:rsid w:val="00C223F5"/>
    <w:rPr>
      <w:rFonts w:eastAsia="宋体"/>
      <w:b/>
      <w:color w:val="FF00FF"/>
      <w:kern w:val="2"/>
      <w:sz w:val="30"/>
      <w:szCs w:val="24"/>
      <w:lang w:val="en-US" w:eastAsia="zh-CN" w:bidi="ar-SA"/>
    </w:rPr>
  </w:style>
  <w:style w:type="character" w:customStyle="1" w:styleId="CharChar22">
    <w:name w:val="Char Char22"/>
    <w:basedOn w:val="a0"/>
    <w:qFormat/>
    <w:rsid w:val="00C223F5"/>
    <w:rPr>
      <w:rFonts w:eastAsia="宋体"/>
      <w:b/>
      <w:kern w:val="2"/>
      <w:sz w:val="28"/>
      <w:szCs w:val="28"/>
      <w:lang w:val="en-US" w:eastAsia="zh-CN" w:bidi="ar-SA"/>
    </w:rPr>
  </w:style>
  <w:style w:type="character" w:customStyle="1" w:styleId="CharChar21">
    <w:name w:val="Char Char21"/>
    <w:basedOn w:val="a0"/>
    <w:qFormat/>
    <w:rsid w:val="00C223F5"/>
    <w:rPr>
      <w:rFonts w:eastAsia="宋体"/>
      <w:b/>
      <w:kern w:val="2"/>
      <w:sz w:val="24"/>
      <w:szCs w:val="24"/>
      <w:lang w:val="en-US" w:eastAsia="zh-CN" w:bidi="ar-SA"/>
    </w:rPr>
  </w:style>
  <w:style w:type="character" w:customStyle="1" w:styleId="CharChar20">
    <w:name w:val="Char Char20"/>
    <w:basedOn w:val="a0"/>
    <w:qFormat/>
    <w:rsid w:val="00C223F5"/>
    <w:rPr>
      <w:rFonts w:eastAsia="宋体"/>
      <w:b/>
      <w:kern w:val="2"/>
      <w:sz w:val="24"/>
      <w:lang w:val="en-US" w:eastAsia="zh-CN" w:bidi="ar-SA"/>
    </w:rPr>
  </w:style>
  <w:style w:type="paragraph" w:customStyle="1" w:styleId="CharCharChar1CharCharCharCharCharCharChar4">
    <w:name w:val="Char Char Char1 Char Char Char Char Char Char Char4"/>
    <w:basedOn w:val="a"/>
    <w:qFormat/>
    <w:rsid w:val="00C223F5"/>
  </w:style>
  <w:style w:type="paragraph" w:customStyle="1" w:styleId="CharChar3CharCharCharCharCharCharChar">
    <w:name w:val="Char Char3 Char Char Char Char Char Char Char"/>
    <w:basedOn w:val="a"/>
    <w:qFormat/>
    <w:rsid w:val="00C223F5"/>
  </w:style>
  <w:style w:type="paragraph" w:customStyle="1" w:styleId="CharCharCharCharCharCharCharCharCharCharCharCharChar3">
    <w:name w:val="Char Char Char Char Char Char Char Char Char Char Char Char Char3"/>
    <w:basedOn w:val="a"/>
    <w:next w:val="a"/>
    <w:qFormat/>
    <w:rsid w:val="00C223F5"/>
    <w:pPr>
      <w:spacing w:line="360" w:lineRule="auto"/>
      <w:ind w:firstLineChars="200" w:firstLine="200"/>
    </w:pPr>
    <w:rPr>
      <w:rFonts w:ascii="宋体" w:eastAsia="汉鼎简书宋" w:hAnsi="宋体" w:cs="宋体"/>
      <w:sz w:val="24"/>
    </w:rPr>
  </w:style>
  <w:style w:type="paragraph" w:customStyle="1" w:styleId="CharCharCharCharCharCharCharCharCharCharChar">
    <w:name w:val="Char Char Char Char Char Char Char Char Char Char Char"/>
    <w:basedOn w:val="a"/>
    <w:qFormat/>
    <w:rsid w:val="00C223F5"/>
    <w:rPr>
      <w:szCs w:val="20"/>
    </w:rPr>
  </w:style>
  <w:style w:type="paragraph" w:customStyle="1" w:styleId="CharCharCharCharCharChar3Char">
    <w:name w:val="Char Char Char Char Char Char3 Char"/>
    <w:basedOn w:val="a"/>
    <w:qFormat/>
    <w:rsid w:val="00C223F5"/>
    <w:pPr>
      <w:widowControl/>
      <w:spacing w:after="160" w:line="240" w:lineRule="exact"/>
      <w:ind w:firstLineChars="200" w:firstLine="480"/>
      <w:jc w:val="left"/>
    </w:pPr>
    <w:rPr>
      <w:rFonts w:cs="宋体"/>
      <w:sz w:val="24"/>
    </w:rPr>
  </w:style>
  <w:style w:type="paragraph" w:customStyle="1" w:styleId="Char1CharCharChar1">
    <w:name w:val="Char1 Char Char Char1"/>
    <w:basedOn w:val="a"/>
    <w:qFormat/>
    <w:rsid w:val="00C223F5"/>
  </w:style>
  <w:style w:type="paragraph" w:customStyle="1" w:styleId="CharCharCharCharCharCharCharCharCharCharCharCharCharCharCharCharCharChar1CharCharCharCharCharCharCharCharCharCharCharCharCharCharCharCharCharCharChar12">
    <w:name w:val="Char Char Char Char Char Char Char Char Char Char Char Char Char Char Char Char Char Char1 Char Char Char Char Char Char Char Char Char Char Char Char Char Char Char Char Char Char Char12"/>
    <w:basedOn w:val="a"/>
    <w:next w:val="a"/>
    <w:qFormat/>
    <w:rsid w:val="00C223F5"/>
    <w:pPr>
      <w:spacing w:line="360" w:lineRule="auto"/>
      <w:ind w:firstLineChars="200" w:firstLine="200"/>
    </w:pPr>
    <w:rPr>
      <w:rFonts w:ascii="宋体" w:hAnsi="宋体" w:cs="宋体"/>
      <w:snapToGrid w:val="0"/>
      <w:kern w:val="0"/>
      <w:sz w:val="24"/>
    </w:rPr>
  </w:style>
  <w:style w:type="paragraph" w:customStyle="1" w:styleId="CharCharCharCharChar2CharCharCharChar2">
    <w:name w:val="Char Char Char Char Char2 Char Char Char Char2"/>
    <w:basedOn w:val="a"/>
    <w:semiHidden/>
    <w:qFormat/>
    <w:rsid w:val="00C223F5"/>
    <w:pPr>
      <w:adjustRightInd w:val="0"/>
      <w:snapToGrid w:val="0"/>
      <w:spacing w:line="360" w:lineRule="auto"/>
      <w:ind w:firstLineChars="200" w:firstLine="200"/>
    </w:pPr>
    <w:rPr>
      <w:rFonts w:ascii="宋体" w:hAnsi="宋体" w:cs="宋体"/>
      <w:sz w:val="24"/>
      <w:szCs w:val="26"/>
    </w:rPr>
  </w:style>
  <w:style w:type="paragraph" w:customStyle="1" w:styleId="1f7">
    <w:name w:val="表格1"/>
    <w:basedOn w:val="a"/>
    <w:link w:val="1Char2"/>
    <w:qFormat/>
    <w:rsid w:val="00C223F5"/>
    <w:pPr>
      <w:tabs>
        <w:tab w:val="left" w:pos="3105"/>
      </w:tabs>
      <w:spacing w:line="240" w:lineRule="exact"/>
      <w:jc w:val="center"/>
    </w:pPr>
    <w:rPr>
      <w:rFonts w:ascii="宋体" w:hAnsi="宋体"/>
      <w:sz w:val="18"/>
      <w:szCs w:val="21"/>
    </w:rPr>
  </w:style>
  <w:style w:type="character" w:customStyle="1" w:styleId="1Char2">
    <w:name w:val="表格1 Char"/>
    <w:link w:val="1f7"/>
    <w:qFormat/>
    <w:rsid w:val="00C223F5"/>
    <w:rPr>
      <w:rFonts w:ascii="宋体" w:hAnsi="宋体"/>
      <w:kern w:val="2"/>
      <w:sz w:val="18"/>
      <w:szCs w:val="21"/>
    </w:rPr>
  </w:style>
  <w:style w:type="paragraph" w:customStyle="1" w:styleId="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w:qFormat/>
    <w:rsid w:val="00C223F5"/>
    <w:pPr>
      <w:widowControl w:val="0"/>
      <w:jc w:val="both"/>
    </w:pPr>
    <w:rPr>
      <w:kern w:val="2"/>
      <w:sz w:val="21"/>
      <w:szCs w:val="24"/>
    </w:rPr>
  </w:style>
  <w:style w:type="paragraph" w:customStyle="1" w:styleId="CharCharCharCharCharCharCharCharChar">
    <w:name w:val="二级标题 Char Char Char Char Char Char Char Char Char"/>
    <w:basedOn w:val="a"/>
    <w:next w:val="a"/>
    <w:qFormat/>
    <w:rsid w:val="00C223F5"/>
    <w:pPr>
      <w:ind w:firstLineChars="200" w:firstLine="200"/>
    </w:pPr>
    <w:rPr>
      <w:szCs w:val="20"/>
    </w:rPr>
  </w:style>
  <w:style w:type="character" w:customStyle="1" w:styleId="1CharCharChar1">
    <w:name w:val="标题 1 Char Char Char1"/>
    <w:basedOn w:val="a0"/>
    <w:qFormat/>
    <w:rsid w:val="00C223F5"/>
    <w:rPr>
      <w:rFonts w:eastAsia="黑体"/>
      <w:b/>
      <w:kern w:val="44"/>
      <w:sz w:val="36"/>
      <w:szCs w:val="24"/>
      <w:lang w:val="en-US" w:eastAsia="zh-CN" w:bidi="ar-SA"/>
    </w:rPr>
  </w:style>
  <w:style w:type="paragraph" w:customStyle="1" w:styleId="NewNewNewNewNewNewNewNewNewNewNewNewNewNewNewNewNewNewNewNewNewNewNewNewNewNewNewNewNew">
    <w:name w:val="正文 New New New New New New New New New New New New New New New New New New New New New New New New New New New New New"/>
    <w:qFormat/>
    <w:rsid w:val="00C223F5"/>
    <w:pPr>
      <w:widowControl w:val="0"/>
      <w:spacing w:line="360" w:lineRule="auto"/>
      <w:ind w:firstLineChars="200" w:firstLine="200"/>
      <w:jc w:val="both"/>
    </w:pPr>
    <w:rPr>
      <w:kern w:val="2"/>
      <w:sz w:val="24"/>
      <w:szCs w:val="22"/>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rsid w:val="00C223F5"/>
    <w:pPr>
      <w:widowControl w:val="0"/>
      <w:spacing w:line="360" w:lineRule="auto"/>
      <w:ind w:firstLineChars="200" w:firstLine="200"/>
      <w:jc w:val="both"/>
    </w:pPr>
    <w:rPr>
      <w:kern w:val="2"/>
      <w:sz w:val="24"/>
      <w:szCs w:val="22"/>
    </w:rPr>
  </w:style>
  <w:style w:type="character" w:customStyle="1" w:styleId="CharChar241">
    <w:name w:val="Char Char241"/>
    <w:basedOn w:val="a0"/>
    <w:qFormat/>
    <w:rsid w:val="00C223F5"/>
    <w:rPr>
      <w:rFonts w:eastAsia="黑体"/>
      <w:b/>
      <w:kern w:val="44"/>
      <w:sz w:val="36"/>
      <w:szCs w:val="24"/>
      <w:lang w:val="en-US" w:eastAsia="zh-CN" w:bidi="ar-SA"/>
    </w:rPr>
  </w:style>
  <w:style w:type="character" w:customStyle="1" w:styleId="CharChar231">
    <w:name w:val="Char Char231"/>
    <w:basedOn w:val="a0"/>
    <w:qFormat/>
    <w:rsid w:val="00C223F5"/>
    <w:rPr>
      <w:rFonts w:eastAsia="宋体"/>
      <w:b/>
      <w:color w:val="FF00FF"/>
      <w:kern w:val="2"/>
      <w:sz w:val="30"/>
      <w:szCs w:val="24"/>
      <w:lang w:val="en-US" w:eastAsia="zh-CN" w:bidi="ar-SA"/>
    </w:rPr>
  </w:style>
  <w:style w:type="character" w:customStyle="1" w:styleId="CharChar221">
    <w:name w:val="Char Char221"/>
    <w:basedOn w:val="a0"/>
    <w:qFormat/>
    <w:rsid w:val="00C223F5"/>
    <w:rPr>
      <w:rFonts w:eastAsia="宋体"/>
      <w:b/>
      <w:kern w:val="2"/>
      <w:sz w:val="28"/>
      <w:szCs w:val="28"/>
      <w:lang w:val="en-US" w:eastAsia="zh-CN" w:bidi="ar-SA"/>
    </w:rPr>
  </w:style>
  <w:style w:type="character" w:customStyle="1" w:styleId="CharChar211">
    <w:name w:val="Char Char211"/>
    <w:basedOn w:val="a0"/>
    <w:qFormat/>
    <w:rsid w:val="00C223F5"/>
    <w:rPr>
      <w:rFonts w:eastAsia="宋体"/>
      <w:b/>
      <w:kern w:val="2"/>
      <w:sz w:val="24"/>
      <w:szCs w:val="24"/>
      <w:lang w:val="en-US" w:eastAsia="zh-CN" w:bidi="ar-SA"/>
    </w:rPr>
  </w:style>
  <w:style w:type="character" w:customStyle="1" w:styleId="CharChar201">
    <w:name w:val="Char Char201"/>
    <w:basedOn w:val="a0"/>
    <w:qFormat/>
    <w:rsid w:val="00C223F5"/>
    <w:rPr>
      <w:rFonts w:eastAsia="宋体"/>
      <w:b/>
      <w:kern w:val="2"/>
      <w:sz w:val="24"/>
      <w:lang w:val="en-US" w:eastAsia="zh-CN" w:bidi="ar-SA"/>
    </w:rPr>
  </w:style>
  <w:style w:type="paragraph" w:customStyle="1" w:styleId="CharChar3CharCharCharCharCharCharChar1">
    <w:name w:val="Char Char3 Char Char Char Char Char Char Char1"/>
    <w:basedOn w:val="a"/>
    <w:qFormat/>
    <w:rsid w:val="00C223F5"/>
  </w:style>
  <w:style w:type="paragraph" w:customStyle="1" w:styleId="CharCharCharCharCharCharCharCharCharCharChar1">
    <w:name w:val="Char Char Char Char Char Char Char Char Char Char Char1"/>
    <w:basedOn w:val="a"/>
    <w:qFormat/>
    <w:rsid w:val="00C223F5"/>
    <w:rPr>
      <w:szCs w:val="20"/>
    </w:rPr>
  </w:style>
  <w:style w:type="paragraph" w:customStyle="1" w:styleId="CharCharCharCharCharChar3Char1">
    <w:name w:val="Char Char Char Char Char Char3 Char1"/>
    <w:basedOn w:val="a"/>
    <w:qFormat/>
    <w:rsid w:val="00C223F5"/>
    <w:pPr>
      <w:widowControl/>
      <w:spacing w:after="160" w:line="240" w:lineRule="exact"/>
      <w:ind w:firstLineChars="200" w:firstLine="480"/>
      <w:jc w:val="left"/>
    </w:pPr>
    <w:rPr>
      <w:rFonts w:cs="宋体"/>
      <w:sz w:val="24"/>
    </w:rPr>
  </w:style>
  <w:style w:type="paragraph" w:customStyle="1" w:styleId="2NewNewNewNewNewNewNewNewNewNewNewNewNewNewNewNewNewNewNewNewNewNewNewNewNewNewNewNewNewNewNew">
    <w:name w:val="标题 2 New New New New New New New New New New New New New New New New New New New New New New New New New New New New New New New"/>
    <w:qFormat/>
    <w:rsid w:val="00C223F5"/>
    <w:pPr>
      <w:keepNext/>
      <w:keepLines/>
      <w:tabs>
        <w:tab w:val="left" w:pos="735"/>
      </w:tabs>
      <w:spacing w:line="360" w:lineRule="auto"/>
      <w:textAlignment w:val="baseline"/>
      <w:outlineLvl w:val="1"/>
    </w:pPr>
    <w:rPr>
      <w:rFonts w:ascii="Arial Narrow" w:eastAsia="黑体" w:hAnsi="Arial Narrow"/>
      <w:b/>
      <w:color w:val="000000"/>
      <w:sz w:val="30"/>
    </w:rPr>
  </w:style>
  <w:style w:type="paragraph" w:customStyle="1" w:styleId="3NewNewNewNewNewNewNewNewNewNewNewNewNewNewNewNewNewNewNewNewNewNewNewNewNewNewNewNewNewNewNewNewNewNewNewNewNewNewNewNewNewNewNewNewNewNewNewNewNewNewNewNewNewNewNewNewNewNewNewNewNewNew">
    <w:name w:val="标题 3 New New New New New New New New New New New New New New New New New New New New New New New New New New New New New New New New New New New New New New New New New New New New New New New New New New New New New New New New New New New New New New"/>
    <w:qFormat/>
    <w:rsid w:val="00C223F5"/>
    <w:pPr>
      <w:keepNext/>
      <w:keepLines/>
      <w:tabs>
        <w:tab w:val="left" w:pos="840"/>
      </w:tabs>
      <w:spacing w:line="360" w:lineRule="auto"/>
      <w:outlineLvl w:val="2"/>
    </w:pPr>
    <w:rPr>
      <w:rFonts w:ascii="Arial Narrow" w:eastAsia="黑体" w:hAnsi="Arial Narrow"/>
      <w:b/>
      <w:bCs/>
      <w:color w:val="000000"/>
      <w:sz w:val="28"/>
      <w:szCs w:val="30"/>
    </w:rPr>
  </w:style>
  <w:style w:type="paragraph" w:customStyle="1" w:styleId="3NewNewNewNewNewNewNewNewNewNewNewNewNewNewNewNewNewNewNewNewNewNewNewNewNewNewNewNewNewNewNewNewNewNewNewNewNewNewNewNewNewNewNewNew">
    <w:name w:val="标题 3 New New New New New New New New New New New New New New New New New New New New New New New New New New New New New New New New New New New New New New New New New New New New"/>
    <w:qFormat/>
    <w:rsid w:val="00C223F5"/>
    <w:pPr>
      <w:keepNext/>
      <w:keepLines/>
      <w:tabs>
        <w:tab w:val="left" w:pos="840"/>
      </w:tabs>
      <w:spacing w:line="360" w:lineRule="auto"/>
      <w:outlineLvl w:val="2"/>
    </w:pPr>
    <w:rPr>
      <w:rFonts w:ascii="Arial Narrow" w:eastAsia="黑体" w:hAnsi="Arial Narrow"/>
      <w:b/>
      <w:bCs/>
      <w:color w:val="000000"/>
      <w:sz w:val="28"/>
      <w:szCs w:val="30"/>
    </w:rPr>
  </w:style>
  <w:style w:type="paragraph" w:customStyle="1" w:styleId="3NewNewNewNewNewNewNewNewNewNewNewNewNewNewNewNewNewNewNewNewNewNewNewNewNewNewNewNewNewNewNewNewNewNewNewNewNewNewNewNewNewNewNewNewNewNewNewNewNewNewNew">
    <w:name w:val="标题 3 New New New New New New New New New New New New New New New New New New New New New New New New New New New New New New New New New New New New New New New New New New New New New New New New New New New"/>
    <w:qFormat/>
    <w:rsid w:val="00C223F5"/>
    <w:pPr>
      <w:keepNext/>
      <w:keepLines/>
      <w:tabs>
        <w:tab w:val="left" w:pos="840"/>
      </w:tabs>
      <w:spacing w:line="360" w:lineRule="auto"/>
      <w:outlineLvl w:val="2"/>
    </w:pPr>
    <w:rPr>
      <w:rFonts w:ascii="Arial Narrow" w:eastAsia="黑体" w:hAnsi="Arial Narrow"/>
      <w:b/>
      <w:bCs/>
      <w:color w:val="000000"/>
      <w:sz w:val="28"/>
      <w:szCs w:val="30"/>
    </w:rPr>
  </w:style>
  <w:style w:type="paragraph" w:customStyle="1" w:styleId="CharChar1CharChar">
    <w:name w:val="Char Char1 Char Char"/>
    <w:basedOn w:val="a"/>
    <w:semiHidden/>
    <w:qFormat/>
    <w:rsid w:val="00C223F5"/>
    <w:pPr>
      <w:spacing w:line="360" w:lineRule="auto"/>
      <w:ind w:firstLineChars="200" w:firstLine="480"/>
    </w:pPr>
    <w:rPr>
      <w:rFonts w:cs="宋体"/>
      <w:sz w:val="24"/>
      <w:szCs w:val="20"/>
    </w:rPr>
  </w:style>
  <w:style w:type="paragraph" w:customStyle="1" w:styleId="CharChar2CharChar">
    <w:name w:val="Char Char2 Char Char"/>
    <w:basedOn w:val="a"/>
    <w:qFormat/>
    <w:rsid w:val="00C223F5"/>
    <w:rPr>
      <w:szCs w:val="20"/>
    </w:rPr>
  </w:style>
  <w:style w:type="character" w:customStyle="1" w:styleId="Charfc">
    <w:name w:val="小标题 Char"/>
    <w:basedOn w:val="a0"/>
    <w:qFormat/>
    <w:rsid w:val="00C223F5"/>
    <w:rPr>
      <w:rFonts w:eastAsia="宋体"/>
      <w:b/>
      <w:kern w:val="2"/>
      <w:sz w:val="28"/>
      <w:szCs w:val="28"/>
      <w:lang w:val="en-US" w:eastAsia="zh-CN" w:bidi="ar-SA"/>
    </w:rPr>
  </w:style>
  <w:style w:type="paragraph" w:customStyle="1" w:styleId="me278">
    <w:name w:val="样式 me_正文 + 首行缩进:  2 字符 段前: 7.8 磅"/>
    <w:basedOn w:val="a"/>
    <w:qFormat/>
    <w:rsid w:val="00C223F5"/>
    <w:pPr>
      <w:adjustRightInd w:val="0"/>
      <w:snapToGrid w:val="0"/>
      <w:spacing w:line="360" w:lineRule="auto"/>
      <w:ind w:firstLineChars="200" w:firstLine="200"/>
    </w:pPr>
    <w:rPr>
      <w:rFonts w:cs="宋体"/>
      <w:sz w:val="24"/>
      <w:szCs w:val="20"/>
    </w:rPr>
  </w:style>
  <w:style w:type="paragraph" w:customStyle="1" w:styleId="meeng">
    <w:name w:val="样式 me_eng_正文"/>
    <w:basedOn w:val="a"/>
    <w:qFormat/>
    <w:rsid w:val="00C223F5"/>
    <w:pPr>
      <w:adjustRightInd w:val="0"/>
      <w:snapToGrid w:val="0"/>
      <w:spacing w:beforeLines="100" w:line="480" w:lineRule="auto"/>
      <w:ind w:firstLine="420"/>
    </w:pPr>
    <w:rPr>
      <w:rFonts w:cs="宋体"/>
      <w:sz w:val="24"/>
      <w:szCs w:val="20"/>
    </w:rPr>
  </w:style>
  <w:style w:type="paragraph" w:customStyle="1" w:styleId="me1681682">
    <w:name w:val="me_英文投稿_正文 + 首行缩进:  1.68 字符 + 首行缩进:  1.68 字符 行距: 2 倍行距"/>
    <w:basedOn w:val="a"/>
    <w:qFormat/>
    <w:rsid w:val="00C223F5"/>
    <w:pPr>
      <w:adjustRightInd w:val="0"/>
      <w:snapToGrid w:val="0"/>
      <w:spacing w:line="480" w:lineRule="auto"/>
      <w:ind w:firstLineChars="200" w:firstLine="200"/>
      <w:jc w:val="left"/>
    </w:pPr>
    <w:rPr>
      <w:rFonts w:cs="宋体"/>
      <w:sz w:val="24"/>
      <w:szCs w:val="20"/>
    </w:rPr>
  </w:style>
  <w:style w:type="paragraph" w:customStyle="1" w:styleId="meeng1">
    <w:name w:val="样式 me_eng_正文 + 段前: 1 行"/>
    <w:basedOn w:val="a"/>
    <w:qFormat/>
    <w:rsid w:val="00C223F5"/>
    <w:pPr>
      <w:adjustRightInd w:val="0"/>
      <w:snapToGrid w:val="0"/>
      <w:spacing w:beforeLines="100" w:line="480" w:lineRule="auto"/>
      <w:ind w:firstLineChars="200" w:firstLine="200"/>
    </w:pPr>
    <w:rPr>
      <w:rFonts w:cs="宋体"/>
      <w:sz w:val="24"/>
      <w:szCs w:val="20"/>
    </w:rPr>
  </w:style>
  <w:style w:type="paragraph" w:customStyle="1" w:styleId="meCN1">
    <w:name w:val="me(CN)_标题1"/>
    <w:basedOn w:val="1"/>
    <w:qFormat/>
    <w:rsid w:val="00C223F5"/>
    <w:pPr>
      <w:numPr>
        <w:numId w:val="0"/>
      </w:numPr>
      <w:spacing w:line="578" w:lineRule="auto"/>
    </w:pPr>
    <w:rPr>
      <w:rFonts w:eastAsia="宋体"/>
      <w:b/>
      <w:sz w:val="44"/>
    </w:rPr>
  </w:style>
  <w:style w:type="paragraph" w:customStyle="1" w:styleId="meC1">
    <w:name w:val="me(C)_标题1"/>
    <w:basedOn w:val="1"/>
    <w:qFormat/>
    <w:rsid w:val="00C223F5"/>
    <w:pPr>
      <w:numPr>
        <w:numId w:val="0"/>
      </w:numPr>
      <w:adjustRightInd w:val="0"/>
      <w:snapToGrid w:val="0"/>
      <w:spacing w:before="240" w:after="240" w:line="360" w:lineRule="auto"/>
      <w:jc w:val="center"/>
    </w:pPr>
    <w:rPr>
      <w:rFonts w:eastAsia="宋体"/>
      <w:b/>
      <w:sz w:val="36"/>
    </w:rPr>
  </w:style>
  <w:style w:type="paragraph" w:customStyle="1" w:styleId="meC">
    <w:name w:val="me(C)_正文"/>
    <w:basedOn w:val="a"/>
    <w:qFormat/>
    <w:rsid w:val="00C223F5"/>
    <w:pPr>
      <w:adjustRightInd w:val="0"/>
      <w:snapToGrid w:val="0"/>
      <w:spacing w:line="360" w:lineRule="auto"/>
    </w:pPr>
    <w:rPr>
      <w:sz w:val="24"/>
    </w:rPr>
  </w:style>
  <w:style w:type="paragraph" w:customStyle="1" w:styleId="MTDisplayEquation">
    <w:name w:val="MTDisplayEquation"/>
    <w:basedOn w:val="meeng0"/>
    <w:next w:val="meeng0"/>
    <w:qFormat/>
    <w:rsid w:val="00C223F5"/>
    <w:pPr>
      <w:tabs>
        <w:tab w:val="center" w:pos="4820"/>
        <w:tab w:val="right" w:pos="9640"/>
      </w:tabs>
      <w:ind w:firstLine="554"/>
    </w:pPr>
  </w:style>
  <w:style w:type="paragraph" w:customStyle="1" w:styleId="meeng0">
    <w:name w:val="me_eng_两正文(缩)"/>
    <w:basedOn w:val="a"/>
    <w:qFormat/>
    <w:rsid w:val="00C223F5"/>
    <w:pPr>
      <w:adjustRightInd w:val="0"/>
      <w:snapToGrid w:val="0"/>
      <w:spacing w:line="480" w:lineRule="auto"/>
      <w:ind w:firstLineChars="200" w:firstLine="200"/>
    </w:pPr>
    <w:rPr>
      <w:rFonts w:cs="宋体"/>
      <w:sz w:val="24"/>
      <w:szCs w:val="20"/>
    </w:rPr>
  </w:style>
  <w:style w:type="paragraph" w:customStyle="1" w:styleId="meC0">
    <w:name w:val="me(C)题注"/>
    <w:basedOn w:val="af3"/>
    <w:next w:val="meC"/>
    <w:qFormat/>
    <w:rsid w:val="00C223F5"/>
    <w:pPr>
      <w:adjustRightInd w:val="0"/>
      <w:snapToGrid w:val="0"/>
      <w:spacing w:afterLines="50"/>
      <w:jc w:val="center"/>
    </w:pPr>
    <w:rPr>
      <w:rFonts w:cs="宋体"/>
      <w:sz w:val="21"/>
    </w:rPr>
  </w:style>
  <w:style w:type="paragraph" w:customStyle="1" w:styleId="meC3">
    <w:name w:val="me(C)_标题3"/>
    <w:basedOn w:val="3"/>
    <w:next w:val="meC"/>
    <w:qFormat/>
    <w:rsid w:val="00C223F5"/>
    <w:pPr>
      <w:numPr>
        <w:ilvl w:val="0"/>
        <w:numId w:val="0"/>
      </w:numPr>
      <w:tabs>
        <w:tab w:val="left" w:pos="680"/>
      </w:tabs>
      <w:adjustRightInd w:val="0"/>
      <w:snapToGrid w:val="0"/>
      <w:spacing w:line="240" w:lineRule="auto"/>
    </w:pPr>
    <w:rPr>
      <w:rFonts w:eastAsia="宋体"/>
      <w:b/>
    </w:rPr>
  </w:style>
  <w:style w:type="paragraph" w:customStyle="1" w:styleId="meeng2">
    <w:name w:val="me_eng_正文"/>
    <w:basedOn w:val="a"/>
    <w:qFormat/>
    <w:rsid w:val="00C223F5"/>
    <w:pPr>
      <w:adjustRightInd w:val="0"/>
      <w:snapToGrid w:val="0"/>
      <w:spacing w:line="480" w:lineRule="auto"/>
      <w:jc w:val="left"/>
    </w:pPr>
    <w:rPr>
      <w:rFonts w:cs="宋体"/>
      <w:sz w:val="24"/>
      <w:szCs w:val="20"/>
    </w:rPr>
  </w:style>
  <w:style w:type="paragraph" w:customStyle="1" w:styleId="meC78780">
    <w:name w:val="样式 me(C)_正文 + 段前: 7.8 磅 段后: 7.8 磅 首行缩进:  0 字符"/>
    <w:basedOn w:val="meC"/>
    <w:qFormat/>
    <w:rsid w:val="00C223F5"/>
    <w:pPr>
      <w:spacing w:before="156" w:after="156"/>
    </w:pPr>
    <w:rPr>
      <w:rFonts w:cs="宋体"/>
      <w:szCs w:val="20"/>
    </w:rPr>
  </w:style>
  <w:style w:type="paragraph" w:customStyle="1" w:styleId="me">
    <w:name w:val="me_英文投稿_正文"/>
    <w:basedOn w:val="me1681682"/>
    <w:qFormat/>
    <w:rsid w:val="00C223F5"/>
    <w:pPr>
      <w:ind w:firstLine="480"/>
    </w:pPr>
  </w:style>
  <w:style w:type="paragraph" w:customStyle="1" w:styleId="meeng3">
    <w:name w:val="me_eng_正文(缩)"/>
    <w:basedOn w:val="meeng2"/>
    <w:qFormat/>
    <w:rsid w:val="00C223F5"/>
    <w:pPr>
      <w:ind w:firstLineChars="200" w:firstLine="200"/>
    </w:pPr>
  </w:style>
  <w:style w:type="paragraph" w:customStyle="1" w:styleId="meeng10">
    <w:name w:val="me_eng_标题1"/>
    <w:basedOn w:val="a"/>
    <w:qFormat/>
    <w:rsid w:val="00C223F5"/>
    <w:pPr>
      <w:keepNext/>
      <w:keepLines/>
      <w:adjustRightInd w:val="0"/>
      <w:snapToGrid w:val="0"/>
      <w:spacing w:before="200" w:after="100" w:line="480" w:lineRule="auto"/>
      <w:jc w:val="left"/>
      <w:outlineLvl w:val="0"/>
    </w:pPr>
    <w:rPr>
      <w:b/>
      <w:bCs/>
      <w:kern w:val="44"/>
      <w:sz w:val="28"/>
      <w:szCs w:val="44"/>
    </w:rPr>
  </w:style>
  <w:style w:type="paragraph" w:customStyle="1" w:styleId="meeng20">
    <w:name w:val="me_eng_标题2"/>
    <w:basedOn w:val="a"/>
    <w:qFormat/>
    <w:rsid w:val="00C223F5"/>
    <w:pPr>
      <w:keepNext/>
      <w:keepLines/>
      <w:tabs>
        <w:tab w:val="left" w:pos="0"/>
      </w:tabs>
      <w:adjustRightInd w:val="0"/>
      <w:snapToGrid w:val="0"/>
      <w:spacing w:before="100" w:after="100"/>
      <w:jc w:val="left"/>
      <w:outlineLvl w:val="1"/>
    </w:pPr>
    <w:rPr>
      <w:rFonts w:ascii="Arial" w:eastAsia="仿宋_GB2312" w:hAnsi="Arial"/>
      <w:b/>
      <w:bCs/>
      <w:sz w:val="24"/>
      <w:szCs w:val="32"/>
    </w:rPr>
  </w:style>
  <w:style w:type="paragraph" w:customStyle="1" w:styleId="meeng4">
    <w:name w:val="me_eng_左正文"/>
    <w:basedOn w:val="a"/>
    <w:next w:val="meeng5"/>
    <w:qFormat/>
    <w:rsid w:val="00C223F5"/>
    <w:pPr>
      <w:adjustRightInd w:val="0"/>
      <w:snapToGrid w:val="0"/>
      <w:spacing w:line="480" w:lineRule="auto"/>
      <w:jc w:val="left"/>
    </w:pPr>
    <w:rPr>
      <w:rFonts w:cs="宋体"/>
      <w:sz w:val="24"/>
      <w:szCs w:val="20"/>
    </w:rPr>
  </w:style>
  <w:style w:type="paragraph" w:customStyle="1" w:styleId="meeng5">
    <w:name w:val="me_eng_左正文(缩)"/>
    <w:basedOn w:val="meeng6"/>
    <w:qFormat/>
    <w:rsid w:val="00C223F5"/>
    <w:pPr>
      <w:ind w:firstLineChars="200" w:firstLine="200"/>
      <w:jc w:val="left"/>
    </w:pPr>
  </w:style>
  <w:style w:type="paragraph" w:customStyle="1" w:styleId="meeng6">
    <w:name w:val="me_eng_两正文"/>
    <w:basedOn w:val="a"/>
    <w:next w:val="meeng0"/>
    <w:qFormat/>
    <w:rsid w:val="00C223F5"/>
    <w:pPr>
      <w:adjustRightInd w:val="0"/>
      <w:snapToGrid w:val="0"/>
      <w:spacing w:line="480" w:lineRule="auto"/>
    </w:pPr>
    <w:rPr>
      <w:rFonts w:cs="宋体"/>
      <w:sz w:val="24"/>
      <w:szCs w:val="20"/>
    </w:rPr>
  </w:style>
  <w:style w:type="paragraph" w:customStyle="1" w:styleId="meC2">
    <w:name w:val="me(C)_正文(缩)"/>
    <w:basedOn w:val="meC"/>
    <w:qFormat/>
    <w:rsid w:val="00C223F5"/>
    <w:pPr>
      <w:ind w:firstLineChars="200" w:firstLine="200"/>
    </w:pPr>
  </w:style>
  <w:style w:type="paragraph" w:customStyle="1" w:styleId="meC20">
    <w:name w:val="me(C)_标题2"/>
    <w:basedOn w:val="meC3"/>
    <w:next w:val="meC"/>
    <w:qFormat/>
    <w:rsid w:val="00C223F5"/>
    <w:pPr>
      <w:spacing w:after="120" w:line="360" w:lineRule="auto"/>
    </w:pPr>
    <w:rPr>
      <w:rFonts w:eastAsia="仿宋_GB2312"/>
      <w:sz w:val="28"/>
    </w:rPr>
  </w:style>
  <w:style w:type="paragraph" w:customStyle="1" w:styleId="meC4">
    <w:name w:val="me(C)_图"/>
    <w:basedOn w:val="meC"/>
    <w:next w:val="meC"/>
    <w:qFormat/>
    <w:rsid w:val="00C223F5"/>
    <w:pPr>
      <w:spacing w:beforeLines="50"/>
      <w:jc w:val="center"/>
    </w:pPr>
  </w:style>
  <w:style w:type="paragraph" w:customStyle="1" w:styleId="meC40">
    <w:name w:val="me(C)_标题4"/>
    <w:basedOn w:val="meC"/>
    <w:next w:val="meC"/>
    <w:qFormat/>
    <w:rsid w:val="00C223F5"/>
    <w:pPr>
      <w:outlineLvl w:val="3"/>
    </w:pPr>
    <w:rPr>
      <w:rFonts w:eastAsia="新宋体"/>
      <w:b/>
    </w:rPr>
  </w:style>
  <w:style w:type="paragraph" w:customStyle="1" w:styleId="meC05">
    <w:name w:val="样式 me(C)题注 + 段后: 0.5 行"/>
    <w:basedOn w:val="meC0"/>
    <w:qFormat/>
    <w:rsid w:val="00C223F5"/>
    <w:pPr>
      <w:spacing w:after="156"/>
    </w:pPr>
    <w:rPr>
      <w:sz w:val="24"/>
    </w:rPr>
  </w:style>
  <w:style w:type="paragraph" w:customStyle="1" w:styleId="meC5">
    <w:name w:val="me(C)图注"/>
    <w:basedOn w:val="meC0"/>
    <w:next w:val="meC"/>
    <w:qFormat/>
    <w:rsid w:val="00C223F5"/>
    <w:pPr>
      <w:spacing w:after="156"/>
    </w:pPr>
    <w:rPr>
      <w:sz w:val="24"/>
    </w:rPr>
  </w:style>
  <w:style w:type="paragraph" w:customStyle="1" w:styleId="meC6">
    <w:name w:val="me(C)表注"/>
    <w:basedOn w:val="meC5"/>
    <w:next w:val="meC"/>
    <w:qFormat/>
    <w:rsid w:val="00C223F5"/>
    <w:pPr>
      <w:spacing w:beforeLines="50" w:afterLines="0"/>
    </w:pPr>
  </w:style>
  <w:style w:type="paragraph" w:customStyle="1" w:styleId="meeng7">
    <w:name w:val="me_eng_左_两正文"/>
    <w:basedOn w:val="meeng6"/>
    <w:next w:val="a"/>
    <w:qFormat/>
    <w:rsid w:val="00C223F5"/>
    <w:pPr>
      <w:jc w:val="left"/>
    </w:pPr>
  </w:style>
  <w:style w:type="paragraph" w:customStyle="1" w:styleId="meeng8">
    <w:name w:val="me_eng_左_两正文(缩)"/>
    <w:basedOn w:val="meeng0"/>
    <w:qFormat/>
    <w:rsid w:val="00C223F5"/>
    <w:pPr>
      <w:ind w:firstLine="480"/>
      <w:jc w:val="left"/>
    </w:pPr>
  </w:style>
  <w:style w:type="paragraph" w:customStyle="1" w:styleId="meeng30">
    <w:name w:val="me_eng_标题3"/>
    <w:basedOn w:val="meeng20"/>
    <w:qFormat/>
    <w:rsid w:val="00C223F5"/>
    <w:pPr>
      <w:tabs>
        <w:tab w:val="clear" w:pos="0"/>
      </w:tabs>
      <w:outlineLvl w:val="2"/>
    </w:pPr>
  </w:style>
  <w:style w:type="character" w:customStyle="1" w:styleId="h1title">
    <w:name w:val="h1title"/>
    <w:basedOn w:val="a0"/>
    <w:qFormat/>
    <w:rsid w:val="00C223F5"/>
  </w:style>
  <w:style w:type="character" w:customStyle="1" w:styleId="CharChar18">
    <w:name w:val="Char Char18"/>
    <w:basedOn w:val="a0"/>
    <w:qFormat/>
    <w:rsid w:val="00C223F5"/>
    <w:rPr>
      <w:rFonts w:eastAsia="宋体"/>
      <w:b/>
      <w:color w:val="008000"/>
      <w:kern w:val="2"/>
      <w:sz w:val="24"/>
      <w:szCs w:val="24"/>
      <w:lang w:val="en-US" w:eastAsia="zh-CN" w:bidi="ar-SA"/>
    </w:rPr>
  </w:style>
  <w:style w:type="character" w:customStyle="1" w:styleId="Char13">
    <w:name w:val="小标题 Char1"/>
    <w:basedOn w:val="a0"/>
    <w:qFormat/>
    <w:rsid w:val="00C223F5"/>
    <w:rPr>
      <w:rFonts w:eastAsia="宋体"/>
      <w:b/>
      <w:kern w:val="2"/>
      <w:sz w:val="28"/>
      <w:szCs w:val="28"/>
      <w:lang w:val="en-US" w:eastAsia="zh-CN" w:bidi="ar-SA"/>
    </w:rPr>
  </w:style>
  <w:style w:type="character" w:customStyle="1" w:styleId="CharChar26">
    <w:name w:val="Char Char26"/>
    <w:basedOn w:val="a0"/>
    <w:qFormat/>
    <w:rsid w:val="00C223F5"/>
    <w:rPr>
      <w:rFonts w:eastAsia="黑体"/>
      <w:b/>
      <w:kern w:val="44"/>
      <w:sz w:val="36"/>
      <w:szCs w:val="24"/>
      <w:lang w:val="en-US" w:eastAsia="zh-CN" w:bidi="ar-SA"/>
    </w:rPr>
  </w:style>
  <w:style w:type="character" w:customStyle="1" w:styleId="CharChar19">
    <w:name w:val="Char Char19"/>
    <w:basedOn w:val="a0"/>
    <w:qFormat/>
    <w:rsid w:val="00C223F5"/>
    <w:rPr>
      <w:rFonts w:eastAsia="宋体"/>
      <w:b/>
      <w:kern w:val="2"/>
      <w:sz w:val="28"/>
      <w:szCs w:val="28"/>
      <w:lang w:val="en-US" w:eastAsia="zh-CN" w:bidi="ar-SA"/>
    </w:rPr>
  </w:style>
  <w:style w:type="character" w:customStyle="1" w:styleId="CharChar25">
    <w:name w:val="Char Char25"/>
    <w:basedOn w:val="a0"/>
    <w:qFormat/>
    <w:rsid w:val="00C223F5"/>
    <w:rPr>
      <w:rFonts w:eastAsia="宋体"/>
      <w:b/>
      <w:color w:val="FF00FF"/>
      <w:kern w:val="2"/>
      <w:sz w:val="30"/>
      <w:szCs w:val="24"/>
      <w:lang w:val="en-US" w:eastAsia="zh-CN" w:bidi="ar-SA"/>
    </w:rPr>
  </w:style>
  <w:style w:type="paragraph" w:customStyle="1" w:styleId="afffffffff">
    <w:name w:val="节下二级标题"/>
    <w:basedOn w:val="a"/>
    <w:link w:val="Charfd"/>
    <w:qFormat/>
    <w:rsid w:val="00C223F5"/>
    <w:pPr>
      <w:spacing w:line="360" w:lineRule="auto"/>
      <w:ind w:firstLineChars="200" w:firstLine="482"/>
    </w:pPr>
    <w:rPr>
      <w:rFonts w:ascii="宋体" w:hAnsi="宋体"/>
      <w:b/>
      <w:sz w:val="24"/>
    </w:rPr>
  </w:style>
  <w:style w:type="character" w:customStyle="1" w:styleId="Charfd">
    <w:name w:val="节下二级标题 Char"/>
    <w:link w:val="afffffffff"/>
    <w:qFormat/>
    <w:rsid w:val="00C223F5"/>
    <w:rPr>
      <w:rFonts w:ascii="宋体" w:hAnsi="宋体"/>
      <w:b/>
      <w:kern w:val="2"/>
      <w:sz w:val="24"/>
      <w:szCs w:val="24"/>
    </w:rPr>
  </w:style>
  <w:style w:type="character" w:customStyle="1" w:styleId="style391">
    <w:name w:val="style391"/>
    <w:qFormat/>
    <w:rsid w:val="00C223F5"/>
    <w:rPr>
      <w:sz w:val="18"/>
      <w:szCs w:val="18"/>
    </w:rPr>
  </w:style>
  <w:style w:type="character" w:customStyle="1" w:styleId="Charfe">
    <w:name w:val="图名表名 Char"/>
    <w:link w:val="afffffffff0"/>
    <w:qFormat/>
    <w:rsid w:val="00C223F5"/>
    <w:rPr>
      <w:b/>
      <w:kern w:val="2"/>
      <w:sz w:val="24"/>
      <w:szCs w:val="21"/>
    </w:rPr>
  </w:style>
  <w:style w:type="paragraph" w:customStyle="1" w:styleId="afffffffff0">
    <w:name w:val="图名表名"/>
    <w:basedOn w:val="a"/>
    <w:link w:val="Charfe"/>
    <w:qFormat/>
    <w:rsid w:val="00C223F5"/>
    <w:pPr>
      <w:widowControl/>
      <w:tabs>
        <w:tab w:val="center" w:pos="7694"/>
        <w:tab w:val="left" w:pos="11685"/>
      </w:tabs>
      <w:jc w:val="center"/>
    </w:pPr>
    <w:rPr>
      <w:b/>
      <w:sz w:val="24"/>
      <w:szCs w:val="21"/>
    </w:rPr>
  </w:style>
  <w:style w:type="character" w:customStyle="1" w:styleId="Charff">
    <w:name w:val="表格文字 Char"/>
    <w:qFormat/>
    <w:rsid w:val="00C223F5"/>
    <w:rPr>
      <w:rFonts w:ascii="Times New Roman" w:hAnsi="Times New Roman"/>
      <w:kern w:val="2"/>
      <w:sz w:val="21"/>
      <w:szCs w:val="22"/>
    </w:rPr>
  </w:style>
  <w:style w:type="paragraph" w:customStyle="1" w:styleId="afffffffff1">
    <w:name w:val="表格名称"/>
    <w:basedOn w:val="a"/>
    <w:qFormat/>
    <w:rsid w:val="00C223F5"/>
    <w:pPr>
      <w:jc w:val="center"/>
    </w:pPr>
    <w:rPr>
      <w:rFonts w:eastAsia="黑体"/>
      <w:b/>
      <w:bCs/>
      <w:kern w:val="0"/>
      <w:szCs w:val="28"/>
    </w:rPr>
  </w:style>
  <w:style w:type="character" w:customStyle="1" w:styleId="font31">
    <w:name w:val="font31"/>
    <w:qFormat/>
    <w:rsid w:val="00C223F5"/>
    <w:rPr>
      <w:rFonts w:ascii="宋体" w:eastAsia="宋体" w:hAnsi="宋体" w:cs="宋体"/>
      <w:color w:val="000000"/>
      <w:sz w:val="24"/>
      <w:szCs w:val="24"/>
      <w:u w:val="none"/>
    </w:rPr>
  </w:style>
  <w:style w:type="character" w:customStyle="1" w:styleId="font21">
    <w:name w:val="font21"/>
    <w:qFormat/>
    <w:rsid w:val="00C223F5"/>
    <w:rPr>
      <w:rFonts w:ascii="Times New Roman" w:hAnsi="Times New Roman" w:cs="Times New Roman" w:hint="default"/>
      <w:color w:val="000000"/>
      <w:sz w:val="24"/>
      <w:szCs w:val="24"/>
      <w:u w:val="none"/>
    </w:rPr>
  </w:style>
  <w:style w:type="paragraph" w:customStyle="1" w:styleId="afffffffff2">
    <w:name w:val="图表"/>
    <w:basedOn w:val="16"/>
    <w:next w:val="a"/>
    <w:qFormat/>
    <w:rsid w:val="00C223F5"/>
    <w:pPr>
      <w:spacing w:line="360" w:lineRule="auto"/>
      <w:ind w:firstLineChars="0" w:firstLine="0"/>
      <w:jc w:val="center"/>
      <w:outlineLvl w:val="5"/>
    </w:pPr>
    <w:rPr>
      <w:rFonts w:ascii="Times New Roman" w:eastAsiaTheme="minorEastAsia" w:hAnsi="Times New Roman"/>
      <w:sz w:val="28"/>
      <w:szCs w:val="28"/>
      <w:lang w:val="zh-CN"/>
    </w:rPr>
  </w:style>
  <w:style w:type="character" w:customStyle="1" w:styleId="1f8">
    <w:name w:val="书籍标题1"/>
    <w:uiPriority w:val="33"/>
    <w:qFormat/>
    <w:rsid w:val="00C223F5"/>
    <w:rPr>
      <w:rFonts w:asciiTheme="minorEastAsia" w:eastAsiaTheme="minorEastAsia" w:hAnsiTheme="minorEastAsia"/>
      <w:b/>
      <w:bCs/>
      <w:color w:val="000000"/>
      <w:kern w:val="2"/>
      <w:sz w:val="21"/>
      <w:szCs w:val="21"/>
      <w:lang w:val="zh-CN"/>
    </w:rPr>
  </w:style>
  <w:style w:type="paragraph" w:customStyle="1" w:styleId="116">
    <w:name w:val="1正文1"/>
    <w:uiPriority w:val="1"/>
    <w:qFormat/>
    <w:rsid w:val="00C223F5"/>
    <w:pPr>
      <w:widowControl w:val="0"/>
      <w:spacing w:line="360" w:lineRule="auto"/>
      <w:ind w:firstLineChars="200" w:firstLine="200"/>
      <w:jc w:val="both"/>
    </w:pPr>
    <w:rPr>
      <w:kern w:val="2"/>
      <w:sz w:val="28"/>
      <w:szCs w:val="28"/>
    </w:rPr>
  </w:style>
  <w:style w:type="character" w:customStyle="1" w:styleId="4Char4">
    <w:name w:val="标题 4 Char4"/>
    <w:basedOn w:val="a0"/>
    <w:qFormat/>
    <w:locked/>
    <w:rsid w:val="00C223F5"/>
    <w:rPr>
      <w:rFonts w:eastAsia="宋体"/>
      <w:bCs/>
      <w:kern w:val="2"/>
      <w:sz w:val="24"/>
      <w:szCs w:val="28"/>
      <w:lang w:val="en-US" w:eastAsia="zh-CN" w:bidi="ar-SA"/>
    </w:rPr>
  </w:style>
  <w:style w:type="character" w:customStyle="1" w:styleId="Charff0">
    <w:name w:val="表名图名 Char"/>
    <w:link w:val="afffffffff3"/>
    <w:qFormat/>
    <w:rsid w:val="00C223F5"/>
    <w:rPr>
      <w:b/>
      <w:kern w:val="2"/>
      <w:sz w:val="24"/>
      <w:szCs w:val="22"/>
    </w:rPr>
  </w:style>
  <w:style w:type="paragraph" w:customStyle="1" w:styleId="afffffffff3">
    <w:name w:val="表名图名"/>
    <w:basedOn w:val="a"/>
    <w:link w:val="Charff0"/>
    <w:qFormat/>
    <w:rsid w:val="00C223F5"/>
    <w:pPr>
      <w:widowControl/>
      <w:jc w:val="center"/>
    </w:pPr>
    <w:rPr>
      <w:b/>
      <w:sz w:val="24"/>
      <w:szCs w:val="22"/>
    </w:rPr>
  </w:style>
  <w:style w:type="paragraph" w:customStyle="1" w:styleId="CharCharCharCharCharCharCharCharCharCharCharCharChar4">
    <w:name w:val="Char Char Char Char Char Char Char Char Char Char Char Char Char4"/>
    <w:basedOn w:val="a"/>
    <w:qFormat/>
    <w:rsid w:val="00C223F5"/>
    <w:rPr>
      <w:rFonts w:ascii="仿宋_GB2312" w:eastAsia="仿宋_GB2312"/>
      <w:sz w:val="32"/>
      <w:szCs w:val="32"/>
    </w:rPr>
  </w:style>
  <w:style w:type="character" w:customStyle="1" w:styleId="2Char2">
    <w:name w:val="标题 2 Char2"/>
    <w:basedOn w:val="a0"/>
    <w:qFormat/>
    <w:rsid w:val="00C223F5"/>
    <w:rPr>
      <w:rFonts w:ascii="Arial" w:eastAsia="楷体_GB2312" w:hAnsi="Arial"/>
      <w:bCs/>
      <w:kern w:val="2"/>
      <w:sz w:val="30"/>
      <w:szCs w:val="32"/>
    </w:rPr>
  </w:style>
  <w:style w:type="character" w:customStyle="1" w:styleId="3Char20">
    <w:name w:val="正文文本缩进 3 Char2"/>
    <w:basedOn w:val="a0"/>
    <w:qFormat/>
    <w:locked/>
    <w:rsid w:val="00C223F5"/>
    <w:rPr>
      <w:rFonts w:eastAsia="宋体"/>
      <w:kern w:val="2"/>
      <w:sz w:val="24"/>
      <w:szCs w:val="24"/>
      <w:lang w:val="en-US" w:eastAsia="zh-CN" w:bidi="ar-SA"/>
    </w:rPr>
  </w:style>
  <w:style w:type="paragraph" w:customStyle="1" w:styleId="afffffffff4">
    <w:name w:val="表格内容"/>
    <w:basedOn w:val="a"/>
    <w:qFormat/>
    <w:rsid w:val="00C223F5"/>
    <w:pPr>
      <w:overflowPunct w:val="0"/>
      <w:adjustRightInd w:val="0"/>
      <w:snapToGrid w:val="0"/>
      <w:spacing w:line="0" w:lineRule="atLeast"/>
      <w:jc w:val="center"/>
      <w:textAlignment w:val="baseline"/>
    </w:pPr>
    <w:rPr>
      <w:rFonts w:ascii="宋体" w:hAnsi="宋体"/>
      <w:kern w:val="0"/>
      <w:szCs w:val="20"/>
    </w:rPr>
  </w:style>
  <w:style w:type="paragraph" w:customStyle="1" w:styleId="CM9">
    <w:name w:val="CM9"/>
    <w:basedOn w:val="Default"/>
    <w:next w:val="Default"/>
    <w:qFormat/>
    <w:rsid w:val="00C223F5"/>
    <w:pPr>
      <w:spacing w:line="546" w:lineRule="atLeast"/>
    </w:pPr>
    <w:rPr>
      <w:rFonts w:ascii="Sim Sun" w:eastAsia="Sim Sun" w:cs="Times New Roman"/>
      <w:color w:val="auto"/>
    </w:rPr>
  </w:style>
  <w:style w:type="paragraph" w:customStyle="1" w:styleId="CM51">
    <w:name w:val="CM51"/>
    <w:basedOn w:val="Default"/>
    <w:next w:val="Default"/>
    <w:qFormat/>
    <w:rsid w:val="00C223F5"/>
    <w:pPr>
      <w:spacing w:after="283"/>
    </w:pPr>
    <w:rPr>
      <w:rFonts w:ascii="Times New Roman" w:cs="Times New Roman"/>
      <w:color w:val="auto"/>
    </w:rPr>
  </w:style>
  <w:style w:type="paragraph" w:customStyle="1" w:styleId="CM2">
    <w:name w:val="CM2"/>
    <w:basedOn w:val="Default"/>
    <w:next w:val="Default"/>
    <w:qFormat/>
    <w:rsid w:val="00C223F5"/>
    <w:pPr>
      <w:spacing w:line="468" w:lineRule="atLeast"/>
    </w:pPr>
    <w:rPr>
      <w:rFonts w:ascii="Times New Roman" w:cs="Times New Roman"/>
      <w:color w:val="auto"/>
    </w:rPr>
  </w:style>
  <w:style w:type="character" w:customStyle="1" w:styleId="wz2">
    <w:name w:val="wz2"/>
    <w:basedOn w:val="a0"/>
    <w:qFormat/>
    <w:rsid w:val="00C223F5"/>
    <w:rPr>
      <w:rFonts w:ascii="宋体" w:eastAsia="宋体" w:hAnsi="宋体" w:hint="eastAsia"/>
      <w:sz w:val="18"/>
      <w:szCs w:val="18"/>
      <w:u w:val="none"/>
    </w:rPr>
  </w:style>
  <w:style w:type="character" w:customStyle="1" w:styleId="Char51">
    <w:name w:val="正文文本 Char5"/>
    <w:basedOn w:val="a0"/>
    <w:qFormat/>
    <w:rsid w:val="00C223F5"/>
    <w:rPr>
      <w:b/>
      <w:bCs/>
      <w:kern w:val="2"/>
      <w:sz w:val="21"/>
      <w:szCs w:val="24"/>
    </w:rPr>
  </w:style>
  <w:style w:type="paragraph" w:customStyle="1" w:styleId="CharCharCharCharCharCharCharCharCharCharCharCharChar0">
    <w:name w:val="Char Char Char Char Char Char Char Char Char Char Char Char Char"/>
    <w:basedOn w:val="a"/>
    <w:rsid w:val="00894456"/>
    <w:rPr>
      <w:rFonts w:ascii="仿宋_GB2312" w:eastAsia="仿宋_GB2312"/>
      <w:sz w:val="32"/>
      <w:szCs w:val="32"/>
    </w:rPr>
  </w:style>
  <w:style w:type="paragraph" w:customStyle="1" w:styleId="CharCharCharCharCharCharCharCharCharCharCharCharChar5">
    <w:name w:val="Char Char Char Char Char Char Char Char Char Char Char Char Char"/>
    <w:basedOn w:val="a"/>
    <w:rsid w:val="009D40C2"/>
    <w:rPr>
      <w:rFonts w:ascii="仿宋_GB2312" w:eastAsia="仿宋_GB231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238323">
      <w:bodyDiv w:val="1"/>
      <w:marLeft w:val="0"/>
      <w:marRight w:val="0"/>
      <w:marTop w:val="0"/>
      <w:marBottom w:val="0"/>
      <w:divBdr>
        <w:top w:val="none" w:sz="0" w:space="0" w:color="auto"/>
        <w:left w:val="none" w:sz="0" w:space="0" w:color="auto"/>
        <w:bottom w:val="none" w:sz="0" w:space="0" w:color="auto"/>
        <w:right w:val="none" w:sz="0" w:space="0" w:color="auto"/>
      </w:divBdr>
    </w:div>
    <w:div w:id="430859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4.jpeg"/><Relationship Id="rId21" Type="http://schemas.openxmlformats.org/officeDocument/2006/relationships/image" Target="media/image6.jpeg"/><Relationship Id="rId42" Type="http://schemas.openxmlformats.org/officeDocument/2006/relationships/image" Target="media/image23.wmf"/><Relationship Id="rId47" Type="http://schemas.openxmlformats.org/officeDocument/2006/relationships/oleObject" Target="embeddings/oleObject6.bin"/><Relationship Id="rId63" Type="http://schemas.openxmlformats.org/officeDocument/2006/relationships/image" Target="media/image33.wmf"/><Relationship Id="rId68" Type="http://schemas.openxmlformats.org/officeDocument/2006/relationships/oleObject" Target="embeddings/oleObject17.bin"/><Relationship Id="rId84" Type="http://schemas.openxmlformats.org/officeDocument/2006/relationships/image" Target="media/image42.wmf"/><Relationship Id="rId89" Type="http://schemas.openxmlformats.org/officeDocument/2006/relationships/image" Target="media/image44.wmf"/><Relationship Id="rId112" Type="http://schemas.openxmlformats.org/officeDocument/2006/relationships/header" Target="header2.xml"/><Relationship Id="rId133" Type="http://schemas.openxmlformats.org/officeDocument/2006/relationships/oleObject" Target="embeddings/oleObject50.bin"/><Relationship Id="rId138" Type="http://schemas.openxmlformats.org/officeDocument/2006/relationships/image" Target="media/image65.wmf"/><Relationship Id="rId16" Type="http://schemas.openxmlformats.org/officeDocument/2006/relationships/footer" Target="footer6.xml"/><Relationship Id="rId107" Type="http://schemas.openxmlformats.org/officeDocument/2006/relationships/oleObject" Target="embeddings/oleObject40.bin"/><Relationship Id="rId11"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oleObject" Target="embeddings/oleObject9.bin"/><Relationship Id="rId58" Type="http://schemas.openxmlformats.org/officeDocument/2006/relationships/image" Target="media/image31.wmf"/><Relationship Id="rId74" Type="http://schemas.openxmlformats.org/officeDocument/2006/relationships/oleObject" Target="embeddings/oleObject20.bin"/><Relationship Id="rId79" Type="http://schemas.openxmlformats.org/officeDocument/2006/relationships/image" Target="media/image41.wmf"/><Relationship Id="rId102" Type="http://schemas.openxmlformats.org/officeDocument/2006/relationships/oleObject" Target="embeddings/oleObject38.bin"/><Relationship Id="rId123" Type="http://schemas.openxmlformats.org/officeDocument/2006/relationships/oleObject" Target="embeddings/oleObject45.bin"/><Relationship Id="rId128" Type="http://schemas.openxmlformats.org/officeDocument/2006/relationships/image" Target="media/image60.wmf"/><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30.bin"/><Relationship Id="rId95" Type="http://schemas.openxmlformats.org/officeDocument/2006/relationships/image" Target="media/image47.wmf"/><Relationship Id="rId22" Type="http://schemas.openxmlformats.org/officeDocument/2006/relationships/footer" Target="footer7.xml"/><Relationship Id="rId27" Type="http://schemas.openxmlformats.org/officeDocument/2006/relationships/oleObject" Target="embeddings/oleObject1.bin"/><Relationship Id="rId43" Type="http://schemas.openxmlformats.org/officeDocument/2006/relationships/oleObject" Target="embeddings/oleObject4.bin"/><Relationship Id="rId48" Type="http://schemas.openxmlformats.org/officeDocument/2006/relationships/image" Target="media/image26.wmf"/><Relationship Id="rId64" Type="http://schemas.openxmlformats.org/officeDocument/2006/relationships/oleObject" Target="embeddings/oleObject15.bin"/><Relationship Id="rId69" Type="http://schemas.openxmlformats.org/officeDocument/2006/relationships/image" Target="media/image36.wmf"/><Relationship Id="rId113" Type="http://schemas.openxmlformats.org/officeDocument/2006/relationships/header" Target="header3.xml"/><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53.bin"/><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oleObject" Target="embeddings/oleObject27.bin"/><Relationship Id="rId93" Type="http://schemas.openxmlformats.org/officeDocument/2006/relationships/image" Target="media/image46.wmf"/><Relationship Id="rId98" Type="http://schemas.openxmlformats.org/officeDocument/2006/relationships/oleObject" Target="embeddings/oleObject34.bin"/><Relationship Id="rId121" Type="http://schemas.openxmlformats.org/officeDocument/2006/relationships/oleObject" Target="embeddings/oleObject44.bin"/><Relationship Id="rId142"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oleObject" Target="embeddings/oleObject12.bin"/><Relationship Id="rId67" Type="http://schemas.openxmlformats.org/officeDocument/2006/relationships/image" Target="media/image35.wmf"/><Relationship Id="rId103" Type="http://schemas.openxmlformats.org/officeDocument/2006/relationships/oleObject" Target="embeddings/oleObject39.bin"/><Relationship Id="rId108" Type="http://schemas.openxmlformats.org/officeDocument/2006/relationships/image" Target="media/image52.wmf"/><Relationship Id="rId116" Type="http://schemas.openxmlformats.org/officeDocument/2006/relationships/header" Target="header4.xml"/><Relationship Id="rId124" Type="http://schemas.openxmlformats.org/officeDocument/2006/relationships/image" Target="media/image58.wmf"/><Relationship Id="rId129" Type="http://schemas.openxmlformats.org/officeDocument/2006/relationships/oleObject" Target="embeddings/oleObject48.bin"/><Relationship Id="rId137" Type="http://schemas.openxmlformats.org/officeDocument/2006/relationships/oleObject" Target="embeddings/oleObject52.bin"/><Relationship Id="rId20" Type="http://schemas.openxmlformats.org/officeDocument/2006/relationships/image" Target="media/image5.png"/><Relationship Id="rId41" Type="http://schemas.openxmlformats.org/officeDocument/2006/relationships/oleObject" Target="embeddings/oleObject3.bin"/><Relationship Id="rId54" Type="http://schemas.openxmlformats.org/officeDocument/2006/relationships/image" Target="media/image29.wmf"/><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39.wmf"/><Relationship Id="rId83" Type="http://schemas.openxmlformats.org/officeDocument/2006/relationships/oleObject" Target="embeddings/oleObject26.bin"/><Relationship Id="rId88" Type="http://schemas.openxmlformats.org/officeDocument/2006/relationships/oleObject" Target="embeddings/oleObject29.bin"/><Relationship Id="rId91" Type="http://schemas.openxmlformats.org/officeDocument/2006/relationships/image" Target="media/image45.wmf"/><Relationship Id="rId96" Type="http://schemas.openxmlformats.org/officeDocument/2006/relationships/oleObject" Target="embeddings/oleObject33.bin"/><Relationship Id="rId111" Type="http://schemas.openxmlformats.org/officeDocument/2006/relationships/oleObject" Target="embeddings/oleObject42.bin"/><Relationship Id="rId132" Type="http://schemas.openxmlformats.org/officeDocument/2006/relationships/image" Target="media/image62.wmf"/><Relationship Id="rId140" Type="http://schemas.openxmlformats.org/officeDocument/2006/relationships/image" Target="media/image6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emf"/><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oleObject" Target="embeddings/oleObject7.bin"/><Relationship Id="rId57" Type="http://schemas.openxmlformats.org/officeDocument/2006/relationships/oleObject" Target="embeddings/oleObject11.bin"/><Relationship Id="rId106" Type="http://schemas.openxmlformats.org/officeDocument/2006/relationships/image" Target="media/image51.wmf"/><Relationship Id="rId114" Type="http://schemas.openxmlformats.org/officeDocument/2006/relationships/footer" Target="footer8.xml"/><Relationship Id="rId119" Type="http://schemas.openxmlformats.org/officeDocument/2006/relationships/oleObject" Target="embeddings/oleObject43.bin"/><Relationship Id="rId127" Type="http://schemas.openxmlformats.org/officeDocument/2006/relationships/oleObject" Target="embeddings/oleObject47.bin"/><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22.bin"/><Relationship Id="rId81" Type="http://schemas.openxmlformats.org/officeDocument/2006/relationships/oleObject" Target="embeddings/oleObject24.bin"/><Relationship Id="rId86" Type="http://schemas.openxmlformats.org/officeDocument/2006/relationships/image" Target="media/image43.wmf"/><Relationship Id="rId94" Type="http://schemas.openxmlformats.org/officeDocument/2006/relationships/oleObject" Target="embeddings/oleObject32.bin"/><Relationship Id="rId99" Type="http://schemas.openxmlformats.org/officeDocument/2006/relationships/oleObject" Target="embeddings/oleObject35.bin"/><Relationship Id="rId101" Type="http://schemas.openxmlformats.org/officeDocument/2006/relationships/oleObject" Target="embeddings/oleObject37.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51.bin"/><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oleObject" Target="embeddings/oleObject2.bin"/><Relationship Id="rId109" Type="http://schemas.openxmlformats.org/officeDocument/2006/relationships/oleObject" Target="embeddings/oleObject41.bin"/><Relationship Id="rId34" Type="http://schemas.openxmlformats.org/officeDocument/2006/relationships/image" Target="media/image17.jpeg"/><Relationship Id="rId50" Type="http://schemas.openxmlformats.org/officeDocument/2006/relationships/image" Target="media/image27.wmf"/><Relationship Id="rId55" Type="http://schemas.openxmlformats.org/officeDocument/2006/relationships/oleObject" Target="embeddings/oleObject10.bin"/><Relationship Id="rId76" Type="http://schemas.openxmlformats.org/officeDocument/2006/relationships/oleObject" Target="embeddings/oleObject21.bin"/><Relationship Id="rId97" Type="http://schemas.openxmlformats.org/officeDocument/2006/relationships/image" Target="media/image48.wmf"/><Relationship Id="rId104" Type="http://schemas.openxmlformats.org/officeDocument/2006/relationships/image" Target="media/image49.wmf"/><Relationship Id="rId120" Type="http://schemas.openxmlformats.org/officeDocument/2006/relationships/image" Target="media/image56.wmf"/><Relationship Id="rId125" Type="http://schemas.openxmlformats.org/officeDocument/2006/relationships/oleObject" Target="embeddings/oleObject46.bin"/><Relationship Id="rId141" Type="http://schemas.openxmlformats.org/officeDocument/2006/relationships/oleObject" Target="embeddings/oleObject54.bin"/><Relationship Id="rId7" Type="http://schemas.openxmlformats.org/officeDocument/2006/relationships/footnotes" Target="footnotes.xml"/><Relationship Id="rId71" Type="http://schemas.openxmlformats.org/officeDocument/2006/relationships/image" Target="media/image37.wmf"/><Relationship Id="rId92"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8.emf"/><Relationship Id="rId40" Type="http://schemas.openxmlformats.org/officeDocument/2006/relationships/image" Target="media/image22.wmf"/><Relationship Id="rId45" Type="http://schemas.openxmlformats.org/officeDocument/2006/relationships/oleObject" Target="embeddings/oleObject5.bin"/><Relationship Id="rId66" Type="http://schemas.openxmlformats.org/officeDocument/2006/relationships/oleObject" Target="embeddings/oleObject16.bin"/><Relationship Id="rId87" Type="http://schemas.openxmlformats.org/officeDocument/2006/relationships/oleObject" Target="embeddings/oleObject28.bin"/><Relationship Id="rId110" Type="http://schemas.openxmlformats.org/officeDocument/2006/relationships/image" Target="media/image53.wmf"/><Relationship Id="rId115" Type="http://schemas.openxmlformats.org/officeDocument/2006/relationships/footer" Target="footer9.xml"/><Relationship Id="rId131" Type="http://schemas.openxmlformats.org/officeDocument/2006/relationships/oleObject" Target="embeddings/oleObject49.bin"/><Relationship Id="rId136" Type="http://schemas.openxmlformats.org/officeDocument/2006/relationships/image" Target="media/image64.wmf"/><Relationship Id="rId61" Type="http://schemas.openxmlformats.org/officeDocument/2006/relationships/oleObject" Target="embeddings/oleObject13.bin"/><Relationship Id="rId82" Type="http://schemas.openxmlformats.org/officeDocument/2006/relationships/oleObject" Target="embeddings/oleObject25.bin"/><Relationship Id="rId19" Type="http://schemas.openxmlformats.org/officeDocument/2006/relationships/image" Target="media/image4.jpeg"/><Relationship Id="rId14" Type="http://schemas.openxmlformats.org/officeDocument/2006/relationships/footer" Target="footer4.xm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0.wmf"/><Relationship Id="rId77" Type="http://schemas.openxmlformats.org/officeDocument/2006/relationships/image" Target="media/image40.wmf"/><Relationship Id="rId100" Type="http://schemas.openxmlformats.org/officeDocument/2006/relationships/oleObject" Target="embeddings/oleObject36.bin"/><Relationship Id="rId105" Type="http://schemas.openxmlformats.org/officeDocument/2006/relationships/image" Target="media/image50.jpeg"/><Relationship Id="rId126" Type="http://schemas.openxmlformats.org/officeDocument/2006/relationships/image" Target="media/image5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07072C-BA8F-45D0-A4B1-D6B9EB7B1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211</Pages>
  <Words>29071</Words>
  <Characters>165707</Characters>
  <Application>Microsoft Office Word</Application>
  <DocSecurity>0</DocSecurity>
  <Lines>1380</Lines>
  <Paragraphs>388</Paragraphs>
  <ScaleCrop>false</ScaleCrop>
  <Company/>
  <LinksUpToDate>false</LinksUpToDate>
  <CharactersWithSpaces>194390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dc:creator>
  <cp:lastModifiedBy>hy</cp:lastModifiedBy>
  <cp:revision>36</cp:revision>
  <cp:lastPrinted>2019-08-15T00:39:00Z</cp:lastPrinted>
  <dcterms:created xsi:type="dcterms:W3CDTF">2019-08-15T10:19:00Z</dcterms:created>
  <dcterms:modified xsi:type="dcterms:W3CDTF">2019-09-03T09:29:00Z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